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18257C" w14:textId="13C9A452" w:rsidR="00CD610A" w:rsidRPr="00997F75" w:rsidRDefault="00CD610A" w:rsidP="00122498">
      <w:pPr>
        <w:ind w:left="0"/>
        <w:rPr>
          <w:rFonts w:ascii="Arial" w:hAnsi="Arial" w:cs="Arial"/>
          <w:b/>
          <w:color w:val="000000" w:themeColor="text1"/>
          <w:sz w:val="22"/>
          <w:szCs w:val="22"/>
        </w:rPr>
      </w:pPr>
      <w:bookmarkStart w:id="0" w:name="_GoBack"/>
      <w:bookmarkEnd w:id="0"/>
    </w:p>
    <w:p w14:paraId="39B19D07" w14:textId="77777777" w:rsidR="003B2A1A" w:rsidRPr="00997F75" w:rsidRDefault="003B2A1A" w:rsidP="00122498">
      <w:pPr>
        <w:ind w:left="0"/>
        <w:rPr>
          <w:rFonts w:ascii="Arial" w:hAnsi="Arial" w:cs="Arial"/>
          <w:b/>
          <w:color w:val="000000" w:themeColor="text1"/>
          <w:sz w:val="22"/>
          <w:szCs w:val="22"/>
        </w:rPr>
      </w:pPr>
    </w:p>
    <w:p w14:paraId="75E91939" w14:textId="39171F4A" w:rsidR="00542BC2" w:rsidRPr="009E35ED" w:rsidRDefault="00542BC2" w:rsidP="00803F8C">
      <w:pPr>
        <w:ind w:left="0"/>
        <w:jc w:val="center"/>
        <w:rPr>
          <w:rFonts w:ascii="Arial" w:hAnsi="Arial" w:cs="Arial"/>
          <w:b/>
          <w:color w:val="000000" w:themeColor="text1"/>
          <w:sz w:val="22"/>
          <w:szCs w:val="22"/>
        </w:rPr>
      </w:pPr>
      <w:r w:rsidRPr="009E35ED">
        <w:rPr>
          <w:rFonts w:ascii="Arial" w:hAnsi="Arial" w:cs="Arial"/>
          <w:b/>
          <w:color w:val="000000" w:themeColor="text1"/>
          <w:sz w:val="22"/>
          <w:szCs w:val="22"/>
        </w:rPr>
        <w:t xml:space="preserve">PHILIPPINE </w:t>
      </w:r>
      <w:r w:rsidR="0085009E" w:rsidRPr="009E35ED">
        <w:rPr>
          <w:rFonts w:ascii="Arial" w:hAnsi="Arial" w:cs="Arial"/>
          <w:b/>
          <w:color w:val="000000" w:themeColor="text1"/>
          <w:sz w:val="22"/>
          <w:szCs w:val="22"/>
        </w:rPr>
        <w:t>CHARITY SWEEPSTAKES OFFICE</w:t>
      </w:r>
    </w:p>
    <w:p w14:paraId="0A799D24" w14:textId="77777777" w:rsidR="00542BC2" w:rsidRPr="009E35ED" w:rsidRDefault="00542BC2" w:rsidP="00803F8C">
      <w:pPr>
        <w:ind w:left="0"/>
        <w:jc w:val="center"/>
        <w:rPr>
          <w:rFonts w:ascii="Arial" w:hAnsi="Arial" w:cs="Arial"/>
          <w:b/>
          <w:color w:val="000000" w:themeColor="text1"/>
          <w:sz w:val="22"/>
          <w:szCs w:val="22"/>
        </w:rPr>
      </w:pPr>
      <w:r w:rsidRPr="009E35ED">
        <w:rPr>
          <w:rFonts w:ascii="Arial" w:hAnsi="Arial" w:cs="Arial"/>
          <w:b/>
          <w:color w:val="000000" w:themeColor="text1"/>
          <w:sz w:val="22"/>
          <w:szCs w:val="22"/>
        </w:rPr>
        <w:t>NOTES TO THE FINANCIAL STATEMENTS</w:t>
      </w:r>
    </w:p>
    <w:p w14:paraId="768E2440" w14:textId="77777777" w:rsidR="00242A4B" w:rsidRPr="009E35ED" w:rsidRDefault="00542BC2" w:rsidP="00803F8C">
      <w:pPr>
        <w:ind w:left="0"/>
        <w:jc w:val="center"/>
        <w:rPr>
          <w:rFonts w:ascii="Arial" w:hAnsi="Arial" w:cs="Arial"/>
          <w:color w:val="000000" w:themeColor="text1"/>
          <w:sz w:val="22"/>
          <w:szCs w:val="22"/>
        </w:rPr>
      </w:pPr>
      <w:r w:rsidRPr="009E35ED">
        <w:rPr>
          <w:rFonts w:ascii="Arial" w:hAnsi="Arial" w:cs="Arial"/>
          <w:color w:val="000000" w:themeColor="text1"/>
          <w:sz w:val="22"/>
          <w:szCs w:val="22"/>
        </w:rPr>
        <w:t>(All amounts in Philippine Peso unless otherwise stated)</w:t>
      </w:r>
    </w:p>
    <w:p w14:paraId="4611919A" w14:textId="77777777" w:rsidR="007152A2" w:rsidRPr="009E35ED" w:rsidRDefault="007152A2" w:rsidP="00803F8C">
      <w:pPr>
        <w:rPr>
          <w:rFonts w:ascii="Arial" w:hAnsi="Arial" w:cs="Arial"/>
          <w:color w:val="000000" w:themeColor="text1"/>
          <w:sz w:val="22"/>
          <w:szCs w:val="22"/>
        </w:rPr>
      </w:pPr>
    </w:p>
    <w:p w14:paraId="2B0B9F95" w14:textId="77777777" w:rsidR="007152A2" w:rsidRPr="009E35ED" w:rsidRDefault="007152A2" w:rsidP="00803F8C">
      <w:pPr>
        <w:rPr>
          <w:rFonts w:ascii="Arial" w:hAnsi="Arial" w:cs="Arial"/>
          <w:color w:val="000000" w:themeColor="text1"/>
          <w:sz w:val="22"/>
          <w:szCs w:val="22"/>
        </w:rPr>
      </w:pPr>
    </w:p>
    <w:p w14:paraId="77F5DA69" w14:textId="77777777" w:rsidR="00BD0B3B" w:rsidRPr="009E35ED" w:rsidRDefault="0085009E" w:rsidP="00803F8C">
      <w:pPr>
        <w:pStyle w:val="ListParagraph"/>
        <w:numPr>
          <w:ilvl w:val="0"/>
          <w:numId w:val="1"/>
        </w:numPr>
        <w:ind w:left="540" w:hanging="540"/>
        <w:rPr>
          <w:rFonts w:ascii="Arial" w:hAnsi="Arial" w:cs="Arial"/>
          <w:b/>
          <w:color w:val="000000" w:themeColor="text1"/>
          <w:sz w:val="22"/>
          <w:szCs w:val="22"/>
        </w:rPr>
      </w:pPr>
      <w:r w:rsidRPr="009E35ED">
        <w:rPr>
          <w:rFonts w:ascii="Arial" w:hAnsi="Arial" w:cs="Arial"/>
          <w:b/>
          <w:color w:val="000000" w:themeColor="text1"/>
          <w:sz w:val="22"/>
          <w:szCs w:val="22"/>
        </w:rPr>
        <w:t>GENERAL INFORMATION</w:t>
      </w:r>
    </w:p>
    <w:p w14:paraId="2DC8F2B2" w14:textId="77777777" w:rsidR="00BD0B3B" w:rsidRPr="009E35ED" w:rsidRDefault="00BD0B3B" w:rsidP="00803F8C">
      <w:pPr>
        <w:rPr>
          <w:rFonts w:ascii="Arial" w:hAnsi="Arial" w:cs="Arial"/>
          <w:b/>
          <w:color w:val="000000" w:themeColor="text1"/>
          <w:sz w:val="22"/>
          <w:szCs w:val="22"/>
        </w:rPr>
      </w:pPr>
    </w:p>
    <w:p w14:paraId="11135695" w14:textId="436E85BA" w:rsidR="0085009E" w:rsidRPr="009E35ED" w:rsidRDefault="0085009E" w:rsidP="00803F8C">
      <w:pPr>
        <w:suppressAutoHyphens/>
        <w:ind w:left="0"/>
        <w:rPr>
          <w:rFonts w:ascii="Arial" w:hAnsi="Arial" w:cs="Arial"/>
          <w:color w:val="000000" w:themeColor="text1"/>
          <w:sz w:val="22"/>
          <w:szCs w:val="22"/>
          <w:lang w:eastAsia="ar-SA"/>
        </w:rPr>
      </w:pPr>
      <w:r w:rsidRPr="009E35ED">
        <w:rPr>
          <w:rFonts w:ascii="Arial" w:hAnsi="Arial" w:cs="Arial"/>
          <w:color w:val="000000" w:themeColor="text1"/>
          <w:sz w:val="22"/>
          <w:szCs w:val="22"/>
          <w:lang w:eastAsia="ar-SA"/>
        </w:rPr>
        <w:t xml:space="preserve">The Philippine Charity Sweepstakes Office (PCSO) was created under Philippine Legislature Act No. 4130 on October 30, 1934 and later amended by Republic Act </w:t>
      </w:r>
      <w:r w:rsidR="00266D25" w:rsidRPr="009E35ED">
        <w:rPr>
          <w:rFonts w:ascii="Arial" w:hAnsi="Arial" w:cs="Arial"/>
          <w:color w:val="000000" w:themeColor="text1"/>
          <w:sz w:val="22"/>
          <w:szCs w:val="22"/>
          <w:lang w:eastAsia="ar-SA"/>
        </w:rPr>
        <w:t xml:space="preserve">(RA) </w:t>
      </w:r>
      <w:r w:rsidRPr="009E35ED">
        <w:rPr>
          <w:rFonts w:ascii="Arial" w:hAnsi="Arial" w:cs="Arial"/>
          <w:color w:val="000000" w:themeColor="text1"/>
          <w:sz w:val="22"/>
          <w:szCs w:val="22"/>
          <w:lang w:eastAsia="ar-SA"/>
        </w:rPr>
        <w:t>No. 1169 in 1954</w:t>
      </w:r>
      <w:r w:rsidR="005B47A1" w:rsidRPr="009E35ED">
        <w:rPr>
          <w:rFonts w:ascii="Arial" w:hAnsi="Arial" w:cs="Arial"/>
          <w:color w:val="000000" w:themeColor="text1"/>
          <w:sz w:val="22"/>
          <w:szCs w:val="22"/>
          <w:lang w:eastAsia="ar-SA"/>
        </w:rPr>
        <w:t xml:space="preserve">. </w:t>
      </w:r>
      <w:r w:rsidR="00F15BEA" w:rsidRPr="009E35ED">
        <w:rPr>
          <w:rFonts w:ascii="Arial" w:hAnsi="Arial" w:cs="Arial"/>
          <w:color w:val="000000" w:themeColor="text1"/>
          <w:sz w:val="22"/>
          <w:szCs w:val="22"/>
          <w:lang w:eastAsia="ar-SA"/>
        </w:rPr>
        <w:t>Further, it</w:t>
      </w:r>
      <w:r w:rsidR="005B47A1" w:rsidRPr="009E35ED">
        <w:rPr>
          <w:rFonts w:ascii="Arial" w:hAnsi="Arial" w:cs="Arial"/>
          <w:sz w:val="22"/>
          <w:szCs w:val="22"/>
        </w:rPr>
        <w:t xml:space="preserve"> was also amended by </w:t>
      </w:r>
      <w:r w:rsidR="00820B3E" w:rsidRPr="009E35ED">
        <w:rPr>
          <w:rFonts w:ascii="Arial" w:hAnsi="Arial" w:cs="Arial"/>
          <w:sz w:val="22"/>
          <w:szCs w:val="22"/>
        </w:rPr>
        <w:t xml:space="preserve">Presidential Decree No. 1157 </w:t>
      </w:r>
      <w:r w:rsidR="00423F9B" w:rsidRPr="009E35ED">
        <w:rPr>
          <w:rFonts w:ascii="Arial" w:hAnsi="Arial" w:cs="Arial"/>
          <w:sz w:val="22"/>
          <w:szCs w:val="22"/>
        </w:rPr>
        <w:t>on</w:t>
      </w:r>
      <w:r w:rsidR="00820B3E" w:rsidRPr="009E35ED">
        <w:rPr>
          <w:rFonts w:ascii="Arial" w:hAnsi="Arial" w:cs="Arial"/>
          <w:sz w:val="22"/>
          <w:szCs w:val="22"/>
        </w:rPr>
        <w:t xml:space="preserve"> June </w:t>
      </w:r>
      <w:r w:rsidR="00423F9B" w:rsidRPr="009E35ED">
        <w:rPr>
          <w:rFonts w:ascii="Arial" w:hAnsi="Arial" w:cs="Arial"/>
          <w:sz w:val="22"/>
          <w:szCs w:val="22"/>
        </w:rPr>
        <w:t>3</w:t>
      </w:r>
      <w:r w:rsidR="00820B3E" w:rsidRPr="009E35ED">
        <w:rPr>
          <w:rFonts w:ascii="Arial" w:hAnsi="Arial" w:cs="Arial"/>
          <w:sz w:val="22"/>
          <w:szCs w:val="22"/>
        </w:rPr>
        <w:t xml:space="preserve">, 1977 and </w:t>
      </w:r>
      <w:r w:rsidR="005B47A1" w:rsidRPr="009E35ED">
        <w:rPr>
          <w:rFonts w:ascii="Arial" w:hAnsi="Arial" w:cs="Arial"/>
          <w:sz w:val="22"/>
          <w:szCs w:val="22"/>
        </w:rPr>
        <w:t xml:space="preserve">Batas </w:t>
      </w:r>
      <w:proofErr w:type="spellStart"/>
      <w:r w:rsidR="005B47A1" w:rsidRPr="009E35ED">
        <w:rPr>
          <w:rFonts w:ascii="Arial" w:hAnsi="Arial" w:cs="Arial"/>
          <w:sz w:val="22"/>
          <w:szCs w:val="22"/>
        </w:rPr>
        <w:t>Pambansa</w:t>
      </w:r>
      <w:proofErr w:type="spellEnd"/>
      <w:r w:rsidR="005B47A1" w:rsidRPr="009E35ED">
        <w:rPr>
          <w:rFonts w:ascii="Arial" w:hAnsi="Arial" w:cs="Arial"/>
          <w:sz w:val="22"/>
          <w:szCs w:val="22"/>
        </w:rPr>
        <w:t xml:space="preserve"> </w:t>
      </w:r>
      <w:proofErr w:type="spellStart"/>
      <w:r w:rsidR="005B47A1" w:rsidRPr="009E35ED">
        <w:rPr>
          <w:rFonts w:ascii="Arial" w:hAnsi="Arial" w:cs="Arial"/>
          <w:sz w:val="22"/>
          <w:szCs w:val="22"/>
        </w:rPr>
        <w:t>Blg</w:t>
      </w:r>
      <w:proofErr w:type="spellEnd"/>
      <w:r w:rsidR="005B47A1" w:rsidRPr="009E35ED">
        <w:rPr>
          <w:rFonts w:ascii="Arial" w:hAnsi="Arial" w:cs="Arial"/>
          <w:sz w:val="22"/>
          <w:szCs w:val="22"/>
        </w:rPr>
        <w:t xml:space="preserve">. 42 </w:t>
      </w:r>
      <w:r w:rsidR="00423F9B" w:rsidRPr="009E35ED">
        <w:rPr>
          <w:rFonts w:ascii="Arial" w:hAnsi="Arial" w:cs="Arial"/>
          <w:sz w:val="22"/>
          <w:szCs w:val="22"/>
        </w:rPr>
        <w:t>on</w:t>
      </w:r>
      <w:r w:rsidR="00820B3E" w:rsidRPr="009E35ED">
        <w:rPr>
          <w:rFonts w:ascii="Arial" w:hAnsi="Arial" w:cs="Arial"/>
          <w:sz w:val="22"/>
          <w:szCs w:val="22"/>
        </w:rPr>
        <w:t xml:space="preserve"> </w:t>
      </w:r>
      <w:r w:rsidR="005B47A1" w:rsidRPr="009E35ED">
        <w:rPr>
          <w:rFonts w:ascii="Arial" w:hAnsi="Arial" w:cs="Arial"/>
          <w:color w:val="000000" w:themeColor="text1"/>
          <w:sz w:val="22"/>
          <w:szCs w:val="22"/>
          <w:lang w:eastAsia="ar-SA"/>
        </w:rPr>
        <w:t xml:space="preserve">September 24, 1979. </w:t>
      </w:r>
      <w:r w:rsidR="00E6509B" w:rsidRPr="009E35ED">
        <w:rPr>
          <w:rFonts w:ascii="Arial" w:hAnsi="Arial" w:cs="Arial"/>
          <w:color w:val="000000" w:themeColor="text1"/>
          <w:sz w:val="22"/>
          <w:szCs w:val="22"/>
        </w:rPr>
        <w:t>Moreover</w:t>
      </w:r>
      <w:r w:rsidR="00F15BEA" w:rsidRPr="009E35ED">
        <w:rPr>
          <w:rFonts w:ascii="Arial" w:hAnsi="Arial" w:cs="Arial"/>
          <w:color w:val="000000" w:themeColor="text1"/>
          <w:sz w:val="22"/>
          <w:szCs w:val="22"/>
        </w:rPr>
        <w:t xml:space="preserve">, it was amended under RA No. 10963 or the Tax Reform for Acceleration and Inclusion (TRAIN law) in 2018. </w:t>
      </w:r>
      <w:r w:rsidRPr="009E35ED">
        <w:rPr>
          <w:rFonts w:ascii="Arial" w:hAnsi="Arial" w:cs="Arial"/>
          <w:color w:val="000000" w:themeColor="text1"/>
          <w:sz w:val="22"/>
          <w:szCs w:val="22"/>
          <w:lang w:eastAsia="ar-SA"/>
        </w:rPr>
        <w:t>The PCSO is the principal government agency for raising and providing funds for health programs, medical assistance and services, and charities of national character.</w:t>
      </w:r>
    </w:p>
    <w:p w14:paraId="2DED4349" w14:textId="77777777" w:rsidR="0085009E" w:rsidRPr="009E35ED" w:rsidRDefault="0085009E" w:rsidP="00803F8C">
      <w:pPr>
        <w:suppressAutoHyphens/>
        <w:ind w:left="0"/>
        <w:rPr>
          <w:rFonts w:ascii="Arial" w:hAnsi="Arial" w:cs="Arial"/>
          <w:color w:val="000000" w:themeColor="text1"/>
          <w:sz w:val="22"/>
          <w:szCs w:val="22"/>
          <w:lang w:eastAsia="ar-SA"/>
        </w:rPr>
      </w:pPr>
    </w:p>
    <w:p w14:paraId="023B00FE" w14:textId="565CE37F" w:rsidR="0085009E" w:rsidRPr="009E35ED" w:rsidRDefault="0085009E" w:rsidP="00803F8C">
      <w:pPr>
        <w:ind w:left="0"/>
        <w:rPr>
          <w:rFonts w:ascii="Arial" w:hAnsi="Arial" w:cs="Arial"/>
          <w:color w:val="000000" w:themeColor="text1"/>
          <w:sz w:val="22"/>
          <w:szCs w:val="22"/>
          <w:lang w:eastAsia="ar-SA"/>
        </w:rPr>
      </w:pPr>
      <w:r w:rsidRPr="009E35ED">
        <w:rPr>
          <w:rFonts w:ascii="Arial" w:hAnsi="Arial" w:cs="Arial"/>
          <w:color w:val="000000" w:themeColor="text1"/>
          <w:sz w:val="22"/>
          <w:szCs w:val="22"/>
          <w:lang w:eastAsia="ar-SA"/>
        </w:rPr>
        <w:t xml:space="preserve">In adherence to its main thrust of providing funds for health programs and other charities of national character, the PCSO is engaged in various social welfare and development programs. The main programs of the agency are as follows: </w:t>
      </w:r>
      <w:r w:rsidR="00DC42E4" w:rsidRPr="009E35ED">
        <w:rPr>
          <w:rFonts w:ascii="Arial" w:hAnsi="Arial" w:cs="Arial"/>
          <w:color w:val="000000" w:themeColor="text1"/>
          <w:sz w:val="22"/>
          <w:szCs w:val="22"/>
          <w:lang w:eastAsia="ar-SA"/>
        </w:rPr>
        <w:t>Medical Assistance Program (MAP); Institutional Partnership Program (IPP); Medical Transport Vehicle Donation Program</w:t>
      </w:r>
      <w:r w:rsidR="001B4BF8" w:rsidRPr="009E35ED">
        <w:rPr>
          <w:rFonts w:ascii="Arial" w:hAnsi="Arial" w:cs="Arial"/>
          <w:color w:val="000000" w:themeColor="text1"/>
          <w:sz w:val="22"/>
          <w:szCs w:val="22"/>
          <w:lang w:eastAsia="ar-SA"/>
        </w:rPr>
        <w:t xml:space="preserve"> (MTVDP)</w:t>
      </w:r>
      <w:r w:rsidR="00DC42E4" w:rsidRPr="009E35ED">
        <w:rPr>
          <w:rFonts w:ascii="Arial" w:hAnsi="Arial" w:cs="Arial"/>
          <w:color w:val="000000" w:themeColor="text1"/>
          <w:sz w:val="22"/>
          <w:szCs w:val="22"/>
          <w:lang w:eastAsia="ar-SA"/>
        </w:rPr>
        <w:t>; Medical Equipment Donation Program</w:t>
      </w:r>
      <w:r w:rsidR="001B4BF8" w:rsidRPr="009E35ED">
        <w:rPr>
          <w:rFonts w:ascii="Arial" w:hAnsi="Arial" w:cs="Arial"/>
          <w:color w:val="000000" w:themeColor="text1"/>
          <w:sz w:val="22"/>
          <w:szCs w:val="22"/>
          <w:lang w:eastAsia="ar-SA"/>
        </w:rPr>
        <w:t xml:space="preserve"> (MEDP)</w:t>
      </w:r>
      <w:r w:rsidR="00DC42E4" w:rsidRPr="009E35ED">
        <w:rPr>
          <w:rFonts w:ascii="Arial" w:hAnsi="Arial" w:cs="Arial"/>
          <w:color w:val="000000" w:themeColor="text1"/>
          <w:sz w:val="22"/>
          <w:szCs w:val="22"/>
          <w:lang w:eastAsia="ar-SA"/>
        </w:rPr>
        <w:t>; Patient Transport Service; Medical and Dental Mission Program; Medicine Donation Program; Out Patient Services Program; Mandatory Contributions; and</w:t>
      </w:r>
      <w:r w:rsidR="00A52D68" w:rsidRPr="009E35ED">
        <w:rPr>
          <w:rFonts w:ascii="Arial" w:hAnsi="Arial" w:cs="Arial"/>
          <w:color w:val="000000" w:themeColor="text1"/>
          <w:sz w:val="22"/>
          <w:szCs w:val="22"/>
          <w:lang w:eastAsia="ar-SA"/>
        </w:rPr>
        <w:t xml:space="preserve"> the programs under the Agency’s</w:t>
      </w:r>
      <w:r w:rsidR="00DC42E4" w:rsidRPr="009E35ED">
        <w:rPr>
          <w:rFonts w:ascii="Arial" w:hAnsi="Arial" w:cs="Arial"/>
          <w:color w:val="000000" w:themeColor="text1"/>
          <w:sz w:val="22"/>
          <w:szCs w:val="22"/>
          <w:lang w:eastAsia="ar-SA"/>
        </w:rPr>
        <w:t xml:space="preserve"> C</w:t>
      </w:r>
      <w:r w:rsidR="005B47A1" w:rsidRPr="009E35ED">
        <w:rPr>
          <w:rFonts w:ascii="Arial" w:hAnsi="Arial" w:cs="Arial"/>
          <w:color w:val="000000" w:themeColor="text1"/>
          <w:sz w:val="22"/>
          <w:szCs w:val="22"/>
          <w:lang w:eastAsia="ar-SA"/>
        </w:rPr>
        <w:t xml:space="preserve">orporate </w:t>
      </w:r>
      <w:r w:rsidR="00DC42E4" w:rsidRPr="009E35ED">
        <w:rPr>
          <w:rFonts w:ascii="Arial" w:hAnsi="Arial" w:cs="Arial"/>
          <w:color w:val="000000" w:themeColor="text1"/>
          <w:sz w:val="22"/>
          <w:szCs w:val="22"/>
          <w:lang w:eastAsia="ar-SA"/>
        </w:rPr>
        <w:t>S</w:t>
      </w:r>
      <w:r w:rsidR="005B47A1" w:rsidRPr="009E35ED">
        <w:rPr>
          <w:rFonts w:ascii="Arial" w:hAnsi="Arial" w:cs="Arial"/>
          <w:color w:val="000000" w:themeColor="text1"/>
          <w:sz w:val="22"/>
          <w:szCs w:val="22"/>
          <w:lang w:eastAsia="ar-SA"/>
        </w:rPr>
        <w:t xml:space="preserve">ocial </w:t>
      </w:r>
      <w:r w:rsidR="00DC42E4" w:rsidRPr="009E35ED">
        <w:rPr>
          <w:rFonts w:ascii="Arial" w:hAnsi="Arial" w:cs="Arial"/>
          <w:color w:val="000000" w:themeColor="text1"/>
          <w:sz w:val="22"/>
          <w:szCs w:val="22"/>
          <w:lang w:eastAsia="ar-SA"/>
        </w:rPr>
        <w:t>R</w:t>
      </w:r>
      <w:r w:rsidR="005B47A1" w:rsidRPr="009E35ED">
        <w:rPr>
          <w:rFonts w:ascii="Arial" w:hAnsi="Arial" w:cs="Arial"/>
          <w:color w:val="000000" w:themeColor="text1"/>
          <w:sz w:val="22"/>
          <w:szCs w:val="22"/>
          <w:lang w:eastAsia="ar-SA"/>
        </w:rPr>
        <w:t>esponsibility (CSR)</w:t>
      </w:r>
      <w:r w:rsidR="00DC42E4" w:rsidRPr="009E35ED">
        <w:rPr>
          <w:rFonts w:ascii="Arial" w:hAnsi="Arial" w:cs="Arial"/>
          <w:color w:val="000000" w:themeColor="text1"/>
          <w:sz w:val="22"/>
          <w:szCs w:val="22"/>
          <w:lang w:eastAsia="ar-SA"/>
        </w:rPr>
        <w:t>.</w:t>
      </w:r>
    </w:p>
    <w:p w14:paraId="2CA1CFF7" w14:textId="0EBF6862" w:rsidR="0085009E" w:rsidRPr="009E35ED" w:rsidRDefault="0085009E" w:rsidP="00803F8C">
      <w:pPr>
        <w:ind w:left="0"/>
        <w:rPr>
          <w:rFonts w:ascii="Arial" w:hAnsi="Arial" w:cs="Arial"/>
          <w:color w:val="000000" w:themeColor="text1"/>
          <w:sz w:val="22"/>
          <w:szCs w:val="22"/>
          <w:lang w:eastAsia="ar-SA"/>
        </w:rPr>
      </w:pPr>
    </w:p>
    <w:p w14:paraId="56B3F958" w14:textId="4FC5CF62" w:rsidR="0085009E" w:rsidRPr="009E35ED" w:rsidRDefault="0085009E" w:rsidP="00803F8C">
      <w:pPr>
        <w:suppressAutoHyphens/>
        <w:ind w:left="0"/>
        <w:rPr>
          <w:rFonts w:ascii="Arial" w:hAnsi="Arial" w:cs="Arial"/>
          <w:color w:val="000000" w:themeColor="text1"/>
          <w:sz w:val="22"/>
          <w:szCs w:val="22"/>
          <w:lang w:eastAsia="ar-SA"/>
        </w:rPr>
      </w:pPr>
      <w:r w:rsidRPr="009E35ED">
        <w:rPr>
          <w:rFonts w:ascii="Arial" w:hAnsi="Arial" w:cs="Arial"/>
          <w:color w:val="000000" w:themeColor="text1"/>
          <w:sz w:val="22"/>
          <w:szCs w:val="22"/>
          <w:lang w:eastAsia="ar-SA"/>
        </w:rPr>
        <w:t xml:space="preserve">To support and sustain the foregoing mandated tasks, the PCSO holds and conducts charity sweepstakes, races, and lotteries and engages in health and welfare-related investments, projects, and activities to provide for permanent and continuing sources of funds for its programs. It also undertakes other activities to enhance and expand such fund-generating operations as well as strengthen the </w:t>
      </w:r>
      <w:r w:rsidR="00266D25" w:rsidRPr="009E35ED">
        <w:rPr>
          <w:rFonts w:ascii="Arial" w:hAnsi="Arial" w:cs="Arial"/>
          <w:color w:val="000000" w:themeColor="text1"/>
          <w:sz w:val="22"/>
          <w:szCs w:val="22"/>
          <w:lang w:eastAsia="ar-SA"/>
        </w:rPr>
        <w:t>A</w:t>
      </w:r>
      <w:r w:rsidRPr="009E35ED">
        <w:rPr>
          <w:rFonts w:ascii="Arial" w:hAnsi="Arial" w:cs="Arial"/>
          <w:color w:val="000000" w:themeColor="text1"/>
          <w:sz w:val="22"/>
          <w:szCs w:val="22"/>
          <w:lang w:eastAsia="ar-SA"/>
        </w:rPr>
        <w:t>gency’s fund-management capabilities.</w:t>
      </w:r>
    </w:p>
    <w:p w14:paraId="517181CE" w14:textId="77777777" w:rsidR="0085009E" w:rsidRPr="009E35ED" w:rsidRDefault="0085009E" w:rsidP="00803F8C">
      <w:pPr>
        <w:ind w:left="0"/>
        <w:rPr>
          <w:rFonts w:ascii="Arial" w:hAnsi="Arial" w:cs="Arial"/>
          <w:color w:val="000000" w:themeColor="text1"/>
          <w:sz w:val="22"/>
          <w:szCs w:val="22"/>
          <w:lang w:eastAsia="ar-SA"/>
        </w:rPr>
      </w:pPr>
    </w:p>
    <w:p w14:paraId="0A8D97B4" w14:textId="0FA8DCEF" w:rsidR="0085009E" w:rsidRPr="009E35ED" w:rsidRDefault="0085009E" w:rsidP="00803F8C">
      <w:pPr>
        <w:suppressAutoHyphens/>
        <w:ind w:left="0"/>
        <w:rPr>
          <w:rFonts w:ascii="Arial" w:hAnsi="Arial" w:cs="Arial"/>
          <w:b/>
          <w:color w:val="000000" w:themeColor="text1"/>
          <w:sz w:val="22"/>
          <w:szCs w:val="22"/>
          <w:lang w:eastAsia="ar-SA"/>
        </w:rPr>
      </w:pPr>
      <w:r w:rsidRPr="009E35ED">
        <w:rPr>
          <w:rFonts w:ascii="Arial" w:hAnsi="Arial" w:cs="Arial"/>
          <w:color w:val="000000" w:themeColor="text1"/>
          <w:sz w:val="22"/>
          <w:szCs w:val="22"/>
          <w:lang w:eastAsia="ar-SA"/>
        </w:rPr>
        <w:t>The main products of the PCSO are the Sweepstakes</w:t>
      </w:r>
      <w:r w:rsidR="005E2989" w:rsidRPr="009E35ED">
        <w:rPr>
          <w:rFonts w:ascii="Arial" w:hAnsi="Arial" w:cs="Arial"/>
          <w:color w:val="000000" w:themeColor="text1"/>
          <w:sz w:val="22"/>
          <w:szCs w:val="22"/>
          <w:lang w:eastAsia="ar-SA"/>
        </w:rPr>
        <w:t xml:space="preserve">, </w:t>
      </w:r>
      <w:r w:rsidRPr="009E35ED">
        <w:rPr>
          <w:rFonts w:ascii="Arial" w:hAnsi="Arial" w:cs="Arial"/>
          <w:color w:val="000000" w:themeColor="text1"/>
          <w:sz w:val="22"/>
          <w:szCs w:val="22"/>
          <w:lang w:eastAsia="ar-SA"/>
        </w:rPr>
        <w:t>the Lottery games</w:t>
      </w:r>
      <w:r w:rsidR="005E2989" w:rsidRPr="009E35ED">
        <w:rPr>
          <w:rFonts w:ascii="Arial" w:hAnsi="Arial" w:cs="Arial"/>
          <w:color w:val="000000" w:themeColor="text1"/>
          <w:sz w:val="22"/>
          <w:szCs w:val="22"/>
          <w:lang w:eastAsia="ar-SA"/>
        </w:rPr>
        <w:t xml:space="preserve"> and Small-Town Lottery games</w:t>
      </w:r>
      <w:r w:rsidRPr="009E35ED">
        <w:rPr>
          <w:rFonts w:ascii="Arial" w:hAnsi="Arial" w:cs="Arial"/>
          <w:color w:val="000000" w:themeColor="text1"/>
          <w:sz w:val="22"/>
          <w:szCs w:val="22"/>
          <w:lang w:eastAsia="ar-SA"/>
        </w:rPr>
        <w:t>.  The Sweepstakes game has steadily been evolving through the years to be able to conform with the changing demand of times, to keep the game interesting to all Sweepstakes enthusiasts, to attract more clients, and to maintain a variety of Sweepstakes products readily available in the market.  Various game types have been introduced and other game innovations are constantly being conceptualized, particularly the traditional</w:t>
      </w:r>
      <w:r w:rsidR="00A52D68" w:rsidRPr="009E35ED">
        <w:rPr>
          <w:rFonts w:ascii="Arial" w:hAnsi="Arial" w:cs="Arial"/>
          <w:color w:val="000000" w:themeColor="text1"/>
          <w:sz w:val="22"/>
          <w:szCs w:val="22"/>
          <w:lang w:eastAsia="ar-SA"/>
        </w:rPr>
        <w:t xml:space="preserve"> games,</w:t>
      </w:r>
      <w:r w:rsidRPr="009E35ED">
        <w:rPr>
          <w:rFonts w:ascii="Arial" w:hAnsi="Arial" w:cs="Arial"/>
          <w:color w:val="000000" w:themeColor="text1"/>
          <w:sz w:val="22"/>
          <w:szCs w:val="22"/>
          <w:lang w:eastAsia="ar-SA"/>
        </w:rPr>
        <w:t xml:space="preserve"> and </w:t>
      </w:r>
      <w:r w:rsidR="00A52D68" w:rsidRPr="009E35ED">
        <w:rPr>
          <w:rFonts w:ascii="Arial" w:hAnsi="Arial" w:cs="Arial"/>
          <w:color w:val="000000" w:themeColor="text1"/>
          <w:sz w:val="22"/>
          <w:szCs w:val="22"/>
          <w:lang w:eastAsia="ar-SA"/>
        </w:rPr>
        <w:t xml:space="preserve">the </w:t>
      </w:r>
      <w:r w:rsidRPr="009E35ED">
        <w:rPr>
          <w:rFonts w:ascii="Arial" w:hAnsi="Arial" w:cs="Arial"/>
          <w:color w:val="000000" w:themeColor="text1"/>
          <w:sz w:val="22"/>
          <w:szCs w:val="22"/>
          <w:lang w:eastAsia="ar-SA"/>
        </w:rPr>
        <w:t>scratch and match variety</w:t>
      </w:r>
      <w:r w:rsidRPr="009E35ED">
        <w:rPr>
          <w:rFonts w:ascii="Arial" w:hAnsi="Arial" w:cs="Arial"/>
          <w:b/>
          <w:color w:val="000000" w:themeColor="text1"/>
          <w:sz w:val="22"/>
          <w:szCs w:val="22"/>
          <w:lang w:eastAsia="ar-SA"/>
        </w:rPr>
        <w:t>.</w:t>
      </w:r>
    </w:p>
    <w:p w14:paraId="75017C06" w14:textId="77777777" w:rsidR="0085009E" w:rsidRPr="009E35ED" w:rsidRDefault="009023DE" w:rsidP="00803F8C">
      <w:pPr>
        <w:rPr>
          <w:rFonts w:ascii="Arial" w:hAnsi="Arial" w:cs="Arial"/>
          <w:color w:val="000000" w:themeColor="text1"/>
          <w:sz w:val="22"/>
          <w:szCs w:val="22"/>
        </w:rPr>
      </w:pPr>
      <w:r w:rsidRPr="009E35ED">
        <w:rPr>
          <w:rFonts w:ascii="Arial" w:hAnsi="Arial" w:cs="Arial"/>
          <w:color w:val="000000" w:themeColor="text1"/>
          <w:sz w:val="22"/>
          <w:szCs w:val="22"/>
        </w:rPr>
        <w:tab/>
      </w:r>
    </w:p>
    <w:p w14:paraId="54FFF5C1" w14:textId="77777777" w:rsidR="006F7979" w:rsidRPr="009E35ED" w:rsidRDefault="006F7979" w:rsidP="001C371F">
      <w:pPr>
        <w:pStyle w:val="ListParagraph"/>
        <w:numPr>
          <w:ilvl w:val="0"/>
          <w:numId w:val="15"/>
        </w:numPr>
        <w:ind w:left="540" w:hanging="540"/>
        <w:rPr>
          <w:rFonts w:ascii="Arial" w:hAnsi="Arial" w:cs="Arial"/>
          <w:b/>
          <w:color w:val="000000" w:themeColor="text1"/>
          <w:sz w:val="22"/>
          <w:szCs w:val="22"/>
        </w:rPr>
      </w:pPr>
      <w:r w:rsidRPr="009E35ED">
        <w:rPr>
          <w:rFonts w:ascii="Arial" w:hAnsi="Arial" w:cs="Arial"/>
          <w:b/>
          <w:color w:val="000000" w:themeColor="text1"/>
          <w:sz w:val="22"/>
          <w:szCs w:val="22"/>
        </w:rPr>
        <w:t>Lotto Games</w:t>
      </w:r>
    </w:p>
    <w:p w14:paraId="7A83C573" w14:textId="77777777" w:rsidR="0085009E" w:rsidRPr="009E35ED" w:rsidRDefault="0085009E" w:rsidP="00803F8C">
      <w:pPr>
        <w:ind w:left="0"/>
        <w:rPr>
          <w:rFonts w:ascii="Arial" w:hAnsi="Arial" w:cs="Arial"/>
          <w:color w:val="000000" w:themeColor="text1"/>
          <w:sz w:val="22"/>
          <w:szCs w:val="22"/>
        </w:rPr>
      </w:pPr>
    </w:p>
    <w:p w14:paraId="2C3AD2E7" w14:textId="2E2988B3" w:rsidR="0085009E" w:rsidRPr="009E35ED" w:rsidRDefault="0085009E" w:rsidP="00803F8C">
      <w:pPr>
        <w:ind w:left="0"/>
        <w:rPr>
          <w:rFonts w:ascii="Arial" w:hAnsi="Arial" w:cs="Arial"/>
          <w:color w:val="000000" w:themeColor="text1"/>
          <w:sz w:val="22"/>
          <w:szCs w:val="22"/>
        </w:rPr>
      </w:pPr>
      <w:r w:rsidRPr="009E35ED">
        <w:rPr>
          <w:rFonts w:ascii="Arial" w:hAnsi="Arial" w:cs="Arial"/>
          <w:color w:val="000000" w:themeColor="text1"/>
          <w:sz w:val="22"/>
          <w:szCs w:val="22"/>
        </w:rPr>
        <w:t>The PCSO offers five (5) 6-pick number games namely; Lotto 6/42, Mega Lotto 6/45, Super Lotto 6/49, Grand Lotto 6/55 and the Ultra Lotto 6/58</w:t>
      </w:r>
      <w:r w:rsidR="00265516" w:rsidRPr="009E35ED">
        <w:rPr>
          <w:rFonts w:ascii="Arial" w:hAnsi="Arial" w:cs="Arial"/>
          <w:color w:val="000000" w:themeColor="text1"/>
          <w:sz w:val="22"/>
          <w:szCs w:val="22"/>
        </w:rPr>
        <w:t xml:space="preserve"> which has a ticket cost of P20</w:t>
      </w:r>
      <w:r w:rsidR="00266D25" w:rsidRPr="009E35ED">
        <w:rPr>
          <w:rFonts w:ascii="Arial" w:hAnsi="Arial" w:cs="Arial"/>
          <w:color w:val="000000" w:themeColor="text1"/>
          <w:sz w:val="22"/>
          <w:szCs w:val="22"/>
        </w:rPr>
        <w:t>.00</w:t>
      </w:r>
      <w:r w:rsidRPr="009E35ED">
        <w:rPr>
          <w:rFonts w:ascii="Arial" w:hAnsi="Arial" w:cs="Arial"/>
          <w:color w:val="000000" w:themeColor="text1"/>
          <w:sz w:val="22"/>
          <w:szCs w:val="22"/>
        </w:rPr>
        <w:t xml:space="preserve">.  All of these number games can be played </w:t>
      </w:r>
      <w:r w:rsidR="00AD3D41" w:rsidRPr="009E35ED">
        <w:rPr>
          <w:rFonts w:ascii="Arial" w:hAnsi="Arial" w:cs="Arial"/>
          <w:color w:val="000000" w:themeColor="text1"/>
          <w:sz w:val="22"/>
          <w:szCs w:val="22"/>
        </w:rPr>
        <w:t xml:space="preserve">by manually selecting a 6-number combination or </w:t>
      </w:r>
      <w:r w:rsidRPr="009E35ED">
        <w:rPr>
          <w:rFonts w:ascii="Arial" w:hAnsi="Arial" w:cs="Arial"/>
          <w:color w:val="000000" w:themeColor="text1"/>
          <w:sz w:val="22"/>
          <w:szCs w:val="22"/>
        </w:rPr>
        <w:t>using the system play (</w:t>
      </w:r>
      <w:r w:rsidR="00AD3D41" w:rsidRPr="009E35ED">
        <w:rPr>
          <w:rFonts w:ascii="Arial" w:hAnsi="Arial" w:cs="Arial"/>
          <w:color w:val="000000" w:themeColor="text1"/>
          <w:sz w:val="22"/>
          <w:szCs w:val="22"/>
        </w:rPr>
        <w:t xml:space="preserve">standard, 5 roll, and </w:t>
      </w:r>
      <w:r w:rsidRPr="009E35ED">
        <w:rPr>
          <w:rFonts w:ascii="Arial" w:hAnsi="Arial" w:cs="Arial"/>
          <w:color w:val="000000" w:themeColor="text1"/>
          <w:sz w:val="22"/>
          <w:szCs w:val="22"/>
        </w:rPr>
        <w:t>systems 7 to 12) and Lucky Pick</w:t>
      </w:r>
      <w:r w:rsidR="001D68E0" w:rsidRPr="009E35ED">
        <w:rPr>
          <w:rFonts w:ascii="Arial" w:hAnsi="Arial" w:cs="Arial"/>
          <w:color w:val="000000" w:themeColor="text1"/>
          <w:sz w:val="22"/>
          <w:szCs w:val="22"/>
        </w:rPr>
        <w:t xml:space="preserve"> thru the traditional lotto terminals and the E-Lotto Web Application</w:t>
      </w:r>
      <w:r w:rsidRPr="009E35ED">
        <w:rPr>
          <w:rFonts w:ascii="Arial" w:hAnsi="Arial" w:cs="Arial"/>
          <w:color w:val="000000" w:themeColor="text1"/>
          <w:sz w:val="22"/>
          <w:szCs w:val="22"/>
        </w:rPr>
        <w:t xml:space="preserve">. </w:t>
      </w:r>
    </w:p>
    <w:p w14:paraId="7F7359E6" w14:textId="6E2AA3C3" w:rsidR="001D6D9D" w:rsidRPr="009E35ED" w:rsidRDefault="001D6D9D" w:rsidP="00803F8C">
      <w:pPr>
        <w:ind w:left="0"/>
        <w:rPr>
          <w:rFonts w:ascii="Arial" w:hAnsi="Arial" w:cs="Arial"/>
          <w:color w:val="000000" w:themeColor="text1"/>
          <w:sz w:val="22"/>
          <w:szCs w:val="22"/>
        </w:rPr>
      </w:pPr>
    </w:p>
    <w:p w14:paraId="74D9683F" w14:textId="05DCAC77" w:rsidR="001D6D9D" w:rsidRPr="009E35ED" w:rsidRDefault="001D6D9D" w:rsidP="00803F8C">
      <w:pPr>
        <w:ind w:left="0"/>
        <w:rPr>
          <w:rFonts w:ascii="Arial" w:hAnsi="Arial" w:cs="Arial"/>
          <w:color w:val="000000" w:themeColor="text1"/>
          <w:sz w:val="22"/>
          <w:szCs w:val="22"/>
        </w:rPr>
      </w:pPr>
      <w:r w:rsidRPr="009E35ED">
        <w:rPr>
          <w:rFonts w:ascii="Arial" w:hAnsi="Arial" w:cs="Arial"/>
          <w:color w:val="000000" w:themeColor="text1"/>
          <w:sz w:val="22"/>
          <w:szCs w:val="22"/>
        </w:rPr>
        <w:lastRenderedPageBreak/>
        <w:t>The Agency has executed a Five (5) Years Lease Contract with J</w:t>
      </w:r>
      <w:r w:rsidR="00C46D94" w:rsidRPr="009E35ED">
        <w:rPr>
          <w:rFonts w:ascii="Arial" w:hAnsi="Arial" w:cs="Arial"/>
          <w:color w:val="000000" w:themeColor="text1"/>
          <w:sz w:val="22"/>
          <w:szCs w:val="22"/>
        </w:rPr>
        <w:t xml:space="preserve">oint </w:t>
      </w:r>
      <w:r w:rsidRPr="009E35ED">
        <w:rPr>
          <w:rFonts w:ascii="Arial" w:hAnsi="Arial" w:cs="Arial"/>
          <w:color w:val="000000" w:themeColor="text1"/>
          <w:sz w:val="22"/>
          <w:szCs w:val="22"/>
        </w:rPr>
        <w:t>V</w:t>
      </w:r>
      <w:r w:rsidR="00C46D94" w:rsidRPr="009E35ED">
        <w:rPr>
          <w:rFonts w:ascii="Arial" w:hAnsi="Arial" w:cs="Arial"/>
          <w:color w:val="000000" w:themeColor="text1"/>
          <w:sz w:val="22"/>
          <w:szCs w:val="22"/>
        </w:rPr>
        <w:t>enture</w:t>
      </w:r>
      <w:r w:rsidR="008E2662" w:rsidRPr="009E35ED">
        <w:rPr>
          <w:rFonts w:ascii="Arial" w:hAnsi="Arial" w:cs="Arial"/>
          <w:color w:val="000000" w:themeColor="text1"/>
          <w:sz w:val="22"/>
          <w:szCs w:val="22"/>
        </w:rPr>
        <w:t xml:space="preserve"> Philippine Gaming Management Corporation, International Lottery and Totalization Systems, Inc., and Pacific Online Systems Corporation</w:t>
      </w:r>
      <w:r w:rsidR="00C46D94" w:rsidRPr="009E35ED">
        <w:rPr>
          <w:rFonts w:ascii="Arial" w:hAnsi="Arial" w:cs="Arial"/>
          <w:color w:val="000000" w:themeColor="text1"/>
          <w:sz w:val="22"/>
          <w:szCs w:val="22"/>
        </w:rPr>
        <w:t xml:space="preserve"> (JV</w:t>
      </w:r>
      <w:r w:rsidRPr="009E35ED">
        <w:rPr>
          <w:rFonts w:ascii="Arial" w:hAnsi="Arial" w:cs="Arial"/>
          <w:color w:val="000000" w:themeColor="text1"/>
          <w:sz w:val="22"/>
          <w:szCs w:val="22"/>
        </w:rPr>
        <w:t xml:space="preserve"> PGMC-ILTS-POSC</w:t>
      </w:r>
      <w:r w:rsidR="008E2662" w:rsidRPr="009E35ED">
        <w:rPr>
          <w:rFonts w:ascii="Arial" w:hAnsi="Arial" w:cs="Arial"/>
          <w:color w:val="000000" w:themeColor="text1"/>
          <w:sz w:val="22"/>
          <w:szCs w:val="22"/>
        </w:rPr>
        <w:t>)</w:t>
      </w:r>
      <w:r w:rsidRPr="009E35ED">
        <w:rPr>
          <w:rFonts w:ascii="Arial" w:hAnsi="Arial" w:cs="Arial"/>
          <w:color w:val="000000" w:themeColor="text1"/>
          <w:sz w:val="22"/>
          <w:szCs w:val="22"/>
        </w:rPr>
        <w:t xml:space="preserve"> on 21 December 2021 for the Customized PCSO Lottery System, also known as 2021 PLS Project which was implemented on October 1, 2023.</w:t>
      </w:r>
    </w:p>
    <w:p w14:paraId="67B9A0C9" w14:textId="77777777" w:rsidR="0085009E" w:rsidRPr="009E35ED" w:rsidRDefault="0085009E" w:rsidP="00803F8C">
      <w:pPr>
        <w:ind w:left="0"/>
        <w:rPr>
          <w:rFonts w:ascii="Arial" w:hAnsi="Arial" w:cs="Arial"/>
          <w:color w:val="000000" w:themeColor="text1"/>
          <w:sz w:val="22"/>
          <w:szCs w:val="22"/>
        </w:rPr>
      </w:pPr>
    </w:p>
    <w:p w14:paraId="1BE9BB2D" w14:textId="34167C96" w:rsidR="0085009E" w:rsidRPr="009E35ED" w:rsidRDefault="009B263B" w:rsidP="00803F8C">
      <w:pPr>
        <w:ind w:left="0"/>
        <w:rPr>
          <w:rFonts w:ascii="Arial" w:hAnsi="Arial" w:cs="Arial"/>
          <w:color w:val="000000" w:themeColor="text1"/>
          <w:sz w:val="22"/>
          <w:szCs w:val="22"/>
        </w:rPr>
      </w:pPr>
      <w:r w:rsidRPr="009E35ED">
        <w:rPr>
          <w:rFonts w:ascii="Arial" w:hAnsi="Arial" w:cs="Arial"/>
          <w:color w:val="000000" w:themeColor="text1"/>
          <w:sz w:val="22"/>
          <w:szCs w:val="22"/>
        </w:rPr>
        <w:t xml:space="preserve">The </w:t>
      </w:r>
      <w:r w:rsidR="00265516" w:rsidRPr="009E35ED">
        <w:rPr>
          <w:rFonts w:ascii="Arial" w:hAnsi="Arial" w:cs="Arial"/>
          <w:color w:val="000000" w:themeColor="text1"/>
          <w:sz w:val="22"/>
          <w:szCs w:val="22"/>
        </w:rPr>
        <w:t xml:space="preserve">Lotto </w:t>
      </w:r>
      <w:r w:rsidRPr="009E35ED">
        <w:rPr>
          <w:rFonts w:ascii="Arial" w:hAnsi="Arial" w:cs="Arial"/>
          <w:color w:val="000000" w:themeColor="text1"/>
          <w:sz w:val="22"/>
          <w:szCs w:val="22"/>
        </w:rPr>
        <w:t xml:space="preserve">national games operated by the </w:t>
      </w:r>
      <w:r w:rsidR="0051373D" w:rsidRPr="009E35ED">
        <w:rPr>
          <w:rFonts w:ascii="Arial" w:hAnsi="Arial" w:cs="Arial"/>
          <w:color w:val="000000" w:themeColor="text1"/>
          <w:sz w:val="22"/>
          <w:szCs w:val="22"/>
        </w:rPr>
        <w:t>Agency</w:t>
      </w:r>
      <w:r w:rsidRPr="009E35ED">
        <w:rPr>
          <w:rFonts w:ascii="Arial" w:hAnsi="Arial" w:cs="Arial"/>
          <w:color w:val="000000" w:themeColor="text1"/>
          <w:sz w:val="22"/>
          <w:szCs w:val="22"/>
        </w:rPr>
        <w:t xml:space="preserve"> </w:t>
      </w:r>
      <w:r w:rsidR="00972539" w:rsidRPr="009E35ED">
        <w:rPr>
          <w:rFonts w:ascii="Arial" w:hAnsi="Arial" w:cs="Arial"/>
          <w:color w:val="000000" w:themeColor="text1"/>
          <w:sz w:val="22"/>
          <w:szCs w:val="22"/>
        </w:rPr>
        <w:t xml:space="preserve">covers the area of Luzon, </w:t>
      </w:r>
      <w:proofErr w:type="spellStart"/>
      <w:r w:rsidR="00972539" w:rsidRPr="009E35ED">
        <w:rPr>
          <w:rFonts w:ascii="Arial" w:hAnsi="Arial" w:cs="Arial"/>
          <w:color w:val="000000" w:themeColor="text1"/>
          <w:sz w:val="22"/>
          <w:szCs w:val="22"/>
        </w:rPr>
        <w:t>Visayas</w:t>
      </w:r>
      <w:proofErr w:type="spellEnd"/>
      <w:r w:rsidR="00972539" w:rsidRPr="009E35ED">
        <w:rPr>
          <w:rFonts w:ascii="Arial" w:hAnsi="Arial" w:cs="Arial"/>
          <w:color w:val="000000" w:themeColor="text1"/>
          <w:sz w:val="22"/>
          <w:szCs w:val="22"/>
        </w:rPr>
        <w:t xml:space="preserve"> and Mindanao. Each game has scheduled</w:t>
      </w:r>
      <w:r w:rsidRPr="009E35ED">
        <w:rPr>
          <w:rFonts w:ascii="Arial" w:hAnsi="Arial" w:cs="Arial"/>
          <w:color w:val="000000" w:themeColor="text1"/>
          <w:sz w:val="22"/>
          <w:szCs w:val="22"/>
        </w:rPr>
        <w:t xml:space="preserve"> </w:t>
      </w:r>
      <w:r w:rsidR="00972539" w:rsidRPr="009E35ED">
        <w:rPr>
          <w:rFonts w:ascii="Arial" w:hAnsi="Arial" w:cs="Arial"/>
          <w:color w:val="000000" w:themeColor="text1"/>
          <w:sz w:val="22"/>
          <w:szCs w:val="22"/>
        </w:rPr>
        <w:t xml:space="preserve">draw dates and being drawn at PCSO Main Office Draw Court in </w:t>
      </w:r>
      <w:proofErr w:type="spellStart"/>
      <w:r w:rsidR="00972539" w:rsidRPr="009E35ED">
        <w:rPr>
          <w:rFonts w:ascii="Arial" w:hAnsi="Arial" w:cs="Arial"/>
          <w:color w:val="000000" w:themeColor="text1"/>
          <w:sz w:val="22"/>
          <w:szCs w:val="22"/>
        </w:rPr>
        <w:t>Mandaluyong</w:t>
      </w:r>
      <w:proofErr w:type="spellEnd"/>
      <w:r w:rsidR="00972539" w:rsidRPr="009E35ED">
        <w:rPr>
          <w:rFonts w:ascii="Arial" w:hAnsi="Arial" w:cs="Arial"/>
          <w:color w:val="000000" w:themeColor="text1"/>
          <w:sz w:val="22"/>
          <w:szCs w:val="22"/>
        </w:rPr>
        <w:t xml:space="preserve"> City.</w:t>
      </w:r>
      <w:r w:rsidR="00CD3C8D" w:rsidRPr="009E35ED">
        <w:rPr>
          <w:rFonts w:ascii="Arial" w:hAnsi="Arial" w:cs="Arial"/>
          <w:color w:val="000000" w:themeColor="text1"/>
          <w:sz w:val="22"/>
          <w:szCs w:val="22"/>
        </w:rPr>
        <w:t xml:space="preserve"> As of Decemb</w:t>
      </w:r>
      <w:r w:rsidR="004B33B8" w:rsidRPr="009E35ED">
        <w:rPr>
          <w:rFonts w:ascii="Arial" w:hAnsi="Arial" w:cs="Arial"/>
          <w:color w:val="000000" w:themeColor="text1"/>
          <w:sz w:val="22"/>
          <w:szCs w:val="22"/>
        </w:rPr>
        <w:t>er 31, 202</w:t>
      </w:r>
      <w:r w:rsidR="008D0A41" w:rsidRPr="009E35ED">
        <w:rPr>
          <w:rFonts w:ascii="Arial" w:hAnsi="Arial" w:cs="Arial"/>
          <w:color w:val="000000" w:themeColor="text1"/>
          <w:sz w:val="22"/>
          <w:szCs w:val="22"/>
        </w:rPr>
        <w:t>3</w:t>
      </w:r>
      <w:r w:rsidR="00CD3C8D" w:rsidRPr="009E35ED">
        <w:rPr>
          <w:rFonts w:ascii="Arial" w:hAnsi="Arial" w:cs="Arial"/>
          <w:color w:val="000000" w:themeColor="text1"/>
          <w:sz w:val="22"/>
          <w:szCs w:val="22"/>
        </w:rPr>
        <w:t xml:space="preserve">, there are </w:t>
      </w:r>
      <w:r w:rsidR="008D0A41" w:rsidRPr="009E35ED">
        <w:rPr>
          <w:rFonts w:ascii="Arial" w:hAnsi="Arial" w:cs="Arial"/>
          <w:color w:val="000000" w:themeColor="text1"/>
          <w:sz w:val="22"/>
          <w:szCs w:val="22"/>
        </w:rPr>
        <w:t>6</w:t>
      </w:r>
      <w:r w:rsidR="000C2CAC" w:rsidRPr="009E35ED">
        <w:rPr>
          <w:rFonts w:ascii="Arial" w:hAnsi="Arial" w:cs="Arial"/>
          <w:color w:val="000000" w:themeColor="text1"/>
          <w:sz w:val="22"/>
          <w:szCs w:val="22"/>
        </w:rPr>
        <w:t>,</w:t>
      </w:r>
      <w:r w:rsidR="008D0A41" w:rsidRPr="009E35ED">
        <w:rPr>
          <w:rFonts w:ascii="Arial" w:hAnsi="Arial" w:cs="Arial"/>
          <w:color w:val="000000" w:themeColor="text1"/>
          <w:sz w:val="22"/>
          <w:szCs w:val="22"/>
        </w:rPr>
        <w:t>416</w:t>
      </w:r>
      <w:r w:rsidR="00CD3C8D" w:rsidRPr="009E35ED">
        <w:rPr>
          <w:rFonts w:ascii="Arial" w:hAnsi="Arial" w:cs="Arial"/>
          <w:color w:val="000000" w:themeColor="text1"/>
          <w:sz w:val="22"/>
          <w:szCs w:val="22"/>
        </w:rPr>
        <w:t xml:space="preserve"> active lotto agents nationwide.</w:t>
      </w:r>
      <w:r w:rsidR="00972539" w:rsidRPr="009E35ED">
        <w:rPr>
          <w:rFonts w:ascii="Arial" w:hAnsi="Arial" w:cs="Arial"/>
          <w:color w:val="000000" w:themeColor="text1"/>
          <w:sz w:val="22"/>
          <w:szCs w:val="22"/>
        </w:rPr>
        <w:t xml:space="preserve"> </w:t>
      </w:r>
      <w:r w:rsidR="0085009E" w:rsidRPr="009E35ED">
        <w:rPr>
          <w:rFonts w:ascii="Arial" w:hAnsi="Arial" w:cs="Arial"/>
          <w:color w:val="000000" w:themeColor="text1"/>
          <w:sz w:val="22"/>
          <w:szCs w:val="22"/>
        </w:rPr>
        <w:t>The Minimum Jackpot Prize (net of 1% Agent’s Share) were implemented effective October 15, 2017 as per Memorandum Order No. 2017-192. (See table below)</w:t>
      </w:r>
    </w:p>
    <w:p w14:paraId="70BE61B8" w14:textId="77777777" w:rsidR="00076210" w:rsidRPr="009E35ED" w:rsidRDefault="00076210" w:rsidP="00803F8C">
      <w:pPr>
        <w:ind w:left="0"/>
        <w:rPr>
          <w:rFonts w:ascii="Arial" w:hAnsi="Arial" w:cs="Arial"/>
          <w:color w:val="000000" w:themeColor="text1"/>
          <w:sz w:val="22"/>
          <w:szCs w:val="22"/>
        </w:rPr>
      </w:pPr>
    </w:p>
    <w:tbl>
      <w:tblPr>
        <w:tblStyle w:val="TableGrid"/>
        <w:tblW w:w="8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156"/>
        <w:gridCol w:w="2785"/>
        <w:gridCol w:w="1814"/>
        <w:gridCol w:w="1889"/>
      </w:tblGrid>
      <w:tr w:rsidR="00997F75" w:rsidRPr="009E35ED" w14:paraId="2034C25C" w14:textId="77777777" w:rsidTr="00DE5E7B">
        <w:trPr>
          <w:trHeight w:val="274"/>
          <w:tblHeader/>
        </w:trPr>
        <w:tc>
          <w:tcPr>
            <w:tcW w:w="2156" w:type="dxa"/>
            <w:tcBorders>
              <w:top w:val="single" w:sz="4" w:space="0" w:color="auto"/>
              <w:bottom w:val="single" w:sz="4" w:space="0" w:color="auto"/>
            </w:tcBorders>
            <w:vAlign w:val="bottom"/>
          </w:tcPr>
          <w:p w14:paraId="52B7CEC5" w14:textId="77777777" w:rsidR="009B263B" w:rsidRPr="009E35ED" w:rsidRDefault="009B263B" w:rsidP="00C83760">
            <w:pPr>
              <w:suppressAutoHyphens/>
              <w:ind w:left="-108"/>
              <w:jc w:val="left"/>
              <w:rPr>
                <w:rFonts w:ascii="Arial" w:hAnsi="Arial" w:cs="Arial"/>
                <w:b/>
                <w:color w:val="000000" w:themeColor="text1"/>
                <w:sz w:val="18"/>
                <w:szCs w:val="18"/>
                <w:lang w:eastAsia="ar-SA"/>
              </w:rPr>
            </w:pPr>
          </w:p>
          <w:p w14:paraId="1F0C79E6" w14:textId="7F42956B" w:rsidR="00631F3F" w:rsidRPr="009E35ED" w:rsidRDefault="00631F3F" w:rsidP="00C83760">
            <w:pPr>
              <w:suppressAutoHyphens/>
              <w:ind w:left="-108"/>
              <w:jc w:val="left"/>
              <w:rPr>
                <w:rFonts w:ascii="Arial" w:hAnsi="Arial" w:cs="Arial"/>
                <w:b/>
                <w:color w:val="000000" w:themeColor="text1"/>
                <w:sz w:val="18"/>
                <w:szCs w:val="18"/>
                <w:lang w:eastAsia="ar-SA"/>
              </w:rPr>
            </w:pPr>
            <w:r w:rsidRPr="009E35ED">
              <w:rPr>
                <w:rFonts w:ascii="Arial" w:hAnsi="Arial" w:cs="Arial"/>
                <w:b/>
                <w:color w:val="000000" w:themeColor="text1"/>
                <w:sz w:val="18"/>
                <w:szCs w:val="18"/>
                <w:lang w:eastAsia="ar-SA"/>
              </w:rPr>
              <w:t>Type of Game</w:t>
            </w:r>
          </w:p>
        </w:tc>
        <w:tc>
          <w:tcPr>
            <w:tcW w:w="2785" w:type="dxa"/>
            <w:tcBorders>
              <w:top w:val="single" w:sz="4" w:space="0" w:color="auto"/>
              <w:bottom w:val="single" w:sz="4" w:space="0" w:color="auto"/>
            </w:tcBorders>
            <w:vAlign w:val="bottom"/>
          </w:tcPr>
          <w:p w14:paraId="3CAD2C52" w14:textId="77777777" w:rsidR="009B263B" w:rsidRPr="009E35ED" w:rsidRDefault="009B263B" w:rsidP="00803F8C">
            <w:pPr>
              <w:suppressAutoHyphens/>
              <w:jc w:val="center"/>
              <w:rPr>
                <w:rFonts w:ascii="Arial" w:hAnsi="Arial" w:cs="Arial"/>
                <w:b/>
                <w:color w:val="000000" w:themeColor="text1"/>
                <w:sz w:val="18"/>
                <w:szCs w:val="18"/>
                <w:lang w:eastAsia="ar-SA"/>
              </w:rPr>
            </w:pPr>
          </w:p>
          <w:p w14:paraId="5A8A0F5E" w14:textId="77777777" w:rsidR="00631F3F" w:rsidRPr="009E35ED" w:rsidRDefault="00631F3F" w:rsidP="00803F8C">
            <w:pPr>
              <w:suppressAutoHyphens/>
              <w:jc w:val="center"/>
              <w:rPr>
                <w:rFonts w:ascii="Arial" w:hAnsi="Arial" w:cs="Arial"/>
                <w:b/>
                <w:color w:val="000000" w:themeColor="text1"/>
                <w:sz w:val="18"/>
                <w:szCs w:val="18"/>
                <w:lang w:eastAsia="ar-SA"/>
              </w:rPr>
            </w:pPr>
            <w:r w:rsidRPr="009E35ED">
              <w:rPr>
                <w:rFonts w:ascii="Arial" w:hAnsi="Arial" w:cs="Arial"/>
                <w:b/>
                <w:color w:val="000000" w:themeColor="text1"/>
                <w:sz w:val="18"/>
                <w:szCs w:val="18"/>
                <w:lang w:eastAsia="ar-SA"/>
              </w:rPr>
              <w:t>Days</w:t>
            </w:r>
          </w:p>
        </w:tc>
        <w:tc>
          <w:tcPr>
            <w:tcW w:w="1814" w:type="dxa"/>
            <w:tcBorders>
              <w:top w:val="single" w:sz="4" w:space="0" w:color="auto"/>
              <w:bottom w:val="single" w:sz="4" w:space="0" w:color="auto"/>
            </w:tcBorders>
            <w:vAlign w:val="bottom"/>
          </w:tcPr>
          <w:p w14:paraId="7D7C7138" w14:textId="77777777" w:rsidR="00631F3F" w:rsidRPr="009E35ED" w:rsidRDefault="00631F3F" w:rsidP="00A36EF9">
            <w:pPr>
              <w:suppressAutoHyphens/>
              <w:ind w:left="-86"/>
              <w:jc w:val="right"/>
              <w:rPr>
                <w:rFonts w:ascii="Arial" w:hAnsi="Arial" w:cs="Arial"/>
                <w:b/>
                <w:color w:val="000000" w:themeColor="text1"/>
                <w:sz w:val="18"/>
                <w:szCs w:val="18"/>
                <w:lang w:eastAsia="ar-SA"/>
              </w:rPr>
            </w:pPr>
            <w:r w:rsidRPr="009E35ED">
              <w:rPr>
                <w:rFonts w:ascii="Arial" w:hAnsi="Arial" w:cs="Arial"/>
                <w:b/>
                <w:color w:val="000000" w:themeColor="text1"/>
                <w:sz w:val="18"/>
                <w:szCs w:val="18"/>
                <w:lang w:eastAsia="ar-SA"/>
              </w:rPr>
              <w:t>Minimum Jackpot</w:t>
            </w:r>
          </w:p>
          <w:p w14:paraId="2A107D03" w14:textId="62F2021F" w:rsidR="00631F3F" w:rsidRPr="009E35ED" w:rsidRDefault="00631F3F" w:rsidP="00A36EF9">
            <w:pPr>
              <w:suppressAutoHyphens/>
              <w:ind w:left="-86"/>
              <w:jc w:val="right"/>
              <w:rPr>
                <w:rFonts w:ascii="Arial" w:hAnsi="Arial" w:cs="Arial"/>
                <w:b/>
                <w:color w:val="000000" w:themeColor="text1"/>
                <w:sz w:val="18"/>
                <w:szCs w:val="18"/>
                <w:lang w:eastAsia="ar-SA"/>
              </w:rPr>
            </w:pPr>
            <w:r w:rsidRPr="009E35ED">
              <w:rPr>
                <w:rFonts w:ascii="Arial" w:hAnsi="Arial" w:cs="Arial"/>
                <w:b/>
                <w:color w:val="000000" w:themeColor="text1"/>
                <w:sz w:val="18"/>
                <w:szCs w:val="18"/>
                <w:lang w:eastAsia="ar-SA"/>
              </w:rPr>
              <w:t>Prize</w:t>
            </w:r>
          </w:p>
        </w:tc>
        <w:tc>
          <w:tcPr>
            <w:tcW w:w="1889" w:type="dxa"/>
            <w:tcBorders>
              <w:top w:val="single" w:sz="4" w:space="0" w:color="auto"/>
              <w:bottom w:val="single" w:sz="4" w:space="0" w:color="auto"/>
            </w:tcBorders>
            <w:vAlign w:val="bottom"/>
          </w:tcPr>
          <w:p w14:paraId="5598A5BE" w14:textId="77777777" w:rsidR="00631F3F" w:rsidRPr="009E35ED" w:rsidRDefault="00631F3F" w:rsidP="00C83760">
            <w:pPr>
              <w:suppressAutoHyphens/>
              <w:ind w:left="-86" w:right="-105"/>
              <w:jc w:val="right"/>
              <w:rPr>
                <w:rFonts w:ascii="Arial" w:hAnsi="Arial" w:cs="Arial"/>
                <w:b/>
                <w:color w:val="000000" w:themeColor="text1"/>
                <w:sz w:val="18"/>
                <w:szCs w:val="18"/>
                <w:lang w:eastAsia="ar-SA"/>
              </w:rPr>
            </w:pPr>
            <w:r w:rsidRPr="009E35ED">
              <w:rPr>
                <w:rFonts w:ascii="Arial" w:hAnsi="Arial" w:cs="Arial"/>
                <w:b/>
                <w:color w:val="000000" w:themeColor="text1"/>
                <w:sz w:val="18"/>
                <w:szCs w:val="18"/>
                <w:lang w:eastAsia="ar-SA"/>
              </w:rPr>
              <w:t>Minimum Jackpot</w:t>
            </w:r>
          </w:p>
          <w:p w14:paraId="5C1B5911" w14:textId="6595DFD2" w:rsidR="00631F3F" w:rsidRPr="009E35ED" w:rsidRDefault="00631F3F" w:rsidP="00C83760">
            <w:pPr>
              <w:suppressAutoHyphens/>
              <w:ind w:left="-86" w:right="-105"/>
              <w:jc w:val="right"/>
              <w:rPr>
                <w:rFonts w:ascii="Arial" w:hAnsi="Arial" w:cs="Arial"/>
                <w:b/>
                <w:color w:val="000000" w:themeColor="text1"/>
                <w:sz w:val="18"/>
                <w:szCs w:val="18"/>
                <w:lang w:eastAsia="ar-SA"/>
              </w:rPr>
            </w:pPr>
            <w:r w:rsidRPr="009E35ED">
              <w:rPr>
                <w:rFonts w:ascii="Arial" w:hAnsi="Arial" w:cs="Arial"/>
                <w:b/>
                <w:color w:val="000000" w:themeColor="text1"/>
                <w:sz w:val="18"/>
                <w:szCs w:val="18"/>
                <w:lang w:eastAsia="ar-SA"/>
              </w:rPr>
              <w:t>Prize</w:t>
            </w:r>
            <w:r w:rsidR="002C6795" w:rsidRPr="009E35ED">
              <w:rPr>
                <w:rFonts w:ascii="Arial" w:hAnsi="Arial" w:cs="Arial"/>
                <w:b/>
                <w:color w:val="000000" w:themeColor="text1"/>
                <w:sz w:val="18"/>
                <w:szCs w:val="18"/>
                <w:lang w:eastAsia="ar-SA"/>
              </w:rPr>
              <w:t>, net of 1% Agent’s Share</w:t>
            </w:r>
          </w:p>
        </w:tc>
      </w:tr>
      <w:tr w:rsidR="00997F75" w:rsidRPr="009E35ED" w14:paraId="3F61A48A" w14:textId="77777777" w:rsidTr="00DE5E7B">
        <w:trPr>
          <w:trHeight w:val="274"/>
          <w:tblHeader/>
        </w:trPr>
        <w:tc>
          <w:tcPr>
            <w:tcW w:w="2156" w:type="dxa"/>
            <w:tcBorders>
              <w:top w:val="single" w:sz="4" w:space="0" w:color="auto"/>
              <w:bottom w:val="single" w:sz="4" w:space="0" w:color="auto"/>
            </w:tcBorders>
          </w:tcPr>
          <w:p w14:paraId="23110D74" w14:textId="77777777" w:rsidR="00631F3F" w:rsidRPr="009E35ED" w:rsidRDefault="00631F3F" w:rsidP="00C83760">
            <w:pPr>
              <w:suppressAutoHyphens/>
              <w:ind w:left="-108"/>
              <w:jc w:val="left"/>
              <w:rPr>
                <w:rFonts w:ascii="Arial" w:hAnsi="Arial" w:cs="Arial"/>
                <w:bCs/>
                <w:color w:val="000000" w:themeColor="text1"/>
                <w:sz w:val="18"/>
                <w:szCs w:val="18"/>
                <w:lang w:eastAsia="ar-SA"/>
              </w:rPr>
            </w:pPr>
            <w:r w:rsidRPr="009E35ED">
              <w:rPr>
                <w:rFonts w:ascii="Arial" w:hAnsi="Arial" w:cs="Arial"/>
                <w:bCs/>
                <w:color w:val="000000" w:themeColor="text1"/>
                <w:sz w:val="18"/>
                <w:szCs w:val="18"/>
                <w:lang w:eastAsia="ar-SA"/>
              </w:rPr>
              <w:t>Lotto 6/42</w:t>
            </w:r>
          </w:p>
        </w:tc>
        <w:tc>
          <w:tcPr>
            <w:tcW w:w="2785" w:type="dxa"/>
            <w:tcBorders>
              <w:top w:val="single" w:sz="4" w:space="0" w:color="auto"/>
              <w:bottom w:val="single" w:sz="4" w:space="0" w:color="auto"/>
            </w:tcBorders>
          </w:tcPr>
          <w:p w14:paraId="603DE04C" w14:textId="77777777" w:rsidR="00631F3F" w:rsidRPr="009E35ED" w:rsidRDefault="00631F3F" w:rsidP="00803F8C">
            <w:pPr>
              <w:suppressAutoHyphens/>
              <w:ind w:left="-104"/>
              <w:rPr>
                <w:rFonts w:ascii="Arial" w:hAnsi="Arial" w:cs="Arial"/>
                <w:b/>
                <w:color w:val="000000" w:themeColor="text1"/>
                <w:sz w:val="18"/>
                <w:szCs w:val="18"/>
                <w:lang w:eastAsia="ar-SA"/>
              </w:rPr>
            </w:pPr>
            <w:r w:rsidRPr="009E35ED">
              <w:rPr>
                <w:rFonts w:ascii="Arial" w:hAnsi="Arial" w:cs="Arial"/>
                <w:color w:val="000000" w:themeColor="text1"/>
                <w:sz w:val="18"/>
                <w:szCs w:val="18"/>
                <w:lang w:eastAsia="ar-SA"/>
              </w:rPr>
              <w:t>Tuesday/Thursday/Saturday</w:t>
            </w:r>
          </w:p>
        </w:tc>
        <w:tc>
          <w:tcPr>
            <w:tcW w:w="1814" w:type="dxa"/>
            <w:tcBorders>
              <w:top w:val="single" w:sz="4" w:space="0" w:color="auto"/>
              <w:bottom w:val="single" w:sz="4" w:space="0" w:color="auto"/>
            </w:tcBorders>
          </w:tcPr>
          <w:p w14:paraId="40D2B68D" w14:textId="77777777" w:rsidR="00631F3F" w:rsidRPr="009E35ED" w:rsidRDefault="00631F3F" w:rsidP="00803F8C">
            <w:pPr>
              <w:suppressAutoHyphens/>
              <w:ind w:left="-86"/>
              <w:jc w:val="right"/>
              <w:rPr>
                <w:rFonts w:ascii="Arial" w:hAnsi="Arial" w:cs="Arial"/>
                <w:b/>
                <w:color w:val="000000" w:themeColor="text1"/>
                <w:sz w:val="18"/>
                <w:szCs w:val="18"/>
                <w:lang w:eastAsia="ar-SA"/>
              </w:rPr>
            </w:pPr>
            <w:r w:rsidRPr="009E35ED">
              <w:rPr>
                <w:rFonts w:ascii="Arial" w:hAnsi="Arial" w:cs="Arial"/>
                <w:color w:val="000000" w:themeColor="text1"/>
                <w:sz w:val="18"/>
                <w:szCs w:val="18"/>
                <w:lang w:eastAsia="ar-SA"/>
              </w:rPr>
              <w:t>P</w:t>
            </w:r>
            <w:r w:rsidR="00CD6C66" w:rsidRPr="009E35ED">
              <w:rPr>
                <w:rFonts w:ascii="Arial" w:hAnsi="Arial" w:cs="Arial"/>
                <w:color w:val="000000" w:themeColor="text1"/>
                <w:sz w:val="18"/>
                <w:szCs w:val="18"/>
                <w:lang w:eastAsia="ar-SA"/>
              </w:rPr>
              <w:t xml:space="preserve">  </w:t>
            </w:r>
            <w:r w:rsidRPr="009E35ED">
              <w:rPr>
                <w:rFonts w:ascii="Arial" w:hAnsi="Arial" w:cs="Arial"/>
                <w:color w:val="000000" w:themeColor="text1"/>
                <w:sz w:val="18"/>
                <w:szCs w:val="18"/>
                <w:lang w:eastAsia="ar-SA"/>
              </w:rPr>
              <w:t xml:space="preserve"> 6 </w:t>
            </w:r>
            <w:r w:rsidR="00CD6C66" w:rsidRPr="009E35ED">
              <w:rPr>
                <w:rFonts w:ascii="Arial" w:hAnsi="Arial" w:cs="Arial"/>
                <w:color w:val="000000" w:themeColor="text1"/>
                <w:sz w:val="18"/>
                <w:szCs w:val="18"/>
                <w:lang w:eastAsia="ar-SA"/>
              </w:rPr>
              <w:t>m</w:t>
            </w:r>
            <w:r w:rsidRPr="009E35ED">
              <w:rPr>
                <w:rFonts w:ascii="Arial" w:hAnsi="Arial" w:cs="Arial"/>
                <w:color w:val="000000" w:themeColor="text1"/>
                <w:sz w:val="18"/>
                <w:szCs w:val="18"/>
                <w:lang w:eastAsia="ar-SA"/>
              </w:rPr>
              <w:t>illion</w:t>
            </w:r>
          </w:p>
        </w:tc>
        <w:tc>
          <w:tcPr>
            <w:tcW w:w="1889" w:type="dxa"/>
            <w:tcBorders>
              <w:top w:val="single" w:sz="4" w:space="0" w:color="auto"/>
              <w:bottom w:val="single" w:sz="4" w:space="0" w:color="auto"/>
            </w:tcBorders>
          </w:tcPr>
          <w:p w14:paraId="6EB20B1F" w14:textId="77777777" w:rsidR="00631F3F" w:rsidRPr="009E35ED" w:rsidRDefault="00631F3F" w:rsidP="00C83760">
            <w:pPr>
              <w:suppressAutoHyphens/>
              <w:ind w:left="-86" w:right="-105"/>
              <w:jc w:val="right"/>
              <w:rPr>
                <w:rFonts w:ascii="Arial" w:hAnsi="Arial" w:cs="Arial"/>
                <w:b/>
                <w:color w:val="000000" w:themeColor="text1"/>
                <w:sz w:val="18"/>
                <w:szCs w:val="18"/>
                <w:lang w:eastAsia="ar-SA"/>
              </w:rPr>
            </w:pPr>
            <w:r w:rsidRPr="009E35ED">
              <w:rPr>
                <w:rFonts w:ascii="Arial" w:hAnsi="Arial" w:cs="Arial"/>
                <w:color w:val="000000" w:themeColor="text1"/>
                <w:sz w:val="18"/>
                <w:szCs w:val="18"/>
                <w:lang w:eastAsia="ar-SA"/>
              </w:rPr>
              <w:t xml:space="preserve">P </w:t>
            </w:r>
            <w:r w:rsidR="00CD6C66" w:rsidRPr="009E35ED">
              <w:rPr>
                <w:rFonts w:ascii="Arial" w:hAnsi="Arial" w:cs="Arial"/>
                <w:color w:val="000000" w:themeColor="text1"/>
                <w:sz w:val="18"/>
                <w:szCs w:val="18"/>
                <w:lang w:eastAsia="ar-SA"/>
              </w:rPr>
              <w:t xml:space="preserve">  </w:t>
            </w:r>
            <w:r w:rsidRPr="009E35ED">
              <w:rPr>
                <w:rFonts w:ascii="Arial" w:hAnsi="Arial" w:cs="Arial"/>
                <w:color w:val="000000" w:themeColor="text1"/>
                <w:sz w:val="18"/>
                <w:szCs w:val="18"/>
                <w:lang w:eastAsia="ar-SA"/>
              </w:rPr>
              <w:t xml:space="preserve">5.94 </w:t>
            </w:r>
            <w:r w:rsidR="00CD6C66" w:rsidRPr="009E35ED">
              <w:rPr>
                <w:rFonts w:ascii="Arial" w:hAnsi="Arial" w:cs="Arial"/>
                <w:color w:val="000000" w:themeColor="text1"/>
                <w:sz w:val="18"/>
                <w:szCs w:val="18"/>
                <w:lang w:eastAsia="ar-SA"/>
              </w:rPr>
              <w:t>m</w:t>
            </w:r>
            <w:r w:rsidRPr="009E35ED">
              <w:rPr>
                <w:rFonts w:ascii="Arial" w:hAnsi="Arial" w:cs="Arial"/>
                <w:color w:val="000000" w:themeColor="text1"/>
                <w:sz w:val="18"/>
                <w:szCs w:val="18"/>
                <w:lang w:eastAsia="ar-SA"/>
              </w:rPr>
              <w:t>illion</w:t>
            </w:r>
          </w:p>
        </w:tc>
      </w:tr>
      <w:tr w:rsidR="00997F75" w:rsidRPr="009E35ED" w14:paraId="07D0DE15" w14:textId="77777777" w:rsidTr="00DE5E7B">
        <w:trPr>
          <w:trHeight w:val="274"/>
          <w:tblHeader/>
        </w:trPr>
        <w:tc>
          <w:tcPr>
            <w:tcW w:w="2156" w:type="dxa"/>
            <w:tcBorders>
              <w:top w:val="single" w:sz="4" w:space="0" w:color="auto"/>
              <w:bottom w:val="single" w:sz="4" w:space="0" w:color="auto"/>
            </w:tcBorders>
          </w:tcPr>
          <w:p w14:paraId="1FF21AC6" w14:textId="77777777" w:rsidR="00631F3F" w:rsidRPr="009E35ED" w:rsidRDefault="00631F3F" w:rsidP="00C83760">
            <w:pPr>
              <w:suppressAutoHyphens/>
              <w:ind w:left="-108"/>
              <w:jc w:val="left"/>
              <w:rPr>
                <w:rFonts w:ascii="Arial" w:hAnsi="Arial" w:cs="Arial"/>
                <w:bCs/>
                <w:color w:val="000000" w:themeColor="text1"/>
                <w:sz w:val="18"/>
                <w:szCs w:val="18"/>
                <w:lang w:eastAsia="ar-SA"/>
              </w:rPr>
            </w:pPr>
            <w:r w:rsidRPr="009E35ED">
              <w:rPr>
                <w:rFonts w:ascii="Arial" w:hAnsi="Arial" w:cs="Arial"/>
                <w:bCs/>
                <w:color w:val="000000" w:themeColor="text1"/>
                <w:sz w:val="18"/>
                <w:szCs w:val="18"/>
                <w:lang w:eastAsia="ar-SA"/>
              </w:rPr>
              <w:t>Mega Lotto 6/45</w:t>
            </w:r>
          </w:p>
        </w:tc>
        <w:tc>
          <w:tcPr>
            <w:tcW w:w="2785" w:type="dxa"/>
            <w:tcBorders>
              <w:top w:val="single" w:sz="4" w:space="0" w:color="auto"/>
              <w:bottom w:val="single" w:sz="4" w:space="0" w:color="auto"/>
            </w:tcBorders>
          </w:tcPr>
          <w:p w14:paraId="25F9F333" w14:textId="77777777" w:rsidR="00631F3F" w:rsidRPr="009E35ED" w:rsidRDefault="00631F3F" w:rsidP="00803F8C">
            <w:pPr>
              <w:suppressAutoHyphens/>
              <w:ind w:left="-104"/>
              <w:rPr>
                <w:rFonts w:ascii="Arial" w:hAnsi="Arial" w:cs="Arial"/>
                <w:b/>
                <w:color w:val="000000" w:themeColor="text1"/>
                <w:sz w:val="18"/>
                <w:szCs w:val="18"/>
                <w:lang w:eastAsia="ar-SA"/>
              </w:rPr>
            </w:pPr>
            <w:r w:rsidRPr="009E35ED">
              <w:rPr>
                <w:rFonts w:ascii="Arial" w:hAnsi="Arial" w:cs="Arial"/>
                <w:color w:val="000000" w:themeColor="text1"/>
                <w:sz w:val="18"/>
                <w:szCs w:val="18"/>
                <w:lang w:eastAsia="ar-SA"/>
              </w:rPr>
              <w:t>Monday/Wednesday/Friday</w:t>
            </w:r>
          </w:p>
        </w:tc>
        <w:tc>
          <w:tcPr>
            <w:tcW w:w="1814" w:type="dxa"/>
            <w:tcBorders>
              <w:top w:val="single" w:sz="4" w:space="0" w:color="auto"/>
              <w:bottom w:val="single" w:sz="4" w:space="0" w:color="auto"/>
            </w:tcBorders>
          </w:tcPr>
          <w:p w14:paraId="00F3BA22" w14:textId="77777777" w:rsidR="00631F3F" w:rsidRPr="009E35ED" w:rsidRDefault="00631F3F" w:rsidP="00803F8C">
            <w:pPr>
              <w:suppressAutoHyphens/>
              <w:ind w:left="-86"/>
              <w:jc w:val="right"/>
              <w:rPr>
                <w:rFonts w:ascii="Arial" w:hAnsi="Arial" w:cs="Arial"/>
                <w:b/>
                <w:color w:val="000000" w:themeColor="text1"/>
                <w:sz w:val="18"/>
                <w:szCs w:val="18"/>
                <w:lang w:eastAsia="ar-SA"/>
              </w:rPr>
            </w:pPr>
            <w:r w:rsidRPr="009E35ED">
              <w:rPr>
                <w:rFonts w:ascii="Arial" w:hAnsi="Arial" w:cs="Arial"/>
                <w:color w:val="000000" w:themeColor="text1"/>
                <w:sz w:val="18"/>
                <w:szCs w:val="18"/>
                <w:lang w:eastAsia="ar-SA"/>
              </w:rPr>
              <w:t>P</w:t>
            </w:r>
            <w:r w:rsidR="00CD6C66" w:rsidRPr="009E35ED">
              <w:rPr>
                <w:rFonts w:ascii="Arial" w:hAnsi="Arial" w:cs="Arial"/>
                <w:color w:val="000000" w:themeColor="text1"/>
                <w:sz w:val="18"/>
                <w:szCs w:val="18"/>
                <w:lang w:eastAsia="ar-SA"/>
              </w:rPr>
              <w:t xml:space="preserve">  </w:t>
            </w:r>
            <w:r w:rsidRPr="009E35ED">
              <w:rPr>
                <w:rFonts w:ascii="Arial" w:hAnsi="Arial" w:cs="Arial"/>
                <w:color w:val="000000" w:themeColor="text1"/>
                <w:sz w:val="18"/>
                <w:szCs w:val="18"/>
                <w:lang w:eastAsia="ar-SA"/>
              </w:rPr>
              <w:t xml:space="preserve"> 9 </w:t>
            </w:r>
            <w:r w:rsidR="00CD6C66" w:rsidRPr="009E35ED">
              <w:rPr>
                <w:rFonts w:ascii="Arial" w:hAnsi="Arial" w:cs="Arial"/>
                <w:color w:val="000000" w:themeColor="text1"/>
                <w:sz w:val="18"/>
                <w:szCs w:val="18"/>
                <w:lang w:eastAsia="ar-SA"/>
              </w:rPr>
              <w:t>m</w:t>
            </w:r>
            <w:r w:rsidRPr="009E35ED">
              <w:rPr>
                <w:rFonts w:ascii="Arial" w:hAnsi="Arial" w:cs="Arial"/>
                <w:color w:val="000000" w:themeColor="text1"/>
                <w:sz w:val="18"/>
                <w:szCs w:val="18"/>
                <w:lang w:eastAsia="ar-SA"/>
              </w:rPr>
              <w:t>illion</w:t>
            </w:r>
          </w:p>
        </w:tc>
        <w:tc>
          <w:tcPr>
            <w:tcW w:w="1889" w:type="dxa"/>
            <w:tcBorders>
              <w:top w:val="single" w:sz="4" w:space="0" w:color="auto"/>
              <w:bottom w:val="single" w:sz="4" w:space="0" w:color="auto"/>
            </w:tcBorders>
          </w:tcPr>
          <w:p w14:paraId="21384C39" w14:textId="77777777" w:rsidR="00631F3F" w:rsidRPr="009E35ED" w:rsidRDefault="00631F3F" w:rsidP="00C83760">
            <w:pPr>
              <w:suppressAutoHyphens/>
              <w:ind w:left="-86" w:right="-105"/>
              <w:jc w:val="right"/>
              <w:rPr>
                <w:rFonts w:ascii="Arial" w:hAnsi="Arial" w:cs="Arial"/>
                <w:b/>
                <w:color w:val="000000" w:themeColor="text1"/>
                <w:sz w:val="18"/>
                <w:szCs w:val="18"/>
                <w:lang w:eastAsia="ar-SA"/>
              </w:rPr>
            </w:pPr>
            <w:r w:rsidRPr="009E35ED">
              <w:rPr>
                <w:rFonts w:ascii="Arial" w:hAnsi="Arial" w:cs="Arial"/>
                <w:color w:val="000000" w:themeColor="text1"/>
                <w:sz w:val="18"/>
                <w:szCs w:val="18"/>
                <w:lang w:eastAsia="ar-SA"/>
              </w:rPr>
              <w:t xml:space="preserve">P </w:t>
            </w:r>
            <w:r w:rsidR="00CD6C66" w:rsidRPr="009E35ED">
              <w:rPr>
                <w:rFonts w:ascii="Arial" w:hAnsi="Arial" w:cs="Arial"/>
                <w:color w:val="000000" w:themeColor="text1"/>
                <w:sz w:val="18"/>
                <w:szCs w:val="18"/>
                <w:lang w:eastAsia="ar-SA"/>
              </w:rPr>
              <w:t xml:space="preserve">  </w:t>
            </w:r>
            <w:r w:rsidRPr="009E35ED">
              <w:rPr>
                <w:rFonts w:ascii="Arial" w:hAnsi="Arial" w:cs="Arial"/>
                <w:color w:val="000000" w:themeColor="text1"/>
                <w:sz w:val="18"/>
                <w:szCs w:val="18"/>
                <w:lang w:eastAsia="ar-SA"/>
              </w:rPr>
              <w:t xml:space="preserve">8.91 </w:t>
            </w:r>
            <w:r w:rsidR="00CD6C66" w:rsidRPr="009E35ED">
              <w:rPr>
                <w:rFonts w:ascii="Arial" w:hAnsi="Arial" w:cs="Arial"/>
                <w:color w:val="000000" w:themeColor="text1"/>
                <w:sz w:val="18"/>
                <w:szCs w:val="18"/>
                <w:lang w:eastAsia="ar-SA"/>
              </w:rPr>
              <w:t>m</w:t>
            </w:r>
            <w:r w:rsidRPr="009E35ED">
              <w:rPr>
                <w:rFonts w:ascii="Arial" w:hAnsi="Arial" w:cs="Arial"/>
                <w:color w:val="000000" w:themeColor="text1"/>
                <w:sz w:val="18"/>
                <w:szCs w:val="18"/>
                <w:lang w:eastAsia="ar-SA"/>
              </w:rPr>
              <w:t>illion</w:t>
            </w:r>
          </w:p>
        </w:tc>
      </w:tr>
      <w:tr w:rsidR="00997F75" w:rsidRPr="009E35ED" w14:paraId="0882CFC8" w14:textId="77777777" w:rsidTr="00DE5E7B">
        <w:trPr>
          <w:trHeight w:val="274"/>
          <w:tblHeader/>
        </w:trPr>
        <w:tc>
          <w:tcPr>
            <w:tcW w:w="2156" w:type="dxa"/>
            <w:tcBorders>
              <w:top w:val="single" w:sz="4" w:space="0" w:color="auto"/>
              <w:bottom w:val="single" w:sz="4" w:space="0" w:color="auto"/>
            </w:tcBorders>
          </w:tcPr>
          <w:p w14:paraId="72E49385" w14:textId="77777777" w:rsidR="00631F3F" w:rsidRPr="009E35ED" w:rsidRDefault="00631F3F" w:rsidP="00C83760">
            <w:pPr>
              <w:suppressAutoHyphens/>
              <w:ind w:left="-108"/>
              <w:jc w:val="left"/>
              <w:rPr>
                <w:rFonts w:ascii="Arial" w:hAnsi="Arial" w:cs="Arial"/>
                <w:bCs/>
                <w:color w:val="000000" w:themeColor="text1"/>
                <w:sz w:val="18"/>
                <w:szCs w:val="18"/>
                <w:lang w:eastAsia="ar-SA"/>
              </w:rPr>
            </w:pPr>
            <w:r w:rsidRPr="009E35ED">
              <w:rPr>
                <w:rFonts w:ascii="Arial" w:hAnsi="Arial" w:cs="Arial"/>
                <w:bCs/>
                <w:color w:val="000000" w:themeColor="text1"/>
                <w:sz w:val="18"/>
                <w:szCs w:val="18"/>
                <w:lang w:eastAsia="ar-SA"/>
              </w:rPr>
              <w:t>Super Lotto 6/49</w:t>
            </w:r>
          </w:p>
        </w:tc>
        <w:tc>
          <w:tcPr>
            <w:tcW w:w="2785" w:type="dxa"/>
            <w:tcBorders>
              <w:top w:val="single" w:sz="4" w:space="0" w:color="auto"/>
              <w:bottom w:val="single" w:sz="4" w:space="0" w:color="auto"/>
            </w:tcBorders>
          </w:tcPr>
          <w:p w14:paraId="45FC4D3D" w14:textId="77777777" w:rsidR="00631F3F" w:rsidRPr="009E35ED" w:rsidRDefault="00631F3F" w:rsidP="00803F8C">
            <w:pPr>
              <w:suppressAutoHyphens/>
              <w:ind w:left="-104"/>
              <w:rPr>
                <w:rFonts w:ascii="Arial" w:hAnsi="Arial" w:cs="Arial"/>
                <w:b/>
                <w:color w:val="000000" w:themeColor="text1"/>
                <w:sz w:val="18"/>
                <w:szCs w:val="18"/>
                <w:lang w:eastAsia="ar-SA"/>
              </w:rPr>
            </w:pPr>
            <w:r w:rsidRPr="009E35ED">
              <w:rPr>
                <w:rFonts w:ascii="Arial" w:hAnsi="Arial" w:cs="Arial"/>
                <w:color w:val="000000" w:themeColor="text1"/>
                <w:sz w:val="18"/>
                <w:szCs w:val="18"/>
                <w:lang w:eastAsia="ar-SA"/>
              </w:rPr>
              <w:t>Tuesday/Thursday/Sunday</w:t>
            </w:r>
          </w:p>
        </w:tc>
        <w:tc>
          <w:tcPr>
            <w:tcW w:w="1814" w:type="dxa"/>
            <w:tcBorders>
              <w:top w:val="single" w:sz="4" w:space="0" w:color="auto"/>
              <w:bottom w:val="single" w:sz="4" w:space="0" w:color="auto"/>
            </w:tcBorders>
          </w:tcPr>
          <w:p w14:paraId="7B2BFF63" w14:textId="77777777" w:rsidR="00631F3F" w:rsidRPr="009E35ED" w:rsidRDefault="00631F3F" w:rsidP="00803F8C">
            <w:pPr>
              <w:suppressAutoHyphens/>
              <w:ind w:left="-86"/>
              <w:jc w:val="right"/>
              <w:rPr>
                <w:rFonts w:ascii="Arial" w:hAnsi="Arial" w:cs="Arial"/>
                <w:b/>
                <w:color w:val="000000" w:themeColor="text1"/>
                <w:sz w:val="18"/>
                <w:szCs w:val="18"/>
                <w:lang w:eastAsia="ar-SA"/>
              </w:rPr>
            </w:pPr>
            <w:r w:rsidRPr="009E35ED">
              <w:rPr>
                <w:rFonts w:ascii="Arial" w:hAnsi="Arial" w:cs="Arial"/>
                <w:color w:val="000000" w:themeColor="text1"/>
                <w:sz w:val="18"/>
                <w:szCs w:val="18"/>
                <w:lang w:eastAsia="ar-SA"/>
              </w:rPr>
              <w:t>P</w:t>
            </w:r>
            <w:r w:rsidR="00CD6C66" w:rsidRPr="009E35ED">
              <w:rPr>
                <w:rFonts w:ascii="Arial" w:hAnsi="Arial" w:cs="Arial"/>
                <w:color w:val="000000" w:themeColor="text1"/>
                <w:sz w:val="18"/>
                <w:szCs w:val="18"/>
                <w:lang w:eastAsia="ar-SA"/>
              </w:rPr>
              <w:t xml:space="preserve"> </w:t>
            </w:r>
            <w:r w:rsidRPr="009E35ED">
              <w:rPr>
                <w:rFonts w:ascii="Arial" w:hAnsi="Arial" w:cs="Arial"/>
                <w:color w:val="000000" w:themeColor="text1"/>
                <w:sz w:val="18"/>
                <w:szCs w:val="18"/>
                <w:lang w:eastAsia="ar-SA"/>
              </w:rPr>
              <w:t xml:space="preserve">16 </w:t>
            </w:r>
            <w:r w:rsidR="00CD6C66" w:rsidRPr="009E35ED">
              <w:rPr>
                <w:rFonts w:ascii="Arial" w:hAnsi="Arial" w:cs="Arial"/>
                <w:color w:val="000000" w:themeColor="text1"/>
                <w:sz w:val="18"/>
                <w:szCs w:val="18"/>
                <w:lang w:eastAsia="ar-SA"/>
              </w:rPr>
              <w:t>m</w:t>
            </w:r>
            <w:r w:rsidRPr="009E35ED">
              <w:rPr>
                <w:rFonts w:ascii="Arial" w:hAnsi="Arial" w:cs="Arial"/>
                <w:color w:val="000000" w:themeColor="text1"/>
                <w:sz w:val="18"/>
                <w:szCs w:val="18"/>
                <w:lang w:eastAsia="ar-SA"/>
              </w:rPr>
              <w:t>illion</w:t>
            </w:r>
          </w:p>
        </w:tc>
        <w:tc>
          <w:tcPr>
            <w:tcW w:w="1889" w:type="dxa"/>
            <w:tcBorders>
              <w:top w:val="single" w:sz="4" w:space="0" w:color="auto"/>
              <w:bottom w:val="single" w:sz="4" w:space="0" w:color="auto"/>
            </w:tcBorders>
          </w:tcPr>
          <w:p w14:paraId="61F17E30" w14:textId="77777777" w:rsidR="00631F3F" w:rsidRPr="009E35ED" w:rsidRDefault="00631F3F" w:rsidP="00C83760">
            <w:pPr>
              <w:suppressAutoHyphens/>
              <w:ind w:left="-86" w:right="-105"/>
              <w:jc w:val="right"/>
              <w:rPr>
                <w:rFonts w:ascii="Arial" w:hAnsi="Arial" w:cs="Arial"/>
                <w:b/>
                <w:color w:val="000000" w:themeColor="text1"/>
                <w:sz w:val="18"/>
                <w:szCs w:val="18"/>
                <w:lang w:eastAsia="ar-SA"/>
              </w:rPr>
            </w:pPr>
            <w:r w:rsidRPr="009E35ED">
              <w:rPr>
                <w:rFonts w:ascii="Arial" w:hAnsi="Arial" w:cs="Arial"/>
                <w:color w:val="000000" w:themeColor="text1"/>
                <w:sz w:val="18"/>
                <w:szCs w:val="18"/>
                <w:lang w:eastAsia="ar-SA"/>
              </w:rPr>
              <w:t>P</w:t>
            </w:r>
            <w:r w:rsidR="00CD6C66" w:rsidRPr="009E35ED">
              <w:rPr>
                <w:rFonts w:ascii="Arial" w:hAnsi="Arial" w:cs="Arial"/>
                <w:color w:val="000000" w:themeColor="text1"/>
                <w:sz w:val="18"/>
                <w:szCs w:val="18"/>
                <w:lang w:eastAsia="ar-SA"/>
              </w:rPr>
              <w:t xml:space="preserve"> </w:t>
            </w:r>
            <w:r w:rsidRPr="009E35ED">
              <w:rPr>
                <w:rFonts w:ascii="Arial" w:hAnsi="Arial" w:cs="Arial"/>
                <w:color w:val="000000" w:themeColor="text1"/>
                <w:sz w:val="18"/>
                <w:szCs w:val="18"/>
                <w:lang w:eastAsia="ar-SA"/>
              </w:rPr>
              <w:t xml:space="preserve">15.84 </w:t>
            </w:r>
            <w:r w:rsidR="00CD6C66" w:rsidRPr="009E35ED">
              <w:rPr>
                <w:rFonts w:ascii="Arial" w:hAnsi="Arial" w:cs="Arial"/>
                <w:color w:val="000000" w:themeColor="text1"/>
                <w:sz w:val="18"/>
                <w:szCs w:val="18"/>
                <w:lang w:eastAsia="ar-SA"/>
              </w:rPr>
              <w:t>m</w:t>
            </w:r>
            <w:r w:rsidRPr="009E35ED">
              <w:rPr>
                <w:rFonts w:ascii="Arial" w:hAnsi="Arial" w:cs="Arial"/>
                <w:color w:val="000000" w:themeColor="text1"/>
                <w:sz w:val="18"/>
                <w:szCs w:val="18"/>
                <w:lang w:eastAsia="ar-SA"/>
              </w:rPr>
              <w:t>illion</w:t>
            </w:r>
          </w:p>
        </w:tc>
      </w:tr>
      <w:tr w:rsidR="00997F75" w:rsidRPr="009E35ED" w14:paraId="6D6CB49B" w14:textId="77777777" w:rsidTr="00DE5E7B">
        <w:trPr>
          <w:trHeight w:val="274"/>
          <w:tblHeader/>
        </w:trPr>
        <w:tc>
          <w:tcPr>
            <w:tcW w:w="2156" w:type="dxa"/>
            <w:tcBorders>
              <w:top w:val="single" w:sz="4" w:space="0" w:color="auto"/>
              <w:bottom w:val="single" w:sz="4" w:space="0" w:color="auto"/>
            </w:tcBorders>
          </w:tcPr>
          <w:p w14:paraId="1D69E50E" w14:textId="77777777" w:rsidR="00631F3F" w:rsidRPr="009E35ED" w:rsidRDefault="00631F3F" w:rsidP="00C83760">
            <w:pPr>
              <w:suppressAutoHyphens/>
              <w:ind w:left="-108"/>
              <w:jc w:val="left"/>
              <w:rPr>
                <w:rFonts w:ascii="Arial" w:hAnsi="Arial" w:cs="Arial"/>
                <w:bCs/>
                <w:color w:val="000000" w:themeColor="text1"/>
                <w:sz w:val="18"/>
                <w:szCs w:val="18"/>
                <w:lang w:eastAsia="ar-SA"/>
              </w:rPr>
            </w:pPr>
            <w:r w:rsidRPr="009E35ED">
              <w:rPr>
                <w:rFonts w:ascii="Arial" w:hAnsi="Arial" w:cs="Arial"/>
                <w:bCs/>
                <w:color w:val="000000" w:themeColor="text1"/>
                <w:sz w:val="18"/>
                <w:szCs w:val="18"/>
                <w:lang w:eastAsia="ar-SA"/>
              </w:rPr>
              <w:t>Grand Lotto 6/55</w:t>
            </w:r>
          </w:p>
        </w:tc>
        <w:tc>
          <w:tcPr>
            <w:tcW w:w="2785" w:type="dxa"/>
            <w:tcBorders>
              <w:top w:val="single" w:sz="4" w:space="0" w:color="auto"/>
              <w:bottom w:val="single" w:sz="4" w:space="0" w:color="auto"/>
            </w:tcBorders>
          </w:tcPr>
          <w:p w14:paraId="028502D0" w14:textId="77777777" w:rsidR="00631F3F" w:rsidRPr="009E35ED" w:rsidRDefault="00631F3F" w:rsidP="00803F8C">
            <w:pPr>
              <w:suppressAutoHyphens/>
              <w:ind w:left="-104"/>
              <w:rPr>
                <w:rFonts w:ascii="Arial" w:hAnsi="Arial" w:cs="Arial"/>
                <w:color w:val="000000" w:themeColor="text1"/>
                <w:sz w:val="18"/>
                <w:szCs w:val="18"/>
                <w:lang w:eastAsia="ar-SA"/>
              </w:rPr>
            </w:pPr>
            <w:r w:rsidRPr="009E35ED">
              <w:rPr>
                <w:rFonts w:ascii="Arial" w:hAnsi="Arial" w:cs="Arial"/>
                <w:color w:val="000000" w:themeColor="text1"/>
                <w:sz w:val="18"/>
                <w:szCs w:val="18"/>
                <w:lang w:eastAsia="ar-SA"/>
              </w:rPr>
              <w:t>Monday/Wednesday/Saturday</w:t>
            </w:r>
          </w:p>
        </w:tc>
        <w:tc>
          <w:tcPr>
            <w:tcW w:w="1814" w:type="dxa"/>
            <w:tcBorders>
              <w:top w:val="single" w:sz="4" w:space="0" w:color="auto"/>
              <w:bottom w:val="single" w:sz="4" w:space="0" w:color="auto"/>
            </w:tcBorders>
          </w:tcPr>
          <w:p w14:paraId="43C985EE" w14:textId="77777777" w:rsidR="00631F3F" w:rsidRPr="009E35ED" w:rsidRDefault="00631F3F" w:rsidP="00803F8C">
            <w:pPr>
              <w:suppressAutoHyphens/>
              <w:ind w:left="-86"/>
              <w:jc w:val="right"/>
              <w:rPr>
                <w:rFonts w:ascii="Arial" w:hAnsi="Arial" w:cs="Arial"/>
                <w:color w:val="000000" w:themeColor="text1"/>
                <w:sz w:val="18"/>
                <w:szCs w:val="18"/>
                <w:lang w:eastAsia="ar-SA"/>
              </w:rPr>
            </w:pPr>
            <w:r w:rsidRPr="009E35ED">
              <w:rPr>
                <w:rFonts w:ascii="Arial" w:hAnsi="Arial" w:cs="Arial"/>
                <w:color w:val="000000" w:themeColor="text1"/>
                <w:sz w:val="18"/>
                <w:szCs w:val="18"/>
                <w:lang w:eastAsia="ar-SA"/>
              </w:rPr>
              <w:t xml:space="preserve">P 30 </w:t>
            </w:r>
            <w:r w:rsidR="00CD6C66" w:rsidRPr="009E35ED">
              <w:rPr>
                <w:rFonts w:ascii="Arial" w:hAnsi="Arial" w:cs="Arial"/>
                <w:color w:val="000000" w:themeColor="text1"/>
                <w:sz w:val="18"/>
                <w:szCs w:val="18"/>
                <w:lang w:eastAsia="ar-SA"/>
              </w:rPr>
              <w:t>m</w:t>
            </w:r>
            <w:r w:rsidRPr="009E35ED">
              <w:rPr>
                <w:rFonts w:ascii="Arial" w:hAnsi="Arial" w:cs="Arial"/>
                <w:color w:val="000000" w:themeColor="text1"/>
                <w:sz w:val="18"/>
                <w:szCs w:val="18"/>
                <w:lang w:eastAsia="ar-SA"/>
              </w:rPr>
              <w:t>illion</w:t>
            </w:r>
          </w:p>
        </w:tc>
        <w:tc>
          <w:tcPr>
            <w:tcW w:w="1889" w:type="dxa"/>
            <w:tcBorders>
              <w:top w:val="single" w:sz="4" w:space="0" w:color="auto"/>
              <w:bottom w:val="single" w:sz="4" w:space="0" w:color="auto"/>
            </w:tcBorders>
          </w:tcPr>
          <w:p w14:paraId="2523E749" w14:textId="77777777" w:rsidR="00631F3F" w:rsidRPr="009E35ED" w:rsidRDefault="00631F3F" w:rsidP="00C83760">
            <w:pPr>
              <w:suppressAutoHyphens/>
              <w:ind w:left="-86" w:right="-105"/>
              <w:jc w:val="right"/>
              <w:rPr>
                <w:rFonts w:ascii="Arial" w:hAnsi="Arial" w:cs="Arial"/>
                <w:b/>
                <w:color w:val="000000" w:themeColor="text1"/>
                <w:sz w:val="18"/>
                <w:szCs w:val="18"/>
                <w:lang w:eastAsia="ar-SA"/>
              </w:rPr>
            </w:pPr>
            <w:r w:rsidRPr="009E35ED">
              <w:rPr>
                <w:rFonts w:ascii="Arial" w:hAnsi="Arial" w:cs="Arial"/>
                <w:color w:val="000000" w:themeColor="text1"/>
                <w:sz w:val="18"/>
                <w:szCs w:val="18"/>
                <w:lang w:eastAsia="ar-SA"/>
              </w:rPr>
              <w:t xml:space="preserve">P </w:t>
            </w:r>
            <w:r w:rsidR="00CD6C66" w:rsidRPr="009E35ED">
              <w:rPr>
                <w:rFonts w:ascii="Arial" w:hAnsi="Arial" w:cs="Arial"/>
                <w:color w:val="000000" w:themeColor="text1"/>
                <w:sz w:val="18"/>
                <w:szCs w:val="18"/>
                <w:lang w:eastAsia="ar-SA"/>
              </w:rPr>
              <w:t xml:space="preserve">  </w:t>
            </w:r>
            <w:r w:rsidRPr="009E35ED">
              <w:rPr>
                <w:rFonts w:ascii="Arial" w:hAnsi="Arial" w:cs="Arial"/>
                <w:color w:val="000000" w:themeColor="text1"/>
                <w:sz w:val="18"/>
                <w:szCs w:val="18"/>
                <w:lang w:eastAsia="ar-SA"/>
              </w:rPr>
              <w:t xml:space="preserve">29.7 </w:t>
            </w:r>
            <w:r w:rsidR="00CD6C66" w:rsidRPr="009E35ED">
              <w:rPr>
                <w:rFonts w:ascii="Arial" w:hAnsi="Arial" w:cs="Arial"/>
                <w:color w:val="000000" w:themeColor="text1"/>
                <w:sz w:val="18"/>
                <w:szCs w:val="18"/>
                <w:lang w:eastAsia="ar-SA"/>
              </w:rPr>
              <w:t>m</w:t>
            </w:r>
            <w:r w:rsidRPr="009E35ED">
              <w:rPr>
                <w:rFonts w:ascii="Arial" w:hAnsi="Arial" w:cs="Arial"/>
                <w:color w:val="000000" w:themeColor="text1"/>
                <w:sz w:val="18"/>
                <w:szCs w:val="18"/>
                <w:lang w:eastAsia="ar-SA"/>
              </w:rPr>
              <w:t>illion</w:t>
            </w:r>
          </w:p>
        </w:tc>
      </w:tr>
      <w:tr w:rsidR="00997F75" w:rsidRPr="009E35ED" w14:paraId="3AFF3801" w14:textId="77777777" w:rsidTr="00DE5E7B">
        <w:trPr>
          <w:trHeight w:val="66"/>
          <w:tblHeader/>
        </w:trPr>
        <w:tc>
          <w:tcPr>
            <w:tcW w:w="2156" w:type="dxa"/>
            <w:tcBorders>
              <w:top w:val="single" w:sz="4" w:space="0" w:color="auto"/>
              <w:bottom w:val="single" w:sz="4" w:space="0" w:color="auto"/>
            </w:tcBorders>
          </w:tcPr>
          <w:p w14:paraId="7E599D62" w14:textId="77777777" w:rsidR="00631F3F" w:rsidRPr="009E35ED" w:rsidRDefault="00631F3F" w:rsidP="00C83760">
            <w:pPr>
              <w:suppressAutoHyphens/>
              <w:ind w:left="-108"/>
              <w:jc w:val="left"/>
              <w:rPr>
                <w:rFonts w:ascii="Arial" w:hAnsi="Arial" w:cs="Arial"/>
                <w:bCs/>
                <w:color w:val="000000" w:themeColor="text1"/>
                <w:sz w:val="18"/>
                <w:szCs w:val="18"/>
                <w:lang w:eastAsia="ar-SA"/>
              </w:rPr>
            </w:pPr>
            <w:r w:rsidRPr="009E35ED">
              <w:rPr>
                <w:rFonts w:ascii="Arial" w:hAnsi="Arial" w:cs="Arial"/>
                <w:bCs/>
                <w:color w:val="000000" w:themeColor="text1"/>
                <w:sz w:val="18"/>
                <w:szCs w:val="18"/>
                <w:lang w:eastAsia="ar-SA"/>
              </w:rPr>
              <w:t>Ultra Lotto 6/58</w:t>
            </w:r>
          </w:p>
        </w:tc>
        <w:tc>
          <w:tcPr>
            <w:tcW w:w="2785" w:type="dxa"/>
            <w:tcBorders>
              <w:top w:val="single" w:sz="4" w:space="0" w:color="auto"/>
              <w:bottom w:val="single" w:sz="4" w:space="0" w:color="auto"/>
            </w:tcBorders>
          </w:tcPr>
          <w:p w14:paraId="4EF7BB33" w14:textId="77777777" w:rsidR="00631F3F" w:rsidRPr="009E35ED" w:rsidRDefault="00631F3F" w:rsidP="00803F8C">
            <w:pPr>
              <w:suppressAutoHyphens/>
              <w:ind w:left="-104"/>
              <w:rPr>
                <w:rFonts w:ascii="Arial" w:hAnsi="Arial" w:cs="Arial"/>
                <w:color w:val="000000" w:themeColor="text1"/>
                <w:sz w:val="18"/>
                <w:szCs w:val="18"/>
                <w:lang w:eastAsia="ar-SA"/>
              </w:rPr>
            </w:pPr>
            <w:r w:rsidRPr="009E35ED">
              <w:rPr>
                <w:rFonts w:ascii="Arial" w:hAnsi="Arial" w:cs="Arial"/>
                <w:color w:val="000000" w:themeColor="text1"/>
                <w:sz w:val="18"/>
                <w:szCs w:val="18"/>
                <w:lang w:eastAsia="ar-SA"/>
              </w:rPr>
              <w:t>Tuesday/Friday/Sunday</w:t>
            </w:r>
          </w:p>
        </w:tc>
        <w:tc>
          <w:tcPr>
            <w:tcW w:w="1814" w:type="dxa"/>
            <w:tcBorders>
              <w:top w:val="single" w:sz="4" w:space="0" w:color="auto"/>
              <w:bottom w:val="single" w:sz="4" w:space="0" w:color="auto"/>
            </w:tcBorders>
          </w:tcPr>
          <w:p w14:paraId="10D58473" w14:textId="77777777" w:rsidR="00631F3F" w:rsidRPr="009E35ED" w:rsidRDefault="00631F3F" w:rsidP="00803F8C">
            <w:pPr>
              <w:suppressAutoHyphens/>
              <w:ind w:left="-86"/>
              <w:jc w:val="right"/>
              <w:rPr>
                <w:rFonts w:ascii="Arial" w:hAnsi="Arial" w:cs="Arial"/>
                <w:color w:val="000000" w:themeColor="text1"/>
                <w:sz w:val="18"/>
                <w:szCs w:val="18"/>
                <w:lang w:eastAsia="ar-SA"/>
              </w:rPr>
            </w:pPr>
            <w:r w:rsidRPr="009E35ED">
              <w:rPr>
                <w:rFonts w:ascii="Arial" w:hAnsi="Arial" w:cs="Arial"/>
                <w:color w:val="000000" w:themeColor="text1"/>
                <w:sz w:val="18"/>
                <w:szCs w:val="18"/>
                <w:lang w:eastAsia="ar-SA"/>
              </w:rPr>
              <w:t xml:space="preserve">P 50 </w:t>
            </w:r>
            <w:r w:rsidR="00CD6C66" w:rsidRPr="009E35ED">
              <w:rPr>
                <w:rFonts w:ascii="Arial" w:hAnsi="Arial" w:cs="Arial"/>
                <w:color w:val="000000" w:themeColor="text1"/>
                <w:sz w:val="18"/>
                <w:szCs w:val="18"/>
                <w:lang w:eastAsia="ar-SA"/>
              </w:rPr>
              <w:t>m</w:t>
            </w:r>
            <w:r w:rsidRPr="009E35ED">
              <w:rPr>
                <w:rFonts w:ascii="Arial" w:hAnsi="Arial" w:cs="Arial"/>
                <w:color w:val="000000" w:themeColor="text1"/>
                <w:sz w:val="18"/>
                <w:szCs w:val="18"/>
                <w:lang w:eastAsia="ar-SA"/>
              </w:rPr>
              <w:t>illion</w:t>
            </w:r>
          </w:p>
        </w:tc>
        <w:tc>
          <w:tcPr>
            <w:tcW w:w="1889" w:type="dxa"/>
            <w:tcBorders>
              <w:top w:val="single" w:sz="4" w:space="0" w:color="auto"/>
              <w:bottom w:val="single" w:sz="4" w:space="0" w:color="auto"/>
            </w:tcBorders>
          </w:tcPr>
          <w:p w14:paraId="6A46D8FC" w14:textId="77777777" w:rsidR="00631F3F" w:rsidRPr="009E35ED" w:rsidRDefault="00631F3F" w:rsidP="00C83760">
            <w:pPr>
              <w:suppressAutoHyphens/>
              <w:ind w:left="-86" w:right="-105"/>
              <w:jc w:val="right"/>
              <w:rPr>
                <w:rFonts w:ascii="Arial" w:hAnsi="Arial" w:cs="Arial"/>
                <w:b/>
                <w:color w:val="000000" w:themeColor="text1"/>
                <w:sz w:val="18"/>
                <w:szCs w:val="18"/>
                <w:lang w:eastAsia="ar-SA"/>
              </w:rPr>
            </w:pPr>
            <w:r w:rsidRPr="009E35ED">
              <w:rPr>
                <w:rFonts w:ascii="Arial" w:hAnsi="Arial" w:cs="Arial"/>
                <w:color w:val="000000" w:themeColor="text1"/>
                <w:sz w:val="18"/>
                <w:szCs w:val="18"/>
                <w:lang w:eastAsia="ar-SA"/>
              </w:rPr>
              <w:t xml:space="preserve">P </w:t>
            </w:r>
            <w:r w:rsidR="00CD6C66" w:rsidRPr="009E35ED">
              <w:rPr>
                <w:rFonts w:ascii="Arial" w:hAnsi="Arial" w:cs="Arial"/>
                <w:color w:val="000000" w:themeColor="text1"/>
                <w:sz w:val="18"/>
                <w:szCs w:val="18"/>
                <w:lang w:eastAsia="ar-SA"/>
              </w:rPr>
              <w:t xml:space="preserve">  </w:t>
            </w:r>
            <w:r w:rsidRPr="009E35ED">
              <w:rPr>
                <w:rFonts w:ascii="Arial" w:hAnsi="Arial" w:cs="Arial"/>
                <w:color w:val="000000" w:themeColor="text1"/>
                <w:sz w:val="18"/>
                <w:szCs w:val="18"/>
                <w:lang w:eastAsia="ar-SA"/>
              </w:rPr>
              <w:t xml:space="preserve">49.5 </w:t>
            </w:r>
            <w:r w:rsidR="00CD6C66" w:rsidRPr="009E35ED">
              <w:rPr>
                <w:rFonts w:ascii="Arial" w:hAnsi="Arial" w:cs="Arial"/>
                <w:color w:val="000000" w:themeColor="text1"/>
                <w:sz w:val="18"/>
                <w:szCs w:val="18"/>
                <w:lang w:eastAsia="ar-SA"/>
              </w:rPr>
              <w:t>m</w:t>
            </w:r>
            <w:r w:rsidRPr="009E35ED">
              <w:rPr>
                <w:rFonts w:ascii="Arial" w:hAnsi="Arial" w:cs="Arial"/>
                <w:color w:val="000000" w:themeColor="text1"/>
                <w:sz w:val="18"/>
                <w:szCs w:val="18"/>
                <w:lang w:eastAsia="ar-SA"/>
              </w:rPr>
              <w:t>illion</w:t>
            </w:r>
          </w:p>
        </w:tc>
      </w:tr>
    </w:tbl>
    <w:p w14:paraId="6C144CE3" w14:textId="77777777" w:rsidR="001C5930" w:rsidRPr="009E35ED" w:rsidRDefault="001C5930" w:rsidP="00803F8C">
      <w:pPr>
        <w:rPr>
          <w:rFonts w:ascii="Arial" w:hAnsi="Arial" w:cs="Arial"/>
          <w:color w:val="000000" w:themeColor="text1"/>
          <w:sz w:val="22"/>
          <w:szCs w:val="22"/>
        </w:rPr>
      </w:pPr>
    </w:p>
    <w:p w14:paraId="61D68817" w14:textId="0D0FE630" w:rsidR="0085009E" w:rsidRPr="009E35ED" w:rsidRDefault="00C72A82" w:rsidP="00E627A6">
      <w:pPr>
        <w:ind w:left="0" w:right="-34"/>
        <w:rPr>
          <w:rFonts w:ascii="Arial" w:hAnsi="Arial" w:cs="Arial"/>
          <w:sz w:val="22"/>
          <w:szCs w:val="22"/>
        </w:rPr>
      </w:pPr>
      <w:r w:rsidRPr="009E35ED">
        <w:rPr>
          <w:rFonts w:ascii="Arial" w:hAnsi="Arial" w:cs="Arial"/>
          <w:color w:val="000000" w:themeColor="text1"/>
          <w:sz w:val="22"/>
          <w:szCs w:val="22"/>
        </w:rPr>
        <w:t>T</w:t>
      </w:r>
      <w:r w:rsidR="00265516" w:rsidRPr="009E35ED">
        <w:rPr>
          <w:rFonts w:ascii="Arial" w:hAnsi="Arial" w:cs="Arial"/>
          <w:color w:val="000000" w:themeColor="text1"/>
          <w:sz w:val="22"/>
          <w:szCs w:val="22"/>
        </w:rPr>
        <w:t>he digit games</w:t>
      </w:r>
      <w:r w:rsidRPr="009E35ED">
        <w:rPr>
          <w:rFonts w:ascii="Arial" w:hAnsi="Arial" w:cs="Arial"/>
          <w:color w:val="000000" w:themeColor="text1"/>
          <w:sz w:val="22"/>
          <w:szCs w:val="22"/>
        </w:rPr>
        <w:t>,</w:t>
      </w:r>
      <w:r w:rsidR="00265516" w:rsidRPr="009E35ED">
        <w:rPr>
          <w:rFonts w:ascii="Arial" w:hAnsi="Arial" w:cs="Arial"/>
          <w:color w:val="000000" w:themeColor="text1"/>
          <w:sz w:val="22"/>
          <w:szCs w:val="22"/>
        </w:rPr>
        <w:t xml:space="preserve"> which consist of 6D</w:t>
      </w:r>
      <w:r w:rsidR="00986F56" w:rsidRPr="009E35ED">
        <w:rPr>
          <w:rFonts w:ascii="Arial" w:hAnsi="Arial" w:cs="Arial"/>
          <w:color w:val="000000" w:themeColor="text1"/>
          <w:sz w:val="22"/>
          <w:szCs w:val="22"/>
        </w:rPr>
        <w:t xml:space="preserve"> Lotto</w:t>
      </w:r>
      <w:r w:rsidR="00265516" w:rsidRPr="009E35ED">
        <w:rPr>
          <w:rFonts w:ascii="Arial" w:hAnsi="Arial" w:cs="Arial"/>
          <w:color w:val="000000" w:themeColor="text1"/>
          <w:sz w:val="22"/>
          <w:szCs w:val="22"/>
        </w:rPr>
        <w:t>, 4D</w:t>
      </w:r>
      <w:r w:rsidR="00986F56" w:rsidRPr="009E35ED">
        <w:rPr>
          <w:rFonts w:ascii="Arial" w:hAnsi="Arial" w:cs="Arial"/>
          <w:color w:val="000000" w:themeColor="text1"/>
          <w:sz w:val="22"/>
          <w:szCs w:val="22"/>
        </w:rPr>
        <w:t xml:space="preserve"> Lotto</w:t>
      </w:r>
      <w:r w:rsidR="00265516" w:rsidRPr="009E35ED">
        <w:rPr>
          <w:rFonts w:ascii="Arial" w:hAnsi="Arial" w:cs="Arial"/>
          <w:color w:val="000000" w:themeColor="text1"/>
          <w:sz w:val="22"/>
          <w:szCs w:val="22"/>
        </w:rPr>
        <w:t xml:space="preserve">, 3D </w:t>
      </w:r>
      <w:r w:rsidR="00986F56" w:rsidRPr="009E35ED">
        <w:rPr>
          <w:rFonts w:ascii="Arial" w:hAnsi="Arial" w:cs="Arial"/>
          <w:color w:val="000000" w:themeColor="text1"/>
          <w:sz w:val="22"/>
          <w:szCs w:val="22"/>
        </w:rPr>
        <w:t xml:space="preserve">Lotto </w:t>
      </w:r>
      <w:r w:rsidR="00265516" w:rsidRPr="009E35ED">
        <w:rPr>
          <w:rFonts w:ascii="Arial" w:hAnsi="Arial" w:cs="Arial"/>
          <w:color w:val="000000" w:themeColor="text1"/>
          <w:sz w:val="22"/>
          <w:szCs w:val="22"/>
        </w:rPr>
        <w:t xml:space="preserve">and 2D </w:t>
      </w:r>
      <w:r w:rsidR="00986F56" w:rsidRPr="009E35ED">
        <w:rPr>
          <w:rFonts w:ascii="Arial" w:hAnsi="Arial" w:cs="Arial"/>
          <w:color w:val="000000" w:themeColor="text1"/>
          <w:sz w:val="22"/>
          <w:szCs w:val="22"/>
        </w:rPr>
        <w:t>Lotto</w:t>
      </w:r>
      <w:r w:rsidR="00265516" w:rsidRPr="009E35ED">
        <w:rPr>
          <w:rFonts w:ascii="Arial" w:hAnsi="Arial" w:cs="Arial"/>
          <w:color w:val="000000" w:themeColor="text1"/>
          <w:sz w:val="22"/>
          <w:szCs w:val="22"/>
        </w:rPr>
        <w:t>, can be played</w:t>
      </w:r>
      <w:r w:rsidR="0012265E" w:rsidRPr="009E35ED">
        <w:rPr>
          <w:rFonts w:ascii="Arial" w:hAnsi="Arial" w:cs="Arial"/>
          <w:color w:val="000000" w:themeColor="text1"/>
          <w:sz w:val="22"/>
          <w:szCs w:val="22"/>
        </w:rPr>
        <w:t xml:space="preserve"> </w:t>
      </w:r>
      <w:r w:rsidR="00D620A8" w:rsidRPr="009E35ED">
        <w:rPr>
          <w:rFonts w:ascii="Arial" w:hAnsi="Arial" w:cs="Arial"/>
          <w:color w:val="000000" w:themeColor="text1"/>
          <w:sz w:val="22"/>
          <w:szCs w:val="22"/>
        </w:rPr>
        <w:t xml:space="preserve">by manually </w:t>
      </w:r>
      <w:r w:rsidR="00554708" w:rsidRPr="009E35ED">
        <w:rPr>
          <w:rFonts w:ascii="Arial" w:hAnsi="Arial" w:cs="Arial"/>
          <w:color w:val="000000" w:themeColor="text1"/>
          <w:sz w:val="22"/>
          <w:szCs w:val="22"/>
        </w:rPr>
        <w:t xml:space="preserve">selecting a number combination depending on the digit game or </w:t>
      </w:r>
      <w:r w:rsidR="00265516" w:rsidRPr="009E35ED">
        <w:rPr>
          <w:rFonts w:ascii="Arial" w:hAnsi="Arial" w:cs="Arial"/>
          <w:color w:val="000000" w:themeColor="text1"/>
          <w:sz w:val="22"/>
          <w:szCs w:val="22"/>
        </w:rPr>
        <w:t>using the Lucky pick</w:t>
      </w:r>
      <w:r w:rsidR="00ED14D4" w:rsidRPr="009E35ED">
        <w:rPr>
          <w:rFonts w:ascii="Arial" w:hAnsi="Arial" w:cs="Arial"/>
          <w:color w:val="000000" w:themeColor="text1"/>
          <w:sz w:val="22"/>
          <w:szCs w:val="22"/>
        </w:rPr>
        <w:t xml:space="preserve"> thru the traditional </w:t>
      </w:r>
      <w:r w:rsidR="00DB192F" w:rsidRPr="009E35ED">
        <w:rPr>
          <w:rFonts w:ascii="Arial" w:hAnsi="Arial" w:cs="Arial"/>
          <w:color w:val="000000" w:themeColor="text1"/>
          <w:sz w:val="22"/>
          <w:szCs w:val="22"/>
        </w:rPr>
        <w:t xml:space="preserve">lotto </w:t>
      </w:r>
      <w:r w:rsidR="00ED14D4" w:rsidRPr="009E35ED">
        <w:rPr>
          <w:rFonts w:ascii="Arial" w:hAnsi="Arial" w:cs="Arial"/>
          <w:color w:val="000000" w:themeColor="text1"/>
          <w:sz w:val="22"/>
          <w:szCs w:val="22"/>
        </w:rPr>
        <w:t>terminals and</w:t>
      </w:r>
      <w:r w:rsidR="00B04330" w:rsidRPr="009E35ED">
        <w:rPr>
          <w:rFonts w:ascii="Arial" w:hAnsi="Arial" w:cs="Arial"/>
          <w:color w:val="000000" w:themeColor="text1"/>
          <w:sz w:val="22"/>
          <w:szCs w:val="22"/>
        </w:rPr>
        <w:t xml:space="preserve"> the E-Lotto </w:t>
      </w:r>
      <w:r w:rsidR="00D3546D" w:rsidRPr="009E35ED">
        <w:rPr>
          <w:rFonts w:ascii="Arial" w:hAnsi="Arial" w:cs="Arial"/>
          <w:color w:val="000000" w:themeColor="text1"/>
          <w:sz w:val="22"/>
          <w:szCs w:val="22"/>
        </w:rPr>
        <w:t xml:space="preserve">Web </w:t>
      </w:r>
      <w:r w:rsidR="00B04330" w:rsidRPr="009E35ED">
        <w:rPr>
          <w:rFonts w:ascii="Arial" w:hAnsi="Arial" w:cs="Arial"/>
          <w:color w:val="000000" w:themeColor="text1"/>
          <w:sz w:val="22"/>
          <w:szCs w:val="22"/>
        </w:rPr>
        <w:t>Application.</w:t>
      </w:r>
      <w:r w:rsidR="00265516" w:rsidRPr="009E35ED">
        <w:rPr>
          <w:rFonts w:ascii="Arial" w:hAnsi="Arial" w:cs="Arial"/>
          <w:color w:val="000000" w:themeColor="text1"/>
          <w:sz w:val="22"/>
          <w:szCs w:val="22"/>
        </w:rPr>
        <w:t xml:space="preserve"> The</w:t>
      </w:r>
      <w:r w:rsidR="00972539" w:rsidRPr="009E35ED">
        <w:rPr>
          <w:rFonts w:ascii="Arial" w:hAnsi="Arial" w:cs="Arial"/>
          <w:color w:val="000000" w:themeColor="text1"/>
          <w:sz w:val="22"/>
          <w:szCs w:val="22"/>
        </w:rPr>
        <w:t xml:space="preserve"> digit games being operated by the </w:t>
      </w:r>
      <w:r w:rsidR="0051373D" w:rsidRPr="009E35ED">
        <w:rPr>
          <w:rFonts w:ascii="Arial" w:hAnsi="Arial" w:cs="Arial"/>
          <w:color w:val="000000" w:themeColor="text1"/>
          <w:sz w:val="22"/>
          <w:szCs w:val="22"/>
        </w:rPr>
        <w:t>Agency</w:t>
      </w:r>
      <w:r w:rsidR="00265516" w:rsidRPr="009E35ED">
        <w:rPr>
          <w:rFonts w:ascii="Arial" w:hAnsi="Arial" w:cs="Arial"/>
          <w:color w:val="000000" w:themeColor="text1"/>
          <w:sz w:val="22"/>
          <w:szCs w:val="22"/>
        </w:rPr>
        <w:t xml:space="preserve"> also covers the area of Luzon, </w:t>
      </w:r>
      <w:proofErr w:type="spellStart"/>
      <w:r w:rsidR="00265516" w:rsidRPr="009E35ED">
        <w:rPr>
          <w:rFonts w:ascii="Arial" w:hAnsi="Arial" w:cs="Arial"/>
          <w:color w:val="000000" w:themeColor="text1"/>
          <w:sz w:val="22"/>
          <w:szCs w:val="22"/>
        </w:rPr>
        <w:t>Visayas</w:t>
      </w:r>
      <w:proofErr w:type="spellEnd"/>
      <w:r w:rsidR="00265516" w:rsidRPr="009E35ED">
        <w:rPr>
          <w:rFonts w:ascii="Arial" w:hAnsi="Arial" w:cs="Arial"/>
          <w:color w:val="000000" w:themeColor="text1"/>
          <w:sz w:val="22"/>
          <w:szCs w:val="22"/>
        </w:rPr>
        <w:t xml:space="preserve"> and Mindanao</w:t>
      </w:r>
      <w:r w:rsidR="00972539" w:rsidRPr="009E35ED">
        <w:rPr>
          <w:rFonts w:ascii="Arial" w:hAnsi="Arial" w:cs="Arial"/>
          <w:color w:val="000000" w:themeColor="text1"/>
          <w:sz w:val="22"/>
          <w:szCs w:val="22"/>
        </w:rPr>
        <w:t xml:space="preserve">. Draws are </w:t>
      </w:r>
      <w:r w:rsidR="00265516" w:rsidRPr="009E35ED">
        <w:rPr>
          <w:rFonts w:ascii="Arial" w:hAnsi="Arial" w:cs="Arial"/>
          <w:color w:val="000000" w:themeColor="text1"/>
          <w:sz w:val="22"/>
          <w:szCs w:val="22"/>
        </w:rPr>
        <w:t xml:space="preserve">also </w:t>
      </w:r>
      <w:r w:rsidR="00972539" w:rsidRPr="009E35ED">
        <w:rPr>
          <w:rFonts w:ascii="Arial" w:hAnsi="Arial" w:cs="Arial"/>
          <w:color w:val="000000" w:themeColor="text1"/>
          <w:sz w:val="22"/>
          <w:szCs w:val="22"/>
        </w:rPr>
        <w:t xml:space="preserve">being conducted at PCSO Main Office Draw Court in </w:t>
      </w:r>
      <w:proofErr w:type="spellStart"/>
      <w:r w:rsidR="00972539" w:rsidRPr="009E35ED">
        <w:rPr>
          <w:rFonts w:ascii="Arial" w:hAnsi="Arial" w:cs="Arial"/>
          <w:color w:val="000000" w:themeColor="text1"/>
          <w:sz w:val="22"/>
          <w:szCs w:val="22"/>
        </w:rPr>
        <w:t>Mandaluyong</w:t>
      </w:r>
      <w:proofErr w:type="spellEnd"/>
      <w:r w:rsidR="00972539" w:rsidRPr="009E35ED">
        <w:rPr>
          <w:rFonts w:ascii="Arial" w:hAnsi="Arial" w:cs="Arial"/>
          <w:color w:val="000000" w:themeColor="text1"/>
          <w:sz w:val="22"/>
          <w:szCs w:val="22"/>
        </w:rPr>
        <w:t xml:space="preserve"> City.</w:t>
      </w:r>
      <w:r w:rsidR="007F58ED" w:rsidRPr="009E35ED">
        <w:rPr>
          <w:rFonts w:ascii="Arial" w:hAnsi="Arial" w:cs="Arial"/>
          <w:color w:val="000000" w:themeColor="text1"/>
          <w:sz w:val="22"/>
          <w:szCs w:val="22"/>
        </w:rPr>
        <w:t xml:space="preserve"> </w:t>
      </w:r>
    </w:p>
    <w:p w14:paraId="7E2FBC49" w14:textId="77777777" w:rsidR="009C5D09" w:rsidRPr="009E35ED" w:rsidRDefault="009C5D09" w:rsidP="00803F8C">
      <w:pPr>
        <w:ind w:left="0"/>
        <w:rPr>
          <w:rFonts w:ascii="Arial" w:hAnsi="Arial" w:cs="Arial"/>
          <w:color w:val="000000" w:themeColor="text1"/>
          <w:sz w:val="22"/>
          <w:szCs w:val="22"/>
        </w:rPr>
      </w:pPr>
    </w:p>
    <w:tbl>
      <w:tblPr>
        <w:tblStyle w:val="TableGrid"/>
        <w:tblW w:w="502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5"/>
        <w:gridCol w:w="2643"/>
        <w:gridCol w:w="2718"/>
        <w:gridCol w:w="1757"/>
      </w:tblGrid>
      <w:tr w:rsidR="00997F75" w:rsidRPr="009E35ED" w14:paraId="09880223" w14:textId="77777777" w:rsidTr="00DE5E7B">
        <w:trPr>
          <w:trHeight w:val="557"/>
        </w:trPr>
        <w:tc>
          <w:tcPr>
            <w:tcW w:w="901" w:type="pct"/>
            <w:tcBorders>
              <w:top w:val="single" w:sz="4" w:space="0" w:color="auto"/>
              <w:bottom w:val="single" w:sz="4" w:space="0" w:color="auto"/>
            </w:tcBorders>
            <w:vAlign w:val="bottom"/>
          </w:tcPr>
          <w:p w14:paraId="085725DF" w14:textId="77777777" w:rsidR="004706E9" w:rsidRPr="009E35ED" w:rsidRDefault="004706E9" w:rsidP="00BF0CB0">
            <w:pPr>
              <w:suppressAutoHyphens/>
              <w:ind w:left="-70"/>
              <w:jc w:val="left"/>
              <w:rPr>
                <w:rFonts w:ascii="Arial" w:hAnsi="Arial" w:cs="Arial"/>
                <w:b/>
                <w:color w:val="000000" w:themeColor="text1"/>
                <w:sz w:val="18"/>
                <w:szCs w:val="18"/>
                <w:lang w:eastAsia="ar-SA"/>
              </w:rPr>
            </w:pPr>
          </w:p>
          <w:p w14:paraId="53506637" w14:textId="3E16CCA2" w:rsidR="004706E9" w:rsidRPr="009E35ED" w:rsidRDefault="004706E9" w:rsidP="00D01CE9">
            <w:pPr>
              <w:suppressAutoHyphens/>
              <w:ind w:left="-70"/>
              <w:jc w:val="left"/>
              <w:rPr>
                <w:rFonts w:ascii="Arial" w:hAnsi="Arial" w:cs="Arial"/>
                <w:b/>
                <w:color w:val="000000" w:themeColor="text1"/>
                <w:sz w:val="18"/>
                <w:szCs w:val="18"/>
                <w:lang w:eastAsia="ar-SA"/>
              </w:rPr>
            </w:pPr>
            <w:r w:rsidRPr="009E35ED">
              <w:rPr>
                <w:rFonts w:ascii="Arial" w:hAnsi="Arial" w:cs="Arial"/>
                <w:b/>
                <w:color w:val="000000" w:themeColor="text1"/>
                <w:sz w:val="18"/>
                <w:szCs w:val="18"/>
                <w:lang w:eastAsia="ar-SA"/>
              </w:rPr>
              <w:t>Type of Game</w:t>
            </w:r>
          </w:p>
        </w:tc>
        <w:tc>
          <w:tcPr>
            <w:tcW w:w="1522" w:type="pct"/>
            <w:tcBorders>
              <w:top w:val="single" w:sz="4" w:space="0" w:color="auto"/>
              <w:bottom w:val="single" w:sz="4" w:space="0" w:color="auto"/>
            </w:tcBorders>
            <w:vAlign w:val="bottom"/>
          </w:tcPr>
          <w:p w14:paraId="4E6E3927" w14:textId="77777777" w:rsidR="004706E9" w:rsidRPr="009E35ED" w:rsidRDefault="004706E9" w:rsidP="00D01CE9">
            <w:pPr>
              <w:suppressAutoHyphens/>
              <w:jc w:val="left"/>
              <w:rPr>
                <w:rFonts w:ascii="Arial" w:hAnsi="Arial" w:cs="Arial"/>
                <w:b/>
                <w:color w:val="000000" w:themeColor="text1"/>
                <w:sz w:val="18"/>
                <w:szCs w:val="18"/>
                <w:lang w:eastAsia="ar-SA"/>
              </w:rPr>
            </w:pPr>
          </w:p>
          <w:p w14:paraId="75935998" w14:textId="77777777" w:rsidR="004706E9" w:rsidRPr="009E35ED" w:rsidRDefault="004706E9" w:rsidP="00D01CE9">
            <w:pPr>
              <w:suppressAutoHyphens/>
              <w:ind w:left="-92"/>
              <w:jc w:val="left"/>
              <w:rPr>
                <w:rFonts w:ascii="Arial" w:hAnsi="Arial" w:cs="Arial"/>
                <w:b/>
                <w:color w:val="000000" w:themeColor="text1"/>
                <w:sz w:val="18"/>
                <w:szCs w:val="18"/>
                <w:lang w:eastAsia="ar-SA"/>
              </w:rPr>
            </w:pPr>
            <w:r w:rsidRPr="009E35ED">
              <w:rPr>
                <w:rFonts w:ascii="Arial" w:hAnsi="Arial" w:cs="Arial"/>
                <w:b/>
                <w:color w:val="000000" w:themeColor="text1"/>
                <w:sz w:val="18"/>
                <w:szCs w:val="18"/>
                <w:lang w:eastAsia="ar-SA"/>
              </w:rPr>
              <w:t>Frequency of draws</w:t>
            </w:r>
          </w:p>
        </w:tc>
        <w:tc>
          <w:tcPr>
            <w:tcW w:w="1565" w:type="pct"/>
            <w:tcBorders>
              <w:top w:val="single" w:sz="4" w:space="0" w:color="auto"/>
              <w:bottom w:val="single" w:sz="4" w:space="0" w:color="auto"/>
            </w:tcBorders>
            <w:vAlign w:val="bottom"/>
          </w:tcPr>
          <w:p w14:paraId="7AD49A36" w14:textId="77777777" w:rsidR="004706E9" w:rsidRPr="009E35ED" w:rsidRDefault="004706E9" w:rsidP="00BF0CB0">
            <w:pPr>
              <w:suppressAutoHyphens/>
              <w:jc w:val="center"/>
              <w:rPr>
                <w:rFonts w:ascii="Arial" w:hAnsi="Arial" w:cs="Arial"/>
                <w:b/>
                <w:color w:val="000000" w:themeColor="text1"/>
                <w:sz w:val="18"/>
                <w:szCs w:val="18"/>
                <w:lang w:eastAsia="ar-SA"/>
              </w:rPr>
            </w:pPr>
          </w:p>
          <w:p w14:paraId="492D082C" w14:textId="77777777" w:rsidR="004706E9" w:rsidRPr="009E35ED" w:rsidRDefault="004706E9" w:rsidP="00BF0CB0">
            <w:pPr>
              <w:suppressAutoHyphens/>
              <w:ind w:left="-146"/>
              <w:jc w:val="center"/>
              <w:rPr>
                <w:rFonts w:ascii="Arial" w:hAnsi="Arial" w:cs="Arial"/>
                <w:b/>
                <w:color w:val="000000" w:themeColor="text1"/>
                <w:sz w:val="18"/>
                <w:szCs w:val="18"/>
                <w:lang w:eastAsia="ar-SA"/>
              </w:rPr>
            </w:pPr>
            <w:r w:rsidRPr="009E35ED">
              <w:rPr>
                <w:rFonts w:ascii="Arial" w:hAnsi="Arial" w:cs="Arial"/>
                <w:b/>
                <w:color w:val="000000" w:themeColor="text1"/>
                <w:sz w:val="18"/>
                <w:szCs w:val="18"/>
                <w:lang w:eastAsia="ar-SA"/>
              </w:rPr>
              <w:t>Days</w:t>
            </w:r>
          </w:p>
        </w:tc>
        <w:tc>
          <w:tcPr>
            <w:tcW w:w="1012" w:type="pct"/>
            <w:tcBorders>
              <w:top w:val="single" w:sz="4" w:space="0" w:color="auto"/>
              <w:bottom w:val="single" w:sz="4" w:space="0" w:color="auto"/>
            </w:tcBorders>
            <w:vAlign w:val="bottom"/>
          </w:tcPr>
          <w:p w14:paraId="5F9F51E1" w14:textId="77777777" w:rsidR="004706E9" w:rsidRPr="009E35ED" w:rsidRDefault="004706E9" w:rsidP="00D01CE9">
            <w:pPr>
              <w:suppressAutoHyphens/>
              <w:ind w:left="-108" w:right="-108"/>
              <w:jc w:val="right"/>
              <w:rPr>
                <w:rFonts w:ascii="Arial" w:hAnsi="Arial" w:cs="Arial"/>
                <w:b/>
                <w:color w:val="000000" w:themeColor="text1"/>
                <w:sz w:val="18"/>
                <w:szCs w:val="18"/>
                <w:lang w:eastAsia="ar-SA"/>
              </w:rPr>
            </w:pPr>
            <w:r w:rsidRPr="009E35ED">
              <w:rPr>
                <w:rFonts w:ascii="Arial" w:hAnsi="Arial" w:cs="Arial"/>
                <w:b/>
                <w:color w:val="000000" w:themeColor="text1"/>
                <w:sz w:val="18"/>
                <w:szCs w:val="18"/>
                <w:lang w:eastAsia="ar-SA"/>
              </w:rPr>
              <w:t>Minimum Guaranteed Amount</w:t>
            </w:r>
          </w:p>
          <w:p w14:paraId="7E151307" w14:textId="13572DA5" w:rsidR="004706E9" w:rsidRPr="009E35ED" w:rsidRDefault="004706E9" w:rsidP="00D01CE9">
            <w:pPr>
              <w:suppressAutoHyphens/>
              <w:ind w:left="-108" w:right="-108"/>
              <w:jc w:val="right"/>
              <w:rPr>
                <w:rFonts w:ascii="Arial" w:hAnsi="Arial" w:cs="Arial"/>
                <w:b/>
                <w:color w:val="000000" w:themeColor="text1"/>
                <w:sz w:val="18"/>
                <w:szCs w:val="18"/>
                <w:lang w:eastAsia="ar-SA"/>
              </w:rPr>
            </w:pPr>
            <w:r w:rsidRPr="009E35ED">
              <w:rPr>
                <w:rFonts w:ascii="Arial" w:hAnsi="Arial" w:cs="Arial"/>
                <w:b/>
                <w:color w:val="000000" w:themeColor="text1"/>
                <w:sz w:val="18"/>
                <w:szCs w:val="18"/>
                <w:lang w:eastAsia="ar-SA"/>
              </w:rPr>
              <w:t xml:space="preserve">(per </w:t>
            </w:r>
            <w:r w:rsidR="00F10767">
              <w:rPr>
                <w:rFonts w:ascii="Arial" w:hAnsi="Arial" w:cs="Arial"/>
                <w:b/>
                <w:color w:val="000000" w:themeColor="text1"/>
                <w:sz w:val="18"/>
                <w:szCs w:val="18"/>
                <w:lang w:eastAsia="ar-SA"/>
              </w:rPr>
              <w:t>P</w:t>
            </w:r>
            <w:r w:rsidRPr="009E35ED">
              <w:rPr>
                <w:rFonts w:ascii="Arial" w:hAnsi="Arial" w:cs="Arial"/>
                <w:b/>
                <w:color w:val="000000" w:themeColor="text1"/>
                <w:sz w:val="18"/>
                <w:szCs w:val="18"/>
                <w:lang w:eastAsia="ar-SA"/>
              </w:rPr>
              <w:t xml:space="preserve"> 10 play)</w:t>
            </w:r>
          </w:p>
        </w:tc>
      </w:tr>
      <w:tr w:rsidR="00997F75" w:rsidRPr="009E35ED" w14:paraId="6C9FB038" w14:textId="77777777" w:rsidTr="00DE5E7B">
        <w:trPr>
          <w:trHeight w:val="283"/>
        </w:trPr>
        <w:tc>
          <w:tcPr>
            <w:tcW w:w="901" w:type="pct"/>
            <w:tcBorders>
              <w:top w:val="single" w:sz="4" w:space="0" w:color="auto"/>
              <w:bottom w:val="single" w:sz="4" w:space="0" w:color="auto"/>
            </w:tcBorders>
          </w:tcPr>
          <w:p w14:paraId="41C69F4E" w14:textId="4051D1C8" w:rsidR="004706E9" w:rsidRPr="009E35ED" w:rsidRDefault="004706E9" w:rsidP="00BF0CB0">
            <w:pPr>
              <w:pStyle w:val="ListParagraph"/>
              <w:suppressAutoHyphens/>
              <w:ind w:left="-110"/>
              <w:jc w:val="left"/>
              <w:rPr>
                <w:rFonts w:ascii="Arial" w:hAnsi="Arial" w:cs="Arial"/>
                <w:color w:val="000000" w:themeColor="text1"/>
                <w:sz w:val="18"/>
                <w:szCs w:val="18"/>
                <w:lang w:eastAsia="ar-SA"/>
              </w:rPr>
            </w:pPr>
            <w:r w:rsidRPr="009E35ED">
              <w:rPr>
                <w:rFonts w:ascii="Arial" w:hAnsi="Arial" w:cs="Arial"/>
                <w:color w:val="000000" w:themeColor="text1"/>
                <w:sz w:val="18"/>
                <w:szCs w:val="18"/>
                <w:lang w:eastAsia="ar-SA"/>
              </w:rPr>
              <w:t>6</w:t>
            </w:r>
            <w:r w:rsidR="00D01CE9" w:rsidRPr="009E35ED">
              <w:rPr>
                <w:rFonts w:ascii="Arial" w:hAnsi="Arial" w:cs="Arial"/>
                <w:color w:val="000000" w:themeColor="text1"/>
                <w:sz w:val="18"/>
                <w:szCs w:val="18"/>
                <w:lang w:eastAsia="ar-SA"/>
              </w:rPr>
              <w:t>D Lotto</w:t>
            </w:r>
          </w:p>
        </w:tc>
        <w:tc>
          <w:tcPr>
            <w:tcW w:w="1522" w:type="pct"/>
            <w:tcBorders>
              <w:top w:val="single" w:sz="4" w:space="0" w:color="auto"/>
              <w:bottom w:val="single" w:sz="4" w:space="0" w:color="auto"/>
            </w:tcBorders>
          </w:tcPr>
          <w:p w14:paraId="7BDA3BB7" w14:textId="77777777" w:rsidR="004706E9" w:rsidRPr="009E35ED" w:rsidRDefault="004706E9" w:rsidP="00D01CE9">
            <w:pPr>
              <w:pStyle w:val="ListParagraph"/>
              <w:suppressAutoHyphens/>
              <w:ind w:left="-110"/>
              <w:jc w:val="left"/>
              <w:rPr>
                <w:rFonts w:ascii="Arial" w:hAnsi="Arial" w:cs="Arial"/>
                <w:color w:val="000000" w:themeColor="text1"/>
                <w:sz w:val="18"/>
                <w:szCs w:val="18"/>
                <w:lang w:eastAsia="ar-SA"/>
              </w:rPr>
            </w:pPr>
            <w:r w:rsidRPr="009E35ED">
              <w:rPr>
                <w:rFonts w:ascii="Arial" w:hAnsi="Arial" w:cs="Arial"/>
                <w:color w:val="000000" w:themeColor="text1"/>
                <w:sz w:val="18"/>
                <w:szCs w:val="18"/>
                <w:lang w:eastAsia="ar-SA"/>
              </w:rPr>
              <w:t>Once (every 9PM)</w:t>
            </w:r>
          </w:p>
        </w:tc>
        <w:tc>
          <w:tcPr>
            <w:tcW w:w="1565" w:type="pct"/>
            <w:tcBorders>
              <w:top w:val="single" w:sz="4" w:space="0" w:color="auto"/>
              <w:bottom w:val="single" w:sz="4" w:space="0" w:color="auto"/>
            </w:tcBorders>
          </w:tcPr>
          <w:p w14:paraId="56B1FDC1" w14:textId="77777777" w:rsidR="004706E9" w:rsidRPr="009E35ED" w:rsidRDefault="004706E9" w:rsidP="00D01CE9">
            <w:pPr>
              <w:pStyle w:val="ListParagraph"/>
              <w:suppressAutoHyphens/>
              <w:ind w:left="-110"/>
              <w:jc w:val="left"/>
              <w:rPr>
                <w:rFonts w:ascii="Arial" w:hAnsi="Arial" w:cs="Arial"/>
                <w:color w:val="000000" w:themeColor="text1"/>
                <w:sz w:val="18"/>
                <w:szCs w:val="18"/>
                <w:lang w:eastAsia="ar-SA"/>
              </w:rPr>
            </w:pPr>
            <w:r w:rsidRPr="009E35ED">
              <w:rPr>
                <w:rFonts w:ascii="Arial" w:hAnsi="Arial" w:cs="Arial"/>
                <w:color w:val="000000" w:themeColor="text1"/>
                <w:sz w:val="18"/>
                <w:szCs w:val="18"/>
                <w:lang w:eastAsia="ar-SA"/>
              </w:rPr>
              <w:t>Tuesday/ Thursday/ Saturday</w:t>
            </w:r>
          </w:p>
        </w:tc>
        <w:tc>
          <w:tcPr>
            <w:tcW w:w="1012" w:type="pct"/>
            <w:tcBorders>
              <w:top w:val="single" w:sz="4" w:space="0" w:color="auto"/>
              <w:bottom w:val="single" w:sz="4" w:space="0" w:color="auto"/>
            </w:tcBorders>
          </w:tcPr>
          <w:p w14:paraId="0560C62F" w14:textId="77777777" w:rsidR="004706E9" w:rsidRPr="009E35ED" w:rsidRDefault="004706E9" w:rsidP="00BF0CB0">
            <w:pPr>
              <w:pStyle w:val="ListParagraph"/>
              <w:suppressAutoHyphens/>
              <w:ind w:left="-108" w:right="-108"/>
              <w:jc w:val="right"/>
              <w:rPr>
                <w:color w:val="000000" w:themeColor="text1"/>
                <w:sz w:val="18"/>
                <w:szCs w:val="18"/>
                <w:lang w:eastAsia="ar-SA"/>
              </w:rPr>
            </w:pPr>
            <w:r w:rsidRPr="009E35ED">
              <w:rPr>
                <w:rFonts w:ascii="Arial" w:hAnsi="Arial" w:cs="Arial"/>
                <w:color w:val="000000" w:themeColor="text1"/>
                <w:sz w:val="18"/>
                <w:szCs w:val="18"/>
                <w:lang w:eastAsia="ar-SA"/>
              </w:rPr>
              <w:t>P 150,000</w:t>
            </w:r>
          </w:p>
        </w:tc>
      </w:tr>
      <w:tr w:rsidR="00997F75" w:rsidRPr="009E35ED" w14:paraId="52D3D6C4" w14:textId="77777777" w:rsidTr="00DE5E7B">
        <w:trPr>
          <w:trHeight w:val="124"/>
        </w:trPr>
        <w:tc>
          <w:tcPr>
            <w:tcW w:w="901" w:type="pct"/>
            <w:tcBorders>
              <w:top w:val="single" w:sz="4" w:space="0" w:color="auto"/>
              <w:bottom w:val="single" w:sz="4" w:space="0" w:color="auto"/>
            </w:tcBorders>
          </w:tcPr>
          <w:p w14:paraId="4538488F" w14:textId="2D4AC302" w:rsidR="004706E9" w:rsidRPr="009E35ED" w:rsidRDefault="004706E9" w:rsidP="00BF0CB0">
            <w:pPr>
              <w:pStyle w:val="ListParagraph"/>
              <w:suppressAutoHyphens/>
              <w:ind w:left="-110"/>
              <w:jc w:val="left"/>
              <w:rPr>
                <w:rFonts w:ascii="Arial" w:hAnsi="Arial" w:cs="Arial"/>
                <w:color w:val="000000" w:themeColor="text1"/>
                <w:sz w:val="18"/>
                <w:szCs w:val="18"/>
                <w:lang w:eastAsia="ar-SA"/>
              </w:rPr>
            </w:pPr>
            <w:r w:rsidRPr="009E35ED">
              <w:rPr>
                <w:rFonts w:ascii="Arial" w:hAnsi="Arial" w:cs="Arial"/>
                <w:color w:val="000000" w:themeColor="text1"/>
                <w:sz w:val="18"/>
                <w:szCs w:val="18"/>
                <w:lang w:eastAsia="ar-SA"/>
              </w:rPr>
              <w:t>4</w:t>
            </w:r>
            <w:r w:rsidR="00D01CE9" w:rsidRPr="009E35ED">
              <w:rPr>
                <w:rFonts w:ascii="Arial" w:hAnsi="Arial" w:cs="Arial"/>
                <w:color w:val="000000" w:themeColor="text1"/>
                <w:sz w:val="18"/>
                <w:szCs w:val="18"/>
                <w:lang w:eastAsia="ar-SA"/>
              </w:rPr>
              <w:t>D Lotto</w:t>
            </w:r>
          </w:p>
        </w:tc>
        <w:tc>
          <w:tcPr>
            <w:tcW w:w="1522" w:type="pct"/>
            <w:tcBorders>
              <w:top w:val="single" w:sz="4" w:space="0" w:color="auto"/>
              <w:bottom w:val="single" w:sz="4" w:space="0" w:color="auto"/>
            </w:tcBorders>
          </w:tcPr>
          <w:p w14:paraId="1B44654D" w14:textId="000E08E1" w:rsidR="004706E9" w:rsidRPr="009E35ED" w:rsidRDefault="004706E9" w:rsidP="00D01CE9">
            <w:pPr>
              <w:pStyle w:val="ListParagraph"/>
              <w:suppressAutoHyphens/>
              <w:ind w:left="-110"/>
              <w:jc w:val="left"/>
              <w:rPr>
                <w:rFonts w:ascii="Arial" w:hAnsi="Arial" w:cs="Arial"/>
                <w:color w:val="000000" w:themeColor="text1"/>
                <w:sz w:val="18"/>
                <w:szCs w:val="18"/>
                <w:lang w:eastAsia="ar-SA"/>
              </w:rPr>
            </w:pPr>
            <w:r w:rsidRPr="009E35ED">
              <w:rPr>
                <w:rFonts w:ascii="Arial" w:hAnsi="Arial" w:cs="Arial"/>
                <w:color w:val="000000" w:themeColor="text1"/>
                <w:sz w:val="18"/>
                <w:szCs w:val="18"/>
                <w:lang w:eastAsia="ar-SA"/>
              </w:rPr>
              <w:t>Once (every 9PM)</w:t>
            </w:r>
          </w:p>
        </w:tc>
        <w:tc>
          <w:tcPr>
            <w:tcW w:w="1565" w:type="pct"/>
            <w:tcBorders>
              <w:top w:val="single" w:sz="4" w:space="0" w:color="auto"/>
              <w:bottom w:val="single" w:sz="4" w:space="0" w:color="auto"/>
            </w:tcBorders>
          </w:tcPr>
          <w:p w14:paraId="2CEEFD5A" w14:textId="77777777" w:rsidR="004706E9" w:rsidRPr="009E35ED" w:rsidRDefault="004706E9" w:rsidP="00D01CE9">
            <w:pPr>
              <w:pStyle w:val="ListParagraph"/>
              <w:suppressAutoHyphens/>
              <w:ind w:left="-110"/>
              <w:jc w:val="left"/>
              <w:rPr>
                <w:rFonts w:ascii="Arial" w:hAnsi="Arial" w:cs="Arial"/>
                <w:color w:val="000000" w:themeColor="text1"/>
                <w:sz w:val="18"/>
                <w:szCs w:val="18"/>
                <w:lang w:eastAsia="ar-SA"/>
              </w:rPr>
            </w:pPr>
            <w:r w:rsidRPr="009E35ED">
              <w:rPr>
                <w:rFonts w:ascii="Arial" w:hAnsi="Arial" w:cs="Arial"/>
                <w:color w:val="000000" w:themeColor="text1"/>
                <w:sz w:val="18"/>
                <w:szCs w:val="18"/>
                <w:lang w:eastAsia="ar-SA"/>
              </w:rPr>
              <w:t>Monday/ Wednesday/ Friday</w:t>
            </w:r>
          </w:p>
        </w:tc>
        <w:tc>
          <w:tcPr>
            <w:tcW w:w="1012" w:type="pct"/>
            <w:tcBorders>
              <w:top w:val="single" w:sz="4" w:space="0" w:color="auto"/>
              <w:bottom w:val="single" w:sz="4" w:space="0" w:color="auto"/>
            </w:tcBorders>
          </w:tcPr>
          <w:p w14:paraId="677A1DBD" w14:textId="77777777" w:rsidR="004706E9" w:rsidRPr="009E35ED" w:rsidRDefault="004706E9" w:rsidP="00BF0CB0">
            <w:pPr>
              <w:pStyle w:val="ListParagraph"/>
              <w:suppressAutoHyphens/>
              <w:ind w:left="-108" w:right="-108"/>
              <w:jc w:val="right"/>
              <w:rPr>
                <w:color w:val="000000" w:themeColor="text1"/>
                <w:sz w:val="18"/>
                <w:szCs w:val="18"/>
                <w:lang w:eastAsia="ar-SA"/>
              </w:rPr>
            </w:pPr>
            <w:r w:rsidRPr="009E35ED">
              <w:rPr>
                <w:rFonts w:ascii="Arial" w:hAnsi="Arial" w:cs="Arial"/>
                <w:color w:val="000000" w:themeColor="text1"/>
                <w:sz w:val="18"/>
                <w:szCs w:val="18"/>
                <w:lang w:eastAsia="ar-SA"/>
              </w:rPr>
              <w:t>P   10,000</w:t>
            </w:r>
          </w:p>
        </w:tc>
      </w:tr>
      <w:tr w:rsidR="00997F75" w:rsidRPr="009E35ED" w14:paraId="69807AD6" w14:textId="77777777" w:rsidTr="00DE5E7B">
        <w:trPr>
          <w:trHeight w:val="422"/>
        </w:trPr>
        <w:tc>
          <w:tcPr>
            <w:tcW w:w="901" w:type="pct"/>
            <w:tcBorders>
              <w:top w:val="single" w:sz="4" w:space="0" w:color="auto"/>
              <w:bottom w:val="single" w:sz="4" w:space="0" w:color="auto"/>
            </w:tcBorders>
          </w:tcPr>
          <w:p w14:paraId="23E307C1" w14:textId="34A73AE3" w:rsidR="004706E9" w:rsidRPr="009E35ED" w:rsidRDefault="004706E9" w:rsidP="00BF0CB0">
            <w:pPr>
              <w:pStyle w:val="ListParagraph"/>
              <w:suppressAutoHyphens/>
              <w:ind w:left="-110"/>
              <w:jc w:val="left"/>
              <w:rPr>
                <w:rFonts w:ascii="Arial" w:hAnsi="Arial" w:cs="Arial"/>
                <w:color w:val="000000" w:themeColor="text1"/>
                <w:sz w:val="18"/>
                <w:szCs w:val="18"/>
                <w:lang w:eastAsia="ar-SA"/>
              </w:rPr>
            </w:pPr>
            <w:r w:rsidRPr="009E35ED">
              <w:rPr>
                <w:rFonts w:ascii="Arial" w:hAnsi="Arial" w:cs="Arial"/>
                <w:color w:val="000000" w:themeColor="text1"/>
                <w:sz w:val="18"/>
                <w:szCs w:val="18"/>
                <w:lang w:eastAsia="ar-SA"/>
              </w:rPr>
              <w:t>3</w:t>
            </w:r>
            <w:r w:rsidR="00D01CE9" w:rsidRPr="009E35ED">
              <w:rPr>
                <w:rFonts w:ascii="Arial" w:hAnsi="Arial" w:cs="Arial"/>
                <w:color w:val="000000" w:themeColor="text1"/>
                <w:sz w:val="18"/>
                <w:szCs w:val="18"/>
                <w:lang w:eastAsia="ar-SA"/>
              </w:rPr>
              <w:t>D Lotto</w:t>
            </w:r>
          </w:p>
        </w:tc>
        <w:tc>
          <w:tcPr>
            <w:tcW w:w="1522" w:type="pct"/>
            <w:tcBorders>
              <w:top w:val="single" w:sz="4" w:space="0" w:color="auto"/>
              <w:bottom w:val="single" w:sz="4" w:space="0" w:color="auto"/>
            </w:tcBorders>
          </w:tcPr>
          <w:p w14:paraId="67189485" w14:textId="1C94AB5E" w:rsidR="004706E9" w:rsidRPr="009E35ED" w:rsidRDefault="004706E9" w:rsidP="00D01CE9">
            <w:pPr>
              <w:pStyle w:val="ListParagraph"/>
              <w:suppressAutoHyphens/>
              <w:ind w:left="-110" w:right="-110"/>
              <w:jc w:val="left"/>
              <w:rPr>
                <w:rFonts w:ascii="Arial" w:hAnsi="Arial" w:cs="Arial"/>
                <w:color w:val="000000" w:themeColor="text1"/>
                <w:sz w:val="18"/>
                <w:szCs w:val="18"/>
                <w:lang w:eastAsia="ar-SA"/>
              </w:rPr>
            </w:pPr>
            <w:r w:rsidRPr="009E35ED">
              <w:rPr>
                <w:rFonts w:ascii="Arial" w:hAnsi="Arial" w:cs="Arial"/>
                <w:color w:val="000000" w:themeColor="text1"/>
                <w:sz w:val="18"/>
                <w:szCs w:val="18"/>
                <w:lang w:eastAsia="ar-SA"/>
              </w:rPr>
              <w:t>Three times (3x) daily</w:t>
            </w:r>
          </w:p>
          <w:p w14:paraId="57AD35D4" w14:textId="371CCE06" w:rsidR="004706E9" w:rsidRPr="009E35ED" w:rsidRDefault="004706E9" w:rsidP="00D01CE9">
            <w:pPr>
              <w:pStyle w:val="ListParagraph"/>
              <w:suppressAutoHyphens/>
              <w:ind w:left="-110" w:right="-110"/>
              <w:jc w:val="left"/>
              <w:rPr>
                <w:rFonts w:ascii="Arial" w:hAnsi="Arial" w:cs="Arial"/>
                <w:color w:val="000000" w:themeColor="text1"/>
                <w:sz w:val="18"/>
                <w:szCs w:val="18"/>
                <w:lang w:eastAsia="ar-SA"/>
              </w:rPr>
            </w:pPr>
            <w:r w:rsidRPr="009E35ED">
              <w:rPr>
                <w:rFonts w:ascii="Arial" w:hAnsi="Arial" w:cs="Arial"/>
                <w:color w:val="000000" w:themeColor="text1"/>
                <w:sz w:val="18"/>
                <w:szCs w:val="18"/>
                <w:lang w:eastAsia="ar-SA"/>
              </w:rPr>
              <w:t>(2PM-5PM-9PM)</w:t>
            </w:r>
          </w:p>
        </w:tc>
        <w:tc>
          <w:tcPr>
            <w:tcW w:w="1565" w:type="pct"/>
            <w:tcBorders>
              <w:top w:val="single" w:sz="4" w:space="0" w:color="auto"/>
              <w:bottom w:val="single" w:sz="4" w:space="0" w:color="auto"/>
            </w:tcBorders>
          </w:tcPr>
          <w:p w14:paraId="5C278408" w14:textId="77777777" w:rsidR="004706E9" w:rsidRPr="009E35ED" w:rsidRDefault="004706E9" w:rsidP="00D01CE9">
            <w:pPr>
              <w:pStyle w:val="ListParagraph"/>
              <w:suppressAutoHyphens/>
              <w:ind w:left="-110"/>
              <w:jc w:val="left"/>
              <w:rPr>
                <w:rFonts w:ascii="Arial" w:hAnsi="Arial" w:cs="Arial"/>
                <w:color w:val="000000" w:themeColor="text1"/>
                <w:sz w:val="18"/>
                <w:szCs w:val="18"/>
                <w:lang w:eastAsia="ar-SA"/>
              </w:rPr>
            </w:pPr>
            <w:r w:rsidRPr="009E35ED">
              <w:rPr>
                <w:rFonts w:ascii="Arial" w:hAnsi="Arial" w:cs="Arial"/>
                <w:color w:val="000000" w:themeColor="text1"/>
                <w:sz w:val="18"/>
                <w:szCs w:val="18"/>
                <w:lang w:eastAsia="ar-SA"/>
              </w:rPr>
              <w:t>Monday to Sunday</w:t>
            </w:r>
          </w:p>
        </w:tc>
        <w:tc>
          <w:tcPr>
            <w:tcW w:w="1012" w:type="pct"/>
            <w:tcBorders>
              <w:top w:val="single" w:sz="4" w:space="0" w:color="auto"/>
              <w:bottom w:val="single" w:sz="4" w:space="0" w:color="auto"/>
            </w:tcBorders>
          </w:tcPr>
          <w:p w14:paraId="730106F6" w14:textId="77777777" w:rsidR="004706E9" w:rsidRPr="009E35ED" w:rsidRDefault="004706E9" w:rsidP="00BF0CB0">
            <w:pPr>
              <w:pStyle w:val="ListParagraph"/>
              <w:suppressAutoHyphens/>
              <w:ind w:left="-108" w:right="-108"/>
              <w:jc w:val="right"/>
              <w:rPr>
                <w:rFonts w:ascii="Arial" w:hAnsi="Arial" w:cs="Arial"/>
                <w:color w:val="000000" w:themeColor="text1"/>
                <w:sz w:val="18"/>
                <w:szCs w:val="18"/>
                <w:lang w:eastAsia="ar-SA"/>
              </w:rPr>
            </w:pPr>
            <w:r w:rsidRPr="009E35ED">
              <w:rPr>
                <w:rFonts w:ascii="Arial" w:hAnsi="Arial" w:cs="Arial"/>
                <w:color w:val="000000" w:themeColor="text1"/>
                <w:sz w:val="18"/>
                <w:szCs w:val="18"/>
                <w:lang w:eastAsia="ar-SA"/>
              </w:rPr>
              <w:t>P     4,500</w:t>
            </w:r>
          </w:p>
          <w:p w14:paraId="09750654" w14:textId="77777777" w:rsidR="004706E9" w:rsidRPr="009E35ED" w:rsidRDefault="004706E9" w:rsidP="00BF0CB0">
            <w:pPr>
              <w:pStyle w:val="ListParagraph"/>
              <w:suppressAutoHyphens/>
              <w:ind w:left="-108" w:right="-108"/>
              <w:jc w:val="right"/>
              <w:rPr>
                <w:rFonts w:ascii="Arial" w:hAnsi="Arial" w:cs="Arial"/>
                <w:color w:val="000000" w:themeColor="text1"/>
                <w:sz w:val="18"/>
                <w:szCs w:val="18"/>
                <w:lang w:eastAsia="ar-SA"/>
              </w:rPr>
            </w:pPr>
          </w:p>
        </w:tc>
      </w:tr>
      <w:tr w:rsidR="00997F75" w:rsidRPr="009E35ED" w14:paraId="70710157" w14:textId="77777777" w:rsidTr="00DE5E7B">
        <w:trPr>
          <w:trHeight w:val="105"/>
        </w:trPr>
        <w:tc>
          <w:tcPr>
            <w:tcW w:w="901" w:type="pct"/>
            <w:tcBorders>
              <w:top w:val="single" w:sz="4" w:space="0" w:color="auto"/>
              <w:bottom w:val="single" w:sz="4" w:space="0" w:color="auto"/>
            </w:tcBorders>
          </w:tcPr>
          <w:p w14:paraId="00F55809" w14:textId="1627C825" w:rsidR="004706E9" w:rsidRPr="009E35ED" w:rsidRDefault="004706E9" w:rsidP="003F7640">
            <w:pPr>
              <w:pStyle w:val="ListParagraph"/>
              <w:suppressAutoHyphens/>
              <w:ind w:left="-110"/>
              <w:jc w:val="left"/>
              <w:rPr>
                <w:rFonts w:ascii="Arial" w:hAnsi="Arial" w:cs="Arial"/>
                <w:color w:val="000000" w:themeColor="text1"/>
                <w:sz w:val="18"/>
                <w:szCs w:val="18"/>
                <w:lang w:eastAsia="ar-SA"/>
              </w:rPr>
            </w:pPr>
            <w:r w:rsidRPr="009E35ED">
              <w:rPr>
                <w:rFonts w:ascii="Arial" w:hAnsi="Arial" w:cs="Arial"/>
                <w:color w:val="000000" w:themeColor="text1"/>
                <w:sz w:val="18"/>
                <w:szCs w:val="18"/>
                <w:lang w:eastAsia="ar-SA"/>
              </w:rPr>
              <w:t>2</w:t>
            </w:r>
            <w:r w:rsidR="00D01CE9" w:rsidRPr="009E35ED">
              <w:rPr>
                <w:rFonts w:ascii="Arial" w:hAnsi="Arial" w:cs="Arial"/>
                <w:color w:val="000000" w:themeColor="text1"/>
                <w:sz w:val="18"/>
                <w:szCs w:val="18"/>
                <w:lang w:eastAsia="ar-SA"/>
              </w:rPr>
              <w:t>D Lotto</w:t>
            </w:r>
            <w:r w:rsidR="00986F56" w:rsidRPr="009E35ED">
              <w:rPr>
                <w:rFonts w:ascii="Arial" w:hAnsi="Arial" w:cs="Arial"/>
                <w:color w:val="000000" w:themeColor="text1"/>
                <w:sz w:val="18"/>
                <w:szCs w:val="18"/>
                <w:lang w:eastAsia="ar-SA"/>
              </w:rPr>
              <w:t xml:space="preserve"> </w:t>
            </w:r>
          </w:p>
        </w:tc>
        <w:tc>
          <w:tcPr>
            <w:tcW w:w="1522" w:type="pct"/>
            <w:tcBorders>
              <w:top w:val="single" w:sz="4" w:space="0" w:color="auto"/>
              <w:bottom w:val="single" w:sz="4" w:space="0" w:color="auto"/>
            </w:tcBorders>
          </w:tcPr>
          <w:p w14:paraId="23F7A782" w14:textId="0E7EFF08" w:rsidR="004706E9" w:rsidRPr="009E35ED" w:rsidRDefault="004706E9" w:rsidP="00D01CE9">
            <w:pPr>
              <w:pStyle w:val="ListParagraph"/>
              <w:suppressAutoHyphens/>
              <w:ind w:left="-110" w:right="-110"/>
              <w:jc w:val="left"/>
              <w:rPr>
                <w:rFonts w:ascii="Arial" w:hAnsi="Arial" w:cs="Arial"/>
                <w:color w:val="000000" w:themeColor="text1"/>
                <w:sz w:val="18"/>
                <w:szCs w:val="18"/>
                <w:lang w:eastAsia="ar-SA"/>
              </w:rPr>
            </w:pPr>
            <w:r w:rsidRPr="009E35ED">
              <w:rPr>
                <w:rFonts w:ascii="Arial" w:hAnsi="Arial" w:cs="Arial"/>
                <w:color w:val="000000" w:themeColor="text1"/>
                <w:sz w:val="18"/>
                <w:szCs w:val="18"/>
                <w:lang w:eastAsia="ar-SA"/>
              </w:rPr>
              <w:t>Three times (3x) daily</w:t>
            </w:r>
          </w:p>
          <w:p w14:paraId="5F3F0126" w14:textId="25FADCDC" w:rsidR="004706E9" w:rsidRPr="009E35ED" w:rsidRDefault="004706E9" w:rsidP="00D01CE9">
            <w:pPr>
              <w:pStyle w:val="ListParagraph"/>
              <w:suppressAutoHyphens/>
              <w:ind w:left="-110" w:right="-110"/>
              <w:jc w:val="left"/>
              <w:rPr>
                <w:rFonts w:ascii="Arial" w:hAnsi="Arial" w:cs="Arial"/>
                <w:color w:val="000000" w:themeColor="text1"/>
                <w:sz w:val="18"/>
                <w:szCs w:val="18"/>
                <w:lang w:eastAsia="ar-SA"/>
              </w:rPr>
            </w:pPr>
            <w:r w:rsidRPr="009E35ED">
              <w:rPr>
                <w:rFonts w:ascii="Arial" w:hAnsi="Arial" w:cs="Arial"/>
                <w:color w:val="000000" w:themeColor="text1"/>
                <w:sz w:val="18"/>
                <w:szCs w:val="18"/>
                <w:lang w:eastAsia="ar-SA"/>
              </w:rPr>
              <w:t>(2PM-5PM-9PM)</w:t>
            </w:r>
          </w:p>
        </w:tc>
        <w:tc>
          <w:tcPr>
            <w:tcW w:w="1565" w:type="pct"/>
            <w:tcBorders>
              <w:top w:val="single" w:sz="4" w:space="0" w:color="auto"/>
              <w:bottom w:val="single" w:sz="4" w:space="0" w:color="auto"/>
            </w:tcBorders>
          </w:tcPr>
          <w:p w14:paraId="3D1D7A8D" w14:textId="77777777" w:rsidR="004706E9" w:rsidRPr="009E35ED" w:rsidRDefault="004706E9" w:rsidP="00D01CE9">
            <w:pPr>
              <w:pStyle w:val="ListParagraph"/>
              <w:suppressAutoHyphens/>
              <w:ind w:left="-110"/>
              <w:jc w:val="left"/>
              <w:rPr>
                <w:rFonts w:ascii="Arial" w:hAnsi="Arial" w:cs="Arial"/>
                <w:color w:val="000000" w:themeColor="text1"/>
                <w:sz w:val="18"/>
                <w:szCs w:val="18"/>
                <w:lang w:eastAsia="ar-SA"/>
              </w:rPr>
            </w:pPr>
            <w:r w:rsidRPr="009E35ED">
              <w:rPr>
                <w:rFonts w:ascii="Arial" w:hAnsi="Arial" w:cs="Arial"/>
                <w:color w:val="000000" w:themeColor="text1"/>
                <w:sz w:val="18"/>
                <w:szCs w:val="18"/>
                <w:lang w:eastAsia="ar-SA"/>
              </w:rPr>
              <w:t>Monday to Sunday</w:t>
            </w:r>
          </w:p>
        </w:tc>
        <w:tc>
          <w:tcPr>
            <w:tcW w:w="1012" w:type="pct"/>
            <w:tcBorders>
              <w:top w:val="single" w:sz="4" w:space="0" w:color="auto"/>
              <w:bottom w:val="single" w:sz="4" w:space="0" w:color="auto"/>
            </w:tcBorders>
          </w:tcPr>
          <w:p w14:paraId="2EF34DD0" w14:textId="77777777" w:rsidR="004706E9" w:rsidRPr="009E35ED" w:rsidRDefault="004706E9" w:rsidP="00BF0CB0">
            <w:pPr>
              <w:pStyle w:val="ListParagraph"/>
              <w:suppressAutoHyphens/>
              <w:ind w:left="-108" w:right="-108"/>
              <w:jc w:val="right"/>
              <w:rPr>
                <w:rFonts w:ascii="Arial" w:hAnsi="Arial" w:cs="Arial"/>
                <w:color w:val="000000" w:themeColor="text1"/>
                <w:sz w:val="18"/>
                <w:szCs w:val="18"/>
                <w:lang w:eastAsia="ar-SA"/>
              </w:rPr>
            </w:pPr>
            <w:r w:rsidRPr="009E35ED">
              <w:rPr>
                <w:rFonts w:ascii="Arial" w:hAnsi="Arial" w:cs="Arial"/>
                <w:color w:val="000000" w:themeColor="text1"/>
                <w:sz w:val="18"/>
                <w:szCs w:val="18"/>
                <w:lang w:eastAsia="ar-SA"/>
              </w:rPr>
              <w:t>P     4,000</w:t>
            </w:r>
          </w:p>
          <w:p w14:paraId="46FCEF31" w14:textId="77777777" w:rsidR="004706E9" w:rsidRPr="009E35ED" w:rsidRDefault="004706E9" w:rsidP="00BF0CB0">
            <w:pPr>
              <w:pStyle w:val="ListParagraph"/>
              <w:suppressAutoHyphens/>
              <w:ind w:left="-108" w:right="-108"/>
              <w:jc w:val="right"/>
              <w:rPr>
                <w:rFonts w:ascii="Arial" w:hAnsi="Arial" w:cs="Arial"/>
                <w:color w:val="000000" w:themeColor="text1"/>
                <w:sz w:val="18"/>
                <w:szCs w:val="18"/>
                <w:lang w:eastAsia="ar-SA"/>
              </w:rPr>
            </w:pPr>
          </w:p>
        </w:tc>
      </w:tr>
    </w:tbl>
    <w:p w14:paraId="47D9C2E6" w14:textId="678F5497" w:rsidR="005E2989" w:rsidRPr="009E35ED" w:rsidRDefault="0085009E" w:rsidP="00803F8C">
      <w:pPr>
        <w:ind w:left="0"/>
        <w:rPr>
          <w:rFonts w:ascii="Arial" w:hAnsi="Arial" w:cs="Arial"/>
          <w:color w:val="000000" w:themeColor="text1"/>
          <w:sz w:val="22"/>
          <w:szCs w:val="22"/>
        </w:rPr>
      </w:pPr>
      <w:r w:rsidRPr="009E35ED">
        <w:rPr>
          <w:rFonts w:ascii="Arial" w:hAnsi="Arial" w:cs="Arial"/>
          <w:color w:val="000000" w:themeColor="text1"/>
          <w:sz w:val="22"/>
          <w:szCs w:val="22"/>
        </w:rPr>
        <w:t xml:space="preserve">     </w:t>
      </w:r>
    </w:p>
    <w:p w14:paraId="4540129A" w14:textId="2AAF97CF" w:rsidR="0085009E" w:rsidRPr="009E35ED" w:rsidRDefault="006F7979" w:rsidP="00997F75">
      <w:pPr>
        <w:ind w:left="0"/>
        <w:rPr>
          <w:rFonts w:ascii="Arial" w:hAnsi="Arial" w:cs="Arial"/>
          <w:b/>
          <w:color w:val="000000" w:themeColor="text1"/>
          <w:sz w:val="22"/>
          <w:szCs w:val="22"/>
        </w:rPr>
      </w:pPr>
      <w:r w:rsidRPr="009E35ED">
        <w:rPr>
          <w:rFonts w:ascii="Arial" w:hAnsi="Arial" w:cs="Arial"/>
          <w:b/>
          <w:color w:val="000000" w:themeColor="text1"/>
          <w:sz w:val="22"/>
          <w:szCs w:val="22"/>
        </w:rPr>
        <w:t>Lotto Prize Fund and Revenue Allocation</w:t>
      </w:r>
    </w:p>
    <w:p w14:paraId="4616699F" w14:textId="77777777" w:rsidR="006F7979" w:rsidRPr="009E35ED" w:rsidRDefault="006F7979" w:rsidP="00803F8C">
      <w:pPr>
        <w:pStyle w:val="ListParagraph"/>
        <w:ind w:left="540"/>
        <w:rPr>
          <w:rFonts w:ascii="Arial" w:hAnsi="Arial" w:cs="Arial"/>
          <w:b/>
          <w:color w:val="000000" w:themeColor="text1"/>
          <w:sz w:val="22"/>
          <w:szCs w:val="22"/>
        </w:rPr>
      </w:pPr>
    </w:p>
    <w:p w14:paraId="62AB2292" w14:textId="2E88D5D7" w:rsidR="00C460F7" w:rsidRPr="009E35ED" w:rsidRDefault="00C460F7" w:rsidP="00803F8C">
      <w:pPr>
        <w:ind w:left="0"/>
        <w:rPr>
          <w:rFonts w:ascii="Arial" w:hAnsi="Arial" w:cs="Arial"/>
          <w:color w:val="000000" w:themeColor="text1"/>
          <w:sz w:val="22"/>
          <w:szCs w:val="22"/>
        </w:rPr>
      </w:pPr>
      <w:r w:rsidRPr="009E35ED">
        <w:rPr>
          <w:rFonts w:ascii="Arial" w:hAnsi="Arial" w:cs="Arial"/>
          <w:color w:val="000000" w:themeColor="text1"/>
          <w:sz w:val="22"/>
          <w:szCs w:val="22"/>
        </w:rPr>
        <w:t xml:space="preserve">PCSO Board approved the </w:t>
      </w:r>
      <w:r w:rsidR="00265516" w:rsidRPr="009E35ED">
        <w:rPr>
          <w:rFonts w:ascii="Arial" w:hAnsi="Arial" w:cs="Arial"/>
          <w:color w:val="000000" w:themeColor="text1"/>
          <w:sz w:val="22"/>
          <w:szCs w:val="22"/>
        </w:rPr>
        <w:t>new</w:t>
      </w:r>
      <w:r w:rsidRPr="009E35ED">
        <w:rPr>
          <w:rFonts w:ascii="Arial" w:hAnsi="Arial" w:cs="Arial"/>
          <w:color w:val="000000" w:themeColor="text1"/>
          <w:sz w:val="22"/>
          <w:szCs w:val="22"/>
        </w:rPr>
        <w:t xml:space="preserve"> prize structure for the </w:t>
      </w:r>
      <w:r w:rsidR="000C13F8" w:rsidRPr="009E35ED">
        <w:rPr>
          <w:rFonts w:ascii="Arial" w:hAnsi="Arial" w:cs="Arial"/>
          <w:color w:val="000000" w:themeColor="text1"/>
          <w:sz w:val="22"/>
          <w:szCs w:val="22"/>
        </w:rPr>
        <w:t xml:space="preserve">high/low tier prizes on the </w:t>
      </w:r>
      <w:r w:rsidRPr="009E35ED">
        <w:rPr>
          <w:rFonts w:ascii="Arial" w:hAnsi="Arial" w:cs="Arial"/>
          <w:color w:val="000000" w:themeColor="text1"/>
          <w:sz w:val="22"/>
          <w:szCs w:val="22"/>
        </w:rPr>
        <w:t>Jackpot Bearing Lotto Games from pari-mutuel to fixed prize</w:t>
      </w:r>
      <w:r w:rsidR="00AD3648" w:rsidRPr="009E35ED">
        <w:rPr>
          <w:rFonts w:ascii="Arial" w:hAnsi="Arial" w:cs="Arial"/>
          <w:color w:val="000000" w:themeColor="text1"/>
          <w:sz w:val="22"/>
          <w:szCs w:val="22"/>
        </w:rPr>
        <w:t xml:space="preserve"> payout</w:t>
      </w:r>
      <w:r w:rsidRPr="009E35ED">
        <w:rPr>
          <w:rFonts w:ascii="Arial" w:hAnsi="Arial" w:cs="Arial"/>
          <w:color w:val="000000" w:themeColor="text1"/>
          <w:sz w:val="22"/>
          <w:szCs w:val="22"/>
        </w:rPr>
        <w:t xml:space="preserve"> and </w:t>
      </w:r>
      <w:r w:rsidR="000C13F8" w:rsidRPr="009E35ED">
        <w:rPr>
          <w:rFonts w:ascii="Arial" w:hAnsi="Arial" w:cs="Arial"/>
          <w:color w:val="000000" w:themeColor="text1"/>
          <w:sz w:val="22"/>
          <w:szCs w:val="22"/>
        </w:rPr>
        <w:t>amended</w:t>
      </w:r>
      <w:r w:rsidRPr="009E35ED">
        <w:rPr>
          <w:rFonts w:ascii="Arial" w:hAnsi="Arial" w:cs="Arial"/>
          <w:color w:val="000000" w:themeColor="text1"/>
          <w:sz w:val="22"/>
          <w:szCs w:val="22"/>
        </w:rPr>
        <w:t xml:space="preserve"> the Revenue Allocation wherein the Documentary Stamp Tax (DST) is charged to the Charity Fund in accordance with RA No. 11223 otherwise known as the “Universal Health Care Act” per Board Resolution </w:t>
      </w:r>
      <w:r w:rsidR="00F6182B">
        <w:rPr>
          <w:rFonts w:ascii="Arial" w:hAnsi="Arial" w:cs="Arial"/>
          <w:color w:val="000000" w:themeColor="text1"/>
          <w:sz w:val="22"/>
          <w:szCs w:val="22"/>
        </w:rPr>
        <w:t xml:space="preserve">(BR) </w:t>
      </w:r>
      <w:r w:rsidRPr="009E35ED">
        <w:rPr>
          <w:rFonts w:ascii="Arial" w:hAnsi="Arial" w:cs="Arial"/>
          <w:color w:val="000000" w:themeColor="text1"/>
          <w:sz w:val="22"/>
          <w:szCs w:val="22"/>
        </w:rPr>
        <w:t>No. 0057 series 2020</w:t>
      </w:r>
      <w:r w:rsidR="00AD3648" w:rsidRPr="009E35ED">
        <w:rPr>
          <w:rFonts w:ascii="Arial" w:hAnsi="Arial" w:cs="Arial"/>
          <w:color w:val="000000" w:themeColor="text1"/>
          <w:sz w:val="22"/>
          <w:szCs w:val="22"/>
        </w:rPr>
        <w:t xml:space="preserve"> </w:t>
      </w:r>
      <w:r w:rsidR="00265516" w:rsidRPr="009E35ED">
        <w:rPr>
          <w:rFonts w:ascii="Arial" w:hAnsi="Arial" w:cs="Arial"/>
          <w:color w:val="000000" w:themeColor="text1"/>
          <w:sz w:val="22"/>
          <w:szCs w:val="22"/>
        </w:rPr>
        <w:t xml:space="preserve">dated February 12, 2020, </w:t>
      </w:r>
      <w:r w:rsidR="000C13F8" w:rsidRPr="009E35ED">
        <w:rPr>
          <w:rFonts w:ascii="Arial" w:hAnsi="Arial" w:cs="Arial"/>
          <w:color w:val="000000" w:themeColor="text1"/>
          <w:sz w:val="22"/>
          <w:szCs w:val="22"/>
        </w:rPr>
        <w:t xml:space="preserve">in order </w:t>
      </w:r>
      <w:r w:rsidR="00AD3648" w:rsidRPr="009E35ED">
        <w:rPr>
          <w:rFonts w:ascii="Arial" w:hAnsi="Arial" w:cs="Arial"/>
          <w:color w:val="000000" w:themeColor="text1"/>
          <w:sz w:val="22"/>
          <w:szCs w:val="22"/>
        </w:rPr>
        <w:t>to make the game prizes more definite and to attract loyal patronage</w:t>
      </w:r>
      <w:r w:rsidRPr="009E35ED">
        <w:rPr>
          <w:rFonts w:ascii="Arial" w:hAnsi="Arial" w:cs="Arial"/>
          <w:color w:val="000000" w:themeColor="text1"/>
          <w:sz w:val="22"/>
          <w:szCs w:val="22"/>
        </w:rPr>
        <w:t>.</w:t>
      </w:r>
    </w:p>
    <w:p w14:paraId="0C34E8F6" w14:textId="77777777" w:rsidR="001D68E0" w:rsidRDefault="001D68E0" w:rsidP="00803F8C">
      <w:pPr>
        <w:ind w:left="0"/>
        <w:rPr>
          <w:rFonts w:ascii="Arial" w:hAnsi="Arial" w:cs="Arial"/>
          <w:color w:val="000000" w:themeColor="text1"/>
          <w:sz w:val="22"/>
          <w:szCs w:val="22"/>
        </w:rPr>
      </w:pPr>
    </w:p>
    <w:p w14:paraId="56AAA976" w14:textId="77777777" w:rsidR="00DE5E7B" w:rsidRDefault="00DE5E7B" w:rsidP="00803F8C">
      <w:pPr>
        <w:ind w:left="0"/>
        <w:rPr>
          <w:rFonts w:ascii="Arial" w:hAnsi="Arial" w:cs="Arial"/>
          <w:color w:val="000000" w:themeColor="text1"/>
          <w:sz w:val="22"/>
          <w:szCs w:val="22"/>
        </w:rPr>
      </w:pPr>
    </w:p>
    <w:p w14:paraId="6C33E72F" w14:textId="77777777" w:rsidR="00DE5E7B" w:rsidRDefault="00DE5E7B" w:rsidP="00803F8C">
      <w:pPr>
        <w:ind w:left="0"/>
        <w:rPr>
          <w:rFonts w:ascii="Arial" w:hAnsi="Arial" w:cs="Arial"/>
          <w:color w:val="000000" w:themeColor="text1"/>
          <w:sz w:val="22"/>
          <w:szCs w:val="22"/>
        </w:rPr>
      </w:pPr>
    </w:p>
    <w:p w14:paraId="1E38F5AE" w14:textId="77777777" w:rsidR="00DE5E7B" w:rsidRDefault="00DE5E7B" w:rsidP="00803F8C">
      <w:pPr>
        <w:ind w:left="0"/>
        <w:rPr>
          <w:rFonts w:ascii="Arial" w:hAnsi="Arial" w:cs="Arial"/>
          <w:color w:val="000000" w:themeColor="text1"/>
          <w:sz w:val="22"/>
          <w:szCs w:val="22"/>
        </w:rPr>
      </w:pPr>
    </w:p>
    <w:p w14:paraId="4E28E65D" w14:textId="77777777" w:rsidR="00DE5E7B" w:rsidRPr="009E35ED" w:rsidRDefault="00DE5E7B" w:rsidP="00803F8C">
      <w:pPr>
        <w:ind w:left="0"/>
        <w:rPr>
          <w:rFonts w:ascii="Arial" w:hAnsi="Arial" w:cs="Arial"/>
          <w:color w:val="000000" w:themeColor="text1"/>
          <w:sz w:val="22"/>
          <w:szCs w:val="22"/>
        </w:rPr>
      </w:pPr>
    </w:p>
    <w:p w14:paraId="1359A31F" w14:textId="1D7BF612" w:rsidR="00122498" w:rsidRPr="009E35ED" w:rsidRDefault="00265516" w:rsidP="00803F8C">
      <w:pPr>
        <w:ind w:left="0"/>
        <w:rPr>
          <w:rFonts w:ascii="Arial" w:hAnsi="Arial" w:cs="Arial"/>
          <w:color w:val="000000" w:themeColor="text1"/>
          <w:sz w:val="22"/>
          <w:szCs w:val="22"/>
        </w:rPr>
      </w:pPr>
      <w:r w:rsidRPr="009E35ED">
        <w:rPr>
          <w:rFonts w:ascii="Arial" w:hAnsi="Arial" w:cs="Arial"/>
          <w:color w:val="000000" w:themeColor="text1"/>
          <w:sz w:val="22"/>
          <w:szCs w:val="22"/>
        </w:rPr>
        <w:lastRenderedPageBreak/>
        <w:t xml:space="preserve">Below are the </w:t>
      </w:r>
      <w:r w:rsidR="0085009E" w:rsidRPr="009E35ED">
        <w:rPr>
          <w:rFonts w:ascii="Arial" w:hAnsi="Arial" w:cs="Arial"/>
          <w:color w:val="000000" w:themeColor="text1"/>
          <w:sz w:val="22"/>
          <w:szCs w:val="22"/>
        </w:rPr>
        <w:t>new prize structure</w:t>
      </w:r>
      <w:r w:rsidR="00636FC4" w:rsidRPr="009E35ED">
        <w:rPr>
          <w:rFonts w:ascii="Arial" w:hAnsi="Arial" w:cs="Arial"/>
          <w:color w:val="000000" w:themeColor="text1"/>
          <w:sz w:val="22"/>
          <w:szCs w:val="22"/>
        </w:rPr>
        <w:t>s of Lotto Games</w:t>
      </w:r>
      <w:r w:rsidR="00FF4DF4" w:rsidRPr="009E35ED">
        <w:rPr>
          <w:rFonts w:ascii="Arial" w:hAnsi="Arial" w:cs="Arial"/>
          <w:color w:val="000000" w:themeColor="text1"/>
          <w:sz w:val="22"/>
          <w:szCs w:val="22"/>
        </w:rPr>
        <w:t>:</w:t>
      </w:r>
    </w:p>
    <w:p w14:paraId="33BEF80E" w14:textId="77777777" w:rsidR="00520156" w:rsidRDefault="00520156" w:rsidP="00803F8C">
      <w:pPr>
        <w:ind w:left="0"/>
        <w:rPr>
          <w:rFonts w:ascii="Arial" w:hAnsi="Arial" w:cs="Arial"/>
          <w:color w:val="000000" w:themeColor="text1"/>
          <w:sz w:val="22"/>
          <w:szCs w:val="22"/>
        </w:rPr>
      </w:pPr>
    </w:p>
    <w:tbl>
      <w:tblPr>
        <w:tblStyle w:val="TableGrid"/>
        <w:tblW w:w="86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93"/>
        <w:gridCol w:w="2127"/>
        <w:gridCol w:w="2126"/>
        <w:gridCol w:w="2794"/>
      </w:tblGrid>
      <w:tr w:rsidR="00997F75" w:rsidRPr="009E35ED" w14:paraId="10393136" w14:textId="725052EA" w:rsidTr="00DE5E7B">
        <w:tc>
          <w:tcPr>
            <w:tcW w:w="1593" w:type="dxa"/>
            <w:vMerge w:val="restart"/>
            <w:tcBorders>
              <w:top w:val="single" w:sz="4" w:space="0" w:color="auto"/>
            </w:tcBorders>
          </w:tcPr>
          <w:p w14:paraId="242A5858" w14:textId="77777777" w:rsidR="00DE5E7B" w:rsidRDefault="00DE5E7B" w:rsidP="00423FE8">
            <w:pPr>
              <w:ind w:left="0" w:hanging="108"/>
              <w:jc w:val="left"/>
              <w:rPr>
                <w:rFonts w:ascii="Arial" w:hAnsi="Arial" w:cs="Arial"/>
                <w:b/>
                <w:bCs/>
                <w:color w:val="000000" w:themeColor="text1"/>
                <w:sz w:val="18"/>
                <w:szCs w:val="18"/>
                <w:lang w:eastAsia="ar-SA"/>
              </w:rPr>
            </w:pPr>
          </w:p>
          <w:p w14:paraId="403F10EB" w14:textId="53CF6B9F" w:rsidR="00423FE8" w:rsidRPr="009E35ED" w:rsidRDefault="00423FE8" w:rsidP="00423FE8">
            <w:pPr>
              <w:ind w:left="0" w:hanging="108"/>
              <w:jc w:val="left"/>
              <w:rPr>
                <w:rFonts w:ascii="Arial" w:hAnsi="Arial" w:cs="Arial"/>
                <w:color w:val="000000" w:themeColor="text1"/>
                <w:sz w:val="18"/>
                <w:szCs w:val="18"/>
              </w:rPr>
            </w:pPr>
            <w:r w:rsidRPr="009E35ED">
              <w:rPr>
                <w:rFonts w:ascii="Arial" w:hAnsi="Arial" w:cs="Arial"/>
                <w:b/>
                <w:bCs/>
                <w:color w:val="000000" w:themeColor="text1"/>
                <w:sz w:val="18"/>
                <w:szCs w:val="18"/>
                <w:lang w:eastAsia="ar-SA"/>
              </w:rPr>
              <w:t>LOTTO GAME</w:t>
            </w:r>
          </w:p>
        </w:tc>
        <w:tc>
          <w:tcPr>
            <w:tcW w:w="7047" w:type="dxa"/>
            <w:gridSpan w:val="3"/>
            <w:tcBorders>
              <w:top w:val="single" w:sz="4" w:space="0" w:color="auto"/>
            </w:tcBorders>
            <w:vAlign w:val="center"/>
          </w:tcPr>
          <w:p w14:paraId="0E89DC43" w14:textId="73A26183" w:rsidR="00423FE8" w:rsidRPr="009E35ED" w:rsidRDefault="00423FE8" w:rsidP="002A3567">
            <w:pPr>
              <w:ind w:left="0"/>
              <w:jc w:val="center"/>
              <w:rPr>
                <w:rFonts w:ascii="Arial" w:hAnsi="Arial" w:cs="Arial"/>
                <w:b/>
                <w:bCs/>
                <w:color w:val="000000" w:themeColor="text1"/>
                <w:sz w:val="18"/>
                <w:szCs w:val="18"/>
                <w:lang w:eastAsia="ar-SA"/>
              </w:rPr>
            </w:pPr>
            <w:r w:rsidRPr="009E35ED">
              <w:rPr>
                <w:rFonts w:ascii="Arial" w:hAnsi="Arial" w:cs="Arial"/>
                <w:b/>
                <w:bCs/>
                <w:color w:val="000000" w:themeColor="text1"/>
                <w:sz w:val="18"/>
                <w:szCs w:val="18"/>
                <w:lang w:eastAsia="ar-SA"/>
              </w:rPr>
              <w:t xml:space="preserve">            AMOUNT PER SHARE</w:t>
            </w:r>
          </w:p>
        </w:tc>
      </w:tr>
      <w:tr w:rsidR="00997F75" w:rsidRPr="009E35ED" w14:paraId="2A7B959E" w14:textId="59D3B68D" w:rsidTr="00DE5E7B">
        <w:tc>
          <w:tcPr>
            <w:tcW w:w="1593" w:type="dxa"/>
            <w:vMerge/>
            <w:tcBorders>
              <w:bottom w:val="single" w:sz="4" w:space="0" w:color="auto"/>
            </w:tcBorders>
          </w:tcPr>
          <w:p w14:paraId="7D21AA72" w14:textId="77777777" w:rsidR="00423FE8" w:rsidRPr="009E35ED" w:rsidRDefault="00423FE8" w:rsidP="00FF4DF4">
            <w:pPr>
              <w:ind w:left="0" w:hanging="108"/>
              <w:jc w:val="center"/>
              <w:rPr>
                <w:rFonts w:ascii="Arial" w:hAnsi="Arial" w:cs="Arial"/>
                <w:color w:val="000000" w:themeColor="text1"/>
                <w:sz w:val="18"/>
                <w:szCs w:val="18"/>
              </w:rPr>
            </w:pPr>
          </w:p>
        </w:tc>
        <w:tc>
          <w:tcPr>
            <w:tcW w:w="2127" w:type="dxa"/>
            <w:tcBorders>
              <w:bottom w:val="single" w:sz="4" w:space="0" w:color="auto"/>
            </w:tcBorders>
            <w:vAlign w:val="center"/>
          </w:tcPr>
          <w:p w14:paraId="0F94E2B6" w14:textId="77777777" w:rsidR="00423FE8" w:rsidRPr="009E35ED" w:rsidRDefault="00423FE8" w:rsidP="00803F8C">
            <w:pPr>
              <w:ind w:left="0" w:right="-110"/>
              <w:jc w:val="right"/>
              <w:rPr>
                <w:rFonts w:ascii="Arial" w:hAnsi="Arial" w:cs="Arial"/>
                <w:b/>
                <w:bCs/>
                <w:color w:val="000000" w:themeColor="text1"/>
                <w:sz w:val="18"/>
                <w:szCs w:val="18"/>
                <w:lang w:val="en-PH" w:eastAsia="en-PH"/>
              </w:rPr>
            </w:pPr>
            <w:r w:rsidRPr="009E35ED">
              <w:rPr>
                <w:rFonts w:ascii="Arial" w:hAnsi="Arial" w:cs="Arial"/>
                <w:b/>
                <w:bCs/>
                <w:color w:val="000000" w:themeColor="text1"/>
                <w:sz w:val="18"/>
                <w:szCs w:val="18"/>
                <w:lang w:eastAsia="ar-SA"/>
              </w:rPr>
              <w:t>5 WINNING NUMBERS </w:t>
            </w:r>
          </w:p>
        </w:tc>
        <w:tc>
          <w:tcPr>
            <w:tcW w:w="2126" w:type="dxa"/>
            <w:tcBorders>
              <w:bottom w:val="single" w:sz="4" w:space="0" w:color="auto"/>
            </w:tcBorders>
            <w:vAlign w:val="center"/>
          </w:tcPr>
          <w:p w14:paraId="5DCA0701" w14:textId="77777777" w:rsidR="00423FE8" w:rsidRPr="009E35ED" w:rsidRDefault="00423FE8" w:rsidP="00803F8C">
            <w:pPr>
              <w:ind w:left="0" w:right="-110"/>
              <w:jc w:val="right"/>
              <w:rPr>
                <w:rFonts w:ascii="Arial" w:hAnsi="Arial" w:cs="Arial"/>
                <w:b/>
                <w:color w:val="000000" w:themeColor="text1"/>
                <w:sz w:val="18"/>
                <w:szCs w:val="18"/>
                <w:lang w:val="en-PH" w:eastAsia="en-PH"/>
              </w:rPr>
            </w:pPr>
            <w:r w:rsidRPr="009E35ED">
              <w:rPr>
                <w:rFonts w:ascii="Arial" w:hAnsi="Arial" w:cs="Arial"/>
                <w:color w:val="000000" w:themeColor="text1"/>
                <w:sz w:val="18"/>
                <w:szCs w:val="18"/>
                <w:lang w:eastAsia="ar-SA"/>
              </w:rPr>
              <w:t> </w:t>
            </w:r>
            <w:r w:rsidRPr="009E35ED">
              <w:rPr>
                <w:rFonts w:ascii="Arial" w:hAnsi="Arial" w:cs="Arial"/>
                <w:b/>
                <w:color w:val="000000" w:themeColor="text1"/>
                <w:sz w:val="18"/>
                <w:szCs w:val="18"/>
                <w:lang w:eastAsia="ar-SA"/>
              </w:rPr>
              <w:t>4 WINNING NUMBERS</w:t>
            </w:r>
          </w:p>
        </w:tc>
        <w:tc>
          <w:tcPr>
            <w:tcW w:w="2794" w:type="dxa"/>
            <w:tcBorders>
              <w:bottom w:val="single" w:sz="4" w:space="0" w:color="auto"/>
            </w:tcBorders>
          </w:tcPr>
          <w:p w14:paraId="2A0F329D" w14:textId="5E0DBE8B" w:rsidR="00423FE8" w:rsidRPr="009E35ED" w:rsidRDefault="00423FE8" w:rsidP="00803F8C">
            <w:pPr>
              <w:ind w:left="0" w:right="-110"/>
              <w:jc w:val="right"/>
              <w:rPr>
                <w:rFonts w:ascii="Arial" w:hAnsi="Arial" w:cs="Arial"/>
                <w:color w:val="000000" w:themeColor="text1"/>
                <w:sz w:val="18"/>
                <w:szCs w:val="18"/>
                <w:lang w:eastAsia="ar-SA"/>
              </w:rPr>
            </w:pPr>
            <w:r w:rsidRPr="009E35ED">
              <w:rPr>
                <w:rFonts w:ascii="Arial" w:hAnsi="Arial" w:cs="Arial"/>
                <w:b/>
                <w:color w:val="000000" w:themeColor="text1"/>
                <w:sz w:val="18"/>
                <w:szCs w:val="18"/>
                <w:lang w:eastAsia="ar-SA"/>
              </w:rPr>
              <w:t>3 WINNING NUMBERS</w:t>
            </w:r>
          </w:p>
        </w:tc>
      </w:tr>
      <w:tr w:rsidR="00997F75" w:rsidRPr="009E35ED" w14:paraId="7E07D070" w14:textId="24158063" w:rsidTr="00DE5E7B">
        <w:tc>
          <w:tcPr>
            <w:tcW w:w="1593" w:type="dxa"/>
            <w:tcBorders>
              <w:top w:val="single" w:sz="4" w:space="0" w:color="auto"/>
            </w:tcBorders>
            <w:vAlign w:val="center"/>
          </w:tcPr>
          <w:p w14:paraId="6227A996" w14:textId="35A3A935" w:rsidR="00423FE8" w:rsidRPr="009E35ED" w:rsidRDefault="00423FE8" w:rsidP="00423FE8">
            <w:pPr>
              <w:ind w:left="0" w:hanging="108"/>
              <w:jc w:val="left"/>
              <w:rPr>
                <w:rFonts w:ascii="Arial" w:hAnsi="Arial" w:cs="Arial"/>
                <w:bCs/>
                <w:color w:val="000000" w:themeColor="text1"/>
                <w:sz w:val="18"/>
                <w:szCs w:val="18"/>
                <w:lang w:val="en-PH" w:eastAsia="en-PH"/>
              </w:rPr>
            </w:pPr>
            <w:r w:rsidRPr="009E35ED">
              <w:rPr>
                <w:rFonts w:ascii="Arial" w:hAnsi="Arial" w:cs="Arial"/>
                <w:bCs/>
                <w:color w:val="000000" w:themeColor="text1"/>
                <w:sz w:val="18"/>
                <w:szCs w:val="18"/>
                <w:lang w:eastAsia="ar-SA"/>
              </w:rPr>
              <w:t>Lotto 6/42</w:t>
            </w:r>
          </w:p>
        </w:tc>
        <w:tc>
          <w:tcPr>
            <w:tcW w:w="2127" w:type="dxa"/>
            <w:tcBorders>
              <w:top w:val="single" w:sz="4" w:space="0" w:color="auto"/>
            </w:tcBorders>
            <w:vAlign w:val="center"/>
          </w:tcPr>
          <w:p w14:paraId="26A1BB82" w14:textId="225E4E2F" w:rsidR="00423FE8" w:rsidRPr="009E35ED" w:rsidRDefault="00423FE8" w:rsidP="00803F8C">
            <w:pPr>
              <w:ind w:left="0"/>
              <w:jc w:val="right"/>
              <w:rPr>
                <w:rFonts w:ascii="Arial" w:hAnsi="Arial" w:cs="Arial"/>
                <w:bCs/>
                <w:color w:val="000000" w:themeColor="text1"/>
                <w:sz w:val="18"/>
                <w:szCs w:val="18"/>
                <w:lang w:val="en-PH" w:eastAsia="en-PH"/>
              </w:rPr>
            </w:pPr>
            <w:r w:rsidRPr="009E35ED">
              <w:rPr>
                <w:rFonts w:ascii="Arial" w:hAnsi="Arial" w:cs="Arial"/>
                <w:bCs/>
                <w:color w:val="000000" w:themeColor="text1"/>
                <w:sz w:val="18"/>
                <w:szCs w:val="18"/>
                <w:lang w:val="en-PH" w:eastAsia="en-PH"/>
              </w:rPr>
              <w:t>P   24,000.00</w:t>
            </w:r>
          </w:p>
        </w:tc>
        <w:tc>
          <w:tcPr>
            <w:tcW w:w="2126" w:type="dxa"/>
            <w:tcBorders>
              <w:top w:val="single" w:sz="4" w:space="0" w:color="auto"/>
            </w:tcBorders>
            <w:vAlign w:val="center"/>
          </w:tcPr>
          <w:p w14:paraId="25A31FCD" w14:textId="72AF9BF7" w:rsidR="00423FE8" w:rsidRPr="009E35ED" w:rsidRDefault="00423FE8" w:rsidP="00803F8C">
            <w:pPr>
              <w:ind w:left="0" w:right="-108"/>
              <w:jc w:val="right"/>
              <w:rPr>
                <w:rFonts w:ascii="Arial" w:hAnsi="Arial" w:cs="Arial"/>
                <w:color w:val="000000" w:themeColor="text1"/>
                <w:sz w:val="18"/>
                <w:szCs w:val="18"/>
                <w:lang w:val="en-PH" w:eastAsia="en-PH"/>
              </w:rPr>
            </w:pPr>
            <w:r w:rsidRPr="009E35ED">
              <w:rPr>
                <w:rFonts w:ascii="Arial" w:hAnsi="Arial" w:cs="Arial"/>
                <w:color w:val="000000" w:themeColor="text1"/>
                <w:sz w:val="18"/>
                <w:szCs w:val="18"/>
                <w:lang w:val="en-PH" w:eastAsia="en-PH"/>
              </w:rPr>
              <w:t>P    800.00</w:t>
            </w:r>
          </w:p>
        </w:tc>
        <w:tc>
          <w:tcPr>
            <w:tcW w:w="2794" w:type="dxa"/>
            <w:tcBorders>
              <w:top w:val="single" w:sz="4" w:space="0" w:color="auto"/>
            </w:tcBorders>
          </w:tcPr>
          <w:p w14:paraId="67EB1726" w14:textId="2B3D91C5" w:rsidR="00423FE8" w:rsidRPr="009E35ED" w:rsidRDefault="00423FE8" w:rsidP="00803F8C">
            <w:pPr>
              <w:ind w:left="0" w:right="-108"/>
              <w:jc w:val="right"/>
              <w:rPr>
                <w:rFonts w:ascii="Arial" w:hAnsi="Arial" w:cs="Arial"/>
                <w:color w:val="000000" w:themeColor="text1"/>
                <w:sz w:val="18"/>
                <w:szCs w:val="18"/>
                <w:lang w:val="en-PH" w:eastAsia="en-PH"/>
              </w:rPr>
            </w:pPr>
            <w:r w:rsidRPr="009E35ED">
              <w:rPr>
                <w:rFonts w:ascii="Arial" w:hAnsi="Arial" w:cs="Arial"/>
                <w:color w:val="000000" w:themeColor="text1"/>
                <w:sz w:val="18"/>
                <w:szCs w:val="18"/>
                <w:lang w:val="en-PH" w:eastAsia="en-PH"/>
              </w:rPr>
              <w:t>P   20.00</w:t>
            </w:r>
          </w:p>
        </w:tc>
      </w:tr>
      <w:tr w:rsidR="00997F75" w:rsidRPr="009E35ED" w14:paraId="3CFC5FEB" w14:textId="40E40E0E" w:rsidTr="00DE5E7B">
        <w:tc>
          <w:tcPr>
            <w:tcW w:w="1593" w:type="dxa"/>
            <w:vAlign w:val="center"/>
          </w:tcPr>
          <w:p w14:paraId="0CD45825" w14:textId="4B38FFE8" w:rsidR="00423FE8" w:rsidRPr="009E35ED" w:rsidRDefault="00423FE8" w:rsidP="00423FE8">
            <w:pPr>
              <w:ind w:left="0" w:hanging="108"/>
              <w:jc w:val="left"/>
              <w:rPr>
                <w:rFonts w:ascii="Arial" w:hAnsi="Arial" w:cs="Arial"/>
                <w:bCs/>
                <w:color w:val="000000" w:themeColor="text1"/>
                <w:sz w:val="18"/>
                <w:szCs w:val="18"/>
                <w:lang w:eastAsia="ar-SA"/>
              </w:rPr>
            </w:pPr>
            <w:r w:rsidRPr="009E35ED">
              <w:rPr>
                <w:rFonts w:ascii="Arial" w:hAnsi="Arial" w:cs="Arial"/>
                <w:bCs/>
                <w:color w:val="000000" w:themeColor="text1"/>
                <w:sz w:val="18"/>
                <w:szCs w:val="18"/>
                <w:lang w:eastAsia="ar-SA"/>
              </w:rPr>
              <w:t>Mega Lotto 6/45</w:t>
            </w:r>
          </w:p>
        </w:tc>
        <w:tc>
          <w:tcPr>
            <w:tcW w:w="2127" w:type="dxa"/>
            <w:vAlign w:val="center"/>
          </w:tcPr>
          <w:p w14:paraId="494635DE" w14:textId="733D4747" w:rsidR="00423FE8" w:rsidRPr="009E35ED" w:rsidRDefault="00423FE8" w:rsidP="00803F8C">
            <w:pPr>
              <w:ind w:left="0"/>
              <w:jc w:val="right"/>
              <w:rPr>
                <w:rFonts w:ascii="Arial" w:hAnsi="Arial" w:cs="Arial"/>
                <w:bCs/>
                <w:color w:val="000000" w:themeColor="text1"/>
                <w:sz w:val="18"/>
                <w:szCs w:val="18"/>
                <w:lang w:eastAsia="ar-SA"/>
              </w:rPr>
            </w:pPr>
            <w:r w:rsidRPr="009E35ED">
              <w:rPr>
                <w:rFonts w:ascii="Arial" w:hAnsi="Arial" w:cs="Arial"/>
                <w:bCs/>
                <w:color w:val="000000" w:themeColor="text1"/>
                <w:sz w:val="18"/>
                <w:szCs w:val="18"/>
                <w:lang w:eastAsia="ar-SA"/>
              </w:rPr>
              <w:t>P   32,000.00</w:t>
            </w:r>
          </w:p>
        </w:tc>
        <w:tc>
          <w:tcPr>
            <w:tcW w:w="2126" w:type="dxa"/>
            <w:vAlign w:val="center"/>
          </w:tcPr>
          <w:p w14:paraId="258D68DB" w14:textId="3B3AD951" w:rsidR="00423FE8" w:rsidRPr="009E35ED" w:rsidRDefault="00423FE8" w:rsidP="00803F8C">
            <w:pPr>
              <w:ind w:left="0" w:right="-108"/>
              <w:jc w:val="right"/>
              <w:rPr>
                <w:rFonts w:ascii="Arial" w:hAnsi="Arial" w:cs="Arial"/>
                <w:color w:val="000000" w:themeColor="text1"/>
                <w:sz w:val="18"/>
                <w:szCs w:val="18"/>
                <w:lang w:eastAsia="ar-SA"/>
              </w:rPr>
            </w:pPr>
            <w:r w:rsidRPr="009E35ED">
              <w:rPr>
                <w:rFonts w:ascii="Arial" w:hAnsi="Arial" w:cs="Arial"/>
                <w:color w:val="000000" w:themeColor="text1"/>
                <w:sz w:val="18"/>
                <w:szCs w:val="18"/>
                <w:lang w:eastAsia="ar-SA"/>
              </w:rPr>
              <w:t>P 1,000.00</w:t>
            </w:r>
          </w:p>
        </w:tc>
        <w:tc>
          <w:tcPr>
            <w:tcW w:w="2794" w:type="dxa"/>
          </w:tcPr>
          <w:p w14:paraId="07FC1597" w14:textId="55623415" w:rsidR="00423FE8" w:rsidRPr="009E35ED" w:rsidRDefault="00423FE8" w:rsidP="00423FE8">
            <w:pPr>
              <w:tabs>
                <w:tab w:val="left" w:pos="243"/>
              </w:tabs>
              <w:ind w:left="0" w:right="-108"/>
              <w:jc w:val="right"/>
              <w:rPr>
                <w:rFonts w:ascii="Arial" w:hAnsi="Arial" w:cs="Arial"/>
                <w:color w:val="000000" w:themeColor="text1"/>
                <w:sz w:val="18"/>
                <w:szCs w:val="18"/>
                <w:lang w:eastAsia="ar-SA"/>
              </w:rPr>
            </w:pPr>
            <w:r w:rsidRPr="009E35ED">
              <w:rPr>
                <w:rFonts w:ascii="Arial" w:hAnsi="Arial" w:cs="Arial"/>
                <w:color w:val="000000" w:themeColor="text1"/>
                <w:sz w:val="18"/>
                <w:szCs w:val="18"/>
                <w:lang w:eastAsia="ar-SA"/>
              </w:rPr>
              <w:t>P   30.00</w:t>
            </w:r>
          </w:p>
        </w:tc>
      </w:tr>
      <w:tr w:rsidR="00997F75" w:rsidRPr="009E35ED" w14:paraId="7141D308" w14:textId="6CD507E9" w:rsidTr="00DE5E7B">
        <w:tc>
          <w:tcPr>
            <w:tcW w:w="1593" w:type="dxa"/>
            <w:vAlign w:val="center"/>
          </w:tcPr>
          <w:p w14:paraId="38F8835A" w14:textId="30256676" w:rsidR="00423FE8" w:rsidRPr="009E35ED" w:rsidRDefault="00423FE8" w:rsidP="00423FE8">
            <w:pPr>
              <w:ind w:left="0" w:hanging="108"/>
              <w:jc w:val="left"/>
              <w:rPr>
                <w:rFonts w:ascii="Arial" w:hAnsi="Arial" w:cs="Arial"/>
                <w:bCs/>
                <w:color w:val="000000" w:themeColor="text1"/>
                <w:sz w:val="18"/>
                <w:szCs w:val="18"/>
                <w:lang w:eastAsia="ar-SA"/>
              </w:rPr>
            </w:pPr>
            <w:r w:rsidRPr="009E35ED">
              <w:rPr>
                <w:rFonts w:ascii="Arial" w:hAnsi="Arial" w:cs="Arial"/>
                <w:bCs/>
                <w:color w:val="000000" w:themeColor="text1"/>
                <w:sz w:val="18"/>
                <w:szCs w:val="18"/>
                <w:lang w:eastAsia="ar-SA"/>
              </w:rPr>
              <w:t>Super Lotto 6/49</w:t>
            </w:r>
          </w:p>
        </w:tc>
        <w:tc>
          <w:tcPr>
            <w:tcW w:w="2127" w:type="dxa"/>
            <w:vAlign w:val="center"/>
          </w:tcPr>
          <w:p w14:paraId="30D3EA63" w14:textId="55AFBA51" w:rsidR="00423FE8" w:rsidRPr="009E35ED" w:rsidRDefault="00423FE8" w:rsidP="00803F8C">
            <w:pPr>
              <w:ind w:left="0"/>
              <w:jc w:val="right"/>
              <w:rPr>
                <w:rFonts w:ascii="Arial" w:hAnsi="Arial" w:cs="Arial"/>
                <w:bCs/>
                <w:color w:val="000000" w:themeColor="text1"/>
                <w:sz w:val="18"/>
                <w:szCs w:val="18"/>
                <w:lang w:eastAsia="ar-SA"/>
              </w:rPr>
            </w:pPr>
            <w:r w:rsidRPr="009E35ED">
              <w:rPr>
                <w:rFonts w:ascii="Arial" w:hAnsi="Arial" w:cs="Arial"/>
                <w:bCs/>
                <w:color w:val="000000" w:themeColor="text1"/>
                <w:sz w:val="18"/>
                <w:szCs w:val="18"/>
                <w:lang w:eastAsia="ar-SA"/>
              </w:rPr>
              <w:t>P   50,000.00</w:t>
            </w:r>
          </w:p>
        </w:tc>
        <w:tc>
          <w:tcPr>
            <w:tcW w:w="2126" w:type="dxa"/>
            <w:vAlign w:val="center"/>
          </w:tcPr>
          <w:p w14:paraId="4CD3B7DF" w14:textId="05139601" w:rsidR="00423FE8" w:rsidRPr="009E35ED" w:rsidRDefault="00423FE8" w:rsidP="00803F8C">
            <w:pPr>
              <w:ind w:left="0" w:right="-108"/>
              <w:jc w:val="right"/>
              <w:rPr>
                <w:rFonts w:ascii="Arial" w:hAnsi="Arial" w:cs="Arial"/>
                <w:color w:val="000000" w:themeColor="text1"/>
                <w:sz w:val="18"/>
                <w:szCs w:val="18"/>
                <w:lang w:eastAsia="ar-SA"/>
              </w:rPr>
            </w:pPr>
            <w:r w:rsidRPr="009E35ED">
              <w:rPr>
                <w:rFonts w:ascii="Arial" w:hAnsi="Arial" w:cs="Arial"/>
                <w:color w:val="000000" w:themeColor="text1"/>
                <w:sz w:val="18"/>
                <w:szCs w:val="18"/>
                <w:lang w:eastAsia="ar-SA"/>
              </w:rPr>
              <w:t>P 1,200.00</w:t>
            </w:r>
          </w:p>
        </w:tc>
        <w:tc>
          <w:tcPr>
            <w:tcW w:w="2794" w:type="dxa"/>
          </w:tcPr>
          <w:p w14:paraId="439D6F7A" w14:textId="24CC22C3" w:rsidR="00423FE8" w:rsidRPr="009E35ED" w:rsidRDefault="00423FE8" w:rsidP="00803F8C">
            <w:pPr>
              <w:ind w:left="0" w:right="-108"/>
              <w:jc w:val="right"/>
              <w:rPr>
                <w:rFonts w:ascii="Arial" w:hAnsi="Arial" w:cs="Arial"/>
                <w:color w:val="000000" w:themeColor="text1"/>
                <w:sz w:val="18"/>
                <w:szCs w:val="18"/>
                <w:lang w:eastAsia="ar-SA"/>
              </w:rPr>
            </w:pPr>
            <w:r w:rsidRPr="009E35ED">
              <w:rPr>
                <w:rFonts w:ascii="Arial" w:hAnsi="Arial" w:cs="Arial"/>
                <w:color w:val="000000" w:themeColor="text1"/>
                <w:sz w:val="18"/>
                <w:szCs w:val="18"/>
                <w:lang w:eastAsia="ar-SA"/>
              </w:rPr>
              <w:t>P   50.00</w:t>
            </w:r>
          </w:p>
        </w:tc>
      </w:tr>
      <w:tr w:rsidR="00997F75" w:rsidRPr="009E35ED" w14:paraId="60D6D811" w14:textId="09CA82A6" w:rsidTr="00DE5E7B">
        <w:tc>
          <w:tcPr>
            <w:tcW w:w="1593" w:type="dxa"/>
            <w:vAlign w:val="center"/>
          </w:tcPr>
          <w:p w14:paraId="0549BEC3" w14:textId="4CC9C4EB" w:rsidR="00423FE8" w:rsidRPr="009E35ED" w:rsidRDefault="00423FE8" w:rsidP="00423FE8">
            <w:pPr>
              <w:ind w:left="0" w:hanging="108"/>
              <w:jc w:val="left"/>
              <w:rPr>
                <w:rFonts w:ascii="Arial" w:hAnsi="Arial" w:cs="Arial"/>
                <w:bCs/>
                <w:color w:val="000000" w:themeColor="text1"/>
                <w:sz w:val="18"/>
                <w:szCs w:val="18"/>
                <w:lang w:val="en-PH" w:eastAsia="en-PH"/>
              </w:rPr>
            </w:pPr>
            <w:r w:rsidRPr="009E35ED">
              <w:rPr>
                <w:rFonts w:ascii="Arial" w:hAnsi="Arial" w:cs="Arial"/>
                <w:bCs/>
                <w:color w:val="000000" w:themeColor="text1"/>
                <w:sz w:val="18"/>
                <w:szCs w:val="18"/>
                <w:lang w:eastAsia="ar-SA"/>
              </w:rPr>
              <w:t>Grand Lotto 6/55</w:t>
            </w:r>
          </w:p>
        </w:tc>
        <w:tc>
          <w:tcPr>
            <w:tcW w:w="2127" w:type="dxa"/>
            <w:vAlign w:val="center"/>
          </w:tcPr>
          <w:p w14:paraId="79280532" w14:textId="17A08858" w:rsidR="00423FE8" w:rsidRPr="009E35ED" w:rsidRDefault="00423FE8" w:rsidP="00803F8C">
            <w:pPr>
              <w:ind w:left="0"/>
              <w:jc w:val="right"/>
              <w:rPr>
                <w:rFonts w:ascii="Arial" w:hAnsi="Arial" w:cs="Arial"/>
                <w:bCs/>
                <w:color w:val="000000" w:themeColor="text1"/>
                <w:sz w:val="18"/>
                <w:szCs w:val="18"/>
                <w:lang w:val="en-PH" w:eastAsia="en-PH"/>
              </w:rPr>
            </w:pPr>
            <w:r w:rsidRPr="009E35ED">
              <w:rPr>
                <w:rFonts w:ascii="Arial" w:hAnsi="Arial" w:cs="Arial"/>
                <w:bCs/>
                <w:color w:val="000000" w:themeColor="text1"/>
                <w:sz w:val="18"/>
                <w:szCs w:val="18"/>
                <w:lang w:val="en-PH" w:eastAsia="en-PH"/>
              </w:rPr>
              <w:t>P 100,000.00</w:t>
            </w:r>
          </w:p>
        </w:tc>
        <w:tc>
          <w:tcPr>
            <w:tcW w:w="2126" w:type="dxa"/>
            <w:vAlign w:val="center"/>
          </w:tcPr>
          <w:p w14:paraId="0F5C3E83" w14:textId="357FAA02" w:rsidR="00423FE8" w:rsidRPr="009E35ED" w:rsidRDefault="00423FE8" w:rsidP="00803F8C">
            <w:pPr>
              <w:ind w:left="0" w:right="-108"/>
              <w:jc w:val="right"/>
              <w:rPr>
                <w:rFonts w:ascii="Arial" w:hAnsi="Arial" w:cs="Arial"/>
                <w:color w:val="000000" w:themeColor="text1"/>
                <w:sz w:val="18"/>
                <w:szCs w:val="18"/>
                <w:lang w:val="en-PH" w:eastAsia="en-PH"/>
              </w:rPr>
            </w:pPr>
            <w:r w:rsidRPr="009E35ED">
              <w:rPr>
                <w:rFonts w:ascii="Arial" w:hAnsi="Arial" w:cs="Arial"/>
                <w:color w:val="000000" w:themeColor="text1"/>
                <w:sz w:val="18"/>
                <w:szCs w:val="18"/>
                <w:lang w:val="en-PH" w:eastAsia="en-PH"/>
              </w:rPr>
              <w:t>P 1,500.00</w:t>
            </w:r>
          </w:p>
        </w:tc>
        <w:tc>
          <w:tcPr>
            <w:tcW w:w="2794" w:type="dxa"/>
          </w:tcPr>
          <w:p w14:paraId="3902E04A" w14:textId="7B3469CF" w:rsidR="00423FE8" w:rsidRPr="009E35ED" w:rsidRDefault="00423FE8" w:rsidP="00803F8C">
            <w:pPr>
              <w:ind w:left="0" w:right="-108"/>
              <w:jc w:val="right"/>
              <w:rPr>
                <w:rFonts w:ascii="Arial" w:hAnsi="Arial" w:cs="Arial"/>
                <w:color w:val="000000" w:themeColor="text1"/>
                <w:sz w:val="18"/>
                <w:szCs w:val="18"/>
                <w:lang w:val="en-PH" w:eastAsia="en-PH"/>
              </w:rPr>
            </w:pPr>
            <w:r w:rsidRPr="009E35ED">
              <w:rPr>
                <w:rFonts w:ascii="Arial" w:hAnsi="Arial" w:cs="Arial"/>
                <w:color w:val="000000" w:themeColor="text1"/>
                <w:sz w:val="18"/>
                <w:szCs w:val="18"/>
                <w:lang w:val="en-PH" w:eastAsia="en-PH"/>
              </w:rPr>
              <w:t>P   60.00</w:t>
            </w:r>
          </w:p>
        </w:tc>
      </w:tr>
      <w:tr w:rsidR="00F06B19" w:rsidRPr="009E35ED" w14:paraId="1B5F57D2" w14:textId="3E634363" w:rsidTr="00DE5E7B">
        <w:tc>
          <w:tcPr>
            <w:tcW w:w="1593" w:type="dxa"/>
            <w:tcBorders>
              <w:bottom w:val="single" w:sz="4" w:space="0" w:color="auto"/>
            </w:tcBorders>
            <w:vAlign w:val="center"/>
          </w:tcPr>
          <w:p w14:paraId="2D2BF206" w14:textId="3F73C673" w:rsidR="00423FE8" w:rsidRPr="009E35ED" w:rsidRDefault="00423FE8" w:rsidP="00423FE8">
            <w:pPr>
              <w:ind w:left="0" w:hanging="108"/>
              <w:jc w:val="left"/>
              <w:rPr>
                <w:rFonts w:ascii="Arial" w:hAnsi="Arial" w:cs="Arial"/>
                <w:bCs/>
                <w:color w:val="000000" w:themeColor="text1"/>
                <w:sz w:val="18"/>
                <w:szCs w:val="18"/>
                <w:lang w:eastAsia="ar-SA"/>
              </w:rPr>
            </w:pPr>
            <w:r w:rsidRPr="009E35ED">
              <w:rPr>
                <w:rFonts w:ascii="Arial" w:hAnsi="Arial" w:cs="Arial"/>
                <w:bCs/>
                <w:color w:val="000000" w:themeColor="text1"/>
                <w:sz w:val="18"/>
                <w:szCs w:val="18"/>
                <w:lang w:eastAsia="ar-SA"/>
              </w:rPr>
              <w:t>Super Lotto 6/58</w:t>
            </w:r>
          </w:p>
        </w:tc>
        <w:tc>
          <w:tcPr>
            <w:tcW w:w="2127" w:type="dxa"/>
            <w:tcBorders>
              <w:bottom w:val="single" w:sz="4" w:space="0" w:color="auto"/>
            </w:tcBorders>
            <w:vAlign w:val="center"/>
          </w:tcPr>
          <w:p w14:paraId="09F08E99" w14:textId="7CD18DED" w:rsidR="00423FE8" w:rsidRPr="009E35ED" w:rsidRDefault="00423FE8" w:rsidP="00803F8C">
            <w:pPr>
              <w:ind w:left="0"/>
              <w:jc w:val="right"/>
              <w:rPr>
                <w:rFonts w:ascii="Arial" w:hAnsi="Arial" w:cs="Arial"/>
                <w:bCs/>
                <w:color w:val="000000" w:themeColor="text1"/>
                <w:sz w:val="18"/>
                <w:szCs w:val="18"/>
                <w:lang w:eastAsia="ar-SA"/>
              </w:rPr>
            </w:pPr>
            <w:r w:rsidRPr="009E35ED">
              <w:rPr>
                <w:rFonts w:ascii="Arial" w:hAnsi="Arial" w:cs="Arial"/>
                <w:bCs/>
                <w:color w:val="000000" w:themeColor="text1"/>
                <w:sz w:val="18"/>
                <w:szCs w:val="18"/>
                <w:lang w:eastAsia="ar-SA"/>
              </w:rPr>
              <w:t>P 120,000.00</w:t>
            </w:r>
          </w:p>
        </w:tc>
        <w:tc>
          <w:tcPr>
            <w:tcW w:w="2126" w:type="dxa"/>
            <w:tcBorders>
              <w:bottom w:val="single" w:sz="4" w:space="0" w:color="auto"/>
            </w:tcBorders>
            <w:vAlign w:val="center"/>
          </w:tcPr>
          <w:p w14:paraId="6C9B42D2" w14:textId="78DEC4C5" w:rsidR="00423FE8" w:rsidRPr="009E35ED" w:rsidRDefault="00423FE8" w:rsidP="00803F8C">
            <w:pPr>
              <w:ind w:left="0" w:right="-108"/>
              <w:jc w:val="right"/>
              <w:rPr>
                <w:rFonts w:ascii="Arial" w:hAnsi="Arial" w:cs="Arial"/>
                <w:color w:val="000000" w:themeColor="text1"/>
                <w:sz w:val="18"/>
                <w:szCs w:val="18"/>
                <w:lang w:eastAsia="ar-SA"/>
              </w:rPr>
            </w:pPr>
            <w:r w:rsidRPr="009E35ED">
              <w:rPr>
                <w:rFonts w:ascii="Arial" w:hAnsi="Arial" w:cs="Arial"/>
                <w:color w:val="000000" w:themeColor="text1"/>
                <w:sz w:val="18"/>
                <w:szCs w:val="18"/>
                <w:lang w:eastAsia="ar-SA"/>
              </w:rPr>
              <w:t>P 2,000.00</w:t>
            </w:r>
          </w:p>
        </w:tc>
        <w:tc>
          <w:tcPr>
            <w:tcW w:w="2794" w:type="dxa"/>
            <w:tcBorders>
              <w:bottom w:val="single" w:sz="4" w:space="0" w:color="auto"/>
            </w:tcBorders>
          </w:tcPr>
          <w:p w14:paraId="011CF1E7" w14:textId="682554D5" w:rsidR="00423FE8" w:rsidRPr="009E35ED" w:rsidRDefault="00423FE8" w:rsidP="00803F8C">
            <w:pPr>
              <w:ind w:left="0" w:right="-108"/>
              <w:jc w:val="right"/>
              <w:rPr>
                <w:rFonts w:ascii="Arial" w:hAnsi="Arial" w:cs="Arial"/>
                <w:color w:val="000000" w:themeColor="text1"/>
                <w:sz w:val="18"/>
                <w:szCs w:val="18"/>
                <w:lang w:eastAsia="ar-SA"/>
              </w:rPr>
            </w:pPr>
            <w:r w:rsidRPr="009E35ED">
              <w:rPr>
                <w:rFonts w:ascii="Arial" w:hAnsi="Arial" w:cs="Arial"/>
                <w:color w:val="000000" w:themeColor="text1"/>
                <w:sz w:val="18"/>
                <w:szCs w:val="18"/>
                <w:lang w:eastAsia="ar-SA"/>
              </w:rPr>
              <w:t>P 100.00</w:t>
            </w:r>
          </w:p>
        </w:tc>
      </w:tr>
    </w:tbl>
    <w:p w14:paraId="33B8CB90" w14:textId="35FE8738" w:rsidR="0085009E" w:rsidRPr="009E35ED" w:rsidRDefault="0085009E" w:rsidP="00803F8C">
      <w:pPr>
        <w:ind w:left="0"/>
        <w:rPr>
          <w:rFonts w:ascii="Arial" w:hAnsi="Arial" w:cs="Arial"/>
          <w:color w:val="000000" w:themeColor="text1"/>
          <w:sz w:val="22"/>
          <w:szCs w:val="22"/>
        </w:rPr>
      </w:pPr>
    </w:p>
    <w:p w14:paraId="7290CC5B" w14:textId="03DF5A86" w:rsidR="00F706BD" w:rsidRPr="009E35ED" w:rsidRDefault="00F706BD" w:rsidP="00803F8C">
      <w:pPr>
        <w:ind w:left="0"/>
        <w:rPr>
          <w:rFonts w:ascii="Arial" w:hAnsi="Arial" w:cs="Arial"/>
          <w:bCs/>
          <w:iCs/>
          <w:color w:val="000000" w:themeColor="text1"/>
          <w:sz w:val="22"/>
          <w:szCs w:val="22"/>
        </w:rPr>
      </w:pPr>
      <w:r w:rsidRPr="009E35ED">
        <w:rPr>
          <w:rFonts w:ascii="Arial" w:hAnsi="Arial" w:cs="Arial"/>
          <w:bCs/>
          <w:iCs/>
          <w:color w:val="000000" w:themeColor="text1"/>
          <w:sz w:val="22"/>
          <w:szCs w:val="22"/>
        </w:rPr>
        <w:t>Revenue Allocation for Lotto Games</w:t>
      </w:r>
      <w:r w:rsidR="00B30A4A" w:rsidRPr="009E35ED">
        <w:rPr>
          <w:rFonts w:ascii="Arial" w:hAnsi="Arial" w:cs="Arial"/>
          <w:bCs/>
          <w:iCs/>
          <w:color w:val="000000" w:themeColor="text1"/>
          <w:sz w:val="22"/>
          <w:szCs w:val="22"/>
        </w:rPr>
        <w:t xml:space="preserve"> are as follows:</w:t>
      </w:r>
    </w:p>
    <w:p w14:paraId="1DEF8D04" w14:textId="77777777" w:rsidR="00BD633E" w:rsidRPr="009E35ED" w:rsidRDefault="00BD633E" w:rsidP="00625F4C">
      <w:pPr>
        <w:ind w:left="0"/>
        <w:rPr>
          <w:rFonts w:ascii="Arial" w:hAnsi="Arial" w:cs="Arial"/>
          <w:bCs/>
          <w:color w:val="000000" w:themeColor="text1"/>
          <w:sz w:val="22"/>
          <w:szCs w:val="22"/>
        </w:rPr>
      </w:pPr>
    </w:p>
    <w:p w14:paraId="7C7A788C" w14:textId="77777777" w:rsidR="00FF4DF4" w:rsidRPr="009E35ED" w:rsidRDefault="00625F4C" w:rsidP="00625F4C">
      <w:pPr>
        <w:ind w:left="0"/>
        <w:rPr>
          <w:rFonts w:ascii="Arial" w:hAnsi="Arial" w:cs="Arial"/>
          <w:bCs/>
          <w:i/>
          <w:color w:val="000000" w:themeColor="text1"/>
          <w:sz w:val="22"/>
          <w:szCs w:val="22"/>
        </w:rPr>
      </w:pPr>
      <w:r w:rsidRPr="009E35ED">
        <w:rPr>
          <w:rFonts w:ascii="Arial" w:hAnsi="Arial" w:cs="Arial"/>
          <w:bCs/>
          <w:color w:val="000000" w:themeColor="text1"/>
          <w:sz w:val="22"/>
          <w:szCs w:val="22"/>
        </w:rPr>
        <w:t xml:space="preserve">For </w:t>
      </w:r>
      <w:r w:rsidR="00636FC4" w:rsidRPr="009E35ED">
        <w:rPr>
          <w:rFonts w:ascii="Arial" w:hAnsi="Arial" w:cs="Arial"/>
          <w:bCs/>
          <w:color w:val="000000" w:themeColor="text1"/>
          <w:sz w:val="22"/>
          <w:szCs w:val="22"/>
        </w:rPr>
        <w:t>Lotto National Games</w:t>
      </w:r>
      <w:r w:rsidR="00FF4DF4" w:rsidRPr="009E35ED">
        <w:rPr>
          <w:rFonts w:ascii="Arial" w:hAnsi="Arial" w:cs="Arial"/>
          <w:bCs/>
          <w:color w:val="000000" w:themeColor="text1"/>
          <w:sz w:val="22"/>
          <w:szCs w:val="22"/>
        </w:rPr>
        <w:t>:</w:t>
      </w:r>
    </w:p>
    <w:p w14:paraId="23BA5AE9" w14:textId="547B79B0" w:rsidR="00625F4C" w:rsidRPr="009E35ED" w:rsidRDefault="00625F4C" w:rsidP="00625F4C">
      <w:pPr>
        <w:ind w:left="0"/>
        <w:rPr>
          <w:rFonts w:ascii="Arial" w:hAnsi="Arial" w:cs="Arial"/>
          <w:bCs/>
          <w:i/>
          <w:color w:val="000000" w:themeColor="text1"/>
          <w:sz w:val="22"/>
          <w:szCs w:val="22"/>
        </w:rPr>
      </w:pPr>
    </w:p>
    <w:p w14:paraId="2A35FECC" w14:textId="0E4CCFD6" w:rsidR="0079208A" w:rsidRPr="009E35ED" w:rsidRDefault="0079208A" w:rsidP="0079208A">
      <w:pPr>
        <w:ind w:left="0"/>
        <w:rPr>
          <w:rFonts w:ascii="Arial" w:hAnsi="Arial" w:cs="Arial"/>
          <w:bCs/>
          <w:color w:val="000000" w:themeColor="text1"/>
          <w:sz w:val="22"/>
          <w:szCs w:val="22"/>
        </w:rPr>
      </w:pPr>
      <w:r w:rsidRPr="009E35ED">
        <w:rPr>
          <w:rFonts w:ascii="Arial" w:hAnsi="Arial" w:cs="Arial"/>
          <w:bCs/>
          <w:color w:val="000000" w:themeColor="text1"/>
          <w:sz w:val="22"/>
          <w:szCs w:val="22"/>
        </w:rPr>
        <w:t xml:space="preserve">Allocation </w:t>
      </w:r>
      <w:r w:rsidRPr="009E35ED">
        <w:rPr>
          <w:rFonts w:ascii="Arial" w:hAnsi="Arial" w:cs="Arial"/>
          <w:iCs/>
          <w:color w:val="000000" w:themeColor="text1"/>
          <w:sz w:val="22"/>
          <w:szCs w:val="22"/>
        </w:rPr>
        <w:t>starting January 1, 202</w:t>
      </w:r>
      <w:r w:rsidR="0075630B" w:rsidRPr="009E35ED">
        <w:rPr>
          <w:rFonts w:ascii="Arial" w:hAnsi="Arial" w:cs="Arial"/>
          <w:iCs/>
          <w:color w:val="000000" w:themeColor="text1"/>
          <w:sz w:val="22"/>
          <w:szCs w:val="22"/>
        </w:rPr>
        <w:t>2</w:t>
      </w:r>
      <w:r w:rsidRPr="009E35ED">
        <w:rPr>
          <w:rFonts w:ascii="Arial" w:hAnsi="Arial" w:cs="Arial"/>
          <w:iCs/>
          <w:color w:val="000000" w:themeColor="text1"/>
          <w:sz w:val="22"/>
          <w:szCs w:val="22"/>
        </w:rPr>
        <w:t xml:space="preserve"> up to February 28, 2023.</w:t>
      </w:r>
    </w:p>
    <w:p w14:paraId="747CA97B" w14:textId="77777777" w:rsidR="0079208A" w:rsidRPr="009E35ED" w:rsidRDefault="0079208A" w:rsidP="0079208A">
      <w:pPr>
        <w:ind w:left="0"/>
        <w:rPr>
          <w:rFonts w:ascii="Arial" w:hAnsi="Arial" w:cs="Arial"/>
          <w:iCs/>
          <w:color w:val="000000" w:themeColor="text1"/>
          <w:sz w:val="22"/>
          <w:szCs w:val="22"/>
        </w:rPr>
      </w:pPr>
    </w:p>
    <w:tbl>
      <w:tblPr>
        <w:tblW w:w="8653" w:type="dxa"/>
        <w:tblLook w:val="04A0" w:firstRow="1" w:lastRow="0" w:firstColumn="1" w:lastColumn="0" w:noHBand="0" w:noVBand="1"/>
      </w:tblPr>
      <w:tblGrid>
        <w:gridCol w:w="2546"/>
        <w:gridCol w:w="1123"/>
        <w:gridCol w:w="1182"/>
        <w:gridCol w:w="1182"/>
        <w:gridCol w:w="1235"/>
        <w:gridCol w:w="1385"/>
      </w:tblGrid>
      <w:tr w:rsidR="0079208A" w:rsidRPr="00DE5E7B" w14:paraId="74B0894D" w14:textId="77777777" w:rsidTr="00DE5E7B">
        <w:trPr>
          <w:trHeight w:val="184"/>
        </w:trPr>
        <w:tc>
          <w:tcPr>
            <w:tcW w:w="2546" w:type="dxa"/>
            <w:tcBorders>
              <w:top w:val="single" w:sz="4" w:space="0" w:color="auto"/>
              <w:left w:val="nil"/>
              <w:bottom w:val="single" w:sz="4" w:space="0" w:color="auto"/>
              <w:right w:val="nil"/>
            </w:tcBorders>
            <w:shd w:val="clear" w:color="auto" w:fill="auto"/>
            <w:noWrap/>
            <w:hideMark/>
          </w:tcPr>
          <w:p w14:paraId="6D7EB790" w14:textId="77777777" w:rsidR="0079208A" w:rsidRPr="00DE5E7B" w:rsidRDefault="0079208A" w:rsidP="0079208A">
            <w:pPr>
              <w:ind w:left="0" w:hanging="90"/>
              <w:jc w:val="left"/>
              <w:rPr>
                <w:rFonts w:ascii="Arial Narrow" w:hAnsi="Arial Narrow" w:cs="Arial"/>
                <w:b/>
                <w:bCs/>
                <w:color w:val="000000" w:themeColor="text1"/>
                <w:sz w:val="20"/>
                <w:szCs w:val="20"/>
                <w:lang w:val="en-PH"/>
              </w:rPr>
            </w:pPr>
            <w:r w:rsidRPr="00DE5E7B">
              <w:rPr>
                <w:rFonts w:ascii="Arial Narrow" w:hAnsi="Arial Narrow" w:cs="Arial"/>
                <w:b/>
                <w:bCs/>
                <w:color w:val="000000" w:themeColor="text1"/>
                <w:sz w:val="20"/>
                <w:szCs w:val="20"/>
                <w:lang w:val="en-PH"/>
              </w:rPr>
              <w:t>Particulars</w:t>
            </w:r>
          </w:p>
        </w:tc>
        <w:tc>
          <w:tcPr>
            <w:tcW w:w="1123" w:type="dxa"/>
            <w:tcBorders>
              <w:top w:val="single" w:sz="4" w:space="0" w:color="auto"/>
              <w:left w:val="nil"/>
              <w:bottom w:val="single" w:sz="4" w:space="0" w:color="auto"/>
              <w:right w:val="nil"/>
            </w:tcBorders>
            <w:shd w:val="clear" w:color="auto" w:fill="auto"/>
            <w:noWrap/>
            <w:hideMark/>
          </w:tcPr>
          <w:p w14:paraId="3154EE19" w14:textId="77777777" w:rsidR="0079208A" w:rsidRPr="00DE5E7B" w:rsidRDefault="0079208A" w:rsidP="0079208A">
            <w:pPr>
              <w:ind w:left="0"/>
              <w:jc w:val="right"/>
              <w:rPr>
                <w:rFonts w:ascii="Arial Narrow" w:hAnsi="Arial Narrow" w:cs="Arial"/>
                <w:b/>
                <w:bCs/>
                <w:color w:val="000000" w:themeColor="text1"/>
                <w:sz w:val="20"/>
                <w:szCs w:val="20"/>
                <w:lang w:val="en-PH"/>
              </w:rPr>
            </w:pPr>
            <w:r w:rsidRPr="00DE5E7B">
              <w:rPr>
                <w:rFonts w:ascii="Arial Narrow" w:hAnsi="Arial Narrow" w:cs="Arial"/>
                <w:b/>
                <w:bCs/>
                <w:color w:val="000000" w:themeColor="text1"/>
                <w:sz w:val="20"/>
                <w:szCs w:val="20"/>
                <w:lang w:val="en-PH"/>
              </w:rPr>
              <w:t xml:space="preserve"> 6/49 </w:t>
            </w:r>
          </w:p>
        </w:tc>
        <w:tc>
          <w:tcPr>
            <w:tcW w:w="1182" w:type="dxa"/>
            <w:tcBorders>
              <w:top w:val="single" w:sz="4" w:space="0" w:color="auto"/>
              <w:left w:val="nil"/>
              <w:bottom w:val="single" w:sz="4" w:space="0" w:color="auto"/>
              <w:right w:val="nil"/>
            </w:tcBorders>
            <w:shd w:val="clear" w:color="auto" w:fill="auto"/>
            <w:noWrap/>
            <w:hideMark/>
          </w:tcPr>
          <w:p w14:paraId="223F0662" w14:textId="77777777" w:rsidR="0079208A" w:rsidRPr="00DE5E7B" w:rsidRDefault="0079208A" w:rsidP="0079208A">
            <w:pPr>
              <w:ind w:left="0"/>
              <w:jc w:val="right"/>
              <w:rPr>
                <w:rFonts w:ascii="Arial Narrow" w:hAnsi="Arial Narrow" w:cs="Arial"/>
                <w:b/>
                <w:bCs/>
                <w:color w:val="000000" w:themeColor="text1"/>
                <w:sz w:val="20"/>
                <w:szCs w:val="20"/>
                <w:lang w:val="en-PH"/>
              </w:rPr>
            </w:pPr>
            <w:r w:rsidRPr="00DE5E7B">
              <w:rPr>
                <w:rFonts w:ascii="Arial Narrow" w:hAnsi="Arial Narrow" w:cs="Arial"/>
                <w:b/>
                <w:bCs/>
                <w:color w:val="000000" w:themeColor="text1"/>
                <w:sz w:val="20"/>
                <w:szCs w:val="20"/>
                <w:lang w:val="en-PH"/>
              </w:rPr>
              <w:t xml:space="preserve"> 6/45 </w:t>
            </w:r>
          </w:p>
        </w:tc>
        <w:tc>
          <w:tcPr>
            <w:tcW w:w="1182" w:type="dxa"/>
            <w:tcBorders>
              <w:top w:val="single" w:sz="4" w:space="0" w:color="auto"/>
              <w:left w:val="nil"/>
              <w:bottom w:val="single" w:sz="4" w:space="0" w:color="auto"/>
              <w:right w:val="nil"/>
            </w:tcBorders>
            <w:shd w:val="clear" w:color="auto" w:fill="auto"/>
            <w:noWrap/>
            <w:hideMark/>
          </w:tcPr>
          <w:p w14:paraId="66E49426" w14:textId="77777777" w:rsidR="0079208A" w:rsidRPr="00DE5E7B" w:rsidRDefault="0079208A" w:rsidP="0079208A">
            <w:pPr>
              <w:ind w:left="0"/>
              <w:jc w:val="right"/>
              <w:rPr>
                <w:rFonts w:ascii="Arial Narrow" w:hAnsi="Arial Narrow" w:cs="Arial"/>
                <w:b/>
                <w:bCs/>
                <w:color w:val="000000" w:themeColor="text1"/>
                <w:sz w:val="20"/>
                <w:szCs w:val="20"/>
                <w:lang w:val="en-PH"/>
              </w:rPr>
            </w:pPr>
            <w:r w:rsidRPr="00DE5E7B">
              <w:rPr>
                <w:rFonts w:ascii="Arial Narrow" w:hAnsi="Arial Narrow" w:cs="Arial"/>
                <w:b/>
                <w:bCs/>
                <w:color w:val="000000" w:themeColor="text1"/>
                <w:sz w:val="20"/>
                <w:szCs w:val="20"/>
                <w:lang w:val="en-PH"/>
              </w:rPr>
              <w:t xml:space="preserve"> 6/42 </w:t>
            </w:r>
          </w:p>
        </w:tc>
        <w:tc>
          <w:tcPr>
            <w:tcW w:w="1235" w:type="dxa"/>
            <w:tcBorders>
              <w:top w:val="single" w:sz="4" w:space="0" w:color="auto"/>
              <w:left w:val="nil"/>
              <w:bottom w:val="single" w:sz="4" w:space="0" w:color="auto"/>
              <w:right w:val="nil"/>
            </w:tcBorders>
            <w:shd w:val="clear" w:color="auto" w:fill="auto"/>
            <w:noWrap/>
            <w:hideMark/>
          </w:tcPr>
          <w:p w14:paraId="6A1458A2" w14:textId="77777777" w:rsidR="0079208A" w:rsidRPr="00DE5E7B" w:rsidRDefault="0079208A" w:rsidP="0079208A">
            <w:pPr>
              <w:ind w:left="0"/>
              <w:jc w:val="right"/>
              <w:rPr>
                <w:rFonts w:ascii="Arial Narrow" w:hAnsi="Arial Narrow" w:cs="Arial"/>
                <w:b/>
                <w:bCs/>
                <w:color w:val="000000" w:themeColor="text1"/>
                <w:sz w:val="20"/>
                <w:szCs w:val="20"/>
                <w:lang w:val="en-PH"/>
              </w:rPr>
            </w:pPr>
            <w:r w:rsidRPr="00DE5E7B">
              <w:rPr>
                <w:rFonts w:ascii="Arial Narrow" w:hAnsi="Arial Narrow" w:cs="Arial"/>
                <w:b/>
                <w:bCs/>
                <w:color w:val="000000" w:themeColor="text1"/>
                <w:sz w:val="20"/>
                <w:szCs w:val="20"/>
                <w:lang w:val="en-PH"/>
              </w:rPr>
              <w:t xml:space="preserve">  6/55</w:t>
            </w:r>
          </w:p>
        </w:tc>
        <w:tc>
          <w:tcPr>
            <w:tcW w:w="1385" w:type="dxa"/>
            <w:tcBorders>
              <w:top w:val="single" w:sz="4" w:space="0" w:color="auto"/>
              <w:left w:val="nil"/>
              <w:bottom w:val="single" w:sz="4" w:space="0" w:color="auto"/>
              <w:right w:val="nil"/>
            </w:tcBorders>
            <w:shd w:val="clear" w:color="auto" w:fill="auto"/>
            <w:noWrap/>
            <w:hideMark/>
          </w:tcPr>
          <w:p w14:paraId="29992F19" w14:textId="77777777" w:rsidR="0079208A" w:rsidRPr="00DE5E7B" w:rsidRDefault="0079208A" w:rsidP="0079208A">
            <w:pPr>
              <w:ind w:left="0" w:right="-90"/>
              <w:jc w:val="right"/>
              <w:rPr>
                <w:rFonts w:ascii="Arial Narrow" w:hAnsi="Arial Narrow" w:cs="Arial"/>
                <w:b/>
                <w:bCs/>
                <w:color w:val="000000" w:themeColor="text1"/>
                <w:sz w:val="20"/>
                <w:szCs w:val="20"/>
                <w:lang w:val="en-PH"/>
              </w:rPr>
            </w:pPr>
            <w:r w:rsidRPr="00DE5E7B">
              <w:rPr>
                <w:rFonts w:ascii="Arial Narrow" w:hAnsi="Arial Narrow" w:cs="Arial"/>
                <w:b/>
                <w:bCs/>
                <w:color w:val="000000" w:themeColor="text1"/>
                <w:sz w:val="20"/>
                <w:szCs w:val="20"/>
                <w:lang w:val="en-PH"/>
              </w:rPr>
              <w:t>6/58</w:t>
            </w:r>
          </w:p>
        </w:tc>
      </w:tr>
      <w:tr w:rsidR="0079208A" w:rsidRPr="00DE5E7B" w14:paraId="2B78732F" w14:textId="77777777" w:rsidTr="00DE5E7B">
        <w:trPr>
          <w:trHeight w:val="243"/>
        </w:trPr>
        <w:tc>
          <w:tcPr>
            <w:tcW w:w="2546" w:type="dxa"/>
            <w:tcBorders>
              <w:top w:val="single" w:sz="4" w:space="0" w:color="auto"/>
              <w:left w:val="nil"/>
              <w:bottom w:val="nil"/>
              <w:right w:val="nil"/>
            </w:tcBorders>
            <w:shd w:val="clear" w:color="auto" w:fill="auto"/>
            <w:noWrap/>
            <w:hideMark/>
          </w:tcPr>
          <w:p w14:paraId="33904A28" w14:textId="77777777" w:rsidR="0079208A" w:rsidRPr="00DE5E7B" w:rsidRDefault="0079208A" w:rsidP="0079208A">
            <w:pPr>
              <w:ind w:left="0" w:hanging="90"/>
              <w:jc w:val="left"/>
              <w:rPr>
                <w:rFonts w:ascii="Arial Narrow" w:hAnsi="Arial Narrow" w:cs="Arial"/>
                <w:b/>
                <w:bCs/>
                <w:color w:val="000000" w:themeColor="text1"/>
                <w:sz w:val="20"/>
                <w:szCs w:val="20"/>
                <w:lang w:val="en-PH"/>
              </w:rPr>
            </w:pPr>
            <w:r w:rsidRPr="00DE5E7B">
              <w:rPr>
                <w:rFonts w:ascii="Arial Narrow" w:hAnsi="Arial Narrow" w:cs="Arial"/>
                <w:b/>
                <w:bCs/>
                <w:color w:val="000000" w:themeColor="text1"/>
                <w:sz w:val="20"/>
                <w:szCs w:val="20"/>
                <w:lang w:val="en-PH"/>
              </w:rPr>
              <w:t>Gross Receipts</w:t>
            </w:r>
          </w:p>
        </w:tc>
        <w:tc>
          <w:tcPr>
            <w:tcW w:w="1123" w:type="dxa"/>
            <w:tcBorders>
              <w:top w:val="single" w:sz="4" w:space="0" w:color="auto"/>
              <w:left w:val="nil"/>
              <w:bottom w:val="nil"/>
              <w:right w:val="nil"/>
            </w:tcBorders>
            <w:shd w:val="clear" w:color="auto" w:fill="auto"/>
            <w:noWrap/>
            <w:hideMark/>
          </w:tcPr>
          <w:p w14:paraId="4179ABAF" w14:textId="77777777" w:rsidR="0079208A" w:rsidRPr="00DE5E7B" w:rsidRDefault="0079208A" w:rsidP="0079208A">
            <w:pPr>
              <w:ind w:left="0"/>
              <w:jc w:val="right"/>
              <w:rPr>
                <w:rFonts w:ascii="Arial Narrow" w:hAnsi="Arial Narrow" w:cs="Arial"/>
                <w:b/>
                <w:bCs/>
                <w:color w:val="000000" w:themeColor="text1"/>
                <w:sz w:val="20"/>
                <w:szCs w:val="20"/>
                <w:lang w:val="en-PH"/>
              </w:rPr>
            </w:pPr>
            <w:r w:rsidRPr="00DE5E7B">
              <w:rPr>
                <w:rFonts w:ascii="Arial Narrow" w:hAnsi="Arial Narrow" w:cs="Arial"/>
                <w:b/>
                <w:bCs/>
                <w:color w:val="000000" w:themeColor="text1"/>
                <w:sz w:val="20"/>
                <w:szCs w:val="20"/>
                <w:lang w:val="en-PH"/>
              </w:rPr>
              <w:t>100.00%</w:t>
            </w:r>
          </w:p>
        </w:tc>
        <w:tc>
          <w:tcPr>
            <w:tcW w:w="1182" w:type="dxa"/>
            <w:tcBorders>
              <w:top w:val="single" w:sz="4" w:space="0" w:color="auto"/>
              <w:left w:val="nil"/>
              <w:bottom w:val="nil"/>
              <w:right w:val="nil"/>
            </w:tcBorders>
            <w:shd w:val="clear" w:color="auto" w:fill="auto"/>
            <w:noWrap/>
            <w:hideMark/>
          </w:tcPr>
          <w:p w14:paraId="73BC3987" w14:textId="77777777" w:rsidR="0079208A" w:rsidRPr="00DE5E7B" w:rsidRDefault="0079208A" w:rsidP="0079208A">
            <w:pPr>
              <w:ind w:left="0"/>
              <w:jc w:val="right"/>
              <w:rPr>
                <w:rFonts w:ascii="Arial Narrow" w:hAnsi="Arial Narrow" w:cs="Arial"/>
                <w:b/>
                <w:bCs/>
                <w:color w:val="000000" w:themeColor="text1"/>
                <w:sz w:val="20"/>
                <w:szCs w:val="20"/>
                <w:lang w:val="en-PH"/>
              </w:rPr>
            </w:pPr>
            <w:r w:rsidRPr="00DE5E7B">
              <w:rPr>
                <w:rFonts w:ascii="Arial Narrow" w:hAnsi="Arial Narrow" w:cs="Arial"/>
                <w:b/>
                <w:bCs/>
                <w:color w:val="000000" w:themeColor="text1"/>
                <w:sz w:val="20"/>
                <w:szCs w:val="20"/>
                <w:lang w:val="en-PH"/>
              </w:rPr>
              <w:t>100.00%</w:t>
            </w:r>
          </w:p>
        </w:tc>
        <w:tc>
          <w:tcPr>
            <w:tcW w:w="1182" w:type="dxa"/>
            <w:tcBorders>
              <w:top w:val="single" w:sz="4" w:space="0" w:color="auto"/>
              <w:left w:val="nil"/>
              <w:bottom w:val="nil"/>
              <w:right w:val="nil"/>
            </w:tcBorders>
            <w:shd w:val="clear" w:color="auto" w:fill="auto"/>
            <w:noWrap/>
            <w:hideMark/>
          </w:tcPr>
          <w:p w14:paraId="16F7F1E6" w14:textId="77777777" w:rsidR="0079208A" w:rsidRPr="00DE5E7B" w:rsidRDefault="0079208A" w:rsidP="0079208A">
            <w:pPr>
              <w:ind w:left="0"/>
              <w:jc w:val="right"/>
              <w:rPr>
                <w:rFonts w:ascii="Arial Narrow" w:hAnsi="Arial Narrow" w:cs="Arial"/>
                <w:b/>
                <w:bCs/>
                <w:color w:val="000000" w:themeColor="text1"/>
                <w:sz w:val="20"/>
                <w:szCs w:val="20"/>
                <w:lang w:val="en-PH"/>
              </w:rPr>
            </w:pPr>
            <w:r w:rsidRPr="00DE5E7B">
              <w:rPr>
                <w:rFonts w:ascii="Arial Narrow" w:hAnsi="Arial Narrow" w:cs="Arial"/>
                <w:b/>
                <w:bCs/>
                <w:color w:val="000000" w:themeColor="text1"/>
                <w:sz w:val="20"/>
                <w:szCs w:val="20"/>
                <w:lang w:val="en-PH"/>
              </w:rPr>
              <w:t>100.00%</w:t>
            </w:r>
          </w:p>
        </w:tc>
        <w:tc>
          <w:tcPr>
            <w:tcW w:w="1235" w:type="dxa"/>
            <w:tcBorders>
              <w:top w:val="single" w:sz="4" w:space="0" w:color="auto"/>
              <w:left w:val="nil"/>
              <w:bottom w:val="nil"/>
              <w:right w:val="nil"/>
            </w:tcBorders>
            <w:shd w:val="clear" w:color="auto" w:fill="auto"/>
            <w:noWrap/>
            <w:hideMark/>
          </w:tcPr>
          <w:p w14:paraId="4107AFCA" w14:textId="77777777" w:rsidR="0079208A" w:rsidRPr="00DE5E7B" w:rsidRDefault="0079208A" w:rsidP="0079208A">
            <w:pPr>
              <w:ind w:left="0"/>
              <w:jc w:val="right"/>
              <w:rPr>
                <w:rFonts w:ascii="Arial Narrow" w:hAnsi="Arial Narrow" w:cs="Arial"/>
                <w:b/>
                <w:bCs/>
                <w:color w:val="000000" w:themeColor="text1"/>
                <w:sz w:val="20"/>
                <w:szCs w:val="20"/>
                <w:lang w:val="en-PH"/>
              </w:rPr>
            </w:pPr>
            <w:r w:rsidRPr="00DE5E7B">
              <w:rPr>
                <w:rFonts w:ascii="Arial Narrow" w:hAnsi="Arial Narrow" w:cs="Arial"/>
                <w:b/>
                <w:bCs/>
                <w:color w:val="000000" w:themeColor="text1"/>
                <w:sz w:val="20"/>
                <w:szCs w:val="20"/>
                <w:lang w:val="en-PH"/>
              </w:rPr>
              <w:t>100.00%</w:t>
            </w:r>
          </w:p>
        </w:tc>
        <w:tc>
          <w:tcPr>
            <w:tcW w:w="1385" w:type="dxa"/>
            <w:tcBorders>
              <w:top w:val="single" w:sz="4" w:space="0" w:color="auto"/>
              <w:left w:val="nil"/>
              <w:bottom w:val="nil"/>
              <w:right w:val="nil"/>
            </w:tcBorders>
            <w:shd w:val="clear" w:color="auto" w:fill="auto"/>
            <w:noWrap/>
            <w:hideMark/>
          </w:tcPr>
          <w:p w14:paraId="5EEFAACD" w14:textId="77777777" w:rsidR="0079208A" w:rsidRPr="00DE5E7B" w:rsidRDefault="0079208A" w:rsidP="00DE5E7B">
            <w:pPr>
              <w:ind w:left="0" w:right="-90"/>
              <w:jc w:val="right"/>
              <w:rPr>
                <w:rFonts w:ascii="Arial Narrow" w:hAnsi="Arial Narrow" w:cs="Arial"/>
                <w:b/>
                <w:bCs/>
                <w:color w:val="000000" w:themeColor="text1"/>
                <w:sz w:val="20"/>
                <w:szCs w:val="20"/>
                <w:lang w:val="en-PH"/>
              </w:rPr>
            </w:pPr>
            <w:r w:rsidRPr="00DE5E7B">
              <w:rPr>
                <w:rFonts w:ascii="Arial Narrow" w:hAnsi="Arial Narrow" w:cs="Arial"/>
                <w:b/>
                <w:bCs/>
                <w:color w:val="000000" w:themeColor="text1"/>
                <w:sz w:val="20"/>
                <w:szCs w:val="20"/>
                <w:lang w:val="en-PH"/>
              </w:rPr>
              <w:t>100.00%</w:t>
            </w:r>
          </w:p>
        </w:tc>
      </w:tr>
      <w:tr w:rsidR="0079208A" w:rsidRPr="00DE5E7B" w14:paraId="520E1449" w14:textId="77777777" w:rsidTr="00DE5E7B">
        <w:trPr>
          <w:trHeight w:val="156"/>
        </w:trPr>
        <w:tc>
          <w:tcPr>
            <w:tcW w:w="2546" w:type="dxa"/>
            <w:tcBorders>
              <w:top w:val="nil"/>
              <w:left w:val="nil"/>
              <w:bottom w:val="nil"/>
              <w:right w:val="nil"/>
            </w:tcBorders>
            <w:shd w:val="clear" w:color="auto" w:fill="auto"/>
            <w:noWrap/>
            <w:hideMark/>
          </w:tcPr>
          <w:p w14:paraId="46E79D74" w14:textId="77777777" w:rsidR="0079208A" w:rsidRPr="00DE5E7B" w:rsidRDefault="0079208A" w:rsidP="0079208A">
            <w:pPr>
              <w:ind w:left="0" w:hanging="90"/>
              <w:jc w:val="left"/>
              <w:rPr>
                <w:rFonts w:ascii="Arial Narrow" w:hAnsi="Arial Narrow" w:cs="Arial"/>
                <w:color w:val="000000" w:themeColor="text1"/>
                <w:sz w:val="20"/>
                <w:szCs w:val="20"/>
                <w:lang w:val="en-PH"/>
              </w:rPr>
            </w:pPr>
            <w:r w:rsidRPr="00DE5E7B">
              <w:rPr>
                <w:rFonts w:ascii="Arial Narrow" w:hAnsi="Arial Narrow" w:cs="Arial"/>
                <w:color w:val="000000" w:themeColor="text1"/>
                <w:sz w:val="20"/>
                <w:szCs w:val="20"/>
                <w:lang w:val="en-PH"/>
              </w:rPr>
              <w:t>Printing Cost</w:t>
            </w:r>
          </w:p>
        </w:tc>
        <w:tc>
          <w:tcPr>
            <w:tcW w:w="1123" w:type="dxa"/>
            <w:tcBorders>
              <w:top w:val="nil"/>
              <w:left w:val="nil"/>
              <w:bottom w:val="nil"/>
              <w:right w:val="nil"/>
            </w:tcBorders>
            <w:shd w:val="clear" w:color="auto" w:fill="auto"/>
            <w:noWrap/>
            <w:hideMark/>
          </w:tcPr>
          <w:p w14:paraId="3E903AA4" w14:textId="77777777" w:rsidR="0079208A" w:rsidRPr="00DE5E7B" w:rsidRDefault="0079208A" w:rsidP="0079208A">
            <w:pPr>
              <w:ind w:left="0"/>
              <w:jc w:val="right"/>
              <w:rPr>
                <w:rFonts w:ascii="Arial Narrow" w:hAnsi="Arial Narrow" w:cs="Arial"/>
                <w:color w:val="000000" w:themeColor="text1"/>
                <w:sz w:val="20"/>
                <w:szCs w:val="20"/>
                <w:lang w:val="en-PH"/>
              </w:rPr>
            </w:pPr>
            <w:r w:rsidRPr="00DE5E7B">
              <w:rPr>
                <w:rFonts w:ascii="Arial Narrow" w:hAnsi="Arial Narrow" w:cs="Arial"/>
                <w:color w:val="000000" w:themeColor="text1"/>
                <w:sz w:val="20"/>
                <w:szCs w:val="20"/>
                <w:lang w:val="en-PH"/>
              </w:rPr>
              <w:t>2.00%</w:t>
            </w:r>
          </w:p>
        </w:tc>
        <w:tc>
          <w:tcPr>
            <w:tcW w:w="1182" w:type="dxa"/>
            <w:tcBorders>
              <w:top w:val="nil"/>
              <w:left w:val="nil"/>
              <w:bottom w:val="nil"/>
              <w:right w:val="nil"/>
            </w:tcBorders>
            <w:shd w:val="clear" w:color="auto" w:fill="auto"/>
            <w:noWrap/>
            <w:hideMark/>
          </w:tcPr>
          <w:p w14:paraId="3E2674B4" w14:textId="77777777" w:rsidR="0079208A" w:rsidRPr="00DE5E7B" w:rsidRDefault="0079208A" w:rsidP="0079208A">
            <w:pPr>
              <w:ind w:left="0"/>
              <w:jc w:val="right"/>
              <w:rPr>
                <w:rFonts w:ascii="Arial Narrow" w:hAnsi="Arial Narrow" w:cs="Arial"/>
                <w:color w:val="000000" w:themeColor="text1"/>
                <w:sz w:val="20"/>
                <w:szCs w:val="20"/>
                <w:lang w:val="en-PH"/>
              </w:rPr>
            </w:pPr>
            <w:r w:rsidRPr="00DE5E7B">
              <w:rPr>
                <w:rFonts w:ascii="Arial Narrow" w:hAnsi="Arial Narrow" w:cs="Arial"/>
                <w:color w:val="000000" w:themeColor="text1"/>
                <w:sz w:val="20"/>
                <w:szCs w:val="20"/>
                <w:lang w:val="en-PH"/>
              </w:rPr>
              <w:t>2.00%</w:t>
            </w:r>
          </w:p>
        </w:tc>
        <w:tc>
          <w:tcPr>
            <w:tcW w:w="1182" w:type="dxa"/>
            <w:tcBorders>
              <w:top w:val="nil"/>
              <w:left w:val="nil"/>
              <w:bottom w:val="nil"/>
              <w:right w:val="nil"/>
            </w:tcBorders>
            <w:shd w:val="clear" w:color="auto" w:fill="auto"/>
            <w:noWrap/>
            <w:hideMark/>
          </w:tcPr>
          <w:p w14:paraId="6457F009" w14:textId="77777777" w:rsidR="0079208A" w:rsidRPr="00DE5E7B" w:rsidRDefault="0079208A" w:rsidP="0079208A">
            <w:pPr>
              <w:ind w:left="0"/>
              <w:jc w:val="right"/>
              <w:rPr>
                <w:rFonts w:ascii="Arial Narrow" w:hAnsi="Arial Narrow" w:cs="Arial"/>
                <w:color w:val="000000" w:themeColor="text1"/>
                <w:sz w:val="20"/>
                <w:szCs w:val="20"/>
                <w:lang w:val="en-PH"/>
              </w:rPr>
            </w:pPr>
            <w:r w:rsidRPr="00DE5E7B">
              <w:rPr>
                <w:rFonts w:ascii="Arial Narrow" w:hAnsi="Arial Narrow" w:cs="Arial"/>
                <w:color w:val="000000" w:themeColor="text1"/>
                <w:sz w:val="20"/>
                <w:szCs w:val="20"/>
                <w:lang w:val="en-PH"/>
              </w:rPr>
              <w:t>2.00%</w:t>
            </w:r>
          </w:p>
        </w:tc>
        <w:tc>
          <w:tcPr>
            <w:tcW w:w="1235" w:type="dxa"/>
            <w:tcBorders>
              <w:top w:val="nil"/>
              <w:left w:val="nil"/>
              <w:bottom w:val="nil"/>
              <w:right w:val="nil"/>
            </w:tcBorders>
            <w:shd w:val="clear" w:color="auto" w:fill="auto"/>
            <w:noWrap/>
            <w:hideMark/>
          </w:tcPr>
          <w:p w14:paraId="1CA07086" w14:textId="77777777" w:rsidR="0079208A" w:rsidRPr="00DE5E7B" w:rsidRDefault="0079208A" w:rsidP="0079208A">
            <w:pPr>
              <w:ind w:left="0"/>
              <w:jc w:val="right"/>
              <w:rPr>
                <w:rFonts w:ascii="Arial Narrow" w:hAnsi="Arial Narrow" w:cs="Arial"/>
                <w:color w:val="000000" w:themeColor="text1"/>
                <w:sz w:val="20"/>
                <w:szCs w:val="20"/>
                <w:lang w:val="en-PH"/>
              </w:rPr>
            </w:pPr>
            <w:r w:rsidRPr="00DE5E7B">
              <w:rPr>
                <w:rFonts w:ascii="Arial Narrow" w:hAnsi="Arial Narrow" w:cs="Arial"/>
                <w:color w:val="000000" w:themeColor="text1"/>
                <w:sz w:val="20"/>
                <w:szCs w:val="20"/>
                <w:lang w:val="en-PH"/>
              </w:rPr>
              <w:t>2.00%</w:t>
            </w:r>
          </w:p>
        </w:tc>
        <w:tc>
          <w:tcPr>
            <w:tcW w:w="1385" w:type="dxa"/>
            <w:tcBorders>
              <w:top w:val="nil"/>
              <w:left w:val="nil"/>
              <w:bottom w:val="nil"/>
              <w:right w:val="nil"/>
            </w:tcBorders>
            <w:shd w:val="clear" w:color="auto" w:fill="auto"/>
            <w:noWrap/>
            <w:hideMark/>
          </w:tcPr>
          <w:p w14:paraId="520983B2" w14:textId="77777777" w:rsidR="0079208A" w:rsidRPr="00DE5E7B" w:rsidRDefault="0079208A" w:rsidP="00DE5E7B">
            <w:pPr>
              <w:ind w:left="0" w:right="-90"/>
              <w:jc w:val="right"/>
              <w:rPr>
                <w:rFonts w:ascii="Arial Narrow" w:hAnsi="Arial Narrow" w:cs="Arial"/>
                <w:color w:val="000000" w:themeColor="text1"/>
                <w:sz w:val="20"/>
                <w:szCs w:val="20"/>
                <w:lang w:val="en-PH"/>
              </w:rPr>
            </w:pPr>
            <w:r w:rsidRPr="00DE5E7B">
              <w:rPr>
                <w:rFonts w:ascii="Arial Narrow" w:hAnsi="Arial Narrow" w:cs="Arial"/>
                <w:color w:val="000000" w:themeColor="text1"/>
                <w:sz w:val="20"/>
                <w:szCs w:val="20"/>
                <w:lang w:val="en-PH"/>
              </w:rPr>
              <w:t>2.00%</w:t>
            </w:r>
          </w:p>
        </w:tc>
      </w:tr>
      <w:tr w:rsidR="0079208A" w:rsidRPr="00DE5E7B" w14:paraId="41C74178" w14:textId="77777777" w:rsidTr="00DE5E7B">
        <w:trPr>
          <w:trHeight w:val="205"/>
        </w:trPr>
        <w:tc>
          <w:tcPr>
            <w:tcW w:w="2546" w:type="dxa"/>
            <w:tcBorders>
              <w:top w:val="nil"/>
              <w:left w:val="nil"/>
              <w:bottom w:val="nil"/>
              <w:right w:val="nil"/>
            </w:tcBorders>
            <w:shd w:val="clear" w:color="auto" w:fill="auto"/>
            <w:noWrap/>
            <w:hideMark/>
          </w:tcPr>
          <w:p w14:paraId="012D1F72" w14:textId="38C2C5E3" w:rsidR="0079208A" w:rsidRPr="00DE5E7B" w:rsidRDefault="0079208A" w:rsidP="0079208A">
            <w:pPr>
              <w:ind w:left="0" w:hanging="90"/>
              <w:jc w:val="left"/>
              <w:rPr>
                <w:rFonts w:ascii="Arial Narrow" w:hAnsi="Arial Narrow" w:cs="Arial"/>
                <w:b/>
                <w:bCs/>
                <w:color w:val="000000" w:themeColor="text1"/>
                <w:sz w:val="20"/>
                <w:szCs w:val="20"/>
                <w:lang w:val="en-PH"/>
              </w:rPr>
            </w:pPr>
            <w:r w:rsidRPr="00DE5E7B">
              <w:rPr>
                <w:rFonts w:ascii="Arial Narrow" w:hAnsi="Arial Narrow" w:cs="Arial"/>
                <w:b/>
                <w:bCs/>
                <w:color w:val="000000" w:themeColor="text1"/>
                <w:sz w:val="20"/>
                <w:szCs w:val="20"/>
                <w:lang w:val="en-PH"/>
              </w:rPr>
              <w:t>Net Receipts</w:t>
            </w:r>
            <w:r w:rsidR="00F6182B">
              <w:rPr>
                <w:rFonts w:ascii="Arial Narrow" w:hAnsi="Arial Narrow" w:cs="Arial"/>
                <w:b/>
                <w:bCs/>
                <w:color w:val="000000" w:themeColor="text1"/>
                <w:sz w:val="20"/>
                <w:szCs w:val="20"/>
                <w:lang w:val="en-PH"/>
              </w:rPr>
              <w:t xml:space="preserve"> (NR)</w:t>
            </w:r>
          </w:p>
        </w:tc>
        <w:tc>
          <w:tcPr>
            <w:tcW w:w="1123" w:type="dxa"/>
            <w:tcBorders>
              <w:top w:val="nil"/>
              <w:left w:val="nil"/>
              <w:bottom w:val="nil"/>
              <w:right w:val="nil"/>
            </w:tcBorders>
            <w:shd w:val="clear" w:color="auto" w:fill="auto"/>
            <w:noWrap/>
            <w:hideMark/>
          </w:tcPr>
          <w:p w14:paraId="3B1C139C" w14:textId="77777777" w:rsidR="0079208A" w:rsidRPr="00DE5E7B" w:rsidRDefault="0079208A" w:rsidP="0079208A">
            <w:pPr>
              <w:ind w:left="0"/>
              <w:jc w:val="right"/>
              <w:rPr>
                <w:rFonts w:ascii="Arial Narrow" w:hAnsi="Arial Narrow" w:cs="Arial"/>
                <w:b/>
                <w:bCs/>
                <w:color w:val="000000" w:themeColor="text1"/>
                <w:sz w:val="20"/>
                <w:szCs w:val="20"/>
                <w:lang w:val="en-PH"/>
              </w:rPr>
            </w:pPr>
            <w:r w:rsidRPr="00DE5E7B">
              <w:rPr>
                <w:rFonts w:ascii="Arial Narrow" w:hAnsi="Arial Narrow" w:cs="Arial"/>
                <w:b/>
                <w:bCs/>
                <w:color w:val="000000" w:themeColor="text1"/>
                <w:sz w:val="20"/>
                <w:szCs w:val="20"/>
                <w:lang w:val="en-PH"/>
              </w:rPr>
              <w:t>98.00%</w:t>
            </w:r>
          </w:p>
        </w:tc>
        <w:tc>
          <w:tcPr>
            <w:tcW w:w="1182" w:type="dxa"/>
            <w:tcBorders>
              <w:top w:val="nil"/>
              <w:left w:val="nil"/>
              <w:bottom w:val="nil"/>
              <w:right w:val="nil"/>
            </w:tcBorders>
            <w:shd w:val="clear" w:color="auto" w:fill="auto"/>
            <w:noWrap/>
            <w:hideMark/>
          </w:tcPr>
          <w:p w14:paraId="3F290E2E" w14:textId="77777777" w:rsidR="0079208A" w:rsidRPr="00DE5E7B" w:rsidRDefault="0079208A" w:rsidP="0079208A">
            <w:pPr>
              <w:ind w:left="0"/>
              <w:jc w:val="right"/>
              <w:rPr>
                <w:rFonts w:ascii="Arial Narrow" w:hAnsi="Arial Narrow" w:cs="Arial"/>
                <w:b/>
                <w:bCs/>
                <w:color w:val="000000" w:themeColor="text1"/>
                <w:sz w:val="20"/>
                <w:szCs w:val="20"/>
                <w:lang w:val="en-PH"/>
              </w:rPr>
            </w:pPr>
            <w:r w:rsidRPr="00DE5E7B">
              <w:rPr>
                <w:rFonts w:ascii="Arial Narrow" w:hAnsi="Arial Narrow" w:cs="Arial"/>
                <w:b/>
                <w:bCs/>
                <w:color w:val="000000" w:themeColor="text1"/>
                <w:sz w:val="20"/>
                <w:szCs w:val="20"/>
                <w:lang w:val="en-PH"/>
              </w:rPr>
              <w:t>98.00%</w:t>
            </w:r>
          </w:p>
        </w:tc>
        <w:tc>
          <w:tcPr>
            <w:tcW w:w="1182" w:type="dxa"/>
            <w:tcBorders>
              <w:top w:val="nil"/>
              <w:left w:val="nil"/>
              <w:bottom w:val="nil"/>
              <w:right w:val="nil"/>
            </w:tcBorders>
            <w:shd w:val="clear" w:color="auto" w:fill="auto"/>
            <w:noWrap/>
            <w:hideMark/>
          </w:tcPr>
          <w:p w14:paraId="2511DD18" w14:textId="77777777" w:rsidR="0079208A" w:rsidRPr="00DE5E7B" w:rsidRDefault="0079208A" w:rsidP="0079208A">
            <w:pPr>
              <w:ind w:left="0"/>
              <w:jc w:val="right"/>
              <w:rPr>
                <w:rFonts w:ascii="Arial Narrow" w:hAnsi="Arial Narrow" w:cs="Arial"/>
                <w:b/>
                <w:bCs/>
                <w:color w:val="000000" w:themeColor="text1"/>
                <w:sz w:val="20"/>
                <w:szCs w:val="20"/>
                <w:lang w:val="en-PH"/>
              </w:rPr>
            </w:pPr>
            <w:r w:rsidRPr="00DE5E7B">
              <w:rPr>
                <w:rFonts w:ascii="Arial Narrow" w:hAnsi="Arial Narrow" w:cs="Arial"/>
                <w:b/>
                <w:bCs/>
                <w:color w:val="000000" w:themeColor="text1"/>
                <w:sz w:val="20"/>
                <w:szCs w:val="20"/>
                <w:lang w:val="en-PH"/>
              </w:rPr>
              <w:t>98.00%</w:t>
            </w:r>
          </w:p>
        </w:tc>
        <w:tc>
          <w:tcPr>
            <w:tcW w:w="1235" w:type="dxa"/>
            <w:tcBorders>
              <w:top w:val="nil"/>
              <w:left w:val="nil"/>
              <w:bottom w:val="nil"/>
              <w:right w:val="nil"/>
            </w:tcBorders>
            <w:shd w:val="clear" w:color="auto" w:fill="auto"/>
            <w:noWrap/>
            <w:hideMark/>
          </w:tcPr>
          <w:p w14:paraId="395BA827" w14:textId="77777777" w:rsidR="0079208A" w:rsidRPr="00DE5E7B" w:rsidRDefault="0079208A" w:rsidP="0079208A">
            <w:pPr>
              <w:ind w:left="0"/>
              <w:jc w:val="right"/>
              <w:rPr>
                <w:rFonts w:ascii="Arial Narrow" w:hAnsi="Arial Narrow" w:cs="Arial"/>
                <w:b/>
                <w:bCs/>
                <w:color w:val="000000" w:themeColor="text1"/>
                <w:sz w:val="20"/>
                <w:szCs w:val="20"/>
                <w:lang w:val="en-PH"/>
              </w:rPr>
            </w:pPr>
            <w:r w:rsidRPr="00DE5E7B">
              <w:rPr>
                <w:rFonts w:ascii="Arial Narrow" w:hAnsi="Arial Narrow" w:cs="Arial"/>
                <w:b/>
                <w:bCs/>
                <w:color w:val="000000" w:themeColor="text1"/>
                <w:sz w:val="20"/>
                <w:szCs w:val="20"/>
                <w:lang w:val="en-PH"/>
              </w:rPr>
              <w:t>98.00%</w:t>
            </w:r>
          </w:p>
        </w:tc>
        <w:tc>
          <w:tcPr>
            <w:tcW w:w="1385" w:type="dxa"/>
            <w:tcBorders>
              <w:top w:val="nil"/>
              <w:left w:val="nil"/>
              <w:bottom w:val="nil"/>
              <w:right w:val="nil"/>
            </w:tcBorders>
            <w:shd w:val="clear" w:color="auto" w:fill="auto"/>
            <w:noWrap/>
            <w:hideMark/>
          </w:tcPr>
          <w:p w14:paraId="0C4EB01F" w14:textId="77777777" w:rsidR="0079208A" w:rsidRPr="00DE5E7B" w:rsidRDefault="0079208A" w:rsidP="00DE5E7B">
            <w:pPr>
              <w:ind w:left="0" w:right="-90"/>
              <w:jc w:val="right"/>
              <w:rPr>
                <w:rFonts w:ascii="Arial Narrow" w:hAnsi="Arial Narrow" w:cs="Arial"/>
                <w:b/>
                <w:bCs/>
                <w:color w:val="000000" w:themeColor="text1"/>
                <w:sz w:val="20"/>
                <w:szCs w:val="20"/>
                <w:lang w:val="en-PH"/>
              </w:rPr>
            </w:pPr>
            <w:r w:rsidRPr="00DE5E7B">
              <w:rPr>
                <w:rFonts w:ascii="Arial Narrow" w:hAnsi="Arial Narrow" w:cs="Arial"/>
                <w:b/>
                <w:bCs/>
                <w:color w:val="000000" w:themeColor="text1"/>
                <w:sz w:val="20"/>
                <w:szCs w:val="20"/>
                <w:lang w:val="en-PH"/>
              </w:rPr>
              <w:t>98.00%</w:t>
            </w:r>
          </w:p>
        </w:tc>
      </w:tr>
      <w:tr w:rsidR="0079208A" w:rsidRPr="00DE5E7B" w14:paraId="714AF25E" w14:textId="77777777" w:rsidTr="00DE5E7B">
        <w:trPr>
          <w:trHeight w:val="274"/>
        </w:trPr>
        <w:tc>
          <w:tcPr>
            <w:tcW w:w="2546" w:type="dxa"/>
            <w:tcBorders>
              <w:top w:val="nil"/>
              <w:left w:val="nil"/>
              <w:bottom w:val="nil"/>
              <w:right w:val="nil"/>
            </w:tcBorders>
            <w:shd w:val="clear" w:color="auto" w:fill="auto"/>
            <w:noWrap/>
            <w:hideMark/>
          </w:tcPr>
          <w:p w14:paraId="142778E1" w14:textId="77777777" w:rsidR="0079208A" w:rsidRPr="00DE5E7B" w:rsidRDefault="0079208A" w:rsidP="0079208A">
            <w:pPr>
              <w:ind w:left="0" w:hanging="90"/>
              <w:jc w:val="left"/>
              <w:rPr>
                <w:rFonts w:ascii="Arial Narrow" w:hAnsi="Arial Narrow" w:cs="Arial"/>
                <w:b/>
                <w:bCs/>
                <w:color w:val="000000" w:themeColor="text1"/>
                <w:sz w:val="20"/>
                <w:szCs w:val="20"/>
                <w:lang w:val="en-PH"/>
              </w:rPr>
            </w:pPr>
          </w:p>
        </w:tc>
        <w:tc>
          <w:tcPr>
            <w:tcW w:w="1123" w:type="dxa"/>
            <w:tcBorders>
              <w:top w:val="nil"/>
              <w:left w:val="nil"/>
              <w:bottom w:val="nil"/>
              <w:right w:val="nil"/>
            </w:tcBorders>
            <w:shd w:val="clear" w:color="auto" w:fill="auto"/>
            <w:noWrap/>
            <w:hideMark/>
          </w:tcPr>
          <w:p w14:paraId="495512E0" w14:textId="77777777" w:rsidR="0079208A" w:rsidRPr="00DE5E7B" w:rsidRDefault="0079208A" w:rsidP="0079208A">
            <w:pPr>
              <w:ind w:left="0"/>
              <w:jc w:val="right"/>
              <w:rPr>
                <w:rFonts w:ascii="Arial Narrow" w:hAnsi="Arial Narrow" w:cs="Arial"/>
                <w:color w:val="000000" w:themeColor="text1"/>
                <w:sz w:val="20"/>
                <w:szCs w:val="20"/>
                <w:lang w:val="en-PH"/>
              </w:rPr>
            </w:pPr>
          </w:p>
        </w:tc>
        <w:tc>
          <w:tcPr>
            <w:tcW w:w="1182" w:type="dxa"/>
            <w:tcBorders>
              <w:top w:val="nil"/>
              <w:left w:val="nil"/>
              <w:bottom w:val="nil"/>
              <w:right w:val="nil"/>
            </w:tcBorders>
            <w:shd w:val="clear" w:color="auto" w:fill="auto"/>
            <w:noWrap/>
            <w:hideMark/>
          </w:tcPr>
          <w:p w14:paraId="5FC1EB9F" w14:textId="77777777" w:rsidR="0079208A" w:rsidRPr="00DE5E7B" w:rsidRDefault="0079208A" w:rsidP="0079208A">
            <w:pPr>
              <w:ind w:left="0"/>
              <w:jc w:val="right"/>
              <w:rPr>
                <w:rFonts w:ascii="Arial Narrow" w:hAnsi="Arial Narrow" w:cs="Arial"/>
                <w:color w:val="000000" w:themeColor="text1"/>
                <w:sz w:val="20"/>
                <w:szCs w:val="20"/>
                <w:lang w:val="en-PH"/>
              </w:rPr>
            </w:pPr>
          </w:p>
        </w:tc>
        <w:tc>
          <w:tcPr>
            <w:tcW w:w="1182" w:type="dxa"/>
            <w:tcBorders>
              <w:top w:val="nil"/>
              <w:left w:val="nil"/>
              <w:bottom w:val="nil"/>
              <w:right w:val="nil"/>
            </w:tcBorders>
            <w:shd w:val="clear" w:color="auto" w:fill="auto"/>
            <w:noWrap/>
            <w:hideMark/>
          </w:tcPr>
          <w:p w14:paraId="2D792135" w14:textId="77777777" w:rsidR="0079208A" w:rsidRPr="00DE5E7B" w:rsidRDefault="0079208A" w:rsidP="0079208A">
            <w:pPr>
              <w:ind w:left="0"/>
              <w:jc w:val="right"/>
              <w:rPr>
                <w:rFonts w:ascii="Arial Narrow" w:hAnsi="Arial Narrow" w:cs="Arial"/>
                <w:color w:val="000000" w:themeColor="text1"/>
                <w:sz w:val="20"/>
                <w:szCs w:val="20"/>
                <w:lang w:val="en-PH"/>
              </w:rPr>
            </w:pPr>
          </w:p>
        </w:tc>
        <w:tc>
          <w:tcPr>
            <w:tcW w:w="1235" w:type="dxa"/>
            <w:tcBorders>
              <w:top w:val="nil"/>
              <w:left w:val="nil"/>
              <w:bottom w:val="nil"/>
              <w:right w:val="nil"/>
            </w:tcBorders>
            <w:shd w:val="clear" w:color="auto" w:fill="auto"/>
            <w:noWrap/>
            <w:hideMark/>
          </w:tcPr>
          <w:p w14:paraId="1AFBBE0E" w14:textId="77777777" w:rsidR="0079208A" w:rsidRPr="00DE5E7B" w:rsidRDefault="0079208A" w:rsidP="0079208A">
            <w:pPr>
              <w:ind w:left="0"/>
              <w:jc w:val="right"/>
              <w:rPr>
                <w:rFonts w:ascii="Arial Narrow" w:hAnsi="Arial Narrow" w:cs="Arial"/>
                <w:color w:val="000000" w:themeColor="text1"/>
                <w:sz w:val="20"/>
                <w:szCs w:val="20"/>
                <w:lang w:val="en-PH"/>
              </w:rPr>
            </w:pPr>
          </w:p>
        </w:tc>
        <w:tc>
          <w:tcPr>
            <w:tcW w:w="1385" w:type="dxa"/>
            <w:tcBorders>
              <w:top w:val="nil"/>
              <w:left w:val="nil"/>
              <w:bottom w:val="nil"/>
              <w:right w:val="nil"/>
            </w:tcBorders>
            <w:shd w:val="clear" w:color="auto" w:fill="auto"/>
            <w:noWrap/>
            <w:hideMark/>
          </w:tcPr>
          <w:p w14:paraId="46B6E3B8" w14:textId="77777777" w:rsidR="0079208A" w:rsidRPr="00DE5E7B" w:rsidRDefault="0079208A" w:rsidP="00DE5E7B">
            <w:pPr>
              <w:ind w:left="0" w:right="-90"/>
              <w:jc w:val="right"/>
              <w:rPr>
                <w:rFonts w:ascii="Arial Narrow" w:hAnsi="Arial Narrow" w:cs="Arial"/>
                <w:color w:val="000000" w:themeColor="text1"/>
                <w:sz w:val="20"/>
                <w:szCs w:val="20"/>
                <w:lang w:val="en-PH"/>
              </w:rPr>
            </w:pPr>
          </w:p>
        </w:tc>
      </w:tr>
      <w:tr w:rsidR="0079208A" w:rsidRPr="00DE5E7B" w14:paraId="16EB3065" w14:textId="77777777" w:rsidTr="00DE5E7B">
        <w:trPr>
          <w:trHeight w:val="78"/>
        </w:trPr>
        <w:tc>
          <w:tcPr>
            <w:tcW w:w="2546" w:type="dxa"/>
            <w:tcBorders>
              <w:top w:val="nil"/>
              <w:left w:val="nil"/>
              <w:bottom w:val="nil"/>
              <w:right w:val="nil"/>
            </w:tcBorders>
            <w:shd w:val="clear" w:color="auto" w:fill="auto"/>
            <w:noWrap/>
            <w:hideMark/>
          </w:tcPr>
          <w:p w14:paraId="6340E8E5" w14:textId="77777777" w:rsidR="0079208A" w:rsidRPr="00DE5E7B" w:rsidRDefault="0079208A" w:rsidP="0079208A">
            <w:pPr>
              <w:ind w:left="0" w:hanging="90"/>
              <w:jc w:val="left"/>
              <w:rPr>
                <w:rFonts w:ascii="Arial Narrow" w:hAnsi="Arial Narrow" w:cs="Arial"/>
                <w:b/>
                <w:bCs/>
                <w:color w:val="000000" w:themeColor="text1"/>
                <w:sz w:val="20"/>
                <w:szCs w:val="20"/>
                <w:lang w:val="en-PH"/>
              </w:rPr>
            </w:pPr>
            <w:r w:rsidRPr="00DE5E7B">
              <w:rPr>
                <w:rFonts w:ascii="Arial Narrow" w:hAnsi="Arial Narrow" w:cs="Arial"/>
                <w:b/>
                <w:bCs/>
                <w:color w:val="000000" w:themeColor="text1"/>
                <w:sz w:val="20"/>
                <w:szCs w:val="20"/>
                <w:lang w:val="en-PH"/>
              </w:rPr>
              <w:t>I. Prize Fund  (55% of NR)</w:t>
            </w:r>
          </w:p>
        </w:tc>
        <w:tc>
          <w:tcPr>
            <w:tcW w:w="1123" w:type="dxa"/>
            <w:tcBorders>
              <w:top w:val="nil"/>
              <w:left w:val="nil"/>
              <w:bottom w:val="nil"/>
              <w:right w:val="nil"/>
            </w:tcBorders>
            <w:shd w:val="clear" w:color="auto" w:fill="auto"/>
            <w:noWrap/>
            <w:hideMark/>
          </w:tcPr>
          <w:p w14:paraId="4C3396FF" w14:textId="77777777" w:rsidR="0079208A" w:rsidRPr="00DE5E7B" w:rsidRDefault="0079208A" w:rsidP="0079208A">
            <w:pPr>
              <w:ind w:left="0"/>
              <w:jc w:val="right"/>
              <w:rPr>
                <w:rFonts w:ascii="Arial Narrow" w:hAnsi="Arial Narrow" w:cs="Arial"/>
                <w:b/>
                <w:bCs/>
                <w:color w:val="000000" w:themeColor="text1"/>
                <w:sz w:val="20"/>
                <w:szCs w:val="20"/>
                <w:lang w:val="en-PH"/>
              </w:rPr>
            </w:pPr>
            <w:r w:rsidRPr="00DE5E7B">
              <w:rPr>
                <w:rFonts w:ascii="Arial Narrow" w:hAnsi="Arial Narrow" w:cs="Arial"/>
                <w:b/>
                <w:bCs/>
                <w:color w:val="000000" w:themeColor="text1"/>
                <w:sz w:val="20"/>
                <w:szCs w:val="20"/>
                <w:lang w:val="en-PH"/>
              </w:rPr>
              <w:t>53.90%</w:t>
            </w:r>
          </w:p>
        </w:tc>
        <w:tc>
          <w:tcPr>
            <w:tcW w:w="1182" w:type="dxa"/>
            <w:tcBorders>
              <w:top w:val="nil"/>
              <w:left w:val="nil"/>
              <w:bottom w:val="nil"/>
              <w:right w:val="nil"/>
            </w:tcBorders>
            <w:shd w:val="clear" w:color="auto" w:fill="auto"/>
            <w:noWrap/>
            <w:hideMark/>
          </w:tcPr>
          <w:p w14:paraId="72348D80" w14:textId="77777777" w:rsidR="0079208A" w:rsidRPr="00DE5E7B" w:rsidRDefault="0079208A" w:rsidP="0079208A">
            <w:pPr>
              <w:ind w:left="0"/>
              <w:jc w:val="right"/>
              <w:rPr>
                <w:rFonts w:ascii="Arial Narrow" w:hAnsi="Arial Narrow" w:cs="Arial"/>
                <w:b/>
                <w:bCs/>
                <w:color w:val="000000" w:themeColor="text1"/>
                <w:sz w:val="20"/>
                <w:szCs w:val="20"/>
                <w:lang w:val="en-PH"/>
              </w:rPr>
            </w:pPr>
            <w:r w:rsidRPr="00DE5E7B">
              <w:rPr>
                <w:rFonts w:ascii="Arial Narrow" w:hAnsi="Arial Narrow" w:cs="Arial"/>
                <w:b/>
                <w:bCs/>
                <w:color w:val="000000" w:themeColor="text1"/>
                <w:sz w:val="20"/>
                <w:szCs w:val="20"/>
                <w:lang w:val="en-PH"/>
              </w:rPr>
              <w:t>53.90%</w:t>
            </w:r>
          </w:p>
        </w:tc>
        <w:tc>
          <w:tcPr>
            <w:tcW w:w="1182" w:type="dxa"/>
            <w:tcBorders>
              <w:top w:val="nil"/>
              <w:left w:val="nil"/>
              <w:bottom w:val="nil"/>
              <w:right w:val="nil"/>
            </w:tcBorders>
            <w:shd w:val="clear" w:color="auto" w:fill="auto"/>
            <w:noWrap/>
            <w:hideMark/>
          </w:tcPr>
          <w:p w14:paraId="652551AC" w14:textId="77777777" w:rsidR="0079208A" w:rsidRPr="00DE5E7B" w:rsidRDefault="0079208A" w:rsidP="0079208A">
            <w:pPr>
              <w:ind w:left="0"/>
              <w:jc w:val="right"/>
              <w:rPr>
                <w:rFonts w:ascii="Arial Narrow" w:hAnsi="Arial Narrow" w:cs="Arial"/>
                <w:b/>
                <w:bCs/>
                <w:color w:val="000000" w:themeColor="text1"/>
                <w:sz w:val="20"/>
                <w:szCs w:val="20"/>
                <w:lang w:val="en-PH"/>
              </w:rPr>
            </w:pPr>
            <w:r w:rsidRPr="00DE5E7B">
              <w:rPr>
                <w:rFonts w:ascii="Arial Narrow" w:hAnsi="Arial Narrow" w:cs="Arial"/>
                <w:b/>
                <w:bCs/>
                <w:color w:val="000000" w:themeColor="text1"/>
                <w:sz w:val="20"/>
                <w:szCs w:val="20"/>
                <w:lang w:val="en-PH"/>
              </w:rPr>
              <w:t>53.90%</w:t>
            </w:r>
          </w:p>
        </w:tc>
        <w:tc>
          <w:tcPr>
            <w:tcW w:w="1235" w:type="dxa"/>
            <w:tcBorders>
              <w:top w:val="nil"/>
              <w:left w:val="nil"/>
              <w:bottom w:val="nil"/>
              <w:right w:val="nil"/>
            </w:tcBorders>
            <w:shd w:val="clear" w:color="auto" w:fill="auto"/>
            <w:noWrap/>
            <w:hideMark/>
          </w:tcPr>
          <w:p w14:paraId="63BB1C28" w14:textId="77777777" w:rsidR="0079208A" w:rsidRPr="00DE5E7B" w:rsidRDefault="0079208A" w:rsidP="0079208A">
            <w:pPr>
              <w:ind w:left="0"/>
              <w:jc w:val="right"/>
              <w:rPr>
                <w:rFonts w:ascii="Arial Narrow" w:hAnsi="Arial Narrow" w:cs="Arial"/>
                <w:b/>
                <w:bCs/>
                <w:color w:val="000000" w:themeColor="text1"/>
                <w:sz w:val="20"/>
                <w:szCs w:val="20"/>
                <w:lang w:val="en-PH"/>
              </w:rPr>
            </w:pPr>
            <w:r w:rsidRPr="00DE5E7B">
              <w:rPr>
                <w:rFonts w:ascii="Arial Narrow" w:hAnsi="Arial Narrow" w:cs="Arial"/>
                <w:b/>
                <w:bCs/>
                <w:color w:val="000000" w:themeColor="text1"/>
                <w:sz w:val="20"/>
                <w:szCs w:val="20"/>
                <w:lang w:val="en-PH"/>
              </w:rPr>
              <w:t>53.90%</w:t>
            </w:r>
          </w:p>
        </w:tc>
        <w:tc>
          <w:tcPr>
            <w:tcW w:w="1385" w:type="dxa"/>
            <w:tcBorders>
              <w:top w:val="nil"/>
              <w:left w:val="nil"/>
              <w:bottom w:val="nil"/>
              <w:right w:val="nil"/>
            </w:tcBorders>
            <w:shd w:val="clear" w:color="auto" w:fill="auto"/>
            <w:noWrap/>
            <w:hideMark/>
          </w:tcPr>
          <w:p w14:paraId="1C342138" w14:textId="77777777" w:rsidR="0079208A" w:rsidRPr="00DE5E7B" w:rsidRDefault="0079208A" w:rsidP="00DE5E7B">
            <w:pPr>
              <w:ind w:left="0" w:right="-90"/>
              <w:jc w:val="right"/>
              <w:rPr>
                <w:rFonts w:ascii="Arial Narrow" w:hAnsi="Arial Narrow" w:cs="Arial"/>
                <w:b/>
                <w:bCs/>
                <w:color w:val="000000" w:themeColor="text1"/>
                <w:sz w:val="20"/>
                <w:szCs w:val="20"/>
                <w:lang w:val="en-PH"/>
              </w:rPr>
            </w:pPr>
            <w:r w:rsidRPr="00DE5E7B">
              <w:rPr>
                <w:rFonts w:ascii="Arial Narrow" w:hAnsi="Arial Narrow" w:cs="Arial"/>
                <w:b/>
                <w:bCs/>
                <w:color w:val="000000" w:themeColor="text1"/>
                <w:sz w:val="20"/>
                <w:szCs w:val="20"/>
                <w:lang w:val="en-PH"/>
              </w:rPr>
              <w:t>53.90%</w:t>
            </w:r>
          </w:p>
        </w:tc>
      </w:tr>
      <w:tr w:rsidR="0079208A" w:rsidRPr="00DE5E7B" w14:paraId="382E4456" w14:textId="77777777" w:rsidTr="00DE5E7B">
        <w:trPr>
          <w:trHeight w:val="78"/>
        </w:trPr>
        <w:tc>
          <w:tcPr>
            <w:tcW w:w="2546" w:type="dxa"/>
            <w:tcBorders>
              <w:top w:val="nil"/>
              <w:left w:val="nil"/>
              <w:bottom w:val="nil"/>
              <w:right w:val="nil"/>
            </w:tcBorders>
            <w:shd w:val="clear" w:color="auto" w:fill="auto"/>
            <w:noWrap/>
            <w:hideMark/>
          </w:tcPr>
          <w:p w14:paraId="57AC5E5E" w14:textId="77777777" w:rsidR="0079208A" w:rsidRPr="00DE5E7B" w:rsidRDefault="0079208A" w:rsidP="0079208A">
            <w:pPr>
              <w:ind w:left="0" w:hanging="90"/>
              <w:jc w:val="left"/>
              <w:rPr>
                <w:rFonts w:ascii="Arial Narrow" w:hAnsi="Arial Narrow" w:cs="Arial"/>
                <w:color w:val="000000" w:themeColor="text1"/>
                <w:sz w:val="20"/>
                <w:szCs w:val="20"/>
                <w:lang w:val="en-PH"/>
              </w:rPr>
            </w:pPr>
            <w:r w:rsidRPr="00DE5E7B">
              <w:rPr>
                <w:rFonts w:ascii="Arial Narrow" w:hAnsi="Arial Narrow" w:cs="Arial"/>
                <w:color w:val="000000" w:themeColor="text1"/>
                <w:sz w:val="20"/>
                <w:szCs w:val="20"/>
                <w:lang w:val="en-PH"/>
              </w:rPr>
              <w:t>Agent's Commission</w:t>
            </w:r>
          </w:p>
        </w:tc>
        <w:tc>
          <w:tcPr>
            <w:tcW w:w="1123" w:type="dxa"/>
            <w:tcBorders>
              <w:top w:val="nil"/>
              <w:left w:val="nil"/>
              <w:bottom w:val="nil"/>
              <w:right w:val="nil"/>
            </w:tcBorders>
            <w:shd w:val="clear" w:color="auto" w:fill="auto"/>
            <w:noWrap/>
            <w:hideMark/>
          </w:tcPr>
          <w:p w14:paraId="0AAD2786" w14:textId="77777777" w:rsidR="0079208A" w:rsidRPr="00DE5E7B" w:rsidRDefault="0079208A" w:rsidP="0079208A">
            <w:pPr>
              <w:ind w:left="0"/>
              <w:jc w:val="right"/>
              <w:rPr>
                <w:rFonts w:ascii="Arial Narrow" w:hAnsi="Arial Narrow" w:cs="Arial"/>
                <w:color w:val="000000" w:themeColor="text1"/>
                <w:sz w:val="20"/>
                <w:szCs w:val="20"/>
                <w:lang w:val="en-PH"/>
              </w:rPr>
            </w:pPr>
            <w:r w:rsidRPr="00DE5E7B">
              <w:rPr>
                <w:rFonts w:ascii="Arial Narrow" w:hAnsi="Arial Narrow" w:cs="Arial"/>
                <w:color w:val="000000" w:themeColor="text1"/>
                <w:sz w:val="20"/>
                <w:szCs w:val="20"/>
                <w:lang w:val="en-PH"/>
              </w:rPr>
              <w:t>7.50%</w:t>
            </w:r>
          </w:p>
        </w:tc>
        <w:tc>
          <w:tcPr>
            <w:tcW w:w="1182" w:type="dxa"/>
            <w:tcBorders>
              <w:top w:val="nil"/>
              <w:left w:val="nil"/>
              <w:bottom w:val="nil"/>
              <w:right w:val="nil"/>
            </w:tcBorders>
            <w:shd w:val="clear" w:color="auto" w:fill="auto"/>
            <w:noWrap/>
            <w:hideMark/>
          </w:tcPr>
          <w:p w14:paraId="2FD1FE52" w14:textId="77777777" w:rsidR="0079208A" w:rsidRPr="00DE5E7B" w:rsidRDefault="0079208A" w:rsidP="0079208A">
            <w:pPr>
              <w:ind w:left="0"/>
              <w:jc w:val="right"/>
              <w:rPr>
                <w:rFonts w:ascii="Arial Narrow" w:hAnsi="Arial Narrow" w:cs="Arial"/>
                <w:color w:val="000000" w:themeColor="text1"/>
                <w:sz w:val="20"/>
                <w:szCs w:val="20"/>
                <w:lang w:val="en-PH"/>
              </w:rPr>
            </w:pPr>
            <w:r w:rsidRPr="00DE5E7B">
              <w:rPr>
                <w:rFonts w:ascii="Arial Narrow" w:hAnsi="Arial Narrow" w:cs="Arial"/>
                <w:color w:val="000000" w:themeColor="text1"/>
                <w:sz w:val="20"/>
                <w:szCs w:val="20"/>
                <w:lang w:val="en-PH"/>
              </w:rPr>
              <w:t>7.50%</w:t>
            </w:r>
          </w:p>
        </w:tc>
        <w:tc>
          <w:tcPr>
            <w:tcW w:w="1182" w:type="dxa"/>
            <w:tcBorders>
              <w:top w:val="nil"/>
              <w:left w:val="nil"/>
              <w:bottom w:val="nil"/>
              <w:right w:val="nil"/>
            </w:tcBorders>
            <w:shd w:val="clear" w:color="auto" w:fill="auto"/>
            <w:noWrap/>
            <w:hideMark/>
          </w:tcPr>
          <w:p w14:paraId="261663EF" w14:textId="77777777" w:rsidR="0079208A" w:rsidRPr="00DE5E7B" w:rsidRDefault="0079208A" w:rsidP="0079208A">
            <w:pPr>
              <w:ind w:left="0"/>
              <w:jc w:val="right"/>
              <w:rPr>
                <w:rFonts w:ascii="Arial Narrow" w:hAnsi="Arial Narrow" w:cs="Arial"/>
                <w:color w:val="000000" w:themeColor="text1"/>
                <w:sz w:val="20"/>
                <w:szCs w:val="20"/>
                <w:lang w:val="en-PH"/>
              </w:rPr>
            </w:pPr>
            <w:r w:rsidRPr="00DE5E7B">
              <w:rPr>
                <w:rFonts w:ascii="Arial Narrow" w:hAnsi="Arial Narrow" w:cs="Arial"/>
                <w:color w:val="000000" w:themeColor="text1"/>
                <w:sz w:val="20"/>
                <w:szCs w:val="20"/>
                <w:lang w:val="en-PH"/>
              </w:rPr>
              <w:t>7.50%</w:t>
            </w:r>
          </w:p>
        </w:tc>
        <w:tc>
          <w:tcPr>
            <w:tcW w:w="1235" w:type="dxa"/>
            <w:tcBorders>
              <w:top w:val="nil"/>
              <w:left w:val="nil"/>
              <w:bottom w:val="nil"/>
              <w:right w:val="nil"/>
            </w:tcBorders>
            <w:shd w:val="clear" w:color="auto" w:fill="auto"/>
            <w:noWrap/>
            <w:hideMark/>
          </w:tcPr>
          <w:p w14:paraId="4404A0FD" w14:textId="77777777" w:rsidR="0079208A" w:rsidRPr="00DE5E7B" w:rsidRDefault="0079208A" w:rsidP="0079208A">
            <w:pPr>
              <w:ind w:left="0"/>
              <w:jc w:val="right"/>
              <w:rPr>
                <w:rFonts w:ascii="Arial Narrow" w:hAnsi="Arial Narrow" w:cs="Arial"/>
                <w:color w:val="000000" w:themeColor="text1"/>
                <w:sz w:val="20"/>
                <w:szCs w:val="20"/>
                <w:lang w:val="en-PH"/>
              </w:rPr>
            </w:pPr>
            <w:r w:rsidRPr="00DE5E7B">
              <w:rPr>
                <w:rFonts w:ascii="Arial Narrow" w:hAnsi="Arial Narrow" w:cs="Arial"/>
                <w:color w:val="000000" w:themeColor="text1"/>
                <w:sz w:val="20"/>
                <w:szCs w:val="20"/>
                <w:lang w:val="en-PH"/>
              </w:rPr>
              <w:t>7.50%</w:t>
            </w:r>
          </w:p>
        </w:tc>
        <w:tc>
          <w:tcPr>
            <w:tcW w:w="1385" w:type="dxa"/>
            <w:tcBorders>
              <w:top w:val="nil"/>
              <w:left w:val="nil"/>
              <w:bottom w:val="nil"/>
              <w:right w:val="nil"/>
            </w:tcBorders>
            <w:shd w:val="clear" w:color="auto" w:fill="auto"/>
            <w:noWrap/>
            <w:hideMark/>
          </w:tcPr>
          <w:p w14:paraId="00A0E999" w14:textId="77777777" w:rsidR="0079208A" w:rsidRPr="00DE5E7B" w:rsidRDefault="0079208A" w:rsidP="00DE5E7B">
            <w:pPr>
              <w:ind w:left="0" w:right="-90"/>
              <w:jc w:val="right"/>
              <w:rPr>
                <w:rFonts w:ascii="Arial Narrow" w:hAnsi="Arial Narrow" w:cs="Arial"/>
                <w:color w:val="000000" w:themeColor="text1"/>
                <w:sz w:val="20"/>
                <w:szCs w:val="20"/>
                <w:lang w:val="en-PH"/>
              </w:rPr>
            </w:pPr>
            <w:r w:rsidRPr="00DE5E7B">
              <w:rPr>
                <w:rFonts w:ascii="Arial Narrow" w:hAnsi="Arial Narrow" w:cs="Arial"/>
                <w:color w:val="000000" w:themeColor="text1"/>
                <w:sz w:val="20"/>
                <w:szCs w:val="20"/>
                <w:lang w:val="en-PH"/>
              </w:rPr>
              <w:t>7.50%</w:t>
            </w:r>
          </w:p>
        </w:tc>
      </w:tr>
      <w:tr w:rsidR="0079208A" w:rsidRPr="00DE5E7B" w14:paraId="32900117" w14:textId="77777777" w:rsidTr="00DE5E7B">
        <w:trPr>
          <w:trHeight w:val="97"/>
        </w:trPr>
        <w:tc>
          <w:tcPr>
            <w:tcW w:w="2546" w:type="dxa"/>
            <w:tcBorders>
              <w:top w:val="nil"/>
              <w:left w:val="nil"/>
              <w:bottom w:val="nil"/>
              <w:right w:val="nil"/>
            </w:tcBorders>
            <w:shd w:val="clear" w:color="auto" w:fill="auto"/>
            <w:noWrap/>
            <w:hideMark/>
          </w:tcPr>
          <w:p w14:paraId="62006218" w14:textId="52806F6C" w:rsidR="0079208A" w:rsidRPr="00DE5E7B" w:rsidRDefault="0079208A" w:rsidP="0079208A">
            <w:pPr>
              <w:ind w:left="0" w:hanging="90"/>
              <w:jc w:val="left"/>
              <w:rPr>
                <w:rFonts w:ascii="Arial Narrow" w:hAnsi="Arial Narrow" w:cs="Arial"/>
                <w:color w:val="000000" w:themeColor="text1"/>
                <w:sz w:val="20"/>
                <w:szCs w:val="20"/>
                <w:lang w:val="en-PH"/>
              </w:rPr>
            </w:pPr>
            <w:r w:rsidRPr="00DE5E7B">
              <w:rPr>
                <w:rFonts w:ascii="Arial Narrow" w:hAnsi="Arial Narrow" w:cs="Arial"/>
                <w:color w:val="000000" w:themeColor="text1"/>
                <w:sz w:val="20"/>
                <w:szCs w:val="20"/>
                <w:lang w:val="en-PH"/>
              </w:rPr>
              <w:t>Direct Cost – E</w:t>
            </w:r>
            <w:r w:rsidR="00F6182B">
              <w:rPr>
                <w:rFonts w:ascii="Arial Narrow" w:hAnsi="Arial Narrow" w:cs="Arial"/>
                <w:color w:val="000000" w:themeColor="text1"/>
                <w:sz w:val="20"/>
                <w:szCs w:val="20"/>
                <w:lang w:val="en-PH"/>
              </w:rPr>
              <w:t xml:space="preserve">quipment Leased </w:t>
            </w:r>
            <w:r w:rsidRPr="00DE5E7B">
              <w:rPr>
                <w:rFonts w:ascii="Arial Narrow" w:hAnsi="Arial Narrow" w:cs="Arial"/>
                <w:color w:val="000000" w:themeColor="text1"/>
                <w:sz w:val="20"/>
                <w:szCs w:val="20"/>
                <w:lang w:val="en-PH"/>
              </w:rPr>
              <w:t>A</w:t>
            </w:r>
            <w:r w:rsidR="00F6182B">
              <w:rPr>
                <w:rFonts w:ascii="Arial Narrow" w:hAnsi="Arial Narrow" w:cs="Arial"/>
                <w:color w:val="000000" w:themeColor="text1"/>
                <w:sz w:val="20"/>
                <w:szCs w:val="20"/>
                <w:lang w:val="en-PH"/>
              </w:rPr>
              <w:t>greement (ELA)</w:t>
            </w:r>
          </w:p>
        </w:tc>
        <w:tc>
          <w:tcPr>
            <w:tcW w:w="1123" w:type="dxa"/>
            <w:tcBorders>
              <w:top w:val="nil"/>
              <w:left w:val="nil"/>
              <w:bottom w:val="nil"/>
              <w:right w:val="nil"/>
            </w:tcBorders>
            <w:shd w:val="clear" w:color="auto" w:fill="auto"/>
            <w:noWrap/>
            <w:hideMark/>
          </w:tcPr>
          <w:p w14:paraId="43C029A1" w14:textId="77777777" w:rsidR="0079208A" w:rsidRPr="00DE5E7B" w:rsidRDefault="0079208A" w:rsidP="0079208A">
            <w:pPr>
              <w:ind w:left="0"/>
              <w:jc w:val="right"/>
              <w:rPr>
                <w:rFonts w:ascii="Arial Narrow" w:hAnsi="Arial Narrow" w:cs="Arial"/>
                <w:color w:val="000000" w:themeColor="text1"/>
                <w:sz w:val="20"/>
                <w:szCs w:val="20"/>
                <w:lang w:val="en-PH"/>
              </w:rPr>
            </w:pPr>
            <w:r w:rsidRPr="00DE5E7B">
              <w:rPr>
                <w:rFonts w:ascii="Arial Narrow" w:hAnsi="Arial Narrow" w:cs="Arial"/>
                <w:color w:val="000000" w:themeColor="text1"/>
                <w:sz w:val="20"/>
                <w:szCs w:val="20"/>
                <w:lang w:val="en-PH"/>
              </w:rPr>
              <w:t>3.69%</w:t>
            </w:r>
          </w:p>
        </w:tc>
        <w:tc>
          <w:tcPr>
            <w:tcW w:w="1182" w:type="dxa"/>
            <w:tcBorders>
              <w:top w:val="nil"/>
              <w:left w:val="nil"/>
              <w:bottom w:val="nil"/>
              <w:right w:val="nil"/>
            </w:tcBorders>
            <w:shd w:val="clear" w:color="auto" w:fill="auto"/>
            <w:noWrap/>
            <w:hideMark/>
          </w:tcPr>
          <w:p w14:paraId="3E09E971" w14:textId="77777777" w:rsidR="0079208A" w:rsidRPr="00DE5E7B" w:rsidRDefault="0079208A" w:rsidP="0079208A">
            <w:pPr>
              <w:ind w:left="0"/>
              <w:jc w:val="right"/>
              <w:rPr>
                <w:rFonts w:ascii="Arial Narrow" w:hAnsi="Arial Narrow" w:cs="Arial"/>
                <w:color w:val="000000" w:themeColor="text1"/>
                <w:sz w:val="20"/>
                <w:szCs w:val="20"/>
                <w:lang w:val="en-PH"/>
              </w:rPr>
            </w:pPr>
            <w:r w:rsidRPr="00DE5E7B">
              <w:rPr>
                <w:rFonts w:ascii="Arial Narrow" w:hAnsi="Arial Narrow" w:cs="Arial"/>
                <w:color w:val="000000" w:themeColor="text1"/>
                <w:sz w:val="20"/>
                <w:szCs w:val="20"/>
                <w:lang w:val="en-PH"/>
              </w:rPr>
              <w:t>3.69%</w:t>
            </w:r>
          </w:p>
        </w:tc>
        <w:tc>
          <w:tcPr>
            <w:tcW w:w="1182" w:type="dxa"/>
            <w:tcBorders>
              <w:top w:val="nil"/>
              <w:left w:val="nil"/>
              <w:bottom w:val="nil"/>
              <w:right w:val="nil"/>
            </w:tcBorders>
            <w:shd w:val="clear" w:color="auto" w:fill="auto"/>
            <w:noWrap/>
            <w:hideMark/>
          </w:tcPr>
          <w:p w14:paraId="1D4D79BB" w14:textId="77777777" w:rsidR="0079208A" w:rsidRPr="00DE5E7B" w:rsidRDefault="0079208A" w:rsidP="0079208A">
            <w:pPr>
              <w:ind w:left="0"/>
              <w:jc w:val="right"/>
              <w:rPr>
                <w:rFonts w:ascii="Arial Narrow" w:hAnsi="Arial Narrow" w:cs="Arial"/>
                <w:color w:val="000000" w:themeColor="text1"/>
                <w:sz w:val="20"/>
                <w:szCs w:val="20"/>
                <w:lang w:val="en-PH"/>
              </w:rPr>
            </w:pPr>
            <w:r w:rsidRPr="00DE5E7B">
              <w:rPr>
                <w:rFonts w:ascii="Arial Narrow" w:hAnsi="Arial Narrow" w:cs="Arial"/>
                <w:color w:val="000000" w:themeColor="text1"/>
                <w:sz w:val="20"/>
                <w:szCs w:val="20"/>
                <w:lang w:val="en-PH"/>
              </w:rPr>
              <w:t>3.69%</w:t>
            </w:r>
          </w:p>
        </w:tc>
        <w:tc>
          <w:tcPr>
            <w:tcW w:w="1235" w:type="dxa"/>
            <w:tcBorders>
              <w:top w:val="nil"/>
              <w:left w:val="nil"/>
              <w:bottom w:val="nil"/>
              <w:right w:val="nil"/>
            </w:tcBorders>
            <w:shd w:val="clear" w:color="auto" w:fill="auto"/>
            <w:noWrap/>
            <w:hideMark/>
          </w:tcPr>
          <w:p w14:paraId="4043C111" w14:textId="77777777" w:rsidR="0079208A" w:rsidRPr="00DE5E7B" w:rsidRDefault="0079208A" w:rsidP="0079208A">
            <w:pPr>
              <w:ind w:left="0"/>
              <w:jc w:val="right"/>
              <w:rPr>
                <w:rFonts w:ascii="Arial Narrow" w:hAnsi="Arial Narrow" w:cs="Arial"/>
                <w:color w:val="000000" w:themeColor="text1"/>
                <w:sz w:val="20"/>
                <w:szCs w:val="20"/>
                <w:lang w:val="en-PH"/>
              </w:rPr>
            </w:pPr>
            <w:r w:rsidRPr="00DE5E7B">
              <w:rPr>
                <w:rFonts w:ascii="Arial Narrow" w:hAnsi="Arial Narrow" w:cs="Arial"/>
                <w:color w:val="000000" w:themeColor="text1"/>
                <w:sz w:val="20"/>
                <w:szCs w:val="20"/>
                <w:lang w:val="en-PH"/>
              </w:rPr>
              <w:t>3.69%</w:t>
            </w:r>
          </w:p>
        </w:tc>
        <w:tc>
          <w:tcPr>
            <w:tcW w:w="1385" w:type="dxa"/>
            <w:tcBorders>
              <w:top w:val="nil"/>
              <w:left w:val="nil"/>
              <w:bottom w:val="nil"/>
              <w:right w:val="nil"/>
            </w:tcBorders>
            <w:shd w:val="clear" w:color="auto" w:fill="auto"/>
            <w:noWrap/>
            <w:hideMark/>
          </w:tcPr>
          <w:p w14:paraId="0252839E" w14:textId="77777777" w:rsidR="0079208A" w:rsidRPr="00DE5E7B" w:rsidRDefault="0079208A" w:rsidP="00DE5E7B">
            <w:pPr>
              <w:ind w:left="0" w:right="-90"/>
              <w:jc w:val="right"/>
              <w:rPr>
                <w:rFonts w:ascii="Arial Narrow" w:hAnsi="Arial Narrow" w:cs="Arial"/>
                <w:color w:val="000000" w:themeColor="text1"/>
                <w:sz w:val="20"/>
                <w:szCs w:val="20"/>
                <w:lang w:val="en-PH"/>
              </w:rPr>
            </w:pPr>
            <w:r w:rsidRPr="00DE5E7B">
              <w:rPr>
                <w:rFonts w:ascii="Arial Narrow" w:hAnsi="Arial Narrow" w:cs="Arial"/>
                <w:color w:val="000000" w:themeColor="text1"/>
                <w:sz w:val="20"/>
                <w:szCs w:val="20"/>
                <w:lang w:val="en-PH"/>
              </w:rPr>
              <w:t>3.69%</w:t>
            </w:r>
          </w:p>
        </w:tc>
      </w:tr>
      <w:tr w:rsidR="0079208A" w:rsidRPr="00DE5E7B" w14:paraId="16E7AF40" w14:textId="77777777" w:rsidTr="00DE5E7B">
        <w:trPr>
          <w:trHeight w:val="205"/>
        </w:trPr>
        <w:tc>
          <w:tcPr>
            <w:tcW w:w="2546" w:type="dxa"/>
            <w:tcBorders>
              <w:top w:val="nil"/>
              <w:left w:val="nil"/>
              <w:bottom w:val="nil"/>
              <w:right w:val="nil"/>
            </w:tcBorders>
            <w:shd w:val="clear" w:color="auto" w:fill="auto"/>
            <w:noWrap/>
            <w:hideMark/>
          </w:tcPr>
          <w:p w14:paraId="4F2260CC" w14:textId="77777777" w:rsidR="0079208A" w:rsidRPr="00DE5E7B" w:rsidRDefault="0079208A" w:rsidP="0079208A">
            <w:pPr>
              <w:ind w:left="0" w:hanging="90"/>
              <w:jc w:val="left"/>
              <w:rPr>
                <w:rFonts w:ascii="Arial Narrow" w:hAnsi="Arial Narrow" w:cs="Arial"/>
                <w:color w:val="000000" w:themeColor="text1"/>
                <w:sz w:val="20"/>
                <w:szCs w:val="20"/>
                <w:lang w:val="en-PH"/>
              </w:rPr>
            </w:pPr>
            <w:r w:rsidRPr="00DE5E7B">
              <w:rPr>
                <w:rFonts w:ascii="Arial Narrow" w:hAnsi="Arial Narrow" w:cs="Arial"/>
                <w:color w:val="000000" w:themeColor="text1"/>
                <w:sz w:val="20"/>
                <w:szCs w:val="20"/>
                <w:lang w:val="en-PH"/>
              </w:rPr>
              <w:t>Prize Margin/Reserved Fund</w:t>
            </w:r>
          </w:p>
        </w:tc>
        <w:tc>
          <w:tcPr>
            <w:tcW w:w="1123" w:type="dxa"/>
            <w:tcBorders>
              <w:top w:val="nil"/>
              <w:left w:val="nil"/>
              <w:bottom w:val="nil"/>
              <w:right w:val="nil"/>
            </w:tcBorders>
            <w:shd w:val="clear" w:color="auto" w:fill="auto"/>
            <w:noWrap/>
            <w:hideMark/>
          </w:tcPr>
          <w:p w14:paraId="74E844AD" w14:textId="319FE64E" w:rsidR="0079208A" w:rsidRPr="00DE5E7B" w:rsidRDefault="0079208A" w:rsidP="0079208A">
            <w:pPr>
              <w:ind w:left="0"/>
              <w:jc w:val="right"/>
              <w:rPr>
                <w:rFonts w:ascii="Arial Narrow" w:hAnsi="Arial Narrow" w:cs="Arial"/>
                <w:b/>
                <w:bCs/>
                <w:color w:val="000000" w:themeColor="text1"/>
                <w:sz w:val="20"/>
                <w:szCs w:val="20"/>
                <w:lang w:val="en-PH"/>
              </w:rPr>
            </w:pPr>
            <w:r w:rsidRPr="00DE5E7B">
              <w:rPr>
                <w:rFonts w:ascii="Arial Narrow" w:hAnsi="Arial Narrow" w:cs="Arial"/>
                <w:b/>
                <w:bCs/>
                <w:color w:val="000000" w:themeColor="text1"/>
                <w:sz w:val="20"/>
                <w:szCs w:val="20"/>
                <w:lang w:val="en-PH"/>
              </w:rPr>
              <w:t>8.71%</w:t>
            </w:r>
          </w:p>
        </w:tc>
        <w:tc>
          <w:tcPr>
            <w:tcW w:w="1182" w:type="dxa"/>
            <w:tcBorders>
              <w:top w:val="nil"/>
              <w:left w:val="nil"/>
              <w:bottom w:val="nil"/>
              <w:right w:val="nil"/>
            </w:tcBorders>
            <w:shd w:val="clear" w:color="auto" w:fill="auto"/>
            <w:noWrap/>
            <w:hideMark/>
          </w:tcPr>
          <w:p w14:paraId="0D9FA77F" w14:textId="2E65582F" w:rsidR="0079208A" w:rsidRPr="00DE5E7B" w:rsidRDefault="0079208A" w:rsidP="0079208A">
            <w:pPr>
              <w:ind w:left="0"/>
              <w:jc w:val="right"/>
              <w:rPr>
                <w:rFonts w:ascii="Arial Narrow" w:hAnsi="Arial Narrow" w:cs="Arial"/>
                <w:b/>
                <w:bCs/>
                <w:color w:val="000000" w:themeColor="text1"/>
                <w:sz w:val="20"/>
                <w:szCs w:val="20"/>
                <w:lang w:val="en-PH"/>
              </w:rPr>
            </w:pPr>
            <w:r w:rsidRPr="00DE5E7B">
              <w:rPr>
                <w:rFonts w:ascii="Arial Narrow" w:hAnsi="Arial Narrow" w:cs="Arial"/>
                <w:b/>
                <w:bCs/>
                <w:color w:val="000000" w:themeColor="text1"/>
                <w:sz w:val="20"/>
                <w:szCs w:val="20"/>
                <w:lang w:val="en-PH"/>
              </w:rPr>
              <w:t>8.71%</w:t>
            </w:r>
          </w:p>
        </w:tc>
        <w:tc>
          <w:tcPr>
            <w:tcW w:w="1182" w:type="dxa"/>
            <w:tcBorders>
              <w:top w:val="nil"/>
              <w:left w:val="nil"/>
              <w:bottom w:val="nil"/>
              <w:right w:val="nil"/>
            </w:tcBorders>
            <w:shd w:val="clear" w:color="auto" w:fill="auto"/>
            <w:noWrap/>
            <w:hideMark/>
          </w:tcPr>
          <w:p w14:paraId="40E97659" w14:textId="4B89DD2A" w:rsidR="0079208A" w:rsidRPr="00DE5E7B" w:rsidRDefault="0079208A" w:rsidP="0079208A">
            <w:pPr>
              <w:ind w:left="0"/>
              <w:jc w:val="right"/>
              <w:rPr>
                <w:rFonts w:ascii="Arial Narrow" w:hAnsi="Arial Narrow" w:cs="Arial"/>
                <w:b/>
                <w:bCs/>
                <w:color w:val="000000" w:themeColor="text1"/>
                <w:sz w:val="20"/>
                <w:szCs w:val="20"/>
                <w:lang w:val="en-PH"/>
              </w:rPr>
            </w:pPr>
            <w:r w:rsidRPr="00DE5E7B">
              <w:rPr>
                <w:rFonts w:ascii="Arial Narrow" w:hAnsi="Arial Narrow" w:cs="Arial"/>
                <w:b/>
                <w:bCs/>
                <w:color w:val="000000" w:themeColor="text1"/>
                <w:sz w:val="20"/>
                <w:szCs w:val="20"/>
                <w:lang w:val="en-PH"/>
              </w:rPr>
              <w:t>8.71%</w:t>
            </w:r>
          </w:p>
        </w:tc>
        <w:tc>
          <w:tcPr>
            <w:tcW w:w="1235" w:type="dxa"/>
            <w:tcBorders>
              <w:top w:val="nil"/>
              <w:left w:val="nil"/>
              <w:bottom w:val="nil"/>
              <w:right w:val="nil"/>
            </w:tcBorders>
            <w:shd w:val="clear" w:color="auto" w:fill="auto"/>
            <w:noWrap/>
            <w:hideMark/>
          </w:tcPr>
          <w:p w14:paraId="576E0B8C" w14:textId="430750ED" w:rsidR="0079208A" w:rsidRPr="00DE5E7B" w:rsidRDefault="0079208A" w:rsidP="0079208A">
            <w:pPr>
              <w:ind w:left="0"/>
              <w:jc w:val="right"/>
              <w:rPr>
                <w:rFonts w:ascii="Arial Narrow" w:hAnsi="Arial Narrow" w:cs="Arial"/>
                <w:b/>
                <w:bCs/>
                <w:color w:val="000000" w:themeColor="text1"/>
                <w:sz w:val="20"/>
                <w:szCs w:val="20"/>
                <w:lang w:val="en-PH"/>
              </w:rPr>
            </w:pPr>
            <w:r w:rsidRPr="00DE5E7B">
              <w:rPr>
                <w:rFonts w:ascii="Arial Narrow" w:hAnsi="Arial Narrow" w:cs="Arial"/>
                <w:b/>
                <w:bCs/>
                <w:color w:val="000000" w:themeColor="text1"/>
                <w:sz w:val="20"/>
                <w:szCs w:val="20"/>
                <w:lang w:val="en-PH"/>
              </w:rPr>
              <w:t>8.71%</w:t>
            </w:r>
          </w:p>
        </w:tc>
        <w:tc>
          <w:tcPr>
            <w:tcW w:w="1385" w:type="dxa"/>
            <w:tcBorders>
              <w:top w:val="nil"/>
              <w:left w:val="nil"/>
              <w:bottom w:val="nil"/>
              <w:right w:val="nil"/>
            </w:tcBorders>
            <w:shd w:val="clear" w:color="auto" w:fill="auto"/>
            <w:noWrap/>
            <w:hideMark/>
          </w:tcPr>
          <w:p w14:paraId="33BDE42F" w14:textId="5EAC6C64" w:rsidR="0079208A" w:rsidRPr="00DE5E7B" w:rsidRDefault="0079208A" w:rsidP="00DE5E7B">
            <w:pPr>
              <w:ind w:left="0" w:right="-90"/>
              <w:jc w:val="right"/>
              <w:rPr>
                <w:rFonts w:ascii="Arial Narrow" w:hAnsi="Arial Narrow" w:cs="Arial"/>
                <w:b/>
                <w:bCs/>
                <w:color w:val="000000" w:themeColor="text1"/>
                <w:sz w:val="20"/>
                <w:szCs w:val="20"/>
                <w:lang w:val="en-PH"/>
              </w:rPr>
            </w:pPr>
            <w:r w:rsidRPr="00DE5E7B">
              <w:rPr>
                <w:rFonts w:ascii="Arial Narrow" w:hAnsi="Arial Narrow" w:cs="Arial"/>
                <w:b/>
                <w:bCs/>
                <w:color w:val="000000" w:themeColor="text1"/>
                <w:sz w:val="20"/>
                <w:szCs w:val="20"/>
                <w:lang w:val="en-PH"/>
              </w:rPr>
              <w:t>8.71%</w:t>
            </w:r>
          </w:p>
        </w:tc>
      </w:tr>
      <w:tr w:rsidR="0079208A" w:rsidRPr="00DE5E7B" w14:paraId="591C6B85" w14:textId="77777777" w:rsidTr="00DE5E7B">
        <w:trPr>
          <w:trHeight w:val="274"/>
        </w:trPr>
        <w:tc>
          <w:tcPr>
            <w:tcW w:w="2546" w:type="dxa"/>
            <w:tcBorders>
              <w:top w:val="nil"/>
              <w:left w:val="nil"/>
              <w:bottom w:val="nil"/>
              <w:right w:val="nil"/>
            </w:tcBorders>
            <w:shd w:val="clear" w:color="auto" w:fill="auto"/>
            <w:noWrap/>
            <w:hideMark/>
          </w:tcPr>
          <w:p w14:paraId="513AEB5D" w14:textId="77777777" w:rsidR="0079208A" w:rsidRPr="00DE5E7B" w:rsidRDefault="0079208A" w:rsidP="0079208A">
            <w:pPr>
              <w:ind w:left="0" w:hanging="90"/>
              <w:jc w:val="left"/>
              <w:rPr>
                <w:rFonts w:ascii="Arial Narrow" w:hAnsi="Arial Narrow" w:cs="Arial"/>
                <w:color w:val="000000" w:themeColor="text1"/>
                <w:sz w:val="20"/>
                <w:szCs w:val="20"/>
                <w:lang w:val="en-PH"/>
              </w:rPr>
            </w:pPr>
            <w:r w:rsidRPr="00DE5E7B">
              <w:rPr>
                <w:rFonts w:ascii="Arial Narrow" w:hAnsi="Arial Narrow" w:cs="Arial"/>
                <w:color w:val="000000" w:themeColor="text1"/>
                <w:sz w:val="20"/>
                <w:szCs w:val="20"/>
                <w:lang w:val="en-PH"/>
              </w:rPr>
              <w:t>Jackpot Prize Pool</w:t>
            </w:r>
          </w:p>
        </w:tc>
        <w:tc>
          <w:tcPr>
            <w:tcW w:w="1123" w:type="dxa"/>
            <w:tcBorders>
              <w:top w:val="nil"/>
              <w:left w:val="nil"/>
              <w:bottom w:val="nil"/>
              <w:right w:val="nil"/>
            </w:tcBorders>
            <w:shd w:val="clear" w:color="auto" w:fill="auto"/>
            <w:noWrap/>
            <w:hideMark/>
          </w:tcPr>
          <w:p w14:paraId="5C6422B4" w14:textId="77777777" w:rsidR="0079208A" w:rsidRPr="00DE5E7B" w:rsidRDefault="0079208A" w:rsidP="0079208A">
            <w:pPr>
              <w:ind w:left="0"/>
              <w:jc w:val="right"/>
              <w:rPr>
                <w:rFonts w:ascii="Arial Narrow" w:hAnsi="Arial Narrow" w:cs="Arial"/>
                <w:color w:val="000000" w:themeColor="text1"/>
                <w:sz w:val="20"/>
                <w:szCs w:val="20"/>
                <w:lang w:val="en-PH"/>
              </w:rPr>
            </w:pPr>
            <w:r w:rsidRPr="00DE5E7B">
              <w:rPr>
                <w:rFonts w:ascii="Arial Narrow" w:hAnsi="Arial Narrow" w:cs="Arial"/>
                <w:color w:val="000000" w:themeColor="text1"/>
                <w:sz w:val="20"/>
                <w:szCs w:val="20"/>
                <w:lang w:val="en-PH"/>
              </w:rPr>
              <w:t>22.00%</w:t>
            </w:r>
          </w:p>
        </w:tc>
        <w:tc>
          <w:tcPr>
            <w:tcW w:w="1182" w:type="dxa"/>
            <w:tcBorders>
              <w:top w:val="nil"/>
              <w:left w:val="nil"/>
              <w:bottom w:val="nil"/>
              <w:right w:val="nil"/>
            </w:tcBorders>
            <w:shd w:val="clear" w:color="auto" w:fill="auto"/>
            <w:noWrap/>
            <w:hideMark/>
          </w:tcPr>
          <w:p w14:paraId="08943E04" w14:textId="77777777" w:rsidR="0079208A" w:rsidRPr="00DE5E7B" w:rsidRDefault="0079208A" w:rsidP="0079208A">
            <w:pPr>
              <w:ind w:left="0"/>
              <w:jc w:val="right"/>
              <w:rPr>
                <w:rFonts w:ascii="Arial Narrow" w:hAnsi="Arial Narrow" w:cs="Arial"/>
                <w:color w:val="000000" w:themeColor="text1"/>
                <w:sz w:val="20"/>
                <w:szCs w:val="20"/>
                <w:lang w:val="en-PH"/>
              </w:rPr>
            </w:pPr>
            <w:r w:rsidRPr="00DE5E7B">
              <w:rPr>
                <w:rFonts w:ascii="Arial Narrow" w:hAnsi="Arial Narrow" w:cs="Arial"/>
                <w:color w:val="000000" w:themeColor="text1"/>
                <w:sz w:val="20"/>
                <w:szCs w:val="20"/>
                <w:lang w:val="en-PH"/>
              </w:rPr>
              <w:t>22.00%</w:t>
            </w:r>
          </w:p>
        </w:tc>
        <w:tc>
          <w:tcPr>
            <w:tcW w:w="1182" w:type="dxa"/>
            <w:tcBorders>
              <w:top w:val="nil"/>
              <w:left w:val="nil"/>
              <w:bottom w:val="nil"/>
              <w:right w:val="nil"/>
            </w:tcBorders>
            <w:shd w:val="clear" w:color="auto" w:fill="auto"/>
            <w:noWrap/>
            <w:hideMark/>
          </w:tcPr>
          <w:p w14:paraId="3A1BE523" w14:textId="77777777" w:rsidR="0079208A" w:rsidRPr="00DE5E7B" w:rsidRDefault="0079208A" w:rsidP="0079208A">
            <w:pPr>
              <w:ind w:left="0"/>
              <w:jc w:val="right"/>
              <w:rPr>
                <w:rFonts w:ascii="Arial Narrow" w:hAnsi="Arial Narrow" w:cs="Arial"/>
                <w:color w:val="000000" w:themeColor="text1"/>
                <w:sz w:val="20"/>
                <w:szCs w:val="20"/>
                <w:lang w:val="en-PH"/>
              </w:rPr>
            </w:pPr>
            <w:r w:rsidRPr="00DE5E7B">
              <w:rPr>
                <w:rFonts w:ascii="Arial Narrow" w:hAnsi="Arial Narrow" w:cs="Arial"/>
                <w:color w:val="000000" w:themeColor="text1"/>
                <w:sz w:val="20"/>
                <w:szCs w:val="20"/>
                <w:lang w:val="en-PH"/>
              </w:rPr>
              <w:t>22.00%</w:t>
            </w:r>
          </w:p>
        </w:tc>
        <w:tc>
          <w:tcPr>
            <w:tcW w:w="1235" w:type="dxa"/>
            <w:tcBorders>
              <w:top w:val="nil"/>
              <w:left w:val="nil"/>
              <w:bottom w:val="nil"/>
              <w:right w:val="nil"/>
            </w:tcBorders>
            <w:shd w:val="clear" w:color="auto" w:fill="auto"/>
            <w:noWrap/>
            <w:hideMark/>
          </w:tcPr>
          <w:p w14:paraId="5B3246B5" w14:textId="77777777" w:rsidR="0079208A" w:rsidRPr="00DE5E7B" w:rsidRDefault="0079208A" w:rsidP="0079208A">
            <w:pPr>
              <w:ind w:left="0"/>
              <w:jc w:val="right"/>
              <w:rPr>
                <w:rFonts w:ascii="Arial Narrow" w:hAnsi="Arial Narrow" w:cs="Arial"/>
                <w:color w:val="000000" w:themeColor="text1"/>
                <w:sz w:val="20"/>
                <w:szCs w:val="20"/>
                <w:lang w:val="en-PH"/>
              </w:rPr>
            </w:pPr>
            <w:r w:rsidRPr="00DE5E7B">
              <w:rPr>
                <w:rFonts w:ascii="Arial Narrow" w:hAnsi="Arial Narrow" w:cs="Arial"/>
                <w:color w:val="000000" w:themeColor="text1"/>
                <w:sz w:val="20"/>
                <w:szCs w:val="20"/>
                <w:lang w:val="en-PH"/>
              </w:rPr>
              <w:t>22.00%</w:t>
            </w:r>
          </w:p>
        </w:tc>
        <w:tc>
          <w:tcPr>
            <w:tcW w:w="1385" w:type="dxa"/>
            <w:tcBorders>
              <w:top w:val="nil"/>
              <w:left w:val="nil"/>
              <w:bottom w:val="nil"/>
              <w:right w:val="nil"/>
            </w:tcBorders>
            <w:shd w:val="clear" w:color="auto" w:fill="auto"/>
            <w:noWrap/>
            <w:hideMark/>
          </w:tcPr>
          <w:p w14:paraId="32CF632C" w14:textId="77777777" w:rsidR="0079208A" w:rsidRPr="00DE5E7B" w:rsidRDefault="0079208A" w:rsidP="00DE5E7B">
            <w:pPr>
              <w:ind w:left="0" w:right="-90"/>
              <w:jc w:val="right"/>
              <w:rPr>
                <w:rFonts w:ascii="Arial Narrow" w:hAnsi="Arial Narrow" w:cs="Arial"/>
                <w:color w:val="000000" w:themeColor="text1"/>
                <w:sz w:val="20"/>
                <w:szCs w:val="20"/>
                <w:lang w:val="en-PH"/>
              </w:rPr>
            </w:pPr>
            <w:r w:rsidRPr="00DE5E7B">
              <w:rPr>
                <w:rFonts w:ascii="Arial Narrow" w:hAnsi="Arial Narrow" w:cs="Arial"/>
                <w:color w:val="000000" w:themeColor="text1"/>
                <w:sz w:val="20"/>
                <w:szCs w:val="20"/>
                <w:lang w:val="en-PH"/>
              </w:rPr>
              <w:t>22.00%</w:t>
            </w:r>
          </w:p>
        </w:tc>
      </w:tr>
      <w:tr w:rsidR="0079208A" w:rsidRPr="00DE5E7B" w14:paraId="305234F3" w14:textId="77777777" w:rsidTr="00DE5E7B">
        <w:trPr>
          <w:trHeight w:val="274"/>
        </w:trPr>
        <w:tc>
          <w:tcPr>
            <w:tcW w:w="2546" w:type="dxa"/>
            <w:tcBorders>
              <w:top w:val="nil"/>
              <w:left w:val="nil"/>
              <w:bottom w:val="nil"/>
              <w:right w:val="nil"/>
            </w:tcBorders>
            <w:shd w:val="clear" w:color="auto" w:fill="auto"/>
            <w:noWrap/>
            <w:hideMark/>
          </w:tcPr>
          <w:p w14:paraId="3255B3AB" w14:textId="77777777" w:rsidR="0079208A" w:rsidRPr="00DE5E7B" w:rsidRDefault="0079208A" w:rsidP="0079208A">
            <w:pPr>
              <w:ind w:left="0" w:hanging="90"/>
              <w:jc w:val="left"/>
              <w:rPr>
                <w:rFonts w:ascii="Arial Narrow" w:hAnsi="Arial Narrow" w:cs="Arial"/>
                <w:color w:val="000000" w:themeColor="text1"/>
                <w:sz w:val="20"/>
                <w:szCs w:val="20"/>
                <w:lang w:val="en-PH"/>
              </w:rPr>
            </w:pPr>
            <w:r w:rsidRPr="00DE5E7B">
              <w:rPr>
                <w:rFonts w:ascii="Arial Narrow" w:hAnsi="Arial Narrow" w:cs="Arial"/>
                <w:color w:val="000000" w:themeColor="text1"/>
                <w:sz w:val="20"/>
                <w:szCs w:val="20"/>
                <w:lang w:val="en-PH"/>
              </w:rPr>
              <w:t>Lower Prizes</w:t>
            </w:r>
          </w:p>
        </w:tc>
        <w:tc>
          <w:tcPr>
            <w:tcW w:w="1123" w:type="dxa"/>
            <w:tcBorders>
              <w:top w:val="nil"/>
              <w:left w:val="nil"/>
              <w:bottom w:val="nil"/>
              <w:right w:val="nil"/>
            </w:tcBorders>
            <w:shd w:val="clear" w:color="auto" w:fill="auto"/>
            <w:noWrap/>
            <w:hideMark/>
          </w:tcPr>
          <w:p w14:paraId="1CDA859C" w14:textId="77777777" w:rsidR="0079208A" w:rsidRPr="00DE5E7B" w:rsidRDefault="0079208A" w:rsidP="0079208A">
            <w:pPr>
              <w:ind w:left="0"/>
              <w:jc w:val="right"/>
              <w:rPr>
                <w:rFonts w:ascii="Arial Narrow" w:hAnsi="Arial Narrow" w:cs="Arial"/>
                <w:color w:val="000000" w:themeColor="text1"/>
                <w:sz w:val="20"/>
                <w:szCs w:val="20"/>
                <w:lang w:val="en-PH"/>
              </w:rPr>
            </w:pPr>
            <w:r w:rsidRPr="00DE5E7B">
              <w:rPr>
                <w:rFonts w:ascii="Arial Narrow" w:hAnsi="Arial Narrow" w:cs="Arial"/>
                <w:color w:val="000000" w:themeColor="text1"/>
                <w:sz w:val="20"/>
                <w:szCs w:val="20"/>
                <w:lang w:val="en-PH"/>
              </w:rPr>
              <w:t>12.00%</w:t>
            </w:r>
          </w:p>
        </w:tc>
        <w:tc>
          <w:tcPr>
            <w:tcW w:w="1182" w:type="dxa"/>
            <w:tcBorders>
              <w:top w:val="nil"/>
              <w:left w:val="nil"/>
              <w:bottom w:val="nil"/>
              <w:right w:val="nil"/>
            </w:tcBorders>
            <w:shd w:val="clear" w:color="auto" w:fill="auto"/>
            <w:noWrap/>
            <w:hideMark/>
          </w:tcPr>
          <w:p w14:paraId="06446706" w14:textId="77777777" w:rsidR="0079208A" w:rsidRPr="00DE5E7B" w:rsidRDefault="0079208A" w:rsidP="0079208A">
            <w:pPr>
              <w:ind w:left="0"/>
              <w:jc w:val="right"/>
              <w:rPr>
                <w:rFonts w:ascii="Arial Narrow" w:hAnsi="Arial Narrow" w:cs="Arial"/>
                <w:color w:val="000000" w:themeColor="text1"/>
                <w:sz w:val="20"/>
                <w:szCs w:val="20"/>
                <w:lang w:val="en-PH"/>
              </w:rPr>
            </w:pPr>
            <w:r w:rsidRPr="00DE5E7B">
              <w:rPr>
                <w:rFonts w:ascii="Arial Narrow" w:hAnsi="Arial Narrow" w:cs="Arial"/>
                <w:color w:val="000000" w:themeColor="text1"/>
                <w:sz w:val="20"/>
                <w:szCs w:val="20"/>
                <w:lang w:val="en-PH"/>
              </w:rPr>
              <w:t>12.00%</w:t>
            </w:r>
          </w:p>
        </w:tc>
        <w:tc>
          <w:tcPr>
            <w:tcW w:w="1182" w:type="dxa"/>
            <w:tcBorders>
              <w:top w:val="nil"/>
              <w:left w:val="nil"/>
              <w:bottom w:val="nil"/>
              <w:right w:val="nil"/>
            </w:tcBorders>
            <w:shd w:val="clear" w:color="auto" w:fill="auto"/>
            <w:noWrap/>
            <w:hideMark/>
          </w:tcPr>
          <w:p w14:paraId="0931113F" w14:textId="77777777" w:rsidR="0079208A" w:rsidRPr="00DE5E7B" w:rsidRDefault="0079208A" w:rsidP="0079208A">
            <w:pPr>
              <w:ind w:left="0"/>
              <w:jc w:val="right"/>
              <w:rPr>
                <w:rFonts w:ascii="Arial Narrow" w:hAnsi="Arial Narrow" w:cs="Arial"/>
                <w:color w:val="000000" w:themeColor="text1"/>
                <w:sz w:val="20"/>
                <w:szCs w:val="20"/>
                <w:lang w:val="en-PH"/>
              </w:rPr>
            </w:pPr>
            <w:r w:rsidRPr="00DE5E7B">
              <w:rPr>
                <w:rFonts w:ascii="Arial Narrow" w:hAnsi="Arial Narrow" w:cs="Arial"/>
                <w:color w:val="000000" w:themeColor="text1"/>
                <w:sz w:val="20"/>
                <w:szCs w:val="20"/>
                <w:lang w:val="en-PH"/>
              </w:rPr>
              <w:t>12.00%</w:t>
            </w:r>
          </w:p>
        </w:tc>
        <w:tc>
          <w:tcPr>
            <w:tcW w:w="1235" w:type="dxa"/>
            <w:tcBorders>
              <w:top w:val="nil"/>
              <w:left w:val="nil"/>
              <w:bottom w:val="nil"/>
              <w:right w:val="nil"/>
            </w:tcBorders>
            <w:shd w:val="clear" w:color="auto" w:fill="auto"/>
            <w:noWrap/>
            <w:hideMark/>
          </w:tcPr>
          <w:p w14:paraId="3A6F5CFA" w14:textId="77777777" w:rsidR="0079208A" w:rsidRPr="00DE5E7B" w:rsidRDefault="0079208A" w:rsidP="0079208A">
            <w:pPr>
              <w:ind w:left="0"/>
              <w:jc w:val="right"/>
              <w:rPr>
                <w:rFonts w:ascii="Arial Narrow" w:hAnsi="Arial Narrow" w:cs="Arial"/>
                <w:color w:val="000000" w:themeColor="text1"/>
                <w:sz w:val="20"/>
                <w:szCs w:val="20"/>
                <w:lang w:val="en-PH"/>
              </w:rPr>
            </w:pPr>
            <w:r w:rsidRPr="00DE5E7B">
              <w:rPr>
                <w:rFonts w:ascii="Arial Narrow" w:hAnsi="Arial Narrow" w:cs="Arial"/>
                <w:color w:val="000000" w:themeColor="text1"/>
                <w:sz w:val="20"/>
                <w:szCs w:val="20"/>
                <w:lang w:val="en-PH"/>
              </w:rPr>
              <w:t>12.00%</w:t>
            </w:r>
          </w:p>
        </w:tc>
        <w:tc>
          <w:tcPr>
            <w:tcW w:w="1385" w:type="dxa"/>
            <w:tcBorders>
              <w:top w:val="nil"/>
              <w:left w:val="nil"/>
              <w:bottom w:val="nil"/>
              <w:right w:val="nil"/>
            </w:tcBorders>
            <w:shd w:val="clear" w:color="auto" w:fill="auto"/>
            <w:noWrap/>
            <w:hideMark/>
          </w:tcPr>
          <w:p w14:paraId="5D4EBA69" w14:textId="77777777" w:rsidR="0079208A" w:rsidRPr="00DE5E7B" w:rsidRDefault="0079208A" w:rsidP="00DE5E7B">
            <w:pPr>
              <w:ind w:left="0" w:right="-90"/>
              <w:jc w:val="right"/>
              <w:rPr>
                <w:rFonts w:ascii="Arial Narrow" w:hAnsi="Arial Narrow" w:cs="Arial"/>
                <w:color w:val="000000" w:themeColor="text1"/>
                <w:sz w:val="20"/>
                <w:szCs w:val="20"/>
                <w:lang w:val="en-PH"/>
              </w:rPr>
            </w:pPr>
            <w:r w:rsidRPr="00DE5E7B">
              <w:rPr>
                <w:rFonts w:ascii="Arial Narrow" w:hAnsi="Arial Narrow" w:cs="Arial"/>
                <w:color w:val="000000" w:themeColor="text1"/>
                <w:sz w:val="20"/>
                <w:szCs w:val="20"/>
                <w:lang w:val="en-PH"/>
              </w:rPr>
              <w:t>12.00%</w:t>
            </w:r>
          </w:p>
        </w:tc>
      </w:tr>
      <w:tr w:rsidR="0079208A" w:rsidRPr="00DE5E7B" w14:paraId="3E9C14C6" w14:textId="77777777" w:rsidTr="00DE5E7B">
        <w:trPr>
          <w:trHeight w:val="195"/>
        </w:trPr>
        <w:tc>
          <w:tcPr>
            <w:tcW w:w="2546" w:type="dxa"/>
            <w:tcBorders>
              <w:top w:val="nil"/>
              <w:left w:val="nil"/>
              <w:bottom w:val="nil"/>
              <w:right w:val="nil"/>
            </w:tcBorders>
            <w:shd w:val="clear" w:color="auto" w:fill="auto"/>
            <w:noWrap/>
            <w:hideMark/>
          </w:tcPr>
          <w:p w14:paraId="5CC609D8" w14:textId="77777777" w:rsidR="0079208A" w:rsidRPr="00DE5E7B" w:rsidRDefault="0079208A" w:rsidP="0079208A">
            <w:pPr>
              <w:ind w:left="0" w:hanging="90"/>
              <w:jc w:val="left"/>
              <w:rPr>
                <w:rFonts w:ascii="Arial Narrow" w:hAnsi="Arial Narrow" w:cs="Arial"/>
                <w:color w:val="000000" w:themeColor="text1"/>
                <w:sz w:val="20"/>
                <w:szCs w:val="20"/>
                <w:lang w:val="en-PH"/>
              </w:rPr>
            </w:pPr>
            <w:r w:rsidRPr="00DE5E7B">
              <w:rPr>
                <w:rFonts w:ascii="Arial Narrow" w:hAnsi="Arial Narrow" w:cs="Arial"/>
                <w:color w:val="000000" w:themeColor="text1"/>
                <w:sz w:val="20"/>
                <w:szCs w:val="20"/>
                <w:lang w:val="en-PH"/>
              </w:rPr>
              <w:t xml:space="preserve">     2nd Prize with Capping</w:t>
            </w:r>
          </w:p>
        </w:tc>
        <w:tc>
          <w:tcPr>
            <w:tcW w:w="1123" w:type="dxa"/>
            <w:tcBorders>
              <w:top w:val="nil"/>
              <w:left w:val="nil"/>
              <w:bottom w:val="nil"/>
              <w:right w:val="nil"/>
            </w:tcBorders>
            <w:shd w:val="clear" w:color="auto" w:fill="auto"/>
            <w:noWrap/>
          </w:tcPr>
          <w:p w14:paraId="34748CD2" w14:textId="77777777" w:rsidR="0079208A" w:rsidRPr="00DE5E7B" w:rsidRDefault="0079208A" w:rsidP="0079208A">
            <w:pPr>
              <w:ind w:left="0"/>
              <w:rPr>
                <w:rFonts w:ascii="Arial Narrow" w:hAnsi="Arial Narrow" w:cs="Arial"/>
                <w:color w:val="000000" w:themeColor="text1"/>
                <w:sz w:val="20"/>
                <w:szCs w:val="20"/>
                <w:lang w:val="en-PH"/>
              </w:rPr>
            </w:pPr>
            <w:r w:rsidRPr="00DE5E7B">
              <w:rPr>
                <w:rFonts w:ascii="Arial Narrow" w:hAnsi="Arial Narrow" w:cs="Arial"/>
                <w:color w:val="000000" w:themeColor="text1"/>
                <w:sz w:val="20"/>
                <w:szCs w:val="20"/>
                <w:lang w:val="en-PH"/>
              </w:rPr>
              <w:t xml:space="preserve">P 50,000.00 </w:t>
            </w:r>
          </w:p>
        </w:tc>
        <w:tc>
          <w:tcPr>
            <w:tcW w:w="1182" w:type="dxa"/>
            <w:tcBorders>
              <w:top w:val="nil"/>
              <w:left w:val="nil"/>
              <w:bottom w:val="nil"/>
              <w:right w:val="nil"/>
            </w:tcBorders>
            <w:shd w:val="clear" w:color="auto" w:fill="auto"/>
            <w:noWrap/>
          </w:tcPr>
          <w:p w14:paraId="764B1699" w14:textId="77777777" w:rsidR="0079208A" w:rsidRPr="00DE5E7B" w:rsidRDefault="0079208A" w:rsidP="0079208A">
            <w:pPr>
              <w:ind w:left="0"/>
              <w:jc w:val="right"/>
              <w:rPr>
                <w:rFonts w:ascii="Arial Narrow" w:hAnsi="Arial Narrow" w:cs="Arial"/>
                <w:color w:val="000000" w:themeColor="text1"/>
                <w:sz w:val="20"/>
                <w:szCs w:val="20"/>
                <w:lang w:val="en-PH"/>
              </w:rPr>
            </w:pPr>
            <w:r w:rsidRPr="00DE5E7B">
              <w:rPr>
                <w:rFonts w:ascii="Arial Narrow" w:hAnsi="Arial Narrow" w:cs="Arial"/>
                <w:color w:val="000000" w:themeColor="text1"/>
                <w:sz w:val="20"/>
                <w:szCs w:val="20"/>
                <w:lang w:val="en-PH"/>
              </w:rPr>
              <w:t xml:space="preserve">P 32,000.00 </w:t>
            </w:r>
          </w:p>
        </w:tc>
        <w:tc>
          <w:tcPr>
            <w:tcW w:w="1182" w:type="dxa"/>
            <w:tcBorders>
              <w:top w:val="nil"/>
              <w:left w:val="nil"/>
              <w:bottom w:val="nil"/>
              <w:right w:val="nil"/>
            </w:tcBorders>
            <w:shd w:val="clear" w:color="auto" w:fill="auto"/>
            <w:noWrap/>
          </w:tcPr>
          <w:p w14:paraId="39AEE245" w14:textId="77777777" w:rsidR="0079208A" w:rsidRPr="00DE5E7B" w:rsidRDefault="0079208A" w:rsidP="0079208A">
            <w:pPr>
              <w:ind w:left="0"/>
              <w:jc w:val="right"/>
              <w:rPr>
                <w:rFonts w:ascii="Arial Narrow" w:hAnsi="Arial Narrow" w:cs="Arial"/>
                <w:color w:val="000000" w:themeColor="text1"/>
                <w:sz w:val="20"/>
                <w:szCs w:val="20"/>
                <w:lang w:val="en-PH"/>
              </w:rPr>
            </w:pPr>
            <w:r w:rsidRPr="00DE5E7B">
              <w:rPr>
                <w:rFonts w:ascii="Arial Narrow" w:hAnsi="Arial Narrow" w:cs="Arial"/>
                <w:color w:val="000000" w:themeColor="text1"/>
                <w:sz w:val="20"/>
                <w:szCs w:val="20"/>
                <w:lang w:val="en-PH"/>
              </w:rPr>
              <w:t xml:space="preserve">P 24,000.00 </w:t>
            </w:r>
          </w:p>
        </w:tc>
        <w:tc>
          <w:tcPr>
            <w:tcW w:w="1235" w:type="dxa"/>
            <w:tcBorders>
              <w:top w:val="nil"/>
              <w:left w:val="nil"/>
              <w:bottom w:val="nil"/>
              <w:right w:val="nil"/>
            </w:tcBorders>
            <w:shd w:val="clear" w:color="auto" w:fill="auto"/>
            <w:noWrap/>
          </w:tcPr>
          <w:p w14:paraId="052B401F" w14:textId="77777777" w:rsidR="0079208A" w:rsidRPr="00DE5E7B" w:rsidRDefault="0079208A" w:rsidP="0079208A">
            <w:pPr>
              <w:ind w:left="0"/>
              <w:rPr>
                <w:rFonts w:ascii="Arial Narrow" w:hAnsi="Arial Narrow" w:cs="Arial"/>
                <w:color w:val="000000" w:themeColor="text1"/>
                <w:sz w:val="20"/>
                <w:szCs w:val="20"/>
                <w:lang w:val="en-PH"/>
              </w:rPr>
            </w:pPr>
            <w:r w:rsidRPr="00DE5E7B">
              <w:rPr>
                <w:rFonts w:ascii="Arial Narrow" w:hAnsi="Arial Narrow" w:cs="Arial"/>
                <w:color w:val="000000" w:themeColor="text1"/>
                <w:sz w:val="20"/>
                <w:szCs w:val="20"/>
                <w:lang w:val="en-PH"/>
              </w:rPr>
              <w:t xml:space="preserve">P 100,000.00 </w:t>
            </w:r>
          </w:p>
        </w:tc>
        <w:tc>
          <w:tcPr>
            <w:tcW w:w="1385" w:type="dxa"/>
            <w:tcBorders>
              <w:top w:val="nil"/>
              <w:left w:val="nil"/>
              <w:bottom w:val="nil"/>
              <w:right w:val="nil"/>
            </w:tcBorders>
            <w:shd w:val="clear" w:color="auto" w:fill="auto"/>
            <w:noWrap/>
          </w:tcPr>
          <w:p w14:paraId="67478A93" w14:textId="77777777" w:rsidR="0079208A" w:rsidRPr="00DE5E7B" w:rsidRDefault="0079208A" w:rsidP="00DE5E7B">
            <w:pPr>
              <w:ind w:left="0" w:right="-90"/>
              <w:jc w:val="right"/>
              <w:rPr>
                <w:rFonts w:ascii="Arial Narrow" w:hAnsi="Arial Narrow" w:cs="Arial"/>
                <w:color w:val="000000" w:themeColor="text1"/>
                <w:sz w:val="20"/>
                <w:szCs w:val="20"/>
                <w:lang w:val="en-PH"/>
              </w:rPr>
            </w:pPr>
            <w:r w:rsidRPr="00DE5E7B">
              <w:rPr>
                <w:rFonts w:ascii="Arial Narrow" w:hAnsi="Arial Narrow" w:cs="Arial"/>
                <w:color w:val="000000" w:themeColor="text1"/>
                <w:sz w:val="20"/>
                <w:szCs w:val="20"/>
                <w:lang w:val="en-PH"/>
              </w:rPr>
              <w:t xml:space="preserve">P 120,000.00 </w:t>
            </w:r>
          </w:p>
        </w:tc>
      </w:tr>
      <w:tr w:rsidR="0079208A" w:rsidRPr="00DE5E7B" w14:paraId="4B10A37F" w14:textId="77777777" w:rsidTr="00DE5E7B">
        <w:trPr>
          <w:trHeight w:val="137"/>
        </w:trPr>
        <w:tc>
          <w:tcPr>
            <w:tcW w:w="2546" w:type="dxa"/>
            <w:tcBorders>
              <w:top w:val="nil"/>
              <w:left w:val="nil"/>
              <w:bottom w:val="nil"/>
              <w:right w:val="nil"/>
            </w:tcBorders>
            <w:shd w:val="clear" w:color="auto" w:fill="auto"/>
            <w:noWrap/>
            <w:hideMark/>
          </w:tcPr>
          <w:p w14:paraId="04D5D4F0" w14:textId="77777777" w:rsidR="0079208A" w:rsidRPr="00DE5E7B" w:rsidRDefault="0079208A" w:rsidP="0079208A">
            <w:pPr>
              <w:ind w:left="0" w:hanging="90"/>
              <w:jc w:val="left"/>
              <w:rPr>
                <w:rFonts w:ascii="Arial Narrow" w:hAnsi="Arial Narrow" w:cs="Arial"/>
                <w:color w:val="000000" w:themeColor="text1"/>
                <w:sz w:val="20"/>
                <w:szCs w:val="20"/>
                <w:lang w:val="en-PH"/>
              </w:rPr>
            </w:pPr>
          </w:p>
        </w:tc>
        <w:tc>
          <w:tcPr>
            <w:tcW w:w="1123" w:type="dxa"/>
            <w:tcBorders>
              <w:top w:val="nil"/>
              <w:left w:val="nil"/>
              <w:bottom w:val="nil"/>
              <w:right w:val="nil"/>
            </w:tcBorders>
            <w:shd w:val="clear" w:color="auto" w:fill="auto"/>
            <w:noWrap/>
          </w:tcPr>
          <w:p w14:paraId="1A56A8F9" w14:textId="77777777" w:rsidR="0079208A" w:rsidRPr="00DE5E7B" w:rsidRDefault="0079208A" w:rsidP="0079208A">
            <w:pPr>
              <w:ind w:left="0"/>
              <w:jc w:val="right"/>
              <w:rPr>
                <w:rFonts w:ascii="Arial Narrow" w:hAnsi="Arial Narrow" w:cs="Arial"/>
                <w:color w:val="000000" w:themeColor="text1"/>
                <w:sz w:val="20"/>
                <w:szCs w:val="20"/>
                <w:lang w:val="en-PH"/>
              </w:rPr>
            </w:pPr>
          </w:p>
        </w:tc>
        <w:tc>
          <w:tcPr>
            <w:tcW w:w="1182" w:type="dxa"/>
            <w:tcBorders>
              <w:top w:val="nil"/>
              <w:left w:val="nil"/>
              <w:bottom w:val="nil"/>
              <w:right w:val="nil"/>
            </w:tcBorders>
            <w:shd w:val="clear" w:color="auto" w:fill="auto"/>
            <w:noWrap/>
          </w:tcPr>
          <w:p w14:paraId="099D0B43" w14:textId="77777777" w:rsidR="0079208A" w:rsidRPr="00DE5E7B" w:rsidRDefault="0079208A" w:rsidP="0079208A">
            <w:pPr>
              <w:ind w:left="0"/>
              <w:jc w:val="right"/>
              <w:rPr>
                <w:rFonts w:ascii="Arial Narrow" w:hAnsi="Arial Narrow" w:cs="Arial"/>
                <w:color w:val="000000" w:themeColor="text1"/>
                <w:sz w:val="20"/>
                <w:szCs w:val="20"/>
                <w:lang w:val="en-PH"/>
              </w:rPr>
            </w:pPr>
          </w:p>
        </w:tc>
        <w:tc>
          <w:tcPr>
            <w:tcW w:w="1182" w:type="dxa"/>
            <w:tcBorders>
              <w:top w:val="nil"/>
              <w:left w:val="nil"/>
              <w:bottom w:val="nil"/>
              <w:right w:val="nil"/>
            </w:tcBorders>
            <w:shd w:val="clear" w:color="auto" w:fill="auto"/>
            <w:noWrap/>
          </w:tcPr>
          <w:p w14:paraId="68C5C2A8" w14:textId="77777777" w:rsidR="0079208A" w:rsidRPr="00DE5E7B" w:rsidRDefault="0079208A" w:rsidP="0079208A">
            <w:pPr>
              <w:ind w:left="0"/>
              <w:jc w:val="right"/>
              <w:rPr>
                <w:rFonts w:ascii="Arial Narrow" w:hAnsi="Arial Narrow" w:cs="Arial"/>
                <w:color w:val="000000" w:themeColor="text1"/>
                <w:sz w:val="20"/>
                <w:szCs w:val="20"/>
                <w:lang w:val="en-PH"/>
              </w:rPr>
            </w:pPr>
          </w:p>
        </w:tc>
        <w:tc>
          <w:tcPr>
            <w:tcW w:w="1235" w:type="dxa"/>
            <w:tcBorders>
              <w:top w:val="nil"/>
              <w:left w:val="nil"/>
              <w:bottom w:val="nil"/>
              <w:right w:val="nil"/>
            </w:tcBorders>
            <w:shd w:val="clear" w:color="auto" w:fill="auto"/>
            <w:noWrap/>
          </w:tcPr>
          <w:p w14:paraId="05C9A584" w14:textId="77777777" w:rsidR="0079208A" w:rsidRPr="00DE5E7B" w:rsidRDefault="0079208A" w:rsidP="0079208A">
            <w:pPr>
              <w:ind w:left="0"/>
              <w:jc w:val="right"/>
              <w:rPr>
                <w:rFonts w:ascii="Arial Narrow" w:hAnsi="Arial Narrow" w:cs="Arial"/>
                <w:color w:val="000000" w:themeColor="text1"/>
                <w:sz w:val="20"/>
                <w:szCs w:val="20"/>
                <w:lang w:val="en-PH"/>
              </w:rPr>
            </w:pPr>
          </w:p>
        </w:tc>
        <w:tc>
          <w:tcPr>
            <w:tcW w:w="1385" w:type="dxa"/>
            <w:tcBorders>
              <w:top w:val="nil"/>
              <w:left w:val="nil"/>
              <w:bottom w:val="nil"/>
              <w:right w:val="nil"/>
            </w:tcBorders>
            <w:shd w:val="clear" w:color="auto" w:fill="auto"/>
            <w:noWrap/>
          </w:tcPr>
          <w:p w14:paraId="23DF5D72" w14:textId="77777777" w:rsidR="0079208A" w:rsidRPr="00DE5E7B" w:rsidRDefault="0079208A" w:rsidP="00DE5E7B">
            <w:pPr>
              <w:ind w:left="0" w:right="-90"/>
              <w:jc w:val="right"/>
              <w:rPr>
                <w:rFonts w:ascii="Arial Narrow" w:hAnsi="Arial Narrow" w:cs="Arial"/>
                <w:color w:val="000000" w:themeColor="text1"/>
                <w:sz w:val="20"/>
                <w:szCs w:val="20"/>
                <w:lang w:val="en-PH"/>
              </w:rPr>
            </w:pPr>
          </w:p>
        </w:tc>
      </w:tr>
      <w:tr w:rsidR="0079208A" w:rsidRPr="00DE5E7B" w14:paraId="7CB53E09" w14:textId="77777777" w:rsidTr="00DE5E7B">
        <w:trPr>
          <w:trHeight w:val="186"/>
        </w:trPr>
        <w:tc>
          <w:tcPr>
            <w:tcW w:w="2546" w:type="dxa"/>
            <w:tcBorders>
              <w:top w:val="nil"/>
              <w:left w:val="nil"/>
              <w:bottom w:val="nil"/>
              <w:right w:val="nil"/>
            </w:tcBorders>
            <w:shd w:val="clear" w:color="auto" w:fill="auto"/>
            <w:noWrap/>
            <w:hideMark/>
          </w:tcPr>
          <w:p w14:paraId="585D2B1B" w14:textId="77777777" w:rsidR="0079208A" w:rsidRPr="00DE5E7B" w:rsidRDefault="0079208A" w:rsidP="0079208A">
            <w:pPr>
              <w:ind w:left="0" w:hanging="90"/>
              <w:jc w:val="left"/>
              <w:rPr>
                <w:rFonts w:ascii="Arial Narrow" w:hAnsi="Arial Narrow" w:cs="Arial"/>
                <w:color w:val="000000" w:themeColor="text1"/>
                <w:sz w:val="20"/>
                <w:szCs w:val="20"/>
                <w:lang w:val="en-PH"/>
              </w:rPr>
            </w:pPr>
            <w:r w:rsidRPr="00DE5E7B">
              <w:rPr>
                <w:rFonts w:ascii="Arial Narrow" w:hAnsi="Arial Narrow" w:cs="Arial"/>
                <w:color w:val="000000" w:themeColor="text1"/>
                <w:sz w:val="20"/>
                <w:szCs w:val="20"/>
                <w:lang w:val="en-PH"/>
              </w:rPr>
              <w:t xml:space="preserve">     3rd Prize with Capping</w:t>
            </w:r>
          </w:p>
        </w:tc>
        <w:tc>
          <w:tcPr>
            <w:tcW w:w="1123" w:type="dxa"/>
            <w:tcBorders>
              <w:top w:val="nil"/>
              <w:left w:val="nil"/>
              <w:bottom w:val="nil"/>
              <w:right w:val="nil"/>
            </w:tcBorders>
            <w:shd w:val="clear" w:color="auto" w:fill="auto"/>
            <w:noWrap/>
          </w:tcPr>
          <w:p w14:paraId="094BA133" w14:textId="77777777" w:rsidR="0079208A" w:rsidRPr="00DE5E7B" w:rsidRDefault="0079208A" w:rsidP="0079208A">
            <w:pPr>
              <w:ind w:left="0"/>
              <w:jc w:val="right"/>
              <w:rPr>
                <w:rFonts w:ascii="Arial Narrow" w:hAnsi="Arial Narrow" w:cs="Arial"/>
                <w:color w:val="000000" w:themeColor="text1"/>
                <w:sz w:val="20"/>
                <w:szCs w:val="20"/>
                <w:lang w:val="en-PH"/>
              </w:rPr>
            </w:pPr>
            <w:r w:rsidRPr="00DE5E7B">
              <w:rPr>
                <w:rFonts w:ascii="Arial Narrow" w:hAnsi="Arial Narrow" w:cs="Arial"/>
                <w:color w:val="000000" w:themeColor="text1"/>
                <w:sz w:val="20"/>
                <w:szCs w:val="20"/>
                <w:lang w:val="en-PH"/>
              </w:rPr>
              <w:t xml:space="preserve">P  1,200.00 </w:t>
            </w:r>
          </w:p>
        </w:tc>
        <w:tc>
          <w:tcPr>
            <w:tcW w:w="1182" w:type="dxa"/>
            <w:tcBorders>
              <w:top w:val="nil"/>
              <w:left w:val="nil"/>
              <w:bottom w:val="nil"/>
              <w:right w:val="nil"/>
            </w:tcBorders>
            <w:shd w:val="clear" w:color="auto" w:fill="auto"/>
            <w:noWrap/>
          </w:tcPr>
          <w:p w14:paraId="3573D4B4" w14:textId="77777777" w:rsidR="0079208A" w:rsidRPr="00DE5E7B" w:rsidRDefault="0079208A" w:rsidP="0079208A">
            <w:pPr>
              <w:ind w:left="0"/>
              <w:jc w:val="right"/>
              <w:rPr>
                <w:rFonts w:ascii="Arial Narrow" w:hAnsi="Arial Narrow" w:cs="Arial"/>
                <w:color w:val="000000" w:themeColor="text1"/>
                <w:sz w:val="20"/>
                <w:szCs w:val="20"/>
                <w:lang w:val="en-PH"/>
              </w:rPr>
            </w:pPr>
            <w:r w:rsidRPr="00DE5E7B">
              <w:rPr>
                <w:rFonts w:ascii="Arial Narrow" w:hAnsi="Arial Narrow" w:cs="Arial"/>
                <w:color w:val="000000" w:themeColor="text1"/>
                <w:sz w:val="20"/>
                <w:szCs w:val="20"/>
                <w:lang w:val="en-PH"/>
              </w:rPr>
              <w:t xml:space="preserve"> P  1,000.00 </w:t>
            </w:r>
          </w:p>
        </w:tc>
        <w:tc>
          <w:tcPr>
            <w:tcW w:w="1182" w:type="dxa"/>
            <w:tcBorders>
              <w:top w:val="nil"/>
              <w:left w:val="nil"/>
              <w:bottom w:val="nil"/>
              <w:right w:val="nil"/>
            </w:tcBorders>
            <w:shd w:val="clear" w:color="auto" w:fill="auto"/>
            <w:noWrap/>
          </w:tcPr>
          <w:p w14:paraId="37B3D98E" w14:textId="77777777" w:rsidR="0079208A" w:rsidRPr="00DE5E7B" w:rsidRDefault="0079208A" w:rsidP="0079208A">
            <w:pPr>
              <w:ind w:left="0"/>
              <w:jc w:val="right"/>
              <w:rPr>
                <w:rFonts w:ascii="Arial Narrow" w:hAnsi="Arial Narrow" w:cs="Arial"/>
                <w:color w:val="000000" w:themeColor="text1"/>
                <w:sz w:val="20"/>
                <w:szCs w:val="20"/>
                <w:lang w:val="en-PH"/>
              </w:rPr>
            </w:pPr>
            <w:r w:rsidRPr="00DE5E7B">
              <w:rPr>
                <w:rFonts w:ascii="Arial Narrow" w:hAnsi="Arial Narrow" w:cs="Arial"/>
                <w:color w:val="000000" w:themeColor="text1"/>
                <w:sz w:val="20"/>
                <w:szCs w:val="20"/>
                <w:lang w:val="en-PH"/>
              </w:rPr>
              <w:t xml:space="preserve"> P  800.00 </w:t>
            </w:r>
          </w:p>
        </w:tc>
        <w:tc>
          <w:tcPr>
            <w:tcW w:w="1235" w:type="dxa"/>
            <w:tcBorders>
              <w:top w:val="nil"/>
              <w:left w:val="nil"/>
              <w:bottom w:val="nil"/>
              <w:right w:val="nil"/>
            </w:tcBorders>
            <w:shd w:val="clear" w:color="auto" w:fill="auto"/>
            <w:noWrap/>
          </w:tcPr>
          <w:p w14:paraId="09ADE01A" w14:textId="77777777" w:rsidR="0079208A" w:rsidRPr="00DE5E7B" w:rsidRDefault="0079208A" w:rsidP="0079208A">
            <w:pPr>
              <w:ind w:left="0"/>
              <w:jc w:val="right"/>
              <w:rPr>
                <w:rFonts w:ascii="Arial Narrow" w:hAnsi="Arial Narrow" w:cs="Arial"/>
                <w:color w:val="000000" w:themeColor="text1"/>
                <w:sz w:val="20"/>
                <w:szCs w:val="20"/>
                <w:lang w:val="en-PH"/>
              </w:rPr>
            </w:pPr>
            <w:r w:rsidRPr="00DE5E7B">
              <w:rPr>
                <w:rFonts w:ascii="Arial Narrow" w:hAnsi="Arial Narrow" w:cs="Arial"/>
                <w:color w:val="000000" w:themeColor="text1"/>
                <w:sz w:val="20"/>
                <w:szCs w:val="20"/>
                <w:lang w:val="en-PH"/>
              </w:rPr>
              <w:t xml:space="preserve">P    1,500.00 </w:t>
            </w:r>
          </w:p>
        </w:tc>
        <w:tc>
          <w:tcPr>
            <w:tcW w:w="1385" w:type="dxa"/>
            <w:tcBorders>
              <w:top w:val="nil"/>
              <w:left w:val="nil"/>
              <w:bottom w:val="nil"/>
              <w:right w:val="nil"/>
            </w:tcBorders>
            <w:shd w:val="clear" w:color="auto" w:fill="auto"/>
            <w:noWrap/>
          </w:tcPr>
          <w:p w14:paraId="6E7AEBCE" w14:textId="6D291BA5" w:rsidR="0079208A" w:rsidRPr="00DE5E7B" w:rsidRDefault="0079208A" w:rsidP="00DE5E7B">
            <w:pPr>
              <w:ind w:left="0" w:right="-90"/>
              <w:jc w:val="right"/>
              <w:rPr>
                <w:rFonts w:ascii="Arial Narrow" w:hAnsi="Arial Narrow" w:cs="Arial"/>
                <w:color w:val="000000" w:themeColor="text1"/>
                <w:sz w:val="20"/>
                <w:szCs w:val="20"/>
                <w:lang w:val="en-PH"/>
              </w:rPr>
            </w:pPr>
            <w:r w:rsidRPr="00DE5E7B">
              <w:rPr>
                <w:rFonts w:ascii="Arial Narrow" w:hAnsi="Arial Narrow" w:cs="Arial"/>
                <w:color w:val="000000" w:themeColor="text1"/>
                <w:sz w:val="20"/>
                <w:szCs w:val="20"/>
                <w:lang w:val="en-PH"/>
              </w:rPr>
              <w:t xml:space="preserve"> P </w:t>
            </w:r>
            <w:r w:rsidR="00DE5E7B">
              <w:rPr>
                <w:rFonts w:ascii="Arial Narrow" w:hAnsi="Arial Narrow" w:cs="Arial"/>
                <w:color w:val="000000" w:themeColor="text1"/>
                <w:sz w:val="20"/>
                <w:szCs w:val="20"/>
                <w:lang w:val="en-PH"/>
              </w:rPr>
              <w:t xml:space="preserve"> </w:t>
            </w:r>
            <w:r w:rsidRPr="00DE5E7B">
              <w:rPr>
                <w:rFonts w:ascii="Arial Narrow" w:hAnsi="Arial Narrow" w:cs="Arial"/>
                <w:color w:val="000000" w:themeColor="text1"/>
                <w:sz w:val="20"/>
                <w:szCs w:val="20"/>
                <w:lang w:val="en-PH"/>
              </w:rPr>
              <w:t xml:space="preserve">   2,000.00 </w:t>
            </w:r>
          </w:p>
        </w:tc>
      </w:tr>
      <w:tr w:rsidR="0079208A" w:rsidRPr="00DE5E7B" w14:paraId="656E5D49" w14:textId="77777777" w:rsidTr="00DE5E7B">
        <w:trPr>
          <w:trHeight w:val="225"/>
        </w:trPr>
        <w:tc>
          <w:tcPr>
            <w:tcW w:w="2546" w:type="dxa"/>
            <w:tcBorders>
              <w:top w:val="nil"/>
              <w:left w:val="nil"/>
              <w:bottom w:val="nil"/>
              <w:right w:val="nil"/>
            </w:tcBorders>
            <w:shd w:val="clear" w:color="auto" w:fill="auto"/>
            <w:noWrap/>
            <w:hideMark/>
          </w:tcPr>
          <w:p w14:paraId="5019D761" w14:textId="77777777" w:rsidR="0079208A" w:rsidRPr="00DE5E7B" w:rsidRDefault="0079208A" w:rsidP="0079208A">
            <w:pPr>
              <w:ind w:left="0" w:hanging="90"/>
              <w:jc w:val="left"/>
              <w:rPr>
                <w:rFonts w:ascii="Arial Narrow" w:hAnsi="Arial Narrow" w:cs="Arial"/>
                <w:color w:val="000000" w:themeColor="text1"/>
                <w:sz w:val="20"/>
                <w:szCs w:val="20"/>
                <w:lang w:val="en-PH"/>
              </w:rPr>
            </w:pPr>
          </w:p>
        </w:tc>
        <w:tc>
          <w:tcPr>
            <w:tcW w:w="1123" w:type="dxa"/>
            <w:tcBorders>
              <w:top w:val="nil"/>
              <w:left w:val="nil"/>
              <w:bottom w:val="nil"/>
              <w:right w:val="nil"/>
            </w:tcBorders>
            <w:shd w:val="clear" w:color="auto" w:fill="auto"/>
            <w:noWrap/>
          </w:tcPr>
          <w:p w14:paraId="0A6884AD" w14:textId="77777777" w:rsidR="0079208A" w:rsidRPr="00DE5E7B" w:rsidRDefault="0079208A" w:rsidP="0079208A">
            <w:pPr>
              <w:ind w:left="0"/>
              <w:jc w:val="right"/>
              <w:rPr>
                <w:rFonts w:ascii="Arial Narrow" w:hAnsi="Arial Narrow" w:cs="Arial"/>
                <w:color w:val="000000" w:themeColor="text1"/>
                <w:sz w:val="20"/>
                <w:szCs w:val="20"/>
                <w:lang w:val="en-PH"/>
              </w:rPr>
            </w:pPr>
          </w:p>
        </w:tc>
        <w:tc>
          <w:tcPr>
            <w:tcW w:w="1182" w:type="dxa"/>
            <w:tcBorders>
              <w:top w:val="nil"/>
              <w:left w:val="nil"/>
              <w:bottom w:val="nil"/>
              <w:right w:val="nil"/>
            </w:tcBorders>
            <w:shd w:val="clear" w:color="auto" w:fill="auto"/>
            <w:noWrap/>
          </w:tcPr>
          <w:p w14:paraId="66B68B8E" w14:textId="77777777" w:rsidR="0079208A" w:rsidRPr="00DE5E7B" w:rsidRDefault="0079208A" w:rsidP="0079208A">
            <w:pPr>
              <w:ind w:left="0"/>
              <w:jc w:val="right"/>
              <w:rPr>
                <w:rFonts w:ascii="Arial Narrow" w:hAnsi="Arial Narrow" w:cs="Arial"/>
                <w:color w:val="000000" w:themeColor="text1"/>
                <w:sz w:val="20"/>
                <w:szCs w:val="20"/>
                <w:lang w:val="en-PH"/>
              </w:rPr>
            </w:pPr>
          </w:p>
        </w:tc>
        <w:tc>
          <w:tcPr>
            <w:tcW w:w="1182" w:type="dxa"/>
            <w:tcBorders>
              <w:top w:val="nil"/>
              <w:left w:val="nil"/>
              <w:bottom w:val="nil"/>
              <w:right w:val="nil"/>
            </w:tcBorders>
            <w:shd w:val="clear" w:color="auto" w:fill="auto"/>
            <w:noWrap/>
          </w:tcPr>
          <w:p w14:paraId="0414B4F6" w14:textId="77777777" w:rsidR="0079208A" w:rsidRPr="00DE5E7B" w:rsidRDefault="0079208A" w:rsidP="0079208A">
            <w:pPr>
              <w:ind w:left="0"/>
              <w:jc w:val="right"/>
              <w:rPr>
                <w:rFonts w:ascii="Arial Narrow" w:hAnsi="Arial Narrow" w:cs="Arial"/>
                <w:color w:val="000000" w:themeColor="text1"/>
                <w:sz w:val="20"/>
                <w:szCs w:val="20"/>
                <w:lang w:val="en-PH"/>
              </w:rPr>
            </w:pPr>
          </w:p>
        </w:tc>
        <w:tc>
          <w:tcPr>
            <w:tcW w:w="1235" w:type="dxa"/>
            <w:tcBorders>
              <w:top w:val="nil"/>
              <w:left w:val="nil"/>
              <w:bottom w:val="nil"/>
              <w:right w:val="nil"/>
            </w:tcBorders>
            <w:shd w:val="clear" w:color="auto" w:fill="auto"/>
            <w:noWrap/>
          </w:tcPr>
          <w:p w14:paraId="296EE3D6" w14:textId="77777777" w:rsidR="0079208A" w:rsidRPr="00DE5E7B" w:rsidRDefault="0079208A" w:rsidP="0079208A">
            <w:pPr>
              <w:ind w:left="0"/>
              <w:jc w:val="right"/>
              <w:rPr>
                <w:rFonts w:ascii="Arial Narrow" w:hAnsi="Arial Narrow" w:cs="Arial"/>
                <w:color w:val="000000" w:themeColor="text1"/>
                <w:sz w:val="20"/>
                <w:szCs w:val="20"/>
                <w:lang w:val="en-PH"/>
              </w:rPr>
            </w:pPr>
          </w:p>
        </w:tc>
        <w:tc>
          <w:tcPr>
            <w:tcW w:w="1385" w:type="dxa"/>
            <w:tcBorders>
              <w:top w:val="nil"/>
              <w:left w:val="nil"/>
              <w:bottom w:val="nil"/>
              <w:right w:val="nil"/>
            </w:tcBorders>
            <w:shd w:val="clear" w:color="auto" w:fill="auto"/>
            <w:noWrap/>
          </w:tcPr>
          <w:p w14:paraId="1E275180" w14:textId="77777777" w:rsidR="0079208A" w:rsidRPr="00DE5E7B" w:rsidRDefault="0079208A" w:rsidP="00DE5E7B">
            <w:pPr>
              <w:ind w:left="0" w:right="-90"/>
              <w:jc w:val="right"/>
              <w:rPr>
                <w:rFonts w:ascii="Arial Narrow" w:hAnsi="Arial Narrow" w:cs="Arial"/>
                <w:color w:val="000000" w:themeColor="text1"/>
                <w:sz w:val="20"/>
                <w:szCs w:val="20"/>
                <w:lang w:val="en-PH"/>
              </w:rPr>
            </w:pPr>
          </w:p>
        </w:tc>
      </w:tr>
      <w:tr w:rsidR="0079208A" w:rsidRPr="00DE5E7B" w14:paraId="415A2281" w14:textId="77777777" w:rsidTr="00DE5E7B">
        <w:trPr>
          <w:trHeight w:val="176"/>
        </w:trPr>
        <w:tc>
          <w:tcPr>
            <w:tcW w:w="2546" w:type="dxa"/>
            <w:tcBorders>
              <w:top w:val="nil"/>
              <w:left w:val="nil"/>
              <w:bottom w:val="nil"/>
              <w:right w:val="nil"/>
            </w:tcBorders>
            <w:shd w:val="clear" w:color="auto" w:fill="auto"/>
            <w:noWrap/>
            <w:hideMark/>
          </w:tcPr>
          <w:p w14:paraId="55FDA5CA" w14:textId="77777777" w:rsidR="0079208A" w:rsidRPr="00DE5E7B" w:rsidRDefault="0079208A" w:rsidP="0079208A">
            <w:pPr>
              <w:ind w:left="0" w:hanging="90"/>
              <w:jc w:val="left"/>
              <w:rPr>
                <w:rFonts w:ascii="Arial Narrow" w:hAnsi="Arial Narrow" w:cs="Arial"/>
                <w:color w:val="000000" w:themeColor="text1"/>
                <w:sz w:val="20"/>
                <w:szCs w:val="20"/>
                <w:lang w:val="en-PH"/>
              </w:rPr>
            </w:pPr>
            <w:r w:rsidRPr="00DE5E7B">
              <w:rPr>
                <w:rFonts w:ascii="Arial Narrow" w:hAnsi="Arial Narrow" w:cs="Arial"/>
                <w:color w:val="000000" w:themeColor="text1"/>
                <w:sz w:val="20"/>
                <w:szCs w:val="20"/>
                <w:lang w:val="en-PH"/>
              </w:rPr>
              <w:t xml:space="preserve">     4th Prize with Capping</w:t>
            </w:r>
          </w:p>
        </w:tc>
        <w:tc>
          <w:tcPr>
            <w:tcW w:w="1123" w:type="dxa"/>
            <w:tcBorders>
              <w:top w:val="nil"/>
              <w:left w:val="nil"/>
              <w:bottom w:val="nil"/>
              <w:right w:val="nil"/>
            </w:tcBorders>
            <w:shd w:val="clear" w:color="auto" w:fill="auto"/>
            <w:noWrap/>
            <w:hideMark/>
          </w:tcPr>
          <w:p w14:paraId="7ECE2247" w14:textId="77777777" w:rsidR="0079208A" w:rsidRPr="00DE5E7B" w:rsidRDefault="0079208A" w:rsidP="0079208A">
            <w:pPr>
              <w:ind w:left="0"/>
              <w:jc w:val="right"/>
              <w:rPr>
                <w:rFonts w:ascii="Arial Narrow" w:hAnsi="Arial Narrow" w:cs="Arial"/>
                <w:color w:val="000000" w:themeColor="text1"/>
                <w:sz w:val="20"/>
                <w:szCs w:val="20"/>
                <w:lang w:val="en-PH"/>
              </w:rPr>
            </w:pPr>
            <w:r w:rsidRPr="00DE5E7B">
              <w:rPr>
                <w:rFonts w:ascii="Arial Narrow" w:hAnsi="Arial Narrow" w:cs="Arial"/>
                <w:color w:val="000000" w:themeColor="text1"/>
                <w:sz w:val="20"/>
                <w:szCs w:val="20"/>
                <w:lang w:val="en-PH"/>
              </w:rPr>
              <w:t xml:space="preserve">P       50.00 </w:t>
            </w:r>
          </w:p>
        </w:tc>
        <w:tc>
          <w:tcPr>
            <w:tcW w:w="1182" w:type="dxa"/>
            <w:tcBorders>
              <w:top w:val="nil"/>
              <w:left w:val="nil"/>
              <w:bottom w:val="nil"/>
              <w:right w:val="nil"/>
            </w:tcBorders>
            <w:shd w:val="clear" w:color="auto" w:fill="auto"/>
            <w:noWrap/>
            <w:hideMark/>
          </w:tcPr>
          <w:p w14:paraId="4505ED36" w14:textId="77777777" w:rsidR="0079208A" w:rsidRPr="00DE5E7B" w:rsidRDefault="0079208A" w:rsidP="0079208A">
            <w:pPr>
              <w:ind w:left="0"/>
              <w:jc w:val="right"/>
              <w:rPr>
                <w:rFonts w:ascii="Arial Narrow" w:hAnsi="Arial Narrow" w:cs="Arial"/>
                <w:color w:val="000000" w:themeColor="text1"/>
                <w:sz w:val="20"/>
                <w:szCs w:val="20"/>
                <w:lang w:val="en-PH"/>
              </w:rPr>
            </w:pPr>
            <w:r w:rsidRPr="00DE5E7B">
              <w:rPr>
                <w:rFonts w:ascii="Arial Narrow" w:hAnsi="Arial Narrow" w:cs="Arial"/>
                <w:color w:val="000000" w:themeColor="text1"/>
                <w:sz w:val="20"/>
                <w:szCs w:val="20"/>
                <w:lang w:val="en-PH"/>
              </w:rPr>
              <w:t xml:space="preserve">P       30.00 </w:t>
            </w:r>
          </w:p>
        </w:tc>
        <w:tc>
          <w:tcPr>
            <w:tcW w:w="1182" w:type="dxa"/>
            <w:tcBorders>
              <w:top w:val="nil"/>
              <w:left w:val="nil"/>
              <w:bottom w:val="nil"/>
              <w:right w:val="nil"/>
            </w:tcBorders>
            <w:shd w:val="clear" w:color="auto" w:fill="auto"/>
            <w:noWrap/>
            <w:hideMark/>
          </w:tcPr>
          <w:p w14:paraId="0F6A0E5B" w14:textId="77777777" w:rsidR="0079208A" w:rsidRPr="00DE5E7B" w:rsidRDefault="0079208A" w:rsidP="0079208A">
            <w:pPr>
              <w:ind w:left="0"/>
              <w:jc w:val="right"/>
              <w:rPr>
                <w:rFonts w:ascii="Arial Narrow" w:hAnsi="Arial Narrow" w:cs="Arial"/>
                <w:color w:val="000000" w:themeColor="text1"/>
                <w:sz w:val="20"/>
                <w:szCs w:val="20"/>
                <w:lang w:val="en-PH"/>
              </w:rPr>
            </w:pPr>
            <w:r w:rsidRPr="00DE5E7B">
              <w:rPr>
                <w:rFonts w:ascii="Arial Narrow" w:hAnsi="Arial Narrow" w:cs="Arial"/>
                <w:color w:val="000000" w:themeColor="text1"/>
                <w:sz w:val="20"/>
                <w:szCs w:val="20"/>
                <w:lang w:val="en-PH"/>
              </w:rPr>
              <w:t xml:space="preserve"> P       20.00 </w:t>
            </w:r>
          </w:p>
        </w:tc>
        <w:tc>
          <w:tcPr>
            <w:tcW w:w="1235" w:type="dxa"/>
            <w:tcBorders>
              <w:top w:val="nil"/>
              <w:left w:val="nil"/>
              <w:bottom w:val="nil"/>
              <w:right w:val="nil"/>
            </w:tcBorders>
            <w:shd w:val="clear" w:color="auto" w:fill="auto"/>
            <w:noWrap/>
            <w:hideMark/>
          </w:tcPr>
          <w:p w14:paraId="72B57573" w14:textId="77777777" w:rsidR="0079208A" w:rsidRPr="00DE5E7B" w:rsidRDefault="0079208A" w:rsidP="0079208A">
            <w:pPr>
              <w:ind w:left="0"/>
              <w:jc w:val="right"/>
              <w:rPr>
                <w:rFonts w:ascii="Arial Narrow" w:hAnsi="Arial Narrow" w:cs="Arial"/>
                <w:color w:val="000000" w:themeColor="text1"/>
                <w:sz w:val="20"/>
                <w:szCs w:val="20"/>
                <w:lang w:val="en-PH"/>
              </w:rPr>
            </w:pPr>
            <w:r w:rsidRPr="00DE5E7B">
              <w:rPr>
                <w:rFonts w:ascii="Arial Narrow" w:hAnsi="Arial Narrow" w:cs="Arial"/>
                <w:color w:val="000000" w:themeColor="text1"/>
                <w:sz w:val="20"/>
                <w:szCs w:val="20"/>
                <w:lang w:val="en-PH"/>
              </w:rPr>
              <w:t xml:space="preserve">P          60.00 </w:t>
            </w:r>
          </w:p>
        </w:tc>
        <w:tc>
          <w:tcPr>
            <w:tcW w:w="1385" w:type="dxa"/>
            <w:tcBorders>
              <w:top w:val="nil"/>
              <w:left w:val="nil"/>
              <w:bottom w:val="nil"/>
              <w:right w:val="nil"/>
            </w:tcBorders>
            <w:shd w:val="clear" w:color="auto" w:fill="auto"/>
            <w:noWrap/>
            <w:hideMark/>
          </w:tcPr>
          <w:p w14:paraId="3667A60D" w14:textId="08A4488A" w:rsidR="0079208A" w:rsidRPr="00DE5E7B" w:rsidRDefault="00DE5E7B" w:rsidP="00DE5E7B">
            <w:pPr>
              <w:ind w:left="0" w:right="-90"/>
              <w:jc w:val="right"/>
              <w:rPr>
                <w:rFonts w:ascii="Arial Narrow" w:hAnsi="Arial Narrow" w:cs="Arial"/>
                <w:color w:val="000000" w:themeColor="text1"/>
                <w:sz w:val="20"/>
                <w:szCs w:val="20"/>
                <w:lang w:val="en-PH"/>
              </w:rPr>
            </w:pPr>
            <w:r w:rsidRPr="00DE5E7B">
              <w:rPr>
                <w:rFonts w:ascii="Arial Narrow" w:hAnsi="Arial Narrow" w:cs="Arial"/>
                <w:color w:val="000000" w:themeColor="text1"/>
                <w:sz w:val="20"/>
                <w:szCs w:val="20"/>
                <w:lang w:val="en-PH"/>
              </w:rPr>
              <w:t xml:space="preserve">      P   </w:t>
            </w:r>
            <w:r w:rsidR="0079208A" w:rsidRPr="00DE5E7B">
              <w:rPr>
                <w:rFonts w:ascii="Arial Narrow" w:hAnsi="Arial Narrow" w:cs="Arial"/>
                <w:color w:val="000000" w:themeColor="text1"/>
                <w:sz w:val="20"/>
                <w:szCs w:val="20"/>
                <w:lang w:val="en-PH"/>
              </w:rPr>
              <w:t xml:space="preserve">     100.00 </w:t>
            </w:r>
          </w:p>
        </w:tc>
      </w:tr>
      <w:tr w:rsidR="0079208A" w:rsidRPr="00DE5E7B" w14:paraId="779D0578" w14:textId="77777777" w:rsidTr="00DE5E7B">
        <w:trPr>
          <w:trHeight w:val="329"/>
        </w:trPr>
        <w:tc>
          <w:tcPr>
            <w:tcW w:w="2546" w:type="dxa"/>
            <w:tcBorders>
              <w:top w:val="nil"/>
              <w:left w:val="nil"/>
              <w:bottom w:val="nil"/>
              <w:right w:val="nil"/>
            </w:tcBorders>
            <w:shd w:val="clear" w:color="auto" w:fill="auto"/>
            <w:noWrap/>
            <w:hideMark/>
          </w:tcPr>
          <w:p w14:paraId="39EA8A47" w14:textId="77777777" w:rsidR="0079208A" w:rsidRPr="00DE5E7B" w:rsidRDefault="0079208A" w:rsidP="0079208A">
            <w:pPr>
              <w:ind w:left="0" w:hanging="90"/>
              <w:jc w:val="left"/>
              <w:rPr>
                <w:rFonts w:ascii="Arial Narrow" w:hAnsi="Arial Narrow" w:cs="Arial"/>
                <w:color w:val="000000" w:themeColor="text1"/>
                <w:sz w:val="20"/>
                <w:szCs w:val="20"/>
                <w:lang w:val="en-PH"/>
              </w:rPr>
            </w:pPr>
          </w:p>
        </w:tc>
        <w:tc>
          <w:tcPr>
            <w:tcW w:w="1123" w:type="dxa"/>
            <w:tcBorders>
              <w:top w:val="nil"/>
              <w:left w:val="nil"/>
              <w:bottom w:val="nil"/>
              <w:right w:val="nil"/>
            </w:tcBorders>
            <w:shd w:val="clear" w:color="auto" w:fill="auto"/>
            <w:noWrap/>
            <w:hideMark/>
          </w:tcPr>
          <w:p w14:paraId="75C79058" w14:textId="77777777" w:rsidR="0079208A" w:rsidRPr="00DE5E7B" w:rsidRDefault="0079208A" w:rsidP="0079208A">
            <w:pPr>
              <w:ind w:left="0"/>
              <w:jc w:val="right"/>
              <w:rPr>
                <w:rFonts w:ascii="Arial Narrow" w:hAnsi="Arial Narrow" w:cs="Arial"/>
                <w:color w:val="000000" w:themeColor="text1"/>
                <w:sz w:val="20"/>
                <w:szCs w:val="20"/>
                <w:lang w:val="en-PH"/>
              </w:rPr>
            </w:pPr>
          </w:p>
        </w:tc>
        <w:tc>
          <w:tcPr>
            <w:tcW w:w="1182" w:type="dxa"/>
            <w:tcBorders>
              <w:top w:val="nil"/>
              <w:left w:val="nil"/>
              <w:bottom w:val="nil"/>
              <w:right w:val="nil"/>
            </w:tcBorders>
            <w:shd w:val="clear" w:color="auto" w:fill="auto"/>
            <w:noWrap/>
            <w:hideMark/>
          </w:tcPr>
          <w:p w14:paraId="03F975E9" w14:textId="77777777" w:rsidR="0079208A" w:rsidRPr="00DE5E7B" w:rsidRDefault="0079208A" w:rsidP="0079208A">
            <w:pPr>
              <w:ind w:left="0"/>
              <w:jc w:val="right"/>
              <w:rPr>
                <w:rFonts w:ascii="Arial Narrow" w:hAnsi="Arial Narrow" w:cs="Arial"/>
                <w:color w:val="000000" w:themeColor="text1"/>
                <w:sz w:val="20"/>
                <w:szCs w:val="20"/>
                <w:lang w:val="en-PH"/>
              </w:rPr>
            </w:pPr>
          </w:p>
        </w:tc>
        <w:tc>
          <w:tcPr>
            <w:tcW w:w="1182" w:type="dxa"/>
            <w:tcBorders>
              <w:top w:val="nil"/>
              <w:left w:val="nil"/>
              <w:bottom w:val="nil"/>
              <w:right w:val="nil"/>
            </w:tcBorders>
            <w:shd w:val="clear" w:color="auto" w:fill="auto"/>
            <w:noWrap/>
            <w:hideMark/>
          </w:tcPr>
          <w:p w14:paraId="142D1B87" w14:textId="77777777" w:rsidR="0079208A" w:rsidRPr="00DE5E7B" w:rsidRDefault="0079208A" w:rsidP="0079208A">
            <w:pPr>
              <w:ind w:left="0"/>
              <w:jc w:val="right"/>
              <w:rPr>
                <w:rFonts w:ascii="Arial Narrow" w:hAnsi="Arial Narrow" w:cs="Arial"/>
                <w:color w:val="000000" w:themeColor="text1"/>
                <w:sz w:val="20"/>
                <w:szCs w:val="20"/>
                <w:lang w:val="en-PH"/>
              </w:rPr>
            </w:pPr>
          </w:p>
        </w:tc>
        <w:tc>
          <w:tcPr>
            <w:tcW w:w="1235" w:type="dxa"/>
            <w:tcBorders>
              <w:top w:val="nil"/>
              <w:left w:val="nil"/>
              <w:bottom w:val="nil"/>
              <w:right w:val="nil"/>
            </w:tcBorders>
            <w:shd w:val="clear" w:color="auto" w:fill="auto"/>
            <w:noWrap/>
            <w:hideMark/>
          </w:tcPr>
          <w:p w14:paraId="2185C025" w14:textId="77777777" w:rsidR="0079208A" w:rsidRPr="00DE5E7B" w:rsidRDefault="0079208A" w:rsidP="0079208A">
            <w:pPr>
              <w:ind w:left="0"/>
              <w:jc w:val="right"/>
              <w:rPr>
                <w:rFonts w:ascii="Arial Narrow" w:hAnsi="Arial Narrow" w:cs="Arial"/>
                <w:color w:val="000000" w:themeColor="text1"/>
                <w:sz w:val="20"/>
                <w:szCs w:val="20"/>
                <w:lang w:val="en-PH"/>
              </w:rPr>
            </w:pPr>
          </w:p>
        </w:tc>
        <w:tc>
          <w:tcPr>
            <w:tcW w:w="1385" w:type="dxa"/>
            <w:tcBorders>
              <w:top w:val="nil"/>
              <w:left w:val="nil"/>
              <w:bottom w:val="nil"/>
              <w:right w:val="nil"/>
            </w:tcBorders>
            <w:shd w:val="clear" w:color="auto" w:fill="auto"/>
            <w:noWrap/>
            <w:hideMark/>
          </w:tcPr>
          <w:p w14:paraId="23290477" w14:textId="77777777" w:rsidR="0079208A" w:rsidRPr="00DE5E7B" w:rsidRDefault="0079208A" w:rsidP="00DE5E7B">
            <w:pPr>
              <w:ind w:left="0" w:right="-90"/>
              <w:jc w:val="right"/>
              <w:rPr>
                <w:rFonts w:ascii="Arial Narrow" w:hAnsi="Arial Narrow" w:cs="Arial"/>
                <w:color w:val="000000" w:themeColor="text1"/>
                <w:sz w:val="20"/>
                <w:szCs w:val="20"/>
                <w:lang w:val="en-PH"/>
              </w:rPr>
            </w:pPr>
          </w:p>
        </w:tc>
      </w:tr>
      <w:tr w:rsidR="0079208A" w:rsidRPr="00DE5E7B" w14:paraId="09DD0E2B" w14:textId="77777777" w:rsidTr="00DE5E7B">
        <w:trPr>
          <w:trHeight w:val="78"/>
        </w:trPr>
        <w:tc>
          <w:tcPr>
            <w:tcW w:w="2546" w:type="dxa"/>
            <w:tcBorders>
              <w:top w:val="nil"/>
              <w:left w:val="nil"/>
              <w:bottom w:val="nil"/>
              <w:right w:val="nil"/>
            </w:tcBorders>
            <w:shd w:val="clear" w:color="auto" w:fill="auto"/>
            <w:noWrap/>
            <w:hideMark/>
          </w:tcPr>
          <w:p w14:paraId="5DE7CE4B" w14:textId="77777777" w:rsidR="0079208A" w:rsidRPr="00DE5E7B" w:rsidRDefault="0079208A" w:rsidP="0079208A">
            <w:pPr>
              <w:ind w:left="0" w:hanging="90"/>
              <w:jc w:val="left"/>
              <w:rPr>
                <w:rFonts w:ascii="Arial Narrow" w:hAnsi="Arial Narrow" w:cs="Arial"/>
                <w:b/>
                <w:bCs/>
                <w:color w:val="000000" w:themeColor="text1"/>
                <w:sz w:val="20"/>
                <w:szCs w:val="20"/>
                <w:lang w:val="en-PH"/>
              </w:rPr>
            </w:pPr>
            <w:r w:rsidRPr="00DE5E7B">
              <w:rPr>
                <w:rFonts w:ascii="Arial Narrow" w:hAnsi="Arial Narrow" w:cs="Arial"/>
                <w:b/>
                <w:bCs/>
                <w:color w:val="000000" w:themeColor="text1"/>
                <w:sz w:val="20"/>
                <w:szCs w:val="20"/>
                <w:lang w:val="en-PH"/>
              </w:rPr>
              <w:t>II. Charity   Fund  (30% of NR)</w:t>
            </w:r>
          </w:p>
        </w:tc>
        <w:tc>
          <w:tcPr>
            <w:tcW w:w="1123" w:type="dxa"/>
            <w:tcBorders>
              <w:top w:val="nil"/>
              <w:left w:val="nil"/>
              <w:bottom w:val="nil"/>
              <w:right w:val="nil"/>
            </w:tcBorders>
            <w:shd w:val="clear" w:color="auto" w:fill="auto"/>
            <w:noWrap/>
            <w:hideMark/>
          </w:tcPr>
          <w:p w14:paraId="20E1FD46" w14:textId="77777777" w:rsidR="0079208A" w:rsidRPr="00DE5E7B" w:rsidRDefault="0079208A" w:rsidP="0079208A">
            <w:pPr>
              <w:ind w:left="0"/>
              <w:jc w:val="right"/>
              <w:rPr>
                <w:rFonts w:ascii="Arial Narrow" w:hAnsi="Arial Narrow" w:cs="Arial"/>
                <w:b/>
                <w:bCs/>
                <w:color w:val="000000" w:themeColor="text1"/>
                <w:sz w:val="20"/>
                <w:szCs w:val="20"/>
                <w:lang w:val="en-PH"/>
              </w:rPr>
            </w:pPr>
            <w:r w:rsidRPr="00DE5E7B">
              <w:rPr>
                <w:rFonts w:ascii="Arial Narrow" w:hAnsi="Arial Narrow" w:cs="Arial"/>
                <w:b/>
                <w:bCs/>
                <w:color w:val="000000" w:themeColor="text1"/>
                <w:sz w:val="20"/>
                <w:szCs w:val="20"/>
                <w:lang w:val="en-PH"/>
              </w:rPr>
              <w:t>29.40%</w:t>
            </w:r>
          </w:p>
        </w:tc>
        <w:tc>
          <w:tcPr>
            <w:tcW w:w="1182" w:type="dxa"/>
            <w:tcBorders>
              <w:top w:val="nil"/>
              <w:left w:val="nil"/>
              <w:bottom w:val="nil"/>
              <w:right w:val="nil"/>
            </w:tcBorders>
            <w:shd w:val="clear" w:color="auto" w:fill="auto"/>
            <w:noWrap/>
            <w:hideMark/>
          </w:tcPr>
          <w:p w14:paraId="18BE1ABB" w14:textId="77777777" w:rsidR="0079208A" w:rsidRPr="00DE5E7B" w:rsidRDefault="0079208A" w:rsidP="0079208A">
            <w:pPr>
              <w:ind w:left="0"/>
              <w:jc w:val="right"/>
              <w:rPr>
                <w:rFonts w:ascii="Arial Narrow" w:hAnsi="Arial Narrow" w:cs="Arial"/>
                <w:b/>
                <w:bCs/>
                <w:color w:val="000000" w:themeColor="text1"/>
                <w:sz w:val="20"/>
                <w:szCs w:val="20"/>
                <w:lang w:val="en-PH"/>
              </w:rPr>
            </w:pPr>
            <w:r w:rsidRPr="00DE5E7B">
              <w:rPr>
                <w:rFonts w:ascii="Arial Narrow" w:hAnsi="Arial Narrow" w:cs="Arial"/>
                <w:b/>
                <w:bCs/>
                <w:color w:val="000000" w:themeColor="text1"/>
                <w:sz w:val="20"/>
                <w:szCs w:val="20"/>
                <w:lang w:val="en-PH"/>
              </w:rPr>
              <w:t>29.40%</w:t>
            </w:r>
          </w:p>
        </w:tc>
        <w:tc>
          <w:tcPr>
            <w:tcW w:w="1182" w:type="dxa"/>
            <w:tcBorders>
              <w:top w:val="nil"/>
              <w:left w:val="nil"/>
              <w:bottom w:val="nil"/>
              <w:right w:val="nil"/>
            </w:tcBorders>
            <w:shd w:val="clear" w:color="auto" w:fill="auto"/>
            <w:noWrap/>
            <w:hideMark/>
          </w:tcPr>
          <w:p w14:paraId="50144988" w14:textId="77777777" w:rsidR="0079208A" w:rsidRPr="00DE5E7B" w:rsidRDefault="0079208A" w:rsidP="0079208A">
            <w:pPr>
              <w:ind w:left="0"/>
              <w:jc w:val="right"/>
              <w:rPr>
                <w:rFonts w:ascii="Arial Narrow" w:hAnsi="Arial Narrow" w:cs="Arial"/>
                <w:b/>
                <w:bCs/>
                <w:color w:val="000000" w:themeColor="text1"/>
                <w:sz w:val="20"/>
                <w:szCs w:val="20"/>
                <w:lang w:val="en-PH"/>
              </w:rPr>
            </w:pPr>
            <w:r w:rsidRPr="00DE5E7B">
              <w:rPr>
                <w:rFonts w:ascii="Arial Narrow" w:hAnsi="Arial Narrow" w:cs="Arial"/>
                <w:b/>
                <w:bCs/>
                <w:color w:val="000000" w:themeColor="text1"/>
                <w:sz w:val="20"/>
                <w:szCs w:val="20"/>
                <w:lang w:val="en-PH"/>
              </w:rPr>
              <w:t>29.40%</w:t>
            </w:r>
          </w:p>
        </w:tc>
        <w:tc>
          <w:tcPr>
            <w:tcW w:w="1235" w:type="dxa"/>
            <w:tcBorders>
              <w:top w:val="nil"/>
              <w:left w:val="nil"/>
              <w:bottom w:val="nil"/>
              <w:right w:val="nil"/>
            </w:tcBorders>
            <w:shd w:val="clear" w:color="auto" w:fill="auto"/>
            <w:noWrap/>
            <w:hideMark/>
          </w:tcPr>
          <w:p w14:paraId="3555B8D4" w14:textId="77777777" w:rsidR="0079208A" w:rsidRPr="00DE5E7B" w:rsidRDefault="0079208A" w:rsidP="0079208A">
            <w:pPr>
              <w:ind w:left="0"/>
              <w:jc w:val="right"/>
              <w:rPr>
                <w:rFonts w:ascii="Arial Narrow" w:hAnsi="Arial Narrow" w:cs="Arial"/>
                <w:b/>
                <w:bCs/>
                <w:color w:val="000000" w:themeColor="text1"/>
                <w:sz w:val="20"/>
                <w:szCs w:val="20"/>
                <w:lang w:val="en-PH"/>
              </w:rPr>
            </w:pPr>
            <w:r w:rsidRPr="00DE5E7B">
              <w:rPr>
                <w:rFonts w:ascii="Arial Narrow" w:hAnsi="Arial Narrow" w:cs="Arial"/>
                <w:b/>
                <w:bCs/>
                <w:color w:val="000000" w:themeColor="text1"/>
                <w:sz w:val="20"/>
                <w:szCs w:val="20"/>
                <w:lang w:val="en-PH"/>
              </w:rPr>
              <w:t>29.40%</w:t>
            </w:r>
          </w:p>
        </w:tc>
        <w:tc>
          <w:tcPr>
            <w:tcW w:w="1385" w:type="dxa"/>
            <w:tcBorders>
              <w:top w:val="nil"/>
              <w:left w:val="nil"/>
              <w:bottom w:val="nil"/>
              <w:right w:val="nil"/>
            </w:tcBorders>
            <w:shd w:val="clear" w:color="auto" w:fill="auto"/>
            <w:noWrap/>
            <w:hideMark/>
          </w:tcPr>
          <w:p w14:paraId="34A06F5D" w14:textId="77777777" w:rsidR="0079208A" w:rsidRPr="00DE5E7B" w:rsidRDefault="0079208A" w:rsidP="00DE5E7B">
            <w:pPr>
              <w:ind w:left="0" w:right="-90"/>
              <w:jc w:val="right"/>
              <w:rPr>
                <w:rFonts w:ascii="Arial Narrow" w:hAnsi="Arial Narrow" w:cs="Arial"/>
                <w:b/>
                <w:bCs/>
                <w:color w:val="000000" w:themeColor="text1"/>
                <w:sz w:val="20"/>
                <w:szCs w:val="20"/>
                <w:lang w:val="en-PH"/>
              </w:rPr>
            </w:pPr>
            <w:r w:rsidRPr="00DE5E7B">
              <w:rPr>
                <w:rFonts w:ascii="Arial Narrow" w:hAnsi="Arial Narrow" w:cs="Arial"/>
                <w:b/>
                <w:bCs/>
                <w:color w:val="000000" w:themeColor="text1"/>
                <w:sz w:val="20"/>
                <w:szCs w:val="20"/>
                <w:lang w:val="en-PH"/>
              </w:rPr>
              <w:t>29.40%</w:t>
            </w:r>
          </w:p>
        </w:tc>
      </w:tr>
      <w:tr w:rsidR="0079208A" w:rsidRPr="00DE5E7B" w14:paraId="41366A8D" w14:textId="77777777" w:rsidTr="00DE5E7B">
        <w:trPr>
          <w:trHeight w:val="186"/>
        </w:trPr>
        <w:tc>
          <w:tcPr>
            <w:tcW w:w="2546" w:type="dxa"/>
            <w:tcBorders>
              <w:top w:val="nil"/>
              <w:left w:val="nil"/>
              <w:bottom w:val="nil"/>
              <w:right w:val="nil"/>
            </w:tcBorders>
            <w:shd w:val="clear" w:color="auto" w:fill="auto"/>
            <w:noWrap/>
            <w:hideMark/>
          </w:tcPr>
          <w:p w14:paraId="007530C3" w14:textId="77777777" w:rsidR="0079208A" w:rsidRPr="00DE5E7B" w:rsidRDefault="0079208A" w:rsidP="0079208A">
            <w:pPr>
              <w:ind w:left="0" w:hanging="90"/>
              <w:jc w:val="left"/>
              <w:rPr>
                <w:rFonts w:ascii="Arial Narrow" w:hAnsi="Arial Narrow" w:cs="Arial"/>
                <w:color w:val="000000" w:themeColor="text1"/>
                <w:sz w:val="20"/>
                <w:szCs w:val="20"/>
                <w:lang w:val="en-PH"/>
              </w:rPr>
            </w:pPr>
            <w:r w:rsidRPr="00DE5E7B">
              <w:rPr>
                <w:rFonts w:ascii="Arial Narrow" w:hAnsi="Arial Narrow" w:cs="Arial"/>
                <w:color w:val="000000" w:themeColor="text1"/>
                <w:sz w:val="20"/>
                <w:szCs w:val="20"/>
                <w:lang w:val="en-PH"/>
              </w:rPr>
              <w:t>Education</w:t>
            </w:r>
          </w:p>
        </w:tc>
        <w:tc>
          <w:tcPr>
            <w:tcW w:w="1123" w:type="dxa"/>
            <w:tcBorders>
              <w:top w:val="nil"/>
              <w:left w:val="nil"/>
              <w:bottom w:val="nil"/>
              <w:right w:val="nil"/>
            </w:tcBorders>
            <w:shd w:val="clear" w:color="auto" w:fill="auto"/>
            <w:noWrap/>
            <w:hideMark/>
          </w:tcPr>
          <w:p w14:paraId="2ADC519A" w14:textId="77777777" w:rsidR="0079208A" w:rsidRPr="00DE5E7B" w:rsidRDefault="0079208A" w:rsidP="0079208A">
            <w:pPr>
              <w:ind w:left="0"/>
              <w:jc w:val="right"/>
              <w:rPr>
                <w:rFonts w:ascii="Arial Narrow" w:hAnsi="Arial Narrow" w:cs="Arial"/>
                <w:color w:val="000000" w:themeColor="text1"/>
                <w:sz w:val="20"/>
                <w:szCs w:val="20"/>
                <w:lang w:val="en-PH"/>
              </w:rPr>
            </w:pPr>
            <w:r w:rsidRPr="00DE5E7B">
              <w:rPr>
                <w:rFonts w:ascii="Arial Narrow" w:hAnsi="Arial Narrow" w:cs="Arial"/>
                <w:color w:val="000000" w:themeColor="text1"/>
                <w:sz w:val="20"/>
                <w:szCs w:val="20"/>
                <w:lang w:val="en-PH"/>
              </w:rPr>
              <w:t>1.00%</w:t>
            </w:r>
          </w:p>
        </w:tc>
        <w:tc>
          <w:tcPr>
            <w:tcW w:w="1182" w:type="dxa"/>
            <w:tcBorders>
              <w:top w:val="nil"/>
              <w:left w:val="nil"/>
              <w:bottom w:val="nil"/>
              <w:right w:val="nil"/>
            </w:tcBorders>
            <w:shd w:val="clear" w:color="auto" w:fill="auto"/>
            <w:noWrap/>
            <w:hideMark/>
          </w:tcPr>
          <w:p w14:paraId="61335397" w14:textId="77777777" w:rsidR="0079208A" w:rsidRPr="00DE5E7B" w:rsidRDefault="0079208A" w:rsidP="0079208A">
            <w:pPr>
              <w:ind w:left="0"/>
              <w:jc w:val="right"/>
              <w:rPr>
                <w:rFonts w:ascii="Arial Narrow" w:hAnsi="Arial Narrow" w:cs="Arial"/>
                <w:color w:val="000000" w:themeColor="text1"/>
                <w:sz w:val="20"/>
                <w:szCs w:val="20"/>
                <w:lang w:val="en-PH"/>
              </w:rPr>
            </w:pPr>
            <w:r w:rsidRPr="00DE5E7B">
              <w:rPr>
                <w:rFonts w:ascii="Arial Narrow" w:hAnsi="Arial Narrow" w:cs="Arial"/>
                <w:color w:val="000000" w:themeColor="text1"/>
                <w:sz w:val="20"/>
                <w:szCs w:val="20"/>
                <w:lang w:val="en-PH"/>
              </w:rPr>
              <w:t>1.00%</w:t>
            </w:r>
          </w:p>
        </w:tc>
        <w:tc>
          <w:tcPr>
            <w:tcW w:w="1182" w:type="dxa"/>
            <w:tcBorders>
              <w:top w:val="nil"/>
              <w:left w:val="nil"/>
              <w:bottom w:val="nil"/>
              <w:right w:val="nil"/>
            </w:tcBorders>
            <w:shd w:val="clear" w:color="auto" w:fill="auto"/>
            <w:noWrap/>
            <w:hideMark/>
          </w:tcPr>
          <w:p w14:paraId="091ABA9D" w14:textId="77777777" w:rsidR="0079208A" w:rsidRPr="00DE5E7B" w:rsidRDefault="0079208A" w:rsidP="0079208A">
            <w:pPr>
              <w:ind w:left="0"/>
              <w:jc w:val="right"/>
              <w:rPr>
                <w:rFonts w:ascii="Arial Narrow" w:hAnsi="Arial Narrow" w:cs="Arial"/>
                <w:color w:val="000000" w:themeColor="text1"/>
                <w:sz w:val="20"/>
                <w:szCs w:val="20"/>
                <w:lang w:val="en-PH"/>
              </w:rPr>
            </w:pPr>
            <w:r w:rsidRPr="00DE5E7B">
              <w:rPr>
                <w:rFonts w:ascii="Arial Narrow" w:hAnsi="Arial Narrow" w:cs="Arial"/>
                <w:color w:val="000000" w:themeColor="text1"/>
                <w:sz w:val="20"/>
                <w:szCs w:val="20"/>
                <w:lang w:val="en-PH"/>
              </w:rPr>
              <w:t>1.00%</w:t>
            </w:r>
          </w:p>
        </w:tc>
        <w:tc>
          <w:tcPr>
            <w:tcW w:w="1235" w:type="dxa"/>
            <w:tcBorders>
              <w:top w:val="nil"/>
              <w:left w:val="nil"/>
              <w:bottom w:val="nil"/>
              <w:right w:val="nil"/>
            </w:tcBorders>
            <w:shd w:val="clear" w:color="auto" w:fill="auto"/>
            <w:noWrap/>
            <w:hideMark/>
          </w:tcPr>
          <w:p w14:paraId="6175C04C" w14:textId="77777777" w:rsidR="0079208A" w:rsidRPr="00DE5E7B" w:rsidRDefault="0079208A" w:rsidP="0079208A">
            <w:pPr>
              <w:ind w:left="0"/>
              <w:jc w:val="right"/>
              <w:rPr>
                <w:rFonts w:ascii="Arial Narrow" w:hAnsi="Arial Narrow" w:cs="Arial"/>
                <w:color w:val="000000" w:themeColor="text1"/>
                <w:sz w:val="20"/>
                <w:szCs w:val="20"/>
                <w:lang w:val="en-PH"/>
              </w:rPr>
            </w:pPr>
            <w:r w:rsidRPr="00DE5E7B">
              <w:rPr>
                <w:rFonts w:ascii="Arial Narrow" w:hAnsi="Arial Narrow" w:cs="Arial"/>
                <w:color w:val="000000" w:themeColor="text1"/>
                <w:sz w:val="20"/>
                <w:szCs w:val="20"/>
                <w:lang w:val="en-PH"/>
              </w:rPr>
              <w:t>1.00%</w:t>
            </w:r>
          </w:p>
        </w:tc>
        <w:tc>
          <w:tcPr>
            <w:tcW w:w="1385" w:type="dxa"/>
            <w:tcBorders>
              <w:top w:val="nil"/>
              <w:left w:val="nil"/>
              <w:bottom w:val="nil"/>
              <w:right w:val="nil"/>
            </w:tcBorders>
            <w:shd w:val="clear" w:color="auto" w:fill="auto"/>
            <w:noWrap/>
            <w:hideMark/>
          </w:tcPr>
          <w:p w14:paraId="7D5F0457" w14:textId="77777777" w:rsidR="0079208A" w:rsidRPr="00DE5E7B" w:rsidRDefault="0079208A" w:rsidP="00DE5E7B">
            <w:pPr>
              <w:ind w:left="0" w:right="-90"/>
              <w:jc w:val="right"/>
              <w:rPr>
                <w:rFonts w:ascii="Arial Narrow" w:hAnsi="Arial Narrow" w:cs="Arial"/>
                <w:color w:val="000000" w:themeColor="text1"/>
                <w:sz w:val="20"/>
                <w:szCs w:val="20"/>
                <w:lang w:val="en-PH"/>
              </w:rPr>
            </w:pPr>
            <w:r w:rsidRPr="00DE5E7B">
              <w:rPr>
                <w:rFonts w:ascii="Arial Narrow" w:hAnsi="Arial Narrow" w:cs="Arial"/>
                <w:color w:val="000000" w:themeColor="text1"/>
                <w:sz w:val="20"/>
                <w:szCs w:val="20"/>
                <w:lang w:val="en-PH"/>
              </w:rPr>
              <w:t>1.00%</w:t>
            </w:r>
          </w:p>
        </w:tc>
      </w:tr>
      <w:tr w:rsidR="0079208A" w:rsidRPr="00DE5E7B" w14:paraId="317497A9" w14:textId="77777777" w:rsidTr="00DE5E7B">
        <w:trPr>
          <w:trHeight w:val="225"/>
        </w:trPr>
        <w:tc>
          <w:tcPr>
            <w:tcW w:w="2546" w:type="dxa"/>
            <w:tcBorders>
              <w:top w:val="nil"/>
              <w:left w:val="nil"/>
              <w:bottom w:val="nil"/>
              <w:right w:val="nil"/>
            </w:tcBorders>
            <w:shd w:val="clear" w:color="auto" w:fill="auto"/>
            <w:noWrap/>
            <w:hideMark/>
          </w:tcPr>
          <w:p w14:paraId="5FA28142" w14:textId="77777777" w:rsidR="0079208A" w:rsidRPr="00DE5E7B" w:rsidRDefault="0079208A" w:rsidP="0079208A">
            <w:pPr>
              <w:ind w:left="0" w:hanging="90"/>
              <w:jc w:val="left"/>
              <w:rPr>
                <w:rFonts w:ascii="Arial Narrow" w:hAnsi="Arial Narrow" w:cs="Arial"/>
                <w:color w:val="000000" w:themeColor="text1"/>
                <w:sz w:val="20"/>
                <w:szCs w:val="20"/>
                <w:lang w:val="en-PH"/>
              </w:rPr>
            </w:pPr>
            <w:r w:rsidRPr="00DE5E7B">
              <w:rPr>
                <w:rFonts w:ascii="Arial Narrow" w:hAnsi="Arial Narrow" w:cs="Arial"/>
                <w:color w:val="000000" w:themeColor="text1"/>
                <w:sz w:val="20"/>
                <w:szCs w:val="20"/>
                <w:lang w:val="en-PH"/>
              </w:rPr>
              <w:t>Direct Cost – ELA</w:t>
            </w:r>
          </w:p>
        </w:tc>
        <w:tc>
          <w:tcPr>
            <w:tcW w:w="1123" w:type="dxa"/>
            <w:tcBorders>
              <w:top w:val="nil"/>
              <w:left w:val="nil"/>
              <w:bottom w:val="nil"/>
              <w:right w:val="nil"/>
            </w:tcBorders>
            <w:shd w:val="clear" w:color="auto" w:fill="auto"/>
            <w:noWrap/>
            <w:hideMark/>
          </w:tcPr>
          <w:p w14:paraId="7845993D" w14:textId="77777777" w:rsidR="0079208A" w:rsidRPr="00DE5E7B" w:rsidRDefault="0079208A" w:rsidP="0079208A">
            <w:pPr>
              <w:ind w:left="0"/>
              <w:jc w:val="right"/>
              <w:rPr>
                <w:rFonts w:ascii="Arial Narrow" w:hAnsi="Arial Narrow" w:cs="Arial"/>
                <w:color w:val="000000" w:themeColor="text1"/>
                <w:sz w:val="20"/>
                <w:szCs w:val="20"/>
                <w:lang w:val="en-PH"/>
              </w:rPr>
            </w:pPr>
            <w:r w:rsidRPr="00DE5E7B">
              <w:rPr>
                <w:rFonts w:ascii="Arial Narrow" w:hAnsi="Arial Narrow" w:cs="Arial"/>
                <w:color w:val="000000" w:themeColor="text1"/>
                <w:sz w:val="20"/>
                <w:szCs w:val="20"/>
                <w:lang w:val="en-PH"/>
              </w:rPr>
              <w:t>2.02%</w:t>
            </w:r>
          </w:p>
        </w:tc>
        <w:tc>
          <w:tcPr>
            <w:tcW w:w="1182" w:type="dxa"/>
            <w:tcBorders>
              <w:top w:val="nil"/>
              <w:left w:val="nil"/>
              <w:bottom w:val="nil"/>
              <w:right w:val="nil"/>
            </w:tcBorders>
            <w:shd w:val="clear" w:color="auto" w:fill="auto"/>
            <w:noWrap/>
            <w:hideMark/>
          </w:tcPr>
          <w:p w14:paraId="2114B851" w14:textId="77777777" w:rsidR="0079208A" w:rsidRPr="00DE5E7B" w:rsidRDefault="0079208A" w:rsidP="0079208A">
            <w:pPr>
              <w:ind w:left="0"/>
              <w:jc w:val="right"/>
              <w:rPr>
                <w:rFonts w:ascii="Arial Narrow" w:hAnsi="Arial Narrow" w:cs="Arial"/>
                <w:color w:val="000000" w:themeColor="text1"/>
                <w:sz w:val="20"/>
                <w:szCs w:val="20"/>
                <w:lang w:val="en-PH"/>
              </w:rPr>
            </w:pPr>
            <w:r w:rsidRPr="00DE5E7B">
              <w:rPr>
                <w:rFonts w:ascii="Arial Narrow" w:hAnsi="Arial Narrow" w:cs="Arial"/>
                <w:color w:val="000000" w:themeColor="text1"/>
                <w:sz w:val="20"/>
                <w:szCs w:val="20"/>
                <w:lang w:val="en-PH"/>
              </w:rPr>
              <w:t>2.02%</w:t>
            </w:r>
          </w:p>
        </w:tc>
        <w:tc>
          <w:tcPr>
            <w:tcW w:w="1182" w:type="dxa"/>
            <w:tcBorders>
              <w:top w:val="nil"/>
              <w:left w:val="nil"/>
              <w:bottom w:val="nil"/>
              <w:right w:val="nil"/>
            </w:tcBorders>
            <w:shd w:val="clear" w:color="auto" w:fill="auto"/>
            <w:noWrap/>
            <w:hideMark/>
          </w:tcPr>
          <w:p w14:paraId="32EFB858" w14:textId="77777777" w:rsidR="0079208A" w:rsidRPr="00DE5E7B" w:rsidRDefault="0079208A" w:rsidP="0079208A">
            <w:pPr>
              <w:ind w:left="0"/>
              <w:jc w:val="right"/>
              <w:rPr>
                <w:rFonts w:ascii="Arial Narrow" w:hAnsi="Arial Narrow" w:cs="Arial"/>
                <w:color w:val="000000" w:themeColor="text1"/>
                <w:sz w:val="20"/>
                <w:szCs w:val="20"/>
                <w:lang w:val="en-PH"/>
              </w:rPr>
            </w:pPr>
            <w:r w:rsidRPr="00DE5E7B">
              <w:rPr>
                <w:rFonts w:ascii="Arial Narrow" w:hAnsi="Arial Narrow" w:cs="Arial"/>
                <w:color w:val="000000" w:themeColor="text1"/>
                <w:sz w:val="20"/>
                <w:szCs w:val="20"/>
                <w:lang w:val="en-PH"/>
              </w:rPr>
              <w:t>2.02%</w:t>
            </w:r>
          </w:p>
        </w:tc>
        <w:tc>
          <w:tcPr>
            <w:tcW w:w="1235" w:type="dxa"/>
            <w:tcBorders>
              <w:top w:val="nil"/>
              <w:left w:val="nil"/>
              <w:bottom w:val="nil"/>
              <w:right w:val="nil"/>
            </w:tcBorders>
            <w:shd w:val="clear" w:color="auto" w:fill="auto"/>
            <w:noWrap/>
            <w:hideMark/>
          </w:tcPr>
          <w:p w14:paraId="317FD54C" w14:textId="77777777" w:rsidR="0079208A" w:rsidRPr="00DE5E7B" w:rsidRDefault="0079208A" w:rsidP="0079208A">
            <w:pPr>
              <w:ind w:left="0"/>
              <w:jc w:val="right"/>
              <w:rPr>
                <w:rFonts w:ascii="Arial Narrow" w:hAnsi="Arial Narrow" w:cs="Arial"/>
                <w:color w:val="000000" w:themeColor="text1"/>
                <w:sz w:val="20"/>
                <w:szCs w:val="20"/>
                <w:lang w:val="en-PH"/>
              </w:rPr>
            </w:pPr>
            <w:r w:rsidRPr="00DE5E7B">
              <w:rPr>
                <w:rFonts w:ascii="Arial Narrow" w:hAnsi="Arial Narrow" w:cs="Arial"/>
                <w:color w:val="000000" w:themeColor="text1"/>
                <w:sz w:val="20"/>
                <w:szCs w:val="20"/>
                <w:lang w:val="en-PH"/>
              </w:rPr>
              <w:t>2.02%</w:t>
            </w:r>
          </w:p>
        </w:tc>
        <w:tc>
          <w:tcPr>
            <w:tcW w:w="1385" w:type="dxa"/>
            <w:tcBorders>
              <w:top w:val="nil"/>
              <w:left w:val="nil"/>
              <w:bottom w:val="nil"/>
              <w:right w:val="nil"/>
            </w:tcBorders>
            <w:shd w:val="clear" w:color="auto" w:fill="auto"/>
            <w:noWrap/>
            <w:hideMark/>
          </w:tcPr>
          <w:p w14:paraId="10268979" w14:textId="77777777" w:rsidR="0079208A" w:rsidRPr="00DE5E7B" w:rsidRDefault="0079208A" w:rsidP="00DE5E7B">
            <w:pPr>
              <w:ind w:left="0" w:right="-90"/>
              <w:jc w:val="right"/>
              <w:rPr>
                <w:rFonts w:ascii="Arial Narrow" w:hAnsi="Arial Narrow" w:cs="Arial"/>
                <w:color w:val="000000" w:themeColor="text1"/>
                <w:sz w:val="20"/>
                <w:szCs w:val="20"/>
                <w:lang w:val="en-PH"/>
              </w:rPr>
            </w:pPr>
            <w:r w:rsidRPr="00DE5E7B">
              <w:rPr>
                <w:rFonts w:ascii="Arial Narrow" w:hAnsi="Arial Narrow" w:cs="Arial"/>
                <w:color w:val="000000" w:themeColor="text1"/>
                <w:sz w:val="20"/>
                <w:szCs w:val="20"/>
                <w:lang w:val="en-PH"/>
              </w:rPr>
              <w:t>2.02%</w:t>
            </w:r>
          </w:p>
        </w:tc>
      </w:tr>
      <w:tr w:rsidR="0079208A" w:rsidRPr="00DE5E7B" w14:paraId="09651B5C" w14:textId="77777777" w:rsidTr="00DE5E7B">
        <w:trPr>
          <w:trHeight w:val="225"/>
        </w:trPr>
        <w:tc>
          <w:tcPr>
            <w:tcW w:w="2546" w:type="dxa"/>
            <w:tcBorders>
              <w:top w:val="nil"/>
              <w:left w:val="nil"/>
              <w:bottom w:val="nil"/>
              <w:right w:val="nil"/>
            </w:tcBorders>
            <w:shd w:val="clear" w:color="auto" w:fill="auto"/>
            <w:noWrap/>
          </w:tcPr>
          <w:p w14:paraId="60EB0AC8" w14:textId="77777777" w:rsidR="0079208A" w:rsidRPr="00DE5E7B" w:rsidRDefault="0079208A" w:rsidP="0079208A">
            <w:pPr>
              <w:ind w:left="0" w:hanging="90"/>
              <w:jc w:val="left"/>
              <w:rPr>
                <w:rFonts w:ascii="Arial Narrow" w:hAnsi="Arial Narrow" w:cs="Arial"/>
                <w:color w:val="000000" w:themeColor="text1"/>
                <w:sz w:val="20"/>
                <w:szCs w:val="20"/>
                <w:lang w:val="en-PH"/>
              </w:rPr>
            </w:pPr>
            <w:r w:rsidRPr="00DE5E7B">
              <w:rPr>
                <w:rFonts w:ascii="Arial Narrow" w:hAnsi="Arial Narrow" w:cs="Arial"/>
                <w:color w:val="000000" w:themeColor="text1"/>
                <w:sz w:val="20"/>
                <w:szCs w:val="20"/>
                <w:lang w:val="en-PH"/>
              </w:rPr>
              <w:t>Documentary Stamp Tax</w:t>
            </w:r>
          </w:p>
        </w:tc>
        <w:tc>
          <w:tcPr>
            <w:tcW w:w="1123" w:type="dxa"/>
            <w:tcBorders>
              <w:top w:val="nil"/>
              <w:left w:val="nil"/>
              <w:bottom w:val="nil"/>
              <w:right w:val="nil"/>
            </w:tcBorders>
            <w:shd w:val="clear" w:color="auto" w:fill="auto"/>
            <w:noWrap/>
          </w:tcPr>
          <w:p w14:paraId="34097313" w14:textId="77777777" w:rsidR="0079208A" w:rsidRPr="00DE5E7B" w:rsidRDefault="0079208A" w:rsidP="0079208A">
            <w:pPr>
              <w:ind w:left="0"/>
              <w:jc w:val="right"/>
              <w:rPr>
                <w:rFonts w:ascii="Arial Narrow" w:hAnsi="Arial Narrow" w:cs="Arial"/>
                <w:color w:val="000000" w:themeColor="text1"/>
                <w:sz w:val="20"/>
                <w:szCs w:val="20"/>
                <w:lang w:val="en-PH"/>
              </w:rPr>
            </w:pPr>
            <w:r w:rsidRPr="00DE5E7B">
              <w:rPr>
                <w:rFonts w:ascii="Arial Narrow" w:hAnsi="Arial Narrow" w:cs="Arial"/>
                <w:color w:val="000000" w:themeColor="text1"/>
                <w:sz w:val="20"/>
                <w:szCs w:val="20"/>
                <w:lang w:val="en-PH"/>
              </w:rPr>
              <w:t>20.00%</w:t>
            </w:r>
          </w:p>
        </w:tc>
        <w:tc>
          <w:tcPr>
            <w:tcW w:w="1182" w:type="dxa"/>
            <w:tcBorders>
              <w:top w:val="nil"/>
              <w:left w:val="nil"/>
              <w:bottom w:val="nil"/>
              <w:right w:val="nil"/>
            </w:tcBorders>
            <w:shd w:val="clear" w:color="auto" w:fill="auto"/>
            <w:noWrap/>
          </w:tcPr>
          <w:p w14:paraId="69906043" w14:textId="77777777" w:rsidR="0079208A" w:rsidRPr="00DE5E7B" w:rsidRDefault="0079208A" w:rsidP="0079208A">
            <w:pPr>
              <w:ind w:left="0"/>
              <w:jc w:val="right"/>
              <w:rPr>
                <w:rFonts w:ascii="Arial Narrow" w:hAnsi="Arial Narrow" w:cs="Arial"/>
                <w:color w:val="000000" w:themeColor="text1"/>
                <w:sz w:val="20"/>
                <w:szCs w:val="20"/>
                <w:lang w:val="en-PH"/>
              </w:rPr>
            </w:pPr>
            <w:r w:rsidRPr="00DE5E7B">
              <w:rPr>
                <w:rFonts w:ascii="Arial Narrow" w:hAnsi="Arial Narrow" w:cs="Arial"/>
                <w:color w:val="000000" w:themeColor="text1"/>
                <w:sz w:val="20"/>
                <w:szCs w:val="20"/>
                <w:lang w:val="en-PH"/>
              </w:rPr>
              <w:t>20.00%</w:t>
            </w:r>
          </w:p>
        </w:tc>
        <w:tc>
          <w:tcPr>
            <w:tcW w:w="1182" w:type="dxa"/>
            <w:tcBorders>
              <w:top w:val="nil"/>
              <w:left w:val="nil"/>
              <w:bottom w:val="nil"/>
              <w:right w:val="nil"/>
            </w:tcBorders>
            <w:shd w:val="clear" w:color="auto" w:fill="auto"/>
            <w:noWrap/>
          </w:tcPr>
          <w:p w14:paraId="62C9EBAA" w14:textId="77777777" w:rsidR="0079208A" w:rsidRPr="00DE5E7B" w:rsidRDefault="0079208A" w:rsidP="0079208A">
            <w:pPr>
              <w:ind w:left="0"/>
              <w:jc w:val="right"/>
              <w:rPr>
                <w:rFonts w:ascii="Arial Narrow" w:hAnsi="Arial Narrow" w:cs="Arial"/>
                <w:color w:val="000000" w:themeColor="text1"/>
                <w:sz w:val="20"/>
                <w:szCs w:val="20"/>
                <w:lang w:val="en-PH"/>
              </w:rPr>
            </w:pPr>
            <w:r w:rsidRPr="00DE5E7B">
              <w:rPr>
                <w:rFonts w:ascii="Arial Narrow" w:hAnsi="Arial Narrow" w:cs="Arial"/>
                <w:color w:val="000000" w:themeColor="text1"/>
                <w:sz w:val="20"/>
                <w:szCs w:val="20"/>
                <w:lang w:val="en-PH"/>
              </w:rPr>
              <w:t>20.00%</w:t>
            </w:r>
          </w:p>
        </w:tc>
        <w:tc>
          <w:tcPr>
            <w:tcW w:w="1235" w:type="dxa"/>
            <w:tcBorders>
              <w:top w:val="nil"/>
              <w:left w:val="nil"/>
              <w:bottom w:val="nil"/>
              <w:right w:val="nil"/>
            </w:tcBorders>
            <w:shd w:val="clear" w:color="auto" w:fill="auto"/>
            <w:noWrap/>
          </w:tcPr>
          <w:p w14:paraId="7762C63A" w14:textId="77777777" w:rsidR="0079208A" w:rsidRPr="00DE5E7B" w:rsidRDefault="0079208A" w:rsidP="0079208A">
            <w:pPr>
              <w:ind w:left="0"/>
              <w:jc w:val="right"/>
              <w:rPr>
                <w:rFonts w:ascii="Arial Narrow" w:hAnsi="Arial Narrow" w:cs="Arial"/>
                <w:color w:val="000000" w:themeColor="text1"/>
                <w:sz w:val="20"/>
                <w:szCs w:val="20"/>
                <w:lang w:val="en-PH"/>
              </w:rPr>
            </w:pPr>
            <w:r w:rsidRPr="00DE5E7B">
              <w:rPr>
                <w:rFonts w:ascii="Arial Narrow" w:hAnsi="Arial Narrow" w:cs="Arial"/>
                <w:color w:val="000000" w:themeColor="text1"/>
                <w:sz w:val="20"/>
                <w:szCs w:val="20"/>
                <w:lang w:val="en-PH"/>
              </w:rPr>
              <w:t>20.00%</w:t>
            </w:r>
          </w:p>
        </w:tc>
        <w:tc>
          <w:tcPr>
            <w:tcW w:w="1385" w:type="dxa"/>
            <w:tcBorders>
              <w:top w:val="nil"/>
              <w:left w:val="nil"/>
              <w:bottom w:val="nil"/>
              <w:right w:val="nil"/>
            </w:tcBorders>
            <w:shd w:val="clear" w:color="auto" w:fill="auto"/>
            <w:noWrap/>
          </w:tcPr>
          <w:p w14:paraId="235B875F" w14:textId="77777777" w:rsidR="0079208A" w:rsidRPr="00DE5E7B" w:rsidRDefault="0079208A" w:rsidP="00DE5E7B">
            <w:pPr>
              <w:ind w:left="0" w:right="-90"/>
              <w:jc w:val="right"/>
              <w:rPr>
                <w:rFonts w:ascii="Arial Narrow" w:hAnsi="Arial Narrow" w:cs="Arial"/>
                <w:color w:val="000000" w:themeColor="text1"/>
                <w:sz w:val="20"/>
                <w:szCs w:val="20"/>
                <w:lang w:val="en-PH"/>
              </w:rPr>
            </w:pPr>
            <w:r w:rsidRPr="00DE5E7B">
              <w:rPr>
                <w:rFonts w:ascii="Arial Narrow" w:hAnsi="Arial Narrow" w:cs="Arial"/>
                <w:color w:val="000000" w:themeColor="text1"/>
                <w:sz w:val="20"/>
                <w:szCs w:val="20"/>
                <w:lang w:val="en-PH"/>
              </w:rPr>
              <w:t>20.00%</w:t>
            </w:r>
          </w:p>
        </w:tc>
      </w:tr>
      <w:tr w:rsidR="0079208A" w:rsidRPr="00DE5E7B" w14:paraId="76A0A5F0" w14:textId="77777777" w:rsidTr="00DE5E7B">
        <w:trPr>
          <w:trHeight w:val="274"/>
        </w:trPr>
        <w:tc>
          <w:tcPr>
            <w:tcW w:w="2546" w:type="dxa"/>
            <w:tcBorders>
              <w:top w:val="nil"/>
              <w:left w:val="nil"/>
              <w:bottom w:val="nil"/>
              <w:right w:val="nil"/>
            </w:tcBorders>
            <w:shd w:val="clear" w:color="auto" w:fill="auto"/>
            <w:noWrap/>
            <w:hideMark/>
          </w:tcPr>
          <w:p w14:paraId="06D755B8" w14:textId="77777777" w:rsidR="0079208A" w:rsidRPr="00DE5E7B" w:rsidRDefault="0079208A" w:rsidP="0079208A">
            <w:pPr>
              <w:ind w:left="0" w:hanging="90"/>
              <w:jc w:val="left"/>
              <w:rPr>
                <w:rFonts w:ascii="Arial Narrow" w:hAnsi="Arial Narrow" w:cs="Arial"/>
                <w:color w:val="000000" w:themeColor="text1"/>
                <w:sz w:val="20"/>
                <w:szCs w:val="20"/>
                <w:lang w:val="en-PH"/>
              </w:rPr>
            </w:pPr>
            <w:r w:rsidRPr="00DE5E7B">
              <w:rPr>
                <w:rFonts w:ascii="Arial Narrow" w:hAnsi="Arial Narrow" w:cs="Arial"/>
                <w:color w:val="000000" w:themeColor="text1"/>
                <w:sz w:val="20"/>
                <w:szCs w:val="20"/>
                <w:lang w:val="en-PH"/>
              </w:rPr>
              <w:t>Financial Assistance</w:t>
            </w:r>
          </w:p>
        </w:tc>
        <w:tc>
          <w:tcPr>
            <w:tcW w:w="1123" w:type="dxa"/>
            <w:tcBorders>
              <w:top w:val="nil"/>
              <w:left w:val="nil"/>
              <w:bottom w:val="nil"/>
              <w:right w:val="nil"/>
            </w:tcBorders>
            <w:shd w:val="clear" w:color="auto" w:fill="auto"/>
            <w:noWrap/>
            <w:hideMark/>
          </w:tcPr>
          <w:p w14:paraId="0E00174A" w14:textId="77777777" w:rsidR="0079208A" w:rsidRPr="00DE5E7B" w:rsidRDefault="0079208A" w:rsidP="0079208A">
            <w:pPr>
              <w:ind w:left="0"/>
              <w:jc w:val="right"/>
              <w:rPr>
                <w:rFonts w:ascii="Arial Narrow" w:hAnsi="Arial Narrow" w:cs="Arial"/>
                <w:color w:val="000000" w:themeColor="text1"/>
                <w:sz w:val="20"/>
                <w:szCs w:val="20"/>
                <w:lang w:val="en-PH"/>
              </w:rPr>
            </w:pPr>
            <w:r w:rsidRPr="00DE5E7B">
              <w:rPr>
                <w:rFonts w:ascii="Arial Narrow" w:hAnsi="Arial Narrow" w:cs="Arial"/>
                <w:color w:val="000000" w:themeColor="text1"/>
                <w:sz w:val="20"/>
                <w:szCs w:val="20"/>
                <w:lang w:val="en-PH"/>
              </w:rPr>
              <w:t>6.38%</w:t>
            </w:r>
          </w:p>
        </w:tc>
        <w:tc>
          <w:tcPr>
            <w:tcW w:w="1182" w:type="dxa"/>
            <w:tcBorders>
              <w:top w:val="nil"/>
              <w:left w:val="nil"/>
              <w:bottom w:val="nil"/>
              <w:right w:val="nil"/>
            </w:tcBorders>
            <w:shd w:val="clear" w:color="auto" w:fill="auto"/>
            <w:noWrap/>
            <w:hideMark/>
          </w:tcPr>
          <w:p w14:paraId="348A2223" w14:textId="77777777" w:rsidR="0079208A" w:rsidRPr="00DE5E7B" w:rsidRDefault="0079208A" w:rsidP="0079208A">
            <w:pPr>
              <w:ind w:left="0"/>
              <w:jc w:val="right"/>
              <w:rPr>
                <w:rFonts w:ascii="Arial Narrow" w:hAnsi="Arial Narrow" w:cs="Arial"/>
                <w:color w:val="000000" w:themeColor="text1"/>
                <w:sz w:val="20"/>
                <w:szCs w:val="20"/>
                <w:lang w:val="en-PH"/>
              </w:rPr>
            </w:pPr>
            <w:r w:rsidRPr="00DE5E7B">
              <w:rPr>
                <w:rFonts w:ascii="Arial Narrow" w:hAnsi="Arial Narrow" w:cs="Arial"/>
                <w:color w:val="000000" w:themeColor="text1"/>
                <w:sz w:val="20"/>
                <w:szCs w:val="20"/>
                <w:lang w:val="en-PH"/>
              </w:rPr>
              <w:t>6.38%</w:t>
            </w:r>
          </w:p>
        </w:tc>
        <w:tc>
          <w:tcPr>
            <w:tcW w:w="1182" w:type="dxa"/>
            <w:tcBorders>
              <w:top w:val="nil"/>
              <w:left w:val="nil"/>
              <w:bottom w:val="nil"/>
              <w:right w:val="nil"/>
            </w:tcBorders>
            <w:shd w:val="clear" w:color="auto" w:fill="auto"/>
            <w:noWrap/>
            <w:hideMark/>
          </w:tcPr>
          <w:p w14:paraId="324C71A8" w14:textId="77777777" w:rsidR="0079208A" w:rsidRPr="00DE5E7B" w:rsidRDefault="0079208A" w:rsidP="0079208A">
            <w:pPr>
              <w:ind w:left="0"/>
              <w:jc w:val="right"/>
              <w:rPr>
                <w:rFonts w:ascii="Arial Narrow" w:hAnsi="Arial Narrow" w:cs="Arial"/>
                <w:color w:val="000000" w:themeColor="text1"/>
                <w:sz w:val="20"/>
                <w:szCs w:val="20"/>
                <w:lang w:val="en-PH"/>
              </w:rPr>
            </w:pPr>
            <w:r w:rsidRPr="00DE5E7B">
              <w:rPr>
                <w:rFonts w:ascii="Arial Narrow" w:hAnsi="Arial Narrow" w:cs="Arial"/>
                <w:color w:val="000000" w:themeColor="text1"/>
                <w:sz w:val="20"/>
                <w:szCs w:val="20"/>
                <w:lang w:val="en-PH"/>
              </w:rPr>
              <w:t>6.38%</w:t>
            </w:r>
          </w:p>
        </w:tc>
        <w:tc>
          <w:tcPr>
            <w:tcW w:w="1235" w:type="dxa"/>
            <w:tcBorders>
              <w:top w:val="nil"/>
              <w:left w:val="nil"/>
              <w:bottom w:val="nil"/>
              <w:right w:val="nil"/>
            </w:tcBorders>
            <w:shd w:val="clear" w:color="auto" w:fill="auto"/>
            <w:noWrap/>
            <w:hideMark/>
          </w:tcPr>
          <w:p w14:paraId="39B104CF" w14:textId="77777777" w:rsidR="0079208A" w:rsidRPr="00DE5E7B" w:rsidRDefault="0079208A" w:rsidP="0079208A">
            <w:pPr>
              <w:ind w:left="0"/>
              <w:jc w:val="right"/>
              <w:rPr>
                <w:rFonts w:ascii="Arial Narrow" w:hAnsi="Arial Narrow" w:cs="Arial"/>
                <w:color w:val="000000" w:themeColor="text1"/>
                <w:sz w:val="20"/>
                <w:szCs w:val="20"/>
                <w:lang w:val="en-PH"/>
              </w:rPr>
            </w:pPr>
            <w:r w:rsidRPr="00DE5E7B">
              <w:rPr>
                <w:rFonts w:ascii="Arial Narrow" w:hAnsi="Arial Narrow" w:cs="Arial"/>
                <w:color w:val="000000" w:themeColor="text1"/>
                <w:sz w:val="20"/>
                <w:szCs w:val="20"/>
                <w:lang w:val="en-PH"/>
              </w:rPr>
              <w:t>6.38%</w:t>
            </w:r>
          </w:p>
        </w:tc>
        <w:tc>
          <w:tcPr>
            <w:tcW w:w="1385" w:type="dxa"/>
            <w:tcBorders>
              <w:top w:val="nil"/>
              <w:left w:val="nil"/>
              <w:bottom w:val="nil"/>
              <w:right w:val="nil"/>
            </w:tcBorders>
            <w:shd w:val="clear" w:color="auto" w:fill="auto"/>
            <w:noWrap/>
            <w:hideMark/>
          </w:tcPr>
          <w:p w14:paraId="57125DAD" w14:textId="77777777" w:rsidR="0079208A" w:rsidRPr="00DE5E7B" w:rsidRDefault="0079208A" w:rsidP="00DE5E7B">
            <w:pPr>
              <w:ind w:left="0" w:right="-90"/>
              <w:jc w:val="right"/>
              <w:rPr>
                <w:rFonts w:ascii="Arial Narrow" w:hAnsi="Arial Narrow" w:cs="Arial"/>
                <w:color w:val="000000" w:themeColor="text1"/>
                <w:sz w:val="20"/>
                <w:szCs w:val="20"/>
                <w:lang w:val="en-PH"/>
              </w:rPr>
            </w:pPr>
            <w:r w:rsidRPr="00DE5E7B">
              <w:rPr>
                <w:rFonts w:ascii="Arial Narrow" w:hAnsi="Arial Narrow" w:cs="Arial"/>
                <w:color w:val="000000" w:themeColor="text1"/>
                <w:sz w:val="20"/>
                <w:szCs w:val="20"/>
                <w:lang w:val="en-PH"/>
              </w:rPr>
              <w:t>6.38%</w:t>
            </w:r>
          </w:p>
        </w:tc>
      </w:tr>
      <w:tr w:rsidR="0079208A" w:rsidRPr="00DE5E7B" w14:paraId="070935A1" w14:textId="77777777" w:rsidTr="00DE5E7B">
        <w:trPr>
          <w:trHeight w:val="329"/>
        </w:trPr>
        <w:tc>
          <w:tcPr>
            <w:tcW w:w="2546" w:type="dxa"/>
            <w:tcBorders>
              <w:top w:val="nil"/>
              <w:left w:val="nil"/>
              <w:bottom w:val="nil"/>
              <w:right w:val="nil"/>
            </w:tcBorders>
            <w:shd w:val="clear" w:color="auto" w:fill="auto"/>
            <w:noWrap/>
            <w:hideMark/>
          </w:tcPr>
          <w:p w14:paraId="0C0ADE34" w14:textId="77777777" w:rsidR="0079208A" w:rsidRPr="00DE5E7B" w:rsidRDefault="0079208A" w:rsidP="0079208A">
            <w:pPr>
              <w:ind w:left="0" w:hanging="90"/>
              <w:jc w:val="left"/>
              <w:rPr>
                <w:rFonts w:ascii="Arial Narrow" w:hAnsi="Arial Narrow" w:cs="Arial"/>
                <w:color w:val="000000" w:themeColor="text1"/>
                <w:sz w:val="20"/>
                <w:szCs w:val="20"/>
                <w:lang w:val="en-PH"/>
              </w:rPr>
            </w:pPr>
          </w:p>
        </w:tc>
        <w:tc>
          <w:tcPr>
            <w:tcW w:w="1123" w:type="dxa"/>
            <w:tcBorders>
              <w:top w:val="nil"/>
              <w:left w:val="nil"/>
              <w:bottom w:val="nil"/>
              <w:right w:val="nil"/>
            </w:tcBorders>
            <w:shd w:val="clear" w:color="auto" w:fill="auto"/>
            <w:noWrap/>
            <w:hideMark/>
          </w:tcPr>
          <w:p w14:paraId="17FB27AA" w14:textId="77777777" w:rsidR="0079208A" w:rsidRPr="00DE5E7B" w:rsidRDefault="0079208A" w:rsidP="0079208A">
            <w:pPr>
              <w:ind w:left="0"/>
              <w:jc w:val="right"/>
              <w:rPr>
                <w:rFonts w:ascii="Arial Narrow" w:hAnsi="Arial Narrow" w:cs="Arial"/>
                <w:color w:val="000000" w:themeColor="text1"/>
                <w:sz w:val="20"/>
                <w:szCs w:val="20"/>
                <w:lang w:val="en-PH"/>
              </w:rPr>
            </w:pPr>
          </w:p>
        </w:tc>
        <w:tc>
          <w:tcPr>
            <w:tcW w:w="1182" w:type="dxa"/>
            <w:tcBorders>
              <w:top w:val="nil"/>
              <w:left w:val="nil"/>
              <w:bottom w:val="nil"/>
              <w:right w:val="nil"/>
            </w:tcBorders>
            <w:shd w:val="clear" w:color="auto" w:fill="auto"/>
            <w:noWrap/>
            <w:hideMark/>
          </w:tcPr>
          <w:p w14:paraId="192D7622" w14:textId="77777777" w:rsidR="0079208A" w:rsidRPr="00DE5E7B" w:rsidRDefault="0079208A" w:rsidP="0079208A">
            <w:pPr>
              <w:ind w:left="0"/>
              <w:jc w:val="right"/>
              <w:rPr>
                <w:rFonts w:ascii="Arial Narrow" w:hAnsi="Arial Narrow" w:cs="Arial"/>
                <w:color w:val="000000" w:themeColor="text1"/>
                <w:sz w:val="20"/>
                <w:szCs w:val="20"/>
                <w:lang w:val="en-PH"/>
              </w:rPr>
            </w:pPr>
          </w:p>
        </w:tc>
        <w:tc>
          <w:tcPr>
            <w:tcW w:w="1182" w:type="dxa"/>
            <w:tcBorders>
              <w:top w:val="nil"/>
              <w:left w:val="nil"/>
              <w:bottom w:val="nil"/>
              <w:right w:val="nil"/>
            </w:tcBorders>
            <w:shd w:val="clear" w:color="auto" w:fill="auto"/>
            <w:noWrap/>
            <w:hideMark/>
          </w:tcPr>
          <w:p w14:paraId="0019B3DF" w14:textId="77777777" w:rsidR="0079208A" w:rsidRPr="00DE5E7B" w:rsidRDefault="0079208A" w:rsidP="0079208A">
            <w:pPr>
              <w:ind w:left="0"/>
              <w:jc w:val="right"/>
              <w:rPr>
                <w:rFonts w:ascii="Arial Narrow" w:hAnsi="Arial Narrow" w:cs="Arial"/>
                <w:color w:val="000000" w:themeColor="text1"/>
                <w:sz w:val="20"/>
                <w:szCs w:val="20"/>
                <w:lang w:val="en-PH"/>
              </w:rPr>
            </w:pPr>
          </w:p>
        </w:tc>
        <w:tc>
          <w:tcPr>
            <w:tcW w:w="1235" w:type="dxa"/>
            <w:tcBorders>
              <w:top w:val="nil"/>
              <w:left w:val="nil"/>
              <w:bottom w:val="nil"/>
              <w:right w:val="nil"/>
            </w:tcBorders>
            <w:shd w:val="clear" w:color="auto" w:fill="auto"/>
            <w:noWrap/>
            <w:hideMark/>
          </w:tcPr>
          <w:p w14:paraId="75162A5B" w14:textId="77777777" w:rsidR="0079208A" w:rsidRPr="00DE5E7B" w:rsidRDefault="0079208A" w:rsidP="0079208A">
            <w:pPr>
              <w:ind w:left="0"/>
              <w:jc w:val="right"/>
              <w:rPr>
                <w:rFonts w:ascii="Arial Narrow" w:hAnsi="Arial Narrow" w:cs="Arial"/>
                <w:color w:val="000000" w:themeColor="text1"/>
                <w:sz w:val="20"/>
                <w:szCs w:val="20"/>
                <w:lang w:val="en-PH"/>
              </w:rPr>
            </w:pPr>
          </w:p>
        </w:tc>
        <w:tc>
          <w:tcPr>
            <w:tcW w:w="1385" w:type="dxa"/>
            <w:tcBorders>
              <w:top w:val="nil"/>
              <w:left w:val="nil"/>
              <w:bottom w:val="nil"/>
              <w:right w:val="nil"/>
            </w:tcBorders>
            <w:shd w:val="clear" w:color="auto" w:fill="auto"/>
            <w:noWrap/>
            <w:hideMark/>
          </w:tcPr>
          <w:p w14:paraId="6E63D5AD" w14:textId="77777777" w:rsidR="0079208A" w:rsidRPr="00DE5E7B" w:rsidRDefault="0079208A" w:rsidP="00DE5E7B">
            <w:pPr>
              <w:ind w:left="0" w:right="-90"/>
              <w:jc w:val="right"/>
              <w:rPr>
                <w:rFonts w:ascii="Arial Narrow" w:hAnsi="Arial Narrow" w:cs="Arial"/>
                <w:color w:val="000000" w:themeColor="text1"/>
                <w:sz w:val="20"/>
                <w:szCs w:val="20"/>
                <w:lang w:val="en-PH"/>
              </w:rPr>
            </w:pPr>
          </w:p>
        </w:tc>
      </w:tr>
      <w:tr w:rsidR="0079208A" w:rsidRPr="00DE5E7B" w14:paraId="4D6822B2" w14:textId="77777777" w:rsidTr="00DE5E7B">
        <w:trPr>
          <w:trHeight w:val="78"/>
        </w:trPr>
        <w:tc>
          <w:tcPr>
            <w:tcW w:w="2546" w:type="dxa"/>
            <w:tcBorders>
              <w:top w:val="nil"/>
              <w:left w:val="nil"/>
              <w:bottom w:val="nil"/>
              <w:right w:val="nil"/>
            </w:tcBorders>
            <w:shd w:val="clear" w:color="auto" w:fill="auto"/>
            <w:noWrap/>
            <w:hideMark/>
          </w:tcPr>
          <w:p w14:paraId="075B04A2" w14:textId="77777777" w:rsidR="0079208A" w:rsidRPr="00DE5E7B" w:rsidRDefault="0079208A" w:rsidP="0079208A">
            <w:pPr>
              <w:ind w:left="0" w:hanging="90"/>
              <w:jc w:val="left"/>
              <w:rPr>
                <w:rFonts w:ascii="Arial Narrow" w:hAnsi="Arial Narrow" w:cs="Arial"/>
                <w:b/>
                <w:bCs/>
                <w:color w:val="000000" w:themeColor="text1"/>
                <w:sz w:val="20"/>
                <w:szCs w:val="20"/>
                <w:lang w:val="en-PH"/>
              </w:rPr>
            </w:pPr>
            <w:r w:rsidRPr="00DE5E7B">
              <w:rPr>
                <w:rFonts w:ascii="Arial Narrow" w:hAnsi="Arial Narrow" w:cs="Arial"/>
                <w:b/>
                <w:bCs/>
                <w:color w:val="000000" w:themeColor="text1"/>
                <w:sz w:val="20"/>
                <w:szCs w:val="20"/>
                <w:lang w:val="en-PH"/>
              </w:rPr>
              <w:t>III. Operating Fund  (15% of NR)</w:t>
            </w:r>
          </w:p>
        </w:tc>
        <w:tc>
          <w:tcPr>
            <w:tcW w:w="1123" w:type="dxa"/>
            <w:tcBorders>
              <w:top w:val="nil"/>
              <w:left w:val="nil"/>
              <w:bottom w:val="nil"/>
              <w:right w:val="nil"/>
            </w:tcBorders>
            <w:shd w:val="clear" w:color="auto" w:fill="auto"/>
            <w:noWrap/>
            <w:hideMark/>
          </w:tcPr>
          <w:p w14:paraId="49CD7598" w14:textId="77777777" w:rsidR="0079208A" w:rsidRPr="00DE5E7B" w:rsidRDefault="0079208A" w:rsidP="0079208A">
            <w:pPr>
              <w:ind w:left="0"/>
              <w:jc w:val="right"/>
              <w:rPr>
                <w:rFonts w:ascii="Arial Narrow" w:hAnsi="Arial Narrow" w:cs="Arial"/>
                <w:b/>
                <w:bCs/>
                <w:color w:val="000000" w:themeColor="text1"/>
                <w:sz w:val="20"/>
                <w:szCs w:val="20"/>
                <w:lang w:val="en-PH"/>
              </w:rPr>
            </w:pPr>
            <w:r w:rsidRPr="00DE5E7B">
              <w:rPr>
                <w:rFonts w:ascii="Arial Narrow" w:hAnsi="Arial Narrow" w:cs="Arial"/>
                <w:b/>
                <w:bCs/>
                <w:color w:val="000000" w:themeColor="text1"/>
                <w:sz w:val="20"/>
                <w:szCs w:val="20"/>
                <w:lang w:val="en-PH"/>
              </w:rPr>
              <w:t>14.70%</w:t>
            </w:r>
          </w:p>
        </w:tc>
        <w:tc>
          <w:tcPr>
            <w:tcW w:w="1182" w:type="dxa"/>
            <w:tcBorders>
              <w:top w:val="nil"/>
              <w:left w:val="nil"/>
              <w:bottom w:val="nil"/>
              <w:right w:val="nil"/>
            </w:tcBorders>
            <w:shd w:val="clear" w:color="auto" w:fill="auto"/>
            <w:noWrap/>
            <w:hideMark/>
          </w:tcPr>
          <w:p w14:paraId="6A2531A4" w14:textId="77777777" w:rsidR="0079208A" w:rsidRPr="00DE5E7B" w:rsidRDefault="0079208A" w:rsidP="0079208A">
            <w:pPr>
              <w:ind w:left="0"/>
              <w:jc w:val="right"/>
              <w:rPr>
                <w:rFonts w:ascii="Arial Narrow" w:hAnsi="Arial Narrow" w:cs="Arial"/>
                <w:b/>
                <w:bCs/>
                <w:color w:val="000000" w:themeColor="text1"/>
                <w:sz w:val="20"/>
                <w:szCs w:val="20"/>
                <w:lang w:val="en-PH"/>
              </w:rPr>
            </w:pPr>
            <w:r w:rsidRPr="00DE5E7B">
              <w:rPr>
                <w:rFonts w:ascii="Arial Narrow" w:hAnsi="Arial Narrow" w:cs="Arial"/>
                <w:b/>
                <w:bCs/>
                <w:color w:val="000000" w:themeColor="text1"/>
                <w:sz w:val="20"/>
                <w:szCs w:val="20"/>
                <w:lang w:val="en-PH"/>
              </w:rPr>
              <w:t>14.70%</w:t>
            </w:r>
          </w:p>
        </w:tc>
        <w:tc>
          <w:tcPr>
            <w:tcW w:w="1182" w:type="dxa"/>
            <w:tcBorders>
              <w:top w:val="nil"/>
              <w:left w:val="nil"/>
              <w:bottom w:val="nil"/>
              <w:right w:val="nil"/>
            </w:tcBorders>
            <w:shd w:val="clear" w:color="auto" w:fill="auto"/>
            <w:noWrap/>
            <w:hideMark/>
          </w:tcPr>
          <w:p w14:paraId="2FEE5039" w14:textId="77777777" w:rsidR="0079208A" w:rsidRPr="00DE5E7B" w:rsidRDefault="0079208A" w:rsidP="0079208A">
            <w:pPr>
              <w:ind w:left="0"/>
              <w:jc w:val="right"/>
              <w:rPr>
                <w:rFonts w:ascii="Arial Narrow" w:hAnsi="Arial Narrow" w:cs="Arial"/>
                <w:b/>
                <w:bCs/>
                <w:color w:val="000000" w:themeColor="text1"/>
                <w:sz w:val="20"/>
                <w:szCs w:val="20"/>
                <w:lang w:val="en-PH"/>
              </w:rPr>
            </w:pPr>
            <w:r w:rsidRPr="00DE5E7B">
              <w:rPr>
                <w:rFonts w:ascii="Arial Narrow" w:hAnsi="Arial Narrow" w:cs="Arial"/>
                <w:b/>
                <w:bCs/>
                <w:color w:val="000000" w:themeColor="text1"/>
                <w:sz w:val="20"/>
                <w:szCs w:val="20"/>
                <w:lang w:val="en-PH"/>
              </w:rPr>
              <w:t>14.70%</w:t>
            </w:r>
          </w:p>
        </w:tc>
        <w:tc>
          <w:tcPr>
            <w:tcW w:w="1235" w:type="dxa"/>
            <w:tcBorders>
              <w:top w:val="nil"/>
              <w:left w:val="nil"/>
              <w:bottom w:val="nil"/>
              <w:right w:val="nil"/>
            </w:tcBorders>
            <w:shd w:val="clear" w:color="auto" w:fill="auto"/>
            <w:noWrap/>
            <w:hideMark/>
          </w:tcPr>
          <w:p w14:paraId="648866E8" w14:textId="77777777" w:rsidR="0079208A" w:rsidRPr="00DE5E7B" w:rsidRDefault="0079208A" w:rsidP="0079208A">
            <w:pPr>
              <w:ind w:left="0"/>
              <w:jc w:val="right"/>
              <w:rPr>
                <w:rFonts w:ascii="Arial Narrow" w:hAnsi="Arial Narrow" w:cs="Arial"/>
                <w:b/>
                <w:bCs/>
                <w:color w:val="000000" w:themeColor="text1"/>
                <w:sz w:val="20"/>
                <w:szCs w:val="20"/>
                <w:lang w:val="en-PH"/>
              </w:rPr>
            </w:pPr>
            <w:r w:rsidRPr="00DE5E7B">
              <w:rPr>
                <w:rFonts w:ascii="Arial Narrow" w:hAnsi="Arial Narrow" w:cs="Arial"/>
                <w:b/>
                <w:bCs/>
                <w:color w:val="000000" w:themeColor="text1"/>
                <w:sz w:val="20"/>
                <w:szCs w:val="20"/>
                <w:lang w:val="en-PH"/>
              </w:rPr>
              <w:t>14.70%</w:t>
            </w:r>
          </w:p>
        </w:tc>
        <w:tc>
          <w:tcPr>
            <w:tcW w:w="1385" w:type="dxa"/>
            <w:tcBorders>
              <w:top w:val="nil"/>
              <w:left w:val="nil"/>
              <w:bottom w:val="nil"/>
              <w:right w:val="nil"/>
            </w:tcBorders>
            <w:shd w:val="clear" w:color="auto" w:fill="auto"/>
            <w:noWrap/>
            <w:hideMark/>
          </w:tcPr>
          <w:p w14:paraId="5FE0C811" w14:textId="77777777" w:rsidR="0079208A" w:rsidRPr="00DE5E7B" w:rsidRDefault="0079208A" w:rsidP="00DE5E7B">
            <w:pPr>
              <w:ind w:left="0" w:right="-90"/>
              <w:jc w:val="right"/>
              <w:rPr>
                <w:rFonts w:ascii="Arial Narrow" w:hAnsi="Arial Narrow" w:cs="Arial"/>
                <w:b/>
                <w:bCs/>
                <w:color w:val="000000" w:themeColor="text1"/>
                <w:sz w:val="20"/>
                <w:szCs w:val="20"/>
                <w:lang w:val="en-PH"/>
              </w:rPr>
            </w:pPr>
            <w:r w:rsidRPr="00DE5E7B">
              <w:rPr>
                <w:rFonts w:ascii="Arial Narrow" w:hAnsi="Arial Narrow" w:cs="Arial"/>
                <w:b/>
                <w:bCs/>
                <w:color w:val="000000" w:themeColor="text1"/>
                <w:sz w:val="20"/>
                <w:szCs w:val="20"/>
                <w:lang w:val="en-PH"/>
              </w:rPr>
              <w:t>14.70%</w:t>
            </w:r>
          </w:p>
        </w:tc>
      </w:tr>
      <w:tr w:rsidR="0079208A" w:rsidRPr="00DE5E7B" w14:paraId="50FC4845" w14:textId="77777777" w:rsidTr="00DE5E7B">
        <w:trPr>
          <w:trHeight w:val="254"/>
        </w:trPr>
        <w:tc>
          <w:tcPr>
            <w:tcW w:w="2546" w:type="dxa"/>
            <w:tcBorders>
              <w:top w:val="nil"/>
              <w:left w:val="nil"/>
              <w:right w:val="nil"/>
            </w:tcBorders>
            <w:shd w:val="clear" w:color="auto" w:fill="auto"/>
            <w:noWrap/>
            <w:hideMark/>
          </w:tcPr>
          <w:p w14:paraId="2F07DD6F" w14:textId="77777777" w:rsidR="0079208A" w:rsidRPr="00DE5E7B" w:rsidRDefault="0079208A" w:rsidP="0079208A">
            <w:pPr>
              <w:ind w:left="0" w:hanging="90"/>
              <w:jc w:val="left"/>
              <w:rPr>
                <w:rFonts w:ascii="Arial Narrow" w:hAnsi="Arial Narrow" w:cs="Arial"/>
                <w:color w:val="000000" w:themeColor="text1"/>
                <w:sz w:val="20"/>
                <w:szCs w:val="20"/>
                <w:lang w:val="en-PH"/>
              </w:rPr>
            </w:pPr>
            <w:r w:rsidRPr="00DE5E7B">
              <w:rPr>
                <w:rFonts w:ascii="Arial Narrow" w:hAnsi="Arial Narrow" w:cs="Arial"/>
                <w:color w:val="000000" w:themeColor="text1"/>
                <w:sz w:val="20"/>
                <w:szCs w:val="20"/>
                <w:lang w:val="en-PH"/>
              </w:rPr>
              <w:t>Direct Cost – ELA</w:t>
            </w:r>
          </w:p>
        </w:tc>
        <w:tc>
          <w:tcPr>
            <w:tcW w:w="1123" w:type="dxa"/>
            <w:tcBorders>
              <w:top w:val="nil"/>
              <w:left w:val="nil"/>
              <w:right w:val="nil"/>
            </w:tcBorders>
            <w:shd w:val="clear" w:color="auto" w:fill="auto"/>
            <w:noWrap/>
            <w:hideMark/>
          </w:tcPr>
          <w:p w14:paraId="5BC6ABD6" w14:textId="77777777" w:rsidR="0079208A" w:rsidRPr="00DE5E7B" w:rsidRDefault="0079208A" w:rsidP="0079208A">
            <w:pPr>
              <w:ind w:left="0"/>
              <w:jc w:val="right"/>
              <w:rPr>
                <w:rFonts w:ascii="Arial Narrow" w:hAnsi="Arial Narrow" w:cs="Arial"/>
                <w:color w:val="000000" w:themeColor="text1"/>
                <w:sz w:val="20"/>
                <w:szCs w:val="20"/>
                <w:lang w:val="en-PH"/>
              </w:rPr>
            </w:pPr>
            <w:r w:rsidRPr="00DE5E7B">
              <w:rPr>
                <w:rFonts w:ascii="Arial Narrow" w:hAnsi="Arial Narrow" w:cs="Arial"/>
                <w:color w:val="000000" w:themeColor="text1"/>
                <w:sz w:val="20"/>
                <w:szCs w:val="20"/>
                <w:lang w:val="en-PH"/>
              </w:rPr>
              <w:t>1.01%</w:t>
            </w:r>
          </w:p>
        </w:tc>
        <w:tc>
          <w:tcPr>
            <w:tcW w:w="1182" w:type="dxa"/>
            <w:tcBorders>
              <w:top w:val="nil"/>
              <w:left w:val="nil"/>
              <w:right w:val="nil"/>
            </w:tcBorders>
            <w:shd w:val="clear" w:color="auto" w:fill="auto"/>
            <w:noWrap/>
            <w:hideMark/>
          </w:tcPr>
          <w:p w14:paraId="6FBB19A4" w14:textId="77777777" w:rsidR="0079208A" w:rsidRPr="00DE5E7B" w:rsidRDefault="0079208A" w:rsidP="0079208A">
            <w:pPr>
              <w:ind w:left="0"/>
              <w:jc w:val="right"/>
              <w:rPr>
                <w:rFonts w:ascii="Arial Narrow" w:hAnsi="Arial Narrow" w:cs="Arial"/>
                <w:color w:val="000000" w:themeColor="text1"/>
                <w:sz w:val="20"/>
                <w:szCs w:val="20"/>
                <w:lang w:val="en-PH"/>
              </w:rPr>
            </w:pPr>
            <w:r w:rsidRPr="00DE5E7B">
              <w:rPr>
                <w:rFonts w:ascii="Arial Narrow" w:hAnsi="Arial Narrow" w:cs="Arial"/>
                <w:color w:val="000000" w:themeColor="text1"/>
                <w:sz w:val="20"/>
                <w:szCs w:val="20"/>
                <w:lang w:val="en-PH"/>
              </w:rPr>
              <w:t>1.01%</w:t>
            </w:r>
          </w:p>
        </w:tc>
        <w:tc>
          <w:tcPr>
            <w:tcW w:w="1182" w:type="dxa"/>
            <w:tcBorders>
              <w:top w:val="nil"/>
              <w:left w:val="nil"/>
              <w:right w:val="nil"/>
            </w:tcBorders>
            <w:shd w:val="clear" w:color="auto" w:fill="auto"/>
            <w:noWrap/>
            <w:hideMark/>
          </w:tcPr>
          <w:p w14:paraId="77D38DCE" w14:textId="77777777" w:rsidR="0079208A" w:rsidRPr="00DE5E7B" w:rsidRDefault="0079208A" w:rsidP="0079208A">
            <w:pPr>
              <w:ind w:left="0"/>
              <w:jc w:val="right"/>
              <w:rPr>
                <w:rFonts w:ascii="Arial Narrow" w:hAnsi="Arial Narrow" w:cs="Arial"/>
                <w:color w:val="000000" w:themeColor="text1"/>
                <w:sz w:val="20"/>
                <w:szCs w:val="20"/>
                <w:lang w:val="en-PH"/>
              </w:rPr>
            </w:pPr>
            <w:r w:rsidRPr="00DE5E7B">
              <w:rPr>
                <w:rFonts w:ascii="Arial Narrow" w:hAnsi="Arial Narrow" w:cs="Arial"/>
                <w:color w:val="000000" w:themeColor="text1"/>
                <w:sz w:val="20"/>
                <w:szCs w:val="20"/>
                <w:lang w:val="en-PH"/>
              </w:rPr>
              <w:t>1.01%</w:t>
            </w:r>
          </w:p>
        </w:tc>
        <w:tc>
          <w:tcPr>
            <w:tcW w:w="1235" w:type="dxa"/>
            <w:tcBorders>
              <w:top w:val="nil"/>
              <w:left w:val="nil"/>
              <w:right w:val="nil"/>
            </w:tcBorders>
            <w:shd w:val="clear" w:color="auto" w:fill="auto"/>
            <w:noWrap/>
            <w:hideMark/>
          </w:tcPr>
          <w:p w14:paraId="09F400F7" w14:textId="77777777" w:rsidR="0079208A" w:rsidRPr="00DE5E7B" w:rsidRDefault="0079208A" w:rsidP="0079208A">
            <w:pPr>
              <w:ind w:left="0"/>
              <w:jc w:val="right"/>
              <w:rPr>
                <w:rFonts w:ascii="Arial Narrow" w:hAnsi="Arial Narrow" w:cs="Arial"/>
                <w:color w:val="000000" w:themeColor="text1"/>
                <w:sz w:val="20"/>
                <w:szCs w:val="20"/>
                <w:lang w:val="en-PH"/>
              </w:rPr>
            </w:pPr>
            <w:r w:rsidRPr="00DE5E7B">
              <w:rPr>
                <w:rFonts w:ascii="Arial Narrow" w:hAnsi="Arial Narrow" w:cs="Arial"/>
                <w:color w:val="000000" w:themeColor="text1"/>
                <w:sz w:val="20"/>
                <w:szCs w:val="20"/>
                <w:lang w:val="en-PH"/>
              </w:rPr>
              <w:t>1.01%</w:t>
            </w:r>
          </w:p>
        </w:tc>
        <w:tc>
          <w:tcPr>
            <w:tcW w:w="1385" w:type="dxa"/>
            <w:tcBorders>
              <w:top w:val="nil"/>
              <w:left w:val="nil"/>
              <w:right w:val="nil"/>
            </w:tcBorders>
            <w:shd w:val="clear" w:color="auto" w:fill="auto"/>
            <w:noWrap/>
            <w:hideMark/>
          </w:tcPr>
          <w:p w14:paraId="70D5B136" w14:textId="77777777" w:rsidR="0079208A" w:rsidRPr="00DE5E7B" w:rsidRDefault="0079208A" w:rsidP="00DE5E7B">
            <w:pPr>
              <w:ind w:left="0" w:right="-90"/>
              <w:jc w:val="right"/>
              <w:rPr>
                <w:rFonts w:ascii="Arial Narrow" w:hAnsi="Arial Narrow" w:cs="Arial"/>
                <w:color w:val="000000" w:themeColor="text1"/>
                <w:sz w:val="20"/>
                <w:szCs w:val="20"/>
                <w:lang w:val="en-PH"/>
              </w:rPr>
            </w:pPr>
            <w:r w:rsidRPr="00DE5E7B">
              <w:rPr>
                <w:rFonts w:ascii="Arial Narrow" w:hAnsi="Arial Narrow" w:cs="Arial"/>
                <w:color w:val="000000" w:themeColor="text1"/>
                <w:sz w:val="20"/>
                <w:szCs w:val="20"/>
                <w:lang w:val="en-PH"/>
              </w:rPr>
              <w:t>1.01%</w:t>
            </w:r>
          </w:p>
        </w:tc>
      </w:tr>
      <w:tr w:rsidR="0079208A" w:rsidRPr="00DE5E7B" w14:paraId="2B6ACE12" w14:textId="77777777" w:rsidTr="00DE5E7B">
        <w:trPr>
          <w:trHeight w:val="195"/>
        </w:trPr>
        <w:tc>
          <w:tcPr>
            <w:tcW w:w="2546" w:type="dxa"/>
            <w:tcBorders>
              <w:top w:val="nil"/>
              <w:left w:val="nil"/>
              <w:bottom w:val="single" w:sz="4" w:space="0" w:color="auto"/>
              <w:right w:val="nil"/>
            </w:tcBorders>
            <w:shd w:val="clear" w:color="auto" w:fill="auto"/>
            <w:noWrap/>
            <w:hideMark/>
          </w:tcPr>
          <w:p w14:paraId="796D6F61" w14:textId="77777777" w:rsidR="0079208A" w:rsidRPr="00DE5E7B" w:rsidRDefault="0079208A" w:rsidP="0079208A">
            <w:pPr>
              <w:ind w:left="0" w:hanging="90"/>
              <w:jc w:val="left"/>
              <w:rPr>
                <w:rFonts w:ascii="Arial Narrow" w:hAnsi="Arial Narrow" w:cs="Arial"/>
                <w:color w:val="000000" w:themeColor="text1"/>
                <w:sz w:val="20"/>
                <w:szCs w:val="20"/>
                <w:lang w:val="en-PH"/>
              </w:rPr>
            </w:pPr>
            <w:r w:rsidRPr="00DE5E7B">
              <w:rPr>
                <w:rFonts w:ascii="Arial Narrow" w:hAnsi="Arial Narrow" w:cs="Arial"/>
                <w:color w:val="000000" w:themeColor="text1"/>
                <w:sz w:val="20"/>
                <w:szCs w:val="20"/>
                <w:lang w:val="en-PH"/>
              </w:rPr>
              <w:t>Net Operating Fund</w:t>
            </w:r>
          </w:p>
        </w:tc>
        <w:tc>
          <w:tcPr>
            <w:tcW w:w="1123" w:type="dxa"/>
            <w:tcBorders>
              <w:top w:val="nil"/>
              <w:left w:val="nil"/>
              <w:bottom w:val="single" w:sz="4" w:space="0" w:color="auto"/>
              <w:right w:val="nil"/>
            </w:tcBorders>
            <w:shd w:val="clear" w:color="auto" w:fill="auto"/>
            <w:noWrap/>
            <w:hideMark/>
          </w:tcPr>
          <w:p w14:paraId="7656E727" w14:textId="77777777" w:rsidR="0079208A" w:rsidRPr="00DE5E7B" w:rsidRDefault="0079208A" w:rsidP="0079208A">
            <w:pPr>
              <w:ind w:left="0"/>
              <w:jc w:val="right"/>
              <w:rPr>
                <w:rFonts w:ascii="Arial Narrow" w:hAnsi="Arial Narrow" w:cs="Arial"/>
                <w:color w:val="000000" w:themeColor="text1"/>
                <w:sz w:val="20"/>
                <w:szCs w:val="20"/>
                <w:lang w:val="en-PH"/>
              </w:rPr>
            </w:pPr>
            <w:r w:rsidRPr="00DE5E7B">
              <w:rPr>
                <w:rFonts w:ascii="Arial Narrow" w:hAnsi="Arial Narrow" w:cs="Arial"/>
                <w:color w:val="000000" w:themeColor="text1"/>
                <w:sz w:val="20"/>
                <w:szCs w:val="20"/>
                <w:lang w:val="en-PH"/>
              </w:rPr>
              <w:t>13.69%</w:t>
            </w:r>
          </w:p>
        </w:tc>
        <w:tc>
          <w:tcPr>
            <w:tcW w:w="1182" w:type="dxa"/>
            <w:tcBorders>
              <w:top w:val="nil"/>
              <w:left w:val="nil"/>
              <w:bottom w:val="single" w:sz="4" w:space="0" w:color="auto"/>
              <w:right w:val="nil"/>
            </w:tcBorders>
            <w:shd w:val="clear" w:color="auto" w:fill="auto"/>
            <w:noWrap/>
            <w:hideMark/>
          </w:tcPr>
          <w:p w14:paraId="7EEEBA60" w14:textId="77777777" w:rsidR="0079208A" w:rsidRPr="00DE5E7B" w:rsidRDefault="0079208A" w:rsidP="0079208A">
            <w:pPr>
              <w:ind w:left="0"/>
              <w:jc w:val="right"/>
              <w:rPr>
                <w:rFonts w:ascii="Arial Narrow" w:hAnsi="Arial Narrow" w:cs="Arial"/>
                <w:color w:val="000000" w:themeColor="text1"/>
                <w:sz w:val="20"/>
                <w:szCs w:val="20"/>
                <w:lang w:val="en-PH"/>
              </w:rPr>
            </w:pPr>
            <w:r w:rsidRPr="00DE5E7B">
              <w:rPr>
                <w:rFonts w:ascii="Arial Narrow" w:hAnsi="Arial Narrow" w:cs="Arial"/>
                <w:color w:val="000000" w:themeColor="text1"/>
                <w:sz w:val="20"/>
                <w:szCs w:val="20"/>
                <w:lang w:val="en-PH"/>
              </w:rPr>
              <w:t>13.69%</w:t>
            </w:r>
          </w:p>
        </w:tc>
        <w:tc>
          <w:tcPr>
            <w:tcW w:w="1182" w:type="dxa"/>
            <w:tcBorders>
              <w:top w:val="nil"/>
              <w:left w:val="nil"/>
              <w:bottom w:val="single" w:sz="4" w:space="0" w:color="auto"/>
              <w:right w:val="nil"/>
            </w:tcBorders>
            <w:shd w:val="clear" w:color="auto" w:fill="auto"/>
            <w:noWrap/>
            <w:hideMark/>
          </w:tcPr>
          <w:p w14:paraId="2770F4C8" w14:textId="77777777" w:rsidR="0079208A" w:rsidRPr="00DE5E7B" w:rsidRDefault="0079208A" w:rsidP="0079208A">
            <w:pPr>
              <w:ind w:left="0"/>
              <w:jc w:val="right"/>
              <w:rPr>
                <w:rFonts w:ascii="Arial Narrow" w:hAnsi="Arial Narrow" w:cs="Arial"/>
                <w:color w:val="000000" w:themeColor="text1"/>
                <w:sz w:val="20"/>
                <w:szCs w:val="20"/>
                <w:lang w:val="en-PH"/>
              </w:rPr>
            </w:pPr>
            <w:r w:rsidRPr="00DE5E7B">
              <w:rPr>
                <w:rFonts w:ascii="Arial Narrow" w:hAnsi="Arial Narrow" w:cs="Arial"/>
                <w:color w:val="000000" w:themeColor="text1"/>
                <w:sz w:val="20"/>
                <w:szCs w:val="20"/>
                <w:lang w:val="en-PH"/>
              </w:rPr>
              <w:t>13.69%</w:t>
            </w:r>
          </w:p>
        </w:tc>
        <w:tc>
          <w:tcPr>
            <w:tcW w:w="1235" w:type="dxa"/>
            <w:tcBorders>
              <w:top w:val="nil"/>
              <w:left w:val="nil"/>
              <w:bottom w:val="single" w:sz="4" w:space="0" w:color="auto"/>
              <w:right w:val="nil"/>
            </w:tcBorders>
            <w:shd w:val="clear" w:color="auto" w:fill="auto"/>
            <w:noWrap/>
            <w:hideMark/>
          </w:tcPr>
          <w:p w14:paraId="336B5288" w14:textId="77777777" w:rsidR="0079208A" w:rsidRPr="00DE5E7B" w:rsidRDefault="0079208A" w:rsidP="0079208A">
            <w:pPr>
              <w:ind w:left="0"/>
              <w:jc w:val="right"/>
              <w:rPr>
                <w:rFonts w:ascii="Arial Narrow" w:hAnsi="Arial Narrow" w:cs="Arial"/>
                <w:color w:val="000000" w:themeColor="text1"/>
                <w:sz w:val="20"/>
                <w:szCs w:val="20"/>
                <w:lang w:val="en-PH"/>
              </w:rPr>
            </w:pPr>
            <w:r w:rsidRPr="00DE5E7B">
              <w:rPr>
                <w:rFonts w:ascii="Arial Narrow" w:hAnsi="Arial Narrow" w:cs="Arial"/>
                <w:color w:val="000000" w:themeColor="text1"/>
                <w:sz w:val="20"/>
                <w:szCs w:val="20"/>
                <w:lang w:val="en-PH"/>
              </w:rPr>
              <w:t>13.69%</w:t>
            </w:r>
          </w:p>
        </w:tc>
        <w:tc>
          <w:tcPr>
            <w:tcW w:w="1385" w:type="dxa"/>
            <w:tcBorders>
              <w:top w:val="nil"/>
              <w:left w:val="nil"/>
              <w:bottom w:val="single" w:sz="4" w:space="0" w:color="auto"/>
              <w:right w:val="nil"/>
            </w:tcBorders>
            <w:shd w:val="clear" w:color="auto" w:fill="auto"/>
            <w:noWrap/>
            <w:hideMark/>
          </w:tcPr>
          <w:p w14:paraId="3749F5E3" w14:textId="77777777" w:rsidR="0079208A" w:rsidRPr="00DE5E7B" w:rsidRDefault="0079208A" w:rsidP="00DE5E7B">
            <w:pPr>
              <w:ind w:left="0" w:right="-90"/>
              <w:jc w:val="right"/>
              <w:rPr>
                <w:rFonts w:ascii="Arial Narrow" w:hAnsi="Arial Narrow" w:cs="Arial"/>
                <w:color w:val="000000" w:themeColor="text1"/>
                <w:sz w:val="20"/>
                <w:szCs w:val="20"/>
                <w:lang w:val="en-PH"/>
              </w:rPr>
            </w:pPr>
            <w:r w:rsidRPr="00DE5E7B">
              <w:rPr>
                <w:rFonts w:ascii="Arial Narrow" w:hAnsi="Arial Narrow" w:cs="Arial"/>
                <w:color w:val="000000" w:themeColor="text1"/>
                <w:sz w:val="20"/>
                <w:szCs w:val="20"/>
                <w:lang w:val="en-PH"/>
              </w:rPr>
              <w:t>13.69%</w:t>
            </w:r>
          </w:p>
        </w:tc>
      </w:tr>
    </w:tbl>
    <w:p w14:paraId="3B7062C1" w14:textId="4ED7E775" w:rsidR="0079208A" w:rsidRPr="009E35ED" w:rsidRDefault="0079208A" w:rsidP="0079208A">
      <w:pPr>
        <w:ind w:left="0"/>
        <w:rPr>
          <w:rFonts w:ascii="Arial" w:hAnsi="Arial" w:cs="Arial"/>
          <w:i/>
          <w:iCs/>
          <w:color w:val="000000" w:themeColor="text1"/>
          <w:sz w:val="20"/>
          <w:szCs w:val="20"/>
        </w:rPr>
      </w:pPr>
      <w:r w:rsidRPr="009E35ED">
        <w:rPr>
          <w:rFonts w:ascii="Arial" w:hAnsi="Arial" w:cs="Arial"/>
          <w:i/>
          <w:iCs/>
          <w:color w:val="000000" w:themeColor="text1"/>
          <w:sz w:val="20"/>
          <w:szCs w:val="20"/>
        </w:rPr>
        <w:t>*Starting January 1, 202</w:t>
      </w:r>
      <w:r w:rsidR="0075630B" w:rsidRPr="009E35ED">
        <w:rPr>
          <w:rFonts w:ascii="Arial" w:hAnsi="Arial" w:cs="Arial"/>
          <w:i/>
          <w:iCs/>
          <w:color w:val="000000" w:themeColor="text1"/>
          <w:sz w:val="20"/>
          <w:szCs w:val="20"/>
        </w:rPr>
        <w:t>2</w:t>
      </w:r>
      <w:r w:rsidRPr="009E35ED">
        <w:rPr>
          <w:rFonts w:ascii="Arial" w:hAnsi="Arial" w:cs="Arial"/>
          <w:i/>
          <w:iCs/>
          <w:color w:val="000000" w:themeColor="text1"/>
          <w:sz w:val="20"/>
          <w:szCs w:val="20"/>
        </w:rPr>
        <w:t xml:space="preserve">, </w:t>
      </w:r>
      <w:r w:rsidR="00F6182B">
        <w:rPr>
          <w:rFonts w:ascii="Arial" w:hAnsi="Arial" w:cs="Arial"/>
          <w:i/>
          <w:iCs/>
          <w:color w:val="000000" w:themeColor="text1"/>
          <w:sz w:val="20"/>
          <w:szCs w:val="20"/>
        </w:rPr>
        <w:t xml:space="preserve">the </w:t>
      </w:r>
      <w:r w:rsidRPr="009E35ED">
        <w:rPr>
          <w:rFonts w:ascii="Arial" w:hAnsi="Arial" w:cs="Arial"/>
          <w:i/>
          <w:iCs/>
          <w:color w:val="000000" w:themeColor="text1"/>
          <w:sz w:val="20"/>
          <w:szCs w:val="20"/>
        </w:rPr>
        <w:t xml:space="preserve">PCSO </w:t>
      </w:r>
      <w:r w:rsidR="0075630B" w:rsidRPr="009E35ED">
        <w:rPr>
          <w:rFonts w:ascii="Arial" w:hAnsi="Arial" w:cs="Arial"/>
          <w:i/>
          <w:iCs/>
          <w:color w:val="000000" w:themeColor="text1"/>
          <w:sz w:val="20"/>
          <w:szCs w:val="20"/>
        </w:rPr>
        <w:t xml:space="preserve">remove the 5% prize fund tax in the revenue allocation as per Letter from </w:t>
      </w:r>
      <w:r w:rsidR="00F6182B">
        <w:rPr>
          <w:rFonts w:ascii="Arial" w:hAnsi="Arial" w:cs="Arial"/>
          <w:i/>
          <w:iCs/>
          <w:color w:val="000000" w:themeColor="text1"/>
          <w:sz w:val="20"/>
          <w:szCs w:val="20"/>
        </w:rPr>
        <w:t xml:space="preserve">the </w:t>
      </w:r>
      <w:r w:rsidR="0075630B" w:rsidRPr="009E35ED">
        <w:rPr>
          <w:rFonts w:ascii="Arial" w:hAnsi="Arial" w:cs="Arial"/>
          <w:i/>
          <w:iCs/>
          <w:color w:val="000000" w:themeColor="text1"/>
          <w:sz w:val="20"/>
          <w:szCs w:val="20"/>
        </w:rPr>
        <w:t xml:space="preserve">DOF that the Prize Fund Tax has already been repealed explicitly under Section 86 of the </w:t>
      </w:r>
      <w:r w:rsidR="005D3346">
        <w:rPr>
          <w:rFonts w:ascii="Arial" w:hAnsi="Arial" w:cs="Arial"/>
          <w:i/>
          <w:iCs/>
          <w:color w:val="000000" w:themeColor="text1"/>
          <w:sz w:val="20"/>
          <w:szCs w:val="20"/>
        </w:rPr>
        <w:t>RA</w:t>
      </w:r>
      <w:r w:rsidR="0075630B" w:rsidRPr="009E35ED">
        <w:rPr>
          <w:rFonts w:ascii="Arial" w:hAnsi="Arial" w:cs="Arial"/>
          <w:i/>
          <w:iCs/>
          <w:color w:val="000000" w:themeColor="text1"/>
          <w:sz w:val="20"/>
          <w:szCs w:val="20"/>
        </w:rPr>
        <w:t xml:space="preserve"> No. 10963 or the TRAIN Law.</w:t>
      </w:r>
    </w:p>
    <w:p w14:paraId="61895443" w14:textId="77777777" w:rsidR="0079208A" w:rsidRDefault="0079208A" w:rsidP="0079208A">
      <w:pPr>
        <w:ind w:left="0"/>
        <w:rPr>
          <w:rFonts w:ascii="Arial" w:hAnsi="Arial" w:cs="Arial"/>
          <w:bCs/>
          <w:color w:val="000000" w:themeColor="text1"/>
          <w:sz w:val="22"/>
          <w:szCs w:val="22"/>
        </w:rPr>
      </w:pPr>
    </w:p>
    <w:p w14:paraId="0DA33F29" w14:textId="77777777" w:rsidR="00DE5E7B" w:rsidRDefault="00DE5E7B" w:rsidP="0079208A">
      <w:pPr>
        <w:ind w:left="0"/>
        <w:rPr>
          <w:rFonts w:ascii="Arial" w:hAnsi="Arial" w:cs="Arial"/>
          <w:bCs/>
          <w:color w:val="000000" w:themeColor="text1"/>
          <w:sz w:val="22"/>
          <w:szCs w:val="22"/>
        </w:rPr>
      </w:pPr>
    </w:p>
    <w:p w14:paraId="4ABAADA8" w14:textId="77777777" w:rsidR="00DE5E7B" w:rsidRDefault="00DE5E7B" w:rsidP="0079208A">
      <w:pPr>
        <w:ind w:left="0"/>
        <w:rPr>
          <w:rFonts w:ascii="Arial" w:hAnsi="Arial" w:cs="Arial"/>
          <w:bCs/>
          <w:color w:val="000000" w:themeColor="text1"/>
          <w:sz w:val="22"/>
          <w:szCs w:val="22"/>
        </w:rPr>
      </w:pPr>
    </w:p>
    <w:p w14:paraId="76A4F4D9" w14:textId="77777777" w:rsidR="00DE5E7B" w:rsidRDefault="00DE5E7B" w:rsidP="0079208A">
      <w:pPr>
        <w:ind w:left="0"/>
        <w:rPr>
          <w:rFonts w:ascii="Arial" w:hAnsi="Arial" w:cs="Arial"/>
          <w:bCs/>
          <w:color w:val="000000" w:themeColor="text1"/>
          <w:sz w:val="22"/>
          <w:szCs w:val="22"/>
        </w:rPr>
      </w:pPr>
    </w:p>
    <w:p w14:paraId="31521B79" w14:textId="77777777" w:rsidR="00DE5E7B" w:rsidRDefault="00DE5E7B" w:rsidP="0079208A">
      <w:pPr>
        <w:ind w:left="0"/>
        <w:rPr>
          <w:rFonts w:ascii="Arial" w:hAnsi="Arial" w:cs="Arial"/>
          <w:bCs/>
          <w:color w:val="000000" w:themeColor="text1"/>
          <w:sz w:val="22"/>
          <w:szCs w:val="22"/>
        </w:rPr>
      </w:pPr>
    </w:p>
    <w:p w14:paraId="35F4C780" w14:textId="77777777" w:rsidR="00DE5E7B" w:rsidRDefault="00DE5E7B" w:rsidP="0079208A">
      <w:pPr>
        <w:ind w:left="0"/>
        <w:rPr>
          <w:rFonts w:ascii="Arial" w:hAnsi="Arial" w:cs="Arial"/>
          <w:bCs/>
          <w:color w:val="000000" w:themeColor="text1"/>
          <w:sz w:val="22"/>
          <w:szCs w:val="22"/>
        </w:rPr>
      </w:pPr>
    </w:p>
    <w:p w14:paraId="0A964B7A" w14:textId="77777777" w:rsidR="00DE5E7B" w:rsidRPr="009E35ED" w:rsidRDefault="00DE5E7B" w:rsidP="0079208A">
      <w:pPr>
        <w:ind w:left="0"/>
        <w:rPr>
          <w:rFonts w:ascii="Arial" w:hAnsi="Arial" w:cs="Arial"/>
          <w:bCs/>
          <w:color w:val="000000" w:themeColor="text1"/>
          <w:sz w:val="22"/>
          <w:szCs w:val="22"/>
        </w:rPr>
      </w:pPr>
    </w:p>
    <w:p w14:paraId="6ABDEE25" w14:textId="6D2DB7CC" w:rsidR="00E91813" w:rsidRPr="009E35ED" w:rsidRDefault="00E91813" w:rsidP="00E91813">
      <w:pPr>
        <w:ind w:left="0"/>
        <w:rPr>
          <w:rFonts w:ascii="Arial" w:hAnsi="Arial" w:cs="Arial"/>
          <w:bCs/>
          <w:color w:val="000000" w:themeColor="text1"/>
          <w:sz w:val="22"/>
          <w:szCs w:val="22"/>
        </w:rPr>
      </w:pPr>
      <w:r w:rsidRPr="009E35ED">
        <w:rPr>
          <w:rFonts w:ascii="Arial" w:hAnsi="Arial" w:cs="Arial"/>
          <w:bCs/>
          <w:color w:val="000000" w:themeColor="text1"/>
          <w:sz w:val="22"/>
          <w:szCs w:val="22"/>
        </w:rPr>
        <w:t xml:space="preserve">Allocation </w:t>
      </w:r>
      <w:r w:rsidRPr="009E35ED">
        <w:rPr>
          <w:rFonts w:ascii="Arial" w:hAnsi="Arial" w:cs="Arial"/>
          <w:iCs/>
          <w:color w:val="000000" w:themeColor="text1"/>
          <w:sz w:val="22"/>
          <w:szCs w:val="22"/>
        </w:rPr>
        <w:t>starting March</w:t>
      </w:r>
      <w:r w:rsidR="00C90EAD" w:rsidRPr="009E35ED">
        <w:rPr>
          <w:rFonts w:ascii="Arial" w:hAnsi="Arial" w:cs="Arial"/>
          <w:iCs/>
          <w:color w:val="000000" w:themeColor="text1"/>
          <w:sz w:val="22"/>
          <w:szCs w:val="22"/>
        </w:rPr>
        <w:t xml:space="preserve"> 1</w:t>
      </w:r>
      <w:r w:rsidRPr="009E35ED">
        <w:rPr>
          <w:rFonts w:ascii="Arial" w:hAnsi="Arial" w:cs="Arial"/>
          <w:iCs/>
          <w:color w:val="000000" w:themeColor="text1"/>
          <w:sz w:val="22"/>
          <w:szCs w:val="22"/>
        </w:rPr>
        <w:t>, 2023 up to September 30, 2023.</w:t>
      </w:r>
    </w:p>
    <w:p w14:paraId="1365FF53" w14:textId="77777777" w:rsidR="00E91813" w:rsidRPr="009E35ED" w:rsidRDefault="00E91813" w:rsidP="00E91813">
      <w:pPr>
        <w:ind w:left="0"/>
        <w:rPr>
          <w:rFonts w:ascii="Arial" w:hAnsi="Arial" w:cs="Arial"/>
          <w:iCs/>
          <w:color w:val="000000" w:themeColor="text1"/>
          <w:sz w:val="22"/>
          <w:szCs w:val="22"/>
        </w:rPr>
      </w:pPr>
    </w:p>
    <w:tbl>
      <w:tblPr>
        <w:tblW w:w="8470" w:type="dxa"/>
        <w:tblLook w:val="04A0" w:firstRow="1" w:lastRow="0" w:firstColumn="1" w:lastColumn="0" w:noHBand="0" w:noVBand="1"/>
      </w:tblPr>
      <w:tblGrid>
        <w:gridCol w:w="2542"/>
        <w:gridCol w:w="1122"/>
        <w:gridCol w:w="1180"/>
        <w:gridCol w:w="1180"/>
        <w:gridCol w:w="1233"/>
        <w:gridCol w:w="1213"/>
      </w:tblGrid>
      <w:tr w:rsidR="00997F75" w:rsidRPr="009E35ED" w14:paraId="17B69A9B" w14:textId="77777777" w:rsidTr="00541D7A">
        <w:trPr>
          <w:trHeight w:val="170"/>
          <w:tblHeader/>
        </w:trPr>
        <w:tc>
          <w:tcPr>
            <w:tcW w:w="2542" w:type="dxa"/>
            <w:tcBorders>
              <w:top w:val="single" w:sz="4" w:space="0" w:color="auto"/>
              <w:left w:val="nil"/>
              <w:bottom w:val="single" w:sz="4" w:space="0" w:color="auto"/>
              <w:right w:val="nil"/>
            </w:tcBorders>
            <w:shd w:val="clear" w:color="auto" w:fill="auto"/>
            <w:noWrap/>
            <w:hideMark/>
          </w:tcPr>
          <w:p w14:paraId="4B00CC9F" w14:textId="77777777" w:rsidR="00E91813" w:rsidRPr="009E35ED" w:rsidRDefault="00E91813" w:rsidP="005E4F3F">
            <w:pPr>
              <w:ind w:left="0" w:hanging="90"/>
              <w:jc w:val="left"/>
              <w:rPr>
                <w:rFonts w:ascii="Arial Narrow" w:hAnsi="Arial Narrow" w:cs="Arial"/>
                <w:b/>
                <w:bCs/>
                <w:color w:val="000000" w:themeColor="text1"/>
                <w:sz w:val="20"/>
                <w:szCs w:val="20"/>
                <w:lang w:val="en-PH"/>
              </w:rPr>
            </w:pPr>
            <w:r w:rsidRPr="009E35ED">
              <w:rPr>
                <w:rFonts w:ascii="Arial Narrow" w:hAnsi="Arial Narrow" w:cs="Arial"/>
                <w:b/>
                <w:bCs/>
                <w:color w:val="000000" w:themeColor="text1"/>
                <w:sz w:val="20"/>
                <w:szCs w:val="20"/>
                <w:lang w:val="en-PH"/>
              </w:rPr>
              <w:t>Particulars</w:t>
            </w:r>
          </w:p>
        </w:tc>
        <w:tc>
          <w:tcPr>
            <w:tcW w:w="1122" w:type="dxa"/>
            <w:tcBorders>
              <w:top w:val="single" w:sz="4" w:space="0" w:color="auto"/>
              <w:left w:val="nil"/>
              <w:bottom w:val="single" w:sz="4" w:space="0" w:color="auto"/>
              <w:right w:val="nil"/>
            </w:tcBorders>
            <w:shd w:val="clear" w:color="auto" w:fill="auto"/>
            <w:noWrap/>
            <w:hideMark/>
          </w:tcPr>
          <w:p w14:paraId="78B6D5D0" w14:textId="77777777" w:rsidR="00E91813" w:rsidRPr="009E35ED" w:rsidRDefault="00E91813" w:rsidP="005E4F3F">
            <w:pPr>
              <w:ind w:left="0"/>
              <w:jc w:val="right"/>
              <w:rPr>
                <w:rFonts w:ascii="Arial Narrow" w:hAnsi="Arial Narrow" w:cs="Arial"/>
                <w:b/>
                <w:bCs/>
                <w:color w:val="000000" w:themeColor="text1"/>
                <w:sz w:val="20"/>
                <w:szCs w:val="20"/>
                <w:lang w:val="en-PH"/>
              </w:rPr>
            </w:pPr>
            <w:r w:rsidRPr="009E35ED">
              <w:rPr>
                <w:rFonts w:ascii="Arial Narrow" w:hAnsi="Arial Narrow" w:cs="Arial"/>
                <w:b/>
                <w:bCs/>
                <w:color w:val="000000" w:themeColor="text1"/>
                <w:sz w:val="20"/>
                <w:szCs w:val="20"/>
                <w:lang w:val="en-PH"/>
              </w:rPr>
              <w:t xml:space="preserve"> 6/49 </w:t>
            </w:r>
          </w:p>
        </w:tc>
        <w:tc>
          <w:tcPr>
            <w:tcW w:w="1180" w:type="dxa"/>
            <w:tcBorders>
              <w:top w:val="single" w:sz="4" w:space="0" w:color="auto"/>
              <w:left w:val="nil"/>
              <w:bottom w:val="single" w:sz="4" w:space="0" w:color="auto"/>
              <w:right w:val="nil"/>
            </w:tcBorders>
            <w:shd w:val="clear" w:color="auto" w:fill="auto"/>
            <w:noWrap/>
            <w:hideMark/>
          </w:tcPr>
          <w:p w14:paraId="1935758A" w14:textId="77777777" w:rsidR="00E91813" w:rsidRPr="009E35ED" w:rsidRDefault="00E91813" w:rsidP="005E4F3F">
            <w:pPr>
              <w:ind w:left="0"/>
              <w:jc w:val="right"/>
              <w:rPr>
                <w:rFonts w:ascii="Arial Narrow" w:hAnsi="Arial Narrow" w:cs="Arial"/>
                <w:b/>
                <w:bCs/>
                <w:color w:val="000000" w:themeColor="text1"/>
                <w:sz w:val="20"/>
                <w:szCs w:val="20"/>
                <w:lang w:val="en-PH"/>
              </w:rPr>
            </w:pPr>
            <w:r w:rsidRPr="009E35ED">
              <w:rPr>
                <w:rFonts w:ascii="Arial Narrow" w:hAnsi="Arial Narrow" w:cs="Arial"/>
                <w:b/>
                <w:bCs/>
                <w:color w:val="000000" w:themeColor="text1"/>
                <w:sz w:val="20"/>
                <w:szCs w:val="20"/>
                <w:lang w:val="en-PH"/>
              </w:rPr>
              <w:t xml:space="preserve"> 6/45 </w:t>
            </w:r>
          </w:p>
        </w:tc>
        <w:tc>
          <w:tcPr>
            <w:tcW w:w="1180" w:type="dxa"/>
            <w:tcBorders>
              <w:top w:val="single" w:sz="4" w:space="0" w:color="auto"/>
              <w:left w:val="nil"/>
              <w:bottom w:val="single" w:sz="4" w:space="0" w:color="auto"/>
              <w:right w:val="nil"/>
            </w:tcBorders>
            <w:shd w:val="clear" w:color="auto" w:fill="auto"/>
            <w:noWrap/>
            <w:hideMark/>
          </w:tcPr>
          <w:p w14:paraId="32EAF50B" w14:textId="77777777" w:rsidR="00E91813" w:rsidRPr="009E35ED" w:rsidRDefault="00E91813" w:rsidP="005E4F3F">
            <w:pPr>
              <w:ind w:left="0"/>
              <w:jc w:val="right"/>
              <w:rPr>
                <w:rFonts w:ascii="Arial Narrow" w:hAnsi="Arial Narrow" w:cs="Arial"/>
                <w:b/>
                <w:bCs/>
                <w:color w:val="000000" w:themeColor="text1"/>
                <w:sz w:val="20"/>
                <w:szCs w:val="20"/>
                <w:lang w:val="en-PH"/>
              </w:rPr>
            </w:pPr>
            <w:r w:rsidRPr="009E35ED">
              <w:rPr>
                <w:rFonts w:ascii="Arial Narrow" w:hAnsi="Arial Narrow" w:cs="Arial"/>
                <w:b/>
                <w:bCs/>
                <w:color w:val="000000" w:themeColor="text1"/>
                <w:sz w:val="20"/>
                <w:szCs w:val="20"/>
                <w:lang w:val="en-PH"/>
              </w:rPr>
              <w:t xml:space="preserve"> 6/42 </w:t>
            </w:r>
          </w:p>
        </w:tc>
        <w:tc>
          <w:tcPr>
            <w:tcW w:w="1233" w:type="dxa"/>
            <w:tcBorders>
              <w:top w:val="single" w:sz="4" w:space="0" w:color="auto"/>
              <w:left w:val="nil"/>
              <w:bottom w:val="single" w:sz="4" w:space="0" w:color="auto"/>
              <w:right w:val="nil"/>
            </w:tcBorders>
            <w:shd w:val="clear" w:color="auto" w:fill="auto"/>
            <w:noWrap/>
            <w:hideMark/>
          </w:tcPr>
          <w:p w14:paraId="7AC76C87" w14:textId="77777777" w:rsidR="00E91813" w:rsidRPr="009E35ED" w:rsidRDefault="00E91813" w:rsidP="005E4F3F">
            <w:pPr>
              <w:ind w:left="0"/>
              <w:jc w:val="right"/>
              <w:rPr>
                <w:rFonts w:ascii="Arial Narrow" w:hAnsi="Arial Narrow" w:cs="Arial"/>
                <w:b/>
                <w:bCs/>
                <w:color w:val="000000" w:themeColor="text1"/>
                <w:sz w:val="20"/>
                <w:szCs w:val="20"/>
                <w:lang w:val="en-PH"/>
              </w:rPr>
            </w:pPr>
            <w:r w:rsidRPr="009E35ED">
              <w:rPr>
                <w:rFonts w:ascii="Arial Narrow" w:hAnsi="Arial Narrow" w:cs="Arial"/>
                <w:b/>
                <w:bCs/>
                <w:color w:val="000000" w:themeColor="text1"/>
                <w:sz w:val="20"/>
                <w:szCs w:val="20"/>
                <w:lang w:val="en-PH"/>
              </w:rPr>
              <w:t xml:space="preserve">  6/55</w:t>
            </w:r>
          </w:p>
        </w:tc>
        <w:tc>
          <w:tcPr>
            <w:tcW w:w="1213" w:type="dxa"/>
            <w:tcBorders>
              <w:top w:val="single" w:sz="4" w:space="0" w:color="auto"/>
              <w:left w:val="nil"/>
              <w:bottom w:val="single" w:sz="4" w:space="0" w:color="auto"/>
              <w:right w:val="nil"/>
            </w:tcBorders>
            <w:shd w:val="clear" w:color="auto" w:fill="auto"/>
            <w:noWrap/>
            <w:hideMark/>
          </w:tcPr>
          <w:p w14:paraId="4F9B6676" w14:textId="77777777" w:rsidR="00E91813" w:rsidRPr="009E35ED" w:rsidRDefault="00E91813" w:rsidP="005E4F3F">
            <w:pPr>
              <w:ind w:left="0" w:right="-90"/>
              <w:jc w:val="right"/>
              <w:rPr>
                <w:rFonts w:ascii="Arial Narrow" w:hAnsi="Arial Narrow" w:cs="Arial"/>
                <w:b/>
                <w:bCs/>
                <w:color w:val="000000" w:themeColor="text1"/>
                <w:sz w:val="20"/>
                <w:szCs w:val="20"/>
                <w:lang w:val="en-PH"/>
              </w:rPr>
            </w:pPr>
            <w:r w:rsidRPr="009E35ED">
              <w:rPr>
                <w:rFonts w:ascii="Arial Narrow" w:hAnsi="Arial Narrow" w:cs="Arial"/>
                <w:b/>
                <w:bCs/>
                <w:color w:val="000000" w:themeColor="text1"/>
                <w:sz w:val="20"/>
                <w:szCs w:val="20"/>
                <w:lang w:val="en-PH"/>
              </w:rPr>
              <w:t>6/58</w:t>
            </w:r>
          </w:p>
        </w:tc>
      </w:tr>
      <w:tr w:rsidR="00997F75" w:rsidRPr="009E35ED" w14:paraId="3B2144FF" w14:textId="77777777" w:rsidTr="005E4F3F">
        <w:trPr>
          <w:trHeight w:val="224"/>
        </w:trPr>
        <w:tc>
          <w:tcPr>
            <w:tcW w:w="2542" w:type="dxa"/>
            <w:tcBorders>
              <w:top w:val="single" w:sz="4" w:space="0" w:color="auto"/>
              <w:left w:val="nil"/>
              <w:bottom w:val="nil"/>
              <w:right w:val="nil"/>
            </w:tcBorders>
            <w:shd w:val="clear" w:color="auto" w:fill="auto"/>
            <w:noWrap/>
            <w:hideMark/>
          </w:tcPr>
          <w:p w14:paraId="5355E8B3" w14:textId="77777777" w:rsidR="00E91813" w:rsidRPr="009E35ED" w:rsidRDefault="00E91813" w:rsidP="005E4F3F">
            <w:pPr>
              <w:ind w:left="0" w:hanging="90"/>
              <w:jc w:val="left"/>
              <w:rPr>
                <w:rFonts w:ascii="Arial Narrow" w:hAnsi="Arial Narrow" w:cs="Arial"/>
                <w:b/>
                <w:bCs/>
                <w:color w:val="000000" w:themeColor="text1"/>
                <w:sz w:val="20"/>
                <w:szCs w:val="20"/>
                <w:lang w:val="en-PH"/>
              </w:rPr>
            </w:pPr>
            <w:r w:rsidRPr="009E35ED">
              <w:rPr>
                <w:rFonts w:ascii="Arial Narrow" w:hAnsi="Arial Narrow" w:cs="Arial"/>
                <w:b/>
                <w:bCs/>
                <w:color w:val="000000" w:themeColor="text1"/>
                <w:sz w:val="20"/>
                <w:szCs w:val="20"/>
                <w:lang w:val="en-PH"/>
              </w:rPr>
              <w:t>Gross Receipts</w:t>
            </w:r>
          </w:p>
        </w:tc>
        <w:tc>
          <w:tcPr>
            <w:tcW w:w="1122" w:type="dxa"/>
            <w:tcBorders>
              <w:top w:val="single" w:sz="4" w:space="0" w:color="auto"/>
              <w:left w:val="nil"/>
              <w:bottom w:val="nil"/>
              <w:right w:val="nil"/>
            </w:tcBorders>
            <w:shd w:val="clear" w:color="auto" w:fill="auto"/>
            <w:noWrap/>
            <w:hideMark/>
          </w:tcPr>
          <w:p w14:paraId="21CD044E" w14:textId="77777777" w:rsidR="00E91813" w:rsidRPr="009E35ED" w:rsidRDefault="00E91813" w:rsidP="005E4F3F">
            <w:pPr>
              <w:ind w:left="0"/>
              <w:jc w:val="right"/>
              <w:rPr>
                <w:rFonts w:ascii="Arial Narrow" w:hAnsi="Arial Narrow" w:cs="Arial"/>
                <w:b/>
                <w:bCs/>
                <w:color w:val="000000" w:themeColor="text1"/>
                <w:sz w:val="20"/>
                <w:szCs w:val="20"/>
                <w:lang w:val="en-PH"/>
              </w:rPr>
            </w:pPr>
            <w:r w:rsidRPr="009E35ED">
              <w:rPr>
                <w:rFonts w:ascii="Arial Narrow" w:hAnsi="Arial Narrow" w:cs="Arial"/>
                <w:b/>
                <w:bCs/>
                <w:color w:val="000000" w:themeColor="text1"/>
                <w:sz w:val="20"/>
                <w:szCs w:val="20"/>
                <w:lang w:val="en-PH"/>
              </w:rPr>
              <w:t>100.00%</w:t>
            </w:r>
          </w:p>
        </w:tc>
        <w:tc>
          <w:tcPr>
            <w:tcW w:w="1180" w:type="dxa"/>
            <w:tcBorders>
              <w:top w:val="single" w:sz="4" w:space="0" w:color="auto"/>
              <w:left w:val="nil"/>
              <w:bottom w:val="nil"/>
              <w:right w:val="nil"/>
            </w:tcBorders>
            <w:shd w:val="clear" w:color="auto" w:fill="auto"/>
            <w:noWrap/>
            <w:hideMark/>
          </w:tcPr>
          <w:p w14:paraId="512ADFAE" w14:textId="77777777" w:rsidR="00E91813" w:rsidRPr="009E35ED" w:rsidRDefault="00E91813" w:rsidP="005E4F3F">
            <w:pPr>
              <w:ind w:left="0"/>
              <w:jc w:val="right"/>
              <w:rPr>
                <w:rFonts w:ascii="Arial Narrow" w:hAnsi="Arial Narrow" w:cs="Arial"/>
                <w:b/>
                <w:bCs/>
                <w:color w:val="000000" w:themeColor="text1"/>
                <w:sz w:val="20"/>
                <w:szCs w:val="20"/>
                <w:lang w:val="en-PH"/>
              </w:rPr>
            </w:pPr>
            <w:r w:rsidRPr="009E35ED">
              <w:rPr>
                <w:rFonts w:ascii="Arial Narrow" w:hAnsi="Arial Narrow" w:cs="Arial"/>
                <w:b/>
                <w:bCs/>
                <w:color w:val="000000" w:themeColor="text1"/>
                <w:sz w:val="20"/>
                <w:szCs w:val="20"/>
                <w:lang w:val="en-PH"/>
              </w:rPr>
              <w:t>100.00%</w:t>
            </w:r>
          </w:p>
        </w:tc>
        <w:tc>
          <w:tcPr>
            <w:tcW w:w="1180" w:type="dxa"/>
            <w:tcBorders>
              <w:top w:val="single" w:sz="4" w:space="0" w:color="auto"/>
              <w:left w:val="nil"/>
              <w:bottom w:val="nil"/>
              <w:right w:val="nil"/>
            </w:tcBorders>
            <w:shd w:val="clear" w:color="auto" w:fill="auto"/>
            <w:noWrap/>
            <w:hideMark/>
          </w:tcPr>
          <w:p w14:paraId="74D3EAA7" w14:textId="77777777" w:rsidR="00E91813" w:rsidRPr="009E35ED" w:rsidRDefault="00E91813" w:rsidP="005E4F3F">
            <w:pPr>
              <w:ind w:left="0"/>
              <w:jc w:val="right"/>
              <w:rPr>
                <w:rFonts w:ascii="Arial Narrow" w:hAnsi="Arial Narrow" w:cs="Arial"/>
                <w:b/>
                <w:bCs/>
                <w:color w:val="000000" w:themeColor="text1"/>
                <w:sz w:val="20"/>
                <w:szCs w:val="20"/>
                <w:lang w:val="en-PH"/>
              </w:rPr>
            </w:pPr>
            <w:r w:rsidRPr="009E35ED">
              <w:rPr>
                <w:rFonts w:ascii="Arial Narrow" w:hAnsi="Arial Narrow" w:cs="Arial"/>
                <w:b/>
                <w:bCs/>
                <w:color w:val="000000" w:themeColor="text1"/>
                <w:sz w:val="20"/>
                <w:szCs w:val="20"/>
                <w:lang w:val="en-PH"/>
              </w:rPr>
              <w:t>100.00%</w:t>
            </w:r>
          </w:p>
        </w:tc>
        <w:tc>
          <w:tcPr>
            <w:tcW w:w="1233" w:type="dxa"/>
            <w:tcBorders>
              <w:top w:val="single" w:sz="4" w:space="0" w:color="auto"/>
              <w:left w:val="nil"/>
              <w:bottom w:val="nil"/>
              <w:right w:val="nil"/>
            </w:tcBorders>
            <w:shd w:val="clear" w:color="auto" w:fill="auto"/>
            <w:noWrap/>
            <w:hideMark/>
          </w:tcPr>
          <w:p w14:paraId="00DDFDB6" w14:textId="77777777" w:rsidR="00E91813" w:rsidRPr="009E35ED" w:rsidRDefault="00E91813" w:rsidP="005E4F3F">
            <w:pPr>
              <w:ind w:left="0"/>
              <w:jc w:val="right"/>
              <w:rPr>
                <w:rFonts w:ascii="Arial Narrow" w:hAnsi="Arial Narrow" w:cs="Arial"/>
                <w:b/>
                <w:bCs/>
                <w:color w:val="000000" w:themeColor="text1"/>
                <w:sz w:val="20"/>
                <w:szCs w:val="20"/>
                <w:lang w:val="en-PH"/>
              </w:rPr>
            </w:pPr>
            <w:r w:rsidRPr="009E35ED">
              <w:rPr>
                <w:rFonts w:ascii="Arial Narrow" w:hAnsi="Arial Narrow" w:cs="Arial"/>
                <w:b/>
                <w:bCs/>
                <w:color w:val="000000" w:themeColor="text1"/>
                <w:sz w:val="20"/>
                <w:szCs w:val="20"/>
                <w:lang w:val="en-PH"/>
              </w:rPr>
              <w:t>100.00%</w:t>
            </w:r>
          </w:p>
        </w:tc>
        <w:tc>
          <w:tcPr>
            <w:tcW w:w="1213" w:type="dxa"/>
            <w:tcBorders>
              <w:top w:val="single" w:sz="4" w:space="0" w:color="auto"/>
              <w:left w:val="nil"/>
              <w:bottom w:val="nil"/>
              <w:right w:val="nil"/>
            </w:tcBorders>
            <w:shd w:val="clear" w:color="auto" w:fill="auto"/>
            <w:noWrap/>
            <w:hideMark/>
          </w:tcPr>
          <w:p w14:paraId="5F5AD81A" w14:textId="77777777" w:rsidR="00E91813" w:rsidRPr="009E35ED" w:rsidRDefault="00E91813" w:rsidP="005E4F3F">
            <w:pPr>
              <w:ind w:left="0" w:right="-90"/>
              <w:jc w:val="right"/>
              <w:rPr>
                <w:rFonts w:ascii="Arial Narrow" w:hAnsi="Arial Narrow" w:cs="Arial"/>
                <w:b/>
                <w:bCs/>
                <w:color w:val="000000" w:themeColor="text1"/>
                <w:sz w:val="20"/>
                <w:szCs w:val="20"/>
                <w:lang w:val="en-PH"/>
              </w:rPr>
            </w:pPr>
            <w:r w:rsidRPr="009E35ED">
              <w:rPr>
                <w:rFonts w:ascii="Arial Narrow" w:hAnsi="Arial Narrow" w:cs="Arial"/>
                <w:b/>
                <w:bCs/>
                <w:color w:val="000000" w:themeColor="text1"/>
                <w:sz w:val="20"/>
                <w:szCs w:val="20"/>
                <w:lang w:val="en-PH"/>
              </w:rPr>
              <w:t>100.00%</w:t>
            </w:r>
          </w:p>
        </w:tc>
      </w:tr>
      <w:tr w:rsidR="00997F75" w:rsidRPr="009E35ED" w14:paraId="00D4B1F5" w14:textId="77777777" w:rsidTr="005E4F3F">
        <w:trPr>
          <w:trHeight w:val="144"/>
        </w:trPr>
        <w:tc>
          <w:tcPr>
            <w:tcW w:w="2542" w:type="dxa"/>
            <w:tcBorders>
              <w:top w:val="nil"/>
              <w:left w:val="nil"/>
              <w:bottom w:val="nil"/>
              <w:right w:val="nil"/>
            </w:tcBorders>
            <w:shd w:val="clear" w:color="auto" w:fill="auto"/>
            <w:noWrap/>
            <w:hideMark/>
          </w:tcPr>
          <w:p w14:paraId="0660D0FE" w14:textId="77777777" w:rsidR="00E91813" w:rsidRPr="009E35ED" w:rsidRDefault="00E91813" w:rsidP="005E4F3F">
            <w:pPr>
              <w:ind w:left="0" w:hanging="90"/>
              <w:jc w:val="lef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Printing Cost</w:t>
            </w:r>
          </w:p>
        </w:tc>
        <w:tc>
          <w:tcPr>
            <w:tcW w:w="1122" w:type="dxa"/>
            <w:tcBorders>
              <w:top w:val="nil"/>
              <w:left w:val="nil"/>
              <w:bottom w:val="nil"/>
              <w:right w:val="nil"/>
            </w:tcBorders>
            <w:shd w:val="clear" w:color="auto" w:fill="auto"/>
            <w:noWrap/>
            <w:hideMark/>
          </w:tcPr>
          <w:p w14:paraId="4B3E5865" w14:textId="77777777" w:rsidR="00E91813" w:rsidRPr="009E35ED" w:rsidRDefault="00E91813" w:rsidP="005E4F3F">
            <w:pPr>
              <w:ind w:left="0"/>
              <w:jc w:val="righ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2.00%</w:t>
            </w:r>
          </w:p>
        </w:tc>
        <w:tc>
          <w:tcPr>
            <w:tcW w:w="1180" w:type="dxa"/>
            <w:tcBorders>
              <w:top w:val="nil"/>
              <w:left w:val="nil"/>
              <w:bottom w:val="nil"/>
              <w:right w:val="nil"/>
            </w:tcBorders>
            <w:shd w:val="clear" w:color="auto" w:fill="auto"/>
            <w:noWrap/>
            <w:hideMark/>
          </w:tcPr>
          <w:p w14:paraId="31D1F668" w14:textId="77777777" w:rsidR="00E91813" w:rsidRPr="009E35ED" w:rsidRDefault="00E91813" w:rsidP="005E4F3F">
            <w:pPr>
              <w:ind w:left="0"/>
              <w:jc w:val="righ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2.00%</w:t>
            </w:r>
          </w:p>
        </w:tc>
        <w:tc>
          <w:tcPr>
            <w:tcW w:w="1180" w:type="dxa"/>
            <w:tcBorders>
              <w:top w:val="nil"/>
              <w:left w:val="nil"/>
              <w:bottom w:val="nil"/>
              <w:right w:val="nil"/>
            </w:tcBorders>
            <w:shd w:val="clear" w:color="auto" w:fill="auto"/>
            <w:noWrap/>
            <w:hideMark/>
          </w:tcPr>
          <w:p w14:paraId="5EE6B3D8" w14:textId="77777777" w:rsidR="00E91813" w:rsidRPr="009E35ED" w:rsidRDefault="00E91813" w:rsidP="005E4F3F">
            <w:pPr>
              <w:ind w:left="0"/>
              <w:jc w:val="righ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2.00%</w:t>
            </w:r>
          </w:p>
        </w:tc>
        <w:tc>
          <w:tcPr>
            <w:tcW w:w="1233" w:type="dxa"/>
            <w:tcBorders>
              <w:top w:val="nil"/>
              <w:left w:val="nil"/>
              <w:bottom w:val="nil"/>
              <w:right w:val="nil"/>
            </w:tcBorders>
            <w:shd w:val="clear" w:color="auto" w:fill="auto"/>
            <w:noWrap/>
            <w:hideMark/>
          </w:tcPr>
          <w:p w14:paraId="538E4AEC" w14:textId="77777777" w:rsidR="00E91813" w:rsidRPr="009E35ED" w:rsidRDefault="00E91813" w:rsidP="005E4F3F">
            <w:pPr>
              <w:ind w:left="0"/>
              <w:jc w:val="righ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2.00%</w:t>
            </w:r>
          </w:p>
        </w:tc>
        <w:tc>
          <w:tcPr>
            <w:tcW w:w="1213" w:type="dxa"/>
            <w:tcBorders>
              <w:top w:val="nil"/>
              <w:left w:val="nil"/>
              <w:bottom w:val="nil"/>
              <w:right w:val="nil"/>
            </w:tcBorders>
            <w:shd w:val="clear" w:color="auto" w:fill="auto"/>
            <w:noWrap/>
            <w:hideMark/>
          </w:tcPr>
          <w:p w14:paraId="14DD1754" w14:textId="77777777" w:rsidR="00E91813" w:rsidRPr="009E35ED" w:rsidRDefault="00E91813" w:rsidP="005E4F3F">
            <w:pPr>
              <w:ind w:left="0" w:right="-90"/>
              <w:jc w:val="righ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2.00%</w:t>
            </w:r>
          </w:p>
        </w:tc>
      </w:tr>
      <w:tr w:rsidR="00997F75" w:rsidRPr="009E35ED" w14:paraId="6DA582C3" w14:textId="77777777" w:rsidTr="005E4F3F">
        <w:trPr>
          <w:trHeight w:val="189"/>
        </w:trPr>
        <w:tc>
          <w:tcPr>
            <w:tcW w:w="2542" w:type="dxa"/>
            <w:tcBorders>
              <w:top w:val="nil"/>
              <w:left w:val="nil"/>
              <w:bottom w:val="nil"/>
              <w:right w:val="nil"/>
            </w:tcBorders>
            <w:shd w:val="clear" w:color="auto" w:fill="auto"/>
            <w:noWrap/>
            <w:hideMark/>
          </w:tcPr>
          <w:p w14:paraId="7ABBBF92" w14:textId="53A68076" w:rsidR="00E91813" w:rsidRPr="009E35ED" w:rsidRDefault="00E91813" w:rsidP="005E4F3F">
            <w:pPr>
              <w:ind w:left="0" w:hanging="90"/>
              <w:jc w:val="left"/>
              <w:rPr>
                <w:rFonts w:ascii="Arial Narrow" w:hAnsi="Arial Narrow" w:cs="Arial"/>
                <w:b/>
                <w:bCs/>
                <w:color w:val="000000" w:themeColor="text1"/>
                <w:sz w:val="20"/>
                <w:szCs w:val="20"/>
                <w:lang w:val="en-PH"/>
              </w:rPr>
            </w:pPr>
            <w:r w:rsidRPr="009E35ED">
              <w:rPr>
                <w:rFonts w:ascii="Arial Narrow" w:hAnsi="Arial Narrow" w:cs="Arial"/>
                <w:b/>
                <w:bCs/>
                <w:color w:val="000000" w:themeColor="text1"/>
                <w:sz w:val="20"/>
                <w:szCs w:val="20"/>
                <w:lang w:val="en-PH"/>
              </w:rPr>
              <w:t>Net Receipts</w:t>
            </w:r>
            <w:r w:rsidR="00F6182B">
              <w:rPr>
                <w:rFonts w:ascii="Arial Narrow" w:hAnsi="Arial Narrow" w:cs="Arial"/>
                <w:b/>
                <w:bCs/>
                <w:color w:val="000000" w:themeColor="text1"/>
                <w:sz w:val="20"/>
                <w:szCs w:val="20"/>
                <w:lang w:val="en-PH"/>
              </w:rPr>
              <w:t xml:space="preserve"> (NR)</w:t>
            </w:r>
          </w:p>
        </w:tc>
        <w:tc>
          <w:tcPr>
            <w:tcW w:w="1122" w:type="dxa"/>
            <w:tcBorders>
              <w:top w:val="nil"/>
              <w:left w:val="nil"/>
              <w:bottom w:val="nil"/>
              <w:right w:val="nil"/>
            </w:tcBorders>
            <w:shd w:val="clear" w:color="auto" w:fill="auto"/>
            <w:noWrap/>
            <w:hideMark/>
          </w:tcPr>
          <w:p w14:paraId="0FB12D65" w14:textId="77777777" w:rsidR="00E91813" w:rsidRPr="009E35ED" w:rsidRDefault="00E91813" w:rsidP="005E4F3F">
            <w:pPr>
              <w:ind w:left="0"/>
              <w:jc w:val="right"/>
              <w:rPr>
                <w:rFonts w:ascii="Arial Narrow" w:hAnsi="Arial Narrow" w:cs="Arial"/>
                <w:b/>
                <w:bCs/>
                <w:color w:val="000000" w:themeColor="text1"/>
                <w:sz w:val="20"/>
                <w:szCs w:val="20"/>
                <w:lang w:val="en-PH"/>
              </w:rPr>
            </w:pPr>
            <w:r w:rsidRPr="009E35ED">
              <w:rPr>
                <w:rFonts w:ascii="Arial Narrow" w:hAnsi="Arial Narrow" w:cs="Arial"/>
                <w:b/>
                <w:bCs/>
                <w:color w:val="000000" w:themeColor="text1"/>
                <w:sz w:val="20"/>
                <w:szCs w:val="20"/>
                <w:lang w:val="en-PH"/>
              </w:rPr>
              <w:t>98.00%</w:t>
            </w:r>
          </w:p>
        </w:tc>
        <w:tc>
          <w:tcPr>
            <w:tcW w:w="1180" w:type="dxa"/>
            <w:tcBorders>
              <w:top w:val="nil"/>
              <w:left w:val="nil"/>
              <w:bottom w:val="nil"/>
              <w:right w:val="nil"/>
            </w:tcBorders>
            <w:shd w:val="clear" w:color="auto" w:fill="auto"/>
            <w:noWrap/>
            <w:hideMark/>
          </w:tcPr>
          <w:p w14:paraId="1B27232E" w14:textId="77777777" w:rsidR="00E91813" w:rsidRPr="009E35ED" w:rsidRDefault="00E91813" w:rsidP="005E4F3F">
            <w:pPr>
              <w:ind w:left="0"/>
              <w:jc w:val="right"/>
              <w:rPr>
                <w:rFonts w:ascii="Arial Narrow" w:hAnsi="Arial Narrow" w:cs="Arial"/>
                <w:b/>
                <w:bCs/>
                <w:color w:val="000000" w:themeColor="text1"/>
                <w:sz w:val="20"/>
                <w:szCs w:val="20"/>
                <w:lang w:val="en-PH"/>
              </w:rPr>
            </w:pPr>
            <w:r w:rsidRPr="009E35ED">
              <w:rPr>
                <w:rFonts w:ascii="Arial Narrow" w:hAnsi="Arial Narrow" w:cs="Arial"/>
                <w:b/>
                <w:bCs/>
                <w:color w:val="000000" w:themeColor="text1"/>
                <w:sz w:val="20"/>
                <w:szCs w:val="20"/>
                <w:lang w:val="en-PH"/>
              </w:rPr>
              <w:t>98.00%</w:t>
            </w:r>
          </w:p>
        </w:tc>
        <w:tc>
          <w:tcPr>
            <w:tcW w:w="1180" w:type="dxa"/>
            <w:tcBorders>
              <w:top w:val="nil"/>
              <w:left w:val="nil"/>
              <w:bottom w:val="nil"/>
              <w:right w:val="nil"/>
            </w:tcBorders>
            <w:shd w:val="clear" w:color="auto" w:fill="auto"/>
            <w:noWrap/>
            <w:hideMark/>
          </w:tcPr>
          <w:p w14:paraId="477D6AFC" w14:textId="77777777" w:rsidR="00E91813" w:rsidRPr="009E35ED" w:rsidRDefault="00E91813" w:rsidP="005E4F3F">
            <w:pPr>
              <w:ind w:left="0"/>
              <w:jc w:val="right"/>
              <w:rPr>
                <w:rFonts w:ascii="Arial Narrow" w:hAnsi="Arial Narrow" w:cs="Arial"/>
                <w:b/>
                <w:bCs/>
                <w:color w:val="000000" w:themeColor="text1"/>
                <w:sz w:val="20"/>
                <w:szCs w:val="20"/>
                <w:lang w:val="en-PH"/>
              </w:rPr>
            </w:pPr>
            <w:r w:rsidRPr="009E35ED">
              <w:rPr>
                <w:rFonts w:ascii="Arial Narrow" w:hAnsi="Arial Narrow" w:cs="Arial"/>
                <w:b/>
                <w:bCs/>
                <w:color w:val="000000" w:themeColor="text1"/>
                <w:sz w:val="20"/>
                <w:szCs w:val="20"/>
                <w:lang w:val="en-PH"/>
              </w:rPr>
              <w:t>98.00%</w:t>
            </w:r>
          </w:p>
        </w:tc>
        <w:tc>
          <w:tcPr>
            <w:tcW w:w="1233" w:type="dxa"/>
            <w:tcBorders>
              <w:top w:val="nil"/>
              <w:left w:val="nil"/>
              <w:bottom w:val="nil"/>
              <w:right w:val="nil"/>
            </w:tcBorders>
            <w:shd w:val="clear" w:color="auto" w:fill="auto"/>
            <w:noWrap/>
            <w:hideMark/>
          </w:tcPr>
          <w:p w14:paraId="317E2621" w14:textId="77777777" w:rsidR="00E91813" w:rsidRPr="009E35ED" w:rsidRDefault="00E91813" w:rsidP="005E4F3F">
            <w:pPr>
              <w:ind w:left="0"/>
              <w:jc w:val="right"/>
              <w:rPr>
                <w:rFonts w:ascii="Arial Narrow" w:hAnsi="Arial Narrow" w:cs="Arial"/>
                <w:b/>
                <w:bCs/>
                <w:color w:val="000000" w:themeColor="text1"/>
                <w:sz w:val="20"/>
                <w:szCs w:val="20"/>
                <w:lang w:val="en-PH"/>
              </w:rPr>
            </w:pPr>
            <w:r w:rsidRPr="009E35ED">
              <w:rPr>
                <w:rFonts w:ascii="Arial Narrow" w:hAnsi="Arial Narrow" w:cs="Arial"/>
                <w:b/>
                <w:bCs/>
                <w:color w:val="000000" w:themeColor="text1"/>
                <w:sz w:val="20"/>
                <w:szCs w:val="20"/>
                <w:lang w:val="en-PH"/>
              </w:rPr>
              <w:t>98.00%</w:t>
            </w:r>
          </w:p>
        </w:tc>
        <w:tc>
          <w:tcPr>
            <w:tcW w:w="1213" w:type="dxa"/>
            <w:tcBorders>
              <w:top w:val="nil"/>
              <w:left w:val="nil"/>
              <w:bottom w:val="nil"/>
              <w:right w:val="nil"/>
            </w:tcBorders>
            <w:shd w:val="clear" w:color="auto" w:fill="auto"/>
            <w:noWrap/>
            <w:hideMark/>
          </w:tcPr>
          <w:p w14:paraId="4F899EFF" w14:textId="77777777" w:rsidR="00E91813" w:rsidRPr="009E35ED" w:rsidRDefault="00E91813" w:rsidP="005E4F3F">
            <w:pPr>
              <w:ind w:left="0" w:right="-90"/>
              <w:jc w:val="right"/>
              <w:rPr>
                <w:rFonts w:ascii="Arial Narrow" w:hAnsi="Arial Narrow" w:cs="Arial"/>
                <w:b/>
                <w:bCs/>
                <w:color w:val="000000" w:themeColor="text1"/>
                <w:sz w:val="20"/>
                <w:szCs w:val="20"/>
                <w:lang w:val="en-PH"/>
              </w:rPr>
            </w:pPr>
            <w:r w:rsidRPr="009E35ED">
              <w:rPr>
                <w:rFonts w:ascii="Arial Narrow" w:hAnsi="Arial Narrow" w:cs="Arial"/>
                <w:b/>
                <w:bCs/>
                <w:color w:val="000000" w:themeColor="text1"/>
                <w:sz w:val="20"/>
                <w:szCs w:val="20"/>
                <w:lang w:val="en-PH"/>
              </w:rPr>
              <w:t>98.00%</w:t>
            </w:r>
          </w:p>
        </w:tc>
      </w:tr>
      <w:tr w:rsidR="00997F75" w:rsidRPr="009E35ED" w14:paraId="08DE2841" w14:textId="77777777" w:rsidTr="005E4F3F">
        <w:trPr>
          <w:trHeight w:val="252"/>
        </w:trPr>
        <w:tc>
          <w:tcPr>
            <w:tcW w:w="2542" w:type="dxa"/>
            <w:tcBorders>
              <w:top w:val="nil"/>
              <w:left w:val="nil"/>
              <w:bottom w:val="nil"/>
              <w:right w:val="nil"/>
            </w:tcBorders>
            <w:shd w:val="clear" w:color="auto" w:fill="auto"/>
            <w:noWrap/>
            <w:hideMark/>
          </w:tcPr>
          <w:p w14:paraId="019662C9" w14:textId="77777777" w:rsidR="00E91813" w:rsidRPr="009E35ED" w:rsidRDefault="00E91813" w:rsidP="005E4F3F">
            <w:pPr>
              <w:ind w:left="0" w:hanging="90"/>
              <w:jc w:val="left"/>
              <w:rPr>
                <w:rFonts w:ascii="Arial Narrow" w:hAnsi="Arial Narrow" w:cs="Arial"/>
                <w:b/>
                <w:bCs/>
                <w:color w:val="000000" w:themeColor="text1"/>
                <w:sz w:val="20"/>
                <w:szCs w:val="20"/>
                <w:lang w:val="en-PH"/>
              </w:rPr>
            </w:pPr>
          </w:p>
        </w:tc>
        <w:tc>
          <w:tcPr>
            <w:tcW w:w="1122" w:type="dxa"/>
            <w:tcBorders>
              <w:top w:val="nil"/>
              <w:left w:val="nil"/>
              <w:bottom w:val="nil"/>
              <w:right w:val="nil"/>
            </w:tcBorders>
            <w:shd w:val="clear" w:color="auto" w:fill="auto"/>
            <w:noWrap/>
            <w:hideMark/>
          </w:tcPr>
          <w:p w14:paraId="01587AE3" w14:textId="77777777" w:rsidR="00E91813" w:rsidRPr="009E35ED" w:rsidRDefault="00E91813" w:rsidP="005E4F3F">
            <w:pPr>
              <w:ind w:left="0"/>
              <w:jc w:val="right"/>
              <w:rPr>
                <w:rFonts w:ascii="Arial Narrow" w:hAnsi="Arial Narrow" w:cs="Arial"/>
                <w:color w:val="000000" w:themeColor="text1"/>
                <w:sz w:val="20"/>
                <w:szCs w:val="20"/>
                <w:lang w:val="en-PH"/>
              </w:rPr>
            </w:pPr>
          </w:p>
        </w:tc>
        <w:tc>
          <w:tcPr>
            <w:tcW w:w="1180" w:type="dxa"/>
            <w:tcBorders>
              <w:top w:val="nil"/>
              <w:left w:val="nil"/>
              <w:bottom w:val="nil"/>
              <w:right w:val="nil"/>
            </w:tcBorders>
            <w:shd w:val="clear" w:color="auto" w:fill="auto"/>
            <w:noWrap/>
            <w:hideMark/>
          </w:tcPr>
          <w:p w14:paraId="3A6EFCFB" w14:textId="77777777" w:rsidR="00E91813" w:rsidRPr="009E35ED" w:rsidRDefault="00E91813" w:rsidP="005E4F3F">
            <w:pPr>
              <w:ind w:left="0"/>
              <w:jc w:val="right"/>
              <w:rPr>
                <w:rFonts w:ascii="Arial Narrow" w:hAnsi="Arial Narrow" w:cs="Arial"/>
                <w:color w:val="000000" w:themeColor="text1"/>
                <w:sz w:val="20"/>
                <w:szCs w:val="20"/>
                <w:lang w:val="en-PH"/>
              </w:rPr>
            </w:pPr>
          </w:p>
        </w:tc>
        <w:tc>
          <w:tcPr>
            <w:tcW w:w="1180" w:type="dxa"/>
            <w:tcBorders>
              <w:top w:val="nil"/>
              <w:left w:val="nil"/>
              <w:bottom w:val="nil"/>
              <w:right w:val="nil"/>
            </w:tcBorders>
            <w:shd w:val="clear" w:color="auto" w:fill="auto"/>
            <w:noWrap/>
            <w:hideMark/>
          </w:tcPr>
          <w:p w14:paraId="4EEBF618" w14:textId="77777777" w:rsidR="00E91813" w:rsidRPr="009E35ED" w:rsidRDefault="00E91813" w:rsidP="005E4F3F">
            <w:pPr>
              <w:ind w:left="0"/>
              <w:jc w:val="right"/>
              <w:rPr>
                <w:rFonts w:ascii="Arial Narrow" w:hAnsi="Arial Narrow" w:cs="Arial"/>
                <w:color w:val="000000" w:themeColor="text1"/>
                <w:sz w:val="20"/>
                <w:szCs w:val="20"/>
                <w:lang w:val="en-PH"/>
              </w:rPr>
            </w:pPr>
          </w:p>
        </w:tc>
        <w:tc>
          <w:tcPr>
            <w:tcW w:w="1233" w:type="dxa"/>
            <w:tcBorders>
              <w:top w:val="nil"/>
              <w:left w:val="nil"/>
              <w:bottom w:val="nil"/>
              <w:right w:val="nil"/>
            </w:tcBorders>
            <w:shd w:val="clear" w:color="auto" w:fill="auto"/>
            <w:noWrap/>
            <w:hideMark/>
          </w:tcPr>
          <w:p w14:paraId="4D4CDE32" w14:textId="77777777" w:rsidR="00E91813" w:rsidRPr="009E35ED" w:rsidRDefault="00E91813" w:rsidP="005E4F3F">
            <w:pPr>
              <w:ind w:left="0"/>
              <w:jc w:val="right"/>
              <w:rPr>
                <w:rFonts w:ascii="Arial Narrow" w:hAnsi="Arial Narrow" w:cs="Arial"/>
                <w:color w:val="000000" w:themeColor="text1"/>
                <w:sz w:val="20"/>
                <w:szCs w:val="20"/>
                <w:lang w:val="en-PH"/>
              </w:rPr>
            </w:pPr>
          </w:p>
        </w:tc>
        <w:tc>
          <w:tcPr>
            <w:tcW w:w="1213" w:type="dxa"/>
            <w:tcBorders>
              <w:top w:val="nil"/>
              <w:left w:val="nil"/>
              <w:bottom w:val="nil"/>
              <w:right w:val="nil"/>
            </w:tcBorders>
            <w:shd w:val="clear" w:color="auto" w:fill="auto"/>
            <w:noWrap/>
            <w:hideMark/>
          </w:tcPr>
          <w:p w14:paraId="18F4F816" w14:textId="77777777" w:rsidR="00E91813" w:rsidRPr="009E35ED" w:rsidRDefault="00E91813" w:rsidP="005E4F3F">
            <w:pPr>
              <w:ind w:left="0" w:right="-90"/>
              <w:jc w:val="right"/>
              <w:rPr>
                <w:rFonts w:ascii="Arial Narrow" w:hAnsi="Arial Narrow" w:cs="Arial"/>
                <w:color w:val="000000" w:themeColor="text1"/>
                <w:sz w:val="20"/>
                <w:szCs w:val="20"/>
                <w:lang w:val="en-PH"/>
              </w:rPr>
            </w:pPr>
          </w:p>
        </w:tc>
      </w:tr>
      <w:tr w:rsidR="00997F75" w:rsidRPr="009E35ED" w14:paraId="3F2330D7" w14:textId="77777777" w:rsidTr="005E4F3F">
        <w:trPr>
          <w:trHeight w:val="72"/>
        </w:trPr>
        <w:tc>
          <w:tcPr>
            <w:tcW w:w="2542" w:type="dxa"/>
            <w:tcBorders>
              <w:top w:val="nil"/>
              <w:left w:val="nil"/>
              <w:bottom w:val="nil"/>
              <w:right w:val="nil"/>
            </w:tcBorders>
            <w:shd w:val="clear" w:color="auto" w:fill="auto"/>
            <w:noWrap/>
            <w:hideMark/>
          </w:tcPr>
          <w:p w14:paraId="4DBB0B4C" w14:textId="77777777" w:rsidR="00E91813" w:rsidRPr="009E35ED" w:rsidRDefault="00E91813" w:rsidP="005E4F3F">
            <w:pPr>
              <w:ind w:left="0" w:hanging="90"/>
              <w:jc w:val="left"/>
              <w:rPr>
                <w:rFonts w:ascii="Arial Narrow" w:hAnsi="Arial Narrow" w:cs="Arial"/>
                <w:b/>
                <w:bCs/>
                <w:color w:val="000000" w:themeColor="text1"/>
                <w:sz w:val="20"/>
                <w:szCs w:val="20"/>
                <w:lang w:val="en-PH"/>
              </w:rPr>
            </w:pPr>
            <w:r w:rsidRPr="009E35ED">
              <w:rPr>
                <w:rFonts w:ascii="Arial Narrow" w:hAnsi="Arial Narrow" w:cs="Arial"/>
                <w:b/>
                <w:bCs/>
                <w:color w:val="000000" w:themeColor="text1"/>
                <w:sz w:val="20"/>
                <w:szCs w:val="20"/>
                <w:lang w:val="en-PH"/>
              </w:rPr>
              <w:t>I. Prize Fund  (55% of NR)</w:t>
            </w:r>
          </w:p>
        </w:tc>
        <w:tc>
          <w:tcPr>
            <w:tcW w:w="1122" w:type="dxa"/>
            <w:tcBorders>
              <w:top w:val="nil"/>
              <w:left w:val="nil"/>
              <w:bottom w:val="nil"/>
              <w:right w:val="nil"/>
            </w:tcBorders>
            <w:shd w:val="clear" w:color="auto" w:fill="auto"/>
            <w:noWrap/>
            <w:hideMark/>
          </w:tcPr>
          <w:p w14:paraId="1BAD399B" w14:textId="77777777" w:rsidR="00E91813" w:rsidRPr="009E35ED" w:rsidRDefault="00E91813" w:rsidP="005E4F3F">
            <w:pPr>
              <w:ind w:left="0"/>
              <w:jc w:val="right"/>
              <w:rPr>
                <w:rFonts w:ascii="Arial Narrow" w:hAnsi="Arial Narrow" w:cs="Arial"/>
                <w:b/>
                <w:bCs/>
                <w:color w:val="000000" w:themeColor="text1"/>
                <w:sz w:val="20"/>
                <w:szCs w:val="20"/>
                <w:lang w:val="en-PH"/>
              </w:rPr>
            </w:pPr>
            <w:r w:rsidRPr="009E35ED">
              <w:rPr>
                <w:rFonts w:ascii="Arial Narrow" w:hAnsi="Arial Narrow" w:cs="Arial"/>
                <w:b/>
                <w:bCs/>
                <w:color w:val="000000" w:themeColor="text1"/>
                <w:sz w:val="20"/>
                <w:szCs w:val="20"/>
                <w:lang w:val="en-PH"/>
              </w:rPr>
              <w:t>53.90%</w:t>
            </w:r>
          </w:p>
        </w:tc>
        <w:tc>
          <w:tcPr>
            <w:tcW w:w="1180" w:type="dxa"/>
            <w:tcBorders>
              <w:top w:val="nil"/>
              <w:left w:val="nil"/>
              <w:bottom w:val="nil"/>
              <w:right w:val="nil"/>
            </w:tcBorders>
            <w:shd w:val="clear" w:color="auto" w:fill="auto"/>
            <w:noWrap/>
            <w:hideMark/>
          </w:tcPr>
          <w:p w14:paraId="5F879E5D" w14:textId="77777777" w:rsidR="00E91813" w:rsidRPr="009E35ED" w:rsidRDefault="00E91813" w:rsidP="005E4F3F">
            <w:pPr>
              <w:ind w:left="0"/>
              <w:jc w:val="right"/>
              <w:rPr>
                <w:rFonts w:ascii="Arial Narrow" w:hAnsi="Arial Narrow" w:cs="Arial"/>
                <w:b/>
                <w:bCs/>
                <w:color w:val="000000" w:themeColor="text1"/>
                <w:sz w:val="20"/>
                <w:szCs w:val="20"/>
                <w:lang w:val="en-PH"/>
              </w:rPr>
            </w:pPr>
            <w:r w:rsidRPr="009E35ED">
              <w:rPr>
                <w:rFonts w:ascii="Arial Narrow" w:hAnsi="Arial Narrow" w:cs="Arial"/>
                <w:b/>
                <w:bCs/>
                <w:color w:val="000000" w:themeColor="text1"/>
                <w:sz w:val="20"/>
                <w:szCs w:val="20"/>
                <w:lang w:val="en-PH"/>
              </w:rPr>
              <w:t>53.90%</w:t>
            </w:r>
          </w:p>
        </w:tc>
        <w:tc>
          <w:tcPr>
            <w:tcW w:w="1180" w:type="dxa"/>
            <w:tcBorders>
              <w:top w:val="nil"/>
              <w:left w:val="nil"/>
              <w:bottom w:val="nil"/>
              <w:right w:val="nil"/>
            </w:tcBorders>
            <w:shd w:val="clear" w:color="auto" w:fill="auto"/>
            <w:noWrap/>
            <w:hideMark/>
          </w:tcPr>
          <w:p w14:paraId="70D33252" w14:textId="77777777" w:rsidR="00E91813" w:rsidRPr="009E35ED" w:rsidRDefault="00E91813" w:rsidP="005E4F3F">
            <w:pPr>
              <w:ind w:left="0"/>
              <w:jc w:val="right"/>
              <w:rPr>
                <w:rFonts w:ascii="Arial Narrow" w:hAnsi="Arial Narrow" w:cs="Arial"/>
                <w:b/>
                <w:bCs/>
                <w:color w:val="000000" w:themeColor="text1"/>
                <w:sz w:val="20"/>
                <w:szCs w:val="20"/>
                <w:lang w:val="en-PH"/>
              </w:rPr>
            </w:pPr>
            <w:r w:rsidRPr="009E35ED">
              <w:rPr>
                <w:rFonts w:ascii="Arial Narrow" w:hAnsi="Arial Narrow" w:cs="Arial"/>
                <w:b/>
                <w:bCs/>
                <w:color w:val="000000" w:themeColor="text1"/>
                <w:sz w:val="20"/>
                <w:szCs w:val="20"/>
                <w:lang w:val="en-PH"/>
              </w:rPr>
              <w:t>53.90%</w:t>
            </w:r>
          </w:p>
        </w:tc>
        <w:tc>
          <w:tcPr>
            <w:tcW w:w="1233" w:type="dxa"/>
            <w:tcBorders>
              <w:top w:val="nil"/>
              <w:left w:val="nil"/>
              <w:bottom w:val="nil"/>
              <w:right w:val="nil"/>
            </w:tcBorders>
            <w:shd w:val="clear" w:color="auto" w:fill="auto"/>
            <w:noWrap/>
            <w:hideMark/>
          </w:tcPr>
          <w:p w14:paraId="713E5A23" w14:textId="77777777" w:rsidR="00E91813" w:rsidRPr="009E35ED" w:rsidRDefault="00E91813" w:rsidP="005E4F3F">
            <w:pPr>
              <w:ind w:left="0"/>
              <w:jc w:val="right"/>
              <w:rPr>
                <w:rFonts w:ascii="Arial Narrow" w:hAnsi="Arial Narrow" w:cs="Arial"/>
                <w:b/>
                <w:bCs/>
                <w:color w:val="000000" w:themeColor="text1"/>
                <w:sz w:val="20"/>
                <w:szCs w:val="20"/>
                <w:lang w:val="en-PH"/>
              </w:rPr>
            </w:pPr>
            <w:r w:rsidRPr="009E35ED">
              <w:rPr>
                <w:rFonts w:ascii="Arial Narrow" w:hAnsi="Arial Narrow" w:cs="Arial"/>
                <w:b/>
                <w:bCs/>
                <w:color w:val="000000" w:themeColor="text1"/>
                <w:sz w:val="20"/>
                <w:szCs w:val="20"/>
                <w:lang w:val="en-PH"/>
              </w:rPr>
              <w:t>53.90%</w:t>
            </w:r>
          </w:p>
        </w:tc>
        <w:tc>
          <w:tcPr>
            <w:tcW w:w="1213" w:type="dxa"/>
            <w:tcBorders>
              <w:top w:val="nil"/>
              <w:left w:val="nil"/>
              <w:bottom w:val="nil"/>
              <w:right w:val="nil"/>
            </w:tcBorders>
            <w:shd w:val="clear" w:color="auto" w:fill="auto"/>
            <w:noWrap/>
            <w:hideMark/>
          </w:tcPr>
          <w:p w14:paraId="0014F5B7" w14:textId="77777777" w:rsidR="00E91813" w:rsidRPr="009E35ED" w:rsidRDefault="00E91813" w:rsidP="005E4F3F">
            <w:pPr>
              <w:ind w:left="0" w:right="-90"/>
              <w:jc w:val="right"/>
              <w:rPr>
                <w:rFonts w:ascii="Arial Narrow" w:hAnsi="Arial Narrow" w:cs="Arial"/>
                <w:b/>
                <w:bCs/>
                <w:color w:val="000000" w:themeColor="text1"/>
                <w:sz w:val="20"/>
                <w:szCs w:val="20"/>
                <w:lang w:val="en-PH"/>
              </w:rPr>
            </w:pPr>
            <w:r w:rsidRPr="009E35ED">
              <w:rPr>
                <w:rFonts w:ascii="Arial Narrow" w:hAnsi="Arial Narrow" w:cs="Arial"/>
                <w:b/>
                <w:bCs/>
                <w:color w:val="000000" w:themeColor="text1"/>
                <w:sz w:val="20"/>
                <w:szCs w:val="20"/>
                <w:lang w:val="en-PH"/>
              </w:rPr>
              <w:t>53.90%</w:t>
            </w:r>
          </w:p>
        </w:tc>
      </w:tr>
      <w:tr w:rsidR="00997F75" w:rsidRPr="009E35ED" w14:paraId="382C412D" w14:textId="77777777" w:rsidTr="005E4F3F">
        <w:trPr>
          <w:trHeight w:val="72"/>
        </w:trPr>
        <w:tc>
          <w:tcPr>
            <w:tcW w:w="2542" w:type="dxa"/>
            <w:tcBorders>
              <w:top w:val="nil"/>
              <w:left w:val="nil"/>
              <w:bottom w:val="nil"/>
              <w:right w:val="nil"/>
            </w:tcBorders>
            <w:shd w:val="clear" w:color="auto" w:fill="auto"/>
            <w:noWrap/>
            <w:hideMark/>
          </w:tcPr>
          <w:p w14:paraId="44158D43" w14:textId="77777777" w:rsidR="00E91813" w:rsidRPr="009E35ED" w:rsidRDefault="00E91813" w:rsidP="005E4F3F">
            <w:pPr>
              <w:ind w:left="0" w:hanging="90"/>
              <w:jc w:val="lef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Agent's Commission</w:t>
            </w:r>
          </w:p>
        </w:tc>
        <w:tc>
          <w:tcPr>
            <w:tcW w:w="1122" w:type="dxa"/>
            <w:tcBorders>
              <w:top w:val="nil"/>
              <w:left w:val="nil"/>
              <w:bottom w:val="nil"/>
              <w:right w:val="nil"/>
            </w:tcBorders>
            <w:shd w:val="clear" w:color="auto" w:fill="auto"/>
            <w:noWrap/>
            <w:hideMark/>
          </w:tcPr>
          <w:p w14:paraId="09D90CB3" w14:textId="72F7FF0A" w:rsidR="00E91813" w:rsidRPr="009E35ED" w:rsidRDefault="00E91813" w:rsidP="005E4F3F">
            <w:pPr>
              <w:ind w:left="0"/>
              <w:jc w:val="righ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8.50%</w:t>
            </w:r>
          </w:p>
        </w:tc>
        <w:tc>
          <w:tcPr>
            <w:tcW w:w="1180" w:type="dxa"/>
            <w:tcBorders>
              <w:top w:val="nil"/>
              <w:left w:val="nil"/>
              <w:bottom w:val="nil"/>
              <w:right w:val="nil"/>
            </w:tcBorders>
            <w:shd w:val="clear" w:color="auto" w:fill="auto"/>
            <w:noWrap/>
            <w:hideMark/>
          </w:tcPr>
          <w:p w14:paraId="66C8DBD5" w14:textId="764F4EB3" w:rsidR="00E91813" w:rsidRPr="009E35ED" w:rsidRDefault="00E91813" w:rsidP="005E4F3F">
            <w:pPr>
              <w:ind w:left="0"/>
              <w:jc w:val="righ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8.50%</w:t>
            </w:r>
          </w:p>
        </w:tc>
        <w:tc>
          <w:tcPr>
            <w:tcW w:w="1180" w:type="dxa"/>
            <w:tcBorders>
              <w:top w:val="nil"/>
              <w:left w:val="nil"/>
              <w:bottom w:val="nil"/>
              <w:right w:val="nil"/>
            </w:tcBorders>
            <w:shd w:val="clear" w:color="auto" w:fill="auto"/>
            <w:noWrap/>
            <w:hideMark/>
          </w:tcPr>
          <w:p w14:paraId="42A66C0C" w14:textId="018B9508" w:rsidR="00E91813" w:rsidRPr="009E35ED" w:rsidRDefault="00E91813" w:rsidP="005E4F3F">
            <w:pPr>
              <w:ind w:left="0"/>
              <w:jc w:val="righ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8.50%</w:t>
            </w:r>
          </w:p>
        </w:tc>
        <w:tc>
          <w:tcPr>
            <w:tcW w:w="1233" w:type="dxa"/>
            <w:tcBorders>
              <w:top w:val="nil"/>
              <w:left w:val="nil"/>
              <w:bottom w:val="nil"/>
              <w:right w:val="nil"/>
            </w:tcBorders>
            <w:shd w:val="clear" w:color="auto" w:fill="auto"/>
            <w:noWrap/>
            <w:hideMark/>
          </w:tcPr>
          <w:p w14:paraId="058BD0E5" w14:textId="7F2FBD63" w:rsidR="00E91813" w:rsidRPr="009E35ED" w:rsidRDefault="00E91813" w:rsidP="005E4F3F">
            <w:pPr>
              <w:ind w:left="0"/>
              <w:jc w:val="righ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8.50%</w:t>
            </w:r>
          </w:p>
        </w:tc>
        <w:tc>
          <w:tcPr>
            <w:tcW w:w="1213" w:type="dxa"/>
            <w:tcBorders>
              <w:top w:val="nil"/>
              <w:left w:val="nil"/>
              <w:bottom w:val="nil"/>
              <w:right w:val="nil"/>
            </w:tcBorders>
            <w:shd w:val="clear" w:color="auto" w:fill="auto"/>
            <w:noWrap/>
            <w:hideMark/>
          </w:tcPr>
          <w:p w14:paraId="5FD98E12" w14:textId="5E0F21DB" w:rsidR="00E91813" w:rsidRPr="009E35ED" w:rsidRDefault="00E91813" w:rsidP="005E4F3F">
            <w:pPr>
              <w:ind w:left="0" w:right="-90"/>
              <w:jc w:val="righ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8.50%</w:t>
            </w:r>
          </w:p>
        </w:tc>
      </w:tr>
      <w:tr w:rsidR="00997F75" w:rsidRPr="009E35ED" w14:paraId="4FD86DA1" w14:textId="77777777" w:rsidTr="0009222F">
        <w:trPr>
          <w:trHeight w:val="90"/>
        </w:trPr>
        <w:tc>
          <w:tcPr>
            <w:tcW w:w="2542" w:type="dxa"/>
            <w:tcBorders>
              <w:top w:val="nil"/>
              <w:left w:val="nil"/>
              <w:right w:val="nil"/>
            </w:tcBorders>
            <w:shd w:val="clear" w:color="auto" w:fill="auto"/>
            <w:noWrap/>
            <w:hideMark/>
          </w:tcPr>
          <w:p w14:paraId="14CD1FC3" w14:textId="77777777" w:rsidR="00E91813" w:rsidRPr="009E35ED" w:rsidRDefault="00E91813" w:rsidP="005E4F3F">
            <w:pPr>
              <w:ind w:left="0" w:hanging="90"/>
              <w:jc w:val="lef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Direct Cost – ELA</w:t>
            </w:r>
          </w:p>
        </w:tc>
        <w:tc>
          <w:tcPr>
            <w:tcW w:w="1122" w:type="dxa"/>
            <w:tcBorders>
              <w:top w:val="nil"/>
              <w:left w:val="nil"/>
              <w:right w:val="nil"/>
            </w:tcBorders>
            <w:shd w:val="clear" w:color="auto" w:fill="auto"/>
            <w:noWrap/>
            <w:hideMark/>
          </w:tcPr>
          <w:p w14:paraId="1C482919" w14:textId="77777777" w:rsidR="00E91813" w:rsidRPr="009E35ED" w:rsidRDefault="00E91813" w:rsidP="005E4F3F">
            <w:pPr>
              <w:ind w:left="0"/>
              <w:jc w:val="righ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3.69%</w:t>
            </w:r>
          </w:p>
        </w:tc>
        <w:tc>
          <w:tcPr>
            <w:tcW w:w="1180" w:type="dxa"/>
            <w:tcBorders>
              <w:top w:val="nil"/>
              <w:left w:val="nil"/>
              <w:right w:val="nil"/>
            </w:tcBorders>
            <w:shd w:val="clear" w:color="auto" w:fill="auto"/>
            <w:noWrap/>
            <w:hideMark/>
          </w:tcPr>
          <w:p w14:paraId="175D72D6" w14:textId="77777777" w:rsidR="00E91813" w:rsidRPr="009E35ED" w:rsidRDefault="00E91813" w:rsidP="005E4F3F">
            <w:pPr>
              <w:ind w:left="0"/>
              <w:jc w:val="righ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3.69%</w:t>
            </w:r>
          </w:p>
        </w:tc>
        <w:tc>
          <w:tcPr>
            <w:tcW w:w="1180" w:type="dxa"/>
            <w:tcBorders>
              <w:top w:val="nil"/>
              <w:left w:val="nil"/>
              <w:right w:val="nil"/>
            </w:tcBorders>
            <w:shd w:val="clear" w:color="auto" w:fill="auto"/>
            <w:noWrap/>
            <w:hideMark/>
          </w:tcPr>
          <w:p w14:paraId="770B2B8B" w14:textId="77777777" w:rsidR="00E91813" w:rsidRPr="009E35ED" w:rsidRDefault="00E91813" w:rsidP="005E4F3F">
            <w:pPr>
              <w:ind w:left="0"/>
              <w:jc w:val="righ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3.69%</w:t>
            </w:r>
          </w:p>
        </w:tc>
        <w:tc>
          <w:tcPr>
            <w:tcW w:w="1233" w:type="dxa"/>
            <w:tcBorders>
              <w:top w:val="nil"/>
              <w:left w:val="nil"/>
              <w:right w:val="nil"/>
            </w:tcBorders>
            <w:shd w:val="clear" w:color="auto" w:fill="auto"/>
            <w:noWrap/>
            <w:hideMark/>
          </w:tcPr>
          <w:p w14:paraId="02926F5B" w14:textId="77777777" w:rsidR="00E91813" w:rsidRPr="009E35ED" w:rsidRDefault="00E91813" w:rsidP="005E4F3F">
            <w:pPr>
              <w:ind w:left="0"/>
              <w:jc w:val="righ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3.69%</w:t>
            </w:r>
          </w:p>
        </w:tc>
        <w:tc>
          <w:tcPr>
            <w:tcW w:w="1213" w:type="dxa"/>
            <w:tcBorders>
              <w:top w:val="nil"/>
              <w:left w:val="nil"/>
              <w:right w:val="nil"/>
            </w:tcBorders>
            <w:shd w:val="clear" w:color="auto" w:fill="auto"/>
            <w:noWrap/>
            <w:hideMark/>
          </w:tcPr>
          <w:p w14:paraId="46C6B346" w14:textId="77777777" w:rsidR="00E91813" w:rsidRPr="009E35ED" w:rsidRDefault="00E91813" w:rsidP="005E4F3F">
            <w:pPr>
              <w:ind w:left="0" w:right="-90"/>
              <w:jc w:val="righ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3.69%</w:t>
            </w:r>
          </w:p>
        </w:tc>
      </w:tr>
      <w:tr w:rsidR="00997F75" w:rsidRPr="009E35ED" w14:paraId="1526246D" w14:textId="77777777" w:rsidTr="0009222F">
        <w:trPr>
          <w:trHeight w:val="189"/>
        </w:trPr>
        <w:tc>
          <w:tcPr>
            <w:tcW w:w="2542" w:type="dxa"/>
            <w:tcBorders>
              <w:top w:val="nil"/>
              <w:left w:val="nil"/>
              <w:right w:val="nil"/>
            </w:tcBorders>
            <w:shd w:val="clear" w:color="auto" w:fill="auto"/>
            <w:noWrap/>
            <w:hideMark/>
          </w:tcPr>
          <w:p w14:paraId="5BD5A9C4" w14:textId="77777777" w:rsidR="00E91813" w:rsidRPr="009E35ED" w:rsidRDefault="00E91813" w:rsidP="005E4F3F">
            <w:pPr>
              <w:ind w:left="0" w:hanging="90"/>
              <w:jc w:val="lef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Prize Margin/Reserved Fund</w:t>
            </w:r>
          </w:p>
        </w:tc>
        <w:tc>
          <w:tcPr>
            <w:tcW w:w="1122" w:type="dxa"/>
            <w:tcBorders>
              <w:top w:val="nil"/>
              <w:left w:val="nil"/>
              <w:right w:val="nil"/>
            </w:tcBorders>
            <w:shd w:val="clear" w:color="auto" w:fill="auto"/>
            <w:noWrap/>
            <w:hideMark/>
          </w:tcPr>
          <w:p w14:paraId="2EDEA5C3" w14:textId="7EA5255B" w:rsidR="00E91813" w:rsidRPr="009E35ED" w:rsidRDefault="00E91813" w:rsidP="00E91813">
            <w:pPr>
              <w:ind w:left="0"/>
              <w:jc w:val="right"/>
              <w:rPr>
                <w:rFonts w:ascii="Arial Narrow" w:hAnsi="Arial Narrow" w:cs="Arial"/>
                <w:b/>
                <w:bCs/>
                <w:color w:val="000000" w:themeColor="text1"/>
                <w:sz w:val="20"/>
                <w:szCs w:val="20"/>
                <w:lang w:val="en-PH"/>
              </w:rPr>
            </w:pPr>
            <w:r w:rsidRPr="009E35ED">
              <w:rPr>
                <w:rFonts w:ascii="Arial Narrow" w:hAnsi="Arial Narrow" w:cs="Arial"/>
                <w:b/>
                <w:bCs/>
                <w:color w:val="000000" w:themeColor="text1"/>
                <w:sz w:val="20"/>
                <w:szCs w:val="20"/>
                <w:lang w:val="en-PH"/>
              </w:rPr>
              <w:t>7.71%</w:t>
            </w:r>
          </w:p>
        </w:tc>
        <w:tc>
          <w:tcPr>
            <w:tcW w:w="1180" w:type="dxa"/>
            <w:tcBorders>
              <w:top w:val="nil"/>
              <w:left w:val="nil"/>
              <w:right w:val="nil"/>
            </w:tcBorders>
            <w:shd w:val="clear" w:color="auto" w:fill="auto"/>
            <w:noWrap/>
            <w:hideMark/>
          </w:tcPr>
          <w:p w14:paraId="2E89F059" w14:textId="3D09850E" w:rsidR="00E91813" w:rsidRPr="009E35ED" w:rsidRDefault="00E91813" w:rsidP="005E4F3F">
            <w:pPr>
              <w:ind w:left="0"/>
              <w:jc w:val="right"/>
              <w:rPr>
                <w:rFonts w:ascii="Arial Narrow" w:hAnsi="Arial Narrow" w:cs="Arial"/>
                <w:b/>
                <w:bCs/>
                <w:color w:val="000000" w:themeColor="text1"/>
                <w:sz w:val="20"/>
                <w:szCs w:val="20"/>
                <w:lang w:val="en-PH"/>
              </w:rPr>
            </w:pPr>
            <w:r w:rsidRPr="009E35ED">
              <w:rPr>
                <w:rFonts w:ascii="Arial Narrow" w:hAnsi="Arial Narrow" w:cs="Arial"/>
                <w:b/>
                <w:bCs/>
                <w:color w:val="000000" w:themeColor="text1"/>
                <w:sz w:val="20"/>
                <w:szCs w:val="20"/>
                <w:lang w:val="en-PH"/>
              </w:rPr>
              <w:t>7.71%</w:t>
            </w:r>
          </w:p>
        </w:tc>
        <w:tc>
          <w:tcPr>
            <w:tcW w:w="1180" w:type="dxa"/>
            <w:tcBorders>
              <w:top w:val="nil"/>
              <w:left w:val="nil"/>
              <w:right w:val="nil"/>
            </w:tcBorders>
            <w:shd w:val="clear" w:color="auto" w:fill="auto"/>
            <w:noWrap/>
            <w:hideMark/>
          </w:tcPr>
          <w:p w14:paraId="7CD65D3F" w14:textId="5801FD70" w:rsidR="00E91813" w:rsidRPr="009E35ED" w:rsidRDefault="00E91813" w:rsidP="005E4F3F">
            <w:pPr>
              <w:ind w:left="0"/>
              <w:jc w:val="right"/>
              <w:rPr>
                <w:rFonts w:ascii="Arial Narrow" w:hAnsi="Arial Narrow" w:cs="Arial"/>
                <w:b/>
                <w:bCs/>
                <w:color w:val="000000" w:themeColor="text1"/>
                <w:sz w:val="20"/>
                <w:szCs w:val="20"/>
                <w:lang w:val="en-PH"/>
              </w:rPr>
            </w:pPr>
            <w:r w:rsidRPr="009E35ED">
              <w:rPr>
                <w:rFonts w:ascii="Arial Narrow" w:hAnsi="Arial Narrow" w:cs="Arial"/>
                <w:b/>
                <w:bCs/>
                <w:color w:val="000000" w:themeColor="text1"/>
                <w:sz w:val="20"/>
                <w:szCs w:val="20"/>
                <w:lang w:val="en-PH"/>
              </w:rPr>
              <w:t>7.71%</w:t>
            </w:r>
          </w:p>
        </w:tc>
        <w:tc>
          <w:tcPr>
            <w:tcW w:w="1233" w:type="dxa"/>
            <w:tcBorders>
              <w:top w:val="nil"/>
              <w:left w:val="nil"/>
              <w:right w:val="nil"/>
            </w:tcBorders>
            <w:shd w:val="clear" w:color="auto" w:fill="auto"/>
            <w:noWrap/>
            <w:hideMark/>
          </w:tcPr>
          <w:p w14:paraId="46C42EB3" w14:textId="45F4BAD9" w:rsidR="00E91813" w:rsidRPr="009E35ED" w:rsidRDefault="00E91813" w:rsidP="005E4F3F">
            <w:pPr>
              <w:ind w:left="0"/>
              <w:jc w:val="right"/>
              <w:rPr>
                <w:rFonts w:ascii="Arial Narrow" w:hAnsi="Arial Narrow" w:cs="Arial"/>
                <w:b/>
                <w:bCs/>
                <w:color w:val="000000" w:themeColor="text1"/>
                <w:sz w:val="20"/>
                <w:szCs w:val="20"/>
                <w:lang w:val="en-PH"/>
              </w:rPr>
            </w:pPr>
            <w:r w:rsidRPr="009E35ED">
              <w:rPr>
                <w:rFonts w:ascii="Arial Narrow" w:hAnsi="Arial Narrow" w:cs="Arial"/>
                <w:b/>
                <w:bCs/>
                <w:color w:val="000000" w:themeColor="text1"/>
                <w:sz w:val="20"/>
                <w:szCs w:val="20"/>
                <w:lang w:val="en-PH"/>
              </w:rPr>
              <w:t>7.71%</w:t>
            </w:r>
          </w:p>
        </w:tc>
        <w:tc>
          <w:tcPr>
            <w:tcW w:w="1213" w:type="dxa"/>
            <w:tcBorders>
              <w:top w:val="nil"/>
              <w:left w:val="nil"/>
              <w:right w:val="nil"/>
            </w:tcBorders>
            <w:shd w:val="clear" w:color="auto" w:fill="auto"/>
            <w:noWrap/>
            <w:hideMark/>
          </w:tcPr>
          <w:p w14:paraId="1ABEE047" w14:textId="77777777" w:rsidR="0009222F" w:rsidRPr="009E35ED" w:rsidRDefault="00E91813" w:rsidP="0009222F">
            <w:pPr>
              <w:ind w:left="0" w:right="-90"/>
              <w:jc w:val="right"/>
              <w:rPr>
                <w:rFonts w:ascii="Arial Narrow" w:hAnsi="Arial Narrow" w:cs="Arial"/>
                <w:b/>
                <w:bCs/>
                <w:color w:val="000000" w:themeColor="text1"/>
                <w:sz w:val="20"/>
                <w:szCs w:val="20"/>
                <w:lang w:val="en-PH"/>
              </w:rPr>
            </w:pPr>
            <w:r w:rsidRPr="009E35ED">
              <w:rPr>
                <w:rFonts w:ascii="Arial Narrow" w:hAnsi="Arial Narrow" w:cs="Arial"/>
                <w:b/>
                <w:bCs/>
                <w:color w:val="000000" w:themeColor="text1"/>
                <w:sz w:val="20"/>
                <w:szCs w:val="20"/>
                <w:lang w:val="en-PH"/>
              </w:rPr>
              <w:t>7.71</w:t>
            </w:r>
            <w:r w:rsidR="0009222F" w:rsidRPr="009E35ED">
              <w:rPr>
                <w:rFonts w:ascii="Arial Narrow" w:hAnsi="Arial Narrow" w:cs="Arial"/>
                <w:b/>
                <w:bCs/>
                <w:color w:val="000000" w:themeColor="text1"/>
                <w:sz w:val="20"/>
                <w:szCs w:val="20"/>
                <w:lang w:val="en-PH"/>
              </w:rPr>
              <w:t>%</w:t>
            </w:r>
          </w:p>
          <w:p w14:paraId="6F4069C2" w14:textId="2F2E3548" w:rsidR="0009222F" w:rsidRPr="009E35ED" w:rsidRDefault="0009222F" w:rsidP="0009222F">
            <w:pPr>
              <w:ind w:left="0" w:right="-90"/>
              <w:jc w:val="right"/>
              <w:rPr>
                <w:rFonts w:ascii="Arial Narrow" w:hAnsi="Arial Narrow" w:cs="Arial"/>
                <w:b/>
                <w:bCs/>
                <w:color w:val="000000" w:themeColor="text1"/>
                <w:sz w:val="20"/>
                <w:szCs w:val="20"/>
                <w:lang w:val="en-PH"/>
              </w:rPr>
            </w:pPr>
          </w:p>
        </w:tc>
      </w:tr>
      <w:tr w:rsidR="00997F75" w:rsidRPr="009E35ED" w14:paraId="065BE375" w14:textId="77777777" w:rsidTr="0009222F">
        <w:trPr>
          <w:trHeight w:val="252"/>
        </w:trPr>
        <w:tc>
          <w:tcPr>
            <w:tcW w:w="2542" w:type="dxa"/>
            <w:tcBorders>
              <w:left w:val="nil"/>
              <w:bottom w:val="single" w:sz="4" w:space="0" w:color="auto"/>
              <w:right w:val="nil"/>
            </w:tcBorders>
            <w:shd w:val="clear" w:color="auto" w:fill="auto"/>
            <w:noWrap/>
          </w:tcPr>
          <w:p w14:paraId="32EBD25F" w14:textId="77777777" w:rsidR="0009222F" w:rsidRPr="009E35ED" w:rsidRDefault="0009222F" w:rsidP="0009222F">
            <w:pPr>
              <w:ind w:left="0" w:hanging="90"/>
              <w:jc w:val="left"/>
              <w:rPr>
                <w:rFonts w:ascii="Arial Narrow" w:hAnsi="Arial Narrow" w:cs="Arial"/>
                <w:b/>
                <w:bCs/>
                <w:color w:val="000000" w:themeColor="text1"/>
                <w:sz w:val="20"/>
                <w:szCs w:val="20"/>
                <w:lang w:val="en-PH"/>
              </w:rPr>
            </w:pPr>
          </w:p>
        </w:tc>
        <w:tc>
          <w:tcPr>
            <w:tcW w:w="1122" w:type="dxa"/>
            <w:tcBorders>
              <w:left w:val="nil"/>
              <w:bottom w:val="single" w:sz="4" w:space="0" w:color="auto"/>
              <w:right w:val="nil"/>
            </w:tcBorders>
            <w:shd w:val="clear" w:color="auto" w:fill="auto"/>
            <w:noWrap/>
          </w:tcPr>
          <w:p w14:paraId="1BF2568A" w14:textId="77777777" w:rsidR="0009222F" w:rsidRPr="009E35ED" w:rsidRDefault="0009222F" w:rsidP="0009222F">
            <w:pPr>
              <w:ind w:left="0"/>
              <w:jc w:val="right"/>
              <w:rPr>
                <w:rFonts w:ascii="Arial Narrow" w:hAnsi="Arial Narrow" w:cs="Arial"/>
                <w:b/>
                <w:bCs/>
                <w:color w:val="000000" w:themeColor="text1"/>
                <w:sz w:val="20"/>
                <w:szCs w:val="20"/>
                <w:lang w:val="en-PH"/>
              </w:rPr>
            </w:pPr>
          </w:p>
        </w:tc>
        <w:tc>
          <w:tcPr>
            <w:tcW w:w="1180" w:type="dxa"/>
            <w:tcBorders>
              <w:left w:val="nil"/>
              <w:bottom w:val="single" w:sz="4" w:space="0" w:color="auto"/>
              <w:right w:val="nil"/>
            </w:tcBorders>
            <w:shd w:val="clear" w:color="auto" w:fill="auto"/>
            <w:noWrap/>
          </w:tcPr>
          <w:p w14:paraId="3AEE9F4F" w14:textId="77777777" w:rsidR="0009222F" w:rsidRPr="009E35ED" w:rsidRDefault="0009222F" w:rsidP="0009222F">
            <w:pPr>
              <w:ind w:left="0"/>
              <w:jc w:val="right"/>
              <w:rPr>
                <w:rFonts w:ascii="Arial Narrow" w:hAnsi="Arial Narrow" w:cs="Arial"/>
                <w:b/>
                <w:bCs/>
                <w:color w:val="000000" w:themeColor="text1"/>
                <w:sz w:val="20"/>
                <w:szCs w:val="20"/>
                <w:lang w:val="en-PH"/>
              </w:rPr>
            </w:pPr>
          </w:p>
        </w:tc>
        <w:tc>
          <w:tcPr>
            <w:tcW w:w="1180" w:type="dxa"/>
            <w:tcBorders>
              <w:left w:val="nil"/>
              <w:bottom w:val="single" w:sz="4" w:space="0" w:color="auto"/>
              <w:right w:val="nil"/>
            </w:tcBorders>
            <w:shd w:val="clear" w:color="auto" w:fill="auto"/>
            <w:noWrap/>
          </w:tcPr>
          <w:p w14:paraId="6F6275DC" w14:textId="77777777" w:rsidR="0009222F" w:rsidRPr="009E35ED" w:rsidRDefault="0009222F" w:rsidP="0009222F">
            <w:pPr>
              <w:ind w:left="0"/>
              <w:jc w:val="right"/>
              <w:rPr>
                <w:rFonts w:ascii="Arial Narrow" w:hAnsi="Arial Narrow" w:cs="Arial"/>
                <w:b/>
                <w:bCs/>
                <w:color w:val="000000" w:themeColor="text1"/>
                <w:sz w:val="20"/>
                <w:szCs w:val="20"/>
                <w:lang w:val="en-PH"/>
              </w:rPr>
            </w:pPr>
          </w:p>
        </w:tc>
        <w:tc>
          <w:tcPr>
            <w:tcW w:w="1233" w:type="dxa"/>
            <w:tcBorders>
              <w:left w:val="nil"/>
              <w:bottom w:val="single" w:sz="4" w:space="0" w:color="auto"/>
              <w:right w:val="nil"/>
            </w:tcBorders>
            <w:shd w:val="clear" w:color="auto" w:fill="auto"/>
            <w:noWrap/>
          </w:tcPr>
          <w:p w14:paraId="2F5062CC" w14:textId="77777777" w:rsidR="0009222F" w:rsidRPr="009E35ED" w:rsidRDefault="0009222F" w:rsidP="0009222F">
            <w:pPr>
              <w:ind w:left="0"/>
              <w:jc w:val="right"/>
              <w:rPr>
                <w:rFonts w:ascii="Arial Narrow" w:hAnsi="Arial Narrow" w:cs="Arial"/>
                <w:b/>
                <w:bCs/>
                <w:color w:val="000000" w:themeColor="text1"/>
                <w:sz w:val="20"/>
                <w:szCs w:val="20"/>
                <w:lang w:val="en-PH"/>
              </w:rPr>
            </w:pPr>
          </w:p>
        </w:tc>
        <w:tc>
          <w:tcPr>
            <w:tcW w:w="1213" w:type="dxa"/>
            <w:tcBorders>
              <w:left w:val="nil"/>
              <w:bottom w:val="single" w:sz="4" w:space="0" w:color="auto"/>
              <w:right w:val="nil"/>
            </w:tcBorders>
            <w:shd w:val="clear" w:color="auto" w:fill="auto"/>
            <w:noWrap/>
          </w:tcPr>
          <w:p w14:paraId="39EAF8E9" w14:textId="77777777" w:rsidR="0009222F" w:rsidRPr="009E35ED" w:rsidRDefault="0009222F" w:rsidP="0009222F">
            <w:pPr>
              <w:ind w:left="0" w:right="-90"/>
              <w:jc w:val="right"/>
              <w:rPr>
                <w:rFonts w:ascii="Arial Narrow" w:hAnsi="Arial Narrow" w:cs="Arial"/>
                <w:b/>
                <w:bCs/>
                <w:color w:val="000000" w:themeColor="text1"/>
                <w:sz w:val="20"/>
                <w:szCs w:val="20"/>
                <w:lang w:val="en-PH"/>
              </w:rPr>
            </w:pPr>
          </w:p>
        </w:tc>
      </w:tr>
      <w:tr w:rsidR="00997F75" w:rsidRPr="009E35ED" w14:paraId="7F61B55D" w14:textId="77777777" w:rsidTr="0009222F">
        <w:trPr>
          <w:trHeight w:val="252"/>
        </w:trPr>
        <w:tc>
          <w:tcPr>
            <w:tcW w:w="2542" w:type="dxa"/>
            <w:tcBorders>
              <w:left w:val="nil"/>
              <w:bottom w:val="single" w:sz="4" w:space="0" w:color="auto"/>
              <w:right w:val="nil"/>
            </w:tcBorders>
            <w:shd w:val="clear" w:color="auto" w:fill="auto"/>
            <w:noWrap/>
          </w:tcPr>
          <w:p w14:paraId="77B2A6B5" w14:textId="7983B5B6" w:rsidR="0009222F" w:rsidRPr="009E35ED" w:rsidRDefault="0009222F" w:rsidP="0009222F">
            <w:pPr>
              <w:ind w:left="0" w:hanging="90"/>
              <w:jc w:val="left"/>
              <w:rPr>
                <w:rFonts w:ascii="Arial Narrow" w:hAnsi="Arial Narrow" w:cs="Arial"/>
                <w:color w:val="000000" w:themeColor="text1"/>
                <w:sz w:val="20"/>
                <w:szCs w:val="20"/>
                <w:lang w:val="en-PH"/>
              </w:rPr>
            </w:pPr>
            <w:r w:rsidRPr="009E35ED">
              <w:rPr>
                <w:rFonts w:ascii="Arial Narrow" w:hAnsi="Arial Narrow" w:cs="Arial"/>
                <w:b/>
                <w:bCs/>
                <w:color w:val="000000" w:themeColor="text1"/>
                <w:sz w:val="20"/>
                <w:szCs w:val="20"/>
                <w:lang w:val="en-PH"/>
              </w:rPr>
              <w:t>Particulars</w:t>
            </w:r>
          </w:p>
        </w:tc>
        <w:tc>
          <w:tcPr>
            <w:tcW w:w="1122" w:type="dxa"/>
            <w:tcBorders>
              <w:left w:val="nil"/>
              <w:bottom w:val="single" w:sz="4" w:space="0" w:color="auto"/>
              <w:right w:val="nil"/>
            </w:tcBorders>
            <w:shd w:val="clear" w:color="auto" w:fill="auto"/>
            <w:noWrap/>
          </w:tcPr>
          <w:p w14:paraId="1BB27321" w14:textId="4CDF066B" w:rsidR="0009222F" w:rsidRPr="009E35ED" w:rsidRDefault="0009222F" w:rsidP="0009222F">
            <w:pPr>
              <w:ind w:left="0"/>
              <w:jc w:val="right"/>
              <w:rPr>
                <w:rFonts w:ascii="Arial Narrow" w:hAnsi="Arial Narrow" w:cs="Arial"/>
                <w:color w:val="000000" w:themeColor="text1"/>
                <w:sz w:val="20"/>
                <w:szCs w:val="20"/>
                <w:lang w:val="en-PH"/>
              </w:rPr>
            </w:pPr>
            <w:r w:rsidRPr="009E35ED">
              <w:rPr>
                <w:rFonts w:ascii="Arial Narrow" w:hAnsi="Arial Narrow" w:cs="Arial"/>
                <w:b/>
                <w:bCs/>
                <w:color w:val="000000" w:themeColor="text1"/>
                <w:sz w:val="20"/>
                <w:szCs w:val="20"/>
                <w:lang w:val="en-PH"/>
              </w:rPr>
              <w:t xml:space="preserve"> 6/49 </w:t>
            </w:r>
          </w:p>
        </w:tc>
        <w:tc>
          <w:tcPr>
            <w:tcW w:w="1180" w:type="dxa"/>
            <w:tcBorders>
              <w:left w:val="nil"/>
              <w:bottom w:val="single" w:sz="4" w:space="0" w:color="auto"/>
              <w:right w:val="nil"/>
            </w:tcBorders>
            <w:shd w:val="clear" w:color="auto" w:fill="auto"/>
            <w:noWrap/>
          </w:tcPr>
          <w:p w14:paraId="27F778C1" w14:textId="23062817" w:rsidR="0009222F" w:rsidRPr="009E35ED" w:rsidRDefault="0009222F" w:rsidP="0009222F">
            <w:pPr>
              <w:ind w:left="0"/>
              <w:jc w:val="right"/>
              <w:rPr>
                <w:rFonts w:ascii="Arial Narrow" w:hAnsi="Arial Narrow" w:cs="Arial"/>
                <w:color w:val="000000" w:themeColor="text1"/>
                <w:sz w:val="20"/>
                <w:szCs w:val="20"/>
                <w:lang w:val="en-PH"/>
              </w:rPr>
            </w:pPr>
            <w:r w:rsidRPr="009E35ED">
              <w:rPr>
                <w:rFonts w:ascii="Arial Narrow" w:hAnsi="Arial Narrow" w:cs="Arial"/>
                <w:b/>
                <w:bCs/>
                <w:color w:val="000000" w:themeColor="text1"/>
                <w:sz w:val="20"/>
                <w:szCs w:val="20"/>
                <w:lang w:val="en-PH"/>
              </w:rPr>
              <w:t xml:space="preserve"> 6/45 </w:t>
            </w:r>
          </w:p>
        </w:tc>
        <w:tc>
          <w:tcPr>
            <w:tcW w:w="1180" w:type="dxa"/>
            <w:tcBorders>
              <w:left w:val="nil"/>
              <w:bottom w:val="single" w:sz="4" w:space="0" w:color="auto"/>
              <w:right w:val="nil"/>
            </w:tcBorders>
            <w:shd w:val="clear" w:color="auto" w:fill="auto"/>
            <w:noWrap/>
          </w:tcPr>
          <w:p w14:paraId="5BE04DB1" w14:textId="3E3CBF71" w:rsidR="0009222F" w:rsidRPr="009E35ED" w:rsidRDefault="0009222F" w:rsidP="0009222F">
            <w:pPr>
              <w:ind w:left="0"/>
              <w:jc w:val="right"/>
              <w:rPr>
                <w:rFonts w:ascii="Arial Narrow" w:hAnsi="Arial Narrow" w:cs="Arial"/>
                <w:color w:val="000000" w:themeColor="text1"/>
                <w:sz w:val="20"/>
                <w:szCs w:val="20"/>
                <w:lang w:val="en-PH"/>
              </w:rPr>
            </w:pPr>
            <w:r w:rsidRPr="009E35ED">
              <w:rPr>
                <w:rFonts w:ascii="Arial Narrow" w:hAnsi="Arial Narrow" w:cs="Arial"/>
                <w:b/>
                <w:bCs/>
                <w:color w:val="000000" w:themeColor="text1"/>
                <w:sz w:val="20"/>
                <w:szCs w:val="20"/>
                <w:lang w:val="en-PH"/>
              </w:rPr>
              <w:t xml:space="preserve"> 6/42 </w:t>
            </w:r>
          </w:p>
        </w:tc>
        <w:tc>
          <w:tcPr>
            <w:tcW w:w="1233" w:type="dxa"/>
            <w:tcBorders>
              <w:left w:val="nil"/>
              <w:bottom w:val="single" w:sz="4" w:space="0" w:color="auto"/>
              <w:right w:val="nil"/>
            </w:tcBorders>
            <w:shd w:val="clear" w:color="auto" w:fill="auto"/>
            <w:noWrap/>
          </w:tcPr>
          <w:p w14:paraId="47116760" w14:textId="3B8917A9" w:rsidR="0009222F" w:rsidRPr="009E35ED" w:rsidRDefault="0009222F" w:rsidP="0009222F">
            <w:pPr>
              <w:ind w:left="0"/>
              <w:jc w:val="right"/>
              <w:rPr>
                <w:rFonts w:ascii="Arial Narrow" w:hAnsi="Arial Narrow" w:cs="Arial"/>
                <w:color w:val="000000" w:themeColor="text1"/>
                <w:sz w:val="20"/>
                <w:szCs w:val="20"/>
                <w:lang w:val="en-PH"/>
              </w:rPr>
            </w:pPr>
            <w:r w:rsidRPr="009E35ED">
              <w:rPr>
                <w:rFonts w:ascii="Arial Narrow" w:hAnsi="Arial Narrow" w:cs="Arial"/>
                <w:b/>
                <w:bCs/>
                <w:color w:val="000000" w:themeColor="text1"/>
                <w:sz w:val="20"/>
                <w:szCs w:val="20"/>
                <w:lang w:val="en-PH"/>
              </w:rPr>
              <w:t xml:space="preserve">  6/55</w:t>
            </w:r>
          </w:p>
        </w:tc>
        <w:tc>
          <w:tcPr>
            <w:tcW w:w="1213" w:type="dxa"/>
            <w:tcBorders>
              <w:left w:val="nil"/>
              <w:bottom w:val="single" w:sz="4" w:space="0" w:color="auto"/>
              <w:right w:val="nil"/>
            </w:tcBorders>
            <w:shd w:val="clear" w:color="auto" w:fill="auto"/>
            <w:noWrap/>
          </w:tcPr>
          <w:p w14:paraId="01B7B32F" w14:textId="155D7E6C" w:rsidR="0009222F" w:rsidRPr="009E35ED" w:rsidRDefault="0009222F" w:rsidP="0009222F">
            <w:pPr>
              <w:ind w:left="0" w:right="-90"/>
              <w:jc w:val="right"/>
              <w:rPr>
                <w:rFonts w:ascii="Arial Narrow" w:hAnsi="Arial Narrow" w:cs="Arial"/>
                <w:color w:val="000000" w:themeColor="text1"/>
                <w:sz w:val="20"/>
                <w:szCs w:val="20"/>
                <w:lang w:val="en-PH"/>
              </w:rPr>
            </w:pPr>
            <w:r w:rsidRPr="009E35ED">
              <w:rPr>
                <w:rFonts w:ascii="Arial Narrow" w:hAnsi="Arial Narrow" w:cs="Arial"/>
                <w:b/>
                <w:bCs/>
                <w:color w:val="000000" w:themeColor="text1"/>
                <w:sz w:val="20"/>
                <w:szCs w:val="20"/>
                <w:lang w:val="en-PH"/>
              </w:rPr>
              <w:t>6/58</w:t>
            </w:r>
          </w:p>
        </w:tc>
      </w:tr>
      <w:tr w:rsidR="00997F75" w:rsidRPr="009E35ED" w14:paraId="3EF0067D" w14:textId="77777777" w:rsidTr="0009222F">
        <w:trPr>
          <w:trHeight w:val="252"/>
        </w:trPr>
        <w:tc>
          <w:tcPr>
            <w:tcW w:w="2542" w:type="dxa"/>
            <w:tcBorders>
              <w:top w:val="single" w:sz="4" w:space="0" w:color="auto"/>
              <w:left w:val="nil"/>
              <w:bottom w:val="nil"/>
              <w:right w:val="nil"/>
            </w:tcBorders>
            <w:shd w:val="clear" w:color="auto" w:fill="auto"/>
            <w:noWrap/>
            <w:hideMark/>
          </w:tcPr>
          <w:p w14:paraId="73502144" w14:textId="77777777" w:rsidR="00E91813" w:rsidRPr="009E35ED" w:rsidRDefault="00E91813" w:rsidP="005E4F3F">
            <w:pPr>
              <w:ind w:left="0" w:hanging="90"/>
              <w:jc w:val="lef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Jackpot Prize Pool</w:t>
            </w:r>
          </w:p>
        </w:tc>
        <w:tc>
          <w:tcPr>
            <w:tcW w:w="1122" w:type="dxa"/>
            <w:tcBorders>
              <w:top w:val="single" w:sz="4" w:space="0" w:color="auto"/>
              <w:left w:val="nil"/>
              <w:bottom w:val="nil"/>
              <w:right w:val="nil"/>
            </w:tcBorders>
            <w:shd w:val="clear" w:color="auto" w:fill="auto"/>
            <w:noWrap/>
            <w:hideMark/>
          </w:tcPr>
          <w:p w14:paraId="64192C54" w14:textId="77777777" w:rsidR="00E91813" w:rsidRPr="009E35ED" w:rsidRDefault="00E91813" w:rsidP="005E4F3F">
            <w:pPr>
              <w:ind w:left="0"/>
              <w:jc w:val="righ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22.00%</w:t>
            </w:r>
          </w:p>
        </w:tc>
        <w:tc>
          <w:tcPr>
            <w:tcW w:w="1180" w:type="dxa"/>
            <w:tcBorders>
              <w:top w:val="single" w:sz="4" w:space="0" w:color="auto"/>
              <w:left w:val="nil"/>
              <w:bottom w:val="nil"/>
              <w:right w:val="nil"/>
            </w:tcBorders>
            <w:shd w:val="clear" w:color="auto" w:fill="auto"/>
            <w:noWrap/>
            <w:hideMark/>
          </w:tcPr>
          <w:p w14:paraId="34C691D2" w14:textId="77777777" w:rsidR="00E91813" w:rsidRPr="009E35ED" w:rsidRDefault="00E91813" w:rsidP="005E4F3F">
            <w:pPr>
              <w:ind w:left="0"/>
              <w:jc w:val="righ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22.00%</w:t>
            </w:r>
          </w:p>
        </w:tc>
        <w:tc>
          <w:tcPr>
            <w:tcW w:w="1180" w:type="dxa"/>
            <w:tcBorders>
              <w:top w:val="single" w:sz="4" w:space="0" w:color="auto"/>
              <w:left w:val="nil"/>
              <w:bottom w:val="nil"/>
              <w:right w:val="nil"/>
            </w:tcBorders>
            <w:shd w:val="clear" w:color="auto" w:fill="auto"/>
            <w:noWrap/>
            <w:hideMark/>
          </w:tcPr>
          <w:p w14:paraId="40D4F011" w14:textId="77777777" w:rsidR="00E91813" w:rsidRPr="009E35ED" w:rsidRDefault="00E91813" w:rsidP="005E4F3F">
            <w:pPr>
              <w:ind w:left="0"/>
              <w:jc w:val="righ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22.00%</w:t>
            </w:r>
          </w:p>
        </w:tc>
        <w:tc>
          <w:tcPr>
            <w:tcW w:w="1233" w:type="dxa"/>
            <w:tcBorders>
              <w:top w:val="single" w:sz="4" w:space="0" w:color="auto"/>
              <w:left w:val="nil"/>
              <w:bottom w:val="nil"/>
              <w:right w:val="nil"/>
            </w:tcBorders>
            <w:shd w:val="clear" w:color="auto" w:fill="auto"/>
            <w:noWrap/>
            <w:hideMark/>
          </w:tcPr>
          <w:p w14:paraId="440AA0A8" w14:textId="77777777" w:rsidR="00E91813" w:rsidRPr="009E35ED" w:rsidRDefault="00E91813" w:rsidP="005E4F3F">
            <w:pPr>
              <w:ind w:left="0"/>
              <w:jc w:val="righ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22.00%</w:t>
            </w:r>
          </w:p>
        </w:tc>
        <w:tc>
          <w:tcPr>
            <w:tcW w:w="1213" w:type="dxa"/>
            <w:tcBorders>
              <w:top w:val="single" w:sz="4" w:space="0" w:color="auto"/>
              <w:left w:val="nil"/>
              <w:bottom w:val="nil"/>
              <w:right w:val="nil"/>
            </w:tcBorders>
            <w:shd w:val="clear" w:color="auto" w:fill="auto"/>
            <w:noWrap/>
            <w:hideMark/>
          </w:tcPr>
          <w:p w14:paraId="66C216C2" w14:textId="77777777" w:rsidR="00E91813" w:rsidRPr="009E35ED" w:rsidRDefault="00E91813" w:rsidP="005E4F3F">
            <w:pPr>
              <w:ind w:left="0" w:right="-90"/>
              <w:jc w:val="righ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22.00%</w:t>
            </w:r>
          </w:p>
        </w:tc>
      </w:tr>
      <w:tr w:rsidR="00997F75" w:rsidRPr="009E35ED" w14:paraId="6D736036" w14:textId="77777777" w:rsidTr="005E4F3F">
        <w:trPr>
          <w:trHeight w:val="252"/>
        </w:trPr>
        <w:tc>
          <w:tcPr>
            <w:tcW w:w="2542" w:type="dxa"/>
            <w:tcBorders>
              <w:top w:val="nil"/>
              <w:left w:val="nil"/>
              <w:bottom w:val="nil"/>
              <w:right w:val="nil"/>
            </w:tcBorders>
            <w:shd w:val="clear" w:color="auto" w:fill="auto"/>
            <w:noWrap/>
            <w:hideMark/>
          </w:tcPr>
          <w:p w14:paraId="1935C679" w14:textId="77777777" w:rsidR="00E91813" w:rsidRPr="009E35ED" w:rsidRDefault="00E91813" w:rsidP="005E4F3F">
            <w:pPr>
              <w:ind w:left="0" w:hanging="90"/>
              <w:jc w:val="lef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Lower Prizes</w:t>
            </w:r>
          </w:p>
        </w:tc>
        <w:tc>
          <w:tcPr>
            <w:tcW w:w="1122" w:type="dxa"/>
            <w:tcBorders>
              <w:top w:val="nil"/>
              <w:left w:val="nil"/>
              <w:bottom w:val="nil"/>
              <w:right w:val="nil"/>
            </w:tcBorders>
            <w:shd w:val="clear" w:color="auto" w:fill="auto"/>
            <w:noWrap/>
            <w:hideMark/>
          </w:tcPr>
          <w:p w14:paraId="3F0BDA5C" w14:textId="77777777" w:rsidR="00E91813" w:rsidRPr="009E35ED" w:rsidRDefault="00E91813" w:rsidP="005E4F3F">
            <w:pPr>
              <w:ind w:left="0"/>
              <w:jc w:val="righ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12.00%</w:t>
            </w:r>
          </w:p>
        </w:tc>
        <w:tc>
          <w:tcPr>
            <w:tcW w:w="1180" w:type="dxa"/>
            <w:tcBorders>
              <w:top w:val="nil"/>
              <w:left w:val="nil"/>
              <w:bottom w:val="nil"/>
              <w:right w:val="nil"/>
            </w:tcBorders>
            <w:shd w:val="clear" w:color="auto" w:fill="auto"/>
            <w:noWrap/>
            <w:hideMark/>
          </w:tcPr>
          <w:p w14:paraId="44C4E36C" w14:textId="77777777" w:rsidR="00E91813" w:rsidRPr="009E35ED" w:rsidRDefault="00E91813" w:rsidP="005E4F3F">
            <w:pPr>
              <w:ind w:left="0"/>
              <w:jc w:val="righ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12.00%</w:t>
            </w:r>
          </w:p>
        </w:tc>
        <w:tc>
          <w:tcPr>
            <w:tcW w:w="1180" w:type="dxa"/>
            <w:tcBorders>
              <w:top w:val="nil"/>
              <w:left w:val="nil"/>
              <w:bottom w:val="nil"/>
              <w:right w:val="nil"/>
            </w:tcBorders>
            <w:shd w:val="clear" w:color="auto" w:fill="auto"/>
            <w:noWrap/>
            <w:hideMark/>
          </w:tcPr>
          <w:p w14:paraId="50558492" w14:textId="77777777" w:rsidR="00E91813" w:rsidRPr="009E35ED" w:rsidRDefault="00E91813" w:rsidP="005E4F3F">
            <w:pPr>
              <w:ind w:left="0"/>
              <w:jc w:val="righ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12.00%</w:t>
            </w:r>
          </w:p>
        </w:tc>
        <w:tc>
          <w:tcPr>
            <w:tcW w:w="1233" w:type="dxa"/>
            <w:tcBorders>
              <w:top w:val="nil"/>
              <w:left w:val="nil"/>
              <w:bottom w:val="nil"/>
              <w:right w:val="nil"/>
            </w:tcBorders>
            <w:shd w:val="clear" w:color="auto" w:fill="auto"/>
            <w:noWrap/>
            <w:hideMark/>
          </w:tcPr>
          <w:p w14:paraId="7BCBA2D0" w14:textId="77777777" w:rsidR="00E91813" w:rsidRPr="009E35ED" w:rsidRDefault="00E91813" w:rsidP="005E4F3F">
            <w:pPr>
              <w:ind w:left="0"/>
              <w:jc w:val="righ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12.00%</w:t>
            </w:r>
          </w:p>
        </w:tc>
        <w:tc>
          <w:tcPr>
            <w:tcW w:w="1213" w:type="dxa"/>
            <w:tcBorders>
              <w:top w:val="nil"/>
              <w:left w:val="nil"/>
              <w:bottom w:val="nil"/>
              <w:right w:val="nil"/>
            </w:tcBorders>
            <w:shd w:val="clear" w:color="auto" w:fill="auto"/>
            <w:noWrap/>
            <w:hideMark/>
          </w:tcPr>
          <w:p w14:paraId="4E31F43B" w14:textId="77777777" w:rsidR="00E91813" w:rsidRPr="009E35ED" w:rsidRDefault="00E91813" w:rsidP="005E4F3F">
            <w:pPr>
              <w:ind w:left="0" w:right="-90"/>
              <w:jc w:val="righ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12.00%</w:t>
            </w:r>
          </w:p>
        </w:tc>
      </w:tr>
      <w:tr w:rsidR="00997F75" w:rsidRPr="009E35ED" w14:paraId="1A483C4B" w14:textId="77777777" w:rsidTr="005E4F3F">
        <w:trPr>
          <w:trHeight w:val="180"/>
        </w:trPr>
        <w:tc>
          <w:tcPr>
            <w:tcW w:w="2542" w:type="dxa"/>
            <w:tcBorders>
              <w:top w:val="nil"/>
              <w:left w:val="nil"/>
              <w:bottom w:val="nil"/>
              <w:right w:val="nil"/>
            </w:tcBorders>
            <w:shd w:val="clear" w:color="auto" w:fill="auto"/>
            <w:noWrap/>
            <w:hideMark/>
          </w:tcPr>
          <w:p w14:paraId="7E3EDD37" w14:textId="77777777" w:rsidR="00E91813" w:rsidRPr="009E35ED" w:rsidRDefault="00E91813" w:rsidP="005E4F3F">
            <w:pPr>
              <w:ind w:left="0" w:hanging="90"/>
              <w:jc w:val="lef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 xml:space="preserve">     2nd Prize with Capping</w:t>
            </w:r>
          </w:p>
        </w:tc>
        <w:tc>
          <w:tcPr>
            <w:tcW w:w="1122" w:type="dxa"/>
            <w:tcBorders>
              <w:top w:val="nil"/>
              <w:left w:val="nil"/>
              <w:bottom w:val="nil"/>
              <w:right w:val="nil"/>
            </w:tcBorders>
            <w:shd w:val="clear" w:color="auto" w:fill="auto"/>
            <w:noWrap/>
          </w:tcPr>
          <w:p w14:paraId="4CB992DF" w14:textId="77777777" w:rsidR="00E91813" w:rsidRPr="009E35ED" w:rsidRDefault="00E91813" w:rsidP="005E4F3F">
            <w:pPr>
              <w:ind w:left="0"/>
              <w:rPr>
                <w:rFonts w:ascii="Arial Narrow" w:hAnsi="Arial Narrow" w:cs="Arial"/>
                <w:color w:val="000000" w:themeColor="text1"/>
                <w:sz w:val="20"/>
                <w:szCs w:val="20"/>
                <w:lang w:val="en-PH"/>
              </w:rPr>
            </w:pPr>
            <w:r w:rsidRPr="009E35ED">
              <w:rPr>
                <w:rFonts w:ascii="Arial" w:hAnsi="Arial" w:cs="Arial"/>
                <w:color w:val="000000" w:themeColor="text1"/>
                <w:sz w:val="20"/>
                <w:szCs w:val="20"/>
                <w:lang w:val="en-PH"/>
              </w:rPr>
              <w:t xml:space="preserve">P </w:t>
            </w:r>
            <w:r w:rsidRPr="009E35ED">
              <w:rPr>
                <w:rFonts w:ascii="Arial Narrow" w:hAnsi="Arial Narrow" w:cs="Arial"/>
                <w:color w:val="000000" w:themeColor="text1"/>
                <w:sz w:val="20"/>
                <w:szCs w:val="20"/>
                <w:lang w:val="en-PH"/>
              </w:rPr>
              <w:t xml:space="preserve">50,000.00 </w:t>
            </w:r>
          </w:p>
        </w:tc>
        <w:tc>
          <w:tcPr>
            <w:tcW w:w="1180" w:type="dxa"/>
            <w:tcBorders>
              <w:top w:val="nil"/>
              <w:left w:val="nil"/>
              <w:bottom w:val="nil"/>
              <w:right w:val="nil"/>
            </w:tcBorders>
            <w:shd w:val="clear" w:color="auto" w:fill="auto"/>
            <w:noWrap/>
          </w:tcPr>
          <w:p w14:paraId="064453A6" w14:textId="77777777" w:rsidR="00E91813" w:rsidRPr="009E35ED" w:rsidRDefault="00E91813" w:rsidP="005E4F3F">
            <w:pPr>
              <w:ind w:left="0"/>
              <w:jc w:val="right"/>
              <w:rPr>
                <w:rFonts w:ascii="Arial Narrow" w:hAnsi="Arial Narrow" w:cs="Arial"/>
                <w:color w:val="000000" w:themeColor="text1"/>
                <w:sz w:val="20"/>
                <w:szCs w:val="20"/>
                <w:lang w:val="en-PH"/>
              </w:rPr>
            </w:pPr>
            <w:r w:rsidRPr="009E35ED">
              <w:rPr>
                <w:rFonts w:ascii="Arial" w:hAnsi="Arial" w:cs="Arial"/>
                <w:color w:val="000000" w:themeColor="text1"/>
                <w:sz w:val="20"/>
                <w:szCs w:val="20"/>
                <w:lang w:val="en-PH"/>
              </w:rPr>
              <w:t xml:space="preserve">P </w:t>
            </w:r>
            <w:r w:rsidRPr="009E35ED">
              <w:rPr>
                <w:rFonts w:ascii="Arial Narrow" w:hAnsi="Arial Narrow" w:cs="Arial"/>
                <w:color w:val="000000" w:themeColor="text1"/>
                <w:sz w:val="20"/>
                <w:szCs w:val="20"/>
                <w:lang w:val="en-PH"/>
              </w:rPr>
              <w:t xml:space="preserve">32,000.00 </w:t>
            </w:r>
          </w:p>
        </w:tc>
        <w:tc>
          <w:tcPr>
            <w:tcW w:w="1180" w:type="dxa"/>
            <w:tcBorders>
              <w:top w:val="nil"/>
              <w:left w:val="nil"/>
              <w:bottom w:val="nil"/>
              <w:right w:val="nil"/>
            </w:tcBorders>
            <w:shd w:val="clear" w:color="auto" w:fill="auto"/>
            <w:noWrap/>
          </w:tcPr>
          <w:p w14:paraId="0649CA98" w14:textId="77777777" w:rsidR="00E91813" w:rsidRPr="009E35ED" w:rsidRDefault="00E91813" w:rsidP="005E4F3F">
            <w:pPr>
              <w:ind w:left="0"/>
              <w:jc w:val="right"/>
              <w:rPr>
                <w:rFonts w:ascii="Arial Narrow" w:hAnsi="Arial Narrow" w:cs="Arial"/>
                <w:color w:val="000000" w:themeColor="text1"/>
                <w:sz w:val="20"/>
                <w:szCs w:val="20"/>
                <w:lang w:val="en-PH"/>
              </w:rPr>
            </w:pPr>
            <w:r w:rsidRPr="009E35ED">
              <w:rPr>
                <w:rFonts w:ascii="Arial" w:hAnsi="Arial" w:cs="Arial"/>
                <w:color w:val="000000" w:themeColor="text1"/>
                <w:sz w:val="20"/>
                <w:szCs w:val="20"/>
                <w:lang w:val="en-PH"/>
              </w:rPr>
              <w:t xml:space="preserve">P </w:t>
            </w:r>
            <w:r w:rsidRPr="009E35ED">
              <w:rPr>
                <w:rFonts w:ascii="Arial Narrow" w:hAnsi="Arial Narrow" w:cs="Arial"/>
                <w:color w:val="000000" w:themeColor="text1"/>
                <w:sz w:val="20"/>
                <w:szCs w:val="20"/>
                <w:lang w:val="en-PH"/>
              </w:rPr>
              <w:t xml:space="preserve">24,000.00 </w:t>
            </w:r>
          </w:p>
        </w:tc>
        <w:tc>
          <w:tcPr>
            <w:tcW w:w="1233" w:type="dxa"/>
            <w:tcBorders>
              <w:top w:val="nil"/>
              <w:left w:val="nil"/>
              <w:bottom w:val="nil"/>
              <w:right w:val="nil"/>
            </w:tcBorders>
            <w:shd w:val="clear" w:color="auto" w:fill="auto"/>
            <w:noWrap/>
          </w:tcPr>
          <w:p w14:paraId="57EDE10A" w14:textId="77777777" w:rsidR="00E91813" w:rsidRPr="009E35ED" w:rsidRDefault="00E91813" w:rsidP="005E4F3F">
            <w:pPr>
              <w:ind w:left="0"/>
              <w:jc w:val="right"/>
              <w:rPr>
                <w:rFonts w:ascii="Arial Narrow" w:hAnsi="Arial Narrow" w:cs="Arial"/>
                <w:color w:val="000000" w:themeColor="text1"/>
                <w:sz w:val="20"/>
                <w:szCs w:val="20"/>
                <w:lang w:val="en-PH"/>
              </w:rPr>
            </w:pPr>
            <w:r w:rsidRPr="009E35ED">
              <w:rPr>
                <w:rFonts w:ascii="Arial" w:hAnsi="Arial" w:cs="Arial"/>
                <w:color w:val="000000" w:themeColor="text1"/>
                <w:sz w:val="20"/>
                <w:szCs w:val="20"/>
                <w:lang w:val="en-PH"/>
              </w:rPr>
              <w:t xml:space="preserve">P </w:t>
            </w:r>
            <w:r w:rsidRPr="009E35ED">
              <w:rPr>
                <w:rFonts w:ascii="Arial Narrow" w:hAnsi="Arial Narrow" w:cs="Arial"/>
                <w:color w:val="000000" w:themeColor="text1"/>
                <w:sz w:val="20"/>
                <w:szCs w:val="20"/>
                <w:lang w:val="en-PH"/>
              </w:rPr>
              <w:t xml:space="preserve">100,000.00 </w:t>
            </w:r>
          </w:p>
        </w:tc>
        <w:tc>
          <w:tcPr>
            <w:tcW w:w="1213" w:type="dxa"/>
            <w:tcBorders>
              <w:top w:val="nil"/>
              <w:left w:val="nil"/>
              <w:bottom w:val="nil"/>
              <w:right w:val="nil"/>
            </w:tcBorders>
            <w:shd w:val="clear" w:color="auto" w:fill="auto"/>
            <w:noWrap/>
          </w:tcPr>
          <w:p w14:paraId="5BDF22D5" w14:textId="77777777" w:rsidR="00E91813" w:rsidRPr="009E35ED" w:rsidRDefault="00E91813" w:rsidP="005E4F3F">
            <w:pPr>
              <w:ind w:left="0" w:right="-90"/>
              <w:jc w:val="right"/>
              <w:rPr>
                <w:rFonts w:ascii="Arial Narrow" w:hAnsi="Arial Narrow" w:cs="Arial"/>
                <w:color w:val="000000" w:themeColor="text1"/>
                <w:sz w:val="20"/>
                <w:szCs w:val="20"/>
                <w:lang w:val="en-PH"/>
              </w:rPr>
            </w:pPr>
            <w:r w:rsidRPr="009E35ED">
              <w:rPr>
                <w:rFonts w:ascii="Arial" w:hAnsi="Arial" w:cs="Arial"/>
                <w:color w:val="000000" w:themeColor="text1"/>
                <w:sz w:val="20"/>
                <w:szCs w:val="20"/>
                <w:lang w:val="en-PH"/>
              </w:rPr>
              <w:t xml:space="preserve">P </w:t>
            </w:r>
            <w:r w:rsidRPr="009E35ED">
              <w:rPr>
                <w:rFonts w:ascii="Arial Narrow" w:hAnsi="Arial Narrow" w:cs="Arial"/>
                <w:color w:val="000000" w:themeColor="text1"/>
                <w:sz w:val="20"/>
                <w:szCs w:val="20"/>
                <w:lang w:val="en-PH"/>
              </w:rPr>
              <w:t xml:space="preserve">120,000.00 </w:t>
            </w:r>
          </w:p>
        </w:tc>
      </w:tr>
      <w:tr w:rsidR="00997F75" w:rsidRPr="009E35ED" w14:paraId="1B3F1B2B" w14:textId="77777777" w:rsidTr="005E4F3F">
        <w:trPr>
          <w:trHeight w:val="126"/>
        </w:trPr>
        <w:tc>
          <w:tcPr>
            <w:tcW w:w="2542" w:type="dxa"/>
            <w:tcBorders>
              <w:top w:val="nil"/>
              <w:left w:val="nil"/>
              <w:bottom w:val="nil"/>
              <w:right w:val="nil"/>
            </w:tcBorders>
            <w:shd w:val="clear" w:color="auto" w:fill="auto"/>
            <w:noWrap/>
            <w:hideMark/>
          </w:tcPr>
          <w:p w14:paraId="603DC6D6" w14:textId="77777777" w:rsidR="00E91813" w:rsidRPr="009E35ED" w:rsidRDefault="00E91813" w:rsidP="005E4F3F">
            <w:pPr>
              <w:ind w:left="0" w:hanging="90"/>
              <w:jc w:val="left"/>
              <w:rPr>
                <w:rFonts w:ascii="Arial Narrow" w:hAnsi="Arial Narrow" w:cs="Arial"/>
                <w:color w:val="000000" w:themeColor="text1"/>
                <w:sz w:val="20"/>
                <w:szCs w:val="20"/>
                <w:lang w:val="en-PH"/>
              </w:rPr>
            </w:pPr>
          </w:p>
        </w:tc>
        <w:tc>
          <w:tcPr>
            <w:tcW w:w="1122" w:type="dxa"/>
            <w:tcBorders>
              <w:top w:val="nil"/>
              <w:left w:val="nil"/>
              <w:bottom w:val="nil"/>
              <w:right w:val="nil"/>
            </w:tcBorders>
            <w:shd w:val="clear" w:color="auto" w:fill="auto"/>
            <w:noWrap/>
          </w:tcPr>
          <w:p w14:paraId="3D01E56C" w14:textId="77777777" w:rsidR="00E91813" w:rsidRPr="009E35ED" w:rsidRDefault="00E91813" w:rsidP="005E4F3F">
            <w:pPr>
              <w:ind w:left="0"/>
              <w:jc w:val="right"/>
              <w:rPr>
                <w:rFonts w:ascii="Arial Narrow" w:hAnsi="Arial Narrow" w:cs="Arial"/>
                <w:color w:val="000000" w:themeColor="text1"/>
                <w:sz w:val="20"/>
                <w:szCs w:val="20"/>
                <w:lang w:val="en-PH"/>
              </w:rPr>
            </w:pPr>
          </w:p>
        </w:tc>
        <w:tc>
          <w:tcPr>
            <w:tcW w:w="1180" w:type="dxa"/>
            <w:tcBorders>
              <w:top w:val="nil"/>
              <w:left w:val="nil"/>
              <w:bottom w:val="nil"/>
              <w:right w:val="nil"/>
            </w:tcBorders>
            <w:shd w:val="clear" w:color="auto" w:fill="auto"/>
            <w:noWrap/>
          </w:tcPr>
          <w:p w14:paraId="0CCB265F" w14:textId="77777777" w:rsidR="00E91813" w:rsidRPr="009E35ED" w:rsidRDefault="00E91813" w:rsidP="005E4F3F">
            <w:pPr>
              <w:ind w:left="0"/>
              <w:jc w:val="right"/>
              <w:rPr>
                <w:rFonts w:ascii="Arial Narrow" w:hAnsi="Arial Narrow" w:cs="Arial"/>
                <w:color w:val="000000" w:themeColor="text1"/>
                <w:sz w:val="20"/>
                <w:szCs w:val="20"/>
                <w:lang w:val="en-PH"/>
              </w:rPr>
            </w:pPr>
          </w:p>
        </w:tc>
        <w:tc>
          <w:tcPr>
            <w:tcW w:w="1180" w:type="dxa"/>
            <w:tcBorders>
              <w:top w:val="nil"/>
              <w:left w:val="nil"/>
              <w:bottom w:val="nil"/>
              <w:right w:val="nil"/>
            </w:tcBorders>
            <w:shd w:val="clear" w:color="auto" w:fill="auto"/>
            <w:noWrap/>
          </w:tcPr>
          <w:p w14:paraId="688BBE96" w14:textId="77777777" w:rsidR="00E91813" w:rsidRPr="009E35ED" w:rsidRDefault="00E91813" w:rsidP="005E4F3F">
            <w:pPr>
              <w:ind w:left="0"/>
              <w:jc w:val="right"/>
              <w:rPr>
                <w:rFonts w:ascii="Arial Narrow" w:hAnsi="Arial Narrow" w:cs="Arial"/>
                <w:color w:val="000000" w:themeColor="text1"/>
                <w:sz w:val="20"/>
                <w:szCs w:val="20"/>
                <w:lang w:val="en-PH"/>
              </w:rPr>
            </w:pPr>
          </w:p>
        </w:tc>
        <w:tc>
          <w:tcPr>
            <w:tcW w:w="1233" w:type="dxa"/>
            <w:tcBorders>
              <w:top w:val="nil"/>
              <w:left w:val="nil"/>
              <w:bottom w:val="nil"/>
              <w:right w:val="nil"/>
            </w:tcBorders>
            <w:shd w:val="clear" w:color="auto" w:fill="auto"/>
            <w:noWrap/>
          </w:tcPr>
          <w:p w14:paraId="541B638C" w14:textId="77777777" w:rsidR="00E91813" w:rsidRPr="009E35ED" w:rsidRDefault="00E91813" w:rsidP="005E4F3F">
            <w:pPr>
              <w:ind w:left="0"/>
              <w:jc w:val="right"/>
              <w:rPr>
                <w:rFonts w:ascii="Arial Narrow" w:hAnsi="Arial Narrow" w:cs="Arial"/>
                <w:color w:val="000000" w:themeColor="text1"/>
                <w:sz w:val="20"/>
                <w:szCs w:val="20"/>
                <w:lang w:val="en-PH"/>
              </w:rPr>
            </w:pPr>
          </w:p>
        </w:tc>
        <w:tc>
          <w:tcPr>
            <w:tcW w:w="1213" w:type="dxa"/>
            <w:tcBorders>
              <w:top w:val="nil"/>
              <w:left w:val="nil"/>
              <w:bottom w:val="nil"/>
              <w:right w:val="nil"/>
            </w:tcBorders>
            <w:shd w:val="clear" w:color="auto" w:fill="auto"/>
            <w:noWrap/>
          </w:tcPr>
          <w:p w14:paraId="39C6D0A5" w14:textId="77777777" w:rsidR="00E91813" w:rsidRPr="009E35ED" w:rsidRDefault="00E91813" w:rsidP="005E4F3F">
            <w:pPr>
              <w:ind w:left="0" w:right="-90"/>
              <w:jc w:val="right"/>
              <w:rPr>
                <w:rFonts w:ascii="Arial Narrow" w:hAnsi="Arial Narrow" w:cs="Arial"/>
                <w:color w:val="000000" w:themeColor="text1"/>
                <w:sz w:val="20"/>
                <w:szCs w:val="20"/>
                <w:lang w:val="en-PH"/>
              </w:rPr>
            </w:pPr>
          </w:p>
        </w:tc>
      </w:tr>
      <w:tr w:rsidR="00997F75" w:rsidRPr="009E35ED" w14:paraId="461E26A8" w14:textId="77777777" w:rsidTr="005E4F3F">
        <w:trPr>
          <w:trHeight w:val="171"/>
        </w:trPr>
        <w:tc>
          <w:tcPr>
            <w:tcW w:w="2542" w:type="dxa"/>
            <w:tcBorders>
              <w:top w:val="nil"/>
              <w:left w:val="nil"/>
              <w:bottom w:val="nil"/>
              <w:right w:val="nil"/>
            </w:tcBorders>
            <w:shd w:val="clear" w:color="auto" w:fill="auto"/>
            <w:noWrap/>
            <w:hideMark/>
          </w:tcPr>
          <w:p w14:paraId="5F01F033" w14:textId="77777777" w:rsidR="00E91813" w:rsidRPr="009E35ED" w:rsidRDefault="00E91813" w:rsidP="005E4F3F">
            <w:pPr>
              <w:ind w:left="0" w:hanging="90"/>
              <w:jc w:val="lef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 xml:space="preserve">     3rd Prize with Capping</w:t>
            </w:r>
          </w:p>
        </w:tc>
        <w:tc>
          <w:tcPr>
            <w:tcW w:w="1122" w:type="dxa"/>
            <w:tcBorders>
              <w:top w:val="nil"/>
              <w:left w:val="nil"/>
              <w:bottom w:val="nil"/>
              <w:right w:val="nil"/>
            </w:tcBorders>
            <w:shd w:val="clear" w:color="auto" w:fill="auto"/>
            <w:noWrap/>
          </w:tcPr>
          <w:p w14:paraId="6868BB7A" w14:textId="77777777" w:rsidR="00E91813" w:rsidRPr="009E35ED" w:rsidRDefault="00E91813" w:rsidP="005E4F3F">
            <w:pPr>
              <w:ind w:left="0"/>
              <w:jc w:val="right"/>
              <w:rPr>
                <w:rFonts w:ascii="Arial Narrow" w:hAnsi="Arial Narrow" w:cs="Arial"/>
                <w:color w:val="000000" w:themeColor="text1"/>
                <w:sz w:val="20"/>
                <w:szCs w:val="20"/>
                <w:lang w:val="en-PH"/>
              </w:rPr>
            </w:pPr>
            <w:r w:rsidRPr="009E35ED">
              <w:rPr>
                <w:rFonts w:ascii="Arial" w:hAnsi="Arial" w:cs="Arial"/>
                <w:color w:val="000000" w:themeColor="text1"/>
                <w:sz w:val="20"/>
                <w:szCs w:val="20"/>
                <w:lang w:val="en-PH"/>
              </w:rPr>
              <w:t xml:space="preserve">P  </w:t>
            </w:r>
            <w:r w:rsidRPr="009E35ED">
              <w:rPr>
                <w:rFonts w:ascii="Arial Narrow" w:hAnsi="Arial Narrow" w:cs="Arial"/>
                <w:color w:val="000000" w:themeColor="text1"/>
                <w:sz w:val="20"/>
                <w:szCs w:val="20"/>
                <w:lang w:val="en-PH"/>
              </w:rPr>
              <w:t xml:space="preserve">1,200.00 </w:t>
            </w:r>
          </w:p>
        </w:tc>
        <w:tc>
          <w:tcPr>
            <w:tcW w:w="1180" w:type="dxa"/>
            <w:tcBorders>
              <w:top w:val="nil"/>
              <w:left w:val="nil"/>
              <w:bottom w:val="nil"/>
              <w:right w:val="nil"/>
            </w:tcBorders>
            <w:shd w:val="clear" w:color="auto" w:fill="auto"/>
            <w:noWrap/>
          </w:tcPr>
          <w:p w14:paraId="14ED2731" w14:textId="77777777" w:rsidR="00E91813" w:rsidRPr="009E35ED" w:rsidRDefault="00E91813" w:rsidP="005E4F3F">
            <w:pPr>
              <w:ind w:left="0"/>
              <w:jc w:val="righ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 xml:space="preserve"> </w:t>
            </w:r>
            <w:r w:rsidRPr="009E35ED">
              <w:rPr>
                <w:rFonts w:ascii="Arial" w:hAnsi="Arial" w:cs="Arial"/>
                <w:color w:val="000000" w:themeColor="text1"/>
                <w:sz w:val="20"/>
                <w:szCs w:val="20"/>
                <w:lang w:val="en-PH"/>
              </w:rPr>
              <w:t xml:space="preserve">P  </w:t>
            </w:r>
            <w:r w:rsidRPr="009E35ED">
              <w:rPr>
                <w:rFonts w:ascii="Arial Narrow" w:hAnsi="Arial Narrow" w:cs="Arial"/>
                <w:color w:val="000000" w:themeColor="text1"/>
                <w:sz w:val="20"/>
                <w:szCs w:val="20"/>
                <w:lang w:val="en-PH"/>
              </w:rPr>
              <w:t xml:space="preserve">1,000.00 </w:t>
            </w:r>
          </w:p>
        </w:tc>
        <w:tc>
          <w:tcPr>
            <w:tcW w:w="1180" w:type="dxa"/>
            <w:tcBorders>
              <w:top w:val="nil"/>
              <w:left w:val="nil"/>
              <w:bottom w:val="nil"/>
              <w:right w:val="nil"/>
            </w:tcBorders>
            <w:shd w:val="clear" w:color="auto" w:fill="auto"/>
            <w:noWrap/>
          </w:tcPr>
          <w:p w14:paraId="69053D8B" w14:textId="77777777" w:rsidR="00E91813" w:rsidRPr="009E35ED" w:rsidRDefault="00E91813" w:rsidP="005E4F3F">
            <w:pPr>
              <w:ind w:left="0"/>
              <w:jc w:val="righ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 xml:space="preserve"> </w:t>
            </w:r>
            <w:r w:rsidRPr="009E35ED">
              <w:rPr>
                <w:rFonts w:ascii="Arial" w:hAnsi="Arial" w:cs="Arial"/>
                <w:color w:val="000000" w:themeColor="text1"/>
                <w:sz w:val="20"/>
                <w:szCs w:val="20"/>
                <w:lang w:val="en-PH"/>
              </w:rPr>
              <w:t xml:space="preserve">P  </w:t>
            </w:r>
            <w:r w:rsidRPr="009E35ED">
              <w:rPr>
                <w:rFonts w:ascii="Arial Narrow" w:hAnsi="Arial Narrow" w:cs="Arial"/>
                <w:color w:val="000000" w:themeColor="text1"/>
                <w:sz w:val="20"/>
                <w:szCs w:val="20"/>
                <w:lang w:val="en-PH"/>
              </w:rPr>
              <w:t xml:space="preserve">800.00 </w:t>
            </w:r>
          </w:p>
        </w:tc>
        <w:tc>
          <w:tcPr>
            <w:tcW w:w="1233" w:type="dxa"/>
            <w:tcBorders>
              <w:top w:val="nil"/>
              <w:left w:val="nil"/>
              <w:bottom w:val="nil"/>
              <w:right w:val="nil"/>
            </w:tcBorders>
            <w:shd w:val="clear" w:color="auto" w:fill="auto"/>
            <w:noWrap/>
          </w:tcPr>
          <w:p w14:paraId="0916E6ED" w14:textId="77777777" w:rsidR="00E91813" w:rsidRPr="009E35ED" w:rsidRDefault="00E91813" w:rsidP="005E4F3F">
            <w:pPr>
              <w:ind w:left="0"/>
              <w:jc w:val="right"/>
              <w:rPr>
                <w:rFonts w:ascii="Arial Narrow" w:hAnsi="Arial Narrow" w:cs="Arial"/>
                <w:color w:val="000000" w:themeColor="text1"/>
                <w:sz w:val="20"/>
                <w:szCs w:val="20"/>
                <w:lang w:val="en-PH"/>
              </w:rPr>
            </w:pPr>
            <w:r w:rsidRPr="009E35ED">
              <w:rPr>
                <w:rFonts w:ascii="Arial" w:hAnsi="Arial" w:cs="Arial"/>
                <w:color w:val="000000" w:themeColor="text1"/>
                <w:sz w:val="20"/>
                <w:szCs w:val="20"/>
                <w:lang w:val="en-PH"/>
              </w:rPr>
              <w:t xml:space="preserve">P    </w:t>
            </w:r>
            <w:r w:rsidRPr="009E35ED">
              <w:rPr>
                <w:rFonts w:ascii="Arial Narrow" w:hAnsi="Arial Narrow" w:cs="Arial"/>
                <w:color w:val="000000" w:themeColor="text1"/>
                <w:sz w:val="20"/>
                <w:szCs w:val="20"/>
                <w:lang w:val="en-PH"/>
              </w:rPr>
              <w:t xml:space="preserve">1,500.00 </w:t>
            </w:r>
          </w:p>
        </w:tc>
        <w:tc>
          <w:tcPr>
            <w:tcW w:w="1213" w:type="dxa"/>
            <w:tcBorders>
              <w:top w:val="nil"/>
              <w:left w:val="nil"/>
              <w:bottom w:val="nil"/>
              <w:right w:val="nil"/>
            </w:tcBorders>
            <w:shd w:val="clear" w:color="auto" w:fill="auto"/>
            <w:noWrap/>
          </w:tcPr>
          <w:p w14:paraId="4EA5B504" w14:textId="77777777" w:rsidR="00E91813" w:rsidRPr="009E35ED" w:rsidRDefault="00E91813" w:rsidP="005E4F3F">
            <w:pPr>
              <w:ind w:left="0" w:right="-90"/>
              <w:jc w:val="righ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 xml:space="preserve"> </w:t>
            </w:r>
            <w:r w:rsidRPr="009E35ED">
              <w:rPr>
                <w:rFonts w:ascii="Arial" w:hAnsi="Arial" w:cs="Arial"/>
                <w:color w:val="000000" w:themeColor="text1"/>
                <w:sz w:val="20"/>
                <w:szCs w:val="20"/>
                <w:lang w:val="en-PH"/>
              </w:rPr>
              <w:t xml:space="preserve">P    </w:t>
            </w:r>
            <w:r w:rsidRPr="009E35ED">
              <w:rPr>
                <w:rFonts w:ascii="Arial Narrow" w:hAnsi="Arial Narrow" w:cs="Arial"/>
                <w:color w:val="000000" w:themeColor="text1"/>
                <w:sz w:val="20"/>
                <w:szCs w:val="20"/>
                <w:lang w:val="en-PH"/>
              </w:rPr>
              <w:t xml:space="preserve">2,000.00 </w:t>
            </w:r>
          </w:p>
        </w:tc>
      </w:tr>
      <w:tr w:rsidR="00997F75" w:rsidRPr="009E35ED" w14:paraId="37E8AC8E" w14:textId="77777777" w:rsidTr="005E4F3F">
        <w:trPr>
          <w:trHeight w:val="207"/>
        </w:trPr>
        <w:tc>
          <w:tcPr>
            <w:tcW w:w="2542" w:type="dxa"/>
            <w:tcBorders>
              <w:top w:val="nil"/>
              <w:left w:val="nil"/>
              <w:bottom w:val="nil"/>
              <w:right w:val="nil"/>
            </w:tcBorders>
            <w:shd w:val="clear" w:color="auto" w:fill="auto"/>
            <w:noWrap/>
            <w:hideMark/>
          </w:tcPr>
          <w:p w14:paraId="0DBDCA75" w14:textId="77777777" w:rsidR="00E91813" w:rsidRPr="009E35ED" w:rsidRDefault="00E91813" w:rsidP="005E4F3F">
            <w:pPr>
              <w:ind w:left="0" w:hanging="90"/>
              <w:jc w:val="left"/>
              <w:rPr>
                <w:rFonts w:ascii="Arial Narrow" w:hAnsi="Arial Narrow" w:cs="Arial"/>
                <w:color w:val="000000" w:themeColor="text1"/>
                <w:sz w:val="20"/>
                <w:szCs w:val="20"/>
                <w:lang w:val="en-PH"/>
              </w:rPr>
            </w:pPr>
          </w:p>
        </w:tc>
        <w:tc>
          <w:tcPr>
            <w:tcW w:w="1122" w:type="dxa"/>
            <w:tcBorders>
              <w:top w:val="nil"/>
              <w:left w:val="nil"/>
              <w:bottom w:val="nil"/>
              <w:right w:val="nil"/>
            </w:tcBorders>
            <w:shd w:val="clear" w:color="auto" w:fill="auto"/>
            <w:noWrap/>
          </w:tcPr>
          <w:p w14:paraId="450CB2A9" w14:textId="77777777" w:rsidR="00E91813" w:rsidRPr="009E35ED" w:rsidRDefault="00E91813" w:rsidP="005E4F3F">
            <w:pPr>
              <w:ind w:left="0"/>
              <w:jc w:val="right"/>
              <w:rPr>
                <w:rFonts w:ascii="Arial Narrow" w:hAnsi="Arial Narrow" w:cs="Arial"/>
                <w:color w:val="000000" w:themeColor="text1"/>
                <w:sz w:val="20"/>
                <w:szCs w:val="20"/>
                <w:lang w:val="en-PH"/>
              </w:rPr>
            </w:pPr>
          </w:p>
        </w:tc>
        <w:tc>
          <w:tcPr>
            <w:tcW w:w="1180" w:type="dxa"/>
            <w:tcBorders>
              <w:top w:val="nil"/>
              <w:left w:val="nil"/>
              <w:bottom w:val="nil"/>
              <w:right w:val="nil"/>
            </w:tcBorders>
            <w:shd w:val="clear" w:color="auto" w:fill="auto"/>
            <w:noWrap/>
          </w:tcPr>
          <w:p w14:paraId="132ED42A" w14:textId="77777777" w:rsidR="00E91813" w:rsidRPr="009E35ED" w:rsidRDefault="00E91813" w:rsidP="005E4F3F">
            <w:pPr>
              <w:ind w:left="0"/>
              <w:jc w:val="right"/>
              <w:rPr>
                <w:rFonts w:ascii="Arial Narrow" w:hAnsi="Arial Narrow" w:cs="Arial"/>
                <w:color w:val="000000" w:themeColor="text1"/>
                <w:sz w:val="20"/>
                <w:szCs w:val="20"/>
                <w:lang w:val="en-PH"/>
              </w:rPr>
            </w:pPr>
          </w:p>
        </w:tc>
        <w:tc>
          <w:tcPr>
            <w:tcW w:w="1180" w:type="dxa"/>
            <w:tcBorders>
              <w:top w:val="nil"/>
              <w:left w:val="nil"/>
              <w:bottom w:val="nil"/>
              <w:right w:val="nil"/>
            </w:tcBorders>
            <w:shd w:val="clear" w:color="auto" w:fill="auto"/>
            <w:noWrap/>
          </w:tcPr>
          <w:p w14:paraId="068E0FC6" w14:textId="77777777" w:rsidR="00E91813" w:rsidRPr="009E35ED" w:rsidRDefault="00E91813" w:rsidP="005E4F3F">
            <w:pPr>
              <w:ind w:left="0"/>
              <w:jc w:val="right"/>
              <w:rPr>
                <w:rFonts w:ascii="Arial Narrow" w:hAnsi="Arial Narrow" w:cs="Arial"/>
                <w:color w:val="000000" w:themeColor="text1"/>
                <w:sz w:val="20"/>
                <w:szCs w:val="20"/>
                <w:lang w:val="en-PH"/>
              </w:rPr>
            </w:pPr>
          </w:p>
        </w:tc>
        <w:tc>
          <w:tcPr>
            <w:tcW w:w="1233" w:type="dxa"/>
            <w:tcBorders>
              <w:top w:val="nil"/>
              <w:left w:val="nil"/>
              <w:bottom w:val="nil"/>
              <w:right w:val="nil"/>
            </w:tcBorders>
            <w:shd w:val="clear" w:color="auto" w:fill="auto"/>
            <w:noWrap/>
          </w:tcPr>
          <w:p w14:paraId="12FFE178" w14:textId="77777777" w:rsidR="00E91813" w:rsidRPr="009E35ED" w:rsidRDefault="00E91813" w:rsidP="005E4F3F">
            <w:pPr>
              <w:ind w:left="0"/>
              <w:jc w:val="right"/>
              <w:rPr>
                <w:rFonts w:ascii="Arial Narrow" w:hAnsi="Arial Narrow" w:cs="Arial"/>
                <w:color w:val="000000" w:themeColor="text1"/>
                <w:sz w:val="20"/>
                <w:szCs w:val="20"/>
                <w:lang w:val="en-PH"/>
              </w:rPr>
            </w:pPr>
          </w:p>
        </w:tc>
        <w:tc>
          <w:tcPr>
            <w:tcW w:w="1213" w:type="dxa"/>
            <w:tcBorders>
              <w:top w:val="nil"/>
              <w:left w:val="nil"/>
              <w:bottom w:val="nil"/>
              <w:right w:val="nil"/>
            </w:tcBorders>
            <w:shd w:val="clear" w:color="auto" w:fill="auto"/>
            <w:noWrap/>
          </w:tcPr>
          <w:p w14:paraId="7D797775" w14:textId="77777777" w:rsidR="00E91813" w:rsidRPr="009E35ED" w:rsidRDefault="00E91813" w:rsidP="005E4F3F">
            <w:pPr>
              <w:ind w:left="0" w:right="-90"/>
              <w:jc w:val="right"/>
              <w:rPr>
                <w:rFonts w:ascii="Arial Narrow" w:hAnsi="Arial Narrow" w:cs="Arial"/>
                <w:color w:val="000000" w:themeColor="text1"/>
                <w:sz w:val="20"/>
                <w:szCs w:val="20"/>
                <w:lang w:val="en-PH"/>
              </w:rPr>
            </w:pPr>
          </w:p>
        </w:tc>
      </w:tr>
      <w:tr w:rsidR="00997F75" w:rsidRPr="009E35ED" w14:paraId="61F95FD7" w14:textId="77777777" w:rsidTr="005E4F3F">
        <w:trPr>
          <w:trHeight w:val="162"/>
        </w:trPr>
        <w:tc>
          <w:tcPr>
            <w:tcW w:w="2542" w:type="dxa"/>
            <w:tcBorders>
              <w:top w:val="nil"/>
              <w:left w:val="nil"/>
              <w:bottom w:val="nil"/>
              <w:right w:val="nil"/>
            </w:tcBorders>
            <w:shd w:val="clear" w:color="auto" w:fill="auto"/>
            <w:noWrap/>
            <w:hideMark/>
          </w:tcPr>
          <w:p w14:paraId="74309089" w14:textId="77777777" w:rsidR="00E91813" w:rsidRPr="009E35ED" w:rsidRDefault="00E91813" w:rsidP="005E4F3F">
            <w:pPr>
              <w:ind w:left="0" w:hanging="90"/>
              <w:jc w:val="lef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 xml:space="preserve">     4th Prize with Capping</w:t>
            </w:r>
          </w:p>
        </w:tc>
        <w:tc>
          <w:tcPr>
            <w:tcW w:w="1122" w:type="dxa"/>
            <w:tcBorders>
              <w:top w:val="nil"/>
              <w:left w:val="nil"/>
              <w:bottom w:val="nil"/>
              <w:right w:val="nil"/>
            </w:tcBorders>
            <w:shd w:val="clear" w:color="auto" w:fill="auto"/>
            <w:noWrap/>
            <w:hideMark/>
          </w:tcPr>
          <w:p w14:paraId="0625C684" w14:textId="77777777" w:rsidR="00E91813" w:rsidRPr="009E35ED" w:rsidRDefault="00E91813" w:rsidP="005E4F3F">
            <w:pPr>
              <w:ind w:left="0"/>
              <w:rPr>
                <w:rFonts w:ascii="Arial Narrow" w:hAnsi="Arial Narrow" w:cs="Arial"/>
                <w:color w:val="000000" w:themeColor="text1"/>
                <w:sz w:val="20"/>
                <w:szCs w:val="20"/>
                <w:lang w:val="en-PH"/>
              </w:rPr>
            </w:pPr>
            <w:r w:rsidRPr="009E35ED">
              <w:rPr>
                <w:rFonts w:ascii="Arial" w:hAnsi="Arial" w:cs="Arial"/>
                <w:color w:val="000000" w:themeColor="text1"/>
                <w:sz w:val="20"/>
                <w:szCs w:val="20"/>
                <w:lang w:val="en-PH"/>
              </w:rPr>
              <w:t xml:space="preserve">P  </w:t>
            </w:r>
            <w:r w:rsidRPr="009E35ED">
              <w:rPr>
                <w:rFonts w:ascii="Arial Narrow" w:hAnsi="Arial Narrow" w:cs="Arial"/>
                <w:color w:val="000000" w:themeColor="text1"/>
                <w:sz w:val="20"/>
                <w:szCs w:val="20"/>
                <w:lang w:val="en-PH"/>
              </w:rPr>
              <w:t xml:space="preserve">     50.00 </w:t>
            </w:r>
          </w:p>
        </w:tc>
        <w:tc>
          <w:tcPr>
            <w:tcW w:w="1180" w:type="dxa"/>
            <w:tcBorders>
              <w:top w:val="nil"/>
              <w:left w:val="nil"/>
              <w:bottom w:val="nil"/>
              <w:right w:val="nil"/>
            </w:tcBorders>
            <w:shd w:val="clear" w:color="auto" w:fill="auto"/>
            <w:noWrap/>
            <w:hideMark/>
          </w:tcPr>
          <w:p w14:paraId="723D7B69" w14:textId="77777777" w:rsidR="00E91813" w:rsidRPr="009E35ED" w:rsidRDefault="00E91813" w:rsidP="005E4F3F">
            <w:pPr>
              <w:ind w:left="0"/>
              <w:jc w:val="right"/>
              <w:rPr>
                <w:rFonts w:ascii="Arial Narrow" w:hAnsi="Arial Narrow" w:cs="Arial"/>
                <w:color w:val="000000" w:themeColor="text1"/>
                <w:sz w:val="20"/>
                <w:szCs w:val="20"/>
                <w:lang w:val="en-PH"/>
              </w:rPr>
            </w:pPr>
            <w:r w:rsidRPr="009E35ED">
              <w:rPr>
                <w:rFonts w:ascii="Arial" w:hAnsi="Arial" w:cs="Arial"/>
                <w:color w:val="000000" w:themeColor="text1"/>
                <w:sz w:val="20"/>
                <w:szCs w:val="20"/>
                <w:lang w:val="en-PH"/>
              </w:rPr>
              <w:t>P</w:t>
            </w:r>
            <w:r w:rsidRPr="009E35ED">
              <w:rPr>
                <w:rFonts w:ascii="Arial Narrow" w:hAnsi="Arial Narrow" w:cs="Arial"/>
                <w:color w:val="000000" w:themeColor="text1"/>
                <w:sz w:val="20"/>
                <w:szCs w:val="20"/>
                <w:lang w:val="en-PH"/>
              </w:rPr>
              <w:t xml:space="preserve">       30.00 </w:t>
            </w:r>
          </w:p>
        </w:tc>
        <w:tc>
          <w:tcPr>
            <w:tcW w:w="1180" w:type="dxa"/>
            <w:tcBorders>
              <w:top w:val="nil"/>
              <w:left w:val="nil"/>
              <w:bottom w:val="nil"/>
              <w:right w:val="nil"/>
            </w:tcBorders>
            <w:shd w:val="clear" w:color="auto" w:fill="auto"/>
            <w:noWrap/>
            <w:hideMark/>
          </w:tcPr>
          <w:p w14:paraId="3BB45398" w14:textId="77777777" w:rsidR="00E91813" w:rsidRPr="009E35ED" w:rsidRDefault="00E91813" w:rsidP="005E4F3F">
            <w:pPr>
              <w:ind w:left="0"/>
              <w:jc w:val="righ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 xml:space="preserve"> </w:t>
            </w:r>
            <w:r w:rsidRPr="009E35ED">
              <w:rPr>
                <w:rFonts w:ascii="Arial" w:hAnsi="Arial" w:cs="Arial"/>
                <w:color w:val="000000" w:themeColor="text1"/>
                <w:sz w:val="20"/>
                <w:szCs w:val="20"/>
                <w:lang w:val="en-PH"/>
              </w:rPr>
              <w:t>P</w:t>
            </w:r>
            <w:r w:rsidRPr="009E35ED">
              <w:rPr>
                <w:rFonts w:ascii="Arial Narrow" w:hAnsi="Arial Narrow" w:cs="Arial"/>
                <w:color w:val="000000" w:themeColor="text1"/>
                <w:sz w:val="20"/>
                <w:szCs w:val="20"/>
                <w:lang w:val="en-PH"/>
              </w:rPr>
              <w:t xml:space="preserve">       20.00 </w:t>
            </w:r>
          </w:p>
        </w:tc>
        <w:tc>
          <w:tcPr>
            <w:tcW w:w="1233" w:type="dxa"/>
            <w:tcBorders>
              <w:top w:val="nil"/>
              <w:left w:val="nil"/>
              <w:bottom w:val="nil"/>
              <w:right w:val="nil"/>
            </w:tcBorders>
            <w:shd w:val="clear" w:color="auto" w:fill="auto"/>
            <w:noWrap/>
            <w:hideMark/>
          </w:tcPr>
          <w:p w14:paraId="0FF7D027" w14:textId="77777777" w:rsidR="00E91813" w:rsidRPr="009E35ED" w:rsidRDefault="00E91813" w:rsidP="005E4F3F">
            <w:pPr>
              <w:ind w:left="0"/>
              <w:jc w:val="right"/>
              <w:rPr>
                <w:rFonts w:ascii="Arial Narrow" w:hAnsi="Arial Narrow" w:cs="Arial"/>
                <w:color w:val="000000" w:themeColor="text1"/>
                <w:sz w:val="20"/>
                <w:szCs w:val="20"/>
                <w:lang w:val="en-PH"/>
              </w:rPr>
            </w:pPr>
            <w:r w:rsidRPr="009E35ED">
              <w:rPr>
                <w:rFonts w:ascii="Arial" w:hAnsi="Arial" w:cs="Arial"/>
                <w:color w:val="000000" w:themeColor="text1"/>
                <w:sz w:val="20"/>
                <w:szCs w:val="20"/>
                <w:lang w:val="en-PH"/>
              </w:rPr>
              <w:t>P</w:t>
            </w:r>
            <w:r w:rsidRPr="009E35ED">
              <w:rPr>
                <w:rFonts w:ascii="Arial Narrow" w:hAnsi="Arial Narrow" w:cs="Arial"/>
                <w:color w:val="000000" w:themeColor="text1"/>
                <w:sz w:val="20"/>
                <w:szCs w:val="20"/>
                <w:lang w:val="en-PH"/>
              </w:rPr>
              <w:t xml:space="preserve">          60.00 </w:t>
            </w:r>
          </w:p>
        </w:tc>
        <w:tc>
          <w:tcPr>
            <w:tcW w:w="1213" w:type="dxa"/>
            <w:tcBorders>
              <w:top w:val="nil"/>
              <w:left w:val="nil"/>
              <w:bottom w:val="nil"/>
              <w:right w:val="nil"/>
            </w:tcBorders>
            <w:shd w:val="clear" w:color="auto" w:fill="auto"/>
            <w:noWrap/>
            <w:hideMark/>
          </w:tcPr>
          <w:p w14:paraId="30F92B28" w14:textId="77777777" w:rsidR="00E91813" w:rsidRPr="009E35ED" w:rsidRDefault="00E91813" w:rsidP="005E4F3F">
            <w:pPr>
              <w:ind w:left="0" w:right="-90"/>
              <w:rPr>
                <w:rFonts w:ascii="Arial Narrow" w:hAnsi="Arial Narrow" w:cs="Arial"/>
                <w:color w:val="000000" w:themeColor="text1"/>
                <w:sz w:val="20"/>
                <w:szCs w:val="20"/>
                <w:lang w:val="en-PH"/>
              </w:rPr>
            </w:pPr>
            <w:r w:rsidRPr="009E35ED">
              <w:rPr>
                <w:rFonts w:ascii="Arial" w:hAnsi="Arial" w:cs="Arial"/>
                <w:color w:val="000000" w:themeColor="text1"/>
                <w:sz w:val="20"/>
                <w:szCs w:val="20"/>
                <w:lang w:val="en-PH"/>
              </w:rPr>
              <w:t xml:space="preserve"> P</w:t>
            </w:r>
            <w:r w:rsidRPr="009E35ED">
              <w:rPr>
                <w:rFonts w:ascii="Arial Narrow" w:hAnsi="Arial Narrow" w:cs="Arial"/>
                <w:color w:val="000000" w:themeColor="text1"/>
                <w:sz w:val="20"/>
                <w:szCs w:val="20"/>
                <w:lang w:val="en-PH"/>
              </w:rPr>
              <w:t xml:space="preserve">          100.00 </w:t>
            </w:r>
          </w:p>
        </w:tc>
      </w:tr>
      <w:tr w:rsidR="00997F75" w:rsidRPr="009E35ED" w14:paraId="22C9993D" w14:textId="77777777" w:rsidTr="005E4F3F">
        <w:trPr>
          <w:trHeight w:val="303"/>
        </w:trPr>
        <w:tc>
          <w:tcPr>
            <w:tcW w:w="2542" w:type="dxa"/>
            <w:tcBorders>
              <w:top w:val="nil"/>
              <w:left w:val="nil"/>
              <w:bottom w:val="nil"/>
              <w:right w:val="nil"/>
            </w:tcBorders>
            <w:shd w:val="clear" w:color="auto" w:fill="auto"/>
            <w:noWrap/>
            <w:hideMark/>
          </w:tcPr>
          <w:p w14:paraId="36DEB1CB" w14:textId="77777777" w:rsidR="00E91813" w:rsidRPr="009E35ED" w:rsidRDefault="00E91813" w:rsidP="005E4F3F">
            <w:pPr>
              <w:ind w:left="0" w:hanging="90"/>
              <w:jc w:val="left"/>
              <w:rPr>
                <w:rFonts w:ascii="Arial Narrow" w:hAnsi="Arial Narrow" w:cs="Arial"/>
                <w:color w:val="000000" w:themeColor="text1"/>
                <w:sz w:val="20"/>
                <w:szCs w:val="20"/>
                <w:lang w:val="en-PH"/>
              </w:rPr>
            </w:pPr>
          </w:p>
        </w:tc>
        <w:tc>
          <w:tcPr>
            <w:tcW w:w="1122" w:type="dxa"/>
            <w:tcBorders>
              <w:top w:val="nil"/>
              <w:left w:val="nil"/>
              <w:bottom w:val="nil"/>
              <w:right w:val="nil"/>
            </w:tcBorders>
            <w:shd w:val="clear" w:color="auto" w:fill="auto"/>
            <w:noWrap/>
            <w:hideMark/>
          </w:tcPr>
          <w:p w14:paraId="185787CC" w14:textId="77777777" w:rsidR="00E91813" w:rsidRPr="009E35ED" w:rsidRDefault="00E91813" w:rsidP="005E4F3F">
            <w:pPr>
              <w:ind w:left="0"/>
              <w:jc w:val="right"/>
              <w:rPr>
                <w:rFonts w:ascii="Arial Narrow" w:hAnsi="Arial Narrow" w:cs="Arial"/>
                <w:color w:val="000000" w:themeColor="text1"/>
                <w:sz w:val="20"/>
                <w:szCs w:val="20"/>
                <w:lang w:val="en-PH"/>
              </w:rPr>
            </w:pPr>
          </w:p>
        </w:tc>
        <w:tc>
          <w:tcPr>
            <w:tcW w:w="1180" w:type="dxa"/>
            <w:tcBorders>
              <w:top w:val="nil"/>
              <w:left w:val="nil"/>
              <w:bottom w:val="nil"/>
              <w:right w:val="nil"/>
            </w:tcBorders>
            <w:shd w:val="clear" w:color="auto" w:fill="auto"/>
            <w:noWrap/>
            <w:hideMark/>
          </w:tcPr>
          <w:p w14:paraId="710168C9" w14:textId="77777777" w:rsidR="00E91813" w:rsidRPr="009E35ED" w:rsidRDefault="00E91813" w:rsidP="005E4F3F">
            <w:pPr>
              <w:ind w:left="0"/>
              <w:jc w:val="right"/>
              <w:rPr>
                <w:rFonts w:ascii="Arial Narrow" w:hAnsi="Arial Narrow" w:cs="Arial"/>
                <w:color w:val="000000" w:themeColor="text1"/>
                <w:sz w:val="20"/>
                <w:szCs w:val="20"/>
                <w:lang w:val="en-PH"/>
              </w:rPr>
            </w:pPr>
          </w:p>
        </w:tc>
        <w:tc>
          <w:tcPr>
            <w:tcW w:w="1180" w:type="dxa"/>
            <w:tcBorders>
              <w:top w:val="nil"/>
              <w:left w:val="nil"/>
              <w:bottom w:val="nil"/>
              <w:right w:val="nil"/>
            </w:tcBorders>
            <w:shd w:val="clear" w:color="auto" w:fill="auto"/>
            <w:noWrap/>
            <w:hideMark/>
          </w:tcPr>
          <w:p w14:paraId="5E1DD264" w14:textId="77777777" w:rsidR="00E91813" w:rsidRPr="009E35ED" w:rsidRDefault="00E91813" w:rsidP="005E4F3F">
            <w:pPr>
              <w:ind w:left="0"/>
              <w:jc w:val="right"/>
              <w:rPr>
                <w:rFonts w:ascii="Arial Narrow" w:hAnsi="Arial Narrow" w:cs="Arial"/>
                <w:color w:val="000000" w:themeColor="text1"/>
                <w:sz w:val="20"/>
                <w:szCs w:val="20"/>
                <w:lang w:val="en-PH"/>
              </w:rPr>
            </w:pPr>
          </w:p>
        </w:tc>
        <w:tc>
          <w:tcPr>
            <w:tcW w:w="1233" w:type="dxa"/>
            <w:tcBorders>
              <w:top w:val="nil"/>
              <w:left w:val="nil"/>
              <w:bottom w:val="nil"/>
              <w:right w:val="nil"/>
            </w:tcBorders>
            <w:shd w:val="clear" w:color="auto" w:fill="auto"/>
            <w:noWrap/>
            <w:hideMark/>
          </w:tcPr>
          <w:p w14:paraId="391D2B68" w14:textId="77777777" w:rsidR="00E91813" w:rsidRPr="009E35ED" w:rsidRDefault="00E91813" w:rsidP="005E4F3F">
            <w:pPr>
              <w:ind w:left="0"/>
              <w:jc w:val="right"/>
              <w:rPr>
                <w:rFonts w:ascii="Arial Narrow" w:hAnsi="Arial Narrow" w:cs="Arial"/>
                <w:color w:val="000000" w:themeColor="text1"/>
                <w:sz w:val="20"/>
                <w:szCs w:val="20"/>
                <w:lang w:val="en-PH"/>
              </w:rPr>
            </w:pPr>
          </w:p>
        </w:tc>
        <w:tc>
          <w:tcPr>
            <w:tcW w:w="1213" w:type="dxa"/>
            <w:tcBorders>
              <w:top w:val="nil"/>
              <w:left w:val="nil"/>
              <w:bottom w:val="nil"/>
              <w:right w:val="nil"/>
            </w:tcBorders>
            <w:shd w:val="clear" w:color="auto" w:fill="auto"/>
            <w:noWrap/>
            <w:hideMark/>
          </w:tcPr>
          <w:p w14:paraId="2F170FE5" w14:textId="77777777" w:rsidR="00E91813" w:rsidRPr="009E35ED" w:rsidRDefault="00E91813" w:rsidP="005E4F3F">
            <w:pPr>
              <w:ind w:left="0" w:right="-90"/>
              <w:jc w:val="right"/>
              <w:rPr>
                <w:rFonts w:ascii="Arial Narrow" w:hAnsi="Arial Narrow" w:cs="Arial"/>
                <w:color w:val="000000" w:themeColor="text1"/>
                <w:sz w:val="20"/>
                <w:szCs w:val="20"/>
                <w:lang w:val="en-PH"/>
              </w:rPr>
            </w:pPr>
          </w:p>
        </w:tc>
      </w:tr>
      <w:tr w:rsidR="00997F75" w:rsidRPr="009E35ED" w14:paraId="745377FC" w14:textId="77777777" w:rsidTr="005E4F3F">
        <w:trPr>
          <w:trHeight w:val="72"/>
        </w:trPr>
        <w:tc>
          <w:tcPr>
            <w:tcW w:w="2542" w:type="dxa"/>
            <w:tcBorders>
              <w:top w:val="nil"/>
              <w:left w:val="nil"/>
              <w:bottom w:val="nil"/>
              <w:right w:val="nil"/>
            </w:tcBorders>
            <w:shd w:val="clear" w:color="auto" w:fill="auto"/>
            <w:noWrap/>
            <w:hideMark/>
          </w:tcPr>
          <w:p w14:paraId="2B0872DB" w14:textId="77777777" w:rsidR="00E91813" w:rsidRPr="009E35ED" w:rsidRDefault="00E91813" w:rsidP="005E4F3F">
            <w:pPr>
              <w:ind w:left="0" w:hanging="90"/>
              <w:jc w:val="left"/>
              <w:rPr>
                <w:rFonts w:ascii="Arial Narrow" w:hAnsi="Arial Narrow" w:cs="Arial"/>
                <w:b/>
                <w:bCs/>
                <w:color w:val="000000" w:themeColor="text1"/>
                <w:sz w:val="20"/>
                <w:szCs w:val="20"/>
                <w:lang w:val="en-PH"/>
              </w:rPr>
            </w:pPr>
            <w:r w:rsidRPr="009E35ED">
              <w:rPr>
                <w:rFonts w:ascii="Arial Narrow" w:hAnsi="Arial Narrow" w:cs="Arial"/>
                <w:b/>
                <w:bCs/>
                <w:color w:val="000000" w:themeColor="text1"/>
                <w:sz w:val="20"/>
                <w:szCs w:val="20"/>
                <w:lang w:val="en-PH"/>
              </w:rPr>
              <w:t>II. Charity   Fund  (30% of NR)</w:t>
            </w:r>
          </w:p>
        </w:tc>
        <w:tc>
          <w:tcPr>
            <w:tcW w:w="1122" w:type="dxa"/>
            <w:tcBorders>
              <w:top w:val="nil"/>
              <w:left w:val="nil"/>
              <w:bottom w:val="nil"/>
              <w:right w:val="nil"/>
            </w:tcBorders>
            <w:shd w:val="clear" w:color="auto" w:fill="auto"/>
            <w:noWrap/>
            <w:hideMark/>
          </w:tcPr>
          <w:p w14:paraId="7E2B1026" w14:textId="77777777" w:rsidR="00E91813" w:rsidRPr="009E35ED" w:rsidRDefault="00E91813" w:rsidP="005E4F3F">
            <w:pPr>
              <w:ind w:left="0"/>
              <w:jc w:val="right"/>
              <w:rPr>
                <w:rFonts w:ascii="Arial Narrow" w:hAnsi="Arial Narrow" w:cs="Arial"/>
                <w:b/>
                <w:bCs/>
                <w:color w:val="000000" w:themeColor="text1"/>
                <w:sz w:val="20"/>
                <w:szCs w:val="20"/>
                <w:lang w:val="en-PH"/>
              </w:rPr>
            </w:pPr>
            <w:r w:rsidRPr="009E35ED">
              <w:rPr>
                <w:rFonts w:ascii="Arial Narrow" w:hAnsi="Arial Narrow" w:cs="Arial"/>
                <w:b/>
                <w:bCs/>
                <w:color w:val="000000" w:themeColor="text1"/>
                <w:sz w:val="20"/>
                <w:szCs w:val="20"/>
                <w:lang w:val="en-PH"/>
              </w:rPr>
              <w:t>29.40%</w:t>
            </w:r>
          </w:p>
        </w:tc>
        <w:tc>
          <w:tcPr>
            <w:tcW w:w="1180" w:type="dxa"/>
            <w:tcBorders>
              <w:top w:val="nil"/>
              <w:left w:val="nil"/>
              <w:bottom w:val="nil"/>
              <w:right w:val="nil"/>
            </w:tcBorders>
            <w:shd w:val="clear" w:color="auto" w:fill="auto"/>
            <w:noWrap/>
            <w:hideMark/>
          </w:tcPr>
          <w:p w14:paraId="551784C7" w14:textId="77777777" w:rsidR="00E91813" w:rsidRPr="009E35ED" w:rsidRDefault="00E91813" w:rsidP="005E4F3F">
            <w:pPr>
              <w:ind w:left="0"/>
              <w:jc w:val="right"/>
              <w:rPr>
                <w:rFonts w:ascii="Arial Narrow" w:hAnsi="Arial Narrow" w:cs="Arial"/>
                <w:b/>
                <w:bCs/>
                <w:color w:val="000000" w:themeColor="text1"/>
                <w:sz w:val="20"/>
                <w:szCs w:val="20"/>
                <w:lang w:val="en-PH"/>
              </w:rPr>
            </w:pPr>
            <w:r w:rsidRPr="009E35ED">
              <w:rPr>
                <w:rFonts w:ascii="Arial Narrow" w:hAnsi="Arial Narrow" w:cs="Arial"/>
                <w:b/>
                <w:bCs/>
                <w:color w:val="000000" w:themeColor="text1"/>
                <w:sz w:val="20"/>
                <w:szCs w:val="20"/>
                <w:lang w:val="en-PH"/>
              </w:rPr>
              <w:t>29.40%</w:t>
            </w:r>
          </w:p>
        </w:tc>
        <w:tc>
          <w:tcPr>
            <w:tcW w:w="1180" w:type="dxa"/>
            <w:tcBorders>
              <w:top w:val="nil"/>
              <w:left w:val="nil"/>
              <w:bottom w:val="nil"/>
              <w:right w:val="nil"/>
            </w:tcBorders>
            <w:shd w:val="clear" w:color="auto" w:fill="auto"/>
            <w:noWrap/>
            <w:hideMark/>
          </w:tcPr>
          <w:p w14:paraId="024DB39E" w14:textId="77777777" w:rsidR="00E91813" w:rsidRPr="009E35ED" w:rsidRDefault="00E91813" w:rsidP="005E4F3F">
            <w:pPr>
              <w:ind w:left="0"/>
              <w:jc w:val="right"/>
              <w:rPr>
                <w:rFonts w:ascii="Arial Narrow" w:hAnsi="Arial Narrow" w:cs="Arial"/>
                <w:b/>
                <w:bCs/>
                <w:color w:val="000000" w:themeColor="text1"/>
                <w:sz w:val="20"/>
                <w:szCs w:val="20"/>
                <w:lang w:val="en-PH"/>
              </w:rPr>
            </w:pPr>
            <w:r w:rsidRPr="009E35ED">
              <w:rPr>
                <w:rFonts w:ascii="Arial Narrow" w:hAnsi="Arial Narrow" w:cs="Arial"/>
                <w:b/>
                <w:bCs/>
                <w:color w:val="000000" w:themeColor="text1"/>
                <w:sz w:val="20"/>
                <w:szCs w:val="20"/>
                <w:lang w:val="en-PH"/>
              </w:rPr>
              <w:t>29.40%</w:t>
            </w:r>
          </w:p>
        </w:tc>
        <w:tc>
          <w:tcPr>
            <w:tcW w:w="1233" w:type="dxa"/>
            <w:tcBorders>
              <w:top w:val="nil"/>
              <w:left w:val="nil"/>
              <w:bottom w:val="nil"/>
              <w:right w:val="nil"/>
            </w:tcBorders>
            <w:shd w:val="clear" w:color="auto" w:fill="auto"/>
            <w:noWrap/>
            <w:hideMark/>
          </w:tcPr>
          <w:p w14:paraId="79F06865" w14:textId="77777777" w:rsidR="00E91813" w:rsidRPr="009E35ED" w:rsidRDefault="00E91813" w:rsidP="005E4F3F">
            <w:pPr>
              <w:ind w:left="0"/>
              <w:jc w:val="right"/>
              <w:rPr>
                <w:rFonts w:ascii="Arial Narrow" w:hAnsi="Arial Narrow" w:cs="Arial"/>
                <w:b/>
                <w:bCs/>
                <w:color w:val="000000" w:themeColor="text1"/>
                <w:sz w:val="20"/>
                <w:szCs w:val="20"/>
                <w:lang w:val="en-PH"/>
              </w:rPr>
            </w:pPr>
            <w:r w:rsidRPr="009E35ED">
              <w:rPr>
                <w:rFonts w:ascii="Arial Narrow" w:hAnsi="Arial Narrow" w:cs="Arial"/>
                <w:b/>
                <w:bCs/>
                <w:color w:val="000000" w:themeColor="text1"/>
                <w:sz w:val="20"/>
                <w:szCs w:val="20"/>
                <w:lang w:val="en-PH"/>
              </w:rPr>
              <w:t>29.40%</w:t>
            </w:r>
          </w:p>
        </w:tc>
        <w:tc>
          <w:tcPr>
            <w:tcW w:w="1213" w:type="dxa"/>
            <w:tcBorders>
              <w:top w:val="nil"/>
              <w:left w:val="nil"/>
              <w:bottom w:val="nil"/>
              <w:right w:val="nil"/>
            </w:tcBorders>
            <w:shd w:val="clear" w:color="auto" w:fill="auto"/>
            <w:noWrap/>
            <w:hideMark/>
          </w:tcPr>
          <w:p w14:paraId="16E1ED26" w14:textId="77777777" w:rsidR="00E91813" w:rsidRPr="009E35ED" w:rsidRDefault="00E91813" w:rsidP="005E4F3F">
            <w:pPr>
              <w:ind w:left="0" w:right="-90"/>
              <w:jc w:val="right"/>
              <w:rPr>
                <w:rFonts w:ascii="Arial Narrow" w:hAnsi="Arial Narrow" w:cs="Arial"/>
                <w:b/>
                <w:bCs/>
                <w:color w:val="000000" w:themeColor="text1"/>
                <w:sz w:val="20"/>
                <w:szCs w:val="20"/>
                <w:lang w:val="en-PH"/>
              </w:rPr>
            </w:pPr>
            <w:r w:rsidRPr="009E35ED">
              <w:rPr>
                <w:rFonts w:ascii="Arial Narrow" w:hAnsi="Arial Narrow" w:cs="Arial"/>
                <w:b/>
                <w:bCs/>
                <w:color w:val="000000" w:themeColor="text1"/>
                <w:sz w:val="20"/>
                <w:szCs w:val="20"/>
                <w:lang w:val="en-PH"/>
              </w:rPr>
              <w:t>29.40%</w:t>
            </w:r>
          </w:p>
        </w:tc>
      </w:tr>
      <w:tr w:rsidR="00997F75" w:rsidRPr="009E35ED" w14:paraId="44698996" w14:textId="77777777" w:rsidTr="005E4F3F">
        <w:trPr>
          <w:trHeight w:val="171"/>
        </w:trPr>
        <w:tc>
          <w:tcPr>
            <w:tcW w:w="2542" w:type="dxa"/>
            <w:tcBorders>
              <w:top w:val="nil"/>
              <w:left w:val="nil"/>
              <w:bottom w:val="nil"/>
              <w:right w:val="nil"/>
            </w:tcBorders>
            <w:shd w:val="clear" w:color="auto" w:fill="auto"/>
            <w:noWrap/>
            <w:hideMark/>
          </w:tcPr>
          <w:p w14:paraId="412EECB1" w14:textId="77777777" w:rsidR="00E91813" w:rsidRPr="009E35ED" w:rsidRDefault="00E91813" w:rsidP="005E4F3F">
            <w:pPr>
              <w:ind w:left="0" w:hanging="90"/>
              <w:jc w:val="lef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Education</w:t>
            </w:r>
          </w:p>
        </w:tc>
        <w:tc>
          <w:tcPr>
            <w:tcW w:w="1122" w:type="dxa"/>
            <w:tcBorders>
              <w:top w:val="nil"/>
              <w:left w:val="nil"/>
              <w:bottom w:val="nil"/>
              <w:right w:val="nil"/>
            </w:tcBorders>
            <w:shd w:val="clear" w:color="auto" w:fill="auto"/>
            <w:noWrap/>
            <w:hideMark/>
          </w:tcPr>
          <w:p w14:paraId="403B1CBD" w14:textId="77777777" w:rsidR="00E91813" w:rsidRPr="009E35ED" w:rsidRDefault="00E91813" w:rsidP="005E4F3F">
            <w:pPr>
              <w:ind w:left="0"/>
              <w:jc w:val="righ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1.00%</w:t>
            </w:r>
          </w:p>
        </w:tc>
        <w:tc>
          <w:tcPr>
            <w:tcW w:w="1180" w:type="dxa"/>
            <w:tcBorders>
              <w:top w:val="nil"/>
              <w:left w:val="nil"/>
              <w:bottom w:val="nil"/>
              <w:right w:val="nil"/>
            </w:tcBorders>
            <w:shd w:val="clear" w:color="auto" w:fill="auto"/>
            <w:noWrap/>
            <w:hideMark/>
          </w:tcPr>
          <w:p w14:paraId="36CA61B7" w14:textId="77777777" w:rsidR="00E91813" w:rsidRPr="009E35ED" w:rsidRDefault="00E91813" w:rsidP="005E4F3F">
            <w:pPr>
              <w:ind w:left="0"/>
              <w:jc w:val="righ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1.00%</w:t>
            </w:r>
          </w:p>
        </w:tc>
        <w:tc>
          <w:tcPr>
            <w:tcW w:w="1180" w:type="dxa"/>
            <w:tcBorders>
              <w:top w:val="nil"/>
              <w:left w:val="nil"/>
              <w:bottom w:val="nil"/>
              <w:right w:val="nil"/>
            </w:tcBorders>
            <w:shd w:val="clear" w:color="auto" w:fill="auto"/>
            <w:noWrap/>
            <w:hideMark/>
          </w:tcPr>
          <w:p w14:paraId="0D138845" w14:textId="77777777" w:rsidR="00E91813" w:rsidRPr="009E35ED" w:rsidRDefault="00E91813" w:rsidP="005E4F3F">
            <w:pPr>
              <w:ind w:left="0"/>
              <w:jc w:val="righ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1.00%</w:t>
            </w:r>
          </w:p>
        </w:tc>
        <w:tc>
          <w:tcPr>
            <w:tcW w:w="1233" w:type="dxa"/>
            <w:tcBorders>
              <w:top w:val="nil"/>
              <w:left w:val="nil"/>
              <w:bottom w:val="nil"/>
              <w:right w:val="nil"/>
            </w:tcBorders>
            <w:shd w:val="clear" w:color="auto" w:fill="auto"/>
            <w:noWrap/>
            <w:hideMark/>
          </w:tcPr>
          <w:p w14:paraId="415F69ED" w14:textId="77777777" w:rsidR="00E91813" w:rsidRPr="009E35ED" w:rsidRDefault="00E91813" w:rsidP="005E4F3F">
            <w:pPr>
              <w:ind w:left="0"/>
              <w:jc w:val="righ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1.00%</w:t>
            </w:r>
          </w:p>
        </w:tc>
        <w:tc>
          <w:tcPr>
            <w:tcW w:w="1213" w:type="dxa"/>
            <w:tcBorders>
              <w:top w:val="nil"/>
              <w:left w:val="nil"/>
              <w:bottom w:val="nil"/>
              <w:right w:val="nil"/>
            </w:tcBorders>
            <w:shd w:val="clear" w:color="auto" w:fill="auto"/>
            <w:noWrap/>
            <w:hideMark/>
          </w:tcPr>
          <w:p w14:paraId="046F7F0B" w14:textId="77777777" w:rsidR="00E91813" w:rsidRPr="009E35ED" w:rsidRDefault="00E91813" w:rsidP="005E4F3F">
            <w:pPr>
              <w:ind w:left="0" w:right="-90"/>
              <w:jc w:val="righ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1.00%</w:t>
            </w:r>
          </w:p>
        </w:tc>
      </w:tr>
      <w:tr w:rsidR="00997F75" w:rsidRPr="009E35ED" w14:paraId="7137EFDF" w14:textId="77777777" w:rsidTr="005E4F3F">
        <w:trPr>
          <w:trHeight w:val="207"/>
        </w:trPr>
        <w:tc>
          <w:tcPr>
            <w:tcW w:w="2542" w:type="dxa"/>
            <w:tcBorders>
              <w:top w:val="nil"/>
              <w:left w:val="nil"/>
              <w:bottom w:val="nil"/>
              <w:right w:val="nil"/>
            </w:tcBorders>
            <w:shd w:val="clear" w:color="auto" w:fill="auto"/>
            <w:noWrap/>
            <w:hideMark/>
          </w:tcPr>
          <w:p w14:paraId="1FD00900" w14:textId="77777777" w:rsidR="00E91813" w:rsidRPr="009E35ED" w:rsidRDefault="00E91813" w:rsidP="005E4F3F">
            <w:pPr>
              <w:ind w:left="0" w:hanging="90"/>
              <w:jc w:val="lef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Direct Cost – ELA</w:t>
            </w:r>
          </w:p>
        </w:tc>
        <w:tc>
          <w:tcPr>
            <w:tcW w:w="1122" w:type="dxa"/>
            <w:tcBorders>
              <w:top w:val="nil"/>
              <w:left w:val="nil"/>
              <w:bottom w:val="nil"/>
              <w:right w:val="nil"/>
            </w:tcBorders>
            <w:shd w:val="clear" w:color="auto" w:fill="auto"/>
            <w:noWrap/>
            <w:hideMark/>
          </w:tcPr>
          <w:p w14:paraId="0AF5FFBF" w14:textId="77777777" w:rsidR="00E91813" w:rsidRPr="009E35ED" w:rsidRDefault="00E91813" w:rsidP="005E4F3F">
            <w:pPr>
              <w:ind w:left="0"/>
              <w:jc w:val="righ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2.02%</w:t>
            </w:r>
          </w:p>
        </w:tc>
        <w:tc>
          <w:tcPr>
            <w:tcW w:w="1180" w:type="dxa"/>
            <w:tcBorders>
              <w:top w:val="nil"/>
              <w:left w:val="nil"/>
              <w:bottom w:val="nil"/>
              <w:right w:val="nil"/>
            </w:tcBorders>
            <w:shd w:val="clear" w:color="auto" w:fill="auto"/>
            <w:noWrap/>
            <w:hideMark/>
          </w:tcPr>
          <w:p w14:paraId="1A610573" w14:textId="77777777" w:rsidR="00E91813" w:rsidRPr="009E35ED" w:rsidRDefault="00E91813" w:rsidP="005E4F3F">
            <w:pPr>
              <w:ind w:left="0"/>
              <w:jc w:val="righ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2.02%</w:t>
            </w:r>
          </w:p>
        </w:tc>
        <w:tc>
          <w:tcPr>
            <w:tcW w:w="1180" w:type="dxa"/>
            <w:tcBorders>
              <w:top w:val="nil"/>
              <w:left w:val="nil"/>
              <w:bottom w:val="nil"/>
              <w:right w:val="nil"/>
            </w:tcBorders>
            <w:shd w:val="clear" w:color="auto" w:fill="auto"/>
            <w:noWrap/>
            <w:hideMark/>
          </w:tcPr>
          <w:p w14:paraId="171AD60F" w14:textId="77777777" w:rsidR="00E91813" w:rsidRPr="009E35ED" w:rsidRDefault="00E91813" w:rsidP="005E4F3F">
            <w:pPr>
              <w:ind w:left="0"/>
              <w:jc w:val="righ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2.02%</w:t>
            </w:r>
          </w:p>
        </w:tc>
        <w:tc>
          <w:tcPr>
            <w:tcW w:w="1233" w:type="dxa"/>
            <w:tcBorders>
              <w:top w:val="nil"/>
              <w:left w:val="nil"/>
              <w:bottom w:val="nil"/>
              <w:right w:val="nil"/>
            </w:tcBorders>
            <w:shd w:val="clear" w:color="auto" w:fill="auto"/>
            <w:noWrap/>
            <w:hideMark/>
          </w:tcPr>
          <w:p w14:paraId="7B92C9A6" w14:textId="77777777" w:rsidR="00E91813" w:rsidRPr="009E35ED" w:rsidRDefault="00E91813" w:rsidP="005E4F3F">
            <w:pPr>
              <w:ind w:left="0"/>
              <w:jc w:val="righ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2.02%</w:t>
            </w:r>
          </w:p>
        </w:tc>
        <w:tc>
          <w:tcPr>
            <w:tcW w:w="1213" w:type="dxa"/>
            <w:tcBorders>
              <w:top w:val="nil"/>
              <w:left w:val="nil"/>
              <w:bottom w:val="nil"/>
              <w:right w:val="nil"/>
            </w:tcBorders>
            <w:shd w:val="clear" w:color="auto" w:fill="auto"/>
            <w:noWrap/>
            <w:hideMark/>
          </w:tcPr>
          <w:p w14:paraId="494EDB17" w14:textId="77777777" w:rsidR="00E91813" w:rsidRPr="009E35ED" w:rsidRDefault="00E91813" w:rsidP="005E4F3F">
            <w:pPr>
              <w:ind w:left="0" w:right="-90"/>
              <w:jc w:val="righ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2.02%</w:t>
            </w:r>
          </w:p>
        </w:tc>
      </w:tr>
      <w:tr w:rsidR="00997F75" w:rsidRPr="009E35ED" w14:paraId="78DC8B2B" w14:textId="77777777" w:rsidTr="005E4F3F">
        <w:trPr>
          <w:trHeight w:val="207"/>
        </w:trPr>
        <w:tc>
          <w:tcPr>
            <w:tcW w:w="2542" w:type="dxa"/>
            <w:tcBorders>
              <w:top w:val="nil"/>
              <w:left w:val="nil"/>
              <w:bottom w:val="nil"/>
              <w:right w:val="nil"/>
            </w:tcBorders>
            <w:shd w:val="clear" w:color="auto" w:fill="auto"/>
            <w:noWrap/>
          </w:tcPr>
          <w:p w14:paraId="09FA3B25" w14:textId="77777777" w:rsidR="00E91813" w:rsidRPr="009E35ED" w:rsidRDefault="00E91813" w:rsidP="005E4F3F">
            <w:pPr>
              <w:ind w:left="0" w:hanging="90"/>
              <w:jc w:val="lef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Documentary Stamp Tax</w:t>
            </w:r>
          </w:p>
        </w:tc>
        <w:tc>
          <w:tcPr>
            <w:tcW w:w="1122" w:type="dxa"/>
            <w:tcBorders>
              <w:top w:val="nil"/>
              <w:left w:val="nil"/>
              <w:bottom w:val="nil"/>
              <w:right w:val="nil"/>
            </w:tcBorders>
            <w:shd w:val="clear" w:color="auto" w:fill="auto"/>
            <w:noWrap/>
          </w:tcPr>
          <w:p w14:paraId="5FBBBB1A" w14:textId="77777777" w:rsidR="00E91813" w:rsidRPr="009E35ED" w:rsidRDefault="00E91813" w:rsidP="005E4F3F">
            <w:pPr>
              <w:ind w:left="0"/>
              <w:jc w:val="righ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20.00%</w:t>
            </w:r>
          </w:p>
        </w:tc>
        <w:tc>
          <w:tcPr>
            <w:tcW w:w="1180" w:type="dxa"/>
            <w:tcBorders>
              <w:top w:val="nil"/>
              <w:left w:val="nil"/>
              <w:bottom w:val="nil"/>
              <w:right w:val="nil"/>
            </w:tcBorders>
            <w:shd w:val="clear" w:color="auto" w:fill="auto"/>
            <w:noWrap/>
          </w:tcPr>
          <w:p w14:paraId="4005CB48" w14:textId="77777777" w:rsidR="00E91813" w:rsidRPr="009E35ED" w:rsidRDefault="00E91813" w:rsidP="005E4F3F">
            <w:pPr>
              <w:ind w:left="0"/>
              <w:jc w:val="righ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20.00%</w:t>
            </w:r>
          </w:p>
        </w:tc>
        <w:tc>
          <w:tcPr>
            <w:tcW w:w="1180" w:type="dxa"/>
            <w:tcBorders>
              <w:top w:val="nil"/>
              <w:left w:val="nil"/>
              <w:bottom w:val="nil"/>
              <w:right w:val="nil"/>
            </w:tcBorders>
            <w:shd w:val="clear" w:color="auto" w:fill="auto"/>
            <w:noWrap/>
          </w:tcPr>
          <w:p w14:paraId="39546625" w14:textId="77777777" w:rsidR="00E91813" w:rsidRPr="009E35ED" w:rsidRDefault="00E91813" w:rsidP="005E4F3F">
            <w:pPr>
              <w:ind w:left="0"/>
              <w:jc w:val="righ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20.00%</w:t>
            </w:r>
          </w:p>
        </w:tc>
        <w:tc>
          <w:tcPr>
            <w:tcW w:w="1233" w:type="dxa"/>
            <w:tcBorders>
              <w:top w:val="nil"/>
              <w:left w:val="nil"/>
              <w:bottom w:val="nil"/>
              <w:right w:val="nil"/>
            </w:tcBorders>
            <w:shd w:val="clear" w:color="auto" w:fill="auto"/>
            <w:noWrap/>
          </w:tcPr>
          <w:p w14:paraId="75DF5CE0" w14:textId="77777777" w:rsidR="00E91813" w:rsidRPr="009E35ED" w:rsidRDefault="00E91813" w:rsidP="005E4F3F">
            <w:pPr>
              <w:ind w:left="0"/>
              <w:jc w:val="righ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20.00%</w:t>
            </w:r>
          </w:p>
        </w:tc>
        <w:tc>
          <w:tcPr>
            <w:tcW w:w="1213" w:type="dxa"/>
            <w:tcBorders>
              <w:top w:val="nil"/>
              <w:left w:val="nil"/>
              <w:bottom w:val="nil"/>
              <w:right w:val="nil"/>
            </w:tcBorders>
            <w:shd w:val="clear" w:color="auto" w:fill="auto"/>
            <w:noWrap/>
          </w:tcPr>
          <w:p w14:paraId="14FAE980" w14:textId="77777777" w:rsidR="00E91813" w:rsidRPr="009E35ED" w:rsidRDefault="00E91813" w:rsidP="005E4F3F">
            <w:pPr>
              <w:ind w:left="0" w:right="-90"/>
              <w:jc w:val="righ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20.00%</w:t>
            </w:r>
          </w:p>
        </w:tc>
      </w:tr>
      <w:tr w:rsidR="00997F75" w:rsidRPr="009E35ED" w14:paraId="54E8BF6B" w14:textId="77777777" w:rsidTr="005E4F3F">
        <w:trPr>
          <w:trHeight w:val="252"/>
        </w:trPr>
        <w:tc>
          <w:tcPr>
            <w:tcW w:w="2542" w:type="dxa"/>
            <w:tcBorders>
              <w:top w:val="nil"/>
              <w:left w:val="nil"/>
              <w:bottom w:val="nil"/>
              <w:right w:val="nil"/>
            </w:tcBorders>
            <w:shd w:val="clear" w:color="auto" w:fill="auto"/>
            <w:noWrap/>
            <w:hideMark/>
          </w:tcPr>
          <w:p w14:paraId="3FD3EF40" w14:textId="77777777" w:rsidR="00E91813" w:rsidRPr="009E35ED" w:rsidRDefault="00E91813" w:rsidP="005E4F3F">
            <w:pPr>
              <w:ind w:left="0" w:hanging="90"/>
              <w:jc w:val="lef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Financial Assistance</w:t>
            </w:r>
          </w:p>
        </w:tc>
        <w:tc>
          <w:tcPr>
            <w:tcW w:w="1122" w:type="dxa"/>
            <w:tcBorders>
              <w:top w:val="nil"/>
              <w:left w:val="nil"/>
              <w:bottom w:val="nil"/>
              <w:right w:val="nil"/>
            </w:tcBorders>
            <w:shd w:val="clear" w:color="auto" w:fill="auto"/>
            <w:noWrap/>
            <w:hideMark/>
          </w:tcPr>
          <w:p w14:paraId="408E4331" w14:textId="77777777" w:rsidR="00E91813" w:rsidRPr="009E35ED" w:rsidRDefault="00E91813" w:rsidP="005E4F3F">
            <w:pPr>
              <w:ind w:left="0"/>
              <w:jc w:val="righ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6.38%</w:t>
            </w:r>
          </w:p>
        </w:tc>
        <w:tc>
          <w:tcPr>
            <w:tcW w:w="1180" w:type="dxa"/>
            <w:tcBorders>
              <w:top w:val="nil"/>
              <w:left w:val="nil"/>
              <w:bottom w:val="nil"/>
              <w:right w:val="nil"/>
            </w:tcBorders>
            <w:shd w:val="clear" w:color="auto" w:fill="auto"/>
            <w:noWrap/>
            <w:hideMark/>
          </w:tcPr>
          <w:p w14:paraId="2CB47995" w14:textId="77777777" w:rsidR="00E91813" w:rsidRPr="009E35ED" w:rsidRDefault="00E91813" w:rsidP="005E4F3F">
            <w:pPr>
              <w:ind w:left="0"/>
              <w:jc w:val="righ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6.38%</w:t>
            </w:r>
          </w:p>
        </w:tc>
        <w:tc>
          <w:tcPr>
            <w:tcW w:w="1180" w:type="dxa"/>
            <w:tcBorders>
              <w:top w:val="nil"/>
              <w:left w:val="nil"/>
              <w:bottom w:val="nil"/>
              <w:right w:val="nil"/>
            </w:tcBorders>
            <w:shd w:val="clear" w:color="auto" w:fill="auto"/>
            <w:noWrap/>
            <w:hideMark/>
          </w:tcPr>
          <w:p w14:paraId="22A9073F" w14:textId="77777777" w:rsidR="00E91813" w:rsidRPr="009E35ED" w:rsidRDefault="00E91813" w:rsidP="005E4F3F">
            <w:pPr>
              <w:ind w:left="0"/>
              <w:jc w:val="righ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6.38%</w:t>
            </w:r>
          </w:p>
        </w:tc>
        <w:tc>
          <w:tcPr>
            <w:tcW w:w="1233" w:type="dxa"/>
            <w:tcBorders>
              <w:top w:val="nil"/>
              <w:left w:val="nil"/>
              <w:bottom w:val="nil"/>
              <w:right w:val="nil"/>
            </w:tcBorders>
            <w:shd w:val="clear" w:color="auto" w:fill="auto"/>
            <w:noWrap/>
            <w:hideMark/>
          </w:tcPr>
          <w:p w14:paraId="4987C59E" w14:textId="77777777" w:rsidR="00E91813" w:rsidRPr="009E35ED" w:rsidRDefault="00E91813" w:rsidP="005E4F3F">
            <w:pPr>
              <w:ind w:left="0"/>
              <w:jc w:val="righ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6.38%</w:t>
            </w:r>
          </w:p>
        </w:tc>
        <w:tc>
          <w:tcPr>
            <w:tcW w:w="1213" w:type="dxa"/>
            <w:tcBorders>
              <w:top w:val="nil"/>
              <w:left w:val="nil"/>
              <w:bottom w:val="nil"/>
              <w:right w:val="nil"/>
            </w:tcBorders>
            <w:shd w:val="clear" w:color="auto" w:fill="auto"/>
            <w:noWrap/>
            <w:hideMark/>
          </w:tcPr>
          <w:p w14:paraId="78B50E0B" w14:textId="77777777" w:rsidR="00E91813" w:rsidRPr="009E35ED" w:rsidRDefault="00E91813" w:rsidP="005E4F3F">
            <w:pPr>
              <w:ind w:left="0" w:right="-90"/>
              <w:jc w:val="righ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6.38%</w:t>
            </w:r>
          </w:p>
        </w:tc>
      </w:tr>
      <w:tr w:rsidR="00997F75" w:rsidRPr="009E35ED" w14:paraId="5B8CDC2D" w14:textId="77777777" w:rsidTr="005E4F3F">
        <w:trPr>
          <w:trHeight w:val="303"/>
        </w:trPr>
        <w:tc>
          <w:tcPr>
            <w:tcW w:w="2542" w:type="dxa"/>
            <w:tcBorders>
              <w:top w:val="nil"/>
              <w:left w:val="nil"/>
              <w:bottom w:val="nil"/>
              <w:right w:val="nil"/>
            </w:tcBorders>
            <w:shd w:val="clear" w:color="auto" w:fill="auto"/>
            <w:noWrap/>
            <w:hideMark/>
          </w:tcPr>
          <w:p w14:paraId="00045CCB" w14:textId="77777777" w:rsidR="00E91813" w:rsidRPr="009E35ED" w:rsidRDefault="00E91813" w:rsidP="005E4F3F">
            <w:pPr>
              <w:ind w:left="0" w:hanging="90"/>
              <w:jc w:val="left"/>
              <w:rPr>
                <w:rFonts w:ascii="Arial Narrow" w:hAnsi="Arial Narrow" w:cs="Arial"/>
                <w:color w:val="000000" w:themeColor="text1"/>
                <w:sz w:val="20"/>
                <w:szCs w:val="20"/>
                <w:lang w:val="en-PH"/>
              </w:rPr>
            </w:pPr>
          </w:p>
        </w:tc>
        <w:tc>
          <w:tcPr>
            <w:tcW w:w="1122" w:type="dxa"/>
            <w:tcBorders>
              <w:top w:val="nil"/>
              <w:left w:val="nil"/>
              <w:bottom w:val="nil"/>
              <w:right w:val="nil"/>
            </w:tcBorders>
            <w:shd w:val="clear" w:color="auto" w:fill="auto"/>
            <w:noWrap/>
            <w:hideMark/>
          </w:tcPr>
          <w:p w14:paraId="426880F5" w14:textId="77777777" w:rsidR="00E91813" w:rsidRPr="009E35ED" w:rsidRDefault="00E91813" w:rsidP="005E4F3F">
            <w:pPr>
              <w:ind w:left="0"/>
              <w:jc w:val="right"/>
              <w:rPr>
                <w:rFonts w:ascii="Arial Narrow" w:hAnsi="Arial Narrow" w:cs="Arial"/>
                <w:color w:val="000000" w:themeColor="text1"/>
                <w:sz w:val="20"/>
                <w:szCs w:val="20"/>
                <w:lang w:val="en-PH"/>
              </w:rPr>
            </w:pPr>
          </w:p>
        </w:tc>
        <w:tc>
          <w:tcPr>
            <w:tcW w:w="1180" w:type="dxa"/>
            <w:tcBorders>
              <w:top w:val="nil"/>
              <w:left w:val="nil"/>
              <w:bottom w:val="nil"/>
              <w:right w:val="nil"/>
            </w:tcBorders>
            <w:shd w:val="clear" w:color="auto" w:fill="auto"/>
            <w:noWrap/>
            <w:hideMark/>
          </w:tcPr>
          <w:p w14:paraId="3E280D19" w14:textId="77777777" w:rsidR="00E91813" w:rsidRPr="009E35ED" w:rsidRDefault="00E91813" w:rsidP="005E4F3F">
            <w:pPr>
              <w:ind w:left="0"/>
              <w:jc w:val="right"/>
              <w:rPr>
                <w:rFonts w:ascii="Arial Narrow" w:hAnsi="Arial Narrow" w:cs="Arial"/>
                <w:color w:val="000000" w:themeColor="text1"/>
                <w:sz w:val="20"/>
                <w:szCs w:val="20"/>
                <w:lang w:val="en-PH"/>
              </w:rPr>
            </w:pPr>
          </w:p>
        </w:tc>
        <w:tc>
          <w:tcPr>
            <w:tcW w:w="1180" w:type="dxa"/>
            <w:tcBorders>
              <w:top w:val="nil"/>
              <w:left w:val="nil"/>
              <w:bottom w:val="nil"/>
              <w:right w:val="nil"/>
            </w:tcBorders>
            <w:shd w:val="clear" w:color="auto" w:fill="auto"/>
            <w:noWrap/>
            <w:hideMark/>
          </w:tcPr>
          <w:p w14:paraId="218B5479" w14:textId="77777777" w:rsidR="00E91813" w:rsidRPr="009E35ED" w:rsidRDefault="00E91813" w:rsidP="005E4F3F">
            <w:pPr>
              <w:ind w:left="0"/>
              <w:jc w:val="right"/>
              <w:rPr>
                <w:rFonts w:ascii="Arial Narrow" w:hAnsi="Arial Narrow" w:cs="Arial"/>
                <w:color w:val="000000" w:themeColor="text1"/>
                <w:sz w:val="20"/>
                <w:szCs w:val="20"/>
                <w:lang w:val="en-PH"/>
              </w:rPr>
            </w:pPr>
          </w:p>
        </w:tc>
        <w:tc>
          <w:tcPr>
            <w:tcW w:w="1233" w:type="dxa"/>
            <w:tcBorders>
              <w:top w:val="nil"/>
              <w:left w:val="nil"/>
              <w:bottom w:val="nil"/>
              <w:right w:val="nil"/>
            </w:tcBorders>
            <w:shd w:val="clear" w:color="auto" w:fill="auto"/>
            <w:noWrap/>
            <w:hideMark/>
          </w:tcPr>
          <w:p w14:paraId="79345802" w14:textId="77777777" w:rsidR="00E91813" w:rsidRPr="009E35ED" w:rsidRDefault="00E91813" w:rsidP="005E4F3F">
            <w:pPr>
              <w:ind w:left="0"/>
              <w:jc w:val="right"/>
              <w:rPr>
                <w:rFonts w:ascii="Arial Narrow" w:hAnsi="Arial Narrow" w:cs="Arial"/>
                <w:color w:val="000000" w:themeColor="text1"/>
                <w:sz w:val="20"/>
                <w:szCs w:val="20"/>
                <w:lang w:val="en-PH"/>
              </w:rPr>
            </w:pPr>
          </w:p>
        </w:tc>
        <w:tc>
          <w:tcPr>
            <w:tcW w:w="1213" w:type="dxa"/>
            <w:tcBorders>
              <w:top w:val="nil"/>
              <w:left w:val="nil"/>
              <w:bottom w:val="nil"/>
              <w:right w:val="nil"/>
            </w:tcBorders>
            <w:shd w:val="clear" w:color="auto" w:fill="auto"/>
            <w:noWrap/>
            <w:hideMark/>
          </w:tcPr>
          <w:p w14:paraId="68212B73" w14:textId="77777777" w:rsidR="00E91813" w:rsidRPr="009E35ED" w:rsidRDefault="00E91813" w:rsidP="005E4F3F">
            <w:pPr>
              <w:ind w:left="0" w:right="-90"/>
              <w:jc w:val="right"/>
              <w:rPr>
                <w:rFonts w:ascii="Arial Narrow" w:hAnsi="Arial Narrow" w:cs="Arial"/>
                <w:color w:val="000000" w:themeColor="text1"/>
                <w:sz w:val="20"/>
                <w:szCs w:val="20"/>
                <w:lang w:val="en-PH"/>
              </w:rPr>
            </w:pPr>
          </w:p>
        </w:tc>
      </w:tr>
      <w:tr w:rsidR="00997F75" w:rsidRPr="009E35ED" w14:paraId="358C67C4" w14:textId="77777777" w:rsidTr="0038340C">
        <w:trPr>
          <w:trHeight w:val="369"/>
        </w:trPr>
        <w:tc>
          <w:tcPr>
            <w:tcW w:w="2542" w:type="dxa"/>
            <w:tcBorders>
              <w:top w:val="nil"/>
              <w:left w:val="nil"/>
              <w:bottom w:val="nil"/>
              <w:right w:val="nil"/>
            </w:tcBorders>
            <w:shd w:val="clear" w:color="auto" w:fill="auto"/>
            <w:noWrap/>
            <w:hideMark/>
          </w:tcPr>
          <w:p w14:paraId="45E79EC9" w14:textId="77777777" w:rsidR="00E91813" w:rsidRPr="009E35ED" w:rsidRDefault="00E91813" w:rsidP="005E4F3F">
            <w:pPr>
              <w:ind w:left="0" w:hanging="90"/>
              <w:jc w:val="left"/>
              <w:rPr>
                <w:rFonts w:ascii="Arial Narrow" w:hAnsi="Arial Narrow" w:cs="Arial"/>
                <w:b/>
                <w:bCs/>
                <w:color w:val="000000" w:themeColor="text1"/>
                <w:sz w:val="20"/>
                <w:szCs w:val="20"/>
                <w:lang w:val="en-PH"/>
              </w:rPr>
            </w:pPr>
            <w:r w:rsidRPr="009E35ED">
              <w:rPr>
                <w:rFonts w:ascii="Arial Narrow" w:hAnsi="Arial Narrow" w:cs="Arial"/>
                <w:b/>
                <w:bCs/>
                <w:color w:val="000000" w:themeColor="text1"/>
                <w:sz w:val="20"/>
                <w:szCs w:val="20"/>
                <w:lang w:val="en-PH"/>
              </w:rPr>
              <w:t>III. Operating Fund  (15% of NR)</w:t>
            </w:r>
          </w:p>
        </w:tc>
        <w:tc>
          <w:tcPr>
            <w:tcW w:w="1122" w:type="dxa"/>
            <w:tcBorders>
              <w:top w:val="nil"/>
              <w:left w:val="nil"/>
              <w:bottom w:val="nil"/>
              <w:right w:val="nil"/>
            </w:tcBorders>
            <w:shd w:val="clear" w:color="auto" w:fill="auto"/>
            <w:noWrap/>
            <w:hideMark/>
          </w:tcPr>
          <w:p w14:paraId="61C36932" w14:textId="77777777" w:rsidR="00E91813" w:rsidRPr="009E35ED" w:rsidRDefault="00E91813" w:rsidP="005E4F3F">
            <w:pPr>
              <w:ind w:left="0"/>
              <w:jc w:val="right"/>
              <w:rPr>
                <w:rFonts w:ascii="Arial Narrow" w:hAnsi="Arial Narrow" w:cs="Arial"/>
                <w:b/>
                <w:bCs/>
                <w:color w:val="000000" w:themeColor="text1"/>
                <w:sz w:val="20"/>
                <w:szCs w:val="20"/>
                <w:lang w:val="en-PH"/>
              </w:rPr>
            </w:pPr>
            <w:r w:rsidRPr="009E35ED">
              <w:rPr>
                <w:rFonts w:ascii="Arial Narrow" w:hAnsi="Arial Narrow" w:cs="Arial"/>
                <w:b/>
                <w:bCs/>
                <w:color w:val="000000" w:themeColor="text1"/>
                <w:sz w:val="20"/>
                <w:szCs w:val="20"/>
                <w:lang w:val="en-PH"/>
              </w:rPr>
              <w:t>14.70%</w:t>
            </w:r>
          </w:p>
        </w:tc>
        <w:tc>
          <w:tcPr>
            <w:tcW w:w="1180" w:type="dxa"/>
            <w:tcBorders>
              <w:top w:val="nil"/>
              <w:left w:val="nil"/>
              <w:bottom w:val="nil"/>
              <w:right w:val="nil"/>
            </w:tcBorders>
            <w:shd w:val="clear" w:color="auto" w:fill="auto"/>
            <w:noWrap/>
            <w:hideMark/>
          </w:tcPr>
          <w:p w14:paraId="20A79DC0" w14:textId="77777777" w:rsidR="00E91813" w:rsidRPr="009E35ED" w:rsidRDefault="00E91813" w:rsidP="005E4F3F">
            <w:pPr>
              <w:ind w:left="0"/>
              <w:jc w:val="right"/>
              <w:rPr>
                <w:rFonts w:ascii="Arial Narrow" w:hAnsi="Arial Narrow" w:cs="Arial"/>
                <w:b/>
                <w:bCs/>
                <w:color w:val="000000" w:themeColor="text1"/>
                <w:sz w:val="20"/>
                <w:szCs w:val="20"/>
                <w:lang w:val="en-PH"/>
              </w:rPr>
            </w:pPr>
            <w:r w:rsidRPr="009E35ED">
              <w:rPr>
                <w:rFonts w:ascii="Arial Narrow" w:hAnsi="Arial Narrow" w:cs="Arial"/>
                <w:b/>
                <w:bCs/>
                <w:color w:val="000000" w:themeColor="text1"/>
                <w:sz w:val="20"/>
                <w:szCs w:val="20"/>
                <w:lang w:val="en-PH"/>
              </w:rPr>
              <w:t>14.70%</w:t>
            </w:r>
          </w:p>
        </w:tc>
        <w:tc>
          <w:tcPr>
            <w:tcW w:w="1180" w:type="dxa"/>
            <w:tcBorders>
              <w:top w:val="nil"/>
              <w:left w:val="nil"/>
              <w:bottom w:val="nil"/>
              <w:right w:val="nil"/>
            </w:tcBorders>
            <w:shd w:val="clear" w:color="auto" w:fill="auto"/>
            <w:noWrap/>
            <w:hideMark/>
          </w:tcPr>
          <w:p w14:paraId="595B8885" w14:textId="77777777" w:rsidR="00E91813" w:rsidRPr="009E35ED" w:rsidRDefault="00E91813" w:rsidP="005E4F3F">
            <w:pPr>
              <w:ind w:left="0"/>
              <w:jc w:val="right"/>
              <w:rPr>
                <w:rFonts w:ascii="Arial Narrow" w:hAnsi="Arial Narrow" w:cs="Arial"/>
                <w:b/>
                <w:bCs/>
                <w:color w:val="000000" w:themeColor="text1"/>
                <w:sz w:val="20"/>
                <w:szCs w:val="20"/>
                <w:lang w:val="en-PH"/>
              </w:rPr>
            </w:pPr>
            <w:r w:rsidRPr="009E35ED">
              <w:rPr>
                <w:rFonts w:ascii="Arial Narrow" w:hAnsi="Arial Narrow" w:cs="Arial"/>
                <w:b/>
                <w:bCs/>
                <w:color w:val="000000" w:themeColor="text1"/>
                <w:sz w:val="20"/>
                <w:szCs w:val="20"/>
                <w:lang w:val="en-PH"/>
              </w:rPr>
              <w:t>14.70%</w:t>
            </w:r>
          </w:p>
        </w:tc>
        <w:tc>
          <w:tcPr>
            <w:tcW w:w="1233" w:type="dxa"/>
            <w:tcBorders>
              <w:top w:val="nil"/>
              <w:left w:val="nil"/>
              <w:bottom w:val="nil"/>
              <w:right w:val="nil"/>
            </w:tcBorders>
            <w:shd w:val="clear" w:color="auto" w:fill="auto"/>
            <w:noWrap/>
            <w:hideMark/>
          </w:tcPr>
          <w:p w14:paraId="279131E1" w14:textId="77777777" w:rsidR="00E91813" w:rsidRPr="009E35ED" w:rsidRDefault="00E91813" w:rsidP="005E4F3F">
            <w:pPr>
              <w:ind w:left="0"/>
              <w:jc w:val="right"/>
              <w:rPr>
                <w:rFonts w:ascii="Arial Narrow" w:hAnsi="Arial Narrow" w:cs="Arial"/>
                <w:b/>
                <w:bCs/>
                <w:color w:val="000000" w:themeColor="text1"/>
                <w:sz w:val="20"/>
                <w:szCs w:val="20"/>
                <w:lang w:val="en-PH"/>
              </w:rPr>
            </w:pPr>
            <w:r w:rsidRPr="009E35ED">
              <w:rPr>
                <w:rFonts w:ascii="Arial Narrow" w:hAnsi="Arial Narrow" w:cs="Arial"/>
                <w:b/>
                <w:bCs/>
                <w:color w:val="000000" w:themeColor="text1"/>
                <w:sz w:val="20"/>
                <w:szCs w:val="20"/>
                <w:lang w:val="en-PH"/>
              </w:rPr>
              <w:t>14.70%</w:t>
            </w:r>
          </w:p>
        </w:tc>
        <w:tc>
          <w:tcPr>
            <w:tcW w:w="1213" w:type="dxa"/>
            <w:tcBorders>
              <w:top w:val="nil"/>
              <w:left w:val="nil"/>
              <w:bottom w:val="nil"/>
              <w:right w:val="nil"/>
            </w:tcBorders>
            <w:shd w:val="clear" w:color="auto" w:fill="auto"/>
            <w:noWrap/>
            <w:hideMark/>
          </w:tcPr>
          <w:p w14:paraId="08335D3B" w14:textId="77777777" w:rsidR="00E91813" w:rsidRPr="009E35ED" w:rsidRDefault="00E91813" w:rsidP="005E4F3F">
            <w:pPr>
              <w:ind w:left="0" w:right="-90"/>
              <w:jc w:val="right"/>
              <w:rPr>
                <w:rFonts w:ascii="Arial Narrow" w:hAnsi="Arial Narrow" w:cs="Arial"/>
                <w:b/>
                <w:bCs/>
                <w:color w:val="000000" w:themeColor="text1"/>
                <w:sz w:val="20"/>
                <w:szCs w:val="20"/>
                <w:lang w:val="en-PH"/>
              </w:rPr>
            </w:pPr>
            <w:r w:rsidRPr="009E35ED">
              <w:rPr>
                <w:rFonts w:ascii="Arial Narrow" w:hAnsi="Arial Narrow" w:cs="Arial"/>
                <w:b/>
                <w:bCs/>
                <w:color w:val="000000" w:themeColor="text1"/>
                <w:sz w:val="20"/>
                <w:szCs w:val="20"/>
                <w:lang w:val="en-PH"/>
              </w:rPr>
              <w:t>14.70%</w:t>
            </w:r>
          </w:p>
        </w:tc>
      </w:tr>
      <w:tr w:rsidR="00997F75" w:rsidRPr="009E35ED" w14:paraId="08846F71" w14:textId="77777777" w:rsidTr="005E4F3F">
        <w:trPr>
          <w:trHeight w:val="234"/>
        </w:trPr>
        <w:tc>
          <w:tcPr>
            <w:tcW w:w="2542" w:type="dxa"/>
            <w:tcBorders>
              <w:top w:val="nil"/>
              <w:left w:val="nil"/>
              <w:right w:val="nil"/>
            </w:tcBorders>
            <w:shd w:val="clear" w:color="auto" w:fill="auto"/>
            <w:noWrap/>
            <w:hideMark/>
          </w:tcPr>
          <w:p w14:paraId="6675A10B" w14:textId="77777777" w:rsidR="00E91813" w:rsidRPr="009E35ED" w:rsidRDefault="00E91813" w:rsidP="005E4F3F">
            <w:pPr>
              <w:ind w:left="0" w:hanging="90"/>
              <w:jc w:val="lef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Direct Cost – ELA</w:t>
            </w:r>
          </w:p>
        </w:tc>
        <w:tc>
          <w:tcPr>
            <w:tcW w:w="1122" w:type="dxa"/>
            <w:tcBorders>
              <w:top w:val="nil"/>
              <w:left w:val="nil"/>
              <w:right w:val="nil"/>
            </w:tcBorders>
            <w:shd w:val="clear" w:color="auto" w:fill="auto"/>
            <w:noWrap/>
            <w:hideMark/>
          </w:tcPr>
          <w:p w14:paraId="49B010D7" w14:textId="7DFE74D6" w:rsidR="00E91813" w:rsidRPr="009E35ED" w:rsidRDefault="00E91813" w:rsidP="00E91813">
            <w:pPr>
              <w:ind w:left="0"/>
              <w:jc w:val="righ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1.01%</w:t>
            </w:r>
          </w:p>
        </w:tc>
        <w:tc>
          <w:tcPr>
            <w:tcW w:w="1180" w:type="dxa"/>
            <w:tcBorders>
              <w:top w:val="nil"/>
              <w:left w:val="nil"/>
              <w:right w:val="nil"/>
            </w:tcBorders>
            <w:shd w:val="clear" w:color="auto" w:fill="auto"/>
            <w:noWrap/>
            <w:hideMark/>
          </w:tcPr>
          <w:p w14:paraId="0282ECE3" w14:textId="10BF1153" w:rsidR="00E91813" w:rsidRPr="009E35ED" w:rsidRDefault="00E91813" w:rsidP="00E91813">
            <w:pPr>
              <w:ind w:left="0"/>
              <w:jc w:val="righ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1.01%</w:t>
            </w:r>
          </w:p>
        </w:tc>
        <w:tc>
          <w:tcPr>
            <w:tcW w:w="1180" w:type="dxa"/>
            <w:tcBorders>
              <w:top w:val="nil"/>
              <w:left w:val="nil"/>
              <w:right w:val="nil"/>
            </w:tcBorders>
            <w:shd w:val="clear" w:color="auto" w:fill="auto"/>
            <w:noWrap/>
            <w:hideMark/>
          </w:tcPr>
          <w:p w14:paraId="73C67FB4" w14:textId="3070EC14" w:rsidR="00E91813" w:rsidRPr="009E35ED" w:rsidRDefault="00E91813" w:rsidP="00E91813">
            <w:pPr>
              <w:ind w:left="0"/>
              <w:jc w:val="righ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1.01%</w:t>
            </w:r>
          </w:p>
        </w:tc>
        <w:tc>
          <w:tcPr>
            <w:tcW w:w="1233" w:type="dxa"/>
            <w:tcBorders>
              <w:top w:val="nil"/>
              <w:left w:val="nil"/>
              <w:right w:val="nil"/>
            </w:tcBorders>
            <w:shd w:val="clear" w:color="auto" w:fill="auto"/>
            <w:noWrap/>
            <w:hideMark/>
          </w:tcPr>
          <w:p w14:paraId="211E01EC" w14:textId="14578BB3" w:rsidR="00E91813" w:rsidRPr="009E35ED" w:rsidRDefault="00E91813" w:rsidP="00E91813">
            <w:pPr>
              <w:ind w:left="0"/>
              <w:jc w:val="righ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1.01%</w:t>
            </w:r>
          </w:p>
        </w:tc>
        <w:tc>
          <w:tcPr>
            <w:tcW w:w="1213" w:type="dxa"/>
            <w:tcBorders>
              <w:top w:val="nil"/>
              <w:left w:val="nil"/>
              <w:right w:val="nil"/>
            </w:tcBorders>
            <w:shd w:val="clear" w:color="auto" w:fill="auto"/>
            <w:noWrap/>
            <w:hideMark/>
          </w:tcPr>
          <w:p w14:paraId="173C89F0" w14:textId="352214D0" w:rsidR="00E91813" w:rsidRPr="009E35ED" w:rsidRDefault="00E91813" w:rsidP="00E91813">
            <w:pPr>
              <w:ind w:left="0" w:right="-90"/>
              <w:jc w:val="righ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1.01%</w:t>
            </w:r>
          </w:p>
        </w:tc>
      </w:tr>
      <w:tr w:rsidR="00997F75" w:rsidRPr="009E35ED" w14:paraId="1913C596" w14:textId="77777777" w:rsidTr="005E4F3F">
        <w:trPr>
          <w:trHeight w:val="180"/>
        </w:trPr>
        <w:tc>
          <w:tcPr>
            <w:tcW w:w="2542" w:type="dxa"/>
            <w:tcBorders>
              <w:top w:val="nil"/>
              <w:left w:val="nil"/>
              <w:bottom w:val="single" w:sz="4" w:space="0" w:color="auto"/>
              <w:right w:val="nil"/>
            </w:tcBorders>
            <w:shd w:val="clear" w:color="auto" w:fill="auto"/>
            <w:noWrap/>
            <w:hideMark/>
          </w:tcPr>
          <w:p w14:paraId="5BB3FED1" w14:textId="77777777" w:rsidR="00E91813" w:rsidRPr="009E35ED" w:rsidRDefault="00E91813" w:rsidP="005E4F3F">
            <w:pPr>
              <w:ind w:left="0" w:hanging="90"/>
              <w:jc w:val="lef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Net Operating Fund</w:t>
            </w:r>
          </w:p>
        </w:tc>
        <w:tc>
          <w:tcPr>
            <w:tcW w:w="1122" w:type="dxa"/>
            <w:tcBorders>
              <w:top w:val="nil"/>
              <w:left w:val="nil"/>
              <w:bottom w:val="single" w:sz="4" w:space="0" w:color="auto"/>
              <w:right w:val="nil"/>
            </w:tcBorders>
            <w:shd w:val="clear" w:color="auto" w:fill="auto"/>
            <w:noWrap/>
            <w:hideMark/>
          </w:tcPr>
          <w:p w14:paraId="23437DAE" w14:textId="1E1D583F" w:rsidR="00E91813" w:rsidRPr="009E35ED" w:rsidRDefault="00E91813" w:rsidP="002D3D0B">
            <w:pPr>
              <w:ind w:left="0"/>
              <w:jc w:val="righ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13.</w:t>
            </w:r>
            <w:r w:rsidR="002D3D0B" w:rsidRPr="009E35ED">
              <w:rPr>
                <w:rFonts w:ascii="Arial Narrow" w:hAnsi="Arial Narrow" w:cs="Arial"/>
                <w:color w:val="000000" w:themeColor="text1"/>
                <w:sz w:val="20"/>
                <w:szCs w:val="20"/>
                <w:lang w:val="en-PH"/>
              </w:rPr>
              <w:t>69</w:t>
            </w:r>
            <w:r w:rsidRPr="009E35ED">
              <w:rPr>
                <w:rFonts w:ascii="Arial Narrow" w:hAnsi="Arial Narrow" w:cs="Arial"/>
                <w:color w:val="000000" w:themeColor="text1"/>
                <w:sz w:val="20"/>
                <w:szCs w:val="20"/>
                <w:lang w:val="en-PH"/>
              </w:rPr>
              <w:t>%</w:t>
            </w:r>
          </w:p>
        </w:tc>
        <w:tc>
          <w:tcPr>
            <w:tcW w:w="1180" w:type="dxa"/>
            <w:tcBorders>
              <w:top w:val="nil"/>
              <w:left w:val="nil"/>
              <w:bottom w:val="single" w:sz="4" w:space="0" w:color="auto"/>
              <w:right w:val="nil"/>
            </w:tcBorders>
            <w:shd w:val="clear" w:color="auto" w:fill="auto"/>
            <w:noWrap/>
            <w:hideMark/>
          </w:tcPr>
          <w:p w14:paraId="6F39494F" w14:textId="7CF185A7" w:rsidR="00E91813" w:rsidRPr="009E35ED" w:rsidRDefault="00E91813" w:rsidP="005E4F3F">
            <w:pPr>
              <w:ind w:left="0"/>
              <w:jc w:val="righ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13.</w:t>
            </w:r>
            <w:r w:rsidR="002D3D0B" w:rsidRPr="009E35ED">
              <w:rPr>
                <w:rFonts w:ascii="Arial Narrow" w:hAnsi="Arial Narrow" w:cs="Arial"/>
                <w:color w:val="000000" w:themeColor="text1"/>
                <w:sz w:val="20"/>
                <w:szCs w:val="20"/>
                <w:lang w:val="en-PH"/>
              </w:rPr>
              <w:t xml:space="preserve"> 69</w:t>
            </w:r>
            <w:r w:rsidRPr="009E35ED">
              <w:rPr>
                <w:rFonts w:ascii="Arial Narrow" w:hAnsi="Arial Narrow" w:cs="Arial"/>
                <w:color w:val="000000" w:themeColor="text1"/>
                <w:sz w:val="20"/>
                <w:szCs w:val="20"/>
                <w:lang w:val="en-PH"/>
              </w:rPr>
              <w:t>%</w:t>
            </w:r>
          </w:p>
        </w:tc>
        <w:tc>
          <w:tcPr>
            <w:tcW w:w="1180" w:type="dxa"/>
            <w:tcBorders>
              <w:top w:val="nil"/>
              <w:left w:val="nil"/>
              <w:bottom w:val="single" w:sz="4" w:space="0" w:color="auto"/>
              <w:right w:val="nil"/>
            </w:tcBorders>
            <w:shd w:val="clear" w:color="auto" w:fill="auto"/>
            <w:noWrap/>
            <w:hideMark/>
          </w:tcPr>
          <w:p w14:paraId="03BE5862" w14:textId="590F4E54" w:rsidR="00E91813" w:rsidRPr="009E35ED" w:rsidRDefault="00E91813" w:rsidP="005E4F3F">
            <w:pPr>
              <w:ind w:left="0"/>
              <w:jc w:val="righ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13.</w:t>
            </w:r>
            <w:r w:rsidR="002D3D0B" w:rsidRPr="009E35ED">
              <w:rPr>
                <w:rFonts w:ascii="Arial Narrow" w:hAnsi="Arial Narrow" w:cs="Arial"/>
                <w:color w:val="000000" w:themeColor="text1"/>
                <w:sz w:val="20"/>
                <w:szCs w:val="20"/>
                <w:lang w:val="en-PH"/>
              </w:rPr>
              <w:t xml:space="preserve"> 69</w:t>
            </w:r>
            <w:r w:rsidRPr="009E35ED">
              <w:rPr>
                <w:rFonts w:ascii="Arial Narrow" w:hAnsi="Arial Narrow" w:cs="Arial"/>
                <w:color w:val="000000" w:themeColor="text1"/>
                <w:sz w:val="20"/>
                <w:szCs w:val="20"/>
                <w:lang w:val="en-PH"/>
              </w:rPr>
              <w:t>%</w:t>
            </w:r>
          </w:p>
        </w:tc>
        <w:tc>
          <w:tcPr>
            <w:tcW w:w="1233" w:type="dxa"/>
            <w:tcBorders>
              <w:top w:val="nil"/>
              <w:left w:val="nil"/>
              <w:bottom w:val="single" w:sz="4" w:space="0" w:color="auto"/>
              <w:right w:val="nil"/>
            </w:tcBorders>
            <w:shd w:val="clear" w:color="auto" w:fill="auto"/>
            <w:noWrap/>
            <w:hideMark/>
          </w:tcPr>
          <w:p w14:paraId="385164AB" w14:textId="68CCE32B" w:rsidR="00E91813" w:rsidRPr="009E35ED" w:rsidRDefault="00E91813" w:rsidP="005E4F3F">
            <w:pPr>
              <w:ind w:left="0"/>
              <w:jc w:val="righ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13.</w:t>
            </w:r>
            <w:r w:rsidR="002D3D0B" w:rsidRPr="009E35ED">
              <w:rPr>
                <w:rFonts w:ascii="Arial Narrow" w:hAnsi="Arial Narrow" w:cs="Arial"/>
                <w:color w:val="000000" w:themeColor="text1"/>
                <w:sz w:val="20"/>
                <w:szCs w:val="20"/>
                <w:lang w:val="en-PH"/>
              </w:rPr>
              <w:t xml:space="preserve"> 69</w:t>
            </w:r>
            <w:r w:rsidRPr="009E35ED">
              <w:rPr>
                <w:rFonts w:ascii="Arial Narrow" w:hAnsi="Arial Narrow" w:cs="Arial"/>
                <w:color w:val="000000" w:themeColor="text1"/>
                <w:sz w:val="20"/>
                <w:szCs w:val="20"/>
                <w:lang w:val="en-PH"/>
              </w:rPr>
              <w:t>%</w:t>
            </w:r>
          </w:p>
        </w:tc>
        <w:tc>
          <w:tcPr>
            <w:tcW w:w="1213" w:type="dxa"/>
            <w:tcBorders>
              <w:top w:val="nil"/>
              <w:left w:val="nil"/>
              <w:bottom w:val="single" w:sz="4" w:space="0" w:color="auto"/>
              <w:right w:val="nil"/>
            </w:tcBorders>
            <w:shd w:val="clear" w:color="auto" w:fill="auto"/>
            <w:noWrap/>
            <w:hideMark/>
          </w:tcPr>
          <w:p w14:paraId="258FCF63" w14:textId="1EDD3BB7" w:rsidR="00E91813" w:rsidRPr="009E35ED" w:rsidRDefault="00E91813" w:rsidP="005E4F3F">
            <w:pPr>
              <w:ind w:left="0" w:right="-90"/>
              <w:jc w:val="righ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13.</w:t>
            </w:r>
            <w:r w:rsidR="002D3D0B" w:rsidRPr="009E35ED">
              <w:rPr>
                <w:rFonts w:ascii="Arial Narrow" w:hAnsi="Arial Narrow" w:cs="Arial"/>
                <w:color w:val="000000" w:themeColor="text1"/>
                <w:sz w:val="20"/>
                <w:szCs w:val="20"/>
                <w:lang w:val="en-PH"/>
              </w:rPr>
              <w:t xml:space="preserve"> 69</w:t>
            </w:r>
            <w:r w:rsidRPr="009E35ED">
              <w:rPr>
                <w:rFonts w:ascii="Arial Narrow" w:hAnsi="Arial Narrow" w:cs="Arial"/>
                <w:color w:val="000000" w:themeColor="text1"/>
                <w:sz w:val="20"/>
                <w:szCs w:val="20"/>
                <w:lang w:val="en-PH"/>
              </w:rPr>
              <w:t>%</w:t>
            </w:r>
          </w:p>
        </w:tc>
      </w:tr>
    </w:tbl>
    <w:p w14:paraId="0BEF6E8D" w14:textId="243F65AB" w:rsidR="00F706BD" w:rsidRPr="009E35ED" w:rsidRDefault="002D3D0B" w:rsidP="00803F8C">
      <w:pPr>
        <w:ind w:left="0"/>
        <w:rPr>
          <w:rFonts w:ascii="Arial" w:hAnsi="Arial" w:cs="Arial"/>
          <w:i/>
          <w:iCs/>
          <w:color w:val="000000" w:themeColor="text1"/>
          <w:sz w:val="20"/>
          <w:szCs w:val="20"/>
        </w:rPr>
      </w:pPr>
      <w:r w:rsidRPr="009E35ED">
        <w:rPr>
          <w:rFonts w:ascii="Arial" w:hAnsi="Arial" w:cs="Arial"/>
          <w:i/>
          <w:iCs/>
          <w:color w:val="000000" w:themeColor="text1"/>
          <w:sz w:val="20"/>
          <w:szCs w:val="20"/>
        </w:rPr>
        <w:t>*</w:t>
      </w:r>
      <w:r w:rsidR="00C90EAD" w:rsidRPr="009E35ED">
        <w:rPr>
          <w:rFonts w:ascii="Arial" w:hAnsi="Arial" w:cs="Arial"/>
          <w:i/>
          <w:iCs/>
          <w:color w:val="000000" w:themeColor="text1"/>
          <w:sz w:val="20"/>
          <w:szCs w:val="20"/>
        </w:rPr>
        <w:t>The increase</w:t>
      </w:r>
      <w:r w:rsidRPr="009E35ED">
        <w:rPr>
          <w:rFonts w:ascii="Arial" w:hAnsi="Arial" w:cs="Arial"/>
          <w:i/>
          <w:iCs/>
          <w:color w:val="000000" w:themeColor="text1"/>
          <w:sz w:val="20"/>
          <w:szCs w:val="20"/>
        </w:rPr>
        <w:t xml:space="preserve"> in Agent’s Commission for Lotto National Games from 7.50% to 8.50% was implemented effective March</w:t>
      </w:r>
      <w:r w:rsidR="00C90EAD" w:rsidRPr="009E35ED">
        <w:rPr>
          <w:rFonts w:ascii="Arial" w:hAnsi="Arial" w:cs="Arial"/>
          <w:i/>
          <w:iCs/>
          <w:color w:val="000000" w:themeColor="text1"/>
          <w:sz w:val="20"/>
          <w:szCs w:val="20"/>
        </w:rPr>
        <w:t xml:space="preserve"> 1,</w:t>
      </w:r>
      <w:r w:rsidRPr="009E35ED">
        <w:rPr>
          <w:rFonts w:ascii="Arial" w:hAnsi="Arial" w:cs="Arial"/>
          <w:i/>
          <w:iCs/>
          <w:color w:val="000000" w:themeColor="text1"/>
          <w:sz w:val="20"/>
          <w:szCs w:val="20"/>
        </w:rPr>
        <w:t xml:space="preserve"> 2023 per B</w:t>
      </w:r>
      <w:r w:rsidR="00F6182B">
        <w:rPr>
          <w:rFonts w:ascii="Arial" w:hAnsi="Arial" w:cs="Arial"/>
          <w:i/>
          <w:iCs/>
          <w:color w:val="000000" w:themeColor="text1"/>
          <w:sz w:val="20"/>
          <w:szCs w:val="20"/>
        </w:rPr>
        <w:t>R</w:t>
      </w:r>
      <w:r w:rsidRPr="009E35ED">
        <w:rPr>
          <w:rFonts w:ascii="Arial" w:hAnsi="Arial" w:cs="Arial"/>
          <w:i/>
          <w:iCs/>
          <w:color w:val="000000" w:themeColor="text1"/>
          <w:sz w:val="20"/>
          <w:szCs w:val="20"/>
        </w:rPr>
        <w:t xml:space="preserve"> No.</w:t>
      </w:r>
      <w:r w:rsidR="00C90EAD" w:rsidRPr="009E35ED">
        <w:rPr>
          <w:rFonts w:ascii="Arial" w:hAnsi="Arial" w:cs="Arial"/>
          <w:i/>
          <w:iCs/>
          <w:color w:val="000000" w:themeColor="text1"/>
          <w:sz w:val="20"/>
          <w:szCs w:val="20"/>
        </w:rPr>
        <w:t xml:space="preserve"> 0059, series of 2022.</w:t>
      </w:r>
    </w:p>
    <w:p w14:paraId="62E44AEB" w14:textId="77777777" w:rsidR="0079208A" w:rsidRPr="009E35ED" w:rsidRDefault="0079208A" w:rsidP="006C24D8">
      <w:pPr>
        <w:ind w:left="0"/>
        <w:rPr>
          <w:rFonts w:ascii="Arial" w:hAnsi="Arial" w:cs="Arial"/>
          <w:bCs/>
          <w:color w:val="000000" w:themeColor="text1"/>
          <w:sz w:val="22"/>
          <w:szCs w:val="22"/>
        </w:rPr>
      </w:pPr>
    </w:p>
    <w:p w14:paraId="7C74BF45" w14:textId="5D7B0ACD" w:rsidR="006C24D8" w:rsidRPr="009E35ED" w:rsidRDefault="006C24D8" w:rsidP="006C24D8">
      <w:pPr>
        <w:ind w:left="0"/>
        <w:rPr>
          <w:rFonts w:ascii="Arial" w:hAnsi="Arial" w:cs="Arial"/>
          <w:bCs/>
          <w:color w:val="000000" w:themeColor="text1"/>
          <w:sz w:val="22"/>
          <w:szCs w:val="22"/>
        </w:rPr>
      </w:pPr>
      <w:r w:rsidRPr="009E35ED">
        <w:rPr>
          <w:rFonts w:ascii="Arial" w:hAnsi="Arial" w:cs="Arial"/>
          <w:bCs/>
          <w:color w:val="000000" w:themeColor="text1"/>
          <w:sz w:val="22"/>
          <w:szCs w:val="22"/>
        </w:rPr>
        <w:t xml:space="preserve">Allocation </w:t>
      </w:r>
      <w:r w:rsidRPr="009E35ED">
        <w:rPr>
          <w:rFonts w:ascii="Arial" w:hAnsi="Arial" w:cs="Arial"/>
          <w:iCs/>
          <w:color w:val="000000" w:themeColor="text1"/>
          <w:sz w:val="22"/>
          <w:szCs w:val="22"/>
        </w:rPr>
        <w:t>starting October 1, 2023 up to Present.</w:t>
      </w:r>
    </w:p>
    <w:p w14:paraId="25DAA896" w14:textId="77777777" w:rsidR="006C24D8" w:rsidRPr="009E35ED" w:rsidRDefault="006C24D8" w:rsidP="006C24D8">
      <w:pPr>
        <w:ind w:left="0"/>
        <w:rPr>
          <w:rFonts w:ascii="Arial" w:hAnsi="Arial" w:cs="Arial"/>
          <w:iCs/>
          <w:color w:val="000000" w:themeColor="text1"/>
          <w:sz w:val="22"/>
          <w:szCs w:val="22"/>
        </w:rPr>
      </w:pPr>
    </w:p>
    <w:tbl>
      <w:tblPr>
        <w:tblW w:w="8640" w:type="dxa"/>
        <w:tblLook w:val="04A0" w:firstRow="1" w:lastRow="0" w:firstColumn="1" w:lastColumn="0" w:noHBand="0" w:noVBand="1"/>
      </w:tblPr>
      <w:tblGrid>
        <w:gridCol w:w="2542"/>
        <w:gridCol w:w="1122"/>
        <w:gridCol w:w="1180"/>
        <w:gridCol w:w="1180"/>
        <w:gridCol w:w="1233"/>
        <w:gridCol w:w="1383"/>
      </w:tblGrid>
      <w:tr w:rsidR="00997F75" w:rsidRPr="009E35ED" w14:paraId="6C7E1684" w14:textId="77777777" w:rsidTr="00A046FD">
        <w:trPr>
          <w:trHeight w:val="170"/>
          <w:tblHeader/>
        </w:trPr>
        <w:tc>
          <w:tcPr>
            <w:tcW w:w="2542" w:type="dxa"/>
            <w:tcBorders>
              <w:top w:val="single" w:sz="4" w:space="0" w:color="auto"/>
              <w:left w:val="nil"/>
              <w:bottom w:val="single" w:sz="4" w:space="0" w:color="auto"/>
              <w:right w:val="nil"/>
            </w:tcBorders>
            <w:shd w:val="clear" w:color="auto" w:fill="auto"/>
            <w:noWrap/>
            <w:hideMark/>
          </w:tcPr>
          <w:p w14:paraId="50825955" w14:textId="77777777" w:rsidR="006C24D8" w:rsidRPr="009E35ED" w:rsidRDefault="006C24D8" w:rsidP="005E4F3F">
            <w:pPr>
              <w:ind w:left="0" w:hanging="90"/>
              <w:jc w:val="left"/>
              <w:rPr>
                <w:rFonts w:ascii="Arial Narrow" w:hAnsi="Arial Narrow" w:cs="Arial"/>
                <w:b/>
                <w:bCs/>
                <w:color w:val="000000" w:themeColor="text1"/>
                <w:sz w:val="20"/>
                <w:szCs w:val="20"/>
                <w:lang w:val="en-PH"/>
              </w:rPr>
            </w:pPr>
            <w:r w:rsidRPr="009E35ED">
              <w:rPr>
                <w:rFonts w:ascii="Arial Narrow" w:hAnsi="Arial Narrow" w:cs="Arial"/>
                <w:b/>
                <w:bCs/>
                <w:color w:val="000000" w:themeColor="text1"/>
                <w:sz w:val="20"/>
                <w:szCs w:val="20"/>
                <w:lang w:val="en-PH"/>
              </w:rPr>
              <w:t>Particulars</w:t>
            </w:r>
          </w:p>
        </w:tc>
        <w:tc>
          <w:tcPr>
            <w:tcW w:w="1122" w:type="dxa"/>
            <w:tcBorders>
              <w:top w:val="single" w:sz="4" w:space="0" w:color="auto"/>
              <w:left w:val="nil"/>
              <w:bottom w:val="single" w:sz="4" w:space="0" w:color="auto"/>
              <w:right w:val="nil"/>
            </w:tcBorders>
            <w:shd w:val="clear" w:color="auto" w:fill="auto"/>
            <w:noWrap/>
            <w:hideMark/>
          </w:tcPr>
          <w:p w14:paraId="33A9FFBA" w14:textId="77777777" w:rsidR="006C24D8" w:rsidRPr="009E35ED" w:rsidRDefault="006C24D8" w:rsidP="005E4F3F">
            <w:pPr>
              <w:ind w:left="0"/>
              <w:jc w:val="right"/>
              <w:rPr>
                <w:rFonts w:ascii="Arial Narrow" w:hAnsi="Arial Narrow" w:cs="Arial"/>
                <w:b/>
                <w:bCs/>
                <w:color w:val="000000" w:themeColor="text1"/>
                <w:sz w:val="20"/>
                <w:szCs w:val="20"/>
                <w:lang w:val="en-PH"/>
              </w:rPr>
            </w:pPr>
            <w:r w:rsidRPr="009E35ED">
              <w:rPr>
                <w:rFonts w:ascii="Arial Narrow" w:hAnsi="Arial Narrow" w:cs="Arial"/>
                <w:b/>
                <w:bCs/>
                <w:color w:val="000000" w:themeColor="text1"/>
                <w:sz w:val="20"/>
                <w:szCs w:val="20"/>
                <w:lang w:val="en-PH"/>
              </w:rPr>
              <w:t xml:space="preserve"> 6/49 </w:t>
            </w:r>
          </w:p>
        </w:tc>
        <w:tc>
          <w:tcPr>
            <w:tcW w:w="1180" w:type="dxa"/>
            <w:tcBorders>
              <w:top w:val="single" w:sz="4" w:space="0" w:color="auto"/>
              <w:left w:val="nil"/>
              <w:bottom w:val="single" w:sz="4" w:space="0" w:color="auto"/>
              <w:right w:val="nil"/>
            </w:tcBorders>
            <w:shd w:val="clear" w:color="auto" w:fill="auto"/>
            <w:noWrap/>
            <w:hideMark/>
          </w:tcPr>
          <w:p w14:paraId="1BC440FD" w14:textId="77777777" w:rsidR="006C24D8" w:rsidRPr="009E35ED" w:rsidRDefault="006C24D8" w:rsidP="005E4F3F">
            <w:pPr>
              <w:ind w:left="0"/>
              <w:jc w:val="right"/>
              <w:rPr>
                <w:rFonts w:ascii="Arial Narrow" w:hAnsi="Arial Narrow" w:cs="Arial"/>
                <w:b/>
                <w:bCs/>
                <w:color w:val="000000" w:themeColor="text1"/>
                <w:sz w:val="20"/>
                <w:szCs w:val="20"/>
                <w:lang w:val="en-PH"/>
              </w:rPr>
            </w:pPr>
            <w:r w:rsidRPr="009E35ED">
              <w:rPr>
                <w:rFonts w:ascii="Arial Narrow" w:hAnsi="Arial Narrow" w:cs="Arial"/>
                <w:b/>
                <w:bCs/>
                <w:color w:val="000000" w:themeColor="text1"/>
                <w:sz w:val="20"/>
                <w:szCs w:val="20"/>
                <w:lang w:val="en-PH"/>
              </w:rPr>
              <w:t xml:space="preserve"> 6/45 </w:t>
            </w:r>
          </w:p>
        </w:tc>
        <w:tc>
          <w:tcPr>
            <w:tcW w:w="1180" w:type="dxa"/>
            <w:tcBorders>
              <w:top w:val="single" w:sz="4" w:space="0" w:color="auto"/>
              <w:left w:val="nil"/>
              <w:bottom w:val="single" w:sz="4" w:space="0" w:color="auto"/>
              <w:right w:val="nil"/>
            </w:tcBorders>
            <w:shd w:val="clear" w:color="auto" w:fill="auto"/>
            <w:noWrap/>
            <w:hideMark/>
          </w:tcPr>
          <w:p w14:paraId="52FDE926" w14:textId="77777777" w:rsidR="006C24D8" w:rsidRPr="009E35ED" w:rsidRDefault="006C24D8" w:rsidP="005E4F3F">
            <w:pPr>
              <w:ind w:left="0"/>
              <w:jc w:val="right"/>
              <w:rPr>
                <w:rFonts w:ascii="Arial Narrow" w:hAnsi="Arial Narrow" w:cs="Arial"/>
                <w:b/>
                <w:bCs/>
                <w:color w:val="000000" w:themeColor="text1"/>
                <w:sz w:val="20"/>
                <w:szCs w:val="20"/>
                <w:lang w:val="en-PH"/>
              </w:rPr>
            </w:pPr>
            <w:r w:rsidRPr="009E35ED">
              <w:rPr>
                <w:rFonts w:ascii="Arial Narrow" w:hAnsi="Arial Narrow" w:cs="Arial"/>
                <w:b/>
                <w:bCs/>
                <w:color w:val="000000" w:themeColor="text1"/>
                <w:sz w:val="20"/>
                <w:szCs w:val="20"/>
                <w:lang w:val="en-PH"/>
              </w:rPr>
              <w:t xml:space="preserve"> 6/42 </w:t>
            </w:r>
          </w:p>
        </w:tc>
        <w:tc>
          <w:tcPr>
            <w:tcW w:w="1233" w:type="dxa"/>
            <w:tcBorders>
              <w:top w:val="single" w:sz="4" w:space="0" w:color="auto"/>
              <w:left w:val="nil"/>
              <w:bottom w:val="single" w:sz="4" w:space="0" w:color="auto"/>
              <w:right w:val="nil"/>
            </w:tcBorders>
            <w:shd w:val="clear" w:color="auto" w:fill="auto"/>
            <w:noWrap/>
            <w:hideMark/>
          </w:tcPr>
          <w:p w14:paraId="71E63C54" w14:textId="77777777" w:rsidR="006C24D8" w:rsidRPr="009E35ED" w:rsidRDefault="006C24D8" w:rsidP="005E4F3F">
            <w:pPr>
              <w:ind w:left="0"/>
              <w:jc w:val="right"/>
              <w:rPr>
                <w:rFonts w:ascii="Arial Narrow" w:hAnsi="Arial Narrow" w:cs="Arial"/>
                <w:b/>
                <w:bCs/>
                <w:color w:val="000000" w:themeColor="text1"/>
                <w:sz w:val="20"/>
                <w:szCs w:val="20"/>
                <w:lang w:val="en-PH"/>
              </w:rPr>
            </w:pPr>
            <w:r w:rsidRPr="009E35ED">
              <w:rPr>
                <w:rFonts w:ascii="Arial Narrow" w:hAnsi="Arial Narrow" w:cs="Arial"/>
                <w:b/>
                <w:bCs/>
                <w:color w:val="000000" w:themeColor="text1"/>
                <w:sz w:val="20"/>
                <w:szCs w:val="20"/>
                <w:lang w:val="en-PH"/>
              </w:rPr>
              <w:t xml:space="preserve">  6/55</w:t>
            </w:r>
          </w:p>
        </w:tc>
        <w:tc>
          <w:tcPr>
            <w:tcW w:w="1383" w:type="dxa"/>
            <w:tcBorders>
              <w:top w:val="single" w:sz="4" w:space="0" w:color="auto"/>
              <w:left w:val="nil"/>
              <w:bottom w:val="single" w:sz="4" w:space="0" w:color="auto"/>
              <w:right w:val="nil"/>
            </w:tcBorders>
            <w:shd w:val="clear" w:color="auto" w:fill="auto"/>
            <w:noWrap/>
            <w:hideMark/>
          </w:tcPr>
          <w:p w14:paraId="28A56771" w14:textId="77777777" w:rsidR="006C24D8" w:rsidRPr="009E35ED" w:rsidRDefault="006C24D8" w:rsidP="005E4F3F">
            <w:pPr>
              <w:ind w:left="0" w:right="-90"/>
              <w:jc w:val="right"/>
              <w:rPr>
                <w:rFonts w:ascii="Arial Narrow" w:hAnsi="Arial Narrow" w:cs="Arial"/>
                <w:b/>
                <w:bCs/>
                <w:color w:val="000000" w:themeColor="text1"/>
                <w:sz w:val="20"/>
                <w:szCs w:val="20"/>
                <w:lang w:val="en-PH"/>
              </w:rPr>
            </w:pPr>
            <w:r w:rsidRPr="009E35ED">
              <w:rPr>
                <w:rFonts w:ascii="Arial Narrow" w:hAnsi="Arial Narrow" w:cs="Arial"/>
                <w:b/>
                <w:bCs/>
                <w:color w:val="000000" w:themeColor="text1"/>
                <w:sz w:val="20"/>
                <w:szCs w:val="20"/>
                <w:lang w:val="en-PH"/>
              </w:rPr>
              <w:t>6/58</w:t>
            </w:r>
          </w:p>
        </w:tc>
      </w:tr>
      <w:tr w:rsidR="00997F75" w:rsidRPr="009E35ED" w14:paraId="0DBE83FE" w14:textId="77777777" w:rsidTr="00A046FD">
        <w:trPr>
          <w:trHeight w:val="224"/>
        </w:trPr>
        <w:tc>
          <w:tcPr>
            <w:tcW w:w="2542" w:type="dxa"/>
            <w:tcBorders>
              <w:top w:val="single" w:sz="4" w:space="0" w:color="auto"/>
              <w:left w:val="nil"/>
              <w:bottom w:val="nil"/>
              <w:right w:val="nil"/>
            </w:tcBorders>
            <w:shd w:val="clear" w:color="auto" w:fill="auto"/>
            <w:noWrap/>
            <w:hideMark/>
          </w:tcPr>
          <w:p w14:paraId="3C32B632" w14:textId="77777777" w:rsidR="006C24D8" w:rsidRPr="009E35ED" w:rsidRDefault="006C24D8" w:rsidP="005E4F3F">
            <w:pPr>
              <w:ind w:left="0" w:hanging="90"/>
              <w:jc w:val="left"/>
              <w:rPr>
                <w:rFonts w:ascii="Arial Narrow" w:hAnsi="Arial Narrow" w:cs="Arial"/>
                <w:b/>
                <w:bCs/>
                <w:color w:val="000000" w:themeColor="text1"/>
                <w:sz w:val="20"/>
                <w:szCs w:val="20"/>
                <w:lang w:val="en-PH"/>
              </w:rPr>
            </w:pPr>
            <w:r w:rsidRPr="009E35ED">
              <w:rPr>
                <w:rFonts w:ascii="Arial Narrow" w:hAnsi="Arial Narrow" w:cs="Arial"/>
                <w:b/>
                <w:bCs/>
                <w:color w:val="000000" w:themeColor="text1"/>
                <w:sz w:val="20"/>
                <w:szCs w:val="20"/>
                <w:lang w:val="en-PH"/>
              </w:rPr>
              <w:t>Gross Receipts</w:t>
            </w:r>
          </w:p>
        </w:tc>
        <w:tc>
          <w:tcPr>
            <w:tcW w:w="1122" w:type="dxa"/>
            <w:tcBorders>
              <w:top w:val="single" w:sz="4" w:space="0" w:color="auto"/>
              <w:left w:val="nil"/>
              <w:bottom w:val="nil"/>
              <w:right w:val="nil"/>
            </w:tcBorders>
            <w:shd w:val="clear" w:color="auto" w:fill="auto"/>
            <w:noWrap/>
            <w:hideMark/>
          </w:tcPr>
          <w:p w14:paraId="008479E7" w14:textId="77777777" w:rsidR="006C24D8" w:rsidRPr="009E35ED" w:rsidRDefault="006C24D8" w:rsidP="005E4F3F">
            <w:pPr>
              <w:ind w:left="0"/>
              <w:jc w:val="right"/>
              <w:rPr>
                <w:rFonts w:ascii="Arial Narrow" w:hAnsi="Arial Narrow" w:cs="Arial"/>
                <w:b/>
                <w:bCs/>
                <w:color w:val="000000" w:themeColor="text1"/>
                <w:sz w:val="20"/>
                <w:szCs w:val="20"/>
                <w:lang w:val="en-PH"/>
              </w:rPr>
            </w:pPr>
            <w:r w:rsidRPr="009E35ED">
              <w:rPr>
                <w:rFonts w:ascii="Arial Narrow" w:hAnsi="Arial Narrow" w:cs="Arial"/>
                <w:b/>
                <w:bCs/>
                <w:color w:val="000000" w:themeColor="text1"/>
                <w:sz w:val="20"/>
                <w:szCs w:val="20"/>
                <w:lang w:val="en-PH"/>
              </w:rPr>
              <w:t>100.00%</w:t>
            </w:r>
          </w:p>
        </w:tc>
        <w:tc>
          <w:tcPr>
            <w:tcW w:w="1180" w:type="dxa"/>
            <w:tcBorders>
              <w:top w:val="single" w:sz="4" w:space="0" w:color="auto"/>
              <w:left w:val="nil"/>
              <w:bottom w:val="nil"/>
              <w:right w:val="nil"/>
            </w:tcBorders>
            <w:shd w:val="clear" w:color="auto" w:fill="auto"/>
            <w:noWrap/>
            <w:hideMark/>
          </w:tcPr>
          <w:p w14:paraId="75454F4F" w14:textId="77777777" w:rsidR="006C24D8" w:rsidRPr="009E35ED" w:rsidRDefault="006C24D8" w:rsidP="005E4F3F">
            <w:pPr>
              <w:ind w:left="0"/>
              <w:jc w:val="right"/>
              <w:rPr>
                <w:rFonts w:ascii="Arial Narrow" w:hAnsi="Arial Narrow" w:cs="Arial"/>
                <w:b/>
                <w:bCs/>
                <w:color w:val="000000" w:themeColor="text1"/>
                <w:sz w:val="20"/>
                <w:szCs w:val="20"/>
                <w:lang w:val="en-PH"/>
              </w:rPr>
            </w:pPr>
            <w:r w:rsidRPr="009E35ED">
              <w:rPr>
                <w:rFonts w:ascii="Arial Narrow" w:hAnsi="Arial Narrow" w:cs="Arial"/>
                <w:b/>
                <w:bCs/>
                <w:color w:val="000000" w:themeColor="text1"/>
                <w:sz w:val="20"/>
                <w:szCs w:val="20"/>
                <w:lang w:val="en-PH"/>
              </w:rPr>
              <w:t>100.00%</w:t>
            </w:r>
          </w:p>
        </w:tc>
        <w:tc>
          <w:tcPr>
            <w:tcW w:w="1180" w:type="dxa"/>
            <w:tcBorders>
              <w:top w:val="single" w:sz="4" w:space="0" w:color="auto"/>
              <w:left w:val="nil"/>
              <w:bottom w:val="nil"/>
              <w:right w:val="nil"/>
            </w:tcBorders>
            <w:shd w:val="clear" w:color="auto" w:fill="auto"/>
            <w:noWrap/>
            <w:hideMark/>
          </w:tcPr>
          <w:p w14:paraId="7F0072F9" w14:textId="77777777" w:rsidR="006C24D8" w:rsidRPr="009E35ED" w:rsidRDefault="006C24D8" w:rsidP="005E4F3F">
            <w:pPr>
              <w:ind w:left="0"/>
              <w:jc w:val="right"/>
              <w:rPr>
                <w:rFonts w:ascii="Arial Narrow" w:hAnsi="Arial Narrow" w:cs="Arial"/>
                <w:b/>
                <w:bCs/>
                <w:color w:val="000000" w:themeColor="text1"/>
                <w:sz w:val="20"/>
                <w:szCs w:val="20"/>
                <w:lang w:val="en-PH"/>
              </w:rPr>
            </w:pPr>
            <w:r w:rsidRPr="009E35ED">
              <w:rPr>
                <w:rFonts w:ascii="Arial Narrow" w:hAnsi="Arial Narrow" w:cs="Arial"/>
                <w:b/>
                <w:bCs/>
                <w:color w:val="000000" w:themeColor="text1"/>
                <w:sz w:val="20"/>
                <w:szCs w:val="20"/>
                <w:lang w:val="en-PH"/>
              </w:rPr>
              <w:t>100.00%</w:t>
            </w:r>
          </w:p>
        </w:tc>
        <w:tc>
          <w:tcPr>
            <w:tcW w:w="1233" w:type="dxa"/>
            <w:tcBorders>
              <w:top w:val="single" w:sz="4" w:space="0" w:color="auto"/>
              <w:left w:val="nil"/>
              <w:bottom w:val="nil"/>
              <w:right w:val="nil"/>
            </w:tcBorders>
            <w:shd w:val="clear" w:color="auto" w:fill="auto"/>
            <w:noWrap/>
            <w:hideMark/>
          </w:tcPr>
          <w:p w14:paraId="4F47A7C7" w14:textId="77777777" w:rsidR="006C24D8" w:rsidRPr="009E35ED" w:rsidRDefault="006C24D8" w:rsidP="005E4F3F">
            <w:pPr>
              <w:ind w:left="0"/>
              <w:jc w:val="right"/>
              <w:rPr>
                <w:rFonts w:ascii="Arial Narrow" w:hAnsi="Arial Narrow" w:cs="Arial"/>
                <w:b/>
                <w:bCs/>
                <w:color w:val="000000" w:themeColor="text1"/>
                <w:sz w:val="20"/>
                <w:szCs w:val="20"/>
                <w:lang w:val="en-PH"/>
              </w:rPr>
            </w:pPr>
            <w:r w:rsidRPr="009E35ED">
              <w:rPr>
                <w:rFonts w:ascii="Arial Narrow" w:hAnsi="Arial Narrow" w:cs="Arial"/>
                <w:b/>
                <w:bCs/>
                <w:color w:val="000000" w:themeColor="text1"/>
                <w:sz w:val="20"/>
                <w:szCs w:val="20"/>
                <w:lang w:val="en-PH"/>
              </w:rPr>
              <w:t>100.00%</w:t>
            </w:r>
          </w:p>
        </w:tc>
        <w:tc>
          <w:tcPr>
            <w:tcW w:w="1383" w:type="dxa"/>
            <w:tcBorders>
              <w:top w:val="single" w:sz="4" w:space="0" w:color="auto"/>
              <w:left w:val="nil"/>
              <w:bottom w:val="nil"/>
              <w:right w:val="nil"/>
            </w:tcBorders>
            <w:shd w:val="clear" w:color="auto" w:fill="auto"/>
            <w:noWrap/>
            <w:hideMark/>
          </w:tcPr>
          <w:p w14:paraId="0AFC57BC" w14:textId="77777777" w:rsidR="006C24D8" w:rsidRPr="009E35ED" w:rsidRDefault="006C24D8" w:rsidP="00A046FD">
            <w:pPr>
              <w:ind w:left="0" w:right="-90"/>
              <w:jc w:val="right"/>
              <w:rPr>
                <w:rFonts w:ascii="Arial Narrow" w:hAnsi="Arial Narrow" w:cs="Arial"/>
                <w:b/>
                <w:bCs/>
                <w:color w:val="000000" w:themeColor="text1"/>
                <w:sz w:val="20"/>
                <w:szCs w:val="20"/>
                <w:lang w:val="en-PH"/>
              </w:rPr>
            </w:pPr>
            <w:r w:rsidRPr="009E35ED">
              <w:rPr>
                <w:rFonts w:ascii="Arial Narrow" w:hAnsi="Arial Narrow" w:cs="Arial"/>
                <w:b/>
                <w:bCs/>
                <w:color w:val="000000" w:themeColor="text1"/>
                <w:sz w:val="20"/>
                <w:szCs w:val="20"/>
                <w:lang w:val="en-PH"/>
              </w:rPr>
              <w:t>100.00%</w:t>
            </w:r>
          </w:p>
        </w:tc>
      </w:tr>
      <w:tr w:rsidR="00997F75" w:rsidRPr="009E35ED" w14:paraId="488B22EB" w14:textId="77777777" w:rsidTr="00A046FD">
        <w:trPr>
          <w:trHeight w:val="144"/>
        </w:trPr>
        <w:tc>
          <w:tcPr>
            <w:tcW w:w="2542" w:type="dxa"/>
            <w:tcBorders>
              <w:top w:val="nil"/>
              <w:left w:val="nil"/>
              <w:bottom w:val="nil"/>
              <w:right w:val="nil"/>
            </w:tcBorders>
            <w:shd w:val="clear" w:color="auto" w:fill="auto"/>
            <w:noWrap/>
            <w:hideMark/>
          </w:tcPr>
          <w:p w14:paraId="60DA5FB1" w14:textId="77777777" w:rsidR="006C24D8" w:rsidRPr="009E35ED" w:rsidRDefault="006C24D8" w:rsidP="005E4F3F">
            <w:pPr>
              <w:ind w:left="0" w:hanging="90"/>
              <w:jc w:val="lef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Printing Cost</w:t>
            </w:r>
          </w:p>
        </w:tc>
        <w:tc>
          <w:tcPr>
            <w:tcW w:w="1122" w:type="dxa"/>
            <w:tcBorders>
              <w:top w:val="nil"/>
              <w:left w:val="nil"/>
              <w:bottom w:val="nil"/>
              <w:right w:val="nil"/>
            </w:tcBorders>
            <w:shd w:val="clear" w:color="auto" w:fill="auto"/>
            <w:noWrap/>
            <w:hideMark/>
          </w:tcPr>
          <w:p w14:paraId="349600E3" w14:textId="77777777" w:rsidR="006C24D8" w:rsidRPr="009E35ED" w:rsidRDefault="006C24D8" w:rsidP="005E4F3F">
            <w:pPr>
              <w:ind w:left="0"/>
              <w:jc w:val="righ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2.00%</w:t>
            </w:r>
          </w:p>
        </w:tc>
        <w:tc>
          <w:tcPr>
            <w:tcW w:w="1180" w:type="dxa"/>
            <w:tcBorders>
              <w:top w:val="nil"/>
              <w:left w:val="nil"/>
              <w:bottom w:val="nil"/>
              <w:right w:val="nil"/>
            </w:tcBorders>
            <w:shd w:val="clear" w:color="auto" w:fill="auto"/>
            <w:noWrap/>
            <w:hideMark/>
          </w:tcPr>
          <w:p w14:paraId="79ACDA68" w14:textId="77777777" w:rsidR="006C24D8" w:rsidRPr="009E35ED" w:rsidRDefault="006C24D8" w:rsidP="005E4F3F">
            <w:pPr>
              <w:ind w:left="0"/>
              <w:jc w:val="righ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2.00%</w:t>
            </w:r>
          </w:p>
        </w:tc>
        <w:tc>
          <w:tcPr>
            <w:tcW w:w="1180" w:type="dxa"/>
            <w:tcBorders>
              <w:top w:val="nil"/>
              <w:left w:val="nil"/>
              <w:bottom w:val="nil"/>
              <w:right w:val="nil"/>
            </w:tcBorders>
            <w:shd w:val="clear" w:color="auto" w:fill="auto"/>
            <w:noWrap/>
            <w:hideMark/>
          </w:tcPr>
          <w:p w14:paraId="7743AEBB" w14:textId="77777777" w:rsidR="006C24D8" w:rsidRPr="009E35ED" w:rsidRDefault="006C24D8" w:rsidP="005E4F3F">
            <w:pPr>
              <w:ind w:left="0"/>
              <w:jc w:val="righ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2.00%</w:t>
            </w:r>
          </w:p>
        </w:tc>
        <w:tc>
          <w:tcPr>
            <w:tcW w:w="1233" w:type="dxa"/>
            <w:tcBorders>
              <w:top w:val="nil"/>
              <w:left w:val="nil"/>
              <w:bottom w:val="nil"/>
              <w:right w:val="nil"/>
            </w:tcBorders>
            <w:shd w:val="clear" w:color="auto" w:fill="auto"/>
            <w:noWrap/>
            <w:hideMark/>
          </w:tcPr>
          <w:p w14:paraId="7A932BF3" w14:textId="77777777" w:rsidR="006C24D8" w:rsidRPr="009E35ED" w:rsidRDefault="006C24D8" w:rsidP="005E4F3F">
            <w:pPr>
              <w:ind w:left="0"/>
              <w:jc w:val="righ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2.00%</w:t>
            </w:r>
          </w:p>
        </w:tc>
        <w:tc>
          <w:tcPr>
            <w:tcW w:w="1383" w:type="dxa"/>
            <w:tcBorders>
              <w:top w:val="nil"/>
              <w:left w:val="nil"/>
              <w:bottom w:val="nil"/>
              <w:right w:val="nil"/>
            </w:tcBorders>
            <w:shd w:val="clear" w:color="auto" w:fill="auto"/>
            <w:noWrap/>
            <w:hideMark/>
          </w:tcPr>
          <w:p w14:paraId="7B09F865" w14:textId="77777777" w:rsidR="006C24D8" w:rsidRPr="009E35ED" w:rsidRDefault="006C24D8" w:rsidP="00A046FD">
            <w:pPr>
              <w:ind w:left="0" w:right="-90"/>
              <w:jc w:val="righ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2.00%</w:t>
            </w:r>
          </w:p>
        </w:tc>
      </w:tr>
      <w:tr w:rsidR="00997F75" w:rsidRPr="009E35ED" w14:paraId="0B85461B" w14:textId="77777777" w:rsidTr="00A046FD">
        <w:trPr>
          <w:trHeight w:val="189"/>
        </w:trPr>
        <w:tc>
          <w:tcPr>
            <w:tcW w:w="2542" w:type="dxa"/>
            <w:tcBorders>
              <w:top w:val="nil"/>
              <w:left w:val="nil"/>
              <w:bottom w:val="nil"/>
              <w:right w:val="nil"/>
            </w:tcBorders>
            <w:shd w:val="clear" w:color="auto" w:fill="auto"/>
            <w:noWrap/>
            <w:hideMark/>
          </w:tcPr>
          <w:p w14:paraId="1CC75E53" w14:textId="1FF35B2C" w:rsidR="006C24D8" w:rsidRPr="009E35ED" w:rsidRDefault="006C24D8" w:rsidP="005E4F3F">
            <w:pPr>
              <w:ind w:left="0" w:hanging="90"/>
              <w:jc w:val="left"/>
              <w:rPr>
                <w:rFonts w:ascii="Arial Narrow" w:hAnsi="Arial Narrow" w:cs="Arial"/>
                <w:b/>
                <w:bCs/>
                <w:color w:val="000000" w:themeColor="text1"/>
                <w:sz w:val="20"/>
                <w:szCs w:val="20"/>
                <w:lang w:val="en-PH"/>
              </w:rPr>
            </w:pPr>
            <w:r w:rsidRPr="009E35ED">
              <w:rPr>
                <w:rFonts w:ascii="Arial Narrow" w:hAnsi="Arial Narrow" w:cs="Arial"/>
                <w:b/>
                <w:bCs/>
                <w:color w:val="000000" w:themeColor="text1"/>
                <w:sz w:val="20"/>
                <w:szCs w:val="20"/>
                <w:lang w:val="en-PH"/>
              </w:rPr>
              <w:t>Net Receipts</w:t>
            </w:r>
            <w:r w:rsidR="00F6182B">
              <w:rPr>
                <w:rFonts w:ascii="Arial Narrow" w:hAnsi="Arial Narrow" w:cs="Arial"/>
                <w:b/>
                <w:bCs/>
                <w:color w:val="000000" w:themeColor="text1"/>
                <w:sz w:val="20"/>
                <w:szCs w:val="20"/>
                <w:lang w:val="en-PH"/>
              </w:rPr>
              <w:t xml:space="preserve"> (NR)</w:t>
            </w:r>
          </w:p>
        </w:tc>
        <w:tc>
          <w:tcPr>
            <w:tcW w:w="1122" w:type="dxa"/>
            <w:tcBorders>
              <w:top w:val="nil"/>
              <w:left w:val="nil"/>
              <w:bottom w:val="nil"/>
              <w:right w:val="nil"/>
            </w:tcBorders>
            <w:shd w:val="clear" w:color="auto" w:fill="auto"/>
            <w:noWrap/>
            <w:hideMark/>
          </w:tcPr>
          <w:p w14:paraId="277A5E89" w14:textId="77777777" w:rsidR="006C24D8" w:rsidRPr="009E35ED" w:rsidRDefault="006C24D8" w:rsidP="005E4F3F">
            <w:pPr>
              <w:ind w:left="0"/>
              <w:jc w:val="right"/>
              <w:rPr>
                <w:rFonts w:ascii="Arial Narrow" w:hAnsi="Arial Narrow" w:cs="Arial"/>
                <w:b/>
                <w:bCs/>
                <w:color w:val="000000" w:themeColor="text1"/>
                <w:sz w:val="20"/>
                <w:szCs w:val="20"/>
                <w:lang w:val="en-PH"/>
              </w:rPr>
            </w:pPr>
            <w:r w:rsidRPr="009E35ED">
              <w:rPr>
                <w:rFonts w:ascii="Arial Narrow" w:hAnsi="Arial Narrow" w:cs="Arial"/>
                <w:b/>
                <w:bCs/>
                <w:color w:val="000000" w:themeColor="text1"/>
                <w:sz w:val="20"/>
                <w:szCs w:val="20"/>
                <w:lang w:val="en-PH"/>
              </w:rPr>
              <w:t>98.00%</w:t>
            </w:r>
          </w:p>
        </w:tc>
        <w:tc>
          <w:tcPr>
            <w:tcW w:w="1180" w:type="dxa"/>
            <w:tcBorders>
              <w:top w:val="nil"/>
              <w:left w:val="nil"/>
              <w:bottom w:val="nil"/>
              <w:right w:val="nil"/>
            </w:tcBorders>
            <w:shd w:val="clear" w:color="auto" w:fill="auto"/>
            <w:noWrap/>
            <w:hideMark/>
          </w:tcPr>
          <w:p w14:paraId="1C897315" w14:textId="77777777" w:rsidR="006C24D8" w:rsidRPr="009E35ED" w:rsidRDefault="006C24D8" w:rsidP="005E4F3F">
            <w:pPr>
              <w:ind w:left="0"/>
              <w:jc w:val="right"/>
              <w:rPr>
                <w:rFonts w:ascii="Arial Narrow" w:hAnsi="Arial Narrow" w:cs="Arial"/>
                <w:b/>
                <w:bCs/>
                <w:color w:val="000000" w:themeColor="text1"/>
                <w:sz w:val="20"/>
                <w:szCs w:val="20"/>
                <w:lang w:val="en-PH"/>
              </w:rPr>
            </w:pPr>
            <w:r w:rsidRPr="009E35ED">
              <w:rPr>
                <w:rFonts w:ascii="Arial Narrow" w:hAnsi="Arial Narrow" w:cs="Arial"/>
                <w:b/>
                <w:bCs/>
                <w:color w:val="000000" w:themeColor="text1"/>
                <w:sz w:val="20"/>
                <w:szCs w:val="20"/>
                <w:lang w:val="en-PH"/>
              </w:rPr>
              <w:t>98.00%</w:t>
            </w:r>
          </w:p>
        </w:tc>
        <w:tc>
          <w:tcPr>
            <w:tcW w:w="1180" w:type="dxa"/>
            <w:tcBorders>
              <w:top w:val="nil"/>
              <w:left w:val="nil"/>
              <w:bottom w:val="nil"/>
              <w:right w:val="nil"/>
            </w:tcBorders>
            <w:shd w:val="clear" w:color="auto" w:fill="auto"/>
            <w:noWrap/>
            <w:hideMark/>
          </w:tcPr>
          <w:p w14:paraId="6010A0C7" w14:textId="77777777" w:rsidR="006C24D8" w:rsidRPr="009E35ED" w:rsidRDefault="006C24D8" w:rsidP="005E4F3F">
            <w:pPr>
              <w:ind w:left="0"/>
              <w:jc w:val="right"/>
              <w:rPr>
                <w:rFonts w:ascii="Arial Narrow" w:hAnsi="Arial Narrow" w:cs="Arial"/>
                <w:b/>
                <w:bCs/>
                <w:color w:val="000000" w:themeColor="text1"/>
                <w:sz w:val="20"/>
                <w:szCs w:val="20"/>
                <w:lang w:val="en-PH"/>
              </w:rPr>
            </w:pPr>
            <w:r w:rsidRPr="009E35ED">
              <w:rPr>
                <w:rFonts w:ascii="Arial Narrow" w:hAnsi="Arial Narrow" w:cs="Arial"/>
                <w:b/>
                <w:bCs/>
                <w:color w:val="000000" w:themeColor="text1"/>
                <w:sz w:val="20"/>
                <w:szCs w:val="20"/>
                <w:lang w:val="en-PH"/>
              </w:rPr>
              <w:t>98.00%</w:t>
            </w:r>
          </w:p>
        </w:tc>
        <w:tc>
          <w:tcPr>
            <w:tcW w:w="1233" w:type="dxa"/>
            <w:tcBorders>
              <w:top w:val="nil"/>
              <w:left w:val="nil"/>
              <w:bottom w:val="nil"/>
              <w:right w:val="nil"/>
            </w:tcBorders>
            <w:shd w:val="clear" w:color="auto" w:fill="auto"/>
            <w:noWrap/>
            <w:hideMark/>
          </w:tcPr>
          <w:p w14:paraId="78F4DC50" w14:textId="77777777" w:rsidR="006C24D8" w:rsidRPr="009E35ED" w:rsidRDefault="006C24D8" w:rsidP="005E4F3F">
            <w:pPr>
              <w:ind w:left="0"/>
              <w:jc w:val="right"/>
              <w:rPr>
                <w:rFonts w:ascii="Arial Narrow" w:hAnsi="Arial Narrow" w:cs="Arial"/>
                <w:b/>
                <w:bCs/>
                <w:color w:val="000000" w:themeColor="text1"/>
                <w:sz w:val="20"/>
                <w:szCs w:val="20"/>
                <w:lang w:val="en-PH"/>
              </w:rPr>
            </w:pPr>
            <w:r w:rsidRPr="009E35ED">
              <w:rPr>
                <w:rFonts w:ascii="Arial Narrow" w:hAnsi="Arial Narrow" w:cs="Arial"/>
                <w:b/>
                <w:bCs/>
                <w:color w:val="000000" w:themeColor="text1"/>
                <w:sz w:val="20"/>
                <w:szCs w:val="20"/>
                <w:lang w:val="en-PH"/>
              </w:rPr>
              <w:t>98.00%</w:t>
            </w:r>
          </w:p>
        </w:tc>
        <w:tc>
          <w:tcPr>
            <w:tcW w:w="1383" w:type="dxa"/>
            <w:tcBorders>
              <w:top w:val="nil"/>
              <w:left w:val="nil"/>
              <w:bottom w:val="nil"/>
              <w:right w:val="nil"/>
            </w:tcBorders>
            <w:shd w:val="clear" w:color="auto" w:fill="auto"/>
            <w:noWrap/>
            <w:hideMark/>
          </w:tcPr>
          <w:p w14:paraId="64B4EA16" w14:textId="77777777" w:rsidR="006C24D8" w:rsidRPr="009E35ED" w:rsidRDefault="006C24D8" w:rsidP="00A046FD">
            <w:pPr>
              <w:ind w:left="0" w:right="-90"/>
              <w:jc w:val="right"/>
              <w:rPr>
                <w:rFonts w:ascii="Arial Narrow" w:hAnsi="Arial Narrow" w:cs="Arial"/>
                <w:b/>
                <w:bCs/>
                <w:color w:val="000000" w:themeColor="text1"/>
                <w:sz w:val="20"/>
                <w:szCs w:val="20"/>
                <w:lang w:val="en-PH"/>
              </w:rPr>
            </w:pPr>
            <w:r w:rsidRPr="009E35ED">
              <w:rPr>
                <w:rFonts w:ascii="Arial Narrow" w:hAnsi="Arial Narrow" w:cs="Arial"/>
                <w:b/>
                <w:bCs/>
                <w:color w:val="000000" w:themeColor="text1"/>
                <w:sz w:val="20"/>
                <w:szCs w:val="20"/>
                <w:lang w:val="en-PH"/>
              </w:rPr>
              <w:t>98.00%</w:t>
            </w:r>
          </w:p>
        </w:tc>
      </w:tr>
      <w:tr w:rsidR="00997F75" w:rsidRPr="009E35ED" w14:paraId="5F69D18D" w14:textId="77777777" w:rsidTr="00A046FD">
        <w:trPr>
          <w:trHeight w:val="252"/>
        </w:trPr>
        <w:tc>
          <w:tcPr>
            <w:tcW w:w="2542" w:type="dxa"/>
            <w:tcBorders>
              <w:top w:val="nil"/>
              <w:left w:val="nil"/>
              <w:bottom w:val="nil"/>
              <w:right w:val="nil"/>
            </w:tcBorders>
            <w:shd w:val="clear" w:color="auto" w:fill="auto"/>
            <w:noWrap/>
            <w:hideMark/>
          </w:tcPr>
          <w:p w14:paraId="12DF33CE" w14:textId="77777777" w:rsidR="006C24D8" w:rsidRPr="009E35ED" w:rsidRDefault="006C24D8" w:rsidP="005E4F3F">
            <w:pPr>
              <w:ind w:left="0" w:hanging="90"/>
              <w:jc w:val="left"/>
              <w:rPr>
                <w:rFonts w:ascii="Arial Narrow" w:hAnsi="Arial Narrow" w:cs="Arial"/>
                <w:b/>
                <w:bCs/>
                <w:color w:val="000000" w:themeColor="text1"/>
                <w:sz w:val="20"/>
                <w:szCs w:val="20"/>
                <w:lang w:val="en-PH"/>
              </w:rPr>
            </w:pPr>
          </w:p>
        </w:tc>
        <w:tc>
          <w:tcPr>
            <w:tcW w:w="1122" w:type="dxa"/>
            <w:tcBorders>
              <w:top w:val="nil"/>
              <w:left w:val="nil"/>
              <w:bottom w:val="nil"/>
              <w:right w:val="nil"/>
            </w:tcBorders>
            <w:shd w:val="clear" w:color="auto" w:fill="auto"/>
            <w:noWrap/>
            <w:hideMark/>
          </w:tcPr>
          <w:p w14:paraId="17D32FF1" w14:textId="77777777" w:rsidR="006C24D8" w:rsidRPr="009E35ED" w:rsidRDefault="006C24D8" w:rsidP="005E4F3F">
            <w:pPr>
              <w:ind w:left="0"/>
              <w:jc w:val="right"/>
              <w:rPr>
                <w:rFonts w:ascii="Arial Narrow" w:hAnsi="Arial Narrow" w:cs="Arial"/>
                <w:color w:val="000000" w:themeColor="text1"/>
                <w:sz w:val="20"/>
                <w:szCs w:val="20"/>
                <w:lang w:val="en-PH"/>
              </w:rPr>
            </w:pPr>
          </w:p>
        </w:tc>
        <w:tc>
          <w:tcPr>
            <w:tcW w:w="1180" w:type="dxa"/>
            <w:tcBorders>
              <w:top w:val="nil"/>
              <w:left w:val="nil"/>
              <w:bottom w:val="nil"/>
              <w:right w:val="nil"/>
            </w:tcBorders>
            <w:shd w:val="clear" w:color="auto" w:fill="auto"/>
            <w:noWrap/>
            <w:hideMark/>
          </w:tcPr>
          <w:p w14:paraId="1BE2FCAE" w14:textId="77777777" w:rsidR="006C24D8" w:rsidRPr="009E35ED" w:rsidRDefault="006C24D8" w:rsidP="005E4F3F">
            <w:pPr>
              <w:ind w:left="0"/>
              <w:jc w:val="right"/>
              <w:rPr>
                <w:rFonts w:ascii="Arial Narrow" w:hAnsi="Arial Narrow" w:cs="Arial"/>
                <w:color w:val="000000" w:themeColor="text1"/>
                <w:sz w:val="20"/>
                <w:szCs w:val="20"/>
                <w:lang w:val="en-PH"/>
              </w:rPr>
            </w:pPr>
          </w:p>
        </w:tc>
        <w:tc>
          <w:tcPr>
            <w:tcW w:w="1180" w:type="dxa"/>
            <w:tcBorders>
              <w:top w:val="nil"/>
              <w:left w:val="nil"/>
              <w:bottom w:val="nil"/>
              <w:right w:val="nil"/>
            </w:tcBorders>
            <w:shd w:val="clear" w:color="auto" w:fill="auto"/>
            <w:noWrap/>
            <w:hideMark/>
          </w:tcPr>
          <w:p w14:paraId="6E0467AA" w14:textId="77777777" w:rsidR="006C24D8" w:rsidRPr="009E35ED" w:rsidRDefault="006C24D8" w:rsidP="005E4F3F">
            <w:pPr>
              <w:ind w:left="0"/>
              <w:jc w:val="right"/>
              <w:rPr>
                <w:rFonts w:ascii="Arial Narrow" w:hAnsi="Arial Narrow" w:cs="Arial"/>
                <w:color w:val="000000" w:themeColor="text1"/>
                <w:sz w:val="20"/>
                <w:szCs w:val="20"/>
                <w:lang w:val="en-PH"/>
              </w:rPr>
            </w:pPr>
          </w:p>
        </w:tc>
        <w:tc>
          <w:tcPr>
            <w:tcW w:w="1233" w:type="dxa"/>
            <w:tcBorders>
              <w:top w:val="nil"/>
              <w:left w:val="nil"/>
              <w:bottom w:val="nil"/>
              <w:right w:val="nil"/>
            </w:tcBorders>
            <w:shd w:val="clear" w:color="auto" w:fill="auto"/>
            <w:noWrap/>
            <w:hideMark/>
          </w:tcPr>
          <w:p w14:paraId="3A09D766" w14:textId="77777777" w:rsidR="006C24D8" w:rsidRPr="009E35ED" w:rsidRDefault="006C24D8" w:rsidP="005E4F3F">
            <w:pPr>
              <w:ind w:left="0"/>
              <w:jc w:val="right"/>
              <w:rPr>
                <w:rFonts w:ascii="Arial Narrow" w:hAnsi="Arial Narrow" w:cs="Arial"/>
                <w:color w:val="000000" w:themeColor="text1"/>
                <w:sz w:val="20"/>
                <w:szCs w:val="20"/>
                <w:lang w:val="en-PH"/>
              </w:rPr>
            </w:pPr>
          </w:p>
        </w:tc>
        <w:tc>
          <w:tcPr>
            <w:tcW w:w="1383" w:type="dxa"/>
            <w:tcBorders>
              <w:top w:val="nil"/>
              <w:left w:val="nil"/>
              <w:bottom w:val="nil"/>
              <w:right w:val="nil"/>
            </w:tcBorders>
            <w:shd w:val="clear" w:color="auto" w:fill="auto"/>
            <w:noWrap/>
            <w:hideMark/>
          </w:tcPr>
          <w:p w14:paraId="26993A99" w14:textId="77777777" w:rsidR="006C24D8" w:rsidRPr="009E35ED" w:rsidRDefault="006C24D8" w:rsidP="00A046FD">
            <w:pPr>
              <w:ind w:left="0" w:right="-90"/>
              <w:jc w:val="right"/>
              <w:rPr>
                <w:rFonts w:ascii="Arial Narrow" w:hAnsi="Arial Narrow" w:cs="Arial"/>
                <w:color w:val="000000" w:themeColor="text1"/>
                <w:sz w:val="20"/>
                <w:szCs w:val="20"/>
                <w:lang w:val="en-PH"/>
              </w:rPr>
            </w:pPr>
          </w:p>
        </w:tc>
      </w:tr>
      <w:tr w:rsidR="00997F75" w:rsidRPr="009E35ED" w14:paraId="1395BA9F" w14:textId="77777777" w:rsidTr="00A046FD">
        <w:trPr>
          <w:trHeight w:val="72"/>
        </w:trPr>
        <w:tc>
          <w:tcPr>
            <w:tcW w:w="2542" w:type="dxa"/>
            <w:tcBorders>
              <w:top w:val="nil"/>
              <w:left w:val="nil"/>
              <w:bottom w:val="nil"/>
              <w:right w:val="nil"/>
            </w:tcBorders>
            <w:shd w:val="clear" w:color="auto" w:fill="auto"/>
            <w:noWrap/>
            <w:hideMark/>
          </w:tcPr>
          <w:p w14:paraId="7999037B" w14:textId="77777777" w:rsidR="006C24D8" w:rsidRPr="009E35ED" w:rsidRDefault="006C24D8" w:rsidP="005E4F3F">
            <w:pPr>
              <w:ind w:left="0" w:hanging="90"/>
              <w:jc w:val="left"/>
              <w:rPr>
                <w:rFonts w:ascii="Arial Narrow" w:hAnsi="Arial Narrow" w:cs="Arial"/>
                <w:b/>
                <w:bCs/>
                <w:color w:val="000000" w:themeColor="text1"/>
                <w:sz w:val="20"/>
                <w:szCs w:val="20"/>
                <w:lang w:val="en-PH"/>
              </w:rPr>
            </w:pPr>
            <w:r w:rsidRPr="009E35ED">
              <w:rPr>
                <w:rFonts w:ascii="Arial Narrow" w:hAnsi="Arial Narrow" w:cs="Arial"/>
                <w:b/>
                <w:bCs/>
                <w:color w:val="000000" w:themeColor="text1"/>
                <w:sz w:val="20"/>
                <w:szCs w:val="20"/>
                <w:lang w:val="en-PH"/>
              </w:rPr>
              <w:t>I. Prize Fund  (55% of NR)</w:t>
            </w:r>
          </w:p>
        </w:tc>
        <w:tc>
          <w:tcPr>
            <w:tcW w:w="1122" w:type="dxa"/>
            <w:tcBorders>
              <w:top w:val="nil"/>
              <w:left w:val="nil"/>
              <w:bottom w:val="nil"/>
              <w:right w:val="nil"/>
            </w:tcBorders>
            <w:shd w:val="clear" w:color="auto" w:fill="auto"/>
            <w:noWrap/>
            <w:hideMark/>
          </w:tcPr>
          <w:p w14:paraId="7E279026" w14:textId="77777777" w:rsidR="006C24D8" w:rsidRPr="009E35ED" w:rsidRDefault="006C24D8" w:rsidP="005E4F3F">
            <w:pPr>
              <w:ind w:left="0"/>
              <w:jc w:val="right"/>
              <w:rPr>
                <w:rFonts w:ascii="Arial Narrow" w:hAnsi="Arial Narrow" w:cs="Arial"/>
                <w:b/>
                <w:bCs/>
                <w:color w:val="000000" w:themeColor="text1"/>
                <w:sz w:val="20"/>
                <w:szCs w:val="20"/>
                <w:lang w:val="en-PH"/>
              </w:rPr>
            </w:pPr>
            <w:r w:rsidRPr="009E35ED">
              <w:rPr>
                <w:rFonts w:ascii="Arial Narrow" w:hAnsi="Arial Narrow" w:cs="Arial"/>
                <w:b/>
                <w:bCs/>
                <w:color w:val="000000" w:themeColor="text1"/>
                <w:sz w:val="20"/>
                <w:szCs w:val="20"/>
                <w:lang w:val="en-PH"/>
              </w:rPr>
              <w:t>53.90%</w:t>
            </w:r>
          </w:p>
        </w:tc>
        <w:tc>
          <w:tcPr>
            <w:tcW w:w="1180" w:type="dxa"/>
            <w:tcBorders>
              <w:top w:val="nil"/>
              <w:left w:val="nil"/>
              <w:bottom w:val="nil"/>
              <w:right w:val="nil"/>
            </w:tcBorders>
            <w:shd w:val="clear" w:color="auto" w:fill="auto"/>
            <w:noWrap/>
            <w:hideMark/>
          </w:tcPr>
          <w:p w14:paraId="4ED1F56B" w14:textId="77777777" w:rsidR="006C24D8" w:rsidRPr="009E35ED" w:rsidRDefault="006C24D8" w:rsidP="005E4F3F">
            <w:pPr>
              <w:ind w:left="0"/>
              <w:jc w:val="right"/>
              <w:rPr>
                <w:rFonts w:ascii="Arial Narrow" w:hAnsi="Arial Narrow" w:cs="Arial"/>
                <w:b/>
                <w:bCs/>
                <w:color w:val="000000" w:themeColor="text1"/>
                <w:sz w:val="20"/>
                <w:szCs w:val="20"/>
                <w:lang w:val="en-PH"/>
              </w:rPr>
            </w:pPr>
            <w:r w:rsidRPr="009E35ED">
              <w:rPr>
                <w:rFonts w:ascii="Arial Narrow" w:hAnsi="Arial Narrow" w:cs="Arial"/>
                <w:b/>
                <w:bCs/>
                <w:color w:val="000000" w:themeColor="text1"/>
                <w:sz w:val="20"/>
                <w:szCs w:val="20"/>
                <w:lang w:val="en-PH"/>
              </w:rPr>
              <w:t>53.90%</w:t>
            </w:r>
          </w:p>
        </w:tc>
        <w:tc>
          <w:tcPr>
            <w:tcW w:w="1180" w:type="dxa"/>
            <w:tcBorders>
              <w:top w:val="nil"/>
              <w:left w:val="nil"/>
              <w:bottom w:val="nil"/>
              <w:right w:val="nil"/>
            </w:tcBorders>
            <w:shd w:val="clear" w:color="auto" w:fill="auto"/>
            <w:noWrap/>
            <w:hideMark/>
          </w:tcPr>
          <w:p w14:paraId="67C0EE33" w14:textId="77777777" w:rsidR="006C24D8" w:rsidRPr="009E35ED" w:rsidRDefault="006C24D8" w:rsidP="005E4F3F">
            <w:pPr>
              <w:ind w:left="0"/>
              <w:jc w:val="right"/>
              <w:rPr>
                <w:rFonts w:ascii="Arial Narrow" w:hAnsi="Arial Narrow" w:cs="Arial"/>
                <w:b/>
                <w:bCs/>
                <w:color w:val="000000" w:themeColor="text1"/>
                <w:sz w:val="20"/>
                <w:szCs w:val="20"/>
                <w:lang w:val="en-PH"/>
              </w:rPr>
            </w:pPr>
            <w:r w:rsidRPr="009E35ED">
              <w:rPr>
                <w:rFonts w:ascii="Arial Narrow" w:hAnsi="Arial Narrow" w:cs="Arial"/>
                <w:b/>
                <w:bCs/>
                <w:color w:val="000000" w:themeColor="text1"/>
                <w:sz w:val="20"/>
                <w:szCs w:val="20"/>
                <w:lang w:val="en-PH"/>
              </w:rPr>
              <w:t>53.90%</w:t>
            </w:r>
          </w:p>
        </w:tc>
        <w:tc>
          <w:tcPr>
            <w:tcW w:w="1233" w:type="dxa"/>
            <w:tcBorders>
              <w:top w:val="nil"/>
              <w:left w:val="nil"/>
              <w:bottom w:val="nil"/>
              <w:right w:val="nil"/>
            </w:tcBorders>
            <w:shd w:val="clear" w:color="auto" w:fill="auto"/>
            <w:noWrap/>
            <w:hideMark/>
          </w:tcPr>
          <w:p w14:paraId="6F7EFCAE" w14:textId="77777777" w:rsidR="006C24D8" w:rsidRPr="009E35ED" w:rsidRDefault="006C24D8" w:rsidP="005E4F3F">
            <w:pPr>
              <w:ind w:left="0"/>
              <w:jc w:val="right"/>
              <w:rPr>
                <w:rFonts w:ascii="Arial Narrow" w:hAnsi="Arial Narrow" w:cs="Arial"/>
                <w:b/>
                <w:bCs/>
                <w:color w:val="000000" w:themeColor="text1"/>
                <w:sz w:val="20"/>
                <w:szCs w:val="20"/>
                <w:lang w:val="en-PH"/>
              </w:rPr>
            </w:pPr>
            <w:r w:rsidRPr="009E35ED">
              <w:rPr>
                <w:rFonts w:ascii="Arial Narrow" w:hAnsi="Arial Narrow" w:cs="Arial"/>
                <w:b/>
                <w:bCs/>
                <w:color w:val="000000" w:themeColor="text1"/>
                <w:sz w:val="20"/>
                <w:szCs w:val="20"/>
                <w:lang w:val="en-PH"/>
              </w:rPr>
              <w:t>53.90%</w:t>
            </w:r>
          </w:p>
        </w:tc>
        <w:tc>
          <w:tcPr>
            <w:tcW w:w="1383" w:type="dxa"/>
            <w:tcBorders>
              <w:top w:val="nil"/>
              <w:left w:val="nil"/>
              <w:bottom w:val="nil"/>
              <w:right w:val="nil"/>
            </w:tcBorders>
            <w:shd w:val="clear" w:color="auto" w:fill="auto"/>
            <w:noWrap/>
            <w:hideMark/>
          </w:tcPr>
          <w:p w14:paraId="75B09D76" w14:textId="77777777" w:rsidR="006C24D8" w:rsidRPr="009E35ED" w:rsidRDefault="006C24D8" w:rsidP="00A046FD">
            <w:pPr>
              <w:ind w:left="0" w:right="-90"/>
              <w:jc w:val="right"/>
              <w:rPr>
                <w:rFonts w:ascii="Arial Narrow" w:hAnsi="Arial Narrow" w:cs="Arial"/>
                <w:b/>
                <w:bCs/>
                <w:color w:val="000000" w:themeColor="text1"/>
                <w:sz w:val="20"/>
                <w:szCs w:val="20"/>
                <w:lang w:val="en-PH"/>
              </w:rPr>
            </w:pPr>
            <w:r w:rsidRPr="009E35ED">
              <w:rPr>
                <w:rFonts w:ascii="Arial Narrow" w:hAnsi="Arial Narrow" w:cs="Arial"/>
                <w:b/>
                <w:bCs/>
                <w:color w:val="000000" w:themeColor="text1"/>
                <w:sz w:val="20"/>
                <w:szCs w:val="20"/>
                <w:lang w:val="en-PH"/>
              </w:rPr>
              <w:t>53.90%</w:t>
            </w:r>
          </w:p>
        </w:tc>
      </w:tr>
      <w:tr w:rsidR="00997F75" w:rsidRPr="009E35ED" w14:paraId="07326C4C" w14:textId="77777777" w:rsidTr="00A046FD">
        <w:trPr>
          <w:trHeight w:val="72"/>
        </w:trPr>
        <w:tc>
          <w:tcPr>
            <w:tcW w:w="2542" w:type="dxa"/>
            <w:tcBorders>
              <w:top w:val="nil"/>
              <w:left w:val="nil"/>
              <w:bottom w:val="nil"/>
              <w:right w:val="nil"/>
            </w:tcBorders>
            <w:shd w:val="clear" w:color="auto" w:fill="auto"/>
            <w:noWrap/>
            <w:hideMark/>
          </w:tcPr>
          <w:p w14:paraId="722517E3" w14:textId="77777777" w:rsidR="006C24D8" w:rsidRPr="009E35ED" w:rsidRDefault="006C24D8" w:rsidP="005E4F3F">
            <w:pPr>
              <w:ind w:left="0" w:hanging="90"/>
              <w:jc w:val="lef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Agent's Commission</w:t>
            </w:r>
          </w:p>
        </w:tc>
        <w:tc>
          <w:tcPr>
            <w:tcW w:w="1122" w:type="dxa"/>
            <w:tcBorders>
              <w:top w:val="nil"/>
              <w:left w:val="nil"/>
              <w:bottom w:val="nil"/>
              <w:right w:val="nil"/>
            </w:tcBorders>
            <w:shd w:val="clear" w:color="auto" w:fill="auto"/>
            <w:noWrap/>
            <w:hideMark/>
          </w:tcPr>
          <w:p w14:paraId="14124D2A" w14:textId="77777777" w:rsidR="006C24D8" w:rsidRPr="009E35ED" w:rsidRDefault="006C24D8" w:rsidP="005E4F3F">
            <w:pPr>
              <w:ind w:left="0"/>
              <w:jc w:val="righ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8.50%</w:t>
            </w:r>
          </w:p>
        </w:tc>
        <w:tc>
          <w:tcPr>
            <w:tcW w:w="1180" w:type="dxa"/>
            <w:tcBorders>
              <w:top w:val="nil"/>
              <w:left w:val="nil"/>
              <w:bottom w:val="nil"/>
              <w:right w:val="nil"/>
            </w:tcBorders>
            <w:shd w:val="clear" w:color="auto" w:fill="auto"/>
            <w:noWrap/>
            <w:hideMark/>
          </w:tcPr>
          <w:p w14:paraId="1D26F4BD" w14:textId="77777777" w:rsidR="006C24D8" w:rsidRPr="009E35ED" w:rsidRDefault="006C24D8" w:rsidP="005E4F3F">
            <w:pPr>
              <w:ind w:left="0"/>
              <w:jc w:val="righ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8.50%</w:t>
            </w:r>
          </w:p>
        </w:tc>
        <w:tc>
          <w:tcPr>
            <w:tcW w:w="1180" w:type="dxa"/>
            <w:tcBorders>
              <w:top w:val="nil"/>
              <w:left w:val="nil"/>
              <w:bottom w:val="nil"/>
              <w:right w:val="nil"/>
            </w:tcBorders>
            <w:shd w:val="clear" w:color="auto" w:fill="auto"/>
            <w:noWrap/>
            <w:hideMark/>
          </w:tcPr>
          <w:p w14:paraId="7A87BE23" w14:textId="77777777" w:rsidR="006C24D8" w:rsidRPr="009E35ED" w:rsidRDefault="006C24D8" w:rsidP="005E4F3F">
            <w:pPr>
              <w:ind w:left="0"/>
              <w:jc w:val="righ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8.50%</w:t>
            </w:r>
          </w:p>
        </w:tc>
        <w:tc>
          <w:tcPr>
            <w:tcW w:w="1233" w:type="dxa"/>
            <w:tcBorders>
              <w:top w:val="nil"/>
              <w:left w:val="nil"/>
              <w:bottom w:val="nil"/>
              <w:right w:val="nil"/>
            </w:tcBorders>
            <w:shd w:val="clear" w:color="auto" w:fill="auto"/>
            <w:noWrap/>
            <w:hideMark/>
          </w:tcPr>
          <w:p w14:paraId="44964FDB" w14:textId="77777777" w:rsidR="006C24D8" w:rsidRPr="009E35ED" w:rsidRDefault="006C24D8" w:rsidP="005E4F3F">
            <w:pPr>
              <w:ind w:left="0"/>
              <w:jc w:val="righ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8.50%</w:t>
            </w:r>
          </w:p>
        </w:tc>
        <w:tc>
          <w:tcPr>
            <w:tcW w:w="1383" w:type="dxa"/>
            <w:tcBorders>
              <w:top w:val="nil"/>
              <w:left w:val="nil"/>
              <w:bottom w:val="nil"/>
              <w:right w:val="nil"/>
            </w:tcBorders>
            <w:shd w:val="clear" w:color="auto" w:fill="auto"/>
            <w:noWrap/>
            <w:hideMark/>
          </w:tcPr>
          <w:p w14:paraId="55826A3C" w14:textId="77777777" w:rsidR="006C24D8" w:rsidRPr="009E35ED" w:rsidRDefault="006C24D8" w:rsidP="00A046FD">
            <w:pPr>
              <w:ind w:left="0" w:right="-90"/>
              <w:jc w:val="righ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8.50%</w:t>
            </w:r>
          </w:p>
        </w:tc>
      </w:tr>
      <w:tr w:rsidR="00997F75" w:rsidRPr="009E35ED" w14:paraId="6CC66DD5" w14:textId="77777777" w:rsidTr="00A046FD">
        <w:trPr>
          <w:trHeight w:val="90"/>
        </w:trPr>
        <w:tc>
          <w:tcPr>
            <w:tcW w:w="2542" w:type="dxa"/>
            <w:tcBorders>
              <w:top w:val="nil"/>
              <w:left w:val="nil"/>
              <w:bottom w:val="nil"/>
              <w:right w:val="nil"/>
            </w:tcBorders>
            <w:shd w:val="clear" w:color="auto" w:fill="auto"/>
            <w:noWrap/>
            <w:hideMark/>
          </w:tcPr>
          <w:p w14:paraId="347153B0" w14:textId="59FB6D96" w:rsidR="006C24D8" w:rsidRPr="009E35ED" w:rsidRDefault="004851A0" w:rsidP="005E4F3F">
            <w:pPr>
              <w:ind w:left="0" w:hanging="90"/>
              <w:jc w:val="lef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PLS Cost</w:t>
            </w:r>
          </w:p>
        </w:tc>
        <w:tc>
          <w:tcPr>
            <w:tcW w:w="1122" w:type="dxa"/>
            <w:tcBorders>
              <w:top w:val="nil"/>
              <w:left w:val="nil"/>
              <w:bottom w:val="nil"/>
              <w:right w:val="nil"/>
            </w:tcBorders>
            <w:shd w:val="clear" w:color="auto" w:fill="auto"/>
            <w:noWrap/>
            <w:hideMark/>
          </w:tcPr>
          <w:p w14:paraId="7AA443A0" w14:textId="19BD8527" w:rsidR="006C24D8" w:rsidRPr="009E35ED" w:rsidRDefault="005E4F3F" w:rsidP="005A72F0">
            <w:pPr>
              <w:ind w:left="0"/>
              <w:jc w:val="righ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1.8</w:t>
            </w:r>
            <w:r w:rsidR="005A72F0" w:rsidRPr="009E35ED">
              <w:rPr>
                <w:rFonts w:ascii="Arial Narrow" w:hAnsi="Arial Narrow" w:cs="Arial"/>
                <w:color w:val="000000" w:themeColor="text1"/>
                <w:sz w:val="20"/>
                <w:szCs w:val="20"/>
                <w:lang w:val="en-PH"/>
              </w:rPr>
              <w:t>2</w:t>
            </w:r>
            <w:r w:rsidRPr="009E35ED">
              <w:rPr>
                <w:rFonts w:ascii="Arial Narrow" w:hAnsi="Arial Narrow" w:cs="Arial"/>
                <w:color w:val="000000" w:themeColor="text1"/>
                <w:sz w:val="20"/>
                <w:szCs w:val="20"/>
                <w:lang w:val="en-PH"/>
              </w:rPr>
              <w:t>%</w:t>
            </w:r>
          </w:p>
        </w:tc>
        <w:tc>
          <w:tcPr>
            <w:tcW w:w="1180" w:type="dxa"/>
            <w:tcBorders>
              <w:top w:val="nil"/>
              <w:left w:val="nil"/>
              <w:bottom w:val="nil"/>
              <w:right w:val="nil"/>
            </w:tcBorders>
            <w:shd w:val="clear" w:color="auto" w:fill="auto"/>
            <w:noWrap/>
            <w:hideMark/>
          </w:tcPr>
          <w:p w14:paraId="0AC35647" w14:textId="11F24942" w:rsidR="006C24D8" w:rsidRPr="009E35ED" w:rsidRDefault="005E4F3F" w:rsidP="005A72F0">
            <w:pPr>
              <w:ind w:left="0"/>
              <w:jc w:val="righ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1.8</w:t>
            </w:r>
            <w:r w:rsidR="005A72F0" w:rsidRPr="009E35ED">
              <w:rPr>
                <w:rFonts w:ascii="Arial Narrow" w:hAnsi="Arial Narrow" w:cs="Arial"/>
                <w:color w:val="000000" w:themeColor="text1"/>
                <w:sz w:val="20"/>
                <w:szCs w:val="20"/>
                <w:lang w:val="en-PH"/>
              </w:rPr>
              <w:t>2</w:t>
            </w:r>
            <w:r w:rsidRPr="009E35ED">
              <w:rPr>
                <w:rFonts w:ascii="Arial Narrow" w:hAnsi="Arial Narrow" w:cs="Arial"/>
                <w:color w:val="000000" w:themeColor="text1"/>
                <w:sz w:val="20"/>
                <w:szCs w:val="20"/>
                <w:lang w:val="en-PH"/>
              </w:rPr>
              <w:t>%</w:t>
            </w:r>
          </w:p>
        </w:tc>
        <w:tc>
          <w:tcPr>
            <w:tcW w:w="1180" w:type="dxa"/>
            <w:tcBorders>
              <w:top w:val="nil"/>
              <w:left w:val="nil"/>
              <w:bottom w:val="nil"/>
              <w:right w:val="nil"/>
            </w:tcBorders>
            <w:shd w:val="clear" w:color="auto" w:fill="auto"/>
            <w:noWrap/>
            <w:hideMark/>
          </w:tcPr>
          <w:p w14:paraId="02D18CBB" w14:textId="04CBD50B" w:rsidR="006C24D8" w:rsidRPr="009E35ED" w:rsidRDefault="005E4F3F" w:rsidP="005A72F0">
            <w:pPr>
              <w:ind w:left="0"/>
              <w:jc w:val="righ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1.8</w:t>
            </w:r>
            <w:r w:rsidR="005A72F0" w:rsidRPr="009E35ED">
              <w:rPr>
                <w:rFonts w:ascii="Arial Narrow" w:hAnsi="Arial Narrow" w:cs="Arial"/>
                <w:color w:val="000000" w:themeColor="text1"/>
                <w:sz w:val="20"/>
                <w:szCs w:val="20"/>
                <w:lang w:val="en-PH"/>
              </w:rPr>
              <w:t>2</w:t>
            </w:r>
            <w:r w:rsidRPr="009E35ED">
              <w:rPr>
                <w:rFonts w:ascii="Arial Narrow" w:hAnsi="Arial Narrow" w:cs="Arial"/>
                <w:color w:val="000000" w:themeColor="text1"/>
                <w:sz w:val="20"/>
                <w:szCs w:val="20"/>
                <w:lang w:val="en-PH"/>
              </w:rPr>
              <w:t>%</w:t>
            </w:r>
          </w:p>
        </w:tc>
        <w:tc>
          <w:tcPr>
            <w:tcW w:w="1233" w:type="dxa"/>
            <w:tcBorders>
              <w:top w:val="nil"/>
              <w:left w:val="nil"/>
              <w:bottom w:val="nil"/>
              <w:right w:val="nil"/>
            </w:tcBorders>
            <w:shd w:val="clear" w:color="auto" w:fill="auto"/>
            <w:noWrap/>
            <w:hideMark/>
          </w:tcPr>
          <w:p w14:paraId="3C10987B" w14:textId="4DAB3E6D" w:rsidR="006C24D8" w:rsidRPr="009E35ED" w:rsidRDefault="005E4F3F" w:rsidP="005A72F0">
            <w:pPr>
              <w:ind w:left="0"/>
              <w:jc w:val="righ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1.8</w:t>
            </w:r>
            <w:r w:rsidR="005A72F0" w:rsidRPr="009E35ED">
              <w:rPr>
                <w:rFonts w:ascii="Arial Narrow" w:hAnsi="Arial Narrow" w:cs="Arial"/>
                <w:color w:val="000000" w:themeColor="text1"/>
                <w:sz w:val="20"/>
                <w:szCs w:val="20"/>
                <w:lang w:val="en-PH"/>
              </w:rPr>
              <w:t>2</w:t>
            </w:r>
            <w:r w:rsidRPr="009E35ED">
              <w:rPr>
                <w:rFonts w:ascii="Arial Narrow" w:hAnsi="Arial Narrow" w:cs="Arial"/>
                <w:color w:val="000000" w:themeColor="text1"/>
                <w:sz w:val="20"/>
                <w:szCs w:val="20"/>
                <w:lang w:val="en-PH"/>
              </w:rPr>
              <w:t>%</w:t>
            </w:r>
          </w:p>
        </w:tc>
        <w:tc>
          <w:tcPr>
            <w:tcW w:w="1383" w:type="dxa"/>
            <w:tcBorders>
              <w:top w:val="nil"/>
              <w:left w:val="nil"/>
              <w:bottom w:val="nil"/>
              <w:right w:val="nil"/>
            </w:tcBorders>
            <w:shd w:val="clear" w:color="auto" w:fill="auto"/>
            <w:noWrap/>
            <w:hideMark/>
          </w:tcPr>
          <w:p w14:paraId="63B68984" w14:textId="1E1BB061" w:rsidR="006C24D8" w:rsidRPr="009E35ED" w:rsidRDefault="005E4F3F" w:rsidP="00A046FD">
            <w:pPr>
              <w:ind w:left="0" w:right="-90"/>
              <w:jc w:val="righ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1.8</w:t>
            </w:r>
            <w:r w:rsidR="005A72F0" w:rsidRPr="009E35ED">
              <w:rPr>
                <w:rFonts w:ascii="Arial Narrow" w:hAnsi="Arial Narrow" w:cs="Arial"/>
                <w:color w:val="000000" w:themeColor="text1"/>
                <w:sz w:val="20"/>
                <w:szCs w:val="20"/>
                <w:lang w:val="en-PH"/>
              </w:rPr>
              <w:t>2</w:t>
            </w:r>
            <w:r w:rsidRPr="009E35ED">
              <w:rPr>
                <w:rFonts w:ascii="Arial Narrow" w:hAnsi="Arial Narrow" w:cs="Arial"/>
                <w:color w:val="000000" w:themeColor="text1"/>
                <w:sz w:val="20"/>
                <w:szCs w:val="20"/>
                <w:lang w:val="en-PH"/>
              </w:rPr>
              <w:t>%</w:t>
            </w:r>
          </w:p>
        </w:tc>
      </w:tr>
      <w:tr w:rsidR="00997F75" w:rsidRPr="009E35ED" w14:paraId="7830BFD4" w14:textId="77777777" w:rsidTr="00A046FD">
        <w:trPr>
          <w:trHeight w:val="189"/>
        </w:trPr>
        <w:tc>
          <w:tcPr>
            <w:tcW w:w="2542" w:type="dxa"/>
            <w:tcBorders>
              <w:top w:val="nil"/>
              <w:left w:val="nil"/>
              <w:bottom w:val="nil"/>
              <w:right w:val="nil"/>
            </w:tcBorders>
            <w:shd w:val="clear" w:color="auto" w:fill="auto"/>
            <w:noWrap/>
            <w:hideMark/>
          </w:tcPr>
          <w:p w14:paraId="13707F44" w14:textId="77777777" w:rsidR="006C24D8" w:rsidRPr="009E35ED" w:rsidRDefault="006C24D8" w:rsidP="005E4F3F">
            <w:pPr>
              <w:ind w:left="0" w:hanging="90"/>
              <w:jc w:val="lef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Prize Margin/Reserved Fund</w:t>
            </w:r>
          </w:p>
        </w:tc>
        <w:tc>
          <w:tcPr>
            <w:tcW w:w="1122" w:type="dxa"/>
            <w:tcBorders>
              <w:top w:val="nil"/>
              <w:left w:val="nil"/>
              <w:bottom w:val="nil"/>
              <w:right w:val="nil"/>
            </w:tcBorders>
            <w:shd w:val="clear" w:color="auto" w:fill="auto"/>
            <w:noWrap/>
            <w:hideMark/>
          </w:tcPr>
          <w:p w14:paraId="5DCF02FB" w14:textId="15C77490" w:rsidR="006C24D8" w:rsidRPr="009E35ED" w:rsidRDefault="005E4F3F" w:rsidP="005A72F0">
            <w:pPr>
              <w:ind w:left="0"/>
              <w:jc w:val="right"/>
              <w:rPr>
                <w:rFonts w:ascii="Arial Narrow" w:hAnsi="Arial Narrow" w:cs="Arial"/>
                <w:b/>
                <w:bCs/>
                <w:color w:val="000000" w:themeColor="text1"/>
                <w:sz w:val="20"/>
                <w:szCs w:val="20"/>
                <w:lang w:val="en-PH"/>
              </w:rPr>
            </w:pPr>
            <w:r w:rsidRPr="009E35ED">
              <w:rPr>
                <w:rFonts w:ascii="Arial Narrow" w:hAnsi="Arial Narrow" w:cs="Arial"/>
                <w:b/>
                <w:bCs/>
                <w:color w:val="000000" w:themeColor="text1"/>
                <w:sz w:val="20"/>
                <w:szCs w:val="20"/>
                <w:lang w:val="en-PH"/>
              </w:rPr>
              <w:t>9</w:t>
            </w:r>
            <w:r w:rsidR="006C24D8" w:rsidRPr="009E35ED">
              <w:rPr>
                <w:rFonts w:ascii="Arial Narrow" w:hAnsi="Arial Narrow" w:cs="Arial"/>
                <w:b/>
                <w:bCs/>
                <w:color w:val="000000" w:themeColor="text1"/>
                <w:sz w:val="20"/>
                <w:szCs w:val="20"/>
                <w:lang w:val="en-PH"/>
              </w:rPr>
              <w:t>.</w:t>
            </w:r>
            <w:r w:rsidR="004851A0" w:rsidRPr="009E35ED">
              <w:rPr>
                <w:rFonts w:ascii="Arial Narrow" w:hAnsi="Arial Narrow" w:cs="Arial"/>
                <w:b/>
                <w:bCs/>
                <w:color w:val="000000" w:themeColor="text1"/>
                <w:sz w:val="20"/>
                <w:szCs w:val="20"/>
                <w:lang w:val="en-PH"/>
              </w:rPr>
              <w:t>5</w:t>
            </w:r>
            <w:r w:rsidR="005A72F0" w:rsidRPr="009E35ED">
              <w:rPr>
                <w:rFonts w:ascii="Arial Narrow" w:hAnsi="Arial Narrow" w:cs="Arial"/>
                <w:b/>
                <w:bCs/>
                <w:color w:val="000000" w:themeColor="text1"/>
                <w:sz w:val="20"/>
                <w:szCs w:val="20"/>
                <w:lang w:val="en-PH"/>
              </w:rPr>
              <w:t>8</w:t>
            </w:r>
            <w:r w:rsidR="006C24D8" w:rsidRPr="009E35ED">
              <w:rPr>
                <w:rFonts w:ascii="Arial Narrow" w:hAnsi="Arial Narrow" w:cs="Arial"/>
                <w:b/>
                <w:bCs/>
                <w:color w:val="000000" w:themeColor="text1"/>
                <w:sz w:val="20"/>
                <w:szCs w:val="20"/>
                <w:lang w:val="en-PH"/>
              </w:rPr>
              <w:t>%</w:t>
            </w:r>
          </w:p>
        </w:tc>
        <w:tc>
          <w:tcPr>
            <w:tcW w:w="1180" w:type="dxa"/>
            <w:tcBorders>
              <w:top w:val="nil"/>
              <w:left w:val="nil"/>
              <w:bottom w:val="nil"/>
              <w:right w:val="nil"/>
            </w:tcBorders>
            <w:shd w:val="clear" w:color="auto" w:fill="auto"/>
            <w:noWrap/>
            <w:hideMark/>
          </w:tcPr>
          <w:p w14:paraId="69B2489F" w14:textId="715B85CD" w:rsidR="006C24D8" w:rsidRPr="009E35ED" w:rsidRDefault="005E4F3F" w:rsidP="005A72F0">
            <w:pPr>
              <w:ind w:left="0"/>
              <w:jc w:val="right"/>
              <w:rPr>
                <w:rFonts w:ascii="Arial Narrow" w:hAnsi="Arial Narrow" w:cs="Arial"/>
                <w:b/>
                <w:bCs/>
                <w:color w:val="000000" w:themeColor="text1"/>
                <w:sz w:val="20"/>
                <w:szCs w:val="20"/>
                <w:lang w:val="en-PH"/>
              </w:rPr>
            </w:pPr>
            <w:r w:rsidRPr="009E35ED">
              <w:rPr>
                <w:rFonts w:ascii="Arial Narrow" w:hAnsi="Arial Narrow" w:cs="Arial"/>
                <w:b/>
                <w:bCs/>
                <w:color w:val="000000" w:themeColor="text1"/>
                <w:sz w:val="20"/>
                <w:szCs w:val="20"/>
                <w:lang w:val="en-PH"/>
              </w:rPr>
              <w:t>9.</w:t>
            </w:r>
            <w:r w:rsidR="004851A0" w:rsidRPr="009E35ED">
              <w:rPr>
                <w:rFonts w:ascii="Arial Narrow" w:hAnsi="Arial Narrow" w:cs="Arial"/>
                <w:b/>
                <w:bCs/>
                <w:color w:val="000000" w:themeColor="text1"/>
                <w:sz w:val="20"/>
                <w:szCs w:val="20"/>
                <w:lang w:val="en-PH"/>
              </w:rPr>
              <w:t xml:space="preserve"> 5</w:t>
            </w:r>
            <w:r w:rsidR="005A72F0" w:rsidRPr="009E35ED">
              <w:rPr>
                <w:rFonts w:ascii="Arial Narrow" w:hAnsi="Arial Narrow" w:cs="Arial"/>
                <w:b/>
                <w:bCs/>
                <w:color w:val="000000" w:themeColor="text1"/>
                <w:sz w:val="20"/>
                <w:szCs w:val="20"/>
                <w:lang w:val="en-PH"/>
              </w:rPr>
              <w:t>8</w:t>
            </w:r>
            <w:r w:rsidR="006C24D8" w:rsidRPr="009E35ED">
              <w:rPr>
                <w:rFonts w:ascii="Arial Narrow" w:hAnsi="Arial Narrow" w:cs="Arial"/>
                <w:b/>
                <w:bCs/>
                <w:color w:val="000000" w:themeColor="text1"/>
                <w:sz w:val="20"/>
                <w:szCs w:val="20"/>
                <w:lang w:val="en-PH"/>
              </w:rPr>
              <w:t>%</w:t>
            </w:r>
          </w:p>
        </w:tc>
        <w:tc>
          <w:tcPr>
            <w:tcW w:w="1180" w:type="dxa"/>
            <w:tcBorders>
              <w:top w:val="nil"/>
              <w:left w:val="nil"/>
              <w:bottom w:val="nil"/>
              <w:right w:val="nil"/>
            </w:tcBorders>
            <w:shd w:val="clear" w:color="auto" w:fill="auto"/>
            <w:noWrap/>
            <w:hideMark/>
          </w:tcPr>
          <w:p w14:paraId="7798FC1C" w14:textId="1E99ABA6" w:rsidR="006C24D8" w:rsidRPr="009E35ED" w:rsidRDefault="005E4F3F" w:rsidP="005A72F0">
            <w:pPr>
              <w:ind w:left="0"/>
              <w:jc w:val="right"/>
              <w:rPr>
                <w:rFonts w:ascii="Arial Narrow" w:hAnsi="Arial Narrow" w:cs="Arial"/>
                <w:b/>
                <w:bCs/>
                <w:color w:val="000000" w:themeColor="text1"/>
                <w:sz w:val="20"/>
                <w:szCs w:val="20"/>
                <w:lang w:val="en-PH"/>
              </w:rPr>
            </w:pPr>
            <w:r w:rsidRPr="009E35ED">
              <w:rPr>
                <w:rFonts w:ascii="Arial Narrow" w:hAnsi="Arial Narrow" w:cs="Arial"/>
                <w:b/>
                <w:bCs/>
                <w:color w:val="000000" w:themeColor="text1"/>
                <w:sz w:val="20"/>
                <w:szCs w:val="20"/>
                <w:lang w:val="en-PH"/>
              </w:rPr>
              <w:t>9.</w:t>
            </w:r>
            <w:r w:rsidR="004851A0" w:rsidRPr="009E35ED">
              <w:rPr>
                <w:rFonts w:ascii="Arial Narrow" w:hAnsi="Arial Narrow" w:cs="Arial"/>
                <w:b/>
                <w:bCs/>
                <w:color w:val="000000" w:themeColor="text1"/>
                <w:sz w:val="20"/>
                <w:szCs w:val="20"/>
                <w:lang w:val="en-PH"/>
              </w:rPr>
              <w:t xml:space="preserve"> 5</w:t>
            </w:r>
            <w:r w:rsidR="005A72F0" w:rsidRPr="009E35ED">
              <w:rPr>
                <w:rFonts w:ascii="Arial Narrow" w:hAnsi="Arial Narrow" w:cs="Arial"/>
                <w:b/>
                <w:bCs/>
                <w:color w:val="000000" w:themeColor="text1"/>
                <w:sz w:val="20"/>
                <w:szCs w:val="20"/>
                <w:lang w:val="en-PH"/>
              </w:rPr>
              <w:t>8</w:t>
            </w:r>
            <w:r w:rsidR="006C24D8" w:rsidRPr="009E35ED">
              <w:rPr>
                <w:rFonts w:ascii="Arial Narrow" w:hAnsi="Arial Narrow" w:cs="Arial"/>
                <w:b/>
                <w:bCs/>
                <w:color w:val="000000" w:themeColor="text1"/>
                <w:sz w:val="20"/>
                <w:szCs w:val="20"/>
                <w:lang w:val="en-PH"/>
              </w:rPr>
              <w:t>%</w:t>
            </w:r>
          </w:p>
        </w:tc>
        <w:tc>
          <w:tcPr>
            <w:tcW w:w="1233" w:type="dxa"/>
            <w:tcBorders>
              <w:top w:val="nil"/>
              <w:left w:val="nil"/>
              <w:bottom w:val="nil"/>
              <w:right w:val="nil"/>
            </w:tcBorders>
            <w:shd w:val="clear" w:color="auto" w:fill="auto"/>
            <w:noWrap/>
            <w:hideMark/>
          </w:tcPr>
          <w:p w14:paraId="430CC425" w14:textId="6071D764" w:rsidR="006C24D8" w:rsidRPr="009E35ED" w:rsidRDefault="005E4F3F" w:rsidP="005A72F0">
            <w:pPr>
              <w:ind w:left="0"/>
              <w:jc w:val="right"/>
              <w:rPr>
                <w:rFonts w:ascii="Arial Narrow" w:hAnsi="Arial Narrow" w:cs="Arial"/>
                <w:b/>
                <w:bCs/>
                <w:color w:val="000000" w:themeColor="text1"/>
                <w:sz w:val="20"/>
                <w:szCs w:val="20"/>
                <w:lang w:val="en-PH"/>
              </w:rPr>
            </w:pPr>
            <w:r w:rsidRPr="009E35ED">
              <w:rPr>
                <w:rFonts w:ascii="Arial Narrow" w:hAnsi="Arial Narrow" w:cs="Arial"/>
                <w:b/>
                <w:bCs/>
                <w:color w:val="000000" w:themeColor="text1"/>
                <w:sz w:val="20"/>
                <w:szCs w:val="20"/>
                <w:lang w:val="en-PH"/>
              </w:rPr>
              <w:t>9.</w:t>
            </w:r>
            <w:r w:rsidR="004851A0" w:rsidRPr="009E35ED">
              <w:rPr>
                <w:rFonts w:ascii="Arial Narrow" w:hAnsi="Arial Narrow" w:cs="Arial"/>
                <w:b/>
                <w:bCs/>
                <w:color w:val="000000" w:themeColor="text1"/>
                <w:sz w:val="20"/>
                <w:szCs w:val="20"/>
                <w:lang w:val="en-PH"/>
              </w:rPr>
              <w:t xml:space="preserve"> 5</w:t>
            </w:r>
            <w:r w:rsidR="005A72F0" w:rsidRPr="009E35ED">
              <w:rPr>
                <w:rFonts w:ascii="Arial Narrow" w:hAnsi="Arial Narrow" w:cs="Arial"/>
                <w:b/>
                <w:bCs/>
                <w:color w:val="000000" w:themeColor="text1"/>
                <w:sz w:val="20"/>
                <w:szCs w:val="20"/>
                <w:lang w:val="en-PH"/>
              </w:rPr>
              <w:t>8</w:t>
            </w:r>
            <w:r w:rsidR="006C24D8" w:rsidRPr="009E35ED">
              <w:rPr>
                <w:rFonts w:ascii="Arial Narrow" w:hAnsi="Arial Narrow" w:cs="Arial"/>
                <w:b/>
                <w:bCs/>
                <w:color w:val="000000" w:themeColor="text1"/>
                <w:sz w:val="20"/>
                <w:szCs w:val="20"/>
                <w:lang w:val="en-PH"/>
              </w:rPr>
              <w:t>%</w:t>
            </w:r>
          </w:p>
        </w:tc>
        <w:tc>
          <w:tcPr>
            <w:tcW w:w="1383" w:type="dxa"/>
            <w:tcBorders>
              <w:top w:val="nil"/>
              <w:left w:val="nil"/>
              <w:bottom w:val="nil"/>
              <w:right w:val="nil"/>
            </w:tcBorders>
            <w:shd w:val="clear" w:color="auto" w:fill="auto"/>
            <w:noWrap/>
            <w:hideMark/>
          </w:tcPr>
          <w:p w14:paraId="5BCD9096" w14:textId="24D739C1" w:rsidR="006C24D8" w:rsidRPr="009E35ED" w:rsidRDefault="005E4F3F" w:rsidP="00A046FD">
            <w:pPr>
              <w:ind w:left="0" w:right="-90"/>
              <w:jc w:val="right"/>
              <w:rPr>
                <w:rFonts w:ascii="Arial Narrow" w:hAnsi="Arial Narrow" w:cs="Arial"/>
                <w:b/>
                <w:bCs/>
                <w:color w:val="000000" w:themeColor="text1"/>
                <w:sz w:val="20"/>
                <w:szCs w:val="20"/>
                <w:lang w:val="en-PH"/>
              </w:rPr>
            </w:pPr>
            <w:r w:rsidRPr="009E35ED">
              <w:rPr>
                <w:rFonts w:ascii="Arial Narrow" w:hAnsi="Arial Narrow" w:cs="Arial"/>
                <w:b/>
                <w:bCs/>
                <w:color w:val="000000" w:themeColor="text1"/>
                <w:sz w:val="20"/>
                <w:szCs w:val="20"/>
                <w:lang w:val="en-PH"/>
              </w:rPr>
              <w:t>9.</w:t>
            </w:r>
            <w:r w:rsidR="004851A0" w:rsidRPr="009E35ED">
              <w:rPr>
                <w:rFonts w:ascii="Arial Narrow" w:hAnsi="Arial Narrow" w:cs="Arial"/>
                <w:b/>
                <w:bCs/>
                <w:color w:val="000000" w:themeColor="text1"/>
                <w:sz w:val="20"/>
                <w:szCs w:val="20"/>
                <w:lang w:val="en-PH"/>
              </w:rPr>
              <w:t xml:space="preserve"> 5</w:t>
            </w:r>
            <w:r w:rsidR="005A72F0" w:rsidRPr="009E35ED">
              <w:rPr>
                <w:rFonts w:ascii="Arial Narrow" w:hAnsi="Arial Narrow" w:cs="Arial"/>
                <w:b/>
                <w:bCs/>
                <w:color w:val="000000" w:themeColor="text1"/>
                <w:sz w:val="20"/>
                <w:szCs w:val="20"/>
                <w:lang w:val="en-PH"/>
              </w:rPr>
              <w:t>8</w:t>
            </w:r>
            <w:r w:rsidR="006C24D8" w:rsidRPr="009E35ED">
              <w:rPr>
                <w:rFonts w:ascii="Arial Narrow" w:hAnsi="Arial Narrow" w:cs="Arial"/>
                <w:b/>
                <w:bCs/>
                <w:color w:val="000000" w:themeColor="text1"/>
                <w:sz w:val="20"/>
                <w:szCs w:val="20"/>
                <w:lang w:val="en-PH"/>
              </w:rPr>
              <w:t>%</w:t>
            </w:r>
          </w:p>
        </w:tc>
      </w:tr>
      <w:tr w:rsidR="00997F75" w:rsidRPr="009E35ED" w14:paraId="5FEB4C5D" w14:textId="77777777" w:rsidTr="00A046FD">
        <w:trPr>
          <w:trHeight w:val="252"/>
        </w:trPr>
        <w:tc>
          <w:tcPr>
            <w:tcW w:w="2542" w:type="dxa"/>
            <w:tcBorders>
              <w:top w:val="nil"/>
              <w:left w:val="nil"/>
              <w:bottom w:val="nil"/>
              <w:right w:val="nil"/>
            </w:tcBorders>
            <w:shd w:val="clear" w:color="auto" w:fill="auto"/>
            <w:noWrap/>
            <w:hideMark/>
          </w:tcPr>
          <w:p w14:paraId="013C1318" w14:textId="77777777" w:rsidR="006C24D8" w:rsidRPr="009E35ED" w:rsidRDefault="006C24D8" w:rsidP="005E4F3F">
            <w:pPr>
              <w:ind w:left="0" w:hanging="90"/>
              <w:jc w:val="lef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Jackpot Prize Pool</w:t>
            </w:r>
          </w:p>
        </w:tc>
        <w:tc>
          <w:tcPr>
            <w:tcW w:w="1122" w:type="dxa"/>
            <w:tcBorders>
              <w:top w:val="nil"/>
              <w:left w:val="nil"/>
              <w:bottom w:val="nil"/>
              <w:right w:val="nil"/>
            </w:tcBorders>
            <w:shd w:val="clear" w:color="auto" w:fill="auto"/>
            <w:noWrap/>
            <w:hideMark/>
          </w:tcPr>
          <w:p w14:paraId="78B5228F" w14:textId="77777777" w:rsidR="006C24D8" w:rsidRPr="009E35ED" w:rsidRDefault="006C24D8" w:rsidP="005E4F3F">
            <w:pPr>
              <w:ind w:left="0"/>
              <w:jc w:val="righ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22.00%</w:t>
            </w:r>
          </w:p>
        </w:tc>
        <w:tc>
          <w:tcPr>
            <w:tcW w:w="1180" w:type="dxa"/>
            <w:tcBorders>
              <w:top w:val="nil"/>
              <w:left w:val="nil"/>
              <w:bottom w:val="nil"/>
              <w:right w:val="nil"/>
            </w:tcBorders>
            <w:shd w:val="clear" w:color="auto" w:fill="auto"/>
            <w:noWrap/>
            <w:hideMark/>
          </w:tcPr>
          <w:p w14:paraId="57FBB38C" w14:textId="77777777" w:rsidR="006C24D8" w:rsidRPr="009E35ED" w:rsidRDefault="006C24D8" w:rsidP="005E4F3F">
            <w:pPr>
              <w:ind w:left="0"/>
              <w:jc w:val="righ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22.00%</w:t>
            </w:r>
          </w:p>
        </w:tc>
        <w:tc>
          <w:tcPr>
            <w:tcW w:w="1180" w:type="dxa"/>
            <w:tcBorders>
              <w:top w:val="nil"/>
              <w:left w:val="nil"/>
              <w:bottom w:val="nil"/>
              <w:right w:val="nil"/>
            </w:tcBorders>
            <w:shd w:val="clear" w:color="auto" w:fill="auto"/>
            <w:noWrap/>
            <w:hideMark/>
          </w:tcPr>
          <w:p w14:paraId="6E23E0F1" w14:textId="77777777" w:rsidR="006C24D8" w:rsidRPr="009E35ED" w:rsidRDefault="006C24D8" w:rsidP="005E4F3F">
            <w:pPr>
              <w:ind w:left="0"/>
              <w:jc w:val="righ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22.00%</w:t>
            </w:r>
          </w:p>
        </w:tc>
        <w:tc>
          <w:tcPr>
            <w:tcW w:w="1233" w:type="dxa"/>
            <w:tcBorders>
              <w:top w:val="nil"/>
              <w:left w:val="nil"/>
              <w:bottom w:val="nil"/>
              <w:right w:val="nil"/>
            </w:tcBorders>
            <w:shd w:val="clear" w:color="auto" w:fill="auto"/>
            <w:noWrap/>
            <w:hideMark/>
          </w:tcPr>
          <w:p w14:paraId="71796AA5" w14:textId="77777777" w:rsidR="006C24D8" w:rsidRPr="009E35ED" w:rsidRDefault="006C24D8" w:rsidP="005E4F3F">
            <w:pPr>
              <w:ind w:left="0"/>
              <w:jc w:val="righ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22.00%</w:t>
            </w:r>
          </w:p>
        </w:tc>
        <w:tc>
          <w:tcPr>
            <w:tcW w:w="1383" w:type="dxa"/>
            <w:tcBorders>
              <w:top w:val="nil"/>
              <w:left w:val="nil"/>
              <w:bottom w:val="nil"/>
              <w:right w:val="nil"/>
            </w:tcBorders>
            <w:shd w:val="clear" w:color="auto" w:fill="auto"/>
            <w:noWrap/>
            <w:hideMark/>
          </w:tcPr>
          <w:p w14:paraId="59FD27C3" w14:textId="77777777" w:rsidR="006C24D8" w:rsidRPr="009E35ED" w:rsidRDefault="006C24D8" w:rsidP="00A046FD">
            <w:pPr>
              <w:ind w:left="0" w:right="-90"/>
              <w:jc w:val="righ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22.00%</w:t>
            </w:r>
          </w:p>
        </w:tc>
      </w:tr>
      <w:tr w:rsidR="00997F75" w:rsidRPr="009E35ED" w14:paraId="00B7700C" w14:textId="77777777" w:rsidTr="00A046FD">
        <w:trPr>
          <w:trHeight w:val="252"/>
        </w:trPr>
        <w:tc>
          <w:tcPr>
            <w:tcW w:w="2542" w:type="dxa"/>
            <w:tcBorders>
              <w:top w:val="nil"/>
              <w:left w:val="nil"/>
              <w:bottom w:val="nil"/>
              <w:right w:val="nil"/>
            </w:tcBorders>
            <w:shd w:val="clear" w:color="auto" w:fill="auto"/>
            <w:noWrap/>
            <w:hideMark/>
          </w:tcPr>
          <w:p w14:paraId="60DD7489" w14:textId="77777777" w:rsidR="006C24D8" w:rsidRPr="009E35ED" w:rsidRDefault="006C24D8" w:rsidP="005E4F3F">
            <w:pPr>
              <w:ind w:left="0" w:hanging="90"/>
              <w:jc w:val="lef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Lower Prizes</w:t>
            </w:r>
          </w:p>
        </w:tc>
        <w:tc>
          <w:tcPr>
            <w:tcW w:w="1122" w:type="dxa"/>
            <w:tcBorders>
              <w:top w:val="nil"/>
              <w:left w:val="nil"/>
              <w:bottom w:val="nil"/>
              <w:right w:val="nil"/>
            </w:tcBorders>
            <w:shd w:val="clear" w:color="auto" w:fill="auto"/>
            <w:noWrap/>
            <w:hideMark/>
          </w:tcPr>
          <w:p w14:paraId="2ACC8310" w14:textId="77777777" w:rsidR="006C24D8" w:rsidRPr="009E35ED" w:rsidRDefault="006C24D8" w:rsidP="005E4F3F">
            <w:pPr>
              <w:ind w:left="0"/>
              <w:jc w:val="righ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12.00%</w:t>
            </w:r>
          </w:p>
        </w:tc>
        <w:tc>
          <w:tcPr>
            <w:tcW w:w="1180" w:type="dxa"/>
            <w:tcBorders>
              <w:top w:val="nil"/>
              <w:left w:val="nil"/>
              <w:bottom w:val="nil"/>
              <w:right w:val="nil"/>
            </w:tcBorders>
            <w:shd w:val="clear" w:color="auto" w:fill="auto"/>
            <w:noWrap/>
            <w:hideMark/>
          </w:tcPr>
          <w:p w14:paraId="02CCC7BF" w14:textId="77777777" w:rsidR="006C24D8" w:rsidRPr="009E35ED" w:rsidRDefault="006C24D8" w:rsidP="005E4F3F">
            <w:pPr>
              <w:ind w:left="0"/>
              <w:jc w:val="righ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12.00%</w:t>
            </w:r>
          </w:p>
        </w:tc>
        <w:tc>
          <w:tcPr>
            <w:tcW w:w="1180" w:type="dxa"/>
            <w:tcBorders>
              <w:top w:val="nil"/>
              <w:left w:val="nil"/>
              <w:bottom w:val="nil"/>
              <w:right w:val="nil"/>
            </w:tcBorders>
            <w:shd w:val="clear" w:color="auto" w:fill="auto"/>
            <w:noWrap/>
            <w:hideMark/>
          </w:tcPr>
          <w:p w14:paraId="05179014" w14:textId="77777777" w:rsidR="006C24D8" w:rsidRPr="009E35ED" w:rsidRDefault="006C24D8" w:rsidP="005E4F3F">
            <w:pPr>
              <w:ind w:left="0"/>
              <w:jc w:val="righ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12.00%</w:t>
            </w:r>
          </w:p>
        </w:tc>
        <w:tc>
          <w:tcPr>
            <w:tcW w:w="1233" w:type="dxa"/>
            <w:tcBorders>
              <w:top w:val="nil"/>
              <w:left w:val="nil"/>
              <w:bottom w:val="nil"/>
              <w:right w:val="nil"/>
            </w:tcBorders>
            <w:shd w:val="clear" w:color="auto" w:fill="auto"/>
            <w:noWrap/>
            <w:hideMark/>
          </w:tcPr>
          <w:p w14:paraId="73FF10C1" w14:textId="77777777" w:rsidR="006C24D8" w:rsidRPr="009E35ED" w:rsidRDefault="006C24D8" w:rsidP="005E4F3F">
            <w:pPr>
              <w:ind w:left="0"/>
              <w:jc w:val="righ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12.00%</w:t>
            </w:r>
          </w:p>
        </w:tc>
        <w:tc>
          <w:tcPr>
            <w:tcW w:w="1383" w:type="dxa"/>
            <w:tcBorders>
              <w:top w:val="nil"/>
              <w:left w:val="nil"/>
              <w:bottom w:val="nil"/>
              <w:right w:val="nil"/>
            </w:tcBorders>
            <w:shd w:val="clear" w:color="auto" w:fill="auto"/>
            <w:noWrap/>
            <w:hideMark/>
          </w:tcPr>
          <w:p w14:paraId="1B32A382" w14:textId="77777777" w:rsidR="006C24D8" w:rsidRPr="009E35ED" w:rsidRDefault="006C24D8" w:rsidP="00A046FD">
            <w:pPr>
              <w:ind w:left="0" w:right="-90"/>
              <w:jc w:val="righ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12.00%</w:t>
            </w:r>
          </w:p>
        </w:tc>
      </w:tr>
      <w:tr w:rsidR="00997F75" w:rsidRPr="009E35ED" w14:paraId="1F426BB4" w14:textId="77777777" w:rsidTr="00A046FD">
        <w:trPr>
          <w:trHeight w:val="180"/>
        </w:trPr>
        <w:tc>
          <w:tcPr>
            <w:tcW w:w="2542" w:type="dxa"/>
            <w:tcBorders>
              <w:top w:val="nil"/>
              <w:left w:val="nil"/>
              <w:bottom w:val="nil"/>
              <w:right w:val="nil"/>
            </w:tcBorders>
            <w:shd w:val="clear" w:color="auto" w:fill="auto"/>
            <w:noWrap/>
            <w:hideMark/>
          </w:tcPr>
          <w:p w14:paraId="18522A38" w14:textId="77777777" w:rsidR="006C24D8" w:rsidRPr="009E35ED" w:rsidRDefault="006C24D8" w:rsidP="005E4F3F">
            <w:pPr>
              <w:ind w:left="0" w:hanging="90"/>
              <w:jc w:val="lef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 xml:space="preserve">     2nd Prize with Capping</w:t>
            </w:r>
          </w:p>
        </w:tc>
        <w:tc>
          <w:tcPr>
            <w:tcW w:w="1122" w:type="dxa"/>
            <w:tcBorders>
              <w:top w:val="nil"/>
              <w:left w:val="nil"/>
              <w:bottom w:val="nil"/>
              <w:right w:val="nil"/>
            </w:tcBorders>
            <w:shd w:val="clear" w:color="auto" w:fill="auto"/>
            <w:noWrap/>
          </w:tcPr>
          <w:p w14:paraId="232A601E" w14:textId="77777777" w:rsidR="006C24D8" w:rsidRPr="009E35ED" w:rsidRDefault="006C24D8" w:rsidP="005E4F3F">
            <w:pPr>
              <w:ind w:left="0"/>
              <w:rPr>
                <w:rFonts w:ascii="Arial Narrow" w:hAnsi="Arial Narrow" w:cs="Arial"/>
                <w:color w:val="000000" w:themeColor="text1"/>
                <w:sz w:val="20"/>
                <w:szCs w:val="20"/>
                <w:lang w:val="en-PH"/>
              </w:rPr>
            </w:pPr>
            <w:r w:rsidRPr="009E35ED">
              <w:rPr>
                <w:rFonts w:ascii="Arial" w:hAnsi="Arial" w:cs="Arial"/>
                <w:color w:val="000000" w:themeColor="text1"/>
                <w:sz w:val="20"/>
                <w:szCs w:val="20"/>
                <w:lang w:val="en-PH"/>
              </w:rPr>
              <w:t xml:space="preserve">P </w:t>
            </w:r>
            <w:r w:rsidRPr="009E35ED">
              <w:rPr>
                <w:rFonts w:ascii="Arial Narrow" w:hAnsi="Arial Narrow" w:cs="Arial"/>
                <w:color w:val="000000" w:themeColor="text1"/>
                <w:sz w:val="20"/>
                <w:szCs w:val="20"/>
                <w:lang w:val="en-PH"/>
              </w:rPr>
              <w:t xml:space="preserve">50,000.00 </w:t>
            </w:r>
          </w:p>
        </w:tc>
        <w:tc>
          <w:tcPr>
            <w:tcW w:w="1180" w:type="dxa"/>
            <w:tcBorders>
              <w:top w:val="nil"/>
              <w:left w:val="nil"/>
              <w:bottom w:val="nil"/>
              <w:right w:val="nil"/>
            </w:tcBorders>
            <w:shd w:val="clear" w:color="auto" w:fill="auto"/>
            <w:noWrap/>
          </w:tcPr>
          <w:p w14:paraId="2BB61F9A" w14:textId="77777777" w:rsidR="006C24D8" w:rsidRPr="009E35ED" w:rsidRDefault="006C24D8" w:rsidP="005E4F3F">
            <w:pPr>
              <w:ind w:left="0"/>
              <w:jc w:val="right"/>
              <w:rPr>
                <w:rFonts w:ascii="Arial Narrow" w:hAnsi="Arial Narrow" w:cs="Arial"/>
                <w:color w:val="000000" w:themeColor="text1"/>
                <w:sz w:val="20"/>
                <w:szCs w:val="20"/>
                <w:lang w:val="en-PH"/>
              </w:rPr>
            </w:pPr>
            <w:r w:rsidRPr="009E35ED">
              <w:rPr>
                <w:rFonts w:ascii="Arial" w:hAnsi="Arial" w:cs="Arial"/>
                <w:color w:val="000000" w:themeColor="text1"/>
                <w:sz w:val="20"/>
                <w:szCs w:val="20"/>
                <w:lang w:val="en-PH"/>
              </w:rPr>
              <w:t xml:space="preserve">P </w:t>
            </w:r>
            <w:r w:rsidRPr="009E35ED">
              <w:rPr>
                <w:rFonts w:ascii="Arial Narrow" w:hAnsi="Arial Narrow" w:cs="Arial"/>
                <w:color w:val="000000" w:themeColor="text1"/>
                <w:sz w:val="20"/>
                <w:szCs w:val="20"/>
                <w:lang w:val="en-PH"/>
              </w:rPr>
              <w:t xml:space="preserve">32,000.00 </w:t>
            </w:r>
          </w:p>
        </w:tc>
        <w:tc>
          <w:tcPr>
            <w:tcW w:w="1180" w:type="dxa"/>
            <w:tcBorders>
              <w:top w:val="nil"/>
              <w:left w:val="nil"/>
              <w:bottom w:val="nil"/>
              <w:right w:val="nil"/>
            </w:tcBorders>
            <w:shd w:val="clear" w:color="auto" w:fill="auto"/>
            <w:noWrap/>
          </w:tcPr>
          <w:p w14:paraId="04E717BA" w14:textId="77777777" w:rsidR="006C24D8" w:rsidRPr="009E35ED" w:rsidRDefault="006C24D8" w:rsidP="005E4F3F">
            <w:pPr>
              <w:ind w:left="0"/>
              <w:jc w:val="right"/>
              <w:rPr>
                <w:rFonts w:ascii="Arial Narrow" w:hAnsi="Arial Narrow" w:cs="Arial"/>
                <w:color w:val="000000" w:themeColor="text1"/>
                <w:sz w:val="20"/>
                <w:szCs w:val="20"/>
                <w:lang w:val="en-PH"/>
              </w:rPr>
            </w:pPr>
            <w:r w:rsidRPr="009E35ED">
              <w:rPr>
                <w:rFonts w:ascii="Arial" w:hAnsi="Arial" w:cs="Arial"/>
                <w:color w:val="000000" w:themeColor="text1"/>
                <w:sz w:val="20"/>
                <w:szCs w:val="20"/>
                <w:lang w:val="en-PH"/>
              </w:rPr>
              <w:t xml:space="preserve">P </w:t>
            </w:r>
            <w:r w:rsidRPr="009E35ED">
              <w:rPr>
                <w:rFonts w:ascii="Arial Narrow" w:hAnsi="Arial Narrow" w:cs="Arial"/>
                <w:color w:val="000000" w:themeColor="text1"/>
                <w:sz w:val="20"/>
                <w:szCs w:val="20"/>
                <w:lang w:val="en-PH"/>
              </w:rPr>
              <w:t xml:space="preserve">24,000.00 </w:t>
            </w:r>
          </w:p>
        </w:tc>
        <w:tc>
          <w:tcPr>
            <w:tcW w:w="1233" w:type="dxa"/>
            <w:tcBorders>
              <w:top w:val="nil"/>
              <w:left w:val="nil"/>
              <w:bottom w:val="nil"/>
              <w:right w:val="nil"/>
            </w:tcBorders>
            <w:shd w:val="clear" w:color="auto" w:fill="auto"/>
            <w:noWrap/>
          </w:tcPr>
          <w:p w14:paraId="3085DBF4" w14:textId="77777777" w:rsidR="006C24D8" w:rsidRPr="009E35ED" w:rsidRDefault="006C24D8" w:rsidP="005E4F3F">
            <w:pPr>
              <w:ind w:left="0"/>
              <w:jc w:val="right"/>
              <w:rPr>
                <w:rFonts w:ascii="Arial Narrow" w:hAnsi="Arial Narrow" w:cs="Arial"/>
                <w:color w:val="000000" w:themeColor="text1"/>
                <w:sz w:val="20"/>
                <w:szCs w:val="20"/>
                <w:lang w:val="en-PH"/>
              </w:rPr>
            </w:pPr>
            <w:r w:rsidRPr="009E35ED">
              <w:rPr>
                <w:rFonts w:ascii="Arial" w:hAnsi="Arial" w:cs="Arial"/>
                <w:color w:val="000000" w:themeColor="text1"/>
                <w:sz w:val="20"/>
                <w:szCs w:val="20"/>
                <w:lang w:val="en-PH"/>
              </w:rPr>
              <w:t xml:space="preserve">P </w:t>
            </w:r>
            <w:r w:rsidRPr="009E35ED">
              <w:rPr>
                <w:rFonts w:ascii="Arial Narrow" w:hAnsi="Arial Narrow" w:cs="Arial"/>
                <w:color w:val="000000" w:themeColor="text1"/>
                <w:sz w:val="20"/>
                <w:szCs w:val="20"/>
                <w:lang w:val="en-PH"/>
              </w:rPr>
              <w:t xml:space="preserve">100,000.00 </w:t>
            </w:r>
          </w:p>
        </w:tc>
        <w:tc>
          <w:tcPr>
            <w:tcW w:w="1383" w:type="dxa"/>
            <w:tcBorders>
              <w:top w:val="nil"/>
              <w:left w:val="nil"/>
              <w:bottom w:val="nil"/>
              <w:right w:val="nil"/>
            </w:tcBorders>
            <w:shd w:val="clear" w:color="auto" w:fill="auto"/>
            <w:noWrap/>
          </w:tcPr>
          <w:p w14:paraId="1A53E344" w14:textId="77777777" w:rsidR="006C24D8" w:rsidRPr="009E35ED" w:rsidRDefault="006C24D8" w:rsidP="00A046FD">
            <w:pPr>
              <w:ind w:left="0" w:right="-90"/>
              <w:jc w:val="right"/>
              <w:rPr>
                <w:rFonts w:ascii="Arial Narrow" w:hAnsi="Arial Narrow" w:cs="Arial"/>
                <w:color w:val="000000" w:themeColor="text1"/>
                <w:sz w:val="20"/>
                <w:szCs w:val="20"/>
                <w:lang w:val="en-PH"/>
              </w:rPr>
            </w:pPr>
            <w:r w:rsidRPr="009E35ED">
              <w:rPr>
                <w:rFonts w:ascii="Arial" w:hAnsi="Arial" w:cs="Arial"/>
                <w:color w:val="000000" w:themeColor="text1"/>
                <w:sz w:val="20"/>
                <w:szCs w:val="20"/>
                <w:lang w:val="en-PH"/>
              </w:rPr>
              <w:t xml:space="preserve">P </w:t>
            </w:r>
            <w:r w:rsidRPr="009E35ED">
              <w:rPr>
                <w:rFonts w:ascii="Arial Narrow" w:hAnsi="Arial Narrow" w:cs="Arial"/>
                <w:color w:val="000000" w:themeColor="text1"/>
                <w:sz w:val="20"/>
                <w:szCs w:val="20"/>
                <w:lang w:val="en-PH"/>
              </w:rPr>
              <w:t xml:space="preserve">120,000.00 </w:t>
            </w:r>
          </w:p>
        </w:tc>
      </w:tr>
      <w:tr w:rsidR="00997F75" w:rsidRPr="009E35ED" w14:paraId="3D34E00A" w14:textId="77777777" w:rsidTr="00A046FD">
        <w:trPr>
          <w:trHeight w:val="126"/>
        </w:trPr>
        <w:tc>
          <w:tcPr>
            <w:tcW w:w="2542" w:type="dxa"/>
            <w:tcBorders>
              <w:top w:val="nil"/>
              <w:left w:val="nil"/>
              <w:bottom w:val="nil"/>
              <w:right w:val="nil"/>
            </w:tcBorders>
            <w:shd w:val="clear" w:color="auto" w:fill="auto"/>
            <w:noWrap/>
            <w:hideMark/>
          </w:tcPr>
          <w:p w14:paraId="522A98DE" w14:textId="77777777" w:rsidR="006C24D8" w:rsidRPr="009E35ED" w:rsidRDefault="006C24D8" w:rsidP="005E4F3F">
            <w:pPr>
              <w:ind w:left="0" w:hanging="90"/>
              <w:jc w:val="left"/>
              <w:rPr>
                <w:rFonts w:ascii="Arial Narrow" w:hAnsi="Arial Narrow" w:cs="Arial"/>
                <w:color w:val="000000" w:themeColor="text1"/>
                <w:sz w:val="20"/>
                <w:szCs w:val="20"/>
                <w:lang w:val="en-PH"/>
              </w:rPr>
            </w:pPr>
          </w:p>
        </w:tc>
        <w:tc>
          <w:tcPr>
            <w:tcW w:w="1122" w:type="dxa"/>
            <w:tcBorders>
              <w:top w:val="nil"/>
              <w:left w:val="nil"/>
              <w:bottom w:val="nil"/>
              <w:right w:val="nil"/>
            </w:tcBorders>
            <w:shd w:val="clear" w:color="auto" w:fill="auto"/>
            <w:noWrap/>
          </w:tcPr>
          <w:p w14:paraId="47374EE2" w14:textId="77777777" w:rsidR="006C24D8" w:rsidRPr="009E35ED" w:rsidRDefault="006C24D8" w:rsidP="005E4F3F">
            <w:pPr>
              <w:ind w:left="0"/>
              <w:jc w:val="right"/>
              <w:rPr>
                <w:rFonts w:ascii="Arial Narrow" w:hAnsi="Arial Narrow" w:cs="Arial"/>
                <w:color w:val="000000" w:themeColor="text1"/>
                <w:sz w:val="20"/>
                <w:szCs w:val="20"/>
                <w:lang w:val="en-PH"/>
              </w:rPr>
            </w:pPr>
          </w:p>
        </w:tc>
        <w:tc>
          <w:tcPr>
            <w:tcW w:w="1180" w:type="dxa"/>
            <w:tcBorders>
              <w:top w:val="nil"/>
              <w:left w:val="nil"/>
              <w:bottom w:val="nil"/>
              <w:right w:val="nil"/>
            </w:tcBorders>
            <w:shd w:val="clear" w:color="auto" w:fill="auto"/>
            <w:noWrap/>
          </w:tcPr>
          <w:p w14:paraId="2FDA082C" w14:textId="77777777" w:rsidR="006C24D8" w:rsidRPr="009E35ED" w:rsidRDefault="006C24D8" w:rsidP="005E4F3F">
            <w:pPr>
              <w:ind w:left="0"/>
              <w:jc w:val="right"/>
              <w:rPr>
                <w:rFonts w:ascii="Arial Narrow" w:hAnsi="Arial Narrow" w:cs="Arial"/>
                <w:color w:val="000000" w:themeColor="text1"/>
                <w:sz w:val="20"/>
                <w:szCs w:val="20"/>
                <w:lang w:val="en-PH"/>
              </w:rPr>
            </w:pPr>
          </w:p>
        </w:tc>
        <w:tc>
          <w:tcPr>
            <w:tcW w:w="1180" w:type="dxa"/>
            <w:tcBorders>
              <w:top w:val="nil"/>
              <w:left w:val="nil"/>
              <w:bottom w:val="nil"/>
              <w:right w:val="nil"/>
            </w:tcBorders>
            <w:shd w:val="clear" w:color="auto" w:fill="auto"/>
            <w:noWrap/>
          </w:tcPr>
          <w:p w14:paraId="5A78522E" w14:textId="77777777" w:rsidR="006C24D8" w:rsidRPr="009E35ED" w:rsidRDefault="006C24D8" w:rsidP="005E4F3F">
            <w:pPr>
              <w:ind w:left="0"/>
              <w:jc w:val="right"/>
              <w:rPr>
                <w:rFonts w:ascii="Arial Narrow" w:hAnsi="Arial Narrow" w:cs="Arial"/>
                <w:color w:val="000000" w:themeColor="text1"/>
                <w:sz w:val="20"/>
                <w:szCs w:val="20"/>
                <w:lang w:val="en-PH"/>
              </w:rPr>
            </w:pPr>
          </w:p>
        </w:tc>
        <w:tc>
          <w:tcPr>
            <w:tcW w:w="1233" w:type="dxa"/>
            <w:tcBorders>
              <w:top w:val="nil"/>
              <w:left w:val="nil"/>
              <w:bottom w:val="nil"/>
              <w:right w:val="nil"/>
            </w:tcBorders>
            <w:shd w:val="clear" w:color="auto" w:fill="auto"/>
            <w:noWrap/>
          </w:tcPr>
          <w:p w14:paraId="54F59284" w14:textId="77777777" w:rsidR="006C24D8" w:rsidRPr="009E35ED" w:rsidRDefault="006C24D8" w:rsidP="005E4F3F">
            <w:pPr>
              <w:ind w:left="0"/>
              <w:jc w:val="right"/>
              <w:rPr>
                <w:rFonts w:ascii="Arial Narrow" w:hAnsi="Arial Narrow" w:cs="Arial"/>
                <w:color w:val="000000" w:themeColor="text1"/>
                <w:sz w:val="20"/>
                <w:szCs w:val="20"/>
                <w:lang w:val="en-PH"/>
              </w:rPr>
            </w:pPr>
          </w:p>
        </w:tc>
        <w:tc>
          <w:tcPr>
            <w:tcW w:w="1383" w:type="dxa"/>
            <w:tcBorders>
              <w:top w:val="nil"/>
              <w:left w:val="nil"/>
              <w:bottom w:val="nil"/>
              <w:right w:val="nil"/>
            </w:tcBorders>
            <w:shd w:val="clear" w:color="auto" w:fill="auto"/>
            <w:noWrap/>
          </w:tcPr>
          <w:p w14:paraId="6C02A9B1" w14:textId="77777777" w:rsidR="006C24D8" w:rsidRPr="009E35ED" w:rsidRDefault="006C24D8" w:rsidP="00A046FD">
            <w:pPr>
              <w:ind w:left="0" w:right="-90"/>
              <w:jc w:val="right"/>
              <w:rPr>
                <w:rFonts w:ascii="Arial Narrow" w:hAnsi="Arial Narrow" w:cs="Arial"/>
                <w:color w:val="000000" w:themeColor="text1"/>
                <w:sz w:val="20"/>
                <w:szCs w:val="20"/>
                <w:lang w:val="en-PH"/>
              </w:rPr>
            </w:pPr>
          </w:p>
        </w:tc>
      </w:tr>
      <w:tr w:rsidR="00997F75" w:rsidRPr="009E35ED" w14:paraId="373F7536" w14:textId="77777777" w:rsidTr="00A046FD">
        <w:trPr>
          <w:trHeight w:val="171"/>
        </w:trPr>
        <w:tc>
          <w:tcPr>
            <w:tcW w:w="2542" w:type="dxa"/>
            <w:tcBorders>
              <w:top w:val="nil"/>
              <w:left w:val="nil"/>
              <w:bottom w:val="nil"/>
              <w:right w:val="nil"/>
            </w:tcBorders>
            <w:shd w:val="clear" w:color="auto" w:fill="auto"/>
            <w:noWrap/>
            <w:hideMark/>
          </w:tcPr>
          <w:p w14:paraId="3083B979" w14:textId="77777777" w:rsidR="006C24D8" w:rsidRPr="009E35ED" w:rsidRDefault="006C24D8" w:rsidP="005E4F3F">
            <w:pPr>
              <w:ind w:left="0" w:hanging="90"/>
              <w:jc w:val="lef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 xml:space="preserve">     3rd Prize with Capping</w:t>
            </w:r>
          </w:p>
        </w:tc>
        <w:tc>
          <w:tcPr>
            <w:tcW w:w="1122" w:type="dxa"/>
            <w:tcBorders>
              <w:top w:val="nil"/>
              <w:left w:val="nil"/>
              <w:bottom w:val="nil"/>
              <w:right w:val="nil"/>
            </w:tcBorders>
            <w:shd w:val="clear" w:color="auto" w:fill="auto"/>
            <w:noWrap/>
          </w:tcPr>
          <w:p w14:paraId="486F28A1" w14:textId="77777777" w:rsidR="006C24D8" w:rsidRPr="009E35ED" w:rsidRDefault="006C24D8" w:rsidP="005E4F3F">
            <w:pPr>
              <w:ind w:left="0"/>
              <w:jc w:val="right"/>
              <w:rPr>
                <w:rFonts w:ascii="Arial Narrow" w:hAnsi="Arial Narrow" w:cs="Arial"/>
                <w:color w:val="000000" w:themeColor="text1"/>
                <w:sz w:val="20"/>
                <w:szCs w:val="20"/>
                <w:lang w:val="en-PH"/>
              </w:rPr>
            </w:pPr>
            <w:r w:rsidRPr="009E35ED">
              <w:rPr>
                <w:rFonts w:ascii="Arial" w:hAnsi="Arial" w:cs="Arial"/>
                <w:color w:val="000000" w:themeColor="text1"/>
                <w:sz w:val="20"/>
                <w:szCs w:val="20"/>
                <w:lang w:val="en-PH"/>
              </w:rPr>
              <w:t xml:space="preserve">P  </w:t>
            </w:r>
            <w:r w:rsidRPr="009E35ED">
              <w:rPr>
                <w:rFonts w:ascii="Arial Narrow" w:hAnsi="Arial Narrow" w:cs="Arial"/>
                <w:color w:val="000000" w:themeColor="text1"/>
                <w:sz w:val="20"/>
                <w:szCs w:val="20"/>
                <w:lang w:val="en-PH"/>
              </w:rPr>
              <w:t xml:space="preserve">1,200.00 </w:t>
            </w:r>
          </w:p>
        </w:tc>
        <w:tc>
          <w:tcPr>
            <w:tcW w:w="1180" w:type="dxa"/>
            <w:tcBorders>
              <w:top w:val="nil"/>
              <w:left w:val="nil"/>
              <w:bottom w:val="nil"/>
              <w:right w:val="nil"/>
            </w:tcBorders>
            <w:shd w:val="clear" w:color="auto" w:fill="auto"/>
            <w:noWrap/>
          </w:tcPr>
          <w:p w14:paraId="6B7681E0" w14:textId="77777777" w:rsidR="006C24D8" w:rsidRPr="009E35ED" w:rsidRDefault="006C24D8" w:rsidP="005E4F3F">
            <w:pPr>
              <w:ind w:left="0"/>
              <w:jc w:val="righ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 xml:space="preserve"> </w:t>
            </w:r>
            <w:r w:rsidRPr="009E35ED">
              <w:rPr>
                <w:rFonts w:ascii="Arial" w:hAnsi="Arial" w:cs="Arial"/>
                <w:color w:val="000000" w:themeColor="text1"/>
                <w:sz w:val="20"/>
                <w:szCs w:val="20"/>
                <w:lang w:val="en-PH"/>
              </w:rPr>
              <w:t xml:space="preserve">P  </w:t>
            </w:r>
            <w:r w:rsidRPr="009E35ED">
              <w:rPr>
                <w:rFonts w:ascii="Arial Narrow" w:hAnsi="Arial Narrow" w:cs="Arial"/>
                <w:color w:val="000000" w:themeColor="text1"/>
                <w:sz w:val="20"/>
                <w:szCs w:val="20"/>
                <w:lang w:val="en-PH"/>
              </w:rPr>
              <w:t xml:space="preserve">1,000.00 </w:t>
            </w:r>
          </w:p>
        </w:tc>
        <w:tc>
          <w:tcPr>
            <w:tcW w:w="1180" w:type="dxa"/>
            <w:tcBorders>
              <w:top w:val="nil"/>
              <w:left w:val="nil"/>
              <w:bottom w:val="nil"/>
              <w:right w:val="nil"/>
            </w:tcBorders>
            <w:shd w:val="clear" w:color="auto" w:fill="auto"/>
            <w:noWrap/>
          </w:tcPr>
          <w:p w14:paraId="3C6162F7" w14:textId="77777777" w:rsidR="006C24D8" w:rsidRPr="009E35ED" w:rsidRDefault="006C24D8" w:rsidP="005E4F3F">
            <w:pPr>
              <w:ind w:left="0"/>
              <w:jc w:val="righ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 xml:space="preserve"> </w:t>
            </w:r>
            <w:r w:rsidRPr="009E35ED">
              <w:rPr>
                <w:rFonts w:ascii="Arial" w:hAnsi="Arial" w:cs="Arial"/>
                <w:color w:val="000000" w:themeColor="text1"/>
                <w:sz w:val="20"/>
                <w:szCs w:val="20"/>
                <w:lang w:val="en-PH"/>
              </w:rPr>
              <w:t xml:space="preserve">P  </w:t>
            </w:r>
            <w:r w:rsidRPr="009E35ED">
              <w:rPr>
                <w:rFonts w:ascii="Arial Narrow" w:hAnsi="Arial Narrow" w:cs="Arial"/>
                <w:color w:val="000000" w:themeColor="text1"/>
                <w:sz w:val="20"/>
                <w:szCs w:val="20"/>
                <w:lang w:val="en-PH"/>
              </w:rPr>
              <w:t xml:space="preserve">800.00 </w:t>
            </w:r>
          </w:p>
        </w:tc>
        <w:tc>
          <w:tcPr>
            <w:tcW w:w="1233" w:type="dxa"/>
            <w:tcBorders>
              <w:top w:val="nil"/>
              <w:left w:val="nil"/>
              <w:bottom w:val="nil"/>
              <w:right w:val="nil"/>
            </w:tcBorders>
            <w:shd w:val="clear" w:color="auto" w:fill="auto"/>
            <w:noWrap/>
          </w:tcPr>
          <w:p w14:paraId="7F1E697B" w14:textId="77777777" w:rsidR="006C24D8" w:rsidRPr="009E35ED" w:rsidRDefault="006C24D8" w:rsidP="005E4F3F">
            <w:pPr>
              <w:ind w:left="0"/>
              <w:jc w:val="right"/>
              <w:rPr>
                <w:rFonts w:ascii="Arial Narrow" w:hAnsi="Arial Narrow" w:cs="Arial"/>
                <w:color w:val="000000" w:themeColor="text1"/>
                <w:sz w:val="20"/>
                <w:szCs w:val="20"/>
                <w:lang w:val="en-PH"/>
              </w:rPr>
            </w:pPr>
            <w:r w:rsidRPr="009E35ED">
              <w:rPr>
                <w:rFonts w:ascii="Arial" w:hAnsi="Arial" w:cs="Arial"/>
                <w:color w:val="000000" w:themeColor="text1"/>
                <w:sz w:val="20"/>
                <w:szCs w:val="20"/>
                <w:lang w:val="en-PH"/>
              </w:rPr>
              <w:t xml:space="preserve">P    </w:t>
            </w:r>
            <w:r w:rsidRPr="009E35ED">
              <w:rPr>
                <w:rFonts w:ascii="Arial Narrow" w:hAnsi="Arial Narrow" w:cs="Arial"/>
                <w:color w:val="000000" w:themeColor="text1"/>
                <w:sz w:val="20"/>
                <w:szCs w:val="20"/>
                <w:lang w:val="en-PH"/>
              </w:rPr>
              <w:t xml:space="preserve">1,500.00 </w:t>
            </w:r>
          </w:p>
        </w:tc>
        <w:tc>
          <w:tcPr>
            <w:tcW w:w="1383" w:type="dxa"/>
            <w:tcBorders>
              <w:top w:val="nil"/>
              <w:left w:val="nil"/>
              <w:bottom w:val="nil"/>
              <w:right w:val="nil"/>
            </w:tcBorders>
            <w:shd w:val="clear" w:color="auto" w:fill="auto"/>
            <w:noWrap/>
          </w:tcPr>
          <w:p w14:paraId="4CC18606" w14:textId="77777777" w:rsidR="006C24D8" w:rsidRPr="009E35ED" w:rsidRDefault="006C24D8" w:rsidP="00A046FD">
            <w:pPr>
              <w:ind w:left="0" w:right="-90"/>
              <w:jc w:val="righ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 xml:space="preserve"> </w:t>
            </w:r>
            <w:r w:rsidRPr="009E35ED">
              <w:rPr>
                <w:rFonts w:ascii="Arial" w:hAnsi="Arial" w:cs="Arial"/>
                <w:color w:val="000000" w:themeColor="text1"/>
                <w:sz w:val="20"/>
                <w:szCs w:val="20"/>
                <w:lang w:val="en-PH"/>
              </w:rPr>
              <w:t xml:space="preserve">P    </w:t>
            </w:r>
            <w:r w:rsidRPr="009E35ED">
              <w:rPr>
                <w:rFonts w:ascii="Arial Narrow" w:hAnsi="Arial Narrow" w:cs="Arial"/>
                <w:color w:val="000000" w:themeColor="text1"/>
                <w:sz w:val="20"/>
                <w:szCs w:val="20"/>
                <w:lang w:val="en-PH"/>
              </w:rPr>
              <w:t xml:space="preserve">2,000.00 </w:t>
            </w:r>
          </w:p>
        </w:tc>
      </w:tr>
      <w:tr w:rsidR="00997F75" w:rsidRPr="009E35ED" w14:paraId="6A7E572C" w14:textId="77777777" w:rsidTr="00A046FD">
        <w:trPr>
          <w:trHeight w:val="207"/>
        </w:trPr>
        <w:tc>
          <w:tcPr>
            <w:tcW w:w="2542" w:type="dxa"/>
            <w:tcBorders>
              <w:top w:val="nil"/>
              <w:left w:val="nil"/>
              <w:bottom w:val="nil"/>
              <w:right w:val="nil"/>
            </w:tcBorders>
            <w:shd w:val="clear" w:color="auto" w:fill="auto"/>
            <w:noWrap/>
            <w:hideMark/>
          </w:tcPr>
          <w:p w14:paraId="18807B13" w14:textId="77777777" w:rsidR="006C24D8" w:rsidRPr="009E35ED" w:rsidRDefault="006C24D8" w:rsidP="005E4F3F">
            <w:pPr>
              <w:ind w:left="0" w:hanging="90"/>
              <w:jc w:val="left"/>
              <w:rPr>
                <w:rFonts w:ascii="Arial Narrow" w:hAnsi="Arial Narrow" w:cs="Arial"/>
                <w:color w:val="000000" w:themeColor="text1"/>
                <w:sz w:val="20"/>
                <w:szCs w:val="20"/>
                <w:lang w:val="en-PH"/>
              </w:rPr>
            </w:pPr>
          </w:p>
        </w:tc>
        <w:tc>
          <w:tcPr>
            <w:tcW w:w="1122" w:type="dxa"/>
            <w:tcBorders>
              <w:top w:val="nil"/>
              <w:left w:val="nil"/>
              <w:bottom w:val="nil"/>
              <w:right w:val="nil"/>
            </w:tcBorders>
            <w:shd w:val="clear" w:color="auto" w:fill="auto"/>
            <w:noWrap/>
          </w:tcPr>
          <w:p w14:paraId="13FE554E" w14:textId="77777777" w:rsidR="006C24D8" w:rsidRPr="009E35ED" w:rsidRDefault="006C24D8" w:rsidP="005E4F3F">
            <w:pPr>
              <w:ind w:left="0"/>
              <w:jc w:val="right"/>
              <w:rPr>
                <w:rFonts w:ascii="Arial Narrow" w:hAnsi="Arial Narrow" w:cs="Arial"/>
                <w:color w:val="000000" w:themeColor="text1"/>
                <w:sz w:val="20"/>
                <w:szCs w:val="20"/>
                <w:lang w:val="en-PH"/>
              </w:rPr>
            </w:pPr>
          </w:p>
        </w:tc>
        <w:tc>
          <w:tcPr>
            <w:tcW w:w="1180" w:type="dxa"/>
            <w:tcBorders>
              <w:top w:val="nil"/>
              <w:left w:val="nil"/>
              <w:bottom w:val="nil"/>
              <w:right w:val="nil"/>
            </w:tcBorders>
            <w:shd w:val="clear" w:color="auto" w:fill="auto"/>
            <w:noWrap/>
          </w:tcPr>
          <w:p w14:paraId="1F1B5D2A" w14:textId="77777777" w:rsidR="006C24D8" w:rsidRPr="009E35ED" w:rsidRDefault="006C24D8" w:rsidP="005E4F3F">
            <w:pPr>
              <w:ind w:left="0"/>
              <w:jc w:val="right"/>
              <w:rPr>
                <w:rFonts w:ascii="Arial Narrow" w:hAnsi="Arial Narrow" w:cs="Arial"/>
                <w:color w:val="000000" w:themeColor="text1"/>
                <w:sz w:val="20"/>
                <w:szCs w:val="20"/>
                <w:lang w:val="en-PH"/>
              </w:rPr>
            </w:pPr>
          </w:p>
        </w:tc>
        <w:tc>
          <w:tcPr>
            <w:tcW w:w="1180" w:type="dxa"/>
            <w:tcBorders>
              <w:top w:val="nil"/>
              <w:left w:val="nil"/>
              <w:bottom w:val="nil"/>
              <w:right w:val="nil"/>
            </w:tcBorders>
            <w:shd w:val="clear" w:color="auto" w:fill="auto"/>
            <w:noWrap/>
          </w:tcPr>
          <w:p w14:paraId="77D1E733" w14:textId="77777777" w:rsidR="006C24D8" w:rsidRPr="009E35ED" w:rsidRDefault="006C24D8" w:rsidP="005E4F3F">
            <w:pPr>
              <w:ind w:left="0"/>
              <w:jc w:val="right"/>
              <w:rPr>
                <w:rFonts w:ascii="Arial Narrow" w:hAnsi="Arial Narrow" w:cs="Arial"/>
                <w:color w:val="000000" w:themeColor="text1"/>
                <w:sz w:val="20"/>
                <w:szCs w:val="20"/>
                <w:lang w:val="en-PH"/>
              </w:rPr>
            </w:pPr>
          </w:p>
        </w:tc>
        <w:tc>
          <w:tcPr>
            <w:tcW w:w="1233" w:type="dxa"/>
            <w:tcBorders>
              <w:top w:val="nil"/>
              <w:left w:val="nil"/>
              <w:bottom w:val="nil"/>
              <w:right w:val="nil"/>
            </w:tcBorders>
            <w:shd w:val="clear" w:color="auto" w:fill="auto"/>
            <w:noWrap/>
          </w:tcPr>
          <w:p w14:paraId="4A9F92A7" w14:textId="77777777" w:rsidR="006C24D8" w:rsidRPr="009E35ED" w:rsidRDefault="006C24D8" w:rsidP="005E4F3F">
            <w:pPr>
              <w:ind w:left="0"/>
              <w:jc w:val="right"/>
              <w:rPr>
                <w:rFonts w:ascii="Arial Narrow" w:hAnsi="Arial Narrow" w:cs="Arial"/>
                <w:color w:val="000000" w:themeColor="text1"/>
                <w:sz w:val="20"/>
                <w:szCs w:val="20"/>
                <w:lang w:val="en-PH"/>
              </w:rPr>
            </w:pPr>
          </w:p>
        </w:tc>
        <w:tc>
          <w:tcPr>
            <w:tcW w:w="1383" w:type="dxa"/>
            <w:tcBorders>
              <w:top w:val="nil"/>
              <w:left w:val="nil"/>
              <w:bottom w:val="nil"/>
              <w:right w:val="nil"/>
            </w:tcBorders>
            <w:shd w:val="clear" w:color="auto" w:fill="auto"/>
            <w:noWrap/>
          </w:tcPr>
          <w:p w14:paraId="66C9E5B6" w14:textId="77777777" w:rsidR="006C24D8" w:rsidRPr="009E35ED" w:rsidRDefault="006C24D8" w:rsidP="00A046FD">
            <w:pPr>
              <w:ind w:left="0" w:right="-90"/>
              <w:jc w:val="right"/>
              <w:rPr>
                <w:rFonts w:ascii="Arial Narrow" w:hAnsi="Arial Narrow" w:cs="Arial"/>
                <w:color w:val="000000" w:themeColor="text1"/>
                <w:sz w:val="20"/>
                <w:szCs w:val="20"/>
                <w:lang w:val="en-PH"/>
              </w:rPr>
            </w:pPr>
          </w:p>
        </w:tc>
      </w:tr>
      <w:tr w:rsidR="00997F75" w:rsidRPr="009E35ED" w14:paraId="1EDD7D20" w14:textId="77777777" w:rsidTr="00A046FD">
        <w:trPr>
          <w:trHeight w:val="162"/>
        </w:trPr>
        <w:tc>
          <w:tcPr>
            <w:tcW w:w="2542" w:type="dxa"/>
            <w:tcBorders>
              <w:top w:val="nil"/>
              <w:left w:val="nil"/>
              <w:bottom w:val="nil"/>
              <w:right w:val="nil"/>
            </w:tcBorders>
            <w:shd w:val="clear" w:color="auto" w:fill="auto"/>
            <w:noWrap/>
            <w:hideMark/>
          </w:tcPr>
          <w:p w14:paraId="0BE32DF2" w14:textId="77777777" w:rsidR="006C24D8" w:rsidRPr="009E35ED" w:rsidRDefault="006C24D8" w:rsidP="005E4F3F">
            <w:pPr>
              <w:ind w:left="0" w:hanging="90"/>
              <w:jc w:val="lef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 xml:space="preserve">     4th Prize with Capping</w:t>
            </w:r>
          </w:p>
        </w:tc>
        <w:tc>
          <w:tcPr>
            <w:tcW w:w="1122" w:type="dxa"/>
            <w:tcBorders>
              <w:top w:val="nil"/>
              <w:left w:val="nil"/>
              <w:bottom w:val="nil"/>
              <w:right w:val="nil"/>
            </w:tcBorders>
            <w:shd w:val="clear" w:color="auto" w:fill="auto"/>
            <w:noWrap/>
            <w:hideMark/>
          </w:tcPr>
          <w:p w14:paraId="2566532A" w14:textId="77777777" w:rsidR="006C24D8" w:rsidRPr="009E35ED" w:rsidRDefault="006C24D8" w:rsidP="005E4F3F">
            <w:pPr>
              <w:ind w:left="0"/>
              <w:rPr>
                <w:rFonts w:ascii="Arial Narrow" w:hAnsi="Arial Narrow" w:cs="Arial"/>
                <w:color w:val="000000" w:themeColor="text1"/>
                <w:sz w:val="20"/>
                <w:szCs w:val="20"/>
                <w:lang w:val="en-PH"/>
              </w:rPr>
            </w:pPr>
            <w:r w:rsidRPr="009E35ED">
              <w:rPr>
                <w:rFonts w:ascii="Arial" w:hAnsi="Arial" w:cs="Arial"/>
                <w:color w:val="000000" w:themeColor="text1"/>
                <w:sz w:val="20"/>
                <w:szCs w:val="20"/>
                <w:lang w:val="en-PH"/>
              </w:rPr>
              <w:t xml:space="preserve">P  </w:t>
            </w:r>
            <w:r w:rsidRPr="009E35ED">
              <w:rPr>
                <w:rFonts w:ascii="Arial Narrow" w:hAnsi="Arial Narrow" w:cs="Arial"/>
                <w:color w:val="000000" w:themeColor="text1"/>
                <w:sz w:val="20"/>
                <w:szCs w:val="20"/>
                <w:lang w:val="en-PH"/>
              </w:rPr>
              <w:t xml:space="preserve">     50.00 </w:t>
            </w:r>
          </w:p>
        </w:tc>
        <w:tc>
          <w:tcPr>
            <w:tcW w:w="1180" w:type="dxa"/>
            <w:tcBorders>
              <w:top w:val="nil"/>
              <w:left w:val="nil"/>
              <w:bottom w:val="nil"/>
              <w:right w:val="nil"/>
            </w:tcBorders>
            <w:shd w:val="clear" w:color="auto" w:fill="auto"/>
            <w:noWrap/>
            <w:hideMark/>
          </w:tcPr>
          <w:p w14:paraId="61913937" w14:textId="77777777" w:rsidR="006C24D8" w:rsidRPr="009E35ED" w:rsidRDefault="006C24D8" w:rsidP="005E4F3F">
            <w:pPr>
              <w:ind w:left="0"/>
              <w:jc w:val="right"/>
              <w:rPr>
                <w:rFonts w:ascii="Arial Narrow" w:hAnsi="Arial Narrow" w:cs="Arial"/>
                <w:color w:val="000000" w:themeColor="text1"/>
                <w:sz w:val="20"/>
                <w:szCs w:val="20"/>
                <w:lang w:val="en-PH"/>
              </w:rPr>
            </w:pPr>
            <w:r w:rsidRPr="009E35ED">
              <w:rPr>
                <w:rFonts w:ascii="Arial" w:hAnsi="Arial" w:cs="Arial"/>
                <w:color w:val="000000" w:themeColor="text1"/>
                <w:sz w:val="20"/>
                <w:szCs w:val="20"/>
                <w:lang w:val="en-PH"/>
              </w:rPr>
              <w:t>P</w:t>
            </w:r>
            <w:r w:rsidRPr="009E35ED">
              <w:rPr>
                <w:rFonts w:ascii="Arial Narrow" w:hAnsi="Arial Narrow" w:cs="Arial"/>
                <w:color w:val="000000" w:themeColor="text1"/>
                <w:sz w:val="20"/>
                <w:szCs w:val="20"/>
                <w:lang w:val="en-PH"/>
              </w:rPr>
              <w:t xml:space="preserve">       30.00 </w:t>
            </w:r>
          </w:p>
        </w:tc>
        <w:tc>
          <w:tcPr>
            <w:tcW w:w="1180" w:type="dxa"/>
            <w:tcBorders>
              <w:top w:val="nil"/>
              <w:left w:val="nil"/>
              <w:bottom w:val="nil"/>
              <w:right w:val="nil"/>
            </w:tcBorders>
            <w:shd w:val="clear" w:color="auto" w:fill="auto"/>
            <w:noWrap/>
            <w:hideMark/>
          </w:tcPr>
          <w:p w14:paraId="1B4CCD59" w14:textId="77777777" w:rsidR="006C24D8" w:rsidRPr="009E35ED" w:rsidRDefault="006C24D8" w:rsidP="005E4F3F">
            <w:pPr>
              <w:ind w:left="0"/>
              <w:jc w:val="righ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 xml:space="preserve"> </w:t>
            </w:r>
            <w:r w:rsidRPr="009E35ED">
              <w:rPr>
                <w:rFonts w:ascii="Arial" w:hAnsi="Arial" w:cs="Arial"/>
                <w:color w:val="000000" w:themeColor="text1"/>
                <w:sz w:val="20"/>
                <w:szCs w:val="20"/>
                <w:lang w:val="en-PH"/>
              </w:rPr>
              <w:t>P</w:t>
            </w:r>
            <w:r w:rsidRPr="009E35ED">
              <w:rPr>
                <w:rFonts w:ascii="Arial Narrow" w:hAnsi="Arial Narrow" w:cs="Arial"/>
                <w:color w:val="000000" w:themeColor="text1"/>
                <w:sz w:val="20"/>
                <w:szCs w:val="20"/>
                <w:lang w:val="en-PH"/>
              </w:rPr>
              <w:t xml:space="preserve">       20.00 </w:t>
            </w:r>
          </w:p>
        </w:tc>
        <w:tc>
          <w:tcPr>
            <w:tcW w:w="1233" w:type="dxa"/>
            <w:tcBorders>
              <w:top w:val="nil"/>
              <w:left w:val="nil"/>
              <w:bottom w:val="nil"/>
              <w:right w:val="nil"/>
            </w:tcBorders>
            <w:shd w:val="clear" w:color="auto" w:fill="auto"/>
            <w:noWrap/>
            <w:hideMark/>
          </w:tcPr>
          <w:p w14:paraId="6C6E850E" w14:textId="77777777" w:rsidR="006C24D8" w:rsidRPr="009E35ED" w:rsidRDefault="006C24D8" w:rsidP="005E4F3F">
            <w:pPr>
              <w:ind w:left="0"/>
              <w:jc w:val="right"/>
              <w:rPr>
                <w:rFonts w:ascii="Arial Narrow" w:hAnsi="Arial Narrow" w:cs="Arial"/>
                <w:color w:val="000000" w:themeColor="text1"/>
                <w:sz w:val="20"/>
                <w:szCs w:val="20"/>
                <w:lang w:val="en-PH"/>
              </w:rPr>
            </w:pPr>
            <w:r w:rsidRPr="009E35ED">
              <w:rPr>
                <w:rFonts w:ascii="Arial" w:hAnsi="Arial" w:cs="Arial"/>
                <w:color w:val="000000" w:themeColor="text1"/>
                <w:sz w:val="20"/>
                <w:szCs w:val="20"/>
                <w:lang w:val="en-PH"/>
              </w:rPr>
              <w:t>P</w:t>
            </w:r>
            <w:r w:rsidRPr="009E35ED">
              <w:rPr>
                <w:rFonts w:ascii="Arial Narrow" w:hAnsi="Arial Narrow" w:cs="Arial"/>
                <w:color w:val="000000" w:themeColor="text1"/>
                <w:sz w:val="20"/>
                <w:szCs w:val="20"/>
                <w:lang w:val="en-PH"/>
              </w:rPr>
              <w:t xml:space="preserve">          60.00 </w:t>
            </w:r>
          </w:p>
        </w:tc>
        <w:tc>
          <w:tcPr>
            <w:tcW w:w="1383" w:type="dxa"/>
            <w:tcBorders>
              <w:top w:val="nil"/>
              <w:left w:val="nil"/>
              <w:bottom w:val="nil"/>
              <w:right w:val="nil"/>
            </w:tcBorders>
            <w:shd w:val="clear" w:color="auto" w:fill="auto"/>
            <w:noWrap/>
            <w:hideMark/>
          </w:tcPr>
          <w:p w14:paraId="66F34CFD" w14:textId="77777777" w:rsidR="006C24D8" w:rsidRPr="009E35ED" w:rsidRDefault="006C24D8" w:rsidP="00A046FD">
            <w:pPr>
              <w:ind w:left="0" w:right="-90"/>
              <w:jc w:val="right"/>
              <w:rPr>
                <w:rFonts w:ascii="Arial Narrow" w:hAnsi="Arial Narrow" w:cs="Arial"/>
                <w:color w:val="000000" w:themeColor="text1"/>
                <w:sz w:val="20"/>
                <w:szCs w:val="20"/>
                <w:lang w:val="en-PH"/>
              </w:rPr>
            </w:pPr>
            <w:r w:rsidRPr="009E35ED">
              <w:rPr>
                <w:rFonts w:ascii="Arial" w:hAnsi="Arial" w:cs="Arial"/>
                <w:color w:val="000000" w:themeColor="text1"/>
                <w:sz w:val="20"/>
                <w:szCs w:val="20"/>
                <w:lang w:val="en-PH"/>
              </w:rPr>
              <w:t xml:space="preserve"> P</w:t>
            </w:r>
            <w:r w:rsidRPr="009E35ED">
              <w:rPr>
                <w:rFonts w:ascii="Arial Narrow" w:hAnsi="Arial Narrow" w:cs="Arial"/>
                <w:color w:val="000000" w:themeColor="text1"/>
                <w:sz w:val="20"/>
                <w:szCs w:val="20"/>
                <w:lang w:val="en-PH"/>
              </w:rPr>
              <w:t xml:space="preserve">          100.00 </w:t>
            </w:r>
          </w:p>
        </w:tc>
      </w:tr>
      <w:tr w:rsidR="00997F75" w:rsidRPr="009E35ED" w14:paraId="42A61203" w14:textId="77777777" w:rsidTr="00A046FD">
        <w:trPr>
          <w:trHeight w:val="303"/>
        </w:trPr>
        <w:tc>
          <w:tcPr>
            <w:tcW w:w="2542" w:type="dxa"/>
            <w:tcBorders>
              <w:top w:val="nil"/>
              <w:left w:val="nil"/>
              <w:bottom w:val="nil"/>
              <w:right w:val="nil"/>
            </w:tcBorders>
            <w:shd w:val="clear" w:color="auto" w:fill="auto"/>
            <w:noWrap/>
            <w:hideMark/>
          </w:tcPr>
          <w:p w14:paraId="3215E7BA" w14:textId="77777777" w:rsidR="006C24D8" w:rsidRPr="009E35ED" w:rsidRDefault="006C24D8" w:rsidP="005E4F3F">
            <w:pPr>
              <w:ind w:left="0" w:hanging="90"/>
              <w:jc w:val="left"/>
              <w:rPr>
                <w:rFonts w:ascii="Arial Narrow" w:hAnsi="Arial Narrow" w:cs="Arial"/>
                <w:color w:val="000000" w:themeColor="text1"/>
                <w:sz w:val="20"/>
                <w:szCs w:val="20"/>
                <w:lang w:val="en-PH"/>
              </w:rPr>
            </w:pPr>
          </w:p>
        </w:tc>
        <w:tc>
          <w:tcPr>
            <w:tcW w:w="1122" w:type="dxa"/>
            <w:tcBorders>
              <w:top w:val="nil"/>
              <w:left w:val="nil"/>
              <w:bottom w:val="nil"/>
              <w:right w:val="nil"/>
            </w:tcBorders>
            <w:shd w:val="clear" w:color="auto" w:fill="auto"/>
            <w:noWrap/>
            <w:hideMark/>
          </w:tcPr>
          <w:p w14:paraId="0D679FC4" w14:textId="77777777" w:rsidR="006C24D8" w:rsidRPr="009E35ED" w:rsidRDefault="006C24D8" w:rsidP="005E4F3F">
            <w:pPr>
              <w:ind w:left="0"/>
              <w:jc w:val="right"/>
              <w:rPr>
                <w:rFonts w:ascii="Arial Narrow" w:hAnsi="Arial Narrow" w:cs="Arial"/>
                <w:color w:val="000000" w:themeColor="text1"/>
                <w:sz w:val="20"/>
                <w:szCs w:val="20"/>
                <w:lang w:val="en-PH"/>
              </w:rPr>
            </w:pPr>
          </w:p>
        </w:tc>
        <w:tc>
          <w:tcPr>
            <w:tcW w:w="1180" w:type="dxa"/>
            <w:tcBorders>
              <w:top w:val="nil"/>
              <w:left w:val="nil"/>
              <w:bottom w:val="nil"/>
              <w:right w:val="nil"/>
            </w:tcBorders>
            <w:shd w:val="clear" w:color="auto" w:fill="auto"/>
            <w:noWrap/>
            <w:hideMark/>
          </w:tcPr>
          <w:p w14:paraId="5B68E9D5" w14:textId="77777777" w:rsidR="006C24D8" w:rsidRPr="009E35ED" w:rsidRDefault="006C24D8" w:rsidP="005E4F3F">
            <w:pPr>
              <w:ind w:left="0"/>
              <w:jc w:val="right"/>
              <w:rPr>
                <w:rFonts w:ascii="Arial Narrow" w:hAnsi="Arial Narrow" w:cs="Arial"/>
                <w:color w:val="000000" w:themeColor="text1"/>
                <w:sz w:val="20"/>
                <w:szCs w:val="20"/>
                <w:lang w:val="en-PH"/>
              </w:rPr>
            </w:pPr>
          </w:p>
        </w:tc>
        <w:tc>
          <w:tcPr>
            <w:tcW w:w="1180" w:type="dxa"/>
            <w:tcBorders>
              <w:top w:val="nil"/>
              <w:left w:val="nil"/>
              <w:bottom w:val="nil"/>
              <w:right w:val="nil"/>
            </w:tcBorders>
            <w:shd w:val="clear" w:color="auto" w:fill="auto"/>
            <w:noWrap/>
            <w:hideMark/>
          </w:tcPr>
          <w:p w14:paraId="62DF8318" w14:textId="77777777" w:rsidR="006C24D8" w:rsidRPr="009E35ED" w:rsidRDefault="006C24D8" w:rsidP="005E4F3F">
            <w:pPr>
              <w:ind w:left="0"/>
              <w:jc w:val="right"/>
              <w:rPr>
                <w:rFonts w:ascii="Arial Narrow" w:hAnsi="Arial Narrow" w:cs="Arial"/>
                <w:color w:val="000000" w:themeColor="text1"/>
                <w:sz w:val="20"/>
                <w:szCs w:val="20"/>
                <w:lang w:val="en-PH"/>
              </w:rPr>
            </w:pPr>
          </w:p>
        </w:tc>
        <w:tc>
          <w:tcPr>
            <w:tcW w:w="1233" w:type="dxa"/>
            <w:tcBorders>
              <w:top w:val="nil"/>
              <w:left w:val="nil"/>
              <w:bottom w:val="nil"/>
              <w:right w:val="nil"/>
            </w:tcBorders>
            <w:shd w:val="clear" w:color="auto" w:fill="auto"/>
            <w:noWrap/>
            <w:hideMark/>
          </w:tcPr>
          <w:p w14:paraId="33B50D15" w14:textId="77777777" w:rsidR="006C24D8" w:rsidRPr="009E35ED" w:rsidRDefault="006C24D8" w:rsidP="005E4F3F">
            <w:pPr>
              <w:ind w:left="0"/>
              <w:jc w:val="right"/>
              <w:rPr>
                <w:rFonts w:ascii="Arial Narrow" w:hAnsi="Arial Narrow" w:cs="Arial"/>
                <w:color w:val="000000" w:themeColor="text1"/>
                <w:sz w:val="20"/>
                <w:szCs w:val="20"/>
                <w:lang w:val="en-PH"/>
              </w:rPr>
            </w:pPr>
          </w:p>
        </w:tc>
        <w:tc>
          <w:tcPr>
            <w:tcW w:w="1383" w:type="dxa"/>
            <w:tcBorders>
              <w:top w:val="nil"/>
              <w:left w:val="nil"/>
              <w:bottom w:val="nil"/>
              <w:right w:val="nil"/>
            </w:tcBorders>
            <w:shd w:val="clear" w:color="auto" w:fill="auto"/>
            <w:noWrap/>
            <w:hideMark/>
          </w:tcPr>
          <w:p w14:paraId="43C39E8B" w14:textId="77777777" w:rsidR="006C24D8" w:rsidRPr="009E35ED" w:rsidRDefault="006C24D8" w:rsidP="00A046FD">
            <w:pPr>
              <w:ind w:left="0" w:right="-90"/>
              <w:jc w:val="right"/>
              <w:rPr>
                <w:rFonts w:ascii="Arial Narrow" w:hAnsi="Arial Narrow" w:cs="Arial"/>
                <w:color w:val="000000" w:themeColor="text1"/>
                <w:sz w:val="20"/>
                <w:szCs w:val="20"/>
                <w:lang w:val="en-PH"/>
              </w:rPr>
            </w:pPr>
          </w:p>
        </w:tc>
      </w:tr>
      <w:tr w:rsidR="00997F75" w:rsidRPr="009E35ED" w14:paraId="79322094" w14:textId="77777777" w:rsidTr="00A046FD">
        <w:trPr>
          <w:trHeight w:val="72"/>
        </w:trPr>
        <w:tc>
          <w:tcPr>
            <w:tcW w:w="2542" w:type="dxa"/>
            <w:tcBorders>
              <w:top w:val="nil"/>
              <w:left w:val="nil"/>
              <w:bottom w:val="nil"/>
              <w:right w:val="nil"/>
            </w:tcBorders>
            <w:shd w:val="clear" w:color="auto" w:fill="auto"/>
            <w:noWrap/>
            <w:hideMark/>
          </w:tcPr>
          <w:p w14:paraId="780DDCEC" w14:textId="77777777" w:rsidR="006C24D8" w:rsidRPr="009E35ED" w:rsidRDefault="006C24D8" w:rsidP="005E4F3F">
            <w:pPr>
              <w:ind w:left="0" w:hanging="90"/>
              <w:jc w:val="left"/>
              <w:rPr>
                <w:rFonts w:ascii="Arial Narrow" w:hAnsi="Arial Narrow" w:cs="Arial"/>
                <w:b/>
                <w:bCs/>
                <w:color w:val="000000" w:themeColor="text1"/>
                <w:sz w:val="20"/>
                <w:szCs w:val="20"/>
                <w:lang w:val="en-PH"/>
              </w:rPr>
            </w:pPr>
            <w:r w:rsidRPr="009E35ED">
              <w:rPr>
                <w:rFonts w:ascii="Arial Narrow" w:hAnsi="Arial Narrow" w:cs="Arial"/>
                <w:b/>
                <w:bCs/>
                <w:color w:val="000000" w:themeColor="text1"/>
                <w:sz w:val="20"/>
                <w:szCs w:val="20"/>
                <w:lang w:val="en-PH"/>
              </w:rPr>
              <w:t>II. Charity   Fund  (30% of NR)</w:t>
            </w:r>
          </w:p>
        </w:tc>
        <w:tc>
          <w:tcPr>
            <w:tcW w:w="1122" w:type="dxa"/>
            <w:tcBorders>
              <w:top w:val="nil"/>
              <w:left w:val="nil"/>
              <w:bottom w:val="nil"/>
              <w:right w:val="nil"/>
            </w:tcBorders>
            <w:shd w:val="clear" w:color="auto" w:fill="auto"/>
            <w:noWrap/>
            <w:hideMark/>
          </w:tcPr>
          <w:p w14:paraId="46E12FC9" w14:textId="77777777" w:rsidR="006C24D8" w:rsidRPr="009E35ED" w:rsidRDefault="006C24D8" w:rsidP="005E4F3F">
            <w:pPr>
              <w:ind w:left="0"/>
              <w:jc w:val="right"/>
              <w:rPr>
                <w:rFonts w:ascii="Arial Narrow" w:hAnsi="Arial Narrow" w:cs="Arial"/>
                <w:b/>
                <w:bCs/>
                <w:color w:val="000000" w:themeColor="text1"/>
                <w:sz w:val="20"/>
                <w:szCs w:val="20"/>
                <w:lang w:val="en-PH"/>
              </w:rPr>
            </w:pPr>
            <w:r w:rsidRPr="009E35ED">
              <w:rPr>
                <w:rFonts w:ascii="Arial Narrow" w:hAnsi="Arial Narrow" w:cs="Arial"/>
                <w:b/>
                <w:bCs/>
                <w:color w:val="000000" w:themeColor="text1"/>
                <w:sz w:val="20"/>
                <w:szCs w:val="20"/>
                <w:lang w:val="en-PH"/>
              </w:rPr>
              <w:t>29.40%</w:t>
            </w:r>
          </w:p>
        </w:tc>
        <w:tc>
          <w:tcPr>
            <w:tcW w:w="1180" w:type="dxa"/>
            <w:tcBorders>
              <w:top w:val="nil"/>
              <w:left w:val="nil"/>
              <w:bottom w:val="nil"/>
              <w:right w:val="nil"/>
            </w:tcBorders>
            <w:shd w:val="clear" w:color="auto" w:fill="auto"/>
            <w:noWrap/>
            <w:hideMark/>
          </w:tcPr>
          <w:p w14:paraId="47F31B25" w14:textId="77777777" w:rsidR="006C24D8" w:rsidRPr="009E35ED" w:rsidRDefault="006C24D8" w:rsidP="005E4F3F">
            <w:pPr>
              <w:ind w:left="0"/>
              <w:jc w:val="right"/>
              <w:rPr>
                <w:rFonts w:ascii="Arial Narrow" w:hAnsi="Arial Narrow" w:cs="Arial"/>
                <w:b/>
                <w:bCs/>
                <w:color w:val="000000" w:themeColor="text1"/>
                <w:sz w:val="20"/>
                <w:szCs w:val="20"/>
                <w:lang w:val="en-PH"/>
              </w:rPr>
            </w:pPr>
            <w:r w:rsidRPr="009E35ED">
              <w:rPr>
                <w:rFonts w:ascii="Arial Narrow" w:hAnsi="Arial Narrow" w:cs="Arial"/>
                <w:b/>
                <w:bCs/>
                <w:color w:val="000000" w:themeColor="text1"/>
                <w:sz w:val="20"/>
                <w:szCs w:val="20"/>
                <w:lang w:val="en-PH"/>
              </w:rPr>
              <w:t>29.40%</w:t>
            </w:r>
          </w:p>
        </w:tc>
        <w:tc>
          <w:tcPr>
            <w:tcW w:w="1180" w:type="dxa"/>
            <w:tcBorders>
              <w:top w:val="nil"/>
              <w:left w:val="nil"/>
              <w:bottom w:val="nil"/>
              <w:right w:val="nil"/>
            </w:tcBorders>
            <w:shd w:val="clear" w:color="auto" w:fill="auto"/>
            <w:noWrap/>
            <w:hideMark/>
          </w:tcPr>
          <w:p w14:paraId="54652E36" w14:textId="77777777" w:rsidR="006C24D8" w:rsidRPr="009E35ED" w:rsidRDefault="006C24D8" w:rsidP="005E4F3F">
            <w:pPr>
              <w:ind w:left="0"/>
              <w:jc w:val="right"/>
              <w:rPr>
                <w:rFonts w:ascii="Arial Narrow" w:hAnsi="Arial Narrow" w:cs="Arial"/>
                <w:b/>
                <w:bCs/>
                <w:color w:val="000000" w:themeColor="text1"/>
                <w:sz w:val="20"/>
                <w:szCs w:val="20"/>
                <w:lang w:val="en-PH"/>
              </w:rPr>
            </w:pPr>
            <w:r w:rsidRPr="009E35ED">
              <w:rPr>
                <w:rFonts w:ascii="Arial Narrow" w:hAnsi="Arial Narrow" w:cs="Arial"/>
                <w:b/>
                <w:bCs/>
                <w:color w:val="000000" w:themeColor="text1"/>
                <w:sz w:val="20"/>
                <w:szCs w:val="20"/>
                <w:lang w:val="en-PH"/>
              </w:rPr>
              <w:t>29.40%</w:t>
            </w:r>
          </w:p>
        </w:tc>
        <w:tc>
          <w:tcPr>
            <w:tcW w:w="1233" w:type="dxa"/>
            <w:tcBorders>
              <w:top w:val="nil"/>
              <w:left w:val="nil"/>
              <w:bottom w:val="nil"/>
              <w:right w:val="nil"/>
            </w:tcBorders>
            <w:shd w:val="clear" w:color="auto" w:fill="auto"/>
            <w:noWrap/>
            <w:hideMark/>
          </w:tcPr>
          <w:p w14:paraId="48AAAA4E" w14:textId="77777777" w:rsidR="006C24D8" w:rsidRPr="009E35ED" w:rsidRDefault="006C24D8" w:rsidP="005E4F3F">
            <w:pPr>
              <w:ind w:left="0"/>
              <w:jc w:val="right"/>
              <w:rPr>
                <w:rFonts w:ascii="Arial Narrow" w:hAnsi="Arial Narrow" w:cs="Arial"/>
                <w:b/>
                <w:bCs/>
                <w:color w:val="000000" w:themeColor="text1"/>
                <w:sz w:val="20"/>
                <w:szCs w:val="20"/>
                <w:lang w:val="en-PH"/>
              </w:rPr>
            </w:pPr>
            <w:r w:rsidRPr="009E35ED">
              <w:rPr>
                <w:rFonts w:ascii="Arial Narrow" w:hAnsi="Arial Narrow" w:cs="Arial"/>
                <w:b/>
                <w:bCs/>
                <w:color w:val="000000" w:themeColor="text1"/>
                <w:sz w:val="20"/>
                <w:szCs w:val="20"/>
                <w:lang w:val="en-PH"/>
              </w:rPr>
              <w:t>29.40%</w:t>
            </w:r>
          </w:p>
        </w:tc>
        <w:tc>
          <w:tcPr>
            <w:tcW w:w="1383" w:type="dxa"/>
            <w:tcBorders>
              <w:top w:val="nil"/>
              <w:left w:val="nil"/>
              <w:bottom w:val="nil"/>
              <w:right w:val="nil"/>
            </w:tcBorders>
            <w:shd w:val="clear" w:color="auto" w:fill="auto"/>
            <w:noWrap/>
            <w:hideMark/>
          </w:tcPr>
          <w:p w14:paraId="56544043" w14:textId="77777777" w:rsidR="006C24D8" w:rsidRPr="009E35ED" w:rsidRDefault="006C24D8" w:rsidP="00A046FD">
            <w:pPr>
              <w:ind w:left="0" w:right="-90"/>
              <w:jc w:val="right"/>
              <w:rPr>
                <w:rFonts w:ascii="Arial Narrow" w:hAnsi="Arial Narrow" w:cs="Arial"/>
                <w:b/>
                <w:bCs/>
                <w:color w:val="000000" w:themeColor="text1"/>
                <w:sz w:val="20"/>
                <w:szCs w:val="20"/>
                <w:lang w:val="en-PH"/>
              </w:rPr>
            </w:pPr>
            <w:r w:rsidRPr="009E35ED">
              <w:rPr>
                <w:rFonts w:ascii="Arial Narrow" w:hAnsi="Arial Narrow" w:cs="Arial"/>
                <w:b/>
                <w:bCs/>
                <w:color w:val="000000" w:themeColor="text1"/>
                <w:sz w:val="20"/>
                <w:szCs w:val="20"/>
                <w:lang w:val="en-PH"/>
              </w:rPr>
              <w:t>29.40%</w:t>
            </w:r>
          </w:p>
        </w:tc>
      </w:tr>
      <w:tr w:rsidR="00997F75" w:rsidRPr="009E35ED" w14:paraId="371370AF" w14:textId="77777777" w:rsidTr="00A046FD">
        <w:trPr>
          <w:trHeight w:val="171"/>
        </w:trPr>
        <w:tc>
          <w:tcPr>
            <w:tcW w:w="2542" w:type="dxa"/>
            <w:tcBorders>
              <w:top w:val="nil"/>
              <w:left w:val="nil"/>
              <w:bottom w:val="nil"/>
              <w:right w:val="nil"/>
            </w:tcBorders>
            <w:shd w:val="clear" w:color="auto" w:fill="auto"/>
            <w:noWrap/>
            <w:hideMark/>
          </w:tcPr>
          <w:p w14:paraId="1318D098" w14:textId="77777777" w:rsidR="006C24D8" w:rsidRPr="009E35ED" w:rsidRDefault="006C24D8" w:rsidP="005E4F3F">
            <w:pPr>
              <w:ind w:left="0" w:hanging="90"/>
              <w:jc w:val="lef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Education</w:t>
            </w:r>
          </w:p>
        </w:tc>
        <w:tc>
          <w:tcPr>
            <w:tcW w:w="1122" w:type="dxa"/>
            <w:tcBorders>
              <w:top w:val="nil"/>
              <w:left w:val="nil"/>
              <w:bottom w:val="nil"/>
              <w:right w:val="nil"/>
            </w:tcBorders>
            <w:shd w:val="clear" w:color="auto" w:fill="auto"/>
            <w:noWrap/>
            <w:hideMark/>
          </w:tcPr>
          <w:p w14:paraId="3A071064" w14:textId="77777777" w:rsidR="006C24D8" w:rsidRPr="009E35ED" w:rsidRDefault="006C24D8" w:rsidP="005E4F3F">
            <w:pPr>
              <w:ind w:left="0"/>
              <w:jc w:val="righ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1.00%</w:t>
            </w:r>
          </w:p>
        </w:tc>
        <w:tc>
          <w:tcPr>
            <w:tcW w:w="1180" w:type="dxa"/>
            <w:tcBorders>
              <w:top w:val="nil"/>
              <w:left w:val="nil"/>
              <w:bottom w:val="nil"/>
              <w:right w:val="nil"/>
            </w:tcBorders>
            <w:shd w:val="clear" w:color="auto" w:fill="auto"/>
            <w:noWrap/>
            <w:hideMark/>
          </w:tcPr>
          <w:p w14:paraId="3C0C9682" w14:textId="77777777" w:rsidR="006C24D8" w:rsidRPr="009E35ED" w:rsidRDefault="006C24D8" w:rsidP="005E4F3F">
            <w:pPr>
              <w:ind w:left="0"/>
              <w:jc w:val="righ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1.00%</w:t>
            </w:r>
          </w:p>
        </w:tc>
        <w:tc>
          <w:tcPr>
            <w:tcW w:w="1180" w:type="dxa"/>
            <w:tcBorders>
              <w:top w:val="nil"/>
              <w:left w:val="nil"/>
              <w:bottom w:val="nil"/>
              <w:right w:val="nil"/>
            </w:tcBorders>
            <w:shd w:val="clear" w:color="auto" w:fill="auto"/>
            <w:noWrap/>
            <w:hideMark/>
          </w:tcPr>
          <w:p w14:paraId="49F6CC52" w14:textId="77777777" w:rsidR="006C24D8" w:rsidRPr="009E35ED" w:rsidRDefault="006C24D8" w:rsidP="005E4F3F">
            <w:pPr>
              <w:ind w:left="0"/>
              <w:jc w:val="righ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1.00%</w:t>
            </w:r>
          </w:p>
        </w:tc>
        <w:tc>
          <w:tcPr>
            <w:tcW w:w="1233" w:type="dxa"/>
            <w:tcBorders>
              <w:top w:val="nil"/>
              <w:left w:val="nil"/>
              <w:bottom w:val="nil"/>
              <w:right w:val="nil"/>
            </w:tcBorders>
            <w:shd w:val="clear" w:color="auto" w:fill="auto"/>
            <w:noWrap/>
            <w:hideMark/>
          </w:tcPr>
          <w:p w14:paraId="1C09507D" w14:textId="77777777" w:rsidR="006C24D8" w:rsidRPr="009E35ED" w:rsidRDefault="006C24D8" w:rsidP="005E4F3F">
            <w:pPr>
              <w:ind w:left="0"/>
              <w:jc w:val="righ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1.00%</w:t>
            </w:r>
          </w:p>
        </w:tc>
        <w:tc>
          <w:tcPr>
            <w:tcW w:w="1383" w:type="dxa"/>
            <w:tcBorders>
              <w:top w:val="nil"/>
              <w:left w:val="nil"/>
              <w:bottom w:val="nil"/>
              <w:right w:val="nil"/>
            </w:tcBorders>
            <w:shd w:val="clear" w:color="auto" w:fill="auto"/>
            <w:noWrap/>
            <w:hideMark/>
          </w:tcPr>
          <w:p w14:paraId="2C619810" w14:textId="77777777" w:rsidR="006C24D8" w:rsidRPr="009E35ED" w:rsidRDefault="006C24D8" w:rsidP="00A046FD">
            <w:pPr>
              <w:ind w:left="0" w:right="-90"/>
              <w:jc w:val="righ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1.00%</w:t>
            </w:r>
          </w:p>
        </w:tc>
      </w:tr>
      <w:tr w:rsidR="00997F75" w:rsidRPr="009E35ED" w14:paraId="3195C534" w14:textId="77777777" w:rsidTr="00A046FD">
        <w:trPr>
          <w:trHeight w:val="207"/>
        </w:trPr>
        <w:tc>
          <w:tcPr>
            <w:tcW w:w="2542" w:type="dxa"/>
            <w:tcBorders>
              <w:top w:val="nil"/>
              <w:left w:val="nil"/>
              <w:bottom w:val="nil"/>
              <w:right w:val="nil"/>
            </w:tcBorders>
            <w:shd w:val="clear" w:color="auto" w:fill="auto"/>
            <w:noWrap/>
            <w:hideMark/>
          </w:tcPr>
          <w:p w14:paraId="7FD6BF5D" w14:textId="02D1C573" w:rsidR="006C24D8" w:rsidRPr="009E35ED" w:rsidRDefault="004851A0" w:rsidP="005E4F3F">
            <w:pPr>
              <w:ind w:left="0" w:hanging="90"/>
              <w:jc w:val="lef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PLS Cost</w:t>
            </w:r>
          </w:p>
        </w:tc>
        <w:tc>
          <w:tcPr>
            <w:tcW w:w="1122" w:type="dxa"/>
            <w:tcBorders>
              <w:top w:val="nil"/>
              <w:left w:val="nil"/>
              <w:bottom w:val="nil"/>
              <w:right w:val="nil"/>
            </w:tcBorders>
            <w:shd w:val="clear" w:color="auto" w:fill="auto"/>
            <w:noWrap/>
            <w:hideMark/>
          </w:tcPr>
          <w:p w14:paraId="6C785229" w14:textId="0A8E8A0A" w:rsidR="006C24D8" w:rsidRPr="009E35ED" w:rsidRDefault="005E4F3F">
            <w:pPr>
              <w:ind w:left="0"/>
              <w:jc w:val="righ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1.00%</w:t>
            </w:r>
          </w:p>
        </w:tc>
        <w:tc>
          <w:tcPr>
            <w:tcW w:w="1180" w:type="dxa"/>
            <w:tcBorders>
              <w:top w:val="nil"/>
              <w:left w:val="nil"/>
              <w:bottom w:val="nil"/>
              <w:right w:val="nil"/>
            </w:tcBorders>
            <w:shd w:val="clear" w:color="auto" w:fill="auto"/>
            <w:noWrap/>
            <w:hideMark/>
          </w:tcPr>
          <w:p w14:paraId="5EF4E701" w14:textId="55210B14" w:rsidR="006C24D8" w:rsidRPr="009E35ED" w:rsidRDefault="005E4F3F">
            <w:pPr>
              <w:ind w:left="0"/>
              <w:jc w:val="righ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1.00%</w:t>
            </w:r>
          </w:p>
        </w:tc>
        <w:tc>
          <w:tcPr>
            <w:tcW w:w="1180" w:type="dxa"/>
            <w:tcBorders>
              <w:top w:val="nil"/>
              <w:left w:val="nil"/>
              <w:bottom w:val="nil"/>
              <w:right w:val="nil"/>
            </w:tcBorders>
            <w:shd w:val="clear" w:color="auto" w:fill="auto"/>
            <w:noWrap/>
            <w:hideMark/>
          </w:tcPr>
          <w:p w14:paraId="744EF1CB" w14:textId="74D1199A" w:rsidR="006C24D8" w:rsidRPr="009E35ED" w:rsidRDefault="005E4F3F">
            <w:pPr>
              <w:ind w:left="0"/>
              <w:jc w:val="righ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1.00%</w:t>
            </w:r>
          </w:p>
        </w:tc>
        <w:tc>
          <w:tcPr>
            <w:tcW w:w="1233" w:type="dxa"/>
            <w:tcBorders>
              <w:top w:val="nil"/>
              <w:left w:val="nil"/>
              <w:bottom w:val="nil"/>
              <w:right w:val="nil"/>
            </w:tcBorders>
            <w:shd w:val="clear" w:color="auto" w:fill="auto"/>
            <w:noWrap/>
            <w:hideMark/>
          </w:tcPr>
          <w:p w14:paraId="139EF02F" w14:textId="1E7AD822" w:rsidR="006C24D8" w:rsidRPr="009E35ED" w:rsidRDefault="005E4F3F">
            <w:pPr>
              <w:ind w:left="0"/>
              <w:jc w:val="righ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1.00%</w:t>
            </w:r>
          </w:p>
        </w:tc>
        <w:tc>
          <w:tcPr>
            <w:tcW w:w="1383" w:type="dxa"/>
            <w:tcBorders>
              <w:top w:val="nil"/>
              <w:left w:val="nil"/>
              <w:bottom w:val="nil"/>
              <w:right w:val="nil"/>
            </w:tcBorders>
            <w:shd w:val="clear" w:color="auto" w:fill="auto"/>
            <w:noWrap/>
            <w:hideMark/>
          </w:tcPr>
          <w:p w14:paraId="5371033B" w14:textId="2992D67A" w:rsidR="006C24D8" w:rsidRPr="009E35ED" w:rsidRDefault="005E4F3F" w:rsidP="00A046FD">
            <w:pPr>
              <w:ind w:left="0" w:right="-90"/>
              <w:jc w:val="righ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1.00%</w:t>
            </w:r>
          </w:p>
        </w:tc>
      </w:tr>
      <w:tr w:rsidR="00997F75" w:rsidRPr="009E35ED" w14:paraId="7AD0D380" w14:textId="77777777" w:rsidTr="00A046FD">
        <w:trPr>
          <w:trHeight w:val="207"/>
        </w:trPr>
        <w:tc>
          <w:tcPr>
            <w:tcW w:w="2542" w:type="dxa"/>
            <w:tcBorders>
              <w:top w:val="nil"/>
              <w:left w:val="nil"/>
              <w:bottom w:val="nil"/>
              <w:right w:val="nil"/>
            </w:tcBorders>
            <w:shd w:val="clear" w:color="auto" w:fill="auto"/>
            <w:noWrap/>
          </w:tcPr>
          <w:p w14:paraId="59BB1C67" w14:textId="77777777" w:rsidR="006C24D8" w:rsidRPr="009E35ED" w:rsidRDefault="006C24D8" w:rsidP="005E4F3F">
            <w:pPr>
              <w:ind w:left="0" w:hanging="90"/>
              <w:jc w:val="lef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Documentary Stamp Tax</w:t>
            </w:r>
          </w:p>
        </w:tc>
        <w:tc>
          <w:tcPr>
            <w:tcW w:w="1122" w:type="dxa"/>
            <w:tcBorders>
              <w:top w:val="nil"/>
              <w:left w:val="nil"/>
              <w:bottom w:val="nil"/>
              <w:right w:val="nil"/>
            </w:tcBorders>
            <w:shd w:val="clear" w:color="auto" w:fill="auto"/>
            <w:noWrap/>
          </w:tcPr>
          <w:p w14:paraId="7A3D8450" w14:textId="77777777" w:rsidR="006C24D8" w:rsidRPr="009E35ED" w:rsidRDefault="006C24D8" w:rsidP="005E4F3F">
            <w:pPr>
              <w:ind w:left="0"/>
              <w:jc w:val="righ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20.00%</w:t>
            </w:r>
          </w:p>
        </w:tc>
        <w:tc>
          <w:tcPr>
            <w:tcW w:w="1180" w:type="dxa"/>
            <w:tcBorders>
              <w:top w:val="nil"/>
              <w:left w:val="nil"/>
              <w:bottom w:val="nil"/>
              <w:right w:val="nil"/>
            </w:tcBorders>
            <w:shd w:val="clear" w:color="auto" w:fill="auto"/>
            <w:noWrap/>
          </w:tcPr>
          <w:p w14:paraId="2509FCA8" w14:textId="77777777" w:rsidR="006C24D8" w:rsidRPr="009E35ED" w:rsidRDefault="006C24D8" w:rsidP="005E4F3F">
            <w:pPr>
              <w:ind w:left="0"/>
              <w:jc w:val="righ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20.00%</w:t>
            </w:r>
          </w:p>
        </w:tc>
        <w:tc>
          <w:tcPr>
            <w:tcW w:w="1180" w:type="dxa"/>
            <w:tcBorders>
              <w:top w:val="nil"/>
              <w:left w:val="nil"/>
              <w:bottom w:val="nil"/>
              <w:right w:val="nil"/>
            </w:tcBorders>
            <w:shd w:val="clear" w:color="auto" w:fill="auto"/>
            <w:noWrap/>
          </w:tcPr>
          <w:p w14:paraId="0B2E7BCC" w14:textId="77777777" w:rsidR="006C24D8" w:rsidRPr="009E35ED" w:rsidRDefault="006C24D8" w:rsidP="005E4F3F">
            <w:pPr>
              <w:ind w:left="0"/>
              <w:jc w:val="righ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20.00%</w:t>
            </w:r>
          </w:p>
        </w:tc>
        <w:tc>
          <w:tcPr>
            <w:tcW w:w="1233" w:type="dxa"/>
            <w:tcBorders>
              <w:top w:val="nil"/>
              <w:left w:val="nil"/>
              <w:bottom w:val="nil"/>
              <w:right w:val="nil"/>
            </w:tcBorders>
            <w:shd w:val="clear" w:color="auto" w:fill="auto"/>
            <w:noWrap/>
          </w:tcPr>
          <w:p w14:paraId="114FEE85" w14:textId="77777777" w:rsidR="006C24D8" w:rsidRPr="009E35ED" w:rsidRDefault="006C24D8" w:rsidP="005E4F3F">
            <w:pPr>
              <w:ind w:left="0"/>
              <w:jc w:val="righ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20.00%</w:t>
            </w:r>
          </w:p>
        </w:tc>
        <w:tc>
          <w:tcPr>
            <w:tcW w:w="1383" w:type="dxa"/>
            <w:tcBorders>
              <w:top w:val="nil"/>
              <w:left w:val="nil"/>
              <w:bottom w:val="nil"/>
              <w:right w:val="nil"/>
            </w:tcBorders>
            <w:shd w:val="clear" w:color="auto" w:fill="auto"/>
            <w:noWrap/>
          </w:tcPr>
          <w:p w14:paraId="427E1AA4" w14:textId="77777777" w:rsidR="006C24D8" w:rsidRPr="009E35ED" w:rsidRDefault="006C24D8" w:rsidP="00A046FD">
            <w:pPr>
              <w:ind w:left="0" w:right="-90"/>
              <w:jc w:val="righ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20.00%</w:t>
            </w:r>
          </w:p>
        </w:tc>
      </w:tr>
      <w:tr w:rsidR="00997F75" w:rsidRPr="009E35ED" w14:paraId="642E6250" w14:textId="77777777" w:rsidTr="00A046FD">
        <w:trPr>
          <w:trHeight w:val="252"/>
        </w:trPr>
        <w:tc>
          <w:tcPr>
            <w:tcW w:w="2542" w:type="dxa"/>
            <w:tcBorders>
              <w:top w:val="nil"/>
              <w:left w:val="nil"/>
              <w:bottom w:val="nil"/>
              <w:right w:val="nil"/>
            </w:tcBorders>
            <w:shd w:val="clear" w:color="auto" w:fill="auto"/>
            <w:noWrap/>
            <w:hideMark/>
          </w:tcPr>
          <w:p w14:paraId="384ED21B" w14:textId="77777777" w:rsidR="006C24D8" w:rsidRPr="009E35ED" w:rsidRDefault="006C24D8" w:rsidP="005E4F3F">
            <w:pPr>
              <w:ind w:left="0" w:hanging="90"/>
              <w:jc w:val="lef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Financial Assistance</w:t>
            </w:r>
          </w:p>
        </w:tc>
        <w:tc>
          <w:tcPr>
            <w:tcW w:w="1122" w:type="dxa"/>
            <w:tcBorders>
              <w:top w:val="nil"/>
              <w:left w:val="nil"/>
              <w:bottom w:val="nil"/>
              <w:right w:val="nil"/>
            </w:tcBorders>
            <w:shd w:val="clear" w:color="auto" w:fill="auto"/>
            <w:noWrap/>
            <w:hideMark/>
          </w:tcPr>
          <w:p w14:paraId="42DF3258" w14:textId="7E0EF3F8" w:rsidR="006C24D8" w:rsidRPr="009E35ED" w:rsidRDefault="005E4F3F">
            <w:pPr>
              <w:ind w:left="0"/>
              <w:jc w:val="righ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7.4</w:t>
            </w:r>
            <w:r w:rsidR="004851A0" w:rsidRPr="009E35ED">
              <w:rPr>
                <w:rFonts w:ascii="Arial Narrow" w:hAnsi="Arial Narrow" w:cs="Arial"/>
                <w:color w:val="000000" w:themeColor="text1"/>
                <w:sz w:val="20"/>
                <w:szCs w:val="20"/>
                <w:lang w:val="en-PH"/>
              </w:rPr>
              <w:t>0</w:t>
            </w:r>
            <w:r w:rsidR="006C24D8" w:rsidRPr="009E35ED">
              <w:rPr>
                <w:rFonts w:ascii="Arial Narrow" w:hAnsi="Arial Narrow" w:cs="Arial"/>
                <w:color w:val="000000" w:themeColor="text1"/>
                <w:sz w:val="20"/>
                <w:szCs w:val="20"/>
                <w:lang w:val="en-PH"/>
              </w:rPr>
              <w:t>%</w:t>
            </w:r>
          </w:p>
        </w:tc>
        <w:tc>
          <w:tcPr>
            <w:tcW w:w="1180" w:type="dxa"/>
            <w:tcBorders>
              <w:top w:val="nil"/>
              <w:left w:val="nil"/>
              <w:bottom w:val="nil"/>
              <w:right w:val="nil"/>
            </w:tcBorders>
            <w:shd w:val="clear" w:color="auto" w:fill="auto"/>
            <w:noWrap/>
            <w:hideMark/>
          </w:tcPr>
          <w:p w14:paraId="079B4053" w14:textId="126885B2" w:rsidR="006C24D8" w:rsidRPr="009E35ED" w:rsidRDefault="005E4F3F">
            <w:pPr>
              <w:ind w:left="0"/>
              <w:jc w:val="righ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7.</w:t>
            </w:r>
            <w:r w:rsidR="004851A0" w:rsidRPr="009E35ED">
              <w:rPr>
                <w:rFonts w:ascii="Arial Narrow" w:hAnsi="Arial Narrow" w:cs="Arial"/>
                <w:color w:val="000000" w:themeColor="text1"/>
                <w:sz w:val="20"/>
                <w:szCs w:val="20"/>
                <w:lang w:val="en-PH"/>
              </w:rPr>
              <w:t>40</w:t>
            </w:r>
            <w:r w:rsidR="006C24D8" w:rsidRPr="009E35ED">
              <w:rPr>
                <w:rFonts w:ascii="Arial Narrow" w:hAnsi="Arial Narrow" w:cs="Arial"/>
                <w:color w:val="000000" w:themeColor="text1"/>
                <w:sz w:val="20"/>
                <w:szCs w:val="20"/>
                <w:lang w:val="en-PH"/>
              </w:rPr>
              <w:t>%</w:t>
            </w:r>
          </w:p>
        </w:tc>
        <w:tc>
          <w:tcPr>
            <w:tcW w:w="1180" w:type="dxa"/>
            <w:tcBorders>
              <w:top w:val="nil"/>
              <w:left w:val="nil"/>
              <w:bottom w:val="nil"/>
              <w:right w:val="nil"/>
            </w:tcBorders>
            <w:shd w:val="clear" w:color="auto" w:fill="auto"/>
            <w:noWrap/>
            <w:hideMark/>
          </w:tcPr>
          <w:p w14:paraId="69FF6845" w14:textId="61CE13B6" w:rsidR="006C24D8" w:rsidRPr="009E35ED" w:rsidRDefault="005E4F3F">
            <w:pPr>
              <w:ind w:left="0"/>
              <w:jc w:val="righ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7.</w:t>
            </w:r>
            <w:r w:rsidR="004851A0" w:rsidRPr="009E35ED">
              <w:rPr>
                <w:rFonts w:ascii="Arial Narrow" w:hAnsi="Arial Narrow" w:cs="Arial"/>
                <w:color w:val="000000" w:themeColor="text1"/>
                <w:sz w:val="20"/>
                <w:szCs w:val="20"/>
                <w:lang w:val="en-PH"/>
              </w:rPr>
              <w:t>40</w:t>
            </w:r>
            <w:r w:rsidR="006C24D8" w:rsidRPr="009E35ED">
              <w:rPr>
                <w:rFonts w:ascii="Arial Narrow" w:hAnsi="Arial Narrow" w:cs="Arial"/>
                <w:color w:val="000000" w:themeColor="text1"/>
                <w:sz w:val="20"/>
                <w:szCs w:val="20"/>
                <w:lang w:val="en-PH"/>
              </w:rPr>
              <w:t>%</w:t>
            </w:r>
          </w:p>
        </w:tc>
        <w:tc>
          <w:tcPr>
            <w:tcW w:w="1233" w:type="dxa"/>
            <w:tcBorders>
              <w:top w:val="nil"/>
              <w:left w:val="nil"/>
              <w:bottom w:val="nil"/>
              <w:right w:val="nil"/>
            </w:tcBorders>
            <w:shd w:val="clear" w:color="auto" w:fill="auto"/>
            <w:noWrap/>
            <w:hideMark/>
          </w:tcPr>
          <w:p w14:paraId="06502125" w14:textId="4EF978F9" w:rsidR="006C24D8" w:rsidRPr="009E35ED" w:rsidRDefault="005E4F3F">
            <w:pPr>
              <w:ind w:left="0"/>
              <w:jc w:val="righ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7.</w:t>
            </w:r>
            <w:r w:rsidR="004851A0" w:rsidRPr="009E35ED">
              <w:rPr>
                <w:rFonts w:ascii="Arial Narrow" w:hAnsi="Arial Narrow" w:cs="Arial"/>
                <w:color w:val="000000" w:themeColor="text1"/>
                <w:sz w:val="20"/>
                <w:szCs w:val="20"/>
                <w:lang w:val="en-PH"/>
              </w:rPr>
              <w:t>40</w:t>
            </w:r>
            <w:r w:rsidR="006C24D8" w:rsidRPr="009E35ED">
              <w:rPr>
                <w:rFonts w:ascii="Arial Narrow" w:hAnsi="Arial Narrow" w:cs="Arial"/>
                <w:color w:val="000000" w:themeColor="text1"/>
                <w:sz w:val="20"/>
                <w:szCs w:val="20"/>
                <w:lang w:val="en-PH"/>
              </w:rPr>
              <w:t>%</w:t>
            </w:r>
          </w:p>
        </w:tc>
        <w:tc>
          <w:tcPr>
            <w:tcW w:w="1383" w:type="dxa"/>
            <w:tcBorders>
              <w:top w:val="nil"/>
              <w:left w:val="nil"/>
              <w:bottom w:val="nil"/>
              <w:right w:val="nil"/>
            </w:tcBorders>
            <w:shd w:val="clear" w:color="auto" w:fill="auto"/>
            <w:noWrap/>
            <w:hideMark/>
          </w:tcPr>
          <w:p w14:paraId="4B144881" w14:textId="6270AA35" w:rsidR="006C24D8" w:rsidRPr="009E35ED" w:rsidRDefault="005E4F3F" w:rsidP="00A046FD">
            <w:pPr>
              <w:ind w:left="0" w:right="-90"/>
              <w:jc w:val="righ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7.</w:t>
            </w:r>
            <w:r w:rsidR="004851A0" w:rsidRPr="009E35ED">
              <w:rPr>
                <w:rFonts w:ascii="Arial Narrow" w:hAnsi="Arial Narrow" w:cs="Arial"/>
                <w:color w:val="000000" w:themeColor="text1"/>
                <w:sz w:val="20"/>
                <w:szCs w:val="20"/>
                <w:lang w:val="en-PH"/>
              </w:rPr>
              <w:t>40</w:t>
            </w:r>
            <w:r w:rsidR="006C24D8" w:rsidRPr="009E35ED">
              <w:rPr>
                <w:rFonts w:ascii="Arial Narrow" w:hAnsi="Arial Narrow" w:cs="Arial"/>
                <w:color w:val="000000" w:themeColor="text1"/>
                <w:sz w:val="20"/>
                <w:szCs w:val="20"/>
                <w:lang w:val="en-PH"/>
              </w:rPr>
              <w:t>%</w:t>
            </w:r>
          </w:p>
        </w:tc>
      </w:tr>
      <w:tr w:rsidR="00997F75" w:rsidRPr="009E35ED" w14:paraId="7EFC8940" w14:textId="77777777" w:rsidTr="00A046FD">
        <w:trPr>
          <w:trHeight w:val="303"/>
        </w:trPr>
        <w:tc>
          <w:tcPr>
            <w:tcW w:w="2542" w:type="dxa"/>
            <w:tcBorders>
              <w:top w:val="nil"/>
              <w:left w:val="nil"/>
              <w:bottom w:val="nil"/>
              <w:right w:val="nil"/>
            </w:tcBorders>
            <w:shd w:val="clear" w:color="auto" w:fill="auto"/>
            <w:noWrap/>
            <w:hideMark/>
          </w:tcPr>
          <w:p w14:paraId="627E9504" w14:textId="77777777" w:rsidR="006C24D8" w:rsidRPr="009E35ED" w:rsidRDefault="006C24D8" w:rsidP="005E4F3F">
            <w:pPr>
              <w:ind w:left="0" w:hanging="90"/>
              <w:jc w:val="left"/>
              <w:rPr>
                <w:rFonts w:ascii="Arial Narrow" w:hAnsi="Arial Narrow" w:cs="Arial"/>
                <w:color w:val="000000" w:themeColor="text1"/>
                <w:sz w:val="20"/>
                <w:szCs w:val="20"/>
                <w:lang w:val="en-PH"/>
              </w:rPr>
            </w:pPr>
          </w:p>
        </w:tc>
        <w:tc>
          <w:tcPr>
            <w:tcW w:w="1122" w:type="dxa"/>
            <w:tcBorders>
              <w:top w:val="nil"/>
              <w:left w:val="nil"/>
              <w:bottom w:val="nil"/>
              <w:right w:val="nil"/>
            </w:tcBorders>
            <w:shd w:val="clear" w:color="auto" w:fill="auto"/>
            <w:noWrap/>
            <w:hideMark/>
          </w:tcPr>
          <w:p w14:paraId="2D27A142" w14:textId="77777777" w:rsidR="006C24D8" w:rsidRPr="009E35ED" w:rsidRDefault="006C24D8" w:rsidP="005E4F3F">
            <w:pPr>
              <w:ind w:left="0"/>
              <w:jc w:val="right"/>
              <w:rPr>
                <w:rFonts w:ascii="Arial Narrow" w:hAnsi="Arial Narrow" w:cs="Arial"/>
                <w:color w:val="000000" w:themeColor="text1"/>
                <w:sz w:val="20"/>
                <w:szCs w:val="20"/>
                <w:lang w:val="en-PH"/>
              </w:rPr>
            </w:pPr>
          </w:p>
        </w:tc>
        <w:tc>
          <w:tcPr>
            <w:tcW w:w="1180" w:type="dxa"/>
            <w:tcBorders>
              <w:top w:val="nil"/>
              <w:left w:val="nil"/>
              <w:bottom w:val="nil"/>
              <w:right w:val="nil"/>
            </w:tcBorders>
            <w:shd w:val="clear" w:color="auto" w:fill="auto"/>
            <w:noWrap/>
            <w:hideMark/>
          </w:tcPr>
          <w:p w14:paraId="64621C8B" w14:textId="77777777" w:rsidR="006C24D8" w:rsidRPr="009E35ED" w:rsidRDefault="006C24D8" w:rsidP="005E4F3F">
            <w:pPr>
              <w:ind w:left="0"/>
              <w:jc w:val="right"/>
              <w:rPr>
                <w:rFonts w:ascii="Arial Narrow" w:hAnsi="Arial Narrow" w:cs="Arial"/>
                <w:color w:val="000000" w:themeColor="text1"/>
                <w:sz w:val="20"/>
                <w:szCs w:val="20"/>
                <w:lang w:val="en-PH"/>
              </w:rPr>
            </w:pPr>
          </w:p>
        </w:tc>
        <w:tc>
          <w:tcPr>
            <w:tcW w:w="1180" w:type="dxa"/>
            <w:tcBorders>
              <w:top w:val="nil"/>
              <w:left w:val="nil"/>
              <w:bottom w:val="nil"/>
              <w:right w:val="nil"/>
            </w:tcBorders>
            <w:shd w:val="clear" w:color="auto" w:fill="auto"/>
            <w:noWrap/>
            <w:hideMark/>
          </w:tcPr>
          <w:p w14:paraId="22EDE9D9" w14:textId="77777777" w:rsidR="006C24D8" w:rsidRPr="009E35ED" w:rsidRDefault="006C24D8" w:rsidP="005E4F3F">
            <w:pPr>
              <w:ind w:left="0"/>
              <w:jc w:val="right"/>
              <w:rPr>
                <w:rFonts w:ascii="Arial Narrow" w:hAnsi="Arial Narrow" w:cs="Arial"/>
                <w:color w:val="000000" w:themeColor="text1"/>
                <w:sz w:val="20"/>
                <w:szCs w:val="20"/>
                <w:lang w:val="en-PH"/>
              </w:rPr>
            </w:pPr>
          </w:p>
        </w:tc>
        <w:tc>
          <w:tcPr>
            <w:tcW w:w="1233" w:type="dxa"/>
            <w:tcBorders>
              <w:top w:val="nil"/>
              <w:left w:val="nil"/>
              <w:bottom w:val="nil"/>
              <w:right w:val="nil"/>
            </w:tcBorders>
            <w:shd w:val="clear" w:color="auto" w:fill="auto"/>
            <w:noWrap/>
            <w:hideMark/>
          </w:tcPr>
          <w:p w14:paraId="1C30EC25" w14:textId="77777777" w:rsidR="006C24D8" w:rsidRPr="009E35ED" w:rsidRDefault="006C24D8" w:rsidP="005E4F3F">
            <w:pPr>
              <w:ind w:left="0"/>
              <w:jc w:val="right"/>
              <w:rPr>
                <w:rFonts w:ascii="Arial Narrow" w:hAnsi="Arial Narrow" w:cs="Arial"/>
                <w:color w:val="000000" w:themeColor="text1"/>
                <w:sz w:val="20"/>
                <w:szCs w:val="20"/>
                <w:lang w:val="en-PH"/>
              </w:rPr>
            </w:pPr>
          </w:p>
        </w:tc>
        <w:tc>
          <w:tcPr>
            <w:tcW w:w="1383" w:type="dxa"/>
            <w:tcBorders>
              <w:top w:val="nil"/>
              <w:left w:val="nil"/>
              <w:bottom w:val="nil"/>
              <w:right w:val="nil"/>
            </w:tcBorders>
            <w:shd w:val="clear" w:color="auto" w:fill="auto"/>
            <w:noWrap/>
            <w:hideMark/>
          </w:tcPr>
          <w:p w14:paraId="1BE017C4" w14:textId="77777777" w:rsidR="006C24D8" w:rsidRPr="009E35ED" w:rsidRDefault="006C24D8" w:rsidP="00A046FD">
            <w:pPr>
              <w:ind w:left="0" w:right="-90"/>
              <w:jc w:val="right"/>
              <w:rPr>
                <w:rFonts w:ascii="Arial Narrow" w:hAnsi="Arial Narrow" w:cs="Arial"/>
                <w:color w:val="000000" w:themeColor="text1"/>
                <w:sz w:val="20"/>
                <w:szCs w:val="20"/>
                <w:lang w:val="en-PH"/>
              </w:rPr>
            </w:pPr>
          </w:p>
        </w:tc>
      </w:tr>
      <w:tr w:rsidR="00997F75" w:rsidRPr="009E35ED" w14:paraId="56D2F831" w14:textId="77777777" w:rsidTr="00A046FD">
        <w:trPr>
          <w:trHeight w:val="369"/>
        </w:trPr>
        <w:tc>
          <w:tcPr>
            <w:tcW w:w="2542" w:type="dxa"/>
            <w:tcBorders>
              <w:top w:val="nil"/>
              <w:left w:val="nil"/>
              <w:bottom w:val="nil"/>
              <w:right w:val="nil"/>
            </w:tcBorders>
            <w:shd w:val="clear" w:color="auto" w:fill="auto"/>
            <w:noWrap/>
            <w:hideMark/>
          </w:tcPr>
          <w:p w14:paraId="392A4E4B" w14:textId="77777777" w:rsidR="006C24D8" w:rsidRPr="009E35ED" w:rsidRDefault="006C24D8" w:rsidP="005E4F3F">
            <w:pPr>
              <w:ind w:left="0" w:hanging="90"/>
              <w:jc w:val="left"/>
              <w:rPr>
                <w:rFonts w:ascii="Arial Narrow" w:hAnsi="Arial Narrow" w:cs="Arial"/>
                <w:b/>
                <w:bCs/>
                <w:color w:val="000000" w:themeColor="text1"/>
                <w:sz w:val="20"/>
                <w:szCs w:val="20"/>
                <w:lang w:val="en-PH"/>
              </w:rPr>
            </w:pPr>
            <w:r w:rsidRPr="009E35ED">
              <w:rPr>
                <w:rFonts w:ascii="Arial Narrow" w:hAnsi="Arial Narrow" w:cs="Arial"/>
                <w:b/>
                <w:bCs/>
                <w:color w:val="000000" w:themeColor="text1"/>
                <w:sz w:val="20"/>
                <w:szCs w:val="20"/>
                <w:lang w:val="en-PH"/>
              </w:rPr>
              <w:t>III. Operating Fund  (15% of NR)</w:t>
            </w:r>
          </w:p>
        </w:tc>
        <w:tc>
          <w:tcPr>
            <w:tcW w:w="1122" w:type="dxa"/>
            <w:tcBorders>
              <w:top w:val="nil"/>
              <w:left w:val="nil"/>
              <w:bottom w:val="nil"/>
              <w:right w:val="nil"/>
            </w:tcBorders>
            <w:shd w:val="clear" w:color="auto" w:fill="auto"/>
            <w:noWrap/>
            <w:hideMark/>
          </w:tcPr>
          <w:p w14:paraId="270A5868" w14:textId="77777777" w:rsidR="006C24D8" w:rsidRPr="009E35ED" w:rsidRDefault="006C24D8" w:rsidP="005E4F3F">
            <w:pPr>
              <w:ind w:left="0"/>
              <w:jc w:val="right"/>
              <w:rPr>
                <w:rFonts w:ascii="Arial Narrow" w:hAnsi="Arial Narrow" w:cs="Arial"/>
                <w:b/>
                <w:bCs/>
                <w:color w:val="000000" w:themeColor="text1"/>
                <w:sz w:val="20"/>
                <w:szCs w:val="20"/>
                <w:lang w:val="en-PH"/>
              </w:rPr>
            </w:pPr>
            <w:r w:rsidRPr="009E35ED">
              <w:rPr>
                <w:rFonts w:ascii="Arial Narrow" w:hAnsi="Arial Narrow" w:cs="Arial"/>
                <w:b/>
                <w:bCs/>
                <w:color w:val="000000" w:themeColor="text1"/>
                <w:sz w:val="20"/>
                <w:szCs w:val="20"/>
                <w:lang w:val="en-PH"/>
              </w:rPr>
              <w:t>14.70%</w:t>
            </w:r>
          </w:p>
        </w:tc>
        <w:tc>
          <w:tcPr>
            <w:tcW w:w="1180" w:type="dxa"/>
            <w:tcBorders>
              <w:top w:val="nil"/>
              <w:left w:val="nil"/>
              <w:bottom w:val="nil"/>
              <w:right w:val="nil"/>
            </w:tcBorders>
            <w:shd w:val="clear" w:color="auto" w:fill="auto"/>
            <w:noWrap/>
            <w:hideMark/>
          </w:tcPr>
          <w:p w14:paraId="52EE5A5B" w14:textId="77777777" w:rsidR="006C24D8" w:rsidRPr="009E35ED" w:rsidRDefault="006C24D8" w:rsidP="005E4F3F">
            <w:pPr>
              <w:ind w:left="0"/>
              <w:jc w:val="right"/>
              <w:rPr>
                <w:rFonts w:ascii="Arial Narrow" w:hAnsi="Arial Narrow" w:cs="Arial"/>
                <w:b/>
                <w:bCs/>
                <w:color w:val="000000" w:themeColor="text1"/>
                <w:sz w:val="20"/>
                <w:szCs w:val="20"/>
                <w:lang w:val="en-PH"/>
              </w:rPr>
            </w:pPr>
            <w:r w:rsidRPr="009E35ED">
              <w:rPr>
                <w:rFonts w:ascii="Arial Narrow" w:hAnsi="Arial Narrow" w:cs="Arial"/>
                <w:b/>
                <w:bCs/>
                <w:color w:val="000000" w:themeColor="text1"/>
                <w:sz w:val="20"/>
                <w:szCs w:val="20"/>
                <w:lang w:val="en-PH"/>
              </w:rPr>
              <w:t>14.70%</w:t>
            </w:r>
          </w:p>
        </w:tc>
        <w:tc>
          <w:tcPr>
            <w:tcW w:w="1180" w:type="dxa"/>
            <w:tcBorders>
              <w:top w:val="nil"/>
              <w:left w:val="nil"/>
              <w:bottom w:val="nil"/>
              <w:right w:val="nil"/>
            </w:tcBorders>
            <w:shd w:val="clear" w:color="auto" w:fill="auto"/>
            <w:noWrap/>
            <w:hideMark/>
          </w:tcPr>
          <w:p w14:paraId="1D0D4754" w14:textId="77777777" w:rsidR="006C24D8" w:rsidRPr="009E35ED" w:rsidRDefault="006C24D8" w:rsidP="005E4F3F">
            <w:pPr>
              <w:ind w:left="0"/>
              <w:jc w:val="right"/>
              <w:rPr>
                <w:rFonts w:ascii="Arial Narrow" w:hAnsi="Arial Narrow" w:cs="Arial"/>
                <w:b/>
                <w:bCs/>
                <w:color w:val="000000" w:themeColor="text1"/>
                <w:sz w:val="20"/>
                <w:szCs w:val="20"/>
                <w:lang w:val="en-PH"/>
              </w:rPr>
            </w:pPr>
            <w:r w:rsidRPr="009E35ED">
              <w:rPr>
                <w:rFonts w:ascii="Arial Narrow" w:hAnsi="Arial Narrow" w:cs="Arial"/>
                <w:b/>
                <w:bCs/>
                <w:color w:val="000000" w:themeColor="text1"/>
                <w:sz w:val="20"/>
                <w:szCs w:val="20"/>
                <w:lang w:val="en-PH"/>
              </w:rPr>
              <w:t>14.70%</w:t>
            </w:r>
          </w:p>
        </w:tc>
        <w:tc>
          <w:tcPr>
            <w:tcW w:w="1233" w:type="dxa"/>
            <w:tcBorders>
              <w:top w:val="nil"/>
              <w:left w:val="nil"/>
              <w:bottom w:val="nil"/>
              <w:right w:val="nil"/>
            </w:tcBorders>
            <w:shd w:val="clear" w:color="auto" w:fill="auto"/>
            <w:noWrap/>
            <w:hideMark/>
          </w:tcPr>
          <w:p w14:paraId="21761512" w14:textId="77777777" w:rsidR="006C24D8" w:rsidRPr="009E35ED" w:rsidRDefault="006C24D8" w:rsidP="005E4F3F">
            <w:pPr>
              <w:ind w:left="0"/>
              <w:jc w:val="right"/>
              <w:rPr>
                <w:rFonts w:ascii="Arial Narrow" w:hAnsi="Arial Narrow" w:cs="Arial"/>
                <w:b/>
                <w:bCs/>
                <w:color w:val="000000" w:themeColor="text1"/>
                <w:sz w:val="20"/>
                <w:szCs w:val="20"/>
                <w:lang w:val="en-PH"/>
              </w:rPr>
            </w:pPr>
            <w:r w:rsidRPr="009E35ED">
              <w:rPr>
                <w:rFonts w:ascii="Arial Narrow" w:hAnsi="Arial Narrow" w:cs="Arial"/>
                <w:b/>
                <w:bCs/>
                <w:color w:val="000000" w:themeColor="text1"/>
                <w:sz w:val="20"/>
                <w:szCs w:val="20"/>
                <w:lang w:val="en-PH"/>
              </w:rPr>
              <w:t>14.70%</w:t>
            </w:r>
          </w:p>
        </w:tc>
        <w:tc>
          <w:tcPr>
            <w:tcW w:w="1383" w:type="dxa"/>
            <w:tcBorders>
              <w:top w:val="nil"/>
              <w:left w:val="nil"/>
              <w:bottom w:val="nil"/>
              <w:right w:val="nil"/>
            </w:tcBorders>
            <w:shd w:val="clear" w:color="auto" w:fill="auto"/>
            <w:noWrap/>
            <w:hideMark/>
          </w:tcPr>
          <w:p w14:paraId="4A1305D1" w14:textId="77777777" w:rsidR="006C24D8" w:rsidRPr="009E35ED" w:rsidRDefault="006C24D8" w:rsidP="00A046FD">
            <w:pPr>
              <w:ind w:left="0" w:right="-90"/>
              <w:jc w:val="right"/>
              <w:rPr>
                <w:rFonts w:ascii="Arial Narrow" w:hAnsi="Arial Narrow" w:cs="Arial"/>
                <w:b/>
                <w:bCs/>
                <w:color w:val="000000" w:themeColor="text1"/>
                <w:sz w:val="20"/>
                <w:szCs w:val="20"/>
                <w:lang w:val="en-PH"/>
              </w:rPr>
            </w:pPr>
            <w:r w:rsidRPr="009E35ED">
              <w:rPr>
                <w:rFonts w:ascii="Arial Narrow" w:hAnsi="Arial Narrow" w:cs="Arial"/>
                <w:b/>
                <w:bCs/>
                <w:color w:val="000000" w:themeColor="text1"/>
                <w:sz w:val="20"/>
                <w:szCs w:val="20"/>
                <w:lang w:val="en-PH"/>
              </w:rPr>
              <w:t>14.70%</w:t>
            </w:r>
          </w:p>
        </w:tc>
      </w:tr>
      <w:tr w:rsidR="00997F75" w:rsidRPr="009E35ED" w14:paraId="7883312C" w14:textId="77777777" w:rsidTr="00A046FD">
        <w:trPr>
          <w:trHeight w:val="234"/>
        </w:trPr>
        <w:tc>
          <w:tcPr>
            <w:tcW w:w="2542" w:type="dxa"/>
            <w:tcBorders>
              <w:top w:val="nil"/>
              <w:left w:val="nil"/>
              <w:right w:val="nil"/>
            </w:tcBorders>
            <w:shd w:val="clear" w:color="auto" w:fill="auto"/>
            <w:noWrap/>
            <w:hideMark/>
          </w:tcPr>
          <w:p w14:paraId="768864C3" w14:textId="3D0A9358" w:rsidR="006C24D8" w:rsidRPr="009E35ED" w:rsidRDefault="004851A0" w:rsidP="005E4F3F">
            <w:pPr>
              <w:ind w:left="0" w:hanging="90"/>
              <w:jc w:val="lef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PLS Cost</w:t>
            </w:r>
          </w:p>
        </w:tc>
        <w:tc>
          <w:tcPr>
            <w:tcW w:w="1122" w:type="dxa"/>
            <w:tcBorders>
              <w:top w:val="nil"/>
              <w:left w:val="nil"/>
              <w:right w:val="nil"/>
            </w:tcBorders>
            <w:shd w:val="clear" w:color="auto" w:fill="auto"/>
            <w:noWrap/>
            <w:hideMark/>
          </w:tcPr>
          <w:p w14:paraId="698E7B6F" w14:textId="01A3CAD2" w:rsidR="006C24D8" w:rsidRPr="009E35ED" w:rsidRDefault="004851A0" w:rsidP="005E4F3F">
            <w:pPr>
              <w:ind w:left="0"/>
              <w:jc w:val="righ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0.48%</w:t>
            </w:r>
          </w:p>
        </w:tc>
        <w:tc>
          <w:tcPr>
            <w:tcW w:w="1180" w:type="dxa"/>
            <w:tcBorders>
              <w:top w:val="nil"/>
              <w:left w:val="nil"/>
              <w:right w:val="nil"/>
            </w:tcBorders>
            <w:shd w:val="clear" w:color="auto" w:fill="auto"/>
            <w:noWrap/>
            <w:hideMark/>
          </w:tcPr>
          <w:p w14:paraId="1A222F10" w14:textId="3D23BC30" w:rsidR="006C24D8" w:rsidRPr="009E35ED" w:rsidRDefault="004851A0" w:rsidP="005E4F3F">
            <w:pPr>
              <w:ind w:left="0"/>
              <w:jc w:val="righ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0.48%</w:t>
            </w:r>
          </w:p>
        </w:tc>
        <w:tc>
          <w:tcPr>
            <w:tcW w:w="1180" w:type="dxa"/>
            <w:tcBorders>
              <w:top w:val="nil"/>
              <w:left w:val="nil"/>
              <w:right w:val="nil"/>
            </w:tcBorders>
            <w:shd w:val="clear" w:color="auto" w:fill="auto"/>
            <w:noWrap/>
            <w:hideMark/>
          </w:tcPr>
          <w:p w14:paraId="2C743535" w14:textId="234CDFBA" w:rsidR="006C24D8" w:rsidRPr="009E35ED" w:rsidRDefault="004851A0" w:rsidP="005E4F3F">
            <w:pPr>
              <w:ind w:left="0"/>
              <w:jc w:val="righ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0.48%</w:t>
            </w:r>
          </w:p>
        </w:tc>
        <w:tc>
          <w:tcPr>
            <w:tcW w:w="1233" w:type="dxa"/>
            <w:tcBorders>
              <w:top w:val="nil"/>
              <w:left w:val="nil"/>
              <w:right w:val="nil"/>
            </w:tcBorders>
            <w:shd w:val="clear" w:color="auto" w:fill="auto"/>
            <w:noWrap/>
            <w:hideMark/>
          </w:tcPr>
          <w:p w14:paraId="0129F52B" w14:textId="47A763FB" w:rsidR="006C24D8" w:rsidRPr="009E35ED" w:rsidRDefault="004851A0" w:rsidP="005E4F3F">
            <w:pPr>
              <w:ind w:left="0"/>
              <w:jc w:val="righ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0.48%</w:t>
            </w:r>
          </w:p>
        </w:tc>
        <w:tc>
          <w:tcPr>
            <w:tcW w:w="1383" w:type="dxa"/>
            <w:tcBorders>
              <w:top w:val="nil"/>
              <w:left w:val="nil"/>
              <w:right w:val="nil"/>
            </w:tcBorders>
            <w:shd w:val="clear" w:color="auto" w:fill="auto"/>
            <w:noWrap/>
            <w:hideMark/>
          </w:tcPr>
          <w:p w14:paraId="41AF2DF7" w14:textId="575BD9A3" w:rsidR="006C24D8" w:rsidRPr="009E35ED" w:rsidRDefault="004851A0" w:rsidP="00A046FD">
            <w:pPr>
              <w:ind w:left="0" w:right="-90"/>
              <w:jc w:val="righ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0.48%</w:t>
            </w:r>
          </w:p>
        </w:tc>
      </w:tr>
      <w:tr w:rsidR="00997F75" w:rsidRPr="009E35ED" w14:paraId="231714A1" w14:textId="77777777" w:rsidTr="00A046FD">
        <w:trPr>
          <w:trHeight w:val="180"/>
        </w:trPr>
        <w:tc>
          <w:tcPr>
            <w:tcW w:w="2542" w:type="dxa"/>
            <w:tcBorders>
              <w:top w:val="nil"/>
              <w:left w:val="nil"/>
              <w:bottom w:val="single" w:sz="4" w:space="0" w:color="auto"/>
              <w:right w:val="nil"/>
            </w:tcBorders>
            <w:shd w:val="clear" w:color="auto" w:fill="auto"/>
            <w:noWrap/>
            <w:hideMark/>
          </w:tcPr>
          <w:p w14:paraId="5C02657C" w14:textId="77777777" w:rsidR="006C24D8" w:rsidRPr="009E35ED" w:rsidRDefault="006C24D8" w:rsidP="005E4F3F">
            <w:pPr>
              <w:ind w:left="0" w:hanging="90"/>
              <w:jc w:val="lef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Net Operating Fund</w:t>
            </w:r>
          </w:p>
        </w:tc>
        <w:tc>
          <w:tcPr>
            <w:tcW w:w="1122" w:type="dxa"/>
            <w:tcBorders>
              <w:top w:val="nil"/>
              <w:left w:val="nil"/>
              <w:bottom w:val="single" w:sz="4" w:space="0" w:color="auto"/>
              <w:right w:val="nil"/>
            </w:tcBorders>
            <w:shd w:val="clear" w:color="auto" w:fill="auto"/>
            <w:noWrap/>
            <w:hideMark/>
          </w:tcPr>
          <w:p w14:paraId="62FC33AA" w14:textId="6BE2FA4D" w:rsidR="006C24D8" w:rsidRPr="009E35ED" w:rsidRDefault="006C24D8">
            <w:pPr>
              <w:ind w:left="0"/>
              <w:jc w:val="righ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1</w:t>
            </w:r>
            <w:r w:rsidR="004851A0" w:rsidRPr="009E35ED">
              <w:rPr>
                <w:rFonts w:ascii="Arial Narrow" w:hAnsi="Arial Narrow" w:cs="Arial"/>
                <w:color w:val="000000" w:themeColor="text1"/>
                <w:sz w:val="20"/>
                <w:szCs w:val="20"/>
                <w:lang w:val="en-PH"/>
              </w:rPr>
              <w:t>4</w:t>
            </w:r>
            <w:r w:rsidRPr="009E35ED">
              <w:rPr>
                <w:rFonts w:ascii="Arial Narrow" w:hAnsi="Arial Narrow" w:cs="Arial"/>
                <w:color w:val="000000" w:themeColor="text1"/>
                <w:sz w:val="20"/>
                <w:szCs w:val="20"/>
                <w:lang w:val="en-PH"/>
              </w:rPr>
              <w:t>.</w:t>
            </w:r>
            <w:r w:rsidR="004851A0" w:rsidRPr="009E35ED">
              <w:rPr>
                <w:rFonts w:ascii="Arial Narrow" w:hAnsi="Arial Narrow" w:cs="Arial"/>
                <w:color w:val="000000" w:themeColor="text1"/>
                <w:sz w:val="20"/>
                <w:szCs w:val="20"/>
                <w:lang w:val="en-PH"/>
              </w:rPr>
              <w:t>22</w:t>
            </w:r>
            <w:r w:rsidRPr="009E35ED">
              <w:rPr>
                <w:rFonts w:ascii="Arial Narrow" w:hAnsi="Arial Narrow" w:cs="Arial"/>
                <w:color w:val="000000" w:themeColor="text1"/>
                <w:sz w:val="20"/>
                <w:szCs w:val="20"/>
                <w:lang w:val="en-PH"/>
              </w:rPr>
              <w:t>%</w:t>
            </w:r>
          </w:p>
        </w:tc>
        <w:tc>
          <w:tcPr>
            <w:tcW w:w="1180" w:type="dxa"/>
            <w:tcBorders>
              <w:top w:val="nil"/>
              <w:left w:val="nil"/>
              <w:bottom w:val="single" w:sz="4" w:space="0" w:color="auto"/>
              <w:right w:val="nil"/>
            </w:tcBorders>
            <w:shd w:val="clear" w:color="auto" w:fill="auto"/>
            <w:noWrap/>
            <w:hideMark/>
          </w:tcPr>
          <w:p w14:paraId="0056F700" w14:textId="0DC4DA34" w:rsidR="006C24D8" w:rsidRPr="009E35ED" w:rsidRDefault="004851A0" w:rsidP="005E4F3F">
            <w:pPr>
              <w:ind w:left="0"/>
              <w:jc w:val="righ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14.22</w:t>
            </w:r>
            <w:r w:rsidR="006C24D8" w:rsidRPr="009E35ED">
              <w:rPr>
                <w:rFonts w:ascii="Arial Narrow" w:hAnsi="Arial Narrow" w:cs="Arial"/>
                <w:color w:val="000000" w:themeColor="text1"/>
                <w:sz w:val="20"/>
                <w:szCs w:val="20"/>
                <w:lang w:val="en-PH"/>
              </w:rPr>
              <w:t>%</w:t>
            </w:r>
          </w:p>
        </w:tc>
        <w:tc>
          <w:tcPr>
            <w:tcW w:w="1180" w:type="dxa"/>
            <w:tcBorders>
              <w:top w:val="nil"/>
              <w:left w:val="nil"/>
              <w:bottom w:val="single" w:sz="4" w:space="0" w:color="auto"/>
              <w:right w:val="nil"/>
            </w:tcBorders>
            <w:shd w:val="clear" w:color="auto" w:fill="auto"/>
            <w:noWrap/>
            <w:hideMark/>
          </w:tcPr>
          <w:p w14:paraId="234E603E" w14:textId="22BE3FCC" w:rsidR="006C24D8" w:rsidRPr="009E35ED" w:rsidRDefault="004851A0" w:rsidP="005E4F3F">
            <w:pPr>
              <w:ind w:left="0"/>
              <w:jc w:val="righ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14.22</w:t>
            </w:r>
            <w:r w:rsidR="006C24D8" w:rsidRPr="009E35ED">
              <w:rPr>
                <w:rFonts w:ascii="Arial Narrow" w:hAnsi="Arial Narrow" w:cs="Arial"/>
                <w:color w:val="000000" w:themeColor="text1"/>
                <w:sz w:val="20"/>
                <w:szCs w:val="20"/>
                <w:lang w:val="en-PH"/>
              </w:rPr>
              <w:t>%</w:t>
            </w:r>
          </w:p>
        </w:tc>
        <w:tc>
          <w:tcPr>
            <w:tcW w:w="1233" w:type="dxa"/>
            <w:tcBorders>
              <w:top w:val="nil"/>
              <w:left w:val="nil"/>
              <w:bottom w:val="single" w:sz="4" w:space="0" w:color="auto"/>
              <w:right w:val="nil"/>
            </w:tcBorders>
            <w:shd w:val="clear" w:color="auto" w:fill="auto"/>
            <w:noWrap/>
            <w:hideMark/>
          </w:tcPr>
          <w:p w14:paraId="10CEE892" w14:textId="585F15EE" w:rsidR="006C24D8" w:rsidRPr="009E35ED" w:rsidRDefault="004851A0" w:rsidP="005E4F3F">
            <w:pPr>
              <w:ind w:left="0"/>
              <w:jc w:val="righ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14.22</w:t>
            </w:r>
            <w:r w:rsidR="006C24D8" w:rsidRPr="009E35ED">
              <w:rPr>
                <w:rFonts w:ascii="Arial Narrow" w:hAnsi="Arial Narrow" w:cs="Arial"/>
                <w:color w:val="000000" w:themeColor="text1"/>
                <w:sz w:val="20"/>
                <w:szCs w:val="20"/>
                <w:lang w:val="en-PH"/>
              </w:rPr>
              <w:t>%</w:t>
            </w:r>
          </w:p>
        </w:tc>
        <w:tc>
          <w:tcPr>
            <w:tcW w:w="1383" w:type="dxa"/>
            <w:tcBorders>
              <w:top w:val="nil"/>
              <w:left w:val="nil"/>
              <w:bottom w:val="single" w:sz="4" w:space="0" w:color="auto"/>
              <w:right w:val="nil"/>
            </w:tcBorders>
            <w:shd w:val="clear" w:color="auto" w:fill="auto"/>
            <w:noWrap/>
            <w:hideMark/>
          </w:tcPr>
          <w:p w14:paraId="6CBCD3D2" w14:textId="3C2FA10F" w:rsidR="006C24D8" w:rsidRPr="009E35ED" w:rsidRDefault="004851A0" w:rsidP="00A046FD">
            <w:pPr>
              <w:ind w:left="0" w:right="-90"/>
              <w:jc w:val="righ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14.22</w:t>
            </w:r>
            <w:r w:rsidR="006C24D8" w:rsidRPr="009E35ED">
              <w:rPr>
                <w:rFonts w:ascii="Arial Narrow" w:hAnsi="Arial Narrow" w:cs="Arial"/>
                <w:color w:val="000000" w:themeColor="text1"/>
                <w:sz w:val="20"/>
                <w:szCs w:val="20"/>
                <w:lang w:val="en-PH"/>
              </w:rPr>
              <w:t>%</w:t>
            </w:r>
          </w:p>
        </w:tc>
      </w:tr>
    </w:tbl>
    <w:p w14:paraId="477F2959" w14:textId="27072C18" w:rsidR="006C24D8" w:rsidRPr="009E35ED" w:rsidRDefault="006C24D8" w:rsidP="006C24D8">
      <w:pPr>
        <w:ind w:left="0"/>
        <w:rPr>
          <w:rFonts w:ascii="Arial" w:hAnsi="Arial" w:cs="Arial"/>
          <w:i/>
          <w:iCs/>
          <w:color w:val="000000" w:themeColor="text1"/>
          <w:sz w:val="20"/>
          <w:szCs w:val="20"/>
        </w:rPr>
      </w:pPr>
      <w:r w:rsidRPr="009E35ED">
        <w:rPr>
          <w:rFonts w:ascii="Arial" w:hAnsi="Arial" w:cs="Arial"/>
          <w:i/>
          <w:iCs/>
          <w:color w:val="000000" w:themeColor="text1"/>
          <w:sz w:val="20"/>
          <w:szCs w:val="20"/>
        </w:rPr>
        <w:t>*Starting October 1, 2023, Philippine Lottery System</w:t>
      </w:r>
      <w:r w:rsidR="004851A0" w:rsidRPr="009E35ED">
        <w:rPr>
          <w:rFonts w:ascii="Arial" w:hAnsi="Arial" w:cs="Arial"/>
          <w:i/>
          <w:iCs/>
          <w:color w:val="000000" w:themeColor="text1"/>
          <w:sz w:val="20"/>
          <w:szCs w:val="20"/>
        </w:rPr>
        <w:t xml:space="preserve"> (PLS) Cost (Rent Expense – Lotto Equipment will not have fixed percentage or will </w:t>
      </w:r>
      <w:r w:rsidR="00C90EAD" w:rsidRPr="009E35ED">
        <w:rPr>
          <w:rFonts w:ascii="Arial" w:hAnsi="Arial" w:cs="Arial"/>
          <w:i/>
          <w:iCs/>
          <w:color w:val="000000" w:themeColor="text1"/>
          <w:sz w:val="20"/>
          <w:szCs w:val="20"/>
        </w:rPr>
        <w:t xml:space="preserve">not </w:t>
      </w:r>
      <w:r w:rsidR="004851A0" w:rsidRPr="009E35ED">
        <w:rPr>
          <w:rFonts w:ascii="Arial" w:hAnsi="Arial" w:cs="Arial"/>
          <w:i/>
          <w:iCs/>
          <w:color w:val="000000" w:themeColor="text1"/>
          <w:sz w:val="20"/>
          <w:szCs w:val="20"/>
        </w:rPr>
        <w:t xml:space="preserve">remain variable due to dependency on the sales of each games. During the implementation of PLS, the cost </w:t>
      </w:r>
      <w:r w:rsidRPr="009E35ED">
        <w:rPr>
          <w:rFonts w:ascii="Arial" w:hAnsi="Arial" w:cs="Arial"/>
          <w:i/>
          <w:iCs/>
          <w:color w:val="000000" w:themeColor="text1"/>
          <w:sz w:val="20"/>
          <w:szCs w:val="20"/>
        </w:rPr>
        <w:t xml:space="preserve">has a </w:t>
      </w:r>
      <w:r w:rsidR="004851A0" w:rsidRPr="009E35ED">
        <w:rPr>
          <w:rFonts w:ascii="Arial" w:hAnsi="Arial" w:cs="Arial"/>
          <w:i/>
          <w:iCs/>
          <w:color w:val="000000" w:themeColor="text1"/>
          <w:sz w:val="20"/>
          <w:szCs w:val="20"/>
        </w:rPr>
        <w:t xml:space="preserve">fixed contract price of </w:t>
      </w:r>
      <w:r w:rsidR="00F10767">
        <w:rPr>
          <w:rFonts w:ascii="Arial" w:hAnsi="Arial" w:cs="Arial"/>
          <w:i/>
          <w:iCs/>
          <w:color w:val="000000" w:themeColor="text1"/>
          <w:sz w:val="20"/>
          <w:szCs w:val="20"/>
        </w:rPr>
        <w:t>P</w:t>
      </w:r>
      <w:r w:rsidR="004851A0" w:rsidRPr="009E35ED">
        <w:rPr>
          <w:rFonts w:ascii="Arial" w:hAnsi="Arial" w:cs="Arial"/>
          <w:i/>
          <w:iCs/>
          <w:color w:val="000000" w:themeColor="text1"/>
          <w:sz w:val="20"/>
          <w:szCs w:val="20"/>
        </w:rPr>
        <w:t>5,</w:t>
      </w:r>
      <w:r w:rsidRPr="009E35ED">
        <w:rPr>
          <w:rFonts w:ascii="Arial" w:hAnsi="Arial" w:cs="Arial"/>
          <w:i/>
          <w:iCs/>
          <w:color w:val="000000" w:themeColor="text1"/>
          <w:sz w:val="20"/>
          <w:szCs w:val="20"/>
        </w:rPr>
        <w:t>8</w:t>
      </w:r>
      <w:r w:rsidR="004851A0" w:rsidRPr="009E35ED">
        <w:rPr>
          <w:rFonts w:ascii="Arial" w:hAnsi="Arial" w:cs="Arial"/>
          <w:i/>
          <w:iCs/>
          <w:color w:val="000000" w:themeColor="text1"/>
          <w:sz w:val="20"/>
          <w:szCs w:val="20"/>
        </w:rPr>
        <w:t>00,000,000.00 with the term of</w:t>
      </w:r>
      <w:r w:rsidRPr="009E35ED">
        <w:rPr>
          <w:rFonts w:ascii="Arial" w:hAnsi="Arial" w:cs="Arial"/>
          <w:i/>
          <w:iCs/>
          <w:color w:val="000000" w:themeColor="text1"/>
          <w:sz w:val="20"/>
          <w:szCs w:val="20"/>
        </w:rPr>
        <w:t xml:space="preserve"> 5 years</w:t>
      </w:r>
      <w:r w:rsidR="004851A0" w:rsidRPr="009E35ED">
        <w:rPr>
          <w:rFonts w:ascii="Arial" w:hAnsi="Arial" w:cs="Arial"/>
          <w:i/>
          <w:iCs/>
          <w:color w:val="000000" w:themeColor="text1"/>
          <w:sz w:val="20"/>
          <w:szCs w:val="20"/>
        </w:rPr>
        <w:t xml:space="preserve"> or P1,160,000,000.00 per year</w:t>
      </w:r>
      <w:r w:rsidRPr="009E35ED">
        <w:rPr>
          <w:rFonts w:ascii="Arial" w:hAnsi="Arial" w:cs="Arial"/>
          <w:i/>
          <w:iCs/>
          <w:color w:val="000000" w:themeColor="text1"/>
          <w:sz w:val="20"/>
          <w:szCs w:val="20"/>
        </w:rPr>
        <w:t xml:space="preserve">. </w:t>
      </w:r>
      <w:r w:rsidR="004851A0" w:rsidRPr="009E35ED">
        <w:rPr>
          <w:rFonts w:ascii="Arial" w:hAnsi="Arial" w:cs="Arial"/>
          <w:i/>
          <w:iCs/>
          <w:color w:val="000000" w:themeColor="text1"/>
          <w:sz w:val="20"/>
          <w:szCs w:val="20"/>
        </w:rPr>
        <w:t>This means</w:t>
      </w:r>
      <w:r w:rsidR="00C90EAD" w:rsidRPr="009E35ED">
        <w:rPr>
          <w:rFonts w:ascii="Arial" w:hAnsi="Arial" w:cs="Arial"/>
          <w:i/>
          <w:iCs/>
          <w:color w:val="000000" w:themeColor="text1"/>
          <w:sz w:val="20"/>
          <w:szCs w:val="20"/>
        </w:rPr>
        <w:t xml:space="preserve"> that the</w:t>
      </w:r>
      <w:r w:rsidR="004851A0" w:rsidRPr="009E35ED">
        <w:rPr>
          <w:rFonts w:ascii="Arial" w:hAnsi="Arial" w:cs="Arial"/>
          <w:i/>
          <w:iCs/>
          <w:color w:val="000000" w:themeColor="text1"/>
          <w:sz w:val="20"/>
          <w:szCs w:val="20"/>
        </w:rPr>
        <w:t xml:space="preserve"> rent expense for lotto equipment will no longer be percentage based on actual sales.</w:t>
      </w:r>
    </w:p>
    <w:p w14:paraId="229AF5C8" w14:textId="77777777" w:rsidR="006C24D8" w:rsidRPr="009E35ED" w:rsidRDefault="006C24D8" w:rsidP="00803F8C">
      <w:pPr>
        <w:ind w:left="0"/>
        <w:rPr>
          <w:rFonts w:ascii="Arial" w:hAnsi="Arial" w:cs="Arial"/>
          <w:i/>
          <w:iCs/>
          <w:color w:val="000000" w:themeColor="text1"/>
          <w:sz w:val="20"/>
          <w:szCs w:val="20"/>
        </w:rPr>
      </w:pPr>
    </w:p>
    <w:p w14:paraId="7B70C154" w14:textId="26611069" w:rsidR="00572AF6" w:rsidRPr="009E35ED" w:rsidRDefault="009F61D0" w:rsidP="00803F8C">
      <w:pPr>
        <w:ind w:left="0"/>
        <w:rPr>
          <w:rFonts w:ascii="Arial" w:hAnsi="Arial" w:cs="Arial"/>
          <w:iCs/>
          <w:color w:val="000000" w:themeColor="text1"/>
          <w:sz w:val="22"/>
          <w:szCs w:val="22"/>
        </w:rPr>
      </w:pPr>
      <w:r w:rsidRPr="009E35ED">
        <w:rPr>
          <w:rFonts w:ascii="Arial" w:hAnsi="Arial" w:cs="Arial"/>
          <w:bCs/>
          <w:iCs/>
          <w:color w:val="000000" w:themeColor="text1"/>
          <w:sz w:val="22"/>
          <w:szCs w:val="22"/>
        </w:rPr>
        <w:t xml:space="preserve">Revenue Allocation for </w:t>
      </w:r>
      <w:r w:rsidR="002A2CC8" w:rsidRPr="009E35ED">
        <w:rPr>
          <w:rFonts w:ascii="Arial" w:hAnsi="Arial" w:cs="Arial"/>
          <w:iCs/>
          <w:color w:val="000000" w:themeColor="text1"/>
          <w:sz w:val="22"/>
          <w:szCs w:val="22"/>
        </w:rPr>
        <w:t>Digit Games</w:t>
      </w:r>
      <w:r w:rsidR="00F706BD" w:rsidRPr="009E35ED">
        <w:rPr>
          <w:rFonts w:ascii="Arial" w:hAnsi="Arial" w:cs="Arial"/>
          <w:iCs/>
          <w:color w:val="000000" w:themeColor="text1"/>
          <w:sz w:val="22"/>
          <w:szCs w:val="22"/>
        </w:rPr>
        <w:t>:</w:t>
      </w:r>
    </w:p>
    <w:p w14:paraId="6CA13A28" w14:textId="77777777" w:rsidR="0038340C" w:rsidRPr="009E35ED" w:rsidRDefault="0038340C" w:rsidP="00D374E9">
      <w:pPr>
        <w:ind w:left="0"/>
        <w:rPr>
          <w:rFonts w:ascii="Arial" w:hAnsi="Arial" w:cs="Arial"/>
          <w:bCs/>
          <w:color w:val="000000" w:themeColor="text1"/>
          <w:sz w:val="22"/>
          <w:szCs w:val="22"/>
        </w:rPr>
      </w:pPr>
    </w:p>
    <w:p w14:paraId="3AA77A6F" w14:textId="61B0874B" w:rsidR="00447B6D" w:rsidRPr="009E35ED" w:rsidRDefault="00447B6D" w:rsidP="00447B6D">
      <w:pPr>
        <w:ind w:left="0"/>
        <w:rPr>
          <w:rFonts w:ascii="Arial" w:hAnsi="Arial" w:cs="Arial"/>
          <w:i/>
          <w:color w:val="000000" w:themeColor="text1"/>
          <w:sz w:val="22"/>
          <w:szCs w:val="22"/>
        </w:rPr>
      </w:pPr>
      <w:r w:rsidRPr="009E35ED">
        <w:rPr>
          <w:rFonts w:ascii="Arial" w:hAnsi="Arial" w:cs="Arial"/>
          <w:bCs/>
          <w:color w:val="000000" w:themeColor="text1"/>
          <w:sz w:val="22"/>
          <w:szCs w:val="22"/>
        </w:rPr>
        <w:t xml:space="preserve">Allocation </w:t>
      </w:r>
      <w:r w:rsidRPr="009E35ED">
        <w:rPr>
          <w:rFonts w:ascii="Arial" w:hAnsi="Arial" w:cs="Arial"/>
          <w:iCs/>
          <w:color w:val="000000" w:themeColor="text1"/>
          <w:sz w:val="22"/>
          <w:szCs w:val="22"/>
        </w:rPr>
        <w:t>starting January 1, 2022 up to February 28, 2023</w:t>
      </w:r>
    </w:p>
    <w:p w14:paraId="4610C206" w14:textId="681B06E1" w:rsidR="00447B6D" w:rsidRPr="009E35ED" w:rsidRDefault="00447B6D" w:rsidP="00447B6D">
      <w:pPr>
        <w:ind w:left="0"/>
        <w:rPr>
          <w:rFonts w:ascii="Arial" w:hAnsi="Arial" w:cs="Arial"/>
          <w:i/>
          <w:color w:val="000000" w:themeColor="text1"/>
          <w:sz w:val="22"/>
          <w:szCs w:val="22"/>
        </w:rPr>
      </w:pPr>
    </w:p>
    <w:p w14:paraId="6FE3DA8D" w14:textId="77777777" w:rsidR="00541D7A" w:rsidRPr="009E35ED" w:rsidRDefault="00541D7A" w:rsidP="00447B6D">
      <w:pPr>
        <w:ind w:left="0"/>
        <w:rPr>
          <w:rFonts w:ascii="Arial" w:hAnsi="Arial" w:cs="Arial"/>
          <w:i/>
          <w:color w:val="000000" w:themeColor="text1"/>
          <w:sz w:val="22"/>
          <w:szCs w:val="22"/>
        </w:rPr>
      </w:pPr>
    </w:p>
    <w:tbl>
      <w:tblPr>
        <w:tblW w:w="8640" w:type="dxa"/>
        <w:tblLook w:val="04A0" w:firstRow="1" w:lastRow="0" w:firstColumn="1" w:lastColumn="0" w:noHBand="0" w:noVBand="1"/>
      </w:tblPr>
      <w:tblGrid>
        <w:gridCol w:w="3060"/>
        <w:gridCol w:w="1433"/>
        <w:gridCol w:w="1433"/>
        <w:gridCol w:w="1432"/>
        <w:gridCol w:w="1282"/>
      </w:tblGrid>
      <w:tr w:rsidR="00447B6D" w:rsidRPr="009E35ED" w14:paraId="5BA9B153" w14:textId="77777777" w:rsidTr="00A046FD">
        <w:trPr>
          <w:trHeight w:val="207"/>
        </w:trPr>
        <w:tc>
          <w:tcPr>
            <w:tcW w:w="3060" w:type="dxa"/>
            <w:tcBorders>
              <w:top w:val="single" w:sz="4" w:space="0" w:color="auto"/>
              <w:bottom w:val="single" w:sz="4" w:space="0" w:color="auto"/>
            </w:tcBorders>
            <w:shd w:val="clear" w:color="auto" w:fill="auto"/>
            <w:noWrap/>
            <w:hideMark/>
          </w:tcPr>
          <w:p w14:paraId="0BF047E2" w14:textId="77777777" w:rsidR="00447B6D" w:rsidRPr="009E35ED" w:rsidRDefault="00447B6D" w:rsidP="00B04ABA">
            <w:pPr>
              <w:ind w:left="0" w:hanging="90"/>
              <w:jc w:val="left"/>
              <w:rPr>
                <w:rFonts w:ascii="Arial Narrow" w:hAnsi="Arial Narrow" w:cs="Arial"/>
                <w:b/>
                <w:bCs/>
                <w:color w:val="000000" w:themeColor="text1"/>
                <w:sz w:val="20"/>
                <w:szCs w:val="20"/>
                <w:lang w:val="en-PH"/>
              </w:rPr>
            </w:pPr>
            <w:r w:rsidRPr="009E35ED">
              <w:rPr>
                <w:rFonts w:ascii="Arial Narrow" w:hAnsi="Arial Narrow" w:cs="Arial"/>
                <w:b/>
                <w:bCs/>
                <w:color w:val="000000" w:themeColor="text1"/>
                <w:sz w:val="20"/>
                <w:szCs w:val="20"/>
                <w:lang w:val="en-PH"/>
              </w:rPr>
              <w:t>Particulars</w:t>
            </w:r>
          </w:p>
        </w:tc>
        <w:tc>
          <w:tcPr>
            <w:tcW w:w="1433" w:type="dxa"/>
            <w:tcBorders>
              <w:top w:val="single" w:sz="4" w:space="0" w:color="auto"/>
              <w:bottom w:val="single" w:sz="4" w:space="0" w:color="auto"/>
            </w:tcBorders>
            <w:shd w:val="clear" w:color="auto" w:fill="auto"/>
            <w:noWrap/>
            <w:hideMark/>
          </w:tcPr>
          <w:p w14:paraId="1C026B91" w14:textId="77777777" w:rsidR="00447B6D" w:rsidRPr="009E35ED" w:rsidRDefault="00447B6D" w:rsidP="00B04ABA">
            <w:pPr>
              <w:ind w:left="0"/>
              <w:jc w:val="right"/>
              <w:rPr>
                <w:rFonts w:ascii="Arial Narrow" w:hAnsi="Arial Narrow" w:cs="Arial"/>
                <w:b/>
                <w:bCs/>
                <w:color w:val="000000" w:themeColor="text1"/>
                <w:sz w:val="20"/>
                <w:szCs w:val="20"/>
                <w:lang w:val="en-PH"/>
              </w:rPr>
            </w:pPr>
            <w:r w:rsidRPr="009E35ED">
              <w:rPr>
                <w:rFonts w:ascii="Arial Narrow" w:hAnsi="Arial Narrow" w:cs="Arial"/>
                <w:b/>
                <w:bCs/>
                <w:color w:val="000000" w:themeColor="text1"/>
                <w:sz w:val="20"/>
                <w:szCs w:val="20"/>
                <w:lang w:val="en-PH"/>
              </w:rPr>
              <w:t xml:space="preserve"> EZ2 </w:t>
            </w:r>
          </w:p>
        </w:tc>
        <w:tc>
          <w:tcPr>
            <w:tcW w:w="1433" w:type="dxa"/>
            <w:tcBorders>
              <w:top w:val="single" w:sz="4" w:space="0" w:color="auto"/>
              <w:bottom w:val="single" w:sz="4" w:space="0" w:color="auto"/>
            </w:tcBorders>
            <w:shd w:val="clear" w:color="auto" w:fill="auto"/>
            <w:noWrap/>
            <w:hideMark/>
          </w:tcPr>
          <w:p w14:paraId="23E55193" w14:textId="77777777" w:rsidR="00447B6D" w:rsidRPr="009E35ED" w:rsidRDefault="00447B6D" w:rsidP="00B04ABA">
            <w:pPr>
              <w:ind w:left="0"/>
              <w:jc w:val="right"/>
              <w:rPr>
                <w:rFonts w:ascii="Arial Narrow" w:hAnsi="Arial Narrow" w:cs="Arial"/>
                <w:b/>
                <w:bCs/>
                <w:color w:val="000000" w:themeColor="text1"/>
                <w:sz w:val="20"/>
                <w:szCs w:val="20"/>
                <w:lang w:val="en-PH"/>
              </w:rPr>
            </w:pPr>
            <w:r w:rsidRPr="009E35ED">
              <w:rPr>
                <w:rFonts w:ascii="Arial Narrow" w:hAnsi="Arial Narrow" w:cs="Arial"/>
                <w:b/>
                <w:bCs/>
                <w:color w:val="000000" w:themeColor="text1"/>
                <w:sz w:val="20"/>
                <w:szCs w:val="20"/>
                <w:lang w:val="en-PH"/>
              </w:rPr>
              <w:t xml:space="preserve"> 3D </w:t>
            </w:r>
          </w:p>
        </w:tc>
        <w:tc>
          <w:tcPr>
            <w:tcW w:w="1432" w:type="dxa"/>
            <w:tcBorders>
              <w:top w:val="single" w:sz="4" w:space="0" w:color="auto"/>
              <w:bottom w:val="single" w:sz="4" w:space="0" w:color="auto"/>
            </w:tcBorders>
            <w:shd w:val="clear" w:color="auto" w:fill="auto"/>
            <w:noWrap/>
            <w:hideMark/>
          </w:tcPr>
          <w:p w14:paraId="2F773B36" w14:textId="77777777" w:rsidR="00447B6D" w:rsidRPr="009E35ED" w:rsidRDefault="00447B6D" w:rsidP="00B04ABA">
            <w:pPr>
              <w:ind w:left="0"/>
              <w:jc w:val="right"/>
              <w:rPr>
                <w:rFonts w:ascii="Arial Narrow" w:hAnsi="Arial Narrow" w:cs="Arial"/>
                <w:b/>
                <w:bCs/>
                <w:color w:val="000000" w:themeColor="text1"/>
                <w:sz w:val="20"/>
                <w:szCs w:val="20"/>
                <w:lang w:val="en-PH"/>
              </w:rPr>
            </w:pPr>
            <w:r w:rsidRPr="009E35ED">
              <w:rPr>
                <w:rFonts w:ascii="Arial Narrow" w:hAnsi="Arial Narrow" w:cs="Arial"/>
                <w:b/>
                <w:bCs/>
                <w:color w:val="000000" w:themeColor="text1"/>
                <w:sz w:val="20"/>
                <w:szCs w:val="20"/>
                <w:lang w:val="en-PH"/>
              </w:rPr>
              <w:t xml:space="preserve"> 4D </w:t>
            </w:r>
          </w:p>
        </w:tc>
        <w:tc>
          <w:tcPr>
            <w:tcW w:w="1282" w:type="dxa"/>
            <w:tcBorders>
              <w:top w:val="single" w:sz="4" w:space="0" w:color="auto"/>
              <w:bottom w:val="single" w:sz="4" w:space="0" w:color="auto"/>
            </w:tcBorders>
            <w:shd w:val="clear" w:color="auto" w:fill="auto"/>
            <w:noWrap/>
            <w:hideMark/>
          </w:tcPr>
          <w:p w14:paraId="0C27530C" w14:textId="77777777" w:rsidR="00447B6D" w:rsidRPr="009E35ED" w:rsidRDefault="00447B6D" w:rsidP="00B04ABA">
            <w:pPr>
              <w:ind w:left="0" w:right="-90"/>
              <w:jc w:val="right"/>
              <w:rPr>
                <w:rFonts w:ascii="Arial Narrow" w:hAnsi="Arial Narrow" w:cs="Arial"/>
                <w:b/>
                <w:bCs/>
                <w:color w:val="000000" w:themeColor="text1"/>
                <w:sz w:val="20"/>
                <w:szCs w:val="20"/>
                <w:lang w:val="en-PH"/>
              </w:rPr>
            </w:pPr>
            <w:r w:rsidRPr="009E35ED">
              <w:rPr>
                <w:rFonts w:ascii="Arial Narrow" w:hAnsi="Arial Narrow" w:cs="Arial"/>
                <w:b/>
                <w:bCs/>
                <w:color w:val="000000" w:themeColor="text1"/>
                <w:sz w:val="20"/>
                <w:szCs w:val="20"/>
                <w:lang w:val="en-PH"/>
              </w:rPr>
              <w:t xml:space="preserve"> 6D </w:t>
            </w:r>
          </w:p>
        </w:tc>
      </w:tr>
      <w:tr w:rsidR="00447B6D" w:rsidRPr="009E35ED" w14:paraId="7B795FC5" w14:textId="77777777" w:rsidTr="00A046FD">
        <w:trPr>
          <w:trHeight w:val="134"/>
        </w:trPr>
        <w:tc>
          <w:tcPr>
            <w:tcW w:w="3060" w:type="dxa"/>
            <w:tcBorders>
              <w:top w:val="single" w:sz="4" w:space="0" w:color="auto"/>
            </w:tcBorders>
            <w:shd w:val="clear" w:color="auto" w:fill="auto"/>
            <w:noWrap/>
            <w:hideMark/>
          </w:tcPr>
          <w:p w14:paraId="18049F50" w14:textId="77777777" w:rsidR="00447B6D" w:rsidRPr="009E35ED" w:rsidRDefault="00447B6D" w:rsidP="00B04ABA">
            <w:pPr>
              <w:ind w:left="0" w:hanging="90"/>
              <w:jc w:val="left"/>
              <w:rPr>
                <w:rFonts w:ascii="Arial Narrow" w:hAnsi="Arial Narrow" w:cs="Arial"/>
                <w:b/>
                <w:bCs/>
                <w:color w:val="000000" w:themeColor="text1"/>
                <w:sz w:val="20"/>
                <w:szCs w:val="20"/>
                <w:lang w:val="en-PH"/>
              </w:rPr>
            </w:pPr>
            <w:r w:rsidRPr="009E35ED">
              <w:rPr>
                <w:rFonts w:ascii="Arial Narrow" w:hAnsi="Arial Narrow" w:cs="Arial"/>
                <w:b/>
                <w:bCs/>
                <w:color w:val="000000" w:themeColor="text1"/>
                <w:sz w:val="20"/>
                <w:szCs w:val="20"/>
                <w:lang w:val="en-PH"/>
              </w:rPr>
              <w:t>Gross Receipts</w:t>
            </w:r>
          </w:p>
        </w:tc>
        <w:tc>
          <w:tcPr>
            <w:tcW w:w="1433" w:type="dxa"/>
            <w:tcBorders>
              <w:top w:val="single" w:sz="4" w:space="0" w:color="auto"/>
            </w:tcBorders>
            <w:shd w:val="clear" w:color="auto" w:fill="auto"/>
            <w:noWrap/>
            <w:hideMark/>
          </w:tcPr>
          <w:p w14:paraId="04607198" w14:textId="77777777" w:rsidR="00447B6D" w:rsidRPr="009E35ED" w:rsidRDefault="00447B6D" w:rsidP="00B04ABA">
            <w:pPr>
              <w:ind w:left="0"/>
              <w:jc w:val="right"/>
              <w:rPr>
                <w:rFonts w:ascii="Arial Narrow" w:hAnsi="Arial Narrow" w:cs="Arial"/>
                <w:b/>
                <w:bCs/>
                <w:color w:val="000000" w:themeColor="text1"/>
                <w:sz w:val="20"/>
                <w:szCs w:val="20"/>
                <w:lang w:val="en-PH"/>
              </w:rPr>
            </w:pPr>
            <w:r w:rsidRPr="009E35ED">
              <w:rPr>
                <w:rFonts w:ascii="Arial Narrow" w:hAnsi="Arial Narrow" w:cs="Arial"/>
                <w:b/>
                <w:bCs/>
                <w:color w:val="000000" w:themeColor="text1"/>
                <w:sz w:val="20"/>
                <w:szCs w:val="20"/>
                <w:lang w:val="en-PH"/>
              </w:rPr>
              <w:t>100.00%</w:t>
            </w:r>
          </w:p>
        </w:tc>
        <w:tc>
          <w:tcPr>
            <w:tcW w:w="1433" w:type="dxa"/>
            <w:tcBorders>
              <w:top w:val="single" w:sz="4" w:space="0" w:color="auto"/>
            </w:tcBorders>
            <w:shd w:val="clear" w:color="auto" w:fill="auto"/>
            <w:noWrap/>
            <w:hideMark/>
          </w:tcPr>
          <w:p w14:paraId="02F28A2C" w14:textId="77777777" w:rsidR="00447B6D" w:rsidRPr="009E35ED" w:rsidRDefault="00447B6D" w:rsidP="00B04ABA">
            <w:pPr>
              <w:ind w:left="0"/>
              <w:jc w:val="right"/>
              <w:rPr>
                <w:rFonts w:ascii="Arial Narrow" w:hAnsi="Arial Narrow" w:cs="Arial"/>
                <w:b/>
                <w:bCs/>
                <w:color w:val="000000" w:themeColor="text1"/>
                <w:sz w:val="20"/>
                <w:szCs w:val="20"/>
                <w:lang w:val="en-PH"/>
              </w:rPr>
            </w:pPr>
            <w:r w:rsidRPr="009E35ED">
              <w:rPr>
                <w:rFonts w:ascii="Arial Narrow" w:hAnsi="Arial Narrow" w:cs="Arial"/>
                <w:b/>
                <w:bCs/>
                <w:color w:val="000000" w:themeColor="text1"/>
                <w:sz w:val="20"/>
                <w:szCs w:val="20"/>
                <w:lang w:val="en-PH"/>
              </w:rPr>
              <w:t>100.00%</w:t>
            </w:r>
          </w:p>
        </w:tc>
        <w:tc>
          <w:tcPr>
            <w:tcW w:w="1432" w:type="dxa"/>
            <w:tcBorders>
              <w:top w:val="single" w:sz="4" w:space="0" w:color="auto"/>
            </w:tcBorders>
            <w:shd w:val="clear" w:color="auto" w:fill="auto"/>
            <w:noWrap/>
            <w:hideMark/>
          </w:tcPr>
          <w:p w14:paraId="2DAB6512" w14:textId="77777777" w:rsidR="00447B6D" w:rsidRPr="009E35ED" w:rsidRDefault="00447B6D" w:rsidP="00B04ABA">
            <w:pPr>
              <w:ind w:left="0"/>
              <w:jc w:val="right"/>
              <w:rPr>
                <w:rFonts w:ascii="Arial Narrow" w:hAnsi="Arial Narrow" w:cs="Arial"/>
                <w:b/>
                <w:bCs/>
                <w:color w:val="000000" w:themeColor="text1"/>
                <w:sz w:val="20"/>
                <w:szCs w:val="20"/>
                <w:lang w:val="en-PH"/>
              </w:rPr>
            </w:pPr>
            <w:r w:rsidRPr="009E35ED">
              <w:rPr>
                <w:rFonts w:ascii="Arial Narrow" w:hAnsi="Arial Narrow" w:cs="Arial"/>
                <w:b/>
                <w:bCs/>
                <w:color w:val="000000" w:themeColor="text1"/>
                <w:sz w:val="20"/>
                <w:szCs w:val="20"/>
                <w:lang w:val="en-PH"/>
              </w:rPr>
              <w:t>100.00%</w:t>
            </w:r>
          </w:p>
        </w:tc>
        <w:tc>
          <w:tcPr>
            <w:tcW w:w="1282" w:type="dxa"/>
            <w:tcBorders>
              <w:top w:val="single" w:sz="4" w:space="0" w:color="auto"/>
            </w:tcBorders>
            <w:shd w:val="clear" w:color="auto" w:fill="auto"/>
            <w:noWrap/>
            <w:hideMark/>
          </w:tcPr>
          <w:p w14:paraId="23512807" w14:textId="77777777" w:rsidR="00447B6D" w:rsidRPr="009E35ED" w:rsidRDefault="00447B6D" w:rsidP="00B04ABA">
            <w:pPr>
              <w:ind w:left="0" w:right="-90"/>
              <w:jc w:val="right"/>
              <w:rPr>
                <w:rFonts w:ascii="Arial Narrow" w:hAnsi="Arial Narrow" w:cs="Arial"/>
                <w:b/>
                <w:bCs/>
                <w:color w:val="000000" w:themeColor="text1"/>
                <w:sz w:val="20"/>
                <w:szCs w:val="20"/>
                <w:lang w:val="en-PH"/>
              </w:rPr>
            </w:pPr>
            <w:r w:rsidRPr="009E35ED">
              <w:rPr>
                <w:rFonts w:ascii="Arial Narrow" w:hAnsi="Arial Narrow" w:cs="Arial"/>
                <w:b/>
                <w:bCs/>
                <w:color w:val="000000" w:themeColor="text1"/>
                <w:sz w:val="20"/>
                <w:szCs w:val="20"/>
                <w:lang w:val="en-PH"/>
              </w:rPr>
              <w:t>100.00%</w:t>
            </w:r>
          </w:p>
        </w:tc>
      </w:tr>
      <w:tr w:rsidR="00447B6D" w:rsidRPr="009E35ED" w14:paraId="1E673945" w14:textId="77777777" w:rsidTr="00A046FD">
        <w:trPr>
          <w:trHeight w:val="83"/>
        </w:trPr>
        <w:tc>
          <w:tcPr>
            <w:tcW w:w="3060" w:type="dxa"/>
            <w:shd w:val="clear" w:color="auto" w:fill="auto"/>
            <w:noWrap/>
            <w:hideMark/>
          </w:tcPr>
          <w:p w14:paraId="7A5BF07D" w14:textId="77777777" w:rsidR="00447B6D" w:rsidRPr="009E35ED" w:rsidRDefault="00447B6D" w:rsidP="00B04ABA">
            <w:pPr>
              <w:ind w:left="0" w:hanging="90"/>
              <w:jc w:val="lef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Printing Cost</w:t>
            </w:r>
          </w:p>
        </w:tc>
        <w:tc>
          <w:tcPr>
            <w:tcW w:w="1433" w:type="dxa"/>
            <w:shd w:val="clear" w:color="auto" w:fill="auto"/>
            <w:noWrap/>
            <w:hideMark/>
          </w:tcPr>
          <w:p w14:paraId="3425E937" w14:textId="77777777" w:rsidR="00447B6D" w:rsidRPr="009E35ED" w:rsidRDefault="00447B6D" w:rsidP="00B04ABA">
            <w:pPr>
              <w:ind w:left="0"/>
              <w:jc w:val="righ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2.00%</w:t>
            </w:r>
          </w:p>
        </w:tc>
        <w:tc>
          <w:tcPr>
            <w:tcW w:w="1433" w:type="dxa"/>
            <w:shd w:val="clear" w:color="auto" w:fill="auto"/>
            <w:noWrap/>
            <w:hideMark/>
          </w:tcPr>
          <w:p w14:paraId="2D70BBEC" w14:textId="77777777" w:rsidR="00447B6D" w:rsidRPr="009E35ED" w:rsidRDefault="00447B6D" w:rsidP="00B04ABA">
            <w:pPr>
              <w:ind w:left="0"/>
              <w:jc w:val="righ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2.00%</w:t>
            </w:r>
          </w:p>
        </w:tc>
        <w:tc>
          <w:tcPr>
            <w:tcW w:w="1432" w:type="dxa"/>
            <w:shd w:val="clear" w:color="auto" w:fill="auto"/>
            <w:noWrap/>
            <w:hideMark/>
          </w:tcPr>
          <w:p w14:paraId="58E61783" w14:textId="77777777" w:rsidR="00447B6D" w:rsidRPr="009E35ED" w:rsidRDefault="00447B6D" w:rsidP="00B04ABA">
            <w:pPr>
              <w:ind w:left="0"/>
              <w:jc w:val="righ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2.00%</w:t>
            </w:r>
          </w:p>
        </w:tc>
        <w:tc>
          <w:tcPr>
            <w:tcW w:w="1282" w:type="dxa"/>
            <w:shd w:val="clear" w:color="auto" w:fill="auto"/>
            <w:noWrap/>
            <w:hideMark/>
          </w:tcPr>
          <w:p w14:paraId="0E20E112" w14:textId="77777777" w:rsidR="00447B6D" w:rsidRPr="009E35ED" w:rsidRDefault="00447B6D" w:rsidP="00B04ABA">
            <w:pPr>
              <w:ind w:left="0" w:right="-90"/>
              <w:jc w:val="righ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2.00%</w:t>
            </w:r>
          </w:p>
        </w:tc>
      </w:tr>
      <w:tr w:rsidR="00447B6D" w:rsidRPr="009E35ED" w14:paraId="115EABCF" w14:textId="77777777" w:rsidTr="00A046FD">
        <w:trPr>
          <w:trHeight w:val="83"/>
        </w:trPr>
        <w:tc>
          <w:tcPr>
            <w:tcW w:w="3060" w:type="dxa"/>
            <w:shd w:val="clear" w:color="auto" w:fill="auto"/>
            <w:noWrap/>
            <w:hideMark/>
          </w:tcPr>
          <w:p w14:paraId="790CDBB6" w14:textId="2C178569" w:rsidR="00447B6D" w:rsidRPr="009E35ED" w:rsidRDefault="00447B6D" w:rsidP="00B04ABA">
            <w:pPr>
              <w:ind w:left="0" w:hanging="90"/>
              <w:jc w:val="left"/>
              <w:rPr>
                <w:rFonts w:ascii="Arial Narrow" w:hAnsi="Arial Narrow" w:cs="Arial"/>
                <w:b/>
                <w:bCs/>
                <w:color w:val="000000" w:themeColor="text1"/>
                <w:sz w:val="20"/>
                <w:szCs w:val="20"/>
                <w:lang w:val="en-PH"/>
              </w:rPr>
            </w:pPr>
            <w:r w:rsidRPr="009E35ED">
              <w:rPr>
                <w:rFonts w:ascii="Arial Narrow" w:hAnsi="Arial Narrow" w:cs="Arial"/>
                <w:b/>
                <w:bCs/>
                <w:color w:val="000000" w:themeColor="text1"/>
                <w:sz w:val="20"/>
                <w:szCs w:val="20"/>
                <w:lang w:val="en-PH"/>
              </w:rPr>
              <w:t>Net Receipts</w:t>
            </w:r>
            <w:r w:rsidR="00F6182B">
              <w:rPr>
                <w:rFonts w:ascii="Arial Narrow" w:hAnsi="Arial Narrow" w:cs="Arial"/>
                <w:b/>
                <w:bCs/>
                <w:color w:val="000000" w:themeColor="text1"/>
                <w:sz w:val="20"/>
                <w:szCs w:val="20"/>
                <w:lang w:val="en-PH"/>
              </w:rPr>
              <w:t xml:space="preserve"> (NR)</w:t>
            </w:r>
          </w:p>
        </w:tc>
        <w:tc>
          <w:tcPr>
            <w:tcW w:w="1433" w:type="dxa"/>
            <w:shd w:val="clear" w:color="auto" w:fill="auto"/>
            <w:noWrap/>
            <w:hideMark/>
          </w:tcPr>
          <w:p w14:paraId="7D55D88A" w14:textId="77777777" w:rsidR="00447B6D" w:rsidRPr="009E35ED" w:rsidRDefault="00447B6D" w:rsidP="00B04ABA">
            <w:pPr>
              <w:ind w:left="0"/>
              <w:jc w:val="right"/>
              <w:rPr>
                <w:rFonts w:ascii="Arial Narrow" w:hAnsi="Arial Narrow" w:cs="Arial"/>
                <w:b/>
                <w:bCs/>
                <w:color w:val="000000" w:themeColor="text1"/>
                <w:sz w:val="20"/>
                <w:szCs w:val="20"/>
                <w:lang w:val="en-PH"/>
              </w:rPr>
            </w:pPr>
            <w:r w:rsidRPr="009E35ED">
              <w:rPr>
                <w:rFonts w:ascii="Arial Narrow" w:hAnsi="Arial Narrow" w:cs="Arial"/>
                <w:b/>
                <w:bCs/>
                <w:color w:val="000000" w:themeColor="text1"/>
                <w:sz w:val="20"/>
                <w:szCs w:val="20"/>
                <w:lang w:val="en-PH"/>
              </w:rPr>
              <w:t>98.00%</w:t>
            </w:r>
          </w:p>
        </w:tc>
        <w:tc>
          <w:tcPr>
            <w:tcW w:w="1433" w:type="dxa"/>
            <w:shd w:val="clear" w:color="auto" w:fill="auto"/>
            <w:noWrap/>
            <w:hideMark/>
          </w:tcPr>
          <w:p w14:paraId="6161170C" w14:textId="77777777" w:rsidR="00447B6D" w:rsidRPr="009E35ED" w:rsidRDefault="00447B6D" w:rsidP="00B04ABA">
            <w:pPr>
              <w:ind w:left="0"/>
              <w:jc w:val="right"/>
              <w:rPr>
                <w:rFonts w:ascii="Arial Narrow" w:hAnsi="Arial Narrow" w:cs="Arial"/>
                <w:b/>
                <w:bCs/>
                <w:color w:val="000000" w:themeColor="text1"/>
                <w:sz w:val="20"/>
                <w:szCs w:val="20"/>
                <w:lang w:val="en-PH"/>
              </w:rPr>
            </w:pPr>
            <w:r w:rsidRPr="009E35ED">
              <w:rPr>
                <w:rFonts w:ascii="Arial Narrow" w:hAnsi="Arial Narrow" w:cs="Arial"/>
                <w:b/>
                <w:bCs/>
                <w:color w:val="000000" w:themeColor="text1"/>
                <w:sz w:val="20"/>
                <w:szCs w:val="20"/>
                <w:lang w:val="en-PH"/>
              </w:rPr>
              <w:t>98.00%</w:t>
            </w:r>
          </w:p>
        </w:tc>
        <w:tc>
          <w:tcPr>
            <w:tcW w:w="1432" w:type="dxa"/>
            <w:shd w:val="clear" w:color="auto" w:fill="auto"/>
            <w:noWrap/>
            <w:hideMark/>
          </w:tcPr>
          <w:p w14:paraId="64BE1D5F" w14:textId="77777777" w:rsidR="00447B6D" w:rsidRPr="009E35ED" w:rsidRDefault="00447B6D" w:rsidP="00B04ABA">
            <w:pPr>
              <w:ind w:left="0"/>
              <w:jc w:val="right"/>
              <w:rPr>
                <w:rFonts w:ascii="Arial Narrow" w:hAnsi="Arial Narrow" w:cs="Arial"/>
                <w:b/>
                <w:bCs/>
                <w:color w:val="000000" w:themeColor="text1"/>
                <w:sz w:val="20"/>
                <w:szCs w:val="20"/>
                <w:lang w:val="en-PH"/>
              </w:rPr>
            </w:pPr>
            <w:r w:rsidRPr="009E35ED">
              <w:rPr>
                <w:rFonts w:ascii="Arial Narrow" w:hAnsi="Arial Narrow" w:cs="Arial"/>
                <w:b/>
                <w:bCs/>
                <w:color w:val="000000" w:themeColor="text1"/>
                <w:sz w:val="20"/>
                <w:szCs w:val="20"/>
                <w:lang w:val="en-PH"/>
              </w:rPr>
              <w:t>98.00%</w:t>
            </w:r>
          </w:p>
        </w:tc>
        <w:tc>
          <w:tcPr>
            <w:tcW w:w="1282" w:type="dxa"/>
            <w:shd w:val="clear" w:color="auto" w:fill="auto"/>
            <w:noWrap/>
            <w:hideMark/>
          </w:tcPr>
          <w:p w14:paraId="6C79A292" w14:textId="77777777" w:rsidR="00447B6D" w:rsidRPr="009E35ED" w:rsidRDefault="00447B6D" w:rsidP="00B04ABA">
            <w:pPr>
              <w:ind w:left="0" w:right="-90"/>
              <w:jc w:val="right"/>
              <w:rPr>
                <w:rFonts w:ascii="Arial Narrow" w:hAnsi="Arial Narrow" w:cs="Arial"/>
                <w:b/>
                <w:bCs/>
                <w:color w:val="000000" w:themeColor="text1"/>
                <w:sz w:val="20"/>
                <w:szCs w:val="20"/>
                <w:lang w:val="en-PH"/>
              </w:rPr>
            </w:pPr>
            <w:r w:rsidRPr="009E35ED">
              <w:rPr>
                <w:rFonts w:ascii="Arial Narrow" w:hAnsi="Arial Narrow" w:cs="Arial"/>
                <w:b/>
                <w:bCs/>
                <w:color w:val="000000" w:themeColor="text1"/>
                <w:sz w:val="20"/>
                <w:szCs w:val="20"/>
                <w:lang w:val="en-PH"/>
              </w:rPr>
              <w:t>98.00%</w:t>
            </w:r>
          </w:p>
        </w:tc>
      </w:tr>
      <w:tr w:rsidR="00447B6D" w:rsidRPr="009E35ED" w14:paraId="431F5477" w14:textId="77777777" w:rsidTr="00A046FD">
        <w:trPr>
          <w:trHeight w:val="252"/>
        </w:trPr>
        <w:tc>
          <w:tcPr>
            <w:tcW w:w="3060" w:type="dxa"/>
            <w:shd w:val="clear" w:color="auto" w:fill="auto"/>
            <w:noWrap/>
            <w:hideMark/>
          </w:tcPr>
          <w:p w14:paraId="77F1E5E9" w14:textId="77777777" w:rsidR="00447B6D" w:rsidRPr="009E35ED" w:rsidRDefault="00447B6D" w:rsidP="00B04ABA">
            <w:pPr>
              <w:ind w:left="0" w:hanging="90"/>
              <w:jc w:val="left"/>
              <w:rPr>
                <w:rFonts w:ascii="Arial Narrow" w:hAnsi="Arial Narrow" w:cs="Arial"/>
                <w:b/>
                <w:bCs/>
                <w:color w:val="000000" w:themeColor="text1"/>
                <w:sz w:val="20"/>
                <w:szCs w:val="20"/>
                <w:lang w:val="en-PH"/>
              </w:rPr>
            </w:pPr>
          </w:p>
        </w:tc>
        <w:tc>
          <w:tcPr>
            <w:tcW w:w="1433" w:type="dxa"/>
            <w:shd w:val="clear" w:color="auto" w:fill="auto"/>
            <w:noWrap/>
            <w:hideMark/>
          </w:tcPr>
          <w:p w14:paraId="160E00F3" w14:textId="77777777" w:rsidR="00447B6D" w:rsidRPr="009E35ED" w:rsidRDefault="00447B6D" w:rsidP="00B04ABA">
            <w:pPr>
              <w:ind w:left="0"/>
              <w:jc w:val="right"/>
              <w:rPr>
                <w:rFonts w:ascii="Arial Narrow" w:hAnsi="Arial Narrow" w:cs="Arial"/>
                <w:color w:val="000000" w:themeColor="text1"/>
                <w:sz w:val="20"/>
                <w:szCs w:val="20"/>
                <w:lang w:val="en-PH"/>
              </w:rPr>
            </w:pPr>
          </w:p>
        </w:tc>
        <w:tc>
          <w:tcPr>
            <w:tcW w:w="1433" w:type="dxa"/>
            <w:shd w:val="clear" w:color="auto" w:fill="auto"/>
            <w:noWrap/>
            <w:hideMark/>
          </w:tcPr>
          <w:p w14:paraId="324733EF" w14:textId="77777777" w:rsidR="00447B6D" w:rsidRPr="009E35ED" w:rsidRDefault="00447B6D" w:rsidP="00B04ABA">
            <w:pPr>
              <w:ind w:left="0"/>
              <w:jc w:val="right"/>
              <w:rPr>
                <w:rFonts w:ascii="Arial Narrow" w:hAnsi="Arial Narrow" w:cs="Arial"/>
                <w:color w:val="000000" w:themeColor="text1"/>
                <w:sz w:val="20"/>
                <w:szCs w:val="20"/>
                <w:lang w:val="en-PH"/>
              </w:rPr>
            </w:pPr>
          </w:p>
        </w:tc>
        <w:tc>
          <w:tcPr>
            <w:tcW w:w="1432" w:type="dxa"/>
            <w:shd w:val="clear" w:color="auto" w:fill="auto"/>
            <w:noWrap/>
            <w:hideMark/>
          </w:tcPr>
          <w:p w14:paraId="70A02081" w14:textId="77777777" w:rsidR="00447B6D" w:rsidRPr="009E35ED" w:rsidRDefault="00447B6D" w:rsidP="00B04ABA">
            <w:pPr>
              <w:ind w:left="0"/>
              <w:jc w:val="right"/>
              <w:rPr>
                <w:rFonts w:ascii="Arial Narrow" w:hAnsi="Arial Narrow" w:cs="Arial"/>
                <w:color w:val="000000" w:themeColor="text1"/>
                <w:sz w:val="20"/>
                <w:szCs w:val="20"/>
                <w:lang w:val="en-PH"/>
              </w:rPr>
            </w:pPr>
          </w:p>
        </w:tc>
        <w:tc>
          <w:tcPr>
            <w:tcW w:w="1282" w:type="dxa"/>
            <w:shd w:val="clear" w:color="auto" w:fill="auto"/>
            <w:noWrap/>
            <w:hideMark/>
          </w:tcPr>
          <w:p w14:paraId="4A0BD60C" w14:textId="77777777" w:rsidR="00447B6D" w:rsidRPr="009E35ED" w:rsidRDefault="00447B6D" w:rsidP="00B04ABA">
            <w:pPr>
              <w:ind w:left="0" w:right="-90"/>
              <w:jc w:val="right"/>
              <w:rPr>
                <w:rFonts w:ascii="Arial Narrow" w:hAnsi="Arial Narrow" w:cs="Arial"/>
                <w:color w:val="000000" w:themeColor="text1"/>
                <w:sz w:val="20"/>
                <w:szCs w:val="20"/>
                <w:lang w:val="en-PH"/>
              </w:rPr>
            </w:pPr>
          </w:p>
        </w:tc>
      </w:tr>
      <w:tr w:rsidR="00447B6D" w:rsidRPr="009E35ED" w14:paraId="7A391915" w14:textId="77777777" w:rsidTr="00A046FD">
        <w:trPr>
          <w:trHeight w:val="72"/>
        </w:trPr>
        <w:tc>
          <w:tcPr>
            <w:tcW w:w="3060" w:type="dxa"/>
            <w:shd w:val="clear" w:color="auto" w:fill="auto"/>
            <w:noWrap/>
            <w:hideMark/>
          </w:tcPr>
          <w:p w14:paraId="23F8255C" w14:textId="77777777" w:rsidR="00447B6D" w:rsidRPr="009E35ED" w:rsidRDefault="00447B6D" w:rsidP="00B04ABA">
            <w:pPr>
              <w:ind w:left="0" w:hanging="90"/>
              <w:jc w:val="left"/>
              <w:rPr>
                <w:rFonts w:ascii="Arial Narrow" w:hAnsi="Arial Narrow" w:cs="Arial"/>
                <w:b/>
                <w:bCs/>
                <w:color w:val="000000" w:themeColor="text1"/>
                <w:sz w:val="20"/>
                <w:szCs w:val="20"/>
                <w:lang w:val="en-PH"/>
              </w:rPr>
            </w:pPr>
            <w:r w:rsidRPr="009E35ED">
              <w:rPr>
                <w:rFonts w:ascii="Arial Narrow" w:hAnsi="Arial Narrow" w:cs="Arial"/>
                <w:b/>
                <w:bCs/>
                <w:color w:val="000000" w:themeColor="text1"/>
                <w:sz w:val="20"/>
                <w:szCs w:val="20"/>
                <w:lang w:val="en-PH"/>
              </w:rPr>
              <w:t>I. Prize Fund  (55% of NR)</w:t>
            </w:r>
          </w:p>
        </w:tc>
        <w:tc>
          <w:tcPr>
            <w:tcW w:w="1433" w:type="dxa"/>
            <w:shd w:val="clear" w:color="auto" w:fill="auto"/>
            <w:noWrap/>
            <w:hideMark/>
          </w:tcPr>
          <w:p w14:paraId="01BE02E2" w14:textId="77777777" w:rsidR="00447B6D" w:rsidRPr="009E35ED" w:rsidRDefault="00447B6D" w:rsidP="00B04ABA">
            <w:pPr>
              <w:ind w:left="0"/>
              <w:jc w:val="right"/>
              <w:rPr>
                <w:rFonts w:ascii="Arial Narrow" w:hAnsi="Arial Narrow" w:cs="Arial"/>
                <w:b/>
                <w:bCs/>
                <w:color w:val="000000" w:themeColor="text1"/>
                <w:sz w:val="20"/>
                <w:szCs w:val="20"/>
                <w:lang w:val="en-PH"/>
              </w:rPr>
            </w:pPr>
            <w:r w:rsidRPr="009E35ED">
              <w:rPr>
                <w:rFonts w:ascii="Arial Narrow" w:hAnsi="Arial Narrow" w:cs="Arial"/>
                <w:b/>
                <w:bCs/>
                <w:color w:val="000000" w:themeColor="text1"/>
                <w:sz w:val="20"/>
                <w:szCs w:val="20"/>
                <w:lang w:val="en-PH"/>
              </w:rPr>
              <w:t>53.90%</w:t>
            </w:r>
          </w:p>
        </w:tc>
        <w:tc>
          <w:tcPr>
            <w:tcW w:w="1433" w:type="dxa"/>
            <w:shd w:val="clear" w:color="auto" w:fill="auto"/>
            <w:noWrap/>
            <w:hideMark/>
          </w:tcPr>
          <w:p w14:paraId="71813E03" w14:textId="77777777" w:rsidR="00447B6D" w:rsidRPr="009E35ED" w:rsidRDefault="00447B6D" w:rsidP="00B04ABA">
            <w:pPr>
              <w:ind w:left="0"/>
              <w:jc w:val="right"/>
              <w:rPr>
                <w:rFonts w:ascii="Arial Narrow" w:hAnsi="Arial Narrow" w:cs="Arial"/>
                <w:b/>
                <w:bCs/>
                <w:color w:val="000000" w:themeColor="text1"/>
                <w:sz w:val="20"/>
                <w:szCs w:val="20"/>
                <w:lang w:val="en-PH"/>
              </w:rPr>
            </w:pPr>
            <w:r w:rsidRPr="009E35ED">
              <w:rPr>
                <w:rFonts w:ascii="Arial Narrow" w:hAnsi="Arial Narrow" w:cs="Arial"/>
                <w:b/>
                <w:bCs/>
                <w:color w:val="000000" w:themeColor="text1"/>
                <w:sz w:val="20"/>
                <w:szCs w:val="20"/>
                <w:lang w:val="en-PH"/>
              </w:rPr>
              <w:t>53.90%</w:t>
            </w:r>
          </w:p>
        </w:tc>
        <w:tc>
          <w:tcPr>
            <w:tcW w:w="1432" w:type="dxa"/>
            <w:shd w:val="clear" w:color="auto" w:fill="auto"/>
            <w:noWrap/>
            <w:hideMark/>
          </w:tcPr>
          <w:p w14:paraId="0634F5DA" w14:textId="77777777" w:rsidR="00447B6D" w:rsidRPr="009E35ED" w:rsidRDefault="00447B6D" w:rsidP="00B04ABA">
            <w:pPr>
              <w:ind w:left="0"/>
              <w:jc w:val="right"/>
              <w:rPr>
                <w:rFonts w:ascii="Arial Narrow" w:hAnsi="Arial Narrow" w:cs="Arial"/>
                <w:b/>
                <w:bCs/>
                <w:color w:val="000000" w:themeColor="text1"/>
                <w:sz w:val="20"/>
                <w:szCs w:val="20"/>
                <w:lang w:val="en-PH"/>
              </w:rPr>
            </w:pPr>
            <w:r w:rsidRPr="009E35ED">
              <w:rPr>
                <w:rFonts w:ascii="Arial Narrow" w:hAnsi="Arial Narrow" w:cs="Arial"/>
                <w:b/>
                <w:bCs/>
                <w:color w:val="000000" w:themeColor="text1"/>
                <w:sz w:val="20"/>
                <w:szCs w:val="20"/>
                <w:lang w:val="en-PH"/>
              </w:rPr>
              <w:t>53.90%</w:t>
            </w:r>
          </w:p>
        </w:tc>
        <w:tc>
          <w:tcPr>
            <w:tcW w:w="1282" w:type="dxa"/>
            <w:shd w:val="clear" w:color="auto" w:fill="auto"/>
            <w:noWrap/>
            <w:hideMark/>
          </w:tcPr>
          <w:p w14:paraId="38C860DF" w14:textId="77777777" w:rsidR="00447B6D" w:rsidRPr="009E35ED" w:rsidRDefault="00447B6D" w:rsidP="00B04ABA">
            <w:pPr>
              <w:ind w:left="0" w:right="-90"/>
              <w:jc w:val="right"/>
              <w:rPr>
                <w:rFonts w:ascii="Arial Narrow" w:hAnsi="Arial Narrow" w:cs="Arial"/>
                <w:b/>
                <w:bCs/>
                <w:color w:val="000000" w:themeColor="text1"/>
                <w:sz w:val="20"/>
                <w:szCs w:val="20"/>
                <w:lang w:val="en-PH"/>
              </w:rPr>
            </w:pPr>
            <w:r w:rsidRPr="009E35ED">
              <w:rPr>
                <w:rFonts w:ascii="Arial Narrow" w:hAnsi="Arial Narrow" w:cs="Arial"/>
                <w:b/>
                <w:bCs/>
                <w:color w:val="000000" w:themeColor="text1"/>
                <w:sz w:val="20"/>
                <w:szCs w:val="20"/>
                <w:lang w:val="en-PH"/>
              </w:rPr>
              <w:t>53.90%</w:t>
            </w:r>
          </w:p>
        </w:tc>
      </w:tr>
      <w:tr w:rsidR="00447B6D" w:rsidRPr="009E35ED" w14:paraId="74CE10DB" w14:textId="77777777" w:rsidTr="00A046FD">
        <w:trPr>
          <w:trHeight w:val="135"/>
        </w:trPr>
        <w:tc>
          <w:tcPr>
            <w:tcW w:w="3060" w:type="dxa"/>
            <w:shd w:val="clear" w:color="auto" w:fill="auto"/>
            <w:noWrap/>
            <w:hideMark/>
          </w:tcPr>
          <w:p w14:paraId="7B84452B" w14:textId="77777777" w:rsidR="00447B6D" w:rsidRPr="009E35ED" w:rsidRDefault="00447B6D" w:rsidP="00B04ABA">
            <w:pPr>
              <w:ind w:left="0" w:hanging="90"/>
              <w:jc w:val="lef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Agent's Commission</w:t>
            </w:r>
          </w:p>
        </w:tc>
        <w:tc>
          <w:tcPr>
            <w:tcW w:w="1433" w:type="dxa"/>
            <w:shd w:val="clear" w:color="auto" w:fill="auto"/>
            <w:noWrap/>
            <w:hideMark/>
          </w:tcPr>
          <w:p w14:paraId="1C5E7D48" w14:textId="77777777" w:rsidR="00447B6D" w:rsidRPr="009E35ED" w:rsidRDefault="00447B6D" w:rsidP="00B04ABA">
            <w:pPr>
              <w:ind w:left="0"/>
              <w:jc w:val="righ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5.00%</w:t>
            </w:r>
          </w:p>
        </w:tc>
        <w:tc>
          <w:tcPr>
            <w:tcW w:w="1433" w:type="dxa"/>
            <w:shd w:val="clear" w:color="auto" w:fill="auto"/>
            <w:noWrap/>
            <w:hideMark/>
          </w:tcPr>
          <w:p w14:paraId="6FF8F3F7" w14:textId="77777777" w:rsidR="00447B6D" w:rsidRPr="009E35ED" w:rsidRDefault="00447B6D" w:rsidP="00B04ABA">
            <w:pPr>
              <w:ind w:left="0"/>
              <w:jc w:val="righ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5.00%</w:t>
            </w:r>
          </w:p>
        </w:tc>
        <w:tc>
          <w:tcPr>
            <w:tcW w:w="1432" w:type="dxa"/>
            <w:shd w:val="clear" w:color="auto" w:fill="auto"/>
            <w:noWrap/>
            <w:hideMark/>
          </w:tcPr>
          <w:p w14:paraId="3CB44F81" w14:textId="77777777" w:rsidR="00447B6D" w:rsidRPr="009E35ED" w:rsidRDefault="00447B6D" w:rsidP="00B04ABA">
            <w:pPr>
              <w:ind w:left="0"/>
              <w:jc w:val="righ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5.00%</w:t>
            </w:r>
          </w:p>
        </w:tc>
        <w:tc>
          <w:tcPr>
            <w:tcW w:w="1282" w:type="dxa"/>
            <w:shd w:val="clear" w:color="auto" w:fill="auto"/>
            <w:noWrap/>
            <w:hideMark/>
          </w:tcPr>
          <w:p w14:paraId="6C5ADC9B" w14:textId="77777777" w:rsidR="00447B6D" w:rsidRPr="009E35ED" w:rsidRDefault="00447B6D" w:rsidP="00B04ABA">
            <w:pPr>
              <w:ind w:left="0" w:right="-90"/>
              <w:jc w:val="righ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5.00%</w:t>
            </w:r>
          </w:p>
        </w:tc>
      </w:tr>
      <w:tr w:rsidR="00447B6D" w:rsidRPr="009E35ED" w14:paraId="1E4EAB96" w14:textId="77777777" w:rsidTr="00A046FD">
        <w:trPr>
          <w:trHeight w:val="135"/>
        </w:trPr>
        <w:tc>
          <w:tcPr>
            <w:tcW w:w="3060" w:type="dxa"/>
            <w:shd w:val="clear" w:color="auto" w:fill="auto"/>
            <w:noWrap/>
            <w:hideMark/>
          </w:tcPr>
          <w:p w14:paraId="206986CA" w14:textId="77777777" w:rsidR="00447B6D" w:rsidRPr="009E35ED" w:rsidRDefault="00447B6D" w:rsidP="00B04ABA">
            <w:pPr>
              <w:ind w:left="0" w:hanging="90"/>
              <w:jc w:val="lef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Direct Cost – ELA</w:t>
            </w:r>
          </w:p>
        </w:tc>
        <w:tc>
          <w:tcPr>
            <w:tcW w:w="1433" w:type="dxa"/>
            <w:shd w:val="clear" w:color="auto" w:fill="auto"/>
            <w:noWrap/>
            <w:hideMark/>
          </w:tcPr>
          <w:p w14:paraId="0B64B626" w14:textId="77777777" w:rsidR="00447B6D" w:rsidRPr="009E35ED" w:rsidRDefault="00447B6D" w:rsidP="00B04ABA">
            <w:pPr>
              <w:ind w:left="0"/>
              <w:jc w:val="righ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3.69%</w:t>
            </w:r>
          </w:p>
        </w:tc>
        <w:tc>
          <w:tcPr>
            <w:tcW w:w="1433" w:type="dxa"/>
            <w:shd w:val="clear" w:color="auto" w:fill="auto"/>
            <w:noWrap/>
            <w:hideMark/>
          </w:tcPr>
          <w:p w14:paraId="31AC7D36" w14:textId="77777777" w:rsidR="00447B6D" w:rsidRPr="009E35ED" w:rsidRDefault="00447B6D" w:rsidP="00B04ABA">
            <w:pPr>
              <w:ind w:left="0"/>
              <w:jc w:val="righ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3.69%</w:t>
            </w:r>
          </w:p>
        </w:tc>
        <w:tc>
          <w:tcPr>
            <w:tcW w:w="1432" w:type="dxa"/>
            <w:shd w:val="clear" w:color="auto" w:fill="auto"/>
            <w:noWrap/>
            <w:hideMark/>
          </w:tcPr>
          <w:p w14:paraId="414C5D4E" w14:textId="77777777" w:rsidR="00447B6D" w:rsidRPr="009E35ED" w:rsidRDefault="00447B6D" w:rsidP="00B04ABA">
            <w:pPr>
              <w:ind w:left="0"/>
              <w:jc w:val="righ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3.69%</w:t>
            </w:r>
          </w:p>
        </w:tc>
        <w:tc>
          <w:tcPr>
            <w:tcW w:w="1282" w:type="dxa"/>
            <w:shd w:val="clear" w:color="auto" w:fill="auto"/>
            <w:noWrap/>
            <w:hideMark/>
          </w:tcPr>
          <w:p w14:paraId="29A44743" w14:textId="77777777" w:rsidR="00447B6D" w:rsidRPr="009E35ED" w:rsidRDefault="00447B6D" w:rsidP="00B04ABA">
            <w:pPr>
              <w:ind w:left="0" w:right="-90"/>
              <w:jc w:val="righ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3.69%</w:t>
            </w:r>
          </w:p>
        </w:tc>
      </w:tr>
      <w:tr w:rsidR="00447B6D" w:rsidRPr="009E35ED" w14:paraId="14DA0293" w14:textId="77777777" w:rsidTr="00A046FD">
        <w:trPr>
          <w:trHeight w:val="144"/>
        </w:trPr>
        <w:tc>
          <w:tcPr>
            <w:tcW w:w="3060" w:type="dxa"/>
            <w:shd w:val="clear" w:color="auto" w:fill="auto"/>
            <w:noWrap/>
            <w:hideMark/>
          </w:tcPr>
          <w:p w14:paraId="008351E0" w14:textId="77777777" w:rsidR="00447B6D" w:rsidRPr="009E35ED" w:rsidRDefault="00447B6D" w:rsidP="00447B6D">
            <w:pPr>
              <w:ind w:left="0" w:hanging="90"/>
              <w:jc w:val="lef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Prize Margin/Reserved Fund</w:t>
            </w:r>
          </w:p>
        </w:tc>
        <w:tc>
          <w:tcPr>
            <w:tcW w:w="1433" w:type="dxa"/>
            <w:shd w:val="clear" w:color="auto" w:fill="auto"/>
            <w:noWrap/>
            <w:hideMark/>
          </w:tcPr>
          <w:p w14:paraId="48E8AA0F" w14:textId="3E7C2D55" w:rsidR="00447B6D" w:rsidRPr="009E35ED" w:rsidRDefault="00447B6D" w:rsidP="00447B6D">
            <w:pPr>
              <w:ind w:left="0"/>
              <w:jc w:val="righ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9.21%</w:t>
            </w:r>
          </w:p>
        </w:tc>
        <w:tc>
          <w:tcPr>
            <w:tcW w:w="1433" w:type="dxa"/>
            <w:shd w:val="clear" w:color="auto" w:fill="auto"/>
            <w:noWrap/>
            <w:hideMark/>
          </w:tcPr>
          <w:p w14:paraId="20D0D752" w14:textId="357112D3" w:rsidR="00447B6D" w:rsidRPr="009E35ED" w:rsidRDefault="00447B6D" w:rsidP="00447B6D">
            <w:pPr>
              <w:ind w:left="0"/>
              <w:jc w:val="righ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9.21%</w:t>
            </w:r>
          </w:p>
        </w:tc>
        <w:tc>
          <w:tcPr>
            <w:tcW w:w="1432" w:type="dxa"/>
            <w:shd w:val="clear" w:color="auto" w:fill="auto"/>
            <w:noWrap/>
            <w:hideMark/>
          </w:tcPr>
          <w:p w14:paraId="06E129E0" w14:textId="727EA990" w:rsidR="00447B6D" w:rsidRPr="009E35ED" w:rsidRDefault="00447B6D" w:rsidP="00447B6D">
            <w:pPr>
              <w:ind w:left="0"/>
              <w:jc w:val="righ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9.21%</w:t>
            </w:r>
          </w:p>
        </w:tc>
        <w:tc>
          <w:tcPr>
            <w:tcW w:w="1282" w:type="dxa"/>
            <w:shd w:val="clear" w:color="auto" w:fill="auto"/>
            <w:noWrap/>
            <w:hideMark/>
          </w:tcPr>
          <w:p w14:paraId="07103BFD" w14:textId="16871E39" w:rsidR="00447B6D" w:rsidRPr="009E35ED" w:rsidRDefault="00447B6D" w:rsidP="00447B6D">
            <w:pPr>
              <w:ind w:left="0" w:right="-90"/>
              <w:jc w:val="righ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9.21%</w:t>
            </w:r>
          </w:p>
        </w:tc>
      </w:tr>
      <w:tr w:rsidR="00447B6D" w:rsidRPr="009E35ED" w14:paraId="2545C393" w14:textId="77777777" w:rsidTr="00A046FD">
        <w:trPr>
          <w:trHeight w:val="135"/>
        </w:trPr>
        <w:tc>
          <w:tcPr>
            <w:tcW w:w="3060" w:type="dxa"/>
            <w:shd w:val="clear" w:color="auto" w:fill="auto"/>
            <w:noWrap/>
            <w:hideMark/>
          </w:tcPr>
          <w:p w14:paraId="0AA17495" w14:textId="77777777" w:rsidR="00447B6D" w:rsidRPr="009E35ED" w:rsidRDefault="00447B6D" w:rsidP="00B04ABA">
            <w:pPr>
              <w:ind w:left="0" w:hanging="90"/>
              <w:jc w:val="lef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Jackpot  Prize Pool</w:t>
            </w:r>
          </w:p>
        </w:tc>
        <w:tc>
          <w:tcPr>
            <w:tcW w:w="1433" w:type="dxa"/>
            <w:shd w:val="clear" w:color="auto" w:fill="auto"/>
            <w:noWrap/>
            <w:hideMark/>
          </w:tcPr>
          <w:p w14:paraId="6F022DED" w14:textId="77777777" w:rsidR="00447B6D" w:rsidRPr="009E35ED" w:rsidRDefault="00447B6D" w:rsidP="00B04ABA">
            <w:pPr>
              <w:ind w:left="0"/>
              <w:jc w:val="righ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0.00%</w:t>
            </w:r>
          </w:p>
        </w:tc>
        <w:tc>
          <w:tcPr>
            <w:tcW w:w="1433" w:type="dxa"/>
            <w:shd w:val="clear" w:color="auto" w:fill="auto"/>
            <w:noWrap/>
            <w:hideMark/>
          </w:tcPr>
          <w:p w14:paraId="41A8C6F9" w14:textId="77777777" w:rsidR="00447B6D" w:rsidRPr="009E35ED" w:rsidRDefault="00447B6D" w:rsidP="00B04ABA">
            <w:pPr>
              <w:ind w:left="0"/>
              <w:jc w:val="righ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0.00%</w:t>
            </w:r>
          </w:p>
        </w:tc>
        <w:tc>
          <w:tcPr>
            <w:tcW w:w="1432" w:type="dxa"/>
            <w:shd w:val="clear" w:color="auto" w:fill="auto"/>
            <w:noWrap/>
            <w:hideMark/>
          </w:tcPr>
          <w:p w14:paraId="02E60B43" w14:textId="77777777" w:rsidR="00447B6D" w:rsidRPr="009E35ED" w:rsidRDefault="00447B6D" w:rsidP="00B04ABA">
            <w:pPr>
              <w:ind w:left="0"/>
              <w:jc w:val="righ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0.00%</w:t>
            </w:r>
          </w:p>
        </w:tc>
        <w:tc>
          <w:tcPr>
            <w:tcW w:w="1282" w:type="dxa"/>
            <w:shd w:val="clear" w:color="auto" w:fill="auto"/>
            <w:noWrap/>
            <w:hideMark/>
          </w:tcPr>
          <w:p w14:paraId="4E4AC3C9" w14:textId="77777777" w:rsidR="00447B6D" w:rsidRPr="009E35ED" w:rsidRDefault="00447B6D" w:rsidP="00B04ABA">
            <w:pPr>
              <w:ind w:left="0" w:right="-90"/>
              <w:jc w:val="righ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30.00%</w:t>
            </w:r>
          </w:p>
        </w:tc>
      </w:tr>
      <w:tr w:rsidR="00447B6D" w:rsidRPr="009E35ED" w14:paraId="373F80F3" w14:textId="77777777" w:rsidTr="00A046FD">
        <w:trPr>
          <w:trHeight w:val="83"/>
        </w:trPr>
        <w:tc>
          <w:tcPr>
            <w:tcW w:w="3060" w:type="dxa"/>
            <w:shd w:val="clear" w:color="auto" w:fill="auto"/>
            <w:noWrap/>
            <w:hideMark/>
          </w:tcPr>
          <w:p w14:paraId="006CA8CF" w14:textId="77777777" w:rsidR="00447B6D" w:rsidRPr="009E35ED" w:rsidRDefault="00447B6D" w:rsidP="00B04ABA">
            <w:pPr>
              <w:ind w:left="0" w:hanging="90"/>
              <w:jc w:val="lef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Lower Prizes</w:t>
            </w:r>
          </w:p>
        </w:tc>
        <w:tc>
          <w:tcPr>
            <w:tcW w:w="1433" w:type="dxa"/>
            <w:shd w:val="clear" w:color="auto" w:fill="auto"/>
            <w:noWrap/>
            <w:hideMark/>
          </w:tcPr>
          <w:p w14:paraId="6394CED6" w14:textId="77777777" w:rsidR="00447B6D" w:rsidRPr="009E35ED" w:rsidRDefault="00447B6D" w:rsidP="00B04ABA">
            <w:pPr>
              <w:ind w:left="0"/>
              <w:jc w:val="righ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36.00%</w:t>
            </w:r>
          </w:p>
        </w:tc>
        <w:tc>
          <w:tcPr>
            <w:tcW w:w="1433" w:type="dxa"/>
            <w:shd w:val="clear" w:color="auto" w:fill="auto"/>
            <w:noWrap/>
            <w:hideMark/>
          </w:tcPr>
          <w:p w14:paraId="5ECFC614" w14:textId="77777777" w:rsidR="00447B6D" w:rsidRPr="009E35ED" w:rsidRDefault="00447B6D" w:rsidP="00B04ABA">
            <w:pPr>
              <w:ind w:left="0"/>
              <w:jc w:val="righ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36.00%</w:t>
            </w:r>
          </w:p>
        </w:tc>
        <w:tc>
          <w:tcPr>
            <w:tcW w:w="1432" w:type="dxa"/>
            <w:shd w:val="clear" w:color="auto" w:fill="auto"/>
            <w:noWrap/>
            <w:hideMark/>
          </w:tcPr>
          <w:p w14:paraId="63EEC681" w14:textId="77777777" w:rsidR="00447B6D" w:rsidRPr="009E35ED" w:rsidRDefault="00447B6D" w:rsidP="00B04ABA">
            <w:pPr>
              <w:ind w:left="0"/>
              <w:jc w:val="righ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36.00%</w:t>
            </w:r>
          </w:p>
        </w:tc>
        <w:tc>
          <w:tcPr>
            <w:tcW w:w="1282" w:type="dxa"/>
            <w:shd w:val="clear" w:color="auto" w:fill="auto"/>
            <w:noWrap/>
            <w:hideMark/>
          </w:tcPr>
          <w:p w14:paraId="5A422984" w14:textId="77777777" w:rsidR="00447B6D" w:rsidRPr="009E35ED" w:rsidRDefault="00447B6D" w:rsidP="00B04ABA">
            <w:pPr>
              <w:ind w:left="0" w:right="-90"/>
              <w:jc w:val="righ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6.00%</w:t>
            </w:r>
          </w:p>
        </w:tc>
      </w:tr>
      <w:tr w:rsidR="00447B6D" w:rsidRPr="009E35ED" w14:paraId="79B09605" w14:textId="77777777" w:rsidTr="00A046FD">
        <w:trPr>
          <w:trHeight w:val="252"/>
        </w:trPr>
        <w:tc>
          <w:tcPr>
            <w:tcW w:w="3060" w:type="dxa"/>
            <w:shd w:val="clear" w:color="auto" w:fill="auto"/>
            <w:noWrap/>
            <w:hideMark/>
          </w:tcPr>
          <w:p w14:paraId="1A42B582" w14:textId="77777777" w:rsidR="00447B6D" w:rsidRPr="009E35ED" w:rsidRDefault="00447B6D" w:rsidP="00B04ABA">
            <w:pPr>
              <w:ind w:left="0" w:hanging="90"/>
              <w:jc w:val="left"/>
              <w:rPr>
                <w:rFonts w:ascii="Arial Narrow" w:hAnsi="Arial Narrow" w:cs="Arial"/>
                <w:color w:val="000000" w:themeColor="text1"/>
                <w:sz w:val="20"/>
                <w:szCs w:val="20"/>
                <w:lang w:val="en-PH"/>
              </w:rPr>
            </w:pPr>
          </w:p>
        </w:tc>
        <w:tc>
          <w:tcPr>
            <w:tcW w:w="1433" w:type="dxa"/>
            <w:shd w:val="clear" w:color="auto" w:fill="auto"/>
            <w:noWrap/>
            <w:hideMark/>
          </w:tcPr>
          <w:p w14:paraId="0C39FDCB" w14:textId="77777777" w:rsidR="00447B6D" w:rsidRPr="009E35ED" w:rsidRDefault="00447B6D" w:rsidP="00B04ABA">
            <w:pPr>
              <w:ind w:left="0"/>
              <w:jc w:val="right"/>
              <w:rPr>
                <w:rFonts w:ascii="Arial Narrow" w:hAnsi="Arial Narrow" w:cs="Arial"/>
                <w:color w:val="000000" w:themeColor="text1"/>
                <w:sz w:val="20"/>
                <w:szCs w:val="20"/>
                <w:lang w:val="en-PH"/>
              </w:rPr>
            </w:pPr>
          </w:p>
        </w:tc>
        <w:tc>
          <w:tcPr>
            <w:tcW w:w="1433" w:type="dxa"/>
            <w:shd w:val="clear" w:color="auto" w:fill="auto"/>
            <w:noWrap/>
            <w:hideMark/>
          </w:tcPr>
          <w:p w14:paraId="27CA05C0" w14:textId="77777777" w:rsidR="00447B6D" w:rsidRPr="009E35ED" w:rsidRDefault="00447B6D" w:rsidP="00B04ABA">
            <w:pPr>
              <w:ind w:left="0"/>
              <w:jc w:val="right"/>
              <w:rPr>
                <w:rFonts w:ascii="Arial Narrow" w:hAnsi="Arial Narrow" w:cs="Arial"/>
                <w:color w:val="000000" w:themeColor="text1"/>
                <w:sz w:val="20"/>
                <w:szCs w:val="20"/>
                <w:lang w:val="en-PH"/>
              </w:rPr>
            </w:pPr>
          </w:p>
        </w:tc>
        <w:tc>
          <w:tcPr>
            <w:tcW w:w="1432" w:type="dxa"/>
            <w:shd w:val="clear" w:color="auto" w:fill="auto"/>
            <w:noWrap/>
            <w:hideMark/>
          </w:tcPr>
          <w:p w14:paraId="0C4B68A6" w14:textId="77777777" w:rsidR="00447B6D" w:rsidRPr="009E35ED" w:rsidRDefault="00447B6D" w:rsidP="00B04ABA">
            <w:pPr>
              <w:ind w:left="0"/>
              <w:jc w:val="right"/>
              <w:rPr>
                <w:rFonts w:ascii="Arial Narrow" w:hAnsi="Arial Narrow" w:cs="Arial"/>
                <w:color w:val="000000" w:themeColor="text1"/>
                <w:sz w:val="20"/>
                <w:szCs w:val="20"/>
                <w:lang w:val="en-PH"/>
              </w:rPr>
            </w:pPr>
          </w:p>
        </w:tc>
        <w:tc>
          <w:tcPr>
            <w:tcW w:w="1282" w:type="dxa"/>
            <w:shd w:val="clear" w:color="auto" w:fill="auto"/>
            <w:noWrap/>
            <w:hideMark/>
          </w:tcPr>
          <w:p w14:paraId="43FA703C" w14:textId="77777777" w:rsidR="00447B6D" w:rsidRPr="009E35ED" w:rsidRDefault="00447B6D" w:rsidP="00B04ABA">
            <w:pPr>
              <w:ind w:left="0" w:right="-90"/>
              <w:jc w:val="right"/>
              <w:rPr>
                <w:rFonts w:ascii="Arial Narrow" w:hAnsi="Arial Narrow" w:cs="Arial"/>
                <w:color w:val="000000" w:themeColor="text1"/>
                <w:sz w:val="20"/>
                <w:szCs w:val="20"/>
                <w:lang w:val="en-PH"/>
              </w:rPr>
            </w:pPr>
          </w:p>
        </w:tc>
      </w:tr>
      <w:tr w:rsidR="00447B6D" w:rsidRPr="009E35ED" w14:paraId="34C5838F" w14:textId="77777777" w:rsidTr="00A046FD">
        <w:trPr>
          <w:trHeight w:val="83"/>
        </w:trPr>
        <w:tc>
          <w:tcPr>
            <w:tcW w:w="3060" w:type="dxa"/>
            <w:shd w:val="clear" w:color="auto" w:fill="auto"/>
            <w:noWrap/>
            <w:hideMark/>
          </w:tcPr>
          <w:p w14:paraId="0678310F" w14:textId="77777777" w:rsidR="00447B6D" w:rsidRPr="009E35ED" w:rsidRDefault="00447B6D" w:rsidP="00B04ABA">
            <w:pPr>
              <w:ind w:left="0" w:hanging="90"/>
              <w:rPr>
                <w:rFonts w:ascii="Arial Narrow" w:hAnsi="Arial Narrow" w:cs="Arial"/>
                <w:b/>
                <w:bCs/>
                <w:color w:val="000000" w:themeColor="text1"/>
                <w:sz w:val="20"/>
                <w:szCs w:val="20"/>
                <w:lang w:val="en-PH"/>
              </w:rPr>
            </w:pPr>
            <w:r w:rsidRPr="009E35ED">
              <w:rPr>
                <w:rFonts w:ascii="Arial Narrow" w:hAnsi="Arial Narrow" w:cs="Arial"/>
                <w:b/>
                <w:bCs/>
                <w:color w:val="000000" w:themeColor="text1"/>
                <w:sz w:val="20"/>
                <w:szCs w:val="20"/>
                <w:lang w:val="en-PH"/>
              </w:rPr>
              <w:t xml:space="preserve">First Prize </w:t>
            </w:r>
          </w:p>
        </w:tc>
        <w:tc>
          <w:tcPr>
            <w:tcW w:w="1433" w:type="dxa"/>
            <w:shd w:val="clear" w:color="auto" w:fill="auto"/>
            <w:noWrap/>
            <w:hideMark/>
          </w:tcPr>
          <w:p w14:paraId="4BFECE03" w14:textId="77777777" w:rsidR="00447B6D" w:rsidRPr="009E35ED" w:rsidRDefault="00447B6D" w:rsidP="00B04ABA">
            <w:pPr>
              <w:ind w:left="0"/>
              <w:jc w:val="right"/>
              <w:rPr>
                <w:rFonts w:ascii="Arial Narrow" w:hAnsi="Arial Narrow" w:cs="Arial"/>
                <w:b/>
                <w:bCs/>
                <w:color w:val="000000" w:themeColor="text1"/>
                <w:sz w:val="20"/>
                <w:szCs w:val="20"/>
                <w:lang w:val="en-PH"/>
              </w:rPr>
            </w:pPr>
            <w:r w:rsidRPr="009E35ED">
              <w:rPr>
                <w:rFonts w:ascii="Arial Narrow" w:hAnsi="Arial Narrow" w:cs="Arial"/>
                <w:b/>
                <w:bCs/>
                <w:color w:val="000000" w:themeColor="text1"/>
                <w:sz w:val="20"/>
                <w:szCs w:val="20"/>
                <w:lang w:val="en-PH"/>
              </w:rPr>
              <w:t xml:space="preserve"> 30% up to </w:t>
            </w:r>
          </w:p>
        </w:tc>
        <w:tc>
          <w:tcPr>
            <w:tcW w:w="1433" w:type="dxa"/>
            <w:shd w:val="clear" w:color="auto" w:fill="auto"/>
            <w:noWrap/>
            <w:hideMark/>
          </w:tcPr>
          <w:p w14:paraId="09322076" w14:textId="77777777" w:rsidR="00447B6D" w:rsidRPr="009E35ED" w:rsidRDefault="00447B6D" w:rsidP="00B04ABA">
            <w:pPr>
              <w:ind w:left="0"/>
              <w:jc w:val="right"/>
              <w:rPr>
                <w:rFonts w:ascii="Arial Narrow" w:hAnsi="Arial Narrow" w:cs="Arial"/>
                <w:b/>
                <w:bCs/>
                <w:color w:val="000000" w:themeColor="text1"/>
                <w:sz w:val="20"/>
                <w:szCs w:val="20"/>
                <w:lang w:val="en-PH"/>
              </w:rPr>
            </w:pPr>
            <w:r w:rsidRPr="009E35ED">
              <w:rPr>
                <w:rFonts w:ascii="Arial Narrow" w:hAnsi="Arial Narrow" w:cs="Arial"/>
                <w:b/>
                <w:bCs/>
                <w:color w:val="000000" w:themeColor="text1"/>
                <w:sz w:val="20"/>
                <w:szCs w:val="20"/>
                <w:lang w:val="en-PH"/>
              </w:rPr>
              <w:t xml:space="preserve"> 30% up to </w:t>
            </w:r>
          </w:p>
        </w:tc>
        <w:tc>
          <w:tcPr>
            <w:tcW w:w="1432" w:type="dxa"/>
            <w:shd w:val="clear" w:color="auto" w:fill="auto"/>
            <w:noWrap/>
            <w:hideMark/>
          </w:tcPr>
          <w:p w14:paraId="6313FA66" w14:textId="77777777" w:rsidR="00447B6D" w:rsidRPr="009E35ED" w:rsidRDefault="00447B6D" w:rsidP="00B04ABA">
            <w:pPr>
              <w:ind w:left="0"/>
              <w:jc w:val="right"/>
              <w:rPr>
                <w:rFonts w:ascii="Arial Narrow" w:hAnsi="Arial Narrow" w:cs="Arial"/>
                <w:b/>
                <w:bCs/>
                <w:color w:val="000000" w:themeColor="text1"/>
                <w:sz w:val="20"/>
                <w:szCs w:val="20"/>
                <w:lang w:val="en-PH"/>
              </w:rPr>
            </w:pPr>
            <w:r w:rsidRPr="009E35ED">
              <w:rPr>
                <w:rFonts w:ascii="Arial Narrow" w:hAnsi="Arial Narrow" w:cs="Arial"/>
                <w:b/>
                <w:bCs/>
                <w:color w:val="000000" w:themeColor="text1"/>
                <w:sz w:val="20"/>
                <w:szCs w:val="20"/>
                <w:lang w:val="en-PH"/>
              </w:rPr>
              <w:t xml:space="preserve"> 30% up to </w:t>
            </w:r>
          </w:p>
        </w:tc>
        <w:tc>
          <w:tcPr>
            <w:tcW w:w="1282" w:type="dxa"/>
            <w:shd w:val="clear" w:color="auto" w:fill="auto"/>
            <w:noWrap/>
            <w:hideMark/>
          </w:tcPr>
          <w:p w14:paraId="107A095A" w14:textId="77777777" w:rsidR="00447B6D" w:rsidRPr="009E35ED" w:rsidRDefault="00447B6D" w:rsidP="00B04ABA">
            <w:pPr>
              <w:ind w:left="0" w:right="-90"/>
              <w:jc w:val="right"/>
              <w:rPr>
                <w:rFonts w:ascii="Arial Narrow" w:hAnsi="Arial Narrow" w:cs="Arial"/>
                <w:b/>
                <w:bCs/>
                <w:color w:val="000000" w:themeColor="text1"/>
                <w:sz w:val="20"/>
                <w:szCs w:val="20"/>
                <w:lang w:val="en-PH"/>
              </w:rPr>
            </w:pPr>
            <w:r w:rsidRPr="009E35ED">
              <w:rPr>
                <w:rFonts w:ascii="Arial Narrow" w:hAnsi="Arial Narrow" w:cs="Arial"/>
                <w:b/>
                <w:bCs/>
                <w:color w:val="000000" w:themeColor="text1"/>
                <w:sz w:val="20"/>
                <w:szCs w:val="20"/>
                <w:lang w:val="en-PH"/>
              </w:rPr>
              <w:t xml:space="preserve"> 30% up to </w:t>
            </w:r>
          </w:p>
        </w:tc>
      </w:tr>
      <w:tr w:rsidR="00447B6D" w:rsidRPr="009E35ED" w14:paraId="6B9BC210" w14:textId="77777777" w:rsidTr="00A046FD">
        <w:trPr>
          <w:trHeight w:val="83"/>
        </w:trPr>
        <w:tc>
          <w:tcPr>
            <w:tcW w:w="3060" w:type="dxa"/>
            <w:shd w:val="clear" w:color="auto" w:fill="auto"/>
            <w:noWrap/>
            <w:hideMark/>
          </w:tcPr>
          <w:p w14:paraId="1854D1D4" w14:textId="77777777" w:rsidR="00447B6D" w:rsidRPr="009E35ED" w:rsidRDefault="00447B6D" w:rsidP="00B04ABA">
            <w:pPr>
              <w:ind w:left="0"/>
              <w:jc w:val="left"/>
              <w:rPr>
                <w:rFonts w:ascii="Arial Narrow" w:hAnsi="Arial Narrow" w:cs="Arial"/>
                <w:b/>
                <w:bCs/>
                <w:color w:val="000000" w:themeColor="text1"/>
                <w:sz w:val="20"/>
                <w:szCs w:val="20"/>
                <w:lang w:val="en-PH"/>
              </w:rPr>
            </w:pPr>
          </w:p>
        </w:tc>
        <w:tc>
          <w:tcPr>
            <w:tcW w:w="1433" w:type="dxa"/>
            <w:shd w:val="clear" w:color="auto" w:fill="auto"/>
            <w:noWrap/>
            <w:hideMark/>
          </w:tcPr>
          <w:p w14:paraId="0902736F" w14:textId="77777777" w:rsidR="00447B6D" w:rsidRPr="009E35ED" w:rsidRDefault="00447B6D" w:rsidP="00B04ABA">
            <w:pPr>
              <w:ind w:left="0" w:hanging="126"/>
              <w:jc w:val="right"/>
              <w:rPr>
                <w:rFonts w:ascii="Arial Narrow" w:hAnsi="Arial Narrow" w:cs="Arial"/>
                <w:b/>
                <w:bCs/>
                <w:color w:val="000000" w:themeColor="text1"/>
                <w:sz w:val="20"/>
                <w:szCs w:val="20"/>
                <w:lang w:val="en-PH"/>
              </w:rPr>
            </w:pPr>
            <w:r w:rsidRPr="009E35ED">
              <w:rPr>
                <w:rFonts w:ascii="Arial Narrow" w:hAnsi="Arial Narrow" w:cs="Arial"/>
                <w:b/>
                <w:bCs/>
                <w:color w:val="000000" w:themeColor="text1"/>
                <w:sz w:val="20"/>
                <w:szCs w:val="20"/>
                <w:lang w:val="en-PH"/>
              </w:rPr>
              <w:t xml:space="preserve"> </w:t>
            </w:r>
            <w:r w:rsidRPr="009E35ED">
              <w:rPr>
                <w:rFonts w:ascii="Arial" w:hAnsi="Arial" w:cs="Arial"/>
                <w:b/>
                <w:bCs/>
                <w:color w:val="000000" w:themeColor="text1"/>
                <w:sz w:val="20"/>
                <w:szCs w:val="20"/>
                <w:lang w:val="en-PH"/>
              </w:rPr>
              <w:t>P</w:t>
            </w:r>
            <w:r w:rsidRPr="009E35ED">
              <w:rPr>
                <w:rFonts w:ascii="Arial Narrow" w:hAnsi="Arial Narrow" w:cs="Arial"/>
                <w:b/>
                <w:bCs/>
                <w:color w:val="000000" w:themeColor="text1"/>
                <w:sz w:val="20"/>
                <w:szCs w:val="20"/>
                <w:lang w:val="en-PH"/>
              </w:rPr>
              <w:t xml:space="preserve">   4,000.00 </w:t>
            </w:r>
          </w:p>
        </w:tc>
        <w:tc>
          <w:tcPr>
            <w:tcW w:w="1433" w:type="dxa"/>
            <w:shd w:val="clear" w:color="auto" w:fill="auto"/>
            <w:noWrap/>
            <w:hideMark/>
          </w:tcPr>
          <w:p w14:paraId="3E130C64" w14:textId="77777777" w:rsidR="00447B6D" w:rsidRPr="009E35ED" w:rsidRDefault="00447B6D" w:rsidP="00B04ABA">
            <w:pPr>
              <w:ind w:left="0" w:hanging="119"/>
              <w:jc w:val="right"/>
              <w:rPr>
                <w:rFonts w:ascii="Arial Narrow" w:hAnsi="Arial Narrow" w:cs="Arial"/>
                <w:b/>
                <w:bCs/>
                <w:color w:val="000000" w:themeColor="text1"/>
                <w:sz w:val="20"/>
                <w:szCs w:val="20"/>
                <w:lang w:val="en-PH"/>
              </w:rPr>
            </w:pPr>
            <w:r w:rsidRPr="009E35ED">
              <w:rPr>
                <w:rFonts w:ascii="Arial Narrow" w:hAnsi="Arial Narrow" w:cs="Arial"/>
                <w:b/>
                <w:bCs/>
                <w:color w:val="000000" w:themeColor="text1"/>
                <w:sz w:val="20"/>
                <w:szCs w:val="20"/>
                <w:lang w:val="en-PH"/>
              </w:rPr>
              <w:t xml:space="preserve"> </w:t>
            </w:r>
            <w:r w:rsidRPr="009E35ED">
              <w:rPr>
                <w:rFonts w:ascii="Arial" w:hAnsi="Arial" w:cs="Arial"/>
                <w:b/>
                <w:bCs/>
                <w:color w:val="000000" w:themeColor="text1"/>
                <w:sz w:val="20"/>
                <w:szCs w:val="20"/>
                <w:lang w:val="en-PH"/>
              </w:rPr>
              <w:t>P</w:t>
            </w:r>
            <w:r w:rsidRPr="009E35ED">
              <w:rPr>
                <w:rFonts w:ascii="Arial Narrow" w:hAnsi="Arial Narrow" w:cs="Arial"/>
                <w:b/>
                <w:bCs/>
                <w:color w:val="000000" w:themeColor="text1"/>
                <w:sz w:val="20"/>
                <w:szCs w:val="20"/>
                <w:lang w:val="en-PH"/>
              </w:rPr>
              <w:t xml:space="preserve">    4,500.00 </w:t>
            </w:r>
          </w:p>
        </w:tc>
        <w:tc>
          <w:tcPr>
            <w:tcW w:w="1432" w:type="dxa"/>
            <w:shd w:val="clear" w:color="auto" w:fill="auto"/>
            <w:noWrap/>
            <w:hideMark/>
          </w:tcPr>
          <w:p w14:paraId="7BCF3277" w14:textId="77777777" w:rsidR="00447B6D" w:rsidRPr="009E35ED" w:rsidRDefault="00447B6D" w:rsidP="00B04ABA">
            <w:pPr>
              <w:ind w:left="0" w:hanging="112"/>
              <w:jc w:val="right"/>
              <w:rPr>
                <w:rFonts w:ascii="Arial Narrow" w:hAnsi="Arial Narrow" w:cs="Arial"/>
                <w:b/>
                <w:bCs/>
                <w:color w:val="000000" w:themeColor="text1"/>
                <w:sz w:val="20"/>
                <w:szCs w:val="20"/>
                <w:lang w:val="en-PH"/>
              </w:rPr>
            </w:pPr>
            <w:r w:rsidRPr="009E35ED">
              <w:rPr>
                <w:rFonts w:ascii="Arial Narrow" w:hAnsi="Arial Narrow" w:cs="Arial"/>
                <w:b/>
                <w:bCs/>
                <w:color w:val="000000" w:themeColor="text1"/>
                <w:sz w:val="20"/>
                <w:szCs w:val="20"/>
                <w:lang w:val="en-PH"/>
              </w:rPr>
              <w:t xml:space="preserve"> </w:t>
            </w:r>
            <w:r w:rsidRPr="009E35ED">
              <w:rPr>
                <w:rFonts w:ascii="Arial" w:hAnsi="Arial" w:cs="Arial"/>
                <w:b/>
                <w:bCs/>
                <w:color w:val="000000" w:themeColor="text1"/>
                <w:sz w:val="20"/>
                <w:szCs w:val="20"/>
                <w:lang w:val="en-PH"/>
              </w:rPr>
              <w:t>P</w:t>
            </w:r>
            <w:r w:rsidRPr="009E35ED">
              <w:rPr>
                <w:rFonts w:ascii="Arial Narrow" w:hAnsi="Arial Narrow" w:cs="Arial"/>
                <w:b/>
                <w:bCs/>
                <w:color w:val="000000" w:themeColor="text1"/>
                <w:sz w:val="20"/>
                <w:szCs w:val="20"/>
                <w:lang w:val="en-PH"/>
              </w:rPr>
              <w:t xml:space="preserve"> 10,000.00 </w:t>
            </w:r>
          </w:p>
        </w:tc>
        <w:tc>
          <w:tcPr>
            <w:tcW w:w="1282" w:type="dxa"/>
            <w:shd w:val="clear" w:color="auto" w:fill="auto"/>
            <w:noWrap/>
            <w:hideMark/>
          </w:tcPr>
          <w:p w14:paraId="56CFECC6" w14:textId="77777777" w:rsidR="00447B6D" w:rsidRPr="009E35ED" w:rsidRDefault="00447B6D" w:rsidP="00B04ABA">
            <w:pPr>
              <w:ind w:left="0" w:right="-90" w:hanging="104"/>
              <w:jc w:val="right"/>
              <w:rPr>
                <w:rFonts w:ascii="Arial Narrow" w:hAnsi="Arial Narrow" w:cs="Arial"/>
                <w:b/>
                <w:bCs/>
                <w:color w:val="000000" w:themeColor="text1"/>
                <w:sz w:val="20"/>
                <w:szCs w:val="20"/>
                <w:lang w:val="en-PH"/>
              </w:rPr>
            </w:pPr>
            <w:r w:rsidRPr="009E35ED">
              <w:rPr>
                <w:rFonts w:ascii="Arial Narrow" w:hAnsi="Arial Narrow" w:cs="Arial"/>
                <w:b/>
                <w:bCs/>
                <w:color w:val="000000" w:themeColor="text1"/>
                <w:sz w:val="20"/>
                <w:szCs w:val="20"/>
                <w:lang w:val="en-PH"/>
              </w:rPr>
              <w:t xml:space="preserve"> </w:t>
            </w:r>
            <w:r w:rsidRPr="009E35ED">
              <w:rPr>
                <w:rFonts w:ascii="Arial" w:hAnsi="Arial" w:cs="Arial"/>
                <w:b/>
                <w:bCs/>
                <w:color w:val="000000" w:themeColor="text1"/>
                <w:sz w:val="20"/>
                <w:szCs w:val="20"/>
                <w:lang w:val="en-PH"/>
              </w:rPr>
              <w:t xml:space="preserve">P </w:t>
            </w:r>
            <w:r w:rsidRPr="009E35ED">
              <w:rPr>
                <w:rFonts w:ascii="Arial Narrow" w:hAnsi="Arial Narrow" w:cs="Arial"/>
                <w:b/>
                <w:bCs/>
                <w:color w:val="000000" w:themeColor="text1"/>
                <w:sz w:val="20"/>
                <w:szCs w:val="20"/>
                <w:lang w:val="en-PH"/>
              </w:rPr>
              <w:t>150,000.00</w:t>
            </w:r>
          </w:p>
          <w:p w14:paraId="01BB575A" w14:textId="77777777" w:rsidR="00447B6D" w:rsidRPr="009E35ED" w:rsidRDefault="00447B6D" w:rsidP="00B04ABA">
            <w:pPr>
              <w:ind w:left="0" w:right="-90" w:hanging="104"/>
              <w:jc w:val="right"/>
              <w:rPr>
                <w:rFonts w:ascii="Arial Narrow" w:hAnsi="Arial Narrow" w:cs="Arial"/>
                <w:b/>
                <w:bCs/>
                <w:color w:val="000000" w:themeColor="text1"/>
                <w:sz w:val="20"/>
                <w:szCs w:val="20"/>
                <w:lang w:val="en-PH"/>
              </w:rPr>
            </w:pPr>
          </w:p>
          <w:p w14:paraId="0B12CEFF" w14:textId="77777777" w:rsidR="00447B6D" w:rsidRPr="009E35ED" w:rsidRDefault="00447B6D" w:rsidP="00B04ABA">
            <w:pPr>
              <w:ind w:left="0" w:right="-90" w:hanging="104"/>
              <w:jc w:val="right"/>
              <w:rPr>
                <w:rFonts w:ascii="Arial Narrow" w:hAnsi="Arial Narrow" w:cs="Arial"/>
                <w:b/>
                <w:bCs/>
                <w:color w:val="000000" w:themeColor="text1"/>
                <w:sz w:val="20"/>
                <w:szCs w:val="20"/>
                <w:lang w:val="en-PH"/>
              </w:rPr>
            </w:pPr>
            <w:r w:rsidRPr="009E35ED">
              <w:rPr>
                <w:rFonts w:ascii="Arial Narrow" w:hAnsi="Arial Narrow" w:cs="Arial"/>
                <w:b/>
                <w:bCs/>
                <w:color w:val="000000" w:themeColor="text1"/>
                <w:sz w:val="20"/>
                <w:szCs w:val="20"/>
                <w:lang w:val="en-PH"/>
              </w:rPr>
              <w:t xml:space="preserve"> </w:t>
            </w:r>
          </w:p>
        </w:tc>
      </w:tr>
      <w:tr w:rsidR="00447B6D" w:rsidRPr="009E35ED" w14:paraId="0F93AD66" w14:textId="77777777" w:rsidTr="00A046FD">
        <w:trPr>
          <w:trHeight w:val="81"/>
        </w:trPr>
        <w:tc>
          <w:tcPr>
            <w:tcW w:w="3060" w:type="dxa"/>
            <w:shd w:val="clear" w:color="auto" w:fill="auto"/>
            <w:noWrap/>
          </w:tcPr>
          <w:p w14:paraId="5170BDD6" w14:textId="77777777" w:rsidR="00447B6D" w:rsidRPr="009E35ED" w:rsidRDefault="00447B6D" w:rsidP="00B04ABA">
            <w:pPr>
              <w:ind w:left="0"/>
              <w:jc w:val="left"/>
              <w:rPr>
                <w:rFonts w:ascii="Arial Narrow" w:hAnsi="Arial Narrow" w:cs="Arial"/>
                <w:b/>
                <w:bCs/>
                <w:color w:val="000000" w:themeColor="text1"/>
                <w:sz w:val="20"/>
                <w:szCs w:val="20"/>
                <w:lang w:val="en-PH"/>
              </w:rPr>
            </w:pPr>
            <w:r w:rsidRPr="009E35ED">
              <w:rPr>
                <w:rFonts w:ascii="Arial Narrow" w:hAnsi="Arial Narrow" w:cs="Arial"/>
                <w:b/>
                <w:bCs/>
                <w:color w:val="000000" w:themeColor="text1"/>
                <w:sz w:val="20"/>
                <w:szCs w:val="20"/>
                <w:lang w:val="en-PH"/>
              </w:rPr>
              <w:t>II. Charity   Fund  (30% of NR)</w:t>
            </w:r>
          </w:p>
        </w:tc>
        <w:tc>
          <w:tcPr>
            <w:tcW w:w="1433" w:type="dxa"/>
            <w:shd w:val="clear" w:color="auto" w:fill="auto"/>
            <w:noWrap/>
          </w:tcPr>
          <w:p w14:paraId="6D2FAA28" w14:textId="77777777" w:rsidR="00447B6D" w:rsidRPr="009E35ED" w:rsidRDefault="00447B6D" w:rsidP="00B04ABA">
            <w:pPr>
              <w:ind w:left="0" w:hanging="126"/>
              <w:jc w:val="right"/>
              <w:rPr>
                <w:rFonts w:ascii="Arial Narrow" w:hAnsi="Arial Narrow" w:cs="Arial"/>
                <w:b/>
                <w:bCs/>
                <w:color w:val="000000" w:themeColor="text1"/>
                <w:sz w:val="20"/>
                <w:szCs w:val="20"/>
                <w:lang w:val="en-PH"/>
              </w:rPr>
            </w:pPr>
            <w:r w:rsidRPr="009E35ED">
              <w:rPr>
                <w:rFonts w:ascii="Arial Narrow" w:hAnsi="Arial Narrow" w:cs="Arial"/>
                <w:b/>
                <w:bCs/>
                <w:color w:val="000000" w:themeColor="text1"/>
                <w:sz w:val="20"/>
                <w:szCs w:val="20"/>
                <w:lang w:val="en-PH"/>
              </w:rPr>
              <w:t>29.40%</w:t>
            </w:r>
          </w:p>
        </w:tc>
        <w:tc>
          <w:tcPr>
            <w:tcW w:w="1433" w:type="dxa"/>
            <w:shd w:val="clear" w:color="auto" w:fill="auto"/>
            <w:noWrap/>
          </w:tcPr>
          <w:p w14:paraId="589FC48E" w14:textId="77777777" w:rsidR="00447B6D" w:rsidRPr="009E35ED" w:rsidRDefault="00447B6D" w:rsidP="00B04ABA">
            <w:pPr>
              <w:ind w:left="0" w:hanging="119"/>
              <w:jc w:val="right"/>
              <w:rPr>
                <w:rFonts w:ascii="Arial Narrow" w:hAnsi="Arial Narrow" w:cs="Arial"/>
                <w:b/>
                <w:bCs/>
                <w:color w:val="000000" w:themeColor="text1"/>
                <w:sz w:val="20"/>
                <w:szCs w:val="20"/>
                <w:lang w:val="en-PH"/>
              </w:rPr>
            </w:pPr>
            <w:r w:rsidRPr="009E35ED">
              <w:rPr>
                <w:rFonts w:ascii="Arial Narrow" w:hAnsi="Arial Narrow" w:cs="Arial"/>
                <w:b/>
                <w:bCs/>
                <w:color w:val="000000" w:themeColor="text1"/>
                <w:sz w:val="20"/>
                <w:szCs w:val="20"/>
                <w:lang w:val="en-PH"/>
              </w:rPr>
              <w:t>29.40%</w:t>
            </w:r>
          </w:p>
        </w:tc>
        <w:tc>
          <w:tcPr>
            <w:tcW w:w="1432" w:type="dxa"/>
            <w:shd w:val="clear" w:color="auto" w:fill="auto"/>
            <w:noWrap/>
          </w:tcPr>
          <w:p w14:paraId="04445787" w14:textId="77777777" w:rsidR="00447B6D" w:rsidRPr="009E35ED" w:rsidRDefault="00447B6D" w:rsidP="00B04ABA">
            <w:pPr>
              <w:ind w:left="0" w:hanging="112"/>
              <w:jc w:val="right"/>
              <w:rPr>
                <w:rFonts w:ascii="Arial Narrow" w:hAnsi="Arial Narrow" w:cs="Arial"/>
                <w:b/>
                <w:bCs/>
                <w:color w:val="000000" w:themeColor="text1"/>
                <w:sz w:val="20"/>
                <w:szCs w:val="20"/>
                <w:lang w:val="en-PH"/>
              </w:rPr>
            </w:pPr>
            <w:r w:rsidRPr="009E35ED">
              <w:rPr>
                <w:rFonts w:ascii="Arial Narrow" w:hAnsi="Arial Narrow" w:cs="Arial"/>
                <w:b/>
                <w:bCs/>
                <w:color w:val="000000" w:themeColor="text1"/>
                <w:sz w:val="20"/>
                <w:szCs w:val="20"/>
                <w:lang w:val="en-PH"/>
              </w:rPr>
              <w:t>29.40%</w:t>
            </w:r>
          </w:p>
        </w:tc>
        <w:tc>
          <w:tcPr>
            <w:tcW w:w="1282" w:type="dxa"/>
            <w:shd w:val="clear" w:color="auto" w:fill="auto"/>
            <w:noWrap/>
          </w:tcPr>
          <w:p w14:paraId="4CDE84A6" w14:textId="77777777" w:rsidR="00447B6D" w:rsidRPr="009E35ED" w:rsidRDefault="00447B6D" w:rsidP="00B04ABA">
            <w:pPr>
              <w:ind w:left="0" w:right="-90" w:hanging="104"/>
              <w:jc w:val="right"/>
              <w:rPr>
                <w:rFonts w:ascii="Arial Narrow" w:hAnsi="Arial Narrow" w:cs="Arial"/>
                <w:b/>
                <w:bCs/>
                <w:color w:val="000000" w:themeColor="text1"/>
                <w:sz w:val="20"/>
                <w:szCs w:val="20"/>
                <w:lang w:val="en-PH"/>
              </w:rPr>
            </w:pPr>
            <w:r w:rsidRPr="009E35ED">
              <w:rPr>
                <w:rFonts w:ascii="Arial Narrow" w:hAnsi="Arial Narrow" w:cs="Arial"/>
                <w:b/>
                <w:bCs/>
                <w:color w:val="000000" w:themeColor="text1"/>
                <w:sz w:val="20"/>
                <w:szCs w:val="20"/>
                <w:lang w:val="en-PH"/>
              </w:rPr>
              <w:t>29.40%</w:t>
            </w:r>
          </w:p>
        </w:tc>
      </w:tr>
      <w:tr w:rsidR="00447B6D" w:rsidRPr="009E35ED" w14:paraId="31B36C19" w14:textId="77777777" w:rsidTr="00A046FD">
        <w:trPr>
          <w:trHeight w:val="83"/>
        </w:trPr>
        <w:tc>
          <w:tcPr>
            <w:tcW w:w="3060" w:type="dxa"/>
            <w:shd w:val="clear" w:color="auto" w:fill="auto"/>
            <w:noWrap/>
          </w:tcPr>
          <w:p w14:paraId="2F6FD468" w14:textId="77777777" w:rsidR="00447B6D" w:rsidRPr="009E35ED" w:rsidRDefault="00447B6D" w:rsidP="00B04ABA">
            <w:pPr>
              <w:ind w:left="0"/>
              <w:jc w:val="left"/>
              <w:rPr>
                <w:rFonts w:ascii="Arial Narrow" w:hAnsi="Arial Narrow" w:cs="Arial"/>
                <w:b/>
                <w:bCs/>
                <w:color w:val="000000" w:themeColor="text1"/>
                <w:sz w:val="20"/>
                <w:szCs w:val="20"/>
                <w:lang w:val="en-PH"/>
              </w:rPr>
            </w:pPr>
            <w:r w:rsidRPr="009E35ED">
              <w:rPr>
                <w:rFonts w:ascii="Arial Narrow" w:hAnsi="Arial Narrow" w:cs="Arial"/>
                <w:color w:val="000000" w:themeColor="text1"/>
                <w:sz w:val="20"/>
                <w:szCs w:val="20"/>
                <w:lang w:val="en-PH"/>
              </w:rPr>
              <w:t>Education</w:t>
            </w:r>
          </w:p>
        </w:tc>
        <w:tc>
          <w:tcPr>
            <w:tcW w:w="1433" w:type="dxa"/>
            <w:shd w:val="clear" w:color="auto" w:fill="auto"/>
            <w:noWrap/>
          </w:tcPr>
          <w:p w14:paraId="70347604" w14:textId="77777777" w:rsidR="00447B6D" w:rsidRPr="009E35ED" w:rsidRDefault="00447B6D" w:rsidP="00B04ABA">
            <w:pPr>
              <w:ind w:left="0" w:hanging="126"/>
              <w:jc w:val="right"/>
              <w:rPr>
                <w:rFonts w:ascii="Arial Narrow" w:hAnsi="Arial Narrow" w:cs="Arial"/>
                <w:b/>
                <w:bCs/>
                <w:color w:val="000000" w:themeColor="text1"/>
                <w:sz w:val="20"/>
                <w:szCs w:val="20"/>
                <w:lang w:val="en-PH"/>
              </w:rPr>
            </w:pPr>
            <w:r w:rsidRPr="009E35ED">
              <w:rPr>
                <w:rFonts w:ascii="Arial Narrow" w:hAnsi="Arial Narrow" w:cs="Arial"/>
                <w:color w:val="000000" w:themeColor="text1"/>
                <w:sz w:val="20"/>
                <w:szCs w:val="20"/>
                <w:lang w:val="en-PH"/>
              </w:rPr>
              <w:t>1.00%</w:t>
            </w:r>
          </w:p>
        </w:tc>
        <w:tc>
          <w:tcPr>
            <w:tcW w:w="1433" w:type="dxa"/>
            <w:shd w:val="clear" w:color="auto" w:fill="auto"/>
            <w:noWrap/>
          </w:tcPr>
          <w:p w14:paraId="27A0684C" w14:textId="77777777" w:rsidR="00447B6D" w:rsidRPr="009E35ED" w:rsidRDefault="00447B6D" w:rsidP="00B04ABA">
            <w:pPr>
              <w:ind w:left="0" w:hanging="119"/>
              <w:jc w:val="right"/>
              <w:rPr>
                <w:rFonts w:ascii="Arial Narrow" w:hAnsi="Arial Narrow" w:cs="Arial"/>
                <w:b/>
                <w:bCs/>
                <w:color w:val="000000" w:themeColor="text1"/>
                <w:sz w:val="20"/>
                <w:szCs w:val="20"/>
                <w:lang w:val="en-PH"/>
              </w:rPr>
            </w:pPr>
            <w:r w:rsidRPr="009E35ED">
              <w:rPr>
                <w:rFonts w:ascii="Arial Narrow" w:hAnsi="Arial Narrow" w:cs="Arial"/>
                <w:color w:val="000000" w:themeColor="text1"/>
                <w:sz w:val="20"/>
                <w:szCs w:val="20"/>
                <w:lang w:val="en-PH"/>
              </w:rPr>
              <w:t>1.00%</w:t>
            </w:r>
          </w:p>
        </w:tc>
        <w:tc>
          <w:tcPr>
            <w:tcW w:w="1432" w:type="dxa"/>
            <w:shd w:val="clear" w:color="auto" w:fill="auto"/>
            <w:noWrap/>
          </w:tcPr>
          <w:p w14:paraId="4FCDF45D" w14:textId="77777777" w:rsidR="00447B6D" w:rsidRPr="009E35ED" w:rsidRDefault="00447B6D" w:rsidP="00B04ABA">
            <w:pPr>
              <w:ind w:left="0" w:hanging="112"/>
              <w:jc w:val="right"/>
              <w:rPr>
                <w:rFonts w:ascii="Arial Narrow" w:hAnsi="Arial Narrow" w:cs="Arial"/>
                <w:b/>
                <w:bCs/>
                <w:color w:val="000000" w:themeColor="text1"/>
                <w:sz w:val="20"/>
                <w:szCs w:val="20"/>
                <w:lang w:val="en-PH"/>
              </w:rPr>
            </w:pPr>
            <w:r w:rsidRPr="009E35ED">
              <w:rPr>
                <w:rFonts w:ascii="Arial Narrow" w:hAnsi="Arial Narrow" w:cs="Arial"/>
                <w:color w:val="000000" w:themeColor="text1"/>
                <w:sz w:val="20"/>
                <w:szCs w:val="20"/>
                <w:lang w:val="en-PH"/>
              </w:rPr>
              <w:t>1.00%</w:t>
            </w:r>
          </w:p>
        </w:tc>
        <w:tc>
          <w:tcPr>
            <w:tcW w:w="1282" w:type="dxa"/>
            <w:shd w:val="clear" w:color="auto" w:fill="auto"/>
            <w:noWrap/>
          </w:tcPr>
          <w:p w14:paraId="2B247BF0" w14:textId="77777777" w:rsidR="00447B6D" w:rsidRPr="009E35ED" w:rsidRDefault="00447B6D" w:rsidP="00B04ABA">
            <w:pPr>
              <w:ind w:left="0" w:right="-90" w:hanging="104"/>
              <w:jc w:val="right"/>
              <w:rPr>
                <w:rFonts w:ascii="Arial Narrow" w:hAnsi="Arial Narrow" w:cs="Arial"/>
                <w:b/>
                <w:bCs/>
                <w:color w:val="000000" w:themeColor="text1"/>
                <w:sz w:val="20"/>
                <w:szCs w:val="20"/>
                <w:lang w:val="en-PH"/>
              </w:rPr>
            </w:pPr>
            <w:r w:rsidRPr="009E35ED">
              <w:rPr>
                <w:rFonts w:ascii="Arial Narrow" w:hAnsi="Arial Narrow" w:cs="Arial"/>
                <w:color w:val="000000" w:themeColor="text1"/>
                <w:sz w:val="20"/>
                <w:szCs w:val="20"/>
                <w:lang w:val="en-PH"/>
              </w:rPr>
              <w:t>1.00%</w:t>
            </w:r>
          </w:p>
        </w:tc>
      </w:tr>
      <w:tr w:rsidR="00447B6D" w:rsidRPr="009E35ED" w14:paraId="6F03437E" w14:textId="77777777" w:rsidTr="00A046FD">
        <w:trPr>
          <w:trHeight w:val="83"/>
        </w:trPr>
        <w:tc>
          <w:tcPr>
            <w:tcW w:w="3060" w:type="dxa"/>
            <w:shd w:val="clear" w:color="auto" w:fill="auto"/>
            <w:noWrap/>
          </w:tcPr>
          <w:p w14:paraId="4B46C09D" w14:textId="77777777" w:rsidR="00447B6D" w:rsidRPr="009E35ED" w:rsidRDefault="00447B6D" w:rsidP="00B04ABA">
            <w:pPr>
              <w:ind w:left="0"/>
              <w:jc w:val="lef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Direct Cost – ELA</w:t>
            </w:r>
          </w:p>
        </w:tc>
        <w:tc>
          <w:tcPr>
            <w:tcW w:w="1433" w:type="dxa"/>
            <w:shd w:val="clear" w:color="auto" w:fill="auto"/>
            <w:noWrap/>
          </w:tcPr>
          <w:p w14:paraId="74583673" w14:textId="77777777" w:rsidR="00447B6D" w:rsidRPr="009E35ED" w:rsidRDefault="00447B6D" w:rsidP="00B04ABA">
            <w:pPr>
              <w:ind w:left="0" w:hanging="126"/>
              <w:jc w:val="righ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2.02%</w:t>
            </w:r>
          </w:p>
        </w:tc>
        <w:tc>
          <w:tcPr>
            <w:tcW w:w="1433" w:type="dxa"/>
            <w:shd w:val="clear" w:color="auto" w:fill="auto"/>
            <w:noWrap/>
          </w:tcPr>
          <w:p w14:paraId="772DDDCC" w14:textId="77777777" w:rsidR="00447B6D" w:rsidRPr="009E35ED" w:rsidRDefault="00447B6D" w:rsidP="00B04ABA">
            <w:pPr>
              <w:ind w:left="0" w:hanging="119"/>
              <w:jc w:val="righ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2.02%</w:t>
            </w:r>
          </w:p>
        </w:tc>
        <w:tc>
          <w:tcPr>
            <w:tcW w:w="1432" w:type="dxa"/>
            <w:shd w:val="clear" w:color="auto" w:fill="auto"/>
            <w:noWrap/>
          </w:tcPr>
          <w:p w14:paraId="35A2DD69" w14:textId="77777777" w:rsidR="00447B6D" w:rsidRPr="009E35ED" w:rsidRDefault="00447B6D" w:rsidP="00B04ABA">
            <w:pPr>
              <w:ind w:left="0" w:hanging="112"/>
              <w:jc w:val="righ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2.02%</w:t>
            </w:r>
          </w:p>
        </w:tc>
        <w:tc>
          <w:tcPr>
            <w:tcW w:w="1282" w:type="dxa"/>
            <w:shd w:val="clear" w:color="auto" w:fill="auto"/>
            <w:noWrap/>
          </w:tcPr>
          <w:p w14:paraId="4414DA30" w14:textId="77777777" w:rsidR="00447B6D" w:rsidRPr="009E35ED" w:rsidRDefault="00447B6D" w:rsidP="00B04ABA">
            <w:pPr>
              <w:ind w:left="0" w:right="-90" w:hanging="104"/>
              <w:jc w:val="righ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2.02%</w:t>
            </w:r>
          </w:p>
        </w:tc>
      </w:tr>
      <w:tr w:rsidR="00447B6D" w:rsidRPr="009E35ED" w14:paraId="00782893" w14:textId="77777777" w:rsidTr="00A046FD">
        <w:trPr>
          <w:trHeight w:val="83"/>
        </w:trPr>
        <w:tc>
          <w:tcPr>
            <w:tcW w:w="3060" w:type="dxa"/>
            <w:shd w:val="clear" w:color="auto" w:fill="auto"/>
            <w:noWrap/>
          </w:tcPr>
          <w:p w14:paraId="6B4133BA" w14:textId="77777777" w:rsidR="00447B6D" w:rsidRPr="009E35ED" w:rsidRDefault="00447B6D" w:rsidP="00B04ABA">
            <w:pPr>
              <w:ind w:left="0"/>
              <w:jc w:val="lef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 xml:space="preserve">Documentary Stamp Tax </w:t>
            </w:r>
          </w:p>
        </w:tc>
        <w:tc>
          <w:tcPr>
            <w:tcW w:w="1433" w:type="dxa"/>
            <w:shd w:val="clear" w:color="auto" w:fill="auto"/>
            <w:noWrap/>
          </w:tcPr>
          <w:p w14:paraId="3F6A699F" w14:textId="77777777" w:rsidR="00447B6D" w:rsidRPr="009E35ED" w:rsidRDefault="00447B6D" w:rsidP="00B04ABA">
            <w:pPr>
              <w:ind w:left="0" w:hanging="126"/>
              <w:jc w:val="righ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20.00%</w:t>
            </w:r>
          </w:p>
        </w:tc>
        <w:tc>
          <w:tcPr>
            <w:tcW w:w="1433" w:type="dxa"/>
            <w:shd w:val="clear" w:color="auto" w:fill="auto"/>
            <w:noWrap/>
          </w:tcPr>
          <w:p w14:paraId="7062C6C2" w14:textId="77777777" w:rsidR="00447B6D" w:rsidRPr="009E35ED" w:rsidRDefault="00447B6D" w:rsidP="00B04ABA">
            <w:pPr>
              <w:ind w:left="0" w:hanging="119"/>
              <w:jc w:val="righ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20.00%</w:t>
            </w:r>
          </w:p>
        </w:tc>
        <w:tc>
          <w:tcPr>
            <w:tcW w:w="1432" w:type="dxa"/>
            <w:shd w:val="clear" w:color="auto" w:fill="auto"/>
            <w:noWrap/>
          </w:tcPr>
          <w:p w14:paraId="1870040E" w14:textId="77777777" w:rsidR="00447B6D" w:rsidRPr="009E35ED" w:rsidRDefault="00447B6D" w:rsidP="00B04ABA">
            <w:pPr>
              <w:ind w:left="0" w:hanging="112"/>
              <w:jc w:val="righ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20.00%</w:t>
            </w:r>
          </w:p>
        </w:tc>
        <w:tc>
          <w:tcPr>
            <w:tcW w:w="1282" w:type="dxa"/>
            <w:shd w:val="clear" w:color="auto" w:fill="auto"/>
            <w:noWrap/>
          </w:tcPr>
          <w:p w14:paraId="1C583F11" w14:textId="77777777" w:rsidR="00447B6D" w:rsidRPr="009E35ED" w:rsidRDefault="00447B6D" w:rsidP="00B04ABA">
            <w:pPr>
              <w:ind w:left="0" w:right="-90" w:hanging="104"/>
              <w:jc w:val="righ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20.00%</w:t>
            </w:r>
          </w:p>
        </w:tc>
      </w:tr>
      <w:tr w:rsidR="00447B6D" w:rsidRPr="009E35ED" w14:paraId="1E227DEC" w14:textId="77777777" w:rsidTr="00A046FD">
        <w:trPr>
          <w:trHeight w:val="83"/>
        </w:trPr>
        <w:tc>
          <w:tcPr>
            <w:tcW w:w="3060" w:type="dxa"/>
            <w:shd w:val="clear" w:color="auto" w:fill="auto"/>
            <w:noWrap/>
          </w:tcPr>
          <w:p w14:paraId="1CB94820" w14:textId="77777777" w:rsidR="00447B6D" w:rsidRPr="009E35ED" w:rsidRDefault="00447B6D" w:rsidP="00B04ABA">
            <w:pPr>
              <w:ind w:left="0"/>
              <w:jc w:val="lef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Financial Assistance</w:t>
            </w:r>
          </w:p>
        </w:tc>
        <w:tc>
          <w:tcPr>
            <w:tcW w:w="1433" w:type="dxa"/>
            <w:shd w:val="clear" w:color="auto" w:fill="auto"/>
            <w:noWrap/>
          </w:tcPr>
          <w:p w14:paraId="0B10BA5D" w14:textId="77777777" w:rsidR="00447B6D" w:rsidRPr="009E35ED" w:rsidRDefault="00447B6D" w:rsidP="00B04ABA">
            <w:pPr>
              <w:ind w:left="0" w:hanging="126"/>
              <w:jc w:val="righ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6.38%</w:t>
            </w:r>
          </w:p>
        </w:tc>
        <w:tc>
          <w:tcPr>
            <w:tcW w:w="1433" w:type="dxa"/>
            <w:shd w:val="clear" w:color="auto" w:fill="auto"/>
            <w:noWrap/>
          </w:tcPr>
          <w:p w14:paraId="1BCA2C62" w14:textId="77777777" w:rsidR="00447B6D" w:rsidRPr="009E35ED" w:rsidRDefault="00447B6D" w:rsidP="00B04ABA">
            <w:pPr>
              <w:ind w:left="0" w:hanging="119"/>
              <w:jc w:val="righ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6.38%</w:t>
            </w:r>
          </w:p>
        </w:tc>
        <w:tc>
          <w:tcPr>
            <w:tcW w:w="1432" w:type="dxa"/>
            <w:shd w:val="clear" w:color="auto" w:fill="auto"/>
            <w:noWrap/>
          </w:tcPr>
          <w:p w14:paraId="36157C56" w14:textId="77777777" w:rsidR="00447B6D" w:rsidRPr="009E35ED" w:rsidRDefault="00447B6D" w:rsidP="00B04ABA">
            <w:pPr>
              <w:ind w:left="0" w:hanging="112"/>
              <w:jc w:val="righ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6.38%</w:t>
            </w:r>
          </w:p>
        </w:tc>
        <w:tc>
          <w:tcPr>
            <w:tcW w:w="1282" w:type="dxa"/>
            <w:shd w:val="clear" w:color="auto" w:fill="auto"/>
            <w:noWrap/>
          </w:tcPr>
          <w:p w14:paraId="714FD16F" w14:textId="77777777" w:rsidR="00447B6D" w:rsidRPr="009E35ED" w:rsidRDefault="00447B6D" w:rsidP="00B04ABA">
            <w:pPr>
              <w:ind w:left="0" w:right="-90" w:hanging="104"/>
              <w:jc w:val="righ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6.38%</w:t>
            </w:r>
          </w:p>
        </w:tc>
      </w:tr>
      <w:tr w:rsidR="00447B6D" w:rsidRPr="009E35ED" w14:paraId="5CA0664F" w14:textId="77777777" w:rsidTr="00A046FD">
        <w:trPr>
          <w:trHeight w:val="83"/>
        </w:trPr>
        <w:tc>
          <w:tcPr>
            <w:tcW w:w="3060" w:type="dxa"/>
            <w:shd w:val="clear" w:color="auto" w:fill="auto"/>
            <w:noWrap/>
          </w:tcPr>
          <w:p w14:paraId="2C457E1C" w14:textId="77777777" w:rsidR="00447B6D" w:rsidRPr="009E35ED" w:rsidRDefault="00447B6D" w:rsidP="00B04ABA">
            <w:pPr>
              <w:ind w:left="0"/>
              <w:jc w:val="left"/>
              <w:rPr>
                <w:rFonts w:ascii="Arial Narrow" w:hAnsi="Arial Narrow" w:cs="Arial"/>
                <w:color w:val="000000" w:themeColor="text1"/>
                <w:sz w:val="20"/>
                <w:szCs w:val="20"/>
                <w:lang w:val="en-PH"/>
              </w:rPr>
            </w:pPr>
          </w:p>
        </w:tc>
        <w:tc>
          <w:tcPr>
            <w:tcW w:w="1433" w:type="dxa"/>
            <w:shd w:val="clear" w:color="auto" w:fill="auto"/>
            <w:noWrap/>
          </w:tcPr>
          <w:p w14:paraId="0103B491" w14:textId="77777777" w:rsidR="00447B6D" w:rsidRPr="009E35ED" w:rsidRDefault="00447B6D" w:rsidP="00B04ABA">
            <w:pPr>
              <w:ind w:left="0" w:hanging="126"/>
              <w:jc w:val="right"/>
              <w:rPr>
                <w:rFonts w:ascii="Arial Narrow" w:hAnsi="Arial Narrow" w:cs="Arial"/>
                <w:color w:val="000000" w:themeColor="text1"/>
                <w:sz w:val="20"/>
                <w:szCs w:val="20"/>
                <w:lang w:val="en-PH"/>
              </w:rPr>
            </w:pPr>
          </w:p>
        </w:tc>
        <w:tc>
          <w:tcPr>
            <w:tcW w:w="1433" w:type="dxa"/>
            <w:shd w:val="clear" w:color="auto" w:fill="auto"/>
            <w:noWrap/>
          </w:tcPr>
          <w:p w14:paraId="0632E197" w14:textId="77777777" w:rsidR="00447B6D" w:rsidRPr="009E35ED" w:rsidRDefault="00447B6D" w:rsidP="00B04ABA">
            <w:pPr>
              <w:ind w:left="0" w:hanging="119"/>
              <w:jc w:val="right"/>
              <w:rPr>
                <w:rFonts w:ascii="Arial Narrow" w:hAnsi="Arial Narrow" w:cs="Arial"/>
                <w:color w:val="000000" w:themeColor="text1"/>
                <w:sz w:val="20"/>
                <w:szCs w:val="20"/>
                <w:lang w:val="en-PH"/>
              </w:rPr>
            </w:pPr>
          </w:p>
        </w:tc>
        <w:tc>
          <w:tcPr>
            <w:tcW w:w="1432" w:type="dxa"/>
            <w:shd w:val="clear" w:color="auto" w:fill="auto"/>
            <w:noWrap/>
          </w:tcPr>
          <w:p w14:paraId="69051933" w14:textId="77777777" w:rsidR="00447B6D" w:rsidRPr="009E35ED" w:rsidRDefault="00447B6D" w:rsidP="00B04ABA">
            <w:pPr>
              <w:ind w:left="0" w:hanging="112"/>
              <w:jc w:val="right"/>
              <w:rPr>
                <w:rFonts w:ascii="Arial Narrow" w:hAnsi="Arial Narrow" w:cs="Arial"/>
                <w:color w:val="000000" w:themeColor="text1"/>
                <w:sz w:val="20"/>
                <w:szCs w:val="20"/>
                <w:lang w:val="en-PH"/>
              </w:rPr>
            </w:pPr>
          </w:p>
        </w:tc>
        <w:tc>
          <w:tcPr>
            <w:tcW w:w="1282" w:type="dxa"/>
            <w:shd w:val="clear" w:color="auto" w:fill="auto"/>
            <w:noWrap/>
          </w:tcPr>
          <w:p w14:paraId="03A49979" w14:textId="77777777" w:rsidR="00447B6D" w:rsidRPr="009E35ED" w:rsidRDefault="00447B6D" w:rsidP="00B04ABA">
            <w:pPr>
              <w:ind w:left="0" w:right="-90" w:hanging="104"/>
              <w:jc w:val="right"/>
              <w:rPr>
                <w:rFonts w:ascii="Arial Narrow" w:hAnsi="Arial Narrow" w:cs="Arial"/>
                <w:color w:val="000000" w:themeColor="text1"/>
                <w:sz w:val="20"/>
                <w:szCs w:val="20"/>
                <w:lang w:val="en-PH"/>
              </w:rPr>
            </w:pPr>
          </w:p>
        </w:tc>
      </w:tr>
      <w:tr w:rsidR="00447B6D" w:rsidRPr="009E35ED" w14:paraId="5C2D5497" w14:textId="77777777" w:rsidTr="00A046FD">
        <w:trPr>
          <w:trHeight w:val="83"/>
        </w:trPr>
        <w:tc>
          <w:tcPr>
            <w:tcW w:w="3060" w:type="dxa"/>
            <w:shd w:val="clear" w:color="auto" w:fill="auto"/>
            <w:noWrap/>
          </w:tcPr>
          <w:p w14:paraId="1081DD1D" w14:textId="77777777" w:rsidR="00447B6D" w:rsidRPr="009E35ED" w:rsidRDefault="00447B6D" w:rsidP="00B04ABA">
            <w:pPr>
              <w:ind w:left="0"/>
              <w:jc w:val="left"/>
              <w:rPr>
                <w:rFonts w:ascii="Arial Narrow" w:hAnsi="Arial Narrow" w:cs="Arial"/>
                <w:color w:val="000000" w:themeColor="text1"/>
                <w:sz w:val="20"/>
                <w:szCs w:val="20"/>
                <w:lang w:val="en-PH"/>
              </w:rPr>
            </w:pPr>
            <w:r w:rsidRPr="009E35ED">
              <w:rPr>
                <w:rFonts w:ascii="Arial Narrow" w:hAnsi="Arial Narrow" w:cs="Arial"/>
                <w:b/>
                <w:bCs/>
                <w:color w:val="000000" w:themeColor="text1"/>
                <w:sz w:val="20"/>
                <w:szCs w:val="20"/>
                <w:lang w:val="en-PH"/>
              </w:rPr>
              <w:t>III. Operating Fund  (15% of NR)</w:t>
            </w:r>
          </w:p>
        </w:tc>
        <w:tc>
          <w:tcPr>
            <w:tcW w:w="1433" w:type="dxa"/>
            <w:shd w:val="clear" w:color="auto" w:fill="auto"/>
            <w:noWrap/>
          </w:tcPr>
          <w:p w14:paraId="610C510A" w14:textId="77777777" w:rsidR="00447B6D" w:rsidRPr="009E35ED" w:rsidRDefault="00447B6D" w:rsidP="00B04ABA">
            <w:pPr>
              <w:ind w:left="0" w:hanging="126"/>
              <w:jc w:val="right"/>
              <w:rPr>
                <w:rFonts w:ascii="Arial Narrow" w:hAnsi="Arial Narrow" w:cs="Arial"/>
                <w:color w:val="000000" w:themeColor="text1"/>
                <w:sz w:val="20"/>
                <w:szCs w:val="20"/>
                <w:lang w:val="en-PH"/>
              </w:rPr>
            </w:pPr>
            <w:r w:rsidRPr="009E35ED">
              <w:rPr>
                <w:rFonts w:ascii="Arial Narrow" w:hAnsi="Arial Narrow" w:cs="Arial"/>
                <w:b/>
                <w:bCs/>
                <w:color w:val="000000" w:themeColor="text1"/>
                <w:sz w:val="20"/>
                <w:szCs w:val="20"/>
                <w:lang w:val="en-PH"/>
              </w:rPr>
              <w:t>14.70%</w:t>
            </w:r>
          </w:p>
        </w:tc>
        <w:tc>
          <w:tcPr>
            <w:tcW w:w="1433" w:type="dxa"/>
            <w:shd w:val="clear" w:color="auto" w:fill="auto"/>
            <w:noWrap/>
          </w:tcPr>
          <w:p w14:paraId="308DCC9E" w14:textId="77777777" w:rsidR="00447B6D" w:rsidRPr="009E35ED" w:rsidRDefault="00447B6D" w:rsidP="00B04ABA">
            <w:pPr>
              <w:ind w:left="0" w:hanging="119"/>
              <w:jc w:val="right"/>
              <w:rPr>
                <w:rFonts w:ascii="Arial Narrow" w:hAnsi="Arial Narrow" w:cs="Arial"/>
                <w:color w:val="000000" w:themeColor="text1"/>
                <w:sz w:val="20"/>
                <w:szCs w:val="20"/>
                <w:lang w:val="en-PH"/>
              </w:rPr>
            </w:pPr>
            <w:r w:rsidRPr="009E35ED">
              <w:rPr>
                <w:rFonts w:ascii="Arial Narrow" w:hAnsi="Arial Narrow" w:cs="Arial"/>
                <w:b/>
                <w:bCs/>
                <w:color w:val="000000" w:themeColor="text1"/>
                <w:sz w:val="20"/>
                <w:szCs w:val="20"/>
                <w:lang w:val="en-PH"/>
              </w:rPr>
              <w:t>14.70%</w:t>
            </w:r>
          </w:p>
        </w:tc>
        <w:tc>
          <w:tcPr>
            <w:tcW w:w="1432" w:type="dxa"/>
            <w:shd w:val="clear" w:color="auto" w:fill="auto"/>
            <w:noWrap/>
          </w:tcPr>
          <w:p w14:paraId="4AEF9706" w14:textId="77777777" w:rsidR="00447B6D" w:rsidRPr="009E35ED" w:rsidRDefault="00447B6D" w:rsidP="00B04ABA">
            <w:pPr>
              <w:ind w:left="0" w:hanging="112"/>
              <w:jc w:val="right"/>
              <w:rPr>
                <w:rFonts w:ascii="Arial Narrow" w:hAnsi="Arial Narrow" w:cs="Arial"/>
                <w:color w:val="000000" w:themeColor="text1"/>
                <w:sz w:val="20"/>
                <w:szCs w:val="20"/>
                <w:lang w:val="en-PH"/>
              </w:rPr>
            </w:pPr>
            <w:r w:rsidRPr="009E35ED">
              <w:rPr>
                <w:rFonts w:ascii="Arial Narrow" w:hAnsi="Arial Narrow" w:cs="Arial"/>
                <w:b/>
                <w:bCs/>
                <w:color w:val="000000" w:themeColor="text1"/>
                <w:sz w:val="20"/>
                <w:szCs w:val="20"/>
                <w:lang w:val="en-PH"/>
              </w:rPr>
              <w:t>14.70%</w:t>
            </w:r>
          </w:p>
        </w:tc>
        <w:tc>
          <w:tcPr>
            <w:tcW w:w="1282" w:type="dxa"/>
            <w:shd w:val="clear" w:color="auto" w:fill="auto"/>
            <w:noWrap/>
          </w:tcPr>
          <w:p w14:paraId="6481A1E9" w14:textId="77777777" w:rsidR="00447B6D" w:rsidRPr="009E35ED" w:rsidRDefault="00447B6D" w:rsidP="00B04ABA">
            <w:pPr>
              <w:ind w:left="0" w:right="-90" w:hanging="104"/>
              <w:jc w:val="right"/>
              <w:rPr>
                <w:rFonts w:ascii="Arial Narrow" w:hAnsi="Arial Narrow" w:cs="Arial"/>
                <w:color w:val="000000" w:themeColor="text1"/>
                <w:sz w:val="20"/>
                <w:szCs w:val="20"/>
                <w:lang w:val="en-PH"/>
              </w:rPr>
            </w:pPr>
            <w:r w:rsidRPr="009E35ED">
              <w:rPr>
                <w:rFonts w:ascii="Arial Narrow" w:hAnsi="Arial Narrow" w:cs="Arial"/>
                <w:b/>
                <w:bCs/>
                <w:color w:val="000000" w:themeColor="text1"/>
                <w:sz w:val="20"/>
                <w:szCs w:val="20"/>
                <w:lang w:val="en-PH"/>
              </w:rPr>
              <w:t>14.70%</w:t>
            </w:r>
          </w:p>
        </w:tc>
      </w:tr>
      <w:tr w:rsidR="00447B6D" w:rsidRPr="009E35ED" w14:paraId="608A94BD" w14:textId="77777777" w:rsidTr="00A046FD">
        <w:trPr>
          <w:trHeight w:val="83"/>
        </w:trPr>
        <w:tc>
          <w:tcPr>
            <w:tcW w:w="3060" w:type="dxa"/>
            <w:shd w:val="clear" w:color="auto" w:fill="auto"/>
            <w:noWrap/>
          </w:tcPr>
          <w:p w14:paraId="521302BD" w14:textId="77777777" w:rsidR="00447B6D" w:rsidRPr="009E35ED" w:rsidRDefault="00447B6D" w:rsidP="00B04ABA">
            <w:pPr>
              <w:ind w:left="0"/>
              <w:jc w:val="left"/>
              <w:rPr>
                <w:rFonts w:ascii="Arial Narrow" w:hAnsi="Arial Narrow" w:cs="Arial"/>
                <w:b/>
                <w:bCs/>
                <w:color w:val="000000" w:themeColor="text1"/>
                <w:sz w:val="20"/>
                <w:szCs w:val="20"/>
                <w:lang w:val="en-PH"/>
              </w:rPr>
            </w:pPr>
            <w:r w:rsidRPr="009E35ED">
              <w:rPr>
                <w:rFonts w:ascii="Arial Narrow" w:hAnsi="Arial Narrow" w:cs="Arial"/>
                <w:color w:val="000000" w:themeColor="text1"/>
                <w:sz w:val="20"/>
                <w:szCs w:val="20"/>
                <w:lang w:val="en-PH"/>
              </w:rPr>
              <w:t>Direct Cost – ELA</w:t>
            </w:r>
          </w:p>
        </w:tc>
        <w:tc>
          <w:tcPr>
            <w:tcW w:w="1433" w:type="dxa"/>
            <w:shd w:val="clear" w:color="auto" w:fill="auto"/>
            <w:noWrap/>
          </w:tcPr>
          <w:p w14:paraId="3E5CFD5A" w14:textId="77777777" w:rsidR="00447B6D" w:rsidRPr="009E35ED" w:rsidRDefault="00447B6D" w:rsidP="00B04ABA">
            <w:pPr>
              <w:ind w:left="0" w:hanging="126"/>
              <w:jc w:val="right"/>
              <w:rPr>
                <w:rFonts w:ascii="Arial Narrow" w:hAnsi="Arial Narrow" w:cs="Arial"/>
                <w:b/>
                <w:bCs/>
                <w:color w:val="000000" w:themeColor="text1"/>
                <w:sz w:val="20"/>
                <w:szCs w:val="20"/>
                <w:lang w:val="en-PH"/>
              </w:rPr>
            </w:pPr>
            <w:r w:rsidRPr="009E35ED">
              <w:rPr>
                <w:rFonts w:ascii="Arial Narrow" w:hAnsi="Arial Narrow" w:cs="Arial"/>
                <w:color w:val="000000" w:themeColor="text1"/>
                <w:sz w:val="20"/>
                <w:szCs w:val="20"/>
                <w:lang w:val="en-PH"/>
              </w:rPr>
              <w:t>0.96%</w:t>
            </w:r>
          </w:p>
        </w:tc>
        <w:tc>
          <w:tcPr>
            <w:tcW w:w="1433" w:type="dxa"/>
            <w:shd w:val="clear" w:color="auto" w:fill="auto"/>
            <w:noWrap/>
          </w:tcPr>
          <w:p w14:paraId="107046BB" w14:textId="77777777" w:rsidR="00447B6D" w:rsidRPr="009E35ED" w:rsidRDefault="00447B6D" w:rsidP="00B04ABA">
            <w:pPr>
              <w:ind w:left="0" w:hanging="119"/>
              <w:jc w:val="right"/>
              <w:rPr>
                <w:rFonts w:ascii="Arial Narrow" w:hAnsi="Arial Narrow" w:cs="Arial"/>
                <w:b/>
                <w:bCs/>
                <w:color w:val="000000" w:themeColor="text1"/>
                <w:sz w:val="20"/>
                <w:szCs w:val="20"/>
                <w:lang w:val="en-PH"/>
              </w:rPr>
            </w:pPr>
            <w:r w:rsidRPr="009E35ED">
              <w:rPr>
                <w:rFonts w:ascii="Arial Narrow" w:hAnsi="Arial Narrow" w:cs="Arial"/>
                <w:color w:val="000000" w:themeColor="text1"/>
                <w:sz w:val="20"/>
                <w:szCs w:val="20"/>
                <w:lang w:val="en-PH"/>
              </w:rPr>
              <w:t>0.96%</w:t>
            </w:r>
          </w:p>
        </w:tc>
        <w:tc>
          <w:tcPr>
            <w:tcW w:w="1432" w:type="dxa"/>
            <w:shd w:val="clear" w:color="auto" w:fill="auto"/>
            <w:noWrap/>
          </w:tcPr>
          <w:p w14:paraId="3E563007" w14:textId="77777777" w:rsidR="00447B6D" w:rsidRPr="009E35ED" w:rsidRDefault="00447B6D" w:rsidP="00B04ABA">
            <w:pPr>
              <w:ind w:left="0" w:hanging="112"/>
              <w:jc w:val="right"/>
              <w:rPr>
                <w:rFonts w:ascii="Arial Narrow" w:hAnsi="Arial Narrow" w:cs="Arial"/>
                <w:b/>
                <w:bCs/>
                <w:color w:val="000000" w:themeColor="text1"/>
                <w:sz w:val="20"/>
                <w:szCs w:val="20"/>
                <w:lang w:val="en-PH"/>
              </w:rPr>
            </w:pPr>
            <w:r w:rsidRPr="009E35ED">
              <w:rPr>
                <w:rFonts w:ascii="Arial Narrow" w:hAnsi="Arial Narrow" w:cs="Arial"/>
                <w:color w:val="000000" w:themeColor="text1"/>
                <w:sz w:val="20"/>
                <w:szCs w:val="20"/>
                <w:lang w:val="en-PH"/>
              </w:rPr>
              <w:t>0.96%</w:t>
            </w:r>
          </w:p>
        </w:tc>
        <w:tc>
          <w:tcPr>
            <w:tcW w:w="1282" w:type="dxa"/>
            <w:shd w:val="clear" w:color="auto" w:fill="auto"/>
            <w:noWrap/>
          </w:tcPr>
          <w:p w14:paraId="0B7D49F3" w14:textId="77777777" w:rsidR="00447B6D" w:rsidRPr="009E35ED" w:rsidRDefault="00447B6D" w:rsidP="00B04ABA">
            <w:pPr>
              <w:ind w:left="0" w:right="-90" w:hanging="104"/>
              <w:jc w:val="right"/>
              <w:rPr>
                <w:rFonts w:ascii="Arial Narrow" w:hAnsi="Arial Narrow" w:cs="Arial"/>
                <w:b/>
                <w:bCs/>
                <w:color w:val="000000" w:themeColor="text1"/>
                <w:sz w:val="20"/>
                <w:szCs w:val="20"/>
                <w:lang w:val="en-PH"/>
              </w:rPr>
            </w:pPr>
            <w:r w:rsidRPr="009E35ED">
              <w:rPr>
                <w:rFonts w:ascii="Arial Narrow" w:hAnsi="Arial Narrow" w:cs="Arial"/>
                <w:color w:val="000000" w:themeColor="text1"/>
                <w:sz w:val="20"/>
                <w:szCs w:val="20"/>
                <w:lang w:val="en-PH"/>
              </w:rPr>
              <w:t>0.96%</w:t>
            </w:r>
          </w:p>
        </w:tc>
      </w:tr>
      <w:tr w:rsidR="00447B6D" w:rsidRPr="009E35ED" w14:paraId="2FB66036" w14:textId="77777777" w:rsidTr="00A046FD">
        <w:trPr>
          <w:trHeight w:val="83"/>
        </w:trPr>
        <w:tc>
          <w:tcPr>
            <w:tcW w:w="3060" w:type="dxa"/>
            <w:tcBorders>
              <w:bottom w:val="single" w:sz="4" w:space="0" w:color="auto"/>
            </w:tcBorders>
            <w:shd w:val="clear" w:color="auto" w:fill="auto"/>
            <w:noWrap/>
          </w:tcPr>
          <w:p w14:paraId="3F790FF8" w14:textId="77777777" w:rsidR="00447B6D" w:rsidRPr="009E35ED" w:rsidRDefault="00447B6D" w:rsidP="00B04ABA">
            <w:pPr>
              <w:ind w:left="0"/>
              <w:jc w:val="lef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Net Operating Fund</w:t>
            </w:r>
          </w:p>
        </w:tc>
        <w:tc>
          <w:tcPr>
            <w:tcW w:w="1433" w:type="dxa"/>
            <w:tcBorders>
              <w:bottom w:val="single" w:sz="4" w:space="0" w:color="auto"/>
            </w:tcBorders>
            <w:shd w:val="clear" w:color="auto" w:fill="auto"/>
            <w:noWrap/>
          </w:tcPr>
          <w:p w14:paraId="226679DB" w14:textId="77777777" w:rsidR="00447B6D" w:rsidRPr="009E35ED" w:rsidRDefault="00447B6D" w:rsidP="00B04ABA">
            <w:pPr>
              <w:ind w:left="0" w:hanging="126"/>
              <w:jc w:val="righ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13.74%</w:t>
            </w:r>
          </w:p>
        </w:tc>
        <w:tc>
          <w:tcPr>
            <w:tcW w:w="1433" w:type="dxa"/>
            <w:tcBorders>
              <w:bottom w:val="single" w:sz="4" w:space="0" w:color="auto"/>
            </w:tcBorders>
            <w:shd w:val="clear" w:color="auto" w:fill="auto"/>
            <w:noWrap/>
          </w:tcPr>
          <w:p w14:paraId="505D9B74" w14:textId="77777777" w:rsidR="00447B6D" w:rsidRPr="009E35ED" w:rsidRDefault="00447B6D" w:rsidP="00B04ABA">
            <w:pPr>
              <w:ind w:left="0" w:hanging="119"/>
              <w:jc w:val="righ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13.74%</w:t>
            </w:r>
          </w:p>
        </w:tc>
        <w:tc>
          <w:tcPr>
            <w:tcW w:w="1432" w:type="dxa"/>
            <w:tcBorders>
              <w:bottom w:val="single" w:sz="4" w:space="0" w:color="auto"/>
            </w:tcBorders>
            <w:shd w:val="clear" w:color="auto" w:fill="auto"/>
            <w:noWrap/>
          </w:tcPr>
          <w:p w14:paraId="32218343" w14:textId="77777777" w:rsidR="00447B6D" w:rsidRPr="009E35ED" w:rsidRDefault="00447B6D" w:rsidP="00B04ABA">
            <w:pPr>
              <w:ind w:left="0" w:hanging="112"/>
              <w:jc w:val="righ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13.74%</w:t>
            </w:r>
          </w:p>
        </w:tc>
        <w:tc>
          <w:tcPr>
            <w:tcW w:w="1282" w:type="dxa"/>
            <w:tcBorders>
              <w:bottom w:val="single" w:sz="4" w:space="0" w:color="auto"/>
            </w:tcBorders>
            <w:shd w:val="clear" w:color="auto" w:fill="auto"/>
            <w:noWrap/>
          </w:tcPr>
          <w:p w14:paraId="4AB57E2D" w14:textId="77777777" w:rsidR="00447B6D" w:rsidRPr="009E35ED" w:rsidRDefault="00447B6D" w:rsidP="00B04ABA">
            <w:pPr>
              <w:ind w:left="0" w:right="-90" w:hanging="104"/>
              <w:jc w:val="righ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13.74%</w:t>
            </w:r>
          </w:p>
        </w:tc>
      </w:tr>
    </w:tbl>
    <w:p w14:paraId="0295C59F" w14:textId="382E7CAC" w:rsidR="00447B6D" w:rsidRPr="009E35ED" w:rsidRDefault="00447B6D" w:rsidP="00447B6D">
      <w:pPr>
        <w:ind w:left="0"/>
        <w:rPr>
          <w:rFonts w:ascii="Arial" w:hAnsi="Arial" w:cs="Arial"/>
          <w:i/>
          <w:iCs/>
          <w:color w:val="000000" w:themeColor="text1"/>
          <w:sz w:val="20"/>
          <w:szCs w:val="20"/>
        </w:rPr>
      </w:pPr>
      <w:r w:rsidRPr="009E35ED">
        <w:rPr>
          <w:rFonts w:ascii="Arial" w:hAnsi="Arial" w:cs="Arial"/>
          <w:i/>
          <w:iCs/>
          <w:color w:val="000000" w:themeColor="text1"/>
          <w:sz w:val="20"/>
          <w:szCs w:val="20"/>
        </w:rPr>
        <w:t xml:space="preserve">*Starting January 1, 2022, </w:t>
      </w:r>
      <w:r w:rsidR="00F6182B">
        <w:rPr>
          <w:rFonts w:ascii="Arial" w:hAnsi="Arial" w:cs="Arial"/>
          <w:i/>
          <w:iCs/>
          <w:color w:val="000000" w:themeColor="text1"/>
          <w:sz w:val="20"/>
          <w:szCs w:val="20"/>
        </w:rPr>
        <w:t xml:space="preserve">the </w:t>
      </w:r>
      <w:r w:rsidRPr="009E35ED">
        <w:rPr>
          <w:rFonts w:ascii="Arial" w:hAnsi="Arial" w:cs="Arial"/>
          <w:i/>
          <w:iCs/>
          <w:color w:val="000000" w:themeColor="text1"/>
          <w:sz w:val="20"/>
          <w:szCs w:val="20"/>
        </w:rPr>
        <w:t xml:space="preserve">PCSO remove the 5% prize fund tax in the revenue allocation as per Letter from </w:t>
      </w:r>
      <w:r w:rsidR="00F6182B">
        <w:rPr>
          <w:rFonts w:ascii="Arial" w:hAnsi="Arial" w:cs="Arial"/>
          <w:i/>
          <w:iCs/>
          <w:color w:val="000000" w:themeColor="text1"/>
          <w:sz w:val="20"/>
          <w:szCs w:val="20"/>
        </w:rPr>
        <w:t xml:space="preserve">the </w:t>
      </w:r>
      <w:r w:rsidRPr="009E35ED">
        <w:rPr>
          <w:rFonts w:ascii="Arial" w:hAnsi="Arial" w:cs="Arial"/>
          <w:i/>
          <w:iCs/>
          <w:color w:val="000000" w:themeColor="text1"/>
          <w:sz w:val="20"/>
          <w:szCs w:val="20"/>
        </w:rPr>
        <w:t xml:space="preserve">DOF that the Prize Fund Tax has already been repealed explicitly under Section 86 of the </w:t>
      </w:r>
      <w:r w:rsidR="005D3346">
        <w:rPr>
          <w:rFonts w:ascii="Arial" w:hAnsi="Arial" w:cs="Arial"/>
          <w:i/>
          <w:iCs/>
          <w:color w:val="000000" w:themeColor="text1"/>
          <w:sz w:val="20"/>
          <w:szCs w:val="20"/>
        </w:rPr>
        <w:t>RA</w:t>
      </w:r>
      <w:r w:rsidRPr="009E35ED">
        <w:rPr>
          <w:rFonts w:ascii="Arial" w:hAnsi="Arial" w:cs="Arial"/>
          <w:i/>
          <w:iCs/>
          <w:color w:val="000000" w:themeColor="text1"/>
          <w:sz w:val="20"/>
          <w:szCs w:val="20"/>
        </w:rPr>
        <w:t xml:space="preserve"> No. 10963 or the TRAIN Law.</w:t>
      </w:r>
    </w:p>
    <w:p w14:paraId="46CB1B9C" w14:textId="77777777" w:rsidR="00447B6D" w:rsidRPr="009E35ED" w:rsidRDefault="00447B6D" w:rsidP="00447B6D">
      <w:pPr>
        <w:ind w:left="0"/>
        <w:rPr>
          <w:rFonts w:ascii="Arial" w:hAnsi="Arial" w:cs="Arial"/>
          <w:bCs/>
          <w:color w:val="000000" w:themeColor="text1"/>
          <w:sz w:val="22"/>
          <w:szCs w:val="22"/>
        </w:rPr>
      </w:pPr>
    </w:p>
    <w:p w14:paraId="25071CB9" w14:textId="77777777" w:rsidR="00DC42E4" w:rsidRDefault="00DC42E4" w:rsidP="00D374E9">
      <w:pPr>
        <w:ind w:left="0"/>
        <w:rPr>
          <w:rFonts w:ascii="Arial" w:hAnsi="Arial" w:cs="Arial"/>
          <w:bCs/>
          <w:color w:val="000000" w:themeColor="text1"/>
          <w:sz w:val="22"/>
          <w:szCs w:val="22"/>
        </w:rPr>
      </w:pPr>
    </w:p>
    <w:p w14:paraId="09C59A49" w14:textId="77777777" w:rsidR="00A046FD" w:rsidRPr="009E35ED" w:rsidRDefault="00A046FD" w:rsidP="00D374E9">
      <w:pPr>
        <w:ind w:left="0"/>
        <w:rPr>
          <w:rFonts w:ascii="Arial" w:hAnsi="Arial" w:cs="Arial"/>
          <w:bCs/>
          <w:color w:val="000000" w:themeColor="text1"/>
          <w:sz w:val="22"/>
          <w:szCs w:val="22"/>
        </w:rPr>
      </w:pPr>
    </w:p>
    <w:p w14:paraId="28EF9D39" w14:textId="0AF2F0A8" w:rsidR="00D374E9" w:rsidRPr="009E35ED" w:rsidRDefault="00D374E9" w:rsidP="002F0748">
      <w:pPr>
        <w:keepNext/>
        <w:keepLines/>
        <w:ind w:left="0"/>
        <w:rPr>
          <w:rFonts w:ascii="Arial" w:hAnsi="Arial" w:cs="Arial"/>
          <w:i/>
          <w:color w:val="000000" w:themeColor="text1"/>
          <w:sz w:val="22"/>
          <w:szCs w:val="22"/>
        </w:rPr>
      </w:pPr>
      <w:r w:rsidRPr="009E35ED">
        <w:rPr>
          <w:rFonts w:ascii="Arial" w:hAnsi="Arial" w:cs="Arial"/>
          <w:bCs/>
          <w:color w:val="000000" w:themeColor="text1"/>
          <w:sz w:val="22"/>
          <w:szCs w:val="22"/>
        </w:rPr>
        <w:t xml:space="preserve">Allocation </w:t>
      </w:r>
      <w:r w:rsidRPr="009E35ED">
        <w:rPr>
          <w:rFonts w:ascii="Arial" w:hAnsi="Arial" w:cs="Arial"/>
          <w:iCs/>
          <w:color w:val="000000" w:themeColor="text1"/>
          <w:sz w:val="22"/>
          <w:szCs w:val="22"/>
        </w:rPr>
        <w:t xml:space="preserve">starting March </w:t>
      </w:r>
      <w:r w:rsidR="00C90EAD" w:rsidRPr="009E35ED">
        <w:rPr>
          <w:rFonts w:ascii="Arial" w:hAnsi="Arial" w:cs="Arial"/>
          <w:iCs/>
          <w:color w:val="000000" w:themeColor="text1"/>
          <w:sz w:val="22"/>
          <w:szCs w:val="22"/>
        </w:rPr>
        <w:t xml:space="preserve">1, </w:t>
      </w:r>
      <w:r w:rsidRPr="009E35ED">
        <w:rPr>
          <w:rFonts w:ascii="Arial" w:hAnsi="Arial" w:cs="Arial"/>
          <w:iCs/>
          <w:color w:val="000000" w:themeColor="text1"/>
          <w:sz w:val="22"/>
          <w:szCs w:val="22"/>
        </w:rPr>
        <w:t>2023 up to September 30, 2023</w:t>
      </w:r>
    </w:p>
    <w:p w14:paraId="0B6F653C" w14:textId="77777777" w:rsidR="00D374E9" w:rsidRPr="009E35ED" w:rsidRDefault="00D374E9" w:rsidP="002F0748">
      <w:pPr>
        <w:keepNext/>
        <w:keepLines/>
        <w:ind w:left="0"/>
        <w:rPr>
          <w:rFonts w:ascii="Arial" w:hAnsi="Arial" w:cs="Arial"/>
          <w:i/>
          <w:color w:val="000000" w:themeColor="text1"/>
          <w:sz w:val="22"/>
          <w:szCs w:val="22"/>
        </w:rPr>
      </w:pPr>
    </w:p>
    <w:tbl>
      <w:tblPr>
        <w:tblW w:w="8640" w:type="dxa"/>
        <w:tblLook w:val="04A0" w:firstRow="1" w:lastRow="0" w:firstColumn="1" w:lastColumn="0" w:noHBand="0" w:noVBand="1"/>
      </w:tblPr>
      <w:tblGrid>
        <w:gridCol w:w="3060"/>
        <w:gridCol w:w="1433"/>
        <w:gridCol w:w="1433"/>
        <w:gridCol w:w="1432"/>
        <w:gridCol w:w="1282"/>
      </w:tblGrid>
      <w:tr w:rsidR="00997F75" w:rsidRPr="009E35ED" w14:paraId="6E7329C6" w14:textId="77777777" w:rsidTr="00A046FD">
        <w:trPr>
          <w:trHeight w:val="207"/>
          <w:tblHeader/>
        </w:trPr>
        <w:tc>
          <w:tcPr>
            <w:tcW w:w="3060" w:type="dxa"/>
            <w:tcBorders>
              <w:top w:val="single" w:sz="4" w:space="0" w:color="auto"/>
              <w:bottom w:val="single" w:sz="4" w:space="0" w:color="auto"/>
            </w:tcBorders>
            <w:shd w:val="clear" w:color="auto" w:fill="auto"/>
            <w:noWrap/>
            <w:hideMark/>
          </w:tcPr>
          <w:p w14:paraId="4B8B53E3" w14:textId="77777777" w:rsidR="00D374E9" w:rsidRPr="009E35ED" w:rsidRDefault="00D374E9" w:rsidP="005E4F3F">
            <w:pPr>
              <w:ind w:left="0" w:hanging="90"/>
              <w:jc w:val="left"/>
              <w:rPr>
                <w:rFonts w:ascii="Arial Narrow" w:hAnsi="Arial Narrow" w:cs="Arial"/>
                <w:b/>
                <w:bCs/>
                <w:color w:val="000000" w:themeColor="text1"/>
                <w:sz w:val="20"/>
                <w:szCs w:val="20"/>
                <w:lang w:val="en-PH"/>
              </w:rPr>
            </w:pPr>
            <w:r w:rsidRPr="009E35ED">
              <w:rPr>
                <w:rFonts w:ascii="Arial Narrow" w:hAnsi="Arial Narrow" w:cs="Arial"/>
                <w:b/>
                <w:bCs/>
                <w:color w:val="000000" w:themeColor="text1"/>
                <w:sz w:val="20"/>
                <w:szCs w:val="20"/>
                <w:lang w:val="en-PH"/>
              </w:rPr>
              <w:t>Particulars</w:t>
            </w:r>
          </w:p>
        </w:tc>
        <w:tc>
          <w:tcPr>
            <w:tcW w:w="1433" w:type="dxa"/>
            <w:tcBorders>
              <w:top w:val="single" w:sz="4" w:space="0" w:color="auto"/>
              <w:bottom w:val="single" w:sz="4" w:space="0" w:color="auto"/>
            </w:tcBorders>
            <w:shd w:val="clear" w:color="auto" w:fill="auto"/>
            <w:noWrap/>
            <w:hideMark/>
          </w:tcPr>
          <w:p w14:paraId="3B1E01EF" w14:textId="77777777" w:rsidR="00D374E9" w:rsidRPr="009E35ED" w:rsidRDefault="00D374E9" w:rsidP="005E4F3F">
            <w:pPr>
              <w:ind w:left="0"/>
              <w:jc w:val="right"/>
              <w:rPr>
                <w:rFonts w:ascii="Arial Narrow" w:hAnsi="Arial Narrow" w:cs="Arial"/>
                <w:b/>
                <w:bCs/>
                <w:color w:val="000000" w:themeColor="text1"/>
                <w:sz w:val="20"/>
                <w:szCs w:val="20"/>
                <w:lang w:val="en-PH"/>
              </w:rPr>
            </w:pPr>
            <w:r w:rsidRPr="009E35ED">
              <w:rPr>
                <w:rFonts w:ascii="Arial Narrow" w:hAnsi="Arial Narrow" w:cs="Arial"/>
                <w:b/>
                <w:bCs/>
                <w:color w:val="000000" w:themeColor="text1"/>
                <w:sz w:val="20"/>
                <w:szCs w:val="20"/>
                <w:lang w:val="en-PH"/>
              </w:rPr>
              <w:t xml:space="preserve"> EZ2 </w:t>
            </w:r>
          </w:p>
        </w:tc>
        <w:tc>
          <w:tcPr>
            <w:tcW w:w="1433" w:type="dxa"/>
            <w:tcBorders>
              <w:top w:val="single" w:sz="4" w:space="0" w:color="auto"/>
              <w:bottom w:val="single" w:sz="4" w:space="0" w:color="auto"/>
            </w:tcBorders>
            <w:shd w:val="clear" w:color="auto" w:fill="auto"/>
            <w:noWrap/>
            <w:hideMark/>
          </w:tcPr>
          <w:p w14:paraId="093CF8D5" w14:textId="77777777" w:rsidR="00D374E9" w:rsidRPr="009E35ED" w:rsidRDefault="00D374E9" w:rsidP="005E4F3F">
            <w:pPr>
              <w:ind w:left="0"/>
              <w:jc w:val="right"/>
              <w:rPr>
                <w:rFonts w:ascii="Arial Narrow" w:hAnsi="Arial Narrow" w:cs="Arial"/>
                <w:b/>
                <w:bCs/>
                <w:color w:val="000000" w:themeColor="text1"/>
                <w:sz w:val="20"/>
                <w:szCs w:val="20"/>
                <w:lang w:val="en-PH"/>
              </w:rPr>
            </w:pPr>
            <w:r w:rsidRPr="009E35ED">
              <w:rPr>
                <w:rFonts w:ascii="Arial Narrow" w:hAnsi="Arial Narrow" w:cs="Arial"/>
                <w:b/>
                <w:bCs/>
                <w:color w:val="000000" w:themeColor="text1"/>
                <w:sz w:val="20"/>
                <w:szCs w:val="20"/>
                <w:lang w:val="en-PH"/>
              </w:rPr>
              <w:t xml:space="preserve"> 3D </w:t>
            </w:r>
          </w:p>
        </w:tc>
        <w:tc>
          <w:tcPr>
            <w:tcW w:w="1432" w:type="dxa"/>
            <w:tcBorders>
              <w:top w:val="single" w:sz="4" w:space="0" w:color="auto"/>
              <w:bottom w:val="single" w:sz="4" w:space="0" w:color="auto"/>
            </w:tcBorders>
            <w:shd w:val="clear" w:color="auto" w:fill="auto"/>
            <w:noWrap/>
            <w:hideMark/>
          </w:tcPr>
          <w:p w14:paraId="0322B00A" w14:textId="77777777" w:rsidR="00D374E9" w:rsidRPr="009E35ED" w:rsidRDefault="00D374E9" w:rsidP="005E4F3F">
            <w:pPr>
              <w:ind w:left="0"/>
              <w:jc w:val="right"/>
              <w:rPr>
                <w:rFonts w:ascii="Arial Narrow" w:hAnsi="Arial Narrow" w:cs="Arial"/>
                <w:b/>
                <w:bCs/>
                <w:color w:val="000000" w:themeColor="text1"/>
                <w:sz w:val="20"/>
                <w:szCs w:val="20"/>
                <w:lang w:val="en-PH"/>
              </w:rPr>
            </w:pPr>
            <w:r w:rsidRPr="009E35ED">
              <w:rPr>
                <w:rFonts w:ascii="Arial Narrow" w:hAnsi="Arial Narrow" w:cs="Arial"/>
                <w:b/>
                <w:bCs/>
                <w:color w:val="000000" w:themeColor="text1"/>
                <w:sz w:val="20"/>
                <w:szCs w:val="20"/>
                <w:lang w:val="en-PH"/>
              </w:rPr>
              <w:t xml:space="preserve"> 4D </w:t>
            </w:r>
          </w:p>
        </w:tc>
        <w:tc>
          <w:tcPr>
            <w:tcW w:w="1282" w:type="dxa"/>
            <w:tcBorders>
              <w:top w:val="single" w:sz="4" w:space="0" w:color="auto"/>
              <w:bottom w:val="single" w:sz="4" w:space="0" w:color="auto"/>
            </w:tcBorders>
            <w:shd w:val="clear" w:color="auto" w:fill="auto"/>
            <w:noWrap/>
            <w:hideMark/>
          </w:tcPr>
          <w:p w14:paraId="64C82CFF" w14:textId="77777777" w:rsidR="00D374E9" w:rsidRPr="009E35ED" w:rsidRDefault="00D374E9" w:rsidP="005E4F3F">
            <w:pPr>
              <w:ind w:left="0" w:right="-90"/>
              <w:jc w:val="right"/>
              <w:rPr>
                <w:rFonts w:ascii="Arial Narrow" w:hAnsi="Arial Narrow" w:cs="Arial"/>
                <w:b/>
                <w:bCs/>
                <w:color w:val="000000" w:themeColor="text1"/>
                <w:sz w:val="20"/>
                <w:szCs w:val="20"/>
                <w:lang w:val="en-PH"/>
              </w:rPr>
            </w:pPr>
            <w:r w:rsidRPr="009E35ED">
              <w:rPr>
                <w:rFonts w:ascii="Arial Narrow" w:hAnsi="Arial Narrow" w:cs="Arial"/>
                <w:b/>
                <w:bCs/>
                <w:color w:val="000000" w:themeColor="text1"/>
                <w:sz w:val="20"/>
                <w:szCs w:val="20"/>
                <w:lang w:val="en-PH"/>
              </w:rPr>
              <w:t xml:space="preserve"> 6D </w:t>
            </w:r>
          </w:p>
        </w:tc>
      </w:tr>
      <w:tr w:rsidR="00997F75" w:rsidRPr="009E35ED" w14:paraId="71E818D4" w14:textId="77777777" w:rsidTr="00A046FD">
        <w:trPr>
          <w:trHeight w:val="134"/>
        </w:trPr>
        <w:tc>
          <w:tcPr>
            <w:tcW w:w="3060" w:type="dxa"/>
            <w:tcBorders>
              <w:top w:val="single" w:sz="4" w:space="0" w:color="auto"/>
            </w:tcBorders>
            <w:shd w:val="clear" w:color="auto" w:fill="auto"/>
            <w:noWrap/>
            <w:hideMark/>
          </w:tcPr>
          <w:p w14:paraId="53167A6E" w14:textId="77777777" w:rsidR="00D374E9" w:rsidRPr="009E35ED" w:rsidRDefault="00D374E9" w:rsidP="005E4F3F">
            <w:pPr>
              <w:ind w:left="0" w:hanging="90"/>
              <w:jc w:val="left"/>
              <w:rPr>
                <w:rFonts w:ascii="Arial Narrow" w:hAnsi="Arial Narrow" w:cs="Arial"/>
                <w:b/>
                <w:bCs/>
                <w:color w:val="000000" w:themeColor="text1"/>
                <w:sz w:val="20"/>
                <w:szCs w:val="20"/>
                <w:lang w:val="en-PH"/>
              </w:rPr>
            </w:pPr>
            <w:r w:rsidRPr="009E35ED">
              <w:rPr>
                <w:rFonts w:ascii="Arial Narrow" w:hAnsi="Arial Narrow" w:cs="Arial"/>
                <w:b/>
                <w:bCs/>
                <w:color w:val="000000" w:themeColor="text1"/>
                <w:sz w:val="20"/>
                <w:szCs w:val="20"/>
                <w:lang w:val="en-PH"/>
              </w:rPr>
              <w:t>Gross Receipts</w:t>
            </w:r>
          </w:p>
        </w:tc>
        <w:tc>
          <w:tcPr>
            <w:tcW w:w="1433" w:type="dxa"/>
            <w:tcBorders>
              <w:top w:val="single" w:sz="4" w:space="0" w:color="auto"/>
            </w:tcBorders>
            <w:shd w:val="clear" w:color="auto" w:fill="auto"/>
            <w:noWrap/>
            <w:hideMark/>
          </w:tcPr>
          <w:p w14:paraId="20639E36" w14:textId="77777777" w:rsidR="00D374E9" w:rsidRPr="009E35ED" w:rsidRDefault="00D374E9" w:rsidP="005E4F3F">
            <w:pPr>
              <w:ind w:left="0"/>
              <w:jc w:val="right"/>
              <w:rPr>
                <w:rFonts w:ascii="Arial Narrow" w:hAnsi="Arial Narrow" w:cs="Arial"/>
                <w:b/>
                <w:bCs/>
                <w:color w:val="000000" w:themeColor="text1"/>
                <w:sz w:val="20"/>
                <w:szCs w:val="20"/>
                <w:lang w:val="en-PH"/>
              </w:rPr>
            </w:pPr>
            <w:r w:rsidRPr="009E35ED">
              <w:rPr>
                <w:rFonts w:ascii="Arial Narrow" w:hAnsi="Arial Narrow" w:cs="Arial"/>
                <w:b/>
                <w:bCs/>
                <w:color w:val="000000" w:themeColor="text1"/>
                <w:sz w:val="20"/>
                <w:szCs w:val="20"/>
                <w:lang w:val="en-PH"/>
              </w:rPr>
              <w:t>100.00%</w:t>
            </w:r>
          </w:p>
        </w:tc>
        <w:tc>
          <w:tcPr>
            <w:tcW w:w="1433" w:type="dxa"/>
            <w:tcBorders>
              <w:top w:val="single" w:sz="4" w:space="0" w:color="auto"/>
            </w:tcBorders>
            <w:shd w:val="clear" w:color="auto" w:fill="auto"/>
            <w:noWrap/>
            <w:hideMark/>
          </w:tcPr>
          <w:p w14:paraId="28B945B3" w14:textId="77777777" w:rsidR="00D374E9" w:rsidRPr="009E35ED" w:rsidRDefault="00D374E9" w:rsidP="005E4F3F">
            <w:pPr>
              <w:ind w:left="0"/>
              <w:jc w:val="right"/>
              <w:rPr>
                <w:rFonts w:ascii="Arial Narrow" w:hAnsi="Arial Narrow" w:cs="Arial"/>
                <w:b/>
                <w:bCs/>
                <w:color w:val="000000" w:themeColor="text1"/>
                <w:sz w:val="20"/>
                <w:szCs w:val="20"/>
                <w:lang w:val="en-PH"/>
              </w:rPr>
            </w:pPr>
            <w:r w:rsidRPr="009E35ED">
              <w:rPr>
                <w:rFonts w:ascii="Arial Narrow" w:hAnsi="Arial Narrow" w:cs="Arial"/>
                <w:b/>
                <w:bCs/>
                <w:color w:val="000000" w:themeColor="text1"/>
                <w:sz w:val="20"/>
                <w:szCs w:val="20"/>
                <w:lang w:val="en-PH"/>
              </w:rPr>
              <w:t>100.00%</w:t>
            </w:r>
          </w:p>
        </w:tc>
        <w:tc>
          <w:tcPr>
            <w:tcW w:w="1432" w:type="dxa"/>
            <w:tcBorders>
              <w:top w:val="single" w:sz="4" w:space="0" w:color="auto"/>
            </w:tcBorders>
            <w:shd w:val="clear" w:color="auto" w:fill="auto"/>
            <w:noWrap/>
            <w:hideMark/>
          </w:tcPr>
          <w:p w14:paraId="66B3B3D3" w14:textId="77777777" w:rsidR="00D374E9" w:rsidRPr="009E35ED" w:rsidRDefault="00D374E9" w:rsidP="005E4F3F">
            <w:pPr>
              <w:ind w:left="0"/>
              <w:jc w:val="right"/>
              <w:rPr>
                <w:rFonts w:ascii="Arial Narrow" w:hAnsi="Arial Narrow" w:cs="Arial"/>
                <w:b/>
                <w:bCs/>
                <w:color w:val="000000" w:themeColor="text1"/>
                <w:sz w:val="20"/>
                <w:szCs w:val="20"/>
                <w:lang w:val="en-PH"/>
              </w:rPr>
            </w:pPr>
            <w:r w:rsidRPr="009E35ED">
              <w:rPr>
                <w:rFonts w:ascii="Arial Narrow" w:hAnsi="Arial Narrow" w:cs="Arial"/>
                <w:b/>
                <w:bCs/>
                <w:color w:val="000000" w:themeColor="text1"/>
                <w:sz w:val="20"/>
                <w:szCs w:val="20"/>
                <w:lang w:val="en-PH"/>
              </w:rPr>
              <w:t>100.00%</w:t>
            </w:r>
          </w:p>
        </w:tc>
        <w:tc>
          <w:tcPr>
            <w:tcW w:w="1282" w:type="dxa"/>
            <w:tcBorders>
              <w:top w:val="single" w:sz="4" w:space="0" w:color="auto"/>
            </w:tcBorders>
            <w:shd w:val="clear" w:color="auto" w:fill="auto"/>
            <w:noWrap/>
            <w:hideMark/>
          </w:tcPr>
          <w:p w14:paraId="170690A7" w14:textId="77777777" w:rsidR="00D374E9" w:rsidRPr="009E35ED" w:rsidRDefault="00D374E9" w:rsidP="005E4F3F">
            <w:pPr>
              <w:ind w:left="0" w:right="-90"/>
              <w:jc w:val="right"/>
              <w:rPr>
                <w:rFonts w:ascii="Arial Narrow" w:hAnsi="Arial Narrow" w:cs="Arial"/>
                <w:b/>
                <w:bCs/>
                <w:color w:val="000000" w:themeColor="text1"/>
                <w:sz w:val="20"/>
                <w:szCs w:val="20"/>
                <w:lang w:val="en-PH"/>
              </w:rPr>
            </w:pPr>
            <w:r w:rsidRPr="009E35ED">
              <w:rPr>
                <w:rFonts w:ascii="Arial Narrow" w:hAnsi="Arial Narrow" w:cs="Arial"/>
                <w:b/>
                <w:bCs/>
                <w:color w:val="000000" w:themeColor="text1"/>
                <w:sz w:val="20"/>
                <w:szCs w:val="20"/>
                <w:lang w:val="en-PH"/>
              </w:rPr>
              <w:t>100.00%</w:t>
            </w:r>
          </w:p>
        </w:tc>
      </w:tr>
      <w:tr w:rsidR="00997F75" w:rsidRPr="009E35ED" w14:paraId="6169F2D0" w14:textId="77777777" w:rsidTr="00A046FD">
        <w:trPr>
          <w:trHeight w:val="83"/>
        </w:trPr>
        <w:tc>
          <w:tcPr>
            <w:tcW w:w="3060" w:type="dxa"/>
            <w:shd w:val="clear" w:color="auto" w:fill="auto"/>
            <w:noWrap/>
            <w:hideMark/>
          </w:tcPr>
          <w:p w14:paraId="700D65C3" w14:textId="77777777" w:rsidR="00D374E9" w:rsidRPr="009E35ED" w:rsidRDefault="00D374E9" w:rsidP="005E4F3F">
            <w:pPr>
              <w:ind w:left="0" w:hanging="90"/>
              <w:jc w:val="lef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Printing Cost</w:t>
            </w:r>
          </w:p>
        </w:tc>
        <w:tc>
          <w:tcPr>
            <w:tcW w:w="1433" w:type="dxa"/>
            <w:shd w:val="clear" w:color="auto" w:fill="auto"/>
            <w:noWrap/>
            <w:hideMark/>
          </w:tcPr>
          <w:p w14:paraId="4D05E7A5" w14:textId="77777777" w:rsidR="00D374E9" w:rsidRPr="009E35ED" w:rsidRDefault="00D374E9" w:rsidP="005E4F3F">
            <w:pPr>
              <w:ind w:left="0"/>
              <w:jc w:val="righ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2.00%</w:t>
            </w:r>
          </w:p>
        </w:tc>
        <w:tc>
          <w:tcPr>
            <w:tcW w:w="1433" w:type="dxa"/>
            <w:shd w:val="clear" w:color="auto" w:fill="auto"/>
            <w:noWrap/>
            <w:hideMark/>
          </w:tcPr>
          <w:p w14:paraId="76947DE1" w14:textId="77777777" w:rsidR="00D374E9" w:rsidRPr="009E35ED" w:rsidRDefault="00D374E9" w:rsidP="005E4F3F">
            <w:pPr>
              <w:ind w:left="0"/>
              <w:jc w:val="righ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2.00%</w:t>
            </w:r>
          </w:p>
        </w:tc>
        <w:tc>
          <w:tcPr>
            <w:tcW w:w="1432" w:type="dxa"/>
            <w:shd w:val="clear" w:color="auto" w:fill="auto"/>
            <w:noWrap/>
            <w:hideMark/>
          </w:tcPr>
          <w:p w14:paraId="39AE11E1" w14:textId="77777777" w:rsidR="00D374E9" w:rsidRPr="009E35ED" w:rsidRDefault="00D374E9" w:rsidP="005E4F3F">
            <w:pPr>
              <w:ind w:left="0"/>
              <w:jc w:val="righ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2.00%</w:t>
            </w:r>
          </w:p>
        </w:tc>
        <w:tc>
          <w:tcPr>
            <w:tcW w:w="1282" w:type="dxa"/>
            <w:shd w:val="clear" w:color="auto" w:fill="auto"/>
            <w:noWrap/>
            <w:hideMark/>
          </w:tcPr>
          <w:p w14:paraId="65F0C95D" w14:textId="77777777" w:rsidR="00D374E9" w:rsidRPr="009E35ED" w:rsidRDefault="00D374E9" w:rsidP="005E4F3F">
            <w:pPr>
              <w:ind w:left="0" w:right="-90"/>
              <w:jc w:val="righ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2.00%</w:t>
            </w:r>
          </w:p>
        </w:tc>
      </w:tr>
      <w:tr w:rsidR="00997F75" w:rsidRPr="009E35ED" w14:paraId="38568037" w14:textId="77777777" w:rsidTr="00A046FD">
        <w:trPr>
          <w:trHeight w:val="83"/>
        </w:trPr>
        <w:tc>
          <w:tcPr>
            <w:tcW w:w="3060" w:type="dxa"/>
            <w:shd w:val="clear" w:color="auto" w:fill="auto"/>
            <w:noWrap/>
            <w:hideMark/>
          </w:tcPr>
          <w:p w14:paraId="38950355" w14:textId="2A1A3C36" w:rsidR="00D374E9" w:rsidRPr="009E35ED" w:rsidRDefault="00D374E9" w:rsidP="005E4F3F">
            <w:pPr>
              <w:ind w:left="0" w:hanging="90"/>
              <w:jc w:val="left"/>
              <w:rPr>
                <w:rFonts w:ascii="Arial Narrow" w:hAnsi="Arial Narrow" w:cs="Arial"/>
                <w:b/>
                <w:bCs/>
                <w:color w:val="000000" w:themeColor="text1"/>
                <w:sz w:val="20"/>
                <w:szCs w:val="20"/>
                <w:lang w:val="en-PH"/>
              </w:rPr>
            </w:pPr>
            <w:r w:rsidRPr="009E35ED">
              <w:rPr>
                <w:rFonts w:ascii="Arial Narrow" w:hAnsi="Arial Narrow" w:cs="Arial"/>
                <w:b/>
                <w:bCs/>
                <w:color w:val="000000" w:themeColor="text1"/>
                <w:sz w:val="20"/>
                <w:szCs w:val="20"/>
                <w:lang w:val="en-PH"/>
              </w:rPr>
              <w:t>Net Receipts</w:t>
            </w:r>
            <w:r w:rsidR="00F6182B">
              <w:rPr>
                <w:rFonts w:ascii="Arial Narrow" w:hAnsi="Arial Narrow" w:cs="Arial"/>
                <w:b/>
                <w:bCs/>
                <w:color w:val="000000" w:themeColor="text1"/>
                <w:sz w:val="20"/>
                <w:szCs w:val="20"/>
                <w:lang w:val="en-PH"/>
              </w:rPr>
              <w:t xml:space="preserve"> (NR)</w:t>
            </w:r>
          </w:p>
        </w:tc>
        <w:tc>
          <w:tcPr>
            <w:tcW w:w="1433" w:type="dxa"/>
            <w:shd w:val="clear" w:color="auto" w:fill="auto"/>
            <w:noWrap/>
            <w:hideMark/>
          </w:tcPr>
          <w:p w14:paraId="47ADB1B0" w14:textId="77777777" w:rsidR="00D374E9" w:rsidRPr="009E35ED" w:rsidRDefault="00D374E9" w:rsidP="005E4F3F">
            <w:pPr>
              <w:ind w:left="0"/>
              <w:jc w:val="right"/>
              <w:rPr>
                <w:rFonts w:ascii="Arial Narrow" w:hAnsi="Arial Narrow" w:cs="Arial"/>
                <w:b/>
                <w:bCs/>
                <w:color w:val="000000" w:themeColor="text1"/>
                <w:sz w:val="20"/>
                <w:szCs w:val="20"/>
                <w:lang w:val="en-PH"/>
              </w:rPr>
            </w:pPr>
            <w:r w:rsidRPr="009E35ED">
              <w:rPr>
                <w:rFonts w:ascii="Arial Narrow" w:hAnsi="Arial Narrow" w:cs="Arial"/>
                <w:b/>
                <w:bCs/>
                <w:color w:val="000000" w:themeColor="text1"/>
                <w:sz w:val="20"/>
                <w:szCs w:val="20"/>
                <w:lang w:val="en-PH"/>
              </w:rPr>
              <w:t>98.00%</w:t>
            </w:r>
          </w:p>
        </w:tc>
        <w:tc>
          <w:tcPr>
            <w:tcW w:w="1433" w:type="dxa"/>
            <w:shd w:val="clear" w:color="auto" w:fill="auto"/>
            <w:noWrap/>
            <w:hideMark/>
          </w:tcPr>
          <w:p w14:paraId="6D8696A9" w14:textId="77777777" w:rsidR="00D374E9" w:rsidRPr="009E35ED" w:rsidRDefault="00D374E9" w:rsidP="005E4F3F">
            <w:pPr>
              <w:ind w:left="0"/>
              <w:jc w:val="right"/>
              <w:rPr>
                <w:rFonts w:ascii="Arial Narrow" w:hAnsi="Arial Narrow" w:cs="Arial"/>
                <w:b/>
                <w:bCs/>
                <w:color w:val="000000" w:themeColor="text1"/>
                <w:sz w:val="20"/>
                <w:szCs w:val="20"/>
                <w:lang w:val="en-PH"/>
              </w:rPr>
            </w:pPr>
            <w:r w:rsidRPr="009E35ED">
              <w:rPr>
                <w:rFonts w:ascii="Arial Narrow" w:hAnsi="Arial Narrow" w:cs="Arial"/>
                <w:b/>
                <w:bCs/>
                <w:color w:val="000000" w:themeColor="text1"/>
                <w:sz w:val="20"/>
                <w:szCs w:val="20"/>
                <w:lang w:val="en-PH"/>
              </w:rPr>
              <w:t>98.00%</w:t>
            </w:r>
          </w:p>
        </w:tc>
        <w:tc>
          <w:tcPr>
            <w:tcW w:w="1432" w:type="dxa"/>
            <w:shd w:val="clear" w:color="auto" w:fill="auto"/>
            <w:noWrap/>
            <w:hideMark/>
          </w:tcPr>
          <w:p w14:paraId="5F4EB68C" w14:textId="77777777" w:rsidR="00D374E9" w:rsidRPr="009E35ED" w:rsidRDefault="00D374E9" w:rsidP="005E4F3F">
            <w:pPr>
              <w:ind w:left="0"/>
              <w:jc w:val="right"/>
              <w:rPr>
                <w:rFonts w:ascii="Arial Narrow" w:hAnsi="Arial Narrow" w:cs="Arial"/>
                <w:b/>
                <w:bCs/>
                <w:color w:val="000000" w:themeColor="text1"/>
                <w:sz w:val="20"/>
                <w:szCs w:val="20"/>
                <w:lang w:val="en-PH"/>
              </w:rPr>
            </w:pPr>
            <w:r w:rsidRPr="009E35ED">
              <w:rPr>
                <w:rFonts w:ascii="Arial Narrow" w:hAnsi="Arial Narrow" w:cs="Arial"/>
                <w:b/>
                <w:bCs/>
                <w:color w:val="000000" w:themeColor="text1"/>
                <w:sz w:val="20"/>
                <w:szCs w:val="20"/>
                <w:lang w:val="en-PH"/>
              </w:rPr>
              <w:t>98.00%</w:t>
            </w:r>
          </w:p>
        </w:tc>
        <w:tc>
          <w:tcPr>
            <w:tcW w:w="1282" w:type="dxa"/>
            <w:shd w:val="clear" w:color="auto" w:fill="auto"/>
            <w:noWrap/>
            <w:hideMark/>
          </w:tcPr>
          <w:p w14:paraId="69BDFB17" w14:textId="77777777" w:rsidR="00D374E9" w:rsidRPr="009E35ED" w:rsidRDefault="00D374E9" w:rsidP="005E4F3F">
            <w:pPr>
              <w:ind w:left="0" w:right="-90"/>
              <w:jc w:val="right"/>
              <w:rPr>
                <w:rFonts w:ascii="Arial Narrow" w:hAnsi="Arial Narrow" w:cs="Arial"/>
                <w:b/>
                <w:bCs/>
                <w:color w:val="000000" w:themeColor="text1"/>
                <w:sz w:val="20"/>
                <w:szCs w:val="20"/>
                <w:lang w:val="en-PH"/>
              </w:rPr>
            </w:pPr>
            <w:r w:rsidRPr="009E35ED">
              <w:rPr>
                <w:rFonts w:ascii="Arial Narrow" w:hAnsi="Arial Narrow" w:cs="Arial"/>
                <w:b/>
                <w:bCs/>
                <w:color w:val="000000" w:themeColor="text1"/>
                <w:sz w:val="20"/>
                <w:szCs w:val="20"/>
                <w:lang w:val="en-PH"/>
              </w:rPr>
              <w:t>98.00%</w:t>
            </w:r>
          </w:p>
        </w:tc>
      </w:tr>
      <w:tr w:rsidR="00997F75" w:rsidRPr="009E35ED" w14:paraId="7FC5FA79" w14:textId="77777777" w:rsidTr="00A046FD">
        <w:trPr>
          <w:trHeight w:val="252"/>
        </w:trPr>
        <w:tc>
          <w:tcPr>
            <w:tcW w:w="3060" w:type="dxa"/>
            <w:shd w:val="clear" w:color="auto" w:fill="auto"/>
            <w:noWrap/>
            <w:hideMark/>
          </w:tcPr>
          <w:p w14:paraId="6981962B" w14:textId="77777777" w:rsidR="00D374E9" w:rsidRPr="009E35ED" w:rsidRDefault="00D374E9" w:rsidP="005E4F3F">
            <w:pPr>
              <w:ind w:left="0" w:hanging="90"/>
              <w:jc w:val="left"/>
              <w:rPr>
                <w:rFonts w:ascii="Arial Narrow" w:hAnsi="Arial Narrow" w:cs="Arial"/>
                <w:b/>
                <w:bCs/>
                <w:color w:val="000000" w:themeColor="text1"/>
                <w:sz w:val="20"/>
                <w:szCs w:val="20"/>
                <w:lang w:val="en-PH"/>
              </w:rPr>
            </w:pPr>
          </w:p>
        </w:tc>
        <w:tc>
          <w:tcPr>
            <w:tcW w:w="1433" w:type="dxa"/>
            <w:shd w:val="clear" w:color="auto" w:fill="auto"/>
            <w:noWrap/>
            <w:hideMark/>
          </w:tcPr>
          <w:p w14:paraId="2B6AE7CF" w14:textId="77777777" w:rsidR="00D374E9" w:rsidRPr="009E35ED" w:rsidRDefault="00D374E9" w:rsidP="005E4F3F">
            <w:pPr>
              <w:ind w:left="0"/>
              <w:jc w:val="right"/>
              <w:rPr>
                <w:rFonts w:ascii="Arial Narrow" w:hAnsi="Arial Narrow" w:cs="Arial"/>
                <w:color w:val="000000" w:themeColor="text1"/>
                <w:sz w:val="20"/>
                <w:szCs w:val="20"/>
                <w:lang w:val="en-PH"/>
              </w:rPr>
            </w:pPr>
          </w:p>
        </w:tc>
        <w:tc>
          <w:tcPr>
            <w:tcW w:w="1433" w:type="dxa"/>
            <w:shd w:val="clear" w:color="auto" w:fill="auto"/>
            <w:noWrap/>
            <w:hideMark/>
          </w:tcPr>
          <w:p w14:paraId="3F4BB12A" w14:textId="77777777" w:rsidR="00D374E9" w:rsidRPr="009E35ED" w:rsidRDefault="00D374E9" w:rsidP="005E4F3F">
            <w:pPr>
              <w:ind w:left="0"/>
              <w:jc w:val="right"/>
              <w:rPr>
                <w:rFonts w:ascii="Arial Narrow" w:hAnsi="Arial Narrow" w:cs="Arial"/>
                <w:color w:val="000000" w:themeColor="text1"/>
                <w:sz w:val="20"/>
                <w:szCs w:val="20"/>
                <w:lang w:val="en-PH"/>
              </w:rPr>
            </w:pPr>
          </w:p>
        </w:tc>
        <w:tc>
          <w:tcPr>
            <w:tcW w:w="1432" w:type="dxa"/>
            <w:shd w:val="clear" w:color="auto" w:fill="auto"/>
            <w:noWrap/>
            <w:hideMark/>
          </w:tcPr>
          <w:p w14:paraId="55D85E3D" w14:textId="77777777" w:rsidR="00D374E9" w:rsidRPr="009E35ED" w:rsidRDefault="00D374E9" w:rsidP="005E4F3F">
            <w:pPr>
              <w:ind w:left="0"/>
              <w:jc w:val="right"/>
              <w:rPr>
                <w:rFonts w:ascii="Arial Narrow" w:hAnsi="Arial Narrow" w:cs="Arial"/>
                <w:color w:val="000000" w:themeColor="text1"/>
                <w:sz w:val="20"/>
                <w:szCs w:val="20"/>
                <w:lang w:val="en-PH"/>
              </w:rPr>
            </w:pPr>
          </w:p>
        </w:tc>
        <w:tc>
          <w:tcPr>
            <w:tcW w:w="1282" w:type="dxa"/>
            <w:shd w:val="clear" w:color="auto" w:fill="auto"/>
            <w:noWrap/>
            <w:hideMark/>
          </w:tcPr>
          <w:p w14:paraId="68A43D06" w14:textId="77777777" w:rsidR="00D374E9" w:rsidRPr="009E35ED" w:rsidRDefault="00D374E9" w:rsidP="005E4F3F">
            <w:pPr>
              <w:ind w:left="0" w:right="-90"/>
              <w:jc w:val="right"/>
              <w:rPr>
                <w:rFonts w:ascii="Arial Narrow" w:hAnsi="Arial Narrow" w:cs="Arial"/>
                <w:color w:val="000000" w:themeColor="text1"/>
                <w:sz w:val="20"/>
                <w:szCs w:val="20"/>
                <w:lang w:val="en-PH"/>
              </w:rPr>
            </w:pPr>
          </w:p>
        </w:tc>
      </w:tr>
      <w:tr w:rsidR="00997F75" w:rsidRPr="009E35ED" w14:paraId="0B979518" w14:textId="77777777" w:rsidTr="00A046FD">
        <w:trPr>
          <w:trHeight w:val="72"/>
        </w:trPr>
        <w:tc>
          <w:tcPr>
            <w:tcW w:w="3060" w:type="dxa"/>
            <w:shd w:val="clear" w:color="auto" w:fill="auto"/>
            <w:noWrap/>
            <w:hideMark/>
          </w:tcPr>
          <w:p w14:paraId="6926F85A" w14:textId="77777777" w:rsidR="00D374E9" w:rsidRPr="009E35ED" w:rsidRDefault="00D374E9" w:rsidP="005E4F3F">
            <w:pPr>
              <w:ind w:left="0" w:hanging="90"/>
              <w:jc w:val="left"/>
              <w:rPr>
                <w:rFonts w:ascii="Arial Narrow" w:hAnsi="Arial Narrow" w:cs="Arial"/>
                <w:b/>
                <w:bCs/>
                <w:color w:val="000000" w:themeColor="text1"/>
                <w:sz w:val="20"/>
                <w:szCs w:val="20"/>
                <w:lang w:val="en-PH"/>
              </w:rPr>
            </w:pPr>
            <w:r w:rsidRPr="009E35ED">
              <w:rPr>
                <w:rFonts w:ascii="Arial Narrow" w:hAnsi="Arial Narrow" w:cs="Arial"/>
                <w:b/>
                <w:bCs/>
                <w:color w:val="000000" w:themeColor="text1"/>
                <w:sz w:val="20"/>
                <w:szCs w:val="20"/>
                <w:lang w:val="en-PH"/>
              </w:rPr>
              <w:t>I. Prize Fund  (55% of NR)</w:t>
            </w:r>
          </w:p>
        </w:tc>
        <w:tc>
          <w:tcPr>
            <w:tcW w:w="1433" w:type="dxa"/>
            <w:shd w:val="clear" w:color="auto" w:fill="auto"/>
            <w:noWrap/>
            <w:hideMark/>
          </w:tcPr>
          <w:p w14:paraId="17129367" w14:textId="77777777" w:rsidR="00D374E9" w:rsidRPr="009E35ED" w:rsidRDefault="00D374E9" w:rsidP="005E4F3F">
            <w:pPr>
              <w:ind w:left="0"/>
              <w:jc w:val="right"/>
              <w:rPr>
                <w:rFonts w:ascii="Arial Narrow" w:hAnsi="Arial Narrow" w:cs="Arial"/>
                <w:b/>
                <w:bCs/>
                <w:color w:val="000000" w:themeColor="text1"/>
                <w:sz w:val="20"/>
                <w:szCs w:val="20"/>
                <w:lang w:val="en-PH"/>
              </w:rPr>
            </w:pPr>
            <w:r w:rsidRPr="009E35ED">
              <w:rPr>
                <w:rFonts w:ascii="Arial Narrow" w:hAnsi="Arial Narrow" w:cs="Arial"/>
                <w:b/>
                <w:bCs/>
                <w:color w:val="000000" w:themeColor="text1"/>
                <w:sz w:val="20"/>
                <w:szCs w:val="20"/>
                <w:lang w:val="en-PH"/>
              </w:rPr>
              <w:t>53.90%</w:t>
            </w:r>
          </w:p>
        </w:tc>
        <w:tc>
          <w:tcPr>
            <w:tcW w:w="1433" w:type="dxa"/>
            <w:shd w:val="clear" w:color="auto" w:fill="auto"/>
            <w:noWrap/>
            <w:hideMark/>
          </w:tcPr>
          <w:p w14:paraId="3EAD8FD0" w14:textId="77777777" w:rsidR="00D374E9" w:rsidRPr="009E35ED" w:rsidRDefault="00D374E9" w:rsidP="005E4F3F">
            <w:pPr>
              <w:ind w:left="0"/>
              <w:jc w:val="right"/>
              <w:rPr>
                <w:rFonts w:ascii="Arial Narrow" w:hAnsi="Arial Narrow" w:cs="Arial"/>
                <w:b/>
                <w:bCs/>
                <w:color w:val="000000" w:themeColor="text1"/>
                <w:sz w:val="20"/>
                <w:szCs w:val="20"/>
                <w:lang w:val="en-PH"/>
              </w:rPr>
            </w:pPr>
            <w:r w:rsidRPr="009E35ED">
              <w:rPr>
                <w:rFonts w:ascii="Arial Narrow" w:hAnsi="Arial Narrow" w:cs="Arial"/>
                <w:b/>
                <w:bCs/>
                <w:color w:val="000000" w:themeColor="text1"/>
                <w:sz w:val="20"/>
                <w:szCs w:val="20"/>
                <w:lang w:val="en-PH"/>
              </w:rPr>
              <w:t>53.90%</w:t>
            </w:r>
          </w:p>
        </w:tc>
        <w:tc>
          <w:tcPr>
            <w:tcW w:w="1432" w:type="dxa"/>
            <w:shd w:val="clear" w:color="auto" w:fill="auto"/>
            <w:noWrap/>
            <w:hideMark/>
          </w:tcPr>
          <w:p w14:paraId="2372FDA6" w14:textId="77777777" w:rsidR="00D374E9" w:rsidRPr="009E35ED" w:rsidRDefault="00D374E9" w:rsidP="005E4F3F">
            <w:pPr>
              <w:ind w:left="0"/>
              <w:jc w:val="right"/>
              <w:rPr>
                <w:rFonts w:ascii="Arial Narrow" w:hAnsi="Arial Narrow" w:cs="Arial"/>
                <w:b/>
                <w:bCs/>
                <w:color w:val="000000" w:themeColor="text1"/>
                <w:sz w:val="20"/>
                <w:szCs w:val="20"/>
                <w:lang w:val="en-PH"/>
              </w:rPr>
            </w:pPr>
            <w:r w:rsidRPr="009E35ED">
              <w:rPr>
                <w:rFonts w:ascii="Arial Narrow" w:hAnsi="Arial Narrow" w:cs="Arial"/>
                <w:b/>
                <w:bCs/>
                <w:color w:val="000000" w:themeColor="text1"/>
                <w:sz w:val="20"/>
                <w:szCs w:val="20"/>
                <w:lang w:val="en-PH"/>
              </w:rPr>
              <w:t>53.90%</w:t>
            </w:r>
          </w:p>
        </w:tc>
        <w:tc>
          <w:tcPr>
            <w:tcW w:w="1282" w:type="dxa"/>
            <w:shd w:val="clear" w:color="auto" w:fill="auto"/>
            <w:noWrap/>
            <w:hideMark/>
          </w:tcPr>
          <w:p w14:paraId="0D79900A" w14:textId="77777777" w:rsidR="00D374E9" w:rsidRPr="009E35ED" w:rsidRDefault="00D374E9" w:rsidP="005E4F3F">
            <w:pPr>
              <w:ind w:left="0" w:right="-90"/>
              <w:jc w:val="right"/>
              <w:rPr>
                <w:rFonts w:ascii="Arial Narrow" w:hAnsi="Arial Narrow" w:cs="Arial"/>
                <w:b/>
                <w:bCs/>
                <w:color w:val="000000" w:themeColor="text1"/>
                <w:sz w:val="20"/>
                <w:szCs w:val="20"/>
                <w:lang w:val="en-PH"/>
              </w:rPr>
            </w:pPr>
            <w:r w:rsidRPr="009E35ED">
              <w:rPr>
                <w:rFonts w:ascii="Arial Narrow" w:hAnsi="Arial Narrow" w:cs="Arial"/>
                <w:b/>
                <w:bCs/>
                <w:color w:val="000000" w:themeColor="text1"/>
                <w:sz w:val="20"/>
                <w:szCs w:val="20"/>
                <w:lang w:val="en-PH"/>
              </w:rPr>
              <w:t>53.90%</w:t>
            </w:r>
          </w:p>
        </w:tc>
      </w:tr>
      <w:tr w:rsidR="00997F75" w:rsidRPr="009E35ED" w14:paraId="3925BB0D" w14:textId="77777777" w:rsidTr="00A046FD">
        <w:trPr>
          <w:trHeight w:val="135"/>
        </w:trPr>
        <w:tc>
          <w:tcPr>
            <w:tcW w:w="3060" w:type="dxa"/>
            <w:shd w:val="clear" w:color="auto" w:fill="auto"/>
            <w:noWrap/>
            <w:hideMark/>
          </w:tcPr>
          <w:p w14:paraId="513F7BCE" w14:textId="77777777" w:rsidR="00D374E9" w:rsidRPr="009E35ED" w:rsidRDefault="00D374E9" w:rsidP="005E4F3F">
            <w:pPr>
              <w:ind w:left="0" w:hanging="90"/>
              <w:jc w:val="lef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Agent's Commission</w:t>
            </w:r>
          </w:p>
        </w:tc>
        <w:tc>
          <w:tcPr>
            <w:tcW w:w="1433" w:type="dxa"/>
            <w:shd w:val="clear" w:color="auto" w:fill="auto"/>
            <w:noWrap/>
            <w:hideMark/>
          </w:tcPr>
          <w:p w14:paraId="0B7D6F9F" w14:textId="6414FA2D" w:rsidR="00D374E9" w:rsidRPr="009E35ED" w:rsidRDefault="00D374E9" w:rsidP="007E12AD">
            <w:pPr>
              <w:ind w:left="0"/>
              <w:jc w:val="righ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5.</w:t>
            </w:r>
            <w:r w:rsidR="007E12AD" w:rsidRPr="009E35ED">
              <w:rPr>
                <w:rFonts w:ascii="Arial Narrow" w:hAnsi="Arial Narrow" w:cs="Arial"/>
                <w:color w:val="000000" w:themeColor="text1"/>
                <w:sz w:val="20"/>
                <w:szCs w:val="20"/>
                <w:lang w:val="en-PH"/>
              </w:rPr>
              <w:t>5</w:t>
            </w:r>
            <w:r w:rsidRPr="009E35ED">
              <w:rPr>
                <w:rFonts w:ascii="Arial Narrow" w:hAnsi="Arial Narrow" w:cs="Arial"/>
                <w:color w:val="000000" w:themeColor="text1"/>
                <w:sz w:val="20"/>
                <w:szCs w:val="20"/>
                <w:lang w:val="en-PH"/>
              </w:rPr>
              <w:t>0%</w:t>
            </w:r>
          </w:p>
        </w:tc>
        <w:tc>
          <w:tcPr>
            <w:tcW w:w="1433" w:type="dxa"/>
            <w:shd w:val="clear" w:color="auto" w:fill="auto"/>
            <w:noWrap/>
            <w:hideMark/>
          </w:tcPr>
          <w:p w14:paraId="662FDBCF" w14:textId="53CBB20E" w:rsidR="00D374E9" w:rsidRPr="009E35ED" w:rsidRDefault="00D374E9" w:rsidP="007E12AD">
            <w:pPr>
              <w:ind w:left="0"/>
              <w:jc w:val="righ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5.</w:t>
            </w:r>
            <w:r w:rsidR="007E12AD" w:rsidRPr="009E35ED">
              <w:rPr>
                <w:rFonts w:ascii="Arial Narrow" w:hAnsi="Arial Narrow" w:cs="Arial"/>
                <w:color w:val="000000" w:themeColor="text1"/>
                <w:sz w:val="20"/>
                <w:szCs w:val="20"/>
                <w:lang w:val="en-PH"/>
              </w:rPr>
              <w:t>5</w:t>
            </w:r>
            <w:r w:rsidRPr="009E35ED">
              <w:rPr>
                <w:rFonts w:ascii="Arial Narrow" w:hAnsi="Arial Narrow" w:cs="Arial"/>
                <w:color w:val="000000" w:themeColor="text1"/>
                <w:sz w:val="20"/>
                <w:szCs w:val="20"/>
                <w:lang w:val="en-PH"/>
              </w:rPr>
              <w:t>0%</w:t>
            </w:r>
          </w:p>
        </w:tc>
        <w:tc>
          <w:tcPr>
            <w:tcW w:w="1432" w:type="dxa"/>
            <w:shd w:val="clear" w:color="auto" w:fill="auto"/>
            <w:noWrap/>
            <w:hideMark/>
          </w:tcPr>
          <w:p w14:paraId="5510851D" w14:textId="51CEDE16" w:rsidR="00D374E9" w:rsidRPr="009E35ED" w:rsidRDefault="00D374E9" w:rsidP="007E12AD">
            <w:pPr>
              <w:ind w:left="0"/>
              <w:jc w:val="righ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5.</w:t>
            </w:r>
            <w:r w:rsidR="007E12AD" w:rsidRPr="009E35ED">
              <w:rPr>
                <w:rFonts w:ascii="Arial Narrow" w:hAnsi="Arial Narrow" w:cs="Arial"/>
                <w:color w:val="000000" w:themeColor="text1"/>
                <w:sz w:val="20"/>
                <w:szCs w:val="20"/>
                <w:lang w:val="en-PH"/>
              </w:rPr>
              <w:t>5</w:t>
            </w:r>
            <w:r w:rsidRPr="009E35ED">
              <w:rPr>
                <w:rFonts w:ascii="Arial Narrow" w:hAnsi="Arial Narrow" w:cs="Arial"/>
                <w:color w:val="000000" w:themeColor="text1"/>
                <w:sz w:val="20"/>
                <w:szCs w:val="20"/>
                <w:lang w:val="en-PH"/>
              </w:rPr>
              <w:t>0%</w:t>
            </w:r>
          </w:p>
        </w:tc>
        <w:tc>
          <w:tcPr>
            <w:tcW w:w="1282" w:type="dxa"/>
            <w:shd w:val="clear" w:color="auto" w:fill="auto"/>
            <w:noWrap/>
            <w:hideMark/>
          </w:tcPr>
          <w:p w14:paraId="75CF9F78" w14:textId="6C7DAB63" w:rsidR="00D374E9" w:rsidRPr="009E35ED" w:rsidRDefault="00D374E9" w:rsidP="007E12AD">
            <w:pPr>
              <w:ind w:left="0" w:right="-90"/>
              <w:jc w:val="righ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5.</w:t>
            </w:r>
            <w:r w:rsidR="007E12AD" w:rsidRPr="009E35ED">
              <w:rPr>
                <w:rFonts w:ascii="Arial Narrow" w:hAnsi="Arial Narrow" w:cs="Arial"/>
                <w:color w:val="000000" w:themeColor="text1"/>
                <w:sz w:val="20"/>
                <w:szCs w:val="20"/>
                <w:lang w:val="en-PH"/>
              </w:rPr>
              <w:t>5</w:t>
            </w:r>
            <w:r w:rsidRPr="009E35ED">
              <w:rPr>
                <w:rFonts w:ascii="Arial Narrow" w:hAnsi="Arial Narrow" w:cs="Arial"/>
                <w:color w:val="000000" w:themeColor="text1"/>
                <w:sz w:val="20"/>
                <w:szCs w:val="20"/>
                <w:lang w:val="en-PH"/>
              </w:rPr>
              <w:t>0%</w:t>
            </w:r>
          </w:p>
        </w:tc>
      </w:tr>
      <w:tr w:rsidR="00997F75" w:rsidRPr="009E35ED" w14:paraId="59DD255A" w14:textId="77777777" w:rsidTr="00A046FD">
        <w:trPr>
          <w:trHeight w:val="135"/>
        </w:trPr>
        <w:tc>
          <w:tcPr>
            <w:tcW w:w="3060" w:type="dxa"/>
            <w:shd w:val="clear" w:color="auto" w:fill="auto"/>
            <w:noWrap/>
            <w:hideMark/>
          </w:tcPr>
          <w:p w14:paraId="7785B052" w14:textId="77777777" w:rsidR="00D374E9" w:rsidRPr="009E35ED" w:rsidRDefault="00D374E9" w:rsidP="005E4F3F">
            <w:pPr>
              <w:ind w:left="0" w:hanging="90"/>
              <w:jc w:val="lef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Direct Cost – ELA</w:t>
            </w:r>
          </w:p>
        </w:tc>
        <w:tc>
          <w:tcPr>
            <w:tcW w:w="1433" w:type="dxa"/>
            <w:shd w:val="clear" w:color="auto" w:fill="auto"/>
            <w:noWrap/>
            <w:hideMark/>
          </w:tcPr>
          <w:p w14:paraId="5ECA2862" w14:textId="77777777" w:rsidR="00D374E9" w:rsidRPr="009E35ED" w:rsidRDefault="00D374E9" w:rsidP="005E4F3F">
            <w:pPr>
              <w:ind w:left="0"/>
              <w:jc w:val="righ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3.69%</w:t>
            </w:r>
          </w:p>
        </w:tc>
        <w:tc>
          <w:tcPr>
            <w:tcW w:w="1433" w:type="dxa"/>
            <w:shd w:val="clear" w:color="auto" w:fill="auto"/>
            <w:noWrap/>
            <w:hideMark/>
          </w:tcPr>
          <w:p w14:paraId="0C7C1557" w14:textId="77777777" w:rsidR="00D374E9" w:rsidRPr="009E35ED" w:rsidRDefault="00D374E9" w:rsidP="005E4F3F">
            <w:pPr>
              <w:ind w:left="0"/>
              <w:jc w:val="righ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3.69%</w:t>
            </w:r>
          </w:p>
        </w:tc>
        <w:tc>
          <w:tcPr>
            <w:tcW w:w="1432" w:type="dxa"/>
            <w:shd w:val="clear" w:color="auto" w:fill="auto"/>
            <w:noWrap/>
            <w:hideMark/>
          </w:tcPr>
          <w:p w14:paraId="0F4B6700" w14:textId="77777777" w:rsidR="00D374E9" w:rsidRPr="009E35ED" w:rsidRDefault="00D374E9" w:rsidP="005E4F3F">
            <w:pPr>
              <w:ind w:left="0"/>
              <w:jc w:val="righ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3.69%</w:t>
            </w:r>
          </w:p>
        </w:tc>
        <w:tc>
          <w:tcPr>
            <w:tcW w:w="1282" w:type="dxa"/>
            <w:shd w:val="clear" w:color="auto" w:fill="auto"/>
            <w:noWrap/>
            <w:hideMark/>
          </w:tcPr>
          <w:p w14:paraId="5ABB2DE9" w14:textId="77777777" w:rsidR="00D374E9" w:rsidRPr="009E35ED" w:rsidRDefault="00D374E9" w:rsidP="005E4F3F">
            <w:pPr>
              <w:ind w:left="0" w:right="-90"/>
              <w:jc w:val="righ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3.69%</w:t>
            </w:r>
          </w:p>
        </w:tc>
      </w:tr>
      <w:tr w:rsidR="00997F75" w:rsidRPr="009E35ED" w14:paraId="6245664E" w14:textId="77777777" w:rsidTr="00A046FD">
        <w:trPr>
          <w:trHeight w:val="144"/>
        </w:trPr>
        <w:tc>
          <w:tcPr>
            <w:tcW w:w="3060" w:type="dxa"/>
            <w:shd w:val="clear" w:color="auto" w:fill="auto"/>
            <w:noWrap/>
            <w:hideMark/>
          </w:tcPr>
          <w:p w14:paraId="589AC981" w14:textId="77777777" w:rsidR="00D374E9" w:rsidRPr="009E35ED" w:rsidRDefault="00D374E9" w:rsidP="005E4F3F">
            <w:pPr>
              <w:ind w:left="0" w:hanging="90"/>
              <w:jc w:val="lef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Prize Margin/Reserved Fund</w:t>
            </w:r>
          </w:p>
        </w:tc>
        <w:tc>
          <w:tcPr>
            <w:tcW w:w="1433" w:type="dxa"/>
            <w:shd w:val="clear" w:color="auto" w:fill="auto"/>
            <w:noWrap/>
            <w:hideMark/>
          </w:tcPr>
          <w:p w14:paraId="4531302E" w14:textId="13183360" w:rsidR="00D374E9" w:rsidRPr="009E35ED" w:rsidRDefault="00631E1D" w:rsidP="00631E1D">
            <w:pPr>
              <w:ind w:left="0"/>
              <w:jc w:val="righ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8</w:t>
            </w:r>
            <w:r w:rsidR="00D374E9" w:rsidRPr="009E35ED">
              <w:rPr>
                <w:rFonts w:ascii="Arial Narrow" w:hAnsi="Arial Narrow" w:cs="Arial"/>
                <w:color w:val="000000" w:themeColor="text1"/>
                <w:sz w:val="20"/>
                <w:szCs w:val="20"/>
                <w:lang w:val="en-PH"/>
              </w:rPr>
              <w:t>.</w:t>
            </w:r>
            <w:r w:rsidRPr="009E35ED">
              <w:rPr>
                <w:rFonts w:ascii="Arial Narrow" w:hAnsi="Arial Narrow" w:cs="Arial"/>
                <w:color w:val="000000" w:themeColor="text1"/>
                <w:sz w:val="20"/>
                <w:szCs w:val="20"/>
                <w:lang w:val="en-PH"/>
              </w:rPr>
              <w:t>7</w:t>
            </w:r>
            <w:r w:rsidR="00D374E9" w:rsidRPr="009E35ED">
              <w:rPr>
                <w:rFonts w:ascii="Arial Narrow" w:hAnsi="Arial Narrow" w:cs="Arial"/>
                <w:color w:val="000000" w:themeColor="text1"/>
                <w:sz w:val="20"/>
                <w:szCs w:val="20"/>
                <w:lang w:val="en-PH"/>
              </w:rPr>
              <w:t>1%</w:t>
            </w:r>
          </w:p>
        </w:tc>
        <w:tc>
          <w:tcPr>
            <w:tcW w:w="1433" w:type="dxa"/>
            <w:shd w:val="clear" w:color="auto" w:fill="auto"/>
            <w:noWrap/>
            <w:hideMark/>
          </w:tcPr>
          <w:p w14:paraId="0B123825" w14:textId="0587330F" w:rsidR="00D374E9" w:rsidRPr="009E35ED" w:rsidRDefault="00631E1D" w:rsidP="005E4F3F">
            <w:pPr>
              <w:ind w:left="0"/>
              <w:jc w:val="righ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8.71</w:t>
            </w:r>
            <w:r w:rsidR="00D374E9" w:rsidRPr="009E35ED">
              <w:rPr>
                <w:rFonts w:ascii="Arial Narrow" w:hAnsi="Arial Narrow" w:cs="Arial"/>
                <w:color w:val="000000" w:themeColor="text1"/>
                <w:sz w:val="20"/>
                <w:szCs w:val="20"/>
                <w:lang w:val="en-PH"/>
              </w:rPr>
              <w:t>%</w:t>
            </w:r>
          </w:p>
        </w:tc>
        <w:tc>
          <w:tcPr>
            <w:tcW w:w="1432" w:type="dxa"/>
            <w:shd w:val="clear" w:color="auto" w:fill="auto"/>
            <w:noWrap/>
            <w:hideMark/>
          </w:tcPr>
          <w:p w14:paraId="55009857" w14:textId="65162E05" w:rsidR="00D374E9" w:rsidRPr="009E35ED" w:rsidRDefault="00631E1D" w:rsidP="005E4F3F">
            <w:pPr>
              <w:ind w:left="0"/>
              <w:jc w:val="righ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8.71</w:t>
            </w:r>
            <w:r w:rsidR="00D374E9" w:rsidRPr="009E35ED">
              <w:rPr>
                <w:rFonts w:ascii="Arial Narrow" w:hAnsi="Arial Narrow" w:cs="Arial"/>
                <w:color w:val="000000" w:themeColor="text1"/>
                <w:sz w:val="20"/>
                <w:szCs w:val="20"/>
                <w:lang w:val="en-PH"/>
              </w:rPr>
              <w:t>%</w:t>
            </w:r>
          </w:p>
        </w:tc>
        <w:tc>
          <w:tcPr>
            <w:tcW w:w="1282" w:type="dxa"/>
            <w:shd w:val="clear" w:color="auto" w:fill="auto"/>
            <w:noWrap/>
            <w:hideMark/>
          </w:tcPr>
          <w:p w14:paraId="12E12497" w14:textId="4E65E28F" w:rsidR="00D374E9" w:rsidRPr="009E35ED" w:rsidRDefault="00631E1D" w:rsidP="00631E1D">
            <w:pPr>
              <w:ind w:left="0" w:right="-90"/>
              <w:jc w:val="righ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8</w:t>
            </w:r>
            <w:r w:rsidR="00D374E9" w:rsidRPr="009E35ED">
              <w:rPr>
                <w:rFonts w:ascii="Arial Narrow" w:hAnsi="Arial Narrow" w:cs="Arial"/>
                <w:color w:val="000000" w:themeColor="text1"/>
                <w:sz w:val="20"/>
                <w:szCs w:val="20"/>
                <w:lang w:val="en-PH"/>
              </w:rPr>
              <w:t>.</w:t>
            </w:r>
            <w:r w:rsidRPr="009E35ED">
              <w:rPr>
                <w:rFonts w:ascii="Arial Narrow" w:hAnsi="Arial Narrow" w:cs="Arial"/>
                <w:color w:val="000000" w:themeColor="text1"/>
                <w:sz w:val="20"/>
                <w:szCs w:val="20"/>
                <w:lang w:val="en-PH"/>
              </w:rPr>
              <w:t>7</w:t>
            </w:r>
            <w:r w:rsidR="00D374E9" w:rsidRPr="009E35ED">
              <w:rPr>
                <w:rFonts w:ascii="Arial Narrow" w:hAnsi="Arial Narrow" w:cs="Arial"/>
                <w:color w:val="000000" w:themeColor="text1"/>
                <w:sz w:val="20"/>
                <w:szCs w:val="20"/>
                <w:lang w:val="en-PH"/>
              </w:rPr>
              <w:t>1%</w:t>
            </w:r>
          </w:p>
        </w:tc>
      </w:tr>
      <w:tr w:rsidR="00997F75" w:rsidRPr="009E35ED" w14:paraId="1E580461" w14:textId="77777777" w:rsidTr="00A046FD">
        <w:trPr>
          <w:trHeight w:val="135"/>
        </w:trPr>
        <w:tc>
          <w:tcPr>
            <w:tcW w:w="3060" w:type="dxa"/>
            <w:shd w:val="clear" w:color="auto" w:fill="auto"/>
            <w:noWrap/>
            <w:hideMark/>
          </w:tcPr>
          <w:p w14:paraId="1B72BA0C" w14:textId="77777777" w:rsidR="00D374E9" w:rsidRPr="009E35ED" w:rsidRDefault="00D374E9" w:rsidP="005E4F3F">
            <w:pPr>
              <w:ind w:left="0" w:hanging="90"/>
              <w:jc w:val="lef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Jackpot  Prize Pool</w:t>
            </w:r>
          </w:p>
        </w:tc>
        <w:tc>
          <w:tcPr>
            <w:tcW w:w="1433" w:type="dxa"/>
            <w:shd w:val="clear" w:color="auto" w:fill="auto"/>
            <w:noWrap/>
            <w:hideMark/>
          </w:tcPr>
          <w:p w14:paraId="1B580D91" w14:textId="77777777" w:rsidR="00D374E9" w:rsidRPr="009E35ED" w:rsidRDefault="00D374E9" w:rsidP="005E4F3F">
            <w:pPr>
              <w:ind w:left="0"/>
              <w:jc w:val="righ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0.00%</w:t>
            </w:r>
          </w:p>
        </w:tc>
        <w:tc>
          <w:tcPr>
            <w:tcW w:w="1433" w:type="dxa"/>
            <w:shd w:val="clear" w:color="auto" w:fill="auto"/>
            <w:noWrap/>
            <w:hideMark/>
          </w:tcPr>
          <w:p w14:paraId="1C0D37CA" w14:textId="77777777" w:rsidR="00D374E9" w:rsidRPr="009E35ED" w:rsidRDefault="00D374E9" w:rsidP="005E4F3F">
            <w:pPr>
              <w:ind w:left="0"/>
              <w:jc w:val="righ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0.00%</w:t>
            </w:r>
          </w:p>
        </w:tc>
        <w:tc>
          <w:tcPr>
            <w:tcW w:w="1432" w:type="dxa"/>
            <w:shd w:val="clear" w:color="auto" w:fill="auto"/>
            <w:noWrap/>
            <w:hideMark/>
          </w:tcPr>
          <w:p w14:paraId="4221F821" w14:textId="77777777" w:rsidR="00D374E9" w:rsidRPr="009E35ED" w:rsidRDefault="00D374E9" w:rsidP="005E4F3F">
            <w:pPr>
              <w:ind w:left="0"/>
              <w:jc w:val="righ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0.00%</w:t>
            </w:r>
          </w:p>
        </w:tc>
        <w:tc>
          <w:tcPr>
            <w:tcW w:w="1282" w:type="dxa"/>
            <w:shd w:val="clear" w:color="auto" w:fill="auto"/>
            <w:noWrap/>
            <w:hideMark/>
          </w:tcPr>
          <w:p w14:paraId="2C38E939" w14:textId="77777777" w:rsidR="00D374E9" w:rsidRPr="009E35ED" w:rsidRDefault="00D374E9" w:rsidP="005E4F3F">
            <w:pPr>
              <w:ind w:left="0" w:right="-90"/>
              <w:jc w:val="righ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30.00%</w:t>
            </w:r>
          </w:p>
        </w:tc>
      </w:tr>
      <w:tr w:rsidR="00997F75" w:rsidRPr="009E35ED" w14:paraId="0351EC44" w14:textId="77777777" w:rsidTr="00A046FD">
        <w:trPr>
          <w:trHeight w:val="83"/>
        </w:trPr>
        <w:tc>
          <w:tcPr>
            <w:tcW w:w="3060" w:type="dxa"/>
            <w:shd w:val="clear" w:color="auto" w:fill="auto"/>
            <w:noWrap/>
            <w:hideMark/>
          </w:tcPr>
          <w:p w14:paraId="31ACBA75" w14:textId="77777777" w:rsidR="00D374E9" w:rsidRPr="009E35ED" w:rsidRDefault="00D374E9" w:rsidP="005E4F3F">
            <w:pPr>
              <w:ind w:left="0" w:hanging="90"/>
              <w:jc w:val="lef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Lower Prizes</w:t>
            </w:r>
          </w:p>
        </w:tc>
        <w:tc>
          <w:tcPr>
            <w:tcW w:w="1433" w:type="dxa"/>
            <w:shd w:val="clear" w:color="auto" w:fill="auto"/>
            <w:noWrap/>
            <w:hideMark/>
          </w:tcPr>
          <w:p w14:paraId="4A79DD57" w14:textId="77777777" w:rsidR="00D374E9" w:rsidRPr="009E35ED" w:rsidRDefault="00D374E9" w:rsidP="005E4F3F">
            <w:pPr>
              <w:ind w:left="0"/>
              <w:jc w:val="righ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36.00%</w:t>
            </w:r>
          </w:p>
        </w:tc>
        <w:tc>
          <w:tcPr>
            <w:tcW w:w="1433" w:type="dxa"/>
            <w:shd w:val="clear" w:color="auto" w:fill="auto"/>
            <w:noWrap/>
            <w:hideMark/>
          </w:tcPr>
          <w:p w14:paraId="402D2D58" w14:textId="77777777" w:rsidR="00D374E9" w:rsidRPr="009E35ED" w:rsidRDefault="00D374E9" w:rsidP="005E4F3F">
            <w:pPr>
              <w:ind w:left="0"/>
              <w:jc w:val="righ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36.00%</w:t>
            </w:r>
          </w:p>
        </w:tc>
        <w:tc>
          <w:tcPr>
            <w:tcW w:w="1432" w:type="dxa"/>
            <w:shd w:val="clear" w:color="auto" w:fill="auto"/>
            <w:noWrap/>
            <w:hideMark/>
          </w:tcPr>
          <w:p w14:paraId="20316189" w14:textId="77777777" w:rsidR="00D374E9" w:rsidRPr="009E35ED" w:rsidRDefault="00D374E9" w:rsidP="005E4F3F">
            <w:pPr>
              <w:ind w:left="0"/>
              <w:jc w:val="righ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36.00%</w:t>
            </w:r>
          </w:p>
        </w:tc>
        <w:tc>
          <w:tcPr>
            <w:tcW w:w="1282" w:type="dxa"/>
            <w:shd w:val="clear" w:color="auto" w:fill="auto"/>
            <w:noWrap/>
            <w:hideMark/>
          </w:tcPr>
          <w:p w14:paraId="21779312" w14:textId="77777777" w:rsidR="00D374E9" w:rsidRPr="009E35ED" w:rsidRDefault="00D374E9" w:rsidP="005E4F3F">
            <w:pPr>
              <w:ind w:left="0" w:right="-90"/>
              <w:jc w:val="righ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6.00%</w:t>
            </w:r>
          </w:p>
        </w:tc>
      </w:tr>
      <w:tr w:rsidR="00997F75" w:rsidRPr="009E35ED" w14:paraId="1F1FF4F6" w14:textId="77777777" w:rsidTr="00A046FD">
        <w:trPr>
          <w:trHeight w:val="252"/>
        </w:trPr>
        <w:tc>
          <w:tcPr>
            <w:tcW w:w="3060" w:type="dxa"/>
            <w:shd w:val="clear" w:color="auto" w:fill="auto"/>
            <w:noWrap/>
            <w:hideMark/>
          </w:tcPr>
          <w:p w14:paraId="78E18E31" w14:textId="77777777" w:rsidR="00D374E9" w:rsidRPr="009E35ED" w:rsidRDefault="00D374E9" w:rsidP="005E4F3F">
            <w:pPr>
              <w:ind w:left="0" w:hanging="90"/>
              <w:jc w:val="left"/>
              <w:rPr>
                <w:rFonts w:ascii="Arial Narrow" w:hAnsi="Arial Narrow" w:cs="Arial"/>
                <w:color w:val="000000" w:themeColor="text1"/>
                <w:sz w:val="20"/>
                <w:szCs w:val="20"/>
                <w:lang w:val="en-PH"/>
              </w:rPr>
            </w:pPr>
          </w:p>
        </w:tc>
        <w:tc>
          <w:tcPr>
            <w:tcW w:w="1433" w:type="dxa"/>
            <w:shd w:val="clear" w:color="auto" w:fill="auto"/>
            <w:noWrap/>
            <w:hideMark/>
          </w:tcPr>
          <w:p w14:paraId="0018F56D" w14:textId="77777777" w:rsidR="00D374E9" w:rsidRPr="009E35ED" w:rsidRDefault="00D374E9" w:rsidP="005E4F3F">
            <w:pPr>
              <w:ind w:left="0"/>
              <w:jc w:val="right"/>
              <w:rPr>
                <w:rFonts w:ascii="Arial Narrow" w:hAnsi="Arial Narrow" w:cs="Arial"/>
                <w:color w:val="000000" w:themeColor="text1"/>
                <w:sz w:val="20"/>
                <w:szCs w:val="20"/>
                <w:lang w:val="en-PH"/>
              </w:rPr>
            </w:pPr>
          </w:p>
        </w:tc>
        <w:tc>
          <w:tcPr>
            <w:tcW w:w="1433" w:type="dxa"/>
            <w:shd w:val="clear" w:color="auto" w:fill="auto"/>
            <w:noWrap/>
            <w:hideMark/>
          </w:tcPr>
          <w:p w14:paraId="588C184F" w14:textId="77777777" w:rsidR="00D374E9" w:rsidRPr="009E35ED" w:rsidRDefault="00D374E9" w:rsidP="005E4F3F">
            <w:pPr>
              <w:ind w:left="0"/>
              <w:jc w:val="right"/>
              <w:rPr>
                <w:rFonts w:ascii="Arial Narrow" w:hAnsi="Arial Narrow" w:cs="Arial"/>
                <w:color w:val="000000" w:themeColor="text1"/>
                <w:sz w:val="20"/>
                <w:szCs w:val="20"/>
                <w:lang w:val="en-PH"/>
              </w:rPr>
            </w:pPr>
          </w:p>
        </w:tc>
        <w:tc>
          <w:tcPr>
            <w:tcW w:w="1432" w:type="dxa"/>
            <w:shd w:val="clear" w:color="auto" w:fill="auto"/>
            <w:noWrap/>
            <w:hideMark/>
          </w:tcPr>
          <w:p w14:paraId="118D7402" w14:textId="77777777" w:rsidR="00D374E9" w:rsidRPr="009E35ED" w:rsidRDefault="00D374E9" w:rsidP="005E4F3F">
            <w:pPr>
              <w:ind w:left="0"/>
              <w:jc w:val="right"/>
              <w:rPr>
                <w:rFonts w:ascii="Arial Narrow" w:hAnsi="Arial Narrow" w:cs="Arial"/>
                <w:color w:val="000000" w:themeColor="text1"/>
                <w:sz w:val="20"/>
                <w:szCs w:val="20"/>
                <w:lang w:val="en-PH"/>
              </w:rPr>
            </w:pPr>
          </w:p>
        </w:tc>
        <w:tc>
          <w:tcPr>
            <w:tcW w:w="1282" w:type="dxa"/>
            <w:shd w:val="clear" w:color="auto" w:fill="auto"/>
            <w:noWrap/>
            <w:hideMark/>
          </w:tcPr>
          <w:p w14:paraId="7AA821A7" w14:textId="77777777" w:rsidR="00D374E9" w:rsidRPr="009E35ED" w:rsidRDefault="00D374E9" w:rsidP="005E4F3F">
            <w:pPr>
              <w:ind w:left="0" w:right="-90"/>
              <w:jc w:val="right"/>
              <w:rPr>
                <w:rFonts w:ascii="Arial Narrow" w:hAnsi="Arial Narrow" w:cs="Arial"/>
                <w:color w:val="000000" w:themeColor="text1"/>
                <w:sz w:val="20"/>
                <w:szCs w:val="20"/>
                <w:lang w:val="en-PH"/>
              </w:rPr>
            </w:pPr>
          </w:p>
        </w:tc>
      </w:tr>
      <w:tr w:rsidR="00997F75" w:rsidRPr="009E35ED" w14:paraId="3118A42E" w14:textId="77777777" w:rsidTr="00A046FD">
        <w:trPr>
          <w:trHeight w:val="83"/>
        </w:trPr>
        <w:tc>
          <w:tcPr>
            <w:tcW w:w="3060" w:type="dxa"/>
            <w:shd w:val="clear" w:color="auto" w:fill="auto"/>
            <w:noWrap/>
            <w:hideMark/>
          </w:tcPr>
          <w:p w14:paraId="28054D6C" w14:textId="77777777" w:rsidR="00D374E9" w:rsidRPr="009E35ED" w:rsidRDefault="00D374E9" w:rsidP="005E4F3F">
            <w:pPr>
              <w:ind w:left="0" w:hanging="90"/>
              <w:rPr>
                <w:rFonts w:ascii="Arial Narrow" w:hAnsi="Arial Narrow" w:cs="Arial"/>
                <w:b/>
                <w:bCs/>
                <w:color w:val="000000" w:themeColor="text1"/>
                <w:sz w:val="20"/>
                <w:szCs w:val="20"/>
                <w:lang w:val="en-PH"/>
              </w:rPr>
            </w:pPr>
            <w:r w:rsidRPr="009E35ED">
              <w:rPr>
                <w:rFonts w:ascii="Arial Narrow" w:hAnsi="Arial Narrow" w:cs="Arial"/>
                <w:b/>
                <w:bCs/>
                <w:color w:val="000000" w:themeColor="text1"/>
                <w:sz w:val="20"/>
                <w:szCs w:val="20"/>
                <w:lang w:val="en-PH"/>
              </w:rPr>
              <w:t xml:space="preserve">First Prize </w:t>
            </w:r>
          </w:p>
        </w:tc>
        <w:tc>
          <w:tcPr>
            <w:tcW w:w="1433" w:type="dxa"/>
            <w:shd w:val="clear" w:color="auto" w:fill="auto"/>
            <w:noWrap/>
            <w:hideMark/>
          </w:tcPr>
          <w:p w14:paraId="6E77E9B8" w14:textId="77777777" w:rsidR="00D374E9" w:rsidRPr="009E35ED" w:rsidRDefault="00D374E9" w:rsidP="005E4F3F">
            <w:pPr>
              <w:ind w:left="0"/>
              <w:jc w:val="right"/>
              <w:rPr>
                <w:rFonts w:ascii="Arial Narrow" w:hAnsi="Arial Narrow" w:cs="Arial"/>
                <w:b/>
                <w:bCs/>
                <w:color w:val="000000" w:themeColor="text1"/>
                <w:sz w:val="20"/>
                <w:szCs w:val="20"/>
                <w:lang w:val="en-PH"/>
              </w:rPr>
            </w:pPr>
            <w:r w:rsidRPr="009E35ED">
              <w:rPr>
                <w:rFonts w:ascii="Arial Narrow" w:hAnsi="Arial Narrow" w:cs="Arial"/>
                <w:b/>
                <w:bCs/>
                <w:color w:val="000000" w:themeColor="text1"/>
                <w:sz w:val="20"/>
                <w:szCs w:val="20"/>
                <w:lang w:val="en-PH"/>
              </w:rPr>
              <w:t xml:space="preserve"> 30% up to </w:t>
            </w:r>
          </w:p>
        </w:tc>
        <w:tc>
          <w:tcPr>
            <w:tcW w:w="1433" w:type="dxa"/>
            <w:shd w:val="clear" w:color="auto" w:fill="auto"/>
            <w:noWrap/>
            <w:hideMark/>
          </w:tcPr>
          <w:p w14:paraId="094E2E9C" w14:textId="77777777" w:rsidR="00D374E9" w:rsidRPr="009E35ED" w:rsidRDefault="00D374E9" w:rsidP="005E4F3F">
            <w:pPr>
              <w:ind w:left="0"/>
              <w:jc w:val="right"/>
              <w:rPr>
                <w:rFonts w:ascii="Arial Narrow" w:hAnsi="Arial Narrow" w:cs="Arial"/>
                <w:b/>
                <w:bCs/>
                <w:color w:val="000000" w:themeColor="text1"/>
                <w:sz w:val="20"/>
                <w:szCs w:val="20"/>
                <w:lang w:val="en-PH"/>
              </w:rPr>
            </w:pPr>
            <w:r w:rsidRPr="009E35ED">
              <w:rPr>
                <w:rFonts w:ascii="Arial Narrow" w:hAnsi="Arial Narrow" w:cs="Arial"/>
                <w:b/>
                <w:bCs/>
                <w:color w:val="000000" w:themeColor="text1"/>
                <w:sz w:val="20"/>
                <w:szCs w:val="20"/>
                <w:lang w:val="en-PH"/>
              </w:rPr>
              <w:t xml:space="preserve"> 30% up to </w:t>
            </w:r>
          </w:p>
        </w:tc>
        <w:tc>
          <w:tcPr>
            <w:tcW w:w="1432" w:type="dxa"/>
            <w:shd w:val="clear" w:color="auto" w:fill="auto"/>
            <w:noWrap/>
            <w:hideMark/>
          </w:tcPr>
          <w:p w14:paraId="175EC667" w14:textId="77777777" w:rsidR="00D374E9" w:rsidRPr="009E35ED" w:rsidRDefault="00D374E9" w:rsidP="005E4F3F">
            <w:pPr>
              <w:ind w:left="0"/>
              <w:jc w:val="right"/>
              <w:rPr>
                <w:rFonts w:ascii="Arial Narrow" w:hAnsi="Arial Narrow" w:cs="Arial"/>
                <w:b/>
                <w:bCs/>
                <w:color w:val="000000" w:themeColor="text1"/>
                <w:sz w:val="20"/>
                <w:szCs w:val="20"/>
                <w:lang w:val="en-PH"/>
              </w:rPr>
            </w:pPr>
            <w:r w:rsidRPr="009E35ED">
              <w:rPr>
                <w:rFonts w:ascii="Arial Narrow" w:hAnsi="Arial Narrow" w:cs="Arial"/>
                <w:b/>
                <w:bCs/>
                <w:color w:val="000000" w:themeColor="text1"/>
                <w:sz w:val="20"/>
                <w:szCs w:val="20"/>
                <w:lang w:val="en-PH"/>
              </w:rPr>
              <w:t xml:space="preserve"> 30% up to </w:t>
            </w:r>
          </w:p>
        </w:tc>
        <w:tc>
          <w:tcPr>
            <w:tcW w:w="1282" w:type="dxa"/>
            <w:shd w:val="clear" w:color="auto" w:fill="auto"/>
            <w:noWrap/>
            <w:hideMark/>
          </w:tcPr>
          <w:p w14:paraId="29EE2BF2" w14:textId="77777777" w:rsidR="00D374E9" w:rsidRPr="009E35ED" w:rsidRDefault="00D374E9" w:rsidP="005E4F3F">
            <w:pPr>
              <w:ind w:left="0" w:right="-90"/>
              <w:jc w:val="right"/>
              <w:rPr>
                <w:rFonts w:ascii="Arial Narrow" w:hAnsi="Arial Narrow" w:cs="Arial"/>
                <w:b/>
                <w:bCs/>
                <w:color w:val="000000" w:themeColor="text1"/>
                <w:sz w:val="20"/>
                <w:szCs w:val="20"/>
                <w:lang w:val="en-PH"/>
              </w:rPr>
            </w:pPr>
            <w:r w:rsidRPr="009E35ED">
              <w:rPr>
                <w:rFonts w:ascii="Arial Narrow" w:hAnsi="Arial Narrow" w:cs="Arial"/>
                <w:b/>
                <w:bCs/>
                <w:color w:val="000000" w:themeColor="text1"/>
                <w:sz w:val="20"/>
                <w:szCs w:val="20"/>
                <w:lang w:val="en-PH"/>
              </w:rPr>
              <w:t xml:space="preserve"> 30% up to </w:t>
            </w:r>
          </w:p>
        </w:tc>
      </w:tr>
      <w:tr w:rsidR="00997F75" w:rsidRPr="009E35ED" w14:paraId="74EEE41D" w14:textId="77777777" w:rsidTr="00A046FD">
        <w:trPr>
          <w:trHeight w:val="83"/>
        </w:trPr>
        <w:tc>
          <w:tcPr>
            <w:tcW w:w="3060" w:type="dxa"/>
            <w:shd w:val="clear" w:color="auto" w:fill="auto"/>
            <w:noWrap/>
            <w:hideMark/>
          </w:tcPr>
          <w:p w14:paraId="195F3435" w14:textId="77777777" w:rsidR="00D374E9" w:rsidRPr="009E35ED" w:rsidRDefault="00D374E9" w:rsidP="005E4F3F">
            <w:pPr>
              <w:ind w:left="0"/>
              <w:jc w:val="left"/>
              <w:rPr>
                <w:rFonts w:ascii="Arial Narrow" w:hAnsi="Arial Narrow" w:cs="Arial"/>
                <w:b/>
                <w:bCs/>
                <w:color w:val="000000" w:themeColor="text1"/>
                <w:sz w:val="20"/>
                <w:szCs w:val="20"/>
                <w:lang w:val="en-PH"/>
              </w:rPr>
            </w:pPr>
          </w:p>
        </w:tc>
        <w:tc>
          <w:tcPr>
            <w:tcW w:w="1433" w:type="dxa"/>
            <w:shd w:val="clear" w:color="auto" w:fill="auto"/>
            <w:noWrap/>
            <w:hideMark/>
          </w:tcPr>
          <w:p w14:paraId="74629145" w14:textId="77777777" w:rsidR="00D374E9" w:rsidRPr="009E35ED" w:rsidRDefault="00D374E9" w:rsidP="005E4F3F">
            <w:pPr>
              <w:ind w:left="0" w:hanging="126"/>
              <w:jc w:val="right"/>
              <w:rPr>
                <w:rFonts w:ascii="Arial Narrow" w:hAnsi="Arial Narrow" w:cs="Arial"/>
                <w:b/>
                <w:bCs/>
                <w:color w:val="000000" w:themeColor="text1"/>
                <w:sz w:val="20"/>
                <w:szCs w:val="20"/>
                <w:lang w:val="en-PH"/>
              </w:rPr>
            </w:pPr>
            <w:r w:rsidRPr="009E35ED">
              <w:rPr>
                <w:rFonts w:ascii="Arial Narrow" w:hAnsi="Arial Narrow" w:cs="Arial"/>
                <w:b/>
                <w:bCs/>
                <w:color w:val="000000" w:themeColor="text1"/>
                <w:sz w:val="20"/>
                <w:szCs w:val="20"/>
                <w:lang w:val="en-PH"/>
              </w:rPr>
              <w:t xml:space="preserve"> </w:t>
            </w:r>
            <w:r w:rsidRPr="009E35ED">
              <w:rPr>
                <w:rFonts w:ascii="Arial" w:hAnsi="Arial" w:cs="Arial"/>
                <w:b/>
                <w:bCs/>
                <w:color w:val="000000" w:themeColor="text1"/>
                <w:sz w:val="20"/>
                <w:szCs w:val="20"/>
                <w:lang w:val="en-PH"/>
              </w:rPr>
              <w:t>P</w:t>
            </w:r>
            <w:r w:rsidRPr="009E35ED">
              <w:rPr>
                <w:rFonts w:ascii="Arial Narrow" w:hAnsi="Arial Narrow" w:cs="Arial"/>
                <w:b/>
                <w:bCs/>
                <w:color w:val="000000" w:themeColor="text1"/>
                <w:sz w:val="20"/>
                <w:szCs w:val="20"/>
                <w:lang w:val="en-PH"/>
              </w:rPr>
              <w:t xml:space="preserve">   4,000.00 </w:t>
            </w:r>
          </w:p>
        </w:tc>
        <w:tc>
          <w:tcPr>
            <w:tcW w:w="1433" w:type="dxa"/>
            <w:shd w:val="clear" w:color="auto" w:fill="auto"/>
            <w:noWrap/>
            <w:hideMark/>
          </w:tcPr>
          <w:p w14:paraId="046BF0DE" w14:textId="77777777" w:rsidR="00D374E9" w:rsidRPr="009E35ED" w:rsidRDefault="00D374E9" w:rsidP="005E4F3F">
            <w:pPr>
              <w:ind w:left="0" w:hanging="119"/>
              <w:jc w:val="right"/>
              <w:rPr>
                <w:rFonts w:ascii="Arial Narrow" w:hAnsi="Arial Narrow" w:cs="Arial"/>
                <w:b/>
                <w:bCs/>
                <w:color w:val="000000" w:themeColor="text1"/>
                <w:sz w:val="20"/>
                <w:szCs w:val="20"/>
                <w:lang w:val="en-PH"/>
              </w:rPr>
            </w:pPr>
            <w:r w:rsidRPr="009E35ED">
              <w:rPr>
                <w:rFonts w:ascii="Arial Narrow" w:hAnsi="Arial Narrow" w:cs="Arial"/>
                <w:b/>
                <w:bCs/>
                <w:color w:val="000000" w:themeColor="text1"/>
                <w:sz w:val="20"/>
                <w:szCs w:val="20"/>
                <w:lang w:val="en-PH"/>
              </w:rPr>
              <w:t xml:space="preserve"> </w:t>
            </w:r>
            <w:r w:rsidRPr="009E35ED">
              <w:rPr>
                <w:rFonts w:ascii="Arial" w:hAnsi="Arial" w:cs="Arial"/>
                <w:b/>
                <w:bCs/>
                <w:color w:val="000000" w:themeColor="text1"/>
                <w:sz w:val="20"/>
                <w:szCs w:val="20"/>
                <w:lang w:val="en-PH"/>
              </w:rPr>
              <w:t>P</w:t>
            </w:r>
            <w:r w:rsidRPr="009E35ED">
              <w:rPr>
                <w:rFonts w:ascii="Arial Narrow" w:hAnsi="Arial Narrow" w:cs="Arial"/>
                <w:b/>
                <w:bCs/>
                <w:color w:val="000000" w:themeColor="text1"/>
                <w:sz w:val="20"/>
                <w:szCs w:val="20"/>
                <w:lang w:val="en-PH"/>
              </w:rPr>
              <w:t xml:space="preserve">    4,500.00 </w:t>
            </w:r>
          </w:p>
        </w:tc>
        <w:tc>
          <w:tcPr>
            <w:tcW w:w="1432" w:type="dxa"/>
            <w:shd w:val="clear" w:color="auto" w:fill="auto"/>
            <w:noWrap/>
            <w:hideMark/>
          </w:tcPr>
          <w:p w14:paraId="3C041E3C" w14:textId="77777777" w:rsidR="00D374E9" w:rsidRPr="009E35ED" w:rsidRDefault="00D374E9" w:rsidP="005E4F3F">
            <w:pPr>
              <w:ind w:left="0" w:hanging="112"/>
              <w:jc w:val="right"/>
              <w:rPr>
                <w:rFonts w:ascii="Arial Narrow" w:hAnsi="Arial Narrow" w:cs="Arial"/>
                <w:b/>
                <w:bCs/>
                <w:color w:val="000000" w:themeColor="text1"/>
                <w:sz w:val="20"/>
                <w:szCs w:val="20"/>
                <w:lang w:val="en-PH"/>
              </w:rPr>
            </w:pPr>
            <w:r w:rsidRPr="009E35ED">
              <w:rPr>
                <w:rFonts w:ascii="Arial Narrow" w:hAnsi="Arial Narrow" w:cs="Arial"/>
                <w:b/>
                <w:bCs/>
                <w:color w:val="000000" w:themeColor="text1"/>
                <w:sz w:val="20"/>
                <w:szCs w:val="20"/>
                <w:lang w:val="en-PH"/>
              </w:rPr>
              <w:t xml:space="preserve"> </w:t>
            </w:r>
            <w:r w:rsidRPr="009E35ED">
              <w:rPr>
                <w:rFonts w:ascii="Arial" w:hAnsi="Arial" w:cs="Arial"/>
                <w:b/>
                <w:bCs/>
                <w:color w:val="000000" w:themeColor="text1"/>
                <w:sz w:val="20"/>
                <w:szCs w:val="20"/>
                <w:lang w:val="en-PH"/>
              </w:rPr>
              <w:t>P</w:t>
            </w:r>
            <w:r w:rsidRPr="009E35ED">
              <w:rPr>
                <w:rFonts w:ascii="Arial Narrow" w:hAnsi="Arial Narrow" w:cs="Arial"/>
                <w:b/>
                <w:bCs/>
                <w:color w:val="000000" w:themeColor="text1"/>
                <w:sz w:val="20"/>
                <w:szCs w:val="20"/>
                <w:lang w:val="en-PH"/>
              </w:rPr>
              <w:t xml:space="preserve"> 10,000.00 </w:t>
            </w:r>
          </w:p>
        </w:tc>
        <w:tc>
          <w:tcPr>
            <w:tcW w:w="1282" w:type="dxa"/>
            <w:shd w:val="clear" w:color="auto" w:fill="auto"/>
            <w:noWrap/>
            <w:hideMark/>
          </w:tcPr>
          <w:p w14:paraId="0508B65F" w14:textId="77777777" w:rsidR="00D374E9" w:rsidRPr="009E35ED" w:rsidRDefault="00D374E9" w:rsidP="005E4F3F">
            <w:pPr>
              <w:ind w:left="0" w:right="-90" w:hanging="104"/>
              <w:jc w:val="right"/>
              <w:rPr>
                <w:rFonts w:ascii="Arial Narrow" w:hAnsi="Arial Narrow" w:cs="Arial"/>
                <w:b/>
                <w:bCs/>
                <w:color w:val="000000" w:themeColor="text1"/>
                <w:sz w:val="20"/>
                <w:szCs w:val="20"/>
                <w:lang w:val="en-PH"/>
              </w:rPr>
            </w:pPr>
            <w:r w:rsidRPr="009E35ED">
              <w:rPr>
                <w:rFonts w:ascii="Arial Narrow" w:hAnsi="Arial Narrow" w:cs="Arial"/>
                <w:b/>
                <w:bCs/>
                <w:color w:val="000000" w:themeColor="text1"/>
                <w:sz w:val="20"/>
                <w:szCs w:val="20"/>
                <w:lang w:val="en-PH"/>
              </w:rPr>
              <w:t xml:space="preserve"> </w:t>
            </w:r>
            <w:r w:rsidRPr="009E35ED">
              <w:rPr>
                <w:rFonts w:ascii="Arial" w:hAnsi="Arial" w:cs="Arial"/>
                <w:b/>
                <w:bCs/>
                <w:color w:val="000000" w:themeColor="text1"/>
                <w:sz w:val="20"/>
                <w:szCs w:val="20"/>
                <w:lang w:val="en-PH"/>
              </w:rPr>
              <w:t xml:space="preserve">P </w:t>
            </w:r>
            <w:r w:rsidRPr="009E35ED">
              <w:rPr>
                <w:rFonts w:ascii="Arial Narrow" w:hAnsi="Arial Narrow" w:cs="Arial"/>
                <w:b/>
                <w:bCs/>
                <w:color w:val="000000" w:themeColor="text1"/>
                <w:sz w:val="20"/>
                <w:szCs w:val="20"/>
                <w:lang w:val="en-PH"/>
              </w:rPr>
              <w:t>150,000.00</w:t>
            </w:r>
          </w:p>
          <w:p w14:paraId="3A49146F" w14:textId="77777777" w:rsidR="00D374E9" w:rsidRPr="009E35ED" w:rsidRDefault="00D374E9" w:rsidP="005E4F3F">
            <w:pPr>
              <w:ind w:left="0" w:right="-90" w:hanging="104"/>
              <w:jc w:val="right"/>
              <w:rPr>
                <w:rFonts w:ascii="Arial Narrow" w:hAnsi="Arial Narrow" w:cs="Arial"/>
                <w:b/>
                <w:bCs/>
                <w:color w:val="000000" w:themeColor="text1"/>
                <w:sz w:val="20"/>
                <w:szCs w:val="20"/>
                <w:lang w:val="en-PH"/>
              </w:rPr>
            </w:pPr>
          </w:p>
          <w:p w14:paraId="20A1A976" w14:textId="77777777" w:rsidR="00D374E9" w:rsidRPr="009E35ED" w:rsidRDefault="00D374E9" w:rsidP="005E4F3F">
            <w:pPr>
              <w:ind w:left="0" w:right="-90" w:hanging="104"/>
              <w:jc w:val="right"/>
              <w:rPr>
                <w:rFonts w:ascii="Arial Narrow" w:hAnsi="Arial Narrow" w:cs="Arial"/>
                <w:b/>
                <w:bCs/>
                <w:color w:val="000000" w:themeColor="text1"/>
                <w:sz w:val="20"/>
                <w:szCs w:val="20"/>
                <w:lang w:val="en-PH"/>
              </w:rPr>
            </w:pPr>
            <w:r w:rsidRPr="009E35ED">
              <w:rPr>
                <w:rFonts w:ascii="Arial Narrow" w:hAnsi="Arial Narrow" w:cs="Arial"/>
                <w:b/>
                <w:bCs/>
                <w:color w:val="000000" w:themeColor="text1"/>
                <w:sz w:val="20"/>
                <w:szCs w:val="20"/>
                <w:lang w:val="en-PH"/>
              </w:rPr>
              <w:t xml:space="preserve"> </w:t>
            </w:r>
          </w:p>
        </w:tc>
      </w:tr>
      <w:tr w:rsidR="00997F75" w:rsidRPr="009E35ED" w14:paraId="7635E9E3" w14:textId="77777777" w:rsidTr="00A046FD">
        <w:trPr>
          <w:trHeight w:val="81"/>
        </w:trPr>
        <w:tc>
          <w:tcPr>
            <w:tcW w:w="3060" w:type="dxa"/>
            <w:shd w:val="clear" w:color="auto" w:fill="auto"/>
            <w:noWrap/>
          </w:tcPr>
          <w:p w14:paraId="0BB21AFC" w14:textId="77777777" w:rsidR="00D374E9" w:rsidRPr="009E35ED" w:rsidRDefault="00D374E9" w:rsidP="005E4F3F">
            <w:pPr>
              <w:ind w:left="0"/>
              <w:jc w:val="left"/>
              <w:rPr>
                <w:rFonts w:ascii="Arial Narrow" w:hAnsi="Arial Narrow" w:cs="Arial"/>
                <w:b/>
                <w:bCs/>
                <w:color w:val="000000" w:themeColor="text1"/>
                <w:sz w:val="20"/>
                <w:szCs w:val="20"/>
                <w:lang w:val="en-PH"/>
              </w:rPr>
            </w:pPr>
            <w:r w:rsidRPr="009E35ED">
              <w:rPr>
                <w:rFonts w:ascii="Arial Narrow" w:hAnsi="Arial Narrow" w:cs="Arial"/>
                <w:b/>
                <w:bCs/>
                <w:color w:val="000000" w:themeColor="text1"/>
                <w:sz w:val="20"/>
                <w:szCs w:val="20"/>
                <w:lang w:val="en-PH"/>
              </w:rPr>
              <w:t>II. Charity   Fund  (30% of NR)</w:t>
            </w:r>
          </w:p>
        </w:tc>
        <w:tc>
          <w:tcPr>
            <w:tcW w:w="1433" w:type="dxa"/>
            <w:shd w:val="clear" w:color="auto" w:fill="auto"/>
            <w:noWrap/>
          </w:tcPr>
          <w:p w14:paraId="4AC1DF22" w14:textId="77777777" w:rsidR="00D374E9" w:rsidRPr="009E35ED" w:rsidRDefault="00D374E9" w:rsidP="005E4F3F">
            <w:pPr>
              <w:ind w:left="0" w:hanging="126"/>
              <w:jc w:val="right"/>
              <w:rPr>
                <w:rFonts w:ascii="Arial Narrow" w:hAnsi="Arial Narrow" w:cs="Arial"/>
                <w:b/>
                <w:bCs/>
                <w:color w:val="000000" w:themeColor="text1"/>
                <w:sz w:val="20"/>
                <w:szCs w:val="20"/>
                <w:lang w:val="en-PH"/>
              </w:rPr>
            </w:pPr>
            <w:r w:rsidRPr="009E35ED">
              <w:rPr>
                <w:rFonts w:ascii="Arial Narrow" w:hAnsi="Arial Narrow" w:cs="Arial"/>
                <w:b/>
                <w:bCs/>
                <w:color w:val="000000" w:themeColor="text1"/>
                <w:sz w:val="20"/>
                <w:szCs w:val="20"/>
                <w:lang w:val="en-PH"/>
              </w:rPr>
              <w:t>29.40%</w:t>
            </w:r>
          </w:p>
        </w:tc>
        <w:tc>
          <w:tcPr>
            <w:tcW w:w="1433" w:type="dxa"/>
            <w:shd w:val="clear" w:color="auto" w:fill="auto"/>
            <w:noWrap/>
          </w:tcPr>
          <w:p w14:paraId="0A99EDED" w14:textId="77777777" w:rsidR="00D374E9" w:rsidRPr="009E35ED" w:rsidRDefault="00D374E9" w:rsidP="005E4F3F">
            <w:pPr>
              <w:ind w:left="0" w:hanging="119"/>
              <w:jc w:val="right"/>
              <w:rPr>
                <w:rFonts w:ascii="Arial Narrow" w:hAnsi="Arial Narrow" w:cs="Arial"/>
                <w:b/>
                <w:bCs/>
                <w:color w:val="000000" w:themeColor="text1"/>
                <w:sz w:val="20"/>
                <w:szCs w:val="20"/>
                <w:lang w:val="en-PH"/>
              </w:rPr>
            </w:pPr>
            <w:r w:rsidRPr="009E35ED">
              <w:rPr>
                <w:rFonts w:ascii="Arial Narrow" w:hAnsi="Arial Narrow" w:cs="Arial"/>
                <w:b/>
                <w:bCs/>
                <w:color w:val="000000" w:themeColor="text1"/>
                <w:sz w:val="20"/>
                <w:szCs w:val="20"/>
                <w:lang w:val="en-PH"/>
              </w:rPr>
              <w:t>29.40%</w:t>
            </w:r>
          </w:p>
        </w:tc>
        <w:tc>
          <w:tcPr>
            <w:tcW w:w="1432" w:type="dxa"/>
            <w:shd w:val="clear" w:color="auto" w:fill="auto"/>
            <w:noWrap/>
          </w:tcPr>
          <w:p w14:paraId="4E495704" w14:textId="77777777" w:rsidR="00D374E9" w:rsidRPr="009E35ED" w:rsidRDefault="00D374E9" w:rsidP="005E4F3F">
            <w:pPr>
              <w:ind w:left="0" w:hanging="112"/>
              <w:jc w:val="right"/>
              <w:rPr>
                <w:rFonts w:ascii="Arial Narrow" w:hAnsi="Arial Narrow" w:cs="Arial"/>
                <w:b/>
                <w:bCs/>
                <w:color w:val="000000" w:themeColor="text1"/>
                <w:sz w:val="20"/>
                <w:szCs w:val="20"/>
                <w:lang w:val="en-PH"/>
              </w:rPr>
            </w:pPr>
            <w:r w:rsidRPr="009E35ED">
              <w:rPr>
                <w:rFonts w:ascii="Arial Narrow" w:hAnsi="Arial Narrow" w:cs="Arial"/>
                <w:b/>
                <w:bCs/>
                <w:color w:val="000000" w:themeColor="text1"/>
                <w:sz w:val="20"/>
                <w:szCs w:val="20"/>
                <w:lang w:val="en-PH"/>
              </w:rPr>
              <w:t>29.40%</w:t>
            </w:r>
          </w:p>
        </w:tc>
        <w:tc>
          <w:tcPr>
            <w:tcW w:w="1282" w:type="dxa"/>
            <w:shd w:val="clear" w:color="auto" w:fill="auto"/>
            <w:noWrap/>
          </w:tcPr>
          <w:p w14:paraId="6E9C1DF3" w14:textId="77777777" w:rsidR="00D374E9" w:rsidRPr="009E35ED" w:rsidRDefault="00D374E9" w:rsidP="005E4F3F">
            <w:pPr>
              <w:ind w:left="0" w:right="-90" w:hanging="104"/>
              <w:jc w:val="right"/>
              <w:rPr>
                <w:rFonts w:ascii="Arial Narrow" w:hAnsi="Arial Narrow" w:cs="Arial"/>
                <w:b/>
                <w:bCs/>
                <w:color w:val="000000" w:themeColor="text1"/>
                <w:sz w:val="20"/>
                <w:szCs w:val="20"/>
                <w:lang w:val="en-PH"/>
              </w:rPr>
            </w:pPr>
            <w:r w:rsidRPr="009E35ED">
              <w:rPr>
                <w:rFonts w:ascii="Arial Narrow" w:hAnsi="Arial Narrow" w:cs="Arial"/>
                <w:b/>
                <w:bCs/>
                <w:color w:val="000000" w:themeColor="text1"/>
                <w:sz w:val="20"/>
                <w:szCs w:val="20"/>
                <w:lang w:val="en-PH"/>
              </w:rPr>
              <w:t>29.40%</w:t>
            </w:r>
          </w:p>
        </w:tc>
      </w:tr>
      <w:tr w:rsidR="00997F75" w:rsidRPr="009E35ED" w14:paraId="5479C5C3" w14:textId="77777777" w:rsidTr="00A046FD">
        <w:trPr>
          <w:trHeight w:val="83"/>
        </w:trPr>
        <w:tc>
          <w:tcPr>
            <w:tcW w:w="3060" w:type="dxa"/>
            <w:shd w:val="clear" w:color="auto" w:fill="auto"/>
            <w:noWrap/>
          </w:tcPr>
          <w:p w14:paraId="0D5A97FD" w14:textId="77777777" w:rsidR="00D374E9" w:rsidRPr="009E35ED" w:rsidRDefault="00D374E9" w:rsidP="005E4F3F">
            <w:pPr>
              <w:ind w:left="0"/>
              <w:jc w:val="left"/>
              <w:rPr>
                <w:rFonts w:ascii="Arial Narrow" w:hAnsi="Arial Narrow" w:cs="Arial"/>
                <w:b/>
                <w:bCs/>
                <w:color w:val="000000" w:themeColor="text1"/>
                <w:sz w:val="20"/>
                <w:szCs w:val="20"/>
                <w:lang w:val="en-PH"/>
              </w:rPr>
            </w:pPr>
            <w:r w:rsidRPr="009E35ED">
              <w:rPr>
                <w:rFonts w:ascii="Arial Narrow" w:hAnsi="Arial Narrow" w:cs="Arial"/>
                <w:color w:val="000000" w:themeColor="text1"/>
                <w:sz w:val="20"/>
                <w:szCs w:val="20"/>
                <w:lang w:val="en-PH"/>
              </w:rPr>
              <w:t>Education</w:t>
            </w:r>
          </w:p>
        </w:tc>
        <w:tc>
          <w:tcPr>
            <w:tcW w:w="1433" w:type="dxa"/>
            <w:shd w:val="clear" w:color="auto" w:fill="auto"/>
            <w:noWrap/>
          </w:tcPr>
          <w:p w14:paraId="67857563" w14:textId="77777777" w:rsidR="00D374E9" w:rsidRPr="009E35ED" w:rsidRDefault="00D374E9" w:rsidP="005E4F3F">
            <w:pPr>
              <w:ind w:left="0" w:hanging="126"/>
              <w:jc w:val="right"/>
              <w:rPr>
                <w:rFonts w:ascii="Arial Narrow" w:hAnsi="Arial Narrow" w:cs="Arial"/>
                <w:b/>
                <w:bCs/>
                <w:color w:val="000000" w:themeColor="text1"/>
                <w:sz w:val="20"/>
                <w:szCs w:val="20"/>
                <w:lang w:val="en-PH"/>
              </w:rPr>
            </w:pPr>
            <w:r w:rsidRPr="009E35ED">
              <w:rPr>
                <w:rFonts w:ascii="Arial Narrow" w:hAnsi="Arial Narrow" w:cs="Arial"/>
                <w:color w:val="000000" w:themeColor="text1"/>
                <w:sz w:val="20"/>
                <w:szCs w:val="20"/>
                <w:lang w:val="en-PH"/>
              </w:rPr>
              <w:t>1.00%</w:t>
            </w:r>
          </w:p>
        </w:tc>
        <w:tc>
          <w:tcPr>
            <w:tcW w:w="1433" w:type="dxa"/>
            <w:shd w:val="clear" w:color="auto" w:fill="auto"/>
            <w:noWrap/>
          </w:tcPr>
          <w:p w14:paraId="05F544D0" w14:textId="77777777" w:rsidR="00D374E9" w:rsidRPr="009E35ED" w:rsidRDefault="00D374E9" w:rsidP="005E4F3F">
            <w:pPr>
              <w:ind w:left="0" w:hanging="119"/>
              <w:jc w:val="right"/>
              <w:rPr>
                <w:rFonts w:ascii="Arial Narrow" w:hAnsi="Arial Narrow" w:cs="Arial"/>
                <w:b/>
                <w:bCs/>
                <w:color w:val="000000" w:themeColor="text1"/>
                <w:sz w:val="20"/>
                <w:szCs w:val="20"/>
                <w:lang w:val="en-PH"/>
              </w:rPr>
            </w:pPr>
            <w:r w:rsidRPr="009E35ED">
              <w:rPr>
                <w:rFonts w:ascii="Arial Narrow" w:hAnsi="Arial Narrow" w:cs="Arial"/>
                <w:color w:val="000000" w:themeColor="text1"/>
                <w:sz w:val="20"/>
                <w:szCs w:val="20"/>
                <w:lang w:val="en-PH"/>
              </w:rPr>
              <w:t>1.00%</w:t>
            </w:r>
          </w:p>
        </w:tc>
        <w:tc>
          <w:tcPr>
            <w:tcW w:w="1432" w:type="dxa"/>
            <w:shd w:val="clear" w:color="auto" w:fill="auto"/>
            <w:noWrap/>
          </w:tcPr>
          <w:p w14:paraId="2D5D9DFB" w14:textId="77777777" w:rsidR="00D374E9" w:rsidRPr="009E35ED" w:rsidRDefault="00D374E9" w:rsidP="005E4F3F">
            <w:pPr>
              <w:ind w:left="0" w:hanging="112"/>
              <w:jc w:val="right"/>
              <w:rPr>
                <w:rFonts w:ascii="Arial Narrow" w:hAnsi="Arial Narrow" w:cs="Arial"/>
                <w:b/>
                <w:bCs/>
                <w:color w:val="000000" w:themeColor="text1"/>
                <w:sz w:val="20"/>
                <w:szCs w:val="20"/>
                <w:lang w:val="en-PH"/>
              </w:rPr>
            </w:pPr>
            <w:r w:rsidRPr="009E35ED">
              <w:rPr>
                <w:rFonts w:ascii="Arial Narrow" w:hAnsi="Arial Narrow" w:cs="Arial"/>
                <w:color w:val="000000" w:themeColor="text1"/>
                <w:sz w:val="20"/>
                <w:szCs w:val="20"/>
                <w:lang w:val="en-PH"/>
              </w:rPr>
              <w:t>1.00%</w:t>
            </w:r>
          </w:p>
        </w:tc>
        <w:tc>
          <w:tcPr>
            <w:tcW w:w="1282" w:type="dxa"/>
            <w:shd w:val="clear" w:color="auto" w:fill="auto"/>
            <w:noWrap/>
          </w:tcPr>
          <w:p w14:paraId="7B82656B" w14:textId="77777777" w:rsidR="00D374E9" w:rsidRPr="009E35ED" w:rsidRDefault="00D374E9" w:rsidP="005E4F3F">
            <w:pPr>
              <w:ind w:left="0" w:right="-90" w:hanging="104"/>
              <w:jc w:val="right"/>
              <w:rPr>
                <w:rFonts w:ascii="Arial Narrow" w:hAnsi="Arial Narrow" w:cs="Arial"/>
                <w:b/>
                <w:bCs/>
                <w:color w:val="000000" w:themeColor="text1"/>
                <w:sz w:val="20"/>
                <w:szCs w:val="20"/>
                <w:lang w:val="en-PH"/>
              </w:rPr>
            </w:pPr>
            <w:r w:rsidRPr="009E35ED">
              <w:rPr>
                <w:rFonts w:ascii="Arial Narrow" w:hAnsi="Arial Narrow" w:cs="Arial"/>
                <w:color w:val="000000" w:themeColor="text1"/>
                <w:sz w:val="20"/>
                <w:szCs w:val="20"/>
                <w:lang w:val="en-PH"/>
              </w:rPr>
              <w:t>1.00%</w:t>
            </w:r>
          </w:p>
        </w:tc>
      </w:tr>
      <w:tr w:rsidR="00997F75" w:rsidRPr="009E35ED" w14:paraId="5A1668FE" w14:textId="77777777" w:rsidTr="00A046FD">
        <w:trPr>
          <w:trHeight w:val="83"/>
        </w:trPr>
        <w:tc>
          <w:tcPr>
            <w:tcW w:w="3060" w:type="dxa"/>
            <w:shd w:val="clear" w:color="auto" w:fill="auto"/>
            <w:noWrap/>
          </w:tcPr>
          <w:p w14:paraId="5EA4A879" w14:textId="77777777" w:rsidR="00D374E9" w:rsidRPr="009E35ED" w:rsidRDefault="00D374E9" w:rsidP="005E4F3F">
            <w:pPr>
              <w:ind w:left="0"/>
              <w:jc w:val="lef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Direct Cost – ELA</w:t>
            </w:r>
          </w:p>
        </w:tc>
        <w:tc>
          <w:tcPr>
            <w:tcW w:w="1433" w:type="dxa"/>
            <w:shd w:val="clear" w:color="auto" w:fill="auto"/>
            <w:noWrap/>
          </w:tcPr>
          <w:p w14:paraId="6DE0139A" w14:textId="77777777" w:rsidR="00D374E9" w:rsidRPr="009E35ED" w:rsidRDefault="00D374E9" w:rsidP="005E4F3F">
            <w:pPr>
              <w:ind w:left="0" w:hanging="126"/>
              <w:jc w:val="righ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2.02%</w:t>
            </w:r>
          </w:p>
        </w:tc>
        <w:tc>
          <w:tcPr>
            <w:tcW w:w="1433" w:type="dxa"/>
            <w:shd w:val="clear" w:color="auto" w:fill="auto"/>
            <w:noWrap/>
          </w:tcPr>
          <w:p w14:paraId="485CFF7E" w14:textId="77777777" w:rsidR="00D374E9" w:rsidRPr="009E35ED" w:rsidRDefault="00D374E9" w:rsidP="005E4F3F">
            <w:pPr>
              <w:ind w:left="0" w:hanging="119"/>
              <w:jc w:val="righ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2.02%</w:t>
            </w:r>
          </w:p>
        </w:tc>
        <w:tc>
          <w:tcPr>
            <w:tcW w:w="1432" w:type="dxa"/>
            <w:shd w:val="clear" w:color="auto" w:fill="auto"/>
            <w:noWrap/>
          </w:tcPr>
          <w:p w14:paraId="32C26B0D" w14:textId="77777777" w:rsidR="00D374E9" w:rsidRPr="009E35ED" w:rsidRDefault="00D374E9" w:rsidP="005E4F3F">
            <w:pPr>
              <w:ind w:left="0" w:hanging="112"/>
              <w:jc w:val="righ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2.02%</w:t>
            </w:r>
          </w:p>
        </w:tc>
        <w:tc>
          <w:tcPr>
            <w:tcW w:w="1282" w:type="dxa"/>
            <w:shd w:val="clear" w:color="auto" w:fill="auto"/>
            <w:noWrap/>
          </w:tcPr>
          <w:p w14:paraId="6791A93D" w14:textId="77777777" w:rsidR="00D374E9" w:rsidRPr="009E35ED" w:rsidRDefault="00D374E9" w:rsidP="005E4F3F">
            <w:pPr>
              <w:ind w:left="0" w:right="-90" w:hanging="104"/>
              <w:jc w:val="righ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2.02%</w:t>
            </w:r>
          </w:p>
        </w:tc>
      </w:tr>
      <w:tr w:rsidR="00997F75" w:rsidRPr="009E35ED" w14:paraId="0DEEBF9B" w14:textId="77777777" w:rsidTr="00A046FD">
        <w:trPr>
          <w:trHeight w:val="83"/>
        </w:trPr>
        <w:tc>
          <w:tcPr>
            <w:tcW w:w="3060" w:type="dxa"/>
            <w:shd w:val="clear" w:color="auto" w:fill="auto"/>
            <w:noWrap/>
          </w:tcPr>
          <w:p w14:paraId="28C6BE54" w14:textId="77777777" w:rsidR="00D374E9" w:rsidRPr="009E35ED" w:rsidRDefault="00D374E9" w:rsidP="005E4F3F">
            <w:pPr>
              <w:ind w:left="0"/>
              <w:jc w:val="lef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 xml:space="preserve">Documentary Stamp Tax </w:t>
            </w:r>
          </w:p>
        </w:tc>
        <w:tc>
          <w:tcPr>
            <w:tcW w:w="1433" w:type="dxa"/>
            <w:shd w:val="clear" w:color="auto" w:fill="auto"/>
            <w:noWrap/>
          </w:tcPr>
          <w:p w14:paraId="6B805F20" w14:textId="77777777" w:rsidR="00D374E9" w:rsidRPr="009E35ED" w:rsidRDefault="00D374E9" w:rsidP="005E4F3F">
            <w:pPr>
              <w:ind w:left="0" w:hanging="126"/>
              <w:jc w:val="righ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20.00%</w:t>
            </w:r>
          </w:p>
        </w:tc>
        <w:tc>
          <w:tcPr>
            <w:tcW w:w="1433" w:type="dxa"/>
            <w:shd w:val="clear" w:color="auto" w:fill="auto"/>
            <w:noWrap/>
          </w:tcPr>
          <w:p w14:paraId="36CE3AD3" w14:textId="77777777" w:rsidR="00D374E9" w:rsidRPr="009E35ED" w:rsidRDefault="00D374E9" w:rsidP="005E4F3F">
            <w:pPr>
              <w:ind w:left="0" w:hanging="119"/>
              <w:jc w:val="righ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20.00%</w:t>
            </w:r>
          </w:p>
        </w:tc>
        <w:tc>
          <w:tcPr>
            <w:tcW w:w="1432" w:type="dxa"/>
            <w:shd w:val="clear" w:color="auto" w:fill="auto"/>
            <w:noWrap/>
          </w:tcPr>
          <w:p w14:paraId="20B36F38" w14:textId="77777777" w:rsidR="00D374E9" w:rsidRPr="009E35ED" w:rsidRDefault="00D374E9" w:rsidP="005E4F3F">
            <w:pPr>
              <w:ind w:left="0" w:hanging="112"/>
              <w:jc w:val="righ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20.00%</w:t>
            </w:r>
          </w:p>
        </w:tc>
        <w:tc>
          <w:tcPr>
            <w:tcW w:w="1282" w:type="dxa"/>
            <w:shd w:val="clear" w:color="auto" w:fill="auto"/>
            <w:noWrap/>
          </w:tcPr>
          <w:p w14:paraId="1EBE8486" w14:textId="77777777" w:rsidR="00D374E9" w:rsidRPr="009E35ED" w:rsidRDefault="00D374E9" w:rsidP="005E4F3F">
            <w:pPr>
              <w:ind w:left="0" w:right="-90" w:hanging="104"/>
              <w:jc w:val="righ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20.00%</w:t>
            </w:r>
          </w:p>
        </w:tc>
      </w:tr>
      <w:tr w:rsidR="00997F75" w:rsidRPr="009E35ED" w14:paraId="42F8E78E" w14:textId="77777777" w:rsidTr="00A046FD">
        <w:trPr>
          <w:trHeight w:val="83"/>
        </w:trPr>
        <w:tc>
          <w:tcPr>
            <w:tcW w:w="3060" w:type="dxa"/>
            <w:shd w:val="clear" w:color="auto" w:fill="auto"/>
            <w:noWrap/>
          </w:tcPr>
          <w:p w14:paraId="1B395642" w14:textId="77777777" w:rsidR="00D374E9" w:rsidRPr="009E35ED" w:rsidRDefault="00D374E9" w:rsidP="005E4F3F">
            <w:pPr>
              <w:ind w:left="0"/>
              <w:jc w:val="lef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Financial Assistance</w:t>
            </w:r>
          </w:p>
        </w:tc>
        <w:tc>
          <w:tcPr>
            <w:tcW w:w="1433" w:type="dxa"/>
            <w:shd w:val="clear" w:color="auto" w:fill="auto"/>
            <w:noWrap/>
          </w:tcPr>
          <w:p w14:paraId="01AED741" w14:textId="7512C80A" w:rsidR="00D374E9" w:rsidRPr="009E35ED" w:rsidRDefault="00D374E9" w:rsidP="005E4F3F">
            <w:pPr>
              <w:ind w:left="0" w:hanging="126"/>
              <w:jc w:val="righ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6.38%</w:t>
            </w:r>
          </w:p>
        </w:tc>
        <w:tc>
          <w:tcPr>
            <w:tcW w:w="1433" w:type="dxa"/>
            <w:shd w:val="clear" w:color="auto" w:fill="auto"/>
            <w:noWrap/>
          </w:tcPr>
          <w:p w14:paraId="2B8491B6" w14:textId="5469616F" w:rsidR="00D374E9" w:rsidRPr="009E35ED" w:rsidRDefault="00D374E9" w:rsidP="005E4F3F">
            <w:pPr>
              <w:ind w:left="0" w:hanging="119"/>
              <w:jc w:val="righ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6.38%</w:t>
            </w:r>
          </w:p>
        </w:tc>
        <w:tc>
          <w:tcPr>
            <w:tcW w:w="1432" w:type="dxa"/>
            <w:shd w:val="clear" w:color="auto" w:fill="auto"/>
            <w:noWrap/>
          </w:tcPr>
          <w:p w14:paraId="17D6B655" w14:textId="1CBBF204" w:rsidR="00D374E9" w:rsidRPr="009E35ED" w:rsidRDefault="00D374E9" w:rsidP="005E4F3F">
            <w:pPr>
              <w:ind w:left="0" w:hanging="112"/>
              <w:jc w:val="righ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6.38%</w:t>
            </w:r>
          </w:p>
        </w:tc>
        <w:tc>
          <w:tcPr>
            <w:tcW w:w="1282" w:type="dxa"/>
            <w:shd w:val="clear" w:color="auto" w:fill="auto"/>
            <w:noWrap/>
          </w:tcPr>
          <w:p w14:paraId="231DA2BD" w14:textId="13338980" w:rsidR="00D374E9" w:rsidRPr="009E35ED" w:rsidRDefault="00D374E9" w:rsidP="005E4F3F">
            <w:pPr>
              <w:ind w:left="0" w:right="-90" w:hanging="104"/>
              <w:jc w:val="righ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6.38%</w:t>
            </w:r>
          </w:p>
        </w:tc>
      </w:tr>
      <w:tr w:rsidR="00997F75" w:rsidRPr="009E35ED" w14:paraId="5B72AAF4" w14:textId="77777777" w:rsidTr="00A046FD">
        <w:trPr>
          <w:trHeight w:val="83"/>
        </w:trPr>
        <w:tc>
          <w:tcPr>
            <w:tcW w:w="3060" w:type="dxa"/>
            <w:shd w:val="clear" w:color="auto" w:fill="auto"/>
            <w:noWrap/>
          </w:tcPr>
          <w:p w14:paraId="61D80395" w14:textId="77777777" w:rsidR="00D374E9" w:rsidRPr="009E35ED" w:rsidRDefault="00D374E9" w:rsidP="005E4F3F">
            <w:pPr>
              <w:ind w:left="0"/>
              <w:jc w:val="left"/>
              <w:rPr>
                <w:rFonts w:ascii="Arial Narrow" w:hAnsi="Arial Narrow" w:cs="Arial"/>
                <w:color w:val="000000" w:themeColor="text1"/>
                <w:sz w:val="20"/>
                <w:szCs w:val="20"/>
                <w:lang w:val="en-PH"/>
              </w:rPr>
            </w:pPr>
          </w:p>
        </w:tc>
        <w:tc>
          <w:tcPr>
            <w:tcW w:w="1433" w:type="dxa"/>
            <w:shd w:val="clear" w:color="auto" w:fill="auto"/>
            <w:noWrap/>
          </w:tcPr>
          <w:p w14:paraId="370E5288" w14:textId="77777777" w:rsidR="00D374E9" w:rsidRPr="009E35ED" w:rsidRDefault="00D374E9" w:rsidP="005E4F3F">
            <w:pPr>
              <w:ind w:left="0" w:hanging="126"/>
              <w:jc w:val="right"/>
              <w:rPr>
                <w:rFonts w:ascii="Arial Narrow" w:hAnsi="Arial Narrow" w:cs="Arial"/>
                <w:color w:val="000000" w:themeColor="text1"/>
                <w:sz w:val="20"/>
                <w:szCs w:val="20"/>
                <w:lang w:val="en-PH"/>
              </w:rPr>
            </w:pPr>
          </w:p>
        </w:tc>
        <w:tc>
          <w:tcPr>
            <w:tcW w:w="1433" w:type="dxa"/>
            <w:shd w:val="clear" w:color="auto" w:fill="auto"/>
            <w:noWrap/>
          </w:tcPr>
          <w:p w14:paraId="3B80F85C" w14:textId="77777777" w:rsidR="00D374E9" w:rsidRPr="009E35ED" w:rsidRDefault="00D374E9" w:rsidP="005E4F3F">
            <w:pPr>
              <w:ind w:left="0" w:hanging="119"/>
              <w:jc w:val="right"/>
              <w:rPr>
                <w:rFonts w:ascii="Arial Narrow" w:hAnsi="Arial Narrow" w:cs="Arial"/>
                <w:color w:val="000000" w:themeColor="text1"/>
                <w:sz w:val="20"/>
                <w:szCs w:val="20"/>
                <w:lang w:val="en-PH"/>
              </w:rPr>
            </w:pPr>
          </w:p>
        </w:tc>
        <w:tc>
          <w:tcPr>
            <w:tcW w:w="1432" w:type="dxa"/>
            <w:shd w:val="clear" w:color="auto" w:fill="auto"/>
            <w:noWrap/>
          </w:tcPr>
          <w:p w14:paraId="5DC4A9CD" w14:textId="77777777" w:rsidR="00D374E9" w:rsidRPr="009E35ED" w:rsidRDefault="00D374E9" w:rsidP="005E4F3F">
            <w:pPr>
              <w:ind w:left="0" w:hanging="112"/>
              <w:jc w:val="right"/>
              <w:rPr>
                <w:rFonts w:ascii="Arial Narrow" w:hAnsi="Arial Narrow" w:cs="Arial"/>
                <w:color w:val="000000" w:themeColor="text1"/>
                <w:sz w:val="20"/>
                <w:szCs w:val="20"/>
                <w:lang w:val="en-PH"/>
              </w:rPr>
            </w:pPr>
          </w:p>
        </w:tc>
        <w:tc>
          <w:tcPr>
            <w:tcW w:w="1282" w:type="dxa"/>
            <w:shd w:val="clear" w:color="auto" w:fill="auto"/>
            <w:noWrap/>
          </w:tcPr>
          <w:p w14:paraId="5CB30925" w14:textId="77777777" w:rsidR="00D374E9" w:rsidRPr="009E35ED" w:rsidRDefault="00D374E9" w:rsidP="005E4F3F">
            <w:pPr>
              <w:ind w:left="0" w:right="-90" w:hanging="104"/>
              <w:jc w:val="right"/>
              <w:rPr>
                <w:rFonts w:ascii="Arial Narrow" w:hAnsi="Arial Narrow" w:cs="Arial"/>
                <w:color w:val="000000" w:themeColor="text1"/>
                <w:sz w:val="20"/>
                <w:szCs w:val="20"/>
                <w:lang w:val="en-PH"/>
              </w:rPr>
            </w:pPr>
          </w:p>
        </w:tc>
      </w:tr>
      <w:tr w:rsidR="00997F75" w:rsidRPr="009E35ED" w14:paraId="6F82EAAA" w14:textId="77777777" w:rsidTr="00A046FD">
        <w:trPr>
          <w:trHeight w:val="83"/>
        </w:trPr>
        <w:tc>
          <w:tcPr>
            <w:tcW w:w="3060" w:type="dxa"/>
            <w:shd w:val="clear" w:color="auto" w:fill="auto"/>
            <w:noWrap/>
          </w:tcPr>
          <w:p w14:paraId="59153CAA" w14:textId="77777777" w:rsidR="00D374E9" w:rsidRPr="009E35ED" w:rsidRDefault="00D374E9" w:rsidP="005E4F3F">
            <w:pPr>
              <w:ind w:left="0"/>
              <w:jc w:val="left"/>
              <w:rPr>
                <w:rFonts w:ascii="Arial Narrow" w:hAnsi="Arial Narrow" w:cs="Arial"/>
                <w:color w:val="000000" w:themeColor="text1"/>
                <w:sz w:val="20"/>
                <w:szCs w:val="20"/>
                <w:lang w:val="en-PH"/>
              </w:rPr>
            </w:pPr>
            <w:r w:rsidRPr="009E35ED">
              <w:rPr>
                <w:rFonts w:ascii="Arial Narrow" w:hAnsi="Arial Narrow" w:cs="Arial"/>
                <w:b/>
                <w:bCs/>
                <w:color w:val="000000" w:themeColor="text1"/>
                <w:sz w:val="20"/>
                <w:szCs w:val="20"/>
                <w:lang w:val="en-PH"/>
              </w:rPr>
              <w:t>III. Operating Fund  (15% of NR)</w:t>
            </w:r>
          </w:p>
        </w:tc>
        <w:tc>
          <w:tcPr>
            <w:tcW w:w="1433" w:type="dxa"/>
            <w:shd w:val="clear" w:color="auto" w:fill="auto"/>
            <w:noWrap/>
          </w:tcPr>
          <w:p w14:paraId="1EC5206C" w14:textId="77777777" w:rsidR="00D374E9" w:rsidRPr="009E35ED" w:rsidRDefault="00D374E9" w:rsidP="005E4F3F">
            <w:pPr>
              <w:ind w:left="0" w:hanging="126"/>
              <w:jc w:val="right"/>
              <w:rPr>
                <w:rFonts w:ascii="Arial Narrow" w:hAnsi="Arial Narrow" w:cs="Arial"/>
                <w:color w:val="000000" w:themeColor="text1"/>
                <w:sz w:val="20"/>
                <w:szCs w:val="20"/>
                <w:lang w:val="en-PH"/>
              </w:rPr>
            </w:pPr>
            <w:r w:rsidRPr="009E35ED">
              <w:rPr>
                <w:rFonts w:ascii="Arial Narrow" w:hAnsi="Arial Narrow" w:cs="Arial"/>
                <w:b/>
                <w:bCs/>
                <w:color w:val="000000" w:themeColor="text1"/>
                <w:sz w:val="20"/>
                <w:szCs w:val="20"/>
                <w:lang w:val="en-PH"/>
              </w:rPr>
              <w:t>14.70%</w:t>
            </w:r>
          </w:p>
        </w:tc>
        <w:tc>
          <w:tcPr>
            <w:tcW w:w="1433" w:type="dxa"/>
            <w:shd w:val="clear" w:color="auto" w:fill="auto"/>
            <w:noWrap/>
          </w:tcPr>
          <w:p w14:paraId="0B79A0D6" w14:textId="77777777" w:rsidR="00D374E9" w:rsidRPr="009E35ED" w:rsidRDefault="00D374E9" w:rsidP="005E4F3F">
            <w:pPr>
              <w:ind w:left="0" w:hanging="119"/>
              <w:jc w:val="right"/>
              <w:rPr>
                <w:rFonts w:ascii="Arial Narrow" w:hAnsi="Arial Narrow" w:cs="Arial"/>
                <w:color w:val="000000" w:themeColor="text1"/>
                <w:sz w:val="20"/>
                <w:szCs w:val="20"/>
                <w:lang w:val="en-PH"/>
              </w:rPr>
            </w:pPr>
            <w:r w:rsidRPr="009E35ED">
              <w:rPr>
                <w:rFonts w:ascii="Arial Narrow" w:hAnsi="Arial Narrow" w:cs="Arial"/>
                <w:b/>
                <w:bCs/>
                <w:color w:val="000000" w:themeColor="text1"/>
                <w:sz w:val="20"/>
                <w:szCs w:val="20"/>
                <w:lang w:val="en-PH"/>
              </w:rPr>
              <w:t>14.70%</w:t>
            </w:r>
          </w:p>
        </w:tc>
        <w:tc>
          <w:tcPr>
            <w:tcW w:w="1432" w:type="dxa"/>
            <w:shd w:val="clear" w:color="auto" w:fill="auto"/>
            <w:noWrap/>
          </w:tcPr>
          <w:p w14:paraId="541BDDCD" w14:textId="77777777" w:rsidR="00D374E9" w:rsidRPr="009E35ED" w:rsidRDefault="00D374E9" w:rsidP="005E4F3F">
            <w:pPr>
              <w:ind w:left="0" w:hanging="112"/>
              <w:jc w:val="right"/>
              <w:rPr>
                <w:rFonts w:ascii="Arial Narrow" w:hAnsi="Arial Narrow" w:cs="Arial"/>
                <w:color w:val="000000" w:themeColor="text1"/>
                <w:sz w:val="20"/>
                <w:szCs w:val="20"/>
                <w:lang w:val="en-PH"/>
              </w:rPr>
            </w:pPr>
            <w:r w:rsidRPr="009E35ED">
              <w:rPr>
                <w:rFonts w:ascii="Arial Narrow" w:hAnsi="Arial Narrow" w:cs="Arial"/>
                <w:b/>
                <w:bCs/>
                <w:color w:val="000000" w:themeColor="text1"/>
                <w:sz w:val="20"/>
                <w:szCs w:val="20"/>
                <w:lang w:val="en-PH"/>
              </w:rPr>
              <w:t>14.70%</w:t>
            </w:r>
          </w:p>
        </w:tc>
        <w:tc>
          <w:tcPr>
            <w:tcW w:w="1282" w:type="dxa"/>
            <w:shd w:val="clear" w:color="auto" w:fill="auto"/>
            <w:noWrap/>
          </w:tcPr>
          <w:p w14:paraId="4C18D3D2" w14:textId="77777777" w:rsidR="00D374E9" w:rsidRPr="009E35ED" w:rsidRDefault="00D374E9" w:rsidP="005E4F3F">
            <w:pPr>
              <w:ind w:left="0" w:right="-90" w:hanging="104"/>
              <w:jc w:val="right"/>
              <w:rPr>
                <w:rFonts w:ascii="Arial Narrow" w:hAnsi="Arial Narrow" w:cs="Arial"/>
                <w:color w:val="000000" w:themeColor="text1"/>
                <w:sz w:val="20"/>
                <w:szCs w:val="20"/>
                <w:lang w:val="en-PH"/>
              </w:rPr>
            </w:pPr>
            <w:r w:rsidRPr="009E35ED">
              <w:rPr>
                <w:rFonts w:ascii="Arial Narrow" w:hAnsi="Arial Narrow" w:cs="Arial"/>
                <w:b/>
                <w:bCs/>
                <w:color w:val="000000" w:themeColor="text1"/>
                <w:sz w:val="20"/>
                <w:szCs w:val="20"/>
                <w:lang w:val="en-PH"/>
              </w:rPr>
              <w:t>14.70%</w:t>
            </w:r>
          </w:p>
        </w:tc>
      </w:tr>
      <w:tr w:rsidR="00997F75" w:rsidRPr="009E35ED" w14:paraId="70292606" w14:textId="77777777" w:rsidTr="00A046FD">
        <w:trPr>
          <w:trHeight w:val="83"/>
        </w:trPr>
        <w:tc>
          <w:tcPr>
            <w:tcW w:w="3060" w:type="dxa"/>
            <w:shd w:val="clear" w:color="auto" w:fill="auto"/>
            <w:noWrap/>
          </w:tcPr>
          <w:p w14:paraId="0C7171A0" w14:textId="77777777" w:rsidR="00D374E9" w:rsidRPr="009E35ED" w:rsidRDefault="00D374E9" w:rsidP="005E4F3F">
            <w:pPr>
              <w:ind w:left="0"/>
              <w:jc w:val="left"/>
              <w:rPr>
                <w:rFonts w:ascii="Arial Narrow" w:hAnsi="Arial Narrow" w:cs="Arial"/>
                <w:b/>
                <w:bCs/>
                <w:color w:val="000000" w:themeColor="text1"/>
                <w:sz w:val="20"/>
                <w:szCs w:val="20"/>
                <w:lang w:val="en-PH"/>
              </w:rPr>
            </w:pPr>
            <w:r w:rsidRPr="009E35ED">
              <w:rPr>
                <w:rFonts w:ascii="Arial Narrow" w:hAnsi="Arial Narrow" w:cs="Arial"/>
                <w:color w:val="000000" w:themeColor="text1"/>
                <w:sz w:val="20"/>
                <w:szCs w:val="20"/>
                <w:lang w:val="en-PH"/>
              </w:rPr>
              <w:t>Direct Cost – ELA</w:t>
            </w:r>
          </w:p>
        </w:tc>
        <w:tc>
          <w:tcPr>
            <w:tcW w:w="1433" w:type="dxa"/>
            <w:shd w:val="clear" w:color="auto" w:fill="auto"/>
            <w:noWrap/>
          </w:tcPr>
          <w:p w14:paraId="7720AFF5" w14:textId="3600C25F" w:rsidR="00D374E9" w:rsidRPr="009E35ED" w:rsidRDefault="00631E1D" w:rsidP="00631E1D">
            <w:pPr>
              <w:ind w:left="0" w:hanging="126"/>
              <w:jc w:val="right"/>
              <w:rPr>
                <w:rFonts w:ascii="Arial Narrow" w:hAnsi="Arial Narrow" w:cs="Arial"/>
                <w:b/>
                <w:bCs/>
                <w:color w:val="000000" w:themeColor="text1"/>
                <w:sz w:val="20"/>
                <w:szCs w:val="20"/>
                <w:lang w:val="en-PH"/>
              </w:rPr>
            </w:pPr>
            <w:r w:rsidRPr="009E35ED">
              <w:rPr>
                <w:rFonts w:ascii="Arial Narrow" w:hAnsi="Arial Narrow" w:cs="Arial"/>
                <w:color w:val="000000" w:themeColor="text1"/>
                <w:sz w:val="20"/>
                <w:szCs w:val="20"/>
                <w:lang w:val="en-PH"/>
              </w:rPr>
              <w:t>1</w:t>
            </w:r>
            <w:r w:rsidR="00D374E9" w:rsidRPr="009E35ED">
              <w:rPr>
                <w:rFonts w:ascii="Arial Narrow" w:hAnsi="Arial Narrow" w:cs="Arial"/>
                <w:color w:val="000000" w:themeColor="text1"/>
                <w:sz w:val="20"/>
                <w:szCs w:val="20"/>
                <w:lang w:val="en-PH"/>
              </w:rPr>
              <w:t>.</w:t>
            </w:r>
            <w:r w:rsidRPr="009E35ED">
              <w:rPr>
                <w:rFonts w:ascii="Arial Narrow" w:hAnsi="Arial Narrow" w:cs="Arial"/>
                <w:color w:val="000000" w:themeColor="text1"/>
                <w:sz w:val="20"/>
                <w:szCs w:val="20"/>
                <w:lang w:val="en-PH"/>
              </w:rPr>
              <w:t>01</w:t>
            </w:r>
            <w:r w:rsidR="00D374E9" w:rsidRPr="009E35ED">
              <w:rPr>
                <w:rFonts w:ascii="Arial Narrow" w:hAnsi="Arial Narrow" w:cs="Arial"/>
                <w:color w:val="000000" w:themeColor="text1"/>
                <w:sz w:val="20"/>
                <w:szCs w:val="20"/>
                <w:lang w:val="en-PH"/>
              </w:rPr>
              <w:t>%</w:t>
            </w:r>
          </w:p>
        </w:tc>
        <w:tc>
          <w:tcPr>
            <w:tcW w:w="1433" w:type="dxa"/>
            <w:shd w:val="clear" w:color="auto" w:fill="auto"/>
            <w:noWrap/>
          </w:tcPr>
          <w:p w14:paraId="3C0B49FB" w14:textId="72A874B6" w:rsidR="00D374E9" w:rsidRPr="009E35ED" w:rsidRDefault="00631E1D" w:rsidP="005E4F3F">
            <w:pPr>
              <w:ind w:left="0" w:hanging="119"/>
              <w:jc w:val="right"/>
              <w:rPr>
                <w:rFonts w:ascii="Arial Narrow" w:hAnsi="Arial Narrow" w:cs="Arial"/>
                <w:b/>
                <w:bCs/>
                <w:color w:val="000000" w:themeColor="text1"/>
                <w:sz w:val="20"/>
                <w:szCs w:val="20"/>
                <w:lang w:val="en-PH"/>
              </w:rPr>
            </w:pPr>
            <w:r w:rsidRPr="009E35ED">
              <w:rPr>
                <w:rFonts w:ascii="Arial Narrow" w:hAnsi="Arial Narrow" w:cs="Arial"/>
                <w:color w:val="000000" w:themeColor="text1"/>
                <w:sz w:val="20"/>
                <w:szCs w:val="20"/>
                <w:lang w:val="en-PH"/>
              </w:rPr>
              <w:t>1.01</w:t>
            </w:r>
            <w:r w:rsidR="00D374E9" w:rsidRPr="009E35ED">
              <w:rPr>
                <w:rFonts w:ascii="Arial Narrow" w:hAnsi="Arial Narrow" w:cs="Arial"/>
                <w:color w:val="000000" w:themeColor="text1"/>
                <w:sz w:val="20"/>
                <w:szCs w:val="20"/>
                <w:lang w:val="en-PH"/>
              </w:rPr>
              <w:t>%</w:t>
            </w:r>
          </w:p>
        </w:tc>
        <w:tc>
          <w:tcPr>
            <w:tcW w:w="1432" w:type="dxa"/>
            <w:shd w:val="clear" w:color="auto" w:fill="auto"/>
            <w:noWrap/>
          </w:tcPr>
          <w:p w14:paraId="18220551" w14:textId="5E0BC287" w:rsidR="00D374E9" w:rsidRPr="009E35ED" w:rsidRDefault="00631E1D" w:rsidP="005E4F3F">
            <w:pPr>
              <w:ind w:left="0" w:hanging="112"/>
              <w:jc w:val="right"/>
              <w:rPr>
                <w:rFonts w:ascii="Arial Narrow" w:hAnsi="Arial Narrow" w:cs="Arial"/>
                <w:b/>
                <w:bCs/>
                <w:color w:val="000000" w:themeColor="text1"/>
                <w:sz w:val="20"/>
                <w:szCs w:val="20"/>
                <w:lang w:val="en-PH"/>
              </w:rPr>
            </w:pPr>
            <w:r w:rsidRPr="009E35ED">
              <w:rPr>
                <w:rFonts w:ascii="Arial Narrow" w:hAnsi="Arial Narrow" w:cs="Arial"/>
                <w:color w:val="000000" w:themeColor="text1"/>
                <w:sz w:val="20"/>
                <w:szCs w:val="20"/>
                <w:lang w:val="en-PH"/>
              </w:rPr>
              <w:t>1.01</w:t>
            </w:r>
            <w:r w:rsidR="00D374E9" w:rsidRPr="009E35ED">
              <w:rPr>
                <w:rFonts w:ascii="Arial Narrow" w:hAnsi="Arial Narrow" w:cs="Arial"/>
                <w:color w:val="000000" w:themeColor="text1"/>
                <w:sz w:val="20"/>
                <w:szCs w:val="20"/>
                <w:lang w:val="en-PH"/>
              </w:rPr>
              <w:t>%</w:t>
            </w:r>
          </w:p>
        </w:tc>
        <w:tc>
          <w:tcPr>
            <w:tcW w:w="1282" w:type="dxa"/>
            <w:shd w:val="clear" w:color="auto" w:fill="auto"/>
            <w:noWrap/>
          </w:tcPr>
          <w:p w14:paraId="6C32B3D0" w14:textId="17D469CA" w:rsidR="00D374E9" w:rsidRPr="009E35ED" w:rsidRDefault="00631E1D" w:rsidP="005E4F3F">
            <w:pPr>
              <w:ind w:left="0" w:right="-90" w:hanging="104"/>
              <w:jc w:val="right"/>
              <w:rPr>
                <w:rFonts w:ascii="Arial Narrow" w:hAnsi="Arial Narrow" w:cs="Arial"/>
                <w:b/>
                <w:bCs/>
                <w:color w:val="000000" w:themeColor="text1"/>
                <w:sz w:val="20"/>
                <w:szCs w:val="20"/>
                <w:lang w:val="en-PH"/>
              </w:rPr>
            </w:pPr>
            <w:r w:rsidRPr="009E35ED">
              <w:rPr>
                <w:rFonts w:ascii="Arial Narrow" w:hAnsi="Arial Narrow" w:cs="Arial"/>
                <w:color w:val="000000" w:themeColor="text1"/>
                <w:sz w:val="20"/>
                <w:szCs w:val="20"/>
                <w:lang w:val="en-PH"/>
              </w:rPr>
              <w:t>1.01</w:t>
            </w:r>
            <w:r w:rsidR="00D374E9" w:rsidRPr="009E35ED">
              <w:rPr>
                <w:rFonts w:ascii="Arial Narrow" w:hAnsi="Arial Narrow" w:cs="Arial"/>
                <w:color w:val="000000" w:themeColor="text1"/>
                <w:sz w:val="20"/>
                <w:szCs w:val="20"/>
                <w:lang w:val="en-PH"/>
              </w:rPr>
              <w:t>%</w:t>
            </w:r>
          </w:p>
        </w:tc>
      </w:tr>
      <w:tr w:rsidR="00997F75" w:rsidRPr="009E35ED" w14:paraId="3F780D9B" w14:textId="77777777" w:rsidTr="00A046FD">
        <w:trPr>
          <w:trHeight w:val="83"/>
        </w:trPr>
        <w:tc>
          <w:tcPr>
            <w:tcW w:w="3060" w:type="dxa"/>
            <w:tcBorders>
              <w:bottom w:val="single" w:sz="4" w:space="0" w:color="auto"/>
            </w:tcBorders>
            <w:shd w:val="clear" w:color="auto" w:fill="auto"/>
            <w:noWrap/>
          </w:tcPr>
          <w:p w14:paraId="75A4B0EF" w14:textId="77777777" w:rsidR="00D374E9" w:rsidRPr="009E35ED" w:rsidRDefault="00D374E9" w:rsidP="005E4F3F">
            <w:pPr>
              <w:ind w:left="0"/>
              <w:jc w:val="lef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Net Operating Fund</w:t>
            </w:r>
          </w:p>
        </w:tc>
        <w:tc>
          <w:tcPr>
            <w:tcW w:w="1433" w:type="dxa"/>
            <w:tcBorders>
              <w:bottom w:val="single" w:sz="4" w:space="0" w:color="auto"/>
            </w:tcBorders>
            <w:shd w:val="clear" w:color="auto" w:fill="auto"/>
            <w:noWrap/>
          </w:tcPr>
          <w:p w14:paraId="4A24AB4C" w14:textId="13590593" w:rsidR="00D374E9" w:rsidRPr="009E35ED" w:rsidRDefault="00D374E9" w:rsidP="00631E1D">
            <w:pPr>
              <w:ind w:left="0" w:hanging="126"/>
              <w:jc w:val="righ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13.</w:t>
            </w:r>
            <w:r w:rsidR="00631E1D" w:rsidRPr="009E35ED">
              <w:rPr>
                <w:rFonts w:ascii="Arial Narrow" w:hAnsi="Arial Narrow" w:cs="Arial"/>
                <w:color w:val="000000" w:themeColor="text1"/>
                <w:sz w:val="20"/>
                <w:szCs w:val="20"/>
                <w:lang w:val="en-PH"/>
              </w:rPr>
              <w:t>69</w:t>
            </w:r>
            <w:r w:rsidRPr="009E35ED">
              <w:rPr>
                <w:rFonts w:ascii="Arial Narrow" w:hAnsi="Arial Narrow" w:cs="Arial"/>
                <w:color w:val="000000" w:themeColor="text1"/>
                <w:sz w:val="20"/>
                <w:szCs w:val="20"/>
                <w:lang w:val="en-PH"/>
              </w:rPr>
              <w:t>%</w:t>
            </w:r>
          </w:p>
        </w:tc>
        <w:tc>
          <w:tcPr>
            <w:tcW w:w="1433" w:type="dxa"/>
            <w:tcBorders>
              <w:bottom w:val="single" w:sz="4" w:space="0" w:color="auto"/>
            </w:tcBorders>
            <w:shd w:val="clear" w:color="auto" w:fill="auto"/>
            <w:noWrap/>
          </w:tcPr>
          <w:p w14:paraId="7BCC60CA" w14:textId="41C694C6" w:rsidR="00D374E9" w:rsidRPr="009E35ED" w:rsidRDefault="00D374E9" w:rsidP="005E4F3F">
            <w:pPr>
              <w:ind w:left="0" w:hanging="119"/>
              <w:jc w:val="righ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13.</w:t>
            </w:r>
            <w:r w:rsidR="00631E1D" w:rsidRPr="009E35ED">
              <w:rPr>
                <w:rFonts w:ascii="Arial Narrow" w:hAnsi="Arial Narrow" w:cs="Arial"/>
                <w:color w:val="000000" w:themeColor="text1"/>
                <w:sz w:val="20"/>
                <w:szCs w:val="20"/>
                <w:lang w:val="en-PH"/>
              </w:rPr>
              <w:t xml:space="preserve"> 69</w:t>
            </w:r>
            <w:r w:rsidRPr="009E35ED">
              <w:rPr>
                <w:rFonts w:ascii="Arial Narrow" w:hAnsi="Arial Narrow" w:cs="Arial"/>
                <w:color w:val="000000" w:themeColor="text1"/>
                <w:sz w:val="20"/>
                <w:szCs w:val="20"/>
                <w:lang w:val="en-PH"/>
              </w:rPr>
              <w:t>%</w:t>
            </w:r>
          </w:p>
        </w:tc>
        <w:tc>
          <w:tcPr>
            <w:tcW w:w="1432" w:type="dxa"/>
            <w:tcBorders>
              <w:bottom w:val="single" w:sz="4" w:space="0" w:color="auto"/>
            </w:tcBorders>
            <w:shd w:val="clear" w:color="auto" w:fill="auto"/>
            <w:noWrap/>
          </w:tcPr>
          <w:p w14:paraId="6AAA31F2" w14:textId="5AA0E011" w:rsidR="00D374E9" w:rsidRPr="009E35ED" w:rsidRDefault="00D374E9" w:rsidP="005E4F3F">
            <w:pPr>
              <w:ind w:left="0" w:hanging="112"/>
              <w:jc w:val="righ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13.</w:t>
            </w:r>
            <w:r w:rsidR="00631E1D" w:rsidRPr="009E35ED">
              <w:rPr>
                <w:rFonts w:ascii="Arial Narrow" w:hAnsi="Arial Narrow" w:cs="Arial"/>
                <w:color w:val="000000" w:themeColor="text1"/>
                <w:sz w:val="20"/>
                <w:szCs w:val="20"/>
                <w:lang w:val="en-PH"/>
              </w:rPr>
              <w:t xml:space="preserve"> 69</w:t>
            </w:r>
            <w:r w:rsidRPr="009E35ED">
              <w:rPr>
                <w:rFonts w:ascii="Arial Narrow" w:hAnsi="Arial Narrow" w:cs="Arial"/>
                <w:color w:val="000000" w:themeColor="text1"/>
                <w:sz w:val="20"/>
                <w:szCs w:val="20"/>
                <w:lang w:val="en-PH"/>
              </w:rPr>
              <w:t>%</w:t>
            </w:r>
          </w:p>
        </w:tc>
        <w:tc>
          <w:tcPr>
            <w:tcW w:w="1282" w:type="dxa"/>
            <w:tcBorders>
              <w:bottom w:val="single" w:sz="4" w:space="0" w:color="auto"/>
            </w:tcBorders>
            <w:shd w:val="clear" w:color="auto" w:fill="auto"/>
            <w:noWrap/>
          </w:tcPr>
          <w:p w14:paraId="1E4B07D4" w14:textId="1F14A369" w:rsidR="00D374E9" w:rsidRPr="009E35ED" w:rsidRDefault="00D374E9" w:rsidP="005E4F3F">
            <w:pPr>
              <w:ind w:left="0" w:right="-90" w:hanging="104"/>
              <w:jc w:val="righ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13.</w:t>
            </w:r>
            <w:r w:rsidR="00631E1D" w:rsidRPr="009E35ED">
              <w:rPr>
                <w:rFonts w:ascii="Arial Narrow" w:hAnsi="Arial Narrow" w:cs="Arial"/>
                <w:color w:val="000000" w:themeColor="text1"/>
                <w:sz w:val="20"/>
                <w:szCs w:val="20"/>
                <w:lang w:val="en-PH"/>
              </w:rPr>
              <w:t xml:space="preserve"> 69</w:t>
            </w:r>
            <w:r w:rsidRPr="009E35ED">
              <w:rPr>
                <w:rFonts w:ascii="Arial Narrow" w:hAnsi="Arial Narrow" w:cs="Arial"/>
                <w:color w:val="000000" w:themeColor="text1"/>
                <w:sz w:val="20"/>
                <w:szCs w:val="20"/>
                <w:lang w:val="en-PH"/>
              </w:rPr>
              <w:t>%</w:t>
            </w:r>
          </w:p>
        </w:tc>
      </w:tr>
    </w:tbl>
    <w:p w14:paraId="6F4D07CF" w14:textId="2F2C0606" w:rsidR="00F706BD" w:rsidRPr="009E35ED" w:rsidRDefault="00631E1D" w:rsidP="00803F8C">
      <w:pPr>
        <w:ind w:left="0"/>
        <w:rPr>
          <w:rFonts w:ascii="Arial" w:hAnsi="Arial" w:cs="Arial"/>
          <w:i/>
          <w:iCs/>
          <w:color w:val="000000" w:themeColor="text1"/>
          <w:sz w:val="20"/>
          <w:szCs w:val="20"/>
        </w:rPr>
      </w:pPr>
      <w:r w:rsidRPr="009E35ED">
        <w:rPr>
          <w:rFonts w:ascii="Arial" w:hAnsi="Arial" w:cs="Arial"/>
          <w:i/>
          <w:iCs/>
          <w:color w:val="000000" w:themeColor="text1"/>
          <w:sz w:val="20"/>
          <w:szCs w:val="20"/>
        </w:rPr>
        <w:t xml:space="preserve">*The increase in Agent’s Commission for Digit Games from 5.00% to 5.50% was implemented effective March 1, 2023 per </w:t>
      </w:r>
      <w:r w:rsidR="00F6182B">
        <w:rPr>
          <w:rFonts w:ascii="Arial" w:hAnsi="Arial" w:cs="Arial"/>
          <w:i/>
          <w:iCs/>
          <w:color w:val="000000" w:themeColor="text1"/>
          <w:sz w:val="20"/>
          <w:szCs w:val="20"/>
        </w:rPr>
        <w:t>BR</w:t>
      </w:r>
      <w:r w:rsidRPr="009E35ED">
        <w:rPr>
          <w:rFonts w:ascii="Arial" w:hAnsi="Arial" w:cs="Arial"/>
          <w:i/>
          <w:iCs/>
          <w:color w:val="000000" w:themeColor="text1"/>
          <w:sz w:val="20"/>
          <w:szCs w:val="20"/>
        </w:rPr>
        <w:t xml:space="preserve"> No. 0059, series of 2022.</w:t>
      </w:r>
    </w:p>
    <w:p w14:paraId="1414B3D1" w14:textId="4F05753F" w:rsidR="002A2CC8" w:rsidRPr="009E35ED" w:rsidRDefault="002A2CC8" w:rsidP="00803F8C">
      <w:pPr>
        <w:ind w:left="0"/>
        <w:rPr>
          <w:rFonts w:ascii="Arial" w:hAnsi="Arial" w:cs="Arial"/>
          <w:color w:val="000000" w:themeColor="text1"/>
          <w:sz w:val="22"/>
          <w:szCs w:val="22"/>
        </w:rPr>
      </w:pPr>
    </w:p>
    <w:p w14:paraId="701E9E97" w14:textId="3DCF9CF2" w:rsidR="00D374E9" w:rsidRPr="009E35ED" w:rsidRDefault="00D374E9" w:rsidP="00D374E9">
      <w:pPr>
        <w:ind w:left="0"/>
        <w:rPr>
          <w:rFonts w:ascii="Arial" w:hAnsi="Arial" w:cs="Arial"/>
          <w:i/>
          <w:color w:val="000000" w:themeColor="text1"/>
          <w:sz w:val="22"/>
          <w:szCs w:val="22"/>
        </w:rPr>
      </w:pPr>
      <w:r w:rsidRPr="009E35ED">
        <w:rPr>
          <w:rFonts w:ascii="Arial" w:hAnsi="Arial" w:cs="Arial"/>
          <w:bCs/>
          <w:color w:val="000000" w:themeColor="text1"/>
          <w:sz w:val="22"/>
          <w:szCs w:val="22"/>
        </w:rPr>
        <w:t xml:space="preserve">Allocation </w:t>
      </w:r>
      <w:r w:rsidRPr="009E35ED">
        <w:rPr>
          <w:rFonts w:ascii="Arial" w:hAnsi="Arial" w:cs="Arial"/>
          <w:iCs/>
          <w:color w:val="000000" w:themeColor="text1"/>
          <w:sz w:val="22"/>
          <w:szCs w:val="22"/>
        </w:rPr>
        <w:t>starting October 1, 2023 up to present</w:t>
      </w:r>
    </w:p>
    <w:p w14:paraId="61B6EE2E" w14:textId="77777777" w:rsidR="00D374E9" w:rsidRPr="009E35ED" w:rsidRDefault="00D374E9" w:rsidP="00D374E9">
      <w:pPr>
        <w:ind w:left="0"/>
        <w:rPr>
          <w:rFonts w:ascii="Arial" w:hAnsi="Arial" w:cs="Arial"/>
          <w:i/>
          <w:color w:val="000000" w:themeColor="text1"/>
          <w:sz w:val="22"/>
          <w:szCs w:val="22"/>
        </w:rPr>
      </w:pPr>
    </w:p>
    <w:tbl>
      <w:tblPr>
        <w:tblW w:w="8640" w:type="dxa"/>
        <w:tblLook w:val="04A0" w:firstRow="1" w:lastRow="0" w:firstColumn="1" w:lastColumn="0" w:noHBand="0" w:noVBand="1"/>
      </w:tblPr>
      <w:tblGrid>
        <w:gridCol w:w="3060"/>
        <w:gridCol w:w="1433"/>
        <w:gridCol w:w="1433"/>
        <w:gridCol w:w="1432"/>
        <w:gridCol w:w="1282"/>
      </w:tblGrid>
      <w:tr w:rsidR="00997F75" w:rsidRPr="009E35ED" w14:paraId="34B6F857" w14:textId="77777777" w:rsidTr="00A046FD">
        <w:trPr>
          <w:trHeight w:val="207"/>
          <w:tblHeader/>
        </w:trPr>
        <w:tc>
          <w:tcPr>
            <w:tcW w:w="3060" w:type="dxa"/>
            <w:tcBorders>
              <w:top w:val="single" w:sz="4" w:space="0" w:color="auto"/>
              <w:bottom w:val="single" w:sz="4" w:space="0" w:color="auto"/>
            </w:tcBorders>
            <w:shd w:val="clear" w:color="auto" w:fill="auto"/>
            <w:noWrap/>
            <w:hideMark/>
          </w:tcPr>
          <w:p w14:paraId="41DC4722" w14:textId="77777777" w:rsidR="00D374E9" w:rsidRPr="009E35ED" w:rsidRDefault="00D374E9" w:rsidP="005E4F3F">
            <w:pPr>
              <w:ind w:left="0" w:hanging="90"/>
              <w:jc w:val="left"/>
              <w:rPr>
                <w:rFonts w:ascii="Arial Narrow" w:hAnsi="Arial Narrow" w:cs="Arial"/>
                <w:b/>
                <w:bCs/>
                <w:color w:val="000000" w:themeColor="text1"/>
                <w:sz w:val="20"/>
                <w:szCs w:val="20"/>
                <w:lang w:val="en-PH"/>
              </w:rPr>
            </w:pPr>
            <w:r w:rsidRPr="009E35ED">
              <w:rPr>
                <w:rFonts w:ascii="Arial Narrow" w:hAnsi="Arial Narrow" w:cs="Arial"/>
                <w:b/>
                <w:bCs/>
                <w:color w:val="000000" w:themeColor="text1"/>
                <w:sz w:val="20"/>
                <w:szCs w:val="20"/>
                <w:lang w:val="en-PH"/>
              </w:rPr>
              <w:t>Particulars</w:t>
            </w:r>
          </w:p>
        </w:tc>
        <w:tc>
          <w:tcPr>
            <w:tcW w:w="1433" w:type="dxa"/>
            <w:tcBorders>
              <w:top w:val="single" w:sz="4" w:space="0" w:color="auto"/>
              <w:bottom w:val="single" w:sz="4" w:space="0" w:color="auto"/>
            </w:tcBorders>
            <w:shd w:val="clear" w:color="auto" w:fill="auto"/>
            <w:noWrap/>
            <w:hideMark/>
          </w:tcPr>
          <w:p w14:paraId="3AA1B6D3" w14:textId="77777777" w:rsidR="00D374E9" w:rsidRPr="009E35ED" w:rsidRDefault="00D374E9" w:rsidP="005E4F3F">
            <w:pPr>
              <w:ind w:left="0"/>
              <w:jc w:val="right"/>
              <w:rPr>
                <w:rFonts w:ascii="Arial Narrow" w:hAnsi="Arial Narrow" w:cs="Arial"/>
                <w:b/>
                <w:bCs/>
                <w:color w:val="000000" w:themeColor="text1"/>
                <w:sz w:val="20"/>
                <w:szCs w:val="20"/>
                <w:lang w:val="en-PH"/>
              </w:rPr>
            </w:pPr>
            <w:r w:rsidRPr="009E35ED">
              <w:rPr>
                <w:rFonts w:ascii="Arial Narrow" w:hAnsi="Arial Narrow" w:cs="Arial"/>
                <w:b/>
                <w:bCs/>
                <w:color w:val="000000" w:themeColor="text1"/>
                <w:sz w:val="20"/>
                <w:szCs w:val="20"/>
                <w:lang w:val="en-PH"/>
              </w:rPr>
              <w:t xml:space="preserve"> EZ2 </w:t>
            </w:r>
          </w:p>
        </w:tc>
        <w:tc>
          <w:tcPr>
            <w:tcW w:w="1433" w:type="dxa"/>
            <w:tcBorders>
              <w:top w:val="single" w:sz="4" w:space="0" w:color="auto"/>
              <w:bottom w:val="single" w:sz="4" w:space="0" w:color="auto"/>
            </w:tcBorders>
            <w:shd w:val="clear" w:color="auto" w:fill="auto"/>
            <w:noWrap/>
            <w:hideMark/>
          </w:tcPr>
          <w:p w14:paraId="68EF7D77" w14:textId="77777777" w:rsidR="00D374E9" w:rsidRPr="009E35ED" w:rsidRDefault="00D374E9" w:rsidP="005E4F3F">
            <w:pPr>
              <w:ind w:left="0"/>
              <w:jc w:val="right"/>
              <w:rPr>
                <w:rFonts w:ascii="Arial Narrow" w:hAnsi="Arial Narrow" w:cs="Arial"/>
                <w:b/>
                <w:bCs/>
                <w:color w:val="000000" w:themeColor="text1"/>
                <w:sz w:val="20"/>
                <w:szCs w:val="20"/>
                <w:lang w:val="en-PH"/>
              </w:rPr>
            </w:pPr>
            <w:r w:rsidRPr="009E35ED">
              <w:rPr>
                <w:rFonts w:ascii="Arial Narrow" w:hAnsi="Arial Narrow" w:cs="Arial"/>
                <w:b/>
                <w:bCs/>
                <w:color w:val="000000" w:themeColor="text1"/>
                <w:sz w:val="20"/>
                <w:szCs w:val="20"/>
                <w:lang w:val="en-PH"/>
              </w:rPr>
              <w:t xml:space="preserve"> 3D </w:t>
            </w:r>
          </w:p>
        </w:tc>
        <w:tc>
          <w:tcPr>
            <w:tcW w:w="1432" w:type="dxa"/>
            <w:tcBorders>
              <w:top w:val="single" w:sz="4" w:space="0" w:color="auto"/>
              <w:bottom w:val="single" w:sz="4" w:space="0" w:color="auto"/>
            </w:tcBorders>
            <w:shd w:val="clear" w:color="auto" w:fill="auto"/>
            <w:noWrap/>
            <w:hideMark/>
          </w:tcPr>
          <w:p w14:paraId="46AD1CA4" w14:textId="77777777" w:rsidR="00D374E9" w:rsidRPr="009E35ED" w:rsidRDefault="00D374E9" w:rsidP="005E4F3F">
            <w:pPr>
              <w:ind w:left="0"/>
              <w:jc w:val="right"/>
              <w:rPr>
                <w:rFonts w:ascii="Arial Narrow" w:hAnsi="Arial Narrow" w:cs="Arial"/>
                <w:b/>
                <w:bCs/>
                <w:color w:val="000000" w:themeColor="text1"/>
                <w:sz w:val="20"/>
                <w:szCs w:val="20"/>
                <w:lang w:val="en-PH"/>
              </w:rPr>
            </w:pPr>
            <w:r w:rsidRPr="009E35ED">
              <w:rPr>
                <w:rFonts w:ascii="Arial Narrow" w:hAnsi="Arial Narrow" w:cs="Arial"/>
                <w:b/>
                <w:bCs/>
                <w:color w:val="000000" w:themeColor="text1"/>
                <w:sz w:val="20"/>
                <w:szCs w:val="20"/>
                <w:lang w:val="en-PH"/>
              </w:rPr>
              <w:t xml:space="preserve"> 4D </w:t>
            </w:r>
          </w:p>
        </w:tc>
        <w:tc>
          <w:tcPr>
            <w:tcW w:w="1282" w:type="dxa"/>
            <w:tcBorders>
              <w:top w:val="single" w:sz="4" w:space="0" w:color="auto"/>
              <w:bottom w:val="single" w:sz="4" w:space="0" w:color="auto"/>
            </w:tcBorders>
            <w:shd w:val="clear" w:color="auto" w:fill="auto"/>
            <w:noWrap/>
            <w:hideMark/>
          </w:tcPr>
          <w:p w14:paraId="7A309452" w14:textId="77777777" w:rsidR="00D374E9" w:rsidRPr="009E35ED" w:rsidRDefault="00D374E9" w:rsidP="005E4F3F">
            <w:pPr>
              <w:ind w:left="0" w:right="-90"/>
              <w:jc w:val="right"/>
              <w:rPr>
                <w:rFonts w:ascii="Arial Narrow" w:hAnsi="Arial Narrow" w:cs="Arial"/>
                <w:b/>
                <w:bCs/>
                <w:color w:val="000000" w:themeColor="text1"/>
                <w:sz w:val="20"/>
                <w:szCs w:val="20"/>
                <w:lang w:val="en-PH"/>
              </w:rPr>
            </w:pPr>
            <w:r w:rsidRPr="009E35ED">
              <w:rPr>
                <w:rFonts w:ascii="Arial Narrow" w:hAnsi="Arial Narrow" w:cs="Arial"/>
                <w:b/>
                <w:bCs/>
                <w:color w:val="000000" w:themeColor="text1"/>
                <w:sz w:val="20"/>
                <w:szCs w:val="20"/>
                <w:lang w:val="en-PH"/>
              </w:rPr>
              <w:t xml:space="preserve"> 6D </w:t>
            </w:r>
          </w:p>
        </w:tc>
      </w:tr>
      <w:tr w:rsidR="00997F75" w:rsidRPr="009E35ED" w14:paraId="58675F39" w14:textId="77777777" w:rsidTr="00A046FD">
        <w:trPr>
          <w:trHeight w:val="134"/>
        </w:trPr>
        <w:tc>
          <w:tcPr>
            <w:tcW w:w="3060" w:type="dxa"/>
            <w:tcBorders>
              <w:top w:val="single" w:sz="4" w:space="0" w:color="auto"/>
            </w:tcBorders>
            <w:shd w:val="clear" w:color="auto" w:fill="auto"/>
            <w:noWrap/>
            <w:hideMark/>
          </w:tcPr>
          <w:p w14:paraId="6A61E078" w14:textId="77777777" w:rsidR="00D374E9" w:rsidRPr="009E35ED" w:rsidRDefault="00D374E9" w:rsidP="005E4F3F">
            <w:pPr>
              <w:ind w:left="0" w:hanging="90"/>
              <w:jc w:val="left"/>
              <w:rPr>
                <w:rFonts w:ascii="Arial Narrow" w:hAnsi="Arial Narrow" w:cs="Arial"/>
                <w:b/>
                <w:bCs/>
                <w:color w:val="000000" w:themeColor="text1"/>
                <w:sz w:val="20"/>
                <w:szCs w:val="20"/>
                <w:lang w:val="en-PH"/>
              </w:rPr>
            </w:pPr>
            <w:r w:rsidRPr="009E35ED">
              <w:rPr>
                <w:rFonts w:ascii="Arial Narrow" w:hAnsi="Arial Narrow" w:cs="Arial"/>
                <w:b/>
                <w:bCs/>
                <w:color w:val="000000" w:themeColor="text1"/>
                <w:sz w:val="20"/>
                <w:szCs w:val="20"/>
                <w:lang w:val="en-PH"/>
              </w:rPr>
              <w:t>Gross Receipts</w:t>
            </w:r>
          </w:p>
        </w:tc>
        <w:tc>
          <w:tcPr>
            <w:tcW w:w="1433" w:type="dxa"/>
            <w:tcBorders>
              <w:top w:val="single" w:sz="4" w:space="0" w:color="auto"/>
            </w:tcBorders>
            <w:shd w:val="clear" w:color="auto" w:fill="auto"/>
            <w:noWrap/>
            <w:hideMark/>
          </w:tcPr>
          <w:p w14:paraId="47ED44A5" w14:textId="77777777" w:rsidR="00D374E9" w:rsidRPr="009E35ED" w:rsidRDefault="00D374E9" w:rsidP="005E4F3F">
            <w:pPr>
              <w:ind w:left="0"/>
              <w:jc w:val="right"/>
              <w:rPr>
                <w:rFonts w:ascii="Arial Narrow" w:hAnsi="Arial Narrow" w:cs="Arial"/>
                <w:b/>
                <w:bCs/>
                <w:color w:val="000000" w:themeColor="text1"/>
                <w:sz w:val="20"/>
                <w:szCs w:val="20"/>
                <w:lang w:val="en-PH"/>
              </w:rPr>
            </w:pPr>
            <w:r w:rsidRPr="009E35ED">
              <w:rPr>
                <w:rFonts w:ascii="Arial Narrow" w:hAnsi="Arial Narrow" w:cs="Arial"/>
                <w:b/>
                <w:bCs/>
                <w:color w:val="000000" w:themeColor="text1"/>
                <w:sz w:val="20"/>
                <w:szCs w:val="20"/>
                <w:lang w:val="en-PH"/>
              </w:rPr>
              <w:t>100.00%</w:t>
            </w:r>
          </w:p>
        </w:tc>
        <w:tc>
          <w:tcPr>
            <w:tcW w:w="1433" w:type="dxa"/>
            <w:tcBorders>
              <w:top w:val="single" w:sz="4" w:space="0" w:color="auto"/>
            </w:tcBorders>
            <w:shd w:val="clear" w:color="auto" w:fill="auto"/>
            <w:noWrap/>
            <w:hideMark/>
          </w:tcPr>
          <w:p w14:paraId="746F3ABD" w14:textId="77777777" w:rsidR="00D374E9" w:rsidRPr="009E35ED" w:rsidRDefault="00D374E9" w:rsidP="005E4F3F">
            <w:pPr>
              <w:ind w:left="0"/>
              <w:jc w:val="right"/>
              <w:rPr>
                <w:rFonts w:ascii="Arial Narrow" w:hAnsi="Arial Narrow" w:cs="Arial"/>
                <w:b/>
                <w:bCs/>
                <w:color w:val="000000" w:themeColor="text1"/>
                <w:sz w:val="20"/>
                <w:szCs w:val="20"/>
                <w:lang w:val="en-PH"/>
              </w:rPr>
            </w:pPr>
            <w:r w:rsidRPr="009E35ED">
              <w:rPr>
                <w:rFonts w:ascii="Arial Narrow" w:hAnsi="Arial Narrow" w:cs="Arial"/>
                <w:b/>
                <w:bCs/>
                <w:color w:val="000000" w:themeColor="text1"/>
                <w:sz w:val="20"/>
                <w:szCs w:val="20"/>
                <w:lang w:val="en-PH"/>
              </w:rPr>
              <w:t>100.00%</w:t>
            </w:r>
          </w:p>
        </w:tc>
        <w:tc>
          <w:tcPr>
            <w:tcW w:w="1432" w:type="dxa"/>
            <w:tcBorders>
              <w:top w:val="single" w:sz="4" w:space="0" w:color="auto"/>
            </w:tcBorders>
            <w:shd w:val="clear" w:color="auto" w:fill="auto"/>
            <w:noWrap/>
            <w:hideMark/>
          </w:tcPr>
          <w:p w14:paraId="6A2D6BD4" w14:textId="77777777" w:rsidR="00D374E9" w:rsidRPr="009E35ED" w:rsidRDefault="00D374E9" w:rsidP="005E4F3F">
            <w:pPr>
              <w:ind w:left="0"/>
              <w:jc w:val="right"/>
              <w:rPr>
                <w:rFonts w:ascii="Arial Narrow" w:hAnsi="Arial Narrow" w:cs="Arial"/>
                <w:b/>
                <w:bCs/>
                <w:color w:val="000000" w:themeColor="text1"/>
                <w:sz w:val="20"/>
                <w:szCs w:val="20"/>
                <w:lang w:val="en-PH"/>
              </w:rPr>
            </w:pPr>
            <w:r w:rsidRPr="009E35ED">
              <w:rPr>
                <w:rFonts w:ascii="Arial Narrow" w:hAnsi="Arial Narrow" w:cs="Arial"/>
                <w:b/>
                <w:bCs/>
                <w:color w:val="000000" w:themeColor="text1"/>
                <w:sz w:val="20"/>
                <w:szCs w:val="20"/>
                <w:lang w:val="en-PH"/>
              </w:rPr>
              <w:t>100.00%</w:t>
            </w:r>
          </w:p>
        </w:tc>
        <w:tc>
          <w:tcPr>
            <w:tcW w:w="1282" w:type="dxa"/>
            <w:tcBorders>
              <w:top w:val="single" w:sz="4" w:space="0" w:color="auto"/>
            </w:tcBorders>
            <w:shd w:val="clear" w:color="auto" w:fill="auto"/>
            <w:noWrap/>
            <w:hideMark/>
          </w:tcPr>
          <w:p w14:paraId="6B8E97ED" w14:textId="77777777" w:rsidR="00D374E9" w:rsidRPr="009E35ED" w:rsidRDefault="00D374E9" w:rsidP="005E4F3F">
            <w:pPr>
              <w:ind w:left="0" w:right="-90"/>
              <w:jc w:val="right"/>
              <w:rPr>
                <w:rFonts w:ascii="Arial Narrow" w:hAnsi="Arial Narrow" w:cs="Arial"/>
                <w:b/>
                <w:bCs/>
                <w:color w:val="000000" w:themeColor="text1"/>
                <w:sz w:val="20"/>
                <w:szCs w:val="20"/>
                <w:lang w:val="en-PH"/>
              </w:rPr>
            </w:pPr>
            <w:r w:rsidRPr="009E35ED">
              <w:rPr>
                <w:rFonts w:ascii="Arial Narrow" w:hAnsi="Arial Narrow" w:cs="Arial"/>
                <w:b/>
                <w:bCs/>
                <w:color w:val="000000" w:themeColor="text1"/>
                <w:sz w:val="20"/>
                <w:szCs w:val="20"/>
                <w:lang w:val="en-PH"/>
              </w:rPr>
              <w:t>100.00%</w:t>
            </w:r>
          </w:p>
        </w:tc>
      </w:tr>
      <w:tr w:rsidR="00997F75" w:rsidRPr="009E35ED" w14:paraId="4012AC6D" w14:textId="77777777" w:rsidTr="00A046FD">
        <w:trPr>
          <w:trHeight w:val="83"/>
        </w:trPr>
        <w:tc>
          <w:tcPr>
            <w:tcW w:w="3060" w:type="dxa"/>
            <w:shd w:val="clear" w:color="auto" w:fill="auto"/>
            <w:noWrap/>
            <w:hideMark/>
          </w:tcPr>
          <w:p w14:paraId="10BCFEED" w14:textId="77777777" w:rsidR="00D374E9" w:rsidRPr="009E35ED" w:rsidRDefault="00D374E9" w:rsidP="005E4F3F">
            <w:pPr>
              <w:ind w:left="0" w:hanging="90"/>
              <w:jc w:val="lef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Printing Cost</w:t>
            </w:r>
          </w:p>
        </w:tc>
        <w:tc>
          <w:tcPr>
            <w:tcW w:w="1433" w:type="dxa"/>
            <w:shd w:val="clear" w:color="auto" w:fill="auto"/>
            <w:noWrap/>
            <w:hideMark/>
          </w:tcPr>
          <w:p w14:paraId="3D8C8F2F" w14:textId="77777777" w:rsidR="00D374E9" w:rsidRPr="009E35ED" w:rsidRDefault="00D374E9" w:rsidP="005E4F3F">
            <w:pPr>
              <w:ind w:left="0"/>
              <w:jc w:val="righ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2.00%</w:t>
            </w:r>
          </w:p>
        </w:tc>
        <w:tc>
          <w:tcPr>
            <w:tcW w:w="1433" w:type="dxa"/>
            <w:shd w:val="clear" w:color="auto" w:fill="auto"/>
            <w:noWrap/>
            <w:hideMark/>
          </w:tcPr>
          <w:p w14:paraId="545DC3AF" w14:textId="77777777" w:rsidR="00D374E9" w:rsidRPr="009E35ED" w:rsidRDefault="00D374E9" w:rsidP="005E4F3F">
            <w:pPr>
              <w:ind w:left="0"/>
              <w:jc w:val="righ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2.00%</w:t>
            </w:r>
          </w:p>
        </w:tc>
        <w:tc>
          <w:tcPr>
            <w:tcW w:w="1432" w:type="dxa"/>
            <w:shd w:val="clear" w:color="auto" w:fill="auto"/>
            <w:noWrap/>
            <w:hideMark/>
          </w:tcPr>
          <w:p w14:paraId="2C28E099" w14:textId="77777777" w:rsidR="00D374E9" w:rsidRPr="009E35ED" w:rsidRDefault="00D374E9" w:rsidP="005E4F3F">
            <w:pPr>
              <w:ind w:left="0"/>
              <w:jc w:val="righ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2.00%</w:t>
            </w:r>
          </w:p>
        </w:tc>
        <w:tc>
          <w:tcPr>
            <w:tcW w:w="1282" w:type="dxa"/>
            <w:shd w:val="clear" w:color="auto" w:fill="auto"/>
            <w:noWrap/>
            <w:hideMark/>
          </w:tcPr>
          <w:p w14:paraId="373D271F" w14:textId="77777777" w:rsidR="00D374E9" w:rsidRPr="009E35ED" w:rsidRDefault="00D374E9" w:rsidP="005E4F3F">
            <w:pPr>
              <w:ind w:left="0" w:right="-90"/>
              <w:jc w:val="righ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2.00%</w:t>
            </w:r>
          </w:p>
        </w:tc>
      </w:tr>
      <w:tr w:rsidR="00997F75" w:rsidRPr="009E35ED" w14:paraId="16E5C964" w14:textId="77777777" w:rsidTr="00A046FD">
        <w:trPr>
          <w:trHeight w:val="83"/>
        </w:trPr>
        <w:tc>
          <w:tcPr>
            <w:tcW w:w="3060" w:type="dxa"/>
            <w:shd w:val="clear" w:color="auto" w:fill="auto"/>
            <w:noWrap/>
            <w:hideMark/>
          </w:tcPr>
          <w:p w14:paraId="276D951C" w14:textId="44EB0D0B" w:rsidR="00D374E9" w:rsidRPr="009E35ED" w:rsidRDefault="00D374E9" w:rsidP="005E4F3F">
            <w:pPr>
              <w:ind w:left="0" w:hanging="90"/>
              <w:jc w:val="left"/>
              <w:rPr>
                <w:rFonts w:ascii="Arial Narrow" w:hAnsi="Arial Narrow" w:cs="Arial"/>
                <w:b/>
                <w:bCs/>
                <w:color w:val="000000" w:themeColor="text1"/>
                <w:sz w:val="20"/>
                <w:szCs w:val="20"/>
                <w:lang w:val="en-PH"/>
              </w:rPr>
            </w:pPr>
            <w:r w:rsidRPr="009E35ED">
              <w:rPr>
                <w:rFonts w:ascii="Arial Narrow" w:hAnsi="Arial Narrow" w:cs="Arial"/>
                <w:b/>
                <w:bCs/>
                <w:color w:val="000000" w:themeColor="text1"/>
                <w:sz w:val="20"/>
                <w:szCs w:val="20"/>
                <w:lang w:val="en-PH"/>
              </w:rPr>
              <w:t>Net Receipts</w:t>
            </w:r>
            <w:r w:rsidR="00F6182B">
              <w:rPr>
                <w:rFonts w:ascii="Arial Narrow" w:hAnsi="Arial Narrow" w:cs="Arial"/>
                <w:b/>
                <w:bCs/>
                <w:color w:val="000000" w:themeColor="text1"/>
                <w:sz w:val="20"/>
                <w:szCs w:val="20"/>
                <w:lang w:val="en-PH"/>
              </w:rPr>
              <w:t xml:space="preserve"> (NR)</w:t>
            </w:r>
          </w:p>
        </w:tc>
        <w:tc>
          <w:tcPr>
            <w:tcW w:w="1433" w:type="dxa"/>
            <w:shd w:val="clear" w:color="auto" w:fill="auto"/>
            <w:noWrap/>
            <w:hideMark/>
          </w:tcPr>
          <w:p w14:paraId="31FE1FE6" w14:textId="77777777" w:rsidR="00D374E9" w:rsidRPr="009E35ED" w:rsidRDefault="00D374E9" w:rsidP="005E4F3F">
            <w:pPr>
              <w:ind w:left="0"/>
              <w:jc w:val="right"/>
              <w:rPr>
                <w:rFonts w:ascii="Arial Narrow" w:hAnsi="Arial Narrow" w:cs="Arial"/>
                <w:b/>
                <w:bCs/>
                <w:color w:val="000000" w:themeColor="text1"/>
                <w:sz w:val="20"/>
                <w:szCs w:val="20"/>
                <w:lang w:val="en-PH"/>
              </w:rPr>
            </w:pPr>
            <w:r w:rsidRPr="009E35ED">
              <w:rPr>
                <w:rFonts w:ascii="Arial Narrow" w:hAnsi="Arial Narrow" w:cs="Arial"/>
                <w:b/>
                <w:bCs/>
                <w:color w:val="000000" w:themeColor="text1"/>
                <w:sz w:val="20"/>
                <w:szCs w:val="20"/>
                <w:lang w:val="en-PH"/>
              </w:rPr>
              <w:t>98.00%</w:t>
            </w:r>
          </w:p>
        </w:tc>
        <w:tc>
          <w:tcPr>
            <w:tcW w:w="1433" w:type="dxa"/>
            <w:shd w:val="clear" w:color="auto" w:fill="auto"/>
            <w:noWrap/>
            <w:hideMark/>
          </w:tcPr>
          <w:p w14:paraId="7D1A9464" w14:textId="77777777" w:rsidR="00D374E9" w:rsidRPr="009E35ED" w:rsidRDefault="00D374E9" w:rsidP="005E4F3F">
            <w:pPr>
              <w:ind w:left="0"/>
              <w:jc w:val="right"/>
              <w:rPr>
                <w:rFonts w:ascii="Arial Narrow" w:hAnsi="Arial Narrow" w:cs="Arial"/>
                <w:b/>
                <w:bCs/>
                <w:color w:val="000000" w:themeColor="text1"/>
                <w:sz w:val="20"/>
                <w:szCs w:val="20"/>
                <w:lang w:val="en-PH"/>
              </w:rPr>
            </w:pPr>
            <w:r w:rsidRPr="009E35ED">
              <w:rPr>
                <w:rFonts w:ascii="Arial Narrow" w:hAnsi="Arial Narrow" w:cs="Arial"/>
                <w:b/>
                <w:bCs/>
                <w:color w:val="000000" w:themeColor="text1"/>
                <w:sz w:val="20"/>
                <w:szCs w:val="20"/>
                <w:lang w:val="en-PH"/>
              </w:rPr>
              <w:t>98.00%</w:t>
            </w:r>
          </w:p>
        </w:tc>
        <w:tc>
          <w:tcPr>
            <w:tcW w:w="1432" w:type="dxa"/>
            <w:shd w:val="clear" w:color="auto" w:fill="auto"/>
            <w:noWrap/>
            <w:hideMark/>
          </w:tcPr>
          <w:p w14:paraId="7FBBB85C" w14:textId="77777777" w:rsidR="00D374E9" w:rsidRPr="009E35ED" w:rsidRDefault="00D374E9" w:rsidP="005E4F3F">
            <w:pPr>
              <w:ind w:left="0"/>
              <w:jc w:val="right"/>
              <w:rPr>
                <w:rFonts w:ascii="Arial Narrow" w:hAnsi="Arial Narrow" w:cs="Arial"/>
                <w:b/>
                <w:bCs/>
                <w:color w:val="000000" w:themeColor="text1"/>
                <w:sz w:val="20"/>
                <w:szCs w:val="20"/>
                <w:lang w:val="en-PH"/>
              </w:rPr>
            </w:pPr>
            <w:r w:rsidRPr="009E35ED">
              <w:rPr>
                <w:rFonts w:ascii="Arial Narrow" w:hAnsi="Arial Narrow" w:cs="Arial"/>
                <w:b/>
                <w:bCs/>
                <w:color w:val="000000" w:themeColor="text1"/>
                <w:sz w:val="20"/>
                <w:szCs w:val="20"/>
                <w:lang w:val="en-PH"/>
              </w:rPr>
              <w:t>98.00%</w:t>
            </w:r>
          </w:p>
        </w:tc>
        <w:tc>
          <w:tcPr>
            <w:tcW w:w="1282" w:type="dxa"/>
            <w:shd w:val="clear" w:color="auto" w:fill="auto"/>
            <w:noWrap/>
            <w:hideMark/>
          </w:tcPr>
          <w:p w14:paraId="5F9CA153" w14:textId="77777777" w:rsidR="00D374E9" w:rsidRPr="009E35ED" w:rsidRDefault="00D374E9" w:rsidP="005E4F3F">
            <w:pPr>
              <w:ind w:left="0" w:right="-90"/>
              <w:jc w:val="right"/>
              <w:rPr>
                <w:rFonts w:ascii="Arial Narrow" w:hAnsi="Arial Narrow" w:cs="Arial"/>
                <w:b/>
                <w:bCs/>
                <w:color w:val="000000" w:themeColor="text1"/>
                <w:sz w:val="20"/>
                <w:szCs w:val="20"/>
                <w:lang w:val="en-PH"/>
              </w:rPr>
            </w:pPr>
            <w:r w:rsidRPr="009E35ED">
              <w:rPr>
                <w:rFonts w:ascii="Arial Narrow" w:hAnsi="Arial Narrow" w:cs="Arial"/>
                <w:b/>
                <w:bCs/>
                <w:color w:val="000000" w:themeColor="text1"/>
                <w:sz w:val="20"/>
                <w:szCs w:val="20"/>
                <w:lang w:val="en-PH"/>
              </w:rPr>
              <w:t>98.00%</w:t>
            </w:r>
          </w:p>
        </w:tc>
      </w:tr>
      <w:tr w:rsidR="00997F75" w:rsidRPr="009E35ED" w14:paraId="467FDBFE" w14:textId="77777777" w:rsidTr="00A046FD">
        <w:trPr>
          <w:trHeight w:val="252"/>
        </w:trPr>
        <w:tc>
          <w:tcPr>
            <w:tcW w:w="3060" w:type="dxa"/>
            <w:shd w:val="clear" w:color="auto" w:fill="auto"/>
            <w:noWrap/>
            <w:hideMark/>
          </w:tcPr>
          <w:p w14:paraId="086BCBD0" w14:textId="77777777" w:rsidR="00D374E9" w:rsidRPr="009E35ED" w:rsidRDefault="00D374E9" w:rsidP="005E4F3F">
            <w:pPr>
              <w:ind w:left="0" w:hanging="90"/>
              <w:jc w:val="left"/>
              <w:rPr>
                <w:rFonts w:ascii="Arial Narrow" w:hAnsi="Arial Narrow" w:cs="Arial"/>
                <w:b/>
                <w:bCs/>
                <w:color w:val="000000" w:themeColor="text1"/>
                <w:sz w:val="20"/>
                <w:szCs w:val="20"/>
                <w:lang w:val="en-PH"/>
              </w:rPr>
            </w:pPr>
          </w:p>
        </w:tc>
        <w:tc>
          <w:tcPr>
            <w:tcW w:w="1433" w:type="dxa"/>
            <w:shd w:val="clear" w:color="auto" w:fill="auto"/>
            <w:noWrap/>
            <w:hideMark/>
          </w:tcPr>
          <w:p w14:paraId="2A768CCE" w14:textId="77777777" w:rsidR="00D374E9" w:rsidRPr="009E35ED" w:rsidRDefault="00D374E9" w:rsidP="005E4F3F">
            <w:pPr>
              <w:ind w:left="0"/>
              <w:jc w:val="right"/>
              <w:rPr>
                <w:rFonts w:ascii="Arial Narrow" w:hAnsi="Arial Narrow" w:cs="Arial"/>
                <w:color w:val="000000" w:themeColor="text1"/>
                <w:sz w:val="20"/>
                <w:szCs w:val="20"/>
                <w:lang w:val="en-PH"/>
              </w:rPr>
            </w:pPr>
          </w:p>
        </w:tc>
        <w:tc>
          <w:tcPr>
            <w:tcW w:w="1433" w:type="dxa"/>
            <w:shd w:val="clear" w:color="auto" w:fill="auto"/>
            <w:noWrap/>
            <w:hideMark/>
          </w:tcPr>
          <w:p w14:paraId="2104950D" w14:textId="77777777" w:rsidR="00D374E9" w:rsidRPr="009E35ED" w:rsidRDefault="00D374E9" w:rsidP="005E4F3F">
            <w:pPr>
              <w:ind w:left="0"/>
              <w:jc w:val="right"/>
              <w:rPr>
                <w:rFonts w:ascii="Arial Narrow" w:hAnsi="Arial Narrow" w:cs="Arial"/>
                <w:color w:val="000000" w:themeColor="text1"/>
                <w:sz w:val="20"/>
                <w:szCs w:val="20"/>
                <w:lang w:val="en-PH"/>
              </w:rPr>
            </w:pPr>
          </w:p>
        </w:tc>
        <w:tc>
          <w:tcPr>
            <w:tcW w:w="1432" w:type="dxa"/>
            <w:shd w:val="clear" w:color="auto" w:fill="auto"/>
            <w:noWrap/>
            <w:hideMark/>
          </w:tcPr>
          <w:p w14:paraId="47D6E1DF" w14:textId="77777777" w:rsidR="00D374E9" w:rsidRPr="009E35ED" w:rsidRDefault="00D374E9" w:rsidP="005E4F3F">
            <w:pPr>
              <w:ind w:left="0"/>
              <w:jc w:val="right"/>
              <w:rPr>
                <w:rFonts w:ascii="Arial Narrow" w:hAnsi="Arial Narrow" w:cs="Arial"/>
                <w:color w:val="000000" w:themeColor="text1"/>
                <w:sz w:val="20"/>
                <w:szCs w:val="20"/>
                <w:lang w:val="en-PH"/>
              </w:rPr>
            </w:pPr>
          </w:p>
        </w:tc>
        <w:tc>
          <w:tcPr>
            <w:tcW w:w="1282" w:type="dxa"/>
            <w:shd w:val="clear" w:color="auto" w:fill="auto"/>
            <w:noWrap/>
            <w:hideMark/>
          </w:tcPr>
          <w:p w14:paraId="19A41329" w14:textId="77777777" w:rsidR="00D374E9" w:rsidRPr="009E35ED" w:rsidRDefault="00D374E9" w:rsidP="005E4F3F">
            <w:pPr>
              <w:ind w:left="0" w:right="-90"/>
              <w:jc w:val="right"/>
              <w:rPr>
                <w:rFonts w:ascii="Arial Narrow" w:hAnsi="Arial Narrow" w:cs="Arial"/>
                <w:color w:val="000000" w:themeColor="text1"/>
                <w:sz w:val="20"/>
                <w:szCs w:val="20"/>
                <w:lang w:val="en-PH"/>
              </w:rPr>
            </w:pPr>
          </w:p>
        </w:tc>
      </w:tr>
      <w:tr w:rsidR="00997F75" w:rsidRPr="009E35ED" w14:paraId="231BA387" w14:textId="77777777" w:rsidTr="00A046FD">
        <w:trPr>
          <w:trHeight w:val="72"/>
        </w:trPr>
        <w:tc>
          <w:tcPr>
            <w:tcW w:w="3060" w:type="dxa"/>
            <w:shd w:val="clear" w:color="auto" w:fill="auto"/>
            <w:noWrap/>
            <w:hideMark/>
          </w:tcPr>
          <w:p w14:paraId="32277FC8" w14:textId="77777777" w:rsidR="00D374E9" w:rsidRPr="009E35ED" w:rsidRDefault="00D374E9" w:rsidP="005E4F3F">
            <w:pPr>
              <w:ind w:left="0" w:hanging="90"/>
              <w:jc w:val="left"/>
              <w:rPr>
                <w:rFonts w:ascii="Arial Narrow" w:hAnsi="Arial Narrow" w:cs="Arial"/>
                <w:b/>
                <w:bCs/>
                <w:color w:val="000000" w:themeColor="text1"/>
                <w:sz w:val="20"/>
                <w:szCs w:val="20"/>
                <w:lang w:val="en-PH"/>
              </w:rPr>
            </w:pPr>
            <w:r w:rsidRPr="009E35ED">
              <w:rPr>
                <w:rFonts w:ascii="Arial Narrow" w:hAnsi="Arial Narrow" w:cs="Arial"/>
                <w:b/>
                <w:bCs/>
                <w:color w:val="000000" w:themeColor="text1"/>
                <w:sz w:val="20"/>
                <w:szCs w:val="20"/>
                <w:lang w:val="en-PH"/>
              </w:rPr>
              <w:t>I. Prize Fund  (55% of NR)</w:t>
            </w:r>
          </w:p>
        </w:tc>
        <w:tc>
          <w:tcPr>
            <w:tcW w:w="1433" w:type="dxa"/>
            <w:shd w:val="clear" w:color="auto" w:fill="auto"/>
            <w:noWrap/>
            <w:hideMark/>
          </w:tcPr>
          <w:p w14:paraId="305DF3B3" w14:textId="77777777" w:rsidR="00D374E9" w:rsidRPr="009E35ED" w:rsidRDefault="00D374E9" w:rsidP="005E4F3F">
            <w:pPr>
              <w:ind w:left="0"/>
              <w:jc w:val="right"/>
              <w:rPr>
                <w:rFonts w:ascii="Arial Narrow" w:hAnsi="Arial Narrow" w:cs="Arial"/>
                <w:b/>
                <w:bCs/>
                <w:color w:val="000000" w:themeColor="text1"/>
                <w:sz w:val="20"/>
                <w:szCs w:val="20"/>
                <w:lang w:val="en-PH"/>
              </w:rPr>
            </w:pPr>
            <w:r w:rsidRPr="009E35ED">
              <w:rPr>
                <w:rFonts w:ascii="Arial Narrow" w:hAnsi="Arial Narrow" w:cs="Arial"/>
                <w:b/>
                <w:bCs/>
                <w:color w:val="000000" w:themeColor="text1"/>
                <w:sz w:val="20"/>
                <w:szCs w:val="20"/>
                <w:lang w:val="en-PH"/>
              </w:rPr>
              <w:t>53.90%</w:t>
            </w:r>
          </w:p>
        </w:tc>
        <w:tc>
          <w:tcPr>
            <w:tcW w:w="1433" w:type="dxa"/>
            <w:shd w:val="clear" w:color="auto" w:fill="auto"/>
            <w:noWrap/>
            <w:hideMark/>
          </w:tcPr>
          <w:p w14:paraId="1F5ADDEA" w14:textId="77777777" w:rsidR="00D374E9" w:rsidRPr="009E35ED" w:rsidRDefault="00D374E9" w:rsidP="005E4F3F">
            <w:pPr>
              <w:ind w:left="0"/>
              <w:jc w:val="right"/>
              <w:rPr>
                <w:rFonts w:ascii="Arial Narrow" w:hAnsi="Arial Narrow" w:cs="Arial"/>
                <w:b/>
                <w:bCs/>
                <w:color w:val="000000" w:themeColor="text1"/>
                <w:sz w:val="20"/>
                <w:szCs w:val="20"/>
                <w:lang w:val="en-PH"/>
              </w:rPr>
            </w:pPr>
            <w:r w:rsidRPr="009E35ED">
              <w:rPr>
                <w:rFonts w:ascii="Arial Narrow" w:hAnsi="Arial Narrow" w:cs="Arial"/>
                <w:b/>
                <w:bCs/>
                <w:color w:val="000000" w:themeColor="text1"/>
                <w:sz w:val="20"/>
                <w:szCs w:val="20"/>
                <w:lang w:val="en-PH"/>
              </w:rPr>
              <w:t>53.90%</w:t>
            </w:r>
          </w:p>
        </w:tc>
        <w:tc>
          <w:tcPr>
            <w:tcW w:w="1432" w:type="dxa"/>
            <w:shd w:val="clear" w:color="auto" w:fill="auto"/>
            <w:noWrap/>
            <w:hideMark/>
          </w:tcPr>
          <w:p w14:paraId="7C002336" w14:textId="77777777" w:rsidR="00D374E9" w:rsidRPr="009E35ED" w:rsidRDefault="00D374E9" w:rsidP="005E4F3F">
            <w:pPr>
              <w:ind w:left="0"/>
              <w:jc w:val="right"/>
              <w:rPr>
                <w:rFonts w:ascii="Arial Narrow" w:hAnsi="Arial Narrow" w:cs="Arial"/>
                <w:b/>
                <w:bCs/>
                <w:color w:val="000000" w:themeColor="text1"/>
                <w:sz w:val="20"/>
                <w:szCs w:val="20"/>
                <w:lang w:val="en-PH"/>
              </w:rPr>
            </w:pPr>
            <w:r w:rsidRPr="009E35ED">
              <w:rPr>
                <w:rFonts w:ascii="Arial Narrow" w:hAnsi="Arial Narrow" w:cs="Arial"/>
                <w:b/>
                <w:bCs/>
                <w:color w:val="000000" w:themeColor="text1"/>
                <w:sz w:val="20"/>
                <w:szCs w:val="20"/>
                <w:lang w:val="en-PH"/>
              </w:rPr>
              <w:t>53.90%</w:t>
            </w:r>
          </w:p>
        </w:tc>
        <w:tc>
          <w:tcPr>
            <w:tcW w:w="1282" w:type="dxa"/>
            <w:shd w:val="clear" w:color="auto" w:fill="auto"/>
            <w:noWrap/>
            <w:hideMark/>
          </w:tcPr>
          <w:p w14:paraId="2C53BA37" w14:textId="77777777" w:rsidR="00D374E9" w:rsidRPr="009E35ED" w:rsidRDefault="00D374E9" w:rsidP="005E4F3F">
            <w:pPr>
              <w:ind w:left="0" w:right="-90"/>
              <w:jc w:val="right"/>
              <w:rPr>
                <w:rFonts w:ascii="Arial Narrow" w:hAnsi="Arial Narrow" w:cs="Arial"/>
                <w:b/>
                <w:bCs/>
                <w:color w:val="000000" w:themeColor="text1"/>
                <w:sz w:val="20"/>
                <w:szCs w:val="20"/>
                <w:lang w:val="en-PH"/>
              </w:rPr>
            </w:pPr>
            <w:r w:rsidRPr="009E35ED">
              <w:rPr>
                <w:rFonts w:ascii="Arial Narrow" w:hAnsi="Arial Narrow" w:cs="Arial"/>
                <w:b/>
                <w:bCs/>
                <w:color w:val="000000" w:themeColor="text1"/>
                <w:sz w:val="20"/>
                <w:szCs w:val="20"/>
                <w:lang w:val="en-PH"/>
              </w:rPr>
              <w:t>53.90%</w:t>
            </w:r>
          </w:p>
        </w:tc>
      </w:tr>
      <w:tr w:rsidR="00997F75" w:rsidRPr="009E35ED" w14:paraId="345EEAE0" w14:textId="77777777" w:rsidTr="00A046FD">
        <w:trPr>
          <w:trHeight w:val="135"/>
        </w:trPr>
        <w:tc>
          <w:tcPr>
            <w:tcW w:w="3060" w:type="dxa"/>
            <w:shd w:val="clear" w:color="auto" w:fill="auto"/>
            <w:noWrap/>
            <w:hideMark/>
          </w:tcPr>
          <w:p w14:paraId="765D39D2" w14:textId="77777777" w:rsidR="00D374E9" w:rsidRPr="009E35ED" w:rsidRDefault="00D374E9" w:rsidP="005E4F3F">
            <w:pPr>
              <w:ind w:left="0" w:hanging="90"/>
              <w:jc w:val="lef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Agent's Commission</w:t>
            </w:r>
          </w:p>
        </w:tc>
        <w:tc>
          <w:tcPr>
            <w:tcW w:w="1433" w:type="dxa"/>
            <w:shd w:val="clear" w:color="auto" w:fill="auto"/>
            <w:noWrap/>
            <w:hideMark/>
          </w:tcPr>
          <w:p w14:paraId="71802DF0" w14:textId="30146CBB" w:rsidR="00D374E9" w:rsidRPr="009E35ED" w:rsidRDefault="00D374E9" w:rsidP="0009357F">
            <w:pPr>
              <w:ind w:left="0"/>
              <w:jc w:val="righ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5.</w:t>
            </w:r>
            <w:r w:rsidR="0009357F" w:rsidRPr="009E35ED">
              <w:rPr>
                <w:rFonts w:ascii="Arial Narrow" w:hAnsi="Arial Narrow" w:cs="Arial"/>
                <w:color w:val="000000" w:themeColor="text1"/>
                <w:sz w:val="20"/>
                <w:szCs w:val="20"/>
                <w:lang w:val="en-PH"/>
              </w:rPr>
              <w:t>50</w:t>
            </w:r>
            <w:r w:rsidRPr="009E35ED">
              <w:rPr>
                <w:rFonts w:ascii="Arial Narrow" w:hAnsi="Arial Narrow" w:cs="Arial"/>
                <w:color w:val="000000" w:themeColor="text1"/>
                <w:sz w:val="20"/>
                <w:szCs w:val="20"/>
                <w:lang w:val="en-PH"/>
              </w:rPr>
              <w:t>%</w:t>
            </w:r>
          </w:p>
        </w:tc>
        <w:tc>
          <w:tcPr>
            <w:tcW w:w="1433" w:type="dxa"/>
            <w:shd w:val="clear" w:color="auto" w:fill="auto"/>
            <w:noWrap/>
            <w:hideMark/>
          </w:tcPr>
          <w:p w14:paraId="5D6F4BBE" w14:textId="5D4DAB93" w:rsidR="00D374E9" w:rsidRPr="009E35ED" w:rsidRDefault="00D374E9" w:rsidP="0009357F">
            <w:pPr>
              <w:ind w:left="0"/>
              <w:jc w:val="righ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5.</w:t>
            </w:r>
            <w:r w:rsidR="0009357F" w:rsidRPr="009E35ED">
              <w:rPr>
                <w:rFonts w:ascii="Arial Narrow" w:hAnsi="Arial Narrow" w:cs="Arial"/>
                <w:color w:val="000000" w:themeColor="text1"/>
                <w:sz w:val="20"/>
                <w:szCs w:val="20"/>
                <w:lang w:val="en-PH"/>
              </w:rPr>
              <w:t>50</w:t>
            </w:r>
            <w:r w:rsidRPr="009E35ED">
              <w:rPr>
                <w:rFonts w:ascii="Arial Narrow" w:hAnsi="Arial Narrow" w:cs="Arial"/>
                <w:color w:val="000000" w:themeColor="text1"/>
                <w:sz w:val="20"/>
                <w:szCs w:val="20"/>
                <w:lang w:val="en-PH"/>
              </w:rPr>
              <w:t>%</w:t>
            </w:r>
          </w:p>
        </w:tc>
        <w:tc>
          <w:tcPr>
            <w:tcW w:w="1432" w:type="dxa"/>
            <w:shd w:val="clear" w:color="auto" w:fill="auto"/>
            <w:noWrap/>
            <w:hideMark/>
          </w:tcPr>
          <w:p w14:paraId="11B9A619" w14:textId="5CDB1B6C" w:rsidR="00D374E9" w:rsidRPr="009E35ED" w:rsidRDefault="00D374E9" w:rsidP="0009357F">
            <w:pPr>
              <w:ind w:left="0"/>
              <w:jc w:val="righ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5.</w:t>
            </w:r>
            <w:r w:rsidR="0009357F" w:rsidRPr="009E35ED">
              <w:rPr>
                <w:rFonts w:ascii="Arial Narrow" w:hAnsi="Arial Narrow" w:cs="Arial"/>
                <w:color w:val="000000" w:themeColor="text1"/>
                <w:sz w:val="20"/>
                <w:szCs w:val="20"/>
                <w:lang w:val="en-PH"/>
              </w:rPr>
              <w:t>50</w:t>
            </w:r>
            <w:r w:rsidRPr="009E35ED">
              <w:rPr>
                <w:rFonts w:ascii="Arial Narrow" w:hAnsi="Arial Narrow" w:cs="Arial"/>
                <w:color w:val="000000" w:themeColor="text1"/>
                <w:sz w:val="20"/>
                <w:szCs w:val="20"/>
                <w:lang w:val="en-PH"/>
              </w:rPr>
              <w:t>%</w:t>
            </w:r>
          </w:p>
        </w:tc>
        <w:tc>
          <w:tcPr>
            <w:tcW w:w="1282" w:type="dxa"/>
            <w:shd w:val="clear" w:color="auto" w:fill="auto"/>
            <w:noWrap/>
            <w:hideMark/>
          </w:tcPr>
          <w:p w14:paraId="1A25BA0B" w14:textId="46D91C1D" w:rsidR="00D374E9" w:rsidRPr="009E35ED" w:rsidRDefault="00D374E9" w:rsidP="0009357F">
            <w:pPr>
              <w:ind w:left="0" w:right="-90"/>
              <w:jc w:val="righ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5.</w:t>
            </w:r>
            <w:r w:rsidR="0009357F" w:rsidRPr="009E35ED">
              <w:rPr>
                <w:rFonts w:ascii="Arial Narrow" w:hAnsi="Arial Narrow" w:cs="Arial"/>
                <w:color w:val="000000" w:themeColor="text1"/>
                <w:sz w:val="20"/>
                <w:szCs w:val="20"/>
                <w:lang w:val="en-PH"/>
              </w:rPr>
              <w:t>50</w:t>
            </w:r>
            <w:r w:rsidRPr="009E35ED">
              <w:rPr>
                <w:rFonts w:ascii="Arial Narrow" w:hAnsi="Arial Narrow" w:cs="Arial"/>
                <w:color w:val="000000" w:themeColor="text1"/>
                <w:sz w:val="20"/>
                <w:szCs w:val="20"/>
                <w:lang w:val="en-PH"/>
              </w:rPr>
              <w:t>%</w:t>
            </w:r>
          </w:p>
        </w:tc>
      </w:tr>
      <w:tr w:rsidR="00997F75" w:rsidRPr="009E35ED" w14:paraId="51A155D3" w14:textId="77777777" w:rsidTr="00A046FD">
        <w:trPr>
          <w:trHeight w:val="135"/>
        </w:trPr>
        <w:tc>
          <w:tcPr>
            <w:tcW w:w="3060" w:type="dxa"/>
            <w:shd w:val="clear" w:color="auto" w:fill="auto"/>
            <w:noWrap/>
            <w:hideMark/>
          </w:tcPr>
          <w:p w14:paraId="386553AA" w14:textId="44163FB3" w:rsidR="00D374E9" w:rsidRPr="009E35ED" w:rsidRDefault="0009357F" w:rsidP="005E4F3F">
            <w:pPr>
              <w:ind w:left="0" w:hanging="90"/>
              <w:jc w:val="lef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PLS Cost</w:t>
            </w:r>
          </w:p>
        </w:tc>
        <w:tc>
          <w:tcPr>
            <w:tcW w:w="1433" w:type="dxa"/>
            <w:shd w:val="clear" w:color="auto" w:fill="auto"/>
            <w:noWrap/>
            <w:hideMark/>
          </w:tcPr>
          <w:p w14:paraId="224774C1" w14:textId="68A70DBE" w:rsidR="00D374E9" w:rsidRPr="009E35ED" w:rsidRDefault="0009357F" w:rsidP="005E4F3F">
            <w:pPr>
              <w:ind w:left="0"/>
              <w:jc w:val="righ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1.82</w:t>
            </w:r>
            <w:r w:rsidR="00D374E9" w:rsidRPr="009E35ED">
              <w:rPr>
                <w:rFonts w:ascii="Arial Narrow" w:hAnsi="Arial Narrow" w:cs="Arial"/>
                <w:color w:val="000000" w:themeColor="text1"/>
                <w:sz w:val="20"/>
                <w:szCs w:val="20"/>
                <w:lang w:val="en-PH"/>
              </w:rPr>
              <w:t>%</w:t>
            </w:r>
          </w:p>
        </w:tc>
        <w:tc>
          <w:tcPr>
            <w:tcW w:w="1433" w:type="dxa"/>
            <w:shd w:val="clear" w:color="auto" w:fill="auto"/>
            <w:noWrap/>
            <w:hideMark/>
          </w:tcPr>
          <w:p w14:paraId="2A56DB58" w14:textId="7EDF81E9" w:rsidR="00D374E9" w:rsidRPr="009E35ED" w:rsidRDefault="0009357F" w:rsidP="005E4F3F">
            <w:pPr>
              <w:ind w:left="0"/>
              <w:jc w:val="righ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1.82</w:t>
            </w:r>
            <w:r w:rsidR="00D374E9" w:rsidRPr="009E35ED">
              <w:rPr>
                <w:rFonts w:ascii="Arial Narrow" w:hAnsi="Arial Narrow" w:cs="Arial"/>
                <w:color w:val="000000" w:themeColor="text1"/>
                <w:sz w:val="20"/>
                <w:szCs w:val="20"/>
                <w:lang w:val="en-PH"/>
              </w:rPr>
              <w:t>%</w:t>
            </w:r>
          </w:p>
        </w:tc>
        <w:tc>
          <w:tcPr>
            <w:tcW w:w="1432" w:type="dxa"/>
            <w:shd w:val="clear" w:color="auto" w:fill="auto"/>
            <w:noWrap/>
            <w:hideMark/>
          </w:tcPr>
          <w:p w14:paraId="61298088" w14:textId="4C67F9A8" w:rsidR="00D374E9" w:rsidRPr="009E35ED" w:rsidRDefault="0009357F" w:rsidP="005E4F3F">
            <w:pPr>
              <w:ind w:left="0"/>
              <w:jc w:val="righ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1.82</w:t>
            </w:r>
            <w:r w:rsidR="00D374E9" w:rsidRPr="009E35ED">
              <w:rPr>
                <w:rFonts w:ascii="Arial Narrow" w:hAnsi="Arial Narrow" w:cs="Arial"/>
                <w:color w:val="000000" w:themeColor="text1"/>
                <w:sz w:val="20"/>
                <w:szCs w:val="20"/>
                <w:lang w:val="en-PH"/>
              </w:rPr>
              <w:t>%</w:t>
            </w:r>
          </w:p>
        </w:tc>
        <w:tc>
          <w:tcPr>
            <w:tcW w:w="1282" w:type="dxa"/>
            <w:shd w:val="clear" w:color="auto" w:fill="auto"/>
            <w:noWrap/>
            <w:hideMark/>
          </w:tcPr>
          <w:p w14:paraId="1034B8C7" w14:textId="44EAFAF2" w:rsidR="00D374E9" w:rsidRPr="009E35ED" w:rsidRDefault="0009357F" w:rsidP="005E4F3F">
            <w:pPr>
              <w:ind w:left="0" w:right="-90"/>
              <w:jc w:val="righ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1.82</w:t>
            </w:r>
            <w:r w:rsidR="00D374E9" w:rsidRPr="009E35ED">
              <w:rPr>
                <w:rFonts w:ascii="Arial Narrow" w:hAnsi="Arial Narrow" w:cs="Arial"/>
                <w:color w:val="000000" w:themeColor="text1"/>
                <w:sz w:val="20"/>
                <w:szCs w:val="20"/>
                <w:lang w:val="en-PH"/>
              </w:rPr>
              <w:t>%</w:t>
            </w:r>
          </w:p>
        </w:tc>
      </w:tr>
      <w:tr w:rsidR="00997F75" w:rsidRPr="009E35ED" w14:paraId="6D77E2E9" w14:textId="77777777" w:rsidTr="00A046FD">
        <w:trPr>
          <w:trHeight w:val="144"/>
        </w:trPr>
        <w:tc>
          <w:tcPr>
            <w:tcW w:w="3060" w:type="dxa"/>
            <w:shd w:val="clear" w:color="auto" w:fill="auto"/>
            <w:noWrap/>
            <w:hideMark/>
          </w:tcPr>
          <w:p w14:paraId="331F0FB8" w14:textId="77777777" w:rsidR="00D374E9" w:rsidRPr="009E35ED" w:rsidRDefault="00D374E9" w:rsidP="005E4F3F">
            <w:pPr>
              <w:ind w:left="0" w:hanging="90"/>
              <w:jc w:val="lef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Prize Margin/Reserved Fund</w:t>
            </w:r>
          </w:p>
        </w:tc>
        <w:tc>
          <w:tcPr>
            <w:tcW w:w="1433" w:type="dxa"/>
            <w:shd w:val="clear" w:color="auto" w:fill="auto"/>
            <w:noWrap/>
            <w:hideMark/>
          </w:tcPr>
          <w:p w14:paraId="49AACEE6" w14:textId="760037F1" w:rsidR="00D374E9" w:rsidRPr="009E35ED" w:rsidRDefault="0009357F" w:rsidP="0009357F">
            <w:pPr>
              <w:ind w:left="0"/>
              <w:jc w:val="righ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10</w:t>
            </w:r>
            <w:r w:rsidR="00D374E9" w:rsidRPr="009E35ED">
              <w:rPr>
                <w:rFonts w:ascii="Arial Narrow" w:hAnsi="Arial Narrow" w:cs="Arial"/>
                <w:color w:val="000000" w:themeColor="text1"/>
                <w:sz w:val="20"/>
                <w:szCs w:val="20"/>
                <w:lang w:val="en-PH"/>
              </w:rPr>
              <w:t>.5</w:t>
            </w:r>
            <w:r w:rsidRPr="009E35ED">
              <w:rPr>
                <w:rFonts w:ascii="Arial Narrow" w:hAnsi="Arial Narrow" w:cs="Arial"/>
                <w:color w:val="000000" w:themeColor="text1"/>
                <w:sz w:val="20"/>
                <w:szCs w:val="20"/>
                <w:lang w:val="en-PH"/>
              </w:rPr>
              <w:t>8</w:t>
            </w:r>
            <w:r w:rsidR="00D374E9" w:rsidRPr="009E35ED">
              <w:rPr>
                <w:rFonts w:ascii="Arial Narrow" w:hAnsi="Arial Narrow" w:cs="Arial"/>
                <w:color w:val="000000" w:themeColor="text1"/>
                <w:sz w:val="20"/>
                <w:szCs w:val="20"/>
                <w:lang w:val="en-PH"/>
              </w:rPr>
              <w:t>%</w:t>
            </w:r>
          </w:p>
        </w:tc>
        <w:tc>
          <w:tcPr>
            <w:tcW w:w="1433" w:type="dxa"/>
            <w:shd w:val="clear" w:color="auto" w:fill="auto"/>
            <w:noWrap/>
            <w:hideMark/>
          </w:tcPr>
          <w:p w14:paraId="38D02B37" w14:textId="7D16B50C" w:rsidR="00D374E9" w:rsidRPr="009E35ED" w:rsidRDefault="0009357F" w:rsidP="005E4F3F">
            <w:pPr>
              <w:ind w:left="0"/>
              <w:jc w:val="righ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10.58</w:t>
            </w:r>
            <w:r w:rsidR="00D374E9" w:rsidRPr="009E35ED">
              <w:rPr>
                <w:rFonts w:ascii="Arial Narrow" w:hAnsi="Arial Narrow" w:cs="Arial"/>
                <w:color w:val="000000" w:themeColor="text1"/>
                <w:sz w:val="20"/>
                <w:szCs w:val="20"/>
                <w:lang w:val="en-PH"/>
              </w:rPr>
              <w:t>%</w:t>
            </w:r>
          </w:p>
        </w:tc>
        <w:tc>
          <w:tcPr>
            <w:tcW w:w="1432" w:type="dxa"/>
            <w:shd w:val="clear" w:color="auto" w:fill="auto"/>
            <w:noWrap/>
            <w:hideMark/>
          </w:tcPr>
          <w:p w14:paraId="2516B8C5" w14:textId="5A503934" w:rsidR="00D374E9" w:rsidRPr="009E35ED" w:rsidRDefault="0009357F" w:rsidP="005E4F3F">
            <w:pPr>
              <w:ind w:left="0"/>
              <w:jc w:val="righ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10.58</w:t>
            </w:r>
            <w:r w:rsidR="00D374E9" w:rsidRPr="009E35ED">
              <w:rPr>
                <w:rFonts w:ascii="Arial Narrow" w:hAnsi="Arial Narrow" w:cs="Arial"/>
                <w:color w:val="000000" w:themeColor="text1"/>
                <w:sz w:val="20"/>
                <w:szCs w:val="20"/>
                <w:lang w:val="en-PH"/>
              </w:rPr>
              <w:t>%</w:t>
            </w:r>
          </w:p>
        </w:tc>
        <w:tc>
          <w:tcPr>
            <w:tcW w:w="1282" w:type="dxa"/>
            <w:shd w:val="clear" w:color="auto" w:fill="auto"/>
            <w:noWrap/>
            <w:hideMark/>
          </w:tcPr>
          <w:p w14:paraId="73BB2498" w14:textId="04BBEEB8" w:rsidR="00D374E9" w:rsidRPr="009E35ED" w:rsidRDefault="0009357F" w:rsidP="005E4F3F">
            <w:pPr>
              <w:ind w:left="0" w:right="-90"/>
              <w:jc w:val="righ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10.58</w:t>
            </w:r>
            <w:r w:rsidR="00D374E9" w:rsidRPr="009E35ED">
              <w:rPr>
                <w:rFonts w:ascii="Arial Narrow" w:hAnsi="Arial Narrow" w:cs="Arial"/>
                <w:color w:val="000000" w:themeColor="text1"/>
                <w:sz w:val="20"/>
                <w:szCs w:val="20"/>
                <w:lang w:val="en-PH"/>
              </w:rPr>
              <w:t>%</w:t>
            </w:r>
          </w:p>
        </w:tc>
      </w:tr>
      <w:tr w:rsidR="00997F75" w:rsidRPr="009E35ED" w14:paraId="310D5F84" w14:textId="77777777" w:rsidTr="00A046FD">
        <w:trPr>
          <w:trHeight w:val="135"/>
        </w:trPr>
        <w:tc>
          <w:tcPr>
            <w:tcW w:w="3060" w:type="dxa"/>
            <w:shd w:val="clear" w:color="auto" w:fill="auto"/>
            <w:noWrap/>
            <w:hideMark/>
          </w:tcPr>
          <w:p w14:paraId="2B49030D" w14:textId="77777777" w:rsidR="00D374E9" w:rsidRPr="009E35ED" w:rsidRDefault="00D374E9" w:rsidP="005E4F3F">
            <w:pPr>
              <w:ind w:left="0" w:hanging="90"/>
              <w:jc w:val="lef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Jackpot  Prize Pool</w:t>
            </w:r>
          </w:p>
        </w:tc>
        <w:tc>
          <w:tcPr>
            <w:tcW w:w="1433" w:type="dxa"/>
            <w:shd w:val="clear" w:color="auto" w:fill="auto"/>
            <w:noWrap/>
            <w:hideMark/>
          </w:tcPr>
          <w:p w14:paraId="2B06CDAF" w14:textId="77777777" w:rsidR="00D374E9" w:rsidRPr="009E35ED" w:rsidRDefault="00D374E9" w:rsidP="005E4F3F">
            <w:pPr>
              <w:ind w:left="0"/>
              <w:jc w:val="righ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0.00%</w:t>
            </w:r>
          </w:p>
        </w:tc>
        <w:tc>
          <w:tcPr>
            <w:tcW w:w="1433" w:type="dxa"/>
            <w:shd w:val="clear" w:color="auto" w:fill="auto"/>
            <w:noWrap/>
            <w:hideMark/>
          </w:tcPr>
          <w:p w14:paraId="3F0D82BF" w14:textId="77777777" w:rsidR="00D374E9" w:rsidRPr="009E35ED" w:rsidRDefault="00D374E9" w:rsidP="005E4F3F">
            <w:pPr>
              <w:ind w:left="0"/>
              <w:jc w:val="righ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0.00%</w:t>
            </w:r>
          </w:p>
        </w:tc>
        <w:tc>
          <w:tcPr>
            <w:tcW w:w="1432" w:type="dxa"/>
            <w:shd w:val="clear" w:color="auto" w:fill="auto"/>
            <w:noWrap/>
            <w:hideMark/>
          </w:tcPr>
          <w:p w14:paraId="045DC0DE" w14:textId="77777777" w:rsidR="00D374E9" w:rsidRPr="009E35ED" w:rsidRDefault="00D374E9" w:rsidP="005E4F3F">
            <w:pPr>
              <w:ind w:left="0"/>
              <w:jc w:val="righ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0.00%</w:t>
            </w:r>
          </w:p>
        </w:tc>
        <w:tc>
          <w:tcPr>
            <w:tcW w:w="1282" w:type="dxa"/>
            <w:shd w:val="clear" w:color="auto" w:fill="auto"/>
            <w:noWrap/>
            <w:hideMark/>
          </w:tcPr>
          <w:p w14:paraId="1BBCB235" w14:textId="77777777" w:rsidR="00D374E9" w:rsidRPr="009E35ED" w:rsidRDefault="00D374E9" w:rsidP="005E4F3F">
            <w:pPr>
              <w:ind w:left="0" w:right="-90"/>
              <w:jc w:val="righ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30.00%</w:t>
            </w:r>
          </w:p>
        </w:tc>
      </w:tr>
      <w:tr w:rsidR="00997F75" w:rsidRPr="009E35ED" w14:paraId="6366CB1B" w14:textId="77777777" w:rsidTr="00A046FD">
        <w:trPr>
          <w:trHeight w:val="83"/>
        </w:trPr>
        <w:tc>
          <w:tcPr>
            <w:tcW w:w="3060" w:type="dxa"/>
            <w:shd w:val="clear" w:color="auto" w:fill="auto"/>
            <w:noWrap/>
            <w:hideMark/>
          </w:tcPr>
          <w:p w14:paraId="691610A2" w14:textId="77777777" w:rsidR="00D374E9" w:rsidRPr="009E35ED" w:rsidRDefault="00D374E9" w:rsidP="005E4F3F">
            <w:pPr>
              <w:ind w:left="0" w:hanging="90"/>
              <w:jc w:val="lef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Lower Prizes</w:t>
            </w:r>
          </w:p>
        </w:tc>
        <w:tc>
          <w:tcPr>
            <w:tcW w:w="1433" w:type="dxa"/>
            <w:shd w:val="clear" w:color="auto" w:fill="auto"/>
            <w:noWrap/>
            <w:hideMark/>
          </w:tcPr>
          <w:p w14:paraId="0E891436" w14:textId="77777777" w:rsidR="00D374E9" w:rsidRPr="009E35ED" w:rsidRDefault="00D374E9" w:rsidP="005E4F3F">
            <w:pPr>
              <w:ind w:left="0"/>
              <w:jc w:val="righ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36.00%</w:t>
            </w:r>
          </w:p>
        </w:tc>
        <w:tc>
          <w:tcPr>
            <w:tcW w:w="1433" w:type="dxa"/>
            <w:shd w:val="clear" w:color="auto" w:fill="auto"/>
            <w:noWrap/>
            <w:hideMark/>
          </w:tcPr>
          <w:p w14:paraId="3BD90AAC" w14:textId="77777777" w:rsidR="00D374E9" w:rsidRPr="009E35ED" w:rsidRDefault="00D374E9" w:rsidP="005E4F3F">
            <w:pPr>
              <w:ind w:left="0"/>
              <w:jc w:val="righ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36.00%</w:t>
            </w:r>
          </w:p>
        </w:tc>
        <w:tc>
          <w:tcPr>
            <w:tcW w:w="1432" w:type="dxa"/>
            <w:shd w:val="clear" w:color="auto" w:fill="auto"/>
            <w:noWrap/>
            <w:hideMark/>
          </w:tcPr>
          <w:p w14:paraId="107B4506" w14:textId="77777777" w:rsidR="00D374E9" w:rsidRPr="009E35ED" w:rsidRDefault="00D374E9" w:rsidP="005E4F3F">
            <w:pPr>
              <w:ind w:left="0"/>
              <w:jc w:val="righ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36.00%</w:t>
            </w:r>
          </w:p>
        </w:tc>
        <w:tc>
          <w:tcPr>
            <w:tcW w:w="1282" w:type="dxa"/>
            <w:shd w:val="clear" w:color="auto" w:fill="auto"/>
            <w:noWrap/>
            <w:hideMark/>
          </w:tcPr>
          <w:p w14:paraId="6413B72B" w14:textId="77777777" w:rsidR="00D374E9" w:rsidRPr="009E35ED" w:rsidRDefault="00D374E9" w:rsidP="005E4F3F">
            <w:pPr>
              <w:ind w:left="0" w:right="-90"/>
              <w:jc w:val="righ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6.00%</w:t>
            </w:r>
          </w:p>
        </w:tc>
      </w:tr>
      <w:tr w:rsidR="00997F75" w:rsidRPr="009E35ED" w14:paraId="57C2E34A" w14:textId="77777777" w:rsidTr="00A046FD">
        <w:trPr>
          <w:trHeight w:val="252"/>
        </w:trPr>
        <w:tc>
          <w:tcPr>
            <w:tcW w:w="3060" w:type="dxa"/>
            <w:shd w:val="clear" w:color="auto" w:fill="auto"/>
            <w:noWrap/>
            <w:hideMark/>
          </w:tcPr>
          <w:p w14:paraId="798AA685" w14:textId="77777777" w:rsidR="00D374E9" w:rsidRPr="009E35ED" w:rsidRDefault="00D374E9" w:rsidP="005E4F3F">
            <w:pPr>
              <w:ind w:left="0" w:hanging="90"/>
              <w:jc w:val="left"/>
              <w:rPr>
                <w:rFonts w:ascii="Arial Narrow" w:hAnsi="Arial Narrow" w:cs="Arial"/>
                <w:color w:val="000000" w:themeColor="text1"/>
                <w:sz w:val="20"/>
                <w:szCs w:val="20"/>
                <w:lang w:val="en-PH"/>
              </w:rPr>
            </w:pPr>
          </w:p>
        </w:tc>
        <w:tc>
          <w:tcPr>
            <w:tcW w:w="1433" w:type="dxa"/>
            <w:shd w:val="clear" w:color="auto" w:fill="auto"/>
            <w:noWrap/>
            <w:hideMark/>
          </w:tcPr>
          <w:p w14:paraId="572322BE" w14:textId="77777777" w:rsidR="00D374E9" w:rsidRPr="009E35ED" w:rsidRDefault="00D374E9" w:rsidP="005E4F3F">
            <w:pPr>
              <w:ind w:left="0"/>
              <w:jc w:val="right"/>
              <w:rPr>
                <w:rFonts w:ascii="Arial Narrow" w:hAnsi="Arial Narrow" w:cs="Arial"/>
                <w:color w:val="000000" w:themeColor="text1"/>
                <w:sz w:val="20"/>
                <w:szCs w:val="20"/>
                <w:lang w:val="en-PH"/>
              </w:rPr>
            </w:pPr>
          </w:p>
        </w:tc>
        <w:tc>
          <w:tcPr>
            <w:tcW w:w="1433" w:type="dxa"/>
            <w:shd w:val="clear" w:color="auto" w:fill="auto"/>
            <w:noWrap/>
            <w:hideMark/>
          </w:tcPr>
          <w:p w14:paraId="79F8B88C" w14:textId="77777777" w:rsidR="00D374E9" w:rsidRPr="009E35ED" w:rsidRDefault="00D374E9" w:rsidP="005E4F3F">
            <w:pPr>
              <w:ind w:left="0"/>
              <w:jc w:val="right"/>
              <w:rPr>
                <w:rFonts w:ascii="Arial Narrow" w:hAnsi="Arial Narrow" w:cs="Arial"/>
                <w:color w:val="000000" w:themeColor="text1"/>
                <w:sz w:val="20"/>
                <w:szCs w:val="20"/>
                <w:lang w:val="en-PH"/>
              </w:rPr>
            </w:pPr>
          </w:p>
        </w:tc>
        <w:tc>
          <w:tcPr>
            <w:tcW w:w="1432" w:type="dxa"/>
            <w:shd w:val="clear" w:color="auto" w:fill="auto"/>
            <w:noWrap/>
            <w:hideMark/>
          </w:tcPr>
          <w:p w14:paraId="55CCD7C8" w14:textId="77777777" w:rsidR="00D374E9" w:rsidRPr="009E35ED" w:rsidRDefault="00D374E9" w:rsidP="005E4F3F">
            <w:pPr>
              <w:ind w:left="0"/>
              <w:jc w:val="right"/>
              <w:rPr>
                <w:rFonts w:ascii="Arial Narrow" w:hAnsi="Arial Narrow" w:cs="Arial"/>
                <w:color w:val="000000" w:themeColor="text1"/>
                <w:sz w:val="20"/>
                <w:szCs w:val="20"/>
                <w:lang w:val="en-PH"/>
              </w:rPr>
            </w:pPr>
          </w:p>
        </w:tc>
        <w:tc>
          <w:tcPr>
            <w:tcW w:w="1282" w:type="dxa"/>
            <w:shd w:val="clear" w:color="auto" w:fill="auto"/>
            <w:noWrap/>
            <w:hideMark/>
          </w:tcPr>
          <w:p w14:paraId="2E7EF67D" w14:textId="77777777" w:rsidR="00D374E9" w:rsidRPr="009E35ED" w:rsidRDefault="00D374E9" w:rsidP="005E4F3F">
            <w:pPr>
              <w:ind w:left="0" w:right="-90"/>
              <w:jc w:val="right"/>
              <w:rPr>
                <w:rFonts w:ascii="Arial Narrow" w:hAnsi="Arial Narrow" w:cs="Arial"/>
                <w:color w:val="000000" w:themeColor="text1"/>
                <w:sz w:val="20"/>
                <w:szCs w:val="20"/>
                <w:lang w:val="en-PH"/>
              </w:rPr>
            </w:pPr>
          </w:p>
        </w:tc>
      </w:tr>
      <w:tr w:rsidR="00997F75" w:rsidRPr="009E35ED" w14:paraId="1B7CE899" w14:textId="77777777" w:rsidTr="00A046FD">
        <w:trPr>
          <w:trHeight w:val="83"/>
        </w:trPr>
        <w:tc>
          <w:tcPr>
            <w:tcW w:w="3060" w:type="dxa"/>
            <w:shd w:val="clear" w:color="auto" w:fill="auto"/>
            <w:noWrap/>
            <w:hideMark/>
          </w:tcPr>
          <w:p w14:paraId="6A966B77" w14:textId="77777777" w:rsidR="00D374E9" w:rsidRPr="009E35ED" w:rsidRDefault="00D374E9" w:rsidP="005E4F3F">
            <w:pPr>
              <w:ind w:left="0" w:hanging="90"/>
              <w:rPr>
                <w:rFonts w:ascii="Arial Narrow" w:hAnsi="Arial Narrow" w:cs="Arial"/>
                <w:b/>
                <w:bCs/>
                <w:color w:val="000000" w:themeColor="text1"/>
                <w:sz w:val="20"/>
                <w:szCs w:val="20"/>
                <w:lang w:val="en-PH"/>
              </w:rPr>
            </w:pPr>
            <w:r w:rsidRPr="009E35ED">
              <w:rPr>
                <w:rFonts w:ascii="Arial Narrow" w:hAnsi="Arial Narrow" w:cs="Arial"/>
                <w:b/>
                <w:bCs/>
                <w:color w:val="000000" w:themeColor="text1"/>
                <w:sz w:val="20"/>
                <w:szCs w:val="20"/>
                <w:lang w:val="en-PH"/>
              </w:rPr>
              <w:t xml:space="preserve">First Prize </w:t>
            </w:r>
          </w:p>
        </w:tc>
        <w:tc>
          <w:tcPr>
            <w:tcW w:w="1433" w:type="dxa"/>
            <w:shd w:val="clear" w:color="auto" w:fill="auto"/>
            <w:noWrap/>
            <w:hideMark/>
          </w:tcPr>
          <w:p w14:paraId="27A5AF6A" w14:textId="77777777" w:rsidR="00D374E9" w:rsidRPr="009E35ED" w:rsidRDefault="00D374E9" w:rsidP="005E4F3F">
            <w:pPr>
              <w:ind w:left="0"/>
              <w:jc w:val="right"/>
              <w:rPr>
                <w:rFonts w:ascii="Arial Narrow" w:hAnsi="Arial Narrow" w:cs="Arial"/>
                <w:b/>
                <w:bCs/>
                <w:color w:val="000000" w:themeColor="text1"/>
                <w:sz w:val="20"/>
                <w:szCs w:val="20"/>
                <w:lang w:val="en-PH"/>
              </w:rPr>
            </w:pPr>
            <w:r w:rsidRPr="009E35ED">
              <w:rPr>
                <w:rFonts w:ascii="Arial Narrow" w:hAnsi="Arial Narrow" w:cs="Arial"/>
                <w:b/>
                <w:bCs/>
                <w:color w:val="000000" w:themeColor="text1"/>
                <w:sz w:val="20"/>
                <w:szCs w:val="20"/>
                <w:lang w:val="en-PH"/>
              </w:rPr>
              <w:t xml:space="preserve"> 30% up to </w:t>
            </w:r>
          </w:p>
        </w:tc>
        <w:tc>
          <w:tcPr>
            <w:tcW w:w="1433" w:type="dxa"/>
            <w:shd w:val="clear" w:color="auto" w:fill="auto"/>
            <w:noWrap/>
            <w:hideMark/>
          </w:tcPr>
          <w:p w14:paraId="1A4740AA" w14:textId="77777777" w:rsidR="00D374E9" w:rsidRPr="009E35ED" w:rsidRDefault="00D374E9" w:rsidP="005E4F3F">
            <w:pPr>
              <w:ind w:left="0"/>
              <w:jc w:val="right"/>
              <w:rPr>
                <w:rFonts w:ascii="Arial Narrow" w:hAnsi="Arial Narrow" w:cs="Arial"/>
                <w:b/>
                <w:bCs/>
                <w:color w:val="000000" w:themeColor="text1"/>
                <w:sz w:val="20"/>
                <w:szCs w:val="20"/>
                <w:lang w:val="en-PH"/>
              </w:rPr>
            </w:pPr>
            <w:r w:rsidRPr="009E35ED">
              <w:rPr>
                <w:rFonts w:ascii="Arial Narrow" w:hAnsi="Arial Narrow" w:cs="Arial"/>
                <w:b/>
                <w:bCs/>
                <w:color w:val="000000" w:themeColor="text1"/>
                <w:sz w:val="20"/>
                <w:szCs w:val="20"/>
                <w:lang w:val="en-PH"/>
              </w:rPr>
              <w:t xml:space="preserve"> 30% up to </w:t>
            </w:r>
          </w:p>
        </w:tc>
        <w:tc>
          <w:tcPr>
            <w:tcW w:w="1432" w:type="dxa"/>
            <w:shd w:val="clear" w:color="auto" w:fill="auto"/>
            <w:noWrap/>
            <w:hideMark/>
          </w:tcPr>
          <w:p w14:paraId="3A88745A" w14:textId="77777777" w:rsidR="00D374E9" w:rsidRPr="009E35ED" w:rsidRDefault="00D374E9" w:rsidP="005E4F3F">
            <w:pPr>
              <w:ind w:left="0"/>
              <w:jc w:val="right"/>
              <w:rPr>
                <w:rFonts w:ascii="Arial Narrow" w:hAnsi="Arial Narrow" w:cs="Arial"/>
                <w:b/>
                <w:bCs/>
                <w:color w:val="000000" w:themeColor="text1"/>
                <w:sz w:val="20"/>
                <w:szCs w:val="20"/>
                <w:lang w:val="en-PH"/>
              </w:rPr>
            </w:pPr>
            <w:r w:rsidRPr="009E35ED">
              <w:rPr>
                <w:rFonts w:ascii="Arial Narrow" w:hAnsi="Arial Narrow" w:cs="Arial"/>
                <w:b/>
                <w:bCs/>
                <w:color w:val="000000" w:themeColor="text1"/>
                <w:sz w:val="20"/>
                <w:szCs w:val="20"/>
                <w:lang w:val="en-PH"/>
              </w:rPr>
              <w:t xml:space="preserve"> 30% up to </w:t>
            </w:r>
          </w:p>
        </w:tc>
        <w:tc>
          <w:tcPr>
            <w:tcW w:w="1282" w:type="dxa"/>
            <w:shd w:val="clear" w:color="auto" w:fill="auto"/>
            <w:noWrap/>
            <w:hideMark/>
          </w:tcPr>
          <w:p w14:paraId="1FE47C2F" w14:textId="77777777" w:rsidR="00D374E9" w:rsidRPr="009E35ED" w:rsidRDefault="00D374E9" w:rsidP="005E4F3F">
            <w:pPr>
              <w:ind w:left="0" w:right="-90"/>
              <w:jc w:val="right"/>
              <w:rPr>
                <w:rFonts w:ascii="Arial Narrow" w:hAnsi="Arial Narrow" w:cs="Arial"/>
                <w:b/>
                <w:bCs/>
                <w:color w:val="000000" w:themeColor="text1"/>
                <w:sz w:val="20"/>
                <w:szCs w:val="20"/>
                <w:lang w:val="en-PH"/>
              </w:rPr>
            </w:pPr>
            <w:r w:rsidRPr="009E35ED">
              <w:rPr>
                <w:rFonts w:ascii="Arial Narrow" w:hAnsi="Arial Narrow" w:cs="Arial"/>
                <w:b/>
                <w:bCs/>
                <w:color w:val="000000" w:themeColor="text1"/>
                <w:sz w:val="20"/>
                <w:szCs w:val="20"/>
                <w:lang w:val="en-PH"/>
              </w:rPr>
              <w:t xml:space="preserve"> 30% up to </w:t>
            </w:r>
          </w:p>
        </w:tc>
      </w:tr>
      <w:tr w:rsidR="00997F75" w:rsidRPr="009E35ED" w14:paraId="183C7DEC" w14:textId="77777777" w:rsidTr="00A046FD">
        <w:trPr>
          <w:trHeight w:val="83"/>
        </w:trPr>
        <w:tc>
          <w:tcPr>
            <w:tcW w:w="3060" w:type="dxa"/>
            <w:shd w:val="clear" w:color="auto" w:fill="auto"/>
            <w:noWrap/>
            <w:hideMark/>
          </w:tcPr>
          <w:p w14:paraId="21F40109" w14:textId="77777777" w:rsidR="00D374E9" w:rsidRPr="009E35ED" w:rsidRDefault="00D374E9" w:rsidP="005E4F3F">
            <w:pPr>
              <w:ind w:left="0"/>
              <w:jc w:val="left"/>
              <w:rPr>
                <w:rFonts w:ascii="Arial Narrow" w:hAnsi="Arial Narrow" w:cs="Arial"/>
                <w:b/>
                <w:bCs/>
                <w:color w:val="000000" w:themeColor="text1"/>
                <w:sz w:val="20"/>
                <w:szCs w:val="20"/>
                <w:lang w:val="en-PH"/>
              </w:rPr>
            </w:pPr>
          </w:p>
        </w:tc>
        <w:tc>
          <w:tcPr>
            <w:tcW w:w="1433" w:type="dxa"/>
            <w:shd w:val="clear" w:color="auto" w:fill="auto"/>
            <w:noWrap/>
            <w:hideMark/>
          </w:tcPr>
          <w:p w14:paraId="28D88CBD" w14:textId="77777777" w:rsidR="00D374E9" w:rsidRPr="009E35ED" w:rsidRDefault="00D374E9" w:rsidP="005E4F3F">
            <w:pPr>
              <w:ind w:left="0" w:hanging="126"/>
              <w:jc w:val="right"/>
              <w:rPr>
                <w:rFonts w:ascii="Arial Narrow" w:hAnsi="Arial Narrow" w:cs="Arial"/>
                <w:b/>
                <w:bCs/>
                <w:color w:val="000000" w:themeColor="text1"/>
                <w:sz w:val="20"/>
                <w:szCs w:val="20"/>
                <w:lang w:val="en-PH"/>
              </w:rPr>
            </w:pPr>
            <w:r w:rsidRPr="009E35ED">
              <w:rPr>
                <w:rFonts w:ascii="Arial Narrow" w:hAnsi="Arial Narrow" w:cs="Arial"/>
                <w:b/>
                <w:bCs/>
                <w:color w:val="000000" w:themeColor="text1"/>
                <w:sz w:val="20"/>
                <w:szCs w:val="20"/>
                <w:lang w:val="en-PH"/>
              </w:rPr>
              <w:t xml:space="preserve"> </w:t>
            </w:r>
            <w:r w:rsidRPr="009E35ED">
              <w:rPr>
                <w:rFonts w:ascii="Arial" w:hAnsi="Arial" w:cs="Arial"/>
                <w:b/>
                <w:bCs/>
                <w:color w:val="000000" w:themeColor="text1"/>
                <w:sz w:val="20"/>
                <w:szCs w:val="20"/>
                <w:lang w:val="en-PH"/>
              </w:rPr>
              <w:t>P</w:t>
            </w:r>
            <w:r w:rsidRPr="009E35ED">
              <w:rPr>
                <w:rFonts w:ascii="Arial Narrow" w:hAnsi="Arial Narrow" w:cs="Arial"/>
                <w:b/>
                <w:bCs/>
                <w:color w:val="000000" w:themeColor="text1"/>
                <w:sz w:val="20"/>
                <w:szCs w:val="20"/>
                <w:lang w:val="en-PH"/>
              </w:rPr>
              <w:t xml:space="preserve">   4,000.00 </w:t>
            </w:r>
          </w:p>
        </w:tc>
        <w:tc>
          <w:tcPr>
            <w:tcW w:w="1433" w:type="dxa"/>
            <w:shd w:val="clear" w:color="auto" w:fill="auto"/>
            <w:noWrap/>
            <w:hideMark/>
          </w:tcPr>
          <w:p w14:paraId="169BF9AB" w14:textId="77777777" w:rsidR="00D374E9" w:rsidRPr="009E35ED" w:rsidRDefault="00D374E9" w:rsidP="005E4F3F">
            <w:pPr>
              <w:ind w:left="0" w:hanging="119"/>
              <w:jc w:val="right"/>
              <w:rPr>
                <w:rFonts w:ascii="Arial Narrow" w:hAnsi="Arial Narrow" w:cs="Arial"/>
                <w:b/>
                <w:bCs/>
                <w:color w:val="000000" w:themeColor="text1"/>
                <w:sz w:val="20"/>
                <w:szCs w:val="20"/>
                <w:lang w:val="en-PH"/>
              </w:rPr>
            </w:pPr>
            <w:r w:rsidRPr="009E35ED">
              <w:rPr>
                <w:rFonts w:ascii="Arial Narrow" w:hAnsi="Arial Narrow" w:cs="Arial"/>
                <w:b/>
                <w:bCs/>
                <w:color w:val="000000" w:themeColor="text1"/>
                <w:sz w:val="20"/>
                <w:szCs w:val="20"/>
                <w:lang w:val="en-PH"/>
              </w:rPr>
              <w:t xml:space="preserve"> </w:t>
            </w:r>
            <w:r w:rsidRPr="009E35ED">
              <w:rPr>
                <w:rFonts w:ascii="Arial" w:hAnsi="Arial" w:cs="Arial"/>
                <w:b/>
                <w:bCs/>
                <w:color w:val="000000" w:themeColor="text1"/>
                <w:sz w:val="20"/>
                <w:szCs w:val="20"/>
                <w:lang w:val="en-PH"/>
              </w:rPr>
              <w:t>P</w:t>
            </w:r>
            <w:r w:rsidRPr="009E35ED">
              <w:rPr>
                <w:rFonts w:ascii="Arial Narrow" w:hAnsi="Arial Narrow" w:cs="Arial"/>
                <w:b/>
                <w:bCs/>
                <w:color w:val="000000" w:themeColor="text1"/>
                <w:sz w:val="20"/>
                <w:szCs w:val="20"/>
                <w:lang w:val="en-PH"/>
              </w:rPr>
              <w:t xml:space="preserve">    4,500.00 </w:t>
            </w:r>
          </w:p>
        </w:tc>
        <w:tc>
          <w:tcPr>
            <w:tcW w:w="1432" w:type="dxa"/>
            <w:shd w:val="clear" w:color="auto" w:fill="auto"/>
            <w:noWrap/>
            <w:hideMark/>
          </w:tcPr>
          <w:p w14:paraId="78C5C1C6" w14:textId="77777777" w:rsidR="00D374E9" w:rsidRPr="009E35ED" w:rsidRDefault="00D374E9" w:rsidP="005E4F3F">
            <w:pPr>
              <w:ind w:left="0" w:hanging="112"/>
              <w:jc w:val="right"/>
              <w:rPr>
                <w:rFonts w:ascii="Arial Narrow" w:hAnsi="Arial Narrow" w:cs="Arial"/>
                <w:b/>
                <w:bCs/>
                <w:color w:val="000000" w:themeColor="text1"/>
                <w:sz w:val="20"/>
                <w:szCs w:val="20"/>
                <w:lang w:val="en-PH"/>
              </w:rPr>
            </w:pPr>
            <w:r w:rsidRPr="009E35ED">
              <w:rPr>
                <w:rFonts w:ascii="Arial Narrow" w:hAnsi="Arial Narrow" w:cs="Arial"/>
                <w:b/>
                <w:bCs/>
                <w:color w:val="000000" w:themeColor="text1"/>
                <w:sz w:val="20"/>
                <w:szCs w:val="20"/>
                <w:lang w:val="en-PH"/>
              </w:rPr>
              <w:t xml:space="preserve"> </w:t>
            </w:r>
            <w:r w:rsidRPr="009E35ED">
              <w:rPr>
                <w:rFonts w:ascii="Arial" w:hAnsi="Arial" w:cs="Arial"/>
                <w:b/>
                <w:bCs/>
                <w:color w:val="000000" w:themeColor="text1"/>
                <w:sz w:val="20"/>
                <w:szCs w:val="20"/>
                <w:lang w:val="en-PH"/>
              </w:rPr>
              <w:t>P</w:t>
            </w:r>
            <w:r w:rsidRPr="009E35ED">
              <w:rPr>
                <w:rFonts w:ascii="Arial Narrow" w:hAnsi="Arial Narrow" w:cs="Arial"/>
                <w:b/>
                <w:bCs/>
                <w:color w:val="000000" w:themeColor="text1"/>
                <w:sz w:val="20"/>
                <w:szCs w:val="20"/>
                <w:lang w:val="en-PH"/>
              </w:rPr>
              <w:t xml:space="preserve"> 10,000.00 </w:t>
            </w:r>
          </w:p>
        </w:tc>
        <w:tc>
          <w:tcPr>
            <w:tcW w:w="1282" w:type="dxa"/>
            <w:shd w:val="clear" w:color="auto" w:fill="auto"/>
            <w:noWrap/>
            <w:hideMark/>
          </w:tcPr>
          <w:p w14:paraId="55A7D306" w14:textId="77777777" w:rsidR="00D374E9" w:rsidRPr="009E35ED" w:rsidRDefault="00D374E9" w:rsidP="005E4F3F">
            <w:pPr>
              <w:ind w:left="0" w:right="-90" w:hanging="104"/>
              <w:jc w:val="right"/>
              <w:rPr>
                <w:rFonts w:ascii="Arial Narrow" w:hAnsi="Arial Narrow" w:cs="Arial"/>
                <w:b/>
                <w:bCs/>
                <w:color w:val="000000" w:themeColor="text1"/>
                <w:sz w:val="20"/>
                <w:szCs w:val="20"/>
                <w:lang w:val="en-PH"/>
              </w:rPr>
            </w:pPr>
            <w:r w:rsidRPr="009E35ED">
              <w:rPr>
                <w:rFonts w:ascii="Arial Narrow" w:hAnsi="Arial Narrow" w:cs="Arial"/>
                <w:b/>
                <w:bCs/>
                <w:color w:val="000000" w:themeColor="text1"/>
                <w:sz w:val="20"/>
                <w:szCs w:val="20"/>
                <w:lang w:val="en-PH"/>
              </w:rPr>
              <w:t xml:space="preserve"> </w:t>
            </w:r>
            <w:r w:rsidRPr="009E35ED">
              <w:rPr>
                <w:rFonts w:ascii="Arial" w:hAnsi="Arial" w:cs="Arial"/>
                <w:b/>
                <w:bCs/>
                <w:color w:val="000000" w:themeColor="text1"/>
                <w:sz w:val="20"/>
                <w:szCs w:val="20"/>
                <w:lang w:val="en-PH"/>
              </w:rPr>
              <w:t xml:space="preserve">P </w:t>
            </w:r>
            <w:r w:rsidRPr="009E35ED">
              <w:rPr>
                <w:rFonts w:ascii="Arial Narrow" w:hAnsi="Arial Narrow" w:cs="Arial"/>
                <w:b/>
                <w:bCs/>
                <w:color w:val="000000" w:themeColor="text1"/>
                <w:sz w:val="20"/>
                <w:szCs w:val="20"/>
                <w:lang w:val="en-PH"/>
              </w:rPr>
              <w:t>150,000.00</w:t>
            </w:r>
          </w:p>
          <w:p w14:paraId="0CBF0C03" w14:textId="77777777" w:rsidR="00D374E9" w:rsidRPr="009E35ED" w:rsidRDefault="00D374E9" w:rsidP="00B90388">
            <w:pPr>
              <w:ind w:left="0" w:right="-90"/>
              <w:rPr>
                <w:rFonts w:ascii="Arial Narrow" w:hAnsi="Arial Narrow" w:cs="Arial"/>
                <w:b/>
                <w:bCs/>
                <w:color w:val="000000" w:themeColor="text1"/>
                <w:sz w:val="20"/>
                <w:szCs w:val="20"/>
                <w:lang w:val="en-PH"/>
              </w:rPr>
            </w:pPr>
            <w:r w:rsidRPr="009E35ED">
              <w:rPr>
                <w:rFonts w:ascii="Arial Narrow" w:hAnsi="Arial Narrow" w:cs="Arial"/>
                <w:b/>
                <w:bCs/>
                <w:color w:val="000000" w:themeColor="text1"/>
                <w:sz w:val="20"/>
                <w:szCs w:val="20"/>
                <w:lang w:val="en-PH"/>
              </w:rPr>
              <w:t xml:space="preserve"> </w:t>
            </w:r>
          </w:p>
        </w:tc>
      </w:tr>
      <w:tr w:rsidR="00997F75" w:rsidRPr="009E35ED" w14:paraId="46200ED4" w14:textId="77777777" w:rsidTr="00A046FD">
        <w:trPr>
          <w:trHeight w:val="81"/>
        </w:trPr>
        <w:tc>
          <w:tcPr>
            <w:tcW w:w="3060" w:type="dxa"/>
            <w:shd w:val="clear" w:color="auto" w:fill="auto"/>
            <w:noWrap/>
          </w:tcPr>
          <w:p w14:paraId="63B78E5D" w14:textId="77777777" w:rsidR="00D374E9" w:rsidRPr="009E35ED" w:rsidRDefault="00D374E9" w:rsidP="005E4F3F">
            <w:pPr>
              <w:ind w:left="0"/>
              <w:jc w:val="left"/>
              <w:rPr>
                <w:rFonts w:ascii="Arial Narrow" w:hAnsi="Arial Narrow" w:cs="Arial"/>
                <w:b/>
                <w:bCs/>
                <w:color w:val="000000" w:themeColor="text1"/>
                <w:sz w:val="20"/>
                <w:szCs w:val="20"/>
                <w:lang w:val="en-PH"/>
              </w:rPr>
            </w:pPr>
            <w:r w:rsidRPr="009E35ED">
              <w:rPr>
                <w:rFonts w:ascii="Arial Narrow" w:hAnsi="Arial Narrow" w:cs="Arial"/>
                <w:b/>
                <w:bCs/>
                <w:color w:val="000000" w:themeColor="text1"/>
                <w:sz w:val="20"/>
                <w:szCs w:val="20"/>
                <w:lang w:val="en-PH"/>
              </w:rPr>
              <w:t>II. Charity   Fund  (30% of NR)</w:t>
            </w:r>
          </w:p>
        </w:tc>
        <w:tc>
          <w:tcPr>
            <w:tcW w:w="1433" w:type="dxa"/>
            <w:shd w:val="clear" w:color="auto" w:fill="auto"/>
            <w:noWrap/>
          </w:tcPr>
          <w:p w14:paraId="13DD7881" w14:textId="77777777" w:rsidR="00D374E9" w:rsidRPr="009E35ED" w:rsidRDefault="00D374E9" w:rsidP="005E4F3F">
            <w:pPr>
              <w:ind w:left="0" w:hanging="126"/>
              <w:jc w:val="right"/>
              <w:rPr>
                <w:rFonts w:ascii="Arial Narrow" w:hAnsi="Arial Narrow" w:cs="Arial"/>
                <w:b/>
                <w:bCs/>
                <w:color w:val="000000" w:themeColor="text1"/>
                <w:sz w:val="20"/>
                <w:szCs w:val="20"/>
                <w:lang w:val="en-PH"/>
              </w:rPr>
            </w:pPr>
            <w:r w:rsidRPr="009E35ED">
              <w:rPr>
                <w:rFonts w:ascii="Arial Narrow" w:hAnsi="Arial Narrow" w:cs="Arial"/>
                <w:b/>
                <w:bCs/>
                <w:color w:val="000000" w:themeColor="text1"/>
                <w:sz w:val="20"/>
                <w:szCs w:val="20"/>
                <w:lang w:val="en-PH"/>
              </w:rPr>
              <w:t>29.40%</w:t>
            </w:r>
          </w:p>
        </w:tc>
        <w:tc>
          <w:tcPr>
            <w:tcW w:w="1433" w:type="dxa"/>
            <w:shd w:val="clear" w:color="auto" w:fill="auto"/>
            <w:noWrap/>
          </w:tcPr>
          <w:p w14:paraId="3264A3DD" w14:textId="77777777" w:rsidR="00D374E9" w:rsidRPr="009E35ED" w:rsidRDefault="00D374E9" w:rsidP="005E4F3F">
            <w:pPr>
              <w:ind w:left="0" w:hanging="119"/>
              <w:jc w:val="right"/>
              <w:rPr>
                <w:rFonts w:ascii="Arial Narrow" w:hAnsi="Arial Narrow" w:cs="Arial"/>
                <w:b/>
                <w:bCs/>
                <w:color w:val="000000" w:themeColor="text1"/>
                <w:sz w:val="20"/>
                <w:szCs w:val="20"/>
                <w:lang w:val="en-PH"/>
              </w:rPr>
            </w:pPr>
            <w:r w:rsidRPr="009E35ED">
              <w:rPr>
                <w:rFonts w:ascii="Arial Narrow" w:hAnsi="Arial Narrow" w:cs="Arial"/>
                <w:b/>
                <w:bCs/>
                <w:color w:val="000000" w:themeColor="text1"/>
                <w:sz w:val="20"/>
                <w:szCs w:val="20"/>
                <w:lang w:val="en-PH"/>
              </w:rPr>
              <w:t>29.40%</w:t>
            </w:r>
          </w:p>
        </w:tc>
        <w:tc>
          <w:tcPr>
            <w:tcW w:w="1432" w:type="dxa"/>
            <w:shd w:val="clear" w:color="auto" w:fill="auto"/>
            <w:noWrap/>
          </w:tcPr>
          <w:p w14:paraId="59EF1533" w14:textId="77777777" w:rsidR="00D374E9" w:rsidRPr="009E35ED" w:rsidRDefault="00D374E9" w:rsidP="005E4F3F">
            <w:pPr>
              <w:ind w:left="0" w:hanging="112"/>
              <w:jc w:val="right"/>
              <w:rPr>
                <w:rFonts w:ascii="Arial Narrow" w:hAnsi="Arial Narrow" w:cs="Arial"/>
                <w:b/>
                <w:bCs/>
                <w:color w:val="000000" w:themeColor="text1"/>
                <w:sz w:val="20"/>
                <w:szCs w:val="20"/>
                <w:lang w:val="en-PH"/>
              </w:rPr>
            </w:pPr>
            <w:r w:rsidRPr="009E35ED">
              <w:rPr>
                <w:rFonts w:ascii="Arial Narrow" w:hAnsi="Arial Narrow" w:cs="Arial"/>
                <w:b/>
                <w:bCs/>
                <w:color w:val="000000" w:themeColor="text1"/>
                <w:sz w:val="20"/>
                <w:szCs w:val="20"/>
                <w:lang w:val="en-PH"/>
              </w:rPr>
              <w:t>29.40%</w:t>
            </w:r>
          </w:p>
        </w:tc>
        <w:tc>
          <w:tcPr>
            <w:tcW w:w="1282" w:type="dxa"/>
            <w:shd w:val="clear" w:color="auto" w:fill="auto"/>
            <w:noWrap/>
          </w:tcPr>
          <w:p w14:paraId="440D1D0B" w14:textId="77777777" w:rsidR="00D374E9" w:rsidRPr="009E35ED" w:rsidRDefault="00D374E9" w:rsidP="005E4F3F">
            <w:pPr>
              <w:ind w:left="0" w:right="-90" w:hanging="104"/>
              <w:jc w:val="right"/>
              <w:rPr>
                <w:rFonts w:ascii="Arial Narrow" w:hAnsi="Arial Narrow" w:cs="Arial"/>
                <w:b/>
                <w:bCs/>
                <w:color w:val="000000" w:themeColor="text1"/>
                <w:sz w:val="20"/>
                <w:szCs w:val="20"/>
                <w:lang w:val="en-PH"/>
              </w:rPr>
            </w:pPr>
            <w:r w:rsidRPr="009E35ED">
              <w:rPr>
                <w:rFonts w:ascii="Arial Narrow" w:hAnsi="Arial Narrow" w:cs="Arial"/>
                <w:b/>
                <w:bCs/>
                <w:color w:val="000000" w:themeColor="text1"/>
                <w:sz w:val="20"/>
                <w:szCs w:val="20"/>
                <w:lang w:val="en-PH"/>
              </w:rPr>
              <w:t>29.40%</w:t>
            </w:r>
          </w:p>
        </w:tc>
      </w:tr>
      <w:tr w:rsidR="00997F75" w:rsidRPr="009E35ED" w14:paraId="21CBD1A7" w14:textId="77777777" w:rsidTr="00A046FD">
        <w:trPr>
          <w:trHeight w:val="83"/>
        </w:trPr>
        <w:tc>
          <w:tcPr>
            <w:tcW w:w="3060" w:type="dxa"/>
            <w:shd w:val="clear" w:color="auto" w:fill="auto"/>
            <w:noWrap/>
          </w:tcPr>
          <w:p w14:paraId="56E5C111" w14:textId="77777777" w:rsidR="00D374E9" w:rsidRPr="009E35ED" w:rsidRDefault="00D374E9" w:rsidP="005E4F3F">
            <w:pPr>
              <w:ind w:left="0"/>
              <w:jc w:val="left"/>
              <w:rPr>
                <w:rFonts w:ascii="Arial Narrow" w:hAnsi="Arial Narrow" w:cs="Arial"/>
                <w:b/>
                <w:bCs/>
                <w:color w:val="000000" w:themeColor="text1"/>
                <w:sz w:val="20"/>
                <w:szCs w:val="20"/>
                <w:lang w:val="en-PH"/>
              </w:rPr>
            </w:pPr>
            <w:r w:rsidRPr="009E35ED">
              <w:rPr>
                <w:rFonts w:ascii="Arial Narrow" w:hAnsi="Arial Narrow" w:cs="Arial"/>
                <w:color w:val="000000" w:themeColor="text1"/>
                <w:sz w:val="20"/>
                <w:szCs w:val="20"/>
                <w:lang w:val="en-PH"/>
              </w:rPr>
              <w:t>Education</w:t>
            </w:r>
          </w:p>
        </w:tc>
        <w:tc>
          <w:tcPr>
            <w:tcW w:w="1433" w:type="dxa"/>
            <w:shd w:val="clear" w:color="auto" w:fill="auto"/>
            <w:noWrap/>
          </w:tcPr>
          <w:p w14:paraId="472C9226" w14:textId="77777777" w:rsidR="00D374E9" w:rsidRPr="009E35ED" w:rsidRDefault="00D374E9" w:rsidP="005E4F3F">
            <w:pPr>
              <w:ind w:left="0" w:hanging="126"/>
              <w:jc w:val="right"/>
              <w:rPr>
                <w:rFonts w:ascii="Arial Narrow" w:hAnsi="Arial Narrow" w:cs="Arial"/>
                <w:b/>
                <w:bCs/>
                <w:color w:val="000000" w:themeColor="text1"/>
                <w:sz w:val="20"/>
                <w:szCs w:val="20"/>
                <w:lang w:val="en-PH"/>
              </w:rPr>
            </w:pPr>
            <w:r w:rsidRPr="009E35ED">
              <w:rPr>
                <w:rFonts w:ascii="Arial Narrow" w:hAnsi="Arial Narrow" w:cs="Arial"/>
                <w:color w:val="000000" w:themeColor="text1"/>
                <w:sz w:val="20"/>
                <w:szCs w:val="20"/>
                <w:lang w:val="en-PH"/>
              </w:rPr>
              <w:t>1.00%</w:t>
            </w:r>
          </w:p>
        </w:tc>
        <w:tc>
          <w:tcPr>
            <w:tcW w:w="1433" w:type="dxa"/>
            <w:shd w:val="clear" w:color="auto" w:fill="auto"/>
            <w:noWrap/>
          </w:tcPr>
          <w:p w14:paraId="13EFA801" w14:textId="77777777" w:rsidR="00D374E9" w:rsidRPr="009E35ED" w:rsidRDefault="00D374E9" w:rsidP="005E4F3F">
            <w:pPr>
              <w:ind w:left="0" w:hanging="119"/>
              <w:jc w:val="right"/>
              <w:rPr>
                <w:rFonts w:ascii="Arial Narrow" w:hAnsi="Arial Narrow" w:cs="Arial"/>
                <w:b/>
                <w:bCs/>
                <w:color w:val="000000" w:themeColor="text1"/>
                <w:sz w:val="20"/>
                <w:szCs w:val="20"/>
                <w:lang w:val="en-PH"/>
              </w:rPr>
            </w:pPr>
            <w:r w:rsidRPr="009E35ED">
              <w:rPr>
                <w:rFonts w:ascii="Arial Narrow" w:hAnsi="Arial Narrow" w:cs="Arial"/>
                <w:color w:val="000000" w:themeColor="text1"/>
                <w:sz w:val="20"/>
                <w:szCs w:val="20"/>
                <w:lang w:val="en-PH"/>
              </w:rPr>
              <w:t>1.00%</w:t>
            </w:r>
          </w:p>
        </w:tc>
        <w:tc>
          <w:tcPr>
            <w:tcW w:w="1432" w:type="dxa"/>
            <w:shd w:val="clear" w:color="auto" w:fill="auto"/>
            <w:noWrap/>
          </w:tcPr>
          <w:p w14:paraId="6C0CECED" w14:textId="77777777" w:rsidR="00D374E9" w:rsidRPr="009E35ED" w:rsidRDefault="00D374E9" w:rsidP="005E4F3F">
            <w:pPr>
              <w:ind w:left="0" w:hanging="112"/>
              <w:jc w:val="right"/>
              <w:rPr>
                <w:rFonts w:ascii="Arial Narrow" w:hAnsi="Arial Narrow" w:cs="Arial"/>
                <w:b/>
                <w:bCs/>
                <w:color w:val="000000" w:themeColor="text1"/>
                <w:sz w:val="20"/>
                <w:szCs w:val="20"/>
                <w:lang w:val="en-PH"/>
              </w:rPr>
            </w:pPr>
            <w:r w:rsidRPr="009E35ED">
              <w:rPr>
                <w:rFonts w:ascii="Arial Narrow" w:hAnsi="Arial Narrow" w:cs="Arial"/>
                <w:color w:val="000000" w:themeColor="text1"/>
                <w:sz w:val="20"/>
                <w:szCs w:val="20"/>
                <w:lang w:val="en-PH"/>
              </w:rPr>
              <w:t>1.00%</w:t>
            </w:r>
          </w:p>
        </w:tc>
        <w:tc>
          <w:tcPr>
            <w:tcW w:w="1282" w:type="dxa"/>
            <w:shd w:val="clear" w:color="auto" w:fill="auto"/>
            <w:noWrap/>
          </w:tcPr>
          <w:p w14:paraId="46EA33A3" w14:textId="77777777" w:rsidR="00D374E9" w:rsidRPr="009E35ED" w:rsidRDefault="00D374E9" w:rsidP="005E4F3F">
            <w:pPr>
              <w:ind w:left="0" w:right="-90" w:hanging="104"/>
              <w:jc w:val="right"/>
              <w:rPr>
                <w:rFonts w:ascii="Arial Narrow" w:hAnsi="Arial Narrow" w:cs="Arial"/>
                <w:b/>
                <w:bCs/>
                <w:color w:val="000000" w:themeColor="text1"/>
                <w:sz w:val="20"/>
                <w:szCs w:val="20"/>
                <w:lang w:val="en-PH"/>
              </w:rPr>
            </w:pPr>
            <w:r w:rsidRPr="009E35ED">
              <w:rPr>
                <w:rFonts w:ascii="Arial Narrow" w:hAnsi="Arial Narrow" w:cs="Arial"/>
                <w:color w:val="000000" w:themeColor="text1"/>
                <w:sz w:val="20"/>
                <w:szCs w:val="20"/>
                <w:lang w:val="en-PH"/>
              </w:rPr>
              <w:t>1.00%</w:t>
            </w:r>
          </w:p>
        </w:tc>
      </w:tr>
      <w:tr w:rsidR="00997F75" w:rsidRPr="009E35ED" w14:paraId="594F8F07" w14:textId="77777777" w:rsidTr="00A046FD">
        <w:trPr>
          <w:trHeight w:val="83"/>
        </w:trPr>
        <w:tc>
          <w:tcPr>
            <w:tcW w:w="3060" w:type="dxa"/>
            <w:shd w:val="clear" w:color="auto" w:fill="auto"/>
            <w:noWrap/>
          </w:tcPr>
          <w:p w14:paraId="2336BA8D" w14:textId="2E25C9AD" w:rsidR="00D374E9" w:rsidRPr="009E35ED" w:rsidRDefault="0009357F" w:rsidP="005E4F3F">
            <w:pPr>
              <w:ind w:left="0"/>
              <w:jc w:val="lef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PLS Cost</w:t>
            </w:r>
          </w:p>
        </w:tc>
        <w:tc>
          <w:tcPr>
            <w:tcW w:w="1433" w:type="dxa"/>
            <w:shd w:val="clear" w:color="auto" w:fill="auto"/>
            <w:noWrap/>
          </w:tcPr>
          <w:p w14:paraId="059F869F" w14:textId="4B32EECE" w:rsidR="00D374E9" w:rsidRPr="009E35ED" w:rsidRDefault="0009357F" w:rsidP="0009357F">
            <w:pPr>
              <w:ind w:left="0" w:hanging="126"/>
              <w:jc w:val="righ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1</w:t>
            </w:r>
            <w:r w:rsidR="00D374E9" w:rsidRPr="009E35ED">
              <w:rPr>
                <w:rFonts w:ascii="Arial Narrow" w:hAnsi="Arial Narrow" w:cs="Arial"/>
                <w:color w:val="000000" w:themeColor="text1"/>
                <w:sz w:val="20"/>
                <w:szCs w:val="20"/>
                <w:lang w:val="en-PH"/>
              </w:rPr>
              <w:t>.0</w:t>
            </w:r>
            <w:r w:rsidRPr="009E35ED">
              <w:rPr>
                <w:rFonts w:ascii="Arial Narrow" w:hAnsi="Arial Narrow" w:cs="Arial"/>
                <w:color w:val="000000" w:themeColor="text1"/>
                <w:sz w:val="20"/>
                <w:szCs w:val="20"/>
                <w:lang w:val="en-PH"/>
              </w:rPr>
              <w:t>0</w:t>
            </w:r>
            <w:r w:rsidR="00D374E9" w:rsidRPr="009E35ED">
              <w:rPr>
                <w:rFonts w:ascii="Arial Narrow" w:hAnsi="Arial Narrow" w:cs="Arial"/>
                <w:color w:val="000000" w:themeColor="text1"/>
                <w:sz w:val="20"/>
                <w:szCs w:val="20"/>
                <w:lang w:val="en-PH"/>
              </w:rPr>
              <w:t>%</w:t>
            </w:r>
          </w:p>
        </w:tc>
        <w:tc>
          <w:tcPr>
            <w:tcW w:w="1433" w:type="dxa"/>
            <w:shd w:val="clear" w:color="auto" w:fill="auto"/>
            <w:noWrap/>
          </w:tcPr>
          <w:p w14:paraId="53FC3B9B" w14:textId="59879F51" w:rsidR="00D374E9" w:rsidRPr="009E35ED" w:rsidRDefault="0009357F" w:rsidP="005E4F3F">
            <w:pPr>
              <w:ind w:left="0" w:hanging="119"/>
              <w:jc w:val="righ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1.00</w:t>
            </w:r>
            <w:r w:rsidR="00D374E9" w:rsidRPr="009E35ED">
              <w:rPr>
                <w:rFonts w:ascii="Arial Narrow" w:hAnsi="Arial Narrow" w:cs="Arial"/>
                <w:color w:val="000000" w:themeColor="text1"/>
                <w:sz w:val="20"/>
                <w:szCs w:val="20"/>
                <w:lang w:val="en-PH"/>
              </w:rPr>
              <w:t>%</w:t>
            </w:r>
          </w:p>
        </w:tc>
        <w:tc>
          <w:tcPr>
            <w:tcW w:w="1432" w:type="dxa"/>
            <w:shd w:val="clear" w:color="auto" w:fill="auto"/>
            <w:noWrap/>
          </w:tcPr>
          <w:p w14:paraId="0E878BD8" w14:textId="1922708C" w:rsidR="00D374E9" w:rsidRPr="009E35ED" w:rsidRDefault="0009357F" w:rsidP="005E4F3F">
            <w:pPr>
              <w:ind w:left="0" w:hanging="112"/>
              <w:jc w:val="righ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1.00</w:t>
            </w:r>
            <w:r w:rsidR="00D374E9" w:rsidRPr="009E35ED">
              <w:rPr>
                <w:rFonts w:ascii="Arial Narrow" w:hAnsi="Arial Narrow" w:cs="Arial"/>
                <w:color w:val="000000" w:themeColor="text1"/>
                <w:sz w:val="20"/>
                <w:szCs w:val="20"/>
                <w:lang w:val="en-PH"/>
              </w:rPr>
              <w:t>%</w:t>
            </w:r>
          </w:p>
        </w:tc>
        <w:tc>
          <w:tcPr>
            <w:tcW w:w="1282" w:type="dxa"/>
            <w:shd w:val="clear" w:color="auto" w:fill="auto"/>
            <w:noWrap/>
          </w:tcPr>
          <w:p w14:paraId="010C8B7B" w14:textId="1D8AFEB7" w:rsidR="00D374E9" w:rsidRPr="009E35ED" w:rsidRDefault="0009357F" w:rsidP="005E4F3F">
            <w:pPr>
              <w:ind w:left="0" w:right="-90" w:hanging="104"/>
              <w:jc w:val="righ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1.00</w:t>
            </w:r>
            <w:r w:rsidR="00D374E9" w:rsidRPr="009E35ED">
              <w:rPr>
                <w:rFonts w:ascii="Arial Narrow" w:hAnsi="Arial Narrow" w:cs="Arial"/>
                <w:color w:val="000000" w:themeColor="text1"/>
                <w:sz w:val="20"/>
                <w:szCs w:val="20"/>
                <w:lang w:val="en-PH"/>
              </w:rPr>
              <w:t>%</w:t>
            </w:r>
          </w:p>
        </w:tc>
      </w:tr>
      <w:tr w:rsidR="00997F75" w:rsidRPr="009E35ED" w14:paraId="1A60E712" w14:textId="77777777" w:rsidTr="00A046FD">
        <w:trPr>
          <w:trHeight w:val="83"/>
        </w:trPr>
        <w:tc>
          <w:tcPr>
            <w:tcW w:w="3060" w:type="dxa"/>
            <w:shd w:val="clear" w:color="auto" w:fill="auto"/>
            <w:noWrap/>
          </w:tcPr>
          <w:p w14:paraId="5C2ED2DD" w14:textId="77777777" w:rsidR="00D374E9" w:rsidRPr="009E35ED" w:rsidRDefault="00D374E9" w:rsidP="005E4F3F">
            <w:pPr>
              <w:ind w:left="0"/>
              <w:jc w:val="lef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 xml:space="preserve">Documentary Stamp Tax </w:t>
            </w:r>
          </w:p>
        </w:tc>
        <w:tc>
          <w:tcPr>
            <w:tcW w:w="1433" w:type="dxa"/>
            <w:shd w:val="clear" w:color="auto" w:fill="auto"/>
            <w:noWrap/>
          </w:tcPr>
          <w:p w14:paraId="0B5C4CFE" w14:textId="77777777" w:rsidR="00D374E9" w:rsidRPr="009E35ED" w:rsidRDefault="00D374E9" w:rsidP="005E4F3F">
            <w:pPr>
              <w:ind w:left="0" w:hanging="126"/>
              <w:jc w:val="righ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20.00%</w:t>
            </w:r>
          </w:p>
        </w:tc>
        <w:tc>
          <w:tcPr>
            <w:tcW w:w="1433" w:type="dxa"/>
            <w:shd w:val="clear" w:color="auto" w:fill="auto"/>
            <w:noWrap/>
          </w:tcPr>
          <w:p w14:paraId="6F02648B" w14:textId="77777777" w:rsidR="00D374E9" w:rsidRPr="009E35ED" w:rsidRDefault="00D374E9" w:rsidP="005E4F3F">
            <w:pPr>
              <w:ind w:left="0" w:hanging="119"/>
              <w:jc w:val="righ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20.00%</w:t>
            </w:r>
          </w:p>
        </w:tc>
        <w:tc>
          <w:tcPr>
            <w:tcW w:w="1432" w:type="dxa"/>
            <w:shd w:val="clear" w:color="auto" w:fill="auto"/>
            <w:noWrap/>
          </w:tcPr>
          <w:p w14:paraId="49D81225" w14:textId="77777777" w:rsidR="00D374E9" w:rsidRPr="009E35ED" w:rsidRDefault="00D374E9" w:rsidP="005E4F3F">
            <w:pPr>
              <w:ind w:left="0" w:hanging="112"/>
              <w:jc w:val="righ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20.00%</w:t>
            </w:r>
          </w:p>
        </w:tc>
        <w:tc>
          <w:tcPr>
            <w:tcW w:w="1282" w:type="dxa"/>
            <w:shd w:val="clear" w:color="auto" w:fill="auto"/>
            <w:noWrap/>
          </w:tcPr>
          <w:p w14:paraId="013CF3C8" w14:textId="77777777" w:rsidR="00D374E9" w:rsidRPr="009E35ED" w:rsidRDefault="00D374E9" w:rsidP="005E4F3F">
            <w:pPr>
              <w:ind w:left="0" w:right="-90" w:hanging="104"/>
              <w:jc w:val="righ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20.00%</w:t>
            </w:r>
          </w:p>
        </w:tc>
      </w:tr>
      <w:tr w:rsidR="00997F75" w:rsidRPr="009E35ED" w14:paraId="3607E5C9" w14:textId="77777777" w:rsidTr="00A046FD">
        <w:trPr>
          <w:trHeight w:val="83"/>
        </w:trPr>
        <w:tc>
          <w:tcPr>
            <w:tcW w:w="3060" w:type="dxa"/>
            <w:shd w:val="clear" w:color="auto" w:fill="auto"/>
            <w:noWrap/>
          </w:tcPr>
          <w:p w14:paraId="128D65D9" w14:textId="77777777" w:rsidR="00D374E9" w:rsidRPr="009E35ED" w:rsidRDefault="00D374E9" w:rsidP="005E4F3F">
            <w:pPr>
              <w:ind w:left="0"/>
              <w:jc w:val="lef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Financial Assistance</w:t>
            </w:r>
          </w:p>
        </w:tc>
        <w:tc>
          <w:tcPr>
            <w:tcW w:w="1433" w:type="dxa"/>
            <w:shd w:val="clear" w:color="auto" w:fill="auto"/>
            <w:noWrap/>
          </w:tcPr>
          <w:p w14:paraId="5588FFAC" w14:textId="017E16EB" w:rsidR="00D374E9" w:rsidRPr="009E35ED" w:rsidRDefault="0009357F" w:rsidP="005E4F3F">
            <w:pPr>
              <w:ind w:left="0" w:hanging="126"/>
              <w:jc w:val="righ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7.40</w:t>
            </w:r>
            <w:r w:rsidR="00D374E9" w:rsidRPr="009E35ED">
              <w:rPr>
                <w:rFonts w:ascii="Arial Narrow" w:hAnsi="Arial Narrow" w:cs="Arial"/>
                <w:color w:val="000000" w:themeColor="text1"/>
                <w:sz w:val="20"/>
                <w:szCs w:val="20"/>
                <w:lang w:val="en-PH"/>
              </w:rPr>
              <w:t>%</w:t>
            </w:r>
          </w:p>
        </w:tc>
        <w:tc>
          <w:tcPr>
            <w:tcW w:w="1433" w:type="dxa"/>
            <w:shd w:val="clear" w:color="auto" w:fill="auto"/>
            <w:noWrap/>
          </w:tcPr>
          <w:p w14:paraId="03C556C5" w14:textId="473AA12F" w:rsidR="00D374E9" w:rsidRPr="009E35ED" w:rsidRDefault="0009357F" w:rsidP="005E4F3F">
            <w:pPr>
              <w:ind w:left="0" w:hanging="119"/>
              <w:jc w:val="righ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7.40</w:t>
            </w:r>
            <w:r w:rsidR="00D374E9" w:rsidRPr="009E35ED">
              <w:rPr>
                <w:rFonts w:ascii="Arial Narrow" w:hAnsi="Arial Narrow" w:cs="Arial"/>
                <w:color w:val="000000" w:themeColor="text1"/>
                <w:sz w:val="20"/>
                <w:szCs w:val="20"/>
                <w:lang w:val="en-PH"/>
              </w:rPr>
              <w:t>%</w:t>
            </w:r>
          </w:p>
        </w:tc>
        <w:tc>
          <w:tcPr>
            <w:tcW w:w="1432" w:type="dxa"/>
            <w:shd w:val="clear" w:color="auto" w:fill="auto"/>
            <w:noWrap/>
          </w:tcPr>
          <w:p w14:paraId="449E874D" w14:textId="28CE7198" w:rsidR="00D374E9" w:rsidRPr="009E35ED" w:rsidRDefault="0009357F" w:rsidP="005E4F3F">
            <w:pPr>
              <w:ind w:left="0" w:hanging="112"/>
              <w:jc w:val="righ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7.40</w:t>
            </w:r>
            <w:r w:rsidR="00D374E9" w:rsidRPr="009E35ED">
              <w:rPr>
                <w:rFonts w:ascii="Arial Narrow" w:hAnsi="Arial Narrow" w:cs="Arial"/>
                <w:color w:val="000000" w:themeColor="text1"/>
                <w:sz w:val="20"/>
                <w:szCs w:val="20"/>
                <w:lang w:val="en-PH"/>
              </w:rPr>
              <w:t>%</w:t>
            </w:r>
          </w:p>
        </w:tc>
        <w:tc>
          <w:tcPr>
            <w:tcW w:w="1282" w:type="dxa"/>
            <w:shd w:val="clear" w:color="auto" w:fill="auto"/>
            <w:noWrap/>
          </w:tcPr>
          <w:p w14:paraId="10B9769C" w14:textId="5188E4B9" w:rsidR="00D374E9" w:rsidRPr="009E35ED" w:rsidRDefault="0009357F" w:rsidP="005E4F3F">
            <w:pPr>
              <w:ind w:left="0" w:right="-90" w:hanging="104"/>
              <w:jc w:val="righ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7.40</w:t>
            </w:r>
            <w:r w:rsidR="00D374E9" w:rsidRPr="009E35ED">
              <w:rPr>
                <w:rFonts w:ascii="Arial Narrow" w:hAnsi="Arial Narrow" w:cs="Arial"/>
                <w:color w:val="000000" w:themeColor="text1"/>
                <w:sz w:val="20"/>
                <w:szCs w:val="20"/>
                <w:lang w:val="en-PH"/>
              </w:rPr>
              <w:t>%</w:t>
            </w:r>
          </w:p>
        </w:tc>
      </w:tr>
      <w:tr w:rsidR="00997F75" w:rsidRPr="009E35ED" w14:paraId="16FD1E5D" w14:textId="77777777" w:rsidTr="00A046FD">
        <w:trPr>
          <w:trHeight w:val="83"/>
        </w:trPr>
        <w:tc>
          <w:tcPr>
            <w:tcW w:w="3060" w:type="dxa"/>
            <w:shd w:val="clear" w:color="auto" w:fill="auto"/>
            <w:noWrap/>
          </w:tcPr>
          <w:p w14:paraId="22ACB612" w14:textId="77777777" w:rsidR="00D374E9" w:rsidRDefault="00D374E9" w:rsidP="005E4F3F">
            <w:pPr>
              <w:ind w:left="0"/>
              <w:jc w:val="left"/>
              <w:rPr>
                <w:rFonts w:ascii="Arial Narrow" w:hAnsi="Arial Narrow" w:cs="Arial"/>
                <w:color w:val="000000" w:themeColor="text1"/>
                <w:sz w:val="20"/>
                <w:szCs w:val="20"/>
                <w:lang w:val="en-PH"/>
              </w:rPr>
            </w:pPr>
          </w:p>
          <w:p w14:paraId="680722D0" w14:textId="77777777" w:rsidR="00A046FD" w:rsidRPr="009E35ED" w:rsidRDefault="00A046FD" w:rsidP="005E4F3F">
            <w:pPr>
              <w:ind w:left="0"/>
              <w:jc w:val="left"/>
              <w:rPr>
                <w:rFonts w:ascii="Arial Narrow" w:hAnsi="Arial Narrow" w:cs="Arial"/>
                <w:color w:val="000000" w:themeColor="text1"/>
                <w:sz w:val="20"/>
                <w:szCs w:val="20"/>
                <w:lang w:val="en-PH"/>
              </w:rPr>
            </w:pPr>
          </w:p>
        </w:tc>
        <w:tc>
          <w:tcPr>
            <w:tcW w:w="1433" w:type="dxa"/>
            <w:shd w:val="clear" w:color="auto" w:fill="auto"/>
            <w:noWrap/>
          </w:tcPr>
          <w:p w14:paraId="74CF7ABF" w14:textId="77777777" w:rsidR="00D374E9" w:rsidRPr="009E35ED" w:rsidRDefault="00D374E9" w:rsidP="005E4F3F">
            <w:pPr>
              <w:ind w:left="0" w:hanging="126"/>
              <w:jc w:val="right"/>
              <w:rPr>
                <w:rFonts w:ascii="Arial Narrow" w:hAnsi="Arial Narrow" w:cs="Arial"/>
                <w:color w:val="000000" w:themeColor="text1"/>
                <w:sz w:val="20"/>
                <w:szCs w:val="20"/>
                <w:lang w:val="en-PH"/>
              </w:rPr>
            </w:pPr>
          </w:p>
        </w:tc>
        <w:tc>
          <w:tcPr>
            <w:tcW w:w="1433" w:type="dxa"/>
            <w:shd w:val="clear" w:color="auto" w:fill="auto"/>
            <w:noWrap/>
          </w:tcPr>
          <w:p w14:paraId="56A4F4E3" w14:textId="77777777" w:rsidR="00D374E9" w:rsidRPr="009E35ED" w:rsidRDefault="00D374E9" w:rsidP="005E4F3F">
            <w:pPr>
              <w:ind w:left="0" w:hanging="119"/>
              <w:jc w:val="right"/>
              <w:rPr>
                <w:rFonts w:ascii="Arial Narrow" w:hAnsi="Arial Narrow" w:cs="Arial"/>
                <w:color w:val="000000" w:themeColor="text1"/>
                <w:sz w:val="20"/>
                <w:szCs w:val="20"/>
                <w:lang w:val="en-PH"/>
              </w:rPr>
            </w:pPr>
          </w:p>
        </w:tc>
        <w:tc>
          <w:tcPr>
            <w:tcW w:w="1432" w:type="dxa"/>
            <w:shd w:val="clear" w:color="auto" w:fill="auto"/>
            <w:noWrap/>
          </w:tcPr>
          <w:p w14:paraId="115379EA" w14:textId="77777777" w:rsidR="00D374E9" w:rsidRPr="009E35ED" w:rsidRDefault="00D374E9" w:rsidP="005E4F3F">
            <w:pPr>
              <w:ind w:left="0" w:hanging="112"/>
              <w:jc w:val="right"/>
              <w:rPr>
                <w:rFonts w:ascii="Arial Narrow" w:hAnsi="Arial Narrow" w:cs="Arial"/>
                <w:color w:val="000000" w:themeColor="text1"/>
                <w:sz w:val="20"/>
                <w:szCs w:val="20"/>
                <w:lang w:val="en-PH"/>
              </w:rPr>
            </w:pPr>
          </w:p>
        </w:tc>
        <w:tc>
          <w:tcPr>
            <w:tcW w:w="1282" w:type="dxa"/>
            <w:shd w:val="clear" w:color="auto" w:fill="auto"/>
            <w:noWrap/>
          </w:tcPr>
          <w:p w14:paraId="4A78CA7E" w14:textId="77777777" w:rsidR="00D374E9" w:rsidRPr="009E35ED" w:rsidRDefault="00D374E9" w:rsidP="005E4F3F">
            <w:pPr>
              <w:ind w:left="0" w:right="-90" w:hanging="104"/>
              <w:jc w:val="right"/>
              <w:rPr>
                <w:rFonts w:ascii="Arial Narrow" w:hAnsi="Arial Narrow" w:cs="Arial"/>
                <w:color w:val="000000" w:themeColor="text1"/>
                <w:sz w:val="20"/>
                <w:szCs w:val="20"/>
                <w:lang w:val="en-PH"/>
              </w:rPr>
            </w:pPr>
          </w:p>
        </w:tc>
      </w:tr>
      <w:tr w:rsidR="00997F75" w:rsidRPr="009E35ED" w14:paraId="5FFDDDFE" w14:textId="77777777" w:rsidTr="00A046FD">
        <w:trPr>
          <w:trHeight w:val="83"/>
        </w:trPr>
        <w:tc>
          <w:tcPr>
            <w:tcW w:w="3060" w:type="dxa"/>
            <w:shd w:val="clear" w:color="auto" w:fill="auto"/>
            <w:noWrap/>
          </w:tcPr>
          <w:p w14:paraId="0782A06B" w14:textId="77777777" w:rsidR="00D374E9" w:rsidRPr="009E35ED" w:rsidRDefault="00D374E9" w:rsidP="005E4F3F">
            <w:pPr>
              <w:ind w:left="0"/>
              <w:jc w:val="left"/>
              <w:rPr>
                <w:rFonts w:ascii="Arial Narrow" w:hAnsi="Arial Narrow" w:cs="Arial"/>
                <w:color w:val="000000" w:themeColor="text1"/>
                <w:sz w:val="20"/>
                <w:szCs w:val="20"/>
                <w:lang w:val="en-PH"/>
              </w:rPr>
            </w:pPr>
            <w:r w:rsidRPr="009E35ED">
              <w:rPr>
                <w:rFonts w:ascii="Arial Narrow" w:hAnsi="Arial Narrow" w:cs="Arial"/>
                <w:b/>
                <w:bCs/>
                <w:color w:val="000000" w:themeColor="text1"/>
                <w:sz w:val="20"/>
                <w:szCs w:val="20"/>
                <w:lang w:val="en-PH"/>
              </w:rPr>
              <w:t>III. Operating Fund  (15% of NR)</w:t>
            </w:r>
          </w:p>
        </w:tc>
        <w:tc>
          <w:tcPr>
            <w:tcW w:w="1433" w:type="dxa"/>
            <w:shd w:val="clear" w:color="auto" w:fill="auto"/>
            <w:noWrap/>
          </w:tcPr>
          <w:p w14:paraId="3950D90D" w14:textId="77777777" w:rsidR="00D374E9" w:rsidRPr="009E35ED" w:rsidRDefault="00D374E9" w:rsidP="005E4F3F">
            <w:pPr>
              <w:ind w:left="0" w:hanging="126"/>
              <w:jc w:val="right"/>
              <w:rPr>
                <w:rFonts w:ascii="Arial Narrow" w:hAnsi="Arial Narrow" w:cs="Arial"/>
                <w:color w:val="000000" w:themeColor="text1"/>
                <w:sz w:val="20"/>
                <w:szCs w:val="20"/>
                <w:lang w:val="en-PH"/>
              </w:rPr>
            </w:pPr>
            <w:r w:rsidRPr="009E35ED">
              <w:rPr>
                <w:rFonts w:ascii="Arial Narrow" w:hAnsi="Arial Narrow" w:cs="Arial"/>
                <w:b/>
                <w:bCs/>
                <w:color w:val="000000" w:themeColor="text1"/>
                <w:sz w:val="20"/>
                <w:szCs w:val="20"/>
                <w:lang w:val="en-PH"/>
              </w:rPr>
              <w:t>14.70%</w:t>
            </w:r>
          </w:p>
        </w:tc>
        <w:tc>
          <w:tcPr>
            <w:tcW w:w="1433" w:type="dxa"/>
            <w:shd w:val="clear" w:color="auto" w:fill="auto"/>
            <w:noWrap/>
          </w:tcPr>
          <w:p w14:paraId="6DA399B1" w14:textId="77777777" w:rsidR="00D374E9" w:rsidRPr="009E35ED" w:rsidRDefault="00D374E9" w:rsidP="005E4F3F">
            <w:pPr>
              <w:ind w:left="0" w:hanging="119"/>
              <w:jc w:val="right"/>
              <w:rPr>
                <w:rFonts w:ascii="Arial Narrow" w:hAnsi="Arial Narrow" w:cs="Arial"/>
                <w:color w:val="000000" w:themeColor="text1"/>
                <w:sz w:val="20"/>
                <w:szCs w:val="20"/>
                <w:lang w:val="en-PH"/>
              </w:rPr>
            </w:pPr>
            <w:r w:rsidRPr="009E35ED">
              <w:rPr>
                <w:rFonts w:ascii="Arial Narrow" w:hAnsi="Arial Narrow" w:cs="Arial"/>
                <w:b/>
                <w:bCs/>
                <w:color w:val="000000" w:themeColor="text1"/>
                <w:sz w:val="20"/>
                <w:szCs w:val="20"/>
                <w:lang w:val="en-PH"/>
              </w:rPr>
              <w:t>14.70%</w:t>
            </w:r>
          </w:p>
        </w:tc>
        <w:tc>
          <w:tcPr>
            <w:tcW w:w="1432" w:type="dxa"/>
            <w:shd w:val="clear" w:color="auto" w:fill="auto"/>
            <w:noWrap/>
          </w:tcPr>
          <w:p w14:paraId="384C1090" w14:textId="77777777" w:rsidR="00D374E9" w:rsidRPr="009E35ED" w:rsidRDefault="00D374E9" w:rsidP="005E4F3F">
            <w:pPr>
              <w:ind w:left="0" w:hanging="112"/>
              <w:jc w:val="right"/>
              <w:rPr>
                <w:rFonts w:ascii="Arial Narrow" w:hAnsi="Arial Narrow" w:cs="Arial"/>
                <w:color w:val="000000" w:themeColor="text1"/>
                <w:sz w:val="20"/>
                <w:szCs w:val="20"/>
                <w:lang w:val="en-PH"/>
              </w:rPr>
            </w:pPr>
            <w:r w:rsidRPr="009E35ED">
              <w:rPr>
                <w:rFonts w:ascii="Arial Narrow" w:hAnsi="Arial Narrow" w:cs="Arial"/>
                <w:b/>
                <w:bCs/>
                <w:color w:val="000000" w:themeColor="text1"/>
                <w:sz w:val="20"/>
                <w:szCs w:val="20"/>
                <w:lang w:val="en-PH"/>
              </w:rPr>
              <w:t>14.70%</w:t>
            </w:r>
          </w:p>
        </w:tc>
        <w:tc>
          <w:tcPr>
            <w:tcW w:w="1282" w:type="dxa"/>
            <w:shd w:val="clear" w:color="auto" w:fill="auto"/>
            <w:noWrap/>
          </w:tcPr>
          <w:p w14:paraId="5924487E" w14:textId="77777777" w:rsidR="00D374E9" w:rsidRPr="009E35ED" w:rsidRDefault="00D374E9" w:rsidP="005E4F3F">
            <w:pPr>
              <w:ind w:left="0" w:right="-90" w:hanging="104"/>
              <w:jc w:val="right"/>
              <w:rPr>
                <w:rFonts w:ascii="Arial Narrow" w:hAnsi="Arial Narrow" w:cs="Arial"/>
                <w:color w:val="000000" w:themeColor="text1"/>
                <w:sz w:val="20"/>
                <w:szCs w:val="20"/>
                <w:lang w:val="en-PH"/>
              </w:rPr>
            </w:pPr>
            <w:r w:rsidRPr="009E35ED">
              <w:rPr>
                <w:rFonts w:ascii="Arial Narrow" w:hAnsi="Arial Narrow" w:cs="Arial"/>
                <w:b/>
                <w:bCs/>
                <w:color w:val="000000" w:themeColor="text1"/>
                <w:sz w:val="20"/>
                <w:szCs w:val="20"/>
                <w:lang w:val="en-PH"/>
              </w:rPr>
              <w:t>14.70%</w:t>
            </w:r>
          </w:p>
        </w:tc>
      </w:tr>
      <w:tr w:rsidR="00997F75" w:rsidRPr="009E35ED" w14:paraId="220A86FF" w14:textId="77777777" w:rsidTr="00A046FD">
        <w:trPr>
          <w:trHeight w:val="83"/>
        </w:trPr>
        <w:tc>
          <w:tcPr>
            <w:tcW w:w="3060" w:type="dxa"/>
            <w:shd w:val="clear" w:color="auto" w:fill="auto"/>
            <w:noWrap/>
          </w:tcPr>
          <w:p w14:paraId="293A3968" w14:textId="1DF1A175" w:rsidR="00D374E9" w:rsidRPr="009E35ED" w:rsidRDefault="0009357F" w:rsidP="005E4F3F">
            <w:pPr>
              <w:ind w:left="0"/>
              <w:jc w:val="left"/>
              <w:rPr>
                <w:rFonts w:ascii="Arial Narrow" w:hAnsi="Arial Narrow" w:cs="Arial"/>
                <w:b/>
                <w:bCs/>
                <w:color w:val="000000" w:themeColor="text1"/>
                <w:sz w:val="20"/>
                <w:szCs w:val="20"/>
                <w:lang w:val="en-PH"/>
              </w:rPr>
            </w:pPr>
            <w:r w:rsidRPr="009E35ED">
              <w:rPr>
                <w:rFonts w:ascii="Arial Narrow" w:hAnsi="Arial Narrow" w:cs="Arial"/>
                <w:color w:val="000000" w:themeColor="text1"/>
                <w:sz w:val="20"/>
                <w:szCs w:val="20"/>
                <w:lang w:val="en-PH"/>
              </w:rPr>
              <w:t>PLS Cost</w:t>
            </w:r>
          </w:p>
        </w:tc>
        <w:tc>
          <w:tcPr>
            <w:tcW w:w="1433" w:type="dxa"/>
            <w:shd w:val="clear" w:color="auto" w:fill="auto"/>
            <w:noWrap/>
          </w:tcPr>
          <w:p w14:paraId="39B92658" w14:textId="15C2A679" w:rsidR="00D374E9" w:rsidRPr="009E35ED" w:rsidRDefault="00D374E9" w:rsidP="0009357F">
            <w:pPr>
              <w:ind w:left="0" w:hanging="126"/>
              <w:jc w:val="right"/>
              <w:rPr>
                <w:rFonts w:ascii="Arial Narrow" w:hAnsi="Arial Narrow" w:cs="Arial"/>
                <w:b/>
                <w:bCs/>
                <w:color w:val="000000" w:themeColor="text1"/>
                <w:sz w:val="20"/>
                <w:szCs w:val="20"/>
                <w:lang w:val="en-PH"/>
              </w:rPr>
            </w:pPr>
            <w:r w:rsidRPr="009E35ED">
              <w:rPr>
                <w:rFonts w:ascii="Arial Narrow" w:hAnsi="Arial Narrow" w:cs="Arial"/>
                <w:color w:val="000000" w:themeColor="text1"/>
                <w:sz w:val="20"/>
                <w:szCs w:val="20"/>
                <w:lang w:val="en-PH"/>
              </w:rPr>
              <w:t>0.</w:t>
            </w:r>
            <w:r w:rsidR="0009357F" w:rsidRPr="009E35ED">
              <w:rPr>
                <w:rFonts w:ascii="Arial Narrow" w:hAnsi="Arial Narrow" w:cs="Arial"/>
                <w:color w:val="000000" w:themeColor="text1"/>
                <w:sz w:val="20"/>
                <w:szCs w:val="20"/>
                <w:lang w:val="en-PH"/>
              </w:rPr>
              <w:t>48</w:t>
            </w:r>
            <w:r w:rsidRPr="009E35ED">
              <w:rPr>
                <w:rFonts w:ascii="Arial Narrow" w:hAnsi="Arial Narrow" w:cs="Arial"/>
                <w:color w:val="000000" w:themeColor="text1"/>
                <w:sz w:val="20"/>
                <w:szCs w:val="20"/>
                <w:lang w:val="en-PH"/>
              </w:rPr>
              <w:t>%</w:t>
            </w:r>
          </w:p>
        </w:tc>
        <w:tc>
          <w:tcPr>
            <w:tcW w:w="1433" w:type="dxa"/>
            <w:shd w:val="clear" w:color="auto" w:fill="auto"/>
            <w:noWrap/>
          </w:tcPr>
          <w:p w14:paraId="0F00D676" w14:textId="130F060B" w:rsidR="00D374E9" w:rsidRPr="009E35ED" w:rsidRDefault="00D374E9" w:rsidP="0009357F">
            <w:pPr>
              <w:ind w:left="0" w:hanging="119"/>
              <w:jc w:val="right"/>
              <w:rPr>
                <w:rFonts w:ascii="Arial Narrow" w:hAnsi="Arial Narrow" w:cs="Arial"/>
                <w:b/>
                <w:bCs/>
                <w:color w:val="000000" w:themeColor="text1"/>
                <w:sz w:val="20"/>
                <w:szCs w:val="20"/>
                <w:lang w:val="en-PH"/>
              </w:rPr>
            </w:pPr>
            <w:r w:rsidRPr="009E35ED">
              <w:rPr>
                <w:rFonts w:ascii="Arial Narrow" w:hAnsi="Arial Narrow" w:cs="Arial"/>
                <w:color w:val="000000" w:themeColor="text1"/>
                <w:sz w:val="20"/>
                <w:szCs w:val="20"/>
                <w:lang w:val="en-PH"/>
              </w:rPr>
              <w:t>0.</w:t>
            </w:r>
            <w:r w:rsidR="0009357F" w:rsidRPr="009E35ED">
              <w:rPr>
                <w:rFonts w:ascii="Arial Narrow" w:hAnsi="Arial Narrow" w:cs="Arial"/>
                <w:color w:val="000000" w:themeColor="text1"/>
                <w:sz w:val="20"/>
                <w:szCs w:val="20"/>
                <w:lang w:val="en-PH"/>
              </w:rPr>
              <w:t>48</w:t>
            </w:r>
            <w:r w:rsidRPr="009E35ED">
              <w:rPr>
                <w:rFonts w:ascii="Arial Narrow" w:hAnsi="Arial Narrow" w:cs="Arial"/>
                <w:color w:val="000000" w:themeColor="text1"/>
                <w:sz w:val="20"/>
                <w:szCs w:val="20"/>
                <w:lang w:val="en-PH"/>
              </w:rPr>
              <w:t>%</w:t>
            </w:r>
          </w:p>
        </w:tc>
        <w:tc>
          <w:tcPr>
            <w:tcW w:w="1432" w:type="dxa"/>
            <w:shd w:val="clear" w:color="auto" w:fill="auto"/>
            <w:noWrap/>
          </w:tcPr>
          <w:p w14:paraId="2E303433" w14:textId="39F01E21" w:rsidR="00D374E9" w:rsidRPr="009E35ED" w:rsidRDefault="00D374E9" w:rsidP="0009357F">
            <w:pPr>
              <w:ind w:left="0" w:hanging="112"/>
              <w:jc w:val="right"/>
              <w:rPr>
                <w:rFonts w:ascii="Arial Narrow" w:hAnsi="Arial Narrow" w:cs="Arial"/>
                <w:b/>
                <w:bCs/>
                <w:color w:val="000000" w:themeColor="text1"/>
                <w:sz w:val="20"/>
                <w:szCs w:val="20"/>
                <w:lang w:val="en-PH"/>
              </w:rPr>
            </w:pPr>
            <w:r w:rsidRPr="009E35ED">
              <w:rPr>
                <w:rFonts w:ascii="Arial Narrow" w:hAnsi="Arial Narrow" w:cs="Arial"/>
                <w:color w:val="000000" w:themeColor="text1"/>
                <w:sz w:val="20"/>
                <w:szCs w:val="20"/>
                <w:lang w:val="en-PH"/>
              </w:rPr>
              <w:t>0.</w:t>
            </w:r>
            <w:r w:rsidR="0009357F" w:rsidRPr="009E35ED">
              <w:rPr>
                <w:rFonts w:ascii="Arial Narrow" w:hAnsi="Arial Narrow" w:cs="Arial"/>
                <w:color w:val="000000" w:themeColor="text1"/>
                <w:sz w:val="20"/>
                <w:szCs w:val="20"/>
                <w:lang w:val="en-PH"/>
              </w:rPr>
              <w:t>48</w:t>
            </w:r>
            <w:r w:rsidRPr="009E35ED">
              <w:rPr>
                <w:rFonts w:ascii="Arial Narrow" w:hAnsi="Arial Narrow" w:cs="Arial"/>
                <w:color w:val="000000" w:themeColor="text1"/>
                <w:sz w:val="20"/>
                <w:szCs w:val="20"/>
                <w:lang w:val="en-PH"/>
              </w:rPr>
              <w:t>%</w:t>
            </w:r>
          </w:p>
        </w:tc>
        <w:tc>
          <w:tcPr>
            <w:tcW w:w="1282" w:type="dxa"/>
            <w:shd w:val="clear" w:color="auto" w:fill="auto"/>
            <w:noWrap/>
          </w:tcPr>
          <w:p w14:paraId="0A4F5F5F" w14:textId="739E6D26" w:rsidR="00D374E9" w:rsidRPr="009E35ED" w:rsidRDefault="00D374E9" w:rsidP="0009357F">
            <w:pPr>
              <w:ind w:left="0" w:right="-90" w:hanging="104"/>
              <w:jc w:val="right"/>
              <w:rPr>
                <w:rFonts w:ascii="Arial Narrow" w:hAnsi="Arial Narrow" w:cs="Arial"/>
                <w:b/>
                <w:bCs/>
                <w:color w:val="000000" w:themeColor="text1"/>
                <w:sz w:val="20"/>
                <w:szCs w:val="20"/>
                <w:lang w:val="en-PH"/>
              </w:rPr>
            </w:pPr>
            <w:r w:rsidRPr="009E35ED">
              <w:rPr>
                <w:rFonts w:ascii="Arial Narrow" w:hAnsi="Arial Narrow" w:cs="Arial"/>
                <w:color w:val="000000" w:themeColor="text1"/>
                <w:sz w:val="20"/>
                <w:szCs w:val="20"/>
                <w:lang w:val="en-PH"/>
              </w:rPr>
              <w:t>0.</w:t>
            </w:r>
            <w:r w:rsidR="0009357F" w:rsidRPr="009E35ED">
              <w:rPr>
                <w:rFonts w:ascii="Arial Narrow" w:hAnsi="Arial Narrow" w:cs="Arial"/>
                <w:color w:val="000000" w:themeColor="text1"/>
                <w:sz w:val="20"/>
                <w:szCs w:val="20"/>
                <w:lang w:val="en-PH"/>
              </w:rPr>
              <w:t>48</w:t>
            </w:r>
            <w:r w:rsidRPr="009E35ED">
              <w:rPr>
                <w:rFonts w:ascii="Arial Narrow" w:hAnsi="Arial Narrow" w:cs="Arial"/>
                <w:color w:val="000000" w:themeColor="text1"/>
                <w:sz w:val="20"/>
                <w:szCs w:val="20"/>
                <w:lang w:val="en-PH"/>
              </w:rPr>
              <w:t>%</w:t>
            </w:r>
          </w:p>
        </w:tc>
      </w:tr>
      <w:tr w:rsidR="00997F75" w:rsidRPr="009E35ED" w14:paraId="345B3C32" w14:textId="77777777" w:rsidTr="00A046FD">
        <w:trPr>
          <w:trHeight w:val="83"/>
        </w:trPr>
        <w:tc>
          <w:tcPr>
            <w:tcW w:w="3060" w:type="dxa"/>
            <w:tcBorders>
              <w:bottom w:val="single" w:sz="4" w:space="0" w:color="auto"/>
            </w:tcBorders>
            <w:shd w:val="clear" w:color="auto" w:fill="auto"/>
            <w:noWrap/>
          </w:tcPr>
          <w:p w14:paraId="08E9A30E" w14:textId="77777777" w:rsidR="00D374E9" w:rsidRPr="009E35ED" w:rsidRDefault="00D374E9" w:rsidP="005E4F3F">
            <w:pPr>
              <w:ind w:left="0"/>
              <w:jc w:val="lef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Net Operating Fund</w:t>
            </w:r>
          </w:p>
        </w:tc>
        <w:tc>
          <w:tcPr>
            <w:tcW w:w="1433" w:type="dxa"/>
            <w:tcBorders>
              <w:bottom w:val="single" w:sz="4" w:space="0" w:color="auto"/>
            </w:tcBorders>
            <w:shd w:val="clear" w:color="auto" w:fill="auto"/>
            <w:noWrap/>
          </w:tcPr>
          <w:p w14:paraId="06210F54" w14:textId="6D6D0049" w:rsidR="00D374E9" w:rsidRPr="009E35ED" w:rsidRDefault="00D374E9" w:rsidP="0009357F">
            <w:pPr>
              <w:ind w:left="0" w:hanging="126"/>
              <w:jc w:val="righ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1</w:t>
            </w:r>
            <w:r w:rsidR="0009357F" w:rsidRPr="009E35ED">
              <w:rPr>
                <w:rFonts w:ascii="Arial Narrow" w:hAnsi="Arial Narrow" w:cs="Arial"/>
                <w:color w:val="000000" w:themeColor="text1"/>
                <w:sz w:val="20"/>
                <w:szCs w:val="20"/>
                <w:lang w:val="en-PH"/>
              </w:rPr>
              <w:t>4.22</w:t>
            </w:r>
            <w:r w:rsidRPr="009E35ED">
              <w:rPr>
                <w:rFonts w:ascii="Arial Narrow" w:hAnsi="Arial Narrow" w:cs="Arial"/>
                <w:color w:val="000000" w:themeColor="text1"/>
                <w:sz w:val="20"/>
                <w:szCs w:val="20"/>
                <w:lang w:val="en-PH"/>
              </w:rPr>
              <w:t>%</w:t>
            </w:r>
          </w:p>
        </w:tc>
        <w:tc>
          <w:tcPr>
            <w:tcW w:w="1433" w:type="dxa"/>
            <w:tcBorders>
              <w:bottom w:val="single" w:sz="4" w:space="0" w:color="auto"/>
            </w:tcBorders>
            <w:shd w:val="clear" w:color="auto" w:fill="auto"/>
            <w:noWrap/>
          </w:tcPr>
          <w:p w14:paraId="3D55C8AE" w14:textId="638CCAAD" w:rsidR="00D374E9" w:rsidRPr="009E35ED" w:rsidRDefault="00D374E9" w:rsidP="0009357F">
            <w:pPr>
              <w:ind w:left="0" w:hanging="119"/>
              <w:jc w:val="righ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1</w:t>
            </w:r>
            <w:r w:rsidR="0009357F" w:rsidRPr="009E35ED">
              <w:rPr>
                <w:rFonts w:ascii="Arial Narrow" w:hAnsi="Arial Narrow" w:cs="Arial"/>
                <w:color w:val="000000" w:themeColor="text1"/>
                <w:sz w:val="20"/>
                <w:szCs w:val="20"/>
                <w:lang w:val="en-PH"/>
              </w:rPr>
              <w:t>4.22</w:t>
            </w:r>
            <w:r w:rsidRPr="009E35ED">
              <w:rPr>
                <w:rFonts w:ascii="Arial Narrow" w:hAnsi="Arial Narrow" w:cs="Arial"/>
                <w:color w:val="000000" w:themeColor="text1"/>
                <w:sz w:val="20"/>
                <w:szCs w:val="20"/>
                <w:lang w:val="en-PH"/>
              </w:rPr>
              <w:t>%</w:t>
            </w:r>
          </w:p>
        </w:tc>
        <w:tc>
          <w:tcPr>
            <w:tcW w:w="1432" w:type="dxa"/>
            <w:tcBorders>
              <w:bottom w:val="single" w:sz="4" w:space="0" w:color="auto"/>
            </w:tcBorders>
            <w:shd w:val="clear" w:color="auto" w:fill="auto"/>
            <w:noWrap/>
          </w:tcPr>
          <w:p w14:paraId="1F0099C6" w14:textId="6AE8D420" w:rsidR="00D374E9" w:rsidRPr="009E35ED" w:rsidRDefault="00D374E9" w:rsidP="0009357F">
            <w:pPr>
              <w:ind w:left="0" w:hanging="112"/>
              <w:jc w:val="righ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1</w:t>
            </w:r>
            <w:r w:rsidR="0009357F" w:rsidRPr="009E35ED">
              <w:rPr>
                <w:rFonts w:ascii="Arial Narrow" w:hAnsi="Arial Narrow" w:cs="Arial"/>
                <w:color w:val="000000" w:themeColor="text1"/>
                <w:sz w:val="20"/>
                <w:szCs w:val="20"/>
                <w:lang w:val="en-PH"/>
              </w:rPr>
              <w:t>4.22</w:t>
            </w:r>
            <w:r w:rsidRPr="009E35ED">
              <w:rPr>
                <w:rFonts w:ascii="Arial Narrow" w:hAnsi="Arial Narrow" w:cs="Arial"/>
                <w:color w:val="000000" w:themeColor="text1"/>
                <w:sz w:val="20"/>
                <w:szCs w:val="20"/>
                <w:lang w:val="en-PH"/>
              </w:rPr>
              <w:t>%</w:t>
            </w:r>
          </w:p>
        </w:tc>
        <w:tc>
          <w:tcPr>
            <w:tcW w:w="1282" w:type="dxa"/>
            <w:tcBorders>
              <w:bottom w:val="single" w:sz="4" w:space="0" w:color="auto"/>
            </w:tcBorders>
            <w:shd w:val="clear" w:color="auto" w:fill="auto"/>
            <w:noWrap/>
          </w:tcPr>
          <w:p w14:paraId="7517FD3E" w14:textId="11749E67" w:rsidR="00D374E9" w:rsidRPr="009E35ED" w:rsidRDefault="00D374E9" w:rsidP="0009357F">
            <w:pPr>
              <w:ind w:left="0" w:right="-90" w:hanging="104"/>
              <w:jc w:val="right"/>
              <w:rPr>
                <w:rFonts w:ascii="Arial Narrow" w:hAnsi="Arial Narrow" w:cs="Arial"/>
                <w:color w:val="000000" w:themeColor="text1"/>
                <w:sz w:val="20"/>
                <w:szCs w:val="20"/>
                <w:lang w:val="en-PH"/>
              </w:rPr>
            </w:pPr>
            <w:r w:rsidRPr="009E35ED">
              <w:rPr>
                <w:rFonts w:ascii="Arial Narrow" w:hAnsi="Arial Narrow" w:cs="Arial"/>
                <w:color w:val="000000" w:themeColor="text1"/>
                <w:sz w:val="20"/>
                <w:szCs w:val="20"/>
                <w:lang w:val="en-PH"/>
              </w:rPr>
              <w:t>1</w:t>
            </w:r>
            <w:r w:rsidR="0009357F" w:rsidRPr="009E35ED">
              <w:rPr>
                <w:rFonts w:ascii="Arial Narrow" w:hAnsi="Arial Narrow" w:cs="Arial"/>
                <w:color w:val="000000" w:themeColor="text1"/>
                <w:sz w:val="20"/>
                <w:szCs w:val="20"/>
                <w:lang w:val="en-PH"/>
              </w:rPr>
              <w:t>4.22</w:t>
            </w:r>
            <w:r w:rsidRPr="009E35ED">
              <w:rPr>
                <w:rFonts w:ascii="Arial Narrow" w:hAnsi="Arial Narrow" w:cs="Arial"/>
                <w:color w:val="000000" w:themeColor="text1"/>
                <w:sz w:val="20"/>
                <w:szCs w:val="20"/>
                <w:lang w:val="en-PH"/>
              </w:rPr>
              <w:t>%</w:t>
            </w:r>
          </w:p>
        </w:tc>
      </w:tr>
    </w:tbl>
    <w:p w14:paraId="3ACD0E7D" w14:textId="77777777" w:rsidR="00EA29F0" w:rsidRDefault="00EA29F0" w:rsidP="00631E1D">
      <w:pPr>
        <w:ind w:left="0"/>
        <w:rPr>
          <w:rFonts w:ascii="Arial" w:hAnsi="Arial" w:cs="Arial"/>
          <w:i/>
          <w:iCs/>
          <w:color w:val="000000" w:themeColor="text1"/>
          <w:sz w:val="20"/>
          <w:szCs w:val="20"/>
        </w:rPr>
      </w:pPr>
    </w:p>
    <w:p w14:paraId="4738ACE2" w14:textId="5E59EC5A" w:rsidR="00631E1D" w:rsidRPr="009E35ED" w:rsidRDefault="00631E1D" w:rsidP="00631E1D">
      <w:pPr>
        <w:ind w:left="0"/>
        <w:rPr>
          <w:rFonts w:ascii="Arial" w:hAnsi="Arial" w:cs="Arial"/>
          <w:i/>
          <w:iCs/>
          <w:color w:val="000000" w:themeColor="text1"/>
          <w:sz w:val="20"/>
          <w:szCs w:val="20"/>
        </w:rPr>
      </w:pPr>
      <w:r w:rsidRPr="009E35ED">
        <w:rPr>
          <w:rFonts w:ascii="Arial" w:hAnsi="Arial" w:cs="Arial"/>
          <w:i/>
          <w:iCs/>
          <w:color w:val="000000" w:themeColor="text1"/>
          <w:sz w:val="20"/>
          <w:szCs w:val="20"/>
        </w:rPr>
        <w:t xml:space="preserve">*Starting October 1, 2023, Philippine Lottery System (PLS) Cost (Rent Expense – Lotto Equipment will not have fixed percentage or will not remain variable due to dependency on the sales of each games. During the implementation of PLS, the cost has a fixed contract price of </w:t>
      </w:r>
      <w:r w:rsidR="00F10767">
        <w:rPr>
          <w:rFonts w:ascii="Arial" w:hAnsi="Arial" w:cs="Arial"/>
          <w:i/>
          <w:iCs/>
          <w:color w:val="000000" w:themeColor="text1"/>
          <w:sz w:val="20"/>
          <w:szCs w:val="20"/>
        </w:rPr>
        <w:t>P</w:t>
      </w:r>
      <w:r w:rsidRPr="009E35ED">
        <w:rPr>
          <w:rFonts w:ascii="Arial" w:hAnsi="Arial" w:cs="Arial"/>
          <w:i/>
          <w:iCs/>
          <w:color w:val="000000" w:themeColor="text1"/>
          <w:sz w:val="20"/>
          <w:szCs w:val="20"/>
        </w:rPr>
        <w:t>5,800,000,000.00 with the term of 5 years or P1,160,000,000.00 per year. This means that the rent expense for lotto equipment will no longer be percentage based on actual sales.</w:t>
      </w:r>
    </w:p>
    <w:p w14:paraId="1F6FDA0A" w14:textId="73D228B9" w:rsidR="003158E0" w:rsidRPr="009E35ED" w:rsidRDefault="003158E0" w:rsidP="00803F8C">
      <w:pPr>
        <w:ind w:left="0"/>
        <w:rPr>
          <w:rFonts w:ascii="Arial" w:hAnsi="Arial" w:cs="Arial"/>
          <w:color w:val="000000" w:themeColor="text1"/>
          <w:sz w:val="22"/>
          <w:szCs w:val="22"/>
        </w:rPr>
      </w:pPr>
    </w:p>
    <w:p w14:paraId="2DA22C16" w14:textId="7929F9EC" w:rsidR="005A7881" w:rsidRPr="009E35ED" w:rsidRDefault="005A7881" w:rsidP="005A7881">
      <w:pPr>
        <w:ind w:left="0"/>
        <w:rPr>
          <w:rFonts w:ascii="Arial" w:hAnsi="Arial" w:cs="Arial"/>
          <w:color w:val="000000" w:themeColor="text1"/>
          <w:sz w:val="22"/>
          <w:szCs w:val="22"/>
        </w:rPr>
      </w:pPr>
      <w:r w:rsidRPr="009E35ED">
        <w:rPr>
          <w:rFonts w:ascii="Arial" w:hAnsi="Arial" w:cs="Arial"/>
          <w:color w:val="000000" w:themeColor="text1"/>
          <w:sz w:val="22"/>
          <w:szCs w:val="22"/>
        </w:rPr>
        <w:t>On 03 May 2023, PCSO Board of Directors in its regular board meeting, approved the following Revenue Allocation for the Web-Based Application for Betting Platforms or ‘E-Lotto” under B</w:t>
      </w:r>
      <w:r w:rsidR="00F6182B">
        <w:rPr>
          <w:rFonts w:ascii="Arial" w:hAnsi="Arial" w:cs="Arial"/>
          <w:color w:val="000000" w:themeColor="text1"/>
          <w:sz w:val="22"/>
          <w:szCs w:val="22"/>
        </w:rPr>
        <w:t>R</w:t>
      </w:r>
      <w:r w:rsidRPr="009E35ED">
        <w:rPr>
          <w:rFonts w:ascii="Arial" w:hAnsi="Arial" w:cs="Arial"/>
          <w:color w:val="000000" w:themeColor="text1"/>
          <w:sz w:val="22"/>
          <w:szCs w:val="22"/>
        </w:rPr>
        <w:t xml:space="preserve"> No. 117, Series of 2023</w:t>
      </w:r>
      <w:r w:rsidR="00AB4AD2" w:rsidRPr="009E35ED">
        <w:rPr>
          <w:rFonts w:ascii="Arial" w:hAnsi="Arial" w:cs="Arial"/>
          <w:color w:val="000000" w:themeColor="text1"/>
          <w:sz w:val="22"/>
          <w:szCs w:val="22"/>
        </w:rPr>
        <w:t>, t</w:t>
      </w:r>
      <w:r w:rsidRPr="009E35ED">
        <w:rPr>
          <w:rFonts w:ascii="Arial" w:hAnsi="Arial" w:cs="Arial"/>
          <w:color w:val="000000" w:themeColor="text1"/>
          <w:sz w:val="22"/>
          <w:szCs w:val="22"/>
        </w:rPr>
        <w:t>o wit:</w:t>
      </w:r>
    </w:p>
    <w:p w14:paraId="4182092E" w14:textId="77777777" w:rsidR="005A7881" w:rsidRPr="009E35ED" w:rsidRDefault="005A7881" w:rsidP="005A7881">
      <w:pPr>
        <w:ind w:left="0"/>
        <w:rPr>
          <w:rFonts w:ascii="Arial" w:hAnsi="Arial" w:cs="Arial"/>
          <w:color w:val="000000" w:themeColor="text1"/>
          <w:sz w:val="20"/>
          <w:szCs w:val="20"/>
        </w:rPr>
      </w:pPr>
    </w:p>
    <w:tbl>
      <w:tblPr>
        <w:tblStyle w:val="TableGrid"/>
        <w:tblW w:w="7228" w:type="dxa"/>
        <w:tblInd w:w="8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0"/>
        <w:gridCol w:w="2126"/>
        <w:gridCol w:w="1842"/>
      </w:tblGrid>
      <w:tr w:rsidR="00997F75" w:rsidRPr="009E35ED" w14:paraId="0F99D832" w14:textId="77777777" w:rsidTr="00D043CC">
        <w:trPr>
          <w:trHeight w:val="254"/>
          <w:tblHeader/>
        </w:trPr>
        <w:tc>
          <w:tcPr>
            <w:tcW w:w="3260" w:type="dxa"/>
            <w:tcBorders>
              <w:top w:val="single" w:sz="4" w:space="0" w:color="auto"/>
              <w:bottom w:val="single" w:sz="4" w:space="0" w:color="auto"/>
            </w:tcBorders>
          </w:tcPr>
          <w:p w14:paraId="34A7049A" w14:textId="27678FC5" w:rsidR="005A7881" w:rsidRPr="009E35ED" w:rsidRDefault="005A7881" w:rsidP="0038340C">
            <w:pPr>
              <w:ind w:left="0"/>
              <w:jc w:val="left"/>
              <w:rPr>
                <w:rFonts w:ascii="Arial Narrow" w:hAnsi="Arial Narrow" w:cs="Arial"/>
                <w:b/>
                <w:bCs/>
                <w:color w:val="000000" w:themeColor="text1"/>
                <w:sz w:val="20"/>
                <w:szCs w:val="20"/>
              </w:rPr>
            </w:pPr>
            <w:r w:rsidRPr="009E35ED">
              <w:rPr>
                <w:rFonts w:ascii="Arial Narrow" w:hAnsi="Arial Narrow" w:cs="Arial"/>
                <w:b/>
                <w:bCs/>
                <w:color w:val="000000" w:themeColor="text1"/>
                <w:sz w:val="20"/>
                <w:szCs w:val="20"/>
              </w:rPr>
              <w:t>Particulars</w:t>
            </w:r>
          </w:p>
        </w:tc>
        <w:tc>
          <w:tcPr>
            <w:tcW w:w="2126" w:type="dxa"/>
            <w:tcBorders>
              <w:top w:val="single" w:sz="4" w:space="0" w:color="auto"/>
              <w:bottom w:val="single" w:sz="4" w:space="0" w:color="auto"/>
            </w:tcBorders>
          </w:tcPr>
          <w:p w14:paraId="06684816" w14:textId="130DC363" w:rsidR="005A7881" w:rsidRPr="009E35ED" w:rsidRDefault="005A7881" w:rsidP="0038340C">
            <w:pPr>
              <w:ind w:left="0"/>
              <w:jc w:val="right"/>
              <w:rPr>
                <w:rFonts w:ascii="Arial Narrow" w:hAnsi="Arial Narrow" w:cs="Arial"/>
                <w:b/>
                <w:bCs/>
                <w:color w:val="000000" w:themeColor="text1"/>
                <w:sz w:val="20"/>
                <w:szCs w:val="20"/>
              </w:rPr>
            </w:pPr>
            <w:r w:rsidRPr="009E35ED">
              <w:rPr>
                <w:rFonts w:ascii="Arial Narrow" w:hAnsi="Arial Narrow" w:cs="Arial"/>
                <w:b/>
                <w:bCs/>
                <w:color w:val="000000" w:themeColor="text1"/>
                <w:sz w:val="20"/>
                <w:szCs w:val="20"/>
              </w:rPr>
              <w:t>National Lotto Games</w:t>
            </w:r>
          </w:p>
        </w:tc>
        <w:tc>
          <w:tcPr>
            <w:tcW w:w="1842" w:type="dxa"/>
            <w:tcBorders>
              <w:top w:val="single" w:sz="4" w:space="0" w:color="auto"/>
              <w:bottom w:val="single" w:sz="4" w:space="0" w:color="auto"/>
            </w:tcBorders>
          </w:tcPr>
          <w:p w14:paraId="69A23A0C" w14:textId="2C8C5984" w:rsidR="005A7881" w:rsidRPr="009E35ED" w:rsidRDefault="005A7881" w:rsidP="0038340C">
            <w:pPr>
              <w:ind w:left="0"/>
              <w:jc w:val="right"/>
              <w:rPr>
                <w:rFonts w:ascii="Arial Narrow" w:hAnsi="Arial Narrow" w:cs="Arial"/>
                <w:b/>
                <w:bCs/>
                <w:color w:val="000000" w:themeColor="text1"/>
                <w:sz w:val="20"/>
                <w:szCs w:val="20"/>
              </w:rPr>
            </w:pPr>
            <w:r w:rsidRPr="009E35ED">
              <w:rPr>
                <w:rFonts w:ascii="Arial Narrow" w:hAnsi="Arial Narrow" w:cs="Arial"/>
                <w:b/>
                <w:bCs/>
                <w:color w:val="000000" w:themeColor="text1"/>
                <w:sz w:val="20"/>
                <w:szCs w:val="20"/>
              </w:rPr>
              <w:t>Digit Games</w:t>
            </w:r>
          </w:p>
        </w:tc>
      </w:tr>
      <w:tr w:rsidR="00997F75" w:rsidRPr="009E35ED" w14:paraId="2C176FF9" w14:textId="77777777" w:rsidTr="00D043CC">
        <w:trPr>
          <w:trHeight w:val="254"/>
        </w:trPr>
        <w:tc>
          <w:tcPr>
            <w:tcW w:w="3260" w:type="dxa"/>
            <w:tcBorders>
              <w:top w:val="single" w:sz="4" w:space="0" w:color="auto"/>
            </w:tcBorders>
          </w:tcPr>
          <w:p w14:paraId="1C07B6FB" w14:textId="454CD12F" w:rsidR="00957F84" w:rsidRPr="009E35ED" w:rsidRDefault="00957F84" w:rsidP="00957F84">
            <w:pPr>
              <w:ind w:left="0"/>
              <w:rPr>
                <w:rFonts w:ascii="Arial Narrow" w:hAnsi="Arial Narrow" w:cs="Arial"/>
                <w:b/>
                <w:bCs/>
                <w:color w:val="000000" w:themeColor="text1"/>
                <w:sz w:val="20"/>
                <w:szCs w:val="20"/>
              </w:rPr>
            </w:pPr>
            <w:r w:rsidRPr="009E35ED">
              <w:rPr>
                <w:rFonts w:ascii="Arial Narrow" w:hAnsi="Arial Narrow" w:cs="Arial"/>
                <w:b/>
                <w:bCs/>
                <w:color w:val="000000" w:themeColor="text1"/>
                <w:sz w:val="20"/>
                <w:szCs w:val="20"/>
                <w:lang w:val="en-PH"/>
              </w:rPr>
              <w:t>Gross Receipts</w:t>
            </w:r>
          </w:p>
        </w:tc>
        <w:tc>
          <w:tcPr>
            <w:tcW w:w="2126" w:type="dxa"/>
            <w:tcBorders>
              <w:top w:val="single" w:sz="4" w:space="0" w:color="auto"/>
            </w:tcBorders>
          </w:tcPr>
          <w:p w14:paraId="6F03733A" w14:textId="77777777" w:rsidR="00957F84" w:rsidRPr="009E35ED" w:rsidRDefault="00957F84" w:rsidP="00957F84">
            <w:pPr>
              <w:ind w:left="0"/>
              <w:jc w:val="right"/>
              <w:rPr>
                <w:rFonts w:ascii="Arial Narrow" w:hAnsi="Arial Narrow" w:cs="Arial"/>
                <w:b/>
                <w:bCs/>
                <w:color w:val="000000" w:themeColor="text1"/>
                <w:sz w:val="20"/>
                <w:szCs w:val="20"/>
              </w:rPr>
            </w:pPr>
            <w:r w:rsidRPr="009E35ED">
              <w:rPr>
                <w:rFonts w:ascii="Arial Narrow" w:hAnsi="Arial Narrow" w:cs="Arial"/>
                <w:b/>
                <w:bCs/>
                <w:color w:val="000000" w:themeColor="text1"/>
                <w:sz w:val="20"/>
                <w:szCs w:val="20"/>
              </w:rPr>
              <w:t>100.000%</w:t>
            </w:r>
          </w:p>
        </w:tc>
        <w:tc>
          <w:tcPr>
            <w:tcW w:w="1842" w:type="dxa"/>
            <w:tcBorders>
              <w:top w:val="single" w:sz="4" w:space="0" w:color="auto"/>
            </w:tcBorders>
          </w:tcPr>
          <w:p w14:paraId="7268732D" w14:textId="77777777" w:rsidR="00957F84" w:rsidRPr="009E35ED" w:rsidRDefault="00957F84" w:rsidP="00957F84">
            <w:pPr>
              <w:ind w:left="0"/>
              <w:jc w:val="right"/>
              <w:rPr>
                <w:rFonts w:ascii="Arial Narrow" w:hAnsi="Arial Narrow" w:cs="Arial"/>
                <w:b/>
                <w:bCs/>
                <w:color w:val="000000" w:themeColor="text1"/>
                <w:sz w:val="20"/>
                <w:szCs w:val="20"/>
              </w:rPr>
            </w:pPr>
            <w:r w:rsidRPr="009E35ED">
              <w:rPr>
                <w:rFonts w:ascii="Arial Narrow" w:hAnsi="Arial Narrow" w:cs="Arial"/>
                <w:b/>
                <w:bCs/>
                <w:color w:val="000000" w:themeColor="text1"/>
                <w:sz w:val="20"/>
                <w:szCs w:val="20"/>
              </w:rPr>
              <w:t>100.000%</w:t>
            </w:r>
          </w:p>
        </w:tc>
      </w:tr>
      <w:tr w:rsidR="00997F75" w:rsidRPr="009E35ED" w14:paraId="54BE17BE" w14:textId="77777777" w:rsidTr="00D043CC">
        <w:trPr>
          <w:trHeight w:val="254"/>
        </w:trPr>
        <w:tc>
          <w:tcPr>
            <w:tcW w:w="3260" w:type="dxa"/>
          </w:tcPr>
          <w:p w14:paraId="1A2F6938" w14:textId="5BD931CD" w:rsidR="00957F84" w:rsidRPr="009E35ED" w:rsidRDefault="00957F84" w:rsidP="00957F84">
            <w:pPr>
              <w:ind w:left="0"/>
              <w:rPr>
                <w:rFonts w:ascii="Arial Narrow" w:hAnsi="Arial Narrow" w:cs="Arial"/>
                <w:color w:val="000000" w:themeColor="text1"/>
                <w:sz w:val="20"/>
                <w:szCs w:val="20"/>
              </w:rPr>
            </w:pPr>
            <w:r w:rsidRPr="009E35ED">
              <w:rPr>
                <w:rFonts w:ascii="Arial Narrow" w:hAnsi="Arial Narrow" w:cs="Arial"/>
                <w:color w:val="000000" w:themeColor="text1"/>
                <w:sz w:val="20"/>
                <w:szCs w:val="20"/>
                <w:lang w:val="en-PH"/>
              </w:rPr>
              <w:t>Printing Cost</w:t>
            </w:r>
          </w:p>
        </w:tc>
        <w:tc>
          <w:tcPr>
            <w:tcW w:w="2126" w:type="dxa"/>
          </w:tcPr>
          <w:p w14:paraId="27E440F1" w14:textId="77777777" w:rsidR="00957F84" w:rsidRPr="009E35ED" w:rsidRDefault="00957F84" w:rsidP="00957F84">
            <w:pPr>
              <w:ind w:left="0"/>
              <w:jc w:val="right"/>
              <w:rPr>
                <w:rFonts w:ascii="Arial Narrow" w:hAnsi="Arial Narrow" w:cs="Arial"/>
                <w:color w:val="000000" w:themeColor="text1"/>
                <w:sz w:val="20"/>
                <w:szCs w:val="20"/>
              </w:rPr>
            </w:pPr>
            <w:r w:rsidRPr="009E35ED">
              <w:rPr>
                <w:rFonts w:ascii="Arial Narrow" w:hAnsi="Arial Narrow" w:cs="Arial"/>
                <w:color w:val="000000" w:themeColor="text1"/>
                <w:sz w:val="20"/>
                <w:szCs w:val="20"/>
              </w:rPr>
              <w:t>0.000%</w:t>
            </w:r>
          </w:p>
        </w:tc>
        <w:tc>
          <w:tcPr>
            <w:tcW w:w="1842" w:type="dxa"/>
          </w:tcPr>
          <w:p w14:paraId="7A9C2ED8" w14:textId="77777777" w:rsidR="00957F84" w:rsidRPr="009E35ED" w:rsidRDefault="00957F84" w:rsidP="00957F84">
            <w:pPr>
              <w:ind w:left="0"/>
              <w:jc w:val="right"/>
              <w:rPr>
                <w:rFonts w:ascii="Arial Narrow" w:hAnsi="Arial Narrow" w:cs="Arial"/>
                <w:color w:val="000000" w:themeColor="text1"/>
                <w:sz w:val="20"/>
                <w:szCs w:val="20"/>
              </w:rPr>
            </w:pPr>
            <w:r w:rsidRPr="009E35ED">
              <w:rPr>
                <w:rFonts w:ascii="Arial Narrow" w:hAnsi="Arial Narrow" w:cs="Arial"/>
                <w:color w:val="000000" w:themeColor="text1"/>
                <w:sz w:val="20"/>
                <w:szCs w:val="20"/>
              </w:rPr>
              <w:t>0.000%</w:t>
            </w:r>
          </w:p>
        </w:tc>
      </w:tr>
      <w:tr w:rsidR="00997F75" w:rsidRPr="009E35ED" w14:paraId="6516E13F" w14:textId="77777777" w:rsidTr="00D043CC">
        <w:trPr>
          <w:trHeight w:val="254"/>
        </w:trPr>
        <w:tc>
          <w:tcPr>
            <w:tcW w:w="3260" w:type="dxa"/>
          </w:tcPr>
          <w:p w14:paraId="1BA1B6DB" w14:textId="0309BDCA" w:rsidR="00957F84" w:rsidRPr="009E35ED" w:rsidRDefault="00957F84" w:rsidP="00957F84">
            <w:pPr>
              <w:ind w:left="0"/>
              <w:rPr>
                <w:rFonts w:ascii="Arial Narrow" w:hAnsi="Arial Narrow" w:cs="Arial"/>
                <w:b/>
                <w:bCs/>
                <w:color w:val="000000" w:themeColor="text1"/>
                <w:sz w:val="20"/>
                <w:szCs w:val="20"/>
              </w:rPr>
            </w:pPr>
            <w:r w:rsidRPr="009E35ED">
              <w:rPr>
                <w:rFonts w:ascii="Arial Narrow" w:hAnsi="Arial Narrow" w:cs="Arial"/>
                <w:b/>
                <w:bCs/>
                <w:color w:val="000000" w:themeColor="text1"/>
                <w:sz w:val="20"/>
                <w:szCs w:val="20"/>
                <w:lang w:val="en-PH"/>
              </w:rPr>
              <w:t>Net Receipts</w:t>
            </w:r>
            <w:r w:rsidR="00F6182B">
              <w:rPr>
                <w:rFonts w:ascii="Arial Narrow" w:hAnsi="Arial Narrow" w:cs="Arial"/>
                <w:b/>
                <w:bCs/>
                <w:color w:val="000000" w:themeColor="text1"/>
                <w:sz w:val="20"/>
                <w:szCs w:val="20"/>
                <w:lang w:val="en-PH"/>
              </w:rPr>
              <w:t xml:space="preserve"> (NR)</w:t>
            </w:r>
          </w:p>
        </w:tc>
        <w:tc>
          <w:tcPr>
            <w:tcW w:w="2126" w:type="dxa"/>
          </w:tcPr>
          <w:p w14:paraId="25F0B971" w14:textId="77777777" w:rsidR="00957F84" w:rsidRPr="009E35ED" w:rsidRDefault="00957F84" w:rsidP="00957F84">
            <w:pPr>
              <w:ind w:left="0"/>
              <w:jc w:val="right"/>
              <w:rPr>
                <w:rFonts w:ascii="Arial Narrow" w:hAnsi="Arial Narrow" w:cs="Arial"/>
                <w:b/>
                <w:bCs/>
                <w:color w:val="000000" w:themeColor="text1"/>
                <w:sz w:val="20"/>
                <w:szCs w:val="20"/>
              </w:rPr>
            </w:pPr>
            <w:r w:rsidRPr="009E35ED">
              <w:rPr>
                <w:rFonts w:ascii="Arial Narrow" w:hAnsi="Arial Narrow" w:cs="Arial"/>
                <w:b/>
                <w:bCs/>
                <w:color w:val="000000" w:themeColor="text1"/>
                <w:sz w:val="20"/>
                <w:szCs w:val="20"/>
              </w:rPr>
              <w:t>100.000%</w:t>
            </w:r>
          </w:p>
        </w:tc>
        <w:tc>
          <w:tcPr>
            <w:tcW w:w="1842" w:type="dxa"/>
          </w:tcPr>
          <w:p w14:paraId="1F06DB46" w14:textId="77777777" w:rsidR="00957F84" w:rsidRPr="009E35ED" w:rsidRDefault="00957F84" w:rsidP="00957F84">
            <w:pPr>
              <w:ind w:left="0"/>
              <w:jc w:val="right"/>
              <w:rPr>
                <w:rFonts w:ascii="Arial Narrow" w:hAnsi="Arial Narrow" w:cs="Arial"/>
                <w:b/>
                <w:bCs/>
                <w:color w:val="000000" w:themeColor="text1"/>
                <w:sz w:val="20"/>
                <w:szCs w:val="20"/>
              </w:rPr>
            </w:pPr>
            <w:r w:rsidRPr="009E35ED">
              <w:rPr>
                <w:rFonts w:ascii="Arial Narrow" w:hAnsi="Arial Narrow" w:cs="Arial"/>
                <w:b/>
                <w:bCs/>
                <w:color w:val="000000" w:themeColor="text1"/>
                <w:sz w:val="20"/>
                <w:szCs w:val="20"/>
              </w:rPr>
              <w:t>100.000%</w:t>
            </w:r>
          </w:p>
        </w:tc>
      </w:tr>
      <w:tr w:rsidR="00997F75" w:rsidRPr="009E35ED" w14:paraId="05B3B250" w14:textId="77777777" w:rsidTr="00D043CC">
        <w:trPr>
          <w:trHeight w:val="265"/>
        </w:trPr>
        <w:tc>
          <w:tcPr>
            <w:tcW w:w="3260" w:type="dxa"/>
          </w:tcPr>
          <w:p w14:paraId="3A30638B" w14:textId="77777777" w:rsidR="005A7881" w:rsidRPr="009E35ED" w:rsidRDefault="005A7881" w:rsidP="005A7881">
            <w:pPr>
              <w:ind w:left="0"/>
              <w:rPr>
                <w:rFonts w:ascii="Arial Narrow" w:hAnsi="Arial Narrow" w:cs="Arial"/>
                <w:b/>
                <w:bCs/>
                <w:color w:val="000000" w:themeColor="text1"/>
                <w:sz w:val="20"/>
                <w:szCs w:val="20"/>
              </w:rPr>
            </w:pPr>
          </w:p>
          <w:p w14:paraId="39CC1F67" w14:textId="4FE5B3D2" w:rsidR="005A7881" w:rsidRPr="009E35ED" w:rsidRDefault="005A7881" w:rsidP="005A7881">
            <w:pPr>
              <w:ind w:left="0"/>
              <w:rPr>
                <w:rFonts w:ascii="Arial Narrow" w:hAnsi="Arial Narrow" w:cs="Arial"/>
                <w:b/>
                <w:bCs/>
                <w:color w:val="000000" w:themeColor="text1"/>
                <w:sz w:val="20"/>
                <w:szCs w:val="20"/>
              </w:rPr>
            </w:pPr>
            <w:r w:rsidRPr="009E35ED">
              <w:rPr>
                <w:rFonts w:ascii="Arial Narrow" w:hAnsi="Arial Narrow" w:cs="Arial"/>
                <w:b/>
                <w:bCs/>
                <w:color w:val="000000" w:themeColor="text1"/>
                <w:sz w:val="20"/>
                <w:szCs w:val="20"/>
              </w:rPr>
              <w:t>Allocation of Net Receipts:</w:t>
            </w:r>
          </w:p>
        </w:tc>
        <w:tc>
          <w:tcPr>
            <w:tcW w:w="2126" w:type="dxa"/>
          </w:tcPr>
          <w:p w14:paraId="66DD9360" w14:textId="77777777" w:rsidR="005A7881" w:rsidRPr="009E35ED" w:rsidRDefault="005A7881" w:rsidP="002C0021">
            <w:pPr>
              <w:ind w:left="0"/>
              <w:jc w:val="right"/>
              <w:rPr>
                <w:rFonts w:ascii="Arial Narrow" w:hAnsi="Arial Narrow" w:cs="Arial"/>
                <w:b/>
                <w:bCs/>
                <w:color w:val="000000" w:themeColor="text1"/>
                <w:sz w:val="20"/>
                <w:szCs w:val="20"/>
              </w:rPr>
            </w:pPr>
          </w:p>
        </w:tc>
        <w:tc>
          <w:tcPr>
            <w:tcW w:w="1842" w:type="dxa"/>
          </w:tcPr>
          <w:p w14:paraId="5D6BA55C" w14:textId="77777777" w:rsidR="005A7881" w:rsidRPr="009E35ED" w:rsidRDefault="005A7881" w:rsidP="002C0021">
            <w:pPr>
              <w:ind w:left="0"/>
              <w:jc w:val="right"/>
              <w:rPr>
                <w:rFonts w:ascii="Arial Narrow" w:hAnsi="Arial Narrow" w:cs="Arial"/>
                <w:b/>
                <w:bCs/>
                <w:color w:val="000000" w:themeColor="text1"/>
                <w:sz w:val="20"/>
                <w:szCs w:val="20"/>
              </w:rPr>
            </w:pPr>
          </w:p>
        </w:tc>
      </w:tr>
      <w:tr w:rsidR="00997F75" w:rsidRPr="009E35ED" w14:paraId="5C68A95D" w14:textId="77777777" w:rsidTr="00D043CC">
        <w:trPr>
          <w:trHeight w:val="161"/>
        </w:trPr>
        <w:tc>
          <w:tcPr>
            <w:tcW w:w="3260" w:type="dxa"/>
          </w:tcPr>
          <w:p w14:paraId="59CC4C27" w14:textId="77777777" w:rsidR="005A7881" w:rsidRPr="009E35ED" w:rsidRDefault="005A7881" w:rsidP="002C0021">
            <w:pPr>
              <w:ind w:left="0"/>
              <w:rPr>
                <w:rFonts w:ascii="Arial Narrow" w:hAnsi="Arial Narrow" w:cs="Arial"/>
                <w:color w:val="000000" w:themeColor="text1"/>
                <w:sz w:val="20"/>
                <w:szCs w:val="20"/>
              </w:rPr>
            </w:pPr>
          </w:p>
        </w:tc>
        <w:tc>
          <w:tcPr>
            <w:tcW w:w="2126" w:type="dxa"/>
          </w:tcPr>
          <w:p w14:paraId="0D924AA3" w14:textId="77777777" w:rsidR="005A7881" w:rsidRPr="009E35ED" w:rsidRDefault="005A7881" w:rsidP="002C0021">
            <w:pPr>
              <w:ind w:left="0"/>
              <w:jc w:val="right"/>
              <w:rPr>
                <w:rFonts w:ascii="Arial Narrow" w:hAnsi="Arial Narrow" w:cs="Arial"/>
                <w:color w:val="000000" w:themeColor="text1"/>
                <w:sz w:val="20"/>
                <w:szCs w:val="20"/>
              </w:rPr>
            </w:pPr>
          </w:p>
        </w:tc>
        <w:tc>
          <w:tcPr>
            <w:tcW w:w="1842" w:type="dxa"/>
          </w:tcPr>
          <w:p w14:paraId="40461A38" w14:textId="77777777" w:rsidR="005A7881" w:rsidRPr="009E35ED" w:rsidRDefault="005A7881" w:rsidP="002C0021">
            <w:pPr>
              <w:ind w:left="0"/>
              <w:jc w:val="right"/>
              <w:rPr>
                <w:rFonts w:ascii="Arial Narrow" w:hAnsi="Arial Narrow" w:cs="Arial"/>
                <w:color w:val="000000" w:themeColor="text1"/>
                <w:sz w:val="20"/>
                <w:szCs w:val="20"/>
              </w:rPr>
            </w:pPr>
          </w:p>
        </w:tc>
      </w:tr>
      <w:tr w:rsidR="00997F75" w:rsidRPr="009E35ED" w14:paraId="5AE27F7D" w14:textId="77777777" w:rsidTr="00D043CC">
        <w:trPr>
          <w:trHeight w:val="254"/>
        </w:trPr>
        <w:tc>
          <w:tcPr>
            <w:tcW w:w="3260" w:type="dxa"/>
          </w:tcPr>
          <w:p w14:paraId="36363884" w14:textId="4992CF4F" w:rsidR="00957F84" w:rsidRPr="009E35ED" w:rsidRDefault="00957F84" w:rsidP="00957F84">
            <w:pPr>
              <w:ind w:left="0"/>
              <w:rPr>
                <w:rFonts w:ascii="Arial Narrow" w:hAnsi="Arial Narrow" w:cs="Arial"/>
                <w:color w:val="000000" w:themeColor="text1"/>
                <w:sz w:val="20"/>
                <w:szCs w:val="20"/>
              </w:rPr>
            </w:pPr>
            <w:r w:rsidRPr="009E35ED">
              <w:rPr>
                <w:rFonts w:ascii="Arial Narrow" w:hAnsi="Arial Narrow" w:cs="Arial"/>
                <w:b/>
                <w:bCs/>
                <w:color w:val="000000" w:themeColor="text1"/>
                <w:sz w:val="20"/>
                <w:szCs w:val="20"/>
                <w:lang w:val="en-PH"/>
              </w:rPr>
              <w:t>I. Prize Fund  (55% of NR)</w:t>
            </w:r>
          </w:p>
        </w:tc>
        <w:tc>
          <w:tcPr>
            <w:tcW w:w="2126" w:type="dxa"/>
          </w:tcPr>
          <w:p w14:paraId="5922F0BA" w14:textId="77777777" w:rsidR="00957F84" w:rsidRPr="009E35ED" w:rsidRDefault="00957F84" w:rsidP="00957F84">
            <w:pPr>
              <w:ind w:left="0"/>
              <w:jc w:val="right"/>
              <w:rPr>
                <w:rFonts w:ascii="Arial Narrow" w:hAnsi="Arial Narrow" w:cs="Arial"/>
                <w:color w:val="000000" w:themeColor="text1"/>
                <w:sz w:val="20"/>
                <w:szCs w:val="20"/>
              </w:rPr>
            </w:pPr>
            <w:r w:rsidRPr="009E35ED">
              <w:rPr>
                <w:rFonts w:ascii="Arial Narrow" w:hAnsi="Arial Narrow" w:cs="Arial"/>
                <w:color w:val="000000" w:themeColor="text1"/>
                <w:sz w:val="20"/>
                <w:szCs w:val="20"/>
              </w:rPr>
              <w:t>55.000%</w:t>
            </w:r>
          </w:p>
        </w:tc>
        <w:tc>
          <w:tcPr>
            <w:tcW w:w="1842" w:type="dxa"/>
          </w:tcPr>
          <w:p w14:paraId="2C79E211" w14:textId="77777777" w:rsidR="00957F84" w:rsidRPr="009E35ED" w:rsidRDefault="00957F84" w:rsidP="00957F84">
            <w:pPr>
              <w:ind w:left="0"/>
              <w:jc w:val="right"/>
              <w:rPr>
                <w:rFonts w:ascii="Arial Narrow" w:hAnsi="Arial Narrow" w:cs="Arial"/>
                <w:color w:val="000000" w:themeColor="text1"/>
                <w:sz w:val="20"/>
                <w:szCs w:val="20"/>
              </w:rPr>
            </w:pPr>
            <w:r w:rsidRPr="009E35ED">
              <w:rPr>
                <w:rFonts w:ascii="Arial Narrow" w:hAnsi="Arial Narrow" w:cs="Arial"/>
                <w:color w:val="000000" w:themeColor="text1"/>
                <w:sz w:val="20"/>
                <w:szCs w:val="20"/>
              </w:rPr>
              <w:t>55.000%</w:t>
            </w:r>
          </w:p>
        </w:tc>
      </w:tr>
      <w:tr w:rsidR="00997F75" w:rsidRPr="009E35ED" w14:paraId="0BFB35BA" w14:textId="77777777" w:rsidTr="00D043CC">
        <w:trPr>
          <w:trHeight w:val="254"/>
        </w:trPr>
        <w:tc>
          <w:tcPr>
            <w:tcW w:w="3260" w:type="dxa"/>
          </w:tcPr>
          <w:p w14:paraId="62FE743B" w14:textId="35485732" w:rsidR="00957F84" w:rsidRPr="009E35ED" w:rsidRDefault="00957F84" w:rsidP="00957F84">
            <w:pPr>
              <w:ind w:left="0"/>
              <w:rPr>
                <w:rFonts w:ascii="Arial Narrow" w:hAnsi="Arial Narrow" w:cs="Arial"/>
                <w:color w:val="000000" w:themeColor="text1"/>
                <w:sz w:val="20"/>
                <w:szCs w:val="20"/>
              </w:rPr>
            </w:pPr>
            <w:r w:rsidRPr="009E35ED">
              <w:rPr>
                <w:rFonts w:ascii="Arial Narrow" w:hAnsi="Arial Narrow" w:cs="Arial"/>
                <w:color w:val="000000" w:themeColor="text1"/>
                <w:sz w:val="20"/>
                <w:szCs w:val="20"/>
                <w:lang w:val="en-PH"/>
              </w:rPr>
              <w:t>Agent's Commission</w:t>
            </w:r>
          </w:p>
        </w:tc>
        <w:tc>
          <w:tcPr>
            <w:tcW w:w="2126" w:type="dxa"/>
          </w:tcPr>
          <w:p w14:paraId="56BDF172" w14:textId="77777777" w:rsidR="00957F84" w:rsidRPr="009E35ED" w:rsidRDefault="00957F84" w:rsidP="00957F84">
            <w:pPr>
              <w:ind w:left="0"/>
              <w:jc w:val="right"/>
              <w:rPr>
                <w:rFonts w:ascii="Arial Narrow" w:hAnsi="Arial Narrow" w:cs="Arial"/>
                <w:color w:val="000000" w:themeColor="text1"/>
                <w:sz w:val="20"/>
                <w:szCs w:val="20"/>
              </w:rPr>
            </w:pPr>
            <w:r w:rsidRPr="009E35ED">
              <w:rPr>
                <w:rFonts w:ascii="Arial Narrow" w:hAnsi="Arial Narrow" w:cs="Arial"/>
                <w:color w:val="000000" w:themeColor="text1"/>
                <w:sz w:val="20"/>
                <w:szCs w:val="20"/>
              </w:rPr>
              <w:t>13.296%</w:t>
            </w:r>
          </w:p>
        </w:tc>
        <w:tc>
          <w:tcPr>
            <w:tcW w:w="1842" w:type="dxa"/>
          </w:tcPr>
          <w:p w14:paraId="4FE47F79" w14:textId="77777777" w:rsidR="00957F84" w:rsidRPr="009E35ED" w:rsidRDefault="00957F84" w:rsidP="00957F84">
            <w:pPr>
              <w:ind w:left="0"/>
              <w:jc w:val="right"/>
              <w:rPr>
                <w:rFonts w:ascii="Arial Narrow" w:hAnsi="Arial Narrow" w:cs="Arial"/>
                <w:color w:val="000000" w:themeColor="text1"/>
                <w:sz w:val="20"/>
                <w:szCs w:val="20"/>
              </w:rPr>
            </w:pPr>
            <w:r w:rsidRPr="009E35ED">
              <w:rPr>
                <w:rFonts w:ascii="Arial Narrow" w:hAnsi="Arial Narrow" w:cs="Arial"/>
                <w:color w:val="000000" w:themeColor="text1"/>
                <w:sz w:val="20"/>
                <w:szCs w:val="20"/>
              </w:rPr>
              <w:t>10.296%</w:t>
            </w:r>
          </w:p>
        </w:tc>
      </w:tr>
      <w:tr w:rsidR="00997F75" w:rsidRPr="009E35ED" w14:paraId="3D7DF628" w14:textId="77777777" w:rsidTr="00D043CC">
        <w:trPr>
          <w:trHeight w:val="254"/>
        </w:trPr>
        <w:tc>
          <w:tcPr>
            <w:tcW w:w="3260" w:type="dxa"/>
          </w:tcPr>
          <w:p w14:paraId="3F48E235" w14:textId="13453FAD" w:rsidR="005A7881" w:rsidRPr="009E35ED" w:rsidRDefault="00957F84" w:rsidP="002C0021">
            <w:pPr>
              <w:ind w:left="0"/>
              <w:rPr>
                <w:rFonts w:ascii="Arial Narrow" w:hAnsi="Arial Narrow" w:cs="Arial"/>
                <w:b/>
                <w:bCs/>
                <w:color w:val="000000" w:themeColor="text1"/>
                <w:sz w:val="20"/>
                <w:szCs w:val="20"/>
              </w:rPr>
            </w:pPr>
            <w:r w:rsidRPr="009E35ED">
              <w:rPr>
                <w:rFonts w:ascii="Arial Narrow" w:hAnsi="Arial Narrow" w:cs="Arial"/>
                <w:color w:val="000000" w:themeColor="text1"/>
                <w:sz w:val="20"/>
                <w:szCs w:val="20"/>
                <w:lang w:val="en-PH"/>
              </w:rPr>
              <w:t>Prize Margin/Reserved Fund</w:t>
            </w:r>
          </w:p>
        </w:tc>
        <w:tc>
          <w:tcPr>
            <w:tcW w:w="2126" w:type="dxa"/>
          </w:tcPr>
          <w:p w14:paraId="6A1AE996" w14:textId="77777777" w:rsidR="005A7881" w:rsidRPr="009E35ED" w:rsidRDefault="005A7881" w:rsidP="002C0021">
            <w:pPr>
              <w:ind w:left="0"/>
              <w:jc w:val="right"/>
              <w:rPr>
                <w:rFonts w:ascii="Arial Narrow" w:hAnsi="Arial Narrow" w:cs="Arial"/>
                <w:b/>
                <w:bCs/>
                <w:color w:val="000000" w:themeColor="text1"/>
                <w:sz w:val="20"/>
                <w:szCs w:val="20"/>
              </w:rPr>
            </w:pPr>
            <w:r w:rsidRPr="009E35ED">
              <w:rPr>
                <w:rFonts w:ascii="Arial Narrow" w:hAnsi="Arial Narrow" w:cs="Arial"/>
                <w:b/>
                <w:bCs/>
                <w:color w:val="000000" w:themeColor="text1"/>
                <w:sz w:val="20"/>
                <w:szCs w:val="20"/>
              </w:rPr>
              <w:t>41.704%</w:t>
            </w:r>
          </w:p>
        </w:tc>
        <w:tc>
          <w:tcPr>
            <w:tcW w:w="1842" w:type="dxa"/>
          </w:tcPr>
          <w:p w14:paraId="258013A2" w14:textId="77777777" w:rsidR="005A7881" w:rsidRPr="009E35ED" w:rsidRDefault="005A7881" w:rsidP="002C0021">
            <w:pPr>
              <w:ind w:left="0"/>
              <w:jc w:val="right"/>
              <w:rPr>
                <w:rFonts w:ascii="Arial Narrow" w:hAnsi="Arial Narrow" w:cs="Arial"/>
                <w:b/>
                <w:bCs/>
                <w:color w:val="000000" w:themeColor="text1"/>
                <w:sz w:val="20"/>
                <w:szCs w:val="20"/>
              </w:rPr>
            </w:pPr>
            <w:r w:rsidRPr="009E35ED">
              <w:rPr>
                <w:rFonts w:ascii="Arial Narrow" w:hAnsi="Arial Narrow" w:cs="Arial"/>
                <w:b/>
                <w:bCs/>
                <w:color w:val="000000" w:themeColor="text1"/>
                <w:sz w:val="20"/>
                <w:szCs w:val="20"/>
              </w:rPr>
              <w:t>44.704%</w:t>
            </w:r>
          </w:p>
        </w:tc>
      </w:tr>
      <w:tr w:rsidR="00997F75" w:rsidRPr="009E35ED" w14:paraId="60EBF0DB" w14:textId="77777777" w:rsidTr="00D043CC">
        <w:trPr>
          <w:trHeight w:val="254"/>
        </w:trPr>
        <w:tc>
          <w:tcPr>
            <w:tcW w:w="3260" w:type="dxa"/>
          </w:tcPr>
          <w:p w14:paraId="2459413D" w14:textId="77777777" w:rsidR="005A7881" w:rsidRPr="009E35ED" w:rsidRDefault="005A7881" w:rsidP="002C0021">
            <w:pPr>
              <w:ind w:left="0"/>
              <w:rPr>
                <w:rFonts w:ascii="Arial Narrow" w:hAnsi="Arial Narrow" w:cs="Arial"/>
                <w:color w:val="000000" w:themeColor="text1"/>
                <w:sz w:val="20"/>
                <w:szCs w:val="20"/>
              </w:rPr>
            </w:pPr>
          </w:p>
        </w:tc>
        <w:tc>
          <w:tcPr>
            <w:tcW w:w="2126" w:type="dxa"/>
          </w:tcPr>
          <w:p w14:paraId="0F28796F" w14:textId="77777777" w:rsidR="005A7881" w:rsidRPr="009E35ED" w:rsidRDefault="005A7881" w:rsidP="002C0021">
            <w:pPr>
              <w:ind w:left="0"/>
              <w:jc w:val="right"/>
              <w:rPr>
                <w:rFonts w:ascii="Arial Narrow" w:hAnsi="Arial Narrow" w:cs="Arial"/>
                <w:color w:val="000000" w:themeColor="text1"/>
                <w:sz w:val="20"/>
                <w:szCs w:val="20"/>
              </w:rPr>
            </w:pPr>
          </w:p>
        </w:tc>
        <w:tc>
          <w:tcPr>
            <w:tcW w:w="1842" w:type="dxa"/>
          </w:tcPr>
          <w:p w14:paraId="1EC75A9D" w14:textId="77777777" w:rsidR="005A7881" w:rsidRPr="009E35ED" w:rsidRDefault="005A7881" w:rsidP="002C0021">
            <w:pPr>
              <w:ind w:left="0"/>
              <w:jc w:val="right"/>
              <w:rPr>
                <w:rFonts w:ascii="Arial Narrow" w:hAnsi="Arial Narrow" w:cs="Arial"/>
                <w:color w:val="000000" w:themeColor="text1"/>
                <w:sz w:val="20"/>
                <w:szCs w:val="20"/>
              </w:rPr>
            </w:pPr>
          </w:p>
        </w:tc>
      </w:tr>
      <w:tr w:rsidR="00997F75" w:rsidRPr="009E35ED" w14:paraId="4769E60C" w14:textId="77777777" w:rsidTr="00D043CC">
        <w:trPr>
          <w:trHeight w:val="254"/>
        </w:trPr>
        <w:tc>
          <w:tcPr>
            <w:tcW w:w="3260" w:type="dxa"/>
          </w:tcPr>
          <w:p w14:paraId="5683E7C2" w14:textId="7ADF0D0E" w:rsidR="005A7881" w:rsidRPr="009E35ED" w:rsidRDefault="00957F84" w:rsidP="002C0021">
            <w:pPr>
              <w:ind w:left="0"/>
              <w:rPr>
                <w:rFonts w:ascii="Arial Narrow" w:hAnsi="Arial Narrow" w:cs="Arial"/>
                <w:color w:val="000000" w:themeColor="text1"/>
                <w:sz w:val="20"/>
                <w:szCs w:val="20"/>
              </w:rPr>
            </w:pPr>
            <w:r w:rsidRPr="009E35ED">
              <w:rPr>
                <w:rFonts w:ascii="Arial Narrow" w:hAnsi="Arial Narrow" w:cs="Arial"/>
                <w:b/>
                <w:bCs/>
                <w:color w:val="000000" w:themeColor="text1"/>
                <w:sz w:val="20"/>
                <w:szCs w:val="20"/>
                <w:lang w:val="en-PH"/>
              </w:rPr>
              <w:t>II. Charity   Fund  (30% of NR)</w:t>
            </w:r>
          </w:p>
        </w:tc>
        <w:tc>
          <w:tcPr>
            <w:tcW w:w="2126" w:type="dxa"/>
          </w:tcPr>
          <w:p w14:paraId="1D5EF464" w14:textId="77777777" w:rsidR="005A7881" w:rsidRPr="009E35ED" w:rsidRDefault="005A7881" w:rsidP="002C0021">
            <w:pPr>
              <w:ind w:left="0"/>
              <w:jc w:val="right"/>
              <w:rPr>
                <w:rFonts w:ascii="Arial Narrow" w:hAnsi="Arial Narrow" w:cs="Arial"/>
                <w:color w:val="000000" w:themeColor="text1"/>
                <w:sz w:val="20"/>
                <w:szCs w:val="20"/>
              </w:rPr>
            </w:pPr>
            <w:r w:rsidRPr="009E35ED">
              <w:rPr>
                <w:rFonts w:ascii="Arial Narrow" w:hAnsi="Arial Narrow" w:cs="Arial"/>
                <w:color w:val="000000" w:themeColor="text1"/>
                <w:sz w:val="20"/>
                <w:szCs w:val="20"/>
              </w:rPr>
              <w:t>30.000%</w:t>
            </w:r>
          </w:p>
        </w:tc>
        <w:tc>
          <w:tcPr>
            <w:tcW w:w="1842" w:type="dxa"/>
          </w:tcPr>
          <w:p w14:paraId="5ED25DEB" w14:textId="77777777" w:rsidR="005A7881" w:rsidRPr="009E35ED" w:rsidRDefault="005A7881" w:rsidP="002C0021">
            <w:pPr>
              <w:ind w:left="0"/>
              <w:jc w:val="right"/>
              <w:rPr>
                <w:rFonts w:ascii="Arial Narrow" w:hAnsi="Arial Narrow" w:cs="Arial"/>
                <w:color w:val="000000" w:themeColor="text1"/>
                <w:sz w:val="20"/>
                <w:szCs w:val="20"/>
              </w:rPr>
            </w:pPr>
            <w:r w:rsidRPr="009E35ED">
              <w:rPr>
                <w:rFonts w:ascii="Arial Narrow" w:hAnsi="Arial Narrow" w:cs="Arial"/>
                <w:color w:val="000000" w:themeColor="text1"/>
                <w:sz w:val="20"/>
                <w:szCs w:val="20"/>
              </w:rPr>
              <w:t>30.000%</w:t>
            </w:r>
          </w:p>
        </w:tc>
      </w:tr>
      <w:tr w:rsidR="00997F75" w:rsidRPr="009E35ED" w14:paraId="0D901B3D" w14:textId="77777777" w:rsidTr="00D043CC">
        <w:trPr>
          <w:trHeight w:val="254"/>
        </w:trPr>
        <w:tc>
          <w:tcPr>
            <w:tcW w:w="3260" w:type="dxa"/>
          </w:tcPr>
          <w:p w14:paraId="44AB46DB" w14:textId="05CEB627" w:rsidR="00957F84" w:rsidRPr="009E35ED" w:rsidRDefault="00957F84" w:rsidP="00957F84">
            <w:pPr>
              <w:ind w:left="0"/>
              <w:rPr>
                <w:rFonts w:ascii="Arial Narrow" w:hAnsi="Arial Narrow" w:cs="Arial"/>
                <w:color w:val="000000" w:themeColor="text1"/>
                <w:sz w:val="20"/>
                <w:szCs w:val="20"/>
              </w:rPr>
            </w:pPr>
            <w:r w:rsidRPr="009E35ED">
              <w:rPr>
                <w:rFonts w:ascii="Arial Narrow" w:hAnsi="Arial Narrow" w:cs="Arial"/>
                <w:color w:val="000000" w:themeColor="text1"/>
                <w:sz w:val="20"/>
                <w:szCs w:val="20"/>
                <w:lang w:val="en-PH"/>
              </w:rPr>
              <w:t xml:space="preserve">Documentary Stamp Tax </w:t>
            </w:r>
          </w:p>
        </w:tc>
        <w:tc>
          <w:tcPr>
            <w:tcW w:w="2126" w:type="dxa"/>
          </w:tcPr>
          <w:p w14:paraId="79CA19FE" w14:textId="77777777" w:rsidR="00957F84" w:rsidRPr="009E35ED" w:rsidRDefault="00957F84" w:rsidP="00957F84">
            <w:pPr>
              <w:ind w:left="0"/>
              <w:jc w:val="right"/>
              <w:rPr>
                <w:rFonts w:ascii="Arial Narrow" w:hAnsi="Arial Narrow" w:cs="Arial"/>
                <w:color w:val="000000" w:themeColor="text1"/>
                <w:sz w:val="20"/>
                <w:szCs w:val="20"/>
              </w:rPr>
            </w:pPr>
            <w:r w:rsidRPr="009E35ED">
              <w:rPr>
                <w:rFonts w:ascii="Arial Narrow" w:hAnsi="Arial Narrow" w:cs="Arial"/>
                <w:color w:val="000000" w:themeColor="text1"/>
                <w:sz w:val="20"/>
                <w:szCs w:val="20"/>
              </w:rPr>
              <w:t>20.000%</w:t>
            </w:r>
          </w:p>
        </w:tc>
        <w:tc>
          <w:tcPr>
            <w:tcW w:w="1842" w:type="dxa"/>
          </w:tcPr>
          <w:p w14:paraId="59542EB1" w14:textId="77777777" w:rsidR="00957F84" w:rsidRPr="009E35ED" w:rsidRDefault="00957F84" w:rsidP="00957F84">
            <w:pPr>
              <w:ind w:left="0"/>
              <w:jc w:val="right"/>
              <w:rPr>
                <w:rFonts w:ascii="Arial Narrow" w:hAnsi="Arial Narrow" w:cs="Arial"/>
                <w:color w:val="000000" w:themeColor="text1"/>
                <w:sz w:val="20"/>
                <w:szCs w:val="20"/>
              </w:rPr>
            </w:pPr>
            <w:r w:rsidRPr="009E35ED">
              <w:rPr>
                <w:rFonts w:ascii="Arial Narrow" w:hAnsi="Arial Narrow" w:cs="Arial"/>
                <w:color w:val="000000" w:themeColor="text1"/>
                <w:sz w:val="20"/>
                <w:szCs w:val="20"/>
              </w:rPr>
              <w:t>20.000%</w:t>
            </w:r>
          </w:p>
        </w:tc>
      </w:tr>
      <w:tr w:rsidR="00997F75" w:rsidRPr="009E35ED" w14:paraId="251AF30E" w14:textId="77777777" w:rsidTr="00D043CC">
        <w:trPr>
          <w:trHeight w:val="254"/>
        </w:trPr>
        <w:tc>
          <w:tcPr>
            <w:tcW w:w="3260" w:type="dxa"/>
          </w:tcPr>
          <w:p w14:paraId="6C71ABF4" w14:textId="318D9A85" w:rsidR="00957F84" w:rsidRPr="009E35ED" w:rsidRDefault="00957F84" w:rsidP="00957F84">
            <w:pPr>
              <w:ind w:left="0"/>
              <w:rPr>
                <w:rFonts w:ascii="Arial Narrow" w:hAnsi="Arial Narrow" w:cs="Arial"/>
                <w:b/>
                <w:bCs/>
                <w:color w:val="000000" w:themeColor="text1"/>
                <w:sz w:val="20"/>
                <w:szCs w:val="20"/>
              </w:rPr>
            </w:pPr>
            <w:r w:rsidRPr="009E35ED">
              <w:rPr>
                <w:rFonts w:ascii="Arial Narrow" w:hAnsi="Arial Narrow" w:cs="Arial"/>
                <w:color w:val="000000" w:themeColor="text1"/>
                <w:sz w:val="20"/>
                <w:szCs w:val="20"/>
                <w:lang w:val="en-PH"/>
              </w:rPr>
              <w:t>Financial Assistance</w:t>
            </w:r>
          </w:p>
        </w:tc>
        <w:tc>
          <w:tcPr>
            <w:tcW w:w="2126" w:type="dxa"/>
          </w:tcPr>
          <w:p w14:paraId="5FDEA3B4" w14:textId="77777777" w:rsidR="00957F84" w:rsidRPr="009E35ED" w:rsidRDefault="00957F84" w:rsidP="00957F84">
            <w:pPr>
              <w:ind w:left="0"/>
              <w:jc w:val="right"/>
              <w:rPr>
                <w:rFonts w:ascii="Arial Narrow" w:hAnsi="Arial Narrow" w:cs="Arial"/>
                <w:b/>
                <w:bCs/>
                <w:color w:val="000000" w:themeColor="text1"/>
                <w:sz w:val="20"/>
                <w:szCs w:val="20"/>
              </w:rPr>
            </w:pPr>
            <w:r w:rsidRPr="009E35ED">
              <w:rPr>
                <w:rFonts w:ascii="Arial Narrow" w:hAnsi="Arial Narrow" w:cs="Arial"/>
                <w:b/>
                <w:bCs/>
                <w:color w:val="000000" w:themeColor="text1"/>
                <w:sz w:val="20"/>
                <w:szCs w:val="20"/>
              </w:rPr>
              <w:t>10.000.%</w:t>
            </w:r>
          </w:p>
        </w:tc>
        <w:tc>
          <w:tcPr>
            <w:tcW w:w="1842" w:type="dxa"/>
          </w:tcPr>
          <w:p w14:paraId="7B3B182A" w14:textId="77777777" w:rsidR="00957F84" w:rsidRPr="009E35ED" w:rsidRDefault="00957F84" w:rsidP="00957F84">
            <w:pPr>
              <w:ind w:left="0"/>
              <w:jc w:val="right"/>
              <w:rPr>
                <w:rFonts w:ascii="Arial Narrow" w:hAnsi="Arial Narrow" w:cs="Arial"/>
                <w:b/>
                <w:bCs/>
                <w:color w:val="000000" w:themeColor="text1"/>
                <w:sz w:val="20"/>
                <w:szCs w:val="20"/>
              </w:rPr>
            </w:pPr>
            <w:r w:rsidRPr="009E35ED">
              <w:rPr>
                <w:rFonts w:ascii="Arial Narrow" w:hAnsi="Arial Narrow" w:cs="Arial"/>
                <w:b/>
                <w:bCs/>
                <w:color w:val="000000" w:themeColor="text1"/>
                <w:sz w:val="20"/>
                <w:szCs w:val="20"/>
              </w:rPr>
              <w:t>10.000.%</w:t>
            </w:r>
          </w:p>
        </w:tc>
      </w:tr>
      <w:tr w:rsidR="00997F75" w:rsidRPr="009E35ED" w14:paraId="57EE5E4C" w14:textId="77777777" w:rsidTr="00D043CC">
        <w:trPr>
          <w:trHeight w:val="254"/>
        </w:trPr>
        <w:tc>
          <w:tcPr>
            <w:tcW w:w="3260" w:type="dxa"/>
          </w:tcPr>
          <w:p w14:paraId="15EB13DD" w14:textId="77777777" w:rsidR="00957F84" w:rsidRPr="009E35ED" w:rsidRDefault="00957F84" w:rsidP="00957F84">
            <w:pPr>
              <w:ind w:left="0"/>
              <w:rPr>
                <w:rFonts w:ascii="Arial Narrow" w:hAnsi="Arial Narrow" w:cs="Arial"/>
                <w:color w:val="000000" w:themeColor="text1"/>
                <w:sz w:val="20"/>
                <w:szCs w:val="20"/>
              </w:rPr>
            </w:pPr>
          </w:p>
        </w:tc>
        <w:tc>
          <w:tcPr>
            <w:tcW w:w="2126" w:type="dxa"/>
          </w:tcPr>
          <w:p w14:paraId="7665CC77" w14:textId="77777777" w:rsidR="00957F84" w:rsidRPr="009E35ED" w:rsidRDefault="00957F84" w:rsidP="00957F84">
            <w:pPr>
              <w:ind w:left="0"/>
              <w:jc w:val="right"/>
              <w:rPr>
                <w:rFonts w:ascii="Arial Narrow" w:hAnsi="Arial Narrow" w:cs="Arial"/>
                <w:color w:val="000000" w:themeColor="text1"/>
                <w:sz w:val="20"/>
                <w:szCs w:val="20"/>
              </w:rPr>
            </w:pPr>
          </w:p>
        </w:tc>
        <w:tc>
          <w:tcPr>
            <w:tcW w:w="1842" w:type="dxa"/>
          </w:tcPr>
          <w:p w14:paraId="3A61E080" w14:textId="77777777" w:rsidR="00957F84" w:rsidRPr="009E35ED" w:rsidRDefault="00957F84" w:rsidP="00957F84">
            <w:pPr>
              <w:ind w:left="0"/>
              <w:jc w:val="right"/>
              <w:rPr>
                <w:rFonts w:ascii="Arial Narrow" w:hAnsi="Arial Narrow" w:cs="Arial"/>
                <w:color w:val="000000" w:themeColor="text1"/>
                <w:sz w:val="20"/>
                <w:szCs w:val="20"/>
              </w:rPr>
            </w:pPr>
          </w:p>
        </w:tc>
      </w:tr>
      <w:tr w:rsidR="00997F75" w:rsidRPr="009E35ED" w14:paraId="3C24A327" w14:textId="77777777" w:rsidTr="00D043CC">
        <w:trPr>
          <w:trHeight w:val="254"/>
        </w:trPr>
        <w:tc>
          <w:tcPr>
            <w:tcW w:w="3260" w:type="dxa"/>
          </w:tcPr>
          <w:p w14:paraId="6EA4749B" w14:textId="2EEEDCDE" w:rsidR="00957F84" w:rsidRPr="009E35ED" w:rsidRDefault="00957F84" w:rsidP="00957F84">
            <w:pPr>
              <w:ind w:left="0"/>
              <w:rPr>
                <w:rFonts w:ascii="Arial Narrow" w:hAnsi="Arial Narrow" w:cs="Arial"/>
                <w:color w:val="000000" w:themeColor="text1"/>
                <w:sz w:val="20"/>
                <w:szCs w:val="20"/>
              </w:rPr>
            </w:pPr>
            <w:r w:rsidRPr="009E35ED">
              <w:rPr>
                <w:rFonts w:ascii="Arial Narrow" w:hAnsi="Arial Narrow" w:cs="Arial"/>
                <w:b/>
                <w:bCs/>
                <w:color w:val="000000" w:themeColor="text1"/>
                <w:sz w:val="20"/>
                <w:szCs w:val="20"/>
                <w:lang w:val="en-PH"/>
              </w:rPr>
              <w:t>III. Operating Fund  (15% of NR)</w:t>
            </w:r>
          </w:p>
        </w:tc>
        <w:tc>
          <w:tcPr>
            <w:tcW w:w="2126" w:type="dxa"/>
          </w:tcPr>
          <w:p w14:paraId="361A46D6" w14:textId="77777777" w:rsidR="00957F84" w:rsidRPr="009E35ED" w:rsidRDefault="00957F84" w:rsidP="00957F84">
            <w:pPr>
              <w:ind w:left="0"/>
              <w:jc w:val="right"/>
              <w:rPr>
                <w:rFonts w:ascii="Arial Narrow" w:hAnsi="Arial Narrow" w:cs="Arial"/>
                <w:color w:val="000000" w:themeColor="text1"/>
                <w:sz w:val="20"/>
                <w:szCs w:val="20"/>
              </w:rPr>
            </w:pPr>
            <w:r w:rsidRPr="009E35ED">
              <w:rPr>
                <w:rFonts w:ascii="Arial Narrow" w:hAnsi="Arial Narrow" w:cs="Arial"/>
                <w:color w:val="000000" w:themeColor="text1"/>
                <w:sz w:val="20"/>
                <w:szCs w:val="20"/>
              </w:rPr>
              <w:t>15.000%</w:t>
            </w:r>
          </w:p>
        </w:tc>
        <w:tc>
          <w:tcPr>
            <w:tcW w:w="1842" w:type="dxa"/>
          </w:tcPr>
          <w:p w14:paraId="291C4235" w14:textId="77777777" w:rsidR="00957F84" w:rsidRPr="009E35ED" w:rsidRDefault="00957F84" w:rsidP="00957F84">
            <w:pPr>
              <w:ind w:left="0"/>
              <w:jc w:val="right"/>
              <w:rPr>
                <w:rFonts w:ascii="Arial Narrow" w:hAnsi="Arial Narrow" w:cs="Arial"/>
                <w:color w:val="000000" w:themeColor="text1"/>
                <w:sz w:val="20"/>
                <w:szCs w:val="20"/>
              </w:rPr>
            </w:pPr>
            <w:r w:rsidRPr="009E35ED">
              <w:rPr>
                <w:rFonts w:ascii="Arial Narrow" w:hAnsi="Arial Narrow" w:cs="Arial"/>
                <w:color w:val="000000" w:themeColor="text1"/>
                <w:sz w:val="20"/>
                <w:szCs w:val="20"/>
              </w:rPr>
              <w:t>15.000%</w:t>
            </w:r>
          </w:p>
        </w:tc>
      </w:tr>
      <w:tr w:rsidR="00997F75" w:rsidRPr="009E35ED" w14:paraId="3A08C523" w14:textId="77777777" w:rsidTr="00D043CC">
        <w:trPr>
          <w:trHeight w:val="254"/>
        </w:trPr>
        <w:tc>
          <w:tcPr>
            <w:tcW w:w="3260" w:type="dxa"/>
          </w:tcPr>
          <w:p w14:paraId="6493D5F9" w14:textId="609BE04B" w:rsidR="00957F84" w:rsidRPr="009E35ED" w:rsidRDefault="00957F84" w:rsidP="00957F84">
            <w:pPr>
              <w:ind w:left="0"/>
              <w:rPr>
                <w:rFonts w:ascii="Arial Narrow" w:hAnsi="Arial Narrow" w:cs="Arial"/>
                <w:color w:val="000000" w:themeColor="text1"/>
                <w:sz w:val="20"/>
                <w:szCs w:val="20"/>
              </w:rPr>
            </w:pPr>
            <w:r w:rsidRPr="009E35ED">
              <w:rPr>
                <w:rFonts w:ascii="Arial Narrow" w:hAnsi="Arial Narrow" w:cs="Arial"/>
                <w:color w:val="000000" w:themeColor="text1"/>
                <w:sz w:val="20"/>
                <w:szCs w:val="20"/>
                <w:lang w:val="en-PH"/>
              </w:rPr>
              <w:t>Agent's Commission</w:t>
            </w:r>
          </w:p>
        </w:tc>
        <w:tc>
          <w:tcPr>
            <w:tcW w:w="2126" w:type="dxa"/>
          </w:tcPr>
          <w:p w14:paraId="1684A440" w14:textId="77777777" w:rsidR="00957F84" w:rsidRPr="009E35ED" w:rsidRDefault="00957F84" w:rsidP="00957F84">
            <w:pPr>
              <w:ind w:left="0"/>
              <w:jc w:val="right"/>
              <w:rPr>
                <w:rFonts w:ascii="Arial Narrow" w:hAnsi="Arial Narrow" w:cs="Arial"/>
                <w:color w:val="000000" w:themeColor="text1"/>
                <w:sz w:val="20"/>
                <w:szCs w:val="20"/>
              </w:rPr>
            </w:pPr>
            <w:r w:rsidRPr="009E35ED">
              <w:rPr>
                <w:rFonts w:ascii="Arial Narrow" w:hAnsi="Arial Narrow" w:cs="Arial"/>
                <w:color w:val="000000" w:themeColor="text1"/>
                <w:sz w:val="20"/>
                <w:szCs w:val="20"/>
              </w:rPr>
              <w:t>0.704%</w:t>
            </w:r>
          </w:p>
        </w:tc>
        <w:tc>
          <w:tcPr>
            <w:tcW w:w="1842" w:type="dxa"/>
          </w:tcPr>
          <w:p w14:paraId="799DE936" w14:textId="77777777" w:rsidR="00957F84" w:rsidRPr="009E35ED" w:rsidRDefault="00957F84" w:rsidP="00957F84">
            <w:pPr>
              <w:ind w:left="0"/>
              <w:jc w:val="right"/>
              <w:rPr>
                <w:rFonts w:ascii="Arial Narrow" w:hAnsi="Arial Narrow" w:cs="Arial"/>
                <w:color w:val="000000" w:themeColor="text1"/>
                <w:sz w:val="20"/>
                <w:szCs w:val="20"/>
              </w:rPr>
            </w:pPr>
            <w:r w:rsidRPr="009E35ED">
              <w:rPr>
                <w:rFonts w:ascii="Arial Narrow" w:hAnsi="Arial Narrow" w:cs="Arial"/>
                <w:color w:val="000000" w:themeColor="text1"/>
                <w:sz w:val="20"/>
                <w:szCs w:val="20"/>
              </w:rPr>
              <w:t>3.704%</w:t>
            </w:r>
          </w:p>
        </w:tc>
      </w:tr>
      <w:tr w:rsidR="00957F84" w:rsidRPr="009E35ED" w14:paraId="1F0AB640" w14:textId="77777777" w:rsidTr="00D043CC">
        <w:trPr>
          <w:trHeight w:val="254"/>
        </w:trPr>
        <w:tc>
          <w:tcPr>
            <w:tcW w:w="3260" w:type="dxa"/>
          </w:tcPr>
          <w:p w14:paraId="7D7FA7C1" w14:textId="7DCD368F" w:rsidR="00957F84" w:rsidRPr="009E35ED" w:rsidRDefault="00957F84" w:rsidP="00957F84">
            <w:pPr>
              <w:ind w:left="0"/>
              <w:rPr>
                <w:rFonts w:ascii="Arial Narrow" w:hAnsi="Arial Narrow" w:cs="Arial"/>
                <w:b/>
                <w:bCs/>
                <w:color w:val="000000" w:themeColor="text1"/>
                <w:sz w:val="20"/>
                <w:szCs w:val="20"/>
              </w:rPr>
            </w:pPr>
            <w:r w:rsidRPr="009E35ED">
              <w:rPr>
                <w:rFonts w:ascii="Arial Narrow" w:hAnsi="Arial Narrow" w:cs="Arial"/>
                <w:color w:val="000000" w:themeColor="text1"/>
                <w:sz w:val="20"/>
                <w:szCs w:val="20"/>
                <w:lang w:val="en-PH"/>
              </w:rPr>
              <w:t>Net Operating Fund</w:t>
            </w:r>
          </w:p>
        </w:tc>
        <w:tc>
          <w:tcPr>
            <w:tcW w:w="2126" w:type="dxa"/>
          </w:tcPr>
          <w:p w14:paraId="2553815D" w14:textId="77777777" w:rsidR="00957F84" w:rsidRPr="009E35ED" w:rsidRDefault="00957F84" w:rsidP="00957F84">
            <w:pPr>
              <w:ind w:left="0"/>
              <w:jc w:val="right"/>
              <w:rPr>
                <w:rFonts w:ascii="Arial Narrow" w:hAnsi="Arial Narrow" w:cs="Arial"/>
                <w:b/>
                <w:bCs/>
                <w:color w:val="000000" w:themeColor="text1"/>
                <w:sz w:val="20"/>
                <w:szCs w:val="20"/>
              </w:rPr>
            </w:pPr>
            <w:r w:rsidRPr="009E35ED">
              <w:rPr>
                <w:rFonts w:ascii="Arial Narrow" w:hAnsi="Arial Narrow" w:cs="Arial"/>
                <w:b/>
                <w:bCs/>
                <w:color w:val="000000" w:themeColor="text1"/>
                <w:sz w:val="20"/>
                <w:szCs w:val="20"/>
              </w:rPr>
              <w:t>14.296%</w:t>
            </w:r>
          </w:p>
        </w:tc>
        <w:tc>
          <w:tcPr>
            <w:tcW w:w="1842" w:type="dxa"/>
          </w:tcPr>
          <w:p w14:paraId="0F969625" w14:textId="77777777" w:rsidR="00957F84" w:rsidRPr="009E35ED" w:rsidRDefault="00957F84" w:rsidP="00957F84">
            <w:pPr>
              <w:ind w:left="0"/>
              <w:jc w:val="right"/>
              <w:rPr>
                <w:rFonts w:ascii="Arial Narrow" w:hAnsi="Arial Narrow" w:cs="Arial"/>
                <w:b/>
                <w:bCs/>
                <w:color w:val="000000" w:themeColor="text1"/>
                <w:sz w:val="20"/>
                <w:szCs w:val="20"/>
              </w:rPr>
            </w:pPr>
            <w:r w:rsidRPr="009E35ED">
              <w:rPr>
                <w:rFonts w:ascii="Arial Narrow" w:hAnsi="Arial Narrow" w:cs="Arial"/>
                <w:b/>
                <w:bCs/>
                <w:color w:val="000000" w:themeColor="text1"/>
                <w:sz w:val="20"/>
                <w:szCs w:val="20"/>
              </w:rPr>
              <w:t>11.296%</w:t>
            </w:r>
          </w:p>
        </w:tc>
      </w:tr>
    </w:tbl>
    <w:p w14:paraId="78FE808D" w14:textId="77777777" w:rsidR="005A7881" w:rsidRPr="009E35ED" w:rsidRDefault="005A7881" w:rsidP="005A7881">
      <w:pPr>
        <w:ind w:left="0"/>
        <w:rPr>
          <w:rFonts w:ascii="Arial" w:hAnsi="Arial" w:cs="Arial"/>
          <w:color w:val="000000" w:themeColor="text1"/>
          <w:sz w:val="20"/>
          <w:szCs w:val="20"/>
        </w:rPr>
      </w:pPr>
    </w:p>
    <w:p w14:paraId="5696901E" w14:textId="77777777" w:rsidR="005A7881" w:rsidRPr="009E35ED" w:rsidRDefault="005A7881" w:rsidP="005A7881">
      <w:pPr>
        <w:ind w:left="0"/>
        <w:rPr>
          <w:rFonts w:ascii="Arial" w:hAnsi="Arial" w:cs="Arial"/>
          <w:color w:val="000000" w:themeColor="text1"/>
          <w:sz w:val="22"/>
          <w:szCs w:val="22"/>
        </w:rPr>
      </w:pPr>
      <w:r w:rsidRPr="009E35ED">
        <w:rPr>
          <w:rFonts w:ascii="Arial" w:hAnsi="Arial" w:cs="Arial"/>
          <w:color w:val="000000" w:themeColor="text1"/>
          <w:sz w:val="22"/>
          <w:szCs w:val="22"/>
        </w:rPr>
        <w:t>The pilot run of the web-based on-line betting platform or the “E-Lotto” commenced on December 15, 2023.</w:t>
      </w:r>
    </w:p>
    <w:p w14:paraId="61F79AEC" w14:textId="77777777" w:rsidR="005A7881" w:rsidRPr="009E35ED" w:rsidRDefault="005A7881" w:rsidP="00803F8C">
      <w:pPr>
        <w:ind w:left="0"/>
        <w:rPr>
          <w:rFonts w:ascii="Arial" w:hAnsi="Arial" w:cs="Arial"/>
          <w:color w:val="000000" w:themeColor="text1"/>
          <w:sz w:val="22"/>
          <w:szCs w:val="22"/>
        </w:rPr>
      </w:pPr>
    </w:p>
    <w:p w14:paraId="5398CEAA" w14:textId="77777777" w:rsidR="0085009E" w:rsidRPr="009E35ED" w:rsidRDefault="0085009E" w:rsidP="00803F8C">
      <w:pPr>
        <w:ind w:left="0"/>
        <w:rPr>
          <w:rFonts w:ascii="Arial" w:hAnsi="Arial" w:cs="Arial"/>
          <w:color w:val="000000" w:themeColor="text1"/>
          <w:sz w:val="22"/>
          <w:szCs w:val="22"/>
        </w:rPr>
      </w:pPr>
    </w:p>
    <w:p w14:paraId="3771E6CD" w14:textId="6EB97ABD" w:rsidR="00572AF6" w:rsidRPr="009E35ED" w:rsidRDefault="001D68E0" w:rsidP="00803F8C">
      <w:pPr>
        <w:ind w:left="540" w:hanging="540"/>
        <w:rPr>
          <w:rFonts w:ascii="Arial" w:hAnsi="Arial" w:cs="Arial"/>
          <w:b/>
          <w:color w:val="000000" w:themeColor="text1"/>
          <w:sz w:val="22"/>
          <w:szCs w:val="22"/>
        </w:rPr>
      </w:pPr>
      <w:r w:rsidRPr="009E35ED">
        <w:rPr>
          <w:rFonts w:ascii="Arial" w:hAnsi="Arial" w:cs="Arial"/>
          <w:b/>
          <w:color w:val="000000" w:themeColor="text1"/>
          <w:sz w:val="22"/>
          <w:szCs w:val="22"/>
        </w:rPr>
        <w:t>B.</w:t>
      </w:r>
      <w:r w:rsidRPr="009E35ED">
        <w:rPr>
          <w:rFonts w:ascii="Arial" w:hAnsi="Arial" w:cs="Arial"/>
          <w:b/>
          <w:color w:val="000000" w:themeColor="text1"/>
          <w:sz w:val="22"/>
          <w:szCs w:val="22"/>
        </w:rPr>
        <w:tab/>
      </w:r>
      <w:r w:rsidR="006F7979" w:rsidRPr="009E35ED">
        <w:rPr>
          <w:rFonts w:ascii="Arial" w:hAnsi="Arial" w:cs="Arial"/>
          <w:b/>
          <w:color w:val="000000" w:themeColor="text1"/>
          <w:sz w:val="22"/>
          <w:szCs w:val="22"/>
        </w:rPr>
        <w:t>Small Town Lottery</w:t>
      </w:r>
    </w:p>
    <w:p w14:paraId="27B0202A" w14:textId="77777777" w:rsidR="006F7979" w:rsidRPr="009E35ED" w:rsidRDefault="006F7979" w:rsidP="00803F8C">
      <w:pPr>
        <w:ind w:left="0"/>
        <w:rPr>
          <w:rFonts w:ascii="Arial" w:hAnsi="Arial" w:cs="Arial"/>
          <w:color w:val="000000" w:themeColor="text1"/>
          <w:sz w:val="22"/>
          <w:szCs w:val="22"/>
        </w:rPr>
      </w:pPr>
    </w:p>
    <w:p w14:paraId="363B6408" w14:textId="0160DB54" w:rsidR="007A19DC" w:rsidRPr="009E35ED" w:rsidRDefault="0085009E" w:rsidP="007A19DC">
      <w:pPr>
        <w:ind w:left="0"/>
        <w:rPr>
          <w:rFonts w:ascii="Arial" w:hAnsi="Arial" w:cs="Arial"/>
          <w:color w:val="000000" w:themeColor="text1"/>
          <w:sz w:val="22"/>
          <w:szCs w:val="22"/>
        </w:rPr>
      </w:pPr>
      <w:r w:rsidRPr="009E35ED">
        <w:rPr>
          <w:rFonts w:ascii="Arial" w:hAnsi="Arial" w:cs="Arial"/>
          <w:color w:val="000000" w:themeColor="text1"/>
          <w:sz w:val="22"/>
          <w:szCs w:val="22"/>
        </w:rPr>
        <w:t>In pursuit of its mandate and directives of the President of the Philippines, PCSO Board of Directors conducted experimental test-run for the Small Town Lottery (STL) Operations, and thereafter evaluated its feasibility. Through B</w:t>
      </w:r>
      <w:r w:rsidR="00F6182B">
        <w:rPr>
          <w:rFonts w:ascii="Arial" w:hAnsi="Arial" w:cs="Arial"/>
          <w:color w:val="000000" w:themeColor="text1"/>
          <w:sz w:val="22"/>
          <w:szCs w:val="22"/>
        </w:rPr>
        <w:t>R</w:t>
      </w:r>
      <w:r w:rsidRPr="009E35ED">
        <w:rPr>
          <w:rFonts w:ascii="Arial" w:hAnsi="Arial" w:cs="Arial"/>
          <w:color w:val="000000" w:themeColor="text1"/>
          <w:sz w:val="22"/>
          <w:szCs w:val="22"/>
        </w:rPr>
        <w:t xml:space="preserve"> No. 2433, </w:t>
      </w:r>
      <w:r w:rsidR="009D5908" w:rsidRPr="009E35ED">
        <w:rPr>
          <w:rFonts w:ascii="Arial" w:hAnsi="Arial" w:cs="Arial"/>
          <w:color w:val="000000" w:themeColor="text1"/>
          <w:sz w:val="22"/>
          <w:szCs w:val="22"/>
        </w:rPr>
        <w:t>s</w:t>
      </w:r>
      <w:r w:rsidRPr="009E35ED">
        <w:rPr>
          <w:rFonts w:ascii="Arial" w:hAnsi="Arial" w:cs="Arial"/>
          <w:color w:val="000000" w:themeColor="text1"/>
          <w:sz w:val="22"/>
          <w:szCs w:val="22"/>
        </w:rPr>
        <w:t>eries of 2009, approved on December</w:t>
      </w:r>
      <w:r w:rsidR="00F6182B">
        <w:rPr>
          <w:rFonts w:ascii="Arial" w:hAnsi="Arial" w:cs="Arial"/>
          <w:color w:val="000000" w:themeColor="text1"/>
          <w:sz w:val="22"/>
          <w:szCs w:val="22"/>
        </w:rPr>
        <w:t xml:space="preserve"> 18,</w:t>
      </w:r>
      <w:r w:rsidRPr="009E35ED">
        <w:rPr>
          <w:rFonts w:ascii="Arial" w:hAnsi="Arial" w:cs="Arial"/>
          <w:color w:val="000000" w:themeColor="text1"/>
          <w:sz w:val="22"/>
          <w:szCs w:val="22"/>
        </w:rPr>
        <w:t xml:space="preserve"> 2009, </w:t>
      </w:r>
      <w:r w:rsidR="00F6182B">
        <w:rPr>
          <w:rFonts w:ascii="Arial" w:hAnsi="Arial" w:cs="Arial"/>
          <w:color w:val="000000" w:themeColor="text1"/>
          <w:sz w:val="22"/>
          <w:szCs w:val="22"/>
        </w:rPr>
        <w:t xml:space="preserve">the </w:t>
      </w:r>
      <w:r w:rsidRPr="009E35ED">
        <w:rPr>
          <w:rFonts w:ascii="Arial" w:hAnsi="Arial" w:cs="Arial"/>
          <w:color w:val="000000" w:themeColor="text1"/>
          <w:sz w:val="22"/>
          <w:szCs w:val="22"/>
        </w:rPr>
        <w:t xml:space="preserve">STL was declared as one of the regular products of the PCSO. Further, </w:t>
      </w:r>
      <w:r w:rsidR="00F6182B">
        <w:rPr>
          <w:rFonts w:ascii="Arial" w:hAnsi="Arial" w:cs="Arial"/>
          <w:color w:val="000000" w:themeColor="text1"/>
          <w:sz w:val="22"/>
          <w:szCs w:val="22"/>
        </w:rPr>
        <w:t>BR</w:t>
      </w:r>
      <w:r w:rsidRPr="009E35ED">
        <w:rPr>
          <w:rFonts w:ascii="Arial" w:hAnsi="Arial" w:cs="Arial"/>
          <w:color w:val="000000" w:themeColor="text1"/>
          <w:sz w:val="22"/>
          <w:szCs w:val="22"/>
        </w:rPr>
        <w:t xml:space="preserve"> No. 019</w:t>
      </w:r>
      <w:r w:rsidR="009D5908" w:rsidRPr="009E35ED">
        <w:rPr>
          <w:rFonts w:ascii="Arial" w:hAnsi="Arial" w:cs="Arial"/>
          <w:color w:val="000000" w:themeColor="text1"/>
          <w:sz w:val="22"/>
          <w:szCs w:val="22"/>
        </w:rPr>
        <w:t>,</w:t>
      </w:r>
      <w:r w:rsidRPr="009E35ED">
        <w:rPr>
          <w:rFonts w:ascii="Arial" w:hAnsi="Arial" w:cs="Arial"/>
          <w:color w:val="000000" w:themeColor="text1"/>
          <w:sz w:val="22"/>
          <w:szCs w:val="22"/>
        </w:rPr>
        <w:t xml:space="preserve"> </w:t>
      </w:r>
      <w:r w:rsidR="009D5908" w:rsidRPr="009E35ED">
        <w:rPr>
          <w:rFonts w:ascii="Arial" w:hAnsi="Arial" w:cs="Arial"/>
          <w:color w:val="000000" w:themeColor="text1"/>
          <w:sz w:val="22"/>
          <w:szCs w:val="22"/>
        </w:rPr>
        <w:t>s</w:t>
      </w:r>
      <w:r w:rsidRPr="009E35ED">
        <w:rPr>
          <w:rFonts w:ascii="Arial" w:hAnsi="Arial" w:cs="Arial"/>
          <w:color w:val="000000" w:themeColor="text1"/>
          <w:sz w:val="22"/>
          <w:szCs w:val="22"/>
        </w:rPr>
        <w:t xml:space="preserve">eries of 2016, approved the expansion of </w:t>
      </w:r>
      <w:r w:rsidR="00F6182B">
        <w:rPr>
          <w:rFonts w:ascii="Arial" w:hAnsi="Arial" w:cs="Arial"/>
          <w:color w:val="000000" w:themeColor="text1"/>
          <w:sz w:val="22"/>
          <w:szCs w:val="22"/>
        </w:rPr>
        <w:t xml:space="preserve">the </w:t>
      </w:r>
      <w:r w:rsidRPr="009E35ED">
        <w:rPr>
          <w:rFonts w:ascii="Arial" w:hAnsi="Arial" w:cs="Arial"/>
          <w:color w:val="000000" w:themeColor="text1"/>
          <w:sz w:val="22"/>
          <w:szCs w:val="22"/>
        </w:rPr>
        <w:t>STL operations in other provinces and cities.</w:t>
      </w:r>
      <w:r w:rsidR="007A19DC" w:rsidRPr="009E35ED">
        <w:rPr>
          <w:rFonts w:ascii="Arial" w:hAnsi="Arial" w:cs="Arial"/>
          <w:color w:val="000000" w:themeColor="text1"/>
          <w:sz w:val="22"/>
          <w:szCs w:val="22"/>
        </w:rPr>
        <w:t xml:space="preserve"> To further strengthen STL operations, the 2020 STL </w:t>
      </w:r>
      <w:r w:rsidR="0075570E" w:rsidRPr="009E35ED">
        <w:rPr>
          <w:rFonts w:ascii="Arial" w:hAnsi="Arial" w:cs="Arial"/>
          <w:color w:val="000000" w:themeColor="text1"/>
          <w:sz w:val="22"/>
          <w:szCs w:val="22"/>
        </w:rPr>
        <w:t xml:space="preserve">Revised </w:t>
      </w:r>
      <w:r w:rsidR="007A19DC" w:rsidRPr="009E35ED">
        <w:rPr>
          <w:rFonts w:ascii="Arial" w:hAnsi="Arial" w:cs="Arial"/>
          <w:color w:val="000000" w:themeColor="text1"/>
          <w:sz w:val="22"/>
          <w:szCs w:val="22"/>
        </w:rPr>
        <w:t>I</w:t>
      </w:r>
      <w:r w:rsidR="009D5908" w:rsidRPr="009E35ED">
        <w:rPr>
          <w:rFonts w:ascii="Arial" w:hAnsi="Arial" w:cs="Arial"/>
          <w:color w:val="000000" w:themeColor="text1"/>
          <w:sz w:val="22"/>
          <w:szCs w:val="22"/>
        </w:rPr>
        <w:t xml:space="preserve">mplementing </w:t>
      </w:r>
      <w:r w:rsidR="007A19DC" w:rsidRPr="009E35ED">
        <w:rPr>
          <w:rFonts w:ascii="Arial" w:hAnsi="Arial" w:cs="Arial"/>
          <w:color w:val="000000" w:themeColor="text1"/>
          <w:sz w:val="22"/>
          <w:szCs w:val="22"/>
        </w:rPr>
        <w:t>R</w:t>
      </w:r>
      <w:r w:rsidR="009D5908" w:rsidRPr="009E35ED">
        <w:rPr>
          <w:rFonts w:ascii="Arial" w:hAnsi="Arial" w:cs="Arial"/>
          <w:color w:val="000000" w:themeColor="text1"/>
          <w:sz w:val="22"/>
          <w:szCs w:val="22"/>
        </w:rPr>
        <w:t xml:space="preserve">ules and </w:t>
      </w:r>
      <w:r w:rsidR="007A19DC" w:rsidRPr="009E35ED">
        <w:rPr>
          <w:rFonts w:ascii="Arial" w:hAnsi="Arial" w:cs="Arial"/>
          <w:color w:val="000000" w:themeColor="text1"/>
          <w:sz w:val="22"/>
          <w:szCs w:val="22"/>
        </w:rPr>
        <w:t>R</w:t>
      </w:r>
      <w:r w:rsidR="009D5908" w:rsidRPr="009E35ED">
        <w:rPr>
          <w:rFonts w:ascii="Arial" w:hAnsi="Arial" w:cs="Arial"/>
          <w:color w:val="000000" w:themeColor="text1"/>
          <w:sz w:val="22"/>
          <w:szCs w:val="22"/>
        </w:rPr>
        <w:t>egulations</w:t>
      </w:r>
      <w:r w:rsidR="007A19DC" w:rsidRPr="009E35ED">
        <w:rPr>
          <w:rFonts w:ascii="Arial" w:hAnsi="Arial" w:cs="Arial"/>
          <w:color w:val="000000" w:themeColor="text1"/>
          <w:sz w:val="22"/>
          <w:szCs w:val="22"/>
        </w:rPr>
        <w:t xml:space="preserve"> </w:t>
      </w:r>
      <w:r w:rsidR="009D5908" w:rsidRPr="009E35ED">
        <w:rPr>
          <w:rFonts w:ascii="Arial" w:hAnsi="Arial" w:cs="Arial"/>
          <w:color w:val="000000" w:themeColor="text1"/>
          <w:sz w:val="22"/>
          <w:szCs w:val="22"/>
        </w:rPr>
        <w:t>(</w:t>
      </w:r>
      <w:r w:rsidR="0018748D" w:rsidRPr="009E35ED">
        <w:rPr>
          <w:rFonts w:ascii="Arial" w:hAnsi="Arial" w:cs="Arial"/>
          <w:color w:val="000000" w:themeColor="text1"/>
          <w:sz w:val="22"/>
          <w:szCs w:val="22"/>
        </w:rPr>
        <w:t>R</w:t>
      </w:r>
      <w:r w:rsidR="009D5908" w:rsidRPr="009E35ED">
        <w:rPr>
          <w:rFonts w:ascii="Arial" w:hAnsi="Arial" w:cs="Arial"/>
          <w:color w:val="000000" w:themeColor="text1"/>
          <w:sz w:val="22"/>
          <w:szCs w:val="22"/>
        </w:rPr>
        <w:t xml:space="preserve">IRR) </w:t>
      </w:r>
      <w:r w:rsidR="007A19DC" w:rsidRPr="009E35ED">
        <w:rPr>
          <w:rFonts w:ascii="Arial" w:hAnsi="Arial" w:cs="Arial"/>
          <w:color w:val="000000" w:themeColor="text1"/>
          <w:sz w:val="22"/>
          <w:szCs w:val="22"/>
        </w:rPr>
        <w:t>was approved by the President of the Philippines dated February 28, 2020 and was implemented on November</w:t>
      </w:r>
      <w:r w:rsidR="00F6182B">
        <w:rPr>
          <w:rFonts w:ascii="Arial" w:hAnsi="Arial" w:cs="Arial"/>
          <w:color w:val="000000" w:themeColor="text1"/>
          <w:sz w:val="22"/>
          <w:szCs w:val="22"/>
        </w:rPr>
        <w:t xml:space="preserve"> 18,</w:t>
      </w:r>
      <w:r w:rsidR="007A19DC" w:rsidRPr="009E35ED">
        <w:rPr>
          <w:rFonts w:ascii="Arial" w:hAnsi="Arial" w:cs="Arial"/>
          <w:color w:val="000000" w:themeColor="text1"/>
          <w:sz w:val="22"/>
          <w:szCs w:val="22"/>
        </w:rPr>
        <w:t xml:space="preserve"> 2020 thru </w:t>
      </w:r>
      <w:r w:rsidR="00F6182B">
        <w:rPr>
          <w:rFonts w:ascii="Arial" w:hAnsi="Arial" w:cs="Arial"/>
          <w:color w:val="000000" w:themeColor="text1"/>
          <w:sz w:val="22"/>
          <w:szCs w:val="22"/>
        </w:rPr>
        <w:t>STL</w:t>
      </w:r>
      <w:r w:rsidR="007A19DC" w:rsidRPr="009E35ED">
        <w:rPr>
          <w:rFonts w:ascii="Arial" w:hAnsi="Arial" w:cs="Arial"/>
          <w:color w:val="000000" w:themeColor="text1"/>
          <w:sz w:val="22"/>
          <w:szCs w:val="22"/>
        </w:rPr>
        <w:t xml:space="preserve"> Circular No. 2020-006.</w:t>
      </w:r>
    </w:p>
    <w:p w14:paraId="561C27E7" w14:textId="2B9A7011" w:rsidR="0085009E" w:rsidRPr="009E35ED" w:rsidRDefault="0085009E" w:rsidP="00803F8C">
      <w:pPr>
        <w:ind w:left="0"/>
        <w:rPr>
          <w:rFonts w:ascii="Arial" w:hAnsi="Arial" w:cs="Arial"/>
          <w:color w:val="000000" w:themeColor="text1"/>
          <w:sz w:val="22"/>
          <w:szCs w:val="22"/>
        </w:rPr>
      </w:pPr>
    </w:p>
    <w:p w14:paraId="1133BCC3" w14:textId="2CC8BE6B" w:rsidR="0085009E" w:rsidRPr="009E35ED" w:rsidRDefault="0085009E" w:rsidP="00803F8C">
      <w:pPr>
        <w:ind w:left="0"/>
        <w:rPr>
          <w:rFonts w:ascii="Arial" w:hAnsi="Arial" w:cs="Arial"/>
          <w:color w:val="000000" w:themeColor="text1"/>
          <w:sz w:val="22"/>
          <w:szCs w:val="22"/>
        </w:rPr>
      </w:pPr>
      <w:r w:rsidRPr="009E35ED">
        <w:rPr>
          <w:rFonts w:ascii="Arial" w:hAnsi="Arial" w:cs="Arial"/>
          <w:color w:val="000000" w:themeColor="text1"/>
          <w:sz w:val="22"/>
          <w:szCs w:val="22"/>
        </w:rPr>
        <w:t>The STL shall be implemented locally all over the country through Authorized Agent Corporations (AAC</w:t>
      </w:r>
      <w:r w:rsidR="00F97825" w:rsidRPr="009E35ED">
        <w:rPr>
          <w:rFonts w:ascii="Arial" w:hAnsi="Arial" w:cs="Arial"/>
          <w:color w:val="000000" w:themeColor="text1"/>
          <w:sz w:val="22"/>
          <w:szCs w:val="22"/>
        </w:rPr>
        <w:t>s</w:t>
      </w:r>
      <w:r w:rsidRPr="009E35ED">
        <w:rPr>
          <w:rFonts w:ascii="Arial" w:hAnsi="Arial" w:cs="Arial"/>
          <w:color w:val="000000" w:themeColor="text1"/>
          <w:sz w:val="22"/>
          <w:szCs w:val="22"/>
        </w:rPr>
        <w:t>), taking into consideration the manpower of the PCSO and other relevant factors, as may be determined by PCSO Board of Directors. It shall be the only legal and authorized numbers game nationwide, and PCSO AAC</w:t>
      </w:r>
      <w:r w:rsidR="00F97825" w:rsidRPr="009E35ED">
        <w:rPr>
          <w:rFonts w:ascii="Arial" w:hAnsi="Arial" w:cs="Arial"/>
          <w:color w:val="000000" w:themeColor="text1"/>
          <w:sz w:val="22"/>
          <w:szCs w:val="22"/>
        </w:rPr>
        <w:t>s</w:t>
      </w:r>
      <w:r w:rsidRPr="009E35ED">
        <w:rPr>
          <w:rFonts w:ascii="Arial" w:hAnsi="Arial" w:cs="Arial"/>
          <w:color w:val="000000" w:themeColor="text1"/>
          <w:sz w:val="22"/>
          <w:szCs w:val="22"/>
        </w:rPr>
        <w:t xml:space="preserve"> are the only entities or persons authorized to operate and conduct </w:t>
      </w:r>
      <w:r w:rsidR="00F6182B">
        <w:rPr>
          <w:rFonts w:ascii="Arial" w:hAnsi="Arial" w:cs="Arial"/>
          <w:color w:val="000000" w:themeColor="text1"/>
          <w:sz w:val="22"/>
          <w:szCs w:val="22"/>
        </w:rPr>
        <w:t xml:space="preserve">the </w:t>
      </w:r>
      <w:r w:rsidRPr="009E35ED">
        <w:rPr>
          <w:rFonts w:ascii="Arial" w:hAnsi="Arial" w:cs="Arial"/>
          <w:color w:val="000000" w:themeColor="text1"/>
          <w:sz w:val="22"/>
          <w:szCs w:val="22"/>
        </w:rPr>
        <w:t>STL in their areas operation.</w:t>
      </w:r>
    </w:p>
    <w:p w14:paraId="08DD3147" w14:textId="77777777" w:rsidR="0085009E" w:rsidRPr="009E35ED" w:rsidRDefault="0085009E" w:rsidP="00803F8C">
      <w:pPr>
        <w:ind w:left="0"/>
        <w:rPr>
          <w:rFonts w:ascii="Arial" w:hAnsi="Arial" w:cs="Arial"/>
          <w:color w:val="000000" w:themeColor="text1"/>
          <w:sz w:val="22"/>
          <w:szCs w:val="22"/>
        </w:rPr>
      </w:pPr>
      <w:r w:rsidRPr="009E35ED">
        <w:rPr>
          <w:rFonts w:ascii="Arial" w:hAnsi="Arial" w:cs="Arial"/>
          <w:color w:val="000000" w:themeColor="text1"/>
          <w:sz w:val="22"/>
          <w:szCs w:val="22"/>
        </w:rPr>
        <w:t xml:space="preserve"> </w:t>
      </w:r>
    </w:p>
    <w:p w14:paraId="28B81942" w14:textId="5BAD30AD" w:rsidR="0085009E" w:rsidRPr="009E35ED" w:rsidRDefault="0085009E" w:rsidP="00803F8C">
      <w:pPr>
        <w:ind w:left="0"/>
        <w:rPr>
          <w:rFonts w:ascii="Arial" w:hAnsi="Arial" w:cs="Arial"/>
          <w:color w:val="000000" w:themeColor="text1"/>
          <w:sz w:val="22"/>
          <w:szCs w:val="22"/>
        </w:rPr>
      </w:pPr>
      <w:r w:rsidRPr="009E35ED">
        <w:rPr>
          <w:rFonts w:ascii="Arial" w:hAnsi="Arial" w:cs="Arial"/>
          <w:color w:val="000000" w:themeColor="text1"/>
          <w:sz w:val="22"/>
          <w:szCs w:val="22"/>
        </w:rPr>
        <w:t>The STL shall be implemented with the following objectives:</w:t>
      </w:r>
    </w:p>
    <w:p w14:paraId="39ADAFC0" w14:textId="77777777" w:rsidR="0085009E" w:rsidRPr="009E35ED" w:rsidRDefault="0085009E" w:rsidP="00803F8C">
      <w:pPr>
        <w:ind w:left="0"/>
        <w:rPr>
          <w:rFonts w:ascii="Arial" w:hAnsi="Arial" w:cs="Arial"/>
          <w:color w:val="000000" w:themeColor="text1"/>
          <w:sz w:val="22"/>
          <w:szCs w:val="22"/>
        </w:rPr>
      </w:pPr>
    </w:p>
    <w:p w14:paraId="573C2A1F" w14:textId="77777777" w:rsidR="0085009E" w:rsidRPr="009E35ED" w:rsidRDefault="0085009E" w:rsidP="003E2A74">
      <w:pPr>
        <w:pStyle w:val="ListParagraph"/>
        <w:numPr>
          <w:ilvl w:val="0"/>
          <w:numId w:val="14"/>
        </w:numPr>
        <w:ind w:left="709"/>
        <w:contextualSpacing/>
        <w:rPr>
          <w:rFonts w:ascii="Arial" w:hAnsi="Arial" w:cs="Arial"/>
          <w:color w:val="000000" w:themeColor="text1"/>
          <w:sz w:val="22"/>
          <w:szCs w:val="22"/>
        </w:rPr>
      </w:pPr>
      <w:r w:rsidRPr="009E35ED">
        <w:rPr>
          <w:rFonts w:ascii="Arial" w:hAnsi="Arial" w:cs="Arial"/>
          <w:color w:val="000000" w:themeColor="text1"/>
          <w:sz w:val="22"/>
          <w:szCs w:val="22"/>
        </w:rPr>
        <w:t>To raise additional funds for PCSO’s health programs, medical assistance and services, and charities of national character;</w:t>
      </w:r>
    </w:p>
    <w:p w14:paraId="3A28CB24" w14:textId="77777777" w:rsidR="0085009E" w:rsidRPr="009E35ED" w:rsidRDefault="0085009E" w:rsidP="003E2A74">
      <w:pPr>
        <w:pStyle w:val="ListParagraph"/>
        <w:numPr>
          <w:ilvl w:val="0"/>
          <w:numId w:val="14"/>
        </w:numPr>
        <w:ind w:left="709"/>
        <w:contextualSpacing/>
        <w:rPr>
          <w:rFonts w:ascii="Arial" w:hAnsi="Arial" w:cs="Arial"/>
          <w:color w:val="000000" w:themeColor="text1"/>
          <w:sz w:val="22"/>
          <w:szCs w:val="22"/>
        </w:rPr>
      </w:pPr>
      <w:r w:rsidRPr="009E35ED">
        <w:rPr>
          <w:rFonts w:ascii="Arial" w:hAnsi="Arial" w:cs="Arial"/>
          <w:color w:val="000000" w:themeColor="text1"/>
          <w:sz w:val="22"/>
          <w:szCs w:val="22"/>
        </w:rPr>
        <w:t>To provide funds to various local government units for their health programs and medical assistance and services;</w:t>
      </w:r>
    </w:p>
    <w:p w14:paraId="4A0602CA" w14:textId="77777777" w:rsidR="0085009E" w:rsidRPr="009E35ED" w:rsidRDefault="0085009E" w:rsidP="003E2A74">
      <w:pPr>
        <w:pStyle w:val="ListParagraph"/>
        <w:numPr>
          <w:ilvl w:val="0"/>
          <w:numId w:val="14"/>
        </w:numPr>
        <w:ind w:left="709"/>
        <w:contextualSpacing/>
        <w:rPr>
          <w:rFonts w:ascii="Arial" w:hAnsi="Arial" w:cs="Arial"/>
          <w:color w:val="000000" w:themeColor="text1"/>
          <w:sz w:val="22"/>
          <w:szCs w:val="22"/>
        </w:rPr>
      </w:pPr>
      <w:r w:rsidRPr="009E35ED">
        <w:rPr>
          <w:rFonts w:ascii="Arial" w:hAnsi="Arial" w:cs="Arial"/>
          <w:color w:val="000000" w:themeColor="text1"/>
          <w:sz w:val="22"/>
          <w:szCs w:val="22"/>
        </w:rPr>
        <w:t>To provide an alternative to illegal number games/operations and to aid their eradication (to stamp out jueteng and “masiao”); and</w:t>
      </w:r>
    </w:p>
    <w:p w14:paraId="63A5C9A3" w14:textId="77777777" w:rsidR="0085009E" w:rsidRPr="009E35ED" w:rsidRDefault="0085009E" w:rsidP="003E2A74">
      <w:pPr>
        <w:pStyle w:val="ListParagraph"/>
        <w:numPr>
          <w:ilvl w:val="0"/>
          <w:numId w:val="14"/>
        </w:numPr>
        <w:ind w:left="709"/>
        <w:contextualSpacing/>
        <w:rPr>
          <w:rFonts w:ascii="Arial" w:hAnsi="Arial" w:cs="Arial"/>
          <w:color w:val="000000" w:themeColor="text1"/>
          <w:sz w:val="22"/>
          <w:szCs w:val="22"/>
        </w:rPr>
      </w:pPr>
      <w:r w:rsidRPr="009E35ED">
        <w:rPr>
          <w:rFonts w:ascii="Arial" w:hAnsi="Arial" w:cs="Arial"/>
          <w:color w:val="000000" w:themeColor="text1"/>
          <w:sz w:val="22"/>
          <w:szCs w:val="22"/>
        </w:rPr>
        <w:t>To provide additional opportunities for employment.</w:t>
      </w:r>
    </w:p>
    <w:p w14:paraId="6A354C47" w14:textId="77777777" w:rsidR="0085009E" w:rsidRPr="009E35ED" w:rsidRDefault="0085009E" w:rsidP="00803F8C">
      <w:pPr>
        <w:ind w:left="0"/>
        <w:rPr>
          <w:rFonts w:ascii="Arial" w:hAnsi="Arial" w:cs="Arial"/>
          <w:color w:val="000000" w:themeColor="text1"/>
          <w:sz w:val="22"/>
          <w:szCs w:val="22"/>
        </w:rPr>
      </w:pPr>
    </w:p>
    <w:p w14:paraId="72FD914A" w14:textId="718BD3A6" w:rsidR="000442F9" w:rsidRPr="009E35ED" w:rsidRDefault="000442F9" w:rsidP="000442F9">
      <w:pPr>
        <w:ind w:left="0"/>
        <w:rPr>
          <w:rFonts w:ascii="Arial" w:eastAsia="Calibri" w:hAnsi="Arial" w:cs="Arial"/>
          <w:color w:val="000000" w:themeColor="text1"/>
          <w:sz w:val="22"/>
          <w:szCs w:val="22"/>
        </w:rPr>
      </w:pPr>
      <w:r w:rsidRPr="009E35ED">
        <w:rPr>
          <w:rFonts w:ascii="Arial" w:eastAsia="Calibri" w:hAnsi="Arial" w:cs="Arial"/>
          <w:color w:val="000000" w:themeColor="text1"/>
          <w:sz w:val="22"/>
          <w:szCs w:val="22"/>
        </w:rPr>
        <w:t>STL Area of Operation refers to a specific area applied for by the AAC for STL activities, which may be provinces, or in highly urbanized or independent cities or such other territorial grouping determined by the PCSO for purposes of over-all control and supervision. For ease and convenience, STL areas for operation shall be grouped as</w:t>
      </w:r>
    </w:p>
    <w:p w14:paraId="04BBA97D" w14:textId="77777777" w:rsidR="000442F9" w:rsidRPr="009E35ED" w:rsidRDefault="000442F9" w:rsidP="000442F9">
      <w:pPr>
        <w:ind w:left="0"/>
        <w:rPr>
          <w:rFonts w:ascii="Arial" w:eastAsia="Calibri" w:hAnsi="Arial" w:cs="Arial"/>
          <w:color w:val="000000" w:themeColor="text1"/>
          <w:sz w:val="22"/>
          <w:szCs w:val="22"/>
        </w:rPr>
      </w:pPr>
      <w:r w:rsidRPr="009E35ED">
        <w:rPr>
          <w:rFonts w:ascii="Arial" w:eastAsia="Calibri" w:hAnsi="Arial" w:cs="Arial"/>
          <w:color w:val="000000" w:themeColor="text1"/>
          <w:sz w:val="22"/>
          <w:szCs w:val="22"/>
        </w:rPr>
        <w:t>follows:</w:t>
      </w:r>
    </w:p>
    <w:p w14:paraId="2E61DF93" w14:textId="77777777" w:rsidR="000442F9" w:rsidRPr="009E35ED" w:rsidRDefault="000442F9" w:rsidP="000442F9">
      <w:pPr>
        <w:ind w:left="0"/>
        <w:jc w:val="left"/>
        <w:rPr>
          <w:rFonts w:ascii="Arial" w:eastAsia="Calibri" w:hAnsi="Arial" w:cs="Arial"/>
          <w:color w:val="000000" w:themeColor="text1"/>
          <w:sz w:val="22"/>
          <w:szCs w:val="22"/>
        </w:rPr>
      </w:pPr>
    </w:p>
    <w:p w14:paraId="35F92034" w14:textId="77777777" w:rsidR="003E2A74" w:rsidRPr="009E35ED" w:rsidRDefault="000442F9" w:rsidP="00397E5C">
      <w:pPr>
        <w:pStyle w:val="ListParagraph"/>
        <w:numPr>
          <w:ilvl w:val="0"/>
          <w:numId w:val="37"/>
        </w:numPr>
        <w:jc w:val="left"/>
        <w:rPr>
          <w:rFonts w:ascii="Arial" w:eastAsia="Calibri" w:hAnsi="Arial" w:cs="Arial"/>
          <w:color w:val="000000" w:themeColor="text1"/>
          <w:sz w:val="22"/>
          <w:szCs w:val="22"/>
        </w:rPr>
      </w:pPr>
      <w:r w:rsidRPr="009E35ED">
        <w:rPr>
          <w:rFonts w:ascii="Arial" w:eastAsia="Calibri" w:hAnsi="Arial" w:cs="Arial"/>
          <w:color w:val="000000" w:themeColor="text1"/>
          <w:sz w:val="22"/>
          <w:szCs w:val="22"/>
        </w:rPr>
        <w:t>Northern and Central Luzon Region (NCL);</w:t>
      </w:r>
    </w:p>
    <w:p w14:paraId="407E5C81" w14:textId="77777777" w:rsidR="003E2A74" w:rsidRPr="009E35ED" w:rsidRDefault="000442F9" w:rsidP="00397E5C">
      <w:pPr>
        <w:pStyle w:val="ListParagraph"/>
        <w:numPr>
          <w:ilvl w:val="0"/>
          <w:numId w:val="37"/>
        </w:numPr>
        <w:jc w:val="left"/>
        <w:rPr>
          <w:rFonts w:ascii="Arial" w:eastAsia="Calibri" w:hAnsi="Arial" w:cs="Arial"/>
          <w:color w:val="000000" w:themeColor="text1"/>
          <w:sz w:val="22"/>
          <w:szCs w:val="22"/>
        </w:rPr>
      </w:pPr>
      <w:r w:rsidRPr="009E35ED">
        <w:rPr>
          <w:rFonts w:ascii="Arial" w:eastAsia="Calibri" w:hAnsi="Arial" w:cs="Arial"/>
          <w:color w:val="000000" w:themeColor="text1"/>
          <w:sz w:val="22"/>
          <w:szCs w:val="22"/>
        </w:rPr>
        <w:t>Southern Tagalog and Bicol Region (STBR);</w:t>
      </w:r>
    </w:p>
    <w:p w14:paraId="18966B82" w14:textId="77777777" w:rsidR="003E2A74" w:rsidRPr="009E35ED" w:rsidRDefault="000442F9" w:rsidP="00397E5C">
      <w:pPr>
        <w:pStyle w:val="ListParagraph"/>
        <w:numPr>
          <w:ilvl w:val="0"/>
          <w:numId w:val="37"/>
        </w:numPr>
        <w:jc w:val="left"/>
        <w:rPr>
          <w:rFonts w:ascii="Arial" w:eastAsia="Calibri" w:hAnsi="Arial" w:cs="Arial"/>
          <w:color w:val="000000" w:themeColor="text1"/>
          <w:sz w:val="22"/>
          <w:szCs w:val="22"/>
        </w:rPr>
      </w:pPr>
      <w:r w:rsidRPr="009E35ED">
        <w:rPr>
          <w:rFonts w:ascii="Arial" w:eastAsia="Calibri" w:hAnsi="Arial" w:cs="Arial"/>
          <w:color w:val="000000" w:themeColor="text1"/>
          <w:sz w:val="22"/>
          <w:szCs w:val="22"/>
        </w:rPr>
        <w:t>Visayas Region (Vis)</w:t>
      </w:r>
      <w:r w:rsidR="003E2A74" w:rsidRPr="009E35ED">
        <w:rPr>
          <w:rFonts w:ascii="Arial" w:eastAsia="Calibri" w:hAnsi="Arial" w:cs="Arial"/>
          <w:color w:val="000000" w:themeColor="text1"/>
          <w:sz w:val="22"/>
          <w:szCs w:val="22"/>
        </w:rPr>
        <w:t>;</w:t>
      </w:r>
    </w:p>
    <w:p w14:paraId="2AD33C01" w14:textId="77777777" w:rsidR="003E2A74" w:rsidRPr="009E35ED" w:rsidRDefault="000442F9" w:rsidP="00397E5C">
      <w:pPr>
        <w:pStyle w:val="ListParagraph"/>
        <w:numPr>
          <w:ilvl w:val="0"/>
          <w:numId w:val="37"/>
        </w:numPr>
        <w:jc w:val="left"/>
        <w:rPr>
          <w:rFonts w:ascii="Arial" w:eastAsia="Calibri" w:hAnsi="Arial" w:cs="Arial"/>
          <w:color w:val="000000" w:themeColor="text1"/>
          <w:sz w:val="22"/>
          <w:szCs w:val="22"/>
        </w:rPr>
      </w:pPr>
      <w:r w:rsidRPr="009E35ED">
        <w:rPr>
          <w:rFonts w:ascii="Arial" w:eastAsia="Calibri" w:hAnsi="Arial" w:cs="Arial"/>
          <w:color w:val="000000" w:themeColor="text1"/>
          <w:sz w:val="22"/>
          <w:szCs w:val="22"/>
        </w:rPr>
        <w:t>Mindanao Region (Min); and</w:t>
      </w:r>
    </w:p>
    <w:p w14:paraId="2C6991B7" w14:textId="04FDEB8D" w:rsidR="000442F9" w:rsidRPr="009E35ED" w:rsidRDefault="000442F9" w:rsidP="00397E5C">
      <w:pPr>
        <w:pStyle w:val="ListParagraph"/>
        <w:numPr>
          <w:ilvl w:val="0"/>
          <w:numId w:val="37"/>
        </w:numPr>
        <w:jc w:val="left"/>
        <w:rPr>
          <w:rFonts w:ascii="Arial" w:eastAsia="Calibri" w:hAnsi="Arial" w:cs="Arial"/>
          <w:color w:val="000000" w:themeColor="text1"/>
          <w:sz w:val="22"/>
          <w:szCs w:val="22"/>
        </w:rPr>
      </w:pPr>
      <w:r w:rsidRPr="009E35ED">
        <w:rPr>
          <w:rFonts w:ascii="Arial" w:eastAsia="Calibri" w:hAnsi="Arial" w:cs="Arial"/>
          <w:color w:val="000000" w:themeColor="text1"/>
          <w:sz w:val="22"/>
          <w:szCs w:val="22"/>
        </w:rPr>
        <w:t>National Capital Region (NCR) or the cities/municipalit</w:t>
      </w:r>
      <w:r w:rsidR="003E2A74" w:rsidRPr="009E35ED">
        <w:rPr>
          <w:rFonts w:ascii="Arial" w:eastAsia="Calibri" w:hAnsi="Arial" w:cs="Arial"/>
          <w:color w:val="000000" w:themeColor="text1"/>
          <w:sz w:val="22"/>
          <w:szCs w:val="22"/>
        </w:rPr>
        <w:t>y</w:t>
      </w:r>
      <w:r w:rsidRPr="009E35ED">
        <w:rPr>
          <w:rFonts w:ascii="Arial" w:eastAsia="Calibri" w:hAnsi="Arial" w:cs="Arial"/>
          <w:color w:val="000000" w:themeColor="text1"/>
          <w:sz w:val="22"/>
          <w:szCs w:val="22"/>
        </w:rPr>
        <w:t xml:space="preserve"> within Metro</w:t>
      </w:r>
      <w:r w:rsidR="003E2A74" w:rsidRPr="009E35ED">
        <w:rPr>
          <w:rFonts w:ascii="Arial" w:eastAsia="Calibri" w:hAnsi="Arial" w:cs="Arial"/>
          <w:color w:val="000000" w:themeColor="text1"/>
          <w:sz w:val="22"/>
          <w:szCs w:val="22"/>
        </w:rPr>
        <w:t xml:space="preserve"> </w:t>
      </w:r>
      <w:r w:rsidRPr="009E35ED">
        <w:rPr>
          <w:rFonts w:ascii="Arial" w:eastAsia="Calibri" w:hAnsi="Arial" w:cs="Arial"/>
          <w:color w:val="000000" w:themeColor="text1"/>
          <w:sz w:val="22"/>
          <w:szCs w:val="22"/>
        </w:rPr>
        <w:t>Manila.</w:t>
      </w:r>
    </w:p>
    <w:p w14:paraId="26B6974C" w14:textId="0A501F14" w:rsidR="009410C2" w:rsidRPr="009E35ED" w:rsidRDefault="009410C2" w:rsidP="000442F9">
      <w:pPr>
        <w:ind w:left="0"/>
        <w:jc w:val="left"/>
        <w:rPr>
          <w:rFonts w:ascii="Arial" w:eastAsia="Calibri" w:hAnsi="Arial" w:cs="Arial"/>
          <w:color w:val="000000" w:themeColor="text1"/>
          <w:sz w:val="22"/>
          <w:szCs w:val="22"/>
        </w:rPr>
      </w:pPr>
    </w:p>
    <w:p w14:paraId="71CB8F53" w14:textId="2A112E77" w:rsidR="0085009E" w:rsidRPr="009E35ED" w:rsidRDefault="00D05D22" w:rsidP="00803F8C">
      <w:pPr>
        <w:suppressAutoHyphens/>
        <w:ind w:left="0"/>
        <w:rPr>
          <w:rFonts w:ascii="Arial" w:hAnsi="Arial" w:cs="Arial"/>
          <w:bCs/>
          <w:color w:val="000000" w:themeColor="text1"/>
          <w:sz w:val="22"/>
          <w:szCs w:val="22"/>
          <w:lang w:eastAsia="ar-SA"/>
        </w:rPr>
      </w:pPr>
      <w:r w:rsidRPr="009E35ED">
        <w:rPr>
          <w:rFonts w:ascii="Arial" w:hAnsi="Arial" w:cs="Arial"/>
          <w:bCs/>
          <w:color w:val="000000" w:themeColor="text1"/>
          <w:sz w:val="22"/>
          <w:szCs w:val="22"/>
          <w:lang w:eastAsia="ar-SA"/>
        </w:rPr>
        <w:t>For calendar year</w:t>
      </w:r>
      <w:r w:rsidR="0085009E" w:rsidRPr="009E35ED">
        <w:rPr>
          <w:rFonts w:ascii="Arial" w:hAnsi="Arial" w:cs="Arial"/>
          <w:bCs/>
          <w:color w:val="000000" w:themeColor="text1"/>
          <w:sz w:val="22"/>
          <w:szCs w:val="22"/>
          <w:lang w:eastAsia="ar-SA"/>
        </w:rPr>
        <w:t xml:space="preserve"> 20</w:t>
      </w:r>
      <w:r w:rsidR="002D003C" w:rsidRPr="009E35ED">
        <w:rPr>
          <w:rFonts w:ascii="Arial" w:hAnsi="Arial" w:cs="Arial"/>
          <w:bCs/>
          <w:color w:val="000000" w:themeColor="text1"/>
          <w:sz w:val="22"/>
          <w:szCs w:val="22"/>
          <w:lang w:eastAsia="ar-SA"/>
        </w:rPr>
        <w:t>2</w:t>
      </w:r>
      <w:r w:rsidR="00A02574" w:rsidRPr="009E35ED">
        <w:rPr>
          <w:rFonts w:ascii="Arial" w:hAnsi="Arial" w:cs="Arial"/>
          <w:bCs/>
          <w:color w:val="000000" w:themeColor="text1"/>
          <w:sz w:val="22"/>
          <w:szCs w:val="22"/>
          <w:lang w:eastAsia="ar-SA"/>
        </w:rPr>
        <w:t>3</w:t>
      </w:r>
      <w:r w:rsidR="0085009E" w:rsidRPr="009E35ED">
        <w:rPr>
          <w:rFonts w:ascii="Arial" w:hAnsi="Arial" w:cs="Arial"/>
          <w:bCs/>
          <w:color w:val="000000" w:themeColor="text1"/>
          <w:sz w:val="22"/>
          <w:szCs w:val="22"/>
          <w:lang w:eastAsia="ar-SA"/>
        </w:rPr>
        <w:t xml:space="preserve">, there were </w:t>
      </w:r>
      <w:r w:rsidR="00F372AB" w:rsidRPr="009E35ED">
        <w:rPr>
          <w:rFonts w:ascii="Arial" w:hAnsi="Arial" w:cs="Arial"/>
          <w:bCs/>
          <w:color w:val="000000" w:themeColor="text1"/>
          <w:sz w:val="22"/>
          <w:szCs w:val="22"/>
          <w:lang w:eastAsia="ar-SA"/>
        </w:rPr>
        <w:t>110</w:t>
      </w:r>
      <w:r w:rsidR="0085009E" w:rsidRPr="009E35ED">
        <w:rPr>
          <w:rFonts w:ascii="Arial" w:hAnsi="Arial" w:cs="Arial"/>
          <w:bCs/>
          <w:color w:val="000000" w:themeColor="text1"/>
          <w:sz w:val="22"/>
          <w:szCs w:val="22"/>
          <w:lang w:eastAsia="ar-SA"/>
        </w:rPr>
        <w:t xml:space="preserve"> STL AAC</w:t>
      </w:r>
      <w:r w:rsidR="00F6182B">
        <w:rPr>
          <w:rFonts w:ascii="Arial" w:hAnsi="Arial" w:cs="Arial"/>
          <w:bCs/>
          <w:color w:val="000000" w:themeColor="text1"/>
          <w:sz w:val="22"/>
          <w:szCs w:val="22"/>
          <w:lang w:eastAsia="ar-SA"/>
        </w:rPr>
        <w:t>s</w:t>
      </w:r>
      <w:r w:rsidR="0085009E" w:rsidRPr="009E35ED">
        <w:rPr>
          <w:rFonts w:ascii="Arial" w:hAnsi="Arial" w:cs="Arial"/>
          <w:bCs/>
          <w:color w:val="000000" w:themeColor="text1"/>
          <w:sz w:val="22"/>
          <w:szCs w:val="22"/>
          <w:lang w:eastAsia="ar-SA"/>
        </w:rPr>
        <w:t xml:space="preserve"> </w:t>
      </w:r>
      <w:r w:rsidRPr="009E35ED">
        <w:rPr>
          <w:rFonts w:ascii="Arial" w:hAnsi="Arial" w:cs="Arial"/>
          <w:bCs/>
          <w:color w:val="000000" w:themeColor="text1"/>
          <w:sz w:val="22"/>
          <w:szCs w:val="22"/>
          <w:lang w:eastAsia="ar-SA"/>
        </w:rPr>
        <w:t xml:space="preserve">that </w:t>
      </w:r>
      <w:r w:rsidR="004C4C50">
        <w:rPr>
          <w:rFonts w:ascii="Arial" w:hAnsi="Arial" w:cs="Arial"/>
          <w:bCs/>
          <w:color w:val="000000" w:themeColor="text1"/>
          <w:sz w:val="22"/>
          <w:szCs w:val="22"/>
          <w:lang w:eastAsia="ar-SA"/>
        </w:rPr>
        <w:t>had</w:t>
      </w:r>
      <w:r w:rsidR="004C4C50" w:rsidRPr="009E35ED">
        <w:rPr>
          <w:rFonts w:ascii="Arial" w:hAnsi="Arial" w:cs="Arial"/>
          <w:bCs/>
          <w:color w:val="000000" w:themeColor="text1"/>
          <w:sz w:val="22"/>
          <w:szCs w:val="22"/>
          <w:lang w:eastAsia="ar-SA"/>
        </w:rPr>
        <w:t xml:space="preserve"> </w:t>
      </w:r>
      <w:r w:rsidRPr="009E35ED">
        <w:rPr>
          <w:rFonts w:ascii="Arial" w:hAnsi="Arial" w:cs="Arial"/>
          <w:bCs/>
          <w:color w:val="000000" w:themeColor="text1"/>
          <w:sz w:val="22"/>
          <w:szCs w:val="22"/>
          <w:lang w:eastAsia="ar-SA"/>
        </w:rPr>
        <w:t xml:space="preserve">operated </w:t>
      </w:r>
      <w:r w:rsidR="0085009E" w:rsidRPr="009E35ED">
        <w:rPr>
          <w:rFonts w:ascii="Arial" w:hAnsi="Arial" w:cs="Arial"/>
          <w:bCs/>
          <w:color w:val="000000" w:themeColor="text1"/>
          <w:sz w:val="22"/>
          <w:szCs w:val="22"/>
          <w:lang w:eastAsia="ar-SA"/>
        </w:rPr>
        <w:t>nationwide:</w:t>
      </w:r>
    </w:p>
    <w:p w14:paraId="294661B5" w14:textId="77777777" w:rsidR="006F7979" w:rsidRPr="009E35ED" w:rsidRDefault="006F7979" w:rsidP="00803F8C">
      <w:pPr>
        <w:suppressAutoHyphens/>
        <w:ind w:left="0"/>
        <w:rPr>
          <w:rFonts w:ascii="Arial" w:hAnsi="Arial" w:cs="Arial"/>
          <w:bCs/>
          <w:color w:val="000000" w:themeColor="text1"/>
          <w:sz w:val="22"/>
          <w:szCs w:val="22"/>
          <w:lang w:eastAsia="ar-SA"/>
        </w:rPr>
      </w:pPr>
    </w:p>
    <w:tbl>
      <w:tblPr>
        <w:tblStyle w:val="TableGrid"/>
        <w:tblW w:w="86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41"/>
        <w:gridCol w:w="3599"/>
      </w:tblGrid>
      <w:tr w:rsidR="00997F75" w:rsidRPr="009E35ED" w14:paraId="6FE4C9CE" w14:textId="77777777" w:rsidTr="00D043CC">
        <w:trPr>
          <w:trHeight w:val="265"/>
        </w:trPr>
        <w:tc>
          <w:tcPr>
            <w:tcW w:w="5041" w:type="dxa"/>
            <w:tcBorders>
              <w:top w:val="single" w:sz="4" w:space="0" w:color="auto"/>
            </w:tcBorders>
          </w:tcPr>
          <w:p w14:paraId="0C1F2EA7" w14:textId="77777777" w:rsidR="006F7979" w:rsidRPr="009E35ED" w:rsidRDefault="006F7979" w:rsidP="00803F8C">
            <w:pPr>
              <w:pStyle w:val="ListParagraph"/>
              <w:suppressAutoHyphens/>
              <w:ind w:left="0" w:hanging="110"/>
              <w:rPr>
                <w:rFonts w:ascii="Arial" w:hAnsi="Arial" w:cs="Arial"/>
                <w:bCs/>
                <w:color w:val="000000" w:themeColor="text1"/>
                <w:sz w:val="20"/>
                <w:szCs w:val="20"/>
                <w:lang w:eastAsia="ar-SA"/>
              </w:rPr>
            </w:pPr>
            <w:r w:rsidRPr="009E35ED">
              <w:rPr>
                <w:rFonts w:ascii="Arial" w:hAnsi="Arial" w:cs="Arial"/>
                <w:bCs/>
                <w:color w:val="000000" w:themeColor="text1"/>
                <w:sz w:val="20"/>
                <w:szCs w:val="20"/>
                <w:lang w:eastAsia="ar-SA"/>
              </w:rPr>
              <w:t>National Capital Region</w:t>
            </w:r>
          </w:p>
        </w:tc>
        <w:tc>
          <w:tcPr>
            <w:tcW w:w="3599" w:type="dxa"/>
            <w:tcBorders>
              <w:top w:val="single" w:sz="4" w:space="0" w:color="auto"/>
            </w:tcBorders>
          </w:tcPr>
          <w:p w14:paraId="234D849A" w14:textId="1A5410A3" w:rsidR="006F7979" w:rsidRPr="009E35ED" w:rsidRDefault="006F7979" w:rsidP="00D043CC">
            <w:pPr>
              <w:pStyle w:val="ListParagraph"/>
              <w:suppressAutoHyphens/>
              <w:ind w:left="0" w:right="-108" w:hanging="110"/>
              <w:jc w:val="right"/>
              <w:rPr>
                <w:rFonts w:ascii="Arial" w:hAnsi="Arial" w:cs="Arial"/>
                <w:bCs/>
                <w:color w:val="000000" w:themeColor="text1"/>
                <w:sz w:val="20"/>
                <w:szCs w:val="20"/>
                <w:lang w:eastAsia="ar-SA"/>
              </w:rPr>
            </w:pPr>
            <w:r w:rsidRPr="009E35ED">
              <w:rPr>
                <w:rFonts w:ascii="Arial" w:hAnsi="Arial" w:cs="Arial"/>
                <w:bCs/>
                <w:color w:val="000000" w:themeColor="text1"/>
                <w:sz w:val="20"/>
                <w:szCs w:val="20"/>
                <w:lang w:eastAsia="ar-SA"/>
              </w:rPr>
              <w:t xml:space="preserve">  </w:t>
            </w:r>
            <w:r w:rsidR="00A02574" w:rsidRPr="009E35ED">
              <w:rPr>
                <w:rFonts w:ascii="Arial" w:hAnsi="Arial" w:cs="Arial"/>
                <w:bCs/>
                <w:color w:val="000000" w:themeColor="text1"/>
                <w:sz w:val="20"/>
                <w:szCs w:val="20"/>
                <w:lang w:eastAsia="ar-SA"/>
              </w:rPr>
              <w:t>10</w:t>
            </w:r>
          </w:p>
        </w:tc>
      </w:tr>
      <w:tr w:rsidR="00997F75" w:rsidRPr="009E35ED" w14:paraId="3B572B62" w14:textId="77777777" w:rsidTr="00D043CC">
        <w:trPr>
          <w:trHeight w:val="265"/>
        </w:trPr>
        <w:tc>
          <w:tcPr>
            <w:tcW w:w="5041" w:type="dxa"/>
          </w:tcPr>
          <w:p w14:paraId="371ED714" w14:textId="77777777" w:rsidR="006F7979" w:rsidRPr="009E35ED" w:rsidRDefault="006F7979" w:rsidP="00803F8C">
            <w:pPr>
              <w:pStyle w:val="ListParagraph"/>
              <w:suppressAutoHyphens/>
              <w:ind w:left="0" w:hanging="110"/>
              <w:rPr>
                <w:rFonts w:ascii="Arial" w:hAnsi="Arial" w:cs="Arial"/>
                <w:bCs/>
                <w:color w:val="000000" w:themeColor="text1"/>
                <w:sz w:val="20"/>
                <w:szCs w:val="20"/>
                <w:lang w:eastAsia="ar-SA"/>
              </w:rPr>
            </w:pPr>
            <w:r w:rsidRPr="009E35ED">
              <w:rPr>
                <w:rFonts w:ascii="Arial" w:hAnsi="Arial" w:cs="Arial"/>
                <w:bCs/>
                <w:color w:val="000000" w:themeColor="text1"/>
                <w:sz w:val="20"/>
                <w:szCs w:val="20"/>
                <w:lang w:eastAsia="ar-SA"/>
              </w:rPr>
              <w:t>Northern and Central Luzon</w:t>
            </w:r>
          </w:p>
        </w:tc>
        <w:tc>
          <w:tcPr>
            <w:tcW w:w="3599" w:type="dxa"/>
          </w:tcPr>
          <w:p w14:paraId="352DDBD4" w14:textId="3FE77923" w:rsidR="006F7979" w:rsidRPr="009E35ED" w:rsidRDefault="00F372AB" w:rsidP="00D043CC">
            <w:pPr>
              <w:pStyle w:val="ListParagraph"/>
              <w:suppressAutoHyphens/>
              <w:ind w:left="0" w:right="-108" w:hanging="110"/>
              <w:jc w:val="right"/>
              <w:rPr>
                <w:rFonts w:ascii="Arial" w:hAnsi="Arial" w:cs="Arial"/>
                <w:bCs/>
                <w:color w:val="000000" w:themeColor="text1"/>
                <w:sz w:val="20"/>
                <w:szCs w:val="20"/>
                <w:lang w:eastAsia="ar-SA"/>
              </w:rPr>
            </w:pPr>
            <w:r w:rsidRPr="009E35ED">
              <w:rPr>
                <w:rFonts w:ascii="Arial" w:hAnsi="Arial" w:cs="Arial"/>
                <w:bCs/>
                <w:color w:val="000000" w:themeColor="text1"/>
                <w:sz w:val="20"/>
                <w:szCs w:val="20"/>
                <w:lang w:eastAsia="ar-SA"/>
              </w:rPr>
              <w:t>26</w:t>
            </w:r>
          </w:p>
        </w:tc>
      </w:tr>
      <w:tr w:rsidR="00997F75" w:rsidRPr="009E35ED" w14:paraId="3D5EE230" w14:textId="77777777" w:rsidTr="00D043CC">
        <w:trPr>
          <w:trHeight w:val="265"/>
        </w:trPr>
        <w:tc>
          <w:tcPr>
            <w:tcW w:w="5041" w:type="dxa"/>
          </w:tcPr>
          <w:p w14:paraId="1A282080" w14:textId="77777777" w:rsidR="006F7979" w:rsidRPr="009E35ED" w:rsidRDefault="006F7979" w:rsidP="00803F8C">
            <w:pPr>
              <w:pStyle w:val="ListParagraph"/>
              <w:suppressAutoHyphens/>
              <w:ind w:left="0" w:hanging="110"/>
              <w:rPr>
                <w:rFonts w:ascii="Arial" w:hAnsi="Arial" w:cs="Arial"/>
                <w:bCs/>
                <w:color w:val="000000" w:themeColor="text1"/>
                <w:sz w:val="20"/>
                <w:szCs w:val="20"/>
                <w:lang w:eastAsia="ar-SA"/>
              </w:rPr>
            </w:pPr>
            <w:r w:rsidRPr="009E35ED">
              <w:rPr>
                <w:rFonts w:ascii="Arial" w:hAnsi="Arial" w:cs="Arial"/>
                <w:bCs/>
                <w:color w:val="000000" w:themeColor="text1"/>
                <w:sz w:val="20"/>
                <w:szCs w:val="20"/>
                <w:lang w:eastAsia="ar-SA"/>
              </w:rPr>
              <w:t>Southern Tagalog and Bicol Region</w:t>
            </w:r>
          </w:p>
        </w:tc>
        <w:tc>
          <w:tcPr>
            <w:tcW w:w="3599" w:type="dxa"/>
          </w:tcPr>
          <w:p w14:paraId="1073966F" w14:textId="7450798C" w:rsidR="006F7979" w:rsidRPr="009E35ED" w:rsidRDefault="00F372AB" w:rsidP="00D043CC">
            <w:pPr>
              <w:pStyle w:val="ListParagraph"/>
              <w:suppressAutoHyphens/>
              <w:ind w:left="0" w:right="-108" w:hanging="110"/>
              <w:jc w:val="right"/>
              <w:rPr>
                <w:rFonts w:ascii="Arial" w:hAnsi="Arial" w:cs="Arial"/>
                <w:bCs/>
                <w:color w:val="000000" w:themeColor="text1"/>
                <w:sz w:val="20"/>
                <w:szCs w:val="20"/>
                <w:lang w:eastAsia="ar-SA"/>
              </w:rPr>
            </w:pPr>
            <w:r w:rsidRPr="009E35ED">
              <w:rPr>
                <w:rFonts w:ascii="Arial" w:hAnsi="Arial" w:cs="Arial"/>
                <w:bCs/>
                <w:color w:val="000000" w:themeColor="text1"/>
                <w:sz w:val="20"/>
                <w:szCs w:val="20"/>
                <w:lang w:eastAsia="ar-SA"/>
              </w:rPr>
              <w:t>19</w:t>
            </w:r>
          </w:p>
        </w:tc>
      </w:tr>
      <w:tr w:rsidR="00997F75" w:rsidRPr="009E35ED" w14:paraId="45B2AD9C" w14:textId="77777777" w:rsidTr="00D043CC">
        <w:trPr>
          <w:trHeight w:val="265"/>
        </w:trPr>
        <w:tc>
          <w:tcPr>
            <w:tcW w:w="5041" w:type="dxa"/>
          </w:tcPr>
          <w:p w14:paraId="7C181850" w14:textId="77777777" w:rsidR="006F7979" w:rsidRPr="009E35ED" w:rsidRDefault="006F7979" w:rsidP="00803F8C">
            <w:pPr>
              <w:pStyle w:val="ListParagraph"/>
              <w:suppressAutoHyphens/>
              <w:ind w:left="0" w:hanging="110"/>
              <w:rPr>
                <w:rFonts w:ascii="Arial" w:hAnsi="Arial" w:cs="Arial"/>
                <w:bCs/>
                <w:color w:val="000000" w:themeColor="text1"/>
                <w:sz w:val="20"/>
                <w:szCs w:val="20"/>
                <w:lang w:eastAsia="ar-SA"/>
              </w:rPr>
            </w:pPr>
            <w:r w:rsidRPr="009E35ED">
              <w:rPr>
                <w:rFonts w:ascii="Arial" w:hAnsi="Arial" w:cs="Arial"/>
                <w:bCs/>
                <w:color w:val="000000" w:themeColor="text1"/>
                <w:sz w:val="20"/>
                <w:szCs w:val="20"/>
                <w:lang w:eastAsia="ar-SA"/>
              </w:rPr>
              <w:t>Visayas Region</w:t>
            </w:r>
          </w:p>
        </w:tc>
        <w:tc>
          <w:tcPr>
            <w:tcW w:w="3599" w:type="dxa"/>
          </w:tcPr>
          <w:p w14:paraId="43699CD7" w14:textId="0C1555E2" w:rsidR="006F7979" w:rsidRPr="009E35ED" w:rsidRDefault="00F372AB" w:rsidP="00D043CC">
            <w:pPr>
              <w:pStyle w:val="ListParagraph"/>
              <w:suppressAutoHyphens/>
              <w:ind w:left="0" w:right="-108" w:hanging="110"/>
              <w:jc w:val="right"/>
              <w:rPr>
                <w:rFonts w:ascii="Arial" w:hAnsi="Arial" w:cs="Arial"/>
                <w:bCs/>
                <w:color w:val="000000" w:themeColor="text1"/>
                <w:sz w:val="20"/>
                <w:szCs w:val="20"/>
                <w:lang w:eastAsia="ar-SA"/>
              </w:rPr>
            </w:pPr>
            <w:r w:rsidRPr="009E35ED">
              <w:rPr>
                <w:rFonts w:ascii="Arial" w:hAnsi="Arial" w:cs="Arial"/>
                <w:bCs/>
                <w:color w:val="000000" w:themeColor="text1"/>
                <w:sz w:val="20"/>
                <w:szCs w:val="20"/>
                <w:lang w:eastAsia="ar-SA"/>
              </w:rPr>
              <w:t>24</w:t>
            </w:r>
          </w:p>
        </w:tc>
      </w:tr>
      <w:tr w:rsidR="00997F75" w:rsidRPr="009E35ED" w14:paraId="6E89B532" w14:textId="77777777" w:rsidTr="00D043CC">
        <w:trPr>
          <w:trHeight w:val="265"/>
        </w:trPr>
        <w:tc>
          <w:tcPr>
            <w:tcW w:w="5041" w:type="dxa"/>
            <w:tcBorders>
              <w:bottom w:val="single" w:sz="4" w:space="0" w:color="auto"/>
            </w:tcBorders>
          </w:tcPr>
          <w:p w14:paraId="72BB1AC7" w14:textId="77777777" w:rsidR="006F7979" w:rsidRPr="009E35ED" w:rsidRDefault="006F7979" w:rsidP="00803F8C">
            <w:pPr>
              <w:pStyle w:val="ListParagraph"/>
              <w:suppressAutoHyphens/>
              <w:ind w:left="0" w:hanging="110"/>
              <w:rPr>
                <w:rFonts w:ascii="Arial" w:hAnsi="Arial" w:cs="Arial"/>
                <w:bCs/>
                <w:color w:val="000000" w:themeColor="text1"/>
                <w:sz w:val="20"/>
                <w:szCs w:val="20"/>
                <w:lang w:eastAsia="ar-SA"/>
              </w:rPr>
            </w:pPr>
            <w:r w:rsidRPr="009E35ED">
              <w:rPr>
                <w:rFonts w:ascii="Arial" w:hAnsi="Arial" w:cs="Arial"/>
                <w:bCs/>
                <w:color w:val="000000" w:themeColor="text1"/>
                <w:sz w:val="20"/>
                <w:szCs w:val="20"/>
                <w:lang w:eastAsia="ar-SA"/>
              </w:rPr>
              <w:t>Mindanao Region</w:t>
            </w:r>
          </w:p>
        </w:tc>
        <w:tc>
          <w:tcPr>
            <w:tcW w:w="3599" w:type="dxa"/>
            <w:tcBorders>
              <w:bottom w:val="single" w:sz="4" w:space="0" w:color="auto"/>
            </w:tcBorders>
          </w:tcPr>
          <w:p w14:paraId="0EFF2DB8" w14:textId="65D2C280" w:rsidR="006F7979" w:rsidRPr="009E35ED" w:rsidRDefault="00F372AB" w:rsidP="00D043CC">
            <w:pPr>
              <w:pStyle w:val="ListParagraph"/>
              <w:suppressAutoHyphens/>
              <w:ind w:left="0" w:right="-108" w:hanging="110"/>
              <w:jc w:val="right"/>
              <w:rPr>
                <w:rFonts w:ascii="Arial" w:hAnsi="Arial" w:cs="Arial"/>
                <w:bCs/>
                <w:color w:val="000000" w:themeColor="text1"/>
                <w:sz w:val="20"/>
                <w:szCs w:val="20"/>
                <w:lang w:eastAsia="ar-SA"/>
              </w:rPr>
            </w:pPr>
            <w:r w:rsidRPr="009E35ED">
              <w:rPr>
                <w:rFonts w:ascii="Arial" w:hAnsi="Arial" w:cs="Arial"/>
                <w:bCs/>
                <w:color w:val="000000" w:themeColor="text1"/>
                <w:sz w:val="20"/>
                <w:szCs w:val="20"/>
                <w:lang w:eastAsia="ar-SA"/>
              </w:rPr>
              <w:t>31</w:t>
            </w:r>
          </w:p>
        </w:tc>
      </w:tr>
      <w:tr w:rsidR="00B13AC6" w:rsidRPr="009E35ED" w14:paraId="6EFCA326" w14:textId="77777777" w:rsidTr="00D043CC">
        <w:trPr>
          <w:trHeight w:val="246"/>
        </w:trPr>
        <w:tc>
          <w:tcPr>
            <w:tcW w:w="5041" w:type="dxa"/>
            <w:tcBorders>
              <w:top w:val="single" w:sz="4" w:space="0" w:color="auto"/>
              <w:bottom w:val="double" w:sz="4" w:space="0" w:color="auto"/>
            </w:tcBorders>
          </w:tcPr>
          <w:p w14:paraId="33F938B3" w14:textId="77777777" w:rsidR="00B13AC6" w:rsidRPr="009E35ED" w:rsidRDefault="00B13AC6" w:rsidP="00803F8C">
            <w:pPr>
              <w:pStyle w:val="ListParagraph"/>
              <w:suppressAutoHyphens/>
              <w:ind w:left="0" w:hanging="110"/>
              <w:rPr>
                <w:rFonts w:ascii="Arial" w:hAnsi="Arial" w:cs="Arial"/>
                <w:b/>
                <w:color w:val="000000" w:themeColor="text1"/>
                <w:sz w:val="20"/>
                <w:szCs w:val="20"/>
                <w:lang w:eastAsia="ar-SA"/>
              </w:rPr>
            </w:pPr>
            <w:r w:rsidRPr="009E35ED">
              <w:rPr>
                <w:rFonts w:ascii="Arial" w:hAnsi="Arial" w:cs="Arial"/>
                <w:b/>
                <w:color w:val="000000" w:themeColor="text1"/>
                <w:sz w:val="20"/>
                <w:szCs w:val="20"/>
                <w:lang w:eastAsia="ar-SA"/>
              </w:rPr>
              <w:t>Total</w:t>
            </w:r>
          </w:p>
        </w:tc>
        <w:tc>
          <w:tcPr>
            <w:tcW w:w="3599" w:type="dxa"/>
            <w:tcBorders>
              <w:top w:val="single" w:sz="4" w:space="0" w:color="auto"/>
              <w:bottom w:val="double" w:sz="4" w:space="0" w:color="auto"/>
            </w:tcBorders>
          </w:tcPr>
          <w:p w14:paraId="7B00F67A" w14:textId="0E867C5C" w:rsidR="00B13AC6" w:rsidRPr="009E35ED" w:rsidRDefault="00F372AB" w:rsidP="00D043CC">
            <w:pPr>
              <w:pStyle w:val="ListParagraph"/>
              <w:suppressAutoHyphens/>
              <w:ind w:left="0" w:right="-108" w:hanging="110"/>
              <w:jc w:val="right"/>
              <w:rPr>
                <w:rFonts w:ascii="Arial" w:hAnsi="Arial" w:cs="Arial"/>
                <w:b/>
                <w:color w:val="000000" w:themeColor="text1"/>
                <w:sz w:val="20"/>
                <w:szCs w:val="20"/>
                <w:lang w:eastAsia="ar-SA"/>
              </w:rPr>
            </w:pPr>
            <w:r w:rsidRPr="009E35ED">
              <w:rPr>
                <w:rFonts w:ascii="Arial" w:hAnsi="Arial" w:cs="Arial"/>
                <w:b/>
                <w:color w:val="000000" w:themeColor="text1"/>
                <w:sz w:val="20"/>
                <w:szCs w:val="20"/>
                <w:lang w:eastAsia="ar-SA"/>
              </w:rPr>
              <w:t>110</w:t>
            </w:r>
          </w:p>
        </w:tc>
      </w:tr>
    </w:tbl>
    <w:p w14:paraId="6D0BDA52" w14:textId="77777777" w:rsidR="002A08C6" w:rsidRPr="009E35ED" w:rsidRDefault="002A08C6" w:rsidP="00803F8C">
      <w:pPr>
        <w:ind w:left="0"/>
        <w:rPr>
          <w:rFonts w:ascii="Arial" w:hAnsi="Arial" w:cs="Arial"/>
          <w:iCs/>
          <w:color w:val="000000" w:themeColor="text1"/>
          <w:sz w:val="22"/>
          <w:szCs w:val="22"/>
        </w:rPr>
      </w:pPr>
    </w:p>
    <w:p w14:paraId="7AC35CD1" w14:textId="2C3DD8AD" w:rsidR="0085009E" w:rsidRPr="009E35ED" w:rsidRDefault="0085009E" w:rsidP="00803F8C">
      <w:pPr>
        <w:ind w:left="0"/>
        <w:rPr>
          <w:rFonts w:ascii="Arial" w:hAnsi="Arial" w:cs="Arial"/>
          <w:color w:val="000000" w:themeColor="text1"/>
          <w:sz w:val="22"/>
          <w:szCs w:val="22"/>
        </w:rPr>
      </w:pPr>
      <w:r w:rsidRPr="009E35ED">
        <w:rPr>
          <w:rFonts w:ascii="Arial" w:hAnsi="Arial" w:cs="Arial"/>
          <w:color w:val="000000" w:themeColor="text1"/>
          <w:sz w:val="22"/>
          <w:szCs w:val="22"/>
        </w:rPr>
        <w:t>STL Games</w:t>
      </w:r>
      <w:r w:rsidR="00B13AC6" w:rsidRPr="009E35ED">
        <w:rPr>
          <w:rFonts w:ascii="Arial" w:hAnsi="Arial" w:cs="Arial"/>
          <w:color w:val="000000" w:themeColor="text1"/>
          <w:sz w:val="22"/>
          <w:szCs w:val="22"/>
        </w:rPr>
        <w:t xml:space="preserve"> are as follows:</w:t>
      </w:r>
    </w:p>
    <w:p w14:paraId="33CCC6D2" w14:textId="77777777" w:rsidR="00B13AC6" w:rsidRPr="009E35ED" w:rsidRDefault="00B13AC6" w:rsidP="00803F8C">
      <w:pPr>
        <w:ind w:left="0"/>
        <w:rPr>
          <w:rFonts w:ascii="Arial" w:hAnsi="Arial" w:cs="Arial"/>
          <w:color w:val="000000" w:themeColor="text1"/>
          <w:sz w:val="22"/>
          <w:szCs w:val="22"/>
        </w:rPr>
      </w:pPr>
    </w:p>
    <w:tbl>
      <w:tblPr>
        <w:tblStyle w:val="TableGrid"/>
        <w:tblW w:w="86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00"/>
        <w:gridCol w:w="990"/>
        <w:gridCol w:w="4500"/>
        <w:gridCol w:w="2250"/>
      </w:tblGrid>
      <w:tr w:rsidR="00997F75" w:rsidRPr="009E35ED" w14:paraId="1DED5E13" w14:textId="77777777" w:rsidTr="00D043CC">
        <w:trPr>
          <w:trHeight w:val="80"/>
        </w:trPr>
        <w:tc>
          <w:tcPr>
            <w:tcW w:w="900" w:type="dxa"/>
            <w:tcBorders>
              <w:top w:val="single" w:sz="4" w:space="0" w:color="auto"/>
              <w:bottom w:val="single" w:sz="4" w:space="0" w:color="auto"/>
            </w:tcBorders>
          </w:tcPr>
          <w:p w14:paraId="51F43ABC" w14:textId="77777777" w:rsidR="0085009E" w:rsidRPr="009E35ED" w:rsidRDefault="0085009E" w:rsidP="003C0D93">
            <w:pPr>
              <w:pStyle w:val="NormalWeb"/>
              <w:spacing w:before="0" w:beforeAutospacing="0" w:after="0" w:afterAutospacing="0"/>
              <w:ind w:left="-108"/>
              <w:jc w:val="left"/>
              <w:rPr>
                <w:rFonts w:ascii="Arial" w:hAnsi="Arial" w:cs="Arial"/>
                <w:b/>
                <w:bCs/>
                <w:color w:val="000000" w:themeColor="text1"/>
                <w:sz w:val="20"/>
                <w:szCs w:val="20"/>
                <w:lang w:eastAsia="ar-SA"/>
              </w:rPr>
            </w:pPr>
            <w:r w:rsidRPr="009E35ED">
              <w:rPr>
                <w:rFonts w:ascii="Arial" w:hAnsi="Arial" w:cs="Arial"/>
                <w:b/>
                <w:bCs/>
                <w:color w:val="000000" w:themeColor="text1"/>
                <w:sz w:val="20"/>
                <w:szCs w:val="20"/>
                <w:lang w:eastAsia="ar-SA"/>
              </w:rPr>
              <w:t>Name</w:t>
            </w:r>
          </w:p>
        </w:tc>
        <w:tc>
          <w:tcPr>
            <w:tcW w:w="990" w:type="dxa"/>
            <w:tcBorders>
              <w:top w:val="single" w:sz="4" w:space="0" w:color="auto"/>
              <w:bottom w:val="single" w:sz="4" w:space="0" w:color="auto"/>
            </w:tcBorders>
          </w:tcPr>
          <w:p w14:paraId="217E0CF9" w14:textId="77777777" w:rsidR="0085009E" w:rsidRPr="009E35ED" w:rsidRDefault="0085009E" w:rsidP="00803F8C">
            <w:pPr>
              <w:pStyle w:val="NormalWeb"/>
              <w:spacing w:before="0" w:beforeAutospacing="0" w:after="0" w:afterAutospacing="0"/>
              <w:ind w:left="0"/>
              <w:jc w:val="center"/>
              <w:rPr>
                <w:rFonts w:ascii="Arial" w:hAnsi="Arial" w:cs="Arial"/>
                <w:b/>
                <w:bCs/>
                <w:color w:val="000000" w:themeColor="text1"/>
                <w:sz w:val="20"/>
                <w:szCs w:val="20"/>
                <w:lang w:eastAsia="ar-SA"/>
              </w:rPr>
            </w:pPr>
            <w:r w:rsidRPr="009E35ED">
              <w:rPr>
                <w:rFonts w:ascii="Arial" w:hAnsi="Arial" w:cs="Arial"/>
                <w:b/>
                <w:bCs/>
                <w:color w:val="000000" w:themeColor="text1"/>
                <w:sz w:val="20"/>
                <w:szCs w:val="20"/>
                <w:lang w:eastAsia="ar-SA"/>
              </w:rPr>
              <w:t>Number Range</w:t>
            </w:r>
          </w:p>
        </w:tc>
        <w:tc>
          <w:tcPr>
            <w:tcW w:w="4500" w:type="dxa"/>
            <w:tcBorders>
              <w:top w:val="single" w:sz="4" w:space="0" w:color="auto"/>
              <w:bottom w:val="single" w:sz="4" w:space="0" w:color="auto"/>
            </w:tcBorders>
          </w:tcPr>
          <w:p w14:paraId="7BC47BA7" w14:textId="77777777" w:rsidR="0085009E" w:rsidRPr="009E35ED" w:rsidRDefault="0085009E" w:rsidP="00803F8C">
            <w:pPr>
              <w:pStyle w:val="NormalWeb"/>
              <w:spacing w:before="0" w:beforeAutospacing="0" w:after="0" w:afterAutospacing="0"/>
              <w:ind w:left="0"/>
              <w:jc w:val="center"/>
              <w:rPr>
                <w:rFonts w:ascii="Arial" w:hAnsi="Arial" w:cs="Arial"/>
                <w:b/>
                <w:bCs/>
                <w:color w:val="000000" w:themeColor="text1"/>
                <w:sz w:val="20"/>
                <w:szCs w:val="20"/>
                <w:lang w:eastAsia="ar-SA"/>
              </w:rPr>
            </w:pPr>
            <w:r w:rsidRPr="009E35ED">
              <w:rPr>
                <w:rFonts w:ascii="Arial" w:hAnsi="Arial" w:cs="Arial"/>
                <w:b/>
                <w:bCs/>
                <w:color w:val="000000" w:themeColor="text1"/>
                <w:sz w:val="20"/>
                <w:szCs w:val="20"/>
                <w:lang w:eastAsia="ar-SA"/>
              </w:rPr>
              <w:t>Description</w:t>
            </w:r>
          </w:p>
        </w:tc>
        <w:tc>
          <w:tcPr>
            <w:tcW w:w="2250" w:type="dxa"/>
            <w:tcBorders>
              <w:top w:val="single" w:sz="4" w:space="0" w:color="auto"/>
              <w:bottom w:val="single" w:sz="4" w:space="0" w:color="auto"/>
            </w:tcBorders>
          </w:tcPr>
          <w:p w14:paraId="3BC8B5A5" w14:textId="77777777" w:rsidR="0085009E" w:rsidRPr="009E35ED" w:rsidRDefault="00972539" w:rsidP="009A7827">
            <w:pPr>
              <w:pStyle w:val="NormalWeb"/>
              <w:spacing w:before="0" w:beforeAutospacing="0" w:after="0" w:afterAutospacing="0"/>
              <w:ind w:left="0" w:right="-95"/>
              <w:jc w:val="right"/>
              <w:rPr>
                <w:rFonts w:ascii="Arial" w:hAnsi="Arial" w:cs="Arial"/>
                <w:b/>
                <w:bCs/>
                <w:color w:val="000000" w:themeColor="text1"/>
                <w:sz w:val="20"/>
                <w:szCs w:val="20"/>
                <w:lang w:eastAsia="ar-SA"/>
              </w:rPr>
            </w:pPr>
            <w:r w:rsidRPr="009E35ED">
              <w:rPr>
                <w:rFonts w:ascii="Arial" w:hAnsi="Arial" w:cs="Arial"/>
                <w:b/>
                <w:bCs/>
                <w:color w:val="000000" w:themeColor="text1"/>
                <w:sz w:val="20"/>
                <w:szCs w:val="20"/>
                <w:lang w:eastAsia="ar-SA"/>
              </w:rPr>
              <w:t>Bet:</w:t>
            </w:r>
            <w:r w:rsidR="0085009E" w:rsidRPr="009E35ED">
              <w:rPr>
                <w:rFonts w:ascii="Arial" w:hAnsi="Arial" w:cs="Arial"/>
                <w:b/>
                <w:bCs/>
                <w:color w:val="000000" w:themeColor="text1"/>
                <w:sz w:val="20"/>
                <w:szCs w:val="20"/>
                <w:lang w:eastAsia="ar-SA"/>
              </w:rPr>
              <w:t>Pay-Out</w:t>
            </w:r>
          </w:p>
        </w:tc>
      </w:tr>
      <w:tr w:rsidR="00997F75" w:rsidRPr="009E35ED" w14:paraId="55CEBA8F" w14:textId="77777777" w:rsidTr="00D043CC">
        <w:trPr>
          <w:trHeight w:val="476"/>
        </w:trPr>
        <w:tc>
          <w:tcPr>
            <w:tcW w:w="900" w:type="dxa"/>
            <w:tcBorders>
              <w:top w:val="single" w:sz="4" w:space="0" w:color="auto"/>
            </w:tcBorders>
          </w:tcPr>
          <w:p w14:paraId="363EBE4B" w14:textId="77777777" w:rsidR="0085009E" w:rsidRPr="009E35ED" w:rsidRDefault="00736050" w:rsidP="00D043CC">
            <w:pPr>
              <w:pStyle w:val="NormalWeb"/>
              <w:spacing w:before="0" w:beforeAutospacing="0" w:after="0" w:afterAutospacing="0"/>
              <w:ind w:left="-108"/>
              <w:jc w:val="left"/>
              <w:rPr>
                <w:rFonts w:ascii="Arial" w:hAnsi="Arial" w:cs="Arial"/>
                <w:bCs/>
                <w:color w:val="000000" w:themeColor="text1"/>
                <w:sz w:val="20"/>
                <w:szCs w:val="20"/>
                <w:lang w:eastAsia="ar-SA"/>
              </w:rPr>
            </w:pPr>
            <w:r w:rsidRPr="009E35ED">
              <w:rPr>
                <w:rFonts w:ascii="Arial" w:hAnsi="Arial" w:cs="Arial"/>
                <w:bCs/>
                <w:color w:val="000000" w:themeColor="text1"/>
                <w:sz w:val="20"/>
                <w:szCs w:val="20"/>
                <w:lang w:eastAsia="ar-SA"/>
              </w:rPr>
              <w:t>Swer2</w:t>
            </w:r>
          </w:p>
        </w:tc>
        <w:tc>
          <w:tcPr>
            <w:tcW w:w="990" w:type="dxa"/>
            <w:tcBorders>
              <w:top w:val="single" w:sz="4" w:space="0" w:color="auto"/>
            </w:tcBorders>
          </w:tcPr>
          <w:p w14:paraId="20171059" w14:textId="77777777" w:rsidR="0085009E" w:rsidRPr="009E35ED" w:rsidRDefault="0085009E" w:rsidP="00803F8C">
            <w:pPr>
              <w:pStyle w:val="NormalWeb"/>
              <w:spacing w:before="0" w:beforeAutospacing="0" w:after="0" w:afterAutospacing="0"/>
              <w:ind w:left="0"/>
              <w:jc w:val="center"/>
              <w:rPr>
                <w:rFonts w:ascii="Arial" w:hAnsi="Arial" w:cs="Arial"/>
                <w:bCs/>
                <w:color w:val="000000" w:themeColor="text1"/>
                <w:sz w:val="20"/>
                <w:szCs w:val="20"/>
                <w:lang w:eastAsia="ar-SA"/>
              </w:rPr>
            </w:pPr>
            <w:r w:rsidRPr="009E35ED">
              <w:rPr>
                <w:rFonts w:ascii="Arial" w:hAnsi="Arial" w:cs="Arial"/>
                <w:bCs/>
                <w:color w:val="000000" w:themeColor="text1"/>
                <w:sz w:val="20"/>
                <w:szCs w:val="20"/>
                <w:lang w:eastAsia="ar-SA"/>
              </w:rPr>
              <w:t>1 – 31</w:t>
            </w:r>
          </w:p>
        </w:tc>
        <w:tc>
          <w:tcPr>
            <w:tcW w:w="4500" w:type="dxa"/>
            <w:tcBorders>
              <w:top w:val="single" w:sz="4" w:space="0" w:color="auto"/>
            </w:tcBorders>
          </w:tcPr>
          <w:p w14:paraId="2FDAFCA7" w14:textId="77777777" w:rsidR="0085009E" w:rsidRPr="009E35ED" w:rsidRDefault="0085009E" w:rsidP="00803F8C">
            <w:pPr>
              <w:pStyle w:val="NormalWeb"/>
              <w:spacing w:before="0" w:beforeAutospacing="0" w:after="0" w:afterAutospacing="0"/>
              <w:ind w:left="0"/>
              <w:rPr>
                <w:rFonts w:ascii="Arial" w:hAnsi="Arial" w:cs="Arial"/>
                <w:bCs/>
                <w:color w:val="000000" w:themeColor="text1"/>
                <w:sz w:val="20"/>
                <w:szCs w:val="20"/>
                <w:lang w:eastAsia="ar-SA"/>
              </w:rPr>
            </w:pPr>
            <w:r w:rsidRPr="009E35ED">
              <w:rPr>
                <w:rFonts w:ascii="Arial" w:hAnsi="Arial" w:cs="Arial"/>
                <w:bCs/>
                <w:color w:val="000000" w:themeColor="text1"/>
                <w:sz w:val="20"/>
                <w:szCs w:val="20"/>
                <w:lang w:eastAsia="ar-SA"/>
              </w:rPr>
              <w:t>A combination of two (2) numbers is drawn, one from each set within the number range.</w:t>
            </w:r>
          </w:p>
        </w:tc>
        <w:tc>
          <w:tcPr>
            <w:tcW w:w="2250" w:type="dxa"/>
            <w:tcBorders>
              <w:top w:val="single" w:sz="4" w:space="0" w:color="auto"/>
            </w:tcBorders>
          </w:tcPr>
          <w:p w14:paraId="7F1B4FBB" w14:textId="77777777" w:rsidR="0085009E" w:rsidRPr="009E35ED" w:rsidRDefault="0085009E" w:rsidP="009A7827">
            <w:pPr>
              <w:pStyle w:val="NormalWeb"/>
              <w:spacing w:before="0" w:beforeAutospacing="0" w:after="0" w:afterAutospacing="0"/>
              <w:ind w:left="0" w:right="-95"/>
              <w:jc w:val="right"/>
              <w:rPr>
                <w:rFonts w:ascii="Arial" w:hAnsi="Arial" w:cs="Arial"/>
                <w:bCs/>
                <w:color w:val="000000" w:themeColor="text1"/>
                <w:sz w:val="20"/>
                <w:szCs w:val="20"/>
                <w:lang w:eastAsia="ar-SA"/>
              </w:rPr>
            </w:pPr>
            <w:r w:rsidRPr="009E35ED">
              <w:rPr>
                <w:rFonts w:ascii="Arial" w:hAnsi="Arial" w:cs="Arial"/>
                <w:bCs/>
                <w:color w:val="000000" w:themeColor="text1"/>
                <w:sz w:val="20"/>
                <w:szCs w:val="20"/>
                <w:lang w:eastAsia="ar-SA"/>
              </w:rPr>
              <w:t>P1:P400</w:t>
            </w:r>
          </w:p>
        </w:tc>
      </w:tr>
      <w:tr w:rsidR="00997F75" w:rsidRPr="009E35ED" w14:paraId="1FE28827" w14:textId="77777777" w:rsidTr="00D043CC">
        <w:trPr>
          <w:trHeight w:val="504"/>
        </w:trPr>
        <w:tc>
          <w:tcPr>
            <w:tcW w:w="900" w:type="dxa"/>
          </w:tcPr>
          <w:p w14:paraId="76D7E314" w14:textId="77777777" w:rsidR="0085009E" w:rsidRPr="009E35ED" w:rsidRDefault="0085009E" w:rsidP="00D043CC">
            <w:pPr>
              <w:pStyle w:val="NormalWeb"/>
              <w:spacing w:before="0" w:beforeAutospacing="0" w:after="0" w:afterAutospacing="0"/>
              <w:ind w:left="-108"/>
              <w:jc w:val="left"/>
              <w:rPr>
                <w:rFonts w:ascii="Arial" w:hAnsi="Arial" w:cs="Arial"/>
                <w:bCs/>
                <w:color w:val="000000" w:themeColor="text1"/>
                <w:sz w:val="20"/>
                <w:szCs w:val="20"/>
                <w:lang w:eastAsia="ar-SA"/>
              </w:rPr>
            </w:pPr>
            <w:r w:rsidRPr="009E35ED">
              <w:rPr>
                <w:rFonts w:ascii="Arial" w:hAnsi="Arial" w:cs="Arial"/>
                <w:bCs/>
                <w:color w:val="000000" w:themeColor="text1"/>
                <w:sz w:val="20"/>
                <w:szCs w:val="20"/>
                <w:lang w:eastAsia="ar-SA"/>
              </w:rPr>
              <w:t>Swer3</w:t>
            </w:r>
          </w:p>
        </w:tc>
        <w:tc>
          <w:tcPr>
            <w:tcW w:w="990" w:type="dxa"/>
          </w:tcPr>
          <w:p w14:paraId="532F5C04" w14:textId="77777777" w:rsidR="0085009E" w:rsidRPr="009E35ED" w:rsidRDefault="0085009E" w:rsidP="00803F8C">
            <w:pPr>
              <w:pStyle w:val="NormalWeb"/>
              <w:spacing w:before="0" w:beforeAutospacing="0" w:after="0" w:afterAutospacing="0"/>
              <w:ind w:left="0"/>
              <w:jc w:val="center"/>
              <w:rPr>
                <w:rFonts w:ascii="Arial" w:hAnsi="Arial" w:cs="Arial"/>
                <w:bCs/>
                <w:color w:val="000000" w:themeColor="text1"/>
                <w:sz w:val="20"/>
                <w:szCs w:val="20"/>
                <w:lang w:eastAsia="ar-SA"/>
              </w:rPr>
            </w:pPr>
            <w:r w:rsidRPr="009E35ED">
              <w:rPr>
                <w:rFonts w:ascii="Arial" w:hAnsi="Arial" w:cs="Arial"/>
                <w:bCs/>
                <w:color w:val="000000" w:themeColor="text1"/>
                <w:sz w:val="20"/>
                <w:szCs w:val="20"/>
                <w:lang w:eastAsia="ar-SA"/>
              </w:rPr>
              <w:t>0 – 9</w:t>
            </w:r>
          </w:p>
        </w:tc>
        <w:tc>
          <w:tcPr>
            <w:tcW w:w="4500" w:type="dxa"/>
          </w:tcPr>
          <w:p w14:paraId="5AE9F911" w14:textId="77777777" w:rsidR="0085009E" w:rsidRPr="009E35ED" w:rsidRDefault="0085009E" w:rsidP="00803F8C">
            <w:pPr>
              <w:pStyle w:val="NormalWeb"/>
              <w:spacing w:before="0" w:beforeAutospacing="0" w:after="0" w:afterAutospacing="0"/>
              <w:ind w:left="0"/>
              <w:rPr>
                <w:rFonts w:ascii="Arial" w:hAnsi="Arial" w:cs="Arial"/>
                <w:bCs/>
                <w:color w:val="000000" w:themeColor="text1"/>
                <w:sz w:val="20"/>
                <w:szCs w:val="20"/>
                <w:lang w:eastAsia="ar-SA"/>
              </w:rPr>
            </w:pPr>
            <w:r w:rsidRPr="009E35ED">
              <w:rPr>
                <w:rFonts w:ascii="Arial" w:hAnsi="Arial" w:cs="Arial"/>
                <w:bCs/>
                <w:color w:val="000000" w:themeColor="text1"/>
                <w:sz w:val="20"/>
                <w:szCs w:val="20"/>
                <w:lang w:eastAsia="ar-SA"/>
              </w:rPr>
              <w:t>A combination of three (3) numbers is drawn, one from each set within the number range.</w:t>
            </w:r>
          </w:p>
        </w:tc>
        <w:tc>
          <w:tcPr>
            <w:tcW w:w="2250" w:type="dxa"/>
          </w:tcPr>
          <w:p w14:paraId="5D04E56E" w14:textId="77777777" w:rsidR="0085009E" w:rsidRPr="009E35ED" w:rsidRDefault="0085009E" w:rsidP="009A7827">
            <w:pPr>
              <w:pStyle w:val="NormalWeb"/>
              <w:spacing w:before="0" w:beforeAutospacing="0" w:after="0" w:afterAutospacing="0"/>
              <w:ind w:left="0" w:right="-95"/>
              <w:jc w:val="right"/>
              <w:rPr>
                <w:rFonts w:ascii="Arial" w:hAnsi="Arial" w:cs="Arial"/>
                <w:bCs/>
                <w:color w:val="000000" w:themeColor="text1"/>
                <w:sz w:val="20"/>
                <w:szCs w:val="20"/>
                <w:lang w:eastAsia="ar-SA"/>
              </w:rPr>
            </w:pPr>
            <w:r w:rsidRPr="009E35ED">
              <w:rPr>
                <w:rFonts w:ascii="Arial" w:hAnsi="Arial" w:cs="Arial"/>
                <w:bCs/>
                <w:color w:val="000000" w:themeColor="text1"/>
                <w:sz w:val="20"/>
                <w:szCs w:val="20"/>
                <w:lang w:eastAsia="ar-SA"/>
              </w:rPr>
              <w:t>P1:P450</w:t>
            </w:r>
          </w:p>
        </w:tc>
      </w:tr>
      <w:tr w:rsidR="00997F75" w:rsidRPr="009E35ED" w14:paraId="009DC0DA" w14:textId="77777777" w:rsidTr="00D043CC">
        <w:trPr>
          <w:trHeight w:val="450"/>
        </w:trPr>
        <w:tc>
          <w:tcPr>
            <w:tcW w:w="900" w:type="dxa"/>
            <w:tcBorders>
              <w:bottom w:val="single" w:sz="4" w:space="0" w:color="auto"/>
            </w:tcBorders>
          </w:tcPr>
          <w:p w14:paraId="508DF5D1" w14:textId="77777777" w:rsidR="0085009E" w:rsidRPr="009E35ED" w:rsidRDefault="0085009E" w:rsidP="00D043CC">
            <w:pPr>
              <w:pStyle w:val="NormalWeb"/>
              <w:spacing w:before="0" w:beforeAutospacing="0" w:after="0" w:afterAutospacing="0"/>
              <w:ind w:left="-108"/>
              <w:jc w:val="left"/>
              <w:rPr>
                <w:rFonts w:ascii="Arial" w:hAnsi="Arial" w:cs="Arial"/>
                <w:bCs/>
                <w:color w:val="000000" w:themeColor="text1"/>
                <w:sz w:val="20"/>
                <w:szCs w:val="20"/>
                <w:lang w:eastAsia="ar-SA"/>
              </w:rPr>
            </w:pPr>
            <w:r w:rsidRPr="009E35ED">
              <w:rPr>
                <w:rFonts w:ascii="Arial" w:hAnsi="Arial" w:cs="Arial"/>
                <w:bCs/>
                <w:color w:val="000000" w:themeColor="text1"/>
                <w:sz w:val="20"/>
                <w:szCs w:val="20"/>
                <w:lang w:eastAsia="ar-SA"/>
              </w:rPr>
              <w:t>Pares</w:t>
            </w:r>
          </w:p>
        </w:tc>
        <w:tc>
          <w:tcPr>
            <w:tcW w:w="990" w:type="dxa"/>
            <w:tcBorders>
              <w:bottom w:val="single" w:sz="4" w:space="0" w:color="auto"/>
            </w:tcBorders>
          </w:tcPr>
          <w:p w14:paraId="711C2EDC" w14:textId="77777777" w:rsidR="0085009E" w:rsidRPr="009E35ED" w:rsidRDefault="0085009E" w:rsidP="00803F8C">
            <w:pPr>
              <w:pStyle w:val="NormalWeb"/>
              <w:spacing w:before="0" w:beforeAutospacing="0" w:after="0" w:afterAutospacing="0"/>
              <w:ind w:left="0"/>
              <w:jc w:val="center"/>
              <w:rPr>
                <w:rFonts w:ascii="Arial" w:hAnsi="Arial" w:cs="Arial"/>
                <w:bCs/>
                <w:color w:val="000000" w:themeColor="text1"/>
                <w:sz w:val="20"/>
                <w:szCs w:val="20"/>
                <w:lang w:eastAsia="ar-SA"/>
              </w:rPr>
            </w:pPr>
            <w:r w:rsidRPr="009E35ED">
              <w:rPr>
                <w:rFonts w:ascii="Arial" w:hAnsi="Arial" w:cs="Arial"/>
                <w:bCs/>
                <w:color w:val="000000" w:themeColor="text1"/>
                <w:sz w:val="20"/>
                <w:szCs w:val="20"/>
                <w:lang w:eastAsia="ar-SA"/>
              </w:rPr>
              <w:t>1 – 38</w:t>
            </w:r>
          </w:p>
        </w:tc>
        <w:tc>
          <w:tcPr>
            <w:tcW w:w="4500" w:type="dxa"/>
            <w:tcBorders>
              <w:bottom w:val="single" w:sz="4" w:space="0" w:color="auto"/>
            </w:tcBorders>
          </w:tcPr>
          <w:p w14:paraId="613EA941" w14:textId="77777777" w:rsidR="0085009E" w:rsidRPr="009E35ED" w:rsidRDefault="0085009E" w:rsidP="00803F8C">
            <w:pPr>
              <w:pStyle w:val="NormalWeb"/>
              <w:spacing w:before="0" w:beforeAutospacing="0" w:after="0" w:afterAutospacing="0"/>
              <w:ind w:left="0"/>
              <w:rPr>
                <w:rFonts w:ascii="Arial" w:hAnsi="Arial" w:cs="Arial"/>
                <w:bCs/>
                <w:color w:val="000000" w:themeColor="text1"/>
                <w:sz w:val="20"/>
                <w:szCs w:val="20"/>
                <w:lang w:eastAsia="ar-SA"/>
              </w:rPr>
            </w:pPr>
            <w:r w:rsidRPr="009E35ED">
              <w:rPr>
                <w:rFonts w:ascii="Arial" w:hAnsi="Arial" w:cs="Arial"/>
                <w:bCs/>
                <w:color w:val="000000" w:themeColor="text1"/>
                <w:sz w:val="20"/>
                <w:szCs w:val="20"/>
                <w:lang w:eastAsia="ar-SA"/>
              </w:rPr>
              <w:t>A combination of two (2) numbers is drawn, one from each set within the number range.</w:t>
            </w:r>
          </w:p>
        </w:tc>
        <w:tc>
          <w:tcPr>
            <w:tcW w:w="2250" w:type="dxa"/>
            <w:tcBorders>
              <w:bottom w:val="single" w:sz="4" w:space="0" w:color="auto"/>
            </w:tcBorders>
          </w:tcPr>
          <w:p w14:paraId="3BEFFBDA" w14:textId="77777777" w:rsidR="0085009E" w:rsidRPr="009E35ED" w:rsidRDefault="0085009E" w:rsidP="009A7827">
            <w:pPr>
              <w:pStyle w:val="NormalWeb"/>
              <w:spacing w:before="0" w:beforeAutospacing="0" w:after="0" w:afterAutospacing="0"/>
              <w:ind w:left="0" w:right="-95"/>
              <w:jc w:val="right"/>
              <w:rPr>
                <w:rFonts w:ascii="Arial" w:hAnsi="Arial" w:cs="Arial"/>
                <w:bCs/>
                <w:color w:val="000000" w:themeColor="text1"/>
                <w:sz w:val="20"/>
                <w:szCs w:val="20"/>
                <w:lang w:eastAsia="ar-SA"/>
              </w:rPr>
            </w:pPr>
            <w:r w:rsidRPr="009E35ED">
              <w:rPr>
                <w:rFonts w:ascii="Arial" w:hAnsi="Arial" w:cs="Arial"/>
                <w:bCs/>
                <w:color w:val="000000" w:themeColor="text1"/>
                <w:sz w:val="20"/>
                <w:szCs w:val="20"/>
                <w:lang w:eastAsia="ar-SA"/>
              </w:rPr>
              <w:t>P1:P800</w:t>
            </w:r>
          </w:p>
        </w:tc>
      </w:tr>
      <w:tr w:rsidR="0085009E" w:rsidRPr="009E35ED" w14:paraId="6851483E" w14:textId="77777777" w:rsidTr="00D043CC">
        <w:trPr>
          <w:trHeight w:val="602"/>
        </w:trPr>
        <w:tc>
          <w:tcPr>
            <w:tcW w:w="8640" w:type="dxa"/>
            <w:gridSpan w:val="4"/>
            <w:tcBorders>
              <w:top w:val="single" w:sz="4" w:space="0" w:color="auto"/>
              <w:bottom w:val="single" w:sz="4" w:space="0" w:color="auto"/>
            </w:tcBorders>
          </w:tcPr>
          <w:p w14:paraId="3EFC18D4" w14:textId="5BAE3B77" w:rsidR="0085009E" w:rsidRPr="009E35ED" w:rsidRDefault="00972539">
            <w:pPr>
              <w:pStyle w:val="NormalWeb"/>
              <w:spacing w:before="0" w:beforeAutospacing="0" w:after="0" w:afterAutospacing="0"/>
              <w:ind w:left="-108" w:right="-95"/>
              <w:rPr>
                <w:rFonts w:ascii="Arial" w:hAnsi="Arial" w:cs="Arial"/>
                <w:bCs/>
                <w:color w:val="000000" w:themeColor="text1"/>
                <w:sz w:val="18"/>
                <w:szCs w:val="18"/>
                <w:lang w:eastAsia="ar-SA"/>
              </w:rPr>
            </w:pPr>
            <w:r w:rsidRPr="009E35ED">
              <w:rPr>
                <w:rFonts w:ascii="Arial" w:hAnsi="Arial" w:cs="Arial"/>
                <w:bCs/>
                <w:color w:val="000000" w:themeColor="text1"/>
                <w:sz w:val="18"/>
                <w:szCs w:val="18"/>
                <w:lang w:eastAsia="ar-SA"/>
              </w:rPr>
              <w:t xml:space="preserve">A player wins if his chosen combination matches that of the drawn combination in exact order. </w:t>
            </w:r>
            <w:r w:rsidR="0085009E" w:rsidRPr="009E35ED">
              <w:rPr>
                <w:rFonts w:ascii="Arial" w:hAnsi="Arial" w:cs="Arial"/>
                <w:bCs/>
                <w:color w:val="000000" w:themeColor="text1"/>
                <w:sz w:val="18"/>
                <w:szCs w:val="18"/>
                <w:lang w:eastAsia="ar-SA"/>
              </w:rPr>
              <w:t>Other variations or games with designs and features which may hereafter be requested by the AAC and authorized by PCSO Board of Directors.</w:t>
            </w:r>
          </w:p>
        </w:tc>
      </w:tr>
    </w:tbl>
    <w:p w14:paraId="2B14379C" w14:textId="223D6CE1" w:rsidR="0085009E" w:rsidRPr="009E35ED" w:rsidRDefault="0085009E" w:rsidP="00803F8C">
      <w:pPr>
        <w:ind w:left="0"/>
        <w:rPr>
          <w:rFonts w:ascii="Arial" w:hAnsi="Arial" w:cs="Arial"/>
          <w:b/>
          <w:color w:val="000000" w:themeColor="text1"/>
          <w:sz w:val="22"/>
          <w:szCs w:val="22"/>
        </w:rPr>
      </w:pPr>
    </w:p>
    <w:p w14:paraId="41A6368F" w14:textId="462C1D2C" w:rsidR="0085009E" w:rsidRPr="009E35ED" w:rsidRDefault="0085009E" w:rsidP="00803F8C">
      <w:pPr>
        <w:ind w:left="0"/>
        <w:rPr>
          <w:rFonts w:ascii="Arial" w:hAnsi="Arial" w:cs="Arial"/>
          <w:color w:val="000000" w:themeColor="text1"/>
          <w:sz w:val="22"/>
          <w:szCs w:val="22"/>
        </w:rPr>
      </w:pPr>
      <w:r w:rsidRPr="009E35ED">
        <w:rPr>
          <w:rFonts w:ascii="Arial" w:hAnsi="Arial" w:cs="Arial"/>
          <w:color w:val="000000" w:themeColor="text1"/>
          <w:sz w:val="22"/>
          <w:szCs w:val="22"/>
        </w:rPr>
        <w:t>The revised STL IRR aims to improve STL operations and cover the nationwide expansion of STL operations.</w:t>
      </w:r>
    </w:p>
    <w:p w14:paraId="2087F274" w14:textId="77777777" w:rsidR="0085009E" w:rsidRPr="009E35ED" w:rsidRDefault="0085009E" w:rsidP="00803F8C">
      <w:pPr>
        <w:ind w:left="0"/>
        <w:rPr>
          <w:rFonts w:ascii="Arial" w:hAnsi="Arial" w:cs="Arial"/>
          <w:color w:val="000000" w:themeColor="text1"/>
          <w:sz w:val="22"/>
          <w:szCs w:val="22"/>
        </w:rPr>
      </w:pPr>
    </w:p>
    <w:p w14:paraId="47D86209" w14:textId="678E8A25" w:rsidR="00E6509B" w:rsidRPr="009E35ED" w:rsidRDefault="00E6509B" w:rsidP="00E6509B">
      <w:pPr>
        <w:ind w:left="0"/>
        <w:rPr>
          <w:rFonts w:ascii="Arial" w:hAnsi="Arial" w:cs="Arial"/>
          <w:color w:val="000000" w:themeColor="text1"/>
          <w:sz w:val="22"/>
          <w:szCs w:val="22"/>
        </w:rPr>
      </w:pPr>
      <w:r w:rsidRPr="009E35ED">
        <w:rPr>
          <w:rFonts w:ascii="Arial" w:hAnsi="Arial" w:cs="Arial"/>
          <w:color w:val="000000" w:themeColor="text1"/>
          <w:sz w:val="22"/>
          <w:szCs w:val="22"/>
        </w:rPr>
        <w:t>Hereunder are the changes in revenue allocation from year 2017 to date. Under</w:t>
      </w:r>
      <w:r w:rsidR="00F15BEA" w:rsidRPr="009E35ED">
        <w:rPr>
          <w:rFonts w:ascii="Arial" w:hAnsi="Arial" w:cs="Arial"/>
          <w:color w:val="000000" w:themeColor="text1"/>
          <w:sz w:val="22"/>
          <w:szCs w:val="22"/>
        </w:rPr>
        <w:t xml:space="preserve"> </w:t>
      </w:r>
      <w:r w:rsidRPr="009E35ED">
        <w:rPr>
          <w:rFonts w:ascii="Arial" w:hAnsi="Arial" w:cs="Arial"/>
          <w:color w:val="000000" w:themeColor="text1"/>
          <w:sz w:val="22"/>
          <w:szCs w:val="22"/>
        </w:rPr>
        <w:t>BR</w:t>
      </w:r>
      <w:r w:rsidR="0085009E" w:rsidRPr="009E35ED">
        <w:rPr>
          <w:rFonts w:ascii="Arial" w:hAnsi="Arial" w:cs="Arial"/>
          <w:color w:val="000000" w:themeColor="text1"/>
          <w:sz w:val="22"/>
          <w:szCs w:val="22"/>
        </w:rPr>
        <w:t xml:space="preserve"> No. 0063, s. 2017</w:t>
      </w:r>
      <w:r w:rsidR="00F15BEA" w:rsidRPr="009E35ED">
        <w:rPr>
          <w:rFonts w:ascii="Arial" w:hAnsi="Arial" w:cs="Arial"/>
          <w:color w:val="000000" w:themeColor="text1"/>
          <w:sz w:val="22"/>
          <w:szCs w:val="22"/>
        </w:rPr>
        <w:t xml:space="preserve">, </w:t>
      </w:r>
      <w:r w:rsidRPr="009E35ED">
        <w:rPr>
          <w:rFonts w:ascii="Arial" w:hAnsi="Arial" w:cs="Arial"/>
          <w:color w:val="000000" w:themeColor="text1"/>
          <w:sz w:val="22"/>
          <w:szCs w:val="22"/>
        </w:rPr>
        <w:t xml:space="preserve">STL Charity fund share for </w:t>
      </w:r>
      <w:r w:rsidR="0085009E" w:rsidRPr="009E35ED">
        <w:rPr>
          <w:rFonts w:ascii="Arial" w:hAnsi="Arial" w:cs="Arial"/>
          <w:color w:val="000000" w:themeColor="text1"/>
          <w:sz w:val="22"/>
          <w:szCs w:val="22"/>
        </w:rPr>
        <w:t>Congressional District and Provincial Government share were revised on April 24, 2017.</w:t>
      </w:r>
      <w:r w:rsidR="007368C2" w:rsidRPr="009E35ED">
        <w:rPr>
          <w:rFonts w:ascii="Arial" w:hAnsi="Arial" w:cs="Arial"/>
          <w:color w:val="000000" w:themeColor="text1"/>
          <w:sz w:val="22"/>
          <w:szCs w:val="22"/>
        </w:rPr>
        <w:t xml:space="preserve"> </w:t>
      </w:r>
      <w:r w:rsidR="0085009E" w:rsidRPr="009E35ED">
        <w:rPr>
          <w:rFonts w:ascii="Arial" w:hAnsi="Arial" w:cs="Arial"/>
          <w:color w:val="000000" w:themeColor="text1"/>
          <w:sz w:val="22"/>
          <w:szCs w:val="22"/>
        </w:rPr>
        <w:t>Further</w:t>
      </w:r>
      <w:r w:rsidRPr="009E35ED">
        <w:rPr>
          <w:rFonts w:ascii="Arial" w:hAnsi="Arial" w:cs="Arial"/>
          <w:color w:val="000000" w:themeColor="text1"/>
          <w:sz w:val="22"/>
          <w:szCs w:val="22"/>
        </w:rPr>
        <w:t xml:space="preserve">, BR No. 282, s. 2018 was issued revising STL revenue allocation to enhance and strengthen the cooperation STL partners in curbing of illegal number games and to comply with the provisions under RA </w:t>
      </w:r>
      <w:r w:rsidR="005D3346">
        <w:rPr>
          <w:rFonts w:ascii="Arial" w:hAnsi="Arial" w:cs="Arial"/>
          <w:color w:val="000000" w:themeColor="text1"/>
          <w:sz w:val="22"/>
          <w:szCs w:val="22"/>
        </w:rPr>
        <w:t xml:space="preserve">No. </w:t>
      </w:r>
      <w:r w:rsidRPr="009E35ED">
        <w:rPr>
          <w:rFonts w:ascii="Arial" w:hAnsi="Arial" w:cs="Arial"/>
          <w:color w:val="000000" w:themeColor="text1"/>
          <w:sz w:val="22"/>
          <w:szCs w:val="22"/>
        </w:rPr>
        <w:t>10963 or the TRAIN law. In CY 2019, new revenue allocation was implemented upon the resumption of STL operations which has been suspended under the directive of President Rodrigo Duterte. In CY 2020, PCSO Board approved the revision of the Revenue Allocation under BR</w:t>
      </w:r>
      <w:r w:rsidR="00D01A6F">
        <w:rPr>
          <w:rFonts w:ascii="Arial" w:hAnsi="Arial" w:cs="Arial"/>
          <w:color w:val="000000" w:themeColor="text1"/>
          <w:sz w:val="22"/>
          <w:szCs w:val="22"/>
        </w:rPr>
        <w:t xml:space="preserve"> </w:t>
      </w:r>
      <w:r w:rsidRPr="009E35ED">
        <w:rPr>
          <w:rFonts w:ascii="Arial" w:hAnsi="Arial" w:cs="Arial"/>
          <w:color w:val="000000" w:themeColor="text1"/>
          <w:sz w:val="22"/>
          <w:szCs w:val="22"/>
        </w:rPr>
        <w:t xml:space="preserve">Nos. 134 and 178. And in CY 2023, STL Circular No. 1, s. 2023 was issued to comply with the repellence of the five percent (5%) tax on Prize Fund as informed by Secretary Carlos G. Dominguez, Department of Finance (DOF) </w:t>
      </w:r>
      <w:r w:rsidR="00F94B71" w:rsidRPr="009E35ED">
        <w:rPr>
          <w:rFonts w:ascii="Arial" w:hAnsi="Arial" w:cs="Arial"/>
          <w:color w:val="000000" w:themeColor="text1"/>
          <w:sz w:val="22"/>
          <w:szCs w:val="22"/>
        </w:rPr>
        <w:t>on May 11, 2022 under DOF Opinion No. 007.2022</w:t>
      </w:r>
      <w:r w:rsidRPr="009E35ED">
        <w:rPr>
          <w:rFonts w:ascii="Arial" w:hAnsi="Arial" w:cs="Arial"/>
          <w:color w:val="000000" w:themeColor="text1"/>
          <w:sz w:val="22"/>
          <w:szCs w:val="22"/>
        </w:rPr>
        <w:t xml:space="preserve"> and confirmed by Commissioner Romeo D. Limagui, J</w:t>
      </w:r>
      <w:r w:rsidR="00F94B71" w:rsidRPr="009E35ED">
        <w:rPr>
          <w:rFonts w:ascii="Arial" w:hAnsi="Arial" w:cs="Arial"/>
          <w:color w:val="000000" w:themeColor="text1"/>
          <w:sz w:val="22"/>
          <w:szCs w:val="22"/>
        </w:rPr>
        <w:t>r. of the B</w:t>
      </w:r>
      <w:r w:rsidR="00D01A6F">
        <w:rPr>
          <w:rFonts w:ascii="Arial" w:hAnsi="Arial" w:cs="Arial"/>
          <w:color w:val="000000" w:themeColor="text1"/>
          <w:sz w:val="22"/>
          <w:szCs w:val="22"/>
        </w:rPr>
        <w:t xml:space="preserve">ureau of </w:t>
      </w:r>
      <w:r w:rsidR="00F94B71" w:rsidRPr="009E35ED">
        <w:rPr>
          <w:rFonts w:ascii="Arial" w:hAnsi="Arial" w:cs="Arial"/>
          <w:color w:val="000000" w:themeColor="text1"/>
          <w:sz w:val="22"/>
          <w:szCs w:val="22"/>
        </w:rPr>
        <w:t>I</w:t>
      </w:r>
      <w:r w:rsidR="00D01A6F">
        <w:rPr>
          <w:rFonts w:ascii="Arial" w:hAnsi="Arial" w:cs="Arial"/>
          <w:color w:val="000000" w:themeColor="text1"/>
          <w:sz w:val="22"/>
          <w:szCs w:val="22"/>
        </w:rPr>
        <w:t xml:space="preserve">nternal </w:t>
      </w:r>
      <w:r w:rsidR="00F94B71" w:rsidRPr="009E35ED">
        <w:rPr>
          <w:rFonts w:ascii="Arial" w:hAnsi="Arial" w:cs="Arial"/>
          <w:color w:val="000000" w:themeColor="text1"/>
          <w:sz w:val="22"/>
          <w:szCs w:val="22"/>
        </w:rPr>
        <w:t>R</w:t>
      </w:r>
      <w:r w:rsidR="00D01A6F">
        <w:rPr>
          <w:rFonts w:ascii="Arial" w:hAnsi="Arial" w:cs="Arial"/>
          <w:color w:val="000000" w:themeColor="text1"/>
          <w:sz w:val="22"/>
          <w:szCs w:val="22"/>
        </w:rPr>
        <w:t>evenue</w:t>
      </w:r>
      <w:r w:rsidR="00F94B71" w:rsidRPr="009E35ED">
        <w:rPr>
          <w:rFonts w:ascii="Arial" w:hAnsi="Arial" w:cs="Arial"/>
          <w:color w:val="000000" w:themeColor="text1"/>
          <w:sz w:val="22"/>
          <w:szCs w:val="22"/>
        </w:rPr>
        <w:t xml:space="preserve"> thru letter </w:t>
      </w:r>
      <w:r w:rsidRPr="009E35ED">
        <w:rPr>
          <w:rFonts w:ascii="Arial" w:hAnsi="Arial" w:cs="Arial"/>
          <w:color w:val="000000" w:themeColor="text1"/>
          <w:sz w:val="22"/>
          <w:szCs w:val="22"/>
        </w:rPr>
        <w:t>dated January 24, 2023.</w:t>
      </w:r>
    </w:p>
    <w:p w14:paraId="656001FF" w14:textId="7755B39B" w:rsidR="00076210" w:rsidRDefault="00076210" w:rsidP="00803F8C">
      <w:pPr>
        <w:ind w:left="0"/>
        <w:rPr>
          <w:rFonts w:ascii="Arial" w:hAnsi="Arial" w:cs="Arial"/>
          <w:color w:val="000000" w:themeColor="text1"/>
          <w:sz w:val="22"/>
          <w:szCs w:val="22"/>
        </w:rPr>
      </w:pPr>
    </w:p>
    <w:p w14:paraId="0730BB02" w14:textId="77777777" w:rsidR="00D043CC" w:rsidRPr="009E35ED" w:rsidRDefault="00D043CC" w:rsidP="00803F8C">
      <w:pPr>
        <w:ind w:left="0"/>
        <w:rPr>
          <w:rFonts w:ascii="Arial" w:hAnsi="Arial" w:cs="Arial"/>
          <w:color w:val="000000" w:themeColor="text1"/>
          <w:sz w:val="22"/>
          <w:szCs w:val="22"/>
        </w:rPr>
      </w:pPr>
    </w:p>
    <w:tbl>
      <w:tblPr>
        <w:tblW w:w="8621" w:type="dxa"/>
        <w:tblLook w:val="04A0" w:firstRow="1" w:lastRow="0" w:firstColumn="1" w:lastColumn="0" w:noHBand="0" w:noVBand="1"/>
      </w:tblPr>
      <w:tblGrid>
        <w:gridCol w:w="3420"/>
        <w:gridCol w:w="864"/>
        <w:gridCol w:w="955"/>
        <w:gridCol w:w="955"/>
        <w:gridCol w:w="1159"/>
        <w:gridCol w:w="1046"/>
        <w:gridCol w:w="222"/>
      </w:tblGrid>
      <w:tr w:rsidR="00997F75" w:rsidRPr="009E35ED" w14:paraId="6A550ACC" w14:textId="368A4B56" w:rsidTr="00D043CC">
        <w:trPr>
          <w:trHeight w:val="297"/>
          <w:tblHeader/>
        </w:trPr>
        <w:tc>
          <w:tcPr>
            <w:tcW w:w="3420" w:type="dxa"/>
            <w:tcBorders>
              <w:top w:val="single" w:sz="4" w:space="0" w:color="auto"/>
            </w:tcBorders>
            <w:shd w:val="clear" w:color="auto" w:fill="auto"/>
            <w:vAlign w:val="center"/>
            <w:hideMark/>
          </w:tcPr>
          <w:p w14:paraId="2F397AD0" w14:textId="77777777" w:rsidR="00550599" w:rsidRPr="009E35ED" w:rsidRDefault="00550599" w:rsidP="00550599">
            <w:pPr>
              <w:ind w:left="0"/>
              <w:jc w:val="center"/>
              <w:rPr>
                <w:rFonts w:ascii="Arial Narrow" w:hAnsi="Arial Narrow" w:cs="Arial"/>
                <w:b/>
                <w:bCs/>
                <w:color w:val="000000" w:themeColor="text1"/>
                <w:sz w:val="20"/>
                <w:szCs w:val="20"/>
                <w:lang w:val="en-PH" w:eastAsia="en-PH"/>
              </w:rPr>
            </w:pPr>
            <w:r w:rsidRPr="009E35ED">
              <w:rPr>
                <w:rFonts w:ascii="Arial Narrow" w:hAnsi="Arial Narrow" w:cs="Arial"/>
                <w:b/>
                <w:bCs/>
                <w:color w:val="000000" w:themeColor="text1"/>
                <w:sz w:val="20"/>
                <w:szCs w:val="20"/>
                <w:lang w:val="en-PH" w:eastAsia="en-PH"/>
              </w:rPr>
              <w:t> </w:t>
            </w:r>
          </w:p>
        </w:tc>
        <w:tc>
          <w:tcPr>
            <w:tcW w:w="864" w:type="dxa"/>
            <w:tcBorders>
              <w:top w:val="single" w:sz="4" w:space="0" w:color="auto"/>
            </w:tcBorders>
            <w:shd w:val="clear" w:color="auto" w:fill="auto"/>
            <w:vAlign w:val="center"/>
            <w:hideMark/>
          </w:tcPr>
          <w:p w14:paraId="415884FB" w14:textId="77777777" w:rsidR="00550599" w:rsidRPr="009E35ED" w:rsidRDefault="00550599" w:rsidP="00550599">
            <w:pPr>
              <w:ind w:left="0"/>
              <w:jc w:val="right"/>
              <w:rPr>
                <w:rFonts w:ascii="Arial Narrow" w:hAnsi="Arial Narrow" w:cs="Arial"/>
                <w:b/>
                <w:bCs/>
                <w:color w:val="000000" w:themeColor="text1"/>
                <w:sz w:val="20"/>
                <w:szCs w:val="20"/>
                <w:lang w:val="en-PH" w:eastAsia="en-PH"/>
              </w:rPr>
            </w:pPr>
            <w:r w:rsidRPr="009E35ED">
              <w:rPr>
                <w:rFonts w:ascii="Arial Narrow" w:hAnsi="Arial Narrow" w:cs="Arial"/>
                <w:b/>
                <w:bCs/>
                <w:color w:val="000000" w:themeColor="text1"/>
                <w:sz w:val="20"/>
                <w:szCs w:val="20"/>
                <w:lang w:val="en-PH" w:eastAsia="en-PH"/>
              </w:rPr>
              <w:t xml:space="preserve">BR No. </w:t>
            </w:r>
          </w:p>
        </w:tc>
        <w:tc>
          <w:tcPr>
            <w:tcW w:w="955" w:type="dxa"/>
            <w:tcBorders>
              <w:top w:val="single" w:sz="4" w:space="0" w:color="auto"/>
            </w:tcBorders>
            <w:shd w:val="clear" w:color="auto" w:fill="auto"/>
            <w:vAlign w:val="center"/>
            <w:hideMark/>
          </w:tcPr>
          <w:p w14:paraId="7BF26C4B" w14:textId="77777777" w:rsidR="00550599" w:rsidRPr="009E35ED" w:rsidRDefault="00550599" w:rsidP="00550599">
            <w:pPr>
              <w:ind w:left="0"/>
              <w:jc w:val="right"/>
              <w:rPr>
                <w:rFonts w:ascii="Arial Narrow" w:hAnsi="Arial Narrow" w:cs="Arial"/>
                <w:b/>
                <w:bCs/>
                <w:color w:val="000000" w:themeColor="text1"/>
                <w:sz w:val="20"/>
                <w:szCs w:val="20"/>
                <w:lang w:val="en-PH" w:eastAsia="en-PH"/>
              </w:rPr>
            </w:pPr>
            <w:r w:rsidRPr="009E35ED">
              <w:rPr>
                <w:rFonts w:ascii="Arial Narrow" w:hAnsi="Arial Narrow" w:cs="Arial"/>
                <w:b/>
                <w:bCs/>
                <w:color w:val="000000" w:themeColor="text1"/>
                <w:sz w:val="20"/>
                <w:szCs w:val="20"/>
                <w:lang w:val="en-PH" w:eastAsia="en-PH"/>
              </w:rPr>
              <w:t xml:space="preserve">BR No. </w:t>
            </w:r>
          </w:p>
        </w:tc>
        <w:tc>
          <w:tcPr>
            <w:tcW w:w="955" w:type="dxa"/>
            <w:tcBorders>
              <w:top w:val="single" w:sz="4" w:space="0" w:color="auto"/>
            </w:tcBorders>
            <w:shd w:val="clear" w:color="auto" w:fill="auto"/>
            <w:vAlign w:val="center"/>
            <w:hideMark/>
          </w:tcPr>
          <w:p w14:paraId="1E3174A8" w14:textId="77777777" w:rsidR="00550599" w:rsidRPr="009E35ED" w:rsidRDefault="00550599" w:rsidP="00550599">
            <w:pPr>
              <w:ind w:left="0"/>
              <w:jc w:val="right"/>
              <w:rPr>
                <w:rFonts w:ascii="Arial Narrow" w:hAnsi="Arial Narrow" w:cs="Arial"/>
                <w:b/>
                <w:bCs/>
                <w:color w:val="000000" w:themeColor="text1"/>
                <w:sz w:val="20"/>
                <w:szCs w:val="20"/>
                <w:lang w:val="en-PH" w:eastAsia="en-PH"/>
              </w:rPr>
            </w:pPr>
            <w:r w:rsidRPr="009E35ED">
              <w:rPr>
                <w:rFonts w:ascii="Arial Narrow" w:hAnsi="Arial Narrow" w:cs="Arial"/>
                <w:b/>
                <w:bCs/>
                <w:color w:val="000000" w:themeColor="text1"/>
                <w:sz w:val="20"/>
                <w:szCs w:val="20"/>
                <w:lang w:val="en-PH" w:eastAsia="en-PH"/>
              </w:rPr>
              <w:t xml:space="preserve">STLC No. </w:t>
            </w:r>
          </w:p>
        </w:tc>
        <w:tc>
          <w:tcPr>
            <w:tcW w:w="1159" w:type="dxa"/>
            <w:tcBorders>
              <w:top w:val="single" w:sz="4" w:space="0" w:color="auto"/>
            </w:tcBorders>
            <w:vAlign w:val="center"/>
          </w:tcPr>
          <w:p w14:paraId="71283E2C" w14:textId="10A118E6" w:rsidR="00550599" w:rsidRPr="009E35ED" w:rsidRDefault="00550599" w:rsidP="00550599">
            <w:pPr>
              <w:ind w:left="0"/>
              <w:jc w:val="right"/>
              <w:rPr>
                <w:rFonts w:ascii="Arial Narrow" w:hAnsi="Arial Narrow" w:cs="Arial"/>
                <w:b/>
                <w:bCs/>
                <w:color w:val="000000" w:themeColor="text1"/>
                <w:sz w:val="20"/>
                <w:szCs w:val="20"/>
                <w:lang w:val="en-PH" w:eastAsia="en-PH"/>
              </w:rPr>
            </w:pPr>
            <w:r w:rsidRPr="009E35ED">
              <w:rPr>
                <w:rFonts w:ascii="Arial Narrow" w:hAnsi="Arial Narrow" w:cs="Arial"/>
                <w:b/>
                <w:bCs/>
                <w:color w:val="000000" w:themeColor="text1"/>
                <w:sz w:val="20"/>
                <w:szCs w:val="20"/>
                <w:lang w:val="en-PH" w:eastAsia="en-PH"/>
              </w:rPr>
              <w:t xml:space="preserve">BR No. </w:t>
            </w:r>
          </w:p>
        </w:tc>
        <w:tc>
          <w:tcPr>
            <w:tcW w:w="1046" w:type="dxa"/>
            <w:tcBorders>
              <w:top w:val="single" w:sz="4" w:space="0" w:color="auto"/>
            </w:tcBorders>
            <w:vAlign w:val="center"/>
          </w:tcPr>
          <w:p w14:paraId="54E77C20" w14:textId="4395AC3B" w:rsidR="00550599" w:rsidRPr="009E35ED" w:rsidRDefault="00550599" w:rsidP="00D043CC">
            <w:pPr>
              <w:ind w:left="0"/>
              <w:jc w:val="right"/>
              <w:rPr>
                <w:rFonts w:ascii="Arial Narrow" w:hAnsi="Arial Narrow" w:cs="Arial"/>
                <w:b/>
                <w:bCs/>
                <w:color w:val="000000" w:themeColor="text1"/>
                <w:sz w:val="20"/>
                <w:szCs w:val="20"/>
                <w:lang w:val="en-PH" w:eastAsia="en-PH"/>
              </w:rPr>
            </w:pPr>
            <w:r w:rsidRPr="009E35ED">
              <w:rPr>
                <w:rFonts w:ascii="Arial Narrow" w:hAnsi="Arial Narrow" w:cs="Arial"/>
                <w:b/>
                <w:bCs/>
                <w:color w:val="000000" w:themeColor="text1"/>
                <w:sz w:val="20"/>
                <w:szCs w:val="20"/>
                <w:lang w:val="en-PH" w:eastAsia="en-PH"/>
              </w:rPr>
              <w:t xml:space="preserve">STLC No. </w:t>
            </w:r>
          </w:p>
        </w:tc>
        <w:tc>
          <w:tcPr>
            <w:tcW w:w="222" w:type="dxa"/>
            <w:tcBorders>
              <w:top w:val="single" w:sz="4" w:space="0" w:color="auto"/>
            </w:tcBorders>
          </w:tcPr>
          <w:p w14:paraId="7278FEDA" w14:textId="273C71D3" w:rsidR="00550599" w:rsidRPr="009E35ED" w:rsidRDefault="00550599" w:rsidP="00550599">
            <w:pPr>
              <w:ind w:left="0"/>
              <w:jc w:val="right"/>
              <w:rPr>
                <w:rFonts w:ascii="Arial Narrow" w:hAnsi="Arial Narrow" w:cs="Arial"/>
                <w:b/>
                <w:bCs/>
                <w:color w:val="000000" w:themeColor="text1"/>
                <w:sz w:val="20"/>
                <w:szCs w:val="20"/>
                <w:lang w:val="en-PH" w:eastAsia="en-PH"/>
              </w:rPr>
            </w:pPr>
          </w:p>
        </w:tc>
      </w:tr>
      <w:tr w:rsidR="00997F75" w:rsidRPr="009E35ED" w14:paraId="56FDB133" w14:textId="26D5DE84" w:rsidTr="00D043CC">
        <w:trPr>
          <w:trHeight w:val="297"/>
          <w:tblHeader/>
        </w:trPr>
        <w:tc>
          <w:tcPr>
            <w:tcW w:w="3420" w:type="dxa"/>
            <w:shd w:val="clear" w:color="auto" w:fill="auto"/>
            <w:vAlign w:val="center"/>
            <w:hideMark/>
          </w:tcPr>
          <w:p w14:paraId="5B8C3609" w14:textId="77777777" w:rsidR="00550599" w:rsidRPr="009E35ED" w:rsidRDefault="00550599" w:rsidP="00550599">
            <w:pPr>
              <w:ind w:left="0"/>
              <w:jc w:val="left"/>
              <w:rPr>
                <w:rFonts w:ascii="Arial Narrow" w:hAnsi="Arial Narrow" w:cs="Arial"/>
                <w:b/>
                <w:bCs/>
                <w:color w:val="000000" w:themeColor="text1"/>
                <w:sz w:val="20"/>
                <w:szCs w:val="20"/>
                <w:lang w:val="en-PH" w:eastAsia="en-PH"/>
              </w:rPr>
            </w:pPr>
            <w:r w:rsidRPr="009E35ED">
              <w:rPr>
                <w:rFonts w:ascii="Arial Narrow" w:hAnsi="Arial Narrow" w:cs="Arial"/>
                <w:b/>
                <w:bCs/>
                <w:color w:val="000000" w:themeColor="text1"/>
                <w:sz w:val="20"/>
                <w:szCs w:val="20"/>
                <w:lang w:val="en-PH" w:eastAsia="en-PH"/>
              </w:rPr>
              <w:t>Particulars</w:t>
            </w:r>
          </w:p>
        </w:tc>
        <w:tc>
          <w:tcPr>
            <w:tcW w:w="864" w:type="dxa"/>
            <w:shd w:val="clear" w:color="auto" w:fill="auto"/>
            <w:vAlign w:val="center"/>
            <w:hideMark/>
          </w:tcPr>
          <w:p w14:paraId="114A8D80" w14:textId="77777777" w:rsidR="00550599" w:rsidRPr="009E35ED" w:rsidRDefault="00550599" w:rsidP="00550599">
            <w:pPr>
              <w:ind w:left="0"/>
              <w:jc w:val="right"/>
              <w:rPr>
                <w:rFonts w:ascii="Arial Narrow" w:hAnsi="Arial Narrow" w:cs="Arial"/>
                <w:b/>
                <w:bCs/>
                <w:color w:val="000000" w:themeColor="text1"/>
                <w:sz w:val="20"/>
                <w:szCs w:val="20"/>
                <w:lang w:val="en-PH" w:eastAsia="en-PH"/>
              </w:rPr>
            </w:pPr>
            <w:r w:rsidRPr="009E35ED">
              <w:rPr>
                <w:rFonts w:ascii="Arial Narrow" w:hAnsi="Arial Narrow" w:cs="Arial"/>
                <w:b/>
                <w:bCs/>
                <w:color w:val="000000" w:themeColor="text1"/>
                <w:sz w:val="20"/>
                <w:szCs w:val="20"/>
                <w:lang w:val="en-PH" w:eastAsia="en-PH"/>
              </w:rPr>
              <w:t>D-0063</w:t>
            </w:r>
          </w:p>
        </w:tc>
        <w:tc>
          <w:tcPr>
            <w:tcW w:w="955" w:type="dxa"/>
            <w:shd w:val="clear" w:color="auto" w:fill="auto"/>
            <w:noWrap/>
            <w:vAlign w:val="center"/>
            <w:hideMark/>
          </w:tcPr>
          <w:p w14:paraId="742325EA" w14:textId="77777777" w:rsidR="00550599" w:rsidRPr="009E35ED" w:rsidRDefault="00550599" w:rsidP="00550599">
            <w:pPr>
              <w:ind w:left="0"/>
              <w:jc w:val="right"/>
              <w:rPr>
                <w:rFonts w:ascii="Arial Narrow" w:hAnsi="Arial Narrow" w:cs="Arial"/>
                <w:b/>
                <w:bCs/>
                <w:color w:val="000000" w:themeColor="text1"/>
                <w:sz w:val="20"/>
                <w:szCs w:val="20"/>
                <w:lang w:val="en-PH" w:eastAsia="en-PH"/>
              </w:rPr>
            </w:pPr>
            <w:r w:rsidRPr="009E35ED">
              <w:rPr>
                <w:rFonts w:ascii="Arial Narrow" w:hAnsi="Arial Narrow" w:cs="Arial"/>
                <w:b/>
                <w:bCs/>
                <w:color w:val="000000" w:themeColor="text1"/>
                <w:sz w:val="20"/>
                <w:szCs w:val="20"/>
                <w:lang w:val="en-PH" w:eastAsia="en-PH"/>
              </w:rPr>
              <w:t>282</w:t>
            </w:r>
          </w:p>
        </w:tc>
        <w:tc>
          <w:tcPr>
            <w:tcW w:w="955" w:type="dxa"/>
            <w:shd w:val="clear" w:color="auto" w:fill="auto"/>
            <w:noWrap/>
            <w:vAlign w:val="bottom"/>
            <w:hideMark/>
          </w:tcPr>
          <w:p w14:paraId="0372679D" w14:textId="77777777" w:rsidR="00550599" w:rsidRPr="009E35ED" w:rsidRDefault="00550599" w:rsidP="00550599">
            <w:pPr>
              <w:ind w:left="0"/>
              <w:jc w:val="right"/>
              <w:rPr>
                <w:rFonts w:ascii="Arial Narrow" w:hAnsi="Arial Narrow" w:cs="Arial"/>
                <w:b/>
                <w:bCs/>
                <w:color w:val="000000" w:themeColor="text1"/>
                <w:sz w:val="20"/>
                <w:szCs w:val="20"/>
                <w:lang w:val="en-PH" w:eastAsia="en-PH"/>
              </w:rPr>
            </w:pPr>
            <w:r w:rsidRPr="009E35ED">
              <w:rPr>
                <w:rFonts w:ascii="Arial Narrow" w:hAnsi="Arial Narrow" w:cs="Arial"/>
                <w:b/>
                <w:bCs/>
                <w:color w:val="000000" w:themeColor="text1"/>
                <w:sz w:val="20"/>
                <w:szCs w:val="20"/>
                <w:lang w:val="en-PH" w:eastAsia="en-PH"/>
              </w:rPr>
              <w:t>003</w:t>
            </w:r>
          </w:p>
        </w:tc>
        <w:tc>
          <w:tcPr>
            <w:tcW w:w="1159" w:type="dxa"/>
            <w:vAlign w:val="center"/>
          </w:tcPr>
          <w:p w14:paraId="285D9D91" w14:textId="3AAAD3DA" w:rsidR="00550599" w:rsidRPr="009E35ED" w:rsidRDefault="00550599" w:rsidP="00550599">
            <w:pPr>
              <w:ind w:left="0"/>
              <w:jc w:val="right"/>
              <w:rPr>
                <w:rFonts w:ascii="Arial Narrow" w:hAnsi="Arial Narrow" w:cs="Arial"/>
                <w:b/>
                <w:bCs/>
                <w:color w:val="000000" w:themeColor="text1"/>
                <w:sz w:val="20"/>
                <w:szCs w:val="20"/>
                <w:lang w:val="en-PH" w:eastAsia="en-PH"/>
              </w:rPr>
            </w:pPr>
            <w:r w:rsidRPr="009E35ED">
              <w:rPr>
                <w:rFonts w:ascii="Arial Narrow" w:hAnsi="Arial Narrow" w:cs="Arial"/>
                <w:b/>
                <w:bCs/>
                <w:color w:val="000000" w:themeColor="text1"/>
                <w:sz w:val="20"/>
                <w:szCs w:val="20"/>
                <w:lang w:val="en-PH" w:eastAsia="en-PH"/>
              </w:rPr>
              <w:t>134</w:t>
            </w:r>
          </w:p>
        </w:tc>
        <w:tc>
          <w:tcPr>
            <w:tcW w:w="1046" w:type="dxa"/>
            <w:vAlign w:val="center"/>
          </w:tcPr>
          <w:p w14:paraId="23CAAE79" w14:textId="5FFD2242" w:rsidR="00550599" w:rsidRPr="009E35ED" w:rsidRDefault="00550599" w:rsidP="00D043CC">
            <w:pPr>
              <w:ind w:left="0"/>
              <w:jc w:val="right"/>
              <w:rPr>
                <w:rFonts w:ascii="Arial Narrow" w:hAnsi="Arial Narrow" w:cs="Arial"/>
                <w:b/>
                <w:bCs/>
                <w:color w:val="000000" w:themeColor="text1"/>
                <w:sz w:val="20"/>
                <w:szCs w:val="20"/>
                <w:lang w:val="en-PH" w:eastAsia="en-PH"/>
              </w:rPr>
            </w:pPr>
            <w:r w:rsidRPr="009E35ED">
              <w:rPr>
                <w:rFonts w:ascii="Arial Narrow" w:hAnsi="Arial Narrow" w:cs="Arial"/>
                <w:b/>
                <w:bCs/>
                <w:color w:val="000000" w:themeColor="text1"/>
                <w:sz w:val="20"/>
                <w:szCs w:val="20"/>
                <w:lang w:val="en-PH" w:eastAsia="en-PH"/>
              </w:rPr>
              <w:t>001</w:t>
            </w:r>
          </w:p>
        </w:tc>
        <w:tc>
          <w:tcPr>
            <w:tcW w:w="222" w:type="dxa"/>
          </w:tcPr>
          <w:p w14:paraId="75C64863" w14:textId="4F91B49C" w:rsidR="00550599" w:rsidRPr="009E35ED" w:rsidRDefault="00550599" w:rsidP="00550599">
            <w:pPr>
              <w:ind w:left="0"/>
              <w:jc w:val="right"/>
              <w:rPr>
                <w:rFonts w:ascii="Arial Narrow" w:hAnsi="Arial Narrow" w:cs="Arial"/>
                <w:b/>
                <w:bCs/>
                <w:color w:val="000000" w:themeColor="text1"/>
                <w:sz w:val="20"/>
                <w:szCs w:val="20"/>
                <w:lang w:val="en-PH" w:eastAsia="en-PH"/>
              </w:rPr>
            </w:pPr>
          </w:p>
        </w:tc>
      </w:tr>
      <w:tr w:rsidR="00997F75" w:rsidRPr="009E35ED" w14:paraId="43EA400E" w14:textId="52D40762" w:rsidTr="00D043CC">
        <w:trPr>
          <w:trHeight w:val="313"/>
          <w:tblHeader/>
        </w:trPr>
        <w:tc>
          <w:tcPr>
            <w:tcW w:w="3420" w:type="dxa"/>
            <w:tcBorders>
              <w:bottom w:val="single" w:sz="4" w:space="0" w:color="auto"/>
            </w:tcBorders>
            <w:shd w:val="clear" w:color="auto" w:fill="auto"/>
            <w:vAlign w:val="center"/>
            <w:hideMark/>
          </w:tcPr>
          <w:p w14:paraId="5D83D016" w14:textId="77777777" w:rsidR="00550599" w:rsidRPr="009E35ED" w:rsidRDefault="00550599" w:rsidP="00550599">
            <w:pPr>
              <w:ind w:left="0"/>
              <w:rPr>
                <w:rFonts w:ascii="Arial Narrow" w:hAnsi="Arial Narrow" w:cs="Arial"/>
                <w:b/>
                <w:bCs/>
                <w:color w:val="000000" w:themeColor="text1"/>
                <w:sz w:val="20"/>
                <w:szCs w:val="20"/>
                <w:lang w:val="en-PH" w:eastAsia="en-PH"/>
              </w:rPr>
            </w:pPr>
            <w:r w:rsidRPr="009E35ED">
              <w:rPr>
                <w:rFonts w:ascii="Arial Narrow" w:hAnsi="Arial Narrow" w:cs="Arial"/>
                <w:b/>
                <w:bCs/>
                <w:color w:val="000000" w:themeColor="text1"/>
                <w:sz w:val="20"/>
                <w:szCs w:val="20"/>
                <w:lang w:val="en-PH" w:eastAsia="en-PH"/>
              </w:rPr>
              <w:t> </w:t>
            </w:r>
          </w:p>
        </w:tc>
        <w:tc>
          <w:tcPr>
            <w:tcW w:w="864" w:type="dxa"/>
            <w:tcBorders>
              <w:bottom w:val="single" w:sz="4" w:space="0" w:color="auto"/>
            </w:tcBorders>
            <w:shd w:val="clear" w:color="auto" w:fill="auto"/>
            <w:vAlign w:val="center"/>
            <w:hideMark/>
          </w:tcPr>
          <w:p w14:paraId="0C1528B1" w14:textId="77777777" w:rsidR="00550599" w:rsidRPr="009E35ED" w:rsidRDefault="00550599" w:rsidP="00550599">
            <w:pPr>
              <w:ind w:left="0"/>
              <w:jc w:val="right"/>
              <w:rPr>
                <w:rFonts w:ascii="Arial Narrow" w:hAnsi="Arial Narrow" w:cs="Arial"/>
                <w:b/>
                <w:bCs/>
                <w:color w:val="000000" w:themeColor="text1"/>
                <w:sz w:val="20"/>
                <w:szCs w:val="20"/>
                <w:lang w:val="en-PH" w:eastAsia="en-PH"/>
              </w:rPr>
            </w:pPr>
            <w:r w:rsidRPr="009E35ED">
              <w:rPr>
                <w:rFonts w:ascii="Arial Narrow" w:hAnsi="Arial Narrow" w:cs="Arial"/>
                <w:b/>
                <w:bCs/>
                <w:color w:val="000000" w:themeColor="text1"/>
                <w:sz w:val="20"/>
                <w:szCs w:val="20"/>
                <w:lang w:val="en-PH" w:eastAsia="en-PH"/>
              </w:rPr>
              <w:t xml:space="preserve">s. 2017 </w:t>
            </w:r>
          </w:p>
        </w:tc>
        <w:tc>
          <w:tcPr>
            <w:tcW w:w="955" w:type="dxa"/>
            <w:tcBorders>
              <w:bottom w:val="single" w:sz="4" w:space="0" w:color="auto"/>
            </w:tcBorders>
            <w:shd w:val="clear" w:color="auto" w:fill="auto"/>
            <w:vAlign w:val="center"/>
            <w:hideMark/>
          </w:tcPr>
          <w:p w14:paraId="22C6BA49" w14:textId="77777777" w:rsidR="00550599" w:rsidRPr="009E35ED" w:rsidRDefault="00550599" w:rsidP="00550599">
            <w:pPr>
              <w:ind w:left="0"/>
              <w:jc w:val="right"/>
              <w:rPr>
                <w:rFonts w:ascii="Arial Narrow" w:hAnsi="Arial Narrow" w:cs="Arial"/>
                <w:b/>
                <w:bCs/>
                <w:color w:val="000000" w:themeColor="text1"/>
                <w:sz w:val="20"/>
                <w:szCs w:val="20"/>
                <w:lang w:val="en-PH" w:eastAsia="en-PH"/>
              </w:rPr>
            </w:pPr>
            <w:r w:rsidRPr="009E35ED">
              <w:rPr>
                <w:rFonts w:ascii="Arial Narrow" w:hAnsi="Arial Narrow" w:cs="Arial"/>
                <w:b/>
                <w:bCs/>
                <w:color w:val="000000" w:themeColor="text1"/>
                <w:sz w:val="20"/>
                <w:szCs w:val="20"/>
                <w:lang w:val="en-PH" w:eastAsia="en-PH"/>
              </w:rPr>
              <w:t>s 2018</w:t>
            </w:r>
          </w:p>
        </w:tc>
        <w:tc>
          <w:tcPr>
            <w:tcW w:w="955" w:type="dxa"/>
            <w:tcBorders>
              <w:bottom w:val="single" w:sz="4" w:space="0" w:color="auto"/>
            </w:tcBorders>
            <w:shd w:val="clear" w:color="auto" w:fill="auto"/>
            <w:vAlign w:val="center"/>
            <w:hideMark/>
          </w:tcPr>
          <w:p w14:paraId="3CE54DE6" w14:textId="77777777" w:rsidR="00550599" w:rsidRPr="009E35ED" w:rsidRDefault="00550599" w:rsidP="00550599">
            <w:pPr>
              <w:ind w:left="0"/>
              <w:jc w:val="right"/>
              <w:rPr>
                <w:rFonts w:ascii="Arial Narrow" w:hAnsi="Arial Narrow" w:cs="Arial"/>
                <w:b/>
                <w:bCs/>
                <w:color w:val="000000" w:themeColor="text1"/>
                <w:sz w:val="20"/>
                <w:szCs w:val="20"/>
                <w:lang w:val="en-PH" w:eastAsia="en-PH"/>
              </w:rPr>
            </w:pPr>
            <w:r w:rsidRPr="009E35ED">
              <w:rPr>
                <w:rFonts w:ascii="Arial Narrow" w:hAnsi="Arial Narrow" w:cs="Arial"/>
                <w:b/>
                <w:bCs/>
                <w:color w:val="000000" w:themeColor="text1"/>
                <w:sz w:val="20"/>
                <w:szCs w:val="20"/>
                <w:lang w:val="en-PH" w:eastAsia="en-PH"/>
              </w:rPr>
              <w:t>s 2019</w:t>
            </w:r>
          </w:p>
        </w:tc>
        <w:tc>
          <w:tcPr>
            <w:tcW w:w="1159" w:type="dxa"/>
            <w:tcBorders>
              <w:bottom w:val="single" w:sz="4" w:space="0" w:color="auto"/>
            </w:tcBorders>
            <w:vAlign w:val="center"/>
          </w:tcPr>
          <w:p w14:paraId="0590F67D" w14:textId="1C2AFB69" w:rsidR="00550599" w:rsidRPr="009E35ED" w:rsidRDefault="00550599" w:rsidP="00550599">
            <w:pPr>
              <w:ind w:left="0"/>
              <w:jc w:val="right"/>
              <w:rPr>
                <w:rFonts w:ascii="Arial Narrow" w:hAnsi="Arial Narrow" w:cs="Arial"/>
                <w:b/>
                <w:bCs/>
                <w:color w:val="000000" w:themeColor="text1"/>
                <w:sz w:val="20"/>
                <w:szCs w:val="20"/>
                <w:lang w:val="en-PH" w:eastAsia="en-PH"/>
              </w:rPr>
            </w:pPr>
            <w:r w:rsidRPr="009E35ED">
              <w:rPr>
                <w:rFonts w:ascii="Arial Narrow" w:hAnsi="Arial Narrow" w:cs="Arial"/>
                <w:b/>
                <w:bCs/>
                <w:color w:val="000000" w:themeColor="text1"/>
                <w:sz w:val="20"/>
                <w:szCs w:val="20"/>
                <w:lang w:val="en-PH" w:eastAsia="en-PH"/>
              </w:rPr>
              <w:t>s 2020</w:t>
            </w:r>
          </w:p>
        </w:tc>
        <w:tc>
          <w:tcPr>
            <w:tcW w:w="1046" w:type="dxa"/>
            <w:tcBorders>
              <w:bottom w:val="single" w:sz="4" w:space="0" w:color="auto"/>
            </w:tcBorders>
            <w:vAlign w:val="center"/>
          </w:tcPr>
          <w:p w14:paraId="1A44D371" w14:textId="0D181B1E" w:rsidR="00550599" w:rsidRPr="009E35ED" w:rsidRDefault="00550599" w:rsidP="00D043CC">
            <w:pPr>
              <w:ind w:left="0"/>
              <w:jc w:val="right"/>
              <w:rPr>
                <w:rFonts w:ascii="Arial Narrow" w:hAnsi="Arial Narrow" w:cs="Arial"/>
                <w:b/>
                <w:bCs/>
                <w:color w:val="000000" w:themeColor="text1"/>
                <w:sz w:val="20"/>
                <w:szCs w:val="20"/>
                <w:lang w:val="en-PH" w:eastAsia="en-PH"/>
              </w:rPr>
            </w:pPr>
            <w:r w:rsidRPr="009E35ED">
              <w:rPr>
                <w:rFonts w:ascii="Arial Narrow" w:hAnsi="Arial Narrow" w:cs="Arial"/>
                <w:b/>
                <w:bCs/>
                <w:color w:val="000000" w:themeColor="text1"/>
                <w:sz w:val="20"/>
                <w:szCs w:val="20"/>
                <w:lang w:val="en-PH" w:eastAsia="en-PH"/>
              </w:rPr>
              <w:t>s 2023</w:t>
            </w:r>
          </w:p>
        </w:tc>
        <w:tc>
          <w:tcPr>
            <w:tcW w:w="222" w:type="dxa"/>
            <w:tcBorders>
              <w:bottom w:val="single" w:sz="4" w:space="0" w:color="auto"/>
            </w:tcBorders>
          </w:tcPr>
          <w:p w14:paraId="2B2C198A" w14:textId="31941DB7" w:rsidR="00550599" w:rsidRPr="009E35ED" w:rsidRDefault="00550599" w:rsidP="00550599">
            <w:pPr>
              <w:ind w:left="0"/>
              <w:jc w:val="right"/>
              <w:rPr>
                <w:rFonts w:ascii="Arial Narrow" w:hAnsi="Arial Narrow" w:cs="Arial"/>
                <w:b/>
                <w:bCs/>
                <w:color w:val="000000" w:themeColor="text1"/>
                <w:sz w:val="20"/>
                <w:szCs w:val="20"/>
                <w:lang w:val="en-PH" w:eastAsia="en-PH"/>
              </w:rPr>
            </w:pPr>
          </w:p>
        </w:tc>
      </w:tr>
      <w:tr w:rsidR="00997F75" w:rsidRPr="009E35ED" w14:paraId="4C7E361F" w14:textId="55DC7BED" w:rsidTr="00D043CC">
        <w:trPr>
          <w:trHeight w:val="297"/>
        </w:trPr>
        <w:tc>
          <w:tcPr>
            <w:tcW w:w="3420" w:type="dxa"/>
            <w:tcBorders>
              <w:top w:val="single" w:sz="4" w:space="0" w:color="auto"/>
            </w:tcBorders>
            <w:shd w:val="clear" w:color="auto" w:fill="auto"/>
            <w:vAlign w:val="center"/>
            <w:hideMark/>
          </w:tcPr>
          <w:p w14:paraId="0CA82837" w14:textId="77777777" w:rsidR="00550599" w:rsidRPr="009E35ED" w:rsidRDefault="00550599" w:rsidP="00550599">
            <w:pPr>
              <w:ind w:left="0"/>
              <w:rPr>
                <w:rFonts w:ascii="Arial Narrow" w:hAnsi="Arial Narrow" w:cs="Arial"/>
                <w:b/>
                <w:bCs/>
                <w:color w:val="000000" w:themeColor="text1"/>
                <w:sz w:val="20"/>
                <w:szCs w:val="20"/>
                <w:lang w:val="en-PH" w:eastAsia="en-PH"/>
              </w:rPr>
            </w:pPr>
            <w:r w:rsidRPr="009E35ED">
              <w:rPr>
                <w:rFonts w:ascii="Arial Narrow" w:hAnsi="Arial Narrow" w:cs="Arial"/>
                <w:b/>
                <w:bCs/>
                <w:color w:val="000000" w:themeColor="text1"/>
                <w:sz w:val="20"/>
                <w:szCs w:val="20"/>
                <w:lang w:val="en-PH" w:eastAsia="en-PH"/>
              </w:rPr>
              <w:t>I. Gross Sales</w:t>
            </w:r>
          </w:p>
        </w:tc>
        <w:tc>
          <w:tcPr>
            <w:tcW w:w="864" w:type="dxa"/>
            <w:tcBorders>
              <w:top w:val="single" w:sz="4" w:space="0" w:color="auto"/>
            </w:tcBorders>
            <w:shd w:val="clear" w:color="auto" w:fill="auto"/>
            <w:vAlign w:val="center"/>
            <w:hideMark/>
          </w:tcPr>
          <w:p w14:paraId="7A6AEF7E" w14:textId="77777777" w:rsidR="00550599" w:rsidRPr="009E35ED" w:rsidRDefault="00550599" w:rsidP="00550599">
            <w:pPr>
              <w:ind w:left="0"/>
              <w:jc w:val="right"/>
              <w:rPr>
                <w:rFonts w:ascii="Arial Narrow" w:hAnsi="Arial Narrow" w:cs="Arial"/>
                <w:color w:val="000000" w:themeColor="text1"/>
                <w:sz w:val="20"/>
                <w:szCs w:val="20"/>
                <w:lang w:val="en-PH" w:eastAsia="en-PH"/>
              </w:rPr>
            </w:pPr>
            <w:r w:rsidRPr="009E35ED">
              <w:rPr>
                <w:rFonts w:ascii="Arial Narrow" w:hAnsi="Arial Narrow" w:cs="Arial"/>
                <w:color w:val="000000" w:themeColor="text1"/>
                <w:sz w:val="20"/>
                <w:szCs w:val="20"/>
                <w:lang w:val="en-PH" w:eastAsia="en-PH"/>
              </w:rPr>
              <w:t>100.00%</w:t>
            </w:r>
          </w:p>
        </w:tc>
        <w:tc>
          <w:tcPr>
            <w:tcW w:w="955" w:type="dxa"/>
            <w:tcBorders>
              <w:top w:val="single" w:sz="4" w:space="0" w:color="auto"/>
            </w:tcBorders>
            <w:shd w:val="clear" w:color="auto" w:fill="auto"/>
            <w:noWrap/>
            <w:vAlign w:val="center"/>
            <w:hideMark/>
          </w:tcPr>
          <w:p w14:paraId="7372A6A9" w14:textId="77777777" w:rsidR="00550599" w:rsidRPr="009E35ED" w:rsidRDefault="00550599" w:rsidP="00550599">
            <w:pPr>
              <w:ind w:left="0"/>
              <w:jc w:val="right"/>
              <w:rPr>
                <w:rFonts w:ascii="Arial Narrow" w:hAnsi="Arial Narrow" w:cs="Arial"/>
                <w:color w:val="000000" w:themeColor="text1"/>
                <w:sz w:val="20"/>
                <w:szCs w:val="20"/>
                <w:lang w:val="en-PH" w:eastAsia="en-PH"/>
              </w:rPr>
            </w:pPr>
            <w:r w:rsidRPr="009E35ED">
              <w:rPr>
                <w:rFonts w:ascii="Arial Narrow" w:hAnsi="Arial Narrow" w:cs="Arial"/>
                <w:color w:val="000000" w:themeColor="text1"/>
                <w:sz w:val="20"/>
                <w:szCs w:val="20"/>
                <w:lang w:val="en-PH" w:eastAsia="en-PH"/>
              </w:rPr>
              <w:t>100.000%</w:t>
            </w:r>
          </w:p>
        </w:tc>
        <w:tc>
          <w:tcPr>
            <w:tcW w:w="955" w:type="dxa"/>
            <w:tcBorders>
              <w:top w:val="single" w:sz="4" w:space="0" w:color="auto"/>
            </w:tcBorders>
            <w:shd w:val="clear" w:color="auto" w:fill="auto"/>
            <w:noWrap/>
            <w:vAlign w:val="center"/>
            <w:hideMark/>
          </w:tcPr>
          <w:p w14:paraId="1070A532" w14:textId="77777777" w:rsidR="00550599" w:rsidRPr="009E35ED" w:rsidRDefault="00550599" w:rsidP="00550599">
            <w:pPr>
              <w:ind w:left="0"/>
              <w:jc w:val="right"/>
              <w:rPr>
                <w:rFonts w:ascii="Arial Narrow" w:hAnsi="Arial Narrow" w:cs="Arial"/>
                <w:color w:val="000000" w:themeColor="text1"/>
                <w:sz w:val="20"/>
                <w:szCs w:val="20"/>
                <w:lang w:val="en-PH" w:eastAsia="en-PH"/>
              </w:rPr>
            </w:pPr>
            <w:r w:rsidRPr="009E35ED">
              <w:rPr>
                <w:rFonts w:ascii="Arial Narrow" w:hAnsi="Arial Narrow" w:cs="Arial"/>
                <w:color w:val="000000" w:themeColor="text1"/>
                <w:sz w:val="20"/>
                <w:szCs w:val="20"/>
                <w:lang w:val="en-PH" w:eastAsia="en-PH"/>
              </w:rPr>
              <w:t>100.000%</w:t>
            </w:r>
          </w:p>
        </w:tc>
        <w:tc>
          <w:tcPr>
            <w:tcW w:w="1159" w:type="dxa"/>
            <w:tcBorders>
              <w:top w:val="single" w:sz="4" w:space="0" w:color="auto"/>
            </w:tcBorders>
            <w:vAlign w:val="center"/>
          </w:tcPr>
          <w:p w14:paraId="0EBBCDDF" w14:textId="77CE3107" w:rsidR="00550599" w:rsidRPr="009E35ED" w:rsidRDefault="00550599" w:rsidP="00550599">
            <w:pPr>
              <w:ind w:left="0"/>
              <w:jc w:val="right"/>
              <w:rPr>
                <w:rFonts w:ascii="Arial Narrow" w:hAnsi="Arial Narrow" w:cs="Arial"/>
                <w:color w:val="000000" w:themeColor="text1"/>
                <w:sz w:val="20"/>
                <w:szCs w:val="20"/>
                <w:lang w:val="en-PH" w:eastAsia="en-PH"/>
              </w:rPr>
            </w:pPr>
            <w:r w:rsidRPr="009E35ED">
              <w:rPr>
                <w:rFonts w:ascii="Arial Narrow" w:hAnsi="Arial Narrow" w:cs="Arial"/>
                <w:color w:val="000000" w:themeColor="text1"/>
                <w:sz w:val="20"/>
                <w:szCs w:val="20"/>
                <w:lang w:val="en-PH" w:eastAsia="en-PH"/>
              </w:rPr>
              <w:t>100.0000%</w:t>
            </w:r>
          </w:p>
        </w:tc>
        <w:tc>
          <w:tcPr>
            <w:tcW w:w="1046" w:type="dxa"/>
            <w:tcBorders>
              <w:top w:val="single" w:sz="4" w:space="0" w:color="auto"/>
            </w:tcBorders>
            <w:vAlign w:val="center"/>
          </w:tcPr>
          <w:p w14:paraId="3C399E3E" w14:textId="70D4F8E8" w:rsidR="00550599" w:rsidRPr="009E35ED" w:rsidRDefault="00550599" w:rsidP="00D043CC">
            <w:pPr>
              <w:ind w:left="0"/>
              <w:jc w:val="right"/>
              <w:rPr>
                <w:rFonts w:ascii="Arial Narrow" w:hAnsi="Arial Narrow" w:cs="Arial"/>
                <w:color w:val="000000" w:themeColor="text1"/>
                <w:sz w:val="20"/>
                <w:szCs w:val="20"/>
                <w:lang w:val="en-PH" w:eastAsia="en-PH"/>
              </w:rPr>
            </w:pPr>
            <w:r w:rsidRPr="009E35ED">
              <w:rPr>
                <w:rFonts w:ascii="Arial Narrow" w:hAnsi="Arial Narrow" w:cs="Arial"/>
                <w:color w:val="000000" w:themeColor="text1"/>
                <w:sz w:val="20"/>
                <w:szCs w:val="20"/>
                <w:lang w:val="en-PH" w:eastAsia="en-PH"/>
              </w:rPr>
              <w:t>100.0000%</w:t>
            </w:r>
          </w:p>
        </w:tc>
        <w:tc>
          <w:tcPr>
            <w:tcW w:w="222" w:type="dxa"/>
            <w:tcBorders>
              <w:top w:val="single" w:sz="4" w:space="0" w:color="auto"/>
            </w:tcBorders>
          </w:tcPr>
          <w:p w14:paraId="068B272A" w14:textId="5D706759" w:rsidR="00550599" w:rsidRPr="009E35ED" w:rsidRDefault="00550599" w:rsidP="00550599">
            <w:pPr>
              <w:ind w:left="0"/>
              <w:jc w:val="right"/>
              <w:rPr>
                <w:rFonts w:ascii="Arial Narrow" w:hAnsi="Arial Narrow" w:cs="Arial"/>
                <w:color w:val="000000" w:themeColor="text1"/>
                <w:sz w:val="20"/>
                <w:szCs w:val="20"/>
                <w:lang w:val="en-PH" w:eastAsia="en-PH"/>
              </w:rPr>
            </w:pPr>
          </w:p>
        </w:tc>
      </w:tr>
      <w:tr w:rsidR="00997F75" w:rsidRPr="009E35ED" w14:paraId="1F42A135" w14:textId="236A3799" w:rsidTr="00D043CC">
        <w:trPr>
          <w:trHeight w:val="297"/>
        </w:trPr>
        <w:tc>
          <w:tcPr>
            <w:tcW w:w="3420" w:type="dxa"/>
            <w:shd w:val="clear" w:color="auto" w:fill="auto"/>
            <w:vAlign w:val="center"/>
            <w:hideMark/>
          </w:tcPr>
          <w:p w14:paraId="20EF1DA1" w14:textId="77777777" w:rsidR="00550599" w:rsidRPr="009E35ED" w:rsidRDefault="00550599" w:rsidP="00550599">
            <w:pPr>
              <w:ind w:left="0"/>
              <w:rPr>
                <w:rFonts w:ascii="Arial Narrow" w:hAnsi="Arial Narrow" w:cs="Arial"/>
                <w:color w:val="000000" w:themeColor="text1"/>
                <w:sz w:val="20"/>
                <w:szCs w:val="20"/>
                <w:lang w:val="en-PH" w:eastAsia="en-PH"/>
              </w:rPr>
            </w:pPr>
            <w:r w:rsidRPr="009E35ED">
              <w:rPr>
                <w:rFonts w:ascii="Arial Narrow" w:hAnsi="Arial Narrow" w:cs="Arial"/>
                <w:color w:val="000000" w:themeColor="text1"/>
                <w:sz w:val="20"/>
                <w:szCs w:val="20"/>
                <w:lang w:val="en-PH" w:eastAsia="en-PH"/>
              </w:rPr>
              <w:t xml:space="preserve">     Printing Cost-PCSO</w:t>
            </w:r>
          </w:p>
        </w:tc>
        <w:tc>
          <w:tcPr>
            <w:tcW w:w="864" w:type="dxa"/>
            <w:shd w:val="clear" w:color="auto" w:fill="auto"/>
            <w:vAlign w:val="center"/>
            <w:hideMark/>
          </w:tcPr>
          <w:p w14:paraId="06E66A96" w14:textId="77777777" w:rsidR="00550599" w:rsidRPr="009E35ED" w:rsidRDefault="00550599" w:rsidP="00550599">
            <w:pPr>
              <w:ind w:left="0"/>
              <w:jc w:val="right"/>
              <w:rPr>
                <w:rFonts w:ascii="Arial Narrow" w:hAnsi="Arial Narrow" w:cs="Arial"/>
                <w:color w:val="000000" w:themeColor="text1"/>
                <w:sz w:val="20"/>
                <w:szCs w:val="20"/>
                <w:lang w:val="en-PH" w:eastAsia="en-PH"/>
              </w:rPr>
            </w:pPr>
            <w:r w:rsidRPr="009E35ED">
              <w:rPr>
                <w:rFonts w:ascii="Arial Narrow" w:hAnsi="Arial Narrow" w:cs="Arial"/>
                <w:color w:val="000000" w:themeColor="text1"/>
                <w:sz w:val="20"/>
                <w:szCs w:val="20"/>
                <w:lang w:val="en-PH" w:eastAsia="en-PH"/>
              </w:rPr>
              <w:t>2.00%</w:t>
            </w:r>
          </w:p>
        </w:tc>
        <w:tc>
          <w:tcPr>
            <w:tcW w:w="955" w:type="dxa"/>
            <w:shd w:val="clear" w:color="auto" w:fill="auto"/>
            <w:noWrap/>
            <w:vAlign w:val="center"/>
            <w:hideMark/>
          </w:tcPr>
          <w:p w14:paraId="5093B24A" w14:textId="77777777" w:rsidR="00550599" w:rsidRPr="009E35ED" w:rsidRDefault="00550599" w:rsidP="00550599">
            <w:pPr>
              <w:ind w:left="0"/>
              <w:jc w:val="right"/>
              <w:rPr>
                <w:rFonts w:ascii="Arial Narrow" w:hAnsi="Arial Narrow" w:cs="Arial"/>
                <w:color w:val="000000" w:themeColor="text1"/>
                <w:sz w:val="20"/>
                <w:szCs w:val="20"/>
                <w:lang w:val="en-PH" w:eastAsia="en-PH"/>
              </w:rPr>
            </w:pPr>
            <w:r w:rsidRPr="009E35ED">
              <w:rPr>
                <w:rFonts w:ascii="Arial Narrow" w:hAnsi="Arial Narrow" w:cs="Arial"/>
                <w:color w:val="000000" w:themeColor="text1"/>
                <w:sz w:val="20"/>
                <w:szCs w:val="20"/>
                <w:lang w:val="en-PH" w:eastAsia="en-PH"/>
              </w:rPr>
              <w:t>1.500%*</w:t>
            </w:r>
          </w:p>
        </w:tc>
        <w:tc>
          <w:tcPr>
            <w:tcW w:w="955" w:type="dxa"/>
            <w:shd w:val="clear" w:color="auto" w:fill="auto"/>
            <w:noWrap/>
            <w:vAlign w:val="center"/>
            <w:hideMark/>
          </w:tcPr>
          <w:p w14:paraId="4D2BAAC2" w14:textId="77777777" w:rsidR="00550599" w:rsidRPr="009E35ED" w:rsidRDefault="00550599" w:rsidP="00550599">
            <w:pPr>
              <w:ind w:left="0"/>
              <w:jc w:val="right"/>
              <w:rPr>
                <w:rFonts w:ascii="Arial Narrow" w:hAnsi="Arial Narrow" w:cs="Arial"/>
                <w:color w:val="000000" w:themeColor="text1"/>
                <w:sz w:val="20"/>
                <w:szCs w:val="20"/>
                <w:lang w:val="en-PH" w:eastAsia="en-PH"/>
              </w:rPr>
            </w:pPr>
            <w:r w:rsidRPr="009E35ED">
              <w:rPr>
                <w:rFonts w:ascii="Arial Narrow" w:hAnsi="Arial Narrow" w:cs="Arial"/>
                <w:color w:val="000000" w:themeColor="text1"/>
                <w:sz w:val="20"/>
                <w:szCs w:val="20"/>
                <w:lang w:val="en-PH" w:eastAsia="en-PH"/>
              </w:rPr>
              <w:t>0.500%*</w:t>
            </w:r>
          </w:p>
        </w:tc>
        <w:tc>
          <w:tcPr>
            <w:tcW w:w="1159" w:type="dxa"/>
            <w:vAlign w:val="center"/>
          </w:tcPr>
          <w:p w14:paraId="00ADEABB" w14:textId="6F3359F4" w:rsidR="00550599" w:rsidRPr="009E35ED" w:rsidRDefault="00550599" w:rsidP="00550599">
            <w:pPr>
              <w:ind w:left="0"/>
              <w:jc w:val="right"/>
              <w:rPr>
                <w:rFonts w:ascii="Arial Narrow" w:hAnsi="Arial Narrow" w:cs="Arial"/>
                <w:color w:val="000000" w:themeColor="text1"/>
                <w:sz w:val="20"/>
                <w:szCs w:val="20"/>
                <w:lang w:val="en-PH" w:eastAsia="en-PH"/>
              </w:rPr>
            </w:pPr>
            <w:r w:rsidRPr="009E35ED">
              <w:rPr>
                <w:rFonts w:ascii="Arial Narrow" w:hAnsi="Arial Narrow" w:cs="Arial"/>
                <w:color w:val="000000" w:themeColor="text1"/>
                <w:sz w:val="20"/>
                <w:szCs w:val="20"/>
                <w:lang w:val="en-PH" w:eastAsia="en-PH"/>
              </w:rPr>
              <w:t>2.0000%</w:t>
            </w:r>
          </w:p>
        </w:tc>
        <w:tc>
          <w:tcPr>
            <w:tcW w:w="1046" w:type="dxa"/>
            <w:vAlign w:val="center"/>
          </w:tcPr>
          <w:p w14:paraId="71B9D3EF" w14:textId="355DC029" w:rsidR="00550599" w:rsidRPr="009E35ED" w:rsidRDefault="00550599" w:rsidP="00D043CC">
            <w:pPr>
              <w:ind w:left="0"/>
              <w:jc w:val="right"/>
              <w:rPr>
                <w:rFonts w:ascii="Arial Narrow" w:hAnsi="Arial Narrow" w:cs="Arial"/>
                <w:color w:val="000000" w:themeColor="text1"/>
                <w:sz w:val="20"/>
                <w:szCs w:val="20"/>
                <w:lang w:val="en-PH" w:eastAsia="en-PH"/>
              </w:rPr>
            </w:pPr>
            <w:r w:rsidRPr="009E35ED">
              <w:rPr>
                <w:rFonts w:ascii="Arial Narrow" w:hAnsi="Arial Narrow" w:cs="Arial"/>
                <w:color w:val="000000" w:themeColor="text1"/>
                <w:sz w:val="20"/>
                <w:szCs w:val="20"/>
                <w:lang w:val="en-PH" w:eastAsia="en-PH"/>
              </w:rPr>
              <w:t>2.0000%</w:t>
            </w:r>
          </w:p>
        </w:tc>
        <w:tc>
          <w:tcPr>
            <w:tcW w:w="222" w:type="dxa"/>
          </w:tcPr>
          <w:p w14:paraId="3CE3AB0B" w14:textId="0978935C" w:rsidR="00550599" w:rsidRPr="009E35ED" w:rsidRDefault="00550599" w:rsidP="00550599">
            <w:pPr>
              <w:ind w:left="0"/>
              <w:jc w:val="right"/>
              <w:rPr>
                <w:rFonts w:ascii="Arial Narrow" w:hAnsi="Arial Narrow" w:cs="Arial"/>
                <w:color w:val="000000" w:themeColor="text1"/>
                <w:sz w:val="20"/>
                <w:szCs w:val="20"/>
                <w:lang w:val="en-PH" w:eastAsia="en-PH"/>
              </w:rPr>
            </w:pPr>
          </w:p>
        </w:tc>
      </w:tr>
      <w:tr w:rsidR="00997F75" w:rsidRPr="009E35ED" w14:paraId="09FD10A4" w14:textId="0525A343" w:rsidTr="00D043CC">
        <w:trPr>
          <w:trHeight w:val="297"/>
        </w:trPr>
        <w:tc>
          <w:tcPr>
            <w:tcW w:w="3420" w:type="dxa"/>
            <w:shd w:val="clear" w:color="auto" w:fill="auto"/>
            <w:vAlign w:val="center"/>
            <w:hideMark/>
          </w:tcPr>
          <w:p w14:paraId="5A2F21BA" w14:textId="77777777" w:rsidR="00550599" w:rsidRPr="009E35ED" w:rsidRDefault="00550599" w:rsidP="00550599">
            <w:pPr>
              <w:ind w:left="0"/>
              <w:rPr>
                <w:rFonts w:ascii="Arial Narrow" w:hAnsi="Arial Narrow" w:cs="Arial"/>
                <w:color w:val="000000" w:themeColor="text1"/>
                <w:sz w:val="20"/>
                <w:szCs w:val="20"/>
                <w:lang w:val="en-PH" w:eastAsia="en-PH"/>
              </w:rPr>
            </w:pPr>
            <w:r w:rsidRPr="009E35ED">
              <w:rPr>
                <w:rFonts w:ascii="Arial Narrow" w:hAnsi="Arial Narrow" w:cs="Arial"/>
                <w:color w:val="000000" w:themeColor="text1"/>
                <w:sz w:val="20"/>
                <w:szCs w:val="20"/>
                <w:lang w:val="en-PH" w:eastAsia="en-PH"/>
              </w:rPr>
              <w:t xml:space="preserve">     Printing Cost-AAC</w:t>
            </w:r>
          </w:p>
        </w:tc>
        <w:tc>
          <w:tcPr>
            <w:tcW w:w="864" w:type="dxa"/>
            <w:shd w:val="clear" w:color="auto" w:fill="auto"/>
            <w:vAlign w:val="center"/>
            <w:hideMark/>
          </w:tcPr>
          <w:p w14:paraId="5441155D" w14:textId="77777777" w:rsidR="00550599" w:rsidRPr="009E35ED" w:rsidRDefault="00550599" w:rsidP="00550599">
            <w:pPr>
              <w:ind w:left="0"/>
              <w:jc w:val="right"/>
              <w:rPr>
                <w:rFonts w:ascii="Arial Narrow" w:hAnsi="Arial Narrow" w:cs="Arial"/>
                <w:color w:val="000000" w:themeColor="text1"/>
                <w:sz w:val="20"/>
                <w:szCs w:val="20"/>
                <w:lang w:val="en-PH" w:eastAsia="en-PH"/>
              </w:rPr>
            </w:pPr>
          </w:p>
        </w:tc>
        <w:tc>
          <w:tcPr>
            <w:tcW w:w="955" w:type="dxa"/>
            <w:shd w:val="clear" w:color="auto" w:fill="auto"/>
            <w:noWrap/>
            <w:vAlign w:val="center"/>
            <w:hideMark/>
          </w:tcPr>
          <w:p w14:paraId="5FDD8333" w14:textId="77777777" w:rsidR="00550599" w:rsidRPr="009E35ED" w:rsidRDefault="00550599" w:rsidP="00550599">
            <w:pPr>
              <w:ind w:left="0"/>
              <w:jc w:val="right"/>
              <w:rPr>
                <w:rFonts w:ascii="Arial Narrow" w:hAnsi="Arial Narrow" w:cs="Arial"/>
                <w:color w:val="000000" w:themeColor="text1"/>
                <w:sz w:val="20"/>
                <w:szCs w:val="20"/>
                <w:lang w:val="en-PH" w:eastAsia="en-PH"/>
              </w:rPr>
            </w:pPr>
            <w:r w:rsidRPr="009E35ED">
              <w:rPr>
                <w:rFonts w:ascii="Arial Narrow" w:hAnsi="Arial Narrow" w:cs="Arial"/>
                <w:color w:val="000000" w:themeColor="text1"/>
                <w:sz w:val="20"/>
                <w:szCs w:val="20"/>
                <w:lang w:val="en-PH" w:eastAsia="en-PH"/>
              </w:rPr>
              <w:t>0.500%*</w:t>
            </w:r>
          </w:p>
        </w:tc>
        <w:tc>
          <w:tcPr>
            <w:tcW w:w="955" w:type="dxa"/>
            <w:shd w:val="clear" w:color="auto" w:fill="auto"/>
            <w:noWrap/>
            <w:vAlign w:val="center"/>
            <w:hideMark/>
          </w:tcPr>
          <w:p w14:paraId="4FFF2361" w14:textId="77777777" w:rsidR="00550599" w:rsidRPr="009E35ED" w:rsidRDefault="00550599" w:rsidP="00550599">
            <w:pPr>
              <w:ind w:left="0"/>
              <w:jc w:val="right"/>
              <w:rPr>
                <w:rFonts w:ascii="Arial Narrow" w:hAnsi="Arial Narrow" w:cs="Arial"/>
                <w:color w:val="000000" w:themeColor="text1"/>
                <w:sz w:val="20"/>
                <w:szCs w:val="20"/>
                <w:lang w:val="en-PH" w:eastAsia="en-PH"/>
              </w:rPr>
            </w:pPr>
            <w:r w:rsidRPr="009E35ED">
              <w:rPr>
                <w:rFonts w:ascii="Arial Narrow" w:hAnsi="Arial Narrow" w:cs="Arial"/>
                <w:color w:val="000000" w:themeColor="text1"/>
                <w:sz w:val="20"/>
                <w:szCs w:val="20"/>
                <w:lang w:val="en-PH" w:eastAsia="en-PH"/>
              </w:rPr>
              <w:t>1.500%*</w:t>
            </w:r>
          </w:p>
        </w:tc>
        <w:tc>
          <w:tcPr>
            <w:tcW w:w="1159" w:type="dxa"/>
            <w:vAlign w:val="center"/>
          </w:tcPr>
          <w:p w14:paraId="0664F713" w14:textId="77777777" w:rsidR="00550599" w:rsidRPr="009E35ED" w:rsidRDefault="00550599" w:rsidP="00550599">
            <w:pPr>
              <w:ind w:left="0"/>
              <w:jc w:val="right"/>
              <w:rPr>
                <w:rFonts w:ascii="Arial Narrow" w:hAnsi="Arial Narrow" w:cs="Arial"/>
                <w:color w:val="000000" w:themeColor="text1"/>
                <w:sz w:val="20"/>
                <w:szCs w:val="20"/>
                <w:lang w:val="en-PH" w:eastAsia="en-PH"/>
              </w:rPr>
            </w:pPr>
          </w:p>
        </w:tc>
        <w:tc>
          <w:tcPr>
            <w:tcW w:w="1046" w:type="dxa"/>
            <w:vAlign w:val="center"/>
          </w:tcPr>
          <w:p w14:paraId="240D2FD3" w14:textId="77777777" w:rsidR="00550599" w:rsidRPr="009E35ED" w:rsidRDefault="00550599" w:rsidP="00D043CC">
            <w:pPr>
              <w:ind w:left="0"/>
              <w:jc w:val="right"/>
              <w:rPr>
                <w:rFonts w:ascii="Arial Narrow" w:hAnsi="Arial Narrow" w:cs="Arial"/>
                <w:color w:val="000000" w:themeColor="text1"/>
                <w:sz w:val="20"/>
                <w:szCs w:val="20"/>
                <w:lang w:val="en-PH" w:eastAsia="en-PH"/>
              </w:rPr>
            </w:pPr>
          </w:p>
        </w:tc>
        <w:tc>
          <w:tcPr>
            <w:tcW w:w="222" w:type="dxa"/>
          </w:tcPr>
          <w:p w14:paraId="0FF4E1C9" w14:textId="01047BC7" w:rsidR="00550599" w:rsidRPr="009E35ED" w:rsidRDefault="00550599" w:rsidP="00550599">
            <w:pPr>
              <w:ind w:left="0"/>
              <w:jc w:val="right"/>
              <w:rPr>
                <w:rFonts w:ascii="Arial Narrow" w:hAnsi="Arial Narrow" w:cs="Arial"/>
                <w:color w:val="000000" w:themeColor="text1"/>
                <w:sz w:val="20"/>
                <w:szCs w:val="20"/>
                <w:lang w:val="en-PH" w:eastAsia="en-PH"/>
              </w:rPr>
            </w:pPr>
          </w:p>
        </w:tc>
      </w:tr>
      <w:tr w:rsidR="00997F75" w:rsidRPr="009E35ED" w14:paraId="4373F07A" w14:textId="4086A872" w:rsidTr="00D043CC">
        <w:trPr>
          <w:trHeight w:val="297"/>
        </w:trPr>
        <w:tc>
          <w:tcPr>
            <w:tcW w:w="3420" w:type="dxa"/>
            <w:shd w:val="clear" w:color="auto" w:fill="auto"/>
            <w:vAlign w:val="bottom"/>
            <w:hideMark/>
          </w:tcPr>
          <w:p w14:paraId="4C74133B" w14:textId="62569225" w:rsidR="00550599" w:rsidRPr="009E35ED" w:rsidRDefault="00550599" w:rsidP="00550599">
            <w:pPr>
              <w:ind w:left="0" w:right="-122"/>
              <w:jc w:val="left"/>
              <w:rPr>
                <w:rFonts w:ascii="Arial Narrow" w:hAnsi="Arial Narrow"/>
                <w:color w:val="000000" w:themeColor="text1"/>
                <w:sz w:val="20"/>
                <w:szCs w:val="20"/>
                <w:lang w:val="en-PH" w:eastAsia="en-PH"/>
              </w:rPr>
            </w:pPr>
            <w:r w:rsidRPr="009E35ED">
              <w:rPr>
                <w:rFonts w:ascii="Arial Narrow" w:hAnsi="Arial Narrow"/>
                <w:color w:val="000000" w:themeColor="text1"/>
                <w:sz w:val="20"/>
                <w:szCs w:val="20"/>
                <w:lang w:val="en-PH" w:eastAsia="en-PH"/>
              </w:rPr>
              <w:t xml:space="preserve">         2% EWT – Printing Cost - AA</w:t>
            </w:r>
            <w:r w:rsidR="00D01A6F">
              <w:rPr>
                <w:rFonts w:ascii="Arial Narrow" w:hAnsi="Arial Narrow"/>
                <w:color w:val="000000" w:themeColor="text1"/>
                <w:sz w:val="20"/>
                <w:szCs w:val="20"/>
                <w:lang w:val="en-PH" w:eastAsia="en-PH"/>
              </w:rPr>
              <w:t>C</w:t>
            </w:r>
          </w:p>
        </w:tc>
        <w:tc>
          <w:tcPr>
            <w:tcW w:w="864" w:type="dxa"/>
            <w:shd w:val="clear" w:color="auto" w:fill="auto"/>
            <w:vAlign w:val="center"/>
            <w:hideMark/>
          </w:tcPr>
          <w:p w14:paraId="2716DB50" w14:textId="77777777" w:rsidR="00550599" w:rsidRPr="009E35ED" w:rsidRDefault="00550599" w:rsidP="00550599">
            <w:pPr>
              <w:ind w:left="0"/>
              <w:jc w:val="right"/>
              <w:rPr>
                <w:rFonts w:ascii="Arial Narrow" w:hAnsi="Arial Narrow" w:cs="Arial"/>
                <w:color w:val="000000" w:themeColor="text1"/>
                <w:sz w:val="20"/>
                <w:szCs w:val="20"/>
                <w:lang w:val="en-PH" w:eastAsia="en-PH"/>
              </w:rPr>
            </w:pPr>
          </w:p>
        </w:tc>
        <w:tc>
          <w:tcPr>
            <w:tcW w:w="955" w:type="dxa"/>
            <w:shd w:val="clear" w:color="auto" w:fill="auto"/>
            <w:noWrap/>
            <w:vAlign w:val="center"/>
            <w:hideMark/>
          </w:tcPr>
          <w:p w14:paraId="32E840BD" w14:textId="77777777" w:rsidR="00550599" w:rsidRPr="009E35ED" w:rsidRDefault="00550599" w:rsidP="00550599">
            <w:pPr>
              <w:ind w:left="0"/>
              <w:jc w:val="right"/>
              <w:rPr>
                <w:rFonts w:ascii="Arial Narrow" w:hAnsi="Arial Narrow" w:cs="Arial"/>
                <w:color w:val="000000" w:themeColor="text1"/>
                <w:sz w:val="20"/>
                <w:szCs w:val="20"/>
                <w:lang w:val="en-PH" w:eastAsia="en-PH"/>
              </w:rPr>
            </w:pPr>
          </w:p>
        </w:tc>
        <w:tc>
          <w:tcPr>
            <w:tcW w:w="955" w:type="dxa"/>
            <w:shd w:val="clear" w:color="auto" w:fill="auto"/>
            <w:noWrap/>
            <w:vAlign w:val="bottom"/>
            <w:hideMark/>
          </w:tcPr>
          <w:p w14:paraId="130860BD" w14:textId="77777777" w:rsidR="00550599" w:rsidRPr="009E35ED" w:rsidRDefault="00550599" w:rsidP="00550599">
            <w:pPr>
              <w:ind w:left="0"/>
              <w:jc w:val="right"/>
              <w:rPr>
                <w:rFonts w:ascii="Arial Narrow" w:hAnsi="Arial Narrow"/>
                <w:color w:val="000000" w:themeColor="text1"/>
                <w:sz w:val="20"/>
                <w:szCs w:val="20"/>
                <w:lang w:val="en-PH" w:eastAsia="en-PH"/>
              </w:rPr>
            </w:pPr>
            <w:r w:rsidRPr="009E35ED">
              <w:rPr>
                <w:rFonts w:ascii="Arial Narrow" w:hAnsi="Arial Narrow"/>
                <w:color w:val="000000" w:themeColor="text1"/>
                <w:sz w:val="20"/>
                <w:szCs w:val="20"/>
                <w:lang w:val="en-PH" w:eastAsia="en-PH"/>
              </w:rPr>
              <w:t>0.030%</w:t>
            </w:r>
          </w:p>
        </w:tc>
        <w:tc>
          <w:tcPr>
            <w:tcW w:w="1159" w:type="dxa"/>
            <w:vAlign w:val="center"/>
          </w:tcPr>
          <w:p w14:paraId="17B58FA4" w14:textId="77777777" w:rsidR="00550599" w:rsidRPr="009E35ED" w:rsidRDefault="00550599" w:rsidP="00550599">
            <w:pPr>
              <w:ind w:left="0"/>
              <w:jc w:val="right"/>
              <w:rPr>
                <w:rFonts w:ascii="Arial Narrow" w:hAnsi="Arial Narrow"/>
                <w:color w:val="000000" w:themeColor="text1"/>
                <w:sz w:val="20"/>
                <w:szCs w:val="20"/>
                <w:lang w:val="en-PH" w:eastAsia="en-PH"/>
              </w:rPr>
            </w:pPr>
          </w:p>
        </w:tc>
        <w:tc>
          <w:tcPr>
            <w:tcW w:w="1046" w:type="dxa"/>
            <w:vAlign w:val="center"/>
          </w:tcPr>
          <w:p w14:paraId="2DFC2B45" w14:textId="77777777" w:rsidR="00550599" w:rsidRPr="009E35ED" w:rsidRDefault="00550599" w:rsidP="00D043CC">
            <w:pPr>
              <w:ind w:left="0"/>
              <w:jc w:val="right"/>
              <w:rPr>
                <w:rFonts w:ascii="Arial Narrow" w:hAnsi="Arial Narrow"/>
                <w:color w:val="000000" w:themeColor="text1"/>
                <w:sz w:val="20"/>
                <w:szCs w:val="20"/>
                <w:lang w:val="en-PH" w:eastAsia="en-PH"/>
              </w:rPr>
            </w:pPr>
          </w:p>
        </w:tc>
        <w:tc>
          <w:tcPr>
            <w:tcW w:w="222" w:type="dxa"/>
          </w:tcPr>
          <w:p w14:paraId="08F901BF" w14:textId="28F083C7" w:rsidR="00550599" w:rsidRPr="009E35ED" w:rsidRDefault="00550599" w:rsidP="00550599">
            <w:pPr>
              <w:ind w:left="0"/>
              <w:jc w:val="right"/>
              <w:rPr>
                <w:rFonts w:ascii="Arial Narrow" w:hAnsi="Arial Narrow"/>
                <w:color w:val="000000" w:themeColor="text1"/>
                <w:sz w:val="20"/>
                <w:szCs w:val="20"/>
                <w:lang w:val="en-PH" w:eastAsia="en-PH"/>
              </w:rPr>
            </w:pPr>
          </w:p>
        </w:tc>
      </w:tr>
      <w:tr w:rsidR="00997F75" w:rsidRPr="009E35ED" w14:paraId="055AE88A" w14:textId="53C4B82E" w:rsidTr="00D043CC">
        <w:trPr>
          <w:trHeight w:val="297"/>
        </w:trPr>
        <w:tc>
          <w:tcPr>
            <w:tcW w:w="3420" w:type="dxa"/>
            <w:shd w:val="clear" w:color="auto" w:fill="auto"/>
            <w:vAlign w:val="bottom"/>
            <w:hideMark/>
          </w:tcPr>
          <w:p w14:paraId="51DD4C8A" w14:textId="2E317414" w:rsidR="00550599" w:rsidRPr="009E35ED" w:rsidRDefault="00550599" w:rsidP="00550599">
            <w:pPr>
              <w:ind w:left="0" w:right="-122"/>
              <w:jc w:val="left"/>
              <w:rPr>
                <w:rFonts w:ascii="Arial Narrow" w:hAnsi="Arial Narrow"/>
                <w:color w:val="000000" w:themeColor="text1"/>
                <w:sz w:val="20"/>
                <w:szCs w:val="20"/>
                <w:lang w:val="en-PH" w:eastAsia="en-PH"/>
              </w:rPr>
            </w:pPr>
            <w:r w:rsidRPr="009E35ED">
              <w:rPr>
                <w:rFonts w:ascii="Arial Narrow" w:hAnsi="Arial Narrow"/>
                <w:color w:val="000000" w:themeColor="text1"/>
                <w:sz w:val="20"/>
                <w:szCs w:val="20"/>
                <w:lang w:val="en-PH" w:eastAsia="en-PH"/>
              </w:rPr>
              <w:t xml:space="preserve">         5% VAT – Printing Cost - AA</w:t>
            </w:r>
            <w:r w:rsidR="00D01A6F">
              <w:rPr>
                <w:rFonts w:ascii="Arial Narrow" w:hAnsi="Arial Narrow"/>
                <w:color w:val="000000" w:themeColor="text1"/>
                <w:sz w:val="20"/>
                <w:szCs w:val="20"/>
                <w:lang w:val="en-PH" w:eastAsia="en-PH"/>
              </w:rPr>
              <w:t>C</w:t>
            </w:r>
          </w:p>
        </w:tc>
        <w:tc>
          <w:tcPr>
            <w:tcW w:w="864" w:type="dxa"/>
            <w:shd w:val="clear" w:color="auto" w:fill="auto"/>
            <w:vAlign w:val="center"/>
            <w:hideMark/>
          </w:tcPr>
          <w:p w14:paraId="4293C87F" w14:textId="77777777" w:rsidR="00550599" w:rsidRPr="009E35ED" w:rsidRDefault="00550599" w:rsidP="00550599">
            <w:pPr>
              <w:ind w:left="0"/>
              <w:jc w:val="right"/>
              <w:rPr>
                <w:rFonts w:ascii="Arial Narrow" w:hAnsi="Arial Narrow" w:cs="Arial"/>
                <w:color w:val="000000" w:themeColor="text1"/>
                <w:sz w:val="20"/>
                <w:szCs w:val="20"/>
                <w:lang w:val="en-PH" w:eastAsia="en-PH"/>
              </w:rPr>
            </w:pPr>
          </w:p>
        </w:tc>
        <w:tc>
          <w:tcPr>
            <w:tcW w:w="955" w:type="dxa"/>
            <w:shd w:val="clear" w:color="auto" w:fill="auto"/>
            <w:noWrap/>
            <w:vAlign w:val="center"/>
            <w:hideMark/>
          </w:tcPr>
          <w:p w14:paraId="3A7F86FB" w14:textId="77777777" w:rsidR="00550599" w:rsidRPr="009E35ED" w:rsidRDefault="00550599" w:rsidP="00550599">
            <w:pPr>
              <w:ind w:left="0"/>
              <w:jc w:val="right"/>
              <w:rPr>
                <w:rFonts w:ascii="Arial Narrow" w:hAnsi="Arial Narrow" w:cs="Arial"/>
                <w:color w:val="000000" w:themeColor="text1"/>
                <w:sz w:val="20"/>
                <w:szCs w:val="20"/>
                <w:lang w:val="en-PH" w:eastAsia="en-PH"/>
              </w:rPr>
            </w:pPr>
          </w:p>
        </w:tc>
        <w:tc>
          <w:tcPr>
            <w:tcW w:w="955" w:type="dxa"/>
            <w:shd w:val="clear" w:color="auto" w:fill="auto"/>
            <w:noWrap/>
            <w:vAlign w:val="bottom"/>
            <w:hideMark/>
          </w:tcPr>
          <w:p w14:paraId="496A12AA" w14:textId="77777777" w:rsidR="00550599" w:rsidRPr="009E35ED" w:rsidRDefault="00550599" w:rsidP="00550599">
            <w:pPr>
              <w:ind w:left="0"/>
              <w:jc w:val="right"/>
              <w:rPr>
                <w:rFonts w:ascii="Arial Narrow" w:hAnsi="Arial Narrow"/>
                <w:color w:val="000000" w:themeColor="text1"/>
                <w:sz w:val="20"/>
                <w:szCs w:val="20"/>
                <w:lang w:val="en-PH" w:eastAsia="en-PH"/>
              </w:rPr>
            </w:pPr>
            <w:r w:rsidRPr="009E35ED">
              <w:rPr>
                <w:rFonts w:ascii="Arial Narrow" w:hAnsi="Arial Narrow"/>
                <w:color w:val="000000" w:themeColor="text1"/>
                <w:sz w:val="20"/>
                <w:szCs w:val="20"/>
                <w:lang w:val="en-PH" w:eastAsia="en-PH"/>
              </w:rPr>
              <w:t>0.075%</w:t>
            </w:r>
          </w:p>
        </w:tc>
        <w:tc>
          <w:tcPr>
            <w:tcW w:w="1159" w:type="dxa"/>
            <w:vAlign w:val="center"/>
          </w:tcPr>
          <w:p w14:paraId="5ADF0A43" w14:textId="77777777" w:rsidR="00550599" w:rsidRPr="009E35ED" w:rsidRDefault="00550599" w:rsidP="00550599">
            <w:pPr>
              <w:ind w:left="0"/>
              <w:jc w:val="right"/>
              <w:rPr>
                <w:rFonts w:ascii="Arial Narrow" w:hAnsi="Arial Narrow"/>
                <w:color w:val="000000" w:themeColor="text1"/>
                <w:sz w:val="20"/>
                <w:szCs w:val="20"/>
                <w:lang w:val="en-PH" w:eastAsia="en-PH"/>
              </w:rPr>
            </w:pPr>
          </w:p>
        </w:tc>
        <w:tc>
          <w:tcPr>
            <w:tcW w:w="1046" w:type="dxa"/>
            <w:vAlign w:val="center"/>
          </w:tcPr>
          <w:p w14:paraId="3C389E65" w14:textId="77777777" w:rsidR="00550599" w:rsidRPr="009E35ED" w:rsidRDefault="00550599" w:rsidP="00D043CC">
            <w:pPr>
              <w:ind w:left="0"/>
              <w:jc w:val="right"/>
              <w:rPr>
                <w:rFonts w:ascii="Arial Narrow" w:hAnsi="Arial Narrow"/>
                <w:color w:val="000000" w:themeColor="text1"/>
                <w:sz w:val="20"/>
                <w:szCs w:val="20"/>
                <w:lang w:val="en-PH" w:eastAsia="en-PH"/>
              </w:rPr>
            </w:pPr>
          </w:p>
        </w:tc>
        <w:tc>
          <w:tcPr>
            <w:tcW w:w="222" w:type="dxa"/>
          </w:tcPr>
          <w:p w14:paraId="3CDA949A" w14:textId="3E14BA37" w:rsidR="00550599" w:rsidRPr="009E35ED" w:rsidRDefault="00550599" w:rsidP="00550599">
            <w:pPr>
              <w:ind w:left="0"/>
              <w:jc w:val="right"/>
              <w:rPr>
                <w:rFonts w:ascii="Arial Narrow" w:hAnsi="Arial Narrow"/>
                <w:color w:val="000000" w:themeColor="text1"/>
                <w:sz w:val="20"/>
                <w:szCs w:val="20"/>
                <w:lang w:val="en-PH" w:eastAsia="en-PH"/>
              </w:rPr>
            </w:pPr>
          </w:p>
        </w:tc>
      </w:tr>
      <w:tr w:rsidR="00997F75" w:rsidRPr="009E35ED" w14:paraId="6D554821" w14:textId="2883B442" w:rsidTr="00D043CC">
        <w:trPr>
          <w:trHeight w:val="297"/>
        </w:trPr>
        <w:tc>
          <w:tcPr>
            <w:tcW w:w="3420" w:type="dxa"/>
            <w:shd w:val="clear" w:color="auto" w:fill="auto"/>
            <w:vAlign w:val="bottom"/>
            <w:hideMark/>
          </w:tcPr>
          <w:p w14:paraId="0B97B560" w14:textId="77777777" w:rsidR="00550599" w:rsidRPr="009E35ED" w:rsidRDefault="00550599" w:rsidP="00550599">
            <w:pPr>
              <w:ind w:left="0" w:right="-122"/>
              <w:jc w:val="left"/>
              <w:rPr>
                <w:rFonts w:ascii="Arial Narrow" w:hAnsi="Arial Narrow"/>
                <w:color w:val="000000" w:themeColor="text1"/>
                <w:sz w:val="20"/>
                <w:szCs w:val="20"/>
                <w:lang w:val="en-PH" w:eastAsia="en-PH"/>
              </w:rPr>
            </w:pPr>
            <w:r w:rsidRPr="009E35ED">
              <w:rPr>
                <w:rFonts w:ascii="Arial Narrow" w:hAnsi="Arial Narrow"/>
                <w:color w:val="000000" w:themeColor="text1"/>
                <w:sz w:val="20"/>
                <w:szCs w:val="20"/>
                <w:lang w:val="en-PH" w:eastAsia="en-PH"/>
              </w:rPr>
              <w:t xml:space="preserve">         Net Printing Cost to AAC</w:t>
            </w:r>
          </w:p>
        </w:tc>
        <w:tc>
          <w:tcPr>
            <w:tcW w:w="864" w:type="dxa"/>
            <w:shd w:val="clear" w:color="auto" w:fill="auto"/>
            <w:vAlign w:val="center"/>
            <w:hideMark/>
          </w:tcPr>
          <w:p w14:paraId="4E879FFD" w14:textId="77777777" w:rsidR="00550599" w:rsidRPr="009E35ED" w:rsidRDefault="00550599" w:rsidP="00550599">
            <w:pPr>
              <w:ind w:left="0"/>
              <w:jc w:val="right"/>
              <w:rPr>
                <w:rFonts w:ascii="Arial Narrow" w:hAnsi="Arial Narrow" w:cs="Arial"/>
                <w:color w:val="000000" w:themeColor="text1"/>
                <w:sz w:val="20"/>
                <w:szCs w:val="20"/>
                <w:lang w:val="en-PH" w:eastAsia="en-PH"/>
              </w:rPr>
            </w:pPr>
          </w:p>
        </w:tc>
        <w:tc>
          <w:tcPr>
            <w:tcW w:w="955" w:type="dxa"/>
            <w:shd w:val="clear" w:color="auto" w:fill="auto"/>
            <w:noWrap/>
            <w:vAlign w:val="center"/>
            <w:hideMark/>
          </w:tcPr>
          <w:p w14:paraId="441192BD" w14:textId="77777777" w:rsidR="00550599" w:rsidRPr="009E35ED" w:rsidRDefault="00550599" w:rsidP="00550599">
            <w:pPr>
              <w:ind w:left="0"/>
              <w:jc w:val="right"/>
              <w:rPr>
                <w:rFonts w:ascii="Arial Narrow" w:hAnsi="Arial Narrow" w:cs="Arial"/>
                <w:color w:val="000000" w:themeColor="text1"/>
                <w:sz w:val="20"/>
                <w:szCs w:val="20"/>
                <w:lang w:val="en-PH" w:eastAsia="en-PH"/>
              </w:rPr>
            </w:pPr>
          </w:p>
        </w:tc>
        <w:tc>
          <w:tcPr>
            <w:tcW w:w="955" w:type="dxa"/>
            <w:shd w:val="clear" w:color="auto" w:fill="auto"/>
            <w:noWrap/>
            <w:vAlign w:val="bottom"/>
            <w:hideMark/>
          </w:tcPr>
          <w:p w14:paraId="713730BA" w14:textId="77777777" w:rsidR="00550599" w:rsidRPr="009E35ED" w:rsidRDefault="00550599" w:rsidP="00550599">
            <w:pPr>
              <w:ind w:left="0"/>
              <w:jc w:val="right"/>
              <w:rPr>
                <w:rFonts w:ascii="Arial Narrow" w:hAnsi="Arial Narrow"/>
                <w:color w:val="000000" w:themeColor="text1"/>
                <w:sz w:val="20"/>
                <w:szCs w:val="20"/>
                <w:lang w:val="en-PH" w:eastAsia="en-PH"/>
              </w:rPr>
            </w:pPr>
            <w:r w:rsidRPr="009E35ED">
              <w:rPr>
                <w:rFonts w:ascii="Arial Narrow" w:hAnsi="Arial Narrow"/>
                <w:color w:val="000000" w:themeColor="text1"/>
                <w:sz w:val="20"/>
                <w:szCs w:val="20"/>
                <w:lang w:val="en-PH" w:eastAsia="en-PH"/>
              </w:rPr>
              <w:t>1.395%</w:t>
            </w:r>
          </w:p>
        </w:tc>
        <w:tc>
          <w:tcPr>
            <w:tcW w:w="1159" w:type="dxa"/>
            <w:vAlign w:val="center"/>
          </w:tcPr>
          <w:p w14:paraId="55581ADE" w14:textId="77777777" w:rsidR="00550599" w:rsidRPr="009E35ED" w:rsidRDefault="00550599" w:rsidP="00550599">
            <w:pPr>
              <w:ind w:left="0"/>
              <w:jc w:val="right"/>
              <w:rPr>
                <w:rFonts w:ascii="Arial Narrow" w:hAnsi="Arial Narrow"/>
                <w:color w:val="000000" w:themeColor="text1"/>
                <w:sz w:val="20"/>
                <w:szCs w:val="20"/>
                <w:lang w:val="en-PH" w:eastAsia="en-PH"/>
              </w:rPr>
            </w:pPr>
          </w:p>
        </w:tc>
        <w:tc>
          <w:tcPr>
            <w:tcW w:w="1046" w:type="dxa"/>
            <w:vAlign w:val="center"/>
          </w:tcPr>
          <w:p w14:paraId="106F485E" w14:textId="77777777" w:rsidR="00550599" w:rsidRPr="009E35ED" w:rsidRDefault="00550599" w:rsidP="00D043CC">
            <w:pPr>
              <w:ind w:left="0"/>
              <w:jc w:val="right"/>
              <w:rPr>
                <w:rFonts w:ascii="Arial Narrow" w:hAnsi="Arial Narrow"/>
                <w:color w:val="000000" w:themeColor="text1"/>
                <w:sz w:val="20"/>
                <w:szCs w:val="20"/>
                <w:lang w:val="en-PH" w:eastAsia="en-PH"/>
              </w:rPr>
            </w:pPr>
          </w:p>
        </w:tc>
        <w:tc>
          <w:tcPr>
            <w:tcW w:w="222" w:type="dxa"/>
          </w:tcPr>
          <w:p w14:paraId="5FA7196C" w14:textId="632152B8" w:rsidR="00550599" w:rsidRPr="009E35ED" w:rsidRDefault="00550599" w:rsidP="00550599">
            <w:pPr>
              <w:ind w:left="0"/>
              <w:jc w:val="right"/>
              <w:rPr>
                <w:rFonts w:ascii="Arial Narrow" w:hAnsi="Arial Narrow"/>
                <w:color w:val="000000" w:themeColor="text1"/>
                <w:sz w:val="20"/>
                <w:szCs w:val="20"/>
                <w:lang w:val="en-PH" w:eastAsia="en-PH"/>
              </w:rPr>
            </w:pPr>
          </w:p>
        </w:tc>
      </w:tr>
      <w:tr w:rsidR="00997F75" w:rsidRPr="009E35ED" w14:paraId="29A48A72" w14:textId="28872F15" w:rsidTr="00D043CC">
        <w:trPr>
          <w:trHeight w:val="297"/>
        </w:trPr>
        <w:tc>
          <w:tcPr>
            <w:tcW w:w="3420" w:type="dxa"/>
            <w:shd w:val="clear" w:color="auto" w:fill="auto"/>
            <w:vAlign w:val="center"/>
            <w:hideMark/>
          </w:tcPr>
          <w:p w14:paraId="7BBCFDDD" w14:textId="77777777" w:rsidR="00550599" w:rsidRPr="009E35ED" w:rsidRDefault="00550599" w:rsidP="00550599">
            <w:pPr>
              <w:ind w:left="0"/>
              <w:rPr>
                <w:rFonts w:ascii="Arial Narrow" w:hAnsi="Arial Narrow" w:cs="Arial"/>
                <w:color w:val="000000" w:themeColor="text1"/>
                <w:sz w:val="20"/>
                <w:szCs w:val="20"/>
                <w:lang w:val="en-PH" w:eastAsia="en-PH"/>
              </w:rPr>
            </w:pPr>
            <w:r w:rsidRPr="009E35ED">
              <w:rPr>
                <w:rFonts w:ascii="Arial Narrow" w:hAnsi="Arial Narrow" w:cs="Arial"/>
                <w:color w:val="000000" w:themeColor="text1"/>
                <w:sz w:val="20"/>
                <w:szCs w:val="20"/>
                <w:lang w:val="en-PH" w:eastAsia="en-PH"/>
              </w:rPr>
              <w:t xml:space="preserve">     Documentary Stamp Tax</w:t>
            </w:r>
          </w:p>
        </w:tc>
        <w:tc>
          <w:tcPr>
            <w:tcW w:w="864" w:type="dxa"/>
            <w:shd w:val="clear" w:color="auto" w:fill="auto"/>
            <w:vAlign w:val="center"/>
            <w:hideMark/>
          </w:tcPr>
          <w:p w14:paraId="59F52050" w14:textId="77777777" w:rsidR="00550599" w:rsidRPr="009E35ED" w:rsidRDefault="00550599" w:rsidP="00550599">
            <w:pPr>
              <w:ind w:left="0"/>
              <w:jc w:val="right"/>
              <w:rPr>
                <w:rFonts w:ascii="Arial Narrow" w:hAnsi="Arial Narrow" w:cs="Arial"/>
                <w:color w:val="000000" w:themeColor="text1"/>
                <w:sz w:val="20"/>
                <w:szCs w:val="20"/>
                <w:lang w:val="en-PH" w:eastAsia="en-PH"/>
              </w:rPr>
            </w:pPr>
            <w:r w:rsidRPr="009E35ED">
              <w:rPr>
                <w:rFonts w:ascii="Arial Narrow" w:hAnsi="Arial Narrow" w:cs="Arial"/>
                <w:color w:val="000000" w:themeColor="text1"/>
                <w:sz w:val="20"/>
                <w:szCs w:val="20"/>
                <w:lang w:val="en-PH" w:eastAsia="en-PH"/>
              </w:rPr>
              <w:t>0.00%</w:t>
            </w:r>
          </w:p>
        </w:tc>
        <w:tc>
          <w:tcPr>
            <w:tcW w:w="955" w:type="dxa"/>
            <w:shd w:val="clear" w:color="auto" w:fill="auto"/>
            <w:noWrap/>
            <w:vAlign w:val="center"/>
            <w:hideMark/>
          </w:tcPr>
          <w:p w14:paraId="2BE58D62" w14:textId="77777777" w:rsidR="00550599" w:rsidRPr="009E35ED" w:rsidRDefault="00550599" w:rsidP="00550599">
            <w:pPr>
              <w:ind w:left="0"/>
              <w:jc w:val="right"/>
              <w:rPr>
                <w:rFonts w:ascii="Arial Narrow" w:hAnsi="Arial Narrow" w:cs="Arial"/>
                <w:color w:val="000000" w:themeColor="text1"/>
                <w:sz w:val="20"/>
                <w:szCs w:val="20"/>
                <w:lang w:val="en-PH" w:eastAsia="en-PH"/>
              </w:rPr>
            </w:pPr>
            <w:r w:rsidRPr="009E35ED">
              <w:rPr>
                <w:rFonts w:ascii="Arial Narrow" w:hAnsi="Arial Narrow" w:cs="Arial"/>
                <w:color w:val="000000" w:themeColor="text1"/>
                <w:sz w:val="20"/>
                <w:szCs w:val="20"/>
                <w:lang w:val="en-PH" w:eastAsia="en-PH"/>
              </w:rPr>
              <w:t>20.000%</w:t>
            </w:r>
          </w:p>
        </w:tc>
        <w:tc>
          <w:tcPr>
            <w:tcW w:w="955" w:type="dxa"/>
            <w:shd w:val="clear" w:color="auto" w:fill="auto"/>
            <w:noWrap/>
            <w:vAlign w:val="center"/>
            <w:hideMark/>
          </w:tcPr>
          <w:p w14:paraId="206DA6CB" w14:textId="77777777" w:rsidR="00550599" w:rsidRPr="009E35ED" w:rsidRDefault="00550599" w:rsidP="00550599">
            <w:pPr>
              <w:ind w:left="0"/>
              <w:jc w:val="right"/>
              <w:rPr>
                <w:rFonts w:ascii="Arial Narrow" w:hAnsi="Arial Narrow" w:cs="Arial"/>
                <w:color w:val="000000" w:themeColor="text1"/>
                <w:sz w:val="20"/>
                <w:szCs w:val="20"/>
                <w:lang w:val="en-PH" w:eastAsia="en-PH"/>
              </w:rPr>
            </w:pPr>
            <w:r w:rsidRPr="009E35ED">
              <w:rPr>
                <w:rFonts w:ascii="Arial Narrow" w:hAnsi="Arial Narrow" w:cs="Arial"/>
                <w:color w:val="000000" w:themeColor="text1"/>
                <w:sz w:val="20"/>
                <w:szCs w:val="20"/>
                <w:lang w:val="en-PH" w:eastAsia="en-PH"/>
              </w:rPr>
              <w:t>0.000%</w:t>
            </w:r>
          </w:p>
        </w:tc>
        <w:tc>
          <w:tcPr>
            <w:tcW w:w="1159" w:type="dxa"/>
            <w:vAlign w:val="center"/>
          </w:tcPr>
          <w:p w14:paraId="499B5B96" w14:textId="7EC20D72" w:rsidR="00550599" w:rsidRPr="009E35ED" w:rsidRDefault="00550599" w:rsidP="00550599">
            <w:pPr>
              <w:ind w:left="0"/>
              <w:jc w:val="right"/>
              <w:rPr>
                <w:rFonts w:ascii="Arial Narrow" w:hAnsi="Arial Narrow" w:cs="Arial"/>
                <w:color w:val="000000" w:themeColor="text1"/>
                <w:sz w:val="20"/>
                <w:szCs w:val="20"/>
                <w:lang w:val="en-PH" w:eastAsia="en-PH"/>
              </w:rPr>
            </w:pPr>
            <w:r w:rsidRPr="009E35ED">
              <w:rPr>
                <w:rFonts w:ascii="Arial Narrow" w:hAnsi="Arial Narrow" w:cs="Arial"/>
                <w:color w:val="000000" w:themeColor="text1"/>
                <w:sz w:val="20"/>
                <w:szCs w:val="20"/>
                <w:lang w:val="en-PH" w:eastAsia="en-PH"/>
              </w:rPr>
              <w:t>0.00%</w:t>
            </w:r>
          </w:p>
        </w:tc>
        <w:tc>
          <w:tcPr>
            <w:tcW w:w="1046" w:type="dxa"/>
            <w:vAlign w:val="center"/>
          </w:tcPr>
          <w:p w14:paraId="39004D79" w14:textId="68A1C3AD" w:rsidR="00550599" w:rsidRPr="009E35ED" w:rsidRDefault="00550599" w:rsidP="00D043CC">
            <w:pPr>
              <w:ind w:left="0"/>
              <w:jc w:val="right"/>
              <w:rPr>
                <w:rFonts w:ascii="Arial Narrow" w:hAnsi="Arial Narrow" w:cs="Arial"/>
                <w:color w:val="000000" w:themeColor="text1"/>
                <w:sz w:val="20"/>
                <w:szCs w:val="20"/>
                <w:lang w:val="en-PH" w:eastAsia="en-PH"/>
              </w:rPr>
            </w:pPr>
            <w:r w:rsidRPr="009E35ED">
              <w:rPr>
                <w:rFonts w:ascii="Arial Narrow" w:hAnsi="Arial Narrow" w:cs="Arial"/>
                <w:color w:val="000000" w:themeColor="text1"/>
                <w:sz w:val="20"/>
                <w:szCs w:val="20"/>
                <w:lang w:val="en-PH" w:eastAsia="en-PH"/>
              </w:rPr>
              <w:t>0.00%</w:t>
            </w:r>
          </w:p>
        </w:tc>
        <w:tc>
          <w:tcPr>
            <w:tcW w:w="222" w:type="dxa"/>
          </w:tcPr>
          <w:p w14:paraId="65261337" w14:textId="18380ABA" w:rsidR="00550599" w:rsidRPr="009E35ED" w:rsidRDefault="00550599" w:rsidP="00550599">
            <w:pPr>
              <w:ind w:left="0"/>
              <w:jc w:val="right"/>
              <w:rPr>
                <w:rFonts w:ascii="Arial Narrow" w:hAnsi="Arial Narrow" w:cs="Arial"/>
                <w:color w:val="000000" w:themeColor="text1"/>
                <w:sz w:val="20"/>
                <w:szCs w:val="20"/>
                <w:lang w:val="en-PH" w:eastAsia="en-PH"/>
              </w:rPr>
            </w:pPr>
          </w:p>
        </w:tc>
      </w:tr>
      <w:tr w:rsidR="00997F75" w:rsidRPr="009E35ED" w14:paraId="57F2A26D" w14:textId="00BC15FA" w:rsidTr="00B90388">
        <w:trPr>
          <w:trHeight w:val="802"/>
        </w:trPr>
        <w:tc>
          <w:tcPr>
            <w:tcW w:w="3420" w:type="dxa"/>
            <w:shd w:val="clear" w:color="auto" w:fill="auto"/>
            <w:vAlign w:val="center"/>
            <w:hideMark/>
          </w:tcPr>
          <w:p w14:paraId="286002F2" w14:textId="77777777" w:rsidR="00550599" w:rsidRPr="009E35ED" w:rsidRDefault="00550599" w:rsidP="00550599">
            <w:pPr>
              <w:ind w:left="0"/>
              <w:rPr>
                <w:rFonts w:ascii="Arial Narrow" w:hAnsi="Arial Narrow" w:cs="Arial"/>
                <w:b/>
                <w:bCs/>
                <w:color w:val="000000" w:themeColor="text1"/>
                <w:sz w:val="20"/>
                <w:szCs w:val="20"/>
                <w:lang w:val="en-PH" w:eastAsia="en-PH"/>
              </w:rPr>
            </w:pPr>
            <w:r w:rsidRPr="009E35ED">
              <w:rPr>
                <w:rFonts w:ascii="Arial Narrow" w:hAnsi="Arial Narrow" w:cs="Arial"/>
                <w:b/>
                <w:bCs/>
                <w:color w:val="000000" w:themeColor="text1"/>
                <w:sz w:val="20"/>
                <w:szCs w:val="20"/>
                <w:lang w:val="en-PH" w:eastAsia="en-PH"/>
              </w:rPr>
              <w:t>II. Net Sales</w:t>
            </w:r>
          </w:p>
        </w:tc>
        <w:tc>
          <w:tcPr>
            <w:tcW w:w="864" w:type="dxa"/>
            <w:shd w:val="clear" w:color="auto" w:fill="auto"/>
            <w:vAlign w:val="center"/>
            <w:hideMark/>
          </w:tcPr>
          <w:p w14:paraId="2C52DC4A" w14:textId="77777777" w:rsidR="00550599" w:rsidRPr="009E35ED" w:rsidRDefault="00550599" w:rsidP="00550599">
            <w:pPr>
              <w:ind w:left="0"/>
              <w:jc w:val="right"/>
              <w:rPr>
                <w:rFonts w:ascii="Arial Narrow" w:hAnsi="Arial Narrow" w:cs="Arial"/>
                <w:color w:val="000000" w:themeColor="text1"/>
                <w:sz w:val="20"/>
                <w:szCs w:val="20"/>
                <w:lang w:val="en-PH" w:eastAsia="en-PH"/>
              </w:rPr>
            </w:pPr>
            <w:r w:rsidRPr="009E35ED">
              <w:rPr>
                <w:rFonts w:ascii="Arial Narrow" w:hAnsi="Arial Narrow" w:cs="Arial"/>
                <w:color w:val="000000" w:themeColor="text1"/>
                <w:sz w:val="20"/>
                <w:szCs w:val="20"/>
                <w:lang w:val="en-PH" w:eastAsia="en-PH"/>
              </w:rPr>
              <w:t>98.00%</w:t>
            </w:r>
          </w:p>
        </w:tc>
        <w:tc>
          <w:tcPr>
            <w:tcW w:w="955" w:type="dxa"/>
            <w:shd w:val="clear" w:color="auto" w:fill="auto"/>
            <w:noWrap/>
            <w:vAlign w:val="center"/>
            <w:hideMark/>
          </w:tcPr>
          <w:p w14:paraId="01D9BF0E" w14:textId="77777777" w:rsidR="00550599" w:rsidRPr="009E35ED" w:rsidRDefault="00550599" w:rsidP="00550599">
            <w:pPr>
              <w:ind w:left="0"/>
              <w:jc w:val="right"/>
              <w:rPr>
                <w:rFonts w:ascii="Arial Narrow" w:hAnsi="Arial Narrow" w:cs="Arial"/>
                <w:color w:val="000000" w:themeColor="text1"/>
                <w:sz w:val="20"/>
                <w:szCs w:val="20"/>
                <w:lang w:val="en-PH" w:eastAsia="en-PH"/>
              </w:rPr>
            </w:pPr>
            <w:r w:rsidRPr="009E35ED">
              <w:rPr>
                <w:rFonts w:ascii="Arial Narrow" w:hAnsi="Arial Narrow" w:cs="Arial"/>
                <w:color w:val="000000" w:themeColor="text1"/>
                <w:sz w:val="20"/>
                <w:szCs w:val="20"/>
                <w:lang w:val="en-PH" w:eastAsia="en-PH"/>
              </w:rPr>
              <w:t>78.000%</w:t>
            </w:r>
          </w:p>
        </w:tc>
        <w:tc>
          <w:tcPr>
            <w:tcW w:w="955" w:type="dxa"/>
            <w:shd w:val="clear" w:color="auto" w:fill="auto"/>
            <w:noWrap/>
            <w:vAlign w:val="center"/>
            <w:hideMark/>
          </w:tcPr>
          <w:p w14:paraId="19832A18" w14:textId="77777777" w:rsidR="00550599" w:rsidRPr="009E35ED" w:rsidRDefault="00550599" w:rsidP="00550599">
            <w:pPr>
              <w:ind w:left="0"/>
              <w:jc w:val="right"/>
              <w:rPr>
                <w:rFonts w:ascii="Arial Narrow" w:hAnsi="Arial Narrow" w:cs="Arial"/>
                <w:color w:val="000000" w:themeColor="text1"/>
                <w:sz w:val="20"/>
                <w:szCs w:val="20"/>
                <w:lang w:val="en-PH" w:eastAsia="en-PH"/>
              </w:rPr>
            </w:pPr>
            <w:r w:rsidRPr="009E35ED">
              <w:rPr>
                <w:rFonts w:ascii="Arial Narrow" w:hAnsi="Arial Narrow" w:cs="Arial"/>
                <w:color w:val="000000" w:themeColor="text1"/>
                <w:sz w:val="20"/>
                <w:szCs w:val="20"/>
                <w:lang w:val="en-PH" w:eastAsia="en-PH"/>
              </w:rPr>
              <w:t>98.000%</w:t>
            </w:r>
          </w:p>
        </w:tc>
        <w:tc>
          <w:tcPr>
            <w:tcW w:w="1159" w:type="dxa"/>
            <w:vAlign w:val="center"/>
          </w:tcPr>
          <w:p w14:paraId="1884DA90" w14:textId="35CE5CEB" w:rsidR="00550599" w:rsidRPr="009E35ED" w:rsidRDefault="00550599" w:rsidP="00550599">
            <w:pPr>
              <w:ind w:left="0"/>
              <w:jc w:val="right"/>
              <w:rPr>
                <w:rFonts w:ascii="Arial Narrow" w:hAnsi="Arial Narrow" w:cs="Arial"/>
                <w:color w:val="000000" w:themeColor="text1"/>
                <w:sz w:val="20"/>
                <w:szCs w:val="20"/>
                <w:lang w:val="en-PH" w:eastAsia="en-PH"/>
              </w:rPr>
            </w:pPr>
            <w:r w:rsidRPr="009E35ED">
              <w:rPr>
                <w:rFonts w:ascii="Arial Narrow" w:hAnsi="Arial Narrow" w:cs="Arial"/>
                <w:color w:val="000000" w:themeColor="text1"/>
                <w:sz w:val="20"/>
                <w:szCs w:val="20"/>
                <w:lang w:val="en-PH" w:eastAsia="en-PH"/>
              </w:rPr>
              <w:t>98.0000%</w:t>
            </w:r>
          </w:p>
        </w:tc>
        <w:tc>
          <w:tcPr>
            <w:tcW w:w="1046" w:type="dxa"/>
            <w:vAlign w:val="center"/>
          </w:tcPr>
          <w:p w14:paraId="7BC6E7A6" w14:textId="20DCBB6F" w:rsidR="00550599" w:rsidRPr="009E35ED" w:rsidRDefault="00550599" w:rsidP="00D043CC">
            <w:pPr>
              <w:ind w:left="0"/>
              <w:jc w:val="right"/>
              <w:rPr>
                <w:rFonts w:ascii="Arial Narrow" w:hAnsi="Arial Narrow" w:cs="Arial"/>
                <w:color w:val="000000" w:themeColor="text1"/>
                <w:sz w:val="20"/>
                <w:szCs w:val="20"/>
                <w:lang w:val="en-PH" w:eastAsia="en-PH"/>
              </w:rPr>
            </w:pPr>
            <w:r w:rsidRPr="009E35ED">
              <w:rPr>
                <w:rFonts w:ascii="Arial Narrow" w:hAnsi="Arial Narrow" w:cs="Arial"/>
                <w:color w:val="000000" w:themeColor="text1"/>
                <w:sz w:val="20"/>
                <w:szCs w:val="20"/>
                <w:lang w:val="en-PH" w:eastAsia="en-PH"/>
              </w:rPr>
              <w:t>98.0000%</w:t>
            </w:r>
          </w:p>
        </w:tc>
        <w:tc>
          <w:tcPr>
            <w:tcW w:w="222" w:type="dxa"/>
          </w:tcPr>
          <w:p w14:paraId="4AA3C800" w14:textId="5BA8F4DF" w:rsidR="00550599" w:rsidRPr="009E35ED" w:rsidRDefault="00550599" w:rsidP="00550599">
            <w:pPr>
              <w:ind w:left="0"/>
              <w:jc w:val="right"/>
              <w:rPr>
                <w:rFonts w:ascii="Arial Narrow" w:hAnsi="Arial Narrow" w:cs="Arial"/>
                <w:color w:val="000000" w:themeColor="text1"/>
                <w:sz w:val="20"/>
                <w:szCs w:val="20"/>
                <w:lang w:val="en-PH" w:eastAsia="en-PH"/>
              </w:rPr>
            </w:pPr>
          </w:p>
        </w:tc>
      </w:tr>
      <w:tr w:rsidR="00997F75" w:rsidRPr="009E35ED" w14:paraId="18B91EAE" w14:textId="083C79FA" w:rsidTr="00D043CC">
        <w:trPr>
          <w:trHeight w:val="297"/>
        </w:trPr>
        <w:tc>
          <w:tcPr>
            <w:tcW w:w="3420" w:type="dxa"/>
            <w:shd w:val="clear" w:color="auto" w:fill="auto"/>
            <w:vAlign w:val="center"/>
            <w:hideMark/>
          </w:tcPr>
          <w:p w14:paraId="124E19ED" w14:textId="198FD034" w:rsidR="00550599" w:rsidRPr="009E35ED" w:rsidRDefault="00550599" w:rsidP="00550599">
            <w:pPr>
              <w:ind w:left="0"/>
              <w:rPr>
                <w:rFonts w:ascii="Arial Narrow" w:hAnsi="Arial Narrow" w:cs="Arial"/>
                <w:b/>
                <w:bCs/>
                <w:color w:val="000000" w:themeColor="text1"/>
                <w:sz w:val="20"/>
                <w:szCs w:val="20"/>
                <w:lang w:val="en-PH" w:eastAsia="en-PH"/>
              </w:rPr>
            </w:pPr>
            <w:r w:rsidRPr="009E35ED">
              <w:rPr>
                <w:rFonts w:ascii="Arial Narrow" w:hAnsi="Arial Narrow" w:cs="Arial"/>
                <w:b/>
                <w:bCs/>
                <w:color w:val="000000" w:themeColor="text1"/>
                <w:sz w:val="20"/>
                <w:szCs w:val="20"/>
                <w:lang w:val="en-PH" w:eastAsia="en-PH"/>
              </w:rPr>
              <w:t>III. PRIZE FUND</w:t>
            </w:r>
            <w:r w:rsidR="00D01A6F">
              <w:rPr>
                <w:rFonts w:ascii="Arial Narrow" w:hAnsi="Arial Narrow" w:cs="Arial"/>
                <w:b/>
                <w:bCs/>
                <w:color w:val="000000" w:themeColor="text1"/>
                <w:sz w:val="20"/>
                <w:szCs w:val="20"/>
                <w:lang w:val="en-PH" w:eastAsia="en-PH"/>
              </w:rPr>
              <w:t xml:space="preserve"> (PF)</w:t>
            </w:r>
            <w:r w:rsidRPr="009E35ED">
              <w:rPr>
                <w:rFonts w:ascii="Arial Narrow" w:hAnsi="Arial Narrow" w:cs="Arial"/>
                <w:b/>
                <w:bCs/>
                <w:color w:val="000000" w:themeColor="text1"/>
                <w:sz w:val="20"/>
                <w:szCs w:val="20"/>
                <w:lang w:val="en-PH" w:eastAsia="en-PH"/>
              </w:rPr>
              <w:t xml:space="preserve"> (55% of Net Sales)</w:t>
            </w:r>
          </w:p>
        </w:tc>
        <w:tc>
          <w:tcPr>
            <w:tcW w:w="864" w:type="dxa"/>
            <w:shd w:val="clear" w:color="auto" w:fill="auto"/>
            <w:vAlign w:val="center"/>
            <w:hideMark/>
          </w:tcPr>
          <w:p w14:paraId="100F2851" w14:textId="77777777" w:rsidR="00550599" w:rsidRPr="009E35ED" w:rsidRDefault="00550599" w:rsidP="00550599">
            <w:pPr>
              <w:ind w:left="0"/>
              <w:jc w:val="right"/>
              <w:rPr>
                <w:rFonts w:ascii="Arial Narrow" w:hAnsi="Arial Narrow" w:cs="Arial"/>
                <w:color w:val="000000" w:themeColor="text1"/>
                <w:sz w:val="20"/>
                <w:szCs w:val="20"/>
                <w:lang w:val="en-PH" w:eastAsia="en-PH"/>
              </w:rPr>
            </w:pPr>
            <w:r w:rsidRPr="009E35ED">
              <w:rPr>
                <w:rFonts w:ascii="Arial Narrow" w:hAnsi="Arial Narrow" w:cs="Arial"/>
                <w:color w:val="000000" w:themeColor="text1"/>
                <w:sz w:val="20"/>
                <w:szCs w:val="20"/>
                <w:lang w:val="en-PH" w:eastAsia="en-PH"/>
              </w:rPr>
              <w:t>53.90%</w:t>
            </w:r>
          </w:p>
        </w:tc>
        <w:tc>
          <w:tcPr>
            <w:tcW w:w="955" w:type="dxa"/>
            <w:shd w:val="clear" w:color="auto" w:fill="auto"/>
            <w:noWrap/>
            <w:vAlign w:val="center"/>
            <w:hideMark/>
          </w:tcPr>
          <w:p w14:paraId="308A711C" w14:textId="77777777" w:rsidR="00550599" w:rsidRPr="009E35ED" w:rsidRDefault="00550599" w:rsidP="00550599">
            <w:pPr>
              <w:ind w:left="0"/>
              <w:jc w:val="right"/>
              <w:rPr>
                <w:rFonts w:ascii="Arial Narrow" w:hAnsi="Arial Narrow" w:cs="Arial"/>
                <w:color w:val="000000" w:themeColor="text1"/>
                <w:sz w:val="20"/>
                <w:szCs w:val="20"/>
                <w:lang w:val="en-PH" w:eastAsia="en-PH"/>
              </w:rPr>
            </w:pPr>
            <w:r w:rsidRPr="009E35ED">
              <w:rPr>
                <w:rFonts w:ascii="Arial Narrow" w:hAnsi="Arial Narrow" w:cs="Arial"/>
                <w:color w:val="000000" w:themeColor="text1"/>
                <w:sz w:val="20"/>
                <w:szCs w:val="20"/>
                <w:lang w:val="en-PH" w:eastAsia="en-PH"/>
              </w:rPr>
              <w:t>42.900%</w:t>
            </w:r>
          </w:p>
        </w:tc>
        <w:tc>
          <w:tcPr>
            <w:tcW w:w="955" w:type="dxa"/>
            <w:shd w:val="clear" w:color="auto" w:fill="auto"/>
            <w:noWrap/>
            <w:vAlign w:val="center"/>
            <w:hideMark/>
          </w:tcPr>
          <w:p w14:paraId="4A22162A" w14:textId="77777777" w:rsidR="00550599" w:rsidRPr="009E35ED" w:rsidRDefault="00550599" w:rsidP="00550599">
            <w:pPr>
              <w:ind w:left="0"/>
              <w:jc w:val="right"/>
              <w:rPr>
                <w:rFonts w:ascii="Arial Narrow" w:hAnsi="Arial Narrow" w:cs="Arial"/>
                <w:color w:val="000000" w:themeColor="text1"/>
                <w:sz w:val="20"/>
                <w:szCs w:val="20"/>
                <w:lang w:val="en-PH" w:eastAsia="en-PH"/>
              </w:rPr>
            </w:pPr>
            <w:r w:rsidRPr="009E35ED">
              <w:rPr>
                <w:rFonts w:ascii="Arial Narrow" w:hAnsi="Arial Narrow" w:cs="Arial"/>
                <w:color w:val="000000" w:themeColor="text1"/>
                <w:sz w:val="20"/>
                <w:szCs w:val="20"/>
                <w:lang w:val="en-PH" w:eastAsia="en-PH"/>
              </w:rPr>
              <w:t>53.900%</w:t>
            </w:r>
          </w:p>
        </w:tc>
        <w:tc>
          <w:tcPr>
            <w:tcW w:w="1159" w:type="dxa"/>
          </w:tcPr>
          <w:p w14:paraId="07983580" w14:textId="39C318C3" w:rsidR="00550599" w:rsidRPr="009E35ED" w:rsidRDefault="00550599" w:rsidP="00550599">
            <w:pPr>
              <w:ind w:left="0"/>
              <w:jc w:val="right"/>
              <w:rPr>
                <w:rFonts w:ascii="Arial Narrow" w:hAnsi="Arial Narrow" w:cs="Arial"/>
                <w:color w:val="000000" w:themeColor="text1"/>
                <w:sz w:val="20"/>
                <w:szCs w:val="20"/>
                <w:lang w:val="en-PH" w:eastAsia="en-PH"/>
              </w:rPr>
            </w:pPr>
            <w:r w:rsidRPr="009E35ED">
              <w:rPr>
                <w:rFonts w:ascii="Arial Narrow" w:hAnsi="Arial Narrow" w:cs="Arial"/>
                <w:color w:val="000000" w:themeColor="text1"/>
                <w:sz w:val="20"/>
                <w:szCs w:val="20"/>
                <w:lang w:val="en-PH" w:eastAsia="en-PH"/>
              </w:rPr>
              <w:t>53.9000%</w:t>
            </w:r>
          </w:p>
        </w:tc>
        <w:tc>
          <w:tcPr>
            <w:tcW w:w="1046" w:type="dxa"/>
          </w:tcPr>
          <w:p w14:paraId="7729B3EF" w14:textId="4F0F6744" w:rsidR="00550599" w:rsidRPr="009E35ED" w:rsidRDefault="00550599" w:rsidP="00D043CC">
            <w:pPr>
              <w:ind w:left="0"/>
              <w:jc w:val="right"/>
              <w:rPr>
                <w:rFonts w:ascii="Arial Narrow" w:hAnsi="Arial Narrow" w:cs="Arial"/>
                <w:color w:val="000000" w:themeColor="text1"/>
                <w:sz w:val="20"/>
                <w:szCs w:val="20"/>
                <w:lang w:val="en-PH" w:eastAsia="en-PH"/>
              </w:rPr>
            </w:pPr>
            <w:r w:rsidRPr="009E35ED">
              <w:rPr>
                <w:rFonts w:ascii="Arial Narrow" w:hAnsi="Arial Narrow" w:cs="Arial"/>
                <w:color w:val="000000" w:themeColor="text1"/>
                <w:sz w:val="20"/>
                <w:szCs w:val="20"/>
                <w:lang w:val="en-PH" w:eastAsia="en-PH"/>
              </w:rPr>
              <w:t>53.9000%</w:t>
            </w:r>
          </w:p>
        </w:tc>
        <w:tc>
          <w:tcPr>
            <w:tcW w:w="222" w:type="dxa"/>
          </w:tcPr>
          <w:p w14:paraId="13201FD3" w14:textId="18B1C6F0" w:rsidR="00550599" w:rsidRPr="009E35ED" w:rsidRDefault="00550599" w:rsidP="00550599">
            <w:pPr>
              <w:ind w:left="0"/>
              <w:jc w:val="right"/>
              <w:rPr>
                <w:rFonts w:ascii="Arial Narrow" w:hAnsi="Arial Narrow" w:cs="Arial"/>
                <w:color w:val="000000" w:themeColor="text1"/>
                <w:sz w:val="20"/>
                <w:szCs w:val="20"/>
                <w:lang w:val="en-PH" w:eastAsia="en-PH"/>
              </w:rPr>
            </w:pPr>
          </w:p>
        </w:tc>
      </w:tr>
      <w:tr w:rsidR="00997F75" w:rsidRPr="009E35ED" w14:paraId="4D5EF913" w14:textId="52719760" w:rsidTr="00D043CC">
        <w:trPr>
          <w:trHeight w:val="297"/>
        </w:trPr>
        <w:tc>
          <w:tcPr>
            <w:tcW w:w="3420" w:type="dxa"/>
            <w:shd w:val="clear" w:color="auto" w:fill="auto"/>
            <w:vAlign w:val="center"/>
            <w:hideMark/>
          </w:tcPr>
          <w:p w14:paraId="10DAAF63" w14:textId="77777777" w:rsidR="00550599" w:rsidRPr="009E35ED" w:rsidRDefault="00550599" w:rsidP="00550599">
            <w:pPr>
              <w:ind w:left="0"/>
              <w:rPr>
                <w:rFonts w:ascii="Arial Narrow" w:hAnsi="Arial Narrow" w:cs="Arial"/>
                <w:color w:val="000000" w:themeColor="text1"/>
                <w:sz w:val="20"/>
                <w:szCs w:val="20"/>
                <w:lang w:val="en-PH" w:eastAsia="en-PH"/>
              </w:rPr>
            </w:pPr>
            <w:r w:rsidRPr="009E35ED">
              <w:rPr>
                <w:rFonts w:ascii="Arial Narrow" w:hAnsi="Arial Narrow" w:cs="Arial"/>
                <w:color w:val="000000" w:themeColor="text1"/>
                <w:sz w:val="20"/>
                <w:szCs w:val="20"/>
                <w:lang w:val="en-PH" w:eastAsia="en-PH"/>
              </w:rPr>
              <w:t xml:space="preserve">     Agency Commission</w:t>
            </w:r>
          </w:p>
        </w:tc>
        <w:tc>
          <w:tcPr>
            <w:tcW w:w="864" w:type="dxa"/>
            <w:shd w:val="clear" w:color="auto" w:fill="auto"/>
            <w:vAlign w:val="center"/>
            <w:hideMark/>
          </w:tcPr>
          <w:p w14:paraId="3AF463AB" w14:textId="77777777" w:rsidR="00550599" w:rsidRPr="009E35ED" w:rsidRDefault="00550599" w:rsidP="00550599">
            <w:pPr>
              <w:ind w:left="0"/>
              <w:jc w:val="right"/>
              <w:rPr>
                <w:rFonts w:ascii="Arial Narrow" w:hAnsi="Arial Narrow" w:cs="Arial"/>
                <w:color w:val="000000" w:themeColor="text1"/>
                <w:sz w:val="20"/>
                <w:szCs w:val="20"/>
                <w:lang w:val="en-PH" w:eastAsia="en-PH"/>
              </w:rPr>
            </w:pPr>
            <w:r w:rsidRPr="009E35ED">
              <w:rPr>
                <w:rFonts w:ascii="Arial Narrow" w:hAnsi="Arial Narrow" w:cs="Arial"/>
                <w:color w:val="000000" w:themeColor="text1"/>
                <w:sz w:val="20"/>
                <w:szCs w:val="20"/>
                <w:lang w:val="en-PH" w:eastAsia="en-PH"/>
              </w:rPr>
              <w:t>10.00%</w:t>
            </w:r>
          </w:p>
        </w:tc>
        <w:tc>
          <w:tcPr>
            <w:tcW w:w="955" w:type="dxa"/>
            <w:shd w:val="clear" w:color="auto" w:fill="auto"/>
            <w:noWrap/>
            <w:vAlign w:val="center"/>
            <w:hideMark/>
          </w:tcPr>
          <w:p w14:paraId="4CA07C93" w14:textId="77777777" w:rsidR="00550599" w:rsidRPr="009E35ED" w:rsidRDefault="00550599" w:rsidP="00550599">
            <w:pPr>
              <w:ind w:left="0"/>
              <w:jc w:val="right"/>
              <w:rPr>
                <w:rFonts w:ascii="Arial Narrow" w:hAnsi="Arial Narrow" w:cs="Arial"/>
                <w:color w:val="000000" w:themeColor="text1"/>
                <w:sz w:val="20"/>
                <w:szCs w:val="20"/>
                <w:lang w:val="en-PH" w:eastAsia="en-PH"/>
              </w:rPr>
            </w:pPr>
            <w:r w:rsidRPr="009E35ED">
              <w:rPr>
                <w:rFonts w:ascii="Arial Narrow" w:hAnsi="Arial Narrow" w:cs="Arial"/>
                <w:color w:val="000000" w:themeColor="text1"/>
                <w:sz w:val="20"/>
                <w:szCs w:val="20"/>
                <w:lang w:val="en-PH" w:eastAsia="en-PH"/>
              </w:rPr>
              <w:t>10.000%</w:t>
            </w:r>
          </w:p>
        </w:tc>
        <w:tc>
          <w:tcPr>
            <w:tcW w:w="955" w:type="dxa"/>
            <w:shd w:val="clear" w:color="auto" w:fill="auto"/>
            <w:noWrap/>
            <w:vAlign w:val="center"/>
            <w:hideMark/>
          </w:tcPr>
          <w:p w14:paraId="43D7EAFE" w14:textId="77777777" w:rsidR="00550599" w:rsidRPr="009E35ED" w:rsidRDefault="00550599" w:rsidP="00550599">
            <w:pPr>
              <w:ind w:left="0"/>
              <w:jc w:val="right"/>
              <w:rPr>
                <w:rFonts w:ascii="Arial Narrow" w:hAnsi="Arial Narrow" w:cs="Arial"/>
                <w:color w:val="000000" w:themeColor="text1"/>
                <w:sz w:val="20"/>
                <w:szCs w:val="20"/>
                <w:lang w:val="en-PH" w:eastAsia="en-PH"/>
              </w:rPr>
            </w:pPr>
            <w:r w:rsidRPr="009E35ED">
              <w:rPr>
                <w:rFonts w:ascii="Arial Narrow" w:hAnsi="Arial Narrow" w:cs="Arial"/>
                <w:color w:val="000000" w:themeColor="text1"/>
                <w:sz w:val="20"/>
                <w:szCs w:val="20"/>
                <w:lang w:val="en-PH" w:eastAsia="en-PH"/>
              </w:rPr>
              <w:t>10.000%</w:t>
            </w:r>
          </w:p>
        </w:tc>
        <w:tc>
          <w:tcPr>
            <w:tcW w:w="1159" w:type="dxa"/>
          </w:tcPr>
          <w:p w14:paraId="10D58DBF" w14:textId="0A8CE803" w:rsidR="00550599" w:rsidRPr="009E35ED" w:rsidRDefault="00550599" w:rsidP="00550599">
            <w:pPr>
              <w:ind w:left="0"/>
              <w:jc w:val="right"/>
              <w:rPr>
                <w:rFonts w:ascii="Arial Narrow" w:hAnsi="Arial Narrow" w:cs="Arial"/>
                <w:color w:val="000000" w:themeColor="text1"/>
                <w:sz w:val="20"/>
                <w:szCs w:val="20"/>
                <w:lang w:val="en-PH" w:eastAsia="en-PH"/>
              </w:rPr>
            </w:pPr>
            <w:r w:rsidRPr="009E35ED">
              <w:rPr>
                <w:rFonts w:ascii="Arial Narrow" w:hAnsi="Arial Narrow" w:cs="Arial"/>
                <w:color w:val="000000" w:themeColor="text1"/>
                <w:sz w:val="20"/>
                <w:szCs w:val="20"/>
                <w:lang w:val="en-PH" w:eastAsia="en-PH"/>
              </w:rPr>
              <w:t>10.0000%</w:t>
            </w:r>
          </w:p>
        </w:tc>
        <w:tc>
          <w:tcPr>
            <w:tcW w:w="1046" w:type="dxa"/>
          </w:tcPr>
          <w:p w14:paraId="20277CB4" w14:textId="1CF982A8" w:rsidR="00550599" w:rsidRPr="009E35ED" w:rsidRDefault="00550599" w:rsidP="00D043CC">
            <w:pPr>
              <w:ind w:left="0"/>
              <w:jc w:val="right"/>
              <w:rPr>
                <w:rFonts w:ascii="Arial Narrow" w:hAnsi="Arial Narrow" w:cs="Arial"/>
                <w:color w:val="000000" w:themeColor="text1"/>
                <w:sz w:val="20"/>
                <w:szCs w:val="20"/>
                <w:lang w:val="en-PH" w:eastAsia="en-PH"/>
              </w:rPr>
            </w:pPr>
            <w:r w:rsidRPr="009E35ED">
              <w:rPr>
                <w:rFonts w:ascii="Arial Narrow" w:hAnsi="Arial Narrow" w:cs="Arial"/>
                <w:color w:val="000000" w:themeColor="text1"/>
                <w:sz w:val="20"/>
                <w:szCs w:val="20"/>
                <w:lang w:val="en-PH" w:eastAsia="en-PH"/>
              </w:rPr>
              <w:t>10.0000%</w:t>
            </w:r>
          </w:p>
        </w:tc>
        <w:tc>
          <w:tcPr>
            <w:tcW w:w="222" w:type="dxa"/>
          </w:tcPr>
          <w:p w14:paraId="6AC920C7" w14:textId="15E8D45C" w:rsidR="00550599" w:rsidRPr="009E35ED" w:rsidRDefault="00550599" w:rsidP="00550599">
            <w:pPr>
              <w:ind w:left="0"/>
              <w:jc w:val="right"/>
              <w:rPr>
                <w:rFonts w:ascii="Arial Narrow" w:hAnsi="Arial Narrow" w:cs="Arial"/>
                <w:color w:val="000000" w:themeColor="text1"/>
                <w:sz w:val="20"/>
                <w:szCs w:val="20"/>
                <w:lang w:val="en-PH" w:eastAsia="en-PH"/>
              </w:rPr>
            </w:pPr>
          </w:p>
        </w:tc>
      </w:tr>
      <w:tr w:rsidR="00997F75" w:rsidRPr="009E35ED" w14:paraId="19BDD8DE" w14:textId="40FB6981" w:rsidTr="00D043CC">
        <w:trPr>
          <w:trHeight w:val="297"/>
        </w:trPr>
        <w:tc>
          <w:tcPr>
            <w:tcW w:w="3420" w:type="dxa"/>
            <w:shd w:val="clear" w:color="auto" w:fill="auto"/>
            <w:vAlign w:val="bottom"/>
            <w:hideMark/>
          </w:tcPr>
          <w:p w14:paraId="4F862FD5" w14:textId="77777777" w:rsidR="00550599" w:rsidRPr="009E35ED" w:rsidRDefault="00550599" w:rsidP="00550599">
            <w:pPr>
              <w:ind w:left="0" w:right="-122" w:firstLine="450"/>
              <w:jc w:val="left"/>
              <w:rPr>
                <w:rFonts w:ascii="Arial Narrow" w:hAnsi="Arial Narrow"/>
                <w:color w:val="000000" w:themeColor="text1"/>
                <w:sz w:val="20"/>
                <w:szCs w:val="20"/>
                <w:lang w:val="en-PH" w:eastAsia="en-PH"/>
              </w:rPr>
            </w:pPr>
            <w:r w:rsidRPr="009E35ED">
              <w:rPr>
                <w:rFonts w:ascii="Arial Narrow" w:hAnsi="Arial Narrow"/>
                <w:color w:val="000000" w:themeColor="text1"/>
                <w:sz w:val="20"/>
                <w:szCs w:val="20"/>
                <w:lang w:val="en-PH" w:eastAsia="en-PH"/>
              </w:rPr>
              <w:t xml:space="preserve">Expanded withholding tax from </w:t>
            </w:r>
          </w:p>
          <w:p w14:paraId="69E5E7BA" w14:textId="77777777" w:rsidR="00550599" w:rsidRPr="009E35ED" w:rsidRDefault="00550599" w:rsidP="00550599">
            <w:pPr>
              <w:ind w:left="0" w:right="-122" w:firstLine="450"/>
              <w:jc w:val="left"/>
              <w:rPr>
                <w:rFonts w:ascii="Arial Narrow" w:hAnsi="Arial Narrow"/>
                <w:color w:val="000000" w:themeColor="text1"/>
                <w:sz w:val="20"/>
                <w:szCs w:val="20"/>
                <w:lang w:val="en-PH" w:eastAsia="en-PH"/>
              </w:rPr>
            </w:pPr>
            <w:r w:rsidRPr="009E35ED">
              <w:rPr>
                <w:rFonts w:ascii="Arial Narrow" w:hAnsi="Arial Narrow"/>
                <w:color w:val="000000" w:themeColor="text1"/>
                <w:sz w:val="20"/>
                <w:szCs w:val="20"/>
                <w:lang w:val="en-PH" w:eastAsia="en-PH"/>
              </w:rPr>
              <w:t>agency commission</w:t>
            </w:r>
          </w:p>
        </w:tc>
        <w:tc>
          <w:tcPr>
            <w:tcW w:w="864" w:type="dxa"/>
            <w:shd w:val="clear" w:color="auto" w:fill="auto"/>
            <w:vAlign w:val="center"/>
            <w:hideMark/>
          </w:tcPr>
          <w:p w14:paraId="4E0681CC" w14:textId="77777777" w:rsidR="00550599" w:rsidRPr="009E35ED" w:rsidRDefault="00550599" w:rsidP="00550599">
            <w:pPr>
              <w:ind w:left="0"/>
              <w:jc w:val="right"/>
              <w:rPr>
                <w:rFonts w:ascii="Arial Narrow" w:hAnsi="Arial Narrow" w:cs="Arial"/>
                <w:color w:val="000000" w:themeColor="text1"/>
                <w:sz w:val="20"/>
                <w:szCs w:val="20"/>
                <w:lang w:val="en-PH" w:eastAsia="en-PH"/>
              </w:rPr>
            </w:pPr>
          </w:p>
        </w:tc>
        <w:tc>
          <w:tcPr>
            <w:tcW w:w="955" w:type="dxa"/>
            <w:shd w:val="clear" w:color="auto" w:fill="auto"/>
            <w:noWrap/>
            <w:vAlign w:val="bottom"/>
            <w:hideMark/>
          </w:tcPr>
          <w:p w14:paraId="6AAE5AA1" w14:textId="77777777" w:rsidR="00550599" w:rsidRPr="009E35ED" w:rsidRDefault="00550599" w:rsidP="00550599">
            <w:pPr>
              <w:ind w:left="0"/>
              <w:jc w:val="right"/>
              <w:rPr>
                <w:rFonts w:ascii="Arial Narrow" w:hAnsi="Arial Narrow"/>
                <w:color w:val="000000" w:themeColor="text1"/>
                <w:sz w:val="20"/>
                <w:szCs w:val="20"/>
                <w:lang w:val="en-PH" w:eastAsia="en-PH"/>
              </w:rPr>
            </w:pPr>
            <w:r w:rsidRPr="009E35ED">
              <w:rPr>
                <w:rFonts w:ascii="Arial Narrow" w:hAnsi="Arial Narrow"/>
                <w:color w:val="000000" w:themeColor="text1"/>
                <w:sz w:val="20"/>
                <w:szCs w:val="20"/>
                <w:lang w:val="en-PH" w:eastAsia="en-PH"/>
              </w:rPr>
              <w:t>1.000%</w:t>
            </w:r>
          </w:p>
        </w:tc>
        <w:tc>
          <w:tcPr>
            <w:tcW w:w="955" w:type="dxa"/>
            <w:shd w:val="clear" w:color="auto" w:fill="auto"/>
            <w:noWrap/>
            <w:vAlign w:val="bottom"/>
            <w:hideMark/>
          </w:tcPr>
          <w:p w14:paraId="3DD7C56E" w14:textId="77777777" w:rsidR="00550599" w:rsidRPr="009E35ED" w:rsidRDefault="00550599" w:rsidP="00550599">
            <w:pPr>
              <w:ind w:left="0"/>
              <w:jc w:val="right"/>
              <w:rPr>
                <w:rFonts w:ascii="Arial Narrow" w:hAnsi="Arial Narrow"/>
                <w:color w:val="000000" w:themeColor="text1"/>
                <w:sz w:val="20"/>
                <w:szCs w:val="20"/>
                <w:lang w:val="en-PH" w:eastAsia="en-PH"/>
              </w:rPr>
            </w:pPr>
            <w:r w:rsidRPr="009E35ED">
              <w:rPr>
                <w:rFonts w:ascii="Arial Narrow" w:hAnsi="Arial Narrow"/>
                <w:color w:val="000000" w:themeColor="text1"/>
                <w:sz w:val="20"/>
                <w:szCs w:val="20"/>
                <w:lang w:val="en-PH" w:eastAsia="en-PH"/>
              </w:rPr>
              <w:t>1.500%</w:t>
            </w:r>
          </w:p>
        </w:tc>
        <w:tc>
          <w:tcPr>
            <w:tcW w:w="1159" w:type="dxa"/>
            <w:vAlign w:val="bottom"/>
          </w:tcPr>
          <w:p w14:paraId="310FD8B7" w14:textId="64ED83AA" w:rsidR="00550599" w:rsidRPr="009E35ED" w:rsidRDefault="00550599" w:rsidP="00550599">
            <w:pPr>
              <w:ind w:left="0"/>
              <w:jc w:val="right"/>
              <w:rPr>
                <w:rFonts w:ascii="Arial Narrow" w:hAnsi="Arial Narrow"/>
                <w:color w:val="000000" w:themeColor="text1"/>
                <w:sz w:val="20"/>
                <w:szCs w:val="20"/>
                <w:lang w:val="en-PH" w:eastAsia="en-PH"/>
              </w:rPr>
            </w:pPr>
            <w:r w:rsidRPr="009E35ED">
              <w:rPr>
                <w:rFonts w:ascii="Arial Narrow" w:hAnsi="Arial Narrow"/>
                <w:color w:val="000000" w:themeColor="text1"/>
                <w:sz w:val="20"/>
                <w:szCs w:val="20"/>
                <w:lang w:val="en-PH" w:eastAsia="en-PH"/>
              </w:rPr>
              <w:t>1.500%</w:t>
            </w:r>
          </w:p>
        </w:tc>
        <w:tc>
          <w:tcPr>
            <w:tcW w:w="1046" w:type="dxa"/>
            <w:vAlign w:val="bottom"/>
          </w:tcPr>
          <w:p w14:paraId="49356595" w14:textId="2B16308A" w:rsidR="00550599" w:rsidRPr="009E35ED" w:rsidRDefault="00550599" w:rsidP="00D043CC">
            <w:pPr>
              <w:ind w:left="0"/>
              <w:jc w:val="right"/>
              <w:rPr>
                <w:rFonts w:ascii="Arial Narrow" w:hAnsi="Arial Narrow"/>
                <w:color w:val="000000" w:themeColor="text1"/>
                <w:sz w:val="20"/>
                <w:szCs w:val="20"/>
                <w:lang w:val="en-PH" w:eastAsia="en-PH"/>
              </w:rPr>
            </w:pPr>
            <w:r w:rsidRPr="009E35ED">
              <w:rPr>
                <w:rFonts w:ascii="Arial Narrow" w:hAnsi="Arial Narrow"/>
                <w:color w:val="000000" w:themeColor="text1"/>
                <w:sz w:val="20"/>
                <w:szCs w:val="20"/>
                <w:lang w:val="en-PH" w:eastAsia="en-PH"/>
              </w:rPr>
              <w:t>1.500%</w:t>
            </w:r>
          </w:p>
        </w:tc>
        <w:tc>
          <w:tcPr>
            <w:tcW w:w="222" w:type="dxa"/>
          </w:tcPr>
          <w:p w14:paraId="080B5368" w14:textId="25E7D078" w:rsidR="00550599" w:rsidRPr="009E35ED" w:rsidRDefault="00550599" w:rsidP="00550599">
            <w:pPr>
              <w:ind w:left="0"/>
              <w:jc w:val="right"/>
              <w:rPr>
                <w:rFonts w:ascii="Arial Narrow" w:hAnsi="Arial Narrow"/>
                <w:color w:val="000000" w:themeColor="text1"/>
                <w:sz w:val="20"/>
                <w:szCs w:val="20"/>
                <w:lang w:val="en-PH" w:eastAsia="en-PH"/>
              </w:rPr>
            </w:pPr>
          </w:p>
        </w:tc>
      </w:tr>
      <w:tr w:rsidR="00997F75" w:rsidRPr="009E35ED" w14:paraId="0B04983E" w14:textId="358B7295" w:rsidTr="00D043CC">
        <w:trPr>
          <w:trHeight w:val="297"/>
        </w:trPr>
        <w:tc>
          <w:tcPr>
            <w:tcW w:w="3420" w:type="dxa"/>
            <w:shd w:val="clear" w:color="auto" w:fill="auto"/>
            <w:vAlign w:val="bottom"/>
            <w:hideMark/>
          </w:tcPr>
          <w:p w14:paraId="23357034" w14:textId="77777777" w:rsidR="00550599" w:rsidRPr="009E35ED" w:rsidRDefault="00550599" w:rsidP="00550599">
            <w:pPr>
              <w:ind w:left="0" w:right="-122" w:firstLine="450"/>
              <w:jc w:val="left"/>
              <w:rPr>
                <w:rFonts w:ascii="Arial Narrow" w:hAnsi="Arial Narrow"/>
                <w:color w:val="000000" w:themeColor="text1"/>
                <w:sz w:val="20"/>
                <w:szCs w:val="20"/>
                <w:lang w:val="en-PH" w:eastAsia="en-PH"/>
              </w:rPr>
            </w:pPr>
            <w:r w:rsidRPr="009E35ED">
              <w:rPr>
                <w:rFonts w:ascii="Arial Narrow" w:hAnsi="Arial Narrow"/>
                <w:color w:val="000000" w:themeColor="text1"/>
                <w:sz w:val="20"/>
                <w:szCs w:val="20"/>
                <w:lang w:val="en-PH" w:eastAsia="en-PH"/>
              </w:rPr>
              <w:t xml:space="preserve">VAT withholding from agency </w:t>
            </w:r>
          </w:p>
          <w:p w14:paraId="541E2D2B" w14:textId="77777777" w:rsidR="00550599" w:rsidRPr="009E35ED" w:rsidRDefault="00550599" w:rsidP="00550599">
            <w:pPr>
              <w:ind w:left="0" w:right="-122" w:firstLine="450"/>
              <w:jc w:val="left"/>
              <w:rPr>
                <w:rFonts w:ascii="Arial Narrow" w:hAnsi="Arial Narrow"/>
                <w:color w:val="000000" w:themeColor="text1"/>
                <w:sz w:val="20"/>
                <w:szCs w:val="20"/>
                <w:lang w:val="en-PH" w:eastAsia="en-PH"/>
              </w:rPr>
            </w:pPr>
            <w:r w:rsidRPr="009E35ED">
              <w:rPr>
                <w:rFonts w:ascii="Arial Narrow" w:hAnsi="Arial Narrow"/>
                <w:color w:val="000000" w:themeColor="text1"/>
                <w:sz w:val="20"/>
                <w:szCs w:val="20"/>
                <w:lang w:val="en-PH" w:eastAsia="en-PH"/>
              </w:rPr>
              <w:t>commission</w:t>
            </w:r>
          </w:p>
        </w:tc>
        <w:tc>
          <w:tcPr>
            <w:tcW w:w="864" w:type="dxa"/>
            <w:shd w:val="clear" w:color="auto" w:fill="auto"/>
            <w:vAlign w:val="center"/>
            <w:hideMark/>
          </w:tcPr>
          <w:p w14:paraId="52528589" w14:textId="77777777" w:rsidR="00550599" w:rsidRPr="009E35ED" w:rsidRDefault="00550599" w:rsidP="00550599">
            <w:pPr>
              <w:ind w:left="0"/>
              <w:jc w:val="right"/>
              <w:rPr>
                <w:rFonts w:ascii="Arial Narrow" w:hAnsi="Arial Narrow" w:cs="Arial"/>
                <w:color w:val="000000" w:themeColor="text1"/>
                <w:sz w:val="20"/>
                <w:szCs w:val="20"/>
                <w:lang w:val="en-PH" w:eastAsia="en-PH"/>
              </w:rPr>
            </w:pPr>
          </w:p>
        </w:tc>
        <w:tc>
          <w:tcPr>
            <w:tcW w:w="955" w:type="dxa"/>
            <w:shd w:val="clear" w:color="auto" w:fill="auto"/>
            <w:noWrap/>
            <w:hideMark/>
          </w:tcPr>
          <w:p w14:paraId="42D9BB9A" w14:textId="77777777" w:rsidR="00550599" w:rsidRPr="009E35ED" w:rsidRDefault="00550599" w:rsidP="00550599">
            <w:pPr>
              <w:ind w:left="0"/>
              <w:jc w:val="right"/>
              <w:rPr>
                <w:rFonts w:ascii="Arial Narrow" w:hAnsi="Arial Narrow"/>
                <w:color w:val="000000" w:themeColor="text1"/>
                <w:sz w:val="20"/>
                <w:szCs w:val="20"/>
                <w:lang w:val="en-PH" w:eastAsia="en-PH"/>
              </w:rPr>
            </w:pPr>
          </w:p>
        </w:tc>
        <w:tc>
          <w:tcPr>
            <w:tcW w:w="955" w:type="dxa"/>
            <w:shd w:val="clear" w:color="auto" w:fill="auto"/>
            <w:noWrap/>
            <w:vAlign w:val="bottom"/>
            <w:hideMark/>
          </w:tcPr>
          <w:p w14:paraId="35FECCD3" w14:textId="77777777" w:rsidR="00550599" w:rsidRPr="009E35ED" w:rsidRDefault="00550599" w:rsidP="00550599">
            <w:pPr>
              <w:ind w:left="0"/>
              <w:jc w:val="right"/>
              <w:rPr>
                <w:rFonts w:ascii="Arial Narrow" w:hAnsi="Arial Narrow"/>
                <w:color w:val="000000" w:themeColor="text1"/>
                <w:sz w:val="20"/>
                <w:szCs w:val="20"/>
                <w:lang w:val="en-PH" w:eastAsia="en-PH"/>
              </w:rPr>
            </w:pPr>
            <w:r w:rsidRPr="009E35ED">
              <w:rPr>
                <w:rFonts w:ascii="Arial Narrow" w:hAnsi="Arial Narrow"/>
                <w:color w:val="000000" w:themeColor="text1"/>
                <w:sz w:val="20"/>
                <w:szCs w:val="20"/>
                <w:lang w:val="en-PH" w:eastAsia="en-PH"/>
              </w:rPr>
              <w:t>0.500%</w:t>
            </w:r>
          </w:p>
        </w:tc>
        <w:tc>
          <w:tcPr>
            <w:tcW w:w="1159" w:type="dxa"/>
            <w:vAlign w:val="bottom"/>
          </w:tcPr>
          <w:p w14:paraId="503E4188" w14:textId="06E0EC66" w:rsidR="00550599" w:rsidRPr="009E35ED" w:rsidRDefault="00550599" w:rsidP="00550599">
            <w:pPr>
              <w:ind w:left="0"/>
              <w:jc w:val="right"/>
              <w:rPr>
                <w:rFonts w:ascii="Arial Narrow" w:hAnsi="Arial Narrow"/>
                <w:color w:val="000000" w:themeColor="text1"/>
                <w:sz w:val="20"/>
                <w:szCs w:val="20"/>
                <w:lang w:val="en-PH" w:eastAsia="en-PH"/>
              </w:rPr>
            </w:pPr>
            <w:r w:rsidRPr="009E35ED">
              <w:rPr>
                <w:rFonts w:ascii="Arial Narrow" w:hAnsi="Arial Narrow"/>
                <w:color w:val="000000" w:themeColor="text1"/>
                <w:sz w:val="20"/>
                <w:szCs w:val="20"/>
                <w:lang w:val="en-PH" w:eastAsia="en-PH"/>
              </w:rPr>
              <w:t>0.500%</w:t>
            </w:r>
          </w:p>
        </w:tc>
        <w:tc>
          <w:tcPr>
            <w:tcW w:w="1046" w:type="dxa"/>
            <w:vAlign w:val="bottom"/>
          </w:tcPr>
          <w:p w14:paraId="7201F7CE" w14:textId="0D50D8E1" w:rsidR="00550599" w:rsidRPr="009E35ED" w:rsidRDefault="00550599" w:rsidP="00D043CC">
            <w:pPr>
              <w:ind w:left="0"/>
              <w:jc w:val="right"/>
              <w:rPr>
                <w:rFonts w:ascii="Arial Narrow" w:hAnsi="Arial Narrow"/>
                <w:color w:val="000000" w:themeColor="text1"/>
                <w:sz w:val="20"/>
                <w:szCs w:val="20"/>
                <w:lang w:val="en-PH" w:eastAsia="en-PH"/>
              </w:rPr>
            </w:pPr>
            <w:r w:rsidRPr="009E35ED">
              <w:rPr>
                <w:rFonts w:ascii="Arial Narrow" w:hAnsi="Arial Narrow"/>
                <w:color w:val="000000" w:themeColor="text1"/>
                <w:sz w:val="20"/>
                <w:szCs w:val="20"/>
                <w:lang w:val="en-PH" w:eastAsia="en-PH"/>
              </w:rPr>
              <w:t>0.500%</w:t>
            </w:r>
          </w:p>
        </w:tc>
        <w:tc>
          <w:tcPr>
            <w:tcW w:w="222" w:type="dxa"/>
          </w:tcPr>
          <w:p w14:paraId="41B781A4" w14:textId="2086E4BD" w:rsidR="00550599" w:rsidRPr="009E35ED" w:rsidRDefault="00550599" w:rsidP="00550599">
            <w:pPr>
              <w:ind w:left="0"/>
              <w:jc w:val="right"/>
              <w:rPr>
                <w:rFonts w:ascii="Arial Narrow" w:hAnsi="Arial Narrow"/>
                <w:color w:val="000000" w:themeColor="text1"/>
                <w:sz w:val="20"/>
                <w:szCs w:val="20"/>
                <w:lang w:val="en-PH" w:eastAsia="en-PH"/>
              </w:rPr>
            </w:pPr>
          </w:p>
        </w:tc>
      </w:tr>
      <w:tr w:rsidR="00997F75" w:rsidRPr="009E35ED" w14:paraId="5D2C396D" w14:textId="37F53D4E" w:rsidTr="00D043CC">
        <w:trPr>
          <w:trHeight w:val="297"/>
        </w:trPr>
        <w:tc>
          <w:tcPr>
            <w:tcW w:w="3420" w:type="dxa"/>
            <w:shd w:val="clear" w:color="auto" w:fill="auto"/>
            <w:vAlign w:val="center"/>
            <w:hideMark/>
          </w:tcPr>
          <w:p w14:paraId="4A5130FB" w14:textId="77777777" w:rsidR="00550599" w:rsidRPr="009E35ED" w:rsidRDefault="00550599" w:rsidP="00550599">
            <w:pPr>
              <w:ind w:left="0"/>
              <w:jc w:val="left"/>
              <w:rPr>
                <w:rFonts w:ascii="Arial Narrow" w:hAnsi="Arial Narrow" w:cs="Arial"/>
                <w:color w:val="000000" w:themeColor="text1"/>
                <w:sz w:val="20"/>
                <w:szCs w:val="20"/>
                <w:lang w:val="en-PH" w:eastAsia="en-PH"/>
              </w:rPr>
            </w:pPr>
            <w:r w:rsidRPr="009E35ED">
              <w:rPr>
                <w:rFonts w:ascii="Arial Narrow" w:hAnsi="Arial Narrow" w:cs="Arial"/>
                <w:color w:val="000000" w:themeColor="text1"/>
                <w:sz w:val="20"/>
                <w:szCs w:val="20"/>
                <w:lang w:val="en-PH" w:eastAsia="en-PH"/>
              </w:rPr>
              <w:t xml:space="preserve">     Net Agency Fee</w:t>
            </w:r>
          </w:p>
        </w:tc>
        <w:tc>
          <w:tcPr>
            <w:tcW w:w="864" w:type="dxa"/>
            <w:shd w:val="clear" w:color="auto" w:fill="auto"/>
            <w:vAlign w:val="center"/>
            <w:hideMark/>
          </w:tcPr>
          <w:p w14:paraId="7D4306F9" w14:textId="77777777" w:rsidR="00550599" w:rsidRPr="009E35ED" w:rsidRDefault="00550599" w:rsidP="00550599">
            <w:pPr>
              <w:ind w:left="0"/>
              <w:jc w:val="right"/>
              <w:rPr>
                <w:rFonts w:ascii="Arial Narrow" w:hAnsi="Arial Narrow" w:cs="Arial"/>
                <w:color w:val="000000" w:themeColor="text1"/>
                <w:sz w:val="20"/>
                <w:szCs w:val="20"/>
                <w:lang w:val="en-PH" w:eastAsia="en-PH"/>
              </w:rPr>
            </w:pPr>
            <w:r w:rsidRPr="009E35ED">
              <w:rPr>
                <w:rFonts w:ascii="Arial Narrow" w:hAnsi="Arial Narrow" w:cs="Arial"/>
                <w:color w:val="000000" w:themeColor="text1"/>
                <w:sz w:val="20"/>
                <w:szCs w:val="20"/>
                <w:lang w:val="en-PH" w:eastAsia="en-PH"/>
              </w:rPr>
              <w:t>9.00%</w:t>
            </w:r>
          </w:p>
        </w:tc>
        <w:tc>
          <w:tcPr>
            <w:tcW w:w="955" w:type="dxa"/>
            <w:shd w:val="clear" w:color="auto" w:fill="auto"/>
            <w:noWrap/>
            <w:vAlign w:val="center"/>
            <w:hideMark/>
          </w:tcPr>
          <w:p w14:paraId="0F6F7047" w14:textId="77777777" w:rsidR="00550599" w:rsidRPr="009E35ED" w:rsidRDefault="00550599" w:rsidP="00550599">
            <w:pPr>
              <w:ind w:left="0"/>
              <w:jc w:val="right"/>
              <w:rPr>
                <w:rFonts w:ascii="Arial Narrow" w:hAnsi="Arial Narrow" w:cs="Arial"/>
                <w:color w:val="000000" w:themeColor="text1"/>
                <w:sz w:val="20"/>
                <w:szCs w:val="20"/>
                <w:lang w:val="en-PH" w:eastAsia="en-PH"/>
              </w:rPr>
            </w:pPr>
            <w:r w:rsidRPr="009E35ED">
              <w:rPr>
                <w:rFonts w:ascii="Arial Narrow" w:hAnsi="Arial Narrow" w:cs="Arial"/>
                <w:color w:val="000000" w:themeColor="text1"/>
                <w:sz w:val="20"/>
                <w:szCs w:val="20"/>
                <w:lang w:val="en-PH" w:eastAsia="en-PH"/>
              </w:rPr>
              <w:t>9.000%</w:t>
            </w:r>
          </w:p>
        </w:tc>
        <w:tc>
          <w:tcPr>
            <w:tcW w:w="955" w:type="dxa"/>
            <w:shd w:val="clear" w:color="auto" w:fill="auto"/>
            <w:noWrap/>
            <w:vAlign w:val="center"/>
            <w:hideMark/>
          </w:tcPr>
          <w:p w14:paraId="413303F9" w14:textId="77777777" w:rsidR="00550599" w:rsidRPr="009E35ED" w:rsidRDefault="00550599" w:rsidP="00550599">
            <w:pPr>
              <w:ind w:left="0"/>
              <w:jc w:val="right"/>
              <w:rPr>
                <w:rFonts w:ascii="Arial Narrow" w:hAnsi="Arial Narrow" w:cs="Arial"/>
                <w:color w:val="000000" w:themeColor="text1"/>
                <w:sz w:val="20"/>
                <w:szCs w:val="20"/>
                <w:lang w:val="en-PH" w:eastAsia="en-PH"/>
              </w:rPr>
            </w:pPr>
            <w:r w:rsidRPr="009E35ED">
              <w:rPr>
                <w:rFonts w:ascii="Arial Narrow" w:hAnsi="Arial Narrow" w:cs="Arial"/>
                <w:color w:val="000000" w:themeColor="text1"/>
                <w:sz w:val="20"/>
                <w:szCs w:val="20"/>
                <w:lang w:val="en-PH" w:eastAsia="en-PH"/>
              </w:rPr>
              <w:t>8.000%</w:t>
            </w:r>
          </w:p>
        </w:tc>
        <w:tc>
          <w:tcPr>
            <w:tcW w:w="1159" w:type="dxa"/>
            <w:vAlign w:val="center"/>
          </w:tcPr>
          <w:p w14:paraId="5E6650EA" w14:textId="7DD9BE26" w:rsidR="00550599" w:rsidRPr="009E35ED" w:rsidRDefault="00550599" w:rsidP="00550599">
            <w:pPr>
              <w:ind w:left="0"/>
              <w:jc w:val="right"/>
              <w:rPr>
                <w:rFonts w:ascii="Arial Narrow" w:hAnsi="Arial Narrow" w:cs="Arial"/>
                <w:color w:val="000000" w:themeColor="text1"/>
                <w:sz w:val="20"/>
                <w:szCs w:val="20"/>
                <w:lang w:val="en-PH" w:eastAsia="en-PH"/>
              </w:rPr>
            </w:pPr>
            <w:r w:rsidRPr="009E35ED">
              <w:rPr>
                <w:rFonts w:ascii="Arial Narrow" w:hAnsi="Arial Narrow" w:cs="Arial"/>
                <w:color w:val="000000" w:themeColor="text1"/>
                <w:sz w:val="20"/>
                <w:szCs w:val="20"/>
                <w:lang w:val="en-PH" w:eastAsia="en-PH"/>
              </w:rPr>
              <w:t>8.000%</w:t>
            </w:r>
          </w:p>
        </w:tc>
        <w:tc>
          <w:tcPr>
            <w:tcW w:w="1046" w:type="dxa"/>
            <w:vAlign w:val="center"/>
          </w:tcPr>
          <w:p w14:paraId="3B5D7635" w14:textId="719CF2CC" w:rsidR="00550599" w:rsidRPr="009E35ED" w:rsidRDefault="00550599" w:rsidP="00D043CC">
            <w:pPr>
              <w:ind w:left="0"/>
              <w:jc w:val="right"/>
              <w:rPr>
                <w:rFonts w:ascii="Arial Narrow" w:hAnsi="Arial Narrow" w:cs="Arial"/>
                <w:color w:val="000000" w:themeColor="text1"/>
                <w:sz w:val="20"/>
                <w:szCs w:val="20"/>
                <w:lang w:val="en-PH" w:eastAsia="en-PH"/>
              </w:rPr>
            </w:pPr>
            <w:r w:rsidRPr="009E35ED">
              <w:rPr>
                <w:rFonts w:ascii="Arial Narrow" w:hAnsi="Arial Narrow" w:cs="Arial"/>
                <w:color w:val="000000" w:themeColor="text1"/>
                <w:sz w:val="20"/>
                <w:szCs w:val="20"/>
                <w:lang w:val="en-PH" w:eastAsia="en-PH"/>
              </w:rPr>
              <w:t>8.000%</w:t>
            </w:r>
          </w:p>
        </w:tc>
        <w:tc>
          <w:tcPr>
            <w:tcW w:w="222" w:type="dxa"/>
          </w:tcPr>
          <w:p w14:paraId="563DB32D" w14:textId="508C8F2C" w:rsidR="00550599" w:rsidRPr="009E35ED" w:rsidRDefault="00550599" w:rsidP="00550599">
            <w:pPr>
              <w:ind w:left="0"/>
              <w:jc w:val="right"/>
              <w:rPr>
                <w:rFonts w:ascii="Arial Narrow" w:hAnsi="Arial Narrow" w:cs="Arial"/>
                <w:color w:val="000000" w:themeColor="text1"/>
                <w:sz w:val="20"/>
                <w:szCs w:val="20"/>
                <w:lang w:val="en-PH" w:eastAsia="en-PH"/>
              </w:rPr>
            </w:pPr>
          </w:p>
        </w:tc>
      </w:tr>
      <w:tr w:rsidR="00997F75" w:rsidRPr="009E35ED" w14:paraId="4749B473" w14:textId="180F9706" w:rsidTr="00D043CC">
        <w:trPr>
          <w:trHeight w:val="297"/>
        </w:trPr>
        <w:tc>
          <w:tcPr>
            <w:tcW w:w="3420" w:type="dxa"/>
            <w:shd w:val="clear" w:color="auto" w:fill="auto"/>
            <w:vAlign w:val="center"/>
            <w:hideMark/>
          </w:tcPr>
          <w:p w14:paraId="04A3FFDD" w14:textId="77777777" w:rsidR="00550599" w:rsidRPr="009E35ED" w:rsidRDefault="00550599" w:rsidP="00550599">
            <w:pPr>
              <w:ind w:left="0"/>
              <w:jc w:val="left"/>
              <w:rPr>
                <w:rFonts w:ascii="Arial Narrow" w:hAnsi="Arial Narrow" w:cs="Arial"/>
                <w:color w:val="000000" w:themeColor="text1"/>
                <w:sz w:val="20"/>
                <w:szCs w:val="20"/>
                <w:lang w:val="en-PH" w:eastAsia="en-PH"/>
              </w:rPr>
            </w:pPr>
            <w:r w:rsidRPr="009E35ED">
              <w:rPr>
                <w:rFonts w:ascii="Arial Narrow" w:hAnsi="Arial Narrow" w:cs="Arial"/>
                <w:color w:val="000000" w:themeColor="text1"/>
                <w:sz w:val="20"/>
                <w:szCs w:val="20"/>
                <w:lang w:val="en-PH" w:eastAsia="en-PH"/>
              </w:rPr>
              <w:t xml:space="preserve">     Commission of Sales Force</w:t>
            </w:r>
          </w:p>
        </w:tc>
        <w:tc>
          <w:tcPr>
            <w:tcW w:w="864" w:type="dxa"/>
            <w:shd w:val="clear" w:color="auto" w:fill="auto"/>
            <w:vAlign w:val="center"/>
            <w:hideMark/>
          </w:tcPr>
          <w:p w14:paraId="1AFEC731" w14:textId="77777777" w:rsidR="00550599" w:rsidRPr="009E35ED" w:rsidRDefault="00550599" w:rsidP="00550599">
            <w:pPr>
              <w:ind w:left="0"/>
              <w:jc w:val="right"/>
              <w:rPr>
                <w:rFonts w:ascii="Arial Narrow" w:hAnsi="Arial Narrow" w:cs="Arial"/>
                <w:color w:val="000000" w:themeColor="text1"/>
                <w:sz w:val="20"/>
                <w:szCs w:val="20"/>
                <w:lang w:val="en-PH" w:eastAsia="en-PH"/>
              </w:rPr>
            </w:pPr>
          </w:p>
        </w:tc>
        <w:tc>
          <w:tcPr>
            <w:tcW w:w="955" w:type="dxa"/>
            <w:shd w:val="clear" w:color="auto" w:fill="auto"/>
            <w:noWrap/>
            <w:vAlign w:val="center"/>
            <w:hideMark/>
          </w:tcPr>
          <w:p w14:paraId="3B2C5873" w14:textId="77777777" w:rsidR="00550599" w:rsidRPr="009E35ED" w:rsidRDefault="00550599" w:rsidP="00550599">
            <w:pPr>
              <w:ind w:left="0"/>
              <w:jc w:val="right"/>
              <w:rPr>
                <w:rFonts w:ascii="Arial Narrow" w:hAnsi="Arial Narrow" w:cs="Arial"/>
                <w:color w:val="000000" w:themeColor="text1"/>
                <w:sz w:val="20"/>
                <w:szCs w:val="20"/>
                <w:lang w:val="en-PH" w:eastAsia="en-PH"/>
              </w:rPr>
            </w:pPr>
          </w:p>
        </w:tc>
        <w:tc>
          <w:tcPr>
            <w:tcW w:w="955" w:type="dxa"/>
            <w:shd w:val="clear" w:color="auto" w:fill="auto"/>
            <w:noWrap/>
            <w:vAlign w:val="center"/>
            <w:hideMark/>
          </w:tcPr>
          <w:p w14:paraId="2F4A0FB7" w14:textId="77777777" w:rsidR="00550599" w:rsidRPr="009E35ED" w:rsidRDefault="00550599" w:rsidP="00550599">
            <w:pPr>
              <w:ind w:left="0"/>
              <w:jc w:val="right"/>
              <w:rPr>
                <w:rFonts w:ascii="Arial Narrow" w:hAnsi="Arial Narrow" w:cs="Arial"/>
                <w:color w:val="000000" w:themeColor="text1"/>
                <w:sz w:val="20"/>
                <w:szCs w:val="20"/>
                <w:lang w:val="en-PH" w:eastAsia="en-PH"/>
              </w:rPr>
            </w:pPr>
            <w:r w:rsidRPr="009E35ED">
              <w:rPr>
                <w:rFonts w:ascii="Arial Narrow" w:hAnsi="Arial Narrow" w:cs="Arial"/>
                <w:color w:val="000000" w:themeColor="text1"/>
                <w:sz w:val="20"/>
                <w:szCs w:val="20"/>
                <w:lang w:val="en-PH" w:eastAsia="en-PH"/>
              </w:rPr>
              <w:t>10.000%</w:t>
            </w:r>
          </w:p>
        </w:tc>
        <w:tc>
          <w:tcPr>
            <w:tcW w:w="1159" w:type="dxa"/>
            <w:vAlign w:val="center"/>
          </w:tcPr>
          <w:p w14:paraId="72008E1E" w14:textId="2560A161" w:rsidR="00550599" w:rsidRPr="009E35ED" w:rsidRDefault="00550599" w:rsidP="00550599">
            <w:pPr>
              <w:ind w:left="0"/>
              <w:jc w:val="right"/>
              <w:rPr>
                <w:rFonts w:ascii="Arial Narrow" w:hAnsi="Arial Narrow" w:cs="Arial"/>
                <w:color w:val="000000" w:themeColor="text1"/>
                <w:sz w:val="20"/>
                <w:szCs w:val="20"/>
                <w:lang w:val="en-PH" w:eastAsia="en-PH"/>
              </w:rPr>
            </w:pPr>
            <w:r w:rsidRPr="009E35ED">
              <w:rPr>
                <w:rFonts w:ascii="Arial Narrow" w:hAnsi="Arial Narrow" w:cs="Arial"/>
                <w:color w:val="000000" w:themeColor="text1"/>
                <w:sz w:val="20"/>
                <w:szCs w:val="20"/>
                <w:lang w:val="en-PH" w:eastAsia="en-PH"/>
              </w:rPr>
              <w:t>10.000%</w:t>
            </w:r>
          </w:p>
        </w:tc>
        <w:tc>
          <w:tcPr>
            <w:tcW w:w="1046" w:type="dxa"/>
            <w:vAlign w:val="center"/>
          </w:tcPr>
          <w:p w14:paraId="2DD5742D" w14:textId="2D1B6BC1" w:rsidR="00550599" w:rsidRPr="009E35ED" w:rsidRDefault="00550599" w:rsidP="00D043CC">
            <w:pPr>
              <w:ind w:left="0"/>
              <w:jc w:val="right"/>
              <w:rPr>
                <w:rFonts w:ascii="Arial Narrow" w:hAnsi="Arial Narrow" w:cs="Arial"/>
                <w:color w:val="000000" w:themeColor="text1"/>
                <w:sz w:val="20"/>
                <w:szCs w:val="20"/>
                <w:lang w:val="en-PH" w:eastAsia="en-PH"/>
              </w:rPr>
            </w:pPr>
            <w:r w:rsidRPr="009E35ED">
              <w:rPr>
                <w:rFonts w:ascii="Arial Narrow" w:hAnsi="Arial Narrow" w:cs="Arial"/>
                <w:color w:val="000000" w:themeColor="text1"/>
                <w:sz w:val="20"/>
                <w:szCs w:val="20"/>
                <w:lang w:val="en-PH" w:eastAsia="en-PH"/>
              </w:rPr>
              <w:t>10.000%</w:t>
            </w:r>
          </w:p>
        </w:tc>
        <w:tc>
          <w:tcPr>
            <w:tcW w:w="222" w:type="dxa"/>
          </w:tcPr>
          <w:p w14:paraId="29217435" w14:textId="0B8CA653" w:rsidR="00550599" w:rsidRPr="009E35ED" w:rsidRDefault="00550599" w:rsidP="00550599">
            <w:pPr>
              <w:ind w:left="0"/>
              <w:jc w:val="right"/>
              <w:rPr>
                <w:rFonts w:ascii="Arial Narrow" w:hAnsi="Arial Narrow" w:cs="Arial"/>
                <w:color w:val="000000" w:themeColor="text1"/>
                <w:sz w:val="20"/>
                <w:szCs w:val="20"/>
                <w:lang w:val="en-PH" w:eastAsia="en-PH"/>
              </w:rPr>
            </w:pPr>
          </w:p>
        </w:tc>
      </w:tr>
      <w:tr w:rsidR="00997F75" w:rsidRPr="009E35ED" w14:paraId="5E5D96D0" w14:textId="0373E37C" w:rsidTr="00D043CC">
        <w:trPr>
          <w:trHeight w:val="297"/>
        </w:trPr>
        <w:tc>
          <w:tcPr>
            <w:tcW w:w="3420" w:type="dxa"/>
            <w:shd w:val="clear" w:color="auto" w:fill="auto"/>
            <w:vAlign w:val="bottom"/>
            <w:hideMark/>
          </w:tcPr>
          <w:p w14:paraId="719C78DD" w14:textId="77777777" w:rsidR="00550599" w:rsidRPr="009E35ED" w:rsidRDefault="00550599" w:rsidP="00550599">
            <w:pPr>
              <w:ind w:left="0" w:right="-122" w:firstLine="450"/>
              <w:jc w:val="left"/>
              <w:rPr>
                <w:rFonts w:ascii="Arial Narrow" w:hAnsi="Arial Narrow"/>
                <w:color w:val="000000" w:themeColor="text1"/>
                <w:sz w:val="20"/>
                <w:szCs w:val="20"/>
                <w:lang w:val="en-PH" w:eastAsia="en-PH"/>
              </w:rPr>
            </w:pPr>
            <w:r w:rsidRPr="009E35ED">
              <w:rPr>
                <w:rFonts w:ascii="Arial Narrow" w:hAnsi="Arial Narrow"/>
                <w:color w:val="000000" w:themeColor="text1"/>
                <w:sz w:val="20"/>
                <w:szCs w:val="20"/>
                <w:lang w:val="en-PH" w:eastAsia="en-PH"/>
              </w:rPr>
              <w:t xml:space="preserve">Expanded withholding tax from </w:t>
            </w:r>
          </w:p>
          <w:p w14:paraId="1AD5B55E" w14:textId="77777777" w:rsidR="00550599" w:rsidRPr="009E35ED" w:rsidRDefault="00550599" w:rsidP="00550599">
            <w:pPr>
              <w:ind w:left="0" w:right="-122" w:firstLine="450"/>
              <w:jc w:val="left"/>
              <w:rPr>
                <w:rFonts w:ascii="Arial Narrow" w:hAnsi="Arial Narrow"/>
                <w:color w:val="000000" w:themeColor="text1"/>
                <w:sz w:val="20"/>
                <w:szCs w:val="20"/>
                <w:lang w:val="en-PH" w:eastAsia="en-PH"/>
              </w:rPr>
            </w:pPr>
            <w:r w:rsidRPr="009E35ED">
              <w:rPr>
                <w:rFonts w:ascii="Arial Narrow" w:hAnsi="Arial Narrow"/>
                <w:color w:val="000000" w:themeColor="text1"/>
                <w:sz w:val="20"/>
                <w:szCs w:val="20"/>
                <w:lang w:val="en-PH" w:eastAsia="en-PH"/>
              </w:rPr>
              <w:t>agency commission</w:t>
            </w:r>
          </w:p>
        </w:tc>
        <w:tc>
          <w:tcPr>
            <w:tcW w:w="864" w:type="dxa"/>
            <w:shd w:val="clear" w:color="auto" w:fill="auto"/>
            <w:vAlign w:val="center"/>
            <w:hideMark/>
          </w:tcPr>
          <w:p w14:paraId="67EDF736" w14:textId="77777777" w:rsidR="00550599" w:rsidRPr="009E35ED" w:rsidRDefault="00550599" w:rsidP="00550599">
            <w:pPr>
              <w:ind w:left="0"/>
              <w:jc w:val="right"/>
              <w:rPr>
                <w:rFonts w:ascii="Arial Narrow" w:hAnsi="Arial Narrow" w:cs="Arial"/>
                <w:color w:val="000000" w:themeColor="text1"/>
                <w:sz w:val="20"/>
                <w:szCs w:val="20"/>
                <w:lang w:val="en-PH" w:eastAsia="en-PH"/>
              </w:rPr>
            </w:pPr>
          </w:p>
        </w:tc>
        <w:tc>
          <w:tcPr>
            <w:tcW w:w="955" w:type="dxa"/>
            <w:shd w:val="clear" w:color="auto" w:fill="auto"/>
            <w:noWrap/>
            <w:vAlign w:val="bottom"/>
            <w:hideMark/>
          </w:tcPr>
          <w:p w14:paraId="2F31C722" w14:textId="77777777" w:rsidR="00550599" w:rsidRPr="009E35ED" w:rsidRDefault="00550599" w:rsidP="00550599">
            <w:pPr>
              <w:ind w:left="0"/>
              <w:jc w:val="right"/>
              <w:rPr>
                <w:rFonts w:ascii="Arial Narrow" w:hAnsi="Arial Narrow"/>
                <w:color w:val="000000" w:themeColor="text1"/>
                <w:sz w:val="22"/>
                <w:szCs w:val="22"/>
                <w:lang w:val="en-PH" w:eastAsia="en-PH"/>
              </w:rPr>
            </w:pPr>
          </w:p>
        </w:tc>
        <w:tc>
          <w:tcPr>
            <w:tcW w:w="955" w:type="dxa"/>
            <w:shd w:val="clear" w:color="auto" w:fill="auto"/>
            <w:noWrap/>
            <w:vAlign w:val="bottom"/>
            <w:hideMark/>
          </w:tcPr>
          <w:p w14:paraId="23B12823" w14:textId="77777777" w:rsidR="00550599" w:rsidRPr="009E35ED" w:rsidRDefault="00550599" w:rsidP="00550599">
            <w:pPr>
              <w:ind w:left="0"/>
              <w:jc w:val="right"/>
              <w:rPr>
                <w:rFonts w:ascii="Arial Narrow" w:hAnsi="Arial Narrow"/>
                <w:color w:val="000000" w:themeColor="text1"/>
                <w:sz w:val="20"/>
                <w:szCs w:val="20"/>
                <w:lang w:val="en-PH" w:eastAsia="en-PH"/>
              </w:rPr>
            </w:pPr>
            <w:r w:rsidRPr="009E35ED">
              <w:rPr>
                <w:rFonts w:ascii="Arial Narrow" w:hAnsi="Arial Narrow"/>
                <w:color w:val="000000" w:themeColor="text1"/>
                <w:sz w:val="20"/>
                <w:szCs w:val="20"/>
                <w:lang w:val="en-PH" w:eastAsia="en-PH"/>
              </w:rPr>
              <w:t>1.000%</w:t>
            </w:r>
          </w:p>
        </w:tc>
        <w:tc>
          <w:tcPr>
            <w:tcW w:w="1159" w:type="dxa"/>
            <w:vAlign w:val="bottom"/>
          </w:tcPr>
          <w:p w14:paraId="66F89347" w14:textId="071BDD89" w:rsidR="00550599" w:rsidRPr="009E35ED" w:rsidRDefault="00550599" w:rsidP="00550599">
            <w:pPr>
              <w:ind w:left="0"/>
              <w:jc w:val="right"/>
              <w:rPr>
                <w:rFonts w:ascii="Arial Narrow" w:hAnsi="Arial Narrow"/>
                <w:color w:val="000000" w:themeColor="text1"/>
                <w:sz w:val="20"/>
                <w:szCs w:val="20"/>
                <w:lang w:val="en-PH" w:eastAsia="en-PH"/>
              </w:rPr>
            </w:pPr>
            <w:r w:rsidRPr="009E35ED">
              <w:rPr>
                <w:rFonts w:ascii="Arial Narrow" w:hAnsi="Arial Narrow"/>
                <w:color w:val="000000" w:themeColor="text1"/>
                <w:sz w:val="20"/>
                <w:szCs w:val="20"/>
                <w:lang w:val="en-PH" w:eastAsia="en-PH"/>
              </w:rPr>
              <w:t>1.000%</w:t>
            </w:r>
          </w:p>
        </w:tc>
        <w:tc>
          <w:tcPr>
            <w:tcW w:w="1046" w:type="dxa"/>
            <w:vAlign w:val="bottom"/>
          </w:tcPr>
          <w:p w14:paraId="78C7B190" w14:textId="10019778" w:rsidR="00550599" w:rsidRPr="009E35ED" w:rsidRDefault="00550599" w:rsidP="00D043CC">
            <w:pPr>
              <w:ind w:left="0"/>
              <w:jc w:val="right"/>
              <w:rPr>
                <w:rFonts w:ascii="Arial Narrow" w:hAnsi="Arial Narrow"/>
                <w:color w:val="000000" w:themeColor="text1"/>
                <w:sz w:val="20"/>
                <w:szCs w:val="20"/>
                <w:lang w:val="en-PH" w:eastAsia="en-PH"/>
              </w:rPr>
            </w:pPr>
            <w:r w:rsidRPr="009E35ED">
              <w:rPr>
                <w:rFonts w:ascii="Arial Narrow" w:hAnsi="Arial Narrow"/>
                <w:color w:val="000000" w:themeColor="text1"/>
                <w:sz w:val="20"/>
                <w:szCs w:val="20"/>
                <w:lang w:val="en-PH" w:eastAsia="en-PH"/>
              </w:rPr>
              <w:t>1.000%</w:t>
            </w:r>
          </w:p>
        </w:tc>
        <w:tc>
          <w:tcPr>
            <w:tcW w:w="222" w:type="dxa"/>
          </w:tcPr>
          <w:p w14:paraId="0FEAB170" w14:textId="70D6BAC3" w:rsidR="00550599" w:rsidRPr="009E35ED" w:rsidRDefault="00550599" w:rsidP="00550599">
            <w:pPr>
              <w:ind w:left="0"/>
              <w:jc w:val="right"/>
              <w:rPr>
                <w:rFonts w:ascii="Arial Narrow" w:hAnsi="Arial Narrow"/>
                <w:color w:val="000000" w:themeColor="text1"/>
                <w:sz w:val="20"/>
                <w:szCs w:val="20"/>
                <w:lang w:val="en-PH" w:eastAsia="en-PH"/>
              </w:rPr>
            </w:pPr>
          </w:p>
        </w:tc>
      </w:tr>
      <w:tr w:rsidR="00997F75" w:rsidRPr="009E35ED" w14:paraId="7916C44B" w14:textId="39A5E1AA" w:rsidTr="00D043CC">
        <w:trPr>
          <w:trHeight w:val="297"/>
        </w:trPr>
        <w:tc>
          <w:tcPr>
            <w:tcW w:w="3420" w:type="dxa"/>
            <w:shd w:val="clear" w:color="auto" w:fill="auto"/>
            <w:vAlign w:val="bottom"/>
          </w:tcPr>
          <w:p w14:paraId="1A3C44C6" w14:textId="543A7357" w:rsidR="00550599" w:rsidRPr="009E35ED" w:rsidRDefault="00550599" w:rsidP="00550599">
            <w:pPr>
              <w:ind w:left="0" w:right="-122" w:firstLine="450"/>
              <w:jc w:val="left"/>
              <w:rPr>
                <w:rFonts w:ascii="Arial Narrow" w:hAnsi="Arial Narrow"/>
                <w:color w:val="000000" w:themeColor="text1"/>
                <w:sz w:val="20"/>
                <w:szCs w:val="20"/>
                <w:lang w:val="en-PH" w:eastAsia="en-PH"/>
              </w:rPr>
            </w:pPr>
            <w:r w:rsidRPr="009E35ED">
              <w:rPr>
                <w:rFonts w:ascii="Arial Narrow" w:hAnsi="Arial Narrow"/>
                <w:color w:val="000000" w:themeColor="text1"/>
                <w:sz w:val="20"/>
                <w:szCs w:val="20"/>
                <w:lang w:val="en-PH" w:eastAsia="en-PH"/>
              </w:rPr>
              <w:t xml:space="preserve">VAT withholding from </w:t>
            </w:r>
          </w:p>
          <w:p w14:paraId="6A14CCED" w14:textId="3331AD4C" w:rsidR="00550599" w:rsidRPr="009E35ED" w:rsidRDefault="00550599" w:rsidP="00550599">
            <w:pPr>
              <w:ind w:left="0" w:right="-122" w:firstLine="450"/>
              <w:jc w:val="left"/>
              <w:rPr>
                <w:rFonts w:ascii="Arial Narrow" w:hAnsi="Arial Narrow"/>
                <w:color w:val="000000" w:themeColor="text1"/>
                <w:sz w:val="20"/>
                <w:szCs w:val="20"/>
                <w:lang w:val="en-PH" w:eastAsia="en-PH"/>
              </w:rPr>
            </w:pPr>
            <w:r w:rsidRPr="009E35ED">
              <w:rPr>
                <w:rFonts w:ascii="Arial Narrow" w:hAnsi="Arial Narrow"/>
                <w:color w:val="000000" w:themeColor="text1"/>
                <w:sz w:val="20"/>
                <w:szCs w:val="20"/>
                <w:lang w:val="en-PH" w:eastAsia="en-PH"/>
              </w:rPr>
              <w:t xml:space="preserve">Commission </w:t>
            </w:r>
          </w:p>
        </w:tc>
        <w:tc>
          <w:tcPr>
            <w:tcW w:w="864" w:type="dxa"/>
            <w:shd w:val="clear" w:color="auto" w:fill="auto"/>
            <w:vAlign w:val="center"/>
          </w:tcPr>
          <w:p w14:paraId="6CF096D5" w14:textId="77777777" w:rsidR="00550599" w:rsidRPr="009E35ED" w:rsidRDefault="00550599" w:rsidP="00550599">
            <w:pPr>
              <w:ind w:left="0"/>
              <w:jc w:val="right"/>
              <w:rPr>
                <w:rFonts w:ascii="Arial Narrow" w:hAnsi="Arial Narrow" w:cs="Arial"/>
                <w:color w:val="000000" w:themeColor="text1"/>
                <w:sz w:val="20"/>
                <w:szCs w:val="20"/>
                <w:lang w:val="en-PH" w:eastAsia="en-PH"/>
              </w:rPr>
            </w:pPr>
          </w:p>
        </w:tc>
        <w:tc>
          <w:tcPr>
            <w:tcW w:w="955" w:type="dxa"/>
            <w:shd w:val="clear" w:color="auto" w:fill="auto"/>
            <w:noWrap/>
            <w:vAlign w:val="bottom"/>
          </w:tcPr>
          <w:p w14:paraId="64D76C20" w14:textId="77777777" w:rsidR="00550599" w:rsidRPr="009E35ED" w:rsidRDefault="00550599" w:rsidP="00550599">
            <w:pPr>
              <w:ind w:left="0"/>
              <w:jc w:val="right"/>
              <w:rPr>
                <w:rFonts w:ascii="Arial Narrow" w:hAnsi="Arial Narrow"/>
                <w:color w:val="000000" w:themeColor="text1"/>
                <w:sz w:val="22"/>
                <w:szCs w:val="22"/>
                <w:lang w:val="en-PH" w:eastAsia="en-PH"/>
              </w:rPr>
            </w:pPr>
          </w:p>
        </w:tc>
        <w:tc>
          <w:tcPr>
            <w:tcW w:w="955" w:type="dxa"/>
            <w:shd w:val="clear" w:color="auto" w:fill="auto"/>
            <w:noWrap/>
            <w:vAlign w:val="bottom"/>
          </w:tcPr>
          <w:p w14:paraId="375C067B" w14:textId="77777777" w:rsidR="00550599" w:rsidRPr="009E35ED" w:rsidRDefault="00550599" w:rsidP="00550599">
            <w:pPr>
              <w:ind w:left="0"/>
              <w:jc w:val="right"/>
              <w:rPr>
                <w:rFonts w:ascii="Arial Narrow" w:hAnsi="Arial Narrow"/>
                <w:color w:val="000000" w:themeColor="text1"/>
                <w:sz w:val="20"/>
                <w:szCs w:val="20"/>
                <w:lang w:val="en-PH" w:eastAsia="en-PH"/>
              </w:rPr>
            </w:pPr>
          </w:p>
        </w:tc>
        <w:tc>
          <w:tcPr>
            <w:tcW w:w="1159" w:type="dxa"/>
            <w:vAlign w:val="bottom"/>
          </w:tcPr>
          <w:p w14:paraId="60716404" w14:textId="13679202" w:rsidR="00550599" w:rsidRPr="009E35ED" w:rsidRDefault="00550599" w:rsidP="00550599">
            <w:pPr>
              <w:ind w:left="0"/>
              <w:jc w:val="right"/>
              <w:rPr>
                <w:rFonts w:ascii="Arial Narrow" w:hAnsi="Arial Narrow"/>
                <w:color w:val="000000" w:themeColor="text1"/>
                <w:sz w:val="20"/>
                <w:szCs w:val="20"/>
                <w:lang w:val="en-PH" w:eastAsia="en-PH"/>
              </w:rPr>
            </w:pPr>
            <w:r w:rsidRPr="009E35ED">
              <w:rPr>
                <w:rFonts w:ascii="Arial Narrow" w:hAnsi="Arial Narrow"/>
                <w:color w:val="000000" w:themeColor="text1"/>
                <w:sz w:val="20"/>
                <w:szCs w:val="20"/>
                <w:lang w:val="en-PH" w:eastAsia="en-PH"/>
              </w:rPr>
              <w:t>0.5000%</w:t>
            </w:r>
          </w:p>
        </w:tc>
        <w:tc>
          <w:tcPr>
            <w:tcW w:w="1046" w:type="dxa"/>
            <w:vAlign w:val="bottom"/>
          </w:tcPr>
          <w:p w14:paraId="6A4D54A1" w14:textId="281C8D98" w:rsidR="00550599" w:rsidRPr="009E35ED" w:rsidRDefault="00550599" w:rsidP="00D043CC">
            <w:pPr>
              <w:ind w:left="0"/>
              <w:jc w:val="right"/>
              <w:rPr>
                <w:rFonts w:ascii="Arial Narrow" w:hAnsi="Arial Narrow"/>
                <w:color w:val="000000" w:themeColor="text1"/>
                <w:sz w:val="20"/>
                <w:szCs w:val="20"/>
                <w:lang w:val="en-PH" w:eastAsia="en-PH"/>
              </w:rPr>
            </w:pPr>
            <w:r w:rsidRPr="009E35ED">
              <w:rPr>
                <w:rFonts w:ascii="Arial Narrow" w:hAnsi="Arial Narrow"/>
                <w:color w:val="000000" w:themeColor="text1"/>
                <w:sz w:val="20"/>
                <w:szCs w:val="20"/>
                <w:lang w:val="en-PH" w:eastAsia="en-PH"/>
              </w:rPr>
              <w:t>0.5000%</w:t>
            </w:r>
          </w:p>
        </w:tc>
        <w:tc>
          <w:tcPr>
            <w:tcW w:w="222" w:type="dxa"/>
          </w:tcPr>
          <w:p w14:paraId="2BCF17A4" w14:textId="1FF3E2B7" w:rsidR="00550599" w:rsidRPr="009E35ED" w:rsidRDefault="00550599" w:rsidP="00550599">
            <w:pPr>
              <w:ind w:left="0"/>
              <w:jc w:val="right"/>
              <w:rPr>
                <w:rFonts w:ascii="Arial Narrow" w:hAnsi="Arial Narrow"/>
                <w:color w:val="000000" w:themeColor="text1"/>
                <w:sz w:val="20"/>
                <w:szCs w:val="20"/>
                <w:lang w:val="en-PH" w:eastAsia="en-PH"/>
              </w:rPr>
            </w:pPr>
          </w:p>
        </w:tc>
      </w:tr>
      <w:tr w:rsidR="00997F75" w:rsidRPr="009E35ED" w14:paraId="6A95DC02" w14:textId="42CAC319" w:rsidTr="00D043CC">
        <w:trPr>
          <w:trHeight w:val="297"/>
        </w:trPr>
        <w:tc>
          <w:tcPr>
            <w:tcW w:w="3420" w:type="dxa"/>
            <w:shd w:val="clear" w:color="auto" w:fill="auto"/>
            <w:vAlign w:val="center"/>
            <w:hideMark/>
          </w:tcPr>
          <w:p w14:paraId="476F8A12" w14:textId="77777777" w:rsidR="00550599" w:rsidRPr="009E35ED" w:rsidRDefault="00550599" w:rsidP="00550599">
            <w:pPr>
              <w:ind w:left="0"/>
              <w:jc w:val="center"/>
              <w:rPr>
                <w:rFonts w:ascii="Arial Narrow" w:hAnsi="Arial Narrow" w:cs="Arial"/>
                <w:color w:val="000000" w:themeColor="text1"/>
                <w:sz w:val="20"/>
                <w:szCs w:val="20"/>
                <w:lang w:val="en-PH" w:eastAsia="en-PH"/>
              </w:rPr>
            </w:pPr>
            <w:r w:rsidRPr="009E35ED">
              <w:rPr>
                <w:rFonts w:ascii="Arial Narrow" w:hAnsi="Arial Narrow" w:cs="Arial"/>
                <w:color w:val="000000" w:themeColor="text1"/>
                <w:sz w:val="20"/>
                <w:szCs w:val="20"/>
                <w:lang w:val="en-PH" w:eastAsia="en-PH"/>
              </w:rPr>
              <w:t>Net of Sales Force Commission</w:t>
            </w:r>
          </w:p>
        </w:tc>
        <w:tc>
          <w:tcPr>
            <w:tcW w:w="864" w:type="dxa"/>
            <w:shd w:val="clear" w:color="auto" w:fill="auto"/>
            <w:vAlign w:val="center"/>
            <w:hideMark/>
          </w:tcPr>
          <w:p w14:paraId="6687E6A0" w14:textId="77777777" w:rsidR="00550599" w:rsidRPr="009E35ED" w:rsidRDefault="00550599" w:rsidP="00550599">
            <w:pPr>
              <w:ind w:left="0"/>
              <w:jc w:val="right"/>
              <w:rPr>
                <w:rFonts w:ascii="Arial Narrow" w:hAnsi="Arial Narrow" w:cs="Arial"/>
                <w:color w:val="000000" w:themeColor="text1"/>
                <w:sz w:val="20"/>
                <w:szCs w:val="20"/>
                <w:lang w:val="en-PH" w:eastAsia="en-PH"/>
              </w:rPr>
            </w:pPr>
          </w:p>
        </w:tc>
        <w:tc>
          <w:tcPr>
            <w:tcW w:w="955" w:type="dxa"/>
            <w:shd w:val="clear" w:color="auto" w:fill="auto"/>
            <w:noWrap/>
            <w:vAlign w:val="center"/>
            <w:hideMark/>
          </w:tcPr>
          <w:p w14:paraId="06A7820A" w14:textId="77777777" w:rsidR="00550599" w:rsidRPr="009E35ED" w:rsidRDefault="00550599" w:rsidP="00550599">
            <w:pPr>
              <w:ind w:left="0"/>
              <w:jc w:val="right"/>
              <w:rPr>
                <w:rFonts w:ascii="Arial Narrow" w:hAnsi="Arial Narrow" w:cs="Arial"/>
                <w:color w:val="000000" w:themeColor="text1"/>
                <w:sz w:val="20"/>
                <w:szCs w:val="20"/>
                <w:lang w:val="en-PH" w:eastAsia="en-PH"/>
              </w:rPr>
            </w:pPr>
          </w:p>
        </w:tc>
        <w:tc>
          <w:tcPr>
            <w:tcW w:w="955" w:type="dxa"/>
            <w:shd w:val="clear" w:color="auto" w:fill="auto"/>
            <w:noWrap/>
            <w:vAlign w:val="center"/>
            <w:hideMark/>
          </w:tcPr>
          <w:p w14:paraId="63345B0D" w14:textId="77777777" w:rsidR="00550599" w:rsidRPr="009E35ED" w:rsidRDefault="00550599" w:rsidP="00550599">
            <w:pPr>
              <w:ind w:left="0"/>
              <w:jc w:val="right"/>
              <w:rPr>
                <w:rFonts w:ascii="Arial Narrow" w:hAnsi="Arial Narrow" w:cs="Arial"/>
                <w:color w:val="000000" w:themeColor="text1"/>
                <w:sz w:val="20"/>
                <w:szCs w:val="20"/>
                <w:lang w:val="en-PH" w:eastAsia="en-PH"/>
              </w:rPr>
            </w:pPr>
            <w:r w:rsidRPr="009E35ED">
              <w:rPr>
                <w:rFonts w:ascii="Arial Narrow" w:hAnsi="Arial Narrow" w:cs="Arial"/>
                <w:color w:val="000000" w:themeColor="text1"/>
                <w:sz w:val="20"/>
                <w:szCs w:val="20"/>
                <w:lang w:val="en-PH" w:eastAsia="en-PH"/>
              </w:rPr>
              <w:t>9.000%</w:t>
            </w:r>
          </w:p>
        </w:tc>
        <w:tc>
          <w:tcPr>
            <w:tcW w:w="1159" w:type="dxa"/>
          </w:tcPr>
          <w:p w14:paraId="7A6F46B3" w14:textId="27106247" w:rsidR="00550599" w:rsidRPr="009E35ED" w:rsidRDefault="00550599" w:rsidP="00550599">
            <w:pPr>
              <w:ind w:left="0"/>
              <w:jc w:val="right"/>
              <w:rPr>
                <w:rFonts w:ascii="Arial Narrow" w:hAnsi="Arial Narrow" w:cs="Arial"/>
                <w:color w:val="000000" w:themeColor="text1"/>
                <w:sz w:val="20"/>
                <w:szCs w:val="20"/>
                <w:lang w:val="en-PH" w:eastAsia="en-PH"/>
              </w:rPr>
            </w:pPr>
            <w:r w:rsidRPr="009E35ED">
              <w:rPr>
                <w:rFonts w:ascii="Arial Narrow" w:hAnsi="Arial Narrow" w:cs="Arial"/>
                <w:color w:val="000000" w:themeColor="text1"/>
                <w:sz w:val="20"/>
                <w:szCs w:val="20"/>
                <w:lang w:val="en-PH" w:eastAsia="en-PH"/>
              </w:rPr>
              <w:t>8.5000%</w:t>
            </w:r>
          </w:p>
        </w:tc>
        <w:tc>
          <w:tcPr>
            <w:tcW w:w="1046" w:type="dxa"/>
          </w:tcPr>
          <w:p w14:paraId="30F73050" w14:textId="6A70C021" w:rsidR="00550599" w:rsidRPr="009E35ED" w:rsidRDefault="00550599" w:rsidP="00D043CC">
            <w:pPr>
              <w:ind w:left="0"/>
              <w:jc w:val="right"/>
              <w:rPr>
                <w:rFonts w:ascii="Arial Narrow" w:hAnsi="Arial Narrow" w:cs="Arial"/>
                <w:color w:val="000000" w:themeColor="text1"/>
                <w:sz w:val="20"/>
                <w:szCs w:val="20"/>
                <w:lang w:val="en-PH" w:eastAsia="en-PH"/>
              </w:rPr>
            </w:pPr>
            <w:r w:rsidRPr="009E35ED">
              <w:rPr>
                <w:rFonts w:ascii="Arial Narrow" w:hAnsi="Arial Narrow" w:cs="Arial"/>
                <w:color w:val="000000" w:themeColor="text1"/>
                <w:sz w:val="20"/>
                <w:szCs w:val="20"/>
                <w:lang w:val="en-PH" w:eastAsia="en-PH"/>
              </w:rPr>
              <w:t>8.5000%</w:t>
            </w:r>
          </w:p>
        </w:tc>
        <w:tc>
          <w:tcPr>
            <w:tcW w:w="222" w:type="dxa"/>
          </w:tcPr>
          <w:p w14:paraId="77AB6BB9" w14:textId="33B48FA3" w:rsidR="00550599" w:rsidRPr="009E35ED" w:rsidRDefault="00550599" w:rsidP="00550599">
            <w:pPr>
              <w:ind w:left="0"/>
              <w:jc w:val="right"/>
              <w:rPr>
                <w:rFonts w:ascii="Arial Narrow" w:hAnsi="Arial Narrow" w:cs="Arial"/>
                <w:color w:val="000000" w:themeColor="text1"/>
                <w:sz w:val="20"/>
                <w:szCs w:val="20"/>
                <w:lang w:val="en-PH" w:eastAsia="en-PH"/>
              </w:rPr>
            </w:pPr>
          </w:p>
        </w:tc>
      </w:tr>
      <w:tr w:rsidR="00997F75" w:rsidRPr="009E35ED" w14:paraId="3EC8BCC6" w14:textId="065089A7" w:rsidTr="00D043CC">
        <w:trPr>
          <w:trHeight w:val="297"/>
        </w:trPr>
        <w:tc>
          <w:tcPr>
            <w:tcW w:w="3420" w:type="dxa"/>
            <w:shd w:val="clear" w:color="auto" w:fill="auto"/>
            <w:vAlign w:val="center"/>
            <w:hideMark/>
          </w:tcPr>
          <w:p w14:paraId="12263436" w14:textId="77777777" w:rsidR="00550599" w:rsidRPr="009E35ED" w:rsidRDefault="00550599" w:rsidP="00550599">
            <w:pPr>
              <w:ind w:left="0"/>
              <w:rPr>
                <w:rFonts w:ascii="Arial Narrow" w:hAnsi="Arial Narrow" w:cs="Arial"/>
                <w:color w:val="000000" w:themeColor="text1"/>
                <w:sz w:val="20"/>
                <w:szCs w:val="20"/>
                <w:lang w:val="en-PH" w:eastAsia="en-PH"/>
              </w:rPr>
            </w:pPr>
            <w:r w:rsidRPr="009E35ED">
              <w:rPr>
                <w:rFonts w:ascii="Arial Narrow" w:hAnsi="Arial Narrow" w:cs="Arial"/>
                <w:color w:val="000000" w:themeColor="text1"/>
                <w:sz w:val="20"/>
                <w:szCs w:val="20"/>
                <w:lang w:val="en-PH" w:eastAsia="en-PH"/>
              </w:rPr>
              <w:t xml:space="preserve">     BIR Tax (5% of PF)</w:t>
            </w:r>
          </w:p>
        </w:tc>
        <w:tc>
          <w:tcPr>
            <w:tcW w:w="864" w:type="dxa"/>
            <w:shd w:val="clear" w:color="auto" w:fill="auto"/>
            <w:vAlign w:val="center"/>
            <w:hideMark/>
          </w:tcPr>
          <w:p w14:paraId="159B8AC2" w14:textId="77777777" w:rsidR="00550599" w:rsidRPr="009E35ED" w:rsidRDefault="00550599" w:rsidP="00550599">
            <w:pPr>
              <w:ind w:left="0"/>
              <w:jc w:val="right"/>
              <w:rPr>
                <w:rFonts w:ascii="Arial Narrow" w:hAnsi="Arial Narrow" w:cs="Arial"/>
                <w:color w:val="000000" w:themeColor="text1"/>
                <w:sz w:val="20"/>
                <w:szCs w:val="20"/>
                <w:lang w:val="en-PH" w:eastAsia="en-PH"/>
              </w:rPr>
            </w:pPr>
            <w:r w:rsidRPr="009E35ED">
              <w:rPr>
                <w:rFonts w:ascii="Arial Narrow" w:hAnsi="Arial Narrow" w:cs="Arial"/>
                <w:color w:val="000000" w:themeColor="text1"/>
                <w:sz w:val="20"/>
                <w:szCs w:val="20"/>
                <w:lang w:val="en-PH" w:eastAsia="en-PH"/>
              </w:rPr>
              <w:t>2.70%</w:t>
            </w:r>
          </w:p>
        </w:tc>
        <w:tc>
          <w:tcPr>
            <w:tcW w:w="955" w:type="dxa"/>
            <w:shd w:val="clear" w:color="auto" w:fill="auto"/>
            <w:noWrap/>
            <w:vAlign w:val="center"/>
            <w:hideMark/>
          </w:tcPr>
          <w:p w14:paraId="0B26FA3D" w14:textId="77777777" w:rsidR="00550599" w:rsidRPr="009E35ED" w:rsidRDefault="00550599" w:rsidP="00550599">
            <w:pPr>
              <w:ind w:left="0"/>
              <w:jc w:val="right"/>
              <w:rPr>
                <w:rFonts w:ascii="Arial Narrow" w:hAnsi="Arial Narrow" w:cs="Arial"/>
                <w:color w:val="000000" w:themeColor="text1"/>
                <w:sz w:val="20"/>
                <w:szCs w:val="20"/>
                <w:lang w:val="en-PH" w:eastAsia="en-PH"/>
              </w:rPr>
            </w:pPr>
            <w:r w:rsidRPr="009E35ED">
              <w:rPr>
                <w:rFonts w:ascii="Arial Narrow" w:hAnsi="Arial Narrow" w:cs="Arial"/>
                <w:color w:val="000000" w:themeColor="text1"/>
                <w:sz w:val="20"/>
                <w:szCs w:val="20"/>
                <w:lang w:val="en-PH" w:eastAsia="en-PH"/>
              </w:rPr>
              <w:t>2.145%</w:t>
            </w:r>
          </w:p>
        </w:tc>
        <w:tc>
          <w:tcPr>
            <w:tcW w:w="955" w:type="dxa"/>
            <w:shd w:val="clear" w:color="auto" w:fill="auto"/>
            <w:noWrap/>
            <w:vAlign w:val="center"/>
            <w:hideMark/>
          </w:tcPr>
          <w:p w14:paraId="715AADC1" w14:textId="77777777" w:rsidR="00550599" w:rsidRPr="009E35ED" w:rsidRDefault="00550599" w:rsidP="00550599">
            <w:pPr>
              <w:ind w:left="0"/>
              <w:jc w:val="right"/>
              <w:rPr>
                <w:rFonts w:ascii="Arial Narrow" w:hAnsi="Arial Narrow" w:cs="Arial"/>
                <w:color w:val="000000" w:themeColor="text1"/>
                <w:sz w:val="20"/>
                <w:szCs w:val="20"/>
                <w:lang w:val="en-PH" w:eastAsia="en-PH"/>
              </w:rPr>
            </w:pPr>
            <w:r w:rsidRPr="009E35ED">
              <w:rPr>
                <w:rFonts w:ascii="Arial Narrow" w:hAnsi="Arial Narrow" w:cs="Arial"/>
                <w:color w:val="000000" w:themeColor="text1"/>
                <w:sz w:val="20"/>
                <w:szCs w:val="20"/>
                <w:lang w:val="en-PH" w:eastAsia="en-PH"/>
              </w:rPr>
              <w:t>2.695%</w:t>
            </w:r>
          </w:p>
        </w:tc>
        <w:tc>
          <w:tcPr>
            <w:tcW w:w="1159" w:type="dxa"/>
          </w:tcPr>
          <w:p w14:paraId="64CE5C09" w14:textId="595077B9" w:rsidR="00550599" w:rsidRPr="009E35ED" w:rsidRDefault="00550599" w:rsidP="00550599">
            <w:pPr>
              <w:ind w:left="0"/>
              <w:jc w:val="right"/>
              <w:rPr>
                <w:rFonts w:ascii="Arial Narrow" w:hAnsi="Arial Narrow" w:cs="Arial"/>
                <w:color w:val="000000" w:themeColor="text1"/>
                <w:sz w:val="20"/>
                <w:szCs w:val="20"/>
                <w:lang w:val="en-PH" w:eastAsia="en-PH"/>
              </w:rPr>
            </w:pPr>
            <w:r w:rsidRPr="009E35ED">
              <w:rPr>
                <w:rFonts w:ascii="Arial Narrow" w:hAnsi="Arial Narrow" w:cs="Arial"/>
                <w:color w:val="000000" w:themeColor="text1"/>
                <w:sz w:val="20"/>
                <w:szCs w:val="20"/>
                <w:lang w:val="en-PH" w:eastAsia="en-PH"/>
              </w:rPr>
              <w:t>2.6950%</w:t>
            </w:r>
          </w:p>
        </w:tc>
        <w:tc>
          <w:tcPr>
            <w:tcW w:w="1046" w:type="dxa"/>
          </w:tcPr>
          <w:p w14:paraId="647DB214" w14:textId="0287AFDF" w:rsidR="00550599" w:rsidRPr="009E35ED" w:rsidRDefault="00550599" w:rsidP="00D043CC">
            <w:pPr>
              <w:ind w:left="0"/>
              <w:jc w:val="right"/>
              <w:rPr>
                <w:rFonts w:ascii="Arial Narrow" w:hAnsi="Arial Narrow" w:cs="Arial"/>
                <w:color w:val="000000" w:themeColor="text1"/>
                <w:sz w:val="20"/>
                <w:szCs w:val="20"/>
                <w:lang w:val="en-PH" w:eastAsia="en-PH"/>
              </w:rPr>
            </w:pPr>
            <w:r w:rsidRPr="009E35ED">
              <w:rPr>
                <w:rFonts w:ascii="Arial Narrow" w:hAnsi="Arial Narrow" w:cs="Arial"/>
                <w:color w:val="000000" w:themeColor="text1"/>
                <w:sz w:val="20"/>
                <w:szCs w:val="20"/>
                <w:lang w:val="en-PH" w:eastAsia="en-PH"/>
              </w:rPr>
              <w:t>0.0000%</w:t>
            </w:r>
          </w:p>
        </w:tc>
        <w:tc>
          <w:tcPr>
            <w:tcW w:w="222" w:type="dxa"/>
            <w:tcBorders>
              <w:left w:val="nil"/>
            </w:tcBorders>
          </w:tcPr>
          <w:p w14:paraId="5ABD7F71" w14:textId="16054D93" w:rsidR="00550599" w:rsidRPr="009E35ED" w:rsidRDefault="00550599" w:rsidP="00550599">
            <w:pPr>
              <w:ind w:left="0"/>
              <w:jc w:val="right"/>
              <w:rPr>
                <w:rFonts w:ascii="Arial Narrow" w:hAnsi="Arial Narrow" w:cs="Arial"/>
                <w:color w:val="000000" w:themeColor="text1"/>
                <w:sz w:val="20"/>
                <w:szCs w:val="20"/>
                <w:lang w:val="en-PH" w:eastAsia="en-PH"/>
              </w:rPr>
            </w:pPr>
          </w:p>
        </w:tc>
      </w:tr>
      <w:tr w:rsidR="00997F75" w:rsidRPr="009E35ED" w14:paraId="2AA58C6A" w14:textId="32CEFF99" w:rsidTr="00D043CC">
        <w:trPr>
          <w:trHeight w:val="313"/>
        </w:trPr>
        <w:tc>
          <w:tcPr>
            <w:tcW w:w="3420" w:type="dxa"/>
            <w:shd w:val="clear" w:color="auto" w:fill="auto"/>
            <w:vAlign w:val="center"/>
            <w:hideMark/>
          </w:tcPr>
          <w:p w14:paraId="35FED4EB" w14:textId="77777777" w:rsidR="00550599" w:rsidRPr="009E35ED" w:rsidRDefault="00550599" w:rsidP="00550599">
            <w:pPr>
              <w:ind w:left="250"/>
              <w:rPr>
                <w:rFonts w:ascii="Arial Narrow" w:hAnsi="Arial Narrow" w:cs="Arial"/>
                <w:color w:val="000000" w:themeColor="text1"/>
                <w:sz w:val="20"/>
                <w:szCs w:val="20"/>
                <w:lang w:val="en-PH" w:eastAsia="en-PH"/>
              </w:rPr>
            </w:pPr>
            <w:r w:rsidRPr="009E35ED">
              <w:rPr>
                <w:rFonts w:ascii="Arial Narrow" w:hAnsi="Arial Narrow" w:cs="Arial"/>
                <w:color w:val="000000" w:themeColor="text1"/>
                <w:sz w:val="20"/>
                <w:szCs w:val="20"/>
                <w:lang w:val="en-PH" w:eastAsia="en-PH"/>
              </w:rPr>
              <w:t>Net Prize Fund</w:t>
            </w:r>
          </w:p>
        </w:tc>
        <w:tc>
          <w:tcPr>
            <w:tcW w:w="864" w:type="dxa"/>
            <w:shd w:val="clear" w:color="auto" w:fill="auto"/>
            <w:vAlign w:val="center"/>
            <w:hideMark/>
          </w:tcPr>
          <w:p w14:paraId="65472907" w14:textId="77777777" w:rsidR="00550599" w:rsidRPr="009E35ED" w:rsidRDefault="00550599" w:rsidP="00550599">
            <w:pPr>
              <w:ind w:left="0"/>
              <w:jc w:val="right"/>
              <w:rPr>
                <w:rFonts w:ascii="Arial Narrow" w:hAnsi="Arial Narrow" w:cs="Arial"/>
                <w:color w:val="000000" w:themeColor="text1"/>
                <w:sz w:val="20"/>
                <w:szCs w:val="20"/>
                <w:lang w:val="en-PH" w:eastAsia="en-PH"/>
              </w:rPr>
            </w:pPr>
            <w:r w:rsidRPr="009E35ED">
              <w:rPr>
                <w:rFonts w:ascii="Arial Narrow" w:hAnsi="Arial Narrow" w:cs="Arial"/>
                <w:color w:val="000000" w:themeColor="text1"/>
                <w:sz w:val="20"/>
                <w:szCs w:val="20"/>
                <w:lang w:val="en-PH" w:eastAsia="en-PH"/>
              </w:rPr>
              <w:t>41.21%</w:t>
            </w:r>
          </w:p>
        </w:tc>
        <w:tc>
          <w:tcPr>
            <w:tcW w:w="955" w:type="dxa"/>
            <w:shd w:val="clear" w:color="auto" w:fill="auto"/>
            <w:noWrap/>
            <w:vAlign w:val="center"/>
            <w:hideMark/>
          </w:tcPr>
          <w:p w14:paraId="75FDCE73" w14:textId="77777777" w:rsidR="00550599" w:rsidRPr="009E35ED" w:rsidRDefault="00550599" w:rsidP="00550599">
            <w:pPr>
              <w:ind w:left="0"/>
              <w:jc w:val="right"/>
              <w:rPr>
                <w:rFonts w:ascii="Arial Narrow" w:hAnsi="Arial Narrow" w:cs="Arial"/>
                <w:color w:val="000000" w:themeColor="text1"/>
                <w:sz w:val="20"/>
                <w:szCs w:val="20"/>
                <w:lang w:val="en-PH" w:eastAsia="en-PH"/>
              </w:rPr>
            </w:pPr>
            <w:r w:rsidRPr="009E35ED">
              <w:rPr>
                <w:rFonts w:ascii="Arial Narrow" w:hAnsi="Arial Narrow" w:cs="Arial"/>
                <w:color w:val="000000" w:themeColor="text1"/>
                <w:sz w:val="20"/>
                <w:szCs w:val="20"/>
                <w:lang w:val="en-PH" w:eastAsia="en-PH"/>
              </w:rPr>
              <w:t>30.755%</w:t>
            </w:r>
          </w:p>
        </w:tc>
        <w:tc>
          <w:tcPr>
            <w:tcW w:w="955" w:type="dxa"/>
            <w:shd w:val="clear" w:color="auto" w:fill="auto"/>
            <w:noWrap/>
            <w:vAlign w:val="center"/>
            <w:hideMark/>
          </w:tcPr>
          <w:p w14:paraId="24E61AF9" w14:textId="77777777" w:rsidR="00550599" w:rsidRPr="009E35ED" w:rsidRDefault="00550599" w:rsidP="00550599">
            <w:pPr>
              <w:ind w:left="0"/>
              <w:jc w:val="right"/>
              <w:rPr>
                <w:rFonts w:ascii="Arial Narrow" w:hAnsi="Arial Narrow" w:cs="Arial"/>
                <w:color w:val="000000" w:themeColor="text1"/>
                <w:sz w:val="20"/>
                <w:szCs w:val="20"/>
                <w:lang w:val="en-PH" w:eastAsia="en-PH"/>
              </w:rPr>
            </w:pPr>
            <w:r w:rsidRPr="009E35ED">
              <w:rPr>
                <w:rFonts w:ascii="Arial Narrow" w:hAnsi="Arial Narrow" w:cs="Arial"/>
                <w:color w:val="000000" w:themeColor="text1"/>
                <w:sz w:val="20"/>
                <w:szCs w:val="20"/>
                <w:lang w:val="en-PH" w:eastAsia="en-PH"/>
              </w:rPr>
              <w:t>31.205%</w:t>
            </w:r>
          </w:p>
        </w:tc>
        <w:tc>
          <w:tcPr>
            <w:tcW w:w="1159" w:type="dxa"/>
          </w:tcPr>
          <w:p w14:paraId="33B72D8E" w14:textId="7E4B84F9" w:rsidR="00550599" w:rsidRPr="009E35ED" w:rsidRDefault="00550599" w:rsidP="00550599">
            <w:pPr>
              <w:ind w:left="0"/>
              <w:jc w:val="right"/>
              <w:rPr>
                <w:rFonts w:ascii="Arial Narrow" w:hAnsi="Arial Narrow" w:cs="Arial"/>
                <w:color w:val="000000" w:themeColor="text1"/>
                <w:sz w:val="20"/>
                <w:szCs w:val="20"/>
                <w:lang w:val="en-PH" w:eastAsia="en-PH"/>
              </w:rPr>
            </w:pPr>
            <w:r w:rsidRPr="009E35ED">
              <w:rPr>
                <w:rFonts w:ascii="Arial Narrow" w:hAnsi="Arial Narrow" w:cs="Arial"/>
                <w:color w:val="000000" w:themeColor="text1"/>
                <w:sz w:val="20"/>
                <w:szCs w:val="20"/>
                <w:lang w:val="en-PH" w:eastAsia="en-PH"/>
              </w:rPr>
              <w:t>31.2050%</w:t>
            </w:r>
          </w:p>
        </w:tc>
        <w:tc>
          <w:tcPr>
            <w:tcW w:w="1046" w:type="dxa"/>
          </w:tcPr>
          <w:p w14:paraId="4D98F828" w14:textId="2A72B77C" w:rsidR="00550599" w:rsidRPr="009E35ED" w:rsidRDefault="00550599" w:rsidP="00D043CC">
            <w:pPr>
              <w:ind w:left="0"/>
              <w:jc w:val="right"/>
              <w:rPr>
                <w:rFonts w:ascii="Arial Narrow" w:hAnsi="Arial Narrow" w:cs="Arial"/>
                <w:color w:val="000000" w:themeColor="text1"/>
                <w:sz w:val="20"/>
                <w:szCs w:val="20"/>
                <w:lang w:val="en-PH" w:eastAsia="en-PH"/>
              </w:rPr>
            </w:pPr>
            <w:r w:rsidRPr="009E35ED">
              <w:rPr>
                <w:rFonts w:ascii="Arial Narrow" w:hAnsi="Arial Narrow" w:cs="Arial"/>
                <w:color w:val="000000" w:themeColor="text1"/>
                <w:sz w:val="20"/>
                <w:szCs w:val="20"/>
                <w:lang w:val="en-PH" w:eastAsia="en-PH"/>
              </w:rPr>
              <w:t>33.90%</w:t>
            </w:r>
          </w:p>
        </w:tc>
        <w:tc>
          <w:tcPr>
            <w:tcW w:w="222" w:type="dxa"/>
          </w:tcPr>
          <w:p w14:paraId="4A30597D" w14:textId="45259384" w:rsidR="00550599" w:rsidRPr="009E35ED" w:rsidRDefault="00550599" w:rsidP="00550599">
            <w:pPr>
              <w:ind w:left="0"/>
              <w:jc w:val="right"/>
              <w:rPr>
                <w:rFonts w:ascii="Arial Narrow" w:hAnsi="Arial Narrow" w:cs="Arial"/>
                <w:color w:val="000000" w:themeColor="text1"/>
                <w:sz w:val="20"/>
                <w:szCs w:val="20"/>
                <w:lang w:val="en-PH" w:eastAsia="en-PH"/>
              </w:rPr>
            </w:pPr>
          </w:p>
        </w:tc>
      </w:tr>
      <w:tr w:rsidR="00997F75" w:rsidRPr="009E35ED" w14:paraId="598FE315" w14:textId="3BE5E022" w:rsidTr="00D043CC">
        <w:trPr>
          <w:trHeight w:val="313"/>
        </w:trPr>
        <w:tc>
          <w:tcPr>
            <w:tcW w:w="3420" w:type="dxa"/>
            <w:shd w:val="clear" w:color="auto" w:fill="auto"/>
            <w:vAlign w:val="center"/>
          </w:tcPr>
          <w:p w14:paraId="2C087CB3" w14:textId="77777777" w:rsidR="00D043CC" w:rsidRPr="009E35ED" w:rsidRDefault="00D043CC" w:rsidP="00843CAF">
            <w:pPr>
              <w:ind w:left="0"/>
              <w:rPr>
                <w:rFonts w:ascii="Arial Narrow" w:hAnsi="Arial Narrow" w:cs="Arial"/>
                <w:color w:val="000000" w:themeColor="text1"/>
                <w:sz w:val="20"/>
                <w:szCs w:val="20"/>
                <w:lang w:val="en-PH" w:eastAsia="en-PH"/>
              </w:rPr>
            </w:pPr>
          </w:p>
        </w:tc>
        <w:tc>
          <w:tcPr>
            <w:tcW w:w="864" w:type="dxa"/>
            <w:shd w:val="clear" w:color="auto" w:fill="auto"/>
            <w:vAlign w:val="center"/>
          </w:tcPr>
          <w:p w14:paraId="0A6E0F34" w14:textId="77777777" w:rsidR="00550599" w:rsidRPr="009E35ED" w:rsidRDefault="00550599" w:rsidP="00550599">
            <w:pPr>
              <w:ind w:left="0"/>
              <w:jc w:val="right"/>
              <w:rPr>
                <w:rFonts w:ascii="Arial Narrow" w:hAnsi="Arial Narrow" w:cs="Arial"/>
                <w:color w:val="000000" w:themeColor="text1"/>
                <w:sz w:val="20"/>
                <w:szCs w:val="20"/>
                <w:lang w:val="en-PH" w:eastAsia="en-PH"/>
              </w:rPr>
            </w:pPr>
          </w:p>
        </w:tc>
        <w:tc>
          <w:tcPr>
            <w:tcW w:w="955" w:type="dxa"/>
            <w:shd w:val="clear" w:color="auto" w:fill="auto"/>
            <w:noWrap/>
            <w:vAlign w:val="center"/>
          </w:tcPr>
          <w:p w14:paraId="3B49EAEC" w14:textId="77777777" w:rsidR="00550599" w:rsidRPr="009E35ED" w:rsidRDefault="00550599" w:rsidP="00550599">
            <w:pPr>
              <w:ind w:left="0"/>
              <w:jc w:val="right"/>
              <w:rPr>
                <w:rFonts w:ascii="Arial Narrow" w:hAnsi="Arial Narrow" w:cs="Arial"/>
                <w:color w:val="000000" w:themeColor="text1"/>
                <w:sz w:val="20"/>
                <w:szCs w:val="20"/>
                <w:lang w:val="en-PH" w:eastAsia="en-PH"/>
              </w:rPr>
            </w:pPr>
          </w:p>
        </w:tc>
        <w:tc>
          <w:tcPr>
            <w:tcW w:w="955" w:type="dxa"/>
            <w:shd w:val="clear" w:color="auto" w:fill="auto"/>
            <w:noWrap/>
            <w:vAlign w:val="center"/>
          </w:tcPr>
          <w:p w14:paraId="1DC63FF2" w14:textId="77777777" w:rsidR="00550599" w:rsidRPr="009E35ED" w:rsidRDefault="00550599" w:rsidP="00550599">
            <w:pPr>
              <w:ind w:left="0"/>
              <w:jc w:val="right"/>
              <w:rPr>
                <w:rFonts w:ascii="Arial Narrow" w:hAnsi="Arial Narrow" w:cs="Arial"/>
                <w:color w:val="000000" w:themeColor="text1"/>
                <w:sz w:val="20"/>
                <w:szCs w:val="20"/>
                <w:lang w:val="en-PH" w:eastAsia="en-PH"/>
              </w:rPr>
            </w:pPr>
          </w:p>
        </w:tc>
        <w:tc>
          <w:tcPr>
            <w:tcW w:w="1159" w:type="dxa"/>
          </w:tcPr>
          <w:p w14:paraId="6E0200F8" w14:textId="77777777" w:rsidR="00550599" w:rsidRPr="009E35ED" w:rsidRDefault="00550599" w:rsidP="00550599">
            <w:pPr>
              <w:ind w:left="0"/>
              <w:jc w:val="right"/>
              <w:rPr>
                <w:rFonts w:ascii="Arial Narrow" w:hAnsi="Arial Narrow" w:cs="Arial"/>
                <w:color w:val="000000" w:themeColor="text1"/>
                <w:sz w:val="20"/>
                <w:szCs w:val="20"/>
                <w:lang w:val="en-PH" w:eastAsia="en-PH"/>
              </w:rPr>
            </w:pPr>
          </w:p>
        </w:tc>
        <w:tc>
          <w:tcPr>
            <w:tcW w:w="1046" w:type="dxa"/>
          </w:tcPr>
          <w:p w14:paraId="23DF7F89" w14:textId="77777777" w:rsidR="00550599" w:rsidRPr="009E35ED" w:rsidRDefault="00550599" w:rsidP="00D043CC">
            <w:pPr>
              <w:ind w:left="0"/>
              <w:jc w:val="right"/>
              <w:rPr>
                <w:rFonts w:ascii="Arial Narrow" w:hAnsi="Arial Narrow" w:cs="Arial"/>
                <w:color w:val="000000" w:themeColor="text1"/>
                <w:sz w:val="20"/>
                <w:szCs w:val="20"/>
                <w:lang w:val="en-PH" w:eastAsia="en-PH"/>
              </w:rPr>
            </w:pPr>
          </w:p>
        </w:tc>
        <w:tc>
          <w:tcPr>
            <w:tcW w:w="222" w:type="dxa"/>
          </w:tcPr>
          <w:p w14:paraId="7CD45C61" w14:textId="00750222" w:rsidR="00550599" w:rsidRPr="009E35ED" w:rsidRDefault="00550599" w:rsidP="00550599">
            <w:pPr>
              <w:ind w:left="0"/>
              <w:jc w:val="right"/>
              <w:rPr>
                <w:rFonts w:ascii="Arial Narrow" w:hAnsi="Arial Narrow" w:cs="Arial"/>
                <w:color w:val="000000" w:themeColor="text1"/>
                <w:sz w:val="20"/>
                <w:szCs w:val="20"/>
                <w:lang w:val="en-PH" w:eastAsia="en-PH"/>
              </w:rPr>
            </w:pPr>
          </w:p>
        </w:tc>
      </w:tr>
      <w:tr w:rsidR="00997F75" w:rsidRPr="009E35ED" w14:paraId="6AFCBB05" w14:textId="79E8E1E2" w:rsidTr="00D043CC">
        <w:trPr>
          <w:trHeight w:val="297"/>
        </w:trPr>
        <w:tc>
          <w:tcPr>
            <w:tcW w:w="3420" w:type="dxa"/>
            <w:shd w:val="clear" w:color="auto" w:fill="auto"/>
            <w:vAlign w:val="center"/>
            <w:hideMark/>
          </w:tcPr>
          <w:p w14:paraId="00077101" w14:textId="77777777" w:rsidR="00550599" w:rsidRPr="009E35ED" w:rsidRDefault="00550599" w:rsidP="00550599">
            <w:pPr>
              <w:ind w:left="0"/>
              <w:rPr>
                <w:rFonts w:ascii="Arial Narrow" w:hAnsi="Arial Narrow" w:cs="Arial"/>
                <w:b/>
                <w:bCs/>
                <w:color w:val="000000" w:themeColor="text1"/>
                <w:sz w:val="20"/>
                <w:szCs w:val="20"/>
                <w:lang w:val="en-PH" w:eastAsia="en-PH"/>
              </w:rPr>
            </w:pPr>
            <w:r w:rsidRPr="009E35ED">
              <w:rPr>
                <w:rFonts w:ascii="Arial Narrow" w:hAnsi="Arial Narrow" w:cs="Arial"/>
                <w:b/>
                <w:bCs/>
                <w:color w:val="000000" w:themeColor="text1"/>
                <w:sz w:val="20"/>
                <w:szCs w:val="20"/>
                <w:lang w:val="en-PH" w:eastAsia="en-PH"/>
              </w:rPr>
              <w:t>IV. CHARITY FUND (30% of Net Sales)</w:t>
            </w:r>
          </w:p>
        </w:tc>
        <w:tc>
          <w:tcPr>
            <w:tcW w:w="864" w:type="dxa"/>
            <w:shd w:val="clear" w:color="auto" w:fill="auto"/>
            <w:vAlign w:val="center"/>
            <w:hideMark/>
          </w:tcPr>
          <w:p w14:paraId="10440D32" w14:textId="77777777" w:rsidR="00550599" w:rsidRPr="009E35ED" w:rsidRDefault="00550599" w:rsidP="00550599">
            <w:pPr>
              <w:ind w:left="0"/>
              <w:jc w:val="right"/>
              <w:rPr>
                <w:rFonts w:ascii="Arial Narrow" w:hAnsi="Arial Narrow" w:cs="Arial"/>
                <w:color w:val="000000" w:themeColor="text1"/>
                <w:sz w:val="20"/>
                <w:szCs w:val="20"/>
                <w:lang w:val="en-PH" w:eastAsia="en-PH"/>
              </w:rPr>
            </w:pPr>
            <w:r w:rsidRPr="009E35ED">
              <w:rPr>
                <w:rFonts w:ascii="Arial Narrow" w:hAnsi="Arial Narrow" w:cs="Arial"/>
                <w:color w:val="000000" w:themeColor="text1"/>
                <w:sz w:val="20"/>
                <w:szCs w:val="20"/>
                <w:lang w:val="en-PH" w:eastAsia="en-PH"/>
              </w:rPr>
              <w:t>29.40%</w:t>
            </w:r>
          </w:p>
        </w:tc>
        <w:tc>
          <w:tcPr>
            <w:tcW w:w="955" w:type="dxa"/>
            <w:shd w:val="clear" w:color="auto" w:fill="auto"/>
            <w:noWrap/>
            <w:vAlign w:val="center"/>
            <w:hideMark/>
          </w:tcPr>
          <w:p w14:paraId="1DBAF608" w14:textId="77777777" w:rsidR="00550599" w:rsidRPr="009E35ED" w:rsidRDefault="00550599" w:rsidP="00550599">
            <w:pPr>
              <w:ind w:left="0"/>
              <w:jc w:val="right"/>
              <w:rPr>
                <w:rFonts w:ascii="Arial Narrow" w:hAnsi="Arial Narrow" w:cs="Arial"/>
                <w:color w:val="000000" w:themeColor="text1"/>
                <w:sz w:val="20"/>
                <w:szCs w:val="20"/>
                <w:lang w:val="en-PH" w:eastAsia="en-PH"/>
              </w:rPr>
            </w:pPr>
            <w:r w:rsidRPr="009E35ED">
              <w:rPr>
                <w:rFonts w:ascii="Arial Narrow" w:hAnsi="Arial Narrow" w:cs="Arial"/>
                <w:color w:val="000000" w:themeColor="text1"/>
                <w:sz w:val="20"/>
                <w:szCs w:val="20"/>
                <w:lang w:val="en-PH" w:eastAsia="en-PH"/>
              </w:rPr>
              <w:t>23.400%</w:t>
            </w:r>
          </w:p>
        </w:tc>
        <w:tc>
          <w:tcPr>
            <w:tcW w:w="955" w:type="dxa"/>
            <w:shd w:val="clear" w:color="auto" w:fill="auto"/>
            <w:noWrap/>
            <w:vAlign w:val="center"/>
            <w:hideMark/>
          </w:tcPr>
          <w:p w14:paraId="287D5398" w14:textId="77777777" w:rsidR="00550599" w:rsidRPr="009E35ED" w:rsidRDefault="00550599" w:rsidP="00550599">
            <w:pPr>
              <w:ind w:left="0"/>
              <w:jc w:val="right"/>
              <w:rPr>
                <w:rFonts w:ascii="Arial Narrow" w:hAnsi="Arial Narrow" w:cs="Arial"/>
                <w:color w:val="000000" w:themeColor="text1"/>
                <w:sz w:val="20"/>
                <w:szCs w:val="20"/>
                <w:lang w:val="en-PH" w:eastAsia="en-PH"/>
              </w:rPr>
            </w:pPr>
            <w:r w:rsidRPr="009E35ED">
              <w:rPr>
                <w:rFonts w:ascii="Arial Narrow" w:hAnsi="Arial Narrow" w:cs="Arial"/>
                <w:color w:val="000000" w:themeColor="text1"/>
                <w:sz w:val="20"/>
                <w:szCs w:val="20"/>
                <w:lang w:val="en-PH" w:eastAsia="en-PH"/>
              </w:rPr>
              <w:t>29.400%</w:t>
            </w:r>
          </w:p>
        </w:tc>
        <w:tc>
          <w:tcPr>
            <w:tcW w:w="1159" w:type="dxa"/>
            <w:vAlign w:val="center"/>
          </w:tcPr>
          <w:p w14:paraId="47EE99A1" w14:textId="1EEDCA56" w:rsidR="00550599" w:rsidRPr="009E35ED" w:rsidRDefault="00550599" w:rsidP="00550599">
            <w:pPr>
              <w:ind w:left="0"/>
              <w:jc w:val="right"/>
              <w:rPr>
                <w:rFonts w:ascii="Arial Narrow" w:hAnsi="Arial Narrow" w:cs="Arial"/>
                <w:color w:val="000000" w:themeColor="text1"/>
                <w:sz w:val="20"/>
                <w:szCs w:val="20"/>
                <w:lang w:val="en-PH" w:eastAsia="en-PH"/>
              </w:rPr>
            </w:pPr>
            <w:r w:rsidRPr="009E35ED">
              <w:rPr>
                <w:rFonts w:ascii="Arial Narrow" w:hAnsi="Arial Narrow" w:cs="Arial"/>
                <w:color w:val="000000" w:themeColor="text1"/>
                <w:sz w:val="20"/>
                <w:szCs w:val="20"/>
                <w:lang w:val="en-PH" w:eastAsia="en-PH"/>
              </w:rPr>
              <w:t>29.4000%</w:t>
            </w:r>
          </w:p>
        </w:tc>
        <w:tc>
          <w:tcPr>
            <w:tcW w:w="1046" w:type="dxa"/>
            <w:vAlign w:val="center"/>
          </w:tcPr>
          <w:p w14:paraId="54337103" w14:textId="0DF5CFBE" w:rsidR="00550599" w:rsidRPr="009E35ED" w:rsidRDefault="00550599" w:rsidP="00D043CC">
            <w:pPr>
              <w:ind w:left="0"/>
              <w:jc w:val="right"/>
              <w:rPr>
                <w:rFonts w:ascii="Arial Narrow" w:hAnsi="Arial Narrow" w:cs="Arial"/>
                <w:color w:val="000000" w:themeColor="text1"/>
                <w:sz w:val="20"/>
                <w:szCs w:val="20"/>
                <w:lang w:val="en-PH" w:eastAsia="en-PH"/>
              </w:rPr>
            </w:pPr>
            <w:r w:rsidRPr="009E35ED">
              <w:rPr>
                <w:rFonts w:ascii="Arial Narrow" w:hAnsi="Arial Narrow" w:cs="Arial"/>
                <w:color w:val="000000" w:themeColor="text1"/>
                <w:sz w:val="20"/>
                <w:szCs w:val="20"/>
                <w:lang w:val="en-PH" w:eastAsia="en-PH"/>
              </w:rPr>
              <w:t>29.4000%</w:t>
            </w:r>
          </w:p>
        </w:tc>
        <w:tc>
          <w:tcPr>
            <w:tcW w:w="222" w:type="dxa"/>
          </w:tcPr>
          <w:p w14:paraId="762E83A0" w14:textId="502C728D" w:rsidR="00550599" w:rsidRPr="009E35ED" w:rsidRDefault="00550599" w:rsidP="00550599">
            <w:pPr>
              <w:ind w:left="0"/>
              <w:jc w:val="right"/>
              <w:rPr>
                <w:rFonts w:ascii="Arial Narrow" w:hAnsi="Arial Narrow" w:cs="Arial"/>
                <w:color w:val="000000" w:themeColor="text1"/>
                <w:sz w:val="20"/>
                <w:szCs w:val="20"/>
                <w:lang w:val="en-PH" w:eastAsia="en-PH"/>
              </w:rPr>
            </w:pPr>
          </w:p>
        </w:tc>
      </w:tr>
      <w:tr w:rsidR="00997F75" w:rsidRPr="009E35ED" w14:paraId="174A4FF2" w14:textId="717C79F2" w:rsidTr="00D043CC">
        <w:trPr>
          <w:trHeight w:val="297"/>
        </w:trPr>
        <w:tc>
          <w:tcPr>
            <w:tcW w:w="3420" w:type="dxa"/>
            <w:shd w:val="clear" w:color="auto" w:fill="auto"/>
            <w:vAlign w:val="center"/>
            <w:hideMark/>
          </w:tcPr>
          <w:p w14:paraId="7C9F8F9F" w14:textId="77777777" w:rsidR="00550599" w:rsidRPr="009E35ED" w:rsidRDefault="00550599" w:rsidP="00550599">
            <w:pPr>
              <w:ind w:left="0"/>
              <w:rPr>
                <w:rFonts w:ascii="Arial Narrow" w:hAnsi="Arial Narrow" w:cs="Arial"/>
                <w:color w:val="000000" w:themeColor="text1"/>
                <w:sz w:val="20"/>
                <w:szCs w:val="20"/>
                <w:lang w:val="en-PH" w:eastAsia="en-PH"/>
              </w:rPr>
            </w:pPr>
            <w:r w:rsidRPr="009E35ED">
              <w:rPr>
                <w:rFonts w:ascii="Arial Narrow" w:hAnsi="Arial Narrow" w:cs="Arial"/>
                <w:color w:val="000000" w:themeColor="text1"/>
                <w:sz w:val="20"/>
                <w:szCs w:val="20"/>
                <w:lang w:val="en-PH" w:eastAsia="en-PH"/>
              </w:rPr>
              <w:t xml:space="preserve">     City/Municipality</w:t>
            </w:r>
          </w:p>
        </w:tc>
        <w:tc>
          <w:tcPr>
            <w:tcW w:w="864" w:type="dxa"/>
            <w:shd w:val="clear" w:color="auto" w:fill="auto"/>
            <w:vAlign w:val="center"/>
            <w:hideMark/>
          </w:tcPr>
          <w:p w14:paraId="0E431F11" w14:textId="77777777" w:rsidR="00550599" w:rsidRPr="009E35ED" w:rsidRDefault="00550599" w:rsidP="00550599">
            <w:pPr>
              <w:ind w:left="0"/>
              <w:jc w:val="right"/>
              <w:rPr>
                <w:rFonts w:ascii="Arial Narrow" w:hAnsi="Arial Narrow" w:cs="Arial"/>
                <w:color w:val="000000" w:themeColor="text1"/>
                <w:sz w:val="20"/>
                <w:szCs w:val="20"/>
                <w:lang w:val="en-PH" w:eastAsia="en-PH"/>
              </w:rPr>
            </w:pPr>
            <w:r w:rsidRPr="009E35ED">
              <w:rPr>
                <w:rFonts w:ascii="Arial Narrow" w:hAnsi="Arial Narrow" w:cs="Arial"/>
                <w:color w:val="000000" w:themeColor="text1"/>
                <w:sz w:val="20"/>
                <w:szCs w:val="20"/>
                <w:lang w:val="en-PH" w:eastAsia="en-PH"/>
              </w:rPr>
              <w:t>3.00%</w:t>
            </w:r>
          </w:p>
        </w:tc>
        <w:tc>
          <w:tcPr>
            <w:tcW w:w="955" w:type="dxa"/>
            <w:shd w:val="clear" w:color="auto" w:fill="auto"/>
            <w:noWrap/>
            <w:vAlign w:val="center"/>
            <w:hideMark/>
          </w:tcPr>
          <w:p w14:paraId="400B770A" w14:textId="77777777" w:rsidR="00550599" w:rsidRPr="009E35ED" w:rsidRDefault="00550599" w:rsidP="00550599">
            <w:pPr>
              <w:ind w:left="0"/>
              <w:jc w:val="right"/>
              <w:rPr>
                <w:rFonts w:ascii="Arial Narrow" w:hAnsi="Arial Narrow" w:cs="Arial"/>
                <w:color w:val="000000" w:themeColor="text1"/>
                <w:sz w:val="20"/>
                <w:szCs w:val="20"/>
                <w:lang w:val="en-PH" w:eastAsia="en-PH"/>
              </w:rPr>
            </w:pPr>
            <w:r w:rsidRPr="009E35ED">
              <w:rPr>
                <w:rFonts w:ascii="Arial Narrow" w:hAnsi="Arial Narrow" w:cs="Arial"/>
                <w:color w:val="000000" w:themeColor="text1"/>
                <w:sz w:val="20"/>
                <w:szCs w:val="20"/>
                <w:lang w:val="en-PH" w:eastAsia="en-PH"/>
              </w:rPr>
              <w:t>0.500%</w:t>
            </w:r>
          </w:p>
        </w:tc>
        <w:tc>
          <w:tcPr>
            <w:tcW w:w="955" w:type="dxa"/>
            <w:shd w:val="clear" w:color="auto" w:fill="auto"/>
            <w:noWrap/>
            <w:vAlign w:val="center"/>
            <w:hideMark/>
          </w:tcPr>
          <w:p w14:paraId="12E28663" w14:textId="77777777" w:rsidR="00550599" w:rsidRPr="009E35ED" w:rsidRDefault="00550599" w:rsidP="00550599">
            <w:pPr>
              <w:ind w:left="0"/>
              <w:jc w:val="right"/>
              <w:rPr>
                <w:rFonts w:ascii="Arial Narrow" w:hAnsi="Arial Narrow" w:cs="Arial"/>
                <w:color w:val="000000" w:themeColor="text1"/>
                <w:sz w:val="20"/>
                <w:szCs w:val="20"/>
                <w:lang w:val="en-PH" w:eastAsia="en-PH"/>
              </w:rPr>
            </w:pPr>
            <w:r w:rsidRPr="009E35ED">
              <w:rPr>
                <w:rFonts w:ascii="Arial Narrow" w:hAnsi="Arial Narrow" w:cs="Arial"/>
                <w:color w:val="000000" w:themeColor="text1"/>
                <w:sz w:val="20"/>
                <w:szCs w:val="20"/>
                <w:lang w:val="en-PH" w:eastAsia="en-PH"/>
              </w:rPr>
              <w:t>0.500%</w:t>
            </w:r>
          </w:p>
        </w:tc>
        <w:tc>
          <w:tcPr>
            <w:tcW w:w="1159" w:type="dxa"/>
          </w:tcPr>
          <w:p w14:paraId="3DF4EF6B" w14:textId="37D44CF3" w:rsidR="00550599" w:rsidRPr="009E35ED" w:rsidRDefault="00550599" w:rsidP="00550599">
            <w:pPr>
              <w:ind w:left="0"/>
              <w:jc w:val="right"/>
              <w:rPr>
                <w:rFonts w:ascii="Arial Narrow" w:hAnsi="Arial Narrow" w:cs="Arial"/>
                <w:color w:val="000000" w:themeColor="text1"/>
                <w:sz w:val="20"/>
                <w:szCs w:val="20"/>
                <w:lang w:val="en-PH" w:eastAsia="en-PH"/>
              </w:rPr>
            </w:pPr>
            <w:r w:rsidRPr="009E35ED">
              <w:rPr>
                <w:rFonts w:ascii="Arial Narrow" w:hAnsi="Arial Narrow" w:cs="Arial"/>
                <w:color w:val="000000" w:themeColor="text1"/>
                <w:sz w:val="20"/>
                <w:szCs w:val="20"/>
                <w:lang w:val="en-PH" w:eastAsia="en-PH"/>
              </w:rPr>
              <w:t>1.7643%</w:t>
            </w:r>
          </w:p>
        </w:tc>
        <w:tc>
          <w:tcPr>
            <w:tcW w:w="1046" w:type="dxa"/>
          </w:tcPr>
          <w:p w14:paraId="4F9C1FEF" w14:textId="2A2F5F47" w:rsidR="00550599" w:rsidRPr="009E35ED" w:rsidRDefault="00550599" w:rsidP="00D043CC">
            <w:pPr>
              <w:ind w:left="0"/>
              <w:jc w:val="right"/>
              <w:rPr>
                <w:rFonts w:ascii="Arial Narrow" w:hAnsi="Arial Narrow" w:cs="Arial"/>
                <w:color w:val="000000" w:themeColor="text1"/>
                <w:sz w:val="20"/>
                <w:szCs w:val="20"/>
                <w:lang w:val="en-PH" w:eastAsia="en-PH"/>
              </w:rPr>
            </w:pPr>
            <w:r w:rsidRPr="009E35ED">
              <w:rPr>
                <w:rFonts w:ascii="Arial Narrow" w:hAnsi="Arial Narrow" w:cs="Arial"/>
                <w:color w:val="000000" w:themeColor="text1"/>
                <w:sz w:val="20"/>
                <w:szCs w:val="20"/>
                <w:lang w:val="en-PH" w:eastAsia="en-PH"/>
              </w:rPr>
              <w:t>0.0000%</w:t>
            </w:r>
          </w:p>
        </w:tc>
        <w:tc>
          <w:tcPr>
            <w:tcW w:w="222" w:type="dxa"/>
          </w:tcPr>
          <w:p w14:paraId="4F5F3D9D" w14:textId="548363E5" w:rsidR="00550599" w:rsidRPr="009E35ED" w:rsidRDefault="00550599" w:rsidP="00550599">
            <w:pPr>
              <w:ind w:left="0"/>
              <w:jc w:val="right"/>
              <w:rPr>
                <w:rFonts w:ascii="Arial Narrow" w:hAnsi="Arial Narrow" w:cs="Arial"/>
                <w:color w:val="000000" w:themeColor="text1"/>
                <w:sz w:val="20"/>
                <w:szCs w:val="20"/>
                <w:lang w:val="en-PH" w:eastAsia="en-PH"/>
              </w:rPr>
            </w:pPr>
          </w:p>
        </w:tc>
      </w:tr>
      <w:tr w:rsidR="00997F75" w:rsidRPr="009E35ED" w14:paraId="4D0A22C9" w14:textId="13CB7DE4" w:rsidTr="00D043CC">
        <w:trPr>
          <w:trHeight w:val="297"/>
        </w:trPr>
        <w:tc>
          <w:tcPr>
            <w:tcW w:w="3420" w:type="dxa"/>
            <w:shd w:val="clear" w:color="auto" w:fill="auto"/>
            <w:vAlign w:val="center"/>
            <w:hideMark/>
          </w:tcPr>
          <w:p w14:paraId="18E9B170" w14:textId="77777777" w:rsidR="00550599" w:rsidRPr="009E35ED" w:rsidRDefault="00550599" w:rsidP="00550599">
            <w:pPr>
              <w:ind w:left="0"/>
              <w:rPr>
                <w:rFonts w:ascii="Arial Narrow" w:hAnsi="Arial Narrow" w:cs="Arial"/>
                <w:color w:val="000000" w:themeColor="text1"/>
                <w:sz w:val="20"/>
                <w:szCs w:val="20"/>
                <w:lang w:val="en-PH" w:eastAsia="en-PH"/>
              </w:rPr>
            </w:pPr>
            <w:r w:rsidRPr="009E35ED">
              <w:rPr>
                <w:rFonts w:ascii="Arial Narrow" w:hAnsi="Arial Narrow" w:cs="Arial"/>
                <w:color w:val="000000" w:themeColor="text1"/>
                <w:sz w:val="20"/>
                <w:szCs w:val="20"/>
                <w:lang w:val="en-PH" w:eastAsia="en-PH"/>
              </w:rPr>
              <w:t xml:space="preserve">     Congressional District</w:t>
            </w:r>
          </w:p>
        </w:tc>
        <w:tc>
          <w:tcPr>
            <w:tcW w:w="864" w:type="dxa"/>
            <w:shd w:val="clear" w:color="auto" w:fill="auto"/>
            <w:vAlign w:val="center"/>
            <w:hideMark/>
          </w:tcPr>
          <w:p w14:paraId="4835BB2C" w14:textId="77777777" w:rsidR="00550599" w:rsidRPr="009E35ED" w:rsidRDefault="00550599" w:rsidP="00550599">
            <w:pPr>
              <w:ind w:left="0"/>
              <w:jc w:val="right"/>
              <w:rPr>
                <w:rFonts w:ascii="Arial Narrow" w:hAnsi="Arial Narrow" w:cs="Arial"/>
                <w:color w:val="000000" w:themeColor="text1"/>
                <w:sz w:val="20"/>
                <w:szCs w:val="20"/>
                <w:lang w:val="en-PH" w:eastAsia="en-PH"/>
              </w:rPr>
            </w:pPr>
            <w:r w:rsidRPr="009E35ED">
              <w:rPr>
                <w:rFonts w:ascii="Arial Narrow" w:hAnsi="Arial Narrow" w:cs="Arial"/>
                <w:color w:val="000000" w:themeColor="text1"/>
                <w:sz w:val="20"/>
                <w:szCs w:val="20"/>
                <w:lang w:val="en-PH" w:eastAsia="en-PH"/>
              </w:rPr>
              <w:t>0.75%</w:t>
            </w:r>
          </w:p>
        </w:tc>
        <w:tc>
          <w:tcPr>
            <w:tcW w:w="955" w:type="dxa"/>
            <w:shd w:val="clear" w:color="auto" w:fill="auto"/>
            <w:noWrap/>
            <w:vAlign w:val="center"/>
            <w:hideMark/>
          </w:tcPr>
          <w:p w14:paraId="505A7487" w14:textId="77777777" w:rsidR="00550599" w:rsidRPr="009E35ED" w:rsidRDefault="00550599" w:rsidP="00550599">
            <w:pPr>
              <w:ind w:left="0"/>
              <w:jc w:val="right"/>
              <w:rPr>
                <w:rFonts w:ascii="Arial Narrow" w:hAnsi="Arial Narrow" w:cs="Arial"/>
                <w:color w:val="000000" w:themeColor="text1"/>
                <w:sz w:val="20"/>
                <w:szCs w:val="20"/>
                <w:lang w:val="en-PH" w:eastAsia="en-PH"/>
              </w:rPr>
            </w:pPr>
            <w:r w:rsidRPr="009E35ED">
              <w:rPr>
                <w:rFonts w:ascii="Arial Narrow" w:hAnsi="Arial Narrow" w:cs="Arial"/>
                <w:color w:val="000000" w:themeColor="text1"/>
                <w:sz w:val="20"/>
                <w:szCs w:val="20"/>
                <w:lang w:val="en-PH" w:eastAsia="en-PH"/>
              </w:rPr>
              <w:t>0.000%</w:t>
            </w:r>
          </w:p>
        </w:tc>
        <w:tc>
          <w:tcPr>
            <w:tcW w:w="955" w:type="dxa"/>
            <w:shd w:val="clear" w:color="auto" w:fill="auto"/>
            <w:noWrap/>
            <w:vAlign w:val="center"/>
            <w:hideMark/>
          </w:tcPr>
          <w:p w14:paraId="39354E50" w14:textId="77777777" w:rsidR="00550599" w:rsidRPr="009E35ED" w:rsidRDefault="00550599" w:rsidP="00550599">
            <w:pPr>
              <w:ind w:left="0"/>
              <w:jc w:val="right"/>
              <w:rPr>
                <w:rFonts w:ascii="Arial Narrow" w:hAnsi="Arial Narrow" w:cs="Arial"/>
                <w:color w:val="000000" w:themeColor="text1"/>
                <w:sz w:val="20"/>
                <w:szCs w:val="20"/>
                <w:lang w:val="en-PH" w:eastAsia="en-PH"/>
              </w:rPr>
            </w:pPr>
            <w:r w:rsidRPr="009E35ED">
              <w:rPr>
                <w:rFonts w:ascii="Arial Narrow" w:hAnsi="Arial Narrow" w:cs="Arial"/>
                <w:color w:val="000000" w:themeColor="text1"/>
                <w:sz w:val="20"/>
                <w:szCs w:val="20"/>
                <w:lang w:val="en-PH" w:eastAsia="en-PH"/>
              </w:rPr>
              <w:t>0.000%</w:t>
            </w:r>
          </w:p>
        </w:tc>
        <w:tc>
          <w:tcPr>
            <w:tcW w:w="1159" w:type="dxa"/>
          </w:tcPr>
          <w:p w14:paraId="0A2E2AB2" w14:textId="4E3B5DE5" w:rsidR="00550599" w:rsidRPr="009E35ED" w:rsidRDefault="00550599" w:rsidP="00550599">
            <w:pPr>
              <w:ind w:left="0"/>
              <w:jc w:val="right"/>
              <w:rPr>
                <w:rFonts w:ascii="Arial Narrow" w:hAnsi="Arial Narrow" w:cs="Arial"/>
                <w:color w:val="000000" w:themeColor="text1"/>
                <w:sz w:val="20"/>
                <w:szCs w:val="20"/>
                <w:lang w:val="en-PH" w:eastAsia="en-PH"/>
              </w:rPr>
            </w:pPr>
            <w:r w:rsidRPr="009E35ED">
              <w:rPr>
                <w:rFonts w:ascii="Arial Narrow" w:hAnsi="Arial Narrow" w:cs="Arial"/>
                <w:color w:val="000000" w:themeColor="text1"/>
                <w:sz w:val="20"/>
                <w:szCs w:val="20"/>
                <w:lang w:val="en-PH" w:eastAsia="en-PH"/>
              </w:rPr>
              <w:t>0.0000%</w:t>
            </w:r>
          </w:p>
        </w:tc>
        <w:tc>
          <w:tcPr>
            <w:tcW w:w="1046" w:type="dxa"/>
          </w:tcPr>
          <w:p w14:paraId="18CF9838" w14:textId="7666E38F" w:rsidR="00550599" w:rsidRPr="009E35ED" w:rsidRDefault="00550599" w:rsidP="00D043CC">
            <w:pPr>
              <w:ind w:left="0"/>
              <w:jc w:val="right"/>
              <w:rPr>
                <w:rFonts w:ascii="Arial Narrow" w:hAnsi="Arial Narrow" w:cs="Arial"/>
                <w:color w:val="000000" w:themeColor="text1"/>
                <w:sz w:val="20"/>
                <w:szCs w:val="20"/>
                <w:lang w:val="en-PH" w:eastAsia="en-PH"/>
              </w:rPr>
            </w:pPr>
            <w:r w:rsidRPr="009E35ED">
              <w:rPr>
                <w:rFonts w:ascii="Arial Narrow" w:hAnsi="Arial Narrow" w:cs="Arial"/>
                <w:color w:val="000000" w:themeColor="text1"/>
                <w:sz w:val="20"/>
                <w:szCs w:val="20"/>
                <w:lang w:val="en-PH" w:eastAsia="en-PH"/>
              </w:rPr>
              <w:t>0.0000%</w:t>
            </w:r>
          </w:p>
        </w:tc>
        <w:tc>
          <w:tcPr>
            <w:tcW w:w="222" w:type="dxa"/>
          </w:tcPr>
          <w:p w14:paraId="00A93CBE" w14:textId="3381E233" w:rsidR="00550599" w:rsidRPr="009E35ED" w:rsidRDefault="00550599" w:rsidP="00550599">
            <w:pPr>
              <w:ind w:left="0"/>
              <w:jc w:val="right"/>
              <w:rPr>
                <w:rFonts w:ascii="Arial Narrow" w:hAnsi="Arial Narrow" w:cs="Arial"/>
                <w:color w:val="000000" w:themeColor="text1"/>
                <w:sz w:val="20"/>
                <w:szCs w:val="20"/>
                <w:lang w:val="en-PH" w:eastAsia="en-PH"/>
              </w:rPr>
            </w:pPr>
          </w:p>
        </w:tc>
      </w:tr>
      <w:tr w:rsidR="00997F75" w:rsidRPr="009E35ED" w14:paraId="33A5BB12" w14:textId="778BFF3D" w:rsidTr="00D043CC">
        <w:trPr>
          <w:trHeight w:val="297"/>
        </w:trPr>
        <w:tc>
          <w:tcPr>
            <w:tcW w:w="3420" w:type="dxa"/>
            <w:shd w:val="clear" w:color="auto" w:fill="auto"/>
            <w:vAlign w:val="center"/>
            <w:hideMark/>
          </w:tcPr>
          <w:p w14:paraId="18E55D0D" w14:textId="77777777" w:rsidR="00550599" w:rsidRPr="009E35ED" w:rsidRDefault="00550599" w:rsidP="00550599">
            <w:pPr>
              <w:ind w:left="0"/>
              <w:rPr>
                <w:rFonts w:ascii="Arial Narrow" w:hAnsi="Arial Narrow" w:cs="Arial"/>
                <w:color w:val="000000" w:themeColor="text1"/>
                <w:sz w:val="20"/>
                <w:szCs w:val="20"/>
                <w:lang w:val="en-PH" w:eastAsia="en-PH"/>
              </w:rPr>
            </w:pPr>
            <w:r w:rsidRPr="009E35ED">
              <w:rPr>
                <w:rFonts w:ascii="Arial Narrow" w:hAnsi="Arial Narrow" w:cs="Arial"/>
                <w:color w:val="000000" w:themeColor="text1"/>
                <w:sz w:val="20"/>
                <w:szCs w:val="20"/>
                <w:lang w:val="en-PH" w:eastAsia="en-PH"/>
              </w:rPr>
              <w:t xml:space="preserve">     Provincial Government</w:t>
            </w:r>
          </w:p>
        </w:tc>
        <w:tc>
          <w:tcPr>
            <w:tcW w:w="864" w:type="dxa"/>
            <w:shd w:val="clear" w:color="auto" w:fill="auto"/>
            <w:vAlign w:val="center"/>
            <w:hideMark/>
          </w:tcPr>
          <w:p w14:paraId="26D5E27E" w14:textId="77777777" w:rsidR="00550599" w:rsidRPr="009E35ED" w:rsidRDefault="00550599" w:rsidP="00550599">
            <w:pPr>
              <w:ind w:left="0"/>
              <w:jc w:val="right"/>
              <w:rPr>
                <w:rFonts w:ascii="Arial Narrow" w:hAnsi="Arial Narrow" w:cs="Arial"/>
                <w:color w:val="000000" w:themeColor="text1"/>
                <w:sz w:val="20"/>
                <w:szCs w:val="20"/>
                <w:lang w:val="en-PH" w:eastAsia="en-PH"/>
              </w:rPr>
            </w:pPr>
            <w:r w:rsidRPr="009E35ED">
              <w:rPr>
                <w:rFonts w:ascii="Arial Narrow" w:hAnsi="Arial Narrow" w:cs="Arial"/>
                <w:color w:val="000000" w:themeColor="text1"/>
                <w:sz w:val="20"/>
                <w:szCs w:val="20"/>
                <w:lang w:val="en-PH" w:eastAsia="en-PH"/>
              </w:rPr>
              <w:t>1.00%</w:t>
            </w:r>
          </w:p>
        </w:tc>
        <w:tc>
          <w:tcPr>
            <w:tcW w:w="955" w:type="dxa"/>
            <w:shd w:val="clear" w:color="auto" w:fill="auto"/>
            <w:noWrap/>
            <w:vAlign w:val="center"/>
            <w:hideMark/>
          </w:tcPr>
          <w:p w14:paraId="765EC5F3" w14:textId="77777777" w:rsidR="00550599" w:rsidRPr="009E35ED" w:rsidRDefault="00550599" w:rsidP="00550599">
            <w:pPr>
              <w:ind w:left="0"/>
              <w:jc w:val="right"/>
              <w:rPr>
                <w:rFonts w:ascii="Arial Narrow" w:hAnsi="Arial Narrow" w:cs="Arial"/>
                <w:color w:val="000000" w:themeColor="text1"/>
                <w:sz w:val="20"/>
                <w:szCs w:val="20"/>
                <w:lang w:val="en-PH" w:eastAsia="en-PH"/>
              </w:rPr>
            </w:pPr>
            <w:r w:rsidRPr="009E35ED">
              <w:rPr>
                <w:rFonts w:ascii="Arial Narrow" w:hAnsi="Arial Narrow" w:cs="Arial"/>
                <w:color w:val="000000" w:themeColor="text1"/>
                <w:sz w:val="20"/>
                <w:szCs w:val="20"/>
                <w:lang w:val="en-PH" w:eastAsia="en-PH"/>
              </w:rPr>
              <w:t>0.500%</w:t>
            </w:r>
          </w:p>
        </w:tc>
        <w:tc>
          <w:tcPr>
            <w:tcW w:w="955" w:type="dxa"/>
            <w:shd w:val="clear" w:color="auto" w:fill="auto"/>
            <w:noWrap/>
            <w:vAlign w:val="center"/>
            <w:hideMark/>
          </w:tcPr>
          <w:p w14:paraId="2CDCF4BD" w14:textId="26B17553" w:rsidR="00550599" w:rsidRPr="009E35ED" w:rsidRDefault="00550599" w:rsidP="00550599">
            <w:pPr>
              <w:ind w:left="0"/>
              <w:jc w:val="right"/>
              <w:rPr>
                <w:rFonts w:ascii="Arial Narrow" w:hAnsi="Arial Narrow" w:cs="Arial"/>
                <w:color w:val="000000" w:themeColor="text1"/>
                <w:sz w:val="20"/>
                <w:szCs w:val="20"/>
                <w:lang w:val="en-PH" w:eastAsia="en-PH"/>
              </w:rPr>
            </w:pPr>
            <w:r w:rsidRPr="009E35ED">
              <w:rPr>
                <w:rFonts w:ascii="Arial Narrow" w:hAnsi="Arial Narrow" w:cs="Arial"/>
                <w:color w:val="000000" w:themeColor="text1"/>
                <w:sz w:val="20"/>
                <w:szCs w:val="20"/>
                <w:lang w:val="en-PH" w:eastAsia="en-PH"/>
              </w:rPr>
              <w:t xml:space="preserve">0.200% </w:t>
            </w:r>
          </w:p>
        </w:tc>
        <w:tc>
          <w:tcPr>
            <w:tcW w:w="1159" w:type="dxa"/>
          </w:tcPr>
          <w:p w14:paraId="3B7EFE21" w14:textId="59A0DD79" w:rsidR="00550599" w:rsidRPr="009E35ED" w:rsidRDefault="00550599" w:rsidP="00550599">
            <w:pPr>
              <w:ind w:left="0"/>
              <w:jc w:val="right"/>
              <w:rPr>
                <w:rFonts w:ascii="Arial Narrow" w:hAnsi="Arial Narrow" w:cs="Arial"/>
                <w:color w:val="000000" w:themeColor="text1"/>
                <w:sz w:val="20"/>
                <w:szCs w:val="20"/>
                <w:lang w:val="en-PH" w:eastAsia="en-PH"/>
              </w:rPr>
            </w:pPr>
            <w:r w:rsidRPr="009E35ED">
              <w:rPr>
                <w:rFonts w:ascii="Arial Narrow" w:hAnsi="Arial Narrow" w:cs="Arial"/>
                <w:color w:val="000000" w:themeColor="text1"/>
                <w:sz w:val="20"/>
                <w:szCs w:val="20"/>
                <w:lang w:val="en-PH" w:eastAsia="en-PH"/>
              </w:rPr>
              <w:t>0.7057%</w:t>
            </w:r>
          </w:p>
        </w:tc>
        <w:tc>
          <w:tcPr>
            <w:tcW w:w="1046" w:type="dxa"/>
          </w:tcPr>
          <w:p w14:paraId="3BE5C0E6" w14:textId="6434CAB3" w:rsidR="00550599" w:rsidRPr="009E35ED" w:rsidRDefault="00550599" w:rsidP="00D043CC">
            <w:pPr>
              <w:ind w:left="0"/>
              <w:jc w:val="right"/>
              <w:rPr>
                <w:rFonts w:ascii="Arial Narrow" w:hAnsi="Arial Narrow" w:cs="Arial"/>
                <w:color w:val="000000" w:themeColor="text1"/>
                <w:sz w:val="20"/>
                <w:szCs w:val="20"/>
                <w:lang w:val="en-PH" w:eastAsia="en-PH"/>
              </w:rPr>
            </w:pPr>
            <w:r w:rsidRPr="009E35ED">
              <w:rPr>
                <w:rFonts w:ascii="Arial Narrow" w:hAnsi="Arial Narrow" w:cs="Arial"/>
                <w:color w:val="000000" w:themeColor="text1"/>
                <w:sz w:val="20"/>
                <w:szCs w:val="20"/>
                <w:lang w:val="en-PH" w:eastAsia="en-PH"/>
              </w:rPr>
              <w:t>0.0000%</w:t>
            </w:r>
          </w:p>
        </w:tc>
        <w:tc>
          <w:tcPr>
            <w:tcW w:w="222" w:type="dxa"/>
          </w:tcPr>
          <w:p w14:paraId="50CBCC88" w14:textId="6F0F6014" w:rsidR="00550599" w:rsidRPr="009E35ED" w:rsidRDefault="00550599" w:rsidP="00550599">
            <w:pPr>
              <w:ind w:left="0"/>
              <w:jc w:val="right"/>
              <w:rPr>
                <w:rFonts w:ascii="Arial Narrow" w:hAnsi="Arial Narrow" w:cs="Arial"/>
                <w:color w:val="000000" w:themeColor="text1"/>
                <w:sz w:val="20"/>
                <w:szCs w:val="20"/>
                <w:lang w:val="en-PH" w:eastAsia="en-PH"/>
              </w:rPr>
            </w:pPr>
          </w:p>
        </w:tc>
      </w:tr>
      <w:tr w:rsidR="00997F75" w:rsidRPr="009E35ED" w14:paraId="5E5C6DA6" w14:textId="35726F13" w:rsidTr="00D043CC">
        <w:trPr>
          <w:trHeight w:val="297"/>
        </w:trPr>
        <w:tc>
          <w:tcPr>
            <w:tcW w:w="3420" w:type="dxa"/>
            <w:shd w:val="clear" w:color="auto" w:fill="auto"/>
            <w:vAlign w:val="center"/>
            <w:hideMark/>
          </w:tcPr>
          <w:p w14:paraId="78067528" w14:textId="77777777" w:rsidR="00550599" w:rsidRPr="009E35ED" w:rsidRDefault="00550599" w:rsidP="00550599">
            <w:pPr>
              <w:ind w:left="0"/>
              <w:rPr>
                <w:rFonts w:ascii="Arial Narrow" w:hAnsi="Arial Narrow" w:cs="Arial"/>
                <w:color w:val="000000" w:themeColor="text1"/>
                <w:sz w:val="20"/>
                <w:szCs w:val="20"/>
                <w:lang w:val="en-PH" w:eastAsia="en-PH"/>
              </w:rPr>
            </w:pPr>
            <w:r w:rsidRPr="009E35ED">
              <w:rPr>
                <w:rFonts w:ascii="Arial Narrow" w:hAnsi="Arial Narrow" w:cs="Arial"/>
                <w:color w:val="000000" w:themeColor="text1"/>
                <w:sz w:val="20"/>
                <w:szCs w:val="20"/>
                <w:lang w:val="en-PH" w:eastAsia="en-PH"/>
              </w:rPr>
              <w:t xml:space="preserve">     National Bureau of Investigation</w:t>
            </w:r>
          </w:p>
        </w:tc>
        <w:tc>
          <w:tcPr>
            <w:tcW w:w="864" w:type="dxa"/>
            <w:shd w:val="clear" w:color="auto" w:fill="auto"/>
            <w:vAlign w:val="center"/>
            <w:hideMark/>
          </w:tcPr>
          <w:p w14:paraId="3603A627" w14:textId="77777777" w:rsidR="00550599" w:rsidRPr="009E35ED" w:rsidRDefault="00550599" w:rsidP="00550599">
            <w:pPr>
              <w:ind w:left="0"/>
              <w:jc w:val="right"/>
              <w:rPr>
                <w:rFonts w:ascii="Arial Narrow" w:hAnsi="Arial Narrow" w:cs="Arial"/>
                <w:color w:val="000000" w:themeColor="text1"/>
                <w:sz w:val="20"/>
                <w:szCs w:val="20"/>
                <w:lang w:val="en-PH" w:eastAsia="en-PH"/>
              </w:rPr>
            </w:pPr>
            <w:r w:rsidRPr="009E35ED">
              <w:rPr>
                <w:rFonts w:ascii="Arial Narrow" w:hAnsi="Arial Narrow" w:cs="Arial"/>
                <w:color w:val="000000" w:themeColor="text1"/>
                <w:sz w:val="20"/>
                <w:szCs w:val="20"/>
                <w:lang w:val="en-PH" w:eastAsia="en-PH"/>
              </w:rPr>
              <w:t>0.00%</w:t>
            </w:r>
          </w:p>
        </w:tc>
        <w:tc>
          <w:tcPr>
            <w:tcW w:w="955" w:type="dxa"/>
            <w:shd w:val="clear" w:color="auto" w:fill="auto"/>
            <w:noWrap/>
            <w:vAlign w:val="center"/>
            <w:hideMark/>
          </w:tcPr>
          <w:p w14:paraId="450A08C6" w14:textId="77777777" w:rsidR="00550599" w:rsidRPr="009E35ED" w:rsidRDefault="00550599" w:rsidP="00550599">
            <w:pPr>
              <w:ind w:left="0"/>
              <w:jc w:val="right"/>
              <w:rPr>
                <w:rFonts w:ascii="Arial Narrow" w:hAnsi="Arial Narrow" w:cs="Arial"/>
                <w:color w:val="000000" w:themeColor="text1"/>
                <w:sz w:val="20"/>
                <w:szCs w:val="20"/>
                <w:lang w:val="en-PH" w:eastAsia="en-PH"/>
              </w:rPr>
            </w:pPr>
            <w:r w:rsidRPr="009E35ED">
              <w:rPr>
                <w:rFonts w:ascii="Arial Narrow" w:hAnsi="Arial Narrow" w:cs="Arial"/>
                <w:color w:val="000000" w:themeColor="text1"/>
                <w:sz w:val="20"/>
                <w:szCs w:val="20"/>
                <w:lang w:val="en-PH" w:eastAsia="en-PH"/>
              </w:rPr>
              <w:t>0.200%</w:t>
            </w:r>
          </w:p>
        </w:tc>
        <w:tc>
          <w:tcPr>
            <w:tcW w:w="955" w:type="dxa"/>
            <w:shd w:val="clear" w:color="auto" w:fill="auto"/>
            <w:noWrap/>
            <w:vAlign w:val="center"/>
            <w:hideMark/>
          </w:tcPr>
          <w:p w14:paraId="2CFF6F45" w14:textId="77777777" w:rsidR="00550599" w:rsidRPr="009E35ED" w:rsidRDefault="00550599" w:rsidP="00550599">
            <w:pPr>
              <w:ind w:left="0"/>
              <w:jc w:val="right"/>
              <w:rPr>
                <w:rFonts w:ascii="Arial Narrow" w:hAnsi="Arial Narrow" w:cs="Arial"/>
                <w:color w:val="000000" w:themeColor="text1"/>
                <w:sz w:val="20"/>
                <w:szCs w:val="20"/>
                <w:lang w:val="en-PH" w:eastAsia="en-PH"/>
              </w:rPr>
            </w:pPr>
            <w:r w:rsidRPr="009E35ED">
              <w:rPr>
                <w:rFonts w:ascii="Arial Narrow" w:hAnsi="Arial Narrow" w:cs="Arial"/>
                <w:color w:val="000000" w:themeColor="text1"/>
                <w:sz w:val="20"/>
                <w:szCs w:val="20"/>
                <w:lang w:val="en-PH" w:eastAsia="en-PH"/>
              </w:rPr>
              <w:t>0.200%</w:t>
            </w:r>
          </w:p>
        </w:tc>
        <w:tc>
          <w:tcPr>
            <w:tcW w:w="1159" w:type="dxa"/>
          </w:tcPr>
          <w:p w14:paraId="0C3DA381" w14:textId="6991A0F6" w:rsidR="00550599" w:rsidRPr="009E35ED" w:rsidRDefault="00550599" w:rsidP="00550599">
            <w:pPr>
              <w:ind w:left="0"/>
              <w:jc w:val="right"/>
              <w:rPr>
                <w:rFonts w:ascii="Arial Narrow" w:hAnsi="Arial Narrow" w:cs="Arial"/>
                <w:color w:val="000000" w:themeColor="text1"/>
                <w:sz w:val="20"/>
                <w:szCs w:val="20"/>
                <w:lang w:val="en-PH" w:eastAsia="en-PH"/>
              </w:rPr>
            </w:pPr>
            <w:r w:rsidRPr="009E35ED">
              <w:rPr>
                <w:rFonts w:ascii="Arial Narrow" w:hAnsi="Arial Narrow" w:cs="Arial"/>
                <w:color w:val="000000" w:themeColor="text1"/>
                <w:sz w:val="20"/>
                <w:szCs w:val="20"/>
                <w:lang w:val="en-PH" w:eastAsia="en-PH"/>
              </w:rPr>
              <w:t>0.2000%</w:t>
            </w:r>
          </w:p>
        </w:tc>
        <w:tc>
          <w:tcPr>
            <w:tcW w:w="1046" w:type="dxa"/>
          </w:tcPr>
          <w:p w14:paraId="659EB692" w14:textId="585128A4" w:rsidR="00550599" w:rsidRPr="009E35ED" w:rsidRDefault="00550599" w:rsidP="00D043CC">
            <w:pPr>
              <w:ind w:left="0"/>
              <w:jc w:val="right"/>
              <w:rPr>
                <w:rFonts w:ascii="Arial Narrow" w:hAnsi="Arial Narrow" w:cs="Arial"/>
                <w:color w:val="000000" w:themeColor="text1"/>
                <w:sz w:val="20"/>
                <w:szCs w:val="20"/>
                <w:lang w:val="en-PH" w:eastAsia="en-PH"/>
              </w:rPr>
            </w:pPr>
            <w:r w:rsidRPr="009E35ED">
              <w:rPr>
                <w:rFonts w:ascii="Arial Narrow" w:hAnsi="Arial Narrow" w:cs="Arial"/>
                <w:color w:val="000000" w:themeColor="text1"/>
                <w:sz w:val="20"/>
                <w:szCs w:val="20"/>
                <w:lang w:val="en-PH" w:eastAsia="en-PH"/>
              </w:rPr>
              <w:t>0.0000%</w:t>
            </w:r>
          </w:p>
        </w:tc>
        <w:tc>
          <w:tcPr>
            <w:tcW w:w="222" w:type="dxa"/>
          </w:tcPr>
          <w:p w14:paraId="021BF470" w14:textId="7826051A" w:rsidR="00550599" w:rsidRPr="009E35ED" w:rsidRDefault="00550599" w:rsidP="00550599">
            <w:pPr>
              <w:ind w:left="0"/>
              <w:jc w:val="right"/>
              <w:rPr>
                <w:rFonts w:ascii="Arial Narrow" w:hAnsi="Arial Narrow" w:cs="Arial"/>
                <w:color w:val="000000" w:themeColor="text1"/>
                <w:sz w:val="20"/>
                <w:szCs w:val="20"/>
                <w:lang w:val="en-PH" w:eastAsia="en-PH"/>
              </w:rPr>
            </w:pPr>
          </w:p>
        </w:tc>
      </w:tr>
      <w:tr w:rsidR="00997F75" w:rsidRPr="009E35ED" w14:paraId="0566DF61" w14:textId="057D1993" w:rsidTr="00D043CC">
        <w:trPr>
          <w:trHeight w:val="297"/>
        </w:trPr>
        <w:tc>
          <w:tcPr>
            <w:tcW w:w="3420" w:type="dxa"/>
            <w:shd w:val="clear" w:color="auto" w:fill="auto"/>
            <w:vAlign w:val="center"/>
            <w:hideMark/>
          </w:tcPr>
          <w:p w14:paraId="1AE7735E" w14:textId="77777777" w:rsidR="00550599" w:rsidRPr="009E35ED" w:rsidRDefault="00550599" w:rsidP="00550599">
            <w:pPr>
              <w:ind w:left="0"/>
              <w:rPr>
                <w:rFonts w:ascii="Arial Narrow" w:hAnsi="Arial Narrow" w:cs="Arial"/>
                <w:color w:val="000000" w:themeColor="text1"/>
                <w:sz w:val="20"/>
                <w:szCs w:val="20"/>
                <w:lang w:val="en-PH" w:eastAsia="en-PH"/>
              </w:rPr>
            </w:pPr>
            <w:r w:rsidRPr="009E35ED">
              <w:rPr>
                <w:rFonts w:ascii="Arial Narrow" w:hAnsi="Arial Narrow" w:cs="Arial"/>
                <w:color w:val="000000" w:themeColor="text1"/>
                <w:sz w:val="20"/>
                <w:szCs w:val="20"/>
                <w:lang w:val="en-PH" w:eastAsia="en-PH"/>
              </w:rPr>
              <w:t xml:space="preserve">     Philippine National Police</w:t>
            </w:r>
          </w:p>
        </w:tc>
        <w:tc>
          <w:tcPr>
            <w:tcW w:w="864" w:type="dxa"/>
            <w:shd w:val="clear" w:color="auto" w:fill="auto"/>
            <w:vAlign w:val="center"/>
            <w:hideMark/>
          </w:tcPr>
          <w:p w14:paraId="3AECD393" w14:textId="77777777" w:rsidR="00550599" w:rsidRPr="009E35ED" w:rsidRDefault="00550599" w:rsidP="00550599">
            <w:pPr>
              <w:ind w:left="0"/>
              <w:jc w:val="right"/>
              <w:rPr>
                <w:rFonts w:ascii="Arial Narrow" w:hAnsi="Arial Narrow" w:cs="Arial"/>
                <w:color w:val="000000" w:themeColor="text1"/>
                <w:sz w:val="20"/>
                <w:szCs w:val="20"/>
                <w:lang w:val="en-PH" w:eastAsia="en-PH"/>
              </w:rPr>
            </w:pPr>
            <w:r w:rsidRPr="009E35ED">
              <w:rPr>
                <w:rFonts w:ascii="Arial Narrow" w:hAnsi="Arial Narrow" w:cs="Arial"/>
                <w:color w:val="000000" w:themeColor="text1"/>
                <w:sz w:val="20"/>
                <w:szCs w:val="20"/>
                <w:lang w:val="en-PH" w:eastAsia="en-PH"/>
              </w:rPr>
              <w:t>2.50%</w:t>
            </w:r>
          </w:p>
        </w:tc>
        <w:tc>
          <w:tcPr>
            <w:tcW w:w="955" w:type="dxa"/>
            <w:shd w:val="clear" w:color="auto" w:fill="auto"/>
            <w:noWrap/>
            <w:vAlign w:val="center"/>
            <w:hideMark/>
          </w:tcPr>
          <w:p w14:paraId="2A7D7C08" w14:textId="77777777" w:rsidR="00550599" w:rsidRPr="009E35ED" w:rsidRDefault="00550599" w:rsidP="00550599">
            <w:pPr>
              <w:ind w:left="0"/>
              <w:jc w:val="right"/>
              <w:rPr>
                <w:rFonts w:ascii="Arial Narrow" w:hAnsi="Arial Narrow" w:cs="Arial"/>
                <w:color w:val="000000" w:themeColor="text1"/>
                <w:sz w:val="20"/>
                <w:szCs w:val="20"/>
                <w:lang w:val="en-PH" w:eastAsia="en-PH"/>
              </w:rPr>
            </w:pPr>
            <w:r w:rsidRPr="009E35ED">
              <w:rPr>
                <w:rFonts w:ascii="Arial Narrow" w:hAnsi="Arial Narrow" w:cs="Arial"/>
                <w:color w:val="000000" w:themeColor="text1"/>
                <w:sz w:val="20"/>
                <w:szCs w:val="20"/>
                <w:lang w:val="en-PH" w:eastAsia="en-PH"/>
              </w:rPr>
              <w:t>0.000%</w:t>
            </w:r>
          </w:p>
        </w:tc>
        <w:tc>
          <w:tcPr>
            <w:tcW w:w="955" w:type="dxa"/>
            <w:shd w:val="clear" w:color="auto" w:fill="auto"/>
            <w:noWrap/>
            <w:vAlign w:val="center"/>
            <w:hideMark/>
          </w:tcPr>
          <w:p w14:paraId="2B0BF947" w14:textId="77777777" w:rsidR="00550599" w:rsidRPr="009E35ED" w:rsidRDefault="00550599" w:rsidP="00550599">
            <w:pPr>
              <w:ind w:left="0"/>
              <w:jc w:val="right"/>
              <w:rPr>
                <w:rFonts w:ascii="Arial Narrow" w:hAnsi="Arial Narrow" w:cs="Arial"/>
                <w:color w:val="000000" w:themeColor="text1"/>
                <w:sz w:val="20"/>
                <w:szCs w:val="20"/>
                <w:lang w:val="en-PH" w:eastAsia="en-PH"/>
              </w:rPr>
            </w:pPr>
            <w:r w:rsidRPr="009E35ED">
              <w:rPr>
                <w:rFonts w:ascii="Arial Narrow" w:hAnsi="Arial Narrow" w:cs="Arial"/>
                <w:color w:val="000000" w:themeColor="text1"/>
                <w:sz w:val="20"/>
                <w:szCs w:val="20"/>
                <w:lang w:val="en-PH" w:eastAsia="en-PH"/>
              </w:rPr>
              <w:t>0.000%</w:t>
            </w:r>
          </w:p>
        </w:tc>
        <w:tc>
          <w:tcPr>
            <w:tcW w:w="1159" w:type="dxa"/>
          </w:tcPr>
          <w:p w14:paraId="740A22DB" w14:textId="71952941" w:rsidR="00550599" w:rsidRPr="009E35ED" w:rsidRDefault="00550599" w:rsidP="00550599">
            <w:pPr>
              <w:ind w:left="0"/>
              <w:jc w:val="right"/>
              <w:rPr>
                <w:rFonts w:ascii="Arial Narrow" w:hAnsi="Arial Narrow" w:cs="Arial"/>
                <w:color w:val="000000" w:themeColor="text1"/>
                <w:sz w:val="20"/>
                <w:szCs w:val="20"/>
                <w:lang w:val="en-PH" w:eastAsia="en-PH"/>
              </w:rPr>
            </w:pPr>
            <w:r w:rsidRPr="009E35ED">
              <w:rPr>
                <w:rFonts w:ascii="Arial Narrow" w:hAnsi="Arial Narrow" w:cs="Arial"/>
                <w:color w:val="000000" w:themeColor="text1"/>
                <w:sz w:val="20"/>
                <w:szCs w:val="20"/>
                <w:lang w:val="en-PH" w:eastAsia="en-PH"/>
              </w:rPr>
              <w:t>0.0000%</w:t>
            </w:r>
          </w:p>
        </w:tc>
        <w:tc>
          <w:tcPr>
            <w:tcW w:w="1046" w:type="dxa"/>
          </w:tcPr>
          <w:p w14:paraId="61E3D90F" w14:textId="3C90FFD5" w:rsidR="00550599" w:rsidRPr="009E35ED" w:rsidRDefault="00550599" w:rsidP="00D043CC">
            <w:pPr>
              <w:ind w:left="0"/>
              <w:jc w:val="right"/>
              <w:rPr>
                <w:rFonts w:ascii="Arial Narrow" w:hAnsi="Arial Narrow" w:cs="Arial"/>
                <w:color w:val="000000" w:themeColor="text1"/>
                <w:sz w:val="20"/>
                <w:szCs w:val="20"/>
                <w:lang w:val="en-PH" w:eastAsia="en-PH"/>
              </w:rPr>
            </w:pPr>
            <w:r w:rsidRPr="009E35ED">
              <w:rPr>
                <w:rFonts w:ascii="Arial Narrow" w:hAnsi="Arial Narrow" w:cs="Arial"/>
                <w:color w:val="000000" w:themeColor="text1"/>
                <w:sz w:val="20"/>
                <w:szCs w:val="20"/>
                <w:lang w:val="en-PH" w:eastAsia="en-PH"/>
              </w:rPr>
              <w:t>0.0000%</w:t>
            </w:r>
          </w:p>
        </w:tc>
        <w:tc>
          <w:tcPr>
            <w:tcW w:w="222" w:type="dxa"/>
          </w:tcPr>
          <w:p w14:paraId="2B4AC850" w14:textId="14CEF042" w:rsidR="00550599" w:rsidRPr="009E35ED" w:rsidRDefault="00550599" w:rsidP="00550599">
            <w:pPr>
              <w:ind w:left="0"/>
              <w:jc w:val="right"/>
              <w:rPr>
                <w:rFonts w:ascii="Arial Narrow" w:hAnsi="Arial Narrow" w:cs="Arial"/>
                <w:color w:val="000000" w:themeColor="text1"/>
                <w:sz w:val="20"/>
                <w:szCs w:val="20"/>
                <w:lang w:val="en-PH" w:eastAsia="en-PH"/>
              </w:rPr>
            </w:pPr>
          </w:p>
        </w:tc>
      </w:tr>
      <w:tr w:rsidR="00997F75" w:rsidRPr="009E35ED" w14:paraId="33915A57" w14:textId="6EF38077" w:rsidTr="00D043CC">
        <w:trPr>
          <w:trHeight w:val="297"/>
        </w:trPr>
        <w:tc>
          <w:tcPr>
            <w:tcW w:w="3420" w:type="dxa"/>
            <w:shd w:val="clear" w:color="auto" w:fill="auto"/>
            <w:vAlign w:val="center"/>
            <w:hideMark/>
          </w:tcPr>
          <w:p w14:paraId="569443C2" w14:textId="77777777" w:rsidR="00550599" w:rsidRPr="009E35ED" w:rsidRDefault="00550599" w:rsidP="00550599">
            <w:pPr>
              <w:ind w:left="0" w:firstLineChars="300" w:firstLine="600"/>
              <w:jc w:val="left"/>
              <w:rPr>
                <w:rFonts w:ascii="Arial Narrow" w:hAnsi="Arial Narrow" w:cs="Arial"/>
                <w:color w:val="000000" w:themeColor="text1"/>
                <w:sz w:val="20"/>
                <w:szCs w:val="20"/>
                <w:lang w:val="en-PH" w:eastAsia="en-PH"/>
              </w:rPr>
            </w:pPr>
            <w:r w:rsidRPr="009E35ED">
              <w:rPr>
                <w:rFonts w:ascii="Arial Narrow" w:hAnsi="Arial Narrow" w:cs="Arial"/>
                <w:color w:val="000000" w:themeColor="text1"/>
                <w:sz w:val="20"/>
                <w:szCs w:val="20"/>
                <w:lang w:val="en-PH" w:eastAsia="en-PH"/>
              </w:rPr>
              <w:t>PNP Health Services</w:t>
            </w:r>
          </w:p>
        </w:tc>
        <w:tc>
          <w:tcPr>
            <w:tcW w:w="864" w:type="dxa"/>
            <w:shd w:val="clear" w:color="auto" w:fill="auto"/>
            <w:vAlign w:val="center"/>
            <w:hideMark/>
          </w:tcPr>
          <w:p w14:paraId="554C6206" w14:textId="77777777" w:rsidR="00550599" w:rsidRPr="009E35ED" w:rsidRDefault="00550599" w:rsidP="00550599">
            <w:pPr>
              <w:ind w:left="0"/>
              <w:jc w:val="right"/>
              <w:rPr>
                <w:rFonts w:ascii="Arial Narrow" w:hAnsi="Arial Narrow" w:cs="Arial"/>
                <w:color w:val="000000" w:themeColor="text1"/>
                <w:sz w:val="20"/>
                <w:szCs w:val="20"/>
                <w:lang w:val="en-PH" w:eastAsia="en-PH"/>
              </w:rPr>
            </w:pPr>
            <w:r w:rsidRPr="009E35ED">
              <w:rPr>
                <w:rFonts w:ascii="Arial Narrow" w:hAnsi="Arial Narrow" w:cs="Arial"/>
                <w:color w:val="000000" w:themeColor="text1"/>
                <w:sz w:val="20"/>
                <w:szCs w:val="20"/>
                <w:lang w:val="en-PH" w:eastAsia="en-PH"/>
              </w:rPr>
              <w:t>0.00%</w:t>
            </w:r>
          </w:p>
        </w:tc>
        <w:tc>
          <w:tcPr>
            <w:tcW w:w="955" w:type="dxa"/>
            <w:shd w:val="clear" w:color="auto" w:fill="auto"/>
            <w:noWrap/>
            <w:vAlign w:val="center"/>
            <w:hideMark/>
          </w:tcPr>
          <w:p w14:paraId="6E59725E" w14:textId="77777777" w:rsidR="00550599" w:rsidRPr="009E35ED" w:rsidRDefault="00550599" w:rsidP="00550599">
            <w:pPr>
              <w:ind w:left="0"/>
              <w:jc w:val="right"/>
              <w:rPr>
                <w:rFonts w:ascii="Arial Narrow" w:hAnsi="Arial Narrow" w:cs="Arial"/>
                <w:color w:val="000000" w:themeColor="text1"/>
                <w:sz w:val="20"/>
                <w:szCs w:val="20"/>
                <w:lang w:val="en-PH" w:eastAsia="en-PH"/>
              </w:rPr>
            </w:pPr>
            <w:r w:rsidRPr="009E35ED">
              <w:rPr>
                <w:rFonts w:ascii="Arial Narrow" w:hAnsi="Arial Narrow" w:cs="Arial"/>
                <w:color w:val="000000" w:themeColor="text1"/>
                <w:sz w:val="20"/>
                <w:szCs w:val="20"/>
                <w:lang w:val="en-PH" w:eastAsia="en-PH"/>
              </w:rPr>
              <w:t>1.000%</w:t>
            </w:r>
          </w:p>
        </w:tc>
        <w:tc>
          <w:tcPr>
            <w:tcW w:w="955" w:type="dxa"/>
            <w:shd w:val="clear" w:color="auto" w:fill="auto"/>
            <w:noWrap/>
            <w:vAlign w:val="center"/>
            <w:hideMark/>
          </w:tcPr>
          <w:p w14:paraId="78857974" w14:textId="77777777" w:rsidR="00550599" w:rsidRPr="009E35ED" w:rsidRDefault="00550599" w:rsidP="00550599">
            <w:pPr>
              <w:ind w:left="0"/>
              <w:jc w:val="right"/>
              <w:rPr>
                <w:rFonts w:ascii="Arial Narrow" w:hAnsi="Arial Narrow" w:cs="Arial"/>
                <w:color w:val="000000" w:themeColor="text1"/>
                <w:sz w:val="20"/>
                <w:szCs w:val="20"/>
                <w:lang w:val="en-PH" w:eastAsia="en-PH"/>
              </w:rPr>
            </w:pPr>
            <w:r w:rsidRPr="009E35ED">
              <w:rPr>
                <w:rFonts w:ascii="Arial Narrow" w:hAnsi="Arial Narrow" w:cs="Arial"/>
                <w:color w:val="000000" w:themeColor="text1"/>
                <w:sz w:val="20"/>
                <w:szCs w:val="20"/>
                <w:lang w:val="en-PH" w:eastAsia="en-PH"/>
              </w:rPr>
              <w:t>0.500%</w:t>
            </w:r>
          </w:p>
        </w:tc>
        <w:tc>
          <w:tcPr>
            <w:tcW w:w="1159" w:type="dxa"/>
          </w:tcPr>
          <w:p w14:paraId="3E1FDB5C" w14:textId="1ACF9E64" w:rsidR="00550599" w:rsidRPr="009E35ED" w:rsidRDefault="00550599" w:rsidP="00550599">
            <w:pPr>
              <w:ind w:left="0"/>
              <w:jc w:val="right"/>
              <w:rPr>
                <w:rFonts w:ascii="Arial Narrow" w:hAnsi="Arial Narrow" w:cs="Arial"/>
                <w:color w:val="000000" w:themeColor="text1"/>
                <w:sz w:val="20"/>
                <w:szCs w:val="20"/>
                <w:lang w:val="en-PH" w:eastAsia="en-PH"/>
              </w:rPr>
            </w:pPr>
            <w:r w:rsidRPr="009E35ED">
              <w:rPr>
                <w:rFonts w:ascii="Arial Narrow" w:hAnsi="Arial Narrow" w:cs="Arial"/>
                <w:color w:val="000000" w:themeColor="text1"/>
                <w:sz w:val="20"/>
                <w:szCs w:val="20"/>
                <w:lang w:val="en-PH" w:eastAsia="en-PH"/>
              </w:rPr>
              <w:t>0.5000%</w:t>
            </w:r>
          </w:p>
        </w:tc>
        <w:tc>
          <w:tcPr>
            <w:tcW w:w="1046" w:type="dxa"/>
          </w:tcPr>
          <w:p w14:paraId="2A1BFF42" w14:textId="21B36992" w:rsidR="00550599" w:rsidRPr="009E35ED" w:rsidRDefault="00550599" w:rsidP="00D043CC">
            <w:pPr>
              <w:ind w:left="0"/>
              <w:jc w:val="right"/>
              <w:rPr>
                <w:rFonts w:ascii="Arial Narrow" w:hAnsi="Arial Narrow" w:cs="Arial"/>
                <w:color w:val="000000" w:themeColor="text1"/>
                <w:sz w:val="20"/>
                <w:szCs w:val="20"/>
                <w:lang w:val="en-PH" w:eastAsia="en-PH"/>
              </w:rPr>
            </w:pPr>
            <w:r w:rsidRPr="009E35ED">
              <w:rPr>
                <w:rFonts w:ascii="Arial Narrow" w:hAnsi="Arial Narrow" w:cs="Arial"/>
                <w:color w:val="000000" w:themeColor="text1"/>
                <w:sz w:val="20"/>
                <w:szCs w:val="20"/>
                <w:lang w:val="en-PH" w:eastAsia="en-PH"/>
              </w:rPr>
              <w:t>0.0000%</w:t>
            </w:r>
          </w:p>
        </w:tc>
        <w:tc>
          <w:tcPr>
            <w:tcW w:w="222" w:type="dxa"/>
          </w:tcPr>
          <w:p w14:paraId="0E9436E7" w14:textId="7D0B006B" w:rsidR="00550599" w:rsidRPr="009E35ED" w:rsidRDefault="00550599" w:rsidP="00550599">
            <w:pPr>
              <w:ind w:left="0"/>
              <w:jc w:val="right"/>
              <w:rPr>
                <w:rFonts w:ascii="Arial Narrow" w:hAnsi="Arial Narrow" w:cs="Arial"/>
                <w:color w:val="000000" w:themeColor="text1"/>
                <w:sz w:val="20"/>
                <w:szCs w:val="20"/>
                <w:lang w:val="en-PH" w:eastAsia="en-PH"/>
              </w:rPr>
            </w:pPr>
          </w:p>
        </w:tc>
      </w:tr>
      <w:tr w:rsidR="00997F75" w:rsidRPr="009E35ED" w14:paraId="1D50879B" w14:textId="670AF9BB" w:rsidTr="00D043CC">
        <w:trPr>
          <w:trHeight w:val="297"/>
        </w:trPr>
        <w:tc>
          <w:tcPr>
            <w:tcW w:w="3420" w:type="dxa"/>
            <w:shd w:val="clear" w:color="auto" w:fill="auto"/>
            <w:vAlign w:val="center"/>
            <w:hideMark/>
          </w:tcPr>
          <w:p w14:paraId="6A43978A" w14:textId="77777777" w:rsidR="00550599" w:rsidRPr="009E35ED" w:rsidRDefault="00550599" w:rsidP="00550599">
            <w:pPr>
              <w:ind w:left="0" w:firstLineChars="300" w:firstLine="600"/>
              <w:jc w:val="left"/>
              <w:rPr>
                <w:rFonts w:ascii="Arial Narrow" w:hAnsi="Arial Narrow" w:cs="Arial"/>
                <w:color w:val="000000" w:themeColor="text1"/>
                <w:sz w:val="20"/>
                <w:szCs w:val="20"/>
                <w:lang w:val="en-PH" w:eastAsia="en-PH"/>
              </w:rPr>
            </w:pPr>
            <w:r w:rsidRPr="009E35ED">
              <w:rPr>
                <w:rFonts w:ascii="Arial Narrow" w:hAnsi="Arial Narrow" w:cs="Arial"/>
                <w:color w:val="000000" w:themeColor="text1"/>
                <w:sz w:val="20"/>
                <w:szCs w:val="20"/>
                <w:lang w:val="en-PH" w:eastAsia="en-PH"/>
              </w:rPr>
              <w:t>National Headquarters</w:t>
            </w:r>
          </w:p>
        </w:tc>
        <w:tc>
          <w:tcPr>
            <w:tcW w:w="864" w:type="dxa"/>
            <w:shd w:val="clear" w:color="auto" w:fill="auto"/>
            <w:vAlign w:val="center"/>
            <w:hideMark/>
          </w:tcPr>
          <w:p w14:paraId="6379BD19" w14:textId="77777777" w:rsidR="00550599" w:rsidRPr="009E35ED" w:rsidRDefault="00550599" w:rsidP="00550599">
            <w:pPr>
              <w:ind w:left="0"/>
              <w:jc w:val="right"/>
              <w:rPr>
                <w:rFonts w:ascii="Arial Narrow" w:hAnsi="Arial Narrow" w:cs="Arial"/>
                <w:color w:val="000000" w:themeColor="text1"/>
                <w:sz w:val="20"/>
                <w:szCs w:val="20"/>
                <w:lang w:val="en-PH" w:eastAsia="en-PH"/>
              </w:rPr>
            </w:pPr>
            <w:r w:rsidRPr="009E35ED">
              <w:rPr>
                <w:rFonts w:ascii="Arial Narrow" w:hAnsi="Arial Narrow" w:cs="Arial"/>
                <w:color w:val="000000" w:themeColor="text1"/>
                <w:sz w:val="20"/>
                <w:szCs w:val="20"/>
                <w:lang w:val="en-PH" w:eastAsia="en-PH"/>
              </w:rPr>
              <w:t>0.40%</w:t>
            </w:r>
          </w:p>
        </w:tc>
        <w:tc>
          <w:tcPr>
            <w:tcW w:w="955" w:type="dxa"/>
            <w:shd w:val="clear" w:color="auto" w:fill="auto"/>
            <w:noWrap/>
            <w:vAlign w:val="center"/>
            <w:hideMark/>
          </w:tcPr>
          <w:p w14:paraId="505858EC" w14:textId="77777777" w:rsidR="00550599" w:rsidRPr="009E35ED" w:rsidRDefault="00550599" w:rsidP="00550599">
            <w:pPr>
              <w:ind w:left="0"/>
              <w:jc w:val="right"/>
              <w:rPr>
                <w:rFonts w:ascii="Arial Narrow" w:hAnsi="Arial Narrow" w:cs="Arial"/>
                <w:color w:val="000000" w:themeColor="text1"/>
                <w:sz w:val="20"/>
                <w:szCs w:val="20"/>
                <w:lang w:val="en-PH" w:eastAsia="en-PH"/>
              </w:rPr>
            </w:pPr>
            <w:r w:rsidRPr="009E35ED">
              <w:rPr>
                <w:rFonts w:ascii="Arial Narrow" w:hAnsi="Arial Narrow" w:cs="Arial"/>
                <w:color w:val="000000" w:themeColor="text1"/>
                <w:sz w:val="20"/>
                <w:szCs w:val="20"/>
                <w:lang w:val="en-PH" w:eastAsia="en-PH"/>
              </w:rPr>
              <w:t>0.000%</w:t>
            </w:r>
          </w:p>
        </w:tc>
        <w:tc>
          <w:tcPr>
            <w:tcW w:w="955" w:type="dxa"/>
            <w:shd w:val="clear" w:color="auto" w:fill="auto"/>
            <w:noWrap/>
            <w:vAlign w:val="center"/>
            <w:hideMark/>
          </w:tcPr>
          <w:p w14:paraId="685844B3" w14:textId="77777777" w:rsidR="00550599" w:rsidRPr="009E35ED" w:rsidRDefault="00550599" w:rsidP="00550599">
            <w:pPr>
              <w:ind w:left="0"/>
              <w:jc w:val="right"/>
              <w:rPr>
                <w:rFonts w:ascii="Arial Narrow" w:hAnsi="Arial Narrow" w:cs="Arial"/>
                <w:color w:val="000000" w:themeColor="text1"/>
                <w:sz w:val="20"/>
                <w:szCs w:val="20"/>
                <w:lang w:val="en-PH" w:eastAsia="en-PH"/>
              </w:rPr>
            </w:pPr>
            <w:r w:rsidRPr="009E35ED">
              <w:rPr>
                <w:rFonts w:ascii="Arial Narrow" w:hAnsi="Arial Narrow" w:cs="Arial"/>
                <w:color w:val="000000" w:themeColor="text1"/>
                <w:sz w:val="20"/>
                <w:szCs w:val="20"/>
                <w:lang w:val="en-PH" w:eastAsia="en-PH"/>
              </w:rPr>
              <w:t>0.000%</w:t>
            </w:r>
          </w:p>
        </w:tc>
        <w:tc>
          <w:tcPr>
            <w:tcW w:w="1159" w:type="dxa"/>
          </w:tcPr>
          <w:p w14:paraId="1AB04E9B" w14:textId="293E94E2" w:rsidR="00550599" w:rsidRPr="009E35ED" w:rsidRDefault="00550599" w:rsidP="00550599">
            <w:pPr>
              <w:ind w:left="0"/>
              <w:jc w:val="right"/>
              <w:rPr>
                <w:rFonts w:ascii="Arial Narrow" w:hAnsi="Arial Narrow" w:cs="Arial"/>
                <w:color w:val="000000" w:themeColor="text1"/>
                <w:sz w:val="20"/>
                <w:szCs w:val="20"/>
                <w:lang w:val="en-PH" w:eastAsia="en-PH"/>
              </w:rPr>
            </w:pPr>
            <w:r w:rsidRPr="009E35ED">
              <w:rPr>
                <w:rFonts w:ascii="Arial Narrow" w:hAnsi="Arial Narrow" w:cs="Arial"/>
                <w:color w:val="000000" w:themeColor="text1"/>
                <w:sz w:val="20"/>
                <w:szCs w:val="20"/>
                <w:lang w:val="en-PH" w:eastAsia="en-PH"/>
              </w:rPr>
              <w:t>0.0000%</w:t>
            </w:r>
          </w:p>
        </w:tc>
        <w:tc>
          <w:tcPr>
            <w:tcW w:w="1046" w:type="dxa"/>
          </w:tcPr>
          <w:p w14:paraId="4EAF841D" w14:textId="7AE5BBAF" w:rsidR="00550599" w:rsidRPr="009E35ED" w:rsidRDefault="00550599" w:rsidP="00D043CC">
            <w:pPr>
              <w:ind w:left="0"/>
              <w:jc w:val="right"/>
              <w:rPr>
                <w:rFonts w:ascii="Arial Narrow" w:hAnsi="Arial Narrow" w:cs="Arial"/>
                <w:color w:val="000000" w:themeColor="text1"/>
                <w:sz w:val="20"/>
                <w:szCs w:val="20"/>
                <w:lang w:val="en-PH" w:eastAsia="en-PH"/>
              </w:rPr>
            </w:pPr>
            <w:r w:rsidRPr="009E35ED">
              <w:rPr>
                <w:rFonts w:ascii="Arial Narrow" w:hAnsi="Arial Narrow" w:cs="Arial"/>
                <w:color w:val="000000" w:themeColor="text1"/>
                <w:sz w:val="20"/>
                <w:szCs w:val="20"/>
                <w:lang w:val="en-PH" w:eastAsia="en-PH"/>
              </w:rPr>
              <w:t>0.0000%</w:t>
            </w:r>
          </w:p>
        </w:tc>
        <w:tc>
          <w:tcPr>
            <w:tcW w:w="222" w:type="dxa"/>
          </w:tcPr>
          <w:p w14:paraId="2B1B7585" w14:textId="0F1C6085" w:rsidR="00550599" w:rsidRPr="009E35ED" w:rsidRDefault="00550599" w:rsidP="00550599">
            <w:pPr>
              <w:ind w:left="0"/>
              <w:jc w:val="right"/>
              <w:rPr>
                <w:rFonts w:ascii="Arial Narrow" w:hAnsi="Arial Narrow" w:cs="Arial"/>
                <w:color w:val="000000" w:themeColor="text1"/>
                <w:sz w:val="20"/>
                <w:szCs w:val="20"/>
                <w:lang w:val="en-PH" w:eastAsia="en-PH"/>
              </w:rPr>
            </w:pPr>
          </w:p>
        </w:tc>
      </w:tr>
      <w:tr w:rsidR="00997F75" w:rsidRPr="009E35ED" w14:paraId="2C609C95" w14:textId="57782916" w:rsidTr="00D043CC">
        <w:trPr>
          <w:trHeight w:val="297"/>
        </w:trPr>
        <w:tc>
          <w:tcPr>
            <w:tcW w:w="3420" w:type="dxa"/>
            <w:shd w:val="clear" w:color="auto" w:fill="auto"/>
            <w:vAlign w:val="center"/>
            <w:hideMark/>
          </w:tcPr>
          <w:p w14:paraId="356F1376" w14:textId="77777777" w:rsidR="00550599" w:rsidRPr="009E35ED" w:rsidRDefault="00550599" w:rsidP="00550599">
            <w:pPr>
              <w:ind w:left="0" w:firstLineChars="300" w:firstLine="600"/>
              <w:jc w:val="left"/>
              <w:rPr>
                <w:rFonts w:ascii="Arial Narrow" w:hAnsi="Arial Narrow" w:cs="Arial"/>
                <w:color w:val="000000" w:themeColor="text1"/>
                <w:sz w:val="20"/>
                <w:szCs w:val="20"/>
                <w:lang w:val="en-PH" w:eastAsia="en-PH"/>
              </w:rPr>
            </w:pPr>
            <w:r w:rsidRPr="009E35ED">
              <w:rPr>
                <w:rFonts w:ascii="Arial Narrow" w:hAnsi="Arial Narrow" w:cs="Arial"/>
                <w:color w:val="000000" w:themeColor="text1"/>
                <w:sz w:val="20"/>
                <w:szCs w:val="20"/>
                <w:lang w:val="en-PH" w:eastAsia="en-PH"/>
              </w:rPr>
              <w:t>Police Regional Office</w:t>
            </w:r>
          </w:p>
        </w:tc>
        <w:tc>
          <w:tcPr>
            <w:tcW w:w="864" w:type="dxa"/>
            <w:shd w:val="clear" w:color="auto" w:fill="auto"/>
            <w:vAlign w:val="center"/>
            <w:hideMark/>
          </w:tcPr>
          <w:p w14:paraId="7351D4A8" w14:textId="77777777" w:rsidR="00550599" w:rsidRPr="009E35ED" w:rsidRDefault="00550599" w:rsidP="00550599">
            <w:pPr>
              <w:ind w:left="0"/>
              <w:jc w:val="right"/>
              <w:rPr>
                <w:rFonts w:ascii="Arial Narrow" w:hAnsi="Arial Narrow" w:cs="Arial"/>
                <w:color w:val="000000" w:themeColor="text1"/>
                <w:sz w:val="20"/>
                <w:szCs w:val="20"/>
                <w:lang w:val="en-PH" w:eastAsia="en-PH"/>
              </w:rPr>
            </w:pPr>
            <w:r w:rsidRPr="009E35ED">
              <w:rPr>
                <w:rFonts w:ascii="Arial Narrow" w:hAnsi="Arial Narrow" w:cs="Arial"/>
                <w:color w:val="000000" w:themeColor="text1"/>
                <w:sz w:val="20"/>
                <w:szCs w:val="20"/>
                <w:lang w:val="en-PH" w:eastAsia="en-PH"/>
              </w:rPr>
              <w:t>0.40%</w:t>
            </w:r>
          </w:p>
        </w:tc>
        <w:tc>
          <w:tcPr>
            <w:tcW w:w="955" w:type="dxa"/>
            <w:shd w:val="clear" w:color="auto" w:fill="auto"/>
            <w:noWrap/>
            <w:vAlign w:val="center"/>
            <w:hideMark/>
          </w:tcPr>
          <w:p w14:paraId="255829EE" w14:textId="77777777" w:rsidR="00550599" w:rsidRPr="009E35ED" w:rsidRDefault="00550599" w:rsidP="00550599">
            <w:pPr>
              <w:ind w:left="0"/>
              <w:jc w:val="right"/>
              <w:rPr>
                <w:rFonts w:ascii="Arial Narrow" w:hAnsi="Arial Narrow" w:cs="Arial"/>
                <w:color w:val="000000" w:themeColor="text1"/>
                <w:sz w:val="20"/>
                <w:szCs w:val="20"/>
                <w:lang w:val="en-PH" w:eastAsia="en-PH"/>
              </w:rPr>
            </w:pPr>
            <w:r w:rsidRPr="009E35ED">
              <w:rPr>
                <w:rFonts w:ascii="Arial Narrow" w:hAnsi="Arial Narrow" w:cs="Arial"/>
                <w:color w:val="000000" w:themeColor="text1"/>
                <w:sz w:val="20"/>
                <w:szCs w:val="20"/>
                <w:lang w:val="en-PH" w:eastAsia="en-PH"/>
              </w:rPr>
              <w:t>0.000%</w:t>
            </w:r>
          </w:p>
        </w:tc>
        <w:tc>
          <w:tcPr>
            <w:tcW w:w="955" w:type="dxa"/>
            <w:shd w:val="clear" w:color="auto" w:fill="auto"/>
            <w:noWrap/>
            <w:vAlign w:val="center"/>
            <w:hideMark/>
          </w:tcPr>
          <w:p w14:paraId="424D591E" w14:textId="77777777" w:rsidR="00550599" w:rsidRPr="009E35ED" w:rsidRDefault="00550599" w:rsidP="00550599">
            <w:pPr>
              <w:ind w:left="0"/>
              <w:jc w:val="right"/>
              <w:rPr>
                <w:rFonts w:ascii="Arial Narrow" w:hAnsi="Arial Narrow" w:cs="Arial"/>
                <w:color w:val="000000" w:themeColor="text1"/>
                <w:sz w:val="20"/>
                <w:szCs w:val="20"/>
                <w:lang w:val="en-PH" w:eastAsia="en-PH"/>
              </w:rPr>
            </w:pPr>
            <w:r w:rsidRPr="009E35ED">
              <w:rPr>
                <w:rFonts w:ascii="Arial Narrow" w:hAnsi="Arial Narrow" w:cs="Arial"/>
                <w:color w:val="000000" w:themeColor="text1"/>
                <w:sz w:val="20"/>
                <w:szCs w:val="20"/>
                <w:lang w:val="en-PH" w:eastAsia="en-PH"/>
              </w:rPr>
              <w:t>0.000%</w:t>
            </w:r>
          </w:p>
        </w:tc>
        <w:tc>
          <w:tcPr>
            <w:tcW w:w="1159" w:type="dxa"/>
          </w:tcPr>
          <w:p w14:paraId="1F8B439D" w14:textId="75562660" w:rsidR="00550599" w:rsidRPr="009E35ED" w:rsidRDefault="00550599" w:rsidP="00550599">
            <w:pPr>
              <w:ind w:left="0"/>
              <w:jc w:val="right"/>
              <w:rPr>
                <w:rFonts w:ascii="Arial Narrow" w:hAnsi="Arial Narrow" w:cs="Arial"/>
                <w:color w:val="000000" w:themeColor="text1"/>
                <w:sz w:val="20"/>
                <w:szCs w:val="20"/>
                <w:lang w:val="en-PH" w:eastAsia="en-PH"/>
              </w:rPr>
            </w:pPr>
            <w:r w:rsidRPr="009E35ED">
              <w:rPr>
                <w:rFonts w:ascii="Arial Narrow" w:hAnsi="Arial Narrow" w:cs="Arial"/>
                <w:color w:val="000000" w:themeColor="text1"/>
                <w:sz w:val="20"/>
                <w:szCs w:val="20"/>
                <w:lang w:val="en-PH" w:eastAsia="en-PH"/>
              </w:rPr>
              <w:t>0.0000%</w:t>
            </w:r>
          </w:p>
        </w:tc>
        <w:tc>
          <w:tcPr>
            <w:tcW w:w="1046" w:type="dxa"/>
          </w:tcPr>
          <w:p w14:paraId="587026DF" w14:textId="5A5E2AE0" w:rsidR="00550599" w:rsidRPr="009E35ED" w:rsidRDefault="00550599" w:rsidP="00D043CC">
            <w:pPr>
              <w:ind w:left="0"/>
              <w:jc w:val="right"/>
              <w:rPr>
                <w:rFonts w:ascii="Arial Narrow" w:hAnsi="Arial Narrow" w:cs="Arial"/>
                <w:color w:val="000000" w:themeColor="text1"/>
                <w:sz w:val="20"/>
                <w:szCs w:val="20"/>
                <w:lang w:val="en-PH" w:eastAsia="en-PH"/>
              </w:rPr>
            </w:pPr>
            <w:r w:rsidRPr="009E35ED">
              <w:rPr>
                <w:rFonts w:ascii="Arial Narrow" w:hAnsi="Arial Narrow" w:cs="Arial"/>
                <w:color w:val="000000" w:themeColor="text1"/>
                <w:sz w:val="20"/>
                <w:szCs w:val="20"/>
                <w:lang w:val="en-PH" w:eastAsia="en-PH"/>
              </w:rPr>
              <w:t>0.0000%</w:t>
            </w:r>
          </w:p>
        </w:tc>
        <w:tc>
          <w:tcPr>
            <w:tcW w:w="222" w:type="dxa"/>
          </w:tcPr>
          <w:p w14:paraId="37CD0C8E" w14:textId="3E6C3669" w:rsidR="00550599" w:rsidRPr="009E35ED" w:rsidRDefault="00550599" w:rsidP="00550599">
            <w:pPr>
              <w:ind w:left="0"/>
              <w:jc w:val="right"/>
              <w:rPr>
                <w:rFonts w:ascii="Arial Narrow" w:hAnsi="Arial Narrow" w:cs="Arial"/>
                <w:color w:val="000000" w:themeColor="text1"/>
                <w:sz w:val="20"/>
                <w:szCs w:val="20"/>
                <w:lang w:val="en-PH" w:eastAsia="en-PH"/>
              </w:rPr>
            </w:pPr>
          </w:p>
        </w:tc>
      </w:tr>
      <w:tr w:rsidR="00997F75" w:rsidRPr="009E35ED" w14:paraId="680AF095" w14:textId="50677C13" w:rsidTr="00D043CC">
        <w:trPr>
          <w:trHeight w:val="297"/>
        </w:trPr>
        <w:tc>
          <w:tcPr>
            <w:tcW w:w="3420" w:type="dxa"/>
            <w:shd w:val="clear" w:color="auto" w:fill="auto"/>
            <w:vAlign w:val="center"/>
            <w:hideMark/>
          </w:tcPr>
          <w:p w14:paraId="1163BAF3" w14:textId="77777777" w:rsidR="00550599" w:rsidRPr="009E35ED" w:rsidRDefault="00550599" w:rsidP="00550599">
            <w:pPr>
              <w:ind w:left="0" w:firstLineChars="300" w:firstLine="600"/>
              <w:jc w:val="left"/>
              <w:rPr>
                <w:rFonts w:ascii="Arial Narrow" w:hAnsi="Arial Narrow" w:cs="Arial"/>
                <w:color w:val="000000" w:themeColor="text1"/>
                <w:sz w:val="20"/>
                <w:szCs w:val="20"/>
                <w:lang w:val="en-PH" w:eastAsia="en-PH"/>
              </w:rPr>
            </w:pPr>
            <w:r w:rsidRPr="009E35ED">
              <w:rPr>
                <w:rFonts w:ascii="Arial Narrow" w:hAnsi="Arial Narrow" w:cs="Arial"/>
                <w:color w:val="000000" w:themeColor="text1"/>
                <w:sz w:val="20"/>
                <w:szCs w:val="20"/>
                <w:lang w:val="en-PH" w:eastAsia="en-PH"/>
              </w:rPr>
              <w:t>Police Provincial Office</w:t>
            </w:r>
          </w:p>
        </w:tc>
        <w:tc>
          <w:tcPr>
            <w:tcW w:w="864" w:type="dxa"/>
            <w:shd w:val="clear" w:color="auto" w:fill="auto"/>
            <w:vAlign w:val="center"/>
            <w:hideMark/>
          </w:tcPr>
          <w:p w14:paraId="426FBF67" w14:textId="77777777" w:rsidR="00550599" w:rsidRPr="009E35ED" w:rsidRDefault="00550599" w:rsidP="00550599">
            <w:pPr>
              <w:ind w:left="0"/>
              <w:jc w:val="right"/>
              <w:rPr>
                <w:rFonts w:ascii="Arial Narrow" w:hAnsi="Arial Narrow" w:cs="Arial"/>
                <w:color w:val="000000" w:themeColor="text1"/>
                <w:sz w:val="20"/>
                <w:szCs w:val="20"/>
                <w:lang w:val="en-PH" w:eastAsia="en-PH"/>
              </w:rPr>
            </w:pPr>
            <w:r w:rsidRPr="009E35ED">
              <w:rPr>
                <w:rFonts w:ascii="Arial Narrow" w:hAnsi="Arial Narrow" w:cs="Arial"/>
                <w:color w:val="000000" w:themeColor="text1"/>
                <w:sz w:val="20"/>
                <w:szCs w:val="20"/>
                <w:lang w:val="en-PH" w:eastAsia="en-PH"/>
              </w:rPr>
              <w:t>0.50%</w:t>
            </w:r>
          </w:p>
        </w:tc>
        <w:tc>
          <w:tcPr>
            <w:tcW w:w="955" w:type="dxa"/>
            <w:shd w:val="clear" w:color="auto" w:fill="auto"/>
            <w:noWrap/>
            <w:vAlign w:val="center"/>
            <w:hideMark/>
          </w:tcPr>
          <w:p w14:paraId="540EAC55" w14:textId="77777777" w:rsidR="00550599" w:rsidRPr="009E35ED" w:rsidRDefault="00550599" w:rsidP="00550599">
            <w:pPr>
              <w:ind w:left="0"/>
              <w:jc w:val="right"/>
              <w:rPr>
                <w:rFonts w:ascii="Arial Narrow" w:hAnsi="Arial Narrow" w:cs="Arial"/>
                <w:color w:val="000000" w:themeColor="text1"/>
                <w:sz w:val="20"/>
                <w:szCs w:val="20"/>
                <w:lang w:val="en-PH" w:eastAsia="en-PH"/>
              </w:rPr>
            </w:pPr>
            <w:r w:rsidRPr="009E35ED">
              <w:rPr>
                <w:rFonts w:ascii="Arial Narrow" w:hAnsi="Arial Narrow" w:cs="Arial"/>
                <w:color w:val="000000" w:themeColor="text1"/>
                <w:sz w:val="20"/>
                <w:szCs w:val="20"/>
                <w:lang w:val="en-PH" w:eastAsia="en-PH"/>
              </w:rPr>
              <w:t>0.000%</w:t>
            </w:r>
          </w:p>
        </w:tc>
        <w:tc>
          <w:tcPr>
            <w:tcW w:w="955" w:type="dxa"/>
            <w:shd w:val="clear" w:color="auto" w:fill="auto"/>
            <w:noWrap/>
            <w:vAlign w:val="center"/>
            <w:hideMark/>
          </w:tcPr>
          <w:p w14:paraId="51F61185" w14:textId="77777777" w:rsidR="00550599" w:rsidRPr="009E35ED" w:rsidRDefault="00550599" w:rsidP="00550599">
            <w:pPr>
              <w:ind w:left="0"/>
              <w:jc w:val="right"/>
              <w:rPr>
                <w:rFonts w:ascii="Arial Narrow" w:hAnsi="Arial Narrow" w:cs="Arial"/>
                <w:color w:val="000000" w:themeColor="text1"/>
                <w:sz w:val="20"/>
                <w:szCs w:val="20"/>
                <w:lang w:val="en-PH" w:eastAsia="en-PH"/>
              </w:rPr>
            </w:pPr>
            <w:r w:rsidRPr="009E35ED">
              <w:rPr>
                <w:rFonts w:ascii="Arial Narrow" w:hAnsi="Arial Narrow" w:cs="Arial"/>
                <w:color w:val="000000" w:themeColor="text1"/>
                <w:sz w:val="20"/>
                <w:szCs w:val="20"/>
                <w:lang w:val="en-PH" w:eastAsia="en-PH"/>
              </w:rPr>
              <w:t>0.000%</w:t>
            </w:r>
          </w:p>
        </w:tc>
        <w:tc>
          <w:tcPr>
            <w:tcW w:w="1159" w:type="dxa"/>
          </w:tcPr>
          <w:p w14:paraId="69D0DEF7" w14:textId="4AF0E500" w:rsidR="00550599" w:rsidRPr="009E35ED" w:rsidRDefault="00550599" w:rsidP="00550599">
            <w:pPr>
              <w:ind w:left="0"/>
              <w:jc w:val="right"/>
              <w:rPr>
                <w:rFonts w:ascii="Arial Narrow" w:hAnsi="Arial Narrow" w:cs="Arial"/>
                <w:color w:val="000000" w:themeColor="text1"/>
                <w:sz w:val="20"/>
                <w:szCs w:val="20"/>
                <w:lang w:val="en-PH" w:eastAsia="en-PH"/>
              </w:rPr>
            </w:pPr>
            <w:r w:rsidRPr="009E35ED">
              <w:rPr>
                <w:rFonts w:ascii="Arial Narrow" w:hAnsi="Arial Narrow" w:cs="Arial"/>
                <w:color w:val="000000" w:themeColor="text1"/>
                <w:sz w:val="20"/>
                <w:szCs w:val="20"/>
                <w:lang w:val="en-PH" w:eastAsia="en-PH"/>
              </w:rPr>
              <w:t>0.0000%</w:t>
            </w:r>
          </w:p>
        </w:tc>
        <w:tc>
          <w:tcPr>
            <w:tcW w:w="1046" w:type="dxa"/>
          </w:tcPr>
          <w:p w14:paraId="6F3006DD" w14:textId="699FA86B" w:rsidR="00550599" w:rsidRPr="009E35ED" w:rsidRDefault="00550599" w:rsidP="00D043CC">
            <w:pPr>
              <w:ind w:left="0"/>
              <w:jc w:val="right"/>
              <w:rPr>
                <w:rFonts w:ascii="Arial Narrow" w:hAnsi="Arial Narrow" w:cs="Arial"/>
                <w:color w:val="000000" w:themeColor="text1"/>
                <w:sz w:val="20"/>
                <w:szCs w:val="20"/>
                <w:lang w:val="en-PH" w:eastAsia="en-PH"/>
              </w:rPr>
            </w:pPr>
            <w:r w:rsidRPr="009E35ED">
              <w:rPr>
                <w:rFonts w:ascii="Arial Narrow" w:hAnsi="Arial Narrow" w:cs="Arial"/>
                <w:color w:val="000000" w:themeColor="text1"/>
                <w:sz w:val="20"/>
                <w:szCs w:val="20"/>
                <w:lang w:val="en-PH" w:eastAsia="en-PH"/>
              </w:rPr>
              <w:t>0.0000%</w:t>
            </w:r>
          </w:p>
        </w:tc>
        <w:tc>
          <w:tcPr>
            <w:tcW w:w="222" w:type="dxa"/>
          </w:tcPr>
          <w:p w14:paraId="2D0FD299" w14:textId="619012D9" w:rsidR="00550599" w:rsidRPr="009E35ED" w:rsidRDefault="00550599" w:rsidP="00550599">
            <w:pPr>
              <w:ind w:left="0"/>
              <w:jc w:val="right"/>
              <w:rPr>
                <w:rFonts w:ascii="Arial Narrow" w:hAnsi="Arial Narrow" w:cs="Arial"/>
                <w:color w:val="000000" w:themeColor="text1"/>
                <w:sz w:val="20"/>
                <w:szCs w:val="20"/>
                <w:lang w:val="en-PH" w:eastAsia="en-PH"/>
              </w:rPr>
            </w:pPr>
          </w:p>
        </w:tc>
      </w:tr>
      <w:tr w:rsidR="00997F75" w:rsidRPr="009E35ED" w14:paraId="608DF0E9" w14:textId="530F0E6C" w:rsidTr="00D043CC">
        <w:trPr>
          <w:trHeight w:val="297"/>
        </w:trPr>
        <w:tc>
          <w:tcPr>
            <w:tcW w:w="3420" w:type="dxa"/>
            <w:shd w:val="clear" w:color="auto" w:fill="auto"/>
            <w:vAlign w:val="center"/>
            <w:hideMark/>
          </w:tcPr>
          <w:p w14:paraId="06BC7919" w14:textId="77777777" w:rsidR="00550599" w:rsidRPr="009E35ED" w:rsidRDefault="00550599" w:rsidP="00550599">
            <w:pPr>
              <w:ind w:left="0" w:firstLineChars="300" w:firstLine="600"/>
              <w:jc w:val="left"/>
              <w:rPr>
                <w:rFonts w:ascii="Arial Narrow" w:hAnsi="Arial Narrow" w:cs="Arial"/>
                <w:color w:val="000000" w:themeColor="text1"/>
                <w:sz w:val="20"/>
                <w:szCs w:val="20"/>
                <w:lang w:val="en-PH" w:eastAsia="en-PH"/>
              </w:rPr>
            </w:pPr>
            <w:r w:rsidRPr="009E35ED">
              <w:rPr>
                <w:rFonts w:ascii="Arial Narrow" w:hAnsi="Arial Narrow" w:cs="Arial"/>
                <w:color w:val="000000" w:themeColor="text1"/>
                <w:sz w:val="20"/>
                <w:szCs w:val="20"/>
                <w:lang w:val="en-PH" w:eastAsia="en-PH"/>
              </w:rPr>
              <w:t>Local Police Station</w:t>
            </w:r>
          </w:p>
        </w:tc>
        <w:tc>
          <w:tcPr>
            <w:tcW w:w="864" w:type="dxa"/>
            <w:shd w:val="clear" w:color="auto" w:fill="auto"/>
            <w:vAlign w:val="center"/>
            <w:hideMark/>
          </w:tcPr>
          <w:p w14:paraId="445C59BE" w14:textId="77777777" w:rsidR="00550599" w:rsidRPr="009E35ED" w:rsidRDefault="00550599" w:rsidP="00550599">
            <w:pPr>
              <w:ind w:left="0"/>
              <w:jc w:val="right"/>
              <w:rPr>
                <w:rFonts w:ascii="Arial Narrow" w:hAnsi="Arial Narrow" w:cs="Arial"/>
                <w:color w:val="000000" w:themeColor="text1"/>
                <w:sz w:val="20"/>
                <w:szCs w:val="20"/>
                <w:lang w:val="en-PH" w:eastAsia="en-PH"/>
              </w:rPr>
            </w:pPr>
            <w:r w:rsidRPr="009E35ED">
              <w:rPr>
                <w:rFonts w:ascii="Arial Narrow" w:hAnsi="Arial Narrow" w:cs="Arial"/>
                <w:color w:val="000000" w:themeColor="text1"/>
                <w:sz w:val="20"/>
                <w:szCs w:val="20"/>
                <w:lang w:val="en-PH" w:eastAsia="en-PH"/>
              </w:rPr>
              <w:t>0.70%</w:t>
            </w:r>
          </w:p>
        </w:tc>
        <w:tc>
          <w:tcPr>
            <w:tcW w:w="955" w:type="dxa"/>
            <w:shd w:val="clear" w:color="auto" w:fill="auto"/>
            <w:noWrap/>
            <w:vAlign w:val="center"/>
            <w:hideMark/>
          </w:tcPr>
          <w:p w14:paraId="25EBAFBB" w14:textId="77777777" w:rsidR="00550599" w:rsidRPr="009E35ED" w:rsidRDefault="00550599" w:rsidP="00550599">
            <w:pPr>
              <w:ind w:left="0"/>
              <w:jc w:val="right"/>
              <w:rPr>
                <w:rFonts w:ascii="Arial Narrow" w:hAnsi="Arial Narrow" w:cs="Arial"/>
                <w:color w:val="000000" w:themeColor="text1"/>
                <w:sz w:val="20"/>
                <w:szCs w:val="20"/>
                <w:lang w:val="en-PH" w:eastAsia="en-PH"/>
              </w:rPr>
            </w:pPr>
            <w:r w:rsidRPr="009E35ED">
              <w:rPr>
                <w:rFonts w:ascii="Arial Narrow" w:hAnsi="Arial Narrow" w:cs="Arial"/>
                <w:color w:val="000000" w:themeColor="text1"/>
                <w:sz w:val="20"/>
                <w:szCs w:val="20"/>
                <w:lang w:val="en-PH" w:eastAsia="en-PH"/>
              </w:rPr>
              <w:t>0.000%</w:t>
            </w:r>
          </w:p>
        </w:tc>
        <w:tc>
          <w:tcPr>
            <w:tcW w:w="955" w:type="dxa"/>
            <w:shd w:val="clear" w:color="auto" w:fill="auto"/>
            <w:noWrap/>
            <w:vAlign w:val="center"/>
            <w:hideMark/>
          </w:tcPr>
          <w:p w14:paraId="5DC16D60" w14:textId="77777777" w:rsidR="00550599" w:rsidRPr="009E35ED" w:rsidRDefault="00550599" w:rsidP="00550599">
            <w:pPr>
              <w:ind w:left="0"/>
              <w:jc w:val="right"/>
              <w:rPr>
                <w:rFonts w:ascii="Arial Narrow" w:hAnsi="Arial Narrow" w:cs="Arial"/>
                <w:color w:val="000000" w:themeColor="text1"/>
                <w:sz w:val="20"/>
                <w:szCs w:val="20"/>
                <w:lang w:val="en-PH" w:eastAsia="en-PH"/>
              </w:rPr>
            </w:pPr>
            <w:r w:rsidRPr="009E35ED">
              <w:rPr>
                <w:rFonts w:ascii="Arial Narrow" w:hAnsi="Arial Narrow" w:cs="Arial"/>
                <w:color w:val="000000" w:themeColor="text1"/>
                <w:sz w:val="20"/>
                <w:szCs w:val="20"/>
                <w:lang w:val="en-PH" w:eastAsia="en-PH"/>
              </w:rPr>
              <w:t>0.000%</w:t>
            </w:r>
          </w:p>
        </w:tc>
        <w:tc>
          <w:tcPr>
            <w:tcW w:w="1159" w:type="dxa"/>
          </w:tcPr>
          <w:p w14:paraId="53338D30" w14:textId="090372A7" w:rsidR="00550599" w:rsidRPr="009E35ED" w:rsidRDefault="00550599" w:rsidP="00550599">
            <w:pPr>
              <w:ind w:left="0"/>
              <w:jc w:val="right"/>
              <w:rPr>
                <w:rFonts w:ascii="Arial Narrow" w:hAnsi="Arial Narrow" w:cs="Arial"/>
                <w:color w:val="000000" w:themeColor="text1"/>
                <w:sz w:val="20"/>
                <w:szCs w:val="20"/>
                <w:lang w:val="en-PH" w:eastAsia="en-PH"/>
              </w:rPr>
            </w:pPr>
            <w:r w:rsidRPr="009E35ED">
              <w:rPr>
                <w:rFonts w:ascii="Arial Narrow" w:hAnsi="Arial Narrow" w:cs="Arial"/>
                <w:color w:val="000000" w:themeColor="text1"/>
                <w:sz w:val="20"/>
                <w:szCs w:val="20"/>
                <w:lang w:val="en-PH" w:eastAsia="en-PH"/>
              </w:rPr>
              <w:t>0.0000%</w:t>
            </w:r>
          </w:p>
        </w:tc>
        <w:tc>
          <w:tcPr>
            <w:tcW w:w="1046" w:type="dxa"/>
          </w:tcPr>
          <w:p w14:paraId="0E65E9F0" w14:textId="2D0CF0EE" w:rsidR="00550599" w:rsidRPr="009E35ED" w:rsidRDefault="00550599" w:rsidP="00D043CC">
            <w:pPr>
              <w:ind w:left="0"/>
              <w:jc w:val="right"/>
              <w:rPr>
                <w:rFonts w:ascii="Arial Narrow" w:hAnsi="Arial Narrow" w:cs="Arial"/>
                <w:color w:val="000000" w:themeColor="text1"/>
                <w:sz w:val="20"/>
                <w:szCs w:val="20"/>
                <w:lang w:val="en-PH" w:eastAsia="en-PH"/>
              </w:rPr>
            </w:pPr>
            <w:r w:rsidRPr="009E35ED">
              <w:rPr>
                <w:rFonts w:ascii="Arial Narrow" w:hAnsi="Arial Narrow" w:cs="Arial"/>
                <w:color w:val="000000" w:themeColor="text1"/>
                <w:sz w:val="20"/>
                <w:szCs w:val="20"/>
                <w:lang w:val="en-PH" w:eastAsia="en-PH"/>
              </w:rPr>
              <w:t>0.0000%</w:t>
            </w:r>
          </w:p>
        </w:tc>
        <w:tc>
          <w:tcPr>
            <w:tcW w:w="222" w:type="dxa"/>
          </w:tcPr>
          <w:p w14:paraId="03A93315" w14:textId="20844C0A" w:rsidR="00550599" w:rsidRPr="009E35ED" w:rsidRDefault="00550599" w:rsidP="00550599">
            <w:pPr>
              <w:ind w:left="0"/>
              <w:jc w:val="right"/>
              <w:rPr>
                <w:rFonts w:ascii="Arial Narrow" w:hAnsi="Arial Narrow" w:cs="Arial"/>
                <w:color w:val="000000" w:themeColor="text1"/>
                <w:sz w:val="20"/>
                <w:szCs w:val="20"/>
                <w:lang w:val="en-PH" w:eastAsia="en-PH"/>
              </w:rPr>
            </w:pPr>
          </w:p>
        </w:tc>
      </w:tr>
      <w:tr w:rsidR="00997F75" w:rsidRPr="009E35ED" w14:paraId="5B820D88" w14:textId="0D196B0C" w:rsidTr="00D043CC">
        <w:trPr>
          <w:trHeight w:val="297"/>
        </w:trPr>
        <w:tc>
          <w:tcPr>
            <w:tcW w:w="3420" w:type="dxa"/>
            <w:shd w:val="clear" w:color="auto" w:fill="auto"/>
            <w:vAlign w:val="center"/>
            <w:hideMark/>
          </w:tcPr>
          <w:p w14:paraId="40601035" w14:textId="77777777" w:rsidR="00550599" w:rsidRPr="009E35ED" w:rsidRDefault="00550599" w:rsidP="00550599">
            <w:pPr>
              <w:ind w:left="0" w:firstLineChars="300" w:firstLine="600"/>
              <w:jc w:val="left"/>
              <w:rPr>
                <w:rFonts w:ascii="Arial Narrow" w:hAnsi="Arial Narrow" w:cs="Arial"/>
                <w:color w:val="000000" w:themeColor="text1"/>
                <w:sz w:val="20"/>
                <w:szCs w:val="20"/>
                <w:lang w:val="en-PH" w:eastAsia="en-PH"/>
              </w:rPr>
            </w:pPr>
            <w:r w:rsidRPr="009E35ED">
              <w:rPr>
                <w:rFonts w:ascii="Arial Narrow" w:hAnsi="Arial Narrow" w:cs="Arial"/>
                <w:color w:val="000000" w:themeColor="text1"/>
                <w:sz w:val="20"/>
                <w:szCs w:val="20"/>
                <w:lang w:val="en-PH" w:eastAsia="en-PH"/>
              </w:rPr>
              <w:t>CIDG-National</w:t>
            </w:r>
          </w:p>
        </w:tc>
        <w:tc>
          <w:tcPr>
            <w:tcW w:w="864" w:type="dxa"/>
            <w:shd w:val="clear" w:color="auto" w:fill="auto"/>
            <w:vAlign w:val="center"/>
            <w:hideMark/>
          </w:tcPr>
          <w:p w14:paraId="4C00129C" w14:textId="77777777" w:rsidR="00550599" w:rsidRPr="009E35ED" w:rsidRDefault="00550599" w:rsidP="00550599">
            <w:pPr>
              <w:ind w:left="0"/>
              <w:jc w:val="right"/>
              <w:rPr>
                <w:rFonts w:ascii="Arial Narrow" w:hAnsi="Arial Narrow" w:cs="Arial"/>
                <w:color w:val="000000" w:themeColor="text1"/>
                <w:sz w:val="20"/>
                <w:szCs w:val="20"/>
                <w:lang w:val="en-PH" w:eastAsia="en-PH"/>
              </w:rPr>
            </w:pPr>
            <w:r w:rsidRPr="009E35ED">
              <w:rPr>
                <w:rFonts w:ascii="Arial Narrow" w:hAnsi="Arial Narrow" w:cs="Arial"/>
                <w:color w:val="000000" w:themeColor="text1"/>
                <w:sz w:val="20"/>
                <w:szCs w:val="20"/>
                <w:lang w:val="en-PH" w:eastAsia="en-PH"/>
              </w:rPr>
              <w:t>0.20%</w:t>
            </w:r>
          </w:p>
        </w:tc>
        <w:tc>
          <w:tcPr>
            <w:tcW w:w="955" w:type="dxa"/>
            <w:shd w:val="clear" w:color="auto" w:fill="auto"/>
            <w:noWrap/>
            <w:vAlign w:val="center"/>
            <w:hideMark/>
          </w:tcPr>
          <w:p w14:paraId="39D6CEED" w14:textId="77777777" w:rsidR="00550599" w:rsidRPr="009E35ED" w:rsidRDefault="00550599" w:rsidP="00550599">
            <w:pPr>
              <w:ind w:left="0"/>
              <w:jc w:val="right"/>
              <w:rPr>
                <w:rFonts w:ascii="Arial Narrow" w:hAnsi="Arial Narrow" w:cs="Arial"/>
                <w:color w:val="000000" w:themeColor="text1"/>
                <w:sz w:val="20"/>
                <w:szCs w:val="20"/>
                <w:lang w:val="en-PH" w:eastAsia="en-PH"/>
              </w:rPr>
            </w:pPr>
            <w:r w:rsidRPr="009E35ED">
              <w:rPr>
                <w:rFonts w:ascii="Arial Narrow" w:hAnsi="Arial Narrow" w:cs="Arial"/>
                <w:color w:val="000000" w:themeColor="text1"/>
                <w:sz w:val="20"/>
                <w:szCs w:val="20"/>
                <w:lang w:val="en-PH" w:eastAsia="en-PH"/>
              </w:rPr>
              <w:t>0.000%</w:t>
            </w:r>
          </w:p>
        </w:tc>
        <w:tc>
          <w:tcPr>
            <w:tcW w:w="955" w:type="dxa"/>
            <w:shd w:val="clear" w:color="auto" w:fill="auto"/>
            <w:noWrap/>
            <w:vAlign w:val="center"/>
            <w:hideMark/>
          </w:tcPr>
          <w:p w14:paraId="00CD354A" w14:textId="77777777" w:rsidR="00550599" w:rsidRPr="009E35ED" w:rsidRDefault="00550599" w:rsidP="00550599">
            <w:pPr>
              <w:ind w:left="0"/>
              <w:jc w:val="right"/>
              <w:rPr>
                <w:rFonts w:ascii="Arial Narrow" w:hAnsi="Arial Narrow" w:cs="Arial"/>
                <w:color w:val="000000" w:themeColor="text1"/>
                <w:sz w:val="20"/>
                <w:szCs w:val="20"/>
                <w:lang w:val="en-PH" w:eastAsia="en-PH"/>
              </w:rPr>
            </w:pPr>
            <w:r w:rsidRPr="009E35ED">
              <w:rPr>
                <w:rFonts w:ascii="Arial Narrow" w:hAnsi="Arial Narrow" w:cs="Arial"/>
                <w:color w:val="000000" w:themeColor="text1"/>
                <w:sz w:val="20"/>
                <w:szCs w:val="20"/>
                <w:lang w:val="en-PH" w:eastAsia="en-PH"/>
              </w:rPr>
              <w:t>0.000%</w:t>
            </w:r>
          </w:p>
        </w:tc>
        <w:tc>
          <w:tcPr>
            <w:tcW w:w="1159" w:type="dxa"/>
          </w:tcPr>
          <w:p w14:paraId="7EF07C58" w14:textId="31027775" w:rsidR="00550599" w:rsidRPr="009E35ED" w:rsidRDefault="00550599" w:rsidP="00550599">
            <w:pPr>
              <w:ind w:left="0"/>
              <w:jc w:val="right"/>
              <w:rPr>
                <w:rFonts w:ascii="Arial Narrow" w:hAnsi="Arial Narrow" w:cs="Arial"/>
                <w:color w:val="000000" w:themeColor="text1"/>
                <w:sz w:val="20"/>
                <w:szCs w:val="20"/>
                <w:lang w:val="en-PH" w:eastAsia="en-PH"/>
              </w:rPr>
            </w:pPr>
            <w:r w:rsidRPr="009E35ED">
              <w:rPr>
                <w:rFonts w:ascii="Arial Narrow" w:hAnsi="Arial Narrow" w:cs="Arial"/>
                <w:color w:val="000000" w:themeColor="text1"/>
                <w:sz w:val="20"/>
                <w:szCs w:val="20"/>
                <w:lang w:val="en-PH" w:eastAsia="en-PH"/>
              </w:rPr>
              <w:t>0.0000%</w:t>
            </w:r>
          </w:p>
        </w:tc>
        <w:tc>
          <w:tcPr>
            <w:tcW w:w="1046" w:type="dxa"/>
          </w:tcPr>
          <w:p w14:paraId="1607EAB8" w14:textId="6483AF0E" w:rsidR="00550599" w:rsidRPr="009E35ED" w:rsidRDefault="00550599" w:rsidP="00D043CC">
            <w:pPr>
              <w:ind w:left="0"/>
              <w:jc w:val="right"/>
              <w:rPr>
                <w:rFonts w:ascii="Arial Narrow" w:hAnsi="Arial Narrow" w:cs="Arial"/>
                <w:color w:val="000000" w:themeColor="text1"/>
                <w:sz w:val="20"/>
                <w:szCs w:val="20"/>
                <w:lang w:val="en-PH" w:eastAsia="en-PH"/>
              </w:rPr>
            </w:pPr>
            <w:r w:rsidRPr="009E35ED">
              <w:rPr>
                <w:rFonts w:ascii="Arial Narrow" w:hAnsi="Arial Narrow" w:cs="Arial"/>
                <w:color w:val="000000" w:themeColor="text1"/>
                <w:sz w:val="20"/>
                <w:szCs w:val="20"/>
                <w:lang w:val="en-PH" w:eastAsia="en-PH"/>
              </w:rPr>
              <w:t>0.0000%</w:t>
            </w:r>
          </w:p>
        </w:tc>
        <w:tc>
          <w:tcPr>
            <w:tcW w:w="222" w:type="dxa"/>
          </w:tcPr>
          <w:p w14:paraId="232C6A9A" w14:textId="76CC488B" w:rsidR="00550599" w:rsidRPr="009E35ED" w:rsidRDefault="00550599" w:rsidP="00550599">
            <w:pPr>
              <w:ind w:left="0"/>
              <w:jc w:val="right"/>
              <w:rPr>
                <w:rFonts w:ascii="Arial Narrow" w:hAnsi="Arial Narrow" w:cs="Arial"/>
                <w:color w:val="000000" w:themeColor="text1"/>
                <w:sz w:val="20"/>
                <w:szCs w:val="20"/>
                <w:lang w:val="en-PH" w:eastAsia="en-PH"/>
              </w:rPr>
            </w:pPr>
          </w:p>
        </w:tc>
      </w:tr>
      <w:tr w:rsidR="00997F75" w:rsidRPr="009E35ED" w14:paraId="2A9417CB" w14:textId="7A02551B" w:rsidTr="00D043CC">
        <w:trPr>
          <w:trHeight w:val="297"/>
        </w:trPr>
        <w:tc>
          <w:tcPr>
            <w:tcW w:w="3420" w:type="dxa"/>
            <w:shd w:val="clear" w:color="auto" w:fill="auto"/>
            <w:vAlign w:val="center"/>
            <w:hideMark/>
          </w:tcPr>
          <w:p w14:paraId="274DF659" w14:textId="77777777" w:rsidR="00550599" w:rsidRPr="009E35ED" w:rsidRDefault="00550599" w:rsidP="00550599">
            <w:pPr>
              <w:ind w:left="0" w:firstLineChars="300" w:firstLine="600"/>
              <w:jc w:val="left"/>
              <w:rPr>
                <w:rFonts w:ascii="Arial Narrow" w:hAnsi="Arial Narrow" w:cs="Arial"/>
                <w:color w:val="000000" w:themeColor="text1"/>
                <w:sz w:val="20"/>
                <w:szCs w:val="20"/>
                <w:lang w:val="en-PH" w:eastAsia="en-PH"/>
              </w:rPr>
            </w:pPr>
            <w:r w:rsidRPr="009E35ED">
              <w:rPr>
                <w:rFonts w:ascii="Arial Narrow" w:hAnsi="Arial Narrow" w:cs="Arial"/>
                <w:color w:val="000000" w:themeColor="text1"/>
                <w:sz w:val="20"/>
                <w:szCs w:val="20"/>
                <w:lang w:val="en-PH" w:eastAsia="en-PH"/>
              </w:rPr>
              <w:t>CIDG-Regional</w:t>
            </w:r>
          </w:p>
        </w:tc>
        <w:tc>
          <w:tcPr>
            <w:tcW w:w="864" w:type="dxa"/>
            <w:shd w:val="clear" w:color="auto" w:fill="auto"/>
            <w:vAlign w:val="center"/>
            <w:hideMark/>
          </w:tcPr>
          <w:p w14:paraId="55D74C3A" w14:textId="77777777" w:rsidR="00550599" w:rsidRPr="009E35ED" w:rsidRDefault="00550599" w:rsidP="00550599">
            <w:pPr>
              <w:ind w:left="0"/>
              <w:jc w:val="right"/>
              <w:rPr>
                <w:rFonts w:ascii="Arial Narrow" w:hAnsi="Arial Narrow" w:cs="Arial"/>
                <w:color w:val="000000" w:themeColor="text1"/>
                <w:sz w:val="20"/>
                <w:szCs w:val="20"/>
                <w:lang w:val="en-PH" w:eastAsia="en-PH"/>
              </w:rPr>
            </w:pPr>
            <w:r w:rsidRPr="009E35ED">
              <w:rPr>
                <w:rFonts w:ascii="Arial Narrow" w:hAnsi="Arial Narrow" w:cs="Arial"/>
                <w:color w:val="000000" w:themeColor="text1"/>
                <w:sz w:val="20"/>
                <w:szCs w:val="20"/>
                <w:lang w:val="en-PH" w:eastAsia="en-PH"/>
              </w:rPr>
              <w:t>0.20%</w:t>
            </w:r>
          </w:p>
        </w:tc>
        <w:tc>
          <w:tcPr>
            <w:tcW w:w="955" w:type="dxa"/>
            <w:shd w:val="clear" w:color="auto" w:fill="auto"/>
            <w:noWrap/>
            <w:vAlign w:val="center"/>
            <w:hideMark/>
          </w:tcPr>
          <w:p w14:paraId="3F9433F2" w14:textId="77777777" w:rsidR="00550599" w:rsidRPr="009E35ED" w:rsidRDefault="00550599" w:rsidP="00550599">
            <w:pPr>
              <w:ind w:left="0"/>
              <w:jc w:val="right"/>
              <w:rPr>
                <w:rFonts w:ascii="Arial Narrow" w:hAnsi="Arial Narrow" w:cs="Arial"/>
                <w:color w:val="000000" w:themeColor="text1"/>
                <w:sz w:val="20"/>
                <w:szCs w:val="20"/>
                <w:lang w:val="en-PH" w:eastAsia="en-PH"/>
              </w:rPr>
            </w:pPr>
            <w:r w:rsidRPr="009E35ED">
              <w:rPr>
                <w:rFonts w:ascii="Arial Narrow" w:hAnsi="Arial Narrow" w:cs="Arial"/>
                <w:color w:val="000000" w:themeColor="text1"/>
                <w:sz w:val="20"/>
                <w:szCs w:val="20"/>
                <w:lang w:val="en-PH" w:eastAsia="en-PH"/>
              </w:rPr>
              <w:t>0.000%</w:t>
            </w:r>
          </w:p>
        </w:tc>
        <w:tc>
          <w:tcPr>
            <w:tcW w:w="955" w:type="dxa"/>
            <w:shd w:val="clear" w:color="auto" w:fill="auto"/>
            <w:noWrap/>
            <w:vAlign w:val="center"/>
            <w:hideMark/>
          </w:tcPr>
          <w:p w14:paraId="3399B3D1" w14:textId="77777777" w:rsidR="00550599" w:rsidRPr="009E35ED" w:rsidRDefault="00550599" w:rsidP="00550599">
            <w:pPr>
              <w:ind w:left="0"/>
              <w:jc w:val="right"/>
              <w:rPr>
                <w:rFonts w:ascii="Arial Narrow" w:hAnsi="Arial Narrow" w:cs="Arial"/>
                <w:color w:val="000000" w:themeColor="text1"/>
                <w:sz w:val="20"/>
                <w:szCs w:val="20"/>
                <w:lang w:val="en-PH" w:eastAsia="en-PH"/>
              </w:rPr>
            </w:pPr>
            <w:r w:rsidRPr="009E35ED">
              <w:rPr>
                <w:rFonts w:ascii="Arial Narrow" w:hAnsi="Arial Narrow" w:cs="Arial"/>
                <w:color w:val="000000" w:themeColor="text1"/>
                <w:sz w:val="20"/>
                <w:szCs w:val="20"/>
                <w:lang w:val="en-PH" w:eastAsia="en-PH"/>
              </w:rPr>
              <w:t>0.000%</w:t>
            </w:r>
          </w:p>
        </w:tc>
        <w:tc>
          <w:tcPr>
            <w:tcW w:w="1159" w:type="dxa"/>
          </w:tcPr>
          <w:p w14:paraId="0F314B76" w14:textId="459FDE5E" w:rsidR="00550599" w:rsidRPr="009E35ED" w:rsidRDefault="00550599" w:rsidP="00550599">
            <w:pPr>
              <w:ind w:left="0"/>
              <w:jc w:val="right"/>
              <w:rPr>
                <w:rFonts w:ascii="Arial Narrow" w:hAnsi="Arial Narrow" w:cs="Arial"/>
                <w:color w:val="000000" w:themeColor="text1"/>
                <w:sz w:val="20"/>
                <w:szCs w:val="20"/>
                <w:lang w:val="en-PH" w:eastAsia="en-PH"/>
              </w:rPr>
            </w:pPr>
            <w:r w:rsidRPr="009E35ED">
              <w:rPr>
                <w:rFonts w:ascii="Arial Narrow" w:hAnsi="Arial Narrow" w:cs="Arial"/>
                <w:color w:val="000000" w:themeColor="text1"/>
                <w:sz w:val="20"/>
                <w:szCs w:val="20"/>
                <w:lang w:val="en-PH" w:eastAsia="en-PH"/>
              </w:rPr>
              <w:t>0.0000%</w:t>
            </w:r>
          </w:p>
        </w:tc>
        <w:tc>
          <w:tcPr>
            <w:tcW w:w="1046" w:type="dxa"/>
          </w:tcPr>
          <w:p w14:paraId="2E36B688" w14:textId="2ADF88B3" w:rsidR="00550599" w:rsidRPr="009E35ED" w:rsidRDefault="00550599" w:rsidP="00D043CC">
            <w:pPr>
              <w:ind w:left="0"/>
              <w:jc w:val="right"/>
              <w:rPr>
                <w:rFonts w:ascii="Arial Narrow" w:hAnsi="Arial Narrow" w:cs="Arial"/>
                <w:color w:val="000000" w:themeColor="text1"/>
                <w:sz w:val="20"/>
                <w:szCs w:val="20"/>
                <w:lang w:val="en-PH" w:eastAsia="en-PH"/>
              </w:rPr>
            </w:pPr>
            <w:r w:rsidRPr="009E35ED">
              <w:rPr>
                <w:rFonts w:ascii="Arial Narrow" w:hAnsi="Arial Narrow" w:cs="Arial"/>
                <w:color w:val="000000" w:themeColor="text1"/>
                <w:sz w:val="20"/>
                <w:szCs w:val="20"/>
                <w:lang w:val="en-PH" w:eastAsia="en-PH"/>
              </w:rPr>
              <w:t>0.0000%</w:t>
            </w:r>
          </w:p>
        </w:tc>
        <w:tc>
          <w:tcPr>
            <w:tcW w:w="222" w:type="dxa"/>
          </w:tcPr>
          <w:p w14:paraId="4687F1BB" w14:textId="48C44FD0" w:rsidR="00550599" w:rsidRPr="009E35ED" w:rsidRDefault="00550599" w:rsidP="00550599">
            <w:pPr>
              <w:ind w:left="0"/>
              <w:jc w:val="right"/>
              <w:rPr>
                <w:rFonts w:ascii="Arial Narrow" w:hAnsi="Arial Narrow" w:cs="Arial"/>
                <w:color w:val="000000" w:themeColor="text1"/>
                <w:sz w:val="20"/>
                <w:szCs w:val="20"/>
                <w:lang w:val="en-PH" w:eastAsia="en-PH"/>
              </w:rPr>
            </w:pPr>
          </w:p>
        </w:tc>
      </w:tr>
      <w:tr w:rsidR="00997F75" w:rsidRPr="009E35ED" w14:paraId="5F94EA78" w14:textId="685175C3" w:rsidTr="00D043CC">
        <w:trPr>
          <w:trHeight w:val="297"/>
        </w:trPr>
        <w:tc>
          <w:tcPr>
            <w:tcW w:w="3420" w:type="dxa"/>
            <w:shd w:val="clear" w:color="auto" w:fill="auto"/>
            <w:vAlign w:val="center"/>
            <w:hideMark/>
          </w:tcPr>
          <w:p w14:paraId="0E618970" w14:textId="77777777" w:rsidR="00550599" w:rsidRPr="009E35ED" w:rsidRDefault="00550599" w:rsidP="00550599">
            <w:pPr>
              <w:ind w:left="0" w:firstLineChars="300" w:firstLine="600"/>
              <w:jc w:val="left"/>
              <w:rPr>
                <w:rFonts w:ascii="Arial Narrow" w:hAnsi="Arial Narrow" w:cs="Arial"/>
                <w:color w:val="000000" w:themeColor="text1"/>
                <w:sz w:val="20"/>
                <w:szCs w:val="20"/>
                <w:lang w:val="en-PH" w:eastAsia="en-PH"/>
              </w:rPr>
            </w:pPr>
            <w:r w:rsidRPr="009E35ED">
              <w:rPr>
                <w:rFonts w:ascii="Arial Narrow" w:hAnsi="Arial Narrow" w:cs="Arial"/>
                <w:color w:val="000000" w:themeColor="text1"/>
                <w:sz w:val="20"/>
                <w:szCs w:val="20"/>
                <w:lang w:val="en-PH" w:eastAsia="en-PH"/>
              </w:rPr>
              <w:t>CIDG-Provincial</w:t>
            </w:r>
          </w:p>
        </w:tc>
        <w:tc>
          <w:tcPr>
            <w:tcW w:w="864" w:type="dxa"/>
            <w:shd w:val="clear" w:color="auto" w:fill="auto"/>
            <w:vAlign w:val="center"/>
            <w:hideMark/>
          </w:tcPr>
          <w:p w14:paraId="1340CE24" w14:textId="77777777" w:rsidR="00550599" w:rsidRPr="009E35ED" w:rsidRDefault="00550599" w:rsidP="00550599">
            <w:pPr>
              <w:ind w:left="0"/>
              <w:jc w:val="right"/>
              <w:rPr>
                <w:rFonts w:ascii="Arial Narrow" w:hAnsi="Arial Narrow" w:cs="Arial"/>
                <w:color w:val="000000" w:themeColor="text1"/>
                <w:sz w:val="20"/>
                <w:szCs w:val="20"/>
                <w:lang w:val="en-PH" w:eastAsia="en-PH"/>
              </w:rPr>
            </w:pPr>
            <w:r w:rsidRPr="009E35ED">
              <w:rPr>
                <w:rFonts w:ascii="Arial Narrow" w:hAnsi="Arial Narrow" w:cs="Arial"/>
                <w:color w:val="000000" w:themeColor="text1"/>
                <w:sz w:val="20"/>
                <w:szCs w:val="20"/>
                <w:lang w:val="en-PH" w:eastAsia="en-PH"/>
              </w:rPr>
              <w:t>0.10%</w:t>
            </w:r>
          </w:p>
        </w:tc>
        <w:tc>
          <w:tcPr>
            <w:tcW w:w="955" w:type="dxa"/>
            <w:shd w:val="clear" w:color="auto" w:fill="auto"/>
            <w:noWrap/>
            <w:vAlign w:val="center"/>
            <w:hideMark/>
          </w:tcPr>
          <w:p w14:paraId="383105C8" w14:textId="77777777" w:rsidR="00550599" w:rsidRPr="009E35ED" w:rsidRDefault="00550599" w:rsidP="00550599">
            <w:pPr>
              <w:ind w:left="0"/>
              <w:jc w:val="right"/>
              <w:rPr>
                <w:rFonts w:ascii="Arial Narrow" w:hAnsi="Arial Narrow" w:cs="Arial"/>
                <w:color w:val="000000" w:themeColor="text1"/>
                <w:sz w:val="20"/>
                <w:szCs w:val="20"/>
                <w:lang w:val="en-PH" w:eastAsia="en-PH"/>
              </w:rPr>
            </w:pPr>
            <w:r w:rsidRPr="009E35ED">
              <w:rPr>
                <w:rFonts w:ascii="Arial Narrow" w:hAnsi="Arial Narrow" w:cs="Arial"/>
                <w:color w:val="000000" w:themeColor="text1"/>
                <w:sz w:val="20"/>
                <w:szCs w:val="20"/>
                <w:lang w:val="en-PH" w:eastAsia="en-PH"/>
              </w:rPr>
              <w:t>0.000%</w:t>
            </w:r>
          </w:p>
        </w:tc>
        <w:tc>
          <w:tcPr>
            <w:tcW w:w="955" w:type="dxa"/>
            <w:shd w:val="clear" w:color="auto" w:fill="auto"/>
            <w:noWrap/>
            <w:vAlign w:val="center"/>
            <w:hideMark/>
          </w:tcPr>
          <w:p w14:paraId="4BB7A72B" w14:textId="77777777" w:rsidR="00550599" w:rsidRPr="009E35ED" w:rsidRDefault="00550599" w:rsidP="00550599">
            <w:pPr>
              <w:ind w:left="0"/>
              <w:jc w:val="right"/>
              <w:rPr>
                <w:rFonts w:ascii="Arial Narrow" w:hAnsi="Arial Narrow" w:cs="Arial"/>
                <w:color w:val="000000" w:themeColor="text1"/>
                <w:sz w:val="20"/>
                <w:szCs w:val="20"/>
                <w:lang w:val="en-PH" w:eastAsia="en-PH"/>
              </w:rPr>
            </w:pPr>
            <w:r w:rsidRPr="009E35ED">
              <w:rPr>
                <w:rFonts w:ascii="Arial Narrow" w:hAnsi="Arial Narrow" w:cs="Arial"/>
                <w:color w:val="000000" w:themeColor="text1"/>
                <w:sz w:val="20"/>
                <w:szCs w:val="20"/>
                <w:lang w:val="en-PH" w:eastAsia="en-PH"/>
              </w:rPr>
              <w:t>0.000%</w:t>
            </w:r>
          </w:p>
        </w:tc>
        <w:tc>
          <w:tcPr>
            <w:tcW w:w="1159" w:type="dxa"/>
          </w:tcPr>
          <w:p w14:paraId="40047028" w14:textId="19A5270F" w:rsidR="00550599" w:rsidRPr="009E35ED" w:rsidRDefault="00550599" w:rsidP="00550599">
            <w:pPr>
              <w:ind w:left="0"/>
              <w:jc w:val="right"/>
              <w:rPr>
                <w:rFonts w:ascii="Arial Narrow" w:hAnsi="Arial Narrow" w:cs="Arial"/>
                <w:color w:val="000000" w:themeColor="text1"/>
                <w:sz w:val="20"/>
                <w:szCs w:val="20"/>
                <w:lang w:val="en-PH" w:eastAsia="en-PH"/>
              </w:rPr>
            </w:pPr>
            <w:r w:rsidRPr="009E35ED">
              <w:rPr>
                <w:rFonts w:ascii="Arial Narrow" w:hAnsi="Arial Narrow" w:cs="Arial"/>
                <w:color w:val="000000" w:themeColor="text1"/>
                <w:sz w:val="20"/>
                <w:szCs w:val="20"/>
                <w:lang w:val="en-PH" w:eastAsia="en-PH"/>
              </w:rPr>
              <w:t>0.0000%</w:t>
            </w:r>
          </w:p>
        </w:tc>
        <w:tc>
          <w:tcPr>
            <w:tcW w:w="1046" w:type="dxa"/>
          </w:tcPr>
          <w:p w14:paraId="57E8097A" w14:textId="5C8C01FC" w:rsidR="00550599" w:rsidRPr="009E35ED" w:rsidRDefault="00550599" w:rsidP="00D043CC">
            <w:pPr>
              <w:ind w:left="0"/>
              <w:jc w:val="right"/>
              <w:rPr>
                <w:rFonts w:ascii="Arial Narrow" w:hAnsi="Arial Narrow" w:cs="Arial"/>
                <w:color w:val="000000" w:themeColor="text1"/>
                <w:sz w:val="20"/>
                <w:szCs w:val="20"/>
                <w:lang w:val="en-PH" w:eastAsia="en-PH"/>
              </w:rPr>
            </w:pPr>
            <w:r w:rsidRPr="009E35ED">
              <w:rPr>
                <w:rFonts w:ascii="Arial Narrow" w:hAnsi="Arial Narrow" w:cs="Arial"/>
                <w:color w:val="000000" w:themeColor="text1"/>
                <w:sz w:val="20"/>
                <w:szCs w:val="20"/>
                <w:lang w:val="en-PH" w:eastAsia="en-PH"/>
              </w:rPr>
              <w:t>0.0000%</w:t>
            </w:r>
          </w:p>
        </w:tc>
        <w:tc>
          <w:tcPr>
            <w:tcW w:w="222" w:type="dxa"/>
          </w:tcPr>
          <w:p w14:paraId="181FAA16" w14:textId="04053C54" w:rsidR="00550599" w:rsidRPr="009E35ED" w:rsidRDefault="00550599" w:rsidP="00550599">
            <w:pPr>
              <w:ind w:left="0"/>
              <w:jc w:val="right"/>
              <w:rPr>
                <w:rFonts w:ascii="Arial Narrow" w:hAnsi="Arial Narrow" w:cs="Arial"/>
                <w:color w:val="000000" w:themeColor="text1"/>
                <w:sz w:val="20"/>
                <w:szCs w:val="20"/>
                <w:lang w:val="en-PH" w:eastAsia="en-PH"/>
              </w:rPr>
            </w:pPr>
          </w:p>
        </w:tc>
      </w:tr>
      <w:tr w:rsidR="00997F75" w:rsidRPr="009E35ED" w14:paraId="4209F7E4" w14:textId="11CCC538" w:rsidTr="00D043CC">
        <w:trPr>
          <w:trHeight w:val="297"/>
        </w:trPr>
        <w:tc>
          <w:tcPr>
            <w:tcW w:w="3420" w:type="dxa"/>
            <w:shd w:val="clear" w:color="auto" w:fill="auto"/>
            <w:vAlign w:val="center"/>
            <w:hideMark/>
          </w:tcPr>
          <w:p w14:paraId="6EF3F33B" w14:textId="77777777" w:rsidR="00550599" w:rsidRPr="009E35ED" w:rsidRDefault="00550599" w:rsidP="00550599">
            <w:pPr>
              <w:ind w:left="0"/>
              <w:rPr>
                <w:rFonts w:ascii="Arial Narrow" w:hAnsi="Arial Narrow" w:cs="Arial"/>
                <w:color w:val="000000" w:themeColor="text1"/>
                <w:sz w:val="20"/>
                <w:szCs w:val="20"/>
                <w:lang w:val="en-PH" w:eastAsia="en-PH"/>
              </w:rPr>
            </w:pPr>
            <w:r w:rsidRPr="009E35ED">
              <w:rPr>
                <w:rFonts w:ascii="Arial Narrow" w:hAnsi="Arial Narrow" w:cs="Arial"/>
                <w:color w:val="000000" w:themeColor="text1"/>
                <w:sz w:val="20"/>
                <w:szCs w:val="20"/>
                <w:lang w:val="en-PH" w:eastAsia="en-PH"/>
              </w:rPr>
              <w:t xml:space="preserve">     Documentary Stamp Tax</w:t>
            </w:r>
          </w:p>
        </w:tc>
        <w:tc>
          <w:tcPr>
            <w:tcW w:w="864" w:type="dxa"/>
            <w:shd w:val="clear" w:color="auto" w:fill="auto"/>
            <w:vAlign w:val="center"/>
            <w:hideMark/>
          </w:tcPr>
          <w:p w14:paraId="67D3611B" w14:textId="77777777" w:rsidR="00550599" w:rsidRPr="009E35ED" w:rsidRDefault="00550599" w:rsidP="00550599">
            <w:pPr>
              <w:ind w:left="0"/>
              <w:jc w:val="right"/>
              <w:rPr>
                <w:rFonts w:ascii="Arial Narrow" w:hAnsi="Arial Narrow" w:cs="Arial"/>
                <w:color w:val="000000" w:themeColor="text1"/>
                <w:sz w:val="20"/>
                <w:szCs w:val="20"/>
                <w:lang w:val="en-PH" w:eastAsia="en-PH"/>
              </w:rPr>
            </w:pPr>
            <w:r w:rsidRPr="009E35ED">
              <w:rPr>
                <w:rFonts w:ascii="Arial Narrow" w:hAnsi="Arial Narrow" w:cs="Arial"/>
                <w:color w:val="000000" w:themeColor="text1"/>
                <w:sz w:val="20"/>
                <w:szCs w:val="20"/>
                <w:lang w:val="en-PH" w:eastAsia="en-PH"/>
              </w:rPr>
              <w:t>10.00%</w:t>
            </w:r>
          </w:p>
        </w:tc>
        <w:tc>
          <w:tcPr>
            <w:tcW w:w="955" w:type="dxa"/>
            <w:shd w:val="clear" w:color="auto" w:fill="auto"/>
            <w:noWrap/>
            <w:vAlign w:val="center"/>
            <w:hideMark/>
          </w:tcPr>
          <w:p w14:paraId="33413142" w14:textId="77777777" w:rsidR="00550599" w:rsidRPr="009E35ED" w:rsidRDefault="00550599" w:rsidP="00550599">
            <w:pPr>
              <w:ind w:left="0"/>
              <w:jc w:val="right"/>
              <w:rPr>
                <w:rFonts w:ascii="Arial Narrow" w:hAnsi="Arial Narrow" w:cs="Arial"/>
                <w:color w:val="000000" w:themeColor="text1"/>
                <w:sz w:val="20"/>
                <w:szCs w:val="20"/>
                <w:lang w:val="en-PH" w:eastAsia="en-PH"/>
              </w:rPr>
            </w:pPr>
            <w:r w:rsidRPr="009E35ED">
              <w:rPr>
                <w:rFonts w:ascii="Arial Narrow" w:hAnsi="Arial Narrow" w:cs="Arial"/>
                <w:color w:val="000000" w:themeColor="text1"/>
                <w:sz w:val="20"/>
                <w:szCs w:val="20"/>
                <w:lang w:val="en-PH" w:eastAsia="en-PH"/>
              </w:rPr>
              <w:t>0.000%</w:t>
            </w:r>
          </w:p>
        </w:tc>
        <w:tc>
          <w:tcPr>
            <w:tcW w:w="955" w:type="dxa"/>
            <w:shd w:val="clear" w:color="auto" w:fill="auto"/>
            <w:noWrap/>
            <w:vAlign w:val="center"/>
            <w:hideMark/>
          </w:tcPr>
          <w:p w14:paraId="670B92C2" w14:textId="77777777" w:rsidR="00550599" w:rsidRPr="009E35ED" w:rsidRDefault="00550599" w:rsidP="00550599">
            <w:pPr>
              <w:ind w:left="0"/>
              <w:jc w:val="right"/>
              <w:rPr>
                <w:rFonts w:ascii="Arial Narrow" w:hAnsi="Arial Narrow" w:cs="Arial"/>
                <w:color w:val="000000" w:themeColor="text1"/>
                <w:sz w:val="20"/>
                <w:szCs w:val="20"/>
                <w:lang w:val="en-PH" w:eastAsia="en-PH"/>
              </w:rPr>
            </w:pPr>
            <w:r w:rsidRPr="009E35ED">
              <w:rPr>
                <w:rFonts w:ascii="Arial Narrow" w:hAnsi="Arial Narrow" w:cs="Arial"/>
                <w:color w:val="000000" w:themeColor="text1"/>
                <w:sz w:val="20"/>
                <w:szCs w:val="20"/>
                <w:lang w:val="en-PH" w:eastAsia="en-PH"/>
              </w:rPr>
              <w:t>20.000%</w:t>
            </w:r>
          </w:p>
        </w:tc>
        <w:tc>
          <w:tcPr>
            <w:tcW w:w="1159" w:type="dxa"/>
          </w:tcPr>
          <w:p w14:paraId="56F5F8C5" w14:textId="67714587" w:rsidR="00550599" w:rsidRPr="009E35ED" w:rsidRDefault="00550599" w:rsidP="00550599">
            <w:pPr>
              <w:ind w:left="0"/>
              <w:jc w:val="right"/>
              <w:rPr>
                <w:rFonts w:ascii="Arial Narrow" w:hAnsi="Arial Narrow" w:cs="Arial"/>
                <w:color w:val="000000" w:themeColor="text1"/>
                <w:sz w:val="20"/>
                <w:szCs w:val="20"/>
                <w:lang w:val="en-PH" w:eastAsia="en-PH"/>
              </w:rPr>
            </w:pPr>
            <w:r w:rsidRPr="009E35ED">
              <w:rPr>
                <w:rFonts w:ascii="Arial Narrow" w:hAnsi="Arial Narrow" w:cs="Arial"/>
                <w:color w:val="000000" w:themeColor="text1"/>
                <w:sz w:val="20"/>
                <w:szCs w:val="20"/>
                <w:lang w:val="en-PH" w:eastAsia="en-PH"/>
              </w:rPr>
              <w:t>20.0000%</w:t>
            </w:r>
          </w:p>
        </w:tc>
        <w:tc>
          <w:tcPr>
            <w:tcW w:w="1046" w:type="dxa"/>
          </w:tcPr>
          <w:p w14:paraId="21DD4391" w14:textId="0234FAEA" w:rsidR="00550599" w:rsidRPr="009E35ED" w:rsidRDefault="00550599" w:rsidP="00D043CC">
            <w:pPr>
              <w:ind w:left="0"/>
              <w:jc w:val="right"/>
              <w:rPr>
                <w:rFonts w:ascii="Arial Narrow" w:hAnsi="Arial Narrow" w:cs="Arial"/>
                <w:color w:val="000000" w:themeColor="text1"/>
                <w:sz w:val="20"/>
                <w:szCs w:val="20"/>
                <w:lang w:val="en-PH" w:eastAsia="en-PH"/>
              </w:rPr>
            </w:pPr>
            <w:r w:rsidRPr="009E35ED">
              <w:rPr>
                <w:rFonts w:ascii="Arial Narrow" w:hAnsi="Arial Narrow" w:cs="Arial"/>
                <w:color w:val="000000" w:themeColor="text1"/>
                <w:sz w:val="20"/>
                <w:szCs w:val="20"/>
                <w:lang w:val="en-PH" w:eastAsia="en-PH"/>
              </w:rPr>
              <w:t>20.0000%</w:t>
            </w:r>
          </w:p>
        </w:tc>
        <w:tc>
          <w:tcPr>
            <w:tcW w:w="222" w:type="dxa"/>
          </w:tcPr>
          <w:p w14:paraId="77B6A3CC" w14:textId="7BC0788A" w:rsidR="00550599" w:rsidRPr="009E35ED" w:rsidRDefault="00550599" w:rsidP="00550599">
            <w:pPr>
              <w:ind w:left="0"/>
              <w:jc w:val="right"/>
              <w:rPr>
                <w:rFonts w:ascii="Arial Narrow" w:hAnsi="Arial Narrow" w:cs="Arial"/>
                <w:color w:val="000000" w:themeColor="text1"/>
                <w:sz w:val="20"/>
                <w:szCs w:val="20"/>
                <w:lang w:val="en-PH" w:eastAsia="en-PH"/>
              </w:rPr>
            </w:pPr>
          </w:p>
        </w:tc>
      </w:tr>
      <w:tr w:rsidR="00997F75" w:rsidRPr="009E35ED" w14:paraId="58D806B1" w14:textId="34B6BAA0" w:rsidTr="00D043CC">
        <w:trPr>
          <w:trHeight w:val="297"/>
        </w:trPr>
        <w:tc>
          <w:tcPr>
            <w:tcW w:w="3420" w:type="dxa"/>
            <w:shd w:val="clear" w:color="auto" w:fill="auto"/>
            <w:vAlign w:val="center"/>
            <w:hideMark/>
          </w:tcPr>
          <w:p w14:paraId="1377B063" w14:textId="77777777" w:rsidR="00550599" w:rsidRPr="009E35ED" w:rsidRDefault="00550599" w:rsidP="00550599">
            <w:pPr>
              <w:ind w:left="0"/>
              <w:rPr>
                <w:rFonts w:ascii="Arial Narrow" w:hAnsi="Arial Narrow" w:cs="Arial"/>
                <w:color w:val="000000" w:themeColor="text1"/>
                <w:sz w:val="20"/>
                <w:szCs w:val="20"/>
                <w:lang w:val="en-PH" w:eastAsia="en-PH"/>
              </w:rPr>
            </w:pPr>
            <w:r w:rsidRPr="009E35ED">
              <w:rPr>
                <w:rFonts w:ascii="Arial Narrow" w:hAnsi="Arial Narrow" w:cs="Arial"/>
                <w:color w:val="000000" w:themeColor="text1"/>
                <w:sz w:val="20"/>
                <w:szCs w:val="20"/>
                <w:lang w:val="en-PH" w:eastAsia="en-PH"/>
              </w:rPr>
              <w:t xml:space="preserve">     Universal Health Care</w:t>
            </w:r>
          </w:p>
        </w:tc>
        <w:tc>
          <w:tcPr>
            <w:tcW w:w="864" w:type="dxa"/>
            <w:shd w:val="clear" w:color="auto" w:fill="auto"/>
            <w:vAlign w:val="center"/>
            <w:hideMark/>
          </w:tcPr>
          <w:p w14:paraId="3DECD6F9" w14:textId="77777777" w:rsidR="00550599" w:rsidRPr="009E35ED" w:rsidRDefault="00550599" w:rsidP="00550599">
            <w:pPr>
              <w:ind w:left="0"/>
              <w:jc w:val="right"/>
              <w:rPr>
                <w:rFonts w:ascii="Arial Narrow" w:hAnsi="Arial Narrow" w:cs="Arial"/>
                <w:color w:val="000000" w:themeColor="text1"/>
                <w:sz w:val="20"/>
                <w:szCs w:val="20"/>
                <w:lang w:val="en-PH" w:eastAsia="en-PH"/>
              </w:rPr>
            </w:pPr>
          </w:p>
        </w:tc>
        <w:tc>
          <w:tcPr>
            <w:tcW w:w="955" w:type="dxa"/>
            <w:shd w:val="clear" w:color="auto" w:fill="auto"/>
            <w:noWrap/>
            <w:vAlign w:val="center"/>
            <w:hideMark/>
          </w:tcPr>
          <w:p w14:paraId="41FFF329" w14:textId="77777777" w:rsidR="00550599" w:rsidRPr="009E35ED" w:rsidRDefault="00550599" w:rsidP="00550599">
            <w:pPr>
              <w:ind w:left="0"/>
              <w:jc w:val="right"/>
              <w:rPr>
                <w:rFonts w:ascii="Arial Narrow" w:hAnsi="Arial Narrow" w:cs="Arial"/>
                <w:color w:val="000000" w:themeColor="text1"/>
                <w:sz w:val="20"/>
                <w:szCs w:val="20"/>
                <w:lang w:val="en-PH" w:eastAsia="en-PH"/>
              </w:rPr>
            </w:pPr>
          </w:p>
        </w:tc>
        <w:tc>
          <w:tcPr>
            <w:tcW w:w="955" w:type="dxa"/>
            <w:shd w:val="clear" w:color="auto" w:fill="auto"/>
            <w:noWrap/>
            <w:vAlign w:val="center"/>
            <w:hideMark/>
          </w:tcPr>
          <w:p w14:paraId="13204A88" w14:textId="77777777" w:rsidR="00550599" w:rsidRPr="009E35ED" w:rsidRDefault="00550599" w:rsidP="00550599">
            <w:pPr>
              <w:ind w:left="0"/>
              <w:jc w:val="right"/>
              <w:rPr>
                <w:rFonts w:ascii="Arial Narrow" w:hAnsi="Arial Narrow" w:cs="Arial"/>
                <w:color w:val="000000" w:themeColor="text1"/>
                <w:sz w:val="20"/>
                <w:szCs w:val="20"/>
                <w:lang w:val="en-PH" w:eastAsia="en-PH"/>
              </w:rPr>
            </w:pPr>
            <w:r w:rsidRPr="009E35ED">
              <w:rPr>
                <w:rFonts w:ascii="Arial Narrow" w:hAnsi="Arial Narrow" w:cs="Arial"/>
                <w:color w:val="000000" w:themeColor="text1"/>
                <w:sz w:val="20"/>
                <w:szCs w:val="20"/>
                <w:lang w:val="en-PH" w:eastAsia="en-PH"/>
              </w:rPr>
              <w:t>3.760%</w:t>
            </w:r>
          </w:p>
        </w:tc>
        <w:tc>
          <w:tcPr>
            <w:tcW w:w="1159" w:type="dxa"/>
          </w:tcPr>
          <w:p w14:paraId="2B9BD967" w14:textId="7D90B22A" w:rsidR="00550599" w:rsidRPr="009E35ED" w:rsidRDefault="00550599" w:rsidP="00550599">
            <w:pPr>
              <w:ind w:left="0"/>
              <w:jc w:val="right"/>
              <w:rPr>
                <w:rFonts w:ascii="Arial Narrow" w:hAnsi="Arial Narrow" w:cs="Arial"/>
                <w:color w:val="000000" w:themeColor="text1"/>
                <w:sz w:val="20"/>
                <w:szCs w:val="20"/>
                <w:lang w:val="en-PH" w:eastAsia="en-PH"/>
              </w:rPr>
            </w:pPr>
            <w:r w:rsidRPr="009E35ED">
              <w:rPr>
                <w:rFonts w:ascii="Arial Narrow" w:hAnsi="Arial Narrow" w:cs="Arial"/>
                <w:color w:val="000000" w:themeColor="text1"/>
                <w:sz w:val="20"/>
                <w:szCs w:val="20"/>
                <w:lang w:val="en-PH" w:eastAsia="en-PH"/>
              </w:rPr>
              <w:t>3.7600%</w:t>
            </w:r>
          </w:p>
        </w:tc>
        <w:tc>
          <w:tcPr>
            <w:tcW w:w="1046" w:type="dxa"/>
          </w:tcPr>
          <w:p w14:paraId="0180B630" w14:textId="458A98BB" w:rsidR="00550599" w:rsidRPr="009E35ED" w:rsidRDefault="00550599" w:rsidP="00D043CC">
            <w:pPr>
              <w:ind w:left="0"/>
              <w:jc w:val="right"/>
              <w:rPr>
                <w:rFonts w:ascii="Arial Narrow" w:hAnsi="Arial Narrow" w:cs="Arial"/>
                <w:color w:val="000000" w:themeColor="text1"/>
                <w:sz w:val="20"/>
                <w:szCs w:val="20"/>
                <w:lang w:val="en-PH" w:eastAsia="en-PH"/>
              </w:rPr>
            </w:pPr>
            <w:r w:rsidRPr="009E35ED">
              <w:rPr>
                <w:rFonts w:ascii="Arial Narrow" w:hAnsi="Arial Narrow" w:cs="Arial"/>
                <w:color w:val="000000" w:themeColor="text1"/>
                <w:sz w:val="20"/>
                <w:szCs w:val="20"/>
                <w:lang w:val="en-PH" w:eastAsia="en-PH"/>
              </w:rPr>
              <w:t>3.7600%</w:t>
            </w:r>
          </w:p>
        </w:tc>
        <w:tc>
          <w:tcPr>
            <w:tcW w:w="222" w:type="dxa"/>
          </w:tcPr>
          <w:p w14:paraId="61226D28" w14:textId="4075C7D9" w:rsidR="00550599" w:rsidRPr="009E35ED" w:rsidRDefault="00550599" w:rsidP="00550599">
            <w:pPr>
              <w:ind w:left="0"/>
              <w:jc w:val="right"/>
              <w:rPr>
                <w:rFonts w:ascii="Arial Narrow" w:hAnsi="Arial Narrow" w:cs="Arial"/>
                <w:color w:val="000000" w:themeColor="text1"/>
                <w:sz w:val="20"/>
                <w:szCs w:val="20"/>
                <w:lang w:val="en-PH" w:eastAsia="en-PH"/>
              </w:rPr>
            </w:pPr>
          </w:p>
        </w:tc>
      </w:tr>
      <w:tr w:rsidR="00997F75" w:rsidRPr="009E35ED" w14:paraId="4F085C0C" w14:textId="00C279FE" w:rsidTr="00D043CC">
        <w:trPr>
          <w:trHeight w:val="313"/>
        </w:trPr>
        <w:tc>
          <w:tcPr>
            <w:tcW w:w="3420" w:type="dxa"/>
            <w:shd w:val="clear" w:color="auto" w:fill="auto"/>
            <w:vAlign w:val="center"/>
            <w:hideMark/>
          </w:tcPr>
          <w:p w14:paraId="7285927C" w14:textId="77777777" w:rsidR="00550599" w:rsidRPr="009E35ED" w:rsidRDefault="00550599" w:rsidP="00550599">
            <w:pPr>
              <w:ind w:left="0"/>
              <w:rPr>
                <w:rFonts w:ascii="Arial Narrow" w:hAnsi="Arial Narrow" w:cs="Arial"/>
                <w:color w:val="000000" w:themeColor="text1"/>
                <w:sz w:val="20"/>
                <w:szCs w:val="20"/>
                <w:lang w:val="en-PH" w:eastAsia="en-PH"/>
              </w:rPr>
            </w:pPr>
            <w:r w:rsidRPr="009E35ED">
              <w:rPr>
                <w:rFonts w:ascii="Arial Narrow" w:hAnsi="Arial Narrow" w:cs="Arial"/>
                <w:color w:val="000000" w:themeColor="text1"/>
                <w:sz w:val="20"/>
                <w:szCs w:val="20"/>
                <w:lang w:val="en-PH" w:eastAsia="en-PH"/>
              </w:rPr>
              <w:t xml:space="preserve">     PCSO Charity Fund</w:t>
            </w:r>
          </w:p>
        </w:tc>
        <w:tc>
          <w:tcPr>
            <w:tcW w:w="864" w:type="dxa"/>
            <w:shd w:val="clear" w:color="auto" w:fill="auto"/>
            <w:vAlign w:val="center"/>
            <w:hideMark/>
          </w:tcPr>
          <w:p w14:paraId="127EA17E" w14:textId="77777777" w:rsidR="00550599" w:rsidRPr="009E35ED" w:rsidRDefault="00550599" w:rsidP="00550599">
            <w:pPr>
              <w:ind w:left="0"/>
              <w:jc w:val="right"/>
              <w:rPr>
                <w:rFonts w:ascii="Arial Narrow" w:hAnsi="Arial Narrow" w:cs="Arial"/>
                <w:color w:val="000000" w:themeColor="text1"/>
                <w:sz w:val="20"/>
                <w:szCs w:val="20"/>
                <w:lang w:val="en-PH" w:eastAsia="en-PH"/>
              </w:rPr>
            </w:pPr>
            <w:r w:rsidRPr="009E35ED">
              <w:rPr>
                <w:rFonts w:ascii="Arial Narrow" w:hAnsi="Arial Narrow" w:cs="Arial"/>
                <w:color w:val="000000" w:themeColor="text1"/>
                <w:sz w:val="20"/>
                <w:szCs w:val="20"/>
                <w:lang w:val="en-PH" w:eastAsia="en-PH"/>
              </w:rPr>
              <w:t>12.15%</w:t>
            </w:r>
          </w:p>
        </w:tc>
        <w:tc>
          <w:tcPr>
            <w:tcW w:w="955" w:type="dxa"/>
            <w:shd w:val="clear" w:color="auto" w:fill="auto"/>
            <w:noWrap/>
            <w:vAlign w:val="center"/>
            <w:hideMark/>
          </w:tcPr>
          <w:p w14:paraId="1F0624E9" w14:textId="77777777" w:rsidR="00550599" w:rsidRPr="009E35ED" w:rsidRDefault="00550599" w:rsidP="00550599">
            <w:pPr>
              <w:ind w:left="0"/>
              <w:jc w:val="right"/>
              <w:rPr>
                <w:rFonts w:ascii="Arial Narrow" w:hAnsi="Arial Narrow" w:cs="Arial"/>
                <w:color w:val="000000" w:themeColor="text1"/>
                <w:sz w:val="20"/>
                <w:szCs w:val="20"/>
                <w:lang w:val="en-PH" w:eastAsia="en-PH"/>
              </w:rPr>
            </w:pPr>
            <w:r w:rsidRPr="009E35ED">
              <w:rPr>
                <w:rFonts w:ascii="Arial Narrow" w:hAnsi="Arial Narrow" w:cs="Arial"/>
                <w:color w:val="000000" w:themeColor="text1"/>
                <w:sz w:val="20"/>
                <w:szCs w:val="20"/>
                <w:lang w:val="en-PH" w:eastAsia="en-PH"/>
              </w:rPr>
              <w:t>21.200%</w:t>
            </w:r>
          </w:p>
        </w:tc>
        <w:tc>
          <w:tcPr>
            <w:tcW w:w="955" w:type="dxa"/>
            <w:shd w:val="clear" w:color="auto" w:fill="auto"/>
            <w:noWrap/>
            <w:vAlign w:val="center"/>
            <w:hideMark/>
          </w:tcPr>
          <w:p w14:paraId="49C2BE39" w14:textId="77777777" w:rsidR="00550599" w:rsidRPr="009E35ED" w:rsidRDefault="00550599" w:rsidP="00550599">
            <w:pPr>
              <w:ind w:left="0"/>
              <w:jc w:val="right"/>
              <w:rPr>
                <w:rFonts w:ascii="Arial Narrow" w:hAnsi="Arial Narrow" w:cs="Arial"/>
                <w:color w:val="000000" w:themeColor="text1"/>
                <w:sz w:val="20"/>
                <w:szCs w:val="20"/>
                <w:lang w:val="en-PH" w:eastAsia="en-PH"/>
              </w:rPr>
            </w:pPr>
            <w:r w:rsidRPr="009E35ED">
              <w:rPr>
                <w:rFonts w:ascii="Arial Narrow" w:hAnsi="Arial Narrow" w:cs="Arial"/>
                <w:color w:val="000000" w:themeColor="text1"/>
                <w:sz w:val="20"/>
                <w:szCs w:val="20"/>
                <w:lang w:val="en-PH" w:eastAsia="en-PH"/>
              </w:rPr>
              <w:t>4.240%</w:t>
            </w:r>
          </w:p>
        </w:tc>
        <w:tc>
          <w:tcPr>
            <w:tcW w:w="1159" w:type="dxa"/>
          </w:tcPr>
          <w:p w14:paraId="57B7BED3" w14:textId="7014A274" w:rsidR="00550599" w:rsidRPr="009E35ED" w:rsidRDefault="00550599" w:rsidP="00550599">
            <w:pPr>
              <w:ind w:left="0"/>
              <w:jc w:val="right"/>
              <w:rPr>
                <w:rFonts w:ascii="Arial Narrow" w:hAnsi="Arial Narrow" w:cs="Arial"/>
                <w:color w:val="000000" w:themeColor="text1"/>
                <w:sz w:val="20"/>
                <w:szCs w:val="20"/>
                <w:lang w:val="en-PH" w:eastAsia="en-PH"/>
              </w:rPr>
            </w:pPr>
            <w:r w:rsidRPr="009E35ED">
              <w:rPr>
                <w:rFonts w:ascii="Arial Narrow" w:hAnsi="Arial Narrow" w:cs="Arial"/>
                <w:color w:val="000000" w:themeColor="text1"/>
                <w:sz w:val="20"/>
                <w:szCs w:val="20"/>
                <w:lang w:val="en-PH" w:eastAsia="en-PH"/>
              </w:rPr>
              <w:t>2.4700%</w:t>
            </w:r>
          </w:p>
        </w:tc>
        <w:tc>
          <w:tcPr>
            <w:tcW w:w="1046" w:type="dxa"/>
          </w:tcPr>
          <w:p w14:paraId="6460D4A9" w14:textId="711220D7" w:rsidR="00550599" w:rsidRPr="009E35ED" w:rsidRDefault="00550599" w:rsidP="00D043CC">
            <w:pPr>
              <w:ind w:left="0"/>
              <w:jc w:val="right"/>
              <w:rPr>
                <w:rFonts w:ascii="Arial Narrow" w:hAnsi="Arial Narrow" w:cs="Arial"/>
                <w:color w:val="000000" w:themeColor="text1"/>
                <w:sz w:val="20"/>
                <w:szCs w:val="20"/>
                <w:lang w:val="en-PH" w:eastAsia="en-PH"/>
              </w:rPr>
            </w:pPr>
            <w:r w:rsidRPr="009E35ED">
              <w:rPr>
                <w:rFonts w:ascii="Arial Narrow" w:hAnsi="Arial Narrow" w:cs="Arial"/>
                <w:color w:val="000000" w:themeColor="text1"/>
                <w:sz w:val="20"/>
                <w:szCs w:val="20"/>
                <w:lang w:val="en-PH" w:eastAsia="en-PH"/>
              </w:rPr>
              <w:t>5.6400%</w:t>
            </w:r>
          </w:p>
        </w:tc>
        <w:tc>
          <w:tcPr>
            <w:tcW w:w="222" w:type="dxa"/>
          </w:tcPr>
          <w:p w14:paraId="3FCEAC50" w14:textId="41DA078F" w:rsidR="00550599" w:rsidRPr="009E35ED" w:rsidRDefault="00550599" w:rsidP="00550599">
            <w:pPr>
              <w:ind w:left="0"/>
              <w:jc w:val="right"/>
              <w:rPr>
                <w:rFonts w:ascii="Arial Narrow" w:hAnsi="Arial Narrow" w:cs="Arial"/>
                <w:color w:val="000000" w:themeColor="text1"/>
                <w:sz w:val="20"/>
                <w:szCs w:val="20"/>
                <w:lang w:val="en-PH" w:eastAsia="en-PH"/>
              </w:rPr>
            </w:pPr>
          </w:p>
        </w:tc>
      </w:tr>
      <w:tr w:rsidR="00997F75" w:rsidRPr="009E35ED" w14:paraId="47B811DB" w14:textId="76B544E3" w:rsidTr="00D043CC">
        <w:trPr>
          <w:trHeight w:val="297"/>
        </w:trPr>
        <w:tc>
          <w:tcPr>
            <w:tcW w:w="3420" w:type="dxa"/>
            <w:shd w:val="clear" w:color="auto" w:fill="auto"/>
            <w:vAlign w:val="center"/>
            <w:hideMark/>
          </w:tcPr>
          <w:p w14:paraId="0EC01786" w14:textId="77777777" w:rsidR="00550599" w:rsidRPr="009E35ED" w:rsidRDefault="00550599" w:rsidP="00550599">
            <w:pPr>
              <w:ind w:left="0"/>
              <w:rPr>
                <w:rFonts w:ascii="Arial Narrow" w:hAnsi="Arial Narrow" w:cs="Arial"/>
                <w:b/>
                <w:bCs/>
                <w:color w:val="000000" w:themeColor="text1"/>
                <w:sz w:val="20"/>
                <w:szCs w:val="20"/>
                <w:lang w:val="en-PH" w:eastAsia="en-PH"/>
              </w:rPr>
            </w:pPr>
            <w:r w:rsidRPr="009E35ED">
              <w:rPr>
                <w:rFonts w:ascii="Arial Narrow" w:hAnsi="Arial Narrow" w:cs="Arial"/>
                <w:b/>
                <w:bCs/>
                <w:color w:val="000000" w:themeColor="text1"/>
                <w:sz w:val="20"/>
                <w:szCs w:val="20"/>
                <w:lang w:val="en-PH" w:eastAsia="en-PH"/>
              </w:rPr>
              <w:t>V. OPERATING FUND (15% of Net Sales)</w:t>
            </w:r>
          </w:p>
        </w:tc>
        <w:tc>
          <w:tcPr>
            <w:tcW w:w="864" w:type="dxa"/>
            <w:shd w:val="clear" w:color="auto" w:fill="auto"/>
            <w:vAlign w:val="center"/>
            <w:hideMark/>
          </w:tcPr>
          <w:p w14:paraId="70F16A88" w14:textId="77777777" w:rsidR="00550599" w:rsidRPr="009E35ED" w:rsidRDefault="00550599" w:rsidP="00550599">
            <w:pPr>
              <w:ind w:left="0"/>
              <w:jc w:val="right"/>
              <w:rPr>
                <w:rFonts w:ascii="Arial Narrow" w:hAnsi="Arial Narrow" w:cs="Arial"/>
                <w:color w:val="000000" w:themeColor="text1"/>
                <w:sz w:val="20"/>
                <w:szCs w:val="20"/>
                <w:lang w:val="en-PH" w:eastAsia="en-PH"/>
              </w:rPr>
            </w:pPr>
            <w:r w:rsidRPr="009E35ED">
              <w:rPr>
                <w:rFonts w:ascii="Arial Narrow" w:hAnsi="Arial Narrow" w:cs="Arial"/>
                <w:color w:val="000000" w:themeColor="text1"/>
                <w:sz w:val="20"/>
                <w:szCs w:val="20"/>
                <w:lang w:val="en-PH" w:eastAsia="en-PH"/>
              </w:rPr>
              <w:t>14.70%</w:t>
            </w:r>
          </w:p>
        </w:tc>
        <w:tc>
          <w:tcPr>
            <w:tcW w:w="955" w:type="dxa"/>
            <w:shd w:val="clear" w:color="auto" w:fill="auto"/>
            <w:noWrap/>
            <w:vAlign w:val="center"/>
            <w:hideMark/>
          </w:tcPr>
          <w:p w14:paraId="7890D0B9" w14:textId="77777777" w:rsidR="00550599" w:rsidRPr="009E35ED" w:rsidRDefault="00550599" w:rsidP="00550599">
            <w:pPr>
              <w:ind w:left="0"/>
              <w:jc w:val="right"/>
              <w:rPr>
                <w:rFonts w:ascii="Arial Narrow" w:hAnsi="Arial Narrow" w:cs="Arial"/>
                <w:color w:val="000000" w:themeColor="text1"/>
                <w:sz w:val="20"/>
                <w:szCs w:val="20"/>
                <w:lang w:val="en-PH" w:eastAsia="en-PH"/>
              </w:rPr>
            </w:pPr>
            <w:r w:rsidRPr="009E35ED">
              <w:rPr>
                <w:rFonts w:ascii="Arial Narrow" w:hAnsi="Arial Narrow" w:cs="Arial"/>
                <w:color w:val="000000" w:themeColor="text1"/>
                <w:sz w:val="20"/>
                <w:szCs w:val="20"/>
                <w:lang w:val="en-PH" w:eastAsia="en-PH"/>
              </w:rPr>
              <w:t>11.700%</w:t>
            </w:r>
          </w:p>
        </w:tc>
        <w:tc>
          <w:tcPr>
            <w:tcW w:w="955" w:type="dxa"/>
            <w:shd w:val="clear" w:color="auto" w:fill="auto"/>
            <w:noWrap/>
            <w:vAlign w:val="center"/>
            <w:hideMark/>
          </w:tcPr>
          <w:p w14:paraId="66A44A02" w14:textId="77777777" w:rsidR="00550599" w:rsidRPr="009E35ED" w:rsidRDefault="00550599" w:rsidP="00550599">
            <w:pPr>
              <w:ind w:left="0"/>
              <w:jc w:val="right"/>
              <w:rPr>
                <w:rFonts w:ascii="Arial Narrow" w:hAnsi="Arial Narrow" w:cs="Arial"/>
                <w:color w:val="000000" w:themeColor="text1"/>
                <w:sz w:val="20"/>
                <w:szCs w:val="20"/>
                <w:lang w:val="en-PH" w:eastAsia="en-PH"/>
              </w:rPr>
            </w:pPr>
            <w:r w:rsidRPr="009E35ED">
              <w:rPr>
                <w:rFonts w:ascii="Arial Narrow" w:hAnsi="Arial Narrow" w:cs="Arial"/>
                <w:color w:val="000000" w:themeColor="text1"/>
                <w:sz w:val="20"/>
                <w:szCs w:val="20"/>
                <w:lang w:val="en-PH" w:eastAsia="en-PH"/>
              </w:rPr>
              <w:t>14.700%</w:t>
            </w:r>
          </w:p>
        </w:tc>
        <w:tc>
          <w:tcPr>
            <w:tcW w:w="1159" w:type="dxa"/>
            <w:vAlign w:val="center"/>
          </w:tcPr>
          <w:p w14:paraId="5DD22BBC" w14:textId="234B4EFF" w:rsidR="00550599" w:rsidRPr="009E35ED" w:rsidRDefault="00550599" w:rsidP="00550599">
            <w:pPr>
              <w:ind w:left="0"/>
              <w:jc w:val="right"/>
              <w:rPr>
                <w:rFonts w:ascii="Arial Narrow" w:hAnsi="Arial Narrow" w:cs="Arial"/>
                <w:color w:val="000000" w:themeColor="text1"/>
                <w:sz w:val="20"/>
                <w:szCs w:val="20"/>
                <w:lang w:val="en-PH" w:eastAsia="en-PH"/>
              </w:rPr>
            </w:pPr>
            <w:r w:rsidRPr="009E35ED">
              <w:rPr>
                <w:rFonts w:ascii="Arial Narrow" w:hAnsi="Arial Narrow" w:cs="Arial"/>
                <w:color w:val="000000" w:themeColor="text1"/>
                <w:sz w:val="20"/>
                <w:szCs w:val="20"/>
                <w:lang w:val="en-PH" w:eastAsia="en-PH"/>
              </w:rPr>
              <w:t>14.7000%</w:t>
            </w:r>
          </w:p>
        </w:tc>
        <w:tc>
          <w:tcPr>
            <w:tcW w:w="1046" w:type="dxa"/>
            <w:vAlign w:val="center"/>
          </w:tcPr>
          <w:p w14:paraId="1EC752F5" w14:textId="5F82BFF4" w:rsidR="00550599" w:rsidRPr="009E35ED" w:rsidRDefault="00550599" w:rsidP="00D043CC">
            <w:pPr>
              <w:ind w:left="0"/>
              <w:jc w:val="right"/>
              <w:rPr>
                <w:rFonts w:ascii="Arial Narrow" w:hAnsi="Arial Narrow" w:cs="Arial"/>
                <w:color w:val="000000" w:themeColor="text1"/>
                <w:sz w:val="20"/>
                <w:szCs w:val="20"/>
                <w:lang w:val="en-PH" w:eastAsia="en-PH"/>
              </w:rPr>
            </w:pPr>
            <w:r w:rsidRPr="009E35ED">
              <w:rPr>
                <w:rFonts w:ascii="Arial Narrow" w:hAnsi="Arial Narrow" w:cs="Arial"/>
                <w:color w:val="000000" w:themeColor="text1"/>
                <w:sz w:val="20"/>
                <w:szCs w:val="20"/>
                <w:lang w:val="en-PH" w:eastAsia="en-PH"/>
              </w:rPr>
              <w:t>14.7000%</w:t>
            </w:r>
          </w:p>
        </w:tc>
        <w:tc>
          <w:tcPr>
            <w:tcW w:w="222" w:type="dxa"/>
          </w:tcPr>
          <w:p w14:paraId="2320BD3D" w14:textId="71CB4948" w:rsidR="00550599" w:rsidRPr="009E35ED" w:rsidRDefault="00550599" w:rsidP="00550599">
            <w:pPr>
              <w:ind w:left="0"/>
              <w:jc w:val="right"/>
              <w:rPr>
                <w:rFonts w:ascii="Arial Narrow" w:hAnsi="Arial Narrow" w:cs="Arial"/>
                <w:color w:val="000000" w:themeColor="text1"/>
                <w:sz w:val="20"/>
                <w:szCs w:val="20"/>
                <w:lang w:val="en-PH" w:eastAsia="en-PH"/>
              </w:rPr>
            </w:pPr>
          </w:p>
        </w:tc>
      </w:tr>
      <w:tr w:rsidR="00997F75" w:rsidRPr="009E35ED" w14:paraId="6ED11173" w14:textId="3A08A1E8" w:rsidTr="00D043CC">
        <w:trPr>
          <w:trHeight w:val="297"/>
        </w:trPr>
        <w:tc>
          <w:tcPr>
            <w:tcW w:w="3420" w:type="dxa"/>
            <w:shd w:val="clear" w:color="auto" w:fill="auto"/>
            <w:vAlign w:val="center"/>
            <w:hideMark/>
          </w:tcPr>
          <w:p w14:paraId="7B91E44F" w14:textId="77777777" w:rsidR="00550599" w:rsidRPr="009E35ED" w:rsidRDefault="00550599" w:rsidP="00550599">
            <w:pPr>
              <w:ind w:left="0"/>
              <w:rPr>
                <w:rFonts w:ascii="Arial Narrow" w:hAnsi="Arial Narrow" w:cs="Arial"/>
                <w:color w:val="000000" w:themeColor="text1"/>
                <w:sz w:val="20"/>
                <w:szCs w:val="20"/>
                <w:lang w:val="en-PH" w:eastAsia="en-PH"/>
              </w:rPr>
            </w:pPr>
            <w:r w:rsidRPr="009E35ED">
              <w:rPr>
                <w:rFonts w:ascii="Arial Narrow" w:hAnsi="Arial Narrow" w:cs="Arial"/>
                <w:color w:val="000000" w:themeColor="text1"/>
                <w:sz w:val="20"/>
                <w:szCs w:val="20"/>
                <w:lang w:val="en-PH" w:eastAsia="en-PH"/>
              </w:rPr>
              <w:t xml:space="preserve">     Operating Fund Expenses  (AAC)</w:t>
            </w:r>
          </w:p>
        </w:tc>
        <w:tc>
          <w:tcPr>
            <w:tcW w:w="864" w:type="dxa"/>
            <w:shd w:val="clear" w:color="auto" w:fill="auto"/>
            <w:vAlign w:val="center"/>
            <w:hideMark/>
          </w:tcPr>
          <w:p w14:paraId="0C633189" w14:textId="77777777" w:rsidR="00550599" w:rsidRPr="009E35ED" w:rsidRDefault="00550599" w:rsidP="00550599">
            <w:pPr>
              <w:ind w:left="0"/>
              <w:jc w:val="right"/>
              <w:rPr>
                <w:rFonts w:ascii="Arial Narrow" w:hAnsi="Arial Narrow" w:cs="Arial"/>
                <w:color w:val="000000" w:themeColor="text1"/>
                <w:sz w:val="20"/>
                <w:szCs w:val="20"/>
                <w:lang w:val="en-PH" w:eastAsia="en-PH"/>
              </w:rPr>
            </w:pPr>
            <w:r w:rsidRPr="009E35ED">
              <w:rPr>
                <w:rFonts w:ascii="Arial Narrow" w:hAnsi="Arial Narrow" w:cs="Arial"/>
                <w:color w:val="000000" w:themeColor="text1"/>
                <w:sz w:val="20"/>
                <w:szCs w:val="20"/>
                <w:lang w:val="en-PH" w:eastAsia="en-PH"/>
              </w:rPr>
              <w:t>10.00%</w:t>
            </w:r>
          </w:p>
        </w:tc>
        <w:tc>
          <w:tcPr>
            <w:tcW w:w="955" w:type="dxa"/>
            <w:shd w:val="clear" w:color="auto" w:fill="auto"/>
            <w:noWrap/>
            <w:vAlign w:val="center"/>
            <w:hideMark/>
          </w:tcPr>
          <w:p w14:paraId="547011C3" w14:textId="77777777" w:rsidR="00550599" w:rsidRPr="009E35ED" w:rsidRDefault="00550599" w:rsidP="00550599">
            <w:pPr>
              <w:ind w:left="0"/>
              <w:jc w:val="right"/>
              <w:rPr>
                <w:rFonts w:ascii="Arial Narrow" w:hAnsi="Arial Narrow" w:cs="Arial"/>
                <w:color w:val="000000" w:themeColor="text1"/>
                <w:sz w:val="20"/>
                <w:szCs w:val="20"/>
                <w:lang w:val="en-PH" w:eastAsia="en-PH"/>
              </w:rPr>
            </w:pPr>
            <w:r w:rsidRPr="009E35ED">
              <w:rPr>
                <w:rFonts w:ascii="Arial Narrow" w:hAnsi="Arial Narrow" w:cs="Arial"/>
                <w:color w:val="000000" w:themeColor="text1"/>
                <w:sz w:val="20"/>
                <w:szCs w:val="20"/>
                <w:lang w:val="en-PH" w:eastAsia="en-PH"/>
              </w:rPr>
              <w:t>11.000%</w:t>
            </w:r>
          </w:p>
        </w:tc>
        <w:tc>
          <w:tcPr>
            <w:tcW w:w="955" w:type="dxa"/>
            <w:shd w:val="clear" w:color="auto" w:fill="auto"/>
            <w:noWrap/>
            <w:vAlign w:val="center"/>
            <w:hideMark/>
          </w:tcPr>
          <w:p w14:paraId="6A663A22" w14:textId="77777777" w:rsidR="00550599" w:rsidRPr="009E35ED" w:rsidRDefault="00550599" w:rsidP="00550599">
            <w:pPr>
              <w:ind w:left="0"/>
              <w:jc w:val="right"/>
              <w:rPr>
                <w:rFonts w:ascii="Arial Narrow" w:hAnsi="Arial Narrow" w:cs="Arial"/>
                <w:color w:val="000000" w:themeColor="text1"/>
                <w:sz w:val="20"/>
                <w:szCs w:val="20"/>
                <w:lang w:val="en-PH" w:eastAsia="en-PH"/>
              </w:rPr>
            </w:pPr>
            <w:r w:rsidRPr="009E35ED">
              <w:rPr>
                <w:rFonts w:ascii="Arial Narrow" w:hAnsi="Arial Narrow" w:cs="Arial"/>
                <w:color w:val="000000" w:themeColor="text1"/>
                <w:sz w:val="20"/>
                <w:szCs w:val="20"/>
                <w:lang w:val="en-PH" w:eastAsia="en-PH"/>
              </w:rPr>
              <w:t>0.000%</w:t>
            </w:r>
          </w:p>
        </w:tc>
        <w:tc>
          <w:tcPr>
            <w:tcW w:w="1159" w:type="dxa"/>
          </w:tcPr>
          <w:p w14:paraId="7C15598D" w14:textId="77777777" w:rsidR="00550599" w:rsidRPr="009E35ED" w:rsidRDefault="00550599" w:rsidP="00550599">
            <w:pPr>
              <w:ind w:left="0"/>
              <w:jc w:val="right"/>
              <w:rPr>
                <w:rFonts w:ascii="Arial Narrow" w:hAnsi="Arial Narrow" w:cs="Arial"/>
                <w:color w:val="000000" w:themeColor="text1"/>
                <w:sz w:val="20"/>
                <w:szCs w:val="20"/>
                <w:lang w:val="en-PH" w:eastAsia="en-PH"/>
              </w:rPr>
            </w:pPr>
          </w:p>
        </w:tc>
        <w:tc>
          <w:tcPr>
            <w:tcW w:w="1046" w:type="dxa"/>
          </w:tcPr>
          <w:p w14:paraId="54C382BB" w14:textId="77777777" w:rsidR="00550599" w:rsidRPr="009E35ED" w:rsidRDefault="00550599" w:rsidP="00D043CC">
            <w:pPr>
              <w:ind w:left="0"/>
              <w:jc w:val="right"/>
              <w:rPr>
                <w:rFonts w:ascii="Arial Narrow" w:hAnsi="Arial Narrow" w:cs="Arial"/>
                <w:color w:val="000000" w:themeColor="text1"/>
                <w:sz w:val="20"/>
                <w:szCs w:val="20"/>
                <w:lang w:val="en-PH" w:eastAsia="en-PH"/>
              </w:rPr>
            </w:pPr>
          </w:p>
        </w:tc>
        <w:tc>
          <w:tcPr>
            <w:tcW w:w="222" w:type="dxa"/>
          </w:tcPr>
          <w:p w14:paraId="78380577" w14:textId="5FC647F6" w:rsidR="00550599" w:rsidRPr="009E35ED" w:rsidRDefault="00550599" w:rsidP="00550599">
            <w:pPr>
              <w:ind w:left="0"/>
              <w:jc w:val="right"/>
              <w:rPr>
                <w:rFonts w:ascii="Arial Narrow" w:hAnsi="Arial Narrow" w:cs="Arial"/>
                <w:color w:val="000000" w:themeColor="text1"/>
                <w:sz w:val="20"/>
                <w:szCs w:val="20"/>
                <w:lang w:val="en-PH" w:eastAsia="en-PH"/>
              </w:rPr>
            </w:pPr>
          </w:p>
        </w:tc>
      </w:tr>
      <w:tr w:rsidR="00997F75" w:rsidRPr="009E35ED" w14:paraId="1C2EE422" w14:textId="18368B50" w:rsidTr="00D043CC">
        <w:trPr>
          <w:trHeight w:val="297"/>
        </w:trPr>
        <w:tc>
          <w:tcPr>
            <w:tcW w:w="3420" w:type="dxa"/>
            <w:shd w:val="clear" w:color="auto" w:fill="auto"/>
            <w:vAlign w:val="center"/>
            <w:hideMark/>
          </w:tcPr>
          <w:p w14:paraId="65976694" w14:textId="77777777" w:rsidR="00550599" w:rsidRPr="009E35ED" w:rsidRDefault="00550599" w:rsidP="00550599">
            <w:pPr>
              <w:ind w:left="0"/>
              <w:rPr>
                <w:rFonts w:ascii="Arial Narrow" w:hAnsi="Arial Narrow" w:cs="Arial"/>
                <w:color w:val="000000" w:themeColor="text1"/>
                <w:sz w:val="20"/>
                <w:szCs w:val="20"/>
                <w:lang w:val="en-PH" w:eastAsia="en-PH"/>
              </w:rPr>
            </w:pPr>
            <w:r w:rsidRPr="009E35ED">
              <w:rPr>
                <w:rFonts w:ascii="Arial Narrow" w:hAnsi="Arial Narrow" w:cs="Arial"/>
                <w:color w:val="000000" w:themeColor="text1"/>
                <w:sz w:val="20"/>
                <w:szCs w:val="20"/>
                <w:lang w:val="en-PH" w:eastAsia="en-PH"/>
              </w:rPr>
              <w:t xml:space="preserve">     Provision for STL Automation</w:t>
            </w:r>
          </w:p>
        </w:tc>
        <w:tc>
          <w:tcPr>
            <w:tcW w:w="864" w:type="dxa"/>
            <w:shd w:val="clear" w:color="auto" w:fill="auto"/>
            <w:vAlign w:val="center"/>
            <w:hideMark/>
          </w:tcPr>
          <w:p w14:paraId="504524C0" w14:textId="77777777" w:rsidR="00550599" w:rsidRPr="009E35ED" w:rsidRDefault="00550599" w:rsidP="00550599">
            <w:pPr>
              <w:ind w:left="0"/>
              <w:jc w:val="right"/>
              <w:rPr>
                <w:rFonts w:ascii="Arial Narrow" w:hAnsi="Arial Narrow" w:cs="Arial"/>
                <w:color w:val="000000" w:themeColor="text1"/>
                <w:sz w:val="20"/>
                <w:szCs w:val="20"/>
                <w:lang w:val="en-PH" w:eastAsia="en-PH"/>
              </w:rPr>
            </w:pPr>
          </w:p>
        </w:tc>
        <w:tc>
          <w:tcPr>
            <w:tcW w:w="955" w:type="dxa"/>
            <w:shd w:val="clear" w:color="auto" w:fill="auto"/>
            <w:noWrap/>
            <w:vAlign w:val="center"/>
            <w:hideMark/>
          </w:tcPr>
          <w:p w14:paraId="079FC7AC" w14:textId="77777777" w:rsidR="00550599" w:rsidRPr="009E35ED" w:rsidRDefault="00550599" w:rsidP="00550599">
            <w:pPr>
              <w:ind w:left="0"/>
              <w:jc w:val="right"/>
              <w:rPr>
                <w:rFonts w:ascii="Arial Narrow" w:hAnsi="Arial Narrow" w:cs="Arial"/>
                <w:color w:val="000000" w:themeColor="text1"/>
                <w:sz w:val="20"/>
                <w:szCs w:val="20"/>
                <w:lang w:val="en-PH" w:eastAsia="en-PH"/>
              </w:rPr>
            </w:pPr>
          </w:p>
        </w:tc>
        <w:tc>
          <w:tcPr>
            <w:tcW w:w="955" w:type="dxa"/>
            <w:shd w:val="clear" w:color="auto" w:fill="auto"/>
            <w:noWrap/>
            <w:vAlign w:val="center"/>
            <w:hideMark/>
          </w:tcPr>
          <w:p w14:paraId="17BBD6DF" w14:textId="77777777" w:rsidR="00550599" w:rsidRPr="009E35ED" w:rsidRDefault="00550599" w:rsidP="00550599">
            <w:pPr>
              <w:ind w:left="0"/>
              <w:jc w:val="right"/>
              <w:rPr>
                <w:rFonts w:ascii="Arial Narrow" w:hAnsi="Arial Narrow" w:cs="Arial"/>
                <w:color w:val="000000" w:themeColor="text1"/>
                <w:sz w:val="20"/>
                <w:szCs w:val="20"/>
                <w:lang w:val="en-PH" w:eastAsia="en-PH"/>
              </w:rPr>
            </w:pPr>
            <w:r w:rsidRPr="009E35ED">
              <w:rPr>
                <w:rFonts w:ascii="Arial Narrow" w:hAnsi="Arial Narrow" w:cs="Arial"/>
                <w:color w:val="000000" w:themeColor="text1"/>
                <w:sz w:val="20"/>
                <w:szCs w:val="20"/>
                <w:lang w:val="en-PH" w:eastAsia="en-PH"/>
              </w:rPr>
              <w:t>5.000%</w:t>
            </w:r>
          </w:p>
        </w:tc>
        <w:tc>
          <w:tcPr>
            <w:tcW w:w="1159" w:type="dxa"/>
          </w:tcPr>
          <w:p w14:paraId="1D514BD0" w14:textId="77777777" w:rsidR="00550599" w:rsidRPr="009E35ED" w:rsidRDefault="00550599" w:rsidP="00550599">
            <w:pPr>
              <w:ind w:left="0"/>
              <w:jc w:val="right"/>
              <w:rPr>
                <w:rFonts w:ascii="Arial Narrow" w:hAnsi="Arial Narrow" w:cs="Arial"/>
                <w:color w:val="000000" w:themeColor="text1"/>
                <w:sz w:val="20"/>
                <w:szCs w:val="20"/>
                <w:lang w:val="en-PH" w:eastAsia="en-PH"/>
              </w:rPr>
            </w:pPr>
          </w:p>
        </w:tc>
        <w:tc>
          <w:tcPr>
            <w:tcW w:w="1046" w:type="dxa"/>
          </w:tcPr>
          <w:p w14:paraId="6CEECEB8" w14:textId="77777777" w:rsidR="00550599" w:rsidRPr="009E35ED" w:rsidRDefault="00550599" w:rsidP="00D043CC">
            <w:pPr>
              <w:ind w:left="0"/>
              <w:jc w:val="right"/>
              <w:rPr>
                <w:rFonts w:ascii="Arial Narrow" w:hAnsi="Arial Narrow" w:cs="Arial"/>
                <w:color w:val="000000" w:themeColor="text1"/>
                <w:sz w:val="20"/>
                <w:szCs w:val="20"/>
                <w:lang w:val="en-PH" w:eastAsia="en-PH"/>
              </w:rPr>
            </w:pPr>
          </w:p>
        </w:tc>
        <w:tc>
          <w:tcPr>
            <w:tcW w:w="222" w:type="dxa"/>
          </w:tcPr>
          <w:p w14:paraId="7F8B30E2" w14:textId="6B7B1C05" w:rsidR="00550599" w:rsidRPr="009E35ED" w:rsidRDefault="00550599" w:rsidP="00550599">
            <w:pPr>
              <w:ind w:left="0"/>
              <w:jc w:val="right"/>
              <w:rPr>
                <w:rFonts w:ascii="Arial Narrow" w:hAnsi="Arial Narrow" w:cs="Arial"/>
                <w:color w:val="000000" w:themeColor="text1"/>
                <w:sz w:val="20"/>
                <w:szCs w:val="20"/>
                <w:lang w:val="en-PH" w:eastAsia="en-PH"/>
              </w:rPr>
            </w:pPr>
          </w:p>
        </w:tc>
      </w:tr>
      <w:tr w:rsidR="00997F75" w:rsidRPr="009E35ED" w14:paraId="3E472528" w14:textId="19DF507B" w:rsidTr="00D043CC">
        <w:trPr>
          <w:trHeight w:val="313"/>
        </w:trPr>
        <w:tc>
          <w:tcPr>
            <w:tcW w:w="3420" w:type="dxa"/>
            <w:tcBorders>
              <w:bottom w:val="single" w:sz="4" w:space="0" w:color="auto"/>
            </w:tcBorders>
            <w:shd w:val="clear" w:color="auto" w:fill="auto"/>
            <w:vAlign w:val="center"/>
            <w:hideMark/>
          </w:tcPr>
          <w:p w14:paraId="4DF2ABE4" w14:textId="77777777" w:rsidR="00550599" w:rsidRPr="009E35ED" w:rsidRDefault="00550599" w:rsidP="00550599">
            <w:pPr>
              <w:ind w:left="0"/>
              <w:rPr>
                <w:rFonts w:ascii="Arial Narrow" w:hAnsi="Arial Narrow" w:cs="Arial"/>
                <w:color w:val="000000" w:themeColor="text1"/>
                <w:sz w:val="20"/>
                <w:szCs w:val="20"/>
                <w:lang w:val="en-PH" w:eastAsia="en-PH"/>
              </w:rPr>
            </w:pPr>
            <w:r w:rsidRPr="009E35ED">
              <w:rPr>
                <w:rFonts w:ascii="Arial Narrow" w:hAnsi="Arial Narrow" w:cs="Arial"/>
                <w:color w:val="000000" w:themeColor="text1"/>
                <w:sz w:val="20"/>
                <w:szCs w:val="20"/>
                <w:lang w:val="en-PH" w:eastAsia="en-PH"/>
              </w:rPr>
              <w:t xml:space="preserve">     Operating Fund Expenses (PCSO)</w:t>
            </w:r>
          </w:p>
        </w:tc>
        <w:tc>
          <w:tcPr>
            <w:tcW w:w="864" w:type="dxa"/>
            <w:tcBorders>
              <w:bottom w:val="single" w:sz="4" w:space="0" w:color="auto"/>
            </w:tcBorders>
            <w:shd w:val="clear" w:color="auto" w:fill="auto"/>
            <w:vAlign w:val="center"/>
            <w:hideMark/>
          </w:tcPr>
          <w:p w14:paraId="516448ED" w14:textId="77777777" w:rsidR="00550599" w:rsidRPr="009E35ED" w:rsidRDefault="00550599" w:rsidP="00550599">
            <w:pPr>
              <w:ind w:left="0"/>
              <w:jc w:val="right"/>
              <w:rPr>
                <w:rFonts w:ascii="Arial Narrow" w:hAnsi="Arial Narrow" w:cs="Arial"/>
                <w:color w:val="000000" w:themeColor="text1"/>
                <w:sz w:val="20"/>
                <w:szCs w:val="20"/>
                <w:lang w:val="en-PH" w:eastAsia="en-PH"/>
              </w:rPr>
            </w:pPr>
            <w:r w:rsidRPr="009E35ED">
              <w:rPr>
                <w:rFonts w:ascii="Arial Narrow" w:hAnsi="Arial Narrow" w:cs="Arial"/>
                <w:color w:val="000000" w:themeColor="text1"/>
                <w:sz w:val="20"/>
                <w:szCs w:val="20"/>
                <w:lang w:val="en-PH" w:eastAsia="en-PH"/>
              </w:rPr>
              <w:t>4.70%</w:t>
            </w:r>
          </w:p>
        </w:tc>
        <w:tc>
          <w:tcPr>
            <w:tcW w:w="955" w:type="dxa"/>
            <w:tcBorders>
              <w:bottom w:val="single" w:sz="4" w:space="0" w:color="auto"/>
            </w:tcBorders>
            <w:shd w:val="clear" w:color="auto" w:fill="auto"/>
            <w:noWrap/>
            <w:vAlign w:val="center"/>
            <w:hideMark/>
          </w:tcPr>
          <w:p w14:paraId="0F4E83FE" w14:textId="77777777" w:rsidR="00550599" w:rsidRPr="009E35ED" w:rsidRDefault="00550599" w:rsidP="00550599">
            <w:pPr>
              <w:ind w:left="0"/>
              <w:jc w:val="right"/>
              <w:rPr>
                <w:rFonts w:ascii="Arial Narrow" w:hAnsi="Arial Narrow" w:cs="Arial"/>
                <w:color w:val="000000" w:themeColor="text1"/>
                <w:sz w:val="20"/>
                <w:szCs w:val="20"/>
                <w:lang w:val="en-PH" w:eastAsia="en-PH"/>
              </w:rPr>
            </w:pPr>
            <w:r w:rsidRPr="009E35ED">
              <w:rPr>
                <w:rFonts w:ascii="Arial Narrow" w:hAnsi="Arial Narrow" w:cs="Arial"/>
                <w:color w:val="000000" w:themeColor="text1"/>
                <w:sz w:val="20"/>
                <w:szCs w:val="20"/>
                <w:lang w:val="en-PH" w:eastAsia="en-PH"/>
              </w:rPr>
              <w:t>0.700%</w:t>
            </w:r>
          </w:p>
        </w:tc>
        <w:tc>
          <w:tcPr>
            <w:tcW w:w="955" w:type="dxa"/>
            <w:tcBorders>
              <w:bottom w:val="single" w:sz="4" w:space="0" w:color="auto"/>
            </w:tcBorders>
            <w:shd w:val="clear" w:color="auto" w:fill="auto"/>
            <w:noWrap/>
            <w:vAlign w:val="center"/>
            <w:hideMark/>
          </w:tcPr>
          <w:p w14:paraId="522A5D39" w14:textId="77777777" w:rsidR="00550599" w:rsidRPr="009E35ED" w:rsidRDefault="00550599" w:rsidP="00550599">
            <w:pPr>
              <w:ind w:left="0"/>
              <w:jc w:val="right"/>
              <w:rPr>
                <w:rFonts w:ascii="Arial Narrow" w:hAnsi="Arial Narrow" w:cs="Arial"/>
                <w:color w:val="000000" w:themeColor="text1"/>
                <w:sz w:val="20"/>
                <w:szCs w:val="20"/>
                <w:lang w:val="en-PH" w:eastAsia="en-PH"/>
              </w:rPr>
            </w:pPr>
            <w:r w:rsidRPr="009E35ED">
              <w:rPr>
                <w:rFonts w:ascii="Arial Narrow" w:hAnsi="Arial Narrow" w:cs="Arial"/>
                <w:color w:val="000000" w:themeColor="text1"/>
                <w:sz w:val="20"/>
                <w:szCs w:val="20"/>
                <w:lang w:val="en-PH" w:eastAsia="en-PH"/>
              </w:rPr>
              <w:t>9.700%</w:t>
            </w:r>
          </w:p>
        </w:tc>
        <w:tc>
          <w:tcPr>
            <w:tcW w:w="1159" w:type="dxa"/>
            <w:tcBorders>
              <w:bottom w:val="single" w:sz="4" w:space="0" w:color="auto"/>
            </w:tcBorders>
          </w:tcPr>
          <w:p w14:paraId="7E67737A" w14:textId="26AF4F69" w:rsidR="00550599" w:rsidRPr="009E35ED" w:rsidRDefault="00550599" w:rsidP="00550599">
            <w:pPr>
              <w:ind w:left="0"/>
              <w:jc w:val="right"/>
              <w:rPr>
                <w:rFonts w:ascii="Arial Narrow" w:hAnsi="Arial Narrow" w:cs="Arial"/>
                <w:color w:val="000000" w:themeColor="text1"/>
                <w:sz w:val="20"/>
                <w:szCs w:val="20"/>
                <w:lang w:val="en-PH" w:eastAsia="en-PH"/>
              </w:rPr>
            </w:pPr>
            <w:r w:rsidRPr="009E35ED">
              <w:rPr>
                <w:rFonts w:ascii="Arial Narrow" w:hAnsi="Arial Narrow" w:cs="Arial"/>
                <w:color w:val="000000" w:themeColor="text1"/>
                <w:sz w:val="20"/>
                <w:szCs w:val="20"/>
                <w:lang w:val="en-PH" w:eastAsia="en-PH"/>
              </w:rPr>
              <w:t>14.7000%</w:t>
            </w:r>
          </w:p>
        </w:tc>
        <w:tc>
          <w:tcPr>
            <w:tcW w:w="1046" w:type="dxa"/>
            <w:tcBorders>
              <w:bottom w:val="single" w:sz="4" w:space="0" w:color="auto"/>
            </w:tcBorders>
          </w:tcPr>
          <w:p w14:paraId="04DAD2A1" w14:textId="360AEA8E" w:rsidR="00550599" w:rsidRPr="009E35ED" w:rsidRDefault="00550599" w:rsidP="00D043CC">
            <w:pPr>
              <w:ind w:left="0"/>
              <w:jc w:val="right"/>
              <w:rPr>
                <w:rFonts w:ascii="Arial Narrow" w:hAnsi="Arial Narrow" w:cs="Arial"/>
                <w:color w:val="000000" w:themeColor="text1"/>
                <w:sz w:val="20"/>
                <w:szCs w:val="20"/>
                <w:lang w:val="en-PH" w:eastAsia="en-PH"/>
              </w:rPr>
            </w:pPr>
            <w:r w:rsidRPr="009E35ED">
              <w:rPr>
                <w:rFonts w:ascii="Arial Narrow" w:hAnsi="Arial Narrow" w:cs="Arial"/>
                <w:color w:val="000000" w:themeColor="text1"/>
                <w:sz w:val="20"/>
                <w:szCs w:val="20"/>
                <w:lang w:val="en-PH" w:eastAsia="en-PH"/>
              </w:rPr>
              <w:t>14.7000%</w:t>
            </w:r>
          </w:p>
        </w:tc>
        <w:tc>
          <w:tcPr>
            <w:tcW w:w="222" w:type="dxa"/>
            <w:tcBorders>
              <w:bottom w:val="single" w:sz="4" w:space="0" w:color="auto"/>
            </w:tcBorders>
          </w:tcPr>
          <w:p w14:paraId="271F3442" w14:textId="207D600F" w:rsidR="00550599" w:rsidRPr="009E35ED" w:rsidRDefault="00550599" w:rsidP="00550599">
            <w:pPr>
              <w:ind w:left="0"/>
              <w:jc w:val="right"/>
              <w:rPr>
                <w:rFonts w:ascii="Arial Narrow" w:hAnsi="Arial Narrow" w:cs="Arial"/>
                <w:color w:val="000000" w:themeColor="text1"/>
                <w:sz w:val="20"/>
                <w:szCs w:val="20"/>
                <w:lang w:val="en-PH" w:eastAsia="en-PH"/>
              </w:rPr>
            </w:pPr>
          </w:p>
        </w:tc>
      </w:tr>
      <w:tr w:rsidR="00550599" w:rsidRPr="009E35ED" w14:paraId="4844001D" w14:textId="73249CF1" w:rsidTr="00D043CC">
        <w:trPr>
          <w:trHeight w:val="313"/>
        </w:trPr>
        <w:tc>
          <w:tcPr>
            <w:tcW w:w="3420" w:type="dxa"/>
            <w:tcBorders>
              <w:top w:val="single" w:sz="4" w:space="0" w:color="auto"/>
              <w:bottom w:val="double" w:sz="4" w:space="0" w:color="auto"/>
            </w:tcBorders>
            <w:shd w:val="clear" w:color="auto" w:fill="auto"/>
            <w:vAlign w:val="center"/>
            <w:hideMark/>
          </w:tcPr>
          <w:p w14:paraId="4A693404" w14:textId="77777777" w:rsidR="00550599" w:rsidRPr="009E35ED" w:rsidRDefault="00550599" w:rsidP="00550599">
            <w:pPr>
              <w:ind w:left="0"/>
              <w:jc w:val="left"/>
              <w:rPr>
                <w:rFonts w:ascii="Arial Narrow" w:hAnsi="Arial Narrow" w:cs="Arial"/>
                <w:b/>
                <w:bCs/>
                <w:color w:val="000000" w:themeColor="text1"/>
                <w:sz w:val="20"/>
                <w:szCs w:val="20"/>
                <w:lang w:val="en-PH" w:eastAsia="en-PH"/>
              </w:rPr>
            </w:pPr>
            <w:r w:rsidRPr="009E35ED">
              <w:rPr>
                <w:rFonts w:ascii="Arial Narrow" w:hAnsi="Arial Narrow" w:cs="Arial"/>
                <w:b/>
                <w:bCs/>
                <w:color w:val="000000" w:themeColor="text1"/>
                <w:sz w:val="20"/>
                <w:szCs w:val="20"/>
                <w:lang w:val="en-PH" w:eastAsia="en-PH"/>
              </w:rPr>
              <w:t>TOTAL</w:t>
            </w:r>
          </w:p>
        </w:tc>
        <w:tc>
          <w:tcPr>
            <w:tcW w:w="864" w:type="dxa"/>
            <w:tcBorders>
              <w:top w:val="single" w:sz="4" w:space="0" w:color="auto"/>
              <w:bottom w:val="double" w:sz="4" w:space="0" w:color="auto"/>
            </w:tcBorders>
            <w:shd w:val="clear" w:color="auto" w:fill="auto"/>
            <w:vAlign w:val="center"/>
            <w:hideMark/>
          </w:tcPr>
          <w:p w14:paraId="1F1EAA18" w14:textId="77777777" w:rsidR="00550599" w:rsidRPr="009E35ED" w:rsidRDefault="00550599" w:rsidP="00550599">
            <w:pPr>
              <w:ind w:left="0"/>
              <w:jc w:val="right"/>
              <w:rPr>
                <w:rFonts w:ascii="Arial Narrow" w:hAnsi="Arial Narrow" w:cs="Arial"/>
                <w:b/>
                <w:bCs/>
                <w:color w:val="000000" w:themeColor="text1"/>
                <w:sz w:val="20"/>
                <w:szCs w:val="20"/>
                <w:lang w:val="en-PH" w:eastAsia="en-PH"/>
              </w:rPr>
            </w:pPr>
            <w:r w:rsidRPr="009E35ED">
              <w:rPr>
                <w:rFonts w:ascii="Arial Narrow" w:hAnsi="Arial Narrow" w:cs="Arial"/>
                <w:b/>
                <w:bCs/>
                <w:color w:val="000000" w:themeColor="text1"/>
                <w:sz w:val="20"/>
                <w:szCs w:val="20"/>
                <w:lang w:val="en-PH" w:eastAsia="en-PH"/>
              </w:rPr>
              <w:t>98.00%</w:t>
            </w:r>
          </w:p>
        </w:tc>
        <w:tc>
          <w:tcPr>
            <w:tcW w:w="955" w:type="dxa"/>
            <w:tcBorders>
              <w:top w:val="single" w:sz="4" w:space="0" w:color="auto"/>
              <w:bottom w:val="double" w:sz="4" w:space="0" w:color="auto"/>
            </w:tcBorders>
            <w:shd w:val="clear" w:color="auto" w:fill="auto"/>
            <w:noWrap/>
            <w:vAlign w:val="center"/>
            <w:hideMark/>
          </w:tcPr>
          <w:p w14:paraId="7670299E" w14:textId="77777777" w:rsidR="00550599" w:rsidRPr="009E35ED" w:rsidRDefault="00550599" w:rsidP="00550599">
            <w:pPr>
              <w:ind w:left="0"/>
              <w:jc w:val="right"/>
              <w:rPr>
                <w:rFonts w:ascii="Arial Narrow" w:hAnsi="Arial Narrow" w:cs="Arial"/>
                <w:b/>
                <w:bCs/>
                <w:color w:val="000000" w:themeColor="text1"/>
                <w:sz w:val="20"/>
                <w:szCs w:val="20"/>
                <w:lang w:val="en-PH" w:eastAsia="en-PH"/>
              </w:rPr>
            </w:pPr>
            <w:r w:rsidRPr="009E35ED">
              <w:rPr>
                <w:rFonts w:ascii="Arial Narrow" w:hAnsi="Arial Narrow" w:cs="Arial"/>
                <w:b/>
                <w:bCs/>
                <w:color w:val="000000" w:themeColor="text1"/>
                <w:sz w:val="20"/>
                <w:szCs w:val="20"/>
                <w:lang w:val="en-PH" w:eastAsia="en-PH"/>
              </w:rPr>
              <w:t>78.000%</w:t>
            </w:r>
          </w:p>
        </w:tc>
        <w:tc>
          <w:tcPr>
            <w:tcW w:w="955" w:type="dxa"/>
            <w:tcBorders>
              <w:top w:val="single" w:sz="4" w:space="0" w:color="auto"/>
              <w:bottom w:val="double" w:sz="4" w:space="0" w:color="auto"/>
            </w:tcBorders>
            <w:shd w:val="clear" w:color="auto" w:fill="auto"/>
            <w:noWrap/>
            <w:vAlign w:val="center"/>
            <w:hideMark/>
          </w:tcPr>
          <w:p w14:paraId="47F97681" w14:textId="77777777" w:rsidR="00550599" w:rsidRPr="009E35ED" w:rsidRDefault="00550599" w:rsidP="00550599">
            <w:pPr>
              <w:ind w:left="0"/>
              <w:jc w:val="right"/>
              <w:rPr>
                <w:rFonts w:ascii="Arial Narrow" w:hAnsi="Arial Narrow" w:cs="Arial"/>
                <w:b/>
                <w:bCs/>
                <w:color w:val="000000" w:themeColor="text1"/>
                <w:sz w:val="20"/>
                <w:szCs w:val="20"/>
                <w:lang w:val="en-PH" w:eastAsia="en-PH"/>
              </w:rPr>
            </w:pPr>
            <w:r w:rsidRPr="009E35ED">
              <w:rPr>
                <w:rFonts w:ascii="Arial Narrow" w:hAnsi="Arial Narrow" w:cs="Arial"/>
                <w:b/>
                <w:bCs/>
                <w:color w:val="000000" w:themeColor="text1"/>
                <w:sz w:val="20"/>
                <w:szCs w:val="20"/>
                <w:lang w:val="en-PH" w:eastAsia="en-PH"/>
              </w:rPr>
              <w:t>98.000%</w:t>
            </w:r>
          </w:p>
        </w:tc>
        <w:tc>
          <w:tcPr>
            <w:tcW w:w="1159" w:type="dxa"/>
            <w:tcBorders>
              <w:top w:val="single" w:sz="4" w:space="0" w:color="auto"/>
              <w:bottom w:val="double" w:sz="4" w:space="0" w:color="auto"/>
            </w:tcBorders>
            <w:vAlign w:val="center"/>
          </w:tcPr>
          <w:p w14:paraId="07A46A1E" w14:textId="6D410360" w:rsidR="00550599" w:rsidRPr="009E35ED" w:rsidRDefault="00550599" w:rsidP="00550599">
            <w:pPr>
              <w:ind w:left="0"/>
              <w:jc w:val="right"/>
              <w:rPr>
                <w:rFonts w:ascii="Arial Narrow" w:hAnsi="Arial Narrow" w:cs="Arial"/>
                <w:b/>
                <w:bCs/>
                <w:color w:val="000000" w:themeColor="text1"/>
                <w:sz w:val="20"/>
                <w:szCs w:val="20"/>
                <w:lang w:val="en-PH" w:eastAsia="en-PH"/>
              </w:rPr>
            </w:pPr>
            <w:r w:rsidRPr="009E35ED">
              <w:rPr>
                <w:rFonts w:ascii="Arial Narrow" w:hAnsi="Arial Narrow" w:cs="Arial"/>
                <w:b/>
                <w:bCs/>
                <w:color w:val="000000" w:themeColor="text1"/>
                <w:sz w:val="20"/>
                <w:szCs w:val="20"/>
                <w:lang w:val="en-PH" w:eastAsia="en-PH"/>
              </w:rPr>
              <w:t>98.0000%</w:t>
            </w:r>
          </w:p>
        </w:tc>
        <w:tc>
          <w:tcPr>
            <w:tcW w:w="1046" w:type="dxa"/>
            <w:tcBorders>
              <w:top w:val="single" w:sz="4" w:space="0" w:color="auto"/>
              <w:bottom w:val="double" w:sz="4" w:space="0" w:color="auto"/>
            </w:tcBorders>
            <w:vAlign w:val="center"/>
          </w:tcPr>
          <w:p w14:paraId="7A167A64" w14:textId="5BD5072D" w:rsidR="00550599" w:rsidRPr="009E35ED" w:rsidRDefault="00550599" w:rsidP="00D043CC">
            <w:pPr>
              <w:ind w:left="0"/>
              <w:jc w:val="right"/>
              <w:rPr>
                <w:rFonts w:ascii="Arial Narrow" w:hAnsi="Arial Narrow" w:cs="Arial"/>
                <w:b/>
                <w:bCs/>
                <w:color w:val="000000" w:themeColor="text1"/>
                <w:sz w:val="20"/>
                <w:szCs w:val="20"/>
                <w:lang w:val="en-PH" w:eastAsia="en-PH"/>
              </w:rPr>
            </w:pPr>
            <w:r w:rsidRPr="009E35ED">
              <w:rPr>
                <w:rFonts w:ascii="Arial Narrow" w:hAnsi="Arial Narrow" w:cs="Arial"/>
                <w:b/>
                <w:bCs/>
                <w:color w:val="000000" w:themeColor="text1"/>
                <w:sz w:val="20"/>
                <w:szCs w:val="20"/>
                <w:lang w:val="en-PH" w:eastAsia="en-PH"/>
              </w:rPr>
              <w:t>98.0000%</w:t>
            </w:r>
          </w:p>
        </w:tc>
        <w:tc>
          <w:tcPr>
            <w:tcW w:w="222" w:type="dxa"/>
            <w:tcBorders>
              <w:top w:val="single" w:sz="4" w:space="0" w:color="auto"/>
              <w:bottom w:val="double" w:sz="4" w:space="0" w:color="auto"/>
            </w:tcBorders>
          </w:tcPr>
          <w:p w14:paraId="5EA5C901" w14:textId="59CF2049" w:rsidR="00550599" w:rsidRPr="009E35ED" w:rsidRDefault="00550599" w:rsidP="00550599">
            <w:pPr>
              <w:ind w:left="0"/>
              <w:jc w:val="right"/>
              <w:rPr>
                <w:rFonts w:ascii="Arial Narrow" w:hAnsi="Arial Narrow" w:cs="Arial"/>
                <w:b/>
                <w:bCs/>
                <w:color w:val="000000" w:themeColor="text1"/>
                <w:sz w:val="20"/>
                <w:szCs w:val="20"/>
                <w:lang w:val="en-PH" w:eastAsia="en-PH"/>
              </w:rPr>
            </w:pPr>
          </w:p>
        </w:tc>
      </w:tr>
    </w:tbl>
    <w:p w14:paraId="655126E3" w14:textId="77777777" w:rsidR="009B285B" w:rsidRPr="009E35ED" w:rsidRDefault="009B285B" w:rsidP="00803F8C">
      <w:pPr>
        <w:ind w:left="0"/>
        <w:rPr>
          <w:rFonts w:ascii="Arial" w:hAnsi="Arial" w:cs="Arial"/>
          <w:color w:val="000000" w:themeColor="text1"/>
          <w:sz w:val="22"/>
          <w:szCs w:val="22"/>
        </w:rPr>
      </w:pPr>
    </w:p>
    <w:p w14:paraId="229746AE" w14:textId="3A3EE68D" w:rsidR="00437BDC" w:rsidRPr="009E35ED" w:rsidRDefault="00986F56" w:rsidP="00803F8C">
      <w:pPr>
        <w:ind w:left="0"/>
        <w:rPr>
          <w:rStyle w:val="cf01"/>
          <w:rFonts w:ascii="Arial" w:hAnsi="Arial" w:cs="Arial"/>
          <w:color w:val="000000" w:themeColor="text1"/>
          <w:sz w:val="22"/>
          <w:szCs w:val="22"/>
        </w:rPr>
      </w:pPr>
      <w:r w:rsidRPr="009E35ED">
        <w:rPr>
          <w:rStyle w:val="cf01"/>
          <w:rFonts w:ascii="Arial" w:hAnsi="Arial" w:cs="Arial"/>
          <w:color w:val="000000" w:themeColor="text1"/>
          <w:sz w:val="22"/>
          <w:szCs w:val="22"/>
        </w:rPr>
        <w:t xml:space="preserve">Out of the Gross Receipts from STL sales, </w:t>
      </w:r>
      <w:r w:rsidR="003A2C3A" w:rsidRPr="009E35ED">
        <w:rPr>
          <w:rStyle w:val="cf01"/>
          <w:rFonts w:ascii="Arial" w:hAnsi="Arial" w:cs="Arial"/>
          <w:color w:val="000000" w:themeColor="text1"/>
          <w:sz w:val="22"/>
          <w:szCs w:val="22"/>
        </w:rPr>
        <w:t>5.64</w:t>
      </w:r>
      <w:r w:rsidRPr="009E35ED">
        <w:rPr>
          <w:rStyle w:val="cf01"/>
          <w:rFonts w:ascii="Arial" w:hAnsi="Arial" w:cs="Arial"/>
          <w:color w:val="000000" w:themeColor="text1"/>
          <w:sz w:val="22"/>
          <w:szCs w:val="22"/>
        </w:rPr>
        <w:t>% remain in PCSO Charity Fund; 14.7% and 2% were allocated for Operating Fund and Printing Cost</w:t>
      </w:r>
      <w:r w:rsidR="001D68E0" w:rsidRPr="009E35ED">
        <w:rPr>
          <w:rStyle w:val="cf01"/>
          <w:rFonts w:ascii="Arial" w:hAnsi="Arial" w:cs="Arial"/>
          <w:color w:val="000000" w:themeColor="text1"/>
          <w:sz w:val="22"/>
          <w:szCs w:val="22"/>
        </w:rPr>
        <w:t>, respectively.</w:t>
      </w:r>
    </w:p>
    <w:p w14:paraId="42477658" w14:textId="0E037E09" w:rsidR="00137CD9" w:rsidRPr="009E35ED" w:rsidRDefault="00137CD9" w:rsidP="00803F8C">
      <w:pPr>
        <w:ind w:left="0"/>
        <w:rPr>
          <w:rStyle w:val="cf01"/>
          <w:rFonts w:ascii="Arial" w:hAnsi="Arial" w:cs="Arial"/>
          <w:color w:val="000000" w:themeColor="text1"/>
          <w:sz w:val="22"/>
          <w:szCs w:val="22"/>
        </w:rPr>
      </w:pPr>
    </w:p>
    <w:p w14:paraId="747D3C43" w14:textId="77777777" w:rsidR="00D549BC" w:rsidRPr="009E35ED" w:rsidRDefault="00D549BC" w:rsidP="00D549BC">
      <w:pPr>
        <w:ind w:left="0"/>
        <w:rPr>
          <w:rStyle w:val="cf01"/>
          <w:rFonts w:ascii="Arial" w:hAnsi="Arial" w:cs="Arial"/>
          <w:color w:val="000000" w:themeColor="text1"/>
          <w:sz w:val="22"/>
          <w:szCs w:val="22"/>
        </w:rPr>
      </w:pPr>
    </w:p>
    <w:p w14:paraId="037DC11E" w14:textId="77777777" w:rsidR="00D549BC" w:rsidRPr="009E35ED" w:rsidRDefault="00D549BC" w:rsidP="00D549BC">
      <w:pPr>
        <w:pStyle w:val="ListParagraph"/>
        <w:numPr>
          <w:ilvl w:val="0"/>
          <w:numId w:val="41"/>
        </w:numPr>
        <w:ind w:left="720" w:hanging="720"/>
        <w:rPr>
          <w:rFonts w:ascii="Arial" w:hAnsi="Arial" w:cs="Arial"/>
          <w:b/>
          <w:color w:val="000000" w:themeColor="text1"/>
          <w:sz w:val="22"/>
          <w:szCs w:val="22"/>
        </w:rPr>
      </w:pPr>
      <w:r w:rsidRPr="009E35ED">
        <w:rPr>
          <w:rFonts w:ascii="Arial" w:hAnsi="Arial" w:cs="Arial"/>
          <w:b/>
          <w:color w:val="000000" w:themeColor="text1"/>
          <w:sz w:val="22"/>
          <w:szCs w:val="22"/>
        </w:rPr>
        <w:t>National Instant Sweepstakes Program</w:t>
      </w:r>
    </w:p>
    <w:p w14:paraId="0A66493C" w14:textId="77777777" w:rsidR="00D549BC" w:rsidRPr="009E35ED" w:rsidRDefault="00D549BC" w:rsidP="00D549BC">
      <w:pPr>
        <w:ind w:left="0"/>
        <w:rPr>
          <w:rFonts w:ascii="Arial" w:hAnsi="Arial" w:cs="Arial"/>
          <w:color w:val="000000" w:themeColor="text1"/>
          <w:sz w:val="22"/>
          <w:szCs w:val="22"/>
        </w:rPr>
      </w:pPr>
    </w:p>
    <w:p w14:paraId="11143228" w14:textId="1A1F8D69" w:rsidR="00D549BC" w:rsidRPr="009E35ED" w:rsidRDefault="00D549BC" w:rsidP="00D549BC">
      <w:pPr>
        <w:ind w:left="0"/>
        <w:rPr>
          <w:rFonts w:ascii="Arial" w:hAnsi="Arial" w:cs="Arial"/>
          <w:color w:val="000000" w:themeColor="text1"/>
          <w:sz w:val="22"/>
          <w:szCs w:val="22"/>
        </w:rPr>
      </w:pPr>
      <w:r w:rsidRPr="009E35ED">
        <w:rPr>
          <w:rFonts w:ascii="Arial" w:hAnsi="Arial" w:cs="Arial"/>
          <w:color w:val="000000" w:themeColor="text1"/>
          <w:sz w:val="22"/>
          <w:szCs w:val="22"/>
        </w:rPr>
        <w:t>PCSO Board of Directors approved the introduction and operation of the Instant Sweepstakes project to generate continuing additional revenues for the agency.</w:t>
      </w:r>
    </w:p>
    <w:p w14:paraId="4ED4D437" w14:textId="77777777" w:rsidR="00D549BC" w:rsidRPr="009E35ED" w:rsidRDefault="00D549BC" w:rsidP="00D549BC">
      <w:pPr>
        <w:ind w:left="0"/>
        <w:rPr>
          <w:rFonts w:ascii="Arial" w:hAnsi="Arial" w:cs="Arial"/>
          <w:color w:val="000000" w:themeColor="text1"/>
          <w:sz w:val="22"/>
          <w:szCs w:val="22"/>
        </w:rPr>
      </w:pPr>
    </w:p>
    <w:p w14:paraId="55DE17D9" w14:textId="77777777" w:rsidR="00D549BC" w:rsidRPr="009E35ED" w:rsidRDefault="00D549BC" w:rsidP="00D549BC">
      <w:pPr>
        <w:ind w:left="0"/>
        <w:rPr>
          <w:rFonts w:ascii="Arial" w:hAnsi="Arial" w:cs="Arial"/>
          <w:color w:val="000000" w:themeColor="text1"/>
          <w:sz w:val="22"/>
          <w:szCs w:val="22"/>
        </w:rPr>
      </w:pPr>
      <w:r w:rsidRPr="009E35ED">
        <w:rPr>
          <w:rFonts w:ascii="Arial" w:hAnsi="Arial" w:cs="Arial"/>
          <w:color w:val="000000" w:themeColor="text1"/>
          <w:sz w:val="22"/>
          <w:szCs w:val="22"/>
        </w:rPr>
        <w:t>The National Instant Sweepstakes Program is being conducted with the Instant Sweepstakes Authorized Corporation/s (ISACs) under a non-exclusive all-in contract involving production, distribution, marketing, advertising and selling of the said Instant Sweepstakes tickets nationwide on a considered sold basis.</w:t>
      </w:r>
    </w:p>
    <w:p w14:paraId="4445BFD1" w14:textId="77777777" w:rsidR="00D549BC" w:rsidRPr="009E35ED" w:rsidRDefault="00D549BC" w:rsidP="00D549BC">
      <w:pPr>
        <w:ind w:left="0"/>
        <w:rPr>
          <w:rFonts w:ascii="Arial" w:hAnsi="Arial" w:cs="Arial"/>
          <w:color w:val="000000" w:themeColor="text1"/>
          <w:sz w:val="22"/>
          <w:szCs w:val="22"/>
        </w:rPr>
      </w:pPr>
    </w:p>
    <w:p w14:paraId="42DC828D" w14:textId="77777777" w:rsidR="00D549BC" w:rsidRDefault="00D549BC" w:rsidP="00D549BC">
      <w:pPr>
        <w:ind w:left="0"/>
        <w:rPr>
          <w:rFonts w:ascii="Arial" w:hAnsi="Arial" w:cs="Arial"/>
          <w:color w:val="000000" w:themeColor="text1"/>
          <w:sz w:val="22"/>
          <w:szCs w:val="22"/>
        </w:rPr>
      </w:pPr>
    </w:p>
    <w:p w14:paraId="62B80EAD" w14:textId="77777777" w:rsidR="00D043CC" w:rsidRDefault="00D043CC" w:rsidP="00D549BC">
      <w:pPr>
        <w:ind w:left="0"/>
        <w:rPr>
          <w:rFonts w:ascii="Arial" w:hAnsi="Arial" w:cs="Arial"/>
          <w:color w:val="000000" w:themeColor="text1"/>
          <w:sz w:val="22"/>
          <w:szCs w:val="22"/>
        </w:rPr>
      </w:pPr>
    </w:p>
    <w:p w14:paraId="4A17EB99" w14:textId="77777777" w:rsidR="00D043CC" w:rsidRDefault="00D043CC" w:rsidP="00D549BC">
      <w:pPr>
        <w:ind w:left="0"/>
        <w:rPr>
          <w:rFonts w:ascii="Arial" w:hAnsi="Arial" w:cs="Arial"/>
          <w:color w:val="000000" w:themeColor="text1"/>
          <w:sz w:val="22"/>
          <w:szCs w:val="22"/>
        </w:rPr>
      </w:pPr>
    </w:p>
    <w:p w14:paraId="12B623E0" w14:textId="77777777" w:rsidR="00D043CC" w:rsidRDefault="00D043CC" w:rsidP="00D549BC">
      <w:pPr>
        <w:ind w:left="0"/>
        <w:rPr>
          <w:rFonts w:ascii="Arial" w:hAnsi="Arial" w:cs="Arial"/>
          <w:color w:val="000000" w:themeColor="text1"/>
          <w:sz w:val="22"/>
          <w:szCs w:val="22"/>
        </w:rPr>
      </w:pPr>
    </w:p>
    <w:p w14:paraId="708B134D" w14:textId="77777777" w:rsidR="00D043CC" w:rsidRDefault="00D043CC" w:rsidP="00D549BC">
      <w:pPr>
        <w:ind w:left="0"/>
        <w:rPr>
          <w:rFonts w:ascii="Arial" w:hAnsi="Arial" w:cs="Arial"/>
          <w:color w:val="000000" w:themeColor="text1"/>
          <w:sz w:val="22"/>
          <w:szCs w:val="22"/>
        </w:rPr>
      </w:pPr>
    </w:p>
    <w:p w14:paraId="22706364" w14:textId="77777777" w:rsidR="00D043CC" w:rsidRPr="009E35ED" w:rsidRDefault="00D043CC" w:rsidP="00D549BC">
      <w:pPr>
        <w:ind w:left="0"/>
        <w:rPr>
          <w:rFonts w:ascii="Arial" w:hAnsi="Arial" w:cs="Arial"/>
          <w:color w:val="000000" w:themeColor="text1"/>
          <w:sz w:val="22"/>
          <w:szCs w:val="22"/>
        </w:rPr>
      </w:pPr>
    </w:p>
    <w:p w14:paraId="20893BF5" w14:textId="77777777" w:rsidR="00D549BC" w:rsidRPr="009E35ED" w:rsidRDefault="00D549BC" w:rsidP="00D549BC">
      <w:pPr>
        <w:ind w:left="0"/>
        <w:rPr>
          <w:rFonts w:ascii="Arial" w:hAnsi="Arial" w:cs="Arial"/>
          <w:bCs/>
          <w:iCs/>
          <w:color w:val="000000" w:themeColor="text1"/>
          <w:sz w:val="22"/>
          <w:szCs w:val="22"/>
        </w:rPr>
      </w:pPr>
      <w:r w:rsidRPr="009E35ED">
        <w:rPr>
          <w:rFonts w:ascii="Arial" w:hAnsi="Arial" w:cs="Arial"/>
          <w:bCs/>
          <w:iCs/>
          <w:color w:val="000000" w:themeColor="text1"/>
          <w:sz w:val="22"/>
          <w:szCs w:val="22"/>
        </w:rPr>
        <w:t>Revenue Allocation for National Instant Sweepstakes Program is as follows:</w:t>
      </w:r>
    </w:p>
    <w:p w14:paraId="35FA1461" w14:textId="77777777" w:rsidR="00D549BC" w:rsidRPr="009E35ED" w:rsidRDefault="00D549BC" w:rsidP="00D549BC">
      <w:pPr>
        <w:ind w:left="0"/>
        <w:rPr>
          <w:rFonts w:ascii="Arial" w:hAnsi="Arial" w:cs="Arial"/>
          <w:color w:val="000000" w:themeColor="text1"/>
          <w:sz w:val="22"/>
          <w:szCs w:val="22"/>
        </w:rPr>
      </w:pPr>
    </w:p>
    <w:tbl>
      <w:tblPr>
        <w:tblStyle w:val="TableGrid"/>
        <w:tblW w:w="86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00"/>
        <w:gridCol w:w="1440"/>
      </w:tblGrid>
      <w:tr w:rsidR="00D549BC" w:rsidRPr="009E35ED" w14:paraId="64F9E035" w14:textId="77777777" w:rsidTr="00D043CC">
        <w:tc>
          <w:tcPr>
            <w:tcW w:w="7200" w:type="dxa"/>
            <w:tcBorders>
              <w:top w:val="single" w:sz="4" w:space="0" w:color="auto"/>
              <w:bottom w:val="single" w:sz="4" w:space="0" w:color="auto"/>
            </w:tcBorders>
            <w:vAlign w:val="bottom"/>
          </w:tcPr>
          <w:p w14:paraId="55EC9791" w14:textId="77777777" w:rsidR="00D549BC" w:rsidRPr="009E35ED" w:rsidRDefault="00D549BC" w:rsidP="008A565F">
            <w:pPr>
              <w:spacing w:line="360" w:lineRule="auto"/>
              <w:ind w:left="0"/>
              <w:jc w:val="center"/>
              <w:rPr>
                <w:rFonts w:ascii="Arial Narrow" w:hAnsi="Arial Narrow" w:cs="Arial"/>
                <w:b/>
                <w:bCs/>
                <w:iCs/>
                <w:color w:val="000000" w:themeColor="text1"/>
                <w:sz w:val="20"/>
                <w:szCs w:val="20"/>
              </w:rPr>
            </w:pPr>
            <w:r w:rsidRPr="009E35ED">
              <w:rPr>
                <w:rFonts w:ascii="Arial Narrow" w:hAnsi="Arial Narrow"/>
                <w:b/>
                <w:color w:val="000000" w:themeColor="text1"/>
                <w:sz w:val="20"/>
                <w:szCs w:val="20"/>
              </w:rPr>
              <w:t>Particulars</w:t>
            </w:r>
          </w:p>
        </w:tc>
        <w:tc>
          <w:tcPr>
            <w:tcW w:w="1440" w:type="dxa"/>
            <w:tcBorders>
              <w:top w:val="single" w:sz="4" w:space="0" w:color="auto"/>
              <w:bottom w:val="single" w:sz="4" w:space="0" w:color="auto"/>
            </w:tcBorders>
          </w:tcPr>
          <w:p w14:paraId="707F76B5" w14:textId="77777777" w:rsidR="00D549BC" w:rsidRPr="009E35ED" w:rsidRDefault="00D549BC" w:rsidP="00D043CC">
            <w:pPr>
              <w:ind w:left="0" w:right="-108"/>
              <w:jc w:val="right"/>
              <w:rPr>
                <w:rFonts w:ascii="Arial Narrow" w:hAnsi="Arial Narrow" w:cs="Arial"/>
                <w:bCs/>
                <w:iCs/>
                <w:color w:val="000000" w:themeColor="text1"/>
                <w:sz w:val="20"/>
                <w:szCs w:val="20"/>
              </w:rPr>
            </w:pPr>
            <w:r w:rsidRPr="009E35ED">
              <w:rPr>
                <w:rFonts w:ascii="Arial Narrow" w:hAnsi="Arial Narrow" w:cs="Arial"/>
                <w:b/>
                <w:bCs/>
                <w:color w:val="000000" w:themeColor="text1"/>
                <w:sz w:val="20"/>
                <w:szCs w:val="20"/>
                <w:lang w:eastAsia="ar-SA"/>
              </w:rPr>
              <w:t>BR NO. 0280               s. 2018</w:t>
            </w:r>
          </w:p>
        </w:tc>
      </w:tr>
      <w:tr w:rsidR="00D549BC" w:rsidRPr="009E35ED" w14:paraId="299A0CAC" w14:textId="77777777" w:rsidTr="00D043CC">
        <w:tc>
          <w:tcPr>
            <w:tcW w:w="7200" w:type="dxa"/>
            <w:tcBorders>
              <w:top w:val="single" w:sz="4" w:space="0" w:color="auto"/>
            </w:tcBorders>
            <w:vAlign w:val="bottom"/>
          </w:tcPr>
          <w:p w14:paraId="611B452B" w14:textId="77777777" w:rsidR="00D549BC" w:rsidRPr="009E35ED" w:rsidRDefault="00D549BC" w:rsidP="008A565F">
            <w:pPr>
              <w:ind w:left="0"/>
              <w:rPr>
                <w:rFonts w:ascii="Arial Narrow" w:hAnsi="Arial Narrow" w:cs="Arial"/>
                <w:bCs/>
                <w:iCs/>
                <w:color w:val="000000" w:themeColor="text1"/>
                <w:sz w:val="20"/>
                <w:szCs w:val="20"/>
              </w:rPr>
            </w:pPr>
            <w:r w:rsidRPr="009E35ED">
              <w:rPr>
                <w:rFonts w:ascii="Arial Narrow" w:hAnsi="Arial Narrow"/>
                <w:b/>
                <w:bCs/>
                <w:color w:val="000000" w:themeColor="text1"/>
                <w:sz w:val="20"/>
                <w:szCs w:val="20"/>
              </w:rPr>
              <w:t>Retail Receipts (RR)</w:t>
            </w:r>
          </w:p>
        </w:tc>
        <w:tc>
          <w:tcPr>
            <w:tcW w:w="1440" w:type="dxa"/>
            <w:tcBorders>
              <w:top w:val="single" w:sz="4" w:space="0" w:color="auto"/>
            </w:tcBorders>
            <w:vAlign w:val="bottom"/>
          </w:tcPr>
          <w:p w14:paraId="6E395C62" w14:textId="77777777" w:rsidR="00D549BC" w:rsidRPr="009E35ED" w:rsidRDefault="00D549BC" w:rsidP="00D043CC">
            <w:pPr>
              <w:ind w:left="0" w:right="-108"/>
              <w:jc w:val="right"/>
              <w:rPr>
                <w:rFonts w:ascii="Arial Narrow" w:hAnsi="Arial Narrow" w:cs="Arial"/>
                <w:bCs/>
                <w:iCs/>
                <w:color w:val="000000" w:themeColor="text1"/>
                <w:sz w:val="20"/>
                <w:szCs w:val="20"/>
              </w:rPr>
            </w:pPr>
            <w:r w:rsidRPr="009E35ED">
              <w:rPr>
                <w:rFonts w:ascii="Arial Narrow" w:hAnsi="Arial Narrow"/>
                <w:b/>
                <w:bCs/>
                <w:color w:val="000000" w:themeColor="text1"/>
                <w:sz w:val="20"/>
                <w:szCs w:val="20"/>
              </w:rPr>
              <w:t>100.000%</w:t>
            </w:r>
          </w:p>
        </w:tc>
      </w:tr>
      <w:tr w:rsidR="00D549BC" w:rsidRPr="009E35ED" w14:paraId="72C1D78D" w14:textId="77777777" w:rsidTr="00D043CC">
        <w:tc>
          <w:tcPr>
            <w:tcW w:w="7200" w:type="dxa"/>
            <w:vAlign w:val="bottom"/>
          </w:tcPr>
          <w:p w14:paraId="15E4D9B6" w14:textId="77777777" w:rsidR="00D549BC" w:rsidRPr="009E35ED" w:rsidRDefault="00D549BC" w:rsidP="008A565F">
            <w:pPr>
              <w:ind w:left="0"/>
              <w:rPr>
                <w:rFonts w:ascii="Arial Narrow" w:hAnsi="Arial Narrow" w:cs="Arial"/>
                <w:bCs/>
                <w:iCs/>
                <w:color w:val="000000" w:themeColor="text1"/>
                <w:sz w:val="20"/>
                <w:szCs w:val="20"/>
              </w:rPr>
            </w:pPr>
            <w:r w:rsidRPr="009E35ED">
              <w:rPr>
                <w:rFonts w:ascii="Arial Narrow" w:hAnsi="Arial Narrow"/>
                <w:color w:val="000000" w:themeColor="text1"/>
                <w:sz w:val="20"/>
                <w:szCs w:val="20"/>
              </w:rPr>
              <w:t>Less:   2% Printing Cost</w:t>
            </w:r>
          </w:p>
        </w:tc>
        <w:tc>
          <w:tcPr>
            <w:tcW w:w="1440" w:type="dxa"/>
            <w:vAlign w:val="bottom"/>
          </w:tcPr>
          <w:p w14:paraId="0780C994" w14:textId="77777777" w:rsidR="00D549BC" w:rsidRPr="009E35ED" w:rsidRDefault="00D549BC" w:rsidP="00D043CC">
            <w:pPr>
              <w:ind w:left="0" w:right="-108"/>
              <w:jc w:val="right"/>
              <w:rPr>
                <w:rFonts w:ascii="Arial Narrow" w:hAnsi="Arial Narrow" w:cs="Arial"/>
                <w:bCs/>
                <w:iCs/>
                <w:color w:val="000000" w:themeColor="text1"/>
                <w:sz w:val="20"/>
                <w:szCs w:val="20"/>
              </w:rPr>
            </w:pPr>
            <w:r w:rsidRPr="009E35ED">
              <w:rPr>
                <w:rFonts w:ascii="Arial Narrow" w:hAnsi="Arial Narrow"/>
                <w:b/>
                <w:bCs/>
                <w:color w:val="000000" w:themeColor="text1"/>
                <w:sz w:val="20"/>
                <w:szCs w:val="20"/>
              </w:rPr>
              <w:t>2.000%</w:t>
            </w:r>
          </w:p>
        </w:tc>
      </w:tr>
      <w:tr w:rsidR="00D549BC" w:rsidRPr="009E35ED" w14:paraId="368982D0" w14:textId="77777777" w:rsidTr="00D043CC">
        <w:tc>
          <w:tcPr>
            <w:tcW w:w="7200" w:type="dxa"/>
            <w:vAlign w:val="bottom"/>
          </w:tcPr>
          <w:p w14:paraId="1177438C" w14:textId="77777777" w:rsidR="00D549BC" w:rsidRPr="009E35ED" w:rsidRDefault="00D549BC" w:rsidP="008A565F">
            <w:pPr>
              <w:ind w:left="0"/>
              <w:rPr>
                <w:rFonts w:ascii="Arial Narrow" w:hAnsi="Arial Narrow" w:cs="Arial"/>
                <w:bCs/>
                <w:iCs/>
                <w:color w:val="000000" w:themeColor="text1"/>
                <w:sz w:val="20"/>
                <w:szCs w:val="20"/>
              </w:rPr>
            </w:pPr>
            <w:r w:rsidRPr="009E35ED">
              <w:rPr>
                <w:rFonts w:ascii="Arial Narrow" w:hAnsi="Arial Narrow"/>
                <w:b/>
                <w:bCs/>
                <w:color w:val="000000" w:themeColor="text1"/>
                <w:sz w:val="20"/>
                <w:szCs w:val="20"/>
              </w:rPr>
              <w:t>Net Receipts (NR)</w:t>
            </w:r>
          </w:p>
        </w:tc>
        <w:tc>
          <w:tcPr>
            <w:tcW w:w="1440" w:type="dxa"/>
            <w:vAlign w:val="bottom"/>
          </w:tcPr>
          <w:p w14:paraId="27670723" w14:textId="77777777" w:rsidR="00D549BC" w:rsidRPr="009E35ED" w:rsidRDefault="00D549BC" w:rsidP="00D043CC">
            <w:pPr>
              <w:ind w:left="0" w:right="-108"/>
              <w:jc w:val="right"/>
              <w:rPr>
                <w:rFonts w:ascii="Arial Narrow" w:hAnsi="Arial Narrow" w:cs="Arial"/>
                <w:bCs/>
                <w:iCs/>
                <w:color w:val="000000" w:themeColor="text1"/>
                <w:sz w:val="20"/>
                <w:szCs w:val="20"/>
              </w:rPr>
            </w:pPr>
            <w:r w:rsidRPr="009E35ED">
              <w:rPr>
                <w:rFonts w:ascii="Arial Narrow" w:hAnsi="Arial Narrow"/>
                <w:b/>
                <w:bCs/>
                <w:color w:val="000000" w:themeColor="text1"/>
                <w:sz w:val="20"/>
                <w:szCs w:val="20"/>
              </w:rPr>
              <w:t>98.000%</w:t>
            </w:r>
          </w:p>
        </w:tc>
      </w:tr>
      <w:tr w:rsidR="00D549BC" w:rsidRPr="009E35ED" w14:paraId="436974C4" w14:textId="77777777" w:rsidTr="00D043CC">
        <w:tc>
          <w:tcPr>
            <w:tcW w:w="7200" w:type="dxa"/>
            <w:vAlign w:val="bottom"/>
          </w:tcPr>
          <w:p w14:paraId="546C28C6" w14:textId="2E9BF1AB" w:rsidR="00D549BC" w:rsidRPr="009E35ED" w:rsidRDefault="00D549BC" w:rsidP="008A565F">
            <w:pPr>
              <w:ind w:left="0"/>
              <w:rPr>
                <w:rFonts w:ascii="Arial Narrow" w:hAnsi="Arial Narrow" w:cs="Arial"/>
                <w:bCs/>
                <w:iCs/>
                <w:color w:val="000000" w:themeColor="text1"/>
                <w:sz w:val="20"/>
                <w:szCs w:val="20"/>
              </w:rPr>
            </w:pPr>
          </w:p>
        </w:tc>
        <w:tc>
          <w:tcPr>
            <w:tcW w:w="1440" w:type="dxa"/>
            <w:vAlign w:val="bottom"/>
          </w:tcPr>
          <w:p w14:paraId="54650B25" w14:textId="77777777" w:rsidR="00D549BC" w:rsidRPr="009E35ED" w:rsidRDefault="00D549BC" w:rsidP="00D043CC">
            <w:pPr>
              <w:ind w:left="0" w:right="-108"/>
              <w:jc w:val="right"/>
              <w:rPr>
                <w:rFonts w:ascii="Arial Narrow" w:hAnsi="Arial Narrow" w:cs="Arial"/>
                <w:bCs/>
                <w:iCs/>
                <w:color w:val="000000" w:themeColor="text1"/>
                <w:sz w:val="20"/>
                <w:szCs w:val="20"/>
              </w:rPr>
            </w:pPr>
          </w:p>
        </w:tc>
      </w:tr>
      <w:tr w:rsidR="00D549BC" w:rsidRPr="009E35ED" w14:paraId="5A815D9D" w14:textId="77777777" w:rsidTr="00D043CC">
        <w:tc>
          <w:tcPr>
            <w:tcW w:w="7200" w:type="dxa"/>
            <w:vAlign w:val="bottom"/>
          </w:tcPr>
          <w:p w14:paraId="3FB15360" w14:textId="77777777" w:rsidR="00D549BC" w:rsidRPr="009E35ED" w:rsidRDefault="00D549BC" w:rsidP="008A565F">
            <w:pPr>
              <w:ind w:left="0"/>
              <w:rPr>
                <w:rFonts w:ascii="Arial Narrow" w:hAnsi="Arial Narrow"/>
                <w:b/>
                <w:bCs/>
                <w:color w:val="000000" w:themeColor="text1"/>
                <w:sz w:val="20"/>
                <w:szCs w:val="20"/>
              </w:rPr>
            </w:pPr>
            <w:r w:rsidRPr="009E35ED">
              <w:rPr>
                <w:rFonts w:ascii="Arial Narrow" w:hAnsi="Arial Narrow"/>
                <w:b/>
                <w:bCs/>
                <w:color w:val="000000" w:themeColor="text1"/>
                <w:sz w:val="20"/>
                <w:szCs w:val="20"/>
              </w:rPr>
              <w:t>Allocation of Net Receipts (NR):</w:t>
            </w:r>
          </w:p>
        </w:tc>
        <w:tc>
          <w:tcPr>
            <w:tcW w:w="1440" w:type="dxa"/>
            <w:vAlign w:val="bottom"/>
          </w:tcPr>
          <w:p w14:paraId="10D8715B" w14:textId="77777777" w:rsidR="00D549BC" w:rsidRPr="009E35ED" w:rsidRDefault="00D549BC" w:rsidP="00D043CC">
            <w:pPr>
              <w:ind w:left="0" w:right="-108"/>
              <w:jc w:val="right"/>
              <w:rPr>
                <w:rFonts w:ascii="Arial Narrow" w:hAnsi="Arial Narrow" w:cs="Arial"/>
                <w:bCs/>
                <w:iCs/>
                <w:color w:val="000000" w:themeColor="text1"/>
                <w:sz w:val="20"/>
                <w:szCs w:val="20"/>
              </w:rPr>
            </w:pPr>
          </w:p>
        </w:tc>
      </w:tr>
      <w:tr w:rsidR="00D549BC" w:rsidRPr="009E35ED" w14:paraId="21D57542" w14:textId="77777777" w:rsidTr="00D043CC">
        <w:tc>
          <w:tcPr>
            <w:tcW w:w="7200" w:type="dxa"/>
            <w:vAlign w:val="bottom"/>
          </w:tcPr>
          <w:p w14:paraId="2FF13AA9" w14:textId="77777777" w:rsidR="00D549BC" w:rsidRPr="009E35ED" w:rsidRDefault="00D549BC" w:rsidP="008A565F">
            <w:pPr>
              <w:ind w:left="0"/>
              <w:rPr>
                <w:rFonts w:ascii="Arial Narrow" w:hAnsi="Arial Narrow" w:cs="Arial"/>
                <w:bCs/>
                <w:iCs/>
                <w:color w:val="000000" w:themeColor="text1"/>
                <w:sz w:val="20"/>
                <w:szCs w:val="20"/>
              </w:rPr>
            </w:pPr>
            <w:r w:rsidRPr="009E35ED">
              <w:rPr>
                <w:rFonts w:ascii="Arial Narrow" w:hAnsi="Arial Narrow"/>
                <w:b/>
                <w:bCs/>
                <w:color w:val="000000" w:themeColor="text1"/>
                <w:sz w:val="20"/>
                <w:szCs w:val="20"/>
              </w:rPr>
              <w:t>Prize Fund   (55% of NR)</w:t>
            </w:r>
          </w:p>
        </w:tc>
        <w:tc>
          <w:tcPr>
            <w:tcW w:w="1440" w:type="dxa"/>
            <w:vAlign w:val="bottom"/>
          </w:tcPr>
          <w:p w14:paraId="54642B14" w14:textId="77777777" w:rsidR="00D549BC" w:rsidRPr="009E35ED" w:rsidRDefault="00D549BC" w:rsidP="00D043CC">
            <w:pPr>
              <w:ind w:left="0" w:right="-108"/>
              <w:jc w:val="right"/>
              <w:rPr>
                <w:rFonts w:ascii="Arial Narrow" w:hAnsi="Arial Narrow" w:cs="Arial"/>
                <w:bCs/>
                <w:iCs/>
                <w:color w:val="000000" w:themeColor="text1"/>
                <w:sz w:val="20"/>
                <w:szCs w:val="20"/>
              </w:rPr>
            </w:pPr>
            <w:r w:rsidRPr="009E35ED">
              <w:rPr>
                <w:rFonts w:ascii="Arial Narrow" w:hAnsi="Arial Narrow"/>
                <w:b/>
                <w:bCs/>
                <w:color w:val="000000" w:themeColor="text1"/>
                <w:sz w:val="20"/>
                <w:szCs w:val="20"/>
              </w:rPr>
              <w:t>53.900%</w:t>
            </w:r>
          </w:p>
        </w:tc>
      </w:tr>
      <w:tr w:rsidR="00D549BC" w:rsidRPr="009E35ED" w14:paraId="0A1AC46D" w14:textId="77777777" w:rsidTr="00D043CC">
        <w:tc>
          <w:tcPr>
            <w:tcW w:w="7200" w:type="dxa"/>
            <w:vAlign w:val="bottom"/>
          </w:tcPr>
          <w:p w14:paraId="15003A66" w14:textId="77777777" w:rsidR="00D549BC" w:rsidRPr="009E35ED" w:rsidRDefault="00D549BC" w:rsidP="008A565F">
            <w:pPr>
              <w:ind w:left="0"/>
              <w:rPr>
                <w:rFonts w:ascii="Arial Narrow" w:hAnsi="Arial Narrow" w:cs="Arial"/>
                <w:bCs/>
                <w:iCs/>
                <w:color w:val="000000" w:themeColor="text1"/>
                <w:sz w:val="20"/>
                <w:szCs w:val="20"/>
              </w:rPr>
            </w:pPr>
            <w:r w:rsidRPr="009E35ED">
              <w:rPr>
                <w:rFonts w:ascii="Arial Narrow" w:hAnsi="Arial Narrow"/>
                <w:color w:val="000000" w:themeColor="text1"/>
                <w:sz w:val="20"/>
                <w:szCs w:val="20"/>
              </w:rPr>
              <w:t xml:space="preserve">     Prize Fund Tax</w:t>
            </w:r>
          </w:p>
        </w:tc>
        <w:tc>
          <w:tcPr>
            <w:tcW w:w="1440" w:type="dxa"/>
            <w:vAlign w:val="bottom"/>
          </w:tcPr>
          <w:p w14:paraId="44CD113A" w14:textId="77777777" w:rsidR="00D549BC" w:rsidRPr="009E35ED" w:rsidRDefault="00D549BC" w:rsidP="00D043CC">
            <w:pPr>
              <w:ind w:left="0" w:right="-108"/>
              <w:jc w:val="right"/>
              <w:rPr>
                <w:rFonts w:ascii="Arial Narrow" w:hAnsi="Arial Narrow" w:cs="Arial"/>
                <w:bCs/>
                <w:iCs/>
                <w:color w:val="000000" w:themeColor="text1"/>
                <w:sz w:val="20"/>
                <w:szCs w:val="20"/>
              </w:rPr>
            </w:pPr>
            <w:r w:rsidRPr="009E35ED">
              <w:rPr>
                <w:rFonts w:ascii="Arial Narrow" w:hAnsi="Arial Narrow"/>
                <w:b/>
                <w:bCs/>
                <w:color w:val="000000" w:themeColor="text1"/>
                <w:sz w:val="20"/>
                <w:szCs w:val="20"/>
              </w:rPr>
              <w:t>2.695%</w:t>
            </w:r>
          </w:p>
        </w:tc>
      </w:tr>
      <w:tr w:rsidR="00D549BC" w:rsidRPr="009E35ED" w14:paraId="10342D04" w14:textId="77777777" w:rsidTr="00D043CC">
        <w:tc>
          <w:tcPr>
            <w:tcW w:w="7200" w:type="dxa"/>
            <w:vAlign w:val="bottom"/>
          </w:tcPr>
          <w:p w14:paraId="3FEE41B8" w14:textId="77777777" w:rsidR="00D549BC" w:rsidRPr="009E35ED" w:rsidRDefault="00D549BC" w:rsidP="008A565F">
            <w:pPr>
              <w:ind w:left="0"/>
              <w:rPr>
                <w:rFonts w:ascii="Arial Narrow" w:hAnsi="Arial Narrow" w:cs="Arial"/>
                <w:bCs/>
                <w:iCs/>
                <w:color w:val="000000" w:themeColor="text1"/>
                <w:sz w:val="20"/>
                <w:szCs w:val="20"/>
              </w:rPr>
            </w:pPr>
            <w:r w:rsidRPr="009E35ED">
              <w:rPr>
                <w:rFonts w:ascii="Arial Narrow" w:hAnsi="Arial Narrow"/>
                <w:color w:val="000000" w:themeColor="text1"/>
                <w:sz w:val="20"/>
                <w:szCs w:val="20"/>
              </w:rPr>
              <w:t xml:space="preserve">     Payouts</w:t>
            </w:r>
          </w:p>
        </w:tc>
        <w:tc>
          <w:tcPr>
            <w:tcW w:w="1440" w:type="dxa"/>
            <w:vAlign w:val="bottom"/>
          </w:tcPr>
          <w:p w14:paraId="325C0B8F" w14:textId="77777777" w:rsidR="00D549BC" w:rsidRPr="009E35ED" w:rsidRDefault="00D549BC" w:rsidP="00D043CC">
            <w:pPr>
              <w:ind w:left="0" w:right="-108"/>
              <w:jc w:val="right"/>
              <w:rPr>
                <w:rFonts w:ascii="Arial Narrow" w:hAnsi="Arial Narrow" w:cs="Arial"/>
                <w:bCs/>
                <w:iCs/>
                <w:color w:val="000000" w:themeColor="text1"/>
                <w:sz w:val="20"/>
                <w:szCs w:val="20"/>
              </w:rPr>
            </w:pPr>
            <w:r w:rsidRPr="009E35ED">
              <w:rPr>
                <w:rFonts w:ascii="Arial Narrow" w:hAnsi="Arial Narrow"/>
                <w:color w:val="000000" w:themeColor="text1"/>
                <w:sz w:val="20"/>
                <w:szCs w:val="20"/>
              </w:rPr>
              <w:t>51.205%</w:t>
            </w:r>
          </w:p>
        </w:tc>
      </w:tr>
      <w:tr w:rsidR="00D549BC" w:rsidRPr="009E35ED" w14:paraId="6072A7CB" w14:textId="77777777" w:rsidTr="00D043CC">
        <w:tc>
          <w:tcPr>
            <w:tcW w:w="7200" w:type="dxa"/>
            <w:vAlign w:val="bottom"/>
          </w:tcPr>
          <w:p w14:paraId="3CAFB18B" w14:textId="77777777" w:rsidR="00D549BC" w:rsidRPr="009E35ED" w:rsidRDefault="00D549BC" w:rsidP="008A565F">
            <w:pPr>
              <w:ind w:left="0"/>
              <w:rPr>
                <w:rFonts w:ascii="Arial Narrow" w:hAnsi="Arial Narrow" w:cs="Arial"/>
                <w:bCs/>
                <w:iCs/>
                <w:color w:val="000000" w:themeColor="text1"/>
                <w:sz w:val="20"/>
                <w:szCs w:val="20"/>
              </w:rPr>
            </w:pPr>
            <w:r w:rsidRPr="009E35ED">
              <w:rPr>
                <w:rFonts w:ascii="Arial Narrow" w:hAnsi="Arial Narrow"/>
                <w:color w:val="000000" w:themeColor="text1"/>
                <w:sz w:val="20"/>
                <w:szCs w:val="20"/>
              </w:rPr>
              <w:t xml:space="preserve">     Prize Fund Surplus/(Deficit)</w:t>
            </w:r>
          </w:p>
        </w:tc>
        <w:tc>
          <w:tcPr>
            <w:tcW w:w="1440" w:type="dxa"/>
            <w:vAlign w:val="bottom"/>
          </w:tcPr>
          <w:p w14:paraId="3B3AF916" w14:textId="77777777" w:rsidR="00D549BC" w:rsidRPr="009E35ED" w:rsidRDefault="00D549BC" w:rsidP="00D043CC">
            <w:pPr>
              <w:ind w:left="0" w:right="-108"/>
              <w:jc w:val="right"/>
              <w:rPr>
                <w:rFonts w:ascii="Arial Narrow" w:hAnsi="Arial Narrow" w:cs="Arial"/>
                <w:bCs/>
                <w:iCs/>
                <w:color w:val="000000" w:themeColor="text1"/>
                <w:sz w:val="20"/>
                <w:szCs w:val="20"/>
              </w:rPr>
            </w:pPr>
            <w:r w:rsidRPr="009E35ED">
              <w:rPr>
                <w:rFonts w:ascii="Arial Narrow" w:hAnsi="Arial Narrow"/>
                <w:color w:val="000000" w:themeColor="text1"/>
                <w:sz w:val="20"/>
                <w:szCs w:val="20"/>
              </w:rPr>
              <w:t>0.000%</w:t>
            </w:r>
          </w:p>
        </w:tc>
      </w:tr>
      <w:tr w:rsidR="00D549BC" w:rsidRPr="009E35ED" w14:paraId="1581DCD8" w14:textId="77777777" w:rsidTr="00D043CC">
        <w:tc>
          <w:tcPr>
            <w:tcW w:w="7200" w:type="dxa"/>
            <w:vAlign w:val="bottom"/>
          </w:tcPr>
          <w:p w14:paraId="299BF8AE" w14:textId="77777777" w:rsidR="00D549BC" w:rsidRPr="009E35ED" w:rsidRDefault="00D549BC" w:rsidP="008A565F">
            <w:pPr>
              <w:ind w:left="0"/>
              <w:rPr>
                <w:rFonts w:ascii="Arial Narrow" w:hAnsi="Arial Narrow" w:cs="Arial"/>
                <w:bCs/>
                <w:iCs/>
                <w:color w:val="000000" w:themeColor="text1"/>
                <w:sz w:val="20"/>
                <w:szCs w:val="20"/>
              </w:rPr>
            </w:pPr>
            <w:r w:rsidRPr="009E35ED">
              <w:rPr>
                <w:rFonts w:ascii="Arial Narrow" w:hAnsi="Arial Narrow"/>
                <w:b/>
                <w:bCs/>
                <w:color w:val="000000" w:themeColor="text1"/>
                <w:sz w:val="20"/>
                <w:szCs w:val="20"/>
              </w:rPr>
              <w:t xml:space="preserve">Sub – Total </w:t>
            </w:r>
          </w:p>
        </w:tc>
        <w:tc>
          <w:tcPr>
            <w:tcW w:w="1440" w:type="dxa"/>
            <w:vAlign w:val="bottom"/>
          </w:tcPr>
          <w:p w14:paraId="5F9FEE32" w14:textId="77777777" w:rsidR="00D549BC" w:rsidRPr="009E35ED" w:rsidRDefault="00D549BC" w:rsidP="00D043CC">
            <w:pPr>
              <w:ind w:left="0" w:right="-108"/>
              <w:jc w:val="right"/>
              <w:rPr>
                <w:rFonts w:ascii="Arial Narrow" w:hAnsi="Arial Narrow" w:cs="Arial"/>
                <w:bCs/>
                <w:iCs/>
                <w:color w:val="000000" w:themeColor="text1"/>
                <w:sz w:val="20"/>
                <w:szCs w:val="20"/>
              </w:rPr>
            </w:pPr>
            <w:r w:rsidRPr="009E35ED">
              <w:rPr>
                <w:rFonts w:ascii="Arial Narrow" w:hAnsi="Arial Narrow"/>
                <w:b/>
                <w:bCs/>
                <w:color w:val="000000" w:themeColor="text1"/>
                <w:sz w:val="20"/>
                <w:szCs w:val="20"/>
              </w:rPr>
              <w:t>53.900%</w:t>
            </w:r>
          </w:p>
        </w:tc>
      </w:tr>
      <w:tr w:rsidR="00D549BC" w:rsidRPr="009E35ED" w14:paraId="0E8011C5" w14:textId="77777777" w:rsidTr="00D043CC">
        <w:tc>
          <w:tcPr>
            <w:tcW w:w="7200" w:type="dxa"/>
            <w:vAlign w:val="bottom"/>
          </w:tcPr>
          <w:p w14:paraId="3201F46E" w14:textId="77777777" w:rsidR="00D549BC" w:rsidRPr="009E35ED" w:rsidRDefault="00D549BC" w:rsidP="008A565F">
            <w:pPr>
              <w:ind w:left="0"/>
              <w:rPr>
                <w:rFonts w:ascii="Arial Narrow" w:hAnsi="Arial Narrow" w:cs="Arial"/>
                <w:bCs/>
                <w:iCs/>
                <w:color w:val="000000" w:themeColor="text1"/>
                <w:sz w:val="20"/>
                <w:szCs w:val="20"/>
              </w:rPr>
            </w:pPr>
          </w:p>
        </w:tc>
        <w:tc>
          <w:tcPr>
            <w:tcW w:w="1440" w:type="dxa"/>
            <w:vAlign w:val="bottom"/>
          </w:tcPr>
          <w:p w14:paraId="100AEF03" w14:textId="77777777" w:rsidR="00D549BC" w:rsidRPr="009E35ED" w:rsidRDefault="00D549BC" w:rsidP="00D043CC">
            <w:pPr>
              <w:ind w:left="0" w:right="-108"/>
              <w:jc w:val="right"/>
              <w:rPr>
                <w:rFonts w:ascii="Arial Narrow" w:hAnsi="Arial Narrow" w:cs="Arial"/>
                <w:bCs/>
                <w:iCs/>
                <w:color w:val="000000" w:themeColor="text1"/>
                <w:sz w:val="20"/>
                <w:szCs w:val="20"/>
              </w:rPr>
            </w:pPr>
          </w:p>
        </w:tc>
      </w:tr>
      <w:tr w:rsidR="00D549BC" w:rsidRPr="009E35ED" w14:paraId="417294ED" w14:textId="77777777" w:rsidTr="00D043CC">
        <w:tc>
          <w:tcPr>
            <w:tcW w:w="7200" w:type="dxa"/>
            <w:vAlign w:val="bottom"/>
          </w:tcPr>
          <w:p w14:paraId="62367793" w14:textId="77777777" w:rsidR="00D549BC" w:rsidRPr="009E35ED" w:rsidRDefault="00D549BC" w:rsidP="008A565F">
            <w:pPr>
              <w:ind w:left="0"/>
              <w:rPr>
                <w:rFonts w:ascii="Arial Narrow" w:hAnsi="Arial Narrow" w:cs="Arial"/>
                <w:bCs/>
                <w:iCs/>
                <w:color w:val="000000" w:themeColor="text1"/>
                <w:sz w:val="20"/>
                <w:szCs w:val="20"/>
              </w:rPr>
            </w:pPr>
            <w:r w:rsidRPr="009E35ED">
              <w:rPr>
                <w:rFonts w:ascii="Arial Narrow" w:hAnsi="Arial Narrow"/>
                <w:b/>
                <w:bCs/>
                <w:color w:val="000000" w:themeColor="text1"/>
                <w:sz w:val="20"/>
                <w:szCs w:val="20"/>
              </w:rPr>
              <w:t>Charity Fund   (30% of NR)</w:t>
            </w:r>
          </w:p>
        </w:tc>
        <w:tc>
          <w:tcPr>
            <w:tcW w:w="1440" w:type="dxa"/>
            <w:vAlign w:val="bottom"/>
          </w:tcPr>
          <w:p w14:paraId="5E962767" w14:textId="77777777" w:rsidR="00D549BC" w:rsidRPr="009E35ED" w:rsidRDefault="00D549BC" w:rsidP="00D043CC">
            <w:pPr>
              <w:ind w:left="0" w:right="-108"/>
              <w:jc w:val="right"/>
              <w:rPr>
                <w:rFonts w:ascii="Arial Narrow" w:hAnsi="Arial Narrow" w:cs="Arial"/>
                <w:bCs/>
                <w:iCs/>
                <w:color w:val="000000" w:themeColor="text1"/>
                <w:sz w:val="20"/>
                <w:szCs w:val="20"/>
              </w:rPr>
            </w:pPr>
            <w:r w:rsidRPr="009E35ED">
              <w:rPr>
                <w:rFonts w:ascii="Arial Narrow" w:hAnsi="Arial Narrow"/>
                <w:b/>
                <w:bCs/>
                <w:color w:val="000000" w:themeColor="text1"/>
                <w:sz w:val="20"/>
                <w:szCs w:val="20"/>
              </w:rPr>
              <w:t>29.400%</w:t>
            </w:r>
          </w:p>
        </w:tc>
      </w:tr>
      <w:tr w:rsidR="00D549BC" w:rsidRPr="009E35ED" w14:paraId="109BA94C" w14:textId="77777777" w:rsidTr="00D043CC">
        <w:tc>
          <w:tcPr>
            <w:tcW w:w="7200" w:type="dxa"/>
            <w:vAlign w:val="bottom"/>
          </w:tcPr>
          <w:p w14:paraId="63C82143" w14:textId="77777777" w:rsidR="00D549BC" w:rsidRPr="009E35ED" w:rsidRDefault="00D549BC" w:rsidP="008A565F">
            <w:pPr>
              <w:ind w:left="0"/>
              <w:rPr>
                <w:rFonts w:ascii="Arial Narrow" w:hAnsi="Arial Narrow" w:cs="Arial"/>
                <w:bCs/>
                <w:iCs/>
                <w:color w:val="000000" w:themeColor="text1"/>
                <w:sz w:val="20"/>
                <w:szCs w:val="20"/>
              </w:rPr>
            </w:pPr>
            <w:r w:rsidRPr="009E35ED">
              <w:rPr>
                <w:rFonts w:ascii="Arial Narrow" w:hAnsi="Arial Narrow"/>
                <w:color w:val="000000" w:themeColor="text1"/>
                <w:sz w:val="20"/>
                <w:szCs w:val="20"/>
              </w:rPr>
              <w:t xml:space="preserve">     Documentary Stamp Tax</w:t>
            </w:r>
          </w:p>
        </w:tc>
        <w:tc>
          <w:tcPr>
            <w:tcW w:w="1440" w:type="dxa"/>
            <w:vAlign w:val="bottom"/>
          </w:tcPr>
          <w:p w14:paraId="0FB0E707" w14:textId="77777777" w:rsidR="00D549BC" w:rsidRPr="009E35ED" w:rsidRDefault="00D549BC" w:rsidP="00D043CC">
            <w:pPr>
              <w:ind w:left="0" w:right="-108"/>
              <w:jc w:val="right"/>
              <w:rPr>
                <w:rFonts w:ascii="Arial Narrow" w:hAnsi="Arial Narrow" w:cs="Arial"/>
                <w:bCs/>
                <w:iCs/>
                <w:color w:val="000000" w:themeColor="text1"/>
                <w:sz w:val="20"/>
                <w:szCs w:val="20"/>
              </w:rPr>
            </w:pPr>
            <w:r w:rsidRPr="009E35ED">
              <w:rPr>
                <w:rFonts w:ascii="Arial Narrow" w:hAnsi="Arial Narrow"/>
                <w:color w:val="000000" w:themeColor="text1"/>
                <w:sz w:val="20"/>
                <w:szCs w:val="20"/>
              </w:rPr>
              <w:t>12.000%</w:t>
            </w:r>
          </w:p>
        </w:tc>
      </w:tr>
      <w:tr w:rsidR="00D549BC" w:rsidRPr="009E35ED" w14:paraId="2C174609" w14:textId="77777777" w:rsidTr="00D043CC">
        <w:tc>
          <w:tcPr>
            <w:tcW w:w="7200" w:type="dxa"/>
            <w:vAlign w:val="bottom"/>
          </w:tcPr>
          <w:p w14:paraId="3EBA9377" w14:textId="77777777" w:rsidR="00D549BC" w:rsidRPr="009E35ED" w:rsidRDefault="00D549BC" w:rsidP="008A565F">
            <w:pPr>
              <w:ind w:left="0"/>
              <w:rPr>
                <w:rFonts w:ascii="Arial Narrow" w:hAnsi="Arial Narrow" w:cs="Arial"/>
                <w:bCs/>
                <w:iCs/>
                <w:color w:val="000000" w:themeColor="text1"/>
                <w:sz w:val="20"/>
                <w:szCs w:val="20"/>
              </w:rPr>
            </w:pPr>
            <w:r w:rsidRPr="009E35ED">
              <w:rPr>
                <w:rFonts w:ascii="Arial Narrow" w:hAnsi="Arial Narrow" w:cs="Arial"/>
                <w:bCs/>
                <w:iCs/>
                <w:color w:val="000000" w:themeColor="text1"/>
                <w:sz w:val="20"/>
                <w:szCs w:val="20"/>
              </w:rPr>
              <w:t xml:space="preserve">            PMLC Share (60% of 20% of RR)</w:t>
            </w:r>
          </w:p>
        </w:tc>
        <w:tc>
          <w:tcPr>
            <w:tcW w:w="1440" w:type="dxa"/>
            <w:vAlign w:val="bottom"/>
          </w:tcPr>
          <w:p w14:paraId="16B80151" w14:textId="77777777" w:rsidR="00D549BC" w:rsidRPr="009E35ED" w:rsidRDefault="00D549BC" w:rsidP="00D043CC">
            <w:pPr>
              <w:ind w:left="0" w:right="-108"/>
              <w:jc w:val="right"/>
              <w:rPr>
                <w:rFonts w:ascii="Arial Narrow" w:hAnsi="Arial Narrow" w:cs="Arial"/>
                <w:bCs/>
                <w:iCs/>
                <w:color w:val="000000" w:themeColor="text1"/>
                <w:sz w:val="20"/>
                <w:szCs w:val="20"/>
              </w:rPr>
            </w:pPr>
            <w:r w:rsidRPr="009E35ED">
              <w:rPr>
                <w:rFonts w:ascii="Arial Narrow" w:hAnsi="Arial Narrow" w:cs="Arial"/>
                <w:bCs/>
                <w:iCs/>
                <w:color w:val="000000" w:themeColor="text1"/>
                <w:sz w:val="20"/>
                <w:szCs w:val="20"/>
              </w:rPr>
              <w:t>5.000%</w:t>
            </w:r>
          </w:p>
        </w:tc>
      </w:tr>
      <w:tr w:rsidR="00D549BC" w:rsidRPr="009E35ED" w14:paraId="0CB6882F" w14:textId="77777777" w:rsidTr="00D043CC">
        <w:tc>
          <w:tcPr>
            <w:tcW w:w="7200" w:type="dxa"/>
            <w:vAlign w:val="bottom"/>
          </w:tcPr>
          <w:p w14:paraId="13E6974C" w14:textId="77777777" w:rsidR="00D549BC" w:rsidRPr="009E35ED" w:rsidRDefault="00D549BC" w:rsidP="008A565F">
            <w:pPr>
              <w:ind w:left="0"/>
              <w:rPr>
                <w:rFonts w:ascii="Arial Narrow" w:hAnsi="Arial Narrow"/>
                <w:color w:val="000000" w:themeColor="text1"/>
                <w:sz w:val="20"/>
                <w:szCs w:val="20"/>
              </w:rPr>
            </w:pPr>
            <w:r w:rsidRPr="009E35ED">
              <w:rPr>
                <w:rFonts w:ascii="Arial Narrow" w:hAnsi="Arial Narrow"/>
                <w:color w:val="000000" w:themeColor="text1"/>
                <w:sz w:val="20"/>
                <w:szCs w:val="20"/>
              </w:rPr>
              <w:t xml:space="preserve">            PCSO Share </w:t>
            </w:r>
            <w:r w:rsidRPr="009E35ED">
              <w:rPr>
                <w:rFonts w:ascii="Arial Narrow" w:hAnsi="Arial Narrow" w:cs="Arial"/>
                <w:bCs/>
                <w:iCs/>
                <w:color w:val="000000" w:themeColor="text1"/>
                <w:sz w:val="20"/>
                <w:szCs w:val="20"/>
              </w:rPr>
              <w:t>(40% of 20% of RR)</w:t>
            </w:r>
          </w:p>
        </w:tc>
        <w:tc>
          <w:tcPr>
            <w:tcW w:w="1440" w:type="dxa"/>
            <w:vAlign w:val="bottom"/>
          </w:tcPr>
          <w:p w14:paraId="1046F1CA" w14:textId="77777777" w:rsidR="00D549BC" w:rsidRPr="009E35ED" w:rsidRDefault="00D549BC" w:rsidP="00D043CC">
            <w:pPr>
              <w:ind w:left="0" w:right="-108"/>
              <w:jc w:val="right"/>
              <w:rPr>
                <w:rFonts w:ascii="Arial Narrow" w:hAnsi="Arial Narrow"/>
                <w:color w:val="000000" w:themeColor="text1"/>
                <w:sz w:val="20"/>
                <w:szCs w:val="20"/>
              </w:rPr>
            </w:pPr>
            <w:r w:rsidRPr="009E35ED">
              <w:rPr>
                <w:rFonts w:ascii="Arial Narrow" w:hAnsi="Arial Narrow"/>
                <w:color w:val="000000" w:themeColor="text1"/>
                <w:sz w:val="20"/>
                <w:szCs w:val="20"/>
              </w:rPr>
              <w:t>8.000%</w:t>
            </w:r>
          </w:p>
        </w:tc>
      </w:tr>
      <w:tr w:rsidR="00D549BC" w:rsidRPr="009E35ED" w14:paraId="38E36F2F" w14:textId="77777777" w:rsidTr="00D043CC">
        <w:tc>
          <w:tcPr>
            <w:tcW w:w="7200" w:type="dxa"/>
            <w:vAlign w:val="bottom"/>
          </w:tcPr>
          <w:p w14:paraId="51933695" w14:textId="77777777" w:rsidR="00D549BC" w:rsidRPr="009E35ED" w:rsidRDefault="00D549BC" w:rsidP="008A565F">
            <w:pPr>
              <w:ind w:left="0"/>
              <w:rPr>
                <w:rFonts w:ascii="Arial Narrow" w:hAnsi="Arial Narrow" w:cs="Arial"/>
                <w:bCs/>
                <w:iCs/>
                <w:color w:val="000000" w:themeColor="text1"/>
                <w:sz w:val="20"/>
                <w:szCs w:val="20"/>
              </w:rPr>
            </w:pPr>
            <w:r w:rsidRPr="009E35ED">
              <w:rPr>
                <w:rFonts w:ascii="Arial Narrow" w:hAnsi="Arial Narrow"/>
                <w:color w:val="000000" w:themeColor="text1"/>
                <w:sz w:val="20"/>
                <w:szCs w:val="20"/>
              </w:rPr>
              <w:t xml:space="preserve">     PMLC Share</w:t>
            </w:r>
          </w:p>
        </w:tc>
        <w:tc>
          <w:tcPr>
            <w:tcW w:w="1440" w:type="dxa"/>
            <w:vAlign w:val="bottom"/>
          </w:tcPr>
          <w:p w14:paraId="17A1E539" w14:textId="77777777" w:rsidR="00D549BC" w:rsidRPr="009E35ED" w:rsidRDefault="00D549BC" w:rsidP="00D043CC">
            <w:pPr>
              <w:ind w:left="0" w:right="-108"/>
              <w:jc w:val="right"/>
              <w:rPr>
                <w:rFonts w:ascii="Arial Narrow" w:hAnsi="Arial Narrow" w:cs="Arial"/>
                <w:bCs/>
                <w:iCs/>
                <w:color w:val="000000" w:themeColor="text1"/>
                <w:sz w:val="20"/>
                <w:szCs w:val="20"/>
              </w:rPr>
            </w:pPr>
            <w:r w:rsidRPr="009E35ED">
              <w:rPr>
                <w:rFonts w:ascii="Arial Narrow" w:hAnsi="Arial Narrow"/>
                <w:color w:val="000000" w:themeColor="text1"/>
                <w:sz w:val="20"/>
                <w:szCs w:val="20"/>
              </w:rPr>
              <w:t>5.900%</w:t>
            </w:r>
          </w:p>
        </w:tc>
      </w:tr>
      <w:tr w:rsidR="00D549BC" w:rsidRPr="009E35ED" w14:paraId="79381F84" w14:textId="77777777" w:rsidTr="00D043CC">
        <w:tc>
          <w:tcPr>
            <w:tcW w:w="7200" w:type="dxa"/>
            <w:vAlign w:val="bottom"/>
          </w:tcPr>
          <w:p w14:paraId="082D2FC0" w14:textId="77777777" w:rsidR="00D549BC" w:rsidRPr="009E35ED" w:rsidRDefault="00D549BC" w:rsidP="008A565F">
            <w:pPr>
              <w:ind w:left="0"/>
              <w:rPr>
                <w:rFonts w:ascii="Arial Narrow" w:hAnsi="Arial Narrow"/>
                <w:color w:val="000000" w:themeColor="text1"/>
                <w:sz w:val="20"/>
                <w:szCs w:val="20"/>
              </w:rPr>
            </w:pPr>
            <w:r w:rsidRPr="009E35ED">
              <w:rPr>
                <w:rFonts w:ascii="Arial Narrow" w:hAnsi="Arial Narrow"/>
                <w:color w:val="000000" w:themeColor="text1"/>
                <w:sz w:val="20"/>
                <w:szCs w:val="20"/>
              </w:rPr>
              <w:t xml:space="preserve">     Charity Fund Share</w:t>
            </w:r>
          </w:p>
        </w:tc>
        <w:tc>
          <w:tcPr>
            <w:tcW w:w="1440" w:type="dxa"/>
            <w:vAlign w:val="bottom"/>
          </w:tcPr>
          <w:p w14:paraId="488D8BC7" w14:textId="77777777" w:rsidR="00D549BC" w:rsidRPr="009E35ED" w:rsidRDefault="00D549BC" w:rsidP="00D043CC">
            <w:pPr>
              <w:ind w:left="0" w:right="-108"/>
              <w:jc w:val="right"/>
              <w:rPr>
                <w:rFonts w:ascii="Arial Narrow" w:hAnsi="Arial Narrow" w:cs="Arial"/>
                <w:bCs/>
                <w:iCs/>
                <w:color w:val="000000" w:themeColor="text1"/>
                <w:sz w:val="20"/>
                <w:szCs w:val="20"/>
              </w:rPr>
            </w:pPr>
            <w:r w:rsidRPr="009E35ED">
              <w:rPr>
                <w:rFonts w:ascii="Arial Narrow" w:hAnsi="Arial Narrow"/>
                <w:color w:val="000000" w:themeColor="text1"/>
                <w:sz w:val="20"/>
                <w:szCs w:val="20"/>
              </w:rPr>
              <w:t>3.500%</w:t>
            </w:r>
          </w:p>
        </w:tc>
      </w:tr>
      <w:tr w:rsidR="00D549BC" w:rsidRPr="009E35ED" w14:paraId="3BCCF3C8" w14:textId="77777777" w:rsidTr="00D043CC">
        <w:tc>
          <w:tcPr>
            <w:tcW w:w="7200" w:type="dxa"/>
            <w:vAlign w:val="bottom"/>
          </w:tcPr>
          <w:p w14:paraId="791DFD11" w14:textId="77777777" w:rsidR="00D549BC" w:rsidRPr="009E35ED" w:rsidRDefault="00D549BC" w:rsidP="008A565F">
            <w:pPr>
              <w:ind w:left="0"/>
              <w:rPr>
                <w:rFonts w:ascii="Arial Narrow" w:hAnsi="Arial Narrow"/>
                <w:color w:val="000000" w:themeColor="text1"/>
                <w:sz w:val="20"/>
                <w:szCs w:val="20"/>
              </w:rPr>
            </w:pPr>
            <w:r w:rsidRPr="009E35ED">
              <w:rPr>
                <w:rFonts w:ascii="Arial Narrow" w:hAnsi="Arial Narrow"/>
                <w:b/>
                <w:bCs/>
                <w:color w:val="000000" w:themeColor="text1"/>
                <w:sz w:val="20"/>
                <w:szCs w:val="20"/>
              </w:rPr>
              <w:t>Sub – Total</w:t>
            </w:r>
          </w:p>
        </w:tc>
        <w:tc>
          <w:tcPr>
            <w:tcW w:w="1440" w:type="dxa"/>
            <w:vAlign w:val="bottom"/>
          </w:tcPr>
          <w:p w14:paraId="0E826798" w14:textId="77777777" w:rsidR="00D549BC" w:rsidRPr="009E35ED" w:rsidRDefault="00D549BC" w:rsidP="00D043CC">
            <w:pPr>
              <w:ind w:left="0" w:right="-108"/>
              <w:jc w:val="right"/>
              <w:rPr>
                <w:rFonts w:ascii="Arial Narrow" w:hAnsi="Arial Narrow" w:cs="Arial"/>
                <w:bCs/>
                <w:iCs/>
                <w:color w:val="000000" w:themeColor="text1"/>
                <w:sz w:val="20"/>
                <w:szCs w:val="20"/>
              </w:rPr>
            </w:pPr>
            <w:r w:rsidRPr="009E35ED">
              <w:rPr>
                <w:rFonts w:ascii="Arial Narrow" w:hAnsi="Arial Narrow"/>
                <w:b/>
                <w:bCs/>
                <w:color w:val="000000" w:themeColor="text1"/>
                <w:sz w:val="20"/>
                <w:szCs w:val="20"/>
              </w:rPr>
              <w:t>29.400%</w:t>
            </w:r>
          </w:p>
        </w:tc>
      </w:tr>
      <w:tr w:rsidR="00D549BC" w:rsidRPr="009E35ED" w14:paraId="2A61AE33" w14:textId="77777777" w:rsidTr="00D043CC">
        <w:tc>
          <w:tcPr>
            <w:tcW w:w="7200" w:type="dxa"/>
            <w:vAlign w:val="bottom"/>
          </w:tcPr>
          <w:p w14:paraId="40B11706" w14:textId="77777777" w:rsidR="00D549BC" w:rsidRPr="009E35ED" w:rsidRDefault="00D549BC" w:rsidP="008A565F">
            <w:pPr>
              <w:ind w:left="0"/>
              <w:rPr>
                <w:rFonts w:ascii="Arial Narrow" w:hAnsi="Arial Narrow"/>
                <w:color w:val="000000" w:themeColor="text1"/>
                <w:sz w:val="20"/>
                <w:szCs w:val="20"/>
              </w:rPr>
            </w:pPr>
          </w:p>
        </w:tc>
        <w:tc>
          <w:tcPr>
            <w:tcW w:w="1440" w:type="dxa"/>
            <w:vAlign w:val="bottom"/>
          </w:tcPr>
          <w:p w14:paraId="64CD1313" w14:textId="77777777" w:rsidR="00D549BC" w:rsidRPr="009E35ED" w:rsidRDefault="00D549BC" w:rsidP="00D043CC">
            <w:pPr>
              <w:ind w:left="0" w:right="-108"/>
              <w:jc w:val="right"/>
              <w:rPr>
                <w:rFonts w:ascii="Arial Narrow" w:hAnsi="Arial Narrow" w:cs="Arial"/>
                <w:bCs/>
                <w:iCs/>
                <w:color w:val="000000" w:themeColor="text1"/>
                <w:sz w:val="20"/>
                <w:szCs w:val="20"/>
              </w:rPr>
            </w:pPr>
          </w:p>
        </w:tc>
      </w:tr>
      <w:tr w:rsidR="00D549BC" w:rsidRPr="009E35ED" w14:paraId="0E2D33AC" w14:textId="77777777" w:rsidTr="00D043CC">
        <w:tc>
          <w:tcPr>
            <w:tcW w:w="7200" w:type="dxa"/>
            <w:vAlign w:val="bottom"/>
          </w:tcPr>
          <w:p w14:paraId="00649C65" w14:textId="77777777" w:rsidR="00D549BC" w:rsidRPr="009E35ED" w:rsidRDefault="00D549BC" w:rsidP="008A565F">
            <w:pPr>
              <w:ind w:left="0"/>
              <w:rPr>
                <w:rFonts w:ascii="Arial Narrow" w:hAnsi="Arial Narrow"/>
                <w:color w:val="000000" w:themeColor="text1"/>
                <w:sz w:val="20"/>
                <w:szCs w:val="20"/>
              </w:rPr>
            </w:pPr>
            <w:r w:rsidRPr="009E35ED">
              <w:rPr>
                <w:rFonts w:ascii="Arial Narrow" w:hAnsi="Arial Narrow"/>
                <w:b/>
                <w:bCs/>
                <w:color w:val="000000" w:themeColor="text1"/>
                <w:sz w:val="20"/>
                <w:szCs w:val="20"/>
              </w:rPr>
              <w:t>Operating Fund  (15% of NR)</w:t>
            </w:r>
          </w:p>
        </w:tc>
        <w:tc>
          <w:tcPr>
            <w:tcW w:w="1440" w:type="dxa"/>
            <w:vAlign w:val="bottom"/>
          </w:tcPr>
          <w:p w14:paraId="2ED07535" w14:textId="77777777" w:rsidR="00D549BC" w:rsidRPr="009E35ED" w:rsidRDefault="00D549BC" w:rsidP="00D043CC">
            <w:pPr>
              <w:ind w:left="0" w:right="-108"/>
              <w:jc w:val="right"/>
              <w:rPr>
                <w:rFonts w:ascii="Arial Narrow" w:hAnsi="Arial Narrow" w:cs="Arial"/>
                <w:bCs/>
                <w:iCs/>
                <w:color w:val="000000" w:themeColor="text1"/>
                <w:sz w:val="20"/>
                <w:szCs w:val="20"/>
              </w:rPr>
            </w:pPr>
            <w:r w:rsidRPr="009E35ED">
              <w:rPr>
                <w:rFonts w:ascii="Arial Narrow" w:hAnsi="Arial Narrow"/>
                <w:b/>
                <w:bCs/>
                <w:color w:val="000000" w:themeColor="text1"/>
                <w:sz w:val="20"/>
                <w:szCs w:val="20"/>
              </w:rPr>
              <w:t>14.700%</w:t>
            </w:r>
          </w:p>
        </w:tc>
      </w:tr>
      <w:tr w:rsidR="00D549BC" w:rsidRPr="009E35ED" w14:paraId="59EBC10C" w14:textId="77777777" w:rsidTr="00D043CC">
        <w:tc>
          <w:tcPr>
            <w:tcW w:w="7200" w:type="dxa"/>
            <w:vAlign w:val="bottom"/>
          </w:tcPr>
          <w:p w14:paraId="7723FEEF" w14:textId="77777777" w:rsidR="00D549BC" w:rsidRPr="009E35ED" w:rsidRDefault="00D549BC" w:rsidP="008A565F">
            <w:pPr>
              <w:ind w:left="0"/>
              <w:rPr>
                <w:rFonts w:ascii="Arial Narrow" w:hAnsi="Arial Narrow"/>
                <w:color w:val="000000" w:themeColor="text1"/>
                <w:sz w:val="20"/>
                <w:szCs w:val="20"/>
              </w:rPr>
            </w:pPr>
            <w:r w:rsidRPr="009E35ED">
              <w:rPr>
                <w:rFonts w:ascii="Arial Narrow" w:hAnsi="Arial Narrow"/>
                <w:color w:val="000000" w:themeColor="text1"/>
                <w:sz w:val="20"/>
                <w:szCs w:val="20"/>
              </w:rPr>
              <w:t xml:space="preserve">     Direct Cost</w:t>
            </w:r>
          </w:p>
        </w:tc>
        <w:tc>
          <w:tcPr>
            <w:tcW w:w="1440" w:type="dxa"/>
            <w:vAlign w:val="bottom"/>
          </w:tcPr>
          <w:p w14:paraId="3AF81288" w14:textId="77777777" w:rsidR="00D549BC" w:rsidRPr="009E35ED" w:rsidRDefault="00D549BC" w:rsidP="00D043CC">
            <w:pPr>
              <w:ind w:left="0" w:right="-108"/>
              <w:jc w:val="right"/>
              <w:rPr>
                <w:rFonts w:ascii="Arial Narrow" w:hAnsi="Arial Narrow" w:cs="Arial"/>
                <w:bCs/>
                <w:iCs/>
                <w:color w:val="000000" w:themeColor="text1"/>
                <w:sz w:val="20"/>
                <w:szCs w:val="20"/>
              </w:rPr>
            </w:pPr>
            <w:r w:rsidRPr="009E35ED">
              <w:rPr>
                <w:rFonts w:ascii="Arial Narrow" w:hAnsi="Arial Narrow"/>
                <w:color w:val="000000" w:themeColor="text1"/>
                <w:sz w:val="20"/>
                <w:szCs w:val="20"/>
              </w:rPr>
              <w:t>13.200%</w:t>
            </w:r>
          </w:p>
        </w:tc>
      </w:tr>
      <w:tr w:rsidR="00D549BC" w:rsidRPr="009E35ED" w14:paraId="181CC27A" w14:textId="77777777" w:rsidTr="00D043CC">
        <w:tc>
          <w:tcPr>
            <w:tcW w:w="7200" w:type="dxa"/>
            <w:vAlign w:val="bottom"/>
          </w:tcPr>
          <w:p w14:paraId="4459DACD" w14:textId="77777777" w:rsidR="00D549BC" w:rsidRPr="009E35ED" w:rsidRDefault="00D549BC" w:rsidP="008A565F">
            <w:pPr>
              <w:ind w:left="0"/>
              <w:rPr>
                <w:rFonts w:ascii="Arial Narrow" w:hAnsi="Arial Narrow"/>
                <w:color w:val="000000" w:themeColor="text1"/>
                <w:sz w:val="20"/>
                <w:szCs w:val="20"/>
              </w:rPr>
            </w:pPr>
            <w:r w:rsidRPr="009E35ED">
              <w:rPr>
                <w:rFonts w:ascii="Arial Narrow" w:hAnsi="Arial Narrow"/>
                <w:color w:val="000000" w:themeColor="text1"/>
                <w:sz w:val="20"/>
                <w:szCs w:val="20"/>
              </w:rPr>
              <w:t xml:space="preserve">     Operating Fund Share</w:t>
            </w:r>
          </w:p>
        </w:tc>
        <w:tc>
          <w:tcPr>
            <w:tcW w:w="1440" w:type="dxa"/>
            <w:vAlign w:val="bottom"/>
          </w:tcPr>
          <w:p w14:paraId="462BC476" w14:textId="77777777" w:rsidR="00D549BC" w:rsidRPr="009E35ED" w:rsidRDefault="00D549BC" w:rsidP="00D043CC">
            <w:pPr>
              <w:ind w:left="0" w:right="-108"/>
              <w:jc w:val="right"/>
              <w:rPr>
                <w:rFonts w:ascii="Arial Narrow" w:hAnsi="Arial Narrow" w:cs="Arial"/>
                <w:bCs/>
                <w:iCs/>
                <w:color w:val="000000" w:themeColor="text1"/>
                <w:sz w:val="20"/>
                <w:szCs w:val="20"/>
              </w:rPr>
            </w:pPr>
            <w:r w:rsidRPr="009E35ED">
              <w:rPr>
                <w:rFonts w:ascii="Arial Narrow" w:hAnsi="Arial Narrow"/>
                <w:color w:val="000000" w:themeColor="text1"/>
                <w:sz w:val="20"/>
                <w:szCs w:val="20"/>
              </w:rPr>
              <w:t>1.500%</w:t>
            </w:r>
          </w:p>
        </w:tc>
      </w:tr>
      <w:tr w:rsidR="00D549BC" w:rsidRPr="009E35ED" w14:paraId="454D72C0" w14:textId="77777777" w:rsidTr="00D043CC">
        <w:tc>
          <w:tcPr>
            <w:tcW w:w="7200" w:type="dxa"/>
            <w:tcBorders>
              <w:bottom w:val="single" w:sz="4" w:space="0" w:color="auto"/>
            </w:tcBorders>
            <w:vAlign w:val="bottom"/>
          </w:tcPr>
          <w:p w14:paraId="225D9378" w14:textId="77777777" w:rsidR="00D549BC" w:rsidRPr="009E35ED" w:rsidRDefault="00D549BC" w:rsidP="008A565F">
            <w:pPr>
              <w:ind w:left="0"/>
              <w:rPr>
                <w:rFonts w:ascii="Arial Narrow" w:hAnsi="Arial Narrow"/>
                <w:color w:val="000000" w:themeColor="text1"/>
                <w:sz w:val="20"/>
                <w:szCs w:val="20"/>
              </w:rPr>
            </w:pPr>
            <w:r w:rsidRPr="009E35ED">
              <w:rPr>
                <w:rFonts w:ascii="Arial Narrow" w:hAnsi="Arial Narrow"/>
                <w:b/>
                <w:bCs/>
                <w:color w:val="000000" w:themeColor="text1"/>
                <w:sz w:val="20"/>
                <w:szCs w:val="20"/>
              </w:rPr>
              <w:t>Sub – Total</w:t>
            </w:r>
          </w:p>
        </w:tc>
        <w:tc>
          <w:tcPr>
            <w:tcW w:w="1440" w:type="dxa"/>
            <w:tcBorders>
              <w:bottom w:val="single" w:sz="4" w:space="0" w:color="auto"/>
            </w:tcBorders>
            <w:vAlign w:val="bottom"/>
          </w:tcPr>
          <w:p w14:paraId="7AEF3191" w14:textId="77777777" w:rsidR="00D549BC" w:rsidRPr="009E35ED" w:rsidRDefault="00D549BC" w:rsidP="00D043CC">
            <w:pPr>
              <w:ind w:left="0" w:right="-108"/>
              <w:jc w:val="right"/>
              <w:rPr>
                <w:rFonts w:ascii="Arial Narrow" w:hAnsi="Arial Narrow" w:cs="Arial"/>
                <w:bCs/>
                <w:iCs/>
                <w:color w:val="000000" w:themeColor="text1"/>
                <w:sz w:val="20"/>
                <w:szCs w:val="20"/>
              </w:rPr>
            </w:pPr>
            <w:r w:rsidRPr="009E35ED">
              <w:rPr>
                <w:rFonts w:ascii="Arial Narrow" w:hAnsi="Arial Narrow"/>
                <w:b/>
                <w:bCs/>
                <w:color w:val="000000" w:themeColor="text1"/>
                <w:sz w:val="20"/>
                <w:szCs w:val="20"/>
              </w:rPr>
              <w:t>14.700%</w:t>
            </w:r>
          </w:p>
        </w:tc>
      </w:tr>
    </w:tbl>
    <w:p w14:paraId="4737F8F4" w14:textId="77777777" w:rsidR="00D549BC" w:rsidRPr="009E35ED" w:rsidRDefault="00D549BC" w:rsidP="00D549BC">
      <w:pPr>
        <w:ind w:left="0"/>
        <w:rPr>
          <w:rFonts w:ascii="Arial" w:hAnsi="Arial" w:cs="Arial"/>
          <w:bCs/>
          <w:iCs/>
          <w:color w:val="000000" w:themeColor="text1"/>
          <w:sz w:val="22"/>
          <w:szCs w:val="22"/>
        </w:rPr>
      </w:pPr>
      <w:r w:rsidRPr="009E35ED">
        <w:rPr>
          <w:rFonts w:ascii="Arial Narrow" w:hAnsi="Arial Narrow" w:cs="Arial"/>
          <w:bCs/>
          <w:color w:val="000000" w:themeColor="text1"/>
          <w:sz w:val="20"/>
          <w:szCs w:val="20"/>
          <w:lang w:eastAsia="ar-SA"/>
        </w:rPr>
        <w:t>*National Instant Sweepstakes Program Revenue Allocation BR No. 0280 s. 2018 covered period September 06, 2018 May 31, 2023.</w:t>
      </w:r>
    </w:p>
    <w:p w14:paraId="4956943D" w14:textId="77777777" w:rsidR="00D549BC" w:rsidRPr="009E35ED" w:rsidRDefault="00D549BC" w:rsidP="00D549BC">
      <w:pPr>
        <w:ind w:left="0"/>
        <w:rPr>
          <w:rFonts w:ascii="Arial" w:hAnsi="Arial" w:cs="Arial"/>
          <w:color w:val="000000" w:themeColor="text1"/>
          <w:sz w:val="22"/>
          <w:szCs w:val="22"/>
        </w:rPr>
      </w:pPr>
    </w:p>
    <w:p w14:paraId="1981BBB5" w14:textId="2F92F0EF" w:rsidR="00D549BC" w:rsidRPr="009E35ED" w:rsidRDefault="00D549BC" w:rsidP="00D549BC">
      <w:pPr>
        <w:ind w:left="0"/>
        <w:rPr>
          <w:rFonts w:ascii="Arial" w:hAnsi="Arial" w:cs="Arial"/>
          <w:color w:val="000000" w:themeColor="text1"/>
          <w:sz w:val="22"/>
          <w:szCs w:val="22"/>
        </w:rPr>
      </w:pPr>
      <w:r w:rsidRPr="009E35ED">
        <w:rPr>
          <w:rFonts w:ascii="Arial" w:hAnsi="Arial" w:cs="Arial"/>
          <w:color w:val="000000" w:themeColor="text1"/>
          <w:sz w:val="22"/>
          <w:szCs w:val="22"/>
        </w:rPr>
        <w:t xml:space="preserve">PCSO BOD, under </w:t>
      </w:r>
      <w:r w:rsidR="00A2104E">
        <w:rPr>
          <w:rFonts w:ascii="Arial" w:hAnsi="Arial" w:cs="Arial"/>
          <w:color w:val="000000" w:themeColor="text1"/>
          <w:sz w:val="22"/>
          <w:szCs w:val="22"/>
        </w:rPr>
        <w:t>BR</w:t>
      </w:r>
      <w:r w:rsidR="00A2104E" w:rsidRPr="009E35ED">
        <w:rPr>
          <w:rFonts w:ascii="Arial" w:hAnsi="Arial" w:cs="Arial"/>
          <w:color w:val="000000" w:themeColor="text1"/>
          <w:sz w:val="22"/>
          <w:szCs w:val="22"/>
        </w:rPr>
        <w:t xml:space="preserve"> </w:t>
      </w:r>
      <w:r w:rsidRPr="009E35ED">
        <w:rPr>
          <w:rFonts w:ascii="Arial" w:hAnsi="Arial" w:cs="Arial"/>
          <w:color w:val="000000" w:themeColor="text1"/>
          <w:sz w:val="22"/>
          <w:szCs w:val="22"/>
        </w:rPr>
        <w:t xml:space="preserve">No. 0226, series 2017 (Annex “A”), approved the application of Powerball Marketing and Logistics Corporation (PMLC) as ISAC to operate PCSO Instant Sweepstakes, for the period of five (5) years starting December 2017 up to November 2022, on a non-exclusive all-in </w:t>
      </w:r>
      <w:r w:rsidR="003C0D93" w:rsidRPr="009E35ED">
        <w:rPr>
          <w:rFonts w:ascii="Arial" w:hAnsi="Arial" w:cs="Arial"/>
          <w:color w:val="000000" w:themeColor="text1"/>
          <w:sz w:val="22"/>
          <w:szCs w:val="22"/>
        </w:rPr>
        <w:t>contract, for</w:t>
      </w:r>
      <w:r w:rsidRPr="009E35ED">
        <w:rPr>
          <w:rFonts w:ascii="Arial" w:hAnsi="Arial" w:cs="Arial"/>
          <w:color w:val="000000" w:themeColor="text1"/>
          <w:sz w:val="22"/>
          <w:szCs w:val="22"/>
        </w:rPr>
        <w:t xml:space="preserve"> the production, distribution, marketing, advertising and selling of Instant Sweepstakes tickets nationwide on a considered sold basis and at no cost nor risk to</w:t>
      </w:r>
      <w:r w:rsidR="00A2104E">
        <w:rPr>
          <w:rFonts w:ascii="Arial" w:hAnsi="Arial" w:cs="Arial"/>
          <w:color w:val="000000" w:themeColor="text1"/>
          <w:sz w:val="22"/>
          <w:szCs w:val="22"/>
        </w:rPr>
        <w:t xml:space="preserve"> the</w:t>
      </w:r>
      <w:r w:rsidRPr="009E35ED">
        <w:rPr>
          <w:rFonts w:ascii="Arial" w:hAnsi="Arial" w:cs="Arial"/>
          <w:color w:val="000000" w:themeColor="text1"/>
          <w:sz w:val="22"/>
          <w:szCs w:val="22"/>
        </w:rPr>
        <w:t xml:space="preserve"> PCSO.</w:t>
      </w:r>
    </w:p>
    <w:p w14:paraId="210AD68A" w14:textId="77777777" w:rsidR="00D549BC" w:rsidRPr="009E35ED" w:rsidRDefault="00D549BC" w:rsidP="00D549BC">
      <w:pPr>
        <w:ind w:left="0"/>
        <w:rPr>
          <w:rFonts w:ascii="Arial" w:hAnsi="Arial" w:cs="Arial"/>
          <w:color w:val="000000" w:themeColor="text1"/>
          <w:sz w:val="22"/>
          <w:szCs w:val="22"/>
        </w:rPr>
      </w:pPr>
    </w:p>
    <w:p w14:paraId="37D5200F" w14:textId="03B33AC4" w:rsidR="00D549BC" w:rsidRPr="009E35ED" w:rsidRDefault="00A2104E" w:rsidP="00D549BC">
      <w:pPr>
        <w:ind w:left="0"/>
        <w:rPr>
          <w:rFonts w:ascii="Arial" w:hAnsi="Arial" w:cs="Arial"/>
          <w:color w:val="000000" w:themeColor="text1"/>
          <w:sz w:val="22"/>
          <w:szCs w:val="22"/>
        </w:rPr>
      </w:pPr>
      <w:r>
        <w:rPr>
          <w:rFonts w:ascii="Arial" w:hAnsi="Arial" w:cs="Arial"/>
          <w:color w:val="000000" w:themeColor="text1"/>
          <w:sz w:val="22"/>
          <w:szCs w:val="22"/>
        </w:rPr>
        <w:t xml:space="preserve">The </w:t>
      </w:r>
      <w:r w:rsidR="00D549BC" w:rsidRPr="009E35ED">
        <w:rPr>
          <w:rFonts w:ascii="Arial" w:hAnsi="Arial" w:cs="Arial"/>
          <w:color w:val="000000" w:themeColor="text1"/>
          <w:sz w:val="22"/>
          <w:szCs w:val="22"/>
        </w:rPr>
        <w:t>PMLC guarantees Instant Sweepstakes sales of five billion pesos (P5,000,000,000.00) in a five (5) years term or one Billion Pesos (P1,000,000,000.00) per year at no cost to</w:t>
      </w:r>
      <w:r>
        <w:rPr>
          <w:rFonts w:ascii="Arial" w:hAnsi="Arial" w:cs="Arial"/>
          <w:color w:val="000000" w:themeColor="text1"/>
          <w:sz w:val="22"/>
          <w:szCs w:val="22"/>
        </w:rPr>
        <w:t xml:space="preserve"> the</w:t>
      </w:r>
      <w:r w:rsidR="00D549BC" w:rsidRPr="009E35ED">
        <w:rPr>
          <w:rFonts w:ascii="Arial" w:hAnsi="Arial" w:cs="Arial"/>
          <w:color w:val="000000" w:themeColor="text1"/>
          <w:sz w:val="22"/>
          <w:szCs w:val="22"/>
        </w:rPr>
        <w:t xml:space="preserve"> PCSO. In the guaranteed sales of P5 Billion,</w:t>
      </w:r>
      <w:r>
        <w:rPr>
          <w:rFonts w:ascii="Arial" w:hAnsi="Arial" w:cs="Arial"/>
          <w:color w:val="000000" w:themeColor="text1"/>
          <w:sz w:val="22"/>
          <w:szCs w:val="22"/>
        </w:rPr>
        <w:t xml:space="preserve"> the</w:t>
      </w:r>
      <w:r w:rsidR="00D549BC" w:rsidRPr="009E35ED">
        <w:rPr>
          <w:rFonts w:ascii="Arial" w:hAnsi="Arial" w:cs="Arial"/>
          <w:color w:val="000000" w:themeColor="text1"/>
          <w:sz w:val="22"/>
          <w:szCs w:val="22"/>
        </w:rPr>
        <w:t xml:space="preserve"> PCSO is guaranteed a 13% share in the net proceeds of the sale of the Instant Sweepstakes tickets. In the event that sales exceed the annual guaranteed sales in the amount of One Billion Pesos (P1,000,000,000.00) a year, the ISAC undertakes to issue an additional check corresponding to PCSO’s share in the excess. Also,</w:t>
      </w:r>
      <w:r>
        <w:rPr>
          <w:rFonts w:ascii="Arial" w:hAnsi="Arial" w:cs="Arial"/>
          <w:color w:val="000000" w:themeColor="text1"/>
          <w:sz w:val="22"/>
          <w:szCs w:val="22"/>
        </w:rPr>
        <w:t xml:space="preserve"> the</w:t>
      </w:r>
      <w:r w:rsidR="00D549BC" w:rsidRPr="009E35ED">
        <w:rPr>
          <w:rFonts w:ascii="Arial" w:hAnsi="Arial" w:cs="Arial"/>
          <w:color w:val="000000" w:themeColor="text1"/>
          <w:sz w:val="22"/>
          <w:szCs w:val="22"/>
        </w:rPr>
        <w:t xml:space="preserve"> PCSO agrees to have a 60% - 40% share with </w:t>
      </w:r>
      <w:r>
        <w:rPr>
          <w:rFonts w:ascii="Arial" w:hAnsi="Arial" w:cs="Arial"/>
          <w:color w:val="000000" w:themeColor="text1"/>
          <w:sz w:val="22"/>
          <w:szCs w:val="22"/>
        </w:rPr>
        <w:t xml:space="preserve">the </w:t>
      </w:r>
      <w:r w:rsidR="00D549BC" w:rsidRPr="009E35ED">
        <w:rPr>
          <w:rFonts w:ascii="Arial" w:hAnsi="Arial" w:cs="Arial"/>
          <w:color w:val="000000" w:themeColor="text1"/>
          <w:sz w:val="22"/>
          <w:szCs w:val="22"/>
        </w:rPr>
        <w:t>PMLC in the payment Documentary Stamp Tax which is 20% of the Retail Receipts.</w:t>
      </w:r>
    </w:p>
    <w:p w14:paraId="063BB492" w14:textId="77777777" w:rsidR="00D549BC" w:rsidRPr="009E35ED" w:rsidRDefault="00D549BC" w:rsidP="00D549BC">
      <w:pPr>
        <w:ind w:left="0"/>
        <w:rPr>
          <w:rFonts w:ascii="Arial" w:hAnsi="Arial" w:cs="Arial"/>
          <w:color w:val="000000" w:themeColor="text1"/>
          <w:sz w:val="22"/>
          <w:szCs w:val="22"/>
        </w:rPr>
      </w:pPr>
    </w:p>
    <w:p w14:paraId="3B8B05B4" w14:textId="570C7F38" w:rsidR="00D549BC" w:rsidRPr="009E35ED" w:rsidRDefault="00D549BC" w:rsidP="00D549BC">
      <w:pPr>
        <w:ind w:left="0"/>
        <w:rPr>
          <w:rFonts w:ascii="Arial" w:hAnsi="Arial" w:cs="Arial"/>
          <w:color w:val="000000" w:themeColor="text1"/>
          <w:sz w:val="22"/>
          <w:szCs w:val="22"/>
        </w:rPr>
      </w:pPr>
      <w:r w:rsidRPr="009E35ED">
        <w:rPr>
          <w:rFonts w:ascii="Arial" w:hAnsi="Arial" w:cs="Arial"/>
          <w:color w:val="000000" w:themeColor="text1"/>
          <w:sz w:val="22"/>
          <w:szCs w:val="22"/>
        </w:rPr>
        <w:t xml:space="preserve">Further, PCSO BOD, under </w:t>
      </w:r>
      <w:r w:rsidR="00195547">
        <w:rPr>
          <w:rFonts w:ascii="Arial" w:hAnsi="Arial" w:cs="Arial"/>
          <w:color w:val="000000" w:themeColor="text1"/>
          <w:sz w:val="22"/>
          <w:szCs w:val="22"/>
        </w:rPr>
        <w:t>BR</w:t>
      </w:r>
      <w:r w:rsidR="00195547" w:rsidRPr="009E35ED">
        <w:rPr>
          <w:rFonts w:ascii="Arial" w:hAnsi="Arial" w:cs="Arial"/>
          <w:color w:val="000000" w:themeColor="text1"/>
          <w:sz w:val="22"/>
          <w:szCs w:val="22"/>
        </w:rPr>
        <w:t xml:space="preserve"> </w:t>
      </w:r>
      <w:r w:rsidRPr="009E35ED">
        <w:rPr>
          <w:rFonts w:ascii="Arial" w:hAnsi="Arial" w:cs="Arial"/>
          <w:color w:val="000000" w:themeColor="text1"/>
          <w:sz w:val="22"/>
          <w:szCs w:val="22"/>
        </w:rPr>
        <w:t>No. M-0040, Series of 2022 dated 15 November 2022, approved the extension of National Instant Sweepstakes Program (NISP) to sell all the remaining printed tickets for a maximum of 189 days until May 2023, to cover the period that they were restricted from distributing Instant Sweepstakes tickets due to the government’s restrictions attributable to COVID-19 pandemic.</w:t>
      </w:r>
    </w:p>
    <w:p w14:paraId="5F669ADD" w14:textId="77777777" w:rsidR="00D549BC" w:rsidRPr="009E35ED" w:rsidRDefault="00D549BC" w:rsidP="00D549BC">
      <w:pPr>
        <w:ind w:left="0"/>
        <w:rPr>
          <w:rFonts w:ascii="Arial" w:hAnsi="Arial" w:cs="Arial"/>
          <w:color w:val="000000" w:themeColor="text1"/>
          <w:sz w:val="22"/>
          <w:szCs w:val="22"/>
        </w:rPr>
      </w:pPr>
    </w:p>
    <w:p w14:paraId="7E4FED45" w14:textId="14735F38" w:rsidR="00D549BC" w:rsidRPr="009E35ED" w:rsidRDefault="00D549BC" w:rsidP="00D549BC">
      <w:pPr>
        <w:ind w:left="0"/>
        <w:rPr>
          <w:rFonts w:ascii="Arial" w:hAnsi="Arial" w:cs="Arial"/>
          <w:color w:val="000000" w:themeColor="text1"/>
          <w:sz w:val="22"/>
          <w:szCs w:val="22"/>
        </w:rPr>
      </w:pPr>
      <w:r w:rsidRPr="009E35ED">
        <w:rPr>
          <w:rFonts w:ascii="Arial" w:hAnsi="Arial" w:cs="Arial"/>
          <w:color w:val="000000" w:themeColor="text1"/>
          <w:sz w:val="22"/>
          <w:szCs w:val="22"/>
        </w:rPr>
        <w:t>Moreover, on February 15, 2022 during the 1</w:t>
      </w:r>
      <w:r w:rsidRPr="009E35ED">
        <w:rPr>
          <w:rFonts w:ascii="Arial" w:hAnsi="Arial" w:cs="Arial"/>
          <w:color w:val="000000" w:themeColor="text1"/>
          <w:sz w:val="22"/>
          <w:szCs w:val="22"/>
          <w:vertAlign w:val="superscript"/>
        </w:rPr>
        <w:t>st</w:t>
      </w:r>
      <w:r w:rsidRPr="009E35ED">
        <w:rPr>
          <w:rFonts w:ascii="Arial" w:hAnsi="Arial" w:cs="Arial"/>
          <w:color w:val="000000" w:themeColor="text1"/>
          <w:sz w:val="22"/>
          <w:szCs w:val="22"/>
        </w:rPr>
        <w:t xml:space="preserve"> Special Board Meeting, under </w:t>
      </w:r>
      <w:r w:rsidR="00195547">
        <w:rPr>
          <w:rFonts w:ascii="Arial" w:hAnsi="Arial" w:cs="Arial"/>
          <w:color w:val="000000" w:themeColor="text1"/>
          <w:sz w:val="22"/>
          <w:szCs w:val="22"/>
        </w:rPr>
        <w:t>BR</w:t>
      </w:r>
      <w:r w:rsidRPr="009E35ED">
        <w:rPr>
          <w:rFonts w:ascii="Arial" w:hAnsi="Arial" w:cs="Arial"/>
          <w:color w:val="000000" w:themeColor="text1"/>
          <w:sz w:val="22"/>
          <w:szCs w:val="22"/>
        </w:rPr>
        <w:t xml:space="preserve"> No. 0027, s. 2022, the PCSO Board of Directors approved the 2022 </w:t>
      </w:r>
      <w:r w:rsidR="00912A4F">
        <w:rPr>
          <w:rFonts w:ascii="Arial" w:hAnsi="Arial" w:cs="Arial"/>
          <w:color w:val="000000" w:themeColor="text1"/>
          <w:sz w:val="22"/>
          <w:szCs w:val="22"/>
        </w:rPr>
        <w:t>RIRR</w:t>
      </w:r>
      <w:r w:rsidRPr="009E35ED">
        <w:rPr>
          <w:rFonts w:ascii="Arial" w:hAnsi="Arial" w:cs="Arial"/>
          <w:color w:val="000000" w:themeColor="text1"/>
          <w:sz w:val="22"/>
          <w:szCs w:val="22"/>
        </w:rPr>
        <w:t xml:space="preserve"> for the Instant Sweepstakes of the Philippine Charity Sweepstakes Office. In addition, PCSO Board agreed to adopt a new title and be reflected as 2022 Revised Rules and Regulations</w:t>
      </w:r>
      <w:r w:rsidR="00912A4F">
        <w:rPr>
          <w:rFonts w:ascii="Arial" w:hAnsi="Arial" w:cs="Arial"/>
          <w:color w:val="000000" w:themeColor="text1"/>
          <w:sz w:val="22"/>
          <w:szCs w:val="22"/>
        </w:rPr>
        <w:t xml:space="preserve"> (RRR)</w:t>
      </w:r>
      <w:r w:rsidRPr="009E35ED">
        <w:rPr>
          <w:rFonts w:ascii="Arial" w:hAnsi="Arial" w:cs="Arial"/>
          <w:color w:val="000000" w:themeColor="text1"/>
          <w:sz w:val="22"/>
          <w:szCs w:val="22"/>
        </w:rPr>
        <w:t xml:space="preserve"> for the Philippine Charity Sweepstakes Office’s Paper Instant Games.</w:t>
      </w:r>
    </w:p>
    <w:p w14:paraId="5B4E59DD" w14:textId="77777777" w:rsidR="00D549BC" w:rsidRPr="009E35ED" w:rsidRDefault="00D549BC" w:rsidP="00D549BC">
      <w:pPr>
        <w:ind w:left="0"/>
        <w:rPr>
          <w:rFonts w:ascii="Arial" w:hAnsi="Arial" w:cs="Arial"/>
          <w:color w:val="000000" w:themeColor="text1"/>
          <w:sz w:val="22"/>
          <w:szCs w:val="22"/>
        </w:rPr>
      </w:pPr>
    </w:p>
    <w:p w14:paraId="67DA5F68" w14:textId="454989CB" w:rsidR="00D549BC" w:rsidRPr="009E35ED" w:rsidRDefault="00D549BC" w:rsidP="00D549BC">
      <w:pPr>
        <w:ind w:left="0"/>
        <w:rPr>
          <w:rFonts w:ascii="Arial" w:hAnsi="Arial" w:cs="Arial"/>
          <w:color w:val="000000" w:themeColor="text1"/>
          <w:sz w:val="22"/>
          <w:szCs w:val="22"/>
        </w:rPr>
      </w:pPr>
      <w:r w:rsidRPr="009E35ED">
        <w:rPr>
          <w:rFonts w:ascii="Arial" w:hAnsi="Arial" w:cs="Arial"/>
          <w:color w:val="000000" w:themeColor="text1"/>
          <w:sz w:val="22"/>
          <w:szCs w:val="22"/>
        </w:rPr>
        <w:t xml:space="preserve">Under </w:t>
      </w:r>
      <w:r w:rsidR="00912A4F">
        <w:rPr>
          <w:rFonts w:ascii="Arial" w:hAnsi="Arial" w:cs="Arial"/>
          <w:color w:val="000000" w:themeColor="text1"/>
          <w:sz w:val="22"/>
          <w:szCs w:val="22"/>
        </w:rPr>
        <w:t>BR</w:t>
      </w:r>
      <w:r w:rsidR="00912A4F" w:rsidRPr="009E35ED">
        <w:rPr>
          <w:rFonts w:ascii="Arial" w:hAnsi="Arial" w:cs="Arial"/>
          <w:color w:val="000000" w:themeColor="text1"/>
          <w:sz w:val="22"/>
          <w:szCs w:val="22"/>
        </w:rPr>
        <w:t xml:space="preserve"> </w:t>
      </w:r>
      <w:r w:rsidRPr="009E35ED">
        <w:rPr>
          <w:rFonts w:ascii="Arial" w:hAnsi="Arial" w:cs="Arial"/>
          <w:color w:val="000000" w:themeColor="text1"/>
          <w:sz w:val="22"/>
          <w:szCs w:val="22"/>
        </w:rPr>
        <w:t xml:space="preserve">No. 135, s. 2023 dated November 8, 2023, PCSO Board of Directors approved the PMLC as </w:t>
      </w:r>
      <w:r w:rsidR="00912A4F">
        <w:rPr>
          <w:rFonts w:ascii="Arial" w:hAnsi="Arial" w:cs="Arial"/>
          <w:color w:val="000000" w:themeColor="text1"/>
          <w:sz w:val="22"/>
          <w:szCs w:val="22"/>
        </w:rPr>
        <w:t>Instant Gaming Agent Corporation (</w:t>
      </w:r>
      <w:r w:rsidRPr="009E35ED">
        <w:rPr>
          <w:rFonts w:ascii="Arial" w:hAnsi="Arial" w:cs="Arial"/>
          <w:color w:val="000000" w:themeColor="text1"/>
          <w:sz w:val="22"/>
          <w:szCs w:val="22"/>
        </w:rPr>
        <w:t>IGAC</w:t>
      </w:r>
      <w:r w:rsidR="00912A4F">
        <w:rPr>
          <w:rFonts w:ascii="Arial" w:hAnsi="Arial" w:cs="Arial"/>
          <w:color w:val="000000" w:themeColor="text1"/>
          <w:sz w:val="22"/>
          <w:szCs w:val="22"/>
        </w:rPr>
        <w:t>)</w:t>
      </w:r>
      <w:r w:rsidRPr="009E35ED">
        <w:rPr>
          <w:rFonts w:ascii="Arial" w:hAnsi="Arial" w:cs="Arial"/>
          <w:color w:val="000000" w:themeColor="text1"/>
          <w:sz w:val="22"/>
          <w:szCs w:val="22"/>
        </w:rPr>
        <w:t xml:space="preserve"> in accordance with the 2022 RRR for PCSO’s Paper Instant Games, subject to the inclusion in the new contract of the provisions that 5% increase on top of the guaranteed sales of</w:t>
      </w:r>
      <w:r w:rsidR="00912A4F">
        <w:rPr>
          <w:rFonts w:ascii="Arial" w:hAnsi="Arial" w:cs="Arial"/>
          <w:color w:val="000000" w:themeColor="text1"/>
          <w:sz w:val="22"/>
          <w:szCs w:val="22"/>
        </w:rPr>
        <w:t xml:space="preserve"> the</w:t>
      </w:r>
      <w:r w:rsidRPr="009E35ED">
        <w:rPr>
          <w:rFonts w:ascii="Arial" w:hAnsi="Arial" w:cs="Arial"/>
          <w:color w:val="000000" w:themeColor="text1"/>
          <w:sz w:val="22"/>
          <w:szCs w:val="22"/>
        </w:rPr>
        <w:t xml:space="preserve"> PCSO or One Billion Fifty Million Pesos (P1,050,000,000.00) per year or Five Billion Two Hundred Fifty Million Pesos (P5,250,000,000) for five (5) years. </w:t>
      </w:r>
    </w:p>
    <w:p w14:paraId="3F8AF6BE" w14:textId="77777777" w:rsidR="00D549BC" w:rsidRPr="009E35ED" w:rsidRDefault="00D549BC" w:rsidP="00D549BC">
      <w:pPr>
        <w:ind w:left="0"/>
        <w:rPr>
          <w:rFonts w:ascii="Arial" w:hAnsi="Arial" w:cs="Arial"/>
          <w:color w:val="000000" w:themeColor="text1"/>
          <w:sz w:val="22"/>
          <w:szCs w:val="22"/>
        </w:rPr>
      </w:pPr>
    </w:p>
    <w:p w14:paraId="5128A852" w14:textId="51E3A9C2" w:rsidR="00D549BC" w:rsidRPr="009E35ED" w:rsidRDefault="00D549BC" w:rsidP="00D549BC">
      <w:pPr>
        <w:ind w:left="0"/>
        <w:rPr>
          <w:rFonts w:ascii="Arial" w:hAnsi="Arial" w:cs="Arial"/>
          <w:color w:val="000000" w:themeColor="text1"/>
          <w:sz w:val="22"/>
          <w:szCs w:val="22"/>
        </w:rPr>
      </w:pPr>
      <w:r w:rsidRPr="009E35ED">
        <w:rPr>
          <w:rFonts w:ascii="Arial" w:hAnsi="Arial" w:cs="Arial"/>
          <w:color w:val="000000" w:themeColor="text1"/>
          <w:sz w:val="22"/>
          <w:szCs w:val="22"/>
        </w:rPr>
        <w:t xml:space="preserve">Subsequently, PCSO Board of Directors, through </w:t>
      </w:r>
      <w:r w:rsidR="00912A4F">
        <w:rPr>
          <w:rFonts w:ascii="Arial" w:hAnsi="Arial" w:cs="Arial"/>
          <w:color w:val="000000" w:themeColor="text1"/>
          <w:sz w:val="22"/>
          <w:szCs w:val="22"/>
        </w:rPr>
        <w:t>BR</w:t>
      </w:r>
      <w:r w:rsidRPr="009E35ED">
        <w:rPr>
          <w:rFonts w:ascii="Arial" w:hAnsi="Arial" w:cs="Arial"/>
          <w:color w:val="000000" w:themeColor="text1"/>
          <w:sz w:val="22"/>
          <w:szCs w:val="22"/>
        </w:rPr>
        <w:t xml:space="preserve"> No. 230, s. 2023 approved to authorize the General Manager to sign the Memorandum of Agreement</w:t>
      </w:r>
      <w:r w:rsidR="00912A4F">
        <w:rPr>
          <w:rFonts w:ascii="Arial" w:hAnsi="Arial" w:cs="Arial"/>
          <w:color w:val="000000" w:themeColor="text1"/>
          <w:sz w:val="22"/>
          <w:szCs w:val="22"/>
        </w:rPr>
        <w:t xml:space="preserve"> (MOA)</w:t>
      </w:r>
      <w:r w:rsidRPr="009E35ED">
        <w:rPr>
          <w:rFonts w:ascii="Arial" w:hAnsi="Arial" w:cs="Arial"/>
          <w:color w:val="000000" w:themeColor="text1"/>
          <w:sz w:val="22"/>
          <w:szCs w:val="22"/>
        </w:rPr>
        <w:t xml:space="preserve"> between </w:t>
      </w:r>
      <w:r w:rsidR="00912A4F">
        <w:rPr>
          <w:rFonts w:ascii="Arial" w:hAnsi="Arial" w:cs="Arial"/>
          <w:color w:val="000000" w:themeColor="text1"/>
          <w:sz w:val="22"/>
          <w:szCs w:val="22"/>
        </w:rPr>
        <w:t xml:space="preserve">the </w:t>
      </w:r>
      <w:r w:rsidRPr="009E35ED">
        <w:rPr>
          <w:rFonts w:ascii="Arial" w:hAnsi="Arial" w:cs="Arial"/>
          <w:color w:val="000000" w:themeColor="text1"/>
          <w:sz w:val="22"/>
          <w:szCs w:val="22"/>
        </w:rPr>
        <w:t>PCSO and</w:t>
      </w:r>
      <w:r w:rsidR="00912A4F">
        <w:rPr>
          <w:rFonts w:ascii="Arial" w:hAnsi="Arial" w:cs="Arial"/>
          <w:color w:val="000000" w:themeColor="text1"/>
          <w:sz w:val="22"/>
          <w:szCs w:val="22"/>
        </w:rPr>
        <w:t xml:space="preserve"> the</w:t>
      </w:r>
      <w:r w:rsidRPr="009E35ED">
        <w:rPr>
          <w:rFonts w:ascii="Arial" w:hAnsi="Arial" w:cs="Arial"/>
          <w:color w:val="000000" w:themeColor="text1"/>
          <w:sz w:val="22"/>
          <w:szCs w:val="22"/>
        </w:rPr>
        <w:t xml:space="preserve"> PMLC and to revise the terms and/or statements stated in </w:t>
      </w:r>
      <w:r w:rsidR="00912A4F">
        <w:rPr>
          <w:rFonts w:ascii="Arial" w:hAnsi="Arial" w:cs="Arial"/>
          <w:color w:val="000000" w:themeColor="text1"/>
          <w:sz w:val="22"/>
          <w:szCs w:val="22"/>
        </w:rPr>
        <w:t>BR</w:t>
      </w:r>
      <w:r w:rsidRPr="009E35ED">
        <w:rPr>
          <w:rFonts w:ascii="Arial" w:hAnsi="Arial" w:cs="Arial"/>
          <w:color w:val="000000" w:themeColor="text1"/>
          <w:sz w:val="22"/>
          <w:szCs w:val="22"/>
        </w:rPr>
        <w:t xml:space="preserve"> No. 135, series of 2023, from provision of Five percent (5%) increase on top of the guaranteed sales of</w:t>
      </w:r>
      <w:r w:rsidR="00912A4F">
        <w:rPr>
          <w:rFonts w:ascii="Arial" w:hAnsi="Arial" w:cs="Arial"/>
          <w:color w:val="000000" w:themeColor="text1"/>
          <w:sz w:val="22"/>
          <w:szCs w:val="22"/>
        </w:rPr>
        <w:t xml:space="preserve"> the</w:t>
      </w:r>
      <w:r w:rsidRPr="009E35ED">
        <w:rPr>
          <w:rFonts w:ascii="Arial" w:hAnsi="Arial" w:cs="Arial"/>
          <w:color w:val="000000" w:themeColor="text1"/>
          <w:sz w:val="22"/>
          <w:szCs w:val="22"/>
        </w:rPr>
        <w:t xml:space="preserve"> PCSO or One Billion Fifty Million Pesos (P1,050,000,000.00) per year or Five Billion Two Hundred Fifty Million Pesos (P5,250,000,000) for five (5) years to Five percent (5%) increase on top of the guaranteed sales of </w:t>
      </w:r>
      <w:r w:rsidR="00912A4F">
        <w:rPr>
          <w:rFonts w:ascii="Arial" w:hAnsi="Arial" w:cs="Arial"/>
          <w:color w:val="000000" w:themeColor="text1"/>
          <w:sz w:val="22"/>
          <w:szCs w:val="22"/>
        </w:rPr>
        <w:t xml:space="preserve">the </w:t>
      </w:r>
      <w:r w:rsidRPr="009E35ED">
        <w:rPr>
          <w:rFonts w:ascii="Arial" w:hAnsi="Arial" w:cs="Arial"/>
          <w:color w:val="000000" w:themeColor="text1"/>
          <w:sz w:val="22"/>
          <w:szCs w:val="22"/>
        </w:rPr>
        <w:t>PCSO or One Billion Fifty Million Pesos (P1,050,000,000.00) worth of instant tickets annually for a term of five (5) straight years taken from the recommendations of the Gaming, Product Development, and Marketing Sector.</w:t>
      </w:r>
    </w:p>
    <w:p w14:paraId="1FCE2EB4" w14:textId="77777777" w:rsidR="00D549BC" w:rsidRPr="009E35ED" w:rsidRDefault="00D549BC" w:rsidP="00D549BC">
      <w:pPr>
        <w:ind w:left="0"/>
        <w:rPr>
          <w:rFonts w:ascii="Arial" w:hAnsi="Arial" w:cs="Arial"/>
          <w:color w:val="000000" w:themeColor="text1"/>
          <w:sz w:val="22"/>
          <w:szCs w:val="22"/>
        </w:rPr>
      </w:pPr>
    </w:p>
    <w:p w14:paraId="58134C38" w14:textId="54EF3AA0" w:rsidR="00D549BC" w:rsidRPr="009E35ED" w:rsidRDefault="00D549BC" w:rsidP="00D549BC">
      <w:pPr>
        <w:ind w:left="0"/>
        <w:rPr>
          <w:rFonts w:ascii="Arial" w:hAnsi="Arial" w:cs="Arial"/>
          <w:color w:val="000000" w:themeColor="text1"/>
          <w:sz w:val="22"/>
          <w:szCs w:val="22"/>
        </w:rPr>
      </w:pPr>
      <w:r w:rsidRPr="009E35ED">
        <w:rPr>
          <w:rFonts w:ascii="Arial" w:hAnsi="Arial" w:cs="Arial"/>
          <w:color w:val="000000" w:themeColor="text1"/>
          <w:sz w:val="22"/>
          <w:szCs w:val="22"/>
        </w:rPr>
        <w:t>IGAC shall be given a grace period of 120 calendar days or four (4) months from the execution of MOA as lead time for instant tickets ordering, printing, shipping, and pre-market roll out activities.</w:t>
      </w:r>
    </w:p>
    <w:p w14:paraId="775FE15F" w14:textId="77777777" w:rsidR="00D549BC" w:rsidRPr="009E35ED" w:rsidRDefault="00D549BC" w:rsidP="00D549BC">
      <w:pPr>
        <w:ind w:left="0"/>
        <w:rPr>
          <w:rFonts w:ascii="Arial" w:hAnsi="Arial" w:cs="Arial"/>
          <w:bCs/>
          <w:iCs/>
          <w:color w:val="000000" w:themeColor="text1"/>
          <w:sz w:val="22"/>
          <w:szCs w:val="22"/>
        </w:rPr>
      </w:pPr>
    </w:p>
    <w:p w14:paraId="34560255" w14:textId="77777777" w:rsidR="00D549BC" w:rsidRPr="009E35ED" w:rsidRDefault="00D549BC" w:rsidP="00D549BC">
      <w:pPr>
        <w:ind w:left="0"/>
        <w:rPr>
          <w:rFonts w:ascii="Arial" w:hAnsi="Arial" w:cs="Arial"/>
          <w:bCs/>
          <w:iCs/>
          <w:color w:val="000000" w:themeColor="text1"/>
          <w:sz w:val="22"/>
          <w:szCs w:val="22"/>
        </w:rPr>
      </w:pPr>
      <w:r w:rsidRPr="009E35ED">
        <w:rPr>
          <w:rFonts w:ascii="Arial" w:hAnsi="Arial" w:cs="Arial"/>
          <w:bCs/>
          <w:iCs/>
          <w:color w:val="000000" w:themeColor="text1"/>
          <w:sz w:val="22"/>
          <w:szCs w:val="22"/>
        </w:rPr>
        <w:t>The new Revenue Allocation for PCSO’s Paper Instant Games is as follows:</w:t>
      </w:r>
    </w:p>
    <w:p w14:paraId="52E209B9" w14:textId="1292A6E9" w:rsidR="00D549BC" w:rsidRDefault="00D549BC" w:rsidP="00D549BC">
      <w:pPr>
        <w:ind w:left="0"/>
        <w:rPr>
          <w:rFonts w:ascii="Arial" w:hAnsi="Arial" w:cs="Arial"/>
          <w:color w:val="000000" w:themeColor="text1"/>
          <w:sz w:val="22"/>
          <w:szCs w:val="22"/>
        </w:rPr>
      </w:pPr>
    </w:p>
    <w:p w14:paraId="1F19FF87" w14:textId="77777777" w:rsidR="003C0D93" w:rsidRPr="009E35ED" w:rsidRDefault="003C0D93" w:rsidP="00D549BC">
      <w:pPr>
        <w:ind w:left="0"/>
        <w:rPr>
          <w:rFonts w:ascii="Arial" w:hAnsi="Arial" w:cs="Arial"/>
          <w:color w:val="000000" w:themeColor="text1"/>
          <w:sz w:val="22"/>
          <w:szCs w:val="22"/>
        </w:rPr>
      </w:pPr>
    </w:p>
    <w:tbl>
      <w:tblPr>
        <w:tblStyle w:val="TableGrid"/>
        <w:tblW w:w="6210" w:type="dxa"/>
        <w:tblInd w:w="11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70"/>
        <w:gridCol w:w="1440"/>
      </w:tblGrid>
      <w:tr w:rsidR="00D549BC" w:rsidRPr="009E35ED" w14:paraId="38EA4467" w14:textId="77777777" w:rsidTr="00D043CC">
        <w:tc>
          <w:tcPr>
            <w:tcW w:w="4770" w:type="dxa"/>
            <w:tcBorders>
              <w:top w:val="single" w:sz="4" w:space="0" w:color="auto"/>
              <w:bottom w:val="single" w:sz="4" w:space="0" w:color="auto"/>
            </w:tcBorders>
            <w:vAlign w:val="bottom"/>
          </w:tcPr>
          <w:p w14:paraId="449BEF46" w14:textId="77777777" w:rsidR="00D549BC" w:rsidRPr="009E35ED" w:rsidRDefault="00D549BC" w:rsidP="008A565F">
            <w:pPr>
              <w:spacing w:line="360" w:lineRule="auto"/>
              <w:ind w:left="0"/>
              <w:jc w:val="center"/>
              <w:rPr>
                <w:rFonts w:ascii="Arial Narrow" w:hAnsi="Arial Narrow" w:cs="Arial"/>
                <w:b/>
                <w:bCs/>
                <w:iCs/>
                <w:color w:val="000000" w:themeColor="text1"/>
                <w:sz w:val="20"/>
                <w:szCs w:val="20"/>
              </w:rPr>
            </w:pPr>
            <w:r w:rsidRPr="009E35ED">
              <w:rPr>
                <w:rFonts w:ascii="Arial Narrow" w:hAnsi="Arial Narrow"/>
                <w:b/>
                <w:color w:val="000000" w:themeColor="text1"/>
                <w:sz w:val="20"/>
                <w:szCs w:val="20"/>
              </w:rPr>
              <w:t>Particulars</w:t>
            </w:r>
          </w:p>
        </w:tc>
        <w:tc>
          <w:tcPr>
            <w:tcW w:w="1440" w:type="dxa"/>
            <w:tcBorders>
              <w:top w:val="single" w:sz="4" w:space="0" w:color="auto"/>
              <w:bottom w:val="single" w:sz="4" w:space="0" w:color="auto"/>
            </w:tcBorders>
          </w:tcPr>
          <w:p w14:paraId="2D372DF1" w14:textId="77777777" w:rsidR="00D549BC" w:rsidRPr="009E35ED" w:rsidRDefault="00D549BC" w:rsidP="008A565F">
            <w:pPr>
              <w:ind w:left="0"/>
              <w:jc w:val="right"/>
              <w:rPr>
                <w:rFonts w:ascii="Arial Narrow" w:hAnsi="Arial Narrow" w:cs="Arial"/>
                <w:bCs/>
                <w:iCs/>
                <w:color w:val="000000" w:themeColor="text1"/>
                <w:sz w:val="20"/>
                <w:szCs w:val="20"/>
              </w:rPr>
            </w:pPr>
            <w:r w:rsidRPr="009E35ED">
              <w:rPr>
                <w:rFonts w:ascii="Arial Narrow" w:hAnsi="Arial Narrow" w:cs="Arial"/>
                <w:b/>
                <w:bCs/>
                <w:color w:val="000000" w:themeColor="text1"/>
                <w:sz w:val="20"/>
                <w:szCs w:val="20"/>
                <w:lang w:eastAsia="ar-SA"/>
              </w:rPr>
              <w:t>BR NO. 0027               s. 2022</w:t>
            </w:r>
          </w:p>
        </w:tc>
      </w:tr>
      <w:tr w:rsidR="00D549BC" w:rsidRPr="009E35ED" w14:paraId="6448CD1C" w14:textId="77777777" w:rsidTr="00D043CC">
        <w:tc>
          <w:tcPr>
            <w:tcW w:w="4770" w:type="dxa"/>
            <w:tcBorders>
              <w:top w:val="single" w:sz="4" w:space="0" w:color="auto"/>
            </w:tcBorders>
            <w:vAlign w:val="bottom"/>
          </w:tcPr>
          <w:p w14:paraId="0E4EF2B2" w14:textId="77777777" w:rsidR="00D549BC" w:rsidRPr="009E35ED" w:rsidRDefault="00D549BC" w:rsidP="008A565F">
            <w:pPr>
              <w:ind w:left="0"/>
              <w:rPr>
                <w:rFonts w:ascii="Arial Narrow" w:hAnsi="Arial Narrow" w:cs="Arial"/>
                <w:bCs/>
                <w:iCs/>
                <w:color w:val="000000" w:themeColor="text1"/>
                <w:sz w:val="20"/>
                <w:szCs w:val="20"/>
              </w:rPr>
            </w:pPr>
            <w:r w:rsidRPr="009E35ED">
              <w:rPr>
                <w:rFonts w:ascii="Arial Narrow" w:hAnsi="Arial Narrow"/>
                <w:b/>
                <w:bCs/>
                <w:color w:val="000000" w:themeColor="text1"/>
                <w:sz w:val="20"/>
                <w:szCs w:val="20"/>
              </w:rPr>
              <w:t>Retail Receipts (RR)</w:t>
            </w:r>
          </w:p>
        </w:tc>
        <w:tc>
          <w:tcPr>
            <w:tcW w:w="1440" w:type="dxa"/>
            <w:tcBorders>
              <w:top w:val="single" w:sz="4" w:space="0" w:color="auto"/>
            </w:tcBorders>
            <w:vAlign w:val="bottom"/>
          </w:tcPr>
          <w:p w14:paraId="05C150E3" w14:textId="77777777" w:rsidR="00D549BC" w:rsidRPr="009E35ED" w:rsidRDefault="00D549BC" w:rsidP="008A565F">
            <w:pPr>
              <w:ind w:left="0"/>
              <w:jc w:val="right"/>
              <w:rPr>
                <w:rFonts w:ascii="Arial Narrow" w:hAnsi="Arial Narrow" w:cs="Arial"/>
                <w:bCs/>
                <w:iCs/>
                <w:color w:val="000000" w:themeColor="text1"/>
                <w:sz w:val="20"/>
                <w:szCs w:val="20"/>
              </w:rPr>
            </w:pPr>
            <w:r w:rsidRPr="009E35ED">
              <w:rPr>
                <w:rFonts w:ascii="Arial Narrow" w:hAnsi="Arial Narrow"/>
                <w:b/>
                <w:bCs/>
                <w:color w:val="000000" w:themeColor="text1"/>
                <w:sz w:val="20"/>
                <w:szCs w:val="20"/>
              </w:rPr>
              <w:t>100.000%</w:t>
            </w:r>
          </w:p>
        </w:tc>
      </w:tr>
      <w:tr w:rsidR="00D549BC" w:rsidRPr="009E35ED" w14:paraId="2302094D" w14:textId="77777777" w:rsidTr="00D043CC">
        <w:tc>
          <w:tcPr>
            <w:tcW w:w="4770" w:type="dxa"/>
            <w:vAlign w:val="bottom"/>
          </w:tcPr>
          <w:p w14:paraId="57F1914C" w14:textId="77777777" w:rsidR="00D549BC" w:rsidRPr="009E35ED" w:rsidRDefault="00D549BC" w:rsidP="008A565F">
            <w:pPr>
              <w:ind w:left="0"/>
              <w:rPr>
                <w:rFonts w:ascii="Arial Narrow" w:hAnsi="Arial Narrow" w:cs="Arial"/>
                <w:bCs/>
                <w:iCs/>
                <w:color w:val="000000" w:themeColor="text1"/>
                <w:sz w:val="20"/>
                <w:szCs w:val="20"/>
              </w:rPr>
            </w:pPr>
            <w:r w:rsidRPr="009E35ED">
              <w:rPr>
                <w:rFonts w:ascii="Arial Narrow" w:hAnsi="Arial Narrow"/>
                <w:color w:val="000000" w:themeColor="text1"/>
                <w:sz w:val="20"/>
                <w:szCs w:val="20"/>
              </w:rPr>
              <w:t>Less:   2% Printing Cost</w:t>
            </w:r>
          </w:p>
        </w:tc>
        <w:tc>
          <w:tcPr>
            <w:tcW w:w="1440" w:type="dxa"/>
            <w:vAlign w:val="bottom"/>
          </w:tcPr>
          <w:p w14:paraId="6960008D" w14:textId="77777777" w:rsidR="00D549BC" w:rsidRPr="009E35ED" w:rsidRDefault="00D549BC" w:rsidP="008A565F">
            <w:pPr>
              <w:ind w:left="0"/>
              <w:jc w:val="right"/>
              <w:rPr>
                <w:rFonts w:ascii="Arial Narrow" w:hAnsi="Arial Narrow" w:cs="Arial"/>
                <w:bCs/>
                <w:iCs/>
                <w:color w:val="000000" w:themeColor="text1"/>
                <w:sz w:val="20"/>
                <w:szCs w:val="20"/>
              </w:rPr>
            </w:pPr>
            <w:r w:rsidRPr="009E35ED">
              <w:rPr>
                <w:rFonts w:ascii="Arial Narrow" w:hAnsi="Arial Narrow"/>
                <w:b/>
                <w:bCs/>
                <w:color w:val="000000" w:themeColor="text1"/>
                <w:sz w:val="20"/>
                <w:szCs w:val="20"/>
              </w:rPr>
              <w:t>2.000%</w:t>
            </w:r>
          </w:p>
        </w:tc>
      </w:tr>
      <w:tr w:rsidR="00D549BC" w:rsidRPr="009E35ED" w14:paraId="322F2970" w14:textId="77777777" w:rsidTr="00D043CC">
        <w:tc>
          <w:tcPr>
            <w:tcW w:w="4770" w:type="dxa"/>
            <w:vAlign w:val="bottom"/>
          </w:tcPr>
          <w:p w14:paraId="202B8DEA" w14:textId="77777777" w:rsidR="00D549BC" w:rsidRPr="009E35ED" w:rsidRDefault="00D549BC" w:rsidP="008A565F">
            <w:pPr>
              <w:ind w:left="0"/>
              <w:rPr>
                <w:rFonts w:ascii="Arial Narrow" w:hAnsi="Arial Narrow" w:cs="Arial"/>
                <w:bCs/>
                <w:iCs/>
                <w:color w:val="000000" w:themeColor="text1"/>
                <w:sz w:val="20"/>
                <w:szCs w:val="20"/>
              </w:rPr>
            </w:pPr>
            <w:r w:rsidRPr="009E35ED">
              <w:rPr>
                <w:rFonts w:ascii="Arial Narrow" w:hAnsi="Arial Narrow"/>
                <w:b/>
                <w:bCs/>
                <w:color w:val="000000" w:themeColor="text1"/>
                <w:sz w:val="20"/>
                <w:szCs w:val="20"/>
              </w:rPr>
              <w:t>Net Receipts (NR)</w:t>
            </w:r>
          </w:p>
        </w:tc>
        <w:tc>
          <w:tcPr>
            <w:tcW w:w="1440" w:type="dxa"/>
            <w:vAlign w:val="bottom"/>
          </w:tcPr>
          <w:p w14:paraId="41F013AA" w14:textId="77777777" w:rsidR="00D549BC" w:rsidRPr="009E35ED" w:rsidRDefault="00D549BC" w:rsidP="008A565F">
            <w:pPr>
              <w:ind w:left="0"/>
              <w:jc w:val="right"/>
              <w:rPr>
                <w:rFonts w:ascii="Arial Narrow" w:hAnsi="Arial Narrow" w:cs="Arial"/>
                <w:bCs/>
                <w:iCs/>
                <w:color w:val="000000" w:themeColor="text1"/>
                <w:sz w:val="20"/>
                <w:szCs w:val="20"/>
              </w:rPr>
            </w:pPr>
            <w:r w:rsidRPr="009E35ED">
              <w:rPr>
                <w:rFonts w:ascii="Arial Narrow" w:hAnsi="Arial Narrow"/>
                <w:b/>
                <w:bCs/>
                <w:color w:val="000000" w:themeColor="text1"/>
                <w:sz w:val="20"/>
                <w:szCs w:val="20"/>
              </w:rPr>
              <w:t>98.000%</w:t>
            </w:r>
          </w:p>
        </w:tc>
      </w:tr>
      <w:tr w:rsidR="00D549BC" w:rsidRPr="009E35ED" w14:paraId="3BB82A28" w14:textId="77777777" w:rsidTr="00D043CC">
        <w:tc>
          <w:tcPr>
            <w:tcW w:w="4770" w:type="dxa"/>
            <w:vAlign w:val="bottom"/>
          </w:tcPr>
          <w:p w14:paraId="56558EDE" w14:textId="77777777" w:rsidR="00D549BC" w:rsidRPr="009E35ED" w:rsidRDefault="00D549BC" w:rsidP="008A565F">
            <w:pPr>
              <w:ind w:left="0"/>
              <w:rPr>
                <w:rFonts w:ascii="Arial Narrow" w:hAnsi="Arial Narrow" w:cs="Arial"/>
                <w:bCs/>
                <w:iCs/>
                <w:color w:val="000000" w:themeColor="text1"/>
                <w:sz w:val="20"/>
                <w:szCs w:val="20"/>
              </w:rPr>
            </w:pPr>
          </w:p>
        </w:tc>
        <w:tc>
          <w:tcPr>
            <w:tcW w:w="1440" w:type="dxa"/>
            <w:vAlign w:val="bottom"/>
          </w:tcPr>
          <w:p w14:paraId="2B56CB0B" w14:textId="77777777" w:rsidR="00D549BC" w:rsidRPr="009E35ED" w:rsidRDefault="00D549BC" w:rsidP="008A565F">
            <w:pPr>
              <w:ind w:left="0"/>
              <w:jc w:val="right"/>
              <w:rPr>
                <w:rFonts w:ascii="Arial Narrow" w:hAnsi="Arial Narrow" w:cs="Arial"/>
                <w:bCs/>
                <w:iCs/>
                <w:color w:val="000000" w:themeColor="text1"/>
                <w:sz w:val="20"/>
                <w:szCs w:val="20"/>
              </w:rPr>
            </w:pPr>
          </w:p>
        </w:tc>
      </w:tr>
      <w:tr w:rsidR="00D549BC" w:rsidRPr="009E35ED" w14:paraId="35F92DD1" w14:textId="77777777" w:rsidTr="00D043CC">
        <w:tc>
          <w:tcPr>
            <w:tcW w:w="4770" w:type="dxa"/>
            <w:vAlign w:val="bottom"/>
          </w:tcPr>
          <w:p w14:paraId="23360D1C" w14:textId="77777777" w:rsidR="00D549BC" w:rsidRPr="009E35ED" w:rsidRDefault="00D549BC" w:rsidP="008A565F">
            <w:pPr>
              <w:ind w:left="0"/>
              <w:rPr>
                <w:rFonts w:ascii="Arial Narrow" w:hAnsi="Arial Narrow"/>
                <w:b/>
                <w:bCs/>
                <w:color w:val="000000" w:themeColor="text1"/>
                <w:sz w:val="20"/>
                <w:szCs w:val="20"/>
              </w:rPr>
            </w:pPr>
            <w:r w:rsidRPr="009E35ED">
              <w:rPr>
                <w:rFonts w:ascii="Arial Narrow" w:hAnsi="Arial Narrow"/>
                <w:b/>
                <w:bCs/>
                <w:color w:val="000000" w:themeColor="text1"/>
                <w:sz w:val="20"/>
                <w:szCs w:val="20"/>
              </w:rPr>
              <w:t>Allocation of Net Receipts (NR):</w:t>
            </w:r>
          </w:p>
        </w:tc>
        <w:tc>
          <w:tcPr>
            <w:tcW w:w="1440" w:type="dxa"/>
            <w:vAlign w:val="bottom"/>
          </w:tcPr>
          <w:p w14:paraId="6BA1B712" w14:textId="77777777" w:rsidR="00D549BC" w:rsidRPr="009E35ED" w:rsidRDefault="00D549BC" w:rsidP="008A565F">
            <w:pPr>
              <w:ind w:left="0"/>
              <w:jc w:val="right"/>
              <w:rPr>
                <w:rFonts w:ascii="Arial Narrow" w:hAnsi="Arial Narrow" w:cs="Arial"/>
                <w:bCs/>
                <w:iCs/>
                <w:color w:val="000000" w:themeColor="text1"/>
                <w:sz w:val="20"/>
                <w:szCs w:val="20"/>
              </w:rPr>
            </w:pPr>
          </w:p>
        </w:tc>
      </w:tr>
      <w:tr w:rsidR="00D549BC" w:rsidRPr="009E35ED" w14:paraId="2EADE084" w14:textId="77777777" w:rsidTr="00D043CC">
        <w:tc>
          <w:tcPr>
            <w:tcW w:w="4770" w:type="dxa"/>
            <w:vAlign w:val="bottom"/>
          </w:tcPr>
          <w:p w14:paraId="335F8391" w14:textId="77777777" w:rsidR="00D549BC" w:rsidRPr="009E35ED" w:rsidRDefault="00D549BC" w:rsidP="008A565F">
            <w:pPr>
              <w:ind w:left="0"/>
              <w:rPr>
                <w:rFonts w:ascii="Arial Narrow" w:hAnsi="Arial Narrow" w:cs="Arial"/>
                <w:bCs/>
                <w:iCs/>
                <w:color w:val="000000" w:themeColor="text1"/>
                <w:sz w:val="20"/>
                <w:szCs w:val="20"/>
              </w:rPr>
            </w:pPr>
            <w:r w:rsidRPr="009E35ED">
              <w:rPr>
                <w:rFonts w:ascii="Arial Narrow" w:hAnsi="Arial Narrow"/>
                <w:b/>
                <w:bCs/>
                <w:color w:val="000000" w:themeColor="text1"/>
                <w:sz w:val="20"/>
                <w:szCs w:val="20"/>
              </w:rPr>
              <w:t>Prize Fund   (55% of NR)</w:t>
            </w:r>
          </w:p>
        </w:tc>
        <w:tc>
          <w:tcPr>
            <w:tcW w:w="1440" w:type="dxa"/>
            <w:vAlign w:val="bottom"/>
          </w:tcPr>
          <w:p w14:paraId="724726F1" w14:textId="77777777" w:rsidR="00D549BC" w:rsidRPr="009E35ED" w:rsidRDefault="00D549BC" w:rsidP="008A565F">
            <w:pPr>
              <w:ind w:left="0"/>
              <w:jc w:val="right"/>
              <w:rPr>
                <w:rFonts w:ascii="Arial Narrow" w:hAnsi="Arial Narrow" w:cs="Arial"/>
                <w:bCs/>
                <w:iCs/>
                <w:color w:val="000000" w:themeColor="text1"/>
                <w:sz w:val="20"/>
                <w:szCs w:val="20"/>
              </w:rPr>
            </w:pPr>
            <w:r w:rsidRPr="009E35ED">
              <w:rPr>
                <w:rFonts w:ascii="Arial Narrow" w:hAnsi="Arial Narrow"/>
                <w:b/>
                <w:bCs/>
                <w:color w:val="000000" w:themeColor="text1"/>
                <w:sz w:val="20"/>
                <w:szCs w:val="20"/>
              </w:rPr>
              <w:t>53.900%</w:t>
            </w:r>
          </w:p>
        </w:tc>
      </w:tr>
      <w:tr w:rsidR="00D549BC" w:rsidRPr="009E35ED" w14:paraId="7B6409D8" w14:textId="77777777" w:rsidTr="00D043CC">
        <w:tc>
          <w:tcPr>
            <w:tcW w:w="4770" w:type="dxa"/>
            <w:vAlign w:val="bottom"/>
          </w:tcPr>
          <w:p w14:paraId="5F8AF042" w14:textId="77777777" w:rsidR="00D549BC" w:rsidRPr="009E35ED" w:rsidRDefault="00D549BC" w:rsidP="008A565F">
            <w:pPr>
              <w:ind w:left="0"/>
              <w:rPr>
                <w:rFonts w:ascii="Arial Narrow" w:hAnsi="Arial Narrow" w:cs="Arial"/>
                <w:bCs/>
                <w:iCs/>
                <w:color w:val="000000" w:themeColor="text1"/>
                <w:sz w:val="20"/>
                <w:szCs w:val="20"/>
              </w:rPr>
            </w:pPr>
            <w:r w:rsidRPr="009E35ED">
              <w:rPr>
                <w:rFonts w:ascii="Arial Narrow" w:hAnsi="Arial Narrow"/>
                <w:color w:val="000000" w:themeColor="text1"/>
                <w:sz w:val="20"/>
                <w:szCs w:val="20"/>
              </w:rPr>
              <w:t xml:space="preserve">     Payouts</w:t>
            </w:r>
          </w:p>
        </w:tc>
        <w:tc>
          <w:tcPr>
            <w:tcW w:w="1440" w:type="dxa"/>
            <w:vAlign w:val="bottom"/>
          </w:tcPr>
          <w:p w14:paraId="702FF8AD" w14:textId="77777777" w:rsidR="00D549BC" w:rsidRPr="009E35ED" w:rsidRDefault="00D549BC" w:rsidP="008A565F">
            <w:pPr>
              <w:ind w:left="0"/>
              <w:jc w:val="right"/>
              <w:rPr>
                <w:rFonts w:ascii="Arial Narrow" w:hAnsi="Arial Narrow" w:cs="Arial"/>
                <w:bCs/>
                <w:iCs/>
                <w:color w:val="000000" w:themeColor="text1"/>
                <w:sz w:val="20"/>
                <w:szCs w:val="20"/>
              </w:rPr>
            </w:pPr>
            <w:r w:rsidRPr="009E35ED">
              <w:rPr>
                <w:rFonts w:ascii="Arial Narrow" w:hAnsi="Arial Narrow"/>
                <w:color w:val="000000" w:themeColor="text1"/>
                <w:sz w:val="20"/>
                <w:szCs w:val="20"/>
              </w:rPr>
              <w:t>53.900%</w:t>
            </w:r>
          </w:p>
        </w:tc>
      </w:tr>
      <w:tr w:rsidR="00D549BC" w:rsidRPr="009E35ED" w14:paraId="6A27D397" w14:textId="77777777" w:rsidTr="00D043CC">
        <w:tc>
          <w:tcPr>
            <w:tcW w:w="4770" w:type="dxa"/>
            <w:vAlign w:val="bottom"/>
          </w:tcPr>
          <w:p w14:paraId="47DA8D31" w14:textId="77777777" w:rsidR="00D549BC" w:rsidRPr="009E35ED" w:rsidRDefault="00D549BC" w:rsidP="008A565F">
            <w:pPr>
              <w:ind w:left="0"/>
              <w:rPr>
                <w:rFonts w:ascii="Arial Narrow" w:hAnsi="Arial Narrow" w:cs="Arial"/>
                <w:bCs/>
                <w:iCs/>
                <w:color w:val="000000" w:themeColor="text1"/>
                <w:sz w:val="20"/>
                <w:szCs w:val="20"/>
              </w:rPr>
            </w:pPr>
            <w:r w:rsidRPr="009E35ED">
              <w:rPr>
                <w:rFonts w:ascii="Arial Narrow" w:hAnsi="Arial Narrow"/>
                <w:b/>
                <w:bCs/>
                <w:color w:val="000000" w:themeColor="text1"/>
                <w:sz w:val="20"/>
                <w:szCs w:val="20"/>
              </w:rPr>
              <w:t xml:space="preserve">Sub – Total </w:t>
            </w:r>
          </w:p>
        </w:tc>
        <w:tc>
          <w:tcPr>
            <w:tcW w:w="1440" w:type="dxa"/>
            <w:vAlign w:val="bottom"/>
          </w:tcPr>
          <w:p w14:paraId="26677608" w14:textId="77777777" w:rsidR="00D549BC" w:rsidRPr="009E35ED" w:rsidRDefault="00D549BC" w:rsidP="008A565F">
            <w:pPr>
              <w:ind w:left="0"/>
              <w:jc w:val="right"/>
              <w:rPr>
                <w:rFonts w:ascii="Arial Narrow" w:hAnsi="Arial Narrow" w:cs="Arial"/>
                <w:bCs/>
                <w:iCs/>
                <w:color w:val="000000" w:themeColor="text1"/>
                <w:sz w:val="20"/>
                <w:szCs w:val="20"/>
              </w:rPr>
            </w:pPr>
            <w:r w:rsidRPr="009E35ED">
              <w:rPr>
                <w:rFonts w:ascii="Arial Narrow" w:hAnsi="Arial Narrow"/>
                <w:b/>
                <w:bCs/>
                <w:color w:val="000000" w:themeColor="text1"/>
                <w:sz w:val="20"/>
                <w:szCs w:val="20"/>
              </w:rPr>
              <w:t>53.900%</w:t>
            </w:r>
          </w:p>
        </w:tc>
      </w:tr>
      <w:tr w:rsidR="00D549BC" w:rsidRPr="009E35ED" w14:paraId="0CAA3AAE" w14:textId="77777777" w:rsidTr="00D043CC">
        <w:tc>
          <w:tcPr>
            <w:tcW w:w="4770" w:type="dxa"/>
            <w:vAlign w:val="bottom"/>
          </w:tcPr>
          <w:p w14:paraId="14ED3B06" w14:textId="77777777" w:rsidR="00D549BC" w:rsidRPr="009E35ED" w:rsidRDefault="00D549BC" w:rsidP="008A565F">
            <w:pPr>
              <w:ind w:left="0"/>
              <w:rPr>
                <w:rFonts w:ascii="Arial Narrow" w:hAnsi="Arial Narrow" w:cs="Arial"/>
                <w:bCs/>
                <w:iCs/>
                <w:color w:val="000000" w:themeColor="text1"/>
                <w:sz w:val="20"/>
                <w:szCs w:val="20"/>
              </w:rPr>
            </w:pPr>
          </w:p>
        </w:tc>
        <w:tc>
          <w:tcPr>
            <w:tcW w:w="1440" w:type="dxa"/>
            <w:vAlign w:val="bottom"/>
          </w:tcPr>
          <w:p w14:paraId="6BFE0F9F" w14:textId="77777777" w:rsidR="00D549BC" w:rsidRPr="009E35ED" w:rsidRDefault="00D549BC" w:rsidP="008A565F">
            <w:pPr>
              <w:ind w:left="0"/>
              <w:jc w:val="right"/>
              <w:rPr>
                <w:rFonts w:ascii="Arial Narrow" w:hAnsi="Arial Narrow" w:cs="Arial"/>
                <w:bCs/>
                <w:iCs/>
                <w:color w:val="000000" w:themeColor="text1"/>
                <w:sz w:val="20"/>
                <w:szCs w:val="20"/>
              </w:rPr>
            </w:pPr>
          </w:p>
        </w:tc>
      </w:tr>
      <w:tr w:rsidR="00D549BC" w:rsidRPr="009E35ED" w14:paraId="7FE99F35" w14:textId="77777777" w:rsidTr="00D043CC">
        <w:tc>
          <w:tcPr>
            <w:tcW w:w="4770" w:type="dxa"/>
            <w:vAlign w:val="bottom"/>
          </w:tcPr>
          <w:p w14:paraId="7999D8AF" w14:textId="77777777" w:rsidR="00D549BC" w:rsidRPr="009E35ED" w:rsidRDefault="00D549BC" w:rsidP="008A565F">
            <w:pPr>
              <w:ind w:left="0"/>
              <w:rPr>
                <w:rFonts w:ascii="Arial Narrow" w:hAnsi="Arial Narrow" w:cs="Arial"/>
                <w:bCs/>
                <w:iCs/>
                <w:color w:val="000000" w:themeColor="text1"/>
                <w:sz w:val="20"/>
                <w:szCs w:val="20"/>
              </w:rPr>
            </w:pPr>
            <w:r w:rsidRPr="009E35ED">
              <w:rPr>
                <w:rFonts w:ascii="Arial Narrow" w:hAnsi="Arial Narrow"/>
                <w:b/>
                <w:bCs/>
                <w:color w:val="000000" w:themeColor="text1"/>
                <w:sz w:val="20"/>
                <w:szCs w:val="20"/>
              </w:rPr>
              <w:t>Charity Fund   (30% of NR)</w:t>
            </w:r>
          </w:p>
        </w:tc>
        <w:tc>
          <w:tcPr>
            <w:tcW w:w="1440" w:type="dxa"/>
            <w:vAlign w:val="bottom"/>
          </w:tcPr>
          <w:p w14:paraId="1E1AA99D" w14:textId="77777777" w:rsidR="00D549BC" w:rsidRPr="009E35ED" w:rsidRDefault="00D549BC" w:rsidP="008A565F">
            <w:pPr>
              <w:ind w:left="0"/>
              <w:jc w:val="right"/>
              <w:rPr>
                <w:rFonts w:ascii="Arial Narrow" w:hAnsi="Arial Narrow" w:cs="Arial"/>
                <w:bCs/>
                <w:iCs/>
                <w:color w:val="000000" w:themeColor="text1"/>
                <w:sz w:val="20"/>
                <w:szCs w:val="20"/>
              </w:rPr>
            </w:pPr>
            <w:r w:rsidRPr="009E35ED">
              <w:rPr>
                <w:rFonts w:ascii="Arial Narrow" w:hAnsi="Arial Narrow"/>
                <w:b/>
                <w:bCs/>
                <w:color w:val="000000" w:themeColor="text1"/>
                <w:sz w:val="20"/>
                <w:szCs w:val="20"/>
              </w:rPr>
              <w:t>29.400%</w:t>
            </w:r>
          </w:p>
        </w:tc>
      </w:tr>
      <w:tr w:rsidR="00D549BC" w:rsidRPr="009E35ED" w14:paraId="6A293016" w14:textId="77777777" w:rsidTr="00D043CC">
        <w:tc>
          <w:tcPr>
            <w:tcW w:w="4770" w:type="dxa"/>
            <w:vAlign w:val="bottom"/>
          </w:tcPr>
          <w:p w14:paraId="408DB6C7" w14:textId="77777777" w:rsidR="00D549BC" w:rsidRPr="009E35ED" w:rsidRDefault="00D549BC" w:rsidP="008A565F">
            <w:pPr>
              <w:ind w:left="0"/>
              <w:rPr>
                <w:rFonts w:ascii="Arial Narrow" w:hAnsi="Arial Narrow" w:cs="Arial"/>
                <w:bCs/>
                <w:iCs/>
                <w:color w:val="000000" w:themeColor="text1"/>
                <w:sz w:val="20"/>
                <w:szCs w:val="20"/>
              </w:rPr>
            </w:pPr>
            <w:r w:rsidRPr="009E35ED">
              <w:rPr>
                <w:rFonts w:ascii="Arial Narrow" w:hAnsi="Arial Narrow"/>
                <w:color w:val="000000" w:themeColor="text1"/>
                <w:sz w:val="20"/>
                <w:szCs w:val="20"/>
              </w:rPr>
              <w:t xml:space="preserve">     Documentary Stamp Tax</w:t>
            </w:r>
          </w:p>
        </w:tc>
        <w:tc>
          <w:tcPr>
            <w:tcW w:w="1440" w:type="dxa"/>
            <w:vAlign w:val="bottom"/>
          </w:tcPr>
          <w:p w14:paraId="17A9DA52" w14:textId="77777777" w:rsidR="00D549BC" w:rsidRPr="009E35ED" w:rsidRDefault="00D549BC" w:rsidP="008A565F">
            <w:pPr>
              <w:ind w:left="0"/>
              <w:jc w:val="right"/>
              <w:rPr>
                <w:rFonts w:ascii="Arial Narrow" w:hAnsi="Arial Narrow" w:cs="Arial"/>
                <w:bCs/>
                <w:iCs/>
                <w:color w:val="000000" w:themeColor="text1"/>
                <w:sz w:val="20"/>
                <w:szCs w:val="20"/>
              </w:rPr>
            </w:pPr>
            <w:r w:rsidRPr="009E35ED">
              <w:rPr>
                <w:rFonts w:ascii="Arial Narrow" w:hAnsi="Arial Narrow"/>
                <w:color w:val="000000" w:themeColor="text1"/>
                <w:sz w:val="20"/>
                <w:szCs w:val="20"/>
              </w:rPr>
              <w:t>20.000%</w:t>
            </w:r>
          </w:p>
        </w:tc>
      </w:tr>
      <w:tr w:rsidR="00D549BC" w:rsidRPr="009E35ED" w14:paraId="5F3BBA28" w14:textId="77777777" w:rsidTr="00D043CC">
        <w:tc>
          <w:tcPr>
            <w:tcW w:w="4770" w:type="dxa"/>
            <w:vAlign w:val="bottom"/>
          </w:tcPr>
          <w:p w14:paraId="4926B3F4" w14:textId="77777777" w:rsidR="00D549BC" w:rsidRPr="009E35ED" w:rsidRDefault="00D549BC" w:rsidP="008A565F">
            <w:pPr>
              <w:ind w:left="0"/>
              <w:rPr>
                <w:rFonts w:ascii="Arial Narrow" w:hAnsi="Arial Narrow"/>
                <w:color w:val="000000" w:themeColor="text1"/>
                <w:sz w:val="20"/>
                <w:szCs w:val="20"/>
              </w:rPr>
            </w:pPr>
            <w:r w:rsidRPr="009E35ED">
              <w:rPr>
                <w:rFonts w:ascii="Arial Narrow" w:hAnsi="Arial Narrow"/>
                <w:color w:val="000000" w:themeColor="text1"/>
                <w:sz w:val="20"/>
                <w:szCs w:val="20"/>
              </w:rPr>
              <w:t xml:space="preserve">     Net Charity Fund</w:t>
            </w:r>
          </w:p>
        </w:tc>
        <w:tc>
          <w:tcPr>
            <w:tcW w:w="1440" w:type="dxa"/>
            <w:vAlign w:val="bottom"/>
          </w:tcPr>
          <w:p w14:paraId="6CD26A0F" w14:textId="77777777" w:rsidR="00D549BC" w:rsidRPr="009E35ED" w:rsidRDefault="00D549BC" w:rsidP="008A565F">
            <w:pPr>
              <w:ind w:left="0"/>
              <w:jc w:val="right"/>
              <w:rPr>
                <w:rFonts w:ascii="Arial Narrow" w:hAnsi="Arial Narrow" w:cs="Arial"/>
                <w:bCs/>
                <w:iCs/>
                <w:color w:val="000000" w:themeColor="text1"/>
                <w:sz w:val="20"/>
                <w:szCs w:val="20"/>
              </w:rPr>
            </w:pPr>
            <w:r w:rsidRPr="009E35ED">
              <w:rPr>
                <w:rFonts w:ascii="Arial Narrow" w:hAnsi="Arial Narrow"/>
                <w:color w:val="000000" w:themeColor="text1"/>
                <w:sz w:val="20"/>
                <w:szCs w:val="20"/>
              </w:rPr>
              <w:t>9.400%</w:t>
            </w:r>
          </w:p>
        </w:tc>
      </w:tr>
      <w:tr w:rsidR="00D549BC" w:rsidRPr="009E35ED" w14:paraId="76BE9179" w14:textId="77777777" w:rsidTr="00D043CC">
        <w:tc>
          <w:tcPr>
            <w:tcW w:w="4770" w:type="dxa"/>
            <w:vAlign w:val="bottom"/>
          </w:tcPr>
          <w:p w14:paraId="1161825A" w14:textId="77777777" w:rsidR="00D549BC" w:rsidRPr="009E35ED" w:rsidRDefault="00D549BC" w:rsidP="008A565F">
            <w:pPr>
              <w:ind w:left="0"/>
              <w:rPr>
                <w:rFonts w:ascii="Arial Narrow" w:hAnsi="Arial Narrow"/>
                <w:color w:val="000000" w:themeColor="text1"/>
                <w:sz w:val="20"/>
                <w:szCs w:val="20"/>
              </w:rPr>
            </w:pPr>
            <w:r w:rsidRPr="009E35ED">
              <w:rPr>
                <w:rFonts w:ascii="Arial Narrow" w:hAnsi="Arial Narrow"/>
                <w:b/>
                <w:bCs/>
                <w:color w:val="000000" w:themeColor="text1"/>
                <w:sz w:val="20"/>
                <w:szCs w:val="20"/>
              </w:rPr>
              <w:t>Sub – Total</w:t>
            </w:r>
          </w:p>
        </w:tc>
        <w:tc>
          <w:tcPr>
            <w:tcW w:w="1440" w:type="dxa"/>
            <w:vAlign w:val="bottom"/>
          </w:tcPr>
          <w:p w14:paraId="64D266CC" w14:textId="77777777" w:rsidR="00D549BC" w:rsidRPr="009E35ED" w:rsidRDefault="00D549BC" w:rsidP="008A565F">
            <w:pPr>
              <w:ind w:left="0"/>
              <w:jc w:val="right"/>
              <w:rPr>
                <w:rFonts w:ascii="Arial Narrow" w:hAnsi="Arial Narrow" w:cs="Arial"/>
                <w:bCs/>
                <w:iCs/>
                <w:color w:val="000000" w:themeColor="text1"/>
                <w:sz w:val="20"/>
                <w:szCs w:val="20"/>
              </w:rPr>
            </w:pPr>
            <w:r w:rsidRPr="009E35ED">
              <w:rPr>
                <w:rFonts w:ascii="Arial Narrow" w:hAnsi="Arial Narrow"/>
                <w:b/>
                <w:bCs/>
                <w:color w:val="000000" w:themeColor="text1"/>
                <w:sz w:val="20"/>
                <w:szCs w:val="20"/>
              </w:rPr>
              <w:t>29.400%</w:t>
            </w:r>
          </w:p>
        </w:tc>
      </w:tr>
      <w:tr w:rsidR="00D549BC" w:rsidRPr="009E35ED" w14:paraId="6A0ED503" w14:textId="77777777" w:rsidTr="00D043CC">
        <w:tc>
          <w:tcPr>
            <w:tcW w:w="4770" w:type="dxa"/>
            <w:vAlign w:val="bottom"/>
          </w:tcPr>
          <w:p w14:paraId="07DFC858" w14:textId="77777777" w:rsidR="00D549BC" w:rsidRPr="009E35ED" w:rsidRDefault="00D549BC" w:rsidP="008A565F">
            <w:pPr>
              <w:ind w:left="0"/>
              <w:rPr>
                <w:rFonts w:ascii="Arial Narrow" w:hAnsi="Arial Narrow"/>
                <w:color w:val="000000" w:themeColor="text1"/>
                <w:sz w:val="20"/>
                <w:szCs w:val="20"/>
              </w:rPr>
            </w:pPr>
          </w:p>
        </w:tc>
        <w:tc>
          <w:tcPr>
            <w:tcW w:w="1440" w:type="dxa"/>
            <w:vAlign w:val="bottom"/>
          </w:tcPr>
          <w:p w14:paraId="2F159556" w14:textId="77777777" w:rsidR="00D549BC" w:rsidRPr="009E35ED" w:rsidRDefault="00D549BC" w:rsidP="008A565F">
            <w:pPr>
              <w:ind w:left="0"/>
              <w:jc w:val="right"/>
              <w:rPr>
                <w:rFonts w:ascii="Arial Narrow" w:hAnsi="Arial Narrow" w:cs="Arial"/>
                <w:bCs/>
                <w:iCs/>
                <w:color w:val="000000" w:themeColor="text1"/>
                <w:sz w:val="20"/>
                <w:szCs w:val="20"/>
              </w:rPr>
            </w:pPr>
          </w:p>
        </w:tc>
      </w:tr>
      <w:tr w:rsidR="00D549BC" w:rsidRPr="009E35ED" w14:paraId="7E351179" w14:textId="77777777" w:rsidTr="00D043CC">
        <w:tc>
          <w:tcPr>
            <w:tcW w:w="4770" w:type="dxa"/>
            <w:vAlign w:val="bottom"/>
          </w:tcPr>
          <w:p w14:paraId="560ECCF3" w14:textId="77777777" w:rsidR="00D549BC" w:rsidRPr="009E35ED" w:rsidRDefault="00D549BC" w:rsidP="008A565F">
            <w:pPr>
              <w:ind w:left="0"/>
              <w:rPr>
                <w:rFonts w:ascii="Arial Narrow" w:hAnsi="Arial Narrow"/>
                <w:color w:val="000000" w:themeColor="text1"/>
                <w:sz w:val="20"/>
                <w:szCs w:val="20"/>
              </w:rPr>
            </w:pPr>
            <w:r w:rsidRPr="009E35ED">
              <w:rPr>
                <w:rFonts w:ascii="Arial Narrow" w:hAnsi="Arial Narrow"/>
                <w:b/>
                <w:bCs/>
                <w:color w:val="000000" w:themeColor="text1"/>
                <w:sz w:val="20"/>
                <w:szCs w:val="20"/>
              </w:rPr>
              <w:t>Operating Fund  (15% of NR)</w:t>
            </w:r>
          </w:p>
        </w:tc>
        <w:tc>
          <w:tcPr>
            <w:tcW w:w="1440" w:type="dxa"/>
            <w:vAlign w:val="bottom"/>
          </w:tcPr>
          <w:p w14:paraId="10D95F98" w14:textId="77777777" w:rsidR="00D549BC" w:rsidRPr="009E35ED" w:rsidRDefault="00D549BC" w:rsidP="008A565F">
            <w:pPr>
              <w:ind w:left="0"/>
              <w:jc w:val="right"/>
              <w:rPr>
                <w:rFonts w:ascii="Arial Narrow" w:hAnsi="Arial Narrow" w:cs="Arial"/>
                <w:bCs/>
                <w:iCs/>
                <w:color w:val="000000" w:themeColor="text1"/>
                <w:sz w:val="20"/>
                <w:szCs w:val="20"/>
              </w:rPr>
            </w:pPr>
            <w:r w:rsidRPr="009E35ED">
              <w:rPr>
                <w:rFonts w:ascii="Arial Narrow" w:hAnsi="Arial Narrow"/>
                <w:b/>
                <w:bCs/>
                <w:color w:val="000000" w:themeColor="text1"/>
                <w:sz w:val="20"/>
                <w:szCs w:val="20"/>
              </w:rPr>
              <w:t>14.700%</w:t>
            </w:r>
          </w:p>
        </w:tc>
      </w:tr>
      <w:tr w:rsidR="00D549BC" w:rsidRPr="009E35ED" w14:paraId="0BD7B55A" w14:textId="77777777" w:rsidTr="00D043CC">
        <w:tc>
          <w:tcPr>
            <w:tcW w:w="4770" w:type="dxa"/>
            <w:vAlign w:val="bottom"/>
          </w:tcPr>
          <w:p w14:paraId="54EC4531" w14:textId="77777777" w:rsidR="00D549BC" w:rsidRPr="009E35ED" w:rsidRDefault="00D549BC" w:rsidP="008A565F">
            <w:pPr>
              <w:ind w:left="0"/>
              <w:rPr>
                <w:rFonts w:ascii="Arial Narrow" w:hAnsi="Arial Narrow"/>
                <w:color w:val="000000" w:themeColor="text1"/>
                <w:sz w:val="20"/>
                <w:szCs w:val="20"/>
              </w:rPr>
            </w:pPr>
            <w:r w:rsidRPr="009E35ED">
              <w:rPr>
                <w:rFonts w:ascii="Arial Narrow" w:hAnsi="Arial Narrow"/>
                <w:color w:val="000000" w:themeColor="text1"/>
                <w:sz w:val="20"/>
                <w:szCs w:val="20"/>
              </w:rPr>
              <w:t xml:space="preserve">     Agent’s Commission</w:t>
            </w:r>
          </w:p>
        </w:tc>
        <w:tc>
          <w:tcPr>
            <w:tcW w:w="1440" w:type="dxa"/>
            <w:vAlign w:val="bottom"/>
          </w:tcPr>
          <w:p w14:paraId="07275AEC" w14:textId="77777777" w:rsidR="00D549BC" w:rsidRPr="009E35ED" w:rsidRDefault="00D549BC" w:rsidP="008A565F">
            <w:pPr>
              <w:ind w:left="0"/>
              <w:jc w:val="right"/>
              <w:rPr>
                <w:rFonts w:ascii="Arial Narrow" w:hAnsi="Arial Narrow" w:cs="Arial"/>
                <w:bCs/>
                <w:iCs/>
                <w:color w:val="000000" w:themeColor="text1"/>
                <w:sz w:val="20"/>
                <w:szCs w:val="20"/>
              </w:rPr>
            </w:pPr>
            <w:r w:rsidRPr="009E35ED">
              <w:rPr>
                <w:rFonts w:ascii="Arial Narrow" w:hAnsi="Arial Narrow"/>
                <w:color w:val="000000" w:themeColor="text1"/>
                <w:sz w:val="20"/>
                <w:szCs w:val="20"/>
              </w:rPr>
              <w:t>14.000%</w:t>
            </w:r>
          </w:p>
        </w:tc>
      </w:tr>
      <w:tr w:rsidR="00D549BC" w:rsidRPr="009E35ED" w14:paraId="2D424625" w14:textId="77777777" w:rsidTr="00D043CC">
        <w:tc>
          <w:tcPr>
            <w:tcW w:w="4770" w:type="dxa"/>
            <w:vAlign w:val="bottom"/>
          </w:tcPr>
          <w:p w14:paraId="6D54F836" w14:textId="77777777" w:rsidR="00D549BC" w:rsidRPr="009E35ED" w:rsidRDefault="00D549BC" w:rsidP="008A565F">
            <w:pPr>
              <w:ind w:left="0"/>
              <w:rPr>
                <w:rFonts w:ascii="Arial Narrow" w:hAnsi="Arial Narrow"/>
                <w:color w:val="000000" w:themeColor="text1"/>
                <w:sz w:val="20"/>
                <w:szCs w:val="20"/>
              </w:rPr>
            </w:pPr>
            <w:r w:rsidRPr="009E35ED">
              <w:rPr>
                <w:rFonts w:ascii="Arial Narrow" w:hAnsi="Arial Narrow"/>
                <w:color w:val="000000" w:themeColor="text1"/>
                <w:sz w:val="20"/>
                <w:szCs w:val="20"/>
              </w:rPr>
              <w:t xml:space="preserve">     Net Operating Fund</w:t>
            </w:r>
          </w:p>
        </w:tc>
        <w:tc>
          <w:tcPr>
            <w:tcW w:w="1440" w:type="dxa"/>
            <w:vAlign w:val="bottom"/>
          </w:tcPr>
          <w:p w14:paraId="6FC32A7F" w14:textId="77777777" w:rsidR="00D549BC" w:rsidRPr="009E35ED" w:rsidRDefault="00D549BC" w:rsidP="008A565F">
            <w:pPr>
              <w:ind w:left="0"/>
              <w:jc w:val="right"/>
              <w:rPr>
                <w:rFonts w:ascii="Arial Narrow" w:hAnsi="Arial Narrow" w:cs="Arial"/>
                <w:bCs/>
                <w:iCs/>
                <w:color w:val="000000" w:themeColor="text1"/>
                <w:sz w:val="20"/>
                <w:szCs w:val="20"/>
              </w:rPr>
            </w:pPr>
            <w:r w:rsidRPr="009E35ED">
              <w:rPr>
                <w:rFonts w:ascii="Arial Narrow" w:hAnsi="Arial Narrow"/>
                <w:color w:val="000000" w:themeColor="text1"/>
                <w:sz w:val="20"/>
                <w:szCs w:val="20"/>
              </w:rPr>
              <w:t>0.700%</w:t>
            </w:r>
          </w:p>
        </w:tc>
      </w:tr>
      <w:tr w:rsidR="00D549BC" w:rsidRPr="009E35ED" w14:paraId="11D685D7" w14:textId="77777777" w:rsidTr="00D043CC">
        <w:tc>
          <w:tcPr>
            <w:tcW w:w="4770" w:type="dxa"/>
            <w:tcBorders>
              <w:bottom w:val="single" w:sz="4" w:space="0" w:color="auto"/>
            </w:tcBorders>
            <w:vAlign w:val="bottom"/>
          </w:tcPr>
          <w:p w14:paraId="6289C498" w14:textId="77777777" w:rsidR="00D549BC" w:rsidRPr="009E35ED" w:rsidRDefault="00D549BC" w:rsidP="008A565F">
            <w:pPr>
              <w:ind w:left="0"/>
              <w:rPr>
                <w:rFonts w:ascii="Arial Narrow" w:hAnsi="Arial Narrow"/>
                <w:color w:val="000000" w:themeColor="text1"/>
                <w:sz w:val="20"/>
                <w:szCs w:val="20"/>
              </w:rPr>
            </w:pPr>
            <w:r w:rsidRPr="009E35ED">
              <w:rPr>
                <w:rFonts w:ascii="Arial Narrow" w:hAnsi="Arial Narrow"/>
                <w:b/>
                <w:bCs/>
                <w:color w:val="000000" w:themeColor="text1"/>
                <w:sz w:val="20"/>
                <w:szCs w:val="20"/>
              </w:rPr>
              <w:t>Sub – Total</w:t>
            </w:r>
          </w:p>
        </w:tc>
        <w:tc>
          <w:tcPr>
            <w:tcW w:w="1440" w:type="dxa"/>
            <w:tcBorders>
              <w:bottom w:val="single" w:sz="4" w:space="0" w:color="auto"/>
            </w:tcBorders>
            <w:vAlign w:val="bottom"/>
          </w:tcPr>
          <w:p w14:paraId="5A47DC2D" w14:textId="77777777" w:rsidR="00D549BC" w:rsidRPr="009E35ED" w:rsidRDefault="00D549BC" w:rsidP="008A565F">
            <w:pPr>
              <w:ind w:left="0"/>
              <w:jc w:val="right"/>
              <w:rPr>
                <w:rFonts w:ascii="Arial Narrow" w:hAnsi="Arial Narrow" w:cs="Arial"/>
                <w:bCs/>
                <w:iCs/>
                <w:color w:val="000000" w:themeColor="text1"/>
                <w:sz w:val="20"/>
                <w:szCs w:val="20"/>
              </w:rPr>
            </w:pPr>
            <w:r w:rsidRPr="009E35ED">
              <w:rPr>
                <w:rFonts w:ascii="Arial Narrow" w:hAnsi="Arial Narrow"/>
                <w:b/>
                <w:bCs/>
                <w:color w:val="000000" w:themeColor="text1"/>
                <w:sz w:val="20"/>
                <w:szCs w:val="20"/>
              </w:rPr>
              <w:t>14.700%</w:t>
            </w:r>
          </w:p>
        </w:tc>
      </w:tr>
    </w:tbl>
    <w:p w14:paraId="539547AE" w14:textId="77777777" w:rsidR="00E41F20" w:rsidRPr="002F0748" w:rsidRDefault="00E41F20" w:rsidP="002F0748">
      <w:pPr>
        <w:ind w:left="66"/>
        <w:rPr>
          <w:rFonts w:ascii="Arial" w:hAnsi="Arial" w:cs="Arial"/>
          <w:b/>
          <w:bCs/>
          <w:color w:val="000000" w:themeColor="text1"/>
          <w:sz w:val="22"/>
          <w:szCs w:val="22"/>
        </w:rPr>
      </w:pPr>
    </w:p>
    <w:p w14:paraId="2F22A5A6" w14:textId="026E112B" w:rsidR="002C1F84" w:rsidRPr="009E35ED" w:rsidRDefault="002C1F84" w:rsidP="00997F75">
      <w:pPr>
        <w:pStyle w:val="ListParagraph"/>
        <w:numPr>
          <w:ilvl w:val="0"/>
          <w:numId w:val="41"/>
        </w:numPr>
        <w:ind w:left="426"/>
        <w:rPr>
          <w:rFonts w:ascii="Arial" w:hAnsi="Arial" w:cs="Arial"/>
          <w:b/>
          <w:bCs/>
          <w:color w:val="000000" w:themeColor="text1"/>
          <w:sz w:val="22"/>
          <w:szCs w:val="22"/>
        </w:rPr>
      </w:pPr>
      <w:r w:rsidRPr="009E35ED">
        <w:rPr>
          <w:rFonts w:ascii="Arial" w:hAnsi="Arial" w:cs="Arial"/>
          <w:b/>
          <w:bCs/>
          <w:color w:val="000000" w:themeColor="text1"/>
          <w:sz w:val="22"/>
          <w:szCs w:val="22"/>
        </w:rPr>
        <w:t xml:space="preserve">   PERYAHAN</w:t>
      </w:r>
    </w:p>
    <w:p w14:paraId="5F39B0E9" w14:textId="77777777" w:rsidR="002C1F84" w:rsidRPr="009E35ED" w:rsidRDefault="002C1F84" w:rsidP="00803F8C">
      <w:pPr>
        <w:pStyle w:val="ListParagraph"/>
        <w:ind w:left="810"/>
        <w:rPr>
          <w:rFonts w:ascii="Arial" w:hAnsi="Arial" w:cs="Arial"/>
          <w:b/>
          <w:bCs/>
          <w:color w:val="000000" w:themeColor="text1"/>
          <w:sz w:val="22"/>
          <w:szCs w:val="22"/>
        </w:rPr>
      </w:pPr>
    </w:p>
    <w:p w14:paraId="4344D228" w14:textId="788AEDE5" w:rsidR="00965812" w:rsidRPr="009E35ED" w:rsidRDefault="00965812" w:rsidP="00803F8C">
      <w:pPr>
        <w:ind w:left="0"/>
        <w:rPr>
          <w:rFonts w:ascii="Arial" w:hAnsi="Arial" w:cs="Arial"/>
          <w:color w:val="000000" w:themeColor="text1"/>
          <w:sz w:val="22"/>
          <w:szCs w:val="22"/>
          <w:lang w:val="en-PH"/>
        </w:rPr>
      </w:pPr>
      <w:r w:rsidRPr="009E35ED">
        <w:rPr>
          <w:rFonts w:ascii="Arial" w:hAnsi="Arial" w:cs="Arial"/>
          <w:color w:val="000000" w:themeColor="text1"/>
          <w:sz w:val="22"/>
          <w:szCs w:val="22"/>
          <w:lang w:val="en-PH"/>
        </w:rPr>
        <w:t xml:space="preserve">The Peryahan game is on a one year experimental/test run period, approved by virtue of a Deed of Authority (DOA) dated April 02, 2014 executed by </w:t>
      </w:r>
      <w:r w:rsidR="00912A4F">
        <w:rPr>
          <w:rFonts w:ascii="Arial" w:hAnsi="Arial" w:cs="Arial"/>
          <w:color w:val="000000" w:themeColor="text1"/>
          <w:sz w:val="22"/>
          <w:szCs w:val="22"/>
          <w:lang w:val="en-PH"/>
        </w:rPr>
        <w:t xml:space="preserve">the </w:t>
      </w:r>
      <w:r w:rsidRPr="009E35ED">
        <w:rPr>
          <w:rFonts w:ascii="Arial" w:hAnsi="Arial" w:cs="Arial"/>
          <w:color w:val="000000" w:themeColor="text1"/>
          <w:sz w:val="22"/>
          <w:szCs w:val="22"/>
          <w:lang w:val="en-PH"/>
        </w:rPr>
        <w:t xml:space="preserve">PCSO and Globaltech Mobile Online Corporation (Globaltech). It started its selling operation on June 28, 2014 until June 27, 2015. It has three games namely: “Hulog Holen”, </w:t>
      </w:r>
      <w:r w:rsidR="00CE3261" w:rsidRPr="009E35ED">
        <w:rPr>
          <w:rFonts w:ascii="Arial" w:hAnsi="Arial" w:cs="Arial"/>
          <w:color w:val="000000" w:themeColor="text1"/>
          <w:sz w:val="22"/>
          <w:szCs w:val="22"/>
          <w:lang w:val="en-PH"/>
        </w:rPr>
        <w:t>“</w:t>
      </w:r>
      <w:r w:rsidRPr="009E35ED">
        <w:rPr>
          <w:rFonts w:ascii="Arial" w:hAnsi="Arial" w:cs="Arial"/>
          <w:color w:val="000000" w:themeColor="text1"/>
          <w:sz w:val="22"/>
          <w:szCs w:val="22"/>
          <w:lang w:val="en-PH"/>
        </w:rPr>
        <w:t>Throw Coins</w:t>
      </w:r>
      <w:r w:rsidR="00CE3261" w:rsidRPr="009E35ED">
        <w:rPr>
          <w:rFonts w:ascii="Arial" w:hAnsi="Arial" w:cs="Arial"/>
          <w:color w:val="000000" w:themeColor="text1"/>
          <w:sz w:val="22"/>
          <w:szCs w:val="22"/>
          <w:lang w:val="en-PH"/>
        </w:rPr>
        <w:t>”</w:t>
      </w:r>
      <w:r w:rsidRPr="009E35ED">
        <w:rPr>
          <w:rFonts w:ascii="Arial" w:hAnsi="Arial" w:cs="Arial"/>
          <w:color w:val="000000" w:themeColor="text1"/>
          <w:sz w:val="22"/>
          <w:szCs w:val="22"/>
          <w:lang w:val="en-PH"/>
        </w:rPr>
        <w:t xml:space="preserve"> and “Gulong ng Swertes.”  </w:t>
      </w:r>
    </w:p>
    <w:p w14:paraId="423F1782" w14:textId="77777777" w:rsidR="00965812" w:rsidRPr="009E35ED" w:rsidRDefault="00965812" w:rsidP="00803F8C">
      <w:pPr>
        <w:ind w:left="0"/>
        <w:rPr>
          <w:rFonts w:ascii="Arial" w:hAnsi="Arial" w:cs="Arial"/>
          <w:color w:val="000000" w:themeColor="text1"/>
          <w:sz w:val="22"/>
          <w:szCs w:val="22"/>
          <w:lang w:val="en-PH"/>
        </w:rPr>
      </w:pPr>
    </w:p>
    <w:p w14:paraId="09759AF1" w14:textId="77777777" w:rsidR="00965812" w:rsidRPr="009E35ED" w:rsidRDefault="00965812" w:rsidP="00803F8C">
      <w:pPr>
        <w:ind w:left="0"/>
        <w:rPr>
          <w:rFonts w:ascii="Arial" w:hAnsi="Arial" w:cs="Arial"/>
          <w:color w:val="000000" w:themeColor="text1"/>
          <w:sz w:val="22"/>
          <w:szCs w:val="22"/>
          <w:lang w:val="en-PH"/>
        </w:rPr>
      </w:pPr>
      <w:r w:rsidRPr="009E35ED">
        <w:rPr>
          <w:rFonts w:ascii="Arial" w:hAnsi="Arial" w:cs="Arial"/>
          <w:color w:val="000000" w:themeColor="text1"/>
          <w:sz w:val="22"/>
          <w:szCs w:val="22"/>
          <w:lang w:val="en-PH"/>
        </w:rPr>
        <w:t>The games shall be conducted nationwide through authorized agents/retailers but it will be implemented on a local government level, e.g. Autonomous Region, Region, Province, City, Municipality and Barangay. The draw will be held daily in all draw centers every 11am, 4pm and 9pm.</w:t>
      </w:r>
    </w:p>
    <w:p w14:paraId="7FC5B250" w14:textId="77777777" w:rsidR="00965812" w:rsidRPr="009E35ED" w:rsidRDefault="00965812" w:rsidP="00803F8C">
      <w:pPr>
        <w:ind w:left="0"/>
        <w:rPr>
          <w:rFonts w:ascii="Arial" w:hAnsi="Arial" w:cs="Arial"/>
          <w:color w:val="000000" w:themeColor="text1"/>
          <w:sz w:val="22"/>
          <w:szCs w:val="22"/>
          <w:lang w:val="en-PH"/>
        </w:rPr>
      </w:pPr>
    </w:p>
    <w:p w14:paraId="08B58565" w14:textId="77777777" w:rsidR="00965812" w:rsidRPr="009E35ED" w:rsidRDefault="00965812" w:rsidP="00803F8C">
      <w:pPr>
        <w:ind w:left="0"/>
        <w:rPr>
          <w:rFonts w:ascii="Arial" w:hAnsi="Arial" w:cs="Arial"/>
          <w:color w:val="000000" w:themeColor="text1"/>
          <w:sz w:val="22"/>
          <w:szCs w:val="22"/>
          <w:lang w:val="en-PH"/>
        </w:rPr>
      </w:pPr>
      <w:r w:rsidRPr="009E35ED">
        <w:rPr>
          <w:rFonts w:ascii="Arial" w:hAnsi="Arial" w:cs="Arial"/>
          <w:color w:val="000000" w:themeColor="text1"/>
          <w:sz w:val="22"/>
          <w:szCs w:val="22"/>
          <w:lang w:val="en-PH"/>
        </w:rPr>
        <w:t>The Board approved the request of Globaltech for an extension of the experimental/test run period three times in order to give them ample time to evaluate the feasibility of regularizing the said game. However, during the evaluation, it was established that on several times between July to December 2015, Globaltech failed to remit Peryahan Sales.</w:t>
      </w:r>
    </w:p>
    <w:p w14:paraId="36CB2705" w14:textId="77777777" w:rsidR="00965812" w:rsidRPr="009E35ED" w:rsidRDefault="00965812" w:rsidP="00803F8C">
      <w:pPr>
        <w:ind w:left="0"/>
        <w:rPr>
          <w:rFonts w:ascii="Arial" w:hAnsi="Arial" w:cs="Arial"/>
          <w:color w:val="000000" w:themeColor="text1"/>
          <w:sz w:val="22"/>
          <w:szCs w:val="22"/>
          <w:lang w:val="en-PH"/>
        </w:rPr>
      </w:pPr>
    </w:p>
    <w:p w14:paraId="2AA4AE8E" w14:textId="77777777" w:rsidR="00965812" w:rsidRPr="009E35ED" w:rsidRDefault="00965812" w:rsidP="00803F8C">
      <w:pPr>
        <w:ind w:left="0"/>
        <w:rPr>
          <w:rFonts w:ascii="Arial" w:hAnsi="Arial" w:cs="Arial"/>
          <w:color w:val="000000" w:themeColor="text1"/>
          <w:sz w:val="22"/>
          <w:szCs w:val="22"/>
          <w:lang w:val="en-PH"/>
        </w:rPr>
      </w:pPr>
      <w:r w:rsidRPr="009E35ED">
        <w:rPr>
          <w:rFonts w:ascii="Arial" w:hAnsi="Arial" w:cs="Arial"/>
          <w:color w:val="000000" w:themeColor="text1"/>
          <w:sz w:val="22"/>
          <w:szCs w:val="22"/>
          <w:lang w:val="en-PH"/>
        </w:rPr>
        <w:t>PCSO BR No. 51, series of 2016, terminated Globaltech’s DOA effective February 17, 2016. The game concluded its experimental/test run operation on February 24, 2016.</w:t>
      </w:r>
    </w:p>
    <w:p w14:paraId="0AC938DC" w14:textId="77777777" w:rsidR="00965812" w:rsidRPr="009E35ED" w:rsidRDefault="00965812" w:rsidP="00803F8C">
      <w:pPr>
        <w:ind w:left="0"/>
        <w:rPr>
          <w:rFonts w:ascii="Arial" w:hAnsi="Arial" w:cs="Arial"/>
          <w:color w:val="000000" w:themeColor="text1"/>
          <w:sz w:val="22"/>
          <w:szCs w:val="22"/>
          <w:lang w:val="en-PH"/>
        </w:rPr>
      </w:pPr>
    </w:p>
    <w:p w14:paraId="6496F708" w14:textId="77777777" w:rsidR="00965812" w:rsidRPr="009E35ED" w:rsidRDefault="00965812" w:rsidP="00803F8C">
      <w:pPr>
        <w:ind w:left="0"/>
        <w:rPr>
          <w:rFonts w:ascii="Arial" w:hAnsi="Arial" w:cs="Arial"/>
          <w:color w:val="000000" w:themeColor="text1"/>
          <w:sz w:val="22"/>
          <w:szCs w:val="22"/>
          <w:lang w:val="en-PH"/>
        </w:rPr>
      </w:pPr>
      <w:r w:rsidRPr="009E35ED">
        <w:rPr>
          <w:rFonts w:ascii="Arial" w:hAnsi="Arial" w:cs="Arial"/>
          <w:color w:val="000000" w:themeColor="text1"/>
          <w:sz w:val="22"/>
          <w:szCs w:val="22"/>
          <w:lang w:val="en-PH"/>
        </w:rPr>
        <w:t xml:space="preserve">Order dated October 11, 2016 of the Regional Trial Court (RTC) of Pasig City, Branch 161 in Civil Case No. 75148 (Globaltech Online Corporation vs PCSO), suspending the termination of Globaltech’s DOA </w:t>
      </w:r>
      <w:r w:rsidR="00130CC1" w:rsidRPr="009E35ED">
        <w:rPr>
          <w:rFonts w:ascii="Arial" w:hAnsi="Arial" w:cs="Arial"/>
          <w:color w:val="000000" w:themeColor="text1"/>
          <w:sz w:val="22"/>
          <w:szCs w:val="22"/>
          <w:lang w:val="en-PH"/>
        </w:rPr>
        <w:t xml:space="preserve">was deferred </w:t>
      </w:r>
      <w:r w:rsidRPr="009E35ED">
        <w:rPr>
          <w:rFonts w:ascii="Arial" w:hAnsi="Arial" w:cs="Arial"/>
          <w:color w:val="000000" w:themeColor="text1"/>
          <w:sz w:val="22"/>
          <w:szCs w:val="22"/>
          <w:lang w:val="en-PH"/>
        </w:rPr>
        <w:t>and instead referred to arbitration.</w:t>
      </w:r>
    </w:p>
    <w:p w14:paraId="0E8FE712" w14:textId="77777777" w:rsidR="002C1F84" w:rsidRPr="009E35ED" w:rsidRDefault="002C1F84" w:rsidP="00803F8C">
      <w:pPr>
        <w:ind w:left="0"/>
        <w:rPr>
          <w:rFonts w:ascii="Arial" w:hAnsi="Arial" w:cs="Arial"/>
          <w:color w:val="000000" w:themeColor="text1"/>
          <w:sz w:val="22"/>
          <w:szCs w:val="22"/>
        </w:rPr>
      </w:pPr>
    </w:p>
    <w:p w14:paraId="41A04600" w14:textId="1DF3F906" w:rsidR="00BA3E40" w:rsidRPr="009E35ED" w:rsidRDefault="00037E6D" w:rsidP="00803F8C">
      <w:pPr>
        <w:ind w:left="0"/>
        <w:rPr>
          <w:rFonts w:ascii="Arial" w:hAnsi="Arial" w:cs="Arial"/>
          <w:color w:val="000000" w:themeColor="text1"/>
          <w:sz w:val="22"/>
          <w:szCs w:val="22"/>
        </w:rPr>
      </w:pPr>
      <w:r w:rsidRPr="009E35ED">
        <w:rPr>
          <w:rFonts w:ascii="Arial" w:hAnsi="Arial" w:cs="Arial"/>
          <w:color w:val="000000" w:themeColor="text1"/>
          <w:sz w:val="22"/>
          <w:szCs w:val="22"/>
        </w:rPr>
        <w:t xml:space="preserve">On October 29, 2019, the Peryahan Games resumed operation following the decision of the Court of Appeals and the Arbitration Proceeding reached by </w:t>
      </w:r>
      <w:r w:rsidR="00256B14">
        <w:rPr>
          <w:rFonts w:ascii="Arial" w:hAnsi="Arial" w:cs="Arial"/>
          <w:color w:val="000000" w:themeColor="text1"/>
          <w:sz w:val="22"/>
          <w:szCs w:val="22"/>
        </w:rPr>
        <w:t xml:space="preserve">the </w:t>
      </w:r>
      <w:r w:rsidRPr="009E35ED">
        <w:rPr>
          <w:rFonts w:ascii="Arial" w:hAnsi="Arial" w:cs="Arial"/>
          <w:color w:val="000000" w:themeColor="text1"/>
          <w:sz w:val="22"/>
          <w:szCs w:val="22"/>
        </w:rPr>
        <w:t>PCSO and Globaltech.</w:t>
      </w:r>
    </w:p>
    <w:p w14:paraId="3CAA4B23" w14:textId="77777777" w:rsidR="00BA3E40" w:rsidRPr="009E35ED" w:rsidRDefault="00BA3E40" w:rsidP="00803F8C">
      <w:pPr>
        <w:ind w:left="0"/>
        <w:rPr>
          <w:rFonts w:ascii="Arial" w:hAnsi="Arial" w:cs="Arial"/>
          <w:color w:val="000000" w:themeColor="text1"/>
          <w:sz w:val="22"/>
          <w:szCs w:val="22"/>
        </w:rPr>
      </w:pPr>
    </w:p>
    <w:p w14:paraId="6C114F16" w14:textId="1C13CACE" w:rsidR="00130CC1" w:rsidRPr="009E35ED" w:rsidRDefault="00256B14" w:rsidP="00803F8C">
      <w:pPr>
        <w:ind w:left="0"/>
        <w:rPr>
          <w:rFonts w:ascii="Arial" w:hAnsi="Arial" w:cs="Arial"/>
          <w:color w:val="000000" w:themeColor="text1"/>
          <w:sz w:val="22"/>
          <w:szCs w:val="22"/>
        </w:rPr>
      </w:pPr>
      <w:r>
        <w:rPr>
          <w:rFonts w:ascii="Arial" w:hAnsi="Arial" w:cs="Arial"/>
          <w:color w:val="000000" w:themeColor="text1"/>
          <w:sz w:val="22"/>
          <w:szCs w:val="22"/>
        </w:rPr>
        <w:t xml:space="preserve">The </w:t>
      </w:r>
      <w:r w:rsidR="00130CC1" w:rsidRPr="009E35ED">
        <w:rPr>
          <w:rFonts w:ascii="Arial" w:hAnsi="Arial" w:cs="Arial"/>
          <w:color w:val="000000" w:themeColor="text1"/>
          <w:sz w:val="22"/>
          <w:szCs w:val="22"/>
        </w:rPr>
        <w:t xml:space="preserve">11 of the original 15 Peryahan draw centers were found to be compliant </w:t>
      </w:r>
      <w:r w:rsidR="00F30794" w:rsidRPr="009E35ED">
        <w:rPr>
          <w:rFonts w:ascii="Arial" w:hAnsi="Arial" w:cs="Arial"/>
          <w:color w:val="000000" w:themeColor="text1"/>
          <w:sz w:val="22"/>
          <w:szCs w:val="22"/>
        </w:rPr>
        <w:t>after having passed PCSO’s initial technical evaluation. Peryahan will be played at the following areas with no STL operations: Cebu City, NCR-Quezon City or Central District, Province of Rizal, Province of Pangasinan, Province of Oriental Mindoro, Province of Bohol, Province of Palawan, Puerto Princesa, Zamboanga City and Province of Zamboanga del Sur.</w:t>
      </w:r>
    </w:p>
    <w:p w14:paraId="426D253D" w14:textId="353F9BD5" w:rsidR="002A2CC8" w:rsidRPr="009E35ED" w:rsidRDefault="002A2CC8" w:rsidP="00803F8C">
      <w:pPr>
        <w:ind w:left="0"/>
        <w:rPr>
          <w:rFonts w:ascii="Arial" w:hAnsi="Arial" w:cs="Arial"/>
          <w:color w:val="000000" w:themeColor="text1"/>
          <w:sz w:val="22"/>
          <w:szCs w:val="22"/>
        </w:rPr>
      </w:pPr>
    </w:p>
    <w:p w14:paraId="6BB5B5D3" w14:textId="112E4084" w:rsidR="00887753" w:rsidRPr="009E35ED" w:rsidRDefault="002942E7" w:rsidP="00803F8C">
      <w:pPr>
        <w:ind w:left="0"/>
        <w:rPr>
          <w:rFonts w:ascii="Arial" w:hAnsi="Arial" w:cs="Arial"/>
          <w:color w:val="000000" w:themeColor="text1"/>
          <w:sz w:val="22"/>
          <w:szCs w:val="22"/>
          <w:lang w:val="en-PH"/>
        </w:rPr>
      </w:pPr>
      <w:r w:rsidRPr="009E35ED">
        <w:rPr>
          <w:rFonts w:ascii="Arial" w:hAnsi="Arial" w:cs="Arial"/>
          <w:color w:val="000000" w:themeColor="text1"/>
          <w:sz w:val="22"/>
          <w:szCs w:val="22"/>
          <w:lang w:val="en-PH"/>
        </w:rPr>
        <w:t xml:space="preserve">On February </w:t>
      </w:r>
      <w:r w:rsidR="0057473B" w:rsidRPr="009E35ED">
        <w:rPr>
          <w:rFonts w:ascii="Arial" w:hAnsi="Arial" w:cs="Arial"/>
          <w:color w:val="000000" w:themeColor="text1"/>
          <w:sz w:val="22"/>
          <w:szCs w:val="22"/>
          <w:lang w:val="en-PH"/>
        </w:rPr>
        <w:t xml:space="preserve">6, 2020, upon instruction of the Office of the President </w:t>
      </w:r>
      <w:r w:rsidR="00CB5806" w:rsidRPr="009E35ED">
        <w:rPr>
          <w:rFonts w:ascii="Arial" w:hAnsi="Arial" w:cs="Arial"/>
          <w:color w:val="000000" w:themeColor="text1"/>
          <w:sz w:val="22"/>
          <w:szCs w:val="22"/>
          <w:lang w:val="en-PH"/>
        </w:rPr>
        <w:t>(OP), the operation of Peryahan was suspended.</w:t>
      </w:r>
    </w:p>
    <w:p w14:paraId="258F0AB9" w14:textId="77777777" w:rsidR="00550599" w:rsidRPr="009E35ED" w:rsidRDefault="00550599" w:rsidP="00803F8C">
      <w:pPr>
        <w:ind w:left="0"/>
        <w:rPr>
          <w:rFonts w:ascii="Arial" w:hAnsi="Arial" w:cs="Arial"/>
          <w:color w:val="000000" w:themeColor="text1"/>
          <w:sz w:val="22"/>
          <w:szCs w:val="22"/>
          <w:lang w:val="en-PH"/>
        </w:rPr>
      </w:pPr>
    </w:p>
    <w:p w14:paraId="0398697C" w14:textId="551A3730" w:rsidR="0054758C" w:rsidRPr="009E35ED" w:rsidRDefault="00CB5806" w:rsidP="00803F8C">
      <w:pPr>
        <w:ind w:left="0"/>
        <w:rPr>
          <w:rFonts w:ascii="Arial" w:hAnsi="Arial" w:cs="Arial"/>
          <w:color w:val="000000" w:themeColor="text1"/>
          <w:sz w:val="22"/>
          <w:szCs w:val="22"/>
          <w:lang w:val="en-PH"/>
        </w:rPr>
      </w:pPr>
      <w:r w:rsidRPr="009E35ED">
        <w:rPr>
          <w:rFonts w:ascii="Arial" w:hAnsi="Arial" w:cs="Arial"/>
          <w:color w:val="000000" w:themeColor="text1"/>
          <w:sz w:val="22"/>
          <w:szCs w:val="22"/>
          <w:lang w:val="en-PH"/>
        </w:rPr>
        <w:t>As of December 31, 2023</w:t>
      </w:r>
      <w:r w:rsidR="00456AD1" w:rsidRPr="009E35ED">
        <w:rPr>
          <w:rFonts w:ascii="Arial" w:hAnsi="Arial" w:cs="Arial"/>
          <w:color w:val="000000" w:themeColor="text1"/>
          <w:sz w:val="22"/>
          <w:szCs w:val="22"/>
          <w:lang w:val="en-PH"/>
        </w:rPr>
        <w:t>, the Peryahan games are still suspended until further instructions from the OP</w:t>
      </w:r>
      <w:r w:rsidR="00EA073D" w:rsidRPr="009E35ED">
        <w:rPr>
          <w:rFonts w:ascii="Arial" w:hAnsi="Arial" w:cs="Arial"/>
          <w:color w:val="000000" w:themeColor="text1"/>
          <w:sz w:val="22"/>
          <w:szCs w:val="22"/>
          <w:lang w:val="en-PH"/>
        </w:rPr>
        <w:t>.</w:t>
      </w:r>
    </w:p>
    <w:p w14:paraId="36CD5EE1" w14:textId="77777777" w:rsidR="001D68E0" w:rsidRPr="009E35ED" w:rsidRDefault="001D68E0" w:rsidP="00803F8C">
      <w:pPr>
        <w:ind w:left="0"/>
        <w:rPr>
          <w:rFonts w:ascii="Arial" w:hAnsi="Arial" w:cs="Arial"/>
          <w:b/>
          <w:color w:val="000000" w:themeColor="text1"/>
          <w:sz w:val="22"/>
          <w:szCs w:val="22"/>
        </w:rPr>
      </w:pPr>
    </w:p>
    <w:p w14:paraId="2AE5940A" w14:textId="0DDA65E6" w:rsidR="00437BDC" w:rsidRDefault="00437BDC" w:rsidP="00803F8C">
      <w:pPr>
        <w:ind w:left="0"/>
        <w:rPr>
          <w:rFonts w:ascii="Arial" w:hAnsi="Arial" w:cs="Arial"/>
          <w:b/>
          <w:color w:val="000000" w:themeColor="text1"/>
          <w:sz w:val="22"/>
          <w:szCs w:val="22"/>
        </w:rPr>
      </w:pPr>
    </w:p>
    <w:p w14:paraId="21EA3620" w14:textId="77777777" w:rsidR="00D043CC" w:rsidRDefault="00D043CC" w:rsidP="00803F8C">
      <w:pPr>
        <w:ind w:left="0"/>
        <w:rPr>
          <w:rFonts w:ascii="Arial" w:hAnsi="Arial" w:cs="Arial"/>
          <w:b/>
          <w:color w:val="000000" w:themeColor="text1"/>
          <w:sz w:val="22"/>
          <w:szCs w:val="22"/>
        </w:rPr>
      </w:pPr>
    </w:p>
    <w:p w14:paraId="312B2139" w14:textId="77777777" w:rsidR="00D043CC" w:rsidRDefault="00D043CC" w:rsidP="00803F8C">
      <w:pPr>
        <w:ind w:left="0"/>
        <w:rPr>
          <w:rFonts w:ascii="Arial" w:hAnsi="Arial" w:cs="Arial"/>
          <w:b/>
          <w:color w:val="000000" w:themeColor="text1"/>
          <w:sz w:val="22"/>
          <w:szCs w:val="22"/>
        </w:rPr>
      </w:pPr>
    </w:p>
    <w:p w14:paraId="5EA65901" w14:textId="77777777" w:rsidR="00D043CC" w:rsidRDefault="00D043CC" w:rsidP="00803F8C">
      <w:pPr>
        <w:ind w:left="0"/>
        <w:rPr>
          <w:rFonts w:ascii="Arial" w:hAnsi="Arial" w:cs="Arial"/>
          <w:b/>
          <w:color w:val="000000" w:themeColor="text1"/>
          <w:sz w:val="22"/>
          <w:szCs w:val="22"/>
        </w:rPr>
      </w:pPr>
    </w:p>
    <w:p w14:paraId="2EB15847" w14:textId="77777777" w:rsidR="00D043CC" w:rsidRDefault="00D043CC" w:rsidP="00803F8C">
      <w:pPr>
        <w:ind w:left="0"/>
        <w:rPr>
          <w:rFonts w:ascii="Arial" w:hAnsi="Arial" w:cs="Arial"/>
          <w:b/>
          <w:color w:val="000000" w:themeColor="text1"/>
          <w:sz w:val="22"/>
          <w:szCs w:val="22"/>
        </w:rPr>
      </w:pPr>
    </w:p>
    <w:p w14:paraId="64945842" w14:textId="77777777" w:rsidR="00D043CC" w:rsidRDefault="00D043CC" w:rsidP="00803F8C">
      <w:pPr>
        <w:ind w:left="0"/>
        <w:rPr>
          <w:rFonts w:ascii="Arial" w:hAnsi="Arial" w:cs="Arial"/>
          <w:b/>
          <w:color w:val="000000" w:themeColor="text1"/>
          <w:sz w:val="22"/>
          <w:szCs w:val="22"/>
        </w:rPr>
      </w:pPr>
    </w:p>
    <w:p w14:paraId="2A0ACC39" w14:textId="77777777" w:rsidR="00D043CC" w:rsidRDefault="00D043CC" w:rsidP="00803F8C">
      <w:pPr>
        <w:ind w:left="0"/>
        <w:rPr>
          <w:rFonts w:ascii="Arial" w:hAnsi="Arial" w:cs="Arial"/>
          <w:b/>
          <w:color w:val="000000" w:themeColor="text1"/>
          <w:sz w:val="22"/>
          <w:szCs w:val="22"/>
        </w:rPr>
      </w:pPr>
    </w:p>
    <w:p w14:paraId="7B495DED" w14:textId="77777777" w:rsidR="00D043CC" w:rsidRDefault="00D043CC" w:rsidP="00803F8C">
      <w:pPr>
        <w:ind w:left="0"/>
        <w:rPr>
          <w:rFonts w:ascii="Arial" w:hAnsi="Arial" w:cs="Arial"/>
          <w:b/>
          <w:color w:val="000000" w:themeColor="text1"/>
          <w:sz w:val="22"/>
          <w:szCs w:val="22"/>
        </w:rPr>
      </w:pPr>
    </w:p>
    <w:p w14:paraId="48A54848" w14:textId="77777777" w:rsidR="00D043CC" w:rsidRPr="009E35ED" w:rsidRDefault="00D043CC" w:rsidP="00803F8C">
      <w:pPr>
        <w:ind w:left="0"/>
        <w:rPr>
          <w:rFonts w:ascii="Arial" w:hAnsi="Arial" w:cs="Arial"/>
          <w:b/>
          <w:color w:val="000000" w:themeColor="text1"/>
          <w:sz w:val="22"/>
          <w:szCs w:val="22"/>
        </w:rPr>
      </w:pPr>
    </w:p>
    <w:p w14:paraId="6CAAE6CD" w14:textId="34D3EF31" w:rsidR="0085009E" w:rsidRPr="009E35ED" w:rsidRDefault="0085009E" w:rsidP="00803F8C">
      <w:pPr>
        <w:ind w:left="0"/>
        <w:rPr>
          <w:rFonts w:ascii="Arial" w:hAnsi="Arial" w:cs="Arial"/>
          <w:b/>
          <w:color w:val="000000" w:themeColor="text1"/>
          <w:sz w:val="22"/>
          <w:szCs w:val="22"/>
        </w:rPr>
      </w:pPr>
      <w:r w:rsidRPr="009E35ED">
        <w:rPr>
          <w:rFonts w:ascii="Arial" w:hAnsi="Arial" w:cs="Arial"/>
          <w:b/>
          <w:color w:val="000000" w:themeColor="text1"/>
          <w:sz w:val="22"/>
          <w:szCs w:val="22"/>
        </w:rPr>
        <w:t>Personnel Complement</w:t>
      </w:r>
    </w:p>
    <w:p w14:paraId="7365434D" w14:textId="77777777" w:rsidR="0085009E" w:rsidRPr="009E35ED" w:rsidRDefault="0085009E" w:rsidP="00803F8C">
      <w:pPr>
        <w:ind w:left="0"/>
        <w:rPr>
          <w:rFonts w:ascii="Arial" w:hAnsi="Arial" w:cs="Arial"/>
          <w:color w:val="000000" w:themeColor="text1"/>
          <w:sz w:val="22"/>
          <w:szCs w:val="22"/>
        </w:rPr>
      </w:pPr>
    </w:p>
    <w:p w14:paraId="0ED3D27E" w14:textId="0D1779FD" w:rsidR="00F83499" w:rsidRPr="009E35ED" w:rsidRDefault="0085009E" w:rsidP="00803F8C">
      <w:pPr>
        <w:ind w:left="0"/>
        <w:rPr>
          <w:rFonts w:ascii="Arial" w:hAnsi="Arial" w:cs="Arial"/>
          <w:color w:val="000000" w:themeColor="text1"/>
          <w:sz w:val="22"/>
          <w:szCs w:val="22"/>
        </w:rPr>
      </w:pPr>
      <w:r w:rsidRPr="009E35ED">
        <w:rPr>
          <w:rFonts w:ascii="Arial" w:hAnsi="Arial" w:cs="Arial"/>
          <w:color w:val="000000" w:themeColor="text1"/>
          <w:sz w:val="22"/>
          <w:szCs w:val="22"/>
        </w:rPr>
        <w:t>Shown below is the number of PCSO employees as of December 31, 20</w:t>
      </w:r>
      <w:r w:rsidR="00BB1B09" w:rsidRPr="009E35ED">
        <w:rPr>
          <w:rFonts w:ascii="Arial" w:hAnsi="Arial" w:cs="Arial"/>
          <w:color w:val="000000" w:themeColor="text1"/>
          <w:sz w:val="22"/>
          <w:szCs w:val="22"/>
        </w:rPr>
        <w:t>2</w:t>
      </w:r>
      <w:r w:rsidR="00D64A00" w:rsidRPr="009E35ED">
        <w:rPr>
          <w:rFonts w:ascii="Arial" w:hAnsi="Arial" w:cs="Arial"/>
          <w:color w:val="000000" w:themeColor="text1"/>
          <w:sz w:val="22"/>
          <w:szCs w:val="22"/>
        </w:rPr>
        <w:t>3</w:t>
      </w:r>
      <w:r w:rsidRPr="009E35ED">
        <w:rPr>
          <w:rFonts w:ascii="Arial" w:hAnsi="Arial" w:cs="Arial"/>
          <w:color w:val="000000" w:themeColor="text1"/>
          <w:sz w:val="22"/>
          <w:szCs w:val="22"/>
        </w:rPr>
        <w:t>:</w:t>
      </w:r>
    </w:p>
    <w:p w14:paraId="6F3EE671" w14:textId="77777777" w:rsidR="0096024E" w:rsidRPr="009E35ED" w:rsidRDefault="0096024E" w:rsidP="00803F8C">
      <w:pPr>
        <w:ind w:left="0"/>
        <w:rPr>
          <w:rFonts w:ascii="Arial" w:hAnsi="Arial" w:cs="Arial"/>
          <w:color w:val="000000" w:themeColor="text1"/>
          <w:sz w:val="22"/>
          <w:szCs w:val="22"/>
        </w:rPr>
      </w:pPr>
    </w:p>
    <w:tbl>
      <w:tblPr>
        <w:tblStyle w:val="TableGrid"/>
        <w:tblW w:w="8655"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80"/>
        <w:gridCol w:w="2130"/>
        <w:gridCol w:w="1957"/>
        <w:gridCol w:w="1688"/>
      </w:tblGrid>
      <w:tr w:rsidR="00997F75" w:rsidRPr="009E35ED" w14:paraId="30F55AAE" w14:textId="77777777" w:rsidTr="00D043CC">
        <w:tc>
          <w:tcPr>
            <w:tcW w:w="2880" w:type="dxa"/>
            <w:tcBorders>
              <w:top w:val="single" w:sz="4" w:space="0" w:color="auto"/>
              <w:bottom w:val="single" w:sz="4" w:space="0" w:color="auto"/>
            </w:tcBorders>
            <w:vAlign w:val="center"/>
          </w:tcPr>
          <w:p w14:paraId="5B1B5F81" w14:textId="77777777" w:rsidR="00F83499" w:rsidRPr="009E35ED" w:rsidRDefault="00F83499" w:rsidP="00D043CC">
            <w:pPr>
              <w:ind w:left="-108"/>
              <w:rPr>
                <w:rFonts w:ascii="Arial Narrow" w:hAnsi="Arial Narrow" w:cs="Arial"/>
                <w:b/>
                <w:bCs/>
                <w:color w:val="000000" w:themeColor="text1"/>
                <w:sz w:val="22"/>
                <w:szCs w:val="22"/>
                <w:lang w:val="en-PH" w:eastAsia="en-PH"/>
              </w:rPr>
            </w:pPr>
            <w:r w:rsidRPr="009E35ED">
              <w:rPr>
                <w:rFonts w:ascii="Arial Narrow" w:hAnsi="Arial Narrow" w:cs="Arial"/>
                <w:b/>
                <w:bCs/>
                <w:color w:val="000000" w:themeColor="text1"/>
                <w:sz w:val="22"/>
                <w:szCs w:val="22"/>
                <w:lang w:val="en-PH" w:eastAsia="en-PH"/>
              </w:rPr>
              <w:t>Particulars</w:t>
            </w:r>
          </w:p>
        </w:tc>
        <w:tc>
          <w:tcPr>
            <w:tcW w:w="2130" w:type="dxa"/>
            <w:tcBorders>
              <w:top w:val="single" w:sz="4" w:space="0" w:color="auto"/>
              <w:bottom w:val="single" w:sz="4" w:space="0" w:color="auto"/>
            </w:tcBorders>
            <w:vAlign w:val="center"/>
          </w:tcPr>
          <w:p w14:paraId="442BCBC7" w14:textId="77777777" w:rsidR="00F83499" w:rsidRPr="009E35ED" w:rsidRDefault="00F83499" w:rsidP="00803F8C">
            <w:pPr>
              <w:ind w:left="0"/>
              <w:jc w:val="right"/>
              <w:rPr>
                <w:rFonts w:ascii="Arial Narrow" w:hAnsi="Arial Narrow" w:cs="Arial"/>
                <w:b/>
                <w:bCs/>
                <w:color w:val="000000" w:themeColor="text1"/>
                <w:sz w:val="22"/>
                <w:szCs w:val="22"/>
                <w:lang w:val="en-PH" w:eastAsia="en-PH"/>
              </w:rPr>
            </w:pPr>
            <w:r w:rsidRPr="009E35ED">
              <w:rPr>
                <w:rFonts w:ascii="Arial Narrow" w:hAnsi="Arial Narrow" w:cs="Arial"/>
                <w:b/>
                <w:bCs/>
                <w:color w:val="000000" w:themeColor="text1"/>
                <w:sz w:val="22"/>
                <w:szCs w:val="22"/>
                <w:lang w:val="en-PH" w:eastAsia="en-PH"/>
              </w:rPr>
              <w:t>Head Office</w:t>
            </w:r>
          </w:p>
        </w:tc>
        <w:tc>
          <w:tcPr>
            <w:tcW w:w="1957" w:type="dxa"/>
            <w:tcBorders>
              <w:top w:val="single" w:sz="4" w:space="0" w:color="auto"/>
              <w:bottom w:val="single" w:sz="4" w:space="0" w:color="auto"/>
            </w:tcBorders>
            <w:vAlign w:val="center"/>
          </w:tcPr>
          <w:p w14:paraId="5F356B0E" w14:textId="77777777" w:rsidR="00F83499" w:rsidRPr="009E35ED" w:rsidRDefault="00F83499" w:rsidP="00803F8C">
            <w:pPr>
              <w:ind w:left="0"/>
              <w:jc w:val="right"/>
              <w:rPr>
                <w:rFonts w:ascii="Arial Narrow" w:hAnsi="Arial Narrow" w:cs="Arial"/>
                <w:b/>
                <w:bCs/>
                <w:color w:val="000000" w:themeColor="text1"/>
                <w:sz w:val="22"/>
                <w:szCs w:val="22"/>
                <w:lang w:val="en-PH" w:eastAsia="en-PH"/>
              </w:rPr>
            </w:pPr>
            <w:r w:rsidRPr="009E35ED">
              <w:rPr>
                <w:rFonts w:ascii="Arial Narrow" w:hAnsi="Arial Narrow" w:cs="Arial"/>
                <w:b/>
                <w:bCs/>
                <w:color w:val="000000" w:themeColor="text1"/>
                <w:sz w:val="22"/>
                <w:szCs w:val="22"/>
                <w:lang w:val="en-PH" w:eastAsia="en-PH"/>
              </w:rPr>
              <w:t>Branch Offices</w:t>
            </w:r>
          </w:p>
        </w:tc>
        <w:tc>
          <w:tcPr>
            <w:tcW w:w="1688" w:type="dxa"/>
            <w:tcBorders>
              <w:top w:val="single" w:sz="4" w:space="0" w:color="auto"/>
              <w:bottom w:val="single" w:sz="4" w:space="0" w:color="auto"/>
            </w:tcBorders>
            <w:vAlign w:val="center"/>
          </w:tcPr>
          <w:p w14:paraId="1F58E928" w14:textId="77777777" w:rsidR="00F83499" w:rsidRPr="009E35ED" w:rsidRDefault="00F83499" w:rsidP="00D043CC">
            <w:pPr>
              <w:ind w:left="0" w:right="-126"/>
              <w:jc w:val="right"/>
              <w:rPr>
                <w:rFonts w:ascii="Arial Narrow" w:hAnsi="Arial Narrow" w:cs="Arial"/>
                <w:b/>
                <w:bCs/>
                <w:color w:val="000000" w:themeColor="text1"/>
                <w:sz w:val="22"/>
                <w:szCs w:val="22"/>
                <w:lang w:val="en-PH" w:eastAsia="en-PH"/>
              </w:rPr>
            </w:pPr>
            <w:r w:rsidRPr="009E35ED">
              <w:rPr>
                <w:rFonts w:ascii="Arial Narrow" w:hAnsi="Arial Narrow" w:cs="Arial"/>
                <w:b/>
                <w:bCs/>
                <w:color w:val="000000" w:themeColor="text1"/>
                <w:sz w:val="22"/>
                <w:szCs w:val="22"/>
                <w:lang w:val="en-PH" w:eastAsia="en-PH"/>
              </w:rPr>
              <w:t>Total</w:t>
            </w:r>
          </w:p>
        </w:tc>
      </w:tr>
      <w:tr w:rsidR="00997F75" w:rsidRPr="009E35ED" w14:paraId="5D54A824" w14:textId="77777777" w:rsidTr="00D043CC">
        <w:tc>
          <w:tcPr>
            <w:tcW w:w="2880" w:type="dxa"/>
            <w:tcBorders>
              <w:top w:val="single" w:sz="4" w:space="0" w:color="auto"/>
            </w:tcBorders>
            <w:vAlign w:val="bottom"/>
          </w:tcPr>
          <w:p w14:paraId="4FA49310" w14:textId="77777777" w:rsidR="00F83499" w:rsidRPr="009E35ED" w:rsidRDefault="00F83499" w:rsidP="00803F8C">
            <w:pPr>
              <w:ind w:left="-110"/>
              <w:rPr>
                <w:rFonts w:ascii="Arial Narrow" w:hAnsi="Arial Narrow" w:cs="Arial"/>
                <w:color w:val="000000" w:themeColor="text1"/>
                <w:sz w:val="22"/>
                <w:szCs w:val="22"/>
                <w:lang w:val="en-PH" w:eastAsia="en-PH"/>
              </w:rPr>
            </w:pPr>
            <w:r w:rsidRPr="009E35ED">
              <w:rPr>
                <w:rFonts w:ascii="Arial Narrow" w:hAnsi="Arial Narrow" w:cs="Arial"/>
                <w:color w:val="000000" w:themeColor="text1"/>
                <w:sz w:val="22"/>
                <w:szCs w:val="22"/>
                <w:lang w:val="en-PH" w:eastAsia="en-PH"/>
              </w:rPr>
              <w:t>Permanent Employees</w:t>
            </w:r>
          </w:p>
        </w:tc>
        <w:tc>
          <w:tcPr>
            <w:tcW w:w="2130" w:type="dxa"/>
            <w:tcBorders>
              <w:top w:val="single" w:sz="4" w:space="0" w:color="auto"/>
            </w:tcBorders>
            <w:vAlign w:val="bottom"/>
          </w:tcPr>
          <w:p w14:paraId="77AA9C15" w14:textId="5033E348" w:rsidR="00F83499" w:rsidRPr="009E35ED" w:rsidRDefault="003E6517" w:rsidP="00803F8C">
            <w:pPr>
              <w:ind w:left="0"/>
              <w:jc w:val="right"/>
              <w:rPr>
                <w:rFonts w:ascii="Arial Narrow" w:hAnsi="Arial Narrow" w:cs="Arial"/>
                <w:bCs/>
                <w:color w:val="000000" w:themeColor="text1"/>
                <w:sz w:val="22"/>
                <w:szCs w:val="22"/>
                <w:lang w:val="en-PH" w:eastAsia="en-PH"/>
              </w:rPr>
            </w:pPr>
            <w:r w:rsidRPr="009E35ED">
              <w:rPr>
                <w:rFonts w:ascii="Arial Narrow" w:hAnsi="Arial Narrow" w:cs="Arial"/>
                <w:bCs/>
                <w:color w:val="000000" w:themeColor="text1"/>
                <w:sz w:val="22"/>
                <w:szCs w:val="22"/>
                <w:lang w:val="en-PH" w:eastAsia="en-PH"/>
              </w:rPr>
              <w:t>528</w:t>
            </w:r>
          </w:p>
        </w:tc>
        <w:tc>
          <w:tcPr>
            <w:tcW w:w="1957" w:type="dxa"/>
            <w:tcBorders>
              <w:top w:val="single" w:sz="4" w:space="0" w:color="auto"/>
            </w:tcBorders>
            <w:vAlign w:val="bottom"/>
          </w:tcPr>
          <w:p w14:paraId="6732D893" w14:textId="4EC17A61" w:rsidR="00F83499" w:rsidRPr="009E35ED" w:rsidRDefault="00473C67" w:rsidP="00803F8C">
            <w:pPr>
              <w:ind w:left="0"/>
              <w:jc w:val="right"/>
              <w:rPr>
                <w:rFonts w:ascii="Arial Narrow" w:hAnsi="Arial Narrow" w:cs="Arial"/>
                <w:bCs/>
                <w:color w:val="000000" w:themeColor="text1"/>
                <w:sz w:val="22"/>
                <w:szCs w:val="22"/>
                <w:lang w:val="en-PH" w:eastAsia="en-PH"/>
              </w:rPr>
            </w:pPr>
            <w:r w:rsidRPr="009E35ED">
              <w:rPr>
                <w:rFonts w:ascii="Arial Narrow" w:hAnsi="Arial Narrow" w:cs="Arial"/>
                <w:bCs/>
                <w:color w:val="000000" w:themeColor="text1"/>
                <w:sz w:val="22"/>
                <w:szCs w:val="22"/>
                <w:lang w:val="en-PH" w:eastAsia="en-PH"/>
              </w:rPr>
              <w:t>516</w:t>
            </w:r>
          </w:p>
        </w:tc>
        <w:tc>
          <w:tcPr>
            <w:tcW w:w="1688" w:type="dxa"/>
            <w:tcBorders>
              <w:top w:val="single" w:sz="4" w:space="0" w:color="auto"/>
            </w:tcBorders>
            <w:vAlign w:val="bottom"/>
          </w:tcPr>
          <w:p w14:paraId="24AB5E7D" w14:textId="1AED1587" w:rsidR="00F83499" w:rsidRPr="009E35ED" w:rsidRDefault="00473C67" w:rsidP="006F27F0">
            <w:pPr>
              <w:ind w:left="0" w:right="-110"/>
              <w:jc w:val="right"/>
              <w:rPr>
                <w:rFonts w:ascii="Arial Narrow" w:hAnsi="Arial Narrow" w:cs="Arial"/>
                <w:color w:val="000000" w:themeColor="text1"/>
                <w:sz w:val="22"/>
                <w:szCs w:val="22"/>
                <w:lang w:val="en-PH" w:eastAsia="en-PH"/>
              </w:rPr>
            </w:pPr>
            <w:r w:rsidRPr="009E35ED">
              <w:rPr>
                <w:rFonts w:ascii="Arial Narrow" w:hAnsi="Arial Narrow" w:cs="Arial"/>
                <w:color w:val="000000" w:themeColor="text1"/>
                <w:sz w:val="22"/>
                <w:szCs w:val="22"/>
                <w:lang w:val="en-PH" w:eastAsia="en-PH"/>
              </w:rPr>
              <w:t>1,044</w:t>
            </w:r>
          </w:p>
        </w:tc>
      </w:tr>
      <w:tr w:rsidR="00997F75" w:rsidRPr="009E35ED" w14:paraId="65F3AA1C" w14:textId="77777777" w:rsidTr="00D043CC">
        <w:tc>
          <w:tcPr>
            <w:tcW w:w="2880" w:type="dxa"/>
            <w:vAlign w:val="bottom"/>
          </w:tcPr>
          <w:p w14:paraId="13C358E7" w14:textId="3A1E3442" w:rsidR="00F83499" w:rsidRPr="009E35ED" w:rsidRDefault="00F83499" w:rsidP="00803F8C">
            <w:pPr>
              <w:ind w:left="-110"/>
              <w:rPr>
                <w:rFonts w:ascii="Arial Narrow" w:hAnsi="Arial Narrow" w:cs="Arial"/>
                <w:color w:val="000000" w:themeColor="text1"/>
                <w:sz w:val="22"/>
                <w:szCs w:val="22"/>
                <w:lang w:val="en-PH" w:eastAsia="en-PH"/>
              </w:rPr>
            </w:pPr>
            <w:r w:rsidRPr="009E35ED">
              <w:rPr>
                <w:rFonts w:ascii="Arial Narrow" w:hAnsi="Arial Narrow" w:cs="Arial"/>
                <w:color w:val="000000" w:themeColor="text1"/>
                <w:sz w:val="22"/>
                <w:szCs w:val="22"/>
                <w:lang w:val="en-PH" w:eastAsia="en-PH"/>
              </w:rPr>
              <w:t>Co</w:t>
            </w:r>
            <w:r w:rsidR="00727E21" w:rsidRPr="009E35ED">
              <w:rPr>
                <w:rFonts w:ascii="Arial Narrow" w:hAnsi="Arial Narrow" w:cs="Arial"/>
                <w:color w:val="000000" w:themeColor="text1"/>
                <w:sz w:val="22"/>
                <w:szCs w:val="22"/>
                <w:lang w:val="en-PH" w:eastAsia="en-PH"/>
              </w:rPr>
              <w:t>t</w:t>
            </w:r>
            <w:r w:rsidRPr="009E35ED">
              <w:rPr>
                <w:rFonts w:ascii="Arial Narrow" w:hAnsi="Arial Narrow" w:cs="Arial"/>
                <w:color w:val="000000" w:themeColor="text1"/>
                <w:sz w:val="22"/>
                <w:szCs w:val="22"/>
                <w:lang w:val="en-PH" w:eastAsia="en-PH"/>
              </w:rPr>
              <w:t>ermin</w:t>
            </w:r>
            <w:r w:rsidR="00727E21" w:rsidRPr="009E35ED">
              <w:rPr>
                <w:rFonts w:ascii="Arial Narrow" w:hAnsi="Arial Narrow" w:cs="Arial"/>
                <w:color w:val="000000" w:themeColor="text1"/>
                <w:sz w:val="22"/>
                <w:szCs w:val="22"/>
                <w:lang w:val="en-PH" w:eastAsia="en-PH"/>
              </w:rPr>
              <w:t>o</w:t>
            </w:r>
            <w:r w:rsidRPr="009E35ED">
              <w:rPr>
                <w:rFonts w:ascii="Arial Narrow" w:hAnsi="Arial Narrow" w:cs="Arial"/>
                <w:color w:val="000000" w:themeColor="text1"/>
                <w:sz w:val="22"/>
                <w:szCs w:val="22"/>
                <w:lang w:val="en-PH" w:eastAsia="en-PH"/>
              </w:rPr>
              <w:t>us</w:t>
            </w:r>
          </w:p>
        </w:tc>
        <w:tc>
          <w:tcPr>
            <w:tcW w:w="2130" w:type="dxa"/>
            <w:vAlign w:val="bottom"/>
          </w:tcPr>
          <w:p w14:paraId="48365801" w14:textId="615C1E1E" w:rsidR="00F83499" w:rsidRPr="009E35ED" w:rsidRDefault="00473C67" w:rsidP="00803F8C">
            <w:pPr>
              <w:ind w:left="0"/>
              <w:jc w:val="right"/>
              <w:rPr>
                <w:rFonts w:ascii="Arial Narrow" w:hAnsi="Arial Narrow" w:cs="Arial"/>
                <w:bCs/>
                <w:color w:val="000000" w:themeColor="text1"/>
                <w:sz w:val="22"/>
                <w:szCs w:val="22"/>
                <w:lang w:val="en-PH" w:eastAsia="en-PH"/>
              </w:rPr>
            </w:pPr>
            <w:r w:rsidRPr="009E35ED">
              <w:rPr>
                <w:rFonts w:ascii="Arial Narrow" w:hAnsi="Arial Narrow" w:cs="Arial"/>
                <w:bCs/>
                <w:color w:val="000000" w:themeColor="text1"/>
                <w:sz w:val="22"/>
                <w:szCs w:val="22"/>
                <w:lang w:val="en-PH" w:eastAsia="en-PH"/>
              </w:rPr>
              <w:t>54</w:t>
            </w:r>
          </w:p>
        </w:tc>
        <w:tc>
          <w:tcPr>
            <w:tcW w:w="1957" w:type="dxa"/>
            <w:vAlign w:val="bottom"/>
          </w:tcPr>
          <w:p w14:paraId="67DB0025" w14:textId="5D695781" w:rsidR="00F83499" w:rsidRPr="009E35ED" w:rsidRDefault="00473C67" w:rsidP="00803F8C">
            <w:pPr>
              <w:ind w:left="0"/>
              <w:jc w:val="right"/>
              <w:rPr>
                <w:rFonts w:ascii="Arial Narrow" w:hAnsi="Arial Narrow" w:cs="Arial"/>
                <w:bCs/>
                <w:color w:val="000000" w:themeColor="text1"/>
                <w:sz w:val="22"/>
                <w:szCs w:val="22"/>
                <w:lang w:val="en-PH" w:eastAsia="en-PH"/>
              </w:rPr>
            </w:pPr>
            <w:r w:rsidRPr="009E35ED">
              <w:rPr>
                <w:rFonts w:ascii="Arial Narrow" w:hAnsi="Arial Narrow" w:cs="Arial"/>
                <w:bCs/>
                <w:color w:val="000000" w:themeColor="text1"/>
                <w:sz w:val="22"/>
                <w:szCs w:val="22"/>
                <w:lang w:val="en-PH" w:eastAsia="en-PH"/>
              </w:rPr>
              <w:t>1</w:t>
            </w:r>
          </w:p>
        </w:tc>
        <w:tc>
          <w:tcPr>
            <w:tcW w:w="1688" w:type="dxa"/>
            <w:vAlign w:val="bottom"/>
          </w:tcPr>
          <w:p w14:paraId="57A166DA" w14:textId="3B8C3204" w:rsidR="00F83499" w:rsidRPr="009E35ED" w:rsidRDefault="00473C67" w:rsidP="00803F8C">
            <w:pPr>
              <w:ind w:left="0" w:right="-110"/>
              <w:jc w:val="right"/>
              <w:rPr>
                <w:rFonts w:ascii="Arial Narrow" w:hAnsi="Arial Narrow" w:cs="Arial"/>
                <w:color w:val="000000" w:themeColor="text1"/>
                <w:sz w:val="22"/>
                <w:szCs w:val="22"/>
                <w:lang w:val="en-PH" w:eastAsia="en-PH"/>
              </w:rPr>
            </w:pPr>
            <w:r w:rsidRPr="009E35ED">
              <w:rPr>
                <w:rFonts w:ascii="Arial Narrow" w:hAnsi="Arial Narrow" w:cs="Arial"/>
                <w:color w:val="000000" w:themeColor="text1"/>
                <w:sz w:val="22"/>
                <w:szCs w:val="22"/>
                <w:lang w:val="en-PH" w:eastAsia="en-PH"/>
              </w:rPr>
              <w:t>55</w:t>
            </w:r>
          </w:p>
        </w:tc>
      </w:tr>
      <w:tr w:rsidR="00997F75" w:rsidRPr="009E35ED" w14:paraId="3A79B123" w14:textId="77777777" w:rsidTr="00D043CC">
        <w:tc>
          <w:tcPr>
            <w:tcW w:w="2880" w:type="dxa"/>
            <w:vAlign w:val="bottom"/>
          </w:tcPr>
          <w:p w14:paraId="7CDFB96F" w14:textId="4B54DA07" w:rsidR="00CA48F6" w:rsidRPr="009E35ED" w:rsidRDefault="00CA48F6" w:rsidP="00803F8C">
            <w:pPr>
              <w:ind w:left="-110"/>
              <w:rPr>
                <w:rFonts w:ascii="Arial Narrow" w:hAnsi="Arial Narrow" w:cs="Arial"/>
                <w:color w:val="000000" w:themeColor="text1"/>
                <w:sz w:val="22"/>
                <w:szCs w:val="22"/>
                <w:lang w:val="en-PH" w:eastAsia="en-PH"/>
              </w:rPr>
            </w:pPr>
            <w:r w:rsidRPr="009E35ED">
              <w:rPr>
                <w:rFonts w:ascii="Arial Narrow" w:hAnsi="Arial Narrow" w:cs="Arial"/>
                <w:color w:val="000000" w:themeColor="text1"/>
                <w:sz w:val="22"/>
                <w:szCs w:val="22"/>
                <w:lang w:val="en-PH" w:eastAsia="en-PH"/>
              </w:rPr>
              <w:t>C</w:t>
            </w:r>
            <w:r w:rsidR="00727E21" w:rsidRPr="009E35ED">
              <w:rPr>
                <w:rFonts w:ascii="Arial Narrow" w:hAnsi="Arial Narrow" w:cs="Arial"/>
                <w:color w:val="000000" w:themeColor="text1"/>
                <w:sz w:val="22"/>
                <w:szCs w:val="22"/>
                <w:lang w:val="en-PH" w:eastAsia="en-PH"/>
              </w:rPr>
              <w:t xml:space="preserve">oterminous to the </w:t>
            </w:r>
            <w:r w:rsidRPr="009E35ED">
              <w:rPr>
                <w:rFonts w:ascii="Arial Narrow" w:hAnsi="Arial Narrow" w:cs="Arial"/>
                <w:color w:val="000000" w:themeColor="text1"/>
                <w:sz w:val="22"/>
                <w:szCs w:val="22"/>
                <w:lang w:val="en-PH" w:eastAsia="en-PH"/>
              </w:rPr>
              <w:t>I</w:t>
            </w:r>
            <w:r w:rsidR="00727E21" w:rsidRPr="009E35ED">
              <w:rPr>
                <w:rFonts w:ascii="Arial Narrow" w:hAnsi="Arial Narrow" w:cs="Arial"/>
                <w:color w:val="000000" w:themeColor="text1"/>
                <w:sz w:val="22"/>
                <w:szCs w:val="22"/>
                <w:lang w:val="en-PH" w:eastAsia="en-PH"/>
              </w:rPr>
              <w:t>ncumbent</w:t>
            </w:r>
          </w:p>
        </w:tc>
        <w:tc>
          <w:tcPr>
            <w:tcW w:w="2130" w:type="dxa"/>
            <w:vAlign w:val="bottom"/>
          </w:tcPr>
          <w:p w14:paraId="2DD9E29E" w14:textId="2D8E1CB1" w:rsidR="00CA48F6" w:rsidRPr="009E35ED" w:rsidRDefault="00473C67" w:rsidP="00803F8C">
            <w:pPr>
              <w:ind w:left="0"/>
              <w:jc w:val="right"/>
              <w:rPr>
                <w:rFonts w:ascii="Arial Narrow" w:hAnsi="Arial Narrow" w:cs="Arial"/>
                <w:bCs/>
                <w:color w:val="000000" w:themeColor="text1"/>
                <w:sz w:val="22"/>
                <w:szCs w:val="22"/>
                <w:lang w:val="en-PH" w:eastAsia="en-PH"/>
              </w:rPr>
            </w:pPr>
            <w:r w:rsidRPr="009E35ED">
              <w:rPr>
                <w:rFonts w:ascii="Arial Narrow" w:hAnsi="Arial Narrow" w:cs="Arial"/>
                <w:bCs/>
                <w:color w:val="000000" w:themeColor="text1"/>
                <w:sz w:val="22"/>
                <w:szCs w:val="22"/>
                <w:lang w:val="en-PH" w:eastAsia="en-PH"/>
              </w:rPr>
              <w:t>10</w:t>
            </w:r>
          </w:p>
        </w:tc>
        <w:tc>
          <w:tcPr>
            <w:tcW w:w="1957" w:type="dxa"/>
            <w:vAlign w:val="bottom"/>
          </w:tcPr>
          <w:p w14:paraId="1AD794A7" w14:textId="60D7F5AB" w:rsidR="00CA48F6" w:rsidRPr="009E35ED" w:rsidRDefault="00473C67" w:rsidP="00803F8C">
            <w:pPr>
              <w:ind w:left="0"/>
              <w:jc w:val="right"/>
              <w:rPr>
                <w:rFonts w:ascii="Arial Narrow" w:hAnsi="Arial Narrow" w:cs="Arial"/>
                <w:bCs/>
                <w:color w:val="000000" w:themeColor="text1"/>
                <w:sz w:val="22"/>
                <w:szCs w:val="22"/>
                <w:lang w:val="en-PH" w:eastAsia="en-PH"/>
              </w:rPr>
            </w:pPr>
            <w:r w:rsidRPr="009E35ED">
              <w:rPr>
                <w:rFonts w:ascii="Arial Narrow" w:hAnsi="Arial Narrow" w:cs="Arial"/>
                <w:bCs/>
                <w:color w:val="000000" w:themeColor="text1"/>
                <w:sz w:val="22"/>
                <w:szCs w:val="22"/>
                <w:lang w:val="en-PH" w:eastAsia="en-PH"/>
              </w:rPr>
              <w:t>3</w:t>
            </w:r>
          </w:p>
        </w:tc>
        <w:tc>
          <w:tcPr>
            <w:tcW w:w="1688" w:type="dxa"/>
            <w:vAlign w:val="bottom"/>
          </w:tcPr>
          <w:p w14:paraId="5B6E888F" w14:textId="2D250E76" w:rsidR="00CA48F6" w:rsidRPr="009E35ED" w:rsidRDefault="00473C67" w:rsidP="00803F8C">
            <w:pPr>
              <w:ind w:left="0" w:right="-110"/>
              <w:jc w:val="right"/>
              <w:rPr>
                <w:rFonts w:ascii="Arial Narrow" w:hAnsi="Arial Narrow" w:cs="Arial"/>
                <w:color w:val="000000" w:themeColor="text1"/>
                <w:sz w:val="22"/>
                <w:szCs w:val="22"/>
                <w:lang w:val="en-PH" w:eastAsia="en-PH"/>
              </w:rPr>
            </w:pPr>
            <w:r w:rsidRPr="009E35ED">
              <w:rPr>
                <w:rFonts w:ascii="Arial Narrow" w:hAnsi="Arial Narrow" w:cs="Arial"/>
                <w:color w:val="000000" w:themeColor="text1"/>
                <w:sz w:val="22"/>
                <w:szCs w:val="22"/>
                <w:lang w:val="en-PH" w:eastAsia="en-PH"/>
              </w:rPr>
              <w:t>13</w:t>
            </w:r>
          </w:p>
        </w:tc>
      </w:tr>
      <w:tr w:rsidR="00997F75" w:rsidRPr="009E35ED" w14:paraId="73FC2F84" w14:textId="77777777" w:rsidTr="00D043CC">
        <w:tc>
          <w:tcPr>
            <w:tcW w:w="2880" w:type="dxa"/>
            <w:vAlign w:val="bottom"/>
          </w:tcPr>
          <w:p w14:paraId="4FD1EA1C" w14:textId="77777777" w:rsidR="00F83499" w:rsidRPr="009E35ED" w:rsidRDefault="00F83499" w:rsidP="00803F8C">
            <w:pPr>
              <w:ind w:left="-110"/>
              <w:rPr>
                <w:rFonts w:ascii="Arial Narrow" w:hAnsi="Arial Narrow" w:cs="Arial"/>
                <w:color w:val="000000" w:themeColor="text1"/>
                <w:sz w:val="22"/>
                <w:szCs w:val="22"/>
                <w:lang w:val="en-PH" w:eastAsia="en-PH"/>
              </w:rPr>
            </w:pPr>
            <w:r w:rsidRPr="009E35ED">
              <w:rPr>
                <w:rFonts w:ascii="Arial Narrow" w:hAnsi="Arial Narrow" w:cs="Arial"/>
                <w:color w:val="000000" w:themeColor="text1"/>
                <w:sz w:val="22"/>
                <w:szCs w:val="22"/>
                <w:lang w:val="en-PH" w:eastAsia="en-PH"/>
              </w:rPr>
              <w:t>Confidential Agents</w:t>
            </w:r>
          </w:p>
        </w:tc>
        <w:tc>
          <w:tcPr>
            <w:tcW w:w="2130" w:type="dxa"/>
            <w:vAlign w:val="bottom"/>
          </w:tcPr>
          <w:p w14:paraId="430F0A44" w14:textId="27C64552" w:rsidR="00F83499" w:rsidRPr="009E35ED" w:rsidRDefault="00473C67" w:rsidP="00803F8C">
            <w:pPr>
              <w:ind w:left="0"/>
              <w:jc w:val="right"/>
              <w:rPr>
                <w:rFonts w:ascii="Arial Narrow" w:hAnsi="Arial Narrow" w:cs="Arial"/>
                <w:bCs/>
                <w:color w:val="000000" w:themeColor="text1"/>
                <w:sz w:val="22"/>
                <w:szCs w:val="22"/>
                <w:lang w:val="en-PH" w:eastAsia="en-PH"/>
              </w:rPr>
            </w:pPr>
            <w:r w:rsidRPr="009E35ED">
              <w:rPr>
                <w:rFonts w:ascii="Arial Narrow" w:hAnsi="Arial Narrow" w:cs="Arial"/>
                <w:bCs/>
                <w:color w:val="000000" w:themeColor="text1"/>
                <w:sz w:val="22"/>
                <w:szCs w:val="22"/>
                <w:lang w:val="en-PH" w:eastAsia="en-PH"/>
              </w:rPr>
              <w:t>225</w:t>
            </w:r>
          </w:p>
        </w:tc>
        <w:tc>
          <w:tcPr>
            <w:tcW w:w="1957" w:type="dxa"/>
            <w:vAlign w:val="bottom"/>
          </w:tcPr>
          <w:p w14:paraId="3309A13B" w14:textId="419D9E1F" w:rsidR="00F83499" w:rsidRPr="009E35ED" w:rsidRDefault="00473C67" w:rsidP="00803F8C">
            <w:pPr>
              <w:ind w:left="0"/>
              <w:jc w:val="right"/>
              <w:rPr>
                <w:rFonts w:ascii="Arial Narrow" w:hAnsi="Arial Narrow" w:cs="Arial"/>
                <w:bCs/>
                <w:color w:val="000000" w:themeColor="text1"/>
                <w:sz w:val="22"/>
                <w:szCs w:val="22"/>
                <w:lang w:val="en-PH" w:eastAsia="en-PH"/>
              </w:rPr>
            </w:pPr>
            <w:r w:rsidRPr="009E35ED">
              <w:rPr>
                <w:rFonts w:ascii="Arial Narrow" w:hAnsi="Arial Narrow" w:cs="Arial"/>
                <w:bCs/>
                <w:color w:val="000000" w:themeColor="text1"/>
                <w:sz w:val="22"/>
                <w:szCs w:val="22"/>
                <w:lang w:val="en-PH" w:eastAsia="en-PH"/>
              </w:rPr>
              <w:t>0</w:t>
            </w:r>
          </w:p>
        </w:tc>
        <w:tc>
          <w:tcPr>
            <w:tcW w:w="1688" w:type="dxa"/>
            <w:vAlign w:val="bottom"/>
          </w:tcPr>
          <w:p w14:paraId="137B15B3" w14:textId="426F5BF4" w:rsidR="00F83499" w:rsidRPr="009E35ED" w:rsidRDefault="00A35426" w:rsidP="00803F8C">
            <w:pPr>
              <w:ind w:left="0" w:right="-110"/>
              <w:jc w:val="right"/>
              <w:rPr>
                <w:rFonts w:ascii="Arial Narrow" w:hAnsi="Arial Narrow" w:cs="Arial"/>
                <w:color w:val="000000" w:themeColor="text1"/>
                <w:sz w:val="22"/>
                <w:szCs w:val="22"/>
                <w:lang w:val="en-PH" w:eastAsia="en-PH"/>
              </w:rPr>
            </w:pPr>
            <w:r w:rsidRPr="009E35ED">
              <w:rPr>
                <w:rFonts w:ascii="Arial Narrow" w:hAnsi="Arial Narrow" w:cs="Arial"/>
                <w:color w:val="000000" w:themeColor="text1"/>
                <w:sz w:val="22"/>
                <w:szCs w:val="22"/>
                <w:lang w:val="en-PH" w:eastAsia="en-PH"/>
              </w:rPr>
              <w:t>225</w:t>
            </w:r>
          </w:p>
        </w:tc>
      </w:tr>
      <w:tr w:rsidR="00997F75" w:rsidRPr="009E35ED" w14:paraId="4B878A9F" w14:textId="77777777" w:rsidTr="00D043CC">
        <w:tc>
          <w:tcPr>
            <w:tcW w:w="2880" w:type="dxa"/>
            <w:tcBorders>
              <w:bottom w:val="nil"/>
            </w:tcBorders>
            <w:vAlign w:val="bottom"/>
          </w:tcPr>
          <w:p w14:paraId="2CB7E3B3" w14:textId="77777777" w:rsidR="00F83499" w:rsidRPr="009E35ED" w:rsidRDefault="00F83499" w:rsidP="00803F8C">
            <w:pPr>
              <w:ind w:left="-110"/>
              <w:rPr>
                <w:rFonts w:ascii="Arial Narrow" w:hAnsi="Arial Narrow" w:cs="Arial"/>
                <w:color w:val="000000" w:themeColor="text1"/>
                <w:sz w:val="22"/>
                <w:szCs w:val="22"/>
                <w:lang w:val="en-PH" w:eastAsia="en-PH"/>
              </w:rPr>
            </w:pPr>
            <w:r w:rsidRPr="009E35ED">
              <w:rPr>
                <w:rFonts w:ascii="Arial Narrow" w:hAnsi="Arial Narrow" w:cs="Arial"/>
                <w:color w:val="000000" w:themeColor="text1"/>
                <w:sz w:val="22"/>
                <w:szCs w:val="22"/>
                <w:lang w:val="en-PH" w:eastAsia="en-PH"/>
              </w:rPr>
              <w:t>Consultants</w:t>
            </w:r>
          </w:p>
        </w:tc>
        <w:tc>
          <w:tcPr>
            <w:tcW w:w="2130" w:type="dxa"/>
            <w:tcBorders>
              <w:bottom w:val="nil"/>
            </w:tcBorders>
            <w:vAlign w:val="bottom"/>
          </w:tcPr>
          <w:p w14:paraId="25A71089" w14:textId="46C54921" w:rsidR="00F83499" w:rsidRPr="009E35ED" w:rsidRDefault="00A35426" w:rsidP="00803F8C">
            <w:pPr>
              <w:ind w:left="0"/>
              <w:jc w:val="right"/>
              <w:rPr>
                <w:rFonts w:ascii="Arial Narrow" w:hAnsi="Arial Narrow" w:cs="Arial"/>
                <w:bCs/>
                <w:color w:val="000000" w:themeColor="text1"/>
                <w:sz w:val="22"/>
                <w:szCs w:val="22"/>
                <w:lang w:val="en-PH" w:eastAsia="en-PH"/>
              </w:rPr>
            </w:pPr>
            <w:r w:rsidRPr="009E35ED">
              <w:rPr>
                <w:rFonts w:ascii="Arial Narrow" w:hAnsi="Arial Narrow" w:cs="Arial"/>
                <w:bCs/>
                <w:color w:val="000000" w:themeColor="text1"/>
                <w:sz w:val="22"/>
                <w:szCs w:val="22"/>
                <w:lang w:val="en-PH" w:eastAsia="en-PH"/>
              </w:rPr>
              <w:t>86</w:t>
            </w:r>
          </w:p>
        </w:tc>
        <w:tc>
          <w:tcPr>
            <w:tcW w:w="1957" w:type="dxa"/>
            <w:tcBorders>
              <w:bottom w:val="nil"/>
            </w:tcBorders>
            <w:vAlign w:val="bottom"/>
          </w:tcPr>
          <w:p w14:paraId="15322EB0" w14:textId="43378AB2" w:rsidR="00F83499" w:rsidRPr="009E35ED" w:rsidRDefault="00A35426" w:rsidP="00803F8C">
            <w:pPr>
              <w:ind w:left="0"/>
              <w:jc w:val="right"/>
              <w:rPr>
                <w:rFonts w:ascii="Arial Narrow" w:hAnsi="Arial Narrow" w:cs="Arial"/>
                <w:bCs/>
                <w:color w:val="000000" w:themeColor="text1"/>
                <w:sz w:val="22"/>
                <w:szCs w:val="22"/>
                <w:lang w:val="en-PH" w:eastAsia="en-PH"/>
              </w:rPr>
            </w:pPr>
            <w:r w:rsidRPr="009E35ED">
              <w:rPr>
                <w:rFonts w:ascii="Arial Narrow" w:hAnsi="Arial Narrow" w:cs="Arial"/>
                <w:bCs/>
                <w:color w:val="000000" w:themeColor="text1"/>
                <w:sz w:val="22"/>
                <w:szCs w:val="22"/>
                <w:lang w:val="en-PH" w:eastAsia="en-PH"/>
              </w:rPr>
              <w:t>0</w:t>
            </w:r>
          </w:p>
        </w:tc>
        <w:tc>
          <w:tcPr>
            <w:tcW w:w="1688" w:type="dxa"/>
            <w:tcBorders>
              <w:bottom w:val="nil"/>
            </w:tcBorders>
            <w:vAlign w:val="bottom"/>
          </w:tcPr>
          <w:p w14:paraId="4135E463" w14:textId="5E248356" w:rsidR="00F83499" w:rsidRPr="009E35ED" w:rsidRDefault="00A35426" w:rsidP="00803F8C">
            <w:pPr>
              <w:ind w:left="0" w:right="-110"/>
              <w:jc w:val="right"/>
              <w:rPr>
                <w:rFonts w:ascii="Arial Narrow" w:hAnsi="Arial Narrow" w:cs="Arial"/>
                <w:color w:val="000000" w:themeColor="text1"/>
                <w:sz w:val="22"/>
                <w:szCs w:val="22"/>
                <w:lang w:val="en-PH" w:eastAsia="en-PH"/>
              </w:rPr>
            </w:pPr>
            <w:r w:rsidRPr="009E35ED">
              <w:rPr>
                <w:rFonts w:ascii="Arial Narrow" w:hAnsi="Arial Narrow" w:cs="Arial"/>
                <w:color w:val="000000" w:themeColor="text1"/>
                <w:sz w:val="22"/>
                <w:szCs w:val="22"/>
                <w:lang w:val="en-PH" w:eastAsia="en-PH"/>
              </w:rPr>
              <w:t>86</w:t>
            </w:r>
          </w:p>
        </w:tc>
      </w:tr>
      <w:tr w:rsidR="00997F75" w:rsidRPr="009E35ED" w14:paraId="52C49F31" w14:textId="77777777" w:rsidTr="00D043CC">
        <w:tc>
          <w:tcPr>
            <w:tcW w:w="2880" w:type="dxa"/>
            <w:tcBorders>
              <w:top w:val="nil"/>
              <w:bottom w:val="nil"/>
            </w:tcBorders>
            <w:vAlign w:val="bottom"/>
          </w:tcPr>
          <w:p w14:paraId="72C5F3D3" w14:textId="7F4B3CA4" w:rsidR="006F27F0" w:rsidRPr="009E35ED" w:rsidRDefault="006F27F0" w:rsidP="00803F8C">
            <w:pPr>
              <w:ind w:left="-110"/>
              <w:rPr>
                <w:rFonts w:ascii="Arial Narrow" w:hAnsi="Arial Narrow" w:cs="Arial"/>
                <w:color w:val="000000" w:themeColor="text1"/>
                <w:sz w:val="22"/>
                <w:szCs w:val="22"/>
                <w:lang w:val="en-PH" w:eastAsia="en-PH"/>
              </w:rPr>
            </w:pPr>
            <w:r w:rsidRPr="009E35ED">
              <w:rPr>
                <w:rFonts w:ascii="Arial Narrow" w:hAnsi="Arial Narrow" w:cs="Arial"/>
                <w:color w:val="000000" w:themeColor="text1"/>
                <w:sz w:val="22"/>
                <w:szCs w:val="22"/>
                <w:lang w:val="en-PH" w:eastAsia="en-PH"/>
              </w:rPr>
              <w:t>Contract of Service</w:t>
            </w:r>
          </w:p>
        </w:tc>
        <w:tc>
          <w:tcPr>
            <w:tcW w:w="2130" w:type="dxa"/>
            <w:tcBorders>
              <w:top w:val="nil"/>
              <w:bottom w:val="nil"/>
            </w:tcBorders>
            <w:vAlign w:val="bottom"/>
          </w:tcPr>
          <w:p w14:paraId="2F27DBAA" w14:textId="69FA148B" w:rsidR="006F27F0" w:rsidRPr="009E35ED" w:rsidRDefault="000247C8" w:rsidP="00803F8C">
            <w:pPr>
              <w:ind w:left="0"/>
              <w:jc w:val="right"/>
              <w:rPr>
                <w:rFonts w:ascii="Arial Narrow" w:hAnsi="Arial Narrow" w:cs="Arial"/>
                <w:bCs/>
                <w:color w:val="000000" w:themeColor="text1"/>
                <w:sz w:val="22"/>
                <w:szCs w:val="22"/>
                <w:lang w:val="en-PH" w:eastAsia="en-PH"/>
              </w:rPr>
            </w:pPr>
            <w:r w:rsidRPr="009E35ED">
              <w:rPr>
                <w:rFonts w:ascii="Arial Narrow" w:hAnsi="Arial Narrow" w:cs="Arial"/>
                <w:bCs/>
                <w:color w:val="000000" w:themeColor="text1"/>
                <w:sz w:val="22"/>
                <w:szCs w:val="22"/>
                <w:lang w:val="en-PH" w:eastAsia="en-PH"/>
              </w:rPr>
              <w:t>0</w:t>
            </w:r>
          </w:p>
        </w:tc>
        <w:tc>
          <w:tcPr>
            <w:tcW w:w="1957" w:type="dxa"/>
            <w:tcBorders>
              <w:top w:val="nil"/>
              <w:bottom w:val="nil"/>
            </w:tcBorders>
            <w:vAlign w:val="bottom"/>
          </w:tcPr>
          <w:p w14:paraId="2722E5E5" w14:textId="5B7F432C" w:rsidR="006F27F0" w:rsidRPr="009E35ED" w:rsidRDefault="006F27F0" w:rsidP="00803F8C">
            <w:pPr>
              <w:ind w:left="0"/>
              <w:jc w:val="right"/>
              <w:rPr>
                <w:rFonts w:ascii="Arial Narrow" w:hAnsi="Arial Narrow" w:cs="Arial"/>
                <w:bCs/>
                <w:color w:val="000000" w:themeColor="text1"/>
                <w:sz w:val="22"/>
                <w:szCs w:val="22"/>
                <w:lang w:val="en-PH" w:eastAsia="en-PH"/>
              </w:rPr>
            </w:pPr>
            <w:r w:rsidRPr="009E35ED">
              <w:rPr>
                <w:rFonts w:ascii="Arial Narrow" w:hAnsi="Arial Narrow" w:cs="Arial"/>
                <w:bCs/>
                <w:color w:val="000000" w:themeColor="text1"/>
                <w:sz w:val="22"/>
                <w:szCs w:val="22"/>
                <w:lang w:val="en-PH" w:eastAsia="en-PH"/>
              </w:rPr>
              <w:t>0</w:t>
            </w:r>
          </w:p>
        </w:tc>
        <w:tc>
          <w:tcPr>
            <w:tcW w:w="1688" w:type="dxa"/>
            <w:tcBorders>
              <w:top w:val="nil"/>
              <w:bottom w:val="nil"/>
            </w:tcBorders>
            <w:vAlign w:val="bottom"/>
          </w:tcPr>
          <w:p w14:paraId="00DA5391" w14:textId="28954F37" w:rsidR="006F27F0" w:rsidRPr="009E35ED" w:rsidRDefault="000247C8" w:rsidP="00803F8C">
            <w:pPr>
              <w:ind w:left="0" w:right="-110"/>
              <w:jc w:val="right"/>
              <w:rPr>
                <w:rFonts w:ascii="Arial Narrow" w:hAnsi="Arial Narrow" w:cs="Arial"/>
                <w:color w:val="000000" w:themeColor="text1"/>
                <w:sz w:val="22"/>
                <w:szCs w:val="22"/>
                <w:lang w:val="en-PH" w:eastAsia="en-PH"/>
              </w:rPr>
            </w:pPr>
            <w:r w:rsidRPr="009E35ED">
              <w:rPr>
                <w:rFonts w:ascii="Arial Narrow" w:hAnsi="Arial Narrow" w:cs="Arial"/>
                <w:color w:val="000000" w:themeColor="text1"/>
                <w:sz w:val="22"/>
                <w:szCs w:val="22"/>
                <w:lang w:val="en-PH" w:eastAsia="en-PH"/>
              </w:rPr>
              <w:t>0</w:t>
            </w:r>
          </w:p>
        </w:tc>
      </w:tr>
      <w:tr w:rsidR="00997F75" w:rsidRPr="009E35ED" w14:paraId="6EFA0B33" w14:textId="77777777" w:rsidTr="00D043CC">
        <w:tc>
          <w:tcPr>
            <w:tcW w:w="2880" w:type="dxa"/>
            <w:tcBorders>
              <w:top w:val="nil"/>
              <w:bottom w:val="single" w:sz="4" w:space="0" w:color="auto"/>
            </w:tcBorders>
            <w:vAlign w:val="bottom"/>
          </w:tcPr>
          <w:p w14:paraId="29DDDBBE" w14:textId="77777777" w:rsidR="00F83499" w:rsidRPr="009E35ED" w:rsidRDefault="00F83499" w:rsidP="00803F8C">
            <w:pPr>
              <w:ind w:left="-110"/>
              <w:rPr>
                <w:rFonts w:ascii="Arial Narrow" w:hAnsi="Arial Narrow" w:cs="Arial"/>
                <w:color w:val="000000" w:themeColor="text1"/>
                <w:sz w:val="22"/>
                <w:szCs w:val="22"/>
                <w:lang w:val="en-PH" w:eastAsia="en-PH"/>
              </w:rPr>
            </w:pPr>
            <w:r w:rsidRPr="009E35ED">
              <w:rPr>
                <w:rFonts w:ascii="Arial Narrow" w:hAnsi="Arial Narrow" w:cs="Arial"/>
                <w:color w:val="000000" w:themeColor="text1"/>
                <w:sz w:val="22"/>
                <w:szCs w:val="22"/>
                <w:lang w:val="en-PH" w:eastAsia="en-PH"/>
              </w:rPr>
              <w:t>Job Order</w:t>
            </w:r>
          </w:p>
        </w:tc>
        <w:tc>
          <w:tcPr>
            <w:tcW w:w="2130" w:type="dxa"/>
            <w:tcBorders>
              <w:top w:val="nil"/>
              <w:bottom w:val="single" w:sz="4" w:space="0" w:color="auto"/>
            </w:tcBorders>
            <w:vAlign w:val="bottom"/>
          </w:tcPr>
          <w:p w14:paraId="3F43C3AB" w14:textId="2257A606" w:rsidR="00F83499" w:rsidRPr="009E35ED" w:rsidRDefault="00A35426" w:rsidP="00803F8C">
            <w:pPr>
              <w:ind w:left="0"/>
              <w:jc w:val="right"/>
              <w:rPr>
                <w:rFonts w:ascii="Arial Narrow" w:hAnsi="Arial Narrow" w:cs="Arial"/>
                <w:bCs/>
                <w:color w:val="000000" w:themeColor="text1"/>
                <w:sz w:val="22"/>
                <w:szCs w:val="22"/>
                <w:lang w:val="en-PH" w:eastAsia="en-PH"/>
              </w:rPr>
            </w:pPr>
            <w:r w:rsidRPr="009E35ED">
              <w:rPr>
                <w:rFonts w:ascii="Arial Narrow" w:hAnsi="Arial Narrow" w:cs="Arial"/>
                <w:bCs/>
                <w:color w:val="000000" w:themeColor="text1"/>
                <w:sz w:val="22"/>
                <w:szCs w:val="22"/>
                <w:lang w:val="en-PH" w:eastAsia="en-PH"/>
              </w:rPr>
              <w:t>252</w:t>
            </w:r>
          </w:p>
        </w:tc>
        <w:tc>
          <w:tcPr>
            <w:tcW w:w="1957" w:type="dxa"/>
            <w:tcBorders>
              <w:top w:val="nil"/>
              <w:bottom w:val="single" w:sz="4" w:space="0" w:color="auto"/>
            </w:tcBorders>
            <w:vAlign w:val="bottom"/>
          </w:tcPr>
          <w:p w14:paraId="25B64114" w14:textId="5F7486D2" w:rsidR="00F83499" w:rsidRPr="009E35ED" w:rsidRDefault="00A35426" w:rsidP="00803F8C">
            <w:pPr>
              <w:ind w:left="0"/>
              <w:jc w:val="right"/>
              <w:rPr>
                <w:rFonts w:ascii="Arial Narrow" w:hAnsi="Arial Narrow" w:cs="Arial"/>
                <w:bCs/>
                <w:color w:val="000000" w:themeColor="text1"/>
                <w:sz w:val="22"/>
                <w:szCs w:val="22"/>
                <w:lang w:val="en-PH" w:eastAsia="en-PH"/>
              </w:rPr>
            </w:pPr>
            <w:r w:rsidRPr="009E35ED">
              <w:rPr>
                <w:rFonts w:ascii="Arial Narrow" w:hAnsi="Arial Narrow" w:cs="Arial"/>
                <w:bCs/>
                <w:color w:val="000000" w:themeColor="text1"/>
                <w:sz w:val="22"/>
                <w:szCs w:val="22"/>
                <w:lang w:val="en-PH" w:eastAsia="en-PH"/>
              </w:rPr>
              <w:t>215</w:t>
            </w:r>
          </w:p>
        </w:tc>
        <w:tc>
          <w:tcPr>
            <w:tcW w:w="1688" w:type="dxa"/>
            <w:tcBorders>
              <w:top w:val="nil"/>
              <w:bottom w:val="single" w:sz="4" w:space="0" w:color="auto"/>
            </w:tcBorders>
            <w:vAlign w:val="bottom"/>
          </w:tcPr>
          <w:p w14:paraId="5BEB5A74" w14:textId="53C113B6" w:rsidR="00F83499" w:rsidRPr="009E35ED" w:rsidRDefault="00A35426" w:rsidP="00803F8C">
            <w:pPr>
              <w:ind w:left="0" w:right="-110"/>
              <w:jc w:val="right"/>
              <w:rPr>
                <w:rFonts w:ascii="Arial Narrow" w:hAnsi="Arial Narrow" w:cs="Arial"/>
                <w:color w:val="000000" w:themeColor="text1"/>
                <w:sz w:val="22"/>
                <w:szCs w:val="22"/>
                <w:lang w:val="en-PH" w:eastAsia="en-PH"/>
              </w:rPr>
            </w:pPr>
            <w:r w:rsidRPr="009E35ED">
              <w:rPr>
                <w:rFonts w:ascii="Arial Narrow" w:hAnsi="Arial Narrow" w:cs="Arial"/>
                <w:color w:val="000000" w:themeColor="text1"/>
                <w:sz w:val="22"/>
                <w:szCs w:val="22"/>
                <w:lang w:val="en-PH" w:eastAsia="en-PH"/>
              </w:rPr>
              <w:t>467</w:t>
            </w:r>
          </w:p>
        </w:tc>
      </w:tr>
      <w:tr w:rsidR="00F83499" w:rsidRPr="009E35ED" w14:paraId="6CEB47A0" w14:textId="77777777" w:rsidTr="00D043CC">
        <w:tc>
          <w:tcPr>
            <w:tcW w:w="2880" w:type="dxa"/>
            <w:tcBorders>
              <w:top w:val="single" w:sz="4" w:space="0" w:color="auto"/>
              <w:bottom w:val="double" w:sz="4" w:space="0" w:color="auto"/>
            </w:tcBorders>
            <w:vAlign w:val="bottom"/>
          </w:tcPr>
          <w:p w14:paraId="098C956C" w14:textId="77777777" w:rsidR="00F83499" w:rsidRPr="009E35ED" w:rsidRDefault="00F83499" w:rsidP="00D043CC">
            <w:pPr>
              <w:ind w:left="-108"/>
              <w:rPr>
                <w:rFonts w:ascii="Arial Narrow" w:hAnsi="Arial Narrow" w:cs="Arial"/>
                <w:b/>
                <w:bCs/>
                <w:color w:val="000000" w:themeColor="text1"/>
                <w:sz w:val="22"/>
                <w:szCs w:val="22"/>
                <w:lang w:val="en-PH" w:eastAsia="en-PH"/>
              </w:rPr>
            </w:pPr>
            <w:r w:rsidRPr="009E35ED">
              <w:rPr>
                <w:rFonts w:ascii="Arial Narrow" w:hAnsi="Arial Narrow" w:cs="Arial"/>
                <w:b/>
                <w:bCs/>
                <w:color w:val="000000" w:themeColor="text1"/>
                <w:sz w:val="22"/>
                <w:szCs w:val="22"/>
                <w:lang w:val="en-PH" w:eastAsia="en-PH"/>
              </w:rPr>
              <w:t>Total</w:t>
            </w:r>
          </w:p>
        </w:tc>
        <w:tc>
          <w:tcPr>
            <w:tcW w:w="2130" w:type="dxa"/>
            <w:tcBorders>
              <w:top w:val="single" w:sz="4" w:space="0" w:color="auto"/>
              <w:bottom w:val="double" w:sz="4" w:space="0" w:color="auto"/>
            </w:tcBorders>
            <w:vAlign w:val="bottom"/>
          </w:tcPr>
          <w:p w14:paraId="714D074E" w14:textId="2ED14BF7" w:rsidR="00F83499" w:rsidRPr="009E35ED" w:rsidRDefault="00A35426" w:rsidP="00803F8C">
            <w:pPr>
              <w:ind w:left="0"/>
              <w:jc w:val="right"/>
              <w:rPr>
                <w:rFonts w:ascii="Arial Narrow" w:hAnsi="Arial Narrow" w:cs="Arial"/>
                <w:b/>
                <w:bCs/>
                <w:color w:val="000000" w:themeColor="text1"/>
                <w:sz w:val="22"/>
                <w:szCs w:val="22"/>
                <w:lang w:val="en-PH" w:eastAsia="en-PH"/>
              </w:rPr>
            </w:pPr>
            <w:r w:rsidRPr="009E35ED">
              <w:rPr>
                <w:rFonts w:ascii="Arial Narrow" w:hAnsi="Arial Narrow" w:cs="Arial"/>
                <w:b/>
                <w:bCs/>
                <w:color w:val="000000" w:themeColor="text1"/>
                <w:sz w:val="22"/>
                <w:szCs w:val="22"/>
                <w:lang w:val="en-PH" w:eastAsia="en-PH"/>
              </w:rPr>
              <w:t>1,155</w:t>
            </w:r>
          </w:p>
        </w:tc>
        <w:tc>
          <w:tcPr>
            <w:tcW w:w="1957" w:type="dxa"/>
            <w:tcBorders>
              <w:top w:val="single" w:sz="4" w:space="0" w:color="auto"/>
              <w:bottom w:val="double" w:sz="4" w:space="0" w:color="auto"/>
            </w:tcBorders>
            <w:vAlign w:val="bottom"/>
          </w:tcPr>
          <w:p w14:paraId="331E2895" w14:textId="0462F9FF" w:rsidR="00F83499" w:rsidRPr="009E35ED" w:rsidRDefault="00A35426" w:rsidP="00803F8C">
            <w:pPr>
              <w:ind w:left="0"/>
              <w:jc w:val="right"/>
              <w:rPr>
                <w:rFonts w:ascii="Arial Narrow" w:hAnsi="Arial Narrow" w:cs="Arial"/>
                <w:b/>
                <w:bCs/>
                <w:color w:val="000000" w:themeColor="text1"/>
                <w:sz w:val="22"/>
                <w:szCs w:val="22"/>
                <w:lang w:val="en-PH" w:eastAsia="en-PH"/>
              </w:rPr>
            </w:pPr>
            <w:r w:rsidRPr="009E35ED">
              <w:rPr>
                <w:rFonts w:ascii="Arial Narrow" w:hAnsi="Arial Narrow" w:cs="Arial"/>
                <w:b/>
                <w:bCs/>
                <w:color w:val="000000" w:themeColor="text1"/>
                <w:sz w:val="22"/>
                <w:szCs w:val="22"/>
                <w:lang w:val="en-PH" w:eastAsia="en-PH"/>
              </w:rPr>
              <w:t>735</w:t>
            </w:r>
          </w:p>
        </w:tc>
        <w:tc>
          <w:tcPr>
            <w:tcW w:w="1688" w:type="dxa"/>
            <w:tcBorders>
              <w:top w:val="single" w:sz="4" w:space="0" w:color="auto"/>
              <w:bottom w:val="double" w:sz="4" w:space="0" w:color="auto"/>
            </w:tcBorders>
            <w:vAlign w:val="bottom"/>
          </w:tcPr>
          <w:p w14:paraId="2707AFAD" w14:textId="7A07553F" w:rsidR="00F83499" w:rsidRPr="009E35ED" w:rsidRDefault="00A35426" w:rsidP="006F27F0">
            <w:pPr>
              <w:ind w:left="0" w:right="-110"/>
              <w:jc w:val="right"/>
              <w:rPr>
                <w:rFonts w:ascii="Arial Narrow" w:hAnsi="Arial Narrow" w:cs="Arial"/>
                <w:b/>
                <w:bCs/>
                <w:color w:val="000000" w:themeColor="text1"/>
                <w:sz w:val="22"/>
                <w:szCs w:val="22"/>
                <w:lang w:val="en-PH" w:eastAsia="en-PH"/>
              </w:rPr>
            </w:pPr>
            <w:r w:rsidRPr="009E35ED">
              <w:rPr>
                <w:rFonts w:ascii="Arial Narrow" w:hAnsi="Arial Narrow" w:cs="Arial"/>
                <w:b/>
                <w:bCs/>
                <w:color w:val="000000" w:themeColor="text1"/>
                <w:sz w:val="22"/>
                <w:szCs w:val="22"/>
                <w:lang w:val="en-PH" w:eastAsia="en-PH"/>
              </w:rPr>
              <w:t>1,890</w:t>
            </w:r>
          </w:p>
        </w:tc>
      </w:tr>
    </w:tbl>
    <w:p w14:paraId="1927C5C8" w14:textId="77777777" w:rsidR="008B4370" w:rsidRPr="009E35ED" w:rsidRDefault="008B4370" w:rsidP="00803F8C">
      <w:pPr>
        <w:ind w:left="0"/>
        <w:rPr>
          <w:rFonts w:ascii="Arial" w:hAnsi="Arial" w:cs="Arial"/>
          <w:color w:val="000000" w:themeColor="text1"/>
          <w:sz w:val="22"/>
          <w:szCs w:val="22"/>
          <w:lang w:val="en-PH"/>
        </w:rPr>
      </w:pPr>
    </w:p>
    <w:p w14:paraId="25DB387D" w14:textId="3F3A5F68" w:rsidR="0085009E" w:rsidRPr="009E35ED" w:rsidRDefault="0085009E" w:rsidP="00803F8C">
      <w:pPr>
        <w:ind w:left="0"/>
        <w:rPr>
          <w:rFonts w:ascii="Arial" w:hAnsi="Arial" w:cs="Arial"/>
          <w:color w:val="000000" w:themeColor="text1"/>
          <w:sz w:val="22"/>
          <w:szCs w:val="22"/>
        </w:rPr>
      </w:pPr>
      <w:r w:rsidRPr="009E35ED">
        <w:rPr>
          <w:rFonts w:ascii="Arial" w:hAnsi="Arial" w:cs="Arial"/>
          <w:color w:val="000000" w:themeColor="text1"/>
          <w:sz w:val="22"/>
          <w:szCs w:val="22"/>
        </w:rPr>
        <w:t xml:space="preserve">The Members of the Board of Directors are: </w:t>
      </w:r>
      <w:r w:rsidR="00BB1B09" w:rsidRPr="009E35ED">
        <w:rPr>
          <w:rFonts w:ascii="Arial" w:hAnsi="Arial" w:cs="Arial"/>
          <w:color w:val="000000" w:themeColor="text1"/>
          <w:sz w:val="22"/>
          <w:szCs w:val="22"/>
        </w:rPr>
        <w:t>Junie E. Cua</w:t>
      </w:r>
      <w:r w:rsidRPr="009E35ED">
        <w:rPr>
          <w:rFonts w:ascii="Arial" w:hAnsi="Arial" w:cs="Arial"/>
          <w:color w:val="000000" w:themeColor="text1"/>
          <w:sz w:val="22"/>
          <w:szCs w:val="22"/>
        </w:rPr>
        <w:t>, Cha</w:t>
      </w:r>
      <w:r w:rsidR="009A19D6" w:rsidRPr="009E35ED">
        <w:rPr>
          <w:rFonts w:ascii="Arial" w:hAnsi="Arial" w:cs="Arial"/>
          <w:color w:val="000000" w:themeColor="text1"/>
          <w:sz w:val="22"/>
          <w:szCs w:val="22"/>
        </w:rPr>
        <w:t>irman,</w:t>
      </w:r>
      <w:r w:rsidRPr="009E35ED">
        <w:rPr>
          <w:rFonts w:ascii="Arial" w:hAnsi="Arial" w:cs="Arial"/>
          <w:color w:val="000000" w:themeColor="text1"/>
          <w:sz w:val="22"/>
          <w:szCs w:val="22"/>
        </w:rPr>
        <w:t xml:space="preserve"> who assumed office on </w:t>
      </w:r>
      <w:r w:rsidR="00886670" w:rsidRPr="009E35ED">
        <w:rPr>
          <w:rFonts w:ascii="Arial" w:hAnsi="Arial" w:cs="Arial"/>
          <w:color w:val="000000" w:themeColor="text1"/>
          <w:sz w:val="22"/>
          <w:szCs w:val="22"/>
        </w:rPr>
        <w:t>August 1, 2022</w:t>
      </w:r>
      <w:r w:rsidR="009A19D6" w:rsidRPr="009E35ED">
        <w:rPr>
          <w:rFonts w:ascii="Arial" w:hAnsi="Arial" w:cs="Arial"/>
          <w:color w:val="000000" w:themeColor="text1"/>
          <w:sz w:val="22"/>
          <w:szCs w:val="22"/>
        </w:rPr>
        <w:t>;</w:t>
      </w:r>
      <w:r w:rsidRPr="009E35ED">
        <w:rPr>
          <w:rFonts w:ascii="Arial" w:hAnsi="Arial" w:cs="Arial"/>
          <w:color w:val="000000" w:themeColor="text1"/>
          <w:sz w:val="22"/>
          <w:szCs w:val="22"/>
        </w:rPr>
        <w:t xml:space="preserve"> </w:t>
      </w:r>
      <w:r w:rsidR="00BB1B09" w:rsidRPr="009E35ED">
        <w:rPr>
          <w:rFonts w:ascii="Arial" w:hAnsi="Arial" w:cs="Arial"/>
          <w:color w:val="000000" w:themeColor="text1"/>
          <w:sz w:val="22"/>
          <w:szCs w:val="22"/>
        </w:rPr>
        <w:t>Melquiades A. Robles</w:t>
      </w:r>
      <w:r w:rsidRPr="009E35ED">
        <w:rPr>
          <w:rFonts w:ascii="Arial" w:hAnsi="Arial" w:cs="Arial"/>
          <w:color w:val="000000" w:themeColor="text1"/>
          <w:sz w:val="22"/>
          <w:szCs w:val="22"/>
        </w:rPr>
        <w:t>, General Manager and Vice-Chairman</w:t>
      </w:r>
      <w:r w:rsidR="00BB1B09" w:rsidRPr="009E35ED">
        <w:rPr>
          <w:rFonts w:ascii="Arial" w:hAnsi="Arial" w:cs="Arial"/>
          <w:color w:val="000000" w:themeColor="text1"/>
          <w:sz w:val="22"/>
          <w:szCs w:val="22"/>
        </w:rPr>
        <w:t>, who were</w:t>
      </w:r>
      <w:r w:rsidR="008B08BD" w:rsidRPr="009E35ED">
        <w:rPr>
          <w:rFonts w:ascii="Arial" w:hAnsi="Arial" w:cs="Arial"/>
          <w:color w:val="000000" w:themeColor="text1"/>
          <w:sz w:val="22"/>
          <w:szCs w:val="22"/>
        </w:rPr>
        <w:t xml:space="preserve"> appointed and assumed office on </w:t>
      </w:r>
      <w:r w:rsidR="00886670" w:rsidRPr="009E35ED">
        <w:rPr>
          <w:rFonts w:ascii="Arial" w:hAnsi="Arial" w:cs="Arial"/>
          <w:color w:val="000000" w:themeColor="text1"/>
          <w:sz w:val="22"/>
          <w:szCs w:val="22"/>
        </w:rPr>
        <w:t>July 28, 2022</w:t>
      </w:r>
      <w:r w:rsidR="009A19D6" w:rsidRPr="009E35ED">
        <w:rPr>
          <w:rFonts w:ascii="Arial" w:hAnsi="Arial" w:cs="Arial"/>
          <w:color w:val="000000" w:themeColor="text1"/>
          <w:sz w:val="22"/>
          <w:szCs w:val="22"/>
        </w:rPr>
        <w:t>;</w:t>
      </w:r>
      <w:r w:rsidRPr="009E35ED">
        <w:rPr>
          <w:rFonts w:ascii="Arial" w:hAnsi="Arial" w:cs="Arial"/>
          <w:color w:val="000000" w:themeColor="text1"/>
          <w:sz w:val="22"/>
          <w:szCs w:val="22"/>
        </w:rPr>
        <w:t xml:space="preserve"> </w:t>
      </w:r>
      <w:r w:rsidR="009A19D6" w:rsidRPr="009E35ED">
        <w:rPr>
          <w:rFonts w:ascii="Arial" w:hAnsi="Arial" w:cs="Arial"/>
          <w:color w:val="000000" w:themeColor="text1"/>
          <w:sz w:val="22"/>
          <w:szCs w:val="22"/>
        </w:rPr>
        <w:t xml:space="preserve">the </w:t>
      </w:r>
      <w:r w:rsidRPr="009E35ED">
        <w:rPr>
          <w:rFonts w:ascii="Arial" w:hAnsi="Arial" w:cs="Arial"/>
          <w:color w:val="000000" w:themeColor="text1"/>
          <w:sz w:val="22"/>
          <w:szCs w:val="22"/>
        </w:rPr>
        <w:t xml:space="preserve">Members of the Board are </w:t>
      </w:r>
      <w:r w:rsidR="00BB1B09" w:rsidRPr="009E35ED">
        <w:rPr>
          <w:rFonts w:ascii="Arial" w:hAnsi="Arial" w:cs="Arial"/>
          <w:color w:val="000000" w:themeColor="text1"/>
          <w:sz w:val="22"/>
          <w:szCs w:val="22"/>
        </w:rPr>
        <w:t>Jennifer E. Liongson-Guevara, Judger Felix P. Reyes (Ret.)</w:t>
      </w:r>
      <w:r w:rsidRPr="009E35ED">
        <w:rPr>
          <w:rFonts w:ascii="Arial" w:hAnsi="Arial" w:cs="Arial"/>
          <w:color w:val="000000" w:themeColor="text1"/>
          <w:sz w:val="22"/>
          <w:szCs w:val="22"/>
        </w:rPr>
        <w:t xml:space="preserve">, </w:t>
      </w:r>
      <w:r w:rsidR="00BB1B09" w:rsidRPr="009E35ED">
        <w:rPr>
          <w:rFonts w:ascii="Arial" w:hAnsi="Arial" w:cs="Arial"/>
          <w:color w:val="000000" w:themeColor="text1"/>
          <w:sz w:val="22"/>
          <w:szCs w:val="22"/>
        </w:rPr>
        <w:t>and Janet De Leon Mercado</w:t>
      </w:r>
      <w:r w:rsidR="000F37A0" w:rsidRPr="009E35ED">
        <w:rPr>
          <w:rFonts w:ascii="Arial" w:hAnsi="Arial" w:cs="Arial"/>
          <w:color w:val="000000" w:themeColor="text1"/>
          <w:sz w:val="22"/>
          <w:szCs w:val="22"/>
        </w:rPr>
        <w:t>; and</w:t>
      </w:r>
      <w:r w:rsidR="00BB4F0F" w:rsidRPr="009E35ED">
        <w:rPr>
          <w:rFonts w:ascii="Arial" w:hAnsi="Arial" w:cs="Arial"/>
          <w:color w:val="000000" w:themeColor="text1"/>
          <w:sz w:val="22"/>
          <w:szCs w:val="22"/>
        </w:rPr>
        <w:t xml:space="preserve"> </w:t>
      </w:r>
      <w:r w:rsidR="00B30376" w:rsidRPr="009E35ED">
        <w:rPr>
          <w:rFonts w:ascii="Arial" w:hAnsi="Arial" w:cs="Arial"/>
          <w:color w:val="000000" w:themeColor="text1"/>
          <w:sz w:val="22"/>
          <w:szCs w:val="22"/>
        </w:rPr>
        <w:t>Atty. Charles Frederick</w:t>
      </w:r>
      <w:r w:rsidR="00574FD0" w:rsidRPr="009E35ED">
        <w:rPr>
          <w:rFonts w:ascii="Arial" w:hAnsi="Arial" w:cs="Arial"/>
          <w:color w:val="000000" w:themeColor="text1"/>
          <w:sz w:val="22"/>
          <w:szCs w:val="22"/>
        </w:rPr>
        <w:t xml:space="preserve"> T. Co</w:t>
      </w:r>
      <w:r w:rsidR="00C037E6" w:rsidRPr="009E35ED">
        <w:rPr>
          <w:rFonts w:ascii="Arial" w:hAnsi="Arial" w:cs="Arial"/>
          <w:color w:val="000000" w:themeColor="text1"/>
          <w:sz w:val="22"/>
          <w:szCs w:val="22"/>
        </w:rPr>
        <w:t xml:space="preserve"> </w:t>
      </w:r>
      <w:r w:rsidR="000F37A0" w:rsidRPr="009E35ED">
        <w:rPr>
          <w:rFonts w:ascii="Arial" w:hAnsi="Arial" w:cs="Arial"/>
          <w:color w:val="000000" w:themeColor="text1"/>
          <w:sz w:val="22"/>
          <w:szCs w:val="22"/>
        </w:rPr>
        <w:t>as</w:t>
      </w:r>
      <w:r w:rsidRPr="009E35ED">
        <w:rPr>
          <w:rFonts w:ascii="Arial" w:hAnsi="Arial" w:cs="Arial"/>
          <w:color w:val="000000" w:themeColor="text1"/>
          <w:sz w:val="22"/>
          <w:szCs w:val="22"/>
        </w:rPr>
        <w:t xml:space="preserve"> the Board Secretary.</w:t>
      </w:r>
    </w:p>
    <w:p w14:paraId="6612DB0A" w14:textId="77777777" w:rsidR="0085009E" w:rsidRPr="009E35ED" w:rsidRDefault="0085009E" w:rsidP="00803F8C">
      <w:pPr>
        <w:ind w:left="0"/>
        <w:rPr>
          <w:rFonts w:ascii="Arial" w:hAnsi="Arial" w:cs="Arial"/>
          <w:color w:val="000000" w:themeColor="text1"/>
          <w:sz w:val="22"/>
          <w:szCs w:val="22"/>
        </w:rPr>
      </w:pPr>
    </w:p>
    <w:p w14:paraId="7C6A0158" w14:textId="3E5805FF" w:rsidR="004C2644" w:rsidRPr="009E35ED" w:rsidRDefault="0085009E" w:rsidP="00803F8C">
      <w:pPr>
        <w:suppressAutoHyphens/>
        <w:ind w:left="0"/>
        <w:rPr>
          <w:rFonts w:ascii="Arial" w:hAnsi="Arial" w:cs="Arial"/>
          <w:bCs/>
          <w:color w:val="000000" w:themeColor="text1"/>
          <w:sz w:val="22"/>
          <w:szCs w:val="22"/>
          <w:lang w:eastAsia="ar-SA"/>
        </w:rPr>
      </w:pPr>
      <w:r w:rsidRPr="009E35ED">
        <w:rPr>
          <w:rFonts w:ascii="Arial" w:hAnsi="Arial" w:cs="Arial"/>
          <w:color w:val="000000" w:themeColor="text1"/>
          <w:sz w:val="22"/>
          <w:szCs w:val="22"/>
        </w:rPr>
        <w:t xml:space="preserve">PCSO’s registered office, which is also its principal place of business, is located at Sun Plaza Building,1507 Shaw Boulevard corner Princeton St., Mandaluyong City 1552. </w:t>
      </w:r>
      <w:r w:rsidRPr="009E35ED">
        <w:rPr>
          <w:rFonts w:ascii="Arial" w:hAnsi="Arial" w:cs="Arial"/>
          <w:bCs/>
          <w:color w:val="000000" w:themeColor="text1"/>
          <w:sz w:val="22"/>
          <w:szCs w:val="22"/>
          <w:lang w:eastAsia="ar-SA"/>
        </w:rPr>
        <w:t xml:space="preserve">It has five branch operations departments, namely: National Capital Region (NCR), Northern and Central Luzon (NCL), Southern Tagalog and Bicol Region (STBR), Visayas, and Mindanao. </w:t>
      </w:r>
    </w:p>
    <w:p w14:paraId="09C290B2" w14:textId="77777777" w:rsidR="004C2644" w:rsidRPr="009E35ED" w:rsidRDefault="004C2644" w:rsidP="00803F8C">
      <w:pPr>
        <w:ind w:left="0"/>
        <w:rPr>
          <w:rFonts w:ascii="Arial" w:hAnsi="Arial" w:cs="Arial"/>
          <w:bCs/>
          <w:color w:val="000000" w:themeColor="text1"/>
          <w:sz w:val="22"/>
          <w:szCs w:val="22"/>
          <w:lang w:eastAsia="ar-SA"/>
        </w:rPr>
      </w:pPr>
    </w:p>
    <w:p w14:paraId="0835BCBB" w14:textId="62E5EDC1" w:rsidR="0085009E" w:rsidRPr="009E35ED" w:rsidRDefault="0085009E" w:rsidP="00803F8C">
      <w:pPr>
        <w:suppressAutoHyphens/>
        <w:ind w:left="0"/>
        <w:rPr>
          <w:rFonts w:ascii="Arial" w:hAnsi="Arial" w:cs="Arial"/>
          <w:bCs/>
          <w:color w:val="000000" w:themeColor="text1"/>
          <w:sz w:val="22"/>
          <w:szCs w:val="22"/>
          <w:lang w:eastAsia="ar-SA"/>
        </w:rPr>
      </w:pPr>
      <w:r w:rsidRPr="009E35ED">
        <w:rPr>
          <w:rFonts w:ascii="Arial" w:hAnsi="Arial" w:cs="Arial"/>
          <w:bCs/>
          <w:color w:val="000000" w:themeColor="text1"/>
          <w:sz w:val="22"/>
          <w:szCs w:val="22"/>
          <w:lang w:eastAsia="ar-SA"/>
        </w:rPr>
        <w:t xml:space="preserve">Below is the composition of </w:t>
      </w:r>
      <w:r w:rsidR="008721BE" w:rsidRPr="009E35ED">
        <w:rPr>
          <w:rFonts w:ascii="Arial" w:hAnsi="Arial" w:cs="Arial"/>
          <w:bCs/>
          <w:color w:val="000000" w:themeColor="text1"/>
          <w:sz w:val="22"/>
          <w:szCs w:val="22"/>
          <w:lang w:eastAsia="ar-SA"/>
        </w:rPr>
        <w:t>72</w:t>
      </w:r>
      <w:r w:rsidRPr="009E35ED">
        <w:rPr>
          <w:rFonts w:ascii="Arial" w:hAnsi="Arial" w:cs="Arial"/>
          <w:bCs/>
          <w:color w:val="000000" w:themeColor="text1"/>
          <w:sz w:val="22"/>
          <w:szCs w:val="22"/>
          <w:lang w:eastAsia="ar-SA"/>
        </w:rPr>
        <w:t xml:space="preserve"> Branch Offices as of December 31, 20</w:t>
      </w:r>
      <w:r w:rsidR="00BB1B09" w:rsidRPr="009E35ED">
        <w:rPr>
          <w:rFonts w:ascii="Arial" w:hAnsi="Arial" w:cs="Arial"/>
          <w:bCs/>
          <w:color w:val="000000" w:themeColor="text1"/>
          <w:sz w:val="22"/>
          <w:szCs w:val="22"/>
          <w:lang w:eastAsia="ar-SA"/>
        </w:rPr>
        <w:t>2</w:t>
      </w:r>
      <w:r w:rsidR="00D64A00" w:rsidRPr="009E35ED">
        <w:rPr>
          <w:rFonts w:ascii="Arial" w:hAnsi="Arial" w:cs="Arial"/>
          <w:bCs/>
          <w:color w:val="000000" w:themeColor="text1"/>
          <w:sz w:val="22"/>
          <w:szCs w:val="22"/>
          <w:lang w:eastAsia="ar-SA"/>
        </w:rPr>
        <w:t>3</w:t>
      </w:r>
      <w:r w:rsidRPr="009E35ED">
        <w:rPr>
          <w:rFonts w:ascii="Arial" w:hAnsi="Arial" w:cs="Arial"/>
          <w:bCs/>
          <w:color w:val="000000" w:themeColor="text1"/>
          <w:sz w:val="22"/>
          <w:szCs w:val="22"/>
          <w:lang w:eastAsia="ar-SA"/>
        </w:rPr>
        <w:t>:</w:t>
      </w:r>
    </w:p>
    <w:p w14:paraId="10961107" w14:textId="77777777" w:rsidR="0085009E" w:rsidRPr="009E35ED" w:rsidRDefault="0085009E" w:rsidP="00803F8C">
      <w:pPr>
        <w:suppressAutoHyphens/>
        <w:ind w:left="0"/>
        <w:rPr>
          <w:rFonts w:ascii="Arial" w:hAnsi="Arial" w:cs="Arial"/>
          <w:bCs/>
          <w:color w:val="000000" w:themeColor="text1"/>
          <w:sz w:val="22"/>
          <w:szCs w:val="22"/>
          <w:lang w:eastAsia="ar-SA"/>
        </w:rPr>
      </w:pPr>
    </w:p>
    <w:tbl>
      <w:tblPr>
        <w:tblW w:w="8606" w:type="dxa"/>
        <w:tblLook w:val="04A0" w:firstRow="1" w:lastRow="0" w:firstColumn="1" w:lastColumn="0" w:noHBand="0" w:noVBand="1"/>
      </w:tblPr>
      <w:tblGrid>
        <w:gridCol w:w="1980"/>
        <w:gridCol w:w="6626"/>
      </w:tblGrid>
      <w:tr w:rsidR="00997F75" w:rsidRPr="009E35ED" w14:paraId="43FE5EB1" w14:textId="77777777" w:rsidTr="00D043CC">
        <w:trPr>
          <w:trHeight w:val="723"/>
        </w:trPr>
        <w:tc>
          <w:tcPr>
            <w:tcW w:w="1980" w:type="dxa"/>
            <w:tcBorders>
              <w:top w:val="single" w:sz="4" w:space="0" w:color="auto"/>
              <w:left w:val="nil"/>
              <w:bottom w:val="single" w:sz="4" w:space="0" w:color="auto"/>
              <w:right w:val="nil"/>
            </w:tcBorders>
            <w:hideMark/>
          </w:tcPr>
          <w:p w14:paraId="6817EAC5" w14:textId="77777777" w:rsidR="0085009E" w:rsidRPr="009E35ED" w:rsidRDefault="0085009E" w:rsidP="000071BB">
            <w:pPr>
              <w:suppressAutoHyphens/>
              <w:snapToGrid w:val="0"/>
              <w:ind w:left="0"/>
              <w:jc w:val="left"/>
              <w:rPr>
                <w:rFonts w:ascii="Arial" w:hAnsi="Arial" w:cs="Arial"/>
                <w:bCs/>
                <w:color w:val="000000" w:themeColor="text1"/>
                <w:sz w:val="20"/>
                <w:szCs w:val="20"/>
                <w:lang w:eastAsia="ar-SA"/>
              </w:rPr>
            </w:pPr>
            <w:r w:rsidRPr="009E35ED">
              <w:rPr>
                <w:rFonts w:ascii="Arial" w:hAnsi="Arial" w:cs="Arial"/>
                <w:bCs/>
                <w:color w:val="000000" w:themeColor="text1"/>
                <w:sz w:val="20"/>
                <w:szCs w:val="20"/>
                <w:lang w:eastAsia="ar-SA"/>
              </w:rPr>
              <w:t>Northern and Central Luzon</w:t>
            </w:r>
          </w:p>
        </w:tc>
        <w:tc>
          <w:tcPr>
            <w:tcW w:w="6626" w:type="dxa"/>
            <w:tcBorders>
              <w:top w:val="single" w:sz="4" w:space="0" w:color="auto"/>
              <w:left w:val="nil"/>
              <w:bottom w:val="single" w:sz="4" w:space="0" w:color="auto"/>
              <w:right w:val="nil"/>
            </w:tcBorders>
            <w:hideMark/>
          </w:tcPr>
          <w:p w14:paraId="78966E5D" w14:textId="13679BA5" w:rsidR="0085009E" w:rsidRPr="009E35ED" w:rsidRDefault="0002703D" w:rsidP="00A33D18">
            <w:pPr>
              <w:pStyle w:val="ListParagraph"/>
              <w:suppressAutoHyphens/>
              <w:snapToGrid w:val="0"/>
              <w:ind w:left="0" w:right="-97"/>
              <w:rPr>
                <w:rFonts w:ascii="Arial" w:hAnsi="Arial" w:cs="Arial"/>
                <w:bCs/>
                <w:color w:val="000000" w:themeColor="text1"/>
                <w:sz w:val="20"/>
                <w:szCs w:val="20"/>
                <w:lang w:val="sv-SE" w:eastAsia="ar-SA"/>
              </w:rPr>
            </w:pPr>
            <w:r w:rsidRPr="009E35ED">
              <w:rPr>
                <w:rFonts w:ascii="Arial" w:hAnsi="Arial" w:cs="Arial"/>
                <w:bCs/>
                <w:color w:val="000000" w:themeColor="text1"/>
                <w:sz w:val="20"/>
                <w:szCs w:val="20"/>
                <w:lang w:val="sv-SE" w:eastAsia="ar-SA"/>
              </w:rPr>
              <w:t xml:space="preserve">Abra, </w:t>
            </w:r>
            <w:r w:rsidR="0085009E" w:rsidRPr="009E35ED">
              <w:rPr>
                <w:rFonts w:ascii="Arial" w:hAnsi="Arial" w:cs="Arial"/>
                <w:bCs/>
                <w:color w:val="000000" w:themeColor="text1"/>
                <w:sz w:val="20"/>
                <w:szCs w:val="20"/>
                <w:lang w:val="sv-SE" w:eastAsia="ar-SA"/>
              </w:rPr>
              <w:t>A</w:t>
            </w:r>
            <w:r w:rsidR="00493C71" w:rsidRPr="009E35ED">
              <w:rPr>
                <w:rFonts w:ascii="Arial" w:hAnsi="Arial" w:cs="Arial"/>
                <w:bCs/>
                <w:color w:val="000000" w:themeColor="text1"/>
                <w:sz w:val="20"/>
                <w:szCs w:val="20"/>
                <w:lang w:val="sv-SE" w:eastAsia="ar-SA"/>
              </w:rPr>
              <w:t>payao, A</w:t>
            </w:r>
            <w:r w:rsidR="0085009E" w:rsidRPr="009E35ED">
              <w:rPr>
                <w:rFonts w:ascii="Arial" w:hAnsi="Arial" w:cs="Arial"/>
                <w:bCs/>
                <w:color w:val="000000" w:themeColor="text1"/>
                <w:sz w:val="20"/>
                <w:szCs w:val="20"/>
                <w:lang w:val="sv-SE" w:eastAsia="ar-SA"/>
              </w:rPr>
              <w:t xml:space="preserve">urora, Bataan, Benguet, Bulacan, Cagayan, Ilocos Norte, Ilocos Sur, Ifugao, Isabela, Kalinga, La Union, Mountain Province, Nueva Ecija, Nueva Viscaya, Pampanga, Pangasinan, </w:t>
            </w:r>
            <w:r w:rsidR="007375D8" w:rsidRPr="009E35ED">
              <w:rPr>
                <w:rFonts w:ascii="Arial" w:hAnsi="Arial" w:cs="Arial"/>
                <w:bCs/>
                <w:color w:val="000000" w:themeColor="text1"/>
                <w:sz w:val="20"/>
                <w:szCs w:val="20"/>
                <w:lang w:val="sv-SE" w:eastAsia="ar-SA"/>
              </w:rPr>
              <w:t xml:space="preserve">Quirino, </w:t>
            </w:r>
            <w:r w:rsidR="0085009E" w:rsidRPr="009E35ED">
              <w:rPr>
                <w:rFonts w:ascii="Arial" w:hAnsi="Arial" w:cs="Arial"/>
                <w:bCs/>
                <w:color w:val="000000" w:themeColor="text1"/>
                <w:sz w:val="20"/>
                <w:szCs w:val="20"/>
                <w:lang w:val="sv-SE" w:eastAsia="ar-SA"/>
              </w:rPr>
              <w:t>Tarlac and Zambales</w:t>
            </w:r>
          </w:p>
          <w:p w14:paraId="3E14EE15" w14:textId="2FC75B37" w:rsidR="0085009E" w:rsidRPr="009E35ED" w:rsidRDefault="0085009E" w:rsidP="00A33D18">
            <w:pPr>
              <w:pStyle w:val="ListParagraph"/>
              <w:suppressAutoHyphens/>
              <w:snapToGrid w:val="0"/>
              <w:ind w:left="0" w:right="-97"/>
              <w:rPr>
                <w:rFonts w:ascii="Arial" w:hAnsi="Arial" w:cs="Arial"/>
                <w:bCs/>
                <w:color w:val="000000" w:themeColor="text1"/>
                <w:sz w:val="20"/>
                <w:szCs w:val="20"/>
                <w:lang w:val="sv-SE" w:eastAsia="ar-SA"/>
              </w:rPr>
            </w:pPr>
          </w:p>
        </w:tc>
      </w:tr>
      <w:tr w:rsidR="00997F75" w:rsidRPr="009E35ED" w14:paraId="5055BD7E" w14:textId="77777777" w:rsidTr="00D043CC">
        <w:trPr>
          <w:trHeight w:val="650"/>
        </w:trPr>
        <w:tc>
          <w:tcPr>
            <w:tcW w:w="1980" w:type="dxa"/>
            <w:tcBorders>
              <w:top w:val="single" w:sz="4" w:space="0" w:color="auto"/>
              <w:bottom w:val="single" w:sz="4" w:space="0" w:color="auto"/>
            </w:tcBorders>
            <w:hideMark/>
          </w:tcPr>
          <w:p w14:paraId="10837595" w14:textId="77777777" w:rsidR="0085009E" w:rsidRPr="009E35ED" w:rsidRDefault="0085009E" w:rsidP="000071BB">
            <w:pPr>
              <w:suppressAutoHyphens/>
              <w:snapToGrid w:val="0"/>
              <w:ind w:left="0"/>
              <w:jc w:val="left"/>
              <w:rPr>
                <w:rFonts w:ascii="Arial" w:hAnsi="Arial" w:cs="Arial"/>
                <w:bCs/>
                <w:color w:val="000000" w:themeColor="text1"/>
                <w:sz w:val="20"/>
                <w:szCs w:val="20"/>
                <w:lang w:eastAsia="ar-SA"/>
              </w:rPr>
            </w:pPr>
            <w:r w:rsidRPr="009E35ED">
              <w:rPr>
                <w:rFonts w:ascii="Arial" w:hAnsi="Arial" w:cs="Arial"/>
                <w:bCs/>
                <w:color w:val="000000" w:themeColor="text1"/>
                <w:sz w:val="20"/>
                <w:szCs w:val="20"/>
                <w:lang w:eastAsia="ar-SA"/>
              </w:rPr>
              <w:t>Southern Tagalog and Bicol Region</w:t>
            </w:r>
          </w:p>
        </w:tc>
        <w:tc>
          <w:tcPr>
            <w:tcW w:w="6626" w:type="dxa"/>
            <w:tcBorders>
              <w:top w:val="single" w:sz="4" w:space="0" w:color="auto"/>
              <w:bottom w:val="single" w:sz="4" w:space="0" w:color="auto"/>
            </w:tcBorders>
            <w:hideMark/>
          </w:tcPr>
          <w:p w14:paraId="1E42A155" w14:textId="77777777" w:rsidR="0085009E" w:rsidRPr="009E35ED" w:rsidRDefault="0085009E" w:rsidP="00A33D18">
            <w:pPr>
              <w:suppressAutoHyphens/>
              <w:snapToGrid w:val="0"/>
              <w:ind w:left="0" w:right="-97"/>
              <w:rPr>
                <w:rFonts w:ascii="Arial" w:hAnsi="Arial" w:cs="Arial"/>
                <w:bCs/>
                <w:color w:val="000000" w:themeColor="text1"/>
                <w:sz w:val="20"/>
                <w:szCs w:val="20"/>
                <w:lang w:eastAsia="ar-SA"/>
              </w:rPr>
            </w:pPr>
            <w:r w:rsidRPr="009E35ED">
              <w:rPr>
                <w:rFonts w:ascii="Arial" w:hAnsi="Arial" w:cs="Arial"/>
                <w:bCs/>
                <w:color w:val="000000" w:themeColor="text1"/>
                <w:sz w:val="20"/>
                <w:szCs w:val="20"/>
                <w:lang w:eastAsia="ar-SA"/>
              </w:rPr>
              <w:t>Albay, Batangas, Camarines Norte, Camarines Sur, Catanduanes, Cavite, Laguna, Marinduque, Masbate, Occidental Mindoro, Oriental Mindoro, Palawan, Quezon, Rizal, Romblon and Sorsogon</w:t>
            </w:r>
          </w:p>
          <w:p w14:paraId="69470247" w14:textId="77777777" w:rsidR="006B3B89" w:rsidRPr="009E35ED" w:rsidRDefault="006B3B89" w:rsidP="00A33D18">
            <w:pPr>
              <w:suppressAutoHyphens/>
              <w:snapToGrid w:val="0"/>
              <w:ind w:left="0" w:right="-97"/>
              <w:rPr>
                <w:rFonts w:ascii="Arial" w:hAnsi="Arial" w:cs="Arial"/>
                <w:bCs/>
                <w:color w:val="000000" w:themeColor="text1"/>
                <w:sz w:val="20"/>
                <w:szCs w:val="20"/>
                <w:lang w:eastAsia="ar-SA"/>
              </w:rPr>
            </w:pPr>
          </w:p>
          <w:p w14:paraId="7D34094D" w14:textId="77777777" w:rsidR="0085009E" w:rsidRPr="009E35ED" w:rsidRDefault="0085009E" w:rsidP="00A33D18">
            <w:pPr>
              <w:suppressAutoHyphens/>
              <w:snapToGrid w:val="0"/>
              <w:ind w:left="0" w:right="-97"/>
              <w:rPr>
                <w:rFonts w:ascii="Arial" w:hAnsi="Arial" w:cs="Arial"/>
                <w:bCs/>
                <w:color w:val="000000" w:themeColor="text1"/>
                <w:sz w:val="20"/>
                <w:szCs w:val="20"/>
                <w:lang w:eastAsia="ar-SA"/>
              </w:rPr>
            </w:pPr>
          </w:p>
        </w:tc>
      </w:tr>
      <w:tr w:rsidR="00997F75" w:rsidRPr="009E35ED" w14:paraId="71BAC7F4" w14:textId="77777777" w:rsidTr="00D043CC">
        <w:trPr>
          <w:trHeight w:val="706"/>
        </w:trPr>
        <w:tc>
          <w:tcPr>
            <w:tcW w:w="1980" w:type="dxa"/>
            <w:tcBorders>
              <w:top w:val="single" w:sz="4" w:space="0" w:color="auto"/>
              <w:bottom w:val="single" w:sz="4" w:space="0" w:color="auto"/>
            </w:tcBorders>
            <w:hideMark/>
          </w:tcPr>
          <w:p w14:paraId="0C2EF219" w14:textId="208FDD76" w:rsidR="0085009E" w:rsidRPr="009E35ED" w:rsidRDefault="0085009E" w:rsidP="00803F8C">
            <w:pPr>
              <w:suppressAutoHyphens/>
              <w:snapToGrid w:val="0"/>
              <w:ind w:left="0"/>
              <w:rPr>
                <w:rFonts w:ascii="Arial" w:hAnsi="Arial" w:cs="Arial"/>
                <w:bCs/>
                <w:color w:val="000000" w:themeColor="text1"/>
                <w:sz w:val="20"/>
                <w:szCs w:val="20"/>
                <w:lang w:eastAsia="ar-SA"/>
              </w:rPr>
            </w:pPr>
            <w:r w:rsidRPr="009E35ED">
              <w:rPr>
                <w:rFonts w:ascii="Arial" w:hAnsi="Arial" w:cs="Arial"/>
                <w:bCs/>
                <w:color w:val="000000" w:themeColor="text1"/>
                <w:sz w:val="20"/>
                <w:szCs w:val="20"/>
                <w:lang w:eastAsia="ar-SA"/>
              </w:rPr>
              <w:t>Visayas</w:t>
            </w:r>
          </w:p>
        </w:tc>
        <w:tc>
          <w:tcPr>
            <w:tcW w:w="6626" w:type="dxa"/>
            <w:tcBorders>
              <w:top w:val="single" w:sz="4" w:space="0" w:color="auto"/>
              <w:bottom w:val="single" w:sz="4" w:space="0" w:color="auto"/>
            </w:tcBorders>
            <w:hideMark/>
          </w:tcPr>
          <w:p w14:paraId="75718042" w14:textId="77777777" w:rsidR="006B3B89" w:rsidRPr="009E35ED" w:rsidRDefault="0085009E" w:rsidP="006B3B89">
            <w:pPr>
              <w:suppressAutoHyphens/>
              <w:snapToGrid w:val="0"/>
              <w:ind w:left="0" w:right="-97"/>
              <w:rPr>
                <w:rFonts w:ascii="Arial" w:hAnsi="Arial" w:cs="Arial"/>
                <w:bCs/>
                <w:color w:val="000000" w:themeColor="text1"/>
                <w:sz w:val="20"/>
                <w:szCs w:val="20"/>
                <w:lang w:val="it-IT" w:eastAsia="ar-SA"/>
              </w:rPr>
            </w:pPr>
            <w:r w:rsidRPr="009E35ED">
              <w:rPr>
                <w:rFonts w:ascii="Arial" w:hAnsi="Arial" w:cs="Arial"/>
                <w:bCs/>
                <w:color w:val="000000" w:themeColor="text1"/>
                <w:sz w:val="20"/>
                <w:szCs w:val="20"/>
                <w:lang w:val="it-IT" w:eastAsia="ar-SA"/>
              </w:rPr>
              <w:t xml:space="preserve">Aklan, Antique, Bohol, Capiz, Cebu, </w:t>
            </w:r>
            <w:r w:rsidR="00493C71" w:rsidRPr="009E35ED">
              <w:rPr>
                <w:rFonts w:ascii="Arial" w:hAnsi="Arial" w:cs="Arial"/>
                <w:bCs/>
                <w:color w:val="000000" w:themeColor="text1"/>
                <w:sz w:val="20"/>
                <w:szCs w:val="20"/>
                <w:lang w:val="it-IT" w:eastAsia="ar-SA"/>
              </w:rPr>
              <w:t xml:space="preserve">Guimaras, </w:t>
            </w:r>
            <w:r w:rsidRPr="009E35ED">
              <w:rPr>
                <w:rFonts w:ascii="Arial" w:hAnsi="Arial" w:cs="Arial"/>
                <w:bCs/>
                <w:color w:val="000000" w:themeColor="text1"/>
                <w:sz w:val="20"/>
                <w:szCs w:val="20"/>
                <w:lang w:val="it-IT" w:eastAsia="ar-SA"/>
              </w:rPr>
              <w:t>Iloilo, Leyte, Negros Occidental, Negros Oriental, Northern Samar, Southern Leyte, Western Samar, Biliran, Eastern Samar</w:t>
            </w:r>
            <w:r w:rsidR="008721BE" w:rsidRPr="009E35ED">
              <w:rPr>
                <w:rFonts w:ascii="Arial" w:hAnsi="Arial" w:cs="Arial"/>
                <w:bCs/>
                <w:color w:val="000000" w:themeColor="text1"/>
                <w:sz w:val="20"/>
                <w:szCs w:val="20"/>
                <w:lang w:val="it-IT" w:eastAsia="ar-SA"/>
              </w:rPr>
              <w:t xml:space="preserve"> and</w:t>
            </w:r>
            <w:r w:rsidR="007375D8" w:rsidRPr="009E35ED">
              <w:rPr>
                <w:rFonts w:ascii="Arial" w:hAnsi="Arial" w:cs="Arial"/>
                <w:bCs/>
                <w:color w:val="000000" w:themeColor="text1"/>
                <w:sz w:val="20"/>
                <w:szCs w:val="20"/>
                <w:lang w:val="it-IT" w:eastAsia="ar-SA"/>
              </w:rPr>
              <w:t xml:space="preserve"> Siquijor</w:t>
            </w:r>
          </w:p>
          <w:p w14:paraId="2E497C84" w14:textId="77777777" w:rsidR="00270FCE" w:rsidRPr="009E35ED" w:rsidRDefault="00270FCE" w:rsidP="006B3B89">
            <w:pPr>
              <w:suppressAutoHyphens/>
              <w:snapToGrid w:val="0"/>
              <w:ind w:left="0" w:right="-97"/>
              <w:rPr>
                <w:rFonts w:ascii="Arial" w:hAnsi="Arial" w:cs="Arial"/>
                <w:bCs/>
                <w:color w:val="000000" w:themeColor="text1"/>
                <w:sz w:val="20"/>
                <w:szCs w:val="20"/>
                <w:lang w:val="it-IT" w:eastAsia="ar-SA"/>
              </w:rPr>
            </w:pPr>
          </w:p>
          <w:p w14:paraId="32729B41" w14:textId="44A5DA04" w:rsidR="006B3B89" w:rsidRPr="009E35ED" w:rsidRDefault="006B3B89" w:rsidP="006B3B89">
            <w:pPr>
              <w:suppressAutoHyphens/>
              <w:snapToGrid w:val="0"/>
              <w:ind w:left="0" w:right="-97"/>
              <w:rPr>
                <w:rFonts w:ascii="Arial" w:hAnsi="Arial" w:cs="Arial"/>
                <w:color w:val="000000" w:themeColor="text1"/>
                <w:sz w:val="20"/>
                <w:szCs w:val="20"/>
                <w:lang w:val="it-IT" w:eastAsia="ar-SA"/>
              </w:rPr>
            </w:pPr>
          </w:p>
        </w:tc>
      </w:tr>
      <w:tr w:rsidR="006B3B89" w:rsidRPr="009E35ED" w14:paraId="3D7EF94A" w14:textId="77777777" w:rsidTr="00D043CC">
        <w:trPr>
          <w:trHeight w:val="1202"/>
        </w:trPr>
        <w:tc>
          <w:tcPr>
            <w:tcW w:w="1980" w:type="dxa"/>
            <w:tcBorders>
              <w:top w:val="single" w:sz="4" w:space="0" w:color="auto"/>
              <w:bottom w:val="single" w:sz="4" w:space="0" w:color="auto"/>
            </w:tcBorders>
          </w:tcPr>
          <w:p w14:paraId="4FC21446" w14:textId="655D3D01" w:rsidR="006B3B89" w:rsidRPr="009E35ED" w:rsidRDefault="006B3B89" w:rsidP="00803F8C">
            <w:pPr>
              <w:suppressAutoHyphens/>
              <w:snapToGrid w:val="0"/>
              <w:ind w:left="0"/>
              <w:rPr>
                <w:rFonts w:ascii="Arial" w:hAnsi="Arial" w:cs="Arial"/>
                <w:bCs/>
                <w:color w:val="000000" w:themeColor="text1"/>
                <w:sz w:val="20"/>
                <w:szCs w:val="20"/>
                <w:lang w:eastAsia="ar-SA"/>
              </w:rPr>
            </w:pPr>
            <w:r w:rsidRPr="009E35ED">
              <w:rPr>
                <w:rFonts w:ascii="Arial" w:hAnsi="Arial" w:cs="Arial"/>
                <w:bCs/>
                <w:color w:val="000000" w:themeColor="text1"/>
                <w:sz w:val="20"/>
                <w:szCs w:val="20"/>
                <w:lang w:eastAsia="ar-SA"/>
              </w:rPr>
              <w:t>Mindanao</w:t>
            </w:r>
          </w:p>
        </w:tc>
        <w:tc>
          <w:tcPr>
            <w:tcW w:w="6626" w:type="dxa"/>
            <w:tcBorders>
              <w:top w:val="single" w:sz="4" w:space="0" w:color="auto"/>
              <w:bottom w:val="single" w:sz="4" w:space="0" w:color="auto"/>
            </w:tcBorders>
          </w:tcPr>
          <w:p w14:paraId="2BBB9CE8" w14:textId="7D70B69F" w:rsidR="006B3B89" w:rsidRPr="009E35ED" w:rsidRDefault="006B3B89" w:rsidP="00A33D18">
            <w:pPr>
              <w:suppressAutoHyphens/>
              <w:snapToGrid w:val="0"/>
              <w:ind w:left="0" w:right="-97"/>
              <w:rPr>
                <w:rFonts w:ascii="Arial" w:hAnsi="Arial" w:cs="Arial"/>
                <w:bCs/>
                <w:color w:val="000000" w:themeColor="text1"/>
                <w:sz w:val="20"/>
                <w:szCs w:val="20"/>
                <w:lang w:val="it-IT" w:eastAsia="ar-SA"/>
              </w:rPr>
            </w:pPr>
            <w:r w:rsidRPr="009E35ED">
              <w:rPr>
                <w:rFonts w:ascii="Arial" w:hAnsi="Arial" w:cs="Arial"/>
                <w:bCs/>
                <w:color w:val="000000" w:themeColor="text1"/>
                <w:sz w:val="20"/>
                <w:szCs w:val="20"/>
                <w:lang w:val="it-IT" w:eastAsia="ar-SA"/>
              </w:rPr>
              <w:t>Agusan del Norte, Agusan del Sur, Bukidnon, Davao del Norte, Davao del Sur, Davao Oriental, Lanao De</w:t>
            </w:r>
            <w:r w:rsidR="001E3464" w:rsidRPr="009E35ED">
              <w:rPr>
                <w:rFonts w:ascii="Arial" w:hAnsi="Arial" w:cs="Arial"/>
                <w:bCs/>
                <w:color w:val="000000" w:themeColor="text1"/>
                <w:sz w:val="20"/>
                <w:szCs w:val="20"/>
                <w:lang w:val="it-IT" w:eastAsia="ar-SA"/>
              </w:rPr>
              <w:t>l Norte</w:t>
            </w:r>
            <w:r w:rsidRPr="009E35ED">
              <w:rPr>
                <w:rFonts w:ascii="Arial" w:hAnsi="Arial" w:cs="Arial"/>
                <w:bCs/>
                <w:color w:val="000000" w:themeColor="text1"/>
                <w:sz w:val="20"/>
                <w:szCs w:val="20"/>
                <w:lang w:val="it-IT" w:eastAsia="ar-SA"/>
              </w:rPr>
              <w:t>, Misamis Occidental, Misamis Oriental, North Cotabato, South Cotabato, Sultan Kudarat, Surigao del Norte, Surigao del Sur, Zamboanga del Norte, Zamboanga del Sur, Zamboanga Sibugay, Dinagat Islands and Davao de Oro</w:t>
            </w:r>
          </w:p>
          <w:p w14:paraId="63909A5E" w14:textId="765487A9" w:rsidR="006B3B89" w:rsidRPr="009E35ED" w:rsidRDefault="006B3B89" w:rsidP="00A33D18">
            <w:pPr>
              <w:suppressAutoHyphens/>
              <w:snapToGrid w:val="0"/>
              <w:ind w:left="0" w:right="-97"/>
              <w:rPr>
                <w:rFonts w:ascii="Arial" w:hAnsi="Arial" w:cs="Arial"/>
                <w:bCs/>
                <w:color w:val="000000" w:themeColor="text1"/>
                <w:sz w:val="20"/>
                <w:szCs w:val="20"/>
                <w:lang w:val="it-IT" w:eastAsia="ar-SA"/>
              </w:rPr>
            </w:pPr>
          </w:p>
        </w:tc>
      </w:tr>
    </w:tbl>
    <w:p w14:paraId="2595D673" w14:textId="77777777" w:rsidR="0085009E" w:rsidRPr="009E35ED" w:rsidRDefault="0085009E" w:rsidP="00803F8C">
      <w:pPr>
        <w:ind w:left="0"/>
        <w:rPr>
          <w:rFonts w:ascii="Arial" w:hAnsi="Arial" w:cs="Arial"/>
          <w:color w:val="000000" w:themeColor="text1"/>
          <w:sz w:val="22"/>
          <w:szCs w:val="22"/>
        </w:rPr>
      </w:pPr>
    </w:p>
    <w:p w14:paraId="1E5EB2F1" w14:textId="3331C310" w:rsidR="00256B14" w:rsidRPr="009E35ED" w:rsidRDefault="0085009E" w:rsidP="00803F8C">
      <w:pPr>
        <w:ind w:left="0"/>
        <w:rPr>
          <w:rFonts w:ascii="Arial" w:hAnsi="Arial" w:cs="Arial"/>
          <w:color w:val="000000" w:themeColor="text1"/>
          <w:sz w:val="22"/>
          <w:szCs w:val="22"/>
        </w:rPr>
      </w:pPr>
      <w:r w:rsidRPr="009E35ED">
        <w:rPr>
          <w:rFonts w:ascii="Arial" w:hAnsi="Arial" w:cs="Arial"/>
          <w:color w:val="000000" w:themeColor="text1"/>
          <w:sz w:val="22"/>
          <w:szCs w:val="22"/>
        </w:rPr>
        <w:t xml:space="preserve">The financial statements </w:t>
      </w:r>
      <w:r w:rsidR="00256B14">
        <w:rPr>
          <w:rFonts w:ascii="Arial" w:hAnsi="Arial" w:cs="Arial"/>
          <w:color w:val="000000" w:themeColor="text1"/>
          <w:sz w:val="22"/>
          <w:szCs w:val="22"/>
        </w:rPr>
        <w:t xml:space="preserve">of the </w:t>
      </w:r>
      <w:r w:rsidRPr="009E35ED">
        <w:rPr>
          <w:rFonts w:ascii="Arial" w:hAnsi="Arial" w:cs="Arial"/>
          <w:color w:val="000000" w:themeColor="text1"/>
          <w:sz w:val="22"/>
          <w:szCs w:val="22"/>
        </w:rPr>
        <w:t>PCSO for the year ended December 31, 20</w:t>
      </w:r>
      <w:r w:rsidR="00BB1B09" w:rsidRPr="009E35ED">
        <w:rPr>
          <w:rFonts w:ascii="Arial" w:hAnsi="Arial" w:cs="Arial"/>
          <w:color w:val="000000" w:themeColor="text1"/>
          <w:sz w:val="22"/>
          <w:szCs w:val="22"/>
        </w:rPr>
        <w:t>2</w:t>
      </w:r>
      <w:r w:rsidR="00D64A00" w:rsidRPr="009E35ED">
        <w:rPr>
          <w:rFonts w:ascii="Arial" w:hAnsi="Arial" w:cs="Arial"/>
          <w:color w:val="000000" w:themeColor="text1"/>
          <w:sz w:val="22"/>
          <w:szCs w:val="22"/>
        </w:rPr>
        <w:t>3</w:t>
      </w:r>
      <w:r w:rsidRPr="009E35ED">
        <w:rPr>
          <w:rFonts w:ascii="Arial" w:hAnsi="Arial" w:cs="Arial"/>
          <w:color w:val="000000" w:themeColor="text1"/>
          <w:sz w:val="22"/>
          <w:szCs w:val="22"/>
        </w:rPr>
        <w:t xml:space="preserve"> were approved and authorized for issue by the Board of Directors on </w:t>
      </w:r>
      <w:r w:rsidR="00875CED" w:rsidRPr="009E35ED">
        <w:rPr>
          <w:rFonts w:ascii="Arial" w:hAnsi="Arial" w:cs="Arial"/>
          <w:color w:val="000000" w:themeColor="text1"/>
          <w:sz w:val="22"/>
          <w:szCs w:val="22"/>
        </w:rPr>
        <w:t>February 14, 202</w:t>
      </w:r>
      <w:r w:rsidR="00556C49" w:rsidRPr="009E35ED">
        <w:rPr>
          <w:rFonts w:ascii="Arial" w:hAnsi="Arial" w:cs="Arial"/>
          <w:color w:val="000000" w:themeColor="text1"/>
          <w:sz w:val="22"/>
          <w:szCs w:val="22"/>
        </w:rPr>
        <w:t>4</w:t>
      </w:r>
      <w:r w:rsidR="00875CED" w:rsidRPr="009E35ED">
        <w:rPr>
          <w:rFonts w:ascii="Arial" w:hAnsi="Arial" w:cs="Arial"/>
          <w:color w:val="000000" w:themeColor="text1"/>
          <w:sz w:val="22"/>
          <w:szCs w:val="22"/>
        </w:rPr>
        <w:t>.</w:t>
      </w:r>
    </w:p>
    <w:p w14:paraId="0270D999" w14:textId="77777777" w:rsidR="00737AD0" w:rsidRPr="009E35ED" w:rsidRDefault="00F83499" w:rsidP="00D043CC">
      <w:pPr>
        <w:pStyle w:val="ListParagraph"/>
        <w:numPr>
          <w:ilvl w:val="0"/>
          <w:numId w:val="2"/>
        </w:numPr>
        <w:ind w:left="720" w:hanging="720"/>
        <w:rPr>
          <w:rFonts w:ascii="Arial" w:hAnsi="Arial" w:cs="Arial"/>
          <w:b/>
          <w:color w:val="000000" w:themeColor="text1"/>
          <w:sz w:val="22"/>
          <w:szCs w:val="22"/>
        </w:rPr>
      </w:pPr>
      <w:r w:rsidRPr="009E35ED">
        <w:rPr>
          <w:rFonts w:ascii="Arial" w:hAnsi="Arial" w:cs="Arial"/>
          <w:b/>
          <w:color w:val="000000" w:themeColor="text1"/>
          <w:sz w:val="22"/>
          <w:szCs w:val="22"/>
        </w:rPr>
        <w:t>FINANCIAL REPORTING FRAMEWORK AND BASIS OF PREPARATION AND PRESENTATION</w:t>
      </w:r>
    </w:p>
    <w:p w14:paraId="3E587EC0" w14:textId="77777777" w:rsidR="002F0A71" w:rsidRPr="009E35ED" w:rsidRDefault="002F0A71" w:rsidP="00803F8C">
      <w:pPr>
        <w:pStyle w:val="ListParagraph"/>
        <w:ind w:left="360"/>
        <w:rPr>
          <w:rFonts w:ascii="Arial" w:hAnsi="Arial" w:cs="Arial"/>
          <w:color w:val="000000" w:themeColor="text1"/>
          <w:sz w:val="22"/>
          <w:szCs w:val="22"/>
        </w:rPr>
      </w:pPr>
    </w:p>
    <w:p w14:paraId="6403601F" w14:textId="023BE6A2" w:rsidR="002F0A71" w:rsidRPr="009E35ED" w:rsidRDefault="002F0A71" w:rsidP="00803F8C">
      <w:pPr>
        <w:pStyle w:val="ListParagraph"/>
        <w:numPr>
          <w:ilvl w:val="0"/>
          <w:numId w:val="3"/>
        </w:numPr>
        <w:ind w:hanging="720"/>
        <w:rPr>
          <w:rFonts w:ascii="Arial" w:hAnsi="Arial" w:cs="Arial"/>
          <w:b/>
          <w:bCs/>
          <w:color w:val="000000" w:themeColor="text1"/>
          <w:sz w:val="22"/>
          <w:szCs w:val="22"/>
        </w:rPr>
      </w:pPr>
      <w:r w:rsidRPr="009E35ED">
        <w:rPr>
          <w:rFonts w:ascii="Arial" w:hAnsi="Arial" w:cs="Arial"/>
          <w:b/>
          <w:bCs/>
          <w:color w:val="000000" w:themeColor="text1"/>
          <w:sz w:val="22"/>
          <w:szCs w:val="22"/>
        </w:rPr>
        <w:t>Statement of Compliance</w:t>
      </w:r>
      <w:r w:rsidR="006E34FF" w:rsidRPr="009E35ED">
        <w:rPr>
          <w:rFonts w:ascii="Arial" w:hAnsi="Arial" w:cs="Arial"/>
          <w:b/>
          <w:bCs/>
          <w:color w:val="000000" w:themeColor="text1"/>
          <w:sz w:val="22"/>
          <w:szCs w:val="22"/>
        </w:rPr>
        <w:t xml:space="preserve"> with Philippine Financial Reporting Standards (PFRS</w:t>
      </w:r>
      <w:r w:rsidR="00D043CC">
        <w:rPr>
          <w:rFonts w:ascii="Arial" w:hAnsi="Arial" w:cs="Arial"/>
          <w:b/>
          <w:bCs/>
          <w:color w:val="000000" w:themeColor="text1"/>
          <w:sz w:val="22"/>
          <w:szCs w:val="22"/>
        </w:rPr>
        <w:t>s</w:t>
      </w:r>
      <w:r w:rsidR="006E34FF" w:rsidRPr="009E35ED">
        <w:rPr>
          <w:rFonts w:ascii="Arial" w:hAnsi="Arial" w:cs="Arial"/>
          <w:b/>
          <w:bCs/>
          <w:color w:val="000000" w:themeColor="text1"/>
          <w:sz w:val="22"/>
          <w:szCs w:val="22"/>
        </w:rPr>
        <w:t>)</w:t>
      </w:r>
    </w:p>
    <w:p w14:paraId="708B63F8" w14:textId="77777777" w:rsidR="002F0A71" w:rsidRPr="009E35ED" w:rsidRDefault="002F0A71" w:rsidP="00803F8C">
      <w:pPr>
        <w:rPr>
          <w:rFonts w:ascii="Arial" w:hAnsi="Arial" w:cs="Arial"/>
          <w:b/>
          <w:color w:val="000000" w:themeColor="text1"/>
          <w:sz w:val="22"/>
          <w:szCs w:val="22"/>
        </w:rPr>
      </w:pPr>
    </w:p>
    <w:p w14:paraId="2E8711B6" w14:textId="3445BBB6" w:rsidR="002F0A71" w:rsidRPr="009E35ED" w:rsidRDefault="0095425A" w:rsidP="00803F8C">
      <w:pPr>
        <w:ind w:left="0"/>
        <w:rPr>
          <w:rFonts w:ascii="Arial" w:hAnsi="Arial" w:cs="Arial"/>
          <w:color w:val="000000" w:themeColor="text1"/>
          <w:sz w:val="22"/>
          <w:szCs w:val="22"/>
        </w:rPr>
      </w:pPr>
      <w:r w:rsidRPr="009E35ED">
        <w:rPr>
          <w:rFonts w:ascii="Arial" w:hAnsi="Arial" w:cs="Arial"/>
          <w:color w:val="000000" w:themeColor="text1"/>
          <w:sz w:val="22"/>
          <w:szCs w:val="22"/>
        </w:rPr>
        <w:t xml:space="preserve">The financial statements of the PCSO have been prepared in accordance with PFRS, which includes all applicable PFRS, Philippine Accounting Standards (PAS), and interpretations issued by the Philippine Interpretations Committee (PIC) and Standing Interpretations Committee (SIC) as approved by the Financial Reporting Standards Council (FRSC) and Board </w:t>
      </w:r>
      <w:r w:rsidR="00F272CB" w:rsidRPr="009E35ED">
        <w:rPr>
          <w:rFonts w:ascii="Arial" w:hAnsi="Arial" w:cs="Arial"/>
          <w:color w:val="000000" w:themeColor="text1"/>
          <w:sz w:val="22"/>
          <w:szCs w:val="22"/>
        </w:rPr>
        <w:t>o</w:t>
      </w:r>
      <w:r w:rsidRPr="009E35ED">
        <w:rPr>
          <w:rFonts w:ascii="Arial" w:hAnsi="Arial" w:cs="Arial"/>
          <w:color w:val="000000" w:themeColor="text1"/>
          <w:sz w:val="22"/>
          <w:szCs w:val="22"/>
        </w:rPr>
        <w:t xml:space="preserve">f Accountancy (BOA) and adopted by the </w:t>
      </w:r>
      <w:r w:rsidR="00F97825" w:rsidRPr="009E35ED">
        <w:rPr>
          <w:rFonts w:ascii="Arial" w:hAnsi="Arial" w:cs="Arial"/>
          <w:color w:val="000000" w:themeColor="text1"/>
          <w:sz w:val="22"/>
          <w:szCs w:val="22"/>
        </w:rPr>
        <w:t>Security and Exchange Commission (</w:t>
      </w:r>
      <w:r w:rsidRPr="009E35ED">
        <w:rPr>
          <w:rFonts w:ascii="Arial" w:hAnsi="Arial" w:cs="Arial"/>
          <w:color w:val="000000" w:themeColor="text1"/>
          <w:sz w:val="22"/>
          <w:szCs w:val="22"/>
        </w:rPr>
        <w:t>SEC</w:t>
      </w:r>
      <w:r w:rsidR="00F97825" w:rsidRPr="009E35ED">
        <w:rPr>
          <w:rFonts w:ascii="Arial" w:hAnsi="Arial" w:cs="Arial"/>
          <w:color w:val="000000" w:themeColor="text1"/>
          <w:sz w:val="22"/>
          <w:szCs w:val="22"/>
        </w:rPr>
        <w:t>)</w:t>
      </w:r>
      <w:r w:rsidRPr="009E35ED">
        <w:rPr>
          <w:rFonts w:ascii="Arial" w:hAnsi="Arial" w:cs="Arial"/>
          <w:color w:val="000000" w:themeColor="text1"/>
          <w:sz w:val="22"/>
          <w:szCs w:val="22"/>
        </w:rPr>
        <w:t>.</w:t>
      </w:r>
    </w:p>
    <w:p w14:paraId="0EBF4D42" w14:textId="77777777" w:rsidR="002F0A71" w:rsidRPr="009E35ED" w:rsidRDefault="002F0A71" w:rsidP="00803F8C">
      <w:pPr>
        <w:ind w:left="0"/>
        <w:rPr>
          <w:rFonts w:ascii="Arial" w:hAnsi="Arial" w:cs="Arial"/>
          <w:color w:val="000000" w:themeColor="text1"/>
          <w:sz w:val="22"/>
          <w:szCs w:val="22"/>
        </w:rPr>
      </w:pPr>
    </w:p>
    <w:p w14:paraId="5C03A428" w14:textId="77777777" w:rsidR="008B7461" w:rsidRPr="009E35ED" w:rsidRDefault="008B7461" w:rsidP="00EF403E">
      <w:pPr>
        <w:pStyle w:val="ListParagraph"/>
        <w:numPr>
          <w:ilvl w:val="0"/>
          <w:numId w:val="3"/>
        </w:numPr>
        <w:ind w:hanging="720"/>
        <w:rPr>
          <w:rFonts w:ascii="Arial" w:hAnsi="Arial" w:cs="Arial"/>
          <w:b/>
          <w:bCs/>
          <w:color w:val="000000" w:themeColor="text1"/>
          <w:sz w:val="22"/>
          <w:szCs w:val="22"/>
        </w:rPr>
      </w:pPr>
      <w:r w:rsidRPr="009E35ED">
        <w:rPr>
          <w:rFonts w:ascii="Arial" w:hAnsi="Arial" w:cs="Arial"/>
          <w:b/>
          <w:bCs/>
          <w:color w:val="000000" w:themeColor="text1"/>
          <w:sz w:val="22"/>
          <w:szCs w:val="22"/>
        </w:rPr>
        <w:t>Basis of Preparation</w:t>
      </w:r>
    </w:p>
    <w:p w14:paraId="12BD81CE" w14:textId="77777777" w:rsidR="008B7461" w:rsidRPr="009E35ED" w:rsidRDefault="008B7461" w:rsidP="00803F8C">
      <w:pPr>
        <w:ind w:left="0"/>
        <w:rPr>
          <w:rFonts w:ascii="Arial" w:hAnsi="Arial" w:cs="Arial"/>
          <w:color w:val="000000" w:themeColor="text1"/>
          <w:sz w:val="22"/>
          <w:szCs w:val="22"/>
        </w:rPr>
      </w:pPr>
    </w:p>
    <w:p w14:paraId="0B296533" w14:textId="77777777" w:rsidR="0095425A" w:rsidRPr="009E35ED" w:rsidRDefault="0095425A" w:rsidP="00803F8C">
      <w:pPr>
        <w:ind w:left="0"/>
        <w:rPr>
          <w:rFonts w:ascii="Arial" w:hAnsi="Arial" w:cs="Arial"/>
          <w:color w:val="000000" w:themeColor="text1"/>
          <w:sz w:val="22"/>
          <w:szCs w:val="22"/>
        </w:rPr>
      </w:pPr>
      <w:r w:rsidRPr="009E35ED">
        <w:rPr>
          <w:rFonts w:ascii="Arial" w:hAnsi="Arial" w:cs="Arial"/>
          <w:color w:val="000000" w:themeColor="text1"/>
          <w:sz w:val="22"/>
          <w:szCs w:val="22"/>
        </w:rPr>
        <w:t>The financial statements of the PCSO have been prepared on the historical cost basis unless otherwise indicated.</w:t>
      </w:r>
    </w:p>
    <w:p w14:paraId="4E1C1331" w14:textId="77777777" w:rsidR="0095425A" w:rsidRPr="009E35ED" w:rsidRDefault="0095425A" w:rsidP="00803F8C">
      <w:pPr>
        <w:ind w:left="0"/>
        <w:rPr>
          <w:rFonts w:ascii="Arial" w:hAnsi="Arial" w:cs="Arial"/>
          <w:color w:val="000000" w:themeColor="text1"/>
          <w:sz w:val="22"/>
          <w:szCs w:val="22"/>
        </w:rPr>
      </w:pPr>
    </w:p>
    <w:p w14:paraId="26192B73" w14:textId="77777777" w:rsidR="0095425A" w:rsidRPr="009E35ED" w:rsidRDefault="0095425A" w:rsidP="00803F8C">
      <w:pPr>
        <w:pStyle w:val="ListParagraph"/>
        <w:ind w:left="0"/>
        <w:rPr>
          <w:rFonts w:ascii="Arial" w:hAnsi="Arial" w:cs="Arial"/>
          <w:color w:val="000000" w:themeColor="text1"/>
          <w:sz w:val="22"/>
          <w:szCs w:val="22"/>
        </w:rPr>
      </w:pPr>
      <w:r w:rsidRPr="009E35ED">
        <w:rPr>
          <w:rFonts w:ascii="Arial" w:hAnsi="Arial" w:cs="Arial"/>
          <w:color w:val="000000" w:themeColor="text1"/>
          <w:sz w:val="22"/>
          <w:szCs w:val="22"/>
        </w:rPr>
        <w:t>Historical cost is generally based on the fair value of the consideration given in exchange for goods and services.</w:t>
      </w:r>
    </w:p>
    <w:p w14:paraId="2EA49CCA" w14:textId="77777777" w:rsidR="0095425A" w:rsidRPr="009E35ED" w:rsidRDefault="0095425A" w:rsidP="00803F8C">
      <w:pPr>
        <w:pStyle w:val="ListParagraph"/>
        <w:ind w:left="0"/>
        <w:rPr>
          <w:rFonts w:ascii="Arial" w:hAnsi="Arial" w:cs="Arial"/>
          <w:color w:val="000000" w:themeColor="text1"/>
          <w:sz w:val="22"/>
          <w:szCs w:val="22"/>
        </w:rPr>
      </w:pPr>
    </w:p>
    <w:p w14:paraId="7C1FCC31" w14:textId="1592912B" w:rsidR="0095425A" w:rsidRPr="009E35ED" w:rsidRDefault="0095425A" w:rsidP="00803F8C">
      <w:pPr>
        <w:pStyle w:val="ListParagraph"/>
        <w:ind w:left="0"/>
        <w:rPr>
          <w:rFonts w:ascii="Arial" w:hAnsi="Arial" w:cs="Arial"/>
          <w:color w:val="000000" w:themeColor="text1"/>
          <w:sz w:val="22"/>
          <w:szCs w:val="22"/>
        </w:rPr>
      </w:pPr>
      <w:r w:rsidRPr="009E35ED">
        <w:rPr>
          <w:rFonts w:ascii="Arial" w:hAnsi="Arial" w:cs="Arial"/>
          <w:color w:val="000000" w:themeColor="text1"/>
          <w:sz w:val="22"/>
          <w:szCs w:val="22"/>
        </w:rPr>
        <w:t xml:space="preserve">Fair value is the price that would be received to sell an asset or paid to transfer a liability in an orderly transaction between market participants at the measurement date, regardless of whether that price is directly observable or estimated using another valuation technique.  In estimating the fair value of an asset or a liability, the PCSO </w:t>
      </w:r>
      <w:r w:rsidR="00A65C2A" w:rsidRPr="009E35ED">
        <w:rPr>
          <w:rFonts w:ascii="Arial" w:hAnsi="Arial" w:cs="Arial"/>
          <w:color w:val="000000" w:themeColor="text1"/>
          <w:sz w:val="22"/>
          <w:szCs w:val="22"/>
        </w:rPr>
        <w:t>considers</w:t>
      </w:r>
      <w:r w:rsidRPr="009E35ED">
        <w:rPr>
          <w:rFonts w:ascii="Arial" w:hAnsi="Arial" w:cs="Arial"/>
          <w:color w:val="000000" w:themeColor="text1"/>
          <w:sz w:val="22"/>
          <w:szCs w:val="22"/>
        </w:rPr>
        <w:t xml:space="preserve"> the characteristics of the asset or liability if market participants would take those characteristics into account when pricing the asset or liability at the measurement date. </w:t>
      </w:r>
    </w:p>
    <w:p w14:paraId="6AE979B2" w14:textId="77777777" w:rsidR="0095425A" w:rsidRPr="009E35ED" w:rsidRDefault="0095425A" w:rsidP="00803F8C">
      <w:pPr>
        <w:pStyle w:val="ListParagraph"/>
        <w:ind w:left="0"/>
        <w:rPr>
          <w:rFonts w:ascii="Arial" w:hAnsi="Arial" w:cs="Arial"/>
          <w:color w:val="000000" w:themeColor="text1"/>
          <w:sz w:val="22"/>
          <w:szCs w:val="22"/>
        </w:rPr>
      </w:pPr>
    </w:p>
    <w:p w14:paraId="19EE9249" w14:textId="77777777" w:rsidR="0095425A" w:rsidRPr="009E35ED" w:rsidRDefault="0095425A" w:rsidP="00803F8C">
      <w:pPr>
        <w:pStyle w:val="ListParagraph"/>
        <w:ind w:left="0"/>
        <w:rPr>
          <w:rFonts w:ascii="Arial" w:hAnsi="Arial" w:cs="Arial"/>
          <w:color w:val="000000" w:themeColor="text1"/>
          <w:sz w:val="22"/>
          <w:szCs w:val="22"/>
        </w:rPr>
      </w:pPr>
      <w:r w:rsidRPr="009E35ED">
        <w:rPr>
          <w:rFonts w:ascii="Arial" w:hAnsi="Arial" w:cs="Arial"/>
          <w:color w:val="000000" w:themeColor="text1"/>
          <w:sz w:val="22"/>
          <w:szCs w:val="22"/>
        </w:rPr>
        <w:t>For financial reporting purposes, fair value measurements are categorized into Level 1, 2 or 3 based on the degree to which the inputs to the fair value measurements are observable and the significance of the inputs to the fair value measurement in its entirety; which are described as follows:</w:t>
      </w:r>
    </w:p>
    <w:p w14:paraId="706EAE4B" w14:textId="77777777" w:rsidR="0095425A" w:rsidRPr="009E35ED" w:rsidRDefault="0095425A" w:rsidP="00803F8C">
      <w:pPr>
        <w:pStyle w:val="ListParagraph"/>
        <w:ind w:left="90"/>
        <w:rPr>
          <w:rFonts w:ascii="Arial" w:hAnsi="Arial" w:cs="Arial"/>
          <w:color w:val="000000" w:themeColor="text1"/>
          <w:sz w:val="22"/>
          <w:szCs w:val="22"/>
        </w:rPr>
      </w:pPr>
    </w:p>
    <w:p w14:paraId="612160CA" w14:textId="77777777" w:rsidR="0095425A" w:rsidRPr="009E35ED" w:rsidRDefault="0095425A" w:rsidP="00EC1D85">
      <w:pPr>
        <w:pStyle w:val="ListParagraph"/>
        <w:numPr>
          <w:ilvl w:val="0"/>
          <w:numId w:val="16"/>
        </w:numPr>
        <w:ind w:left="851" w:hanging="540"/>
        <w:contextualSpacing/>
        <w:rPr>
          <w:rFonts w:ascii="Arial" w:hAnsi="Arial" w:cs="Arial"/>
          <w:color w:val="000000" w:themeColor="text1"/>
          <w:sz w:val="22"/>
          <w:szCs w:val="22"/>
        </w:rPr>
      </w:pPr>
      <w:r w:rsidRPr="009E35ED">
        <w:rPr>
          <w:rFonts w:ascii="Arial" w:hAnsi="Arial" w:cs="Arial"/>
          <w:color w:val="000000" w:themeColor="text1"/>
          <w:sz w:val="22"/>
          <w:szCs w:val="22"/>
        </w:rPr>
        <w:t>Level 1 inputs are quoted prices (unadjusted) in active markets for identical assets or liabilities that the entity can access at the measurement date;</w:t>
      </w:r>
    </w:p>
    <w:p w14:paraId="588B14CD" w14:textId="77777777" w:rsidR="0095425A" w:rsidRPr="009E35ED" w:rsidRDefault="0095425A" w:rsidP="00EC1D85">
      <w:pPr>
        <w:pStyle w:val="ListParagraph"/>
        <w:numPr>
          <w:ilvl w:val="0"/>
          <w:numId w:val="16"/>
        </w:numPr>
        <w:ind w:left="851" w:hanging="540"/>
        <w:contextualSpacing/>
        <w:rPr>
          <w:rFonts w:ascii="Arial" w:hAnsi="Arial" w:cs="Arial"/>
          <w:color w:val="000000" w:themeColor="text1"/>
          <w:sz w:val="22"/>
          <w:szCs w:val="22"/>
        </w:rPr>
      </w:pPr>
      <w:r w:rsidRPr="009E35ED">
        <w:rPr>
          <w:rFonts w:ascii="Arial" w:hAnsi="Arial" w:cs="Arial"/>
          <w:color w:val="000000" w:themeColor="text1"/>
          <w:sz w:val="22"/>
          <w:szCs w:val="22"/>
        </w:rPr>
        <w:t xml:space="preserve">Level 2 inputs are inputs, other than quoted prices included within Level1, that are observable for the asset or liability, either directly or indirectly; and </w:t>
      </w:r>
    </w:p>
    <w:p w14:paraId="6AA9DA21" w14:textId="20E41675" w:rsidR="0095425A" w:rsidRPr="009E35ED" w:rsidRDefault="0095425A" w:rsidP="00EC1D85">
      <w:pPr>
        <w:pStyle w:val="ListParagraph"/>
        <w:numPr>
          <w:ilvl w:val="0"/>
          <w:numId w:val="16"/>
        </w:numPr>
        <w:ind w:left="851" w:hanging="540"/>
        <w:contextualSpacing/>
        <w:rPr>
          <w:rFonts w:ascii="Arial" w:hAnsi="Arial" w:cs="Arial"/>
          <w:color w:val="000000" w:themeColor="text1"/>
          <w:sz w:val="22"/>
          <w:szCs w:val="22"/>
        </w:rPr>
      </w:pPr>
      <w:r w:rsidRPr="009E35ED">
        <w:rPr>
          <w:rFonts w:ascii="Arial" w:hAnsi="Arial" w:cs="Arial"/>
          <w:color w:val="000000" w:themeColor="text1"/>
          <w:sz w:val="22"/>
          <w:szCs w:val="22"/>
        </w:rPr>
        <w:t xml:space="preserve">Level 3 inputs are unobservable inputs </w:t>
      </w:r>
      <w:r w:rsidR="00F272CB" w:rsidRPr="009E35ED">
        <w:rPr>
          <w:rFonts w:ascii="Arial" w:hAnsi="Arial" w:cs="Arial"/>
          <w:color w:val="000000" w:themeColor="text1"/>
          <w:sz w:val="22"/>
          <w:szCs w:val="22"/>
        </w:rPr>
        <w:t xml:space="preserve">for </w:t>
      </w:r>
      <w:r w:rsidRPr="009E35ED">
        <w:rPr>
          <w:rFonts w:ascii="Arial" w:hAnsi="Arial" w:cs="Arial"/>
          <w:color w:val="000000" w:themeColor="text1"/>
          <w:sz w:val="22"/>
          <w:szCs w:val="22"/>
        </w:rPr>
        <w:t>the asset or liability.</w:t>
      </w:r>
    </w:p>
    <w:p w14:paraId="11222624" w14:textId="344E528B" w:rsidR="00185F81" w:rsidRPr="009E35ED" w:rsidRDefault="002F0A71" w:rsidP="00803F8C">
      <w:pPr>
        <w:ind w:left="0"/>
        <w:rPr>
          <w:rFonts w:ascii="Arial" w:hAnsi="Arial" w:cs="Arial"/>
          <w:color w:val="000000" w:themeColor="text1"/>
          <w:sz w:val="22"/>
          <w:szCs w:val="22"/>
        </w:rPr>
      </w:pPr>
      <w:r w:rsidRPr="009E35ED">
        <w:rPr>
          <w:rFonts w:ascii="Arial" w:hAnsi="Arial" w:cs="Arial"/>
          <w:color w:val="000000" w:themeColor="text1"/>
          <w:sz w:val="22"/>
          <w:szCs w:val="22"/>
        </w:rPr>
        <w:t xml:space="preserve"> </w:t>
      </w:r>
    </w:p>
    <w:p w14:paraId="661DFA1C" w14:textId="77777777" w:rsidR="002F0A71" w:rsidRPr="009E35ED" w:rsidRDefault="002F0A71" w:rsidP="00803F8C">
      <w:pPr>
        <w:pStyle w:val="ListParagraph"/>
        <w:numPr>
          <w:ilvl w:val="0"/>
          <w:numId w:val="3"/>
        </w:numPr>
        <w:ind w:hanging="720"/>
        <w:rPr>
          <w:rFonts w:ascii="Arial" w:hAnsi="Arial" w:cs="Arial"/>
          <w:b/>
          <w:bCs/>
          <w:color w:val="000000" w:themeColor="text1"/>
          <w:sz w:val="22"/>
          <w:szCs w:val="22"/>
        </w:rPr>
      </w:pPr>
      <w:r w:rsidRPr="009E35ED">
        <w:rPr>
          <w:rFonts w:ascii="Arial" w:hAnsi="Arial" w:cs="Arial"/>
          <w:b/>
          <w:bCs/>
          <w:color w:val="000000" w:themeColor="text1"/>
          <w:sz w:val="22"/>
          <w:szCs w:val="22"/>
        </w:rPr>
        <w:t>Functional and Presentation Currency</w:t>
      </w:r>
    </w:p>
    <w:p w14:paraId="2710E581" w14:textId="77777777" w:rsidR="002F0A71" w:rsidRPr="009E35ED" w:rsidRDefault="002F0A71" w:rsidP="00803F8C">
      <w:pPr>
        <w:ind w:firstLine="720"/>
        <w:rPr>
          <w:rFonts w:ascii="Arial" w:hAnsi="Arial" w:cs="Arial"/>
          <w:color w:val="000000" w:themeColor="text1"/>
          <w:sz w:val="22"/>
          <w:szCs w:val="22"/>
        </w:rPr>
      </w:pPr>
    </w:p>
    <w:p w14:paraId="4E415DD4" w14:textId="77777777" w:rsidR="002F0A71" w:rsidRPr="009E35ED" w:rsidRDefault="008B7461" w:rsidP="00803F8C">
      <w:pPr>
        <w:ind w:left="0"/>
        <w:rPr>
          <w:rFonts w:ascii="Arial" w:hAnsi="Arial" w:cs="Arial"/>
          <w:color w:val="000000" w:themeColor="text1"/>
          <w:sz w:val="22"/>
          <w:szCs w:val="22"/>
        </w:rPr>
      </w:pPr>
      <w:r w:rsidRPr="009E35ED">
        <w:rPr>
          <w:rFonts w:ascii="Arial" w:hAnsi="Arial" w:cs="Arial"/>
          <w:color w:val="000000" w:themeColor="text1"/>
          <w:sz w:val="22"/>
          <w:szCs w:val="22"/>
        </w:rPr>
        <w:t>These financial statements are presented in Philippine Peso, the currency of the primary economic environment in which the PCSO operates. All amounts are rounded to the nearest peso, except when otherwise indicated.</w:t>
      </w:r>
    </w:p>
    <w:p w14:paraId="27DA83E1" w14:textId="785CC0C0" w:rsidR="00EA47F9" w:rsidRPr="009E35ED" w:rsidRDefault="00EA47F9" w:rsidP="00803F8C">
      <w:pPr>
        <w:pStyle w:val="ListParagraph"/>
        <w:ind w:left="1620"/>
        <w:rPr>
          <w:rFonts w:ascii="Arial" w:hAnsi="Arial" w:cs="Arial"/>
          <w:color w:val="000000" w:themeColor="text1"/>
          <w:sz w:val="22"/>
          <w:szCs w:val="22"/>
        </w:rPr>
      </w:pPr>
    </w:p>
    <w:p w14:paraId="7889357E" w14:textId="6CD28A9C" w:rsidR="00437BDC" w:rsidRDefault="00437BDC" w:rsidP="00803F8C">
      <w:pPr>
        <w:pStyle w:val="ListParagraph"/>
        <w:ind w:left="1620"/>
        <w:rPr>
          <w:rFonts w:ascii="Arial" w:hAnsi="Arial" w:cs="Arial"/>
          <w:color w:val="000000" w:themeColor="text1"/>
          <w:sz w:val="22"/>
          <w:szCs w:val="22"/>
        </w:rPr>
      </w:pPr>
    </w:p>
    <w:p w14:paraId="4F0B8A46" w14:textId="77777777" w:rsidR="00D043CC" w:rsidRDefault="00D043CC" w:rsidP="00803F8C">
      <w:pPr>
        <w:pStyle w:val="ListParagraph"/>
        <w:ind w:left="1620"/>
        <w:rPr>
          <w:rFonts w:ascii="Arial" w:hAnsi="Arial" w:cs="Arial"/>
          <w:color w:val="000000" w:themeColor="text1"/>
          <w:sz w:val="22"/>
          <w:szCs w:val="22"/>
        </w:rPr>
      </w:pPr>
    </w:p>
    <w:p w14:paraId="08C48CD5" w14:textId="77777777" w:rsidR="00D043CC" w:rsidRDefault="00D043CC" w:rsidP="00803F8C">
      <w:pPr>
        <w:pStyle w:val="ListParagraph"/>
        <w:ind w:left="1620"/>
        <w:rPr>
          <w:rFonts w:ascii="Arial" w:hAnsi="Arial" w:cs="Arial"/>
          <w:color w:val="000000" w:themeColor="text1"/>
          <w:sz w:val="22"/>
          <w:szCs w:val="22"/>
        </w:rPr>
      </w:pPr>
    </w:p>
    <w:p w14:paraId="775B72FC" w14:textId="77777777" w:rsidR="00D043CC" w:rsidRPr="009E35ED" w:rsidRDefault="00D043CC" w:rsidP="00803F8C">
      <w:pPr>
        <w:pStyle w:val="ListParagraph"/>
        <w:ind w:left="1620"/>
        <w:rPr>
          <w:rFonts w:ascii="Arial" w:hAnsi="Arial" w:cs="Arial"/>
          <w:color w:val="000000" w:themeColor="text1"/>
          <w:sz w:val="22"/>
          <w:szCs w:val="22"/>
        </w:rPr>
      </w:pPr>
    </w:p>
    <w:p w14:paraId="281A3D01" w14:textId="77777777" w:rsidR="00625E68" w:rsidRPr="009E35ED" w:rsidRDefault="00625E68" w:rsidP="00803F8C">
      <w:pPr>
        <w:pStyle w:val="ListParagraph"/>
        <w:ind w:left="1620"/>
        <w:rPr>
          <w:rFonts w:ascii="Arial" w:hAnsi="Arial" w:cs="Arial"/>
          <w:color w:val="000000" w:themeColor="text1"/>
          <w:sz w:val="22"/>
          <w:szCs w:val="22"/>
        </w:rPr>
      </w:pPr>
    </w:p>
    <w:p w14:paraId="05020F98" w14:textId="77777777" w:rsidR="002F0A71" w:rsidRPr="009E35ED" w:rsidRDefault="00956822" w:rsidP="00074309">
      <w:pPr>
        <w:pStyle w:val="ListParagraph"/>
        <w:numPr>
          <w:ilvl w:val="0"/>
          <w:numId w:val="4"/>
        </w:numPr>
        <w:ind w:hanging="720"/>
        <w:jc w:val="left"/>
        <w:rPr>
          <w:rFonts w:ascii="Arial" w:hAnsi="Arial" w:cs="Arial"/>
          <w:b/>
          <w:color w:val="000000" w:themeColor="text1"/>
          <w:sz w:val="22"/>
          <w:szCs w:val="22"/>
        </w:rPr>
      </w:pPr>
      <w:r w:rsidRPr="009E35ED">
        <w:rPr>
          <w:rFonts w:ascii="Arial" w:hAnsi="Arial" w:cs="Arial"/>
          <w:b/>
          <w:color w:val="000000" w:themeColor="text1"/>
          <w:sz w:val="22"/>
          <w:szCs w:val="22"/>
        </w:rPr>
        <w:t>SUMMARY OF SIGNIFICANT ACCOUNTING POLICIES</w:t>
      </w:r>
    </w:p>
    <w:p w14:paraId="0F9E7099" w14:textId="50338BFF" w:rsidR="003B4D23" w:rsidRPr="009E35ED" w:rsidRDefault="003B4D23" w:rsidP="000C15EE">
      <w:pPr>
        <w:ind w:left="0"/>
        <w:rPr>
          <w:rFonts w:ascii="Arial" w:hAnsi="Arial" w:cs="Arial"/>
          <w:color w:val="000000" w:themeColor="text1"/>
          <w:sz w:val="22"/>
          <w:szCs w:val="22"/>
        </w:rPr>
      </w:pPr>
    </w:p>
    <w:p w14:paraId="4C524DFC" w14:textId="648E9565" w:rsidR="000C15EE" w:rsidRPr="009E35ED" w:rsidRDefault="000C15EE" w:rsidP="000C15EE">
      <w:pPr>
        <w:pStyle w:val="NoSpacing"/>
        <w:numPr>
          <w:ilvl w:val="0"/>
          <w:numId w:val="8"/>
        </w:numPr>
        <w:tabs>
          <w:tab w:val="left" w:pos="630"/>
        </w:tabs>
        <w:ind w:hanging="720"/>
        <w:rPr>
          <w:rFonts w:ascii="Arial" w:hAnsi="Arial" w:cs="Arial"/>
          <w:b/>
          <w:color w:val="000000" w:themeColor="text1"/>
        </w:rPr>
      </w:pPr>
      <w:r w:rsidRPr="009E35ED">
        <w:rPr>
          <w:rFonts w:ascii="Arial" w:hAnsi="Arial" w:cs="Arial"/>
          <w:b/>
          <w:color w:val="000000" w:themeColor="text1"/>
        </w:rPr>
        <w:t xml:space="preserve">  </w:t>
      </w:r>
      <w:r w:rsidR="00C6254F" w:rsidRPr="009E35ED">
        <w:rPr>
          <w:rFonts w:ascii="Arial" w:hAnsi="Arial" w:cs="Arial"/>
          <w:b/>
          <w:color w:val="000000" w:themeColor="text1"/>
        </w:rPr>
        <w:t>New Amendments and Interpretations to Existing Standards</w:t>
      </w:r>
    </w:p>
    <w:p w14:paraId="0A661E14" w14:textId="77777777" w:rsidR="00376071" w:rsidRPr="009E35ED" w:rsidRDefault="00376071" w:rsidP="004E1271">
      <w:pPr>
        <w:pStyle w:val="NoSpacing"/>
        <w:ind w:left="0"/>
        <w:rPr>
          <w:rFonts w:ascii="Arial" w:hAnsi="Arial" w:cs="Arial"/>
          <w:color w:val="000000" w:themeColor="text1"/>
          <w:u w:val="single"/>
        </w:rPr>
      </w:pPr>
    </w:p>
    <w:p w14:paraId="24384F23" w14:textId="7A7AC908" w:rsidR="00737B06" w:rsidRPr="009E35ED" w:rsidRDefault="000C15EE" w:rsidP="004E1271">
      <w:pPr>
        <w:pStyle w:val="NoSpacing"/>
        <w:tabs>
          <w:tab w:val="left" w:pos="720"/>
        </w:tabs>
        <w:ind w:left="0"/>
        <w:rPr>
          <w:rFonts w:ascii="Arial" w:hAnsi="Arial" w:cs="Arial"/>
          <w:color w:val="000000" w:themeColor="text1"/>
        </w:rPr>
      </w:pPr>
      <w:r w:rsidRPr="009E35ED">
        <w:rPr>
          <w:rFonts w:ascii="Arial" w:hAnsi="Arial" w:cs="Arial"/>
          <w:bCs/>
          <w:color w:val="000000" w:themeColor="text1"/>
        </w:rPr>
        <w:t>The accounting policies adopted are consistent with those of the previous financial year, except for the adoption of certain new PFRS and amendments to existing PFRS and PAS which became effective for current period on or after January 1, 20</w:t>
      </w:r>
      <w:r w:rsidR="00761C3B" w:rsidRPr="009E35ED">
        <w:rPr>
          <w:rFonts w:ascii="Arial" w:hAnsi="Arial" w:cs="Arial"/>
          <w:bCs/>
          <w:color w:val="000000" w:themeColor="text1"/>
        </w:rPr>
        <w:t>2</w:t>
      </w:r>
      <w:r w:rsidR="00B576CE" w:rsidRPr="009E35ED">
        <w:rPr>
          <w:rFonts w:ascii="Arial" w:hAnsi="Arial" w:cs="Arial"/>
          <w:bCs/>
          <w:color w:val="000000" w:themeColor="text1"/>
        </w:rPr>
        <w:t>3</w:t>
      </w:r>
      <w:r w:rsidRPr="009E35ED">
        <w:rPr>
          <w:rFonts w:ascii="Arial" w:hAnsi="Arial" w:cs="Arial"/>
          <w:bCs/>
          <w:color w:val="000000" w:themeColor="text1"/>
        </w:rPr>
        <w:t>. Unless otherwise stated, the adoption of the</w:t>
      </w:r>
      <w:r w:rsidRPr="009E35ED">
        <w:rPr>
          <w:rFonts w:ascii="Arial" w:hAnsi="Arial" w:cs="Arial"/>
          <w:color w:val="000000" w:themeColor="text1"/>
        </w:rPr>
        <w:t xml:space="preserve"> following new standards, interpretations and amendment does not have a material effect on the financial statements:</w:t>
      </w:r>
    </w:p>
    <w:p w14:paraId="476DBA60" w14:textId="0EE11200" w:rsidR="00CA68BB" w:rsidRPr="009E35ED" w:rsidRDefault="00CA68BB" w:rsidP="00B576CE">
      <w:pPr>
        <w:pBdr>
          <w:top w:val="nil"/>
          <w:left w:val="nil"/>
          <w:bottom w:val="nil"/>
          <w:right w:val="nil"/>
          <w:between w:val="nil"/>
        </w:pBdr>
        <w:ind w:left="0"/>
        <w:rPr>
          <w:rFonts w:ascii="Arial" w:hAnsi="Arial" w:cs="Arial"/>
          <w:b/>
          <w:color w:val="000000" w:themeColor="text1"/>
        </w:rPr>
      </w:pPr>
    </w:p>
    <w:p w14:paraId="3906BE07" w14:textId="77777777" w:rsidR="007A49F5" w:rsidRPr="009E35ED" w:rsidRDefault="007A49F5" w:rsidP="007A49F5">
      <w:pPr>
        <w:shd w:val="clear" w:color="auto" w:fill="FFFFFF"/>
        <w:spacing w:after="100" w:afterAutospacing="1"/>
        <w:ind w:left="0"/>
        <w:jc w:val="left"/>
        <w:rPr>
          <w:rFonts w:ascii="Arial" w:hAnsi="Arial" w:cs="Arial"/>
          <w:color w:val="000000" w:themeColor="text1"/>
          <w:sz w:val="22"/>
          <w:szCs w:val="22"/>
          <w:lang w:val="en-PH" w:eastAsia="en-PH"/>
        </w:rPr>
      </w:pPr>
      <w:r w:rsidRPr="009E35ED">
        <w:rPr>
          <w:rFonts w:ascii="Arial" w:hAnsi="Arial" w:cs="Arial"/>
          <w:b/>
          <w:bCs/>
          <w:color w:val="000000" w:themeColor="text1"/>
          <w:sz w:val="22"/>
          <w:szCs w:val="22"/>
          <w:lang w:val="en-PH" w:eastAsia="en-PH"/>
        </w:rPr>
        <w:t>Amendments to Philippine Accounting Standards (PAS)</w:t>
      </w:r>
    </w:p>
    <w:p w14:paraId="52B4F36D" w14:textId="77777777" w:rsidR="007A49F5" w:rsidRPr="009E35ED" w:rsidRDefault="007A49F5" w:rsidP="007A49F5">
      <w:pPr>
        <w:shd w:val="clear" w:color="auto" w:fill="FFFFFF"/>
        <w:spacing w:after="100" w:afterAutospacing="1"/>
        <w:ind w:left="0"/>
        <w:jc w:val="left"/>
        <w:rPr>
          <w:rFonts w:ascii="Arial" w:hAnsi="Arial" w:cs="Arial"/>
          <w:color w:val="000000" w:themeColor="text1"/>
          <w:sz w:val="22"/>
          <w:szCs w:val="22"/>
          <w:lang w:val="en-PH" w:eastAsia="en-PH"/>
        </w:rPr>
      </w:pPr>
      <w:r w:rsidRPr="009E35ED">
        <w:rPr>
          <w:rFonts w:ascii="Arial" w:hAnsi="Arial" w:cs="Arial"/>
          <w:b/>
          <w:bCs/>
          <w:color w:val="000000" w:themeColor="text1"/>
          <w:sz w:val="22"/>
          <w:szCs w:val="22"/>
          <w:lang w:val="en-PH" w:eastAsia="en-PH"/>
        </w:rPr>
        <w:t>I. Effective beginning on or after January 1, 2023</w:t>
      </w:r>
    </w:p>
    <w:p w14:paraId="02EB711F" w14:textId="16DAC015" w:rsidR="007A49F5" w:rsidRPr="009E35ED" w:rsidRDefault="007A49F5" w:rsidP="007A49F5">
      <w:pPr>
        <w:shd w:val="clear" w:color="auto" w:fill="FFFFFF"/>
        <w:spacing w:after="100" w:afterAutospacing="1"/>
        <w:ind w:left="0"/>
        <w:jc w:val="left"/>
        <w:rPr>
          <w:rFonts w:ascii="Arial" w:hAnsi="Arial" w:cs="Arial"/>
          <w:color w:val="000000" w:themeColor="text1"/>
          <w:sz w:val="22"/>
          <w:szCs w:val="22"/>
          <w:lang w:val="en-PH" w:eastAsia="en-PH"/>
        </w:rPr>
      </w:pPr>
      <w:r w:rsidRPr="009E35ED">
        <w:rPr>
          <w:rFonts w:ascii="Arial" w:hAnsi="Arial" w:cs="Arial"/>
          <w:color w:val="000000" w:themeColor="text1"/>
          <w:sz w:val="22"/>
          <w:szCs w:val="22"/>
          <w:lang w:val="en-PH" w:eastAsia="en-PH"/>
        </w:rPr>
        <w:t>The following amendments to PAS are effective for annual periods beginning on or after January 1, 2023:</w:t>
      </w:r>
    </w:p>
    <w:p w14:paraId="1D5F618B" w14:textId="77777777" w:rsidR="007A49F5" w:rsidRPr="009E35ED" w:rsidRDefault="007A49F5" w:rsidP="00397E5C">
      <w:pPr>
        <w:numPr>
          <w:ilvl w:val="0"/>
          <w:numId w:val="38"/>
        </w:numPr>
        <w:shd w:val="clear" w:color="auto" w:fill="FFFFFF"/>
        <w:spacing w:before="100" w:beforeAutospacing="1" w:after="100" w:afterAutospacing="1"/>
        <w:jc w:val="left"/>
        <w:rPr>
          <w:rFonts w:ascii="Arial" w:hAnsi="Arial" w:cs="Arial"/>
          <w:color w:val="000000" w:themeColor="text1"/>
          <w:sz w:val="22"/>
          <w:szCs w:val="22"/>
          <w:lang w:val="en-PH" w:eastAsia="en-PH"/>
        </w:rPr>
      </w:pPr>
      <w:r w:rsidRPr="009E35ED">
        <w:rPr>
          <w:rFonts w:ascii="Arial" w:hAnsi="Arial" w:cs="Arial"/>
          <w:b/>
          <w:bCs/>
          <w:color w:val="000000" w:themeColor="text1"/>
          <w:sz w:val="22"/>
          <w:szCs w:val="22"/>
          <w:lang w:val="en-PH" w:eastAsia="en-PH"/>
        </w:rPr>
        <w:t>Amendments to PAS 1, </w:t>
      </w:r>
      <w:r w:rsidRPr="009E35ED">
        <w:rPr>
          <w:rFonts w:ascii="Arial" w:hAnsi="Arial" w:cs="Arial"/>
          <w:color w:val="000000" w:themeColor="text1"/>
          <w:sz w:val="22"/>
          <w:szCs w:val="22"/>
          <w:lang w:val="en-PH" w:eastAsia="en-PH"/>
        </w:rPr>
        <w:t>Presentation of Financial Statements and PFRS Practice Statement 2 Making Materiality Judgements—Disclosure of Accounting Policies</w:t>
      </w:r>
    </w:p>
    <w:p w14:paraId="6F2DDC93" w14:textId="77777777" w:rsidR="007A49F5" w:rsidRPr="009E35ED" w:rsidRDefault="007A49F5" w:rsidP="00397E5C">
      <w:pPr>
        <w:numPr>
          <w:ilvl w:val="0"/>
          <w:numId w:val="38"/>
        </w:numPr>
        <w:shd w:val="clear" w:color="auto" w:fill="FFFFFF"/>
        <w:spacing w:before="100" w:beforeAutospacing="1" w:after="100" w:afterAutospacing="1"/>
        <w:jc w:val="left"/>
        <w:rPr>
          <w:rFonts w:ascii="Arial" w:hAnsi="Arial" w:cs="Arial"/>
          <w:color w:val="000000" w:themeColor="text1"/>
          <w:sz w:val="22"/>
          <w:szCs w:val="22"/>
          <w:lang w:val="en-PH" w:eastAsia="en-PH"/>
        </w:rPr>
      </w:pPr>
      <w:r w:rsidRPr="009E35ED">
        <w:rPr>
          <w:rFonts w:ascii="Arial" w:hAnsi="Arial" w:cs="Arial"/>
          <w:b/>
          <w:bCs/>
          <w:color w:val="000000" w:themeColor="text1"/>
          <w:sz w:val="22"/>
          <w:szCs w:val="22"/>
          <w:lang w:val="en-PH" w:eastAsia="en-PH"/>
        </w:rPr>
        <w:t>Amendments to PAS 8 </w:t>
      </w:r>
      <w:r w:rsidRPr="009E35ED">
        <w:rPr>
          <w:rFonts w:ascii="Arial" w:hAnsi="Arial" w:cs="Arial"/>
          <w:color w:val="000000" w:themeColor="text1"/>
          <w:sz w:val="22"/>
          <w:szCs w:val="22"/>
          <w:lang w:val="en-PH" w:eastAsia="en-PH"/>
        </w:rPr>
        <w:t>Accounting Policies, Changes in Accounting Estimates and Errors —Definition of Accounting Estimates</w:t>
      </w:r>
    </w:p>
    <w:p w14:paraId="6AE4F943" w14:textId="68F1EF3A" w:rsidR="007A49F5" w:rsidRPr="009E35ED" w:rsidRDefault="007A49F5" w:rsidP="0088195E">
      <w:pPr>
        <w:numPr>
          <w:ilvl w:val="0"/>
          <w:numId w:val="38"/>
        </w:numPr>
        <w:shd w:val="clear" w:color="auto" w:fill="FFFFFF"/>
        <w:spacing w:before="100" w:beforeAutospacing="1" w:after="100" w:afterAutospacing="1"/>
        <w:jc w:val="left"/>
        <w:rPr>
          <w:rFonts w:ascii="Arial" w:hAnsi="Arial" w:cs="Arial"/>
          <w:color w:val="000000" w:themeColor="text1"/>
          <w:sz w:val="22"/>
          <w:szCs w:val="22"/>
          <w:lang w:val="en-PH" w:eastAsia="en-PH"/>
        </w:rPr>
      </w:pPr>
      <w:r w:rsidRPr="009E35ED">
        <w:rPr>
          <w:rFonts w:ascii="Arial" w:hAnsi="Arial" w:cs="Arial"/>
          <w:b/>
          <w:bCs/>
          <w:color w:val="000000" w:themeColor="text1"/>
          <w:sz w:val="22"/>
          <w:szCs w:val="22"/>
          <w:lang w:val="en-PH" w:eastAsia="en-PH"/>
        </w:rPr>
        <w:t>Amendments to PAS 12 Income Taxes—</w:t>
      </w:r>
      <w:r w:rsidRPr="009E35ED">
        <w:rPr>
          <w:rFonts w:ascii="Arial" w:hAnsi="Arial" w:cs="Arial"/>
          <w:color w:val="000000" w:themeColor="text1"/>
          <w:sz w:val="22"/>
          <w:szCs w:val="22"/>
          <w:lang w:val="en-PH" w:eastAsia="en-PH"/>
        </w:rPr>
        <w:t xml:space="preserve">Deferred Tax related to Assets and Liabilities </w:t>
      </w:r>
      <w:r w:rsidR="00550599" w:rsidRPr="009E35ED">
        <w:rPr>
          <w:rFonts w:ascii="Arial" w:hAnsi="Arial" w:cs="Arial"/>
          <w:color w:val="000000" w:themeColor="text1"/>
          <w:sz w:val="22"/>
          <w:szCs w:val="22"/>
          <w:lang w:val="en-PH" w:eastAsia="en-PH"/>
        </w:rPr>
        <w:t>arising from</w:t>
      </w:r>
      <w:r w:rsidRPr="009E35ED">
        <w:rPr>
          <w:rFonts w:ascii="Arial" w:hAnsi="Arial" w:cs="Arial"/>
          <w:color w:val="000000" w:themeColor="text1"/>
          <w:sz w:val="22"/>
          <w:szCs w:val="22"/>
          <w:lang w:val="en-PH" w:eastAsia="en-PH"/>
        </w:rPr>
        <w:t xml:space="preserve"> a Single Transaction</w:t>
      </w:r>
    </w:p>
    <w:p w14:paraId="1855EC8F" w14:textId="77777777" w:rsidR="00737B06" w:rsidRPr="009E35ED" w:rsidRDefault="000C15EE" w:rsidP="004E1271">
      <w:pPr>
        <w:pBdr>
          <w:top w:val="nil"/>
          <w:left w:val="nil"/>
          <w:bottom w:val="nil"/>
          <w:right w:val="nil"/>
          <w:between w:val="nil"/>
        </w:pBdr>
        <w:ind w:left="0"/>
        <w:rPr>
          <w:rFonts w:ascii="Arial" w:hAnsi="Arial" w:cs="Arial"/>
          <w:b/>
          <w:i/>
          <w:iCs/>
          <w:color w:val="000000" w:themeColor="text1"/>
          <w:sz w:val="22"/>
          <w:szCs w:val="22"/>
          <w:u w:val="single"/>
        </w:rPr>
      </w:pPr>
      <w:r w:rsidRPr="009E35ED">
        <w:rPr>
          <w:rFonts w:ascii="Arial" w:hAnsi="Arial" w:cs="Arial"/>
          <w:b/>
          <w:i/>
          <w:iCs/>
          <w:color w:val="000000" w:themeColor="text1"/>
          <w:sz w:val="22"/>
          <w:szCs w:val="22"/>
          <w:u w:val="single"/>
        </w:rPr>
        <w:t>Future Changes in Accounting Policies</w:t>
      </w:r>
    </w:p>
    <w:p w14:paraId="208A11D4" w14:textId="77777777" w:rsidR="00753FA4" w:rsidRPr="009E35ED" w:rsidRDefault="00753FA4" w:rsidP="004E1271">
      <w:pPr>
        <w:pStyle w:val="ListParagraph"/>
        <w:pBdr>
          <w:top w:val="nil"/>
          <w:left w:val="nil"/>
          <w:bottom w:val="nil"/>
          <w:right w:val="nil"/>
          <w:between w:val="nil"/>
        </w:pBdr>
        <w:rPr>
          <w:rFonts w:ascii="Arial" w:hAnsi="Arial" w:cs="Arial"/>
          <w:b/>
          <w:i/>
          <w:iCs/>
          <w:color w:val="000000" w:themeColor="text1"/>
          <w:sz w:val="22"/>
          <w:szCs w:val="22"/>
          <w:u w:val="single"/>
        </w:rPr>
      </w:pPr>
    </w:p>
    <w:p w14:paraId="7530E6F2" w14:textId="7D980F41" w:rsidR="001C13E1" w:rsidRPr="009E35ED" w:rsidRDefault="000C15EE" w:rsidP="0088195E">
      <w:pPr>
        <w:pBdr>
          <w:top w:val="nil"/>
          <w:left w:val="nil"/>
          <w:bottom w:val="nil"/>
          <w:right w:val="nil"/>
          <w:between w:val="nil"/>
        </w:pBdr>
        <w:ind w:left="0"/>
        <w:rPr>
          <w:rFonts w:ascii="Arial" w:hAnsi="Arial" w:cs="Arial"/>
          <w:color w:val="000000" w:themeColor="text1"/>
          <w:sz w:val="22"/>
          <w:szCs w:val="22"/>
        </w:rPr>
      </w:pPr>
      <w:r w:rsidRPr="009E35ED">
        <w:rPr>
          <w:rFonts w:ascii="Arial" w:hAnsi="Arial" w:cs="Arial"/>
          <w:color w:val="000000" w:themeColor="text1"/>
          <w:sz w:val="22"/>
          <w:szCs w:val="22"/>
        </w:rPr>
        <w:t xml:space="preserve">The </w:t>
      </w:r>
      <w:r w:rsidR="0051373D" w:rsidRPr="009E35ED">
        <w:rPr>
          <w:rFonts w:ascii="Arial" w:hAnsi="Arial" w:cs="Arial"/>
          <w:color w:val="000000" w:themeColor="text1"/>
          <w:sz w:val="22"/>
          <w:szCs w:val="22"/>
        </w:rPr>
        <w:t>Agency</w:t>
      </w:r>
      <w:r w:rsidRPr="009E35ED">
        <w:rPr>
          <w:rFonts w:ascii="Arial" w:hAnsi="Arial" w:cs="Arial"/>
          <w:color w:val="000000" w:themeColor="text1"/>
          <w:sz w:val="22"/>
          <w:szCs w:val="22"/>
        </w:rPr>
        <w:t xml:space="preserve"> will adopt the following revised standards, interpretations and amendments when these become effective. Except as otherwise indicated, the </w:t>
      </w:r>
      <w:r w:rsidR="0051373D" w:rsidRPr="009E35ED">
        <w:rPr>
          <w:rFonts w:ascii="Arial" w:hAnsi="Arial" w:cs="Arial"/>
          <w:color w:val="000000" w:themeColor="text1"/>
          <w:sz w:val="22"/>
          <w:szCs w:val="22"/>
        </w:rPr>
        <w:t>Agency</w:t>
      </w:r>
      <w:r w:rsidRPr="009E35ED">
        <w:rPr>
          <w:rFonts w:ascii="Arial" w:hAnsi="Arial" w:cs="Arial"/>
          <w:color w:val="000000" w:themeColor="text1"/>
          <w:sz w:val="22"/>
          <w:szCs w:val="22"/>
        </w:rPr>
        <w:t xml:space="preserve"> does not expect the adoption of these new and amended standards and interpretations to have significant impact on its financial statements.</w:t>
      </w:r>
    </w:p>
    <w:p w14:paraId="4D8E341D" w14:textId="77777777" w:rsidR="0088195E" w:rsidRPr="009E35ED" w:rsidRDefault="0088195E" w:rsidP="0088195E">
      <w:pPr>
        <w:pBdr>
          <w:top w:val="nil"/>
          <w:left w:val="nil"/>
          <w:bottom w:val="nil"/>
          <w:right w:val="nil"/>
          <w:between w:val="nil"/>
        </w:pBdr>
        <w:ind w:left="0"/>
        <w:rPr>
          <w:rFonts w:ascii="Arial" w:hAnsi="Arial" w:cs="Arial"/>
          <w:color w:val="000000" w:themeColor="text1"/>
          <w:sz w:val="22"/>
          <w:szCs w:val="22"/>
        </w:rPr>
      </w:pPr>
    </w:p>
    <w:p w14:paraId="04734D04" w14:textId="6AFC896C" w:rsidR="007A49F5" w:rsidRPr="009E35ED" w:rsidRDefault="007A49F5" w:rsidP="007A49F5">
      <w:pPr>
        <w:shd w:val="clear" w:color="auto" w:fill="FFFFFF"/>
        <w:spacing w:after="100" w:afterAutospacing="1"/>
        <w:ind w:left="0"/>
        <w:jc w:val="left"/>
        <w:rPr>
          <w:rFonts w:ascii="Arial" w:hAnsi="Arial" w:cs="Arial"/>
          <w:color w:val="000000" w:themeColor="text1"/>
          <w:sz w:val="22"/>
          <w:szCs w:val="22"/>
          <w:lang w:val="en-PH" w:eastAsia="en-PH"/>
        </w:rPr>
      </w:pPr>
      <w:r w:rsidRPr="009E35ED">
        <w:rPr>
          <w:rFonts w:ascii="Arial" w:hAnsi="Arial" w:cs="Arial"/>
          <w:b/>
          <w:bCs/>
          <w:color w:val="000000" w:themeColor="text1"/>
          <w:sz w:val="22"/>
          <w:szCs w:val="22"/>
          <w:lang w:val="en-PH" w:eastAsia="en-PH"/>
        </w:rPr>
        <w:t>A. Effective beginning on or after January 1, 2024</w:t>
      </w:r>
    </w:p>
    <w:p w14:paraId="565E3572" w14:textId="41F20415" w:rsidR="007A49F5" w:rsidRPr="009E35ED" w:rsidRDefault="007A49F5" w:rsidP="001C13E1">
      <w:pPr>
        <w:pStyle w:val="ListParagraph"/>
        <w:numPr>
          <w:ilvl w:val="2"/>
          <w:numId w:val="39"/>
        </w:numPr>
        <w:shd w:val="clear" w:color="auto" w:fill="FFFFFF"/>
        <w:spacing w:after="100" w:afterAutospacing="1"/>
        <w:ind w:left="709"/>
        <w:jc w:val="left"/>
        <w:rPr>
          <w:rFonts w:ascii="Arial" w:hAnsi="Arial" w:cs="Arial"/>
          <w:color w:val="000000" w:themeColor="text1"/>
          <w:sz w:val="22"/>
          <w:szCs w:val="22"/>
          <w:lang w:val="en-PH" w:eastAsia="en-PH"/>
        </w:rPr>
      </w:pPr>
      <w:r w:rsidRPr="009E35ED">
        <w:rPr>
          <w:rFonts w:ascii="Arial" w:hAnsi="Arial" w:cs="Arial"/>
          <w:color w:val="000000" w:themeColor="text1"/>
          <w:sz w:val="22"/>
          <w:szCs w:val="22"/>
          <w:lang w:val="en-PH" w:eastAsia="en-PH"/>
        </w:rPr>
        <w:t>Amendments to PAS 1</w:t>
      </w:r>
      <w:r w:rsidRPr="009E35ED">
        <w:rPr>
          <w:rFonts w:ascii="Arial" w:hAnsi="Arial" w:cs="Arial"/>
          <w:i/>
          <w:iCs/>
          <w:color w:val="000000" w:themeColor="text1"/>
          <w:sz w:val="22"/>
          <w:szCs w:val="22"/>
          <w:lang w:val="en-PH" w:eastAsia="en-PH"/>
        </w:rPr>
        <w:t>, Classification of Liabilities as Current or Non-current</w:t>
      </w:r>
    </w:p>
    <w:p w14:paraId="21689838" w14:textId="77777777" w:rsidR="007A49F5" w:rsidRPr="009E35ED" w:rsidRDefault="007A49F5" w:rsidP="007A49F5">
      <w:pPr>
        <w:shd w:val="clear" w:color="auto" w:fill="FFFFFF"/>
        <w:spacing w:after="100" w:afterAutospacing="1"/>
        <w:ind w:left="0"/>
        <w:jc w:val="left"/>
        <w:rPr>
          <w:rFonts w:ascii="Arial" w:hAnsi="Arial" w:cs="Arial"/>
          <w:color w:val="000000" w:themeColor="text1"/>
          <w:sz w:val="22"/>
          <w:szCs w:val="22"/>
          <w:lang w:val="en-PH" w:eastAsia="en-PH"/>
        </w:rPr>
      </w:pPr>
      <w:r w:rsidRPr="009E35ED">
        <w:rPr>
          <w:rFonts w:ascii="Arial" w:hAnsi="Arial" w:cs="Arial"/>
          <w:b/>
          <w:bCs/>
          <w:color w:val="000000" w:themeColor="text1"/>
          <w:sz w:val="22"/>
          <w:szCs w:val="22"/>
          <w:lang w:val="en-PH" w:eastAsia="en-PH"/>
        </w:rPr>
        <w:t>B. Effective beginning on or after January 1, 2025</w:t>
      </w:r>
    </w:p>
    <w:p w14:paraId="44A45690" w14:textId="7A2047C4" w:rsidR="007A49F5" w:rsidRPr="009E35ED" w:rsidRDefault="007A49F5" w:rsidP="00E55571">
      <w:pPr>
        <w:pStyle w:val="ListParagraph"/>
        <w:numPr>
          <w:ilvl w:val="2"/>
          <w:numId w:val="40"/>
        </w:numPr>
        <w:shd w:val="clear" w:color="auto" w:fill="FFFFFF"/>
        <w:spacing w:after="100" w:afterAutospacing="1"/>
        <w:ind w:left="709"/>
        <w:jc w:val="left"/>
        <w:rPr>
          <w:rFonts w:ascii="Arial" w:hAnsi="Arial" w:cs="Arial"/>
          <w:color w:val="000000" w:themeColor="text1"/>
          <w:sz w:val="22"/>
          <w:szCs w:val="22"/>
          <w:lang w:val="en-PH" w:eastAsia="en-PH"/>
        </w:rPr>
      </w:pPr>
      <w:r w:rsidRPr="009E35ED">
        <w:rPr>
          <w:rFonts w:ascii="Arial" w:hAnsi="Arial" w:cs="Arial"/>
          <w:color w:val="000000" w:themeColor="text1"/>
          <w:sz w:val="22"/>
          <w:szCs w:val="22"/>
          <w:lang w:val="en-PH" w:eastAsia="en-PH"/>
        </w:rPr>
        <w:t>PFRS 17, </w:t>
      </w:r>
      <w:r w:rsidRPr="009E35ED">
        <w:rPr>
          <w:rFonts w:ascii="Arial" w:hAnsi="Arial" w:cs="Arial"/>
          <w:i/>
          <w:iCs/>
          <w:color w:val="000000" w:themeColor="text1"/>
          <w:sz w:val="22"/>
          <w:szCs w:val="22"/>
          <w:lang w:val="en-PH" w:eastAsia="en-PH"/>
        </w:rPr>
        <w:t>Insurance Contracts</w:t>
      </w:r>
    </w:p>
    <w:p w14:paraId="24DFAE04" w14:textId="14062FB0" w:rsidR="00625E68" w:rsidRPr="00D043CC" w:rsidRDefault="007A49F5" w:rsidP="00D043CC">
      <w:pPr>
        <w:pStyle w:val="ListParagraph"/>
        <w:numPr>
          <w:ilvl w:val="2"/>
          <w:numId w:val="40"/>
        </w:numPr>
        <w:shd w:val="clear" w:color="auto" w:fill="FFFFFF"/>
        <w:spacing w:after="100" w:afterAutospacing="1"/>
        <w:ind w:left="709"/>
        <w:jc w:val="left"/>
        <w:rPr>
          <w:rFonts w:ascii="Arial" w:hAnsi="Arial" w:cs="Arial"/>
          <w:color w:val="000000" w:themeColor="text1"/>
          <w:sz w:val="22"/>
          <w:szCs w:val="22"/>
          <w:lang w:val="en-PH" w:eastAsia="en-PH"/>
        </w:rPr>
      </w:pPr>
      <w:r w:rsidRPr="009E35ED">
        <w:rPr>
          <w:rFonts w:ascii="Arial" w:hAnsi="Arial" w:cs="Arial"/>
          <w:color w:val="000000" w:themeColor="text1"/>
          <w:sz w:val="22"/>
          <w:szCs w:val="22"/>
          <w:lang w:val="en-PH" w:eastAsia="en-PH"/>
        </w:rPr>
        <w:t>Amendments to PFRS 17, </w:t>
      </w:r>
      <w:r w:rsidRPr="009E35ED">
        <w:rPr>
          <w:rFonts w:ascii="Arial" w:hAnsi="Arial" w:cs="Arial"/>
          <w:i/>
          <w:iCs/>
          <w:color w:val="000000" w:themeColor="text1"/>
          <w:sz w:val="22"/>
          <w:szCs w:val="22"/>
          <w:lang w:val="en-PH" w:eastAsia="en-PH"/>
        </w:rPr>
        <w:t>Initial App</w:t>
      </w:r>
      <w:r w:rsidR="003F7E79" w:rsidRPr="009E35ED">
        <w:rPr>
          <w:rFonts w:ascii="Arial" w:hAnsi="Arial" w:cs="Arial"/>
          <w:i/>
          <w:iCs/>
          <w:color w:val="000000" w:themeColor="text1"/>
          <w:sz w:val="22"/>
          <w:szCs w:val="22"/>
          <w:lang w:val="en-PH" w:eastAsia="en-PH"/>
        </w:rPr>
        <w:t>lication of PFRS 17 and PFRS 9-</w:t>
      </w:r>
      <w:r w:rsidRPr="009E35ED">
        <w:rPr>
          <w:rFonts w:ascii="Arial" w:hAnsi="Arial" w:cs="Arial"/>
          <w:i/>
          <w:iCs/>
          <w:color w:val="000000" w:themeColor="text1"/>
          <w:sz w:val="22"/>
          <w:szCs w:val="22"/>
          <w:lang w:val="en-PH" w:eastAsia="en-PH"/>
        </w:rPr>
        <w:t>Comparative Information</w:t>
      </w:r>
    </w:p>
    <w:p w14:paraId="6FFC8CCF" w14:textId="2AA28199" w:rsidR="002F0A71" w:rsidRPr="009E35ED" w:rsidRDefault="002F0A71" w:rsidP="0005445E">
      <w:pPr>
        <w:pStyle w:val="ListParagraph"/>
        <w:numPr>
          <w:ilvl w:val="0"/>
          <w:numId w:val="8"/>
        </w:numPr>
        <w:ind w:left="0" w:firstLine="0"/>
        <w:rPr>
          <w:rFonts w:ascii="Arial" w:hAnsi="Arial" w:cs="Arial"/>
          <w:b/>
          <w:color w:val="000000" w:themeColor="text1"/>
          <w:sz w:val="22"/>
          <w:szCs w:val="22"/>
        </w:rPr>
      </w:pPr>
      <w:r w:rsidRPr="009E35ED">
        <w:rPr>
          <w:rFonts w:ascii="Arial" w:hAnsi="Arial" w:cs="Arial"/>
          <w:b/>
          <w:color w:val="000000" w:themeColor="text1"/>
          <w:sz w:val="22"/>
          <w:szCs w:val="22"/>
        </w:rPr>
        <w:t>Financial Instrument</w:t>
      </w:r>
      <w:r w:rsidR="0005445E" w:rsidRPr="009E35ED">
        <w:rPr>
          <w:rFonts w:ascii="Arial" w:hAnsi="Arial" w:cs="Arial"/>
          <w:b/>
          <w:color w:val="000000" w:themeColor="text1"/>
          <w:sz w:val="22"/>
          <w:szCs w:val="22"/>
        </w:rPr>
        <w:t>s</w:t>
      </w:r>
    </w:p>
    <w:p w14:paraId="37529EF4" w14:textId="77777777" w:rsidR="008972CA" w:rsidRPr="009E35ED" w:rsidRDefault="008972CA" w:rsidP="008972CA">
      <w:pPr>
        <w:pStyle w:val="ListParagraph"/>
        <w:ind w:left="0"/>
        <w:rPr>
          <w:rFonts w:ascii="Arial" w:hAnsi="Arial" w:cs="Arial"/>
          <w:b/>
          <w:color w:val="000000" w:themeColor="text1"/>
          <w:sz w:val="22"/>
          <w:szCs w:val="22"/>
        </w:rPr>
      </w:pPr>
    </w:p>
    <w:p w14:paraId="46B2E573" w14:textId="3CD2BFD1" w:rsidR="00725CF7" w:rsidRPr="009E35ED" w:rsidRDefault="00106A89" w:rsidP="00803F8C">
      <w:pPr>
        <w:ind w:left="0"/>
        <w:rPr>
          <w:rFonts w:ascii="Arial" w:hAnsi="Arial" w:cs="Arial"/>
          <w:color w:val="000000" w:themeColor="text1"/>
          <w:sz w:val="22"/>
          <w:szCs w:val="22"/>
        </w:rPr>
      </w:pPr>
      <w:r w:rsidRPr="009E35ED">
        <w:rPr>
          <w:rFonts w:ascii="Arial" w:hAnsi="Arial" w:cs="Arial"/>
          <w:color w:val="000000" w:themeColor="text1"/>
          <w:sz w:val="22"/>
          <w:szCs w:val="22"/>
        </w:rPr>
        <w:t>F</w:t>
      </w:r>
      <w:r w:rsidR="00725CF7" w:rsidRPr="009E35ED">
        <w:rPr>
          <w:rFonts w:ascii="Arial" w:hAnsi="Arial" w:cs="Arial"/>
          <w:color w:val="000000" w:themeColor="text1"/>
          <w:sz w:val="22"/>
          <w:szCs w:val="22"/>
        </w:rPr>
        <w:t>inancial asset</w:t>
      </w:r>
      <w:r w:rsidRPr="009E35ED">
        <w:rPr>
          <w:rFonts w:ascii="Arial" w:hAnsi="Arial" w:cs="Arial"/>
          <w:color w:val="000000" w:themeColor="text1"/>
          <w:sz w:val="22"/>
          <w:szCs w:val="22"/>
        </w:rPr>
        <w:t xml:space="preserve">s or financial liabilities are recognized in the </w:t>
      </w:r>
      <w:r w:rsidR="0051373D" w:rsidRPr="009E35ED">
        <w:rPr>
          <w:rFonts w:ascii="Arial" w:hAnsi="Arial" w:cs="Arial"/>
          <w:color w:val="000000" w:themeColor="text1"/>
          <w:sz w:val="22"/>
          <w:szCs w:val="22"/>
        </w:rPr>
        <w:t>Agency</w:t>
      </w:r>
      <w:r w:rsidRPr="009E35ED">
        <w:rPr>
          <w:rFonts w:ascii="Arial" w:hAnsi="Arial" w:cs="Arial"/>
          <w:color w:val="000000" w:themeColor="text1"/>
          <w:sz w:val="22"/>
          <w:szCs w:val="22"/>
        </w:rPr>
        <w:t>’s</w:t>
      </w:r>
      <w:r w:rsidR="00725CF7" w:rsidRPr="009E35ED">
        <w:rPr>
          <w:rFonts w:ascii="Arial" w:hAnsi="Arial" w:cs="Arial"/>
          <w:color w:val="000000" w:themeColor="text1"/>
          <w:sz w:val="22"/>
          <w:szCs w:val="22"/>
        </w:rPr>
        <w:t xml:space="preserve"> statement of financial position when, and only when, the entity becomes party to the contractual provision of the instruments.</w:t>
      </w:r>
      <w:r w:rsidR="004B5F4D" w:rsidRPr="009E35ED">
        <w:rPr>
          <w:rFonts w:ascii="Arial" w:hAnsi="Arial" w:cs="Arial"/>
          <w:color w:val="000000" w:themeColor="text1"/>
          <w:sz w:val="22"/>
          <w:szCs w:val="22"/>
        </w:rPr>
        <w:t xml:space="preserve"> </w:t>
      </w:r>
      <w:r w:rsidR="004B5F4D" w:rsidRPr="009E35ED">
        <w:rPr>
          <w:rFonts w:ascii="Arial" w:hAnsi="Arial" w:cs="Arial"/>
          <w:bCs/>
          <w:color w:val="000000" w:themeColor="text1"/>
          <w:sz w:val="22"/>
          <w:szCs w:val="22"/>
        </w:rPr>
        <w:t>In the case of a regular way purchase or sale of financial assets, recognition and derecognition, as applicable, is done using settlement date accounting.</w:t>
      </w:r>
      <w:r w:rsidRPr="009E35ED">
        <w:rPr>
          <w:rFonts w:ascii="Arial" w:hAnsi="Arial" w:cs="Arial"/>
          <w:color w:val="000000" w:themeColor="text1"/>
          <w:sz w:val="22"/>
          <w:szCs w:val="22"/>
        </w:rPr>
        <w:t xml:space="preserve"> For purposes</w:t>
      </w:r>
      <w:r w:rsidR="007E56F1" w:rsidRPr="009E35ED">
        <w:rPr>
          <w:rFonts w:ascii="Arial" w:hAnsi="Arial" w:cs="Arial"/>
          <w:color w:val="000000" w:themeColor="text1"/>
          <w:sz w:val="22"/>
          <w:szCs w:val="22"/>
        </w:rPr>
        <w:t xml:space="preserve"> of presenting financial instruments as liabilities or equity and for offsetting financial assets and financial liabilities, PAS 32</w:t>
      </w:r>
      <w:r w:rsidR="007E56F1" w:rsidRPr="009E35ED">
        <w:rPr>
          <w:rFonts w:ascii="Arial" w:hAnsi="Arial" w:cs="Arial"/>
          <w:i/>
          <w:color w:val="000000" w:themeColor="text1"/>
          <w:sz w:val="22"/>
          <w:szCs w:val="22"/>
        </w:rPr>
        <w:t>, Fina</w:t>
      </w:r>
      <w:r w:rsidR="00595D52" w:rsidRPr="009E35ED">
        <w:rPr>
          <w:rFonts w:ascii="Arial" w:hAnsi="Arial" w:cs="Arial"/>
          <w:i/>
          <w:color w:val="000000" w:themeColor="text1"/>
          <w:sz w:val="22"/>
          <w:szCs w:val="22"/>
        </w:rPr>
        <w:t>ncial Instruments: Presentation</w:t>
      </w:r>
      <w:r w:rsidR="00595D52" w:rsidRPr="009E35ED">
        <w:rPr>
          <w:rFonts w:ascii="Arial" w:hAnsi="Arial" w:cs="Arial"/>
          <w:color w:val="000000" w:themeColor="text1"/>
          <w:sz w:val="22"/>
          <w:szCs w:val="22"/>
        </w:rPr>
        <w:t xml:space="preserve"> </w:t>
      </w:r>
      <w:r w:rsidR="007E56F1" w:rsidRPr="009E35ED">
        <w:rPr>
          <w:rFonts w:ascii="Arial" w:hAnsi="Arial" w:cs="Arial"/>
          <w:color w:val="000000" w:themeColor="text1"/>
          <w:sz w:val="22"/>
          <w:szCs w:val="22"/>
        </w:rPr>
        <w:t>is applied to the classification of financial ins</w:t>
      </w:r>
      <w:r w:rsidR="00595D52" w:rsidRPr="009E35ED">
        <w:rPr>
          <w:rFonts w:ascii="Arial" w:hAnsi="Arial" w:cs="Arial"/>
          <w:color w:val="000000" w:themeColor="text1"/>
          <w:sz w:val="22"/>
          <w:szCs w:val="22"/>
        </w:rPr>
        <w:t>truments, from the perspective of the issuer, into financial assets, financial liabilities and equity instruments; the classification of related interest, dividends, losses and gains; and the circumstances in which financial assets and liabilities should be offset.</w:t>
      </w:r>
    </w:p>
    <w:p w14:paraId="5819372E" w14:textId="77777777" w:rsidR="004B5F4D" w:rsidRPr="009E35ED" w:rsidRDefault="004B5F4D" w:rsidP="00803F8C">
      <w:pPr>
        <w:spacing w:before="200"/>
        <w:ind w:left="0"/>
        <w:rPr>
          <w:rFonts w:ascii="Arial" w:eastAsia="Batang" w:hAnsi="Arial" w:cs="Arial"/>
          <w:color w:val="000000" w:themeColor="text1"/>
          <w:sz w:val="22"/>
          <w:szCs w:val="22"/>
        </w:rPr>
      </w:pPr>
      <w:r w:rsidRPr="009E35ED">
        <w:rPr>
          <w:rFonts w:ascii="Arial" w:eastAsia="Batang" w:hAnsi="Arial" w:cs="Arial"/>
          <w:color w:val="000000" w:themeColor="text1"/>
          <w:sz w:val="22"/>
          <w:szCs w:val="22"/>
        </w:rPr>
        <w:t>Financial instruments are recognized initially at fair value, which is the fair value of the consideration given (in case of an asset) or received (in case of a liability).  The initial measurement of financial instruments, except for those designated at fair value through profit and loss (FVPL), includes transaction cost.</w:t>
      </w:r>
    </w:p>
    <w:p w14:paraId="5A66C7B6" w14:textId="77777777" w:rsidR="004B5F4D" w:rsidRPr="009E35ED" w:rsidRDefault="004B5F4D" w:rsidP="00803F8C">
      <w:pPr>
        <w:ind w:left="0"/>
        <w:rPr>
          <w:rFonts w:ascii="Arial" w:eastAsia="Batang" w:hAnsi="Arial" w:cs="Arial"/>
          <w:i/>
          <w:color w:val="000000" w:themeColor="text1"/>
          <w:sz w:val="22"/>
          <w:szCs w:val="22"/>
        </w:rPr>
      </w:pPr>
    </w:p>
    <w:p w14:paraId="34086F74" w14:textId="102126E3" w:rsidR="004B5F4D" w:rsidRPr="009E35ED" w:rsidRDefault="004B5F4D" w:rsidP="00803F8C">
      <w:pPr>
        <w:ind w:left="0"/>
        <w:rPr>
          <w:rFonts w:ascii="Arial" w:eastAsia="Batang" w:hAnsi="Arial" w:cs="Arial"/>
          <w:color w:val="000000" w:themeColor="text1"/>
          <w:sz w:val="22"/>
          <w:szCs w:val="22"/>
        </w:rPr>
      </w:pPr>
      <w:r w:rsidRPr="009E35ED">
        <w:rPr>
          <w:rFonts w:ascii="Arial" w:eastAsia="Batang" w:hAnsi="Arial" w:cs="Arial"/>
          <w:i/>
          <w:color w:val="000000" w:themeColor="text1"/>
          <w:sz w:val="22"/>
          <w:szCs w:val="22"/>
        </w:rPr>
        <w:t>“Day 1” Difference.</w:t>
      </w:r>
      <w:r w:rsidRPr="009E35ED">
        <w:rPr>
          <w:rFonts w:ascii="Arial" w:eastAsia="Batang" w:hAnsi="Arial" w:cs="Arial"/>
          <w:color w:val="000000" w:themeColor="text1"/>
          <w:sz w:val="22"/>
          <w:szCs w:val="22"/>
        </w:rPr>
        <w:t xml:space="preserve">  Where the transaction in a non-active market is different from the fair value of other observable current market transactions in the same instrument or based on a valuation technique whose variables include only data from observable market, the PCSO recognizes the difference between the transaction price and fair value (a “Day 1” difference) in profit or loss.  In cases where there is no observable data on inception, the PCSO deems the transaction price as the best estimate of fair value and recognizes “Day 1” difference in profit or loss when the inputs become observable or when the instrument is derecognized.  For each transaction, the PCSO determines the appropriate method of recognizing the “Day 1” difference.</w:t>
      </w:r>
    </w:p>
    <w:p w14:paraId="62DD9E84" w14:textId="77777777" w:rsidR="00CD74C5" w:rsidRPr="009E35ED" w:rsidRDefault="00CD74C5" w:rsidP="00803F8C">
      <w:pPr>
        <w:ind w:left="0"/>
        <w:rPr>
          <w:rFonts w:ascii="Arial" w:eastAsia="Batang" w:hAnsi="Arial" w:cs="Arial"/>
          <w:color w:val="000000" w:themeColor="text1"/>
          <w:sz w:val="22"/>
          <w:szCs w:val="22"/>
        </w:rPr>
      </w:pPr>
    </w:p>
    <w:p w14:paraId="42A882EB" w14:textId="6A6F14C8" w:rsidR="006F2133" w:rsidRPr="009E35ED" w:rsidRDefault="006F2133" w:rsidP="00CD74C5">
      <w:pPr>
        <w:widowControl w:val="0"/>
        <w:autoSpaceDE w:val="0"/>
        <w:autoSpaceDN w:val="0"/>
        <w:adjustRightInd w:val="0"/>
        <w:ind w:left="0"/>
        <w:rPr>
          <w:rFonts w:ascii="Arial" w:eastAsiaTheme="minorEastAsia" w:hAnsi="Arial" w:cs="Arial"/>
          <w:color w:val="000000" w:themeColor="text1"/>
          <w:sz w:val="22"/>
          <w:szCs w:val="22"/>
        </w:rPr>
      </w:pPr>
      <w:r w:rsidRPr="009E35ED">
        <w:rPr>
          <w:rFonts w:ascii="Arial" w:eastAsiaTheme="minorEastAsia" w:hAnsi="Arial" w:cs="Arial"/>
          <w:color w:val="000000" w:themeColor="text1"/>
          <w:sz w:val="22"/>
          <w:szCs w:val="22"/>
        </w:rPr>
        <w:t xml:space="preserve">Financial assets and liabilities at </w:t>
      </w:r>
      <w:r w:rsidR="00256B14">
        <w:rPr>
          <w:rFonts w:ascii="Arial" w:eastAsiaTheme="minorEastAsia" w:hAnsi="Arial" w:cs="Arial"/>
          <w:color w:val="000000" w:themeColor="text1"/>
          <w:sz w:val="22"/>
          <w:szCs w:val="22"/>
        </w:rPr>
        <w:t xml:space="preserve">the </w:t>
      </w:r>
      <w:r w:rsidRPr="009E35ED">
        <w:rPr>
          <w:rFonts w:ascii="Arial" w:eastAsiaTheme="minorEastAsia" w:hAnsi="Arial" w:cs="Arial"/>
          <w:color w:val="000000" w:themeColor="text1"/>
          <w:sz w:val="22"/>
          <w:szCs w:val="22"/>
        </w:rPr>
        <w:t>FVPL are either classified as held for trading or designated at</w:t>
      </w:r>
      <w:r w:rsidR="00256B14">
        <w:rPr>
          <w:rFonts w:ascii="Arial" w:eastAsiaTheme="minorEastAsia" w:hAnsi="Arial" w:cs="Arial"/>
          <w:color w:val="000000" w:themeColor="text1"/>
          <w:sz w:val="22"/>
          <w:szCs w:val="22"/>
        </w:rPr>
        <w:t xml:space="preserve"> the</w:t>
      </w:r>
      <w:r w:rsidRPr="009E35ED">
        <w:rPr>
          <w:rFonts w:ascii="Arial" w:eastAsiaTheme="minorEastAsia" w:hAnsi="Arial" w:cs="Arial"/>
          <w:color w:val="000000" w:themeColor="text1"/>
          <w:sz w:val="22"/>
          <w:szCs w:val="22"/>
        </w:rPr>
        <w:t xml:space="preserve"> FVPL.  A financial instrument is classified as held for trading if it meets either of the following conditions:</w:t>
      </w:r>
    </w:p>
    <w:p w14:paraId="6FAC503B" w14:textId="77777777" w:rsidR="00CD74C5" w:rsidRPr="009E35ED" w:rsidRDefault="00CD74C5" w:rsidP="004E1271">
      <w:pPr>
        <w:widowControl w:val="0"/>
        <w:autoSpaceDE w:val="0"/>
        <w:autoSpaceDN w:val="0"/>
        <w:adjustRightInd w:val="0"/>
        <w:ind w:left="0"/>
        <w:rPr>
          <w:rFonts w:ascii="Arial" w:eastAsiaTheme="minorEastAsia" w:hAnsi="Arial" w:cs="Arial"/>
          <w:color w:val="000000" w:themeColor="text1"/>
          <w:sz w:val="22"/>
          <w:szCs w:val="22"/>
        </w:rPr>
      </w:pPr>
    </w:p>
    <w:p w14:paraId="55B339AD" w14:textId="77777777" w:rsidR="006F2133" w:rsidRPr="009E35ED" w:rsidRDefault="006F2133" w:rsidP="001C371F">
      <w:pPr>
        <w:widowControl w:val="0"/>
        <w:numPr>
          <w:ilvl w:val="0"/>
          <w:numId w:val="19"/>
        </w:numPr>
        <w:autoSpaceDE w:val="0"/>
        <w:autoSpaceDN w:val="0"/>
        <w:adjustRightInd w:val="0"/>
        <w:ind w:left="720"/>
        <w:rPr>
          <w:rFonts w:ascii="Arial" w:eastAsiaTheme="minorEastAsia" w:hAnsi="Arial" w:cs="Arial"/>
          <w:color w:val="000000" w:themeColor="text1"/>
          <w:sz w:val="22"/>
          <w:szCs w:val="22"/>
        </w:rPr>
      </w:pPr>
      <w:r w:rsidRPr="009E35ED">
        <w:rPr>
          <w:rFonts w:ascii="Arial" w:eastAsiaTheme="minorEastAsia" w:hAnsi="Arial" w:cs="Arial"/>
          <w:color w:val="000000" w:themeColor="text1"/>
          <w:sz w:val="22"/>
          <w:szCs w:val="22"/>
        </w:rPr>
        <w:t xml:space="preserve">it is acquired or incurred principally for the purpose of selling or repurchasing it in the near term; </w:t>
      </w:r>
    </w:p>
    <w:p w14:paraId="57B8868D" w14:textId="77777777" w:rsidR="006F2133" w:rsidRPr="009E35ED" w:rsidRDefault="006F2133" w:rsidP="001C371F">
      <w:pPr>
        <w:widowControl w:val="0"/>
        <w:numPr>
          <w:ilvl w:val="1"/>
          <w:numId w:val="19"/>
        </w:numPr>
        <w:autoSpaceDE w:val="0"/>
        <w:autoSpaceDN w:val="0"/>
        <w:adjustRightInd w:val="0"/>
        <w:ind w:left="720"/>
        <w:rPr>
          <w:rFonts w:ascii="Arial" w:eastAsiaTheme="minorEastAsia" w:hAnsi="Arial" w:cs="Arial"/>
          <w:color w:val="000000" w:themeColor="text1"/>
          <w:sz w:val="22"/>
          <w:szCs w:val="22"/>
        </w:rPr>
      </w:pPr>
      <w:r w:rsidRPr="009E35ED">
        <w:rPr>
          <w:rFonts w:ascii="Arial" w:eastAsiaTheme="minorEastAsia" w:hAnsi="Arial" w:cs="Arial"/>
          <w:color w:val="000000" w:themeColor="text1"/>
          <w:sz w:val="22"/>
          <w:szCs w:val="22"/>
        </w:rPr>
        <w:t xml:space="preserve">on initial recognition, it is part of a portfolio of identified financial instruments that are managed together and for which there is evidence of a recent actual pattern of short-term profit-taking; or </w:t>
      </w:r>
    </w:p>
    <w:p w14:paraId="5D0EADDB" w14:textId="408EE3E4" w:rsidR="006F2133" w:rsidRPr="009E35ED" w:rsidRDefault="006F2133" w:rsidP="001C371F">
      <w:pPr>
        <w:widowControl w:val="0"/>
        <w:numPr>
          <w:ilvl w:val="1"/>
          <w:numId w:val="19"/>
        </w:numPr>
        <w:autoSpaceDE w:val="0"/>
        <w:autoSpaceDN w:val="0"/>
        <w:adjustRightInd w:val="0"/>
        <w:ind w:left="720"/>
        <w:rPr>
          <w:rFonts w:ascii="Arial" w:eastAsiaTheme="minorEastAsia" w:hAnsi="Arial" w:cs="Arial"/>
          <w:b/>
          <w:color w:val="000000" w:themeColor="text1"/>
          <w:sz w:val="22"/>
          <w:szCs w:val="22"/>
          <w:u w:val="single"/>
        </w:rPr>
      </w:pPr>
      <w:r w:rsidRPr="009E35ED">
        <w:rPr>
          <w:rFonts w:ascii="Arial" w:eastAsiaTheme="minorEastAsia" w:hAnsi="Arial" w:cs="Arial"/>
          <w:color w:val="000000" w:themeColor="text1"/>
          <w:sz w:val="22"/>
          <w:szCs w:val="22"/>
        </w:rPr>
        <w:t>it is a derivative (except for a derivative that is a financial guarantee contract or a designated and effective hedging instrument).</w:t>
      </w:r>
    </w:p>
    <w:p w14:paraId="44C9706E" w14:textId="77777777" w:rsidR="00CD74C5" w:rsidRPr="009E35ED" w:rsidRDefault="00CD74C5" w:rsidP="004E1271">
      <w:pPr>
        <w:widowControl w:val="0"/>
        <w:autoSpaceDE w:val="0"/>
        <w:autoSpaceDN w:val="0"/>
        <w:adjustRightInd w:val="0"/>
        <w:ind w:left="432"/>
        <w:rPr>
          <w:rFonts w:ascii="Arial" w:eastAsiaTheme="minorEastAsia" w:hAnsi="Arial" w:cs="Arial"/>
          <w:b/>
          <w:color w:val="000000" w:themeColor="text1"/>
          <w:sz w:val="22"/>
          <w:szCs w:val="22"/>
          <w:u w:val="single"/>
        </w:rPr>
      </w:pPr>
    </w:p>
    <w:p w14:paraId="17309436" w14:textId="6BC17D44" w:rsidR="006F2133" w:rsidRPr="009E35ED" w:rsidRDefault="006F2133" w:rsidP="004E1271">
      <w:pPr>
        <w:widowControl w:val="0"/>
        <w:autoSpaceDE w:val="0"/>
        <w:autoSpaceDN w:val="0"/>
        <w:adjustRightInd w:val="0"/>
        <w:ind w:left="0"/>
        <w:rPr>
          <w:rFonts w:ascii="Arial" w:eastAsiaTheme="minorEastAsia" w:hAnsi="Arial" w:cs="Arial"/>
          <w:color w:val="000000" w:themeColor="text1"/>
          <w:sz w:val="22"/>
          <w:szCs w:val="22"/>
        </w:rPr>
      </w:pPr>
      <w:r w:rsidRPr="009E35ED">
        <w:rPr>
          <w:rFonts w:ascii="Arial" w:eastAsiaTheme="minorEastAsia" w:hAnsi="Arial" w:cs="Arial"/>
          <w:color w:val="000000" w:themeColor="text1"/>
          <w:sz w:val="22"/>
          <w:szCs w:val="22"/>
        </w:rPr>
        <w:t xml:space="preserve">This category includes equity instruments which the PCSO had not irrevocably elected to classify at </w:t>
      </w:r>
      <w:r w:rsidR="00256B14">
        <w:rPr>
          <w:rFonts w:ascii="Arial" w:eastAsiaTheme="minorEastAsia" w:hAnsi="Arial" w:cs="Arial"/>
          <w:color w:val="000000" w:themeColor="text1"/>
          <w:sz w:val="22"/>
          <w:szCs w:val="22"/>
        </w:rPr>
        <w:t>fair value through other comprehensive income (FVOCI)</w:t>
      </w:r>
      <w:r w:rsidRPr="009E35ED">
        <w:rPr>
          <w:rFonts w:ascii="Arial" w:eastAsiaTheme="minorEastAsia" w:hAnsi="Arial" w:cs="Arial"/>
          <w:color w:val="000000" w:themeColor="text1"/>
          <w:sz w:val="22"/>
          <w:szCs w:val="22"/>
        </w:rPr>
        <w:t xml:space="preserve"> at initial recognition.  This category includes debt instruments whose cash flows are not “solely for payment of principal and interest” assessed at initial recognition of the assets, or which are not held within a business model whose objective is either to collect contractual cash flows, or to both collect contractual cash flows and sell.</w:t>
      </w:r>
    </w:p>
    <w:p w14:paraId="3DB29370" w14:textId="587B2B1F" w:rsidR="006F2133" w:rsidRPr="009E35ED" w:rsidRDefault="006F2133" w:rsidP="00803F8C">
      <w:pPr>
        <w:widowControl w:val="0"/>
        <w:autoSpaceDE w:val="0"/>
        <w:autoSpaceDN w:val="0"/>
        <w:adjustRightInd w:val="0"/>
        <w:spacing w:before="200"/>
        <w:ind w:left="0"/>
        <w:rPr>
          <w:rFonts w:ascii="Arial" w:eastAsiaTheme="minorEastAsia" w:hAnsi="Arial" w:cs="Arial"/>
          <w:color w:val="000000" w:themeColor="text1"/>
          <w:sz w:val="22"/>
          <w:szCs w:val="22"/>
        </w:rPr>
      </w:pPr>
      <w:r w:rsidRPr="009E35ED">
        <w:rPr>
          <w:rFonts w:ascii="Arial" w:eastAsiaTheme="minorEastAsia" w:hAnsi="Arial" w:cs="Arial"/>
          <w:color w:val="000000" w:themeColor="text1"/>
          <w:sz w:val="22"/>
          <w:szCs w:val="22"/>
        </w:rPr>
        <w:t xml:space="preserve">The PCSO may, at initial recognition, designate a financial asset or financial liability meeting the criteria to be classified at amortized cost or at </w:t>
      </w:r>
      <w:r w:rsidR="00256B14">
        <w:rPr>
          <w:rFonts w:ascii="Arial" w:eastAsiaTheme="minorEastAsia" w:hAnsi="Arial" w:cs="Arial"/>
          <w:color w:val="000000" w:themeColor="text1"/>
          <w:sz w:val="22"/>
          <w:szCs w:val="22"/>
        </w:rPr>
        <w:t xml:space="preserve">the </w:t>
      </w:r>
      <w:r w:rsidRPr="009E35ED">
        <w:rPr>
          <w:rFonts w:ascii="Arial" w:eastAsiaTheme="minorEastAsia" w:hAnsi="Arial" w:cs="Arial"/>
          <w:color w:val="000000" w:themeColor="text1"/>
          <w:sz w:val="22"/>
          <w:szCs w:val="22"/>
        </w:rPr>
        <w:t>FVOCI, as a financial asset or financial liability at</w:t>
      </w:r>
      <w:r w:rsidR="00256B14">
        <w:rPr>
          <w:rFonts w:ascii="Arial" w:eastAsiaTheme="minorEastAsia" w:hAnsi="Arial" w:cs="Arial"/>
          <w:color w:val="000000" w:themeColor="text1"/>
          <w:sz w:val="22"/>
          <w:szCs w:val="22"/>
        </w:rPr>
        <w:t xml:space="preserve"> the</w:t>
      </w:r>
      <w:r w:rsidRPr="009E35ED">
        <w:rPr>
          <w:rFonts w:ascii="Arial" w:eastAsiaTheme="minorEastAsia" w:hAnsi="Arial" w:cs="Arial"/>
          <w:color w:val="000000" w:themeColor="text1"/>
          <w:sz w:val="22"/>
          <w:szCs w:val="22"/>
        </w:rPr>
        <w:t xml:space="preserve"> FVPL, if doing so eliminates or significantly reduces accounting mismatch that would arise from measuring these assets or liabilities.</w:t>
      </w:r>
    </w:p>
    <w:p w14:paraId="06CF15E5" w14:textId="5127CB88" w:rsidR="006F2133" w:rsidRPr="009E35ED" w:rsidRDefault="006F2133" w:rsidP="00803F8C">
      <w:pPr>
        <w:widowControl w:val="0"/>
        <w:autoSpaceDE w:val="0"/>
        <w:autoSpaceDN w:val="0"/>
        <w:adjustRightInd w:val="0"/>
        <w:spacing w:before="200"/>
        <w:ind w:left="0"/>
        <w:rPr>
          <w:rFonts w:ascii="Arial" w:eastAsiaTheme="minorEastAsia" w:hAnsi="Arial" w:cs="Arial"/>
          <w:color w:val="000000" w:themeColor="text1"/>
          <w:sz w:val="22"/>
          <w:szCs w:val="22"/>
        </w:rPr>
      </w:pPr>
      <w:r w:rsidRPr="009E35ED">
        <w:rPr>
          <w:rFonts w:ascii="Arial" w:eastAsiaTheme="minorEastAsia" w:hAnsi="Arial" w:cs="Arial"/>
          <w:color w:val="000000" w:themeColor="text1"/>
          <w:sz w:val="22"/>
          <w:szCs w:val="22"/>
        </w:rPr>
        <w:t>After initial recognition, financial assets at</w:t>
      </w:r>
      <w:r w:rsidR="00256B14">
        <w:rPr>
          <w:rFonts w:ascii="Arial" w:eastAsiaTheme="minorEastAsia" w:hAnsi="Arial" w:cs="Arial"/>
          <w:color w:val="000000" w:themeColor="text1"/>
          <w:sz w:val="22"/>
          <w:szCs w:val="22"/>
        </w:rPr>
        <w:t xml:space="preserve"> the</w:t>
      </w:r>
      <w:r w:rsidRPr="009E35ED">
        <w:rPr>
          <w:rFonts w:ascii="Arial" w:eastAsiaTheme="minorEastAsia" w:hAnsi="Arial" w:cs="Arial"/>
          <w:color w:val="000000" w:themeColor="text1"/>
          <w:sz w:val="22"/>
          <w:szCs w:val="22"/>
        </w:rPr>
        <w:t xml:space="preserve"> FVPL and held for trading financial liabilities are subsequently measured at fair value.  Unrealized gains or losses arising from the fair valuation of financial assets at </w:t>
      </w:r>
      <w:r w:rsidR="00256B14">
        <w:rPr>
          <w:rFonts w:ascii="Arial" w:eastAsiaTheme="minorEastAsia" w:hAnsi="Arial" w:cs="Arial"/>
          <w:color w:val="000000" w:themeColor="text1"/>
          <w:sz w:val="22"/>
          <w:szCs w:val="22"/>
        </w:rPr>
        <w:t xml:space="preserve">the </w:t>
      </w:r>
      <w:r w:rsidRPr="009E35ED">
        <w:rPr>
          <w:rFonts w:ascii="Arial" w:eastAsiaTheme="minorEastAsia" w:hAnsi="Arial" w:cs="Arial"/>
          <w:color w:val="000000" w:themeColor="text1"/>
          <w:sz w:val="22"/>
          <w:szCs w:val="22"/>
        </w:rPr>
        <w:t>FVPL and held for trading financial liabilities are recognized in profit or loss.</w:t>
      </w:r>
    </w:p>
    <w:p w14:paraId="51879C60" w14:textId="308AAA90" w:rsidR="006F2133" w:rsidRPr="009E35ED" w:rsidRDefault="006F2133" w:rsidP="00B90388">
      <w:pPr>
        <w:keepNext/>
        <w:keepLines/>
        <w:autoSpaceDE w:val="0"/>
        <w:autoSpaceDN w:val="0"/>
        <w:adjustRightInd w:val="0"/>
        <w:spacing w:before="200"/>
        <w:ind w:left="0"/>
        <w:rPr>
          <w:rFonts w:ascii="Arial" w:eastAsiaTheme="minorEastAsia" w:hAnsi="Arial" w:cs="Arial"/>
          <w:color w:val="000000" w:themeColor="text1"/>
          <w:sz w:val="22"/>
          <w:szCs w:val="22"/>
        </w:rPr>
      </w:pPr>
      <w:r w:rsidRPr="009E35ED">
        <w:rPr>
          <w:rFonts w:ascii="Arial" w:eastAsiaTheme="minorEastAsia" w:hAnsi="Arial" w:cs="Arial"/>
          <w:color w:val="000000" w:themeColor="text1"/>
          <w:sz w:val="22"/>
          <w:szCs w:val="22"/>
        </w:rPr>
        <w:t>For financial liabilities designated at</w:t>
      </w:r>
      <w:r w:rsidR="00256B14">
        <w:rPr>
          <w:rFonts w:ascii="Arial" w:eastAsiaTheme="minorEastAsia" w:hAnsi="Arial" w:cs="Arial"/>
          <w:color w:val="000000" w:themeColor="text1"/>
          <w:sz w:val="22"/>
          <w:szCs w:val="22"/>
        </w:rPr>
        <w:t xml:space="preserve"> the</w:t>
      </w:r>
      <w:r w:rsidRPr="009E35ED">
        <w:rPr>
          <w:rFonts w:ascii="Arial" w:eastAsiaTheme="minorEastAsia" w:hAnsi="Arial" w:cs="Arial"/>
          <w:color w:val="000000" w:themeColor="text1"/>
          <w:sz w:val="22"/>
          <w:szCs w:val="22"/>
        </w:rPr>
        <w:t xml:space="preserve"> FVPL under the fair value option, the amount of change in fair value that is attributable to changes in the credit risk of that liability is recognized in other comprehensive income (rather than in profit or loss), unless this creates an accounting mismatch.  Amounts presented in other comprehensive income are not subsequently transferred to profit or loss.</w:t>
      </w:r>
    </w:p>
    <w:p w14:paraId="5A86F2D4" w14:textId="77777777" w:rsidR="006F2133" w:rsidRPr="009E35ED" w:rsidRDefault="006F2133" w:rsidP="00803F8C">
      <w:pPr>
        <w:ind w:left="0"/>
        <w:rPr>
          <w:rFonts w:ascii="Arial" w:eastAsiaTheme="minorEastAsia" w:hAnsi="Arial" w:cs="Arial"/>
          <w:color w:val="000000" w:themeColor="text1"/>
          <w:sz w:val="22"/>
          <w:szCs w:val="22"/>
        </w:rPr>
      </w:pPr>
    </w:p>
    <w:p w14:paraId="061E94B2" w14:textId="4E62E2E0" w:rsidR="002F0A71" w:rsidRPr="009E35ED" w:rsidRDefault="006F2133" w:rsidP="00803F8C">
      <w:pPr>
        <w:ind w:left="0"/>
        <w:rPr>
          <w:rFonts w:ascii="Arial" w:eastAsiaTheme="minorEastAsia" w:hAnsi="Arial" w:cs="Arial"/>
          <w:color w:val="000000" w:themeColor="text1"/>
          <w:sz w:val="22"/>
          <w:szCs w:val="22"/>
        </w:rPr>
      </w:pPr>
      <w:r w:rsidRPr="009E35ED">
        <w:rPr>
          <w:rFonts w:ascii="Arial" w:eastAsiaTheme="minorEastAsia" w:hAnsi="Arial" w:cs="Arial"/>
          <w:color w:val="000000" w:themeColor="text1"/>
          <w:sz w:val="22"/>
          <w:szCs w:val="22"/>
        </w:rPr>
        <w:t>As at December 31, 2</w:t>
      </w:r>
      <w:r w:rsidR="00D7132F" w:rsidRPr="009E35ED">
        <w:rPr>
          <w:rFonts w:ascii="Arial" w:eastAsiaTheme="minorEastAsia" w:hAnsi="Arial" w:cs="Arial"/>
          <w:color w:val="000000" w:themeColor="text1"/>
          <w:sz w:val="22"/>
          <w:szCs w:val="22"/>
        </w:rPr>
        <w:t>0</w:t>
      </w:r>
      <w:r w:rsidR="008C46DC" w:rsidRPr="009E35ED">
        <w:rPr>
          <w:rFonts w:ascii="Arial" w:eastAsiaTheme="minorEastAsia" w:hAnsi="Arial" w:cs="Arial"/>
          <w:color w:val="000000" w:themeColor="text1"/>
          <w:sz w:val="22"/>
          <w:szCs w:val="22"/>
        </w:rPr>
        <w:t>2</w:t>
      </w:r>
      <w:r w:rsidR="00EC0001" w:rsidRPr="009E35ED">
        <w:rPr>
          <w:rFonts w:ascii="Arial" w:eastAsiaTheme="minorEastAsia" w:hAnsi="Arial" w:cs="Arial"/>
          <w:color w:val="000000" w:themeColor="text1"/>
          <w:sz w:val="22"/>
          <w:szCs w:val="22"/>
        </w:rPr>
        <w:t>3</w:t>
      </w:r>
      <w:r w:rsidR="008C46DC" w:rsidRPr="009E35ED">
        <w:rPr>
          <w:rFonts w:ascii="Arial" w:eastAsiaTheme="minorEastAsia" w:hAnsi="Arial" w:cs="Arial"/>
          <w:color w:val="000000" w:themeColor="text1"/>
          <w:sz w:val="22"/>
          <w:szCs w:val="22"/>
        </w:rPr>
        <w:t xml:space="preserve"> and 202</w:t>
      </w:r>
      <w:r w:rsidR="00EC0001" w:rsidRPr="009E35ED">
        <w:rPr>
          <w:rFonts w:ascii="Arial" w:eastAsiaTheme="minorEastAsia" w:hAnsi="Arial" w:cs="Arial"/>
          <w:color w:val="000000" w:themeColor="text1"/>
          <w:sz w:val="22"/>
          <w:szCs w:val="22"/>
        </w:rPr>
        <w:t>2</w:t>
      </w:r>
      <w:r w:rsidRPr="009E35ED">
        <w:rPr>
          <w:rFonts w:ascii="Arial" w:eastAsiaTheme="minorEastAsia" w:hAnsi="Arial" w:cs="Arial"/>
          <w:color w:val="000000" w:themeColor="text1"/>
          <w:sz w:val="22"/>
          <w:szCs w:val="22"/>
        </w:rPr>
        <w:t>, the PCSO does not have financial assets and liabilities classified as</w:t>
      </w:r>
      <w:r w:rsidR="00256B14">
        <w:rPr>
          <w:rFonts w:ascii="Arial" w:eastAsiaTheme="minorEastAsia" w:hAnsi="Arial" w:cs="Arial"/>
          <w:color w:val="000000" w:themeColor="text1"/>
          <w:sz w:val="22"/>
          <w:szCs w:val="22"/>
        </w:rPr>
        <w:t xml:space="preserve"> the</w:t>
      </w:r>
      <w:r w:rsidRPr="009E35ED">
        <w:rPr>
          <w:rFonts w:ascii="Arial" w:eastAsiaTheme="minorEastAsia" w:hAnsi="Arial" w:cs="Arial"/>
          <w:color w:val="000000" w:themeColor="text1"/>
          <w:sz w:val="22"/>
          <w:szCs w:val="22"/>
        </w:rPr>
        <w:t xml:space="preserve"> FV</w:t>
      </w:r>
      <w:r w:rsidR="00241279" w:rsidRPr="009E35ED">
        <w:rPr>
          <w:rFonts w:ascii="Arial" w:eastAsiaTheme="minorEastAsia" w:hAnsi="Arial" w:cs="Arial"/>
          <w:color w:val="000000" w:themeColor="text1"/>
          <w:sz w:val="22"/>
          <w:szCs w:val="22"/>
        </w:rPr>
        <w:t>PL</w:t>
      </w:r>
      <w:r w:rsidR="008B4370" w:rsidRPr="009E35ED">
        <w:rPr>
          <w:rFonts w:ascii="Arial" w:eastAsiaTheme="minorEastAsia" w:hAnsi="Arial" w:cs="Arial"/>
          <w:color w:val="000000" w:themeColor="text1"/>
          <w:sz w:val="22"/>
          <w:szCs w:val="22"/>
        </w:rPr>
        <w:t>.</w:t>
      </w:r>
    </w:p>
    <w:p w14:paraId="261F9599" w14:textId="726DD473" w:rsidR="00161165" w:rsidRPr="009E35ED" w:rsidRDefault="00161165" w:rsidP="00803F8C">
      <w:pPr>
        <w:ind w:left="0"/>
        <w:rPr>
          <w:rFonts w:ascii="Arial" w:hAnsi="Arial" w:cs="Arial"/>
          <w:color w:val="000000" w:themeColor="text1"/>
          <w:sz w:val="22"/>
          <w:szCs w:val="22"/>
        </w:rPr>
      </w:pPr>
    </w:p>
    <w:p w14:paraId="7A7C28F9" w14:textId="77777777" w:rsidR="00161165" w:rsidRPr="009E35ED" w:rsidRDefault="00161165" w:rsidP="00803F8C">
      <w:pPr>
        <w:ind w:left="0"/>
        <w:rPr>
          <w:rFonts w:ascii="Arial" w:hAnsi="Arial" w:cs="Arial"/>
          <w:color w:val="000000" w:themeColor="text1"/>
          <w:sz w:val="22"/>
          <w:szCs w:val="22"/>
        </w:rPr>
      </w:pPr>
    </w:p>
    <w:p w14:paraId="20B20A8D" w14:textId="77777777" w:rsidR="002F0A71" w:rsidRPr="009E35ED" w:rsidRDefault="00595D52" w:rsidP="00074309">
      <w:pPr>
        <w:pStyle w:val="ListParagraph"/>
        <w:numPr>
          <w:ilvl w:val="0"/>
          <w:numId w:val="8"/>
        </w:numPr>
        <w:ind w:hanging="720"/>
        <w:rPr>
          <w:rFonts w:ascii="Arial" w:hAnsi="Arial" w:cs="Arial"/>
          <w:b/>
          <w:color w:val="000000" w:themeColor="text1"/>
          <w:sz w:val="22"/>
          <w:szCs w:val="22"/>
        </w:rPr>
      </w:pPr>
      <w:r w:rsidRPr="009E35ED">
        <w:rPr>
          <w:rFonts w:ascii="Arial" w:hAnsi="Arial" w:cs="Arial"/>
          <w:b/>
          <w:color w:val="000000" w:themeColor="text1"/>
          <w:sz w:val="22"/>
          <w:szCs w:val="22"/>
        </w:rPr>
        <w:t>Financial Assets</w:t>
      </w:r>
    </w:p>
    <w:p w14:paraId="694B7FEA" w14:textId="77777777" w:rsidR="00595D52" w:rsidRPr="009E35ED" w:rsidRDefault="00595D52" w:rsidP="00803F8C">
      <w:pPr>
        <w:ind w:left="0"/>
        <w:rPr>
          <w:rFonts w:ascii="Arial" w:hAnsi="Arial" w:cs="Arial"/>
          <w:color w:val="000000" w:themeColor="text1"/>
          <w:sz w:val="22"/>
          <w:szCs w:val="22"/>
        </w:rPr>
      </w:pPr>
    </w:p>
    <w:p w14:paraId="107712CC" w14:textId="77777777" w:rsidR="003B4D23" w:rsidRPr="009E35ED" w:rsidRDefault="003B4D23" w:rsidP="00803F8C">
      <w:pPr>
        <w:ind w:left="0"/>
        <w:rPr>
          <w:rFonts w:ascii="Arial" w:hAnsi="Arial" w:cs="Arial"/>
          <w:i/>
          <w:color w:val="000000" w:themeColor="text1"/>
          <w:sz w:val="22"/>
          <w:szCs w:val="22"/>
        </w:rPr>
      </w:pPr>
      <w:r w:rsidRPr="009E35ED">
        <w:rPr>
          <w:rFonts w:ascii="Arial" w:hAnsi="Arial" w:cs="Arial"/>
          <w:i/>
          <w:color w:val="000000" w:themeColor="text1"/>
          <w:sz w:val="22"/>
          <w:szCs w:val="22"/>
        </w:rPr>
        <w:t>Classification and Measurement</w:t>
      </w:r>
      <w:r w:rsidR="006F26E9" w:rsidRPr="009E35ED">
        <w:rPr>
          <w:rFonts w:ascii="Arial" w:hAnsi="Arial" w:cs="Arial"/>
          <w:i/>
          <w:color w:val="000000" w:themeColor="text1"/>
          <w:sz w:val="22"/>
          <w:szCs w:val="22"/>
        </w:rPr>
        <w:t xml:space="preserve"> of Financial Assets</w:t>
      </w:r>
    </w:p>
    <w:p w14:paraId="4318C6F8" w14:textId="77777777" w:rsidR="003B4D23" w:rsidRPr="009E35ED" w:rsidRDefault="003B4D23" w:rsidP="00803F8C">
      <w:pPr>
        <w:ind w:left="0"/>
        <w:rPr>
          <w:rFonts w:ascii="Arial" w:hAnsi="Arial" w:cs="Arial"/>
          <w:i/>
          <w:color w:val="000000" w:themeColor="text1"/>
          <w:sz w:val="22"/>
          <w:szCs w:val="22"/>
        </w:rPr>
      </w:pPr>
    </w:p>
    <w:p w14:paraId="2895EE0A" w14:textId="4019B023" w:rsidR="003B4D23" w:rsidRPr="009E35ED" w:rsidRDefault="00076D82" w:rsidP="00803F8C">
      <w:pPr>
        <w:ind w:left="0"/>
        <w:rPr>
          <w:rFonts w:ascii="Arial" w:hAnsi="Arial" w:cs="Arial"/>
          <w:color w:val="000000" w:themeColor="text1"/>
          <w:sz w:val="22"/>
          <w:szCs w:val="22"/>
        </w:rPr>
      </w:pPr>
      <w:r w:rsidRPr="009E35ED">
        <w:rPr>
          <w:rFonts w:ascii="Arial" w:eastAsia="Batang" w:hAnsi="Arial" w:cs="Arial"/>
          <w:color w:val="000000" w:themeColor="text1"/>
          <w:sz w:val="22"/>
          <w:szCs w:val="22"/>
        </w:rPr>
        <w:t xml:space="preserve">The PCSO classifies its financial assets at initial recognition under the following categories: (a) financial assets at </w:t>
      </w:r>
      <w:r w:rsidR="00256B14">
        <w:rPr>
          <w:rFonts w:ascii="Arial" w:eastAsia="Batang" w:hAnsi="Arial" w:cs="Arial"/>
          <w:color w:val="000000" w:themeColor="text1"/>
          <w:sz w:val="22"/>
          <w:szCs w:val="22"/>
        </w:rPr>
        <w:t xml:space="preserve">the </w:t>
      </w:r>
      <w:r w:rsidRPr="009E35ED">
        <w:rPr>
          <w:rFonts w:ascii="Arial" w:eastAsia="Batang" w:hAnsi="Arial" w:cs="Arial"/>
          <w:color w:val="000000" w:themeColor="text1"/>
          <w:sz w:val="22"/>
          <w:szCs w:val="22"/>
        </w:rPr>
        <w:t xml:space="preserve">FVPL, (b) financial assets at amortized cost and (c) financial assets at </w:t>
      </w:r>
      <w:r w:rsidR="00256B14">
        <w:rPr>
          <w:rFonts w:ascii="Arial" w:eastAsia="Batang" w:hAnsi="Arial" w:cs="Arial"/>
          <w:color w:val="000000" w:themeColor="text1"/>
          <w:sz w:val="22"/>
          <w:szCs w:val="22"/>
        </w:rPr>
        <w:t xml:space="preserve">the </w:t>
      </w:r>
      <w:r w:rsidRPr="009E35ED">
        <w:rPr>
          <w:rFonts w:ascii="Arial" w:eastAsia="Batang" w:hAnsi="Arial" w:cs="Arial"/>
          <w:color w:val="000000" w:themeColor="text1"/>
          <w:sz w:val="22"/>
          <w:szCs w:val="22"/>
        </w:rPr>
        <w:t xml:space="preserve">FVOCI.  Financial liabilities, on the other hand, are classified as either financial liabilities at </w:t>
      </w:r>
      <w:r w:rsidR="00256B14">
        <w:rPr>
          <w:rFonts w:ascii="Arial" w:eastAsia="Batang" w:hAnsi="Arial" w:cs="Arial"/>
          <w:color w:val="000000" w:themeColor="text1"/>
          <w:sz w:val="22"/>
          <w:szCs w:val="22"/>
        </w:rPr>
        <w:t xml:space="preserve">the </w:t>
      </w:r>
      <w:r w:rsidRPr="009E35ED">
        <w:rPr>
          <w:rFonts w:ascii="Arial" w:eastAsia="Batang" w:hAnsi="Arial" w:cs="Arial"/>
          <w:color w:val="000000" w:themeColor="text1"/>
          <w:sz w:val="22"/>
          <w:szCs w:val="22"/>
        </w:rPr>
        <w:t>FVPL or financial liabilities at amortized cost.  The classification of a financial instrument largely depends on PCSO’s business model and its contractual cash flow characteristics.</w:t>
      </w:r>
    </w:p>
    <w:p w14:paraId="644D1BA6" w14:textId="77777777" w:rsidR="00437BDC" w:rsidRPr="009E35ED" w:rsidRDefault="00437BDC" w:rsidP="00803F8C">
      <w:pPr>
        <w:ind w:left="0"/>
        <w:rPr>
          <w:rFonts w:ascii="Arial" w:hAnsi="Arial" w:cs="Arial"/>
          <w:color w:val="000000" w:themeColor="text1"/>
          <w:sz w:val="22"/>
          <w:szCs w:val="22"/>
        </w:rPr>
      </w:pPr>
    </w:p>
    <w:p w14:paraId="2D307237" w14:textId="77777777" w:rsidR="003B4D23" w:rsidRPr="009E35ED" w:rsidRDefault="003B4D23" w:rsidP="00803F8C">
      <w:pPr>
        <w:ind w:left="0"/>
        <w:rPr>
          <w:rFonts w:ascii="Arial" w:hAnsi="Arial" w:cs="Arial"/>
          <w:b/>
          <w:i/>
          <w:color w:val="000000" w:themeColor="text1"/>
          <w:sz w:val="22"/>
          <w:szCs w:val="22"/>
        </w:rPr>
      </w:pPr>
      <w:r w:rsidRPr="009E35ED">
        <w:rPr>
          <w:rFonts w:ascii="Arial" w:hAnsi="Arial" w:cs="Arial"/>
          <w:b/>
          <w:i/>
          <w:color w:val="000000" w:themeColor="text1"/>
          <w:sz w:val="22"/>
          <w:szCs w:val="22"/>
        </w:rPr>
        <w:t xml:space="preserve">Financial Assets at </w:t>
      </w:r>
      <w:r w:rsidR="006C25FE" w:rsidRPr="009E35ED">
        <w:rPr>
          <w:rFonts w:ascii="Arial" w:hAnsi="Arial" w:cs="Arial"/>
          <w:b/>
          <w:i/>
          <w:color w:val="000000" w:themeColor="text1"/>
          <w:sz w:val="22"/>
          <w:szCs w:val="22"/>
        </w:rPr>
        <w:t>Amortized Cost</w:t>
      </w:r>
    </w:p>
    <w:p w14:paraId="6E4CF45F" w14:textId="77777777" w:rsidR="00CD74C5" w:rsidRPr="009E35ED" w:rsidRDefault="00CD74C5" w:rsidP="00CD74C5">
      <w:pPr>
        <w:widowControl w:val="0"/>
        <w:autoSpaceDE w:val="0"/>
        <w:autoSpaceDN w:val="0"/>
        <w:adjustRightInd w:val="0"/>
        <w:ind w:left="0"/>
        <w:rPr>
          <w:rFonts w:ascii="Arial" w:eastAsiaTheme="minorEastAsia" w:hAnsi="Arial" w:cs="Arial"/>
          <w:color w:val="000000" w:themeColor="text1"/>
          <w:sz w:val="22"/>
          <w:szCs w:val="22"/>
        </w:rPr>
      </w:pPr>
    </w:p>
    <w:p w14:paraId="369A62BA" w14:textId="1947D2EE" w:rsidR="00076D82" w:rsidRPr="009E35ED" w:rsidRDefault="00076D82" w:rsidP="00CD74C5">
      <w:pPr>
        <w:widowControl w:val="0"/>
        <w:autoSpaceDE w:val="0"/>
        <w:autoSpaceDN w:val="0"/>
        <w:adjustRightInd w:val="0"/>
        <w:ind w:left="0"/>
        <w:rPr>
          <w:rFonts w:ascii="Arial" w:eastAsiaTheme="minorEastAsia" w:hAnsi="Arial" w:cs="Arial"/>
          <w:color w:val="000000" w:themeColor="text1"/>
          <w:sz w:val="22"/>
          <w:szCs w:val="22"/>
        </w:rPr>
      </w:pPr>
      <w:r w:rsidRPr="009E35ED">
        <w:rPr>
          <w:rFonts w:ascii="Arial" w:eastAsiaTheme="minorEastAsia" w:hAnsi="Arial" w:cs="Arial"/>
          <w:color w:val="000000" w:themeColor="text1"/>
          <w:sz w:val="22"/>
          <w:szCs w:val="22"/>
        </w:rPr>
        <w:t>Financial assets shall be measured at amortized cost if both of the following conditions are met:</w:t>
      </w:r>
    </w:p>
    <w:p w14:paraId="7373B605" w14:textId="77777777" w:rsidR="00CD74C5" w:rsidRPr="009E35ED" w:rsidRDefault="00CD74C5" w:rsidP="004E1271">
      <w:pPr>
        <w:widowControl w:val="0"/>
        <w:autoSpaceDE w:val="0"/>
        <w:autoSpaceDN w:val="0"/>
        <w:adjustRightInd w:val="0"/>
        <w:ind w:left="0"/>
        <w:rPr>
          <w:rFonts w:ascii="Arial" w:eastAsiaTheme="minorEastAsia" w:hAnsi="Arial" w:cs="Arial"/>
          <w:color w:val="000000" w:themeColor="text1"/>
          <w:sz w:val="22"/>
          <w:szCs w:val="22"/>
        </w:rPr>
      </w:pPr>
    </w:p>
    <w:p w14:paraId="5BCA3CA1" w14:textId="77777777" w:rsidR="00076D82" w:rsidRPr="009E35ED" w:rsidRDefault="00076D82" w:rsidP="001C371F">
      <w:pPr>
        <w:widowControl w:val="0"/>
        <w:numPr>
          <w:ilvl w:val="0"/>
          <w:numId w:val="17"/>
        </w:numPr>
        <w:autoSpaceDE w:val="0"/>
        <w:autoSpaceDN w:val="0"/>
        <w:adjustRightInd w:val="0"/>
        <w:ind w:left="720"/>
        <w:rPr>
          <w:rFonts w:ascii="Arial" w:eastAsiaTheme="minorEastAsia" w:hAnsi="Arial" w:cs="Arial"/>
          <w:color w:val="000000" w:themeColor="text1"/>
          <w:sz w:val="22"/>
          <w:szCs w:val="22"/>
        </w:rPr>
      </w:pPr>
      <w:r w:rsidRPr="009E35ED">
        <w:rPr>
          <w:rFonts w:ascii="Arial" w:eastAsiaTheme="minorEastAsia" w:hAnsi="Arial" w:cs="Arial"/>
          <w:color w:val="000000" w:themeColor="text1"/>
          <w:sz w:val="22"/>
          <w:szCs w:val="22"/>
        </w:rPr>
        <w:t xml:space="preserve">the financial asset is held within a business model whose objective is to hold financial assets in order to collect contractual cash flows; and </w:t>
      </w:r>
    </w:p>
    <w:p w14:paraId="7884DC21" w14:textId="77777777" w:rsidR="00076D82" w:rsidRPr="009E35ED" w:rsidRDefault="00076D82" w:rsidP="001C371F">
      <w:pPr>
        <w:widowControl w:val="0"/>
        <w:numPr>
          <w:ilvl w:val="0"/>
          <w:numId w:val="17"/>
        </w:numPr>
        <w:autoSpaceDE w:val="0"/>
        <w:autoSpaceDN w:val="0"/>
        <w:adjustRightInd w:val="0"/>
        <w:ind w:left="720"/>
        <w:rPr>
          <w:rFonts w:ascii="Arial" w:eastAsiaTheme="minorEastAsia" w:hAnsi="Arial" w:cs="Arial"/>
          <w:color w:val="000000" w:themeColor="text1"/>
          <w:sz w:val="22"/>
          <w:szCs w:val="22"/>
        </w:rPr>
      </w:pPr>
      <w:r w:rsidRPr="009E35ED">
        <w:rPr>
          <w:rFonts w:ascii="Arial" w:eastAsiaTheme="minorEastAsia" w:hAnsi="Arial" w:cs="Arial"/>
          <w:color w:val="000000" w:themeColor="text1"/>
          <w:sz w:val="22"/>
          <w:szCs w:val="22"/>
        </w:rPr>
        <w:t>the contractual terms of the financial asset give rise, on specified dates, to cash flows that are solely payments of principal and interest on the principal amount outstanding.</w:t>
      </w:r>
    </w:p>
    <w:p w14:paraId="56655BE8" w14:textId="77777777" w:rsidR="00CD74C5" w:rsidRPr="009E35ED" w:rsidRDefault="00CD74C5" w:rsidP="00CD74C5">
      <w:pPr>
        <w:widowControl w:val="0"/>
        <w:autoSpaceDE w:val="0"/>
        <w:autoSpaceDN w:val="0"/>
        <w:adjustRightInd w:val="0"/>
        <w:ind w:left="0"/>
        <w:rPr>
          <w:rFonts w:ascii="Arial" w:eastAsiaTheme="minorEastAsia" w:hAnsi="Arial" w:cs="Arial"/>
          <w:color w:val="000000" w:themeColor="text1"/>
          <w:sz w:val="22"/>
          <w:szCs w:val="22"/>
        </w:rPr>
      </w:pPr>
    </w:p>
    <w:p w14:paraId="1BFDD08E" w14:textId="391ADB8C" w:rsidR="00076D82" w:rsidRPr="009E35ED" w:rsidRDefault="00076D82" w:rsidP="004E1271">
      <w:pPr>
        <w:widowControl w:val="0"/>
        <w:autoSpaceDE w:val="0"/>
        <w:autoSpaceDN w:val="0"/>
        <w:adjustRightInd w:val="0"/>
        <w:ind w:left="0"/>
        <w:rPr>
          <w:rFonts w:ascii="Arial" w:eastAsiaTheme="minorEastAsia" w:hAnsi="Arial" w:cs="Arial"/>
          <w:color w:val="000000" w:themeColor="text1"/>
          <w:sz w:val="22"/>
          <w:szCs w:val="22"/>
        </w:rPr>
      </w:pPr>
      <w:r w:rsidRPr="009E35ED">
        <w:rPr>
          <w:rFonts w:ascii="Arial" w:eastAsiaTheme="minorEastAsia" w:hAnsi="Arial" w:cs="Arial"/>
          <w:color w:val="000000" w:themeColor="text1"/>
          <w:sz w:val="22"/>
          <w:szCs w:val="22"/>
        </w:rPr>
        <w:t>After initial recognition, financial assets at amortized cost are subsequently measured at amortized cost using the effective interest method, less allowance for impairment, if any. Amortized cost is calculated by taking into account any discount or premium on acquisition and fees that are an integral part of the effective interest rate. Gains and losses are recognized in profit or loss when the financial assets are derecognized and through amortization process. Financial assets at amortized cost are included under current assets if realizability or collectability is within 12 months after the reporting period. Otherwise, these are classified as noncurrent assets.</w:t>
      </w:r>
    </w:p>
    <w:p w14:paraId="1AFCF6CA" w14:textId="77777777" w:rsidR="00CD74C5" w:rsidRPr="009E35ED" w:rsidRDefault="00CD74C5" w:rsidP="00803F8C">
      <w:pPr>
        <w:ind w:left="0"/>
        <w:rPr>
          <w:rFonts w:ascii="Arial" w:eastAsiaTheme="minorEastAsia" w:hAnsi="Arial" w:cs="Arial"/>
          <w:color w:val="000000" w:themeColor="text1"/>
          <w:sz w:val="22"/>
          <w:szCs w:val="22"/>
        </w:rPr>
      </w:pPr>
    </w:p>
    <w:p w14:paraId="12B4C61F" w14:textId="34870855" w:rsidR="00076D82" w:rsidRPr="009E35ED" w:rsidRDefault="00076D82" w:rsidP="00803F8C">
      <w:pPr>
        <w:ind w:left="0"/>
        <w:rPr>
          <w:rFonts w:ascii="Arial" w:eastAsiaTheme="minorEastAsia" w:hAnsi="Arial" w:cs="Arial"/>
          <w:color w:val="000000" w:themeColor="text1"/>
          <w:sz w:val="22"/>
          <w:szCs w:val="22"/>
        </w:rPr>
      </w:pPr>
      <w:r w:rsidRPr="009E35ED">
        <w:rPr>
          <w:rFonts w:ascii="Arial" w:eastAsiaTheme="minorEastAsia" w:hAnsi="Arial" w:cs="Arial"/>
          <w:color w:val="000000" w:themeColor="text1"/>
          <w:sz w:val="22"/>
          <w:szCs w:val="22"/>
        </w:rPr>
        <w:t>As at December 31, 20</w:t>
      </w:r>
      <w:r w:rsidR="008C46DC" w:rsidRPr="009E35ED">
        <w:rPr>
          <w:rFonts w:ascii="Arial" w:eastAsiaTheme="minorEastAsia" w:hAnsi="Arial" w:cs="Arial"/>
          <w:color w:val="000000" w:themeColor="text1"/>
          <w:sz w:val="22"/>
          <w:szCs w:val="22"/>
        </w:rPr>
        <w:t>2</w:t>
      </w:r>
      <w:r w:rsidR="00EC0001" w:rsidRPr="009E35ED">
        <w:rPr>
          <w:rFonts w:ascii="Arial" w:eastAsiaTheme="minorEastAsia" w:hAnsi="Arial" w:cs="Arial"/>
          <w:color w:val="000000" w:themeColor="text1"/>
          <w:sz w:val="22"/>
          <w:szCs w:val="22"/>
        </w:rPr>
        <w:t>3</w:t>
      </w:r>
      <w:r w:rsidRPr="009E35ED">
        <w:rPr>
          <w:rFonts w:ascii="Arial" w:eastAsiaTheme="minorEastAsia" w:hAnsi="Arial" w:cs="Arial"/>
          <w:color w:val="000000" w:themeColor="text1"/>
          <w:sz w:val="22"/>
          <w:szCs w:val="22"/>
        </w:rPr>
        <w:t xml:space="preserve"> and 20</w:t>
      </w:r>
      <w:r w:rsidR="008C46DC" w:rsidRPr="009E35ED">
        <w:rPr>
          <w:rFonts w:ascii="Arial" w:eastAsiaTheme="minorEastAsia" w:hAnsi="Arial" w:cs="Arial"/>
          <w:color w:val="000000" w:themeColor="text1"/>
          <w:sz w:val="22"/>
          <w:szCs w:val="22"/>
        </w:rPr>
        <w:t>2</w:t>
      </w:r>
      <w:r w:rsidR="00EC0001" w:rsidRPr="009E35ED">
        <w:rPr>
          <w:rFonts w:ascii="Arial" w:eastAsiaTheme="minorEastAsia" w:hAnsi="Arial" w:cs="Arial"/>
          <w:color w:val="000000" w:themeColor="text1"/>
          <w:sz w:val="22"/>
          <w:szCs w:val="22"/>
        </w:rPr>
        <w:t>2</w:t>
      </w:r>
      <w:r w:rsidRPr="009E35ED">
        <w:rPr>
          <w:rFonts w:ascii="Arial" w:eastAsiaTheme="minorEastAsia" w:hAnsi="Arial" w:cs="Arial"/>
          <w:color w:val="000000" w:themeColor="text1"/>
          <w:sz w:val="22"/>
          <w:szCs w:val="22"/>
        </w:rPr>
        <w:t>, PCSO’s cash and cash equivalents, receivables, short term investments and long term investments (except externally managed funds recorded as Financial Assets – Available for Sale Securities) are classified under this category.</w:t>
      </w:r>
    </w:p>
    <w:p w14:paraId="2BF8A314" w14:textId="78715FF3" w:rsidR="00376071" w:rsidRPr="009E35ED" w:rsidRDefault="00376071" w:rsidP="00803F8C">
      <w:pPr>
        <w:ind w:left="0"/>
        <w:rPr>
          <w:rFonts w:ascii="Arial" w:hAnsi="Arial" w:cs="Arial"/>
          <w:b/>
          <w:i/>
          <w:color w:val="000000" w:themeColor="text1"/>
          <w:sz w:val="22"/>
          <w:szCs w:val="22"/>
        </w:rPr>
      </w:pPr>
    </w:p>
    <w:p w14:paraId="628F9EBF" w14:textId="73632B6B" w:rsidR="00647BF5" w:rsidRPr="009E35ED" w:rsidRDefault="00647BF5" w:rsidP="00803F8C">
      <w:pPr>
        <w:ind w:left="0"/>
        <w:rPr>
          <w:rFonts w:ascii="Arial" w:hAnsi="Arial" w:cs="Arial"/>
          <w:b/>
          <w:i/>
          <w:color w:val="000000" w:themeColor="text1"/>
          <w:sz w:val="22"/>
          <w:szCs w:val="22"/>
        </w:rPr>
      </w:pPr>
      <w:r w:rsidRPr="009E35ED">
        <w:rPr>
          <w:rFonts w:ascii="Arial" w:hAnsi="Arial" w:cs="Arial"/>
          <w:b/>
          <w:i/>
          <w:color w:val="000000" w:themeColor="text1"/>
          <w:sz w:val="22"/>
          <w:szCs w:val="22"/>
        </w:rPr>
        <w:t>Financial Assets at</w:t>
      </w:r>
      <w:r w:rsidR="00256B14">
        <w:rPr>
          <w:rFonts w:ascii="Arial" w:hAnsi="Arial" w:cs="Arial"/>
          <w:b/>
          <w:i/>
          <w:color w:val="000000" w:themeColor="text1"/>
          <w:sz w:val="22"/>
          <w:szCs w:val="22"/>
        </w:rPr>
        <w:t xml:space="preserve"> the</w:t>
      </w:r>
      <w:r w:rsidRPr="009E35ED">
        <w:rPr>
          <w:rFonts w:ascii="Arial" w:hAnsi="Arial" w:cs="Arial"/>
          <w:b/>
          <w:i/>
          <w:color w:val="000000" w:themeColor="text1"/>
          <w:sz w:val="22"/>
          <w:szCs w:val="22"/>
        </w:rPr>
        <w:t xml:space="preserve"> FVOCI</w:t>
      </w:r>
    </w:p>
    <w:p w14:paraId="01A91C6F" w14:textId="77777777" w:rsidR="00CD74C5" w:rsidRPr="009E35ED" w:rsidRDefault="00CD74C5" w:rsidP="00CD74C5">
      <w:pPr>
        <w:widowControl w:val="0"/>
        <w:autoSpaceDE w:val="0"/>
        <w:autoSpaceDN w:val="0"/>
        <w:adjustRightInd w:val="0"/>
        <w:ind w:left="0"/>
        <w:rPr>
          <w:rFonts w:ascii="Arial" w:eastAsiaTheme="minorEastAsia" w:hAnsi="Arial" w:cs="Arial"/>
          <w:color w:val="000000" w:themeColor="text1"/>
          <w:sz w:val="22"/>
          <w:szCs w:val="22"/>
        </w:rPr>
      </w:pPr>
    </w:p>
    <w:p w14:paraId="3AC9EAC4" w14:textId="6B264F94" w:rsidR="00076D82" w:rsidRPr="009E35ED" w:rsidRDefault="00076D82" w:rsidP="00CD74C5">
      <w:pPr>
        <w:widowControl w:val="0"/>
        <w:autoSpaceDE w:val="0"/>
        <w:autoSpaceDN w:val="0"/>
        <w:adjustRightInd w:val="0"/>
        <w:ind w:left="0"/>
        <w:rPr>
          <w:rFonts w:ascii="Arial" w:eastAsiaTheme="minorEastAsia" w:hAnsi="Arial" w:cs="Arial"/>
          <w:color w:val="000000" w:themeColor="text1"/>
          <w:sz w:val="22"/>
          <w:szCs w:val="22"/>
        </w:rPr>
      </w:pPr>
      <w:r w:rsidRPr="009E35ED">
        <w:rPr>
          <w:rFonts w:ascii="Arial" w:eastAsiaTheme="minorEastAsia" w:hAnsi="Arial" w:cs="Arial"/>
          <w:color w:val="000000" w:themeColor="text1"/>
          <w:sz w:val="22"/>
          <w:szCs w:val="22"/>
        </w:rPr>
        <w:t xml:space="preserve">For debt instruments that meet the contractual cash flow characteristic and are not designated at </w:t>
      </w:r>
      <w:r w:rsidR="00256B14">
        <w:rPr>
          <w:rFonts w:ascii="Arial" w:eastAsiaTheme="minorEastAsia" w:hAnsi="Arial" w:cs="Arial"/>
          <w:color w:val="000000" w:themeColor="text1"/>
          <w:sz w:val="22"/>
          <w:szCs w:val="22"/>
        </w:rPr>
        <w:t xml:space="preserve">the </w:t>
      </w:r>
      <w:r w:rsidRPr="009E35ED">
        <w:rPr>
          <w:rFonts w:ascii="Arial" w:eastAsiaTheme="minorEastAsia" w:hAnsi="Arial" w:cs="Arial"/>
          <w:color w:val="000000" w:themeColor="text1"/>
          <w:sz w:val="22"/>
          <w:szCs w:val="22"/>
        </w:rPr>
        <w:t>FVPL under the fair value option, the financial assets shall be measured at</w:t>
      </w:r>
      <w:r w:rsidR="00256B14">
        <w:rPr>
          <w:rFonts w:ascii="Arial" w:eastAsiaTheme="minorEastAsia" w:hAnsi="Arial" w:cs="Arial"/>
          <w:color w:val="000000" w:themeColor="text1"/>
          <w:sz w:val="22"/>
          <w:szCs w:val="22"/>
        </w:rPr>
        <w:t xml:space="preserve"> the</w:t>
      </w:r>
      <w:r w:rsidRPr="009E35ED">
        <w:rPr>
          <w:rFonts w:ascii="Arial" w:eastAsiaTheme="minorEastAsia" w:hAnsi="Arial" w:cs="Arial"/>
          <w:color w:val="000000" w:themeColor="text1"/>
          <w:sz w:val="22"/>
          <w:szCs w:val="22"/>
        </w:rPr>
        <w:t xml:space="preserve"> FVOCI if both of the following conditions are met:</w:t>
      </w:r>
    </w:p>
    <w:p w14:paraId="5B06E598" w14:textId="77777777" w:rsidR="00CD74C5" w:rsidRDefault="00CD74C5" w:rsidP="004E1271">
      <w:pPr>
        <w:widowControl w:val="0"/>
        <w:autoSpaceDE w:val="0"/>
        <w:autoSpaceDN w:val="0"/>
        <w:adjustRightInd w:val="0"/>
        <w:ind w:left="0"/>
        <w:rPr>
          <w:rFonts w:ascii="Arial" w:eastAsiaTheme="minorEastAsia" w:hAnsi="Arial" w:cs="Arial"/>
          <w:color w:val="000000" w:themeColor="text1"/>
          <w:sz w:val="22"/>
          <w:szCs w:val="22"/>
        </w:rPr>
      </w:pPr>
    </w:p>
    <w:p w14:paraId="6F4031D3" w14:textId="77777777" w:rsidR="00076D82" w:rsidRDefault="00076D82" w:rsidP="001C371F">
      <w:pPr>
        <w:widowControl w:val="0"/>
        <w:numPr>
          <w:ilvl w:val="0"/>
          <w:numId w:val="18"/>
        </w:numPr>
        <w:autoSpaceDE w:val="0"/>
        <w:autoSpaceDN w:val="0"/>
        <w:adjustRightInd w:val="0"/>
        <w:ind w:left="720"/>
        <w:rPr>
          <w:rFonts w:ascii="Arial" w:eastAsiaTheme="minorEastAsia" w:hAnsi="Arial" w:cs="Arial"/>
          <w:color w:val="000000" w:themeColor="text1"/>
          <w:sz w:val="22"/>
          <w:szCs w:val="22"/>
        </w:rPr>
      </w:pPr>
      <w:r w:rsidRPr="009E35ED">
        <w:rPr>
          <w:rFonts w:ascii="Arial" w:eastAsiaTheme="minorEastAsia" w:hAnsi="Arial" w:cs="Arial"/>
          <w:color w:val="000000" w:themeColor="text1"/>
          <w:sz w:val="22"/>
          <w:szCs w:val="22"/>
        </w:rPr>
        <w:t xml:space="preserve">the financial asset is held within a business model whose objective is to hold financial assets in order to collect contractual cash flows and selling the financial assets; and </w:t>
      </w:r>
    </w:p>
    <w:p w14:paraId="206F1984" w14:textId="77777777" w:rsidR="00D043CC" w:rsidRPr="009E35ED" w:rsidRDefault="00D043CC" w:rsidP="00D043CC">
      <w:pPr>
        <w:widowControl w:val="0"/>
        <w:autoSpaceDE w:val="0"/>
        <w:autoSpaceDN w:val="0"/>
        <w:adjustRightInd w:val="0"/>
        <w:ind w:left="720"/>
        <w:rPr>
          <w:rFonts w:ascii="Arial" w:eastAsiaTheme="minorEastAsia" w:hAnsi="Arial" w:cs="Arial"/>
          <w:color w:val="000000" w:themeColor="text1"/>
          <w:sz w:val="22"/>
          <w:szCs w:val="22"/>
        </w:rPr>
      </w:pPr>
    </w:p>
    <w:p w14:paraId="0CC45694" w14:textId="77777777" w:rsidR="00076D82" w:rsidRPr="009E35ED" w:rsidRDefault="00076D82" w:rsidP="001C371F">
      <w:pPr>
        <w:widowControl w:val="0"/>
        <w:numPr>
          <w:ilvl w:val="0"/>
          <w:numId w:val="18"/>
        </w:numPr>
        <w:autoSpaceDE w:val="0"/>
        <w:autoSpaceDN w:val="0"/>
        <w:adjustRightInd w:val="0"/>
        <w:ind w:left="720"/>
        <w:rPr>
          <w:rFonts w:ascii="Arial" w:eastAsiaTheme="minorEastAsia" w:hAnsi="Arial" w:cs="Arial"/>
          <w:color w:val="000000" w:themeColor="text1"/>
          <w:sz w:val="22"/>
          <w:szCs w:val="22"/>
        </w:rPr>
      </w:pPr>
      <w:r w:rsidRPr="009E35ED">
        <w:rPr>
          <w:rFonts w:ascii="Arial" w:eastAsiaTheme="minorEastAsia" w:hAnsi="Arial" w:cs="Arial"/>
          <w:color w:val="000000" w:themeColor="text1"/>
          <w:sz w:val="22"/>
          <w:szCs w:val="22"/>
        </w:rPr>
        <w:t>the contractual terms of the financial asset give rise, on specified dates, to cash flows that are solely payments of principal and interest on the principal amount outstanding.</w:t>
      </w:r>
    </w:p>
    <w:p w14:paraId="2B5E7B41" w14:textId="77777777" w:rsidR="00CD74C5" w:rsidRPr="009E35ED" w:rsidRDefault="00CD74C5" w:rsidP="00CD74C5">
      <w:pPr>
        <w:widowControl w:val="0"/>
        <w:autoSpaceDE w:val="0"/>
        <w:autoSpaceDN w:val="0"/>
        <w:adjustRightInd w:val="0"/>
        <w:ind w:left="0"/>
        <w:rPr>
          <w:rFonts w:ascii="Arial" w:eastAsiaTheme="minorEastAsia" w:hAnsi="Arial" w:cs="Arial"/>
          <w:color w:val="000000" w:themeColor="text1"/>
          <w:sz w:val="22"/>
          <w:szCs w:val="22"/>
        </w:rPr>
      </w:pPr>
    </w:p>
    <w:p w14:paraId="633A2708" w14:textId="6C2FE4B3" w:rsidR="00076D82" w:rsidRPr="009E35ED" w:rsidRDefault="00076D82" w:rsidP="004E1271">
      <w:pPr>
        <w:widowControl w:val="0"/>
        <w:autoSpaceDE w:val="0"/>
        <w:autoSpaceDN w:val="0"/>
        <w:adjustRightInd w:val="0"/>
        <w:ind w:left="0"/>
        <w:rPr>
          <w:rFonts w:ascii="Arial" w:eastAsiaTheme="minorEastAsia" w:hAnsi="Arial" w:cs="Arial"/>
          <w:color w:val="000000" w:themeColor="text1"/>
          <w:sz w:val="22"/>
          <w:szCs w:val="22"/>
        </w:rPr>
      </w:pPr>
      <w:r w:rsidRPr="009E35ED">
        <w:rPr>
          <w:rFonts w:ascii="Arial" w:eastAsiaTheme="minorEastAsia" w:hAnsi="Arial" w:cs="Arial"/>
          <w:color w:val="000000" w:themeColor="text1"/>
          <w:sz w:val="22"/>
          <w:szCs w:val="22"/>
        </w:rPr>
        <w:t xml:space="preserve">For equity instruments, the PCSO may irrevocably designate the financial asset to be measured at </w:t>
      </w:r>
      <w:r w:rsidR="00256B14">
        <w:rPr>
          <w:rFonts w:ascii="Arial" w:eastAsiaTheme="minorEastAsia" w:hAnsi="Arial" w:cs="Arial"/>
          <w:color w:val="000000" w:themeColor="text1"/>
          <w:sz w:val="22"/>
          <w:szCs w:val="22"/>
        </w:rPr>
        <w:t xml:space="preserve">the </w:t>
      </w:r>
      <w:r w:rsidRPr="009E35ED">
        <w:rPr>
          <w:rFonts w:ascii="Arial" w:eastAsiaTheme="minorEastAsia" w:hAnsi="Arial" w:cs="Arial"/>
          <w:color w:val="000000" w:themeColor="text1"/>
          <w:sz w:val="22"/>
          <w:szCs w:val="22"/>
        </w:rPr>
        <w:t>FVOCI in case the above conditions are not met.</w:t>
      </w:r>
    </w:p>
    <w:p w14:paraId="48F851BF" w14:textId="06A465C5" w:rsidR="00076D82" w:rsidRPr="009E35ED" w:rsidRDefault="00076D82" w:rsidP="00803F8C">
      <w:pPr>
        <w:spacing w:before="240"/>
        <w:ind w:left="0"/>
        <w:rPr>
          <w:rFonts w:ascii="Arial" w:eastAsia="Batang" w:hAnsi="Arial" w:cs="Arial"/>
          <w:color w:val="000000" w:themeColor="text1"/>
          <w:sz w:val="22"/>
          <w:szCs w:val="22"/>
        </w:rPr>
      </w:pPr>
      <w:r w:rsidRPr="009E35ED">
        <w:rPr>
          <w:rFonts w:ascii="Arial" w:eastAsia="Batang" w:hAnsi="Arial" w:cs="Arial"/>
          <w:color w:val="000000" w:themeColor="text1"/>
          <w:sz w:val="22"/>
          <w:szCs w:val="22"/>
        </w:rPr>
        <w:t>Financial assets at</w:t>
      </w:r>
      <w:r w:rsidR="00256B14">
        <w:rPr>
          <w:rFonts w:ascii="Arial" w:eastAsia="Batang" w:hAnsi="Arial" w:cs="Arial"/>
          <w:color w:val="000000" w:themeColor="text1"/>
          <w:sz w:val="22"/>
          <w:szCs w:val="22"/>
        </w:rPr>
        <w:t xml:space="preserve"> the</w:t>
      </w:r>
      <w:r w:rsidRPr="009E35ED">
        <w:rPr>
          <w:rFonts w:ascii="Arial" w:eastAsia="Batang" w:hAnsi="Arial" w:cs="Arial"/>
          <w:color w:val="000000" w:themeColor="text1"/>
          <w:sz w:val="22"/>
          <w:szCs w:val="22"/>
        </w:rPr>
        <w:t xml:space="preserve"> FVOCI are initially measured at fair value plus transaction costs.  After initial recognition, interest income (calculated using the effective interest rate method), foreign currency gains or losses and impairment</w:t>
      </w:r>
      <w:r w:rsidRPr="009E35ED">
        <w:rPr>
          <w:rFonts w:ascii="Arial" w:eastAsia="Batang" w:hAnsi="Arial" w:cs="Arial"/>
          <w:b/>
          <w:color w:val="000000" w:themeColor="text1"/>
          <w:sz w:val="22"/>
          <w:szCs w:val="22"/>
        </w:rPr>
        <w:t xml:space="preserve"> </w:t>
      </w:r>
      <w:r w:rsidRPr="009E35ED">
        <w:rPr>
          <w:rFonts w:ascii="Arial" w:eastAsia="Batang" w:hAnsi="Arial" w:cs="Arial"/>
          <w:color w:val="000000" w:themeColor="text1"/>
          <w:sz w:val="22"/>
          <w:szCs w:val="22"/>
        </w:rPr>
        <w:t xml:space="preserve">losses of debt instruments measured at </w:t>
      </w:r>
      <w:r w:rsidR="00256B14">
        <w:rPr>
          <w:rFonts w:ascii="Arial" w:eastAsia="Batang" w:hAnsi="Arial" w:cs="Arial"/>
          <w:color w:val="000000" w:themeColor="text1"/>
          <w:sz w:val="22"/>
          <w:szCs w:val="22"/>
        </w:rPr>
        <w:t xml:space="preserve">the </w:t>
      </w:r>
      <w:r w:rsidRPr="009E35ED">
        <w:rPr>
          <w:rFonts w:ascii="Arial" w:eastAsia="Batang" w:hAnsi="Arial" w:cs="Arial"/>
          <w:color w:val="000000" w:themeColor="text1"/>
          <w:sz w:val="22"/>
          <w:szCs w:val="22"/>
        </w:rPr>
        <w:t xml:space="preserve">FVOCI are recognized directly in profit or loss.  When the financial asset is derecognized, the cumulative gains or losses previously recognized in </w:t>
      </w:r>
      <w:r w:rsidR="00D93E15">
        <w:rPr>
          <w:rFonts w:ascii="Arial" w:eastAsia="Batang" w:hAnsi="Arial" w:cs="Arial"/>
          <w:color w:val="000000" w:themeColor="text1"/>
          <w:sz w:val="22"/>
          <w:szCs w:val="22"/>
        </w:rPr>
        <w:t>other comprehensive income (OCI)</w:t>
      </w:r>
      <w:r w:rsidRPr="009E35ED">
        <w:rPr>
          <w:rFonts w:ascii="Arial" w:eastAsia="Batang" w:hAnsi="Arial" w:cs="Arial"/>
          <w:color w:val="000000" w:themeColor="text1"/>
          <w:sz w:val="22"/>
          <w:szCs w:val="22"/>
        </w:rPr>
        <w:t xml:space="preserve"> are reclassified from equity to profit or loss as a reclassification adjustment.  </w:t>
      </w:r>
    </w:p>
    <w:p w14:paraId="7964DF2E" w14:textId="40949FC5" w:rsidR="00076D82" w:rsidRPr="009E35ED" w:rsidRDefault="00076D82" w:rsidP="00803F8C">
      <w:pPr>
        <w:spacing w:before="240"/>
        <w:ind w:left="0"/>
        <w:rPr>
          <w:rFonts w:ascii="Arial" w:eastAsia="Batang" w:hAnsi="Arial" w:cs="Arial"/>
          <w:color w:val="000000" w:themeColor="text1"/>
          <w:sz w:val="22"/>
          <w:szCs w:val="22"/>
        </w:rPr>
      </w:pPr>
      <w:r w:rsidRPr="009E35ED">
        <w:rPr>
          <w:rFonts w:ascii="Arial" w:eastAsia="Batang" w:hAnsi="Arial" w:cs="Arial"/>
          <w:color w:val="000000" w:themeColor="text1"/>
          <w:sz w:val="22"/>
          <w:szCs w:val="22"/>
        </w:rPr>
        <w:t>Dividends from equity instruments held at</w:t>
      </w:r>
      <w:r w:rsidR="00D93E15">
        <w:rPr>
          <w:rFonts w:ascii="Arial" w:eastAsia="Batang" w:hAnsi="Arial" w:cs="Arial"/>
          <w:color w:val="000000" w:themeColor="text1"/>
          <w:sz w:val="22"/>
          <w:szCs w:val="22"/>
        </w:rPr>
        <w:t xml:space="preserve"> the</w:t>
      </w:r>
      <w:r w:rsidRPr="009E35ED">
        <w:rPr>
          <w:rFonts w:ascii="Arial" w:eastAsia="Batang" w:hAnsi="Arial" w:cs="Arial"/>
          <w:color w:val="000000" w:themeColor="text1"/>
          <w:sz w:val="22"/>
          <w:szCs w:val="22"/>
        </w:rPr>
        <w:t xml:space="preserve"> FVOCI are recognized in profit or loss when the right to receive payment is established, unless the dividend clearly represents a recovery of part of the cost of the investment.   Foreign currency gains or losses and unrealized gains or losses from equity instruments are recognized in </w:t>
      </w:r>
      <w:r w:rsidR="00D93E15">
        <w:rPr>
          <w:rFonts w:ascii="Arial" w:eastAsia="Batang" w:hAnsi="Arial" w:cs="Arial"/>
          <w:color w:val="000000" w:themeColor="text1"/>
          <w:sz w:val="22"/>
          <w:szCs w:val="22"/>
        </w:rPr>
        <w:t xml:space="preserve">the </w:t>
      </w:r>
      <w:r w:rsidRPr="009E35ED">
        <w:rPr>
          <w:rFonts w:ascii="Arial" w:eastAsia="Batang" w:hAnsi="Arial" w:cs="Arial"/>
          <w:color w:val="000000" w:themeColor="text1"/>
          <w:sz w:val="22"/>
          <w:szCs w:val="22"/>
        </w:rPr>
        <w:t>OCI and presented in the equity section of the statements of financial position.  These fair value changes are recognized in equity and are not reclassified to profit or loss in subsequent periods.</w:t>
      </w:r>
    </w:p>
    <w:p w14:paraId="2DD2DCE6" w14:textId="77777777" w:rsidR="006F2133" w:rsidRPr="009E35ED" w:rsidRDefault="006F2133" w:rsidP="00803F8C">
      <w:pPr>
        <w:ind w:left="0"/>
        <w:rPr>
          <w:rFonts w:ascii="Arial" w:eastAsia="Batang" w:hAnsi="Arial" w:cs="Arial"/>
          <w:color w:val="000000" w:themeColor="text1"/>
          <w:sz w:val="22"/>
          <w:szCs w:val="22"/>
        </w:rPr>
      </w:pPr>
    </w:p>
    <w:p w14:paraId="0D7140B2" w14:textId="6BE0E685" w:rsidR="00BD6522" w:rsidRPr="009E35ED" w:rsidRDefault="00076D82" w:rsidP="00803F8C">
      <w:pPr>
        <w:ind w:left="0"/>
        <w:rPr>
          <w:rFonts w:ascii="Arial" w:eastAsia="Batang" w:hAnsi="Arial" w:cs="Arial"/>
          <w:color w:val="000000" w:themeColor="text1"/>
          <w:sz w:val="22"/>
          <w:szCs w:val="22"/>
        </w:rPr>
      </w:pPr>
      <w:r w:rsidRPr="009E35ED">
        <w:rPr>
          <w:rFonts w:ascii="Arial" w:eastAsia="Batang" w:hAnsi="Arial" w:cs="Arial"/>
          <w:color w:val="000000" w:themeColor="text1"/>
          <w:sz w:val="22"/>
          <w:szCs w:val="22"/>
        </w:rPr>
        <w:t>As at December 31, 20</w:t>
      </w:r>
      <w:r w:rsidR="008C46DC" w:rsidRPr="009E35ED">
        <w:rPr>
          <w:rFonts w:ascii="Arial" w:eastAsia="Batang" w:hAnsi="Arial" w:cs="Arial"/>
          <w:color w:val="000000" w:themeColor="text1"/>
          <w:sz w:val="22"/>
          <w:szCs w:val="22"/>
        </w:rPr>
        <w:t>2</w:t>
      </w:r>
      <w:r w:rsidR="00EC0001" w:rsidRPr="009E35ED">
        <w:rPr>
          <w:rFonts w:ascii="Arial" w:eastAsia="Batang" w:hAnsi="Arial" w:cs="Arial"/>
          <w:color w:val="000000" w:themeColor="text1"/>
          <w:sz w:val="22"/>
          <w:szCs w:val="22"/>
        </w:rPr>
        <w:t>3</w:t>
      </w:r>
      <w:r w:rsidR="008C46DC" w:rsidRPr="009E35ED">
        <w:rPr>
          <w:rFonts w:ascii="Arial" w:eastAsia="Batang" w:hAnsi="Arial" w:cs="Arial"/>
          <w:color w:val="000000" w:themeColor="text1"/>
          <w:sz w:val="22"/>
          <w:szCs w:val="22"/>
        </w:rPr>
        <w:t xml:space="preserve"> and 202</w:t>
      </w:r>
      <w:r w:rsidR="00EC0001" w:rsidRPr="009E35ED">
        <w:rPr>
          <w:rFonts w:ascii="Arial" w:eastAsia="Batang" w:hAnsi="Arial" w:cs="Arial"/>
          <w:color w:val="000000" w:themeColor="text1"/>
          <w:sz w:val="22"/>
          <w:szCs w:val="22"/>
        </w:rPr>
        <w:t>2</w:t>
      </w:r>
      <w:r w:rsidRPr="009E35ED">
        <w:rPr>
          <w:rFonts w:ascii="Arial" w:eastAsia="Batang" w:hAnsi="Arial" w:cs="Arial"/>
          <w:color w:val="000000" w:themeColor="text1"/>
          <w:sz w:val="22"/>
          <w:szCs w:val="22"/>
        </w:rPr>
        <w:t>, PCSO’s externally managed funds (included in the long term investment account) are classified as</w:t>
      </w:r>
      <w:r w:rsidR="00D93E15">
        <w:rPr>
          <w:rFonts w:ascii="Arial" w:eastAsia="Batang" w:hAnsi="Arial" w:cs="Arial"/>
          <w:color w:val="000000" w:themeColor="text1"/>
          <w:sz w:val="22"/>
          <w:szCs w:val="22"/>
        </w:rPr>
        <w:t xml:space="preserve"> the</w:t>
      </w:r>
      <w:r w:rsidRPr="009E35ED">
        <w:rPr>
          <w:rFonts w:ascii="Arial" w:eastAsia="Batang" w:hAnsi="Arial" w:cs="Arial"/>
          <w:color w:val="000000" w:themeColor="text1"/>
          <w:sz w:val="22"/>
          <w:szCs w:val="22"/>
        </w:rPr>
        <w:t xml:space="preserve"> FVOCI.</w:t>
      </w:r>
    </w:p>
    <w:p w14:paraId="23F49C11" w14:textId="77777777" w:rsidR="00281B12" w:rsidRPr="009E35ED" w:rsidRDefault="00281B12" w:rsidP="00803F8C">
      <w:pPr>
        <w:ind w:left="0"/>
        <w:rPr>
          <w:rFonts w:ascii="Arial" w:hAnsi="Arial" w:cs="Arial"/>
          <w:color w:val="000000" w:themeColor="text1"/>
          <w:sz w:val="22"/>
          <w:szCs w:val="22"/>
        </w:rPr>
      </w:pPr>
    </w:p>
    <w:p w14:paraId="7A13EC9F" w14:textId="77777777" w:rsidR="003B4D23" w:rsidRPr="009E35ED" w:rsidRDefault="003B4D23" w:rsidP="00803F8C">
      <w:pPr>
        <w:ind w:left="0"/>
        <w:rPr>
          <w:rFonts w:ascii="Arial" w:hAnsi="Arial" w:cs="Arial"/>
          <w:b/>
          <w:i/>
          <w:color w:val="000000" w:themeColor="text1"/>
          <w:sz w:val="22"/>
          <w:szCs w:val="22"/>
        </w:rPr>
      </w:pPr>
      <w:r w:rsidRPr="009E35ED">
        <w:rPr>
          <w:rFonts w:ascii="Arial" w:hAnsi="Arial" w:cs="Arial"/>
          <w:b/>
          <w:i/>
          <w:color w:val="000000" w:themeColor="text1"/>
          <w:sz w:val="22"/>
          <w:szCs w:val="22"/>
        </w:rPr>
        <w:t>Impairment of Financial Assets</w:t>
      </w:r>
    </w:p>
    <w:p w14:paraId="696995A8" w14:textId="77777777" w:rsidR="003B4D23" w:rsidRPr="009E35ED" w:rsidRDefault="003B4D23" w:rsidP="00803F8C">
      <w:pPr>
        <w:ind w:left="0"/>
        <w:rPr>
          <w:rFonts w:ascii="Arial" w:hAnsi="Arial" w:cs="Arial"/>
          <w:b/>
          <w:color w:val="000000" w:themeColor="text1"/>
          <w:sz w:val="22"/>
          <w:szCs w:val="22"/>
        </w:rPr>
      </w:pPr>
    </w:p>
    <w:p w14:paraId="129F3EA7" w14:textId="5EAEADEE" w:rsidR="00006448" w:rsidRPr="009E35ED" w:rsidRDefault="00006448" w:rsidP="00803F8C">
      <w:pPr>
        <w:widowControl w:val="0"/>
        <w:ind w:left="0"/>
        <w:rPr>
          <w:rFonts w:ascii="Arial" w:hAnsi="Arial" w:cs="Arial"/>
          <w:color w:val="000000" w:themeColor="text1"/>
          <w:sz w:val="22"/>
          <w:szCs w:val="22"/>
        </w:rPr>
      </w:pPr>
      <w:r w:rsidRPr="009E35ED">
        <w:rPr>
          <w:rFonts w:ascii="Arial" w:hAnsi="Arial" w:cs="Arial"/>
          <w:color w:val="000000" w:themeColor="text1"/>
          <w:sz w:val="22"/>
          <w:szCs w:val="22"/>
        </w:rPr>
        <w:t xml:space="preserve">Below is the </w:t>
      </w:r>
      <w:r w:rsidR="0051373D" w:rsidRPr="009E35ED">
        <w:rPr>
          <w:rFonts w:ascii="Arial" w:hAnsi="Arial" w:cs="Arial"/>
          <w:color w:val="000000" w:themeColor="text1"/>
          <w:sz w:val="22"/>
          <w:szCs w:val="22"/>
        </w:rPr>
        <w:t>Agency</w:t>
      </w:r>
      <w:r w:rsidRPr="009E35ED">
        <w:rPr>
          <w:rFonts w:ascii="Arial" w:hAnsi="Arial" w:cs="Arial"/>
          <w:color w:val="000000" w:themeColor="text1"/>
          <w:sz w:val="22"/>
          <w:szCs w:val="22"/>
        </w:rPr>
        <w:t>’s accounting policy on the impairment of financial assets applicable starting January 1, 2018:</w:t>
      </w:r>
    </w:p>
    <w:p w14:paraId="0233405F" w14:textId="77777777" w:rsidR="006F2133" w:rsidRPr="009E35ED" w:rsidRDefault="006F2133" w:rsidP="00803F8C">
      <w:pPr>
        <w:widowControl w:val="0"/>
        <w:ind w:left="0"/>
        <w:rPr>
          <w:rFonts w:ascii="Arial" w:hAnsi="Arial" w:cs="Arial"/>
          <w:color w:val="000000" w:themeColor="text1"/>
          <w:sz w:val="22"/>
          <w:szCs w:val="22"/>
        </w:rPr>
      </w:pPr>
    </w:p>
    <w:p w14:paraId="03393CBB" w14:textId="0F5EE7A6" w:rsidR="006F2133" w:rsidRPr="009E35ED" w:rsidRDefault="006F2133" w:rsidP="00803F8C">
      <w:pPr>
        <w:widowControl w:val="0"/>
        <w:autoSpaceDE w:val="0"/>
        <w:autoSpaceDN w:val="0"/>
        <w:adjustRightInd w:val="0"/>
        <w:ind w:left="0"/>
        <w:rPr>
          <w:rFonts w:ascii="Arial" w:eastAsiaTheme="minorEastAsia" w:hAnsi="Arial" w:cs="Arial"/>
          <w:color w:val="000000" w:themeColor="text1"/>
          <w:sz w:val="22"/>
          <w:szCs w:val="22"/>
        </w:rPr>
      </w:pPr>
      <w:r w:rsidRPr="009E35ED">
        <w:rPr>
          <w:rFonts w:ascii="Arial" w:eastAsiaTheme="minorEastAsia" w:hAnsi="Arial" w:cs="Arial"/>
          <w:color w:val="000000" w:themeColor="text1"/>
          <w:sz w:val="22"/>
          <w:szCs w:val="22"/>
        </w:rPr>
        <w:t>The PCSO records an allowance for “expected credit loss” (ECL).</w:t>
      </w:r>
      <w:r w:rsidR="00D93E15">
        <w:rPr>
          <w:rFonts w:ascii="Arial" w:eastAsiaTheme="minorEastAsia" w:hAnsi="Arial" w:cs="Arial"/>
          <w:color w:val="000000" w:themeColor="text1"/>
          <w:sz w:val="22"/>
          <w:szCs w:val="22"/>
        </w:rPr>
        <w:t xml:space="preserve"> The</w:t>
      </w:r>
      <w:r w:rsidRPr="009E35ED">
        <w:rPr>
          <w:rFonts w:ascii="Arial" w:eastAsiaTheme="minorEastAsia" w:hAnsi="Arial" w:cs="Arial"/>
          <w:color w:val="000000" w:themeColor="text1"/>
          <w:sz w:val="22"/>
          <w:szCs w:val="22"/>
        </w:rPr>
        <w:t xml:space="preserve"> ECL is based on the difference between the contractual cash flows due in accordance with the contract and all the cash flows that the PCSO expects to receive. The difference is then discounted at an approximation to the asset’s original effective interest rate. </w:t>
      </w:r>
    </w:p>
    <w:p w14:paraId="45DB7899" w14:textId="77777777" w:rsidR="006F2133" w:rsidRPr="009E35ED" w:rsidRDefault="006F2133" w:rsidP="00803F8C">
      <w:pPr>
        <w:widowControl w:val="0"/>
        <w:autoSpaceDE w:val="0"/>
        <w:autoSpaceDN w:val="0"/>
        <w:adjustRightInd w:val="0"/>
        <w:rPr>
          <w:rFonts w:ascii="Arial" w:eastAsiaTheme="minorEastAsia" w:hAnsi="Arial" w:cs="Arial"/>
          <w:color w:val="000000" w:themeColor="text1"/>
          <w:sz w:val="22"/>
          <w:szCs w:val="22"/>
        </w:rPr>
      </w:pPr>
    </w:p>
    <w:p w14:paraId="0FAE6BEF" w14:textId="54DB8C7F" w:rsidR="006F2133" w:rsidRPr="009E35ED" w:rsidRDefault="006F2133" w:rsidP="00803F8C">
      <w:pPr>
        <w:widowControl w:val="0"/>
        <w:autoSpaceDE w:val="0"/>
        <w:autoSpaceDN w:val="0"/>
        <w:adjustRightInd w:val="0"/>
        <w:ind w:left="0"/>
        <w:rPr>
          <w:rFonts w:ascii="Arial" w:eastAsiaTheme="minorEastAsia" w:hAnsi="Arial" w:cs="Arial"/>
          <w:color w:val="000000" w:themeColor="text1"/>
          <w:sz w:val="22"/>
          <w:szCs w:val="22"/>
        </w:rPr>
      </w:pPr>
      <w:r w:rsidRPr="009E35ED">
        <w:rPr>
          <w:rFonts w:ascii="Arial" w:eastAsiaTheme="minorEastAsia" w:hAnsi="Arial" w:cs="Arial"/>
          <w:color w:val="000000" w:themeColor="text1"/>
          <w:sz w:val="22"/>
          <w:szCs w:val="22"/>
        </w:rPr>
        <w:t xml:space="preserve">For trade receivables, the PCSO has applied the simplified approach and has calculated </w:t>
      </w:r>
      <w:r w:rsidR="00D93E15">
        <w:rPr>
          <w:rFonts w:ascii="Arial" w:eastAsiaTheme="minorEastAsia" w:hAnsi="Arial" w:cs="Arial"/>
          <w:color w:val="000000" w:themeColor="text1"/>
          <w:sz w:val="22"/>
          <w:szCs w:val="22"/>
        </w:rPr>
        <w:t xml:space="preserve">the </w:t>
      </w:r>
      <w:r w:rsidRPr="009E35ED">
        <w:rPr>
          <w:rFonts w:ascii="Arial" w:eastAsiaTheme="minorEastAsia" w:hAnsi="Arial" w:cs="Arial"/>
          <w:color w:val="000000" w:themeColor="text1"/>
          <w:sz w:val="22"/>
          <w:szCs w:val="22"/>
        </w:rPr>
        <w:t>ECLs based on the lifetime expected credit losses.  The PCSO has established a provision matrix that is based on its historical credit loss experience, adjusted for forward-looking factors specific to the debtors and the economic environment.</w:t>
      </w:r>
    </w:p>
    <w:p w14:paraId="316F604E" w14:textId="77777777" w:rsidR="006F2133" w:rsidRPr="009E35ED" w:rsidRDefault="006F2133" w:rsidP="00803F8C">
      <w:pPr>
        <w:widowControl w:val="0"/>
        <w:autoSpaceDE w:val="0"/>
        <w:autoSpaceDN w:val="0"/>
        <w:adjustRightInd w:val="0"/>
        <w:rPr>
          <w:rFonts w:ascii="Arial" w:eastAsiaTheme="minorEastAsia" w:hAnsi="Arial" w:cs="Arial"/>
          <w:color w:val="000000" w:themeColor="text1"/>
          <w:sz w:val="22"/>
          <w:szCs w:val="22"/>
        </w:rPr>
      </w:pPr>
    </w:p>
    <w:p w14:paraId="18CE57D2" w14:textId="1B4301BD" w:rsidR="006F2133" w:rsidRPr="009E35ED" w:rsidRDefault="006F2133" w:rsidP="00803F8C">
      <w:pPr>
        <w:widowControl w:val="0"/>
        <w:ind w:left="0"/>
        <w:rPr>
          <w:rFonts w:ascii="Arial" w:hAnsi="Arial" w:cs="Arial"/>
          <w:color w:val="000000" w:themeColor="text1"/>
          <w:sz w:val="22"/>
          <w:szCs w:val="22"/>
        </w:rPr>
      </w:pPr>
      <w:r w:rsidRPr="009E35ED">
        <w:rPr>
          <w:rFonts w:ascii="Arial" w:eastAsiaTheme="minorEastAsia" w:hAnsi="Arial" w:cs="Arial"/>
          <w:color w:val="000000" w:themeColor="text1"/>
          <w:sz w:val="22"/>
          <w:szCs w:val="22"/>
        </w:rPr>
        <w:t>For debt instruments measured at amortized cost and</w:t>
      </w:r>
      <w:r w:rsidR="00D93E15">
        <w:rPr>
          <w:rFonts w:ascii="Arial" w:eastAsiaTheme="minorEastAsia" w:hAnsi="Arial" w:cs="Arial"/>
          <w:color w:val="000000" w:themeColor="text1"/>
          <w:sz w:val="22"/>
          <w:szCs w:val="22"/>
        </w:rPr>
        <w:t xml:space="preserve"> the</w:t>
      </w:r>
      <w:r w:rsidRPr="009E35ED">
        <w:rPr>
          <w:rFonts w:ascii="Arial" w:eastAsiaTheme="minorEastAsia" w:hAnsi="Arial" w:cs="Arial"/>
          <w:color w:val="000000" w:themeColor="text1"/>
          <w:sz w:val="22"/>
          <w:szCs w:val="22"/>
        </w:rPr>
        <w:t xml:space="preserve"> FVOCI, the ECL is based on the 12-month ECL, which pertains to the portion of lifetime ECLs that result from default events on a financial instrument that are possible within 12 months after the reporting date.  However, when there has been a significant increase in credit risk since initial recognition, the allowance will be based on the lifetime ECL.  When determining whether the credit risk of a financial asset has increased significantly since initial recognition, the PCSO compares the risk of a default occurring on the financial instrument as at the reporting date with the risk of a default occurring on the financial instrument as at the date of initial recognition and consider reasonable and supportable information, that is available without undue cost or effort, that is indicative of significant increases in credit risk since initial recognition. </w:t>
      </w:r>
      <w:r w:rsidRPr="009E35ED">
        <w:rPr>
          <w:rFonts w:ascii="Arial" w:hAnsi="Arial" w:cs="Arial"/>
          <w:color w:val="000000" w:themeColor="text1"/>
          <w:sz w:val="22"/>
          <w:szCs w:val="22"/>
        </w:rPr>
        <w:t xml:space="preserve">This includes both quantitative and qualitative information and analysis, based on the </w:t>
      </w:r>
      <w:r w:rsidR="0051373D" w:rsidRPr="009E35ED">
        <w:rPr>
          <w:rFonts w:ascii="Arial" w:hAnsi="Arial" w:cs="Arial"/>
          <w:color w:val="000000" w:themeColor="text1"/>
          <w:sz w:val="22"/>
          <w:szCs w:val="22"/>
        </w:rPr>
        <w:t>Agency</w:t>
      </w:r>
      <w:r w:rsidRPr="009E35ED">
        <w:rPr>
          <w:rFonts w:ascii="Arial" w:hAnsi="Arial" w:cs="Arial"/>
          <w:color w:val="000000" w:themeColor="text1"/>
          <w:sz w:val="22"/>
          <w:szCs w:val="22"/>
        </w:rPr>
        <w:t>’s historical experience, informed credit assessment including current conditions and forecast of future economic conditions.</w:t>
      </w:r>
    </w:p>
    <w:p w14:paraId="3F0BD1B4" w14:textId="77777777" w:rsidR="006F2133" w:rsidRPr="009E35ED" w:rsidRDefault="006F2133" w:rsidP="00803F8C">
      <w:pPr>
        <w:widowControl w:val="0"/>
        <w:ind w:left="0"/>
        <w:rPr>
          <w:rFonts w:ascii="Arial" w:hAnsi="Arial" w:cs="Arial"/>
          <w:color w:val="000000" w:themeColor="text1"/>
          <w:sz w:val="22"/>
          <w:szCs w:val="22"/>
        </w:rPr>
      </w:pPr>
    </w:p>
    <w:p w14:paraId="4378CBFE" w14:textId="76C3E273" w:rsidR="00006448" w:rsidRPr="009E35ED" w:rsidRDefault="00006448" w:rsidP="00803F8C">
      <w:pPr>
        <w:widowControl w:val="0"/>
        <w:autoSpaceDE w:val="0"/>
        <w:autoSpaceDN w:val="0"/>
        <w:adjustRightInd w:val="0"/>
        <w:ind w:left="0"/>
        <w:rPr>
          <w:rFonts w:ascii="Arial" w:hAnsi="Arial" w:cs="Arial"/>
          <w:color w:val="000000" w:themeColor="text1"/>
          <w:sz w:val="22"/>
          <w:szCs w:val="22"/>
        </w:rPr>
      </w:pPr>
      <w:r w:rsidRPr="009E35ED">
        <w:rPr>
          <w:rFonts w:ascii="Arial" w:hAnsi="Arial" w:cs="Arial"/>
          <w:color w:val="000000" w:themeColor="text1"/>
          <w:sz w:val="22"/>
          <w:szCs w:val="22"/>
        </w:rPr>
        <w:t xml:space="preserve">The </w:t>
      </w:r>
      <w:r w:rsidR="0051373D" w:rsidRPr="009E35ED">
        <w:rPr>
          <w:rFonts w:ascii="Arial" w:hAnsi="Arial" w:cs="Arial"/>
          <w:color w:val="000000" w:themeColor="text1"/>
          <w:sz w:val="22"/>
          <w:szCs w:val="22"/>
        </w:rPr>
        <w:t>Agency</w:t>
      </w:r>
      <w:r w:rsidRPr="009E35ED">
        <w:rPr>
          <w:rFonts w:ascii="Arial" w:hAnsi="Arial" w:cs="Arial"/>
          <w:color w:val="000000" w:themeColor="text1"/>
          <w:sz w:val="22"/>
          <w:szCs w:val="22"/>
        </w:rPr>
        <w:t xml:space="preserve"> assumes that the credit risk on a financial asset has increased significantly if it is more than </w:t>
      </w:r>
      <w:r w:rsidR="009F144A" w:rsidRPr="009E35ED">
        <w:rPr>
          <w:rFonts w:ascii="Arial" w:hAnsi="Arial" w:cs="Arial"/>
          <w:color w:val="000000" w:themeColor="text1"/>
          <w:sz w:val="22"/>
          <w:szCs w:val="22"/>
        </w:rPr>
        <w:t>two years</w:t>
      </w:r>
      <w:r w:rsidRPr="009E35ED">
        <w:rPr>
          <w:rFonts w:ascii="Arial" w:hAnsi="Arial" w:cs="Arial"/>
          <w:color w:val="000000" w:themeColor="text1"/>
          <w:sz w:val="22"/>
          <w:szCs w:val="22"/>
        </w:rPr>
        <w:t xml:space="preserve"> past due.</w:t>
      </w:r>
    </w:p>
    <w:p w14:paraId="7A41DE03" w14:textId="77777777" w:rsidR="00137CD9" w:rsidRPr="009E35ED" w:rsidRDefault="00137CD9" w:rsidP="00803F8C">
      <w:pPr>
        <w:widowControl w:val="0"/>
        <w:autoSpaceDE w:val="0"/>
        <w:autoSpaceDN w:val="0"/>
        <w:adjustRightInd w:val="0"/>
        <w:ind w:left="0"/>
        <w:rPr>
          <w:rFonts w:ascii="Arial" w:hAnsi="Arial" w:cs="Arial"/>
          <w:color w:val="000000" w:themeColor="text1"/>
          <w:sz w:val="22"/>
          <w:szCs w:val="22"/>
        </w:rPr>
      </w:pPr>
    </w:p>
    <w:p w14:paraId="29C2FB09" w14:textId="6EDE012F" w:rsidR="00006448" w:rsidRPr="009E35ED" w:rsidRDefault="00006448" w:rsidP="00803F8C">
      <w:pPr>
        <w:widowControl w:val="0"/>
        <w:autoSpaceDE w:val="0"/>
        <w:autoSpaceDN w:val="0"/>
        <w:adjustRightInd w:val="0"/>
        <w:ind w:left="0"/>
        <w:rPr>
          <w:rFonts w:ascii="Arial" w:hAnsi="Arial" w:cs="Arial"/>
          <w:color w:val="000000" w:themeColor="text1"/>
          <w:sz w:val="22"/>
          <w:szCs w:val="22"/>
        </w:rPr>
      </w:pPr>
      <w:r w:rsidRPr="009E35ED">
        <w:rPr>
          <w:rFonts w:ascii="Arial" w:hAnsi="Arial" w:cs="Arial"/>
          <w:color w:val="000000" w:themeColor="text1"/>
          <w:sz w:val="22"/>
          <w:szCs w:val="22"/>
        </w:rPr>
        <w:t xml:space="preserve">The </w:t>
      </w:r>
      <w:r w:rsidR="0051373D" w:rsidRPr="009E35ED">
        <w:rPr>
          <w:rFonts w:ascii="Arial" w:hAnsi="Arial" w:cs="Arial"/>
          <w:color w:val="000000" w:themeColor="text1"/>
          <w:sz w:val="22"/>
          <w:szCs w:val="22"/>
        </w:rPr>
        <w:t>Agency</w:t>
      </w:r>
      <w:r w:rsidRPr="009E35ED">
        <w:rPr>
          <w:rFonts w:ascii="Arial" w:hAnsi="Arial" w:cs="Arial"/>
          <w:color w:val="000000" w:themeColor="text1"/>
          <w:sz w:val="22"/>
          <w:szCs w:val="22"/>
        </w:rPr>
        <w:t xml:space="preserve"> considers a financial asset to be in default when:</w:t>
      </w:r>
    </w:p>
    <w:p w14:paraId="38254496" w14:textId="77777777" w:rsidR="00006448" w:rsidRPr="009E35ED" w:rsidRDefault="00006448" w:rsidP="00803F8C">
      <w:pPr>
        <w:widowControl w:val="0"/>
        <w:autoSpaceDE w:val="0"/>
        <w:autoSpaceDN w:val="0"/>
        <w:adjustRightInd w:val="0"/>
        <w:ind w:left="720"/>
        <w:rPr>
          <w:rFonts w:ascii="Arial" w:hAnsi="Arial" w:cs="Arial"/>
          <w:color w:val="000000" w:themeColor="text1"/>
          <w:sz w:val="22"/>
          <w:szCs w:val="22"/>
        </w:rPr>
      </w:pPr>
    </w:p>
    <w:p w14:paraId="0B2247F1" w14:textId="1AEB8515" w:rsidR="00006448" w:rsidRPr="009E35ED" w:rsidRDefault="00006448" w:rsidP="001C371F">
      <w:pPr>
        <w:widowControl w:val="0"/>
        <w:numPr>
          <w:ilvl w:val="0"/>
          <w:numId w:val="31"/>
        </w:numPr>
        <w:ind w:left="720"/>
        <w:rPr>
          <w:rFonts w:ascii="Arial" w:hAnsi="Arial" w:cs="Arial"/>
          <w:color w:val="000000" w:themeColor="text1"/>
          <w:sz w:val="22"/>
          <w:szCs w:val="22"/>
        </w:rPr>
      </w:pPr>
      <w:r w:rsidRPr="009E35ED">
        <w:rPr>
          <w:rFonts w:ascii="Arial" w:hAnsi="Arial" w:cs="Arial"/>
          <w:color w:val="000000" w:themeColor="text1"/>
          <w:sz w:val="22"/>
          <w:szCs w:val="22"/>
        </w:rPr>
        <w:t xml:space="preserve">The borrower is unlikely to pay its credit obligations to the </w:t>
      </w:r>
      <w:r w:rsidR="0051373D" w:rsidRPr="009E35ED">
        <w:rPr>
          <w:rFonts w:ascii="Arial" w:hAnsi="Arial" w:cs="Arial"/>
          <w:color w:val="000000" w:themeColor="text1"/>
          <w:sz w:val="22"/>
          <w:szCs w:val="22"/>
        </w:rPr>
        <w:t>Agency</w:t>
      </w:r>
      <w:r w:rsidRPr="009E35ED">
        <w:rPr>
          <w:rFonts w:ascii="Arial" w:hAnsi="Arial" w:cs="Arial"/>
          <w:color w:val="000000" w:themeColor="text1"/>
          <w:sz w:val="22"/>
          <w:szCs w:val="22"/>
        </w:rPr>
        <w:t xml:space="preserve"> in full, without recourse by the </w:t>
      </w:r>
      <w:r w:rsidR="0051373D" w:rsidRPr="009E35ED">
        <w:rPr>
          <w:rFonts w:ascii="Arial" w:hAnsi="Arial" w:cs="Arial"/>
          <w:color w:val="000000" w:themeColor="text1"/>
          <w:sz w:val="22"/>
          <w:szCs w:val="22"/>
        </w:rPr>
        <w:t>Agency</w:t>
      </w:r>
      <w:r w:rsidRPr="009E35ED">
        <w:rPr>
          <w:rFonts w:ascii="Arial" w:hAnsi="Arial" w:cs="Arial"/>
          <w:color w:val="000000" w:themeColor="text1"/>
          <w:sz w:val="22"/>
          <w:szCs w:val="22"/>
        </w:rPr>
        <w:t xml:space="preserve"> to actions such as realizing security </w:t>
      </w:r>
      <w:r w:rsidRPr="009E35ED">
        <w:rPr>
          <w:rFonts w:ascii="Arial" w:hAnsi="Arial" w:cs="Arial"/>
          <w:color w:val="000000" w:themeColor="text1"/>
          <w:sz w:val="22"/>
          <w:szCs w:val="22"/>
        </w:rPr>
        <w:br/>
        <w:t xml:space="preserve">(if any is held); or </w:t>
      </w:r>
    </w:p>
    <w:p w14:paraId="3D2E9642" w14:textId="77777777" w:rsidR="00006448" w:rsidRPr="009E35ED" w:rsidRDefault="00006448" w:rsidP="001C371F">
      <w:pPr>
        <w:widowControl w:val="0"/>
        <w:numPr>
          <w:ilvl w:val="0"/>
          <w:numId w:val="31"/>
        </w:numPr>
        <w:ind w:left="720"/>
        <w:rPr>
          <w:rFonts w:ascii="Arial" w:hAnsi="Arial" w:cs="Arial"/>
          <w:color w:val="000000" w:themeColor="text1"/>
          <w:sz w:val="22"/>
          <w:szCs w:val="22"/>
        </w:rPr>
      </w:pPr>
      <w:r w:rsidRPr="009E35ED">
        <w:rPr>
          <w:rFonts w:ascii="Arial" w:hAnsi="Arial" w:cs="Arial"/>
          <w:color w:val="000000" w:themeColor="text1"/>
          <w:sz w:val="22"/>
          <w:szCs w:val="22"/>
        </w:rPr>
        <w:t xml:space="preserve">The financial asset is more than </w:t>
      </w:r>
      <w:r w:rsidR="009F144A" w:rsidRPr="009E35ED">
        <w:rPr>
          <w:rFonts w:ascii="Arial" w:hAnsi="Arial" w:cs="Arial"/>
          <w:color w:val="000000" w:themeColor="text1"/>
          <w:sz w:val="22"/>
          <w:szCs w:val="22"/>
        </w:rPr>
        <w:t>two years</w:t>
      </w:r>
      <w:r w:rsidRPr="009E35ED">
        <w:rPr>
          <w:rFonts w:ascii="Arial" w:hAnsi="Arial" w:cs="Arial"/>
          <w:color w:val="000000" w:themeColor="text1"/>
          <w:sz w:val="22"/>
          <w:szCs w:val="22"/>
        </w:rPr>
        <w:t xml:space="preserve"> past due. </w:t>
      </w:r>
    </w:p>
    <w:p w14:paraId="3F47342C" w14:textId="77777777" w:rsidR="00006448" w:rsidRPr="009E35ED" w:rsidRDefault="00006448" w:rsidP="00803F8C">
      <w:pPr>
        <w:widowControl w:val="0"/>
        <w:autoSpaceDE w:val="0"/>
        <w:autoSpaceDN w:val="0"/>
        <w:adjustRightInd w:val="0"/>
        <w:ind w:left="720"/>
        <w:rPr>
          <w:rFonts w:ascii="Arial" w:hAnsi="Arial" w:cs="Arial"/>
          <w:color w:val="000000" w:themeColor="text1"/>
          <w:sz w:val="22"/>
          <w:szCs w:val="22"/>
        </w:rPr>
      </w:pPr>
    </w:p>
    <w:p w14:paraId="29A95FCA" w14:textId="3171A69F" w:rsidR="00006448" w:rsidRPr="009E35ED" w:rsidRDefault="00006448" w:rsidP="00803F8C">
      <w:pPr>
        <w:widowControl w:val="0"/>
        <w:ind w:left="0"/>
        <w:rPr>
          <w:rFonts w:ascii="Arial" w:hAnsi="Arial" w:cs="Arial"/>
          <w:color w:val="000000" w:themeColor="text1"/>
          <w:sz w:val="22"/>
          <w:szCs w:val="22"/>
        </w:rPr>
      </w:pPr>
      <w:r w:rsidRPr="009E35ED">
        <w:rPr>
          <w:rFonts w:ascii="Arial" w:hAnsi="Arial" w:cs="Arial"/>
          <w:color w:val="000000" w:themeColor="text1"/>
          <w:sz w:val="22"/>
          <w:szCs w:val="22"/>
        </w:rPr>
        <w:t>The maximum period considered when estimating</w:t>
      </w:r>
      <w:r w:rsidR="00D93E15">
        <w:rPr>
          <w:rFonts w:ascii="Arial" w:hAnsi="Arial" w:cs="Arial"/>
          <w:color w:val="000000" w:themeColor="text1"/>
          <w:sz w:val="22"/>
          <w:szCs w:val="22"/>
        </w:rPr>
        <w:t xml:space="preserve"> the</w:t>
      </w:r>
      <w:r w:rsidRPr="009E35ED">
        <w:rPr>
          <w:rFonts w:ascii="Arial" w:hAnsi="Arial" w:cs="Arial"/>
          <w:color w:val="000000" w:themeColor="text1"/>
          <w:sz w:val="22"/>
          <w:szCs w:val="22"/>
        </w:rPr>
        <w:t xml:space="preserve"> ECLs is the maximum contractual period over which the </w:t>
      </w:r>
      <w:r w:rsidR="0051373D" w:rsidRPr="009E35ED">
        <w:rPr>
          <w:rFonts w:ascii="Arial" w:hAnsi="Arial" w:cs="Arial"/>
          <w:color w:val="000000" w:themeColor="text1"/>
          <w:sz w:val="22"/>
          <w:szCs w:val="22"/>
        </w:rPr>
        <w:t>Agency</w:t>
      </w:r>
      <w:r w:rsidRPr="009E35ED">
        <w:rPr>
          <w:rFonts w:ascii="Arial" w:hAnsi="Arial" w:cs="Arial"/>
          <w:color w:val="000000" w:themeColor="text1"/>
          <w:sz w:val="22"/>
          <w:szCs w:val="22"/>
        </w:rPr>
        <w:t xml:space="preserve"> is exposed to credit risk. </w:t>
      </w:r>
    </w:p>
    <w:p w14:paraId="61CCA01F" w14:textId="77777777" w:rsidR="00006448" w:rsidRPr="009E35ED" w:rsidRDefault="00006448" w:rsidP="00803F8C">
      <w:pPr>
        <w:widowControl w:val="0"/>
        <w:autoSpaceDE w:val="0"/>
        <w:autoSpaceDN w:val="0"/>
        <w:adjustRightInd w:val="0"/>
        <w:ind w:left="0"/>
        <w:rPr>
          <w:rFonts w:ascii="Arial" w:hAnsi="Arial" w:cs="Arial"/>
          <w:color w:val="000000" w:themeColor="text1"/>
          <w:sz w:val="22"/>
          <w:szCs w:val="22"/>
        </w:rPr>
      </w:pPr>
    </w:p>
    <w:p w14:paraId="0227BA01" w14:textId="2431500E" w:rsidR="00006448" w:rsidRPr="009E35ED" w:rsidRDefault="00006448" w:rsidP="00803F8C">
      <w:pPr>
        <w:widowControl w:val="0"/>
        <w:autoSpaceDE w:val="0"/>
        <w:autoSpaceDN w:val="0"/>
        <w:adjustRightInd w:val="0"/>
        <w:ind w:left="0"/>
        <w:rPr>
          <w:rFonts w:ascii="Arial" w:hAnsi="Arial" w:cs="Arial"/>
          <w:color w:val="000000" w:themeColor="text1"/>
          <w:sz w:val="22"/>
          <w:szCs w:val="22"/>
        </w:rPr>
      </w:pPr>
      <w:r w:rsidRPr="009E35ED">
        <w:rPr>
          <w:rFonts w:ascii="Arial" w:hAnsi="Arial" w:cs="Arial"/>
          <w:color w:val="000000" w:themeColor="text1"/>
          <w:sz w:val="22"/>
          <w:szCs w:val="22"/>
        </w:rPr>
        <w:t xml:space="preserve">At each reporting date, the </w:t>
      </w:r>
      <w:r w:rsidR="0051373D" w:rsidRPr="009E35ED">
        <w:rPr>
          <w:rFonts w:ascii="Arial" w:hAnsi="Arial" w:cs="Arial"/>
          <w:color w:val="000000" w:themeColor="text1"/>
          <w:sz w:val="22"/>
          <w:szCs w:val="22"/>
        </w:rPr>
        <w:t>Agency</w:t>
      </w:r>
      <w:r w:rsidRPr="009E35ED">
        <w:rPr>
          <w:rFonts w:ascii="Arial" w:hAnsi="Arial" w:cs="Arial"/>
          <w:color w:val="000000" w:themeColor="text1"/>
          <w:sz w:val="22"/>
          <w:szCs w:val="22"/>
        </w:rPr>
        <w:t xml:space="preserve"> assesses whether financial assets carried at amortized cost and debt securities at </w:t>
      </w:r>
      <w:r w:rsidR="00D93E15">
        <w:rPr>
          <w:rFonts w:ascii="Arial" w:hAnsi="Arial" w:cs="Arial"/>
          <w:color w:val="000000" w:themeColor="text1"/>
          <w:sz w:val="22"/>
          <w:szCs w:val="22"/>
        </w:rPr>
        <w:t xml:space="preserve">the </w:t>
      </w:r>
      <w:r w:rsidRPr="009E35ED">
        <w:rPr>
          <w:rFonts w:ascii="Arial" w:hAnsi="Arial" w:cs="Arial"/>
          <w:color w:val="000000" w:themeColor="text1"/>
          <w:sz w:val="22"/>
          <w:szCs w:val="22"/>
        </w:rPr>
        <w:t>FVOCI are credit-impaired. A financial asset is ‘credit-impaired’ when one or more events that have a detrimental impact on the estimated future cash flows of the financial asset have occurred.</w:t>
      </w:r>
    </w:p>
    <w:p w14:paraId="49176BB0" w14:textId="77777777" w:rsidR="007365E1" w:rsidRPr="009E35ED" w:rsidRDefault="007365E1" w:rsidP="00803F8C">
      <w:pPr>
        <w:widowControl w:val="0"/>
        <w:autoSpaceDE w:val="0"/>
        <w:autoSpaceDN w:val="0"/>
        <w:adjustRightInd w:val="0"/>
        <w:ind w:left="0"/>
        <w:rPr>
          <w:rFonts w:ascii="Arial" w:hAnsi="Arial" w:cs="Arial"/>
          <w:color w:val="000000" w:themeColor="text1"/>
          <w:sz w:val="22"/>
          <w:szCs w:val="22"/>
        </w:rPr>
      </w:pPr>
    </w:p>
    <w:p w14:paraId="228B290A" w14:textId="636C40CD" w:rsidR="00006448" w:rsidRPr="009E35ED" w:rsidRDefault="00006448" w:rsidP="00803F8C">
      <w:pPr>
        <w:widowControl w:val="0"/>
        <w:ind w:left="0"/>
        <w:rPr>
          <w:rFonts w:ascii="Arial" w:hAnsi="Arial" w:cs="Arial"/>
          <w:color w:val="000000" w:themeColor="text1"/>
          <w:sz w:val="22"/>
          <w:szCs w:val="22"/>
        </w:rPr>
      </w:pPr>
      <w:r w:rsidRPr="009E35ED">
        <w:rPr>
          <w:rFonts w:ascii="Arial" w:hAnsi="Arial" w:cs="Arial"/>
          <w:color w:val="000000" w:themeColor="text1"/>
          <w:sz w:val="22"/>
          <w:szCs w:val="22"/>
        </w:rPr>
        <w:t xml:space="preserve">Below is the </w:t>
      </w:r>
      <w:r w:rsidR="0051373D" w:rsidRPr="009E35ED">
        <w:rPr>
          <w:rFonts w:ascii="Arial" w:hAnsi="Arial" w:cs="Arial"/>
          <w:color w:val="000000" w:themeColor="text1"/>
          <w:sz w:val="22"/>
          <w:szCs w:val="22"/>
        </w:rPr>
        <w:t>Agency</w:t>
      </w:r>
      <w:r w:rsidRPr="009E35ED">
        <w:rPr>
          <w:rFonts w:ascii="Arial" w:hAnsi="Arial" w:cs="Arial"/>
          <w:color w:val="000000" w:themeColor="text1"/>
          <w:sz w:val="22"/>
          <w:szCs w:val="22"/>
        </w:rPr>
        <w:t xml:space="preserve">’s accounting policy on the impairment of financial assets applicable </w:t>
      </w:r>
      <w:r w:rsidR="00656D35" w:rsidRPr="009E35ED">
        <w:rPr>
          <w:rFonts w:ascii="Arial" w:hAnsi="Arial" w:cs="Arial"/>
          <w:color w:val="000000" w:themeColor="text1"/>
          <w:sz w:val="22"/>
          <w:szCs w:val="22"/>
        </w:rPr>
        <w:t xml:space="preserve">for </w:t>
      </w:r>
      <w:r w:rsidR="00455536" w:rsidRPr="009E35ED">
        <w:rPr>
          <w:rFonts w:ascii="Arial" w:hAnsi="Arial" w:cs="Arial"/>
          <w:color w:val="000000" w:themeColor="text1"/>
          <w:sz w:val="22"/>
          <w:szCs w:val="22"/>
        </w:rPr>
        <w:t xml:space="preserve">the </w:t>
      </w:r>
      <w:r w:rsidR="00981967" w:rsidRPr="009E35ED">
        <w:rPr>
          <w:rFonts w:ascii="Arial" w:hAnsi="Arial" w:cs="Arial"/>
          <w:color w:val="000000" w:themeColor="text1"/>
          <w:sz w:val="22"/>
          <w:szCs w:val="22"/>
        </w:rPr>
        <w:t xml:space="preserve">current </w:t>
      </w:r>
      <w:r w:rsidR="00455536" w:rsidRPr="009E35ED">
        <w:rPr>
          <w:rFonts w:ascii="Arial" w:hAnsi="Arial" w:cs="Arial"/>
          <w:color w:val="000000" w:themeColor="text1"/>
          <w:sz w:val="22"/>
          <w:szCs w:val="22"/>
        </w:rPr>
        <w:t>period</w:t>
      </w:r>
      <w:r w:rsidRPr="009E35ED">
        <w:rPr>
          <w:rFonts w:ascii="Arial" w:hAnsi="Arial" w:cs="Arial"/>
          <w:color w:val="000000" w:themeColor="text1"/>
          <w:sz w:val="22"/>
          <w:szCs w:val="22"/>
        </w:rPr>
        <w:t>:</w:t>
      </w:r>
    </w:p>
    <w:p w14:paraId="4FB236E7" w14:textId="77777777" w:rsidR="00C87672" w:rsidRPr="009E35ED" w:rsidRDefault="00C87672" w:rsidP="00803F8C">
      <w:pPr>
        <w:widowControl w:val="0"/>
        <w:ind w:left="0"/>
        <w:rPr>
          <w:rFonts w:ascii="Arial" w:hAnsi="Arial" w:cs="Arial"/>
          <w:color w:val="000000" w:themeColor="text1"/>
          <w:sz w:val="22"/>
          <w:szCs w:val="22"/>
        </w:rPr>
      </w:pPr>
    </w:p>
    <w:tbl>
      <w:tblPr>
        <w:tblW w:w="6576" w:type="dxa"/>
        <w:tblInd w:w="1260" w:type="dxa"/>
        <w:tblLook w:val="04A0" w:firstRow="1" w:lastRow="0" w:firstColumn="1" w:lastColumn="0" w:noHBand="0" w:noVBand="1"/>
      </w:tblPr>
      <w:tblGrid>
        <w:gridCol w:w="364"/>
        <w:gridCol w:w="364"/>
        <w:gridCol w:w="364"/>
        <w:gridCol w:w="2958"/>
        <w:gridCol w:w="2526"/>
      </w:tblGrid>
      <w:tr w:rsidR="00997F75" w:rsidRPr="009E35ED" w14:paraId="306F4ADB" w14:textId="77777777" w:rsidTr="00D043CC">
        <w:trPr>
          <w:trHeight w:val="244"/>
        </w:trPr>
        <w:tc>
          <w:tcPr>
            <w:tcW w:w="4050" w:type="dxa"/>
            <w:gridSpan w:val="4"/>
            <w:tcBorders>
              <w:top w:val="single" w:sz="4" w:space="0" w:color="auto"/>
              <w:left w:val="nil"/>
              <w:bottom w:val="single" w:sz="4" w:space="0" w:color="auto"/>
              <w:right w:val="nil"/>
            </w:tcBorders>
            <w:shd w:val="clear" w:color="auto" w:fill="auto"/>
            <w:noWrap/>
            <w:vAlign w:val="bottom"/>
            <w:hideMark/>
          </w:tcPr>
          <w:p w14:paraId="02F1804F" w14:textId="77777777" w:rsidR="00A12416" w:rsidRPr="009E35ED" w:rsidRDefault="00A12416" w:rsidP="00A12416">
            <w:pPr>
              <w:ind w:left="0"/>
              <w:jc w:val="left"/>
              <w:rPr>
                <w:rFonts w:ascii="Arial Narrow" w:hAnsi="Arial Narrow" w:cs="Calibri"/>
                <w:color w:val="000000" w:themeColor="text1"/>
                <w:sz w:val="20"/>
                <w:szCs w:val="20"/>
              </w:rPr>
            </w:pPr>
            <w:r w:rsidRPr="009E35ED">
              <w:rPr>
                <w:rFonts w:ascii="Arial Narrow" w:hAnsi="Arial Narrow" w:cs="Calibri"/>
                <w:color w:val="000000" w:themeColor="text1"/>
                <w:sz w:val="20"/>
                <w:szCs w:val="20"/>
              </w:rPr>
              <w:t>Age of Accounts Receivable</w:t>
            </w:r>
          </w:p>
        </w:tc>
        <w:tc>
          <w:tcPr>
            <w:tcW w:w="2526" w:type="dxa"/>
            <w:tcBorders>
              <w:top w:val="single" w:sz="4" w:space="0" w:color="auto"/>
              <w:left w:val="nil"/>
              <w:bottom w:val="single" w:sz="4" w:space="0" w:color="auto"/>
              <w:right w:val="nil"/>
            </w:tcBorders>
            <w:shd w:val="clear" w:color="auto" w:fill="auto"/>
            <w:noWrap/>
            <w:vAlign w:val="bottom"/>
            <w:hideMark/>
          </w:tcPr>
          <w:p w14:paraId="05D3FBCB" w14:textId="77777777" w:rsidR="00A12416" w:rsidRPr="009E35ED" w:rsidRDefault="00A12416" w:rsidP="00A12416">
            <w:pPr>
              <w:ind w:left="0"/>
              <w:jc w:val="right"/>
              <w:rPr>
                <w:rFonts w:ascii="Arial Narrow" w:hAnsi="Arial Narrow" w:cs="Calibri"/>
                <w:color w:val="000000" w:themeColor="text1"/>
                <w:sz w:val="20"/>
                <w:szCs w:val="20"/>
              </w:rPr>
            </w:pPr>
            <w:r w:rsidRPr="009E35ED">
              <w:rPr>
                <w:rFonts w:ascii="Arial Narrow" w:hAnsi="Arial Narrow" w:cs="Calibri"/>
                <w:color w:val="000000" w:themeColor="text1"/>
                <w:sz w:val="20"/>
                <w:szCs w:val="20"/>
              </w:rPr>
              <w:t>Percentage (%)</w:t>
            </w:r>
          </w:p>
        </w:tc>
      </w:tr>
      <w:tr w:rsidR="00997F75" w:rsidRPr="009E35ED" w14:paraId="36E84027" w14:textId="77777777" w:rsidTr="00D043CC">
        <w:trPr>
          <w:trHeight w:val="244"/>
        </w:trPr>
        <w:tc>
          <w:tcPr>
            <w:tcW w:w="364" w:type="dxa"/>
            <w:tcBorders>
              <w:top w:val="nil"/>
              <w:left w:val="nil"/>
              <w:bottom w:val="nil"/>
              <w:right w:val="nil"/>
            </w:tcBorders>
            <w:shd w:val="clear" w:color="auto" w:fill="auto"/>
            <w:noWrap/>
            <w:vAlign w:val="bottom"/>
            <w:hideMark/>
          </w:tcPr>
          <w:p w14:paraId="38976F31" w14:textId="77777777" w:rsidR="00A12416" w:rsidRPr="009E35ED" w:rsidRDefault="00A12416" w:rsidP="00A12416">
            <w:pPr>
              <w:ind w:left="0"/>
              <w:jc w:val="left"/>
              <w:rPr>
                <w:rFonts w:ascii="Arial Narrow" w:hAnsi="Arial Narrow" w:cs="Calibri"/>
                <w:color w:val="000000" w:themeColor="text1"/>
                <w:sz w:val="20"/>
                <w:szCs w:val="20"/>
              </w:rPr>
            </w:pPr>
          </w:p>
        </w:tc>
        <w:tc>
          <w:tcPr>
            <w:tcW w:w="3686" w:type="dxa"/>
            <w:gridSpan w:val="3"/>
            <w:tcBorders>
              <w:top w:val="nil"/>
              <w:left w:val="nil"/>
              <w:bottom w:val="nil"/>
              <w:right w:val="nil"/>
            </w:tcBorders>
            <w:shd w:val="clear" w:color="auto" w:fill="auto"/>
            <w:noWrap/>
            <w:vAlign w:val="bottom"/>
            <w:hideMark/>
          </w:tcPr>
          <w:p w14:paraId="24918BDF" w14:textId="77777777" w:rsidR="00A12416" w:rsidRPr="009E35ED" w:rsidRDefault="00A12416" w:rsidP="00A12416">
            <w:pPr>
              <w:ind w:left="0"/>
              <w:jc w:val="left"/>
              <w:rPr>
                <w:rFonts w:ascii="Arial Narrow" w:hAnsi="Arial Narrow" w:cs="Calibri"/>
                <w:color w:val="000000" w:themeColor="text1"/>
                <w:sz w:val="20"/>
                <w:szCs w:val="20"/>
              </w:rPr>
            </w:pPr>
            <w:r w:rsidRPr="009E35ED">
              <w:rPr>
                <w:rFonts w:ascii="Arial Narrow" w:hAnsi="Arial Narrow" w:cs="Calibri"/>
                <w:color w:val="000000" w:themeColor="text1"/>
                <w:sz w:val="20"/>
                <w:szCs w:val="20"/>
              </w:rPr>
              <w:t>Past Due</w:t>
            </w:r>
          </w:p>
        </w:tc>
        <w:tc>
          <w:tcPr>
            <w:tcW w:w="2526" w:type="dxa"/>
            <w:tcBorders>
              <w:top w:val="nil"/>
              <w:left w:val="nil"/>
              <w:bottom w:val="nil"/>
              <w:right w:val="nil"/>
            </w:tcBorders>
            <w:shd w:val="clear" w:color="auto" w:fill="auto"/>
            <w:noWrap/>
            <w:vAlign w:val="bottom"/>
            <w:hideMark/>
          </w:tcPr>
          <w:p w14:paraId="7EAFBCBB" w14:textId="77777777" w:rsidR="00A12416" w:rsidRPr="009E35ED" w:rsidRDefault="00A12416" w:rsidP="00A12416">
            <w:pPr>
              <w:ind w:left="0"/>
              <w:jc w:val="left"/>
              <w:rPr>
                <w:rFonts w:ascii="Arial Narrow" w:hAnsi="Arial Narrow" w:cs="Calibri"/>
                <w:color w:val="000000" w:themeColor="text1"/>
                <w:sz w:val="20"/>
                <w:szCs w:val="20"/>
              </w:rPr>
            </w:pPr>
          </w:p>
        </w:tc>
      </w:tr>
      <w:tr w:rsidR="00997F75" w:rsidRPr="009E35ED" w14:paraId="2C4DD13B" w14:textId="77777777" w:rsidTr="00D043CC">
        <w:trPr>
          <w:trHeight w:val="244"/>
        </w:trPr>
        <w:tc>
          <w:tcPr>
            <w:tcW w:w="364" w:type="dxa"/>
            <w:tcBorders>
              <w:top w:val="nil"/>
              <w:left w:val="nil"/>
              <w:bottom w:val="nil"/>
              <w:right w:val="nil"/>
            </w:tcBorders>
            <w:shd w:val="clear" w:color="auto" w:fill="auto"/>
            <w:noWrap/>
            <w:vAlign w:val="bottom"/>
            <w:hideMark/>
          </w:tcPr>
          <w:p w14:paraId="06F1F981" w14:textId="77777777" w:rsidR="00A12416" w:rsidRPr="009E35ED" w:rsidRDefault="00A12416" w:rsidP="00A12416">
            <w:pPr>
              <w:ind w:left="0"/>
              <w:jc w:val="left"/>
              <w:rPr>
                <w:rFonts w:ascii="Arial Narrow" w:hAnsi="Arial Narrow"/>
                <w:color w:val="000000" w:themeColor="text1"/>
                <w:sz w:val="20"/>
                <w:szCs w:val="20"/>
              </w:rPr>
            </w:pPr>
          </w:p>
        </w:tc>
        <w:tc>
          <w:tcPr>
            <w:tcW w:w="364" w:type="dxa"/>
            <w:tcBorders>
              <w:top w:val="nil"/>
              <w:left w:val="nil"/>
              <w:bottom w:val="nil"/>
              <w:right w:val="nil"/>
            </w:tcBorders>
            <w:shd w:val="clear" w:color="auto" w:fill="auto"/>
            <w:noWrap/>
            <w:vAlign w:val="bottom"/>
            <w:hideMark/>
          </w:tcPr>
          <w:p w14:paraId="0BFD7B78" w14:textId="77777777" w:rsidR="00A12416" w:rsidRPr="009E35ED" w:rsidRDefault="00A12416" w:rsidP="00A12416">
            <w:pPr>
              <w:ind w:left="0"/>
              <w:jc w:val="left"/>
              <w:rPr>
                <w:rFonts w:ascii="Arial Narrow" w:hAnsi="Arial Narrow"/>
                <w:color w:val="000000" w:themeColor="text1"/>
                <w:sz w:val="20"/>
                <w:szCs w:val="20"/>
              </w:rPr>
            </w:pPr>
          </w:p>
        </w:tc>
        <w:tc>
          <w:tcPr>
            <w:tcW w:w="3322" w:type="dxa"/>
            <w:gridSpan w:val="2"/>
            <w:tcBorders>
              <w:top w:val="nil"/>
              <w:left w:val="nil"/>
              <w:bottom w:val="nil"/>
              <w:right w:val="nil"/>
            </w:tcBorders>
            <w:shd w:val="clear" w:color="auto" w:fill="auto"/>
            <w:noWrap/>
            <w:vAlign w:val="bottom"/>
            <w:hideMark/>
          </w:tcPr>
          <w:p w14:paraId="16766783" w14:textId="77777777" w:rsidR="00A12416" w:rsidRPr="009E35ED" w:rsidRDefault="00A12416" w:rsidP="00A12416">
            <w:pPr>
              <w:ind w:left="0"/>
              <w:jc w:val="left"/>
              <w:rPr>
                <w:rFonts w:ascii="Arial Narrow" w:hAnsi="Arial Narrow" w:cs="Calibri"/>
                <w:color w:val="000000" w:themeColor="text1"/>
                <w:sz w:val="20"/>
                <w:szCs w:val="20"/>
              </w:rPr>
            </w:pPr>
            <w:r w:rsidRPr="009E35ED">
              <w:rPr>
                <w:rFonts w:ascii="Arial Narrow" w:hAnsi="Arial Narrow" w:cs="Calibri"/>
                <w:color w:val="000000" w:themeColor="text1"/>
                <w:sz w:val="20"/>
                <w:szCs w:val="20"/>
              </w:rPr>
              <w:t>Over 3 years</w:t>
            </w:r>
          </w:p>
        </w:tc>
        <w:tc>
          <w:tcPr>
            <w:tcW w:w="2526" w:type="dxa"/>
            <w:tcBorders>
              <w:top w:val="nil"/>
              <w:left w:val="nil"/>
              <w:bottom w:val="nil"/>
              <w:right w:val="nil"/>
            </w:tcBorders>
            <w:shd w:val="clear" w:color="auto" w:fill="auto"/>
            <w:noWrap/>
            <w:vAlign w:val="bottom"/>
            <w:hideMark/>
          </w:tcPr>
          <w:p w14:paraId="576DD9EA" w14:textId="77777777" w:rsidR="00A12416" w:rsidRPr="009E35ED" w:rsidRDefault="00A12416" w:rsidP="00A12416">
            <w:pPr>
              <w:ind w:left="0"/>
              <w:jc w:val="left"/>
              <w:rPr>
                <w:rFonts w:ascii="Arial Narrow" w:hAnsi="Arial Narrow" w:cs="Calibri"/>
                <w:color w:val="000000" w:themeColor="text1"/>
                <w:sz w:val="20"/>
                <w:szCs w:val="20"/>
              </w:rPr>
            </w:pPr>
          </w:p>
        </w:tc>
      </w:tr>
      <w:tr w:rsidR="00997F75" w:rsidRPr="009E35ED" w14:paraId="4DD63845" w14:textId="77777777" w:rsidTr="00D043CC">
        <w:trPr>
          <w:trHeight w:val="244"/>
        </w:trPr>
        <w:tc>
          <w:tcPr>
            <w:tcW w:w="364" w:type="dxa"/>
            <w:tcBorders>
              <w:top w:val="nil"/>
              <w:left w:val="nil"/>
              <w:bottom w:val="nil"/>
              <w:right w:val="nil"/>
            </w:tcBorders>
            <w:shd w:val="clear" w:color="auto" w:fill="auto"/>
            <w:noWrap/>
            <w:vAlign w:val="bottom"/>
            <w:hideMark/>
          </w:tcPr>
          <w:p w14:paraId="40609B80" w14:textId="77777777" w:rsidR="00A12416" w:rsidRPr="009E35ED" w:rsidRDefault="00A12416" w:rsidP="00A12416">
            <w:pPr>
              <w:ind w:left="0"/>
              <w:jc w:val="left"/>
              <w:rPr>
                <w:rFonts w:ascii="Arial Narrow" w:hAnsi="Arial Narrow"/>
                <w:color w:val="000000" w:themeColor="text1"/>
                <w:sz w:val="20"/>
                <w:szCs w:val="20"/>
              </w:rPr>
            </w:pPr>
          </w:p>
        </w:tc>
        <w:tc>
          <w:tcPr>
            <w:tcW w:w="364" w:type="dxa"/>
            <w:tcBorders>
              <w:top w:val="nil"/>
              <w:left w:val="nil"/>
              <w:bottom w:val="nil"/>
              <w:right w:val="nil"/>
            </w:tcBorders>
            <w:shd w:val="clear" w:color="auto" w:fill="auto"/>
            <w:noWrap/>
            <w:vAlign w:val="bottom"/>
            <w:hideMark/>
          </w:tcPr>
          <w:p w14:paraId="553A59E3" w14:textId="77777777" w:rsidR="00A12416" w:rsidRPr="009E35ED" w:rsidRDefault="00A12416" w:rsidP="00A12416">
            <w:pPr>
              <w:ind w:left="0"/>
              <w:jc w:val="left"/>
              <w:rPr>
                <w:rFonts w:ascii="Arial Narrow" w:hAnsi="Arial Narrow"/>
                <w:color w:val="000000" w:themeColor="text1"/>
                <w:sz w:val="20"/>
                <w:szCs w:val="20"/>
              </w:rPr>
            </w:pPr>
          </w:p>
        </w:tc>
        <w:tc>
          <w:tcPr>
            <w:tcW w:w="364" w:type="dxa"/>
            <w:tcBorders>
              <w:top w:val="nil"/>
              <w:left w:val="nil"/>
              <w:bottom w:val="nil"/>
              <w:right w:val="nil"/>
            </w:tcBorders>
            <w:shd w:val="clear" w:color="auto" w:fill="auto"/>
            <w:noWrap/>
            <w:vAlign w:val="bottom"/>
            <w:hideMark/>
          </w:tcPr>
          <w:p w14:paraId="3A9731E2" w14:textId="77777777" w:rsidR="00A12416" w:rsidRPr="009E35ED" w:rsidRDefault="00A12416" w:rsidP="00A12416">
            <w:pPr>
              <w:ind w:left="0"/>
              <w:jc w:val="left"/>
              <w:rPr>
                <w:rFonts w:ascii="Arial Narrow" w:hAnsi="Arial Narrow"/>
                <w:color w:val="000000" w:themeColor="text1"/>
                <w:sz w:val="20"/>
                <w:szCs w:val="20"/>
              </w:rPr>
            </w:pPr>
          </w:p>
        </w:tc>
        <w:tc>
          <w:tcPr>
            <w:tcW w:w="2958" w:type="dxa"/>
            <w:tcBorders>
              <w:top w:val="nil"/>
              <w:left w:val="nil"/>
              <w:bottom w:val="nil"/>
              <w:right w:val="nil"/>
            </w:tcBorders>
            <w:shd w:val="clear" w:color="auto" w:fill="auto"/>
            <w:noWrap/>
            <w:vAlign w:val="bottom"/>
            <w:hideMark/>
          </w:tcPr>
          <w:p w14:paraId="55616B77" w14:textId="77777777" w:rsidR="00A12416" w:rsidRPr="009E35ED" w:rsidRDefault="00A12416" w:rsidP="00A12416">
            <w:pPr>
              <w:ind w:left="0"/>
              <w:jc w:val="left"/>
              <w:rPr>
                <w:rFonts w:ascii="Arial Narrow" w:hAnsi="Arial Narrow" w:cs="Calibri"/>
                <w:color w:val="000000" w:themeColor="text1"/>
                <w:sz w:val="20"/>
                <w:szCs w:val="20"/>
              </w:rPr>
            </w:pPr>
            <w:r w:rsidRPr="009E35ED">
              <w:rPr>
                <w:rFonts w:ascii="Arial Narrow" w:hAnsi="Arial Narrow" w:cs="Calibri"/>
                <w:color w:val="000000" w:themeColor="text1"/>
                <w:sz w:val="20"/>
                <w:szCs w:val="20"/>
              </w:rPr>
              <w:t>11 years and over</w:t>
            </w:r>
          </w:p>
        </w:tc>
        <w:tc>
          <w:tcPr>
            <w:tcW w:w="2526" w:type="dxa"/>
            <w:tcBorders>
              <w:top w:val="nil"/>
              <w:left w:val="nil"/>
              <w:bottom w:val="nil"/>
              <w:right w:val="nil"/>
            </w:tcBorders>
            <w:shd w:val="clear" w:color="auto" w:fill="auto"/>
            <w:noWrap/>
            <w:vAlign w:val="bottom"/>
            <w:hideMark/>
          </w:tcPr>
          <w:p w14:paraId="15648F32" w14:textId="77777777" w:rsidR="00A12416" w:rsidRPr="009E35ED" w:rsidRDefault="00A12416" w:rsidP="00A12416">
            <w:pPr>
              <w:ind w:left="0"/>
              <w:jc w:val="right"/>
              <w:rPr>
                <w:rFonts w:ascii="Arial Narrow" w:hAnsi="Arial Narrow" w:cs="Calibri"/>
                <w:color w:val="000000" w:themeColor="text1"/>
                <w:sz w:val="20"/>
                <w:szCs w:val="20"/>
              </w:rPr>
            </w:pPr>
            <w:r w:rsidRPr="009E35ED">
              <w:rPr>
                <w:rFonts w:ascii="Arial Narrow" w:hAnsi="Arial Narrow" w:cs="Calibri"/>
                <w:color w:val="000000" w:themeColor="text1"/>
                <w:sz w:val="20"/>
                <w:szCs w:val="20"/>
              </w:rPr>
              <w:t>100</w:t>
            </w:r>
          </w:p>
        </w:tc>
      </w:tr>
      <w:tr w:rsidR="00997F75" w:rsidRPr="009E35ED" w14:paraId="50823861" w14:textId="77777777" w:rsidTr="00D043CC">
        <w:trPr>
          <w:trHeight w:val="244"/>
        </w:trPr>
        <w:tc>
          <w:tcPr>
            <w:tcW w:w="364" w:type="dxa"/>
            <w:tcBorders>
              <w:top w:val="nil"/>
              <w:left w:val="nil"/>
              <w:bottom w:val="nil"/>
              <w:right w:val="nil"/>
            </w:tcBorders>
            <w:shd w:val="clear" w:color="auto" w:fill="auto"/>
            <w:noWrap/>
            <w:vAlign w:val="bottom"/>
            <w:hideMark/>
          </w:tcPr>
          <w:p w14:paraId="2E39975E" w14:textId="77777777" w:rsidR="00A12416" w:rsidRPr="009E35ED" w:rsidRDefault="00A12416" w:rsidP="00A12416">
            <w:pPr>
              <w:ind w:left="0"/>
              <w:jc w:val="right"/>
              <w:rPr>
                <w:rFonts w:ascii="Arial Narrow" w:hAnsi="Arial Narrow" w:cs="Calibri"/>
                <w:color w:val="000000" w:themeColor="text1"/>
                <w:sz w:val="20"/>
                <w:szCs w:val="20"/>
              </w:rPr>
            </w:pPr>
          </w:p>
        </w:tc>
        <w:tc>
          <w:tcPr>
            <w:tcW w:w="364" w:type="dxa"/>
            <w:tcBorders>
              <w:top w:val="nil"/>
              <w:left w:val="nil"/>
              <w:bottom w:val="nil"/>
              <w:right w:val="nil"/>
            </w:tcBorders>
            <w:shd w:val="clear" w:color="auto" w:fill="auto"/>
            <w:noWrap/>
            <w:vAlign w:val="bottom"/>
            <w:hideMark/>
          </w:tcPr>
          <w:p w14:paraId="7270C4FE" w14:textId="77777777" w:rsidR="00A12416" w:rsidRPr="009E35ED" w:rsidRDefault="00A12416" w:rsidP="00A12416">
            <w:pPr>
              <w:ind w:left="0"/>
              <w:jc w:val="left"/>
              <w:rPr>
                <w:rFonts w:ascii="Arial Narrow" w:hAnsi="Arial Narrow"/>
                <w:color w:val="000000" w:themeColor="text1"/>
                <w:sz w:val="20"/>
                <w:szCs w:val="20"/>
              </w:rPr>
            </w:pPr>
          </w:p>
        </w:tc>
        <w:tc>
          <w:tcPr>
            <w:tcW w:w="364" w:type="dxa"/>
            <w:tcBorders>
              <w:top w:val="nil"/>
              <w:left w:val="nil"/>
              <w:bottom w:val="nil"/>
              <w:right w:val="nil"/>
            </w:tcBorders>
            <w:shd w:val="clear" w:color="auto" w:fill="auto"/>
            <w:noWrap/>
            <w:vAlign w:val="bottom"/>
            <w:hideMark/>
          </w:tcPr>
          <w:p w14:paraId="6B4227ED" w14:textId="77777777" w:rsidR="00A12416" w:rsidRPr="009E35ED" w:rsidRDefault="00A12416" w:rsidP="00A12416">
            <w:pPr>
              <w:ind w:left="0"/>
              <w:jc w:val="left"/>
              <w:rPr>
                <w:rFonts w:ascii="Arial Narrow" w:hAnsi="Arial Narrow"/>
                <w:color w:val="000000" w:themeColor="text1"/>
                <w:sz w:val="20"/>
                <w:szCs w:val="20"/>
              </w:rPr>
            </w:pPr>
          </w:p>
        </w:tc>
        <w:tc>
          <w:tcPr>
            <w:tcW w:w="2958" w:type="dxa"/>
            <w:tcBorders>
              <w:top w:val="nil"/>
              <w:left w:val="nil"/>
              <w:bottom w:val="nil"/>
              <w:right w:val="nil"/>
            </w:tcBorders>
            <w:shd w:val="clear" w:color="auto" w:fill="auto"/>
            <w:noWrap/>
            <w:vAlign w:val="bottom"/>
            <w:hideMark/>
          </w:tcPr>
          <w:p w14:paraId="64029F6A" w14:textId="77777777" w:rsidR="00A12416" w:rsidRPr="009E35ED" w:rsidRDefault="00A12416" w:rsidP="00A12416">
            <w:pPr>
              <w:ind w:left="0"/>
              <w:jc w:val="left"/>
              <w:rPr>
                <w:rFonts w:ascii="Arial Narrow" w:hAnsi="Arial Narrow" w:cs="Calibri"/>
                <w:color w:val="000000" w:themeColor="text1"/>
                <w:sz w:val="20"/>
                <w:szCs w:val="20"/>
              </w:rPr>
            </w:pPr>
            <w:r w:rsidRPr="009E35ED">
              <w:rPr>
                <w:rFonts w:ascii="Arial Narrow" w:hAnsi="Arial Narrow" w:cs="Calibri"/>
                <w:color w:val="000000" w:themeColor="text1"/>
                <w:sz w:val="20"/>
                <w:szCs w:val="20"/>
              </w:rPr>
              <w:t>7 to 10 years</w:t>
            </w:r>
          </w:p>
        </w:tc>
        <w:tc>
          <w:tcPr>
            <w:tcW w:w="2526" w:type="dxa"/>
            <w:tcBorders>
              <w:top w:val="nil"/>
              <w:left w:val="nil"/>
              <w:bottom w:val="nil"/>
              <w:right w:val="nil"/>
            </w:tcBorders>
            <w:shd w:val="clear" w:color="auto" w:fill="auto"/>
            <w:noWrap/>
            <w:vAlign w:val="bottom"/>
            <w:hideMark/>
          </w:tcPr>
          <w:p w14:paraId="53AA8A23" w14:textId="77777777" w:rsidR="00A12416" w:rsidRPr="009E35ED" w:rsidRDefault="00A12416" w:rsidP="00A12416">
            <w:pPr>
              <w:ind w:left="0"/>
              <w:jc w:val="right"/>
              <w:rPr>
                <w:rFonts w:ascii="Arial Narrow" w:hAnsi="Arial Narrow" w:cs="Calibri"/>
                <w:color w:val="000000" w:themeColor="text1"/>
                <w:sz w:val="20"/>
                <w:szCs w:val="20"/>
              </w:rPr>
            </w:pPr>
            <w:r w:rsidRPr="009E35ED">
              <w:rPr>
                <w:rFonts w:ascii="Arial Narrow" w:hAnsi="Arial Narrow" w:cs="Calibri"/>
                <w:color w:val="000000" w:themeColor="text1"/>
                <w:sz w:val="20"/>
                <w:szCs w:val="20"/>
              </w:rPr>
              <w:t>75</w:t>
            </w:r>
          </w:p>
        </w:tc>
      </w:tr>
      <w:tr w:rsidR="00997F75" w:rsidRPr="009E35ED" w14:paraId="7A8A5BA1" w14:textId="77777777" w:rsidTr="00D043CC">
        <w:trPr>
          <w:trHeight w:val="244"/>
        </w:trPr>
        <w:tc>
          <w:tcPr>
            <w:tcW w:w="364" w:type="dxa"/>
            <w:tcBorders>
              <w:top w:val="nil"/>
              <w:left w:val="nil"/>
              <w:bottom w:val="nil"/>
              <w:right w:val="nil"/>
            </w:tcBorders>
            <w:shd w:val="clear" w:color="auto" w:fill="auto"/>
            <w:noWrap/>
            <w:vAlign w:val="bottom"/>
            <w:hideMark/>
          </w:tcPr>
          <w:p w14:paraId="2EB9CF02" w14:textId="77777777" w:rsidR="00A12416" w:rsidRPr="009E35ED" w:rsidRDefault="00A12416" w:rsidP="00A12416">
            <w:pPr>
              <w:ind w:left="0"/>
              <w:jc w:val="right"/>
              <w:rPr>
                <w:rFonts w:ascii="Arial Narrow" w:hAnsi="Arial Narrow" w:cs="Calibri"/>
                <w:color w:val="000000" w:themeColor="text1"/>
                <w:sz w:val="20"/>
                <w:szCs w:val="20"/>
              </w:rPr>
            </w:pPr>
          </w:p>
        </w:tc>
        <w:tc>
          <w:tcPr>
            <w:tcW w:w="364" w:type="dxa"/>
            <w:tcBorders>
              <w:top w:val="nil"/>
              <w:left w:val="nil"/>
              <w:bottom w:val="nil"/>
              <w:right w:val="nil"/>
            </w:tcBorders>
            <w:shd w:val="clear" w:color="auto" w:fill="auto"/>
            <w:noWrap/>
            <w:vAlign w:val="bottom"/>
            <w:hideMark/>
          </w:tcPr>
          <w:p w14:paraId="29475D8A" w14:textId="77777777" w:rsidR="00A12416" w:rsidRPr="009E35ED" w:rsidRDefault="00A12416" w:rsidP="00A12416">
            <w:pPr>
              <w:ind w:left="0"/>
              <w:jc w:val="left"/>
              <w:rPr>
                <w:rFonts w:ascii="Arial Narrow" w:hAnsi="Arial Narrow"/>
                <w:color w:val="000000" w:themeColor="text1"/>
                <w:sz w:val="20"/>
                <w:szCs w:val="20"/>
              </w:rPr>
            </w:pPr>
          </w:p>
        </w:tc>
        <w:tc>
          <w:tcPr>
            <w:tcW w:w="364" w:type="dxa"/>
            <w:tcBorders>
              <w:top w:val="nil"/>
              <w:left w:val="nil"/>
              <w:bottom w:val="nil"/>
              <w:right w:val="nil"/>
            </w:tcBorders>
            <w:shd w:val="clear" w:color="auto" w:fill="auto"/>
            <w:noWrap/>
            <w:vAlign w:val="bottom"/>
            <w:hideMark/>
          </w:tcPr>
          <w:p w14:paraId="31DC3A7F" w14:textId="77777777" w:rsidR="00A12416" w:rsidRPr="009E35ED" w:rsidRDefault="00A12416" w:rsidP="00A12416">
            <w:pPr>
              <w:ind w:left="0"/>
              <w:jc w:val="left"/>
              <w:rPr>
                <w:rFonts w:ascii="Arial Narrow" w:hAnsi="Arial Narrow"/>
                <w:color w:val="000000" w:themeColor="text1"/>
                <w:sz w:val="20"/>
                <w:szCs w:val="20"/>
              </w:rPr>
            </w:pPr>
          </w:p>
        </w:tc>
        <w:tc>
          <w:tcPr>
            <w:tcW w:w="2958" w:type="dxa"/>
            <w:tcBorders>
              <w:top w:val="nil"/>
              <w:left w:val="nil"/>
              <w:bottom w:val="nil"/>
              <w:right w:val="nil"/>
            </w:tcBorders>
            <w:shd w:val="clear" w:color="auto" w:fill="auto"/>
            <w:noWrap/>
            <w:vAlign w:val="bottom"/>
            <w:hideMark/>
          </w:tcPr>
          <w:p w14:paraId="68BCD8ED" w14:textId="77777777" w:rsidR="00A12416" w:rsidRPr="009E35ED" w:rsidRDefault="00A12416" w:rsidP="00A12416">
            <w:pPr>
              <w:ind w:left="0"/>
              <w:jc w:val="left"/>
              <w:rPr>
                <w:rFonts w:ascii="Arial Narrow" w:hAnsi="Arial Narrow" w:cs="Calibri"/>
                <w:color w:val="000000" w:themeColor="text1"/>
                <w:sz w:val="20"/>
                <w:szCs w:val="20"/>
              </w:rPr>
            </w:pPr>
            <w:r w:rsidRPr="009E35ED">
              <w:rPr>
                <w:rFonts w:ascii="Arial Narrow" w:hAnsi="Arial Narrow" w:cs="Calibri"/>
                <w:color w:val="000000" w:themeColor="text1"/>
                <w:sz w:val="20"/>
                <w:szCs w:val="20"/>
              </w:rPr>
              <w:t>4 to 6 years</w:t>
            </w:r>
          </w:p>
        </w:tc>
        <w:tc>
          <w:tcPr>
            <w:tcW w:w="2526" w:type="dxa"/>
            <w:tcBorders>
              <w:top w:val="nil"/>
              <w:left w:val="nil"/>
              <w:bottom w:val="nil"/>
              <w:right w:val="nil"/>
            </w:tcBorders>
            <w:shd w:val="clear" w:color="auto" w:fill="auto"/>
            <w:noWrap/>
            <w:vAlign w:val="bottom"/>
            <w:hideMark/>
          </w:tcPr>
          <w:p w14:paraId="2FDADE2E" w14:textId="77777777" w:rsidR="00A12416" w:rsidRPr="009E35ED" w:rsidRDefault="00A12416" w:rsidP="00A12416">
            <w:pPr>
              <w:ind w:left="0"/>
              <w:jc w:val="right"/>
              <w:rPr>
                <w:rFonts w:ascii="Arial Narrow" w:hAnsi="Arial Narrow" w:cs="Calibri"/>
                <w:color w:val="000000" w:themeColor="text1"/>
                <w:sz w:val="20"/>
                <w:szCs w:val="20"/>
              </w:rPr>
            </w:pPr>
            <w:r w:rsidRPr="009E35ED">
              <w:rPr>
                <w:rFonts w:ascii="Arial Narrow" w:hAnsi="Arial Narrow" w:cs="Calibri"/>
                <w:color w:val="000000" w:themeColor="text1"/>
                <w:sz w:val="20"/>
                <w:szCs w:val="20"/>
              </w:rPr>
              <w:t>50</w:t>
            </w:r>
          </w:p>
        </w:tc>
      </w:tr>
      <w:tr w:rsidR="00997F75" w:rsidRPr="009E35ED" w14:paraId="71EBCDE0" w14:textId="77777777" w:rsidTr="00D043CC">
        <w:trPr>
          <w:trHeight w:val="244"/>
        </w:trPr>
        <w:tc>
          <w:tcPr>
            <w:tcW w:w="364" w:type="dxa"/>
            <w:tcBorders>
              <w:top w:val="nil"/>
              <w:left w:val="nil"/>
              <w:bottom w:val="nil"/>
              <w:right w:val="nil"/>
            </w:tcBorders>
            <w:shd w:val="clear" w:color="auto" w:fill="auto"/>
            <w:noWrap/>
            <w:vAlign w:val="bottom"/>
            <w:hideMark/>
          </w:tcPr>
          <w:p w14:paraId="28EA3649" w14:textId="77777777" w:rsidR="00A12416" w:rsidRPr="009E35ED" w:rsidRDefault="00A12416" w:rsidP="00A12416">
            <w:pPr>
              <w:ind w:left="0"/>
              <w:jc w:val="right"/>
              <w:rPr>
                <w:rFonts w:ascii="Arial Narrow" w:hAnsi="Arial Narrow" w:cs="Calibri"/>
                <w:color w:val="000000" w:themeColor="text1"/>
                <w:sz w:val="20"/>
                <w:szCs w:val="20"/>
              </w:rPr>
            </w:pPr>
          </w:p>
        </w:tc>
        <w:tc>
          <w:tcPr>
            <w:tcW w:w="364" w:type="dxa"/>
            <w:tcBorders>
              <w:top w:val="nil"/>
              <w:left w:val="nil"/>
              <w:bottom w:val="nil"/>
              <w:right w:val="nil"/>
            </w:tcBorders>
            <w:shd w:val="clear" w:color="auto" w:fill="auto"/>
            <w:noWrap/>
            <w:vAlign w:val="bottom"/>
            <w:hideMark/>
          </w:tcPr>
          <w:p w14:paraId="3C315FAB" w14:textId="77777777" w:rsidR="00A12416" w:rsidRPr="009E35ED" w:rsidRDefault="00A12416" w:rsidP="00A12416">
            <w:pPr>
              <w:ind w:left="0"/>
              <w:jc w:val="left"/>
              <w:rPr>
                <w:rFonts w:ascii="Arial Narrow" w:hAnsi="Arial Narrow"/>
                <w:color w:val="000000" w:themeColor="text1"/>
                <w:sz w:val="20"/>
                <w:szCs w:val="20"/>
              </w:rPr>
            </w:pPr>
          </w:p>
        </w:tc>
        <w:tc>
          <w:tcPr>
            <w:tcW w:w="3322" w:type="dxa"/>
            <w:gridSpan w:val="2"/>
            <w:tcBorders>
              <w:top w:val="nil"/>
              <w:left w:val="nil"/>
              <w:bottom w:val="nil"/>
              <w:right w:val="nil"/>
            </w:tcBorders>
            <w:shd w:val="clear" w:color="auto" w:fill="auto"/>
            <w:noWrap/>
            <w:vAlign w:val="bottom"/>
            <w:hideMark/>
          </w:tcPr>
          <w:p w14:paraId="4D2FF218" w14:textId="77777777" w:rsidR="00A12416" w:rsidRPr="009E35ED" w:rsidRDefault="00A12416" w:rsidP="00A12416">
            <w:pPr>
              <w:ind w:left="0"/>
              <w:jc w:val="left"/>
              <w:rPr>
                <w:rFonts w:ascii="Arial Narrow" w:hAnsi="Arial Narrow" w:cs="Calibri"/>
                <w:color w:val="000000" w:themeColor="text1"/>
                <w:sz w:val="20"/>
                <w:szCs w:val="20"/>
              </w:rPr>
            </w:pPr>
            <w:r w:rsidRPr="009E35ED">
              <w:rPr>
                <w:rFonts w:ascii="Arial Narrow" w:hAnsi="Arial Narrow" w:cs="Calibri"/>
                <w:color w:val="000000" w:themeColor="text1"/>
                <w:sz w:val="20"/>
                <w:szCs w:val="20"/>
              </w:rPr>
              <w:t>Over 2 years</w:t>
            </w:r>
          </w:p>
        </w:tc>
        <w:tc>
          <w:tcPr>
            <w:tcW w:w="2526" w:type="dxa"/>
            <w:tcBorders>
              <w:top w:val="nil"/>
              <w:left w:val="nil"/>
              <w:bottom w:val="nil"/>
              <w:right w:val="nil"/>
            </w:tcBorders>
            <w:shd w:val="clear" w:color="auto" w:fill="auto"/>
            <w:noWrap/>
            <w:vAlign w:val="bottom"/>
            <w:hideMark/>
          </w:tcPr>
          <w:p w14:paraId="43676DCB" w14:textId="77777777" w:rsidR="00A12416" w:rsidRPr="009E35ED" w:rsidRDefault="00A12416" w:rsidP="00A12416">
            <w:pPr>
              <w:ind w:left="0"/>
              <w:jc w:val="left"/>
              <w:rPr>
                <w:rFonts w:ascii="Arial Narrow" w:hAnsi="Arial Narrow" w:cs="Calibri"/>
                <w:color w:val="000000" w:themeColor="text1"/>
                <w:sz w:val="20"/>
                <w:szCs w:val="20"/>
              </w:rPr>
            </w:pPr>
          </w:p>
        </w:tc>
      </w:tr>
      <w:tr w:rsidR="00997F75" w:rsidRPr="009E35ED" w14:paraId="6F8329C3" w14:textId="77777777" w:rsidTr="00D043CC">
        <w:trPr>
          <w:trHeight w:val="244"/>
        </w:trPr>
        <w:tc>
          <w:tcPr>
            <w:tcW w:w="364" w:type="dxa"/>
            <w:tcBorders>
              <w:top w:val="nil"/>
              <w:left w:val="nil"/>
              <w:bottom w:val="nil"/>
              <w:right w:val="nil"/>
            </w:tcBorders>
            <w:shd w:val="clear" w:color="auto" w:fill="auto"/>
            <w:noWrap/>
            <w:vAlign w:val="bottom"/>
            <w:hideMark/>
          </w:tcPr>
          <w:p w14:paraId="7E45EF00" w14:textId="77777777" w:rsidR="00A12416" w:rsidRPr="009E35ED" w:rsidRDefault="00A12416" w:rsidP="00A12416">
            <w:pPr>
              <w:ind w:left="0"/>
              <w:jc w:val="left"/>
              <w:rPr>
                <w:rFonts w:ascii="Arial Narrow" w:hAnsi="Arial Narrow"/>
                <w:color w:val="000000" w:themeColor="text1"/>
                <w:sz w:val="20"/>
                <w:szCs w:val="20"/>
              </w:rPr>
            </w:pPr>
          </w:p>
        </w:tc>
        <w:tc>
          <w:tcPr>
            <w:tcW w:w="364" w:type="dxa"/>
            <w:tcBorders>
              <w:top w:val="nil"/>
              <w:left w:val="nil"/>
              <w:bottom w:val="nil"/>
              <w:right w:val="nil"/>
            </w:tcBorders>
            <w:shd w:val="clear" w:color="auto" w:fill="auto"/>
            <w:noWrap/>
            <w:vAlign w:val="bottom"/>
            <w:hideMark/>
          </w:tcPr>
          <w:p w14:paraId="5BEED11A" w14:textId="77777777" w:rsidR="00A12416" w:rsidRPr="009E35ED" w:rsidRDefault="00A12416" w:rsidP="00A12416">
            <w:pPr>
              <w:ind w:left="0"/>
              <w:jc w:val="left"/>
              <w:rPr>
                <w:rFonts w:ascii="Arial Narrow" w:hAnsi="Arial Narrow"/>
                <w:color w:val="000000" w:themeColor="text1"/>
                <w:sz w:val="20"/>
                <w:szCs w:val="20"/>
              </w:rPr>
            </w:pPr>
          </w:p>
        </w:tc>
        <w:tc>
          <w:tcPr>
            <w:tcW w:w="364" w:type="dxa"/>
            <w:tcBorders>
              <w:top w:val="nil"/>
              <w:left w:val="nil"/>
              <w:bottom w:val="nil"/>
              <w:right w:val="nil"/>
            </w:tcBorders>
            <w:shd w:val="clear" w:color="auto" w:fill="auto"/>
            <w:noWrap/>
            <w:vAlign w:val="bottom"/>
            <w:hideMark/>
          </w:tcPr>
          <w:p w14:paraId="73D8C741" w14:textId="77777777" w:rsidR="00A12416" w:rsidRPr="009E35ED" w:rsidRDefault="00A12416" w:rsidP="00A12416">
            <w:pPr>
              <w:ind w:left="0"/>
              <w:jc w:val="left"/>
              <w:rPr>
                <w:rFonts w:ascii="Arial Narrow" w:hAnsi="Arial Narrow"/>
                <w:color w:val="000000" w:themeColor="text1"/>
                <w:sz w:val="20"/>
                <w:szCs w:val="20"/>
              </w:rPr>
            </w:pPr>
          </w:p>
        </w:tc>
        <w:tc>
          <w:tcPr>
            <w:tcW w:w="2958" w:type="dxa"/>
            <w:tcBorders>
              <w:top w:val="nil"/>
              <w:left w:val="nil"/>
              <w:bottom w:val="nil"/>
              <w:right w:val="nil"/>
            </w:tcBorders>
            <w:shd w:val="clear" w:color="auto" w:fill="auto"/>
            <w:noWrap/>
            <w:vAlign w:val="bottom"/>
            <w:hideMark/>
          </w:tcPr>
          <w:p w14:paraId="5E610FA2" w14:textId="77777777" w:rsidR="00A12416" w:rsidRPr="009E35ED" w:rsidRDefault="00A12416" w:rsidP="00A12416">
            <w:pPr>
              <w:ind w:left="0"/>
              <w:jc w:val="left"/>
              <w:rPr>
                <w:rFonts w:ascii="Arial Narrow" w:hAnsi="Arial Narrow" w:cs="Calibri"/>
                <w:color w:val="000000" w:themeColor="text1"/>
                <w:sz w:val="20"/>
                <w:szCs w:val="20"/>
              </w:rPr>
            </w:pPr>
            <w:r w:rsidRPr="009E35ED">
              <w:rPr>
                <w:rFonts w:ascii="Arial Narrow" w:hAnsi="Arial Narrow" w:cs="Calibri"/>
                <w:color w:val="000000" w:themeColor="text1"/>
                <w:sz w:val="20"/>
                <w:szCs w:val="20"/>
              </w:rPr>
              <w:t>2 to 3 years</w:t>
            </w:r>
          </w:p>
        </w:tc>
        <w:tc>
          <w:tcPr>
            <w:tcW w:w="2526" w:type="dxa"/>
            <w:tcBorders>
              <w:top w:val="nil"/>
              <w:left w:val="nil"/>
              <w:bottom w:val="nil"/>
              <w:right w:val="nil"/>
            </w:tcBorders>
            <w:shd w:val="clear" w:color="auto" w:fill="auto"/>
            <w:noWrap/>
            <w:vAlign w:val="bottom"/>
            <w:hideMark/>
          </w:tcPr>
          <w:p w14:paraId="4CA19FFA" w14:textId="77777777" w:rsidR="00A12416" w:rsidRPr="009E35ED" w:rsidRDefault="00A12416" w:rsidP="00A12416">
            <w:pPr>
              <w:ind w:left="0"/>
              <w:jc w:val="right"/>
              <w:rPr>
                <w:rFonts w:ascii="Arial Narrow" w:hAnsi="Arial Narrow" w:cs="Calibri"/>
                <w:color w:val="000000" w:themeColor="text1"/>
                <w:sz w:val="20"/>
                <w:szCs w:val="20"/>
              </w:rPr>
            </w:pPr>
            <w:r w:rsidRPr="009E35ED">
              <w:rPr>
                <w:rFonts w:ascii="Arial Narrow" w:hAnsi="Arial Narrow" w:cs="Calibri"/>
                <w:color w:val="000000" w:themeColor="text1"/>
                <w:sz w:val="20"/>
                <w:szCs w:val="20"/>
              </w:rPr>
              <w:t>25</w:t>
            </w:r>
          </w:p>
        </w:tc>
      </w:tr>
      <w:tr w:rsidR="00997F75" w:rsidRPr="009E35ED" w14:paraId="1326AE11" w14:textId="77777777" w:rsidTr="00D043CC">
        <w:trPr>
          <w:trHeight w:val="244"/>
        </w:trPr>
        <w:tc>
          <w:tcPr>
            <w:tcW w:w="364" w:type="dxa"/>
            <w:tcBorders>
              <w:top w:val="nil"/>
              <w:left w:val="nil"/>
              <w:bottom w:val="nil"/>
              <w:right w:val="nil"/>
            </w:tcBorders>
            <w:shd w:val="clear" w:color="auto" w:fill="auto"/>
            <w:noWrap/>
            <w:vAlign w:val="bottom"/>
            <w:hideMark/>
          </w:tcPr>
          <w:p w14:paraId="15E605EB" w14:textId="77777777" w:rsidR="00A12416" w:rsidRPr="009E35ED" w:rsidRDefault="00A12416" w:rsidP="00A12416">
            <w:pPr>
              <w:ind w:left="0"/>
              <w:jc w:val="right"/>
              <w:rPr>
                <w:rFonts w:ascii="Arial Narrow" w:hAnsi="Arial Narrow" w:cs="Calibri"/>
                <w:color w:val="000000" w:themeColor="text1"/>
                <w:sz w:val="20"/>
                <w:szCs w:val="20"/>
              </w:rPr>
            </w:pPr>
          </w:p>
        </w:tc>
        <w:tc>
          <w:tcPr>
            <w:tcW w:w="364" w:type="dxa"/>
            <w:tcBorders>
              <w:top w:val="nil"/>
              <w:left w:val="nil"/>
              <w:bottom w:val="nil"/>
              <w:right w:val="nil"/>
            </w:tcBorders>
            <w:shd w:val="clear" w:color="auto" w:fill="auto"/>
            <w:noWrap/>
            <w:vAlign w:val="bottom"/>
            <w:hideMark/>
          </w:tcPr>
          <w:p w14:paraId="347DC763" w14:textId="77777777" w:rsidR="00A12416" w:rsidRPr="009E35ED" w:rsidRDefault="00A12416" w:rsidP="00A12416">
            <w:pPr>
              <w:ind w:left="0"/>
              <w:jc w:val="left"/>
              <w:rPr>
                <w:rFonts w:ascii="Arial Narrow" w:hAnsi="Arial Narrow"/>
                <w:color w:val="000000" w:themeColor="text1"/>
                <w:sz w:val="20"/>
                <w:szCs w:val="20"/>
              </w:rPr>
            </w:pPr>
          </w:p>
        </w:tc>
        <w:tc>
          <w:tcPr>
            <w:tcW w:w="3322" w:type="dxa"/>
            <w:gridSpan w:val="2"/>
            <w:tcBorders>
              <w:top w:val="nil"/>
              <w:left w:val="nil"/>
              <w:bottom w:val="nil"/>
              <w:right w:val="nil"/>
            </w:tcBorders>
            <w:shd w:val="clear" w:color="auto" w:fill="auto"/>
            <w:noWrap/>
            <w:vAlign w:val="bottom"/>
            <w:hideMark/>
          </w:tcPr>
          <w:p w14:paraId="5856F196" w14:textId="77777777" w:rsidR="00A12416" w:rsidRPr="009E35ED" w:rsidRDefault="00A12416" w:rsidP="00A12416">
            <w:pPr>
              <w:ind w:left="0"/>
              <w:jc w:val="left"/>
              <w:rPr>
                <w:rFonts w:ascii="Arial Narrow" w:hAnsi="Arial Narrow" w:cs="Calibri"/>
                <w:color w:val="000000" w:themeColor="text1"/>
                <w:sz w:val="20"/>
                <w:szCs w:val="20"/>
              </w:rPr>
            </w:pPr>
            <w:r w:rsidRPr="009E35ED">
              <w:rPr>
                <w:rFonts w:ascii="Arial Narrow" w:hAnsi="Arial Narrow" w:cs="Calibri"/>
                <w:color w:val="000000" w:themeColor="text1"/>
                <w:sz w:val="20"/>
                <w:szCs w:val="20"/>
              </w:rPr>
              <w:t>Over 1 year</w:t>
            </w:r>
          </w:p>
        </w:tc>
        <w:tc>
          <w:tcPr>
            <w:tcW w:w="2526" w:type="dxa"/>
            <w:tcBorders>
              <w:top w:val="nil"/>
              <w:left w:val="nil"/>
              <w:bottom w:val="nil"/>
              <w:right w:val="nil"/>
            </w:tcBorders>
            <w:shd w:val="clear" w:color="auto" w:fill="auto"/>
            <w:noWrap/>
            <w:vAlign w:val="bottom"/>
            <w:hideMark/>
          </w:tcPr>
          <w:p w14:paraId="1A7EF26B" w14:textId="77777777" w:rsidR="00A12416" w:rsidRPr="009E35ED" w:rsidRDefault="00A12416" w:rsidP="00A12416">
            <w:pPr>
              <w:ind w:left="0"/>
              <w:jc w:val="left"/>
              <w:rPr>
                <w:rFonts w:ascii="Arial Narrow" w:hAnsi="Arial Narrow" w:cs="Calibri"/>
                <w:color w:val="000000" w:themeColor="text1"/>
                <w:sz w:val="20"/>
                <w:szCs w:val="20"/>
              </w:rPr>
            </w:pPr>
          </w:p>
        </w:tc>
      </w:tr>
      <w:tr w:rsidR="00997F75" w:rsidRPr="009E35ED" w14:paraId="4F57FDD9" w14:textId="77777777" w:rsidTr="00D043CC">
        <w:trPr>
          <w:trHeight w:val="244"/>
        </w:trPr>
        <w:tc>
          <w:tcPr>
            <w:tcW w:w="364" w:type="dxa"/>
            <w:tcBorders>
              <w:top w:val="nil"/>
              <w:left w:val="nil"/>
              <w:bottom w:val="nil"/>
              <w:right w:val="nil"/>
            </w:tcBorders>
            <w:shd w:val="clear" w:color="auto" w:fill="auto"/>
            <w:noWrap/>
            <w:vAlign w:val="bottom"/>
            <w:hideMark/>
          </w:tcPr>
          <w:p w14:paraId="4DF088AF" w14:textId="77777777" w:rsidR="00A12416" w:rsidRPr="009E35ED" w:rsidRDefault="00A12416" w:rsidP="00A12416">
            <w:pPr>
              <w:ind w:left="0"/>
              <w:jc w:val="left"/>
              <w:rPr>
                <w:rFonts w:ascii="Arial Narrow" w:hAnsi="Arial Narrow"/>
                <w:color w:val="000000" w:themeColor="text1"/>
                <w:sz w:val="20"/>
                <w:szCs w:val="20"/>
              </w:rPr>
            </w:pPr>
          </w:p>
        </w:tc>
        <w:tc>
          <w:tcPr>
            <w:tcW w:w="364" w:type="dxa"/>
            <w:tcBorders>
              <w:top w:val="nil"/>
              <w:left w:val="nil"/>
              <w:bottom w:val="nil"/>
              <w:right w:val="nil"/>
            </w:tcBorders>
            <w:shd w:val="clear" w:color="auto" w:fill="auto"/>
            <w:noWrap/>
            <w:vAlign w:val="bottom"/>
            <w:hideMark/>
          </w:tcPr>
          <w:p w14:paraId="1FB8787E" w14:textId="77777777" w:rsidR="00A12416" w:rsidRPr="009E35ED" w:rsidRDefault="00A12416" w:rsidP="00A12416">
            <w:pPr>
              <w:ind w:left="0"/>
              <w:jc w:val="left"/>
              <w:rPr>
                <w:rFonts w:ascii="Arial Narrow" w:hAnsi="Arial Narrow"/>
                <w:color w:val="000000" w:themeColor="text1"/>
                <w:sz w:val="20"/>
                <w:szCs w:val="20"/>
              </w:rPr>
            </w:pPr>
          </w:p>
        </w:tc>
        <w:tc>
          <w:tcPr>
            <w:tcW w:w="364" w:type="dxa"/>
            <w:tcBorders>
              <w:top w:val="nil"/>
              <w:left w:val="nil"/>
              <w:bottom w:val="nil"/>
              <w:right w:val="nil"/>
            </w:tcBorders>
            <w:shd w:val="clear" w:color="auto" w:fill="auto"/>
            <w:noWrap/>
            <w:vAlign w:val="bottom"/>
            <w:hideMark/>
          </w:tcPr>
          <w:p w14:paraId="02F3483A" w14:textId="77777777" w:rsidR="00A12416" w:rsidRPr="009E35ED" w:rsidRDefault="00A12416" w:rsidP="00A12416">
            <w:pPr>
              <w:ind w:left="0"/>
              <w:jc w:val="left"/>
              <w:rPr>
                <w:rFonts w:ascii="Arial Narrow" w:hAnsi="Arial Narrow"/>
                <w:color w:val="000000" w:themeColor="text1"/>
                <w:sz w:val="20"/>
                <w:szCs w:val="20"/>
              </w:rPr>
            </w:pPr>
          </w:p>
        </w:tc>
        <w:tc>
          <w:tcPr>
            <w:tcW w:w="2958" w:type="dxa"/>
            <w:tcBorders>
              <w:top w:val="nil"/>
              <w:left w:val="nil"/>
              <w:bottom w:val="nil"/>
              <w:right w:val="nil"/>
            </w:tcBorders>
            <w:shd w:val="clear" w:color="auto" w:fill="auto"/>
            <w:noWrap/>
            <w:vAlign w:val="bottom"/>
            <w:hideMark/>
          </w:tcPr>
          <w:p w14:paraId="4A26935D" w14:textId="77777777" w:rsidR="00A12416" w:rsidRPr="009E35ED" w:rsidRDefault="00A12416" w:rsidP="00A12416">
            <w:pPr>
              <w:ind w:left="0"/>
              <w:jc w:val="left"/>
              <w:rPr>
                <w:rFonts w:ascii="Arial Narrow" w:hAnsi="Arial Narrow" w:cs="Calibri"/>
                <w:color w:val="000000" w:themeColor="text1"/>
                <w:sz w:val="20"/>
                <w:szCs w:val="20"/>
              </w:rPr>
            </w:pPr>
            <w:r w:rsidRPr="009E35ED">
              <w:rPr>
                <w:rFonts w:ascii="Arial Narrow" w:hAnsi="Arial Narrow" w:cs="Calibri"/>
                <w:color w:val="000000" w:themeColor="text1"/>
                <w:sz w:val="20"/>
                <w:szCs w:val="20"/>
              </w:rPr>
              <w:t>1 to 2 years</w:t>
            </w:r>
          </w:p>
        </w:tc>
        <w:tc>
          <w:tcPr>
            <w:tcW w:w="2526" w:type="dxa"/>
            <w:tcBorders>
              <w:top w:val="nil"/>
              <w:left w:val="nil"/>
              <w:bottom w:val="nil"/>
              <w:right w:val="nil"/>
            </w:tcBorders>
            <w:shd w:val="clear" w:color="auto" w:fill="auto"/>
            <w:noWrap/>
            <w:vAlign w:val="bottom"/>
            <w:hideMark/>
          </w:tcPr>
          <w:p w14:paraId="44F03CC4" w14:textId="77777777" w:rsidR="00A12416" w:rsidRPr="009E35ED" w:rsidRDefault="00A12416" w:rsidP="00A12416">
            <w:pPr>
              <w:ind w:left="0"/>
              <w:jc w:val="right"/>
              <w:rPr>
                <w:rFonts w:ascii="Arial Narrow" w:hAnsi="Arial Narrow" w:cs="Calibri"/>
                <w:color w:val="000000" w:themeColor="text1"/>
                <w:sz w:val="20"/>
                <w:szCs w:val="20"/>
              </w:rPr>
            </w:pPr>
            <w:r w:rsidRPr="009E35ED">
              <w:rPr>
                <w:rFonts w:ascii="Arial Narrow" w:hAnsi="Arial Narrow" w:cs="Calibri"/>
                <w:color w:val="000000" w:themeColor="text1"/>
                <w:sz w:val="20"/>
                <w:szCs w:val="20"/>
              </w:rPr>
              <w:t>0</w:t>
            </w:r>
          </w:p>
        </w:tc>
      </w:tr>
      <w:tr w:rsidR="00997F75" w:rsidRPr="009E35ED" w14:paraId="6E75BA16" w14:textId="77777777" w:rsidTr="00D043CC">
        <w:trPr>
          <w:trHeight w:val="81"/>
        </w:trPr>
        <w:tc>
          <w:tcPr>
            <w:tcW w:w="364" w:type="dxa"/>
            <w:tcBorders>
              <w:top w:val="nil"/>
              <w:left w:val="nil"/>
              <w:bottom w:val="nil"/>
              <w:right w:val="nil"/>
            </w:tcBorders>
            <w:shd w:val="clear" w:color="auto" w:fill="auto"/>
            <w:noWrap/>
            <w:vAlign w:val="bottom"/>
            <w:hideMark/>
          </w:tcPr>
          <w:p w14:paraId="2EF6FB36" w14:textId="77777777" w:rsidR="00A12416" w:rsidRPr="009E35ED" w:rsidRDefault="00A12416" w:rsidP="00A12416">
            <w:pPr>
              <w:ind w:left="0"/>
              <w:jc w:val="left"/>
              <w:rPr>
                <w:rFonts w:ascii="Arial Narrow" w:hAnsi="Arial Narrow"/>
                <w:color w:val="000000" w:themeColor="text1"/>
                <w:sz w:val="20"/>
                <w:szCs w:val="20"/>
              </w:rPr>
            </w:pPr>
          </w:p>
        </w:tc>
        <w:tc>
          <w:tcPr>
            <w:tcW w:w="3686" w:type="dxa"/>
            <w:gridSpan w:val="3"/>
            <w:tcBorders>
              <w:top w:val="nil"/>
              <w:left w:val="nil"/>
              <w:bottom w:val="nil"/>
              <w:right w:val="nil"/>
            </w:tcBorders>
            <w:shd w:val="clear" w:color="auto" w:fill="auto"/>
            <w:noWrap/>
            <w:vAlign w:val="bottom"/>
            <w:hideMark/>
          </w:tcPr>
          <w:p w14:paraId="54100E66" w14:textId="77777777" w:rsidR="00A12416" w:rsidRPr="009E35ED" w:rsidRDefault="00A12416" w:rsidP="00A12416">
            <w:pPr>
              <w:ind w:left="0"/>
              <w:jc w:val="left"/>
              <w:rPr>
                <w:rFonts w:ascii="Arial Narrow" w:hAnsi="Arial Narrow" w:cs="Calibri"/>
                <w:color w:val="000000" w:themeColor="text1"/>
                <w:sz w:val="20"/>
                <w:szCs w:val="20"/>
              </w:rPr>
            </w:pPr>
            <w:r w:rsidRPr="009E35ED">
              <w:rPr>
                <w:rFonts w:ascii="Arial Narrow" w:hAnsi="Arial Narrow" w:cs="Calibri"/>
                <w:color w:val="000000" w:themeColor="text1"/>
                <w:sz w:val="20"/>
                <w:szCs w:val="20"/>
              </w:rPr>
              <w:t>Current</w:t>
            </w:r>
          </w:p>
        </w:tc>
        <w:tc>
          <w:tcPr>
            <w:tcW w:w="2526" w:type="dxa"/>
            <w:tcBorders>
              <w:top w:val="nil"/>
              <w:left w:val="nil"/>
              <w:bottom w:val="nil"/>
              <w:right w:val="nil"/>
            </w:tcBorders>
            <w:shd w:val="clear" w:color="auto" w:fill="auto"/>
            <w:noWrap/>
            <w:vAlign w:val="bottom"/>
            <w:hideMark/>
          </w:tcPr>
          <w:p w14:paraId="07053959" w14:textId="77777777" w:rsidR="00A12416" w:rsidRPr="009E35ED" w:rsidRDefault="00A12416" w:rsidP="00A12416">
            <w:pPr>
              <w:ind w:left="0"/>
              <w:jc w:val="left"/>
              <w:rPr>
                <w:rFonts w:ascii="Arial Narrow" w:hAnsi="Arial Narrow" w:cs="Calibri"/>
                <w:color w:val="000000" w:themeColor="text1"/>
                <w:sz w:val="20"/>
                <w:szCs w:val="20"/>
              </w:rPr>
            </w:pPr>
          </w:p>
        </w:tc>
      </w:tr>
      <w:tr w:rsidR="00997F75" w:rsidRPr="009E35ED" w14:paraId="0A5177BE" w14:textId="77777777" w:rsidTr="00D043CC">
        <w:trPr>
          <w:trHeight w:val="244"/>
        </w:trPr>
        <w:tc>
          <w:tcPr>
            <w:tcW w:w="364" w:type="dxa"/>
            <w:tcBorders>
              <w:top w:val="nil"/>
              <w:left w:val="nil"/>
              <w:bottom w:val="nil"/>
              <w:right w:val="nil"/>
            </w:tcBorders>
            <w:shd w:val="clear" w:color="auto" w:fill="auto"/>
            <w:noWrap/>
            <w:vAlign w:val="bottom"/>
            <w:hideMark/>
          </w:tcPr>
          <w:p w14:paraId="3570C505" w14:textId="77777777" w:rsidR="00A12416" w:rsidRPr="009E35ED" w:rsidRDefault="00A12416" w:rsidP="00A12416">
            <w:pPr>
              <w:ind w:left="0"/>
              <w:jc w:val="left"/>
              <w:rPr>
                <w:rFonts w:ascii="Arial Narrow" w:hAnsi="Arial Narrow"/>
                <w:color w:val="000000" w:themeColor="text1"/>
                <w:sz w:val="20"/>
                <w:szCs w:val="20"/>
              </w:rPr>
            </w:pPr>
          </w:p>
        </w:tc>
        <w:tc>
          <w:tcPr>
            <w:tcW w:w="364" w:type="dxa"/>
            <w:tcBorders>
              <w:top w:val="nil"/>
              <w:left w:val="nil"/>
              <w:bottom w:val="nil"/>
              <w:right w:val="nil"/>
            </w:tcBorders>
            <w:shd w:val="clear" w:color="auto" w:fill="auto"/>
            <w:noWrap/>
            <w:vAlign w:val="bottom"/>
            <w:hideMark/>
          </w:tcPr>
          <w:p w14:paraId="4243215D" w14:textId="77777777" w:rsidR="00A12416" w:rsidRPr="009E35ED" w:rsidRDefault="00A12416" w:rsidP="00A12416">
            <w:pPr>
              <w:ind w:left="0"/>
              <w:jc w:val="left"/>
              <w:rPr>
                <w:rFonts w:ascii="Arial Narrow" w:hAnsi="Arial Narrow"/>
                <w:color w:val="000000" w:themeColor="text1"/>
                <w:sz w:val="20"/>
                <w:szCs w:val="20"/>
              </w:rPr>
            </w:pPr>
          </w:p>
        </w:tc>
        <w:tc>
          <w:tcPr>
            <w:tcW w:w="3322" w:type="dxa"/>
            <w:gridSpan w:val="2"/>
            <w:tcBorders>
              <w:top w:val="nil"/>
              <w:left w:val="nil"/>
              <w:bottom w:val="nil"/>
              <w:right w:val="nil"/>
            </w:tcBorders>
            <w:shd w:val="clear" w:color="auto" w:fill="auto"/>
            <w:noWrap/>
            <w:vAlign w:val="bottom"/>
            <w:hideMark/>
          </w:tcPr>
          <w:p w14:paraId="2463D0BE" w14:textId="77777777" w:rsidR="00A12416" w:rsidRPr="009E35ED" w:rsidRDefault="00A12416" w:rsidP="00A12416">
            <w:pPr>
              <w:ind w:left="0"/>
              <w:jc w:val="left"/>
              <w:rPr>
                <w:rFonts w:ascii="Arial Narrow" w:hAnsi="Arial Narrow" w:cs="Calibri"/>
                <w:color w:val="000000" w:themeColor="text1"/>
                <w:sz w:val="20"/>
                <w:szCs w:val="20"/>
              </w:rPr>
            </w:pPr>
            <w:r w:rsidRPr="009E35ED">
              <w:rPr>
                <w:rFonts w:ascii="Arial Narrow" w:hAnsi="Arial Narrow" w:cs="Calibri"/>
                <w:color w:val="000000" w:themeColor="text1"/>
                <w:sz w:val="20"/>
                <w:szCs w:val="20"/>
              </w:rPr>
              <w:t>91 to 365 days</w:t>
            </w:r>
          </w:p>
        </w:tc>
        <w:tc>
          <w:tcPr>
            <w:tcW w:w="2526" w:type="dxa"/>
            <w:tcBorders>
              <w:top w:val="nil"/>
              <w:left w:val="nil"/>
              <w:bottom w:val="nil"/>
              <w:right w:val="nil"/>
            </w:tcBorders>
            <w:shd w:val="clear" w:color="auto" w:fill="auto"/>
            <w:noWrap/>
            <w:vAlign w:val="bottom"/>
            <w:hideMark/>
          </w:tcPr>
          <w:p w14:paraId="244BC857" w14:textId="77777777" w:rsidR="00A12416" w:rsidRPr="009E35ED" w:rsidRDefault="00A12416" w:rsidP="00A12416">
            <w:pPr>
              <w:ind w:left="0"/>
              <w:jc w:val="right"/>
              <w:rPr>
                <w:rFonts w:ascii="Arial Narrow" w:hAnsi="Arial Narrow" w:cs="Calibri"/>
                <w:color w:val="000000" w:themeColor="text1"/>
                <w:sz w:val="20"/>
                <w:szCs w:val="20"/>
              </w:rPr>
            </w:pPr>
            <w:r w:rsidRPr="009E35ED">
              <w:rPr>
                <w:rFonts w:ascii="Arial Narrow" w:hAnsi="Arial Narrow" w:cs="Calibri"/>
                <w:color w:val="000000" w:themeColor="text1"/>
                <w:sz w:val="20"/>
                <w:szCs w:val="20"/>
              </w:rPr>
              <w:t>0</w:t>
            </w:r>
          </w:p>
        </w:tc>
      </w:tr>
      <w:tr w:rsidR="00A12416" w:rsidRPr="009E35ED" w14:paraId="023BDCEF" w14:textId="77777777" w:rsidTr="00D043CC">
        <w:trPr>
          <w:trHeight w:val="81"/>
        </w:trPr>
        <w:tc>
          <w:tcPr>
            <w:tcW w:w="364" w:type="dxa"/>
            <w:tcBorders>
              <w:top w:val="nil"/>
              <w:left w:val="nil"/>
              <w:bottom w:val="nil"/>
              <w:right w:val="nil"/>
            </w:tcBorders>
            <w:shd w:val="clear" w:color="auto" w:fill="auto"/>
            <w:noWrap/>
            <w:vAlign w:val="bottom"/>
            <w:hideMark/>
          </w:tcPr>
          <w:p w14:paraId="726B6819" w14:textId="77777777" w:rsidR="00A12416" w:rsidRPr="009E35ED" w:rsidRDefault="00A12416" w:rsidP="00A12416">
            <w:pPr>
              <w:ind w:left="0"/>
              <w:jc w:val="right"/>
              <w:rPr>
                <w:rFonts w:ascii="Arial Narrow" w:hAnsi="Arial Narrow" w:cs="Calibri"/>
                <w:color w:val="000000" w:themeColor="text1"/>
                <w:sz w:val="20"/>
                <w:szCs w:val="20"/>
              </w:rPr>
            </w:pPr>
          </w:p>
        </w:tc>
        <w:tc>
          <w:tcPr>
            <w:tcW w:w="364" w:type="dxa"/>
            <w:tcBorders>
              <w:top w:val="nil"/>
              <w:left w:val="nil"/>
              <w:bottom w:val="nil"/>
              <w:right w:val="nil"/>
            </w:tcBorders>
            <w:shd w:val="clear" w:color="auto" w:fill="auto"/>
            <w:noWrap/>
            <w:vAlign w:val="bottom"/>
            <w:hideMark/>
          </w:tcPr>
          <w:p w14:paraId="1D856A24" w14:textId="77777777" w:rsidR="00A12416" w:rsidRPr="009E35ED" w:rsidRDefault="00A12416" w:rsidP="00A12416">
            <w:pPr>
              <w:ind w:left="0"/>
              <w:jc w:val="left"/>
              <w:rPr>
                <w:rFonts w:ascii="Arial Narrow" w:hAnsi="Arial Narrow"/>
                <w:color w:val="000000" w:themeColor="text1"/>
                <w:sz w:val="20"/>
                <w:szCs w:val="20"/>
              </w:rPr>
            </w:pPr>
          </w:p>
        </w:tc>
        <w:tc>
          <w:tcPr>
            <w:tcW w:w="3322" w:type="dxa"/>
            <w:gridSpan w:val="2"/>
            <w:tcBorders>
              <w:top w:val="nil"/>
              <w:left w:val="nil"/>
              <w:bottom w:val="nil"/>
              <w:right w:val="nil"/>
            </w:tcBorders>
            <w:shd w:val="clear" w:color="auto" w:fill="auto"/>
            <w:noWrap/>
            <w:vAlign w:val="bottom"/>
            <w:hideMark/>
          </w:tcPr>
          <w:p w14:paraId="22459FA7" w14:textId="77777777" w:rsidR="00A12416" w:rsidRPr="009E35ED" w:rsidRDefault="00A12416" w:rsidP="00A12416">
            <w:pPr>
              <w:ind w:left="0"/>
              <w:jc w:val="left"/>
              <w:rPr>
                <w:rFonts w:ascii="Arial Narrow" w:hAnsi="Arial Narrow" w:cs="Calibri"/>
                <w:color w:val="000000" w:themeColor="text1"/>
                <w:sz w:val="20"/>
                <w:szCs w:val="20"/>
              </w:rPr>
            </w:pPr>
            <w:r w:rsidRPr="009E35ED">
              <w:rPr>
                <w:rFonts w:ascii="Arial Narrow" w:hAnsi="Arial Narrow" w:cs="Calibri"/>
                <w:color w:val="000000" w:themeColor="text1"/>
                <w:sz w:val="20"/>
                <w:szCs w:val="20"/>
              </w:rPr>
              <w:t>less than 90 days</w:t>
            </w:r>
          </w:p>
        </w:tc>
        <w:tc>
          <w:tcPr>
            <w:tcW w:w="2526" w:type="dxa"/>
            <w:tcBorders>
              <w:top w:val="nil"/>
              <w:left w:val="nil"/>
              <w:bottom w:val="nil"/>
              <w:right w:val="nil"/>
            </w:tcBorders>
            <w:shd w:val="clear" w:color="auto" w:fill="auto"/>
            <w:noWrap/>
            <w:vAlign w:val="bottom"/>
            <w:hideMark/>
          </w:tcPr>
          <w:p w14:paraId="640A8276" w14:textId="77777777" w:rsidR="00A12416" w:rsidRPr="009E35ED" w:rsidRDefault="00A12416" w:rsidP="00A12416">
            <w:pPr>
              <w:ind w:left="0"/>
              <w:jc w:val="right"/>
              <w:rPr>
                <w:rFonts w:ascii="Arial Narrow" w:hAnsi="Arial Narrow" w:cs="Calibri"/>
                <w:color w:val="000000" w:themeColor="text1"/>
                <w:sz w:val="20"/>
                <w:szCs w:val="20"/>
              </w:rPr>
            </w:pPr>
            <w:r w:rsidRPr="009E35ED">
              <w:rPr>
                <w:rFonts w:ascii="Arial Narrow" w:hAnsi="Arial Narrow" w:cs="Calibri"/>
                <w:color w:val="000000" w:themeColor="text1"/>
                <w:sz w:val="20"/>
                <w:szCs w:val="20"/>
              </w:rPr>
              <w:t>0</w:t>
            </w:r>
          </w:p>
        </w:tc>
      </w:tr>
    </w:tbl>
    <w:p w14:paraId="09C3276F" w14:textId="77777777" w:rsidR="00CD2844" w:rsidRPr="009E35ED" w:rsidRDefault="00CD2844" w:rsidP="00803F8C">
      <w:pPr>
        <w:ind w:left="0"/>
        <w:rPr>
          <w:rFonts w:ascii="Arial" w:hAnsi="Arial" w:cs="Arial"/>
          <w:b/>
          <w:i/>
          <w:color w:val="000000" w:themeColor="text1"/>
          <w:sz w:val="22"/>
          <w:szCs w:val="22"/>
        </w:rPr>
      </w:pPr>
    </w:p>
    <w:p w14:paraId="21F7F54C" w14:textId="5E3DF3E9" w:rsidR="003B4D23" w:rsidRPr="009E35ED" w:rsidRDefault="003B4D23" w:rsidP="00B90388">
      <w:pPr>
        <w:keepNext/>
        <w:keepLines/>
        <w:ind w:left="0"/>
        <w:rPr>
          <w:rFonts w:ascii="Arial" w:hAnsi="Arial" w:cs="Arial"/>
          <w:b/>
          <w:i/>
          <w:color w:val="000000" w:themeColor="text1"/>
          <w:sz w:val="22"/>
          <w:szCs w:val="22"/>
        </w:rPr>
      </w:pPr>
      <w:r w:rsidRPr="009E35ED">
        <w:rPr>
          <w:rFonts w:ascii="Arial" w:hAnsi="Arial" w:cs="Arial"/>
          <w:b/>
          <w:i/>
          <w:color w:val="000000" w:themeColor="text1"/>
          <w:sz w:val="22"/>
          <w:szCs w:val="22"/>
        </w:rPr>
        <w:t>Derecognition of Financial Assets</w:t>
      </w:r>
    </w:p>
    <w:p w14:paraId="408A2559" w14:textId="77777777" w:rsidR="003B4D23" w:rsidRPr="009E35ED" w:rsidRDefault="003B4D23" w:rsidP="00B90388">
      <w:pPr>
        <w:keepNext/>
        <w:keepLines/>
        <w:ind w:left="0"/>
        <w:rPr>
          <w:rFonts w:ascii="Arial" w:hAnsi="Arial" w:cs="Arial"/>
          <w:b/>
          <w:color w:val="000000" w:themeColor="text1"/>
          <w:sz w:val="22"/>
          <w:szCs w:val="22"/>
        </w:rPr>
      </w:pPr>
    </w:p>
    <w:p w14:paraId="0EC79EC7" w14:textId="77777777" w:rsidR="005B084D" w:rsidRPr="009E35ED" w:rsidRDefault="005B084D" w:rsidP="00B90388">
      <w:pPr>
        <w:keepNext/>
        <w:keepLines/>
        <w:widowControl w:val="0"/>
        <w:autoSpaceDE w:val="0"/>
        <w:autoSpaceDN w:val="0"/>
        <w:adjustRightInd w:val="0"/>
        <w:ind w:left="0"/>
        <w:rPr>
          <w:rFonts w:ascii="Arial" w:eastAsiaTheme="minorEastAsia" w:hAnsi="Arial" w:cs="Arial"/>
          <w:color w:val="000000" w:themeColor="text1"/>
          <w:sz w:val="22"/>
          <w:szCs w:val="22"/>
        </w:rPr>
      </w:pPr>
      <w:r w:rsidRPr="009E35ED">
        <w:rPr>
          <w:rFonts w:ascii="Arial" w:eastAsiaTheme="minorEastAsia" w:hAnsi="Arial" w:cs="Arial"/>
          <w:color w:val="000000" w:themeColor="text1"/>
          <w:sz w:val="22"/>
          <w:szCs w:val="22"/>
        </w:rPr>
        <w:t>A financial asset (or where applicable, a part of a financial asset or part of a group of similar financial assets) is derecognized when:</w:t>
      </w:r>
    </w:p>
    <w:p w14:paraId="1B22EACC" w14:textId="77777777" w:rsidR="005B084D" w:rsidRPr="009E35ED" w:rsidRDefault="005B084D" w:rsidP="00B90388">
      <w:pPr>
        <w:keepNext/>
        <w:keepLines/>
        <w:widowControl w:val="0"/>
        <w:autoSpaceDE w:val="0"/>
        <w:autoSpaceDN w:val="0"/>
        <w:adjustRightInd w:val="0"/>
        <w:rPr>
          <w:rFonts w:ascii="Arial" w:eastAsiaTheme="minorEastAsia" w:hAnsi="Arial" w:cs="Arial"/>
          <w:color w:val="000000" w:themeColor="text1"/>
          <w:sz w:val="22"/>
          <w:szCs w:val="22"/>
        </w:rPr>
      </w:pPr>
    </w:p>
    <w:p w14:paraId="259657EC" w14:textId="77777777" w:rsidR="005B084D" w:rsidRPr="009E35ED" w:rsidRDefault="005B084D" w:rsidP="00B90388">
      <w:pPr>
        <w:pStyle w:val="ListParagraph"/>
        <w:keepNext/>
        <w:keepLines/>
        <w:numPr>
          <w:ilvl w:val="0"/>
          <w:numId w:val="18"/>
        </w:numPr>
        <w:ind w:left="720"/>
        <w:contextualSpacing/>
        <w:jc w:val="left"/>
        <w:rPr>
          <w:rFonts w:ascii="Arial" w:hAnsi="Arial" w:cs="Arial"/>
          <w:color w:val="000000" w:themeColor="text1"/>
          <w:sz w:val="22"/>
          <w:szCs w:val="22"/>
        </w:rPr>
      </w:pPr>
      <w:r w:rsidRPr="009E35ED">
        <w:rPr>
          <w:rFonts w:ascii="Arial" w:hAnsi="Arial" w:cs="Arial"/>
          <w:color w:val="000000" w:themeColor="text1"/>
          <w:sz w:val="22"/>
          <w:szCs w:val="22"/>
        </w:rPr>
        <w:t xml:space="preserve">the right to receive cash flows from the asset has expired; </w:t>
      </w:r>
    </w:p>
    <w:p w14:paraId="13B7BAF9" w14:textId="77777777" w:rsidR="005B084D" w:rsidRPr="009E35ED" w:rsidRDefault="005B084D" w:rsidP="00B90388">
      <w:pPr>
        <w:keepNext/>
        <w:keepLines/>
        <w:numPr>
          <w:ilvl w:val="0"/>
          <w:numId w:val="20"/>
        </w:numPr>
        <w:rPr>
          <w:rFonts w:ascii="Arial" w:hAnsi="Arial" w:cs="Arial"/>
          <w:bCs/>
          <w:color w:val="000000" w:themeColor="text1"/>
          <w:sz w:val="22"/>
          <w:szCs w:val="22"/>
        </w:rPr>
      </w:pPr>
      <w:r w:rsidRPr="009E35ED">
        <w:rPr>
          <w:rFonts w:ascii="Arial" w:hAnsi="Arial" w:cs="Arial"/>
          <w:bCs/>
          <w:color w:val="000000" w:themeColor="text1"/>
          <w:sz w:val="22"/>
          <w:szCs w:val="22"/>
        </w:rPr>
        <w:t>the PCSO retains the right to receive cash flows from the financial asset, but has assumed an obligation to pay them in full without material delay to a third party under a “pass-through” arrangement; or</w:t>
      </w:r>
    </w:p>
    <w:p w14:paraId="0A8CABD1" w14:textId="77777777" w:rsidR="005B084D" w:rsidRPr="009E35ED" w:rsidRDefault="005B084D" w:rsidP="00B90388">
      <w:pPr>
        <w:keepNext/>
        <w:keepLines/>
        <w:numPr>
          <w:ilvl w:val="0"/>
          <w:numId w:val="20"/>
        </w:numPr>
        <w:rPr>
          <w:rFonts w:ascii="Arial" w:hAnsi="Arial" w:cs="Arial"/>
          <w:bCs/>
          <w:color w:val="000000" w:themeColor="text1"/>
          <w:sz w:val="22"/>
          <w:szCs w:val="22"/>
        </w:rPr>
      </w:pPr>
      <w:r w:rsidRPr="009E35ED">
        <w:rPr>
          <w:rFonts w:ascii="Arial" w:hAnsi="Arial" w:cs="Arial"/>
          <w:bCs/>
          <w:color w:val="000000" w:themeColor="text1"/>
          <w:sz w:val="22"/>
          <w:szCs w:val="22"/>
        </w:rPr>
        <w:t>the PCSO has transferred its right to receive cash flows from the financial asset and either (a) has transferred substantially all the risks and rewards of the asset, or (b) has neither transferred nor retained substantially all the risks and rewards of the asset, but has transferred control of the asset.</w:t>
      </w:r>
    </w:p>
    <w:p w14:paraId="51A81DBB" w14:textId="77777777" w:rsidR="005B084D" w:rsidRPr="009E35ED" w:rsidRDefault="005B084D" w:rsidP="00803F8C">
      <w:pPr>
        <w:ind w:left="0"/>
        <w:rPr>
          <w:rFonts w:ascii="Arial" w:hAnsi="Arial" w:cs="Arial"/>
          <w:bCs/>
          <w:color w:val="000000" w:themeColor="text1"/>
          <w:sz w:val="22"/>
          <w:szCs w:val="22"/>
        </w:rPr>
      </w:pPr>
    </w:p>
    <w:p w14:paraId="22A1D361" w14:textId="2DF85FBF" w:rsidR="00437BDC" w:rsidRPr="009E35ED" w:rsidRDefault="005B084D" w:rsidP="00137CD9">
      <w:pPr>
        <w:ind w:left="0"/>
        <w:rPr>
          <w:rFonts w:ascii="Arial" w:eastAsia="Batang" w:hAnsi="Arial" w:cs="Arial"/>
          <w:color w:val="000000" w:themeColor="text1"/>
          <w:sz w:val="22"/>
          <w:szCs w:val="22"/>
        </w:rPr>
      </w:pPr>
      <w:r w:rsidRPr="009E35ED">
        <w:rPr>
          <w:rFonts w:ascii="Arial" w:eastAsia="Batang" w:hAnsi="Arial" w:cs="Arial"/>
          <w:color w:val="000000" w:themeColor="text1"/>
          <w:sz w:val="22"/>
          <w:szCs w:val="22"/>
        </w:rPr>
        <w:t>When the PCSO has transferred its right to receive cash flows from a financial asset or has entered into a pass-through arrangement, and has neither transferred nor retained substantially all the risks and rewards of ownership of the financial asset nor transferred control of the financial asset, the financial asset is recognized to the extent of PCSO’s continuing involvement in the financial asset.  Continuing involvement that takes the form of a guarantee over the transferred financial asset is measured at the lower of the original carrying amount of the financial asset and the maximum amount of consideration that the PCSO could be required to repay.</w:t>
      </w:r>
    </w:p>
    <w:p w14:paraId="5AC3195C" w14:textId="77777777" w:rsidR="006848A1" w:rsidRPr="009E35ED" w:rsidRDefault="006848A1" w:rsidP="00137CD9">
      <w:pPr>
        <w:ind w:left="0"/>
        <w:rPr>
          <w:rFonts w:ascii="Arial" w:hAnsi="Arial" w:cs="Arial"/>
          <w:color w:val="000000" w:themeColor="text1"/>
          <w:sz w:val="22"/>
          <w:szCs w:val="22"/>
        </w:rPr>
      </w:pPr>
    </w:p>
    <w:p w14:paraId="7A438790" w14:textId="77777777" w:rsidR="00595D52" w:rsidRPr="009E35ED" w:rsidRDefault="00E61F72" w:rsidP="00074309">
      <w:pPr>
        <w:pStyle w:val="ListParagraph"/>
        <w:numPr>
          <w:ilvl w:val="0"/>
          <w:numId w:val="8"/>
        </w:numPr>
        <w:ind w:hanging="720"/>
        <w:rPr>
          <w:rFonts w:ascii="Arial" w:hAnsi="Arial" w:cs="Arial"/>
          <w:b/>
          <w:color w:val="000000" w:themeColor="text1"/>
          <w:sz w:val="22"/>
          <w:szCs w:val="22"/>
        </w:rPr>
      </w:pPr>
      <w:r w:rsidRPr="009E35ED">
        <w:rPr>
          <w:rFonts w:ascii="Arial" w:hAnsi="Arial" w:cs="Arial"/>
          <w:b/>
          <w:color w:val="000000" w:themeColor="text1"/>
          <w:sz w:val="22"/>
          <w:szCs w:val="22"/>
        </w:rPr>
        <w:t>Financial Liabilities and Equity Instruments</w:t>
      </w:r>
    </w:p>
    <w:p w14:paraId="0BB49807" w14:textId="77777777" w:rsidR="00E61F72" w:rsidRPr="009E35ED" w:rsidRDefault="00E61F72" w:rsidP="00803F8C">
      <w:pPr>
        <w:pStyle w:val="ListParagraph"/>
        <w:ind w:left="540"/>
        <w:rPr>
          <w:rFonts w:ascii="Arial" w:hAnsi="Arial" w:cs="Arial"/>
          <w:b/>
          <w:color w:val="000000" w:themeColor="text1"/>
          <w:sz w:val="22"/>
          <w:szCs w:val="22"/>
        </w:rPr>
      </w:pPr>
    </w:p>
    <w:p w14:paraId="2A38E9A2" w14:textId="77777777" w:rsidR="00E61F72" w:rsidRPr="009E35ED" w:rsidRDefault="00E61F72" w:rsidP="00803F8C">
      <w:pPr>
        <w:ind w:left="0"/>
        <w:rPr>
          <w:rFonts w:ascii="Arial" w:hAnsi="Arial" w:cs="Arial"/>
          <w:b/>
          <w:i/>
          <w:color w:val="000000" w:themeColor="text1"/>
          <w:sz w:val="22"/>
          <w:szCs w:val="22"/>
        </w:rPr>
      </w:pPr>
      <w:r w:rsidRPr="009E35ED">
        <w:rPr>
          <w:rFonts w:ascii="Arial" w:hAnsi="Arial" w:cs="Arial"/>
          <w:b/>
          <w:i/>
          <w:color w:val="000000" w:themeColor="text1"/>
          <w:sz w:val="22"/>
          <w:szCs w:val="22"/>
        </w:rPr>
        <w:t>Classification as Debt or Equity</w:t>
      </w:r>
    </w:p>
    <w:p w14:paraId="6467C251" w14:textId="77777777" w:rsidR="00E61F72" w:rsidRPr="009E35ED" w:rsidRDefault="00E61F72" w:rsidP="00803F8C">
      <w:pPr>
        <w:ind w:left="0"/>
        <w:rPr>
          <w:rFonts w:ascii="Arial" w:hAnsi="Arial" w:cs="Arial"/>
          <w:i/>
          <w:color w:val="000000" w:themeColor="text1"/>
          <w:sz w:val="22"/>
          <w:szCs w:val="22"/>
          <w:u w:val="single"/>
        </w:rPr>
      </w:pPr>
    </w:p>
    <w:p w14:paraId="7B968ECA" w14:textId="2FC2771C" w:rsidR="00E61F72" w:rsidRPr="009E35ED" w:rsidRDefault="00E61F72" w:rsidP="00803F8C">
      <w:pPr>
        <w:ind w:left="0"/>
        <w:rPr>
          <w:rFonts w:ascii="Arial" w:hAnsi="Arial" w:cs="Arial"/>
          <w:color w:val="000000" w:themeColor="text1"/>
          <w:sz w:val="22"/>
          <w:szCs w:val="22"/>
        </w:rPr>
      </w:pPr>
      <w:r w:rsidRPr="009E35ED">
        <w:rPr>
          <w:rFonts w:ascii="Arial" w:hAnsi="Arial" w:cs="Arial"/>
          <w:color w:val="000000" w:themeColor="text1"/>
          <w:sz w:val="22"/>
          <w:szCs w:val="22"/>
        </w:rPr>
        <w:t xml:space="preserve">Debt and equity instruments issued by the </w:t>
      </w:r>
      <w:r w:rsidR="0051373D" w:rsidRPr="009E35ED">
        <w:rPr>
          <w:rFonts w:ascii="Arial" w:hAnsi="Arial" w:cs="Arial"/>
          <w:color w:val="000000" w:themeColor="text1"/>
          <w:sz w:val="22"/>
          <w:szCs w:val="22"/>
        </w:rPr>
        <w:t>Agency</w:t>
      </w:r>
      <w:r w:rsidR="005F0282" w:rsidRPr="009E35ED">
        <w:rPr>
          <w:rFonts w:ascii="Arial" w:hAnsi="Arial" w:cs="Arial"/>
          <w:color w:val="000000" w:themeColor="text1"/>
          <w:sz w:val="22"/>
          <w:szCs w:val="22"/>
        </w:rPr>
        <w:t xml:space="preserve"> </w:t>
      </w:r>
      <w:r w:rsidRPr="009E35ED">
        <w:rPr>
          <w:rFonts w:ascii="Arial" w:hAnsi="Arial" w:cs="Arial"/>
          <w:color w:val="000000" w:themeColor="text1"/>
          <w:sz w:val="22"/>
          <w:szCs w:val="22"/>
        </w:rPr>
        <w:t>classified as either financial liabilities or as equity in accordance with the substance of the contractual arrangements and the definitions of a financial liability and an equity instrument.</w:t>
      </w:r>
    </w:p>
    <w:p w14:paraId="59F0D4C4" w14:textId="77777777" w:rsidR="002A08C6" w:rsidRPr="009E35ED" w:rsidRDefault="002A08C6" w:rsidP="00803F8C">
      <w:pPr>
        <w:ind w:left="0"/>
        <w:rPr>
          <w:rFonts w:ascii="Arial" w:hAnsi="Arial" w:cs="Arial"/>
          <w:bCs/>
          <w:iCs/>
          <w:color w:val="000000" w:themeColor="text1"/>
          <w:sz w:val="22"/>
          <w:szCs w:val="22"/>
        </w:rPr>
      </w:pPr>
    </w:p>
    <w:p w14:paraId="071F46F0" w14:textId="77777777" w:rsidR="00E61F72" w:rsidRPr="009E35ED" w:rsidRDefault="00E61F72" w:rsidP="00803F8C">
      <w:pPr>
        <w:ind w:left="0"/>
        <w:rPr>
          <w:rFonts w:ascii="Arial" w:hAnsi="Arial" w:cs="Arial"/>
          <w:b/>
          <w:i/>
          <w:color w:val="000000" w:themeColor="text1"/>
          <w:sz w:val="22"/>
          <w:szCs w:val="22"/>
        </w:rPr>
      </w:pPr>
      <w:r w:rsidRPr="009E35ED">
        <w:rPr>
          <w:rFonts w:ascii="Arial" w:hAnsi="Arial" w:cs="Arial"/>
          <w:b/>
          <w:i/>
          <w:color w:val="000000" w:themeColor="text1"/>
          <w:sz w:val="22"/>
          <w:szCs w:val="22"/>
        </w:rPr>
        <w:t>Financial Liabilities</w:t>
      </w:r>
    </w:p>
    <w:p w14:paraId="55F10F99" w14:textId="77777777" w:rsidR="00E61F72" w:rsidRPr="009E35ED" w:rsidRDefault="00E61F72" w:rsidP="00803F8C">
      <w:pPr>
        <w:ind w:left="0"/>
        <w:rPr>
          <w:rFonts w:ascii="Arial" w:hAnsi="Arial" w:cs="Arial"/>
          <w:b/>
          <w:i/>
          <w:color w:val="000000" w:themeColor="text1"/>
          <w:sz w:val="22"/>
          <w:szCs w:val="22"/>
          <w:u w:val="single"/>
        </w:rPr>
      </w:pPr>
    </w:p>
    <w:p w14:paraId="1BF03315" w14:textId="77777777" w:rsidR="00E61F72" w:rsidRPr="009E35ED" w:rsidRDefault="00E61F72" w:rsidP="00803F8C">
      <w:pPr>
        <w:ind w:left="0"/>
        <w:rPr>
          <w:rFonts w:ascii="Arial" w:hAnsi="Arial" w:cs="Arial"/>
          <w:bCs/>
          <w:i/>
          <w:color w:val="000000" w:themeColor="text1"/>
          <w:sz w:val="22"/>
          <w:szCs w:val="22"/>
        </w:rPr>
      </w:pPr>
      <w:r w:rsidRPr="009E35ED">
        <w:rPr>
          <w:rFonts w:ascii="Arial" w:hAnsi="Arial" w:cs="Arial"/>
          <w:bCs/>
          <w:i/>
          <w:color w:val="000000" w:themeColor="text1"/>
          <w:sz w:val="22"/>
          <w:szCs w:val="22"/>
        </w:rPr>
        <w:t>Initial recognition</w:t>
      </w:r>
    </w:p>
    <w:p w14:paraId="68E45F94" w14:textId="77777777" w:rsidR="00E61F72" w:rsidRPr="009E35ED" w:rsidRDefault="00E61F72" w:rsidP="00803F8C">
      <w:pPr>
        <w:ind w:left="0"/>
        <w:rPr>
          <w:rFonts w:ascii="Arial" w:hAnsi="Arial" w:cs="Arial"/>
          <w:b/>
          <w:color w:val="000000" w:themeColor="text1"/>
          <w:sz w:val="22"/>
          <w:szCs w:val="22"/>
        </w:rPr>
      </w:pPr>
    </w:p>
    <w:p w14:paraId="1C339E63" w14:textId="77777777" w:rsidR="00212954" w:rsidRPr="009E35ED" w:rsidRDefault="00212954" w:rsidP="00803F8C">
      <w:pPr>
        <w:ind w:left="0"/>
        <w:rPr>
          <w:rFonts w:ascii="Arial" w:eastAsia="Batang" w:hAnsi="Arial" w:cs="Arial"/>
          <w:color w:val="000000" w:themeColor="text1"/>
          <w:sz w:val="22"/>
          <w:szCs w:val="22"/>
        </w:rPr>
      </w:pPr>
      <w:r w:rsidRPr="009E35ED">
        <w:rPr>
          <w:rFonts w:ascii="Arial" w:eastAsia="Batang" w:hAnsi="Arial" w:cs="Arial"/>
          <w:color w:val="000000" w:themeColor="text1"/>
          <w:sz w:val="22"/>
          <w:szCs w:val="22"/>
        </w:rPr>
        <w:t>Financial liabilities are categorized as financial liabilities at amortized cost when the substance of the contractual arrangement results in the PCSO having an obligation either to deliver cash or another financial asset to the holder, or to settle the obligation other than by the exchange of a fixed amount of cash or another financial asset for a fixed number of its own equity instruments.</w:t>
      </w:r>
    </w:p>
    <w:p w14:paraId="03500BD8" w14:textId="77777777" w:rsidR="00212954" w:rsidRPr="009E35ED" w:rsidRDefault="00212954" w:rsidP="00803F8C">
      <w:pPr>
        <w:spacing w:before="200"/>
        <w:ind w:left="0"/>
        <w:rPr>
          <w:rFonts w:ascii="Arial" w:eastAsia="Batang" w:hAnsi="Arial" w:cs="Arial"/>
          <w:color w:val="000000" w:themeColor="text1"/>
          <w:sz w:val="22"/>
          <w:szCs w:val="22"/>
        </w:rPr>
      </w:pPr>
      <w:r w:rsidRPr="009E35ED">
        <w:rPr>
          <w:rFonts w:ascii="Arial" w:eastAsia="Batang" w:hAnsi="Arial" w:cs="Arial"/>
          <w:color w:val="000000" w:themeColor="text1"/>
          <w:sz w:val="22"/>
          <w:szCs w:val="22"/>
        </w:rPr>
        <w:t>These financial liabilities are initially recognized at fair value less any directly attributable transaction costs. After initial recognition, these financial liabilities are subsequently measured at amortized cost using the effective interest method.  Amortized cost is calculated by taking into account any discount or premium on the issue and fees that are an integral part of the effective interest rate. Gains and losses are recognized in profit or loss when the liabilities are derecognized or through the amortization process.</w:t>
      </w:r>
    </w:p>
    <w:p w14:paraId="30E302B6" w14:textId="77777777" w:rsidR="00212954" w:rsidRPr="009E35ED" w:rsidRDefault="00212954" w:rsidP="00803F8C">
      <w:pPr>
        <w:ind w:left="0"/>
        <w:rPr>
          <w:rFonts w:ascii="Arial" w:eastAsia="Batang" w:hAnsi="Arial" w:cs="Arial"/>
          <w:color w:val="000000" w:themeColor="text1"/>
          <w:sz w:val="22"/>
          <w:szCs w:val="22"/>
        </w:rPr>
      </w:pPr>
    </w:p>
    <w:p w14:paraId="0FEBBE2A" w14:textId="2C7DFDBA" w:rsidR="00E61F72" w:rsidRPr="009E35ED" w:rsidRDefault="00212954" w:rsidP="00803F8C">
      <w:pPr>
        <w:ind w:left="0"/>
        <w:rPr>
          <w:rFonts w:ascii="Arial" w:hAnsi="Arial" w:cs="Arial"/>
          <w:color w:val="000000" w:themeColor="text1"/>
          <w:sz w:val="22"/>
          <w:szCs w:val="22"/>
        </w:rPr>
      </w:pPr>
      <w:r w:rsidRPr="009E35ED">
        <w:rPr>
          <w:rFonts w:ascii="Arial" w:eastAsia="Batang" w:hAnsi="Arial" w:cs="Arial"/>
          <w:color w:val="000000" w:themeColor="text1"/>
          <w:sz w:val="22"/>
          <w:szCs w:val="22"/>
        </w:rPr>
        <w:t>As at December 31, 20</w:t>
      </w:r>
      <w:r w:rsidR="002D003C" w:rsidRPr="009E35ED">
        <w:rPr>
          <w:rFonts w:ascii="Arial" w:eastAsia="Batang" w:hAnsi="Arial" w:cs="Arial"/>
          <w:color w:val="000000" w:themeColor="text1"/>
          <w:sz w:val="22"/>
          <w:szCs w:val="22"/>
        </w:rPr>
        <w:t>2</w:t>
      </w:r>
      <w:r w:rsidR="00EC0001" w:rsidRPr="009E35ED">
        <w:rPr>
          <w:rFonts w:ascii="Arial" w:eastAsia="Batang" w:hAnsi="Arial" w:cs="Arial"/>
          <w:color w:val="000000" w:themeColor="text1"/>
          <w:sz w:val="22"/>
          <w:szCs w:val="22"/>
        </w:rPr>
        <w:t>3</w:t>
      </w:r>
      <w:r w:rsidR="002D003C" w:rsidRPr="009E35ED">
        <w:rPr>
          <w:rFonts w:ascii="Arial" w:eastAsia="Batang" w:hAnsi="Arial" w:cs="Arial"/>
          <w:color w:val="000000" w:themeColor="text1"/>
          <w:sz w:val="22"/>
          <w:szCs w:val="22"/>
        </w:rPr>
        <w:t xml:space="preserve"> and 202</w:t>
      </w:r>
      <w:r w:rsidR="00EC0001" w:rsidRPr="009E35ED">
        <w:rPr>
          <w:rFonts w:ascii="Arial" w:eastAsia="Batang" w:hAnsi="Arial" w:cs="Arial"/>
          <w:color w:val="000000" w:themeColor="text1"/>
          <w:sz w:val="22"/>
          <w:szCs w:val="22"/>
        </w:rPr>
        <w:t>2</w:t>
      </w:r>
      <w:r w:rsidRPr="009E35ED">
        <w:rPr>
          <w:rFonts w:ascii="Arial" w:eastAsia="Batang" w:hAnsi="Arial" w:cs="Arial"/>
          <w:color w:val="000000" w:themeColor="text1"/>
          <w:sz w:val="22"/>
          <w:szCs w:val="22"/>
        </w:rPr>
        <w:t>, PCSO’s</w:t>
      </w:r>
      <w:r w:rsidRPr="009E35ED">
        <w:rPr>
          <w:rFonts w:ascii="Arial" w:eastAsia="Batang" w:hAnsi="Arial" w:cs="Arial"/>
          <w:color w:val="000000" w:themeColor="text1"/>
          <w:spacing w:val="2"/>
          <w:sz w:val="22"/>
          <w:szCs w:val="22"/>
        </w:rPr>
        <w:t xml:space="preserve"> </w:t>
      </w:r>
      <w:r w:rsidRPr="009E35ED">
        <w:rPr>
          <w:rFonts w:ascii="Arial" w:eastAsia="Batang" w:hAnsi="Arial" w:cs="Arial"/>
          <w:color w:val="000000" w:themeColor="text1"/>
          <w:sz w:val="22"/>
          <w:szCs w:val="22"/>
        </w:rPr>
        <w:t>accounts payable and inter-agency payables (except statutory payables) are classified under this category.</w:t>
      </w:r>
    </w:p>
    <w:p w14:paraId="309A6960" w14:textId="77777777" w:rsidR="005A454A" w:rsidRPr="009E35ED" w:rsidRDefault="005A454A" w:rsidP="00803F8C">
      <w:pPr>
        <w:ind w:left="0"/>
        <w:rPr>
          <w:rFonts w:ascii="Arial" w:hAnsi="Arial" w:cs="Arial"/>
          <w:b/>
          <w:i/>
          <w:color w:val="000000" w:themeColor="text1"/>
          <w:sz w:val="22"/>
          <w:szCs w:val="22"/>
        </w:rPr>
      </w:pPr>
    </w:p>
    <w:p w14:paraId="101E921A" w14:textId="7F1DC50C" w:rsidR="00E61F72" w:rsidRPr="009E35ED" w:rsidRDefault="00E61F72" w:rsidP="00803F8C">
      <w:pPr>
        <w:ind w:left="0"/>
        <w:rPr>
          <w:rFonts w:ascii="Arial" w:hAnsi="Arial" w:cs="Arial"/>
          <w:i/>
          <w:color w:val="000000" w:themeColor="text1"/>
          <w:sz w:val="22"/>
          <w:szCs w:val="22"/>
        </w:rPr>
      </w:pPr>
      <w:r w:rsidRPr="009E35ED">
        <w:rPr>
          <w:rFonts w:ascii="Arial" w:hAnsi="Arial" w:cs="Arial"/>
          <w:i/>
          <w:color w:val="000000" w:themeColor="text1"/>
          <w:sz w:val="22"/>
          <w:szCs w:val="22"/>
        </w:rPr>
        <w:t>Classification and Subsequent Measurement</w:t>
      </w:r>
    </w:p>
    <w:p w14:paraId="7FD7A697" w14:textId="77777777" w:rsidR="00E61F72" w:rsidRPr="009E35ED" w:rsidRDefault="00E61F72" w:rsidP="00803F8C">
      <w:pPr>
        <w:ind w:left="0"/>
        <w:rPr>
          <w:rFonts w:ascii="Arial" w:hAnsi="Arial" w:cs="Arial"/>
          <w:b/>
          <w:color w:val="000000" w:themeColor="text1"/>
          <w:sz w:val="22"/>
          <w:szCs w:val="22"/>
        </w:rPr>
      </w:pPr>
    </w:p>
    <w:p w14:paraId="0F1EE313" w14:textId="2D900C74" w:rsidR="00E61F72" w:rsidRPr="009E35ED" w:rsidRDefault="00BA25C2" w:rsidP="00803F8C">
      <w:pPr>
        <w:ind w:left="0"/>
        <w:rPr>
          <w:rFonts w:ascii="Arial" w:hAnsi="Arial" w:cs="Arial"/>
          <w:color w:val="000000" w:themeColor="text1"/>
          <w:sz w:val="22"/>
          <w:szCs w:val="22"/>
        </w:rPr>
      </w:pPr>
      <w:r w:rsidRPr="009E35ED">
        <w:rPr>
          <w:rFonts w:ascii="Arial" w:hAnsi="Arial" w:cs="Arial"/>
          <w:color w:val="000000" w:themeColor="text1"/>
          <w:sz w:val="22"/>
          <w:szCs w:val="22"/>
        </w:rPr>
        <w:t>Financial l</w:t>
      </w:r>
      <w:r w:rsidR="00E61F72" w:rsidRPr="009E35ED">
        <w:rPr>
          <w:rFonts w:ascii="Arial" w:hAnsi="Arial" w:cs="Arial"/>
          <w:color w:val="000000" w:themeColor="text1"/>
          <w:sz w:val="22"/>
          <w:szCs w:val="22"/>
        </w:rPr>
        <w:t xml:space="preserve">iabilities are classified as either financial liabilities at </w:t>
      </w:r>
      <w:r w:rsidR="00D93E15">
        <w:rPr>
          <w:rFonts w:ascii="Arial" w:hAnsi="Arial" w:cs="Arial"/>
          <w:color w:val="000000" w:themeColor="text1"/>
          <w:sz w:val="22"/>
          <w:szCs w:val="22"/>
        </w:rPr>
        <w:t xml:space="preserve">the </w:t>
      </w:r>
      <w:r w:rsidR="00E61F72" w:rsidRPr="009E35ED">
        <w:rPr>
          <w:rFonts w:ascii="Arial" w:hAnsi="Arial" w:cs="Arial"/>
          <w:color w:val="000000" w:themeColor="text1"/>
          <w:sz w:val="22"/>
          <w:szCs w:val="22"/>
        </w:rPr>
        <w:t>FVTPL or other financial liabilities.</w:t>
      </w:r>
    </w:p>
    <w:p w14:paraId="2EF9F8E4" w14:textId="77777777" w:rsidR="00E61F72" w:rsidRPr="009E35ED" w:rsidRDefault="00E61F72" w:rsidP="00803F8C">
      <w:pPr>
        <w:ind w:left="0"/>
        <w:rPr>
          <w:rFonts w:ascii="Arial" w:hAnsi="Arial" w:cs="Arial"/>
          <w:color w:val="000000" w:themeColor="text1"/>
          <w:sz w:val="22"/>
          <w:szCs w:val="22"/>
        </w:rPr>
      </w:pPr>
    </w:p>
    <w:p w14:paraId="46CE0404" w14:textId="1B2676CA" w:rsidR="00E61F72" w:rsidRPr="009E35ED" w:rsidRDefault="00BA25C2" w:rsidP="00803F8C">
      <w:pPr>
        <w:ind w:left="0"/>
        <w:rPr>
          <w:rFonts w:ascii="Arial" w:hAnsi="Arial" w:cs="Arial"/>
          <w:color w:val="000000" w:themeColor="text1"/>
          <w:sz w:val="22"/>
          <w:szCs w:val="22"/>
        </w:rPr>
      </w:pPr>
      <w:r w:rsidRPr="009E35ED">
        <w:rPr>
          <w:rFonts w:ascii="Arial" w:hAnsi="Arial" w:cs="Arial"/>
          <w:color w:val="000000" w:themeColor="text1"/>
          <w:sz w:val="22"/>
          <w:szCs w:val="22"/>
        </w:rPr>
        <w:t>Financial l</w:t>
      </w:r>
      <w:r w:rsidR="00E61F72" w:rsidRPr="009E35ED">
        <w:rPr>
          <w:rFonts w:ascii="Arial" w:hAnsi="Arial" w:cs="Arial"/>
          <w:color w:val="000000" w:themeColor="text1"/>
          <w:sz w:val="22"/>
          <w:szCs w:val="22"/>
        </w:rPr>
        <w:t xml:space="preserve">iabilities at </w:t>
      </w:r>
      <w:r w:rsidR="00D93E15">
        <w:rPr>
          <w:rFonts w:ascii="Arial" w:hAnsi="Arial" w:cs="Arial"/>
          <w:color w:val="000000" w:themeColor="text1"/>
          <w:sz w:val="22"/>
          <w:szCs w:val="22"/>
        </w:rPr>
        <w:t xml:space="preserve">the </w:t>
      </w:r>
      <w:r w:rsidR="00E61F72" w:rsidRPr="009E35ED">
        <w:rPr>
          <w:rFonts w:ascii="Arial" w:hAnsi="Arial" w:cs="Arial"/>
          <w:color w:val="000000" w:themeColor="text1"/>
          <w:sz w:val="22"/>
          <w:szCs w:val="22"/>
        </w:rPr>
        <w:t>FVTPL when the financial liability is held for trading; designated upon initial recognition; either held for trading or designated upon initial recognition.</w:t>
      </w:r>
    </w:p>
    <w:p w14:paraId="22B802B3" w14:textId="77777777" w:rsidR="00794AA8" w:rsidRDefault="00794AA8" w:rsidP="00803F8C">
      <w:pPr>
        <w:ind w:left="0"/>
        <w:rPr>
          <w:rFonts w:ascii="Arial" w:hAnsi="Arial" w:cs="Arial"/>
          <w:color w:val="000000" w:themeColor="text1"/>
          <w:sz w:val="22"/>
          <w:szCs w:val="22"/>
        </w:rPr>
      </w:pPr>
    </w:p>
    <w:p w14:paraId="6B3F8B2B" w14:textId="77777777" w:rsidR="00D043CC" w:rsidRPr="009E35ED" w:rsidRDefault="00D043CC" w:rsidP="00803F8C">
      <w:pPr>
        <w:ind w:left="0"/>
        <w:rPr>
          <w:rFonts w:ascii="Arial" w:hAnsi="Arial" w:cs="Arial"/>
          <w:color w:val="000000" w:themeColor="text1"/>
          <w:sz w:val="22"/>
          <w:szCs w:val="22"/>
        </w:rPr>
      </w:pPr>
    </w:p>
    <w:p w14:paraId="7FCAE0DC" w14:textId="25215C06" w:rsidR="00D043CC" w:rsidRDefault="00E61F72" w:rsidP="00803F8C">
      <w:pPr>
        <w:ind w:left="0"/>
        <w:rPr>
          <w:rFonts w:ascii="Arial" w:hAnsi="Arial" w:cs="Arial"/>
          <w:color w:val="000000" w:themeColor="text1"/>
          <w:sz w:val="22"/>
          <w:szCs w:val="22"/>
        </w:rPr>
      </w:pPr>
      <w:r w:rsidRPr="009E35ED">
        <w:rPr>
          <w:rFonts w:ascii="Arial" w:hAnsi="Arial" w:cs="Arial"/>
          <w:color w:val="000000" w:themeColor="text1"/>
          <w:sz w:val="22"/>
          <w:szCs w:val="22"/>
        </w:rPr>
        <w:t>A financial liability is classified as held for trading if:</w:t>
      </w:r>
    </w:p>
    <w:p w14:paraId="0BD40EA6" w14:textId="77777777" w:rsidR="00D043CC" w:rsidRPr="009E35ED" w:rsidRDefault="00D043CC" w:rsidP="00803F8C">
      <w:pPr>
        <w:ind w:left="0"/>
        <w:rPr>
          <w:rFonts w:ascii="Arial" w:hAnsi="Arial" w:cs="Arial"/>
          <w:color w:val="000000" w:themeColor="text1"/>
          <w:sz w:val="22"/>
          <w:szCs w:val="22"/>
        </w:rPr>
      </w:pPr>
    </w:p>
    <w:p w14:paraId="4A4DBAE7" w14:textId="77777777" w:rsidR="00E61F72" w:rsidRPr="009E35ED" w:rsidRDefault="00E61F72" w:rsidP="004E1271">
      <w:pPr>
        <w:pStyle w:val="ListParagraph"/>
        <w:numPr>
          <w:ilvl w:val="0"/>
          <w:numId w:val="5"/>
        </w:numPr>
        <w:ind w:left="720"/>
        <w:rPr>
          <w:rFonts w:ascii="Arial" w:hAnsi="Arial" w:cs="Arial"/>
          <w:color w:val="000000" w:themeColor="text1"/>
          <w:sz w:val="22"/>
          <w:szCs w:val="22"/>
        </w:rPr>
      </w:pPr>
      <w:r w:rsidRPr="009E35ED">
        <w:rPr>
          <w:rFonts w:ascii="Arial" w:hAnsi="Arial" w:cs="Arial"/>
          <w:color w:val="000000" w:themeColor="text1"/>
          <w:sz w:val="22"/>
          <w:szCs w:val="22"/>
        </w:rPr>
        <w:t>It has been acquired principally for the purpose of repurchasing it in the near term; or</w:t>
      </w:r>
    </w:p>
    <w:p w14:paraId="23081719" w14:textId="52E74BE2" w:rsidR="00E61F72" w:rsidRPr="009E35ED" w:rsidRDefault="00E61F72" w:rsidP="004E1271">
      <w:pPr>
        <w:pStyle w:val="ListParagraph"/>
        <w:numPr>
          <w:ilvl w:val="0"/>
          <w:numId w:val="5"/>
        </w:numPr>
        <w:ind w:left="720"/>
        <w:rPr>
          <w:rFonts w:ascii="Arial" w:hAnsi="Arial" w:cs="Arial"/>
          <w:color w:val="000000" w:themeColor="text1"/>
          <w:sz w:val="22"/>
          <w:szCs w:val="22"/>
        </w:rPr>
      </w:pPr>
      <w:r w:rsidRPr="009E35ED">
        <w:rPr>
          <w:rFonts w:ascii="Arial" w:hAnsi="Arial" w:cs="Arial"/>
          <w:color w:val="000000" w:themeColor="text1"/>
          <w:sz w:val="22"/>
          <w:szCs w:val="22"/>
        </w:rPr>
        <w:t xml:space="preserve">On initial recognition it is part of a portfolio of identified financial instruments that the </w:t>
      </w:r>
      <w:r w:rsidR="0051373D" w:rsidRPr="009E35ED">
        <w:rPr>
          <w:rFonts w:ascii="Arial" w:hAnsi="Arial" w:cs="Arial"/>
          <w:color w:val="000000" w:themeColor="text1"/>
          <w:sz w:val="22"/>
          <w:szCs w:val="22"/>
        </w:rPr>
        <w:t>Agency</w:t>
      </w:r>
      <w:r w:rsidRPr="009E35ED">
        <w:rPr>
          <w:rFonts w:ascii="Arial" w:hAnsi="Arial" w:cs="Arial"/>
          <w:color w:val="000000" w:themeColor="text1"/>
          <w:sz w:val="22"/>
          <w:szCs w:val="22"/>
        </w:rPr>
        <w:t xml:space="preserve"> manages together and has a recent actual pattern of short-term profit-taking; or</w:t>
      </w:r>
    </w:p>
    <w:p w14:paraId="086AD222" w14:textId="77777777" w:rsidR="00E61F72" w:rsidRPr="009E35ED" w:rsidRDefault="00E61F72" w:rsidP="004E1271">
      <w:pPr>
        <w:pStyle w:val="ListParagraph"/>
        <w:numPr>
          <w:ilvl w:val="0"/>
          <w:numId w:val="5"/>
        </w:numPr>
        <w:ind w:left="720"/>
        <w:rPr>
          <w:rFonts w:ascii="Arial" w:hAnsi="Arial" w:cs="Arial"/>
          <w:color w:val="000000" w:themeColor="text1"/>
          <w:sz w:val="22"/>
          <w:szCs w:val="22"/>
        </w:rPr>
      </w:pPr>
      <w:r w:rsidRPr="009E35ED">
        <w:rPr>
          <w:rFonts w:ascii="Arial" w:hAnsi="Arial" w:cs="Arial"/>
          <w:color w:val="000000" w:themeColor="text1"/>
          <w:sz w:val="22"/>
          <w:szCs w:val="22"/>
        </w:rPr>
        <w:t>It is a derivative that is not designated and effective as a hedging instrument.</w:t>
      </w:r>
    </w:p>
    <w:p w14:paraId="050C10BC" w14:textId="77777777" w:rsidR="00E61F72" w:rsidRPr="009E35ED" w:rsidRDefault="00E61F72" w:rsidP="00803F8C">
      <w:pPr>
        <w:ind w:left="0"/>
        <w:rPr>
          <w:rFonts w:ascii="Arial" w:hAnsi="Arial" w:cs="Arial"/>
          <w:color w:val="000000" w:themeColor="text1"/>
          <w:sz w:val="22"/>
          <w:szCs w:val="22"/>
        </w:rPr>
      </w:pPr>
    </w:p>
    <w:p w14:paraId="3AEAC07B" w14:textId="3F39D94B" w:rsidR="00E61F72" w:rsidRPr="009E35ED" w:rsidRDefault="00E61F72" w:rsidP="00803F8C">
      <w:pPr>
        <w:ind w:left="0"/>
        <w:rPr>
          <w:rFonts w:ascii="Arial" w:hAnsi="Arial" w:cs="Arial"/>
          <w:color w:val="000000" w:themeColor="text1"/>
          <w:sz w:val="22"/>
          <w:szCs w:val="22"/>
        </w:rPr>
      </w:pPr>
      <w:r w:rsidRPr="009E35ED">
        <w:rPr>
          <w:rFonts w:ascii="Arial" w:hAnsi="Arial" w:cs="Arial"/>
          <w:color w:val="000000" w:themeColor="text1"/>
          <w:sz w:val="22"/>
          <w:szCs w:val="22"/>
        </w:rPr>
        <w:t xml:space="preserve">A financial liability other than a financial liability held for trading may be designated as at </w:t>
      </w:r>
      <w:r w:rsidR="00D93E15">
        <w:rPr>
          <w:rFonts w:ascii="Arial" w:hAnsi="Arial" w:cs="Arial"/>
          <w:color w:val="000000" w:themeColor="text1"/>
          <w:sz w:val="22"/>
          <w:szCs w:val="22"/>
        </w:rPr>
        <w:t xml:space="preserve">the </w:t>
      </w:r>
      <w:r w:rsidRPr="009E35ED">
        <w:rPr>
          <w:rFonts w:ascii="Arial" w:hAnsi="Arial" w:cs="Arial"/>
          <w:color w:val="000000" w:themeColor="text1"/>
          <w:sz w:val="22"/>
          <w:szCs w:val="22"/>
        </w:rPr>
        <w:t>FVTPL upon initial recognition if:</w:t>
      </w:r>
    </w:p>
    <w:p w14:paraId="5AE713C3" w14:textId="77777777" w:rsidR="00E61F72" w:rsidRPr="009E35ED" w:rsidRDefault="00E61F72" w:rsidP="00803F8C">
      <w:pPr>
        <w:ind w:left="0"/>
        <w:rPr>
          <w:rFonts w:ascii="Arial" w:hAnsi="Arial" w:cs="Arial"/>
          <w:color w:val="000000" w:themeColor="text1"/>
          <w:sz w:val="22"/>
          <w:szCs w:val="22"/>
        </w:rPr>
      </w:pPr>
    </w:p>
    <w:p w14:paraId="6DEDFAF3" w14:textId="77777777" w:rsidR="00E61F72" w:rsidRPr="009E35ED" w:rsidRDefault="00E61F72" w:rsidP="004E1271">
      <w:pPr>
        <w:pStyle w:val="ListParagraph"/>
        <w:numPr>
          <w:ilvl w:val="0"/>
          <w:numId w:val="6"/>
        </w:numPr>
        <w:ind w:left="720"/>
        <w:rPr>
          <w:rFonts w:ascii="Arial" w:hAnsi="Arial" w:cs="Arial"/>
          <w:color w:val="000000" w:themeColor="text1"/>
          <w:sz w:val="22"/>
          <w:szCs w:val="22"/>
        </w:rPr>
      </w:pPr>
      <w:r w:rsidRPr="009E35ED">
        <w:rPr>
          <w:rFonts w:ascii="Arial" w:hAnsi="Arial" w:cs="Arial"/>
          <w:color w:val="000000" w:themeColor="text1"/>
          <w:sz w:val="22"/>
          <w:szCs w:val="22"/>
        </w:rPr>
        <w:t>Such designation eliminates or significantly reduces a measurement or recognition inconsistency that would otherwise arise; or</w:t>
      </w:r>
    </w:p>
    <w:p w14:paraId="5DC137AF" w14:textId="57A9BDF9" w:rsidR="00E61F72" w:rsidRPr="009E35ED" w:rsidRDefault="00E61F72" w:rsidP="004E1271">
      <w:pPr>
        <w:pStyle w:val="ListParagraph"/>
        <w:numPr>
          <w:ilvl w:val="0"/>
          <w:numId w:val="6"/>
        </w:numPr>
        <w:ind w:left="720"/>
        <w:rPr>
          <w:rFonts w:ascii="Arial" w:hAnsi="Arial" w:cs="Arial"/>
          <w:color w:val="000000" w:themeColor="text1"/>
          <w:sz w:val="22"/>
          <w:szCs w:val="22"/>
        </w:rPr>
      </w:pPr>
      <w:r w:rsidRPr="009E35ED">
        <w:rPr>
          <w:rFonts w:ascii="Arial" w:hAnsi="Arial" w:cs="Arial"/>
          <w:color w:val="000000" w:themeColor="text1"/>
          <w:sz w:val="22"/>
          <w:szCs w:val="22"/>
        </w:rPr>
        <w:t xml:space="preserve">The financial liability forms part of financial assets or financial liabilities or both, which is managed and its performance is evaluated on a fair value basis, in accordance with the </w:t>
      </w:r>
      <w:r w:rsidR="0051373D" w:rsidRPr="009E35ED">
        <w:rPr>
          <w:rFonts w:ascii="Arial" w:hAnsi="Arial" w:cs="Arial"/>
          <w:color w:val="000000" w:themeColor="text1"/>
          <w:sz w:val="22"/>
          <w:szCs w:val="22"/>
        </w:rPr>
        <w:t>Agency</w:t>
      </w:r>
      <w:r w:rsidRPr="009E35ED">
        <w:rPr>
          <w:rFonts w:ascii="Arial" w:hAnsi="Arial" w:cs="Arial"/>
          <w:color w:val="000000" w:themeColor="text1"/>
          <w:sz w:val="22"/>
          <w:szCs w:val="22"/>
        </w:rPr>
        <w:t xml:space="preserve">’s documented risk management or investment strategy, and information about the </w:t>
      </w:r>
      <w:r w:rsidR="0051373D" w:rsidRPr="009E35ED">
        <w:rPr>
          <w:rFonts w:ascii="Arial" w:hAnsi="Arial" w:cs="Arial"/>
          <w:color w:val="000000" w:themeColor="text1"/>
          <w:sz w:val="22"/>
          <w:szCs w:val="22"/>
        </w:rPr>
        <w:t>Agency</w:t>
      </w:r>
      <w:r w:rsidRPr="009E35ED">
        <w:rPr>
          <w:rFonts w:ascii="Arial" w:hAnsi="Arial" w:cs="Arial"/>
          <w:color w:val="000000" w:themeColor="text1"/>
          <w:sz w:val="22"/>
          <w:szCs w:val="22"/>
        </w:rPr>
        <w:t xml:space="preserve"> is provided internally on that basis; or</w:t>
      </w:r>
    </w:p>
    <w:p w14:paraId="588214B5" w14:textId="77777777" w:rsidR="00E61F72" w:rsidRPr="009E35ED" w:rsidRDefault="00E61F72" w:rsidP="004E1271">
      <w:pPr>
        <w:pStyle w:val="ListParagraph"/>
        <w:numPr>
          <w:ilvl w:val="0"/>
          <w:numId w:val="6"/>
        </w:numPr>
        <w:ind w:left="720"/>
        <w:rPr>
          <w:rFonts w:ascii="Arial" w:hAnsi="Arial" w:cs="Arial"/>
          <w:color w:val="000000" w:themeColor="text1"/>
          <w:sz w:val="22"/>
          <w:szCs w:val="22"/>
        </w:rPr>
      </w:pPr>
      <w:r w:rsidRPr="009E35ED">
        <w:rPr>
          <w:rFonts w:ascii="Arial" w:hAnsi="Arial" w:cs="Arial"/>
          <w:color w:val="000000" w:themeColor="text1"/>
          <w:sz w:val="22"/>
          <w:szCs w:val="22"/>
        </w:rPr>
        <w:t>It forms part of a contract containing one or more embedded derivatives</w:t>
      </w:r>
      <w:r w:rsidR="00C44BAB" w:rsidRPr="009E35ED">
        <w:rPr>
          <w:rFonts w:ascii="Arial" w:hAnsi="Arial" w:cs="Arial"/>
          <w:color w:val="000000" w:themeColor="text1"/>
          <w:sz w:val="22"/>
          <w:szCs w:val="22"/>
        </w:rPr>
        <w:t xml:space="preserve"> that sufficiently modify the cash flows of the liability and are not closely related</w:t>
      </w:r>
      <w:r w:rsidRPr="009E35ED">
        <w:rPr>
          <w:rFonts w:ascii="Arial" w:hAnsi="Arial" w:cs="Arial"/>
          <w:color w:val="000000" w:themeColor="text1"/>
          <w:sz w:val="22"/>
          <w:szCs w:val="22"/>
        </w:rPr>
        <w:t xml:space="preserve">, and </w:t>
      </w:r>
      <w:r w:rsidR="00C44BAB" w:rsidRPr="009E35ED">
        <w:rPr>
          <w:rFonts w:ascii="Arial" w:hAnsi="Arial" w:cs="Arial"/>
          <w:color w:val="000000" w:themeColor="text1"/>
          <w:sz w:val="22"/>
          <w:szCs w:val="22"/>
        </w:rPr>
        <w:t xml:space="preserve">PFRS 9, </w:t>
      </w:r>
      <w:r w:rsidR="00C44BAB" w:rsidRPr="009E35ED">
        <w:rPr>
          <w:rFonts w:ascii="Arial" w:hAnsi="Arial" w:cs="Arial"/>
          <w:i/>
          <w:color w:val="000000" w:themeColor="text1"/>
          <w:sz w:val="22"/>
          <w:szCs w:val="22"/>
        </w:rPr>
        <w:t>Financial Instruments</w:t>
      </w:r>
      <w:r w:rsidR="00C44BAB" w:rsidRPr="009E35ED">
        <w:rPr>
          <w:rFonts w:ascii="Arial" w:hAnsi="Arial" w:cs="Arial"/>
          <w:color w:val="000000" w:themeColor="text1"/>
          <w:sz w:val="22"/>
          <w:szCs w:val="22"/>
        </w:rPr>
        <w:t>,</w:t>
      </w:r>
      <w:r w:rsidRPr="009E35ED">
        <w:rPr>
          <w:rFonts w:ascii="Arial" w:hAnsi="Arial" w:cs="Arial"/>
          <w:color w:val="000000" w:themeColor="text1"/>
          <w:sz w:val="22"/>
          <w:szCs w:val="22"/>
        </w:rPr>
        <w:t xml:space="preserve"> permits the entire combined contract (asset or liability) to be designated as a FVTPL.</w:t>
      </w:r>
    </w:p>
    <w:p w14:paraId="11613F52" w14:textId="77777777" w:rsidR="00E61F72" w:rsidRPr="009E35ED" w:rsidRDefault="00E61F72" w:rsidP="00803F8C">
      <w:pPr>
        <w:ind w:left="0"/>
        <w:rPr>
          <w:rFonts w:ascii="Arial" w:hAnsi="Arial" w:cs="Arial"/>
          <w:color w:val="000000" w:themeColor="text1"/>
          <w:sz w:val="22"/>
          <w:szCs w:val="22"/>
        </w:rPr>
      </w:pPr>
    </w:p>
    <w:p w14:paraId="5AC6DEEA" w14:textId="5C5F74B7" w:rsidR="00E61F72" w:rsidRPr="009E35ED" w:rsidRDefault="00E61F72" w:rsidP="00803F8C">
      <w:pPr>
        <w:ind w:left="0"/>
        <w:rPr>
          <w:rFonts w:ascii="Arial" w:hAnsi="Arial" w:cs="Arial"/>
          <w:color w:val="000000" w:themeColor="text1"/>
          <w:sz w:val="22"/>
          <w:szCs w:val="22"/>
        </w:rPr>
      </w:pPr>
      <w:r w:rsidRPr="009E35ED">
        <w:rPr>
          <w:rFonts w:ascii="Arial" w:hAnsi="Arial" w:cs="Arial"/>
          <w:color w:val="000000" w:themeColor="text1"/>
          <w:sz w:val="22"/>
          <w:szCs w:val="22"/>
        </w:rPr>
        <w:t>Financial liabilities at</w:t>
      </w:r>
      <w:r w:rsidR="00D93E15">
        <w:rPr>
          <w:rFonts w:ascii="Arial" w:hAnsi="Arial" w:cs="Arial"/>
          <w:color w:val="000000" w:themeColor="text1"/>
          <w:sz w:val="22"/>
          <w:szCs w:val="22"/>
        </w:rPr>
        <w:t xml:space="preserve"> the</w:t>
      </w:r>
      <w:r w:rsidRPr="009E35ED">
        <w:rPr>
          <w:rFonts w:ascii="Arial" w:hAnsi="Arial" w:cs="Arial"/>
          <w:color w:val="000000" w:themeColor="text1"/>
          <w:sz w:val="22"/>
          <w:szCs w:val="22"/>
        </w:rPr>
        <w:t xml:space="preserve"> FVTPL are stated at fair value, with any gains or losses arising on re</w:t>
      </w:r>
      <w:r w:rsidR="003A5BE3" w:rsidRPr="009E35ED">
        <w:rPr>
          <w:rFonts w:ascii="Arial" w:hAnsi="Arial" w:cs="Arial"/>
          <w:color w:val="000000" w:themeColor="text1"/>
          <w:sz w:val="22"/>
          <w:szCs w:val="22"/>
        </w:rPr>
        <w:t>-</w:t>
      </w:r>
      <w:r w:rsidRPr="009E35ED">
        <w:rPr>
          <w:rFonts w:ascii="Arial" w:hAnsi="Arial" w:cs="Arial"/>
          <w:color w:val="000000" w:themeColor="text1"/>
          <w:sz w:val="22"/>
          <w:szCs w:val="22"/>
        </w:rPr>
        <w:t>measurement recognized in profit or loss. The net gain or loss recognized in profit or loss incorporates any interest paid on the financial liability and is included in the other gains and losses line item in the statement of comprehensive income. Fair value is determined in the manner described in notes.</w:t>
      </w:r>
    </w:p>
    <w:p w14:paraId="1A62A4B5" w14:textId="77777777" w:rsidR="00E61F72" w:rsidRPr="009E35ED" w:rsidRDefault="00E61F72" w:rsidP="00803F8C">
      <w:pPr>
        <w:ind w:left="0"/>
        <w:rPr>
          <w:rFonts w:ascii="Arial" w:hAnsi="Arial" w:cs="Arial"/>
          <w:color w:val="000000" w:themeColor="text1"/>
          <w:sz w:val="22"/>
          <w:szCs w:val="22"/>
        </w:rPr>
      </w:pPr>
    </w:p>
    <w:p w14:paraId="47F31947" w14:textId="3BA07F9A" w:rsidR="00E61F72" w:rsidRPr="009E35ED" w:rsidRDefault="00E61F72" w:rsidP="00803F8C">
      <w:pPr>
        <w:ind w:left="0"/>
        <w:rPr>
          <w:rFonts w:ascii="Arial" w:hAnsi="Arial" w:cs="Arial"/>
          <w:color w:val="000000" w:themeColor="text1"/>
          <w:sz w:val="22"/>
          <w:szCs w:val="22"/>
        </w:rPr>
      </w:pPr>
      <w:r w:rsidRPr="009E35ED">
        <w:rPr>
          <w:rFonts w:ascii="Arial" w:hAnsi="Arial" w:cs="Arial"/>
          <w:color w:val="000000" w:themeColor="text1"/>
          <w:sz w:val="22"/>
          <w:szCs w:val="22"/>
        </w:rPr>
        <w:t xml:space="preserve">Other </w:t>
      </w:r>
      <w:r w:rsidR="00BA25C2" w:rsidRPr="009E35ED">
        <w:rPr>
          <w:rFonts w:ascii="Arial" w:hAnsi="Arial" w:cs="Arial"/>
          <w:color w:val="000000" w:themeColor="text1"/>
          <w:sz w:val="22"/>
          <w:szCs w:val="22"/>
        </w:rPr>
        <w:t>financial l</w:t>
      </w:r>
      <w:r w:rsidRPr="009E35ED">
        <w:rPr>
          <w:rFonts w:ascii="Arial" w:hAnsi="Arial" w:cs="Arial"/>
          <w:color w:val="000000" w:themeColor="text1"/>
          <w:sz w:val="22"/>
          <w:szCs w:val="22"/>
        </w:rPr>
        <w:t>iabilities (including borrowings) are subsequently measured at amortized cost using the effective interest method.</w:t>
      </w:r>
    </w:p>
    <w:p w14:paraId="4243E825" w14:textId="77777777" w:rsidR="008F7E2F" w:rsidRPr="009E35ED" w:rsidRDefault="008F7E2F" w:rsidP="00803F8C">
      <w:pPr>
        <w:ind w:left="0"/>
        <w:rPr>
          <w:rFonts w:ascii="Arial" w:hAnsi="Arial" w:cs="Arial"/>
          <w:bCs/>
          <w:i/>
          <w:color w:val="000000" w:themeColor="text1"/>
          <w:sz w:val="22"/>
          <w:szCs w:val="22"/>
        </w:rPr>
      </w:pPr>
    </w:p>
    <w:p w14:paraId="541D9D92" w14:textId="72335F80" w:rsidR="00E61F72" w:rsidRPr="009E35ED" w:rsidRDefault="00E61F72" w:rsidP="00803F8C">
      <w:pPr>
        <w:ind w:left="0"/>
        <w:rPr>
          <w:rFonts w:ascii="Arial" w:hAnsi="Arial" w:cs="Arial"/>
          <w:bCs/>
          <w:i/>
          <w:color w:val="000000" w:themeColor="text1"/>
          <w:sz w:val="22"/>
          <w:szCs w:val="22"/>
        </w:rPr>
      </w:pPr>
      <w:r w:rsidRPr="009E35ED">
        <w:rPr>
          <w:rFonts w:ascii="Arial" w:hAnsi="Arial" w:cs="Arial"/>
          <w:bCs/>
          <w:i/>
          <w:color w:val="000000" w:themeColor="text1"/>
          <w:sz w:val="22"/>
          <w:szCs w:val="22"/>
        </w:rPr>
        <w:t>De</w:t>
      </w:r>
      <w:r w:rsidR="00B72290" w:rsidRPr="009E35ED">
        <w:rPr>
          <w:rFonts w:ascii="Arial" w:hAnsi="Arial" w:cs="Arial"/>
          <w:bCs/>
          <w:i/>
          <w:color w:val="000000" w:themeColor="text1"/>
          <w:sz w:val="22"/>
          <w:szCs w:val="22"/>
        </w:rPr>
        <w:t>-</w:t>
      </w:r>
      <w:r w:rsidRPr="009E35ED">
        <w:rPr>
          <w:rFonts w:ascii="Arial" w:hAnsi="Arial" w:cs="Arial"/>
          <w:bCs/>
          <w:i/>
          <w:color w:val="000000" w:themeColor="text1"/>
          <w:sz w:val="22"/>
          <w:szCs w:val="22"/>
        </w:rPr>
        <w:t>recognition of Financial Liabilities</w:t>
      </w:r>
    </w:p>
    <w:p w14:paraId="0F32CFA5" w14:textId="2A848106" w:rsidR="005A0878" w:rsidRPr="009E35ED" w:rsidRDefault="005A0878" w:rsidP="00803F8C">
      <w:pPr>
        <w:widowControl w:val="0"/>
        <w:autoSpaceDE w:val="0"/>
        <w:autoSpaceDN w:val="0"/>
        <w:adjustRightInd w:val="0"/>
        <w:spacing w:before="240"/>
        <w:ind w:left="0"/>
        <w:rPr>
          <w:rFonts w:ascii="Arial" w:eastAsia="Batang" w:hAnsi="Arial" w:cs="Arial"/>
          <w:color w:val="000000" w:themeColor="text1"/>
          <w:spacing w:val="2"/>
          <w:sz w:val="22"/>
          <w:szCs w:val="22"/>
        </w:rPr>
      </w:pPr>
      <w:r w:rsidRPr="009E35ED">
        <w:rPr>
          <w:rFonts w:ascii="Arial" w:eastAsia="Batang" w:hAnsi="Arial" w:cs="Arial"/>
          <w:color w:val="000000" w:themeColor="text1"/>
          <w:sz w:val="22"/>
          <w:szCs w:val="22"/>
        </w:rPr>
        <w:t xml:space="preserve">A financial liability is derecognized when the obligation under the liability is discharged, cancelled or has expired.  </w:t>
      </w:r>
      <w:r w:rsidRPr="009E35ED">
        <w:rPr>
          <w:rFonts w:ascii="Arial" w:eastAsia="Batang" w:hAnsi="Arial" w:cs="Arial"/>
          <w:color w:val="000000" w:themeColor="text1"/>
          <w:spacing w:val="2"/>
          <w:sz w:val="22"/>
          <w:szCs w:val="22"/>
        </w:rPr>
        <w:t>When an existing financial liability is replaced by another from the same lender on substantially different terms, or the terms of an existing liability are substantially modified, such an exchange or modification is treated as a de</w:t>
      </w:r>
      <w:r w:rsidR="009E0C12" w:rsidRPr="009E35ED">
        <w:rPr>
          <w:rFonts w:ascii="Arial" w:eastAsia="Batang" w:hAnsi="Arial" w:cs="Arial"/>
          <w:color w:val="000000" w:themeColor="text1"/>
          <w:spacing w:val="2"/>
          <w:sz w:val="22"/>
          <w:szCs w:val="22"/>
        </w:rPr>
        <w:t>-</w:t>
      </w:r>
      <w:r w:rsidRPr="009E35ED">
        <w:rPr>
          <w:rFonts w:ascii="Arial" w:eastAsia="Batang" w:hAnsi="Arial" w:cs="Arial"/>
          <w:color w:val="000000" w:themeColor="text1"/>
          <w:spacing w:val="2"/>
          <w:sz w:val="22"/>
          <w:szCs w:val="22"/>
        </w:rPr>
        <w:t>recognition of the original liability and the recognition of a new liability, and the difference in the respective carrying amounts is recognized in the statements of comprehensive income.</w:t>
      </w:r>
    </w:p>
    <w:p w14:paraId="2B54AC1C" w14:textId="77777777" w:rsidR="005A0878" w:rsidRPr="009E35ED" w:rsidRDefault="005A0878" w:rsidP="00803F8C">
      <w:pPr>
        <w:spacing w:before="240"/>
        <w:ind w:left="0"/>
        <w:rPr>
          <w:rFonts w:ascii="Arial" w:eastAsia="Batang" w:hAnsi="Arial" w:cs="Arial"/>
          <w:color w:val="000000" w:themeColor="text1"/>
          <w:sz w:val="22"/>
          <w:szCs w:val="22"/>
        </w:rPr>
      </w:pPr>
      <w:r w:rsidRPr="009E35ED">
        <w:rPr>
          <w:rFonts w:ascii="Arial" w:eastAsia="Batang" w:hAnsi="Arial" w:cs="Arial"/>
          <w:color w:val="000000" w:themeColor="text1"/>
          <w:sz w:val="22"/>
          <w:szCs w:val="22"/>
        </w:rPr>
        <w:t>A modification is considered substantial if the present value of the cash flows under the new terms, including net fees paid or received and discounted using the original effective interest rate, is different by at least 10% from the discounted present value of remaining cash flows of the original liability.</w:t>
      </w:r>
    </w:p>
    <w:p w14:paraId="6A5B665E" w14:textId="77777777" w:rsidR="005A0878" w:rsidRPr="009E35ED" w:rsidRDefault="005A0878" w:rsidP="00803F8C">
      <w:pPr>
        <w:spacing w:before="240"/>
        <w:ind w:left="0"/>
        <w:rPr>
          <w:rFonts w:ascii="Arial" w:eastAsia="Batang" w:hAnsi="Arial" w:cs="Arial"/>
          <w:color w:val="000000" w:themeColor="text1"/>
          <w:sz w:val="22"/>
          <w:szCs w:val="22"/>
        </w:rPr>
      </w:pPr>
      <w:r w:rsidRPr="009E35ED">
        <w:rPr>
          <w:rFonts w:ascii="Arial" w:eastAsia="Batang" w:hAnsi="Arial" w:cs="Arial"/>
          <w:color w:val="000000" w:themeColor="text1"/>
          <w:sz w:val="22"/>
          <w:szCs w:val="22"/>
        </w:rPr>
        <w:t xml:space="preserve">The fair value of the modified financial liability is determined based on its expected cash flows, discounted using the interest rate at which the </w:t>
      </w:r>
      <w:r w:rsidRPr="009E35ED">
        <w:rPr>
          <w:rFonts w:ascii="Arial" w:eastAsia="Batang" w:hAnsi="Arial" w:cs="Arial"/>
          <w:color w:val="000000" w:themeColor="text1"/>
          <w:spacing w:val="2"/>
          <w:sz w:val="22"/>
          <w:szCs w:val="22"/>
        </w:rPr>
        <w:t>PCSO</w:t>
      </w:r>
      <w:r w:rsidRPr="009E35ED">
        <w:rPr>
          <w:rFonts w:ascii="Arial" w:eastAsia="Batang" w:hAnsi="Arial" w:cs="Arial"/>
          <w:color w:val="000000" w:themeColor="text1"/>
          <w:sz w:val="22"/>
          <w:szCs w:val="22"/>
        </w:rPr>
        <w:t xml:space="preserve"> could raise debt with similar terms and conditions in the market.  The difference between the carrying value of the original liability and fair value of the new liability is recognized in the statements of comprehensive income.</w:t>
      </w:r>
    </w:p>
    <w:p w14:paraId="4F7306D4" w14:textId="77777777" w:rsidR="005A0878" w:rsidRPr="009E35ED" w:rsidRDefault="005A0878" w:rsidP="00803F8C">
      <w:pPr>
        <w:ind w:left="0"/>
        <w:rPr>
          <w:rFonts w:ascii="Arial" w:eastAsia="Batang" w:hAnsi="Arial" w:cs="Arial"/>
          <w:color w:val="000000" w:themeColor="text1"/>
          <w:sz w:val="22"/>
          <w:szCs w:val="22"/>
        </w:rPr>
      </w:pPr>
    </w:p>
    <w:p w14:paraId="3D771899" w14:textId="6A8F5192" w:rsidR="00CD2844" w:rsidRPr="009E35ED" w:rsidRDefault="005A0878" w:rsidP="00792525">
      <w:pPr>
        <w:ind w:left="0"/>
        <w:rPr>
          <w:rFonts w:ascii="Arial" w:hAnsi="Arial" w:cs="Arial"/>
          <w:color w:val="000000" w:themeColor="text1"/>
          <w:sz w:val="22"/>
          <w:szCs w:val="22"/>
        </w:rPr>
      </w:pPr>
      <w:r w:rsidRPr="009E35ED">
        <w:rPr>
          <w:rFonts w:ascii="Arial" w:eastAsia="Batang" w:hAnsi="Arial" w:cs="Arial"/>
          <w:color w:val="000000" w:themeColor="text1"/>
          <w:sz w:val="22"/>
          <w:szCs w:val="22"/>
        </w:rPr>
        <w:t>On the other hand, if the difference does not meet the 10% threshold, the original debt is not extinguished but merely modified.  In such case, the carrying amount is adjusted by the costs or fees paid or received in the restructuring.</w:t>
      </w:r>
    </w:p>
    <w:p w14:paraId="55EF57BE" w14:textId="77777777" w:rsidR="00CD2844" w:rsidRPr="009E35ED" w:rsidRDefault="00CD2844" w:rsidP="001C371F">
      <w:pPr>
        <w:spacing w:line="276" w:lineRule="auto"/>
        <w:ind w:left="0"/>
        <w:rPr>
          <w:rFonts w:ascii="Arial" w:eastAsiaTheme="minorEastAsia" w:hAnsi="Arial" w:cs="Arial"/>
          <w:b/>
          <w:color w:val="000000" w:themeColor="text1"/>
          <w:sz w:val="22"/>
          <w:szCs w:val="22"/>
        </w:rPr>
      </w:pPr>
    </w:p>
    <w:p w14:paraId="728DD177" w14:textId="6D078E6A" w:rsidR="005A0878" w:rsidRPr="009E35ED" w:rsidRDefault="005A0878" w:rsidP="001C371F">
      <w:pPr>
        <w:spacing w:line="276" w:lineRule="auto"/>
        <w:ind w:left="0"/>
        <w:rPr>
          <w:rFonts w:ascii="Arial" w:eastAsiaTheme="minorEastAsia" w:hAnsi="Arial" w:cs="Arial"/>
          <w:color w:val="000000" w:themeColor="text1"/>
          <w:sz w:val="22"/>
          <w:szCs w:val="22"/>
        </w:rPr>
      </w:pPr>
      <w:r w:rsidRPr="009E35ED">
        <w:rPr>
          <w:rFonts w:ascii="Arial" w:eastAsiaTheme="minorEastAsia" w:hAnsi="Arial" w:cs="Arial"/>
          <w:b/>
          <w:color w:val="000000" w:themeColor="text1"/>
          <w:sz w:val="22"/>
          <w:szCs w:val="22"/>
        </w:rPr>
        <w:t>Offsetting of Financial Assets and Liabilities</w:t>
      </w:r>
    </w:p>
    <w:p w14:paraId="786EFC07" w14:textId="77777777" w:rsidR="008F7E2F" w:rsidRPr="009E35ED" w:rsidRDefault="008F7E2F" w:rsidP="00803F8C">
      <w:pPr>
        <w:ind w:left="0"/>
        <w:rPr>
          <w:rFonts w:ascii="Arial" w:eastAsia="Batang" w:hAnsi="Arial" w:cs="Arial"/>
          <w:color w:val="000000" w:themeColor="text1"/>
          <w:sz w:val="22"/>
          <w:szCs w:val="22"/>
        </w:rPr>
      </w:pPr>
    </w:p>
    <w:p w14:paraId="49D3D488" w14:textId="67AAAA45" w:rsidR="00DC10B4" w:rsidRPr="009E35ED" w:rsidRDefault="005A0878" w:rsidP="00803F8C">
      <w:pPr>
        <w:ind w:left="0"/>
        <w:rPr>
          <w:rFonts w:ascii="Arial" w:eastAsia="Batang" w:hAnsi="Arial" w:cs="Arial"/>
          <w:color w:val="000000" w:themeColor="text1"/>
          <w:sz w:val="22"/>
          <w:szCs w:val="22"/>
        </w:rPr>
      </w:pPr>
      <w:r w:rsidRPr="009E35ED">
        <w:rPr>
          <w:rFonts w:ascii="Arial" w:eastAsia="Batang" w:hAnsi="Arial" w:cs="Arial"/>
          <w:color w:val="000000" w:themeColor="text1"/>
          <w:sz w:val="22"/>
          <w:szCs w:val="22"/>
        </w:rPr>
        <w:t>Financial assets and financial liabilities are offset and the net amount reported in the statements of financial position if, and only if, there is a currently enforceable legal right to offset the recognized amounts and there is intention to settle on a net basis, or to realize the asset and settle the liability simultaneously.  This is not generally the case with master netting agreements, and the related assets and liabilities are presented gross in the statements of financial position.</w:t>
      </w:r>
    </w:p>
    <w:p w14:paraId="1B6FBB44" w14:textId="77777777" w:rsidR="005A0878" w:rsidRPr="009E35ED" w:rsidRDefault="005A0878" w:rsidP="00803F8C">
      <w:pPr>
        <w:spacing w:before="240"/>
        <w:ind w:left="0"/>
        <w:rPr>
          <w:rFonts w:ascii="Arial" w:eastAsia="Batang" w:hAnsi="Arial" w:cs="Arial"/>
          <w:b/>
          <w:color w:val="000000" w:themeColor="text1"/>
          <w:sz w:val="22"/>
          <w:szCs w:val="22"/>
        </w:rPr>
      </w:pPr>
      <w:r w:rsidRPr="009E35ED">
        <w:rPr>
          <w:rFonts w:ascii="Arial" w:eastAsia="Batang" w:hAnsi="Arial" w:cs="Arial"/>
          <w:b/>
          <w:color w:val="000000" w:themeColor="text1"/>
          <w:sz w:val="22"/>
          <w:szCs w:val="22"/>
        </w:rPr>
        <w:t>Classification of Financial Instrument between Liability and Equity</w:t>
      </w:r>
    </w:p>
    <w:p w14:paraId="286FD80D" w14:textId="77777777" w:rsidR="005A0878" w:rsidRPr="009E35ED" w:rsidRDefault="005A0878" w:rsidP="00803F8C">
      <w:pPr>
        <w:rPr>
          <w:rFonts w:ascii="Arial" w:eastAsia="Batang" w:hAnsi="Arial" w:cs="Arial"/>
          <w:color w:val="000000" w:themeColor="text1"/>
          <w:sz w:val="22"/>
          <w:szCs w:val="22"/>
        </w:rPr>
      </w:pPr>
    </w:p>
    <w:p w14:paraId="65C034FA" w14:textId="77777777" w:rsidR="005A0878" w:rsidRPr="009E35ED" w:rsidRDefault="005A0878" w:rsidP="00803F8C">
      <w:pPr>
        <w:ind w:left="0"/>
        <w:rPr>
          <w:rFonts w:ascii="Arial" w:eastAsia="Batang" w:hAnsi="Arial" w:cs="Arial"/>
          <w:color w:val="000000" w:themeColor="text1"/>
          <w:sz w:val="22"/>
          <w:szCs w:val="22"/>
        </w:rPr>
      </w:pPr>
      <w:r w:rsidRPr="009E35ED">
        <w:rPr>
          <w:rFonts w:ascii="Arial" w:eastAsia="Batang" w:hAnsi="Arial" w:cs="Arial"/>
          <w:color w:val="000000" w:themeColor="text1"/>
          <w:sz w:val="22"/>
          <w:szCs w:val="22"/>
        </w:rPr>
        <w:t>A financial instrument is classified as liability if it provides for a contractual obligation to:</w:t>
      </w:r>
    </w:p>
    <w:p w14:paraId="19BD34E3" w14:textId="77777777" w:rsidR="005A0878" w:rsidRPr="009E35ED" w:rsidRDefault="005A0878" w:rsidP="00803F8C">
      <w:pPr>
        <w:spacing w:line="207" w:lineRule="exact"/>
        <w:rPr>
          <w:rFonts w:ascii="Arial" w:eastAsia="Batang" w:hAnsi="Arial" w:cs="Arial"/>
          <w:color w:val="000000" w:themeColor="text1"/>
          <w:sz w:val="22"/>
          <w:szCs w:val="22"/>
        </w:rPr>
      </w:pPr>
    </w:p>
    <w:p w14:paraId="0AA2A8AF" w14:textId="77777777" w:rsidR="005A0878" w:rsidRPr="009E35ED" w:rsidRDefault="005A0878" w:rsidP="001C371F">
      <w:pPr>
        <w:widowControl w:val="0"/>
        <w:numPr>
          <w:ilvl w:val="0"/>
          <w:numId w:val="21"/>
        </w:numPr>
        <w:overflowPunct w:val="0"/>
        <w:autoSpaceDE w:val="0"/>
        <w:autoSpaceDN w:val="0"/>
        <w:adjustRightInd w:val="0"/>
        <w:contextualSpacing/>
        <w:rPr>
          <w:rFonts w:ascii="Arial" w:eastAsia="PMingLiU" w:hAnsi="Arial" w:cs="Arial"/>
          <w:color w:val="000000" w:themeColor="text1"/>
          <w:sz w:val="22"/>
          <w:szCs w:val="22"/>
          <w:lang w:val="en-GB"/>
        </w:rPr>
      </w:pPr>
      <w:r w:rsidRPr="009E35ED">
        <w:rPr>
          <w:rFonts w:ascii="Arial" w:eastAsia="Calibri" w:hAnsi="Arial" w:cs="Arial"/>
          <w:color w:val="000000" w:themeColor="text1"/>
          <w:sz w:val="22"/>
          <w:szCs w:val="22"/>
          <w:lang w:val="en-GB"/>
        </w:rPr>
        <w:t xml:space="preserve">Deliver cash or another financial asset to another entity; </w:t>
      </w:r>
    </w:p>
    <w:p w14:paraId="05333B83" w14:textId="1AA4AFB7" w:rsidR="005A0878" w:rsidRPr="009E35ED" w:rsidRDefault="005A0878" w:rsidP="001C371F">
      <w:pPr>
        <w:widowControl w:val="0"/>
        <w:numPr>
          <w:ilvl w:val="0"/>
          <w:numId w:val="21"/>
        </w:numPr>
        <w:overflowPunct w:val="0"/>
        <w:autoSpaceDE w:val="0"/>
        <w:autoSpaceDN w:val="0"/>
        <w:adjustRightInd w:val="0"/>
        <w:contextualSpacing/>
        <w:rPr>
          <w:rFonts w:ascii="Arial" w:eastAsia="PMingLiU" w:hAnsi="Arial" w:cs="Arial"/>
          <w:color w:val="000000" w:themeColor="text1"/>
          <w:sz w:val="22"/>
          <w:szCs w:val="22"/>
          <w:lang w:val="en-GB"/>
        </w:rPr>
      </w:pPr>
      <w:r w:rsidRPr="009E35ED">
        <w:rPr>
          <w:rFonts w:ascii="Arial" w:eastAsia="Calibri" w:hAnsi="Arial" w:cs="Arial"/>
          <w:color w:val="000000" w:themeColor="text1"/>
          <w:sz w:val="22"/>
          <w:szCs w:val="22"/>
          <w:lang w:val="en-GB"/>
        </w:rPr>
        <w:t xml:space="preserve">Exchange financial assets or financial liabilities with another entity under conditions that are potentially </w:t>
      </w:r>
      <w:r w:rsidR="001A74AA" w:rsidRPr="009E35ED">
        <w:rPr>
          <w:rFonts w:ascii="Arial" w:eastAsia="Calibri" w:hAnsi="Arial" w:cs="Arial"/>
          <w:color w:val="000000" w:themeColor="text1"/>
          <w:sz w:val="22"/>
          <w:szCs w:val="22"/>
          <w:lang w:val="en-GB"/>
        </w:rPr>
        <w:t>unfavourable</w:t>
      </w:r>
      <w:r w:rsidRPr="009E35ED">
        <w:rPr>
          <w:rFonts w:ascii="Arial" w:eastAsia="Calibri" w:hAnsi="Arial" w:cs="Arial"/>
          <w:color w:val="000000" w:themeColor="text1"/>
          <w:sz w:val="22"/>
          <w:szCs w:val="22"/>
          <w:lang w:val="en-GB"/>
        </w:rPr>
        <w:t xml:space="preserve"> to the PCSO; or </w:t>
      </w:r>
    </w:p>
    <w:p w14:paraId="31429A2F" w14:textId="1EAAE9F9" w:rsidR="005A0878" w:rsidRPr="009E35ED" w:rsidRDefault="005A0878" w:rsidP="001C371F">
      <w:pPr>
        <w:widowControl w:val="0"/>
        <w:numPr>
          <w:ilvl w:val="0"/>
          <w:numId w:val="21"/>
        </w:numPr>
        <w:overflowPunct w:val="0"/>
        <w:autoSpaceDE w:val="0"/>
        <w:autoSpaceDN w:val="0"/>
        <w:adjustRightInd w:val="0"/>
        <w:contextualSpacing/>
        <w:rPr>
          <w:rFonts w:ascii="Arial" w:eastAsia="PMingLiU" w:hAnsi="Arial" w:cs="Arial"/>
          <w:color w:val="000000" w:themeColor="text1"/>
          <w:sz w:val="22"/>
          <w:szCs w:val="22"/>
          <w:lang w:val="en-GB"/>
        </w:rPr>
      </w:pPr>
      <w:r w:rsidRPr="009E35ED">
        <w:rPr>
          <w:rFonts w:ascii="Arial" w:eastAsia="Calibri" w:hAnsi="Arial" w:cs="Arial"/>
          <w:color w:val="000000" w:themeColor="text1"/>
          <w:sz w:val="22"/>
          <w:szCs w:val="22"/>
          <w:lang w:val="en-GB"/>
        </w:rPr>
        <w:t>Satisfy the obligation other than by the exchange of a fixed amount of cash or another financial asset for a fixed number of own equity shares.</w:t>
      </w:r>
    </w:p>
    <w:p w14:paraId="6321BD36" w14:textId="77777777" w:rsidR="005A0878" w:rsidRPr="009E35ED" w:rsidRDefault="005A0878" w:rsidP="00803F8C">
      <w:pPr>
        <w:spacing w:before="240"/>
        <w:ind w:left="0"/>
        <w:rPr>
          <w:rFonts w:ascii="Arial" w:eastAsia="Batang" w:hAnsi="Arial" w:cs="Arial"/>
          <w:color w:val="000000" w:themeColor="text1"/>
          <w:sz w:val="22"/>
          <w:szCs w:val="22"/>
        </w:rPr>
      </w:pPr>
      <w:r w:rsidRPr="009E35ED">
        <w:rPr>
          <w:rFonts w:ascii="Arial" w:eastAsia="Batang" w:hAnsi="Arial" w:cs="Arial"/>
          <w:color w:val="000000" w:themeColor="text1"/>
          <w:sz w:val="22"/>
          <w:szCs w:val="22"/>
        </w:rPr>
        <w:t>If the PCSO does not have an unconditional right to avoid delivering cash or another financial asset to settle its contractual obligation, the obligation meets the definition of a financial liability.</w:t>
      </w:r>
    </w:p>
    <w:p w14:paraId="2064AD0A" w14:textId="77777777" w:rsidR="00FC44EB" w:rsidRPr="009E35ED" w:rsidRDefault="00FC44EB" w:rsidP="00803F8C">
      <w:pPr>
        <w:ind w:left="0"/>
        <w:rPr>
          <w:rFonts w:ascii="Arial" w:hAnsi="Arial" w:cs="Arial"/>
          <w:b/>
          <w:i/>
          <w:color w:val="000000" w:themeColor="text1"/>
          <w:sz w:val="22"/>
          <w:szCs w:val="22"/>
        </w:rPr>
      </w:pPr>
    </w:p>
    <w:p w14:paraId="514F2C1A" w14:textId="77777777" w:rsidR="00E61F72" w:rsidRPr="009E35ED" w:rsidRDefault="00E61F72" w:rsidP="00803F8C">
      <w:pPr>
        <w:ind w:left="0"/>
        <w:rPr>
          <w:rFonts w:ascii="Arial" w:hAnsi="Arial" w:cs="Arial"/>
          <w:b/>
          <w:i/>
          <w:color w:val="000000" w:themeColor="text1"/>
          <w:sz w:val="22"/>
          <w:szCs w:val="22"/>
        </w:rPr>
      </w:pPr>
      <w:r w:rsidRPr="009E35ED">
        <w:rPr>
          <w:rFonts w:ascii="Arial" w:hAnsi="Arial" w:cs="Arial"/>
          <w:b/>
          <w:i/>
          <w:color w:val="000000" w:themeColor="text1"/>
          <w:sz w:val="22"/>
          <w:szCs w:val="22"/>
        </w:rPr>
        <w:t>Equity Instruments</w:t>
      </w:r>
    </w:p>
    <w:p w14:paraId="655BC89F" w14:textId="77777777" w:rsidR="00E61F72" w:rsidRPr="009E35ED" w:rsidRDefault="00E61F72" w:rsidP="00803F8C">
      <w:pPr>
        <w:ind w:left="0"/>
        <w:rPr>
          <w:rFonts w:ascii="Arial" w:hAnsi="Arial" w:cs="Arial"/>
          <w:i/>
          <w:color w:val="000000" w:themeColor="text1"/>
          <w:sz w:val="22"/>
          <w:szCs w:val="22"/>
        </w:rPr>
      </w:pPr>
    </w:p>
    <w:p w14:paraId="0D2C5A2D" w14:textId="72DC0406" w:rsidR="00957EBA" w:rsidRPr="009E35ED" w:rsidRDefault="00957EBA" w:rsidP="00803F8C">
      <w:pPr>
        <w:pStyle w:val="bodycopyindent"/>
        <w:spacing w:before="0" w:line="240" w:lineRule="auto"/>
        <w:ind w:left="0"/>
        <w:jc w:val="both"/>
        <w:rPr>
          <w:color w:val="000000" w:themeColor="text1"/>
          <w:sz w:val="22"/>
          <w:szCs w:val="22"/>
        </w:rPr>
      </w:pPr>
      <w:r w:rsidRPr="009E35ED">
        <w:rPr>
          <w:color w:val="000000" w:themeColor="text1"/>
          <w:sz w:val="22"/>
          <w:szCs w:val="22"/>
        </w:rPr>
        <w:t>An equity instrument is any contract that evidences a residual interest in the assets of an entity after deducting all of its liabilities. Equity of the PCSO consist of the following:</w:t>
      </w:r>
    </w:p>
    <w:p w14:paraId="798C1EBA" w14:textId="77777777" w:rsidR="00D7132F" w:rsidRPr="009E35ED" w:rsidRDefault="00D7132F" w:rsidP="00803F8C">
      <w:pPr>
        <w:ind w:left="0"/>
        <w:rPr>
          <w:rFonts w:ascii="Arial" w:hAnsi="Arial" w:cs="Arial"/>
          <w:b/>
          <w:i/>
          <w:color w:val="000000" w:themeColor="text1"/>
          <w:sz w:val="22"/>
          <w:szCs w:val="22"/>
        </w:rPr>
      </w:pPr>
    </w:p>
    <w:p w14:paraId="0F83B01F" w14:textId="77777777" w:rsidR="00D7132F" w:rsidRPr="009E35ED" w:rsidRDefault="00D7132F" w:rsidP="00803F8C">
      <w:pPr>
        <w:ind w:left="0"/>
        <w:rPr>
          <w:rFonts w:ascii="Arial" w:hAnsi="Arial" w:cs="Arial"/>
          <w:b/>
          <w:i/>
          <w:color w:val="000000" w:themeColor="text1"/>
          <w:sz w:val="22"/>
          <w:szCs w:val="22"/>
        </w:rPr>
      </w:pPr>
      <w:r w:rsidRPr="009E35ED">
        <w:rPr>
          <w:rFonts w:ascii="Arial" w:hAnsi="Arial" w:cs="Arial"/>
          <w:b/>
          <w:i/>
          <w:color w:val="000000" w:themeColor="text1"/>
          <w:sz w:val="22"/>
          <w:szCs w:val="22"/>
        </w:rPr>
        <w:t>Retained Earnings</w:t>
      </w:r>
    </w:p>
    <w:p w14:paraId="4A085420" w14:textId="77777777" w:rsidR="00D7132F" w:rsidRPr="009E35ED" w:rsidRDefault="00D7132F" w:rsidP="00803F8C">
      <w:pPr>
        <w:ind w:left="0"/>
        <w:rPr>
          <w:rFonts w:ascii="Arial" w:hAnsi="Arial" w:cs="Arial"/>
          <w:i/>
          <w:color w:val="000000" w:themeColor="text1"/>
          <w:sz w:val="22"/>
          <w:szCs w:val="22"/>
        </w:rPr>
      </w:pPr>
    </w:p>
    <w:p w14:paraId="3C9038AD" w14:textId="36BCAE3A" w:rsidR="00D7132F" w:rsidRPr="009E35ED" w:rsidRDefault="00D7132F" w:rsidP="00803F8C">
      <w:pPr>
        <w:pStyle w:val="ListParagraph"/>
        <w:ind w:left="0"/>
        <w:rPr>
          <w:rFonts w:ascii="Arial" w:hAnsi="Arial" w:cs="Arial"/>
          <w:color w:val="000000" w:themeColor="text1"/>
          <w:sz w:val="22"/>
          <w:szCs w:val="22"/>
        </w:rPr>
      </w:pPr>
      <w:r w:rsidRPr="009E35ED">
        <w:rPr>
          <w:rFonts w:ascii="Arial" w:hAnsi="Arial" w:cs="Arial"/>
          <w:color w:val="000000" w:themeColor="text1"/>
          <w:sz w:val="22"/>
          <w:szCs w:val="22"/>
        </w:rPr>
        <w:t xml:space="preserve">Retained Earnings represent accumulated profit attributable to equity holders of the </w:t>
      </w:r>
      <w:r w:rsidR="0051373D" w:rsidRPr="009E35ED">
        <w:rPr>
          <w:rFonts w:ascii="Arial" w:hAnsi="Arial" w:cs="Arial"/>
          <w:color w:val="000000" w:themeColor="text1"/>
          <w:sz w:val="22"/>
          <w:szCs w:val="22"/>
        </w:rPr>
        <w:t>Agency</w:t>
      </w:r>
      <w:r w:rsidRPr="009E35ED">
        <w:rPr>
          <w:rFonts w:ascii="Arial" w:hAnsi="Arial" w:cs="Arial"/>
          <w:color w:val="000000" w:themeColor="text1"/>
          <w:sz w:val="22"/>
          <w:szCs w:val="22"/>
        </w:rPr>
        <w:t xml:space="preserve"> after deducting dividends declared. The </w:t>
      </w:r>
      <w:r w:rsidR="0051373D" w:rsidRPr="009E35ED">
        <w:rPr>
          <w:rFonts w:ascii="Arial" w:hAnsi="Arial" w:cs="Arial"/>
          <w:color w:val="000000" w:themeColor="text1"/>
          <w:sz w:val="22"/>
          <w:szCs w:val="22"/>
        </w:rPr>
        <w:t>Agency</w:t>
      </w:r>
      <w:r w:rsidRPr="009E35ED">
        <w:rPr>
          <w:rFonts w:ascii="Arial" w:hAnsi="Arial" w:cs="Arial"/>
          <w:color w:val="000000" w:themeColor="text1"/>
          <w:sz w:val="22"/>
          <w:szCs w:val="22"/>
        </w:rPr>
        <w:t xml:space="preserve"> remits 50% of its </w:t>
      </w:r>
      <w:r w:rsidR="00241279" w:rsidRPr="009E35ED">
        <w:rPr>
          <w:rFonts w:ascii="Arial" w:hAnsi="Arial" w:cs="Arial"/>
          <w:color w:val="000000" w:themeColor="text1"/>
          <w:sz w:val="22"/>
          <w:szCs w:val="22"/>
        </w:rPr>
        <w:t xml:space="preserve">net </w:t>
      </w:r>
      <w:r w:rsidRPr="009E35ED">
        <w:rPr>
          <w:rFonts w:ascii="Arial" w:hAnsi="Arial" w:cs="Arial"/>
          <w:color w:val="000000" w:themeColor="text1"/>
          <w:sz w:val="22"/>
          <w:szCs w:val="22"/>
        </w:rPr>
        <w:t>annual earnings</w:t>
      </w:r>
      <w:r w:rsidR="008255FB" w:rsidRPr="009E35ED">
        <w:rPr>
          <w:rFonts w:ascii="Arial" w:hAnsi="Arial" w:cs="Arial"/>
          <w:color w:val="000000" w:themeColor="text1"/>
          <w:sz w:val="22"/>
          <w:szCs w:val="22"/>
        </w:rPr>
        <w:t>/income</w:t>
      </w:r>
      <w:r w:rsidRPr="009E35ED">
        <w:rPr>
          <w:rFonts w:ascii="Arial" w:hAnsi="Arial" w:cs="Arial"/>
          <w:color w:val="000000" w:themeColor="text1"/>
          <w:sz w:val="22"/>
          <w:szCs w:val="22"/>
        </w:rPr>
        <w:t xml:space="preserve"> to the national government as mandated under RA</w:t>
      </w:r>
      <w:r w:rsidR="00D728B7">
        <w:rPr>
          <w:rFonts w:ascii="Arial" w:hAnsi="Arial" w:cs="Arial"/>
          <w:color w:val="000000" w:themeColor="text1"/>
          <w:sz w:val="22"/>
          <w:szCs w:val="22"/>
        </w:rPr>
        <w:t xml:space="preserve"> No.</w:t>
      </w:r>
      <w:r w:rsidRPr="009E35ED">
        <w:rPr>
          <w:rFonts w:ascii="Arial" w:hAnsi="Arial" w:cs="Arial"/>
          <w:color w:val="000000" w:themeColor="text1"/>
          <w:sz w:val="22"/>
          <w:szCs w:val="22"/>
        </w:rPr>
        <w:t xml:space="preserve"> 7656 and its </w:t>
      </w:r>
      <w:r w:rsidR="00D93E15">
        <w:rPr>
          <w:rFonts w:ascii="Arial" w:hAnsi="Arial" w:cs="Arial"/>
          <w:color w:val="000000" w:themeColor="text1"/>
          <w:sz w:val="22"/>
          <w:szCs w:val="22"/>
        </w:rPr>
        <w:t>R</w:t>
      </w:r>
      <w:r w:rsidRPr="009E35ED">
        <w:rPr>
          <w:rFonts w:ascii="Arial" w:hAnsi="Arial" w:cs="Arial"/>
          <w:color w:val="000000" w:themeColor="text1"/>
          <w:sz w:val="22"/>
          <w:szCs w:val="22"/>
        </w:rPr>
        <w:t>IRR. Retained earnings may also include effect of changes in accounting policy and prior period adjustments.</w:t>
      </w:r>
    </w:p>
    <w:p w14:paraId="03DB11A7" w14:textId="77777777" w:rsidR="00EA47F9" w:rsidRPr="009E35ED" w:rsidRDefault="00EA47F9" w:rsidP="00803F8C">
      <w:pPr>
        <w:pStyle w:val="bodycopyindent"/>
        <w:spacing w:before="0" w:line="240" w:lineRule="auto"/>
        <w:ind w:left="0"/>
        <w:jc w:val="both"/>
        <w:rPr>
          <w:color w:val="000000" w:themeColor="text1"/>
          <w:sz w:val="22"/>
          <w:szCs w:val="22"/>
        </w:rPr>
      </w:pPr>
    </w:p>
    <w:p w14:paraId="0640EE1E" w14:textId="77777777" w:rsidR="00957EBA" w:rsidRPr="009E35ED" w:rsidRDefault="00957EBA" w:rsidP="00803F8C">
      <w:pPr>
        <w:pStyle w:val="bodycopyindent"/>
        <w:spacing w:before="0" w:line="240" w:lineRule="auto"/>
        <w:ind w:left="0"/>
        <w:jc w:val="both"/>
        <w:rPr>
          <w:b/>
          <w:i/>
          <w:color w:val="000000" w:themeColor="text1"/>
          <w:sz w:val="22"/>
          <w:szCs w:val="22"/>
        </w:rPr>
      </w:pPr>
      <w:r w:rsidRPr="009E35ED">
        <w:rPr>
          <w:b/>
          <w:i/>
          <w:color w:val="000000" w:themeColor="text1"/>
          <w:sz w:val="22"/>
          <w:szCs w:val="22"/>
        </w:rPr>
        <w:t>Charity Fund</w:t>
      </w:r>
    </w:p>
    <w:p w14:paraId="03FB9C17" w14:textId="77777777" w:rsidR="00957EBA" w:rsidRPr="009E35ED" w:rsidRDefault="00957EBA" w:rsidP="00803F8C">
      <w:pPr>
        <w:pStyle w:val="bodycopyindent"/>
        <w:spacing w:before="0" w:line="240" w:lineRule="auto"/>
        <w:ind w:left="0"/>
        <w:jc w:val="both"/>
        <w:rPr>
          <w:i/>
          <w:color w:val="000000" w:themeColor="text1"/>
          <w:sz w:val="22"/>
          <w:szCs w:val="22"/>
        </w:rPr>
      </w:pPr>
    </w:p>
    <w:p w14:paraId="669FD1C1" w14:textId="057D6792" w:rsidR="00E53CD3" w:rsidRPr="009E35ED" w:rsidRDefault="00957EBA" w:rsidP="00803F8C">
      <w:pPr>
        <w:pStyle w:val="bodycopyindent"/>
        <w:spacing w:before="0" w:line="240" w:lineRule="auto"/>
        <w:ind w:left="0"/>
        <w:jc w:val="both"/>
        <w:rPr>
          <w:color w:val="000000" w:themeColor="text1"/>
          <w:sz w:val="22"/>
          <w:szCs w:val="22"/>
        </w:rPr>
      </w:pPr>
      <w:r w:rsidRPr="009E35ED">
        <w:rPr>
          <w:color w:val="000000" w:themeColor="text1"/>
          <w:sz w:val="22"/>
          <w:szCs w:val="22"/>
        </w:rPr>
        <w:t xml:space="preserve">Charity Fund represents the thirty percent (30%) share of net receipts (Gross sales less 2% printing cost) from which the Board of Directors, in consultation with the Ministry of Human Settlement on identified priority programs, needs, and requirements in specific communities and with approval of the Office of the President, shall make payments or grants for health programs, including the expansion of existing ones, medical assistance and services and/or charities of national character such as the Philippine National Red Cross, under such policies and subject to such rules and regulations as the Board may from time establish and promulgate.  The Board may apply part of the contributions to the charity fund to approved investments of the </w:t>
      </w:r>
      <w:r w:rsidR="00986F56" w:rsidRPr="009E35ED">
        <w:rPr>
          <w:rStyle w:val="CommentReference"/>
          <w:rFonts w:eastAsia="Times New Roman"/>
          <w:color w:val="000000" w:themeColor="text1"/>
          <w:sz w:val="22"/>
          <w:szCs w:val="22"/>
          <w:lang w:val="en-US"/>
        </w:rPr>
        <w:t>Agency</w:t>
      </w:r>
      <w:r w:rsidRPr="009E35ED">
        <w:rPr>
          <w:color w:val="000000" w:themeColor="text1"/>
          <w:sz w:val="22"/>
          <w:szCs w:val="22"/>
        </w:rPr>
        <w:t xml:space="preserve"> pursuant Section 1(B) </w:t>
      </w:r>
      <w:r w:rsidR="00986F56" w:rsidRPr="009E35ED">
        <w:rPr>
          <w:rStyle w:val="CommentReference"/>
          <w:rFonts w:eastAsia="Times New Roman"/>
          <w:color w:val="000000" w:themeColor="text1"/>
          <w:sz w:val="22"/>
          <w:szCs w:val="22"/>
          <w:lang w:val="en-US"/>
        </w:rPr>
        <w:t>of RA No. 1169, as amended</w:t>
      </w:r>
      <w:r w:rsidRPr="009E35ED">
        <w:rPr>
          <w:color w:val="000000" w:themeColor="text1"/>
          <w:sz w:val="22"/>
          <w:szCs w:val="22"/>
        </w:rPr>
        <w:t>, but in no case shall such application to investments exceed ten percent (10%) of the net receipts from the sale of sweepstakes tickets in any given year</w:t>
      </w:r>
      <w:r w:rsidR="00014C1A" w:rsidRPr="009E35ED">
        <w:rPr>
          <w:color w:val="000000" w:themeColor="text1"/>
          <w:sz w:val="22"/>
          <w:szCs w:val="22"/>
        </w:rPr>
        <w:t>.</w:t>
      </w:r>
    </w:p>
    <w:p w14:paraId="393CBD33" w14:textId="76DB9005" w:rsidR="00CD2844" w:rsidRPr="009E35ED" w:rsidRDefault="00CD2844" w:rsidP="00803F8C">
      <w:pPr>
        <w:pStyle w:val="bodycopyindent"/>
        <w:spacing w:before="0" w:line="240" w:lineRule="auto"/>
        <w:ind w:left="0"/>
        <w:jc w:val="both"/>
        <w:rPr>
          <w:b/>
          <w:i/>
          <w:color w:val="000000" w:themeColor="text1"/>
          <w:sz w:val="22"/>
          <w:szCs w:val="22"/>
        </w:rPr>
      </w:pPr>
    </w:p>
    <w:p w14:paraId="2FDF2439" w14:textId="0324E39D" w:rsidR="00957EBA" w:rsidRPr="009E35ED" w:rsidRDefault="00957EBA" w:rsidP="00803F8C">
      <w:pPr>
        <w:pStyle w:val="bodycopyindent"/>
        <w:spacing w:before="0" w:line="240" w:lineRule="auto"/>
        <w:ind w:left="0"/>
        <w:jc w:val="both"/>
        <w:rPr>
          <w:b/>
          <w:i/>
          <w:color w:val="000000" w:themeColor="text1"/>
          <w:sz w:val="22"/>
          <w:szCs w:val="22"/>
        </w:rPr>
      </w:pPr>
      <w:r w:rsidRPr="009E35ED">
        <w:rPr>
          <w:b/>
          <w:i/>
          <w:color w:val="000000" w:themeColor="text1"/>
          <w:sz w:val="22"/>
          <w:szCs w:val="22"/>
        </w:rPr>
        <w:t>Prize Fund</w:t>
      </w:r>
    </w:p>
    <w:p w14:paraId="1E7D6C8F" w14:textId="77777777" w:rsidR="00E53CD3" w:rsidRPr="009E35ED" w:rsidRDefault="00E53CD3" w:rsidP="00803F8C">
      <w:pPr>
        <w:pStyle w:val="bodycopyindent"/>
        <w:spacing w:before="0" w:line="240" w:lineRule="auto"/>
        <w:ind w:left="0"/>
        <w:jc w:val="both"/>
        <w:rPr>
          <w:color w:val="000000" w:themeColor="text1"/>
          <w:sz w:val="22"/>
          <w:szCs w:val="22"/>
        </w:rPr>
      </w:pPr>
    </w:p>
    <w:p w14:paraId="7D995875" w14:textId="319AF5A2" w:rsidR="00F222FD" w:rsidRPr="009E35ED" w:rsidRDefault="00F222FD" w:rsidP="00F222FD">
      <w:pPr>
        <w:pStyle w:val="bodycopyindent"/>
        <w:spacing w:before="0" w:line="240" w:lineRule="auto"/>
        <w:ind w:left="0"/>
        <w:jc w:val="both"/>
        <w:rPr>
          <w:color w:val="000000" w:themeColor="text1"/>
          <w:sz w:val="22"/>
          <w:szCs w:val="22"/>
        </w:rPr>
      </w:pPr>
      <w:r w:rsidRPr="009E35ED">
        <w:rPr>
          <w:color w:val="000000" w:themeColor="text1"/>
          <w:sz w:val="22"/>
          <w:szCs w:val="22"/>
        </w:rPr>
        <w:t xml:space="preserve">Prize Fund represents the fifty-five percent (55%) share of net receipts (Gross sales less 2% printing cost) set aside for the payment of prizes, including those for the owners, and sellers of winning tickets.  </w:t>
      </w:r>
    </w:p>
    <w:p w14:paraId="7EE3692D" w14:textId="77777777" w:rsidR="00F222FD" w:rsidRPr="009E35ED" w:rsidRDefault="00F222FD" w:rsidP="00F222FD">
      <w:pPr>
        <w:pStyle w:val="bodycopyindent"/>
        <w:spacing w:before="0" w:line="240" w:lineRule="auto"/>
        <w:ind w:left="0"/>
        <w:jc w:val="both"/>
        <w:rPr>
          <w:color w:val="000000" w:themeColor="text1"/>
          <w:sz w:val="22"/>
          <w:szCs w:val="22"/>
        </w:rPr>
      </w:pPr>
    </w:p>
    <w:p w14:paraId="7546DA1B" w14:textId="32D8B16E" w:rsidR="00F222FD" w:rsidRPr="009E35ED" w:rsidRDefault="00F222FD" w:rsidP="00F222FD">
      <w:pPr>
        <w:pStyle w:val="bodycopyindent"/>
        <w:spacing w:before="0" w:line="240" w:lineRule="auto"/>
        <w:ind w:left="0"/>
        <w:jc w:val="both"/>
        <w:rPr>
          <w:b/>
          <w:i/>
          <w:color w:val="000000" w:themeColor="text1"/>
          <w:sz w:val="22"/>
          <w:szCs w:val="22"/>
          <w:u w:val="single"/>
        </w:rPr>
      </w:pPr>
      <w:r w:rsidRPr="009E35ED">
        <w:rPr>
          <w:color w:val="000000" w:themeColor="text1"/>
          <w:sz w:val="22"/>
          <w:szCs w:val="22"/>
        </w:rPr>
        <w:t>Prizes not claimed by the public within one (1) year from date of draw shall be considered as forfeited, and shall form part of the charity fund for disposition as stated</w:t>
      </w:r>
      <w:r w:rsidR="002117B9" w:rsidRPr="009E35ED">
        <w:rPr>
          <w:color w:val="000000" w:themeColor="text1"/>
          <w:sz w:val="22"/>
          <w:szCs w:val="22"/>
        </w:rPr>
        <w:t xml:space="preserve"> in Section 6 of RA No. 1169.</w:t>
      </w:r>
    </w:p>
    <w:p w14:paraId="7ED9BE96" w14:textId="28D851FD" w:rsidR="008255FB" w:rsidRPr="009E35ED" w:rsidRDefault="008255FB" w:rsidP="00803F8C">
      <w:pPr>
        <w:pStyle w:val="bodycopyindent"/>
        <w:spacing w:before="0" w:line="240" w:lineRule="auto"/>
        <w:ind w:left="0"/>
        <w:jc w:val="both"/>
        <w:rPr>
          <w:color w:val="000000" w:themeColor="text1"/>
          <w:sz w:val="22"/>
          <w:szCs w:val="22"/>
        </w:rPr>
      </w:pPr>
    </w:p>
    <w:p w14:paraId="77498D95" w14:textId="77777777" w:rsidR="00957EBA" w:rsidRPr="009E35ED" w:rsidRDefault="00957EBA" w:rsidP="00803F8C">
      <w:pPr>
        <w:pStyle w:val="bodycopyindent"/>
        <w:spacing w:before="0" w:line="240" w:lineRule="auto"/>
        <w:ind w:left="0"/>
        <w:jc w:val="both"/>
        <w:rPr>
          <w:b/>
          <w:i/>
          <w:color w:val="000000" w:themeColor="text1"/>
          <w:sz w:val="22"/>
          <w:szCs w:val="22"/>
        </w:rPr>
      </w:pPr>
      <w:r w:rsidRPr="009E35ED">
        <w:rPr>
          <w:b/>
          <w:i/>
          <w:color w:val="000000" w:themeColor="text1"/>
          <w:sz w:val="22"/>
          <w:szCs w:val="22"/>
        </w:rPr>
        <w:t>Operating Fund</w:t>
      </w:r>
    </w:p>
    <w:p w14:paraId="5BC97534" w14:textId="77777777" w:rsidR="00957EBA" w:rsidRPr="009E35ED" w:rsidRDefault="00957EBA" w:rsidP="00803F8C">
      <w:pPr>
        <w:pStyle w:val="bodycopyindent"/>
        <w:spacing w:before="0" w:line="240" w:lineRule="auto"/>
        <w:ind w:left="0"/>
        <w:jc w:val="both"/>
        <w:rPr>
          <w:color w:val="000000" w:themeColor="text1"/>
          <w:sz w:val="22"/>
          <w:szCs w:val="22"/>
        </w:rPr>
      </w:pPr>
    </w:p>
    <w:p w14:paraId="5AA23144" w14:textId="414B1B40" w:rsidR="00957EBA" w:rsidRPr="009E35ED" w:rsidRDefault="00957EBA" w:rsidP="00803F8C">
      <w:pPr>
        <w:pStyle w:val="bodycopyindent"/>
        <w:spacing w:before="0" w:line="240" w:lineRule="auto"/>
        <w:ind w:left="0"/>
        <w:jc w:val="both"/>
        <w:rPr>
          <w:color w:val="000000" w:themeColor="text1"/>
          <w:sz w:val="22"/>
          <w:szCs w:val="22"/>
        </w:rPr>
      </w:pPr>
      <w:r w:rsidRPr="009E35ED">
        <w:rPr>
          <w:color w:val="000000" w:themeColor="text1"/>
          <w:sz w:val="22"/>
          <w:szCs w:val="22"/>
        </w:rPr>
        <w:t xml:space="preserve">Operating Fund represents the fifteen percent (15%) share of net receipts (Gross sales less 2% printing cost) set aside as contributions to the operating </w:t>
      </w:r>
      <w:r w:rsidR="002D003C" w:rsidRPr="009E35ED">
        <w:rPr>
          <w:color w:val="000000" w:themeColor="text1"/>
          <w:sz w:val="22"/>
          <w:szCs w:val="22"/>
        </w:rPr>
        <w:t>expenses and</w:t>
      </w:r>
      <w:r w:rsidRPr="009E35ED">
        <w:rPr>
          <w:color w:val="000000" w:themeColor="text1"/>
          <w:sz w:val="22"/>
          <w:szCs w:val="22"/>
        </w:rPr>
        <w:t xml:space="preserve"> capital expenditures of the </w:t>
      </w:r>
      <w:r w:rsidR="00986F56" w:rsidRPr="009E35ED">
        <w:rPr>
          <w:color w:val="000000" w:themeColor="text1"/>
          <w:sz w:val="22"/>
          <w:szCs w:val="22"/>
        </w:rPr>
        <w:t>Agency</w:t>
      </w:r>
      <w:r w:rsidRPr="009E35ED">
        <w:rPr>
          <w:color w:val="000000" w:themeColor="text1"/>
          <w:sz w:val="22"/>
          <w:szCs w:val="22"/>
        </w:rPr>
        <w:t>.</w:t>
      </w:r>
    </w:p>
    <w:p w14:paraId="1B48F4B1" w14:textId="77777777" w:rsidR="00957EBA" w:rsidRPr="009E35ED" w:rsidRDefault="00957EBA" w:rsidP="00803F8C">
      <w:pPr>
        <w:pStyle w:val="bodycopyindent"/>
        <w:spacing w:before="0" w:line="240" w:lineRule="auto"/>
        <w:ind w:left="0"/>
        <w:jc w:val="both"/>
        <w:rPr>
          <w:color w:val="000000" w:themeColor="text1"/>
          <w:sz w:val="22"/>
          <w:szCs w:val="22"/>
        </w:rPr>
      </w:pPr>
    </w:p>
    <w:p w14:paraId="58DFEEDC" w14:textId="497A6FB5" w:rsidR="00957EBA" w:rsidRPr="009E35ED" w:rsidRDefault="00957EBA" w:rsidP="00803F8C">
      <w:pPr>
        <w:ind w:left="0"/>
        <w:rPr>
          <w:rFonts w:ascii="Arial" w:hAnsi="Arial" w:cs="Arial"/>
          <w:color w:val="000000" w:themeColor="text1"/>
          <w:sz w:val="22"/>
          <w:szCs w:val="22"/>
        </w:rPr>
      </w:pPr>
      <w:r w:rsidRPr="009E35ED">
        <w:rPr>
          <w:rFonts w:ascii="Arial" w:hAnsi="Arial" w:cs="Arial"/>
          <w:color w:val="000000" w:themeColor="text1"/>
          <w:sz w:val="22"/>
          <w:szCs w:val="22"/>
        </w:rPr>
        <w:t xml:space="preserve">All balances of any funds shall revert to and form part of the </w:t>
      </w:r>
      <w:r w:rsidR="001A74AA" w:rsidRPr="009E35ED">
        <w:rPr>
          <w:rFonts w:ascii="Arial" w:hAnsi="Arial" w:cs="Arial"/>
          <w:color w:val="000000" w:themeColor="text1"/>
          <w:sz w:val="22"/>
          <w:szCs w:val="22"/>
        </w:rPr>
        <w:t>C</w:t>
      </w:r>
      <w:r w:rsidRPr="009E35ED">
        <w:rPr>
          <w:rFonts w:ascii="Arial" w:hAnsi="Arial" w:cs="Arial"/>
          <w:color w:val="000000" w:themeColor="text1"/>
          <w:sz w:val="22"/>
          <w:szCs w:val="22"/>
        </w:rPr>
        <w:t xml:space="preserve">harity </w:t>
      </w:r>
      <w:r w:rsidR="001A74AA" w:rsidRPr="009E35ED">
        <w:rPr>
          <w:rFonts w:ascii="Arial" w:hAnsi="Arial" w:cs="Arial"/>
          <w:color w:val="000000" w:themeColor="text1"/>
          <w:sz w:val="22"/>
          <w:szCs w:val="22"/>
        </w:rPr>
        <w:t>F</w:t>
      </w:r>
      <w:r w:rsidRPr="009E35ED">
        <w:rPr>
          <w:rFonts w:ascii="Arial" w:hAnsi="Arial" w:cs="Arial"/>
          <w:color w:val="000000" w:themeColor="text1"/>
          <w:sz w:val="22"/>
          <w:szCs w:val="22"/>
        </w:rPr>
        <w:t>und and shall be subject to dispositions as stated.</w:t>
      </w:r>
    </w:p>
    <w:p w14:paraId="74676431" w14:textId="77777777" w:rsidR="00F61322" w:rsidRPr="009E35ED" w:rsidRDefault="00F61322" w:rsidP="00803F8C">
      <w:pPr>
        <w:ind w:left="0"/>
        <w:rPr>
          <w:rFonts w:ascii="Arial" w:hAnsi="Arial" w:cs="Arial"/>
          <w:color w:val="000000" w:themeColor="text1"/>
          <w:sz w:val="22"/>
          <w:szCs w:val="22"/>
        </w:rPr>
      </w:pPr>
    </w:p>
    <w:p w14:paraId="06CC76B9" w14:textId="77777777" w:rsidR="0011681F" w:rsidRPr="009E35ED" w:rsidRDefault="0011681F" w:rsidP="00074309">
      <w:pPr>
        <w:pStyle w:val="ListParagraph"/>
        <w:numPr>
          <w:ilvl w:val="0"/>
          <w:numId w:val="8"/>
        </w:numPr>
        <w:ind w:hanging="720"/>
        <w:rPr>
          <w:rFonts w:ascii="Arial" w:hAnsi="Arial" w:cs="Arial"/>
          <w:b/>
          <w:color w:val="000000" w:themeColor="text1"/>
          <w:sz w:val="22"/>
          <w:szCs w:val="22"/>
        </w:rPr>
      </w:pPr>
      <w:r w:rsidRPr="009E35ED">
        <w:rPr>
          <w:rFonts w:ascii="Arial" w:hAnsi="Arial" w:cs="Arial"/>
          <w:b/>
          <w:color w:val="000000" w:themeColor="text1"/>
          <w:sz w:val="22"/>
          <w:szCs w:val="22"/>
        </w:rPr>
        <w:t>Inventories</w:t>
      </w:r>
    </w:p>
    <w:p w14:paraId="6CF33F4B" w14:textId="77777777" w:rsidR="0011681F" w:rsidRPr="009E35ED" w:rsidRDefault="0011681F" w:rsidP="00803F8C">
      <w:pPr>
        <w:pStyle w:val="ListParagraph"/>
        <w:ind w:left="540"/>
        <w:rPr>
          <w:rFonts w:ascii="Arial" w:hAnsi="Arial" w:cs="Arial"/>
          <w:b/>
          <w:color w:val="000000" w:themeColor="text1"/>
          <w:sz w:val="22"/>
          <w:szCs w:val="22"/>
        </w:rPr>
      </w:pPr>
    </w:p>
    <w:p w14:paraId="4AD000E7" w14:textId="77777777" w:rsidR="009117E9" w:rsidRPr="009E35ED" w:rsidRDefault="009117E9" w:rsidP="00803F8C">
      <w:pPr>
        <w:pStyle w:val="a-Right-Col-Reg"/>
        <w:spacing w:after="0" w:line="240" w:lineRule="auto"/>
        <w:jc w:val="both"/>
        <w:rPr>
          <w:rFonts w:cs="Arial"/>
          <w:color w:val="000000" w:themeColor="text1"/>
          <w:sz w:val="22"/>
          <w:szCs w:val="22"/>
          <w:lang w:val="en-US"/>
        </w:rPr>
      </w:pPr>
      <w:r w:rsidRPr="009E35ED">
        <w:rPr>
          <w:rFonts w:cs="Arial"/>
          <w:color w:val="000000" w:themeColor="text1"/>
          <w:sz w:val="22"/>
          <w:szCs w:val="22"/>
          <w:lang w:val="en-US"/>
        </w:rPr>
        <w:t xml:space="preserve">Inventories include Drugs and Medicines for Distribution, Office Supplies Inventory, Accountable Forms, Plates and Stickers Inventory, Medical, Dental and Laboratory Supplies, Play/Bet Slips and Thermal Rolls Inventory and Other Supplies and Materials Inventory. </w:t>
      </w:r>
    </w:p>
    <w:p w14:paraId="28BF840C" w14:textId="77777777" w:rsidR="009117E9" w:rsidRPr="009E35ED" w:rsidRDefault="009117E9" w:rsidP="00803F8C">
      <w:pPr>
        <w:pStyle w:val="a-Right-Col-Reg"/>
        <w:spacing w:after="0" w:line="240" w:lineRule="auto"/>
        <w:jc w:val="both"/>
        <w:rPr>
          <w:rFonts w:cs="Arial"/>
          <w:color w:val="000000" w:themeColor="text1"/>
          <w:sz w:val="22"/>
          <w:szCs w:val="22"/>
          <w:lang w:val="en-US"/>
        </w:rPr>
      </w:pPr>
    </w:p>
    <w:p w14:paraId="563989F0" w14:textId="7F74BCDC" w:rsidR="009117E9" w:rsidRPr="009E35ED" w:rsidRDefault="009117E9" w:rsidP="00803F8C">
      <w:pPr>
        <w:ind w:left="0"/>
        <w:rPr>
          <w:rFonts w:ascii="Arial" w:hAnsi="Arial" w:cs="Arial"/>
          <w:color w:val="000000" w:themeColor="text1"/>
          <w:sz w:val="22"/>
          <w:szCs w:val="22"/>
        </w:rPr>
      </w:pPr>
      <w:r w:rsidRPr="009E35ED">
        <w:rPr>
          <w:rFonts w:ascii="Arial" w:hAnsi="Arial" w:cs="Arial"/>
          <w:color w:val="000000" w:themeColor="text1"/>
          <w:sz w:val="22"/>
          <w:szCs w:val="22"/>
        </w:rPr>
        <w:t>Inventories are initially measured at cost. Subsequently, inventories are stated at the lower of cost and net realizable value.  The costs of inventories are calculated using the weighted average method.</w:t>
      </w:r>
      <w:r w:rsidR="00D13C50" w:rsidRPr="009E35ED">
        <w:rPr>
          <w:rFonts w:ascii="Arial" w:hAnsi="Arial" w:cs="Arial"/>
          <w:color w:val="000000" w:themeColor="text1"/>
          <w:sz w:val="22"/>
          <w:szCs w:val="22"/>
        </w:rPr>
        <w:t xml:space="preserve"> It is to be noted that for </w:t>
      </w:r>
      <w:r w:rsidR="003F4F9C" w:rsidRPr="009E35ED">
        <w:rPr>
          <w:rFonts w:ascii="Arial" w:hAnsi="Arial" w:cs="Arial"/>
          <w:color w:val="000000" w:themeColor="text1"/>
          <w:sz w:val="22"/>
          <w:szCs w:val="22"/>
        </w:rPr>
        <w:t xml:space="preserve">Drugs and Medicines for Distribution and </w:t>
      </w:r>
      <w:r w:rsidR="00D13C50" w:rsidRPr="009E35ED">
        <w:rPr>
          <w:rFonts w:ascii="Arial" w:hAnsi="Arial" w:cs="Arial"/>
          <w:color w:val="000000" w:themeColor="text1"/>
          <w:sz w:val="22"/>
          <w:szCs w:val="22"/>
        </w:rPr>
        <w:t>Medical, Dental and Laboratory Supplies, the M</w:t>
      </w:r>
      <w:r w:rsidR="00D93E15">
        <w:rPr>
          <w:rFonts w:ascii="Arial" w:hAnsi="Arial" w:cs="Arial"/>
          <w:color w:val="000000" w:themeColor="text1"/>
          <w:sz w:val="22"/>
          <w:szCs w:val="22"/>
        </w:rPr>
        <w:t xml:space="preserve">edical </w:t>
      </w:r>
      <w:r w:rsidR="00D13C50" w:rsidRPr="009E35ED">
        <w:rPr>
          <w:rFonts w:ascii="Arial" w:hAnsi="Arial" w:cs="Arial"/>
          <w:color w:val="000000" w:themeColor="text1"/>
          <w:sz w:val="22"/>
          <w:szCs w:val="22"/>
        </w:rPr>
        <w:t>S</w:t>
      </w:r>
      <w:r w:rsidR="00D93E15">
        <w:rPr>
          <w:rFonts w:ascii="Arial" w:hAnsi="Arial" w:cs="Arial"/>
          <w:color w:val="000000" w:themeColor="text1"/>
          <w:sz w:val="22"/>
          <w:szCs w:val="22"/>
        </w:rPr>
        <w:t xml:space="preserve">ervices </w:t>
      </w:r>
      <w:r w:rsidR="00D13C50" w:rsidRPr="009E35ED">
        <w:rPr>
          <w:rFonts w:ascii="Arial" w:hAnsi="Arial" w:cs="Arial"/>
          <w:color w:val="000000" w:themeColor="text1"/>
          <w:sz w:val="22"/>
          <w:szCs w:val="22"/>
        </w:rPr>
        <w:t>D</w:t>
      </w:r>
      <w:r w:rsidR="00D93E15">
        <w:rPr>
          <w:rFonts w:ascii="Arial" w:hAnsi="Arial" w:cs="Arial"/>
          <w:color w:val="000000" w:themeColor="text1"/>
          <w:sz w:val="22"/>
          <w:szCs w:val="22"/>
        </w:rPr>
        <w:t>epartment (MSD)</w:t>
      </w:r>
      <w:r w:rsidR="00D13C50" w:rsidRPr="009E35ED">
        <w:rPr>
          <w:rFonts w:ascii="Arial" w:hAnsi="Arial" w:cs="Arial"/>
          <w:color w:val="000000" w:themeColor="text1"/>
          <w:sz w:val="22"/>
          <w:szCs w:val="22"/>
        </w:rPr>
        <w:t xml:space="preserve"> uses the First-In, First-Out method in dispensing its inventories.</w:t>
      </w:r>
      <w:r w:rsidRPr="009E35ED">
        <w:rPr>
          <w:rFonts w:ascii="Arial" w:hAnsi="Arial" w:cs="Arial"/>
          <w:color w:val="000000" w:themeColor="text1"/>
          <w:sz w:val="22"/>
          <w:szCs w:val="22"/>
        </w:rPr>
        <w:tab/>
      </w:r>
    </w:p>
    <w:p w14:paraId="786DA443" w14:textId="77777777" w:rsidR="009117E9" w:rsidRPr="009E35ED" w:rsidRDefault="009117E9" w:rsidP="00803F8C">
      <w:pPr>
        <w:ind w:left="0"/>
        <w:rPr>
          <w:rFonts w:ascii="Arial" w:hAnsi="Arial" w:cs="Arial"/>
          <w:color w:val="000000" w:themeColor="text1"/>
          <w:sz w:val="22"/>
          <w:szCs w:val="22"/>
        </w:rPr>
      </w:pPr>
      <w:r w:rsidRPr="009E35ED">
        <w:rPr>
          <w:rFonts w:ascii="Arial" w:hAnsi="Arial" w:cs="Arial"/>
          <w:color w:val="000000" w:themeColor="text1"/>
          <w:sz w:val="22"/>
          <w:szCs w:val="22"/>
        </w:rPr>
        <w:tab/>
      </w:r>
    </w:p>
    <w:p w14:paraId="214383A5" w14:textId="77777777" w:rsidR="009117E9" w:rsidRPr="009E35ED" w:rsidRDefault="009117E9" w:rsidP="00B90388">
      <w:pPr>
        <w:keepNext/>
        <w:keepLines/>
        <w:ind w:left="0"/>
        <w:rPr>
          <w:rFonts w:ascii="Arial" w:hAnsi="Arial" w:cs="Arial"/>
          <w:color w:val="000000" w:themeColor="text1"/>
          <w:sz w:val="22"/>
          <w:szCs w:val="22"/>
        </w:rPr>
      </w:pPr>
      <w:r w:rsidRPr="009E35ED">
        <w:rPr>
          <w:rFonts w:ascii="Arial" w:hAnsi="Arial" w:cs="Arial"/>
          <w:color w:val="000000" w:themeColor="text1"/>
          <w:sz w:val="22"/>
          <w:szCs w:val="22"/>
        </w:rPr>
        <w:t xml:space="preserve">When the net realizable value of the inventories is lower than the cost, the PCSO recognizes an impairment loss for the decline in the value of the inventory.  The amount of any reversal of any write-down of inventories, arising from an increase in net realizable value, is recognized in profit or loss in the period in which the reversal occurs. </w:t>
      </w:r>
    </w:p>
    <w:p w14:paraId="361E1A99" w14:textId="77777777" w:rsidR="009117E9" w:rsidRPr="009E35ED" w:rsidRDefault="009117E9" w:rsidP="00803F8C">
      <w:pPr>
        <w:rPr>
          <w:rFonts w:ascii="Arial" w:hAnsi="Arial" w:cs="Arial"/>
          <w:color w:val="000000" w:themeColor="text1"/>
          <w:sz w:val="22"/>
          <w:szCs w:val="22"/>
        </w:rPr>
      </w:pPr>
    </w:p>
    <w:p w14:paraId="3BEF2843" w14:textId="4EC685CA" w:rsidR="0011681F" w:rsidRPr="009E35ED" w:rsidRDefault="009117E9" w:rsidP="00803F8C">
      <w:pPr>
        <w:pStyle w:val="ListParagraph"/>
        <w:ind w:left="0"/>
        <w:rPr>
          <w:rFonts w:ascii="Arial" w:hAnsi="Arial" w:cs="Arial"/>
          <w:color w:val="000000" w:themeColor="text1"/>
          <w:sz w:val="22"/>
          <w:szCs w:val="22"/>
        </w:rPr>
      </w:pPr>
      <w:r w:rsidRPr="009E35ED">
        <w:rPr>
          <w:rFonts w:ascii="Arial" w:hAnsi="Arial" w:cs="Arial"/>
          <w:color w:val="000000" w:themeColor="text1"/>
          <w:sz w:val="22"/>
          <w:szCs w:val="22"/>
        </w:rPr>
        <w:t>When inventories are consumed, the carrying amount of those inventories is recognized as an expense in the statement of comprehensive income.</w:t>
      </w:r>
    </w:p>
    <w:p w14:paraId="310769EE" w14:textId="5E9F72A3" w:rsidR="00D55AAA" w:rsidRDefault="00D55AAA" w:rsidP="00803F8C">
      <w:pPr>
        <w:pStyle w:val="ListParagraph"/>
        <w:ind w:left="0"/>
        <w:rPr>
          <w:rFonts w:ascii="Arial" w:hAnsi="Arial" w:cs="Arial"/>
          <w:color w:val="000000" w:themeColor="text1"/>
          <w:sz w:val="22"/>
          <w:szCs w:val="22"/>
        </w:rPr>
      </w:pPr>
    </w:p>
    <w:p w14:paraId="5077C2E8" w14:textId="77777777" w:rsidR="00976F4E" w:rsidRDefault="00976F4E" w:rsidP="00803F8C">
      <w:pPr>
        <w:pStyle w:val="ListParagraph"/>
        <w:ind w:left="0"/>
        <w:rPr>
          <w:rFonts w:ascii="Arial" w:hAnsi="Arial" w:cs="Arial"/>
          <w:color w:val="000000" w:themeColor="text1"/>
          <w:sz w:val="22"/>
          <w:szCs w:val="22"/>
        </w:rPr>
      </w:pPr>
    </w:p>
    <w:p w14:paraId="50A4A5B5" w14:textId="77777777" w:rsidR="009117E9" w:rsidRPr="009E35ED" w:rsidRDefault="009117E9" w:rsidP="00074309">
      <w:pPr>
        <w:pStyle w:val="ListParagraph"/>
        <w:numPr>
          <w:ilvl w:val="0"/>
          <w:numId w:val="8"/>
        </w:numPr>
        <w:ind w:hanging="720"/>
        <w:rPr>
          <w:rFonts w:ascii="Arial" w:hAnsi="Arial" w:cs="Arial"/>
          <w:b/>
          <w:color w:val="000000" w:themeColor="text1"/>
          <w:sz w:val="22"/>
          <w:szCs w:val="22"/>
        </w:rPr>
      </w:pPr>
      <w:r w:rsidRPr="009E35ED">
        <w:rPr>
          <w:rFonts w:ascii="Arial" w:hAnsi="Arial" w:cs="Arial"/>
          <w:b/>
          <w:color w:val="000000" w:themeColor="text1"/>
          <w:sz w:val="22"/>
          <w:szCs w:val="22"/>
        </w:rPr>
        <w:t>Prepayments and Other Current Assets</w:t>
      </w:r>
    </w:p>
    <w:p w14:paraId="5775FC46" w14:textId="77777777" w:rsidR="009117E9" w:rsidRPr="009E35ED" w:rsidRDefault="009117E9" w:rsidP="00803F8C">
      <w:pPr>
        <w:ind w:left="0"/>
        <w:rPr>
          <w:rFonts w:ascii="Arial" w:hAnsi="Arial" w:cs="Arial"/>
          <w:b/>
          <w:color w:val="000000" w:themeColor="text1"/>
          <w:sz w:val="22"/>
          <w:szCs w:val="22"/>
        </w:rPr>
      </w:pPr>
    </w:p>
    <w:p w14:paraId="645BFC5E" w14:textId="08BE92FD" w:rsidR="009117E9" w:rsidRPr="009E35ED" w:rsidRDefault="009117E9" w:rsidP="00803F8C">
      <w:pPr>
        <w:ind w:left="0"/>
        <w:rPr>
          <w:rFonts w:ascii="Arial" w:hAnsi="Arial" w:cs="Arial"/>
          <w:color w:val="000000" w:themeColor="text1"/>
          <w:sz w:val="22"/>
          <w:szCs w:val="22"/>
        </w:rPr>
      </w:pPr>
      <w:r w:rsidRPr="009E35ED">
        <w:rPr>
          <w:rFonts w:ascii="Arial" w:hAnsi="Arial" w:cs="Arial"/>
          <w:color w:val="000000" w:themeColor="text1"/>
          <w:sz w:val="22"/>
          <w:szCs w:val="22"/>
        </w:rPr>
        <w:t xml:space="preserve">Prepayments and other current assets represent assets of the PCSO that are expected to be realized or consumed within one year from the reporting dates. These are initially recorded </w:t>
      </w:r>
      <w:r w:rsidR="007F64E8" w:rsidRPr="009E35ED">
        <w:rPr>
          <w:rFonts w:ascii="Arial" w:hAnsi="Arial" w:cs="Arial"/>
          <w:color w:val="000000" w:themeColor="text1"/>
          <w:sz w:val="22"/>
          <w:szCs w:val="22"/>
        </w:rPr>
        <w:t xml:space="preserve">at the amount of cash paid and </w:t>
      </w:r>
      <w:r w:rsidRPr="009E35ED">
        <w:rPr>
          <w:rFonts w:ascii="Arial" w:hAnsi="Arial" w:cs="Arial"/>
          <w:color w:val="000000" w:themeColor="text1"/>
          <w:sz w:val="22"/>
          <w:szCs w:val="22"/>
        </w:rPr>
        <w:t>are charged to profit or loss as they are consumed in operations or expire with the passage of time.</w:t>
      </w:r>
    </w:p>
    <w:p w14:paraId="1219B939" w14:textId="18D7F9AD" w:rsidR="00625E68" w:rsidRPr="009E35ED" w:rsidRDefault="00625E68" w:rsidP="00803F8C">
      <w:pPr>
        <w:ind w:left="0"/>
        <w:rPr>
          <w:rFonts w:ascii="Arial" w:hAnsi="Arial" w:cs="Arial"/>
          <w:color w:val="000000" w:themeColor="text1"/>
          <w:sz w:val="22"/>
          <w:szCs w:val="22"/>
        </w:rPr>
      </w:pPr>
    </w:p>
    <w:p w14:paraId="3063806C" w14:textId="77777777" w:rsidR="009117E9" w:rsidRPr="009E35ED" w:rsidRDefault="009117E9" w:rsidP="00074309">
      <w:pPr>
        <w:pStyle w:val="ListParagraph"/>
        <w:numPr>
          <w:ilvl w:val="0"/>
          <w:numId w:val="8"/>
        </w:numPr>
        <w:ind w:hanging="720"/>
        <w:rPr>
          <w:rFonts w:ascii="Arial" w:hAnsi="Arial" w:cs="Arial"/>
          <w:b/>
          <w:color w:val="000000" w:themeColor="text1"/>
          <w:sz w:val="22"/>
          <w:szCs w:val="22"/>
        </w:rPr>
      </w:pPr>
      <w:r w:rsidRPr="009E35ED">
        <w:rPr>
          <w:rFonts w:ascii="Arial" w:hAnsi="Arial" w:cs="Arial"/>
          <w:b/>
          <w:color w:val="000000" w:themeColor="text1"/>
          <w:sz w:val="22"/>
          <w:szCs w:val="22"/>
        </w:rPr>
        <w:t>Investment Property</w:t>
      </w:r>
    </w:p>
    <w:p w14:paraId="744287DF" w14:textId="77777777" w:rsidR="009117E9" w:rsidRPr="009E35ED" w:rsidRDefault="009117E9" w:rsidP="00803F8C">
      <w:pPr>
        <w:ind w:left="0"/>
        <w:rPr>
          <w:rFonts w:ascii="Arial" w:hAnsi="Arial" w:cs="Arial"/>
          <w:b/>
          <w:color w:val="000000" w:themeColor="text1"/>
          <w:sz w:val="22"/>
          <w:szCs w:val="22"/>
        </w:rPr>
      </w:pPr>
    </w:p>
    <w:p w14:paraId="376371A5" w14:textId="3A01AE77" w:rsidR="009117E9" w:rsidRDefault="009117E9" w:rsidP="00860ED6">
      <w:pPr>
        <w:pStyle w:val="Bodycopy"/>
        <w:spacing w:before="0" w:line="240" w:lineRule="auto"/>
        <w:jc w:val="both"/>
        <w:rPr>
          <w:color w:val="000000" w:themeColor="text1"/>
          <w:sz w:val="22"/>
          <w:szCs w:val="22"/>
        </w:rPr>
      </w:pPr>
      <w:r w:rsidRPr="009E35ED">
        <w:rPr>
          <w:color w:val="000000" w:themeColor="text1"/>
          <w:sz w:val="22"/>
          <w:szCs w:val="22"/>
        </w:rPr>
        <w:t>Investment properties are properties that are held to earn rentals or for capital appreciation or both</w:t>
      </w:r>
      <w:r w:rsidR="002117B9" w:rsidRPr="009E35ED">
        <w:rPr>
          <w:color w:val="000000" w:themeColor="text1"/>
          <w:sz w:val="22"/>
          <w:szCs w:val="22"/>
        </w:rPr>
        <w:t>,</w:t>
      </w:r>
      <w:r w:rsidRPr="009E35ED">
        <w:rPr>
          <w:color w:val="000000" w:themeColor="text1"/>
          <w:sz w:val="22"/>
          <w:szCs w:val="22"/>
        </w:rPr>
        <w:t xml:space="preserve"> but not for sale in the ordinary course of business, use in the production or supply of goods or services or for administrative purposes.  Investment properties are measured initially at cost, including transaction costs.</w:t>
      </w:r>
    </w:p>
    <w:p w14:paraId="6D8EEA9D" w14:textId="77777777" w:rsidR="00D93E15" w:rsidRPr="009E35ED" w:rsidRDefault="00D93E15" w:rsidP="00860ED6">
      <w:pPr>
        <w:pStyle w:val="Bodycopy"/>
        <w:spacing w:before="0" w:line="240" w:lineRule="auto"/>
        <w:jc w:val="both"/>
        <w:rPr>
          <w:color w:val="000000" w:themeColor="text1"/>
          <w:sz w:val="22"/>
          <w:szCs w:val="22"/>
        </w:rPr>
      </w:pPr>
    </w:p>
    <w:p w14:paraId="7D0B95B0" w14:textId="44FCB2AD" w:rsidR="009117E9" w:rsidRDefault="009117E9" w:rsidP="00860ED6">
      <w:pPr>
        <w:pStyle w:val="yiv9264845530ydpd831b659yiv5687725187ydp386160f2msonormal"/>
        <w:shd w:val="clear" w:color="auto" w:fill="FFFFFF"/>
        <w:spacing w:before="0" w:beforeAutospacing="0" w:after="0" w:afterAutospacing="0"/>
        <w:jc w:val="both"/>
        <w:rPr>
          <w:rFonts w:ascii="Arial" w:hAnsi="Arial" w:cs="Arial"/>
          <w:color w:val="000000" w:themeColor="text1"/>
          <w:sz w:val="22"/>
          <w:szCs w:val="22"/>
        </w:rPr>
      </w:pPr>
      <w:r w:rsidRPr="009E35ED">
        <w:rPr>
          <w:rFonts w:ascii="Arial" w:hAnsi="Arial" w:cs="Arial"/>
          <w:color w:val="000000" w:themeColor="text1"/>
          <w:sz w:val="22"/>
          <w:szCs w:val="22"/>
        </w:rPr>
        <w:t>Subsequent to initial recognition, investment property is measured at cost less any accumulated depreciation. Depreciation is computed on a straight-line basis over an estimated life of 30 years.</w:t>
      </w:r>
    </w:p>
    <w:p w14:paraId="2D5F7974" w14:textId="77777777" w:rsidR="00D93E15" w:rsidRPr="009E35ED" w:rsidRDefault="00D93E15" w:rsidP="00860ED6">
      <w:pPr>
        <w:pStyle w:val="yiv9264845530ydpd831b659yiv5687725187ydp386160f2msonormal"/>
        <w:shd w:val="clear" w:color="auto" w:fill="FFFFFF"/>
        <w:spacing w:before="0" w:beforeAutospacing="0" w:after="0" w:afterAutospacing="0"/>
        <w:jc w:val="both"/>
        <w:rPr>
          <w:rFonts w:ascii="Arial" w:hAnsi="Arial" w:cs="Arial"/>
          <w:color w:val="000000" w:themeColor="text1"/>
          <w:sz w:val="22"/>
          <w:szCs w:val="22"/>
        </w:rPr>
      </w:pPr>
    </w:p>
    <w:p w14:paraId="3891DA9F" w14:textId="0241572A" w:rsidR="00625E68" w:rsidRPr="009E35ED" w:rsidRDefault="009117E9" w:rsidP="00803F8C">
      <w:pPr>
        <w:ind w:left="0"/>
        <w:rPr>
          <w:rFonts w:ascii="Arial" w:hAnsi="Arial" w:cs="Arial"/>
          <w:color w:val="000000" w:themeColor="text1"/>
          <w:sz w:val="22"/>
          <w:szCs w:val="22"/>
        </w:rPr>
      </w:pPr>
      <w:r w:rsidRPr="009E35ED">
        <w:rPr>
          <w:rFonts w:ascii="Arial" w:hAnsi="Arial" w:cs="Arial"/>
          <w:color w:val="000000" w:themeColor="text1"/>
          <w:sz w:val="22"/>
          <w:szCs w:val="22"/>
        </w:rPr>
        <w:t>Transfers to, or from, investment property is made only when there is a change in use.  Transfers to or from investment property is recognized at the carrying amount of the asset transferred. Accordingly, no gain or loss is recognized from these transfers.</w:t>
      </w:r>
    </w:p>
    <w:p w14:paraId="0FF0DFF5" w14:textId="77777777" w:rsidR="00D92F09" w:rsidRPr="009E35ED" w:rsidRDefault="00D92F09" w:rsidP="00803F8C">
      <w:pPr>
        <w:ind w:left="0"/>
        <w:rPr>
          <w:rFonts w:ascii="Arial Narrow" w:hAnsi="Arial Narrow" w:cs="Arial"/>
          <w:color w:val="000000" w:themeColor="text1"/>
        </w:rPr>
      </w:pPr>
    </w:p>
    <w:p w14:paraId="59C3013D" w14:textId="77777777" w:rsidR="008B0969" w:rsidRPr="009E35ED" w:rsidRDefault="00051345" w:rsidP="00074309">
      <w:pPr>
        <w:pStyle w:val="ListParagraph"/>
        <w:numPr>
          <w:ilvl w:val="0"/>
          <w:numId w:val="8"/>
        </w:numPr>
        <w:ind w:hanging="720"/>
        <w:rPr>
          <w:rFonts w:ascii="Arial" w:hAnsi="Arial" w:cs="Arial"/>
          <w:b/>
          <w:color w:val="000000" w:themeColor="text1"/>
          <w:sz w:val="22"/>
          <w:szCs w:val="22"/>
        </w:rPr>
      </w:pPr>
      <w:r w:rsidRPr="009E35ED">
        <w:rPr>
          <w:rFonts w:ascii="Arial" w:hAnsi="Arial" w:cs="Arial"/>
          <w:b/>
          <w:color w:val="000000" w:themeColor="text1"/>
          <w:sz w:val="22"/>
          <w:szCs w:val="22"/>
        </w:rPr>
        <w:t>Property and Equipment</w:t>
      </w:r>
    </w:p>
    <w:p w14:paraId="29135B27" w14:textId="77777777" w:rsidR="00572AF6" w:rsidRPr="009E35ED" w:rsidRDefault="00572AF6" w:rsidP="00803F8C">
      <w:pPr>
        <w:pStyle w:val="ListParagraph"/>
        <w:rPr>
          <w:rFonts w:ascii="Arial" w:hAnsi="Arial" w:cs="Arial"/>
          <w:b/>
          <w:color w:val="000000" w:themeColor="text1"/>
          <w:sz w:val="22"/>
          <w:szCs w:val="22"/>
        </w:rPr>
      </w:pPr>
    </w:p>
    <w:p w14:paraId="669CA069" w14:textId="77777777" w:rsidR="009117E9" w:rsidRPr="009E35ED" w:rsidRDefault="009117E9" w:rsidP="00803F8C">
      <w:pPr>
        <w:ind w:left="0"/>
        <w:rPr>
          <w:rFonts w:ascii="Arial" w:hAnsi="Arial" w:cs="Arial"/>
          <w:color w:val="000000" w:themeColor="text1"/>
          <w:sz w:val="22"/>
          <w:szCs w:val="22"/>
        </w:rPr>
      </w:pPr>
      <w:r w:rsidRPr="009E35ED">
        <w:rPr>
          <w:rFonts w:ascii="Arial" w:hAnsi="Arial" w:cs="Arial"/>
          <w:color w:val="000000" w:themeColor="text1"/>
          <w:sz w:val="22"/>
          <w:szCs w:val="22"/>
        </w:rPr>
        <w:t xml:space="preserve">Property and equipment are initially measured at cost.  The cost of an item of property and equipment comprises: </w:t>
      </w:r>
      <w:r w:rsidRPr="009E35ED">
        <w:rPr>
          <w:rFonts w:ascii="Arial" w:hAnsi="Arial" w:cs="Arial"/>
          <w:color w:val="000000" w:themeColor="text1"/>
          <w:sz w:val="22"/>
          <w:szCs w:val="22"/>
        </w:rPr>
        <w:tab/>
      </w:r>
    </w:p>
    <w:p w14:paraId="21C2D3A8" w14:textId="77777777" w:rsidR="009117E9" w:rsidRPr="009E35ED" w:rsidRDefault="009117E9" w:rsidP="00803F8C">
      <w:pPr>
        <w:ind w:firstLine="180"/>
        <w:rPr>
          <w:rFonts w:ascii="Arial" w:hAnsi="Arial" w:cs="Arial"/>
          <w:color w:val="000000" w:themeColor="text1"/>
          <w:sz w:val="22"/>
          <w:szCs w:val="22"/>
        </w:rPr>
      </w:pPr>
      <w:r w:rsidRPr="009E35ED">
        <w:rPr>
          <w:rFonts w:ascii="Arial" w:hAnsi="Arial" w:cs="Arial"/>
          <w:color w:val="000000" w:themeColor="text1"/>
          <w:sz w:val="22"/>
          <w:szCs w:val="22"/>
        </w:rPr>
        <w:tab/>
      </w:r>
    </w:p>
    <w:p w14:paraId="4A3EA301" w14:textId="77777777" w:rsidR="009117E9" w:rsidRPr="009E35ED" w:rsidRDefault="009117E9" w:rsidP="001C371F">
      <w:pPr>
        <w:numPr>
          <w:ilvl w:val="0"/>
          <w:numId w:val="22"/>
        </w:numPr>
        <w:rPr>
          <w:rFonts w:ascii="Arial" w:hAnsi="Arial" w:cs="Arial"/>
          <w:color w:val="000000" w:themeColor="text1"/>
          <w:sz w:val="22"/>
          <w:szCs w:val="22"/>
        </w:rPr>
      </w:pPr>
      <w:r w:rsidRPr="009E35ED">
        <w:rPr>
          <w:rFonts w:ascii="Arial" w:hAnsi="Arial" w:cs="Arial"/>
          <w:color w:val="000000" w:themeColor="text1"/>
          <w:sz w:val="22"/>
          <w:szCs w:val="22"/>
        </w:rPr>
        <w:t>its purchase price, including import duties and non-refundable purchase taxes, after deducting trade discounts and rebates;</w:t>
      </w:r>
      <w:r w:rsidRPr="009E35ED">
        <w:rPr>
          <w:rFonts w:ascii="Arial" w:hAnsi="Arial" w:cs="Arial"/>
          <w:color w:val="000000" w:themeColor="text1"/>
          <w:sz w:val="22"/>
          <w:szCs w:val="22"/>
        </w:rPr>
        <w:tab/>
      </w:r>
    </w:p>
    <w:p w14:paraId="6000486F" w14:textId="77777777" w:rsidR="009117E9" w:rsidRPr="009E35ED" w:rsidRDefault="009117E9" w:rsidP="001C371F">
      <w:pPr>
        <w:numPr>
          <w:ilvl w:val="0"/>
          <w:numId w:val="22"/>
        </w:numPr>
        <w:rPr>
          <w:rFonts w:ascii="Arial" w:hAnsi="Arial" w:cs="Arial"/>
          <w:color w:val="000000" w:themeColor="text1"/>
          <w:sz w:val="22"/>
          <w:szCs w:val="22"/>
        </w:rPr>
      </w:pPr>
      <w:r w:rsidRPr="009E35ED">
        <w:rPr>
          <w:rFonts w:ascii="Arial" w:hAnsi="Arial" w:cs="Arial"/>
          <w:color w:val="000000" w:themeColor="text1"/>
          <w:sz w:val="22"/>
          <w:szCs w:val="22"/>
        </w:rPr>
        <w:t xml:space="preserve">any costs directly attributable to bringing the asset to the location and condition necessary for it to be capable of operating in the manner intended by management; and </w:t>
      </w:r>
    </w:p>
    <w:p w14:paraId="05E7B9D2" w14:textId="77777777" w:rsidR="009117E9" w:rsidRPr="009E35ED" w:rsidRDefault="009117E9" w:rsidP="001C371F">
      <w:pPr>
        <w:numPr>
          <w:ilvl w:val="0"/>
          <w:numId w:val="22"/>
        </w:numPr>
        <w:rPr>
          <w:rFonts w:ascii="Arial" w:hAnsi="Arial" w:cs="Arial"/>
          <w:color w:val="000000" w:themeColor="text1"/>
          <w:sz w:val="22"/>
          <w:szCs w:val="22"/>
        </w:rPr>
      </w:pPr>
      <w:r w:rsidRPr="009E35ED">
        <w:rPr>
          <w:rFonts w:ascii="Arial" w:hAnsi="Arial" w:cs="Arial"/>
          <w:color w:val="000000" w:themeColor="text1"/>
          <w:sz w:val="22"/>
          <w:szCs w:val="22"/>
        </w:rPr>
        <w:t>the initial estimate of the future costs of dismantling and removing the item and restoring the site on which it is located, the obligation for which an entity incurs either when the item is acquired or as a consequence of having used the item during a particular period for purposes other than to produce inventories during that period.</w:t>
      </w:r>
    </w:p>
    <w:p w14:paraId="25D06B8E" w14:textId="77777777" w:rsidR="009117E9" w:rsidRPr="009E35ED" w:rsidRDefault="009117E9" w:rsidP="00803F8C">
      <w:pPr>
        <w:ind w:left="1440" w:hanging="720"/>
        <w:rPr>
          <w:rFonts w:ascii="Arial" w:hAnsi="Arial" w:cs="Arial"/>
          <w:color w:val="000000" w:themeColor="text1"/>
          <w:sz w:val="22"/>
          <w:szCs w:val="22"/>
        </w:rPr>
      </w:pPr>
    </w:p>
    <w:p w14:paraId="47BAFE40" w14:textId="31C1F91A" w:rsidR="009117E9" w:rsidRPr="009E35ED" w:rsidRDefault="009117E9" w:rsidP="00803F8C">
      <w:pPr>
        <w:ind w:left="0"/>
        <w:rPr>
          <w:rFonts w:ascii="Arial" w:hAnsi="Arial" w:cs="Arial"/>
          <w:color w:val="000000" w:themeColor="text1"/>
          <w:sz w:val="22"/>
          <w:szCs w:val="22"/>
        </w:rPr>
      </w:pPr>
      <w:r w:rsidRPr="009E35ED">
        <w:rPr>
          <w:rFonts w:ascii="Arial" w:hAnsi="Arial" w:cs="Arial"/>
          <w:color w:val="000000" w:themeColor="text1"/>
          <w:sz w:val="22"/>
          <w:szCs w:val="22"/>
        </w:rPr>
        <w:t>At the end of each reporting period, items of property and equipment are measured at cost less any subsequent accumulated depreciation and impairment losses</w:t>
      </w:r>
      <w:r w:rsidR="004D1403" w:rsidRPr="009E35ED">
        <w:rPr>
          <w:rFonts w:ascii="Arial" w:hAnsi="Arial" w:cs="Arial"/>
          <w:color w:val="000000" w:themeColor="text1"/>
          <w:sz w:val="22"/>
          <w:szCs w:val="22"/>
        </w:rPr>
        <w:t>.</w:t>
      </w:r>
    </w:p>
    <w:p w14:paraId="6BB8CB05" w14:textId="77777777" w:rsidR="009117E9" w:rsidRPr="009E35ED" w:rsidRDefault="009117E9" w:rsidP="00803F8C">
      <w:pPr>
        <w:rPr>
          <w:rFonts w:ascii="Arial" w:hAnsi="Arial" w:cs="Arial"/>
          <w:color w:val="000000" w:themeColor="text1"/>
          <w:sz w:val="22"/>
          <w:szCs w:val="22"/>
        </w:rPr>
      </w:pPr>
    </w:p>
    <w:p w14:paraId="2B515CA1" w14:textId="3C7E434D" w:rsidR="00051345" w:rsidRPr="009E35ED" w:rsidRDefault="009117E9" w:rsidP="00803F8C">
      <w:pPr>
        <w:ind w:left="0"/>
        <w:rPr>
          <w:rFonts w:ascii="Arial" w:hAnsi="Arial" w:cs="Arial"/>
          <w:color w:val="000000" w:themeColor="text1"/>
          <w:sz w:val="22"/>
          <w:szCs w:val="22"/>
        </w:rPr>
      </w:pPr>
      <w:r w:rsidRPr="009E35ED">
        <w:rPr>
          <w:rFonts w:ascii="Arial" w:hAnsi="Arial" w:cs="Arial"/>
          <w:color w:val="000000" w:themeColor="text1"/>
          <w:sz w:val="22"/>
          <w:szCs w:val="22"/>
        </w:rPr>
        <w:t>Properties in the course of construction are carried at cost, less any recognized impairment loss.  Cost includes professional fees and for qualifying assets, borrowing costs capitalized in accordance with PCSO’s accounting policy.  Depreciation of these assets, on the same basis as other property assets, commences at the time the assets become ready for their intended use.</w:t>
      </w:r>
    </w:p>
    <w:p w14:paraId="6B81B034" w14:textId="77777777" w:rsidR="00991054" w:rsidRDefault="00991054" w:rsidP="00803F8C">
      <w:pPr>
        <w:ind w:left="0"/>
        <w:rPr>
          <w:rFonts w:ascii="Arial" w:hAnsi="Arial" w:cs="Arial"/>
          <w:color w:val="000000" w:themeColor="text1"/>
          <w:sz w:val="22"/>
          <w:szCs w:val="22"/>
        </w:rPr>
      </w:pPr>
    </w:p>
    <w:p w14:paraId="65C50FE5" w14:textId="77777777" w:rsidR="00976F4E" w:rsidRDefault="00976F4E" w:rsidP="00803F8C">
      <w:pPr>
        <w:ind w:left="0"/>
        <w:rPr>
          <w:rFonts w:ascii="Arial" w:hAnsi="Arial" w:cs="Arial"/>
          <w:color w:val="000000" w:themeColor="text1"/>
          <w:sz w:val="22"/>
          <w:szCs w:val="22"/>
        </w:rPr>
      </w:pPr>
    </w:p>
    <w:p w14:paraId="29131CFD" w14:textId="77777777" w:rsidR="009117E9" w:rsidRPr="009E35ED" w:rsidRDefault="009117E9" w:rsidP="00074309">
      <w:pPr>
        <w:pStyle w:val="ListParagraph"/>
        <w:numPr>
          <w:ilvl w:val="0"/>
          <w:numId w:val="8"/>
        </w:numPr>
        <w:ind w:hanging="720"/>
        <w:rPr>
          <w:rFonts w:ascii="Arial" w:hAnsi="Arial" w:cs="Arial"/>
          <w:b/>
          <w:color w:val="000000" w:themeColor="text1"/>
          <w:sz w:val="22"/>
          <w:szCs w:val="22"/>
        </w:rPr>
      </w:pPr>
      <w:r w:rsidRPr="009E35ED">
        <w:rPr>
          <w:rFonts w:ascii="Arial" w:hAnsi="Arial" w:cs="Arial"/>
          <w:b/>
          <w:color w:val="000000" w:themeColor="text1"/>
          <w:sz w:val="22"/>
          <w:szCs w:val="22"/>
        </w:rPr>
        <w:t>Intangible Assets</w:t>
      </w:r>
    </w:p>
    <w:p w14:paraId="5D4BD1C7" w14:textId="77777777" w:rsidR="009117E9" w:rsidRPr="009E35ED" w:rsidRDefault="009117E9" w:rsidP="00803F8C">
      <w:pPr>
        <w:ind w:left="0"/>
        <w:rPr>
          <w:rFonts w:ascii="Arial" w:hAnsi="Arial" w:cs="Arial"/>
          <w:b/>
          <w:color w:val="000000" w:themeColor="text1"/>
          <w:sz w:val="22"/>
          <w:szCs w:val="22"/>
        </w:rPr>
      </w:pPr>
    </w:p>
    <w:p w14:paraId="40BB9E27" w14:textId="77777777" w:rsidR="009117E9" w:rsidRPr="009E35ED" w:rsidRDefault="009117E9" w:rsidP="00803F8C">
      <w:pPr>
        <w:ind w:left="0"/>
        <w:rPr>
          <w:rFonts w:ascii="Arial" w:eastAsia="Calibri" w:hAnsi="Arial" w:cs="Arial"/>
          <w:color w:val="000000" w:themeColor="text1"/>
          <w:sz w:val="22"/>
          <w:szCs w:val="22"/>
        </w:rPr>
      </w:pPr>
      <w:r w:rsidRPr="009E35ED">
        <w:rPr>
          <w:rFonts w:ascii="Arial" w:hAnsi="Arial" w:cs="Arial"/>
          <w:color w:val="000000" w:themeColor="text1"/>
          <w:sz w:val="22"/>
          <w:szCs w:val="22"/>
        </w:rPr>
        <w:t xml:space="preserve">Intangible Assets include computer software that are not integral part of the computer. </w:t>
      </w:r>
      <w:r w:rsidRPr="009E35ED">
        <w:rPr>
          <w:rFonts w:ascii="Arial" w:eastAsia="Calibri" w:hAnsi="Arial" w:cs="Arial"/>
          <w:color w:val="000000" w:themeColor="text1"/>
          <w:sz w:val="22"/>
          <w:szCs w:val="22"/>
        </w:rPr>
        <w:t xml:space="preserve">These are initially recorded at cost and are subsequently measured at cost less accumulated amortization and any accumulated impairment loss. These are amortized over estimated useful life of 1 </w:t>
      </w:r>
      <w:r w:rsidR="001B4062" w:rsidRPr="009E35ED">
        <w:rPr>
          <w:rFonts w:ascii="Arial" w:eastAsia="Calibri" w:hAnsi="Arial" w:cs="Arial"/>
          <w:color w:val="000000" w:themeColor="text1"/>
          <w:sz w:val="22"/>
          <w:szCs w:val="22"/>
        </w:rPr>
        <w:t xml:space="preserve">&amp; 3 years </w:t>
      </w:r>
      <w:r w:rsidRPr="009E35ED">
        <w:rPr>
          <w:rFonts w:ascii="Arial" w:eastAsia="Calibri" w:hAnsi="Arial" w:cs="Arial"/>
          <w:color w:val="000000" w:themeColor="text1"/>
          <w:sz w:val="22"/>
          <w:szCs w:val="22"/>
        </w:rPr>
        <w:t>using the straight–line method. If there is an indication that there has been a significant change in amortization rate, useful life or residual value of an intangible asset, the amortization is revised prospectively to reflect the new expectations.</w:t>
      </w:r>
    </w:p>
    <w:p w14:paraId="2AE9DEE2" w14:textId="2EC94ED5" w:rsidR="00794AA8" w:rsidRPr="009E35ED" w:rsidRDefault="00794AA8" w:rsidP="00803F8C">
      <w:pPr>
        <w:ind w:left="0"/>
        <w:rPr>
          <w:rFonts w:ascii="Arial" w:hAnsi="Arial" w:cs="Arial"/>
          <w:color w:val="000000" w:themeColor="text1"/>
          <w:sz w:val="22"/>
          <w:szCs w:val="22"/>
        </w:rPr>
      </w:pPr>
    </w:p>
    <w:p w14:paraId="6FF9993E" w14:textId="372A98D1" w:rsidR="0011681F" w:rsidRPr="009E35ED" w:rsidRDefault="0011681F" w:rsidP="00074309">
      <w:pPr>
        <w:pStyle w:val="ListParagraph"/>
        <w:numPr>
          <w:ilvl w:val="0"/>
          <w:numId w:val="8"/>
        </w:numPr>
        <w:ind w:hanging="720"/>
        <w:rPr>
          <w:rFonts w:ascii="Arial" w:hAnsi="Arial" w:cs="Arial"/>
          <w:b/>
          <w:color w:val="000000" w:themeColor="text1"/>
          <w:sz w:val="22"/>
          <w:szCs w:val="22"/>
        </w:rPr>
      </w:pPr>
      <w:r w:rsidRPr="009E35ED">
        <w:rPr>
          <w:rFonts w:ascii="Arial" w:hAnsi="Arial" w:cs="Arial"/>
          <w:b/>
          <w:color w:val="000000" w:themeColor="text1"/>
          <w:sz w:val="22"/>
          <w:szCs w:val="22"/>
        </w:rPr>
        <w:t>Impairment of Non-</w:t>
      </w:r>
      <w:r w:rsidR="00DC10B4" w:rsidRPr="009E35ED">
        <w:rPr>
          <w:rFonts w:ascii="Arial" w:hAnsi="Arial" w:cs="Arial"/>
          <w:b/>
          <w:color w:val="000000" w:themeColor="text1"/>
          <w:sz w:val="22"/>
          <w:szCs w:val="22"/>
        </w:rPr>
        <w:t>Financial</w:t>
      </w:r>
      <w:r w:rsidRPr="009E35ED">
        <w:rPr>
          <w:rFonts w:ascii="Arial" w:hAnsi="Arial" w:cs="Arial"/>
          <w:b/>
          <w:color w:val="000000" w:themeColor="text1"/>
          <w:sz w:val="22"/>
          <w:szCs w:val="22"/>
        </w:rPr>
        <w:t xml:space="preserve"> Assets</w:t>
      </w:r>
    </w:p>
    <w:p w14:paraId="5578C6D9" w14:textId="77777777" w:rsidR="0011681F" w:rsidRPr="009E35ED" w:rsidRDefault="0011681F" w:rsidP="00803F8C">
      <w:pPr>
        <w:ind w:left="0"/>
        <w:rPr>
          <w:rFonts w:ascii="Arial" w:hAnsi="Arial" w:cs="Arial"/>
          <w:color w:val="000000" w:themeColor="text1"/>
          <w:sz w:val="22"/>
          <w:szCs w:val="22"/>
        </w:rPr>
      </w:pPr>
    </w:p>
    <w:p w14:paraId="15715F42" w14:textId="77777777" w:rsidR="001B4062" w:rsidRPr="009E35ED" w:rsidRDefault="001B4062" w:rsidP="00803F8C">
      <w:pPr>
        <w:pStyle w:val="a-Right-Col-Reg"/>
        <w:spacing w:after="0" w:line="240" w:lineRule="auto"/>
        <w:jc w:val="both"/>
        <w:rPr>
          <w:rFonts w:cs="Arial"/>
          <w:color w:val="000000" w:themeColor="text1"/>
          <w:sz w:val="22"/>
          <w:szCs w:val="22"/>
          <w:lang w:val="en-US"/>
        </w:rPr>
      </w:pPr>
      <w:r w:rsidRPr="009E35ED">
        <w:rPr>
          <w:rFonts w:cs="Arial"/>
          <w:color w:val="000000" w:themeColor="text1"/>
          <w:sz w:val="22"/>
          <w:szCs w:val="22"/>
          <w:lang w:val="en-PH"/>
        </w:rPr>
        <w:t>At each reporting date, non-financial assets are reviewed to determine whether there is any indication that those assets have suffered an impairment loss. If there is an indication of possible impairment, the recoverable amount of any affected asset (or group of related assets) is estimated and compared with its carrying amount. If estimated recoverable amount is lower, the carrying amount is reduced to its estimated recoverable amount, and an impairment loss is recognized immediately in profit and loss.</w:t>
      </w:r>
    </w:p>
    <w:p w14:paraId="39601416" w14:textId="77777777" w:rsidR="001B4062" w:rsidRPr="009E35ED" w:rsidRDefault="001B4062" w:rsidP="00803F8C">
      <w:pPr>
        <w:pStyle w:val="a-Right-Col-Reg"/>
        <w:spacing w:after="0" w:line="240" w:lineRule="auto"/>
        <w:jc w:val="both"/>
        <w:rPr>
          <w:rFonts w:cs="Arial"/>
          <w:color w:val="000000" w:themeColor="text1"/>
          <w:sz w:val="22"/>
          <w:szCs w:val="22"/>
        </w:rPr>
      </w:pPr>
    </w:p>
    <w:p w14:paraId="35EF50CE" w14:textId="77777777" w:rsidR="001B4062" w:rsidRPr="009E35ED" w:rsidRDefault="001B4062" w:rsidP="00803F8C">
      <w:pPr>
        <w:pStyle w:val="a-Right-Col-Reg"/>
        <w:spacing w:after="0" w:line="240" w:lineRule="auto"/>
        <w:jc w:val="both"/>
        <w:rPr>
          <w:rFonts w:cs="Arial"/>
          <w:color w:val="000000" w:themeColor="text1"/>
          <w:sz w:val="22"/>
          <w:szCs w:val="22"/>
          <w:lang w:val="en-PH"/>
        </w:rPr>
      </w:pPr>
      <w:r w:rsidRPr="009E35ED">
        <w:rPr>
          <w:rFonts w:cs="Arial"/>
          <w:color w:val="000000" w:themeColor="text1"/>
          <w:sz w:val="22"/>
          <w:szCs w:val="22"/>
          <w:lang w:val="en-PH"/>
        </w:rPr>
        <w:t>If an impairment loss subsequently reverses, the carrying amount of the asset is increased to the revised estimate of its recoverable amount, but not in excess of the amount that would have been determined had no impairment loss been recognized for the asset in prior years. A reversal of an impairment loss is recognized immediately in profit or loss.</w:t>
      </w:r>
    </w:p>
    <w:p w14:paraId="7AFB81A0" w14:textId="60588D84" w:rsidR="003158E0" w:rsidRPr="009E35ED" w:rsidRDefault="003158E0" w:rsidP="00803F8C">
      <w:pPr>
        <w:pStyle w:val="a-Right-Col-Reg"/>
        <w:spacing w:after="0" w:line="240" w:lineRule="auto"/>
        <w:jc w:val="both"/>
        <w:rPr>
          <w:rFonts w:cs="Arial"/>
          <w:color w:val="000000" w:themeColor="text1"/>
          <w:sz w:val="22"/>
          <w:szCs w:val="22"/>
          <w:lang w:val="en-PH"/>
        </w:rPr>
      </w:pPr>
    </w:p>
    <w:p w14:paraId="2EFDBEA2" w14:textId="242677DF" w:rsidR="0011681F" w:rsidRPr="009E35ED" w:rsidRDefault="0011681F" w:rsidP="00803F8C">
      <w:pPr>
        <w:pStyle w:val="ListParagraph"/>
        <w:ind w:left="0"/>
        <w:rPr>
          <w:rFonts w:ascii="Arial" w:hAnsi="Arial" w:cs="Arial"/>
          <w:i/>
          <w:color w:val="000000" w:themeColor="text1"/>
          <w:sz w:val="22"/>
          <w:szCs w:val="22"/>
        </w:rPr>
      </w:pPr>
      <w:r w:rsidRPr="009E35ED">
        <w:rPr>
          <w:rFonts w:ascii="Arial" w:hAnsi="Arial" w:cs="Arial"/>
          <w:i/>
          <w:color w:val="000000" w:themeColor="text1"/>
          <w:sz w:val="22"/>
          <w:szCs w:val="22"/>
        </w:rPr>
        <w:t>Derecognition of Non-financial assets</w:t>
      </w:r>
    </w:p>
    <w:p w14:paraId="57871109" w14:textId="77777777" w:rsidR="0011681F" w:rsidRPr="009E35ED" w:rsidRDefault="0011681F" w:rsidP="00803F8C">
      <w:pPr>
        <w:pStyle w:val="ListParagraph"/>
        <w:ind w:left="0"/>
        <w:rPr>
          <w:rFonts w:ascii="Arial" w:hAnsi="Arial" w:cs="Arial"/>
          <w:i/>
          <w:color w:val="000000" w:themeColor="text1"/>
          <w:sz w:val="22"/>
          <w:szCs w:val="22"/>
        </w:rPr>
      </w:pPr>
    </w:p>
    <w:p w14:paraId="73A56B58" w14:textId="77777777" w:rsidR="0011681F" w:rsidRPr="009E35ED" w:rsidRDefault="001B4062" w:rsidP="00803F8C">
      <w:pPr>
        <w:ind w:left="0"/>
        <w:rPr>
          <w:rFonts w:ascii="Arial" w:hAnsi="Arial" w:cs="Arial"/>
          <w:color w:val="000000" w:themeColor="text1"/>
          <w:sz w:val="22"/>
          <w:szCs w:val="22"/>
        </w:rPr>
      </w:pPr>
      <w:r w:rsidRPr="009E35ED">
        <w:rPr>
          <w:rFonts w:ascii="Arial" w:hAnsi="Arial" w:cs="Arial"/>
          <w:color w:val="000000" w:themeColor="text1"/>
          <w:sz w:val="22"/>
          <w:szCs w:val="22"/>
          <w:lang w:val="en-PH"/>
        </w:rPr>
        <w:t>Items of non-financial assets are derecognized when these assets are disposed of or when no future economic benefits are expected from these assets. Any difference between the carrying value of the asset derecognized and net proceeds from derecognition is recognized in profit or loss.</w:t>
      </w:r>
    </w:p>
    <w:p w14:paraId="3A9374C8" w14:textId="42DEC403" w:rsidR="00137CD9" w:rsidRPr="009E35ED" w:rsidRDefault="00137CD9" w:rsidP="00803F8C">
      <w:pPr>
        <w:ind w:left="0"/>
        <w:rPr>
          <w:rFonts w:ascii="Arial" w:hAnsi="Arial" w:cs="Arial"/>
          <w:b/>
          <w:color w:val="000000" w:themeColor="text1"/>
          <w:sz w:val="22"/>
          <w:szCs w:val="22"/>
        </w:rPr>
      </w:pPr>
    </w:p>
    <w:p w14:paraId="18C7BA76" w14:textId="77777777" w:rsidR="0011681F" w:rsidRPr="009E35ED" w:rsidRDefault="0011681F" w:rsidP="00074309">
      <w:pPr>
        <w:pStyle w:val="ListParagraph"/>
        <w:numPr>
          <w:ilvl w:val="0"/>
          <w:numId w:val="8"/>
        </w:numPr>
        <w:ind w:hanging="720"/>
        <w:rPr>
          <w:rFonts w:ascii="Arial" w:hAnsi="Arial" w:cs="Arial"/>
          <w:b/>
          <w:color w:val="000000" w:themeColor="text1"/>
          <w:sz w:val="22"/>
          <w:szCs w:val="22"/>
        </w:rPr>
      </w:pPr>
      <w:r w:rsidRPr="009E35ED">
        <w:rPr>
          <w:rFonts w:ascii="Arial" w:hAnsi="Arial" w:cs="Arial"/>
          <w:b/>
          <w:color w:val="000000" w:themeColor="text1"/>
          <w:sz w:val="22"/>
          <w:szCs w:val="22"/>
        </w:rPr>
        <w:t>Related Parties</w:t>
      </w:r>
    </w:p>
    <w:p w14:paraId="4148FA90" w14:textId="77777777" w:rsidR="0011681F" w:rsidRPr="009E35ED" w:rsidRDefault="0011681F" w:rsidP="00803F8C">
      <w:pPr>
        <w:ind w:left="0"/>
        <w:rPr>
          <w:rFonts w:ascii="Arial" w:hAnsi="Arial" w:cs="Arial"/>
          <w:b/>
          <w:color w:val="000000" w:themeColor="text1"/>
          <w:sz w:val="22"/>
          <w:szCs w:val="22"/>
        </w:rPr>
      </w:pPr>
    </w:p>
    <w:p w14:paraId="27C13AE9" w14:textId="78356303" w:rsidR="0011681F" w:rsidRPr="009E35ED" w:rsidRDefault="0011681F" w:rsidP="00803F8C">
      <w:pPr>
        <w:ind w:left="0"/>
        <w:rPr>
          <w:rFonts w:ascii="Arial" w:hAnsi="Arial" w:cs="Arial"/>
          <w:color w:val="000000" w:themeColor="text1"/>
          <w:sz w:val="22"/>
          <w:szCs w:val="22"/>
        </w:rPr>
      </w:pPr>
      <w:r w:rsidRPr="009E35ED">
        <w:rPr>
          <w:rFonts w:ascii="Arial" w:hAnsi="Arial" w:cs="Arial"/>
          <w:color w:val="000000" w:themeColor="text1"/>
          <w:sz w:val="22"/>
          <w:szCs w:val="22"/>
        </w:rPr>
        <w:t xml:space="preserve">Related party relationship </w:t>
      </w:r>
      <w:r w:rsidR="00DC10B4" w:rsidRPr="009E35ED">
        <w:rPr>
          <w:rFonts w:ascii="Arial" w:hAnsi="Arial" w:cs="Arial"/>
          <w:color w:val="000000" w:themeColor="text1"/>
          <w:sz w:val="22"/>
          <w:szCs w:val="22"/>
        </w:rPr>
        <w:t>exists</w:t>
      </w:r>
      <w:r w:rsidRPr="009E35ED">
        <w:rPr>
          <w:rFonts w:ascii="Arial" w:hAnsi="Arial" w:cs="Arial"/>
          <w:color w:val="000000" w:themeColor="text1"/>
          <w:sz w:val="22"/>
          <w:szCs w:val="22"/>
        </w:rPr>
        <w:t xml:space="preserve"> when one party has the ability to control, directly, or indirectly through one or more intermediaries, the other party or exercises significant influence over the other party in making financial and operating decisions. Such relationships also exist between and/or among the reporting enterprises and its key management personnel, directors, or its shareholders. In considering each possible related party relationship, attention is directed to the substance of the relationship, and not merely the legal form.</w:t>
      </w:r>
    </w:p>
    <w:p w14:paraId="3AFDB2E5" w14:textId="77777777" w:rsidR="0011681F" w:rsidRPr="009E35ED" w:rsidRDefault="0011681F" w:rsidP="00803F8C">
      <w:pPr>
        <w:ind w:left="0"/>
        <w:rPr>
          <w:rFonts w:ascii="Arial" w:hAnsi="Arial" w:cs="Arial"/>
          <w:b/>
          <w:color w:val="000000" w:themeColor="text1"/>
          <w:sz w:val="22"/>
          <w:szCs w:val="22"/>
        </w:rPr>
      </w:pPr>
    </w:p>
    <w:p w14:paraId="31C4C226" w14:textId="77777777" w:rsidR="0011681F" w:rsidRPr="009E35ED" w:rsidRDefault="0011681F" w:rsidP="00B90388">
      <w:pPr>
        <w:pStyle w:val="ListParagraph"/>
        <w:keepNext/>
        <w:keepLines/>
        <w:numPr>
          <w:ilvl w:val="0"/>
          <w:numId w:val="8"/>
        </w:numPr>
        <w:ind w:hanging="720"/>
        <w:rPr>
          <w:rFonts w:ascii="Arial" w:hAnsi="Arial" w:cs="Arial"/>
          <w:b/>
          <w:color w:val="000000" w:themeColor="text1"/>
          <w:sz w:val="22"/>
          <w:szCs w:val="22"/>
        </w:rPr>
      </w:pPr>
      <w:r w:rsidRPr="009E35ED">
        <w:rPr>
          <w:rFonts w:ascii="Arial" w:hAnsi="Arial" w:cs="Arial"/>
          <w:b/>
          <w:color w:val="000000" w:themeColor="text1"/>
          <w:sz w:val="22"/>
          <w:szCs w:val="22"/>
        </w:rPr>
        <w:t>Revenue Recognition</w:t>
      </w:r>
    </w:p>
    <w:p w14:paraId="6459062B" w14:textId="77777777" w:rsidR="0011681F" w:rsidRPr="009E35ED" w:rsidRDefault="0011681F" w:rsidP="00B90388">
      <w:pPr>
        <w:keepNext/>
        <w:keepLines/>
        <w:ind w:left="0"/>
        <w:rPr>
          <w:rFonts w:ascii="Arial" w:hAnsi="Arial" w:cs="Arial"/>
          <w:b/>
          <w:color w:val="000000" w:themeColor="text1"/>
          <w:sz w:val="22"/>
          <w:szCs w:val="22"/>
        </w:rPr>
      </w:pPr>
    </w:p>
    <w:p w14:paraId="464E7BB5" w14:textId="77777777" w:rsidR="00FC44EB" w:rsidRPr="009E35ED" w:rsidRDefault="00C6254F" w:rsidP="00B90388">
      <w:pPr>
        <w:keepNext/>
        <w:keepLines/>
        <w:ind w:left="0"/>
        <w:rPr>
          <w:rFonts w:ascii="Arial" w:eastAsia="Batang" w:hAnsi="Arial" w:cs="Arial"/>
          <w:b/>
          <w:i/>
          <w:color w:val="000000" w:themeColor="text1"/>
          <w:sz w:val="22"/>
          <w:szCs w:val="22"/>
        </w:rPr>
      </w:pPr>
      <w:r w:rsidRPr="009E35ED">
        <w:rPr>
          <w:rFonts w:ascii="Arial" w:eastAsia="Batang" w:hAnsi="Arial" w:cs="Arial"/>
          <w:b/>
          <w:i/>
          <w:color w:val="000000" w:themeColor="text1"/>
          <w:sz w:val="22"/>
          <w:szCs w:val="22"/>
        </w:rPr>
        <w:t>Revenue</w:t>
      </w:r>
    </w:p>
    <w:p w14:paraId="4BECB1A9" w14:textId="77777777" w:rsidR="00E8577C" w:rsidRPr="009E35ED" w:rsidRDefault="00E8577C" w:rsidP="00B90388">
      <w:pPr>
        <w:keepNext/>
        <w:keepLines/>
        <w:ind w:left="0"/>
        <w:rPr>
          <w:rFonts w:ascii="Arial" w:eastAsia="Batang" w:hAnsi="Arial" w:cs="Arial"/>
          <w:color w:val="000000" w:themeColor="text1"/>
          <w:sz w:val="22"/>
          <w:szCs w:val="22"/>
        </w:rPr>
      </w:pPr>
    </w:p>
    <w:p w14:paraId="5268713E" w14:textId="6CC08CDB" w:rsidR="00FC44EB" w:rsidRPr="009E35ED" w:rsidRDefault="00FC44EB" w:rsidP="00B90388">
      <w:pPr>
        <w:keepNext/>
        <w:keepLines/>
        <w:ind w:left="0"/>
        <w:rPr>
          <w:rFonts w:ascii="Arial" w:eastAsia="Batang" w:hAnsi="Arial" w:cs="Arial"/>
          <w:i/>
          <w:color w:val="000000" w:themeColor="text1"/>
          <w:sz w:val="22"/>
          <w:szCs w:val="22"/>
        </w:rPr>
      </w:pPr>
      <w:r w:rsidRPr="009E35ED">
        <w:rPr>
          <w:rFonts w:ascii="Arial" w:eastAsia="Batang" w:hAnsi="Arial" w:cs="Arial"/>
          <w:color w:val="000000" w:themeColor="text1"/>
          <w:sz w:val="22"/>
          <w:szCs w:val="22"/>
        </w:rPr>
        <w:t xml:space="preserve">Prior to adoption of PFRS 15, revenue is recognized to the extent that the revenue can be reliably measured, it is probable that the economic benefits will flow to the </w:t>
      </w:r>
      <w:r w:rsidR="0051373D" w:rsidRPr="009E35ED">
        <w:rPr>
          <w:rFonts w:ascii="Arial" w:eastAsia="Batang" w:hAnsi="Arial" w:cs="Arial"/>
          <w:color w:val="000000" w:themeColor="text1"/>
          <w:sz w:val="22"/>
          <w:szCs w:val="22"/>
        </w:rPr>
        <w:t>Agency</w:t>
      </w:r>
      <w:r w:rsidRPr="009E35ED">
        <w:rPr>
          <w:rFonts w:ascii="Arial" w:eastAsia="Batang" w:hAnsi="Arial" w:cs="Arial"/>
          <w:color w:val="000000" w:themeColor="text1"/>
          <w:sz w:val="22"/>
          <w:szCs w:val="22"/>
        </w:rPr>
        <w:t xml:space="preserve">, and the revenue incurred or to be incurred can be measured reliably. The following specific recognition criteria must also be met before revenue is recognized. </w:t>
      </w:r>
    </w:p>
    <w:p w14:paraId="0BCD30FE" w14:textId="77777777" w:rsidR="00FC44EB" w:rsidRPr="009E35ED" w:rsidRDefault="00FC44EB" w:rsidP="00FC44EB">
      <w:pPr>
        <w:ind w:left="0"/>
        <w:rPr>
          <w:rFonts w:ascii="Arial" w:eastAsia="Batang" w:hAnsi="Arial" w:cs="Arial"/>
          <w:color w:val="000000" w:themeColor="text1"/>
          <w:sz w:val="22"/>
          <w:szCs w:val="22"/>
        </w:rPr>
      </w:pPr>
    </w:p>
    <w:p w14:paraId="59DD2F1A" w14:textId="44175DC4" w:rsidR="00FC44EB" w:rsidRPr="009E35ED" w:rsidRDefault="00FC44EB" w:rsidP="00FC44EB">
      <w:pPr>
        <w:ind w:left="0"/>
        <w:rPr>
          <w:rFonts w:ascii="Arial" w:eastAsia="Batang" w:hAnsi="Arial" w:cs="Arial"/>
          <w:color w:val="000000" w:themeColor="text1"/>
          <w:sz w:val="22"/>
          <w:szCs w:val="22"/>
        </w:rPr>
      </w:pPr>
      <w:r w:rsidRPr="009E35ED">
        <w:rPr>
          <w:rFonts w:ascii="Arial" w:eastAsia="Batang" w:hAnsi="Arial" w:cs="Arial"/>
          <w:color w:val="000000" w:themeColor="text1"/>
          <w:sz w:val="22"/>
          <w:szCs w:val="22"/>
        </w:rPr>
        <w:t xml:space="preserve">Upon adoption of PFRS 15, revenue is recognized to depict the transfer of promised goods or services to customers in an amount that reflects the consideration to which the </w:t>
      </w:r>
      <w:r w:rsidR="0051373D" w:rsidRPr="009E35ED">
        <w:rPr>
          <w:rFonts w:ascii="Arial" w:eastAsia="Batang" w:hAnsi="Arial" w:cs="Arial"/>
          <w:color w:val="000000" w:themeColor="text1"/>
          <w:sz w:val="22"/>
          <w:szCs w:val="22"/>
        </w:rPr>
        <w:t>Agency</w:t>
      </w:r>
      <w:r w:rsidRPr="009E35ED">
        <w:rPr>
          <w:rFonts w:ascii="Arial" w:eastAsia="Batang" w:hAnsi="Arial" w:cs="Arial"/>
          <w:color w:val="000000" w:themeColor="text1"/>
          <w:sz w:val="22"/>
          <w:szCs w:val="22"/>
        </w:rPr>
        <w:t xml:space="preserve"> expects to be entitled in exchange for those goods or services based on a five-step model:</w:t>
      </w:r>
    </w:p>
    <w:p w14:paraId="2962FE48" w14:textId="77777777" w:rsidR="00DD258B" w:rsidRPr="009E35ED" w:rsidRDefault="00DD258B" w:rsidP="00FC44EB">
      <w:pPr>
        <w:ind w:left="0"/>
        <w:rPr>
          <w:rFonts w:ascii="Arial" w:eastAsia="Batang" w:hAnsi="Arial" w:cs="Arial"/>
          <w:color w:val="000000" w:themeColor="text1"/>
          <w:sz w:val="22"/>
          <w:szCs w:val="22"/>
        </w:rPr>
      </w:pPr>
    </w:p>
    <w:p w14:paraId="5AE94967" w14:textId="77777777" w:rsidR="00FC44EB" w:rsidRPr="009E35ED" w:rsidRDefault="00FC44EB" w:rsidP="001C371F">
      <w:pPr>
        <w:numPr>
          <w:ilvl w:val="0"/>
          <w:numId w:val="30"/>
        </w:numPr>
        <w:rPr>
          <w:rFonts w:ascii="Arial" w:eastAsia="Batang" w:hAnsi="Arial" w:cs="Arial"/>
          <w:color w:val="000000" w:themeColor="text1"/>
          <w:sz w:val="22"/>
          <w:szCs w:val="22"/>
          <w:lang w:val="en-PH"/>
        </w:rPr>
      </w:pPr>
      <w:r w:rsidRPr="009E35ED">
        <w:rPr>
          <w:rFonts w:ascii="Arial" w:eastAsia="Batang" w:hAnsi="Arial" w:cs="Arial"/>
          <w:color w:val="000000" w:themeColor="text1"/>
          <w:sz w:val="22"/>
          <w:szCs w:val="22"/>
          <w:lang w:val="en-PH"/>
        </w:rPr>
        <w:t>Identify the contract(s) with a customer </w:t>
      </w:r>
    </w:p>
    <w:p w14:paraId="42B1D1C7" w14:textId="77777777" w:rsidR="00FC44EB" w:rsidRPr="009E35ED" w:rsidRDefault="00FC44EB" w:rsidP="001C371F">
      <w:pPr>
        <w:numPr>
          <w:ilvl w:val="0"/>
          <w:numId w:val="30"/>
        </w:numPr>
        <w:rPr>
          <w:rFonts w:ascii="Arial" w:eastAsia="Batang" w:hAnsi="Arial" w:cs="Arial"/>
          <w:color w:val="000000" w:themeColor="text1"/>
          <w:sz w:val="22"/>
          <w:szCs w:val="22"/>
          <w:lang w:val="en-PH"/>
        </w:rPr>
      </w:pPr>
      <w:r w:rsidRPr="009E35ED">
        <w:rPr>
          <w:rFonts w:ascii="Arial" w:eastAsia="Batang" w:hAnsi="Arial" w:cs="Arial"/>
          <w:color w:val="000000" w:themeColor="text1"/>
          <w:sz w:val="22"/>
          <w:szCs w:val="22"/>
          <w:lang w:val="en-PH"/>
        </w:rPr>
        <w:t>Identify the performance obligations in the contract </w:t>
      </w:r>
    </w:p>
    <w:p w14:paraId="3AC9A592" w14:textId="77777777" w:rsidR="00FC44EB" w:rsidRPr="009E35ED" w:rsidRDefault="00FC44EB" w:rsidP="001C371F">
      <w:pPr>
        <w:numPr>
          <w:ilvl w:val="0"/>
          <w:numId w:val="30"/>
        </w:numPr>
        <w:rPr>
          <w:rFonts w:ascii="Arial" w:eastAsia="Batang" w:hAnsi="Arial" w:cs="Arial"/>
          <w:color w:val="000000" w:themeColor="text1"/>
          <w:sz w:val="22"/>
          <w:szCs w:val="22"/>
          <w:lang w:val="en-PH"/>
        </w:rPr>
      </w:pPr>
      <w:r w:rsidRPr="009E35ED">
        <w:rPr>
          <w:rFonts w:ascii="Arial" w:eastAsia="Batang" w:hAnsi="Arial" w:cs="Arial"/>
          <w:color w:val="000000" w:themeColor="text1"/>
          <w:sz w:val="22"/>
          <w:szCs w:val="22"/>
          <w:lang w:val="en-PH"/>
        </w:rPr>
        <w:t>Determine the transaction price </w:t>
      </w:r>
    </w:p>
    <w:p w14:paraId="64E1A98E" w14:textId="77777777" w:rsidR="00FC44EB" w:rsidRPr="009E35ED" w:rsidRDefault="00FC44EB" w:rsidP="001C371F">
      <w:pPr>
        <w:numPr>
          <w:ilvl w:val="0"/>
          <w:numId w:val="30"/>
        </w:numPr>
        <w:rPr>
          <w:rFonts w:ascii="Arial" w:eastAsia="Batang" w:hAnsi="Arial" w:cs="Arial"/>
          <w:color w:val="000000" w:themeColor="text1"/>
          <w:sz w:val="22"/>
          <w:szCs w:val="22"/>
          <w:lang w:val="en-PH"/>
        </w:rPr>
      </w:pPr>
      <w:r w:rsidRPr="009E35ED">
        <w:rPr>
          <w:rFonts w:ascii="Arial" w:eastAsia="Batang" w:hAnsi="Arial" w:cs="Arial"/>
          <w:color w:val="000000" w:themeColor="text1"/>
          <w:sz w:val="22"/>
          <w:szCs w:val="22"/>
          <w:lang w:val="en-PH"/>
        </w:rPr>
        <w:t>Allocate the transaction price to the performance obligations in the contract </w:t>
      </w:r>
    </w:p>
    <w:p w14:paraId="40328C6B" w14:textId="3324692B" w:rsidR="00FC44EB" w:rsidRPr="009E35ED" w:rsidRDefault="00DC10B4" w:rsidP="001C371F">
      <w:pPr>
        <w:numPr>
          <w:ilvl w:val="0"/>
          <w:numId w:val="30"/>
        </w:numPr>
        <w:rPr>
          <w:rFonts w:ascii="Arial" w:eastAsia="Batang" w:hAnsi="Arial" w:cs="Arial"/>
          <w:color w:val="000000" w:themeColor="text1"/>
          <w:sz w:val="22"/>
          <w:szCs w:val="22"/>
        </w:rPr>
      </w:pPr>
      <w:r w:rsidRPr="009E35ED">
        <w:rPr>
          <w:rFonts w:ascii="Arial" w:eastAsia="Batang" w:hAnsi="Arial" w:cs="Arial"/>
          <w:color w:val="000000" w:themeColor="text1"/>
          <w:sz w:val="22"/>
          <w:szCs w:val="22"/>
          <w:lang w:val="en-PH"/>
        </w:rPr>
        <w:t>Recognize</w:t>
      </w:r>
      <w:r w:rsidR="00FC44EB" w:rsidRPr="009E35ED">
        <w:rPr>
          <w:rFonts w:ascii="Arial" w:eastAsia="Batang" w:hAnsi="Arial" w:cs="Arial"/>
          <w:color w:val="000000" w:themeColor="text1"/>
          <w:sz w:val="22"/>
          <w:szCs w:val="22"/>
          <w:lang w:val="en-PH"/>
        </w:rPr>
        <w:t xml:space="preserve"> revenue when (or as) the entity satisfies a performance obligation.</w:t>
      </w:r>
    </w:p>
    <w:p w14:paraId="6E41CAEC" w14:textId="77777777" w:rsidR="00FC44EB" w:rsidRPr="009E35ED" w:rsidRDefault="00FC44EB" w:rsidP="00FC44EB">
      <w:pPr>
        <w:ind w:left="0"/>
        <w:rPr>
          <w:rFonts w:ascii="Arial" w:eastAsia="Batang" w:hAnsi="Arial" w:cs="Arial"/>
          <w:color w:val="000000" w:themeColor="text1"/>
          <w:sz w:val="22"/>
          <w:szCs w:val="22"/>
        </w:rPr>
      </w:pPr>
    </w:p>
    <w:p w14:paraId="6D12A8B5" w14:textId="77777777" w:rsidR="00FC44EB" w:rsidRPr="009E35ED" w:rsidRDefault="00FC44EB" w:rsidP="00FC44EB">
      <w:pPr>
        <w:ind w:left="0"/>
        <w:rPr>
          <w:rFonts w:ascii="Arial" w:eastAsia="Batang" w:hAnsi="Arial" w:cs="Arial"/>
          <w:color w:val="000000" w:themeColor="text1"/>
          <w:sz w:val="22"/>
          <w:szCs w:val="22"/>
        </w:rPr>
      </w:pPr>
      <w:r w:rsidRPr="009E35ED">
        <w:rPr>
          <w:rFonts w:ascii="Arial" w:eastAsia="Batang" w:hAnsi="Arial" w:cs="Arial"/>
          <w:color w:val="000000" w:themeColor="text1"/>
          <w:sz w:val="22"/>
          <w:szCs w:val="22"/>
        </w:rPr>
        <w:t xml:space="preserve">Depending on whether the PCSO is acting as a principal or as an agent, its main revenue arises from the sale of the following:   </w:t>
      </w:r>
    </w:p>
    <w:p w14:paraId="1430F5FB" w14:textId="7DDE19A2" w:rsidR="009E7174" w:rsidRPr="009E35ED" w:rsidRDefault="009E7174" w:rsidP="00FC44EB">
      <w:pPr>
        <w:ind w:left="0"/>
        <w:rPr>
          <w:rFonts w:ascii="Arial" w:eastAsia="Batang" w:hAnsi="Arial" w:cs="Arial"/>
          <w:color w:val="000000" w:themeColor="text1"/>
          <w:sz w:val="22"/>
          <w:szCs w:val="22"/>
        </w:rPr>
      </w:pPr>
    </w:p>
    <w:p w14:paraId="2C101627" w14:textId="17ACB9A3" w:rsidR="00FC44EB" w:rsidRPr="009E35ED" w:rsidRDefault="00FC44EB" w:rsidP="00FC44EB">
      <w:pPr>
        <w:ind w:left="0"/>
        <w:rPr>
          <w:rFonts w:ascii="Arial" w:eastAsia="Batang" w:hAnsi="Arial" w:cs="Arial"/>
          <w:b/>
          <w:i/>
          <w:color w:val="000000" w:themeColor="text1"/>
          <w:sz w:val="22"/>
          <w:szCs w:val="22"/>
        </w:rPr>
      </w:pPr>
      <w:r w:rsidRPr="009E35ED">
        <w:rPr>
          <w:rFonts w:ascii="Arial" w:eastAsia="Batang" w:hAnsi="Arial" w:cs="Arial"/>
          <w:b/>
          <w:i/>
          <w:color w:val="000000" w:themeColor="text1"/>
          <w:sz w:val="22"/>
          <w:szCs w:val="22"/>
        </w:rPr>
        <w:t>Lotto tickets</w:t>
      </w:r>
    </w:p>
    <w:p w14:paraId="002EA645" w14:textId="77777777" w:rsidR="00FC44EB" w:rsidRPr="009E35ED" w:rsidRDefault="00FC44EB" w:rsidP="00FC44EB">
      <w:pPr>
        <w:ind w:left="0"/>
        <w:rPr>
          <w:rFonts w:ascii="Arial" w:eastAsia="Batang" w:hAnsi="Arial" w:cs="Arial"/>
          <w:b/>
          <w:i/>
          <w:color w:val="000000" w:themeColor="text1"/>
          <w:sz w:val="22"/>
          <w:szCs w:val="22"/>
        </w:rPr>
      </w:pPr>
    </w:p>
    <w:p w14:paraId="18AD5F37" w14:textId="037CA916" w:rsidR="00FC44EB" w:rsidRPr="009E35ED" w:rsidRDefault="00FC44EB" w:rsidP="00FC44EB">
      <w:pPr>
        <w:ind w:left="0"/>
        <w:rPr>
          <w:rFonts w:ascii="Arial" w:eastAsia="Batang" w:hAnsi="Arial" w:cs="Arial"/>
          <w:color w:val="000000" w:themeColor="text1"/>
          <w:sz w:val="22"/>
          <w:szCs w:val="22"/>
        </w:rPr>
      </w:pPr>
      <w:r w:rsidRPr="009E35ED">
        <w:rPr>
          <w:rFonts w:ascii="Arial" w:eastAsia="Batang" w:hAnsi="Arial" w:cs="Arial"/>
          <w:color w:val="000000" w:themeColor="text1"/>
          <w:sz w:val="22"/>
          <w:szCs w:val="22"/>
        </w:rPr>
        <w:t>As principal, the contract is established between the betting customer and the PCSO at the time the customer places his bet.  The bettor places his bet for a consideration of his choice which ranges from P10</w:t>
      </w:r>
      <w:r w:rsidR="00781B00" w:rsidRPr="009E35ED">
        <w:rPr>
          <w:rFonts w:ascii="Arial" w:eastAsia="Batang" w:hAnsi="Arial" w:cs="Arial"/>
          <w:color w:val="000000" w:themeColor="text1"/>
          <w:sz w:val="22"/>
          <w:szCs w:val="22"/>
        </w:rPr>
        <w:t>.00</w:t>
      </w:r>
      <w:r w:rsidRPr="009E35ED">
        <w:rPr>
          <w:rFonts w:ascii="Arial" w:eastAsia="Batang" w:hAnsi="Arial" w:cs="Arial"/>
          <w:color w:val="000000" w:themeColor="text1"/>
          <w:sz w:val="22"/>
          <w:szCs w:val="22"/>
        </w:rPr>
        <w:t xml:space="preserve"> to P20</w:t>
      </w:r>
      <w:r w:rsidR="00781B00" w:rsidRPr="009E35ED">
        <w:rPr>
          <w:rFonts w:ascii="Arial" w:eastAsia="Batang" w:hAnsi="Arial" w:cs="Arial"/>
          <w:color w:val="000000" w:themeColor="text1"/>
          <w:sz w:val="22"/>
          <w:szCs w:val="22"/>
        </w:rPr>
        <w:t>.00</w:t>
      </w:r>
      <w:r w:rsidRPr="009E35ED">
        <w:rPr>
          <w:rFonts w:ascii="Arial" w:eastAsia="Batang" w:hAnsi="Arial" w:cs="Arial"/>
          <w:color w:val="000000" w:themeColor="text1"/>
          <w:sz w:val="22"/>
          <w:szCs w:val="22"/>
        </w:rPr>
        <w:t xml:space="preserve"> per number combination, with the expectation that the PCSO issues the corresponding ticket for the bet. Revenue is recognized only when both the performance obligations (an exchange of bet price and bet ticket) of the betting customer and the PCSO are satisfied.</w:t>
      </w:r>
    </w:p>
    <w:p w14:paraId="4E2A72A9" w14:textId="77777777" w:rsidR="00FC44EB" w:rsidRPr="009E35ED" w:rsidRDefault="00FC44EB" w:rsidP="00FC44EB">
      <w:pPr>
        <w:ind w:left="0"/>
        <w:rPr>
          <w:rFonts w:ascii="Arial" w:eastAsia="Batang" w:hAnsi="Arial" w:cs="Arial"/>
          <w:color w:val="000000" w:themeColor="text1"/>
          <w:sz w:val="22"/>
          <w:szCs w:val="22"/>
        </w:rPr>
      </w:pPr>
    </w:p>
    <w:p w14:paraId="4D7D8FA6" w14:textId="64717394" w:rsidR="00FC44EB" w:rsidRPr="009E35ED" w:rsidRDefault="00FC44EB" w:rsidP="00FC44EB">
      <w:pPr>
        <w:ind w:left="0"/>
        <w:rPr>
          <w:rFonts w:ascii="Arial" w:eastAsia="Batang" w:hAnsi="Arial" w:cs="Arial"/>
          <w:color w:val="000000" w:themeColor="text1"/>
          <w:sz w:val="22"/>
          <w:szCs w:val="22"/>
        </w:rPr>
      </w:pPr>
      <w:r w:rsidRPr="009E35ED">
        <w:rPr>
          <w:rFonts w:ascii="Arial" w:eastAsia="Batang" w:hAnsi="Arial" w:cs="Arial"/>
          <w:color w:val="000000" w:themeColor="text1"/>
          <w:sz w:val="22"/>
          <w:szCs w:val="22"/>
        </w:rPr>
        <w:t>Revenue from the sale of tickets is recognized at the time of sale, except for advance sales. These advance sales are recognize</w:t>
      </w:r>
      <w:r w:rsidR="005510B7" w:rsidRPr="009E35ED">
        <w:rPr>
          <w:rFonts w:ascii="Arial" w:eastAsia="Batang" w:hAnsi="Arial" w:cs="Arial"/>
          <w:color w:val="000000" w:themeColor="text1"/>
          <w:sz w:val="22"/>
          <w:szCs w:val="22"/>
        </w:rPr>
        <w:t>d</w:t>
      </w:r>
      <w:r w:rsidRPr="009E35ED">
        <w:rPr>
          <w:rFonts w:ascii="Arial" w:eastAsia="Batang" w:hAnsi="Arial" w:cs="Arial"/>
          <w:color w:val="000000" w:themeColor="text1"/>
          <w:sz w:val="22"/>
          <w:szCs w:val="22"/>
        </w:rPr>
        <w:t xml:space="preserve"> as revenue at the time lotteries were drawn.</w:t>
      </w:r>
    </w:p>
    <w:p w14:paraId="64FC9F94" w14:textId="77777777" w:rsidR="00FC44EB" w:rsidRPr="009E35ED" w:rsidRDefault="00FC44EB" w:rsidP="00FC44EB">
      <w:pPr>
        <w:ind w:left="0"/>
        <w:rPr>
          <w:rFonts w:ascii="Arial" w:eastAsia="Batang" w:hAnsi="Arial" w:cs="Arial"/>
          <w:color w:val="000000" w:themeColor="text1"/>
          <w:sz w:val="22"/>
          <w:szCs w:val="22"/>
        </w:rPr>
      </w:pPr>
    </w:p>
    <w:p w14:paraId="0F843D2D" w14:textId="7F180F22" w:rsidR="00F222FD" w:rsidRPr="009E35ED" w:rsidRDefault="00F222FD" w:rsidP="00F222FD">
      <w:pPr>
        <w:ind w:left="0"/>
        <w:rPr>
          <w:rFonts w:ascii="Arial" w:eastAsia="Batang" w:hAnsi="Arial" w:cs="Arial"/>
          <w:color w:val="000000" w:themeColor="text1"/>
          <w:sz w:val="22"/>
          <w:szCs w:val="22"/>
        </w:rPr>
      </w:pPr>
      <w:r w:rsidRPr="009E35ED">
        <w:rPr>
          <w:rFonts w:ascii="Arial" w:eastAsia="Batang" w:hAnsi="Arial" w:cs="Arial"/>
          <w:color w:val="000000" w:themeColor="text1"/>
          <w:sz w:val="22"/>
          <w:szCs w:val="22"/>
        </w:rPr>
        <w:t xml:space="preserve">Of the total revenue, fifty-five percent (55%) is allocated to the Prize Fund for payment of prizes, </w:t>
      </w:r>
      <w:r w:rsidR="001E3464" w:rsidRPr="009E35ED">
        <w:rPr>
          <w:rFonts w:ascii="Arial" w:eastAsia="Batang" w:hAnsi="Arial" w:cs="Arial"/>
          <w:color w:val="000000" w:themeColor="text1"/>
          <w:sz w:val="22"/>
          <w:szCs w:val="22"/>
        </w:rPr>
        <w:t>including those for the owners</w:t>
      </w:r>
      <w:r w:rsidRPr="009E35ED">
        <w:rPr>
          <w:rFonts w:ascii="Arial" w:eastAsia="Batang" w:hAnsi="Arial" w:cs="Arial"/>
          <w:color w:val="000000" w:themeColor="text1"/>
          <w:sz w:val="22"/>
          <w:szCs w:val="22"/>
        </w:rPr>
        <w:t xml:space="preserve">, and sellers of winning tickets.  Another thirty percent (30%) is allocated to the Charity Fund from which identified priority programs, needs and requirements in specific communities take payments or grants for health programs, including the expansion of existing ones, medical assistance and services, and/or charities of national character.  The remaining fifteen percent (15%), meanwhile, is set aside to the Operating Fund as contributions to the operating expenses and capital expenditures of </w:t>
      </w:r>
      <w:r w:rsidR="00D93E15">
        <w:rPr>
          <w:rFonts w:ascii="Arial" w:eastAsia="Batang" w:hAnsi="Arial" w:cs="Arial"/>
          <w:color w:val="000000" w:themeColor="text1"/>
          <w:sz w:val="22"/>
          <w:szCs w:val="22"/>
        </w:rPr>
        <w:t xml:space="preserve">the </w:t>
      </w:r>
      <w:r w:rsidRPr="009E35ED">
        <w:rPr>
          <w:rFonts w:ascii="Arial" w:eastAsia="Batang" w:hAnsi="Arial" w:cs="Arial"/>
          <w:color w:val="000000" w:themeColor="text1"/>
          <w:sz w:val="22"/>
          <w:szCs w:val="22"/>
        </w:rPr>
        <w:t>PCSO.</w:t>
      </w:r>
    </w:p>
    <w:p w14:paraId="6BAB56C3" w14:textId="77777777" w:rsidR="00137CD9" w:rsidRPr="009E35ED" w:rsidRDefault="00137CD9" w:rsidP="00FC44EB">
      <w:pPr>
        <w:ind w:left="0"/>
        <w:rPr>
          <w:rFonts w:ascii="Arial" w:eastAsia="Batang" w:hAnsi="Arial" w:cs="Arial"/>
          <w:b/>
          <w:i/>
          <w:color w:val="000000" w:themeColor="text1"/>
          <w:sz w:val="22"/>
          <w:szCs w:val="22"/>
        </w:rPr>
      </w:pPr>
    </w:p>
    <w:p w14:paraId="52EBD09F" w14:textId="73922075" w:rsidR="00FC44EB" w:rsidRPr="009E35ED" w:rsidRDefault="00FC44EB" w:rsidP="00FC44EB">
      <w:pPr>
        <w:ind w:left="0"/>
        <w:rPr>
          <w:rFonts w:ascii="Arial" w:eastAsia="Batang" w:hAnsi="Arial" w:cs="Arial"/>
          <w:b/>
          <w:i/>
          <w:color w:val="000000" w:themeColor="text1"/>
          <w:sz w:val="22"/>
          <w:szCs w:val="22"/>
        </w:rPr>
      </w:pPr>
      <w:r w:rsidRPr="009E35ED">
        <w:rPr>
          <w:rFonts w:ascii="Arial" w:eastAsia="Batang" w:hAnsi="Arial" w:cs="Arial"/>
          <w:b/>
          <w:i/>
          <w:color w:val="000000" w:themeColor="text1"/>
          <w:sz w:val="22"/>
          <w:szCs w:val="22"/>
        </w:rPr>
        <w:t>STL tickets</w:t>
      </w:r>
    </w:p>
    <w:p w14:paraId="4D5C6DB7" w14:textId="6ACC9AAA" w:rsidR="00986F56" w:rsidRPr="009E35ED" w:rsidRDefault="00986F56" w:rsidP="00986F56">
      <w:pPr>
        <w:pStyle w:val="pf0"/>
        <w:jc w:val="both"/>
        <w:rPr>
          <w:rFonts w:ascii="Arial" w:hAnsi="Arial" w:cs="Arial"/>
          <w:color w:val="000000" w:themeColor="text1"/>
          <w:sz w:val="22"/>
          <w:szCs w:val="22"/>
        </w:rPr>
      </w:pPr>
      <w:r w:rsidRPr="009E35ED">
        <w:rPr>
          <w:rStyle w:val="cf01"/>
          <w:rFonts w:ascii="Arial" w:hAnsi="Arial" w:cs="Arial"/>
          <w:color w:val="000000" w:themeColor="text1"/>
          <w:sz w:val="22"/>
          <w:szCs w:val="22"/>
        </w:rPr>
        <w:t>Ticket refers to the official printed paper/document, as authorized by the PCSO</w:t>
      </w:r>
      <w:r w:rsidR="00920BAD" w:rsidRPr="009E35ED">
        <w:rPr>
          <w:rStyle w:val="cf01"/>
          <w:rFonts w:ascii="Arial" w:hAnsi="Arial" w:cs="Arial"/>
          <w:color w:val="000000" w:themeColor="text1"/>
          <w:sz w:val="22"/>
          <w:szCs w:val="22"/>
        </w:rPr>
        <w:t>,</w:t>
      </w:r>
      <w:r w:rsidRPr="009E35ED">
        <w:rPr>
          <w:rStyle w:val="cf01"/>
          <w:rFonts w:ascii="Arial" w:hAnsi="Arial" w:cs="Arial"/>
          <w:color w:val="000000" w:themeColor="text1"/>
          <w:sz w:val="22"/>
          <w:szCs w:val="22"/>
        </w:rPr>
        <w:t xml:space="preserve"> </w:t>
      </w:r>
      <w:r w:rsidR="00920BAD" w:rsidRPr="009E35ED">
        <w:rPr>
          <w:rStyle w:val="cf01"/>
          <w:rFonts w:ascii="Arial" w:hAnsi="Arial" w:cs="Arial"/>
          <w:color w:val="000000" w:themeColor="text1"/>
          <w:sz w:val="22"/>
          <w:szCs w:val="22"/>
        </w:rPr>
        <w:t>e</w:t>
      </w:r>
      <w:r w:rsidRPr="009E35ED">
        <w:rPr>
          <w:rStyle w:val="cf01"/>
          <w:rFonts w:ascii="Arial" w:hAnsi="Arial" w:cs="Arial"/>
          <w:color w:val="000000" w:themeColor="text1"/>
          <w:sz w:val="22"/>
          <w:szCs w:val="22"/>
        </w:rPr>
        <w:t xml:space="preserve">videncing the details of bet for specific draw in a particular area and serves as proof thereof. </w:t>
      </w:r>
    </w:p>
    <w:p w14:paraId="6DE9D534" w14:textId="5C9A7DB3" w:rsidR="00986F56" w:rsidRDefault="00986F56" w:rsidP="00986F56">
      <w:pPr>
        <w:pStyle w:val="pf0"/>
        <w:jc w:val="both"/>
        <w:rPr>
          <w:rStyle w:val="cf01"/>
          <w:rFonts w:ascii="Arial" w:hAnsi="Arial" w:cs="Arial"/>
          <w:color w:val="000000" w:themeColor="text1"/>
          <w:sz w:val="22"/>
          <w:szCs w:val="22"/>
        </w:rPr>
      </w:pPr>
      <w:r w:rsidRPr="009E35ED">
        <w:rPr>
          <w:rStyle w:val="cf01"/>
          <w:rFonts w:ascii="Arial" w:hAnsi="Arial" w:cs="Arial"/>
          <w:color w:val="000000" w:themeColor="text1"/>
          <w:sz w:val="22"/>
          <w:szCs w:val="22"/>
        </w:rPr>
        <w:t xml:space="preserve">As principal, the contract is established between the AAC and the PCSO, with the latter authorizing the AAC to operate its own localized lottery game/s, upon agreeing to the terms set by the PCSO (i.e., sell, distribute, market and assist in the conduct of STL operations within its designated area). The transaction price involves a guaranteed minimum monthly retail receipts which the AAC commits to remit. The revenue recognized is the higher between the actual sale of ticket and the </w:t>
      </w:r>
      <w:r w:rsidR="00A9476E">
        <w:rPr>
          <w:rStyle w:val="cf01"/>
          <w:rFonts w:ascii="Arial" w:hAnsi="Arial" w:cs="Arial"/>
          <w:color w:val="000000" w:themeColor="text1"/>
          <w:sz w:val="22"/>
          <w:szCs w:val="22"/>
        </w:rPr>
        <w:t>Guaranteed Minimum Monthly Retail Receipt (</w:t>
      </w:r>
      <w:r w:rsidRPr="009E35ED">
        <w:rPr>
          <w:rStyle w:val="cf01"/>
          <w:rFonts w:ascii="Arial" w:hAnsi="Arial" w:cs="Arial"/>
          <w:color w:val="000000" w:themeColor="text1"/>
          <w:sz w:val="22"/>
          <w:szCs w:val="22"/>
        </w:rPr>
        <w:t>GMMRR</w:t>
      </w:r>
      <w:r w:rsidR="00A9476E">
        <w:rPr>
          <w:rStyle w:val="cf01"/>
          <w:rFonts w:ascii="Arial" w:hAnsi="Arial" w:cs="Arial"/>
          <w:color w:val="000000" w:themeColor="text1"/>
          <w:sz w:val="22"/>
          <w:szCs w:val="22"/>
        </w:rPr>
        <w:t>)</w:t>
      </w:r>
      <w:r w:rsidRPr="009E35ED">
        <w:rPr>
          <w:rStyle w:val="cf01"/>
          <w:rFonts w:ascii="Arial" w:hAnsi="Arial" w:cs="Arial"/>
          <w:color w:val="000000" w:themeColor="text1"/>
          <w:sz w:val="22"/>
          <w:szCs w:val="22"/>
        </w:rPr>
        <w:t>.</w:t>
      </w:r>
    </w:p>
    <w:p w14:paraId="0983895D" w14:textId="77777777" w:rsidR="00FC44EB" w:rsidRPr="009E35ED" w:rsidRDefault="00FC44EB" w:rsidP="00FC44EB">
      <w:pPr>
        <w:ind w:left="0"/>
        <w:rPr>
          <w:rFonts w:ascii="Arial" w:eastAsia="Batang" w:hAnsi="Arial" w:cs="Arial"/>
          <w:b/>
          <w:i/>
          <w:color w:val="000000" w:themeColor="text1"/>
          <w:sz w:val="22"/>
          <w:szCs w:val="22"/>
        </w:rPr>
      </w:pPr>
      <w:r w:rsidRPr="009E35ED">
        <w:rPr>
          <w:rFonts w:ascii="Arial" w:eastAsia="Batang" w:hAnsi="Arial" w:cs="Arial"/>
          <w:b/>
          <w:i/>
          <w:color w:val="000000" w:themeColor="text1"/>
          <w:sz w:val="22"/>
          <w:szCs w:val="22"/>
        </w:rPr>
        <w:t>Instant Sweepstakes (Scratch-it)</w:t>
      </w:r>
    </w:p>
    <w:p w14:paraId="1639674A" w14:textId="77777777" w:rsidR="00FC44EB" w:rsidRPr="009E35ED" w:rsidRDefault="00FC44EB" w:rsidP="00FC44EB">
      <w:pPr>
        <w:ind w:left="0"/>
        <w:rPr>
          <w:rFonts w:ascii="Arial" w:eastAsia="Batang" w:hAnsi="Arial" w:cs="Arial"/>
          <w:color w:val="000000" w:themeColor="text1"/>
          <w:sz w:val="22"/>
          <w:szCs w:val="22"/>
        </w:rPr>
      </w:pPr>
    </w:p>
    <w:p w14:paraId="333C45B2" w14:textId="52E8B2B8" w:rsidR="00FC44EB" w:rsidRPr="009E35ED" w:rsidRDefault="00FC44EB" w:rsidP="00FC44EB">
      <w:pPr>
        <w:ind w:left="0"/>
        <w:rPr>
          <w:rFonts w:ascii="Arial" w:eastAsia="Batang" w:hAnsi="Arial" w:cs="Arial"/>
          <w:color w:val="000000" w:themeColor="text1"/>
          <w:sz w:val="22"/>
          <w:szCs w:val="22"/>
        </w:rPr>
      </w:pPr>
      <w:r w:rsidRPr="009E35ED">
        <w:rPr>
          <w:rFonts w:ascii="Arial" w:eastAsia="Batang" w:hAnsi="Arial" w:cs="Arial"/>
          <w:color w:val="000000" w:themeColor="text1"/>
          <w:sz w:val="22"/>
          <w:szCs w:val="22"/>
        </w:rPr>
        <w:t xml:space="preserve">As principal, the contract is established between ISAC and the PCSO, whereby the PCSO remains to have full operational control and supervision of the Instant Sweepstakes. ISAC will have the authority, granted by </w:t>
      </w:r>
      <w:r w:rsidR="00A9476E">
        <w:rPr>
          <w:rFonts w:ascii="Arial" w:eastAsia="Batang" w:hAnsi="Arial" w:cs="Arial"/>
          <w:color w:val="000000" w:themeColor="text1"/>
          <w:sz w:val="22"/>
          <w:szCs w:val="22"/>
        </w:rPr>
        <w:t xml:space="preserve">the </w:t>
      </w:r>
      <w:r w:rsidRPr="009E35ED">
        <w:rPr>
          <w:rFonts w:ascii="Arial" w:eastAsia="Batang" w:hAnsi="Arial" w:cs="Arial"/>
          <w:color w:val="000000" w:themeColor="text1"/>
          <w:sz w:val="22"/>
          <w:szCs w:val="22"/>
        </w:rPr>
        <w:t xml:space="preserve">PCSO, to produce, distribute, market, advertise and sell Instant Sweepstakes tickets. </w:t>
      </w:r>
      <w:r w:rsidR="00C04D70" w:rsidRPr="009E35ED">
        <w:rPr>
          <w:rFonts w:ascii="Arial" w:eastAsia="Batang" w:hAnsi="Arial" w:cs="Arial"/>
          <w:color w:val="000000" w:themeColor="text1"/>
          <w:sz w:val="22"/>
          <w:szCs w:val="22"/>
        </w:rPr>
        <w:t xml:space="preserve">The transaction price is the guaranteed five billion pesos (P5,000,000,000.00) </w:t>
      </w:r>
      <w:r w:rsidR="00C04D70" w:rsidRPr="009E35ED">
        <w:rPr>
          <w:rFonts w:ascii="Arial" w:hAnsi="Arial" w:cs="Arial"/>
          <w:color w:val="000000" w:themeColor="text1"/>
          <w:sz w:val="22"/>
          <w:szCs w:val="22"/>
        </w:rPr>
        <w:t>for a period of five (5) years or one Billion Pesos (P1,000,000,000.00) per year at no cost to</w:t>
      </w:r>
      <w:r w:rsidR="00A9476E">
        <w:rPr>
          <w:rFonts w:ascii="Arial" w:hAnsi="Arial" w:cs="Arial"/>
          <w:color w:val="000000" w:themeColor="text1"/>
          <w:sz w:val="22"/>
          <w:szCs w:val="22"/>
        </w:rPr>
        <w:t xml:space="preserve"> the</w:t>
      </w:r>
      <w:r w:rsidR="00C04D70" w:rsidRPr="009E35ED">
        <w:rPr>
          <w:rFonts w:ascii="Arial" w:hAnsi="Arial" w:cs="Arial"/>
          <w:color w:val="000000" w:themeColor="text1"/>
          <w:sz w:val="22"/>
          <w:szCs w:val="22"/>
        </w:rPr>
        <w:t xml:space="preserve"> PCSO</w:t>
      </w:r>
      <w:r w:rsidRPr="009E35ED">
        <w:rPr>
          <w:rFonts w:ascii="Arial" w:eastAsia="Batang" w:hAnsi="Arial" w:cs="Arial"/>
          <w:color w:val="000000" w:themeColor="text1"/>
          <w:sz w:val="22"/>
          <w:szCs w:val="22"/>
        </w:rPr>
        <w:t>. Revenue is recognized based on the guaranteed sales per year</w:t>
      </w:r>
      <w:r w:rsidR="000634B4" w:rsidRPr="009E35ED">
        <w:rPr>
          <w:rFonts w:ascii="Arial" w:eastAsia="Batang" w:hAnsi="Arial" w:cs="Arial"/>
          <w:color w:val="000000" w:themeColor="text1"/>
          <w:sz w:val="22"/>
          <w:szCs w:val="22"/>
        </w:rPr>
        <w:t xml:space="preserve"> or actual sales per year, whichever is higher.</w:t>
      </w:r>
    </w:p>
    <w:p w14:paraId="234F492B" w14:textId="77777777" w:rsidR="005A454A" w:rsidRPr="009E35ED" w:rsidRDefault="005A454A" w:rsidP="00FC44EB">
      <w:pPr>
        <w:ind w:left="0"/>
        <w:rPr>
          <w:rFonts w:ascii="Arial" w:eastAsia="Batang" w:hAnsi="Arial" w:cs="Arial"/>
          <w:color w:val="000000" w:themeColor="text1"/>
          <w:sz w:val="22"/>
          <w:szCs w:val="22"/>
        </w:rPr>
      </w:pPr>
    </w:p>
    <w:p w14:paraId="07198A47" w14:textId="77777777" w:rsidR="00FC44EB" w:rsidRPr="009E35ED" w:rsidRDefault="00FC44EB" w:rsidP="00FC44EB">
      <w:pPr>
        <w:ind w:left="0"/>
        <w:rPr>
          <w:rFonts w:ascii="Arial" w:eastAsia="Batang" w:hAnsi="Arial" w:cs="Arial"/>
          <w:b/>
          <w:i/>
          <w:color w:val="000000" w:themeColor="text1"/>
          <w:sz w:val="22"/>
          <w:szCs w:val="22"/>
        </w:rPr>
      </w:pPr>
      <w:r w:rsidRPr="009E35ED">
        <w:rPr>
          <w:rFonts w:ascii="Arial" w:eastAsia="Batang" w:hAnsi="Arial" w:cs="Arial"/>
          <w:b/>
          <w:i/>
          <w:color w:val="000000" w:themeColor="text1"/>
          <w:sz w:val="22"/>
          <w:szCs w:val="22"/>
        </w:rPr>
        <w:t>Interest Revenue</w:t>
      </w:r>
    </w:p>
    <w:p w14:paraId="79DA7299" w14:textId="77777777" w:rsidR="00FC44EB" w:rsidRPr="009E35ED" w:rsidRDefault="00FC44EB" w:rsidP="00FC44EB">
      <w:pPr>
        <w:ind w:left="0"/>
        <w:rPr>
          <w:rFonts w:ascii="Arial" w:eastAsia="Batang" w:hAnsi="Arial" w:cs="Arial"/>
          <w:color w:val="000000" w:themeColor="text1"/>
          <w:sz w:val="22"/>
          <w:szCs w:val="22"/>
          <w:u w:val="single"/>
        </w:rPr>
      </w:pPr>
    </w:p>
    <w:p w14:paraId="7321CB5C" w14:textId="73C9DA7F" w:rsidR="00E012BF" w:rsidRPr="009E35ED" w:rsidRDefault="00FC44EB" w:rsidP="00803F8C">
      <w:pPr>
        <w:pStyle w:val="ListParagraph"/>
        <w:ind w:left="0"/>
        <w:rPr>
          <w:rFonts w:ascii="Arial" w:eastAsia="Batang" w:hAnsi="Arial" w:cs="Arial"/>
          <w:color w:val="000000" w:themeColor="text1"/>
          <w:sz w:val="22"/>
          <w:szCs w:val="22"/>
        </w:rPr>
      </w:pPr>
      <w:r w:rsidRPr="009E35ED">
        <w:rPr>
          <w:rFonts w:ascii="Arial" w:eastAsia="Batang" w:hAnsi="Arial" w:cs="Arial"/>
          <w:color w:val="000000" w:themeColor="text1"/>
          <w:sz w:val="22"/>
          <w:szCs w:val="22"/>
        </w:rPr>
        <w:t>Interest revenue is accrued on a time proportion basis, by reference to the principal outstanding and at the effective interest rate applicable, which is the rate that exactly discounts estimated future cash receipts through the expected life of the financial asset to that asset’s net carrying amount</w:t>
      </w:r>
      <w:r w:rsidR="00C43375" w:rsidRPr="009E35ED">
        <w:rPr>
          <w:rFonts w:ascii="Arial" w:eastAsia="Batang" w:hAnsi="Arial" w:cs="Arial"/>
          <w:color w:val="000000" w:themeColor="text1"/>
          <w:sz w:val="22"/>
          <w:szCs w:val="22"/>
        </w:rPr>
        <w:t>.</w:t>
      </w:r>
    </w:p>
    <w:p w14:paraId="2D167973" w14:textId="6F5D7DD6" w:rsidR="00E012BF" w:rsidRPr="009E35ED" w:rsidRDefault="00E012BF" w:rsidP="00803F8C">
      <w:pPr>
        <w:pStyle w:val="ListParagraph"/>
        <w:ind w:left="0"/>
        <w:rPr>
          <w:rFonts w:ascii="Arial" w:eastAsia="Batang" w:hAnsi="Arial" w:cs="Arial"/>
          <w:color w:val="000000" w:themeColor="text1"/>
          <w:sz w:val="22"/>
          <w:szCs w:val="22"/>
        </w:rPr>
      </w:pPr>
    </w:p>
    <w:p w14:paraId="70B1618B" w14:textId="441D1D34" w:rsidR="001B4F91" w:rsidRPr="009E35ED" w:rsidRDefault="001B4F91" w:rsidP="00803F8C">
      <w:pPr>
        <w:pStyle w:val="ListParagraph"/>
        <w:ind w:left="0"/>
        <w:rPr>
          <w:rFonts w:ascii="Arial" w:eastAsia="Batang" w:hAnsi="Arial" w:cs="Arial"/>
          <w:color w:val="000000" w:themeColor="text1"/>
          <w:sz w:val="22"/>
          <w:szCs w:val="22"/>
        </w:rPr>
      </w:pPr>
      <w:r w:rsidRPr="009E35ED">
        <w:rPr>
          <w:rFonts w:ascii="Arial" w:eastAsia="Batang" w:hAnsi="Arial" w:cs="Arial"/>
          <w:color w:val="000000" w:themeColor="text1"/>
          <w:sz w:val="22"/>
          <w:szCs w:val="22"/>
        </w:rPr>
        <w:t xml:space="preserve">Under prevailing circumstances, the adoption of PFRS 15 is not expected to have any material effect on the financial statements of the </w:t>
      </w:r>
      <w:r w:rsidR="0051373D" w:rsidRPr="009E35ED">
        <w:rPr>
          <w:rFonts w:ascii="Arial" w:eastAsia="Batang" w:hAnsi="Arial" w:cs="Arial"/>
          <w:color w:val="000000" w:themeColor="text1"/>
          <w:sz w:val="22"/>
          <w:szCs w:val="22"/>
        </w:rPr>
        <w:t>Agency</w:t>
      </w:r>
      <w:r w:rsidRPr="009E35ED">
        <w:rPr>
          <w:rFonts w:ascii="Arial" w:eastAsia="Batang" w:hAnsi="Arial" w:cs="Arial"/>
          <w:color w:val="000000" w:themeColor="text1"/>
          <w:sz w:val="22"/>
          <w:szCs w:val="22"/>
        </w:rPr>
        <w:t>.</w:t>
      </w:r>
    </w:p>
    <w:p w14:paraId="024C2B63" w14:textId="77777777" w:rsidR="005A454A" w:rsidRPr="009E35ED" w:rsidRDefault="005A454A" w:rsidP="00C43375">
      <w:pPr>
        <w:pStyle w:val="ListParagraph"/>
        <w:rPr>
          <w:rStyle w:val="CommentReference"/>
          <w:rFonts w:ascii="Arial" w:hAnsi="Arial" w:cs="Arial"/>
          <w:b/>
          <w:color w:val="000000" w:themeColor="text1"/>
          <w:sz w:val="22"/>
          <w:szCs w:val="22"/>
        </w:rPr>
      </w:pPr>
    </w:p>
    <w:p w14:paraId="52CF9551" w14:textId="3A7DB856" w:rsidR="001B4062" w:rsidRPr="009E35ED" w:rsidRDefault="001B4062" w:rsidP="00074309">
      <w:pPr>
        <w:pStyle w:val="ListParagraph"/>
        <w:numPr>
          <w:ilvl w:val="0"/>
          <w:numId w:val="8"/>
        </w:numPr>
        <w:ind w:hanging="720"/>
        <w:rPr>
          <w:rFonts w:ascii="Arial" w:hAnsi="Arial" w:cs="Arial"/>
          <w:b/>
          <w:color w:val="000000" w:themeColor="text1"/>
          <w:sz w:val="22"/>
          <w:szCs w:val="22"/>
        </w:rPr>
      </w:pPr>
      <w:r w:rsidRPr="009E35ED">
        <w:rPr>
          <w:rFonts w:ascii="Arial" w:hAnsi="Arial" w:cs="Arial"/>
          <w:b/>
          <w:color w:val="000000" w:themeColor="text1"/>
          <w:sz w:val="22"/>
          <w:szCs w:val="22"/>
        </w:rPr>
        <w:t>Expense Recognition</w:t>
      </w:r>
    </w:p>
    <w:p w14:paraId="00A023E3" w14:textId="77777777" w:rsidR="001B4062" w:rsidRPr="009E35ED" w:rsidRDefault="001B4062" w:rsidP="00803F8C">
      <w:pPr>
        <w:pStyle w:val="ListParagraph"/>
        <w:rPr>
          <w:rFonts w:ascii="Arial" w:hAnsi="Arial" w:cs="Arial"/>
          <w:b/>
          <w:color w:val="000000" w:themeColor="text1"/>
          <w:sz w:val="22"/>
          <w:szCs w:val="22"/>
        </w:rPr>
      </w:pPr>
    </w:p>
    <w:p w14:paraId="1A8D7EAE" w14:textId="77777777" w:rsidR="001B4062" w:rsidRPr="009E35ED" w:rsidRDefault="001B4062" w:rsidP="00803F8C">
      <w:pPr>
        <w:ind w:left="0"/>
        <w:rPr>
          <w:rFonts w:ascii="Arial" w:hAnsi="Arial" w:cs="Arial"/>
          <w:color w:val="000000" w:themeColor="text1"/>
          <w:sz w:val="22"/>
          <w:szCs w:val="22"/>
        </w:rPr>
      </w:pPr>
      <w:bookmarkStart w:id="1" w:name="OLE_LINK12"/>
      <w:r w:rsidRPr="009E35ED">
        <w:rPr>
          <w:rFonts w:ascii="Arial" w:hAnsi="Arial" w:cs="Arial"/>
          <w:color w:val="000000" w:themeColor="text1"/>
          <w:sz w:val="22"/>
          <w:szCs w:val="22"/>
        </w:rPr>
        <w:t>Expenses are recognized in profit or loss when decrease in future economic benefit related to a decrease in an asset or an increase in a liability has arisen that can be measured reliably.  Expenses are recognized in profit or loss: on the basis of a direct association between the costs incurred and the earning of specific items of income; on the basis of systematic and rational allocation procedures when economic benefits are expected to arise over several accounting periods and the association with income can only be broadly or indirectly determined; or immediately when an expenditure produces no future economic benefits or when, and to the extent that, future economic benefits do not qualify, or cease to qualify, for recognition in the statements of financial position as an asset.</w:t>
      </w:r>
      <w:r w:rsidRPr="009E35ED">
        <w:rPr>
          <w:rFonts w:ascii="Arial" w:hAnsi="Arial" w:cs="Arial"/>
          <w:color w:val="000000" w:themeColor="text1"/>
          <w:sz w:val="22"/>
          <w:szCs w:val="22"/>
        </w:rPr>
        <w:tab/>
      </w:r>
    </w:p>
    <w:bookmarkEnd w:id="1"/>
    <w:p w14:paraId="41418A11" w14:textId="18D30634" w:rsidR="001B4062" w:rsidRPr="009E35ED" w:rsidRDefault="001B4062" w:rsidP="00803F8C">
      <w:pPr>
        <w:ind w:left="0"/>
        <w:rPr>
          <w:rFonts w:ascii="Arial" w:hAnsi="Arial" w:cs="Arial"/>
          <w:color w:val="000000" w:themeColor="text1"/>
          <w:sz w:val="22"/>
          <w:szCs w:val="22"/>
        </w:rPr>
      </w:pPr>
    </w:p>
    <w:p w14:paraId="0A5A7DA4" w14:textId="77777777" w:rsidR="001B4062" w:rsidRPr="009E35ED" w:rsidRDefault="001B4062" w:rsidP="00803F8C">
      <w:pPr>
        <w:pStyle w:val="ListParagraph"/>
        <w:ind w:left="0"/>
        <w:rPr>
          <w:rFonts w:ascii="Arial" w:hAnsi="Arial" w:cs="Arial"/>
          <w:color w:val="000000" w:themeColor="text1"/>
          <w:sz w:val="22"/>
          <w:szCs w:val="22"/>
        </w:rPr>
      </w:pPr>
      <w:r w:rsidRPr="009E35ED">
        <w:rPr>
          <w:rFonts w:ascii="Arial" w:hAnsi="Arial" w:cs="Arial"/>
          <w:color w:val="000000" w:themeColor="text1"/>
          <w:sz w:val="22"/>
          <w:szCs w:val="22"/>
        </w:rPr>
        <w:t>Expenses in the statement of comprehensive income are presented using the function of expense method.  Costs of sales are expenses incurred that are associated with the goods sold. Operating expenses are costs attributable to administrative, marketing, selling and other business activities of the PCSO.</w:t>
      </w:r>
    </w:p>
    <w:p w14:paraId="19967383" w14:textId="2E6423CD" w:rsidR="00792525" w:rsidRPr="009E35ED" w:rsidRDefault="00792525" w:rsidP="00803F8C">
      <w:pPr>
        <w:pStyle w:val="ListParagraph"/>
        <w:rPr>
          <w:rFonts w:ascii="Arial" w:hAnsi="Arial" w:cs="Arial"/>
          <w:b/>
          <w:color w:val="000000" w:themeColor="text1"/>
          <w:sz w:val="22"/>
          <w:szCs w:val="22"/>
        </w:rPr>
      </w:pPr>
    </w:p>
    <w:p w14:paraId="3DDAD48A" w14:textId="17E3D49C" w:rsidR="006842C0" w:rsidRPr="009E35ED" w:rsidRDefault="006842C0" w:rsidP="00B90388">
      <w:pPr>
        <w:pStyle w:val="ListParagraph"/>
        <w:keepNext/>
        <w:keepLines/>
        <w:numPr>
          <w:ilvl w:val="0"/>
          <w:numId w:val="8"/>
        </w:numPr>
        <w:ind w:left="0" w:firstLine="0"/>
        <w:rPr>
          <w:rFonts w:ascii="Arial" w:hAnsi="Arial" w:cs="Arial"/>
          <w:b/>
          <w:color w:val="000000" w:themeColor="text1"/>
          <w:sz w:val="22"/>
          <w:szCs w:val="22"/>
        </w:rPr>
      </w:pPr>
      <w:r w:rsidRPr="009E35ED">
        <w:rPr>
          <w:rFonts w:ascii="Arial" w:hAnsi="Arial" w:cs="Arial"/>
          <w:b/>
          <w:color w:val="000000" w:themeColor="text1"/>
          <w:sz w:val="22"/>
          <w:szCs w:val="22"/>
        </w:rPr>
        <w:t>L</w:t>
      </w:r>
      <w:r w:rsidR="00C43375" w:rsidRPr="009E35ED">
        <w:rPr>
          <w:rFonts w:ascii="Arial" w:hAnsi="Arial" w:cs="Arial"/>
          <w:b/>
          <w:color w:val="000000" w:themeColor="text1"/>
          <w:sz w:val="22"/>
          <w:szCs w:val="22"/>
        </w:rPr>
        <w:t>eases</w:t>
      </w:r>
    </w:p>
    <w:p w14:paraId="4C972672" w14:textId="60805E5F" w:rsidR="00FC07FB" w:rsidRPr="009E35ED" w:rsidRDefault="00FC07FB" w:rsidP="00B90388">
      <w:pPr>
        <w:keepNext/>
        <w:keepLines/>
        <w:ind w:left="0"/>
        <w:rPr>
          <w:rFonts w:ascii="Arial" w:hAnsi="Arial" w:cs="Arial"/>
          <w:b/>
          <w:color w:val="000000" w:themeColor="text1"/>
          <w:sz w:val="22"/>
          <w:szCs w:val="22"/>
        </w:rPr>
      </w:pPr>
    </w:p>
    <w:p w14:paraId="5DAAD06F" w14:textId="77777777" w:rsidR="00C6513F" w:rsidRPr="009E35ED" w:rsidRDefault="00A83858" w:rsidP="00B90388">
      <w:pPr>
        <w:keepNext/>
        <w:keepLines/>
        <w:ind w:left="0"/>
        <w:rPr>
          <w:rFonts w:ascii="Arial" w:hAnsi="Arial" w:cs="Arial"/>
          <w:color w:val="000000" w:themeColor="text1"/>
          <w:sz w:val="22"/>
          <w:szCs w:val="22"/>
        </w:rPr>
      </w:pPr>
      <w:r w:rsidRPr="009E35ED">
        <w:rPr>
          <w:rFonts w:ascii="Arial" w:hAnsi="Arial" w:cs="Arial"/>
          <w:color w:val="000000" w:themeColor="text1"/>
          <w:sz w:val="22"/>
          <w:szCs w:val="22"/>
        </w:rPr>
        <w:t>The PCSO assesses whether a contract is or contains a lease at inception of the contract. This assessment involves the exercise of judgement about whether it depends on a specified asset, whether the PCSO obtains substantially all the economic benefits from the use of that asset, and whether the PCSO has the right to direct the use of the asset.</w:t>
      </w:r>
    </w:p>
    <w:p w14:paraId="7D0B172D" w14:textId="77777777" w:rsidR="00A83858" w:rsidRPr="009E35ED" w:rsidRDefault="00A83858" w:rsidP="00803F8C">
      <w:pPr>
        <w:ind w:left="0"/>
        <w:rPr>
          <w:rFonts w:ascii="Arial" w:hAnsi="Arial" w:cs="Arial"/>
          <w:color w:val="000000" w:themeColor="text1"/>
          <w:sz w:val="22"/>
          <w:szCs w:val="22"/>
        </w:rPr>
      </w:pPr>
    </w:p>
    <w:p w14:paraId="2D8505EC" w14:textId="44D6BA43" w:rsidR="00A83858" w:rsidRPr="009E35ED" w:rsidRDefault="00A83858" w:rsidP="00803F8C">
      <w:pPr>
        <w:ind w:left="0"/>
        <w:rPr>
          <w:rFonts w:ascii="Arial" w:hAnsi="Arial" w:cs="Arial"/>
          <w:color w:val="000000" w:themeColor="text1"/>
          <w:sz w:val="22"/>
          <w:szCs w:val="22"/>
        </w:rPr>
      </w:pPr>
      <w:r w:rsidRPr="009E35ED">
        <w:rPr>
          <w:rFonts w:ascii="Arial" w:hAnsi="Arial" w:cs="Arial"/>
          <w:color w:val="000000" w:themeColor="text1"/>
          <w:sz w:val="22"/>
          <w:szCs w:val="22"/>
        </w:rPr>
        <w:t xml:space="preserve">The </w:t>
      </w:r>
      <w:r w:rsidR="0091576B" w:rsidRPr="009E35ED">
        <w:rPr>
          <w:rFonts w:ascii="Arial" w:hAnsi="Arial" w:cs="Arial"/>
          <w:color w:val="000000" w:themeColor="text1"/>
          <w:sz w:val="22"/>
          <w:szCs w:val="22"/>
        </w:rPr>
        <w:t>PCSO</w:t>
      </w:r>
      <w:r w:rsidRPr="009E35ED">
        <w:rPr>
          <w:rFonts w:ascii="Arial" w:hAnsi="Arial" w:cs="Arial"/>
          <w:color w:val="000000" w:themeColor="text1"/>
          <w:sz w:val="22"/>
          <w:szCs w:val="22"/>
        </w:rPr>
        <w:t xml:space="preserve"> recognizes a right-of-use (ROU) asset and a lease liability at the lease commencement date.</w:t>
      </w:r>
    </w:p>
    <w:p w14:paraId="6340E9DA" w14:textId="77777777" w:rsidR="00A83858" w:rsidRPr="009E35ED" w:rsidRDefault="00A83858" w:rsidP="00803F8C">
      <w:pPr>
        <w:ind w:left="0"/>
        <w:rPr>
          <w:rFonts w:ascii="Arial" w:hAnsi="Arial" w:cs="Arial"/>
          <w:color w:val="000000" w:themeColor="text1"/>
          <w:sz w:val="22"/>
          <w:szCs w:val="22"/>
        </w:rPr>
      </w:pPr>
    </w:p>
    <w:p w14:paraId="4C583619" w14:textId="2BF61DFF" w:rsidR="000E7B4A" w:rsidRPr="009E35ED" w:rsidRDefault="00A83858" w:rsidP="000E7B4A">
      <w:pPr>
        <w:ind w:left="0"/>
        <w:rPr>
          <w:rFonts w:ascii="Arial" w:hAnsi="Arial" w:cs="Arial"/>
          <w:color w:val="000000" w:themeColor="text1"/>
          <w:sz w:val="22"/>
          <w:szCs w:val="22"/>
        </w:rPr>
      </w:pPr>
      <w:r w:rsidRPr="009E35ED">
        <w:rPr>
          <w:rFonts w:ascii="Arial" w:hAnsi="Arial" w:cs="Arial"/>
          <w:color w:val="000000" w:themeColor="text1"/>
          <w:sz w:val="22"/>
          <w:szCs w:val="22"/>
        </w:rPr>
        <w:t xml:space="preserve">The lease </w:t>
      </w:r>
      <w:r w:rsidR="00552620" w:rsidRPr="009E35ED">
        <w:rPr>
          <w:rFonts w:ascii="Arial" w:hAnsi="Arial" w:cs="Arial"/>
          <w:color w:val="000000" w:themeColor="text1"/>
          <w:sz w:val="22"/>
          <w:szCs w:val="22"/>
        </w:rPr>
        <w:t xml:space="preserve">liability is initially measured at the present value of the lease payments that are not paid at the commencement date, discounted using the incremental borrowing rate based on the issued </w:t>
      </w:r>
      <w:r w:rsidR="0091576B" w:rsidRPr="009E35ED">
        <w:rPr>
          <w:rFonts w:ascii="Arial" w:hAnsi="Arial" w:cs="Arial"/>
          <w:color w:val="000000" w:themeColor="text1"/>
          <w:sz w:val="22"/>
          <w:szCs w:val="22"/>
        </w:rPr>
        <w:t xml:space="preserve">T-Bills of </w:t>
      </w:r>
      <w:r w:rsidR="00A9476E">
        <w:rPr>
          <w:rFonts w:ascii="Arial" w:hAnsi="Arial" w:cs="Arial"/>
          <w:color w:val="000000" w:themeColor="text1"/>
          <w:sz w:val="22"/>
          <w:szCs w:val="22"/>
        </w:rPr>
        <w:t xml:space="preserve">the </w:t>
      </w:r>
      <w:r w:rsidR="0091576B" w:rsidRPr="009E35ED">
        <w:rPr>
          <w:rFonts w:ascii="Arial" w:hAnsi="Arial" w:cs="Arial"/>
          <w:color w:val="000000" w:themeColor="text1"/>
          <w:sz w:val="22"/>
          <w:szCs w:val="22"/>
        </w:rPr>
        <w:t>B</w:t>
      </w:r>
      <w:r w:rsidR="00A9476E">
        <w:rPr>
          <w:rFonts w:ascii="Arial" w:hAnsi="Arial" w:cs="Arial"/>
          <w:color w:val="000000" w:themeColor="text1"/>
          <w:sz w:val="22"/>
          <w:szCs w:val="22"/>
        </w:rPr>
        <w:t>SP</w:t>
      </w:r>
      <w:r w:rsidR="0091576B" w:rsidRPr="009E35ED">
        <w:rPr>
          <w:rFonts w:ascii="Arial" w:hAnsi="Arial" w:cs="Arial"/>
          <w:color w:val="000000" w:themeColor="text1"/>
          <w:sz w:val="22"/>
          <w:szCs w:val="22"/>
        </w:rPr>
        <w:t xml:space="preserve"> with a similar term</w:t>
      </w:r>
      <w:r w:rsidR="000E7B4A" w:rsidRPr="009E35ED">
        <w:rPr>
          <w:rFonts w:ascii="Arial" w:hAnsi="Arial" w:cs="Arial"/>
          <w:color w:val="000000" w:themeColor="text1"/>
          <w:sz w:val="22"/>
          <w:szCs w:val="22"/>
        </w:rPr>
        <w:t>, as the implicit rate cannot be determined in the lease contract.</w:t>
      </w:r>
    </w:p>
    <w:p w14:paraId="4215CB56" w14:textId="77777777" w:rsidR="0091576B" w:rsidRPr="009E35ED" w:rsidRDefault="0091576B" w:rsidP="00803F8C">
      <w:pPr>
        <w:ind w:left="0"/>
        <w:rPr>
          <w:rFonts w:ascii="Arial" w:hAnsi="Arial" w:cs="Arial"/>
          <w:color w:val="000000" w:themeColor="text1"/>
          <w:sz w:val="22"/>
          <w:szCs w:val="22"/>
        </w:rPr>
      </w:pPr>
    </w:p>
    <w:p w14:paraId="59268692" w14:textId="1BE98BC4" w:rsidR="0091576B" w:rsidRPr="009E35ED" w:rsidRDefault="0091576B" w:rsidP="00803F8C">
      <w:pPr>
        <w:ind w:left="0"/>
        <w:rPr>
          <w:rFonts w:ascii="Arial" w:hAnsi="Arial" w:cs="Arial"/>
          <w:color w:val="000000" w:themeColor="text1"/>
          <w:sz w:val="22"/>
          <w:szCs w:val="22"/>
        </w:rPr>
      </w:pPr>
      <w:r w:rsidRPr="009E35ED">
        <w:rPr>
          <w:rFonts w:ascii="Arial" w:hAnsi="Arial" w:cs="Arial"/>
          <w:color w:val="000000" w:themeColor="text1"/>
          <w:sz w:val="22"/>
          <w:szCs w:val="22"/>
        </w:rPr>
        <w:t>ROU asset is depreciated over the lease term</w:t>
      </w:r>
      <w:r w:rsidR="00206578" w:rsidRPr="009E35ED">
        <w:rPr>
          <w:rFonts w:ascii="Arial" w:hAnsi="Arial" w:cs="Arial"/>
          <w:color w:val="000000" w:themeColor="text1"/>
          <w:sz w:val="22"/>
          <w:szCs w:val="22"/>
        </w:rPr>
        <w:t xml:space="preserve"> using straight line method</w:t>
      </w:r>
      <w:r w:rsidRPr="009E35ED">
        <w:rPr>
          <w:rFonts w:ascii="Arial" w:hAnsi="Arial" w:cs="Arial"/>
          <w:color w:val="000000" w:themeColor="text1"/>
          <w:sz w:val="22"/>
          <w:szCs w:val="22"/>
        </w:rPr>
        <w:t>.</w:t>
      </w:r>
    </w:p>
    <w:p w14:paraId="36057132" w14:textId="77777777" w:rsidR="0091576B" w:rsidRPr="009E35ED" w:rsidRDefault="0091576B" w:rsidP="00803F8C">
      <w:pPr>
        <w:ind w:left="0"/>
        <w:rPr>
          <w:rFonts w:ascii="Arial" w:hAnsi="Arial" w:cs="Arial"/>
          <w:color w:val="000000" w:themeColor="text1"/>
          <w:sz w:val="22"/>
          <w:szCs w:val="22"/>
        </w:rPr>
      </w:pPr>
    </w:p>
    <w:p w14:paraId="09D4630F" w14:textId="7D3355DB" w:rsidR="0091576B" w:rsidRPr="009E35ED" w:rsidRDefault="0091576B" w:rsidP="00803F8C">
      <w:pPr>
        <w:ind w:left="0"/>
        <w:rPr>
          <w:rFonts w:ascii="Arial" w:hAnsi="Arial" w:cs="Arial"/>
          <w:color w:val="000000" w:themeColor="text1"/>
          <w:sz w:val="22"/>
          <w:szCs w:val="22"/>
        </w:rPr>
      </w:pPr>
      <w:r w:rsidRPr="009E35ED">
        <w:rPr>
          <w:rFonts w:ascii="Arial" w:hAnsi="Arial" w:cs="Arial"/>
          <w:color w:val="000000" w:themeColor="text1"/>
          <w:sz w:val="22"/>
          <w:szCs w:val="22"/>
        </w:rPr>
        <w:t xml:space="preserve">ROU assets are included in the heading Property, </w:t>
      </w:r>
      <w:r w:rsidR="004E1EE5" w:rsidRPr="009E35ED">
        <w:rPr>
          <w:rFonts w:ascii="Arial" w:hAnsi="Arial" w:cs="Arial"/>
          <w:color w:val="000000" w:themeColor="text1"/>
          <w:sz w:val="22"/>
          <w:szCs w:val="22"/>
        </w:rPr>
        <w:t>Plant and Equipment – Leased Assets, and the lease liability is included in the headings Current</w:t>
      </w:r>
      <w:r w:rsidR="00206578" w:rsidRPr="009E35ED">
        <w:rPr>
          <w:rFonts w:ascii="Arial" w:hAnsi="Arial" w:cs="Arial"/>
          <w:color w:val="000000" w:themeColor="text1"/>
          <w:sz w:val="22"/>
          <w:szCs w:val="22"/>
        </w:rPr>
        <w:t xml:space="preserve"> and Non-Current</w:t>
      </w:r>
      <w:r w:rsidR="004E1EE5" w:rsidRPr="009E35ED">
        <w:rPr>
          <w:rFonts w:ascii="Arial" w:hAnsi="Arial" w:cs="Arial"/>
          <w:color w:val="000000" w:themeColor="text1"/>
          <w:sz w:val="22"/>
          <w:szCs w:val="22"/>
        </w:rPr>
        <w:t xml:space="preserve"> Financial Liabilities.</w:t>
      </w:r>
    </w:p>
    <w:p w14:paraId="33E8EC66" w14:textId="77777777" w:rsidR="00A83858" w:rsidRPr="009E35ED" w:rsidRDefault="00A83858" w:rsidP="00803F8C">
      <w:pPr>
        <w:ind w:left="0"/>
        <w:rPr>
          <w:rFonts w:ascii="Arial" w:hAnsi="Arial" w:cs="Arial"/>
          <w:b/>
          <w:color w:val="000000" w:themeColor="text1"/>
          <w:sz w:val="22"/>
          <w:szCs w:val="22"/>
        </w:rPr>
      </w:pPr>
    </w:p>
    <w:p w14:paraId="09C1D681" w14:textId="584E9F45" w:rsidR="00737B06" w:rsidRPr="009E35ED" w:rsidRDefault="00A9476E" w:rsidP="00737B06">
      <w:pPr>
        <w:ind w:left="0"/>
        <w:rPr>
          <w:rFonts w:ascii="Arial" w:hAnsi="Arial" w:cs="Arial"/>
          <w:color w:val="000000" w:themeColor="text1"/>
          <w:sz w:val="22"/>
          <w:szCs w:val="22"/>
        </w:rPr>
      </w:pPr>
      <w:r>
        <w:rPr>
          <w:rFonts w:ascii="Arial" w:hAnsi="Arial" w:cs="Arial"/>
          <w:color w:val="000000" w:themeColor="text1"/>
          <w:sz w:val="22"/>
          <w:szCs w:val="22"/>
        </w:rPr>
        <w:t xml:space="preserve">The </w:t>
      </w:r>
      <w:r w:rsidR="00FA6608" w:rsidRPr="009E35ED">
        <w:rPr>
          <w:rFonts w:ascii="Arial" w:hAnsi="Arial" w:cs="Arial"/>
          <w:color w:val="000000" w:themeColor="text1"/>
          <w:sz w:val="22"/>
          <w:szCs w:val="22"/>
        </w:rPr>
        <w:t xml:space="preserve">PCSO adopted PFRS 16 using the modified retrospective approach effective for reporting periods beginning on or after January 1, 2019 and to apply the new standard to contracts that were previously identified as leases under PAS 17, </w:t>
      </w:r>
      <w:r w:rsidR="00CD2844" w:rsidRPr="009E35ED">
        <w:rPr>
          <w:rFonts w:ascii="Arial" w:hAnsi="Arial" w:cs="Arial"/>
          <w:color w:val="000000" w:themeColor="text1"/>
          <w:sz w:val="22"/>
          <w:szCs w:val="22"/>
        </w:rPr>
        <w:t>likewise,</w:t>
      </w:r>
      <w:r>
        <w:rPr>
          <w:rFonts w:ascii="Arial" w:hAnsi="Arial" w:cs="Arial"/>
          <w:color w:val="000000" w:themeColor="text1"/>
          <w:sz w:val="22"/>
          <w:szCs w:val="22"/>
        </w:rPr>
        <w:t xml:space="preserve"> the</w:t>
      </w:r>
      <w:r w:rsidR="00CD2844" w:rsidRPr="009E35ED">
        <w:rPr>
          <w:rFonts w:ascii="Arial" w:hAnsi="Arial" w:cs="Arial"/>
          <w:color w:val="000000" w:themeColor="text1"/>
          <w:sz w:val="22"/>
          <w:szCs w:val="22"/>
        </w:rPr>
        <w:t xml:space="preserve"> PCSO</w:t>
      </w:r>
      <w:r w:rsidR="00FA6608" w:rsidRPr="009E35ED">
        <w:rPr>
          <w:rFonts w:ascii="Arial" w:hAnsi="Arial" w:cs="Arial"/>
          <w:color w:val="000000" w:themeColor="text1"/>
          <w:sz w:val="22"/>
          <w:szCs w:val="22"/>
        </w:rPr>
        <w:t xml:space="preserve"> will not apply the standard to contracts that were not previously identified as lease under </w:t>
      </w:r>
      <w:r w:rsidR="004716EF">
        <w:rPr>
          <w:rFonts w:ascii="Arial" w:hAnsi="Arial" w:cs="Arial"/>
          <w:color w:val="000000" w:themeColor="text1"/>
          <w:sz w:val="22"/>
          <w:szCs w:val="22"/>
        </w:rPr>
        <w:t xml:space="preserve">    </w:t>
      </w:r>
      <w:r w:rsidR="00FA6608" w:rsidRPr="009E35ED">
        <w:rPr>
          <w:rFonts w:ascii="Arial" w:hAnsi="Arial" w:cs="Arial"/>
          <w:color w:val="000000" w:themeColor="text1"/>
          <w:sz w:val="22"/>
          <w:szCs w:val="22"/>
        </w:rPr>
        <w:t>PAS 17.</w:t>
      </w:r>
    </w:p>
    <w:p w14:paraId="45C36ECE" w14:textId="3F292345" w:rsidR="00CD74C5" w:rsidRPr="009E35ED" w:rsidRDefault="00CD74C5" w:rsidP="00803F8C">
      <w:pPr>
        <w:ind w:left="0"/>
        <w:rPr>
          <w:rFonts w:ascii="Arial" w:hAnsi="Arial" w:cs="Arial"/>
          <w:b/>
          <w:color w:val="000000" w:themeColor="text1"/>
          <w:sz w:val="22"/>
          <w:szCs w:val="22"/>
        </w:rPr>
      </w:pPr>
    </w:p>
    <w:p w14:paraId="4B17BEF3" w14:textId="77777777" w:rsidR="006842C0" w:rsidRPr="009E35ED" w:rsidRDefault="006842C0" w:rsidP="00074309">
      <w:pPr>
        <w:pStyle w:val="ListParagraph"/>
        <w:numPr>
          <w:ilvl w:val="0"/>
          <w:numId w:val="8"/>
        </w:numPr>
        <w:ind w:hanging="720"/>
        <w:rPr>
          <w:rFonts w:ascii="Arial" w:hAnsi="Arial" w:cs="Arial"/>
          <w:b/>
          <w:color w:val="000000" w:themeColor="text1"/>
          <w:sz w:val="22"/>
          <w:szCs w:val="22"/>
        </w:rPr>
      </w:pPr>
      <w:r w:rsidRPr="009E35ED">
        <w:rPr>
          <w:rFonts w:ascii="Arial" w:hAnsi="Arial" w:cs="Arial"/>
          <w:b/>
          <w:color w:val="000000" w:themeColor="text1"/>
          <w:sz w:val="22"/>
          <w:szCs w:val="22"/>
        </w:rPr>
        <w:t>Employee Benefits</w:t>
      </w:r>
    </w:p>
    <w:p w14:paraId="69055F05" w14:textId="77777777" w:rsidR="006842C0" w:rsidRPr="009E35ED" w:rsidRDefault="006842C0" w:rsidP="00803F8C">
      <w:pPr>
        <w:ind w:left="0"/>
        <w:rPr>
          <w:rFonts w:ascii="Arial" w:hAnsi="Arial" w:cs="Arial"/>
          <w:b/>
          <w:color w:val="000000" w:themeColor="text1"/>
          <w:sz w:val="22"/>
          <w:szCs w:val="22"/>
        </w:rPr>
      </w:pPr>
    </w:p>
    <w:p w14:paraId="0E1B2E7E" w14:textId="77777777" w:rsidR="00803F8C" w:rsidRPr="009E35ED" w:rsidRDefault="006842C0" w:rsidP="00803F8C">
      <w:pPr>
        <w:ind w:left="0"/>
        <w:rPr>
          <w:rFonts w:ascii="Arial" w:hAnsi="Arial" w:cs="Arial"/>
          <w:color w:val="000000" w:themeColor="text1"/>
          <w:sz w:val="22"/>
          <w:szCs w:val="22"/>
        </w:rPr>
      </w:pPr>
      <w:r w:rsidRPr="009E35ED">
        <w:rPr>
          <w:rFonts w:ascii="Arial" w:hAnsi="Arial" w:cs="Arial"/>
          <w:color w:val="000000" w:themeColor="text1"/>
          <w:sz w:val="22"/>
          <w:szCs w:val="22"/>
        </w:rPr>
        <w:t xml:space="preserve">Under PAS 19 </w:t>
      </w:r>
      <w:r w:rsidRPr="009E35ED">
        <w:rPr>
          <w:rFonts w:ascii="Arial" w:hAnsi="Arial" w:cs="Arial"/>
          <w:i/>
          <w:color w:val="000000" w:themeColor="text1"/>
          <w:sz w:val="22"/>
          <w:szCs w:val="22"/>
        </w:rPr>
        <w:t>– Employee Benefits</w:t>
      </w:r>
      <w:r w:rsidRPr="009E35ED">
        <w:rPr>
          <w:rFonts w:ascii="Arial" w:hAnsi="Arial" w:cs="Arial"/>
          <w:color w:val="000000" w:themeColor="text1"/>
          <w:sz w:val="22"/>
          <w:szCs w:val="22"/>
        </w:rPr>
        <w:t>, an entity is required to recognize a liability when an employee has provided service in exchange for employee benefits to be paid in the future; and an expense when the entity consumes the economic benefit arising from service provided by an employee in exchange for employee benefits.</w:t>
      </w:r>
    </w:p>
    <w:p w14:paraId="43D34BEC" w14:textId="77777777" w:rsidR="00803F8C" w:rsidRPr="009E35ED" w:rsidRDefault="00803F8C" w:rsidP="00803F8C">
      <w:pPr>
        <w:ind w:left="0"/>
        <w:rPr>
          <w:rFonts w:ascii="Arial" w:hAnsi="Arial" w:cs="Arial"/>
          <w:color w:val="000000" w:themeColor="text1"/>
          <w:sz w:val="22"/>
          <w:szCs w:val="22"/>
        </w:rPr>
      </w:pPr>
    </w:p>
    <w:p w14:paraId="1C1486C3" w14:textId="77777777" w:rsidR="009C06D7" w:rsidRPr="009E35ED" w:rsidRDefault="009C06D7" w:rsidP="00803F8C">
      <w:pPr>
        <w:ind w:left="0"/>
        <w:rPr>
          <w:rFonts w:ascii="Arial" w:hAnsi="Arial" w:cs="Arial"/>
          <w:b/>
          <w:color w:val="000000" w:themeColor="text1"/>
          <w:sz w:val="22"/>
          <w:szCs w:val="22"/>
        </w:rPr>
      </w:pPr>
      <w:r w:rsidRPr="009E35ED">
        <w:rPr>
          <w:rFonts w:ascii="Arial" w:hAnsi="Arial" w:cs="Arial"/>
          <w:b/>
          <w:color w:val="000000" w:themeColor="text1"/>
          <w:sz w:val="22"/>
          <w:szCs w:val="22"/>
        </w:rPr>
        <w:t>Short-term Benefits</w:t>
      </w:r>
    </w:p>
    <w:p w14:paraId="5A829B23" w14:textId="77777777" w:rsidR="009C06D7" w:rsidRPr="009E35ED" w:rsidRDefault="009C06D7" w:rsidP="00803F8C">
      <w:pPr>
        <w:ind w:left="0"/>
        <w:rPr>
          <w:rFonts w:ascii="Arial" w:hAnsi="Arial" w:cs="Arial"/>
          <w:color w:val="000000" w:themeColor="text1"/>
          <w:sz w:val="22"/>
          <w:szCs w:val="22"/>
        </w:rPr>
      </w:pPr>
    </w:p>
    <w:p w14:paraId="5F8685AC" w14:textId="77777777" w:rsidR="0016421B" w:rsidRPr="009E35ED" w:rsidRDefault="009C06D7" w:rsidP="00803F8C">
      <w:pPr>
        <w:ind w:left="0"/>
        <w:rPr>
          <w:rFonts w:ascii="Arial" w:hAnsi="Arial" w:cs="Arial"/>
          <w:i/>
          <w:color w:val="000000" w:themeColor="text1"/>
          <w:sz w:val="22"/>
          <w:szCs w:val="22"/>
        </w:rPr>
      </w:pPr>
      <w:r w:rsidRPr="009E35ED">
        <w:rPr>
          <w:rFonts w:ascii="Arial" w:hAnsi="Arial" w:cs="Arial"/>
          <w:color w:val="000000" w:themeColor="text1"/>
          <w:sz w:val="22"/>
          <w:szCs w:val="22"/>
        </w:rPr>
        <w:t>The PCSO recognizes an expense for services rendered by employees during the accounting period.  A liability is recognized for the amount expected to be paid if the PCSO has a present legal or constructive obligation to pay this amount as a result of past service provided by the employee, and the obligation can be estimated reliably.</w:t>
      </w:r>
      <w:r w:rsidR="00C6513F" w:rsidRPr="009E35ED">
        <w:rPr>
          <w:rFonts w:ascii="Arial" w:hAnsi="Arial" w:cs="Arial"/>
          <w:color w:val="000000" w:themeColor="text1"/>
          <w:sz w:val="22"/>
          <w:szCs w:val="22"/>
        </w:rPr>
        <w:t xml:space="preserve"> </w:t>
      </w:r>
    </w:p>
    <w:p w14:paraId="69ADCC3B" w14:textId="77777777" w:rsidR="00DC10B4" w:rsidRPr="009E35ED" w:rsidRDefault="00DC10B4" w:rsidP="00803F8C">
      <w:pPr>
        <w:ind w:left="0"/>
        <w:rPr>
          <w:rFonts w:ascii="Arial" w:hAnsi="Arial" w:cs="Arial"/>
          <w:b/>
          <w:color w:val="000000" w:themeColor="text1"/>
          <w:sz w:val="22"/>
          <w:szCs w:val="22"/>
        </w:rPr>
      </w:pPr>
    </w:p>
    <w:p w14:paraId="4453F96A" w14:textId="77777777" w:rsidR="006842C0" w:rsidRPr="009E35ED" w:rsidRDefault="009C06D7" w:rsidP="00803F8C">
      <w:pPr>
        <w:ind w:left="0"/>
        <w:rPr>
          <w:rFonts w:ascii="Arial" w:hAnsi="Arial" w:cs="Arial"/>
          <w:b/>
          <w:color w:val="000000" w:themeColor="text1"/>
          <w:sz w:val="22"/>
          <w:szCs w:val="22"/>
        </w:rPr>
      </w:pPr>
      <w:r w:rsidRPr="009E35ED">
        <w:rPr>
          <w:rFonts w:ascii="Arial" w:hAnsi="Arial" w:cs="Arial"/>
          <w:b/>
          <w:color w:val="000000" w:themeColor="text1"/>
          <w:sz w:val="22"/>
          <w:szCs w:val="22"/>
        </w:rPr>
        <w:t>Terminal leave Benefits</w:t>
      </w:r>
    </w:p>
    <w:p w14:paraId="649422E2" w14:textId="77777777" w:rsidR="006842C0" w:rsidRPr="009E35ED" w:rsidRDefault="006842C0" w:rsidP="00803F8C">
      <w:pPr>
        <w:ind w:left="0"/>
        <w:rPr>
          <w:rFonts w:ascii="Arial" w:hAnsi="Arial" w:cs="Arial"/>
          <w:color w:val="000000" w:themeColor="text1"/>
          <w:sz w:val="22"/>
          <w:szCs w:val="22"/>
        </w:rPr>
      </w:pPr>
    </w:p>
    <w:p w14:paraId="220B2DF7" w14:textId="77777777" w:rsidR="006842C0" w:rsidRPr="009E35ED" w:rsidRDefault="009C06D7" w:rsidP="00803F8C">
      <w:pPr>
        <w:ind w:left="0"/>
        <w:rPr>
          <w:rFonts w:ascii="Arial" w:hAnsi="Arial" w:cs="Arial"/>
          <w:color w:val="000000" w:themeColor="text1"/>
          <w:sz w:val="22"/>
          <w:szCs w:val="22"/>
        </w:rPr>
      </w:pPr>
      <w:r w:rsidRPr="009E35ED">
        <w:rPr>
          <w:rFonts w:ascii="Arial" w:hAnsi="Arial" w:cs="Arial"/>
          <w:color w:val="000000" w:themeColor="text1"/>
          <w:sz w:val="22"/>
          <w:szCs w:val="22"/>
        </w:rPr>
        <w:t>Terminal leave benefits are computed based on the actual leave credits earned by employees as of reporting date.  The amount reported as liability in the statement of financial position is based on the employee’s salary grade as of reporting dates.</w:t>
      </w:r>
    </w:p>
    <w:p w14:paraId="21EF2BDB" w14:textId="77777777" w:rsidR="000261A9" w:rsidRPr="009E35ED" w:rsidRDefault="000261A9" w:rsidP="00803F8C">
      <w:pPr>
        <w:ind w:left="0"/>
        <w:rPr>
          <w:rFonts w:ascii="Arial" w:hAnsi="Arial" w:cs="Arial"/>
          <w:color w:val="000000" w:themeColor="text1"/>
          <w:sz w:val="22"/>
          <w:szCs w:val="22"/>
        </w:rPr>
      </w:pPr>
    </w:p>
    <w:p w14:paraId="557E9BF8" w14:textId="560BB97B" w:rsidR="003158E0" w:rsidRPr="009E35ED" w:rsidRDefault="000261A9" w:rsidP="00803F8C">
      <w:pPr>
        <w:ind w:left="0"/>
        <w:rPr>
          <w:rFonts w:ascii="Arial" w:hAnsi="Arial" w:cs="Arial"/>
          <w:color w:val="000000" w:themeColor="text1"/>
          <w:sz w:val="22"/>
          <w:szCs w:val="22"/>
        </w:rPr>
      </w:pPr>
      <w:r w:rsidRPr="009E35ED">
        <w:rPr>
          <w:rFonts w:ascii="Arial" w:hAnsi="Arial" w:cs="Arial"/>
          <w:color w:val="000000" w:themeColor="text1"/>
          <w:sz w:val="22"/>
          <w:szCs w:val="22"/>
        </w:rPr>
        <w:t>The total terminal leave liability as of December 31, 20</w:t>
      </w:r>
      <w:r w:rsidR="00BA6673" w:rsidRPr="009E35ED">
        <w:rPr>
          <w:rFonts w:ascii="Arial" w:hAnsi="Arial" w:cs="Arial"/>
          <w:color w:val="000000" w:themeColor="text1"/>
          <w:sz w:val="22"/>
          <w:szCs w:val="22"/>
        </w:rPr>
        <w:t>2</w:t>
      </w:r>
      <w:r w:rsidR="00F05815" w:rsidRPr="009E35ED">
        <w:rPr>
          <w:rFonts w:ascii="Arial" w:hAnsi="Arial" w:cs="Arial"/>
          <w:color w:val="000000" w:themeColor="text1"/>
          <w:sz w:val="22"/>
          <w:szCs w:val="22"/>
        </w:rPr>
        <w:t>3</w:t>
      </w:r>
      <w:r w:rsidRPr="009E35ED">
        <w:rPr>
          <w:rFonts w:ascii="Arial" w:hAnsi="Arial" w:cs="Arial"/>
          <w:color w:val="000000" w:themeColor="text1"/>
          <w:sz w:val="22"/>
          <w:szCs w:val="22"/>
        </w:rPr>
        <w:t xml:space="preserve"> amounted to </w:t>
      </w:r>
      <w:r w:rsidR="00F10767">
        <w:rPr>
          <w:rFonts w:ascii="Arial" w:hAnsi="Arial" w:cs="Arial"/>
          <w:color w:val="000000" w:themeColor="text1"/>
          <w:sz w:val="22"/>
          <w:szCs w:val="22"/>
        </w:rPr>
        <w:t>P</w:t>
      </w:r>
      <w:r w:rsidR="00C63882" w:rsidRPr="009E35ED">
        <w:rPr>
          <w:rFonts w:ascii="Arial" w:hAnsi="Arial" w:cs="Arial"/>
          <w:color w:val="000000" w:themeColor="text1"/>
          <w:sz w:val="22"/>
          <w:szCs w:val="22"/>
        </w:rPr>
        <w:t>2</w:t>
      </w:r>
      <w:r w:rsidR="004C4255" w:rsidRPr="009E35ED">
        <w:rPr>
          <w:rFonts w:ascii="Arial" w:hAnsi="Arial" w:cs="Arial"/>
          <w:color w:val="000000" w:themeColor="text1"/>
          <w:sz w:val="22"/>
          <w:szCs w:val="22"/>
        </w:rPr>
        <w:t>93</w:t>
      </w:r>
      <w:r w:rsidR="00C63882" w:rsidRPr="009E35ED">
        <w:rPr>
          <w:rFonts w:ascii="Arial" w:hAnsi="Arial" w:cs="Arial"/>
          <w:color w:val="000000" w:themeColor="text1"/>
          <w:sz w:val="22"/>
          <w:szCs w:val="22"/>
        </w:rPr>
        <w:t>,</w:t>
      </w:r>
      <w:r w:rsidR="004C4255" w:rsidRPr="009E35ED">
        <w:rPr>
          <w:rFonts w:ascii="Arial" w:hAnsi="Arial" w:cs="Arial"/>
          <w:color w:val="000000" w:themeColor="text1"/>
          <w:sz w:val="22"/>
          <w:szCs w:val="22"/>
        </w:rPr>
        <w:t>4</w:t>
      </w:r>
      <w:r w:rsidR="001E3464" w:rsidRPr="009E35ED">
        <w:rPr>
          <w:rFonts w:ascii="Arial" w:hAnsi="Arial" w:cs="Arial"/>
          <w:color w:val="000000" w:themeColor="text1"/>
          <w:sz w:val="22"/>
          <w:szCs w:val="22"/>
        </w:rPr>
        <w:t>37</w:t>
      </w:r>
      <w:r w:rsidR="00C63882" w:rsidRPr="009E35ED">
        <w:rPr>
          <w:rFonts w:ascii="Arial" w:hAnsi="Arial" w:cs="Arial"/>
          <w:color w:val="000000" w:themeColor="text1"/>
          <w:sz w:val="22"/>
          <w:szCs w:val="22"/>
        </w:rPr>
        <w:t>,</w:t>
      </w:r>
      <w:r w:rsidR="001E3464" w:rsidRPr="009E35ED">
        <w:rPr>
          <w:rFonts w:ascii="Arial" w:hAnsi="Arial" w:cs="Arial"/>
          <w:color w:val="000000" w:themeColor="text1"/>
          <w:sz w:val="22"/>
          <w:szCs w:val="22"/>
        </w:rPr>
        <w:t>595</w:t>
      </w:r>
      <w:r w:rsidR="00CD2844" w:rsidRPr="009E35ED">
        <w:rPr>
          <w:rFonts w:ascii="Arial" w:hAnsi="Arial" w:cs="Arial"/>
          <w:color w:val="000000" w:themeColor="text1"/>
          <w:sz w:val="22"/>
          <w:szCs w:val="22"/>
        </w:rPr>
        <w:t xml:space="preserve"> </w:t>
      </w:r>
      <w:r w:rsidRPr="009E35ED">
        <w:rPr>
          <w:rFonts w:ascii="Arial" w:hAnsi="Arial" w:cs="Arial"/>
          <w:color w:val="000000" w:themeColor="text1"/>
          <w:sz w:val="22"/>
          <w:szCs w:val="22"/>
        </w:rPr>
        <w:t>recorded in the account Leave Benefits Payable.</w:t>
      </w:r>
    </w:p>
    <w:p w14:paraId="4BB36841" w14:textId="78554724" w:rsidR="00991054" w:rsidRPr="009E35ED" w:rsidRDefault="00991054" w:rsidP="00803F8C">
      <w:pPr>
        <w:ind w:left="0"/>
        <w:rPr>
          <w:rFonts w:ascii="Arial" w:hAnsi="Arial" w:cs="Arial"/>
          <w:color w:val="000000" w:themeColor="text1"/>
          <w:sz w:val="22"/>
          <w:szCs w:val="22"/>
        </w:rPr>
      </w:pPr>
    </w:p>
    <w:p w14:paraId="5D308F9B" w14:textId="77777777" w:rsidR="006842C0" w:rsidRPr="009E35ED" w:rsidRDefault="007F437E" w:rsidP="00074309">
      <w:pPr>
        <w:pStyle w:val="ListParagraph"/>
        <w:numPr>
          <w:ilvl w:val="0"/>
          <w:numId w:val="8"/>
        </w:numPr>
        <w:ind w:hanging="720"/>
        <w:rPr>
          <w:rFonts w:ascii="Arial" w:hAnsi="Arial" w:cs="Arial"/>
          <w:b/>
          <w:color w:val="000000" w:themeColor="text1"/>
          <w:sz w:val="22"/>
          <w:szCs w:val="22"/>
        </w:rPr>
      </w:pPr>
      <w:r w:rsidRPr="009E35ED">
        <w:rPr>
          <w:rFonts w:ascii="Arial" w:hAnsi="Arial" w:cs="Arial"/>
          <w:b/>
          <w:color w:val="000000" w:themeColor="text1"/>
          <w:sz w:val="22"/>
          <w:szCs w:val="22"/>
        </w:rPr>
        <w:t>Income Taxes</w:t>
      </w:r>
    </w:p>
    <w:p w14:paraId="2B020BDF" w14:textId="77777777" w:rsidR="007F437E" w:rsidRPr="009E35ED" w:rsidRDefault="007F437E" w:rsidP="00803F8C">
      <w:pPr>
        <w:ind w:left="0"/>
        <w:rPr>
          <w:rFonts w:ascii="Arial" w:hAnsi="Arial" w:cs="Arial"/>
          <w:b/>
          <w:color w:val="000000" w:themeColor="text1"/>
          <w:sz w:val="22"/>
          <w:szCs w:val="22"/>
        </w:rPr>
      </w:pPr>
    </w:p>
    <w:p w14:paraId="088E2655" w14:textId="13EABA14" w:rsidR="009C06D7" w:rsidRPr="009E35ED" w:rsidRDefault="009C06D7" w:rsidP="00803F8C">
      <w:pPr>
        <w:ind w:left="0"/>
        <w:rPr>
          <w:rFonts w:ascii="Arial" w:hAnsi="Arial" w:cs="Arial"/>
          <w:color w:val="000000" w:themeColor="text1"/>
          <w:sz w:val="22"/>
          <w:szCs w:val="22"/>
        </w:rPr>
      </w:pPr>
      <w:r w:rsidRPr="009E35ED">
        <w:rPr>
          <w:rFonts w:ascii="Arial" w:hAnsi="Arial" w:cs="Arial"/>
          <w:color w:val="000000" w:themeColor="text1"/>
          <w:sz w:val="22"/>
          <w:szCs w:val="22"/>
        </w:rPr>
        <w:t xml:space="preserve">Income tax expense represents the </w:t>
      </w:r>
      <w:r w:rsidR="00E16068" w:rsidRPr="009E35ED">
        <w:rPr>
          <w:rFonts w:ascii="Arial" w:hAnsi="Arial" w:cs="Arial"/>
          <w:color w:val="000000" w:themeColor="text1"/>
          <w:sz w:val="22"/>
          <w:szCs w:val="22"/>
        </w:rPr>
        <w:t xml:space="preserve">difference </w:t>
      </w:r>
      <w:r w:rsidRPr="009E35ED">
        <w:rPr>
          <w:rFonts w:ascii="Arial" w:hAnsi="Arial" w:cs="Arial"/>
          <w:color w:val="000000" w:themeColor="text1"/>
          <w:sz w:val="22"/>
          <w:szCs w:val="22"/>
        </w:rPr>
        <w:t>of the current tax and deferred tax expense.</w:t>
      </w:r>
    </w:p>
    <w:p w14:paraId="506146D2" w14:textId="77777777" w:rsidR="009C06D7" w:rsidRPr="009E35ED" w:rsidRDefault="009C06D7" w:rsidP="00803F8C">
      <w:pPr>
        <w:ind w:left="0"/>
        <w:rPr>
          <w:rFonts w:ascii="Arial" w:hAnsi="Arial" w:cs="Arial"/>
          <w:color w:val="000000" w:themeColor="text1"/>
          <w:sz w:val="22"/>
          <w:szCs w:val="22"/>
        </w:rPr>
      </w:pPr>
    </w:p>
    <w:p w14:paraId="3EE6CC1E" w14:textId="77777777" w:rsidR="009C06D7" w:rsidRPr="009E35ED" w:rsidRDefault="009C06D7" w:rsidP="00803F8C">
      <w:pPr>
        <w:ind w:left="0"/>
        <w:rPr>
          <w:rFonts w:ascii="Arial" w:hAnsi="Arial" w:cs="Arial"/>
          <w:b/>
          <w:color w:val="000000" w:themeColor="text1"/>
          <w:sz w:val="22"/>
          <w:szCs w:val="22"/>
        </w:rPr>
      </w:pPr>
      <w:r w:rsidRPr="009E35ED">
        <w:rPr>
          <w:rFonts w:ascii="Arial" w:hAnsi="Arial" w:cs="Arial"/>
          <w:b/>
          <w:color w:val="000000" w:themeColor="text1"/>
          <w:sz w:val="22"/>
          <w:szCs w:val="22"/>
        </w:rPr>
        <w:t>Current Tax</w:t>
      </w:r>
    </w:p>
    <w:p w14:paraId="37316EF8" w14:textId="77777777" w:rsidR="009C06D7" w:rsidRPr="009E35ED" w:rsidRDefault="009C06D7" w:rsidP="00803F8C">
      <w:pPr>
        <w:ind w:left="0"/>
        <w:rPr>
          <w:rFonts w:ascii="Arial" w:hAnsi="Arial" w:cs="Arial"/>
          <w:color w:val="000000" w:themeColor="text1"/>
          <w:sz w:val="22"/>
          <w:szCs w:val="22"/>
          <w:u w:val="single"/>
        </w:rPr>
      </w:pPr>
    </w:p>
    <w:p w14:paraId="7E7AF249" w14:textId="3DA535E1" w:rsidR="009C06D7" w:rsidRPr="009E35ED" w:rsidRDefault="009C06D7" w:rsidP="00A20319">
      <w:pPr>
        <w:ind w:left="0"/>
        <w:rPr>
          <w:rFonts w:ascii="Arial" w:hAnsi="Arial" w:cs="Arial"/>
          <w:color w:val="000000" w:themeColor="text1"/>
          <w:sz w:val="22"/>
          <w:szCs w:val="22"/>
        </w:rPr>
      </w:pPr>
      <w:r w:rsidRPr="009E35ED">
        <w:rPr>
          <w:rFonts w:ascii="Arial" w:hAnsi="Arial" w:cs="Arial"/>
          <w:color w:val="000000" w:themeColor="text1"/>
          <w:sz w:val="22"/>
          <w:szCs w:val="22"/>
        </w:rPr>
        <w:t xml:space="preserve">The current tax expense is based on taxable profit for the year.  Taxable profit differs from net profit as reported in the statements of comprehensive income because it excludes items of income or expense that are taxable or deductible in other years and it further excludes items that are never taxable or deductible.  PCSO’s current tax </w:t>
      </w:r>
      <w:r w:rsidR="00E16068" w:rsidRPr="009E35ED">
        <w:rPr>
          <w:rFonts w:ascii="Arial" w:hAnsi="Arial" w:cs="Arial"/>
          <w:color w:val="000000" w:themeColor="text1"/>
          <w:sz w:val="22"/>
          <w:szCs w:val="22"/>
        </w:rPr>
        <w:t>asset/</w:t>
      </w:r>
      <w:r w:rsidRPr="009E35ED">
        <w:rPr>
          <w:rFonts w:ascii="Arial" w:hAnsi="Arial" w:cs="Arial"/>
          <w:color w:val="000000" w:themeColor="text1"/>
          <w:sz w:val="22"/>
          <w:szCs w:val="22"/>
        </w:rPr>
        <w:t>liability is calculated using</w:t>
      </w:r>
      <w:r w:rsidR="00A20319" w:rsidRPr="009E35ED">
        <w:rPr>
          <w:rFonts w:ascii="Arial" w:hAnsi="Arial" w:cs="Arial"/>
          <w:color w:val="000000" w:themeColor="text1"/>
          <w:sz w:val="22"/>
          <w:szCs w:val="22"/>
        </w:rPr>
        <w:t xml:space="preserve"> the </w:t>
      </w:r>
      <w:r w:rsidRPr="009E35ED">
        <w:rPr>
          <w:rFonts w:ascii="Arial" w:hAnsi="Arial" w:cs="Arial"/>
          <w:color w:val="000000" w:themeColor="text1"/>
          <w:sz w:val="22"/>
          <w:szCs w:val="22"/>
        </w:rPr>
        <w:t>regular corporate income tax (RCIT) rate</w:t>
      </w:r>
      <w:r w:rsidR="00D53233" w:rsidRPr="009E35ED">
        <w:rPr>
          <w:rFonts w:ascii="Arial" w:hAnsi="Arial" w:cs="Arial"/>
          <w:color w:val="000000" w:themeColor="text1"/>
          <w:sz w:val="22"/>
          <w:szCs w:val="22"/>
        </w:rPr>
        <w:t xml:space="preserve"> </w:t>
      </w:r>
      <w:r w:rsidR="00A20319" w:rsidRPr="009E35ED">
        <w:rPr>
          <w:rFonts w:ascii="Arial" w:hAnsi="Arial" w:cs="Arial"/>
          <w:color w:val="000000" w:themeColor="text1"/>
          <w:sz w:val="22"/>
          <w:szCs w:val="22"/>
        </w:rPr>
        <w:t xml:space="preserve">prescribed under the newly enacted </w:t>
      </w:r>
      <w:r w:rsidR="00F40216">
        <w:rPr>
          <w:rFonts w:ascii="Arial" w:hAnsi="Arial" w:cs="Arial"/>
          <w:color w:val="000000" w:themeColor="text1"/>
          <w:sz w:val="22"/>
          <w:szCs w:val="22"/>
        </w:rPr>
        <w:t>RA No.</w:t>
      </w:r>
      <w:r w:rsidR="00A20319" w:rsidRPr="009E35ED">
        <w:rPr>
          <w:rFonts w:ascii="Arial" w:hAnsi="Arial" w:cs="Arial"/>
          <w:color w:val="000000" w:themeColor="text1"/>
          <w:sz w:val="22"/>
          <w:szCs w:val="22"/>
        </w:rPr>
        <w:t xml:space="preserve"> 11534 or the Corporate Recovery and Tax Incentives for Enterprises Act (CREATE).</w:t>
      </w:r>
    </w:p>
    <w:p w14:paraId="4DADE4B0" w14:textId="77777777" w:rsidR="00DF73F7" w:rsidRPr="009E35ED" w:rsidRDefault="00DF73F7" w:rsidP="00803F8C">
      <w:pPr>
        <w:ind w:left="0"/>
        <w:rPr>
          <w:rFonts w:ascii="Arial" w:hAnsi="Arial" w:cs="Arial"/>
          <w:b/>
          <w:color w:val="000000" w:themeColor="text1"/>
          <w:sz w:val="22"/>
          <w:szCs w:val="22"/>
        </w:rPr>
      </w:pPr>
    </w:p>
    <w:p w14:paraId="232B0BAE" w14:textId="77777777" w:rsidR="009C06D7" w:rsidRPr="009E35ED" w:rsidRDefault="009C06D7" w:rsidP="00803F8C">
      <w:pPr>
        <w:ind w:left="0"/>
        <w:rPr>
          <w:rFonts w:ascii="Arial" w:hAnsi="Arial" w:cs="Arial"/>
          <w:b/>
          <w:color w:val="000000" w:themeColor="text1"/>
          <w:sz w:val="22"/>
          <w:szCs w:val="22"/>
        </w:rPr>
      </w:pPr>
      <w:r w:rsidRPr="009E35ED">
        <w:rPr>
          <w:rFonts w:ascii="Arial" w:hAnsi="Arial" w:cs="Arial"/>
          <w:b/>
          <w:color w:val="000000" w:themeColor="text1"/>
          <w:sz w:val="22"/>
          <w:szCs w:val="22"/>
        </w:rPr>
        <w:t>Deferred Tax</w:t>
      </w:r>
    </w:p>
    <w:p w14:paraId="456BE096" w14:textId="77777777" w:rsidR="009C06D7" w:rsidRPr="009E35ED" w:rsidRDefault="009C06D7" w:rsidP="00803F8C">
      <w:pPr>
        <w:ind w:left="0"/>
        <w:rPr>
          <w:rFonts w:ascii="Arial" w:hAnsi="Arial" w:cs="Arial"/>
          <w:color w:val="000000" w:themeColor="text1"/>
          <w:sz w:val="22"/>
          <w:szCs w:val="22"/>
          <w:u w:val="single"/>
        </w:rPr>
      </w:pPr>
    </w:p>
    <w:p w14:paraId="7B7432CE" w14:textId="01E14460" w:rsidR="009C06D7" w:rsidRPr="009E35ED" w:rsidRDefault="009C06D7" w:rsidP="00803F8C">
      <w:pPr>
        <w:ind w:left="0"/>
        <w:rPr>
          <w:rFonts w:ascii="Arial" w:hAnsi="Arial" w:cs="Arial"/>
          <w:color w:val="000000" w:themeColor="text1"/>
          <w:sz w:val="22"/>
          <w:szCs w:val="22"/>
        </w:rPr>
      </w:pPr>
      <w:r w:rsidRPr="009E35ED">
        <w:rPr>
          <w:rFonts w:ascii="Arial" w:hAnsi="Arial" w:cs="Arial"/>
          <w:color w:val="000000" w:themeColor="text1"/>
          <w:sz w:val="22"/>
          <w:szCs w:val="22"/>
        </w:rPr>
        <w:t>Deferred tax is recognized on temporary differences between the carrying amounts of assets and liabilities in the financial statements and the corresponding tax bases used in the computation of taxable profit. Deferred tax liabilities are generally recognized for all taxable temporary differences. Deferred tax assets are generally recognized for all deductible temporary differences to the extent that it is probable that taxable profits will be available against which those deductible temporary differences can be utilized. Such deferred tax assets and liabilities are not recognized if the temporary difference arises from the initial recognition of assets and liabilities in a transaction that affects neither the taxable profit nor the accounting profit.</w:t>
      </w:r>
    </w:p>
    <w:p w14:paraId="4E1EB08B" w14:textId="77777777" w:rsidR="00E43A11" w:rsidRPr="009E35ED" w:rsidRDefault="00E43A11" w:rsidP="00803F8C">
      <w:pPr>
        <w:ind w:left="0"/>
        <w:rPr>
          <w:rFonts w:ascii="Arial" w:hAnsi="Arial" w:cs="Arial"/>
          <w:color w:val="000000" w:themeColor="text1"/>
          <w:sz w:val="22"/>
          <w:szCs w:val="22"/>
        </w:rPr>
      </w:pPr>
    </w:p>
    <w:p w14:paraId="33CE10D5" w14:textId="52778463" w:rsidR="009C06D7" w:rsidRPr="009E35ED" w:rsidRDefault="009C06D7" w:rsidP="00803F8C">
      <w:pPr>
        <w:ind w:left="0"/>
        <w:rPr>
          <w:rFonts w:ascii="Arial" w:hAnsi="Arial" w:cs="Arial"/>
          <w:color w:val="000000" w:themeColor="text1"/>
          <w:sz w:val="22"/>
          <w:szCs w:val="22"/>
        </w:rPr>
      </w:pPr>
      <w:r w:rsidRPr="009E35ED">
        <w:rPr>
          <w:rFonts w:ascii="Arial" w:hAnsi="Arial" w:cs="Arial"/>
          <w:color w:val="000000" w:themeColor="text1"/>
          <w:sz w:val="22"/>
          <w:szCs w:val="22"/>
        </w:rPr>
        <w:t>The carrying amount of deferred tax assets is reviewed at the end of each reporting period and reduced to the extent that it is no longer probable that sufficient taxable profits will be available to allow all or part of the asset to be recovered.</w:t>
      </w:r>
      <w:r w:rsidRPr="009E35ED">
        <w:rPr>
          <w:rFonts w:ascii="Arial" w:hAnsi="Arial" w:cs="Arial"/>
          <w:color w:val="000000" w:themeColor="text1"/>
          <w:sz w:val="22"/>
          <w:szCs w:val="22"/>
        </w:rPr>
        <w:tab/>
      </w:r>
    </w:p>
    <w:p w14:paraId="036888EF" w14:textId="77777777" w:rsidR="009C06D7" w:rsidRPr="009E35ED" w:rsidRDefault="009C06D7" w:rsidP="00803F8C">
      <w:pPr>
        <w:ind w:left="0"/>
        <w:rPr>
          <w:rFonts w:ascii="Arial" w:hAnsi="Arial" w:cs="Arial"/>
          <w:color w:val="000000" w:themeColor="text1"/>
          <w:sz w:val="22"/>
          <w:szCs w:val="22"/>
        </w:rPr>
      </w:pPr>
    </w:p>
    <w:p w14:paraId="5C59EC39" w14:textId="77777777" w:rsidR="009C06D7" w:rsidRPr="009E35ED" w:rsidRDefault="009C06D7" w:rsidP="00803F8C">
      <w:pPr>
        <w:ind w:left="0"/>
        <w:rPr>
          <w:rFonts w:ascii="Arial" w:hAnsi="Arial" w:cs="Arial"/>
          <w:color w:val="000000" w:themeColor="text1"/>
          <w:sz w:val="22"/>
          <w:szCs w:val="22"/>
        </w:rPr>
      </w:pPr>
      <w:r w:rsidRPr="009E35ED">
        <w:rPr>
          <w:rFonts w:ascii="Arial" w:hAnsi="Arial" w:cs="Arial"/>
          <w:color w:val="000000" w:themeColor="text1"/>
          <w:sz w:val="22"/>
          <w:szCs w:val="22"/>
        </w:rPr>
        <w:t xml:space="preserve">Deferred tax liabilities and assets are measured at the tax rates that are expected to apply in the period in which the liability is settled or the asset realized, based on tax rates (and tax laws) that have been enacted or substantively enacted by the end of the reporting period. </w:t>
      </w:r>
      <w:r w:rsidRPr="009E35ED">
        <w:rPr>
          <w:rFonts w:ascii="Arial" w:hAnsi="Arial" w:cs="Arial"/>
          <w:color w:val="000000" w:themeColor="text1"/>
          <w:sz w:val="22"/>
          <w:szCs w:val="22"/>
        </w:rPr>
        <w:tab/>
      </w:r>
    </w:p>
    <w:p w14:paraId="00C837C7" w14:textId="77777777" w:rsidR="009C06D7" w:rsidRPr="009E35ED" w:rsidRDefault="009C06D7" w:rsidP="00803F8C">
      <w:pPr>
        <w:ind w:left="0"/>
        <w:rPr>
          <w:rFonts w:ascii="Arial" w:hAnsi="Arial" w:cs="Arial"/>
          <w:color w:val="000000" w:themeColor="text1"/>
          <w:sz w:val="22"/>
          <w:szCs w:val="22"/>
        </w:rPr>
      </w:pPr>
    </w:p>
    <w:p w14:paraId="40B5B0E7" w14:textId="1B037F98" w:rsidR="001A43CF" w:rsidRPr="009E35ED" w:rsidRDefault="009C06D7" w:rsidP="00803F8C">
      <w:pPr>
        <w:ind w:left="0"/>
        <w:rPr>
          <w:rFonts w:ascii="Arial" w:hAnsi="Arial" w:cs="Arial"/>
          <w:color w:val="000000" w:themeColor="text1"/>
          <w:sz w:val="22"/>
          <w:szCs w:val="22"/>
        </w:rPr>
      </w:pPr>
      <w:r w:rsidRPr="009E35ED">
        <w:rPr>
          <w:rFonts w:ascii="Arial" w:hAnsi="Arial" w:cs="Arial"/>
          <w:color w:val="000000" w:themeColor="text1"/>
          <w:sz w:val="22"/>
          <w:szCs w:val="22"/>
        </w:rPr>
        <w:t>The measurement of deferred tax liabilities and assets reflects the tax consequences that would follow from the manner in which the PCSO expects, at the end of the reporting period, to recover or settle the carrying amount of its assets and liabilities.</w:t>
      </w:r>
      <w:r w:rsidRPr="009E35ED">
        <w:rPr>
          <w:rFonts w:ascii="Arial" w:hAnsi="Arial" w:cs="Arial"/>
          <w:color w:val="000000" w:themeColor="text1"/>
          <w:sz w:val="22"/>
          <w:szCs w:val="22"/>
        </w:rPr>
        <w:tab/>
      </w:r>
    </w:p>
    <w:p w14:paraId="70429E71" w14:textId="77777777" w:rsidR="003158E0" w:rsidRPr="009E35ED" w:rsidRDefault="003158E0" w:rsidP="00803F8C">
      <w:pPr>
        <w:ind w:left="0"/>
        <w:rPr>
          <w:rFonts w:ascii="Arial" w:hAnsi="Arial" w:cs="Arial"/>
          <w:color w:val="000000" w:themeColor="text1"/>
          <w:sz w:val="22"/>
          <w:szCs w:val="22"/>
        </w:rPr>
      </w:pPr>
    </w:p>
    <w:p w14:paraId="155068B2" w14:textId="77777777" w:rsidR="009C06D7" w:rsidRPr="009E35ED" w:rsidRDefault="009C06D7" w:rsidP="00803F8C">
      <w:pPr>
        <w:ind w:left="0"/>
        <w:rPr>
          <w:rFonts w:ascii="Arial" w:hAnsi="Arial" w:cs="Arial"/>
          <w:b/>
          <w:color w:val="000000" w:themeColor="text1"/>
          <w:sz w:val="22"/>
          <w:szCs w:val="22"/>
        </w:rPr>
      </w:pPr>
      <w:r w:rsidRPr="009E35ED">
        <w:rPr>
          <w:rFonts w:ascii="Arial" w:hAnsi="Arial" w:cs="Arial"/>
          <w:b/>
          <w:color w:val="000000" w:themeColor="text1"/>
          <w:sz w:val="22"/>
          <w:szCs w:val="22"/>
        </w:rPr>
        <w:t>Current and Deferred Tax for the Year</w:t>
      </w:r>
    </w:p>
    <w:p w14:paraId="48CD3D7F" w14:textId="77777777" w:rsidR="009C06D7" w:rsidRPr="009E35ED" w:rsidRDefault="009C06D7" w:rsidP="00803F8C">
      <w:pPr>
        <w:ind w:left="0"/>
        <w:rPr>
          <w:rFonts w:ascii="Arial" w:hAnsi="Arial" w:cs="Arial"/>
          <w:color w:val="000000" w:themeColor="text1"/>
          <w:sz w:val="22"/>
          <w:szCs w:val="22"/>
          <w:u w:val="single"/>
        </w:rPr>
      </w:pPr>
    </w:p>
    <w:p w14:paraId="04BCF9E5" w14:textId="77777777" w:rsidR="001A43CF" w:rsidRPr="009E35ED" w:rsidRDefault="009C06D7" w:rsidP="00803F8C">
      <w:pPr>
        <w:ind w:left="0"/>
        <w:rPr>
          <w:rFonts w:ascii="Arial" w:hAnsi="Arial" w:cs="Arial"/>
          <w:b/>
          <w:color w:val="000000" w:themeColor="text1"/>
          <w:sz w:val="22"/>
          <w:szCs w:val="22"/>
        </w:rPr>
      </w:pPr>
      <w:r w:rsidRPr="009E35ED">
        <w:rPr>
          <w:rFonts w:ascii="Arial" w:hAnsi="Arial" w:cs="Arial"/>
          <w:color w:val="000000" w:themeColor="text1"/>
          <w:sz w:val="22"/>
          <w:szCs w:val="22"/>
        </w:rPr>
        <w:t>Current and deferred tax are recognized in profit or loss, except when they relate to items that are recognized in other comprehensive income or directly in equity, in which case, the current and deferred tax are also recognized in other comprehensive income or directly in equity respectively.</w:t>
      </w:r>
    </w:p>
    <w:p w14:paraId="60CB87FA" w14:textId="148D8588" w:rsidR="001A43CF" w:rsidRPr="009E35ED" w:rsidRDefault="001A43CF" w:rsidP="00803F8C">
      <w:pPr>
        <w:ind w:left="0"/>
        <w:rPr>
          <w:rFonts w:ascii="Arial" w:hAnsi="Arial" w:cs="Arial"/>
          <w:b/>
          <w:color w:val="000000" w:themeColor="text1"/>
          <w:sz w:val="22"/>
          <w:szCs w:val="22"/>
        </w:rPr>
      </w:pPr>
    </w:p>
    <w:p w14:paraId="7B2C6E17" w14:textId="77777777" w:rsidR="009C06D7" w:rsidRPr="009E35ED" w:rsidRDefault="009C06D7" w:rsidP="00B90388">
      <w:pPr>
        <w:pStyle w:val="ListParagraph"/>
        <w:keepNext/>
        <w:keepLines/>
        <w:numPr>
          <w:ilvl w:val="0"/>
          <w:numId w:val="8"/>
        </w:numPr>
        <w:ind w:hanging="720"/>
        <w:rPr>
          <w:rFonts w:ascii="Arial" w:hAnsi="Arial" w:cs="Arial"/>
          <w:b/>
          <w:color w:val="000000" w:themeColor="text1"/>
          <w:sz w:val="22"/>
          <w:szCs w:val="22"/>
        </w:rPr>
      </w:pPr>
      <w:r w:rsidRPr="009E35ED">
        <w:rPr>
          <w:rFonts w:ascii="Arial" w:hAnsi="Arial" w:cs="Arial"/>
          <w:b/>
          <w:color w:val="000000" w:themeColor="text1"/>
          <w:sz w:val="22"/>
          <w:szCs w:val="22"/>
        </w:rPr>
        <w:t>Foreign Currency Transactions and Translation</w:t>
      </w:r>
    </w:p>
    <w:p w14:paraId="72885440" w14:textId="77777777" w:rsidR="009C06D7" w:rsidRPr="009E35ED" w:rsidRDefault="009C06D7" w:rsidP="00B90388">
      <w:pPr>
        <w:keepNext/>
        <w:keepLines/>
        <w:ind w:left="0"/>
        <w:rPr>
          <w:rFonts w:ascii="Arial" w:hAnsi="Arial" w:cs="Arial"/>
          <w:b/>
          <w:color w:val="000000" w:themeColor="text1"/>
          <w:sz w:val="22"/>
          <w:szCs w:val="22"/>
        </w:rPr>
      </w:pPr>
    </w:p>
    <w:p w14:paraId="73150AAA" w14:textId="77777777" w:rsidR="009C06D7" w:rsidRPr="009E35ED" w:rsidRDefault="009C06D7" w:rsidP="00B90388">
      <w:pPr>
        <w:pStyle w:val="BodyText2"/>
        <w:keepNext/>
        <w:keepLines/>
        <w:numPr>
          <w:ilvl w:val="12"/>
          <w:numId w:val="0"/>
        </w:numPr>
        <w:jc w:val="both"/>
        <w:rPr>
          <w:rFonts w:ascii="Arial" w:hAnsi="Arial" w:cs="Arial"/>
          <w:color w:val="000000" w:themeColor="text1"/>
          <w:sz w:val="22"/>
          <w:szCs w:val="22"/>
        </w:rPr>
      </w:pPr>
      <w:r w:rsidRPr="009E35ED">
        <w:rPr>
          <w:rFonts w:ascii="Arial" w:hAnsi="Arial" w:cs="Arial"/>
          <w:color w:val="000000" w:themeColor="text1"/>
          <w:sz w:val="22"/>
          <w:szCs w:val="22"/>
        </w:rPr>
        <w:t xml:space="preserve">The accounting records of the PCSO are </w:t>
      </w:r>
      <w:r w:rsidR="00FA1CA7" w:rsidRPr="009E35ED">
        <w:rPr>
          <w:rFonts w:ascii="Arial" w:hAnsi="Arial" w:cs="Arial"/>
          <w:color w:val="000000" w:themeColor="text1"/>
          <w:sz w:val="22"/>
          <w:szCs w:val="22"/>
        </w:rPr>
        <w:t>maintained in Philippine pesos.</w:t>
      </w:r>
      <w:r w:rsidRPr="009E35ED">
        <w:rPr>
          <w:rFonts w:ascii="Arial" w:hAnsi="Arial" w:cs="Arial"/>
          <w:color w:val="000000" w:themeColor="text1"/>
          <w:sz w:val="22"/>
          <w:szCs w:val="22"/>
        </w:rPr>
        <w:t xml:space="preserve"> Foreign currency transactions during the year are translated into the functional currency at exchange rates which approximate those prevailing on transaction dates.</w:t>
      </w:r>
    </w:p>
    <w:p w14:paraId="09471FDC" w14:textId="77777777" w:rsidR="009C06D7" w:rsidRPr="009E35ED" w:rsidRDefault="009C06D7" w:rsidP="00803F8C">
      <w:pPr>
        <w:pStyle w:val="BodyText2"/>
        <w:numPr>
          <w:ilvl w:val="12"/>
          <w:numId w:val="0"/>
        </w:numPr>
        <w:ind w:right="162"/>
        <w:jc w:val="both"/>
        <w:rPr>
          <w:rFonts w:ascii="Arial" w:hAnsi="Arial" w:cs="Arial"/>
          <w:color w:val="000000" w:themeColor="text1"/>
          <w:sz w:val="22"/>
          <w:szCs w:val="22"/>
        </w:rPr>
      </w:pPr>
    </w:p>
    <w:p w14:paraId="089DF765" w14:textId="77777777" w:rsidR="009C06D7" w:rsidRPr="009E35ED" w:rsidRDefault="009C06D7" w:rsidP="00803F8C">
      <w:pPr>
        <w:pStyle w:val="BodyText2"/>
        <w:numPr>
          <w:ilvl w:val="12"/>
          <w:numId w:val="0"/>
        </w:numPr>
        <w:jc w:val="both"/>
        <w:rPr>
          <w:rFonts w:ascii="Arial" w:hAnsi="Arial" w:cs="Arial"/>
          <w:color w:val="000000" w:themeColor="text1"/>
          <w:sz w:val="22"/>
          <w:szCs w:val="22"/>
        </w:rPr>
      </w:pPr>
      <w:r w:rsidRPr="009E35ED">
        <w:rPr>
          <w:rFonts w:ascii="Arial" w:hAnsi="Arial" w:cs="Arial"/>
          <w:color w:val="000000" w:themeColor="text1"/>
          <w:sz w:val="22"/>
          <w:szCs w:val="22"/>
        </w:rPr>
        <w:t>Foreign currency gains and losses resulting from the settlement of such transactions and from the translation at year-end exchange rates of monetary assets and liabilities denominated in foreign currencies are recognized in profit or loss.</w:t>
      </w:r>
    </w:p>
    <w:p w14:paraId="7942FA8E" w14:textId="77777777" w:rsidR="005A454A" w:rsidRPr="009E35ED" w:rsidRDefault="005A454A" w:rsidP="00803F8C">
      <w:pPr>
        <w:ind w:left="0"/>
        <w:rPr>
          <w:rFonts w:ascii="Arial" w:hAnsi="Arial" w:cs="Arial"/>
          <w:b/>
          <w:color w:val="000000" w:themeColor="text1"/>
          <w:sz w:val="22"/>
          <w:szCs w:val="22"/>
        </w:rPr>
      </w:pPr>
    </w:p>
    <w:p w14:paraId="3FF1ABD7" w14:textId="77777777" w:rsidR="00645423" w:rsidRPr="009E35ED" w:rsidRDefault="00645423" w:rsidP="00074309">
      <w:pPr>
        <w:pStyle w:val="ListParagraph"/>
        <w:numPr>
          <w:ilvl w:val="0"/>
          <w:numId w:val="8"/>
        </w:numPr>
        <w:ind w:hanging="720"/>
        <w:rPr>
          <w:rFonts w:ascii="Arial" w:hAnsi="Arial" w:cs="Arial"/>
          <w:b/>
          <w:color w:val="000000" w:themeColor="text1"/>
          <w:sz w:val="22"/>
          <w:szCs w:val="22"/>
        </w:rPr>
      </w:pPr>
      <w:r w:rsidRPr="009E35ED">
        <w:rPr>
          <w:rFonts w:ascii="Arial" w:hAnsi="Arial" w:cs="Arial"/>
          <w:b/>
          <w:color w:val="000000" w:themeColor="text1"/>
          <w:sz w:val="22"/>
          <w:szCs w:val="22"/>
        </w:rPr>
        <w:t>Judgment and Estimates</w:t>
      </w:r>
    </w:p>
    <w:p w14:paraId="355A2BED" w14:textId="77777777" w:rsidR="00645423" w:rsidRPr="009E35ED" w:rsidRDefault="00645423" w:rsidP="00803F8C">
      <w:pPr>
        <w:pStyle w:val="ListParagraph"/>
        <w:ind w:left="900" w:hanging="360"/>
        <w:rPr>
          <w:rFonts w:ascii="Arial" w:hAnsi="Arial" w:cs="Arial"/>
          <w:color w:val="000000" w:themeColor="text1"/>
          <w:sz w:val="22"/>
          <w:szCs w:val="22"/>
        </w:rPr>
      </w:pPr>
    </w:p>
    <w:p w14:paraId="5F53EE40" w14:textId="58996B08" w:rsidR="00645423" w:rsidRPr="009E35ED" w:rsidRDefault="00E60CEA" w:rsidP="00803F8C">
      <w:pPr>
        <w:pStyle w:val="ListParagraph"/>
        <w:ind w:left="0"/>
        <w:rPr>
          <w:rFonts w:ascii="Arial" w:hAnsi="Arial" w:cs="Arial"/>
          <w:color w:val="000000" w:themeColor="text1"/>
          <w:sz w:val="22"/>
          <w:szCs w:val="22"/>
        </w:rPr>
      </w:pPr>
      <w:r w:rsidRPr="009E35ED">
        <w:rPr>
          <w:rFonts w:ascii="Arial" w:hAnsi="Arial" w:cs="Arial"/>
          <w:color w:val="000000" w:themeColor="text1"/>
          <w:sz w:val="22"/>
          <w:szCs w:val="22"/>
          <w:lang w:val="en-GB"/>
        </w:rPr>
        <w:t>The preparation of the financial statements in accordance with</w:t>
      </w:r>
      <w:r w:rsidR="00A9476E">
        <w:rPr>
          <w:rFonts w:ascii="Arial" w:hAnsi="Arial" w:cs="Arial"/>
          <w:color w:val="000000" w:themeColor="text1"/>
          <w:sz w:val="22"/>
          <w:szCs w:val="22"/>
          <w:lang w:val="en-GB"/>
        </w:rPr>
        <w:t xml:space="preserve"> the</w:t>
      </w:r>
      <w:r w:rsidRPr="009E35ED">
        <w:rPr>
          <w:rFonts w:ascii="Arial" w:hAnsi="Arial" w:cs="Arial"/>
          <w:color w:val="000000" w:themeColor="text1"/>
          <w:sz w:val="22"/>
          <w:szCs w:val="22"/>
          <w:lang w:val="en-GB"/>
        </w:rPr>
        <w:t xml:space="preserve"> PFRS requires the PCSO to make estimates and assumptions that affect the amounts reported in the financial statements and accompanying notes.  Future events may occur which will cause the assumption used in arriving at the estimates to change.  The effects of changes in estimates will be reflected in the financial statements as they become reasonably determinable.</w:t>
      </w:r>
    </w:p>
    <w:p w14:paraId="31E7EE35" w14:textId="77777777" w:rsidR="00DF73F7" w:rsidRPr="009E35ED" w:rsidRDefault="00DF73F7" w:rsidP="00803F8C">
      <w:pPr>
        <w:ind w:left="0"/>
        <w:rPr>
          <w:rFonts w:ascii="Arial" w:hAnsi="Arial" w:cs="Arial"/>
          <w:b/>
          <w:color w:val="000000" w:themeColor="text1"/>
          <w:sz w:val="22"/>
          <w:szCs w:val="22"/>
        </w:rPr>
      </w:pPr>
    </w:p>
    <w:p w14:paraId="29AA42BE" w14:textId="77777777" w:rsidR="00E60CEA" w:rsidRPr="009E35ED" w:rsidRDefault="00E60CEA" w:rsidP="00803F8C">
      <w:pPr>
        <w:ind w:left="0"/>
        <w:rPr>
          <w:rFonts w:ascii="Arial" w:hAnsi="Arial" w:cs="Arial"/>
          <w:b/>
          <w:color w:val="000000" w:themeColor="text1"/>
          <w:sz w:val="22"/>
          <w:szCs w:val="22"/>
        </w:rPr>
      </w:pPr>
      <w:r w:rsidRPr="009E35ED">
        <w:rPr>
          <w:rFonts w:ascii="Arial" w:hAnsi="Arial" w:cs="Arial"/>
          <w:b/>
          <w:color w:val="000000" w:themeColor="text1"/>
          <w:sz w:val="22"/>
          <w:szCs w:val="22"/>
        </w:rPr>
        <w:t>Judgments</w:t>
      </w:r>
    </w:p>
    <w:p w14:paraId="03CF448D" w14:textId="77777777" w:rsidR="00E60CEA" w:rsidRPr="009E35ED" w:rsidRDefault="00E60CEA" w:rsidP="00803F8C">
      <w:pPr>
        <w:ind w:left="0"/>
        <w:rPr>
          <w:rFonts w:ascii="Arial" w:hAnsi="Arial" w:cs="Arial"/>
          <w:color w:val="000000" w:themeColor="text1"/>
          <w:sz w:val="22"/>
          <w:szCs w:val="22"/>
        </w:rPr>
      </w:pPr>
    </w:p>
    <w:p w14:paraId="1C03D5CE" w14:textId="0610BCC7" w:rsidR="00991054" w:rsidRPr="009E35ED" w:rsidRDefault="00E60CEA" w:rsidP="00803F8C">
      <w:pPr>
        <w:ind w:left="0"/>
        <w:rPr>
          <w:rFonts w:ascii="Arial" w:hAnsi="Arial" w:cs="Arial"/>
          <w:color w:val="000000" w:themeColor="text1"/>
          <w:sz w:val="22"/>
          <w:szCs w:val="22"/>
        </w:rPr>
      </w:pPr>
      <w:r w:rsidRPr="009E35ED">
        <w:rPr>
          <w:rFonts w:ascii="Arial" w:hAnsi="Arial" w:cs="Arial"/>
          <w:color w:val="000000" w:themeColor="text1"/>
          <w:sz w:val="22"/>
          <w:szCs w:val="22"/>
        </w:rPr>
        <w:t>In the process of applying</w:t>
      </w:r>
      <w:r w:rsidR="00A9476E">
        <w:rPr>
          <w:rFonts w:ascii="Arial" w:hAnsi="Arial" w:cs="Arial"/>
          <w:color w:val="000000" w:themeColor="text1"/>
          <w:sz w:val="22"/>
          <w:szCs w:val="22"/>
        </w:rPr>
        <w:t xml:space="preserve"> </w:t>
      </w:r>
      <w:r w:rsidRPr="009E35ED">
        <w:rPr>
          <w:rFonts w:ascii="Arial" w:hAnsi="Arial" w:cs="Arial"/>
          <w:color w:val="000000" w:themeColor="text1"/>
          <w:sz w:val="22"/>
          <w:szCs w:val="22"/>
        </w:rPr>
        <w:t>PCSO’s accounting policies, management has made the following judgments, apart from those involving estimations, which have the most significant effect on the amounts recognized in the financial statements:</w:t>
      </w:r>
    </w:p>
    <w:p w14:paraId="38B22588" w14:textId="77777777" w:rsidR="00E60CEA" w:rsidRPr="009E35ED" w:rsidRDefault="00E60CEA" w:rsidP="00803F8C">
      <w:pPr>
        <w:spacing w:before="240"/>
        <w:ind w:left="0"/>
        <w:rPr>
          <w:rFonts w:ascii="Arial" w:hAnsi="Arial" w:cs="Arial"/>
          <w:i/>
          <w:iCs/>
          <w:color w:val="000000" w:themeColor="text1"/>
          <w:sz w:val="22"/>
          <w:szCs w:val="22"/>
        </w:rPr>
      </w:pPr>
      <w:r w:rsidRPr="009E35ED">
        <w:rPr>
          <w:rFonts w:ascii="Arial" w:hAnsi="Arial" w:cs="Arial"/>
          <w:i/>
          <w:iCs/>
          <w:color w:val="000000" w:themeColor="text1"/>
          <w:sz w:val="22"/>
          <w:szCs w:val="22"/>
        </w:rPr>
        <w:t>Classification of Financial Instruments</w:t>
      </w:r>
    </w:p>
    <w:p w14:paraId="06E1982B" w14:textId="481A47AE" w:rsidR="00E60CEA" w:rsidRPr="009E35ED" w:rsidRDefault="00E60CEA" w:rsidP="002E7F84">
      <w:pPr>
        <w:spacing w:before="240"/>
        <w:ind w:left="0"/>
        <w:rPr>
          <w:rFonts w:ascii="Arial" w:hAnsi="Arial" w:cs="Arial"/>
          <w:color w:val="000000" w:themeColor="text1"/>
          <w:sz w:val="22"/>
          <w:szCs w:val="22"/>
        </w:rPr>
      </w:pPr>
      <w:r w:rsidRPr="009E35ED">
        <w:rPr>
          <w:rFonts w:ascii="Arial" w:hAnsi="Arial" w:cs="Arial"/>
          <w:color w:val="000000" w:themeColor="text1"/>
          <w:sz w:val="22"/>
          <w:szCs w:val="22"/>
        </w:rPr>
        <w:t xml:space="preserve">The PCSO classifies a financial instrument, or its component parts, on initial recognition, as a financial asset, a financial liability or an equity instrument in accordance with the substance of the contractual arrangement and the definition of a financial asset, a financial liability or an equity instrument.  </w:t>
      </w:r>
    </w:p>
    <w:p w14:paraId="2D9165AA" w14:textId="77777777" w:rsidR="002122D0" w:rsidRPr="009E35ED" w:rsidRDefault="002122D0" w:rsidP="002E7F84">
      <w:pPr>
        <w:spacing w:before="240"/>
        <w:ind w:left="0"/>
        <w:rPr>
          <w:rFonts w:ascii="Arial" w:hAnsi="Arial" w:cs="Arial"/>
          <w:color w:val="000000" w:themeColor="text1"/>
          <w:sz w:val="22"/>
          <w:szCs w:val="22"/>
        </w:rPr>
      </w:pPr>
    </w:p>
    <w:p w14:paraId="2656C8AF" w14:textId="38BC09E0" w:rsidR="000261A9" w:rsidRPr="009E35ED" w:rsidRDefault="00E60CEA" w:rsidP="00803F8C">
      <w:pPr>
        <w:ind w:left="0"/>
        <w:rPr>
          <w:rFonts w:ascii="Arial" w:hAnsi="Arial" w:cs="Arial"/>
          <w:color w:val="000000" w:themeColor="text1"/>
          <w:sz w:val="22"/>
          <w:szCs w:val="22"/>
        </w:rPr>
      </w:pPr>
      <w:r w:rsidRPr="009E35ED">
        <w:rPr>
          <w:rFonts w:ascii="Arial" w:hAnsi="Arial" w:cs="Arial"/>
          <w:color w:val="000000" w:themeColor="text1"/>
          <w:sz w:val="22"/>
          <w:szCs w:val="22"/>
        </w:rPr>
        <w:t>The substance of a financial instrument, rather than its legal form, governs its classification in the statements of financial position.</w:t>
      </w:r>
    </w:p>
    <w:p w14:paraId="533DAB80" w14:textId="77777777" w:rsidR="00C2059B" w:rsidRPr="009E35ED" w:rsidRDefault="00C2059B" w:rsidP="00803F8C">
      <w:pPr>
        <w:ind w:left="0"/>
        <w:rPr>
          <w:rFonts w:ascii="Arial" w:hAnsi="Arial" w:cs="Arial"/>
          <w:color w:val="000000" w:themeColor="text1"/>
          <w:sz w:val="22"/>
          <w:szCs w:val="22"/>
        </w:rPr>
      </w:pPr>
    </w:p>
    <w:p w14:paraId="6A5DB411" w14:textId="77777777" w:rsidR="00E60CEA" w:rsidRPr="009E35ED" w:rsidRDefault="00E60CEA" w:rsidP="00803F8C">
      <w:pPr>
        <w:ind w:left="0"/>
        <w:rPr>
          <w:rFonts w:ascii="Arial" w:hAnsi="Arial" w:cs="Arial"/>
          <w:b/>
          <w:color w:val="000000" w:themeColor="text1"/>
          <w:sz w:val="22"/>
          <w:szCs w:val="22"/>
        </w:rPr>
      </w:pPr>
      <w:r w:rsidRPr="009E35ED">
        <w:rPr>
          <w:rFonts w:ascii="Arial" w:hAnsi="Arial" w:cs="Arial"/>
          <w:b/>
          <w:color w:val="000000" w:themeColor="text1"/>
          <w:sz w:val="22"/>
          <w:szCs w:val="22"/>
        </w:rPr>
        <w:t>Estimates</w:t>
      </w:r>
    </w:p>
    <w:p w14:paraId="27D1EFDB" w14:textId="77777777" w:rsidR="00FA1CA7" w:rsidRPr="009E35ED" w:rsidRDefault="00FA1CA7" w:rsidP="00803F8C">
      <w:pPr>
        <w:ind w:left="0"/>
        <w:rPr>
          <w:rFonts w:ascii="Arial" w:hAnsi="Arial" w:cs="Arial"/>
          <w:b/>
          <w:color w:val="000000" w:themeColor="text1"/>
          <w:sz w:val="22"/>
          <w:szCs w:val="22"/>
        </w:rPr>
      </w:pPr>
    </w:p>
    <w:p w14:paraId="3BEB6BD1" w14:textId="77777777" w:rsidR="00E60CEA" w:rsidRPr="009E35ED" w:rsidRDefault="00E60CEA" w:rsidP="00803F8C">
      <w:pPr>
        <w:ind w:left="0"/>
        <w:rPr>
          <w:rFonts w:ascii="Arial" w:hAnsi="Arial" w:cs="Arial"/>
          <w:b/>
          <w:i/>
          <w:color w:val="000000" w:themeColor="text1"/>
          <w:sz w:val="22"/>
          <w:szCs w:val="22"/>
          <w:lang w:val="en-GB"/>
        </w:rPr>
      </w:pPr>
      <w:r w:rsidRPr="009E35ED">
        <w:rPr>
          <w:rFonts w:ascii="Arial" w:hAnsi="Arial" w:cs="Arial"/>
          <w:color w:val="000000" w:themeColor="text1"/>
          <w:sz w:val="22"/>
          <w:szCs w:val="22"/>
          <w:lang w:val="en-AU"/>
        </w:rPr>
        <w:t>The following are the key assumptions concerning the future and other key sources of estimation uncertainty at the reporting date that have a significant risk of causing a material adjustment to the carrying amounts of assets and liabilities within the next financial year.</w:t>
      </w:r>
    </w:p>
    <w:p w14:paraId="330C5A7C" w14:textId="77777777" w:rsidR="00F3475E" w:rsidRPr="009E35ED" w:rsidRDefault="00F3475E" w:rsidP="00803F8C">
      <w:pPr>
        <w:ind w:left="0"/>
        <w:rPr>
          <w:rFonts w:ascii="Arial" w:hAnsi="Arial" w:cs="Arial"/>
          <w:i/>
          <w:iCs/>
          <w:color w:val="000000" w:themeColor="text1"/>
          <w:sz w:val="22"/>
          <w:szCs w:val="22"/>
        </w:rPr>
      </w:pPr>
    </w:p>
    <w:p w14:paraId="35EF8414" w14:textId="77777777" w:rsidR="00E60CEA" w:rsidRPr="009E35ED" w:rsidRDefault="00E60CEA" w:rsidP="00803F8C">
      <w:pPr>
        <w:ind w:left="0"/>
        <w:rPr>
          <w:rFonts w:ascii="Arial" w:hAnsi="Arial" w:cs="Arial"/>
          <w:bCs/>
          <w:i/>
          <w:color w:val="000000" w:themeColor="text1"/>
          <w:sz w:val="22"/>
          <w:szCs w:val="22"/>
          <w:lang w:val="en-PH"/>
        </w:rPr>
      </w:pPr>
      <w:r w:rsidRPr="009E35ED">
        <w:rPr>
          <w:rFonts w:ascii="Arial" w:hAnsi="Arial" w:cs="Arial"/>
          <w:i/>
          <w:iCs/>
          <w:color w:val="000000" w:themeColor="text1"/>
          <w:sz w:val="22"/>
          <w:szCs w:val="22"/>
        </w:rPr>
        <w:t xml:space="preserve">Estimating Useful Lives of Property and Equipment </w:t>
      </w:r>
    </w:p>
    <w:p w14:paraId="40AAB14E" w14:textId="77777777" w:rsidR="00E60CEA" w:rsidRPr="009E35ED" w:rsidRDefault="00E60CEA" w:rsidP="00803F8C">
      <w:pPr>
        <w:pStyle w:val="Bodycopy"/>
        <w:spacing w:before="0" w:line="240" w:lineRule="auto"/>
        <w:jc w:val="both"/>
        <w:rPr>
          <w:b/>
          <w:bCs/>
          <w:i/>
          <w:color w:val="000000" w:themeColor="text1"/>
          <w:sz w:val="22"/>
          <w:szCs w:val="22"/>
          <w:lang w:val="en-PH"/>
        </w:rPr>
      </w:pPr>
    </w:p>
    <w:p w14:paraId="04AABBD8" w14:textId="43BCBD44" w:rsidR="002122D0" w:rsidRPr="009E35ED" w:rsidRDefault="00E60CEA" w:rsidP="00803F8C">
      <w:pPr>
        <w:ind w:left="0"/>
        <w:rPr>
          <w:rFonts w:ascii="Arial" w:hAnsi="Arial" w:cs="Arial"/>
          <w:color w:val="000000" w:themeColor="text1"/>
          <w:sz w:val="22"/>
          <w:szCs w:val="22"/>
        </w:rPr>
      </w:pPr>
      <w:r w:rsidRPr="009E35ED">
        <w:rPr>
          <w:rFonts w:ascii="Arial" w:hAnsi="Arial" w:cs="Arial"/>
          <w:color w:val="000000" w:themeColor="text1"/>
          <w:sz w:val="22"/>
          <w:szCs w:val="22"/>
        </w:rPr>
        <w:t>The PCSO estimates the useful lives of its property and equipment based on the period over which these assets are expected to be available for use. The estimated useful lives of these assets and residual values are reviewed, and adjusted if appropriate, only if there is a significant change in the asset or how it is used.</w:t>
      </w:r>
    </w:p>
    <w:p w14:paraId="3AB5C0CE" w14:textId="77777777" w:rsidR="00991054" w:rsidRPr="009E35ED" w:rsidRDefault="00991054" w:rsidP="00803F8C">
      <w:pPr>
        <w:ind w:left="0"/>
        <w:rPr>
          <w:rFonts w:ascii="Arial" w:hAnsi="Arial" w:cs="Arial"/>
          <w:color w:val="000000" w:themeColor="text1"/>
          <w:sz w:val="22"/>
          <w:szCs w:val="22"/>
        </w:rPr>
      </w:pPr>
    </w:p>
    <w:p w14:paraId="13691A0E" w14:textId="0D2BA020" w:rsidR="00E60CEA" w:rsidRDefault="00E60CEA" w:rsidP="00B90388">
      <w:pPr>
        <w:keepNext/>
        <w:keepLines/>
        <w:ind w:left="0"/>
        <w:rPr>
          <w:rFonts w:ascii="Arial" w:hAnsi="Arial" w:cs="Arial"/>
          <w:color w:val="000000" w:themeColor="text1"/>
          <w:sz w:val="22"/>
          <w:szCs w:val="22"/>
          <w:lang w:val="en-PH"/>
        </w:rPr>
      </w:pPr>
      <w:r w:rsidRPr="009E35ED">
        <w:rPr>
          <w:rFonts w:ascii="Arial" w:hAnsi="Arial" w:cs="Arial"/>
          <w:color w:val="000000" w:themeColor="text1"/>
          <w:sz w:val="22"/>
          <w:szCs w:val="22"/>
          <w:lang w:val="en-PH"/>
        </w:rPr>
        <w:t>The following estimated useful lives are used in depreciating the property and equipment:</w:t>
      </w:r>
    </w:p>
    <w:p w14:paraId="5DAA9954" w14:textId="77777777" w:rsidR="004716EF" w:rsidRPr="009E35ED" w:rsidRDefault="004716EF" w:rsidP="00B90388">
      <w:pPr>
        <w:keepNext/>
        <w:keepLines/>
        <w:ind w:left="0"/>
        <w:rPr>
          <w:rFonts w:ascii="Arial" w:hAnsi="Arial" w:cs="Arial"/>
          <w:color w:val="000000" w:themeColor="text1"/>
          <w:sz w:val="22"/>
          <w:szCs w:val="22"/>
          <w:lang w:val="en-PH"/>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5"/>
        <w:gridCol w:w="4425"/>
      </w:tblGrid>
      <w:tr w:rsidR="00997F75" w:rsidRPr="009E35ED" w14:paraId="0694BA18" w14:textId="77777777" w:rsidTr="004A3C3C">
        <w:trPr>
          <w:tblHeader/>
        </w:trPr>
        <w:tc>
          <w:tcPr>
            <w:tcW w:w="2439" w:type="pct"/>
            <w:tcBorders>
              <w:top w:val="single" w:sz="4" w:space="0" w:color="auto"/>
              <w:bottom w:val="single" w:sz="4" w:space="0" w:color="auto"/>
            </w:tcBorders>
          </w:tcPr>
          <w:p w14:paraId="5DD2685D" w14:textId="77777777" w:rsidR="00D428CF" w:rsidRPr="009E35ED" w:rsidRDefault="00D428CF" w:rsidP="00B90388">
            <w:pPr>
              <w:keepNext/>
              <w:keepLines/>
              <w:ind w:left="-40"/>
              <w:rPr>
                <w:rFonts w:ascii="Arial Narrow" w:hAnsi="Arial Narrow" w:cs="Arial"/>
                <w:b/>
                <w:color w:val="000000" w:themeColor="text1"/>
                <w:sz w:val="20"/>
                <w:szCs w:val="20"/>
              </w:rPr>
            </w:pPr>
            <w:r w:rsidRPr="009E35ED">
              <w:rPr>
                <w:rFonts w:ascii="Arial Narrow" w:hAnsi="Arial Narrow" w:cs="Arial"/>
                <w:b/>
                <w:color w:val="000000" w:themeColor="text1"/>
                <w:sz w:val="20"/>
                <w:szCs w:val="20"/>
              </w:rPr>
              <w:t>PPE Account</w:t>
            </w:r>
          </w:p>
        </w:tc>
        <w:tc>
          <w:tcPr>
            <w:tcW w:w="2561" w:type="pct"/>
            <w:tcBorders>
              <w:top w:val="single" w:sz="4" w:space="0" w:color="auto"/>
              <w:bottom w:val="single" w:sz="4" w:space="0" w:color="auto"/>
            </w:tcBorders>
          </w:tcPr>
          <w:p w14:paraId="6BFA90DF" w14:textId="77777777" w:rsidR="00D428CF" w:rsidRPr="009E35ED" w:rsidRDefault="00D428CF" w:rsidP="00B90388">
            <w:pPr>
              <w:keepNext/>
              <w:keepLines/>
              <w:ind w:left="0" w:right="-108"/>
              <w:jc w:val="right"/>
              <w:rPr>
                <w:rFonts w:ascii="Arial Narrow" w:hAnsi="Arial Narrow" w:cs="Arial"/>
                <w:b/>
                <w:color w:val="000000" w:themeColor="text1"/>
                <w:sz w:val="20"/>
                <w:szCs w:val="20"/>
              </w:rPr>
            </w:pPr>
            <w:r w:rsidRPr="009E35ED">
              <w:rPr>
                <w:rFonts w:ascii="Arial Narrow" w:hAnsi="Arial Narrow" w:cs="Arial"/>
                <w:b/>
                <w:color w:val="000000" w:themeColor="text1"/>
                <w:sz w:val="20"/>
                <w:szCs w:val="20"/>
              </w:rPr>
              <w:t>Estimated Life in Years</w:t>
            </w:r>
          </w:p>
        </w:tc>
      </w:tr>
      <w:tr w:rsidR="00997F75" w:rsidRPr="009E35ED" w14:paraId="5A3428A2" w14:textId="77777777" w:rsidTr="004A3C3C">
        <w:trPr>
          <w:tblHeader/>
        </w:trPr>
        <w:tc>
          <w:tcPr>
            <w:tcW w:w="2439" w:type="pct"/>
            <w:tcBorders>
              <w:top w:val="single" w:sz="4" w:space="0" w:color="auto"/>
            </w:tcBorders>
          </w:tcPr>
          <w:p w14:paraId="12B3E098" w14:textId="77777777" w:rsidR="00D428CF" w:rsidRPr="009E35ED" w:rsidRDefault="00D428CF" w:rsidP="004E1271">
            <w:pPr>
              <w:ind w:left="-40"/>
              <w:rPr>
                <w:rFonts w:ascii="Arial Narrow" w:hAnsi="Arial Narrow" w:cs="Arial"/>
                <w:color w:val="000000" w:themeColor="text1"/>
                <w:sz w:val="20"/>
                <w:szCs w:val="20"/>
              </w:rPr>
            </w:pPr>
            <w:r w:rsidRPr="009E35ED">
              <w:rPr>
                <w:rFonts w:ascii="Arial Narrow" w:hAnsi="Arial Narrow" w:cs="Arial"/>
                <w:color w:val="000000" w:themeColor="text1"/>
                <w:sz w:val="20"/>
                <w:szCs w:val="20"/>
              </w:rPr>
              <w:t>Land Improvements</w:t>
            </w:r>
          </w:p>
        </w:tc>
        <w:tc>
          <w:tcPr>
            <w:tcW w:w="2561" w:type="pct"/>
            <w:tcBorders>
              <w:top w:val="single" w:sz="4" w:space="0" w:color="auto"/>
            </w:tcBorders>
          </w:tcPr>
          <w:p w14:paraId="19BBF1B3" w14:textId="77777777" w:rsidR="00D428CF" w:rsidRPr="009E35ED" w:rsidRDefault="00D428CF" w:rsidP="001A2908">
            <w:pPr>
              <w:ind w:left="0" w:right="-108"/>
              <w:jc w:val="right"/>
              <w:rPr>
                <w:rFonts w:ascii="Arial Narrow" w:hAnsi="Arial Narrow" w:cs="Arial"/>
                <w:color w:val="000000" w:themeColor="text1"/>
                <w:sz w:val="20"/>
                <w:szCs w:val="20"/>
              </w:rPr>
            </w:pPr>
            <w:r w:rsidRPr="009E35ED">
              <w:rPr>
                <w:rFonts w:ascii="Arial Narrow" w:hAnsi="Arial Narrow" w:cs="Arial"/>
                <w:color w:val="000000" w:themeColor="text1"/>
                <w:sz w:val="20"/>
                <w:szCs w:val="20"/>
              </w:rPr>
              <w:t>10</w:t>
            </w:r>
          </w:p>
        </w:tc>
      </w:tr>
      <w:tr w:rsidR="00997F75" w:rsidRPr="009E35ED" w14:paraId="09D1BE4E" w14:textId="77777777" w:rsidTr="004A3C3C">
        <w:trPr>
          <w:tblHeader/>
        </w:trPr>
        <w:tc>
          <w:tcPr>
            <w:tcW w:w="2439" w:type="pct"/>
          </w:tcPr>
          <w:p w14:paraId="1E07A911" w14:textId="77777777" w:rsidR="00D428CF" w:rsidRPr="009E35ED" w:rsidRDefault="00D428CF" w:rsidP="004E1271">
            <w:pPr>
              <w:ind w:left="-40"/>
              <w:rPr>
                <w:rFonts w:ascii="Arial Narrow" w:hAnsi="Arial Narrow" w:cs="Arial"/>
                <w:color w:val="000000" w:themeColor="text1"/>
                <w:sz w:val="20"/>
                <w:szCs w:val="20"/>
              </w:rPr>
            </w:pPr>
            <w:r w:rsidRPr="009E35ED">
              <w:rPr>
                <w:rFonts w:ascii="Arial Narrow" w:hAnsi="Arial Narrow" w:cs="Arial"/>
                <w:color w:val="000000" w:themeColor="text1"/>
                <w:sz w:val="20"/>
                <w:szCs w:val="20"/>
              </w:rPr>
              <w:t>Building – those that are predominantly</w:t>
            </w:r>
          </w:p>
        </w:tc>
        <w:tc>
          <w:tcPr>
            <w:tcW w:w="2561" w:type="pct"/>
          </w:tcPr>
          <w:p w14:paraId="26EDBF54" w14:textId="77777777" w:rsidR="00D428CF" w:rsidRPr="009E35ED" w:rsidRDefault="00D428CF" w:rsidP="001A2908">
            <w:pPr>
              <w:ind w:left="0" w:right="-108"/>
              <w:jc w:val="right"/>
              <w:rPr>
                <w:rFonts w:ascii="Arial Narrow" w:hAnsi="Arial Narrow" w:cs="Arial"/>
                <w:color w:val="000000" w:themeColor="text1"/>
                <w:sz w:val="20"/>
                <w:szCs w:val="20"/>
              </w:rPr>
            </w:pPr>
          </w:p>
        </w:tc>
      </w:tr>
      <w:tr w:rsidR="00997F75" w:rsidRPr="009E35ED" w14:paraId="4DA26B66" w14:textId="77777777" w:rsidTr="004A3C3C">
        <w:trPr>
          <w:tblHeader/>
        </w:trPr>
        <w:tc>
          <w:tcPr>
            <w:tcW w:w="2439" w:type="pct"/>
          </w:tcPr>
          <w:p w14:paraId="4E7E6012" w14:textId="77777777" w:rsidR="00D428CF" w:rsidRPr="009E35ED" w:rsidRDefault="00D428CF" w:rsidP="00803F8C">
            <w:pPr>
              <w:ind w:left="337"/>
              <w:rPr>
                <w:rFonts w:ascii="Arial Narrow" w:hAnsi="Arial Narrow" w:cs="Arial"/>
                <w:color w:val="000000" w:themeColor="text1"/>
                <w:sz w:val="20"/>
                <w:szCs w:val="20"/>
              </w:rPr>
            </w:pPr>
            <w:r w:rsidRPr="009E35ED">
              <w:rPr>
                <w:rFonts w:ascii="Arial Narrow" w:hAnsi="Arial Narrow" w:cs="Arial"/>
                <w:color w:val="000000" w:themeColor="text1"/>
                <w:sz w:val="20"/>
                <w:szCs w:val="20"/>
              </w:rPr>
              <w:t>Wood</w:t>
            </w:r>
          </w:p>
        </w:tc>
        <w:tc>
          <w:tcPr>
            <w:tcW w:w="2561" w:type="pct"/>
          </w:tcPr>
          <w:p w14:paraId="6138730C" w14:textId="77777777" w:rsidR="00D428CF" w:rsidRPr="009E35ED" w:rsidRDefault="00D428CF" w:rsidP="001A2908">
            <w:pPr>
              <w:ind w:left="0" w:right="-108"/>
              <w:jc w:val="right"/>
              <w:rPr>
                <w:rFonts w:ascii="Arial Narrow" w:hAnsi="Arial Narrow" w:cs="Arial"/>
                <w:color w:val="000000" w:themeColor="text1"/>
                <w:sz w:val="20"/>
                <w:szCs w:val="20"/>
              </w:rPr>
            </w:pPr>
            <w:r w:rsidRPr="009E35ED">
              <w:rPr>
                <w:rFonts w:ascii="Arial Narrow" w:hAnsi="Arial Narrow" w:cs="Arial"/>
                <w:color w:val="000000" w:themeColor="text1"/>
                <w:sz w:val="20"/>
                <w:szCs w:val="20"/>
              </w:rPr>
              <w:t>10</w:t>
            </w:r>
          </w:p>
        </w:tc>
      </w:tr>
      <w:tr w:rsidR="00997F75" w:rsidRPr="009E35ED" w14:paraId="558AB0CE" w14:textId="77777777" w:rsidTr="004A3C3C">
        <w:trPr>
          <w:tblHeader/>
        </w:trPr>
        <w:tc>
          <w:tcPr>
            <w:tcW w:w="2439" w:type="pct"/>
          </w:tcPr>
          <w:p w14:paraId="6AFF124D" w14:textId="77777777" w:rsidR="00D428CF" w:rsidRPr="009E35ED" w:rsidRDefault="00D428CF" w:rsidP="00803F8C">
            <w:pPr>
              <w:ind w:left="337"/>
              <w:rPr>
                <w:rFonts w:ascii="Arial Narrow" w:hAnsi="Arial Narrow" w:cs="Arial"/>
                <w:color w:val="000000" w:themeColor="text1"/>
                <w:sz w:val="20"/>
                <w:szCs w:val="20"/>
              </w:rPr>
            </w:pPr>
            <w:r w:rsidRPr="009E35ED">
              <w:rPr>
                <w:rFonts w:ascii="Arial Narrow" w:hAnsi="Arial Narrow" w:cs="Arial"/>
                <w:color w:val="000000" w:themeColor="text1"/>
                <w:sz w:val="20"/>
                <w:szCs w:val="20"/>
              </w:rPr>
              <w:t>Mixed</w:t>
            </w:r>
          </w:p>
        </w:tc>
        <w:tc>
          <w:tcPr>
            <w:tcW w:w="2561" w:type="pct"/>
          </w:tcPr>
          <w:p w14:paraId="566E038A" w14:textId="77777777" w:rsidR="00D428CF" w:rsidRPr="009E35ED" w:rsidRDefault="00D428CF" w:rsidP="001A2908">
            <w:pPr>
              <w:ind w:left="0" w:right="-108"/>
              <w:jc w:val="right"/>
              <w:rPr>
                <w:rFonts w:ascii="Arial Narrow" w:hAnsi="Arial Narrow" w:cs="Arial"/>
                <w:color w:val="000000" w:themeColor="text1"/>
                <w:sz w:val="20"/>
                <w:szCs w:val="20"/>
              </w:rPr>
            </w:pPr>
            <w:r w:rsidRPr="009E35ED">
              <w:rPr>
                <w:rFonts w:ascii="Arial Narrow" w:hAnsi="Arial Narrow" w:cs="Arial"/>
                <w:color w:val="000000" w:themeColor="text1"/>
                <w:sz w:val="20"/>
                <w:szCs w:val="20"/>
              </w:rPr>
              <w:t>20</w:t>
            </w:r>
          </w:p>
        </w:tc>
      </w:tr>
      <w:tr w:rsidR="00997F75" w:rsidRPr="009E35ED" w14:paraId="12426EBA" w14:textId="77777777" w:rsidTr="004A3C3C">
        <w:trPr>
          <w:tblHeader/>
        </w:trPr>
        <w:tc>
          <w:tcPr>
            <w:tcW w:w="2439" w:type="pct"/>
          </w:tcPr>
          <w:p w14:paraId="44ADA959" w14:textId="77777777" w:rsidR="00D428CF" w:rsidRPr="009E35ED" w:rsidRDefault="00D428CF" w:rsidP="00803F8C">
            <w:pPr>
              <w:ind w:left="337"/>
              <w:rPr>
                <w:rFonts w:ascii="Arial Narrow" w:hAnsi="Arial Narrow" w:cs="Arial"/>
                <w:color w:val="000000" w:themeColor="text1"/>
                <w:sz w:val="20"/>
                <w:szCs w:val="20"/>
              </w:rPr>
            </w:pPr>
            <w:r w:rsidRPr="009E35ED">
              <w:rPr>
                <w:rFonts w:ascii="Arial Narrow" w:hAnsi="Arial Narrow" w:cs="Arial"/>
                <w:color w:val="000000" w:themeColor="text1"/>
                <w:sz w:val="20"/>
                <w:szCs w:val="20"/>
              </w:rPr>
              <w:t>Concrete</w:t>
            </w:r>
          </w:p>
        </w:tc>
        <w:tc>
          <w:tcPr>
            <w:tcW w:w="2561" w:type="pct"/>
          </w:tcPr>
          <w:p w14:paraId="5546A55B" w14:textId="77777777" w:rsidR="00D428CF" w:rsidRPr="009E35ED" w:rsidRDefault="00D428CF" w:rsidP="001A2908">
            <w:pPr>
              <w:ind w:left="0" w:right="-108"/>
              <w:jc w:val="right"/>
              <w:rPr>
                <w:rFonts w:ascii="Arial Narrow" w:hAnsi="Arial Narrow" w:cs="Arial"/>
                <w:color w:val="000000" w:themeColor="text1"/>
                <w:sz w:val="20"/>
                <w:szCs w:val="20"/>
              </w:rPr>
            </w:pPr>
            <w:r w:rsidRPr="009E35ED">
              <w:rPr>
                <w:rFonts w:ascii="Arial Narrow" w:hAnsi="Arial Narrow" w:cs="Arial"/>
                <w:color w:val="000000" w:themeColor="text1"/>
                <w:sz w:val="20"/>
                <w:szCs w:val="20"/>
              </w:rPr>
              <w:t>30</w:t>
            </w:r>
          </w:p>
        </w:tc>
      </w:tr>
      <w:tr w:rsidR="00997F75" w:rsidRPr="009E35ED" w14:paraId="182E8353" w14:textId="77777777" w:rsidTr="004A3C3C">
        <w:trPr>
          <w:tblHeader/>
        </w:trPr>
        <w:tc>
          <w:tcPr>
            <w:tcW w:w="2439" w:type="pct"/>
          </w:tcPr>
          <w:p w14:paraId="199E80CE" w14:textId="77777777" w:rsidR="00D428CF" w:rsidRPr="009E35ED" w:rsidRDefault="00D428CF" w:rsidP="004E1271">
            <w:pPr>
              <w:ind w:left="-40"/>
              <w:rPr>
                <w:rFonts w:ascii="Arial Narrow" w:hAnsi="Arial Narrow" w:cs="Arial"/>
                <w:color w:val="000000" w:themeColor="text1"/>
                <w:sz w:val="20"/>
                <w:szCs w:val="20"/>
              </w:rPr>
            </w:pPr>
            <w:r w:rsidRPr="009E35ED">
              <w:rPr>
                <w:rFonts w:ascii="Arial Narrow" w:hAnsi="Arial Narrow" w:cs="Arial"/>
                <w:color w:val="000000" w:themeColor="text1"/>
                <w:sz w:val="20"/>
                <w:szCs w:val="20"/>
              </w:rPr>
              <w:t>Leasehold Improvement</w:t>
            </w:r>
          </w:p>
        </w:tc>
        <w:tc>
          <w:tcPr>
            <w:tcW w:w="2561" w:type="pct"/>
          </w:tcPr>
          <w:p w14:paraId="70C03141" w14:textId="77777777" w:rsidR="00D428CF" w:rsidRPr="009E35ED" w:rsidRDefault="00D428CF" w:rsidP="001A2908">
            <w:pPr>
              <w:ind w:left="0" w:right="-108"/>
              <w:jc w:val="right"/>
              <w:rPr>
                <w:rFonts w:ascii="Arial Narrow" w:hAnsi="Arial Narrow" w:cs="Arial"/>
                <w:color w:val="000000" w:themeColor="text1"/>
                <w:sz w:val="20"/>
                <w:szCs w:val="20"/>
              </w:rPr>
            </w:pPr>
          </w:p>
        </w:tc>
      </w:tr>
      <w:tr w:rsidR="00997F75" w:rsidRPr="009E35ED" w14:paraId="06434F4D" w14:textId="77777777" w:rsidTr="004A3C3C">
        <w:trPr>
          <w:tblHeader/>
        </w:trPr>
        <w:tc>
          <w:tcPr>
            <w:tcW w:w="2439" w:type="pct"/>
          </w:tcPr>
          <w:p w14:paraId="4B70D29B" w14:textId="77777777" w:rsidR="00D428CF" w:rsidRPr="009E35ED" w:rsidRDefault="00D428CF" w:rsidP="004E1271">
            <w:pPr>
              <w:ind w:left="-40"/>
              <w:rPr>
                <w:rFonts w:ascii="Arial Narrow" w:hAnsi="Arial Narrow" w:cs="Arial"/>
                <w:color w:val="000000" w:themeColor="text1"/>
                <w:sz w:val="20"/>
                <w:szCs w:val="20"/>
              </w:rPr>
            </w:pPr>
            <w:r w:rsidRPr="009E35ED">
              <w:rPr>
                <w:rFonts w:ascii="Arial Narrow" w:hAnsi="Arial Narrow" w:cs="Arial"/>
                <w:color w:val="000000" w:themeColor="text1"/>
                <w:sz w:val="20"/>
                <w:szCs w:val="20"/>
              </w:rPr>
              <w:t>Land</w:t>
            </w:r>
          </w:p>
        </w:tc>
        <w:tc>
          <w:tcPr>
            <w:tcW w:w="2561" w:type="pct"/>
          </w:tcPr>
          <w:p w14:paraId="424C5AC7" w14:textId="77777777" w:rsidR="00D428CF" w:rsidRPr="009E35ED" w:rsidRDefault="00D428CF" w:rsidP="001A2908">
            <w:pPr>
              <w:ind w:left="0" w:right="-108"/>
              <w:jc w:val="right"/>
              <w:rPr>
                <w:rFonts w:ascii="Arial Narrow" w:hAnsi="Arial Narrow" w:cs="Arial"/>
                <w:color w:val="000000" w:themeColor="text1"/>
                <w:sz w:val="20"/>
                <w:szCs w:val="20"/>
              </w:rPr>
            </w:pPr>
            <w:r w:rsidRPr="009E35ED">
              <w:rPr>
                <w:rFonts w:ascii="Arial Narrow" w:hAnsi="Arial Narrow" w:cs="Arial"/>
                <w:color w:val="000000" w:themeColor="text1"/>
                <w:sz w:val="20"/>
                <w:szCs w:val="20"/>
              </w:rPr>
              <w:t>10</w:t>
            </w:r>
          </w:p>
        </w:tc>
      </w:tr>
      <w:tr w:rsidR="00997F75" w:rsidRPr="009E35ED" w14:paraId="38089A1E" w14:textId="77777777" w:rsidTr="004A3C3C">
        <w:trPr>
          <w:tblHeader/>
        </w:trPr>
        <w:tc>
          <w:tcPr>
            <w:tcW w:w="2439" w:type="pct"/>
          </w:tcPr>
          <w:p w14:paraId="5F45E9A1" w14:textId="77777777" w:rsidR="00D428CF" w:rsidRPr="009E35ED" w:rsidRDefault="00D428CF" w:rsidP="004E1271">
            <w:pPr>
              <w:ind w:left="-40"/>
              <w:rPr>
                <w:rFonts w:ascii="Arial Narrow" w:hAnsi="Arial Narrow" w:cs="Arial"/>
                <w:color w:val="000000" w:themeColor="text1"/>
                <w:sz w:val="20"/>
                <w:szCs w:val="20"/>
              </w:rPr>
            </w:pPr>
            <w:r w:rsidRPr="009E35ED">
              <w:rPr>
                <w:rFonts w:ascii="Arial Narrow" w:hAnsi="Arial Narrow" w:cs="Arial"/>
                <w:color w:val="000000" w:themeColor="text1"/>
                <w:sz w:val="20"/>
                <w:szCs w:val="20"/>
              </w:rPr>
              <w:t>Building</w:t>
            </w:r>
          </w:p>
        </w:tc>
        <w:tc>
          <w:tcPr>
            <w:tcW w:w="2561" w:type="pct"/>
          </w:tcPr>
          <w:p w14:paraId="1820A938" w14:textId="77777777" w:rsidR="00D428CF" w:rsidRPr="009E35ED" w:rsidRDefault="00D428CF" w:rsidP="001A2908">
            <w:pPr>
              <w:ind w:left="0" w:right="-108"/>
              <w:jc w:val="right"/>
              <w:rPr>
                <w:rFonts w:ascii="Arial Narrow" w:hAnsi="Arial Narrow" w:cs="Arial"/>
                <w:color w:val="000000" w:themeColor="text1"/>
                <w:sz w:val="20"/>
                <w:szCs w:val="20"/>
              </w:rPr>
            </w:pPr>
          </w:p>
        </w:tc>
      </w:tr>
      <w:tr w:rsidR="00997F75" w:rsidRPr="009E35ED" w14:paraId="52803AFC" w14:textId="77777777" w:rsidTr="004A3C3C">
        <w:trPr>
          <w:tblHeader/>
        </w:trPr>
        <w:tc>
          <w:tcPr>
            <w:tcW w:w="2439" w:type="pct"/>
          </w:tcPr>
          <w:p w14:paraId="3D0D4365" w14:textId="77777777" w:rsidR="00D428CF" w:rsidRPr="009E35ED" w:rsidRDefault="00D428CF" w:rsidP="00803F8C">
            <w:pPr>
              <w:ind w:left="337"/>
              <w:rPr>
                <w:rFonts w:ascii="Arial Narrow" w:hAnsi="Arial Narrow" w:cs="Arial"/>
                <w:color w:val="000000" w:themeColor="text1"/>
                <w:sz w:val="20"/>
                <w:szCs w:val="20"/>
              </w:rPr>
            </w:pPr>
            <w:r w:rsidRPr="009E35ED">
              <w:rPr>
                <w:rFonts w:ascii="Arial Narrow" w:hAnsi="Arial Narrow" w:cs="Arial"/>
                <w:color w:val="000000" w:themeColor="text1"/>
                <w:sz w:val="20"/>
                <w:szCs w:val="20"/>
              </w:rPr>
              <w:t>Wood</w:t>
            </w:r>
          </w:p>
        </w:tc>
        <w:tc>
          <w:tcPr>
            <w:tcW w:w="2561" w:type="pct"/>
          </w:tcPr>
          <w:p w14:paraId="40DF5302" w14:textId="77777777" w:rsidR="00D428CF" w:rsidRPr="009E35ED" w:rsidRDefault="00D428CF" w:rsidP="001A2908">
            <w:pPr>
              <w:ind w:left="0" w:right="-108"/>
              <w:jc w:val="right"/>
              <w:rPr>
                <w:rFonts w:ascii="Arial Narrow" w:hAnsi="Arial Narrow" w:cs="Arial"/>
                <w:color w:val="000000" w:themeColor="text1"/>
                <w:sz w:val="20"/>
                <w:szCs w:val="20"/>
              </w:rPr>
            </w:pPr>
            <w:r w:rsidRPr="009E35ED">
              <w:rPr>
                <w:rFonts w:ascii="Arial Narrow" w:hAnsi="Arial Narrow" w:cs="Arial"/>
                <w:color w:val="000000" w:themeColor="text1"/>
                <w:sz w:val="20"/>
                <w:szCs w:val="20"/>
              </w:rPr>
              <w:t>10</w:t>
            </w:r>
          </w:p>
        </w:tc>
      </w:tr>
      <w:tr w:rsidR="00997F75" w:rsidRPr="009E35ED" w14:paraId="37DD5526" w14:textId="77777777" w:rsidTr="004A3C3C">
        <w:trPr>
          <w:tblHeader/>
        </w:trPr>
        <w:tc>
          <w:tcPr>
            <w:tcW w:w="2439" w:type="pct"/>
          </w:tcPr>
          <w:p w14:paraId="1C63A56C" w14:textId="77777777" w:rsidR="00D428CF" w:rsidRPr="009E35ED" w:rsidRDefault="00D428CF" w:rsidP="00803F8C">
            <w:pPr>
              <w:ind w:left="337"/>
              <w:rPr>
                <w:rFonts w:ascii="Arial Narrow" w:hAnsi="Arial Narrow" w:cs="Arial"/>
                <w:color w:val="000000" w:themeColor="text1"/>
                <w:sz w:val="20"/>
                <w:szCs w:val="20"/>
              </w:rPr>
            </w:pPr>
            <w:r w:rsidRPr="009E35ED">
              <w:rPr>
                <w:rFonts w:ascii="Arial Narrow" w:hAnsi="Arial Narrow" w:cs="Arial"/>
                <w:color w:val="000000" w:themeColor="text1"/>
                <w:sz w:val="20"/>
                <w:szCs w:val="20"/>
              </w:rPr>
              <w:t>Mixed</w:t>
            </w:r>
          </w:p>
        </w:tc>
        <w:tc>
          <w:tcPr>
            <w:tcW w:w="2561" w:type="pct"/>
          </w:tcPr>
          <w:p w14:paraId="35CDEBD7" w14:textId="77777777" w:rsidR="00D428CF" w:rsidRPr="009E35ED" w:rsidRDefault="00D428CF" w:rsidP="001A2908">
            <w:pPr>
              <w:ind w:left="0" w:right="-108"/>
              <w:jc w:val="right"/>
              <w:rPr>
                <w:rFonts w:ascii="Arial Narrow" w:hAnsi="Arial Narrow" w:cs="Arial"/>
                <w:color w:val="000000" w:themeColor="text1"/>
                <w:sz w:val="20"/>
                <w:szCs w:val="20"/>
              </w:rPr>
            </w:pPr>
            <w:r w:rsidRPr="009E35ED">
              <w:rPr>
                <w:rFonts w:ascii="Arial Narrow" w:hAnsi="Arial Narrow" w:cs="Arial"/>
                <w:color w:val="000000" w:themeColor="text1"/>
                <w:sz w:val="20"/>
                <w:szCs w:val="20"/>
              </w:rPr>
              <w:t>20</w:t>
            </w:r>
          </w:p>
        </w:tc>
      </w:tr>
      <w:tr w:rsidR="00997F75" w:rsidRPr="009E35ED" w14:paraId="159B451A" w14:textId="77777777" w:rsidTr="004A3C3C">
        <w:trPr>
          <w:tblHeader/>
        </w:trPr>
        <w:tc>
          <w:tcPr>
            <w:tcW w:w="2439" w:type="pct"/>
          </w:tcPr>
          <w:p w14:paraId="41185591" w14:textId="77777777" w:rsidR="00D428CF" w:rsidRPr="009E35ED" w:rsidRDefault="00D428CF" w:rsidP="00803F8C">
            <w:pPr>
              <w:ind w:left="337"/>
              <w:rPr>
                <w:rFonts w:ascii="Arial Narrow" w:hAnsi="Arial Narrow" w:cs="Arial"/>
                <w:color w:val="000000" w:themeColor="text1"/>
                <w:sz w:val="20"/>
                <w:szCs w:val="20"/>
              </w:rPr>
            </w:pPr>
            <w:r w:rsidRPr="009E35ED">
              <w:rPr>
                <w:rFonts w:ascii="Arial Narrow" w:hAnsi="Arial Narrow" w:cs="Arial"/>
                <w:color w:val="000000" w:themeColor="text1"/>
                <w:sz w:val="20"/>
                <w:szCs w:val="20"/>
              </w:rPr>
              <w:t>Concrete</w:t>
            </w:r>
          </w:p>
        </w:tc>
        <w:tc>
          <w:tcPr>
            <w:tcW w:w="2561" w:type="pct"/>
          </w:tcPr>
          <w:p w14:paraId="5D976F72" w14:textId="77777777" w:rsidR="00D428CF" w:rsidRPr="009E35ED" w:rsidRDefault="00D428CF" w:rsidP="001A2908">
            <w:pPr>
              <w:ind w:left="0" w:right="-108"/>
              <w:jc w:val="right"/>
              <w:rPr>
                <w:rFonts w:ascii="Arial Narrow" w:hAnsi="Arial Narrow" w:cs="Arial"/>
                <w:color w:val="000000" w:themeColor="text1"/>
                <w:sz w:val="20"/>
                <w:szCs w:val="20"/>
              </w:rPr>
            </w:pPr>
            <w:r w:rsidRPr="009E35ED">
              <w:rPr>
                <w:rFonts w:ascii="Arial Narrow" w:hAnsi="Arial Narrow" w:cs="Arial"/>
                <w:color w:val="000000" w:themeColor="text1"/>
                <w:sz w:val="20"/>
                <w:szCs w:val="20"/>
              </w:rPr>
              <w:t>30</w:t>
            </w:r>
          </w:p>
        </w:tc>
      </w:tr>
      <w:tr w:rsidR="00997F75" w:rsidRPr="009E35ED" w14:paraId="32DF3694" w14:textId="77777777" w:rsidTr="004A3C3C">
        <w:trPr>
          <w:tblHeader/>
        </w:trPr>
        <w:tc>
          <w:tcPr>
            <w:tcW w:w="2439" w:type="pct"/>
          </w:tcPr>
          <w:p w14:paraId="00B6C460" w14:textId="77777777" w:rsidR="00D428CF" w:rsidRPr="009E35ED" w:rsidRDefault="00D428CF" w:rsidP="004E1271">
            <w:pPr>
              <w:ind w:left="-40"/>
              <w:rPr>
                <w:rFonts w:ascii="Arial Narrow" w:hAnsi="Arial Narrow" w:cs="Arial"/>
                <w:color w:val="000000" w:themeColor="text1"/>
                <w:sz w:val="20"/>
                <w:szCs w:val="20"/>
              </w:rPr>
            </w:pPr>
            <w:r w:rsidRPr="009E35ED">
              <w:rPr>
                <w:rFonts w:ascii="Arial Narrow" w:hAnsi="Arial Narrow" w:cs="Arial"/>
                <w:color w:val="000000" w:themeColor="text1"/>
                <w:sz w:val="20"/>
                <w:szCs w:val="20"/>
              </w:rPr>
              <w:t>Office Equipment</w:t>
            </w:r>
          </w:p>
        </w:tc>
        <w:tc>
          <w:tcPr>
            <w:tcW w:w="2561" w:type="pct"/>
          </w:tcPr>
          <w:p w14:paraId="7E9846C0" w14:textId="77777777" w:rsidR="00D428CF" w:rsidRPr="009E35ED" w:rsidRDefault="00D428CF" w:rsidP="001A2908">
            <w:pPr>
              <w:ind w:left="0" w:right="-108"/>
              <w:jc w:val="right"/>
              <w:rPr>
                <w:rFonts w:ascii="Arial Narrow" w:hAnsi="Arial Narrow" w:cs="Arial"/>
                <w:color w:val="000000" w:themeColor="text1"/>
                <w:sz w:val="20"/>
                <w:szCs w:val="20"/>
              </w:rPr>
            </w:pPr>
            <w:r w:rsidRPr="009E35ED">
              <w:rPr>
                <w:rFonts w:ascii="Arial Narrow" w:hAnsi="Arial Narrow" w:cs="Arial"/>
                <w:color w:val="000000" w:themeColor="text1"/>
                <w:sz w:val="20"/>
                <w:szCs w:val="20"/>
              </w:rPr>
              <w:t>5</w:t>
            </w:r>
          </w:p>
        </w:tc>
      </w:tr>
      <w:tr w:rsidR="00997F75" w:rsidRPr="009E35ED" w14:paraId="410689A0" w14:textId="77777777" w:rsidTr="004A3C3C">
        <w:trPr>
          <w:tblHeader/>
        </w:trPr>
        <w:tc>
          <w:tcPr>
            <w:tcW w:w="2439" w:type="pct"/>
          </w:tcPr>
          <w:p w14:paraId="383D9053" w14:textId="77777777" w:rsidR="00D428CF" w:rsidRPr="009E35ED" w:rsidRDefault="00D428CF" w:rsidP="004E1271">
            <w:pPr>
              <w:ind w:left="-40"/>
              <w:rPr>
                <w:rFonts w:ascii="Arial Narrow" w:hAnsi="Arial Narrow" w:cs="Arial"/>
                <w:color w:val="000000" w:themeColor="text1"/>
                <w:sz w:val="20"/>
                <w:szCs w:val="20"/>
              </w:rPr>
            </w:pPr>
            <w:r w:rsidRPr="009E35ED">
              <w:rPr>
                <w:rFonts w:ascii="Arial Narrow" w:hAnsi="Arial Narrow" w:cs="Arial"/>
                <w:color w:val="000000" w:themeColor="text1"/>
                <w:sz w:val="20"/>
                <w:szCs w:val="20"/>
              </w:rPr>
              <w:t>Furniture and Fixtures</w:t>
            </w:r>
          </w:p>
        </w:tc>
        <w:tc>
          <w:tcPr>
            <w:tcW w:w="2561" w:type="pct"/>
          </w:tcPr>
          <w:p w14:paraId="2CD6A1B6" w14:textId="77777777" w:rsidR="00D428CF" w:rsidRPr="009E35ED" w:rsidRDefault="00D428CF" w:rsidP="001A2908">
            <w:pPr>
              <w:ind w:left="0" w:right="-108"/>
              <w:jc w:val="right"/>
              <w:rPr>
                <w:rFonts w:ascii="Arial Narrow" w:hAnsi="Arial Narrow" w:cs="Arial"/>
                <w:color w:val="000000" w:themeColor="text1"/>
                <w:sz w:val="20"/>
                <w:szCs w:val="20"/>
              </w:rPr>
            </w:pPr>
            <w:r w:rsidRPr="009E35ED">
              <w:rPr>
                <w:rFonts w:ascii="Arial Narrow" w:hAnsi="Arial Narrow" w:cs="Arial"/>
                <w:color w:val="000000" w:themeColor="text1"/>
                <w:sz w:val="20"/>
                <w:szCs w:val="20"/>
              </w:rPr>
              <w:t>10</w:t>
            </w:r>
          </w:p>
        </w:tc>
      </w:tr>
      <w:tr w:rsidR="00997F75" w:rsidRPr="009E35ED" w14:paraId="4CF3E012" w14:textId="77777777" w:rsidTr="004A3C3C">
        <w:trPr>
          <w:tblHeader/>
        </w:trPr>
        <w:tc>
          <w:tcPr>
            <w:tcW w:w="2439" w:type="pct"/>
          </w:tcPr>
          <w:p w14:paraId="32DA960B" w14:textId="72805ED1" w:rsidR="00D428CF" w:rsidRPr="009E35ED" w:rsidRDefault="00D428CF" w:rsidP="00402B9E">
            <w:pPr>
              <w:ind w:left="-40"/>
              <w:rPr>
                <w:rFonts w:ascii="Arial Narrow" w:hAnsi="Arial Narrow" w:cs="Arial"/>
                <w:color w:val="000000" w:themeColor="text1"/>
                <w:sz w:val="20"/>
                <w:szCs w:val="20"/>
              </w:rPr>
            </w:pPr>
            <w:r w:rsidRPr="009E35ED">
              <w:rPr>
                <w:rFonts w:ascii="Arial Narrow" w:hAnsi="Arial Narrow" w:cs="Arial"/>
                <w:color w:val="000000" w:themeColor="text1"/>
                <w:sz w:val="20"/>
                <w:szCs w:val="20"/>
              </w:rPr>
              <w:t xml:space="preserve">IT Equipment </w:t>
            </w:r>
          </w:p>
        </w:tc>
        <w:tc>
          <w:tcPr>
            <w:tcW w:w="2561" w:type="pct"/>
          </w:tcPr>
          <w:p w14:paraId="06BAF273" w14:textId="77777777" w:rsidR="00D428CF" w:rsidRPr="009E35ED" w:rsidRDefault="00D428CF" w:rsidP="001A2908">
            <w:pPr>
              <w:ind w:left="0" w:right="-108"/>
              <w:jc w:val="right"/>
              <w:rPr>
                <w:rFonts w:ascii="Arial Narrow" w:hAnsi="Arial Narrow" w:cs="Arial"/>
                <w:color w:val="000000" w:themeColor="text1"/>
                <w:sz w:val="20"/>
                <w:szCs w:val="20"/>
              </w:rPr>
            </w:pPr>
            <w:r w:rsidRPr="009E35ED">
              <w:rPr>
                <w:rFonts w:ascii="Arial Narrow" w:hAnsi="Arial Narrow" w:cs="Arial"/>
                <w:color w:val="000000" w:themeColor="text1"/>
                <w:sz w:val="20"/>
                <w:szCs w:val="20"/>
              </w:rPr>
              <w:t>5</w:t>
            </w:r>
          </w:p>
        </w:tc>
      </w:tr>
      <w:tr w:rsidR="00997F75" w:rsidRPr="009E35ED" w14:paraId="4A2BCF80" w14:textId="77777777" w:rsidTr="004A3C3C">
        <w:trPr>
          <w:tblHeader/>
        </w:trPr>
        <w:tc>
          <w:tcPr>
            <w:tcW w:w="2439" w:type="pct"/>
          </w:tcPr>
          <w:p w14:paraId="1B774ACE" w14:textId="45375E50" w:rsidR="004A3C3C" w:rsidRPr="009E35ED" w:rsidRDefault="004A3C3C" w:rsidP="004E1271">
            <w:pPr>
              <w:ind w:left="-40"/>
              <w:rPr>
                <w:rFonts w:ascii="Arial Narrow" w:hAnsi="Arial Narrow" w:cs="Arial"/>
                <w:color w:val="000000" w:themeColor="text1"/>
                <w:sz w:val="20"/>
                <w:szCs w:val="20"/>
              </w:rPr>
            </w:pPr>
            <w:r w:rsidRPr="009E35ED">
              <w:rPr>
                <w:rFonts w:ascii="Arial Narrow" w:hAnsi="Arial Narrow" w:cs="Arial"/>
                <w:color w:val="000000" w:themeColor="text1"/>
                <w:sz w:val="20"/>
                <w:szCs w:val="20"/>
              </w:rPr>
              <w:t>Computer Software</w:t>
            </w:r>
          </w:p>
        </w:tc>
        <w:tc>
          <w:tcPr>
            <w:tcW w:w="2561" w:type="pct"/>
          </w:tcPr>
          <w:p w14:paraId="4A7D762F" w14:textId="08B5B68B" w:rsidR="004A3C3C" w:rsidRPr="009E35ED" w:rsidRDefault="004A3C3C" w:rsidP="001A2908">
            <w:pPr>
              <w:ind w:left="0" w:right="-108"/>
              <w:jc w:val="right"/>
              <w:rPr>
                <w:rFonts w:ascii="Arial Narrow" w:hAnsi="Arial Narrow" w:cs="Arial"/>
                <w:color w:val="000000" w:themeColor="text1"/>
                <w:sz w:val="20"/>
                <w:szCs w:val="20"/>
              </w:rPr>
            </w:pPr>
            <w:r w:rsidRPr="009E35ED">
              <w:rPr>
                <w:rFonts w:ascii="Arial Narrow" w:hAnsi="Arial Narrow" w:cs="Arial"/>
                <w:color w:val="000000" w:themeColor="text1"/>
                <w:sz w:val="20"/>
                <w:szCs w:val="20"/>
              </w:rPr>
              <w:t>3</w:t>
            </w:r>
          </w:p>
        </w:tc>
      </w:tr>
      <w:tr w:rsidR="00997F75" w:rsidRPr="009E35ED" w14:paraId="215EC453" w14:textId="77777777" w:rsidTr="004A3C3C">
        <w:trPr>
          <w:tblHeader/>
        </w:trPr>
        <w:tc>
          <w:tcPr>
            <w:tcW w:w="2439" w:type="pct"/>
          </w:tcPr>
          <w:p w14:paraId="42E7F884" w14:textId="77777777" w:rsidR="00D428CF" w:rsidRPr="009E35ED" w:rsidRDefault="00D428CF" w:rsidP="004E1271">
            <w:pPr>
              <w:ind w:left="-40"/>
              <w:rPr>
                <w:rFonts w:ascii="Arial Narrow" w:hAnsi="Arial Narrow" w:cs="Arial"/>
                <w:color w:val="000000" w:themeColor="text1"/>
                <w:sz w:val="20"/>
                <w:szCs w:val="20"/>
              </w:rPr>
            </w:pPr>
            <w:r w:rsidRPr="009E35ED">
              <w:rPr>
                <w:rFonts w:ascii="Arial Narrow" w:hAnsi="Arial Narrow" w:cs="Arial"/>
                <w:color w:val="000000" w:themeColor="text1"/>
                <w:sz w:val="20"/>
                <w:szCs w:val="20"/>
              </w:rPr>
              <w:t>Library Books</w:t>
            </w:r>
          </w:p>
        </w:tc>
        <w:tc>
          <w:tcPr>
            <w:tcW w:w="2561" w:type="pct"/>
          </w:tcPr>
          <w:p w14:paraId="5835C1F5" w14:textId="77777777" w:rsidR="00D428CF" w:rsidRPr="009E35ED" w:rsidRDefault="00D428CF" w:rsidP="001A2908">
            <w:pPr>
              <w:ind w:left="0" w:right="-108"/>
              <w:jc w:val="right"/>
              <w:rPr>
                <w:rFonts w:ascii="Arial Narrow" w:hAnsi="Arial Narrow" w:cs="Arial"/>
                <w:color w:val="000000" w:themeColor="text1"/>
                <w:sz w:val="20"/>
                <w:szCs w:val="20"/>
              </w:rPr>
            </w:pPr>
            <w:r w:rsidRPr="009E35ED">
              <w:rPr>
                <w:rFonts w:ascii="Arial Narrow" w:hAnsi="Arial Narrow" w:cs="Arial"/>
                <w:color w:val="000000" w:themeColor="text1"/>
                <w:sz w:val="20"/>
                <w:szCs w:val="20"/>
              </w:rPr>
              <w:t>5</w:t>
            </w:r>
          </w:p>
        </w:tc>
      </w:tr>
      <w:tr w:rsidR="00997F75" w:rsidRPr="009E35ED" w14:paraId="3B4D5DA6" w14:textId="77777777" w:rsidTr="004A3C3C">
        <w:trPr>
          <w:tblHeader/>
        </w:trPr>
        <w:tc>
          <w:tcPr>
            <w:tcW w:w="2439" w:type="pct"/>
          </w:tcPr>
          <w:p w14:paraId="4B9E6258" w14:textId="77777777" w:rsidR="00D428CF" w:rsidRPr="009E35ED" w:rsidRDefault="00D428CF" w:rsidP="004E1271">
            <w:pPr>
              <w:ind w:left="-40"/>
              <w:rPr>
                <w:rFonts w:ascii="Arial Narrow" w:hAnsi="Arial Narrow" w:cs="Arial"/>
                <w:color w:val="000000" w:themeColor="text1"/>
                <w:sz w:val="20"/>
                <w:szCs w:val="20"/>
              </w:rPr>
            </w:pPr>
            <w:r w:rsidRPr="009E35ED">
              <w:rPr>
                <w:rFonts w:ascii="Arial Narrow" w:hAnsi="Arial Narrow" w:cs="Arial"/>
                <w:color w:val="000000" w:themeColor="text1"/>
                <w:sz w:val="20"/>
                <w:szCs w:val="20"/>
              </w:rPr>
              <w:t>Machineries</w:t>
            </w:r>
          </w:p>
        </w:tc>
        <w:tc>
          <w:tcPr>
            <w:tcW w:w="2561" w:type="pct"/>
          </w:tcPr>
          <w:p w14:paraId="162F9AAB" w14:textId="77777777" w:rsidR="00D428CF" w:rsidRPr="009E35ED" w:rsidRDefault="00D428CF" w:rsidP="001A2908">
            <w:pPr>
              <w:ind w:left="0" w:right="-108"/>
              <w:jc w:val="right"/>
              <w:rPr>
                <w:rFonts w:ascii="Arial Narrow" w:hAnsi="Arial Narrow" w:cs="Arial"/>
                <w:color w:val="000000" w:themeColor="text1"/>
                <w:sz w:val="20"/>
                <w:szCs w:val="20"/>
              </w:rPr>
            </w:pPr>
            <w:r w:rsidRPr="009E35ED">
              <w:rPr>
                <w:rFonts w:ascii="Arial Narrow" w:hAnsi="Arial Narrow" w:cs="Arial"/>
                <w:color w:val="000000" w:themeColor="text1"/>
                <w:sz w:val="20"/>
                <w:szCs w:val="20"/>
              </w:rPr>
              <w:t>10</w:t>
            </w:r>
          </w:p>
        </w:tc>
      </w:tr>
      <w:tr w:rsidR="00997F75" w:rsidRPr="009E35ED" w14:paraId="08DAB0AE" w14:textId="77777777" w:rsidTr="004A3C3C">
        <w:trPr>
          <w:tblHeader/>
        </w:trPr>
        <w:tc>
          <w:tcPr>
            <w:tcW w:w="2439" w:type="pct"/>
          </w:tcPr>
          <w:p w14:paraId="220E86BE" w14:textId="77777777" w:rsidR="00D428CF" w:rsidRPr="009E35ED" w:rsidRDefault="00D428CF" w:rsidP="004E1271">
            <w:pPr>
              <w:ind w:left="-40"/>
              <w:rPr>
                <w:rFonts w:ascii="Arial Narrow" w:hAnsi="Arial Narrow" w:cs="Arial"/>
                <w:color w:val="000000" w:themeColor="text1"/>
                <w:sz w:val="20"/>
                <w:szCs w:val="20"/>
              </w:rPr>
            </w:pPr>
            <w:r w:rsidRPr="009E35ED">
              <w:rPr>
                <w:rFonts w:ascii="Arial Narrow" w:hAnsi="Arial Narrow" w:cs="Arial"/>
                <w:color w:val="000000" w:themeColor="text1"/>
                <w:sz w:val="20"/>
                <w:szCs w:val="20"/>
              </w:rPr>
              <w:t>Communication Equipment</w:t>
            </w:r>
          </w:p>
        </w:tc>
        <w:tc>
          <w:tcPr>
            <w:tcW w:w="2561" w:type="pct"/>
          </w:tcPr>
          <w:p w14:paraId="2253EDE8" w14:textId="77777777" w:rsidR="00D428CF" w:rsidRPr="009E35ED" w:rsidRDefault="00D428CF" w:rsidP="001A2908">
            <w:pPr>
              <w:ind w:left="0" w:right="-108"/>
              <w:jc w:val="right"/>
              <w:rPr>
                <w:rFonts w:ascii="Arial Narrow" w:hAnsi="Arial Narrow" w:cs="Arial"/>
                <w:color w:val="000000" w:themeColor="text1"/>
                <w:sz w:val="20"/>
                <w:szCs w:val="20"/>
              </w:rPr>
            </w:pPr>
            <w:r w:rsidRPr="009E35ED">
              <w:rPr>
                <w:rFonts w:ascii="Arial Narrow" w:hAnsi="Arial Narrow" w:cs="Arial"/>
                <w:color w:val="000000" w:themeColor="text1"/>
                <w:sz w:val="20"/>
                <w:szCs w:val="20"/>
              </w:rPr>
              <w:t>10</w:t>
            </w:r>
          </w:p>
        </w:tc>
      </w:tr>
      <w:tr w:rsidR="00997F75" w:rsidRPr="009E35ED" w14:paraId="286D15C5" w14:textId="77777777" w:rsidTr="004A3C3C">
        <w:trPr>
          <w:tblHeader/>
        </w:trPr>
        <w:tc>
          <w:tcPr>
            <w:tcW w:w="2439" w:type="pct"/>
          </w:tcPr>
          <w:p w14:paraId="48B8BD0E" w14:textId="77777777" w:rsidR="00D428CF" w:rsidRPr="009E35ED" w:rsidRDefault="00D428CF" w:rsidP="004E1271">
            <w:pPr>
              <w:ind w:left="-40"/>
              <w:rPr>
                <w:rFonts w:ascii="Arial Narrow" w:hAnsi="Arial Narrow" w:cs="Arial"/>
                <w:color w:val="000000" w:themeColor="text1"/>
                <w:sz w:val="20"/>
                <w:szCs w:val="20"/>
              </w:rPr>
            </w:pPr>
            <w:r w:rsidRPr="009E35ED">
              <w:rPr>
                <w:rFonts w:ascii="Arial Narrow" w:hAnsi="Arial Narrow" w:cs="Arial"/>
                <w:color w:val="000000" w:themeColor="text1"/>
                <w:sz w:val="20"/>
                <w:szCs w:val="20"/>
              </w:rPr>
              <w:t>Medical, Dental &amp; Laboratory Equipment</w:t>
            </w:r>
          </w:p>
        </w:tc>
        <w:tc>
          <w:tcPr>
            <w:tcW w:w="2561" w:type="pct"/>
          </w:tcPr>
          <w:p w14:paraId="7239A49D" w14:textId="77777777" w:rsidR="00D428CF" w:rsidRPr="009E35ED" w:rsidRDefault="00D428CF" w:rsidP="001A2908">
            <w:pPr>
              <w:ind w:left="0" w:right="-108"/>
              <w:jc w:val="right"/>
              <w:rPr>
                <w:rFonts w:ascii="Arial Narrow" w:hAnsi="Arial Narrow" w:cs="Arial"/>
                <w:color w:val="000000" w:themeColor="text1"/>
                <w:sz w:val="20"/>
                <w:szCs w:val="20"/>
              </w:rPr>
            </w:pPr>
            <w:r w:rsidRPr="009E35ED">
              <w:rPr>
                <w:rFonts w:ascii="Arial Narrow" w:hAnsi="Arial Narrow" w:cs="Arial"/>
                <w:color w:val="000000" w:themeColor="text1"/>
                <w:sz w:val="20"/>
                <w:szCs w:val="20"/>
              </w:rPr>
              <w:t>10</w:t>
            </w:r>
          </w:p>
        </w:tc>
      </w:tr>
      <w:tr w:rsidR="00997F75" w:rsidRPr="009E35ED" w14:paraId="18A760EC" w14:textId="77777777" w:rsidTr="004A3C3C">
        <w:trPr>
          <w:tblHeader/>
        </w:trPr>
        <w:tc>
          <w:tcPr>
            <w:tcW w:w="2439" w:type="pct"/>
          </w:tcPr>
          <w:p w14:paraId="7BE8EE6B" w14:textId="77777777" w:rsidR="00D428CF" w:rsidRPr="009E35ED" w:rsidRDefault="00D428CF" w:rsidP="004E1271">
            <w:pPr>
              <w:ind w:left="-40"/>
              <w:rPr>
                <w:rFonts w:ascii="Arial Narrow" w:hAnsi="Arial Narrow" w:cs="Arial"/>
                <w:color w:val="000000" w:themeColor="text1"/>
                <w:sz w:val="20"/>
                <w:szCs w:val="20"/>
              </w:rPr>
            </w:pPr>
            <w:r w:rsidRPr="009E35ED">
              <w:rPr>
                <w:rFonts w:ascii="Arial Narrow" w:hAnsi="Arial Narrow" w:cs="Arial"/>
                <w:color w:val="000000" w:themeColor="text1"/>
                <w:sz w:val="20"/>
                <w:szCs w:val="20"/>
              </w:rPr>
              <w:t>Military and Police Equipment</w:t>
            </w:r>
          </w:p>
        </w:tc>
        <w:tc>
          <w:tcPr>
            <w:tcW w:w="2561" w:type="pct"/>
          </w:tcPr>
          <w:p w14:paraId="320F867E" w14:textId="77777777" w:rsidR="00D428CF" w:rsidRPr="009E35ED" w:rsidRDefault="00D428CF" w:rsidP="001A2908">
            <w:pPr>
              <w:ind w:left="0" w:right="-108"/>
              <w:jc w:val="right"/>
              <w:rPr>
                <w:rFonts w:ascii="Arial Narrow" w:hAnsi="Arial Narrow" w:cs="Arial"/>
                <w:color w:val="000000" w:themeColor="text1"/>
                <w:sz w:val="20"/>
                <w:szCs w:val="20"/>
              </w:rPr>
            </w:pPr>
            <w:r w:rsidRPr="009E35ED">
              <w:rPr>
                <w:rFonts w:ascii="Arial Narrow" w:hAnsi="Arial Narrow" w:cs="Arial"/>
                <w:color w:val="000000" w:themeColor="text1"/>
                <w:sz w:val="20"/>
                <w:szCs w:val="20"/>
              </w:rPr>
              <w:t>10</w:t>
            </w:r>
          </w:p>
        </w:tc>
      </w:tr>
      <w:tr w:rsidR="00997F75" w:rsidRPr="009E35ED" w14:paraId="05C79C26" w14:textId="77777777" w:rsidTr="004A3C3C">
        <w:trPr>
          <w:tblHeader/>
        </w:trPr>
        <w:tc>
          <w:tcPr>
            <w:tcW w:w="2439" w:type="pct"/>
          </w:tcPr>
          <w:p w14:paraId="683E0CB5" w14:textId="77777777" w:rsidR="00D428CF" w:rsidRPr="009E35ED" w:rsidRDefault="00D428CF" w:rsidP="004E1271">
            <w:pPr>
              <w:ind w:left="-40"/>
              <w:rPr>
                <w:rFonts w:ascii="Arial Narrow" w:hAnsi="Arial Narrow" w:cs="Arial"/>
                <w:color w:val="000000" w:themeColor="text1"/>
                <w:sz w:val="20"/>
                <w:szCs w:val="20"/>
              </w:rPr>
            </w:pPr>
            <w:r w:rsidRPr="009E35ED">
              <w:rPr>
                <w:rFonts w:ascii="Arial Narrow" w:hAnsi="Arial Narrow" w:cs="Arial"/>
                <w:color w:val="000000" w:themeColor="text1"/>
                <w:sz w:val="20"/>
                <w:szCs w:val="20"/>
              </w:rPr>
              <w:t>Sports Equipment</w:t>
            </w:r>
          </w:p>
        </w:tc>
        <w:tc>
          <w:tcPr>
            <w:tcW w:w="2561" w:type="pct"/>
          </w:tcPr>
          <w:p w14:paraId="2F7A66D4" w14:textId="77777777" w:rsidR="00D428CF" w:rsidRPr="009E35ED" w:rsidRDefault="00D428CF" w:rsidP="001A2908">
            <w:pPr>
              <w:ind w:left="0" w:right="-108"/>
              <w:jc w:val="right"/>
              <w:rPr>
                <w:rFonts w:ascii="Arial Narrow" w:hAnsi="Arial Narrow" w:cs="Arial"/>
                <w:color w:val="000000" w:themeColor="text1"/>
                <w:sz w:val="20"/>
                <w:szCs w:val="20"/>
              </w:rPr>
            </w:pPr>
            <w:r w:rsidRPr="009E35ED">
              <w:rPr>
                <w:rFonts w:ascii="Arial Narrow" w:hAnsi="Arial Narrow" w:cs="Arial"/>
                <w:color w:val="000000" w:themeColor="text1"/>
                <w:sz w:val="20"/>
                <w:szCs w:val="20"/>
              </w:rPr>
              <w:t>10</w:t>
            </w:r>
          </w:p>
        </w:tc>
      </w:tr>
      <w:tr w:rsidR="00997F75" w:rsidRPr="009E35ED" w14:paraId="4F25D6A9" w14:textId="77777777" w:rsidTr="004A3C3C">
        <w:trPr>
          <w:tblHeader/>
        </w:trPr>
        <w:tc>
          <w:tcPr>
            <w:tcW w:w="2439" w:type="pct"/>
          </w:tcPr>
          <w:p w14:paraId="55BE1C12" w14:textId="77777777" w:rsidR="00D428CF" w:rsidRPr="009E35ED" w:rsidRDefault="00D428CF" w:rsidP="004E1271">
            <w:pPr>
              <w:ind w:left="-40"/>
              <w:rPr>
                <w:rFonts w:ascii="Arial Narrow" w:hAnsi="Arial Narrow" w:cs="Arial"/>
                <w:color w:val="000000" w:themeColor="text1"/>
                <w:sz w:val="20"/>
                <w:szCs w:val="20"/>
              </w:rPr>
            </w:pPr>
            <w:r w:rsidRPr="009E35ED">
              <w:rPr>
                <w:rFonts w:ascii="Arial Narrow" w:hAnsi="Arial Narrow" w:cs="Arial"/>
                <w:color w:val="000000" w:themeColor="text1"/>
                <w:sz w:val="20"/>
                <w:szCs w:val="20"/>
              </w:rPr>
              <w:t>Motor Vehicle</w:t>
            </w:r>
          </w:p>
        </w:tc>
        <w:tc>
          <w:tcPr>
            <w:tcW w:w="2561" w:type="pct"/>
          </w:tcPr>
          <w:p w14:paraId="7947B634" w14:textId="77777777" w:rsidR="00D428CF" w:rsidRPr="009E35ED" w:rsidRDefault="00D428CF" w:rsidP="001A2908">
            <w:pPr>
              <w:ind w:left="0" w:right="-108"/>
              <w:jc w:val="right"/>
              <w:rPr>
                <w:rFonts w:ascii="Arial Narrow" w:hAnsi="Arial Narrow" w:cs="Arial"/>
                <w:color w:val="000000" w:themeColor="text1"/>
                <w:sz w:val="20"/>
                <w:szCs w:val="20"/>
              </w:rPr>
            </w:pPr>
            <w:r w:rsidRPr="009E35ED">
              <w:rPr>
                <w:rFonts w:ascii="Arial Narrow" w:hAnsi="Arial Narrow" w:cs="Arial"/>
                <w:color w:val="000000" w:themeColor="text1"/>
                <w:sz w:val="20"/>
                <w:szCs w:val="20"/>
              </w:rPr>
              <w:t>7</w:t>
            </w:r>
          </w:p>
        </w:tc>
      </w:tr>
      <w:tr w:rsidR="00D428CF" w:rsidRPr="009E35ED" w14:paraId="01BEE115" w14:textId="77777777" w:rsidTr="004A3C3C">
        <w:trPr>
          <w:tblHeader/>
        </w:trPr>
        <w:tc>
          <w:tcPr>
            <w:tcW w:w="2439" w:type="pct"/>
            <w:tcBorders>
              <w:bottom w:val="single" w:sz="4" w:space="0" w:color="auto"/>
            </w:tcBorders>
          </w:tcPr>
          <w:p w14:paraId="79A8EF47" w14:textId="77777777" w:rsidR="00D428CF" w:rsidRPr="009E35ED" w:rsidRDefault="00D428CF" w:rsidP="004E1271">
            <w:pPr>
              <w:ind w:left="-40"/>
              <w:rPr>
                <w:rFonts w:ascii="Arial Narrow" w:hAnsi="Arial Narrow" w:cs="Arial"/>
                <w:color w:val="000000" w:themeColor="text1"/>
                <w:sz w:val="20"/>
                <w:szCs w:val="20"/>
              </w:rPr>
            </w:pPr>
            <w:r w:rsidRPr="009E35ED">
              <w:rPr>
                <w:rFonts w:ascii="Arial Narrow" w:hAnsi="Arial Narrow" w:cs="Arial"/>
                <w:color w:val="000000" w:themeColor="text1"/>
                <w:sz w:val="20"/>
                <w:szCs w:val="20"/>
              </w:rPr>
              <w:t>Other PPE</w:t>
            </w:r>
          </w:p>
        </w:tc>
        <w:tc>
          <w:tcPr>
            <w:tcW w:w="2561" w:type="pct"/>
            <w:tcBorders>
              <w:bottom w:val="single" w:sz="4" w:space="0" w:color="auto"/>
            </w:tcBorders>
          </w:tcPr>
          <w:p w14:paraId="60F0677C" w14:textId="77777777" w:rsidR="00D428CF" w:rsidRPr="009E35ED" w:rsidRDefault="00D428CF" w:rsidP="001A2908">
            <w:pPr>
              <w:ind w:left="0" w:right="-108"/>
              <w:jc w:val="right"/>
              <w:rPr>
                <w:rFonts w:ascii="Arial Narrow" w:hAnsi="Arial Narrow" w:cs="Arial"/>
                <w:color w:val="000000" w:themeColor="text1"/>
                <w:sz w:val="20"/>
                <w:szCs w:val="20"/>
              </w:rPr>
            </w:pPr>
            <w:r w:rsidRPr="009E35ED">
              <w:rPr>
                <w:rFonts w:ascii="Arial Narrow" w:hAnsi="Arial Narrow" w:cs="Arial"/>
                <w:color w:val="000000" w:themeColor="text1"/>
                <w:sz w:val="20"/>
                <w:szCs w:val="20"/>
              </w:rPr>
              <w:t>5</w:t>
            </w:r>
          </w:p>
        </w:tc>
      </w:tr>
    </w:tbl>
    <w:p w14:paraId="12CD9EB9" w14:textId="77777777" w:rsidR="00D428CF" w:rsidRPr="009E35ED" w:rsidRDefault="00D428CF" w:rsidP="00803F8C">
      <w:pPr>
        <w:ind w:left="0"/>
        <w:rPr>
          <w:rFonts w:ascii="Arial" w:hAnsi="Arial" w:cs="Arial"/>
          <w:color w:val="000000" w:themeColor="text1"/>
          <w:sz w:val="22"/>
          <w:szCs w:val="22"/>
        </w:rPr>
      </w:pPr>
    </w:p>
    <w:p w14:paraId="754EEC9B" w14:textId="4B26CF12" w:rsidR="00E60CEA" w:rsidRPr="009E35ED" w:rsidRDefault="00E60CEA" w:rsidP="00803F8C">
      <w:pPr>
        <w:ind w:left="0"/>
        <w:rPr>
          <w:rFonts w:ascii="Arial" w:hAnsi="Arial" w:cs="Arial"/>
          <w:color w:val="000000" w:themeColor="text1"/>
          <w:sz w:val="22"/>
          <w:szCs w:val="22"/>
          <w:lang w:val="en-PH"/>
        </w:rPr>
      </w:pPr>
      <w:r w:rsidRPr="009E35ED">
        <w:rPr>
          <w:rFonts w:ascii="Arial" w:hAnsi="Arial" w:cs="Arial"/>
          <w:color w:val="000000" w:themeColor="text1"/>
          <w:sz w:val="22"/>
          <w:szCs w:val="22"/>
          <w:lang w:val="en-PH"/>
        </w:rPr>
        <w:t>The carrying amounts of PCSO’s property and equipment as at December 31, 20</w:t>
      </w:r>
      <w:r w:rsidR="002D003C" w:rsidRPr="009E35ED">
        <w:rPr>
          <w:rFonts w:ascii="Arial" w:hAnsi="Arial" w:cs="Arial"/>
          <w:color w:val="000000" w:themeColor="text1"/>
          <w:sz w:val="22"/>
          <w:szCs w:val="22"/>
          <w:lang w:val="en-PH"/>
        </w:rPr>
        <w:t>2</w:t>
      </w:r>
      <w:r w:rsidR="00AE36BD" w:rsidRPr="009E35ED">
        <w:rPr>
          <w:rFonts w:ascii="Arial" w:hAnsi="Arial" w:cs="Arial"/>
          <w:color w:val="000000" w:themeColor="text1"/>
          <w:sz w:val="22"/>
          <w:szCs w:val="22"/>
          <w:lang w:val="en-PH"/>
        </w:rPr>
        <w:t>3</w:t>
      </w:r>
      <w:r w:rsidRPr="009E35ED">
        <w:rPr>
          <w:rFonts w:ascii="Arial" w:hAnsi="Arial" w:cs="Arial"/>
          <w:color w:val="000000" w:themeColor="text1"/>
          <w:sz w:val="22"/>
          <w:szCs w:val="22"/>
          <w:lang w:val="en-PH"/>
        </w:rPr>
        <w:t xml:space="preserve"> and 20</w:t>
      </w:r>
      <w:r w:rsidR="00422BC7" w:rsidRPr="009E35ED">
        <w:rPr>
          <w:rFonts w:ascii="Arial" w:hAnsi="Arial" w:cs="Arial"/>
          <w:color w:val="000000" w:themeColor="text1"/>
          <w:sz w:val="22"/>
          <w:szCs w:val="22"/>
          <w:lang w:val="en-PH"/>
        </w:rPr>
        <w:t>2</w:t>
      </w:r>
      <w:r w:rsidR="00AE36BD" w:rsidRPr="009E35ED">
        <w:rPr>
          <w:rFonts w:ascii="Arial" w:hAnsi="Arial" w:cs="Arial"/>
          <w:color w:val="000000" w:themeColor="text1"/>
          <w:sz w:val="22"/>
          <w:szCs w:val="22"/>
          <w:lang w:val="en-PH"/>
        </w:rPr>
        <w:t>2</w:t>
      </w:r>
      <w:r w:rsidRPr="009E35ED">
        <w:rPr>
          <w:rFonts w:ascii="Arial" w:hAnsi="Arial" w:cs="Arial"/>
          <w:color w:val="000000" w:themeColor="text1"/>
          <w:sz w:val="22"/>
          <w:szCs w:val="22"/>
          <w:lang w:val="en-PH"/>
        </w:rPr>
        <w:t>, amounts to</w:t>
      </w:r>
      <w:r w:rsidR="00402B9E" w:rsidRPr="009E35ED">
        <w:rPr>
          <w:rFonts w:ascii="Arial" w:hAnsi="Arial" w:cs="Arial"/>
          <w:color w:val="000000" w:themeColor="text1"/>
          <w:sz w:val="22"/>
          <w:szCs w:val="22"/>
          <w:lang w:val="en-PH"/>
        </w:rPr>
        <w:t xml:space="preserve"> P</w:t>
      </w:r>
      <w:r w:rsidR="00516323" w:rsidRPr="009E35ED">
        <w:rPr>
          <w:rFonts w:ascii="Arial" w:hAnsi="Arial" w:cs="Arial"/>
          <w:color w:val="000000" w:themeColor="text1"/>
          <w:sz w:val="22"/>
          <w:szCs w:val="22"/>
          <w:lang w:val="en-PH"/>
        </w:rPr>
        <w:t>6,343,017,879</w:t>
      </w:r>
      <w:r w:rsidR="00831BB2" w:rsidRPr="009E35ED">
        <w:rPr>
          <w:rFonts w:ascii="Arial" w:hAnsi="Arial" w:cs="Arial"/>
          <w:color w:val="000000" w:themeColor="text1"/>
          <w:sz w:val="22"/>
          <w:szCs w:val="22"/>
          <w:lang w:val="en-PH"/>
        </w:rPr>
        <w:t xml:space="preserve"> </w:t>
      </w:r>
      <w:r w:rsidR="00893C00" w:rsidRPr="009E35ED">
        <w:rPr>
          <w:rFonts w:ascii="Arial" w:hAnsi="Arial" w:cs="Arial"/>
          <w:color w:val="000000" w:themeColor="text1"/>
          <w:sz w:val="22"/>
          <w:szCs w:val="22"/>
          <w:lang w:val="en-PH"/>
        </w:rPr>
        <w:t>and</w:t>
      </w:r>
      <w:r w:rsidRPr="009E35ED">
        <w:rPr>
          <w:rFonts w:ascii="Arial" w:hAnsi="Arial" w:cs="Arial"/>
          <w:color w:val="000000" w:themeColor="text1"/>
          <w:sz w:val="22"/>
          <w:szCs w:val="22"/>
          <w:lang w:val="en-PH"/>
        </w:rPr>
        <w:t xml:space="preserve"> </w:t>
      </w:r>
      <w:r w:rsidR="00422BC7" w:rsidRPr="009E35ED">
        <w:rPr>
          <w:rFonts w:ascii="Arial" w:hAnsi="Arial" w:cs="Arial"/>
          <w:color w:val="000000" w:themeColor="text1"/>
          <w:sz w:val="22"/>
          <w:szCs w:val="22"/>
          <w:lang w:val="en-PH"/>
        </w:rPr>
        <w:t>P1,</w:t>
      </w:r>
      <w:r w:rsidR="00E749BC" w:rsidRPr="009E35ED">
        <w:rPr>
          <w:rFonts w:ascii="Arial" w:hAnsi="Arial" w:cs="Arial"/>
          <w:color w:val="000000" w:themeColor="text1"/>
          <w:sz w:val="22"/>
          <w:szCs w:val="22"/>
          <w:lang w:val="en-PH"/>
        </w:rPr>
        <w:t>0</w:t>
      </w:r>
      <w:r w:rsidR="0094392A" w:rsidRPr="009E35ED">
        <w:rPr>
          <w:rFonts w:ascii="Arial" w:hAnsi="Arial" w:cs="Arial"/>
          <w:color w:val="000000" w:themeColor="text1"/>
          <w:sz w:val="22"/>
          <w:szCs w:val="22"/>
          <w:lang w:val="en-PH"/>
        </w:rPr>
        <w:t>12</w:t>
      </w:r>
      <w:r w:rsidR="00422BC7" w:rsidRPr="009E35ED">
        <w:rPr>
          <w:rFonts w:ascii="Arial" w:hAnsi="Arial" w:cs="Arial"/>
          <w:color w:val="000000" w:themeColor="text1"/>
          <w:sz w:val="22"/>
          <w:szCs w:val="22"/>
          <w:lang w:val="en-PH"/>
        </w:rPr>
        <w:t>,</w:t>
      </w:r>
      <w:r w:rsidR="0094392A" w:rsidRPr="009E35ED">
        <w:rPr>
          <w:rFonts w:ascii="Arial" w:hAnsi="Arial" w:cs="Arial"/>
          <w:color w:val="000000" w:themeColor="text1"/>
          <w:sz w:val="22"/>
          <w:szCs w:val="22"/>
          <w:lang w:val="en-PH"/>
        </w:rPr>
        <w:t>395</w:t>
      </w:r>
      <w:r w:rsidR="00422BC7" w:rsidRPr="009E35ED">
        <w:rPr>
          <w:rFonts w:ascii="Arial" w:hAnsi="Arial" w:cs="Arial"/>
          <w:color w:val="000000" w:themeColor="text1"/>
          <w:sz w:val="22"/>
          <w:szCs w:val="22"/>
          <w:lang w:val="en-PH"/>
        </w:rPr>
        <w:t>,</w:t>
      </w:r>
      <w:r w:rsidR="0094392A" w:rsidRPr="009E35ED">
        <w:rPr>
          <w:rFonts w:ascii="Arial" w:hAnsi="Arial" w:cs="Arial"/>
          <w:color w:val="000000" w:themeColor="text1"/>
          <w:sz w:val="22"/>
          <w:szCs w:val="22"/>
          <w:lang w:val="en-PH"/>
        </w:rPr>
        <w:t>564</w:t>
      </w:r>
      <w:r w:rsidRPr="009E35ED">
        <w:rPr>
          <w:rFonts w:ascii="Arial" w:hAnsi="Arial" w:cs="Arial"/>
          <w:color w:val="000000" w:themeColor="text1"/>
          <w:sz w:val="22"/>
          <w:szCs w:val="22"/>
          <w:lang w:val="en-PH"/>
        </w:rPr>
        <w:t xml:space="preserve"> respectively. Depreciation cost charged to operation amounts to</w:t>
      </w:r>
      <w:r w:rsidR="00893C00" w:rsidRPr="009E35ED">
        <w:rPr>
          <w:rFonts w:ascii="Arial" w:hAnsi="Arial" w:cs="Arial"/>
          <w:color w:val="000000" w:themeColor="text1"/>
          <w:sz w:val="22"/>
          <w:szCs w:val="22"/>
          <w:lang w:val="en-PH"/>
        </w:rPr>
        <w:t xml:space="preserve"> </w:t>
      </w:r>
      <w:r w:rsidR="001855FB" w:rsidRPr="009E35ED">
        <w:rPr>
          <w:rFonts w:ascii="Arial" w:hAnsi="Arial" w:cs="Arial"/>
          <w:color w:val="000000" w:themeColor="text1"/>
          <w:sz w:val="22"/>
          <w:szCs w:val="22"/>
          <w:lang w:val="en-PH"/>
        </w:rPr>
        <w:t>P</w:t>
      </w:r>
      <w:r w:rsidR="00516323" w:rsidRPr="009E35ED">
        <w:rPr>
          <w:rFonts w:ascii="Arial" w:hAnsi="Arial" w:cs="Arial"/>
          <w:color w:val="000000" w:themeColor="text1"/>
          <w:sz w:val="22"/>
          <w:szCs w:val="22"/>
          <w:lang w:val="en-PH"/>
        </w:rPr>
        <w:t>470,640,922</w:t>
      </w:r>
      <w:r w:rsidR="00831BB2" w:rsidRPr="009E35ED">
        <w:rPr>
          <w:rFonts w:ascii="Arial" w:hAnsi="Arial" w:cs="Arial"/>
          <w:color w:val="000000" w:themeColor="text1"/>
          <w:sz w:val="22"/>
          <w:szCs w:val="22"/>
          <w:lang w:val="en-PH"/>
        </w:rPr>
        <w:t xml:space="preserve"> </w:t>
      </w:r>
      <w:r w:rsidR="00893C00" w:rsidRPr="009E35ED">
        <w:rPr>
          <w:rFonts w:ascii="Arial" w:hAnsi="Arial" w:cs="Arial"/>
          <w:color w:val="000000" w:themeColor="text1"/>
          <w:sz w:val="22"/>
          <w:szCs w:val="22"/>
          <w:lang w:val="en-PH"/>
        </w:rPr>
        <w:t xml:space="preserve">and </w:t>
      </w:r>
      <w:r w:rsidR="00422BC7" w:rsidRPr="009E35ED">
        <w:rPr>
          <w:rFonts w:ascii="Arial" w:hAnsi="Arial" w:cs="Arial"/>
          <w:color w:val="000000" w:themeColor="text1"/>
          <w:sz w:val="22"/>
          <w:szCs w:val="22"/>
          <w:lang w:val="en-PH"/>
        </w:rPr>
        <w:t>P</w:t>
      </w:r>
      <w:r w:rsidR="00052BCD" w:rsidRPr="009E35ED">
        <w:rPr>
          <w:rFonts w:ascii="Arial" w:hAnsi="Arial" w:cs="Arial"/>
          <w:color w:val="000000" w:themeColor="text1"/>
          <w:sz w:val="22"/>
          <w:szCs w:val="22"/>
          <w:lang w:val="en-PH"/>
        </w:rPr>
        <w:t>203</w:t>
      </w:r>
      <w:r w:rsidR="00422BC7" w:rsidRPr="009E35ED">
        <w:rPr>
          <w:rFonts w:ascii="Arial" w:hAnsi="Arial" w:cs="Arial"/>
          <w:color w:val="000000" w:themeColor="text1"/>
          <w:sz w:val="22"/>
          <w:szCs w:val="22"/>
          <w:lang w:val="en-PH"/>
        </w:rPr>
        <w:t>,</w:t>
      </w:r>
      <w:r w:rsidR="00052BCD" w:rsidRPr="009E35ED">
        <w:rPr>
          <w:rFonts w:ascii="Arial" w:hAnsi="Arial" w:cs="Arial"/>
          <w:color w:val="000000" w:themeColor="text1"/>
          <w:sz w:val="22"/>
          <w:szCs w:val="22"/>
          <w:lang w:val="en-PH"/>
        </w:rPr>
        <w:t>332</w:t>
      </w:r>
      <w:r w:rsidR="00422BC7" w:rsidRPr="009E35ED">
        <w:rPr>
          <w:rFonts w:ascii="Arial" w:hAnsi="Arial" w:cs="Arial"/>
          <w:color w:val="000000" w:themeColor="text1"/>
          <w:sz w:val="22"/>
          <w:szCs w:val="22"/>
          <w:lang w:val="en-PH"/>
        </w:rPr>
        <w:t>,</w:t>
      </w:r>
      <w:r w:rsidR="00052BCD" w:rsidRPr="009E35ED">
        <w:rPr>
          <w:rFonts w:ascii="Arial" w:hAnsi="Arial" w:cs="Arial"/>
          <w:color w:val="000000" w:themeColor="text1"/>
          <w:sz w:val="22"/>
          <w:szCs w:val="22"/>
          <w:lang w:val="en-PH"/>
        </w:rPr>
        <w:t>147</w:t>
      </w:r>
      <w:r w:rsidRPr="009E35ED">
        <w:rPr>
          <w:rFonts w:ascii="Arial" w:hAnsi="Arial" w:cs="Arial"/>
          <w:color w:val="000000" w:themeColor="text1"/>
          <w:sz w:val="22"/>
          <w:szCs w:val="22"/>
          <w:lang w:val="en-PH"/>
        </w:rPr>
        <w:t xml:space="preserve"> in 20</w:t>
      </w:r>
      <w:r w:rsidR="002D003C" w:rsidRPr="009E35ED">
        <w:rPr>
          <w:rFonts w:ascii="Arial" w:hAnsi="Arial" w:cs="Arial"/>
          <w:color w:val="000000" w:themeColor="text1"/>
          <w:sz w:val="22"/>
          <w:szCs w:val="22"/>
          <w:lang w:val="en-PH"/>
        </w:rPr>
        <w:t>2</w:t>
      </w:r>
      <w:r w:rsidR="00103454" w:rsidRPr="009E35ED">
        <w:rPr>
          <w:rFonts w:ascii="Arial" w:hAnsi="Arial" w:cs="Arial"/>
          <w:color w:val="000000" w:themeColor="text1"/>
          <w:sz w:val="22"/>
          <w:szCs w:val="22"/>
          <w:lang w:val="en-PH"/>
        </w:rPr>
        <w:t>3</w:t>
      </w:r>
      <w:r w:rsidR="00422BC7" w:rsidRPr="009E35ED">
        <w:rPr>
          <w:rFonts w:ascii="Arial" w:hAnsi="Arial" w:cs="Arial"/>
          <w:color w:val="000000" w:themeColor="text1"/>
          <w:sz w:val="22"/>
          <w:szCs w:val="22"/>
          <w:lang w:val="en-PH"/>
        </w:rPr>
        <w:t xml:space="preserve"> and 202</w:t>
      </w:r>
      <w:r w:rsidR="00103454" w:rsidRPr="009E35ED">
        <w:rPr>
          <w:rFonts w:ascii="Arial" w:hAnsi="Arial" w:cs="Arial"/>
          <w:color w:val="000000" w:themeColor="text1"/>
          <w:sz w:val="22"/>
          <w:szCs w:val="22"/>
          <w:lang w:val="en-PH"/>
        </w:rPr>
        <w:t>2</w:t>
      </w:r>
      <w:r w:rsidRPr="009E35ED">
        <w:rPr>
          <w:rFonts w:ascii="Arial" w:hAnsi="Arial" w:cs="Arial"/>
          <w:color w:val="000000" w:themeColor="text1"/>
          <w:sz w:val="22"/>
          <w:szCs w:val="22"/>
          <w:lang w:val="en-PH"/>
        </w:rPr>
        <w:t xml:space="preserve"> respectively.</w:t>
      </w:r>
    </w:p>
    <w:p w14:paraId="7366E7CC" w14:textId="77777777" w:rsidR="005A454A" w:rsidRPr="009E35ED" w:rsidRDefault="005A454A" w:rsidP="00803F8C">
      <w:pPr>
        <w:ind w:left="0"/>
        <w:rPr>
          <w:rFonts w:ascii="Arial" w:hAnsi="Arial" w:cs="Arial"/>
          <w:color w:val="000000" w:themeColor="text1"/>
          <w:sz w:val="22"/>
          <w:szCs w:val="22"/>
          <w:lang w:val="en-PH"/>
        </w:rPr>
      </w:pPr>
    </w:p>
    <w:p w14:paraId="4C71C1D1" w14:textId="77777777" w:rsidR="007F437E" w:rsidRPr="009E35ED" w:rsidRDefault="007F437E" w:rsidP="00074309">
      <w:pPr>
        <w:pStyle w:val="ListParagraph"/>
        <w:numPr>
          <w:ilvl w:val="0"/>
          <w:numId w:val="8"/>
        </w:numPr>
        <w:ind w:hanging="720"/>
        <w:rPr>
          <w:rFonts w:ascii="Arial" w:hAnsi="Arial" w:cs="Arial"/>
          <w:b/>
          <w:color w:val="000000" w:themeColor="text1"/>
          <w:sz w:val="22"/>
          <w:szCs w:val="22"/>
        </w:rPr>
      </w:pPr>
      <w:r w:rsidRPr="009E35ED">
        <w:rPr>
          <w:rFonts w:ascii="Arial" w:hAnsi="Arial" w:cs="Arial"/>
          <w:b/>
          <w:color w:val="000000" w:themeColor="text1"/>
          <w:sz w:val="22"/>
          <w:szCs w:val="22"/>
        </w:rPr>
        <w:t>Provisions</w:t>
      </w:r>
    </w:p>
    <w:p w14:paraId="4325538E" w14:textId="77777777" w:rsidR="007F437E" w:rsidRPr="009E35ED" w:rsidRDefault="007F437E" w:rsidP="00803F8C">
      <w:pPr>
        <w:ind w:left="0"/>
        <w:rPr>
          <w:rFonts w:ascii="Arial" w:hAnsi="Arial" w:cs="Arial"/>
          <w:b/>
          <w:color w:val="000000" w:themeColor="text1"/>
          <w:sz w:val="22"/>
          <w:szCs w:val="22"/>
        </w:rPr>
      </w:pPr>
    </w:p>
    <w:p w14:paraId="3AAAF305" w14:textId="2A9C8EE3" w:rsidR="007F437E" w:rsidRPr="009E35ED" w:rsidRDefault="007F437E" w:rsidP="00803F8C">
      <w:pPr>
        <w:ind w:left="0"/>
        <w:rPr>
          <w:rFonts w:ascii="Arial" w:hAnsi="Arial" w:cs="Arial"/>
          <w:color w:val="000000" w:themeColor="text1"/>
          <w:sz w:val="22"/>
          <w:szCs w:val="22"/>
        </w:rPr>
      </w:pPr>
      <w:r w:rsidRPr="009E35ED">
        <w:rPr>
          <w:rFonts w:ascii="Arial" w:hAnsi="Arial" w:cs="Arial"/>
          <w:color w:val="000000" w:themeColor="text1"/>
          <w:sz w:val="22"/>
          <w:szCs w:val="22"/>
        </w:rPr>
        <w:t>Provisions are recognized when present obligations will probably lead to an outflow of economic resources and they can be estimated reliably even if the timing or amount of the outflow may still be uncertain.  A present obligation arises from the presence of a legal or constructive commitment that has resulted from past events.</w:t>
      </w:r>
    </w:p>
    <w:p w14:paraId="7DD656C8" w14:textId="77777777" w:rsidR="00422BC7" w:rsidRPr="009E35ED" w:rsidRDefault="00422BC7" w:rsidP="00803F8C">
      <w:pPr>
        <w:ind w:left="0"/>
        <w:rPr>
          <w:rFonts w:ascii="Arial" w:hAnsi="Arial" w:cs="Arial"/>
          <w:color w:val="000000" w:themeColor="text1"/>
          <w:sz w:val="22"/>
          <w:szCs w:val="22"/>
        </w:rPr>
      </w:pPr>
    </w:p>
    <w:p w14:paraId="4B39E4A0" w14:textId="13DA946F" w:rsidR="007F437E" w:rsidRPr="009E35ED" w:rsidRDefault="007F437E" w:rsidP="00803F8C">
      <w:pPr>
        <w:ind w:left="0"/>
        <w:rPr>
          <w:rFonts w:ascii="Arial" w:hAnsi="Arial" w:cs="Arial"/>
          <w:color w:val="000000" w:themeColor="text1"/>
          <w:sz w:val="22"/>
          <w:szCs w:val="22"/>
        </w:rPr>
      </w:pPr>
      <w:r w:rsidRPr="009E35ED">
        <w:rPr>
          <w:rFonts w:ascii="Arial" w:hAnsi="Arial" w:cs="Arial"/>
          <w:color w:val="000000" w:themeColor="text1"/>
          <w:sz w:val="22"/>
          <w:szCs w:val="22"/>
        </w:rPr>
        <w:t xml:space="preserve">Provisions are measured at the estimated expenditure required to settle the present obligation, based on the most reliable evidence available at the </w:t>
      </w:r>
      <w:r w:rsidR="00073F58" w:rsidRPr="009E35ED">
        <w:rPr>
          <w:rFonts w:ascii="Arial" w:hAnsi="Arial" w:cs="Arial"/>
          <w:color w:val="000000" w:themeColor="text1"/>
          <w:sz w:val="22"/>
          <w:szCs w:val="22"/>
        </w:rPr>
        <w:t>statement of financial position</w:t>
      </w:r>
      <w:r w:rsidRPr="009E35ED">
        <w:rPr>
          <w:rFonts w:ascii="Arial" w:hAnsi="Arial" w:cs="Arial"/>
          <w:color w:val="000000" w:themeColor="text1"/>
          <w:sz w:val="22"/>
          <w:szCs w:val="22"/>
        </w:rPr>
        <w:t xml:space="preserve"> date, including the risks and uncertainties associated with the present obligation.  In those cases</w:t>
      </w:r>
      <w:r w:rsidR="00DF2A19" w:rsidRPr="009E35ED">
        <w:rPr>
          <w:rFonts w:ascii="Arial" w:hAnsi="Arial" w:cs="Arial"/>
          <w:color w:val="000000" w:themeColor="text1"/>
          <w:sz w:val="22"/>
          <w:szCs w:val="22"/>
        </w:rPr>
        <w:t>,</w:t>
      </w:r>
      <w:r w:rsidRPr="009E35ED">
        <w:rPr>
          <w:rFonts w:ascii="Arial" w:hAnsi="Arial" w:cs="Arial"/>
          <w:color w:val="000000" w:themeColor="text1"/>
          <w:sz w:val="22"/>
          <w:szCs w:val="22"/>
        </w:rPr>
        <w:t xml:space="preserve"> when the possible outflow of economic resources as a result of present obligations is considered improbable or remote, or the amount to be provided for cannot be measured reliably, no liability is recognized in the financial statements.</w:t>
      </w:r>
    </w:p>
    <w:p w14:paraId="0704B7DA" w14:textId="77777777" w:rsidR="007F437E" w:rsidRPr="009E35ED" w:rsidRDefault="007F437E" w:rsidP="00803F8C">
      <w:pPr>
        <w:ind w:left="0"/>
        <w:rPr>
          <w:rFonts w:ascii="Arial" w:hAnsi="Arial" w:cs="Arial"/>
          <w:color w:val="000000" w:themeColor="text1"/>
          <w:sz w:val="22"/>
          <w:szCs w:val="22"/>
        </w:rPr>
      </w:pPr>
    </w:p>
    <w:p w14:paraId="5B0DE4FC" w14:textId="200EFAA7" w:rsidR="007F437E" w:rsidRPr="009E35ED" w:rsidRDefault="007F437E" w:rsidP="00803F8C">
      <w:pPr>
        <w:ind w:left="0"/>
        <w:rPr>
          <w:rFonts w:ascii="Arial" w:hAnsi="Arial" w:cs="Arial"/>
          <w:color w:val="000000" w:themeColor="text1"/>
          <w:sz w:val="22"/>
          <w:szCs w:val="22"/>
        </w:rPr>
      </w:pPr>
      <w:r w:rsidRPr="009E35ED">
        <w:rPr>
          <w:rFonts w:ascii="Arial" w:hAnsi="Arial" w:cs="Arial"/>
          <w:color w:val="000000" w:themeColor="text1"/>
          <w:sz w:val="22"/>
          <w:szCs w:val="22"/>
        </w:rPr>
        <w:t>Probable inflows of economic benefits that do not yet meet the recognition criteria of an asset are considered contingent assets, hence, are not recognized in the financial statements.</w:t>
      </w:r>
    </w:p>
    <w:p w14:paraId="5EDFE9B6" w14:textId="77777777" w:rsidR="00137CD9" w:rsidRPr="009E35ED" w:rsidRDefault="00137CD9" w:rsidP="00803F8C">
      <w:pPr>
        <w:ind w:left="0"/>
        <w:rPr>
          <w:rFonts w:ascii="Arial" w:hAnsi="Arial" w:cs="Arial"/>
          <w:b/>
          <w:color w:val="000000" w:themeColor="text1"/>
          <w:sz w:val="22"/>
          <w:szCs w:val="22"/>
        </w:rPr>
      </w:pPr>
    </w:p>
    <w:p w14:paraId="5C44E669" w14:textId="77777777" w:rsidR="007F437E" w:rsidRPr="009E35ED" w:rsidRDefault="007F437E" w:rsidP="00B90388">
      <w:pPr>
        <w:pStyle w:val="ListParagraph"/>
        <w:keepNext/>
        <w:keepLines/>
        <w:numPr>
          <w:ilvl w:val="0"/>
          <w:numId w:val="8"/>
        </w:numPr>
        <w:ind w:hanging="720"/>
        <w:rPr>
          <w:rFonts w:ascii="Arial" w:hAnsi="Arial" w:cs="Arial"/>
          <w:b/>
          <w:color w:val="000000" w:themeColor="text1"/>
          <w:sz w:val="22"/>
          <w:szCs w:val="22"/>
        </w:rPr>
      </w:pPr>
      <w:r w:rsidRPr="009E35ED">
        <w:rPr>
          <w:rFonts w:ascii="Arial" w:hAnsi="Arial" w:cs="Arial"/>
          <w:b/>
          <w:color w:val="000000" w:themeColor="text1"/>
          <w:sz w:val="22"/>
          <w:szCs w:val="22"/>
        </w:rPr>
        <w:t>Events after Reporting Date</w:t>
      </w:r>
    </w:p>
    <w:p w14:paraId="5A482A93" w14:textId="77777777" w:rsidR="007F437E" w:rsidRPr="009E35ED" w:rsidRDefault="007F437E" w:rsidP="00B90388">
      <w:pPr>
        <w:keepNext/>
        <w:keepLines/>
        <w:ind w:left="0"/>
        <w:rPr>
          <w:rFonts w:ascii="Arial" w:hAnsi="Arial" w:cs="Arial"/>
          <w:b/>
          <w:color w:val="000000" w:themeColor="text1"/>
          <w:sz w:val="22"/>
          <w:szCs w:val="22"/>
        </w:rPr>
      </w:pPr>
    </w:p>
    <w:p w14:paraId="55AC4EFE" w14:textId="1D37C0A7" w:rsidR="00D55AAA" w:rsidRPr="009E35ED" w:rsidRDefault="009C06D7" w:rsidP="00B90388">
      <w:pPr>
        <w:keepNext/>
        <w:keepLines/>
        <w:ind w:left="0"/>
        <w:rPr>
          <w:rFonts w:ascii="Arial" w:hAnsi="Arial" w:cs="Arial"/>
          <w:color w:val="000000" w:themeColor="text1"/>
          <w:sz w:val="22"/>
          <w:szCs w:val="22"/>
          <w:lang w:val="en-PH"/>
        </w:rPr>
      </w:pPr>
      <w:r w:rsidRPr="009E35ED">
        <w:rPr>
          <w:rFonts w:ascii="Arial" w:hAnsi="Arial" w:cs="Arial"/>
          <w:color w:val="000000" w:themeColor="text1"/>
          <w:sz w:val="22"/>
          <w:szCs w:val="22"/>
          <w:lang w:val="en-PH"/>
        </w:rPr>
        <w:t>Subsequent events that provide additional information about conditions existing at period end (adjusting events) are recognized in the financial statements. Subsequent events that provide additional information about conditions existing after period end (non-adjusting events) are disclosed in the notes to the financial statements.</w:t>
      </w:r>
    </w:p>
    <w:p w14:paraId="34D3358A" w14:textId="03F40D6A" w:rsidR="00D55AAA" w:rsidRDefault="004716EF" w:rsidP="00B90388">
      <w:pPr>
        <w:tabs>
          <w:tab w:val="left" w:pos="1065"/>
        </w:tabs>
        <w:ind w:left="0"/>
        <w:rPr>
          <w:rFonts w:ascii="Arial" w:hAnsi="Arial" w:cs="Arial"/>
          <w:color w:val="000000" w:themeColor="text1"/>
          <w:sz w:val="22"/>
          <w:szCs w:val="22"/>
          <w:lang w:val="en-PH"/>
        </w:rPr>
      </w:pPr>
      <w:r>
        <w:rPr>
          <w:rFonts w:ascii="Arial" w:hAnsi="Arial" w:cs="Arial"/>
          <w:color w:val="000000" w:themeColor="text1"/>
          <w:sz w:val="22"/>
          <w:szCs w:val="22"/>
          <w:lang w:val="en-PH"/>
        </w:rPr>
        <w:tab/>
      </w:r>
    </w:p>
    <w:p w14:paraId="320B0068" w14:textId="77777777" w:rsidR="00976F4E" w:rsidRPr="009E35ED" w:rsidRDefault="00976F4E" w:rsidP="00803F8C">
      <w:pPr>
        <w:ind w:left="0"/>
        <w:rPr>
          <w:rFonts w:ascii="Arial" w:hAnsi="Arial" w:cs="Arial"/>
          <w:color w:val="000000" w:themeColor="text1"/>
          <w:sz w:val="22"/>
          <w:szCs w:val="22"/>
          <w:lang w:val="en-PH"/>
        </w:rPr>
      </w:pPr>
    </w:p>
    <w:p w14:paraId="59A8D9E3" w14:textId="77777777" w:rsidR="0071705B" w:rsidRPr="009E35ED" w:rsidRDefault="0071705B" w:rsidP="00074309">
      <w:pPr>
        <w:pStyle w:val="ListParagraph"/>
        <w:numPr>
          <w:ilvl w:val="0"/>
          <w:numId w:val="7"/>
        </w:numPr>
        <w:ind w:hanging="720"/>
        <w:jc w:val="left"/>
        <w:rPr>
          <w:rFonts w:ascii="Arial" w:hAnsi="Arial" w:cs="Arial"/>
          <w:b/>
          <w:color w:val="000000" w:themeColor="text1"/>
          <w:sz w:val="22"/>
          <w:szCs w:val="22"/>
        </w:rPr>
      </w:pPr>
      <w:r w:rsidRPr="009E35ED">
        <w:rPr>
          <w:rFonts w:ascii="Arial" w:hAnsi="Arial" w:cs="Arial"/>
          <w:b/>
          <w:color w:val="000000" w:themeColor="text1"/>
          <w:sz w:val="22"/>
          <w:szCs w:val="22"/>
        </w:rPr>
        <w:t>RISK MANAGEMENT OBJECTIVES AND POLICIES</w:t>
      </w:r>
    </w:p>
    <w:p w14:paraId="3DBBAE6F" w14:textId="77777777" w:rsidR="0071705B" w:rsidRPr="009E35ED" w:rsidRDefault="0071705B" w:rsidP="00803F8C">
      <w:pPr>
        <w:ind w:left="0"/>
        <w:rPr>
          <w:rFonts w:ascii="Arial" w:hAnsi="Arial" w:cs="Arial"/>
          <w:b/>
          <w:color w:val="000000" w:themeColor="text1"/>
          <w:sz w:val="22"/>
          <w:szCs w:val="22"/>
        </w:rPr>
      </w:pPr>
    </w:p>
    <w:p w14:paraId="641FB169" w14:textId="77777777" w:rsidR="0071705B" w:rsidRPr="009E35ED" w:rsidRDefault="0071705B" w:rsidP="001C371F">
      <w:pPr>
        <w:pStyle w:val="ListParagraph"/>
        <w:numPr>
          <w:ilvl w:val="0"/>
          <w:numId w:val="9"/>
        </w:numPr>
        <w:ind w:hanging="720"/>
        <w:rPr>
          <w:rFonts w:ascii="Arial" w:hAnsi="Arial" w:cs="Arial"/>
          <w:b/>
          <w:color w:val="000000" w:themeColor="text1"/>
          <w:sz w:val="22"/>
          <w:szCs w:val="22"/>
        </w:rPr>
      </w:pPr>
      <w:r w:rsidRPr="009E35ED">
        <w:rPr>
          <w:rFonts w:ascii="Arial" w:hAnsi="Arial" w:cs="Arial"/>
          <w:b/>
          <w:color w:val="000000" w:themeColor="text1"/>
          <w:sz w:val="22"/>
          <w:szCs w:val="22"/>
        </w:rPr>
        <w:t>Risk Management Framework</w:t>
      </w:r>
    </w:p>
    <w:p w14:paraId="2EE60839" w14:textId="77777777" w:rsidR="0071705B" w:rsidRPr="009E35ED" w:rsidRDefault="0071705B" w:rsidP="00803F8C">
      <w:pPr>
        <w:ind w:left="0"/>
        <w:rPr>
          <w:rFonts w:ascii="Arial" w:hAnsi="Arial" w:cs="Arial"/>
          <w:color w:val="000000" w:themeColor="text1"/>
          <w:sz w:val="22"/>
          <w:szCs w:val="22"/>
        </w:rPr>
      </w:pPr>
    </w:p>
    <w:p w14:paraId="49D64EF2" w14:textId="715E13D9" w:rsidR="0071705B" w:rsidRPr="009E35ED" w:rsidRDefault="0071705B" w:rsidP="00803F8C">
      <w:pPr>
        <w:ind w:left="0"/>
        <w:rPr>
          <w:rFonts w:ascii="Arial" w:hAnsi="Arial" w:cs="Arial"/>
          <w:color w:val="000000" w:themeColor="text1"/>
          <w:sz w:val="22"/>
          <w:szCs w:val="22"/>
        </w:rPr>
      </w:pPr>
      <w:r w:rsidRPr="009E35ED">
        <w:rPr>
          <w:rFonts w:ascii="Arial" w:hAnsi="Arial" w:cs="Arial"/>
          <w:color w:val="000000" w:themeColor="text1"/>
          <w:sz w:val="22"/>
          <w:szCs w:val="22"/>
        </w:rPr>
        <w:t xml:space="preserve">The Board of Directors has overall responsibility for the establishment and oversight of the </w:t>
      </w:r>
      <w:r w:rsidR="0051373D" w:rsidRPr="009E35ED">
        <w:rPr>
          <w:rFonts w:ascii="Arial" w:hAnsi="Arial" w:cs="Arial"/>
          <w:color w:val="000000" w:themeColor="text1"/>
          <w:sz w:val="22"/>
          <w:szCs w:val="22"/>
        </w:rPr>
        <w:t>Agency</w:t>
      </w:r>
      <w:r w:rsidRPr="009E35ED">
        <w:rPr>
          <w:rFonts w:ascii="Arial" w:hAnsi="Arial" w:cs="Arial"/>
          <w:color w:val="000000" w:themeColor="text1"/>
          <w:sz w:val="22"/>
          <w:szCs w:val="22"/>
        </w:rPr>
        <w:t xml:space="preserve">’s risk management framework. The Board has established the </w:t>
      </w:r>
      <w:r w:rsidR="0051373D" w:rsidRPr="009E35ED">
        <w:rPr>
          <w:rFonts w:ascii="Arial" w:hAnsi="Arial" w:cs="Arial"/>
          <w:color w:val="000000" w:themeColor="text1"/>
          <w:sz w:val="22"/>
          <w:szCs w:val="22"/>
        </w:rPr>
        <w:t>Agency</w:t>
      </w:r>
      <w:r w:rsidRPr="009E35ED">
        <w:rPr>
          <w:rFonts w:ascii="Arial" w:hAnsi="Arial" w:cs="Arial"/>
          <w:color w:val="000000" w:themeColor="text1"/>
          <w:sz w:val="22"/>
          <w:szCs w:val="22"/>
        </w:rPr>
        <w:t xml:space="preserve">’s credit, finance, operational risk and executive committees, which are responsible for developing and monitoring </w:t>
      </w:r>
      <w:r w:rsidR="0051373D" w:rsidRPr="009E35ED">
        <w:rPr>
          <w:rFonts w:ascii="Arial" w:hAnsi="Arial" w:cs="Arial"/>
          <w:color w:val="000000" w:themeColor="text1"/>
          <w:sz w:val="22"/>
          <w:szCs w:val="22"/>
        </w:rPr>
        <w:t>Agency</w:t>
      </w:r>
      <w:r w:rsidRPr="009E35ED">
        <w:rPr>
          <w:rFonts w:ascii="Arial" w:hAnsi="Arial" w:cs="Arial"/>
          <w:color w:val="000000" w:themeColor="text1"/>
          <w:sz w:val="22"/>
          <w:szCs w:val="22"/>
        </w:rPr>
        <w:t>’s risk management policies in their specific areas.</w:t>
      </w:r>
    </w:p>
    <w:p w14:paraId="3D9F6465" w14:textId="77777777" w:rsidR="0071705B" w:rsidRPr="009E35ED" w:rsidRDefault="0071705B" w:rsidP="00803F8C">
      <w:pPr>
        <w:ind w:left="0"/>
        <w:rPr>
          <w:rFonts w:ascii="Arial" w:hAnsi="Arial" w:cs="Arial"/>
          <w:color w:val="000000" w:themeColor="text1"/>
          <w:sz w:val="22"/>
          <w:szCs w:val="22"/>
        </w:rPr>
      </w:pPr>
    </w:p>
    <w:p w14:paraId="26DB3F4C" w14:textId="77777777" w:rsidR="0071705B" w:rsidRPr="009E35ED" w:rsidRDefault="0071705B" w:rsidP="00803F8C">
      <w:pPr>
        <w:ind w:left="0"/>
        <w:rPr>
          <w:rFonts w:ascii="Arial" w:hAnsi="Arial" w:cs="Arial"/>
          <w:color w:val="000000" w:themeColor="text1"/>
          <w:sz w:val="22"/>
          <w:szCs w:val="22"/>
        </w:rPr>
      </w:pPr>
      <w:r w:rsidRPr="009E35ED">
        <w:rPr>
          <w:rFonts w:ascii="Arial" w:hAnsi="Arial" w:cs="Arial"/>
          <w:color w:val="000000" w:themeColor="text1"/>
          <w:sz w:val="22"/>
          <w:szCs w:val="22"/>
        </w:rPr>
        <w:t>All board committees have executive and non-executive members and report regularly to the Board of Directors on their activities.</w:t>
      </w:r>
    </w:p>
    <w:p w14:paraId="441820D3" w14:textId="77777777" w:rsidR="0071705B" w:rsidRPr="009E35ED" w:rsidRDefault="0071705B" w:rsidP="00803F8C">
      <w:pPr>
        <w:ind w:left="0"/>
        <w:rPr>
          <w:rFonts w:ascii="Arial" w:hAnsi="Arial" w:cs="Arial"/>
          <w:color w:val="000000" w:themeColor="text1"/>
          <w:sz w:val="22"/>
          <w:szCs w:val="22"/>
        </w:rPr>
      </w:pPr>
    </w:p>
    <w:p w14:paraId="6CB00CCD" w14:textId="0EEE8543" w:rsidR="0071705B" w:rsidRPr="009E35ED" w:rsidRDefault="0071705B" w:rsidP="00803F8C">
      <w:pPr>
        <w:ind w:left="0"/>
        <w:rPr>
          <w:rFonts w:ascii="Arial" w:hAnsi="Arial" w:cs="Arial"/>
          <w:color w:val="000000" w:themeColor="text1"/>
          <w:sz w:val="22"/>
          <w:szCs w:val="22"/>
        </w:rPr>
      </w:pPr>
      <w:r w:rsidRPr="009E35ED">
        <w:rPr>
          <w:rFonts w:ascii="Arial" w:hAnsi="Arial" w:cs="Arial"/>
          <w:color w:val="000000" w:themeColor="text1"/>
          <w:sz w:val="22"/>
          <w:szCs w:val="22"/>
        </w:rPr>
        <w:t xml:space="preserve">PCSO’s risk management policies are established to identify and analyze the risks faced by the </w:t>
      </w:r>
      <w:r w:rsidR="0051373D" w:rsidRPr="009E35ED">
        <w:rPr>
          <w:rFonts w:ascii="Arial" w:hAnsi="Arial" w:cs="Arial"/>
          <w:color w:val="000000" w:themeColor="text1"/>
          <w:sz w:val="22"/>
          <w:szCs w:val="22"/>
        </w:rPr>
        <w:t>Agency</w:t>
      </w:r>
      <w:r w:rsidRPr="009E35ED">
        <w:rPr>
          <w:rFonts w:ascii="Arial" w:hAnsi="Arial" w:cs="Arial"/>
          <w:color w:val="000000" w:themeColor="text1"/>
          <w:sz w:val="22"/>
          <w:szCs w:val="22"/>
        </w:rPr>
        <w:t xml:space="preserve">, to set appropriate risk limits and control, and to monitor risks and adherence to limits.  Risk management policies and systems are reviewed regularly to reflect changes to market conditions, products and services offered.  </w:t>
      </w:r>
      <w:r w:rsidR="00A9476E">
        <w:rPr>
          <w:rFonts w:ascii="Arial" w:hAnsi="Arial" w:cs="Arial"/>
          <w:color w:val="000000" w:themeColor="text1"/>
          <w:sz w:val="22"/>
          <w:szCs w:val="22"/>
        </w:rPr>
        <w:t xml:space="preserve">The </w:t>
      </w:r>
      <w:r w:rsidRPr="009E35ED">
        <w:rPr>
          <w:rFonts w:ascii="Arial" w:hAnsi="Arial" w:cs="Arial"/>
          <w:color w:val="000000" w:themeColor="text1"/>
          <w:sz w:val="22"/>
          <w:szCs w:val="22"/>
        </w:rPr>
        <w:t>PCSO, through its training and management standards and procedures, aims to develop disciplined and constructive control environment, in which all employees understand their roles and obligations.</w:t>
      </w:r>
    </w:p>
    <w:p w14:paraId="38E7FF9F" w14:textId="77777777" w:rsidR="0071705B" w:rsidRPr="009E35ED" w:rsidRDefault="0071705B" w:rsidP="00803F8C">
      <w:pPr>
        <w:ind w:left="0"/>
        <w:rPr>
          <w:rFonts w:ascii="Arial" w:hAnsi="Arial" w:cs="Arial"/>
          <w:color w:val="000000" w:themeColor="text1"/>
          <w:sz w:val="22"/>
          <w:szCs w:val="22"/>
        </w:rPr>
      </w:pPr>
    </w:p>
    <w:p w14:paraId="5591EC33" w14:textId="6DC3990B" w:rsidR="00AA29C9" w:rsidRPr="009E35ED" w:rsidRDefault="0071705B" w:rsidP="00803F8C">
      <w:pPr>
        <w:ind w:left="0"/>
        <w:rPr>
          <w:rFonts w:ascii="Arial" w:hAnsi="Arial" w:cs="Arial"/>
          <w:color w:val="000000" w:themeColor="text1"/>
          <w:sz w:val="22"/>
          <w:szCs w:val="22"/>
        </w:rPr>
      </w:pPr>
      <w:r w:rsidRPr="009E35ED">
        <w:rPr>
          <w:rFonts w:ascii="Arial" w:hAnsi="Arial" w:cs="Arial"/>
          <w:color w:val="000000" w:themeColor="text1"/>
          <w:sz w:val="22"/>
          <w:szCs w:val="22"/>
        </w:rPr>
        <w:t>The</w:t>
      </w:r>
      <w:r w:rsidR="0051373D" w:rsidRPr="009E35ED">
        <w:rPr>
          <w:rFonts w:ascii="Arial" w:hAnsi="Arial" w:cs="Arial"/>
          <w:color w:val="000000" w:themeColor="text1"/>
          <w:sz w:val="22"/>
          <w:szCs w:val="22"/>
        </w:rPr>
        <w:t xml:space="preserve"> Agency’s A</w:t>
      </w:r>
      <w:r w:rsidRPr="009E35ED">
        <w:rPr>
          <w:rFonts w:ascii="Arial" w:hAnsi="Arial" w:cs="Arial"/>
          <w:color w:val="000000" w:themeColor="text1"/>
          <w:sz w:val="22"/>
          <w:szCs w:val="22"/>
        </w:rPr>
        <w:t xml:space="preserve">udit </w:t>
      </w:r>
      <w:r w:rsidR="0051373D" w:rsidRPr="009E35ED">
        <w:rPr>
          <w:rFonts w:ascii="Arial" w:hAnsi="Arial" w:cs="Arial"/>
          <w:color w:val="000000" w:themeColor="text1"/>
          <w:sz w:val="22"/>
          <w:szCs w:val="22"/>
        </w:rPr>
        <w:t>C</w:t>
      </w:r>
      <w:r w:rsidRPr="009E35ED">
        <w:rPr>
          <w:rFonts w:ascii="Arial" w:hAnsi="Arial" w:cs="Arial"/>
          <w:color w:val="000000" w:themeColor="text1"/>
          <w:sz w:val="22"/>
          <w:szCs w:val="22"/>
        </w:rPr>
        <w:t xml:space="preserve">ommittee is responsible for monitoring compliance with PCSO’s risk management policies and procedures and for reviewing the adequacy of the risk management framework in relation to the risk faced by the </w:t>
      </w:r>
      <w:r w:rsidR="0051373D" w:rsidRPr="009E35ED">
        <w:rPr>
          <w:rFonts w:ascii="Arial" w:hAnsi="Arial" w:cs="Arial"/>
          <w:color w:val="000000" w:themeColor="text1"/>
          <w:sz w:val="22"/>
          <w:szCs w:val="22"/>
        </w:rPr>
        <w:t>Agency</w:t>
      </w:r>
      <w:r w:rsidRPr="009E35ED">
        <w:rPr>
          <w:rFonts w:ascii="Arial" w:hAnsi="Arial" w:cs="Arial"/>
          <w:color w:val="000000" w:themeColor="text1"/>
          <w:sz w:val="22"/>
          <w:szCs w:val="22"/>
        </w:rPr>
        <w:t xml:space="preserve"> and it is regularly discussed in the Board meeting.</w:t>
      </w:r>
    </w:p>
    <w:p w14:paraId="09610B8F" w14:textId="77777777" w:rsidR="00CF49FA" w:rsidRPr="009E35ED" w:rsidRDefault="00CF49FA" w:rsidP="00803F8C">
      <w:pPr>
        <w:ind w:left="0"/>
        <w:rPr>
          <w:rFonts w:ascii="Arial" w:hAnsi="Arial" w:cs="Arial"/>
          <w:color w:val="000000" w:themeColor="text1"/>
          <w:sz w:val="22"/>
          <w:szCs w:val="22"/>
        </w:rPr>
      </w:pPr>
    </w:p>
    <w:p w14:paraId="273C95C9" w14:textId="77777777" w:rsidR="00207381" w:rsidRPr="009E35ED" w:rsidRDefault="00207381" w:rsidP="00803F8C">
      <w:pPr>
        <w:ind w:left="0"/>
        <w:rPr>
          <w:rFonts w:ascii="Arial" w:hAnsi="Arial" w:cs="Arial"/>
          <w:color w:val="000000" w:themeColor="text1"/>
          <w:sz w:val="22"/>
          <w:szCs w:val="22"/>
        </w:rPr>
      </w:pPr>
      <w:r w:rsidRPr="009E35ED">
        <w:rPr>
          <w:rFonts w:ascii="Arial" w:hAnsi="Arial" w:cs="Arial"/>
          <w:color w:val="000000" w:themeColor="text1"/>
          <w:sz w:val="22"/>
          <w:szCs w:val="22"/>
        </w:rPr>
        <w:t xml:space="preserve">Generally, the maximum risk exposure of financial assets and financial liabilities is the carrying amount of the financial assets and financial liabilities as shown in the Statement of Financial Position, as summarized: </w:t>
      </w:r>
    </w:p>
    <w:p w14:paraId="0C4584A7" w14:textId="77777777" w:rsidR="00CF49FA" w:rsidRPr="009E35ED" w:rsidRDefault="00CF49FA" w:rsidP="00803F8C">
      <w:pPr>
        <w:ind w:left="0"/>
        <w:rPr>
          <w:rFonts w:ascii="Arial" w:hAnsi="Arial" w:cs="Arial"/>
          <w:color w:val="000000" w:themeColor="text1"/>
          <w:sz w:val="22"/>
          <w:szCs w:val="22"/>
        </w:rPr>
      </w:pPr>
    </w:p>
    <w:tbl>
      <w:tblPr>
        <w:tblStyle w:val="TableGrid"/>
        <w:tblW w:w="86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690"/>
        <w:gridCol w:w="993"/>
        <w:gridCol w:w="425"/>
        <w:gridCol w:w="1559"/>
        <w:gridCol w:w="1984"/>
      </w:tblGrid>
      <w:tr w:rsidR="00997F75" w:rsidRPr="009E35ED" w14:paraId="025C7F28" w14:textId="77777777" w:rsidTr="00976F4E">
        <w:trPr>
          <w:trHeight w:val="91"/>
        </w:trPr>
        <w:tc>
          <w:tcPr>
            <w:tcW w:w="3690" w:type="dxa"/>
            <w:tcBorders>
              <w:top w:val="single" w:sz="4" w:space="0" w:color="auto"/>
              <w:bottom w:val="single" w:sz="4" w:space="0" w:color="auto"/>
            </w:tcBorders>
          </w:tcPr>
          <w:p w14:paraId="0AFE6332" w14:textId="77777777" w:rsidR="003C3C22" w:rsidRPr="009E35ED" w:rsidRDefault="003C3C22" w:rsidP="00803F8C">
            <w:pPr>
              <w:ind w:left="0"/>
              <w:rPr>
                <w:rFonts w:ascii="Arial Narrow" w:hAnsi="Arial Narrow" w:cs="Arial"/>
                <w:b/>
                <w:color w:val="000000" w:themeColor="text1"/>
                <w:sz w:val="22"/>
                <w:szCs w:val="22"/>
              </w:rPr>
            </w:pPr>
          </w:p>
        </w:tc>
        <w:tc>
          <w:tcPr>
            <w:tcW w:w="993" w:type="dxa"/>
            <w:tcBorders>
              <w:top w:val="single" w:sz="4" w:space="0" w:color="auto"/>
              <w:bottom w:val="single" w:sz="4" w:space="0" w:color="auto"/>
            </w:tcBorders>
          </w:tcPr>
          <w:p w14:paraId="5C30378D" w14:textId="77777777" w:rsidR="003C3C22" w:rsidRPr="009E35ED" w:rsidRDefault="003C3C22" w:rsidP="00803F8C">
            <w:pPr>
              <w:ind w:left="0"/>
              <w:jc w:val="center"/>
              <w:rPr>
                <w:rFonts w:ascii="Arial Narrow" w:hAnsi="Arial Narrow" w:cs="Arial"/>
                <w:b/>
                <w:color w:val="000000" w:themeColor="text1"/>
                <w:sz w:val="22"/>
                <w:szCs w:val="22"/>
              </w:rPr>
            </w:pPr>
            <w:r w:rsidRPr="009E35ED">
              <w:rPr>
                <w:rFonts w:ascii="Arial Narrow" w:hAnsi="Arial Narrow" w:cs="Arial"/>
                <w:b/>
                <w:color w:val="000000" w:themeColor="text1"/>
                <w:sz w:val="22"/>
                <w:szCs w:val="22"/>
              </w:rPr>
              <w:t>Note</w:t>
            </w:r>
          </w:p>
        </w:tc>
        <w:tc>
          <w:tcPr>
            <w:tcW w:w="425" w:type="dxa"/>
            <w:tcBorders>
              <w:top w:val="single" w:sz="4" w:space="0" w:color="auto"/>
              <w:bottom w:val="single" w:sz="4" w:space="0" w:color="auto"/>
            </w:tcBorders>
          </w:tcPr>
          <w:p w14:paraId="47E20BEF" w14:textId="77777777" w:rsidR="003C3C22" w:rsidRPr="009E35ED" w:rsidRDefault="003C3C22" w:rsidP="00EA672B">
            <w:pPr>
              <w:ind w:left="0"/>
              <w:jc w:val="right"/>
              <w:rPr>
                <w:rFonts w:ascii="Arial Narrow" w:hAnsi="Arial Narrow" w:cs="Arial"/>
                <w:b/>
                <w:color w:val="000000" w:themeColor="text1"/>
                <w:sz w:val="22"/>
                <w:szCs w:val="22"/>
                <w:lang w:val="en-PH"/>
              </w:rPr>
            </w:pPr>
          </w:p>
        </w:tc>
        <w:tc>
          <w:tcPr>
            <w:tcW w:w="1559" w:type="dxa"/>
            <w:tcBorders>
              <w:top w:val="single" w:sz="4" w:space="0" w:color="auto"/>
              <w:bottom w:val="single" w:sz="4" w:space="0" w:color="auto"/>
            </w:tcBorders>
          </w:tcPr>
          <w:p w14:paraId="40CFF384" w14:textId="55736B23" w:rsidR="003C3C22" w:rsidRPr="009E35ED" w:rsidRDefault="003C3C22" w:rsidP="00EA672B">
            <w:pPr>
              <w:ind w:left="0"/>
              <w:jc w:val="right"/>
              <w:rPr>
                <w:rFonts w:ascii="Arial Narrow" w:hAnsi="Arial Narrow" w:cs="Arial"/>
                <w:b/>
                <w:color w:val="000000" w:themeColor="text1"/>
                <w:sz w:val="22"/>
                <w:szCs w:val="22"/>
                <w:lang w:val="en-PH"/>
              </w:rPr>
            </w:pPr>
            <w:r w:rsidRPr="009E35ED">
              <w:rPr>
                <w:rFonts w:ascii="Arial Narrow" w:hAnsi="Arial Narrow" w:cs="Arial"/>
                <w:b/>
                <w:color w:val="000000" w:themeColor="text1"/>
                <w:sz w:val="22"/>
                <w:szCs w:val="22"/>
                <w:lang w:val="en-PH"/>
              </w:rPr>
              <w:t>2023</w:t>
            </w:r>
          </w:p>
        </w:tc>
        <w:tc>
          <w:tcPr>
            <w:tcW w:w="1984" w:type="dxa"/>
            <w:tcBorders>
              <w:top w:val="single" w:sz="4" w:space="0" w:color="auto"/>
              <w:bottom w:val="single" w:sz="4" w:space="0" w:color="auto"/>
            </w:tcBorders>
          </w:tcPr>
          <w:p w14:paraId="04BDD9E3" w14:textId="55655389" w:rsidR="003C3C22" w:rsidRPr="009E35ED" w:rsidRDefault="003C3C22" w:rsidP="00E24DF6">
            <w:pPr>
              <w:ind w:left="0" w:right="-108"/>
              <w:jc w:val="right"/>
              <w:rPr>
                <w:rFonts w:ascii="Arial Narrow" w:hAnsi="Arial Narrow" w:cs="Arial"/>
                <w:b/>
                <w:color w:val="000000" w:themeColor="text1"/>
                <w:sz w:val="22"/>
                <w:szCs w:val="22"/>
                <w:lang w:val="en-PH"/>
              </w:rPr>
            </w:pPr>
            <w:r w:rsidRPr="009E35ED">
              <w:rPr>
                <w:rFonts w:ascii="Arial Narrow" w:hAnsi="Arial Narrow" w:cs="Arial"/>
                <w:b/>
                <w:color w:val="000000" w:themeColor="text1"/>
                <w:sz w:val="22"/>
                <w:szCs w:val="22"/>
                <w:lang w:val="en-PH"/>
              </w:rPr>
              <w:t>2022</w:t>
            </w:r>
          </w:p>
        </w:tc>
      </w:tr>
      <w:tr w:rsidR="00997F75" w:rsidRPr="009E35ED" w14:paraId="364A51C4" w14:textId="77777777" w:rsidTr="00976F4E">
        <w:trPr>
          <w:trHeight w:val="51"/>
        </w:trPr>
        <w:tc>
          <w:tcPr>
            <w:tcW w:w="3690" w:type="dxa"/>
            <w:tcBorders>
              <w:top w:val="single" w:sz="4" w:space="0" w:color="auto"/>
            </w:tcBorders>
          </w:tcPr>
          <w:p w14:paraId="3186E305" w14:textId="77777777" w:rsidR="003C3C22" w:rsidRPr="009E35ED" w:rsidRDefault="003C3C22" w:rsidP="00B90388">
            <w:pPr>
              <w:ind w:left="-108"/>
              <w:rPr>
                <w:rFonts w:ascii="Arial Narrow" w:hAnsi="Arial Narrow" w:cs="Arial"/>
                <w:b/>
                <w:color w:val="000000" w:themeColor="text1"/>
                <w:sz w:val="22"/>
                <w:szCs w:val="22"/>
              </w:rPr>
            </w:pPr>
            <w:r w:rsidRPr="009E35ED">
              <w:rPr>
                <w:rFonts w:ascii="Arial Narrow" w:hAnsi="Arial Narrow" w:cs="Arial"/>
                <w:b/>
                <w:color w:val="000000" w:themeColor="text1"/>
                <w:sz w:val="22"/>
                <w:szCs w:val="22"/>
              </w:rPr>
              <w:t xml:space="preserve">Financial Assets: </w:t>
            </w:r>
          </w:p>
        </w:tc>
        <w:tc>
          <w:tcPr>
            <w:tcW w:w="993" w:type="dxa"/>
            <w:tcBorders>
              <w:top w:val="single" w:sz="4" w:space="0" w:color="auto"/>
            </w:tcBorders>
          </w:tcPr>
          <w:p w14:paraId="1EC00738" w14:textId="77777777" w:rsidR="003C3C22" w:rsidRPr="009E35ED" w:rsidRDefault="003C3C22" w:rsidP="00803F8C">
            <w:pPr>
              <w:ind w:left="0"/>
              <w:jc w:val="center"/>
              <w:rPr>
                <w:rFonts w:ascii="Arial Narrow" w:hAnsi="Arial Narrow" w:cs="Arial"/>
                <w:color w:val="000000" w:themeColor="text1"/>
                <w:sz w:val="22"/>
                <w:szCs w:val="22"/>
              </w:rPr>
            </w:pPr>
          </w:p>
        </w:tc>
        <w:tc>
          <w:tcPr>
            <w:tcW w:w="425" w:type="dxa"/>
            <w:tcBorders>
              <w:top w:val="single" w:sz="4" w:space="0" w:color="auto"/>
            </w:tcBorders>
          </w:tcPr>
          <w:p w14:paraId="4E0E5FFE" w14:textId="77777777" w:rsidR="003C3C22" w:rsidRPr="009E35ED" w:rsidRDefault="003C3C22" w:rsidP="00803F8C">
            <w:pPr>
              <w:ind w:left="0"/>
              <w:jc w:val="right"/>
              <w:rPr>
                <w:rFonts w:ascii="Arial Narrow" w:hAnsi="Arial Narrow" w:cs="Arial"/>
                <w:color w:val="000000" w:themeColor="text1"/>
                <w:sz w:val="22"/>
                <w:szCs w:val="22"/>
              </w:rPr>
            </w:pPr>
          </w:p>
        </w:tc>
        <w:tc>
          <w:tcPr>
            <w:tcW w:w="1559" w:type="dxa"/>
            <w:tcBorders>
              <w:top w:val="single" w:sz="4" w:space="0" w:color="auto"/>
            </w:tcBorders>
          </w:tcPr>
          <w:p w14:paraId="47E1B600" w14:textId="7A1D3886" w:rsidR="003C3C22" w:rsidRPr="009E35ED" w:rsidRDefault="003C3C22" w:rsidP="00803F8C">
            <w:pPr>
              <w:ind w:left="0"/>
              <w:jc w:val="right"/>
              <w:rPr>
                <w:rFonts w:ascii="Arial Narrow" w:hAnsi="Arial Narrow" w:cs="Arial"/>
                <w:color w:val="000000" w:themeColor="text1"/>
                <w:sz w:val="22"/>
                <w:szCs w:val="22"/>
              </w:rPr>
            </w:pPr>
          </w:p>
        </w:tc>
        <w:tc>
          <w:tcPr>
            <w:tcW w:w="1984" w:type="dxa"/>
            <w:tcBorders>
              <w:top w:val="single" w:sz="4" w:space="0" w:color="auto"/>
            </w:tcBorders>
          </w:tcPr>
          <w:p w14:paraId="391002DB" w14:textId="77777777" w:rsidR="003C3C22" w:rsidRPr="009E35ED" w:rsidRDefault="003C3C22" w:rsidP="00EC0001">
            <w:pPr>
              <w:ind w:left="0" w:right="-108"/>
              <w:jc w:val="center"/>
              <w:rPr>
                <w:rFonts w:ascii="Arial Narrow" w:hAnsi="Arial Narrow" w:cs="Arial"/>
                <w:color w:val="000000" w:themeColor="text1"/>
                <w:sz w:val="22"/>
                <w:szCs w:val="22"/>
              </w:rPr>
            </w:pPr>
          </w:p>
        </w:tc>
      </w:tr>
      <w:tr w:rsidR="00997F75" w:rsidRPr="009E35ED" w14:paraId="7B5E4305" w14:textId="77777777" w:rsidTr="00976F4E">
        <w:trPr>
          <w:trHeight w:val="92"/>
        </w:trPr>
        <w:tc>
          <w:tcPr>
            <w:tcW w:w="3690" w:type="dxa"/>
          </w:tcPr>
          <w:p w14:paraId="5C2FAD9C" w14:textId="77777777" w:rsidR="003C3C22" w:rsidRPr="009E35ED" w:rsidRDefault="003C3C22" w:rsidP="00B90388">
            <w:pPr>
              <w:ind w:left="-108"/>
              <w:jc w:val="left"/>
              <w:rPr>
                <w:rFonts w:ascii="Arial Narrow" w:hAnsi="Arial Narrow" w:cs="Arial"/>
                <w:color w:val="000000" w:themeColor="text1"/>
                <w:sz w:val="22"/>
                <w:szCs w:val="22"/>
              </w:rPr>
            </w:pPr>
            <w:r w:rsidRPr="009E35ED">
              <w:rPr>
                <w:rFonts w:ascii="Arial Narrow" w:hAnsi="Arial Narrow" w:cs="Arial"/>
                <w:color w:val="000000" w:themeColor="text1"/>
                <w:sz w:val="22"/>
                <w:szCs w:val="22"/>
              </w:rPr>
              <w:t>Cash and cash equivalents</w:t>
            </w:r>
          </w:p>
        </w:tc>
        <w:tc>
          <w:tcPr>
            <w:tcW w:w="993" w:type="dxa"/>
          </w:tcPr>
          <w:p w14:paraId="2C24189C" w14:textId="77777777" w:rsidR="003C3C22" w:rsidRPr="009E35ED" w:rsidRDefault="003C3C22" w:rsidP="00A946A9">
            <w:pPr>
              <w:ind w:left="0"/>
              <w:jc w:val="center"/>
              <w:rPr>
                <w:rFonts w:ascii="Arial Narrow" w:hAnsi="Arial Narrow" w:cs="Arial"/>
                <w:color w:val="000000" w:themeColor="text1"/>
                <w:sz w:val="22"/>
                <w:szCs w:val="22"/>
              </w:rPr>
            </w:pPr>
            <w:r w:rsidRPr="009E35ED">
              <w:rPr>
                <w:rFonts w:ascii="Arial Narrow" w:hAnsi="Arial Narrow" w:cs="Arial"/>
                <w:color w:val="000000" w:themeColor="text1"/>
                <w:sz w:val="22"/>
                <w:szCs w:val="22"/>
              </w:rPr>
              <w:t>5</w:t>
            </w:r>
          </w:p>
        </w:tc>
        <w:tc>
          <w:tcPr>
            <w:tcW w:w="425" w:type="dxa"/>
          </w:tcPr>
          <w:p w14:paraId="7465BDF0" w14:textId="77777777" w:rsidR="003C3C22" w:rsidRPr="009E35ED" w:rsidRDefault="003C3C22" w:rsidP="00A946A9">
            <w:pPr>
              <w:ind w:left="0"/>
              <w:jc w:val="right"/>
              <w:rPr>
                <w:rFonts w:ascii="Arial Narrow" w:hAnsi="Arial Narrow" w:cs="Arial"/>
                <w:color w:val="000000" w:themeColor="text1"/>
                <w:sz w:val="22"/>
                <w:szCs w:val="22"/>
                <w:lang w:val="en-PH"/>
              </w:rPr>
            </w:pPr>
          </w:p>
        </w:tc>
        <w:tc>
          <w:tcPr>
            <w:tcW w:w="1559" w:type="dxa"/>
          </w:tcPr>
          <w:p w14:paraId="7FD0D177" w14:textId="4F93366A" w:rsidR="003C3C22" w:rsidRPr="009E35ED" w:rsidRDefault="0026041E" w:rsidP="00A946A9">
            <w:pPr>
              <w:ind w:left="0"/>
              <w:jc w:val="right"/>
              <w:rPr>
                <w:rFonts w:ascii="Arial Narrow" w:hAnsi="Arial Narrow" w:cs="Arial"/>
                <w:color w:val="000000" w:themeColor="text1"/>
                <w:sz w:val="22"/>
                <w:szCs w:val="22"/>
                <w:lang w:val="en-PH"/>
              </w:rPr>
            </w:pPr>
            <w:r w:rsidRPr="009E35ED">
              <w:rPr>
                <w:rFonts w:ascii="Arial Narrow" w:hAnsi="Arial Narrow" w:cs="Arial"/>
                <w:color w:val="000000" w:themeColor="text1"/>
                <w:sz w:val="22"/>
                <w:szCs w:val="22"/>
                <w:lang w:val="en-PH"/>
              </w:rPr>
              <w:t>20,382,429,275</w:t>
            </w:r>
          </w:p>
        </w:tc>
        <w:tc>
          <w:tcPr>
            <w:tcW w:w="1984" w:type="dxa"/>
          </w:tcPr>
          <w:p w14:paraId="0900B64C" w14:textId="016B7D8B" w:rsidR="003C3C22" w:rsidRPr="009E35ED" w:rsidRDefault="003C3C22" w:rsidP="00A946A9">
            <w:pPr>
              <w:ind w:left="0" w:right="-108"/>
              <w:jc w:val="right"/>
              <w:rPr>
                <w:rFonts w:ascii="Arial Narrow" w:hAnsi="Arial Narrow" w:cs="Arial"/>
                <w:color w:val="000000" w:themeColor="text1"/>
                <w:sz w:val="22"/>
                <w:szCs w:val="22"/>
                <w:lang w:val="en-PH"/>
              </w:rPr>
            </w:pPr>
            <w:r w:rsidRPr="009E35ED">
              <w:rPr>
                <w:rFonts w:ascii="Arial Narrow" w:hAnsi="Arial Narrow" w:cs="Arial"/>
                <w:color w:val="000000" w:themeColor="text1"/>
                <w:sz w:val="22"/>
                <w:szCs w:val="22"/>
                <w:lang w:val="en-PH"/>
              </w:rPr>
              <w:t>20,342,765,415</w:t>
            </w:r>
          </w:p>
        </w:tc>
      </w:tr>
      <w:tr w:rsidR="00997F75" w:rsidRPr="009E35ED" w14:paraId="07CFDEF9" w14:textId="77777777" w:rsidTr="00976F4E">
        <w:trPr>
          <w:trHeight w:val="252"/>
        </w:trPr>
        <w:tc>
          <w:tcPr>
            <w:tcW w:w="3690" w:type="dxa"/>
          </w:tcPr>
          <w:p w14:paraId="6A3E069B" w14:textId="77777777" w:rsidR="003C3C22" w:rsidRPr="009E35ED" w:rsidRDefault="003C3C22" w:rsidP="00B90388">
            <w:pPr>
              <w:ind w:left="-108"/>
              <w:jc w:val="left"/>
              <w:rPr>
                <w:rFonts w:ascii="Arial Narrow" w:hAnsi="Arial Narrow" w:cs="Arial"/>
                <w:color w:val="000000" w:themeColor="text1"/>
                <w:sz w:val="22"/>
                <w:szCs w:val="22"/>
              </w:rPr>
            </w:pPr>
            <w:r w:rsidRPr="009E35ED">
              <w:rPr>
                <w:rFonts w:ascii="Arial Narrow" w:hAnsi="Arial Narrow" w:cs="Arial"/>
                <w:color w:val="000000" w:themeColor="text1"/>
                <w:sz w:val="22"/>
                <w:szCs w:val="22"/>
              </w:rPr>
              <w:t>Receivables</w:t>
            </w:r>
          </w:p>
        </w:tc>
        <w:tc>
          <w:tcPr>
            <w:tcW w:w="993" w:type="dxa"/>
          </w:tcPr>
          <w:p w14:paraId="689068CF" w14:textId="77777777" w:rsidR="003C3C22" w:rsidRPr="009E35ED" w:rsidRDefault="003C3C22" w:rsidP="003C3C22">
            <w:pPr>
              <w:ind w:left="0"/>
              <w:jc w:val="center"/>
              <w:rPr>
                <w:rFonts w:ascii="Arial Narrow" w:hAnsi="Arial Narrow" w:cs="Arial"/>
                <w:color w:val="000000" w:themeColor="text1"/>
                <w:sz w:val="22"/>
                <w:szCs w:val="22"/>
              </w:rPr>
            </w:pPr>
            <w:r w:rsidRPr="009E35ED">
              <w:rPr>
                <w:rFonts w:ascii="Arial Narrow" w:hAnsi="Arial Narrow" w:cs="Arial"/>
                <w:color w:val="000000" w:themeColor="text1"/>
                <w:sz w:val="22"/>
                <w:szCs w:val="22"/>
              </w:rPr>
              <w:t>7</w:t>
            </w:r>
          </w:p>
        </w:tc>
        <w:tc>
          <w:tcPr>
            <w:tcW w:w="425" w:type="dxa"/>
          </w:tcPr>
          <w:p w14:paraId="447C8004" w14:textId="77777777" w:rsidR="003C3C22" w:rsidRPr="009E35ED" w:rsidRDefault="003C3C22" w:rsidP="003C3C22">
            <w:pPr>
              <w:ind w:left="0"/>
              <w:jc w:val="right"/>
              <w:rPr>
                <w:rFonts w:ascii="Arial Narrow" w:hAnsi="Arial Narrow"/>
                <w:color w:val="000000" w:themeColor="text1"/>
                <w:sz w:val="22"/>
                <w:szCs w:val="22"/>
              </w:rPr>
            </w:pPr>
          </w:p>
        </w:tc>
        <w:tc>
          <w:tcPr>
            <w:tcW w:w="1559" w:type="dxa"/>
          </w:tcPr>
          <w:p w14:paraId="0711BAC0" w14:textId="17EDC670" w:rsidR="00017D82" w:rsidRPr="009E35ED" w:rsidRDefault="0026041E" w:rsidP="00017D82">
            <w:pPr>
              <w:ind w:left="0"/>
              <w:jc w:val="right"/>
              <w:rPr>
                <w:rFonts w:ascii="Arial Narrow" w:hAnsi="Arial Narrow"/>
                <w:color w:val="000000" w:themeColor="text1"/>
                <w:sz w:val="22"/>
                <w:szCs w:val="22"/>
              </w:rPr>
            </w:pPr>
            <w:r w:rsidRPr="009E35ED">
              <w:rPr>
                <w:rFonts w:ascii="Arial Narrow" w:hAnsi="Arial Narrow"/>
                <w:color w:val="000000" w:themeColor="text1"/>
                <w:sz w:val="22"/>
                <w:szCs w:val="22"/>
              </w:rPr>
              <w:t>5,</w:t>
            </w:r>
            <w:r w:rsidR="001C4A1A" w:rsidRPr="009E35ED">
              <w:rPr>
                <w:rFonts w:ascii="Arial Narrow" w:hAnsi="Arial Narrow"/>
                <w:color w:val="000000" w:themeColor="text1"/>
                <w:sz w:val="22"/>
                <w:szCs w:val="22"/>
              </w:rPr>
              <w:t>200,542,31</w:t>
            </w:r>
            <w:r w:rsidR="00E1231C" w:rsidRPr="009E35ED">
              <w:rPr>
                <w:rFonts w:ascii="Arial Narrow" w:hAnsi="Arial Narrow"/>
                <w:color w:val="000000" w:themeColor="text1"/>
                <w:sz w:val="22"/>
                <w:szCs w:val="22"/>
              </w:rPr>
              <w:t>1</w:t>
            </w:r>
          </w:p>
        </w:tc>
        <w:tc>
          <w:tcPr>
            <w:tcW w:w="1984" w:type="dxa"/>
          </w:tcPr>
          <w:p w14:paraId="4E35FA4B" w14:textId="45689CFF" w:rsidR="003C3C22" w:rsidRPr="009E35ED" w:rsidRDefault="003C3C22" w:rsidP="0026041E">
            <w:pPr>
              <w:ind w:left="0" w:right="-108"/>
              <w:jc w:val="right"/>
              <w:rPr>
                <w:rFonts w:ascii="Arial Narrow" w:hAnsi="Arial Narrow" w:cs="Arial"/>
                <w:color w:val="000000" w:themeColor="text1"/>
                <w:sz w:val="22"/>
                <w:szCs w:val="22"/>
                <w:lang w:val="en-PH"/>
              </w:rPr>
            </w:pPr>
            <w:r w:rsidRPr="009E35ED">
              <w:rPr>
                <w:rFonts w:ascii="Arial Narrow" w:hAnsi="Arial Narrow"/>
                <w:color w:val="000000" w:themeColor="text1"/>
                <w:sz w:val="22"/>
                <w:szCs w:val="22"/>
              </w:rPr>
              <w:t xml:space="preserve"> </w:t>
            </w:r>
            <w:r w:rsidR="0026041E" w:rsidRPr="009E35ED">
              <w:rPr>
                <w:rFonts w:ascii="Arial Narrow" w:hAnsi="Arial Narrow"/>
                <w:color w:val="000000" w:themeColor="text1"/>
                <w:sz w:val="22"/>
                <w:szCs w:val="22"/>
              </w:rPr>
              <w:t>5,951,922,646</w:t>
            </w:r>
            <w:r w:rsidRPr="009E35ED">
              <w:rPr>
                <w:rFonts w:ascii="Arial Narrow" w:hAnsi="Arial Narrow"/>
                <w:color w:val="000000" w:themeColor="text1"/>
                <w:sz w:val="22"/>
                <w:szCs w:val="22"/>
              </w:rPr>
              <w:t xml:space="preserve"> </w:t>
            </w:r>
          </w:p>
        </w:tc>
      </w:tr>
      <w:tr w:rsidR="00997F75" w:rsidRPr="009E35ED" w14:paraId="1D099E01" w14:textId="77777777" w:rsidTr="00976F4E">
        <w:trPr>
          <w:trHeight w:val="266"/>
        </w:trPr>
        <w:tc>
          <w:tcPr>
            <w:tcW w:w="3690" w:type="dxa"/>
          </w:tcPr>
          <w:p w14:paraId="4CA9B41F" w14:textId="77777777" w:rsidR="00056FF6" w:rsidRPr="009E35ED" w:rsidRDefault="00056FF6" w:rsidP="00B90388">
            <w:pPr>
              <w:ind w:left="-108"/>
              <w:jc w:val="left"/>
              <w:rPr>
                <w:rFonts w:ascii="Arial Narrow" w:hAnsi="Arial Narrow" w:cs="Arial"/>
                <w:color w:val="000000" w:themeColor="text1"/>
                <w:sz w:val="22"/>
                <w:szCs w:val="22"/>
              </w:rPr>
            </w:pPr>
            <w:r w:rsidRPr="009E35ED">
              <w:rPr>
                <w:rFonts w:ascii="Arial Narrow" w:hAnsi="Arial Narrow" w:cs="Arial"/>
                <w:color w:val="000000" w:themeColor="text1"/>
                <w:sz w:val="22"/>
                <w:szCs w:val="22"/>
              </w:rPr>
              <w:t>Financial assets-held to maturity</w:t>
            </w:r>
          </w:p>
        </w:tc>
        <w:tc>
          <w:tcPr>
            <w:tcW w:w="993" w:type="dxa"/>
          </w:tcPr>
          <w:p w14:paraId="256FF5E9" w14:textId="77777777" w:rsidR="00056FF6" w:rsidRPr="009E35ED" w:rsidRDefault="00056FF6" w:rsidP="00056FF6">
            <w:pPr>
              <w:ind w:left="0"/>
              <w:jc w:val="center"/>
              <w:rPr>
                <w:rFonts w:ascii="Arial Narrow" w:hAnsi="Arial Narrow" w:cs="Arial"/>
                <w:color w:val="000000" w:themeColor="text1"/>
                <w:sz w:val="22"/>
                <w:szCs w:val="22"/>
              </w:rPr>
            </w:pPr>
            <w:r w:rsidRPr="009E35ED">
              <w:rPr>
                <w:rFonts w:ascii="Arial Narrow" w:hAnsi="Arial Narrow" w:cs="Arial"/>
                <w:color w:val="000000" w:themeColor="text1"/>
                <w:sz w:val="22"/>
                <w:szCs w:val="22"/>
              </w:rPr>
              <w:t>10</w:t>
            </w:r>
          </w:p>
        </w:tc>
        <w:tc>
          <w:tcPr>
            <w:tcW w:w="425" w:type="dxa"/>
          </w:tcPr>
          <w:p w14:paraId="5D06E370" w14:textId="77777777" w:rsidR="00056FF6" w:rsidRPr="009E35ED" w:rsidRDefault="00056FF6" w:rsidP="00056FF6">
            <w:pPr>
              <w:ind w:left="0"/>
              <w:jc w:val="right"/>
              <w:rPr>
                <w:rFonts w:ascii="Arial Narrow" w:hAnsi="Arial Narrow" w:cs="Arial"/>
                <w:color w:val="000000" w:themeColor="text1"/>
                <w:sz w:val="22"/>
                <w:szCs w:val="22"/>
                <w:lang w:val="en-PH"/>
              </w:rPr>
            </w:pPr>
          </w:p>
        </w:tc>
        <w:tc>
          <w:tcPr>
            <w:tcW w:w="1559" w:type="dxa"/>
          </w:tcPr>
          <w:p w14:paraId="5339ADA8" w14:textId="1DFD5E00" w:rsidR="00056FF6" w:rsidRPr="009E35ED" w:rsidRDefault="00056FF6" w:rsidP="00056FF6">
            <w:pPr>
              <w:ind w:left="0"/>
              <w:jc w:val="right"/>
              <w:rPr>
                <w:rFonts w:ascii="Arial Narrow" w:hAnsi="Arial Narrow" w:cs="Arial"/>
                <w:color w:val="000000" w:themeColor="text1"/>
                <w:sz w:val="22"/>
                <w:szCs w:val="22"/>
                <w:lang w:val="en-PH"/>
              </w:rPr>
            </w:pPr>
            <w:r w:rsidRPr="009E35ED">
              <w:rPr>
                <w:rFonts w:ascii="Arial Narrow" w:hAnsi="Arial Narrow"/>
                <w:color w:val="000000" w:themeColor="text1"/>
                <w:sz w:val="22"/>
                <w:szCs w:val="22"/>
              </w:rPr>
              <w:t xml:space="preserve">-   </w:t>
            </w:r>
          </w:p>
        </w:tc>
        <w:tc>
          <w:tcPr>
            <w:tcW w:w="1984" w:type="dxa"/>
          </w:tcPr>
          <w:p w14:paraId="66C7E0D8" w14:textId="17316595" w:rsidR="00056FF6" w:rsidRPr="009E35ED" w:rsidRDefault="00056FF6" w:rsidP="00056FF6">
            <w:pPr>
              <w:ind w:left="0" w:right="-108"/>
              <w:jc w:val="right"/>
              <w:rPr>
                <w:rFonts w:ascii="Arial Narrow" w:hAnsi="Arial Narrow" w:cs="Arial"/>
                <w:color w:val="000000" w:themeColor="text1"/>
                <w:sz w:val="22"/>
                <w:szCs w:val="22"/>
                <w:lang w:val="en-PH"/>
              </w:rPr>
            </w:pPr>
            <w:r w:rsidRPr="009E35ED">
              <w:rPr>
                <w:rFonts w:ascii="Arial Narrow" w:hAnsi="Arial Narrow"/>
                <w:color w:val="000000" w:themeColor="text1"/>
                <w:sz w:val="22"/>
                <w:szCs w:val="22"/>
              </w:rPr>
              <w:t xml:space="preserve"> 200,000,000 </w:t>
            </w:r>
          </w:p>
        </w:tc>
      </w:tr>
      <w:tr w:rsidR="00997F75" w:rsidRPr="009E35ED" w14:paraId="5E25D708" w14:textId="77777777" w:rsidTr="00976F4E">
        <w:trPr>
          <w:trHeight w:val="252"/>
        </w:trPr>
        <w:tc>
          <w:tcPr>
            <w:tcW w:w="3690" w:type="dxa"/>
          </w:tcPr>
          <w:p w14:paraId="14FF568C" w14:textId="77777777" w:rsidR="00056FF6" w:rsidRPr="009E35ED" w:rsidRDefault="00056FF6" w:rsidP="00B90388">
            <w:pPr>
              <w:ind w:left="-108"/>
              <w:jc w:val="left"/>
              <w:rPr>
                <w:rFonts w:ascii="Arial Narrow" w:hAnsi="Arial Narrow" w:cs="Arial"/>
                <w:color w:val="000000" w:themeColor="text1"/>
                <w:sz w:val="22"/>
                <w:szCs w:val="22"/>
              </w:rPr>
            </w:pPr>
            <w:r w:rsidRPr="009E35ED">
              <w:rPr>
                <w:rFonts w:ascii="Arial Narrow" w:hAnsi="Arial Narrow" w:cs="Arial"/>
                <w:color w:val="000000" w:themeColor="text1"/>
                <w:sz w:val="22"/>
                <w:szCs w:val="22"/>
              </w:rPr>
              <w:t>Financial assets at FVOCI</w:t>
            </w:r>
          </w:p>
        </w:tc>
        <w:tc>
          <w:tcPr>
            <w:tcW w:w="993" w:type="dxa"/>
          </w:tcPr>
          <w:p w14:paraId="22A7E598" w14:textId="77777777" w:rsidR="00056FF6" w:rsidRPr="009E35ED" w:rsidRDefault="00056FF6" w:rsidP="00056FF6">
            <w:pPr>
              <w:ind w:left="0"/>
              <w:jc w:val="center"/>
              <w:rPr>
                <w:rFonts w:ascii="Arial Narrow" w:hAnsi="Arial Narrow" w:cs="Arial"/>
                <w:color w:val="000000" w:themeColor="text1"/>
                <w:sz w:val="22"/>
                <w:szCs w:val="22"/>
              </w:rPr>
            </w:pPr>
            <w:r w:rsidRPr="009E35ED">
              <w:rPr>
                <w:rFonts w:ascii="Arial Narrow" w:hAnsi="Arial Narrow" w:cs="Arial"/>
                <w:color w:val="000000" w:themeColor="text1"/>
                <w:sz w:val="22"/>
                <w:szCs w:val="22"/>
              </w:rPr>
              <w:t>10</w:t>
            </w:r>
          </w:p>
        </w:tc>
        <w:tc>
          <w:tcPr>
            <w:tcW w:w="425" w:type="dxa"/>
          </w:tcPr>
          <w:p w14:paraId="7465E3DC" w14:textId="77777777" w:rsidR="00056FF6" w:rsidRPr="009E35ED" w:rsidRDefault="00056FF6" w:rsidP="00056FF6">
            <w:pPr>
              <w:ind w:left="0"/>
              <w:jc w:val="right"/>
              <w:rPr>
                <w:rFonts w:ascii="Arial Narrow" w:hAnsi="Arial Narrow" w:cs="Arial"/>
                <w:color w:val="000000" w:themeColor="text1"/>
                <w:sz w:val="22"/>
                <w:szCs w:val="22"/>
                <w:lang w:val="en-PH"/>
              </w:rPr>
            </w:pPr>
          </w:p>
        </w:tc>
        <w:tc>
          <w:tcPr>
            <w:tcW w:w="1559" w:type="dxa"/>
          </w:tcPr>
          <w:p w14:paraId="1E1FBC8E" w14:textId="1106711F" w:rsidR="00056FF6" w:rsidRPr="009E35ED" w:rsidRDefault="00056FF6" w:rsidP="00056FF6">
            <w:pPr>
              <w:ind w:left="0"/>
              <w:jc w:val="right"/>
              <w:rPr>
                <w:rFonts w:ascii="Arial Narrow" w:hAnsi="Arial Narrow" w:cs="Arial"/>
                <w:color w:val="000000" w:themeColor="text1"/>
                <w:sz w:val="22"/>
                <w:szCs w:val="22"/>
                <w:lang w:val="en-PH"/>
              </w:rPr>
            </w:pPr>
            <w:r w:rsidRPr="009E35ED">
              <w:rPr>
                <w:rFonts w:ascii="Arial Narrow" w:hAnsi="Arial Narrow"/>
                <w:color w:val="000000" w:themeColor="text1"/>
                <w:sz w:val="22"/>
                <w:szCs w:val="22"/>
              </w:rPr>
              <w:t xml:space="preserve">2,736,980,793 </w:t>
            </w:r>
          </w:p>
        </w:tc>
        <w:tc>
          <w:tcPr>
            <w:tcW w:w="1984" w:type="dxa"/>
          </w:tcPr>
          <w:p w14:paraId="4291603D" w14:textId="1308D70F" w:rsidR="00056FF6" w:rsidRPr="009E35ED" w:rsidRDefault="00056FF6" w:rsidP="00414F60">
            <w:pPr>
              <w:ind w:left="0" w:right="-113"/>
              <w:jc w:val="right"/>
              <w:rPr>
                <w:rFonts w:ascii="Arial Narrow" w:hAnsi="Arial Narrow"/>
                <w:color w:val="000000" w:themeColor="text1"/>
                <w:sz w:val="22"/>
                <w:szCs w:val="22"/>
              </w:rPr>
            </w:pPr>
            <w:r w:rsidRPr="009E35ED">
              <w:rPr>
                <w:rFonts w:ascii="Arial Narrow" w:hAnsi="Arial Narrow"/>
                <w:color w:val="000000" w:themeColor="text1"/>
                <w:sz w:val="22"/>
                <w:szCs w:val="22"/>
              </w:rPr>
              <w:t>2,728,093,119</w:t>
            </w:r>
          </w:p>
        </w:tc>
      </w:tr>
      <w:tr w:rsidR="00997F75" w:rsidRPr="009E35ED" w14:paraId="6C4C2CB4" w14:textId="77777777" w:rsidTr="00976F4E">
        <w:trPr>
          <w:trHeight w:val="266"/>
        </w:trPr>
        <w:tc>
          <w:tcPr>
            <w:tcW w:w="3690" w:type="dxa"/>
          </w:tcPr>
          <w:p w14:paraId="6CB723B2" w14:textId="77777777" w:rsidR="003C3C22" w:rsidRPr="009E35ED" w:rsidRDefault="003C3C22" w:rsidP="00B90388">
            <w:pPr>
              <w:ind w:left="-108"/>
              <w:jc w:val="left"/>
              <w:rPr>
                <w:rFonts w:ascii="Arial Narrow" w:hAnsi="Arial Narrow" w:cs="Arial"/>
                <w:color w:val="000000" w:themeColor="text1"/>
                <w:sz w:val="22"/>
                <w:szCs w:val="22"/>
              </w:rPr>
            </w:pPr>
            <w:r w:rsidRPr="009E35ED">
              <w:rPr>
                <w:rFonts w:ascii="Arial Narrow" w:hAnsi="Arial Narrow" w:cs="Arial"/>
                <w:color w:val="000000" w:themeColor="text1"/>
                <w:sz w:val="22"/>
                <w:szCs w:val="22"/>
              </w:rPr>
              <w:t>Other investments – current portion</w:t>
            </w:r>
          </w:p>
        </w:tc>
        <w:tc>
          <w:tcPr>
            <w:tcW w:w="993" w:type="dxa"/>
          </w:tcPr>
          <w:p w14:paraId="48E1630B" w14:textId="77777777" w:rsidR="003C3C22" w:rsidRPr="009E35ED" w:rsidRDefault="003C3C22" w:rsidP="00A946A9">
            <w:pPr>
              <w:ind w:left="0"/>
              <w:jc w:val="center"/>
              <w:rPr>
                <w:rFonts w:ascii="Arial Narrow" w:hAnsi="Arial Narrow" w:cs="Arial"/>
                <w:color w:val="000000" w:themeColor="text1"/>
                <w:sz w:val="22"/>
                <w:szCs w:val="22"/>
              </w:rPr>
            </w:pPr>
            <w:r w:rsidRPr="009E35ED">
              <w:rPr>
                <w:rFonts w:ascii="Arial Narrow" w:hAnsi="Arial Narrow" w:cs="Arial"/>
                <w:color w:val="000000" w:themeColor="text1"/>
                <w:sz w:val="22"/>
                <w:szCs w:val="22"/>
              </w:rPr>
              <w:t>6</w:t>
            </w:r>
          </w:p>
        </w:tc>
        <w:tc>
          <w:tcPr>
            <w:tcW w:w="425" w:type="dxa"/>
          </w:tcPr>
          <w:p w14:paraId="502EBC11" w14:textId="77777777" w:rsidR="003C3C22" w:rsidRPr="009E35ED" w:rsidRDefault="003C3C22" w:rsidP="00A946A9">
            <w:pPr>
              <w:ind w:left="0"/>
              <w:jc w:val="right"/>
              <w:rPr>
                <w:rFonts w:ascii="Arial Narrow" w:hAnsi="Arial Narrow" w:cs="Arial"/>
                <w:color w:val="000000" w:themeColor="text1"/>
                <w:sz w:val="22"/>
                <w:szCs w:val="22"/>
                <w:lang w:val="en-PH"/>
              </w:rPr>
            </w:pPr>
          </w:p>
        </w:tc>
        <w:tc>
          <w:tcPr>
            <w:tcW w:w="1559" w:type="dxa"/>
          </w:tcPr>
          <w:p w14:paraId="09A16EBF" w14:textId="4DB2B649" w:rsidR="003C3C22" w:rsidRPr="009E35ED" w:rsidRDefault="00F24549" w:rsidP="00A946A9">
            <w:pPr>
              <w:ind w:left="0"/>
              <w:jc w:val="right"/>
              <w:rPr>
                <w:rFonts w:ascii="Arial Narrow" w:hAnsi="Arial Narrow" w:cs="Arial"/>
                <w:color w:val="000000" w:themeColor="text1"/>
                <w:sz w:val="22"/>
                <w:szCs w:val="22"/>
                <w:lang w:val="en-PH"/>
              </w:rPr>
            </w:pPr>
            <w:r w:rsidRPr="009E35ED">
              <w:rPr>
                <w:rFonts w:ascii="Arial Narrow" w:hAnsi="Arial Narrow"/>
                <w:color w:val="000000" w:themeColor="text1"/>
                <w:sz w:val="22"/>
                <w:szCs w:val="22"/>
              </w:rPr>
              <w:t>5,969,306,875</w:t>
            </w:r>
          </w:p>
        </w:tc>
        <w:tc>
          <w:tcPr>
            <w:tcW w:w="1984" w:type="dxa"/>
          </w:tcPr>
          <w:p w14:paraId="11224F62" w14:textId="2D0FAFB3" w:rsidR="003C3C22" w:rsidRPr="009E35ED" w:rsidRDefault="00056488" w:rsidP="00A946A9">
            <w:pPr>
              <w:ind w:left="0" w:right="-108"/>
              <w:jc w:val="right"/>
              <w:rPr>
                <w:rFonts w:ascii="Arial Narrow" w:hAnsi="Arial Narrow" w:cs="Arial"/>
                <w:bCs/>
                <w:color w:val="000000" w:themeColor="text1"/>
                <w:sz w:val="22"/>
                <w:szCs w:val="22"/>
                <w:lang w:val="en-PH"/>
              </w:rPr>
            </w:pPr>
            <w:r w:rsidRPr="009E35ED">
              <w:rPr>
                <w:rFonts w:ascii="Arial Narrow" w:hAnsi="Arial Narrow"/>
                <w:bCs/>
                <w:color w:val="000000" w:themeColor="text1"/>
                <w:sz w:val="22"/>
                <w:szCs w:val="22"/>
              </w:rPr>
              <w:t>2,642,745,021</w:t>
            </w:r>
          </w:p>
        </w:tc>
      </w:tr>
      <w:tr w:rsidR="00997F75" w:rsidRPr="009E35ED" w14:paraId="6C6E7841" w14:textId="77777777" w:rsidTr="00976F4E">
        <w:trPr>
          <w:trHeight w:val="252"/>
        </w:trPr>
        <w:tc>
          <w:tcPr>
            <w:tcW w:w="3690" w:type="dxa"/>
            <w:tcBorders>
              <w:top w:val="single" w:sz="4" w:space="0" w:color="auto"/>
              <w:bottom w:val="double" w:sz="4" w:space="0" w:color="auto"/>
            </w:tcBorders>
          </w:tcPr>
          <w:p w14:paraId="089FD280" w14:textId="77777777" w:rsidR="003C3C22" w:rsidRPr="009E35ED" w:rsidRDefault="003C3C22" w:rsidP="00B90388">
            <w:pPr>
              <w:ind w:left="-108"/>
              <w:rPr>
                <w:rFonts w:ascii="Arial Narrow" w:hAnsi="Arial Narrow" w:cs="Arial"/>
                <w:b/>
                <w:bCs/>
                <w:color w:val="000000" w:themeColor="text1"/>
                <w:sz w:val="22"/>
                <w:szCs w:val="22"/>
              </w:rPr>
            </w:pPr>
            <w:r w:rsidRPr="009E35ED">
              <w:rPr>
                <w:rFonts w:ascii="Arial Narrow" w:hAnsi="Arial Narrow" w:cs="Arial"/>
                <w:b/>
                <w:bCs/>
                <w:color w:val="000000" w:themeColor="text1"/>
                <w:sz w:val="22"/>
                <w:szCs w:val="22"/>
              </w:rPr>
              <w:t>Total</w:t>
            </w:r>
          </w:p>
        </w:tc>
        <w:tc>
          <w:tcPr>
            <w:tcW w:w="993" w:type="dxa"/>
            <w:tcBorders>
              <w:top w:val="single" w:sz="4" w:space="0" w:color="auto"/>
              <w:bottom w:val="double" w:sz="4" w:space="0" w:color="auto"/>
            </w:tcBorders>
          </w:tcPr>
          <w:p w14:paraId="765B3244" w14:textId="77777777" w:rsidR="003C3C22" w:rsidRPr="009E35ED" w:rsidRDefault="003C3C22" w:rsidP="00A946A9">
            <w:pPr>
              <w:ind w:left="0"/>
              <w:rPr>
                <w:rFonts w:ascii="Arial Narrow" w:hAnsi="Arial Narrow" w:cs="Arial"/>
                <w:b/>
                <w:bCs/>
                <w:color w:val="000000" w:themeColor="text1"/>
                <w:sz w:val="22"/>
                <w:szCs w:val="22"/>
              </w:rPr>
            </w:pPr>
          </w:p>
        </w:tc>
        <w:tc>
          <w:tcPr>
            <w:tcW w:w="425" w:type="dxa"/>
            <w:tcBorders>
              <w:top w:val="single" w:sz="4" w:space="0" w:color="auto"/>
              <w:bottom w:val="double" w:sz="4" w:space="0" w:color="auto"/>
            </w:tcBorders>
          </w:tcPr>
          <w:p w14:paraId="7BD7431C" w14:textId="77777777" w:rsidR="003C3C22" w:rsidRPr="009E35ED" w:rsidRDefault="003C3C22" w:rsidP="00A946A9">
            <w:pPr>
              <w:jc w:val="right"/>
              <w:rPr>
                <w:rFonts w:ascii="Arial Narrow" w:hAnsi="Arial Narrow" w:cs="Calibri"/>
                <w:b/>
                <w:color w:val="000000" w:themeColor="text1"/>
                <w:sz w:val="22"/>
                <w:szCs w:val="22"/>
              </w:rPr>
            </w:pPr>
          </w:p>
        </w:tc>
        <w:tc>
          <w:tcPr>
            <w:tcW w:w="1559" w:type="dxa"/>
            <w:tcBorders>
              <w:top w:val="single" w:sz="4" w:space="0" w:color="auto"/>
              <w:bottom w:val="double" w:sz="4" w:space="0" w:color="auto"/>
            </w:tcBorders>
          </w:tcPr>
          <w:p w14:paraId="23A45CA1" w14:textId="682BAF98" w:rsidR="003C3C22" w:rsidRPr="009E35ED" w:rsidRDefault="00A34C4B" w:rsidP="00017D82">
            <w:pPr>
              <w:ind w:left="0"/>
              <w:jc w:val="right"/>
              <w:rPr>
                <w:rFonts w:ascii="Arial Narrow" w:hAnsi="Arial Narrow" w:cs="Calibri"/>
                <w:b/>
                <w:color w:val="000000" w:themeColor="text1"/>
                <w:sz w:val="22"/>
                <w:szCs w:val="22"/>
              </w:rPr>
            </w:pPr>
            <w:r w:rsidRPr="009E35ED">
              <w:rPr>
                <w:rFonts w:ascii="Arial Narrow" w:hAnsi="Arial Narrow" w:cs="Calibri"/>
                <w:b/>
                <w:color w:val="000000" w:themeColor="text1"/>
                <w:sz w:val="22"/>
                <w:szCs w:val="22"/>
              </w:rPr>
              <w:t>34,</w:t>
            </w:r>
            <w:r w:rsidR="001C4A1A" w:rsidRPr="009E35ED">
              <w:rPr>
                <w:rFonts w:ascii="Arial Narrow" w:hAnsi="Arial Narrow" w:cs="Calibri"/>
                <w:b/>
                <w:color w:val="000000" w:themeColor="text1"/>
                <w:sz w:val="22"/>
                <w:szCs w:val="22"/>
              </w:rPr>
              <w:t>289,259,25</w:t>
            </w:r>
            <w:r w:rsidR="00E1231C" w:rsidRPr="009E35ED">
              <w:rPr>
                <w:rFonts w:ascii="Arial Narrow" w:hAnsi="Arial Narrow" w:cs="Calibri"/>
                <w:b/>
                <w:color w:val="000000" w:themeColor="text1"/>
                <w:sz w:val="22"/>
                <w:szCs w:val="22"/>
              </w:rPr>
              <w:t>4</w:t>
            </w:r>
          </w:p>
        </w:tc>
        <w:tc>
          <w:tcPr>
            <w:tcW w:w="1984" w:type="dxa"/>
            <w:tcBorders>
              <w:top w:val="single" w:sz="4" w:space="0" w:color="auto"/>
              <w:bottom w:val="double" w:sz="4" w:space="0" w:color="auto"/>
            </w:tcBorders>
          </w:tcPr>
          <w:p w14:paraId="73826520" w14:textId="3686549C" w:rsidR="003C3C22" w:rsidRPr="009E35ED" w:rsidRDefault="00AB3172" w:rsidP="00A92573">
            <w:pPr>
              <w:ind w:right="-105"/>
              <w:jc w:val="right"/>
              <w:rPr>
                <w:rFonts w:ascii="Arial Narrow" w:hAnsi="Arial Narrow" w:cs="Calibri"/>
                <w:b/>
                <w:color w:val="000000" w:themeColor="text1"/>
                <w:sz w:val="22"/>
                <w:szCs w:val="22"/>
              </w:rPr>
            </w:pPr>
            <w:r w:rsidRPr="009E35ED">
              <w:rPr>
                <w:rFonts w:ascii="Arial Narrow" w:hAnsi="Arial Narrow" w:cs="Calibri"/>
                <w:b/>
                <w:color w:val="000000" w:themeColor="text1"/>
                <w:sz w:val="22"/>
                <w:szCs w:val="22"/>
              </w:rPr>
              <w:t>31,865,</w:t>
            </w:r>
            <w:r w:rsidR="00A92573" w:rsidRPr="009E35ED">
              <w:rPr>
                <w:rFonts w:ascii="Arial Narrow" w:hAnsi="Arial Narrow" w:cs="Calibri"/>
                <w:b/>
                <w:color w:val="000000" w:themeColor="text1"/>
                <w:sz w:val="22"/>
                <w:szCs w:val="22"/>
              </w:rPr>
              <w:t>526,201</w:t>
            </w:r>
          </w:p>
        </w:tc>
      </w:tr>
      <w:tr w:rsidR="00997F75" w:rsidRPr="009E35ED" w14:paraId="15A90CB6" w14:textId="77777777" w:rsidTr="00976F4E">
        <w:trPr>
          <w:trHeight w:val="266"/>
        </w:trPr>
        <w:tc>
          <w:tcPr>
            <w:tcW w:w="3690" w:type="dxa"/>
            <w:tcBorders>
              <w:top w:val="single" w:sz="4" w:space="0" w:color="auto"/>
              <w:bottom w:val="single" w:sz="4" w:space="0" w:color="auto"/>
            </w:tcBorders>
          </w:tcPr>
          <w:p w14:paraId="0A2797D1" w14:textId="77777777" w:rsidR="003C3C22" w:rsidRPr="009E35ED" w:rsidRDefault="003C3C22" w:rsidP="00B90388">
            <w:pPr>
              <w:keepNext/>
              <w:keepLines/>
              <w:ind w:left="0"/>
              <w:rPr>
                <w:rFonts w:ascii="Arial Narrow" w:hAnsi="Arial Narrow" w:cs="Arial"/>
                <w:b/>
                <w:color w:val="000000" w:themeColor="text1"/>
                <w:sz w:val="22"/>
                <w:szCs w:val="22"/>
              </w:rPr>
            </w:pPr>
          </w:p>
        </w:tc>
        <w:tc>
          <w:tcPr>
            <w:tcW w:w="993" w:type="dxa"/>
            <w:tcBorders>
              <w:top w:val="single" w:sz="4" w:space="0" w:color="auto"/>
              <w:bottom w:val="single" w:sz="4" w:space="0" w:color="auto"/>
            </w:tcBorders>
          </w:tcPr>
          <w:p w14:paraId="2BF7E307" w14:textId="77777777" w:rsidR="003C3C22" w:rsidRPr="009E35ED" w:rsidRDefault="003C3C22" w:rsidP="00B90388">
            <w:pPr>
              <w:keepNext/>
              <w:keepLines/>
              <w:ind w:left="0"/>
              <w:jc w:val="center"/>
              <w:rPr>
                <w:rFonts w:ascii="Arial Narrow" w:hAnsi="Arial Narrow" w:cs="Arial"/>
                <w:b/>
                <w:color w:val="000000" w:themeColor="text1"/>
                <w:sz w:val="22"/>
                <w:szCs w:val="22"/>
              </w:rPr>
            </w:pPr>
            <w:r w:rsidRPr="009E35ED">
              <w:rPr>
                <w:rFonts w:ascii="Arial Narrow" w:hAnsi="Arial Narrow" w:cs="Arial"/>
                <w:b/>
                <w:color w:val="000000" w:themeColor="text1"/>
                <w:sz w:val="22"/>
                <w:szCs w:val="22"/>
              </w:rPr>
              <w:t>Note</w:t>
            </w:r>
          </w:p>
        </w:tc>
        <w:tc>
          <w:tcPr>
            <w:tcW w:w="425" w:type="dxa"/>
            <w:tcBorders>
              <w:top w:val="single" w:sz="4" w:space="0" w:color="auto"/>
              <w:bottom w:val="single" w:sz="4" w:space="0" w:color="auto"/>
            </w:tcBorders>
          </w:tcPr>
          <w:p w14:paraId="027C09A2" w14:textId="77777777" w:rsidR="003C3C22" w:rsidRPr="009E35ED" w:rsidRDefault="003C3C22" w:rsidP="00B90388">
            <w:pPr>
              <w:keepNext/>
              <w:keepLines/>
              <w:ind w:left="0"/>
              <w:jc w:val="right"/>
              <w:rPr>
                <w:rFonts w:ascii="Arial Narrow" w:hAnsi="Arial Narrow" w:cs="Arial"/>
                <w:b/>
                <w:color w:val="000000" w:themeColor="text1"/>
                <w:sz w:val="22"/>
                <w:szCs w:val="22"/>
                <w:lang w:val="en-PH"/>
              </w:rPr>
            </w:pPr>
          </w:p>
        </w:tc>
        <w:tc>
          <w:tcPr>
            <w:tcW w:w="1559" w:type="dxa"/>
            <w:tcBorders>
              <w:top w:val="single" w:sz="4" w:space="0" w:color="auto"/>
              <w:bottom w:val="single" w:sz="4" w:space="0" w:color="auto"/>
            </w:tcBorders>
          </w:tcPr>
          <w:p w14:paraId="5FCD3C90" w14:textId="35D9E03B" w:rsidR="003C3C22" w:rsidRPr="009E35ED" w:rsidRDefault="003C3C22" w:rsidP="00B90388">
            <w:pPr>
              <w:keepNext/>
              <w:keepLines/>
              <w:ind w:left="0"/>
              <w:jc w:val="right"/>
              <w:rPr>
                <w:rFonts w:ascii="Arial Narrow" w:hAnsi="Arial Narrow" w:cs="Arial"/>
                <w:b/>
                <w:color w:val="000000" w:themeColor="text1"/>
                <w:sz w:val="22"/>
                <w:szCs w:val="22"/>
                <w:lang w:val="en-PH"/>
              </w:rPr>
            </w:pPr>
            <w:r w:rsidRPr="009E35ED">
              <w:rPr>
                <w:rFonts w:ascii="Arial Narrow" w:hAnsi="Arial Narrow" w:cs="Arial"/>
                <w:b/>
                <w:color w:val="000000" w:themeColor="text1"/>
                <w:sz w:val="22"/>
                <w:szCs w:val="22"/>
                <w:lang w:val="en-PH"/>
              </w:rPr>
              <w:t>2023</w:t>
            </w:r>
          </w:p>
        </w:tc>
        <w:tc>
          <w:tcPr>
            <w:tcW w:w="1984" w:type="dxa"/>
            <w:tcBorders>
              <w:top w:val="single" w:sz="4" w:space="0" w:color="auto"/>
              <w:bottom w:val="single" w:sz="4" w:space="0" w:color="auto"/>
            </w:tcBorders>
          </w:tcPr>
          <w:p w14:paraId="5F9942EB" w14:textId="2D027AE9" w:rsidR="003C3C22" w:rsidRPr="009E35ED" w:rsidRDefault="003C3C22" w:rsidP="00B90388">
            <w:pPr>
              <w:keepNext/>
              <w:keepLines/>
              <w:ind w:left="0" w:right="-108"/>
              <w:jc w:val="right"/>
              <w:rPr>
                <w:rFonts w:ascii="Arial Narrow" w:hAnsi="Arial Narrow" w:cs="Arial"/>
                <w:b/>
                <w:color w:val="000000" w:themeColor="text1"/>
                <w:sz w:val="22"/>
                <w:szCs w:val="22"/>
                <w:lang w:val="en-PH"/>
              </w:rPr>
            </w:pPr>
            <w:r w:rsidRPr="009E35ED">
              <w:rPr>
                <w:rFonts w:ascii="Arial Narrow" w:hAnsi="Arial Narrow" w:cs="Arial"/>
                <w:b/>
                <w:color w:val="000000" w:themeColor="text1"/>
                <w:sz w:val="22"/>
                <w:szCs w:val="22"/>
                <w:lang w:val="en-PH"/>
              </w:rPr>
              <w:t>2022</w:t>
            </w:r>
          </w:p>
        </w:tc>
      </w:tr>
      <w:tr w:rsidR="00997F75" w:rsidRPr="009E35ED" w14:paraId="0BC83821" w14:textId="77777777" w:rsidTr="00976F4E">
        <w:trPr>
          <w:trHeight w:val="252"/>
        </w:trPr>
        <w:tc>
          <w:tcPr>
            <w:tcW w:w="3690" w:type="dxa"/>
            <w:tcBorders>
              <w:top w:val="single" w:sz="4" w:space="0" w:color="auto"/>
            </w:tcBorders>
          </w:tcPr>
          <w:p w14:paraId="115965B5" w14:textId="77777777" w:rsidR="003C3C22" w:rsidRPr="009E35ED" w:rsidRDefault="003C3C22" w:rsidP="00B90388">
            <w:pPr>
              <w:keepNext/>
              <w:keepLines/>
              <w:ind w:left="-108"/>
              <w:rPr>
                <w:rFonts w:ascii="Arial Narrow" w:hAnsi="Arial Narrow" w:cs="Arial"/>
                <w:b/>
                <w:color w:val="000000" w:themeColor="text1"/>
                <w:sz w:val="22"/>
                <w:szCs w:val="22"/>
              </w:rPr>
            </w:pPr>
            <w:r w:rsidRPr="009E35ED">
              <w:rPr>
                <w:rFonts w:ascii="Arial Narrow" w:hAnsi="Arial Narrow" w:cs="Arial"/>
                <w:b/>
                <w:color w:val="000000" w:themeColor="text1"/>
                <w:sz w:val="22"/>
                <w:szCs w:val="22"/>
              </w:rPr>
              <w:t xml:space="preserve">Financial Liabilities: </w:t>
            </w:r>
          </w:p>
        </w:tc>
        <w:tc>
          <w:tcPr>
            <w:tcW w:w="993" w:type="dxa"/>
            <w:tcBorders>
              <w:top w:val="single" w:sz="4" w:space="0" w:color="auto"/>
            </w:tcBorders>
          </w:tcPr>
          <w:p w14:paraId="2D9F7E16" w14:textId="77777777" w:rsidR="003C3C22" w:rsidRPr="009E35ED" w:rsidRDefault="003C3C22" w:rsidP="00B90388">
            <w:pPr>
              <w:keepNext/>
              <w:keepLines/>
              <w:ind w:left="0"/>
              <w:jc w:val="center"/>
              <w:rPr>
                <w:rFonts w:ascii="Arial Narrow" w:hAnsi="Arial Narrow" w:cs="Arial"/>
                <w:color w:val="000000" w:themeColor="text1"/>
                <w:sz w:val="22"/>
                <w:szCs w:val="22"/>
              </w:rPr>
            </w:pPr>
          </w:p>
        </w:tc>
        <w:tc>
          <w:tcPr>
            <w:tcW w:w="425" w:type="dxa"/>
            <w:tcBorders>
              <w:top w:val="single" w:sz="4" w:space="0" w:color="auto"/>
            </w:tcBorders>
          </w:tcPr>
          <w:p w14:paraId="4DAE3B81" w14:textId="77777777" w:rsidR="003C3C22" w:rsidRPr="009E35ED" w:rsidRDefault="003C3C22" w:rsidP="00B90388">
            <w:pPr>
              <w:keepNext/>
              <w:keepLines/>
              <w:ind w:left="0"/>
              <w:jc w:val="right"/>
              <w:rPr>
                <w:rFonts w:ascii="Arial Narrow" w:hAnsi="Arial Narrow" w:cs="Arial"/>
                <w:color w:val="000000" w:themeColor="text1"/>
                <w:sz w:val="22"/>
                <w:szCs w:val="22"/>
              </w:rPr>
            </w:pPr>
          </w:p>
        </w:tc>
        <w:tc>
          <w:tcPr>
            <w:tcW w:w="1559" w:type="dxa"/>
            <w:tcBorders>
              <w:top w:val="single" w:sz="4" w:space="0" w:color="auto"/>
            </w:tcBorders>
          </w:tcPr>
          <w:p w14:paraId="5AB4E7B5" w14:textId="0462644B" w:rsidR="003C3C22" w:rsidRPr="009E35ED" w:rsidRDefault="003C3C22" w:rsidP="00B90388">
            <w:pPr>
              <w:keepNext/>
              <w:keepLines/>
              <w:ind w:left="0"/>
              <w:jc w:val="right"/>
              <w:rPr>
                <w:rFonts w:ascii="Arial Narrow" w:hAnsi="Arial Narrow" w:cs="Arial"/>
                <w:color w:val="000000" w:themeColor="text1"/>
                <w:sz w:val="22"/>
                <w:szCs w:val="22"/>
              </w:rPr>
            </w:pPr>
          </w:p>
        </w:tc>
        <w:tc>
          <w:tcPr>
            <w:tcW w:w="1984" w:type="dxa"/>
            <w:tcBorders>
              <w:top w:val="single" w:sz="4" w:space="0" w:color="auto"/>
            </w:tcBorders>
          </w:tcPr>
          <w:p w14:paraId="692A0329" w14:textId="77777777" w:rsidR="003C3C22" w:rsidRPr="009E35ED" w:rsidRDefault="003C3C22" w:rsidP="00B90388">
            <w:pPr>
              <w:keepNext/>
              <w:keepLines/>
              <w:ind w:left="0" w:right="-108"/>
              <w:jc w:val="right"/>
              <w:rPr>
                <w:rFonts w:ascii="Arial Narrow" w:hAnsi="Arial Narrow" w:cs="Arial"/>
                <w:color w:val="000000" w:themeColor="text1"/>
                <w:sz w:val="22"/>
                <w:szCs w:val="22"/>
              </w:rPr>
            </w:pPr>
          </w:p>
        </w:tc>
      </w:tr>
      <w:tr w:rsidR="00997F75" w:rsidRPr="009E35ED" w14:paraId="06B01A1D" w14:textId="77777777" w:rsidTr="00976F4E">
        <w:trPr>
          <w:trHeight w:val="266"/>
        </w:trPr>
        <w:tc>
          <w:tcPr>
            <w:tcW w:w="3690" w:type="dxa"/>
          </w:tcPr>
          <w:p w14:paraId="1B1E039C" w14:textId="77777777" w:rsidR="00405DCC" w:rsidRPr="009E35ED" w:rsidRDefault="00405DCC" w:rsidP="00B90388">
            <w:pPr>
              <w:keepNext/>
              <w:keepLines/>
              <w:ind w:left="-108"/>
              <w:rPr>
                <w:rFonts w:ascii="Arial Narrow" w:hAnsi="Arial Narrow" w:cs="Arial"/>
                <w:color w:val="000000" w:themeColor="text1"/>
                <w:sz w:val="22"/>
                <w:szCs w:val="22"/>
              </w:rPr>
            </w:pPr>
            <w:r w:rsidRPr="009E35ED">
              <w:rPr>
                <w:rFonts w:ascii="Arial Narrow" w:hAnsi="Arial Narrow" w:cs="Arial"/>
                <w:color w:val="000000" w:themeColor="text1"/>
                <w:sz w:val="22"/>
                <w:szCs w:val="22"/>
              </w:rPr>
              <w:t>Financial liabilities  - current portion</w:t>
            </w:r>
          </w:p>
        </w:tc>
        <w:tc>
          <w:tcPr>
            <w:tcW w:w="993" w:type="dxa"/>
          </w:tcPr>
          <w:p w14:paraId="697D454C" w14:textId="77777777" w:rsidR="00405DCC" w:rsidRPr="009E35ED" w:rsidRDefault="00405DCC" w:rsidP="00B90388">
            <w:pPr>
              <w:keepNext/>
              <w:keepLines/>
              <w:ind w:left="0"/>
              <w:jc w:val="center"/>
              <w:rPr>
                <w:rFonts w:ascii="Arial Narrow" w:hAnsi="Arial Narrow" w:cs="Arial"/>
                <w:color w:val="000000" w:themeColor="text1"/>
                <w:sz w:val="22"/>
                <w:szCs w:val="22"/>
              </w:rPr>
            </w:pPr>
            <w:r w:rsidRPr="009E35ED">
              <w:rPr>
                <w:rFonts w:ascii="Arial Narrow" w:hAnsi="Arial Narrow" w:cs="Arial"/>
                <w:color w:val="000000" w:themeColor="text1"/>
                <w:sz w:val="22"/>
                <w:szCs w:val="22"/>
              </w:rPr>
              <w:t>16</w:t>
            </w:r>
          </w:p>
        </w:tc>
        <w:tc>
          <w:tcPr>
            <w:tcW w:w="425" w:type="dxa"/>
          </w:tcPr>
          <w:p w14:paraId="45995E59" w14:textId="77777777" w:rsidR="00405DCC" w:rsidRPr="009E35ED" w:rsidRDefault="00405DCC" w:rsidP="00B90388">
            <w:pPr>
              <w:keepNext/>
              <w:keepLines/>
              <w:ind w:left="0"/>
              <w:jc w:val="right"/>
              <w:rPr>
                <w:rFonts w:ascii="Arial Narrow" w:hAnsi="Arial Narrow" w:cs="Arial"/>
                <w:color w:val="000000" w:themeColor="text1"/>
                <w:sz w:val="22"/>
                <w:szCs w:val="22"/>
                <w:lang w:val="en-PH"/>
              </w:rPr>
            </w:pPr>
          </w:p>
        </w:tc>
        <w:tc>
          <w:tcPr>
            <w:tcW w:w="1559" w:type="dxa"/>
            <w:vAlign w:val="bottom"/>
          </w:tcPr>
          <w:p w14:paraId="05D85558" w14:textId="5C56DD55" w:rsidR="00405DCC" w:rsidRPr="009E35ED" w:rsidRDefault="00405DCC" w:rsidP="00B90388">
            <w:pPr>
              <w:keepNext/>
              <w:keepLines/>
              <w:ind w:left="0"/>
              <w:jc w:val="right"/>
              <w:rPr>
                <w:rFonts w:ascii="Arial Narrow" w:hAnsi="Arial Narrow" w:cs="Arial"/>
                <w:color w:val="000000" w:themeColor="text1"/>
                <w:sz w:val="22"/>
                <w:szCs w:val="22"/>
                <w:lang w:val="en-PH"/>
              </w:rPr>
            </w:pPr>
            <w:r w:rsidRPr="009E35ED">
              <w:rPr>
                <w:rFonts w:ascii="Arial Narrow" w:hAnsi="Arial Narrow"/>
                <w:color w:val="000000" w:themeColor="text1"/>
                <w:sz w:val="22"/>
                <w:szCs w:val="22"/>
              </w:rPr>
              <w:t xml:space="preserve"> </w:t>
            </w:r>
            <w:r w:rsidR="00017D82" w:rsidRPr="009E35ED">
              <w:rPr>
                <w:rFonts w:ascii="Arial Narrow" w:hAnsi="Arial Narrow"/>
                <w:color w:val="000000" w:themeColor="text1"/>
                <w:sz w:val="22"/>
                <w:szCs w:val="22"/>
              </w:rPr>
              <w:t>10,124,668,071</w:t>
            </w:r>
            <w:r w:rsidRPr="009E35ED">
              <w:rPr>
                <w:rFonts w:ascii="Arial Narrow" w:hAnsi="Arial Narrow"/>
                <w:color w:val="000000" w:themeColor="text1"/>
                <w:sz w:val="22"/>
                <w:szCs w:val="22"/>
              </w:rPr>
              <w:t xml:space="preserve"> </w:t>
            </w:r>
          </w:p>
        </w:tc>
        <w:tc>
          <w:tcPr>
            <w:tcW w:w="1984" w:type="dxa"/>
            <w:vAlign w:val="bottom"/>
          </w:tcPr>
          <w:p w14:paraId="574ED78D" w14:textId="7D17CA30" w:rsidR="00405DCC" w:rsidRPr="009E35ED" w:rsidRDefault="0044352C" w:rsidP="00B90388">
            <w:pPr>
              <w:keepNext/>
              <w:keepLines/>
              <w:ind w:left="0" w:right="-108"/>
              <w:jc w:val="right"/>
              <w:rPr>
                <w:rFonts w:ascii="Arial Narrow" w:hAnsi="Arial Narrow" w:cs="Arial"/>
                <w:color w:val="000000" w:themeColor="text1"/>
                <w:sz w:val="22"/>
                <w:szCs w:val="22"/>
                <w:lang w:val="en-PH"/>
              </w:rPr>
            </w:pPr>
            <w:r w:rsidRPr="009E35ED">
              <w:rPr>
                <w:rFonts w:ascii="Arial Narrow" w:hAnsi="Arial Narrow"/>
                <w:color w:val="000000" w:themeColor="text1"/>
                <w:sz w:val="22"/>
                <w:szCs w:val="22"/>
              </w:rPr>
              <w:t>8,132,437,8</w:t>
            </w:r>
            <w:r w:rsidR="00E1231C" w:rsidRPr="009E35ED">
              <w:rPr>
                <w:rFonts w:ascii="Arial Narrow" w:hAnsi="Arial Narrow"/>
                <w:color w:val="000000" w:themeColor="text1"/>
                <w:sz w:val="22"/>
                <w:szCs w:val="22"/>
              </w:rPr>
              <w:t>80</w:t>
            </w:r>
          </w:p>
        </w:tc>
      </w:tr>
      <w:tr w:rsidR="00997F75" w:rsidRPr="009E35ED" w14:paraId="33063EC4" w14:textId="77777777" w:rsidTr="00976F4E">
        <w:trPr>
          <w:trHeight w:val="252"/>
        </w:trPr>
        <w:tc>
          <w:tcPr>
            <w:tcW w:w="3690" w:type="dxa"/>
          </w:tcPr>
          <w:p w14:paraId="2CE66E81" w14:textId="77777777" w:rsidR="001B2573" w:rsidRPr="009E35ED" w:rsidRDefault="001B2573" w:rsidP="00B90388">
            <w:pPr>
              <w:keepNext/>
              <w:keepLines/>
              <w:ind w:left="-108"/>
              <w:rPr>
                <w:rFonts w:ascii="Arial Narrow" w:hAnsi="Arial Narrow" w:cs="Arial"/>
                <w:color w:val="000000" w:themeColor="text1"/>
                <w:sz w:val="22"/>
                <w:szCs w:val="22"/>
              </w:rPr>
            </w:pPr>
            <w:r w:rsidRPr="009E35ED">
              <w:rPr>
                <w:rFonts w:ascii="Arial Narrow" w:hAnsi="Arial Narrow" w:cs="Arial"/>
                <w:color w:val="000000" w:themeColor="text1"/>
                <w:sz w:val="22"/>
                <w:szCs w:val="22"/>
              </w:rPr>
              <w:t>Inter-agency payables *</w:t>
            </w:r>
          </w:p>
        </w:tc>
        <w:tc>
          <w:tcPr>
            <w:tcW w:w="993" w:type="dxa"/>
          </w:tcPr>
          <w:p w14:paraId="1F2A0589" w14:textId="77777777" w:rsidR="001B2573" w:rsidRPr="009E35ED" w:rsidRDefault="001B2573" w:rsidP="00B90388">
            <w:pPr>
              <w:keepNext/>
              <w:keepLines/>
              <w:ind w:left="0"/>
              <w:jc w:val="center"/>
              <w:rPr>
                <w:rFonts w:ascii="Arial Narrow" w:hAnsi="Arial Narrow" w:cs="Arial"/>
                <w:color w:val="000000" w:themeColor="text1"/>
                <w:sz w:val="22"/>
                <w:szCs w:val="22"/>
              </w:rPr>
            </w:pPr>
            <w:r w:rsidRPr="009E35ED">
              <w:rPr>
                <w:rFonts w:ascii="Arial Narrow" w:hAnsi="Arial Narrow" w:cs="Arial"/>
                <w:color w:val="000000" w:themeColor="text1"/>
                <w:sz w:val="22"/>
                <w:szCs w:val="22"/>
              </w:rPr>
              <w:t>17</w:t>
            </w:r>
          </w:p>
        </w:tc>
        <w:tc>
          <w:tcPr>
            <w:tcW w:w="425" w:type="dxa"/>
          </w:tcPr>
          <w:p w14:paraId="694EABA3" w14:textId="77777777" w:rsidR="001B2573" w:rsidRPr="009E35ED" w:rsidRDefault="001B2573" w:rsidP="00B90388">
            <w:pPr>
              <w:keepNext/>
              <w:keepLines/>
              <w:ind w:left="0"/>
              <w:jc w:val="right"/>
              <w:rPr>
                <w:rFonts w:ascii="Arial Narrow" w:hAnsi="Arial Narrow" w:cs="Arial"/>
                <w:color w:val="000000" w:themeColor="text1"/>
                <w:sz w:val="22"/>
                <w:szCs w:val="22"/>
                <w:lang w:val="en-PH"/>
              </w:rPr>
            </w:pPr>
          </w:p>
        </w:tc>
        <w:tc>
          <w:tcPr>
            <w:tcW w:w="1559" w:type="dxa"/>
          </w:tcPr>
          <w:p w14:paraId="2A2314DD" w14:textId="14D53805" w:rsidR="001B2573" w:rsidRPr="009E35ED" w:rsidRDefault="001B2573" w:rsidP="00B90388">
            <w:pPr>
              <w:keepNext/>
              <w:keepLines/>
              <w:ind w:left="0"/>
              <w:jc w:val="right"/>
              <w:rPr>
                <w:rFonts w:ascii="Arial Narrow" w:hAnsi="Arial Narrow" w:cs="Arial"/>
                <w:color w:val="000000" w:themeColor="text1"/>
                <w:sz w:val="22"/>
                <w:szCs w:val="22"/>
                <w:lang w:val="en-PH"/>
              </w:rPr>
            </w:pPr>
            <w:r w:rsidRPr="009E35ED">
              <w:rPr>
                <w:rFonts w:ascii="Arial Narrow" w:hAnsi="Arial Narrow"/>
                <w:b/>
                <w:bCs/>
                <w:color w:val="000000" w:themeColor="text1"/>
                <w:sz w:val="22"/>
                <w:szCs w:val="22"/>
              </w:rPr>
              <w:t xml:space="preserve"> </w:t>
            </w:r>
            <w:r w:rsidR="00662FA0" w:rsidRPr="009E35ED">
              <w:rPr>
                <w:rFonts w:ascii="Arial Narrow" w:hAnsi="Arial Narrow"/>
                <w:b/>
                <w:bCs/>
                <w:color w:val="000000" w:themeColor="text1"/>
                <w:sz w:val="22"/>
                <w:szCs w:val="22"/>
              </w:rPr>
              <w:t xml:space="preserve"> 1</w:t>
            </w:r>
            <w:r w:rsidR="00924230" w:rsidRPr="009E35ED">
              <w:rPr>
                <w:rFonts w:ascii="Arial Narrow" w:hAnsi="Arial Narrow"/>
                <w:b/>
                <w:bCs/>
                <w:color w:val="000000" w:themeColor="text1"/>
                <w:sz w:val="22"/>
                <w:szCs w:val="22"/>
              </w:rPr>
              <w:t>23,513,364</w:t>
            </w:r>
          </w:p>
        </w:tc>
        <w:tc>
          <w:tcPr>
            <w:tcW w:w="1984" w:type="dxa"/>
          </w:tcPr>
          <w:p w14:paraId="1EE42FB0" w14:textId="0FF683B4" w:rsidR="001B2573" w:rsidRPr="009E35ED" w:rsidRDefault="001B2573" w:rsidP="00B90388">
            <w:pPr>
              <w:keepNext/>
              <w:keepLines/>
              <w:ind w:left="0" w:right="-108"/>
              <w:jc w:val="right"/>
              <w:rPr>
                <w:rFonts w:ascii="Arial Narrow" w:hAnsi="Arial Narrow" w:cs="Arial"/>
                <w:color w:val="000000" w:themeColor="text1"/>
                <w:sz w:val="22"/>
                <w:szCs w:val="22"/>
                <w:lang w:val="en-PH"/>
              </w:rPr>
            </w:pPr>
            <w:r w:rsidRPr="009E35ED">
              <w:rPr>
                <w:rFonts w:ascii="Arial Narrow" w:hAnsi="Arial Narrow"/>
                <w:b/>
                <w:bCs/>
                <w:color w:val="000000" w:themeColor="text1"/>
                <w:sz w:val="22"/>
                <w:szCs w:val="22"/>
              </w:rPr>
              <w:t xml:space="preserve"> </w:t>
            </w:r>
            <w:r w:rsidR="009C5E1B" w:rsidRPr="009E35ED">
              <w:rPr>
                <w:rFonts w:ascii="Arial Narrow" w:hAnsi="Arial Narrow"/>
                <w:b/>
                <w:bCs/>
                <w:color w:val="000000" w:themeColor="text1"/>
                <w:sz w:val="22"/>
                <w:szCs w:val="22"/>
              </w:rPr>
              <w:t xml:space="preserve"> </w:t>
            </w:r>
            <w:r w:rsidR="00934D99" w:rsidRPr="009E35ED">
              <w:rPr>
                <w:rFonts w:ascii="Arial Narrow" w:hAnsi="Arial Narrow"/>
                <w:b/>
                <w:bCs/>
                <w:color w:val="000000" w:themeColor="text1"/>
                <w:sz w:val="22"/>
                <w:szCs w:val="22"/>
              </w:rPr>
              <w:t>1,099,017,381</w:t>
            </w:r>
          </w:p>
        </w:tc>
      </w:tr>
      <w:tr w:rsidR="00997F75" w:rsidRPr="009E35ED" w14:paraId="0E224DBC" w14:textId="77777777" w:rsidTr="00976F4E">
        <w:trPr>
          <w:trHeight w:val="266"/>
        </w:trPr>
        <w:tc>
          <w:tcPr>
            <w:tcW w:w="3690" w:type="dxa"/>
          </w:tcPr>
          <w:p w14:paraId="11A2B827" w14:textId="77777777" w:rsidR="003C3C22" w:rsidRPr="009E35ED" w:rsidRDefault="003C3C22" w:rsidP="00B90388">
            <w:pPr>
              <w:keepNext/>
              <w:keepLines/>
              <w:ind w:left="-108"/>
              <w:rPr>
                <w:rFonts w:ascii="Arial Narrow" w:hAnsi="Arial Narrow" w:cs="Arial"/>
                <w:color w:val="000000" w:themeColor="text1"/>
                <w:sz w:val="22"/>
                <w:szCs w:val="22"/>
              </w:rPr>
            </w:pPr>
            <w:r w:rsidRPr="009E35ED">
              <w:rPr>
                <w:rFonts w:ascii="Arial Narrow" w:hAnsi="Arial Narrow" w:cs="Arial"/>
                <w:color w:val="000000" w:themeColor="text1"/>
                <w:sz w:val="22"/>
                <w:szCs w:val="22"/>
              </w:rPr>
              <w:t>Trust liabilities</w:t>
            </w:r>
          </w:p>
        </w:tc>
        <w:tc>
          <w:tcPr>
            <w:tcW w:w="993" w:type="dxa"/>
          </w:tcPr>
          <w:p w14:paraId="2A7F6691" w14:textId="77777777" w:rsidR="003C3C22" w:rsidRPr="009E35ED" w:rsidRDefault="003C3C22" w:rsidP="00B90388">
            <w:pPr>
              <w:keepNext/>
              <w:keepLines/>
              <w:ind w:left="0"/>
              <w:jc w:val="center"/>
              <w:rPr>
                <w:rFonts w:ascii="Arial Narrow" w:hAnsi="Arial Narrow" w:cs="Arial"/>
                <w:color w:val="000000" w:themeColor="text1"/>
                <w:sz w:val="22"/>
                <w:szCs w:val="22"/>
              </w:rPr>
            </w:pPr>
            <w:r w:rsidRPr="009E35ED">
              <w:rPr>
                <w:rFonts w:ascii="Arial Narrow" w:hAnsi="Arial Narrow" w:cs="Arial"/>
                <w:color w:val="000000" w:themeColor="text1"/>
                <w:sz w:val="22"/>
                <w:szCs w:val="22"/>
              </w:rPr>
              <w:t>21</w:t>
            </w:r>
          </w:p>
        </w:tc>
        <w:tc>
          <w:tcPr>
            <w:tcW w:w="425" w:type="dxa"/>
          </w:tcPr>
          <w:p w14:paraId="136926B5" w14:textId="77777777" w:rsidR="003C3C22" w:rsidRPr="009E35ED" w:rsidRDefault="003C3C22" w:rsidP="00B90388">
            <w:pPr>
              <w:keepNext/>
              <w:keepLines/>
              <w:ind w:left="0"/>
              <w:jc w:val="right"/>
              <w:rPr>
                <w:rFonts w:ascii="Arial Narrow" w:hAnsi="Arial Narrow" w:cs="Arial"/>
                <w:color w:val="000000" w:themeColor="text1"/>
                <w:sz w:val="22"/>
                <w:szCs w:val="22"/>
                <w:lang w:val="en-PH"/>
              </w:rPr>
            </w:pPr>
          </w:p>
        </w:tc>
        <w:tc>
          <w:tcPr>
            <w:tcW w:w="1559" w:type="dxa"/>
            <w:shd w:val="clear" w:color="auto" w:fill="auto"/>
            <w:vAlign w:val="bottom"/>
          </w:tcPr>
          <w:p w14:paraId="748E9D91" w14:textId="537B5B17" w:rsidR="003C3C22" w:rsidRPr="009E35ED" w:rsidRDefault="00261BDE" w:rsidP="00B90388">
            <w:pPr>
              <w:keepNext/>
              <w:keepLines/>
              <w:ind w:left="0"/>
              <w:jc w:val="right"/>
              <w:rPr>
                <w:rFonts w:ascii="Arial Narrow" w:hAnsi="Arial Narrow" w:cs="Arial"/>
                <w:color w:val="000000" w:themeColor="text1"/>
                <w:sz w:val="22"/>
                <w:szCs w:val="22"/>
                <w:lang w:val="en-PH"/>
              </w:rPr>
            </w:pPr>
            <w:r w:rsidRPr="009E35ED">
              <w:rPr>
                <w:rFonts w:ascii="Arial Narrow" w:hAnsi="Arial Narrow" w:cs="Arial"/>
                <w:color w:val="000000" w:themeColor="text1"/>
                <w:sz w:val="22"/>
                <w:szCs w:val="22"/>
                <w:lang w:val="en-PH"/>
              </w:rPr>
              <w:t>8,377,024,573</w:t>
            </w:r>
          </w:p>
        </w:tc>
        <w:tc>
          <w:tcPr>
            <w:tcW w:w="1984" w:type="dxa"/>
            <w:vAlign w:val="bottom"/>
          </w:tcPr>
          <w:p w14:paraId="1E3FBC2A" w14:textId="35024C96" w:rsidR="003C3C22" w:rsidRPr="009E35ED" w:rsidRDefault="003C3C22" w:rsidP="00B90388">
            <w:pPr>
              <w:keepNext/>
              <w:keepLines/>
              <w:ind w:left="0" w:right="-108"/>
              <w:jc w:val="right"/>
              <w:rPr>
                <w:rFonts w:ascii="Arial Narrow" w:hAnsi="Arial Narrow" w:cs="Arial"/>
                <w:color w:val="000000" w:themeColor="text1"/>
                <w:sz w:val="22"/>
                <w:szCs w:val="22"/>
                <w:lang w:val="en-PH"/>
              </w:rPr>
            </w:pPr>
            <w:r w:rsidRPr="009E35ED">
              <w:rPr>
                <w:rFonts w:ascii="Arial Narrow" w:hAnsi="Arial Narrow" w:cs="Arial"/>
                <w:color w:val="000000" w:themeColor="text1"/>
                <w:sz w:val="22"/>
                <w:szCs w:val="22"/>
                <w:lang w:val="en-PH"/>
              </w:rPr>
              <w:t>7,422,801,481</w:t>
            </w:r>
          </w:p>
        </w:tc>
      </w:tr>
      <w:tr w:rsidR="00997F75" w:rsidRPr="009E35ED" w14:paraId="79BFA94E" w14:textId="77777777" w:rsidTr="00976F4E">
        <w:trPr>
          <w:trHeight w:val="252"/>
        </w:trPr>
        <w:tc>
          <w:tcPr>
            <w:tcW w:w="3690" w:type="dxa"/>
            <w:tcBorders>
              <w:top w:val="single" w:sz="4" w:space="0" w:color="auto"/>
              <w:bottom w:val="double" w:sz="4" w:space="0" w:color="auto"/>
            </w:tcBorders>
          </w:tcPr>
          <w:p w14:paraId="550CDACB" w14:textId="77777777" w:rsidR="00520FCF" w:rsidRPr="009E35ED" w:rsidRDefault="00520FCF" w:rsidP="00B90388">
            <w:pPr>
              <w:keepNext/>
              <w:keepLines/>
              <w:ind w:left="-108"/>
              <w:rPr>
                <w:rFonts w:ascii="Arial Narrow" w:hAnsi="Arial Narrow" w:cs="Arial"/>
                <w:b/>
                <w:bCs/>
                <w:color w:val="000000" w:themeColor="text1"/>
                <w:sz w:val="22"/>
                <w:szCs w:val="22"/>
              </w:rPr>
            </w:pPr>
            <w:r w:rsidRPr="009E35ED">
              <w:rPr>
                <w:rFonts w:ascii="Arial Narrow" w:hAnsi="Arial Narrow" w:cs="Arial"/>
                <w:b/>
                <w:bCs/>
                <w:color w:val="000000" w:themeColor="text1"/>
                <w:sz w:val="22"/>
                <w:szCs w:val="22"/>
              </w:rPr>
              <w:t>Total</w:t>
            </w:r>
          </w:p>
        </w:tc>
        <w:tc>
          <w:tcPr>
            <w:tcW w:w="993" w:type="dxa"/>
            <w:tcBorders>
              <w:top w:val="single" w:sz="4" w:space="0" w:color="auto"/>
              <w:bottom w:val="double" w:sz="4" w:space="0" w:color="auto"/>
            </w:tcBorders>
          </w:tcPr>
          <w:p w14:paraId="6932921C" w14:textId="77777777" w:rsidR="00520FCF" w:rsidRPr="009E35ED" w:rsidRDefault="00520FCF" w:rsidP="00B90388">
            <w:pPr>
              <w:keepNext/>
              <w:keepLines/>
              <w:ind w:left="0"/>
              <w:jc w:val="center"/>
              <w:rPr>
                <w:rFonts w:ascii="Arial Narrow" w:hAnsi="Arial Narrow" w:cs="Arial"/>
                <w:b/>
                <w:bCs/>
                <w:color w:val="000000" w:themeColor="text1"/>
                <w:sz w:val="22"/>
                <w:szCs w:val="22"/>
              </w:rPr>
            </w:pPr>
            <w:r w:rsidRPr="009E35ED">
              <w:rPr>
                <w:rFonts w:ascii="Arial Narrow" w:hAnsi="Arial Narrow" w:cs="Arial"/>
                <w:b/>
                <w:bCs/>
                <w:color w:val="000000" w:themeColor="text1"/>
                <w:sz w:val="22"/>
                <w:szCs w:val="22"/>
              </w:rPr>
              <w:t> </w:t>
            </w:r>
          </w:p>
        </w:tc>
        <w:tc>
          <w:tcPr>
            <w:tcW w:w="425" w:type="dxa"/>
            <w:tcBorders>
              <w:top w:val="single" w:sz="4" w:space="0" w:color="auto"/>
              <w:bottom w:val="double" w:sz="4" w:space="0" w:color="auto"/>
            </w:tcBorders>
          </w:tcPr>
          <w:p w14:paraId="5E0C837C" w14:textId="77777777" w:rsidR="00520FCF" w:rsidRPr="009E35ED" w:rsidRDefault="00520FCF" w:rsidP="00B90388">
            <w:pPr>
              <w:keepNext/>
              <w:keepLines/>
              <w:jc w:val="right"/>
              <w:rPr>
                <w:rFonts w:ascii="Arial Narrow" w:hAnsi="Arial Narrow" w:cs="Calibri"/>
                <w:b/>
                <w:bCs/>
                <w:color w:val="000000" w:themeColor="text1"/>
                <w:sz w:val="22"/>
                <w:szCs w:val="22"/>
              </w:rPr>
            </w:pPr>
          </w:p>
        </w:tc>
        <w:tc>
          <w:tcPr>
            <w:tcW w:w="1559" w:type="dxa"/>
            <w:tcBorders>
              <w:top w:val="single" w:sz="4" w:space="0" w:color="auto"/>
              <w:bottom w:val="double" w:sz="4" w:space="0" w:color="auto"/>
            </w:tcBorders>
          </w:tcPr>
          <w:p w14:paraId="541C1962" w14:textId="1091AFF2" w:rsidR="00520FCF" w:rsidRPr="009E35ED" w:rsidRDefault="0044352C" w:rsidP="00B90388">
            <w:pPr>
              <w:keepNext/>
              <w:keepLines/>
              <w:ind w:left="32"/>
              <w:jc w:val="right"/>
              <w:rPr>
                <w:rFonts w:ascii="Arial Narrow" w:hAnsi="Arial Narrow" w:cs="Calibri"/>
                <w:b/>
                <w:bCs/>
                <w:color w:val="000000" w:themeColor="text1"/>
                <w:sz w:val="22"/>
                <w:szCs w:val="22"/>
              </w:rPr>
            </w:pPr>
            <w:r w:rsidRPr="009E35ED">
              <w:rPr>
                <w:rFonts w:ascii="Arial Narrow" w:hAnsi="Arial Narrow"/>
                <w:b/>
                <w:bCs/>
                <w:color w:val="000000" w:themeColor="text1"/>
                <w:sz w:val="22"/>
                <w:szCs w:val="22"/>
              </w:rPr>
              <w:t>18,</w:t>
            </w:r>
            <w:r w:rsidR="00934D99" w:rsidRPr="009E35ED">
              <w:rPr>
                <w:rFonts w:ascii="Arial Narrow" w:hAnsi="Arial Narrow"/>
                <w:b/>
                <w:bCs/>
                <w:color w:val="000000" w:themeColor="text1"/>
                <w:sz w:val="22"/>
                <w:szCs w:val="22"/>
              </w:rPr>
              <w:t>625,206</w:t>
            </w:r>
            <w:r w:rsidR="00520FCF" w:rsidRPr="009E35ED">
              <w:rPr>
                <w:rFonts w:ascii="Arial Narrow" w:hAnsi="Arial Narrow"/>
                <w:b/>
                <w:bCs/>
                <w:color w:val="000000" w:themeColor="text1"/>
                <w:sz w:val="22"/>
                <w:szCs w:val="22"/>
              </w:rPr>
              <w:t>,</w:t>
            </w:r>
            <w:r w:rsidR="00934D99" w:rsidRPr="009E35ED">
              <w:rPr>
                <w:rFonts w:ascii="Arial Narrow" w:hAnsi="Arial Narrow"/>
                <w:b/>
                <w:bCs/>
                <w:color w:val="000000" w:themeColor="text1"/>
                <w:sz w:val="22"/>
                <w:szCs w:val="22"/>
              </w:rPr>
              <w:t>008</w:t>
            </w:r>
          </w:p>
        </w:tc>
        <w:tc>
          <w:tcPr>
            <w:tcW w:w="1984" w:type="dxa"/>
            <w:tcBorders>
              <w:top w:val="single" w:sz="4" w:space="0" w:color="auto"/>
              <w:bottom w:val="double" w:sz="4" w:space="0" w:color="auto"/>
            </w:tcBorders>
          </w:tcPr>
          <w:p w14:paraId="55069CF1" w14:textId="6B3B12CF" w:rsidR="00520FCF" w:rsidRPr="009E35ED" w:rsidRDefault="00520FCF" w:rsidP="00B90388">
            <w:pPr>
              <w:keepNext/>
              <w:keepLines/>
              <w:ind w:right="-105"/>
              <w:jc w:val="right"/>
              <w:rPr>
                <w:rFonts w:ascii="Arial Narrow" w:hAnsi="Arial Narrow" w:cs="Calibri"/>
                <w:b/>
                <w:bCs/>
                <w:color w:val="000000" w:themeColor="text1"/>
                <w:sz w:val="22"/>
                <w:szCs w:val="22"/>
              </w:rPr>
            </w:pPr>
            <w:r w:rsidRPr="009E35ED">
              <w:rPr>
                <w:rFonts w:ascii="Arial Narrow" w:hAnsi="Arial Narrow"/>
                <w:b/>
                <w:bCs/>
                <w:color w:val="000000" w:themeColor="text1"/>
                <w:sz w:val="22"/>
                <w:szCs w:val="22"/>
              </w:rPr>
              <w:t>16,</w:t>
            </w:r>
            <w:r w:rsidR="00934D99" w:rsidRPr="009E35ED">
              <w:rPr>
                <w:rFonts w:ascii="Arial Narrow" w:hAnsi="Arial Narrow"/>
                <w:b/>
                <w:bCs/>
                <w:color w:val="000000" w:themeColor="text1"/>
                <w:sz w:val="22"/>
                <w:szCs w:val="22"/>
              </w:rPr>
              <w:t>654</w:t>
            </w:r>
            <w:r w:rsidR="0044352C" w:rsidRPr="009E35ED">
              <w:rPr>
                <w:rFonts w:ascii="Arial Narrow" w:hAnsi="Arial Narrow"/>
                <w:b/>
                <w:bCs/>
                <w:color w:val="000000" w:themeColor="text1"/>
                <w:sz w:val="22"/>
                <w:szCs w:val="22"/>
              </w:rPr>
              <w:t>,</w:t>
            </w:r>
            <w:r w:rsidR="00934D99" w:rsidRPr="009E35ED">
              <w:rPr>
                <w:rFonts w:ascii="Arial Narrow" w:hAnsi="Arial Narrow"/>
                <w:b/>
                <w:bCs/>
                <w:color w:val="000000" w:themeColor="text1"/>
                <w:sz w:val="22"/>
                <w:szCs w:val="22"/>
              </w:rPr>
              <w:t>256</w:t>
            </w:r>
            <w:r w:rsidR="0044352C" w:rsidRPr="009E35ED">
              <w:rPr>
                <w:rFonts w:ascii="Arial Narrow" w:hAnsi="Arial Narrow"/>
                <w:b/>
                <w:bCs/>
                <w:color w:val="000000" w:themeColor="text1"/>
                <w:sz w:val="22"/>
                <w:szCs w:val="22"/>
              </w:rPr>
              <w:t>,</w:t>
            </w:r>
            <w:r w:rsidR="00934D99" w:rsidRPr="009E35ED">
              <w:rPr>
                <w:rFonts w:ascii="Arial Narrow" w:hAnsi="Arial Narrow"/>
                <w:b/>
                <w:bCs/>
                <w:color w:val="000000" w:themeColor="text1"/>
                <w:sz w:val="22"/>
                <w:szCs w:val="22"/>
              </w:rPr>
              <w:t>74</w:t>
            </w:r>
            <w:r w:rsidR="00E1231C" w:rsidRPr="009E35ED">
              <w:rPr>
                <w:rFonts w:ascii="Arial Narrow" w:hAnsi="Arial Narrow"/>
                <w:b/>
                <w:bCs/>
                <w:color w:val="000000" w:themeColor="text1"/>
                <w:sz w:val="22"/>
                <w:szCs w:val="22"/>
              </w:rPr>
              <w:t>2</w:t>
            </w:r>
          </w:p>
        </w:tc>
      </w:tr>
    </w:tbl>
    <w:p w14:paraId="442D44E2" w14:textId="7FDB76F9" w:rsidR="002122D0" w:rsidRPr="009E35ED" w:rsidRDefault="009F61D0" w:rsidP="00B90388">
      <w:pPr>
        <w:keepNext/>
        <w:keepLines/>
        <w:ind w:left="0"/>
        <w:rPr>
          <w:rFonts w:ascii="Arial" w:hAnsi="Arial" w:cs="Arial"/>
          <w:i/>
          <w:color w:val="000000" w:themeColor="text1"/>
          <w:sz w:val="18"/>
          <w:szCs w:val="18"/>
        </w:rPr>
      </w:pPr>
      <w:r w:rsidRPr="009E35ED">
        <w:rPr>
          <w:rFonts w:ascii="Arial" w:hAnsi="Arial" w:cs="Arial"/>
          <w:i/>
          <w:color w:val="000000" w:themeColor="text1"/>
          <w:sz w:val="18"/>
          <w:szCs w:val="18"/>
        </w:rPr>
        <w:t>* excluding statutory payables amounting to</w:t>
      </w:r>
      <w:r w:rsidR="008F2D82" w:rsidRPr="009E35ED">
        <w:rPr>
          <w:rFonts w:ascii="Arial" w:hAnsi="Arial" w:cs="Arial"/>
          <w:i/>
          <w:color w:val="000000" w:themeColor="text1"/>
          <w:sz w:val="18"/>
          <w:szCs w:val="18"/>
        </w:rPr>
        <w:t xml:space="preserve"> P</w:t>
      </w:r>
      <w:r w:rsidR="008506BF" w:rsidRPr="009E35ED">
        <w:rPr>
          <w:rFonts w:ascii="Arial" w:hAnsi="Arial" w:cs="Arial"/>
          <w:i/>
          <w:color w:val="000000" w:themeColor="text1"/>
          <w:sz w:val="18"/>
          <w:szCs w:val="18"/>
        </w:rPr>
        <w:t>1,176,410</w:t>
      </w:r>
      <w:r w:rsidR="00ED376F" w:rsidRPr="009E35ED">
        <w:rPr>
          <w:rFonts w:ascii="Arial" w:hAnsi="Arial" w:cs="Arial"/>
          <w:i/>
          <w:color w:val="000000" w:themeColor="text1"/>
          <w:sz w:val="18"/>
          <w:szCs w:val="18"/>
        </w:rPr>
        <w:t>,</w:t>
      </w:r>
      <w:r w:rsidR="0044352C" w:rsidRPr="009E35ED">
        <w:rPr>
          <w:rFonts w:ascii="Arial" w:hAnsi="Arial" w:cs="Arial"/>
          <w:i/>
          <w:color w:val="000000" w:themeColor="text1"/>
          <w:sz w:val="18"/>
          <w:szCs w:val="18"/>
        </w:rPr>
        <w:t>22</w:t>
      </w:r>
      <w:r w:rsidR="00934D99" w:rsidRPr="009E35ED">
        <w:rPr>
          <w:rFonts w:ascii="Arial" w:hAnsi="Arial" w:cs="Arial"/>
          <w:i/>
          <w:color w:val="000000" w:themeColor="text1"/>
          <w:sz w:val="18"/>
          <w:szCs w:val="18"/>
        </w:rPr>
        <w:t>4</w:t>
      </w:r>
      <w:r w:rsidR="0012397E" w:rsidRPr="009E35ED">
        <w:rPr>
          <w:rFonts w:ascii="Arial" w:hAnsi="Arial" w:cs="Arial"/>
          <w:i/>
          <w:color w:val="000000" w:themeColor="text1"/>
          <w:sz w:val="18"/>
          <w:szCs w:val="18"/>
        </w:rPr>
        <w:t xml:space="preserve"> </w:t>
      </w:r>
      <w:r w:rsidR="008F2D82" w:rsidRPr="009E35ED">
        <w:rPr>
          <w:rFonts w:ascii="Arial" w:hAnsi="Arial" w:cs="Arial"/>
          <w:i/>
          <w:color w:val="000000" w:themeColor="text1"/>
          <w:sz w:val="18"/>
          <w:szCs w:val="18"/>
        </w:rPr>
        <w:t>and</w:t>
      </w:r>
      <w:r w:rsidRPr="009E35ED">
        <w:rPr>
          <w:rFonts w:ascii="Arial" w:hAnsi="Arial" w:cs="Arial"/>
          <w:i/>
          <w:color w:val="000000" w:themeColor="text1"/>
          <w:sz w:val="18"/>
          <w:szCs w:val="18"/>
        </w:rPr>
        <w:t xml:space="preserve"> </w:t>
      </w:r>
      <w:r w:rsidR="008506BF" w:rsidRPr="009E35ED">
        <w:rPr>
          <w:rFonts w:ascii="Arial" w:hAnsi="Arial" w:cs="Arial"/>
          <w:i/>
          <w:color w:val="000000" w:themeColor="text1"/>
          <w:sz w:val="18"/>
          <w:szCs w:val="18"/>
        </w:rPr>
        <w:t>P</w:t>
      </w:r>
      <w:r w:rsidR="00934D99" w:rsidRPr="009E35ED">
        <w:rPr>
          <w:rFonts w:ascii="Arial" w:hAnsi="Arial" w:cs="Arial"/>
          <w:i/>
          <w:color w:val="000000" w:themeColor="text1"/>
          <w:sz w:val="18"/>
          <w:szCs w:val="18"/>
        </w:rPr>
        <w:t>1,158,350,266</w:t>
      </w:r>
      <w:r w:rsidR="00647BD2" w:rsidRPr="009E35ED">
        <w:rPr>
          <w:rFonts w:ascii="Arial" w:hAnsi="Arial" w:cs="Arial"/>
          <w:i/>
          <w:color w:val="000000" w:themeColor="text1"/>
          <w:sz w:val="18"/>
          <w:szCs w:val="18"/>
        </w:rPr>
        <w:t xml:space="preserve"> as</w:t>
      </w:r>
      <w:r w:rsidRPr="009E35ED">
        <w:rPr>
          <w:rFonts w:ascii="Arial" w:hAnsi="Arial" w:cs="Arial"/>
          <w:i/>
          <w:color w:val="000000" w:themeColor="text1"/>
          <w:sz w:val="18"/>
          <w:szCs w:val="18"/>
        </w:rPr>
        <w:t xml:space="preserve"> of December 31</w:t>
      </w:r>
      <w:r w:rsidR="00BE50B0" w:rsidRPr="009E35ED">
        <w:rPr>
          <w:rFonts w:ascii="Arial" w:hAnsi="Arial" w:cs="Arial"/>
          <w:i/>
          <w:color w:val="000000" w:themeColor="text1"/>
          <w:sz w:val="18"/>
          <w:szCs w:val="18"/>
        </w:rPr>
        <w:t>, 20</w:t>
      </w:r>
      <w:r w:rsidR="00D45499" w:rsidRPr="009E35ED">
        <w:rPr>
          <w:rFonts w:ascii="Arial" w:hAnsi="Arial" w:cs="Arial"/>
          <w:i/>
          <w:color w:val="000000" w:themeColor="text1"/>
          <w:sz w:val="18"/>
          <w:szCs w:val="18"/>
        </w:rPr>
        <w:t>2</w:t>
      </w:r>
      <w:r w:rsidR="0072092B" w:rsidRPr="009E35ED">
        <w:rPr>
          <w:rFonts w:ascii="Arial" w:hAnsi="Arial" w:cs="Arial"/>
          <w:i/>
          <w:color w:val="000000" w:themeColor="text1"/>
          <w:sz w:val="18"/>
          <w:szCs w:val="18"/>
        </w:rPr>
        <w:t>3</w:t>
      </w:r>
      <w:r w:rsidR="00D45499" w:rsidRPr="009E35ED">
        <w:rPr>
          <w:rFonts w:ascii="Arial" w:hAnsi="Arial" w:cs="Arial"/>
          <w:i/>
          <w:color w:val="000000" w:themeColor="text1"/>
          <w:sz w:val="18"/>
          <w:szCs w:val="18"/>
        </w:rPr>
        <w:t xml:space="preserve"> and 202</w:t>
      </w:r>
      <w:r w:rsidR="0072092B" w:rsidRPr="009E35ED">
        <w:rPr>
          <w:rFonts w:ascii="Arial" w:hAnsi="Arial" w:cs="Arial"/>
          <w:i/>
          <w:color w:val="000000" w:themeColor="text1"/>
          <w:sz w:val="18"/>
          <w:szCs w:val="18"/>
        </w:rPr>
        <w:t>2</w:t>
      </w:r>
      <w:r w:rsidRPr="009E35ED">
        <w:rPr>
          <w:rFonts w:ascii="Arial" w:hAnsi="Arial" w:cs="Arial"/>
          <w:i/>
          <w:color w:val="000000" w:themeColor="text1"/>
          <w:sz w:val="18"/>
          <w:szCs w:val="18"/>
        </w:rPr>
        <w:t>, respectively</w:t>
      </w:r>
      <w:r w:rsidR="00AA29C9" w:rsidRPr="009E35ED">
        <w:rPr>
          <w:rFonts w:ascii="Arial" w:hAnsi="Arial" w:cs="Arial"/>
          <w:i/>
          <w:color w:val="000000" w:themeColor="text1"/>
          <w:sz w:val="18"/>
          <w:szCs w:val="18"/>
        </w:rPr>
        <w:t>.</w:t>
      </w:r>
    </w:p>
    <w:p w14:paraId="18EF6997" w14:textId="77777777" w:rsidR="00A55A89" w:rsidRDefault="00A55A89" w:rsidP="00B90388">
      <w:pPr>
        <w:pStyle w:val="ListParagraph"/>
        <w:rPr>
          <w:rFonts w:ascii="Arial" w:hAnsi="Arial" w:cs="Arial"/>
          <w:b/>
          <w:color w:val="000000" w:themeColor="text1"/>
          <w:sz w:val="22"/>
          <w:szCs w:val="22"/>
        </w:rPr>
      </w:pPr>
    </w:p>
    <w:p w14:paraId="4E8D2C71" w14:textId="3482CC96" w:rsidR="0071705B" w:rsidRPr="009E35ED" w:rsidRDefault="0071705B" w:rsidP="001C371F">
      <w:pPr>
        <w:pStyle w:val="ListParagraph"/>
        <w:numPr>
          <w:ilvl w:val="0"/>
          <w:numId w:val="9"/>
        </w:numPr>
        <w:ind w:hanging="720"/>
        <w:rPr>
          <w:rFonts w:ascii="Arial" w:hAnsi="Arial" w:cs="Arial"/>
          <w:b/>
          <w:color w:val="000000" w:themeColor="text1"/>
          <w:sz w:val="22"/>
          <w:szCs w:val="22"/>
        </w:rPr>
      </w:pPr>
      <w:r w:rsidRPr="009E35ED">
        <w:rPr>
          <w:rFonts w:ascii="Arial" w:hAnsi="Arial" w:cs="Arial"/>
          <w:b/>
          <w:color w:val="000000" w:themeColor="text1"/>
          <w:sz w:val="22"/>
          <w:szCs w:val="22"/>
        </w:rPr>
        <w:t>Credit Risk</w:t>
      </w:r>
    </w:p>
    <w:p w14:paraId="18EECF62" w14:textId="77777777" w:rsidR="0071705B" w:rsidRPr="009E35ED" w:rsidRDefault="0071705B" w:rsidP="00803F8C">
      <w:pPr>
        <w:ind w:left="0"/>
        <w:rPr>
          <w:rFonts w:ascii="Arial" w:hAnsi="Arial" w:cs="Arial"/>
          <w:color w:val="000000" w:themeColor="text1"/>
          <w:sz w:val="22"/>
          <w:szCs w:val="22"/>
        </w:rPr>
      </w:pPr>
    </w:p>
    <w:p w14:paraId="1C969E66" w14:textId="77777777" w:rsidR="00572AF6" w:rsidRPr="009E35ED" w:rsidRDefault="0071705B" w:rsidP="002057AB">
      <w:pPr>
        <w:ind w:left="540" w:hanging="540"/>
        <w:rPr>
          <w:rFonts w:ascii="Arial" w:hAnsi="Arial" w:cs="Arial"/>
          <w:b/>
          <w:color w:val="000000" w:themeColor="text1"/>
          <w:sz w:val="22"/>
          <w:szCs w:val="22"/>
        </w:rPr>
      </w:pPr>
      <w:r w:rsidRPr="009E35ED">
        <w:rPr>
          <w:rFonts w:ascii="Arial" w:hAnsi="Arial" w:cs="Arial"/>
          <w:color w:val="000000" w:themeColor="text1"/>
          <w:sz w:val="22"/>
          <w:szCs w:val="22"/>
        </w:rPr>
        <w:t>a.</w:t>
      </w:r>
      <w:r w:rsidRPr="009E35ED">
        <w:rPr>
          <w:rFonts w:ascii="Arial" w:hAnsi="Arial" w:cs="Arial"/>
          <w:b/>
          <w:color w:val="000000" w:themeColor="text1"/>
          <w:sz w:val="22"/>
          <w:szCs w:val="22"/>
        </w:rPr>
        <w:tab/>
      </w:r>
      <w:r w:rsidRPr="009E35ED">
        <w:rPr>
          <w:rFonts w:ascii="Arial" w:hAnsi="Arial" w:cs="Arial"/>
          <w:color w:val="000000" w:themeColor="text1"/>
          <w:sz w:val="22"/>
          <w:szCs w:val="22"/>
        </w:rPr>
        <w:t>Credit Risk Exposure</w:t>
      </w:r>
    </w:p>
    <w:p w14:paraId="59476095" w14:textId="77777777" w:rsidR="0071705B" w:rsidRPr="009E35ED" w:rsidRDefault="0071705B" w:rsidP="00803F8C">
      <w:pPr>
        <w:ind w:left="0"/>
        <w:rPr>
          <w:rFonts w:ascii="Arial" w:hAnsi="Arial" w:cs="Arial"/>
          <w:color w:val="000000" w:themeColor="text1"/>
          <w:sz w:val="22"/>
          <w:szCs w:val="22"/>
        </w:rPr>
      </w:pPr>
    </w:p>
    <w:p w14:paraId="22511071" w14:textId="5656B944" w:rsidR="0071705B" w:rsidRPr="009E35ED" w:rsidRDefault="0071705B" w:rsidP="00803F8C">
      <w:pPr>
        <w:ind w:left="0"/>
        <w:rPr>
          <w:rFonts w:ascii="Arial" w:hAnsi="Arial" w:cs="Arial"/>
          <w:color w:val="000000" w:themeColor="text1"/>
          <w:sz w:val="22"/>
          <w:szCs w:val="22"/>
        </w:rPr>
      </w:pPr>
      <w:r w:rsidRPr="009E35ED">
        <w:rPr>
          <w:rFonts w:ascii="Arial" w:hAnsi="Arial" w:cs="Arial"/>
          <w:color w:val="000000" w:themeColor="text1"/>
          <w:sz w:val="22"/>
          <w:szCs w:val="22"/>
        </w:rPr>
        <w:t xml:space="preserve">Credit risk refers to the risk that the client will default on its contractual obligation resulting in financial loss to the </w:t>
      </w:r>
      <w:r w:rsidR="0051373D" w:rsidRPr="009E35ED">
        <w:rPr>
          <w:rFonts w:ascii="Arial" w:hAnsi="Arial" w:cs="Arial"/>
          <w:color w:val="000000" w:themeColor="text1"/>
          <w:sz w:val="22"/>
          <w:szCs w:val="22"/>
        </w:rPr>
        <w:t>Agency</w:t>
      </w:r>
      <w:r w:rsidRPr="009E35ED">
        <w:rPr>
          <w:rFonts w:ascii="Arial" w:hAnsi="Arial" w:cs="Arial"/>
          <w:color w:val="000000" w:themeColor="text1"/>
          <w:sz w:val="22"/>
          <w:szCs w:val="22"/>
        </w:rPr>
        <w:t xml:space="preserve">.  </w:t>
      </w:r>
      <w:r w:rsidR="00A9476E">
        <w:rPr>
          <w:rFonts w:ascii="Arial" w:hAnsi="Arial" w:cs="Arial"/>
          <w:color w:val="000000" w:themeColor="text1"/>
          <w:sz w:val="22"/>
          <w:szCs w:val="22"/>
        </w:rPr>
        <w:t xml:space="preserve">The </w:t>
      </w:r>
      <w:r w:rsidRPr="009E35ED">
        <w:rPr>
          <w:rFonts w:ascii="Arial" w:hAnsi="Arial" w:cs="Arial"/>
          <w:color w:val="000000" w:themeColor="text1"/>
          <w:sz w:val="22"/>
          <w:szCs w:val="22"/>
        </w:rPr>
        <w:t>PCSO has adopted a policy of dealing only with creditworthy clients and obtaining sufficient collateral, where appropriate, as a means of mitigating the risk of financial loss from defaults.</w:t>
      </w:r>
    </w:p>
    <w:p w14:paraId="1AF09080" w14:textId="77777777" w:rsidR="0071705B" w:rsidRPr="009E35ED" w:rsidRDefault="0071705B" w:rsidP="00803F8C">
      <w:pPr>
        <w:ind w:left="0"/>
        <w:rPr>
          <w:rFonts w:ascii="Arial" w:hAnsi="Arial" w:cs="Arial"/>
          <w:b/>
          <w:color w:val="000000" w:themeColor="text1"/>
          <w:sz w:val="22"/>
          <w:szCs w:val="22"/>
        </w:rPr>
      </w:pPr>
    </w:p>
    <w:p w14:paraId="19E442FD" w14:textId="4E1C4A60" w:rsidR="0071705B" w:rsidRPr="009E35ED" w:rsidRDefault="0071705B" w:rsidP="00803F8C">
      <w:pPr>
        <w:ind w:left="0"/>
        <w:rPr>
          <w:rFonts w:ascii="Arial" w:hAnsi="Arial" w:cs="Arial"/>
          <w:color w:val="000000" w:themeColor="text1"/>
          <w:sz w:val="22"/>
          <w:szCs w:val="22"/>
        </w:rPr>
      </w:pPr>
      <w:r w:rsidRPr="009E35ED">
        <w:rPr>
          <w:rFonts w:ascii="Arial" w:hAnsi="Arial" w:cs="Arial"/>
          <w:color w:val="000000" w:themeColor="text1"/>
          <w:sz w:val="22"/>
          <w:szCs w:val="22"/>
        </w:rPr>
        <w:t xml:space="preserve">Also, </w:t>
      </w:r>
      <w:r w:rsidR="00A9476E">
        <w:rPr>
          <w:rFonts w:ascii="Arial" w:hAnsi="Arial" w:cs="Arial"/>
          <w:color w:val="000000" w:themeColor="text1"/>
          <w:sz w:val="22"/>
          <w:szCs w:val="22"/>
        </w:rPr>
        <w:t xml:space="preserve">the </w:t>
      </w:r>
      <w:r w:rsidRPr="009E35ED">
        <w:rPr>
          <w:rFonts w:ascii="Arial" w:hAnsi="Arial" w:cs="Arial"/>
          <w:color w:val="000000" w:themeColor="text1"/>
          <w:sz w:val="22"/>
          <w:szCs w:val="22"/>
        </w:rPr>
        <w:t>PCSO manages its credit risk by depositing its cash with high credit quality banking institutions.</w:t>
      </w:r>
    </w:p>
    <w:p w14:paraId="64EA9822" w14:textId="77777777" w:rsidR="0071705B" w:rsidRPr="009E35ED" w:rsidRDefault="0071705B" w:rsidP="00803F8C">
      <w:pPr>
        <w:ind w:left="0"/>
        <w:rPr>
          <w:rFonts w:ascii="Arial" w:hAnsi="Arial" w:cs="Arial"/>
          <w:color w:val="000000" w:themeColor="text1"/>
          <w:sz w:val="22"/>
          <w:szCs w:val="22"/>
        </w:rPr>
      </w:pPr>
    </w:p>
    <w:p w14:paraId="16DB4159" w14:textId="77777777" w:rsidR="00572AF6" w:rsidRPr="009E35ED" w:rsidRDefault="0071705B" w:rsidP="001C371F">
      <w:pPr>
        <w:pStyle w:val="ListParagraph"/>
        <w:numPr>
          <w:ilvl w:val="0"/>
          <w:numId w:val="10"/>
        </w:numPr>
        <w:ind w:left="540" w:hanging="540"/>
        <w:rPr>
          <w:rFonts w:ascii="Arial" w:hAnsi="Arial" w:cs="Arial"/>
          <w:color w:val="000000" w:themeColor="text1"/>
          <w:sz w:val="22"/>
          <w:szCs w:val="22"/>
        </w:rPr>
      </w:pPr>
      <w:r w:rsidRPr="009E35ED">
        <w:rPr>
          <w:rFonts w:ascii="Arial" w:hAnsi="Arial" w:cs="Arial"/>
          <w:color w:val="000000" w:themeColor="text1"/>
          <w:sz w:val="22"/>
          <w:szCs w:val="22"/>
        </w:rPr>
        <w:t>Management of Credit Risk</w:t>
      </w:r>
    </w:p>
    <w:p w14:paraId="7466A382" w14:textId="77777777" w:rsidR="0071705B" w:rsidRPr="009E35ED" w:rsidRDefault="0071705B" w:rsidP="00803F8C">
      <w:pPr>
        <w:ind w:left="0"/>
        <w:rPr>
          <w:rFonts w:ascii="Arial" w:hAnsi="Arial" w:cs="Arial"/>
          <w:color w:val="000000" w:themeColor="text1"/>
          <w:sz w:val="22"/>
          <w:szCs w:val="22"/>
        </w:rPr>
      </w:pPr>
    </w:p>
    <w:p w14:paraId="209BAA90" w14:textId="5CDD6BC0" w:rsidR="0071705B" w:rsidRPr="009E35ED" w:rsidRDefault="0071705B" w:rsidP="00803F8C">
      <w:pPr>
        <w:ind w:left="0"/>
        <w:rPr>
          <w:rFonts w:ascii="Arial" w:hAnsi="Arial" w:cs="Arial"/>
          <w:color w:val="000000" w:themeColor="text1"/>
          <w:sz w:val="22"/>
          <w:szCs w:val="22"/>
          <w:lang w:val="en-GB" w:eastAsia="zh-CN"/>
        </w:rPr>
      </w:pPr>
      <w:r w:rsidRPr="009E35ED">
        <w:rPr>
          <w:rFonts w:ascii="Arial" w:hAnsi="Arial" w:cs="Arial"/>
          <w:color w:val="000000" w:themeColor="text1"/>
          <w:sz w:val="22"/>
          <w:szCs w:val="22"/>
          <w:lang w:val="en-GB" w:eastAsia="zh-CN"/>
        </w:rPr>
        <w:t xml:space="preserve">PCSO Board of Directors has approved guidelines/implementing rules and regulations to manage the credit risk exposure. </w:t>
      </w:r>
      <w:r w:rsidR="00773350">
        <w:rPr>
          <w:rFonts w:ascii="Arial" w:hAnsi="Arial" w:cs="Arial"/>
          <w:color w:val="000000" w:themeColor="text1"/>
          <w:sz w:val="22"/>
          <w:szCs w:val="22"/>
          <w:lang w:val="en-GB" w:eastAsia="zh-CN"/>
        </w:rPr>
        <w:t xml:space="preserve">The </w:t>
      </w:r>
      <w:r w:rsidRPr="009E35ED">
        <w:rPr>
          <w:rFonts w:ascii="Arial" w:hAnsi="Arial" w:cs="Arial"/>
          <w:color w:val="000000" w:themeColor="text1"/>
          <w:sz w:val="22"/>
          <w:szCs w:val="22"/>
          <w:lang w:val="en-GB" w:eastAsia="zh-CN"/>
        </w:rPr>
        <w:t xml:space="preserve">PCSO has adopted the Revised Rules and Regulations (RRR) Governing the Conduct and Operations of the Philippine On-Line Lottery and the RIRR Governing the Conduct and Operations of the STL. The implementing rules and regulations explicitly states the provisions for the Imposition of Penalties and Procedures in case of agents’ default on the remittance of sales. </w:t>
      </w:r>
    </w:p>
    <w:p w14:paraId="0EEB255D" w14:textId="77777777" w:rsidR="0071705B" w:rsidRPr="009E35ED" w:rsidRDefault="0071705B" w:rsidP="00803F8C">
      <w:pPr>
        <w:ind w:left="0"/>
        <w:rPr>
          <w:rFonts w:ascii="Arial" w:hAnsi="Arial" w:cs="Arial"/>
          <w:color w:val="000000" w:themeColor="text1"/>
          <w:sz w:val="22"/>
          <w:szCs w:val="22"/>
          <w:lang w:val="en-GB" w:eastAsia="zh-CN"/>
        </w:rPr>
      </w:pPr>
    </w:p>
    <w:p w14:paraId="6E052C76" w14:textId="15EDF8C1" w:rsidR="0071705B" w:rsidRPr="009E35ED" w:rsidRDefault="0071705B" w:rsidP="00803F8C">
      <w:pPr>
        <w:ind w:left="0"/>
        <w:rPr>
          <w:rFonts w:ascii="Arial" w:hAnsi="Arial" w:cs="Arial"/>
          <w:color w:val="000000" w:themeColor="text1"/>
          <w:sz w:val="22"/>
          <w:szCs w:val="22"/>
          <w:lang w:val="en-GB" w:eastAsia="zh-CN"/>
        </w:rPr>
      </w:pPr>
      <w:r w:rsidRPr="009E35ED">
        <w:rPr>
          <w:rFonts w:ascii="Arial" w:hAnsi="Arial" w:cs="Arial"/>
          <w:color w:val="000000" w:themeColor="text1"/>
          <w:sz w:val="22"/>
          <w:szCs w:val="22"/>
          <w:lang w:val="en-GB" w:eastAsia="zh-CN"/>
        </w:rPr>
        <w:t xml:space="preserve">It also requires imposition of security/cash bonds to Lotto/Keno agents and </w:t>
      </w:r>
      <w:r w:rsidR="00773350">
        <w:rPr>
          <w:rFonts w:ascii="Arial" w:hAnsi="Arial" w:cs="Arial"/>
          <w:color w:val="000000" w:themeColor="text1"/>
          <w:sz w:val="22"/>
          <w:szCs w:val="22"/>
          <w:lang w:val="en-GB" w:eastAsia="zh-CN"/>
        </w:rPr>
        <w:t xml:space="preserve">the </w:t>
      </w:r>
      <w:r w:rsidR="00E1231C" w:rsidRPr="009E35ED">
        <w:rPr>
          <w:rFonts w:ascii="Arial" w:hAnsi="Arial" w:cs="Arial"/>
          <w:color w:val="000000" w:themeColor="text1"/>
          <w:sz w:val="22"/>
          <w:szCs w:val="22"/>
          <w:lang w:val="en-GB" w:eastAsia="zh-CN"/>
        </w:rPr>
        <w:t>AAC</w:t>
      </w:r>
      <w:r w:rsidRPr="009E35ED">
        <w:rPr>
          <w:rFonts w:ascii="Arial" w:hAnsi="Arial" w:cs="Arial"/>
          <w:color w:val="000000" w:themeColor="text1"/>
          <w:sz w:val="22"/>
          <w:szCs w:val="22"/>
          <w:lang w:val="en-GB" w:eastAsia="zh-CN"/>
        </w:rPr>
        <w:t xml:space="preserve"> in order to ensure remedial collection of unremitted sale</w:t>
      </w:r>
      <w:r w:rsidR="00422BC7" w:rsidRPr="009E35ED">
        <w:rPr>
          <w:rFonts w:ascii="Arial" w:hAnsi="Arial" w:cs="Arial"/>
          <w:color w:val="000000" w:themeColor="text1"/>
          <w:sz w:val="22"/>
          <w:szCs w:val="22"/>
          <w:lang w:val="en-GB" w:eastAsia="zh-CN"/>
        </w:rPr>
        <w:t>s.</w:t>
      </w:r>
    </w:p>
    <w:p w14:paraId="5787963D" w14:textId="77777777" w:rsidR="0071705B" w:rsidRPr="009E35ED" w:rsidRDefault="0071705B" w:rsidP="00803F8C">
      <w:pPr>
        <w:ind w:left="0"/>
        <w:rPr>
          <w:rFonts w:ascii="Arial" w:hAnsi="Arial" w:cs="Arial"/>
          <w:color w:val="000000" w:themeColor="text1"/>
          <w:sz w:val="22"/>
          <w:szCs w:val="22"/>
          <w:lang w:val="en-GB" w:eastAsia="zh-CN"/>
        </w:rPr>
      </w:pPr>
    </w:p>
    <w:p w14:paraId="079B873E" w14:textId="397C0B12" w:rsidR="0071705B" w:rsidRPr="009E35ED" w:rsidRDefault="00773350" w:rsidP="00803F8C">
      <w:pPr>
        <w:ind w:left="0"/>
        <w:rPr>
          <w:rFonts w:ascii="Arial" w:hAnsi="Arial" w:cs="Arial"/>
          <w:color w:val="000000" w:themeColor="text1"/>
          <w:sz w:val="22"/>
          <w:szCs w:val="22"/>
          <w:lang w:val="en-GB" w:eastAsia="zh-CN"/>
        </w:rPr>
      </w:pPr>
      <w:r>
        <w:rPr>
          <w:rFonts w:ascii="Arial" w:hAnsi="Arial" w:cs="Arial"/>
          <w:color w:val="000000" w:themeColor="text1"/>
          <w:sz w:val="22"/>
          <w:szCs w:val="22"/>
          <w:lang w:val="en-GB" w:eastAsia="zh-CN"/>
        </w:rPr>
        <w:t xml:space="preserve">The </w:t>
      </w:r>
      <w:r w:rsidR="0071705B" w:rsidRPr="009E35ED">
        <w:rPr>
          <w:rFonts w:ascii="Arial" w:hAnsi="Arial" w:cs="Arial"/>
          <w:color w:val="000000" w:themeColor="text1"/>
          <w:sz w:val="22"/>
          <w:szCs w:val="22"/>
          <w:lang w:val="en-GB" w:eastAsia="zh-CN"/>
        </w:rPr>
        <w:t xml:space="preserve">PCSO will request authority from COA for the write-off of receivable balance (and any related allowances for impairment losses) when it has determined that the receivables are finally uncollectible after exhausting its efforts to collect and legal action. </w:t>
      </w:r>
    </w:p>
    <w:p w14:paraId="5D94BB80" w14:textId="77777777" w:rsidR="005A454A" w:rsidRPr="009E35ED" w:rsidRDefault="005A454A" w:rsidP="00B90388">
      <w:pPr>
        <w:ind w:left="0"/>
        <w:rPr>
          <w:rFonts w:ascii="Arial" w:hAnsi="Arial" w:cs="Arial"/>
          <w:color w:val="000000" w:themeColor="text1"/>
          <w:sz w:val="22"/>
          <w:szCs w:val="22"/>
          <w:lang w:val="en-GB" w:eastAsia="zh-CN"/>
        </w:rPr>
      </w:pPr>
    </w:p>
    <w:p w14:paraId="3AB6F479" w14:textId="77777777" w:rsidR="0071705B" w:rsidRPr="009E35ED" w:rsidRDefault="0071705B" w:rsidP="001C371F">
      <w:pPr>
        <w:pStyle w:val="ListParagraph"/>
        <w:numPr>
          <w:ilvl w:val="0"/>
          <w:numId w:val="9"/>
        </w:numPr>
        <w:ind w:hanging="720"/>
        <w:rPr>
          <w:rFonts w:ascii="Arial" w:hAnsi="Arial" w:cs="Arial"/>
          <w:b/>
          <w:color w:val="000000" w:themeColor="text1"/>
          <w:sz w:val="22"/>
          <w:szCs w:val="22"/>
          <w:lang w:val="en-GB" w:eastAsia="zh-CN"/>
        </w:rPr>
      </w:pPr>
      <w:r w:rsidRPr="009E35ED">
        <w:rPr>
          <w:rFonts w:ascii="Arial" w:hAnsi="Arial" w:cs="Arial"/>
          <w:b/>
          <w:color w:val="000000" w:themeColor="text1"/>
          <w:sz w:val="22"/>
          <w:szCs w:val="22"/>
          <w:lang w:val="en-GB" w:eastAsia="zh-CN"/>
        </w:rPr>
        <w:t>Liquidity Risk</w:t>
      </w:r>
    </w:p>
    <w:p w14:paraId="17CDA618" w14:textId="77777777" w:rsidR="0071705B" w:rsidRPr="009E35ED" w:rsidRDefault="0071705B" w:rsidP="00803F8C">
      <w:pPr>
        <w:ind w:left="0"/>
        <w:rPr>
          <w:rFonts w:ascii="Arial" w:hAnsi="Arial" w:cs="Arial"/>
          <w:b/>
          <w:color w:val="000000" w:themeColor="text1"/>
          <w:sz w:val="22"/>
          <w:szCs w:val="22"/>
          <w:lang w:val="en-GB" w:eastAsia="zh-CN"/>
        </w:rPr>
      </w:pPr>
    </w:p>
    <w:p w14:paraId="47699BEB" w14:textId="4CB8A081" w:rsidR="0071705B" w:rsidRPr="009E35ED" w:rsidRDefault="0071705B" w:rsidP="00803F8C">
      <w:pPr>
        <w:ind w:left="0"/>
        <w:rPr>
          <w:rFonts w:ascii="Arial" w:hAnsi="Arial" w:cs="Arial"/>
          <w:color w:val="000000" w:themeColor="text1"/>
          <w:sz w:val="22"/>
          <w:szCs w:val="22"/>
          <w:lang w:val="en-GB" w:eastAsia="zh-CN"/>
        </w:rPr>
      </w:pPr>
      <w:r w:rsidRPr="009E35ED">
        <w:rPr>
          <w:rFonts w:ascii="Arial" w:hAnsi="Arial" w:cs="Arial"/>
          <w:color w:val="000000" w:themeColor="text1"/>
          <w:sz w:val="22"/>
          <w:szCs w:val="22"/>
          <w:lang w:val="en-GB" w:eastAsia="zh-CN"/>
        </w:rPr>
        <w:t xml:space="preserve">Liquidity risk is the risk that the </w:t>
      </w:r>
      <w:r w:rsidR="0051373D" w:rsidRPr="009E35ED">
        <w:rPr>
          <w:rFonts w:ascii="Arial" w:hAnsi="Arial" w:cs="Arial"/>
          <w:color w:val="000000" w:themeColor="text1"/>
          <w:sz w:val="22"/>
          <w:szCs w:val="22"/>
          <w:lang w:val="en-GB" w:eastAsia="zh-CN"/>
        </w:rPr>
        <w:t>Agency</w:t>
      </w:r>
      <w:r w:rsidRPr="009E35ED">
        <w:rPr>
          <w:rFonts w:ascii="Arial" w:hAnsi="Arial" w:cs="Arial"/>
          <w:color w:val="000000" w:themeColor="text1"/>
          <w:sz w:val="22"/>
          <w:szCs w:val="22"/>
          <w:lang w:val="en-GB" w:eastAsia="zh-CN"/>
        </w:rPr>
        <w:t xml:space="preserve"> might encounter difficulty in meeting obligation from its financial liabilities.</w:t>
      </w:r>
    </w:p>
    <w:p w14:paraId="398F5EDD" w14:textId="77777777" w:rsidR="0071705B" w:rsidRPr="009E35ED" w:rsidRDefault="0071705B" w:rsidP="00803F8C">
      <w:pPr>
        <w:ind w:left="0"/>
        <w:rPr>
          <w:rFonts w:ascii="Arial" w:hAnsi="Arial" w:cs="Arial"/>
          <w:b/>
          <w:color w:val="000000" w:themeColor="text1"/>
          <w:sz w:val="22"/>
          <w:szCs w:val="22"/>
          <w:lang w:val="en-GB" w:eastAsia="zh-CN"/>
        </w:rPr>
      </w:pPr>
    </w:p>
    <w:p w14:paraId="4C370B9E" w14:textId="77777777" w:rsidR="00572AF6" w:rsidRPr="009E35ED" w:rsidRDefault="0071705B" w:rsidP="002057AB">
      <w:pPr>
        <w:ind w:left="540" w:hanging="540"/>
        <w:rPr>
          <w:rFonts w:ascii="Arial" w:hAnsi="Arial" w:cs="Arial"/>
          <w:b/>
          <w:color w:val="000000" w:themeColor="text1"/>
          <w:sz w:val="22"/>
          <w:szCs w:val="22"/>
          <w:lang w:val="en-GB" w:eastAsia="zh-CN"/>
        </w:rPr>
      </w:pPr>
      <w:r w:rsidRPr="009E35ED">
        <w:rPr>
          <w:rFonts w:ascii="Arial" w:hAnsi="Arial" w:cs="Arial"/>
          <w:color w:val="000000" w:themeColor="text1"/>
          <w:sz w:val="22"/>
          <w:szCs w:val="22"/>
          <w:lang w:val="en-GB" w:eastAsia="zh-CN"/>
        </w:rPr>
        <w:t>a.</w:t>
      </w:r>
      <w:r w:rsidRPr="009E35ED">
        <w:rPr>
          <w:rFonts w:ascii="Arial" w:hAnsi="Arial" w:cs="Arial"/>
          <w:b/>
          <w:color w:val="000000" w:themeColor="text1"/>
          <w:sz w:val="22"/>
          <w:szCs w:val="22"/>
          <w:lang w:val="en-GB" w:eastAsia="zh-CN"/>
        </w:rPr>
        <w:tab/>
      </w:r>
      <w:r w:rsidRPr="009E35ED">
        <w:rPr>
          <w:rFonts w:ascii="Arial" w:hAnsi="Arial" w:cs="Arial"/>
          <w:color w:val="000000" w:themeColor="text1"/>
          <w:sz w:val="22"/>
          <w:szCs w:val="22"/>
          <w:lang w:val="en-GB" w:eastAsia="zh-CN"/>
        </w:rPr>
        <w:t>Management of Liquidity Risk</w:t>
      </w:r>
    </w:p>
    <w:p w14:paraId="76C5833D" w14:textId="77777777" w:rsidR="0071705B" w:rsidRPr="009E35ED" w:rsidRDefault="0071705B" w:rsidP="00803F8C">
      <w:pPr>
        <w:ind w:left="0"/>
        <w:rPr>
          <w:rFonts w:ascii="Arial" w:hAnsi="Arial" w:cs="Arial"/>
          <w:b/>
          <w:color w:val="000000" w:themeColor="text1"/>
          <w:sz w:val="22"/>
          <w:szCs w:val="22"/>
          <w:lang w:val="en-GB" w:eastAsia="zh-CN"/>
        </w:rPr>
      </w:pPr>
    </w:p>
    <w:p w14:paraId="1248A902" w14:textId="56946D30" w:rsidR="0071705B" w:rsidRPr="009E35ED" w:rsidRDefault="0071705B" w:rsidP="00803F8C">
      <w:pPr>
        <w:ind w:left="0"/>
        <w:rPr>
          <w:rFonts w:ascii="Arial" w:hAnsi="Arial" w:cs="Arial"/>
          <w:color w:val="000000" w:themeColor="text1"/>
          <w:sz w:val="22"/>
          <w:szCs w:val="22"/>
          <w:lang w:val="en-GB" w:eastAsia="zh-CN"/>
        </w:rPr>
      </w:pPr>
      <w:r w:rsidRPr="009E35ED">
        <w:rPr>
          <w:rFonts w:ascii="Arial" w:hAnsi="Arial" w:cs="Arial"/>
          <w:color w:val="000000" w:themeColor="text1"/>
          <w:sz w:val="22"/>
          <w:szCs w:val="22"/>
          <w:lang w:val="en-GB" w:eastAsia="zh-CN"/>
        </w:rPr>
        <w:t xml:space="preserve">The </w:t>
      </w:r>
      <w:r w:rsidR="0051373D" w:rsidRPr="009E35ED">
        <w:rPr>
          <w:rFonts w:ascii="Arial" w:hAnsi="Arial" w:cs="Arial"/>
          <w:color w:val="000000" w:themeColor="text1"/>
          <w:sz w:val="22"/>
          <w:szCs w:val="22"/>
          <w:lang w:val="en-GB" w:eastAsia="zh-CN"/>
        </w:rPr>
        <w:t>Agency</w:t>
      </w:r>
      <w:r w:rsidRPr="009E35ED">
        <w:rPr>
          <w:rFonts w:ascii="Arial" w:hAnsi="Arial" w:cs="Arial"/>
          <w:color w:val="000000" w:themeColor="text1"/>
          <w:sz w:val="22"/>
          <w:szCs w:val="22"/>
          <w:lang w:val="en-GB" w:eastAsia="zh-CN"/>
        </w:rPr>
        <w:t xml:space="preserve">’s approach to managing liquidity is to ensure, as far as possible, that it will always have sufficient liquidity to meet its liabilities when due, under both normal and stressed conditions, without incurring unacceptable losses or risking damage to the </w:t>
      </w:r>
      <w:r w:rsidR="0051373D" w:rsidRPr="009E35ED">
        <w:rPr>
          <w:rFonts w:ascii="Arial" w:hAnsi="Arial" w:cs="Arial"/>
          <w:color w:val="000000" w:themeColor="text1"/>
          <w:sz w:val="22"/>
          <w:szCs w:val="22"/>
          <w:lang w:val="en-GB" w:eastAsia="zh-CN"/>
        </w:rPr>
        <w:t>Agency</w:t>
      </w:r>
      <w:r w:rsidRPr="009E35ED">
        <w:rPr>
          <w:rFonts w:ascii="Arial" w:hAnsi="Arial" w:cs="Arial"/>
          <w:color w:val="000000" w:themeColor="text1"/>
          <w:sz w:val="22"/>
          <w:szCs w:val="22"/>
          <w:lang w:val="en-GB" w:eastAsia="zh-CN"/>
        </w:rPr>
        <w:t>’s reputation.</w:t>
      </w:r>
    </w:p>
    <w:p w14:paraId="0888704C" w14:textId="77777777" w:rsidR="0071705B" w:rsidRPr="009E35ED" w:rsidRDefault="0071705B" w:rsidP="00803F8C">
      <w:pPr>
        <w:ind w:left="0"/>
        <w:rPr>
          <w:rFonts w:ascii="Arial" w:hAnsi="Arial" w:cs="Arial"/>
          <w:color w:val="000000" w:themeColor="text1"/>
          <w:sz w:val="22"/>
          <w:szCs w:val="22"/>
          <w:lang w:val="en-GB" w:eastAsia="zh-CN"/>
        </w:rPr>
      </w:pPr>
    </w:p>
    <w:p w14:paraId="7548BA6B" w14:textId="3DE0793F" w:rsidR="0071705B" w:rsidRPr="009E35ED" w:rsidRDefault="0071705B" w:rsidP="00803F8C">
      <w:pPr>
        <w:ind w:left="0"/>
        <w:rPr>
          <w:rFonts w:ascii="Arial" w:hAnsi="Arial" w:cs="Arial"/>
          <w:color w:val="000000" w:themeColor="text1"/>
          <w:sz w:val="22"/>
          <w:szCs w:val="22"/>
          <w:lang w:val="en-GB" w:eastAsia="zh-CN"/>
        </w:rPr>
      </w:pPr>
      <w:r w:rsidRPr="009E35ED">
        <w:rPr>
          <w:rFonts w:ascii="Arial" w:hAnsi="Arial" w:cs="Arial"/>
          <w:color w:val="000000" w:themeColor="text1"/>
          <w:sz w:val="22"/>
          <w:szCs w:val="22"/>
          <w:lang w:val="en-GB" w:eastAsia="zh-CN"/>
        </w:rPr>
        <w:t xml:space="preserve">The </w:t>
      </w:r>
      <w:r w:rsidR="0051373D" w:rsidRPr="009E35ED">
        <w:rPr>
          <w:rFonts w:ascii="Arial" w:hAnsi="Arial" w:cs="Arial"/>
          <w:color w:val="000000" w:themeColor="text1"/>
          <w:sz w:val="22"/>
          <w:szCs w:val="22"/>
          <w:lang w:val="en-GB" w:eastAsia="zh-CN"/>
        </w:rPr>
        <w:t>Agency</w:t>
      </w:r>
      <w:r w:rsidRPr="009E35ED">
        <w:rPr>
          <w:rFonts w:ascii="Arial" w:hAnsi="Arial" w:cs="Arial"/>
          <w:color w:val="000000" w:themeColor="text1"/>
          <w:sz w:val="22"/>
          <w:szCs w:val="22"/>
          <w:lang w:val="en-GB" w:eastAsia="zh-CN"/>
        </w:rPr>
        <w:t xml:space="preserve"> seeks to manage its liquidity profile to be able to finance capital expenditures as well as its current operations. To cover its financing requirements, the </w:t>
      </w:r>
      <w:r w:rsidR="0051373D" w:rsidRPr="009E35ED">
        <w:rPr>
          <w:rFonts w:ascii="Arial" w:hAnsi="Arial" w:cs="Arial"/>
          <w:color w:val="000000" w:themeColor="text1"/>
          <w:sz w:val="22"/>
          <w:szCs w:val="22"/>
          <w:lang w:val="en-GB" w:eastAsia="zh-CN"/>
        </w:rPr>
        <w:t>Agency</w:t>
      </w:r>
      <w:r w:rsidRPr="009E35ED">
        <w:rPr>
          <w:rFonts w:ascii="Arial" w:hAnsi="Arial" w:cs="Arial"/>
          <w:color w:val="000000" w:themeColor="text1"/>
          <w:sz w:val="22"/>
          <w:szCs w:val="22"/>
          <w:lang w:val="en-GB" w:eastAsia="zh-CN"/>
        </w:rPr>
        <w:t xml:space="preserve"> intends to use internally generated funds and available short-term credit facilities.</w:t>
      </w:r>
    </w:p>
    <w:p w14:paraId="02249E86" w14:textId="77777777" w:rsidR="0071705B" w:rsidRPr="009E35ED" w:rsidRDefault="0071705B" w:rsidP="00803F8C">
      <w:pPr>
        <w:ind w:left="0"/>
        <w:rPr>
          <w:rFonts w:ascii="Arial" w:hAnsi="Arial" w:cs="Arial"/>
          <w:color w:val="000000" w:themeColor="text1"/>
          <w:sz w:val="22"/>
          <w:szCs w:val="22"/>
          <w:lang w:val="en-GB" w:eastAsia="zh-CN"/>
        </w:rPr>
      </w:pPr>
    </w:p>
    <w:p w14:paraId="51E233B3" w14:textId="55956278" w:rsidR="0071705B" w:rsidRPr="009E35ED" w:rsidRDefault="0071705B" w:rsidP="00803F8C">
      <w:pPr>
        <w:ind w:left="0"/>
        <w:rPr>
          <w:rFonts w:ascii="Arial" w:hAnsi="Arial" w:cs="Arial"/>
          <w:color w:val="000000" w:themeColor="text1"/>
          <w:sz w:val="22"/>
          <w:szCs w:val="22"/>
          <w:lang w:val="en-GB" w:eastAsia="zh-CN"/>
        </w:rPr>
      </w:pPr>
      <w:r w:rsidRPr="009E35ED">
        <w:rPr>
          <w:rFonts w:ascii="Arial" w:hAnsi="Arial" w:cs="Arial"/>
          <w:color w:val="000000" w:themeColor="text1"/>
          <w:sz w:val="22"/>
          <w:szCs w:val="22"/>
          <w:lang w:val="en-GB" w:eastAsia="zh-CN"/>
        </w:rPr>
        <w:t xml:space="preserve">As part of its liquidity risk management, the </w:t>
      </w:r>
      <w:r w:rsidR="0051373D" w:rsidRPr="009E35ED">
        <w:rPr>
          <w:rFonts w:ascii="Arial" w:hAnsi="Arial" w:cs="Arial"/>
          <w:color w:val="000000" w:themeColor="text1"/>
          <w:sz w:val="22"/>
          <w:szCs w:val="22"/>
          <w:lang w:val="en-GB" w:eastAsia="zh-CN"/>
        </w:rPr>
        <w:t>Agency</w:t>
      </w:r>
      <w:r w:rsidRPr="009E35ED">
        <w:rPr>
          <w:rFonts w:ascii="Arial" w:hAnsi="Arial" w:cs="Arial"/>
          <w:color w:val="000000" w:themeColor="text1"/>
          <w:sz w:val="22"/>
          <w:szCs w:val="22"/>
          <w:lang w:val="en-GB" w:eastAsia="zh-CN"/>
        </w:rPr>
        <w:t xml:space="preserve"> regularly evaluates its projected and actual cash flows. It also continually assesses conditions in the financial markets for opportunities to pursue fund raising activities, in case any requirements arise. Fund raising activities may include bank loans and subsidies from the national government or government owned and controlled corporations.</w:t>
      </w:r>
    </w:p>
    <w:p w14:paraId="44EE4016" w14:textId="77777777" w:rsidR="0044352C" w:rsidRPr="009E35ED" w:rsidRDefault="0044352C" w:rsidP="00803F8C">
      <w:pPr>
        <w:ind w:left="0"/>
        <w:rPr>
          <w:rFonts w:ascii="Arial" w:hAnsi="Arial" w:cs="Arial"/>
          <w:color w:val="000000" w:themeColor="text1"/>
          <w:sz w:val="22"/>
          <w:szCs w:val="22"/>
          <w:lang w:val="en-GB" w:eastAsia="zh-CN"/>
        </w:rPr>
      </w:pPr>
    </w:p>
    <w:p w14:paraId="34B10531" w14:textId="77777777" w:rsidR="0071705B" w:rsidRPr="009E35ED" w:rsidRDefault="0071705B" w:rsidP="002057AB">
      <w:pPr>
        <w:ind w:left="540" w:hanging="540"/>
        <w:rPr>
          <w:rFonts w:ascii="Arial" w:hAnsi="Arial" w:cs="Arial"/>
          <w:b/>
          <w:color w:val="000000" w:themeColor="text1"/>
          <w:sz w:val="22"/>
          <w:szCs w:val="22"/>
          <w:lang w:val="en-GB" w:eastAsia="zh-CN"/>
        </w:rPr>
      </w:pPr>
      <w:r w:rsidRPr="009E35ED">
        <w:rPr>
          <w:rFonts w:ascii="Arial" w:hAnsi="Arial" w:cs="Arial"/>
          <w:b/>
          <w:color w:val="000000" w:themeColor="text1"/>
          <w:sz w:val="22"/>
          <w:szCs w:val="22"/>
          <w:lang w:val="en-GB" w:eastAsia="zh-CN"/>
        </w:rPr>
        <w:t>b.</w:t>
      </w:r>
      <w:r w:rsidRPr="009E35ED">
        <w:rPr>
          <w:rFonts w:ascii="Arial" w:hAnsi="Arial" w:cs="Arial"/>
          <w:b/>
          <w:color w:val="000000" w:themeColor="text1"/>
          <w:sz w:val="22"/>
          <w:szCs w:val="22"/>
          <w:lang w:val="en-GB" w:eastAsia="zh-CN"/>
        </w:rPr>
        <w:tab/>
        <w:t>Exposure to Liquidity Risk</w:t>
      </w:r>
    </w:p>
    <w:p w14:paraId="062109D6" w14:textId="77777777" w:rsidR="0071705B" w:rsidRPr="009E35ED" w:rsidRDefault="0071705B" w:rsidP="00803F8C">
      <w:pPr>
        <w:ind w:left="0"/>
        <w:rPr>
          <w:rFonts w:ascii="Arial" w:hAnsi="Arial" w:cs="Arial"/>
          <w:color w:val="000000" w:themeColor="text1"/>
          <w:sz w:val="22"/>
          <w:szCs w:val="22"/>
          <w:lang w:val="en-GB" w:eastAsia="zh-CN"/>
        </w:rPr>
      </w:pPr>
    </w:p>
    <w:p w14:paraId="23521063" w14:textId="0296CC7F" w:rsidR="00D55AAA" w:rsidRPr="009E35ED" w:rsidRDefault="0071705B" w:rsidP="003158E0">
      <w:pPr>
        <w:ind w:left="0"/>
        <w:rPr>
          <w:rFonts w:ascii="Arial" w:hAnsi="Arial" w:cs="Arial"/>
          <w:color w:val="000000" w:themeColor="text1"/>
          <w:sz w:val="22"/>
          <w:szCs w:val="22"/>
          <w:lang w:val="en-GB" w:eastAsia="zh-CN"/>
        </w:rPr>
      </w:pPr>
      <w:r w:rsidRPr="009E35ED">
        <w:rPr>
          <w:rFonts w:ascii="Arial" w:hAnsi="Arial" w:cs="Arial"/>
          <w:color w:val="000000" w:themeColor="text1"/>
          <w:sz w:val="22"/>
          <w:szCs w:val="22"/>
          <w:lang w:val="en-GB" w:eastAsia="zh-CN"/>
        </w:rPr>
        <w:t xml:space="preserve">The liquidity risk is the adverse situation when the </w:t>
      </w:r>
      <w:r w:rsidR="0051373D" w:rsidRPr="009E35ED">
        <w:rPr>
          <w:rFonts w:ascii="Arial" w:hAnsi="Arial" w:cs="Arial"/>
          <w:color w:val="000000" w:themeColor="text1"/>
          <w:sz w:val="22"/>
          <w:szCs w:val="22"/>
          <w:lang w:val="en-GB" w:eastAsia="zh-CN"/>
        </w:rPr>
        <w:t>Agency</w:t>
      </w:r>
      <w:r w:rsidRPr="009E35ED">
        <w:rPr>
          <w:rFonts w:ascii="Arial" w:hAnsi="Arial" w:cs="Arial"/>
          <w:color w:val="000000" w:themeColor="text1"/>
          <w:sz w:val="22"/>
          <w:szCs w:val="22"/>
          <w:lang w:val="en-GB" w:eastAsia="zh-CN"/>
        </w:rPr>
        <w:t xml:space="preserve"> encounters difficulty in meeting unconditionally the settlement of its obligations at maturity. Prudent liquidity management requires that liquidity risks are identified, measured, monitored and controlled in a comprehensive and timely manner. Liquidity management is a major component of the corporate-wide risk management system. Liquidity planning takes into consideration various possible changes in economic, market, political, regulatory and other external factors that may affect the liquidity position of the </w:t>
      </w:r>
      <w:r w:rsidR="0051373D" w:rsidRPr="009E35ED">
        <w:rPr>
          <w:rFonts w:ascii="Arial" w:hAnsi="Arial" w:cs="Arial"/>
          <w:color w:val="000000" w:themeColor="text1"/>
          <w:sz w:val="22"/>
          <w:szCs w:val="22"/>
          <w:lang w:val="en-GB" w:eastAsia="zh-CN"/>
        </w:rPr>
        <w:t>Agency</w:t>
      </w:r>
      <w:r w:rsidRPr="009E35ED">
        <w:rPr>
          <w:rFonts w:ascii="Arial" w:hAnsi="Arial" w:cs="Arial"/>
          <w:color w:val="000000" w:themeColor="text1"/>
          <w:sz w:val="22"/>
          <w:szCs w:val="22"/>
          <w:lang w:val="en-GB" w:eastAsia="zh-CN"/>
        </w:rPr>
        <w:t>.</w:t>
      </w:r>
    </w:p>
    <w:p w14:paraId="338BE6C7" w14:textId="774173EA" w:rsidR="00986F56" w:rsidRPr="009E35ED" w:rsidRDefault="00986F56" w:rsidP="003158E0">
      <w:pPr>
        <w:ind w:left="0"/>
        <w:rPr>
          <w:rFonts w:ascii="Arial" w:hAnsi="Arial" w:cs="Arial"/>
          <w:color w:val="000000" w:themeColor="text1"/>
          <w:sz w:val="22"/>
          <w:szCs w:val="22"/>
          <w:lang w:val="en-GB" w:eastAsia="zh-CN"/>
        </w:rPr>
      </w:pPr>
    </w:p>
    <w:p w14:paraId="58AC7C45" w14:textId="77777777" w:rsidR="0071705B" w:rsidRPr="009E35ED" w:rsidRDefault="0071705B" w:rsidP="001C371F">
      <w:pPr>
        <w:pStyle w:val="ListParagraph"/>
        <w:numPr>
          <w:ilvl w:val="0"/>
          <w:numId w:val="9"/>
        </w:numPr>
        <w:ind w:hanging="720"/>
        <w:rPr>
          <w:rFonts w:ascii="Arial" w:hAnsi="Arial" w:cs="Arial"/>
          <w:b/>
          <w:color w:val="000000" w:themeColor="text1"/>
          <w:sz w:val="22"/>
          <w:szCs w:val="22"/>
          <w:lang w:val="en-GB" w:eastAsia="zh-CN"/>
        </w:rPr>
      </w:pPr>
      <w:r w:rsidRPr="009E35ED">
        <w:rPr>
          <w:rFonts w:ascii="Arial" w:hAnsi="Arial" w:cs="Arial"/>
          <w:b/>
          <w:color w:val="000000" w:themeColor="text1"/>
          <w:sz w:val="22"/>
          <w:szCs w:val="22"/>
          <w:lang w:val="en-GB" w:eastAsia="zh-CN"/>
        </w:rPr>
        <w:t>Market Risks</w:t>
      </w:r>
    </w:p>
    <w:p w14:paraId="6C283602" w14:textId="77777777" w:rsidR="0071705B" w:rsidRPr="009E35ED" w:rsidRDefault="0071705B" w:rsidP="00803F8C">
      <w:pPr>
        <w:ind w:left="0"/>
        <w:rPr>
          <w:rFonts w:ascii="Arial" w:hAnsi="Arial" w:cs="Arial"/>
          <w:b/>
          <w:color w:val="000000" w:themeColor="text1"/>
          <w:sz w:val="22"/>
          <w:szCs w:val="22"/>
          <w:lang w:val="en-GB" w:eastAsia="zh-CN"/>
        </w:rPr>
      </w:pPr>
    </w:p>
    <w:p w14:paraId="5DACEDD9" w14:textId="3B5B8020" w:rsidR="0071705B" w:rsidRPr="009E35ED" w:rsidRDefault="0071705B" w:rsidP="00803F8C">
      <w:pPr>
        <w:ind w:left="0"/>
        <w:rPr>
          <w:rFonts w:ascii="Arial" w:hAnsi="Arial" w:cs="Arial"/>
          <w:color w:val="000000" w:themeColor="text1"/>
          <w:sz w:val="22"/>
          <w:szCs w:val="22"/>
          <w:lang w:val="en-GB" w:eastAsia="zh-CN"/>
        </w:rPr>
      </w:pPr>
      <w:r w:rsidRPr="009E35ED">
        <w:rPr>
          <w:rFonts w:ascii="Arial" w:hAnsi="Arial" w:cs="Arial"/>
          <w:color w:val="000000" w:themeColor="text1"/>
          <w:sz w:val="22"/>
          <w:szCs w:val="22"/>
          <w:lang w:val="en-GB" w:eastAsia="zh-CN"/>
        </w:rPr>
        <w:t xml:space="preserve">Market risk is the risk that changes in the market prices, such as interest rate, equity prices, foreign exchange rates and credit spreads (not relating to changes in the obligor’s issuer’s credit standing) will affect the </w:t>
      </w:r>
      <w:r w:rsidR="0051373D" w:rsidRPr="009E35ED">
        <w:rPr>
          <w:rFonts w:ascii="Arial" w:hAnsi="Arial" w:cs="Arial"/>
          <w:color w:val="000000" w:themeColor="text1"/>
          <w:sz w:val="22"/>
          <w:szCs w:val="22"/>
          <w:lang w:val="en-GB" w:eastAsia="zh-CN"/>
        </w:rPr>
        <w:t>Agency</w:t>
      </w:r>
      <w:r w:rsidRPr="009E35ED">
        <w:rPr>
          <w:rFonts w:ascii="Arial" w:hAnsi="Arial" w:cs="Arial"/>
          <w:color w:val="000000" w:themeColor="text1"/>
          <w:sz w:val="22"/>
          <w:szCs w:val="22"/>
          <w:lang w:val="en-GB" w:eastAsia="zh-CN"/>
        </w:rPr>
        <w:t>’s income or the value of its holdings of financial instruments. The objective of market risk management is to manage and control market risk exposures within acceptable parameters, while optimizing the return on risk.</w:t>
      </w:r>
    </w:p>
    <w:p w14:paraId="4E2D993D" w14:textId="3395EBAE" w:rsidR="002057AB" w:rsidRPr="009E35ED" w:rsidRDefault="002057AB" w:rsidP="00803F8C">
      <w:pPr>
        <w:ind w:left="0"/>
        <w:rPr>
          <w:rFonts w:ascii="Arial" w:hAnsi="Arial" w:cs="Arial"/>
          <w:i/>
          <w:color w:val="000000" w:themeColor="text1"/>
          <w:sz w:val="22"/>
          <w:szCs w:val="22"/>
          <w:lang w:val="en-GB" w:eastAsia="zh-CN"/>
        </w:rPr>
      </w:pPr>
    </w:p>
    <w:p w14:paraId="465C9938" w14:textId="77777777" w:rsidR="0071705B" w:rsidRPr="009E35ED" w:rsidRDefault="0071705B" w:rsidP="00803F8C">
      <w:pPr>
        <w:ind w:left="0"/>
        <w:rPr>
          <w:rFonts w:ascii="Arial" w:hAnsi="Arial" w:cs="Arial"/>
          <w:i/>
          <w:color w:val="000000" w:themeColor="text1"/>
          <w:sz w:val="22"/>
          <w:szCs w:val="22"/>
          <w:lang w:val="en-GB" w:eastAsia="zh-CN"/>
        </w:rPr>
      </w:pPr>
      <w:r w:rsidRPr="009E35ED">
        <w:rPr>
          <w:rFonts w:ascii="Arial" w:hAnsi="Arial" w:cs="Arial"/>
          <w:i/>
          <w:color w:val="000000" w:themeColor="text1"/>
          <w:sz w:val="22"/>
          <w:szCs w:val="22"/>
          <w:lang w:val="en-GB" w:eastAsia="zh-CN"/>
        </w:rPr>
        <w:t>Management of Market Risk</w:t>
      </w:r>
    </w:p>
    <w:p w14:paraId="696ECDF0" w14:textId="77777777" w:rsidR="0071705B" w:rsidRPr="009E35ED" w:rsidRDefault="0071705B" w:rsidP="00803F8C">
      <w:pPr>
        <w:ind w:left="0"/>
        <w:rPr>
          <w:rFonts w:ascii="Arial" w:hAnsi="Arial" w:cs="Arial"/>
          <w:b/>
          <w:color w:val="000000" w:themeColor="text1"/>
          <w:sz w:val="22"/>
          <w:szCs w:val="22"/>
          <w:lang w:val="en-GB" w:eastAsia="zh-CN"/>
        </w:rPr>
      </w:pPr>
    </w:p>
    <w:p w14:paraId="5ADF4CCC" w14:textId="36CD5E5F" w:rsidR="0071705B" w:rsidRPr="009E35ED" w:rsidRDefault="0071705B" w:rsidP="00803F8C">
      <w:pPr>
        <w:ind w:left="0"/>
        <w:rPr>
          <w:rFonts w:ascii="Arial" w:hAnsi="Arial" w:cs="Arial"/>
          <w:color w:val="000000" w:themeColor="text1"/>
          <w:sz w:val="22"/>
          <w:szCs w:val="22"/>
          <w:lang w:val="en-GB" w:eastAsia="zh-CN"/>
        </w:rPr>
      </w:pPr>
      <w:r w:rsidRPr="009E35ED">
        <w:rPr>
          <w:rFonts w:ascii="Arial" w:hAnsi="Arial" w:cs="Arial"/>
          <w:color w:val="000000" w:themeColor="text1"/>
          <w:sz w:val="22"/>
          <w:szCs w:val="22"/>
          <w:lang w:val="en-GB" w:eastAsia="zh-CN"/>
        </w:rPr>
        <w:t xml:space="preserve">The management of interest rate risk against interest gap limits is supplemented by monitoring the sensitivity of the </w:t>
      </w:r>
      <w:r w:rsidR="0051373D" w:rsidRPr="009E35ED">
        <w:rPr>
          <w:rFonts w:ascii="Arial" w:hAnsi="Arial" w:cs="Arial"/>
          <w:color w:val="000000" w:themeColor="text1"/>
          <w:sz w:val="22"/>
          <w:szCs w:val="22"/>
          <w:lang w:val="en-GB" w:eastAsia="zh-CN"/>
        </w:rPr>
        <w:t>Agency</w:t>
      </w:r>
      <w:r w:rsidRPr="009E35ED">
        <w:rPr>
          <w:rFonts w:ascii="Arial" w:hAnsi="Arial" w:cs="Arial"/>
          <w:color w:val="000000" w:themeColor="text1"/>
          <w:sz w:val="22"/>
          <w:szCs w:val="22"/>
          <w:lang w:val="en-GB" w:eastAsia="zh-CN"/>
        </w:rPr>
        <w:t>’s financial assets and liabilities to various standard and non-standard interest rate scenarios.</w:t>
      </w:r>
    </w:p>
    <w:p w14:paraId="43921B6E" w14:textId="3C27505D" w:rsidR="002A08C6" w:rsidRPr="009E35ED" w:rsidRDefault="002A08C6" w:rsidP="00803F8C">
      <w:pPr>
        <w:ind w:left="0"/>
        <w:rPr>
          <w:rFonts w:ascii="Arial" w:hAnsi="Arial" w:cs="Arial"/>
          <w:b/>
          <w:color w:val="000000" w:themeColor="text1"/>
          <w:sz w:val="22"/>
          <w:szCs w:val="22"/>
          <w:lang w:val="en-GB" w:eastAsia="zh-CN"/>
        </w:rPr>
      </w:pPr>
    </w:p>
    <w:p w14:paraId="57332553" w14:textId="77777777" w:rsidR="0071705B" w:rsidRPr="009E35ED" w:rsidRDefault="0071705B" w:rsidP="001C371F">
      <w:pPr>
        <w:pStyle w:val="ListParagraph"/>
        <w:numPr>
          <w:ilvl w:val="0"/>
          <w:numId w:val="9"/>
        </w:numPr>
        <w:ind w:hanging="720"/>
        <w:rPr>
          <w:rFonts w:ascii="Arial" w:hAnsi="Arial" w:cs="Arial"/>
          <w:b/>
          <w:color w:val="000000" w:themeColor="text1"/>
          <w:sz w:val="22"/>
          <w:szCs w:val="22"/>
          <w:lang w:val="en-GB" w:eastAsia="zh-CN"/>
        </w:rPr>
      </w:pPr>
      <w:r w:rsidRPr="009E35ED">
        <w:rPr>
          <w:rFonts w:ascii="Arial" w:hAnsi="Arial" w:cs="Arial"/>
          <w:b/>
          <w:color w:val="000000" w:themeColor="text1"/>
          <w:sz w:val="22"/>
          <w:szCs w:val="22"/>
          <w:lang w:val="en-GB" w:eastAsia="zh-CN"/>
        </w:rPr>
        <w:t>Operational Risks</w:t>
      </w:r>
    </w:p>
    <w:p w14:paraId="602BBD3D" w14:textId="77777777" w:rsidR="0071705B" w:rsidRPr="009E35ED" w:rsidRDefault="0071705B" w:rsidP="00803F8C">
      <w:pPr>
        <w:ind w:left="0"/>
        <w:rPr>
          <w:rFonts w:ascii="Arial" w:hAnsi="Arial" w:cs="Arial"/>
          <w:b/>
          <w:color w:val="000000" w:themeColor="text1"/>
          <w:sz w:val="22"/>
          <w:szCs w:val="22"/>
          <w:lang w:val="en-GB" w:eastAsia="zh-CN"/>
        </w:rPr>
      </w:pPr>
    </w:p>
    <w:p w14:paraId="0907B012" w14:textId="645A7DB7" w:rsidR="0071705B" w:rsidRPr="009E35ED" w:rsidRDefault="0071705B" w:rsidP="00803F8C">
      <w:pPr>
        <w:ind w:left="0"/>
        <w:rPr>
          <w:rFonts w:ascii="Arial" w:hAnsi="Arial" w:cs="Arial"/>
          <w:color w:val="000000" w:themeColor="text1"/>
          <w:sz w:val="22"/>
          <w:szCs w:val="22"/>
          <w:lang w:val="en-GB" w:eastAsia="zh-CN"/>
        </w:rPr>
      </w:pPr>
      <w:r w:rsidRPr="009E35ED">
        <w:rPr>
          <w:rFonts w:ascii="Arial" w:hAnsi="Arial" w:cs="Arial"/>
          <w:color w:val="000000" w:themeColor="text1"/>
          <w:sz w:val="22"/>
          <w:szCs w:val="22"/>
          <w:lang w:val="en-GB" w:eastAsia="zh-CN"/>
        </w:rPr>
        <w:t xml:space="preserve">Operational risk is the risk of direct or indirect loss arising from a wide variety of causes associated with the </w:t>
      </w:r>
      <w:r w:rsidR="0051373D" w:rsidRPr="009E35ED">
        <w:rPr>
          <w:rFonts w:ascii="Arial" w:hAnsi="Arial" w:cs="Arial"/>
          <w:color w:val="000000" w:themeColor="text1"/>
          <w:sz w:val="22"/>
          <w:szCs w:val="22"/>
          <w:lang w:val="en-GB" w:eastAsia="zh-CN"/>
        </w:rPr>
        <w:t>Agency</w:t>
      </w:r>
      <w:r w:rsidRPr="009E35ED">
        <w:rPr>
          <w:rFonts w:ascii="Arial" w:hAnsi="Arial" w:cs="Arial"/>
          <w:color w:val="000000" w:themeColor="text1"/>
          <w:sz w:val="22"/>
          <w:szCs w:val="22"/>
          <w:lang w:val="en-GB" w:eastAsia="zh-CN"/>
        </w:rPr>
        <w:t>’s processes, personnel, technology and infrastructure, and from external factors other than credit, market and liquidity risks such as those arising from legal and regulatory requirements and generally accepted standards of corporate behavio</w:t>
      </w:r>
      <w:r w:rsidR="00986F56" w:rsidRPr="009E35ED">
        <w:rPr>
          <w:rFonts w:ascii="Arial" w:hAnsi="Arial" w:cs="Arial"/>
          <w:color w:val="000000" w:themeColor="text1"/>
          <w:sz w:val="22"/>
          <w:szCs w:val="22"/>
          <w:lang w:val="en-GB" w:eastAsia="zh-CN"/>
        </w:rPr>
        <w:t>u</w:t>
      </w:r>
      <w:r w:rsidRPr="009E35ED">
        <w:rPr>
          <w:rFonts w:ascii="Arial" w:hAnsi="Arial" w:cs="Arial"/>
          <w:color w:val="000000" w:themeColor="text1"/>
          <w:sz w:val="22"/>
          <w:szCs w:val="22"/>
          <w:lang w:val="en-GB" w:eastAsia="zh-CN"/>
        </w:rPr>
        <w:t xml:space="preserve">r. Operational risks arise from all of the </w:t>
      </w:r>
      <w:r w:rsidR="0051373D" w:rsidRPr="009E35ED">
        <w:rPr>
          <w:rFonts w:ascii="Arial" w:hAnsi="Arial" w:cs="Arial"/>
          <w:color w:val="000000" w:themeColor="text1"/>
          <w:sz w:val="22"/>
          <w:szCs w:val="22"/>
          <w:lang w:val="en-GB" w:eastAsia="zh-CN"/>
        </w:rPr>
        <w:t>Agency</w:t>
      </w:r>
      <w:r w:rsidRPr="009E35ED">
        <w:rPr>
          <w:rFonts w:ascii="Arial" w:hAnsi="Arial" w:cs="Arial"/>
          <w:color w:val="000000" w:themeColor="text1"/>
          <w:sz w:val="22"/>
          <w:szCs w:val="22"/>
          <w:lang w:val="en-GB" w:eastAsia="zh-CN"/>
        </w:rPr>
        <w:t>’s operations and are faced by all business entities.</w:t>
      </w:r>
    </w:p>
    <w:p w14:paraId="06FA4D07" w14:textId="77777777" w:rsidR="0071705B" w:rsidRPr="009E35ED" w:rsidRDefault="0071705B" w:rsidP="00803F8C">
      <w:pPr>
        <w:ind w:left="540"/>
        <w:rPr>
          <w:rFonts w:ascii="Arial" w:hAnsi="Arial" w:cs="Arial"/>
          <w:color w:val="000000" w:themeColor="text1"/>
          <w:sz w:val="22"/>
          <w:szCs w:val="22"/>
          <w:lang w:val="en-GB" w:eastAsia="zh-CN"/>
        </w:rPr>
      </w:pPr>
    </w:p>
    <w:p w14:paraId="31DD6723" w14:textId="36CB8946" w:rsidR="0071705B" w:rsidRPr="009E35ED" w:rsidRDefault="0071705B" w:rsidP="002E7F84">
      <w:pPr>
        <w:ind w:left="0"/>
        <w:rPr>
          <w:rFonts w:ascii="Arial" w:hAnsi="Arial" w:cs="Arial"/>
          <w:color w:val="000000" w:themeColor="text1"/>
          <w:sz w:val="22"/>
          <w:szCs w:val="22"/>
          <w:lang w:val="en-GB" w:eastAsia="zh-CN"/>
        </w:rPr>
      </w:pPr>
      <w:r w:rsidRPr="009E35ED">
        <w:rPr>
          <w:rFonts w:ascii="Arial" w:hAnsi="Arial" w:cs="Arial"/>
          <w:color w:val="000000" w:themeColor="text1"/>
          <w:sz w:val="22"/>
          <w:szCs w:val="22"/>
          <w:lang w:val="en-GB" w:eastAsia="zh-CN"/>
        </w:rPr>
        <w:t xml:space="preserve">The </w:t>
      </w:r>
      <w:r w:rsidR="0051373D" w:rsidRPr="009E35ED">
        <w:rPr>
          <w:rFonts w:ascii="Arial" w:hAnsi="Arial" w:cs="Arial"/>
          <w:color w:val="000000" w:themeColor="text1"/>
          <w:sz w:val="22"/>
          <w:szCs w:val="22"/>
          <w:lang w:val="en-GB" w:eastAsia="zh-CN"/>
        </w:rPr>
        <w:t>Agency</w:t>
      </w:r>
      <w:r w:rsidRPr="009E35ED">
        <w:rPr>
          <w:rFonts w:ascii="Arial" w:hAnsi="Arial" w:cs="Arial"/>
          <w:color w:val="000000" w:themeColor="text1"/>
          <w:sz w:val="22"/>
          <w:szCs w:val="22"/>
          <w:lang w:val="en-GB" w:eastAsia="zh-CN"/>
        </w:rPr>
        <w:t xml:space="preserve">’s objective is to manage operational risk so as to balance the avoidance of financial losses and damage to the </w:t>
      </w:r>
      <w:r w:rsidR="0051373D" w:rsidRPr="009E35ED">
        <w:rPr>
          <w:rFonts w:ascii="Arial" w:hAnsi="Arial" w:cs="Arial"/>
          <w:color w:val="000000" w:themeColor="text1"/>
          <w:sz w:val="22"/>
          <w:szCs w:val="22"/>
          <w:lang w:val="en-GB" w:eastAsia="zh-CN"/>
        </w:rPr>
        <w:t>Agency</w:t>
      </w:r>
      <w:r w:rsidRPr="009E35ED">
        <w:rPr>
          <w:rFonts w:ascii="Arial" w:hAnsi="Arial" w:cs="Arial"/>
          <w:color w:val="000000" w:themeColor="text1"/>
          <w:sz w:val="22"/>
          <w:szCs w:val="22"/>
          <w:lang w:val="en-GB" w:eastAsia="zh-CN"/>
        </w:rPr>
        <w:t>’s reputation with overall cost effectiveness and to avoid control procedures that restrict initiative and creativity.</w:t>
      </w:r>
    </w:p>
    <w:p w14:paraId="425CA92C" w14:textId="77777777" w:rsidR="00446C6A" w:rsidRPr="009E35ED" w:rsidRDefault="00446C6A" w:rsidP="00803F8C">
      <w:pPr>
        <w:ind w:left="0"/>
        <w:rPr>
          <w:rFonts w:ascii="Arial" w:hAnsi="Arial" w:cs="Arial"/>
          <w:color w:val="000000" w:themeColor="text1"/>
          <w:sz w:val="22"/>
          <w:szCs w:val="22"/>
          <w:lang w:val="en-GB" w:eastAsia="zh-CN"/>
        </w:rPr>
      </w:pPr>
    </w:p>
    <w:p w14:paraId="15CA7159" w14:textId="68D4AF79" w:rsidR="0071705B" w:rsidRPr="009E35ED" w:rsidRDefault="0071705B" w:rsidP="00B90388">
      <w:pPr>
        <w:keepNext/>
        <w:keepLines/>
        <w:ind w:left="0"/>
        <w:rPr>
          <w:rFonts w:ascii="Arial" w:hAnsi="Arial" w:cs="Arial"/>
          <w:color w:val="000000" w:themeColor="text1"/>
          <w:sz w:val="22"/>
          <w:szCs w:val="22"/>
          <w:lang w:val="en-GB" w:eastAsia="zh-CN"/>
        </w:rPr>
      </w:pPr>
      <w:r w:rsidRPr="009E35ED">
        <w:rPr>
          <w:rFonts w:ascii="Arial" w:hAnsi="Arial" w:cs="Arial"/>
          <w:color w:val="000000" w:themeColor="text1"/>
          <w:sz w:val="22"/>
          <w:szCs w:val="22"/>
          <w:lang w:val="en-GB" w:eastAsia="zh-CN"/>
        </w:rPr>
        <w:t>The primary responsibility for the development and implementation of control to address operational risk is assigned to senior management within each business unit. This responsibility is supported by the development of overall standards for the management of operational risk in the following areas:</w:t>
      </w:r>
    </w:p>
    <w:p w14:paraId="126B2FB0" w14:textId="77777777" w:rsidR="0071705B" w:rsidRPr="009E35ED" w:rsidRDefault="0071705B" w:rsidP="00803F8C">
      <w:pPr>
        <w:ind w:left="0"/>
        <w:rPr>
          <w:rFonts w:ascii="Arial" w:hAnsi="Arial" w:cs="Arial"/>
          <w:color w:val="000000" w:themeColor="text1"/>
          <w:sz w:val="22"/>
          <w:szCs w:val="22"/>
          <w:lang w:val="en-GB" w:eastAsia="zh-CN"/>
        </w:rPr>
      </w:pPr>
    </w:p>
    <w:p w14:paraId="351129F0" w14:textId="77777777" w:rsidR="0071705B" w:rsidRPr="009E35ED" w:rsidRDefault="0071705B" w:rsidP="001C371F">
      <w:pPr>
        <w:numPr>
          <w:ilvl w:val="0"/>
          <w:numId w:val="11"/>
        </w:numPr>
        <w:rPr>
          <w:rFonts w:ascii="Arial" w:hAnsi="Arial" w:cs="Arial"/>
          <w:color w:val="000000" w:themeColor="text1"/>
          <w:sz w:val="22"/>
          <w:szCs w:val="22"/>
          <w:lang w:val="en-GB" w:eastAsia="zh-CN"/>
        </w:rPr>
      </w:pPr>
      <w:r w:rsidRPr="009E35ED">
        <w:rPr>
          <w:rFonts w:ascii="Arial" w:hAnsi="Arial" w:cs="Arial"/>
          <w:color w:val="000000" w:themeColor="text1"/>
          <w:sz w:val="22"/>
          <w:szCs w:val="22"/>
          <w:lang w:val="en-GB" w:eastAsia="zh-CN"/>
        </w:rPr>
        <w:t>Requirements for appropriate segregation of duties, including the independent authorization of transaction</w:t>
      </w:r>
    </w:p>
    <w:p w14:paraId="6E829C19" w14:textId="77777777" w:rsidR="0071705B" w:rsidRPr="009E35ED" w:rsidRDefault="0071705B" w:rsidP="001C371F">
      <w:pPr>
        <w:numPr>
          <w:ilvl w:val="0"/>
          <w:numId w:val="11"/>
        </w:numPr>
        <w:rPr>
          <w:rFonts w:ascii="Arial" w:hAnsi="Arial" w:cs="Arial"/>
          <w:color w:val="000000" w:themeColor="text1"/>
          <w:sz w:val="22"/>
          <w:szCs w:val="22"/>
          <w:lang w:val="en-GB" w:eastAsia="zh-CN"/>
        </w:rPr>
      </w:pPr>
      <w:r w:rsidRPr="009E35ED">
        <w:rPr>
          <w:rFonts w:ascii="Arial" w:hAnsi="Arial" w:cs="Arial"/>
          <w:color w:val="000000" w:themeColor="text1"/>
          <w:sz w:val="22"/>
          <w:szCs w:val="22"/>
          <w:lang w:val="en-GB" w:eastAsia="zh-CN"/>
        </w:rPr>
        <w:t>Requirements for the reconciliation and monitoring of transactions</w:t>
      </w:r>
    </w:p>
    <w:p w14:paraId="23AB68F7" w14:textId="77777777" w:rsidR="0071705B" w:rsidRPr="009E35ED" w:rsidRDefault="0071705B" w:rsidP="001C371F">
      <w:pPr>
        <w:numPr>
          <w:ilvl w:val="0"/>
          <w:numId w:val="11"/>
        </w:numPr>
        <w:rPr>
          <w:rFonts w:ascii="Arial" w:hAnsi="Arial" w:cs="Arial"/>
          <w:color w:val="000000" w:themeColor="text1"/>
          <w:sz w:val="22"/>
          <w:szCs w:val="22"/>
          <w:lang w:val="en-GB" w:eastAsia="zh-CN"/>
        </w:rPr>
      </w:pPr>
      <w:r w:rsidRPr="009E35ED">
        <w:rPr>
          <w:rFonts w:ascii="Arial" w:hAnsi="Arial" w:cs="Arial"/>
          <w:color w:val="000000" w:themeColor="text1"/>
          <w:sz w:val="22"/>
          <w:szCs w:val="22"/>
          <w:lang w:val="en-GB" w:eastAsia="zh-CN"/>
        </w:rPr>
        <w:t>Compliance with regulatory and other legal requirements</w:t>
      </w:r>
    </w:p>
    <w:p w14:paraId="01E68534" w14:textId="77777777" w:rsidR="0071705B" w:rsidRPr="009E35ED" w:rsidRDefault="0071705B" w:rsidP="001C371F">
      <w:pPr>
        <w:numPr>
          <w:ilvl w:val="0"/>
          <w:numId w:val="11"/>
        </w:numPr>
        <w:rPr>
          <w:rFonts w:ascii="Arial" w:hAnsi="Arial" w:cs="Arial"/>
          <w:color w:val="000000" w:themeColor="text1"/>
          <w:sz w:val="22"/>
          <w:szCs w:val="22"/>
          <w:lang w:val="en-GB" w:eastAsia="zh-CN"/>
        </w:rPr>
      </w:pPr>
      <w:r w:rsidRPr="009E35ED">
        <w:rPr>
          <w:rFonts w:ascii="Arial" w:hAnsi="Arial" w:cs="Arial"/>
          <w:color w:val="000000" w:themeColor="text1"/>
          <w:sz w:val="22"/>
          <w:szCs w:val="22"/>
          <w:lang w:val="en-GB" w:eastAsia="zh-CN"/>
        </w:rPr>
        <w:t>Documentation of controls and procedures</w:t>
      </w:r>
    </w:p>
    <w:p w14:paraId="0390DB95" w14:textId="77777777" w:rsidR="0071705B" w:rsidRPr="009E35ED" w:rsidRDefault="0071705B" w:rsidP="001C371F">
      <w:pPr>
        <w:numPr>
          <w:ilvl w:val="0"/>
          <w:numId w:val="11"/>
        </w:numPr>
        <w:rPr>
          <w:rFonts w:ascii="Arial" w:hAnsi="Arial" w:cs="Arial"/>
          <w:color w:val="000000" w:themeColor="text1"/>
          <w:sz w:val="22"/>
          <w:szCs w:val="22"/>
          <w:lang w:val="en-GB" w:eastAsia="zh-CN"/>
        </w:rPr>
      </w:pPr>
      <w:r w:rsidRPr="009E35ED">
        <w:rPr>
          <w:rFonts w:ascii="Arial" w:hAnsi="Arial" w:cs="Arial"/>
          <w:color w:val="000000" w:themeColor="text1"/>
          <w:sz w:val="22"/>
          <w:szCs w:val="22"/>
          <w:lang w:val="en-GB" w:eastAsia="zh-CN"/>
        </w:rPr>
        <w:t>Requirements for the periodic assessment of operational risk faced, and the adequacy of controls and procedures to address the risk identified</w:t>
      </w:r>
    </w:p>
    <w:p w14:paraId="6744A5BE" w14:textId="77777777" w:rsidR="0071705B" w:rsidRPr="009E35ED" w:rsidRDefault="0071705B" w:rsidP="001C371F">
      <w:pPr>
        <w:numPr>
          <w:ilvl w:val="0"/>
          <w:numId w:val="11"/>
        </w:numPr>
        <w:rPr>
          <w:rFonts w:ascii="Arial" w:hAnsi="Arial" w:cs="Arial"/>
          <w:color w:val="000000" w:themeColor="text1"/>
          <w:sz w:val="22"/>
          <w:szCs w:val="22"/>
          <w:lang w:val="en-GB" w:eastAsia="zh-CN"/>
        </w:rPr>
      </w:pPr>
      <w:r w:rsidRPr="009E35ED">
        <w:rPr>
          <w:rFonts w:ascii="Arial" w:hAnsi="Arial" w:cs="Arial"/>
          <w:color w:val="000000" w:themeColor="text1"/>
          <w:sz w:val="22"/>
          <w:szCs w:val="22"/>
          <w:lang w:val="en-GB" w:eastAsia="zh-CN"/>
        </w:rPr>
        <w:t>Requirements for the reporting of operational losses and proposed remedial action</w:t>
      </w:r>
    </w:p>
    <w:p w14:paraId="4F9746D9" w14:textId="77777777" w:rsidR="0071705B" w:rsidRPr="009E35ED" w:rsidRDefault="0071705B" w:rsidP="001C371F">
      <w:pPr>
        <w:numPr>
          <w:ilvl w:val="0"/>
          <w:numId w:val="11"/>
        </w:numPr>
        <w:rPr>
          <w:rFonts w:ascii="Arial" w:hAnsi="Arial" w:cs="Arial"/>
          <w:color w:val="000000" w:themeColor="text1"/>
          <w:sz w:val="22"/>
          <w:szCs w:val="22"/>
          <w:lang w:val="en-GB" w:eastAsia="zh-CN"/>
        </w:rPr>
      </w:pPr>
      <w:r w:rsidRPr="009E35ED">
        <w:rPr>
          <w:rFonts w:ascii="Arial" w:hAnsi="Arial" w:cs="Arial"/>
          <w:color w:val="000000" w:themeColor="text1"/>
          <w:sz w:val="22"/>
          <w:szCs w:val="22"/>
          <w:lang w:val="en-GB" w:eastAsia="zh-CN"/>
        </w:rPr>
        <w:t>Development of contingency plans</w:t>
      </w:r>
    </w:p>
    <w:p w14:paraId="7985E5C5" w14:textId="77777777" w:rsidR="0071705B" w:rsidRPr="009E35ED" w:rsidRDefault="0071705B" w:rsidP="001C371F">
      <w:pPr>
        <w:numPr>
          <w:ilvl w:val="0"/>
          <w:numId w:val="11"/>
        </w:numPr>
        <w:rPr>
          <w:rFonts w:ascii="Arial" w:hAnsi="Arial" w:cs="Arial"/>
          <w:color w:val="000000" w:themeColor="text1"/>
          <w:sz w:val="22"/>
          <w:szCs w:val="22"/>
          <w:lang w:val="en-GB" w:eastAsia="zh-CN"/>
        </w:rPr>
      </w:pPr>
      <w:r w:rsidRPr="009E35ED">
        <w:rPr>
          <w:rFonts w:ascii="Arial" w:hAnsi="Arial" w:cs="Arial"/>
          <w:color w:val="000000" w:themeColor="text1"/>
          <w:sz w:val="22"/>
          <w:szCs w:val="22"/>
          <w:lang w:val="en-GB" w:eastAsia="zh-CN"/>
        </w:rPr>
        <w:t>Training and professional development</w:t>
      </w:r>
    </w:p>
    <w:p w14:paraId="20CCA8D6" w14:textId="77777777" w:rsidR="0071705B" w:rsidRPr="009E35ED" w:rsidRDefault="0071705B" w:rsidP="001C371F">
      <w:pPr>
        <w:numPr>
          <w:ilvl w:val="0"/>
          <w:numId w:val="11"/>
        </w:numPr>
        <w:rPr>
          <w:rFonts w:ascii="Arial" w:hAnsi="Arial" w:cs="Arial"/>
          <w:color w:val="000000" w:themeColor="text1"/>
          <w:sz w:val="22"/>
          <w:szCs w:val="22"/>
          <w:lang w:val="en-GB" w:eastAsia="zh-CN"/>
        </w:rPr>
      </w:pPr>
      <w:r w:rsidRPr="009E35ED">
        <w:rPr>
          <w:rFonts w:ascii="Arial" w:hAnsi="Arial" w:cs="Arial"/>
          <w:color w:val="000000" w:themeColor="text1"/>
          <w:sz w:val="22"/>
          <w:szCs w:val="22"/>
          <w:lang w:val="en-GB" w:eastAsia="zh-CN"/>
        </w:rPr>
        <w:t>Ethical and business standards</w:t>
      </w:r>
    </w:p>
    <w:p w14:paraId="50546EC2" w14:textId="29028F1B" w:rsidR="0071705B" w:rsidRPr="009E35ED" w:rsidRDefault="0071705B" w:rsidP="00AA29C9">
      <w:pPr>
        <w:numPr>
          <w:ilvl w:val="0"/>
          <w:numId w:val="11"/>
        </w:numPr>
        <w:rPr>
          <w:rFonts w:ascii="Arial" w:hAnsi="Arial" w:cs="Arial"/>
          <w:color w:val="000000" w:themeColor="text1"/>
          <w:sz w:val="22"/>
          <w:szCs w:val="22"/>
          <w:lang w:val="en-GB" w:eastAsia="zh-CN"/>
        </w:rPr>
      </w:pPr>
      <w:r w:rsidRPr="009E35ED">
        <w:rPr>
          <w:rFonts w:ascii="Arial" w:hAnsi="Arial" w:cs="Arial"/>
          <w:color w:val="000000" w:themeColor="text1"/>
          <w:sz w:val="22"/>
          <w:szCs w:val="22"/>
          <w:lang w:val="en-GB" w:eastAsia="zh-CN"/>
        </w:rPr>
        <w:t>Risk mitigation, including insurance where this is effective</w:t>
      </w:r>
    </w:p>
    <w:p w14:paraId="5C6CADA6" w14:textId="77777777" w:rsidR="00976F4E" w:rsidRDefault="00976F4E" w:rsidP="00803F8C">
      <w:pPr>
        <w:ind w:left="0"/>
        <w:rPr>
          <w:rFonts w:ascii="Arial" w:hAnsi="Arial" w:cs="Arial"/>
          <w:color w:val="000000" w:themeColor="text1"/>
          <w:sz w:val="22"/>
          <w:szCs w:val="22"/>
          <w:lang w:val="en-GB" w:eastAsia="zh-CN"/>
        </w:rPr>
      </w:pPr>
    </w:p>
    <w:p w14:paraId="5229D9A0" w14:textId="77777777" w:rsidR="0071705B" w:rsidRPr="009E35ED" w:rsidRDefault="0071705B" w:rsidP="00803F8C">
      <w:pPr>
        <w:ind w:left="0"/>
        <w:rPr>
          <w:rFonts w:ascii="Arial" w:hAnsi="Arial" w:cs="Arial"/>
          <w:color w:val="000000" w:themeColor="text1"/>
          <w:sz w:val="22"/>
          <w:szCs w:val="22"/>
          <w:lang w:val="en-GB" w:eastAsia="zh-CN"/>
        </w:rPr>
      </w:pPr>
      <w:r w:rsidRPr="009E35ED">
        <w:rPr>
          <w:rFonts w:ascii="Arial" w:hAnsi="Arial" w:cs="Arial"/>
          <w:color w:val="000000" w:themeColor="text1"/>
          <w:sz w:val="22"/>
          <w:szCs w:val="22"/>
          <w:lang w:val="en-GB" w:eastAsia="zh-CN"/>
        </w:rPr>
        <w:t>Compliance with corporate standards is supported by a program of periodic reviews undertaken by the Executive Committee. The results of periodic reviews are discussed with the Board of Directors.</w:t>
      </w:r>
    </w:p>
    <w:p w14:paraId="357B804D" w14:textId="77777777" w:rsidR="003158E0" w:rsidRPr="009E35ED" w:rsidRDefault="003158E0" w:rsidP="00A00CAD">
      <w:pPr>
        <w:ind w:left="0"/>
        <w:rPr>
          <w:rFonts w:ascii="Arial" w:hAnsi="Arial" w:cs="Arial"/>
          <w:color w:val="000000" w:themeColor="text1"/>
          <w:sz w:val="22"/>
          <w:szCs w:val="22"/>
        </w:rPr>
      </w:pPr>
    </w:p>
    <w:p w14:paraId="642777C2" w14:textId="77777777" w:rsidR="00170A57" w:rsidRPr="009E35ED" w:rsidRDefault="00170A57" w:rsidP="00A00CAD">
      <w:pPr>
        <w:ind w:left="0"/>
        <w:rPr>
          <w:rFonts w:ascii="Arial" w:hAnsi="Arial" w:cs="Arial"/>
          <w:color w:val="000000" w:themeColor="text1"/>
          <w:sz w:val="22"/>
          <w:szCs w:val="22"/>
        </w:rPr>
      </w:pPr>
    </w:p>
    <w:p w14:paraId="7FFC97A8" w14:textId="77777777" w:rsidR="00BD0B3B" w:rsidRPr="009E35ED" w:rsidRDefault="00BD0B3B" w:rsidP="001C371F">
      <w:pPr>
        <w:pStyle w:val="ListParagraph"/>
        <w:numPr>
          <w:ilvl w:val="0"/>
          <w:numId w:val="12"/>
        </w:numPr>
        <w:ind w:left="720" w:hanging="720"/>
        <w:rPr>
          <w:rFonts w:ascii="Arial" w:hAnsi="Arial" w:cs="Arial"/>
          <w:b/>
          <w:color w:val="000000" w:themeColor="text1"/>
          <w:sz w:val="22"/>
          <w:szCs w:val="22"/>
        </w:rPr>
      </w:pPr>
      <w:r w:rsidRPr="009E35ED">
        <w:rPr>
          <w:rFonts w:ascii="Arial" w:hAnsi="Arial" w:cs="Arial"/>
          <w:b/>
          <w:color w:val="000000" w:themeColor="text1"/>
          <w:sz w:val="22"/>
          <w:szCs w:val="22"/>
        </w:rPr>
        <w:t>CASH AND CASH EQUIVALENTS</w:t>
      </w:r>
    </w:p>
    <w:p w14:paraId="18531307" w14:textId="77777777" w:rsidR="00391294" w:rsidRPr="009E35ED" w:rsidRDefault="00391294" w:rsidP="00803F8C">
      <w:pPr>
        <w:ind w:left="0"/>
        <w:rPr>
          <w:rFonts w:ascii="Arial" w:hAnsi="Arial" w:cs="Arial"/>
          <w:color w:val="000000" w:themeColor="text1"/>
          <w:sz w:val="22"/>
          <w:szCs w:val="22"/>
        </w:rPr>
      </w:pPr>
    </w:p>
    <w:p w14:paraId="460DA4EC" w14:textId="4993E929" w:rsidR="006E34FF" w:rsidRPr="009E35ED" w:rsidRDefault="00FF7AE2" w:rsidP="00803F8C">
      <w:pPr>
        <w:ind w:left="0"/>
        <w:rPr>
          <w:rFonts w:ascii="Arial" w:hAnsi="Arial" w:cs="Arial"/>
          <w:color w:val="000000" w:themeColor="text1"/>
          <w:sz w:val="22"/>
          <w:szCs w:val="22"/>
        </w:rPr>
      </w:pPr>
      <w:r w:rsidRPr="009E35ED">
        <w:rPr>
          <w:rFonts w:ascii="Arial" w:hAnsi="Arial" w:cs="Arial"/>
          <w:color w:val="000000" w:themeColor="text1"/>
          <w:sz w:val="22"/>
          <w:szCs w:val="22"/>
        </w:rPr>
        <w:t xml:space="preserve">This </w:t>
      </w:r>
      <w:r w:rsidR="009D7990">
        <w:rPr>
          <w:rFonts w:ascii="Arial" w:hAnsi="Arial" w:cs="Arial"/>
          <w:color w:val="000000" w:themeColor="text1"/>
          <w:sz w:val="22"/>
          <w:szCs w:val="22"/>
        </w:rPr>
        <w:t>account consists the</w:t>
      </w:r>
      <w:r w:rsidR="00967710" w:rsidRPr="00967710">
        <w:rPr>
          <w:rFonts w:ascii="Arial" w:hAnsi="Arial" w:cs="Arial"/>
          <w:color w:val="000000" w:themeColor="text1"/>
          <w:sz w:val="22"/>
          <w:szCs w:val="22"/>
        </w:rPr>
        <w:t xml:space="preserve"> following</w:t>
      </w:r>
      <w:r w:rsidRPr="009E35ED">
        <w:rPr>
          <w:rFonts w:ascii="Arial" w:hAnsi="Arial" w:cs="Arial"/>
          <w:color w:val="000000" w:themeColor="text1"/>
          <w:sz w:val="22"/>
          <w:szCs w:val="22"/>
        </w:rPr>
        <w:t>:</w:t>
      </w:r>
    </w:p>
    <w:p w14:paraId="147CC01D" w14:textId="77777777" w:rsidR="006E34FF" w:rsidRPr="009E35ED" w:rsidRDefault="006E34FF" w:rsidP="00803F8C">
      <w:pPr>
        <w:ind w:left="720"/>
        <w:rPr>
          <w:rFonts w:ascii="Arial" w:hAnsi="Arial" w:cs="Arial"/>
          <w:color w:val="000000" w:themeColor="text1"/>
          <w:sz w:val="22"/>
          <w:szCs w:val="22"/>
        </w:rPr>
      </w:pPr>
    </w:p>
    <w:tbl>
      <w:tblPr>
        <w:tblW w:w="8644" w:type="dxa"/>
        <w:tblLook w:val="04A0" w:firstRow="1" w:lastRow="0" w:firstColumn="1" w:lastColumn="0" w:noHBand="0" w:noVBand="1"/>
      </w:tblPr>
      <w:tblGrid>
        <w:gridCol w:w="3690"/>
        <w:gridCol w:w="2514"/>
        <w:gridCol w:w="2440"/>
      </w:tblGrid>
      <w:tr w:rsidR="00997F75" w:rsidRPr="009E35ED" w14:paraId="78B158C9" w14:textId="77777777" w:rsidTr="00976F4E">
        <w:trPr>
          <w:trHeight w:val="254"/>
        </w:trPr>
        <w:tc>
          <w:tcPr>
            <w:tcW w:w="3690" w:type="dxa"/>
            <w:tcBorders>
              <w:top w:val="single" w:sz="4" w:space="0" w:color="auto"/>
              <w:left w:val="nil"/>
              <w:bottom w:val="single" w:sz="4" w:space="0" w:color="auto"/>
              <w:right w:val="nil"/>
            </w:tcBorders>
            <w:shd w:val="clear" w:color="auto" w:fill="auto"/>
            <w:noWrap/>
            <w:vAlign w:val="bottom"/>
            <w:hideMark/>
          </w:tcPr>
          <w:p w14:paraId="4734BFAC" w14:textId="77777777" w:rsidR="0015728F" w:rsidRPr="009E35ED" w:rsidRDefault="0015728F" w:rsidP="0015728F">
            <w:pPr>
              <w:ind w:left="0"/>
              <w:jc w:val="left"/>
              <w:rPr>
                <w:rFonts w:ascii="Arial Narrow" w:hAnsi="Arial Narrow" w:cs="Calibri"/>
                <w:color w:val="000000" w:themeColor="text1"/>
                <w:sz w:val="22"/>
                <w:szCs w:val="22"/>
              </w:rPr>
            </w:pPr>
            <w:r w:rsidRPr="009E35ED">
              <w:rPr>
                <w:rFonts w:ascii="Arial Narrow" w:hAnsi="Arial Narrow" w:cs="Calibri"/>
                <w:color w:val="000000" w:themeColor="text1"/>
                <w:sz w:val="22"/>
                <w:szCs w:val="22"/>
              </w:rPr>
              <w:t> </w:t>
            </w:r>
          </w:p>
        </w:tc>
        <w:tc>
          <w:tcPr>
            <w:tcW w:w="2514" w:type="dxa"/>
            <w:tcBorders>
              <w:top w:val="single" w:sz="4" w:space="0" w:color="auto"/>
              <w:left w:val="nil"/>
              <w:bottom w:val="single" w:sz="4" w:space="0" w:color="auto"/>
              <w:right w:val="nil"/>
            </w:tcBorders>
            <w:shd w:val="clear" w:color="auto" w:fill="auto"/>
            <w:noWrap/>
            <w:vAlign w:val="bottom"/>
            <w:hideMark/>
          </w:tcPr>
          <w:p w14:paraId="4DA9FD54" w14:textId="22F396D0" w:rsidR="0015728F" w:rsidRPr="009E35ED" w:rsidRDefault="003F591D" w:rsidP="000D2E88">
            <w:pPr>
              <w:ind w:left="0"/>
              <w:jc w:val="right"/>
              <w:rPr>
                <w:rFonts w:ascii="Arial Narrow" w:hAnsi="Arial Narrow" w:cs="Calibri"/>
                <w:b/>
                <w:bCs/>
                <w:color w:val="000000" w:themeColor="text1"/>
                <w:sz w:val="22"/>
                <w:szCs w:val="22"/>
              </w:rPr>
            </w:pPr>
            <w:r w:rsidRPr="009E35ED">
              <w:rPr>
                <w:rFonts w:ascii="Arial Narrow" w:hAnsi="Arial Narrow" w:cs="Calibri"/>
                <w:b/>
                <w:bCs/>
                <w:color w:val="000000" w:themeColor="text1"/>
                <w:sz w:val="22"/>
                <w:szCs w:val="22"/>
              </w:rPr>
              <w:t>202</w:t>
            </w:r>
            <w:r w:rsidR="00FA1002" w:rsidRPr="009E35ED">
              <w:rPr>
                <w:rFonts w:ascii="Arial Narrow" w:hAnsi="Arial Narrow" w:cs="Calibri"/>
                <w:b/>
                <w:bCs/>
                <w:color w:val="000000" w:themeColor="text1"/>
                <w:sz w:val="22"/>
                <w:szCs w:val="22"/>
              </w:rPr>
              <w:t>3</w:t>
            </w:r>
          </w:p>
        </w:tc>
        <w:tc>
          <w:tcPr>
            <w:tcW w:w="2440" w:type="dxa"/>
            <w:tcBorders>
              <w:top w:val="single" w:sz="4" w:space="0" w:color="auto"/>
              <w:left w:val="nil"/>
              <w:bottom w:val="single" w:sz="4" w:space="0" w:color="auto"/>
              <w:right w:val="nil"/>
            </w:tcBorders>
            <w:shd w:val="clear" w:color="auto" w:fill="auto"/>
            <w:noWrap/>
            <w:vAlign w:val="bottom"/>
            <w:hideMark/>
          </w:tcPr>
          <w:p w14:paraId="0D68632C" w14:textId="3C284DE7" w:rsidR="00613699" w:rsidRPr="009E35ED" w:rsidRDefault="003F591D" w:rsidP="00976F4E">
            <w:pPr>
              <w:ind w:left="0" w:right="-104"/>
              <w:jc w:val="right"/>
              <w:rPr>
                <w:rFonts w:ascii="Arial Narrow" w:hAnsi="Arial Narrow" w:cs="Calibri"/>
                <w:b/>
                <w:bCs/>
                <w:color w:val="000000" w:themeColor="text1"/>
                <w:sz w:val="22"/>
                <w:szCs w:val="22"/>
              </w:rPr>
            </w:pPr>
            <w:r w:rsidRPr="009E35ED">
              <w:rPr>
                <w:rFonts w:ascii="Arial Narrow" w:hAnsi="Arial Narrow" w:cs="Calibri"/>
                <w:b/>
                <w:bCs/>
                <w:color w:val="000000" w:themeColor="text1"/>
                <w:sz w:val="22"/>
                <w:szCs w:val="22"/>
              </w:rPr>
              <w:t>202</w:t>
            </w:r>
            <w:r w:rsidR="00FA1002" w:rsidRPr="009E35ED">
              <w:rPr>
                <w:rFonts w:ascii="Arial Narrow" w:hAnsi="Arial Narrow" w:cs="Calibri"/>
                <w:b/>
                <w:bCs/>
                <w:color w:val="000000" w:themeColor="text1"/>
                <w:sz w:val="22"/>
                <w:szCs w:val="22"/>
              </w:rPr>
              <w:t>2</w:t>
            </w:r>
          </w:p>
        </w:tc>
      </w:tr>
      <w:tr w:rsidR="00997F75" w:rsidRPr="009E35ED" w14:paraId="4BC3BEFE" w14:textId="77777777" w:rsidTr="00976F4E">
        <w:trPr>
          <w:trHeight w:val="254"/>
        </w:trPr>
        <w:tc>
          <w:tcPr>
            <w:tcW w:w="3690" w:type="dxa"/>
            <w:tcBorders>
              <w:top w:val="nil"/>
              <w:left w:val="nil"/>
              <w:bottom w:val="nil"/>
              <w:right w:val="nil"/>
            </w:tcBorders>
            <w:shd w:val="clear" w:color="auto" w:fill="auto"/>
            <w:noWrap/>
            <w:vAlign w:val="bottom"/>
            <w:hideMark/>
          </w:tcPr>
          <w:p w14:paraId="46A81400" w14:textId="656CCF6A" w:rsidR="00680913" w:rsidRPr="009E35ED" w:rsidRDefault="00680913" w:rsidP="00976F4E">
            <w:pPr>
              <w:ind w:left="-108"/>
              <w:jc w:val="left"/>
              <w:rPr>
                <w:rFonts w:ascii="Arial Narrow" w:hAnsi="Arial Narrow" w:cs="Calibri"/>
                <w:color w:val="000000" w:themeColor="text1"/>
                <w:sz w:val="22"/>
                <w:szCs w:val="22"/>
              </w:rPr>
            </w:pPr>
            <w:r w:rsidRPr="009E35ED">
              <w:rPr>
                <w:rFonts w:ascii="Arial Narrow" w:hAnsi="Arial Narrow" w:cs="Calibri"/>
                <w:color w:val="000000" w:themeColor="text1"/>
                <w:sz w:val="22"/>
                <w:szCs w:val="22"/>
              </w:rPr>
              <w:t xml:space="preserve">Cash in </w:t>
            </w:r>
            <w:r w:rsidR="00773350">
              <w:rPr>
                <w:rFonts w:ascii="Arial Narrow" w:hAnsi="Arial Narrow" w:cs="Calibri"/>
                <w:color w:val="000000" w:themeColor="text1"/>
                <w:sz w:val="22"/>
                <w:szCs w:val="22"/>
              </w:rPr>
              <w:t>b</w:t>
            </w:r>
            <w:r w:rsidRPr="009E35ED">
              <w:rPr>
                <w:rFonts w:ascii="Arial Narrow" w:hAnsi="Arial Narrow" w:cs="Calibri"/>
                <w:color w:val="000000" w:themeColor="text1"/>
                <w:sz w:val="22"/>
                <w:szCs w:val="22"/>
              </w:rPr>
              <w:t>ank</w:t>
            </w:r>
          </w:p>
        </w:tc>
        <w:tc>
          <w:tcPr>
            <w:tcW w:w="2514" w:type="dxa"/>
            <w:tcBorders>
              <w:top w:val="nil"/>
              <w:left w:val="nil"/>
              <w:bottom w:val="nil"/>
              <w:right w:val="nil"/>
            </w:tcBorders>
            <w:shd w:val="clear" w:color="auto" w:fill="auto"/>
            <w:noWrap/>
          </w:tcPr>
          <w:p w14:paraId="39141CF1" w14:textId="15C5C4C2" w:rsidR="00680913" w:rsidRPr="009E35ED" w:rsidRDefault="00680913" w:rsidP="00E04255">
            <w:pPr>
              <w:ind w:left="0"/>
              <w:jc w:val="right"/>
              <w:rPr>
                <w:rFonts w:ascii="Arial Narrow" w:hAnsi="Arial Narrow" w:cs="Calibri"/>
                <w:color w:val="000000" w:themeColor="text1"/>
                <w:sz w:val="22"/>
                <w:szCs w:val="22"/>
              </w:rPr>
            </w:pPr>
            <w:r w:rsidRPr="009E35ED">
              <w:rPr>
                <w:rFonts w:ascii="Arial Narrow" w:hAnsi="Arial Narrow"/>
                <w:color w:val="000000" w:themeColor="text1"/>
                <w:sz w:val="22"/>
                <w:szCs w:val="22"/>
              </w:rPr>
              <w:t xml:space="preserve"> </w:t>
            </w:r>
            <w:r w:rsidR="00035EC3" w:rsidRPr="009E35ED">
              <w:rPr>
                <w:rFonts w:ascii="Arial Narrow" w:hAnsi="Arial Narrow"/>
                <w:color w:val="000000" w:themeColor="text1"/>
                <w:sz w:val="22"/>
                <w:szCs w:val="22"/>
              </w:rPr>
              <w:t>20,053,884,867</w:t>
            </w:r>
            <w:r w:rsidRPr="009E35ED">
              <w:rPr>
                <w:rFonts w:ascii="Arial Narrow" w:hAnsi="Arial Narrow"/>
                <w:color w:val="000000" w:themeColor="text1"/>
                <w:sz w:val="22"/>
                <w:szCs w:val="22"/>
              </w:rPr>
              <w:t xml:space="preserve"> </w:t>
            </w:r>
          </w:p>
        </w:tc>
        <w:tc>
          <w:tcPr>
            <w:tcW w:w="2440" w:type="dxa"/>
            <w:tcBorders>
              <w:top w:val="nil"/>
              <w:left w:val="nil"/>
              <w:bottom w:val="nil"/>
              <w:right w:val="nil"/>
            </w:tcBorders>
            <w:shd w:val="clear" w:color="auto" w:fill="auto"/>
            <w:noWrap/>
            <w:vAlign w:val="bottom"/>
            <w:hideMark/>
          </w:tcPr>
          <w:p w14:paraId="53A71454" w14:textId="38254BBB" w:rsidR="00680913" w:rsidRPr="009E35ED" w:rsidRDefault="00680913" w:rsidP="00976F4E">
            <w:pPr>
              <w:ind w:left="0" w:right="-104"/>
              <w:jc w:val="right"/>
              <w:rPr>
                <w:rFonts w:ascii="Arial Narrow" w:hAnsi="Arial Narrow" w:cs="Calibri"/>
                <w:color w:val="000000" w:themeColor="text1"/>
                <w:sz w:val="22"/>
                <w:szCs w:val="22"/>
              </w:rPr>
            </w:pPr>
            <w:r w:rsidRPr="009E35ED">
              <w:rPr>
                <w:rFonts w:ascii="Arial Narrow" w:hAnsi="Arial Narrow"/>
                <w:color w:val="000000" w:themeColor="text1"/>
                <w:sz w:val="22"/>
                <w:szCs w:val="22"/>
              </w:rPr>
              <w:t xml:space="preserve"> 20,140,540,900 </w:t>
            </w:r>
          </w:p>
        </w:tc>
      </w:tr>
      <w:tr w:rsidR="00997F75" w:rsidRPr="009E35ED" w14:paraId="21E96877" w14:textId="77777777" w:rsidTr="00976F4E">
        <w:trPr>
          <w:trHeight w:val="254"/>
        </w:trPr>
        <w:tc>
          <w:tcPr>
            <w:tcW w:w="3690" w:type="dxa"/>
            <w:tcBorders>
              <w:top w:val="nil"/>
              <w:left w:val="nil"/>
              <w:bottom w:val="nil"/>
              <w:right w:val="nil"/>
            </w:tcBorders>
            <w:shd w:val="clear" w:color="auto" w:fill="auto"/>
            <w:noWrap/>
            <w:vAlign w:val="bottom"/>
          </w:tcPr>
          <w:p w14:paraId="392AF969" w14:textId="1A5E0468" w:rsidR="00680913" w:rsidRPr="009E35ED" w:rsidRDefault="00680913" w:rsidP="00976F4E">
            <w:pPr>
              <w:ind w:left="-108"/>
              <w:jc w:val="left"/>
              <w:rPr>
                <w:rFonts w:ascii="Arial Narrow" w:hAnsi="Arial Narrow" w:cs="Calibri"/>
                <w:color w:val="000000" w:themeColor="text1"/>
                <w:sz w:val="22"/>
                <w:szCs w:val="22"/>
              </w:rPr>
            </w:pPr>
            <w:r w:rsidRPr="009E35ED">
              <w:rPr>
                <w:rFonts w:ascii="Arial Narrow" w:hAnsi="Arial Narrow" w:cs="Calibri"/>
                <w:color w:val="000000" w:themeColor="text1"/>
                <w:sz w:val="22"/>
                <w:szCs w:val="22"/>
              </w:rPr>
              <w:t xml:space="preserve">Cash </w:t>
            </w:r>
            <w:r w:rsidR="00773350">
              <w:rPr>
                <w:rFonts w:ascii="Arial Narrow" w:hAnsi="Arial Narrow" w:cs="Calibri"/>
                <w:color w:val="000000" w:themeColor="text1"/>
                <w:sz w:val="22"/>
                <w:szCs w:val="22"/>
              </w:rPr>
              <w:t>e</w:t>
            </w:r>
            <w:r w:rsidRPr="009E35ED">
              <w:rPr>
                <w:rFonts w:ascii="Arial Narrow" w:hAnsi="Arial Narrow" w:cs="Calibri"/>
                <w:color w:val="000000" w:themeColor="text1"/>
                <w:sz w:val="22"/>
                <w:szCs w:val="22"/>
              </w:rPr>
              <w:t>quivalents</w:t>
            </w:r>
          </w:p>
        </w:tc>
        <w:tc>
          <w:tcPr>
            <w:tcW w:w="2514" w:type="dxa"/>
            <w:tcBorders>
              <w:top w:val="nil"/>
              <w:left w:val="nil"/>
              <w:bottom w:val="nil"/>
              <w:right w:val="nil"/>
            </w:tcBorders>
            <w:shd w:val="clear" w:color="auto" w:fill="auto"/>
            <w:noWrap/>
          </w:tcPr>
          <w:p w14:paraId="40AF0451" w14:textId="35F0A061" w:rsidR="00680913" w:rsidRPr="009E35ED" w:rsidRDefault="00680913" w:rsidP="00680913">
            <w:pPr>
              <w:ind w:left="0"/>
              <w:jc w:val="right"/>
              <w:rPr>
                <w:rFonts w:ascii="Arial Narrow" w:hAnsi="Arial Narrow" w:cs="Calibri"/>
                <w:color w:val="000000" w:themeColor="text1"/>
                <w:sz w:val="22"/>
                <w:szCs w:val="22"/>
              </w:rPr>
            </w:pPr>
            <w:r w:rsidRPr="009E35ED">
              <w:rPr>
                <w:rFonts w:ascii="Arial Narrow" w:hAnsi="Arial Narrow"/>
                <w:color w:val="000000" w:themeColor="text1"/>
                <w:sz w:val="22"/>
                <w:szCs w:val="22"/>
              </w:rPr>
              <w:t xml:space="preserve"> 308,500,000 </w:t>
            </w:r>
          </w:p>
        </w:tc>
        <w:tc>
          <w:tcPr>
            <w:tcW w:w="2440" w:type="dxa"/>
            <w:tcBorders>
              <w:top w:val="nil"/>
              <w:left w:val="nil"/>
              <w:bottom w:val="nil"/>
              <w:right w:val="nil"/>
            </w:tcBorders>
            <w:shd w:val="clear" w:color="auto" w:fill="auto"/>
            <w:noWrap/>
            <w:vAlign w:val="bottom"/>
          </w:tcPr>
          <w:p w14:paraId="154562BB" w14:textId="1A184262" w:rsidR="00680913" w:rsidRPr="009E35ED" w:rsidRDefault="00680913" w:rsidP="00976F4E">
            <w:pPr>
              <w:ind w:left="0" w:right="-104"/>
              <w:jc w:val="right"/>
              <w:rPr>
                <w:rFonts w:ascii="Arial Narrow" w:hAnsi="Arial Narrow" w:cs="Calibri"/>
                <w:color w:val="000000" w:themeColor="text1"/>
                <w:sz w:val="22"/>
                <w:szCs w:val="22"/>
              </w:rPr>
            </w:pPr>
            <w:r w:rsidRPr="009E35ED">
              <w:rPr>
                <w:rFonts w:ascii="Arial Narrow" w:hAnsi="Arial Narrow"/>
                <w:color w:val="000000" w:themeColor="text1"/>
                <w:sz w:val="22"/>
                <w:szCs w:val="22"/>
              </w:rPr>
              <w:t xml:space="preserve"> 188,965,000 </w:t>
            </w:r>
          </w:p>
        </w:tc>
      </w:tr>
      <w:tr w:rsidR="00997F75" w:rsidRPr="009E35ED" w14:paraId="26C2A064" w14:textId="77777777" w:rsidTr="00976F4E">
        <w:trPr>
          <w:trHeight w:val="254"/>
        </w:trPr>
        <w:tc>
          <w:tcPr>
            <w:tcW w:w="3690" w:type="dxa"/>
            <w:tcBorders>
              <w:top w:val="nil"/>
              <w:left w:val="nil"/>
              <w:bottom w:val="nil"/>
              <w:right w:val="nil"/>
            </w:tcBorders>
            <w:shd w:val="clear" w:color="auto" w:fill="auto"/>
            <w:noWrap/>
            <w:vAlign w:val="bottom"/>
            <w:hideMark/>
          </w:tcPr>
          <w:p w14:paraId="2F83065E" w14:textId="3EFB6A08" w:rsidR="0050059C" w:rsidRPr="009E35ED" w:rsidRDefault="0050059C" w:rsidP="00976F4E">
            <w:pPr>
              <w:ind w:left="-108"/>
              <w:jc w:val="left"/>
              <w:rPr>
                <w:rFonts w:ascii="Arial Narrow" w:hAnsi="Arial Narrow" w:cs="Calibri"/>
                <w:color w:val="000000" w:themeColor="text1"/>
                <w:sz w:val="22"/>
                <w:szCs w:val="22"/>
              </w:rPr>
            </w:pPr>
            <w:r w:rsidRPr="009E35ED">
              <w:rPr>
                <w:rFonts w:ascii="Arial Narrow" w:hAnsi="Arial Narrow" w:cs="Calibri"/>
                <w:color w:val="000000" w:themeColor="text1"/>
                <w:sz w:val="22"/>
                <w:szCs w:val="22"/>
              </w:rPr>
              <w:t xml:space="preserve">Cash - </w:t>
            </w:r>
            <w:r w:rsidR="00773350">
              <w:rPr>
                <w:rFonts w:ascii="Arial Narrow" w:hAnsi="Arial Narrow" w:cs="Calibri"/>
                <w:color w:val="000000" w:themeColor="text1"/>
                <w:sz w:val="22"/>
                <w:szCs w:val="22"/>
              </w:rPr>
              <w:t>c</w:t>
            </w:r>
            <w:r w:rsidRPr="009E35ED">
              <w:rPr>
                <w:rFonts w:ascii="Arial Narrow" w:hAnsi="Arial Narrow" w:cs="Calibri"/>
                <w:color w:val="000000" w:themeColor="text1"/>
                <w:sz w:val="22"/>
                <w:szCs w:val="22"/>
              </w:rPr>
              <w:t xml:space="preserve">ollecting </w:t>
            </w:r>
            <w:r w:rsidR="00773350">
              <w:rPr>
                <w:rFonts w:ascii="Arial Narrow" w:hAnsi="Arial Narrow" w:cs="Calibri"/>
                <w:color w:val="000000" w:themeColor="text1"/>
                <w:sz w:val="22"/>
                <w:szCs w:val="22"/>
              </w:rPr>
              <w:t>o</w:t>
            </w:r>
            <w:r w:rsidRPr="009E35ED">
              <w:rPr>
                <w:rFonts w:ascii="Arial Narrow" w:hAnsi="Arial Narrow" w:cs="Calibri"/>
                <w:color w:val="000000" w:themeColor="text1"/>
                <w:sz w:val="22"/>
                <w:szCs w:val="22"/>
              </w:rPr>
              <w:t>fficers</w:t>
            </w:r>
          </w:p>
        </w:tc>
        <w:tc>
          <w:tcPr>
            <w:tcW w:w="2514" w:type="dxa"/>
            <w:tcBorders>
              <w:top w:val="nil"/>
              <w:left w:val="nil"/>
              <w:bottom w:val="nil"/>
              <w:right w:val="nil"/>
            </w:tcBorders>
            <w:shd w:val="clear" w:color="auto" w:fill="auto"/>
            <w:noWrap/>
          </w:tcPr>
          <w:p w14:paraId="509813CC" w14:textId="702B580C" w:rsidR="0050059C" w:rsidRPr="009E35ED" w:rsidRDefault="0050059C" w:rsidP="0050059C">
            <w:pPr>
              <w:ind w:left="0"/>
              <w:jc w:val="right"/>
              <w:rPr>
                <w:rFonts w:ascii="Arial Narrow" w:hAnsi="Arial Narrow" w:cs="Calibri"/>
                <w:color w:val="000000" w:themeColor="text1"/>
                <w:sz w:val="22"/>
                <w:szCs w:val="22"/>
              </w:rPr>
            </w:pPr>
            <w:r w:rsidRPr="009E35ED">
              <w:rPr>
                <w:rFonts w:ascii="Arial Narrow" w:hAnsi="Arial Narrow"/>
                <w:color w:val="000000" w:themeColor="text1"/>
                <w:sz w:val="22"/>
                <w:szCs w:val="22"/>
              </w:rPr>
              <w:t xml:space="preserve"> 16,583,415 </w:t>
            </w:r>
          </w:p>
        </w:tc>
        <w:tc>
          <w:tcPr>
            <w:tcW w:w="2440" w:type="dxa"/>
            <w:tcBorders>
              <w:top w:val="nil"/>
              <w:left w:val="nil"/>
              <w:bottom w:val="nil"/>
              <w:right w:val="nil"/>
            </w:tcBorders>
            <w:shd w:val="clear" w:color="auto" w:fill="auto"/>
            <w:noWrap/>
            <w:vAlign w:val="bottom"/>
            <w:hideMark/>
          </w:tcPr>
          <w:p w14:paraId="753C562B" w14:textId="2BAAF536" w:rsidR="0050059C" w:rsidRPr="009E35ED" w:rsidRDefault="0050059C" w:rsidP="00976F4E">
            <w:pPr>
              <w:ind w:left="0" w:right="-104"/>
              <w:jc w:val="right"/>
              <w:rPr>
                <w:rFonts w:ascii="Arial Narrow" w:hAnsi="Arial Narrow" w:cs="Calibri"/>
                <w:color w:val="000000" w:themeColor="text1"/>
                <w:sz w:val="22"/>
                <w:szCs w:val="22"/>
              </w:rPr>
            </w:pPr>
            <w:r w:rsidRPr="009E35ED">
              <w:rPr>
                <w:rFonts w:ascii="Arial Narrow" w:hAnsi="Arial Narrow"/>
                <w:color w:val="000000" w:themeColor="text1"/>
                <w:sz w:val="22"/>
                <w:szCs w:val="22"/>
              </w:rPr>
              <w:t xml:space="preserve"> 12,005,339 </w:t>
            </w:r>
          </w:p>
        </w:tc>
      </w:tr>
      <w:tr w:rsidR="00997F75" w:rsidRPr="009E35ED" w14:paraId="73C2C125" w14:textId="77777777" w:rsidTr="00976F4E">
        <w:trPr>
          <w:trHeight w:val="254"/>
        </w:trPr>
        <w:tc>
          <w:tcPr>
            <w:tcW w:w="3690" w:type="dxa"/>
            <w:tcBorders>
              <w:top w:val="nil"/>
              <w:left w:val="nil"/>
              <w:bottom w:val="nil"/>
              <w:right w:val="nil"/>
            </w:tcBorders>
            <w:shd w:val="clear" w:color="auto" w:fill="auto"/>
            <w:noWrap/>
            <w:vAlign w:val="bottom"/>
            <w:hideMark/>
          </w:tcPr>
          <w:p w14:paraId="138FDE0B" w14:textId="287DEC0C" w:rsidR="0050059C" w:rsidRPr="009E35ED" w:rsidRDefault="0050059C" w:rsidP="00976F4E">
            <w:pPr>
              <w:ind w:left="-108"/>
              <w:jc w:val="left"/>
              <w:rPr>
                <w:rFonts w:ascii="Arial Narrow" w:hAnsi="Arial Narrow" w:cs="Calibri"/>
                <w:color w:val="000000" w:themeColor="text1"/>
                <w:sz w:val="22"/>
                <w:szCs w:val="22"/>
              </w:rPr>
            </w:pPr>
            <w:r w:rsidRPr="009E35ED">
              <w:rPr>
                <w:rFonts w:ascii="Arial Narrow" w:hAnsi="Arial Narrow" w:cs="Calibri"/>
                <w:color w:val="000000" w:themeColor="text1"/>
                <w:sz w:val="22"/>
                <w:szCs w:val="22"/>
              </w:rPr>
              <w:t xml:space="preserve">Petty </w:t>
            </w:r>
            <w:r w:rsidR="00773350">
              <w:rPr>
                <w:rFonts w:ascii="Arial Narrow" w:hAnsi="Arial Narrow" w:cs="Calibri"/>
                <w:color w:val="000000" w:themeColor="text1"/>
                <w:sz w:val="22"/>
                <w:szCs w:val="22"/>
              </w:rPr>
              <w:t>c</w:t>
            </w:r>
            <w:r w:rsidRPr="009E35ED">
              <w:rPr>
                <w:rFonts w:ascii="Arial Narrow" w:hAnsi="Arial Narrow" w:cs="Calibri"/>
                <w:color w:val="000000" w:themeColor="text1"/>
                <w:sz w:val="22"/>
                <w:szCs w:val="22"/>
              </w:rPr>
              <w:t xml:space="preserve">ash </w:t>
            </w:r>
            <w:r w:rsidR="00773350">
              <w:rPr>
                <w:rFonts w:ascii="Arial Narrow" w:hAnsi="Arial Narrow" w:cs="Calibri"/>
                <w:color w:val="000000" w:themeColor="text1"/>
                <w:sz w:val="22"/>
                <w:szCs w:val="22"/>
              </w:rPr>
              <w:t>f</w:t>
            </w:r>
            <w:r w:rsidRPr="009E35ED">
              <w:rPr>
                <w:rFonts w:ascii="Arial Narrow" w:hAnsi="Arial Narrow" w:cs="Calibri"/>
                <w:color w:val="000000" w:themeColor="text1"/>
                <w:sz w:val="22"/>
                <w:szCs w:val="22"/>
              </w:rPr>
              <w:t>und</w:t>
            </w:r>
          </w:p>
        </w:tc>
        <w:tc>
          <w:tcPr>
            <w:tcW w:w="2514" w:type="dxa"/>
            <w:tcBorders>
              <w:top w:val="nil"/>
              <w:left w:val="nil"/>
              <w:bottom w:val="nil"/>
              <w:right w:val="nil"/>
            </w:tcBorders>
            <w:shd w:val="clear" w:color="auto" w:fill="auto"/>
            <w:noWrap/>
          </w:tcPr>
          <w:p w14:paraId="11460AF0" w14:textId="49DDC623" w:rsidR="0050059C" w:rsidRPr="009E35ED" w:rsidRDefault="0050059C" w:rsidP="0050059C">
            <w:pPr>
              <w:ind w:left="0"/>
              <w:jc w:val="right"/>
              <w:rPr>
                <w:rFonts w:ascii="Arial Narrow" w:hAnsi="Arial Narrow" w:cs="Calibri"/>
                <w:color w:val="000000" w:themeColor="text1"/>
                <w:sz w:val="22"/>
                <w:szCs w:val="22"/>
              </w:rPr>
            </w:pPr>
            <w:r w:rsidRPr="009E35ED">
              <w:rPr>
                <w:rFonts w:ascii="Arial Narrow" w:hAnsi="Arial Narrow"/>
                <w:color w:val="000000" w:themeColor="text1"/>
                <w:sz w:val="22"/>
                <w:szCs w:val="22"/>
              </w:rPr>
              <w:t xml:space="preserve"> 3,460,993 </w:t>
            </w:r>
          </w:p>
        </w:tc>
        <w:tc>
          <w:tcPr>
            <w:tcW w:w="2440" w:type="dxa"/>
            <w:tcBorders>
              <w:top w:val="nil"/>
              <w:left w:val="nil"/>
              <w:bottom w:val="nil"/>
              <w:right w:val="nil"/>
            </w:tcBorders>
            <w:shd w:val="clear" w:color="auto" w:fill="auto"/>
            <w:noWrap/>
            <w:vAlign w:val="bottom"/>
            <w:hideMark/>
          </w:tcPr>
          <w:p w14:paraId="471E62D8" w14:textId="559EA693" w:rsidR="0050059C" w:rsidRPr="009E35ED" w:rsidRDefault="0050059C" w:rsidP="00976F4E">
            <w:pPr>
              <w:ind w:left="0" w:right="-104"/>
              <w:jc w:val="right"/>
              <w:rPr>
                <w:rFonts w:ascii="Arial Narrow" w:hAnsi="Arial Narrow" w:cs="Calibri"/>
                <w:color w:val="000000" w:themeColor="text1"/>
                <w:sz w:val="22"/>
                <w:szCs w:val="22"/>
              </w:rPr>
            </w:pPr>
            <w:r w:rsidRPr="009E35ED">
              <w:rPr>
                <w:rFonts w:ascii="Arial Narrow" w:hAnsi="Arial Narrow"/>
                <w:color w:val="000000" w:themeColor="text1"/>
                <w:sz w:val="22"/>
                <w:szCs w:val="22"/>
              </w:rPr>
              <w:t xml:space="preserve"> 1,254,176 </w:t>
            </w:r>
          </w:p>
        </w:tc>
      </w:tr>
      <w:tr w:rsidR="0050059C" w:rsidRPr="009E35ED" w14:paraId="5EC58C95" w14:textId="77777777" w:rsidTr="00976F4E">
        <w:trPr>
          <w:trHeight w:val="266"/>
        </w:trPr>
        <w:tc>
          <w:tcPr>
            <w:tcW w:w="3690" w:type="dxa"/>
            <w:tcBorders>
              <w:top w:val="single" w:sz="4" w:space="0" w:color="auto"/>
              <w:left w:val="nil"/>
              <w:bottom w:val="double" w:sz="6" w:space="0" w:color="auto"/>
              <w:right w:val="nil"/>
            </w:tcBorders>
            <w:shd w:val="clear" w:color="auto" w:fill="auto"/>
            <w:noWrap/>
            <w:vAlign w:val="bottom"/>
            <w:hideMark/>
          </w:tcPr>
          <w:p w14:paraId="1178AFFD" w14:textId="77777777" w:rsidR="0050059C" w:rsidRPr="009E35ED" w:rsidRDefault="0050059C" w:rsidP="00976F4E">
            <w:pPr>
              <w:ind w:left="-108"/>
              <w:jc w:val="left"/>
              <w:rPr>
                <w:rFonts w:ascii="Arial Narrow" w:hAnsi="Arial Narrow" w:cs="Calibri"/>
                <w:b/>
                <w:bCs/>
                <w:color w:val="000000" w:themeColor="text1"/>
                <w:sz w:val="22"/>
                <w:szCs w:val="22"/>
              </w:rPr>
            </w:pPr>
            <w:r w:rsidRPr="009E35ED">
              <w:rPr>
                <w:rFonts w:ascii="Arial Narrow" w:hAnsi="Arial Narrow" w:cs="Calibri"/>
                <w:b/>
                <w:bCs/>
                <w:color w:val="000000" w:themeColor="text1"/>
                <w:sz w:val="22"/>
                <w:szCs w:val="22"/>
              </w:rPr>
              <w:t>Total</w:t>
            </w:r>
          </w:p>
        </w:tc>
        <w:tc>
          <w:tcPr>
            <w:tcW w:w="2514" w:type="dxa"/>
            <w:tcBorders>
              <w:top w:val="single" w:sz="4" w:space="0" w:color="auto"/>
              <w:left w:val="nil"/>
              <w:bottom w:val="double" w:sz="6" w:space="0" w:color="auto"/>
              <w:right w:val="nil"/>
            </w:tcBorders>
            <w:shd w:val="clear" w:color="auto" w:fill="auto"/>
            <w:noWrap/>
          </w:tcPr>
          <w:p w14:paraId="5E044703" w14:textId="0F5FB949" w:rsidR="0050059C" w:rsidRPr="009E35ED" w:rsidRDefault="0050059C" w:rsidP="00E04255">
            <w:pPr>
              <w:ind w:left="0"/>
              <w:jc w:val="right"/>
              <w:rPr>
                <w:rFonts w:ascii="Arial Narrow" w:hAnsi="Arial Narrow" w:cs="Calibri"/>
                <w:b/>
                <w:bCs/>
                <w:color w:val="000000" w:themeColor="text1"/>
                <w:sz w:val="22"/>
                <w:szCs w:val="22"/>
              </w:rPr>
            </w:pPr>
            <w:r w:rsidRPr="009E35ED">
              <w:rPr>
                <w:rFonts w:ascii="Arial Narrow" w:hAnsi="Arial Narrow"/>
                <w:b/>
                <w:bCs/>
                <w:color w:val="000000" w:themeColor="text1"/>
                <w:sz w:val="22"/>
                <w:szCs w:val="22"/>
              </w:rPr>
              <w:t xml:space="preserve"> 20,38</w:t>
            </w:r>
            <w:r w:rsidR="00E04255" w:rsidRPr="009E35ED">
              <w:rPr>
                <w:rFonts w:ascii="Arial Narrow" w:hAnsi="Arial Narrow"/>
                <w:b/>
                <w:bCs/>
                <w:color w:val="000000" w:themeColor="text1"/>
                <w:sz w:val="22"/>
                <w:szCs w:val="22"/>
              </w:rPr>
              <w:t>2</w:t>
            </w:r>
            <w:r w:rsidRPr="009E35ED">
              <w:rPr>
                <w:rFonts w:ascii="Arial Narrow" w:hAnsi="Arial Narrow"/>
                <w:b/>
                <w:bCs/>
                <w:color w:val="000000" w:themeColor="text1"/>
                <w:sz w:val="22"/>
                <w:szCs w:val="22"/>
              </w:rPr>
              <w:t>,</w:t>
            </w:r>
            <w:r w:rsidR="00E04255" w:rsidRPr="009E35ED">
              <w:rPr>
                <w:rFonts w:ascii="Arial Narrow" w:hAnsi="Arial Narrow"/>
                <w:b/>
                <w:bCs/>
                <w:color w:val="000000" w:themeColor="text1"/>
                <w:sz w:val="22"/>
                <w:szCs w:val="22"/>
              </w:rPr>
              <w:t>429</w:t>
            </w:r>
            <w:r w:rsidRPr="009E35ED">
              <w:rPr>
                <w:rFonts w:ascii="Arial Narrow" w:hAnsi="Arial Narrow"/>
                <w:b/>
                <w:bCs/>
                <w:color w:val="000000" w:themeColor="text1"/>
                <w:sz w:val="22"/>
                <w:szCs w:val="22"/>
              </w:rPr>
              <w:t>,2</w:t>
            </w:r>
            <w:r w:rsidR="00E04255" w:rsidRPr="009E35ED">
              <w:rPr>
                <w:rFonts w:ascii="Arial Narrow" w:hAnsi="Arial Narrow"/>
                <w:b/>
                <w:bCs/>
                <w:color w:val="000000" w:themeColor="text1"/>
                <w:sz w:val="22"/>
                <w:szCs w:val="22"/>
              </w:rPr>
              <w:t>75</w:t>
            </w:r>
            <w:r w:rsidRPr="009E35ED">
              <w:rPr>
                <w:rFonts w:ascii="Arial Narrow" w:hAnsi="Arial Narrow"/>
                <w:b/>
                <w:bCs/>
                <w:color w:val="000000" w:themeColor="text1"/>
                <w:sz w:val="22"/>
                <w:szCs w:val="22"/>
              </w:rPr>
              <w:t xml:space="preserve"> </w:t>
            </w:r>
          </w:p>
        </w:tc>
        <w:tc>
          <w:tcPr>
            <w:tcW w:w="2440" w:type="dxa"/>
            <w:tcBorders>
              <w:top w:val="single" w:sz="4" w:space="0" w:color="auto"/>
              <w:left w:val="nil"/>
              <w:bottom w:val="double" w:sz="6" w:space="0" w:color="auto"/>
              <w:right w:val="nil"/>
            </w:tcBorders>
            <w:shd w:val="clear" w:color="auto" w:fill="auto"/>
            <w:noWrap/>
            <w:vAlign w:val="bottom"/>
            <w:hideMark/>
          </w:tcPr>
          <w:p w14:paraId="65253094" w14:textId="58C9B6CD" w:rsidR="0050059C" w:rsidRPr="009E35ED" w:rsidRDefault="0050059C" w:rsidP="00976F4E">
            <w:pPr>
              <w:ind w:left="0" w:right="-104"/>
              <w:jc w:val="right"/>
              <w:rPr>
                <w:rFonts w:ascii="Arial Narrow" w:hAnsi="Arial Narrow" w:cs="Calibri"/>
                <w:b/>
                <w:bCs/>
                <w:color w:val="000000" w:themeColor="text1"/>
                <w:sz w:val="22"/>
                <w:szCs w:val="22"/>
              </w:rPr>
            </w:pPr>
            <w:r w:rsidRPr="009E35ED">
              <w:rPr>
                <w:rFonts w:ascii="Arial Narrow" w:hAnsi="Arial Narrow" w:cs="Calibri"/>
                <w:b/>
                <w:bCs/>
                <w:color w:val="000000" w:themeColor="text1"/>
                <w:sz w:val="22"/>
                <w:szCs w:val="22"/>
              </w:rPr>
              <w:t xml:space="preserve">          </w:t>
            </w:r>
            <w:r w:rsidRPr="009E35ED">
              <w:rPr>
                <w:rFonts w:ascii="Arial Narrow" w:hAnsi="Arial Narrow"/>
                <w:b/>
                <w:color w:val="000000" w:themeColor="text1"/>
                <w:sz w:val="22"/>
                <w:szCs w:val="22"/>
              </w:rPr>
              <w:t>20,342,765,415</w:t>
            </w:r>
          </w:p>
        </w:tc>
      </w:tr>
    </w:tbl>
    <w:p w14:paraId="0E6BC7D4" w14:textId="7E15EB57" w:rsidR="006E34FF" w:rsidRPr="009E35ED" w:rsidRDefault="006E34FF" w:rsidP="00803F8C">
      <w:pPr>
        <w:ind w:left="720"/>
        <w:rPr>
          <w:rFonts w:ascii="Arial" w:hAnsi="Arial" w:cs="Arial"/>
          <w:color w:val="000000" w:themeColor="text1"/>
          <w:sz w:val="22"/>
          <w:szCs w:val="22"/>
        </w:rPr>
      </w:pPr>
    </w:p>
    <w:p w14:paraId="2E068944" w14:textId="01D5571D" w:rsidR="007723D6" w:rsidRPr="009E35ED" w:rsidRDefault="007723D6" w:rsidP="007723D6">
      <w:pPr>
        <w:suppressAutoHyphens/>
        <w:ind w:left="0"/>
        <w:rPr>
          <w:rFonts w:ascii="Arial" w:hAnsi="Arial" w:cs="Arial"/>
          <w:color w:val="000000" w:themeColor="text1"/>
          <w:sz w:val="22"/>
          <w:szCs w:val="22"/>
          <w:lang w:eastAsia="ar-SA"/>
        </w:rPr>
      </w:pPr>
      <w:r w:rsidRPr="009E35ED">
        <w:rPr>
          <w:rFonts w:ascii="Arial" w:hAnsi="Arial" w:cs="Arial"/>
          <w:color w:val="000000" w:themeColor="text1"/>
          <w:sz w:val="22"/>
          <w:szCs w:val="22"/>
        </w:rPr>
        <w:t xml:space="preserve">Cash in </w:t>
      </w:r>
      <w:r w:rsidR="00773350">
        <w:rPr>
          <w:rFonts w:ascii="Arial" w:hAnsi="Arial" w:cs="Arial"/>
          <w:color w:val="000000" w:themeColor="text1"/>
          <w:sz w:val="22"/>
          <w:szCs w:val="22"/>
        </w:rPr>
        <w:t>b</w:t>
      </w:r>
      <w:r w:rsidRPr="009E35ED">
        <w:rPr>
          <w:rFonts w:ascii="Arial" w:hAnsi="Arial" w:cs="Arial"/>
          <w:color w:val="000000" w:themeColor="text1"/>
          <w:sz w:val="22"/>
          <w:szCs w:val="22"/>
        </w:rPr>
        <w:t xml:space="preserve">ank </w:t>
      </w:r>
      <w:r w:rsidRPr="009E35ED">
        <w:rPr>
          <w:rFonts w:ascii="Arial" w:hAnsi="Arial" w:cs="Arial"/>
          <w:color w:val="000000" w:themeColor="text1"/>
          <w:sz w:val="22"/>
          <w:szCs w:val="22"/>
          <w:lang w:eastAsia="ar-SA"/>
        </w:rPr>
        <w:t xml:space="preserve">represents the bank accounts (savings and current account) with the Land Bank of the Philippines (LBP) and other government depository banks maintained by the Home Office and branches. </w:t>
      </w:r>
    </w:p>
    <w:p w14:paraId="4BCCBAA3" w14:textId="77777777" w:rsidR="007723D6" w:rsidRPr="009E35ED" w:rsidRDefault="007723D6" w:rsidP="007723D6">
      <w:pPr>
        <w:ind w:left="0"/>
        <w:rPr>
          <w:rFonts w:ascii="Arial" w:hAnsi="Arial" w:cs="Arial"/>
          <w:b/>
          <w:color w:val="000000" w:themeColor="text1"/>
          <w:sz w:val="22"/>
          <w:szCs w:val="22"/>
        </w:rPr>
      </w:pPr>
    </w:p>
    <w:p w14:paraId="0820DD41" w14:textId="5901A0A6" w:rsidR="007723D6" w:rsidRPr="009E35ED" w:rsidRDefault="007723D6" w:rsidP="007723D6">
      <w:pPr>
        <w:ind w:left="0"/>
        <w:rPr>
          <w:rFonts w:ascii="Arial" w:hAnsi="Arial" w:cs="Arial"/>
          <w:color w:val="000000" w:themeColor="text1"/>
          <w:sz w:val="22"/>
          <w:szCs w:val="22"/>
        </w:rPr>
      </w:pPr>
      <w:r w:rsidRPr="009E35ED">
        <w:rPr>
          <w:rFonts w:ascii="Arial" w:hAnsi="Arial" w:cs="Arial"/>
          <w:color w:val="000000" w:themeColor="text1"/>
          <w:sz w:val="22"/>
          <w:szCs w:val="22"/>
        </w:rPr>
        <w:t xml:space="preserve">Cash </w:t>
      </w:r>
      <w:r w:rsidR="00773350">
        <w:rPr>
          <w:rFonts w:ascii="Arial" w:hAnsi="Arial" w:cs="Arial"/>
          <w:color w:val="000000" w:themeColor="text1"/>
          <w:sz w:val="22"/>
          <w:szCs w:val="22"/>
        </w:rPr>
        <w:t>e</w:t>
      </w:r>
      <w:r w:rsidRPr="009E35ED">
        <w:rPr>
          <w:rFonts w:ascii="Arial" w:hAnsi="Arial" w:cs="Arial"/>
          <w:color w:val="000000" w:themeColor="text1"/>
          <w:sz w:val="22"/>
          <w:szCs w:val="22"/>
        </w:rPr>
        <w:t xml:space="preserve">quivalents account consists of investment under the </w:t>
      </w:r>
      <w:r w:rsidRPr="009E35ED">
        <w:rPr>
          <w:rFonts w:ascii="Arial" w:hAnsi="Arial" w:cs="Arial"/>
          <w:color w:val="000000" w:themeColor="text1"/>
          <w:sz w:val="22"/>
          <w:szCs w:val="22"/>
          <w:lang w:eastAsia="ar-SA"/>
        </w:rPr>
        <w:t xml:space="preserve">Trust </w:t>
      </w:r>
      <w:r w:rsidR="00802BBF">
        <w:rPr>
          <w:rFonts w:ascii="Arial" w:hAnsi="Arial" w:cs="Arial"/>
          <w:color w:val="000000" w:themeColor="text1"/>
          <w:sz w:val="22"/>
          <w:szCs w:val="22"/>
          <w:lang w:eastAsia="ar-SA"/>
        </w:rPr>
        <w:t>f</w:t>
      </w:r>
      <w:r w:rsidRPr="009E35ED">
        <w:rPr>
          <w:rFonts w:ascii="Arial" w:hAnsi="Arial" w:cs="Arial"/>
          <w:color w:val="000000" w:themeColor="text1"/>
          <w:sz w:val="22"/>
          <w:szCs w:val="22"/>
          <w:lang w:eastAsia="ar-SA"/>
        </w:rPr>
        <w:t xml:space="preserve">und </w:t>
      </w:r>
      <w:r w:rsidR="00802BBF">
        <w:rPr>
          <w:rFonts w:ascii="Arial" w:hAnsi="Arial" w:cs="Arial"/>
          <w:color w:val="000000" w:themeColor="text1"/>
          <w:sz w:val="22"/>
          <w:szCs w:val="22"/>
          <w:lang w:eastAsia="ar-SA"/>
        </w:rPr>
        <w:t>a</w:t>
      </w:r>
      <w:r w:rsidRPr="009E35ED">
        <w:rPr>
          <w:rFonts w:ascii="Arial" w:hAnsi="Arial" w:cs="Arial"/>
          <w:color w:val="000000" w:themeColor="text1"/>
          <w:sz w:val="22"/>
          <w:szCs w:val="22"/>
          <w:lang w:eastAsia="ar-SA"/>
        </w:rPr>
        <w:t xml:space="preserve">ccount managed by </w:t>
      </w:r>
      <w:r w:rsidRPr="009E35ED">
        <w:rPr>
          <w:rFonts w:ascii="Arial" w:hAnsi="Arial" w:cs="Arial"/>
          <w:color w:val="000000" w:themeColor="text1"/>
          <w:sz w:val="22"/>
          <w:szCs w:val="22"/>
        </w:rPr>
        <w:t xml:space="preserve">Trust Banking Group of </w:t>
      </w:r>
      <w:r w:rsidR="00802BBF">
        <w:rPr>
          <w:rFonts w:ascii="Arial" w:hAnsi="Arial" w:cs="Arial"/>
          <w:color w:val="000000" w:themeColor="text1"/>
          <w:sz w:val="22"/>
          <w:szCs w:val="22"/>
        </w:rPr>
        <w:t>the LBP</w:t>
      </w:r>
      <w:r w:rsidRPr="009E35ED">
        <w:rPr>
          <w:rFonts w:ascii="Arial" w:hAnsi="Arial" w:cs="Arial"/>
          <w:color w:val="000000" w:themeColor="text1"/>
          <w:sz w:val="22"/>
          <w:szCs w:val="22"/>
        </w:rPr>
        <w:t xml:space="preserve"> which have maturity period of 15 days. This amount is part of the</w:t>
      </w:r>
      <w:r w:rsidRPr="009E35ED">
        <w:rPr>
          <w:rFonts w:ascii="Arial" w:hAnsi="Arial" w:cs="Arial"/>
          <w:color w:val="000000" w:themeColor="text1"/>
          <w:sz w:val="22"/>
          <w:szCs w:val="22"/>
          <w:lang w:eastAsia="ar-SA"/>
        </w:rPr>
        <w:t xml:space="preserve"> P2.5 billion allocated for the construction of PCSO </w:t>
      </w:r>
      <w:r w:rsidR="00802BBF">
        <w:rPr>
          <w:rFonts w:ascii="Arial" w:hAnsi="Arial" w:cs="Arial"/>
          <w:color w:val="000000" w:themeColor="text1"/>
          <w:sz w:val="22"/>
          <w:szCs w:val="22"/>
          <w:lang w:eastAsia="ar-SA"/>
        </w:rPr>
        <w:t>b</w:t>
      </w:r>
      <w:r w:rsidRPr="009E35ED">
        <w:rPr>
          <w:rFonts w:ascii="Arial" w:hAnsi="Arial" w:cs="Arial"/>
          <w:color w:val="000000" w:themeColor="text1"/>
          <w:sz w:val="22"/>
          <w:szCs w:val="22"/>
          <w:lang w:eastAsia="ar-SA"/>
        </w:rPr>
        <w:t>uilding.</w:t>
      </w:r>
    </w:p>
    <w:p w14:paraId="6FD4B883" w14:textId="77777777" w:rsidR="007723D6" w:rsidRPr="009E35ED" w:rsidRDefault="007723D6" w:rsidP="007723D6">
      <w:pPr>
        <w:ind w:left="0"/>
        <w:rPr>
          <w:rFonts w:ascii="Arial" w:hAnsi="Arial" w:cs="Arial"/>
          <w:b/>
          <w:color w:val="000000" w:themeColor="text1"/>
          <w:sz w:val="22"/>
          <w:szCs w:val="22"/>
        </w:rPr>
      </w:pPr>
    </w:p>
    <w:p w14:paraId="29F25BD9" w14:textId="4EB778BE" w:rsidR="0015728F" w:rsidRPr="009E35ED" w:rsidRDefault="007723D6" w:rsidP="007723D6">
      <w:pPr>
        <w:ind w:left="0"/>
        <w:rPr>
          <w:rFonts w:ascii="Arial" w:hAnsi="Arial" w:cs="Arial"/>
          <w:color w:val="000000" w:themeColor="text1"/>
          <w:sz w:val="22"/>
          <w:szCs w:val="22"/>
        </w:rPr>
      </w:pPr>
      <w:r w:rsidRPr="009E35ED">
        <w:rPr>
          <w:rFonts w:ascii="Arial" w:hAnsi="Arial" w:cs="Arial"/>
          <w:color w:val="000000" w:themeColor="text1"/>
          <w:sz w:val="22"/>
          <w:szCs w:val="22"/>
        </w:rPr>
        <w:t>Interest income from these accounts amounted to P22,358,324 and P20,703,637 for the period 2023 and 2022, respectively.</w:t>
      </w:r>
    </w:p>
    <w:p w14:paraId="6158FD9E" w14:textId="77777777" w:rsidR="007723D6" w:rsidRPr="009E35ED" w:rsidRDefault="007723D6" w:rsidP="007723D6">
      <w:pPr>
        <w:ind w:left="0"/>
        <w:rPr>
          <w:rFonts w:ascii="Arial" w:hAnsi="Arial" w:cs="Arial"/>
          <w:color w:val="000000" w:themeColor="text1"/>
          <w:sz w:val="22"/>
          <w:szCs w:val="22"/>
        </w:rPr>
      </w:pPr>
    </w:p>
    <w:p w14:paraId="57DDD6F9" w14:textId="6B20775F" w:rsidR="00FF7AE2" w:rsidRPr="009E35ED" w:rsidRDefault="00FF7AE2" w:rsidP="00803F8C">
      <w:pPr>
        <w:suppressAutoHyphens/>
        <w:ind w:left="0"/>
        <w:rPr>
          <w:rFonts w:ascii="Arial" w:hAnsi="Arial" w:cs="Arial"/>
          <w:color w:val="000000" w:themeColor="text1"/>
          <w:sz w:val="22"/>
          <w:szCs w:val="22"/>
          <w:lang w:eastAsia="ar-SA"/>
        </w:rPr>
      </w:pPr>
      <w:r w:rsidRPr="009E35ED">
        <w:rPr>
          <w:rFonts w:ascii="Arial" w:hAnsi="Arial" w:cs="Arial"/>
          <w:color w:val="000000" w:themeColor="text1"/>
          <w:sz w:val="22"/>
          <w:szCs w:val="22"/>
          <w:lang w:eastAsia="ar-SA"/>
        </w:rPr>
        <w:t xml:space="preserve">Cash – </w:t>
      </w:r>
      <w:r w:rsidR="00802BBF">
        <w:rPr>
          <w:rFonts w:ascii="Arial" w:hAnsi="Arial" w:cs="Arial"/>
          <w:color w:val="000000" w:themeColor="text1"/>
          <w:sz w:val="22"/>
          <w:szCs w:val="22"/>
          <w:lang w:eastAsia="ar-SA"/>
        </w:rPr>
        <w:t>c</w:t>
      </w:r>
      <w:r w:rsidRPr="009E35ED">
        <w:rPr>
          <w:rFonts w:ascii="Arial" w:hAnsi="Arial" w:cs="Arial"/>
          <w:color w:val="000000" w:themeColor="text1"/>
          <w:sz w:val="22"/>
          <w:szCs w:val="22"/>
          <w:lang w:eastAsia="ar-SA"/>
        </w:rPr>
        <w:t xml:space="preserve">ollecting </w:t>
      </w:r>
      <w:r w:rsidR="00802BBF">
        <w:rPr>
          <w:rFonts w:ascii="Arial" w:hAnsi="Arial" w:cs="Arial"/>
          <w:color w:val="000000" w:themeColor="text1"/>
          <w:sz w:val="22"/>
          <w:szCs w:val="22"/>
          <w:lang w:eastAsia="ar-SA"/>
        </w:rPr>
        <w:t>o</w:t>
      </w:r>
      <w:r w:rsidRPr="009E35ED">
        <w:rPr>
          <w:rFonts w:ascii="Arial" w:hAnsi="Arial" w:cs="Arial"/>
          <w:color w:val="000000" w:themeColor="text1"/>
          <w:sz w:val="22"/>
          <w:szCs w:val="22"/>
          <w:lang w:eastAsia="ar-SA"/>
        </w:rPr>
        <w:t xml:space="preserve">fficers represents amount of collections made by the </w:t>
      </w:r>
      <w:r w:rsidR="00802BBF">
        <w:rPr>
          <w:rFonts w:ascii="Arial" w:hAnsi="Arial" w:cs="Arial"/>
          <w:color w:val="000000" w:themeColor="text1"/>
          <w:sz w:val="22"/>
          <w:szCs w:val="22"/>
          <w:lang w:eastAsia="ar-SA"/>
        </w:rPr>
        <w:t>c</w:t>
      </w:r>
      <w:r w:rsidRPr="009E35ED">
        <w:rPr>
          <w:rFonts w:ascii="Arial" w:hAnsi="Arial" w:cs="Arial"/>
          <w:color w:val="000000" w:themeColor="text1"/>
          <w:sz w:val="22"/>
          <w:szCs w:val="22"/>
          <w:lang w:eastAsia="ar-SA"/>
        </w:rPr>
        <w:t xml:space="preserve">ollecting </w:t>
      </w:r>
      <w:r w:rsidR="00802BBF">
        <w:rPr>
          <w:rFonts w:ascii="Arial" w:hAnsi="Arial" w:cs="Arial"/>
          <w:color w:val="000000" w:themeColor="text1"/>
          <w:sz w:val="22"/>
          <w:szCs w:val="22"/>
          <w:lang w:eastAsia="ar-SA"/>
        </w:rPr>
        <w:t>o</w:t>
      </w:r>
      <w:r w:rsidRPr="009E35ED">
        <w:rPr>
          <w:rFonts w:ascii="Arial" w:hAnsi="Arial" w:cs="Arial"/>
          <w:color w:val="000000" w:themeColor="text1"/>
          <w:sz w:val="22"/>
          <w:szCs w:val="22"/>
          <w:lang w:eastAsia="ar-SA"/>
        </w:rPr>
        <w:t xml:space="preserve">fficers that are deposited at the end of the day. </w:t>
      </w:r>
    </w:p>
    <w:p w14:paraId="748CE8D1" w14:textId="77777777" w:rsidR="00FF7AE2" w:rsidRPr="009E35ED" w:rsidRDefault="00FF7AE2" w:rsidP="00803F8C">
      <w:pPr>
        <w:suppressAutoHyphens/>
        <w:ind w:left="0"/>
        <w:rPr>
          <w:rFonts w:ascii="Arial" w:hAnsi="Arial" w:cs="Arial"/>
          <w:color w:val="000000" w:themeColor="text1"/>
          <w:sz w:val="22"/>
          <w:szCs w:val="22"/>
        </w:rPr>
      </w:pPr>
    </w:p>
    <w:p w14:paraId="5CCC9C60" w14:textId="5A67AF28" w:rsidR="00FF7AE2" w:rsidRPr="009E35ED" w:rsidRDefault="00FF7AE2" w:rsidP="00803F8C">
      <w:pPr>
        <w:suppressAutoHyphens/>
        <w:ind w:left="0"/>
        <w:rPr>
          <w:rFonts w:ascii="Arial" w:hAnsi="Arial" w:cs="Arial"/>
          <w:color w:val="000000" w:themeColor="text1"/>
          <w:sz w:val="22"/>
          <w:szCs w:val="22"/>
        </w:rPr>
      </w:pPr>
      <w:r w:rsidRPr="009E35ED">
        <w:rPr>
          <w:rFonts w:ascii="Arial" w:hAnsi="Arial" w:cs="Arial"/>
          <w:color w:val="000000" w:themeColor="text1"/>
          <w:sz w:val="22"/>
          <w:szCs w:val="22"/>
        </w:rPr>
        <w:t xml:space="preserve">Petty </w:t>
      </w:r>
      <w:r w:rsidR="00802BBF">
        <w:rPr>
          <w:rFonts w:ascii="Arial" w:hAnsi="Arial" w:cs="Arial"/>
          <w:color w:val="000000" w:themeColor="text1"/>
          <w:sz w:val="22"/>
          <w:szCs w:val="22"/>
        </w:rPr>
        <w:t>c</w:t>
      </w:r>
      <w:r w:rsidRPr="009E35ED">
        <w:rPr>
          <w:rFonts w:ascii="Arial" w:hAnsi="Arial" w:cs="Arial"/>
          <w:color w:val="000000" w:themeColor="text1"/>
          <w:sz w:val="22"/>
          <w:szCs w:val="22"/>
        </w:rPr>
        <w:t xml:space="preserve">ash </w:t>
      </w:r>
      <w:r w:rsidR="00802BBF">
        <w:rPr>
          <w:rFonts w:ascii="Arial" w:hAnsi="Arial" w:cs="Arial"/>
          <w:color w:val="000000" w:themeColor="text1"/>
          <w:sz w:val="22"/>
          <w:szCs w:val="22"/>
        </w:rPr>
        <w:t>f</w:t>
      </w:r>
      <w:r w:rsidRPr="009E35ED">
        <w:rPr>
          <w:rFonts w:ascii="Arial" w:hAnsi="Arial" w:cs="Arial"/>
          <w:color w:val="000000" w:themeColor="text1"/>
          <w:sz w:val="22"/>
          <w:szCs w:val="22"/>
        </w:rPr>
        <w:t xml:space="preserve">und is the working fund wherein small expenses are being disbursed. </w:t>
      </w:r>
    </w:p>
    <w:p w14:paraId="34448342" w14:textId="5D85B2C8" w:rsidR="00352D05" w:rsidRPr="009E35ED" w:rsidRDefault="00352D05" w:rsidP="00352D05">
      <w:pPr>
        <w:ind w:left="0"/>
        <w:rPr>
          <w:rFonts w:ascii="Arial" w:hAnsi="Arial" w:cs="Arial"/>
          <w:color w:val="000000" w:themeColor="text1"/>
          <w:sz w:val="22"/>
          <w:szCs w:val="22"/>
        </w:rPr>
      </w:pPr>
    </w:p>
    <w:p w14:paraId="6CDA4B6E" w14:textId="77777777" w:rsidR="006E34FF" w:rsidRPr="009E35ED" w:rsidRDefault="00044EC1" w:rsidP="001C371F">
      <w:pPr>
        <w:pStyle w:val="ListParagraph"/>
        <w:numPr>
          <w:ilvl w:val="0"/>
          <w:numId w:val="12"/>
        </w:numPr>
        <w:ind w:left="720" w:hanging="720"/>
        <w:rPr>
          <w:rFonts w:ascii="Arial" w:hAnsi="Arial" w:cs="Arial"/>
          <w:color w:val="000000" w:themeColor="text1"/>
          <w:sz w:val="22"/>
          <w:szCs w:val="22"/>
        </w:rPr>
      </w:pPr>
      <w:r w:rsidRPr="009E35ED">
        <w:rPr>
          <w:rFonts w:ascii="Arial" w:hAnsi="Arial" w:cs="Arial"/>
          <w:b/>
          <w:color w:val="000000" w:themeColor="text1"/>
          <w:sz w:val="22"/>
          <w:szCs w:val="22"/>
        </w:rPr>
        <w:t>OTHER INVESTMENTS</w:t>
      </w:r>
    </w:p>
    <w:p w14:paraId="0D8CAE6E" w14:textId="77777777" w:rsidR="006E34FF" w:rsidRPr="009E35ED" w:rsidRDefault="006E34FF" w:rsidP="00803F8C">
      <w:pPr>
        <w:rPr>
          <w:rFonts w:ascii="Arial" w:hAnsi="Arial" w:cs="Arial"/>
          <w:b/>
          <w:color w:val="000000" w:themeColor="text1"/>
          <w:sz w:val="22"/>
          <w:szCs w:val="22"/>
        </w:rPr>
      </w:pPr>
    </w:p>
    <w:p w14:paraId="582B1F1B" w14:textId="4A64B3B1" w:rsidR="003E4931" w:rsidRPr="009E35ED" w:rsidRDefault="003E4931" w:rsidP="003E4931">
      <w:pPr>
        <w:ind w:left="0"/>
        <w:rPr>
          <w:rFonts w:ascii="Arial" w:hAnsi="Arial" w:cs="Arial"/>
          <w:color w:val="000000" w:themeColor="text1"/>
          <w:sz w:val="22"/>
          <w:szCs w:val="22"/>
        </w:rPr>
      </w:pPr>
      <w:r w:rsidRPr="009E35ED">
        <w:rPr>
          <w:rFonts w:ascii="Arial" w:hAnsi="Arial" w:cs="Arial"/>
          <w:color w:val="000000" w:themeColor="text1"/>
          <w:sz w:val="22"/>
          <w:szCs w:val="22"/>
        </w:rPr>
        <w:t xml:space="preserve">This </w:t>
      </w:r>
      <w:r w:rsidR="009D7990">
        <w:rPr>
          <w:rFonts w:ascii="Arial" w:hAnsi="Arial" w:cs="Arial"/>
          <w:color w:val="000000" w:themeColor="text1"/>
          <w:sz w:val="22"/>
          <w:szCs w:val="22"/>
        </w:rPr>
        <w:t>account consists the</w:t>
      </w:r>
      <w:r w:rsidRPr="009E35ED">
        <w:rPr>
          <w:rFonts w:ascii="Arial" w:hAnsi="Arial" w:cs="Arial"/>
          <w:color w:val="000000" w:themeColor="text1"/>
          <w:sz w:val="22"/>
          <w:szCs w:val="22"/>
        </w:rPr>
        <w:t>:</w:t>
      </w:r>
    </w:p>
    <w:p w14:paraId="09553131" w14:textId="77777777" w:rsidR="003E4931" w:rsidRPr="009E35ED" w:rsidRDefault="003E4931" w:rsidP="003E4931">
      <w:pPr>
        <w:ind w:left="0"/>
        <w:rPr>
          <w:rFonts w:ascii="Arial" w:hAnsi="Arial" w:cs="Arial"/>
          <w:color w:val="000000" w:themeColor="text1"/>
          <w:sz w:val="22"/>
          <w:szCs w:val="22"/>
        </w:rPr>
      </w:pPr>
    </w:p>
    <w:tbl>
      <w:tblPr>
        <w:tblW w:w="8647" w:type="dxa"/>
        <w:tblLook w:val="04A0" w:firstRow="1" w:lastRow="0" w:firstColumn="1" w:lastColumn="0" w:noHBand="0" w:noVBand="1"/>
      </w:tblPr>
      <w:tblGrid>
        <w:gridCol w:w="4962"/>
        <w:gridCol w:w="1889"/>
        <w:gridCol w:w="1796"/>
      </w:tblGrid>
      <w:tr w:rsidR="00997F75" w:rsidRPr="006A7335" w14:paraId="6D953049" w14:textId="77777777" w:rsidTr="00860ED6">
        <w:trPr>
          <w:trHeight w:hRule="exact" w:val="525"/>
        </w:trPr>
        <w:tc>
          <w:tcPr>
            <w:tcW w:w="4962" w:type="dxa"/>
            <w:tcBorders>
              <w:top w:val="single" w:sz="4" w:space="0" w:color="auto"/>
              <w:bottom w:val="single" w:sz="4" w:space="0" w:color="auto"/>
            </w:tcBorders>
            <w:shd w:val="clear" w:color="auto" w:fill="auto"/>
            <w:noWrap/>
            <w:vAlign w:val="bottom"/>
          </w:tcPr>
          <w:p w14:paraId="244CEB3C" w14:textId="77777777" w:rsidR="003E4931" w:rsidRPr="006A7335" w:rsidRDefault="003E4931" w:rsidP="005133D5">
            <w:pPr>
              <w:jc w:val="left"/>
              <w:rPr>
                <w:rFonts w:ascii="Arial Narrow" w:hAnsi="Arial Narrow" w:cs="Arial"/>
                <w:color w:val="000000" w:themeColor="text1"/>
                <w:sz w:val="22"/>
                <w:szCs w:val="22"/>
              </w:rPr>
            </w:pPr>
          </w:p>
        </w:tc>
        <w:tc>
          <w:tcPr>
            <w:tcW w:w="1889" w:type="dxa"/>
            <w:tcBorders>
              <w:top w:val="single" w:sz="4" w:space="0" w:color="auto"/>
              <w:bottom w:val="single" w:sz="4" w:space="0" w:color="auto"/>
            </w:tcBorders>
            <w:shd w:val="clear" w:color="auto" w:fill="auto"/>
            <w:noWrap/>
            <w:vAlign w:val="bottom"/>
          </w:tcPr>
          <w:p w14:paraId="35E92CBF" w14:textId="4F17D3A9" w:rsidR="003E4931" w:rsidRPr="006A7335" w:rsidRDefault="003E4931" w:rsidP="005133D5">
            <w:pPr>
              <w:jc w:val="right"/>
              <w:rPr>
                <w:rFonts w:ascii="Arial Narrow" w:hAnsi="Arial Narrow" w:cs="Arial"/>
                <w:b/>
                <w:color w:val="000000" w:themeColor="text1"/>
                <w:sz w:val="22"/>
                <w:szCs w:val="22"/>
              </w:rPr>
            </w:pPr>
            <w:r w:rsidRPr="006A7335">
              <w:rPr>
                <w:rFonts w:ascii="Arial Narrow" w:hAnsi="Arial Narrow" w:cs="Arial"/>
                <w:b/>
                <w:bCs/>
                <w:color w:val="000000" w:themeColor="text1"/>
                <w:sz w:val="22"/>
                <w:szCs w:val="22"/>
              </w:rPr>
              <w:t>202</w:t>
            </w:r>
            <w:r w:rsidR="00FA1002" w:rsidRPr="006A7335">
              <w:rPr>
                <w:rFonts w:ascii="Arial Narrow" w:hAnsi="Arial Narrow" w:cs="Arial"/>
                <w:b/>
                <w:bCs/>
                <w:color w:val="000000" w:themeColor="text1"/>
                <w:sz w:val="22"/>
                <w:szCs w:val="22"/>
              </w:rPr>
              <w:t>3</w:t>
            </w:r>
          </w:p>
        </w:tc>
        <w:tc>
          <w:tcPr>
            <w:tcW w:w="1796" w:type="dxa"/>
            <w:tcBorders>
              <w:top w:val="single" w:sz="4" w:space="0" w:color="auto"/>
              <w:bottom w:val="single" w:sz="4" w:space="0" w:color="auto"/>
            </w:tcBorders>
            <w:vAlign w:val="bottom"/>
          </w:tcPr>
          <w:p w14:paraId="1EA952CD" w14:textId="07B26E02" w:rsidR="003E4931" w:rsidRPr="006A7335" w:rsidRDefault="003E4931" w:rsidP="006A7335">
            <w:pPr>
              <w:ind w:right="-95"/>
              <w:jc w:val="right"/>
              <w:rPr>
                <w:rFonts w:ascii="Arial Narrow" w:hAnsi="Arial Narrow" w:cs="Arial"/>
                <w:b/>
                <w:bCs/>
                <w:color w:val="000000" w:themeColor="text1"/>
                <w:sz w:val="22"/>
                <w:szCs w:val="22"/>
              </w:rPr>
            </w:pPr>
            <w:r w:rsidRPr="006A7335">
              <w:rPr>
                <w:rFonts w:ascii="Arial Narrow" w:hAnsi="Arial Narrow" w:cs="Arial"/>
                <w:b/>
                <w:bCs/>
                <w:color w:val="000000" w:themeColor="text1"/>
                <w:sz w:val="22"/>
                <w:szCs w:val="22"/>
              </w:rPr>
              <w:t>202</w:t>
            </w:r>
            <w:r w:rsidR="00FA1002" w:rsidRPr="006A7335">
              <w:rPr>
                <w:rFonts w:ascii="Arial Narrow" w:hAnsi="Arial Narrow" w:cs="Arial"/>
                <w:b/>
                <w:bCs/>
                <w:color w:val="000000" w:themeColor="text1"/>
                <w:sz w:val="22"/>
                <w:szCs w:val="22"/>
              </w:rPr>
              <w:t>2</w:t>
            </w:r>
          </w:p>
          <w:p w14:paraId="3E290085" w14:textId="0967D37C" w:rsidR="00A406E9" w:rsidRPr="006A7335" w:rsidRDefault="00A406E9" w:rsidP="006A7335">
            <w:pPr>
              <w:ind w:right="-95"/>
              <w:jc w:val="right"/>
              <w:rPr>
                <w:rFonts w:ascii="Arial Narrow" w:hAnsi="Arial Narrow" w:cs="Arial"/>
                <w:b/>
                <w:bCs/>
                <w:color w:val="000000" w:themeColor="text1"/>
                <w:sz w:val="22"/>
                <w:szCs w:val="22"/>
              </w:rPr>
            </w:pPr>
            <w:r w:rsidRPr="006A7335">
              <w:rPr>
                <w:rFonts w:ascii="Arial Narrow" w:hAnsi="Arial Narrow" w:cs="Arial"/>
                <w:b/>
                <w:bCs/>
                <w:color w:val="000000" w:themeColor="text1"/>
                <w:sz w:val="22"/>
                <w:szCs w:val="22"/>
              </w:rPr>
              <w:t>As Restated</w:t>
            </w:r>
          </w:p>
          <w:p w14:paraId="5315D537" w14:textId="77777777" w:rsidR="00A406E9" w:rsidRPr="006A7335" w:rsidRDefault="00A406E9" w:rsidP="006A7335">
            <w:pPr>
              <w:ind w:right="-95"/>
              <w:jc w:val="right"/>
              <w:rPr>
                <w:rFonts w:ascii="Arial Narrow" w:hAnsi="Arial Narrow" w:cs="Arial"/>
                <w:b/>
                <w:bCs/>
                <w:color w:val="000000" w:themeColor="text1"/>
                <w:sz w:val="22"/>
                <w:szCs w:val="22"/>
              </w:rPr>
            </w:pPr>
          </w:p>
          <w:p w14:paraId="4D666DF5" w14:textId="2F6E3047" w:rsidR="00A406E9" w:rsidRPr="006A7335" w:rsidRDefault="00A406E9" w:rsidP="006A7335">
            <w:pPr>
              <w:ind w:right="-95"/>
              <w:jc w:val="right"/>
              <w:rPr>
                <w:rFonts w:ascii="Arial Narrow" w:hAnsi="Arial Narrow" w:cs="Arial"/>
                <w:b/>
                <w:bCs/>
                <w:color w:val="000000" w:themeColor="text1"/>
                <w:sz w:val="22"/>
                <w:szCs w:val="22"/>
              </w:rPr>
            </w:pPr>
            <w:r w:rsidRPr="006A7335">
              <w:rPr>
                <w:rFonts w:ascii="Arial Narrow" w:hAnsi="Arial Narrow" w:cs="Arial"/>
                <w:b/>
                <w:bCs/>
                <w:color w:val="000000" w:themeColor="text1"/>
                <w:sz w:val="22"/>
                <w:szCs w:val="22"/>
              </w:rPr>
              <w:t>As</w:t>
            </w:r>
          </w:p>
        </w:tc>
      </w:tr>
      <w:tr w:rsidR="00997F75" w:rsidRPr="006A7335" w14:paraId="3BF9B9ED" w14:textId="77777777" w:rsidTr="00860ED6">
        <w:trPr>
          <w:trHeight w:hRule="exact" w:val="312"/>
        </w:trPr>
        <w:tc>
          <w:tcPr>
            <w:tcW w:w="4962" w:type="dxa"/>
            <w:tcBorders>
              <w:top w:val="single" w:sz="4" w:space="0" w:color="auto"/>
            </w:tcBorders>
            <w:shd w:val="clear" w:color="auto" w:fill="auto"/>
            <w:noWrap/>
            <w:vAlign w:val="bottom"/>
          </w:tcPr>
          <w:p w14:paraId="0F6A4A06" w14:textId="1D26B0F9" w:rsidR="008E1F50" w:rsidRPr="006A7335" w:rsidRDefault="008E1F50" w:rsidP="008E1F50">
            <w:pPr>
              <w:ind w:left="-108" w:right="-200"/>
              <w:jc w:val="left"/>
              <w:rPr>
                <w:rFonts w:ascii="Arial Narrow" w:hAnsi="Arial Narrow" w:cs="Arial"/>
                <w:color w:val="000000" w:themeColor="text1"/>
                <w:sz w:val="22"/>
                <w:szCs w:val="22"/>
              </w:rPr>
            </w:pPr>
            <w:r w:rsidRPr="006A7335">
              <w:rPr>
                <w:rFonts w:ascii="Arial Narrow" w:hAnsi="Arial Narrow" w:cs="Arial"/>
                <w:color w:val="000000" w:themeColor="text1"/>
                <w:sz w:val="22"/>
                <w:szCs w:val="22"/>
                <w:lang w:val="en-PH" w:eastAsia="en-PH"/>
              </w:rPr>
              <w:t xml:space="preserve">Investments in </w:t>
            </w:r>
            <w:r w:rsidR="00802BBF">
              <w:rPr>
                <w:rFonts w:ascii="Arial Narrow" w:hAnsi="Arial Narrow" w:cs="Arial"/>
                <w:color w:val="000000" w:themeColor="text1"/>
                <w:sz w:val="22"/>
                <w:szCs w:val="22"/>
                <w:lang w:val="en-PH" w:eastAsia="en-PH"/>
              </w:rPr>
              <w:t>t</w:t>
            </w:r>
            <w:r w:rsidRPr="006A7335">
              <w:rPr>
                <w:rFonts w:ascii="Arial Narrow" w:hAnsi="Arial Narrow" w:cs="Arial"/>
                <w:color w:val="000000" w:themeColor="text1"/>
                <w:sz w:val="22"/>
                <w:szCs w:val="22"/>
                <w:lang w:val="en-PH" w:eastAsia="en-PH"/>
              </w:rPr>
              <w:t xml:space="preserve">ime </w:t>
            </w:r>
            <w:r w:rsidR="00802BBF">
              <w:rPr>
                <w:rFonts w:ascii="Arial Narrow" w:hAnsi="Arial Narrow" w:cs="Arial"/>
                <w:color w:val="000000" w:themeColor="text1"/>
                <w:sz w:val="22"/>
                <w:szCs w:val="22"/>
                <w:lang w:val="en-PH" w:eastAsia="en-PH"/>
              </w:rPr>
              <w:t>d</w:t>
            </w:r>
            <w:r w:rsidRPr="006A7335">
              <w:rPr>
                <w:rFonts w:ascii="Arial Narrow" w:hAnsi="Arial Narrow" w:cs="Arial"/>
                <w:color w:val="000000" w:themeColor="text1"/>
                <w:sz w:val="22"/>
                <w:szCs w:val="22"/>
                <w:lang w:val="en-PH" w:eastAsia="en-PH"/>
              </w:rPr>
              <w:t>eposits-</w:t>
            </w:r>
            <w:r w:rsidR="00802BBF">
              <w:rPr>
                <w:rFonts w:ascii="Arial Narrow" w:hAnsi="Arial Narrow" w:cs="Arial"/>
                <w:color w:val="000000" w:themeColor="text1"/>
                <w:sz w:val="22"/>
                <w:szCs w:val="22"/>
                <w:lang w:val="en-PH" w:eastAsia="en-PH"/>
              </w:rPr>
              <w:t>l</w:t>
            </w:r>
            <w:r w:rsidRPr="006A7335">
              <w:rPr>
                <w:rFonts w:ascii="Arial Narrow" w:hAnsi="Arial Narrow" w:cs="Arial"/>
                <w:color w:val="000000" w:themeColor="text1"/>
                <w:sz w:val="22"/>
                <w:szCs w:val="22"/>
                <w:lang w:val="en-PH" w:eastAsia="en-PH"/>
              </w:rPr>
              <w:t xml:space="preserve">ocal </w:t>
            </w:r>
            <w:r w:rsidR="00802BBF">
              <w:rPr>
                <w:rFonts w:ascii="Arial Narrow" w:hAnsi="Arial Narrow" w:cs="Arial"/>
                <w:color w:val="000000" w:themeColor="text1"/>
                <w:sz w:val="22"/>
                <w:szCs w:val="22"/>
                <w:lang w:val="en-PH" w:eastAsia="en-PH"/>
              </w:rPr>
              <w:t>c</w:t>
            </w:r>
            <w:r w:rsidRPr="006A7335">
              <w:rPr>
                <w:rFonts w:ascii="Arial Narrow" w:hAnsi="Arial Narrow" w:cs="Arial"/>
                <w:color w:val="000000" w:themeColor="text1"/>
                <w:sz w:val="22"/>
                <w:szCs w:val="22"/>
                <w:lang w:val="en-PH" w:eastAsia="en-PH"/>
              </w:rPr>
              <w:t xml:space="preserve">urrency </w:t>
            </w:r>
          </w:p>
        </w:tc>
        <w:tc>
          <w:tcPr>
            <w:tcW w:w="1889" w:type="dxa"/>
            <w:tcBorders>
              <w:top w:val="single" w:sz="4" w:space="0" w:color="auto"/>
            </w:tcBorders>
            <w:shd w:val="clear" w:color="auto" w:fill="auto"/>
            <w:noWrap/>
          </w:tcPr>
          <w:p w14:paraId="7BA67210" w14:textId="0252D5EE" w:rsidR="008E1F50" w:rsidRPr="006A7335" w:rsidRDefault="008E1F50" w:rsidP="008E1F50">
            <w:pPr>
              <w:ind w:right="-110"/>
              <w:jc w:val="right"/>
              <w:rPr>
                <w:rFonts w:ascii="Arial Narrow" w:hAnsi="Arial Narrow" w:cs="Arial"/>
                <w:color w:val="000000" w:themeColor="text1"/>
                <w:sz w:val="22"/>
                <w:szCs w:val="22"/>
              </w:rPr>
            </w:pPr>
            <w:r w:rsidRPr="006A7335">
              <w:rPr>
                <w:rFonts w:ascii="Arial Narrow" w:hAnsi="Arial Narrow"/>
                <w:color w:val="000000" w:themeColor="text1"/>
                <w:sz w:val="22"/>
                <w:szCs w:val="22"/>
              </w:rPr>
              <w:t xml:space="preserve"> 5,578,877,560 </w:t>
            </w:r>
          </w:p>
        </w:tc>
        <w:tc>
          <w:tcPr>
            <w:tcW w:w="1796" w:type="dxa"/>
            <w:tcBorders>
              <w:top w:val="single" w:sz="4" w:space="0" w:color="auto"/>
            </w:tcBorders>
          </w:tcPr>
          <w:p w14:paraId="3B72BE42" w14:textId="4B910B01" w:rsidR="008E1F50" w:rsidRPr="006A7335" w:rsidRDefault="008E1F50" w:rsidP="006A7335">
            <w:pPr>
              <w:ind w:right="-95"/>
              <w:jc w:val="right"/>
              <w:rPr>
                <w:rFonts w:ascii="Arial Narrow" w:hAnsi="Arial Narrow" w:cs="Arial"/>
                <w:color w:val="000000" w:themeColor="text1"/>
                <w:sz w:val="22"/>
                <w:szCs w:val="22"/>
                <w:lang w:val="en-PH" w:eastAsia="en-PH"/>
              </w:rPr>
            </w:pPr>
            <w:r w:rsidRPr="006A7335">
              <w:rPr>
                <w:rFonts w:ascii="Arial Narrow" w:hAnsi="Arial Narrow"/>
                <w:color w:val="000000" w:themeColor="text1"/>
                <w:sz w:val="22"/>
                <w:szCs w:val="22"/>
              </w:rPr>
              <w:t xml:space="preserve"> 2,260,597,598 </w:t>
            </w:r>
          </w:p>
        </w:tc>
      </w:tr>
      <w:tr w:rsidR="00997F75" w:rsidRPr="006A7335" w14:paraId="24BA167E" w14:textId="77777777" w:rsidTr="00860ED6">
        <w:trPr>
          <w:trHeight w:hRule="exact" w:val="275"/>
        </w:trPr>
        <w:tc>
          <w:tcPr>
            <w:tcW w:w="4962" w:type="dxa"/>
            <w:tcBorders>
              <w:bottom w:val="single" w:sz="4" w:space="0" w:color="auto"/>
            </w:tcBorders>
            <w:shd w:val="clear" w:color="auto" w:fill="auto"/>
            <w:noWrap/>
            <w:vAlign w:val="bottom"/>
          </w:tcPr>
          <w:p w14:paraId="765E8BAA" w14:textId="036F5967" w:rsidR="008E1F50" w:rsidRPr="006A7335" w:rsidRDefault="008E1F50">
            <w:pPr>
              <w:ind w:left="-108" w:right="-200"/>
              <w:jc w:val="left"/>
              <w:rPr>
                <w:rFonts w:ascii="Arial Narrow" w:hAnsi="Arial Narrow" w:cs="Arial"/>
                <w:color w:val="000000" w:themeColor="text1"/>
                <w:sz w:val="22"/>
                <w:szCs w:val="22"/>
              </w:rPr>
            </w:pPr>
            <w:r w:rsidRPr="006A7335">
              <w:rPr>
                <w:rFonts w:ascii="Arial Narrow" w:hAnsi="Arial Narrow" w:cs="Arial"/>
                <w:color w:val="000000" w:themeColor="text1"/>
                <w:sz w:val="22"/>
                <w:szCs w:val="22"/>
                <w:lang w:val="en-PH" w:eastAsia="en-PH"/>
              </w:rPr>
              <w:t xml:space="preserve">Investments in </w:t>
            </w:r>
            <w:r w:rsidR="00802BBF">
              <w:rPr>
                <w:rFonts w:ascii="Arial Narrow" w:hAnsi="Arial Narrow" w:cs="Arial"/>
                <w:color w:val="000000" w:themeColor="text1"/>
                <w:sz w:val="22"/>
                <w:szCs w:val="22"/>
                <w:lang w:val="en-PH" w:eastAsia="en-PH"/>
              </w:rPr>
              <w:t>t</w:t>
            </w:r>
            <w:r w:rsidRPr="006A7335">
              <w:rPr>
                <w:rFonts w:ascii="Arial Narrow" w:hAnsi="Arial Narrow" w:cs="Arial"/>
                <w:color w:val="000000" w:themeColor="text1"/>
                <w:sz w:val="22"/>
                <w:szCs w:val="22"/>
                <w:lang w:val="en-PH" w:eastAsia="en-PH"/>
              </w:rPr>
              <w:t xml:space="preserve">ime </w:t>
            </w:r>
            <w:r w:rsidR="00802BBF">
              <w:rPr>
                <w:rFonts w:ascii="Arial Narrow" w:hAnsi="Arial Narrow" w:cs="Arial"/>
                <w:color w:val="000000" w:themeColor="text1"/>
                <w:sz w:val="22"/>
                <w:szCs w:val="22"/>
                <w:lang w:val="en-PH" w:eastAsia="en-PH"/>
              </w:rPr>
              <w:t>d</w:t>
            </w:r>
            <w:r w:rsidRPr="006A7335">
              <w:rPr>
                <w:rFonts w:ascii="Arial Narrow" w:hAnsi="Arial Narrow" w:cs="Arial"/>
                <w:color w:val="000000" w:themeColor="text1"/>
                <w:sz w:val="22"/>
                <w:szCs w:val="22"/>
                <w:lang w:val="en-PH" w:eastAsia="en-PH"/>
              </w:rPr>
              <w:t>eposits-</w:t>
            </w:r>
            <w:r w:rsidR="00802BBF">
              <w:rPr>
                <w:rFonts w:ascii="Arial Narrow" w:hAnsi="Arial Narrow" w:cs="Arial"/>
                <w:color w:val="000000" w:themeColor="text1"/>
                <w:sz w:val="22"/>
                <w:szCs w:val="22"/>
                <w:lang w:val="en-PH" w:eastAsia="en-PH"/>
              </w:rPr>
              <w:t>f</w:t>
            </w:r>
            <w:r w:rsidRPr="006A7335">
              <w:rPr>
                <w:rFonts w:ascii="Arial Narrow" w:hAnsi="Arial Narrow" w:cs="Arial"/>
                <w:color w:val="000000" w:themeColor="text1"/>
                <w:sz w:val="22"/>
                <w:szCs w:val="22"/>
                <w:lang w:val="en-PH" w:eastAsia="en-PH"/>
              </w:rPr>
              <w:t xml:space="preserve">oreign </w:t>
            </w:r>
            <w:r w:rsidR="00802BBF">
              <w:rPr>
                <w:rFonts w:ascii="Arial Narrow" w:hAnsi="Arial Narrow" w:cs="Arial"/>
                <w:color w:val="000000" w:themeColor="text1"/>
                <w:sz w:val="22"/>
                <w:szCs w:val="22"/>
                <w:lang w:val="en-PH" w:eastAsia="en-PH"/>
              </w:rPr>
              <w:t>c</w:t>
            </w:r>
            <w:r w:rsidRPr="006A7335">
              <w:rPr>
                <w:rFonts w:ascii="Arial Narrow" w:hAnsi="Arial Narrow" w:cs="Arial"/>
                <w:color w:val="000000" w:themeColor="text1"/>
                <w:sz w:val="22"/>
                <w:szCs w:val="22"/>
                <w:lang w:val="en-PH" w:eastAsia="en-PH"/>
              </w:rPr>
              <w:t xml:space="preserve">urrency </w:t>
            </w:r>
            <w:r w:rsidR="00802BBF">
              <w:rPr>
                <w:rFonts w:ascii="Arial Narrow" w:hAnsi="Arial Narrow" w:cs="Arial"/>
                <w:color w:val="000000" w:themeColor="text1"/>
                <w:sz w:val="22"/>
                <w:szCs w:val="22"/>
                <w:lang w:val="en-PH" w:eastAsia="en-PH"/>
              </w:rPr>
              <w:t>b</w:t>
            </w:r>
            <w:r w:rsidRPr="006A7335">
              <w:rPr>
                <w:rFonts w:ascii="Arial Narrow" w:hAnsi="Arial Narrow" w:cs="Arial"/>
                <w:color w:val="000000" w:themeColor="text1"/>
                <w:sz w:val="22"/>
                <w:szCs w:val="22"/>
                <w:lang w:val="en-PH" w:eastAsia="en-PH"/>
              </w:rPr>
              <w:t xml:space="preserve">ank - </w:t>
            </w:r>
            <w:r w:rsidR="00802BBF">
              <w:rPr>
                <w:rFonts w:ascii="Arial Narrow" w:hAnsi="Arial Narrow" w:cs="Arial"/>
                <w:color w:val="000000" w:themeColor="text1"/>
                <w:sz w:val="22"/>
                <w:szCs w:val="22"/>
                <w:lang w:val="en-PH" w:eastAsia="en-PH"/>
              </w:rPr>
              <w:t>f</w:t>
            </w:r>
            <w:r w:rsidRPr="006A7335">
              <w:rPr>
                <w:rFonts w:ascii="Arial Narrow" w:hAnsi="Arial Narrow" w:cs="Arial"/>
                <w:color w:val="000000" w:themeColor="text1"/>
                <w:sz w:val="22"/>
                <w:szCs w:val="22"/>
                <w:lang w:val="en-PH" w:eastAsia="en-PH"/>
              </w:rPr>
              <w:t>oreign Currency, Time Deposits</w:t>
            </w:r>
          </w:p>
        </w:tc>
        <w:tc>
          <w:tcPr>
            <w:tcW w:w="1889" w:type="dxa"/>
            <w:tcBorders>
              <w:bottom w:val="single" w:sz="4" w:space="0" w:color="auto"/>
            </w:tcBorders>
            <w:shd w:val="clear" w:color="auto" w:fill="auto"/>
            <w:noWrap/>
          </w:tcPr>
          <w:p w14:paraId="2420FF68" w14:textId="6568C830" w:rsidR="008E1F50" w:rsidRPr="006A7335" w:rsidRDefault="008E1F50" w:rsidP="00E04255">
            <w:pPr>
              <w:ind w:right="-110"/>
              <w:jc w:val="right"/>
              <w:rPr>
                <w:rFonts w:ascii="Arial Narrow" w:hAnsi="Arial Narrow" w:cs="Arial"/>
                <w:color w:val="000000" w:themeColor="text1"/>
                <w:sz w:val="22"/>
                <w:szCs w:val="22"/>
              </w:rPr>
            </w:pPr>
            <w:r w:rsidRPr="006A7335">
              <w:rPr>
                <w:rFonts w:ascii="Arial Narrow" w:hAnsi="Arial Narrow"/>
                <w:color w:val="000000" w:themeColor="text1"/>
                <w:sz w:val="22"/>
                <w:szCs w:val="22"/>
              </w:rPr>
              <w:t xml:space="preserve"> 390,429,31</w:t>
            </w:r>
            <w:r w:rsidR="00E04255" w:rsidRPr="006A7335">
              <w:rPr>
                <w:rFonts w:ascii="Arial Narrow" w:hAnsi="Arial Narrow"/>
                <w:color w:val="000000" w:themeColor="text1"/>
                <w:sz w:val="22"/>
                <w:szCs w:val="22"/>
              </w:rPr>
              <w:t>5</w:t>
            </w:r>
            <w:r w:rsidRPr="006A7335">
              <w:rPr>
                <w:rFonts w:ascii="Arial Narrow" w:hAnsi="Arial Narrow"/>
                <w:color w:val="000000" w:themeColor="text1"/>
                <w:sz w:val="22"/>
                <w:szCs w:val="22"/>
              </w:rPr>
              <w:t xml:space="preserve"> </w:t>
            </w:r>
          </w:p>
        </w:tc>
        <w:tc>
          <w:tcPr>
            <w:tcW w:w="1796" w:type="dxa"/>
            <w:tcBorders>
              <w:bottom w:val="single" w:sz="4" w:space="0" w:color="auto"/>
            </w:tcBorders>
          </w:tcPr>
          <w:p w14:paraId="20F2FBFF" w14:textId="7BC2C014" w:rsidR="008E1F50" w:rsidRPr="006A7335" w:rsidRDefault="008E1F50" w:rsidP="006A7335">
            <w:pPr>
              <w:ind w:right="-95"/>
              <w:jc w:val="right"/>
              <w:rPr>
                <w:rFonts w:ascii="Arial Narrow" w:hAnsi="Arial Narrow" w:cs="Arial"/>
                <w:color w:val="000000" w:themeColor="text1"/>
                <w:sz w:val="22"/>
                <w:szCs w:val="22"/>
                <w:lang w:val="en-PH" w:eastAsia="en-PH"/>
              </w:rPr>
            </w:pPr>
            <w:r w:rsidRPr="006A7335">
              <w:rPr>
                <w:rFonts w:ascii="Arial Narrow" w:hAnsi="Arial Narrow"/>
                <w:color w:val="000000" w:themeColor="text1"/>
                <w:sz w:val="22"/>
                <w:szCs w:val="22"/>
              </w:rPr>
              <w:t xml:space="preserve"> 382,147,423 </w:t>
            </w:r>
          </w:p>
        </w:tc>
      </w:tr>
      <w:tr w:rsidR="008E1F50" w:rsidRPr="006A7335" w14:paraId="7E800875" w14:textId="77777777" w:rsidTr="00860ED6">
        <w:trPr>
          <w:trHeight w:hRule="exact" w:val="275"/>
        </w:trPr>
        <w:tc>
          <w:tcPr>
            <w:tcW w:w="4962" w:type="dxa"/>
            <w:tcBorders>
              <w:top w:val="single" w:sz="4" w:space="0" w:color="auto"/>
              <w:bottom w:val="double" w:sz="4" w:space="0" w:color="auto"/>
            </w:tcBorders>
            <w:shd w:val="clear" w:color="auto" w:fill="auto"/>
            <w:noWrap/>
            <w:vAlign w:val="center"/>
          </w:tcPr>
          <w:p w14:paraId="11FDA3BD" w14:textId="77777777" w:rsidR="008E1F50" w:rsidRPr="006A7335" w:rsidRDefault="008E1F50" w:rsidP="008E1F50">
            <w:pPr>
              <w:ind w:left="-108" w:right="-200"/>
              <w:jc w:val="left"/>
              <w:rPr>
                <w:rFonts w:ascii="Arial Narrow" w:hAnsi="Arial Narrow" w:cs="Arial"/>
                <w:b/>
                <w:color w:val="000000" w:themeColor="text1"/>
                <w:sz w:val="22"/>
                <w:szCs w:val="22"/>
              </w:rPr>
            </w:pPr>
            <w:r w:rsidRPr="006A7335">
              <w:rPr>
                <w:rFonts w:ascii="Arial Narrow" w:hAnsi="Arial Narrow" w:cs="Arial"/>
                <w:b/>
                <w:color w:val="000000" w:themeColor="text1"/>
                <w:sz w:val="22"/>
                <w:szCs w:val="22"/>
              </w:rPr>
              <w:t>Total</w:t>
            </w:r>
          </w:p>
        </w:tc>
        <w:tc>
          <w:tcPr>
            <w:tcW w:w="1889" w:type="dxa"/>
            <w:tcBorders>
              <w:top w:val="single" w:sz="4" w:space="0" w:color="auto"/>
              <w:bottom w:val="double" w:sz="4" w:space="0" w:color="auto"/>
            </w:tcBorders>
            <w:shd w:val="clear" w:color="auto" w:fill="auto"/>
            <w:noWrap/>
          </w:tcPr>
          <w:p w14:paraId="4A7F3378" w14:textId="0FE902B5" w:rsidR="008E1F50" w:rsidRPr="006A7335" w:rsidRDefault="008E1F50" w:rsidP="008E1F50">
            <w:pPr>
              <w:ind w:right="-110"/>
              <w:jc w:val="right"/>
              <w:rPr>
                <w:rFonts w:ascii="Arial Narrow" w:hAnsi="Arial Narrow" w:cs="Arial"/>
                <w:b/>
                <w:bCs/>
                <w:color w:val="000000" w:themeColor="text1"/>
                <w:sz w:val="22"/>
                <w:szCs w:val="22"/>
              </w:rPr>
            </w:pPr>
            <w:r w:rsidRPr="006A7335">
              <w:rPr>
                <w:rFonts w:ascii="Arial Narrow" w:hAnsi="Arial Narrow"/>
                <w:b/>
                <w:bCs/>
                <w:color w:val="000000" w:themeColor="text1"/>
                <w:sz w:val="22"/>
                <w:szCs w:val="22"/>
              </w:rPr>
              <w:t xml:space="preserve"> 5,969,306,875 </w:t>
            </w:r>
          </w:p>
        </w:tc>
        <w:tc>
          <w:tcPr>
            <w:tcW w:w="1796" w:type="dxa"/>
            <w:tcBorders>
              <w:top w:val="single" w:sz="4" w:space="0" w:color="auto"/>
              <w:bottom w:val="double" w:sz="4" w:space="0" w:color="auto"/>
            </w:tcBorders>
          </w:tcPr>
          <w:p w14:paraId="0CE66A13" w14:textId="001896E2" w:rsidR="008E1F50" w:rsidRPr="006A7335" w:rsidRDefault="008E1F50" w:rsidP="006A7335">
            <w:pPr>
              <w:ind w:right="-95"/>
              <w:jc w:val="right"/>
              <w:rPr>
                <w:rFonts w:ascii="Arial Narrow" w:hAnsi="Arial Narrow" w:cs="Arial"/>
                <w:b/>
                <w:color w:val="000000" w:themeColor="text1"/>
                <w:sz w:val="22"/>
                <w:szCs w:val="22"/>
                <w:lang w:val="en-PH" w:eastAsia="en-PH"/>
              </w:rPr>
            </w:pPr>
            <w:r w:rsidRPr="006A7335">
              <w:rPr>
                <w:rFonts w:ascii="Arial Narrow" w:hAnsi="Arial Narrow"/>
                <w:b/>
                <w:color w:val="000000" w:themeColor="text1"/>
                <w:sz w:val="22"/>
                <w:szCs w:val="22"/>
              </w:rPr>
              <w:t xml:space="preserve"> 2,642,745,021 </w:t>
            </w:r>
          </w:p>
        </w:tc>
      </w:tr>
    </w:tbl>
    <w:p w14:paraId="2CF13E78" w14:textId="77777777" w:rsidR="00C2059B" w:rsidRPr="009E35ED" w:rsidRDefault="00C2059B" w:rsidP="004D289A">
      <w:pPr>
        <w:ind w:left="0"/>
        <w:rPr>
          <w:rFonts w:ascii="Arial" w:hAnsi="Arial" w:cs="Arial"/>
          <w:color w:val="000000" w:themeColor="text1"/>
          <w:sz w:val="22"/>
          <w:szCs w:val="22"/>
        </w:rPr>
      </w:pPr>
    </w:p>
    <w:p w14:paraId="025E34CE" w14:textId="05794AB2" w:rsidR="004D289A" w:rsidRPr="009E35ED" w:rsidRDefault="004D289A" w:rsidP="004D289A">
      <w:pPr>
        <w:ind w:left="0"/>
        <w:rPr>
          <w:rFonts w:ascii="Arial" w:hAnsi="Arial" w:cs="Arial"/>
          <w:color w:val="000000" w:themeColor="text1"/>
          <w:sz w:val="22"/>
          <w:szCs w:val="22"/>
        </w:rPr>
      </w:pPr>
      <w:r w:rsidRPr="009E35ED">
        <w:rPr>
          <w:rFonts w:ascii="Arial" w:hAnsi="Arial" w:cs="Arial"/>
          <w:color w:val="000000" w:themeColor="text1"/>
          <w:sz w:val="22"/>
          <w:szCs w:val="22"/>
        </w:rPr>
        <w:t xml:space="preserve">In conformity with PAS No. 8, the Investments in </w:t>
      </w:r>
      <w:r w:rsidR="00802BBF">
        <w:rPr>
          <w:rFonts w:ascii="Arial" w:hAnsi="Arial" w:cs="Arial"/>
          <w:color w:val="000000" w:themeColor="text1"/>
          <w:sz w:val="22"/>
          <w:szCs w:val="22"/>
        </w:rPr>
        <w:t>t</w:t>
      </w:r>
      <w:r w:rsidRPr="009E35ED">
        <w:rPr>
          <w:rFonts w:ascii="Arial" w:hAnsi="Arial" w:cs="Arial"/>
          <w:color w:val="000000" w:themeColor="text1"/>
          <w:sz w:val="22"/>
          <w:szCs w:val="22"/>
        </w:rPr>
        <w:t xml:space="preserve">ime </w:t>
      </w:r>
      <w:r w:rsidR="00802BBF">
        <w:rPr>
          <w:rFonts w:ascii="Arial" w:hAnsi="Arial" w:cs="Arial"/>
          <w:color w:val="000000" w:themeColor="text1"/>
          <w:sz w:val="22"/>
          <w:szCs w:val="22"/>
        </w:rPr>
        <w:t>d</w:t>
      </w:r>
      <w:r w:rsidRPr="009E35ED">
        <w:rPr>
          <w:rFonts w:ascii="Arial" w:hAnsi="Arial" w:cs="Arial"/>
          <w:color w:val="000000" w:themeColor="text1"/>
          <w:sz w:val="22"/>
          <w:szCs w:val="22"/>
        </w:rPr>
        <w:t>eposits-</w:t>
      </w:r>
      <w:r w:rsidR="00802BBF">
        <w:rPr>
          <w:rFonts w:ascii="Arial" w:hAnsi="Arial" w:cs="Arial"/>
          <w:color w:val="000000" w:themeColor="text1"/>
          <w:sz w:val="22"/>
          <w:szCs w:val="22"/>
        </w:rPr>
        <w:t>f</w:t>
      </w:r>
      <w:r w:rsidRPr="009E35ED">
        <w:rPr>
          <w:rFonts w:ascii="Arial" w:hAnsi="Arial" w:cs="Arial"/>
          <w:color w:val="000000" w:themeColor="text1"/>
          <w:sz w:val="22"/>
          <w:szCs w:val="22"/>
        </w:rPr>
        <w:t xml:space="preserve">oreign </w:t>
      </w:r>
      <w:r w:rsidR="00802BBF">
        <w:rPr>
          <w:rFonts w:ascii="Arial" w:hAnsi="Arial" w:cs="Arial"/>
          <w:color w:val="000000" w:themeColor="text1"/>
          <w:sz w:val="22"/>
          <w:szCs w:val="22"/>
        </w:rPr>
        <w:t>c</w:t>
      </w:r>
      <w:r w:rsidRPr="009E35ED">
        <w:rPr>
          <w:rFonts w:ascii="Arial" w:hAnsi="Arial" w:cs="Arial"/>
          <w:color w:val="000000" w:themeColor="text1"/>
          <w:sz w:val="22"/>
          <w:szCs w:val="22"/>
        </w:rPr>
        <w:t xml:space="preserve">urrency </w:t>
      </w:r>
      <w:r w:rsidR="00802BBF">
        <w:rPr>
          <w:rFonts w:ascii="Arial" w:hAnsi="Arial" w:cs="Arial"/>
          <w:color w:val="000000" w:themeColor="text1"/>
          <w:sz w:val="22"/>
          <w:szCs w:val="22"/>
        </w:rPr>
        <w:t>c</w:t>
      </w:r>
      <w:r w:rsidRPr="009E35ED">
        <w:rPr>
          <w:rFonts w:ascii="Arial" w:hAnsi="Arial" w:cs="Arial"/>
          <w:color w:val="000000" w:themeColor="text1"/>
          <w:sz w:val="22"/>
          <w:szCs w:val="22"/>
        </w:rPr>
        <w:t xml:space="preserve">ash in </w:t>
      </w:r>
      <w:r w:rsidR="00802BBF">
        <w:rPr>
          <w:rFonts w:ascii="Arial" w:hAnsi="Arial" w:cs="Arial"/>
          <w:color w:val="000000" w:themeColor="text1"/>
          <w:sz w:val="22"/>
          <w:szCs w:val="22"/>
        </w:rPr>
        <w:t>b</w:t>
      </w:r>
      <w:r w:rsidRPr="009E35ED">
        <w:rPr>
          <w:rFonts w:ascii="Arial" w:hAnsi="Arial" w:cs="Arial"/>
          <w:color w:val="000000" w:themeColor="text1"/>
          <w:sz w:val="22"/>
          <w:szCs w:val="22"/>
        </w:rPr>
        <w:t>ank account are restated as follows:</w:t>
      </w:r>
    </w:p>
    <w:p w14:paraId="731C6B12" w14:textId="77777777" w:rsidR="004D289A" w:rsidRPr="009E35ED" w:rsidRDefault="004D289A" w:rsidP="004D289A">
      <w:pPr>
        <w:suppressAutoHyphens/>
        <w:ind w:left="0"/>
        <w:rPr>
          <w:rFonts w:ascii="Arial" w:hAnsi="Arial" w:cs="Arial"/>
          <w:color w:val="000000" w:themeColor="text1"/>
          <w:sz w:val="22"/>
          <w:szCs w:val="22"/>
          <w:lang w:eastAsia="ar-SA"/>
        </w:rPr>
      </w:pPr>
    </w:p>
    <w:tbl>
      <w:tblPr>
        <w:tblW w:w="8640" w:type="dxa"/>
        <w:tblLook w:val="04A0" w:firstRow="1" w:lastRow="0" w:firstColumn="1" w:lastColumn="0" w:noHBand="0" w:noVBand="1"/>
      </w:tblPr>
      <w:tblGrid>
        <w:gridCol w:w="7020"/>
        <w:gridCol w:w="1620"/>
      </w:tblGrid>
      <w:tr w:rsidR="00997F75" w:rsidRPr="009E35ED" w14:paraId="2AD864EB" w14:textId="77777777" w:rsidTr="006A7335">
        <w:trPr>
          <w:trHeight w:val="276"/>
        </w:trPr>
        <w:tc>
          <w:tcPr>
            <w:tcW w:w="7020" w:type="dxa"/>
            <w:tcBorders>
              <w:top w:val="single" w:sz="4" w:space="0" w:color="auto"/>
              <w:left w:val="nil"/>
              <w:bottom w:val="nil"/>
              <w:right w:val="nil"/>
            </w:tcBorders>
            <w:shd w:val="clear" w:color="auto" w:fill="auto"/>
            <w:noWrap/>
            <w:hideMark/>
          </w:tcPr>
          <w:p w14:paraId="24448023" w14:textId="1933382D" w:rsidR="009C69B7" w:rsidRPr="009E35ED" w:rsidRDefault="009C69B7" w:rsidP="006A7335">
            <w:pPr>
              <w:ind w:left="-108"/>
              <w:jc w:val="left"/>
              <w:rPr>
                <w:rFonts w:ascii="Arial Narrow" w:hAnsi="Arial Narrow" w:cs="Arial"/>
                <w:color w:val="000000" w:themeColor="text1"/>
                <w:sz w:val="22"/>
                <w:szCs w:val="22"/>
                <w:lang w:val="en-PH" w:eastAsia="en-PH"/>
              </w:rPr>
            </w:pPr>
            <w:r w:rsidRPr="009E35ED">
              <w:rPr>
                <w:rFonts w:ascii="Arial Narrow" w:hAnsi="Arial Narrow"/>
                <w:color w:val="000000" w:themeColor="text1"/>
                <w:sz w:val="22"/>
                <w:szCs w:val="22"/>
              </w:rPr>
              <w:t xml:space="preserve">Unrestated </w:t>
            </w:r>
            <w:r w:rsidR="00802BBF">
              <w:rPr>
                <w:rFonts w:ascii="Arial Narrow" w:hAnsi="Arial Narrow"/>
                <w:color w:val="000000" w:themeColor="text1"/>
                <w:sz w:val="22"/>
                <w:szCs w:val="22"/>
              </w:rPr>
              <w:t>a</w:t>
            </w:r>
            <w:r w:rsidRPr="009E35ED">
              <w:rPr>
                <w:rFonts w:ascii="Arial Narrow" w:hAnsi="Arial Narrow"/>
                <w:color w:val="000000" w:themeColor="text1"/>
                <w:sz w:val="22"/>
                <w:szCs w:val="22"/>
              </w:rPr>
              <w:t>mount as of December 31, 2022</w:t>
            </w:r>
          </w:p>
        </w:tc>
        <w:tc>
          <w:tcPr>
            <w:tcW w:w="1620" w:type="dxa"/>
            <w:tcBorders>
              <w:top w:val="single" w:sz="4" w:space="0" w:color="auto"/>
              <w:left w:val="nil"/>
              <w:bottom w:val="nil"/>
              <w:right w:val="nil"/>
            </w:tcBorders>
            <w:shd w:val="clear" w:color="auto" w:fill="auto"/>
            <w:noWrap/>
            <w:hideMark/>
          </w:tcPr>
          <w:p w14:paraId="72F48D29" w14:textId="583EE47F" w:rsidR="009C69B7" w:rsidRPr="009E35ED" w:rsidRDefault="009C69B7" w:rsidP="006A7335">
            <w:pPr>
              <w:ind w:left="0" w:right="-108"/>
              <w:jc w:val="right"/>
              <w:rPr>
                <w:rFonts w:ascii="Arial Narrow" w:hAnsi="Arial Narrow" w:cs="Arial"/>
                <w:color w:val="000000" w:themeColor="text1"/>
                <w:sz w:val="22"/>
                <w:szCs w:val="22"/>
                <w:lang w:val="en-PH" w:eastAsia="en-PH"/>
              </w:rPr>
            </w:pPr>
            <w:r w:rsidRPr="009E35ED">
              <w:rPr>
                <w:rFonts w:ascii="Arial Narrow" w:hAnsi="Arial Narrow"/>
                <w:color w:val="000000" w:themeColor="text1"/>
                <w:sz w:val="22"/>
                <w:szCs w:val="22"/>
              </w:rPr>
              <w:t xml:space="preserve"> 2,260,102,461 </w:t>
            </w:r>
          </w:p>
        </w:tc>
      </w:tr>
      <w:tr w:rsidR="00997F75" w:rsidRPr="009E35ED" w14:paraId="7932F051" w14:textId="77777777" w:rsidTr="006A7335">
        <w:trPr>
          <w:trHeight w:val="276"/>
        </w:trPr>
        <w:tc>
          <w:tcPr>
            <w:tcW w:w="7020" w:type="dxa"/>
            <w:tcBorders>
              <w:top w:val="nil"/>
              <w:left w:val="nil"/>
              <w:bottom w:val="nil"/>
              <w:right w:val="nil"/>
            </w:tcBorders>
            <w:shd w:val="clear" w:color="auto" w:fill="auto"/>
            <w:noWrap/>
          </w:tcPr>
          <w:p w14:paraId="4AA44B22" w14:textId="17B9E604" w:rsidR="009C69B7" w:rsidRPr="009E35ED" w:rsidRDefault="009C69B7" w:rsidP="006A7335">
            <w:pPr>
              <w:ind w:left="-108"/>
              <w:jc w:val="left"/>
              <w:rPr>
                <w:rFonts w:ascii="Arial Narrow" w:hAnsi="Arial Narrow" w:cs="Arial"/>
                <w:color w:val="000000" w:themeColor="text1"/>
                <w:sz w:val="22"/>
                <w:szCs w:val="22"/>
                <w:lang w:val="en-PH" w:eastAsia="en-PH"/>
              </w:rPr>
            </w:pPr>
            <w:r w:rsidRPr="009E35ED">
              <w:rPr>
                <w:rFonts w:ascii="Arial Narrow" w:hAnsi="Arial Narrow"/>
                <w:color w:val="000000" w:themeColor="text1"/>
                <w:sz w:val="22"/>
                <w:szCs w:val="22"/>
              </w:rPr>
              <w:t xml:space="preserve">Adjustment/Recording of </w:t>
            </w:r>
            <w:r w:rsidR="00802BBF">
              <w:rPr>
                <w:rFonts w:ascii="Arial Narrow" w:hAnsi="Arial Narrow"/>
                <w:color w:val="000000" w:themeColor="text1"/>
                <w:sz w:val="22"/>
                <w:szCs w:val="22"/>
              </w:rPr>
              <w:t>t</w:t>
            </w:r>
            <w:r w:rsidRPr="009E35ED">
              <w:rPr>
                <w:rFonts w:ascii="Arial Narrow" w:hAnsi="Arial Narrow"/>
                <w:color w:val="000000" w:themeColor="text1"/>
                <w:sz w:val="22"/>
                <w:szCs w:val="22"/>
              </w:rPr>
              <w:t xml:space="preserve">axes, </w:t>
            </w:r>
            <w:r w:rsidR="00802BBF">
              <w:rPr>
                <w:rFonts w:ascii="Arial Narrow" w:hAnsi="Arial Narrow"/>
                <w:color w:val="000000" w:themeColor="text1"/>
                <w:sz w:val="22"/>
                <w:szCs w:val="22"/>
              </w:rPr>
              <w:t>d</w:t>
            </w:r>
            <w:r w:rsidRPr="009E35ED">
              <w:rPr>
                <w:rFonts w:ascii="Arial Narrow" w:hAnsi="Arial Narrow"/>
                <w:color w:val="000000" w:themeColor="text1"/>
                <w:sz w:val="22"/>
                <w:szCs w:val="22"/>
              </w:rPr>
              <w:t xml:space="preserve">uties </w:t>
            </w:r>
            <w:r w:rsidR="00802BBF">
              <w:rPr>
                <w:rFonts w:ascii="Arial Narrow" w:hAnsi="Arial Narrow"/>
                <w:color w:val="000000" w:themeColor="text1"/>
                <w:sz w:val="22"/>
                <w:szCs w:val="22"/>
              </w:rPr>
              <w:t>a</w:t>
            </w:r>
            <w:r w:rsidRPr="009E35ED">
              <w:rPr>
                <w:rFonts w:ascii="Arial Narrow" w:hAnsi="Arial Narrow"/>
                <w:color w:val="000000" w:themeColor="text1"/>
                <w:sz w:val="22"/>
                <w:szCs w:val="22"/>
              </w:rPr>
              <w:t xml:space="preserve">nd </w:t>
            </w:r>
            <w:r w:rsidR="00802BBF">
              <w:rPr>
                <w:rFonts w:ascii="Arial Narrow" w:hAnsi="Arial Narrow"/>
                <w:color w:val="000000" w:themeColor="text1"/>
                <w:sz w:val="22"/>
                <w:szCs w:val="22"/>
              </w:rPr>
              <w:t>l</w:t>
            </w:r>
            <w:r w:rsidRPr="009E35ED">
              <w:rPr>
                <w:rFonts w:ascii="Arial Narrow" w:hAnsi="Arial Narrow"/>
                <w:color w:val="000000" w:themeColor="text1"/>
                <w:sz w:val="22"/>
                <w:szCs w:val="22"/>
              </w:rPr>
              <w:t>icenses-LBP</w:t>
            </w:r>
          </w:p>
        </w:tc>
        <w:tc>
          <w:tcPr>
            <w:tcW w:w="1620" w:type="dxa"/>
            <w:tcBorders>
              <w:top w:val="nil"/>
              <w:left w:val="nil"/>
              <w:bottom w:val="nil"/>
              <w:right w:val="nil"/>
            </w:tcBorders>
            <w:shd w:val="clear" w:color="auto" w:fill="auto"/>
            <w:noWrap/>
          </w:tcPr>
          <w:p w14:paraId="1BE3474C" w14:textId="16821086" w:rsidR="009C69B7" w:rsidRPr="009E35ED" w:rsidRDefault="00DF265A" w:rsidP="006A7335">
            <w:pPr>
              <w:ind w:left="0" w:right="-108"/>
              <w:jc w:val="right"/>
              <w:rPr>
                <w:rFonts w:ascii="Arial Narrow" w:hAnsi="Arial Narrow" w:cs="Arial"/>
                <w:color w:val="000000" w:themeColor="text1"/>
                <w:sz w:val="22"/>
                <w:szCs w:val="22"/>
                <w:lang w:val="en-PH" w:eastAsia="en-PH"/>
              </w:rPr>
            </w:pPr>
            <w:r w:rsidRPr="009E35ED">
              <w:rPr>
                <w:rFonts w:ascii="Arial Narrow" w:hAnsi="Arial Narrow"/>
                <w:color w:val="000000" w:themeColor="text1"/>
                <w:sz w:val="22"/>
                <w:szCs w:val="22"/>
              </w:rPr>
              <w:t>(</w:t>
            </w:r>
            <w:r w:rsidR="009C69B7" w:rsidRPr="009E35ED">
              <w:rPr>
                <w:rFonts w:ascii="Arial Narrow" w:hAnsi="Arial Narrow"/>
                <w:color w:val="000000" w:themeColor="text1"/>
                <w:sz w:val="22"/>
                <w:szCs w:val="22"/>
              </w:rPr>
              <w:t>123,784</w:t>
            </w:r>
            <w:r w:rsidRPr="009E35ED">
              <w:rPr>
                <w:rFonts w:ascii="Arial Narrow" w:hAnsi="Arial Narrow"/>
                <w:color w:val="000000" w:themeColor="text1"/>
                <w:sz w:val="22"/>
                <w:szCs w:val="22"/>
              </w:rPr>
              <w:t>)</w:t>
            </w:r>
            <w:r w:rsidR="009C69B7" w:rsidRPr="009E35ED">
              <w:rPr>
                <w:rFonts w:ascii="Arial Narrow" w:hAnsi="Arial Narrow"/>
                <w:color w:val="000000" w:themeColor="text1"/>
                <w:sz w:val="22"/>
                <w:szCs w:val="22"/>
              </w:rPr>
              <w:t xml:space="preserve"> </w:t>
            </w:r>
          </w:p>
        </w:tc>
      </w:tr>
      <w:tr w:rsidR="00997F75" w:rsidRPr="009E35ED" w14:paraId="47925C8E" w14:textId="77777777" w:rsidTr="006A7335">
        <w:trPr>
          <w:trHeight w:val="276"/>
        </w:trPr>
        <w:tc>
          <w:tcPr>
            <w:tcW w:w="7020" w:type="dxa"/>
            <w:tcBorders>
              <w:top w:val="nil"/>
              <w:left w:val="nil"/>
              <w:bottom w:val="nil"/>
              <w:right w:val="nil"/>
            </w:tcBorders>
            <w:shd w:val="clear" w:color="auto" w:fill="auto"/>
            <w:noWrap/>
          </w:tcPr>
          <w:p w14:paraId="323A5F18" w14:textId="7E2459C8" w:rsidR="009C69B7" w:rsidRPr="009E35ED" w:rsidRDefault="009C69B7" w:rsidP="006A7335">
            <w:pPr>
              <w:ind w:left="-108"/>
              <w:jc w:val="left"/>
              <w:rPr>
                <w:rFonts w:ascii="Arial Narrow" w:hAnsi="Arial Narrow" w:cs="Arial"/>
                <w:color w:val="000000" w:themeColor="text1"/>
                <w:sz w:val="22"/>
                <w:szCs w:val="22"/>
                <w:lang w:val="en-PH" w:eastAsia="en-PH"/>
              </w:rPr>
            </w:pPr>
            <w:r w:rsidRPr="009E35ED">
              <w:rPr>
                <w:rFonts w:ascii="Arial Narrow" w:hAnsi="Arial Narrow"/>
                <w:color w:val="000000" w:themeColor="text1"/>
                <w:sz w:val="22"/>
                <w:szCs w:val="22"/>
              </w:rPr>
              <w:t xml:space="preserve">Adjustment/Recording of </w:t>
            </w:r>
            <w:r w:rsidR="00802BBF">
              <w:rPr>
                <w:rFonts w:ascii="Arial Narrow" w:hAnsi="Arial Narrow"/>
                <w:color w:val="000000" w:themeColor="text1"/>
                <w:sz w:val="22"/>
                <w:szCs w:val="22"/>
              </w:rPr>
              <w:t>i</w:t>
            </w:r>
            <w:r w:rsidRPr="009E35ED">
              <w:rPr>
                <w:rFonts w:ascii="Arial Narrow" w:hAnsi="Arial Narrow"/>
                <w:color w:val="000000" w:themeColor="text1"/>
                <w:sz w:val="22"/>
                <w:szCs w:val="22"/>
              </w:rPr>
              <w:t xml:space="preserve">nterest </w:t>
            </w:r>
            <w:r w:rsidR="00802BBF">
              <w:rPr>
                <w:rFonts w:ascii="Arial Narrow" w:hAnsi="Arial Narrow"/>
                <w:color w:val="000000" w:themeColor="text1"/>
                <w:sz w:val="22"/>
                <w:szCs w:val="22"/>
              </w:rPr>
              <w:t>i</w:t>
            </w:r>
            <w:r w:rsidRPr="009E35ED">
              <w:rPr>
                <w:rFonts w:ascii="Arial Narrow" w:hAnsi="Arial Narrow"/>
                <w:color w:val="000000" w:themeColor="text1"/>
                <w:sz w:val="22"/>
                <w:szCs w:val="22"/>
              </w:rPr>
              <w:t>ncome-</w:t>
            </w:r>
            <w:r w:rsidR="00802BBF">
              <w:rPr>
                <w:rFonts w:ascii="Arial Narrow" w:hAnsi="Arial Narrow"/>
                <w:color w:val="000000" w:themeColor="text1"/>
                <w:sz w:val="22"/>
                <w:szCs w:val="22"/>
              </w:rPr>
              <w:t>d</w:t>
            </w:r>
            <w:r w:rsidRPr="009E35ED">
              <w:rPr>
                <w:rFonts w:ascii="Arial Narrow" w:hAnsi="Arial Narrow"/>
                <w:color w:val="000000" w:themeColor="text1"/>
                <w:sz w:val="22"/>
                <w:szCs w:val="22"/>
              </w:rPr>
              <w:t xml:space="preserve">ue </w:t>
            </w:r>
            <w:r w:rsidR="00802BBF">
              <w:rPr>
                <w:rFonts w:ascii="Arial Narrow" w:hAnsi="Arial Narrow"/>
                <w:color w:val="000000" w:themeColor="text1"/>
                <w:sz w:val="22"/>
                <w:szCs w:val="22"/>
              </w:rPr>
              <w:t>f</w:t>
            </w:r>
            <w:r w:rsidRPr="009E35ED">
              <w:rPr>
                <w:rFonts w:ascii="Arial Narrow" w:hAnsi="Arial Narrow"/>
                <w:color w:val="000000" w:themeColor="text1"/>
                <w:sz w:val="22"/>
                <w:szCs w:val="22"/>
              </w:rPr>
              <w:t xml:space="preserve">rom </w:t>
            </w:r>
            <w:r w:rsidR="00802BBF">
              <w:rPr>
                <w:rFonts w:ascii="Arial Narrow" w:hAnsi="Arial Narrow"/>
                <w:color w:val="000000" w:themeColor="text1"/>
                <w:sz w:val="22"/>
                <w:szCs w:val="22"/>
              </w:rPr>
              <w:t>o</w:t>
            </w:r>
            <w:r w:rsidRPr="009E35ED">
              <w:rPr>
                <w:rFonts w:ascii="Arial Narrow" w:hAnsi="Arial Narrow"/>
                <w:color w:val="000000" w:themeColor="text1"/>
                <w:sz w:val="22"/>
                <w:szCs w:val="22"/>
              </w:rPr>
              <w:t xml:space="preserve">ther </w:t>
            </w:r>
            <w:r w:rsidR="00802BBF">
              <w:rPr>
                <w:rFonts w:ascii="Arial Narrow" w:hAnsi="Arial Narrow"/>
                <w:color w:val="000000" w:themeColor="text1"/>
                <w:sz w:val="22"/>
                <w:szCs w:val="22"/>
              </w:rPr>
              <w:t>b</w:t>
            </w:r>
            <w:r w:rsidRPr="009E35ED">
              <w:rPr>
                <w:rFonts w:ascii="Arial Narrow" w:hAnsi="Arial Narrow"/>
                <w:color w:val="000000" w:themeColor="text1"/>
                <w:sz w:val="22"/>
                <w:szCs w:val="22"/>
              </w:rPr>
              <w:t>anks-LBP</w:t>
            </w:r>
          </w:p>
        </w:tc>
        <w:tc>
          <w:tcPr>
            <w:tcW w:w="1620" w:type="dxa"/>
            <w:tcBorders>
              <w:top w:val="nil"/>
              <w:left w:val="nil"/>
              <w:bottom w:val="nil"/>
              <w:right w:val="nil"/>
            </w:tcBorders>
            <w:shd w:val="clear" w:color="auto" w:fill="auto"/>
            <w:noWrap/>
          </w:tcPr>
          <w:p w14:paraId="045EE561" w14:textId="776E931F" w:rsidR="009C69B7" w:rsidRPr="009E35ED" w:rsidRDefault="009C69B7" w:rsidP="006A7335">
            <w:pPr>
              <w:ind w:left="0" w:right="-108"/>
              <w:jc w:val="right"/>
              <w:rPr>
                <w:rFonts w:ascii="Arial Narrow" w:hAnsi="Arial Narrow" w:cs="Arial"/>
                <w:color w:val="000000" w:themeColor="text1"/>
                <w:sz w:val="22"/>
                <w:szCs w:val="22"/>
                <w:lang w:val="en-PH" w:eastAsia="en-PH"/>
              </w:rPr>
            </w:pPr>
            <w:r w:rsidRPr="009E35ED">
              <w:rPr>
                <w:rFonts w:ascii="Arial Narrow" w:hAnsi="Arial Narrow"/>
                <w:color w:val="000000" w:themeColor="text1"/>
                <w:sz w:val="22"/>
                <w:szCs w:val="22"/>
              </w:rPr>
              <w:t xml:space="preserve"> 618,92</w:t>
            </w:r>
            <w:r w:rsidR="00DF265A" w:rsidRPr="009E35ED">
              <w:rPr>
                <w:rFonts w:ascii="Arial Narrow" w:hAnsi="Arial Narrow"/>
                <w:color w:val="000000" w:themeColor="text1"/>
                <w:sz w:val="22"/>
                <w:szCs w:val="22"/>
              </w:rPr>
              <w:t>1</w:t>
            </w:r>
            <w:r w:rsidRPr="009E35ED">
              <w:rPr>
                <w:rFonts w:ascii="Arial Narrow" w:hAnsi="Arial Narrow"/>
                <w:color w:val="000000" w:themeColor="text1"/>
                <w:sz w:val="22"/>
                <w:szCs w:val="22"/>
              </w:rPr>
              <w:t xml:space="preserve"> </w:t>
            </w:r>
          </w:p>
        </w:tc>
      </w:tr>
      <w:tr w:rsidR="009C69B7" w:rsidRPr="009E35ED" w14:paraId="305199BE" w14:textId="77777777" w:rsidTr="006A7335">
        <w:trPr>
          <w:trHeight w:val="305"/>
        </w:trPr>
        <w:tc>
          <w:tcPr>
            <w:tcW w:w="7020" w:type="dxa"/>
            <w:tcBorders>
              <w:top w:val="single" w:sz="4" w:space="0" w:color="auto"/>
              <w:left w:val="nil"/>
              <w:bottom w:val="double" w:sz="6" w:space="0" w:color="auto"/>
              <w:right w:val="nil"/>
            </w:tcBorders>
            <w:shd w:val="clear" w:color="auto" w:fill="auto"/>
            <w:noWrap/>
            <w:hideMark/>
          </w:tcPr>
          <w:p w14:paraId="54F594C4" w14:textId="38630358" w:rsidR="009C69B7" w:rsidRPr="009E35ED" w:rsidRDefault="009C69B7" w:rsidP="006A7335">
            <w:pPr>
              <w:ind w:left="-108"/>
              <w:jc w:val="left"/>
              <w:rPr>
                <w:rFonts w:ascii="Arial Narrow" w:hAnsi="Arial Narrow" w:cs="Arial"/>
                <w:b/>
                <w:bCs/>
                <w:color w:val="000000" w:themeColor="text1"/>
                <w:sz w:val="22"/>
                <w:szCs w:val="22"/>
                <w:lang w:val="en-PH" w:eastAsia="en-PH"/>
              </w:rPr>
            </w:pPr>
            <w:r w:rsidRPr="009E35ED">
              <w:rPr>
                <w:rFonts w:ascii="Arial Narrow" w:hAnsi="Arial Narrow"/>
                <w:b/>
                <w:bCs/>
                <w:color w:val="000000" w:themeColor="text1"/>
                <w:sz w:val="22"/>
                <w:szCs w:val="22"/>
              </w:rPr>
              <w:t>Restated Amount as of December 31, 2022 - Investments in Time Deposits - Foreign Currency</w:t>
            </w:r>
            <w:r w:rsidR="0056497A" w:rsidRPr="009E35ED">
              <w:rPr>
                <w:rFonts w:ascii="Arial Narrow" w:hAnsi="Arial Narrow"/>
                <w:b/>
                <w:bCs/>
                <w:color w:val="000000" w:themeColor="text1"/>
                <w:sz w:val="22"/>
                <w:szCs w:val="22"/>
              </w:rPr>
              <w:t xml:space="preserve"> Cash in Bank</w:t>
            </w:r>
          </w:p>
        </w:tc>
        <w:tc>
          <w:tcPr>
            <w:tcW w:w="1620" w:type="dxa"/>
            <w:tcBorders>
              <w:top w:val="single" w:sz="4" w:space="0" w:color="auto"/>
              <w:left w:val="nil"/>
              <w:bottom w:val="double" w:sz="6" w:space="0" w:color="auto"/>
              <w:right w:val="nil"/>
            </w:tcBorders>
            <w:shd w:val="clear" w:color="auto" w:fill="auto"/>
            <w:noWrap/>
            <w:hideMark/>
          </w:tcPr>
          <w:p w14:paraId="797569B5" w14:textId="77777777" w:rsidR="00723912" w:rsidRPr="009E35ED" w:rsidRDefault="00723912" w:rsidP="006A7335">
            <w:pPr>
              <w:ind w:left="0" w:right="-108"/>
              <w:jc w:val="right"/>
              <w:rPr>
                <w:rFonts w:ascii="Arial Narrow" w:hAnsi="Arial Narrow"/>
                <w:b/>
                <w:bCs/>
                <w:color w:val="000000" w:themeColor="text1"/>
                <w:sz w:val="22"/>
                <w:szCs w:val="22"/>
              </w:rPr>
            </w:pPr>
          </w:p>
          <w:p w14:paraId="6C591398" w14:textId="1F14BBCD" w:rsidR="009C69B7" w:rsidRPr="009E35ED" w:rsidRDefault="009C69B7" w:rsidP="006A7335">
            <w:pPr>
              <w:ind w:left="0" w:right="-108"/>
              <w:jc w:val="right"/>
              <w:rPr>
                <w:rFonts w:ascii="Arial Narrow" w:hAnsi="Arial Narrow" w:cs="Arial"/>
                <w:b/>
                <w:bCs/>
                <w:color w:val="000000" w:themeColor="text1"/>
                <w:sz w:val="22"/>
                <w:szCs w:val="22"/>
                <w:lang w:val="en-PH" w:eastAsia="en-PH"/>
              </w:rPr>
            </w:pPr>
            <w:r w:rsidRPr="009E35ED">
              <w:rPr>
                <w:rFonts w:ascii="Arial Narrow" w:hAnsi="Arial Narrow"/>
                <w:b/>
                <w:bCs/>
                <w:color w:val="000000" w:themeColor="text1"/>
                <w:sz w:val="22"/>
                <w:szCs w:val="22"/>
              </w:rPr>
              <w:t xml:space="preserve"> 2,260,597,598 </w:t>
            </w:r>
          </w:p>
        </w:tc>
      </w:tr>
    </w:tbl>
    <w:p w14:paraId="7EFA260E" w14:textId="02DAE1E5" w:rsidR="004D289A" w:rsidRPr="009E35ED" w:rsidRDefault="004D289A" w:rsidP="00883496">
      <w:pPr>
        <w:ind w:left="0"/>
        <w:rPr>
          <w:rFonts w:ascii="Arial" w:hAnsi="Arial" w:cs="Arial"/>
          <w:color w:val="000000" w:themeColor="text1"/>
          <w:sz w:val="22"/>
          <w:szCs w:val="22"/>
        </w:rPr>
      </w:pPr>
    </w:p>
    <w:p w14:paraId="02005590" w14:textId="71F17D57" w:rsidR="00DB3556" w:rsidRPr="009E35ED" w:rsidRDefault="00DB3556" w:rsidP="00DB3556">
      <w:pPr>
        <w:ind w:left="0"/>
        <w:rPr>
          <w:rFonts w:ascii="Arial" w:hAnsi="Arial" w:cs="Arial"/>
          <w:color w:val="000000" w:themeColor="text1"/>
          <w:sz w:val="22"/>
          <w:szCs w:val="22"/>
        </w:rPr>
      </w:pPr>
      <w:r w:rsidRPr="009E35ED">
        <w:rPr>
          <w:rFonts w:ascii="Arial" w:hAnsi="Arial" w:cs="Arial"/>
          <w:color w:val="000000" w:themeColor="text1"/>
          <w:sz w:val="22"/>
          <w:szCs w:val="22"/>
        </w:rPr>
        <w:t xml:space="preserve">Short-term investments consist of high-yield savings account (LBP) and premium savings </w:t>
      </w:r>
      <w:r w:rsidR="00802BBF">
        <w:rPr>
          <w:rFonts w:ascii="Arial" w:hAnsi="Arial" w:cs="Arial"/>
          <w:color w:val="000000" w:themeColor="text1"/>
          <w:sz w:val="22"/>
          <w:szCs w:val="22"/>
        </w:rPr>
        <w:t xml:space="preserve">Development Bank of the Philippines </w:t>
      </w:r>
      <w:r w:rsidRPr="009E35ED">
        <w:rPr>
          <w:rFonts w:ascii="Arial" w:hAnsi="Arial" w:cs="Arial"/>
          <w:color w:val="000000" w:themeColor="text1"/>
          <w:sz w:val="22"/>
          <w:szCs w:val="22"/>
        </w:rPr>
        <w:t xml:space="preserve">(DBP) with maturity period of 119-182 days. </w:t>
      </w:r>
    </w:p>
    <w:p w14:paraId="61DF2B56" w14:textId="77777777" w:rsidR="00DB3556" w:rsidRPr="009E35ED" w:rsidRDefault="00DB3556" w:rsidP="00DB3556">
      <w:pPr>
        <w:ind w:left="0"/>
        <w:rPr>
          <w:rFonts w:ascii="Arial" w:hAnsi="Arial" w:cs="Arial"/>
          <w:color w:val="000000" w:themeColor="text1"/>
          <w:sz w:val="22"/>
          <w:szCs w:val="22"/>
          <w:lang w:eastAsia="ar-SA"/>
        </w:rPr>
      </w:pPr>
    </w:p>
    <w:p w14:paraId="498E5AA9" w14:textId="53954F5B" w:rsidR="00DB3556" w:rsidRPr="009E35ED" w:rsidRDefault="00DB3556" w:rsidP="00DB3556">
      <w:pPr>
        <w:ind w:left="0"/>
        <w:rPr>
          <w:rFonts w:ascii="Arial" w:hAnsi="Arial" w:cs="Arial"/>
          <w:color w:val="000000" w:themeColor="text1"/>
          <w:sz w:val="22"/>
          <w:szCs w:val="22"/>
        </w:rPr>
      </w:pPr>
      <w:r w:rsidRPr="009E35ED">
        <w:rPr>
          <w:rFonts w:ascii="Arial" w:hAnsi="Arial" w:cs="Arial"/>
          <w:color w:val="000000" w:themeColor="text1"/>
          <w:sz w:val="22"/>
          <w:szCs w:val="22"/>
        </w:rPr>
        <w:t>The acquisition cost and maturity value of investments in foreign currency amounted to $7,051,279 and $7,193,693 respectively were translated to peso based on B</w:t>
      </w:r>
      <w:r w:rsidR="00802BBF">
        <w:rPr>
          <w:rFonts w:ascii="Arial" w:hAnsi="Arial" w:cs="Arial"/>
          <w:color w:val="000000" w:themeColor="text1"/>
          <w:sz w:val="22"/>
          <w:szCs w:val="22"/>
        </w:rPr>
        <w:t>SP</w:t>
      </w:r>
      <w:r w:rsidRPr="009E35ED">
        <w:rPr>
          <w:rFonts w:ascii="Arial" w:hAnsi="Arial" w:cs="Arial"/>
          <w:color w:val="000000" w:themeColor="text1"/>
          <w:sz w:val="22"/>
          <w:szCs w:val="22"/>
        </w:rPr>
        <w:t xml:space="preserve"> month-end rate of USD1=55.370 on December 31, 2023. </w:t>
      </w:r>
    </w:p>
    <w:p w14:paraId="443AB09B" w14:textId="77777777" w:rsidR="008D12B3" w:rsidRPr="009E35ED" w:rsidRDefault="008D12B3" w:rsidP="008D12B3">
      <w:pPr>
        <w:ind w:left="0"/>
        <w:rPr>
          <w:rFonts w:ascii="Arial" w:hAnsi="Arial" w:cs="Arial"/>
          <w:color w:val="000000" w:themeColor="text1"/>
          <w:sz w:val="22"/>
          <w:szCs w:val="22"/>
        </w:rPr>
      </w:pPr>
    </w:p>
    <w:tbl>
      <w:tblPr>
        <w:tblW w:w="8928" w:type="dxa"/>
        <w:tblInd w:w="-180" w:type="dxa"/>
        <w:tblLook w:val="04A0" w:firstRow="1" w:lastRow="0" w:firstColumn="1" w:lastColumn="0" w:noHBand="0" w:noVBand="1"/>
      </w:tblPr>
      <w:tblGrid>
        <w:gridCol w:w="1497"/>
        <w:gridCol w:w="1268"/>
        <w:gridCol w:w="1548"/>
        <w:gridCol w:w="1397"/>
        <w:gridCol w:w="1625"/>
        <w:gridCol w:w="1625"/>
      </w:tblGrid>
      <w:tr w:rsidR="00997F75" w:rsidRPr="009E35ED" w14:paraId="394472D7" w14:textId="77777777" w:rsidTr="003D0E7E">
        <w:trPr>
          <w:trHeight w:val="290"/>
          <w:tblHeader/>
        </w:trPr>
        <w:tc>
          <w:tcPr>
            <w:tcW w:w="1497" w:type="dxa"/>
            <w:tcBorders>
              <w:top w:val="single" w:sz="4" w:space="0" w:color="auto"/>
              <w:left w:val="nil"/>
              <w:bottom w:val="single" w:sz="4" w:space="0" w:color="auto"/>
              <w:right w:val="nil"/>
            </w:tcBorders>
            <w:noWrap/>
            <w:vAlign w:val="center"/>
            <w:hideMark/>
          </w:tcPr>
          <w:p w14:paraId="1A95F5FD" w14:textId="77777777" w:rsidR="008D12B3" w:rsidRPr="009E35ED" w:rsidRDefault="008D12B3">
            <w:pPr>
              <w:spacing w:line="256" w:lineRule="auto"/>
              <w:ind w:left="0"/>
              <w:jc w:val="center"/>
              <w:rPr>
                <w:rFonts w:ascii="Arial Narrow" w:hAnsi="Arial Narrow" w:cs="Calibri"/>
                <w:b/>
                <w:bCs/>
                <w:color w:val="000000" w:themeColor="text1"/>
                <w:sz w:val="20"/>
                <w:szCs w:val="20"/>
              </w:rPr>
            </w:pPr>
            <w:r w:rsidRPr="009E35ED">
              <w:rPr>
                <w:rFonts w:ascii="Arial Narrow" w:hAnsi="Arial Narrow" w:cs="Calibri"/>
                <w:b/>
                <w:bCs/>
                <w:color w:val="000000" w:themeColor="text1"/>
                <w:sz w:val="20"/>
                <w:szCs w:val="20"/>
              </w:rPr>
              <w:t>Investment Date</w:t>
            </w:r>
          </w:p>
        </w:tc>
        <w:tc>
          <w:tcPr>
            <w:tcW w:w="1267" w:type="dxa"/>
            <w:tcBorders>
              <w:top w:val="single" w:sz="4" w:space="0" w:color="auto"/>
              <w:left w:val="nil"/>
              <w:bottom w:val="single" w:sz="4" w:space="0" w:color="auto"/>
              <w:right w:val="nil"/>
            </w:tcBorders>
            <w:noWrap/>
            <w:vAlign w:val="center"/>
            <w:hideMark/>
          </w:tcPr>
          <w:p w14:paraId="060AAFEC" w14:textId="77777777" w:rsidR="008D12B3" w:rsidRPr="009E35ED" w:rsidRDefault="008D12B3">
            <w:pPr>
              <w:spacing w:line="256" w:lineRule="auto"/>
              <w:ind w:left="0"/>
              <w:jc w:val="center"/>
              <w:rPr>
                <w:rFonts w:ascii="Arial Narrow" w:hAnsi="Arial Narrow" w:cs="Calibri"/>
                <w:b/>
                <w:bCs/>
                <w:color w:val="000000" w:themeColor="text1"/>
                <w:sz w:val="20"/>
                <w:szCs w:val="20"/>
              </w:rPr>
            </w:pPr>
            <w:r w:rsidRPr="009E35ED">
              <w:rPr>
                <w:rFonts w:ascii="Arial Narrow" w:hAnsi="Arial Narrow" w:cs="Calibri"/>
                <w:b/>
                <w:bCs/>
                <w:color w:val="000000" w:themeColor="text1"/>
                <w:sz w:val="20"/>
                <w:szCs w:val="20"/>
              </w:rPr>
              <w:t>Maturity Date</w:t>
            </w:r>
          </w:p>
        </w:tc>
        <w:tc>
          <w:tcPr>
            <w:tcW w:w="1548" w:type="dxa"/>
            <w:tcBorders>
              <w:top w:val="single" w:sz="4" w:space="0" w:color="auto"/>
              <w:left w:val="nil"/>
              <w:bottom w:val="single" w:sz="4" w:space="0" w:color="auto"/>
              <w:right w:val="nil"/>
            </w:tcBorders>
            <w:noWrap/>
            <w:vAlign w:val="center"/>
            <w:hideMark/>
          </w:tcPr>
          <w:p w14:paraId="630BAF5F" w14:textId="77777777" w:rsidR="008D12B3" w:rsidRPr="009E35ED" w:rsidRDefault="008D12B3">
            <w:pPr>
              <w:spacing w:line="256" w:lineRule="auto"/>
              <w:ind w:left="0"/>
              <w:jc w:val="right"/>
              <w:rPr>
                <w:rFonts w:ascii="Arial Narrow" w:hAnsi="Arial Narrow" w:cs="Calibri"/>
                <w:b/>
                <w:bCs/>
                <w:color w:val="000000" w:themeColor="text1"/>
                <w:sz w:val="20"/>
                <w:szCs w:val="20"/>
              </w:rPr>
            </w:pPr>
            <w:r w:rsidRPr="009E35ED">
              <w:rPr>
                <w:rFonts w:ascii="Arial Narrow" w:hAnsi="Arial Narrow" w:cs="Calibri"/>
                <w:b/>
                <w:bCs/>
                <w:color w:val="000000" w:themeColor="text1"/>
                <w:sz w:val="20"/>
                <w:szCs w:val="20"/>
              </w:rPr>
              <w:t>Acquisition Cost</w:t>
            </w:r>
          </w:p>
        </w:tc>
        <w:tc>
          <w:tcPr>
            <w:tcW w:w="1387" w:type="dxa"/>
            <w:tcBorders>
              <w:top w:val="single" w:sz="4" w:space="0" w:color="auto"/>
              <w:left w:val="nil"/>
              <w:bottom w:val="single" w:sz="4" w:space="0" w:color="auto"/>
              <w:right w:val="nil"/>
            </w:tcBorders>
            <w:noWrap/>
            <w:vAlign w:val="center"/>
            <w:hideMark/>
          </w:tcPr>
          <w:p w14:paraId="5253CA05" w14:textId="77777777" w:rsidR="008D12B3" w:rsidRPr="009E35ED" w:rsidRDefault="008D12B3">
            <w:pPr>
              <w:spacing w:line="256" w:lineRule="auto"/>
              <w:ind w:left="0"/>
              <w:jc w:val="right"/>
              <w:rPr>
                <w:rFonts w:ascii="Arial Narrow" w:hAnsi="Arial Narrow" w:cs="Calibri"/>
                <w:b/>
                <w:bCs/>
                <w:color w:val="000000" w:themeColor="text1"/>
                <w:sz w:val="20"/>
                <w:szCs w:val="20"/>
              </w:rPr>
            </w:pPr>
            <w:r w:rsidRPr="009E35ED">
              <w:rPr>
                <w:rFonts w:ascii="Arial Narrow" w:hAnsi="Arial Narrow" w:cs="Calibri"/>
                <w:b/>
                <w:bCs/>
                <w:color w:val="000000" w:themeColor="text1"/>
                <w:sz w:val="20"/>
                <w:szCs w:val="20"/>
              </w:rPr>
              <w:t>Interest Receivable</w:t>
            </w:r>
          </w:p>
        </w:tc>
        <w:tc>
          <w:tcPr>
            <w:tcW w:w="1614" w:type="dxa"/>
            <w:tcBorders>
              <w:top w:val="single" w:sz="4" w:space="0" w:color="auto"/>
              <w:left w:val="nil"/>
              <w:bottom w:val="single" w:sz="4" w:space="0" w:color="auto"/>
              <w:right w:val="nil"/>
            </w:tcBorders>
            <w:noWrap/>
            <w:vAlign w:val="center"/>
            <w:hideMark/>
          </w:tcPr>
          <w:p w14:paraId="7379FAFA" w14:textId="77777777" w:rsidR="008D12B3" w:rsidRPr="009E35ED" w:rsidRDefault="008D12B3">
            <w:pPr>
              <w:spacing w:line="256" w:lineRule="auto"/>
              <w:ind w:left="0"/>
              <w:jc w:val="right"/>
              <w:rPr>
                <w:rFonts w:ascii="Arial Narrow" w:hAnsi="Arial Narrow" w:cs="Calibri"/>
                <w:b/>
                <w:bCs/>
                <w:color w:val="000000" w:themeColor="text1"/>
                <w:sz w:val="20"/>
                <w:szCs w:val="20"/>
              </w:rPr>
            </w:pPr>
            <w:r w:rsidRPr="009E35ED">
              <w:rPr>
                <w:rFonts w:ascii="Arial Narrow" w:hAnsi="Arial Narrow" w:cs="Calibri"/>
                <w:b/>
                <w:bCs/>
                <w:color w:val="000000" w:themeColor="text1"/>
                <w:sz w:val="20"/>
                <w:szCs w:val="20"/>
              </w:rPr>
              <w:t>Present Value</w:t>
            </w:r>
          </w:p>
        </w:tc>
        <w:tc>
          <w:tcPr>
            <w:tcW w:w="1614" w:type="dxa"/>
            <w:tcBorders>
              <w:top w:val="single" w:sz="4" w:space="0" w:color="auto"/>
              <w:left w:val="nil"/>
              <w:bottom w:val="single" w:sz="4" w:space="0" w:color="auto"/>
              <w:right w:val="nil"/>
            </w:tcBorders>
            <w:noWrap/>
            <w:vAlign w:val="center"/>
            <w:hideMark/>
          </w:tcPr>
          <w:p w14:paraId="299E4EDE" w14:textId="77777777" w:rsidR="008D12B3" w:rsidRPr="009E35ED" w:rsidRDefault="008D12B3">
            <w:pPr>
              <w:spacing w:line="256" w:lineRule="auto"/>
              <w:ind w:left="0"/>
              <w:jc w:val="right"/>
              <w:rPr>
                <w:rFonts w:ascii="Arial Narrow" w:hAnsi="Arial Narrow" w:cs="Calibri"/>
                <w:b/>
                <w:bCs/>
                <w:color w:val="000000" w:themeColor="text1"/>
                <w:sz w:val="20"/>
                <w:szCs w:val="20"/>
              </w:rPr>
            </w:pPr>
            <w:r w:rsidRPr="009E35ED">
              <w:rPr>
                <w:rFonts w:ascii="Arial Narrow" w:hAnsi="Arial Narrow" w:cs="Calibri"/>
                <w:b/>
                <w:bCs/>
                <w:color w:val="000000" w:themeColor="text1"/>
                <w:sz w:val="20"/>
                <w:szCs w:val="20"/>
              </w:rPr>
              <w:t>Maturity Value</w:t>
            </w:r>
          </w:p>
        </w:tc>
      </w:tr>
      <w:tr w:rsidR="00997F75" w:rsidRPr="009E35ED" w14:paraId="6F50750D" w14:textId="77777777" w:rsidTr="003D0E7E">
        <w:trPr>
          <w:trHeight w:val="248"/>
        </w:trPr>
        <w:tc>
          <w:tcPr>
            <w:tcW w:w="4313" w:type="dxa"/>
            <w:gridSpan w:val="3"/>
            <w:tcBorders>
              <w:top w:val="single" w:sz="4" w:space="0" w:color="auto"/>
              <w:left w:val="nil"/>
              <w:bottom w:val="nil"/>
              <w:right w:val="nil"/>
            </w:tcBorders>
            <w:noWrap/>
            <w:vAlign w:val="bottom"/>
          </w:tcPr>
          <w:p w14:paraId="36CA326D" w14:textId="77777777" w:rsidR="008D12B3" w:rsidRPr="003D0E7E" w:rsidRDefault="008D12B3">
            <w:pPr>
              <w:spacing w:line="256" w:lineRule="auto"/>
              <w:ind w:left="0"/>
              <w:jc w:val="left"/>
              <w:rPr>
                <w:rFonts w:ascii="Arial Narrow" w:hAnsi="Arial Narrow" w:cs="Calibri"/>
                <w:b/>
                <w:bCs/>
                <w:color w:val="000000" w:themeColor="text1"/>
                <w:sz w:val="20"/>
                <w:szCs w:val="20"/>
                <w:u w:val="single"/>
              </w:rPr>
            </w:pPr>
            <w:r w:rsidRPr="003D0E7E">
              <w:rPr>
                <w:rFonts w:ascii="Arial Narrow" w:hAnsi="Arial Narrow" w:cs="Calibri"/>
                <w:b/>
                <w:bCs/>
                <w:color w:val="000000" w:themeColor="text1"/>
                <w:sz w:val="20"/>
                <w:szCs w:val="20"/>
                <w:u w:val="single"/>
              </w:rPr>
              <w:t>Cash in Bank - Local Currency, Time Deposits - LBP</w:t>
            </w:r>
          </w:p>
        </w:tc>
        <w:tc>
          <w:tcPr>
            <w:tcW w:w="1387" w:type="dxa"/>
            <w:tcBorders>
              <w:top w:val="single" w:sz="4" w:space="0" w:color="auto"/>
              <w:left w:val="nil"/>
              <w:bottom w:val="nil"/>
              <w:right w:val="nil"/>
            </w:tcBorders>
            <w:noWrap/>
            <w:vAlign w:val="bottom"/>
            <w:hideMark/>
          </w:tcPr>
          <w:p w14:paraId="05FD4596" w14:textId="77777777" w:rsidR="008D12B3" w:rsidRPr="009E35ED" w:rsidRDefault="008D12B3">
            <w:pPr>
              <w:rPr>
                <w:rFonts w:ascii="Arial Narrow" w:hAnsi="Arial Narrow" w:cs="Calibri"/>
                <w:b/>
                <w:bCs/>
                <w:color w:val="000000" w:themeColor="text1"/>
                <w:sz w:val="20"/>
                <w:szCs w:val="20"/>
              </w:rPr>
            </w:pPr>
          </w:p>
        </w:tc>
        <w:tc>
          <w:tcPr>
            <w:tcW w:w="1614" w:type="dxa"/>
            <w:tcBorders>
              <w:top w:val="single" w:sz="4" w:space="0" w:color="auto"/>
              <w:left w:val="nil"/>
              <w:bottom w:val="nil"/>
              <w:right w:val="nil"/>
            </w:tcBorders>
            <w:noWrap/>
            <w:vAlign w:val="bottom"/>
            <w:hideMark/>
          </w:tcPr>
          <w:p w14:paraId="606331A1" w14:textId="77777777" w:rsidR="008D12B3" w:rsidRPr="009E35ED" w:rsidRDefault="008D12B3">
            <w:pPr>
              <w:spacing w:line="256" w:lineRule="auto"/>
              <w:ind w:left="0"/>
              <w:jc w:val="left"/>
              <w:rPr>
                <w:rFonts w:asciiTheme="minorHAnsi" w:eastAsiaTheme="minorHAnsi" w:hAnsiTheme="minorHAnsi" w:cstheme="minorBidi"/>
                <w:color w:val="000000" w:themeColor="text1"/>
                <w:sz w:val="20"/>
                <w:szCs w:val="20"/>
                <w:lang w:val="en-PH" w:eastAsia="en-PH"/>
              </w:rPr>
            </w:pPr>
          </w:p>
        </w:tc>
        <w:tc>
          <w:tcPr>
            <w:tcW w:w="1614" w:type="dxa"/>
            <w:tcBorders>
              <w:top w:val="single" w:sz="4" w:space="0" w:color="auto"/>
              <w:left w:val="nil"/>
              <w:bottom w:val="nil"/>
              <w:right w:val="nil"/>
            </w:tcBorders>
            <w:noWrap/>
            <w:vAlign w:val="bottom"/>
            <w:hideMark/>
          </w:tcPr>
          <w:p w14:paraId="5873D8C9" w14:textId="77777777" w:rsidR="008D12B3" w:rsidRPr="009E35ED" w:rsidRDefault="008D12B3">
            <w:pPr>
              <w:spacing w:line="256" w:lineRule="auto"/>
              <w:ind w:left="0"/>
              <w:jc w:val="left"/>
              <w:rPr>
                <w:rFonts w:asciiTheme="minorHAnsi" w:eastAsiaTheme="minorHAnsi" w:hAnsiTheme="minorHAnsi" w:cstheme="minorBidi"/>
                <w:color w:val="000000" w:themeColor="text1"/>
                <w:sz w:val="20"/>
                <w:szCs w:val="20"/>
                <w:lang w:val="en-PH" w:eastAsia="en-PH"/>
              </w:rPr>
            </w:pPr>
          </w:p>
        </w:tc>
      </w:tr>
      <w:tr w:rsidR="00997F75" w:rsidRPr="009E35ED" w14:paraId="423966AD" w14:textId="77777777" w:rsidTr="003D0E7E">
        <w:trPr>
          <w:trHeight w:val="248"/>
        </w:trPr>
        <w:tc>
          <w:tcPr>
            <w:tcW w:w="1497" w:type="dxa"/>
            <w:noWrap/>
            <w:vAlign w:val="bottom"/>
          </w:tcPr>
          <w:p w14:paraId="7CA77259" w14:textId="77777777" w:rsidR="008D12B3" w:rsidRPr="009E35ED" w:rsidRDefault="008D12B3">
            <w:pPr>
              <w:spacing w:line="256" w:lineRule="auto"/>
              <w:ind w:left="0"/>
              <w:jc w:val="center"/>
              <w:rPr>
                <w:rFonts w:ascii="Arial Narrow" w:hAnsi="Arial Narrow" w:cs="Calibri"/>
                <w:color w:val="000000" w:themeColor="text1"/>
                <w:sz w:val="20"/>
                <w:szCs w:val="20"/>
              </w:rPr>
            </w:pPr>
          </w:p>
          <w:p w14:paraId="3EDABFA3" w14:textId="77777777" w:rsidR="008D12B3" w:rsidRPr="009E35ED" w:rsidRDefault="008D12B3">
            <w:pPr>
              <w:spacing w:line="256" w:lineRule="auto"/>
              <w:ind w:left="0"/>
              <w:jc w:val="center"/>
              <w:rPr>
                <w:rFonts w:ascii="Arial Narrow" w:hAnsi="Arial Narrow" w:cs="Calibri"/>
                <w:color w:val="000000" w:themeColor="text1"/>
                <w:sz w:val="20"/>
                <w:szCs w:val="20"/>
                <w:lang w:val="en-PH"/>
              </w:rPr>
            </w:pPr>
            <w:r w:rsidRPr="009E35ED">
              <w:rPr>
                <w:rFonts w:ascii="Arial Narrow" w:hAnsi="Arial Narrow" w:cs="Calibri"/>
                <w:color w:val="000000" w:themeColor="text1"/>
                <w:sz w:val="20"/>
                <w:szCs w:val="20"/>
              </w:rPr>
              <w:t>Nov 06, 2023</w:t>
            </w:r>
          </w:p>
        </w:tc>
        <w:tc>
          <w:tcPr>
            <w:tcW w:w="1267" w:type="dxa"/>
            <w:noWrap/>
            <w:vAlign w:val="bottom"/>
            <w:hideMark/>
          </w:tcPr>
          <w:p w14:paraId="68F69B11" w14:textId="77777777" w:rsidR="008D12B3" w:rsidRPr="009E35ED" w:rsidRDefault="008D12B3">
            <w:pPr>
              <w:spacing w:line="256" w:lineRule="auto"/>
              <w:ind w:left="0"/>
              <w:jc w:val="center"/>
              <w:rPr>
                <w:rFonts w:ascii="Arial Narrow" w:hAnsi="Arial Narrow" w:cs="Calibri"/>
                <w:color w:val="000000" w:themeColor="text1"/>
                <w:sz w:val="20"/>
                <w:szCs w:val="20"/>
              </w:rPr>
            </w:pPr>
            <w:r w:rsidRPr="009E35ED">
              <w:rPr>
                <w:rFonts w:ascii="Arial Narrow" w:hAnsi="Arial Narrow" w:cs="Calibri"/>
                <w:color w:val="000000" w:themeColor="text1"/>
                <w:sz w:val="20"/>
                <w:szCs w:val="20"/>
              </w:rPr>
              <w:t>May 06, 2024</w:t>
            </w:r>
          </w:p>
        </w:tc>
        <w:tc>
          <w:tcPr>
            <w:tcW w:w="1548" w:type="dxa"/>
            <w:noWrap/>
            <w:vAlign w:val="bottom"/>
            <w:hideMark/>
          </w:tcPr>
          <w:p w14:paraId="57A7C69F" w14:textId="77777777" w:rsidR="008D12B3" w:rsidRPr="009E35ED" w:rsidRDefault="008D12B3">
            <w:pPr>
              <w:spacing w:line="256" w:lineRule="auto"/>
              <w:ind w:left="0"/>
              <w:jc w:val="right"/>
              <w:rPr>
                <w:rFonts w:ascii="Arial Narrow" w:hAnsi="Arial Narrow" w:cs="Calibri"/>
                <w:color w:val="000000" w:themeColor="text1"/>
                <w:sz w:val="20"/>
                <w:szCs w:val="20"/>
              </w:rPr>
            </w:pPr>
            <w:r w:rsidRPr="009E35ED">
              <w:rPr>
                <w:rFonts w:ascii="Arial Narrow" w:hAnsi="Arial Narrow" w:cs="Calibri"/>
                <w:color w:val="000000" w:themeColor="text1"/>
                <w:sz w:val="20"/>
                <w:szCs w:val="20"/>
              </w:rPr>
              <w:t>629,533,790</w:t>
            </w:r>
          </w:p>
        </w:tc>
        <w:tc>
          <w:tcPr>
            <w:tcW w:w="1387" w:type="dxa"/>
            <w:noWrap/>
            <w:vAlign w:val="bottom"/>
            <w:hideMark/>
          </w:tcPr>
          <w:p w14:paraId="5A7BADBB" w14:textId="77777777" w:rsidR="008D12B3" w:rsidRPr="009E35ED" w:rsidRDefault="008D12B3">
            <w:pPr>
              <w:spacing w:line="256" w:lineRule="auto"/>
              <w:ind w:left="0"/>
              <w:jc w:val="right"/>
              <w:rPr>
                <w:rFonts w:ascii="Arial Narrow" w:hAnsi="Arial Narrow" w:cs="Calibri"/>
                <w:color w:val="000000" w:themeColor="text1"/>
                <w:sz w:val="20"/>
                <w:szCs w:val="20"/>
              </w:rPr>
            </w:pPr>
            <w:r w:rsidRPr="009E35ED">
              <w:rPr>
                <w:rFonts w:ascii="Arial Narrow" w:hAnsi="Arial Narrow" w:cs="Calibri"/>
                <w:color w:val="000000" w:themeColor="text1"/>
                <w:sz w:val="20"/>
                <w:szCs w:val="20"/>
              </w:rPr>
              <w:t>4,693,524</w:t>
            </w:r>
          </w:p>
        </w:tc>
        <w:tc>
          <w:tcPr>
            <w:tcW w:w="1614" w:type="dxa"/>
            <w:noWrap/>
            <w:vAlign w:val="bottom"/>
            <w:hideMark/>
          </w:tcPr>
          <w:p w14:paraId="55C4D552" w14:textId="77777777" w:rsidR="008D12B3" w:rsidRPr="009E35ED" w:rsidRDefault="008D12B3">
            <w:pPr>
              <w:spacing w:line="256" w:lineRule="auto"/>
              <w:ind w:left="0"/>
              <w:jc w:val="right"/>
              <w:rPr>
                <w:rFonts w:ascii="Arial Narrow" w:hAnsi="Arial Narrow" w:cs="Calibri"/>
                <w:color w:val="000000" w:themeColor="text1"/>
                <w:sz w:val="20"/>
                <w:szCs w:val="20"/>
              </w:rPr>
            </w:pPr>
            <w:r w:rsidRPr="009E35ED">
              <w:rPr>
                <w:rFonts w:ascii="Arial Narrow" w:hAnsi="Arial Narrow" w:cs="Calibri"/>
                <w:color w:val="000000" w:themeColor="text1"/>
                <w:sz w:val="20"/>
                <w:szCs w:val="20"/>
              </w:rPr>
              <w:t>634,227,315</w:t>
            </w:r>
          </w:p>
        </w:tc>
        <w:tc>
          <w:tcPr>
            <w:tcW w:w="1614" w:type="dxa"/>
            <w:noWrap/>
            <w:vAlign w:val="bottom"/>
            <w:hideMark/>
          </w:tcPr>
          <w:p w14:paraId="7B388453" w14:textId="77777777" w:rsidR="008D12B3" w:rsidRPr="009E35ED" w:rsidRDefault="008D12B3">
            <w:pPr>
              <w:spacing w:line="256" w:lineRule="auto"/>
              <w:ind w:left="0"/>
              <w:jc w:val="right"/>
              <w:rPr>
                <w:rFonts w:ascii="Arial Narrow" w:hAnsi="Arial Narrow" w:cs="Calibri"/>
                <w:color w:val="000000" w:themeColor="text1"/>
                <w:sz w:val="20"/>
                <w:szCs w:val="20"/>
              </w:rPr>
            </w:pPr>
            <w:r w:rsidRPr="009E35ED">
              <w:rPr>
                <w:rFonts w:ascii="Arial Narrow" w:hAnsi="Arial Narrow" w:cs="Calibri"/>
                <w:color w:val="000000" w:themeColor="text1"/>
                <w:sz w:val="20"/>
                <w:szCs w:val="20"/>
              </w:rPr>
              <w:t>645,065,088</w:t>
            </w:r>
          </w:p>
        </w:tc>
      </w:tr>
      <w:tr w:rsidR="00997F75" w:rsidRPr="009E35ED" w14:paraId="4C2CEEF2" w14:textId="77777777" w:rsidTr="003D0E7E">
        <w:trPr>
          <w:trHeight w:val="248"/>
        </w:trPr>
        <w:tc>
          <w:tcPr>
            <w:tcW w:w="1497" w:type="dxa"/>
            <w:noWrap/>
            <w:vAlign w:val="bottom"/>
            <w:hideMark/>
          </w:tcPr>
          <w:p w14:paraId="2F24E4DF" w14:textId="77777777" w:rsidR="008D12B3" w:rsidRPr="009E35ED" w:rsidRDefault="008D12B3">
            <w:pPr>
              <w:spacing w:line="256" w:lineRule="auto"/>
              <w:ind w:left="0"/>
              <w:jc w:val="center"/>
              <w:rPr>
                <w:rFonts w:ascii="Arial Narrow" w:hAnsi="Arial Narrow" w:cs="Calibri"/>
                <w:color w:val="000000" w:themeColor="text1"/>
                <w:sz w:val="20"/>
                <w:szCs w:val="20"/>
              </w:rPr>
            </w:pPr>
            <w:r w:rsidRPr="009E35ED">
              <w:rPr>
                <w:rFonts w:ascii="Arial Narrow" w:hAnsi="Arial Narrow" w:cs="Calibri"/>
                <w:color w:val="000000" w:themeColor="text1"/>
                <w:sz w:val="20"/>
                <w:szCs w:val="20"/>
              </w:rPr>
              <w:t>Nov 06, 2023</w:t>
            </w:r>
          </w:p>
        </w:tc>
        <w:tc>
          <w:tcPr>
            <w:tcW w:w="1267" w:type="dxa"/>
            <w:noWrap/>
            <w:vAlign w:val="bottom"/>
            <w:hideMark/>
          </w:tcPr>
          <w:p w14:paraId="356D19AD" w14:textId="77777777" w:rsidR="008D12B3" w:rsidRPr="009E35ED" w:rsidRDefault="008D12B3">
            <w:pPr>
              <w:spacing w:line="256" w:lineRule="auto"/>
              <w:ind w:left="0"/>
              <w:jc w:val="center"/>
              <w:rPr>
                <w:rFonts w:ascii="Arial Narrow" w:hAnsi="Arial Narrow" w:cs="Calibri"/>
                <w:color w:val="000000" w:themeColor="text1"/>
                <w:sz w:val="20"/>
                <w:szCs w:val="20"/>
              </w:rPr>
            </w:pPr>
            <w:r w:rsidRPr="009E35ED">
              <w:rPr>
                <w:rFonts w:ascii="Arial Narrow" w:hAnsi="Arial Narrow" w:cs="Calibri"/>
                <w:color w:val="000000" w:themeColor="text1"/>
                <w:sz w:val="20"/>
                <w:szCs w:val="20"/>
              </w:rPr>
              <w:t>May 06, 2024</w:t>
            </w:r>
          </w:p>
        </w:tc>
        <w:tc>
          <w:tcPr>
            <w:tcW w:w="1548" w:type="dxa"/>
            <w:noWrap/>
            <w:vAlign w:val="bottom"/>
            <w:hideMark/>
          </w:tcPr>
          <w:p w14:paraId="357ED372" w14:textId="77777777" w:rsidR="008D12B3" w:rsidRPr="009E35ED" w:rsidRDefault="008D12B3">
            <w:pPr>
              <w:spacing w:line="256" w:lineRule="auto"/>
              <w:ind w:left="0"/>
              <w:jc w:val="right"/>
              <w:rPr>
                <w:rFonts w:ascii="Arial Narrow" w:hAnsi="Arial Narrow" w:cs="Calibri"/>
                <w:color w:val="000000" w:themeColor="text1"/>
                <w:sz w:val="20"/>
                <w:szCs w:val="20"/>
              </w:rPr>
            </w:pPr>
            <w:r w:rsidRPr="009E35ED">
              <w:rPr>
                <w:rFonts w:ascii="Arial Narrow" w:hAnsi="Arial Narrow" w:cs="Calibri"/>
                <w:color w:val="000000" w:themeColor="text1"/>
                <w:sz w:val="20"/>
                <w:szCs w:val="20"/>
              </w:rPr>
              <w:t>543,092,708</w:t>
            </w:r>
          </w:p>
        </w:tc>
        <w:tc>
          <w:tcPr>
            <w:tcW w:w="1387" w:type="dxa"/>
            <w:noWrap/>
            <w:vAlign w:val="bottom"/>
            <w:hideMark/>
          </w:tcPr>
          <w:p w14:paraId="5D828ED5" w14:textId="77777777" w:rsidR="008D12B3" w:rsidRPr="009E35ED" w:rsidRDefault="008D12B3">
            <w:pPr>
              <w:spacing w:line="256" w:lineRule="auto"/>
              <w:ind w:left="0"/>
              <w:jc w:val="right"/>
              <w:rPr>
                <w:rFonts w:ascii="Arial Narrow" w:hAnsi="Arial Narrow" w:cs="Calibri"/>
                <w:color w:val="000000" w:themeColor="text1"/>
                <w:sz w:val="20"/>
                <w:szCs w:val="20"/>
              </w:rPr>
            </w:pPr>
            <w:r w:rsidRPr="009E35ED">
              <w:rPr>
                <w:rFonts w:ascii="Arial Narrow" w:hAnsi="Arial Narrow" w:cs="Calibri"/>
                <w:color w:val="000000" w:themeColor="text1"/>
                <w:sz w:val="20"/>
                <w:szCs w:val="20"/>
              </w:rPr>
              <w:t>4,049,058</w:t>
            </w:r>
          </w:p>
        </w:tc>
        <w:tc>
          <w:tcPr>
            <w:tcW w:w="1614" w:type="dxa"/>
            <w:noWrap/>
            <w:vAlign w:val="bottom"/>
            <w:hideMark/>
          </w:tcPr>
          <w:p w14:paraId="74AE7A16" w14:textId="77777777" w:rsidR="008D12B3" w:rsidRPr="009E35ED" w:rsidRDefault="008D12B3">
            <w:pPr>
              <w:spacing w:line="256" w:lineRule="auto"/>
              <w:ind w:left="0"/>
              <w:jc w:val="right"/>
              <w:rPr>
                <w:rFonts w:ascii="Arial Narrow" w:hAnsi="Arial Narrow" w:cs="Calibri"/>
                <w:color w:val="000000" w:themeColor="text1"/>
                <w:sz w:val="20"/>
                <w:szCs w:val="20"/>
              </w:rPr>
            </w:pPr>
            <w:r w:rsidRPr="009E35ED">
              <w:rPr>
                <w:rFonts w:ascii="Arial Narrow" w:hAnsi="Arial Narrow" w:cs="Calibri"/>
                <w:color w:val="000000" w:themeColor="text1"/>
                <w:sz w:val="20"/>
                <w:szCs w:val="20"/>
              </w:rPr>
              <w:t>547,141,765</w:t>
            </w:r>
          </w:p>
        </w:tc>
        <w:tc>
          <w:tcPr>
            <w:tcW w:w="1614" w:type="dxa"/>
            <w:noWrap/>
            <w:vAlign w:val="bottom"/>
            <w:hideMark/>
          </w:tcPr>
          <w:p w14:paraId="648E8FBB" w14:textId="77777777" w:rsidR="008D12B3" w:rsidRPr="009E35ED" w:rsidRDefault="008D12B3">
            <w:pPr>
              <w:spacing w:line="256" w:lineRule="auto"/>
              <w:ind w:left="0"/>
              <w:jc w:val="right"/>
              <w:rPr>
                <w:rFonts w:ascii="Arial Narrow" w:hAnsi="Arial Narrow" w:cs="Calibri"/>
                <w:color w:val="000000" w:themeColor="text1"/>
                <w:sz w:val="20"/>
                <w:szCs w:val="20"/>
              </w:rPr>
            </w:pPr>
            <w:r w:rsidRPr="009E35ED">
              <w:rPr>
                <w:rFonts w:ascii="Arial Narrow" w:hAnsi="Arial Narrow" w:cs="Calibri"/>
                <w:color w:val="000000" w:themeColor="text1"/>
                <w:sz w:val="20"/>
                <w:szCs w:val="20"/>
              </w:rPr>
              <w:t>556,491,408</w:t>
            </w:r>
          </w:p>
        </w:tc>
      </w:tr>
      <w:tr w:rsidR="00997F75" w:rsidRPr="009E35ED" w14:paraId="4D4F641A" w14:textId="77777777" w:rsidTr="003D0E7E">
        <w:trPr>
          <w:trHeight w:val="248"/>
        </w:trPr>
        <w:tc>
          <w:tcPr>
            <w:tcW w:w="1497" w:type="dxa"/>
            <w:noWrap/>
            <w:vAlign w:val="bottom"/>
            <w:hideMark/>
          </w:tcPr>
          <w:p w14:paraId="72D796F9" w14:textId="77777777" w:rsidR="008D12B3" w:rsidRPr="009E35ED" w:rsidRDefault="008D12B3">
            <w:pPr>
              <w:spacing w:line="256" w:lineRule="auto"/>
              <w:ind w:left="0"/>
              <w:jc w:val="center"/>
              <w:rPr>
                <w:rFonts w:ascii="Arial Narrow" w:hAnsi="Arial Narrow" w:cs="Calibri"/>
                <w:color w:val="000000" w:themeColor="text1"/>
                <w:sz w:val="20"/>
                <w:szCs w:val="20"/>
              </w:rPr>
            </w:pPr>
            <w:r w:rsidRPr="009E35ED">
              <w:rPr>
                <w:rFonts w:ascii="Arial Narrow" w:hAnsi="Arial Narrow" w:cs="Calibri"/>
                <w:color w:val="000000" w:themeColor="text1"/>
                <w:sz w:val="20"/>
                <w:szCs w:val="20"/>
              </w:rPr>
              <w:t>Nov 06, 2023</w:t>
            </w:r>
          </w:p>
        </w:tc>
        <w:tc>
          <w:tcPr>
            <w:tcW w:w="1267" w:type="dxa"/>
            <w:noWrap/>
            <w:vAlign w:val="bottom"/>
            <w:hideMark/>
          </w:tcPr>
          <w:p w14:paraId="53C7BF39" w14:textId="77777777" w:rsidR="008D12B3" w:rsidRPr="009E35ED" w:rsidRDefault="008D12B3">
            <w:pPr>
              <w:spacing w:line="256" w:lineRule="auto"/>
              <w:ind w:left="0"/>
              <w:jc w:val="center"/>
              <w:rPr>
                <w:rFonts w:ascii="Arial Narrow" w:hAnsi="Arial Narrow" w:cs="Calibri"/>
                <w:color w:val="000000" w:themeColor="text1"/>
                <w:sz w:val="20"/>
                <w:szCs w:val="20"/>
              </w:rPr>
            </w:pPr>
            <w:r w:rsidRPr="009E35ED">
              <w:rPr>
                <w:rFonts w:ascii="Arial Narrow" w:hAnsi="Arial Narrow" w:cs="Calibri"/>
                <w:color w:val="000000" w:themeColor="text1"/>
                <w:sz w:val="20"/>
                <w:szCs w:val="20"/>
              </w:rPr>
              <w:t>May 06, 2024</w:t>
            </w:r>
          </w:p>
        </w:tc>
        <w:tc>
          <w:tcPr>
            <w:tcW w:w="1548" w:type="dxa"/>
            <w:noWrap/>
            <w:vAlign w:val="bottom"/>
            <w:hideMark/>
          </w:tcPr>
          <w:p w14:paraId="30FFD5C9" w14:textId="77777777" w:rsidR="008D12B3" w:rsidRPr="009E35ED" w:rsidRDefault="008D12B3">
            <w:pPr>
              <w:spacing w:line="256" w:lineRule="auto"/>
              <w:ind w:left="0"/>
              <w:jc w:val="right"/>
              <w:rPr>
                <w:rFonts w:ascii="Arial Narrow" w:hAnsi="Arial Narrow" w:cs="Calibri"/>
                <w:color w:val="000000" w:themeColor="text1"/>
                <w:sz w:val="20"/>
                <w:szCs w:val="20"/>
              </w:rPr>
            </w:pPr>
            <w:r w:rsidRPr="009E35ED">
              <w:rPr>
                <w:rFonts w:ascii="Arial Narrow" w:hAnsi="Arial Narrow" w:cs="Calibri"/>
                <w:color w:val="000000" w:themeColor="text1"/>
                <w:sz w:val="20"/>
                <w:szCs w:val="20"/>
              </w:rPr>
              <w:t>345,391,885</w:t>
            </w:r>
          </w:p>
        </w:tc>
        <w:tc>
          <w:tcPr>
            <w:tcW w:w="1387" w:type="dxa"/>
            <w:noWrap/>
            <w:vAlign w:val="bottom"/>
            <w:hideMark/>
          </w:tcPr>
          <w:p w14:paraId="61B93EF5" w14:textId="77777777" w:rsidR="008D12B3" w:rsidRPr="009E35ED" w:rsidRDefault="008D12B3">
            <w:pPr>
              <w:spacing w:line="256" w:lineRule="auto"/>
              <w:ind w:left="0"/>
              <w:jc w:val="right"/>
              <w:rPr>
                <w:rFonts w:ascii="Arial Narrow" w:hAnsi="Arial Narrow" w:cs="Calibri"/>
                <w:color w:val="000000" w:themeColor="text1"/>
                <w:sz w:val="20"/>
                <w:szCs w:val="20"/>
              </w:rPr>
            </w:pPr>
            <w:r w:rsidRPr="009E35ED">
              <w:rPr>
                <w:rFonts w:ascii="Arial Narrow" w:hAnsi="Arial Narrow" w:cs="Calibri"/>
                <w:color w:val="000000" w:themeColor="text1"/>
                <w:sz w:val="20"/>
                <w:szCs w:val="20"/>
              </w:rPr>
              <w:t>2,575,088</w:t>
            </w:r>
          </w:p>
        </w:tc>
        <w:tc>
          <w:tcPr>
            <w:tcW w:w="1614" w:type="dxa"/>
            <w:noWrap/>
            <w:vAlign w:val="bottom"/>
            <w:hideMark/>
          </w:tcPr>
          <w:p w14:paraId="1AB12D06" w14:textId="77777777" w:rsidR="008D12B3" w:rsidRPr="009E35ED" w:rsidRDefault="008D12B3">
            <w:pPr>
              <w:spacing w:line="256" w:lineRule="auto"/>
              <w:ind w:left="0"/>
              <w:jc w:val="right"/>
              <w:rPr>
                <w:rFonts w:ascii="Arial Narrow" w:hAnsi="Arial Narrow" w:cs="Calibri"/>
                <w:color w:val="000000" w:themeColor="text1"/>
                <w:sz w:val="20"/>
                <w:szCs w:val="20"/>
              </w:rPr>
            </w:pPr>
            <w:r w:rsidRPr="009E35ED">
              <w:rPr>
                <w:rFonts w:ascii="Arial Narrow" w:hAnsi="Arial Narrow" w:cs="Calibri"/>
                <w:color w:val="000000" w:themeColor="text1"/>
                <w:sz w:val="20"/>
                <w:szCs w:val="20"/>
              </w:rPr>
              <w:t>347,966,974</w:t>
            </w:r>
          </w:p>
        </w:tc>
        <w:tc>
          <w:tcPr>
            <w:tcW w:w="1614" w:type="dxa"/>
            <w:noWrap/>
            <w:vAlign w:val="bottom"/>
            <w:hideMark/>
          </w:tcPr>
          <w:p w14:paraId="1A1907DD" w14:textId="77777777" w:rsidR="008D12B3" w:rsidRPr="009E35ED" w:rsidRDefault="008D12B3">
            <w:pPr>
              <w:spacing w:line="256" w:lineRule="auto"/>
              <w:ind w:left="0"/>
              <w:jc w:val="right"/>
              <w:rPr>
                <w:rFonts w:ascii="Arial Narrow" w:hAnsi="Arial Narrow" w:cs="Calibri"/>
                <w:color w:val="000000" w:themeColor="text1"/>
                <w:sz w:val="20"/>
                <w:szCs w:val="20"/>
              </w:rPr>
            </w:pPr>
            <w:r w:rsidRPr="009E35ED">
              <w:rPr>
                <w:rFonts w:ascii="Arial Narrow" w:hAnsi="Arial Narrow" w:cs="Calibri"/>
                <w:color w:val="000000" w:themeColor="text1"/>
                <w:sz w:val="20"/>
                <w:szCs w:val="20"/>
              </w:rPr>
              <w:t>353,913,087</w:t>
            </w:r>
          </w:p>
        </w:tc>
      </w:tr>
      <w:tr w:rsidR="00997F75" w:rsidRPr="009E35ED" w14:paraId="0E36E02F" w14:textId="77777777" w:rsidTr="003D0E7E">
        <w:trPr>
          <w:trHeight w:val="248"/>
        </w:trPr>
        <w:tc>
          <w:tcPr>
            <w:tcW w:w="1497" w:type="dxa"/>
            <w:noWrap/>
            <w:vAlign w:val="bottom"/>
            <w:hideMark/>
          </w:tcPr>
          <w:p w14:paraId="79C029D6" w14:textId="77777777" w:rsidR="008D12B3" w:rsidRPr="009E35ED" w:rsidRDefault="008D12B3">
            <w:pPr>
              <w:spacing w:line="256" w:lineRule="auto"/>
              <w:ind w:left="0"/>
              <w:jc w:val="center"/>
              <w:rPr>
                <w:rFonts w:ascii="Arial Narrow" w:hAnsi="Arial Narrow" w:cs="Calibri"/>
                <w:color w:val="000000" w:themeColor="text1"/>
                <w:sz w:val="20"/>
                <w:szCs w:val="20"/>
              </w:rPr>
            </w:pPr>
            <w:r w:rsidRPr="009E35ED">
              <w:rPr>
                <w:rFonts w:ascii="Arial Narrow" w:hAnsi="Arial Narrow" w:cs="Calibri"/>
                <w:color w:val="000000" w:themeColor="text1"/>
                <w:sz w:val="20"/>
                <w:szCs w:val="20"/>
              </w:rPr>
              <w:t>Nov 06, 2023</w:t>
            </w:r>
          </w:p>
        </w:tc>
        <w:tc>
          <w:tcPr>
            <w:tcW w:w="1267" w:type="dxa"/>
            <w:noWrap/>
            <w:vAlign w:val="bottom"/>
            <w:hideMark/>
          </w:tcPr>
          <w:p w14:paraId="5C11E243" w14:textId="77777777" w:rsidR="008D12B3" w:rsidRPr="009E35ED" w:rsidRDefault="008D12B3">
            <w:pPr>
              <w:spacing w:line="256" w:lineRule="auto"/>
              <w:ind w:left="0"/>
              <w:jc w:val="center"/>
              <w:rPr>
                <w:rFonts w:ascii="Arial Narrow" w:hAnsi="Arial Narrow" w:cs="Calibri"/>
                <w:color w:val="000000" w:themeColor="text1"/>
                <w:sz w:val="20"/>
                <w:szCs w:val="20"/>
              </w:rPr>
            </w:pPr>
            <w:r w:rsidRPr="009E35ED">
              <w:rPr>
                <w:rFonts w:ascii="Arial Narrow" w:hAnsi="Arial Narrow" w:cs="Calibri"/>
                <w:color w:val="000000" w:themeColor="text1"/>
                <w:sz w:val="20"/>
                <w:szCs w:val="20"/>
              </w:rPr>
              <w:t>May 06, 2024</w:t>
            </w:r>
          </w:p>
        </w:tc>
        <w:tc>
          <w:tcPr>
            <w:tcW w:w="1548" w:type="dxa"/>
            <w:noWrap/>
            <w:vAlign w:val="bottom"/>
            <w:hideMark/>
          </w:tcPr>
          <w:p w14:paraId="3522175B" w14:textId="77777777" w:rsidR="008D12B3" w:rsidRPr="009E35ED" w:rsidRDefault="008D12B3">
            <w:pPr>
              <w:spacing w:line="256" w:lineRule="auto"/>
              <w:ind w:left="0"/>
              <w:jc w:val="right"/>
              <w:rPr>
                <w:rFonts w:ascii="Arial Narrow" w:hAnsi="Arial Narrow" w:cs="Calibri"/>
                <w:color w:val="000000" w:themeColor="text1"/>
                <w:sz w:val="20"/>
                <w:szCs w:val="20"/>
              </w:rPr>
            </w:pPr>
            <w:r w:rsidRPr="009E35ED">
              <w:rPr>
                <w:rFonts w:ascii="Arial Narrow" w:hAnsi="Arial Narrow" w:cs="Calibri"/>
                <w:color w:val="000000" w:themeColor="text1"/>
                <w:sz w:val="20"/>
                <w:szCs w:val="20"/>
              </w:rPr>
              <w:t>12,571,266</w:t>
            </w:r>
          </w:p>
        </w:tc>
        <w:tc>
          <w:tcPr>
            <w:tcW w:w="1387" w:type="dxa"/>
            <w:noWrap/>
            <w:vAlign w:val="bottom"/>
            <w:hideMark/>
          </w:tcPr>
          <w:p w14:paraId="77E6D0ED" w14:textId="77777777" w:rsidR="008D12B3" w:rsidRPr="009E35ED" w:rsidRDefault="008D12B3">
            <w:pPr>
              <w:spacing w:line="256" w:lineRule="auto"/>
              <w:ind w:left="0"/>
              <w:jc w:val="right"/>
              <w:rPr>
                <w:rFonts w:ascii="Arial Narrow" w:hAnsi="Arial Narrow" w:cs="Calibri"/>
                <w:color w:val="000000" w:themeColor="text1"/>
                <w:sz w:val="20"/>
                <w:szCs w:val="20"/>
              </w:rPr>
            </w:pPr>
            <w:r w:rsidRPr="009E35ED">
              <w:rPr>
                <w:rFonts w:ascii="Arial Narrow" w:hAnsi="Arial Narrow" w:cs="Calibri"/>
                <w:color w:val="000000" w:themeColor="text1"/>
                <w:sz w:val="20"/>
                <w:szCs w:val="20"/>
              </w:rPr>
              <w:t>93,726</w:t>
            </w:r>
          </w:p>
        </w:tc>
        <w:tc>
          <w:tcPr>
            <w:tcW w:w="1614" w:type="dxa"/>
            <w:noWrap/>
            <w:vAlign w:val="bottom"/>
            <w:hideMark/>
          </w:tcPr>
          <w:p w14:paraId="6CEA1040" w14:textId="77777777" w:rsidR="008D12B3" w:rsidRPr="009E35ED" w:rsidRDefault="008D12B3">
            <w:pPr>
              <w:spacing w:line="256" w:lineRule="auto"/>
              <w:ind w:left="0"/>
              <w:jc w:val="right"/>
              <w:rPr>
                <w:rFonts w:ascii="Arial Narrow" w:hAnsi="Arial Narrow" w:cs="Calibri"/>
                <w:color w:val="000000" w:themeColor="text1"/>
                <w:sz w:val="20"/>
                <w:szCs w:val="20"/>
              </w:rPr>
            </w:pPr>
            <w:r w:rsidRPr="009E35ED">
              <w:rPr>
                <w:rFonts w:ascii="Arial Narrow" w:hAnsi="Arial Narrow" w:cs="Calibri"/>
                <w:color w:val="000000" w:themeColor="text1"/>
                <w:sz w:val="20"/>
                <w:szCs w:val="20"/>
              </w:rPr>
              <w:t>12,664,992</w:t>
            </w:r>
          </w:p>
        </w:tc>
        <w:tc>
          <w:tcPr>
            <w:tcW w:w="1614" w:type="dxa"/>
            <w:noWrap/>
            <w:vAlign w:val="bottom"/>
            <w:hideMark/>
          </w:tcPr>
          <w:p w14:paraId="6A7E66B3" w14:textId="77777777" w:rsidR="008D12B3" w:rsidRPr="009E35ED" w:rsidRDefault="008D12B3">
            <w:pPr>
              <w:spacing w:line="256" w:lineRule="auto"/>
              <w:ind w:left="0"/>
              <w:jc w:val="right"/>
              <w:rPr>
                <w:rFonts w:ascii="Arial Narrow" w:hAnsi="Arial Narrow" w:cs="Calibri"/>
                <w:color w:val="000000" w:themeColor="text1"/>
                <w:sz w:val="20"/>
                <w:szCs w:val="20"/>
              </w:rPr>
            </w:pPr>
            <w:r w:rsidRPr="009E35ED">
              <w:rPr>
                <w:rFonts w:ascii="Arial Narrow" w:hAnsi="Arial Narrow" w:cs="Calibri"/>
                <w:color w:val="000000" w:themeColor="text1"/>
                <w:sz w:val="20"/>
                <w:szCs w:val="20"/>
              </w:rPr>
              <w:t>12,881,413</w:t>
            </w:r>
          </w:p>
        </w:tc>
      </w:tr>
      <w:tr w:rsidR="00997F75" w:rsidRPr="009E35ED" w14:paraId="69966765" w14:textId="77777777" w:rsidTr="003D0E7E">
        <w:trPr>
          <w:trHeight w:val="248"/>
        </w:trPr>
        <w:tc>
          <w:tcPr>
            <w:tcW w:w="1497" w:type="dxa"/>
            <w:noWrap/>
            <w:vAlign w:val="bottom"/>
            <w:hideMark/>
          </w:tcPr>
          <w:p w14:paraId="6A4327EA" w14:textId="77777777" w:rsidR="008D12B3" w:rsidRPr="009E35ED" w:rsidRDefault="008D12B3">
            <w:pPr>
              <w:spacing w:line="256" w:lineRule="auto"/>
              <w:ind w:left="0"/>
              <w:jc w:val="center"/>
              <w:rPr>
                <w:rFonts w:ascii="Arial Narrow" w:hAnsi="Arial Narrow" w:cs="Calibri"/>
                <w:color w:val="000000" w:themeColor="text1"/>
                <w:sz w:val="20"/>
                <w:szCs w:val="20"/>
              </w:rPr>
            </w:pPr>
            <w:r w:rsidRPr="009E35ED">
              <w:rPr>
                <w:rFonts w:ascii="Arial Narrow" w:hAnsi="Arial Narrow" w:cs="Calibri"/>
                <w:color w:val="000000" w:themeColor="text1"/>
                <w:sz w:val="20"/>
                <w:szCs w:val="20"/>
              </w:rPr>
              <w:t>Nov 06, 2023</w:t>
            </w:r>
          </w:p>
        </w:tc>
        <w:tc>
          <w:tcPr>
            <w:tcW w:w="1267" w:type="dxa"/>
            <w:noWrap/>
            <w:vAlign w:val="bottom"/>
            <w:hideMark/>
          </w:tcPr>
          <w:p w14:paraId="2D5F28BB" w14:textId="77777777" w:rsidR="008D12B3" w:rsidRPr="009E35ED" w:rsidRDefault="008D12B3">
            <w:pPr>
              <w:spacing w:line="256" w:lineRule="auto"/>
              <w:ind w:left="0"/>
              <w:jc w:val="center"/>
              <w:rPr>
                <w:rFonts w:ascii="Arial Narrow" w:hAnsi="Arial Narrow" w:cs="Calibri"/>
                <w:color w:val="000000" w:themeColor="text1"/>
                <w:sz w:val="20"/>
                <w:szCs w:val="20"/>
              </w:rPr>
            </w:pPr>
            <w:r w:rsidRPr="009E35ED">
              <w:rPr>
                <w:rFonts w:ascii="Arial Narrow" w:hAnsi="Arial Narrow" w:cs="Calibri"/>
                <w:color w:val="000000" w:themeColor="text1"/>
                <w:sz w:val="20"/>
                <w:szCs w:val="20"/>
              </w:rPr>
              <w:t>May 06, 2024</w:t>
            </w:r>
          </w:p>
        </w:tc>
        <w:tc>
          <w:tcPr>
            <w:tcW w:w="1548" w:type="dxa"/>
            <w:noWrap/>
            <w:vAlign w:val="bottom"/>
            <w:hideMark/>
          </w:tcPr>
          <w:p w14:paraId="36AA56EA" w14:textId="77777777" w:rsidR="008D12B3" w:rsidRPr="009E35ED" w:rsidRDefault="008D12B3">
            <w:pPr>
              <w:spacing w:line="256" w:lineRule="auto"/>
              <w:ind w:left="0"/>
              <w:jc w:val="right"/>
              <w:rPr>
                <w:rFonts w:ascii="Arial Narrow" w:hAnsi="Arial Narrow" w:cs="Calibri"/>
                <w:color w:val="000000" w:themeColor="text1"/>
                <w:sz w:val="20"/>
                <w:szCs w:val="20"/>
              </w:rPr>
            </w:pPr>
            <w:r w:rsidRPr="009E35ED">
              <w:rPr>
                <w:rFonts w:ascii="Arial Narrow" w:hAnsi="Arial Narrow" w:cs="Calibri"/>
                <w:color w:val="000000" w:themeColor="text1"/>
                <w:sz w:val="20"/>
                <w:szCs w:val="20"/>
              </w:rPr>
              <w:t>12,571,266</w:t>
            </w:r>
          </w:p>
        </w:tc>
        <w:tc>
          <w:tcPr>
            <w:tcW w:w="1387" w:type="dxa"/>
            <w:noWrap/>
            <w:vAlign w:val="bottom"/>
            <w:hideMark/>
          </w:tcPr>
          <w:p w14:paraId="3FD525B3" w14:textId="77777777" w:rsidR="008D12B3" w:rsidRPr="009E35ED" w:rsidRDefault="008D12B3">
            <w:pPr>
              <w:spacing w:line="256" w:lineRule="auto"/>
              <w:ind w:left="0"/>
              <w:jc w:val="right"/>
              <w:rPr>
                <w:rFonts w:ascii="Arial Narrow" w:hAnsi="Arial Narrow" w:cs="Calibri"/>
                <w:color w:val="000000" w:themeColor="text1"/>
                <w:sz w:val="20"/>
                <w:szCs w:val="20"/>
              </w:rPr>
            </w:pPr>
            <w:r w:rsidRPr="009E35ED">
              <w:rPr>
                <w:rFonts w:ascii="Arial Narrow" w:hAnsi="Arial Narrow" w:cs="Calibri"/>
                <w:color w:val="000000" w:themeColor="text1"/>
                <w:sz w:val="20"/>
                <w:szCs w:val="20"/>
              </w:rPr>
              <w:t>93,726</w:t>
            </w:r>
          </w:p>
        </w:tc>
        <w:tc>
          <w:tcPr>
            <w:tcW w:w="1614" w:type="dxa"/>
            <w:noWrap/>
            <w:vAlign w:val="bottom"/>
            <w:hideMark/>
          </w:tcPr>
          <w:p w14:paraId="6F1423EF" w14:textId="77777777" w:rsidR="008D12B3" w:rsidRPr="009E35ED" w:rsidRDefault="008D12B3">
            <w:pPr>
              <w:spacing w:line="256" w:lineRule="auto"/>
              <w:ind w:left="0"/>
              <w:jc w:val="right"/>
              <w:rPr>
                <w:rFonts w:ascii="Arial Narrow" w:hAnsi="Arial Narrow" w:cs="Calibri"/>
                <w:color w:val="000000" w:themeColor="text1"/>
                <w:sz w:val="20"/>
                <w:szCs w:val="20"/>
              </w:rPr>
            </w:pPr>
            <w:r w:rsidRPr="009E35ED">
              <w:rPr>
                <w:rFonts w:ascii="Arial Narrow" w:hAnsi="Arial Narrow" w:cs="Calibri"/>
                <w:color w:val="000000" w:themeColor="text1"/>
                <w:sz w:val="20"/>
                <w:szCs w:val="20"/>
              </w:rPr>
              <w:t>12,664,992</w:t>
            </w:r>
          </w:p>
        </w:tc>
        <w:tc>
          <w:tcPr>
            <w:tcW w:w="1614" w:type="dxa"/>
            <w:noWrap/>
            <w:vAlign w:val="bottom"/>
            <w:hideMark/>
          </w:tcPr>
          <w:p w14:paraId="72B374D8" w14:textId="77777777" w:rsidR="008D12B3" w:rsidRPr="009E35ED" w:rsidRDefault="008D12B3">
            <w:pPr>
              <w:spacing w:line="256" w:lineRule="auto"/>
              <w:ind w:left="0"/>
              <w:jc w:val="right"/>
              <w:rPr>
                <w:rFonts w:ascii="Arial Narrow" w:hAnsi="Arial Narrow" w:cs="Calibri"/>
                <w:color w:val="000000" w:themeColor="text1"/>
                <w:sz w:val="20"/>
                <w:szCs w:val="20"/>
              </w:rPr>
            </w:pPr>
            <w:r w:rsidRPr="009E35ED">
              <w:rPr>
                <w:rFonts w:ascii="Arial Narrow" w:hAnsi="Arial Narrow" w:cs="Calibri"/>
                <w:color w:val="000000" w:themeColor="text1"/>
                <w:sz w:val="20"/>
                <w:szCs w:val="20"/>
              </w:rPr>
              <w:t>12,881,413</w:t>
            </w:r>
          </w:p>
        </w:tc>
      </w:tr>
      <w:tr w:rsidR="00997F75" w:rsidRPr="009E35ED" w14:paraId="1866D9AA" w14:textId="77777777" w:rsidTr="003D0E7E">
        <w:trPr>
          <w:trHeight w:val="248"/>
        </w:trPr>
        <w:tc>
          <w:tcPr>
            <w:tcW w:w="1497" w:type="dxa"/>
            <w:noWrap/>
            <w:vAlign w:val="bottom"/>
            <w:hideMark/>
          </w:tcPr>
          <w:p w14:paraId="4A09814E" w14:textId="77777777" w:rsidR="008D12B3" w:rsidRPr="009E35ED" w:rsidRDefault="008D12B3">
            <w:pPr>
              <w:spacing w:line="256" w:lineRule="auto"/>
              <w:ind w:left="0"/>
              <w:jc w:val="center"/>
              <w:rPr>
                <w:rFonts w:ascii="Arial Narrow" w:hAnsi="Arial Narrow" w:cs="Calibri"/>
                <w:color w:val="000000" w:themeColor="text1"/>
                <w:sz w:val="20"/>
                <w:szCs w:val="20"/>
              </w:rPr>
            </w:pPr>
            <w:r w:rsidRPr="009E35ED">
              <w:rPr>
                <w:rFonts w:ascii="Arial Narrow" w:hAnsi="Arial Narrow" w:cs="Calibri"/>
                <w:color w:val="000000" w:themeColor="text1"/>
                <w:sz w:val="20"/>
                <w:szCs w:val="20"/>
              </w:rPr>
              <w:t>Nov 06, 2023</w:t>
            </w:r>
          </w:p>
        </w:tc>
        <w:tc>
          <w:tcPr>
            <w:tcW w:w="1267" w:type="dxa"/>
            <w:noWrap/>
            <w:vAlign w:val="bottom"/>
            <w:hideMark/>
          </w:tcPr>
          <w:p w14:paraId="69B27196" w14:textId="77777777" w:rsidR="008D12B3" w:rsidRPr="009E35ED" w:rsidRDefault="008D12B3">
            <w:pPr>
              <w:spacing w:line="256" w:lineRule="auto"/>
              <w:ind w:left="0"/>
              <w:jc w:val="center"/>
              <w:rPr>
                <w:rFonts w:ascii="Arial Narrow" w:hAnsi="Arial Narrow" w:cs="Calibri"/>
                <w:color w:val="000000" w:themeColor="text1"/>
                <w:sz w:val="20"/>
                <w:szCs w:val="20"/>
              </w:rPr>
            </w:pPr>
            <w:r w:rsidRPr="009E35ED">
              <w:rPr>
                <w:rFonts w:ascii="Arial Narrow" w:hAnsi="Arial Narrow" w:cs="Calibri"/>
                <w:color w:val="000000" w:themeColor="text1"/>
                <w:sz w:val="20"/>
                <w:szCs w:val="20"/>
              </w:rPr>
              <w:t>May 06, 2024</w:t>
            </w:r>
          </w:p>
        </w:tc>
        <w:tc>
          <w:tcPr>
            <w:tcW w:w="1548" w:type="dxa"/>
            <w:noWrap/>
            <w:vAlign w:val="bottom"/>
            <w:hideMark/>
          </w:tcPr>
          <w:p w14:paraId="7DBC890A" w14:textId="77777777" w:rsidR="008D12B3" w:rsidRPr="009E35ED" w:rsidRDefault="008D12B3">
            <w:pPr>
              <w:spacing w:line="256" w:lineRule="auto"/>
              <w:ind w:left="0"/>
              <w:jc w:val="right"/>
              <w:rPr>
                <w:rFonts w:ascii="Arial Narrow" w:hAnsi="Arial Narrow" w:cs="Calibri"/>
                <w:color w:val="000000" w:themeColor="text1"/>
                <w:sz w:val="20"/>
                <w:szCs w:val="20"/>
              </w:rPr>
            </w:pPr>
            <w:r w:rsidRPr="009E35ED">
              <w:rPr>
                <w:rFonts w:ascii="Arial Narrow" w:hAnsi="Arial Narrow" w:cs="Calibri"/>
                <w:color w:val="000000" w:themeColor="text1"/>
                <w:sz w:val="20"/>
                <w:szCs w:val="20"/>
              </w:rPr>
              <w:t>311,827,913</w:t>
            </w:r>
          </w:p>
        </w:tc>
        <w:tc>
          <w:tcPr>
            <w:tcW w:w="1387" w:type="dxa"/>
            <w:noWrap/>
            <w:vAlign w:val="bottom"/>
            <w:hideMark/>
          </w:tcPr>
          <w:p w14:paraId="44E24702" w14:textId="77777777" w:rsidR="008D12B3" w:rsidRPr="009E35ED" w:rsidRDefault="008D12B3">
            <w:pPr>
              <w:spacing w:line="256" w:lineRule="auto"/>
              <w:ind w:left="0"/>
              <w:jc w:val="right"/>
              <w:rPr>
                <w:rFonts w:ascii="Arial Narrow" w:hAnsi="Arial Narrow" w:cs="Calibri"/>
                <w:color w:val="000000" w:themeColor="text1"/>
                <w:sz w:val="20"/>
                <w:szCs w:val="20"/>
              </w:rPr>
            </w:pPr>
            <w:r w:rsidRPr="009E35ED">
              <w:rPr>
                <w:rFonts w:ascii="Arial Narrow" w:hAnsi="Arial Narrow" w:cs="Calibri"/>
                <w:color w:val="000000" w:themeColor="text1"/>
                <w:sz w:val="20"/>
                <w:szCs w:val="20"/>
              </w:rPr>
              <w:t>2,324,850</w:t>
            </w:r>
          </w:p>
        </w:tc>
        <w:tc>
          <w:tcPr>
            <w:tcW w:w="1614" w:type="dxa"/>
            <w:noWrap/>
            <w:vAlign w:val="bottom"/>
            <w:hideMark/>
          </w:tcPr>
          <w:p w14:paraId="37CAF3AA" w14:textId="77777777" w:rsidR="008D12B3" w:rsidRPr="009E35ED" w:rsidRDefault="008D12B3">
            <w:pPr>
              <w:spacing w:line="256" w:lineRule="auto"/>
              <w:ind w:left="0"/>
              <w:jc w:val="right"/>
              <w:rPr>
                <w:rFonts w:ascii="Arial Narrow" w:hAnsi="Arial Narrow" w:cs="Calibri"/>
                <w:color w:val="000000" w:themeColor="text1"/>
                <w:sz w:val="20"/>
                <w:szCs w:val="20"/>
              </w:rPr>
            </w:pPr>
            <w:r w:rsidRPr="009E35ED">
              <w:rPr>
                <w:rFonts w:ascii="Arial Narrow" w:hAnsi="Arial Narrow" w:cs="Calibri"/>
                <w:color w:val="000000" w:themeColor="text1"/>
                <w:sz w:val="20"/>
                <w:szCs w:val="20"/>
              </w:rPr>
              <w:t>314,152,763</w:t>
            </w:r>
          </w:p>
        </w:tc>
        <w:tc>
          <w:tcPr>
            <w:tcW w:w="1614" w:type="dxa"/>
            <w:noWrap/>
            <w:vAlign w:val="bottom"/>
            <w:hideMark/>
          </w:tcPr>
          <w:p w14:paraId="7FF295B9" w14:textId="77777777" w:rsidR="008D12B3" w:rsidRPr="009E35ED" w:rsidRDefault="008D12B3">
            <w:pPr>
              <w:spacing w:line="256" w:lineRule="auto"/>
              <w:ind w:left="0"/>
              <w:jc w:val="right"/>
              <w:rPr>
                <w:rFonts w:ascii="Arial Narrow" w:hAnsi="Arial Narrow" w:cs="Calibri"/>
                <w:color w:val="000000" w:themeColor="text1"/>
                <w:sz w:val="20"/>
                <w:szCs w:val="20"/>
              </w:rPr>
            </w:pPr>
            <w:r w:rsidRPr="009E35ED">
              <w:rPr>
                <w:rFonts w:ascii="Arial Narrow" w:hAnsi="Arial Narrow" w:cs="Calibri"/>
                <w:color w:val="000000" w:themeColor="text1"/>
                <w:sz w:val="20"/>
                <w:szCs w:val="20"/>
              </w:rPr>
              <w:t>319,521,054</w:t>
            </w:r>
          </w:p>
        </w:tc>
      </w:tr>
      <w:tr w:rsidR="00997F75" w:rsidRPr="009E35ED" w14:paraId="29BE7DF2" w14:textId="77777777" w:rsidTr="003D0E7E">
        <w:trPr>
          <w:trHeight w:val="248"/>
        </w:trPr>
        <w:tc>
          <w:tcPr>
            <w:tcW w:w="1497" w:type="dxa"/>
            <w:noWrap/>
            <w:vAlign w:val="bottom"/>
            <w:hideMark/>
          </w:tcPr>
          <w:p w14:paraId="3CB9012F" w14:textId="77777777" w:rsidR="008D12B3" w:rsidRPr="009E35ED" w:rsidRDefault="008D12B3">
            <w:pPr>
              <w:spacing w:line="256" w:lineRule="auto"/>
              <w:ind w:left="0"/>
              <w:jc w:val="center"/>
              <w:rPr>
                <w:rFonts w:ascii="Arial Narrow" w:hAnsi="Arial Narrow" w:cs="Calibri"/>
                <w:color w:val="000000" w:themeColor="text1"/>
                <w:sz w:val="20"/>
                <w:szCs w:val="20"/>
              </w:rPr>
            </w:pPr>
            <w:r w:rsidRPr="009E35ED">
              <w:rPr>
                <w:rFonts w:ascii="Arial Narrow" w:hAnsi="Arial Narrow" w:cs="Calibri"/>
                <w:color w:val="000000" w:themeColor="text1"/>
                <w:sz w:val="20"/>
                <w:szCs w:val="20"/>
              </w:rPr>
              <w:t>Nov 06, 2023</w:t>
            </w:r>
          </w:p>
        </w:tc>
        <w:tc>
          <w:tcPr>
            <w:tcW w:w="1267" w:type="dxa"/>
            <w:noWrap/>
            <w:vAlign w:val="bottom"/>
            <w:hideMark/>
          </w:tcPr>
          <w:p w14:paraId="206F4B48" w14:textId="77777777" w:rsidR="008D12B3" w:rsidRPr="009E35ED" w:rsidRDefault="008D12B3">
            <w:pPr>
              <w:spacing w:line="256" w:lineRule="auto"/>
              <w:ind w:left="0"/>
              <w:jc w:val="center"/>
              <w:rPr>
                <w:rFonts w:ascii="Arial Narrow" w:hAnsi="Arial Narrow" w:cs="Calibri"/>
                <w:color w:val="000000" w:themeColor="text1"/>
                <w:sz w:val="20"/>
                <w:szCs w:val="20"/>
              </w:rPr>
            </w:pPr>
            <w:r w:rsidRPr="009E35ED">
              <w:rPr>
                <w:rFonts w:ascii="Arial Narrow" w:hAnsi="Arial Narrow" w:cs="Calibri"/>
                <w:color w:val="000000" w:themeColor="text1"/>
                <w:sz w:val="20"/>
                <w:szCs w:val="20"/>
              </w:rPr>
              <w:t>May 06, 2024</w:t>
            </w:r>
          </w:p>
        </w:tc>
        <w:tc>
          <w:tcPr>
            <w:tcW w:w="1548" w:type="dxa"/>
            <w:noWrap/>
            <w:vAlign w:val="bottom"/>
            <w:hideMark/>
          </w:tcPr>
          <w:p w14:paraId="68A7CF83" w14:textId="77777777" w:rsidR="008D12B3" w:rsidRPr="009E35ED" w:rsidRDefault="008D12B3">
            <w:pPr>
              <w:spacing w:line="256" w:lineRule="auto"/>
              <w:ind w:left="0"/>
              <w:jc w:val="right"/>
              <w:rPr>
                <w:rFonts w:ascii="Arial Narrow" w:hAnsi="Arial Narrow" w:cs="Calibri"/>
                <w:color w:val="000000" w:themeColor="text1"/>
                <w:sz w:val="20"/>
                <w:szCs w:val="20"/>
              </w:rPr>
            </w:pPr>
            <w:r w:rsidRPr="009E35ED">
              <w:rPr>
                <w:rFonts w:ascii="Arial Narrow" w:hAnsi="Arial Narrow" w:cs="Calibri"/>
                <w:color w:val="000000" w:themeColor="text1"/>
                <w:sz w:val="20"/>
                <w:szCs w:val="20"/>
              </w:rPr>
              <w:t>124,809,983</w:t>
            </w:r>
          </w:p>
        </w:tc>
        <w:tc>
          <w:tcPr>
            <w:tcW w:w="1387" w:type="dxa"/>
            <w:noWrap/>
            <w:vAlign w:val="bottom"/>
            <w:hideMark/>
          </w:tcPr>
          <w:p w14:paraId="08D0C3F0" w14:textId="77777777" w:rsidR="008D12B3" w:rsidRPr="009E35ED" w:rsidRDefault="008D12B3">
            <w:pPr>
              <w:spacing w:line="256" w:lineRule="auto"/>
              <w:ind w:left="0"/>
              <w:jc w:val="right"/>
              <w:rPr>
                <w:rFonts w:ascii="Arial Narrow" w:hAnsi="Arial Narrow" w:cs="Calibri"/>
                <w:color w:val="000000" w:themeColor="text1"/>
                <w:sz w:val="20"/>
                <w:szCs w:val="20"/>
              </w:rPr>
            </w:pPr>
            <w:r w:rsidRPr="009E35ED">
              <w:rPr>
                <w:rFonts w:ascii="Arial Narrow" w:hAnsi="Arial Narrow" w:cs="Calibri"/>
                <w:color w:val="000000" w:themeColor="text1"/>
                <w:sz w:val="20"/>
                <w:szCs w:val="20"/>
              </w:rPr>
              <w:t>930,528</w:t>
            </w:r>
          </w:p>
        </w:tc>
        <w:tc>
          <w:tcPr>
            <w:tcW w:w="1614" w:type="dxa"/>
            <w:noWrap/>
            <w:vAlign w:val="bottom"/>
            <w:hideMark/>
          </w:tcPr>
          <w:p w14:paraId="4BF97E84" w14:textId="77777777" w:rsidR="008D12B3" w:rsidRPr="009E35ED" w:rsidRDefault="008D12B3">
            <w:pPr>
              <w:spacing w:line="256" w:lineRule="auto"/>
              <w:ind w:left="0"/>
              <w:jc w:val="right"/>
              <w:rPr>
                <w:rFonts w:ascii="Arial Narrow" w:hAnsi="Arial Narrow" w:cs="Calibri"/>
                <w:color w:val="000000" w:themeColor="text1"/>
                <w:sz w:val="20"/>
                <w:szCs w:val="20"/>
              </w:rPr>
            </w:pPr>
            <w:r w:rsidRPr="009E35ED">
              <w:rPr>
                <w:rFonts w:ascii="Arial Narrow" w:hAnsi="Arial Narrow" w:cs="Calibri"/>
                <w:color w:val="000000" w:themeColor="text1"/>
                <w:sz w:val="20"/>
                <w:szCs w:val="20"/>
              </w:rPr>
              <w:t>125,740,511</w:t>
            </w:r>
          </w:p>
        </w:tc>
        <w:tc>
          <w:tcPr>
            <w:tcW w:w="1614" w:type="dxa"/>
            <w:noWrap/>
            <w:vAlign w:val="bottom"/>
            <w:hideMark/>
          </w:tcPr>
          <w:p w14:paraId="3D776DDD" w14:textId="77777777" w:rsidR="008D12B3" w:rsidRPr="009E35ED" w:rsidRDefault="008D12B3">
            <w:pPr>
              <w:spacing w:line="256" w:lineRule="auto"/>
              <w:ind w:left="0"/>
              <w:jc w:val="right"/>
              <w:rPr>
                <w:rFonts w:ascii="Arial Narrow" w:hAnsi="Arial Narrow" w:cs="Calibri"/>
                <w:color w:val="000000" w:themeColor="text1"/>
                <w:sz w:val="20"/>
                <w:szCs w:val="20"/>
              </w:rPr>
            </w:pPr>
            <w:r w:rsidRPr="009E35ED">
              <w:rPr>
                <w:rFonts w:ascii="Arial Narrow" w:hAnsi="Arial Narrow" w:cs="Calibri"/>
                <w:color w:val="000000" w:themeColor="text1"/>
                <w:sz w:val="20"/>
                <w:szCs w:val="20"/>
              </w:rPr>
              <w:t>127,889,184</w:t>
            </w:r>
          </w:p>
        </w:tc>
      </w:tr>
      <w:tr w:rsidR="00997F75" w:rsidRPr="009E35ED" w14:paraId="35B3C875" w14:textId="77777777" w:rsidTr="003D0E7E">
        <w:trPr>
          <w:trHeight w:val="248"/>
        </w:trPr>
        <w:tc>
          <w:tcPr>
            <w:tcW w:w="1497" w:type="dxa"/>
            <w:tcBorders>
              <w:bottom w:val="single" w:sz="4" w:space="0" w:color="auto"/>
            </w:tcBorders>
            <w:noWrap/>
            <w:vAlign w:val="bottom"/>
            <w:hideMark/>
          </w:tcPr>
          <w:p w14:paraId="0BF26B68" w14:textId="77777777" w:rsidR="008D12B3" w:rsidRPr="009E35ED" w:rsidRDefault="008D12B3">
            <w:pPr>
              <w:spacing w:line="256" w:lineRule="auto"/>
              <w:ind w:left="0"/>
              <w:jc w:val="center"/>
              <w:rPr>
                <w:rFonts w:ascii="Arial Narrow" w:hAnsi="Arial Narrow" w:cs="Calibri"/>
                <w:color w:val="000000" w:themeColor="text1"/>
                <w:sz w:val="20"/>
                <w:szCs w:val="20"/>
              </w:rPr>
            </w:pPr>
            <w:r w:rsidRPr="009E35ED">
              <w:rPr>
                <w:rFonts w:ascii="Arial Narrow" w:hAnsi="Arial Narrow" w:cs="Calibri"/>
                <w:color w:val="000000" w:themeColor="text1"/>
                <w:sz w:val="20"/>
                <w:szCs w:val="20"/>
              </w:rPr>
              <w:t>Nov 06, 2023</w:t>
            </w:r>
          </w:p>
        </w:tc>
        <w:tc>
          <w:tcPr>
            <w:tcW w:w="1267" w:type="dxa"/>
            <w:tcBorders>
              <w:bottom w:val="single" w:sz="4" w:space="0" w:color="auto"/>
            </w:tcBorders>
            <w:noWrap/>
            <w:vAlign w:val="bottom"/>
            <w:hideMark/>
          </w:tcPr>
          <w:p w14:paraId="6E0F3AFD" w14:textId="77777777" w:rsidR="008D12B3" w:rsidRPr="009E35ED" w:rsidRDefault="008D12B3">
            <w:pPr>
              <w:spacing w:line="256" w:lineRule="auto"/>
              <w:ind w:left="0"/>
              <w:jc w:val="center"/>
              <w:rPr>
                <w:rFonts w:ascii="Arial Narrow" w:hAnsi="Arial Narrow" w:cs="Calibri"/>
                <w:color w:val="000000" w:themeColor="text1"/>
                <w:sz w:val="20"/>
                <w:szCs w:val="20"/>
              </w:rPr>
            </w:pPr>
            <w:r w:rsidRPr="009E35ED">
              <w:rPr>
                <w:rFonts w:ascii="Arial Narrow" w:hAnsi="Arial Narrow" w:cs="Calibri"/>
                <w:color w:val="000000" w:themeColor="text1"/>
                <w:sz w:val="20"/>
                <w:szCs w:val="20"/>
              </w:rPr>
              <w:t>May 06, 2024</w:t>
            </w:r>
          </w:p>
        </w:tc>
        <w:tc>
          <w:tcPr>
            <w:tcW w:w="1548" w:type="dxa"/>
            <w:tcBorders>
              <w:bottom w:val="single" w:sz="4" w:space="0" w:color="auto"/>
            </w:tcBorders>
            <w:noWrap/>
            <w:vAlign w:val="bottom"/>
            <w:hideMark/>
          </w:tcPr>
          <w:p w14:paraId="5956DD51" w14:textId="77777777" w:rsidR="008D12B3" w:rsidRPr="009E35ED" w:rsidRDefault="008D12B3">
            <w:pPr>
              <w:spacing w:line="256" w:lineRule="auto"/>
              <w:ind w:left="0"/>
              <w:jc w:val="right"/>
              <w:rPr>
                <w:rFonts w:ascii="Arial Narrow" w:hAnsi="Arial Narrow" w:cs="Calibri"/>
                <w:color w:val="000000" w:themeColor="text1"/>
                <w:sz w:val="20"/>
                <w:szCs w:val="20"/>
              </w:rPr>
            </w:pPr>
            <w:r w:rsidRPr="009E35ED">
              <w:rPr>
                <w:rFonts w:ascii="Arial Narrow" w:hAnsi="Arial Narrow" w:cs="Calibri"/>
                <w:color w:val="000000" w:themeColor="text1"/>
                <w:sz w:val="20"/>
                <w:szCs w:val="20"/>
              </w:rPr>
              <w:t>373,478,749</w:t>
            </w:r>
          </w:p>
        </w:tc>
        <w:tc>
          <w:tcPr>
            <w:tcW w:w="1387" w:type="dxa"/>
            <w:tcBorders>
              <w:bottom w:val="single" w:sz="4" w:space="0" w:color="auto"/>
            </w:tcBorders>
            <w:noWrap/>
            <w:vAlign w:val="bottom"/>
            <w:hideMark/>
          </w:tcPr>
          <w:p w14:paraId="74754B5B" w14:textId="77777777" w:rsidR="008D12B3" w:rsidRPr="009E35ED" w:rsidRDefault="008D12B3">
            <w:pPr>
              <w:spacing w:line="256" w:lineRule="auto"/>
              <w:ind w:left="0"/>
              <w:jc w:val="right"/>
              <w:rPr>
                <w:rFonts w:ascii="Arial Narrow" w:hAnsi="Arial Narrow" w:cs="Calibri"/>
                <w:color w:val="000000" w:themeColor="text1"/>
                <w:sz w:val="20"/>
                <w:szCs w:val="20"/>
              </w:rPr>
            </w:pPr>
            <w:r w:rsidRPr="009E35ED">
              <w:rPr>
                <w:rFonts w:ascii="Arial Narrow" w:hAnsi="Arial Narrow" w:cs="Calibri"/>
                <w:color w:val="000000" w:themeColor="text1"/>
                <w:sz w:val="20"/>
                <w:szCs w:val="20"/>
              </w:rPr>
              <w:t>2,784,492</w:t>
            </w:r>
          </w:p>
        </w:tc>
        <w:tc>
          <w:tcPr>
            <w:tcW w:w="1614" w:type="dxa"/>
            <w:tcBorders>
              <w:bottom w:val="single" w:sz="4" w:space="0" w:color="auto"/>
            </w:tcBorders>
            <w:noWrap/>
            <w:vAlign w:val="bottom"/>
            <w:hideMark/>
          </w:tcPr>
          <w:p w14:paraId="52D8E794" w14:textId="77777777" w:rsidR="008D12B3" w:rsidRPr="009E35ED" w:rsidRDefault="008D12B3">
            <w:pPr>
              <w:spacing w:line="256" w:lineRule="auto"/>
              <w:ind w:left="0"/>
              <w:jc w:val="right"/>
              <w:rPr>
                <w:rFonts w:ascii="Arial Narrow" w:hAnsi="Arial Narrow" w:cs="Calibri"/>
                <w:color w:val="000000" w:themeColor="text1"/>
                <w:sz w:val="20"/>
                <w:szCs w:val="20"/>
              </w:rPr>
            </w:pPr>
            <w:r w:rsidRPr="009E35ED">
              <w:rPr>
                <w:rFonts w:ascii="Arial Narrow" w:hAnsi="Arial Narrow" w:cs="Calibri"/>
                <w:color w:val="000000" w:themeColor="text1"/>
                <w:sz w:val="20"/>
                <w:szCs w:val="20"/>
              </w:rPr>
              <w:t>376,263,240</w:t>
            </w:r>
          </w:p>
        </w:tc>
        <w:tc>
          <w:tcPr>
            <w:tcW w:w="1614" w:type="dxa"/>
            <w:tcBorders>
              <w:bottom w:val="single" w:sz="4" w:space="0" w:color="auto"/>
            </w:tcBorders>
            <w:noWrap/>
            <w:vAlign w:val="bottom"/>
            <w:hideMark/>
          </w:tcPr>
          <w:p w14:paraId="66390CFA" w14:textId="77777777" w:rsidR="008D12B3" w:rsidRPr="009E35ED" w:rsidRDefault="008D12B3">
            <w:pPr>
              <w:spacing w:line="256" w:lineRule="auto"/>
              <w:ind w:left="0"/>
              <w:jc w:val="right"/>
              <w:rPr>
                <w:rFonts w:ascii="Arial Narrow" w:hAnsi="Arial Narrow" w:cs="Calibri"/>
                <w:color w:val="000000" w:themeColor="text1"/>
                <w:sz w:val="20"/>
                <w:szCs w:val="20"/>
              </w:rPr>
            </w:pPr>
            <w:r w:rsidRPr="009E35ED">
              <w:rPr>
                <w:rFonts w:ascii="Arial Narrow" w:hAnsi="Arial Narrow" w:cs="Calibri"/>
                <w:color w:val="000000" w:themeColor="text1"/>
                <w:sz w:val="20"/>
                <w:szCs w:val="20"/>
              </w:rPr>
              <w:t>382,692,884</w:t>
            </w:r>
          </w:p>
        </w:tc>
      </w:tr>
      <w:tr w:rsidR="00997F75" w:rsidRPr="009E35ED" w14:paraId="612D18BD" w14:textId="77777777" w:rsidTr="003D0E7E">
        <w:trPr>
          <w:trHeight w:val="277"/>
        </w:trPr>
        <w:tc>
          <w:tcPr>
            <w:tcW w:w="1497" w:type="dxa"/>
            <w:tcBorders>
              <w:top w:val="single" w:sz="4" w:space="0" w:color="auto"/>
              <w:bottom w:val="single" w:sz="4" w:space="0" w:color="auto"/>
            </w:tcBorders>
            <w:noWrap/>
            <w:vAlign w:val="bottom"/>
            <w:hideMark/>
          </w:tcPr>
          <w:p w14:paraId="4D1E1116" w14:textId="77777777" w:rsidR="008D12B3" w:rsidRPr="009E35ED" w:rsidRDefault="008D12B3">
            <w:pPr>
              <w:rPr>
                <w:rFonts w:ascii="Arial Narrow" w:hAnsi="Arial Narrow" w:cs="Calibri"/>
                <w:color w:val="000000" w:themeColor="text1"/>
                <w:sz w:val="20"/>
                <w:szCs w:val="20"/>
              </w:rPr>
            </w:pPr>
          </w:p>
        </w:tc>
        <w:tc>
          <w:tcPr>
            <w:tcW w:w="1267" w:type="dxa"/>
            <w:tcBorders>
              <w:top w:val="single" w:sz="4" w:space="0" w:color="auto"/>
              <w:bottom w:val="single" w:sz="4" w:space="0" w:color="auto"/>
            </w:tcBorders>
            <w:noWrap/>
            <w:vAlign w:val="bottom"/>
            <w:hideMark/>
          </w:tcPr>
          <w:p w14:paraId="15825801" w14:textId="77777777" w:rsidR="008D12B3" w:rsidRPr="009E35ED" w:rsidRDefault="008D12B3">
            <w:pPr>
              <w:spacing w:line="256" w:lineRule="auto"/>
              <w:ind w:left="0"/>
              <w:jc w:val="left"/>
              <w:rPr>
                <w:rFonts w:asciiTheme="minorHAnsi" w:eastAsiaTheme="minorHAnsi" w:hAnsiTheme="minorHAnsi" w:cstheme="minorBidi"/>
                <w:color w:val="000000" w:themeColor="text1"/>
                <w:sz w:val="20"/>
                <w:szCs w:val="20"/>
                <w:lang w:val="en-PH" w:eastAsia="en-PH"/>
              </w:rPr>
            </w:pPr>
          </w:p>
        </w:tc>
        <w:tc>
          <w:tcPr>
            <w:tcW w:w="1548" w:type="dxa"/>
            <w:tcBorders>
              <w:top w:val="single" w:sz="4" w:space="0" w:color="auto"/>
              <w:bottom w:val="single" w:sz="4" w:space="0" w:color="auto"/>
            </w:tcBorders>
            <w:noWrap/>
            <w:vAlign w:val="center"/>
            <w:hideMark/>
          </w:tcPr>
          <w:p w14:paraId="4476DE21" w14:textId="77777777" w:rsidR="008D12B3" w:rsidRPr="009E35ED" w:rsidRDefault="008D12B3">
            <w:pPr>
              <w:spacing w:line="256" w:lineRule="auto"/>
              <w:ind w:left="0"/>
              <w:jc w:val="right"/>
              <w:rPr>
                <w:rFonts w:ascii="Arial Narrow" w:hAnsi="Arial Narrow" w:cs="Calibri"/>
                <w:b/>
                <w:color w:val="000000" w:themeColor="text1"/>
                <w:sz w:val="18"/>
                <w:szCs w:val="18"/>
              </w:rPr>
            </w:pPr>
            <w:r w:rsidRPr="009E35ED">
              <w:rPr>
                <w:rFonts w:ascii="Arial Narrow" w:hAnsi="Arial Narrow" w:cs="Calibri"/>
                <w:b/>
                <w:color w:val="000000" w:themeColor="text1"/>
                <w:sz w:val="20"/>
                <w:szCs w:val="20"/>
              </w:rPr>
              <w:t>2,353,277,560</w:t>
            </w:r>
          </w:p>
        </w:tc>
        <w:tc>
          <w:tcPr>
            <w:tcW w:w="1387" w:type="dxa"/>
            <w:tcBorders>
              <w:top w:val="single" w:sz="4" w:space="0" w:color="auto"/>
              <w:bottom w:val="single" w:sz="4" w:space="0" w:color="auto"/>
            </w:tcBorders>
            <w:noWrap/>
            <w:vAlign w:val="center"/>
            <w:hideMark/>
          </w:tcPr>
          <w:p w14:paraId="1F346192" w14:textId="77777777" w:rsidR="008D12B3" w:rsidRPr="009E35ED" w:rsidRDefault="008D12B3">
            <w:pPr>
              <w:spacing w:line="256" w:lineRule="auto"/>
              <w:ind w:left="0"/>
              <w:jc w:val="right"/>
              <w:rPr>
                <w:rFonts w:ascii="Arial Narrow" w:hAnsi="Arial Narrow" w:cs="Calibri"/>
                <w:b/>
                <w:color w:val="000000" w:themeColor="text1"/>
                <w:sz w:val="18"/>
                <w:szCs w:val="18"/>
              </w:rPr>
            </w:pPr>
            <w:r w:rsidRPr="009E35ED">
              <w:rPr>
                <w:rFonts w:ascii="Arial Narrow" w:hAnsi="Arial Narrow" w:cs="Calibri"/>
                <w:b/>
                <w:color w:val="000000" w:themeColor="text1"/>
                <w:sz w:val="20"/>
                <w:szCs w:val="20"/>
              </w:rPr>
              <w:t>17,544,992</w:t>
            </w:r>
          </w:p>
        </w:tc>
        <w:tc>
          <w:tcPr>
            <w:tcW w:w="1614" w:type="dxa"/>
            <w:tcBorders>
              <w:top w:val="single" w:sz="4" w:space="0" w:color="auto"/>
              <w:bottom w:val="single" w:sz="4" w:space="0" w:color="auto"/>
            </w:tcBorders>
            <w:noWrap/>
            <w:vAlign w:val="center"/>
            <w:hideMark/>
          </w:tcPr>
          <w:p w14:paraId="378FDFC1" w14:textId="77777777" w:rsidR="008D12B3" w:rsidRPr="009E35ED" w:rsidRDefault="008D12B3">
            <w:pPr>
              <w:spacing w:line="256" w:lineRule="auto"/>
              <w:ind w:left="0"/>
              <w:jc w:val="right"/>
              <w:rPr>
                <w:rFonts w:ascii="Arial Narrow" w:hAnsi="Arial Narrow" w:cs="Calibri"/>
                <w:b/>
                <w:color w:val="000000" w:themeColor="text1"/>
                <w:sz w:val="18"/>
                <w:szCs w:val="18"/>
              </w:rPr>
            </w:pPr>
            <w:r w:rsidRPr="009E35ED">
              <w:rPr>
                <w:rFonts w:ascii="Arial Narrow" w:hAnsi="Arial Narrow" w:cs="Calibri"/>
                <w:b/>
                <w:color w:val="000000" w:themeColor="text1"/>
                <w:sz w:val="20"/>
                <w:szCs w:val="20"/>
              </w:rPr>
              <w:t>2,370,822,552</w:t>
            </w:r>
          </w:p>
        </w:tc>
        <w:tc>
          <w:tcPr>
            <w:tcW w:w="1614" w:type="dxa"/>
            <w:tcBorders>
              <w:top w:val="single" w:sz="4" w:space="0" w:color="auto"/>
              <w:bottom w:val="single" w:sz="4" w:space="0" w:color="auto"/>
            </w:tcBorders>
            <w:noWrap/>
            <w:vAlign w:val="center"/>
            <w:hideMark/>
          </w:tcPr>
          <w:p w14:paraId="2587AE0E" w14:textId="77777777" w:rsidR="008D12B3" w:rsidRPr="009E35ED" w:rsidRDefault="008D12B3">
            <w:pPr>
              <w:spacing w:line="256" w:lineRule="auto"/>
              <w:ind w:left="0"/>
              <w:jc w:val="right"/>
              <w:rPr>
                <w:rFonts w:ascii="Arial Narrow" w:hAnsi="Arial Narrow" w:cs="Calibri"/>
                <w:b/>
                <w:color w:val="000000" w:themeColor="text1"/>
                <w:sz w:val="18"/>
                <w:szCs w:val="18"/>
              </w:rPr>
            </w:pPr>
            <w:r w:rsidRPr="009E35ED">
              <w:rPr>
                <w:rFonts w:ascii="Arial Narrow" w:hAnsi="Arial Narrow" w:cs="Calibri"/>
                <w:b/>
                <w:color w:val="000000" w:themeColor="text1"/>
                <w:sz w:val="20"/>
                <w:szCs w:val="20"/>
              </w:rPr>
              <w:t>2,411,335,531</w:t>
            </w:r>
          </w:p>
        </w:tc>
      </w:tr>
      <w:tr w:rsidR="00997F75" w:rsidRPr="009E35ED" w14:paraId="6606709F" w14:textId="77777777" w:rsidTr="003D0E7E">
        <w:trPr>
          <w:trHeight w:val="569"/>
        </w:trPr>
        <w:tc>
          <w:tcPr>
            <w:tcW w:w="4313" w:type="dxa"/>
            <w:gridSpan w:val="3"/>
            <w:tcBorders>
              <w:top w:val="single" w:sz="4" w:space="0" w:color="auto"/>
            </w:tcBorders>
            <w:noWrap/>
            <w:vAlign w:val="bottom"/>
            <w:hideMark/>
          </w:tcPr>
          <w:p w14:paraId="1A1AF9B5" w14:textId="77777777" w:rsidR="008D12B3" w:rsidRPr="003D0E7E" w:rsidRDefault="008D12B3">
            <w:pPr>
              <w:spacing w:line="256" w:lineRule="auto"/>
              <w:ind w:left="0"/>
              <w:jc w:val="left"/>
              <w:rPr>
                <w:rFonts w:ascii="Arial Narrow" w:hAnsi="Arial Narrow" w:cs="Calibri"/>
                <w:b/>
                <w:bCs/>
                <w:color w:val="000000" w:themeColor="text1"/>
                <w:sz w:val="20"/>
                <w:szCs w:val="20"/>
                <w:u w:val="single"/>
              </w:rPr>
            </w:pPr>
            <w:r w:rsidRPr="003D0E7E">
              <w:rPr>
                <w:rFonts w:ascii="Arial Narrow" w:hAnsi="Arial Narrow" w:cs="Calibri"/>
                <w:b/>
                <w:bCs/>
                <w:color w:val="000000" w:themeColor="text1"/>
                <w:sz w:val="20"/>
                <w:szCs w:val="20"/>
                <w:u w:val="single"/>
              </w:rPr>
              <w:t>Cash in Bank - Local Currency, Time Deposits – DBP</w:t>
            </w:r>
          </w:p>
        </w:tc>
        <w:tc>
          <w:tcPr>
            <w:tcW w:w="1387" w:type="dxa"/>
            <w:tcBorders>
              <w:top w:val="single" w:sz="4" w:space="0" w:color="auto"/>
            </w:tcBorders>
            <w:noWrap/>
            <w:vAlign w:val="bottom"/>
            <w:hideMark/>
          </w:tcPr>
          <w:p w14:paraId="5CE2B373" w14:textId="77777777" w:rsidR="005F3828" w:rsidRPr="009E35ED" w:rsidRDefault="005F3828" w:rsidP="003D0E7E">
            <w:pPr>
              <w:ind w:left="0"/>
              <w:rPr>
                <w:rFonts w:ascii="Arial Narrow" w:hAnsi="Arial Narrow" w:cs="Calibri"/>
                <w:b/>
                <w:bCs/>
                <w:color w:val="000000" w:themeColor="text1"/>
                <w:sz w:val="20"/>
                <w:szCs w:val="20"/>
              </w:rPr>
            </w:pPr>
          </w:p>
          <w:p w14:paraId="17EA4F93" w14:textId="77777777" w:rsidR="005F3828" w:rsidRPr="009E35ED" w:rsidRDefault="005F3828">
            <w:pPr>
              <w:rPr>
                <w:rFonts w:ascii="Arial Narrow" w:hAnsi="Arial Narrow" w:cs="Calibri"/>
                <w:b/>
                <w:bCs/>
                <w:color w:val="000000" w:themeColor="text1"/>
                <w:sz w:val="20"/>
                <w:szCs w:val="20"/>
              </w:rPr>
            </w:pPr>
          </w:p>
        </w:tc>
        <w:tc>
          <w:tcPr>
            <w:tcW w:w="1614" w:type="dxa"/>
            <w:tcBorders>
              <w:top w:val="single" w:sz="4" w:space="0" w:color="auto"/>
            </w:tcBorders>
            <w:noWrap/>
            <w:vAlign w:val="bottom"/>
            <w:hideMark/>
          </w:tcPr>
          <w:p w14:paraId="12FB846F" w14:textId="77777777" w:rsidR="008D12B3" w:rsidRPr="009E35ED" w:rsidRDefault="008D12B3">
            <w:pPr>
              <w:spacing w:line="256" w:lineRule="auto"/>
              <w:ind w:left="0"/>
              <w:jc w:val="left"/>
              <w:rPr>
                <w:rFonts w:asciiTheme="minorHAnsi" w:eastAsiaTheme="minorHAnsi" w:hAnsiTheme="minorHAnsi" w:cstheme="minorBidi"/>
                <w:color w:val="000000" w:themeColor="text1"/>
                <w:sz w:val="20"/>
                <w:szCs w:val="20"/>
                <w:lang w:val="en-PH" w:eastAsia="en-PH"/>
              </w:rPr>
            </w:pPr>
          </w:p>
        </w:tc>
        <w:tc>
          <w:tcPr>
            <w:tcW w:w="1614" w:type="dxa"/>
            <w:tcBorders>
              <w:top w:val="single" w:sz="4" w:space="0" w:color="auto"/>
            </w:tcBorders>
            <w:noWrap/>
            <w:vAlign w:val="bottom"/>
            <w:hideMark/>
          </w:tcPr>
          <w:p w14:paraId="56145B7B" w14:textId="77777777" w:rsidR="008D12B3" w:rsidRPr="009E35ED" w:rsidRDefault="008D12B3">
            <w:pPr>
              <w:spacing w:line="256" w:lineRule="auto"/>
              <w:ind w:left="0"/>
              <w:jc w:val="left"/>
              <w:rPr>
                <w:rFonts w:asciiTheme="minorHAnsi" w:eastAsiaTheme="minorHAnsi" w:hAnsiTheme="minorHAnsi" w:cstheme="minorBidi"/>
                <w:color w:val="000000" w:themeColor="text1"/>
                <w:sz w:val="20"/>
                <w:szCs w:val="20"/>
                <w:lang w:val="en-PH" w:eastAsia="en-PH"/>
              </w:rPr>
            </w:pPr>
          </w:p>
        </w:tc>
      </w:tr>
      <w:tr w:rsidR="00997F75" w:rsidRPr="009E35ED" w14:paraId="1FFAFEA4" w14:textId="77777777" w:rsidTr="003D0E7E">
        <w:trPr>
          <w:trHeight w:val="248"/>
        </w:trPr>
        <w:tc>
          <w:tcPr>
            <w:tcW w:w="1497" w:type="dxa"/>
            <w:noWrap/>
            <w:vAlign w:val="bottom"/>
            <w:hideMark/>
          </w:tcPr>
          <w:p w14:paraId="3B7590E8" w14:textId="77777777" w:rsidR="00E04255" w:rsidRPr="009E35ED" w:rsidRDefault="00E04255">
            <w:pPr>
              <w:spacing w:line="256" w:lineRule="auto"/>
              <w:ind w:left="0"/>
              <w:jc w:val="center"/>
              <w:rPr>
                <w:rFonts w:ascii="Arial Narrow" w:hAnsi="Arial Narrow" w:cs="Calibri"/>
                <w:color w:val="000000" w:themeColor="text1"/>
                <w:sz w:val="20"/>
                <w:szCs w:val="20"/>
              </w:rPr>
            </w:pPr>
          </w:p>
          <w:p w14:paraId="201B7608" w14:textId="4EC3753D" w:rsidR="008D12B3" w:rsidRPr="009E35ED" w:rsidRDefault="008D12B3">
            <w:pPr>
              <w:spacing w:line="256" w:lineRule="auto"/>
              <w:ind w:left="0"/>
              <w:jc w:val="center"/>
              <w:rPr>
                <w:rFonts w:ascii="Arial Narrow" w:hAnsi="Arial Narrow" w:cs="Calibri"/>
                <w:color w:val="000000" w:themeColor="text1"/>
                <w:sz w:val="20"/>
                <w:szCs w:val="20"/>
                <w:lang w:val="en-PH"/>
              </w:rPr>
            </w:pPr>
            <w:r w:rsidRPr="009E35ED">
              <w:rPr>
                <w:rFonts w:ascii="Arial Narrow" w:hAnsi="Arial Narrow" w:cs="Calibri"/>
                <w:color w:val="000000" w:themeColor="text1"/>
                <w:sz w:val="20"/>
                <w:szCs w:val="20"/>
              </w:rPr>
              <w:t>Oct 13, 2023</w:t>
            </w:r>
          </w:p>
        </w:tc>
        <w:tc>
          <w:tcPr>
            <w:tcW w:w="1267" w:type="dxa"/>
            <w:noWrap/>
            <w:vAlign w:val="bottom"/>
            <w:hideMark/>
          </w:tcPr>
          <w:p w14:paraId="588BC475" w14:textId="77777777" w:rsidR="008D12B3" w:rsidRPr="009E35ED" w:rsidRDefault="008D12B3">
            <w:pPr>
              <w:spacing w:line="256" w:lineRule="auto"/>
              <w:ind w:left="0"/>
              <w:jc w:val="center"/>
              <w:rPr>
                <w:rFonts w:ascii="Arial Narrow" w:hAnsi="Arial Narrow" w:cs="Calibri"/>
                <w:color w:val="000000" w:themeColor="text1"/>
                <w:sz w:val="20"/>
                <w:szCs w:val="20"/>
              </w:rPr>
            </w:pPr>
            <w:r w:rsidRPr="009E35ED">
              <w:rPr>
                <w:rFonts w:ascii="Arial Narrow" w:hAnsi="Arial Narrow" w:cs="Calibri"/>
                <w:color w:val="000000" w:themeColor="text1"/>
                <w:sz w:val="20"/>
                <w:szCs w:val="20"/>
              </w:rPr>
              <w:t>Feb 09, 2024</w:t>
            </w:r>
          </w:p>
        </w:tc>
        <w:tc>
          <w:tcPr>
            <w:tcW w:w="1548" w:type="dxa"/>
            <w:noWrap/>
            <w:vAlign w:val="bottom"/>
            <w:hideMark/>
          </w:tcPr>
          <w:p w14:paraId="04FC9526" w14:textId="77777777" w:rsidR="008D12B3" w:rsidRPr="009E35ED" w:rsidRDefault="008D12B3">
            <w:pPr>
              <w:spacing w:line="256" w:lineRule="auto"/>
              <w:ind w:left="0"/>
              <w:jc w:val="right"/>
              <w:rPr>
                <w:rFonts w:ascii="Arial Narrow" w:hAnsi="Arial Narrow" w:cs="Calibri"/>
                <w:color w:val="000000" w:themeColor="text1"/>
                <w:sz w:val="20"/>
                <w:szCs w:val="20"/>
              </w:rPr>
            </w:pPr>
            <w:r w:rsidRPr="009E35ED">
              <w:rPr>
                <w:rFonts w:ascii="Arial Narrow" w:hAnsi="Arial Narrow" w:cs="Calibri"/>
                <w:color w:val="000000" w:themeColor="text1"/>
                <w:sz w:val="20"/>
                <w:szCs w:val="20"/>
              </w:rPr>
              <w:t>100,000,000</w:t>
            </w:r>
          </w:p>
        </w:tc>
        <w:tc>
          <w:tcPr>
            <w:tcW w:w="1387" w:type="dxa"/>
            <w:noWrap/>
            <w:vAlign w:val="bottom"/>
            <w:hideMark/>
          </w:tcPr>
          <w:p w14:paraId="68F281B5" w14:textId="77777777" w:rsidR="008D12B3" w:rsidRPr="009E35ED" w:rsidRDefault="008D12B3">
            <w:pPr>
              <w:spacing w:line="256" w:lineRule="auto"/>
              <w:ind w:left="0"/>
              <w:jc w:val="right"/>
              <w:rPr>
                <w:rFonts w:ascii="Arial Narrow" w:hAnsi="Arial Narrow" w:cs="Calibri"/>
                <w:color w:val="000000" w:themeColor="text1"/>
                <w:sz w:val="20"/>
                <w:szCs w:val="20"/>
              </w:rPr>
            </w:pPr>
            <w:r w:rsidRPr="009E35ED">
              <w:rPr>
                <w:rFonts w:ascii="Arial Narrow" w:hAnsi="Arial Narrow" w:cs="Calibri"/>
                <w:color w:val="000000" w:themeColor="text1"/>
                <w:sz w:val="20"/>
                <w:szCs w:val="20"/>
              </w:rPr>
              <w:t>1,053,333</w:t>
            </w:r>
          </w:p>
        </w:tc>
        <w:tc>
          <w:tcPr>
            <w:tcW w:w="1614" w:type="dxa"/>
            <w:noWrap/>
            <w:vAlign w:val="bottom"/>
            <w:hideMark/>
          </w:tcPr>
          <w:p w14:paraId="3A66F1B8" w14:textId="77777777" w:rsidR="008D12B3" w:rsidRPr="009E35ED" w:rsidRDefault="008D12B3">
            <w:pPr>
              <w:spacing w:line="256" w:lineRule="auto"/>
              <w:ind w:left="0"/>
              <w:jc w:val="right"/>
              <w:rPr>
                <w:rFonts w:ascii="Arial Narrow" w:hAnsi="Arial Narrow" w:cs="Calibri"/>
                <w:color w:val="000000" w:themeColor="text1"/>
                <w:sz w:val="20"/>
                <w:szCs w:val="20"/>
              </w:rPr>
            </w:pPr>
            <w:r w:rsidRPr="009E35ED">
              <w:rPr>
                <w:rFonts w:ascii="Arial Narrow" w:hAnsi="Arial Narrow" w:cs="Calibri"/>
                <w:color w:val="000000" w:themeColor="text1"/>
                <w:sz w:val="20"/>
                <w:szCs w:val="20"/>
              </w:rPr>
              <w:t>101,053,333</w:t>
            </w:r>
          </w:p>
        </w:tc>
        <w:tc>
          <w:tcPr>
            <w:tcW w:w="1614" w:type="dxa"/>
            <w:noWrap/>
            <w:vAlign w:val="bottom"/>
            <w:hideMark/>
          </w:tcPr>
          <w:p w14:paraId="1A53E814" w14:textId="77777777" w:rsidR="008D12B3" w:rsidRPr="009E35ED" w:rsidRDefault="008D12B3">
            <w:pPr>
              <w:spacing w:line="256" w:lineRule="auto"/>
              <w:ind w:left="0"/>
              <w:jc w:val="right"/>
              <w:rPr>
                <w:rFonts w:ascii="Arial Narrow" w:hAnsi="Arial Narrow" w:cs="Calibri"/>
                <w:color w:val="000000" w:themeColor="text1"/>
                <w:sz w:val="20"/>
                <w:szCs w:val="20"/>
              </w:rPr>
            </w:pPr>
            <w:r w:rsidRPr="009E35ED">
              <w:rPr>
                <w:rFonts w:ascii="Arial Narrow" w:hAnsi="Arial Narrow" w:cs="Calibri"/>
                <w:color w:val="000000" w:themeColor="text1"/>
                <w:sz w:val="20"/>
                <w:szCs w:val="20"/>
              </w:rPr>
              <w:t>101,586,667</w:t>
            </w:r>
          </w:p>
        </w:tc>
      </w:tr>
      <w:tr w:rsidR="00997F75" w:rsidRPr="009E35ED" w14:paraId="0303A892" w14:textId="77777777" w:rsidTr="003D0E7E">
        <w:trPr>
          <w:trHeight w:val="248"/>
        </w:trPr>
        <w:tc>
          <w:tcPr>
            <w:tcW w:w="1497" w:type="dxa"/>
            <w:noWrap/>
            <w:vAlign w:val="bottom"/>
            <w:hideMark/>
          </w:tcPr>
          <w:p w14:paraId="7B0795F8" w14:textId="77777777" w:rsidR="008D12B3" w:rsidRPr="009E35ED" w:rsidRDefault="008D12B3">
            <w:pPr>
              <w:spacing w:line="256" w:lineRule="auto"/>
              <w:ind w:left="0"/>
              <w:jc w:val="center"/>
              <w:rPr>
                <w:rFonts w:ascii="Arial Narrow" w:hAnsi="Arial Narrow" w:cs="Calibri"/>
                <w:color w:val="000000" w:themeColor="text1"/>
                <w:sz w:val="20"/>
                <w:szCs w:val="20"/>
                <w:lang w:val="en-PH"/>
              </w:rPr>
            </w:pPr>
            <w:r w:rsidRPr="009E35ED">
              <w:rPr>
                <w:rFonts w:ascii="Arial Narrow" w:hAnsi="Arial Narrow" w:cs="Calibri"/>
                <w:color w:val="000000" w:themeColor="text1"/>
                <w:sz w:val="20"/>
                <w:szCs w:val="20"/>
              </w:rPr>
              <w:t>Oct 13, 2023</w:t>
            </w:r>
          </w:p>
        </w:tc>
        <w:tc>
          <w:tcPr>
            <w:tcW w:w="1267" w:type="dxa"/>
            <w:noWrap/>
            <w:vAlign w:val="bottom"/>
            <w:hideMark/>
          </w:tcPr>
          <w:p w14:paraId="6D11345E" w14:textId="77777777" w:rsidR="008D12B3" w:rsidRPr="009E35ED" w:rsidRDefault="008D12B3">
            <w:pPr>
              <w:spacing w:line="256" w:lineRule="auto"/>
              <w:ind w:left="0"/>
              <w:jc w:val="center"/>
              <w:rPr>
                <w:rFonts w:ascii="Arial Narrow" w:hAnsi="Arial Narrow" w:cs="Calibri"/>
                <w:color w:val="000000" w:themeColor="text1"/>
                <w:sz w:val="20"/>
                <w:szCs w:val="20"/>
              </w:rPr>
            </w:pPr>
            <w:r w:rsidRPr="009E35ED">
              <w:rPr>
                <w:rFonts w:ascii="Arial Narrow" w:hAnsi="Arial Narrow" w:cs="Calibri"/>
                <w:color w:val="000000" w:themeColor="text1"/>
                <w:sz w:val="20"/>
                <w:szCs w:val="20"/>
              </w:rPr>
              <w:t>Feb 09, 2024</w:t>
            </w:r>
          </w:p>
        </w:tc>
        <w:tc>
          <w:tcPr>
            <w:tcW w:w="1548" w:type="dxa"/>
            <w:noWrap/>
            <w:vAlign w:val="bottom"/>
            <w:hideMark/>
          </w:tcPr>
          <w:p w14:paraId="4812DBEE" w14:textId="77777777" w:rsidR="008D12B3" w:rsidRPr="009E35ED" w:rsidRDefault="008D12B3">
            <w:pPr>
              <w:spacing w:line="256" w:lineRule="auto"/>
              <w:ind w:left="0"/>
              <w:jc w:val="right"/>
              <w:rPr>
                <w:rFonts w:ascii="Arial Narrow" w:hAnsi="Arial Narrow" w:cs="Calibri"/>
                <w:color w:val="000000" w:themeColor="text1"/>
                <w:sz w:val="20"/>
                <w:szCs w:val="20"/>
              </w:rPr>
            </w:pPr>
            <w:r w:rsidRPr="009E35ED">
              <w:rPr>
                <w:rFonts w:ascii="Arial Narrow" w:hAnsi="Arial Narrow" w:cs="Calibri"/>
                <w:color w:val="000000" w:themeColor="text1"/>
                <w:sz w:val="20"/>
                <w:szCs w:val="20"/>
              </w:rPr>
              <w:t>100,000,000</w:t>
            </w:r>
          </w:p>
        </w:tc>
        <w:tc>
          <w:tcPr>
            <w:tcW w:w="1387" w:type="dxa"/>
            <w:noWrap/>
            <w:vAlign w:val="bottom"/>
            <w:hideMark/>
          </w:tcPr>
          <w:p w14:paraId="168C14F4" w14:textId="77777777" w:rsidR="008D12B3" w:rsidRPr="009E35ED" w:rsidRDefault="008D12B3">
            <w:pPr>
              <w:spacing w:line="256" w:lineRule="auto"/>
              <w:ind w:left="0"/>
              <w:jc w:val="right"/>
              <w:rPr>
                <w:rFonts w:ascii="Arial Narrow" w:hAnsi="Arial Narrow" w:cs="Calibri"/>
                <w:color w:val="000000" w:themeColor="text1"/>
                <w:sz w:val="20"/>
                <w:szCs w:val="20"/>
              </w:rPr>
            </w:pPr>
            <w:r w:rsidRPr="009E35ED">
              <w:rPr>
                <w:rFonts w:ascii="Arial Narrow" w:hAnsi="Arial Narrow" w:cs="Calibri"/>
                <w:color w:val="000000" w:themeColor="text1"/>
                <w:sz w:val="20"/>
                <w:szCs w:val="20"/>
              </w:rPr>
              <w:t>1,053,333</w:t>
            </w:r>
          </w:p>
        </w:tc>
        <w:tc>
          <w:tcPr>
            <w:tcW w:w="1614" w:type="dxa"/>
            <w:noWrap/>
            <w:vAlign w:val="bottom"/>
            <w:hideMark/>
          </w:tcPr>
          <w:p w14:paraId="170C7FCD" w14:textId="77777777" w:rsidR="008D12B3" w:rsidRPr="009E35ED" w:rsidRDefault="008D12B3">
            <w:pPr>
              <w:spacing w:line="256" w:lineRule="auto"/>
              <w:ind w:left="0"/>
              <w:jc w:val="right"/>
              <w:rPr>
                <w:rFonts w:ascii="Arial Narrow" w:hAnsi="Arial Narrow" w:cs="Calibri"/>
                <w:color w:val="000000" w:themeColor="text1"/>
                <w:sz w:val="20"/>
                <w:szCs w:val="20"/>
              </w:rPr>
            </w:pPr>
            <w:r w:rsidRPr="009E35ED">
              <w:rPr>
                <w:rFonts w:ascii="Arial Narrow" w:hAnsi="Arial Narrow" w:cs="Calibri"/>
                <w:color w:val="000000" w:themeColor="text1"/>
                <w:sz w:val="20"/>
                <w:szCs w:val="20"/>
              </w:rPr>
              <w:t>101,053,333</w:t>
            </w:r>
          </w:p>
        </w:tc>
        <w:tc>
          <w:tcPr>
            <w:tcW w:w="1614" w:type="dxa"/>
            <w:noWrap/>
            <w:vAlign w:val="bottom"/>
            <w:hideMark/>
          </w:tcPr>
          <w:p w14:paraId="558FA6ED" w14:textId="77777777" w:rsidR="008D12B3" w:rsidRPr="009E35ED" w:rsidRDefault="008D12B3">
            <w:pPr>
              <w:spacing w:line="256" w:lineRule="auto"/>
              <w:ind w:left="0"/>
              <w:jc w:val="right"/>
              <w:rPr>
                <w:rFonts w:ascii="Arial Narrow" w:hAnsi="Arial Narrow" w:cs="Calibri"/>
                <w:color w:val="000000" w:themeColor="text1"/>
                <w:sz w:val="20"/>
                <w:szCs w:val="20"/>
              </w:rPr>
            </w:pPr>
            <w:r w:rsidRPr="009E35ED">
              <w:rPr>
                <w:rFonts w:ascii="Arial Narrow" w:hAnsi="Arial Narrow" w:cs="Calibri"/>
                <w:color w:val="000000" w:themeColor="text1"/>
                <w:sz w:val="20"/>
                <w:szCs w:val="20"/>
              </w:rPr>
              <w:t>101,586,667</w:t>
            </w:r>
          </w:p>
        </w:tc>
      </w:tr>
      <w:tr w:rsidR="00997F75" w:rsidRPr="009E35ED" w14:paraId="6B05D93D" w14:textId="77777777" w:rsidTr="003D0E7E">
        <w:trPr>
          <w:trHeight w:val="248"/>
        </w:trPr>
        <w:tc>
          <w:tcPr>
            <w:tcW w:w="1497" w:type="dxa"/>
            <w:noWrap/>
            <w:vAlign w:val="bottom"/>
            <w:hideMark/>
          </w:tcPr>
          <w:p w14:paraId="3E668DAE" w14:textId="77777777" w:rsidR="008D12B3" w:rsidRPr="009E35ED" w:rsidRDefault="008D12B3">
            <w:pPr>
              <w:spacing w:line="256" w:lineRule="auto"/>
              <w:ind w:left="0"/>
              <w:jc w:val="center"/>
              <w:rPr>
                <w:rFonts w:ascii="Arial Narrow" w:hAnsi="Arial Narrow" w:cs="Calibri"/>
                <w:color w:val="000000" w:themeColor="text1"/>
                <w:sz w:val="20"/>
                <w:szCs w:val="20"/>
                <w:lang w:val="en-PH"/>
              </w:rPr>
            </w:pPr>
            <w:r w:rsidRPr="009E35ED">
              <w:rPr>
                <w:rFonts w:ascii="Arial Narrow" w:hAnsi="Arial Narrow" w:cs="Calibri"/>
                <w:color w:val="000000" w:themeColor="text1"/>
                <w:sz w:val="20"/>
                <w:szCs w:val="20"/>
              </w:rPr>
              <w:t>Oct 13, 2023</w:t>
            </w:r>
          </w:p>
        </w:tc>
        <w:tc>
          <w:tcPr>
            <w:tcW w:w="1267" w:type="dxa"/>
            <w:noWrap/>
            <w:vAlign w:val="bottom"/>
            <w:hideMark/>
          </w:tcPr>
          <w:p w14:paraId="7F561F3B" w14:textId="77777777" w:rsidR="008D12B3" w:rsidRPr="009E35ED" w:rsidRDefault="008D12B3">
            <w:pPr>
              <w:spacing w:line="256" w:lineRule="auto"/>
              <w:ind w:left="0"/>
              <w:jc w:val="center"/>
              <w:rPr>
                <w:rFonts w:ascii="Arial Narrow" w:hAnsi="Arial Narrow" w:cs="Calibri"/>
                <w:color w:val="000000" w:themeColor="text1"/>
                <w:sz w:val="20"/>
                <w:szCs w:val="20"/>
              </w:rPr>
            </w:pPr>
            <w:r w:rsidRPr="009E35ED">
              <w:rPr>
                <w:rFonts w:ascii="Arial Narrow" w:hAnsi="Arial Narrow" w:cs="Calibri"/>
                <w:color w:val="000000" w:themeColor="text1"/>
                <w:sz w:val="20"/>
                <w:szCs w:val="20"/>
              </w:rPr>
              <w:t>Feb 09, 2024</w:t>
            </w:r>
          </w:p>
        </w:tc>
        <w:tc>
          <w:tcPr>
            <w:tcW w:w="1548" w:type="dxa"/>
            <w:noWrap/>
            <w:vAlign w:val="bottom"/>
            <w:hideMark/>
          </w:tcPr>
          <w:p w14:paraId="25F9152B" w14:textId="77777777" w:rsidR="008D12B3" w:rsidRPr="009E35ED" w:rsidRDefault="008D12B3">
            <w:pPr>
              <w:spacing w:line="256" w:lineRule="auto"/>
              <w:ind w:left="0"/>
              <w:jc w:val="right"/>
              <w:rPr>
                <w:rFonts w:ascii="Arial Narrow" w:hAnsi="Arial Narrow" w:cs="Calibri"/>
                <w:color w:val="000000" w:themeColor="text1"/>
                <w:sz w:val="20"/>
                <w:szCs w:val="20"/>
              </w:rPr>
            </w:pPr>
            <w:r w:rsidRPr="009E35ED">
              <w:rPr>
                <w:rFonts w:ascii="Arial Narrow" w:hAnsi="Arial Narrow" w:cs="Calibri"/>
                <w:color w:val="000000" w:themeColor="text1"/>
                <w:sz w:val="20"/>
                <w:szCs w:val="20"/>
              </w:rPr>
              <w:t>100,000,000</w:t>
            </w:r>
          </w:p>
        </w:tc>
        <w:tc>
          <w:tcPr>
            <w:tcW w:w="1387" w:type="dxa"/>
            <w:noWrap/>
            <w:vAlign w:val="bottom"/>
            <w:hideMark/>
          </w:tcPr>
          <w:p w14:paraId="5FADDA7A" w14:textId="77777777" w:rsidR="008D12B3" w:rsidRPr="009E35ED" w:rsidRDefault="008D12B3">
            <w:pPr>
              <w:spacing w:line="256" w:lineRule="auto"/>
              <w:ind w:left="0"/>
              <w:jc w:val="right"/>
              <w:rPr>
                <w:rFonts w:ascii="Arial Narrow" w:hAnsi="Arial Narrow" w:cs="Calibri"/>
                <w:color w:val="000000" w:themeColor="text1"/>
                <w:sz w:val="20"/>
                <w:szCs w:val="20"/>
              </w:rPr>
            </w:pPr>
            <w:r w:rsidRPr="009E35ED">
              <w:rPr>
                <w:rFonts w:ascii="Arial Narrow" w:hAnsi="Arial Narrow" w:cs="Calibri"/>
                <w:color w:val="000000" w:themeColor="text1"/>
                <w:sz w:val="20"/>
                <w:szCs w:val="20"/>
              </w:rPr>
              <w:t>1,053,333</w:t>
            </w:r>
          </w:p>
        </w:tc>
        <w:tc>
          <w:tcPr>
            <w:tcW w:w="1614" w:type="dxa"/>
            <w:noWrap/>
            <w:vAlign w:val="bottom"/>
            <w:hideMark/>
          </w:tcPr>
          <w:p w14:paraId="2BA35B94" w14:textId="77777777" w:rsidR="008D12B3" w:rsidRPr="009E35ED" w:rsidRDefault="008D12B3">
            <w:pPr>
              <w:spacing w:line="256" w:lineRule="auto"/>
              <w:ind w:left="0"/>
              <w:jc w:val="right"/>
              <w:rPr>
                <w:rFonts w:ascii="Arial Narrow" w:hAnsi="Arial Narrow" w:cs="Calibri"/>
                <w:color w:val="000000" w:themeColor="text1"/>
                <w:sz w:val="20"/>
                <w:szCs w:val="20"/>
              </w:rPr>
            </w:pPr>
            <w:r w:rsidRPr="009E35ED">
              <w:rPr>
                <w:rFonts w:ascii="Arial Narrow" w:hAnsi="Arial Narrow" w:cs="Calibri"/>
                <w:color w:val="000000" w:themeColor="text1"/>
                <w:sz w:val="20"/>
                <w:szCs w:val="20"/>
              </w:rPr>
              <w:t>101,053,333</w:t>
            </w:r>
          </w:p>
        </w:tc>
        <w:tc>
          <w:tcPr>
            <w:tcW w:w="1614" w:type="dxa"/>
            <w:noWrap/>
            <w:vAlign w:val="bottom"/>
            <w:hideMark/>
          </w:tcPr>
          <w:p w14:paraId="34FD0DC4" w14:textId="77777777" w:rsidR="008D12B3" w:rsidRPr="009E35ED" w:rsidRDefault="008D12B3">
            <w:pPr>
              <w:spacing w:line="256" w:lineRule="auto"/>
              <w:ind w:left="0"/>
              <w:jc w:val="right"/>
              <w:rPr>
                <w:rFonts w:ascii="Arial Narrow" w:hAnsi="Arial Narrow" w:cs="Calibri"/>
                <w:color w:val="000000" w:themeColor="text1"/>
                <w:sz w:val="20"/>
                <w:szCs w:val="20"/>
              </w:rPr>
            </w:pPr>
            <w:r w:rsidRPr="009E35ED">
              <w:rPr>
                <w:rFonts w:ascii="Arial Narrow" w:hAnsi="Arial Narrow" w:cs="Calibri"/>
                <w:color w:val="000000" w:themeColor="text1"/>
                <w:sz w:val="20"/>
                <w:szCs w:val="20"/>
              </w:rPr>
              <w:t>101,586,667</w:t>
            </w:r>
          </w:p>
        </w:tc>
      </w:tr>
      <w:tr w:rsidR="00997F75" w:rsidRPr="009E35ED" w14:paraId="0158BB14" w14:textId="77777777" w:rsidTr="003D0E7E">
        <w:trPr>
          <w:trHeight w:val="248"/>
        </w:trPr>
        <w:tc>
          <w:tcPr>
            <w:tcW w:w="1497" w:type="dxa"/>
            <w:noWrap/>
            <w:vAlign w:val="bottom"/>
            <w:hideMark/>
          </w:tcPr>
          <w:p w14:paraId="5A6BEC79" w14:textId="77777777" w:rsidR="008D12B3" w:rsidRPr="009E35ED" w:rsidRDefault="008D12B3">
            <w:pPr>
              <w:spacing w:line="256" w:lineRule="auto"/>
              <w:ind w:left="0"/>
              <w:jc w:val="center"/>
              <w:rPr>
                <w:rFonts w:ascii="Arial Narrow" w:hAnsi="Arial Narrow" w:cs="Calibri"/>
                <w:color w:val="000000" w:themeColor="text1"/>
                <w:sz w:val="20"/>
                <w:szCs w:val="20"/>
                <w:lang w:val="en-PH"/>
              </w:rPr>
            </w:pPr>
            <w:r w:rsidRPr="009E35ED">
              <w:rPr>
                <w:rFonts w:ascii="Arial Narrow" w:hAnsi="Arial Narrow" w:cs="Calibri"/>
                <w:color w:val="000000" w:themeColor="text1"/>
                <w:sz w:val="20"/>
                <w:szCs w:val="20"/>
              </w:rPr>
              <w:t>Oct 13, 2023</w:t>
            </w:r>
          </w:p>
        </w:tc>
        <w:tc>
          <w:tcPr>
            <w:tcW w:w="1267" w:type="dxa"/>
            <w:noWrap/>
            <w:vAlign w:val="bottom"/>
            <w:hideMark/>
          </w:tcPr>
          <w:p w14:paraId="795BCCC6" w14:textId="77777777" w:rsidR="008D12B3" w:rsidRPr="009E35ED" w:rsidRDefault="008D12B3">
            <w:pPr>
              <w:spacing w:line="256" w:lineRule="auto"/>
              <w:ind w:left="0"/>
              <w:jc w:val="center"/>
              <w:rPr>
                <w:rFonts w:ascii="Arial Narrow" w:hAnsi="Arial Narrow" w:cs="Calibri"/>
                <w:color w:val="000000" w:themeColor="text1"/>
                <w:sz w:val="20"/>
                <w:szCs w:val="20"/>
              </w:rPr>
            </w:pPr>
            <w:r w:rsidRPr="009E35ED">
              <w:rPr>
                <w:rFonts w:ascii="Arial Narrow" w:hAnsi="Arial Narrow" w:cs="Calibri"/>
                <w:color w:val="000000" w:themeColor="text1"/>
                <w:sz w:val="20"/>
                <w:szCs w:val="20"/>
              </w:rPr>
              <w:t>Feb 09, 2024</w:t>
            </w:r>
          </w:p>
        </w:tc>
        <w:tc>
          <w:tcPr>
            <w:tcW w:w="1548" w:type="dxa"/>
            <w:noWrap/>
            <w:vAlign w:val="bottom"/>
            <w:hideMark/>
          </w:tcPr>
          <w:p w14:paraId="51CBBA92" w14:textId="77777777" w:rsidR="008D12B3" w:rsidRPr="009E35ED" w:rsidRDefault="008D12B3">
            <w:pPr>
              <w:spacing w:line="256" w:lineRule="auto"/>
              <w:ind w:left="0"/>
              <w:jc w:val="right"/>
              <w:rPr>
                <w:rFonts w:ascii="Arial Narrow" w:hAnsi="Arial Narrow" w:cs="Calibri"/>
                <w:color w:val="000000" w:themeColor="text1"/>
                <w:sz w:val="20"/>
                <w:szCs w:val="20"/>
              </w:rPr>
            </w:pPr>
            <w:r w:rsidRPr="009E35ED">
              <w:rPr>
                <w:rFonts w:ascii="Arial Narrow" w:hAnsi="Arial Narrow" w:cs="Calibri"/>
                <w:color w:val="000000" w:themeColor="text1"/>
                <w:sz w:val="20"/>
                <w:szCs w:val="20"/>
              </w:rPr>
              <w:t>100,000,000</w:t>
            </w:r>
          </w:p>
        </w:tc>
        <w:tc>
          <w:tcPr>
            <w:tcW w:w="1387" w:type="dxa"/>
            <w:noWrap/>
            <w:vAlign w:val="bottom"/>
            <w:hideMark/>
          </w:tcPr>
          <w:p w14:paraId="0FC14996" w14:textId="77777777" w:rsidR="008D12B3" w:rsidRPr="009E35ED" w:rsidRDefault="008D12B3">
            <w:pPr>
              <w:spacing w:line="256" w:lineRule="auto"/>
              <w:ind w:left="0"/>
              <w:jc w:val="right"/>
              <w:rPr>
                <w:rFonts w:ascii="Arial Narrow" w:hAnsi="Arial Narrow" w:cs="Calibri"/>
                <w:color w:val="000000" w:themeColor="text1"/>
                <w:sz w:val="20"/>
                <w:szCs w:val="20"/>
              </w:rPr>
            </w:pPr>
            <w:r w:rsidRPr="009E35ED">
              <w:rPr>
                <w:rFonts w:ascii="Arial Narrow" w:hAnsi="Arial Narrow" w:cs="Calibri"/>
                <w:color w:val="000000" w:themeColor="text1"/>
                <w:sz w:val="20"/>
                <w:szCs w:val="20"/>
              </w:rPr>
              <w:t>1,053,333</w:t>
            </w:r>
          </w:p>
        </w:tc>
        <w:tc>
          <w:tcPr>
            <w:tcW w:w="1614" w:type="dxa"/>
            <w:noWrap/>
            <w:vAlign w:val="bottom"/>
            <w:hideMark/>
          </w:tcPr>
          <w:p w14:paraId="0530AB1B" w14:textId="77777777" w:rsidR="008D12B3" w:rsidRPr="009E35ED" w:rsidRDefault="008D12B3">
            <w:pPr>
              <w:spacing w:line="256" w:lineRule="auto"/>
              <w:ind w:left="0"/>
              <w:jc w:val="right"/>
              <w:rPr>
                <w:rFonts w:ascii="Arial Narrow" w:hAnsi="Arial Narrow" w:cs="Calibri"/>
                <w:color w:val="000000" w:themeColor="text1"/>
                <w:sz w:val="20"/>
                <w:szCs w:val="20"/>
              </w:rPr>
            </w:pPr>
            <w:r w:rsidRPr="009E35ED">
              <w:rPr>
                <w:rFonts w:ascii="Arial Narrow" w:hAnsi="Arial Narrow" w:cs="Calibri"/>
                <w:color w:val="000000" w:themeColor="text1"/>
                <w:sz w:val="20"/>
                <w:szCs w:val="20"/>
              </w:rPr>
              <w:t>101,053,333</w:t>
            </w:r>
          </w:p>
        </w:tc>
        <w:tc>
          <w:tcPr>
            <w:tcW w:w="1614" w:type="dxa"/>
            <w:noWrap/>
            <w:vAlign w:val="bottom"/>
            <w:hideMark/>
          </w:tcPr>
          <w:p w14:paraId="3720D358" w14:textId="77777777" w:rsidR="008D12B3" w:rsidRPr="009E35ED" w:rsidRDefault="008D12B3">
            <w:pPr>
              <w:spacing w:line="256" w:lineRule="auto"/>
              <w:ind w:left="0"/>
              <w:jc w:val="right"/>
              <w:rPr>
                <w:rFonts w:ascii="Arial Narrow" w:hAnsi="Arial Narrow" w:cs="Calibri"/>
                <w:color w:val="000000" w:themeColor="text1"/>
                <w:sz w:val="20"/>
                <w:szCs w:val="20"/>
              </w:rPr>
            </w:pPr>
            <w:r w:rsidRPr="009E35ED">
              <w:rPr>
                <w:rFonts w:ascii="Arial Narrow" w:hAnsi="Arial Narrow" w:cs="Calibri"/>
                <w:color w:val="000000" w:themeColor="text1"/>
                <w:sz w:val="20"/>
                <w:szCs w:val="20"/>
              </w:rPr>
              <w:t>101,586,667</w:t>
            </w:r>
          </w:p>
        </w:tc>
      </w:tr>
      <w:tr w:rsidR="00997F75" w:rsidRPr="009E35ED" w14:paraId="04CAD150" w14:textId="77777777" w:rsidTr="003D0E7E">
        <w:trPr>
          <w:trHeight w:val="248"/>
        </w:trPr>
        <w:tc>
          <w:tcPr>
            <w:tcW w:w="1497" w:type="dxa"/>
            <w:noWrap/>
            <w:vAlign w:val="bottom"/>
            <w:hideMark/>
          </w:tcPr>
          <w:p w14:paraId="440D9527" w14:textId="77777777" w:rsidR="008D12B3" w:rsidRPr="009E35ED" w:rsidRDefault="008D12B3">
            <w:pPr>
              <w:spacing w:line="256" w:lineRule="auto"/>
              <w:ind w:left="0"/>
              <w:jc w:val="center"/>
              <w:rPr>
                <w:rFonts w:ascii="Arial Narrow" w:hAnsi="Arial Narrow" w:cs="Calibri"/>
                <w:color w:val="000000" w:themeColor="text1"/>
                <w:sz w:val="20"/>
                <w:szCs w:val="20"/>
                <w:lang w:val="en-PH"/>
              </w:rPr>
            </w:pPr>
            <w:r w:rsidRPr="009E35ED">
              <w:rPr>
                <w:rFonts w:ascii="Arial Narrow" w:hAnsi="Arial Narrow" w:cs="Calibri"/>
                <w:color w:val="000000" w:themeColor="text1"/>
                <w:sz w:val="20"/>
                <w:szCs w:val="20"/>
              </w:rPr>
              <w:t>Oct 13, 2023</w:t>
            </w:r>
          </w:p>
        </w:tc>
        <w:tc>
          <w:tcPr>
            <w:tcW w:w="1267" w:type="dxa"/>
            <w:noWrap/>
            <w:vAlign w:val="bottom"/>
            <w:hideMark/>
          </w:tcPr>
          <w:p w14:paraId="581FDD6C" w14:textId="77777777" w:rsidR="008D12B3" w:rsidRPr="009E35ED" w:rsidRDefault="008D12B3">
            <w:pPr>
              <w:spacing w:line="256" w:lineRule="auto"/>
              <w:ind w:left="0"/>
              <w:jc w:val="center"/>
              <w:rPr>
                <w:rFonts w:ascii="Arial Narrow" w:hAnsi="Arial Narrow" w:cs="Calibri"/>
                <w:color w:val="000000" w:themeColor="text1"/>
                <w:sz w:val="20"/>
                <w:szCs w:val="20"/>
              </w:rPr>
            </w:pPr>
            <w:r w:rsidRPr="009E35ED">
              <w:rPr>
                <w:rFonts w:ascii="Arial Narrow" w:hAnsi="Arial Narrow" w:cs="Calibri"/>
                <w:color w:val="000000" w:themeColor="text1"/>
                <w:sz w:val="20"/>
                <w:szCs w:val="20"/>
              </w:rPr>
              <w:t>Feb 09, 2024</w:t>
            </w:r>
          </w:p>
        </w:tc>
        <w:tc>
          <w:tcPr>
            <w:tcW w:w="1548" w:type="dxa"/>
            <w:noWrap/>
            <w:vAlign w:val="bottom"/>
            <w:hideMark/>
          </w:tcPr>
          <w:p w14:paraId="597E5EE3" w14:textId="77777777" w:rsidR="008D12B3" w:rsidRPr="009E35ED" w:rsidRDefault="008D12B3">
            <w:pPr>
              <w:spacing w:line="256" w:lineRule="auto"/>
              <w:ind w:left="0"/>
              <w:jc w:val="right"/>
              <w:rPr>
                <w:rFonts w:ascii="Arial Narrow" w:hAnsi="Arial Narrow" w:cs="Calibri"/>
                <w:color w:val="000000" w:themeColor="text1"/>
                <w:sz w:val="20"/>
                <w:szCs w:val="20"/>
              </w:rPr>
            </w:pPr>
            <w:r w:rsidRPr="009E35ED">
              <w:rPr>
                <w:rFonts w:ascii="Arial Narrow" w:hAnsi="Arial Narrow" w:cs="Calibri"/>
                <w:color w:val="000000" w:themeColor="text1"/>
                <w:sz w:val="20"/>
                <w:szCs w:val="20"/>
              </w:rPr>
              <w:t>100,000,000</w:t>
            </w:r>
          </w:p>
        </w:tc>
        <w:tc>
          <w:tcPr>
            <w:tcW w:w="1387" w:type="dxa"/>
            <w:noWrap/>
            <w:vAlign w:val="bottom"/>
            <w:hideMark/>
          </w:tcPr>
          <w:p w14:paraId="600AFE75" w14:textId="77777777" w:rsidR="008D12B3" w:rsidRPr="009E35ED" w:rsidRDefault="008D12B3">
            <w:pPr>
              <w:spacing w:line="256" w:lineRule="auto"/>
              <w:ind w:left="0"/>
              <w:jc w:val="right"/>
              <w:rPr>
                <w:rFonts w:ascii="Arial Narrow" w:hAnsi="Arial Narrow" w:cs="Calibri"/>
                <w:color w:val="000000" w:themeColor="text1"/>
                <w:sz w:val="20"/>
                <w:szCs w:val="20"/>
              </w:rPr>
            </w:pPr>
            <w:r w:rsidRPr="009E35ED">
              <w:rPr>
                <w:rFonts w:ascii="Arial Narrow" w:hAnsi="Arial Narrow" w:cs="Calibri"/>
                <w:color w:val="000000" w:themeColor="text1"/>
                <w:sz w:val="20"/>
                <w:szCs w:val="20"/>
              </w:rPr>
              <w:t>1,053,333</w:t>
            </w:r>
          </w:p>
        </w:tc>
        <w:tc>
          <w:tcPr>
            <w:tcW w:w="1614" w:type="dxa"/>
            <w:noWrap/>
            <w:vAlign w:val="bottom"/>
            <w:hideMark/>
          </w:tcPr>
          <w:p w14:paraId="20D0C019" w14:textId="77777777" w:rsidR="008D12B3" w:rsidRPr="009E35ED" w:rsidRDefault="008D12B3">
            <w:pPr>
              <w:spacing w:line="256" w:lineRule="auto"/>
              <w:ind w:left="0"/>
              <w:jc w:val="right"/>
              <w:rPr>
                <w:rFonts w:ascii="Arial Narrow" w:hAnsi="Arial Narrow" w:cs="Calibri"/>
                <w:color w:val="000000" w:themeColor="text1"/>
                <w:sz w:val="20"/>
                <w:szCs w:val="20"/>
              </w:rPr>
            </w:pPr>
            <w:r w:rsidRPr="009E35ED">
              <w:rPr>
                <w:rFonts w:ascii="Arial Narrow" w:hAnsi="Arial Narrow" w:cs="Calibri"/>
                <w:color w:val="000000" w:themeColor="text1"/>
                <w:sz w:val="20"/>
                <w:szCs w:val="20"/>
              </w:rPr>
              <w:t>101,053,333</w:t>
            </w:r>
          </w:p>
        </w:tc>
        <w:tc>
          <w:tcPr>
            <w:tcW w:w="1614" w:type="dxa"/>
            <w:noWrap/>
            <w:vAlign w:val="bottom"/>
            <w:hideMark/>
          </w:tcPr>
          <w:p w14:paraId="036640A6" w14:textId="77777777" w:rsidR="008D12B3" w:rsidRPr="009E35ED" w:rsidRDefault="008D12B3">
            <w:pPr>
              <w:spacing w:line="256" w:lineRule="auto"/>
              <w:ind w:left="0"/>
              <w:jc w:val="right"/>
              <w:rPr>
                <w:rFonts w:ascii="Arial Narrow" w:hAnsi="Arial Narrow" w:cs="Calibri"/>
                <w:color w:val="000000" w:themeColor="text1"/>
                <w:sz w:val="20"/>
                <w:szCs w:val="20"/>
              </w:rPr>
            </w:pPr>
            <w:r w:rsidRPr="009E35ED">
              <w:rPr>
                <w:rFonts w:ascii="Arial Narrow" w:hAnsi="Arial Narrow" w:cs="Calibri"/>
                <w:color w:val="000000" w:themeColor="text1"/>
                <w:sz w:val="20"/>
                <w:szCs w:val="20"/>
              </w:rPr>
              <w:t>101,586,667</w:t>
            </w:r>
          </w:p>
        </w:tc>
      </w:tr>
      <w:tr w:rsidR="00997F75" w:rsidRPr="009E35ED" w14:paraId="14E8FA5A" w14:textId="77777777" w:rsidTr="003D0E7E">
        <w:trPr>
          <w:trHeight w:val="248"/>
        </w:trPr>
        <w:tc>
          <w:tcPr>
            <w:tcW w:w="1497" w:type="dxa"/>
            <w:noWrap/>
            <w:vAlign w:val="bottom"/>
            <w:hideMark/>
          </w:tcPr>
          <w:p w14:paraId="73CC9598" w14:textId="77777777" w:rsidR="008D12B3" w:rsidRPr="009E35ED" w:rsidRDefault="008D12B3">
            <w:pPr>
              <w:spacing w:line="256" w:lineRule="auto"/>
              <w:ind w:left="0"/>
              <w:jc w:val="center"/>
              <w:rPr>
                <w:rFonts w:ascii="Arial Narrow" w:hAnsi="Arial Narrow" w:cs="Calibri"/>
                <w:color w:val="000000" w:themeColor="text1"/>
                <w:sz w:val="20"/>
                <w:szCs w:val="20"/>
                <w:lang w:val="en-PH"/>
              </w:rPr>
            </w:pPr>
            <w:r w:rsidRPr="009E35ED">
              <w:rPr>
                <w:rFonts w:ascii="Arial Narrow" w:hAnsi="Arial Narrow" w:cs="Calibri"/>
                <w:color w:val="000000" w:themeColor="text1"/>
                <w:sz w:val="20"/>
                <w:szCs w:val="20"/>
              </w:rPr>
              <w:t>Oct 13, 2023</w:t>
            </w:r>
          </w:p>
        </w:tc>
        <w:tc>
          <w:tcPr>
            <w:tcW w:w="1267" w:type="dxa"/>
            <w:noWrap/>
            <w:vAlign w:val="bottom"/>
            <w:hideMark/>
          </w:tcPr>
          <w:p w14:paraId="0A93D684" w14:textId="77777777" w:rsidR="008D12B3" w:rsidRPr="009E35ED" w:rsidRDefault="008D12B3">
            <w:pPr>
              <w:spacing w:line="256" w:lineRule="auto"/>
              <w:ind w:left="0"/>
              <w:jc w:val="center"/>
              <w:rPr>
                <w:rFonts w:ascii="Arial Narrow" w:hAnsi="Arial Narrow" w:cs="Calibri"/>
                <w:color w:val="000000" w:themeColor="text1"/>
                <w:sz w:val="20"/>
                <w:szCs w:val="20"/>
              </w:rPr>
            </w:pPr>
            <w:r w:rsidRPr="009E35ED">
              <w:rPr>
                <w:rFonts w:ascii="Arial Narrow" w:hAnsi="Arial Narrow" w:cs="Calibri"/>
                <w:color w:val="000000" w:themeColor="text1"/>
                <w:sz w:val="20"/>
                <w:szCs w:val="20"/>
              </w:rPr>
              <w:t>Feb 09, 2024</w:t>
            </w:r>
          </w:p>
        </w:tc>
        <w:tc>
          <w:tcPr>
            <w:tcW w:w="1548" w:type="dxa"/>
            <w:noWrap/>
            <w:vAlign w:val="bottom"/>
            <w:hideMark/>
          </w:tcPr>
          <w:p w14:paraId="649947D0" w14:textId="77777777" w:rsidR="008D12B3" w:rsidRPr="009E35ED" w:rsidRDefault="008D12B3">
            <w:pPr>
              <w:spacing w:line="256" w:lineRule="auto"/>
              <w:ind w:left="0"/>
              <w:jc w:val="right"/>
              <w:rPr>
                <w:rFonts w:ascii="Arial Narrow" w:hAnsi="Arial Narrow" w:cs="Calibri"/>
                <w:color w:val="000000" w:themeColor="text1"/>
                <w:sz w:val="20"/>
                <w:szCs w:val="20"/>
              </w:rPr>
            </w:pPr>
            <w:r w:rsidRPr="009E35ED">
              <w:rPr>
                <w:rFonts w:ascii="Arial Narrow" w:hAnsi="Arial Narrow" w:cs="Calibri"/>
                <w:color w:val="000000" w:themeColor="text1"/>
                <w:sz w:val="20"/>
                <w:szCs w:val="20"/>
              </w:rPr>
              <w:t>100,000,000</w:t>
            </w:r>
          </w:p>
        </w:tc>
        <w:tc>
          <w:tcPr>
            <w:tcW w:w="1387" w:type="dxa"/>
            <w:noWrap/>
            <w:vAlign w:val="bottom"/>
            <w:hideMark/>
          </w:tcPr>
          <w:p w14:paraId="6764E9CD" w14:textId="77777777" w:rsidR="008D12B3" w:rsidRPr="009E35ED" w:rsidRDefault="008D12B3">
            <w:pPr>
              <w:spacing w:line="256" w:lineRule="auto"/>
              <w:ind w:left="0"/>
              <w:jc w:val="right"/>
              <w:rPr>
                <w:rFonts w:ascii="Arial Narrow" w:hAnsi="Arial Narrow" w:cs="Calibri"/>
                <w:color w:val="000000" w:themeColor="text1"/>
                <w:sz w:val="20"/>
                <w:szCs w:val="20"/>
              </w:rPr>
            </w:pPr>
            <w:r w:rsidRPr="009E35ED">
              <w:rPr>
                <w:rFonts w:ascii="Arial Narrow" w:hAnsi="Arial Narrow" w:cs="Calibri"/>
                <w:color w:val="000000" w:themeColor="text1"/>
                <w:sz w:val="20"/>
                <w:szCs w:val="20"/>
              </w:rPr>
              <w:t>1,053,333</w:t>
            </w:r>
          </w:p>
        </w:tc>
        <w:tc>
          <w:tcPr>
            <w:tcW w:w="1614" w:type="dxa"/>
            <w:noWrap/>
            <w:vAlign w:val="bottom"/>
            <w:hideMark/>
          </w:tcPr>
          <w:p w14:paraId="256A4540" w14:textId="77777777" w:rsidR="008D12B3" w:rsidRPr="009E35ED" w:rsidRDefault="008D12B3">
            <w:pPr>
              <w:spacing w:line="256" w:lineRule="auto"/>
              <w:ind w:left="0"/>
              <w:jc w:val="right"/>
              <w:rPr>
                <w:rFonts w:ascii="Arial Narrow" w:hAnsi="Arial Narrow" w:cs="Calibri"/>
                <w:color w:val="000000" w:themeColor="text1"/>
                <w:sz w:val="20"/>
                <w:szCs w:val="20"/>
              </w:rPr>
            </w:pPr>
            <w:r w:rsidRPr="009E35ED">
              <w:rPr>
                <w:rFonts w:ascii="Arial Narrow" w:hAnsi="Arial Narrow" w:cs="Calibri"/>
                <w:color w:val="000000" w:themeColor="text1"/>
                <w:sz w:val="20"/>
                <w:szCs w:val="20"/>
              </w:rPr>
              <w:t>101,053,333</w:t>
            </w:r>
          </w:p>
        </w:tc>
        <w:tc>
          <w:tcPr>
            <w:tcW w:w="1614" w:type="dxa"/>
            <w:noWrap/>
            <w:vAlign w:val="bottom"/>
            <w:hideMark/>
          </w:tcPr>
          <w:p w14:paraId="78EF71AD" w14:textId="77777777" w:rsidR="008D12B3" w:rsidRPr="009E35ED" w:rsidRDefault="008D12B3">
            <w:pPr>
              <w:spacing w:line="256" w:lineRule="auto"/>
              <w:ind w:left="0"/>
              <w:jc w:val="right"/>
              <w:rPr>
                <w:rFonts w:ascii="Arial Narrow" w:hAnsi="Arial Narrow" w:cs="Calibri"/>
                <w:color w:val="000000" w:themeColor="text1"/>
                <w:sz w:val="20"/>
                <w:szCs w:val="20"/>
              </w:rPr>
            </w:pPr>
            <w:r w:rsidRPr="009E35ED">
              <w:rPr>
                <w:rFonts w:ascii="Arial Narrow" w:hAnsi="Arial Narrow" w:cs="Calibri"/>
                <w:color w:val="000000" w:themeColor="text1"/>
                <w:sz w:val="20"/>
                <w:szCs w:val="20"/>
              </w:rPr>
              <w:t>101,586,667</w:t>
            </w:r>
          </w:p>
        </w:tc>
      </w:tr>
      <w:tr w:rsidR="00997F75" w:rsidRPr="009E35ED" w14:paraId="390A2752" w14:textId="77777777" w:rsidTr="003D0E7E">
        <w:trPr>
          <w:trHeight w:val="248"/>
        </w:trPr>
        <w:tc>
          <w:tcPr>
            <w:tcW w:w="1497" w:type="dxa"/>
            <w:noWrap/>
            <w:vAlign w:val="bottom"/>
            <w:hideMark/>
          </w:tcPr>
          <w:p w14:paraId="48D915F4" w14:textId="77777777" w:rsidR="008D12B3" w:rsidRPr="009E35ED" w:rsidRDefault="008D12B3">
            <w:pPr>
              <w:spacing w:line="256" w:lineRule="auto"/>
              <w:ind w:left="0"/>
              <w:jc w:val="center"/>
              <w:rPr>
                <w:rFonts w:ascii="Arial Narrow" w:hAnsi="Arial Narrow" w:cs="Calibri"/>
                <w:color w:val="000000" w:themeColor="text1"/>
                <w:sz w:val="20"/>
                <w:szCs w:val="20"/>
                <w:lang w:val="en-PH"/>
              </w:rPr>
            </w:pPr>
            <w:r w:rsidRPr="009E35ED">
              <w:rPr>
                <w:rFonts w:ascii="Arial Narrow" w:hAnsi="Arial Narrow" w:cs="Calibri"/>
                <w:color w:val="000000" w:themeColor="text1"/>
                <w:sz w:val="20"/>
                <w:szCs w:val="20"/>
              </w:rPr>
              <w:t>Oct 13, 2023</w:t>
            </w:r>
          </w:p>
        </w:tc>
        <w:tc>
          <w:tcPr>
            <w:tcW w:w="1267" w:type="dxa"/>
            <w:noWrap/>
            <w:vAlign w:val="bottom"/>
            <w:hideMark/>
          </w:tcPr>
          <w:p w14:paraId="4B2C0184" w14:textId="77777777" w:rsidR="008D12B3" w:rsidRPr="009E35ED" w:rsidRDefault="008D12B3">
            <w:pPr>
              <w:spacing w:line="256" w:lineRule="auto"/>
              <w:ind w:left="0"/>
              <w:jc w:val="center"/>
              <w:rPr>
                <w:rFonts w:ascii="Arial Narrow" w:hAnsi="Arial Narrow" w:cs="Calibri"/>
                <w:color w:val="000000" w:themeColor="text1"/>
                <w:sz w:val="20"/>
                <w:szCs w:val="20"/>
              </w:rPr>
            </w:pPr>
            <w:r w:rsidRPr="009E35ED">
              <w:rPr>
                <w:rFonts w:ascii="Arial Narrow" w:hAnsi="Arial Narrow" w:cs="Calibri"/>
                <w:color w:val="000000" w:themeColor="text1"/>
                <w:sz w:val="20"/>
                <w:szCs w:val="20"/>
              </w:rPr>
              <w:t>Feb 09, 2024</w:t>
            </w:r>
          </w:p>
        </w:tc>
        <w:tc>
          <w:tcPr>
            <w:tcW w:w="1548" w:type="dxa"/>
            <w:noWrap/>
            <w:vAlign w:val="bottom"/>
            <w:hideMark/>
          </w:tcPr>
          <w:p w14:paraId="7242F08E" w14:textId="77777777" w:rsidR="008D12B3" w:rsidRPr="009E35ED" w:rsidRDefault="008D12B3">
            <w:pPr>
              <w:spacing w:line="256" w:lineRule="auto"/>
              <w:ind w:left="0"/>
              <w:jc w:val="right"/>
              <w:rPr>
                <w:rFonts w:ascii="Arial Narrow" w:hAnsi="Arial Narrow" w:cs="Calibri"/>
                <w:color w:val="000000" w:themeColor="text1"/>
                <w:sz w:val="20"/>
                <w:szCs w:val="20"/>
              </w:rPr>
            </w:pPr>
            <w:r w:rsidRPr="009E35ED">
              <w:rPr>
                <w:rFonts w:ascii="Arial Narrow" w:hAnsi="Arial Narrow" w:cs="Calibri"/>
                <w:color w:val="000000" w:themeColor="text1"/>
                <w:sz w:val="20"/>
                <w:szCs w:val="20"/>
              </w:rPr>
              <w:t>100,000,000</w:t>
            </w:r>
          </w:p>
        </w:tc>
        <w:tc>
          <w:tcPr>
            <w:tcW w:w="1387" w:type="dxa"/>
            <w:noWrap/>
            <w:vAlign w:val="bottom"/>
            <w:hideMark/>
          </w:tcPr>
          <w:p w14:paraId="0D135BFE" w14:textId="77777777" w:rsidR="008D12B3" w:rsidRPr="009E35ED" w:rsidRDefault="008D12B3">
            <w:pPr>
              <w:spacing w:line="256" w:lineRule="auto"/>
              <w:ind w:left="0"/>
              <w:jc w:val="right"/>
              <w:rPr>
                <w:rFonts w:ascii="Arial Narrow" w:hAnsi="Arial Narrow" w:cs="Calibri"/>
                <w:color w:val="000000" w:themeColor="text1"/>
                <w:sz w:val="20"/>
                <w:szCs w:val="20"/>
              </w:rPr>
            </w:pPr>
            <w:r w:rsidRPr="009E35ED">
              <w:rPr>
                <w:rFonts w:ascii="Arial Narrow" w:hAnsi="Arial Narrow" w:cs="Calibri"/>
                <w:color w:val="000000" w:themeColor="text1"/>
                <w:sz w:val="20"/>
                <w:szCs w:val="20"/>
              </w:rPr>
              <w:t>1,053,333</w:t>
            </w:r>
          </w:p>
        </w:tc>
        <w:tc>
          <w:tcPr>
            <w:tcW w:w="1614" w:type="dxa"/>
            <w:noWrap/>
            <w:vAlign w:val="bottom"/>
            <w:hideMark/>
          </w:tcPr>
          <w:p w14:paraId="3ABCE209" w14:textId="77777777" w:rsidR="008D12B3" w:rsidRPr="009E35ED" w:rsidRDefault="008D12B3">
            <w:pPr>
              <w:spacing w:line="256" w:lineRule="auto"/>
              <w:ind w:left="0"/>
              <w:jc w:val="right"/>
              <w:rPr>
                <w:rFonts w:ascii="Arial Narrow" w:hAnsi="Arial Narrow" w:cs="Calibri"/>
                <w:color w:val="000000" w:themeColor="text1"/>
                <w:sz w:val="20"/>
                <w:szCs w:val="20"/>
              </w:rPr>
            </w:pPr>
            <w:r w:rsidRPr="009E35ED">
              <w:rPr>
                <w:rFonts w:ascii="Arial Narrow" w:hAnsi="Arial Narrow" w:cs="Calibri"/>
                <w:color w:val="000000" w:themeColor="text1"/>
                <w:sz w:val="20"/>
                <w:szCs w:val="20"/>
              </w:rPr>
              <w:t>101,053,333</w:t>
            </w:r>
          </w:p>
        </w:tc>
        <w:tc>
          <w:tcPr>
            <w:tcW w:w="1614" w:type="dxa"/>
            <w:noWrap/>
            <w:vAlign w:val="bottom"/>
            <w:hideMark/>
          </w:tcPr>
          <w:p w14:paraId="7B384709" w14:textId="77777777" w:rsidR="008D12B3" w:rsidRPr="009E35ED" w:rsidRDefault="008D12B3">
            <w:pPr>
              <w:spacing w:line="256" w:lineRule="auto"/>
              <w:ind w:left="0"/>
              <w:jc w:val="right"/>
              <w:rPr>
                <w:rFonts w:ascii="Arial Narrow" w:hAnsi="Arial Narrow" w:cs="Calibri"/>
                <w:color w:val="000000" w:themeColor="text1"/>
                <w:sz w:val="20"/>
                <w:szCs w:val="20"/>
              </w:rPr>
            </w:pPr>
            <w:r w:rsidRPr="009E35ED">
              <w:rPr>
                <w:rFonts w:ascii="Arial Narrow" w:hAnsi="Arial Narrow" w:cs="Calibri"/>
                <w:color w:val="000000" w:themeColor="text1"/>
                <w:sz w:val="20"/>
                <w:szCs w:val="20"/>
              </w:rPr>
              <w:t>101,586,667</w:t>
            </w:r>
          </w:p>
        </w:tc>
      </w:tr>
      <w:tr w:rsidR="00997F75" w:rsidRPr="009E35ED" w14:paraId="65EEED90" w14:textId="77777777" w:rsidTr="003D0E7E">
        <w:trPr>
          <w:trHeight w:val="248"/>
        </w:trPr>
        <w:tc>
          <w:tcPr>
            <w:tcW w:w="1497" w:type="dxa"/>
            <w:noWrap/>
            <w:vAlign w:val="bottom"/>
            <w:hideMark/>
          </w:tcPr>
          <w:p w14:paraId="559342CA" w14:textId="77777777" w:rsidR="008D12B3" w:rsidRPr="009E35ED" w:rsidRDefault="008D12B3">
            <w:pPr>
              <w:spacing w:line="256" w:lineRule="auto"/>
              <w:ind w:left="0"/>
              <w:jc w:val="center"/>
              <w:rPr>
                <w:rFonts w:ascii="Arial Narrow" w:hAnsi="Arial Narrow" w:cs="Calibri"/>
                <w:color w:val="000000" w:themeColor="text1"/>
                <w:sz w:val="20"/>
                <w:szCs w:val="20"/>
                <w:lang w:val="en-PH"/>
              </w:rPr>
            </w:pPr>
            <w:r w:rsidRPr="009E35ED">
              <w:rPr>
                <w:rFonts w:ascii="Arial Narrow" w:hAnsi="Arial Narrow" w:cs="Calibri"/>
                <w:color w:val="000000" w:themeColor="text1"/>
                <w:sz w:val="20"/>
                <w:szCs w:val="20"/>
              </w:rPr>
              <w:t>Oct 13, 2023</w:t>
            </w:r>
          </w:p>
        </w:tc>
        <w:tc>
          <w:tcPr>
            <w:tcW w:w="1267" w:type="dxa"/>
            <w:noWrap/>
            <w:vAlign w:val="bottom"/>
            <w:hideMark/>
          </w:tcPr>
          <w:p w14:paraId="0D761C99" w14:textId="77777777" w:rsidR="008D12B3" w:rsidRPr="009E35ED" w:rsidRDefault="008D12B3">
            <w:pPr>
              <w:spacing w:line="256" w:lineRule="auto"/>
              <w:ind w:left="0"/>
              <w:jc w:val="center"/>
              <w:rPr>
                <w:rFonts w:ascii="Arial Narrow" w:hAnsi="Arial Narrow" w:cs="Calibri"/>
                <w:color w:val="000000" w:themeColor="text1"/>
                <w:sz w:val="20"/>
                <w:szCs w:val="20"/>
              </w:rPr>
            </w:pPr>
            <w:r w:rsidRPr="009E35ED">
              <w:rPr>
                <w:rFonts w:ascii="Arial Narrow" w:hAnsi="Arial Narrow" w:cs="Calibri"/>
                <w:color w:val="000000" w:themeColor="text1"/>
                <w:sz w:val="20"/>
                <w:szCs w:val="20"/>
              </w:rPr>
              <w:t>Feb 09, 2024</w:t>
            </w:r>
          </w:p>
        </w:tc>
        <w:tc>
          <w:tcPr>
            <w:tcW w:w="1548" w:type="dxa"/>
            <w:noWrap/>
            <w:vAlign w:val="bottom"/>
            <w:hideMark/>
          </w:tcPr>
          <w:p w14:paraId="0733CB90" w14:textId="77777777" w:rsidR="008D12B3" w:rsidRPr="009E35ED" w:rsidRDefault="008D12B3">
            <w:pPr>
              <w:spacing w:line="256" w:lineRule="auto"/>
              <w:ind w:left="0"/>
              <w:jc w:val="right"/>
              <w:rPr>
                <w:rFonts w:ascii="Arial Narrow" w:hAnsi="Arial Narrow" w:cs="Calibri"/>
                <w:color w:val="000000" w:themeColor="text1"/>
                <w:sz w:val="20"/>
                <w:szCs w:val="20"/>
              </w:rPr>
            </w:pPr>
            <w:r w:rsidRPr="009E35ED">
              <w:rPr>
                <w:rFonts w:ascii="Arial Narrow" w:hAnsi="Arial Narrow" w:cs="Calibri"/>
                <w:color w:val="000000" w:themeColor="text1"/>
                <w:sz w:val="20"/>
                <w:szCs w:val="20"/>
              </w:rPr>
              <w:t>100,000,000</w:t>
            </w:r>
          </w:p>
        </w:tc>
        <w:tc>
          <w:tcPr>
            <w:tcW w:w="1387" w:type="dxa"/>
            <w:noWrap/>
            <w:vAlign w:val="bottom"/>
            <w:hideMark/>
          </w:tcPr>
          <w:p w14:paraId="69150CB5" w14:textId="77777777" w:rsidR="008D12B3" w:rsidRPr="009E35ED" w:rsidRDefault="008D12B3">
            <w:pPr>
              <w:spacing w:line="256" w:lineRule="auto"/>
              <w:ind w:left="0"/>
              <w:jc w:val="right"/>
              <w:rPr>
                <w:rFonts w:ascii="Arial Narrow" w:hAnsi="Arial Narrow" w:cs="Calibri"/>
                <w:color w:val="000000" w:themeColor="text1"/>
                <w:sz w:val="20"/>
                <w:szCs w:val="20"/>
              </w:rPr>
            </w:pPr>
            <w:r w:rsidRPr="009E35ED">
              <w:rPr>
                <w:rFonts w:ascii="Arial Narrow" w:hAnsi="Arial Narrow" w:cs="Calibri"/>
                <w:color w:val="000000" w:themeColor="text1"/>
                <w:sz w:val="20"/>
                <w:szCs w:val="20"/>
              </w:rPr>
              <w:t>1,053,333</w:t>
            </w:r>
          </w:p>
        </w:tc>
        <w:tc>
          <w:tcPr>
            <w:tcW w:w="1614" w:type="dxa"/>
            <w:noWrap/>
            <w:vAlign w:val="bottom"/>
            <w:hideMark/>
          </w:tcPr>
          <w:p w14:paraId="67955AD6" w14:textId="77777777" w:rsidR="008D12B3" w:rsidRPr="009E35ED" w:rsidRDefault="008D12B3">
            <w:pPr>
              <w:spacing w:line="256" w:lineRule="auto"/>
              <w:ind w:left="0"/>
              <w:jc w:val="right"/>
              <w:rPr>
                <w:rFonts w:ascii="Arial Narrow" w:hAnsi="Arial Narrow" w:cs="Calibri"/>
                <w:color w:val="000000" w:themeColor="text1"/>
                <w:sz w:val="20"/>
                <w:szCs w:val="20"/>
              </w:rPr>
            </w:pPr>
            <w:r w:rsidRPr="009E35ED">
              <w:rPr>
                <w:rFonts w:ascii="Arial Narrow" w:hAnsi="Arial Narrow" w:cs="Calibri"/>
                <w:color w:val="000000" w:themeColor="text1"/>
                <w:sz w:val="20"/>
                <w:szCs w:val="20"/>
              </w:rPr>
              <w:t>101,053,333</w:t>
            </w:r>
          </w:p>
        </w:tc>
        <w:tc>
          <w:tcPr>
            <w:tcW w:w="1614" w:type="dxa"/>
            <w:noWrap/>
            <w:vAlign w:val="bottom"/>
            <w:hideMark/>
          </w:tcPr>
          <w:p w14:paraId="67CAB0D6" w14:textId="77777777" w:rsidR="008D12B3" w:rsidRPr="009E35ED" w:rsidRDefault="008D12B3">
            <w:pPr>
              <w:spacing w:line="256" w:lineRule="auto"/>
              <w:ind w:left="0"/>
              <w:jc w:val="right"/>
              <w:rPr>
                <w:rFonts w:ascii="Arial Narrow" w:hAnsi="Arial Narrow" w:cs="Calibri"/>
                <w:color w:val="000000" w:themeColor="text1"/>
                <w:sz w:val="20"/>
                <w:szCs w:val="20"/>
              </w:rPr>
            </w:pPr>
            <w:r w:rsidRPr="009E35ED">
              <w:rPr>
                <w:rFonts w:ascii="Arial Narrow" w:hAnsi="Arial Narrow" w:cs="Calibri"/>
                <w:color w:val="000000" w:themeColor="text1"/>
                <w:sz w:val="20"/>
                <w:szCs w:val="20"/>
              </w:rPr>
              <w:t>101,586,667</w:t>
            </w:r>
          </w:p>
        </w:tc>
      </w:tr>
      <w:tr w:rsidR="00997F75" w:rsidRPr="009E35ED" w14:paraId="60C3B310" w14:textId="77777777" w:rsidTr="003D0E7E">
        <w:trPr>
          <w:trHeight w:val="248"/>
        </w:trPr>
        <w:tc>
          <w:tcPr>
            <w:tcW w:w="1497" w:type="dxa"/>
            <w:noWrap/>
            <w:vAlign w:val="bottom"/>
            <w:hideMark/>
          </w:tcPr>
          <w:p w14:paraId="1A1C95C4" w14:textId="77777777" w:rsidR="008D12B3" w:rsidRPr="009E35ED" w:rsidRDefault="008D12B3">
            <w:pPr>
              <w:spacing w:line="256" w:lineRule="auto"/>
              <w:ind w:left="0"/>
              <w:jc w:val="center"/>
              <w:rPr>
                <w:rFonts w:ascii="Arial Narrow" w:hAnsi="Arial Narrow" w:cs="Calibri"/>
                <w:color w:val="000000" w:themeColor="text1"/>
                <w:sz w:val="20"/>
                <w:szCs w:val="20"/>
                <w:lang w:val="en-PH"/>
              </w:rPr>
            </w:pPr>
            <w:r w:rsidRPr="009E35ED">
              <w:rPr>
                <w:rFonts w:ascii="Arial Narrow" w:hAnsi="Arial Narrow" w:cs="Calibri"/>
                <w:color w:val="000000" w:themeColor="text1"/>
                <w:sz w:val="20"/>
                <w:szCs w:val="20"/>
              </w:rPr>
              <w:t>Oct 13, 2023</w:t>
            </w:r>
          </w:p>
        </w:tc>
        <w:tc>
          <w:tcPr>
            <w:tcW w:w="1267" w:type="dxa"/>
            <w:noWrap/>
            <w:vAlign w:val="bottom"/>
            <w:hideMark/>
          </w:tcPr>
          <w:p w14:paraId="55AA3B9F" w14:textId="77777777" w:rsidR="008D12B3" w:rsidRPr="009E35ED" w:rsidRDefault="008D12B3">
            <w:pPr>
              <w:spacing w:line="256" w:lineRule="auto"/>
              <w:ind w:left="0"/>
              <w:jc w:val="center"/>
              <w:rPr>
                <w:rFonts w:ascii="Arial Narrow" w:hAnsi="Arial Narrow" w:cs="Calibri"/>
                <w:color w:val="000000" w:themeColor="text1"/>
                <w:sz w:val="20"/>
                <w:szCs w:val="20"/>
              </w:rPr>
            </w:pPr>
            <w:r w:rsidRPr="009E35ED">
              <w:rPr>
                <w:rFonts w:ascii="Arial Narrow" w:hAnsi="Arial Narrow" w:cs="Calibri"/>
                <w:color w:val="000000" w:themeColor="text1"/>
                <w:sz w:val="20"/>
                <w:szCs w:val="20"/>
              </w:rPr>
              <w:t>Feb 09, 2024</w:t>
            </w:r>
          </w:p>
        </w:tc>
        <w:tc>
          <w:tcPr>
            <w:tcW w:w="1548" w:type="dxa"/>
            <w:noWrap/>
            <w:vAlign w:val="bottom"/>
            <w:hideMark/>
          </w:tcPr>
          <w:p w14:paraId="7EBE1E2C" w14:textId="77777777" w:rsidR="008D12B3" w:rsidRPr="009E35ED" w:rsidRDefault="008D12B3">
            <w:pPr>
              <w:spacing w:line="256" w:lineRule="auto"/>
              <w:ind w:left="0"/>
              <w:jc w:val="right"/>
              <w:rPr>
                <w:rFonts w:ascii="Arial Narrow" w:hAnsi="Arial Narrow" w:cs="Calibri"/>
                <w:color w:val="000000" w:themeColor="text1"/>
                <w:sz w:val="20"/>
                <w:szCs w:val="20"/>
              </w:rPr>
            </w:pPr>
            <w:r w:rsidRPr="009E35ED">
              <w:rPr>
                <w:rFonts w:ascii="Arial Narrow" w:hAnsi="Arial Narrow" w:cs="Calibri"/>
                <w:color w:val="000000" w:themeColor="text1"/>
                <w:sz w:val="20"/>
                <w:szCs w:val="20"/>
              </w:rPr>
              <w:t>100,000,000</w:t>
            </w:r>
          </w:p>
        </w:tc>
        <w:tc>
          <w:tcPr>
            <w:tcW w:w="1387" w:type="dxa"/>
            <w:noWrap/>
            <w:vAlign w:val="bottom"/>
            <w:hideMark/>
          </w:tcPr>
          <w:p w14:paraId="5E986EE6" w14:textId="77777777" w:rsidR="008D12B3" w:rsidRPr="009E35ED" w:rsidRDefault="008D12B3">
            <w:pPr>
              <w:spacing w:line="256" w:lineRule="auto"/>
              <w:ind w:left="0"/>
              <w:jc w:val="right"/>
              <w:rPr>
                <w:rFonts w:ascii="Arial Narrow" w:hAnsi="Arial Narrow" w:cs="Calibri"/>
                <w:color w:val="000000" w:themeColor="text1"/>
                <w:sz w:val="20"/>
                <w:szCs w:val="20"/>
              </w:rPr>
            </w:pPr>
            <w:r w:rsidRPr="009E35ED">
              <w:rPr>
                <w:rFonts w:ascii="Arial Narrow" w:hAnsi="Arial Narrow" w:cs="Calibri"/>
                <w:color w:val="000000" w:themeColor="text1"/>
                <w:sz w:val="20"/>
                <w:szCs w:val="20"/>
              </w:rPr>
              <w:t>1,053,333</w:t>
            </w:r>
          </w:p>
        </w:tc>
        <w:tc>
          <w:tcPr>
            <w:tcW w:w="1614" w:type="dxa"/>
            <w:noWrap/>
            <w:vAlign w:val="bottom"/>
            <w:hideMark/>
          </w:tcPr>
          <w:p w14:paraId="18E36392" w14:textId="77777777" w:rsidR="008D12B3" w:rsidRPr="009E35ED" w:rsidRDefault="008D12B3">
            <w:pPr>
              <w:spacing w:line="256" w:lineRule="auto"/>
              <w:ind w:left="0"/>
              <w:jc w:val="right"/>
              <w:rPr>
                <w:rFonts w:ascii="Arial Narrow" w:hAnsi="Arial Narrow" w:cs="Calibri"/>
                <w:color w:val="000000" w:themeColor="text1"/>
                <w:sz w:val="20"/>
                <w:szCs w:val="20"/>
              </w:rPr>
            </w:pPr>
            <w:r w:rsidRPr="009E35ED">
              <w:rPr>
                <w:rFonts w:ascii="Arial Narrow" w:hAnsi="Arial Narrow" w:cs="Calibri"/>
                <w:color w:val="000000" w:themeColor="text1"/>
                <w:sz w:val="20"/>
                <w:szCs w:val="20"/>
              </w:rPr>
              <w:t>101,053,333</w:t>
            </w:r>
          </w:p>
        </w:tc>
        <w:tc>
          <w:tcPr>
            <w:tcW w:w="1614" w:type="dxa"/>
            <w:noWrap/>
            <w:vAlign w:val="bottom"/>
            <w:hideMark/>
          </w:tcPr>
          <w:p w14:paraId="666F8EBC" w14:textId="77777777" w:rsidR="008D12B3" w:rsidRPr="009E35ED" w:rsidRDefault="008D12B3">
            <w:pPr>
              <w:spacing w:line="256" w:lineRule="auto"/>
              <w:ind w:left="0"/>
              <w:jc w:val="right"/>
              <w:rPr>
                <w:rFonts w:ascii="Arial Narrow" w:hAnsi="Arial Narrow" w:cs="Calibri"/>
                <w:color w:val="000000" w:themeColor="text1"/>
                <w:sz w:val="20"/>
                <w:szCs w:val="20"/>
              </w:rPr>
            </w:pPr>
            <w:r w:rsidRPr="009E35ED">
              <w:rPr>
                <w:rFonts w:ascii="Arial Narrow" w:hAnsi="Arial Narrow" w:cs="Calibri"/>
                <w:color w:val="000000" w:themeColor="text1"/>
                <w:sz w:val="20"/>
                <w:szCs w:val="20"/>
              </w:rPr>
              <w:t>101,586,667</w:t>
            </w:r>
          </w:p>
        </w:tc>
      </w:tr>
      <w:tr w:rsidR="00997F75" w:rsidRPr="009E35ED" w14:paraId="0C677BC0" w14:textId="77777777" w:rsidTr="003D0E7E">
        <w:trPr>
          <w:trHeight w:val="248"/>
        </w:trPr>
        <w:tc>
          <w:tcPr>
            <w:tcW w:w="1497" w:type="dxa"/>
            <w:noWrap/>
            <w:vAlign w:val="bottom"/>
            <w:hideMark/>
          </w:tcPr>
          <w:p w14:paraId="4EB954D0" w14:textId="77777777" w:rsidR="008D12B3" w:rsidRPr="009E35ED" w:rsidRDefault="008D12B3">
            <w:pPr>
              <w:spacing w:line="256" w:lineRule="auto"/>
              <w:ind w:left="0"/>
              <w:jc w:val="center"/>
              <w:rPr>
                <w:rFonts w:ascii="Arial Narrow" w:hAnsi="Arial Narrow" w:cs="Calibri"/>
                <w:color w:val="000000" w:themeColor="text1"/>
                <w:sz w:val="20"/>
                <w:szCs w:val="20"/>
                <w:lang w:val="en-PH"/>
              </w:rPr>
            </w:pPr>
            <w:r w:rsidRPr="009E35ED">
              <w:rPr>
                <w:rFonts w:ascii="Arial Narrow" w:hAnsi="Arial Narrow" w:cs="Calibri"/>
                <w:color w:val="000000" w:themeColor="text1"/>
                <w:sz w:val="20"/>
                <w:szCs w:val="20"/>
              </w:rPr>
              <w:t>Oct 13, 2023</w:t>
            </w:r>
          </w:p>
        </w:tc>
        <w:tc>
          <w:tcPr>
            <w:tcW w:w="1267" w:type="dxa"/>
            <w:noWrap/>
            <w:vAlign w:val="bottom"/>
            <w:hideMark/>
          </w:tcPr>
          <w:p w14:paraId="36F78DE6" w14:textId="77777777" w:rsidR="008D12B3" w:rsidRPr="009E35ED" w:rsidRDefault="008D12B3">
            <w:pPr>
              <w:spacing w:line="256" w:lineRule="auto"/>
              <w:ind w:left="0"/>
              <w:jc w:val="center"/>
              <w:rPr>
                <w:rFonts w:ascii="Arial Narrow" w:hAnsi="Arial Narrow" w:cs="Calibri"/>
                <w:color w:val="000000" w:themeColor="text1"/>
                <w:sz w:val="20"/>
                <w:szCs w:val="20"/>
              </w:rPr>
            </w:pPr>
            <w:r w:rsidRPr="009E35ED">
              <w:rPr>
                <w:rFonts w:ascii="Arial Narrow" w:hAnsi="Arial Narrow" w:cs="Calibri"/>
                <w:color w:val="000000" w:themeColor="text1"/>
                <w:sz w:val="20"/>
                <w:szCs w:val="20"/>
              </w:rPr>
              <w:t>Feb 09, 2024</w:t>
            </w:r>
          </w:p>
        </w:tc>
        <w:tc>
          <w:tcPr>
            <w:tcW w:w="1548" w:type="dxa"/>
            <w:noWrap/>
            <w:vAlign w:val="bottom"/>
            <w:hideMark/>
          </w:tcPr>
          <w:p w14:paraId="520B7E54" w14:textId="77777777" w:rsidR="008D12B3" w:rsidRPr="009E35ED" w:rsidRDefault="008D12B3">
            <w:pPr>
              <w:spacing w:line="256" w:lineRule="auto"/>
              <w:ind w:left="0"/>
              <w:jc w:val="right"/>
              <w:rPr>
                <w:rFonts w:ascii="Arial Narrow" w:hAnsi="Arial Narrow" w:cs="Calibri"/>
                <w:color w:val="000000" w:themeColor="text1"/>
                <w:sz w:val="20"/>
                <w:szCs w:val="20"/>
              </w:rPr>
            </w:pPr>
            <w:r w:rsidRPr="009E35ED">
              <w:rPr>
                <w:rFonts w:ascii="Arial Narrow" w:hAnsi="Arial Narrow" w:cs="Calibri"/>
                <w:color w:val="000000" w:themeColor="text1"/>
                <w:sz w:val="20"/>
                <w:szCs w:val="20"/>
              </w:rPr>
              <w:t>100,000,000</w:t>
            </w:r>
          </w:p>
        </w:tc>
        <w:tc>
          <w:tcPr>
            <w:tcW w:w="1387" w:type="dxa"/>
            <w:noWrap/>
            <w:vAlign w:val="bottom"/>
            <w:hideMark/>
          </w:tcPr>
          <w:p w14:paraId="1DFA4B30" w14:textId="77777777" w:rsidR="008D12B3" w:rsidRPr="009E35ED" w:rsidRDefault="008D12B3">
            <w:pPr>
              <w:spacing w:line="256" w:lineRule="auto"/>
              <w:ind w:left="0"/>
              <w:jc w:val="right"/>
              <w:rPr>
                <w:rFonts w:ascii="Arial Narrow" w:hAnsi="Arial Narrow" w:cs="Calibri"/>
                <w:color w:val="000000" w:themeColor="text1"/>
                <w:sz w:val="20"/>
                <w:szCs w:val="20"/>
              </w:rPr>
            </w:pPr>
            <w:r w:rsidRPr="009E35ED">
              <w:rPr>
                <w:rFonts w:ascii="Arial Narrow" w:hAnsi="Arial Narrow" w:cs="Calibri"/>
                <w:color w:val="000000" w:themeColor="text1"/>
                <w:sz w:val="20"/>
                <w:szCs w:val="20"/>
              </w:rPr>
              <w:t>1,053,333</w:t>
            </w:r>
          </w:p>
        </w:tc>
        <w:tc>
          <w:tcPr>
            <w:tcW w:w="1614" w:type="dxa"/>
            <w:noWrap/>
            <w:vAlign w:val="bottom"/>
            <w:hideMark/>
          </w:tcPr>
          <w:p w14:paraId="26232EC8" w14:textId="77777777" w:rsidR="008D12B3" w:rsidRPr="009E35ED" w:rsidRDefault="008D12B3">
            <w:pPr>
              <w:spacing w:line="256" w:lineRule="auto"/>
              <w:ind w:left="0"/>
              <w:jc w:val="right"/>
              <w:rPr>
                <w:rFonts w:ascii="Arial Narrow" w:hAnsi="Arial Narrow" w:cs="Calibri"/>
                <w:color w:val="000000" w:themeColor="text1"/>
                <w:sz w:val="20"/>
                <w:szCs w:val="20"/>
              </w:rPr>
            </w:pPr>
            <w:r w:rsidRPr="009E35ED">
              <w:rPr>
                <w:rFonts w:ascii="Arial Narrow" w:hAnsi="Arial Narrow" w:cs="Calibri"/>
                <w:color w:val="000000" w:themeColor="text1"/>
                <w:sz w:val="20"/>
                <w:szCs w:val="20"/>
              </w:rPr>
              <w:t>101,053,333</w:t>
            </w:r>
          </w:p>
        </w:tc>
        <w:tc>
          <w:tcPr>
            <w:tcW w:w="1614" w:type="dxa"/>
            <w:noWrap/>
            <w:vAlign w:val="bottom"/>
            <w:hideMark/>
          </w:tcPr>
          <w:p w14:paraId="2EC666EE" w14:textId="77777777" w:rsidR="008D12B3" w:rsidRPr="009E35ED" w:rsidRDefault="008D12B3">
            <w:pPr>
              <w:spacing w:line="256" w:lineRule="auto"/>
              <w:ind w:left="0"/>
              <w:jc w:val="right"/>
              <w:rPr>
                <w:rFonts w:ascii="Arial Narrow" w:hAnsi="Arial Narrow" w:cs="Calibri"/>
                <w:color w:val="000000" w:themeColor="text1"/>
                <w:sz w:val="20"/>
                <w:szCs w:val="20"/>
              </w:rPr>
            </w:pPr>
            <w:r w:rsidRPr="009E35ED">
              <w:rPr>
                <w:rFonts w:ascii="Arial Narrow" w:hAnsi="Arial Narrow" w:cs="Calibri"/>
                <w:color w:val="000000" w:themeColor="text1"/>
                <w:sz w:val="20"/>
                <w:szCs w:val="20"/>
              </w:rPr>
              <w:t>101,586,667</w:t>
            </w:r>
          </w:p>
        </w:tc>
      </w:tr>
      <w:tr w:rsidR="00997F75" w:rsidRPr="009E35ED" w14:paraId="0EA69EDF" w14:textId="77777777" w:rsidTr="003D0E7E">
        <w:trPr>
          <w:trHeight w:val="248"/>
        </w:trPr>
        <w:tc>
          <w:tcPr>
            <w:tcW w:w="1497" w:type="dxa"/>
            <w:noWrap/>
            <w:vAlign w:val="bottom"/>
            <w:hideMark/>
          </w:tcPr>
          <w:p w14:paraId="79032C92" w14:textId="77777777" w:rsidR="008D12B3" w:rsidRPr="009E35ED" w:rsidRDefault="008D12B3">
            <w:pPr>
              <w:spacing w:line="256" w:lineRule="auto"/>
              <w:ind w:left="0"/>
              <w:jc w:val="center"/>
              <w:rPr>
                <w:rFonts w:ascii="Arial Narrow" w:hAnsi="Arial Narrow" w:cs="Calibri"/>
                <w:color w:val="000000" w:themeColor="text1"/>
                <w:sz w:val="20"/>
                <w:szCs w:val="20"/>
                <w:lang w:val="en-PH"/>
              </w:rPr>
            </w:pPr>
            <w:r w:rsidRPr="009E35ED">
              <w:rPr>
                <w:rFonts w:ascii="Arial Narrow" w:hAnsi="Arial Narrow" w:cs="Calibri"/>
                <w:color w:val="000000" w:themeColor="text1"/>
                <w:sz w:val="20"/>
                <w:szCs w:val="20"/>
              </w:rPr>
              <w:t>Oct 13, 2023</w:t>
            </w:r>
          </w:p>
        </w:tc>
        <w:tc>
          <w:tcPr>
            <w:tcW w:w="1267" w:type="dxa"/>
            <w:noWrap/>
            <w:vAlign w:val="bottom"/>
            <w:hideMark/>
          </w:tcPr>
          <w:p w14:paraId="09D1C33F" w14:textId="77777777" w:rsidR="008D12B3" w:rsidRPr="009E35ED" w:rsidRDefault="008D12B3">
            <w:pPr>
              <w:spacing w:line="256" w:lineRule="auto"/>
              <w:ind w:left="0"/>
              <w:jc w:val="center"/>
              <w:rPr>
                <w:rFonts w:ascii="Arial Narrow" w:hAnsi="Arial Narrow" w:cs="Calibri"/>
                <w:color w:val="000000" w:themeColor="text1"/>
                <w:sz w:val="20"/>
                <w:szCs w:val="20"/>
              </w:rPr>
            </w:pPr>
            <w:r w:rsidRPr="009E35ED">
              <w:rPr>
                <w:rFonts w:ascii="Arial Narrow" w:hAnsi="Arial Narrow" w:cs="Calibri"/>
                <w:color w:val="000000" w:themeColor="text1"/>
                <w:sz w:val="20"/>
                <w:szCs w:val="20"/>
              </w:rPr>
              <w:t>Feb 09, 2024</w:t>
            </w:r>
          </w:p>
        </w:tc>
        <w:tc>
          <w:tcPr>
            <w:tcW w:w="1548" w:type="dxa"/>
            <w:noWrap/>
            <w:vAlign w:val="bottom"/>
            <w:hideMark/>
          </w:tcPr>
          <w:p w14:paraId="4F3BF212" w14:textId="77777777" w:rsidR="008D12B3" w:rsidRPr="009E35ED" w:rsidRDefault="008D12B3">
            <w:pPr>
              <w:spacing w:line="256" w:lineRule="auto"/>
              <w:ind w:left="0"/>
              <w:jc w:val="right"/>
              <w:rPr>
                <w:rFonts w:ascii="Arial Narrow" w:hAnsi="Arial Narrow" w:cs="Calibri"/>
                <w:color w:val="000000" w:themeColor="text1"/>
                <w:sz w:val="20"/>
                <w:szCs w:val="20"/>
              </w:rPr>
            </w:pPr>
            <w:r w:rsidRPr="009E35ED">
              <w:rPr>
                <w:rFonts w:ascii="Arial Narrow" w:hAnsi="Arial Narrow" w:cs="Calibri"/>
                <w:color w:val="000000" w:themeColor="text1"/>
                <w:sz w:val="20"/>
                <w:szCs w:val="20"/>
              </w:rPr>
              <w:t>100,000,000</w:t>
            </w:r>
          </w:p>
        </w:tc>
        <w:tc>
          <w:tcPr>
            <w:tcW w:w="1387" w:type="dxa"/>
            <w:noWrap/>
            <w:vAlign w:val="bottom"/>
            <w:hideMark/>
          </w:tcPr>
          <w:p w14:paraId="49C2807E" w14:textId="77777777" w:rsidR="008D12B3" w:rsidRPr="009E35ED" w:rsidRDefault="008D12B3">
            <w:pPr>
              <w:spacing w:line="256" w:lineRule="auto"/>
              <w:ind w:left="0"/>
              <w:jc w:val="right"/>
              <w:rPr>
                <w:rFonts w:ascii="Arial Narrow" w:hAnsi="Arial Narrow" w:cs="Calibri"/>
                <w:color w:val="000000" w:themeColor="text1"/>
                <w:sz w:val="20"/>
                <w:szCs w:val="20"/>
              </w:rPr>
            </w:pPr>
            <w:r w:rsidRPr="009E35ED">
              <w:rPr>
                <w:rFonts w:ascii="Arial Narrow" w:hAnsi="Arial Narrow" w:cs="Calibri"/>
                <w:color w:val="000000" w:themeColor="text1"/>
                <w:sz w:val="20"/>
                <w:szCs w:val="20"/>
              </w:rPr>
              <w:t>1,053,333</w:t>
            </w:r>
          </w:p>
        </w:tc>
        <w:tc>
          <w:tcPr>
            <w:tcW w:w="1614" w:type="dxa"/>
            <w:noWrap/>
            <w:vAlign w:val="bottom"/>
            <w:hideMark/>
          </w:tcPr>
          <w:p w14:paraId="45C84773" w14:textId="77777777" w:rsidR="008D12B3" w:rsidRPr="009E35ED" w:rsidRDefault="008D12B3">
            <w:pPr>
              <w:spacing w:line="256" w:lineRule="auto"/>
              <w:ind w:left="0"/>
              <w:jc w:val="right"/>
              <w:rPr>
                <w:rFonts w:ascii="Arial Narrow" w:hAnsi="Arial Narrow" w:cs="Calibri"/>
                <w:color w:val="000000" w:themeColor="text1"/>
                <w:sz w:val="20"/>
                <w:szCs w:val="20"/>
              </w:rPr>
            </w:pPr>
            <w:r w:rsidRPr="009E35ED">
              <w:rPr>
                <w:rFonts w:ascii="Arial Narrow" w:hAnsi="Arial Narrow" w:cs="Calibri"/>
                <w:color w:val="000000" w:themeColor="text1"/>
                <w:sz w:val="20"/>
                <w:szCs w:val="20"/>
              </w:rPr>
              <w:t>101,053,333</w:t>
            </w:r>
          </w:p>
        </w:tc>
        <w:tc>
          <w:tcPr>
            <w:tcW w:w="1614" w:type="dxa"/>
            <w:noWrap/>
            <w:vAlign w:val="bottom"/>
            <w:hideMark/>
          </w:tcPr>
          <w:p w14:paraId="2F69F346" w14:textId="77777777" w:rsidR="008D12B3" w:rsidRPr="009E35ED" w:rsidRDefault="008D12B3">
            <w:pPr>
              <w:spacing w:line="256" w:lineRule="auto"/>
              <w:ind w:left="0"/>
              <w:jc w:val="right"/>
              <w:rPr>
                <w:rFonts w:ascii="Arial Narrow" w:hAnsi="Arial Narrow" w:cs="Calibri"/>
                <w:color w:val="000000" w:themeColor="text1"/>
                <w:sz w:val="20"/>
                <w:szCs w:val="20"/>
              </w:rPr>
            </w:pPr>
            <w:r w:rsidRPr="009E35ED">
              <w:rPr>
                <w:rFonts w:ascii="Arial Narrow" w:hAnsi="Arial Narrow" w:cs="Calibri"/>
                <w:color w:val="000000" w:themeColor="text1"/>
                <w:sz w:val="20"/>
                <w:szCs w:val="20"/>
              </w:rPr>
              <w:t>101,586,667</w:t>
            </w:r>
          </w:p>
        </w:tc>
      </w:tr>
      <w:tr w:rsidR="00997F75" w:rsidRPr="009E35ED" w14:paraId="006FDB74" w14:textId="77777777" w:rsidTr="003D0E7E">
        <w:trPr>
          <w:trHeight w:val="248"/>
        </w:trPr>
        <w:tc>
          <w:tcPr>
            <w:tcW w:w="1497" w:type="dxa"/>
            <w:noWrap/>
            <w:vAlign w:val="bottom"/>
            <w:hideMark/>
          </w:tcPr>
          <w:p w14:paraId="29298DB5" w14:textId="77777777" w:rsidR="008D12B3" w:rsidRPr="009E35ED" w:rsidRDefault="008D12B3">
            <w:pPr>
              <w:spacing w:line="256" w:lineRule="auto"/>
              <w:ind w:left="0"/>
              <w:jc w:val="center"/>
              <w:rPr>
                <w:rFonts w:ascii="Arial Narrow" w:hAnsi="Arial Narrow" w:cs="Calibri"/>
                <w:color w:val="000000" w:themeColor="text1"/>
                <w:sz w:val="20"/>
                <w:szCs w:val="20"/>
                <w:lang w:val="en-PH"/>
              </w:rPr>
            </w:pPr>
            <w:r w:rsidRPr="009E35ED">
              <w:rPr>
                <w:rFonts w:ascii="Arial Narrow" w:hAnsi="Arial Narrow" w:cs="Calibri"/>
                <w:color w:val="000000" w:themeColor="text1"/>
                <w:sz w:val="20"/>
                <w:szCs w:val="20"/>
              </w:rPr>
              <w:t>Oct 13, 2023</w:t>
            </w:r>
          </w:p>
        </w:tc>
        <w:tc>
          <w:tcPr>
            <w:tcW w:w="1267" w:type="dxa"/>
            <w:noWrap/>
            <w:vAlign w:val="bottom"/>
            <w:hideMark/>
          </w:tcPr>
          <w:p w14:paraId="3A2E112D" w14:textId="77777777" w:rsidR="008D12B3" w:rsidRPr="009E35ED" w:rsidRDefault="008D12B3">
            <w:pPr>
              <w:spacing w:line="256" w:lineRule="auto"/>
              <w:ind w:left="0"/>
              <w:jc w:val="center"/>
              <w:rPr>
                <w:rFonts w:ascii="Arial Narrow" w:hAnsi="Arial Narrow" w:cs="Calibri"/>
                <w:color w:val="000000" w:themeColor="text1"/>
                <w:sz w:val="20"/>
                <w:szCs w:val="20"/>
              </w:rPr>
            </w:pPr>
            <w:r w:rsidRPr="009E35ED">
              <w:rPr>
                <w:rFonts w:ascii="Arial Narrow" w:hAnsi="Arial Narrow" w:cs="Calibri"/>
                <w:color w:val="000000" w:themeColor="text1"/>
                <w:sz w:val="20"/>
                <w:szCs w:val="20"/>
              </w:rPr>
              <w:t>Feb 09, 2024</w:t>
            </w:r>
          </w:p>
        </w:tc>
        <w:tc>
          <w:tcPr>
            <w:tcW w:w="1548" w:type="dxa"/>
            <w:noWrap/>
            <w:vAlign w:val="bottom"/>
            <w:hideMark/>
          </w:tcPr>
          <w:p w14:paraId="1455BC93" w14:textId="77777777" w:rsidR="008D12B3" w:rsidRPr="009E35ED" w:rsidRDefault="008D12B3">
            <w:pPr>
              <w:spacing w:line="256" w:lineRule="auto"/>
              <w:ind w:left="0"/>
              <w:jc w:val="right"/>
              <w:rPr>
                <w:rFonts w:ascii="Arial Narrow" w:hAnsi="Arial Narrow" w:cs="Calibri"/>
                <w:color w:val="000000" w:themeColor="text1"/>
                <w:sz w:val="20"/>
                <w:szCs w:val="20"/>
              </w:rPr>
            </w:pPr>
            <w:r w:rsidRPr="009E35ED">
              <w:rPr>
                <w:rFonts w:ascii="Arial Narrow" w:hAnsi="Arial Narrow" w:cs="Calibri"/>
                <w:color w:val="000000" w:themeColor="text1"/>
                <w:sz w:val="20"/>
                <w:szCs w:val="20"/>
              </w:rPr>
              <w:t>100,000,000</w:t>
            </w:r>
          </w:p>
        </w:tc>
        <w:tc>
          <w:tcPr>
            <w:tcW w:w="1387" w:type="dxa"/>
            <w:noWrap/>
            <w:vAlign w:val="bottom"/>
            <w:hideMark/>
          </w:tcPr>
          <w:p w14:paraId="383002FC" w14:textId="77777777" w:rsidR="008D12B3" w:rsidRPr="009E35ED" w:rsidRDefault="008D12B3">
            <w:pPr>
              <w:spacing w:line="256" w:lineRule="auto"/>
              <w:ind w:left="0"/>
              <w:jc w:val="right"/>
              <w:rPr>
                <w:rFonts w:ascii="Arial Narrow" w:hAnsi="Arial Narrow" w:cs="Calibri"/>
                <w:color w:val="000000" w:themeColor="text1"/>
                <w:sz w:val="20"/>
                <w:szCs w:val="20"/>
              </w:rPr>
            </w:pPr>
            <w:r w:rsidRPr="009E35ED">
              <w:rPr>
                <w:rFonts w:ascii="Arial Narrow" w:hAnsi="Arial Narrow" w:cs="Calibri"/>
                <w:color w:val="000000" w:themeColor="text1"/>
                <w:sz w:val="20"/>
                <w:szCs w:val="20"/>
              </w:rPr>
              <w:t>1,053,333</w:t>
            </w:r>
          </w:p>
        </w:tc>
        <w:tc>
          <w:tcPr>
            <w:tcW w:w="1614" w:type="dxa"/>
            <w:noWrap/>
            <w:vAlign w:val="bottom"/>
            <w:hideMark/>
          </w:tcPr>
          <w:p w14:paraId="24EF3E23" w14:textId="77777777" w:rsidR="008D12B3" w:rsidRPr="009E35ED" w:rsidRDefault="008D12B3">
            <w:pPr>
              <w:spacing w:line="256" w:lineRule="auto"/>
              <w:ind w:left="0"/>
              <w:jc w:val="right"/>
              <w:rPr>
                <w:rFonts w:ascii="Arial Narrow" w:hAnsi="Arial Narrow" w:cs="Calibri"/>
                <w:color w:val="000000" w:themeColor="text1"/>
                <w:sz w:val="20"/>
                <w:szCs w:val="20"/>
              </w:rPr>
            </w:pPr>
            <w:r w:rsidRPr="009E35ED">
              <w:rPr>
                <w:rFonts w:ascii="Arial Narrow" w:hAnsi="Arial Narrow" w:cs="Calibri"/>
                <w:color w:val="000000" w:themeColor="text1"/>
                <w:sz w:val="20"/>
                <w:szCs w:val="20"/>
              </w:rPr>
              <w:t>101,053,333</w:t>
            </w:r>
          </w:p>
        </w:tc>
        <w:tc>
          <w:tcPr>
            <w:tcW w:w="1614" w:type="dxa"/>
            <w:noWrap/>
            <w:vAlign w:val="bottom"/>
            <w:hideMark/>
          </w:tcPr>
          <w:p w14:paraId="092F8E39" w14:textId="77777777" w:rsidR="008D12B3" w:rsidRPr="009E35ED" w:rsidRDefault="008D12B3">
            <w:pPr>
              <w:spacing w:line="256" w:lineRule="auto"/>
              <w:ind w:left="0"/>
              <w:jc w:val="right"/>
              <w:rPr>
                <w:rFonts w:ascii="Arial Narrow" w:hAnsi="Arial Narrow" w:cs="Calibri"/>
                <w:color w:val="000000" w:themeColor="text1"/>
                <w:sz w:val="20"/>
                <w:szCs w:val="20"/>
              </w:rPr>
            </w:pPr>
            <w:r w:rsidRPr="009E35ED">
              <w:rPr>
                <w:rFonts w:ascii="Arial Narrow" w:hAnsi="Arial Narrow" w:cs="Calibri"/>
                <w:color w:val="000000" w:themeColor="text1"/>
                <w:sz w:val="20"/>
                <w:szCs w:val="20"/>
              </w:rPr>
              <w:t>101,586,667</w:t>
            </w:r>
          </w:p>
        </w:tc>
      </w:tr>
      <w:tr w:rsidR="00997F75" w:rsidRPr="009E35ED" w14:paraId="6B285342" w14:textId="77777777" w:rsidTr="003D0E7E">
        <w:trPr>
          <w:trHeight w:val="248"/>
        </w:trPr>
        <w:tc>
          <w:tcPr>
            <w:tcW w:w="1497" w:type="dxa"/>
            <w:noWrap/>
            <w:vAlign w:val="bottom"/>
            <w:hideMark/>
          </w:tcPr>
          <w:p w14:paraId="5E42B433" w14:textId="77777777" w:rsidR="008D12B3" w:rsidRPr="009E35ED" w:rsidRDefault="008D12B3">
            <w:pPr>
              <w:spacing w:line="256" w:lineRule="auto"/>
              <w:ind w:left="0"/>
              <w:jc w:val="center"/>
              <w:rPr>
                <w:rFonts w:ascii="Arial Narrow" w:hAnsi="Arial Narrow" w:cs="Calibri"/>
                <w:color w:val="000000" w:themeColor="text1"/>
                <w:sz w:val="20"/>
                <w:szCs w:val="20"/>
                <w:lang w:val="en-PH"/>
              </w:rPr>
            </w:pPr>
            <w:r w:rsidRPr="009E35ED">
              <w:rPr>
                <w:rFonts w:ascii="Arial Narrow" w:hAnsi="Arial Narrow" w:cs="Calibri"/>
                <w:color w:val="000000" w:themeColor="text1"/>
                <w:sz w:val="20"/>
                <w:szCs w:val="20"/>
              </w:rPr>
              <w:t>Oct 13, 2023</w:t>
            </w:r>
          </w:p>
        </w:tc>
        <w:tc>
          <w:tcPr>
            <w:tcW w:w="1267" w:type="dxa"/>
            <w:noWrap/>
            <w:vAlign w:val="bottom"/>
            <w:hideMark/>
          </w:tcPr>
          <w:p w14:paraId="4007F82C" w14:textId="77777777" w:rsidR="008D12B3" w:rsidRPr="009E35ED" w:rsidRDefault="008D12B3">
            <w:pPr>
              <w:spacing w:line="256" w:lineRule="auto"/>
              <w:ind w:left="0"/>
              <w:jc w:val="center"/>
              <w:rPr>
                <w:rFonts w:ascii="Arial Narrow" w:hAnsi="Arial Narrow" w:cs="Calibri"/>
                <w:color w:val="000000" w:themeColor="text1"/>
                <w:sz w:val="20"/>
                <w:szCs w:val="20"/>
              </w:rPr>
            </w:pPr>
            <w:r w:rsidRPr="009E35ED">
              <w:rPr>
                <w:rFonts w:ascii="Arial Narrow" w:hAnsi="Arial Narrow" w:cs="Calibri"/>
                <w:color w:val="000000" w:themeColor="text1"/>
                <w:sz w:val="20"/>
                <w:szCs w:val="20"/>
              </w:rPr>
              <w:t>Feb 09, 2024</w:t>
            </w:r>
          </w:p>
        </w:tc>
        <w:tc>
          <w:tcPr>
            <w:tcW w:w="1548" w:type="dxa"/>
            <w:noWrap/>
            <w:vAlign w:val="bottom"/>
            <w:hideMark/>
          </w:tcPr>
          <w:p w14:paraId="0CC887A7" w14:textId="77777777" w:rsidR="008D12B3" w:rsidRPr="009E35ED" w:rsidRDefault="008D12B3">
            <w:pPr>
              <w:spacing w:line="256" w:lineRule="auto"/>
              <w:ind w:left="0"/>
              <w:jc w:val="right"/>
              <w:rPr>
                <w:rFonts w:ascii="Arial Narrow" w:hAnsi="Arial Narrow" w:cs="Calibri"/>
                <w:color w:val="000000" w:themeColor="text1"/>
                <w:sz w:val="20"/>
                <w:szCs w:val="20"/>
              </w:rPr>
            </w:pPr>
            <w:r w:rsidRPr="009E35ED">
              <w:rPr>
                <w:rFonts w:ascii="Arial Narrow" w:hAnsi="Arial Narrow" w:cs="Calibri"/>
                <w:color w:val="000000" w:themeColor="text1"/>
                <w:sz w:val="20"/>
                <w:szCs w:val="20"/>
              </w:rPr>
              <w:t>100,000,000</w:t>
            </w:r>
          </w:p>
        </w:tc>
        <w:tc>
          <w:tcPr>
            <w:tcW w:w="1387" w:type="dxa"/>
            <w:noWrap/>
            <w:vAlign w:val="bottom"/>
            <w:hideMark/>
          </w:tcPr>
          <w:p w14:paraId="0408D914" w14:textId="77777777" w:rsidR="008D12B3" w:rsidRPr="009E35ED" w:rsidRDefault="008D12B3">
            <w:pPr>
              <w:spacing w:line="256" w:lineRule="auto"/>
              <w:ind w:left="0"/>
              <w:jc w:val="right"/>
              <w:rPr>
                <w:rFonts w:ascii="Arial Narrow" w:hAnsi="Arial Narrow" w:cs="Calibri"/>
                <w:color w:val="000000" w:themeColor="text1"/>
                <w:sz w:val="20"/>
                <w:szCs w:val="20"/>
              </w:rPr>
            </w:pPr>
            <w:r w:rsidRPr="009E35ED">
              <w:rPr>
                <w:rFonts w:ascii="Arial Narrow" w:hAnsi="Arial Narrow" w:cs="Calibri"/>
                <w:color w:val="000000" w:themeColor="text1"/>
                <w:sz w:val="20"/>
                <w:szCs w:val="20"/>
              </w:rPr>
              <w:t>1,053,333</w:t>
            </w:r>
          </w:p>
        </w:tc>
        <w:tc>
          <w:tcPr>
            <w:tcW w:w="1614" w:type="dxa"/>
            <w:noWrap/>
            <w:vAlign w:val="bottom"/>
            <w:hideMark/>
          </w:tcPr>
          <w:p w14:paraId="627C8BB6" w14:textId="77777777" w:rsidR="008D12B3" w:rsidRPr="009E35ED" w:rsidRDefault="008D12B3">
            <w:pPr>
              <w:spacing w:line="256" w:lineRule="auto"/>
              <w:ind w:left="0"/>
              <w:jc w:val="right"/>
              <w:rPr>
                <w:rFonts w:ascii="Arial Narrow" w:hAnsi="Arial Narrow" w:cs="Calibri"/>
                <w:color w:val="000000" w:themeColor="text1"/>
                <w:sz w:val="20"/>
                <w:szCs w:val="20"/>
              </w:rPr>
            </w:pPr>
            <w:r w:rsidRPr="009E35ED">
              <w:rPr>
                <w:rFonts w:ascii="Arial Narrow" w:hAnsi="Arial Narrow" w:cs="Calibri"/>
                <w:color w:val="000000" w:themeColor="text1"/>
                <w:sz w:val="20"/>
                <w:szCs w:val="20"/>
              </w:rPr>
              <w:t>101,053,333</w:t>
            </w:r>
          </w:p>
        </w:tc>
        <w:tc>
          <w:tcPr>
            <w:tcW w:w="1614" w:type="dxa"/>
            <w:noWrap/>
            <w:vAlign w:val="bottom"/>
            <w:hideMark/>
          </w:tcPr>
          <w:p w14:paraId="5F08AED7" w14:textId="77777777" w:rsidR="008D12B3" w:rsidRPr="009E35ED" w:rsidRDefault="008D12B3">
            <w:pPr>
              <w:spacing w:line="256" w:lineRule="auto"/>
              <w:ind w:left="0"/>
              <w:jc w:val="right"/>
              <w:rPr>
                <w:rFonts w:ascii="Arial Narrow" w:hAnsi="Arial Narrow" w:cs="Calibri"/>
                <w:color w:val="000000" w:themeColor="text1"/>
                <w:sz w:val="20"/>
                <w:szCs w:val="20"/>
              </w:rPr>
            </w:pPr>
            <w:r w:rsidRPr="009E35ED">
              <w:rPr>
                <w:rFonts w:ascii="Arial Narrow" w:hAnsi="Arial Narrow" w:cs="Calibri"/>
                <w:color w:val="000000" w:themeColor="text1"/>
                <w:sz w:val="20"/>
                <w:szCs w:val="20"/>
              </w:rPr>
              <w:t>101,586,667</w:t>
            </w:r>
          </w:p>
        </w:tc>
      </w:tr>
      <w:tr w:rsidR="00997F75" w:rsidRPr="009E35ED" w14:paraId="4A5D6E71" w14:textId="77777777" w:rsidTr="003D0E7E">
        <w:trPr>
          <w:trHeight w:val="248"/>
        </w:trPr>
        <w:tc>
          <w:tcPr>
            <w:tcW w:w="1497" w:type="dxa"/>
            <w:noWrap/>
            <w:vAlign w:val="bottom"/>
            <w:hideMark/>
          </w:tcPr>
          <w:p w14:paraId="050EED10" w14:textId="77777777" w:rsidR="008D12B3" w:rsidRPr="009E35ED" w:rsidRDefault="008D12B3">
            <w:pPr>
              <w:spacing w:line="256" w:lineRule="auto"/>
              <w:ind w:left="0"/>
              <w:jc w:val="center"/>
              <w:rPr>
                <w:rFonts w:ascii="Arial Narrow" w:hAnsi="Arial Narrow" w:cs="Calibri"/>
                <w:color w:val="000000" w:themeColor="text1"/>
                <w:sz w:val="20"/>
                <w:szCs w:val="20"/>
                <w:lang w:val="en-PH"/>
              </w:rPr>
            </w:pPr>
            <w:r w:rsidRPr="009E35ED">
              <w:rPr>
                <w:rFonts w:ascii="Arial Narrow" w:hAnsi="Arial Narrow" w:cs="Calibri"/>
                <w:color w:val="000000" w:themeColor="text1"/>
                <w:sz w:val="20"/>
                <w:szCs w:val="20"/>
              </w:rPr>
              <w:t>Oct 13, 2023</w:t>
            </w:r>
          </w:p>
        </w:tc>
        <w:tc>
          <w:tcPr>
            <w:tcW w:w="1267" w:type="dxa"/>
            <w:noWrap/>
            <w:vAlign w:val="bottom"/>
            <w:hideMark/>
          </w:tcPr>
          <w:p w14:paraId="28A92973" w14:textId="77777777" w:rsidR="008D12B3" w:rsidRPr="009E35ED" w:rsidRDefault="008D12B3">
            <w:pPr>
              <w:spacing w:line="256" w:lineRule="auto"/>
              <w:ind w:left="0"/>
              <w:jc w:val="center"/>
              <w:rPr>
                <w:rFonts w:ascii="Arial Narrow" w:hAnsi="Arial Narrow" w:cs="Calibri"/>
                <w:color w:val="000000" w:themeColor="text1"/>
                <w:sz w:val="20"/>
                <w:szCs w:val="20"/>
              </w:rPr>
            </w:pPr>
            <w:r w:rsidRPr="009E35ED">
              <w:rPr>
                <w:rFonts w:ascii="Arial Narrow" w:hAnsi="Arial Narrow" w:cs="Calibri"/>
                <w:color w:val="000000" w:themeColor="text1"/>
                <w:sz w:val="20"/>
                <w:szCs w:val="20"/>
              </w:rPr>
              <w:t>Feb 09, 2024</w:t>
            </w:r>
          </w:p>
        </w:tc>
        <w:tc>
          <w:tcPr>
            <w:tcW w:w="1548" w:type="dxa"/>
            <w:noWrap/>
            <w:vAlign w:val="bottom"/>
            <w:hideMark/>
          </w:tcPr>
          <w:p w14:paraId="7CA7E1D0" w14:textId="77777777" w:rsidR="008D12B3" w:rsidRPr="009E35ED" w:rsidRDefault="008D12B3">
            <w:pPr>
              <w:spacing w:line="256" w:lineRule="auto"/>
              <w:ind w:left="0"/>
              <w:jc w:val="right"/>
              <w:rPr>
                <w:rFonts w:ascii="Arial Narrow" w:hAnsi="Arial Narrow" w:cs="Calibri"/>
                <w:color w:val="000000" w:themeColor="text1"/>
                <w:sz w:val="20"/>
                <w:szCs w:val="20"/>
              </w:rPr>
            </w:pPr>
            <w:r w:rsidRPr="009E35ED">
              <w:rPr>
                <w:rFonts w:ascii="Arial Narrow" w:hAnsi="Arial Narrow" w:cs="Calibri"/>
                <w:color w:val="000000" w:themeColor="text1"/>
                <w:sz w:val="20"/>
                <w:szCs w:val="20"/>
              </w:rPr>
              <w:t>100,000,000</w:t>
            </w:r>
          </w:p>
        </w:tc>
        <w:tc>
          <w:tcPr>
            <w:tcW w:w="1387" w:type="dxa"/>
            <w:noWrap/>
            <w:vAlign w:val="bottom"/>
            <w:hideMark/>
          </w:tcPr>
          <w:p w14:paraId="4F8EDBE0" w14:textId="77777777" w:rsidR="008D12B3" w:rsidRPr="009E35ED" w:rsidRDefault="008D12B3">
            <w:pPr>
              <w:spacing w:line="256" w:lineRule="auto"/>
              <w:ind w:left="0"/>
              <w:jc w:val="right"/>
              <w:rPr>
                <w:rFonts w:ascii="Arial Narrow" w:hAnsi="Arial Narrow" w:cs="Calibri"/>
                <w:color w:val="000000" w:themeColor="text1"/>
                <w:sz w:val="20"/>
                <w:szCs w:val="20"/>
              </w:rPr>
            </w:pPr>
            <w:r w:rsidRPr="009E35ED">
              <w:rPr>
                <w:rFonts w:ascii="Arial Narrow" w:hAnsi="Arial Narrow" w:cs="Calibri"/>
                <w:color w:val="000000" w:themeColor="text1"/>
                <w:sz w:val="20"/>
                <w:szCs w:val="20"/>
              </w:rPr>
              <w:t>1,053,333</w:t>
            </w:r>
          </w:p>
        </w:tc>
        <w:tc>
          <w:tcPr>
            <w:tcW w:w="1614" w:type="dxa"/>
            <w:noWrap/>
            <w:vAlign w:val="bottom"/>
            <w:hideMark/>
          </w:tcPr>
          <w:p w14:paraId="36960F32" w14:textId="77777777" w:rsidR="008D12B3" w:rsidRPr="009E35ED" w:rsidRDefault="008D12B3">
            <w:pPr>
              <w:spacing w:line="256" w:lineRule="auto"/>
              <w:ind w:left="0"/>
              <w:jc w:val="right"/>
              <w:rPr>
                <w:rFonts w:ascii="Arial Narrow" w:hAnsi="Arial Narrow" w:cs="Calibri"/>
                <w:color w:val="000000" w:themeColor="text1"/>
                <w:sz w:val="20"/>
                <w:szCs w:val="20"/>
              </w:rPr>
            </w:pPr>
            <w:r w:rsidRPr="009E35ED">
              <w:rPr>
                <w:rFonts w:ascii="Arial Narrow" w:hAnsi="Arial Narrow" w:cs="Calibri"/>
                <w:color w:val="000000" w:themeColor="text1"/>
                <w:sz w:val="20"/>
                <w:szCs w:val="20"/>
              </w:rPr>
              <w:t>101,053,333</w:t>
            </w:r>
          </w:p>
        </w:tc>
        <w:tc>
          <w:tcPr>
            <w:tcW w:w="1614" w:type="dxa"/>
            <w:noWrap/>
            <w:vAlign w:val="bottom"/>
            <w:hideMark/>
          </w:tcPr>
          <w:p w14:paraId="35D1BD71" w14:textId="77777777" w:rsidR="008D12B3" w:rsidRPr="009E35ED" w:rsidRDefault="008D12B3">
            <w:pPr>
              <w:spacing w:line="256" w:lineRule="auto"/>
              <w:ind w:left="0"/>
              <w:jc w:val="right"/>
              <w:rPr>
                <w:rFonts w:ascii="Arial Narrow" w:hAnsi="Arial Narrow" w:cs="Calibri"/>
                <w:color w:val="000000" w:themeColor="text1"/>
                <w:sz w:val="20"/>
                <w:szCs w:val="20"/>
              </w:rPr>
            </w:pPr>
            <w:r w:rsidRPr="009E35ED">
              <w:rPr>
                <w:rFonts w:ascii="Arial Narrow" w:hAnsi="Arial Narrow" w:cs="Calibri"/>
                <w:color w:val="000000" w:themeColor="text1"/>
                <w:sz w:val="20"/>
                <w:szCs w:val="20"/>
              </w:rPr>
              <w:t>101,586,667</w:t>
            </w:r>
          </w:p>
        </w:tc>
      </w:tr>
      <w:tr w:rsidR="00997F75" w:rsidRPr="009E35ED" w14:paraId="498FA604" w14:textId="77777777" w:rsidTr="003D0E7E">
        <w:trPr>
          <w:trHeight w:val="248"/>
        </w:trPr>
        <w:tc>
          <w:tcPr>
            <w:tcW w:w="1497" w:type="dxa"/>
            <w:noWrap/>
            <w:vAlign w:val="bottom"/>
            <w:hideMark/>
          </w:tcPr>
          <w:p w14:paraId="7D62CF72" w14:textId="77777777" w:rsidR="008D12B3" w:rsidRPr="009E35ED" w:rsidRDefault="008D12B3">
            <w:pPr>
              <w:spacing w:line="256" w:lineRule="auto"/>
              <w:ind w:left="0"/>
              <w:jc w:val="center"/>
              <w:rPr>
                <w:rFonts w:ascii="Arial Narrow" w:hAnsi="Arial Narrow" w:cs="Calibri"/>
                <w:color w:val="000000" w:themeColor="text1"/>
                <w:sz w:val="20"/>
                <w:szCs w:val="20"/>
                <w:lang w:val="en-PH"/>
              </w:rPr>
            </w:pPr>
            <w:r w:rsidRPr="009E35ED">
              <w:rPr>
                <w:rFonts w:ascii="Arial Narrow" w:hAnsi="Arial Narrow" w:cs="Calibri"/>
                <w:color w:val="000000" w:themeColor="text1"/>
                <w:sz w:val="20"/>
                <w:szCs w:val="20"/>
              </w:rPr>
              <w:t>Oct 13, 2023</w:t>
            </w:r>
          </w:p>
        </w:tc>
        <w:tc>
          <w:tcPr>
            <w:tcW w:w="1267" w:type="dxa"/>
            <w:noWrap/>
            <w:vAlign w:val="bottom"/>
            <w:hideMark/>
          </w:tcPr>
          <w:p w14:paraId="52BD45EB" w14:textId="77777777" w:rsidR="008D12B3" w:rsidRPr="009E35ED" w:rsidRDefault="008D12B3">
            <w:pPr>
              <w:spacing w:line="256" w:lineRule="auto"/>
              <w:ind w:left="0"/>
              <w:jc w:val="center"/>
              <w:rPr>
                <w:rFonts w:ascii="Arial Narrow" w:hAnsi="Arial Narrow" w:cs="Calibri"/>
                <w:color w:val="000000" w:themeColor="text1"/>
                <w:sz w:val="20"/>
                <w:szCs w:val="20"/>
              </w:rPr>
            </w:pPr>
            <w:r w:rsidRPr="009E35ED">
              <w:rPr>
                <w:rFonts w:ascii="Arial Narrow" w:hAnsi="Arial Narrow" w:cs="Calibri"/>
                <w:color w:val="000000" w:themeColor="text1"/>
                <w:sz w:val="20"/>
                <w:szCs w:val="20"/>
              </w:rPr>
              <w:t>Feb 09, 2024</w:t>
            </w:r>
          </w:p>
        </w:tc>
        <w:tc>
          <w:tcPr>
            <w:tcW w:w="1548" w:type="dxa"/>
            <w:noWrap/>
            <w:vAlign w:val="bottom"/>
            <w:hideMark/>
          </w:tcPr>
          <w:p w14:paraId="42302BCD" w14:textId="77777777" w:rsidR="008D12B3" w:rsidRPr="009E35ED" w:rsidRDefault="008D12B3">
            <w:pPr>
              <w:spacing w:line="256" w:lineRule="auto"/>
              <w:ind w:left="0"/>
              <w:jc w:val="right"/>
              <w:rPr>
                <w:rFonts w:ascii="Arial Narrow" w:hAnsi="Arial Narrow" w:cs="Calibri"/>
                <w:color w:val="000000" w:themeColor="text1"/>
                <w:sz w:val="20"/>
                <w:szCs w:val="20"/>
              </w:rPr>
            </w:pPr>
            <w:r w:rsidRPr="009E35ED">
              <w:rPr>
                <w:rFonts w:ascii="Arial Narrow" w:hAnsi="Arial Narrow" w:cs="Calibri"/>
                <w:color w:val="000000" w:themeColor="text1"/>
                <w:sz w:val="20"/>
                <w:szCs w:val="20"/>
              </w:rPr>
              <w:t>100,000,000</w:t>
            </w:r>
          </w:p>
        </w:tc>
        <w:tc>
          <w:tcPr>
            <w:tcW w:w="1387" w:type="dxa"/>
            <w:noWrap/>
            <w:vAlign w:val="bottom"/>
            <w:hideMark/>
          </w:tcPr>
          <w:p w14:paraId="4D0D32BC" w14:textId="77777777" w:rsidR="008D12B3" w:rsidRPr="009E35ED" w:rsidRDefault="008D12B3">
            <w:pPr>
              <w:spacing w:line="256" w:lineRule="auto"/>
              <w:ind w:left="0"/>
              <w:jc w:val="right"/>
              <w:rPr>
                <w:rFonts w:ascii="Arial Narrow" w:hAnsi="Arial Narrow" w:cs="Calibri"/>
                <w:color w:val="000000" w:themeColor="text1"/>
                <w:sz w:val="20"/>
                <w:szCs w:val="20"/>
              </w:rPr>
            </w:pPr>
            <w:r w:rsidRPr="009E35ED">
              <w:rPr>
                <w:rFonts w:ascii="Arial Narrow" w:hAnsi="Arial Narrow" w:cs="Calibri"/>
                <w:color w:val="000000" w:themeColor="text1"/>
                <w:sz w:val="20"/>
                <w:szCs w:val="20"/>
              </w:rPr>
              <w:t>1,053,333</w:t>
            </w:r>
          </w:p>
        </w:tc>
        <w:tc>
          <w:tcPr>
            <w:tcW w:w="1614" w:type="dxa"/>
            <w:noWrap/>
            <w:vAlign w:val="bottom"/>
            <w:hideMark/>
          </w:tcPr>
          <w:p w14:paraId="0E603948" w14:textId="77777777" w:rsidR="008D12B3" w:rsidRPr="009E35ED" w:rsidRDefault="008D12B3">
            <w:pPr>
              <w:spacing w:line="256" w:lineRule="auto"/>
              <w:ind w:left="0"/>
              <w:jc w:val="right"/>
              <w:rPr>
                <w:rFonts w:ascii="Arial Narrow" w:hAnsi="Arial Narrow" w:cs="Calibri"/>
                <w:color w:val="000000" w:themeColor="text1"/>
                <w:sz w:val="20"/>
                <w:szCs w:val="20"/>
              </w:rPr>
            </w:pPr>
            <w:r w:rsidRPr="009E35ED">
              <w:rPr>
                <w:rFonts w:ascii="Arial Narrow" w:hAnsi="Arial Narrow" w:cs="Calibri"/>
                <w:color w:val="000000" w:themeColor="text1"/>
                <w:sz w:val="20"/>
                <w:szCs w:val="20"/>
              </w:rPr>
              <w:t>101,053,333</w:t>
            </w:r>
          </w:p>
        </w:tc>
        <w:tc>
          <w:tcPr>
            <w:tcW w:w="1614" w:type="dxa"/>
            <w:noWrap/>
            <w:vAlign w:val="bottom"/>
            <w:hideMark/>
          </w:tcPr>
          <w:p w14:paraId="1C82309D" w14:textId="77777777" w:rsidR="008D12B3" w:rsidRPr="009E35ED" w:rsidRDefault="008D12B3">
            <w:pPr>
              <w:spacing w:line="256" w:lineRule="auto"/>
              <w:ind w:left="0"/>
              <w:jc w:val="right"/>
              <w:rPr>
                <w:rFonts w:ascii="Arial Narrow" w:hAnsi="Arial Narrow" w:cs="Calibri"/>
                <w:color w:val="000000" w:themeColor="text1"/>
                <w:sz w:val="20"/>
                <w:szCs w:val="20"/>
              </w:rPr>
            </w:pPr>
            <w:r w:rsidRPr="009E35ED">
              <w:rPr>
                <w:rFonts w:ascii="Arial Narrow" w:hAnsi="Arial Narrow" w:cs="Calibri"/>
                <w:color w:val="000000" w:themeColor="text1"/>
                <w:sz w:val="20"/>
                <w:szCs w:val="20"/>
              </w:rPr>
              <w:t>101,586,667</w:t>
            </w:r>
          </w:p>
        </w:tc>
      </w:tr>
      <w:tr w:rsidR="00997F75" w:rsidRPr="009E35ED" w14:paraId="4B7179A8" w14:textId="77777777" w:rsidTr="003D0E7E">
        <w:trPr>
          <w:trHeight w:val="248"/>
        </w:trPr>
        <w:tc>
          <w:tcPr>
            <w:tcW w:w="1497" w:type="dxa"/>
            <w:noWrap/>
            <w:vAlign w:val="bottom"/>
            <w:hideMark/>
          </w:tcPr>
          <w:p w14:paraId="26E0BD06" w14:textId="77777777" w:rsidR="008D12B3" w:rsidRPr="009E35ED" w:rsidRDefault="008D12B3">
            <w:pPr>
              <w:spacing w:line="256" w:lineRule="auto"/>
              <w:ind w:left="0"/>
              <w:jc w:val="center"/>
              <w:rPr>
                <w:rFonts w:ascii="Arial Narrow" w:hAnsi="Arial Narrow" w:cs="Calibri"/>
                <w:color w:val="000000" w:themeColor="text1"/>
                <w:sz w:val="20"/>
                <w:szCs w:val="20"/>
                <w:lang w:val="en-PH"/>
              </w:rPr>
            </w:pPr>
            <w:r w:rsidRPr="009E35ED">
              <w:rPr>
                <w:rFonts w:ascii="Arial Narrow" w:hAnsi="Arial Narrow" w:cs="Calibri"/>
                <w:color w:val="000000" w:themeColor="text1"/>
                <w:sz w:val="20"/>
                <w:szCs w:val="20"/>
              </w:rPr>
              <w:t>Oct 13, 2023</w:t>
            </w:r>
          </w:p>
        </w:tc>
        <w:tc>
          <w:tcPr>
            <w:tcW w:w="1267" w:type="dxa"/>
            <w:noWrap/>
            <w:vAlign w:val="bottom"/>
            <w:hideMark/>
          </w:tcPr>
          <w:p w14:paraId="16C0534B" w14:textId="77777777" w:rsidR="008D12B3" w:rsidRPr="009E35ED" w:rsidRDefault="008D12B3">
            <w:pPr>
              <w:spacing w:line="256" w:lineRule="auto"/>
              <w:ind w:left="0"/>
              <w:jc w:val="center"/>
              <w:rPr>
                <w:rFonts w:ascii="Arial Narrow" w:hAnsi="Arial Narrow" w:cs="Calibri"/>
                <w:color w:val="000000" w:themeColor="text1"/>
                <w:sz w:val="20"/>
                <w:szCs w:val="20"/>
              </w:rPr>
            </w:pPr>
            <w:r w:rsidRPr="009E35ED">
              <w:rPr>
                <w:rFonts w:ascii="Arial Narrow" w:hAnsi="Arial Narrow" w:cs="Calibri"/>
                <w:color w:val="000000" w:themeColor="text1"/>
                <w:sz w:val="20"/>
                <w:szCs w:val="20"/>
              </w:rPr>
              <w:t>Feb 09, 2024</w:t>
            </w:r>
          </w:p>
        </w:tc>
        <w:tc>
          <w:tcPr>
            <w:tcW w:w="1548" w:type="dxa"/>
            <w:noWrap/>
            <w:vAlign w:val="bottom"/>
            <w:hideMark/>
          </w:tcPr>
          <w:p w14:paraId="6B481BFE" w14:textId="77777777" w:rsidR="008D12B3" w:rsidRPr="009E35ED" w:rsidRDefault="008D12B3">
            <w:pPr>
              <w:spacing w:line="256" w:lineRule="auto"/>
              <w:ind w:left="0"/>
              <w:jc w:val="right"/>
              <w:rPr>
                <w:rFonts w:ascii="Arial Narrow" w:hAnsi="Arial Narrow" w:cs="Calibri"/>
                <w:color w:val="000000" w:themeColor="text1"/>
                <w:sz w:val="20"/>
                <w:szCs w:val="20"/>
              </w:rPr>
            </w:pPr>
            <w:r w:rsidRPr="009E35ED">
              <w:rPr>
                <w:rFonts w:ascii="Arial Narrow" w:hAnsi="Arial Narrow" w:cs="Calibri"/>
                <w:color w:val="000000" w:themeColor="text1"/>
                <w:sz w:val="20"/>
                <w:szCs w:val="20"/>
              </w:rPr>
              <w:t>100,000,000</w:t>
            </w:r>
          </w:p>
        </w:tc>
        <w:tc>
          <w:tcPr>
            <w:tcW w:w="1387" w:type="dxa"/>
            <w:noWrap/>
            <w:vAlign w:val="bottom"/>
            <w:hideMark/>
          </w:tcPr>
          <w:p w14:paraId="4866BE82" w14:textId="77777777" w:rsidR="008D12B3" w:rsidRPr="009E35ED" w:rsidRDefault="008D12B3">
            <w:pPr>
              <w:spacing w:line="256" w:lineRule="auto"/>
              <w:ind w:left="0"/>
              <w:jc w:val="right"/>
              <w:rPr>
                <w:rFonts w:ascii="Arial Narrow" w:hAnsi="Arial Narrow" w:cs="Calibri"/>
                <w:color w:val="000000" w:themeColor="text1"/>
                <w:sz w:val="20"/>
                <w:szCs w:val="20"/>
              </w:rPr>
            </w:pPr>
            <w:r w:rsidRPr="009E35ED">
              <w:rPr>
                <w:rFonts w:ascii="Arial Narrow" w:hAnsi="Arial Narrow" w:cs="Calibri"/>
                <w:color w:val="000000" w:themeColor="text1"/>
                <w:sz w:val="20"/>
                <w:szCs w:val="20"/>
              </w:rPr>
              <w:t>1,053,333</w:t>
            </w:r>
          </w:p>
        </w:tc>
        <w:tc>
          <w:tcPr>
            <w:tcW w:w="1614" w:type="dxa"/>
            <w:noWrap/>
            <w:vAlign w:val="bottom"/>
            <w:hideMark/>
          </w:tcPr>
          <w:p w14:paraId="28A755F9" w14:textId="77777777" w:rsidR="008D12B3" w:rsidRPr="009E35ED" w:rsidRDefault="008D12B3">
            <w:pPr>
              <w:spacing w:line="256" w:lineRule="auto"/>
              <w:ind w:left="0"/>
              <w:jc w:val="right"/>
              <w:rPr>
                <w:rFonts w:ascii="Arial Narrow" w:hAnsi="Arial Narrow" w:cs="Calibri"/>
                <w:color w:val="000000" w:themeColor="text1"/>
                <w:sz w:val="20"/>
                <w:szCs w:val="20"/>
              </w:rPr>
            </w:pPr>
            <w:r w:rsidRPr="009E35ED">
              <w:rPr>
                <w:rFonts w:ascii="Arial Narrow" w:hAnsi="Arial Narrow" w:cs="Calibri"/>
                <w:color w:val="000000" w:themeColor="text1"/>
                <w:sz w:val="20"/>
                <w:szCs w:val="20"/>
              </w:rPr>
              <w:t>101,053,333</w:t>
            </w:r>
          </w:p>
        </w:tc>
        <w:tc>
          <w:tcPr>
            <w:tcW w:w="1614" w:type="dxa"/>
            <w:noWrap/>
            <w:vAlign w:val="bottom"/>
            <w:hideMark/>
          </w:tcPr>
          <w:p w14:paraId="3699F5A5" w14:textId="77777777" w:rsidR="008D12B3" w:rsidRPr="009E35ED" w:rsidRDefault="008D12B3">
            <w:pPr>
              <w:spacing w:line="256" w:lineRule="auto"/>
              <w:ind w:left="0"/>
              <w:jc w:val="right"/>
              <w:rPr>
                <w:rFonts w:ascii="Arial Narrow" w:hAnsi="Arial Narrow" w:cs="Calibri"/>
                <w:color w:val="000000" w:themeColor="text1"/>
                <w:sz w:val="20"/>
                <w:szCs w:val="20"/>
              </w:rPr>
            </w:pPr>
            <w:r w:rsidRPr="009E35ED">
              <w:rPr>
                <w:rFonts w:ascii="Arial Narrow" w:hAnsi="Arial Narrow" w:cs="Calibri"/>
                <w:color w:val="000000" w:themeColor="text1"/>
                <w:sz w:val="20"/>
                <w:szCs w:val="20"/>
              </w:rPr>
              <w:t>101,586,667</w:t>
            </w:r>
          </w:p>
        </w:tc>
      </w:tr>
      <w:tr w:rsidR="00997F75" w:rsidRPr="009E35ED" w14:paraId="6A82D803" w14:textId="77777777" w:rsidTr="003D0E7E">
        <w:trPr>
          <w:trHeight w:val="248"/>
        </w:trPr>
        <w:tc>
          <w:tcPr>
            <w:tcW w:w="1497" w:type="dxa"/>
            <w:noWrap/>
            <w:vAlign w:val="bottom"/>
            <w:hideMark/>
          </w:tcPr>
          <w:p w14:paraId="2890C956" w14:textId="77777777" w:rsidR="008D12B3" w:rsidRPr="009E35ED" w:rsidRDefault="008D12B3">
            <w:pPr>
              <w:spacing w:line="256" w:lineRule="auto"/>
              <w:ind w:left="0"/>
              <w:jc w:val="center"/>
              <w:rPr>
                <w:rFonts w:ascii="Arial Narrow" w:hAnsi="Arial Narrow" w:cs="Calibri"/>
                <w:color w:val="000000" w:themeColor="text1"/>
                <w:sz w:val="20"/>
                <w:szCs w:val="20"/>
                <w:lang w:val="en-PH"/>
              </w:rPr>
            </w:pPr>
            <w:r w:rsidRPr="009E35ED">
              <w:rPr>
                <w:rFonts w:ascii="Arial Narrow" w:hAnsi="Arial Narrow" w:cs="Calibri"/>
                <w:color w:val="000000" w:themeColor="text1"/>
                <w:sz w:val="20"/>
                <w:szCs w:val="20"/>
              </w:rPr>
              <w:t>Oct 13, 2023</w:t>
            </w:r>
          </w:p>
        </w:tc>
        <w:tc>
          <w:tcPr>
            <w:tcW w:w="1267" w:type="dxa"/>
            <w:noWrap/>
            <w:vAlign w:val="bottom"/>
            <w:hideMark/>
          </w:tcPr>
          <w:p w14:paraId="5588AE86" w14:textId="77777777" w:rsidR="008D12B3" w:rsidRPr="009E35ED" w:rsidRDefault="008D12B3">
            <w:pPr>
              <w:spacing w:line="256" w:lineRule="auto"/>
              <w:ind w:left="0"/>
              <w:jc w:val="center"/>
              <w:rPr>
                <w:rFonts w:ascii="Arial Narrow" w:hAnsi="Arial Narrow" w:cs="Calibri"/>
                <w:color w:val="000000" w:themeColor="text1"/>
                <w:sz w:val="20"/>
                <w:szCs w:val="20"/>
              </w:rPr>
            </w:pPr>
            <w:r w:rsidRPr="009E35ED">
              <w:rPr>
                <w:rFonts w:ascii="Arial Narrow" w:hAnsi="Arial Narrow" w:cs="Calibri"/>
                <w:color w:val="000000" w:themeColor="text1"/>
                <w:sz w:val="20"/>
                <w:szCs w:val="20"/>
              </w:rPr>
              <w:t>Feb 09, 2024</w:t>
            </w:r>
          </w:p>
        </w:tc>
        <w:tc>
          <w:tcPr>
            <w:tcW w:w="1548" w:type="dxa"/>
            <w:noWrap/>
            <w:vAlign w:val="bottom"/>
            <w:hideMark/>
          </w:tcPr>
          <w:p w14:paraId="779C330D" w14:textId="77777777" w:rsidR="008D12B3" w:rsidRPr="009E35ED" w:rsidRDefault="008D12B3">
            <w:pPr>
              <w:spacing w:line="256" w:lineRule="auto"/>
              <w:ind w:left="0"/>
              <w:jc w:val="right"/>
              <w:rPr>
                <w:rFonts w:ascii="Arial Narrow" w:hAnsi="Arial Narrow" w:cs="Calibri"/>
                <w:color w:val="000000" w:themeColor="text1"/>
                <w:sz w:val="20"/>
                <w:szCs w:val="20"/>
              </w:rPr>
            </w:pPr>
            <w:r w:rsidRPr="009E35ED">
              <w:rPr>
                <w:rFonts w:ascii="Arial Narrow" w:hAnsi="Arial Narrow" w:cs="Calibri"/>
                <w:color w:val="000000" w:themeColor="text1"/>
                <w:sz w:val="20"/>
                <w:szCs w:val="20"/>
              </w:rPr>
              <w:t>100,000,000</w:t>
            </w:r>
          </w:p>
        </w:tc>
        <w:tc>
          <w:tcPr>
            <w:tcW w:w="1387" w:type="dxa"/>
            <w:noWrap/>
            <w:vAlign w:val="bottom"/>
            <w:hideMark/>
          </w:tcPr>
          <w:p w14:paraId="3E5F7AE6" w14:textId="77777777" w:rsidR="008D12B3" w:rsidRPr="009E35ED" w:rsidRDefault="008D12B3">
            <w:pPr>
              <w:spacing w:line="256" w:lineRule="auto"/>
              <w:ind w:left="0"/>
              <w:jc w:val="right"/>
              <w:rPr>
                <w:rFonts w:ascii="Arial Narrow" w:hAnsi="Arial Narrow" w:cs="Calibri"/>
                <w:color w:val="000000" w:themeColor="text1"/>
                <w:sz w:val="20"/>
                <w:szCs w:val="20"/>
              </w:rPr>
            </w:pPr>
            <w:r w:rsidRPr="009E35ED">
              <w:rPr>
                <w:rFonts w:ascii="Arial Narrow" w:hAnsi="Arial Narrow" w:cs="Calibri"/>
                <w:color w:val="000000" w:themeColor="text1"/>
                <w:sz w:val="20"/>
                <w:szCs w:val="20"/>
              </w:rPr>
              <w:t>1,053,333</w:t>
            </w:r>
          </w:p>
        </w:tc>
        <w:tc>
          <w:tcPr>
            <w:tcW w:w="1614" w:type="dxa"/>
            <w:noWrap/>
            <w:vAlign w:val="bottom"/>
            <w:hideMark/>
          </w:tcPr>
          <w:p w14:paraId="6FFAA916" w14:textId="77777777" w:rsidR="008D12B3" w:rsidRPr="009E35ED" w:rsidRDefault="008D12B3">
            <w:pPr>
              <w:spacing w:line="256" w:lineRule="auto"/>
              <w:ind w:left="0"/>
              <w:jc w:val="right"/>
              <w:rPr>
                <w:rFonts w:ascii="Arial Narrow" w:hAnsi="Arial Narrow" w:cs="Calibri"/>
                <w:color w:val="000000" w:themeColor="text1"/>
                <w:sz w:val="20"/>
                <w:szCs w:val="20"/>
              </w:rPr>
            </w:pPr>
            <w:r w:rsidRPr="009E35ED">
              <w:rPr>
                <w:rFonts w:ascii="Arial Narrow" w:hAnsi="Arial Narrow" w:cs="Calibri"/>
                <w:color w:val="000000" w:themeColor="text1"/>
                <w:sz w:val="20"/>
                <w:szCs w:val="20"/>
              </w:rPr>
              <w:t>101,053,333</w:t>
            </w:r>
          </w:p>
        </w:tc>
        <w:tc>
          <w:tcPr>
            <w:tcW w:w="1614" w:type="dxa"/>
            <w:noWrap/>
            <w:vAlign w:val="bottom"/>
            <w:hideMark/>
          </w:tcPr>
          <w:p w14:paraId="7E35A188" w14:textId="77777777" w:rsidR="008D12B3" w:rsidRPr="009E35ED" w:rsidRDefault="008D12B3">
            <w:pPr>
              <w:spacing w:line="256" w:lineRule="auto"/>
              <w:ind w:left="0"/>
              <w:jc w:val="right"/>
              <w:rPr>
                <w:rFonts w:ascii="Arial Narrow" w:hAnsi="Arial Narrow" w:cs="Calibri"/>
                <w:color w:val="000000" w:themeColor="text1"/>
                <w:sz w:val="20"/>
                <w:szCs w:val="20"/>
              </w:rPr>
            </w:pPr>
            <w:r w:rsidRPr="009E35ED">
              <w:rPr>
                <w:rFonts w:ascii="Arial Narrow" w:hAnsi="Arial Narrow" w:cs="Calibri"/>
                <w:color w:val="000000" w:themeColor="text1"/>
                <w:sz w:val="20"/>
                <w:szCs w:val="20"/>
              </w:rPr>
              <w:t>101,586,667</w:t>
            </w:r>
          </w:p>
        </w:tc>
      </w:tr>
      <w:tr w:rsidR="00997F75" w:rsidRPr="009E35ED" w14:paraId="710FE31F" w14:textId="77777777" w:rsidTr="003D0E7E">
        <w:trPr>
          <w:trHeight w:val="248"/>
        </w:trPr>
        <w:tc>
          <w:tcPr>
            <w:tcW w:w="1497" w:type="dxa"/>
            <w:noWrap/>
            <w:vAlign w:val="bottom"/>
            <w:hideMark/>
          </w:tcPr>
          <w:p w14:paraId="38A5E3CD" w14:textId="77777777" w:rsidR="008D12B3" w:rsidRPr="009E35ED" w:rsidRDefault="008D12B3">
            <w:pPr>
              <w:spacing w:line="256" w:lineRule="auto"/>
              <w:ind w:left="0"/>
              <w:jc w:val="center"/>
              <w:rPr>
                <w:rFonts w:ascii="Arial Narrow" w:hAnsi="Arial Narrow" w:cs="Calibri"/>
                <w:color w:val="000000" w:themeColor="text1"/>
                <w:sz w:val="20"/>
                <w:szCs w:val="20"/>
                <w:lang w:val="en-PH"/>
              </w:rPr>
            </w:pPr>
            <w:r w:rsidRPr="009E35ED">
              <w:rPr>
                <w:rFonts w:ascii="Arial Narrow" w:hAnsi="Arial Narrow" w:cs="Calibri"/>
                <w:color w:val="000000" w:themeColor="text1"/>
                <w:sz w:val="20"/>
                <w:szCs w:val="20"/>
              </w:rPr>
              <w:t>Oct 13, 2023</w:t>
            </w:r>
          </w:p>
        </w:tc>
        <w:tc>
          <w:tcPr>
            <w:tcW w:w="1267" w:type="dxa"/>
            <w:noWrap/>
            <w:vAlign w:val="bottom"/>
            <w:hideMark/>
          </w:tcPr>
          <w:p w14:paraId="4F20FADA" w14:textId="77777777" w:rsidR="008D12B3" w:rsidRPr="009E35ED" w:rsidRDefault="008D12B3">
            <w:pPr>
              <w:spacing w:line="256" w:lineRule="auto"/>
              <w:ind w:left="0"/>
              <w:jc w:val="center"/>
              <w:rPr>
                <w:rFonts w:ascii="Arial Narrow" w:hAnsi="Arial Narrow" w:cs="Calibri"/>
                <w:color w:val="000000" w:themeColor="text1"/>
                <w:sz w:val="20"/>
                <w:szCs w:val="20"/>
              </w:rPr>
            </w:pPr>
            <w:r w:rsidRPr="009E35ED">
              <w:rPr>
                <w:rFonts w:ascii="Arial Narrow" w:hAnsi="Arial Narrow" w:cs="Calibri"/>
                <w:color w:val="000000" w:themeColor="text1"/>
                <w:sz w:val="20"/>
                <w:szCs w:val="20"/>
              </w:rPr>
              <w:t>Feb 09, 2024</w:t>
            </w:r>
          </w:p>
        </w:tc>
        <w:tc>
          <w:tcPr>
            <w:tcW w:w="1548" w:type="dxa"/>
            <w:noWrap/>
            <w:vAlign w:val="bottom"/>
            <w:hideMark/>
          </w:tcPr>
          <w:p w14:paraId="3F444CB2" w14:textId="77777777" w:rsidR="008D12B3" w:rsidRPr="009E35ED" w:rsidRDefault="008D12B3">
            <w:pPr>
              <w:spacing w:line="256" w:lineRule="auto"/>
              <w:ind w:left="0"/>
              <w:jc w:val="right"/>
              <w:rPr>
                <w:rFonts w:ascii="Arial Narrow" w:hAnsi="Arial Narrow" w:cs="Calibri"/>
                <w:color w:val="000000" w:themeColor="text1"/>
                <w:sz w:val="20"/>
                <w:szCs w:val="20"/>
              </w:rPr>
            </w:pPr>
            <w:r w:rsidRPr="009E35ED">
              <w:rPr>
                <w:rFonts w:ascii="Arial Narrow" w:hAnsi="Arial Narrow" w:cs="Calibri"/>
                <w:color w:val="000000" w:themeColor="text1"/>
                <w:sz w:val="20"/>
                <w:szCs w:val="20"/>
              </w:rPr>
              <w:t>100,000,000</w:t>
            </w:r>
          </w:p>
        </w:tc>
        <w:tc>
          <w:tcPr>
            <w:tcW w:w="1387" w:type="dxa"/>
            <w:noWrap/>
            <w:vAlign w:val="bottom"/>
            <w:hideMark/>
          </w:tcPr>
          <w:p w14:paraId="3A3F17CA" w14:textId="77777777" w:rsidR="008D12B3" w:rsidRPr="009E35ED" w:rsidRDefault="008D12B3">
            <w:pPr>
              <w:spacing w:line="256" w:lineRule="auto"/>
              <w:ind w:left="0"/>
              <w:jc w:val="right"/>
              <w:rPr>
                <w:rFonts w:ascii="Arial Narrow" w:hAnsi="Arial Narrow" w:cs="Calibri"/>
                <w:color w:val="000000" w:themeColor="text1"/>
                <w:sz w:val="20"/>
                <w:szCs w:val="20"/>
              </w:rPr>
            </w:pPr>
            <w:r w:rsidRPr="009E35ED">
              <w:rPr>
                <w:rFonts w:ascii="Arial Narrow" w:hAnsi="Arial Narrow" w:cs="Calibri"/>
                <w:color w:val="000000" w:themeColor="text1"/>
                <w:sz w:val="20"/>
                <w:szCs w:val="20"/>
              </w:rPr>
              <w:t>1,053,333</w:t>
            </w:r>
          </w:p>
        </w:tc>
        <w:tc>
          <w:tcPr>
            <w:tcW w:w="1614" w:type="dxa"/>
            <w:noWrap/>
            <w:vAlign w:val="bottom"/>
            <w:hideMark/>
          </w:tcPr>
          <w:p w14:paraId="21807308" w14:textId="77777777" w:rsidR="008D12B3" w:rsidRPr="009E35ED" w:rsidRDefault="008D12B3">
            <w:pPr>
              <w:spacing w:line="256" w:lineRule="auto"/>
              <w:ind w:left="0"/>
              <w:jc w:val="right"/>
              <w:rPr>
                <w:rFonts w:ascii="Arial Narrow" w:hAnsi="Arial Narrow" w:cs="Calibri"/>
                <w:color w:val="000000" w:themeColor="text1"/>
                <w:sz w:val="20"/>
                <w:szCs w:val="20"/>
              </w:rPr>
            </w:pPr>
            <w:r w:rsidRPr="009E35ED">
              <w:rPr>
                <w:rFonts w:ascii="Arial Narrow" w:hAnsi="Arial Narrow" w:cs="Calibri"/>
                <w:color w:val="000000" w:themeColor="text1"/>
                <w:sz w:val="20"/>
                <w:szCs w:val="20"/>
              </w:rPr>
              <w:t>101,053,333</w:t>
            </w:r>
          </w:p>
        </w:tc>
        <w:tc>
          <w:tcPr>
            <w:tcW w:w="1614" w:type="dxa"/>
            <w:noWrap/>
            <w:vAlign w:val="bottom"/>
            <w:hideMark/>
          </w:tcPr>
          <w:p w14:paraId="57C9BACB" w14:textId="77777777" w:rsidR="008D12B3" w:rsidRPr="009E35ED" w:rsidRDefault="008D12B3">
            <w:pPr>
              <w:spacing w:line="256" w:lineRule="auto"/>
              <w:ind w:left="0"/>
              <w:jc w:val="right"/>
              <w:rPr>
                <w:rFonts w:ascii="Arial Narrow" w:hAnsi="Arial Narrow" w:cs="Calibri"/>
                <w:color w:val="000000" w:themeColor="text1"/>
                <w:sz w:val="20"/>
                <w:szCs w:val="20"/>
              </w:rPr>
            </w:pPr>
            <w:r w:rsidRPr="009E35ED">
              <w:rPr>
                <w:rFonts w:ascii="Arial Narrow" w:hAnsi="Arial Narrow" w:cs="Calibri"/>
                <w:color w:val="000000" w:themeColor="text1"/>
                <w:sz w:val="20"/>
                <w:szCs w:val="20"/>
              </w:rPr>
              <w:t>101,586,667</w:t>
            </w:r>
          </w:p>
        </w:tc>
      </w:tr>
      <w:tr w:rsidR="00997F75" w:rsidRPr="009E35ED" w14:paraId="7C322CDD" w14:textId="77777777" w:rsidTr="003D0E7E">
        <w:trPr>
          <w:trHeight w:val="248"/>
        </w:trPr>
        <w:tc>
          <w:tcPr>
            <w:tcW w:w="1497" w:type="dxa"/>
            <w:noWrap/>
            <w:vAlign w:val="bottom"/>
            <w:hideMark/>
          </w:tcPr>
          <w:p w14:paraId="09891340" w14:textId="77777777" w:rsidR="008D12B3" w:rsidRPr="009E35ED" w:rsidRDefault="008D12B3">
            <w:pPr>
              <w:spacing w:line="256" w:lineRule="auto"/>
              <w:ind w:left="0"/>
              <w:jc w:val="center"/>
              <w:rPr>
                <w:rFonts w:ascii="Arial Narrow" w:hAnsi="Arial Narrow" w:cs="Calibri"/>
                <w:color w:val="000000" w:themeColor="text1"/>
                <w:sz w:val="20"/>
                <w:szCs w:val="20"/>
                <w:lang w:val="en-PH"/>
              </w:rPr>
            </w:pPr>
            <w:r w:rsidRPr="009E35ED">
              <w:rPr>
                <w:rFonts w:ascii="Arial Narrow" w:hAnsi="Arial Narrow" w:cs="Calibri"/>
                <w:color w:val="000000" w:themeColor="text1"/>
                <w:sz w:val="20"/>
                <w:szCs w:val="20"/>
              </w:rPr>
              <w:t>Oct 13, 2023</w:t>
            </w:r>
          </w:p>
        </w:tc>
        <w:tc>
          <w:tcPr>
            <w:tcW w:w="1267" w:type="dxa"/>
            <w:noWrap/>
            <w:vAlign w:val="bottom"/>
            <w:hideMark/>
          </w:tcPr>
          <w:p w14:paraId="6AB442CF" w14:textId="77777777" w:rsidR="008D12B3" w:rsidRPr="009E35ED" w:rsidRDefault="008D12B3">
            <w:pPr>
              <w:spacing w:line="256" w:lineRule="auto"/>
              <w:ind w:left="0"/>
              <w:jc w:val="center"/>
              <w:rPr>
                <w:rFonts w:ascii="Arial Narrow" w:hAnsi="Arial Narrow" w:cs="Calibri"/>
                <w:color w:val="000000" w:themeColor="text1"/>
                <w:sz w:val="20"/>
                <w:szCs w:val="20"/>
              </w:rPr>
            </w:pPr>
            <w:r w:rsidRPr="009E35ED">
              <w:rPr>
                <w:rFonts w:ascii="Arial Narrow" w:hAnsi="Arial Narrow" w:cs="Calibri"/>
                <w:color w:val="000000" w:themeColor="text1"/>
                <w:sz w:val="20"/>
                <w:szCs w:val="20"/>
              </w:rPr>
              <w:t>Feb 09, 2024</w:t>
            </w:r>
          </w:p>
        </w:tc>
        <w:tc>
          <w:tcPr>
            <w:tcW w:w="1548" w:type="dxa"/>
            <w:noWrap/>
            <w:vAlign w:val="bottom"/>
            <w:hideMark/>
          </w:tcPr>
          <w:p w14:paraId="2073E0C2" w14:textId="77777777" w:rsidR="008D12B3" w:rsidRPr="009E35ED" w:rsidRDefault="008D12B3">
            <w:pPr>
              <w:spacing w:line="256" w:lineRule="auto"/>
              <w:ind w:left="0"/>
              <w:jc w:val="right"/>
              <w:rPr>
                <w:rFonts w:ascii="Arial Narrow" w:hAnsi="Arial Narrow" w:cs="Calibri"/>
                <w:color w:val="000000" w:themeColor="text1"/>
                <w:sz w:val="20"/>
                <w:szCs w:val="20"/>
              </w:rPr>
            </w:pPr>
            <w:r w:rsidRPr="009E35ED">
              <w:rPr>
                <w:rFonts w:ascii="Arial Narrow" w:hAnsi="Arial Narrow" w:cs="Calibri"/>
                <w:color w:val="000000" w:themeColor="text1"/>
                <w:sz w:val="20"/>
                <w:szCs w:val="20"/>
              </w:rPr>
              <w:t>100,000,000</w:t>
            </w:r>
          </w:p>
        </w:tc>
        <w:tc>
          <w:tcPr>
            <w:tcW w:w="1387" w:type="dxa"/>
            <w:noWrap/>
            <w:vAlign w:val="bottom"/>
            <w:hideMark/>
          </w:tcPr>
          <w:p w14:paraId="188238FD" w14:textId="77777777" w:rsidR="008D12B3" w:rsidRPr="009E35ED" w:rsidRDefault="008D12B3">
            <w:pPr>
              <w:spacing w:line="256" w:lineRule="auto"/>
              <w:ind w:left="0"/>
              <w:jc w:val="right"/>
              <w:rPr>
                <w:rFonts w:ascii="Arial Narrow" w:hAnsi="Arial Narrow" w:cs="Calibri"/>
                <w:color w:val="000000" w:themeColor="text1"/>
                <w:sz w:val="20"/>
                <w:szCs w:val="20"/>
              </w:rPr>
            </w:pPr>
            <w:r w:rsidRPr="009E35ED">
              <w:rPr>
                <w:rFonts w:ascii="Arial Narrow" w:hAnsi="Arial Narrow" w:cs="Calibri"/>
                <w:color w:val="000000" w:themeColor="text1"/>
                <w:sz w:val="20"/>
                <w:szCs w:val="20"/>
              </w:rPr>
              <w:t>1,053,333</w:t>
            </w:r>
          </w:p>
        </w:tc>
        <w:tc>
          <w:tcPr>
            <w:tcW w:w="1614" w:type="dxa"/>
            <w:noWrap/>
            <w:vAlign w:val="bottom"/>
            <w:hideMark/>
          </w:tcPr>
          <w:p w14:paraId="56D0F276" w14:textId="77777777" w:rsidR="008D12B3" w:rsidRPr="009E35ED" w:rsidRDefault="008D12B3">
            <w:pPr>
              <w:spacing w:line="256" w:lineRule="auto"/>
              <w:ind w:left="0"/>
              <w:jc w:val="right"/>
              <w:rPr>
                <w:rFonts w:ascii="Arial Narrow" w:hAnsi="Arial Narrow" w:cs="Calibri"/>
                <w:color w:val="000000" w:themeColor="text1"/>
                <w:sz w:val="20"/>
                <w:szCs w:val="20"/>
              </w:rPr>
            </w:pPr>
            <w:r w:rsidRPr="009E35ED">
              <w:rPr>
                <w:rFonts w:ascii="Arial Narrow" w:hAnsi="Arial Narrow" w:cs="Calibri"/>
                <w:color w:val="000000" w:themeColor="text1"/>
                <w:sz w:val="20"/>
                <w:szCs w:val="20"/>
              </w:rPr>
              <w:t>101,053,333</w:t>
            </w:r>
          </w:p>
        </w:tc>
        <w:tc>
          <w:tcPr>
            <w:tcW w:w="1614" w:type="dxa"/>
            <w:noWrap/>
            <w:vAlign w:val="bottom"/>
            <w:hideMark/>
          </w:tcPr>
          <w:p w14:paraId="28F28DAF" w14:textId="77777777" w:rsidR="008D12B3" w:rsidRPr="009E35ED" w:rsidRDefault="008D12B3">
            <w:pPr>
              <w:spacing w:line="256" w:lineRule="auto"/>
              <w:ind w:left="0"/>
              <w:jc w:val="right"/>
              <w:rPr>
                <w:rFonts w:ascii="Arial Narrow" w:hAnsi="Arial Narrow" w:cs="Calibri"/>
                <w:color w:val="000000" w:themeColor="text1"/>
                <w:sz w:val="20"/>
                <w:szCs w:val="20"/>
              </w:rPr>
            </w:pPr>
            <w:r w:rsidRPr="009E35ED">
              <w:rPr>
                <w:rFonts w:ascii="Arial Narrow" w:hAnsi="Arial Narrow" w:cs="Calibri"/>
                <w:color w:val="000000" w:themeColor="text1"/>
                <w:sz w:val="20"/>
                <w:szCs w:val="20"/>
              </w:rPr>
              <w:t>101,586,667</w:t>
            </w:r>
          </w:p>
        </w:tc>
      </w:tr>
      <w:tr w:rsidR="00997F75" w:rsidRPr="009E35ED" w14:paraId="1649CA20" w14:textId="77777777" w:rsidTr="003D0E7E">
        <w:trPr>
          <w:trHeight w:val="248"/>
        </w:trPr>
        <w:tc>
          <w:tcPr>
            <w:tcW w:w="1497" w:type="dxa"/>
            <w:noWrap/>
            <w:vAlign w:val="bottom"/>
            <w:hideMark/>
          </w:tcPr>
          <w:p w14:paraId="2BF026A1" w14:textId="77777777" w:rsidR="008D12B3" w:rsidRPr="009E35ED" w:rsidRDefault="008D12B3">
            <w:pPr>
              <w:spacing w:line="256" w:lineRule="auto"/>
              <w:ind w:left="0"/>
              <w:jc w:val="center"/>
              <w:rPr>
                <w:rFonts w:ascii="Arial Narrow" w:hAnsi="Arial Narrow" w:cs="Calibri"/>
                <w:color w:val="000000" w:themeColor="text1"/>
                <w:sz w:val="20"/>
                <w:szCs w:val="20"/>
                <w:lang w:val="en-PH"/>
              </w:rPr>
            </w:pPr>
            <w:r w:rsidRPr="009E35ED">
              <w:rPr>
                <w:rFonts w:ascii="Arial Narrow" w:hAnsi="Arial Narrow" w:cs="Calibri"/>
                <w:color w:val="000000" w:themeColor="text1"/>
                <w:sz w:val="20"/>
                <w:szCs w:val="20"/>
              </w:rPr>
              <w:t>Oct 13, 2023</w:t>
            </w:r>
          </w:p>
        </w:tc>
        <w:tc>
          <w:tcPr>
            <w:tcW w:w="1267" w:type="dxa"/>
            <w:noWrap/>
            <w:vAlign w:val="bottom"/>
            <w:hideMark/>
          </w:tcPr>
          <w:p w14:paraId="3706AA35" w14:textId="77777777" w:rsidR="008D12B3" w:rsidRPr="009E35ED" w:rsidRDefault="008D12B3">
            <w:pPr>
              <w:spacing w:line="256" w:lineRule="auto"/>
              <w:ind w:left="0"/>
              <w:jc w:val="center"/>
              <w:rPr>
                <w:rFonts w:ascii="Arial Narrow" w:hAnsi="Arial Narrow" w:cs="Calibri"/>
                <w:color w:val="000000" w:themeColor="text1"/>
                <w:sz w:val="20"/>
                <w:szCs w:val="20"/>
              </w:rPr>
            </w:pPr>
            <w:r w:rsidRPr="009E35ED">
              <w:rPr>
                <w:rFonts w:ascii="Arial Narrow" w:hAnsi="Arial Narrow" w:cs="Calibri"/>
                <w:color w:val="000000" w:themeColor="text1"/>
                <w:sz w:val="20"/>
                <w:szCs w:val="20"/>
              </w:rPr>
              <w:t>Feb 09, 2024</w:t>
            </w:r>
          </w:p>
        </w:tc>
        <w:tc>
          <w:tcPr>
            <w:tcW w:w="1548" w:type="dxa"/>
            <w:noWrap/>
            <w:vAlign w:val="bottom"/>
            <w:hideMark/>
          </w:tcPr>
          <w:p w14:paraId="15BC842E" w14:textId="77777777" w:rsidR="008D12B3" w:rsidRPr="009E35ED" w:rsidRDefault="008D12B3">
            <w:pPr>
              <w:spacing w:line="256" w:lineRule="auto"/>
              <w:ind w:left="0"/>
              <w:jc w:val="right"/>
              <w:rPr>
                <w:rFonts w:ascii="Arial Narrow" w:hAnsi="Arial Narrow" w:cs="Calibri"/>
                <w:color w:val="000000" w:themeColor="text1"/>
                <w:sz w:val="20"/>
                <w:szCs w:val="20"/>
              </w:rPr>
            </w:pPr>
            <w:r w:rsidRPr="009E35ED">
              <w:rPr>
                <w:rFonts w:ascii="Arial Narrow" w:hAnsi="Arial Narrow" w:cs="Calibri"/>
                <w:color w:val="000000" w:themeColor="text1"/>
                <w:sz w:val="20"/>
                <w:szCs w:val="20"/>
              </w:rPr>
              <w:t>100,000,000</w:t>
            </w:r>
          </w:p>
        </w:tc>
        <w:tc>
          <w:tcPr>
            <w:tcW w:w="1387" w:type="dxa"/>
            <w:noWrap/>
            <w:vAlign w:val="bottom"/>
            <w:hideMark/>
          </w:tcPr>
          <w:p w14:paraId="7C2792C7" w14:textId="77777777" w:rsidR="008D12B3" w:rsidRPr="009E35ED" w:rsidRDefault="008D12B3">
            <w:pPr>
              <w:spacing w:line="256" w:lineRule="auto"/>
              <w:ind w:left="0"/>
              <w:jc w:val="right"/>
              <w:rPr>
                <w:rFonts w:ascii="Arial Narrow" w:hAnsi="Arial Narrow" w:cs="Calibri"/>
                <w:color w:val="000000" w:themeColor="text1"/>
                <w:sz w:val="20"/>
                <w:szCs w:val="20"/>
              </w:rPr>
            </w:pPr>
            <w:r w:rsidRPr="009E35ED">
              <w:rPr>
                <w:rFonts w:ascii="Arial Narrow" w:hAnsi="Arial Narrow" w:cs="Calibri"/>
                <w:color w:val="000000" w:themeColor="text1"/>
                <w:sz w:val="20"/>
                <w:szCs w:val="20"/>
              </w:rPr>
              <w:t>1,053,333</w:t>
            </w:r>
          </w:p>
        </w:tc>
        <w:tc>
          <w:tcPr>
            <w:tcW w:w="1614" w:type="dxa"/>
            <w:noWrap/>
            <w:vAlign w:val="bottom"/>
            <w:hideMark/>
          </w:tcPr>
          <w:p w14:paraId="1536D3BB" w14:textId="77777777" w:rsidR="008D12B3" w:rsidRPr="009E35ED" w:rsidRDefault="008D12B3">
            <w:pPr>
              <w:spacing w:line="256" w:lineRule="auto"/>
              <w:ind w:left="0"/>
              <w:jc w:val="right"/>
              <w:rPr>
                <w:rFonts w:ascii="Arial Narrow" w:hAnsi="Arial Narrow" w:cs="Calibri"/>
                <w:color w:val="000000" w:themeColor="text1"/>
                <w:sz w:val="20"/>
                <w:szCs w:val="20"/>
              </w:rPr>
            </w:pPr>
            <w:r w:rsidRPr="009E35ED">
              <w:rPr>
                <w:rFonts w:ascii="Arial Narrow" w:hAnsi="Arial Narrow" w:cs="Calibri"/>
                <w:color w:val="000000" w:themeColor="text1"/>
                <w:sz w:val="20"/>
                <w:szCs w:val="20"/>
              </w:rPr>
              <w:t>101,053,333</w:t>
            </w:r>
          </w:p>
        </w:tc>
        <w:tc>
          <w:tcPr>
            <w:tcW w:w="1614" w:type="dxa"/>
            <w:noWrap/>
            <w:vAlign w:val="bottom"/>
            <w:hideMark/>
          </w:tcPr>
          <w:p w14:paraId="73657516" w14:textId="77777777" w:rsidR="008D12B3" w:rsidRPr="009E35ED" w:rsidRDefault="008D12B3">
            <w:pPr>
              <w:spacing w:line="256" w:lineRule="auto"/>
              <w:ind w:left="0"/>
              <w:jc w:val="right"/>
              <w:rPr>
                <w:rFonts w:ascii="Arial Narrow" w:hAnsi="Arial Narrow" w:cs="Calibri"/>
                <w:color w:val="000000" w:themeColor="text1"/>
                <w:sz w:val="20"/>
                <w:szCs w:val="20"/>
              </w:rPr>
            </w:pPr>
            <w:r w:rsidRPr="009E35ED">
              <w:rPr>
                <w:rFonts w:ascii="Arial Narrow" w:hAnsi="Arial Narrow" w:cs="Calibri"/>
                <w:color w:val="000000" w:themeColor="text1"/>
                <w:sz w:val="20"/>
                <w:szCs w:val="20"/>
              </w:rPr>
              <w:t>101,586,667</w:t>
            </w:r>
          </w:p>
        </w:tc>
      </w:tr>
      <w:tr w:rsidR="00997F75" w:rsidRPr="009E35ED" w14:paraId="7FF73EF7" w14:textId="77777777" w:rsidTr="003D0E7E">
        <w:trPr>
          <w:trHeight w:val="248"/>
        </w:trPr>
        <w:tc>
          <w:tcPr>
            <w:tcW w:w="1497" w:type="dxa"/>
            <w:noWrap/>
            <w:vAlign w:val="bottom"/>
            <w:hideMark/>
          </w:tcPr>
          <w:p w14:paraId="27DBEE4A" w14:textId="77777777" w:rsidR="008D12B3" w:rsidRPr="009E35ED" w:rsidRDefault="008D12B3">
            <w:pPr>
              <w:spacing w:line="256" w:lineRule="auto"/>
              <w:ind w:left="0"/>
              <w:jc w:val="center"/>
              <w:rPr>
                <w:rFonts w:ascii="Arial Narrow" w:hAnsi="Arial Narrow" w:cs="Calibri"/>
                <w:color w:val="000000" w:themeColor="text1"/>
                <w:sz w:val="20"/>
                <w:szCs w:val="20"/>
                <w:lang w:val="en-PH"/>
              </w:rPr>
            </w:pPr>
            <w:r w:rsidRPr="009E35ED">
              <w:rPr>
                <w:rFonts w:ascii="Arial Narrow" w:hAnsi="Arial Narrow" w:cs="Calibri"/>
                <w:color w:val="000000" w:themeColor="text1"/>
                <w:sz w:val="20"/>
                <w:szCs w:val="20"/>
              </w:rPr>
              <w:t>Oct 13, 2023</w:t>
            </w:r>
          </w:p>
        </w:tc>
        <w:tc>
          <w:tcPr>
            <w:tcW w:w="1267" w:type="dxa"/>
            <w:noWrap/>
            <w:vAlign w:val="bottom"/>
            <w:hideMark/>
          </w:tcPr>
          <w:p w14:paraId="3B515D5B" w14:textId="77777777" w:rsidR="008D12B3" w:rsidRPr="009E35ED" w:rsidRDefault="008D12B3">
            <w:pPr>
              <w:spacing w:line="256" w:lineRule="auto"/>
              <w:ind w:left="0"/>
              <w:jc w:val="center"/>
              <w:rPr>
                <w:rFonts w:ascii="Arial Narrow" w:hAnsi="Arial Narrow" w:cs="Calibri"/>
                <w:color w:val="000000" w:themeColor="text1"/>
                <w:sz w:val="20"/>
                <w:szCs w:val="20"/>
              </w:rPr>
            </w:pPr>
            <w:r w:rsidRPr="009E35ED">
              <w:rPr>
                <w:rFonts w:ascii="Arial Narrow" w:hAnsi="Arial Narrow" w:cs="Calibri"/>
                <w:color w:val="000000" w:themeColor="text1"/>
                <w:sz w:val="20"/>
                <w:szCs w:val="20"/>
              </w:rPr>
              <w:t>Feb 09, 2024</w:t>
            </w:r>
          </w:p>
        </w:tc>
        <w:tc>
          <w:tcPr>
            <w:tcW w:w="1548" w:type="dxa"/>
            <w:noWrap/>
            <w:vAlign w:val="bottom"/>
            <w:hideMark/>
          </w:tcPr>
          <w:p w14:paraId="3B77490C" w14:textId="77777777" w:rsidR="008D12B3" w:rsidRPr="009E35ED" w:rsidRDefault="008D12B3">
            <w:pPr>
              <w:spacing w:line="256" w:lineRule="auto"/>
              <w:ind w:left="0"/>
              <w:jc w:val="right"/>
              <w:rPr>
                <w:rFonts w:ascii="Arial Narrow" w:hAnsi="Arial Narrow" w:cs="Calibri"/>
                <w:color w:val="000000" w:themeColor="text1"/>
                <w:sz w:val="20"/>
                <w:szCs w:val="20"/>
              </w:rPr>
            </w:pPr>
            <w:r w:rsidRPr="009E35ED">
              <w:rPr>
                <w:rFonts w:ascii="Arial Narrow" w:hAnsi="Arial Narrow" w:cs="Calibri"/>
                <w:color w:val="000000" w:themeColor="text1"/>
                <w:sz w:val="20"/>
                <w:szCs w:val="20"/>
              </w:rPr>
              <w:t>100,000,000</w:t>
            </w:r>
          </w:p>
        </w:tc>
        <w:tc>
          <w:tcPr>
            <w:tcW w:w="1387" w:type="dxa"/>
            <w:noWrap/>
            <w:vAlign w:val="bottom"/>
            <w:hideMark/>
          </w:tcPr>
          <w:p w14:paraId="6A3A14CB" w14:textId="77777777" w:rsidR="008D12B3" w:rsidRPr="009E35ED" w:rsidRDefault="008D12B3">
            <w:pPr>
              <w:spacing w:line="256" w:lineRule="auto"/>
              <w:ind w:left="0"/>
              <w:jc w:val="right"/>
              <w:rPr>
                <w:rFonts w:ascii="Arial Narrow" w:hAnsi="Arial Narrow" w:cs="Calibri"/>
                <w:color w:val="000000" w:themeColor="text1"/>
                <w:sz w:val="20"/>
                <w:szCs w:val="20"/>
              </w:rPr>
            </w:pPr>
            <w:r w:rsidRPr="009E35ED">
              <w:rPr>
                <w:rFonts w:ascii="Arial Narrow" w:hAnsi="Arial Narrow" w:cs="Calibri"/>
                <w:color w:val="000000" w:themeColor="text1"/>
                <w:sz w:val="20"/>
                <w:szCs w:val="20"/>
              </w:rPr>
              <w:t>1,053,333</w:t>
            </w:r>
          </w:p>
        </w:tc>
        <w:tc>
          <w:tcPr>
            <w:tcW w:w="1614" w:type="dxa"/>
            <w:noWrap/>
            <w:vAlign w:val="bottom"/>
            <w:hideMark/>
          </w:tcPr>
          <w:p w14:paraId="513C9BDE" w14:textId="77777777" w:rsidR="008D12B3" w:rsidRPr="009E35ED" w:rsidRDefault="008D12B3">
            <w:pPr>
              <w:spacing w:line="256" w:lineRule="auto"/>
              <w:ind w:left="0"/>
              <w:jc w:val="right"/>
              <w:rPr>
                <w:rFonts w:ascii="Arial Narrow" w:hAnsi="Arial Narrow" w:cs="Calibri"/>
                <w:color w:val="000000" w:themeColor="text1"/>
                <w:sz w:val="20"/>
                <w:szCs w:val="20"/>
              </w:rPr>
            </w:pPr>
            <w:r w:rsidRPr="009E35ED">
              <w:rPr>
                <w:rFonts w:ascii="Arial Narrow" w:hAnsi="Arial Narrow" w:cs="Calibri"/>
                <w:color w:val="000000" w:themeColor="text1"/>
                <w:sz w:val="20"/>
                <w:szCs w:val="20"/>
              </w:rPr>
              <w:t>101,053,333</w:t>
            </w:r>
          </w:p>
        </w:tc>
        <w:tc>
          <w:tcPr>
            <w:tcW w:w="1614" w:type="dxa"/>
            <w:noWrap/>
            <w:vAlign w:val="bottom"/>
            <w:hideMark/>
          </w:tcPr>
          <w:p w14:paraId="1D34719C" w14:textId="77777777" w:rsidR="008D12B3" w:rsidRPr="009E35ED" w:rsidRDefault="008D12B3">
            <w:pPr>
              <w:spacing w:line="256" w:lineRule="auto"/>
              <w:ind w:left="0"/>
              <w:jc w:val="right"/>
              <w:rPr>
                <w:rFonts w:ascii="Arial Narrow" w:hAnsi="Arial Narrow" w:cs="Calibri"/>
                <w:color w:val="000000" w:themeColor="text1"/>
                <w:sz w:val="20"/>
                <w:szCs w:val="20"/>
              </w:rPr>
            </w:pPr>
            <w:r w:rsidRPr="009E35ED">
              <w:rPr>
                <w:rFonts w:ascii="Arial Narrow" w:hAnsi="Arial Narrow" w:cs="Calibri"/>
                <w:color w:val="000000" w:themeColor="text1"/>
                <w:sz w:val="20"/>
                <w:szCs w:val="20"/>
              </w:rPr>
              <w:t>101,586,667</w:t>
            </w:r>
          </w:p>
        </w:tc>
      </w:tr>
      <w:tr w:rsidR="00997F75" w:rsidRPr="009E35ED" w14:paraId="77CF76EA" w14:textId="77777777" w:rsidTr="003D0E7E">
        <w:trPr>
          <w:trHeight w:val="248"/>
        </w:trPr>
        <w:tc>
          <w:tcPr>
            <w:tcW w:w="1497" w:type="dxa"/>
            <w:noWrap/>
            <w:vAlign w:val="bottom"/>
            <w:hideMark/>
          </w:tcPr>
          <w:p w14:paraId="4B378D01" w14:textId="77777777" w:rsidR="008D12B3" w:rsidRPr="009E35ED" w:rsidRDefault="008D12B3">
            <w:pPr>
              <w:spacing w:line="256" w:lineRule="auto"/>
              <w:ind w:left="0"/>
              <w:jc w:val="center"/>
              <w:rPr>
                <w:rFonts w:ascii="Arial Narrow" w:hAnsi="Arial Narrow" w:cs="Calibri"/>
                <w:color w:val="000000" w:themeColor="text1"/>
                <w:sz w:val="20"/>
                <w:szCs w:val="20"/>
                <w:lang w:val="en-PH"/>
              </w:rPr>
            </w:pPr>
            <w:r w:rsidRPr="009E35ED">
              <w:rPr>
                <w:rFonts w:ascii="Arial Narrow" w:hAnsi="Arial Narrow" w:cs="Calibri"/>
                <w:color w:val="000000" w:themeColor="text1"/>
                <w:sz w:val="20"/>
                <w:szCs w:val="20"/>
              </w:rPr>
              <w:t>Oct 13, 2023</w:t>
            </w:r>
          </w:p>
        </w:tc>
        <w:tc>
          <w:tcPr>
            <w:tcW w:w="1267" w:type="dxa"/>
            <w:noWrap/>
            <w:vAlign w:val="bottom"/>
            <w:hideMark/>
          </w:tcPr>
          <w:p w14:paraId="2D294232" w14:textId="77777777" w:rsidR="008D12B3" w:rsidRPr="009E35ED" w:rsidRDefault="008D12B3">
            <w:pPr>
              <w:spacing w:line="256" w:lineRule="auto"/>
              <w:ind w:left="0"/>
              <w:jc w:val="center"/>
              <w:rPr>
                <w:rFonts w:ascii="Arial Narrow" w:hAnsi="Arial Narrow" w:cs="Calibri"/>
                <w:color w:val="000000" w:themeColor="text1"/>
                <w:sz w:val="20"/>
                <w:szCs w:val="20"/>
              </w:rPr>
            </w:pPr>
            <w:r w:rsidRPr="009E35ED">
              <w:rPr>
                <w:rFonts w:ascii="Arial Narrow" w:hAnsi="Arial Narrow" w:cs="Calibri"/>
                <w:color w:val="000000" w:themeColor="text1"/>
                <w:sz w:val="20"/>
                <w:szCs w:val="20"/>
              </w:rPr>
              <w:t>Feb 09, 2024</w:t>
            </w:r>
          </w:p>
        </w:tc>
        <w:tc>
          <w:tcPr>
            <w:tcW w:w="1548" w:type="dxa"/>
            <w:noWrap/>
            <w:vAlign w:val="bottom"/>
            <w:hideMark/>
          </w:tcPr>
          <w:p w14:paraId="22DD420C" w14:textId="77777777" w:rsidR="008D12B3" w:rsidRPr="009E35ED" w:rsidRDefault="008D12B3">
            <w:pPr>
              <w:spacing w:line="256" w:lineRule="auto"/>
              <w:ind w:left="0"/>
              <w:jc w:val="right"/>
              <w:rPr>
                <w:rFonts w:ascii="Arial Narrow" w:hAnsi="Arial Narrow" w:cs="Calibri"/>
                <w:color w:val="000000" w:themeColor="text1"/>
                <w:sz w:val="20"/>
                <w:szCs w:val="20"/>
              </w:rPr>
            </w:pPr>
            <w:r w:rsidRPr="009E35ED">
              <w:rPr>
                <w:rFonts w:ascii="Arial Narrow" w:hAnsi="Arial Narrow" w:cs="Calibri"/>
                <w:color w:val="000000" w:themeColor="text1"/>
                <w:sz w:val="20"/>
                <w:szCs w:val="20"/>
              </w:rPr>
              <w:t>100,000,000</w:t>
            </w:r>
          </w:p>
        </w:tc>
        <w:tc>
          <w:tcPr>
            <w:tcW w:w="1387" w:type="dxa"/>
            <w:noWrap/>
            <w:vAlign w:val="bottom"/>
            <w:hideMark/>
          </w:tcPr>
          <w:p w14:paraId="1D3B7D95" w14:textId="77777777" w:rsidR="008D12B3" w:rsidRPr="009E35ED" w:rsidRDefault="008D12B3">
            <w:pPr>
              <w:spacing w:line="256" w:lineRule="auto"/>
              <w:ind w:left="0"/>
              <w:jc w:val="right"/>
              <w:rPr>
                <w:rFonts w:ascii="Arial Narrow" w:hAnsi="Arial Narrow" w:cs="Calibri"/>
                <w:color w:val="000000" w:themeColor="text1"/>
                <w:sz w:val="20"/>
                <w:szCs w:val="20"/>
              </w:rPr>
            </w:pPr>
            <w:r w:rsidRPr="009E35ED">
              <w:rPr>
                <w:rFonts w:ascii="Arial Narrow" w:hAnsi="Arial Narrow" w:cs="Calibri"/>
                <w:color w:val="000000" w:themeColor="text1"/>
                <w:sz w:val="20"/>
                <w:szCs w:val="20"/>
              </w:rPr>
              <w:t>1,053,333</w:t>
            </w:r>
          </w:p>
        </w:tc>
        <w:tc>
          <w:tcPr>
            <w:tcW w:w="1614" w:type="dxa"/>
            <w:noWrap/>
            <w:vAlign w:val="bottom"/>
            <w:hideMark/>
          </w:tcPr>
          <w:p w14:paraId="0E4D91F3" w14:textId="77777777" w:rsidR="008D12B3" w:rsidRPr="009E35ED" w:rsidRDefault="008D12B3">
            <w:pPr>
              <w:spacing w:line="256" w:lineRule="auto"/>
              <w:ind w:left="0"/>
              <w:jc w:val="right"/>
              <w:rPr>
                <w:rFonts w:ascii="Arial Narrow" w:hAnsi="Arial Narrow" w:cs="Calibri"/>
                <w:color w:val="000000" w:themeColor="text1"/>
                <w:sz w:val="20"/>
                <w:szCs w:val="20"/>
              </w:rPr>
            </w:pPr>
            <w:r w:rsidRPr="009E35ED">
              <w:rPr>
                <w:rFonts w:ascii="Arial Narrow" w:hAnsi="Arial Narrow" w:cs="Calibri"/>
                <w:color w:val="000000" w:themeColor="text1"/>
                <w:sz w:val="20"/>
                <w:szCs w:val="20"/>
              </w:rPr>
              <w:t>101,053,333</w:t>
            </w:r>
          </w:p>
        </w:tc>
        <w:tc>
          <w:tcPr>
            <w:tcW w:w="1614" w:type="dxa"/>
            <w:noWrap/>
            <w:vAlign w:val="bottom"/>
            <w:hideMark/>
          </w:tcPr>
          <w:p w14:paraId="50E4E26E" w14:textId="77777777" w:rsidR="008D12B3" w:rsidRPr="009E35ED" w:rsidRDefault="008D12B3">
            <w:pPr>
              <w:spacing w:line="256" w:lineRule="auto"/>
              <w:ind w:left="0"/>
              <w:jc w:val="right"/>
              <w:rPr>
                <w:rFonts w:ascii="Arial Narrow" w:hAnsi="Arial Narrow" w:cs="Calibri"/>
                <w:color w:val="000000" w:themeColor="text1"/>
                <w:sz w:val="20"/>
                <w:szCs w:val="20"/>
              </w:rPr>
            </w:pPr>
            <w:r w:rsidRPr="009E35ED">
              <w:rPr>
                <w:rFonts w:ascii="Arial Narrow" w:hAnsi="Arial Narrow" w:cs="Calibri"/>
                <w:color w:val="000000" w:themeColor="text1"/>
                <w:sz w:val="20"/>
                <w:szCs w:val="20"/>
              </w:rPr>
              <w:t>101,586,667</w:t>
            </w:r>
          </w:p>
        </w:tc>
      </w:tr>
      <w:tr w:rsidR="00997F75" w:rsidRPr="009E35ED" w14:paraId="16CCE258" w14:textId="77777777" w:rsidTr="003D0E7E">
        <w:trPr>
          <w:trHeight w:val="248"/>
        </w:trPr>
        <w:tc>
          <w:tcPr>
            <w:tcW w:w="1497" w:type="dxa"/>
            <w:noWrap/>
            <w:vAlign w:val="bottom"/>
            <w:hideMark/>
          </w:tcPr>
          <w:p w14:paraId="6D11F0DB" w14:textId="35D057EC" w:rsidR="008D12B3" w:rsidRPr="009E35ED" w:rsidRDefault="008D12B3" w:rsidP="00E04255">
            <w:pPr>
              <w:spacing w:line="256" w:lineRule="auto"/>
              <w:ind w:left="0"/>
              <w:jc w:val="center"/>
              <w:rPr>
                <w:rFonts w:ascii="Arial Narrow" w:hAnsi="Arial Narrow" w:cs="Calibri"/>
                <w:color w:val="000000" w:themeColor="text1"/>
                <w:sz w:val="20"/>
                <w:szCs w:val="20"/>
                <w:lang w:val="en-PH"/>
              </w:rPr>
            </w:pPr>
            <w:r w:rsidRPr="009E35ED">
              <w:rPr>
                <w:rFonts w:ascii="Arial Narrow" w:hAnsi="Arial Narrow" w:cs="Calibri"/>
                <w:color w:val="000000" w:themeColor="text1"/>
                <w:sz w:val="20"/>
                <w:szCs w:val="20"/>
              </w:rPr>
              <w:t>Oct 13, 2023</w:t>
            </w:r>
          </w:p>
        </w:tc>
        <w:tc>
          <w:tcPr>
            <w:tcW w:w="1267" w:type="dxa"/>
            <w:noWrap/>
            <w:vAlign w:val="bottom"/>
            <w:hideMark/>
          </w:tcPr>
          <w:p w14:paraId="6451F984" w14:textId="77777777" w:rsidR="008D12B3" w:rsidRPr="009E35ED" w:rsidRDefault="008D12B3">
            <w:pPr>
              <w:spacing w:line="256" w:lineRule="auto"/>
              <w:ind w:left="0"/>
              <w:jc w:val="center"/>
              <w:rPr>
                <w:rFonts w:ascii="Arial Narrow" w:hAnsi="Arial Narrow" w:cs="Calibri"/>
                <w:color w:val="000000" w:themeColor="text1"/>
                <w:sz w:val="20"/>
                <w:szCs w:val="20"/>
              </w:rPr>
            </w:pPr>
            <w:r w:rsidRPr="009E35ED">
              <w:rPr>
                <w:rFonts w:ascii="Arial Narrow" w:hAnsi="Arial Narrow" w:cs="Calibri"/>
                <w:color w:val="000000" w:themeColor="text1"/>
                <w:sz w:val="20"/>
                <w:szCs w:val="20"/>
              </w:rPr>
              <w:t>Feb 09, 2024</w:t>
            </w:r>
          </w:p>
        </w:tc>
        <w:tc>
          <w:tcPr>
            <w:tcW w:w="1548" w:type="dxa"/>
            <w:noWrap/>
            <w:vAlign w:val="bottom"/>
            <w:hideMark/>
          </w:tcPr>
          <w:p w14:paraId="37DE35D0" w14:textId="77777777" w:rsidR="008D12B3" w:rsidRPr="009E35ED" w:rsidRDefault="008D12B3">
            <w:pPr>
              <w:spacing w:line="256" w:lineRule="auto"/>
              <w:ind w:left="0"/>
              <w:jc w:val="right"/>
              <w:rPr>
                <w:rFonts w:ascii="Arial Narrow" w:hAnsi="Arial Narrow" w:cs="Calibri"/>
                <w:color w:val="000000" w:themeColor="text1"/>
                <w:sz w:val="20"/>
                <w:szCs w:val="20"/>
              </w:rPr>
            </w:pPr>
            <w:r w:rsidRPr="009E35ED">
              <w:rPr>
                <w:rFonts w:ascii="Arial Narrow" w:hAnsi="Arial Narrow" w:cs="Calibri"/>
                <w:color w:val="000000" w:themeColor="text1"/>
                <w:sz w:val="20"/>
                <w:szCs w:val="20"/>
              </w:rPr>
              <w:t>100,000,000</w:t>
            </w:r>
          </w:p>
        </w:tc>
        <w:tc>
          <w:tcPr>
            <w:tcW w:w="1387" w:type="dxa"/>
            <w:noWrap/>
            <w:vAlign w:val="bottom"/>
            <w:hideMark/>
          </w:tcPr>
          <w:p w14:paraId="62C345E0" w14:textId="77777777" w:rsidR="008D12B3" w:rsidRPr="009E35ED" w:rsidRDefault="008D12B3">
            <w:pPr>
              <w:spacing w:line="256" w:lineRule="auto"/>
              <w:ind w:left="0"/>
              <w:jc w:val="right"/>
              <w:rPr>
                <w:rFonts w:ascii="Arial Narrow" w:hAnsi="Arial Narrow" w:cs="Calibri"/>
                <w:color w:val="000000" w:themeColor="text1"/>
                <w:sz w:val="20"/>
                <w:szCs w:val="20"/>
              </w:rPr>
            </w:pPr>
            <w:r w:rsidRPr="009E35ED">
              <w:rPr>
                <w:rFonts w:ascii="Arial Narrow" w:hAnsi="Arial Narrow" w:cs="Calibri"/>
                <w:color w:val="000000" w:themeColor="text1"/>
                <w:sz w:val="20"/>
                <w:szCs w:val="20"/>
              </w:rPr>
              <w:t>1,053,333</w:t>
            </w:r>
          </w:p>
        </w:tc>
        <w:tc>
          <w:tcPr>
            <w:tcW w:w="1614" w:type="dxa"/>
            <w:noWrap/>
            <w:vAlign w:val="bottom"/>
            <w:hideMark/>
          </w:tcPr>
          <w:p w14:paraId="785C8FFE" w14:textId="77777777" w:rsidR="008D12B3" w:rsidRPr="009E35ED" w:rsidRDefault="008D12B3">
            <w:pPr>
              <w:spacing w:line="256" w:lineRule="auto"/>
              <w:ind w:left="0"/>
              <w:jc w:val="right"/>
              <w:rPr>
                <w:rFonts w:ascii="Arial Narrow" w:hAnsi="Arial Narrow" w:cs="Calibri"/>
                <w:color w:val="000000" w:themeColor="text1"/>
                <w:sz w:val="20"/>
                <w:szCs w:val="20"/>
              </w:rPr>
            </w:pPr>
            <w:r w:rsidRPr="009E35ED">
              <w:rPr>
                <w:rFonts w:ascii="Arial Narrow" w:hAnsi="Arial Narrow" w:cs="Calibri"/>
                <w:color w:val="000000" w:themeColor="text1"/>
                <w:sz w:val="20"/>
                <w:szCs w:val="20"/>
              </w:rPr>
              <w:t>101,053,333</w:t>
            </w:r>
          </w:p>
        </w:tc>
        <w:tc>
          <w:tcPr>
            <w:tcW w:w="1614" w:type="dxa"/>
            <w:noWrap/>
            <w:vAlign w:val="bottom"/>
            <w:hideMark/>
          </w:tcPr>
          <w:p w14:paraId="120CF983" w14:textId="77777777" w:rsidR="008D12B3" w:rsidRPr="009E35ED" w:rsidRDefault="008D12B3">
            <w:pPr>
              <w:spacing w:line="256" w:lineRule="auto"/>
              <w:ind w:left="0"/>
              <w:jc w:val="right"/>
              <w:rPr>
                <w:rFonts w:ascii="Arial Narrow" w:hAnsi="Arial Narrow" w:cs="Calibri"/>
                <w:color w:val="000000" w:themeColor="text1"/>
                <w:sz w:val="20"/>
                <w:szCs w:val="20"/>
              </w:rPr>
            </w:pPr>
            <w:r w:rsidRPr="009E35ED">
              <w:rPr>
                <w:rFonts w:ascii="Arial Narrow" w:hAnsi="Arial Narrow" w:cs="Calibri"/>
                <w:color w:val="000000" w:themeColor="text1"/>
                <w:sz w:val="20"/>
                <w:szCs w:val="20"/>
              </w:rPr>
              <w:t>101,586,667</w:t>
            </w:r>
          </w:p>
        </w:tc>
      </w:tr>
      <w:tr w:rsidR="00997F75" w:rsidRPr="009E35ED" w14:paraId="2C6EDAE3" w14:textId="77777777" w:rsidTr="003D0E7E">
        <w:trPr>
          <w:trHeight w:val="248"/>
        </w:trPr>
        <w:tc>
          <w:tcPr>
            <w:tcW w:w="1497" w:type="dxa"/>
            <w:noWrap/>
            <w:vAlign w:val="bottom"/>
            <w:hideMark/>
          </w:tcPr>
          <w:p w14:paraId="4D1415F2" w14:textId="77777777" w:rsidR="008D12B3" w:rsidRPr="009E35ED" w:rsidRDefault="008D12B3">
            <w:pPr>
              <w:spacing w:line="256" w:lineRule="auto"/>
              <w:ind w:left="0"/>
              <w:jc w:val="center"/>
              <w:rPr>
                <w:rFonts w:ascii="Arial Narrow" w:hAnsi="Arial Narrow" w:cs="Calibri"/>
                <w:color w:val="000000" w:themeColor="text1"/>
                <w:sz w:val="20"/>
                <w:szCs w:val="20"/>
                <w:lang w:val="en-PH"/>
              </w:rPr>
            </w:pPr>
            <w:r w:rsidRPr="009E35ED">
              <w:rPr>
                <w:rFonts w:ascii="Arial Narrow" w:hAnsi="Arial Narrow" w:cs="Calibri"/>
                <w:color w:val="000000" w:themeColor="text1"/>
                <w:sz w:val="20"/>
                <w:szCs w:val="20"/>
              </w:rPr>
              <w:t>Oct 13, 2023</w:t>
            </w:r>
          </w:p>
        </w:tc>
        <w:tc>
          <w:tcPr>
            <w:tcW w:w="1267" w:type="dxa"/>
            <w:noWrap/>
            <w:vAlign w:val="bottom"/>
            <w:hideMark/>
          </w:tcPr>
          <w:p w14:paraId="169AC5CD" w14:textId="77777777" w:rsidR="008D12B3" w:rsidRPr="009E35ED" w:rsidRDefault="008D12B3">
            <w:pPr>
              <w:spacing w:line="256" w:lineRule="auto"/>
              <w:ind w:left="0"/>
              <w:jc w:val="center"/>
              <w:rPr>
                <w:rFonts w:ascii="Arial Narrow" w:hAnsi="Arial Narrow" w:cs="Calibri"/>
                <w:color w:val="000000" w:themeColor="text1"/>
                <w:sz w:val="20"/>
                <w:szCs w:val="20"/>
              </w:rPr>
            </w:pPr>
            <w:r w:rsidRPr="009E35ED">
              <w:rPr>
                <w:rFonts w:ascii="Arial Narrow" w:hAnsi="Arial Narrow" w:cs="Calibri"/>
                <w:color w:val="000000" w:themeColor="text1"/>
                <w:sz w:val="20"/>
                <w:szCs w:val="20"/>
              </w:rPr>
              <w:t>Feb 09, 2024</w:t>
            </w:r>
          </w:p>
        </w:tc>
        <w:tc>
          <w:tcPr>
            <w:tcW w:w="1548" w:type="dxa"/>
            <w:noWrap/>
            <w:vAlign w:val="bottom"/>
            <w:hideMark/>
          </w:tcPr>
          <w:p w14:paraId="4AA2F7A1" w14:textId="77777777" w:rsidR="008D12B3" w:rsidRPr="009E35ED" w:rsidRDefault="008D12B3">
            <w:pPr>
              <w:spacing w:line="256" w:lineRule="auto"/>
              <w:ind w:left="0"/>
              <w:jc w:val="right"/>
              <w:rPr>
                <w:rFonts w:ascii="Arial Narrow" w:hAnsi="Arial Narrow" w:cs="Calibri"/>
                <w:color w:val="000000" w:themeColor="text1"/>
                <w:sz w:val="20"/>
                <w:szCs w:val="20"/>
              </w:rPr>
            </w:pPr>
            <w:r w:rsidRPr="009E35ED">
              <w:rPr>
                <w:rFonts w:ascii="Arial Narrow" w:hAnsi="Arial Narrow" w:cs="Calibri"/>
                <w:color w:val="000000" w:themeColor="text1"/>
                <w:sz w:val="20"/>
                <w:szCs w:val="20"/>
              </w:rPr>
              <w:t>100,000,000</w:t>
            </w:r>
          </w:p>
        </w:tc>
        <w:tc>
          <w:tcPr>
            <w:tcW w:w="1387" w:type="dxa"/>
            <w:noWrap/>
            <w:vAlign w:val="bottom"/>
            <w:hideMark/>
          </w:tcPr>
          <w:p w14:paraId="6902B121" w14:textId="77777777" w:rsidR="008D12B3" w:rsidRPr="009E35ED" w:rsidRDefault="008D12B3">
            <w:pPr>
              <w:spacing w:line="256" w:lineRule="auto"/>
              <w:ind w:left="0"/>
              <w:jc w:val="right"/>
              <w:rPr>
                <w:rFonts w:ascii="Arial Narrow" w:hAnsi="Arial Narrow" w:cs="Calibri"/>
                <w:color w:val="000000" w:themeColor="text1"/>
                <w:sz w:val="20"/>
                <w:szCs w:val="20"/>
              </w:rPr>
            </w:pPr>
            <w:r w:rsidRPr="009E35ED">
              <w:rPr>
                <w:rFonts w:ascii="Arial Narrow" w:hAnsi="Arial Narrow" w:cs="Calibri"/>
                <w:color w:val="000000" w:themeColor="text1"/>
                <w:sz w:val="20"/>
                <w:szCs w:val="20"/>
              </w:rPr>
              <w:t>1,053,333</w:t>
            </w:r>
          </w:p>
        </w:tc>
        <w:tc>
          <w:tcPr>
            <w:tcW w:w="1614" w:type="dxa"/>
            <w:noWrap/>
            <w:vAlign w:val="bottom"/>
            <w:hideMark/>
          </w:tcPr>
          <w:p w14:paraId="2752306E" w14:textId="77777777" w:rsidR="008D12B3" w:rsidRPr="009E35ED" w:rsidRDefault="008D12B3">
            <w:pPr>
              <w:spacing w:line="256" w:lineRule="auto"/>
              <w:ind w:left="0"/>
              <w:jc w:val="right"/>
              <w:rPr>
                <w:rFonts w:ascii="Arial Narrow" w:hAnsi="Arial Narrow" w:cs="Calibri"/>
                <w:color w:val="000000" w:themeColor="text1"/>
                <w:sz w:val="20"/>
                <w:szCs w:val="20"/>
              </w:rPr>
            </w:pPr>
            <w:r w:rsidRPr="009E35ED">
              <w:rPr>
                <w:rFonts w:ascii="Arial Narrow" w:hAnsi="Arial Narrow" w:cs="Calibri"/>
                <w:color w:val="000000" w:themeColor="text1"/>
                <w:sz w:val="20"/>
                <w:szCs w:val="20"/>
              </w:rPr>
              <w:t>101,053,333</w:t>
            </w:r>
          </w:p>
        </w:tc>
        <w:tc>
          <w:tcPr>
            <w:tcW w:w="1614" w:type="dxa"/>
            <w:noWrap/>
            <w:vAlign w:val="bottom"/>
            <w:hideMark/>
          </w:tcPr>
          <w:p w14:paraId="1718C5F4" w14:textId="77777777" w:rsidR="008D12B3" w:rsidRPr="009E35ED" w:rsidRDefault="008D12B3">
            <w:pPr>
              <w:spacing w:line="256" w:lineRule="auto"/>
              <w:ind w:left="0"/>
              <w:jc w:val="right"/>
              <w:rPr>
                <w:rFonts w:ascii="Arial Narrow" w:hAnsi="Arial Narrow" w:cs="Calibri"/>
                <w:color w:val="000000" w:themeColor="text1"/>
                <w:sz w:val="20"/>
                <w:szCs w:val="20"/>
              </w:rPr>
            </w:pPr>
            <w:r w:rsidRPr="009E35ED">
              <w:rPr>
                <w:rFonts w:ascii="Arial Narrow" w:hAnsi="Arial Narrow" w:cs="Calibri"/>
                <w:color w:val="000000" w:themeColor="text1"/>
                <w:sz w:val="20"/>
                <w:szCs w:val="20"/>
              </w:rPr>
              <w:t>101,586,667</w:t>
            </w:r>
          </w:p>
        </w:tc>
      </w:tr>
      <w:tr w:rsidR="00997F75" w:rsidRPr="009E35ED" w14:paraId="2385CDD2" w14:textId="77777777" w:rsidTr="003D0E7E">
        <w:trPr>
          <w:trHeight w:val="248"/>
        </w:trPr>
        <w:tc>
          <w:tcPr>
            <w:tcW w:w="1497" w:type="dxa"/>
            <w:noWrap/>
            <w:vAlign w:val="bottom"/>
            <w:hideMark/>
          </w:tcPr>
          <w:p w14:paraId="33D0079D" w14:textId="77777777" w:rsidR="008D12B3" w:rsidRPr="009E35ED" w:rsidRDefault="008D12B3">
            <w:pPr>
              <w:spacing w:line="256" w:lineRule="auto"/>
              <w:ind w:left="0"/>
              <w:jc w:val="center"/>
              <w:rPr>
                <w:rFonts w:ascii="Arial Narrow" w:hAnsi="Arial Narrow" w:cs="Calibri"/>
                <w:color w:val="000000" w:themeColor="text1"/>
                <w:sz w:val="20"/>
                <w:szCs w:val="20"/>
                <w:lang w:val="en-PH"/>
              </w:rPr>
            </w:pPr>
            <w:r w:rsidRPr="009E35ED">
              <w:rPr>
                <w:rFonts w:ascii="Arial Narrow" w:hAnsi="Arial Narrow" w:cs="Calibri"/>
                <w:color w:val="000000" w:themeColor="text1"/>
                <w:sz w:val="20"/>
                <w:szCs w:val="20"/>
              </w:rPr>
              <w:t>Oct 13, 2023</w:t>
            </w:r>
          </w:p>
        </w:tc>
        <w:tc>
          <w:tcPr>
            <w:tcW w:w="1267" w:type="dxa"/>
            <w:noWrap/>
            <w:vAlign w:val="bottom"/>
            <w:hideMark/>
          </w:tcPr>
          <w:p w14:paraId="4EC0E102" w14:textId="77777777" w:rsidR="008D12B3" w:rsidRPr="009E35ED" w:rsidRDefault="008D12B3">
            <w:pPr>
              <w:spacing w:line="256" w:lineRule="auto"/>
              <w:ind w:left="0"/>
              <w:jc w:val="center"/>
              <w:rPr>
                <w:rFonts w:ascii="Arial Narrow" w:hAnsi="Arial Narrow" w:cs="Calibri"/>
                <w:color w:val="000000" w:themeColor="text1"/>
                <w:sz w:val="20"/>
                <w:szCs w:val="20"/>
              </w:rPr>
            </w:pPr>
            <w:r w:rsidRPr="009E35ED">
              <w:rPr>
                <w:rFonts w:ascii="Arial Narrow" w:hAnsi="Arial Narrow" w:cs="Calibri"/>
                <w:color w:val="000000" w:themeColor="text1"/>
                <w:sz w:val="20"/>
                <w:szCs w:val="20"/>
              </w:rPr>
              <w:t>Feb 09, 2024</w:t>
            </w:r>
          </w:p>
        </w:tc>
        <w:tc>
          <w:tcPr>
            <w:tcW w:w="1548" w:type="dxa"/>
            <w:noWrap/>
            <w:vAlign w:val="bottom"/>
            <w:hideMark/>
          </w:tcPr>
          <w:p w14:paraId="5884F4CC" w14:textId="77777777" w:rsidR="008D12B3" w:rsidRPr="009E35ED" w:rsidRDefault="008D12B3">
            <w:pPr>
              <w:spacing w:line="256" w:lineRule="auto"/>
              <w:ind w:left="0"/>
              <w:jc w:val="right"/>
              <w:rPr>
                <w:rFonts w:ascii="Arial Narrow" w:hAnsi="Arial Narrow" w:cs="Calibri"/>
                <w:color w:val="000000" w:themeColor="text1"/>
                <w:sz w:val="20"/>
                <w:szCs w:val="20"/>
              </w:rPr>
            </w:pPr>
            <w:r w:rsidRPr="009E35ED">
              <w:rPr>
                <w:rFonts w:ascii="Arial Narrow" w:hAnsi="Arial Narrow" w:cs="Calibri"/>
                <w:color w:val="000000" w:themeColor="text1"/>
                <w:sz w:val="20"/>
                <w:szCs w:val="20"/>
              </w:rPr>
              <w:t>100,000,000</w:t>
            </w:r>
          </w:p>
        </w:tc>
        <w:tc>
          <w:tcPr>
            <w:tcW w:w="1387" w:type="dxa"/>
            <w:noWrap/>
            <w:vAlign w:val="bottom"/>
            <w:hideMark/>
          </w:tcPr>
          <w:p w14:paraId="7FB02599" w14:textId="77777777" w:rsidR="008D12B3" w:rsidRPr="009E35ED" w:rsidRDefault="008D12B3">
            <w:pPr>
              <w:spacing w:line="256" w:lineRule="auto"/>
              <w:ind w:left="0"/>
              <w:jc w:val="right"/>
              <w:rPr>
                <w:rFonts w:ascii="Arial Narrow" w:hAnsi="Arial Narrow" w:cs="Calibri"/>
                <w:color w:val="000000" w:themeColor="text1"/>
                <w:sz w:val="20"/>
                <w:szCs w:val="20"/>
              </w:rPr>
            </w:pPr>
            <w:r w:rsidRPr="009E35ED">
              <w:rPr>
                <w:rFonts w:ascii="Arial Narrow" w:hAnsi="Arial Narrow" w:cs="Calibri"/>
                <w:color w:val="000000" w:themeColor="text1"/>
                <w:sz w:val="20"/>
                <w:szCs w:val="20"/>
              </w:rPr>
              <w:t>1,053,333</w:t>
            </w:r>
          </w:p>
        </w:tc>
        <w:tc>
          <w:tcPr>
            <w:tcW w:w="1614" w:type="dxa"/>
            <w:noWrap/>
            <w:vAlign w:val="bottom"/>
            <w:hideMark/>
          </w:tcPr>
          <w:p w14:paraId="239F6993" w14:textId="77777777" w:rsidR="008D12B3" w:rsidRPr="009E35ED" w:rsidRDefault="008D12B3">
            <w:pPr>
              <w:spacing w:line="256" w:lineRule="auto"/>
              <w:ind w:left="0"/>
              <w:jc w:val="right"/>
              <w:rPr>
                <w:rFonts w:ascii="Arial Narrow" w:hAnsi="Arial Narrow" w:cs="Calibri"/>
                <w:color w:val="000000" w:themeColor="text1"/>
                <w:sz w:val="20"/>
                <w:szCs w:val="20"/>
              </w:rPr>
            </w:pPr>
            <w:r w:rsidRPr="009E35ED">
              <w:rPr>
                <w:rFonts w:ascii="Arial Narrow" w:hAnsi="Arial Narrow" w:cs="Calibri"/>
                <w:color w:val="000000" w:themeColor="text1"/>
                <w:sz w:val="20"/>
                <w:szCs w:val="20"/>
              </w:rPr>
              <w:t>101,053,333</w:t>
            </w:r>
          </w:p>
        </w:tc>
        <w:tc>
          <w:tcPr>
            <w:tcW w:w="1614" w:type="dxa"/>
            <w:noWrap/>
            <w:vAlign w:val="bottom"/>
            <w:hideMark/>
          </w:tcPr>
          <w:p w14:paraId="35A20425" w14:textId="77777777" w:rsidR="008D12B3" w:rsidRPr="009E35ED" w:rsidRDefault="008D12B3">
            <w:pPr>
              <w:spacing w:line="256" w:lineRule="auto"/>
              <w:ind w:left="0"/>
              <w:jc w:val="right"/>
              <w:rPr>
                <w:rFonts w:ascii="Arial Narrow" w:hAnsi="Arial Narrow" w:cs="Calibri"/>
                <w:color w:val="000000" w:themeColor="text1"/>
                <w:sz w:val="20"/>
                <w:szCs w:val="20"/>
              </w:rPr>
            </w:pPr>
            <w:r w:rsidRPr="009E35ED">
              <w:rPr>
                <w:rFonts w:ascii="Arial Narrow" w:hAnsi="Arial Narrow" w:cs="Calibri"/>
                <w:color w:val="000000" w:themeColor="text1"/>
                <w:sz w:val="20"/>
                <w:szCs w:val="20"/>
              </w:rPr>
              <w:t>101,586,667</w:t>
            </w:r>
          </w:p>
        </w:tc>
      </w:tr>
      <w:tr w:rsidR="00997F75" w:rsidRPr="009E35ED" w14:paraId="6199DF13" w14:textId="77777777" w:rsidTr="003D0E7E">
        <w:trPr>
          <w:trHeight w:val="248"/>
        </w:trPr>
        <w:tc>
          <w:tcPr>
            <w:tcW w:w="1497" w:type="dxa"/>
            <w:noWrap/>
            <w:vAlign w:val="bottom"/>
            <w:hideMark/>
          </w:tcPr>
          <w:p w14:paraId="5F35A49D" w14:textId="77777777" w:rsidR="008D12B3" w:rsidRPr="009E35ED" w:rsidRDefault="008D12B3">
            <w:pPr>
              <w:spacing w:line="256" w:lineRule="auto"/>
              <w:ind w:left="0"/>
              <w:jc w:val="center"/>
              <w:rPr>
                <w:rFonts w:ascii="Arial Narrow" w:hAnsi="Arial Narrow" w:cs="Calibri"/>
                <w:color w:val="000000" w:themeColor="text1"/>
                <w:sz w:val="20"/>
                <w:szCs w:val="20"/>
                <w:lang w:val="en-PH"/>
              </w:rPr>
            </w:pPr>
            <w:r w:rsidRPr="009E35ED">
              <w:rPr>
                <w:rFonts w:ascii="Arial Narrow" w:hAnsi="Arial Narrow" w:cs="Calibri"/>
                <w:color w:val="000000" w:themeColor="text1"/>
                <w:sz w:val="20"/>
                <w:szCs w:val="20"/>
              </w:rPr>
              <w:t>Oct 13, 2023</w:t>
            </w:r>
          </w:p>
        </w:tc>
        <w:tc>
          <w:tcPr>
            <w:tcW w:w="1267" w:type="dxa"/>
            <w:noWrap/>
            <w:vAlign w:val="bottom"/>
            <w:hideMark/>
          </w:tcPr>
          <w:p w14:paraId="27F90523" w14:textId="77777777" w:rsidR="008D12B3" w:rsidRPr="009E35ED" w:rsidRDefault="008D12B3">
            <w:pPr>
              <w:spacing w:line="256" w:lineRule="auto"/>
              <w:ind w:left="0"/>
              <w:jc w:val="center"/>
              <w:rPr>
                <w:rFonts w:ascii="Arial Narrow" w:hAnsi="Arial Narrow" w:cs="Calibri"/>
                <w:color w:val="000000" w:themeColor="text1"/>
                <w:sz w:val="20"/>
                <w:szCs w:val="20"/>
              </w:rPr>
            </w:pPr>
            <w:r w:rsidRPr="009E35ED">
              <w:rPr>
                <w:rFonts w:ascii="Arial Narrow" w:hAnsi="Arial Narrow" w:cs="Calibri"/>
                <w:color w:val="000000" w:themeColor="text1"/>
                <w:sz w:val="20"/>
                <w:szCs w:val="20"/>
              </w:rPr>
              <w:t>Feb 09, 2024</w:t>
            </w:r>
          </w:p>
        </w:tc>
        <w:tc>
          <w:tcPr>
            <w:tcW w:w="1548" w:type="dxa"/>
            <w:noWrap/>
            <w:vAlign w:val="bottom"/>
            <w:hideMark/>
          </w:tcPr>
          <w:p w14:paraId="1746CAFC" w14:textId="77777777" w:rsidR="008D12B3" w:rsidRPr="009E35ED" w:rsidRDefault="008D12B3">
            <w:pPr>
              <w:spacing w:line="256" w:lineRule="auto"/>
              <w:ind w:left="0"/>
              <w:jc w:val="right"/>
              <w:rPr>
                <w:rFonts w:ascii="Arial Narrow" w:hAnsi="Arial Narrow" w:cs="Calibri"/>
                <w:color w:val="000000" w:themeColor="text1"/>
                <w:sz w:val="20"/>
                <w:szCs w:val="20"/>
              </w:rPr>
            </w:pPr>
            <w:r w:rsidRPr="009E35ED">
              <w:rPr>
                <w:rFonts w:ascii="Arial Narrow" w:hAnsi="Arial Narrow" w:cs="Calibri"/>
                <w:color w:val="000000" w:themeColor="text1"/>
                <w:sz w:val="20"/>
                <w:szCs w:val="20"/>
              </w:rPr>
              <w:t>100,000,000</w:t>
            </w:r>
          </w:p>
        </w:tc>
        <w:tc>
          <w:tcPr>
            <w:tcW w:w="1387" w:type="dxa"/>
            <w:noWrap/>
            <w:vAlign w:val="bottom"/>
            <w:hideMark/>
          </w:tcPr>
          <w:p w14:paraId="11E5F307" w14:textId="77777777" w:rsidR="008D12B3" w:rsidRPr="009E35ED" w:rsidRDefault="008D12B3">
            <w:pPr>
              <w:spacing w:line="256" w:lineRule="auto"/>
              <w:ind w:left="0"/>
              <w:jc w:val="right"/>
              <w:rPr>
                <w:rFonts w:ascii="Arial Narrow" w:hAnsi="Arial Narrow" w:cs="Calibri"/>
                <w:color w:val="000000" w:themeColor="text1"/>
                <w:sz w:val="20"/>
                <w:szCs w:val="20"/>
              </w:rPr>
            </w:pPr>
            <w:r w:rsidRPr="009E35ED">
              <w:rPr>
                <w:rFonts w:ascii="Arial Narrow" w:hAnsi="Arial Narrow" w:cs="Calibri"/>
                <w:color w:val="000000" w:themeColor="text1"/>
                <w:sz w:val="20"/>
                <w:szCs w:val="20"/>
              </w:rPr>
              <w:t>1,053,333</w:t>
            </w:r>
          </w:p>
        </w:tc>
        <w:tc>
          <w:tcPr>
            <w:tcW w:w="1614" w:type="dxa"/>
            <w:noWrap/>
            <w:vAlign w:val="bottom"/>
            <w:hideMark/>
          </w:tcPr>
          <w:p w14:paraId="3DA8FFFA" w14:textId="77777777" w:rsidR="008D12B3" w:rsidRPr="009E35ED" w:rsidRDefault="008D12B3">
            <w:pPr>
              <w:spacing w:line="256" w:lineRule="auto"/>
              <w:ind w:left="0"/>
              <w:jc w:val="right"/>
              <w:rPr>
                <w:rFonts w:ascii="Arial Narrow" w:hAnsi="Arial Narrow" w:cs="Calibri"/>
                <w:color w:val="000000" w:themeColor="text1"/>
                <w:sz w:val="20"/>
                <w:szCs w:val="20"/>
              </w:rPr>
            </w:pPr>
            <w:r w:rsidRPr="009E35ED">
              <w:rPr>
                <w:rFonts w:ascii="Arial Narrow" w:hAnsi="Arial Narrow" w:cs="Calibri"/>
                <w:color w:val="000000" w:themeColor="text1"/>
                <w:sz w:val="20"/>
                <w:szCs w:val="20"/>
              </w:rPr>
              <w:t>101,053,333</w:t>
            </w:r>
          </w:p>
        </w:tc>
        <w:tc>
          <w:tcPr>
            <w:tcW w:w="1614" w:type="dxa"/>
            <w:noWrap/>
            <w:vAlign w:val="bottom"/>
            <w:hideMark/>
          </w:tcPr>
          <w:p w14:paraId="1770E8A6" w14:textId="77777777" w:rsidR="008D12B3" w:rsidRPr="009E35ED" w:rsidRDefault="008D12B3">
            <w:pPr>
              <w:spacing w:line="256" w:lineRule="auto"/>
              <w:ind w:left="0"/>
              <w:jc w:val="right"/>
              <w:rPr>
                <w:rFonts w:ascii="Arial Narrow" w:hAnsi="Arial Narrow" w:cs="Calibri"/>
                <w:color w:val="000000" w:themeColor="text1"/>
                <w:sz w:val="20"/>
                <w:szCs w:val="20"/>
              </w:rPr>
            </w:pPr>
            <w:r w:rsidRPr="009E35ED">
              <w:rPr>
                <w:rFonts w:ascii="Arial Narrow" w:hAnsi="Arial Narrow" w:cs="Calibri"/>
                <w:color w:val="000000" w:themeColor="text1"/>
                <w:sz w:val="20"/>
                <w:szCs w:val="20"/>
              </w:rPr>
              <w:t>101,586,667</w:t>
            </w:r>
          </w:p>
        </w:tc>
      </w:tr>
      <w:tr w:rsidR="00997F75" w:rsidRPr="009E35ED" w14:paraId="2919652C" w14:textId="77777777" w:rsidTr="003D0E7E">
        <w:trPr>
          <w:trHeight w:val="248"/>
        </w:trPr>
        <w:tc>
          <w:tcPr>
            <w:tcW w:w="1497" w:type="dxa"/>
            <w:noWrap/>
            <w:vAlign w:val="bottom"/>
            <w:hideMark/>
          </w:tcPr>
          <w:p w14:paraId="670FD3A3" w14:textId="77777777" w:rsidR="008D12B3" w:rsidRPr="009E35ED" w:rsidRDefault="008D12B3">
            <w:pPr>
              <w:spacing w:line="256" w:lineRule="auto"/>
              <w:ind w:left="0"/>
              <w:jc w:val="center"/>
              <w:rPr>
                <w:rFonts w:ascii="Arial Narrow" w:hAnsi="Arial Narrow" w:cs="Calibri"/>
                <w:color w:val="000000" w:themeColor="text1"/>
                <w:sz w:val="20"/>
                <w:szCs w:val="20"/>
                <w:lang w:val="en-PH"/>
              </w:rPr>
            </w:pPr>
            <w:r w:rsidRPr="009E35ED">
              <w:rPr>
                <w:rFonts w:ascii="Arial Narrow" w:hAnsi="Arial Narrow" w:cs="Calibri"/>
                <w:color w:val="000000" w:themeColor="text1"/>
                <w:sz w:val="20"/>
                <w:szCs w:val="20"/>
              </w:rPr>
              <w:t>Oct 13, 2023</w:t>
            </w:r>
          </w:p>
        </w:tc>
        <w:tc>
          <w:tcPr>
            <w:tcW w:w="1267" w:type="dxa"/>
            <w:noWrap/>
            <w:vAlign w:val="bottom"/>
            <w:hideMark/>
          </w:tcPr>
          <w:p w14:paraId="6536F818" w14:textId="77777777" w:rsidR="008D12B3" w:rsidRPr="009E35ED" w:rsidRDefault="008D12B3">
            <w:pPr>
              <w:spacing w:line="256" w:lineRule="auto"/>
              <w:ind w:left="0"/>
              <w:jc w:val="center"/>
              <w:rPr>
                <w:rFonts w:ascii="Arial Narrow" w:hAnsi="Arial Narrow" w:cs="Calibri"/>
                <w:color w:val="000000" w:themeColor="text1"/>
                <w:sz w:val="20"/>
                <w:szCs w:val="20"/>
              </w:rPr>
            </w:pPr>
            <w:r w:rsidRPr="009E35ED">
              <w:rPr>
                <w:rFonts w:ascii="Arial Narrow" w:hAnsi="Arial Narrow" w:cs="Calibri"/>
                <w:color w:val="000000" w:themeColor="text1"/>
                <w:sz w:val="20"/>
                <w:szCs w:val="20"/>
              </w:rPr>
              <w:t>Feb 09, 2024</w:t>
            </w:r>
          </w:p>
        </w:tc>
        <w:tc>
          <w:tcPr>
            <w:tcW w:w="1548" w:type="dxa"/>
            <w:noWrap/>
            <w:vAlign w:val="bottom"/>
            <w:hideMark/>
          </w:tcPr>
          <w:p w14:paraId="08D88F6F" w14:textId="77777777" w:rsidR="008D12B3" w:rsidRPr="009E35ED" w:rsidRDefault="008D12B3">
            <w:pPr>
              <w:spacing w:line="256" w:lineRule="auto"/>
              <w:ind w:left="0"/>
              <w:jc w:val="right"/>
              <w:rPr>
                <w:rFonts w:ascii="Arial Narrow" w:hAnsi="Arial Narrow" w:cs="Calibri"/>
                <w:color w:val="000000" w:themeColor="text1"/>
                <w:sz w:val="20"/>
                <w:szCs w:val="20"/>
              </w:rPr>
            </w:pPr>
            <w:r w:rsidRPr="009E35ED">
              <w:rPr>
                <w:rFonts w:ascii="Arial Narrow" w:hAnsi="Arial Narrow" w:cs="Calibri"/>
                <w:color w:val="000000" w:themeColor="text1"/>
                <w:sz w:val="20"/>
                <w:szCs w:val="20"/>
              </w:rPr>
              <w:t>100,000,000</w:t>
            </w:r>
          </w:p>
        </w:tc>
        <w:tc>
          <w:tcPr>
            <w:tcW w:w="1387" w:type="dxa"/>
            <w:noWrap/>
            <w:vAlign w:val="bottom"/>
            <w:hideMark/>
          </w:tcPr>
          <w:p w14:paraId="77033936" w14:textId="77777777" w:rsidR="008D12B3" w:rsidRPr="009E35ED" w:rsidRDefault="008D12B3">
            <w:pPr>
              <w:spacing w:line="256" w:lineRule="auto"/>
              <w:ind w:left="0"/>
              <w:jc w:val="right"/>
              <w:rPr>
                <w:rFonts w:ascii="Arial Narrow" w:hAnsi="Arial Narrow" w:cs="Calibri"/>
                <w:color w:val="000000" w:themeColor="text1"/>
                <w:sz w:val="20"/>
                <w:szCs w:val="20"/>
              </w:rPr>
            </w:pPr>
            <w:r w:rsidRPr="009E35ED">
              <w:rPr>
                <w:rFonts w:ascii="Arial Narrow" w:hAnsi="Arial Narrow" w:cs="Calibri"/>
                <w:color w:val="000000" w:themeColor="text1"/>
                <w:sz w:val="20"/>
                <w:szCs w:val="20"/>
              </w:rPr>
              <w:t>1,053,333</w:t>
            </w:r>
          </w:p>
        </w:tc>
        <w:tc>
          <w:tcPr>
            <w:tcW w:w="1614" w:type="dxa"/>
            <w:noWrap/>
            <w:vAlign w:val="bottom"/>
            <w:hideMark/>
          </w:tcPr>
          <w:p w14:paraId="51B6CD0B" w14:textId="77777777" w:rsidR="008D12B3" w:rsidRPr="009E35ED" w:rsidRDefault="008D12B3">
            <w:pPr>
              <w:spacing w:line="256" w:lineRule="auto"/>
              <w:ind w:left="0"/>
              <w:jc w:val="right"/>
              <w:rPr>
                <w:rFonts w:ascii="Arial Narrow" w:hAnsi="Arial Narrow" w:cs="Calibri"/>
                <w:color w:val="000000" w:themeColor="text1"/>
                <w:sz w:val="20"/>
                <w:szCs w:val="20"/>
              </w:rPr>
            </w:pPr>
            <w:r w:rsidRPr="009E35ED">
              <w:rPr>
                <w:rFonts w:ascii="Arial Narrow" w:hAnsi="Arial Narrow" w:cs="Calibri"/>
                <w:color w:val="000000" w:themeColor="text1"/>
                <w:sz w:val="20"/>
                <w:szCs w:val="20"/>
              </w:rPr>
              <w:t>101,053,333</w:t>
            </w:r>
          </w:p>
        </w:tc>
        <w:tc>
          <w:tcPr>
            <w:tcW w:w="1614" w:type="dxa"/>
            <w:noWrap/>
            <w:vAlign w:val="bottom"/>
            <w:hideMark/>
          </w:tcPr>
          <w:p w14:paraId="6CE505B8" w14:textId="77777777" w:rsidR="008D12B3" w:rsidRPr="009E35ED" w:rsidRDefault="008D12B3">
            <w:pPr>
              <w:spacing w:line="256" w:lineRule="auto"/>
              <w:ind w:left="0"/>
              <w:jc w:val="right"/>
              <w:rPr>
                <w:rFonts w:ascii="Arial Narrow" w:hAnsi="Arial Narrow" w:cs="Calibri"/>
                <w:color w:val="000000" w:themeColor="text1"/>
                <w:sz w:val="20"/>
                <w:szCs w:val="20"/>
              </w:rPr>
            </w:pPr>
            <w:r w:rsidRPr="009E35ED">
              <w:rPr>
                <w:rFonts w:ascii="Arial Narrow" w:hAnsi="Arial Narrow" w:cs="Calibri"/>
                <w:color w:val="000000" w:themeColor="text1"/>
                <w:sz w:val="20"/>
                <w:szCs w:val="20"/>
              </w:rPr>
              <w:t>101,586,667</w:t>
            </w:r>
          </w:p>
        </w:tc>
      </w:tr>
      <w:tr w:rsidR="00997F75" w:rsidRPr="009E35ED" w14:paraId="5CFC986A" w14:textId="77777777" w:rsidTr="003D0E7E">
        <w:trPr>
          <w:trHeight w:val="248"/>
        </w:trPr>
        <w:tc>
          <w:tcPr>
            <w:tcW w:w="1497" w:type="dxa"/>
            <w:noWrap/>
            <w:vAlign w:val="bottom"/>
            <w:hideMark/>
          </w:tcPr>
          <w:p w14:paraId="4E4B103E" w14:textId="77777777" w:rsidR="008D12B3" w:rsidRPr="009E35ED" w:rsidRDefault="008D12B3">
            <w:pPr>
              <w:spacing w:line="256" w:lineRule="auto"/>
              <w:ind w:left="0"/>
              <w:jc w:val="center"/>
              <w:rPr>
                <w:rFonts w:ascii="Arial Narrow" w:hAnsi="Arial Narrow" w:cs="Calibri"/>
                <w:color w:val="000000" w:themeColor="text1"/>
                <w:sz w:val="20"/>
                <w:szCs w:val="20"/>
                <w:lang w:val="en-PH"/>
              </w:rPr>
            </w:pPr>
            <w:r w:rsidRPr="009E35ED">
              <w:rPr>
                <w:rFonts w:ascii="Arial Narrow" w:hAnsi="Arial Narrow" w:cs="Calibri"/>
                <w:color w:val="000000" w:themeColor="text1"/>
                <w:sz w:val="20"/>
                <w:szCs w:val="20"/>
              </w:rPr>
              <w:t>Oct 13, 2023</w:t>
            </w:r>
          </w:p>
        </w:tc>
        <w:tc>
          <w:tcPr>
            <w:tcW w:w="1267" w:type="dxa"/>
            <w:noWrap/>
            <w:vAlign w:val="bottom"/>
            <w:hideMark/>
          </w:tcPr>
          <w:p w14:paraId="30BAEA66" w14:textId="77777777" w:rsidR="008D12B3" w:rsidRPr="009E35ED" w:rsidRDefault="008D12B3">
            <w:pPr>
              <w:spacing w:line="256" w:lineRule="auto"/>
              <w:ind w:left="0"/>
              <w:jc w:val="center"/>
              <w:rPr>
                <w:rFonts w:ascii="Arial Narrow" w:hAnsi="Arial Narrow" w:cs="Calibri"/>
                <w:color w:val="000000" w:themeColor="text1"/>
                <w:sz w:val="20"/>
                <w:szCs w:val="20"/>
              </w:rPr>
            </w:pPr>
            <w:r w:rsidRPr="009E35ED">
              <w:rPr>
                <w:rFonts w:ascii="Arial Narrow" w:hAnsi="Arial Narrow" w:cs="Calibri"/>
                <w:color w:val="000000" w:themeColor="text1"/>
                <w:sz w:val="20"/>
                <w:szCs w:val="20"/>
              </w:rPr>
              <w:t>Feb 09, 2024</w:t>
            </w:r>
          </w:p>
        </w:tc>
        <w:tc>
          <w:tcPr>
            <w:tcW w:w="1548" w:type="dxa"/>
            <w:noWrap/>
            <w:vAlign w:val="bottom"/>
            <w:hideMark/>
          </w:tcPr>
          <w:p w14:paraId="0DBF16A9" w14:textId="77777777" w:rsidR="008D12B3" w:rsidRPr="009E35ED" w:rsidRDefault="008D12B3">
            <w:pPr>
              <w:spacing w:line="256" w:lineRule="auto"/>
              <w:ind w:left="0"/>
              <w:jc w:val="right"/>
              <w:rPr>
                <w:rFonts w:ascii="Arial Narrow" w:hAnsi="Arial Narrow" w:cs="Calibri"/>
                <w:color w:val="000000" w:themeColor="text1"/>
                <w:sz w:val="20"/>
                <w:szCs w:val="20"/>
              </w:rPr>
            </w:pPr>
            <w:r w:rsidRPr="009E35ED">
              <w:rPr>
                <w:rFonts w:ascii="Arial Narrow" w:hAnsi="Arial Narrow" w:cs="Calibri"/>
                <w:color w:val="000000" w:themeColor="text1"/>
                <w:sz w:val="20"/>
                <w:szCs w:val="20"/>
              </w:rPr>
              <w:t>100,000,000</w:t>
            </w:r>
          </w:p>
        </w:tc>
        <w:tc>
          <w:tcPr>
            <w:tcW w:w="1387" w:type="dxa"/>
            <w:noWrap/>
            <w:vAlign w:val="bottom"/>
            <w:hideMark/>
          </w:tcPr>
          <w:p w14:paraId="76D50F6F" w14:textId="77777777" w:rsidR="008D12B3" w:rsidRPr="009E35ED" w:rsidRDefault="008D12B3">
            <w:pPr>
              <w:spacing w:line="256" w:lineRule="auto"/>
              <w:ind w:left="0"/>
              <w:jc w:val="right"/>
              <w:rPr>
                <w:rFonts w:ascii="Arial Narrow" w:hAnsi="Arial Narrow" w:cs="Calibri"/>
                <w:color w:val="000000" w:themeColor="text1"/>
                <w:sz w:val="20"/>
                <w:szCs w:val="20"/>
              </w:rPr>
            </w:pPr>
            <w:r w:rsidRPr="009E35ED">
              <w:rPr>
                <w:rFonts w:ascii="Arial Narrow" w:hAnsi="Arial Narrow" w:cs="Calibri"/>
                <w:color w:val="000000" w:themeColor="text1"/>
                <w:sz w:val="20"/>
                <w:szCs w:val="20"/>
              </w:rPr>
              <w:t>1,053,333</w:t>
            </w:r>
          </w:p>
        </w:tc>
        <w:tc>
          <w:tcPr>
            <w:tcW w:w="1614" w:type="dxa"/>
            <w:noWrap/>
            <w:vAlign w:val="bottom"/>
            <w:hideMark/>
          </w:tcPr>
          <w:p w14:paraId="66BDFE72" w14:textId="77777777" w:rsidR="008D12B3" w:rsidRPr="009E35ED" w:rsidRDefault="008D12B3">
            <w:pPr>
              <w:spacing w:line="256" w:lineRule="auto"/>
              <w:ind w:left="0"/>
              <w:jc w:val="right"/>
              <w:rPr>
                <w:rFonts w:ascii="Arial Narrow" w:hAnsi="Arial Narrow" w:cs="Calibri"/>
                <w:color w:val="000000" w:themeColor="text1"/>
                <w:sz w:val="20"/>
                <w:szCs w:val="20"/>
              </w:rPr>
            </w:pPr>
            <w:r w:rsidRPr="009E35ED">
              <w:rPr>
                <w:rFonts w:ascii="Arial Narrow" w:hAnsi="Arial Narrow" w:cs="Calibri"/>
                <w:color w:val="000000" w:themeColor="text1"/>
                <w:sz w:val="20"/>
                <w:szCs w:val="20"/>
              </w:rPr>
              <w:t>101,053,333</w:t>
            </w:r>
          </w:p>
        </w:tc>
        <w:tc>
          <w:tcPr>
            <w:tcW w:w="1614" w:type="dxa"/>
            <w:noWrap/>
            <w:vAlign w:val="bottom"/>
            <w:hideMark/>
          </w:tcPr>
          <w:p w14:paraId="21D755A0" w14:textId="77777777" w:rsidR="008D12B3" w:rsidRPr="009E35ED" w:rsidRDefault="008D12B3">
            <w:pPr>
              <w:spacing w:line="256" w:lineRule="auto"/>
              <w:ind w:left="0"/>
              <w:jc w:val="right"/>
              <w:rPr>
                <w:rFonts w:ascii="Arial Narrow" w:hAnsi="Arial Narrow" w:cs="Calibri"/>
                <w:color w:val="000000" w:themeColor="text1"/>
                <w:sz w:val="20"/>
                <w:szCs w:val="20"/>
              </w:rPr>
            </w:pPr>
            <w:r w:rsidRPr="009E35ED">
              <w:rPr>
                <w:rFonts w:ascii="Arial Narrow" w:hAnsi="Arial Narrow" w:cs="Calibri"/>
                <w:color w:val="000000" w:themeColor="text1"/>
                <w:sz w:val="20"/>
                <w:szCs w:val="20"/>
              </w:rPr>
              <w:t>101,586,667</w:t>
            </w:r>
          </w:p>
        </w:tc>
      </w:tr>
      <w:tr w:rsidR="00997F75" w:rsidRPr="009E35ED" w14:paraId="4AAEE2F7" w14:textId="77777777" w:rsidTr="003D0E7E">
        <w:trPr>
          <w:trHeight w:val="248"/>
        </w:trPr>
        <w:tc>
          <w:tcPr>
            <w:tcW w:w="1497" w:type="dxa"/>
            <w:noWrap/>
            <w:vAlign w:val="bottom"/>
            <w:hideMark/>
          </w:tcPr>
          <w:p w14:paraId="61700AAC" w14:textId="77777777" w:rsidR="008D12B3" w:rsidRPr="009E35ED" w:rsidRDefault="008D12B3">
            <w:pPr>
              <w:spacing w:line="256" w:lineRule="auto"/>
              <w:ind w:left="0"/>
              <w:jc w:val="center"/>
              <w:rPr>
                <w:rFonts w:ascii="Arial Narrow" w:hAnsi="Arial Narrow" w:cs="Calibri"/>
                <w:color w:val="000000" w:themeColor="text1"/>
                <w:sz w:val="20"/>
                <w:szCs w:val="20"/>
                <w:lang w:val="en-PH"/>
              </w:rPr>
            </w:pPr>
            <w:r w:rsidRPr="009E35ED">
              <w:rPr>
                <w:rFonts w:ascii="Arial Narrow" w:hAnsi="Arial Narrow" w:cs="Calibri"/>
                <w:color w:val="000000" w:themeColor="text1"/>
                <w:sz w:val="20"/>
                <w:szCs w:val="20"/>
              </w:rPr>
              <w:t>Oct 13, 2023</w:t>
            </w:r>
          </w:p>
        </w:tc>
        <w:tc>
          <w:tcPr>
            <w:tcW w:w="1267" w:type="dxa"/>
            <w:noWrap/>
            <w:vAlign w:val="bottom"/>
            <w:hideMark/>
          </w:tcPr>
          <w:p w14:paraId="22566578" w14:textId="77777777" w:rsidR="008D12B3" w:rsidRPr="009E35ED" w:rsidRDefault="008D12B3">
            <w:pPr>
              <w:spacing w:line="256" w:lineRule="auto"/>
              <w:ind w:left="0"/>
              <w:jc w:val="center"/>
              <w:rPr>
                <w:rFonts w:ascii="Arial Narrow" w:hAnsi="Arial Narrow" w:cs="Calibri"/>
                <w:color w:val="000000" w:themeColor="text1"/>
                <w:sz w:val="20"/>
                <w:szCs w:val="20"/>
              </w:rPr>
            </w:pPr>
            <w:r w:rsidRPr="009E35ED">
              <w:rPr>
                <w:rFonts w:ascii="Arial Narrow" w:hAnsi="Arial Narrow" w:cs="Calibri"/>
                <w:color w:val="000000" w:themeColor="text1"/>
                <w:sz w:val="20"/>
                <w:szCs w:val="20"/>
              </w:rPr>
              <w:t>Feb 09, 2024</w:t>
            </w:r>
          </w:p>
        </w:tc>
        <w:tc>
          <w:tcPr>
            <w:tcW w:w="1548" w:type="dxa"/>
            <w:noWrap/>
            <w:vAlign w:val="bottom"/>
            <w:hideMark/>
          </w:tcPr>
          <w:p w14:paraId="677F5F2B" w14:textId="77777777" w:rsidR="008D12B3" w:rsidRPr="009E35ED" w:rsidRDefault="008D12B3">
            <w:pPr>
              <w:spacing w:line="256" w:lineRule="auto"/>
              <w:ind w:left="0"/>
              <w:jc w:val="right"/>
              <w:rPr>
                <w:rFonts w:ascii="Arial Narrow" w:hAnsi="Arial Narrow" w:cs="Calibri"/>
                <w:color w:val="000000" w:themeColor="text1"/>
                <w:sz w:val="20"/>
                <w:szCs w:val="20"/>
              </w:rPr>
            </w:pPr>
            <w:r w:rsidRPr="009E35ED">
              <w:rPr>
                <w:rFonts w:ascii="Arial Narrow" w:hAnsi="Arial Narrow" w:cs="Calibri"/>
                <w:color w:val="000000" w:themeColor="text1"/>
                <w:sz w:val="20"/>
                <w:szCs w:val="20"/>
              </w:rPr>
              <w:t>100,000,000</w:t>
            </w:r>
          </w:p>
        </w:tc>
        <w:tc>
          <w:tcPr>
            <w:tcW w:w="1387" w:type="dxa"/>
            <w:noWrap/>
            <w:vAlign w:val="bottom"/>
            <w:hideMark/>
          </w:tcPr>
          <w:p w14:paraId="1C72E5C4" w14:textId="77777777" w:rsidR="008D12B3" w:rsidRPr="009E35ED" w:rsidRDefault="008D12B3">
            <w:pPr>
              <w:spacing w:line="256" w:lineRule="auto"/>
              <w:ind w:left="0"/>
              <w:jc w:val="right"/>
              <w:rPr>
                <w:rFonts w:ascii="Arial Narrow" w:hAnsi="Arial Narrow" w:cs="Calibri"/>
                <w:color w:val="000000" w:themeColor="text1"/>
                <w:sz w:val="20"/>
                <w:szCs w:val="20"/>
              </w:rPr>
            </w:pPr>
            <w:r w:rsidRPr="009E35ED">
              <w:rPr>
                <w:rFonts w:ascii="Arial Narrow" w:hAnsi="Arial Narrow" w:cs="Calibri"/>
                <w:color w:val="000000" w:themeColor="text1"/>
                <w:sz w:val="20"/>
                <w:szCs w:val="20"/>
              </w:rPr>
              <w:t>1,053,333</w:t>
            </w:r>
          </w:p>
        </w:tc>
        <w:tc>
          <w:tcPr>
            <w:tcW w:w="1614" w:type="dxa"/>
            <w:noWrap/>
            <w:vAlign w:val="bottom"/>
            <w:hideMark/>
          </w:tcPr>
          <w:p w14:paraId="7EE54E51" w14:textId="77777777" w:rsidR="008D12B3" w:rsidRPr="009E35ED" w:rsidRDefault="008D12B3">
            <w:pPr>
              <w:spacing w:line="256" w:lineRule="auto"/>
              <w:ind w:left="0"/>
              <w:jc w:val="right"/>
              <w:rPr>
                <w:rFonts w:ascii="Arial Narrow" w:hAnsi="Arial Narrow" w:cs="Calibri"/>
                <w:color w:val="000000" w:themeColor="text1"/>
                <w:sz w:val="20"/>
                <w:szCs w:val="20"/>
              </w:rPr>
            </w:pPr>
            <w:r w:rsidRPr="009E35ED">
              <w:rPr>
                <w:rFonts w:ascii="Arial Narrow" w:hAnsi="Arial Narrow" w:cs="Calibri"/>
                <w:color w:val="000000" w:themeColor="text1"/>
                <w:sz w:val="20"/>
                <w:szCs w:val="20"/>
              </w:rPr>
              <w:t>101,053,333</w:t>
            </w:r>
          </w:p>
        </w:tc>
        <w:tc>
          <w:tcPr>
            <w:tcW w:w="1614" w:type="dxa"/>
            <w:noWrap/>
            <w:vAlign w:val="bottom"/>
            <w:hideMark/>
          </w:tcPr>
          <w:p w14:paraId="3DFA6985" w14:textId="77777777" w:rsidR="008D12B3" w:rsidRPr="009E35ED" w:rsidRDefault="008D12B3">
            <w:pPr>
              <w:spacing w:line="256" w:lineRule="auto"/>
              <w:ind w:left="0"/>
              <w:jc w:val="right"/>
              <w:rPr>
                <w:rFonts w:ascii="Arial Narrow" w:hAnsi="Arial Narrow" w:cs="Calibri"/>
                <w:color w:val="000000" w:themeColor="text1"/>
                <w:sz w:val="20"/>
                <w:szCs w:val="20"/>
              </w:rPr>
            </w:pPr>
            <w:r w:rsidRPr="009E35ED">
              <w:rPr>
                <w:rFonts w:ascii="Arial Narrow" w:hAnsi="Arial Narrow" w:cs="Calibri"/>
                <w:color w:val="000000" w:themeColor="text1"/>
                <w:sz w:val="20"/>
                <w:szCs w:val="20"/>
              </w:rPr>
              <w:t>101,586,667</w:t>
            </w:r>
          </w:p>
        </w:tc>
      </w:tr>
      <w:tr w:rsidR="00997F75" w:rsidRPr="009E35ED" w14:paraId="112ADBE4" w14:textId="77777777" w:rsidTr="003D0E7E">
        <w:trPr>
          <w:trHeight w:val="248"/>
        </w:trPr>
        <w:tc>
          <w:tcPr>
            <w:tcW w:w="1497" w:type="dxa"/>
            <w:noWrap/>
            <w:vAlign w:val="bottom"/>
            <w:hideMark/>
          </w:tcPr>
          <w:p w14:paraId="3245FACB" w14:textId="77777777" w:rsidR="008D12B3" w:rsidRPr="009E35ED" w:rsidRDefault="008D12B3">
            <w:pPr>
              <w:spacing w:line="256" w:lineRule="auto"/>
              <w:ind w:left="0"/>
              <w:jc w:val="center"/>
              <w:rPr>
                <w:rFonts w:ascii="Arial Narrow" w:hAnsi="Arial Narrow" w:cs="Calibri"/>
                <w:color w:val="000000" w:themeColor="text1"/>
                <w:sz w:val="20"/>
                <w:szCs w:val="20"/>
                <w:lang w:val="en-PH"/>
              </w:rPr>
            </w:pPr>
            <w:r w:rsidRPr="009E35ED">
              <w:rPr>
                <w:rFonts w:ascii="Arial Narrow" w:hAnsi="Arial Narrow" w:cs="Calibri"/>
                <w:color w:val="000000" w:themeColor="text1"/>
                <w:sz w:val="20"/>
                <w:szCs w:val="20"/>
              </w:rPr>
              <w:t>Oct 13, 2023</w:t>
            </w:r>
          </w:p>
        </w:tc>
        <w:tc>
          <w:tcPr>
            <w:tcW w:w="1267" w:type="dxa"/>
            <w:noWrap/>
            <w:vAlign w:val="bottom"/>
            <w:hideMark/>
          </w:tcPr>
          <w:p w14:paraId="41B30826" w14:textId="77777777" w:rsidR="008D12B3" w:rsidRPr="009E35ED" w:rsidRDefault="008D12B3">
            <w:pPr>
              <w:spacing w:line="256" w:lineRule="auto"/>
              <w:ind w:left="0"/>
              <w:jc w:val="center"/>
              <w:rPr>
                <w:rFonts w:ascii="Arial Narrow" w:hAnsi="Arial Narrow" w:cs="Calibri"/>
                <w:color w:val="000000" w:themeColor="text1"/>
                <w:sz w:val="20"/>
                <w:szCs w:val="20"/>
              </w:rPr>
            </w:pPr>
            <w:r w:rsidRPr="009E35ED">
              <w:rPr>
                <w:rFonts w:ascii="Arial Narrow" w:hAnsi="Arial Narrow" w:cs="Calibri"/>
                <w:color w:val="000000" w:themeColor="text1"/>
                <w:sz w:val="20"/>
                <w:szCs w:val="20"/>
              </w:rPr>
              <w:t>Feb 09, 2024</w:t>
            </w:r>
          </w:p>
        </w:tc>
        <w:tc>
          <w:tcPr>
            <w:tcW w:w="1548" w:type="dxa"/>
            <w:noWrap/>
            <w:vAlign w:val="bottom"/>
            <w:hideMark/>
          </w:tcPr>
          <w:p w14:paraId="0C4C81CF" w14:textId="77777777" w:rsidR="008D12B3" w:rsidRPr="009E35ED" w:rsidRDefault="008D12B3">
            <w:pPr>
              <w:spacing w:line="256" w:lineRule="auto"/>
              <w:ind w:left="0"/>
              <w:jc w:val="right"/>
              <w:rPr>
                <w:rFonts w:ascii="Arial Narrow" w:hAnsi="Arial Narrow" w:cs="Calibri"/>
                <w:color w:val="000000" w:themeColor="text1"/>
                <w:sz w:val="20"/>
                <w:szCs w:val="20"/>
              </w:rPr>
            </w:pPr>
            <w:r w:rsidRPr="009E35ED">
              <w:rPr>
                <w:rFonts w:ascii="Arial Narrow" w:hAnsi="Arial Narrow" w:cs="Calibri"/>
                <w:color w:val="000000" w:themeColor="text1"/>
                <w:sz w:val="20"/>
                <w:szCs w:val="20"/>
              </w:rPr>
              <w:t>100,000,000</w:t>
            </w:r>
          </w:p>
        </w:tc>
        <w:tc>
          <w:tcPr>
            <w:tcW w:w="1387" w:type="dxa"/>
            <w:noWrap/>
            <w:vAlign w:val="bottom"/>
            <w:hideMark/>
          </w:tcPr>
          <w:p w14:paraId="6E1C9A2B" w14:textId="77777777" w:rsidR="008D12B3" w:rsidRPr="009E35ED" w:rsidRDefault="008D12B3">
            <w:pPr>
              <w:spacing w:line="256" w:lineRule="auto"/>
              <w:ind w:left="0"/>
              <w:jc w:val="right"/>
              <w:rPr>
                <w:rFonts w:ascii="Arial Narrow" w:hAnsi="Arial Narrow" w:cs="Calibri"/>
                <w:color w:val="000000" w:themeColor="text1"/>
                <w:sz w:val="20"/>
                <w:szCs w:val="20"/>
              </w:rPr>
            </w:pPr>
            <w:r w:rsidRPr="009E35ED">
              <w:rPr>
                <w:rFonts w:ascii="Arial Narrow" w:hAnsi="Arial Narrow" w:cs="Calibri"/>
                <w:color w:val="000000" w:themeColor="text1"/>
                <w:sz w:val="20"/>
                <w:szCs w:val="20"/>
              </w:rPr>
              <w:t>1,053,333</w:t>
            </w:r>
          </w:p>
        </w:tc>
        <w:tc>
          <w:tcPr>
            <w:tcW w:w="1614" w:type="dxa"/>
            <w:noWrap/>
            <w:vAlign w:val="bottom"/>
            <w:hideMark/>
          </w:tcPr>
          <w:p w14:paraId="5A5357C2" w14:textId="77777777" w:rsidR="008D12B3" w:rsidRPr="009E35ED" w:rsidRDefault="008D12B3">
            <w:pPr>
              <w:spacing w:line="256" w:lineRule="auto"/>
              <w:ind w:left="0"/>
              <w:jc w:val="right"/>
              <w:rPr>
                <w:rFonts w:ascii="Arial Narrow" w:hAnsi="Arial Narrow" w:cs="Calibri"/>
                <w:color w:val="000000" w:themeColor="text1"/>
                <w:sz w:val="20"/>
                <w:szCs w:val="20"/>
              </w:rPr>
            </w:pPr>
            <w:r w:rsidRPr="009E35ED">
              <w:rPr>
                <w:rFonts w:ascii="Arial Narrow" w:hAnsi="Arial Narrow" w:cs="Calibri"/>
                <w:color w:val="000000" w:themeColor="text1"/>
                <w:sz w:val="20"/>
                <w:szCs w:val="20"/>
              </w:rPr>
              <w:t>101,053,333</w:t>
            </w:r>
          </w:p>
        </w:tc>
        <w:tc>
          <w:tcPr>
            <w:tcW w:w="1614" w:type="dxa"/>
            <w:noWrap/>
            <w:vAlign w:val="bottom"/>
            <w:hideMark/>
          </w:tcPr>
          <w:p w14:paraId="4A5A9C4C" w14:textId="77777777" w:rsidR="008D12B3" w:rsidRPr="009E35ED" w:rsidRDefault="008D12B3">
            <w:pPr>
              <w:spacing w:line="256" w:lineRule="auto"/>
              <w:ind w:left="0"/>
              <w:jc w:val="right"/>
              <w:rPr>
                <w:rFonts w:ascii="Arial Narrow" w:hAnsi="Arial Narrow" w:cs="Calibri"/>
                <w:color w:val="000000" w:themeColor="text1"/>
                <w:sz w:val="20"/>
                <w:szCs w:val="20"/>
              </w:rPr>
            </w:pPr>
            <w:r w:rsidRPr="009E35ED">
              <w:rPr>
                <w:rFonts w:ascii="Arial Narrow" w:hAnsi="Arial Narrow" w:cs="Calibri"/>
                <w:color w:val="000000" w:themeColor="text1"/>
                <w:sz w:val="20"/>
                <w:szCs w:val="20"/>
              </w:rPr>
              <w:t>101,586,667</w:t>
            </w:r>
          </w:p>
        </w:tc>
      </w:tr>
      <w:tr w:rsidR="00997F75" w:rsidRPr="009E35ED" w14:paraId="1636DE0A" w14:textId="77777777" w:rsidTr="003D0E7E">
        <w:trPr>
          <w:trHeight w:val="248"/>
        </w:trPr>
        <w:tc>
          <w:tcPr>
            <w:tcW w:w="1497" w:type="dxa"/>
            <w:noWrap/>
            <w:vAlign w:val="bottom"/>
            <w:hideMark/>
          </w:tcPr>
          <w:p w14:paraId="344269DC" w14:textId="77777777" w:rsidR="008D12B3" w:rsidRPr="009E35ED" w:rsidRDefault="008D12B3">
            <w:pPr>
              <w:spacing w:line="256" w:lineRule="auto"/>
              <w:ind w:left="0"/>
              <w:jc w:val="center"/>
              <w:rPr>
                <w:rFonts w:ascii="Arial Narrow" w:hAnsi="Arial Narrow" w:cs="Calibri"/>
                <w:color w:val="000000" w:themeColor="text1"/>
                <w:sz w:val="20"/>
                <w:szCs w:val="20"/>
                <w:lang w:val="en-PH"/>
              </w:rPr>
            </w:pPr>
            <w:r w:rsidRPr="009E35ED">
              <w:rPr>
                <w:rFonts w:ascii="Arial Narrow" w:hAnsi="Arial Narrow" w:cs="Calibri"/>
                <w:color w:val="000000" w:themeColor="text1"/>
                <w:sz w:val="20"/>
                <w:szCs w:val="20"/>
              </w:rPr>
              <w:t>Oct 13, 2023</w:t>
            </w:r>
          </w:p>
        </w:tc>
        <w:tc>
          <w:tcPr>
            <w:tcW w:w="1267" w:type="dxa"/>
            <w:noWrap/>
            <w:vAlign w:val="bottom"/>
            <w:hideMark/>
          </w:tcPr>
          <w:p w14:paraId="72E3E0F4" w14:textId="77777777" w:rsidR="008D12B3" w:rsidRPr="009E35ED" w:rsidRDefault="008D12B3">
            <w:pPr>
              <w:spacing w:line="256" w:lineRule="auto"/>
              <w:ind w:left="0"/>
              <w:jc w:val="center"/>
              <w:rPr>
                <w:rFonts w:ascii="Arial Narrow" w:hAnsi="Arial Narrow" w:cs="Calibri"/>
                <w:color w:val="000000" w:themeColor="text1"/>
                <w:sz w:val="20"/>
                <w:szCs w:val="20"/>
              </w:rPr>
            </w:pPr>
            <w:r w:rsidRPr="009E35ED">
              <w:rPr>
                <w:rFonts w:ascii="Arial Narrow" w:hAnsi="Arial Narrow" w:cs="Calibri"/>
                <w:color w:val="000000" w:themeColor="text1"/>
                <w:sz w:val="20"/>
                <w:szCs w:val="20"/>
              </w:rPr>
              <w:t>Feb 09, 2024</w:t>
            </w:r>
          </w:p>
        </w:tc>
        <w:tc>
          <w:tcPr>
            <w:tcW w:w="1548" w:type="dxa"/>
            <w:noWrap/>
            <w:vAlign w:val="bottom"/>
            <w:hideMark/>
          </w:tcPr>
          <w:p w14:paraId="2B39EE26" w14:textId="77777777" w:rsidR="008D12B3" w:rsidRPr="009E35ED" w:rsidRDefault="008D12B3">
            <w:pPr>
              <w:spacing w:line="256" w:lineRule="auto"/>
              <w:ind w:left="0"/>
              <w:jc w:val="right"/>
              <w:rPr>
                <w:rFonts w:ascii="Arial Narrow" w:hAnsi="Arial Narrow" w:cs="Calibri"/>
                <w:color w:val="000000" w:themeColor="text1"/>
                <w:sz w:val="20"/>
                <w:szCs w:val="20"/>
              </w:rPr>
            </w:pPr>
            <w:r w:rsidRPr="009E35ED">
              <w:rPr>
                <w:rFonts w:ascii="Arial Narrow" w:hAnsi="Arial Narrow" w:cs="Calibri"/>
                <w:color w:val="000000" w:themeColor="text1"/>
                <w:sz w:val="20"/>
                <w:szCs w:val="20"/>
              </w:rPr>
              <w:t>100,000,000</w:t>
            </w:r>
          </w:p>
        </w:tc>
        <w:tc>
          <w:tcPr>
            <w:tcW w:w="1387" w:type="dxa"/>
            <w:noWrap/>
            <w:vAlign w:val="bottom"/>
            <w:hideMark/>
          </w:tcPr>
          <w:p w14:paraId="6871E4DE" w14:textId="77777777" w:rsidR="008D12B3" w:rsidRPr="009E35ED" w:rsidRDefault="008D12B3">
            <w:pPr>
              <w:spacing w:line="256" w:lineRule="auto"/>
              <w:ind w:left="0"/>
              <w:jc w:val="right"/>
              <w:rPr>
                <w:rFonts w:ascii="Arial Narrow" w:hAnsi="Arial Narrow" w:cs="Calibri"/>
                <w:color w:val="000000" w:themeColor="text1"/>
                <w:sz w:val="20"/>
                <w:szCs w:val="20"/>
              </w:rPr>
            </w:pPr>
            <w:r w:rsidRPr="009E35ED">
              <w:rPr>
                <w:rFonts w:ascii="Arial Narrow" w:hAnsi="Arial Narrow" w:cs="Calibri"/>
                <w:color w:val="000000" w:themeColor="text1"/>
                <w:sz w:val="20"/>
                <w:szCs w:val="20"/>
              </w:rPr>
              <w:t>1,053,333</w:t>
            </w:r>
          </w:p>
        </w:tc>
        <w:tc>
          <w:tcPr>
            <w:tcW w:w="1614" w:type="dxa"/>
            <w:noWrap/>
            <w:vAlign w:val="bottom"/>
            <w:hideMark/>
          </w:tcPr>
          <w:p w14:paraId="74661A46" w14:textId="77777777" w:rsidR="008D12B3" w:rsidRPr="009E35ED" w:rsidRDefault="008D12B3">
            <w:pPr>
              <w:spacing w:line="256" w:lineRule="auto"/>
              <w:ind w:left="0"/>
              <w:jc w:val="right"/>
              <w:rPr>
                <w:rFonts w:ascii="Arial Narrow" w:hAnsi="Arial Narrow" w:cs="Calibri"/>
                <w:color w:val="000000" w:themeColor="text1"/>
                <w:sz w:val="20"/>
                <w:szCs w:val="20"/>
              </w:rPr>
            </w:pPr>
            <w:r w:rsidRPr="009E35ED">
              <w:rPr>
                <w:rFonts w:ascii="Arial Narrow" w:hAnsi="Arial Narrow" w:cs="Calibri"/>
                <w:color w:val="000000" w:themeColor="text1"/>
                <w:sz w:val="20"/>
                <w:szCs w:val="20"/>
              </w:rPr>
              <w:t>101,053,333</w:t>
            </w:r>
          </w:p>
        </w:tc>
        <w:tc>
          <w:tcPr>
            <w:tcW w:w="1614" w:type="dxa"/>
            <w:noWrap/>
            <w:vAlign w:val="bottom"/>
            <w:hideMark/>
          </w:tcPr>
          <w:p w14:paraId="0C0AD26A" w14:textId="77777777" w:rsidR="008D12B3" w:rsidRPr="009E35ED" w:rsidRDefault="008D12B3">
            <w:pPr>
              <w:spacing w:line="256" w:lineRule="auto"/>
              <w:ind w:left="0"/>
              <w:jc w:val="right"/>
              <w:rPr>
                <w:rFonts w:ascii="Arial Narrow" w:hAnsi="Arial Narrow" w:cs="Calibri"/>
                <w:color w:val="000000" w:themeColor="text1"/>
                <w:sz w:val="20"/>
                <w:szCs w:val="20"/>
              </w:rPr>
            </w:pPr>
            <w:r w:rsidRPr="009E35ED">
              <w:rPr>
                <w:rFonts w:ascii="Arial Narrow" w:hAnsi="Arial Narrow" w:cs="Calibri"/>
                <w:color w:val="000000" w:themeColor="text1"/>
                <w:sz w:val="20"/>
                <w:szCs w:val="20"/>
              </w:rPr>
              <w:t>101,586,667</w:t>
            </w:r>
          </w:p>
        </w:tc>
      </w:tr>
      <w:tr w:rsidR="00997F75" w:rsidRPr="009E35ED" w14:paraId="55F7C113" w14:textId="77777777" w:rsidTr="003D0E7E">
        <w:trPr>
          <w:trHeight w:val="248"/>
        </w:trPr>
        <w:tc>
          <w:tcPr>
            <w:tcW w:w="1497" w:type="dxa"/>
            <w:noWrap/>
            <w:vAlign w:val="bottom"/>
            <w:hideMark/>
          </w:tcPr>
          <w:p w14:paraId="51F0DB95" w14:textId="77777777" w:rsidR="008D12B3" w:rsidRPr="009E35ED" w:rsidRDefault="008D12B3">
            <w:pPr>
              <w:spacing w:line="256" w:lineRule="auto"/>
              <w:ind w:left="0"/>
              <w:jc w:val="center"/>
              <w:rPr>
                <w:rFonts w:ascii="Arial Narrow" w:hAnsi="Arial Narrow" w:cs="Calibri"/>
                <w:color w:val="000000" w:themeColor="text1"/>
                <w:sz w:val="20"/>
                <w:szCs w:val="20"/>
                <w:lang w:val="en-PH"/>
              </w:rPr>
            </w:pPr>
            <w:r w:rsidRPr="009E35ED">
              <w:rPr>
                <w:rFonts w:ascii="Arial Narrow" w:hAnsi="Arial Narrow" w:cs="Calibri"/>
                <w:color w:val="000000" w:themeColor="text1"/>
                <w:sz w:val="20"/>
                <w:szCs w:val="20"/>
              </w:rPr>
              <w:t>Oct 13, 2023</w:t>
            </w:r>
          </w:p>
        </w:tc>
        <w:tc>
          <w:tcPr>
            <w:tcW w:w="1267" w:type="dxa"/>
            <w:noWrap/>
            <w:vAlign w:val="bottom"/>
            <w:hideMark/>
          </w:tcPr>
          <w:p w14:paraId="2024B494" w14:textId="77777777" w:rsidR="008D12B3" w:rsidRPr="009E35ED" w:rsidRDefault="008D12B3">
            <w:pPr>
              <w:spacing w:line="256" w:lineRule="auto"/>
              <w:ind w:left="0"/>
              <w:jc w:val="center"/>
              <w:rPr>
                <w:rFonts w:ascii="Arial Narrow" w:hAnsi="Arial Narrow" w:cs="Calibri"/>
                <w:color w:val="000000" w:themeColor="text1"/>
                <w:sz w:val="20"/>
                <w:szCs w:val="20"/>
              </w:rPr>
            </w:pPr>
            <w:r w:rsidRPr="009E35ED">
              <w:rPr>
                <w:rFonts w:ascii="Arial Narrow" w:hAnsi="Arial Narrow" w:cs="Calibri"/>
                <w:color w:val="000000" w:themeColor="text1"/>
                <w:sz w:val="20"/>
                <w:szCs w:val="20"/>
              </w:rPr>
              <w:t>Feb 09, 2024</w:t>
            </w:r>
          </w:p>
        </w:tc>
        <w:tc>
          <w:tcPr>
            <w:tcW w:w="1548" w:type="dxa"/>
            <w:noWrap/>
            <w:vAlign w:val="bottom"/>
            <w:hideMark/>
          </w:tcPr>
          <w:p w14:paraId="3B305640" w14:textId="77777777" w:rsidR="008D12B3" w:rsidRPr="009E35ED" w:rsidRDefault="008D12B3">
            <w:pPr>
              <w:spacing w:line="256" w:lineRule="auto"/>
              <w:ind w:left="0"/>
              <w:jc w:val="right"/>
              <w:rPr>
                <w:rFonts w:ascii="Arial Narrow" w:hAnsi="Arial Narrow" w:cs="Calibri"/>
                <w:color w:val="000000" w:themeColor="text1"/>
                <w:sz w:val="20"/>
                <w:szCs w:val="20"/>
              </w:rPr>
            </w:pPr>
            <w:r w:rsidRPr="009E35ED">
              <w:rPr>
                <w:rFonts w:ascii="Arial Narrow" w:hAnsi="Arial Narrow" w:cs="Calibri"/>
                <w:color w:val="000000" w:themeColor="text1"/>
                <w:sz w:val="20"/>
                <w:szCs w:val="20"/>
              </w:rPr>
              <w:t>125,600,000</w:t>
            </w:r>
          </w:p>
        </w:tc>
        <w:tc>
          <w:tcPr>
            <w:tcW w:w="1387" w:type="dxa"/>
            <w:noWrap/>
            <w:vAlign w:val="bottom"/>
            <w:hideMark/>
          </w:tcPr>
          <w:p w14:paraId="4869AFD7" w14:textId="77777777" w:rsidR="008D12B3" w:rsidRPr="009E35ED" w:rsidRDefault="008D12B3">
            <w:pPr>
              <w:spacing w:line="256" w:lineRule="auto"/>
              <w:ind w:left="0"/>
              <w:jc w:val="right"/>
              <w:rPr>
                <w:rFonts w:ascii="Arial Narrow" w:hAnsi="Arial Narrow" w:cs="Calibri"/>
                <w:color w:val="000000" w:themeColor="text1"/>
                <w:sz w:val="20"/>
                <w:szCs w:val="20"/>
              </w:rPr>
            </w:pPr>
            <w:r w:rsidRPr="009E35ED">
              <w:rPr>
                <w:rFonts w:ascii="Arial Narrow" w:hAnsi="Arial Narrow" w:cs="Calibri"/>
                <w:color w:val="000000" w:themeColor="text1"/>
                <w:sz w:val="20"/>
                <w:szCs w:val="20"/>
              </w:rPr>
              <w:t>1,322,987</w:t>
            </w:r>
          </w:p>
        </w:tc>
        <w:tc>
          <w:tcPr>
            <w:tcW w:w="1614" w:type="dxa"/>
            <w:noWrap/>
            <w:vAlign w:val="bottom"/>
            <w:hideMark/>
          </w:tcPr>
          <w:p w14:paraId="198B95BD" w14:textId="77777777" w:rsidR="008D12B3" w:rsidRPr="009E35ED" w:rsidRDefault="008D12B3">
            <w:pPr>
              <w:spacing w:line="256" w:lineRule="auto"/>
              <w:ind w:left="0"/>
              <w:jc w:val="right"/>
              <w:rPr>
                <w:rFonts w:ascii="Arial Narrow" w:hAnsi="Arial Narrow" w:cs="Calibri"/>
                <w:color w:val="000000" w:themeColor="text1"/>
                <w:sz w:val="20"/>
                <w:szCs w:val="20"/>
              </w:rPr>
            </w:pPr>
            <w:r w:rsidRPr="009E35ED">
              <w:rPr>
                <w:rFonts w:ascii="Arial Narrow" w:hAnsi="Arial Narrow" w:cs="Calibri"/>
                <w:color w:val="000000" w:themeColor="text1"/>
                <w:sz w:val="20"/>
                <w:szCs w:val="20"/>
              </w:rPr>
              <w:t>126,922,987</w:t>
            </w:r>
          </w:p>
        </w:tc>
        <w:tc>
          <w:tcPr>
            <w:tcW w:w="1614" w:type="dxa"/>
            <w:noWrap/>
            <w:vAlign w:val="bottom"/>
            <w:hideMark/>
          </w:tcPr>
          <w:p w14:paraId="1AFC23D7" w14:textId="77777777" w:rsidR="008D12B3" w:rsidRPr="009E35ED" w:rsidRDefault="008D12B3">
            <w:pPr>
              <w:spacing w:line="256" w:lineRule="auto"/>
              <w:ind w:left="0"/>
              <w:jc w:val="right"/>
              <w:rPr>
                <w:rFonts w:ascii="Arial Narrow" w:hAnsi="Arial Narrow" w:cs="Calibri"/>
                <w:color w:val="000000" w:themeColor="text1"/>
                <w:sz w:val="20"/>
                <w:szCs w:val="20"/>
              </w:rPr>
            </w:pPr>
            <w:r w:rsidRPr="009E35ED">
              <w:rPr>
                <w:rFonts w:ascii="Arial Narrow" w:hAnsi="Arial Narrow" w:cs="Calibri"/>
                <w:color w:val="000000" w:themeColor="text1"/>
                <w:sz w:val="20"/>
                <w:szCs w:val="20"/>
              </w:rPr>
              <w:t>127,592,853</w:t>
            </w:r>
          </w:p>
        </w:tc>
      </w:tr>
      <w:tr w:rsidR="00997F75" w:rsidRPr="009E35ED" w14:paraId="4FD86A55" w14:textId="77777777" w:rsidTr="003D0E7E">
        <w:trPr>
          <w:trHeight w:val="250"/>
        </w:trPr>
        <w:tc>
          <w:tcPr>
            <w:tcW w:w="1497" w:type="dxa"/>
            <w:tcBorders>
              <w:top w:val="nil"/>
              <w:left w:val="nil"/>
              <w:bottom w:val="single" w:sz="4" w:space="0" w:color="auto"/>
              <w:right w:val="nil"/>
            </w:tcBorders>
            <w:noWrap/>
            <w:vAlign w:val="bottom"/>
          </w:tcPr>
          <w:p w14:paraId="1CB6EB2B" w14:textId="77777777" w:rsidR="008D12B3" w:rsidRPr="009E35ED" w:rsidRDefault="008D12B3">
            <w:pPr>
              <w:spacing w:line="256" w:lineRule="auto"/>
              <w:ind w:left="0"/>
              <w:jc w:val="center"/>
              <w:rPr>
                <w:rFonts w:ascii="Arial Narrow" w:hAnsi="Arial Narrow" w:cs="Calibri"/>
                <w:color w:val="000000" w:themeColor="text1"/>
                <w:sz w:val="20"/>
                <w:szCs w:val="20"/>
                <w:lang w:val="en-PH"/>
              </w:rPr>
            </w:pPr>
          </w:p>
        </w:tc>
        <w:tc>
          <w:tcPr>
            <w:tcW w:w="1267" w:type="dxa"/>
            <w:tcBorders>
              <w:top w:val="nil"/>
              <w:left w:val="nil"/>
              <w:bottom w:val="single" w:sz="4" w:space="0" w:color="auto"/>
              <w:right w:val="nil"/>
            </w:tcBorders>
            <w:noWrap/>
            <w:vAlign w:val="bottom"/>
          </w:tcPr>
          <w:p w14:paraId="30688E5D" w14:textId="77777777" w:rsidR="008D12B3" w:rsidRPr="009E35ED" w:rsidRDefault="008D12B3">
            <w:pPr>
              <w:spacing w:line="256" w:lineRule="auto"/>
              <w:ind w:left="0"/>
              <w:jc w:val="center"/>
              <w:rPr>
                <w:rFonts w:ascii="Arial Narrow" w:hAnsi="Arial Narrow" w:cs="Calibri"/>
                <w:color w:val="000000" w:themeColor="text1"/>
                <w:sz w:val="20"/>
                <w:szCs w:val="20"/>
              </w:rPr>
            </w:pPr>
          </w:p>
        </w:tc>
        <w:tc>
          <w:tcPr>
            <w:tcW w:w="1548" w:type="dxa"/>
            <w:tcBorders>
              <w:top w:val="nil"/>
              <w:left w:val="nil"/>
              <w:bottom w:val="single" w:sz="4" w:space="0" w:color="auto"/>
              <w:right w:val="nil"/>
            </w:tcBorders>
            <w:noWrap/>
            <w:vAlign w:val="bottom"/>
            <w:hideMark/>
          </w:tcPr>
          <w:p w14:paraId="362A530A" w14:textId="77777777" w:rsidR="008D12B3" w:rsidRPr="009E35ED" w:rsidRDefault="008D12B3">
            <w:pPr>
              <w:spacing w:line="256" w:lineRule="auto"/>
              <w:ind w:left="0"/>
              <w:jc w:val="right"/>
              <w:rPr>
                <w:rFonts w:ascii="Arial Narrow" w:hAnsi="Arial Narrow" w:cs="Calibri"/>
                <w:b/>
                <w:color w:val="000000" w:themeColor="text1"/>
                <w:sz w:val="20"/>
                <w:szCs w:val="20"/>
                <w:lang w:val="en-PH"/>
              </w:rPr>
            </w:pPr>
            <w:r w:rsidRPr="009E35ED">
              <w:rPr>
                <w:rFonts w:ascii="Arial Narrow" w:hAnsi="Arial Narrow" w:cs="Calibri"/>
                <w:b/>
                <w:color w:val="000000" w:themeColor="text1"/>
                <w:sz w:val="20"/>
                <w:szCs w:val="20"/>
              </w:rPr>
              <w:t>3,225,600,000</w:t>
            </w:r>
          </w:p>
        </w:tc>
        <w:tc>
          <w:tcPr>
            <w:tcW w:w="1387" w:type="dxa"/>
            <w:tcBorders>
              <w:top w:val="nil"/>
              <w:left w:val="nil"/>
              <w:bottom w:val="single" w:sz="4" w:space="0" w:color="auto"/>
              <w:right w:val="nil"/>
            </w:tcBorders>
            <w:noWrap/>
            <w:vAlign w:val="bottom"/>
            <w:hideMark/>
          </w:tcPr>
          <w:p w14:paraId="10C06487" w14:textId="5828C523" w:rsidR="008D12B3" w:rsidRPr="009E35ED" w:rsidRDefault="008D12B3">
            <w:pPr>
              <w:spacing w:line="256" w:lineRule="auto"/>
              <w:jc w:val="right"/>
              <w:rPr>
                <w:rFonts w:ascii="Arial Narrow" w:hAnsi="Arial Narrow" w:cs="Calibri"/>
                <w:b/>
                <w:color w:val="000000" w:themeColor="text1"/>
                <w:sz w:val="20"/>
                <w:szCs w:val="20"/>
              </w:rPr>
            </w:pPr>
            <w:r w:rsidRPr="009E35ED">
              <w:rPr>
                <w:rFonts w:ascii="Arial Narrow" w:hAnsi="Arial Narrow" w:cs="Calibri"/>
                <w:b/>
                <w:color w:val="000000" w:themeColor="text1"/>
                <w:sz w:val="20"/>
                <w:szCs w:val="20"/>
              </w:rPr>
              <w:t>33,976,3</w:t>
            </w:r>
            <w:r w:rsidR="00A6193F" w:rsidRPr="009E35ED">
              <w:rPr>
                <w:rFonts w:ascii="Arial Narrow" w:hAnsi="Arial Narrow" w:cs="Calibri"/>
                <w:b/>
                <w:color w:val="000000" w:themeColor="text1"/>
                <w:sz w:val="20"/>
                <w:szCs w:val="20"/>
              </w:rPr>
              <w:t>1</w:t>
            </w:r>
            <w:r w:rsidRPr="009E35ED">
              <w:rPr>
                <w:rFonts w:ascii="Arial Narrow" w:hAnsi="Arial Narrow" w:cs="Calibri"/>
                <w:b/>
                <w:color w:val="000000" w:themeColor="text1"/>
                <w:sz w:val="20"/>
                <w:szCs w:val="20"/>
              </w:rPr>
              <w:t>0</w:t>
            </w:r>
          </w:p>
        </w:tc>
        <w:tc>
          <w:tcPr>
            <w:tcW w:w="1614" w:type="dxa"/>
            <w:tcBorders>
              <w:top w:val="nil"/>
              <w:left w:val="nil"/>
              <w:bottom w:val="single" w:sz="4" w:space="0" w:color="auto"/>
              <w:right w:val="nil"/>
            </w:tcBorders>
            <w:noWrap/>
            <w:vAlign w:val="bottom"/>
            <w:hideMark/>
          </w:tcPr>
          <w:p w14:paraId="3FDD43DE" w14:textId="7E65EF47" w:rsidR="008D12B3" w:rsidRPr="009E35ED" w:rsidRDefault="008D12B3">
            <w:pPr>
              <w:spacing w:line="256" w:lineRule="auto"/>
              <w:jc w:val="right"/>
              <w:rPr>
                <w:rFonts w:ascii="Arial Narrow" w:hAnsi="Arial Narrow" w:cs="Calibri"/>
                <w:b/>
                <w:color w:val="000000" w:themeColor="text1"/>
                <w:sz w:val="20"/>
                <w:szCs w:val="20"/>
              </w:rPr>
            </w:pPr>
            <w:r w:rsidRPr="009E35ED">
              <w:rPr>
                <w:rFonts w:ascii="Arial Narrow" w:hAnsi="Arial Narrow" w:cs="Calibri"/>
                <w:b/>
                <w:color w:val="000000" w:themeColor="text1"/>
                <w:sz w:val="20"/>
                <w:szCs w:val="20"/>
              </w:rPr>
              <w:t>3,259,576,3</w:t>
            </w:r>
            <w:r w:rsidR="00A6193F" w:rsidRPr="009E35ED">
              <w:rPr>
                <w:rFonts w:ascii="Arial Narrow" w:hAnsi="Arial Narrow" w:cs="Calibri"/>
                <w:b/>
                <w:color w:val="000000" w:themeColor="text1"/>
                <w:sz w:val="20"/>
                <w:szCs w:val="20"/>
              </w:rPr>
              <w:t>10</w:t>
            </w:r>
          </w:p>
        </w:tc>
        <w:tc>
          <w:tcPr>
            <w:tcW w:w="1614" w:type="dxa"/>
            <w:tcBorders>
              <w:top w:val="nil"/>
              <w:left w:val="nil"/>
              <w:bottom w:val="single" w:sz="4" w:space="0" w:color="auto"/>
              <w:right w:val="nil"/>
            </w:tcBorders>
            <w:noWrap/>
            <w:vAlign w:val="bottom"/>
            <w:hideMark/>
          </w:tcPr>
          <w:p w14:paraId="268177AA" w14:textId="5F9E0E9F" w:rsidR="008D12B3" w:rsidRPr="009E35ED" w:rsidRDefault="008D12B3">
            <w:pPr>
              <w:spacing w:line="256" w:lineRule="auto"/>
              <w:jc w:val="right"/>
              <w:rPr>
                <w:rFonts w:ascii="Arial Narrow" w:hAnsi="Arial Narrow" w:cs="Calibri"/>
                <w:b/>
                <w:color w:val="000000" w:themeColor="text1"/>
                <w:sz w:val="20"/>
                <w:szCs w:val="20"/>
              </w:rPr>
            </w:pPr>
            <w:r w:rsidRPr="009E35ED">
              <w:rPr>
                <w:rFonts w:ascii="Arial Narrow" w:hAnsi="Arial Narrow" w:cs="Calibri"/>
                <w:b/>
                <w:color w:val="000000" w:themeColor="text1"/>
                <w:sz w:val="20"/>
                <w:szCs w:val="20"/>
              </w:rPr>
              <w:t>3,276,779,5</w:t>
            </w:r>
            <w:r w:rsidR="00A6193F" w:rsidRPr="009E35ED">
              <w:rPr>
                <w:rFonts w:ascii="Arial Narrow" w:hAnsi="Arial Narrow" w:cs="Calibri"/>
                <w:b/>
                <w:color w:val="000000" w:themeColor="text1"/>
                <w:sz w:val="20"/>
                <w:szCs w:val="20"/>
              </w:rPr>
              <w:t>30</w:t>
            </w:r>
          </w:p>
        </w:tc>
      </w:tr>
      <w:tr w:rsidR="00997F75" w:rsidRPr="009E35ED" w14:paraId="3A16FA6E" w14:textId="77777777" w:rsidTr="003D0E7E">
        <w:trPr>
          <w:trHeight w:val="314"/>
        </w:trPr>
        <w:tc>
          <w:tcPr>
            <w:tcW w:w="2765" w:type="dxa"/>
            <w:gridSpan w:val="2"/>
            <w:tcBorders>
              <w:top w:val="single" w:sz="4" w:space="0" w:color="auto"/>
              <w:left w:val="nil"/>
              <w:bottom w:val="single" w:sz="4" w:space="0" w:color="auto"/>
              <w:right w:val="nil"/>
            </w:tcBorders>
            <w:noWrap/>
            <w:vAlign w:val="bottom"/>
            <w:hideMark/>
          </w:tcPr>
          <w:p w14:paraId="3C7413D9" w14:textId="77777777" w:rsidR="008D12B3" w:rsidRPr="009E35ED" w:rsidRDefault="008D12B3">
            <w:pPr>
              <w:spacing w:line="256" w:lineRule="auto"/>
              <w:ind w:left="0"/>
              <w:jc w:val="left"/>
              <w:rPr>
                <w:rFonts w:ascii="Arial Narrow" w:hAnsi="Arial Narrow" w:cs="Calibri"/>
                <w:b/>
                <w:color w:val="000000" w:themeColor="text1"/>
                <w:sz w:val="20"/>
                <w:szCs w:val="20"/>
              </w:rPr>
            </w:pPr>
            <w:r w:rsidRPr="009E35ED">
              <w:rPr>
                <w:rFonts w:ascii="Arial Narrow" w:hAnsi="Arial Narrow" w:cs="Calibri"/>
                <w:b/>
                <w:color w:val="000000" w:themeColor="text1"/>
                <w:sz w:val="20"/>
                <w:szCs w:val="20"/>
              </w:rPr>
              <w:t>Total</w:t>
            </w:r>
          </w:p>
        </w:tc>
        <w:tc>
          <w:tcPr>
            <w:tcW w:w="1548" w:type="dxa"/>
            <w:tcBorders>
              <w:top w:val="single" w:sz="4" w:space="0" w:color="auto"/>
              <w:left w:val="nil"/>
              <w:bottom w:val="single" w:sz="4" w:space="0" w:color="auto"/>
              <w:right w:val="nil"/>
            </w:tcBorders>
            <w:noWrap/>
            <w:vAlign w:val="bottom"/>
            <w:hideMark/>
          </w:tcPr>
          <w:p w14:paraId="4C2A44EC" w14:textId="607386F8" w:rsidR="008D12B3" w:rsidRPr="009E35ED" w:rsidRDefault="008D12B3" w:rsidP="003D0E7E">
            <w:pPr>
              <w:spacing w:line="256" w:lineRule="auto"/>
              <w:ind w:left="0"/>
              <w:jc w:val="right"/>
              <w:rPr>
                <w:rFonts w:ascii="Arial Narrow" w:hAnsi="Arial Narrow" w:cs="Calibri"/>
                <w:b/>
                <w:bCs/>
                <w:color w:val="000000" w:themeColor="text1"/>
                <w:sz w:val="20"/>
                <w:szCs w:val="20"/>
                <w:lang w:val="en-PH"/>
              </w:rPr>
            </w:pPr>
            <w:r w:rsidRPr="009E35ED">
              <w:rPr>
                <w:rFonts w:ascii="Arial Narrow" w:hAnsi="Arial Narrow" w:cs="Calibri"/>
                <w:b/>
                <w:bCs/>
                <w:color w:val="000000" w:themeColor="text1"/>
                <w:sz w:val="20"/>
                <w:szCs w:val="20"/>
              </w:rPr>
              <w:t xml:space="preserve">5,578,877,560 </w:t>
            </w:r>
          </w:p>
        </w:tc>
        <w:tc>
          <w:tcPr>
            <w:tcW w:w="1387" w:type="dxa"/>
            <w:tcBorders>
              <w:top w:val="single" w:sz="4" w:space="0" w:color="auto"/>
              <w:left w:val="nil"/>
              <w:bottom w:val="single" w:sz="4" w:space="0" w:color="auto"/>
              <w:right w:val="nil"/>
            </w:tcBorders>
            <w:noWrap/>
            <w:vAlign w:val="bottom"/>
            <w:hideMark/>
          </w:tcPr>
          <w:p w14:paraId="0CA2EA74" w14:textId="700E37D8" w:rsidR="008D12B3" w:rsidRPr="009E35ED" w:rsidRDefault="008D12B3">
            <w:pPr>
              <w:spacing w:line="256" w:lineRule="auto"/>
              <w:ind w:left="0"/>
              <w:jc w:val="right"/>
              <w:rPr>
                <w:rFonts w:ascii="Arial Narrow" w:hAnsi="Arial Narrow" w:cs="Calibri"/>
                <w:b/>
                <w:bCs/>
                <w:color w:val="000000" w:themeColor="text1"/>
                <w:sz w:val="20"/>
                <w:szCs w:val="20"/>
              </w:rPr>
            </w:pPr>
            <w:r w:rsidRPr="009E35ED">
              <w:rPr>
                <w:rFonts w:ascii="Arial Narrow" w:hAnsi="Arial Narrow" w:cs="Calibri"/>
                <w:b/>
                <w:bCs/>
                <w:color w:val="000000" w:themeColor="text1"/>
                <w:sz w:val="20"/>
                <w:szCs w:val="20"/>
              </w:rPr>
              <w:t>51,521,3</w:t>
            </w:r>
            <w:r w:rsidR="00A6193F" w:rsidRPr="009E35ED">
              <w:rPr>
                <w:rFonts w:ascii="Arial Narrow" w:hAnsi="Arial Narrow" w:cs="Calibri"/>
                <w:b/>
                <w:bCs/>
                <w:color w:val="000000" w:themeColor="text1"/>
                <w:sz w:val="20"/>
                <w:szCs w:val="20"/>
              </w:rPr>
              <w:t>0</w:t>
            </w:r>
            <w:r w:rsidRPr="009E35ED">
              <w:rPr>
                <w:rFonts w:ascii="Arial Narrow" w:hAnsi="Arial Narrow" w:cs="Calibri"/>
                <w:b/>
                <w:bCs/>
                <w:color w:val="000000" w:themeColor="text1"/>
                <w:sz w:val="20"/>
                <w:szCs w:val="20"/>
              </w:rPr>
              <w:t xml:space="preserve">2 </w:t>
            </w:r>
          </w:p>
        </w:tc>
        <w:tc>
          <w:tcPr>
            <w:tcW w:w="1614" w:type="dxa"/>
            <w:tcBorders>
              <w:top w:val="single" w:sz="4" w:space="0" w:color="auto"/>
              <w:left w:val="nil"/>
              <w:bottom w:val="single" w:sz="4" w:space="0" w:color="auto"/>
              <w:right w:val="nil"/>
            </w:tcBorders>
            <w:noWrap/>
            <w:vAlign w:val="bottom"/>
            <w:hideMark/>
          </w:tcPr>
          <w:p w14:paraId="61091A03" w14:textId="47962DDE" w:rsidR="008D12B3" w:rsidRPr="009E35ED" w:rsidRDefault="008D12B3">
            <w:pPr>
              <w:spacing w:line="256" w:lineRule="auto"/>
              <w:ind w:left="0"/>
              <w:jc w:val="right"/>
              <w:rPr>
                <w:rFonts w:ascii="Arial Narrow" w:hAnsi="Arial Narrow" w:cs="Calibri"/>
                <w:b/>
                <w:bCs/>
                <w:color w:val="000000" w:themeColor="text1"/>
                <w:sz w:val="20"/>
                <w:szCs w:val="20"/>
              </w:rPr>
            </w:pPr>
            <w:r w:rsidRPr="009E35ED">
              <w:rPr>
                <w:rFonts w:ascii="Arial Narrow" w:hAnsi="Arial Narrow" w:cs="Calibri"/>
                <w:b/>
                <w:bCs/>
                <w:color w:val="000000" w:themeColor="text1"/>
                <w:sz w:val="20"/>
                <w:szCs w:val="20"/>
              </w:rPr>
              <w:t>5,630,398,8</w:t>
            </w:r>
            <w:r w:rsidR="00A6193F" w:rsidRPr="009E35ED">
              <w:rPr>
                <w:rFonts w:ascii="Arial Narrow" w:hAnsi="Arial Narrow" w:cs="Calibri"/>
                <w:b/>
                <w:bCs/>
                <w:color w:val="000000" w:themeColor="text1"/>
                <w:sz w:val="20"/>
                <w:szCs w:val="20"/>
              </w:rPr>
              <w:t>6</w:t>
            </w:r>
            <w:r w:rsidRPr="009E35ED">
              <w:rPr>
                <w:rFonts w:ascii="Arial Narrow" w:hAnsi="Arial Narrow" w:cs="Calibri"/>
                <w:b/>
                <w:bCs/>
                <w:color w:val="000000" w:themeColor="text1"/>
                <w:sz w:val="20"/>
                <w:szCs w:val="20"/>
              </w:rPr>
              <w:t xml:space="preserve">2 </w:t>
            </w:r>
          </w:p>
        </w:tc>
        <w:tc>
          <w:tcPr>
            <w:tcW w:w="1614" w:type="dxa"/>
            <w:tcBorders>
              <w:top w:val="single" w:sz="4" w:space="0" w:color="auto"/>
              <w:left w:val="nil"/>
              <w:bottom w:val="single" w:sz="4" w:space="0" w:color="auto"/>
              <w:right w:val="nil"/>
            </w:tcBorders>
            <w:noWrap/>
            <w:vAlign w:val="bottom"/>
            <w:hideMark/>
          </w:tcPr>
          <w:p w14:paraId="3537D5EF" w14:textId="1F4BB458" w:rsidR="008D12B3" w:rsidRPr="009E35ED" w:rsidRDefault="008D12B3" w:rsidP="003D0E7E">
            <w:pPr>
              <w:spacing w:line="256" w:lineRule="auto"/>
              <w:ind w:left="0"/>
              <w:jc w:val="right"/>
              <w:rPr>
                <w:rFonts w:ascii="Arial Narrow" w:hAnsi="Arial Narrow" w:cs="Calibri"/>
                <w:b/>
                <w:bCs/>
                <w:color w:val="000000" w:themeColor="text1"/>
                <w:sz w:val="20"/>
                <w:szCs w:val="20"/>
              </w:rPr>
            </w:pPr>
            <w:r w:rsidRPr="009E35ED">
              <w:rPr>
                <w:rFonts w:ascii="Arial Narrow" w:hAnsi="Arial Narrow" w:cs="Calibri"/>
                <w:b/>
                <w:bCs/>
                <w:color w:val="000000" w:themeColor="text1"/>
                <w:sz w:val="20"/>
                <w:szCs w:val="20"/>
              </w:rPr>
              <w:t>5,688,115,0</w:t>
            </w:r>
            <w:r w:rsidR="00A6193F" w:rsidRPr="009E35ED">
              <w:rPr>
                <w:rFonts w:ascii="Arial Narrow" w:hAnsi="Arial Narrow" w:cs="Calibri"/>
                <w:b/>
                <w:bCs/>
                <w:color w:val="000000" w:themeColor="text1"/>
                <w:sz w:val="20"/>
                <w:szCs w:val="20"/>
              </w:rPr>
              <w:t>6</w:t>
            </w:r>
            <w:r w:rsidRPr="009E35ED">
              <w:rPr>
                <w:rFonts w:ascii="Arial Narrow" w:hAnsi="Arial Narrow" w:cs="Calibri"/>
                <w:b/>
                <w:bCs/>
                <w:color w:val="000000" w:themeColor="text1"/>
                <w:sz w:val="20"/>
                <w:szCs w:val="20"/>
              </w:rPr>
              <w:t xml:space="preserve">1 </w:t>
            </w:r>
          </w:p>
        </w:tc>
      </w:tr>
    </w:tbl>
    <w:p w14:paraId="681C147F" w14:textId="77777777" w:rsidR="008D12B3" w:rsidRPr="009E35ED" w:rsidRDefault="008D12B3" w:rsidP="008D12B3">
      <w:pPr>
        <w:ind w:left="0"/>
        <w:rPr>
          <w:rFonts w:ascii="Arial" w:hAnsi="Arial" w:cs="Arial"/>
          <w:color w:val="000000" w:themeColor="text1"/>
          <w:sz w:val="22"/>
          <w:szCs w:val="22"/>
        </w:rPr>
      </w:pPr>
    </w:p>
    <w:tbl>
      <w:tblPr>
        <w:tblW w:w="8820" w:type="dxa"/>
        <w:tblInd w:w="-90" w:type="dxa"/>
        <w:tblLook w:val="04A0" w:firstRow="1" w:lastRow="0" w:firstColumn="1" w:lastColumn="0" w:noHBand="0" w:noVBand="1"/>
      </w:tblPr>
      <w:tblGrid>
        <w:gridCol w:w="1366"/>
        <w:gridCol w:w="1499"/>
        <w:gridCol w:w="1253"/>
        <w:gridCol w:w="437"/>
        <w:gridCol w:w="617"/>
        <w:gridCol w:w="505"/>
        <w:gridCol w:w="860"/>
        <w:gridCol w:w="783"/>
        <w:gridCol w:w="754"/>
        <w:gridCol w:w="746"/>
      </w:tblGrid>
      <w:tr w:rsidR="00997F75" w:rsidRPr="009E35ED" w14:paraId="59583C09" w14:textId="77777777" w:rsidTr="003D0E7E">
        <w:trPr>
          <w:gridAfter w:val="1"/>
          <w:wAfter w:w="746" w:type="dxa"/>
          <w:trHeight w:val="263"/>
        </w:trPr>
        <w:tc>
          <w:tcPr>
            <w:tcW w:w="4555" w:type="dxa"/>
            <w:gridSpan w:val="4"/>
            <w:noWrap/>
            <w:vAlign w:val="bottom"/>
            <w:hideMark/>
          </w:tcPr>
          <w:p w14:paraId="184B3749" w14:textId="77777777" w:rsidR="008D12B3" w:rsidRPr="003D0E7E" w:rsidRDefault="008D12B3" w:rsidP="003D0E7E">
            <w:pPr>
              <w:spacing w:line="256" w:lineRule="auto"/>
              <w:ind w:left="-108"/>
              <w:jc w:val="left"/>
              <w:rPr>
                <w:rFonts w:ascii="Arial Narrow" w:hAnsi="Arial Narrow" w:cs="Calibri"/>
                <w:b/>
                <w:bCs/>
                <w:color w:val="000000" w:themeColor="text1"/>
                <w:sz w:val="20"/>
                <w:szCs w:val="20"/>
                <w:u w:val="single"/>
              </w:rPr>
            </w:pPr>
            <w:r w:rsidRPr="003D0E7E">
              <w:rPr>
                <w:rFonts w:ascii="Arial Narrow" w:hAnsi="Arial Narrow" w:cs="Calibri"/>
                <w:b/>
                <w:bCs/>
                <w:color w:val="000000" w:themeColor="text1"/>
                <w:sz w:val="20"/>
                <w:szCs w:val="20"/>
                <w:u w:val="single"/>
              </w:rPr>
              <w:t>Cash in Bank - Foreign Currency, Time Deposits</w:t>
            </w:r>
          </w:p>
        </w:tc>
        <w:tc>
          <w:tcPr>
            <w:tcW w:w="617" w:type="dxa"/>
            <w:noWrap/>
            <w:vAlign w:val="bottom"/>
            <w:hideMark/>
          </w:tcPr>
          <w:p w14:paraId="1894BB9F" w14:textId="77777777" w:rsidR="008D12B3" w:rsidRPr="009E35ED" w:rsidRDefault="008D12B3">
            <w:pPr>
              <w:rPr>
                <w:rFonts w:ascii="Arial Narrow" w:hAnsi="Arial Narrow" w:cs="Calibri"/>
                <w:b/>
                <w:bCs/>
                <w:color w:val="000000" w:themeColor="text1"/>
                <w:sz w:val="20"/>
                <w:szCs w:val="20"/>
              </w:rPr>
            </w:pPr>
          </w:p>
        </w:tc>
        <w:tc>
          <w:tcPr>
            <w:tcW w:w="1365" w:type="dxa"/>
            <w:gridSpan w:val="2"/>
            <w:noWrap/>
            <w:vAlign w:val="bottom"/>
            <w:hideMark/>
          </w:tcPr>
          <w:p w14:paraId="1CEE7CE9" w14:textId="77777777" w:rsidR="008D12B3" w:rsidRPr="009E35ED" w:rsidRDefault="008D12B3">
            <w:pPr>
              <w:spacing w:line="256" w:lineRule="auto"/>
              <w:ind w:left="0"/>
              <w:jc w:val="left"/>
              <w:rPr>
                <w:rFonts w:asciiTheme="minorHAnsi" w:eastAsiaTheme="minorHAnsi" w:hAnsiTheme="minorHAnsi" w:cstheme="minorBidi"/>
                <w:color w:val="000000" w:themeColor="text1"/>
                <w:sz w:val="20"/>
                <w:szCs w:val="20"/>
                <w:lang w:val="en-PH" w:eastAsia="en-PH"/>
              </w:rPr>
            </w:pPr>
          </w:p>
        </w:tc>
        <w:tc>
          <w:tcPr>
            <w:tcW w:w="1537" w:type="dxa"/>
            <w:gridSpan w:val="2"/>
            <w:noWrap/>
            <w:vAlign w:val="bottom"/>
            <w:hideMark/>
          </w:tcPr>
          <w:p w14:paraId="043AA853" w14:textId="77777777" w:rsidR="008D12B3" w:rsidRPr="009E35ED" w:rsidRDefault="008D12B3">
            <w:pPr>
              <w:spacing w:line="256" w:lineRule="auto"/>
              <w:ind w:left="0"/>
              <w:jc w:val="left"/>
              <w:rPr>
                <w:rFonts w:asciiTheme="minorHAnsi" w:eastAsiaTheme="minorHAnsi" w:hAnsiTheme="minorHAnsi" w:cstheme="minorBidi"/>
                <w:color w:val="000000" w:themeColor="text1"/>
                <w:sz w:val="20"/>
                <w:szCs w:val="20"/>
                <w:lang w:val="en-PH" w:eastAsia="en-PH"/>
              </w:rPr>
            </w:pPr>
          </w:p>
        </w:tc>
      </w:tr>
      <w:tr w:rsidR="00997F75" w:rsidRPr="009E35ED" w14:paraId="7E520B2C" w14:textId="77777777" w:rsidTr="003D0E7E">
        <w:trPr>
          <w:trHeight w:val="263"/>
        </w:trPr>
        <w:tc>
          <w:tcPr>
            <w:tcW w:w="1366" w:type="dxa"/>
            <w:noWrap/>
            <w:vAlign w:val="bottom"/>
            <w:hideMark/>
          </w:tcPr>
          <w:p w14:paraId="04BFA268" w14:textId="77777777" w:rsidR="008D12B3" w:rsidRPr="009E35ED" w:rsidRDefault="008D12B3" w:rsidP="003D0E7E">
            <w:pPr>
              <w:spacing w:line="256" w:lineRule="auto"/>
              <w:ind w:left="-288"/>
              <w:jc w:val="center"/>
              <w:rPr>
                <w:rFonts w:ascii="Arial Narrow" w:hAnsi="Arial Narrow" w:cs="Calibri"/>
                <w:color w:val="000000" w:themeColor="text1"/>
                <w:sz w:val="20"/>
                <w:szCs w:val="20"/>
              </w:rPr>
            </w:pPr>
            <w:r w:rsidRPr="009E35ED">
              <w:rPr>
                <w:rFonts w:ascii="Arial Narrow" w:hAnsi="Arial Narrow" w:cs="Calibri"/>
                <w:color w:val="000000" w:themeColor="text1"/>
                <w:sz w:val="20"/>
                <w:szCs w:val="20"/>
              </w:rPr>
              <w:t>Nov 06, 2023</w:t>
            </w:r>
          </w:p>
        </w:tc>
        <w:tc>
          <w:tcPr>
            <w:tcW w:w="1499" w:type="dxa"/>
            <w:noWrap/>
            <w:vAlign w:val="bottom"/>
            <w:hideMark/>
          </w:tcPr>
          <w:p w14:paraId="46C62667" w14:textId="77777777" w:rsidR="008D12B3" w:rsidRPr="009E35ED" w:rsidRDefault="008D12B3">
            <w:pPr>
              <w:spacing w:line="256" w:lineRule="auto"/>
              <w:ind w:left="0"/>
              <w:jc w:val="center"/>
              <w:rPr>
                <w:rFonts w:ascii="Arial Narrow" w:hAnsi="Arial Narrow" w:cs="Calibri"/>
                <w:color w:val="000000" w:themeColor="text1"/>
                <w:sz w:val="20"/>
                <w:szCs w:val="20"/>
              </w:rPr>
            </w:pPr>
            <w:r w:rsidRPr="009E35ED">
              <w:rPr>
                <w:rFonts w:ascii="Arial Narrow" w:hAnsi="Arial Narrow" w:cs="Calibri"/>
                <w:color w:val="000000" w:themeColor="text1"/>
                <w:sz w:val="20"/>
                <w:szCs w:val="20"/>
              </w:rPr>
              <w:t>May 06, 2024</w:t>
            </w:r>
          </w:p>
        </w:tc>
        <w:tc>
          <w:tcPr>
            <w:tcW w:w="1253" w:type="dxa"/>
            <w:noWrap/>
            <w:vAlign w:val="bottom"/>
            <w:hideMark/>
          </w:tcPr>
          <w:p w14:paraId="3ABC2738" w14:textId="77777777" w:rsidR="008D12B3" w:rsidRPr="009E35ED" w:rsidRDefault="008D12B3">
            <w:pPr>
              <w:spacing w:line="256" w:lineRule="auto"/>
              <w:ind w:left="0"/>
              <w:jc w:val="right"/>
              <w:rPr>
                <w:rFonts w:ascii="Arial Narrow" w:hAnsi="Arial Narrow" w:cs="Calibri"/>
                <w:color w:val="000000" w:themeColor="text1"/>
                <w:sz w:val="20"/>
                <w:szCs w:val="20"/>
              </w:rPr>
            </w:pPr>
            <w:r w:rsidRPr="009E35ED">
              <w:rPr>
                <w:rFonts w:ascii="Arial Narrow" w:hAnsi="Arial Narrow" w:cs="Calibri"/>
                <w:color w:val="000000" w:themeColor="text1"/>
                <w:sz w:val="20"/>
                <w:szCs w:val="20"/>
              </w:rPr>
              <w:t xml:space="preserve">          1,601,674 </w:t>
            </w:r>
          </w:p>
        </w:tc>
        <w:tc>
          <w:tcPr>
            <w:tcW w:w="1559" w:type="dxa"/>
            <w:gridSpan w:val="3"/>
            <w:noWrap/>
            <w:vAlign w:val="bottom"/>
            <w:hideMark/>
          </w:tcPr>
          <w:p w14:paraId="5F39551A" w14:textId="77777777" w:rsidR="008D12B3" w:rsidRPr="009E35ED" w:rsidRDefault="008D12B3">
            <w:pPr>
              <w:spacing w:line="256" w:lineRule="auto"/>
              <w:ind w:left="0"/>
              <w:jc w:val="right"/>
              <w:rPr>
                <w:rFonts w:ascii="Arial Narrow" w:hAnsi="Arial Narrow" w:cs="Calibri"/>
                <w:color w:val="000000" w:themeColor="text1"/>
                <w:sz w:val="20"/>
                <w:szCs w:val="20"/>
              </w:rPr>
            </w:pPr>
            <w:r w:rsidRPr="009E35ED">
              <w:rPr>
                <w:rFonts w:ascii="Arial Narrow" w:hAnsi="Arial Narrow" w:cs="Calibri"/>
                <w:color w:val="000000" w:themeColor="text1"/>
                <w:sz w:val="20"/>
                <w:szCs w:val="20"/>
              </w:rPr>
              <w:t>9,776</w:t>
            </w:r>
          </w:p>
        </w:tc>
        <w:tc>
          <w:tcPr>
            <w:tcW w:w="1643" w:type="dxa"/>
            <w:gridSpan w:val="2"/>
            <w:noWrap/>
            <w:vAlign w:val="bottom"/>
            <w:hideMark/>
          </w:tcPr>
          <w:p w14:paraId="3582A468" w14:textId="77777777" w:rsidR="008D12B3" w:rsidRPr="009E35ED" w:rsidRDefault="008D12B3">
            <w:pPr>
              <w:spacing w:line="256" w:lineRule="auto"/>
              <w:ind w:left="0"/>
              <w:jc w:val="right"/>
              <w:rPr>
                <w:rFonts w:ascii="Arial Narrow" w:hAnsi="Arial Narrow" w:cs="Calibri"/>
                <w:color w:val="000000" w:themeColor="text1"/>
                <w:sz w:val="20"/>
                <w:szCs w:val="20"/>
              </w:rPr>
            </w:pPr>
            <w:r w:rsidRPr="009E35ED">
              <w:rPr>
                <w:rFonts w:ascii="Arial Narrow" w:hAnsi="Arial Narrow" w:cs="Calibri"/>
                <w:color w:val="000000" w:themeColor="text1"/>
                <w:sz w:val="20"/>
                <w:szCs w:val="20"/>
              </w:rPr>
              <w:t>1,611,450</w:t>
            </w:r>
          </w:p>
        </w:tc>
        <w:tc>
          <w:tcPr>
            <w:tcW w:w="1500" w:type="dxa"/>
            <w:gridSpan w:val="2"/>
            <w:noWrap/>
            <w:vAlign w:val="bottom"/>
            <w:hideMark/>
          </w:tcPr>
          <w:p w14:paraId="6FE9FB13" w14:textId="77777777" w:rsidR="008D12B3" w:rsidRPr="009E35ED" w:rsidRDefault="008D12B3">
            <w:pPr>
              <w:spacing w:line="256" w:lineRule="auto"/>
              <w:ind w:left="0"/>
              <w:jc w:val="right"/>
              <w:rPr>
                <w:rFonts w:ascii="Arial Narrow" w:hAnsi="Arial Narrow" w:cs="Calibri"/>
                <w:color w:val="000000" w:themeColor="text1"/>
                <w:sz w:val="20"/>
                <w:szCs w:val="20"/>
              </w:rPr>
            </w:pPr>
            <w:r w:rsidRPr="009E35ED">
              <w:rPr>
                <w:rFonts w:ascii="Arial Narrow" w:hAnsi="Arial Narrow" w:cs="Calibri"/>
                <w:color w:val="000000" w:themeColor="text1"/>
                <w:sz w:val="20"/>
                <w:szCs w:val="20"/>
              </w:rPr>
              <w:t>1,634,023</w:t>
            </w:r>
          </w:p>
        </w:tc>
      </w:tr>
      <w:tr w:rsidR="00997F75" w:rsidRPr="009E35ED" w14:paraId="35942160" w14:textId="77777777" w:rsidTr="003D0E7E">
        <w:trPr>
          <w:trHeight w:val="263"/>
        </w:trPr>
        <w:tc>
          <w:tcPr>
            <w:tcW w:w="1366" w:type="dxa"/>
            <w:noWrap/>
            <w:vAlign w:val="bottom"/>
            <w:hideMark/>
          </w:tcPr>
          <w:p w14:paraId="2C83A02E" w14:textId="77777777" w:rsidR="008D12B3" w:rsidRPr="009E35ED" w:rsidRDefault="008D12B3" w:rsidP="003D0E7E">
            <w:pPr>
              <w:spacing w:line="256" w:lineRule="auto"/>
              <w:ind w:left="-288"/>
              <w:jc w:val="center"/>
              <w:rPr>
                <w:rFonts w:ascii="Arial Narrow" w:hAnsi="Arial Narrow" w:cs="Calibri"/>
                <w:color w:val="000000" w:themeColor="text1"/>
                <w:sz w:val="20"/>
                <w:szCs w:val="20"/>
              </w:rPr>
            </w:pPr>
            <w:r w:rsidRPr="009E35ED">
              <w:rPr>
                <w:rFonts w:ascii="Arial Narrow" w:hAnsi="Arial Narrow" w:cs="Calibri"/>
                <w:color w:val="000000" w:themeColor="text1"/>
                <w:sz w:val="20"/>
                <w:szCs w:val="20"/>
              </w:rPr>
              <w:t>Nov 06, 2023</w:t>
            </w:r>
          </w:p>
        </w:tc>
        <w:tc>
          <w:tcPr>
            <w:tcW w:w="1499" w:type="dxa"/>
            <w:noWrap/>
            <w:vAlign w:val="bottom"/>
            <w:hideMark/>
          </w:tcPr>
          <w:p w14:paraId="50A4CEAA" w14:textId="77777777" w:rsidR="008D12B3" w:rsidRPr="009E35ED" w:rsidRDefault="008D12B3">
            <w:pPr>
              <w:spacing w:line="256" w:lineRule="auto"/>
              <w:ind w:left="0"/>
              <w:jc w:val="center"/>
              <w:rPr>
                <w:rFonts w:ascii="Arial Narrow" w:hAnsi="Arial Narrow" w:cs="Calibri"/>
                <w:color w:val="000000" w:themeColor="text1"/>
                <w:sz w:val="20"/>
                <w:szCs w:val="20"/>
              </w:rPr>
            </w:pPr>
            <w:r w:rsidRPr="009E35ED">
              <w:rPr>
                <w:rFonts w:ascii="Arial Narrow" w:hAnsi="Arial Narrow" w:cs="Calibri"/>
                <w:color w:val="000000" w:themeColor="text1"/>
                <w:sz w:val="20"/>
                <w:szCs w:val="20"/>
              </w:rPr>
              <w:t>May 06, 2024</w:t>
            </w:r>
          </w:p>
        </w:tc>
        <w:tc>
          <w:tcPr>
            <w:tcW w:w="1253" w:type="dxa"/>
            <w:noWrap/>
            <w:vAlign w:val="bottom"/>
            <w:hideMark/>
          </w:tcPr>
          <w:p w14:paraId="5D99344F" w14:textId="77777777" w:rsidR="008D12B3" w:rsidRPr="009E35ED" w:rsidRDefault="008D12B3">
            <w:pPr>
              <w:spacing w:line="256" w:lineRule="auto"/>
              <w:ind w:left="0"/>
              <w:jc w:val="right"/>
              <w:rPr>
                <w:rFonts w:ascii="Arial Narrow" w:hAnsi="Arial Narrow" w:cs="Calibri"/>
                <w:color w:val="000000" w:themeColor="text1"/>
                <w:sz w:val="20"/>
                <w:szCs w:val="20"/>
              </w:rPr>
            </w:pPr>
            <w:r w:rsidRPr="009E35ED">
              <w:rPr>
                <w:rFonts w:ascii="Arial Narrow" w:hAnsi="Arial Narrow" w:cs="Calibri"/>
                <w:color w:val="000000" w:themeColor="text1"/>
                <w:sz w:val="20"/>
                <w:szCs w:val="20"/>
              </w:rPr>
              <w:t xml:space="preserve">   1,601,674 </w:t>
            </w:r>
          </w:p>
        </w:tc>
        <w:tc>
          <w:tcPr>
            <w:tcW w:w="1559" w:type="dxa"/>
            <w:gridSpan w:val="3"/>
            <w:noWrap/>
            <w:vAlign w:val="bottom"/>
            <w:hideMark/>
          </w:tcPr>
          <w:p w14:paraId="5978B1C2" w14:textId="77777777" w:rsidR="008D12B3" w:rsidRPr="009E35ED" w:rsidRDefault="008D12B3">
            <w:pPr>
              <w:spacing w:line="256" w:lineRule="auto"/>
              <w:ind w:left="0"/>
              <w:jc w:val="right"/>
              <w:rPr>
                <w:rFonts w:ascii="Arial Narrow" w:hAnsi="Arial Narrow" w:cs="Calibri"/>
                <w:color w:val="000000" w:themeColor="text1"/>
                <w:sz w:val="20"/>
                <w:szCs w:val="20"/>
              </w:rPr>
            </w:pPr>
            <w:r w:rsidRPr="009E35ED">
              <w:rPr>
                <w:rFonts w:ascii="Arial Narrow" w:hAnsi="Arial Narrow" w:cs="Calibri"/>
                <w:color w:val="000000" w:themeColor="text1"/>
                <w:sz w:val="20"/>
                <w:szCs w:val="20"/>
              </w:rPr>
              <w:t>9,776</w:t>
            </w:r>
          </w:p>
        </w:tc>
        <w:tc>
          <w:tcPr>
            <w:tcW w:w="1643" w:type="dxa"/>
            <w:gridSpan w:val="2"/>
            <w:noWrap/>
            <w:vAlign w:val="bottom"/>
            <w:hideMark/>
          </w:tcPr>
          <w:p w14:paraId="0648515F" w14:textId="77777777" w:rsidR="008D12B3" w:rsidRPr="009E35ED" w:rsidRDefault="008D12B3">
            <w:pPr>
              <w:spacing w:line="256" w:lineRule="auto"/>
              <w:ind w:left="0"/>
              <w:jc w:val="right"/>
              <w:rPr>
                <w:rFonts w:ascii="Arial Narrow" w:hAnsi="Arial Narrow" w:cs="Calibri"/>
                <w:color w:val="000000" w:themeColor="text1"/>
                <w:sz w:val="20"/>
                <w:szCs w:val="20"/>
              </w:rPr>
            </w:pPr>
            <w:r w:rsidRPr="009E35ED">
              <w:rPr>
                <w:rFonts w:ascii="Arial Narrow" w:hAnsi="Arial Narrow" w:cs="Calibri"/>
                <w:color w:val="000000" w:themeColor="text1"/>
                <w:sz w:val="20"/>
                <w:szCs w:val="20"/>
              </w:rPr>
              <w:t>1,611,450</w:t>
            </w:r>
          </w:p>
        </w:tc>
        <w:tc>
          <w:tcPr>
            <w:tcW w:w="1500" w:type="dxa"/>
            <w:gridSpan w:val="2"/>
            <w:noWrap/>
            <w:vAlign w:val="bottom"/>
            <w:hideMark/>
          </w:tcPr>
          <w:p w14:paraId="1F666096" w14:textId="77777777" w:rsidR="008D12B3" w:rsidRPr="009E35ED" w:rsidRDefault="008D12B3">
            <w:pPr>
              <w:spacing w:line="256" w:lineRule="auto"/>
              <w:ind w:left="0"/>
              <w:jc w:val="right"/>
              <w:rPr>
                <w:rFonts w:ascii="Arial Narrow" w:hAnsi="Arial Narrow" w:cs="Calibri"/>
                <w:color w:val="000000" w:themeColor="text1"/>
                <w:sz w:val="20"/>
                <w:szCs w:val="20"/>
              </w:rPr>
            </w:pPr>
            <w:r w:rsidRPr="009E35ED">
              <w:rPr>
                <w:rFonts w:ascii="Arial Narrow" w:hAnsi="Arial Narrow" w:cs="Calibri"/>
                <w:color w:val="000000" w:themeColor="text1"/>
                <w:sz w:val="20"/>
                <w:szCs w:val="20"/>
              </w:rPr>
              <w:t>1,634,023</w:t>
            </w:r>
          </w:p>
        </w:tc>
      </w:tr>
      <w:tr w:rsidR="00997F75" w:rsidRPr="009E35ED" w14:paraId="1440CDD6" w14:textId="77777777" w:rsidTr="003D0E7E">
        <w:trPr>
          <w:trHeight w:val="263"/>
        </w:trPr>
        <w:tc>
          <w:tcPr>
            <w:tcW w:w="1366" w:type="dxa"/>
            <w:noWrap/>
            <w:vAlign w:val="bottom"/>
            <w:hideMark/>
          </w:tcPr>
          <w:p w14:paraId="0ED13346" w14:textId="77777777" w:rsidR="008D12B3" w:rsidRPr="009E35ED" w:rsidRDefault="008D12B3" w:rsidP="003D0E7E">
            <w:pPr>
              <w:spacing w:line="256" w:lineRule="auto"/>
              <w:ind w:left="-288"/>
              <w:jc w:val="center"/>
              <w:rPr>
                <w:rFonts w:ascii="Arial Narrow" w:hAnsi="Arial Narrow" w:cs="Calibri"/>
                <w:color w:val="000000" w:themeColor="text1"/>
                <w:sz w:val="20"/>
                <w:szCs w:val="20"/>
              </w:rPr>
            </w:pPr>
            <w:r w:rsidRPr="009E35ED">
              <w:rPr>
                <w:rFonts w:ascii="Arial Narrow" w:hAnsi="Arial Narrow" w:cs="Calibri"/>
                <w:color w:val="000000" w:themeColor="text1"/>
                <w:sz w:val="20"/>
                <w:szCs w:val="20"/>
              </w:rPr>
              <w:t>Nov 06, 2023</w:t>
            </w:r>
          </w:p>
        </w:tc>
        <w:tc>
          <w:tcPr>
            <w:tcW w:w="1499" w:type="dxa"/>
            <w:noWrap/>
            <w:vAlign w:val="bottom"/>
            <w:hideMark/>
          </w:tcPr>
          <w:p w14:paraId="0AA8BE47" w14:textId="77777777" w:rsidR="008D12B3" w:rsidRPr="009E35ED" w:rsidRDefault="008D12B3">
            <w:pPr>
              <w:spacing w:line="256" w:lineRule="auto"/>
              <w:ind w:left="0"/>
              <w:jc w:val="center"/>
              <w:rPr>
                <w:rFonts w:ascii="Arial Narrow" w:hAnsi="Arial Narrow" w:cs="Calibri"/>
                <w:color w:val="000000" w:themeColor="text1"/>
                <w:sz w:val="20"/>
                <w:szCs w:val="20"/>
              </w:rPr>
            </w:pPr>
            <w:r w:rsidRPr="009E35ED">
              <w:rPr>
                <w:rFonts w:ascii="Arial Narrow" w:hAnsi="Arial Narrow" w:cs="Calibri"/>
                <w:color w:val="000000" w:themeColor="text1"/>
                <w:sz w:val="20"/>
                <w:szCs w:val="20"/>
              </w:rPr>
              <w:t>May 06, 2024</w:t>
            </w:r>
          </w:p>
        </w:tc>
        <w:tc>
          <w:tcPr>
            <w:tcW w:w="1253" w:type="dxa"/>
            <w:noWrap/>
            <w:vAlign w:val="bottom"/>
            <w:hideMark/>
          </w:tcPr>
          <w:p w14:paraId="069865F7" w14:textId="77777777" w:rsidR="008D12B3" w:rsidRPr="009E35ED" w:rsidRDefault="008D12B3">
            <w:pPr>
              <w:spacing w:line="256" w:lineRule="auto"/>
              <w:ind w:left="0"/>
              <w:jc w:val="right"/>
              <w:rPr>
                <w:rFonts w:ascii="Arial Narrow" w:hAnsi="Arial Narrow" w:cs="Calibri"/>
                <w:color w:val="000000" w:themeColor="text1"/>
                <w:sz w:val="20"/>
                <w:szCs w:val="20"/>
              </w:rPr>
            </w:pPr>
            <w:r w:rsidRPr="009E35ED">
              <w:rPr>
                <w:rFonts w:ascii="Arial Narrow" w:hAnsi="Arial Narrow" w:cs="Calibri"/>
                <w:color w:val="000000" w:themeColor="text1"/>
                <w:sz w:val="20"/>
                <w:szCs w:val="20"/>
              </w:rPr>
              <w:t xml:space="preserve">1,601,674 </w:t>
            </w:r>
          </w:p>
        </w:tc>
        <w:tc>
          <w:tcPr>
            <w:tcW w:w="1559" w:type="dxa"/>
            <w:gridSpan w:val="3"/>
            <w:noWrap/>
            <w:vAlign w:val="bottom"/>
            <w:hideMark/>
          </w:tcPr>
          <w:p w14:paraId="1F8C62BD" w14:textId="77777777" w:rsidR="008D12B3" w:rsidRPr="009E35ED" w:rsidRDefault="008D12B3">
            <w:pPr>
              <w:spacing w:line="256" w:lineRule="auto"/>
              <w:ind w:left="0"/>
              <w:jc w:val="right"/>
              <w:rPr>
                <w:rFonts w:ascii="Arial Narrow" w:hAnsi="Arial Narrow" w:cs="Calibri"/>
                <w:color w:val="000000" w:themeColor="text1"/>
                <w:sz w:val="20"/>
                <w:szCs w:val="20"/>
              </w:rPr>
            </w:pPr>
            <w:r w:rsidRPr="009E35ED">
              <w:rPr>
                <w:rFonts w:ascii="Arial Narrow" w:hAnsi="Arial Narrow" w:cs="Calibri"/>
                <w:color w:val="000000" w:themeColor="text1"/>
                <w:sz w:val="20"/>
                <w:szCs w:val="20"/>
              </w:rPr>
              <w:t>9,776</w:t>
            </w:r>
          </w:p>
        </w:tc>
        <w:tc>
          <w:tcPr>
            <w:tcW w:w="1643" w:type="dxa"/>
            <w:gridSpan w:val="2"/>
            <w:noWrap/>
            <w:vAlign w:val="bottom"/>
            <w:hideMark/>
          </w:tcPr>
          <w:p w14:paraId="67B4B45D" w14:textId="77777777" w:rsidR="008D12B3" w:rsidRPr="009E35ED" w:rsidRDefault="008D12B3">
            <w:pPr>
              <w:spacing w:line="256" w:lineRule="auto"/>
              <w:ind w:left="0"/>
              <w:jc w:val="right"/>
              <w:rPr>
                <w:rFonts w:ascii="Arial Narrow" w:hAnsi="Arial Narrow" w:cs="Calibri"/>
                <w:color w:val="000000" w:themeColor="text1"/>
                <w:sz w:val="20"/>
                <w:szCs w:val="20"/>
              </w:rPr>
            </w:pPr>
            <w:r w:rsidRPr="009E35ED">
              <w:rPr>
                <w:rFonts w:ascii="Arial Narrow" w:hAnsi="Arial Narrow" w:cs="Calibri"/>
                <w:color w:val="000000" w:themeColor="text1"/>
                <w:sz w:val="20"/>
                <w:szCs w:val="20"/>
              </w:rPr>
              <w:t>1,611,450</w:t>
            </w:r>
          </w:p>
        </w:tc>
        <w:tc>
          <w:tcPr>
            <w:tcW w:w="1500" w:type="dxa"/>
            <w:gridSpan w:val="2"/>
            <w:noWrap/>
            <w:vAlign w:val="bottom"/>
            <w:hideMark/>
          </w:tcPr>
          <w:p w14:paraId="1A784D79" w14:textId="77777777" w:rsidR="008D12B3" w:rsidRPr="009E35ED" w:rsidRDefault="008D12B3">
            <w:pPr>
              <w:spacing w:line="256" w:lineRule="auto"/>
              <w:ind w:left="0"/>
              <w:jc w:val="right"/>
              <w:rPr>
                <w:rFonts w:ascii="Arial Narrow" w:hAnsi="Arial Narrow" w:cs="Calibri"/>
                <w:color w:val="000000" w:themeColor="text1"/>
                <w:sz w:val="20"/>
                <w:szCs w:val="20"/>
              </w:rPr>
            </w:pPr>
            <w:r w:rsidRPr="009E35ED">
              <w:rPr>
                <w:rFonts w:ascii="Arial Narrow" w:hAnsi="Arial Narrow" w:cs="Calibri"/>
                <w:color w:val="000000" w:themeColor="text1"/>
                <w:sz w:val="20"/>
                <w:szCs w:val="20"/>
              </w:rPr>
              <w:t>1,634,023</w:t>
            </w:r>
          </w:p>
        </w:tc>
      </w:tr>
      <w:tr w:rsidR="00997F75" w:rsidRPr="009E35ED" w14:paraId="28FDB5F2" w14:textId="77777777" w:rsidTr="003D0E7E">
        <w:trPr>
          <w:trHeight w:val="263"/>
        </w:trPr>
        <w:tc>
          <w:tcPr>
            <w:tcW w:w="1366" w:type="dxa"/>
            <w:tcBorders>
              <w:top w:val="nil"/>
              <w:left w:val="nil"/>
              <w:bottom w:val="single" w:sz="4" w:space="0" w:color="auto"/>
              <w:right w:val="nil"/>
            </w:tcBorders>
            <w:noWrap/>
            <w:vAlign w:val="bottom"/>
            <w:hideMark/>
          </w:tcPr>
          <w:p w14:paraId="15254B09" w14:textId="77777777" w:rsidR="008D12B3" w:rsidRPr="009E35ED" w:rsidRDefault="008D12B3" w:rsidP="003D0E7E">
            <w:pPr>
              <w:spacing w:line="256" w:lineRule="auto"/>
              <w:ind w:left="-288"/>
              <w:jc w:val="center"/>
              <w:rPr>
                <w:rFonts w:ascii="Arial Narrow" w:hAnsi="Arial Narrow" w:cs="Calibri"/>
                <w:color w:val="000000" w:themeColor="text1"/>
                <w:sz w:val="20"/>
                <w:szCs w:val="20"/>
              </w:rPr>
            </w:pPr>
            <w:r w:rsidRPr="009E35ED">
              <w:rPr>
                <w:rFonts w:ascii="Arial Narrow" w:hAnsi="Arial Narrow" w:cs="Calibri"/>
                <w:color w:val="000000" w:themeColor="text1"/>
                <w:sz w:val="20"/>
                <w:szCs w:val="20"/>
              </w:rPr>
              <w:t>Nov 06, 2023</w:t>
            </w:r>
          </w:p>
        </w:tc>
        <w:tc>
          <w:tcPr>
            <w:tcW w:w="1499" w:type="dxa"/>
            <w:tcBorders>
              <w:top w:val="nil"/>
              <w:left w:val="nil"/>
              <w:bottom w:val="single" w:sz="4" w:space="0" w:color="auto"/>
              <w:right w:val="nil"/>
            </w:tcBorders>
            <w:noWrap/>
            <w:vAlign w:val="bottom"/>
            <w:hideMark/>
          </w:tcPr>
          <w:p w14:paraId="52BC45E6" w14:textId="77777777" w:rsidR="008D12B3" w:rsidRPr="009E35ED" w:rsidRDefault="008D12B3">
            <w:pPr>
              <w:spacing w:line="256" w:lineRule="auto"/>
              <w:ind w:left="0"/>
              <w:jc w:val="center"/>
              <w:rPr>
                <w:rFonts w:ascii="Arial Narrow" w:hAnsi="Arial Narrow" w:cs="Calibri"/>
                <w:color w:val="000000" w:themeColor="text1"/>
                <w:sz w:val="20"/>
                <w:szCs w:val="20"/>
              </w:rPr>
            </w:pPr>
            <w:r w:rsidRPr="009E35ED">
              <w:rPr>
                <w:rFonts w:ascii="Arial Narrow" w:hAnsi="Arial Narrow" w:cs="Calibri"/>
                <w:color w:val="000000" w:themeColor="text1"/>
                <w:sz w:val="20"/>
                <w:szCs w:val="20"/>
              </w:rPr>
              <w:t>May 06, 2024</w:t>
            </w:r>
          </w:p>
        </w:tc>
        <w:tc>
          <w:tcPr>
            <w:tcW w:w="1253" w:type="dxa"/>
            <w:tcBorders>
              <w:top w:val="nil"/>
              <w:left w:val="nil"/>
              <w:bottom w:val="single" w:sz="4" w:space="0" w:color="auto"/>
              <w:right w:val="nil"/>
            </w:tcBorders>
            <w:noWrap/>
            <w:vAlign w:val="bottom"/>
            <w:hideMark/>
          </w:tcPr>
          <w:p w14:paraId="1BD27A26" w14:textId="77777777" w:rsidR="008D12B3" w:rsidRPr="009E35ED" w:rsidRDefault="008D12B3">
            <w:pPr>
              <w:spacing w:line="256" w:lineRule="auto"/>
              <w:ind w:left="0"/>
              <w:jc w:val="right"/>
              <w:rPr>
                <w:rFonts w:ascii="Arial Narrow" w:hAnsi="Arial Narrow" w:cs="Calibri"/>
                <w:color w:val="000000" w:themeColor="text1"/>
                <w:sz w:val="20"/>
                <w:szCs w:val="20"/>
              </w:rPr>
            </w:pPr>
            <w:r w:rsidRPr="009E35ED">
              <w:rPr>
                <w:rFonts w:ascii="Arial Narrow" w:hAnsi="Arial Narrow" w:cs="Calibri"/>
                <w:color w:val="000000" w:themeColor="text1"/>
                <w:sz w:val="20"/>
                <w:szCs w:val="20"/>
              </w:rPr>
              <w:t xml:space="preserve">      2,246,257</w:t>
            </w:r>
          </w:p>
        </w:tc>
        <w:tc>
          <w:tcPr>
            <w:tcW w:w="1559" w:type="dxa"/>
            <w:gridSpan w:val="3"/>
            <w:tcBorders>
              <w:top w:val="nil"/>
              <w:left w:val="nil"/>
              <w:bottom w:val="single" w:sz="4" w:space="0" w:color="auto"/>
              <w:right w:val="nil"/>
            </w:tcBorders>
            <w:noWrap/>
            <w:vAlign w:val="bottom"/>
            <w:hideMark/>
          </w:tcPr>
          <w:p w14:paraId="74A4C55D" w14:textId="77777777" w:rsidR="008D12B3" w:rsidRPr="009E35ED" w:rsidRDefault="008D12B3">
            <w:pPr>
              <w:spacing w:line="256" w:lineRule="auto"/>
              <w:ind w:left="0"/>
              <w:jc w:val="right"/>
              <w:rPr>
                <w:rFonts w:ascii="Arial Narrow" w:hAnsi="Arial Narrow" w:cs="Calibri"/>
                <w:color w:val="000000" w:themeColor="text1"/>
                <w:sz w:val="20"/>
                <w:szCs w:val="20"/>
              </w:rPr>
            </w:pPr>
            <w:r w:rsidRPr="009E35ED">
              <w:rPr>
                <w:rFonts w:ascii="Arial Narrow" w:hAnsi="Arial Narrow" w:cs="Calibri"/>
                <w:color w:val="000000" w:themeColor="text1"/>
                <w:sz w:val="20"/>
                <w:szCs w:val="20"/>
              </w:rPr>
              <w:t>13,710</w:t>
            </w:r>
          </w:p>
        </w:tc>
        <w:tc>
          <w:tcPr>
            <w:tcW w:w="1643" w:type="dxa"/>
            <w:gridSpan w:val="2"/>
            <w:tcBorders>
              <w:top w:val="nil"/>
              <w:left w:val="nil"/>
              <w:bottom w:val="single" w:sz="4" w:space="0" w:color="auto"/>
              <w:right w:val="nil"/>
            </w:tcBorders>
            <w:noWrap/>
            <w:vAlign w:val="bottom"/>
            <w:hideMark/>
          </w:tcPr>
          <w:p w14:paraId="70347E83" w14:textId="77777777" w:rsidR="008D12B3" w:rsidRPr="009E35ED" w:rsidRDefault="008D12B3">
            <w:pPr>
              <w:spacing w:line="256" w:lineRule="auto"/>
              <w:ind w:left="0"/>
              <w:jc w:val="right"/>
              <w:rPr>
                <w:rFonts w:ascii="Arial Narrow" w:hAnsi="Arial Narrow" w:cs="Calibri"/>
                <w:color w:val="000000" w:themeColor="text1"/>
                <w:sz w:val="20"/>
                <w:szCs w:val="20"/>
              </w:rPr>
            </w:pPr>
            <w:r w:rsidRPr="009E35ED">
              <w:rPr>
                <w:rFonts w:ascii="Arial Narrow" w:hAnsi="Arial Narrow" w:cs="Calibri"/>
                <w:color w:val="000000" w:themeColor="text1"/>
                <w:sz w:val="20"/>
                <w:szCs w:val="20"/>
              </w:rPr>
              <w:t>2,259,967</w:t>
            </w:r>
          </w:p>
        </w:tc>
        <w:tc>
          <w:tcPr>
            <w:tcW w:w="1500" w:type="dxa"/>
            <w:gridSpan w:val="2"/>
            <w:tcBorders>
              <w:top w:val="nil"/>
              <w:left w:val="nil"/>
              <w:bottom w:val="single" w:sz="4" w:space="0" w:color="auto"/>
              <w:right w:val="nil"/>
            </w:tcBorders>
            <w:noWrap/>
            <w:vAlign w:val="bottom"/>
            <w:hideMark/>
          </w:tcPr>
          <w:p w14:paraId="28E66000" w14:textId="77777777" w:rsidR="008D12B3" w:rsidRPr="009E35ED" w:rsidRDefault="008D12B3">
            <w:pPr>
              <w:spacing w:line="256" w:lineRule="auto"/>
              <w:ind w:left="0"/>
              <w:jc w:val="right"/>
              <w:rPr>
                <w:rFonts w:ascii="Arial Narrow" w:hAnsi="Arial Narrow" w:cs="Calibri"/>
                <w:color w:val="000000" w:themeColor="text1"/>
                <w:sz w:val="20"/>
                <w:szCs w:val="20"/>
              </w:rPr>
            </w:pPr>
            <w:r w:rsidRPr="009E35ED">
              <w:rPr>
                <w:rFonts w:ascii="Arial Narrow" w:hAnsi="Arial Narrow" w:cs="Calibri"/>
                <w:color w:val="000000" w:themeColor="text1"/>
                <w:sz w:val="20"/>
                <w:szCs w:val="20"/>
              </w:rPr>
              <w:t>2,291,624</w:t>
            </w:r>
          </w:p>
        </w:tc>
      </w:tr>
      <w:tr w:rsidR="00997F75" w:rsidRPr="009E35ED" w14:paraId="0CB10EEF" w14:textId="77777777" w:rsidTr="003D0E7E">
        <w:trPr>
          <w:trHeight w:val="263"/>
        </w:trPr>
        <w:tc>
          <w:tcPr>
            <w:tcW w:w="1366" w:type="dxa"/>
            <w:tcBorders>
              <w:top w:val="single" w:sz="4" w:space="0" w:color="auto"/>
              <w:left w:val="nil"/>
              <w:bottom w:val="single" w:sz="4" w:space="0" w:color="auto"/>
              <w:right w:val="nil"/>
            </w:tcBorders>
            <w:noWrap/>
            <w:vAlign w:val="bottom"/>
            <w:hideMark/>
          </w:tcPr>
          <w:p w14:paraId="2839C581" w14:textId="77777777" w:rsidR="008D12B3" w:rsidRPr="009E35ED" w:rsidRDefault="008D12B3" w:rsidP="003D0E7E">
            <w:pPr>
              <w:spacing w:line="256" w:lineRule="auto"/>
              <w:ind w:left="-108"/>
              <w:jc w:val="left"/>
              <w:rPr>
                <w:rFonts w:ascii="Arial Narrow" w:hAnsi="Arial Narrow" w:cs="Calibri"/>
                <w:b/>
                <w:color w:val="000000" w:themeColor="text1"/>
                <w:sz w:val="20"/>
                <w:szCs w:val="20"/>
              </w:rPr>
            </w:pPr>
            <w:r w:rsidRPr="009E35ED">
              <w:rPr>
                <w:rFonts w:ascii="Arial Narrow" w:hAnsi="Arial Narrow" w:cs="Calibri"/>
                <w:color w:val="000000" w:themeColor="text1"/>
                <w:sz w:val="20"/>
                <w:szCs w:val="20"/>
              </w:rPr>
              <w:t> </w:t>
            </w:r>
            <w:r w:rsidRPr="009E35ED">
              <w:rPr>
                <w:rFonts w:ascii="Arial Narrow" w:hAnsi="Arial Narrow" w:cs="Calibri"/>
                <w:b/>
                <w:color w:val="000000" w:themeColor="text1"/>
                <w:sz w:val="20"/>
                <w:szCs w:val="20"/>
              </w:rPr>
              <w:t>Total</w:t>
            </w:r>
          </w:p>
        </w:tc>
        <w:tc>
          <w:tcPr>
            <w:tcW w:w="1499" w:type="dxa"/>
            <w:tcBorders>
              <w:top w:val="single" w:sz="4" w:space="0" w:color="auto"/>
              <w:left w:val="nil"/>
              <w:bottom w:val="single" w:sz="4" w:space="0" w:color="auto"/>
              <w:right w:val="nil"/>
            </w:tcBorders>
            <w:noWrap/>
            <w:vAlign w:val="bottom"/>
            <w:hideMark/>
          </w:tcPr>
          <w:p w14:paraId="4B5AAF5E" w14:textId="77777777" w:rsidR="008D12B3" w:rsidRPr="009E35ED" w:rsidRDefault="008D12B3">
            <w:pPr>
              <w:spacing w:line="256" w:lineRule="auto"/>
              <w:ind w:left="0"/>
              <w:jc w:val="left"/>
              <w:rPr>
                <w:rFonts w:ascii="Arial Narrow" w:hAnsi="Arial Narrow" w:cs="Calibri"/>
                <w:color w:val="000000" w:themeColor="text1"/>
                <w:sz w:val="20"/>
                <w:szCs w:val="20"/>
              </w:rPr>
            </w:pPr>
            <w:r w:rsidRPr="009E35ED">
              <w:rPr>
                <w:rFonts w:ascii="Arial Narrow" w:hAnsi="Arial Narrow" w:cs="Calibri"/>
                <w:color w:val="000000" w:themeColor="text1"/>
                <w:sz w:val="20"/>
                <w:szCs w:val="20"/>
              </w:rPr>
              <w:t> </w:t>
            </w:r>
          </w:p>
        </w:tc>
        <w:tc>
          <w:tcPr>
            <w:tcW w:w="1253" w:type="dxa"/>
            <w:tcBorders>
              <w:top w:val="single" w:sz="4" w:space="0" w:color="auto"/>
              <w:left w:val="nil"/>
              <w:bottom w:val="single" w:sz="4" w:space="0" w:color="auto"/>
              <w:right w:val="nil"/>
            </w:tcBorders>
            <w:noWrap/>
            <w:vAlign w:val="bottom"/>
            <w:hideMark/>
          </w:tcPr>
          <w:p w14:paraId="71068A41" w14:textId="77777777" w:rsidR="008D12B3" w:rsidRPr="009E35ED" w:rsidRDefault="008D12B3">
            <w:pPr>
              <w:spacing w:line="256" w:lineRule="auto"/>
              <w:ind w:left="0"/>
              <w:jc w:val="right"/>
              <w:rPr>
                <w:rFonts w:ascii="Arial Narrow" w:hAnsi="Arial Narrow" w:cs="Calibri"/>
                <w:b/>
                <w:color w:val="000000" w:themeColor="text1"/>
                <w:sz w:val="20"/>
                <w:szCs w:val="20"/>
              </w:rPr>
            </w:pPr>
            <w:r w:rsidRPr="009E35ED">
              <w:rPr>
                <w:rFonts w:ascii="Arial Narrow" w:hAnsi="Arial Narrow" w:cs="Calibri"/>
                <w:b/>
                <w:color w:val="000000" w:themeColor="text1"/>
                <w:sz w:val="20"/>
                <w:szCs w:val="20"/>
              </w:rPr>
              <w:t>7,051,279</w:t>
            </w:r>
          </w:p>
        </w:tc>
        <w:tc>
          <w:tcPr>
            <w:tcW w:w="1559" w:type="dxa"/>
            <w:gridSpan w:val="3"/>
            <w:tcBorders>
              <w:top w:val="single" w:sz="4" w:space="0" w:color="auto"/>
              <w:left w:val="nil"/>
              <w:bottom w:val="single" w:sz="4" w:space="0" w:color="auto"/>
              <w:right w:val="nil"/>
            </w:tcBorders>
            <w:noWrap/>
            <w:vAlign w:val="bottom"/>
            <w:hideMark/>
          </w:tcPr>
          <w:p w14:paraId="22F2C90A" w14:textId="77777777" w:rsidR="008D12B3" w:rsidRPr="009E35ED" w:rsidRDefault="008D12B3">
            <w:pPr>
              <w:spacing w:line="256" w:lineRule="auto"/>
              <w:ind w:left="0"/>
              <w:jc w:val="right"/>
              <w:rPr>
                <w:rFonts w:ascii="Arial Narrow" w:hAnsi="Arial Narrow" w:cs="Calibri"/>
                <w:b/>
                <w:color w:val="000000" w:themeColor="text1"/>
                <w:sz w:val="20"/>
                <w:szCs w:val="20"/>
              </w:rPr>
            </w:pPr>
            <w:r w:rsidRPr="009E35ED">
              <w:rPr>
                <w:rFonts w:ascii="Arial Narrow" w:hAnsi="Arial Narrow" w:cs="Calibri"/>
                <w:b/>
                <w:color w:val="000000" w:themeColor="text1"/>
                <w:sz w:val="20"/>
                <w:szCs w:val="20"/>
              </w:rPr>
              <w:t>43,038</w:t>
            </w:r>
          </w:p>
        </w:tc>
        <w:tc>
          <w:tcPr>
            <w:tcW w:w="1643" w:type="dxa"/>
            <w:gridSpan w:val="2"/>
            <w:tcBorders>
              <w:top w:val="single" w:sz="4" w:space="0" w:color="auto"/>
              <w:left w:val="nil"/>
              <w:bottom w:val="single" w:sz="4" w:space="0" w:color="auto"/>
              <w:right w:val="nil"/>
            </w:tcBorders>
            <w:noWrap/>
            <w:vAlign w:val="bottom"/>
            <w:hideMark/>
          </w:tcPr>
          <w:p w14:paraId="57174DFD" w14:textId="77777777" w:rsidR="008D12B3" w:rsidRPr="009E35ED" w:rsidRDefault="008D12B3">
            <w:pPr>
              <w:spacing w:line="256" w:lineRule="auto"/>
              <w:ind w:left="0"/>
              <w:jc w:val="right"/>
              <w:rPr>
                <w:rFonts w:ascii="Arial Narrow" w:hAnsi="Arial Narrow" w:cs="Calibri"/>
                <w:b/>
                <w:color w:val="000000" w:themeColor="text1"/>
                <w:sz w:val="20"/>
                <w:szCs w:val="20"/>
              </w:rPr>
            </w:pPr>
            <w:r w:rsidRPr="009E35ED">
              <w:rPr>
                <w:rFonts w:ascii="Arial Narrow" w:hAnsi="Arial Narrow" w:cs="Calibri"/>
                <w:b/>
                <w:color w:val="000000" w:themeColor="text1"/>
                <w:sz w:val="20"/>
                <w:szCs w:val="20"/>
              </w:rPr>
              <w:t>7,094,317</w:t>
            </w:r>
          </w:p>
        </w:tc>
        <w:tc>
          <w:tcPr>
            <w:tcW w:w="1500" w:type="dxa"/>
            <w:gridSpan w:val="2"/>
            <w:tcBorders>
              <w:top w:val="single" w:sz="4" w:space="0" w:color="auto"/>
              <w:left w:val="nil"/>
              <w:bottom w:val="single" w:sz="4" w:space="0" w:color="auto"/>
              <w:right w:val="nil"/>
            </w:tcBorders>
            <w:noWrap/>
            <w:vAlign w:val="bottom"/>
            <w:hideMark/>
          </w:tcPr>
          <w:p w14:paraId="3417B615" w14:textId="77777777" w:rsidR="008D12B3" w:rsidRPr="009E35ED" w:rsidRDefault="008D12B3">
            <w:pPr>
              <w:spacing w:line="256" w:lineRule="auto"/>
              <w:ind w:left="0"/>
              <w:jc w:val="right"/>
              <w:rPr>
                <w:rFonts w:ascii="Arial Narrow" w:hAnsi="Arial Narrow" w:cs="Calibri"/>
                <w:b/>
                <w:color w:val="000000" w:themeColor="text1"/>
                <w:sz w:val="20"/>
                <w:szCs w:val="20"/>
              </w:rPr>
            </w:pPr>
            <w:r w:rsidRPr="009E35ED">
              <w:rPr>
                <w:rFonts w:ascii="Arial Narrow" w:hAnsi="Arial Narrow" w:cs="Calibri"/>
                <w:b/>
                <w:color w:val="000000" w:themeColor="text1"/>
                <w:sz w:val="20"/>
                <w:szCs w:val="20"/>
              </w:rPr>
              <w:t>7,193,693</w:t>
            </w:r>
          </w:p>
        </w:tc>
      </w:tr>
    </w:tbl>
    <w:p w14:paraId="52D2094E" w14:textId="77777777" w:rsidR="008D12B3" w:rsidRPr="009E35ED" w:rsidRDefault="008D12B3" w:rsidP="008D12B3">
      <w:pPr>
        <w:ind w:left="0"/>
        <w:rPr>
          <w:color w:val="000000" w:themeColor="text1"/>
        </w:rPr>
      </w:pPr>
    </w:p>
    <w:p w14:paraId="5EBBC7AE" w14:textId="4ED87101" w:rsidR="008D12B3" w:rsidRPr="009E35ED" w:rsidRDefault="008D12B3" w:rsidP="008D12B3">
      <w:pPr>
        <w:ind w:left="0"/>
        <w:rPr>
          <w:rFonts w:ascii="Arial" w:hAnsi="Arial" w:cs="Arial"/>
          <w:color w:val="000000" w:themeColor="text1"/>
          <w:sz w:val="22"/>
          <w:szCs w:val="22"/>
        </w:rPr>
      </w:pPr>
      <w:r w:rsidRPr="009E35ED">
        <w:rPr>
          <w:rFonts w:ascii="Arial" w:hAnsi="Arial" w:cs="Arial"/>
          <w:color w:val="000000" w:themeColor="text1"/>
          <w:sz w:val="22"/>
          <w:szCs w:val="22"/>
        </w:rPr>
        <w:t>Interest income from these accounts is P178,767,910 and P37,698,119 for C</w:t>
      </w:r>
      <w:r w:rsidR="00802BBF">
        <w:rPr>
          <w:rFonts w:ascii="Arial" w:hAnsi="Arial" w:cs="Arial"/>
          <w:color w:val="000000" w:themeColor="text1"/>
          <w:sz w:val="22"/>
          <w:szCs w:val="22"/>
        </w:rPr>
        <w:t xml:space="preserve">alendar </w:t>
      </w:r>
      <w:r w:rsidRPr="009E35ED">
        <w:rPr>
          <w:rFonts w:ascii="Arial" w:hAnsi="Arial" w:cs="Arial"/>
          <w:color w:val="000000" w:themeColor="text1"/>
          <w:sz w:val="22"/>
          <w:szCs w:val="22"/>
        </w:rPr>
        <w:t>Y</w:t>
      </w:r>
      <w:r w:rsidR="00802BBF">
        <w:rPr>
          <w:rFonts w:ascii="Arial" w:hAnsi="Arial" w:cs="Arial"/>
          <w:color w:val="000000" w:themeColor="text1"/>
          <w:sz w:val="22"/>
          <w:szCs w:val="22"/>
        </w:rPr>
        <w:t>ear’</w:t>
      </w:r>
      <w:r w:rsidRPr="009E35ED">
        <w:rPr>
          <w:rFonts w:ascii="Arial" w:hAnsi="Arial" w:cs="Arial"/>
          <w:color w:val="000000" w:themeColor="text1"/>
          <w:sz w:val="22"/>
          <w:szCs w:val="22"/>
        </w:rPr>
        <w:t>s 2023 and 2022, respectively.</w:t>
      </w:r>
    </w:p>
    <w:p w14:paraId="72AE5D31" w14:textId="2D450538" w:rsidR="003E4931" w:rsidRPr="009E35ED" w:rsidRDefault="003E4931" w:rsidP="003E4931">
      <w:pPr>
        <w:ind w:left="0"/>
        <w:rPr>
          <w:rFonts w:ascii="Arial" w:hAnsi="Arial" w:cs="Arial"/>
          <w:b/>
          <w:color w:val="000000" w:themeColor="text1"/>
          <w:sz w:val="22"/>
          <w:szCs w:val="22"/>
        </w:rPr>
      </w:pPr>
    </w:p>
    <w:p w14:paraId="26A6BFC4" w14:textId="77777777" w:rsidR="00B939EF" w:rsidRPr="009E35ED" w:rsidRDefault="00B939EF" w:rsidP="003E4931">
      <w:pPr>
        <w:ind w:left="0"/>
        <w:rPr>
          <w:rFonts w:ascii="Arial" w:hAnsi="Arial" w:cs="Arial"/>
          <w:b/>
          <w:color w:val="000000" w:themeColor="text1"/>
          <w:sz w:val="22"/>
          <w:szCs w:val="22"/>
        </w:rPr>
      </w:pPr>
    </w:p>
    <w:p w14:paraId="7894C4A3" w14:textId="77777777" w:rsidR="006E34FF" w:rsidRPr="009E35ED" w:rsidRDefault="006E34FF" w:rsidP="00B90388">
      <w:pPr>
        <w:pStyle w:val="ListParagraph"/>
        <w:keepNext/>
        <w:keepLines/>
        <w:numPr>
          <w:ilvl w:val="0"/>
          <w:numId w:val="12"/>
        </w:numPr>
        <w:ind w:left="720" w:hanging="720"/>
        <w:rPr>
          <w:rFonts w:ascii="Arial" w:hAnsi="Arial" w:cs="Arial"/>
          <w:b/>
          <w:color w:val="000000" w:themeColor="text1"/>
          <w:sz w:val="22"/>
          <w:szCs w:val="22"/>
        </w:rPr>
      </w:pPr>
      <w:r w:rsidRPr="009E35ED">
        <w:rPr>
          <w:rFonts w:ascii="Arial" w:hAnsi="Arial" w:cs="Arial"/>
          <w:b/>
          <w:color w:val="000000" w:themeColor="text1"/>
          <w:sz w:val="22"/>
          <w:szCs w:val="22"/>
        </w:rPr>
        <w:t>RECEIVABLES</w:t>
      </w:r>
    </w:p>
    <w:p w14:paraId="7E489CFE" w14:textId="77777777" w:rsidR="006E34FF" w:rsidRPr="009E35ED" w:rsidRDefault="006E34FF" w:rsidP="00B90388">
      <w:pPr>
        <w:pStyle w:val="ListParagraph"/>
        <w:keepNext/>
        <w:keepLines/>
        <w:ind w:left="390"/>
        <w:rPr>
          <w:rFonts w:ascii="Arial" w:hAnsi="Arial" w:cs="Arial"/>
          <w:b/>
          <w:color w:val="000000" w:themeColor="text1"/>
          <w:sz w:val="22"/>
          <w:szCs w:val="22"/>
        </w:rPr>
      </w:pPr>
    </w:p>
    <w:p w14:paraId="42BBBF2C" w14:textId="53B1D0C7" w:rsidR="006E34FF" w:rsidRDefault="006E34FF" w:rsidP="00B90388">
      <w:pPr>
        <w:keepNext/>
        <w:keepLines/>
        <w:ind w:left="0"/>
        <w:rPr>
          <w:rFonts w:ascii="Arial" w:hAnsi="Arial" w:cs="Arial"/>
          <w:color w:val="000000" w:themeColor="text1"/>
          <w:sz w:val="22"/>
          <w:szCs w:val="22"/>
        </w:rPr>
      </w:pPr>
      <w:r w:rsidRPr="009E35ED">
        <w:rPr>
          <w:rFonts w:ascii="Arial" w:hAnsi="Arial" w:cs="Arial"/>
          <w:color w:val="000000" w:themeColor="text1"/>
          <w:sz w:val="22"/>
          <w:szCs w:val="22"/>
        </w:rPr>
        <w:t xml:space="preserve">This </w:t>
      </w:r>
      <w:r w:rsidR="009D7990">
        <w:rPr>
          <w:rFonts w:ascii="Arial" w:hAnsi="Arial" w:cs="Arial"/>
          <w:color w:val="000000" w:themeColor="text1"/>
          <w:sz w:val="22"/>
          <w:szCs w:val="22"/>
        </w:rPr>
        <w:t>account consists the</w:t>
      </w:r>
      <w:r w:rsidR="00967710" w:rsidRPr="00967710">
        <w:rPr>
          <w:rFonts w:ascii="Arial" w:hAnsi="Arial" w:cs="Arial"/>
          <w:color w:val="000000" w:themeColor="text1"/>
          <w:sz w:val="22"/>
          <w:szCs w:val="22"/>
        </w:rPr>
        <w:t xml:space="preserve"> following</w:t>
      </w:r>
      <w:r w:rsidRPr="009E35ED">
        <w:rPr>
          <w:rFonts w:ascii="Arial" w:hAnsi="Arial" w:cs="Arial"/>
          <w:color w:val="000000" w:themeColor="text1"/>
          <w:sz w:val="22"/>
          <w:szCs w:val="22"/>
        </w:rPr>
        <w:t>:</w:t>
      </w:r>
      <w:r w:rsidRPr="009E35ED">
        <w:rPr>
          <w:rFonts w:ascii="Arial" w:hAnsi="Arial" w:cs="Arial"/>
          <w:color w:val="000000" w:themeColor="text1"/>
          <w:sz w:val="22"/>
          <w:szCs w:val="22"/>
        </w:rPr>
        <w:tab/>
      </w:r>
    </w:p>
    <w:p w14:paraId="530C5453" w14:textId="77777777" w:rsidR="000B3F04" w:rsidRPr="009E35ED" w:rsidRDefault="000B3F04" w:rsidP="00B90388">
      <w:pPr>
        <w:keepNext/>
        <w:keepLines/>
        <w:ind w:left="0"/>
        <w:rPr>
          <w:rFonts w:ascii="Arial" w:hAnsi="Arial" w:cs="Arial"/>
          <w:color w:val="000000" w:themeColor="text1"/>
          <w:sz w:val="22"/>
          <w:szCs w:val="22"/>
        </w:rPr>
      </w:pPr>
    </w:p>
    <w:tbl>
      <w:tblPr>
        <w:tblW w:w="8636" w:type="dxa"/>
        <w:tblLook w:val="04A0" w:firstRow="1" w:lastRow="0" w:firstColumn="1" w:lastColumn="0" w:noHBand="0" w:noVBand="1"/>
      </w:tblPr>
      <w:tblGrid>
        <w:gridCol w:w="4050"/>
        <w:gridCol w:w="2801"/>
        <w:gridCol w:w="1785"/>
      </w:tblGrid>
      <w:tr w:rsidR="00997F75" w:rsidRPr="009E35ED" w14:paraId="4072A799" w14:textId="77777777" w:rsidTr="000B3F04">
        <w:trPr>
          <w:trHeight w:val="300"/>
        </w:trPr>
        <w:tc>
          <w:tcPr>
            <w:tcW w:w="4050" w:type="dxa"/>
            <w:tcBorders>
              <w:top w:val="single" w:sz="4" w:space="0" w:color="auto"/>
              <w:left w:val="nil"/>
              <w:bottom w:val="single" w:sz="4" w:space="0" w:color="auto"/>
              <w:right w:val="nil"/>
            </w:tcBorders>
            <w:shd w:val="clear" w:color="auto" w:fill="auto"/>
            <w:noWrap/>
            <w:vAlign w:val="bottom"/>
            <w:hideMark/>
          </w:tcPr>
          <w:p w14:paraId="40575779" w14:textId="77777777" w:rsidR="00264A90" w:rsidRPr="009E35ED" w:rsidRDefault="00264A90" w:rsidP="00B90388">
            <w:pPr>
              <w:keepNext/>
              <w:keepLines/>
              <w:ind w:left="0"/>
              <w:jc w:val="left"/>
              <w:rPr>
                <w:rFonts w:ascii="Arial Narrow" w:hAnsi="Arial Narrow"/>
                <w:color w:val="000000" w:themeColor="text1"/>
                <w:sz w:val="20"/>
                <w:szCs w:val="20"/>
                <w:lang w:val="en-PH" w:eastAsia="en-PH"/>
              </w:rPr>
            </w:pPr>
          </w:p>
        </w:tc>
        <w:tc>
          <w:tcPr>
            <w:tcW w:w="2801" w:type="dxa"/>
            <w:tcBorders>
              <w:top w:val="single" w:sz="4" w:space="0" w:color="auto"/>
              <w:left w:val="nil"/>
              <w:bottom w:val="single" w:sz="4" w:space="0" w:color="auto"/>
              <w:right w:val="nil"/>
            </w:tcBorders>
            <w:shd w:val="clear" w:color="auto" w:fill="auto"/>
            <w:noWrap/>
            <w:vAlign w:val="bottom"/>
            <w:hideMark/>
          </w:tcPr>
          <w:p w14:paraId="0ACE8CB2" w14:textId="274C60A7" w:rsidR="00264A90" w:rsidRPr="009E35ED" w:rsidRDefault="00613699" w:rsidP="00B90388">
            <w:pPr>
              <w:keepNext/>
              <w:keepLines/>
              <w:ind w:left="0"/>
              <w:jc w:val="right"/>
              <w:rPr>
                <w:rFonts w:ascii="Arial Narrow" w:hAnsi="Arial Narrow" w:cs="Arial"/>
                <w:b/>
                <w:bCs/>
                <w:color w:val="000000" w:themeColor="text1"/>
                <w:sz w:val="22"/>
                <w:szCs w:val="22"/>
                <w:lang w:val="en-PH" w:eastAsia="en-PH"/>
              </w:rPr>
            </w:pPr>
            <w:r w:rsidRPr="009E35ED">
              <w:rPr>
                <w:rFonts w:ascii="Arial Narrow" w:hAnsi="Arial Narrow" w:cs="Arial"/>
                <w:b/>
                <w:bCs/>
                <w:color w:val="000000" w:themeColor="text1"/>
                <w:sz w:val="22"/>
                <w:szCs w:val="22"/>
                <w:lang w:val="en-PH" w:eastAsia="en-PH"/>
              </w:rPr>
              <w:t>202</w:t>
            </w:r>
            <w:r w:rsidR="00FA1002" w:rsidRPr="009E35ED">
              <w:rPr>
                <w:rFonts w:ascii="Arial Narrow" w:hAnsi="Arial Narrow" w:cs="Arial"/>
                <w:b/>
                <w:bCs/>
                <w:color w:val="000000" w:themeColor="text1"/>
                <w:sz w:val="22"/>
                <w:szCs w:val="22"/>
                <w:lang w:val="en-PH" w:eastAsia="en-PH"/>
              </w:rPr>
              <w:t>3</w:t>
            </w:r>
          </w:p>
          <w:p w14:paraId="71C38A21" w14:textId="4FE477A3" w:rsidR="00BB12A0" w:rsidRPr="009E35ED" w:rsidRDefault="00BB12A0" w:rsidP="00B90388">
            <w:pPr>
              <w:keepNext/>
              <w:keepLines/>
              <w:ind w:left="0"/>
              <w:jc w:val="right"/>
              <w:rPr>
                <w:rFonts w:ascii="Arial Narrow" w:hAnsi="Arial Narrow" w:cs="Arial"/>
                <w:b/>
                <w:bCs/>
                <w:color w:val="000000" w:themeColor="text1"/>
                <w:sz w:val="22"/>
                <w:szCs w:val="22"/>
                <w:lang w:val="en-PH" w:eastAsia="en-PH"/>
              </w:rPr>
            </w:pPr>
          </w:p>
        </w:tc>
        <w:tc>
          <w:tcPr>
            <w:tcW w:w="1785" w:type="dxa"/>
            <w:tcBorders>
              <w:top w:val="single" w:sz="4" w:space="0" w:color="auto"/>
              <w:left w:val="nil"/>
              <w:bottom w:val="single" w:sz="4" w:space="0" w:color="auto"/>
              <w:right w:val="nil"/>
            </w:tcBorders>
            <w:shd w:val="clear" w:color="auto" w:fill="auto"/>
            <w:noWrap/>
            <w:vAlign w:val="bottom"/>
            <w:hideMark/>
          </w:tcPr>
          <w:p w14:paraId="57FB6AA2" w14:textId="36D833C4" w:rsidR="00264A90" w:rsidRPr="009E35ED" w:rsidRDefault="003F591D" w:rsidP="00B90388">
            <w:pPr>
              <w:keepNext/>
              <w:keepLines/>
              <w:ind w:left="0" w:right="-82"/>
              <w:jc w:val="right"/>
              <w:rPr>
                <w:rFonts w:ascii="Arial Narrow" w:hAnsi="Arial Narrow" w:cs="Arial"/>
                <w:b/>
                <w:bCs/>
                <w:color w:val="000000" w:themeColor="text1"/>
                <w:sz w:val="22"/>
                <w:szCs w:val="22"/>
                <w:lang w:val="en-PH" w:eastAsia="en-PH"/>
              </w:rPr>
            </w:pPr>
            <w:r w:rsidRPr="009E35ED">
              <w:rPr>
                <w:rFonts w:ascii="Arial Narrow" w:hAnsi="Arial Narrow" w:cs="Arial"/>
                <w:b/>
                <w:bCs/>
                <w:color w:val="000000" w:themeColor="text1"/>
                <w:sz w:val="22"/>
                <w:szCs w:val="22"/>
                <w:lang w:val="en-PH" w:eastAsia="en-PH"/>
              </w:rPr>
              <w:t>202</w:t>
            </w:r>
            <w:r w:rsidR="00FA1002" w:rsidRPr="009E35ED">
              <w:rPr>
                <w:rFonts w:ascii="Arial Narrow" w:hAnsi="Arial Narrow" w:cs="Arial"/>
                <w:b/>
                <w:bCs/>
                <w:color w:val="000000" w:themeColor="text1"/>
                <w:sz w:val="22"/>
                <w:szCs w:val="22"/>
                <w:lang w:val="en-PH" w:eastAsia="en-PH"/>
              </w:rPr>
              <w:t>2</w:t>
            </w:r>
          </w:p>
          <w:p w14:paraId="759717A2" w14:textId="4A4C94BC" w:rsidR="00BB12A0" w:rsidRPr="009E35ED" w:rsidRDefault="00BB12A0" w:rsidP="00B90388">
            <w:pPr>
              <w:keepNext/>
              <w:keepLines/>
              <w:ind w:left="0" w:right="-82"/>
              <w:jc w:val="right"/>
              <w:rPr>
                <w:rFonts w:ascii="Arial Narrow" w:hAnsi="Arial Narrow" w:cs="Arial"/>
                <w:b/>
                <w:bCs/>
                <w:color w:val="000000" w:themeColor="text1"/>
                <w:sz w:val="22"/>
                <w:szCs w:val="22"/>
                <w:lang w:val="en-PH" w:eastAsia="en-PH"/>
              </w:rPr>
            </w:pPr>
            <w:r w:rsidRPr="009E35ED">
              <w:rPr>
                <w:rFonts w:ascii="Arial Narrow" w:hAnsi="Arial Narrow" w:cs="Arial"/>
                <w:b/>
                <w:bCs/>
                <w:color w:val="000000" w:themeColor="text1"/>
                <w:sz w:val="22"/>
                <w:szCs w:val="22"/>
                <w:lang w:val="en-PH" w:eastAsia="en-PH"/>
              </w:rPr>
              <w:t>As Restated</w:t>
            </w:r>
          </w:p>
        </w:tc>
      </w:tr>
      <w:tr w:rsidR="00997F75" w:rsidRPr="009E35ED" w14:paraId="0DA69932" w14:textId="77777777" w:rsidTr="000B3F04">
        <w:trPr>
          <w:trHeight w:val="285"/>
        </w:trPr>
        <w:tc>
          <w:tcPr>
            <w:tcW w:w="4050" w:type="dxa"/>
            <w:tcBorders>
              <w:top w:val="single" w:sz="4" w:space="0" w:color="auto"/>
              <w:left w:val="nil"/>
              <w:bottom w:val="nil"/>
              <w:right w:val="nil"/>
            </w:tcBorders>
            <w:shd w:val="clear" w:color="auto" w:fill="auto"/>
            <w:noWrap/>
            <w:vAlign w:val="bottom"/>
            <w:hideMark/>
          </w:tcPr>
          <w:p w14:paraId="5E327269" w14:textId="22124016" w:rsidR="00CD23E8" w:rsidRPr="009E35ED" w:rsidRDefault="00CD23E8" w:rsidP="00B90388">
            <w:pPr>
              <w:keepNext/>
              <w:keepLines/>
              <w:ind w:left="-108"/>
              <w:jc w:val="left"/>
              <w:rPr>
                <w:rFonts w:ascii="Arial Narrow" w:hAnsi="Arial Narrow" w:cs="Arial"/>
                <w:color w:val="000000" w:themeColor="text1"/>
                <w:sz w:val="22"/>
                <w:szCs w:val="22"/>
                <w:lang w:val="en-PH" w:eastAsia="en-PH"/>
              </w:rPr>
            </w:pPr>
            <w:r w:rsidRPr="009E35ED">
              <w:rPr>
                <w:rFonts w:ascii="Arial Narrow" w:hAnsi="Arial Narrow" w:cs="Arial"/>
                <w:color w:val="000000" w:themeColor="text1"/>
                <w:sz w:val="22"/>
                <w:szCs w:val="22"/>
                <w:lang w:val="en-PH" w:eastAsia="en-PH"/>
              </w:rPr>
              <w:t xml:space="preserve">Accounts </w:t>
            </w:r>
            <w:r w:rsidR="00802BBF">
              <w:rPr>
                <w:rFonts w:ascii="Arial Narrow" w:hAnsi="Arial Narrow" w:cs="Arial"/>
                <w:color w:val="000000" w:themeColor="text1"/>
                <w:sz w:val="22"/>
                <w:szCs w:val="22"/>
                <w:lang w:val="en-PH" w:eastAsia="en-PH"/>
              </w:rPr>
              <w:t>r</w:t>
            </w:r>
            <w:r w:rsidRPr="009E35ED">
              <w:rPr>
                <w:rFonts w:ascii="Arial Narrow" w:hAnsi="Arial Narrow" w:cs="Arial"/>
                <w:color w:val="000000" w:themeColor="text1"/>
                <w:sz w:val="22"/>
                <w:szCs w:val="22"/>
                <w:lang w:val="en-PH" w:eastAsia="en-PH"/>
              </w:rPr>
              <w:t>eceivable</w:t>
            </w:r>
          </w:p>
        </w:tc>
        <w:tc>
          <w:tcPr>
            <w:tcW w:w="2801" w:type="dxa"/>
            <w:tcBorders>
              <w:top w:val="single" w:sz="4" w:space="0" w:color="auto"/>
              <w:left w:val="nil"/>
              <w:bottom w:val="nil"/>
              <w:right w:val="nil"/>
            </w:tcBorders>
            <w:shd w:val="clear" w:color="auto" w:fill="auto"/>
            <w:noWrap/>
            <w:vAlign w:val="center"/>
          </w:tcPr>
          <w:p w14:paraId="505C09F3" w14:textId="3D34D3ED" w:rsidR="00CD23E8" w:rsidRPr="009E35ED" w:rsidRDefault="00CD23E8" w:rsidP="00B90388">
            <w:pPr>
              <w:keepNext/>
              <w:keepLines/>
              <w:ind w:left="0"/>
              <w:jc w:val="right"/>
              <w:rPr>
                <w:rFonts w:ascii="Arial Narrow" w:hAnsi="Arial Narrow" w:cs="Arial"/>
                <w:color w:val="000000" w:themeColor="text1"/>
                <w:sz w:val="22"/>
                <w:szCs w:val="22"/>
                <w:lang w:val="en-PH" w:eastAsia="en-PH"/>
              </w:rPr>
            </w:pPr>
            <w:r w:rsidRPr="009E35ED">
              <w:rPr>
                <w:rFonts w:ascii="Arial Narrow" w:hAnsi="Arial Narrow"/>
                <w:color w:val="000000" w:themeColor="text1"/>
                <w:sz w:val="22"/>
                <w:szCs w:val="22"/>
              </w:rPr>
              <w:t xml:space="preserve"> </w:t>
            </w:r>
            <w:r w:rsidR="00175263" w:rsidRPr="009E35ED">
              <w:rPr>
                <w:rFonts w:ascii="Arial Narrow" w:hAnsi="Arial Narrow"/>
                <w:color w:val="000000" w:themeColor="text1"/>
                <w:sz w:val="22"/>
                <w:szCs w:val="22"/>
              </w:rPr>
              <w:t>7,</w:t>
            </w:r>
            <w:r w:rsidR="00166F1B" w:rsidRPr="009E35ED">
              <w:rPr>
                <w:rFonts w:ascii="Arial Narrow" w:hAnsi="Arial Narrow"/>
                <w:color w:val="000000" w:themeColor="text1"/>
                <w:sz w:val="22"/>
                <w:szCs w:val="22"/>
              </w:rPr>
              <w:t>057,595,995</w:t>
            </w:r>
            <w:r w:rsidRPr="009E35ED">
              <w:rPr>
                <w:rFonts w:ascii="Arial Narrow" w:hAnsi="Arial Narrow"/>
                <w:color w:val="000000" w:themeColor="text1"/>
                <w:sz w:val="22"/>
                <w:szCs w:val="22"/>
              </w:rPr>
              <w:t xml:space="preserve"> </w:t>
            </w:r>
          </w:p>
        </w:tc>
        <w:tc>
          <w:tcPr>
            <w:tcW w:w="1785" w:type="dxa"/>
            <w:tcBorders>
              <w:top w:val="single" w:sz="4" w:space="0" w:color="auto"/>
              <w:left w:val="nil"/>
              <w:bottom w:val="nil"/>
              <w:right w:val="nil"/>
            </w:tcBorders>
            <w:shd w:val="clear" w:color="auto" w:fill="auto"/>
            <w:noWrap/>
            <w:vAlign w:val="center"/>
          </w:tcPr>
          <w:p w14:paraId="75F68704" w14:textId="49390D2E" w:rsidR="00CD23E8" w:rsidRPr="009E35ED" w:rsidRDefault="00CD23E8" w:rsidP="00B90388">
            <w:pPr>
              <w:keepNext/>
              <w:keepLines/>
              <w:ind w:left="0" w:right="-82"/>
              <w:jc w:val="right"/>
              <w:rPr>
                <w:rFonts w:ascii="Arial Narrow" w:hAnsi="Arial Narrow" w:cs="Arial"/>
                <w:color w:val="000000" w:themeColor="text1"/>
                <w:sz w:val="22"/>
                <w:szCs w:val="22"/>
                <w:lang w:val="en-PH" w:eastAsia="en-PH"/>
              </w:rPr>
            </w:pPr>
            <w:r w:rsidRPr="009E35ED">
              <w:rPr>
                <w:rFonts w:ascii="Arial Narrow" w:hAnsi="Arial Narrow"/>
                <w:color w:val="000000" w:themeColor="text1"/>
                <w:sz w:val="22"/>
                <w:szCs w:val="22"/>
              </w:rPr>
              <w:t xml:space="preserve"> </w:t>
            </w:r>
            <w:r w:rsidR="00175263" w:rsidRPr="009E35ED">
              <w:rPr>
                <w:rFonts w:ascii="Arial Narrow" w:hAnsi="Arial Narrow"/>
                <w:color w:val="000000" w:themeColor="text1"/>
                <w:sz w:val="22"/>
                <w:szCs w:val="22"/>
              </w:rPr>
              <w:t>7,059,701,635</w:t>
            </w:r>
            <w:r w:rsidRPr="009E35ED">
              <w:rPr>
                <w:rFonts w:ascii="Arial Narrow" w:hAnsi="Arial Narrow"/>
                <w:color w:val="000000" w:themeColor="text1"/>
                <w:sz w:val="22"/>
                <w:szCs w:val="22"/>
              </w:rPr>
              <w:t xml:space="preserve"> </w:t>
            </w:r>
          </w:p>
        </w:tc>
      </w:tr>
      <w:tr w:rsidR="00997F75" w:rsidRPr="009E35ED" w14:paraId="0B183CCF" w14:textId="77777777" w:rsidTr="000B3F04">
        <w:trPr>
          <w:trHeight w:val="285"/>
        </w:trPr>
        <w:tc>
          <w:tcPr>
            <w:tcW w:w="4050" w:type="dxa"/>
            <w:tcBorders>
              <w:top w:val="nil"/>
              <w:left w:val="nil"/>
              <w:bottom w:val="single" w:sz="4" w:space="0" w:color="auto"/>
              <w:right w:val="nil"/>
            </w:tcBorders>
            <w:shd w:val="clear" w:color="auto" w:fill="auto"/>
            <w:noWrap/>
            <w:vAlign w:val="bottom"/>
            <w:hideMark/>
          </w:tcPr>
          <w:p w14:paraId="4B4FC6A4" w14:textId="3131404B" w:rsidR="00CD23E8" w:rsidRPr="009E35ED" w:rsidRDefault="00CD23E8" w:rsidP="00B90388">
            <w:pPr>
              <w:keepNext/>
              <w:keepLines/>
              <w:ind w:left="-108"/>
              <w:jc w:val="left"/>
              <w:rPr>
                <w:rFonts w:ascii="Arial Narrow" w:hAnsi="Arial Narrow" w:cs="Arial"/>
                <w:color w:val="000000" w:themeColor="text1"/>
                <w:sz w:val="22"/>
                <w:szCs w:val="22"/>
                <w:lang w:val="en-PH" w:eastAsia="en-PH"/>
              </w:rPr>
            </w:pPr>
            <w:r w:rsidRPr="009E35ED">
              <w:rPr>
                <w:rFonts w:ascii="Arial Narrow" w:hAnsi="Arial Narrow" w:cs="Arial"/>
                <w:color w:val="000000" w:themeColor="text1"/>
                <w:sz w:val="22"/>
                <w:szCs w:val="22"/>
                <w:lang w:val="en-PH" w:eastAsia="en-PH"/>
              </w:rPr>
              <w:t xml:space="preserve">Allowance for </w:t>
            </w:r>
            <w:r w:rsidR="00802BBF">
              <w:rPr>
                <w:rFonts w:ascii="Arial Narrow" w:hAnsi="Arial Narrow" w:cs="Arial"/>
                <w:color w:val="000000" w:themeColor="text1"/>
                <w:sz w:val="22"/>
                <w:szCs w:val="22"/>
                <w:lang w:val="en-PH" w:eastAsia="en-PH"/>
              </w:rPr>
              <w:t>i</w:t>
            </w:r>
            <w:r w:rsidRPr="009E35ED">
              <w:rPr>
                <w:rFonts w:ascii="Arial Narrow" w:hAnsi="Arial Narrow" w:cs="Arial"/>
                <w:color w:val="000000" w:themeColor="text1"/>
                <w:sz w:val="22"/>
                <w:szCs w:val="22"/>
                <w:lang w:val="en-PH" w:eastAsia="en-PH"/>
              </w:rPr>
              <w:t>mpairment</w:t>
            </w:r>
          </w:p>
        </w:tc>
        <w:tc>
          <w:tcPr>
            <w:tcW w:w="2801" w:type="dxa"/>
            <w:tcBorders>
              <w:top w:val="nil"/>
              <w:left w:val="nil"/>
              <w:bottom w:val="single" w:sz="4" w:space="0" w:color="auto"/>
              <w:right w:val="nil"/>
            </w:tcBorders>
            <w:shd w:val="clear" w:color="auto" w:fill="auto"/>
            <w:noWrap/>
            <w:vAlign w:val="center"/>
          </w:tcPr>
          <w:p w14:paraId="4E845340" w14:textId="1A22113B" w:rsidR="00CD23E8" w:rsidRPr="009E35ED" w:rsidRDefault="00CD23E8" w:rsidP="00B90388">
            <w:pPr>
              <w:keepNext/>
              <w:keepLines/>
              <w:ind w:left="0"/>
              <w:jc w:val="right"/>
              <w:rPr>
                <w:rFonts w:ascii="Arial Narrow" w:hAnsi="Arial Narrow" w:cs="Arial"/>
                <w:color w:val="000000" w:themeColor="text1"/>
                <w:sz w:val="22"/>
                <w:szCs w:val="22"/>
                <w:lang w:val="en-PH" w:eastAsia="en-PH"/>
              </w:rPr>
            </w:pPr>
            <w:r w:rsidRPr="009E35ED">
              <w:rPr>
                <w:rFonts w:ascii="Arial Narrow" w:hAnsi="Arial Narrow"/>
                <w:color w:val="000000" w:themeColor="text1"/>
                <w:sz w:val="22"/>
                <w:szCs w:val="22"/>
              </w:rPr>
              <w:t xml:space="preserve"> 2,760,074,</w:t>
            </w:r>
            <w:r w:rsidR="00A8295E" w:rsidRPr="009E35ED">
              <w:rPr>
                <w:rFonts w:ascii="Arial Narrow" w:hAnsi="Arial Narrow"/>
                <w:color w:val="000000" w:themeColor="text1"/>
                <w:sz w:val="22"/>
                <w:szCs w:val="22"/>
              </w:rPr>
              <w:t>5</w:t>
            </w:r>
            <w:r w:rsidR="00175263" w:rsidRPr="009E35ED">
              <w:rPr>
                <w:rFonts w:ascii="Arial Narrow" w:hAnsi="Arial Narrow"/>
                <w:color w:val="000000" w:themeColor="text1"/>
                <w:sz w:val="22"/>
                <w:szCs w:val="22"/>
              </w:rPr>
              <w:t>69</w:t>
            </w:r>
            <w:r w:rsidR="00A8295E" w:rsidRPr="009E35ED">
              <w:rPr>
                <w:rFonts w:ascii="Arial Narrow" w:hAnsi="Arial Narrow"/>
                <w:color w:val="000000" w:themeColor="text1"/>
                <w:sz w:val="22"/>
                <w:szCs w:val="22"/>
              </w:rPr>
              <w:t xml:space="preserve"> </w:t>
            </w:r>
          </w:p>
        </w:tc>
        <w:tc>
          <w:tcPr>
            <w:tcW w:w="1785" w:type="dxa"/>
            <w:tcBorders>
              <w:top w:val="nil"/>
              <w:left w:val="nil"/>
              <w:bottom w:val="single" w:sz="4" w:space="0" w:color="auto"/>
              <w:right w:val="nil"/>
            </w:tcBorders>
            <w:shd w:val="clear" w:color="auto" w:fill="auto"/>
            <w:noWrap/>
            <w:vAlign w:val="center"/>
            <w:hideMark/>
          </w:tcPr>
          <w:p w14:paraId="457A97A4" w14:textId="1C2D918A" w:rsidR="00CD23E8" w:rsidRPr="009E35ED" w:rsidRDefault="00CD23E8" w:rsidP="00B90388">
            <w:pPr>
              <w:keepNext/>
              <w:keepLines/>
              <w:ind w:left="0" w:right="-82"/>
              <w:jc w:val="right"/>
              <w:rPr>
                <w:rFonts w:ascii="Arial Narrow" w:hAnsi="Arial Narrow" w:cs="Arial"/>
                <w:color w:val="000000" w:themeColor="text1"/>
                <w:sz w:val="22"/>
                <w:szCs w:val="22"/>
                <w:lang w:val="en-PH" w:eastAsia="en-PH"/>
              </w:rPr>
            </w:pPr>
            <w:r w:rsidRPr="009E35ED">
              <w:rPr>
                <w:rFonts w:ascii="Arial Narrow" w:hAnsi="Arial Narrow"/>
                <w:color w:val="000000" w:themeColor="text1"/>
                <w:sz w:val="22"/>
                <w:szCs w:val="22"/>
              </w:rPr>
              <w:t xml:space="preserve"> 1,995,374,924 </w:t>
            </w:r>
          </w:p>
        </w:tc>
      </w:tr>
      <w:tr w:rsidR="00997F75" w:rsidRPr="009E35ED" w14:paraId="3BC814DC" w14:textId="77777777" w:rsidTr="000B3F04">
        <w:trPr>
          <w:trHeight w:val="285"/>
        </w:trPr>
        <w:tc>
          <w:tcPr>
            <w:tcW w:w="4050" w:type="dxa"/>
            <w:tcBorders>
              <w:top w:val="nil"/>
              <w:left w:val="nil"/>
              <w:bottom w:val="nil"/>
              <w:right w:val="nil"/>
            </w:tcBorders>
            <w:shd w:val="clear" w:color="auto" w:fill="auto"/>
            <w:noWrap/>
            <w:vAlign w:val="bottom"/>
            <w:hideMark/>
          </w:tcPr>
          <w:p w14:paraId="3BE17697" w14:textId="77777777" w:rsidR="00CD23E8" w:rsidRPr="009E35ED" w:rsidRDefault="00CD23E8" w:rsidP="00B90388">
            <w:pPr>
              <w:keepNext/>
              <w:keepLines/>
              <w:ind w:left="-108"/>
              <w:jc w:val="left"/>
              <w:rPr>
                <w:rFonts w:ascii="Arial Narrow" w:hAnsi="Arial Narrow" w:cs="Arial"/>
                <w:b/>
                <w:bCs/>
                <w:color w:val="000000" w:themeColor="text1"/>
                <w:sz w:val="22"/>
                <w:szCs w:val="22"/>
                <w:lang w:val="en-PH" w:eastAsia="en-PH"/>
              </w:rPr>
            </w:pPr>
          </w:p>
        </w:tc>
        <w:tc>
          <w:tcPr>
            <w:tcW w:w="2801" w:type="dxa"/>
            <w:tcBorders>
              <w:top w:val="nil"/>
              <w:left w:val="nil"/>
              <w:bottom w:val="nil"/>
              <w:right w:val="nil"/>
            </w:tcBorders>
            <w:shd w:val="clear" w:color="auto" w:fill="auto"/>
            <w:noWrap/>
            <w:vAlign w:val="center"/>
          </w:tcPr>
          <w:p w14:paraId="538F4AD5" w14:textId="7939752B" w:rsidR="00CD23E8" w:rsidRPr="009E35ED" w:rsidRDefault="00CD23E8" w:rsidP="00B90388">
            <w:pPr>
              <w:keepNext/>
              <w:keepLines/>
              <w:ind w:left="0"/>
              <w:jc w:val="right"/>
              <w:rPr>
                <w:rFonts w:ascii="Arial Narrow" w:hAnsi="Arial Narrow" w:cs="Arial"/>
                <w:b/>
                <w:bCs/>
                <w:color w:val="000000" w:themeColor="text1"/>
                <w:sz w:val="22"/>
                <w:szCs w:val="22"/>
                <w:lang w:val="en-PH" w:eastAsia="en-PH"/>
              </w:rPr>
            </w:pPr>
            <w:r w:rsidRPr="009E35ED">
              <w:rPr>
                <w:rFonts w:ascii="Arial Narrow" w:hAnsi="Arial Narrow"/>
                <w:b/>
                <w:bCs/>
                <w:color w:val="000000" w:themeColor="text1"/>
                <w:sz w:val="22"/>
                <w:szCs w:val="22"/>
              </w:rPr>
              <w:t xml:space="preserve"> 4,</w:t>
            </w:r>
            <w:r w:rsidR="00166F1B" w:rsidRPr="009E35ED">
              <w:rPr>
                <w:rFonts w:ascii="Arial Narrow" w:hAnsi="Arial Narrow"/>
                <w:b/>
                <w:bCs/>
                <w:color w:val="000000" w:themeColor="text1"/>
                <w:sz w:val="22"/>
                <w:szCs w:val="22"/>
              </w:rPr>
              <w:t>297,521,426</w:t>
            </w:r>
            <w:r w:rsidRPr="009E35ED">
              <w:rPr>
                <w:rFonts w:ascii="Arial Narrow" w:hAnsi="Arial Narrow"/>
                <w:b/>
                <w:bCs/>
                <w:color w:val="000000" w:themeColor="text1"/>
                <w:sz w:val="22"/>
                <w:szCs w:val="22"/>
              </w:rPr>
              <w:t xml:space="preserve"> </w:t>
            </w:r>
          </w:p>
        </w:tc>
        <w:tc>
          <w:tcPr>
            <w:tcW w:w="1785" w:type="dxa"/>
            <w:tcBorders>
              <w:top w:val="nil"/>
              <w:left w:val="nil"/>
              <w:bottom w:val="nil"/>
              <w:right w:val="nil"/>
            </w:tcBorders>
            <w:shd w:val="clear" w:color="auto" w:fill="auto"/>
            <w:noWrap/>
            <w:vAlign w:val="center"/>
            <w:hideMark/>
          </w:tcPr>
          <w:p w14:paraId="3B36AE43" w14:textId="0F92CF06" w:rsidR="00CD23E8" w:rsidRPr="009E35ED" w:rsidRDefault="00CD23E8" w:rsidP="00B90388">
            <w:pPr>
              <w:keepNext/>
              <w:keepLines/>
              <w:ind w:left="0" w:right="-82"/>
              <w:jc w:val="right"/>
              <w:rPr>
                <w:rFonts w:ascii="Arial Narrow" w:hAnsi="Arial Narrow" w:cs="Arial"/>
                <w:b/>
                <w:bCs/>
                <w:color w:val="000000" w:themeColor="text1"/>
                <w:sz w:val="22"/>
                <w:szCs w:val="22"/>
                <w:lang w:val="en-PH" w:eastAsia="en-PH"/>
              </w:rPr>
            </w:pPr>
            <w:r w:rsidRPr="009E35ED">
              <w:rPr>
                <w:rFonts w:ascii="Arial Narrow" w:hAnsi="Arial Narrow"/>
                <w:b/>
                <w:bCs/>
                <w:color w:val="000000" w:themeColor="text1"/>
                <w:sz w:val="22"/>
                <w:szCs w:val="22"/>
              </w:rPr>
              <w:t xml:space="preserve"> 5,064,</w:t>
            </w:r>
            <w:r w:rsidR="00175263" w:rsidRPr="009E35ED">
              <w:rPr>
                <w:rFonts w:ascii="Arial Narrow" w:hAnsi="Arial Narrow"/>
                <w:b/>
                <w:bCs/>
                <w:color w:val="000000" w:themeColor="text1"/>
                <w:sz w:val="22"/>
                <w:szCs w:val="22"/>
              </w:rPr>
              <w:t>326,711</w:t>
            </w:r>
            <w:r w:rsidRPr="009E35ED">
              <w:rPr>
                <w:rFonts w:ascii="Arial Narrow" w:hAnsi="Arial Narrow"/>
                <w:b/>
                <w:bCs/>
                <w:color w:val="000000" w:themeColor="text1"/>
                <w:sz w:val="22"/>
                <w:szCs w:val="22"/>
              </w:rPr>
              <w:t xml:space="preserve"> </w:t>
            </w:r>
          </w:p>
        </w:tc>
      </w:tr>
      <w:tr w:rsidR="00997F75" w:rsidRPr="009E35ED" w14:paraId="475E750E" w14:textId="77777777" w:rsidTr="000B3F04">
        <w:trPr>
          <w:trHeight w:val="285"/>
        </w:trPr>
        <w:tc>
          <w:tcPr>
            <w:tcW w:w="4050" w:type="dxa"/>
            <w:tcBorders>
              <w:top w:val="nil"/>
              <w:left w:val="nil"/>
              <w:bottom w:val="nil"/>
              <w:right w:val="nil"/>
            </w:tcBorders>
            <w:shd w:val="clear" w:color="auto" w:fill="auto"/>
            <w:noWrap/>
            <w:vAlign w:val="bottom"/>
            <w:hideMark/>
          </w:tcPr>
          <w:p w14:paraId="05D51192" w14:textId="40E986E4" w:rsidR="00CD23E8" w:rsidRPr="009E35ED" w:rsidRDefault="00CD23E8" w:rsidP="00B90388">
            <w:pPr>
              <w:keepNext/>
              <w:keepLines/>
              <w:ind w:left="-108"/>
              <w:jc w:val="left"/>
              <w:rPr>
                <w:rFonts w:ascii="Arial Narrow" w:hAnsi="Arial Narrow" w:cs="Arial"/>
                <w:color w:val="000000" w:themeColor="text1"/>
                <w:sz w:val="22"/>
                <w:szCs w:val="22"/>
                <w:lang w:val="en-PH" w:eastAsia="en-PH"/>
              </w:rPr>
            </w:pPr>
            <w:r w:rsidRPr="009E35ED">
              <w:rPr>
                <w:rFonts w:ascii="Arial Narrow" w:hAnsi="Arial Narrow" w:cs="Arial"/>
                <w:color w:val="000000" w:themeColor="text1"/>
                <w:sz w:val="22"/>
                <w:szCs w:val="22"/>
                <w:lang w:val="en-PH" w:eastAsia="en-PH"/>
              </w:rPr>
              <w:t xml:space="preserve">Due from </w:t>
            </w:r>
            <w:r w:rsidR="00802BBF">
              <w:rPr>
                <w:rFonts w:ascii="Arial Narrow" w:hAnsi="Arial Narrow" w:cs="Arial"/>
                <w:color w:val="000000" w:themeColor="text1"/>
                <w:sz w:val="22"/>
                <w:szCs w:val="22"/>
                <w:lang w:val="en-PH" w:eastAsia="en-PH"/>
              </w:rPr>
              <w:t>o</w:t>
            </w:r>
            <w:r w:rsidRPr="009E35ED">
              <w:rPr>
                <w:rFonts w:ascii="Arial Narrow" w:hAnsi="Arial Narrow" w:cs="Arial"/>
                <w:color w:val="000000" w:themeColor="text1"/>
                <w:sz w:val="22"/>
                <w:szCs w:val="22"/>
                <w:lang w:val="en-PH" w:eastAsia="en-PH"/>
              </w:rPr>
              <w:t xml:space="preserve">fficers and </w:t>
            </w:r>
            <w:r w:rsidR="00802BBF">
              <w:rPr>
                <w:rFonts w:ascii="Arial Narrow" w:hAnsi="Arial Narrow" w:cs="Arial"/>
                <w:color w:val="000000" w:themeColor="text1"/>
                <w:sz w:val="22"/>
                <w:szCs w:val="22"/>
                <w:lang w:val="en-PH" w:eastAsia="en-PH"/>
              </w:rPr>
              <w:t>e</w:t>
            </w:r>
            <w:r w:rsidRPr="009E35ED">
              <w:rPr>
                <w:rFonts w:ascii="Arial Narrow" w:hAnsi="Arial Narrow" w:cs="Arial"/>
                <w:color w:val="000000" w:themeColor="text1"/>
                <w:sz w:val="22"/>
                <w:szCs w:val="22"/>
                <w:lang w:val="en-PH" w:eastAsia="en-PH"/>
              </w:rPr>
              <w:t>mployees</w:t>
            </w:r>
          </w:p>
        </w:tc>
        <w:tc>
          <w:tcPr>
            <w:tcW w:w="2801" w:type="dxa"/>
            <w:tcBorders>
              <w:top w:val="nil"/>
              <w:left w:val="nil"/>
              <w:bottom w:val="nil"/>
              <w:right w:val="nil"/>
            </w:tcBorders>
            <w:shd w:val="clear" w:color="auto" w:fill="auto"/>
            <w:noWrap/>
            <w:vAlign w:val="center"/>
          </w:tcPr>
          <w:p w14:paraId="5A0FB2C1" w14:textId="663F068B" w:rsidR="00CD23E8" w:rsidRPr="009E35ED" w:rsidRDefault="00CD23E8" w:rsidP="00B90388">
            <w:pPr>
              <w:keepNext/>
              <w:keepLines/>
              <w:ind w:left="0"/>
              <w:jc w:val="right"/>
              <w:rPr>
                <w:rFonts w:ascii="Arial Narrow" w:hAnsi="Arial Narrow" w:cs="Arial"/>
                <w:color w:val="000000" w:themeColor="text1"/>
                <w:sz w:val="22"/>
                <w:szCs w:val="22"/>
                <w:lang w:val="en-PH" w:eastAsia="en-PH"/>
              </w:rPr>
            </w:pPr>
            <w:r w:rsidRPr="009E35ED">
              <w:rPr>
                <w:rFonts w:ascii="Arial Narrow" w:hAnsi="Arial Narrow"/>
                <w:color w:val="000000" w:themeColor="text1"/>
                <w:sz w:val="22"/>
                <w:szCs w:val="22"/>
              </w:rPr>
              <w:t xml:space="preserve"> </w:t>
            </w:r>
            <w:r w:rsidR="00175263" w:rsidRPr="009E35ED">
              <w:rPr>
                <w:rFonts w:ascii="Arial Narrow" w:hAnsi="Arial Narrow"/>
                <w:color w:val="000000" w:themeColor="text1"/>
                <w:sz w:val="22"/>
                <w:szCs w:val="22"/>
              </w:rPr>
              <w:t>90,533,615</w:t>
            </w:r>
            <w:r w:rsidRPr="009E35ED">
              <w:rPr>
                <w:rFonts w:ascii="Arial Narrow" w:hAnsi="Arial Narrow"/>
                <w:color w:val="000000" w:themeColor="text1"/>
                <w:sz w:val="22"/>
                <w:szCs w:val="22"/>
              </w:rPr>
              <w:t xml:space="preserve"> </w:t>
            </w:r>
          </w:p>
        </w:tc>
        <w:tc>
          <w:tcPr>
            <w:tcW w:w="1785" w:type="dxa"/>
            <w:tcBorders>
              <w:top w:val="nil"/>
              <w:left w:val="nil"/>
              <w:bottom w:val="nil"/>
              <w:right w:val="nil"/>
            </w:tcBorders>
            <w:shd w:val="clear" w:color="auto" w:fill="auto"/>
            <w:noWrap/>
            <w:vAlign w:val="center"/>
            <w:hideMark/>
          </w:tcPr>
          <w:p w14:paraId="2749701B" w14:textId="6AB098D4" w:rsidR="00CD23E8" w:rsidRPr="009E35ED" w:rsidRDefault="00CD23E8" w:rsidP="00B90388">
            <w:pPr>
              <w:keepNext/>
              <w:keepLines/>
              <w:ind w:left="0" w:right="-82"/>
              <w:jc w:val="right"/>
              <w:rPr>
                <w:rFonts w:ascii="Arial Narrow" w:hAnsi="Arial Narrow" w:cs="Arial"/>
                <w:color w:val="000000" w:themeColor="text1"/>
                <w:sz w:val="22"/>
                <w:szCs w:val="22"/>
                <w:lang w:val="en-PH" w:eastAsia="en-PH"/>
              </w:rPr>
            </w:pPr>
            <w:r w:rsidRPr="009E35ED">
              <w:rPr>
                <w:rFonts w:ascii="Arial Narrow" w:hAnsi="Arial Narrow"/>
                <w:color w:val="000000" w:themeColor="text1"/>
                <w:sz w:val="22"/>
                <w:szCs w:val="22"/>
              </w:rPr>
              <w:t xml:space="preserve"> 71,</w:t>
            </w:r>
            <w:r w:rsidR="00175263" w:rsidRPr="009E35ED">
              <w:rPr>
                <w:rFonts w:ascii="Arial Narrow" w:hAnsi="Arial Narrow"/>
                <w:color w:val="000000" w:themeColor="text1"/>
                <w:sz w:val="22"/>
                <w:szCs w:val="22"/>
              </w:rPr>
              <w:t>760,975</w:t>
            </w:r>
            <w:r w:rsidRPr="009E35ED">
              <w:rPr>
                <w:rFonts w:ascii="Arial Narrow" w:hAnsi="Arial Narrow"/>
                <w:color w:val="000000" w:themeColor="text1"/>
                <w:sz w:val="22"/>
                <w:szCs w:val="22"/>
              </w:rPr>
              <w:t xml:space="preserve"> </w:t>
            </w:r>
          </w:p>
        </w:tc>
      </w:tr>
      <w:tr w:rsidR="00997F75" w:rsidRPr="009E35ED" w14:paraId="47344FB5" w14:textId="77777777" w:rsidTr="000B3F04">
        <w:trPr>
          <w:trHeight w:val="285"/>
        </w:trPr>
        <w:tc>
          <w:tcPr>
            <w:tcW w:w="4050" w:type="dxa"/>
            <w:tcBorders>
              <w:top w:val="nil"/>
              <w:left w:val="nil"/>
              <w:bottom w:val="nil"/>
              <w:right w:val="nil"/>
            </w:tcBorders>
            <w:shd w:val="clear" w:color="auto" w:fill="auto"/>
            <w:noWrap/>
            <w:vAlign w:val="bottom"/>
            <w:hideMark/>
          </w:tcPr>
          <w:p w14:paraId="0DBD6B3D" w14:textId="4DFBA8BA" w:rsidR="00CD23E8" w:rsidRPr="009E35ED" w:rsidRDefault="00CD23E8" w:rsidP="00B90388">
            <w:pPr>
              <w:keepNext/>
              <w:keepLines/>
              <w:ind w:left="-108"/>
              <w:jc w:val="left"/>
              <w:rPr>
                <w:rFonts w:ascii="Arial Narrow" w:hAnsi="Arial Narrow" w:cs="Arial"/>
                <w:color w:val="000000" w:themeColor="text1"/>
                <w:sz w:val="22"/>
                <w:szCs w:val="22"/>
                <w:lang w:val="en-PH" w:eastAsia="en-PH"/>
              </w:rPr>
            </w:pPr>
            <w:r w:rsidRPr="009E35ED">
              <w:rPr>
                <w:rFonts w:ascii="Arial Narrow" w:hAnsi="Arial Narrow" w:cs="Arial"/>
                <w:color w:val="000000" w:themeColor="text1"/>
                <w:sz w:val="22"/>
                <w:szCs w:val="22"/>
                <w:lang w:val="en-PH" w:eastAsia="en-PH"/>
              </w:rPr>
              <w:t xml:space="preserve">Due from </w:t>
            </w:r>
            <w:r w:rsidR="00802BBF">
              <w:rPr>
                <w:rFonts w:ascii="Arial Narrow" w:hAnsi="Arial Narrow" w:cs="Arial"/>
                <w:color w:val="000000" w:themeColor="text1"/>
                <w:sz w:val="22"/>
                <w:szCs w:val="22"/>
                <w:lang w:val="en-PH" w:eastAsia="en-PH"/>
              </w:rPr>
              <w:t>b</w:t>
            </w:r>
            <w:r w:rsidRPr="009E35ED">
              <w:rPr>
                <w:rFonts w:ascii="Arial Narrow" w:hAnsi="Arial Narrow" w:cs="Arial"/>
                <w:color w:val="000000" w:themeColor="text1"/>
                <w:sz w:val="22"/>
                <w:szCs w:val="22"/>
                <w:lang w:val="en-PH" w:eastAsia="en-PH"/>
              </w:rPr>
              <w:t xml:space="preserve">ranch </w:t>
            </w:r>
            <w:r w:rsidR="00802BBF">
              <w:rPr>
                <w:rFonts w:ascii="Arial Narrow" w:hAnsi="Arial Narrow" w:cs="Arial"/>
                <w:color w:val="000000" w:themeColor="text1"/>
                <w:sz w:val="22"/>
                <w:szCs w:val="22"/>
                <w:lang w:val="en-PH" w:eastAsia="en-PH"/>
              </w:rPr>
              <w:t>o</w:t>
            </w:r>
            <w:r w:rsidRPr="009E35ED">
              <w:rPr>
                <w:rFonts w:ascii="Arial Narrow" w:hAnsi="Arial Narrow" w:cs="Arial"/>
                <w:color w:val="000000" w:themeColor="text1"/>
                <w:sz w:val="22"/>
                <w:szCs w:val="22"/>
                <w:lang w:val="en-PH" w:eastAsia="en-PH"/>
              </w:rPr>
              <w:t>ffices</w:t>
            </w:r>
          </w:p>
        </w:tc>
        <w:tc>
          <w:tcPr>
            <w:tcW w:w="2801" w:type="dxa"/>
            <w:tcBorders>
              <w:top w:val="nil"/>
              <w:left w:val="nil"/>
              <w:bottom w:val="nil"/>
              <w:right w:val="nil"/>
            </w:tcBorders>
            <w:shd w:val="clear" w:color="auto" w:fill="auto"/>
            <w:noWrap/>
            <w:vAlign w:val="center"/>
          </w:tcPr>
          <w:p w14:paraId="36C7ABC6" w14:textId="1151FFEB" w:rsidR="00CD23E8" w:rsidRPr="009E35ED" w:rsidRDefault="00CD23E8" w:rsidP="00B90388">
            <w:pPr>
              <w:keepNext/>
              <w:keepLines/>
              <w:ind w:left="0"/>
              <w:jc w:val="right"/>
              <w:rPr>
                <w:rFonts w:ascii="Arial Narrow" w:hAnsi="Arial Narrow" w:cs="Arial"/>
                <w:color w:val="000000" w:themeColor="text1"/>
                <w:sz w:val="22"/>
                <w:szCs w:val="22"/>
                <w:lang w:val="en-PH" w:eastAsia="en-PH"/>
              </w:rPr>
            </w:pPr>
            <w:r w:rsidRPr="009E35ED">
              <w:rPr>
                <w:rFonts w:ascii="Arial Narrow" w:hAnsi="Arial Narrow"/>
                <w:color w:val="000000" w:themeColor="text1"/>
                <w:sz w:val="22"/>
                <w:szCs w:val="22"/>
              </w:rPr>
              <w:t xml:space="preserve"> -   </w:t>
            </w:r>
          </w:p>
        </w:tc>
        <w:tc>
          <w:tcPr>
            <w:tcW w:w="1785" w:type="dxa"/>
            <w:tcBorders>
              <w:top w:val="nil"/>
              <w:left w:val="nil"/>
              <w:bottom w:val="nil"/>
              <w:right w:val="nil"/>
            </w:tcBorders>
            <w:shd w:val="clear" w:color="auto" w:fill="auto"/>
            <w:noWrap/>
            <w:vAlign w:val="center"/>
            <w:hideMark/>
          </w:tcPr>
          <w:p w14:paraId="25158FA4" w14:textId="29B9AAE0" w:rsidR="00CD23E8" w:rsidRPr="009E35ED" w:rsidRDefault="00CD23E8" w:rsidP="00B90388">
            <w:pPr>
              <w:keepNext/>
              <w:keepLines/>
              <w:ind w:left="0" w:right="-82"/>
              <w:jc w:val="right"/>
              <w:rPr>
                <w:rFonts w:ascii="Arial Narrow" w:hAnsi="Arial Narrow" w:cs="Arial"/>
                <w:color w:val="000000" w:themeColor="text1"/>
                <w:sz w:val="22"/>
                <w:szCs w:val="22"/>
                <w:lang w:val="en-PH" w:eastAsia="en-PH"/>
              </w:rPr>
            </w:pPr>
            <w:r w:rsidRPr="009E35ED">
              <w:rPr>
                <w:rFonts w:ascii="Arial Narrow" w:hAnsi="Arial Narrow"/>
                <w:color w:val="000000" w:themeColor="text1"/>
                <w:sz w:val="22"/>
                <w:szCs w:val="22"/>
              </w:rPr>
              <w:t xml:space="preserve"> -   </w:t>
            </w:r>
          </w:p>
        </w:tc>
      </w:tr>
      <w:tr w:rsidR="00997F75" w:rsidRPr="009E35ED" w14:paraId="59A677C4" w14:textId="77777777" w:rsidTr="000B3F04">
        <w:trPr>
          <w:trHeight w:val="285"/>
        </w:trPr>
        <w:tc>
          <w:tcPr>
            <w:tcW w:w="4050" w:type="dxa"/>
            <w:tcBorders>
              <w:top w:val="nil"/>
              <w:left w:val="nil"/>
              <w:bottom w:val="nil"/>
              <w:right w:val="nil"/>
            </w:tcBorders>
            <w:shd w:val="clear" w:color="auto" w:fill="auto"/>
            <w:noWrap/>
            <w:vAlign w:val="bottom"/>
            <w:hideMark/>
          </w:tcPr>
          <w:p w14:paraId="3CE2B762" w14:textId="4A84B712" w:rsidR="00CD23E8" w:rsidRPr="009E35ED" w:rsidRDefault="00CD23E8" w:rsidP="00B90388">
            <w:pPr>
              <w:keepNext/>
              <w:keepLines/>
              <w:ind w:left="-108"/>
              <w:jc w:val="left"/>
              <w:rPr>
                <w:rFonts w:ascii="Arial Narrow" w:hAnsi="Arial Narrow" w:cs="Arial"/>
                <w:color w:val="000000" w:themeColor="text1"/>
                <w:sz w:val="22"/>
                <w:szCs w:val="22"/>
                <w:lang w:val="en-PH" w:eastAsia="en-PH"/>
              </w:rPr>
            </w:pPr>
            <w:r w:rsidRPr="009E35ED">
              <w:rPr>
                <w:rFonts w:ascii="Arial Narrow" w:hAnsi="Arial Narrow" w:cs="Arial"/>
                <w:color w:val="000000" w:themeColor="text1"/>
                <w:sz w:val="22"/>
                <w:szCs w:val="22"/>
                <w:lang w:val="en-PH" w:eastAsia="en-PH"/>
              </w:rPr>
              <w:t xml:space="preserve">Receivables </w:t>
            </w:r>
            <w:r w:rsidR="00802BBF">
              <w:rPr>
                <w:rFonts w:ascii="Arial Narrow" w:hAnsi="Arial Narrow" w:cs="Arial"/>
                <w:color w:val="000000" w:themeColor="text1"/>
                <w:sz w:val="22"/>
                <w:szCs w:val="22"/>
                <w:lang w:val="en-PH" w:eastAsia="en-PH"/>
              </w:rPr>
              <w:t>d</w:t>
            </w:r>
            <w:r w:rsidRPr="009E35ED">
              <w:rPr>
                <w:rFonts w:ascii="Arial Narrow" w:hAnsi="Arial Narrow" w:cs="Arial"/>
                <w:color w:val="000000" w:themeColor="text1"/>
                <w:sz w:val="22"/>
                <w:szCs w:val="22"/>
                <w:lang w:val="en-PH" w:eastAsia="en-PH"/>
              </w:rPr>
              <w:t>isallowance</w:t>
            </w:r>
          </w:p>
        </w:tc>
        <w:tc>
          <w:tcPr>
            <w:tcW w:w="2801" w:type="dxa"/>
            <w:tcBorders>
              <w:top w:val="nil"/>
              <w:left w:val="nil"/>
              <w:bottom w:val="nil"/>
              <w:right w:val="nil"/>
            </w:tcBorders>
            <w:shd w:val="clear" w:color="auto" w:fill="auto"/>
            <w:noWrap/>
            <w:vAlign w:val="center"/>
          </w:tcPr>
          <w:p w14:paraId="60A20244" w14:textId="11D3914C" w:rsidR="00CD23E8" w:rsidRPr="009E35ED" w:rsidRDefault="00CD23E8" w:rsidP="00B90388">
            <w:pPr>
              <w:keepNext/>
              <w:keepLines/>
              <w:ind w:left="0"/>
              <w:jc w:val="right"/>
              <w:rPr>
                <w:rFonts w:ascii="Arial Narrow" w:hAnsi="Arial Narrow" w:cs="Arial"/>
                <w:color w:val="000000" w:themeColor="text1"/>
                <w:sz w:val="22"/>
                <w:szCs w:val="22"/>
                <w:lang w:val="en-PH" w:eastAsia="en-PH"/>
              </w:rPr>
            </w:pPr>
            <w:r w:rsidRPr="009E35ED">
              <w:rPr>
                <w:rFonts w:ascii="Arial Narrow" w:hAnsi="Arial Narrow"/>
                <w:color w:val="000000" w:themeColor="text1"/>
                <w:sz w:val="22"/>
                <w:szCs w:val="22"/>
              </w:rPr>
              <w:t xml:space="preserve"> 74,695,397 </w:t>
            </w:r>
          </w:p>
        </w:tc>
        <w:tc>
          <w:tcPr>
            <w:tcW w:w="1785" w:type="dxa"/>
            <w:tcBorders>
              <w:top w:val="nil"/>
              <w:left w:val="nil"/>
              <w:bottom w:val="nil"/>
              <w:right w:val="nil"/>
            </w:tcBorders>
            <w:shd w:val="clear" w:color="auto" w:fill="auto"/>
            <w:noWrap/>
            <w:vAlign w:val="center"/>
            <w:hideMark/>
          </w:tcPr>
          <w:p w14:paraId="423DD879" w14:textId="0698B123" w:rsidR="00CD23E8" w:rsidRPr="009E35ED" w:rsidRDefault="00CD23E8" w:rsidP="00B90388">
            <w:pPr>
              <w:keepNext/>
              <w:keepLines/>
              <w:ind w:left="0" w:right="-82"/>
              <w:jc w:val="right"/>
              <w:rPr>
                <w:rFonts w:ascii="Arial Narrow" w:hAnsi="Arial Narrow" w:cs="Arial"/>
                <w:color w:val="000000" w:themeColor="text1"/>
                <w:sz w:val="22"/>
                <w:szCs w:val="22"/>
                <w:lang w:val="en-PH" w:eastAsia="en-PH"/>
              </w:rPr>
            </w:pPr>
            <w:r w:rsidRPr="009E35ED">
              <w:rPr>
                <w:rFonts w:ascii="Arial Narrow" w:hAnsi="Arial Narrow"/>
                <w:color w:val="000000" w:themeColor="text1"/>
                <w:sz w:val="22"/>
                <w:szCs w:val="22"/>
              </w:rPr>
              <w:t xml:space="preserve"> 77,703,444 </w:t>
            </w:r>
          </w:p>
        </w:tc>
      </w:tr>
      <w:tr w:rsidR="00997F75" w:rsidRPr="009E35ED" w14:paraId="289C82CE" w14:textId="77777777" w:rsidTr="000B3F04">
        <w:trPr>
          <w:trHeight w:val="285"/>
        </w:trPr>
        <w:tc>
          <w:tcPr>
            <w:tcW w:w="4050" w:type="dxa"/>
            <w:tcBorders>
              <w:top w:val="nil"/>
              <w:left w:val="nil"/>
              <w:bottom w:val="nil"/>
              <w:right w:val="nil"/>
            </w:tcBorders>
            <w:shd w:val="clear" w:color="auto" w:fill="auto"/>
            <w:noWrap/>
            <w:vAlign w:val="bottom"/>
            <w:hideMark/>
          </w:tcPr>
          <w:p w14:paraId="624D83ED" w14:textId="606FFCA9" w:rsidR="00CD23E8" w:rsidRPr="009E35ED" w:rsidRDefault="00CD23E8" w:rsidP="00B90388">
            <w:pPr>
              <w:keepNext/>
              <w:keepLines/>
              <w:ind w:left="-108"/>
              <w:jc w:val="left"/>
              <w:rPr>
                <w:rFonts w:ascii="Arial Narrow" w:hAnsi="Arial Narrow" w:cs="Arial"/>
                <w:color w:val="000000" w:themeColor="text1"/>
                <w:sz w:val="22"/>
                <w:szCs w:val="22"/>
                <w:lang w:val="en-PH" w:eastAsia="en-PH"/>
              </w:rPr>
            </w:pPr>
            <w:r w:rsidRPr="009E35ED">
              <w:rPr>
                <w:rFonts w:ascii="Arial Narrow" w:hAnsi="Arial Narrow" w:cs="Arial"/>
                <w:color w:val="000000" w:themeColor="text1"/>
                <w:sz w:val="22"/>
                <w:szCs w:val="22"/>
                <w:lang w:val="en-PH" w:eastAsia="en-PH"/>
              </w:rPr>
              <w:t xml:space="preserve">Other </w:t>
            </w:r>
            <w:r w:rsidR="00802BBF">
              <w:rPr>
                <w:rFonts w:ascii="Arial Narrow" w:hAnsi="Arial Narrow" w:cs="Arial"/>
                <w:color w:val="000000" w:themeColor="text1"/>
                <w:sz w:val="22"/>
                <w:szCs w:val="22"/>
                <w:lang w:val="en-PH" w:eastAsia="en-PH"/>
              </w:rPr>
              <w:t>r</w:t>
            </w:r>
            <w:r w:rsidRPr="009E35ED">
              <w:rPr>
                <w:rFonts w:ascii="Arial Narrow" w:hAnsi="Arial Narrow" w:cs="Arial"/>
                <w:color w:val="000000" w:themeColor="text1"/>
                <w:sz w:val="22"/>
                <w:szCs w:val="22"/>
                <w:lang w:val="en-PH" w:eastAsia="en-PH"/>
              </w:rPr>
              <w:t>eceivables</w:t>
            </w:r>
          </w:p>
        </w:tc>
        <w:tc>
          <w:tcPr>
            <w:tcW w:w="2801" w:type="dxa"/>
            <w:tcBorders>
              <w:top w:val="nil"/>
              <w:left w:val="nil"/>
              <w:bottom w:val="nil"/>
              <w:right w:val="nil"/>
            </w:tcBorders>
            <w:shd w:val="clear" w:color="auto" w:fill="auto"/>
            <w:noWrap/>
            <w:vAlign w:val="center"/>
          </w:tcPr>
          <w:p w14:paraId="52CB0040" w14:textId="27D9DC97" w:rsidR="00CD23E8" w:rsidRPr="009E35ED" w:rsidRDefault="00CD23E8" w:rsidP="00B90388">
            <w:pPr>
              <w:keepNext/>
              <w:keepLines/>
              <w:ind w:left="0"/>
              <w:jc w:val="right"/>
              <w:rPr>
                <w:rFonts w:ascii="Arial Narrow" w:hAnsi="Arial Narrow" w:cs="Arial"/>
                <w:color w:val="000000" w:themeColor="text1"/>
                <w:sz w:val="22"/>
                <w:szCs w:val="22"/>
                <w:lang w:val="en-PH" w:eastAsia="en-PH"/>
              </w:rPr>
            </w:pPr>
            <w:r w:rsidRPr="009E35ED">
              <w:rPr>
                <w:rFonts w:ascii="Arial Narrow" w:hAnsi="Arial Narrow"/>
                <w:color w:val="000000" w:themeColor="text1"/>
                <w:sz w:val="22"/>
                <w:szCs w:val="22"/>
              </w:rPr>
              <w:t xml:space="preserve"> 737,800,84</w:t>
            </w:r>
            <w:r w:rsidR="00A6193F" w:rsidRPr="009E35ED">
              <w:rPr>
                <w:rFonts w:ascii="Arial Narrow" w:hAnsi="Arial Narrow"/>
                <w:color w:val="000000" w:themeColor="text1"/>
                <w:sz w:val="22"/>
                <w:szCs w:val="22"/>
              </w:rPr>
              <w:t>6</w:t>
            </w:r>
            <w:r w:rsidRPr="009E35ED">
              <w:rPr>
                <w:rFonts w:ascii="Arial Narrow" w:hAnsi="Arial Narrow"/>
                <w:color w:val="000000" w:themeColor="text1"/>
                <w:sz w:val="22"/>
                <w:szCs w:val="22"/>
              </w:rPr>
              <w:t xml:space="preserve"> </w:t>
            </w:r>
          </w:p>
        </w:tc>
        <w:tc>
          <w:tcPr>
            <w:tcW w:w="1785" w:type="dxa"/>
            <w:tcBorders>
              <w:top w:val="nil"/>
              <w:left w:val="nil"/>
              <w:bottom w:val="nil"/>
              <w:right w:val="nil"/>
            </w:tcBorders>
            <w:shd w:val="clear" w:color="auto" w:fill="auto"/>
            <w:noWrap/>
            <w:vAlign w:val="center"/>
            <w:hideMark/>
          </w:tcPr>
          <w:p w14:paraId="50D57955" w14:textId="0FD90636" w:rsidR="00CD23E8" w:rsidRPr="009E35ED" w:rsidRDefault="00CD23E8" w:rsidP="00B90388">
            <w:pPr>
              <w:keepNext/>
              <w:keepLines/>
              <w:ind w:left="0" w:right="-82"/>
              <w:jc w:val="right"/>
              <w:rPr>
                <w:rFonts w:ascii="Arial Narrow" w:hAnsi="Arial Narrow" w:cs="Arial"/>
                <w:color w:val="000000" w:themeColor="text1"/>
                <w:sz w:val="22"/>
                <w:szCs w:val="22"/>
                <w:lang w:val="en-PH" w:eastAsia="en-PH"/>
              </w:rPr>
            </w:pPr>
            <w:r w:rsidRPr="009E35ED">
              <w:rPr>
                <w:rFonts w:ascii="Arial Narrow" w:hAnsi="Arial Narrow"/>
                <w:color w:val="000000" w:themeColor="text1"/>
                <w:sz w:val="22"/>
                <w:szCs w:val="22"/>
              </w:rPr>
              <w:t xml:space="preserve"> 738,144,184 </w:t>
            </w:r>
          </w:p>
        </w:tc>
      </w:tr>
      <w:tr w:rsidR="00997F75" w:rsidRPr="009E35ED" w14:paraId="42954B02" w14:textId="77777777" w:rsidTr="000B3F04">
        <w:trPr>
          <w:trHeight w:val="285"/>
        </w:trPr>
        <w:tc>
          <w:tcPr>
            <w:tcW w:w="4050" w:type="dxa"/>
            <w:tcBorders>
              <w:top w:val="nil"/>
              <w:left w:val="nil"/>
              <w:bottom w:val="nil"/>
              <w:right w:val="nil"/>
            </w:tcBorders>
            <w:shd w:val="clear" w:color="auto" w:fill="auto"/>
            <w:noWrap/>
            <w:vAlign w:val="bottom"/>
            <w:hideMark/>
          </w:tcPr>
          <w:p w14:paraId="1752D2E8" w14:textId="07735B81" w:rsidR="00CD23E8" w:rsidRPr="009E35ED" w:rsidRDefault="00CD23E8" w:rsidP="00B90388">
            <w:pPr>
              <w:keepNext/>
              <w:keepLines/>
              <w:ind w:left="-108"/>
              <w:jc w:val="left"/>
              <w:rPr>
                <w:rFonts w:ascii="Arial Narrow" w:hAnsi="Arial Narrow" w:cs="Arial"/>
                <w:color w:val="000000" w:themeColor="text1"/>
                <w:sz w:val="22"/>
                <w:szCs w:val="22"/>
                <w:lang w:val="en-PH" w:eastAsia="en-PH"/>
              </w:rPr>
            </w:pPr>
            <w:r w:rsidRPr="009E35ED">
              <w:rPr>
                <w:rFonts w:ascii="Arial Narrow" w:hAnsi="Arial Narrow" w:cs="Arial"/>
                <w:color w:val="000000" w:themeColor="text1"/>
                <w:sz w:val="22"/>
                <w:szCs w:val="22"/>
                <w:lang w:val="en-PH" w:eastAsia="en-PH"/>
              </w:rPr>
              <w:t xml:space="preserve">Allowance for </w:t>
            </w:r>
            <w:r w:rsidR="00802BBF">
              <w:rPr>
                <w:rFonts w:ascii="Arial Narrow" w:hAnsi="Arial Narrow" w:cs="Arial"/>
                <w:color w:val="000000" w:themeColor="text1"/>
                <w:sz w:val="22"/>
                <w:szCs w:val="22"/>
                <w:lang w:val="en-PH" w:eastAsia="en-PH"/>
              </w:rPr>
              <w:t>i</w:t>
            </w:r>
            <w:r w:rsidRPr="009E35ED">
              <w:rPr>
                <w:rFonts w:ascii="Arial Narrow" w:hAnsi="Arial Narrow" w:cs="Arial"/>
                <w:color w:val="000000" w:themeColor="text1"/>
                <w:sz w:val="22"/>
                <w:szCs w:val="22"/>
                <w:lang w:val="en-PH" w:eastAsia="en-PH"/>
              </w:rPr>
              <w:t>mpairment-</w:t>
            </w:r>
            <w:r w:rsidR="00802BBF">
              <w:rPr>
                <w:rFonts w:ascii="Arial Narrow" w:hAnsi="Arial Narrow" w:cs="Arial"/>
                <w:color w:val="000000" w:themeColor="text1"/>
                <w:sz w:val="22"/>
                <w:szCs w:val="22"/>
                <w:lang w:val="en-PH" w:eastAsia="en-PH"/>
              </w:rPr>
              <w:t>o</w:t>
            </w:r>
            <w:r w:rsidRPr="009E35ED">
              <w:rPr>
                <w:rFonts w:ascii="Arial Narrow" w:hAnsi="Arial Narrow" w:cs="Arial"/>
                <w:color w:val="000000" w:themeColor="text1"/>
                <w:sz w:val="22"/>
                <w:szCs w:val="22"/>
                <w:lang w:val="en-PH" w:eastAsia="en-PH"/>
              </w:rPr>
              <w:t xml:space="preserve">ther </w:t>
            </w:r>
            <w:r w:rsidR="00802BBF">
              <w:rPr>
                <w:rFonts w:ascii="Arial Narrow" w:hAnsi="Arial Narrow" w:cs="Arial"/>
                <w:color w:val="000000" w:themeColor="text1"/>
                <w:sz w:val="22"/>
                <w:szCs w:val="22"/>
                <w:lang w:val="en-PH" w:eastAsia="en-PH"/>
              </w:rPr>
              <w:t>r</w:t>
            </w:r>
            <w:r w:rsidRPr="009E35ED">
              <w:rPr>
                <w:rFonts w:ascii="Arial Narrow" w:hAnsi="Arial Narrow" w:cs="Arial"/>
                <w:color w:val="000000" w:themeColor="text1"/>
                <w:sz w:val="22"/>
                <w:szCs w:val="22"/>
                <w:lang w:val="en-PH" w:eastAsia="en-PH"/>
              </w:rPr>
              <w:t>eceivables</w:t>
            </w:r>
          </w:p>
        </w:tc>
        <w:tc>
          <w:tcPr>
            <w:tcW w:w="2801" w:type="dxa"/>
            <w:tcBorders>
              <w:top w:val="nil"/>
              <w:left w:val="nil"/>
              <w:bottom w:val="nil"/>
              <w:right w:val="nil"/>
            </w:tcBorders>
            <w:shd w:val="clear" w:color="auto" w:fill="auto"/>
            <w:noWrap/>
            <w:vAlign w:val="center"/>
          </w:tcPr>
          <w:p w14:paraId="41F7575C" w14:textId="77777777" w:rsidR="00CD23E8" w:rsidRPr="009E35ED" w:rsidRDefault="00CD23E8" w:rsidP="00B90388">
            <w:pPr>
              <w:keepNext/>
              <w:keepLines/>
              <w:ind w:left="0"/>
              <w:jc w:val="right"/>
              <w:rPr>
                <w:rFonts w:ascii="Arial Narrow" w:hAnsi="Arial Narrow"/>
                <w:color w:val="000000" w:themeColor="text1"/>
                <w:sz w:val="22"/>
                <w:szCs w:val="22"/>
              </w:rPr>
            </w:pPr>
          </w:p>
          <w:p w14:paraId="5F71DF5A" w14:textId="5032A52C" w:rsidR="00CD23E8" w:rsidRPr="009E35ED" w:rsidRDefault="00CD23E8" w:rsidP="00B90388">
            <w:pPr>
              <w:keepNext/>
              <w:keepLines/>
              <w:ind w:left="0"/>
              <w:jc w:val="right"/>
              <w:rPr>
                <w:rFonts w:ascii="Arial Narrow" w:hAnsi="Arial Narrow" w:cs="Arial"/>
                <w:color w:val="000000" w:themeColor="text1"/>
                <w:sz w:val="22"/>
                <w:szCs w:val="22"/>
                <w:lang w:val="en-PH" w:eastAsia="en-PH"/>
              </w:rPr>
            </w:pPr>
            <w:r w:rsidRPr="009E35ED">
              <w:rPr>
                <w:rFonts w:ascii="Arial Narrow" w:hAnsi="Arial Narrow"/>
                <w:color w:val="000000" w:themeColor="text1"/>
                <w:sz w:val="22"/>
                <w:szCs w:val="22"/>
              </w:rPr>
              <w:t xml:space="preserve"> (8,973)</w:t>
            </w:r>
          </w:p>
        </w:tc>
        <w:tc>
          <w:tcPr>
            <w:tcW w:w="1785" w:type="dxa"/>
            <w:tcBorders>
              <w:top w:val="nil"/>
              <w:left w:val="nil"/>
              <w:bottom w:val="nil"/>
              <w:right w:val="nil"/>
            </w:tcBorders>
            <w:shd w:val="clear" w:color="auto" w:fill="auto"/>
            <w:noWrap/>
            <w:vAlign w:val="center"/>
            <w:hideMark/>
          </w:tcPr>
          <w:p w14:paraId="1F7986B2" w14:textId="77777777" w:rsidR="00175263" w:rsidRPr="009E35ED" w:rsidRDefault="00CD23E8" w:rsidP="00B90388">
            <w:pPr>
              <w:keepNext/>
              <w:keepLines/>
              <w:ind w:left="0" w:right="-82"/>
              <w:jc w:val="right"/>
              <w:rPr>
                <w:rFonts w:ascii="Arial Narrow" w:hAnsi="Arial Narrow"/>
                <w:color w:val="000000" w:themeColor="text1"/>
                <w:sz w:val="22"/>
                <w:szCs w:val="22"/>
              </w:rPr>
            </w:pPr>
            <w:r w:rsidRPr="009E35ED">
              <w:rPr>
                <w:rFonts w:ascii="Arial Narrow" w:hAnsi="Arial Narrow"/>
                <w:color w:val="000000" w:themeColor="text1"/>
                <w:sz w:val="22"/>
                <w:szCs w:val="22"/>
              </w:rPr>
              <w:t xml:space="preserve"> </w:t>
            </w:r>
          </w:p>
          <w:p w14:paraId="2E926E11" w14:textId="2F0CF757" w:rsidR="00CD23E8" w:rsidRPr="009E35ED" w:rsidRDefault="00CD23E8" w:rsidP="00B90388">
            <w:pPr>
              <w:keepNext/>
              <w:keepLines/>
              <w:ind w:left="0" w:right="-82"/>
              <w:jc w:val="right"/>
              <w:rPr>
                <w:rFonts w:ascii="Arial Narrow" w:hAnsi="Arial Narrow" w:cs="Arial"/>
                <w:color w:val="000000" w:themeColor="text1"/>
                <w:sz w:val="22"/>
                <w:szCs w:val="22"/>
                <w:lang w:val="en-PH" w:eastAsia="en-PH"/>
              </w:rPr>
            </w:pPr>
            <w:r w:rsidRPr="009E35ED">
              <w:rPr>
                <w:rFonts w:ascii="Arial Narrow" w:hAnsi="Arial Narrow"/>
                <w:color w:val="000000" w:themeColor="text1"/>
                <w:sz w:val="22"/>
                <w:szCs w:val="22"/>
              </w:rPr>
              <w:t>(12,668)</w:t>
            </w:r>
          </w:p>
        </w:tc>
      </w:tr>
      <w:tr w:rsidR="00CD23E8" w:rsidRPr="009E35ED" w14:paraId="1630D0F2" w14:textId="77777777" w:rsidTr="000B3F04">
        <w:trPr>
          <w:trHeight w:val="315"/>
        </w:trPr>
        <w:tc>
          <w:tcPr>
            <w:tcW w:w="4050" w:type="dxa"/>
            <w:tcBorders>
              <w:top w:val="single" w:sz="4" w:space="0" w:color="auto"/>
              <w:left w:val="nil"/>
              <w:bottom w:val="double" w:sz="6" w:space="0" w:color="auto"/>
              <w:right w:val="nil"/>
            </w:tcBorders>
            <w:shd w:val="clear" w:color="auto" w:fill="auto"/>
            <w:noWrap/>
            <w:vAlign w:val="bottom"/>
            <w:hideMark/>
          </w:tcPr>
          <w:p w14:paraId="746B547B" w14:textId="77777777" w:rsidR="00CD23E8" w:rsidRPr="009E35ED" w:rsidRDefault="00CD23E8" w:rsidP="00B90388">
            <w:pPr>
              <w:keepNext/>
              <w:keepLines/>
              <w:ind w:left="-108"/>
              <w:jc w:val="left"/>
              <w:rPr>
                <w:rFonts w:ascii="Arial Narrow" w:hAnsi="Arial Narrow" w:cs="Arial"/>
                <w:b/>
                <w:bCs/>
                <w:color w:val="000000" w:themeColor="text1"/>
                <w:sz w:val="22"/>
                <w:szCs w:val="22"/>
                <w:lang w:val="en-PH" w:eastAsia="en-PH"/>
              </w:rPr>
            </w:pPr>
            <w:r w:rsidRPr="009E35ED">
              <w:rPr>
                <w:rFonts w:ascii="Arial Narrow" w:hAnsi="Arial Narrow" w:cs="Arial"/>
                <w:b/>
                <w:bCs/>
                <w:color w:val="000000" w:themeColor="text1"/>
                <w:sz w:val="22"/>
                <w:szCs w:val="22"/>
                <w:lang w:val="en-PH" w:eastAsia="en-PH"/>
              </w:rPr>
              <w:t>Total</w:t>
            </w:r>
          </w:p>
        </w:tc>
        <w:tc>
          <w:tcPr>
            <w:tcW w:w="2801" w:type="dxa"/>
            <w:tcBorders>
              <w:top w:val="single" w:sz="4" w:space="0" w:color="auto"/>
              <w:left w:val="nil"/>
              <w:bottom w:val="double" w:sz="6" w:space="0" w:color="auto"/>
              <w:right w:val="nil"/>
            </w:tcBorders>
            <w:shd w:val="clear" w:color="auto" w:fill="auto"/>
            <w:noWrap/>
            <w:vAlign w:val="center"/>
          </w:tcPr>
          <w:p w14:paraId="5494DAD5" w14:textId="2DC2D344" w:rsidR="00CD23E8" w:rsidRPr="009E35ED" w:rsidRDefault="00CD23E8" w:rsidP="00B90388">
            <w:pPr>
              <w:keepNext/>
              <w:keepLines/>
              <w:ind w:left="0"/>
              <w:jc w:val="right"/>
              <w:rPr>
                <w:rFonts w:ascii="Arial Narrow" w:hAnsi="Arial Narrow" w:cs="Arial"/>
                <w:b/>
                <w:bCs/>
                <w:color w:val="000000" w:themeColor="text1"/>
                <w:sz w:val="22"/>
                <w:szCs w:val="22"/>
                <w:lang w:val="en-PH" w:eastAsia="en-PH"/>
              </w:rPr>
            </w:pPr>
            <w:r w:rsidRPr="009E35ED">
              <w:rPr>
                <w:rFonts w:ascii="Arial Narrow" w:hAnsi="Arial Narrow"/>
                <w:b/>
                <w:bCs/>
                <w:color w:val="000000" w:themeColor="text1"/>
                <w:sz w:val="22"/>
                <w:szCs w:val="22"/>
              </w:rPr>
              <w:t xml:space="preserve"> 5,</w:t>
            </w:r>
            <w:r w:rsidR="00166F1B" w:rsidRPr="009E35ED">
              <w:rPr>
                <w:rFonts w:ascii="Arial Narrow" w:hAnsi="Arial Narrow"/>
                <w:b/>
                <w:bCs/>
                <w:color w:val="000000" w:themeColor="text1"/>
                <w:sz w:val="22"/>
                <w:szCs w:val="22"/>
              </w:rPr>
              <w:t>200,542,3</w:t>
            </w:r>
            <w:r w:rsidR="00A6193F" w:rsidRPr="009E35ED">
              <w:rPr>
                <w:rFonts w:ascii="Arial Narrow" w:hAnsi="Arial Narrow"/>
                <w:b/>
                <w:bCs/>
                <w:color w:val="000000" w:themeColor="text1"/>
                <w:sz w:val="22"/>
                <w:szCs w:val="22"/>
              </w:rPr>
              <w:t>11</w:t>
            </w:r>
            <w:r w:rsidRPr="009E35ED">
              <w:rPr>
                <w:rFonts w:ascii="Arial Narrow" w:hAnsi="Arial Narrow"/>
                <w:b/>
                <w:bCs/>
                <w:color w:val="000000" w:themeColor="text1"/>
                <w:sz w:val="22"/>
                <w:szCs w:val="22"/>
              </w:rPr>
              <w:t xml:space="preserve"> </w:t>
            </w:r>
          </w:p>
        </w:tc>
        <w:tc>
          <w:tcPr>
            <w:tcW w:w="1785" w:type="dxa"/>
            <w:tcBorders>
              <w:top w:val="single" w:sz="4" w:space="0" w:color="auto"/>
              <w:left w:val="nil"/>
              <w:bottom w:val="double" w:sz="6" w:space="0" w:color="auto"/>
              <w:right w:val="nil"/>
            </w:tcBorders>
            <w:shd w:val="clear" w:color="auto" w:fill="auto"/>
            <w:noWrap/>
            <w:vAlign w:val="center"/>
            <w:hideMark/>
          </w:tcPr>
          <w:p w14:paraId="6D9C09CC" w14:textId="58BC8D28" w:rsidR="00CD23E8" w:rsidRPr="009E35ED" w:rsidRDefault="00CD23E8" w:rsidP="00B90388">
            <w:pPr>
              <w:keepNext/>
              <w:keepLines/>
              <w:ind w:left="0" w:right="-82"/>
              <w:jc w:val="right"/>
              <w:rPr>
                <w:rFonts w:ascii="Arial Narrow" w:hAnsi="Arial Narrow" w:cs="Arial"/>
                <w:b/>
                <w:bCs/>
                <w:color w:val="000000" w:themeColor="text1"/>
                <w:sz w:val="22"/>
                <w:szCs w:val="22"/>
                <w:lang w:val="en-PH" w:eastAsia="en-PH"/>
              </w:rPr>
            </w:pPr>
            <w:r w:rsidRPr="009E35ED">
              <w:rPr>
                <w:rFonts w:ascii="Arial Narrow" w:hAnsi="Arial Narrow"/>
                <w:b/>
                <w:bCs/>
                <w:color w:val="000000" w:themeColor="text1"/>
                <w:sz w:val="22"/>
                <w:szCs w:val="22"/>
              </w:rPr>
              <w:t xml:space="preserve"> 5,951,</w:t>
            </w:r>
            <w:r w:rsidR="00175263" w:rsidRPr="009E35ED">
              <w:rPr>
                <w:rFonts w:ascii="Arial Narrow" w:hAnsi="Arial Narrow"/>
                <w:b/>
                <w:bCs/>
                <w:color w:val="000000" w:themeColor="text1"/>
                <w:sz w:val="22"/>
                <w:szCs w:val="22"/>
              </w:rPr>
              <w:t>922,646</w:t>
            </w:r>
            <w:r w:rsidRPr="009E35ED">
              <w:rPr>
                <w:rFonts w:ascii="Arial Narrow" w:hAnsi="Arial Narrow"/>
                <w:b/>
                <w:bCs/>
                <w:color w:val="000000" w:themeColor="text1"/>
                <w:sz w:val="22"/>
                <w:szCs w:val="22"/>
              </w:rPr>
              <w:t xml:space="preserve"> </w:t>
            </w:r>
          </w:p>
        </w:tc>
      </w:tr>
    </w:tbl>
    <w:p w14:paraId="17A3332A" w14:textId="77777777" w:rsidR="00175263" w:rsidRPr="009E35ED" w:rsidRDefault="00175263" w:rsidP="00803F8C">
      <w:pPr>
        <w:ind w:left="0"/>
        <w:rPr>
          <w:rFonts w:ascii="Arial" w:hAnsi="Arial" w:cs="Arial"/>
          <w:color w:val="000000" w:themeColor="text1"/>
          <w:sz w:val="22"/>
          <w:szCs w:val="22"/>
        </w:rPr>
      </w:pPr>
    </w:p>
    <w:p w14:paraId="49C2E750" w14:textId="04AA62F6" w:rsidR="008433E7" w:rsidRPr="009E35ED" w:rsidRDefault="008433E7" w:rsidP="00803F8C">
      <w:pPr>
        <w:ind w:left="0"/>
        <w:rPr>
          <w:rFonts w:ascii="Arial" w:hAnsi="Arial" w:cs="Arial"/>
          <w:color w:val="000000" w:themeColor="text1"/>
          <w:sz w:val="22"/>
          <w:szCs w:val="22"/>
        </w:rPr>
      </w:pPr>
      <w:r w:rsidRPr="009E35ED">
        <w:rPr>
          <w:rFonts w:ascii="Arial" w:hAnsi="Arial" w:cs="Arial"/>
          <w:color w:val="000000" w:themeColor="text1"/>
          <w:sz w:val="22"/>
          <w:szCs w:val="22"/>
        </w:rPr>
        <w:t>In conformity with PAS No. 8, the Receivables accounts are restated as follows:</w:t>
      </w:r>
    </w:p>
    <w:p w14:paraId="5530B4B7" w14:textId="77777777" w:rsidR="008F08D7" w:rsidRPr="009E35ED" w:rsidRDefault="008F08D7" w:rsidP="00803F8C">
      <w:pPr>
        <w:suppressAutoHyphens/>
        <w:ind w:left="0"/>
        <w:rPr>
          <w:rFonts w:ascii="Arial" w:hAnsi="Arial" w:cs="Arial"/>
          <w:color w:val="000000" w:themeColor="text1"/>
          <w:sz w:val="22"/>
          <w:szCs w:val="22"/>
          <w:lang w:eastAsia="ar-SA"/>
        </w:rPr>
      </w:pPr>
    </w:p>
    <w:tbl>
      <w:tblPr>
        <w:tblW w:w="8550" w:type="dxa"/>
        <w:tblLook w:val="04A0" w:firstRow="1" w:lastRow="0" w:firstColumn="1" w:lastColumn="0" w:noHBand="0" w:noVBand="1"/>
      </w:tblPr>
      <w:tblGrid>
        <w:gridCol w:w="6930"/>
        <w:gridCol w:w="1620"/>
      </w:tblGrid>
      <w:tr w:rsidR="00997F75" w:rsidRPr="009E35ED" w14:paraId="671682A3" w14:textId="77777777" w:rsidTr="000B3F04">
        <w:trPr>
          <w:trHeight w:val="276"/>
        </w:trPr>
        <w:tc>
          <w:tcPr>
            <w:tcW w:w="6930" w:type="dxa"/>
            <w:tcBorders>
              <w:top w:val="single" w:sz="4" w:space="0" w:color="auto"/>
              <w:left w:val="nil"/>
              <w:bottom w:val="nil"/>
              <w:right w:val="nil"/>
            </w:tcBorders>
            <w:shd w:val="clear" w:color="auto" w:fill="auto"/>
            <w:noWrap/>
            <w:hideMark/>
          </w:tcPr>
          <w:p w14:paraId="3141EC60" w14:textId="1689E99A" w:rsidR="0013075C" w:rsidRPr="009E35ED" w:rsidRDefault="0013075C" w:rsidP="000B3F04">
            <w:pPr>
              <w:ind w:left="-108"/>
              <w:jc w:val="left"/>
              <w:rPr>
                <w:rFonts w:ascii="Arial Narrow" w:hAnsi="Arial Narrow" w:cs="Arial"/>
                <w:color w:val="000000" w:themeColor="text1"/>
                <w:sz w:val="22"/>
                <w:szCs w:val="22"/>
                <w:lang w:val="en-PH" w:eastAsia="en-PH"/>
              </w:rPr>
            </w:pPr>
            <w:r w:rsidRPr="009E35ED">
              <w:rPr>
                <w:rFonts w:ascii="Arial Narrow" w:hAnsi="Arial Narrow"/>
                <w:color w:val="000000" w:themeColor="text1"/>
                <w:sz w:val="22"/>
                <w:szCs w:val="22"/>
              </w:rPr>
              <w:t>Unrestated Amount as of December 31, 2022</w:t>
            </w:r>
          </w:p>
        </w:tc>
        <w:tc>
          <w:tcPr>
            <w:tcW w:w="1620" w:type="dxa"/>
            <w:tcBorders>
              <w:top w:val="single" w:sz="4" w:space="0" w:color="auto"/>
              <w:left w:val="nil"/>
              <w:bottom w:val="nil"/>
              <w:right w:val="nil"/>
            </w:tcBorders>
            <w:shd w:val="clear" w:color="auto" w:fill="auto"/>
            <w:noWrap/>
            <w:hideMark/>
          </w:tcPr>
          <w:p w14:paraId="4915DEF0" w14:textId="4FC3ECF2" w:rsidR="0013075C" w:rsidRPr="009E35ED" w:rsidRDefault="0013075C" w:rsidP="000B3F04">
            <w:pPr>
              <w:ind w:left="0" w:right="-108"/>
              <w:jc w:val="right"/>
              <w:rPr>
                <w:rFonts w:ascii="Arial Narrow" w:hAnsi="Arial Narrow" w:cs="Arial"/>
                <w:color w:val="000000" w:themeColor="text1"/>
                <w:sz w:val="22"/>
                <w:szCs w:val="22"/>
                <w:lang w:val="en-PH" w:eastAsia="en-PH"/>
              </w:rPr>
            </w:pPr>
            <w:r w:rsidRPr="009E35ED">
              <w:rPr>
                <w:rFonts w:ascii="Arial Narrow" w:hAnsi="Arial Narrow"/>
                <w:color w:val="000000" w:themeColor="text1"/>
                <w:sz w:val="22"/>
                <w:szCs w:val="22"/>
              </w:rPr>
              <w:t xml:space="preserve"> 7,059,783,179 </w:t>
            </w:r>
          </w:p>
        </w:tc>
      </w:tr>
      <w:tr w:rsidR="00997F75" w:rsidRPr="009E35ED" w14:paraId="27E6D82E" w14:textId="77777777" w:rsidTr="000B3F04">
        <w:trPr>
          <w:trHeight w:val="276"/>
        </w:trPr>
        <w:tc>
          <w:tcPr>
            <w:tcW w:w="6930" w:type="dxa"/>
            <w:tcBorders>
              <w:top w:val="nil"/>
              <w:left w:val="nil"/>
              <w:bottom w:val="nil"/>
              <w:right w:val="nil"/>
            </w:tcBorders>
            <w:shd w:val="clear" w:color="auto" w:fill="auto"/>
            <w:noWrap/>
          </w:tcPr>
          <w:p w14:paraId="780C3D43" w14:textId="5D4A3847" w:rsidR="00175263" w:rsidRPr="009E35ED" w:rsidRDefault="00175263" w:rsidP="000B3F04">
            <w:pPr>
              <w:ind w:left="-108"/>
              <w:jc w:val="left"/>
              <w:rPr>
                <w:rFonts w:ascii="Arial Narrow" w:hAnsi="Arial Narrow"/>
                <w:color w:val="000000" w:themeColor="text1"/>
                <w:sz w:val="22"/>
                <w:szCs w:val="22"/>
              </w:rPr>
            </w:pPr>
            <w:r w:rsidRPr="009E35ED">
              <w:rPr>
                <w:rFonts w:ascii="Arial Narrow" w:hAnsi="Arial Narrow"/>
                <w:color w:val="000000" w:themeColor="text1"/>
                <w:sz w:val="22"/>
                <w:szCs w:val="22"/>
              </w:rPr>
              <w:t>Adjustment/Recording of STL AACs Payment of Excess Prize Fund</w:t>
            </w:r>
          </w:p>
        </w:tc>
        <w:tc>
          <w:tcPr>
            <w:tcW w:w="1620" w:type="dxa"/>
            <w:tcBorders>
              <w:top w:val="nil"/>
              <w:left w:val="nil"/>
              <w:bottom w:val="nil"/>
              <w:right w:val="nil"/>
            </w:tcBorders>
            <w:shd w:val="clear" w:color="auto" w:fill="auto"/>
            <w:noWrap/>
          </w:tcPr>
          <w:p w14:paraId="08971AAB" w14:textId="237AF121" w:rsidR="00175263" w:rsidRPr="009E35ED" w:rsidRDefault="00175263" w:rsidP="000B3F04">
            <w:pPr>
              <w:ind w:left="0" w:right="-108"/>
              <w:jc w:val="right"/>
              <w:rPr>
                <w:rFonts w:ascii="Arial Narrow" w:hAnsi="Arial Narrow"/>
                <w:color w:val="000000" w:themeColor="text1"/>
                <w:sz w:val="22"/>
                <w:szCs w:val="22"/>
              </w:rPr>
            </w:pPr>
            <w:r w:rsidRPr="009E35ED">
              <w:rPr>
                <w:rFonts w:ascii="Arial Narrow" w:hAnsi="Arial Narrow"/>
                <w:color w:val="000000" w:themeColor="text1"/>
                <w:sz w:val="22"/>
                <w:szCs w:val="22"/>
              </w:rPr>
              <w:t>(81,154)</w:t>
            </w:r>
          </w:p>
        </w:tc>
      </w:tr>
      <w:tr w:rsidR="00997F75" w:rsidRPr="009E35ED" w14:paraId="2BEF33D1" w14:textId="77777777" w:rsidTr="000B3F04">
        <w:trPr>
          <w:trHeight w:val="276"/>
        </w:trPr>
        <w:tc>
          <w:tcPr>
            <w:tcW w:w="6930" w:type="dxa"/>
            <w:tcBorders>
              <w:top w:val="nil"/>
              <w:left w:val="nil"/>
              <w:bottom w:val="nil"/>
              <w:right w:val="nil"/>
            </w:tcBorders>
            <w:shd w:val="clear" w:color="auto" w:fill="auto"/>
            <w:noWrap/>
          </w:tcPr>
          <w:p w14:paraId="4E06E31C" w14:textId="04213696" w:rsidR="0013075C" w:rsidRPr="009E35ED" w:rsidRDefault="0013075C" w:rsidP="000B3F04">
            <w:pPr>
              <w:ind w:left="-108"/>
              <w:jc w:val="left"/>
              <w:rPr>
                <w:rFonts w:ascii="Arial Narrow" w:hAnsi="Arial Narrow" w:cs="Arial"/>
                <w:color w:val="000000" w:themeColor="text1"/>
                <w:sz w:val="22"/>
                <w:szCs w:val="22"/>
                <w:lang w:val="en-PH" w:eastAsia="en-PH"/>
              </w:rPr>
            </w:pPr>
            <w:r w:rsidRPr="009E35ED">
              <w:rPr>
                <w:rFonts w:ascii="Arial Narrow" w:hAnsi="Arial Narrow"/>
                <w:color w:val="000000" w:themeColor="text1"/>
                <w:sz w:val="22"/>
                <w:szCs w:val="22"/>
              </w:rPr>
              <w:t xml:space="preserve"> Adjustment/Recording of Miscellaneous Income-Lost Ticket-Lotto </w:t>
            </w:r>
          </w:p>
        </w:tc>
        <w:tc>
          <w:tcPr>
            <w:tcW w:w="1620" w:type="dxa"/>
            <w:tcBorders>
              <w:top w:val="nil"/>
              <w:left w:val="nil"/>
              <w:bottom w:val="nil"/>
              <w:right w:val="nil"/>
            </w:tcBorders>
            <w:shd w:val="clear" w:color="auto" w:fill="auto"/>
            <w:noWrap/>
          </w:tcPr>
          <w:p w14:paraId="79437512" w14:textId="22ACD847" w:rsidR="0013075C" w:rsidRPr="009E35ED" w:rsidRDefault="0013075C" w:rsidP="000B3F04">
            <w:pPr>
              <w:ind w:left="0" w:right="-108"/>
              <w:jc w:val="right"/>
              <w:rPr>
                <w:rFonts w:ascii="Arial Narrow" w:hAnsi="Arial Narrow" w:cs="Arial"/>
                <w:color w:val="000000" w:themeColor="text1"/>
                <w:sz w:val="22"/>
                <w:szCs w:val="22"/>
                <w:lang w:val="en-PH" w:eastAsia="en-PH"/>
              </w:rPr>
            </w:pPr>
            <w:r w:rsidRPr="009E35ED">
              <w:rPr>
                <w:rFonts w:ascii="Arial Narrow" w:hAnsi="Arial Narrow"/>
                <w:color w:val="000000" w:themeColor="text1"/>
                <w:sz w:val="22"/>
                <w:szCs w:val="22"/>
              </w:rPr>
              <w:t xml:space="preserve"> (390)</w:t>
            </w:r>
          </w:p>
        </w:tc>
      </w:tr>
      <w:tr w:rsidR="00997F75" w:rsidRPr="009E35ED" w14:paraId="5494962A" w14:textId="77777777" w:rsidTr="000B3F04">
        <w:trPr>
          <w:trHeight w:val="305"/>
        </w:trPr>
        <w:tc>
          <w:tcPr>
            <w:tcW w:w="6930" w:type="dxa"/>
            <w:tcBorders>
              <w:top w:val="single" w:sz="4" w:space="0" w:color="auto"/>
              <w:left w:val="nil"/>
              <w:bottom w:val="double" w:sz="6" w:space="0" w:color="auto"/>
              <w:right w:val="nil"/>
            </w:tcBorders>
            <w:shd w:val="clear" w:color="auto" w:fill="auto"/>
            <w:noWrap/>
            <w:hideMark/>
          </w:tcPr>
          <w:p w14:paraId="659EA52B" w14:textId="3DE62BC4" w:rsidR="0013075C" w:rsidRPr="009E35ED" w:rsidRDefault="0013075C" w:rsidP="000B3F04">
            <w:pPr>
              <w:ind w:left="-108"/>
              <w:jc w:val="left"/>
              <w:rPr>
                <w:rFonts w:ascii="Arial Narrow" w:hAnsi="Arial Narrow" w:cs="Arial"/>
                <w:b/>
                <w:bCs/>
                <w:color w:val="000000" w:themeColor="text1"/>
                <w:sz w:val="22"/>
                <w:szCs w:val="22"/>
                <w:lang w:val="en-PH" w:eastAsia="en-PH"/>
              </w:rPr>
            </w:pPr>
            <w:r w:rsidRPr="009E35ED">
              <w:rPr>
                <w:rFonts w:ascii="Arial Narrow" w:hAnsi="Arial Narrow"/>
                <w:b/>
                <w:bCs/>
                <w:color w:val="000000" w:themeColor="text1"/>
                <w:sz w:val="22"/>
                <w:szCs w:val="22"/>
              </w:rPr>
              <w:t>Restated Amount as of December 31, 2022 - Accounts Receivables</w:t>
            </w:r>
          </w:p>
        </w:tc>
        <w:tc>
          <w:tcPr>
            <w:tcW w:w="1620" w:type="dxa"/>
            <w:tcBorders>
              <w:top w:val="single" w:sz="4" w:space="0" w:color="auto"/>
              <w:left w:val="nil"/>
              <w:bottom w:val="double" w:sz="6" w:space="0" w:color="auto"/>
              <w:right w:val="nil"/>
            </w:tcBorders>
            <w:shd w:val="clear" w:color="auto" w:fill="auto"/>
            <w:noWrap/>
            <w:hideMark/>
          </w:tcPr>
          <w:p w14:paraId="1233496D" w14:textId="0F5856BB" w:rsidR="0013075C" w:rsidRPr="009E35ED" w:rsidRDefault="0013075C" w:rsidP="000B3F04">
            <w:pPr>
              <w:ind w:left="0" w:right="-108"/>
              <w:jc w:val="right"/>
              <w:rPr>
                <w:rFonts w:ascii="Arial Narrow" w:hAnsi="Arial Narrow" w:cs="Arial"/>
                <w:b/>
                <w:bCs/>
                <w:color w:val="000000" w:themeColor="text1"/>
                <w:sz w:val="22"/>
                <w:szCs w:val="22"/>
                <w:lang w:val="en-PH" w:eastAsia="en-PH"/>
              </w:rPr>
            </w:pPr>
            <w:r w:rsidRPr="009E35ED">
              <w:rPr>
                <w:rFonts w:ascii="Arial Narrow" w:hAnsi="Arial Narrow"/>
                <w:b/>
                <w:bCs/>
                <w:color w:val="000000" w:themeColor="text1"/>
                <w:sz w:val="22"/>
                <w:szCs w:val="22"/>
              </w:rPr>
              <w:t xml:space="preserve"> 7,059,</w:t>
            </w:r>
            <w:r w:rsidR="00175263" w:rsidRPr="009E35ED">
              <w:rPr>
                <w:rFonts w:ascii="Arial Narrow" w:hAnsi="Arial Narrow"/>
                <w:b/>
                <w:bCs/>
                <w:color w:val="000000" w:themeColor="text1"/>
                <w:sz w:val="22"/>
                <w:szCs w:val="22"/>
              </w:rPr>
              <w:t>701,635</w:t>
            </w:r>
            <w:r w:rsidRPr="009E35ED">
              <w:rPr>
                <w:rFonts w:ascii="Arial Narrow" w:hAnsi="Arial Narrow"/>
                <w:b/>
                <w:bCs/>
                <w:color w:val="000000" w:themeColor="text1"/>
                <w:sz w:val="22"/>
                <w:szCs w:val="22"/>
              </w:rPr>
              <w:t xml:space="preserve"> </w:t>
            </w:r>
          </w:p>
        </w:tc>
      </w:tr>
      <w:tr w:rsidR="00997F75" w:rsidRPr="009E35ED" w14:paraId="6DEDAFDE" w14:textId="77777777" w:rsidTr="000B3F04">
        <w:trPr>
          <w:trHeight w:val="290"/>
        </w:trPr>
        <w:tc>
          <w:tcPr>
            <w:tcW w:w="6930" w:type="dxa"/>
            <w:tcBorders>
              <w:top w:val="nil"/>
              <w:left w:val="nil"/>
              <w:bottom w:val="nil"/>
              <w:right w:val="nil"/>
            </w:tcBorders>
            <w:shd w:val="clear" w:color="auto" w:fill="auto"/>
            <w:noWrap/>
            <w:vAlign w:val="bottom"/>
            <w:hideMark/>
          </w:tcPr>
          <w:p w14:paraId="6351B29B" w14:textId="4AA9CFE5" w:rsidR="006D6778" w:rsidRPr="009E35ED" w:rsidRDefault="006D6778" w:rsidP="00613699">
            <w:pPr>
              <w:ind w:left="0"/>
              <w:jc w:val="left"/>
              <w:rPr>
                <w:rFonts w:ascii="Arial Narrow" w:hAnsi="Arial Narrow" w:cs="Arial"/>
                <w:b/>
                <w:bCs/>
                <w:color w:val="000000" w:themeColor="text1"/>
                <w:sz w:val="22"/>
                <w:szCs w:val="22"/>
                <w:lang w:val="en-PH" w:eastAsia="en-PH"/>
              </w:rPr>
            </w:pPr>
          </w:p>
        </w:tc>
        <w:tc>
          <w:tcPr>
            <w:tcW w:w="1620" w:type="dxa"/>
            <w:tcBorders>
              <w:top w:val="nil"/>
              <w:left w:val="nil"/>
              <w:bottom w:val="nil"/>
              <w:right w:val="nil"/>
            </w:tcBorders>
            <w:shd w:val="clear" w:color="auto" w:fill="auto"/>
            <w:noWrap/>
            <w:vAlign w:val="bottom"/>
            <w:hideMark/>
          </w:tcPr>
          <w:p w14:paraId="503DCCFC" w14:textId="77777777" w:rsidR="00613699" w:rsidRPr="009E35ED" w:rsidRDefault="00613699" w:rsidP="00613699">
            <w:pPr>
              <w:ind w:left="0"/>
              <w:jc w:val="right"/>
              <w:rPr>
                <w:rFonts w:ascii="Arial Narrow" w:hAnsi="Arial Narrow"/>
                <w:color w:val="000000" w:themeColor="text1"/>
                <w:sz w:val="20"/>
                <w:szCs w:val="20"/>
                <w:lang w:val="en-PH" w:eastAsia="en-PH"/>
              </w:rPr>
            </w:pPr>
          </w:p>
        </w:tc>
      </w:tr>
      <w:tr w:rsidR="00997F75" w:rsidRPr="009E35ED" w14:paraId="026748A8" w14:textId="77777777" w:rsidTr="000B3F04">
        <w:trPr>
          <w:trHeight w:val="276"/>
        </w:trPr>
        <w:tc>
          <w:tcPr>
            <w:tcW w:w="6930" w:type="dxa"/>
            <w:tcBorders>
              <w:top w:val="nil"/>
              <w:left w:val="nil"/>
              <w:bottom w:val="nil"/>
              <w:right w:val="nil"/>
            </w:tcBorders>
            <w:shd w:val="clear" w:color="auto" w:fill="auto"/>
            <w:noWrap/>
            <w:hideMark/>
          </w:tcPr>
          <w:p w14:paraId="5280CD0F" w14:textId="6F8A0E1F" w:rsidR="00B413FE" w:rsidRPr="009E35ED" w:rsidRDefault="00B413FE" w:rsidP="000B3F04">
            <w:pPr>
              <w:ind w:left="-108"/>
              <w:jc w:val="left"/>
              <w:rPr>
                <w:rFonts w:ascii="Arial Narrow" w:hAnsi="Arial Narrow" w:cs="Arial"/>
                <w:color w:val="000000" w:themeColor="text1"/>
                <w:sz w:val="22"/>
                <w:szCs w:val="22"/>
                <w:lang w:val="en-PH" w:eastAsia="en-PH"/>
              </w:rPr>
            </w:pPr>
            <w:r w:rsidRPr="009E35ED">
              <w:rPr>
                <w:rFonts w:ascii="Arial Narrow" w:hAnsi="Arial Narrow"/>
                <w:color w:val="000000" w:themeColor="text1"/>
                <w:sz w:val="22"/>
                <w:szCs w:val="22"/>
              </w:rPr>
              <w:t xml:space="preserve">Unrestated </w:t>
            </w:r>
            <w:r w:rsidR="00802BBF">
              <w:rPr>
                <w:rFonts w:ascii="Arial Narrow" w:hAnsi="Arial Narrow"/>
                <w:color w:val="000000" w:themeColor="text1"/>
                <w:sz w:val="22"/>
                <w:szCs w:val="22"/>
              </w:rPr>
              <w:t>a</w:t>
            </w:r>
            <w:r w:rsidRPr="009E35ED">
              <w:rPr>
                <w:rFonts w:ascii="Arial Narrow" w:hAnsi="Arial Narrow"/>
                <w:color w:val="000000" w:themeColor="text1"/>
                <w:sz w:val="22"/>
                <w:szCs w:val="22"/>
              </w:rPr>
              <w:t>mount as of December 31, 2022</w:t>
            </w:r>
          </w:p>
        </w:tc>
        <w:tc>
          <w:tcPr>
            <w:tcW w:w="1620" w:type="dxa"/>
            <w:tcBorders>
              <w:top w:val="nil"/>
              <w:left w:val="nil"/>
              <w:bottom w:val="nil"/>
              <w:right w:val="nil"/>
            </w:tcBorders>
            <w:shd w:val="clear" w:color="auto" w:fill="auto"/>
            <w:noWrap/>
            <w:hideMark/>
          </w:tcPr>
          <w:p w14:paraId="3247AA91" w14:textId="70DF1728" w:rsidR="00B413FE" w:rsidRPr="009E35ED" w:rsidRDefault="00B413FE" w:rsidP="000B3F04">
            <w:pPr>
              <w:ind w:left="0" w:right="-108"/>
              <w:jc w:val="right"/>
              <w:rPr>
                <w:rFonts w:ascii="Arial Narrow" w:hAnsi="Arial Narrow" w:cs="Arial"/>
                <w:color w:val="000000" w:themeColor="text1"/>
                <w:sz w:val="22"/>
                <w:szCs w:val="22"/>
                <w:lang w:val="en-PH" w:eastAsia="en-PH"/>
              </w:rPr>
            </w:pPr>
            <w:r w:rsidRPr="009E35ED">
              <w:rPr>
                <w:rFonts w:ascii="Arial Narrow" w:hAnsi="Arial Narrow"/>
                <w:color w:val="000000" w:themeColor="text1"/>
                <w:sz w:val="22"/>
                <w:szCs w:val="22"/>
              </w:rPr>
              <w:t xml:space="preserve"> 68,150,778 </w:t>
            </w:r>
          </w:p>
        </w:tc>
      </w:tr>
      <w:tr w:rsidR="00997F75" w:rsidRPr="009E35ED" w14:paraId="3A6F2DAC" w14:textId="77777777" w:rsidTr="000B3F04">
        <w:trPr>
          <w:trHeight w:val="276"/>
        </w:trPr>
        <w:tc>
          <w:tcPr>
            <w:tcW w:w="6930" w:type="dxa"/>
            <w:tcBorders>
              <w:top w:val="nil"/>
              <w:left w:val="nil"/>
              <w:bottom w:val="nil"/>
              <w:right w:val="nil"/>
            </w:tcBorders>
            <w:shd w:val="clear" w:color="auto" w:fill="auto"/>
            <w:noWrap/>
            <w:hideMark/>
          </w:tcPr>
          <w:p w14:paraId="4F5B0F8D" w14:textId="7D903AB4" w:rsidR="00B413FE" w:rsidRPr="009E35ED" w:rsidRDefault="00B413FE" w:rsidP="000B3F04">
            <w:pPr>
              <w:ind w:left="-108"/>
              <w:jc w:val="left"/>
              <w:rPr>
                <w:rFonts w:ascii="Arial Narrow" w:hAnsi="Arial Narrow" w:cs="Arial"/>
                <w:color w:val="000000" w:themeColor="text1"/>
                <w:sz w:val="22"/>
                <w:szCs w:val="22"/>
                <w:lang w:val="en-PH" w:eastAsia="en-PH"/>
              </w:rPr>
            </w:pPr>
            <w:r w:rsidRPr="009E35ED">
              <w:rPr>
                <w:rFonts w:ascii="Arial Narrow" w:hAnsi="Arial Narrow"/>
                <w:color w:val="000000" w:themeColor="text1"/>
                <w:sz w:val="22"/>
                <w:szCs w:val="22"/>
              </w:rPr>
              <w:t xml:space="preserve">Adjustment/Recording of </w:t>
            </w:r>
            <w:r w:rsidR="00802BBF">
              <w:rPr>
                <w:rFonts w:ascii="Arial Narrow" w:hAnsi="Arial Narrow"/>
                <w:color w:val="000000" w:themeColor="text1"/>
                <w:sz w:val="22"/>
                <w:szCs w:val="22"/>
              </w:rPr>
              <w:t>p</w:t>
            </w:r>
            <w:r w:rsidRPr="009E35ED">
              <w:rPr>
                <w:rFonts w:ascii="Arial Narrow" w:hAnsi="Arial Narrow"/>
                <w:color w:val="000000" w:themeColor="text1"/>
                <w:sz w:val="22"/>
                <w:szCs w:val="22"/>
              </w:rPr>
              <w:t xml:space="preserve">ersonnel </w:t>
            </w:r>
            <w:r w:rsidR="00802BBF">
              <w:rPr>
                <w:rFonts w:ascii="Arial Narrow" w:hAnsi="Arial Narrow"/>
                <w:color w:val="000000" w:themeColor="text1"/>
                <w:sz w:val="22"/>
                <w:szCs w:val="22"/>
              </w:rPr>
              <w:t>s</w:t>
            </w:r>
            <w:r w:rsidRPr="009E35ED">
              <w:rPr>
                <w:rFonts w:ascii="Arial Narrow" w:hAnsi="Arial Narrow"/>
                <w:color w:val="000000" w:themeColor="text1"/>
                <w:sz w:val="22"/>
                <w:szCs w:val="22"/>
              </w:rPr>
              <w:t>ervices</w:t>
            </w:r>
          </w:p>
        </w:tc>
        <w:tc>
          <w:tcPr>
            <w:tcW w:w="1620" w:type="dxa"/>
            <w:tcBorders>
              <w:top w:val="nil"/>
              <w:left w:val="nil"/>
              <w:bottom w:val="nil"/>
              <w:right w:val="nil"/>
            </w:tcBorders>
            <w:shd w:val="clear" w:color="auto" w:fill="auto"/>
            <w:noWrap/>
            <w:hideMark/>
          </w:tcPr>
          <w:p w14:paraId="737068BE" w14:textId="3E299B94" w:rsidR="00B413FE" w:rsidRPr="009E35ED" w:rsidRDefault="00B413FE" w:rsidP="000B3F04">
            <w:pPr>
              <w:ind w:left="0" w:right="-108"/>
              <w:jc w:val="right"/>
              <w:rPr>
                <w:rFonts w:ascii="Arial Narrow" w:hAnsi="Arial Narrow" w:cs="Arial"/>
                <w:color w:val="000000" w:themeColor="text1"/>
                <w:sz w:val="22"/>
                <w:szCs w:val="22"/>
                <w:lang w:val="en-PH" w:eastAsia="en-PH"/>
              </w:rPr>
            </w:pPr>
            <w:r w:rsidRPr="009E35ED">
              <w:rPr>
                <w:rFonts w:ascii="Arial Narrow" w:hAnsi="Arial Narrow"/>
                <w:color w:val="000000" w:themeColor="text1"/>
                <w:sz w:val="22"/>
                <w:szCs w:val="22"/>
              </w:rPr>
              <w:t xml:space="preserve"> 14,000 </w:t>
            </w:r>
          </w:p>
        </w:tc>
      </w:tr>
      <w:tr w:rsidR="00997F75" w:rsidRPr="009E35ED" w14:paraId="23D42B0E" w14:textId="77777777" w:rsidTr="000B3F04">
        <w:trPr>
          <w:trHeight w:val="276"/>
        </w:trPr>
        <w:tc>
          <w:tcPr>
            <w:tcW w:w="6930" w:type="dxa"/>
            <w:tcBorders>
              <w:top w:val="nil"/>
              <w:left w:val="nil"/>
              <w:bottom w:val="nil"/>
              <w:right w:val="nil"/>
            </w:tcBorders>
            <w:shd w:val="clear" w:color="auto" w:fill="auto"/>
            <w:noWrap/>
          </w:tcPr>
          <w:p w14:paraId="056D3BAE" w14:textId="37A95F00" w:rsidR="005A75A5" w:rsidRPr="009E35ED" w:rsidRDefault="005A75A5" w:rsidP="000B3F04">
            <w:pPr>
              <w:ind w:left="-108"/>
              <w:jc w:val="left"/>
              <w:rPr>
                <w:rFonts w:ascii="Arial Narrow" w:hAnsi="Arial Narrow"/>
                <w:color w:val="000000" w:themeColor="text1"/>
                <w:sz w:val="22"/>
                <w:szCs w:val="22"/>
              </w:rPr>
            </w:pPr>
            <w:r w:rsidRPr="009E35ED">
              <w:rPr>
                <w:rFonts w:ascii="Arial Narrow" w:hAnsi="Arial Narrow"/>
                <w:color w:val="000000" w:themeColor="text1"/>
                <w:sz w:val="22"/>
                <w:szCs w:val="22"/>
              </w:rPr>
              <w:t>Adjustment/Recording of MOOE-</w:t>
            </w:r>
            <w:r w:rsidR="00802BBF">
              <w:rPr>
                <w:rFonts w:ascii="Arial Narrow" w:hAnsi="Arial Narrow"/>
                <w:color w:val="000000" w:themeColor="text1"/>
                <w:sz w:val="22"/>
                <w:szCs w:val="22"/>
              </w:rPr>
              <w:t>o</w:t>
            </w:r>
            <w:r w:rsidRPr="009E35ED">
              <w:rPr>
                <w:rFonts w:ascii="Arial Narrow" w:hAnsi="Arial Narrow"/>
                <w:color w:val="000000" w:themeColor="text1"/>
                <w:sz w:val="22"/>
                <w:szCs w:val="22"/>
              </w:rPr>
              <w:t xml:space="preserve">ffice </w:t>
            </w:r>
            <w:r w:rsidR="00802BBF">
              <w:rPr>
                <w:rFonts w:ascii="Arial Narrow" w:hAnsi="Arial Narrow"/>
                <w:color w:val="000000" w:themeColor="text1"/>
                <w:sz w:val="22"/>
                <w:szCs w:val="22"/>
              </w:rPr>
              <w:t>s</w:t>
            </w:r>
            <w:r w:rsidRPr="009E35ED">
              <w:rPr>
                <w:rFonts w:ascii="Arial Narrow" w:hAnsi="Arial Narrow"/>
                <w:color w:val="000000" w:themeColor="text1"/>
                <w:sz w:val="22"/>
                <w:szCs w:val="22"/>
              </w:rPr>
              <w:t xml:space="preserve">upplies </w:t>
            </w:r>
            <w:r w:rsidR="00802BBF">
              <w:rPr>
                <w:rFonts w:ascii="Arial Narrow" w:hAnsi="Arial Narrow"/>
                <w:color w:val="000000" w:themeColor="text1"/>
                <w:sz w:val="22"/>
                <w:szCs w:val="22"/>
              </w:rPr>
              <w:t>e</w:t>
            </w:r>
            <w:r w:rsidRPr="009E35ED">
              <w:rPr>
                <w:rFonts w:ascii="Arial Narrow" w:hAnsi="Arial Narrow"/>
                <w:color w:val="000000" w:themeColor="text1"/>
                <w:sz w:val="22"/>
                <w:szCs w:val="22"/>
              </w:rPr>
              <w:t>xpenses</w:t>
            </w:r>
          </w:p>
        </w:tc>
        <w:tc>
          <w:tcPr>
            <w:tcW w:w="1620" w:type="dxa"/>
            <w:tcBorders>
              <w:top w:val="nil"/>
              <w:left w:val="nil"/>
              <w:bottom w:val="nil"/>
              <w:right w:val="nil"/>
            </w:tcBorders>
            <w:shd w:val="clear" w:color="auto" w:fill="auto"/>
            <w:noWrap/>
          </w:tcPr>
          <w:p w14:paraId="4A972786" w14:textId="19E6B024" w:rsidR="005A75A5" w:rsidRPr="009E35ED" w:rsidRDefault="005A75A5" w:rsidP="000B3F04">
            <w:pPr>
              <w:ind w:left="0" w:right="-108"/>
              <w:jc w:val="right"/>
              <w:rPr>
                <w:rFonts w:ascii="Arial Narrow" w:hAnsi="Arial Narrow"/>
                <w:color w:val="000000" w:themeColor="text1"/>
                <w:sz w:val="22"/>
                <w:szCs w:val="22"/>
              </w:rPr>
            </w:pPr>
            <w:r w:rsidRPr="009E35ED">
              <w:rPr>
                <w:rFonts w:ascii="Arial Narrow" w:hAnsi="Arial Narrow"/>
                <w:color w:val="000000" w:themeColor="text1"/>
                <w:sz w:val="22"/>
                <w:szCs w:val="22"/>
              </w:rPr>
              <w:t>4,193</w:t>
            </w:r>
          </w:p>
        </w:tc>
      </w:tr>
      <w:tr w:rsidR="00997F75" w:rsidRPr="009E35ED" w14:paraId="6F7EC9BE" w14:textId="77777777" w:rsidTr="000B3F04">
        <w:trPr>
          <w:trHeight w:val="276"/>
        </w:trPr>
        <w:tc>
          <w:tcPr>
            <w:tcW w:w="6930" w:type="dxa"/>
            <w:tcBorders>
              <w:top w:val="nil"/>
              <w:left w:val="nil"/>
              <w:bottom w:val="nil"/>
              <w:right w:val="nil"/>
            </w:tcBorders>
            <w:shd w:val="clear" w:color="auto" w:fill="auto"/>
            <w:noWrap/>
          </w:tcPr>
          <w:p w14:paraId="459D42A0" w14:textId="766EBE4F" w:rsidR="00B413FE" w:rsidRPr="009E35ED" w:rsidRDefault="00B413FE" w:rsidP="000B3F04">
            <w:pPr>
              <w:ind w:left="-108"/>
              <w:jc w:val="left"/>
              <w:rPr>
                <w:rFonts w:ascii="Arial Narrow" w:hAnsi="Arial Narrow" w:cs="Arial"/>
                <w:color w:val="000000" w:themeColor="text1"/>
                <w:sz w:val="22"/>
                <w:szCs w:val="22"/>
              </w:rPr>
            </w:pPr>
            <w:r w:rsidRPr="009E35ED">
              <w:rPr>
                <w:rFonts w:ascii="Arial Narrow" w:hAnsi="Arial Narrow"/>
                <w:color w:val="000000" w:themeColor="text1"/>
                <w:sz w:val="22"/>
                <w:szCs w:val="22"/>
              </w:rPr>
              <w:t>Adjustment/Recording of MOOE-</w:t>
            </w:r>
            <w:r w:rsidR="00802BBF">
              <w:rPr>
                <w:rFonts w:ascii="Arial Narrow" w:hAnsi="Arial Narrow"/>
                <w:color w:val="000000" w:themeColor="text1"/>
                <w:sz w:val="22"/>
                <w:szCs w:val="22"/>
              </w:rPr>
              <w:t>t</w:t>
            </w:r>
            <w:r w:rsidRPr="009E35ED">
              <w:rPr>
                <w:rFonts w:ascii="Arial Narrow" w:hAnsi="Arial Narrow"/>
                <w:color w:val="000000" w:themeColor="text1"/>
                <w:sz w:val="22"/>
                <w:szCs w:val="22"/>
              </w:rPr>
              <w:t xml:space="preserve">ravelling </w:t>
            </w:r>
            <w:r w:rsidR="00802BBF">
              <w:rPr>
                <w:rFonts w:ascii="Arial Narrow" w:hAnsi="Arial Narrow"/>
                <w:color w:val="000000" w:themeColor="text1"/>
                <w:sz w:val="22"/>
                <w:szCs w:val="22"/>
              </w:rPr>
              <w:t>e</w:t>
            </w:r>
            <w:r w:rsidRPr="009E35ED">
              <w:rPr>
                <w:rFonts w:ascii="Arial Narrow" w:hAnsi="Arial Narrow"/>
                <w:color w:val="000000" w:themeColor="text1"/>
                <w:sz w:val="22"/>
                <w:szCs w:val="22"/>
              </w:rPr>
              <w:t>xpense</w:t>
            </w:r>
          </w:p>
        </w:tc>
        <w:tc>
          <w:tcPr>
            <w:tcW w:w="1620" w:type="dxa"/>
            <w:tcBorders>
              <w:top w:val="nil"/>
              <w:left w:val="nil"/>
              <w:bottom w:val="nil"/>
              <w:right w:val="nil"/>
            </w:tcBorders>
            <w:shd w:val="clear" w:color="auto" w:fill="auto"/>
            <w:noWrap/>
          </w:tcPr>
          <w:p w14:paraId="3D11D0A9" w14:textId="29D5C926" w:rsidR="00B413FE" w:rsidRPr="009E35ED" w:rsidRDefault="00B413FE" w:rsidP="000B3F04">
            <w:pPr>
              <w:ind w:left="0" w:right="-108"/>
              <w:jc w:val="right"/>
              <w:rPr>
                <w:rFonts w:ascii="Arial Narrow" w:hAnsi="Arial Narrow" w:cs="Arial"/>
                <w:color w:val="000000" w:themeColor="text1"/>
                <w:sz w:val="22"/>
                <w:szCs w:val="22"/>
              </w:rPr>
            </w:pPr>
            <w:r w:rsidRPr="009E35ED">
              <w:rPr>
                <w:rFonts w:ascii="Arial Narrow" w:hAnsi="Arial Narrow"/>
                <w:color w:val="000000" w:themeColor="text1"/>
                <w:sz w:val="22"/>
                <w:szCs w:val="22"/>
              </w:rPr>
              <w:t xml:space="preserve"> </w:t>
            </w:r>
            <w:r w:rsidR="005A75A5" w:rsidRPr="009E35ED">
              <w:rPr>
                <w:rFonts w:ascii="Arial Narrow" w:hAnsi="Arial Narrow"/>
                <w:color w:val="000000" w:themeColor="text1"/>
                <w:sz w:val="22"/>
                <w:szCs w:val="22"/>
              </w:rPr>
              <w:t>3,598</w:t>
            </w:r>
            <w:r w:rsidRPr="009E35ED">
              <w:rPr>
                <w:rFonts w:ascii="Arial Narrow" w:hAnsi="Arial Narrow"/>
                <w:color w:val="000000" w:themeColor="text1"/>
                <w:sz w:val="22"/>
                <w:szCs w:val="22"/>
              </w:rPr>
              <w:t xml:space="preserve"> </w:t>
            </w:r>
          </w:p>
        </w:tc>
      </w:tr>
      <w:tr w:rsidR="00997F75" w:rsidRPr="009E35ED" w14:paraId="1579A8A3" w14:textId="77777777" w:rsidTr="000B3F04">
        <w:trPr>
          <w:trHeight w:val="276"/>
        </w:trPr>
        <w:tc>
          <w:tcPr>
            <w:tcW w:w="6930" w:type="dxa"/>
            <w:tcBorders>
              <w:top w:val="nil"/>
              <w:left w:val="nil"/>
              <w:bottom w:val="nil"/>
              <w:right w:val="nil"/>
            </w:tcBorders>
            <w:shd w:val="clear" w:color="auto" w:fill="auto"/>
            <w:noWrap/>
          </w:tcPr>
          <w:p w14:paraId="11297354" w14:textId="75F3F4BD" w:rsidR="005A75A5" w:rsidRPr="009E35ED" w:rsidRDefault="005A75A5" w:rsidP="000B3F04">
            <w:pPr>
              <w:ind w:left="-108"/>
              <w:jc w:val="left"/>
              <w:rPr>
                <w:rFonts w:ascii="Arial Narrow" w:hAnsi="Arial Narrow"/>
                <w:color w:val="000000" w:themeColor="text1"/>
                <w:sz w:val="22"/>
                <w:szCs w:val="22"/>
              </w:rPr>
            </w:pPr>
            <w:r w:rsidRPr="009E35ED">
              <w:rPr>
                <w:rFonts w:ascii="Arial Narrow" w:hAnsi="Arial Narrow"/>
                <w:color w:val="000000" w:themeColor="text1"/>
                <w:sz w:val="22"/>
                <w:szCs w:val="22"/>
              </w:rPr>
              <w:t>Adjustment/Recording of MOOE-</w:t>
            </w:r>
            <w:r w:rsidR="00802BBF">
              <w:rPr>
                <w:rFonts w:ascii="Arial Narrow" w:hAnsi="Arial Narrow"/>
                <w:color w:val="000000" w:themeColor="text1"/>
                <w:sz w:val="22"/>
                <w:szCs w:val="22"/>
              </w:rPr>
              <w:t>t</w:t>
            </w:r>
            <w:r w:rsidRPr="009E35ED">
              <w:rPr>
                <w:rFonts w:ascii="Arial Narrow" w:hAnsi="Arial Narrow"/>
                <w:color w:val="000000" w:themeColor="text1"/>
                <w:sz w:val="22"/>
                <w:szCs w:val="22"/>
              </w:rPr>
              <w:t xml:space="preserve">ransportation and </w:t>
            </w:r>
            <w:r w:rsidR="00802BBF">
              <w:rPr>
                <w:rFonts w:ascii="Arial Narrow" w:hAnsi="Arial Narrow"/>
                <w:color w:val="000000" w:themeColor="text1"/>
                <w:sz w:val="22"/>
                <w:szCs w:val="22"/>
              </w:rPr>
              <w:t>d</w:t>
            </w:r>
            <w:r w:rsidRPr="009E35ED">
              <w:rPr>
                <w:rFonts w:ascii="Arial Narrow" w:hAnsi="Arial Narrow"/>
                <w:color w:val="000000" w:themeColor="text1"/>
                <w:sz w:val="22"/>
                <w:szCs w:val="22"/>
              </w:rPr>
              <w:t xml:space="preserve">elivery </w:t>
            </w:r>
            <w:r w:rsidR="00802BBF">
              <w:rPr>
                <w:rFonts w:ascii="Arial Narrow" w:hAnsi="Arial Narrow"/>
                <w:color w:val="000000" w:themeColor="text1"/>
                <w:sz w:val="22"/>
                <w:szCs w:val="22"/>
              </w:rPr>
              <w:t>e</w:t>
            </w:r>
            <w:r w:rsidRPr="009E35ED">
              <w:rPr>
                <w:rFonts w:ascii="Arial Narrow" w:hAnsi="Arial Narrow"/>
                <w:color w:val="000000" w:themeColor="text1"/>
                <w:sz w:val="22"/>
                <w:szCs w:val="22"/>
              </w:rPr>
              <w:t>xpenses</w:t>
            </w:r>
          </w:p>
        </w:tc>
        <w:tc>
          <w:tcPr>
            <w:tcW w:w="1620" w:type="dxa"/>
            <w:tcBorders>
              <w:top w:val="nil"/>
              <w:left w:val="nil"/>
              <w:bottom w:val="nil"/>
              <w:right w:val="nil"/>
            </w:tcBorders>
            <w:shd w:val="clear" w:color="auto" w:fill="auto"/>
            <w:noWrap/>
          </w:tcPr>
          <w:p w14:paraId="7E3A1662" w14:textId="6AA24273" w:rsidR="005A75A5" w:rsidRPr="009E35ED" w:rsidRDefault="005A75A5" w:rsidP="000B3F04">
            <w:pPr>
              <w:ind w:left="0" w:right="-108"/>
              <w:jc w:val="right"/>
              <w:rPr>
                <w:rFonts w:ascii="Arial Narrow" w:hAnsi="Arial Narrow"/>
                <w:color w:val="000000" w:themeColor="text1"/>
                <w:sz w:val="22"/>
                <w:szCs w:val="22"/>
              </w:rPr>
            </w:pPr>
            <w:r w:rsidRPr="009E35ED">
              <w:rPr>
                <w:rFonts w:ascii="Arial Narrow" w:hAnsi="Arial Narrow"/>
                <w:color w:val="000000" w:themeColor="text1"/>
                <w:sz w:val="22"/>
                <w:szCs w:val="22"/>
              </w:rPr>
              <w:t>165</w:t>
            </w:r>
          </w:p>
        </w:tc>
      </w:tr>
      <w:tr w:rsidR="00997F75" w:rsidRPr="009E35ED" w14:paraId="7FCF0CF8" w14:textId="77777777" w:rsidTr="000B3F04">
        <w:trPr>
          <w:trHeight w:val="276"/>
        </w:trPr>
        <w:tc>
          <w:tcPr>
            <w:tcW w:w="6930" w:type="dxa"/>
            <w:tcBorders>
              <w:top w:val="nil"/>
              <w:left w:val="nil"/>
              <w:bottom w:val="nil"/>
              <w:right w:val="nil"/>
            </w:tcBorders>
            <w:shd w:val="clear" w:color="auto" w:fill="auto"/>
            <w:noWrap/>
          </w:tcPr>
          <w:p w14:paraId="66F9AD3E" w14:textId="5EEE8F53" w:rsidR="00B413FE" w:rsidRPr="009E35ED" w:rsidRDefault="00B413FE" w:rsidP="000B3F04">
            <w:pPr>
              <w:ind w:left="-108"/>
              <w:jc w:val="left"/>
              <w:rPr>
                <w:rFonts w:ascii="Arial Narrow" w:hAnsi="Arial Narrow" w:cs="Arial"/>
                <w:color w:val="000000" w:themeColor="text1"/>
                <w:sz w:val="22"/>
                <w:szCs w:val="22"/>
              </w:rPr>
            </w:pPr>
            <w:r w:rsidRPr="009E35ED">
              <w:rPr>
                <w:rFonts w:ascii="Arial Narrow" w:hAnsi="Arial Narrow"/>
                <w:color w:val="000000" w:themeColor="text1"/>
                <w:sz w:val="22"/>
                <w:szCs w:val="22"/>
              </w:rPr>
              <w:t>Adjustment/Recording of MOOE-</w:t>
            </w:r>
            <w:r w:rsidR="00802BBF">
              <w:rPr>
                <w:rFonts w:ascii="Arial Narrow" w:hAnsi="Arial Narrow"/>
                <w:color w:val="000000" w:themeColor="text1"/>
                <w:sz w:val="22"/>
                <w:szCs w:val="22"/>
              </w:rPr>
              <w:t>s</w:t>
            </w:r>
            <w:r w:rsidRPr="009E35ED">
              <w:rPr>
                <w:rFonts w:ascii="Arial Narrow" w:hAnsi="Arial Narrow"/>
                <w:color w:val="000000" w:themeColor="text1"/>
                <w:sz w:val="22"/>
                <w:szCs w:val="22"/>
              </w:rPr>
              <w:t>emi-</w:t>
            </w:r>
            <w:r w:rsidR="00802BBF">
              <w:rPr>
                <w:rFonts w:ascii="Arial Narrow" w:hAnsi="Arial Narrow"/>
                <w:color w:val="000000" w:themeColor="text1"/>
                <w:sz w:val="22"/>
                <w:szCs w:val="22"/>
              </w:rPr>
              <w:t>e</w:t>
            </w:r>
            <w:r w:rsidRPr="009E35ED">
              <w:rPr>
                <w:rFonts w:ascii="Arial Narrow" w:hAnsi="Arial Narrow"/>
                <w:color w:val="000000" w:themeColor="text1"/>
                <w:sz w:val="22"/>
                <w:szCs w:val="22"/>
              </w:rPr>
              <w:t>xpendable</w:t>
            </w:r>
          </w:p>
        </w:tc>
        <w:tc>
          <w:tcPr>
            <w:tcW w:w="1620" w:type="dxa"/>
            <w:tcBorders>
              <w:top w:val="nil"/>
              <w:left w:val="nil"/>
              <w:bottom w:val="nil"/>
              <w:right w:val="nil"/>
            </w:tcBorders>
            <w:shd w:val="clear" w:color="auto" w:fill="auto"/>
            <w:noWrap/>
          </w:tcPr>
          <w:p w14:paraId="13780E73" w14:textId="567F98C7" w:rsidR="00B413FE" w:rsidRPr="009E35ED" w:rsidRDefault="00B413FE" w:rsidP="000B3F04">
            <w:pPr>
              <w:ind w:left="0" w:right="-108"/>
              <w:jc w:val="right"/>
              <w:rPr>
                <w:rFonts w:ascii="Arial Narrow" w:hAnsi="Arial Narrow" w:cs="Arial"/>
                <w:color w:val="000000" w:themeColor="text1"/>
                <w:sz w:val="22"/>
                <w:szCs w:val="22"/>
              </w:rPr>
            </w:pPr>
            <w:r w:rsidRPr="009E35ED">
              <w:rPr>
                <w:rFonts w:ascii="Arial Narrow" w:hAnsi="Arial Narrow"/>
                <w:color w:val="000000" w:themeColor="text1"/>
                <w:sz w:val="22"/>
                <w:szCs w:val="22"/>
              </w:rPr>
              <w:t xml:space="preserve"> 112,801 </w:t>
            </w:r>
          </w:p>
        </w:tc>
      </w:tr>
      <w:tr w:rsidR="00997F75" w:rsidRPr="009E35ED" w14:paraId="6A63DF57" w14:textId="77777777" w:rsidTr="000B3F04">
        <w:trPr>
          <w:trHeight w:val="276"/>
        </w:trPr>
        <w:tc>
          <w:tcPr>
            <w:tcW w:w="6930" w:type="dxa"/>
            <w:tcBorders>
              <w:top w:val="nil"/>
              <w:left w:val="nil"/>
              <w:bottom w:val="nil"/>
              <w:right w:val="nil"/>
            </w:tcBorders>
            <w:shd w:val="clear" w:color="auto" w:fill="auto"/>
            <w:noWrap/>
          </w:tcPr>
          <w:p w14:paraId="31BB55D6" w14:textId="0F80FDC8" w:rsidR="00B413FE" w:rsidRPr="009E35ED" w:rsidRDefault="00B413FE" w:rsidP="000B3F04">
            <w:pPr>
              <w:ind w:left="-108"/>
              <w:jc w:val="left"/>
              <w:rPr>
                <w:rFonts w:ascii="Arial Narrow" w:hAnsi="Arial Narrow" w:cs="Arial"/>
                <w:color w:val="000000" w:themeColor="text1"/>
                <w:sz w:val="22"/>
                <w:szCs w:val="22"/>
              </w:rPr>
            </w:pPr>
            <w:r w:rsidRPr="009E35ED">
              <w:rPr>
                <w:rFonts w:ascii="Arial Narrow" w:hAnsi="Arial Narrow"/>
                <w:color w:val="000000" w:themeColor="text1"/>
                <w:sz w:val="22"/>
                <w:szCs w:val="22"/>
              </w:rPr>
              <w:t>Adjustment/Recording of MOOE-</w:t>
            </w:r>
            <w:r w:rsidR="00802BBF">
              <w:rPr>
                <w:rFonts w:ascii="Arial Narrow" w:hAnsi="Arial Narrow"/>
                <w:color w:val="000000" w:themeColor="text1"/>
                <w:sz w:val="22"/>
                <w:szCs w:val="22"/>
              </w:rPr>
              <w:t>e</w:t>
            </w:r>
            <w:r w:rsidRPr="009E35ED">
              <w:rPr>
                <w:rFonts w:ascii="Arial Narrow" w:hAnsi="Arial Narrow"/>
                <w:color w:val="000000" w:themeColor="text1"/>
                <w:sz w:val="22"/>
                <w:szCs w:val="22"/>
              </w:rPr>
              <w:t xml:space="preserve">lectricity </w:t>
            </w:r>
            <w:r w:rsidR="00802BBF">
              <w:rPr>
                <w:rFonts w:ascii="Arial Narrow" w:hAnsi="Arial Narrow"/>
                <w:color w:val="000000" w:themeColor="text1"/>
                <w:sz w:val="22"/>
                <w:szCs w:val="22"/>
              </w:rPr>
              <w:t>e</w:t>
            </w:r>
            <w:r w:rsidRPr="009E35ED">
              <w:rPr>
                <w:rFonts w:ascii="Arial Narrow" w:hAnsi="Arial Narrow"/>
                <w:color w:val="000000" w:themeColor="text1"/>
                <w:sz w:val="22"/>
                <w:szCs w:val="22"/>
              </w:rPr>
              <w:t>xpense</w:t>
            </w:r>
          </w:p>
        </w:tc>
        <w:tc>
          <w:tcPr>
            <w:tcW w:w="1620" w:type="dxa"/>
            <w:tcBorders>
              <w:top w:val="nil"/>
              <w:left w:val="nil"/>
              <w:bottom w:val="nil"/>
              <w:right w:val="nil"/>
            </w:tcBorders>
            <w:shd w:val="clear" w:color="auto" w:fill="auto"/>
            <w:noWrap/>
          </w:tcPr>
          <w:p w14:paraId="7AD8CE00" w14:textId="7814FF07" w:rsidR="00B413FE" w:rsidRPr="009E35ED" w:rsidRDefault="00B413FE" w:rsidP="000B3F04">
            <w:pPr>
              <w:ind w:left="0" w:right="-108"/>
              <w:jc w:val="right"/>
              <w:rPr>
                <w:rFonts w:ascii="Arial Narrow" w:hAnsi="Arial Narrow" w:cs="Arial"/>
                <w:color w:val="000000" w:themeColor="text1"/>
                <w:sz w:val="22"/>
                <w:szCs w:val="22"/>
              </w:rPr>
            </w:pPr>
            <w:r w:rsidRPr="009E35ED">
              <w:rPr>
                <w:rFonts w:ascii="Arial Narrow" w:hAnsi="Arial Narrow"/>
                <w:color w:val="000000" w:themeColor="text1"/>
                <w:sz w:val="22"/>
                <w:szCs w:val="22"/>
              </w:rPr>
              <w:t xml:space="preserve"> 103,700 </w:t>
            </w:r>
          </w:p>
        </w:tc>
      </w:tr>
      <w:tr w:rsidR="00997F75" w:rsidRPr="009E35ED" w14:paraId="71699352" w14:textId="77777777" w:rsidTr="000B3F04">
        <w:trPr>
          <w:trHeight w:val="276"/>
        </w:trPr>
        <w:tc>
          <w:tcPr>
            <w:tcW w:w="6930" w:type="dxa"/>
            <w:tcBorders>
              <w:top w:val="nil"/>
              <w:left w:val="nil"/>
              <w:bottom w:val="nil"/>
              <w:right w:val="nil"/>
            </w:tcBorders>
            <w:shd w:val="clear" w:color="auto" w:fill="auto"/>
            <w:noWrap/>
          </w:tcPr>
          <w:p w14:paraId="162CA51D" w14:textId="7C631168" w:rsidR="005A75A5" w:rsidRPr="009E35ED" w:rsidRDefault="005A75A5" w:rsidP="000B3F04">
            <w:pPr>
              <w:ind w:left="-108"/>
              <w:jc w:val="left"/>
              <w:rPr>
                <w:rFonts w:ascii="Arial Narrow" w:hAnsi="Arial Narrow"/>
                <w:color w:val="000000" w:themeColor="text1"/>
                <w:sz w:val="22"/>
                <w:szCs w:val="22"/>
              </w:rPr>
            </w:pPr>
            <w:r w:rsidRPr="009E35ED">
              <w:rPr>
                <w:rFonts w:ascii="Arial Narrow" w:hAnsi="Arial Narrow"/>
                <w:color w:val="000000" w:themeColor="text1"/>
                <w:sz w:val="22"/>
                <w:szCs w:val="22"/>
              </w:rPr>
              <w:t>Adjustment/Recording of MOOE-</w:t>
            </w:r>
            <w:r w:rsidR="00802BBF">
              <w:rPr>
                <w:rFonts w:ascii="Arial Narrow" w:hAnsi="Arial Narrow"/>
                <w:color w:val="000000" w:themeColor="text1"/>
                <w:sz w:val="22"/>
                <w:szCs w:val="22"/>
              </w:rPr>
              <w:t>w</w:t>
            </w:r>
            <w:r w:rsidRPr="009E35ED">
              <w:rPr>
                <w:rFonts w:ascii="Arial Narrow" w:hAnsi="Arial Narrow"/>
                <w:color w:val="000000" w:themeColor="text1"/>
                <w:sz w:val="22"/>
                <w:szCs w:val="22"/>
              </w:rPr>
              <w:t xml:space="preserve">ater </w:t>
            </w:r>
            <w:r w:rsidR="00802BBF">
              <w:rPr>
                <w:rFonts w:ascii="Arial Narrow" w:hAnsi="Arial Narrow"/>
                <w:color w:val="000000" w:themeColor="text1"/>
                <w:sz w:val="22"/>
                <w:szCs w:val="22"/>
              </w:rPr>
              <w:t>e</w:t>
            </w:r>
            <w:r w:rsidRPr="009E35ED">
              <w:rPr>
                <w:rFonts w:ascii="Arial Narrow" w:hAnsi="Arial Narrow"/>
                <w:color w:val="000000" w:themeColor="text1"/>
                <w:sz w:val="22"/>
                <w:szCs w:val="22"/>
              </w:rPr>
              <w:t>xpense</w:t>
            </w:r>
          </w:p>
        </w:tc>
        <w:tc>
          <w:tcPr>
            <w:tcW w:w="1620" w:type="dxa"/>
            <w:tcBorders>
              <w:top w:val="nil"/>
              <w:left w:val="nil"/>
              <w:bottom w:val="nil"/>
              <w:right w:val="nil"/>
            </w:tcBorders>
            <w:shd w:val="clear" w:color="auto" w:fill="auto"/>
            <w:noWrap/>
          </w:tcPr>
          <w:p w14:paraId="49C6F9CA" w14:textId="288201E8" w:rsidR="005A75A5" w:rsidRPr="009E35ED" w:rsidRDefault="005A75A5" w:rsidP="000B3F04">
            <w:pPr>
              <w:ind w:left="0" w:right="-108"/>
              <w:jc w:val="right"/>
              <w:rPr>
                <w:rFonts w:ascii="Arial Narrow" w:hAnsi="Arial Narrow"/>
                <w:color w:val="000000" w:themeColor="text1"/>
                <w:sz w:val="22"/>
                <w:szCs w:val="22"/>
              </w:rPr>
            </w:pPr>
            <w:r w:rsidRPr="009E35ED">
              <w:rPr>
                <w:rFonts w:ascii="Arial Narrow" w:hAnsi="Arial Narrow"/>
                <w:color w:val="000000" w:themeColor="text1"/>
                <w:sz w:val="22"/>
                <w:szCs w:val="22"/>
              </w:rPr>
              <w:t>1,100</w:t>
            </w:r>
          </w:p>
        </w:tc>
      </w:tr>
      <w:tr w:rsidR="00997F75" w:rsidRPr="009E35ED" w14:paraId="29A9891D" w14:textId="77777777" w:rsidTr="000B3F04">
        <w:trPr>
          <w:trHeight w:val="276"/>
        </w:trPr>
        <w:tc>
          <w:tcPr>
            <w:tcW w:w="6930" w:type="dxa"/>
            <w:tcBorders>
              <w:top w:val="nil"/>
              <w:left w:val="nil"/>
              <w:bottom w:val="nil"/>
              <w:right w:val="nil"/>
            </w:tcBorders>
            <w:shd w:val="clear" w:color="auto" w:fill="auto"/>
            <w:noWrap/>
          </w:tcPr>
          <w:p w14:paraId="13902AE8" w14:textId="28997C81" w:rsidR="00B413FE" w:rsidRPr="009E35ED" w:rsidRDefault="00B413FE" w:rsidP="000B3F04">
            <w:pPr>
              <w:ind w:left="-108"/>
              <w:jc w:val="left"/>
              <w:rPr>
                <w:rFonts w:ascii="Arial Narrow" w:hAnsi="Arial Narrow" w:cs="Arial"/>
                <w:color w:val="000000" w:themeColor="text1"/>
                <w:sz w:val="22"/>
                <w:szCs w:val="22"/>
              </w:rPr>
            </w:pPr>
            <w:r w:rsidRPr="009E35ED">
              <w:rPr>
                <w:rFonts w:ascii="Arial Narrow" w:hAnsi="Arial Narrow"/>
                <w:color w:val="000000" w:themeColor="text1"/>
                <w:sz w:val="22"/>
                <w:szCs w:val="22"/>
              </w:rPr>
              <w:t>Adjustment/Recording of MOOE-</w:t>
            </w:r>
            <w:r w:rsidR="00802BBF">
              <w:rPr>
                <w:rFonts w:ascii="Arial Narrow" w:hAnsi="Arial Narrow"/>
                <w:color w:val="000000" w:themeColor="text1"/>
                <w:sz w:val="22"/>
                <w:szCs w:val="22"/>
              </w:rPr>
              <w:t>m</w:t>
            </w:r>
            <w:r w:rsidRPr="009E35ED">
              <w:rPr>
                <w:rFonts w:ascii="Arial Narrow" w:hAnsi="Arial Narrow"/>
                <w:color w:val="000000" w:themeColor="text1"/>
                <w:sz w:val="22"/>
                <w:szCs w:val="22"/>
              </w:rPr>
              <w:t>iscellaneous</w:t>
            </w:r>
            <w:r w:rsidR="00802BBF">
              <w:rPr>
                <w:rFonts w:ascii="Arial Narrow" w:hAnsi="Arial Narrow"/>
                <w:color w:val="000000" w:themeColor="text1"/>
                <w:sz w:val="22"/>
                <w:szCs w:val="22"/>
              </w:rPr>
              <w:t xml:space="preserve"> e</w:t>
            </w:r>
            <w:r w:rsidRPr="009E35ED">
              <w:rPr>
                <w:rFonts w:ascii="Arial Narrow" w:hAnsi="Arial Narrow"/>
                <w:color w:val="000000" w:themeColor="text1"/>
                <w:sz w:val="22"/>
                <w:szCs w:val="22"/>
              </w:rPr>
              <w:t>xpenses</w:t>
            </w:r>
          </w:p>
        </w:tc>
        <w:tc>
          <w:tcPr>
            <w:tcW w:w="1620" w:type="dxa"/>
            <w:tcBorders>
              <w:top w:val="nil"/>
              <w:left w:val="nil"/>
              <w:bottom w:val="nil"/>
              <w:right w:val="nil"/>
            </w:tcBorders>
            <w:shd w:val="clear" w:color="auto" w:fill="auto"/>
            <w:noWrap/>
          </w:tcPr>
          <w:p w14:paraId="1CCAC30D" w14:textId="6D4B5C07" w:rsidR="00B413FE" w:rsidRPr="009E35ED" w:rsidRDefault="00B413FE" w:rsidP="000B3F04">
            <w:pPr>
              <w:ind w:left="0" w:right="-108"/>
              <w:jc w:val="right"/>
              <w:rPr>
                <w:rFonts w:ascii="Arial Narrow" w:hAnsi="Arial Narrow" w:cs="Arial"/>
                <w:color w:val="000000" w:themeColor="text1"/>
                <w:sz w:val="22"/>
                <w:szCs w:val="22"/>
              </w:rPr>
            </w:pPr>
            <w:r w:rsidRPr="009E35ED">
              <w:rPr>
                <w:rFonts w:ascii="Arial Narrow" w:hAnsi="Arial Narrow"/>
                <w:color w:val="000000" w:themeColor="text1"/>
                <w:sz w:val="22"/>
                <w:szCs w:val="22"/>
              </w:rPr>
              <w:t xml:space="preserve"> 3,</w:t>
            </w:r>
            <w:r w:rsidR="005A75A5" w:rsidRPr="009E35ED">
              <w:rPr>
                <w:rFonts w:ascii="Arial Narrow" w:hAnsi="Arial Narrow"/>
                <w:color w:val="000000" w:themeColor="text1"/>
                <w:sz w:val="22"/>
                <w:szCs w:val="22"/>
              </w:rPr>
              <w:t>320</w:t>
            </w:r>
            <w:r w:rsidRPr="009E35ED">
              <w:rPr>
                <w:rFonts w:ascii="Arial Narrow" w:hAnsi="Arial Narrow"/>
                <w:color w:val="000000" w:themeColor="text1"/>
                <w:sz w:val="22"/>
                <w:szCs w:val="22"/>
              </w:rPr>
              <w:t>,</w:t>
            </w:r>
            <w:r w:rsidR="005A75A5" w:rsidRPr="009E35ED">
              <w:rPr>
                <w:rFonts w:ascii="Arial Narrow" w:hAnsi="Arial Narrow"/>
                <w:color w:val="000000" w:themeColor="text1"/>
                <w:sz w:val="22"/>
                <w:szCs w:val="22"/>
              </w:rPr>
              <w:t>640</w:t>
            </w:r>
          </w:p>
        </w:tc>
      </w:tr>
      <w:tr w:rsidR="00997F75" w:rsidRPr="009E35ED" w14:paraId="75762468" w14:textId="77777777" w:rsidTr="000B3F04">
        <w:trPr>
          <w:trHeight w:val="276"/>
        </w:trPr>
        <w:tc>
          <w:tcPr>
            <w:tcW w:w="6930" w:type="dxa"/>
            <w:tcBorders>
              <w:top w:val="nil"/>
              <w:left w:val="nil"/>
              <w:bottom w:val="nil"/>
              <w:right w:val="nil"/>
            </w:tcBorders>
            <w:shd w:val="clear" w:color="auto" w:fill="auto"/>
            <w:noWrap/>
            <w:hideMark/>
          </w:tcPr>
          <w:p w14:paraId="1143F226" w14:textId="6F56989B" w:rsidR="00B413FE" w:rsidRPr="009E35ED" w:rsidRDefault="00B413FE" w:rsidP="000B3F04">
            <w:pPr>
              <w:ind w:left="-108"/>
              <w:jc w:val="left"/>
              <w:rPr>
                <w:rFonts w:ascii="Arial Narrow" w:hAnsi="Arial Narrow" w:cs="Arial"/>
                <w:color w:val="000000" w:themeColor="text1"/>
                <w:sz w:val="22"/>
                <w:szCs w:val="22"/>
                <w:lang w:val="en-PH" w:eastAsia="en-PH"/>
              </w:rPr>
            </w:pPr>
            <w:r w:rsidRPr="009E35ED">
              <w:rPr>
                <w:rFonts w:ascii="Arial Narrow" w:hAnsi="Arial Narrow"/>
                <w:color w:val="000000" w:themeColor="text1"/>
                <w:sz w:val="22"/>
                <w:szCs w:val="22"/>
              </w:rPr>
              <w:t>Adjustment/Recording of MOOE-</w:t>
            </w:r>
            <w:r w:rsidR="00802BBF">
              <w:rPr>
                <w:rFonts w:ascii="Arial Narrow" w:hAnsi="Arial Narrow"/>
                <w:color w:val="000000" w:themeColor="text1"/>
                <w:sz w:val="22"/>
                <w:szCs w:val="22"/>
              </w:rPr>
              <w:t>c</w:t>
            </w:r>
            <w:r w:rsidRPr="009E35ED">
              <w:rPr>
                <w:rFonts w:ascii="Arial Narrow" w:hAnsi="Arial Narrow"/>
                <w:color w:val="000000" w:themeColor="text1"/>
                <w:sz w:val="22"/>
                <w:szCs w:val="22"/>
              </w:rPr>
              <w:t xml:space="preserve">ontract </w:t>
            </w:r>
            <w:r w:rsidR="00802BBF">
              <w:rPr>
                <w:rFonts w:ascii="Arial Narrow" w:hAnsi="Arial Narrow"/>
                <w:color w:val="000000" w:themeColor="text1"/>
                <w:sz w:val="22"/>
                <w:szCs w:val="22"/>
              </w:rPr>
              <w:t>s</w:t>
            </w:r>
            <w:r w:rsidRPr="009E35ED">
              <w:rPr>
                <w:rFonts w:ascii="Arial Narrow" w:hAnsi="Arial Narrow"/>
                <w:color w:val="000000" w:themeColor="text1"/>
                <w:sz w:val="22"/>
                <w:szCs w:val="22"/>
              </w:rPr>
              <w:t>ervices</w:t>
            </w:r>
          </w:p>
        </w:tc>
        <w:tc>
          <w:tcPr>
            <w:tcW w:w="1620" w:type="dxa"/>
            <w:tcBorders>
              <w:top w:val="nil"/>
              <w:left w:val="nil"/>
              <w:bottom w:val="nil"/>
              <w:right w:val="nil"/>
            </w:tcBorders>
            <w:shd w:val="clear" w:color="auto" w:fill="auto"/>
            <w:noWrap/>
            <w:hideMark/>
          </w:tcPr>
          <w:p w14:paraId="76AD67DB" w14:textId="40DD98EE" w:rsidR="00B413FE" w:rsidRPr="009E35ED" w:rsidRDefault="00B413FE" w:rsidP="000B3F04">
            <w:pPr>
              <w:ind w:left="0" w:right="-108"/>
              <w:jc w:val="right"/>
              <w:rPr>
                <w:rFonts w:ascii="Arial Narrow" w:hAnsi="Arial Narrow" w:cs="Arial"/>
                <w:color w:val="000000" w:themeColor="text1"/>
                <w:sz w:val="22"/>
                <w:szCs w:val="22"/>
                <w:lang w:val="en-PH" w:eastAsia="en-PH"/>
              </w:rPr>
            </w:pPr>
            <w:r w:rsidRPr="009E35ED">
              <w:rPr>
                <w:rFonts w:ascii="Arial Narrow" w:hAnsi="Arial Narrow"/>
                <w:color w:val="000000" w:themeColor="text1"/>
                <w:sz w:val="22"/>
                <w:szCs w:val="22"/>
              </w:rPr>
              <w:t xml:space="preserve"> 50,000 </w:t>
            </w:r>
          </w:p>
        </w:tc>
      </w:tr>
      <w:tr w:rsidR="000D2A20" w:rsidRPr="009E35ED" w14:paraId="3361B6B4" w14:textId="77777777" w:rsidTr="000B3F04">
        <w:trPr>
          <w:trHeight w:val="305"/>
        </w:trPr>
        <w:tc>
          <w:tcPr>
            <w:tcW w:w="6930" w:type="dxa"/>
            <w:tcBorders>
              <w:top w:val="single" w:sz="4" w:space="0" w:color="auto"/>
              <w:left w:val="nil"/>
              <w:bottom w:val="double" w:sz="6" w:space="0" w:color="auto"/>
              <w:right w:val="nil"/>
            </w:tcBorders>
            <w:shd w:val="clear" w:color="auto" w:fill="auto"/>
            <w:noWrap/>
            <w:hideMark/>
          </w:tcPr>
          <w:p w14:paraId="40A5C390" w14:textId="75F6E345" w:rsidR="00B413FE" w:rsidRPr="009E35ED" w:rsidRDefault="00B413FE" w:rsidP="000B3F04">
            <w:pPr>
              <w:ind w:left="-108"/>
              <w:jc w:val="left"/>
              <w:rPr>
                <w:rFonts w:ascii="Arial Narrow" w:hAnsi="Arial Narrow" w:cs="Arial"/>
                <w:b/>
                <w:bCs/>
                <w:color w:val="000000" w:themeColor="text1"/>
                <w:sz w:val="22"/>
                <w:szCs w:val="22"/>
                <w:lang w:val="en-PH" w:eastAsia="en-PH"/>
              </w:rPr>
            </w:pPr>
            <w:r w:rsidRPr="009E35ED">
              <w:rPr>
                <w:rFonts w:ascii="Arial Narrow" w:hAnsi="Arial Narrow"/>
                <w:b/>
                <w:bCs/>
                <w:color w:val="000000" w:themeColor="text1"/>
                <w:sz w:val="22"/>
                <w:szCs w:val="22"/>
              </w:rPr>
              <w:t>Restated Amount as of December 31, 2022 - Due from Officers and Employees</w:t>
            </w:r>
          </w:p>
        </w:tc>
        <w:tc>
          <w:tcPr>
            <w:tcW w:w="1620" w:type="dxa"/>
            <w:tcBorders>
              <w:top w:val="single" w:sz="4" w:space="0" w:color="auto"/>
              <w:left w:val="nil"/>
              <w:bottom w:val="double" w:sz="6" w:space="0" w:color="auto"/>
              <w:right w:val="nil"/>
            </w:tcBorders>
            <w:shd w:val="clear" w:color="auto" w:fill="auto"/>
            <w:noWrap/>
            <w:hideMark/>
          </w:tcPr>
          <w:p w14:paraId="324C478D" w14:textId="69D9A630" w:rsidR="00B413FE" w:rsidRPr="000B3F04" w:rsidRDefault="00B413FE" w:rsidP="000B3F04">
            <w:pPr>
              <w:ind w:left="0" w:right="-108"/>
              <w:jc w:val="right"/>
              <w:rPr>
                <w:rFonts w:ascii="Arial Narrow" w:hAnsi="Arial Narrow"/>
                <w:b/>
                <w:bCs/>
                <w:color w:val="000000" w:themeColor="text1"/>
                <w:sz w:val="22"/>
                <w:szCs w:val="22"/>
              </w:rPr>
            </w:pPr>
            <w:r w:rsidRPr="009E35ED">
              <w:rPr>
                <w:rFonts w:ascii="Arial Narrow" w:hAnsi="Arial Narrow"/>
                <w:b/>
                <w:bCs/>
                <w:color w:val="000000" w:themeColor="text1"/>
                <w:sz w:val="22"/>
                <w:szCs w:val="22"/>
              </w:rPr>
              <w:t xml:space="preserve"> 71,</w:t>
            </w:r>
            <w:r w:rsidR="005A75A5" w:rsidRPr="009E35ED">
              <w:rPr>
                <w:rFonts w:ascii="Arial Narrow" w:hAnsi="Arial Narrow"/>
                <w:b/>
                <w:bCs/>
                <w:color w:val="000000" w:themeColor="text1"/>
                <w:sz w:val="22"/>
                <w:szCs w:val="22"/>
              </w:rPr>
              <w:t>760,975</w:t>
            </w:r>
            <w:r w:rsidRPr="009E35ED">
              <w:rPr>
                <w:rFonts w:ascii="Arial Narrow" w:hAnsi="Arial Narrow"/>
                <w:b/>
                <w:bCs/>
                <w:color w:val="000000" w:themeColor="text1"/>
                <w:sz w:val="22"/>
                <w:szCs w:val="22"/>
              </w:rPr>
              <w:t xml:space="preserve"> </w:t>
            </w:r>
          </w:p>
        </w:tc>
      </w:tr>
    </w:tbl>
    <w:p w14:paraId="05F71EE0" w14:textId="77777777" w:rsidR="008433E7" w:rsidRPr="009E35ED" w:rsidRDefault="008433E7" w:rsidP="00803F8C">
      <w:pPr>
        <w:suppressAutoHyphens/>
        <w:ind w:left="0"/>
        <w:rPr>
          <w:rFonts w:ascii="Arial" w:hAnsi="Arial" w:cs="Arial"/>
          <w:color w:val="000000" w:themeColor="text1"/>
          <w:sz w:val="22"/>
          <w:szCs w:val="22"/>
          <w:lang w:eastAsia="ar-SA"/>
        </w:rPr>
      </w:pPr>
    </w:p>
    <w:tbl>
      <w:tblPr>
        <w:tblW w:w="8550" w:type="dxa"/>
        <w:tblLook w:val="04A0" w:firstRow="1" w:lastRow="0" w:firstColumn="1" w:lastColumn="0" w:noHBand="0" w:noVBand="1"/>
      </w:tblPr>
      <w:tblGrid>
        <w:gridCol w:w="6930"/>
        <w:gridCol w:w="1620"/>
      </w:tblGrid>
      <w:tr w:rsidR="00997F75" w:rsidRPr="009E35ED" w14:paraId="3055511B" w14:textId="77777777" w:rsidTr="000B3F04">
        <w:trPr>
          <w:trHeight w:val="276"/>
        </w:trPr>
        <w:tc>
          <w:tcPr>
            <w:tcW w:w="6930" w:type="dxa"/>
            <w:tcBorders>
              <w:top w:val="single" w:sz="4" w:space="0" w:color="auto"/>
              <w:left w:val="nil"/>
              <w:bottom w:val="nil"/>
              <w:right w:val="nil"/>
            </w:tcBorders>
            <w:shd w:val="clear" w:color="auto" w:fill="auto"/>
            <w:noWrap/>
            <w:hideMark/>
          </w:tcPr>
          <w:p w14:paraId="4232577D" w14:textId="68296D7D" w:rsidR="00A5123E" w:rsidRPr="009E35ED" w:rsidRDefault="00A5123E" w:rsidP="000B3F04">
            <w:pPr>
              <w:ind w:left="-108"/>
              <w:jc w:val="left"/>
              <w:rPr>
                <w:rFonts w:ascii="Arial Narrow" w:hAnsi="Arial Narrow" w:cs="Arial"/>
                <w:color w:val="000000" w:themeColor="text1"/>
                <w:sz w:val="22"/>
                <w:szCs w:val="22"/>
                <w:lang w:val="en-PH" w:eastAsia="en-PH"/>
              </w:rPr>
            </w:pPr>
            <w:r w:rsidRPr="009E35ED">
              <w:rPr>
                <w:rFonts w:ascii="Arial Narrow" w:hAnsi="Arial Narrow"/>
                <w:color w:val="000000" w:themeColor="text1"/>
                <w:sz w:val="22"/>
                <w:szCs w:val="22"/>
              </w:rPr>
              <w:t xml:space="preserve">Unrestated </w:t>
            </w:r>
            <w:r w:rsidR="00416DE8">
              <w:rPr>
                <w:rFonts w:ascii="Arial Narrow" w:hAnsi="Arial Narrow"/>
                <w:color w:val="000000" w:themeColor="text1"/>
                <w:sz w:val="22"/>
                <w:szCs w:val="22"/>
              </w:rPr>
              <w:t>a</w:t>
            </w:r>
            <w:r w:rsidRPr="009E35ED">
              <w:rPr>
                <w:rFonts w:ascii="Arial Narrow" w:hAnsi="Arial Narrow"/>
                <w:color w:val="000000" w:themeColor="text1"/>
                <w:sz w:val="22"/>
                <w:szCs w:val="22"/>
              </w:rPr>
              <w:t>mount as of December 31, 2022</w:t>
            </w:r>
          </w:p>
        </w:tc>
        <w:tc>
          <w:tcPr>
            <w:tcW w:w="1620" w:type="dxa"/>
            <w:tcBorders>
              <w:top w:val="single" w:sz="4" w:space="0" w:color="auto"/>
              <w:left w:val="nil"/>
              <w:bottom w:val="nil"/>
              <w:right w:val="nil"/>
            </w:tcBorders>
            <w:shd w:val="clear" w:color="auto" w:fill="auto"/>
            <w:noWrap/>
            <w:hideMark/>
          </w:tcPr>
          <w:p w14:paraId="2053223D" w14:textId="285AE63D" w:rsidR="00A5123E" w:rsidRPr="009E35ED" w:rsidRDefault="00A5123E" w:rsidP="000B3F04">
            <w:pPr>
              <w:ind w:left="0" w:right="-108"/>
              <w:jc w:val="right"/>
              <w:rPr>
                <w:rFonts w:ascii="Arial Narrow" w:hAnsi="Arial Narrow" w:cs="Arial"/>
                <w:color w:val="000000" w:themeColor="text1"/>
                <w:sz w:val="22"/>
                <w:szCs w:val="22"/>
                <w:lang w:val="en-PH" w:eastAsia="en-PH"/>
              </w:rPr>
            </w:pPr>
            <w:r w:rsidRPr="009E35ED">
              <w:rPr>
                <w:rFonts w:ascii="Arial Narrow" w:hAnsi="Arial Narrow"/>
                <w:color w:val="000000" w:themeColor="text1"/>
                <w:sz w:val="22"/>
                <w:szCs w:val="22"/>
              </w:rPr>
              <w:t xml:space="preserve"> 75,548,563 </w:t>
            </w:r>
          </w:p>
        </w:tc>
      </w:tr>
      <w:tr w:rsidR="00997F75" w:rsidRPr="009E35ED" w14:paraId="4D2B20F2" w14:textId="77777777" w:rsidTr="000B3F04">
        <w:trPr>
          <w:trHeight w:val="276"/>
        </w:trPr>
        <w:tc>
          <w:tcPr>
            <w:tcW w:w="6930" w:type="dxa"/>
            <w:tcBorders>
              <w:top w:val="nil"/>
              <w:left w:val="nil"/>
              <w:bottom w:val="nil"/>
              <w:right w:val="nil"/>
            </w:tcBorders>
            <w:shd w:val="clear" w:color="auto" w:fill="auto"/>
            <w:noWrap/>
            <w:hideMark/>
          </w:tcPr>
          <w:p w14:paraId="54155592" w14:textId="5A39760E" w:rsidR="00A5123E" w:rsidRPr="009E35ED" w:rsidRDefault="00A5123E" w:rsidP="000B3F04">
            <w:pPr>
              <w:ind w:left="-108"/>
              <w:jc w:val="left"/>
              <w:rPr>
                <w:rFonts w:ascii="Arial Narrow" w:hAnsi="Arial Narrow" w:cs="Arial"/>
                <w:color w:val="000000" w:themeColor="text1"/>
                <w:sz w:val="22"/>
                <w:szCs w:val="22"/>
                <w:lang w:val="en-PH" w:eastAsia="en-PH"/>
              </w:rPr>
            </w:pPr>
            <w:r w:rsidRPr="009E35ED">
              <w:rPr>
                <w:rFonts w:ascii="Arial Narrow" w:hAnsi="Arial Narrow"/>
                <w:color w:val="000000" w:themeColor="text1"/>
                <w:sz w:val="22"/>
                <w:szCs w:val="22"/>
              </w:rPr>
              <w:t xml:space="preserve">Adjustment/Recording of </w:t>
            </w:r>
            <w:r w:rsidR="00416DE8">
              <w:rPr>
                <w:rFonts w:ascii="Arial Narrow" w:hAnsi="Arial Narrow"/>
                <w:color w:val="000000" w:themeColor="text1"/>
                <w:sz w:val="22"/>
                <w:szCs w:val="22"/>
              </w:rPr>
              <w:t>p</w:t>
            </w:r>
            <w:r w:rsidRPr="009E35ED">
              <w:rPr>
                <w:rFonts w:ascii="Arial Narrow" w:hAnsi="Arial Narrow"/>
                <w:color w:val="000000" w:themeColor="text1"/>
                <w:sz w:val="22"/>
                <w:szCs w:val="22"/>
              </w:rPr>
              <w:t xml:space="preserve">ersonnel </w:t>
            </w:r>
            <w:r w:rsidR="00416DE8">
              <w:rPr>
                <w:rFonts w:ascii="Arial Narrow" w:hAnsi="Arial Narrow"/>
                <w:color w:val="000000" w:themeColor="text1"/>
                <w:sz w:val="22"/>
                <w:szCs w:val="22"/>
              </w:rPr>
              <w:t>s</w:t>
            </w:r>
            <w:r w:rsidRPr="009E35ED">
              <w:rPr>
                <w:rFonts w:ascii="Arial Narrow" w:hAnsi="Arial Narrow"/>
                <w:color w:val="000000" w:themeColor="text1"/>
                <w:sz w:val="22"/>
                <w:szCs w:val="22"/>
              </w:rPr>
              <w:t>ervices</w:t>
            </w:r>
          </w:p>
        </w:tc>
        <w:tc>
          <w:tcPr>
            <w:tcW w:w="1620" w:type="dxa"/>
            <w:tcBorders>
              <w:top w:val="nil"/>
              <w:left w:val="nil"/>
              <w:bottom w:val="nil"/>
              <w:right w:val="nil"/>
            </w:tcBorders>
            <w:shd w:val="clear" w:color="auto" w:fill="auto"/>
            <w:noWrap/>
            <w:hideMark/>
          </w:tcPr>
          <w:p w14:paraId="518096EF" w14:textId="08D92A36" w:rsidR="00A5123E" w:rsidRPr="009E35ED" w:rsidRDefault="00A5123E" w:rsidP="000B3F04">
            <w:pPr>
              <w:ind w:left="0" w:right="-108"/>
              <w:jc w:val="right"/>
              <w:rPr>
                <w:rFonts w:ascii="Arial Narrow" w:hAnsi="Arial Narrow" w:cs="Arial"/>
                <w:color w:val="000000" w:themeColor="text1"/>
                <w:sz w:val="22"/>
                <w:szCs w:val="22"/>
                <w:lang w:val="en-PH" w:eastAsia="en-PH"/>
              </w:rPr>
            </w:pPr>
            <w:r w:rsidRPr="009E35ED">
              <w:rPr>
                <w:rFonts w:ascii="Arial Narrow" w:hAnsi="Arial Narrow"/>
                <w:color w:val="000000" w:themeColor="text1"/>
                <w:sz w:val="22"/>
                <w:szCs w:val="22"/>
              </w:rPr>
              <w:t xml:space="preserve"> 1,768,</w:t>
            </w:r>
            <w:r w:rsidR="00A8295E" w:rsidRPr="009E35ED">
              <w:rPr>
                <w:rFonts w:ascii="Arial Narrow" w:hAnsi="Arial Narrow"/>
                <w:color w:val="000000" w:themeColor="text1"/>
                <w:sz w:val="22"/>
                <w:szCs w:val="22"/>
              </w:rPr>
              <w:t xml:space="preserve">329 </w:t>
            </w:r>
          </w:p>
        </w:tc>
      </w:tr>
      <w:tr w:rsidR="00997F75" w:rsidRPr="009E35ED" w14:paraId="38339209" w14:textId="77777777" w:rsidTr="000B3F04">
        <w:trPr>
          <w:trHeight w:val="276"/>
        </w:trPr>
        <w:tc>
          <w:tcPr>
            <w:tcW w:w="6930" w:type="dxa"/>
            <w:tcBorders>
              <w:top w:val="nil"/>
              <w:left w:val="nil"/>
              <w:bottom w:val="nil"/>
              <w:right w:val="nil"/>
            </w:tcBorders>
            <w:shd w:val="clear" w:color="auto" w:fill="auto"/>
            <w:noWrap/>
            <w:hideMark/>
          </w:tcPr>
          <w:p w14:paraId="0A9BC0C1" w14:textId="308A5CC4" w:rsidR="00A5123E" w:rsidRPr="009E35ED" w:rsidRDefault="00A5123E" w:rsidP="000B3F04">
            <w:pPr>
              <w:ind w:left="-108"/>
              <w:jc w:val="left"/>
              <w:rPr>
                <w:rFonts w:ascii="Arial Narrow" w:hAnsi="Arial Narrow" w:cs="Arial"/>
                <w:color w:val="000000" w:themeColor="text1"/>
                <w:sz w:val="22"/>
                <w:szCs w:val="22"/>
                <w:lang w:val="en-PH" w:eastAsia="en-PH"/>
              </w:rPr>
            </w:pPr>
            <w:r w:rsidRPr="009E35ED">
              <w:rPr>
                <w:rFonts w:ascii="Arial Narrow" w:hAnsi="Arial Narrow"/>
                <w:color w:val="000000" w:themeColor="text1"/>
                <w:sz w:val="22"/>
                <w:szCs w:val="22"/>
              </w:rPr>
              <w:t>Adjustment/Recording of MOOE-</w:t>
            </w:r>
            <w:r w:rsidR="00416DE8">
              <w:rPr>
                <w:rFonts w:ascii="Arial Narrow" w:hAnsi="Arial Narrow"/>
                <w:color w:val="000000" w:themeColor="text1"/>
                <w:sz w:val="22"/>
                <w:szCs w:val="22"/>
              </w:rPr>
              <w:t>l</w:t>
            </w:r>
            <w:r w:rsidRPr="009E35ED">
              <w:rPr>
                <w:rFonts w:ascii="Arial Narrow" w:hAnsi="Arial Narrow"/>
                <w:color w:val="000000" w:themeColor="text1"/>
                <w:sz w:val="22"/>
                <w:szCs w:val="22"/>
              </w:rPr>
              <w:t xml:space="preserve">ottery </w:t>
            </w:r>
            <w:r w:rsidR="00416DE8">
              <w:rPr>
                <w:rFonts w:ascii="Arial Narrow" w:hAnsi="Arial Narrow"/>
                <w:color w:val="000000" w:themeColor="text1"/>
                <w:sz w:val="22"/>
                <w:szCs w:val="22"/>
              </w:rPr>
              <w:t>d</w:t>
            </w:r>
            <w:r w:rsidRPr="009E35ED">
              <w:rPr>
                <w:rFonts w:ascii="Arial Narrow" w:hAnsi="Arial Narrow"/>
                <w:color w:val="000000" w:themeColor="text1"/>
                <w:sz w:val="22"/>
                <w:szCs w:val="22"/>
              </w:rPr>
              <w:t xml:space="preserve">raw </w:t>
            </w:r>
            <w:r w:rsidR="00416DE8">
              <w:rPr>
                <w:rFonts w:ascii="Arial Narrow" w:hAnsi="Arial Narrow"/>
                <w:color w:val="000000" w:themeColor="text1"/>
                <w:sz w:val="22"/>
                <w:szCs w:val="22"/>
              </w:rPr>
              <w:t>e</w:t>
            </w:r>
            <w:r w:rsidRPr="009E35ED">
              <w:rPr>
                <w:rFonts w:ascii="Arial Narrow" w:hAnsi="Arial Narrow"/>
                <w:color w:val="000000" w:themeColor="text1"/>
                <w:sz w:val="22"/>
                <w:szCs w:val="22"/>
              </w:rPr>
              <w:t>xpense-</w:t>
            </w:r>
            <w:r w:rsidR="00416DE8">
              <w:rPr>
                <w:rFonts w:ascii="Arial Narrow" w:hAnsi="Arial Narrow"/>
                <w:color w:val="000000" w:themeColor="text1"/>
                <w:sz w:val="22"/>
                <w:szCs w:val="22"/>
              </w:rPr>
              <w:t>s</w:t>
            </w:r>
            <w:r w:rsidRPr="009E35ED">
              <w:rPr>
                <w:rFonts w:ascii="Arial Narrow" w:hAnsi="Arial Narrow"/>
                <w:color w:val="000000" w:themeColor="text1"/>
                <w:sz w:val="22"/>
                <w:szCs w:val="22"/>
              </w:rPr>
              <w:t>weepstakes</w:t>
            </w:r>
          </w:p>
        </w:tc>
        <w:tc>
          <w:tcPr>
            <w:tcW w:w="1620" w:type="dxa"/>
            <w:tcBorders>
              <w:top w:val="nil"/>
              <w:left w:val="nil"/>
              <w:bottom w:val="nil"/>
              <w:right w:val="nil"/>
            </w:tcBorders>
            <w:shd w:val="clear" w:color="auto" w:fill="auto"/>
            <w:noWrap/>
            <w:hideMark/>
          </w:tcPr>
          <w:p w14:paraId="143E619D" w14:textId="697B47E4" w:rsidR="00A5123E" w:rsidRPr="009E35ED" w:rsidRDefault="00A5123E" w:rsidP="000B3F04">
            <w:pPr>
              <w:ind w:left="0" w:right="-108"/>
              <w:jc w:val="right"/>
              <w:rPr>
                <w:rFonts w:ascii="Arial Narrow" w:hAnsi="Arial Narrow" w:cs="Arial"/>
                <w:color w:val="000000" w:themeColor="text1"/>
                <w:sz w:val="22"/>
                <w:szCs w:val="22"/>
                <w:lang w:val="en-PH" w:eastAsia="en-PH"/>
              </w:rPr>
            </w:pPr>
            <w:r w:rsidRPr="009E35ED">
              <w:rPr>
                <w:rFonts w:ascii="Arial Narrow" w:hAnsi="Arial Narrow"/>
                <w:color w:val="000000" w:themeColor="text1"/>
                <w:sz w:val="22"/>
                <w:szCs w:val="22"/>
              </w:rPr>
              <w:t xml:space="preserve"> 386,55</w:t>
            </w:r>
            <w:r w:rsidR="00D74580" w:rsidRPr="009E35ED">
              <w:rPr>
                <w:rFonts w:ascii="Arial Narrow" w:hAnsi="Arial Narrow"/>
                <w:color w:val="000000" w:themeColor="text1"/>
                <w:sz w:val="22"/>
                <w:szCs w:val="22"/>
              </w:rPr>
              <w:t>2</w:t>
            </w:r>
            <w:r w:rsidRPr="009E35ED">
              <w:rPr>
                <w:rFonts w:ascii="Arial Narrow" w:hAnsi="Arial Narrow"/>
                <w:color w:val="000000" w:themeColor="text1"/>
                <w:sz w:val="22"/>
                <w:szCs w:val="22"/>
              </w:rPr>
              <w:t xml:space="preserve"> </w:t>
            </w:r>
          </w:p>
        </w:tc>
      </w:tr>
      <w:tr w:rsidR="000D2A20" w:rsidRPr="009E35ED" w14:paraId="27B4DAB8" w14:textId="77777777" w:rsidTr="00B90388">
        <w:trPr>
          <w:trHeight w:val="315"/>
        </w:trPr>
        <w:tc>
          <w:tcPr>
            <w:tcW w:w="6930" w:type="dxa"/>
            <w:tcBorders>
              <w:top w:val="single" w:sz="4" w:space="0" w:color="auto"/>
              <w:left w:val="nil"/>
              <w:bottom w:val="double" w:sz="6" w:space="0" w:color="auto"/>
              <w:right w:val="nil"/>
            </w:tcBorders>
            <w:shd w:val="clear" w:color="auto" w:fill="auto"/>
            <w:noWrap/>
            <w:vAlign w:val="center"/>
            <w:hideMark/>
          </w:tcPr>
          <w:p w14:paraId="5BB86645" w14:textId="3B16951C" w:rsidR="00A5123E" w:rsidRPr="009E35ED" w:rsidRDefault="00A5123E" w:rsidP="000B3F04">
            <w:pPr>
              <w:ind w:left="-108"/>
              <w:jc w:val="left"/>
              <w:rPr>
                <w:rFonts w:ascii="Arial Narrow" w:hAnsi="Arial Narrow" w:cs="Arial"/>
                <w:b/>
                <w:bCs/>
                <w:color w:val="000000" w:themeColor="text1"/>
                <w:sz w:val="22"/>
                <w:szCs w:val="22"/>
                <w:lang w:val="en-PH" w:eastAsia="en-PH"/>
              </w:rPr>
            </w:pPr>
            <w:r w:rsidRPr="009E35ED">
              <w:rPr>
                <w:rFonts w:ascii="Arial Narrow" w:hAnsi="Arial Narrow"/>
                <w:b/>
                <w:bCs/>
                <w:color w:val="000000" w:themeColor="text1"/>
                <w:sz w:val="22"/>
                <w:szCs w:val="22"/>
              </w:rPr>
              <w:t>Restated Amount as of December 31, 2022 - Receivable Disallowance</w:t>
            </w:r>
          </w:p>
        </w:tc>
        <w:tc>
          <w:tcPr>
            <w:tcW w:w="1620" w:type="dxa"/>
            <w:tcBorders>
              <w:top w:val="single" w:sz="4" w:space="0" w:color="auto"/>
              <w:left w:val="nil"/>
              <w:bottom w:val="double" w:sz="6" w:space="0" w:color="auto"/>
              <w:right w:val="nil"/>
            </w:tcBorders>
            <w:shd w:val="clear" w:color="auto" w:fill="auto"/>
            <w:noWrap/>
            <w:vAlign w:val="center"/>
            <w:hideMark/>
          </w:tcPr>
          <w:p w14:paraId="4C385229" w14:textId="45A9AC96" w:rsidR="00A5123E" w:rsidRPr="009E35ED" w:rsidRDefault="00A5123E" w:rsidP="000B3F04">
            <w:pPr>
              <w:ind w:left="0" w:right="-108"/>
              <w:jc w:val="right"/>
              <w:rPr>
                <w:rFonts w:ascii="Arial Narrow" w:hAnsi="Arial Narrow" w:cs="Arial"/>
                <w:b/>
                <w:bCs/>
                <w:color w:val="000000" w:themeColor="text1"/>
                <w:sz w:val="22"/>
                <w:szCs w:val="22"/>
                <w:lang w:val="en-PH" w:eastAsia="en-PH"/>
              </w:rPr>
            </w:pPr>
            <w:r w:rsidRPr="009E35ED">
              <w:rPr>
                <w:rFonts w:ascii="Arial Narrow" w:hAnsi="Arial Narrow"/>
                <w:b/>
                <w:bCs/>
                <w:color w:val="000000" w:themeColor="text1"/>
                <w:sz w:val="22"/>
                <w:szCs w:val="22"/>
              </w:rPr>
              <w:t>77,703,444</w:t>
            </w:r>
          </w:p>
        </w:tc>
      </w:tr>
    </w:tbl>
    <w:p w14:paraId="5AD616F7" w14:textId="77777777" w:rsidR="00FA47B4" w:rsidRPr="009E35ED" w:rsidRDefault="00FA47B4" w:rsidP="00803F8C">
      <w:pPr>
        <w:suppressAutoHyphens/>
        <w:ind w:left="0"/>
        <w:rPr>
          <w:rFonts w:ascii="Arial" w:hAnsi="Arial" w:cs="Arial"/>
          <w:color w:val="000000" w:themeColor="text1"/>
          <w:sz w:val="22"/>
          <w:szCs w:val="22"/>
          <w:lang w:eastAsia="ar-SA"/>
        </w:rPr>
      </w:pPr>
    </w:p>
    <w:tbl>
      <w:tblPr>
        <w:tblW w:w="8550" w:type="dxa"/>
        <w:tblLook w:val="04A0" w:firstRow="1" w:lastRow="0" w:firstColumn="1" w:lastColumn="0" w:noHBand="0" w:noVBand="1"/>
      </w:tblPr>
      <w:tblGrid>
        <w:gridCol w:w="6930"/>
        <w:gridCol w:w="1620"/>
      </w:tblGrid>
      <w:tr w:rsidR="00997F75" w:rsidRPr="009E35ED" w14:paraId="70BCE62E" w14:textId="77777777" w:rsidTr="000B3F04">
        <w:trPr>
          <w:trHeight w:val="276"/>
        </w:trPr>
        <w:tc>
          <w:tcPr>
            <w:tcW w:w="6930" w:type="dxa"/>
            <w:tcBorders>
              <w:top w:val="single" w:sz="4" w:space="0" w:color="auto"/>
              <w:left w:val="nil"/>
              <w:bottom w:val="nil"/>
              <w:right w:val="nil"/>
            </w:tcBorders>
            <w:shd w:val="clear" w:color="auto" w:fill="auto"/>
            <w:noWrap/>
          </w:tcPr>
          <w:p w14:paraId="2FD72305" w14:textId="47159D2D" w:rsidR="002C6023" w:rsidRPr="009E35ED" w:rsidRDefault="002C6023" w:rsidP="00B90388">
            <w:pPr>
              <w:keepNext/>
              <w:keepLines/>
              <w:ind w:left="-108"/>
              <w:jc w:val="left"/>
              <w:rPr>
                <w:rFonts w:ascii="Arial Narrow" w:hAnsi="Arial Narrow" w:cs="Arial"/>
                <w:color w:val="000000" w:themeColor="text1"/>
                <w:sz w:val="22"/>
                <w:szCs w:val="22"/>
              </w:rPr>
            </w:pPr>
            <w:r w:rsidRPr="009E35ED">
              <w:rPr>
                <w:rFonts w:ascii="Arial Narrow" w:hAnsi="Arial Narrow"/>
                <w:color w:val="000000" w:themeColor="text1"/>
                <w:sz w:val="22"/>
                <w:szCs w:val="22"/>
              </w:rPr>
              <w:t>Unrestated</w:t>
            </w:r>
            <w:r w:rsidR="00416DE8">
              <w:rPr>
                <w:rFonts w:ascii="Arial Narrow" w:hAnsi="Arial Narrow"/>
                <w:color w:val="000000" w:themeColor="text1"/>
                <w:sz w:val="22"/>
                <w:szCs w:val="22"/>
              </w:rPr>
              <w:t xml:space="preserve"> a</w:t>
            </w:r>
            <w:r w:rsidRPr="009E35ED">
              <w:rPr>
                <w:rFonts w:ascii="Arial Narrow" w:hAnsi="Arial Narrow"/>
                <w:color w:val="000000" w:themeColor="text1"/>
                <w:sz w:val="22"/>
                <w:szCs w:val="22"/>
              </w:rPr>
              <w:t>mount as of December 31, 2022</w:t>
            </w:r>
          </w:p>
        </w:tc>
        <w:tc>
          <w:tcPr>
            <w:tcW w:w="1620" w:type="dxa"/>
            <w:tcBorders>
              <w:top w:val="single" w:sz="4" w:space="0" w:color="auto"/>
              <w:left w:val="nil"/>
              <w:bottom w:val="nil"/>
              <w:right w:val="nil"/>
            </w:tcBorders>
            <w:shd w:val="clear" w:color="auto" w:fill="auto"/>
            <w:noWrap/>
          </w:tcPr>
          <w:p w14:paraId="6B673082" w14:textId="7527D69A" w:rsidR="002C6023" w:rsidRPr="009E35ED" w:rsidRDefault="002C6023" w:rsidP="00B90388">
            <w:pPr>
              <w:keepNext/>
              <w:keepLines/>
              <w:ind w:left="0" w:right="-108"/>
              <w:jc w:val="right"/>
              <w:rPr>
                <w:rFonts w:ascii="Arial Narrow" w:hAnsi="Arial Narrow" w:cs="Arial"/>
                <w:color w:val="000000" w:themeColor="text1"/>
                <w:sz w:val="22"/>
                <w:szCs w:val="22"/>
              </w:rPr>
            </w:pPr>
            <w:r w:rsidRPr="009E35ED">
              <w:rPr>
                <w:rFonts w:ascii="Arial Narrow" w:hAnsi="Arial Narrow"/>
                <w:color w:val="000000" w:themeColor="text1"/>
                <w:sz w:val="22"/>
                <w:szCs w:val="22"/>
              </w:rPr>
              <w:t xml:space="preserve"> 738,111,889 </w:t>
            </w:r>
          </w:p>
        </w:tc>
      </w:tr>
      <w:tr w:rsidR="00997F75" w:rsidRPr="009E35ED" w14:paraId="73C4D56F" w14:textId="77777777" w:rsidTr="000B3F04">
        <w:trPr>
          <w:trHeight w:val="276"/>
        </w:trPr>
        <w:tc>
          <w:tcPr>
            <w:tcW w:w="6930" w:type="dxa"/>
            <w:tcBorders>
              <w:top w:val="nil"/>
              <w:left w:val="nil"/>
              <w:bottom w:val="nil"/>
              <w:right w:val="nil"/>
            </w:tcBorders>
            <w:shd w:val="clear" w:color="auto" w:fill="auto"/>
            <w:noWrap/>
          </w:tcPr>
          <w:p w14:paraId="30EBA411" w14:textId="544E2786" w:rsidR="002C6023" w:rsidRPr="009E35ED" w:rsidRDefault="002C6023" w:rsidP="00B90388">
            <w:pPr>
              <w:keepNext/>
              <w:keepLines/>
              <w:ind w:left="-108"/>
              <w:jc w:val="left"/>
              <w:rPr>
                <w:rFonts w:ascii="Arial Narrow" w:hAnsi="Arial Narrow" w:cs="Arial"/>
                <w:color w:val="000000" w:themeColor="text1"/>
                <w:sz w:val="22"/>
                <w:szCs w:val="22"/>
              </w:rPr>
            </w:pPr>
            <w:r w:rsidRPr="009E35ED">
              <w:rPr>
                <w:rFonts w:ascii="Arial Narrow" w:hAnsi="Arial Narrow"/>
                <w:color w:val="000000" w:themeColor="text1"/>
                <w:sz w:val="22"/>
                <w:szCs w:val="22"/>
              </w:rPr>
              <w:t xml:space="preserve">Adjustment/Recording of </w:t>
            </w:r>
            <w:r w:rsidR="00416DE8">
              <w:rPr>
                <w:rFonts w:ascii="Arial Narrow" w:hAnsi="Arial Narrow"/>
                <w:color w:val="000000" w:themeColor="text1"/>
                <w:sz w:val="22"/>
                <w:szCs w:val="22"/>
              </w:rPr>
              <w:t>i</w:t>
            </w:r>
            <w:r w:rsidRPr="009E35ED">
              <w:rPr>
                <w:rFonts w:ascii="Arial Narrow" w:hAnsi="Arial Narrow"/>
                <w:color w:val="000000" w:themeColor="text1"/>
                <w:sz w:val="22"/>
                <w:szCs w:val="22"/>
              </w:rPr>
              <w:t xml:space="preserve">nterest </w:t>
            </w:r>
            <w:r w:rsidR="00416DE8">
              <w:rPr>
                <w:rFonts w:ascii="Arial Narrow" w:hAnsi="Arial Narrow"/>
                <w:color w:val="000000" w:themeColor="text1"/>
                <w:sz w:val="22"/>
                <w:szCs w:val="22"/>
              </w:rPr>
              <w:t>i</w:t>
            </w:r>
            <w:r w:rsidRPr="009E35ED">
              <w:rPr>
                <w:rFonts w:ascii="Arial Narrow" w:hAnsi="Arial Narrow"/>
                <w:color w:val="000000" w:themeColor="text1"/>
                <w:sz w:val="22"/>
                <w:szCs w:val="22"/>
              </w:rPr>
              <w:t>ncome-</w:t>
            </w:r>
            <w:r w:rsidR="00416DE8">
              <w:rPr>
                <w:rFonts w:ascii="Arial Narrow" w:hAnsi="Arial Narrow"/>
                <w:color w:val="000000" w:themeColor="text1"/>
                <w:sz w:val="22"/>
                <w:szCs w:val="22"/>
              </w:rPr>
              <w:t>b</w:t>
            </w:r>
            <w:r w:rsidRPr="009E35ED">
              <w:rPr>
                <w:rFonts w:ascii="Arial Narrow" w:hAnsi="Arial Narrow"/>
                <w:color w:val="000000" w:themeColor="text1"/>
                <w:sz w:val="22"/>
                <w:szCs w:val="22"/>
              </w:rPr>
              <w:t>ranches</w:t>
            </w:r>
          </w:p>
        </w:tc>
        <w:tc>
          <w:tcPr>
            <w:tcW w:w="1620" w:type="dxa"/>
            <w:tcBorders>
              <w:top w:val="nil"/>
              <w:left w:val="nil"/>
              <w:bottom w:val="nil"/>
              <w:right w:val="nil"/>
            </w:tcBorders>
            <w:shd w:val="clear" w:color="auto" w:fill="auto"/>
            <w:noWrap/>
          </w:tcPr>
          <w:p w14:paraId="5B01EBED" w14:textId="603CFB34" w:rsidR="002C6023" w:rsidRPr="009E35ED" w:rsidRDefault="002C6023" w:rsidP="00B90388">
            <w:pPr>
              <w:keepNext/>
              <w:keepLines/>
              <w:ind w:left="0" w:right="-108"/>
              <w:jc w:val="right"/>
              <w:rPr>
                <w:rFonts w:ascii="Arial Narrow" w:hAnsi="Arial Narrow" w:cs="Arial"/>
                <w:color w:val="000000" w:themeColor="text1"/>
                <w:sz w:val="22"/>
                <w:szCs w:val="22"/>
              </w:rPr>
            </w:pPr>
            <w:r w:rsidRPr="009E35ED">
              <w:rPr>
                <w:rFonts w:ascii="Arial Narrow" w:hAnsi="Arial Narrow"/>
                <w:color w:val="000000" w:themeColor="text1"/>
                <w:sz w:val="22"/>
                <w:szCs w:val="22"/>
              </w:rPr>
              <w:t xml:space="preserve"> 40,391 </w:t>
            </w:r>
          </w:p>
        </w:tc>
      </w:tr>
      <w:tr w:rsidR="00997F75" w:rsidRPr="009E35ED" w14:paraId="0E082F02" w14:textId="77777777" w:rsidTr="000B3F04">
        <w:trPr>
          <w:trHeight w:val="276"/>
        </w:trPr>
        <w:tc>
          <w:tcPr>
            <w:tcW w:w="6930" w:type="dxa"/>
            <w:tcBorders>
              <w:top w:val="nil"/>
              <w:left w:val="nil"/>
              <w:bottom w:val="nil"/>
              <w:right w:val="nil"/>
            </w:tcBorders>
            <w:shd w:val="clear" w:color="auto" w:fill="auto"/>
            <w:noWrap/>
          </w:tcPr>
          <w:p w14:paraId="27615223" w14:textId="5BB72F62" w:rsidR="002C6023" w:rsidRPr="009E35ED" w:rsidRDefault="002C6023" w:rsidP="00B90388">
            <w:pPr>
              <w:keepNext/>
              <w:keepLines/>
              <w:ind w:left="-108"/>
              <w:jc w:val="left"/>
              <w:rPr>
                <w:rFonts w:ascii="Arial Narrow" w:hAnsi="Arial Narrow" w:cs="Arial"/>
                <w:color w:val="000000" w:themeColor="text1"/>
                <w:sz w:val="22"/>
                <w:szCs w:val="22"/>
              </w:rPr>
            </w:pPr>
            <w:r w:rsidRPr="009E35ED">
              <w:rPr>
                <w:rFonts w:ascii="Arial Narrow" w:hAnsi="Arial Narrow"/>
                <w:color w:val="000000" w:themeColor="text1"/>
                <w:sz w:val="22"/>
                <w:szCs w:val="22"/>
              </w:rPr>
              <w:t xml:space="preserve">Adjustment/Recording of </w:t>
            </w:r>
            <w:r w:rsidR="00416DE8">
              <w:rPr>
                <w:rFonts w:ascii="Arial Narrow" w:hAnsi="Arial Narrow"/>
                <w:color w:val="000000" w:themeColor="text1"/>
                <w:sz w:val="22"/>
                <w:szCs w:val="22"/>
              </w:rPr>
              <w:t>i</w:t>
            </w:r>
            <w:r w:rsidRPr="009E35ED">
              <w:rPr>
                <w:rFonts w:ascii="Arial Narrow" w:hAnsi="Arial Narrow"/>
                <w:color w:val="000000" w:themeColor="text1"/>
                <w:sz w:val="22"/>
                <w:szCs w:val="22"/>
              </w:rPr>
              <w:t xml:space="preserve">nterest </w:t>
            </w:r>
            <w:r w:rsidR="00416DE8">
              <w:rPr>
                <w:rFonts w:ascii="Arial Narrow" w:hAnsi="Arial Narrow"/>
                <w:color w:val="000000" w:themeColor="text1"/>
                <w:sz w:val="22"/>
                <w:szCs w:val="22"/>
              </w:rPr>
              <w:t>i</w:t>
            </w:r>
            <w:r w:rsidRPr="009E35ED">
              <w:rPr>
                <w:rFonts w:ascii="Arial Narrow" w:hAnsi="Arial Narrow"/>
                <w:color w:val="000000" w:themeColor="text1"/>
                <w:sz w:val="22"/>
                <w:szCs w:val="22"/>
              </w:rPr>
              <w:t>ncome-</w:t>
            </w:r>
            <w:r w:rsidR="00416DE8">
              <w:rPr>
                <w:rFonts w:ascii="Arial Narrow" w:hAnsi="Arial Narrow"/>
                <w:color w:val="000000" w:themeColor="text1"/>
                <w:sz w:val="22"/>
                <w:szCs w:val="22"/>
              </w:rPr>
              <w:t>h</w:t>
            </w:r>
            <w:r w:rsidRPr="009E35ED">
              <w:rPr>
                <w:rFonts w:ascii="Arial Narrow" w:hAnsi="Arial Narrow"/>
                <w:color w:val="000000" w:themeColor="text1"/>
                <w:sz w:val="22"/>
                <w:szCs w:val="22"/>
              </w:rPr>
              <w:t xml:space="preserve">ead </w:t>
            </w:r>
            <w:r w:rsidR="00416DE8">
              <w:rPr>
                <w:rFonts w:ascii="Arial Narrow" w:hAnsi="Arial Narrow"/>
                <w:color w:val="000000" w:themeColor="text1"/>
                <w:sz w:val="22"/>
                <w:szCs w:val="22"/>
              </w:rPr>
              <w:t>o</w:t>
            </w:r>
            <w:r w:rsidRPr="009E35ED">
              <w:rPr>
                <w:rFonts w:ascii="Arial Narrow" w:hAnsi="Arial Narrow"/>
                <w:color w:val="000000" w:themeColor="text1"/>
                <w:sz w:val="22"/>
                <w:szCs w:val="22"/>
              </w:rPr>
              <w:t>ffice</w:t>
            </w:r>
          </w:p>
        </w:tc>
        <w:tc>
          <w:tcPr>
            <w:tcW w:w="1620" w:type="dxa"/>
            <w:tcBorders>
              <w:top w:val="nil"/>
              <w:left w:val="nil"/>
              <w:bottom w:val="nil"/>
              <w:right w:val="nil"/>
            </w:tcBorders>
            <w:shd w:val="clear" w:color="auto" w:fill="auto"/>
            <w:noWrap/>
          </w:tcPr>
          <w:p w14:paraId="5B98BFF0" w14:textId="5FD0F4D5" w:rsidR="002C6023" w:rsidRPr="009E35ED" w:rsidRDefault="002C6023" w:rsidP="00B90388">
            <w:pPr>
              <w:keepNext/>
              <w:keepLines/>
              <w:ind w:left="0" w:right="-108"/>
              <w:jc w:val="right"/>
              <w:rPr>
                <w:rFonts w:ascii="Arial Narrow" w:hAnsi="Arial Narrow" w:cs="Arial"/>
                <w:color w:val="000000" w:themeColor="text1"/>
                <w:sz w:val="22"/>
                <w:szCs w:val="22"/>
              </w:rPr>
            </w:pPr>
            <w:r w:rsidRPr="009E35ED">
              <w:rPr>
                <w:rFonts w:ascii="Arial Narrow" w:hAnsi="Arial Narrow"/>
                <w:color w:val="000000" w:themeColor="text1"/>
                <w:sz w:val="22"/>
                <w:szCs w:val="22"/>
              </w:rPr>
              <w:t xml:space="preserve"> 29,928 </w:t>
            </w:r>
          </w:p>
        </w:tc>
      </w:tr>
      <w:tr w:rsidR="00997F75" w:rsidRPr="009E35ED" w14:paraId="6AE3C3F3" w14:textId="77777777" w:rsidTr="000B3F04">
        <w:trPr>
          <w:trHeight w:val="276"/>
        </w:trPr>
        <w:tc>
          <w:tcPr>
            <w:tcW w:w="6930" w:type="dxa"/>
            <w:tcBorders>
              <w:top w:val="nil"/>
              <w:left w:val="nil"/>
              <w:bottom w:val="nil"/>
              <w:right w:val="nil"/>
            </w:tcBorders>
            <w:shd w:val="clear" w:color="auto" w:fill="auto"/>
            <w:noWrap/>
          </w:tcPr>
          <w:p w14:paraId="67AA50BD" w14:textId="135034A1" w:rsidR="002C6023" w:rsidRPr="009E35ED" w:rsidRDefault="002C6023" w:rsidP="00B90388">
            <w:pPr>
              <w:keepNext/>
              <w:keepLines/>
              <w:ind w:left="-108"/>
              <w:jc w:val="left"/>
              <w:rPr>
                <w:rFonts w:ascii="Arial Narrow" w:hAnsi="Arial Narrow" w:cs="Arial"/>
                <w:color w:val="000000" w:themeColor="text1"/>
                <w:sz w:val="22"/>
                <w:szCs w:val="22"/>
              </w:rPr>
            </w:pPr>
            <w:r w:rsidRPr="009E35ED">
              <w:rPr>
                <w:rFonts w:ascii="Arial Narrow" w:hAnsi="Arial Narrow"/>
                <w:color w:val="000000" w:themeColor="text1"/>
                <w:sz w:val="22"/>
                <w:szCs w:val="22"/>
              </w:rPr>
              <w:t xml:space="preserve">Adjustment/Recording of </w:t>
            </w:r>
            <w:r w:rsidR="00416DE8">
              <w:rPr>
                <w:rFonts w:ascii="Arial Narrow" w:hAnsi="Arial Narrow"/>
                <w:color w:val="000000" w:themeColor="text1"/>
                <w:sz w:val="22"/>
                <w:szCs w:val="22"/>
              </w:rPr>
              <w:t>c</w:t>
            </w:r>
            <w:r w:rsidRPr="009E35ED">
              <w:rPr>
                <w:rFonts w:ascii="Arial Narrow" w:hAnsi="Arial Narrow"/>
                <w:color w:val="000000" w:themeColor="text1"/>
                <w:sz w:val="22"/>
                <w:szCs w:val="22"/>
              </w:rPr>
              <w:t xml:space="preserve">harity </w:t>
            </w:r>
            <w:r w:rsidR="00416DE8">
              <w:rPr>
                <w:rFonts w:ascii="Arial Narrow" w:hAnsi="Arial Narrow"/>
                <w:color w:val="000000" w:themeColor="text1"/>
                <w:sz w:val="22"/>
                <w:szCs w:val="22"/>
              </w:rPr>
              <w:t>e</w:t>
            </w:r>
            <w:r w:rsidRPr="009E35ED">
              <w:rPr>
                <w:rFonts w:ascii="Arial Narrow" w:hAnsi="Arial Narrow"/>
                <w:color w:val="000000" w:themeColor="text1"/>
                <w:sz w:val="22"/>
                <w:szCs w:val="22"/>
              </w:rPr>
              <w:t>xpense-</w:t>
            </w:r>
            <w:r w:rsidR="00416DE8">
              <w:rPr>
                <w:rFonts w:ascii="Arial Narrow" w:hAnsi="Arial Narrow"/>
                <w:color w:val="000000" w:themeColor="text1"/>
                <w:sz w:val="22"/>
                <w:szCs w:val="22"/>
              </w:rPr>
              <w:t>h</w:t>
            </w:r>
            <w:r w:rsidRPr="009E35ED">
              <w:rPr>
                <w:rFonts w:ascii="Arial Narrow" w:hAnsi="Arial Narrow"/>
                <w:color w:val="000000" w:themeColor="text1"/>
                <w:sz w:val="22"/>
                <w:szCs w:val="22"/>
              </w:rPr>
              <w:t xml:space="preserve">ead </w:t>
            </w:r>
            <w:r w:rsidR="00416DE8">
              <w:rPr>
                <w:rFonts w:ascii="Arial Narrow" w:hAnsi="Arial Narrow"/>
                <w:color w:val="000000" w:themeColor="text1"/>
                <w:sz w:val="22"/>
                <w:szCs w:val="22"/>
              </w:rPr>
              <w:t>o</w:t>
            </w:r>
            <w:r w:rsidRPr="009E35ED">
              <w:rPr>
                <w:rFonts w:ascii="Arial Narrow" w:hAnsi="Arial Narrow"/>
                <w:color w:val="000000" w:themeColor="text1"/>
                <w:sz w:val="22"/>
                <w:szCs w:val="22"/>
              </w:rPr>
              <w:t>ffice</w:t>
            </w:r>
          </w:p>
        </w:tc>
        <w:tc>
          <w:tcPr>
            <w:tcW w:w="1620" w:type="dxa"/>
            <w:tcBorders>
              <w:top w:val="nil"/>
              <w:left w:val="nil"/>
              <w:bottom w:val="nil"/>
              <w:right w:val="nil"/>
            </w:tcBorders>
            <w:shd w:val="clear" w:color="auto" w:fill="auto"/>
            <w:noWrap/>
          </w:tcPr>
          <w:p w14:paraId="0BE853CE" w14:textId="2C76A7BF" w:rsidR="002C6023" w:rsidRPr="009E35ED" w:rsidRDefault="002C6023" w:rsidP="00B90388">
            <w:pPr>
              <w:keepNext/>
              <w:keepLines/>
              <w:ind w:left="0" w:right="-108"/>
              <w:jc w:val="right"/>
              <w:rPr>
                <w:rFonts w:ascii="Arial Narrow" w:hAnsi="Arial Narrow" w:cs="Arial"/>
                <w:color w:val="000000" w:themeColor="text1"/>
                <w:sz w:val="22"/>
                <w:szCs w:val="22"/>
              </w:rPr>
            </w:pPr>
            <w:r w:rsidRPr="009E35ED">
              <w:rPr>
                <w:rFonts w:ascii="Arial Narrow" w:hAnsi="Arial Narrow"/>
                <w:color w:val="000000" w:themeColor="text1"/>
                <w:sz w:val="22"/>
                <w:szCs w:val="22"/>
              </w:rPr>
              <w:t xml:space="preserve"> 450 </w:t>
            </w:r>
          </w:p>
        </w:tc>
      </w:tr>
      <w:tr w:rsidR="00997F75" w:rsidRPr="009E35ED" w14:paraId="3AA20EFB" w14:textId="77777777" w:rsidTr="000B3F04">
        <w:trPr>
          <w:trHeight w:val="276"/>
        </w:trPr>
        <w:tc>
          <w:tcPr>
            <w:tcW w:w="6930" w:type="dxa"/>
            <w:tcBorders>
              <w:top w:val="nil"/>
              <w:left w:val="nil"/>
              <w:bottom w:val="nil"/>
              <w:right w:val="nil"/>
            </w:tcBorders>
            <w:shd w:val="clear" w:color="auto" w:fill="auto"/>
            <w:noWrap/>
          </w:tcPr>
          <w:p w14:paraId="2AD06C68" w14:textId="4F6026B5" w:rsidR="002C6023" w:rsidRPr="009E35ED" w:rsidRDefault="002C6023" w:rsidP="00B90388">
            <w:pPr>
              <w:keepNext/>
              <w:keepLines/>
              <w:ind w:left="-108"/>
              <w:jc w:val="left"/>
              <w:rPr>
                <w:rFonts w:ascii="Arial Narrow" w:hAnsi="Arial Narrow" w:cs="Arial"/>
                <w:color w:val="000000" w:themeColor="text1"/>
                <w:sz w:val="22"/>
                <w:szCs w:val="22"/>
              </w:rPr>
            </w:pPr>
            <w:r w:rsidRPr="009E35ED">
              <w:rPr>
                <w:rFonts w:ascii="Arial Narrow" w:hAnsi="Arial Narrow"/>
                <w:color w:val="000000" w:themeColor="text1"/>
                <w:sz w:val="22"/>
                <w:szCs w:val="22"/>
              </w:rPr>
              <w:t xml:space="preserve">Adjustment/Recording of </w:t>
            </w:r>
            <w:r w:rsidR="00416DE8">
              <w:rPr>
                <w:rFonts w:ascii="Arial Narrow" w:hAnsi="Arial Narrow"/>
                <w:color w:val="000000" w:themeColor="text1"/>
                <w:sz w:val="22"/>
                <w:szCs w:val="22"/>
              </w:rPr>
              <w:t>t</w:t>
            </w:r>
            <w:r w:rsidRPr="009E35ED">
              <w:rPr>
                <w:rFonts w:ascii="Arial Narrow" w:hAnsi="Arial Narrow"/>
                <w:color w:val="000000" w:themeColor="text1"/>
                <w:sz w:val="22"/>
                <w:szCs w:val="22"/>
              </w:rPr>
              <w:t xml:space="preserve">axes, </w:t>
            </w:r>
            <w:r w:rsidR="00416DE8">
              <w:rPr>
                <w:rFonts w:ascii="Arial Narrow" w:hAnsi="Arial Narrow"/>
                <w:color w:val="000000" w:themeColor="text1"/>
                <w:sz w:val="22"/>
                <w:szCs w:val="22"/>
              </w:rPr>
              <w:t>d</w:t>
            </w:r>
            <w:r w:rsidRPr="009E35ED">
              <w:rPr>
                <w:rFonts w:ascii="Arial Narrow" w:hAnsi="Arial Narrow"/>
                <w:color w:val="000000" w:themeColor="text1"/>
                <w:sz w:val="22"/>
                <w:szCs w:val="22"/>
              </w:rPr>
              <w:t xml:space="preserve">uties and </w:t>
            </w:r>
            <w:r w:rsidR="00416DE8">
              <w:rPr>
                <w:rFonts w:ascii="Arial Narrow" w:hAnsi="Arial Narrow"/>
                <w:color w:val="000000" w:themeColor="text1"/>
                <w:sz w:val="22"/>
                <w:szCs w:val="22"/>
              </w:rPr>
              <w:t>l</w:t>
            </w:r>
            <w:r w:rsidRPr="009E35ED">
              <w:rPr>
                <w:rFonts w:ascii="Arial Narrow" w:hAnsi="Arial Narrow"/>
                <w:color w:val="000000" w:themeColor="text1"/>
                <w:sz w:val="22"/>
                <w:szCs w:val="22"/>
              </w:rPr>
              <w:t>icenses-</w:t>
            </w:r>
            <w:r w:rsidR="00416DE8">
              <w:rPr>
                <w:rFonts w:ascii="Arial Narrow" w:hAnsi="Arial Narrow"/>
                <w:color w:val="000000" w:themeColor="text1"/>
                <w:sz w:val="22"/>
                <w:szCs w:val="22"/>
              </w:rPr>
              <w:t>h</w:t>
            </w:r>
            <w:r w:rsidRPr="009E35ED">
              <w:rPr>
                <w:rFonts w:ascii="Arial Narrow" w:hAnsi="Arial Narrow"/>
                <w:color w:val="000000" w:themeColor="text1"/>
                <w:sz w:val="22"/>
                <w:szCs w:val="22"/>
              </w:rPr>
              <w:t xml:space="preserve">ead </w:t>
            </w:r>
            <w:r w:rsidR="00416DE8">
              <w:rPr>
                <w:rFonts w:ascii="Arial Narrow" w:hAnsi="Arial Narrow"/>
                <w:color w:val="000000" w:themeColor="text1"/>
                <w:sz w:val="22"/>
                <w:szCs w:val="22"/>
              </w:rPr>
              <w:t>o</w:t>
            </w:r>
            <w:r w:rsidRPr="009E35ED">
              <w:rPr>
                <w:rFonts w:ascii="Arial Narrow" w:hAnsi="Arial Narrow"/>
                <w:color w:val="000000" w:themeColor="text1"/>
                <w:sz w:val="22"/>
                <w:szCs w:val="22"/>
              </w:rPr>
              <w:t>ffice</w:t>
            </w:r>
          </w:p>
        </w:tc>
        <w:tc>
          <w:tcPr>
            <w:tcW w:w="1620" w:type="dxa"/>
            <w:tcBorders>
              <w:top w:val="nil"/>
              <w:left w:val="nil"/>
              <w:bottom w:val="nil"/>
              <w:right w:val="nil"/>
            </w:tcBorders>
            <w:shd w:val="clear" w:color="auto" w:fill="auto"/>
            <w:noWrap/>
          </w:tcPr>
          <w:p w14:paraId="18DB92F9" w14:textId="3C7997C7" w:rsidR="002C6023" w:rsidRPr="009E35ED" w:rsidRDefault="002C6023" w:rsidP="00B90388">
            <w:pPr>
              <w:keepNext/>
              <w:keepLines/>
              <w:ind w:left="0" w:right="-108"/>
              <w:jc w:val="right"/>
              <w:rPr>
                <w:rFonts w:ascii="Arial Narrow" w:hAnsi="Arial Narrow" w:cs="Arial"/>
                <w:color w:val="000000" w:themeColor="text1"/>
                <w:sz w:val="22"/>
                <w:szCs w:val="22"/>
              </w:rPr>
            </w:pPr>
            <w:r w:rsidRPr="009E35ED">
              <w:rPr>
                <w:rFonts w:ascii="Arial Narrow" w:hAnsi="Arial Narrow"/>
                <w:color w:val="000000" w:themeColor="text1"/>
                <w:sz w:val="22"/>
                <w:szCs w:val="22"/>
              </w:rPr>
              <w:t xml:space="preserve"> (20)</w:t>
            </w:r>
          </w:p>
        </w:tc>
      </w:tr>
      <w:tr w:rsidR="00997F75" w:rsidRPr="009E35ED" w14:paraId="1B4F6B66" w14:textId="77777777" w:rsidTr="000B3F04">
        <w:trPr>
          <w:trHeight w:val="276"/>
        </w:trPr>
        <w:tc>
          <w:tcPr>
            <w:tcW w:w="6930" w:type="dxa"/>
            <w:tcBorders>
              <w:top w:val="nil"/>
              <w:left w:val="nil"/>
              <w:bottom w:val="nil"/>
              <w:right w:val="nil"/>
            </w:tcBorders>
            <w:shd w:val="clear" w:color="auto" w:fill="auto"/>
            <w:noWrap/>
          </w:tcPr>
          <w:p w14:paraId="589A3DC0" w14:textId="68482D43" w:rsidR="002C6023" w:rsidRPr="009E35ED" w:rsidRDefault="002C6023" w:rsidP="00B90388">
            <w:pPr>
              <w:keepNext/>
              <w:keepLines/>
              <w:ind w:left="-108"/>
              <w:jc w:val="left"/>
              <w:rPr>
                <w:rFonts w:ascii="Arial Narrow" w:hAnsi="Arial Narrow" w:cs="Arial"/>
                <w:color w:val="000000" w:themeColor="text1"/>
                <w:sz w:val="22"/>
                <w:szCs w:val="22"/>
              </w:rPr>
            </w:pPr>
            <w:r w:rsidRPr="009E35ED">
              <w:rPr>
                <w:rFonts w:ascii="Arial Narrow" w:hAnsi="Arial Narrow"/>
                <w:color w:val="000000" w:themeColor="text1"/>
                <w:sz w:val="22"/>
                <w:szCs w:val="22"/>
              </w:rPr>
              <w:t xml:space="preserve">Adjustment/Recording of </w:t>
            </w:r>
            <w:r w:rsidR="00416DE8">
              <w:rPr>
                <w:rFonts w:ascii="Arial Narrow" w:hAnsi="Arial Narrow"/>
                <w:color w:val="000000" w:themeColor="text1"/>
                <w:sz w:val="22"/>
                <w:szCs w:val="22"/>
              </w:rPr>
              <w:t>b</w:t>
            </w:r>
            <w:r w:rsidRPr="009E35ED">
              <w:rPr>
                <w:rFonts w:ascii="Arial Narrow" w:hAnsi="Arial Narrow"/>
                <w:color w:val="000000" w:themeColor="text1"/>
                <w:sz w:val="22"/>
                <w:szCs w:val="22"/>
              </w:rPr>
              <w:t xml:space="preserve">ank </w:t>
            </w:r>
            <w:r w:rsidR="00416DE8">
              <w:rPr>
                <w:rFonts w:ascii="Arial Narrow" w:hAnsi="Arial Narrow"/>
                <w:color w:val="000000" w:themeColor="text1"/>
                <w:sz w:val="22"/>
                <w:szCs w:val="22"/>
              </w:rPr>
              <w:t>c</w:t>
            </w:r>
            <w:r w:rsidRPr="009E35ED">
              <w:rPr>
                <w:rFonts w:ascii="Arial Narrow" w:hAnsi="Arial Narrow"/>
                <w:color w:val="000000" w:themeColor="text1"/>
                <w:sz w:val="22"/>
                <w:szCs w:val="22"/>
              </w:rPr>
              <w:t>harges-</w:t>
            </w:r>
            <w:r w:rsidR="00416DE8">
              <w:rPr>
                <w:rFonts w:ascii="Arial Narrow" w:hAnsi="Arial Narrow"/>
                <w:color w:val="000000" w:themeColor="text1"/>
                <w:sz w:val="22"/>
                <w:szCs w:val="22"/>
              </w:rPr>
              <w:t>b</w:t>
            </w:r>
            <w:r w:rsidRPr="009E35ED">
              <w:rPr>
                <w:rFonts w:ascii="Arial Narrow" w:hAnsi="Arial Narrow"/>
                <w:color w:val="000000" w:themeColor="text1"/>
                <w:sz w:val="22"/>
                <w:szCs w:val="22"/>
              </w:rPr>
              <w:t>ranches</w:t>
            </w:r>
          </w:p>
        </w:tc>
        <w:tc>
          <w:tcPr>
            <w:tcW w:w="1620" w:type="dxa"/>
            <w:tcBorders>
              <w:top w:val="nil"/>
              <w:left w:val="nil"/>
              <w:bottom w:val="nil"/>
              <w:right w:val="nil"/>
            </w:tcBorders>
            <w:shd w:val="clear" w:color="auto" w:fill="auto"/>
            <w:noWrap/>
          </w:tcPr>
          <w:p w14:paraId="303FD15B" w14:textId="372CBF1D" w:rsidR="002C6023" w:rsidRPr="009E35ED" w:rsidRDefault="002C6023" w:rsidP="00B90388">
            <w:pPr>
              <w:keepNext/>
              <w:keepLines/>
              <w:ind w:left="0" w:right="-108"/>
              <w:jc w:val="right"/>
              <w:rPr>
                <w:rFonts w:ascii="Arial Narrow" w:hAnsi="Arial Narrow" w:cs="Arial"/>
                <w:color w:val="000000" w:themeColor="text1"/>
                <w:sz w:val="22"/>
                <w:szCs w:val="22"/>
              </w:rPr>
            </w:pPr>
            <w:r w:rsidRPr="009E35ED">
              <w:rPr>
                <w:rFonts w:ascii="Arial Narrow" w:hAnsi="Arial Narrow"/>
                <w:color w:val="000000" w:themeColor="text1"/>
                <w:sz w:val="22"/>
                <w:szCs w:val="22"/>
              </w:rPr>
              <w:t xml:space="preserve"> (39,000)</w:t>
            </w:r>
          </w:p>
        </w:tc>
      </w:tr>
      <w:tr w:rsidR="00997F75" w:rsidRPr="009E35ED" w14:paraId="7E4D10B0" w14:textId="77777777" w:rsidTr="000B3F04">
        <w:trPr>
          <w:trHeight w:val="276"/>
        </w:trPr>
        <w:tc>
          <w:tcPr>
            <w:tcW w:w="6930" w:type="dxa"/>
            <w:tcBorders>
              <w:top w:val="nil"/>
              <w:left w:val="nil"/>
              <w:bottom w:val="nil"/>
              <w:right w:val="nil"/>
            </w:tcBorders>
            <w:shd w:val="clear" w:color="auto" w:fill="auto"/>
            <w:noWrap/>
          </w:tcPr>
          <w:p w14:paraId="4117E302" w14:textId="4075B12F" w:rsidR="002C6023" w:rsidRPr="009E35ED" w:rsidRDefault="002C6023" w:rsidP="00B90388">
            <w:pPr>
              <w:keepNext/>
              <w:keepLines/>
              <w:ind w:left="-108"/>
              <w:jc w:val="left"/>
              <w:rPr>
                <w:rFonts w:ascii="Arial Narrow" w:hAnsi="Arial Narrow" w:cs="Arial"/>
                <w:color w:val="000000" w:themeColor="text1"/>
                <w:sz w:val="22"/>
                <w:szCs w:val="22"/>
              </w:rPr>
            </w:pPr>
            <w:r w:rsidRPr="009E35ED">
              <w:rPr>
                <w:rFonts w:ascii="Arial Narrow" w:hAnsi="Arial Narrow"/>
                <w:color w:val="000000" w:themeColor="text1"/>
                <w:sz w:val="22"/>
                <w:szCs w:val="22"/>
              </w:rPr>
              <w:t xml:space="preserve">Adjustment/Recording of </w:t>
            </w:r>
            <w:r w:rsidR="00416DE8">
              <w:rPr>
                <w:rFonts w:ascii="Arial Narrow" w:hAnsi="Arial Narrow"/>
                <w:color w:val="000000" w:themeColor="text1"/>
                <w:sz w:val="22"/>
                <w:szCs w:val="22"/>
              </w:rPr>
              <w:t>m</w:t>
            </w:r>
            <w:r w:rsidRPr="009E35ED">
              <w:rPr>
                <w:rFonts w:ascii="Arial Narrow" w:hAnsi="Arial Narrow"/>
                <w:color w:val="000000" w:themeColor="text1"/>
                <w:sz w:val="22"/>
                <w:szCs w:val="22"/>
              </w:rPr>
              <w:t xml:space="preserve">iscellaneous </w:t>
            </w:r>
            <w:r w:rsidR="00416DE8">
              <w:rPr>
                <w:rFonts w:ascii="Arial Narrow" w:hAnsi="Arial Narrow"/>
                <w:color w:val="000000" w:themeColor="text1"/>
                <w:sz w:val="22"/>
                <w:szCs w:val="22"/>
              </w:rPr>
              <w:t>i</w:t>
            </w:r>
            <w:r w:rsidRPr="009E35ED">
              <w:rPr>
                <w:rFonts w:ascii="Arial Narrow" w:hAnsi="Arial Narrow"/>
                <w:color w:val="000000" w:themeColor="text1"/>
                <w:sz w:val="22"/>
                <w:szCs w:val="22"/>
              </w:rPr>
              <w:t>ncome-</w:t>
            </w:r>
            <w:r w:rsidR="00416DE8">
              <w:rPr>
                <w:rFonts w:ascii="Arial Narrow" w:hAnsi="Arial Narrow"/>
                <w:color w:val="000000" w:themeColor="text1"/>
                <w:sz w:val="22"/>
                <w:szCs w:val="22"/>
              </w:rPr>
              <w:t>b</w:t>
            </w:r>
            <w:r w:rsidRPr="009E35ED">
              <w:rPr>
                <w:rFonts w:ascii="Arial Narrow" w:hAnsi="Arial Narrow"/>
                <w:color w:val="000000" w:themeColor="text1"/>
                <w:sz w:val="22"/>
                <w:szCs w:val="22"/>
              </w:rPr>
              <w:t>ranches</w:t>
            </w:r>
          </w:p>
        </w:tc>
        <w:tc>
          <w:tcPr>
            <w:tcW w:w="1620" w:type="dxa"/>
            <w:tcBorders>
              <w:top w:val="nil"/>
              <w:left w:val="nil"/>
              <w:bottom w:val="nil"/>
              <w:right w:val="nil"/>
            </w:tcBorders>
            <w:shd w:val="clear" w:color="auto" w:fill="auto"/>
            <w:noWrap/>
          </w:tcPr>
          <w:p w14:paraId="4C6CA043" w14:textId="26B300C0" w:rsidR="002C6023" w:rsidRPr="009E35ED" w:rsidRDefault="002C6023" w:rsidP="00B90388">
            <w:pPr>
              <w:keepNext/>
              <w:keepLines/>
              <w:ind w:left="0" w:right="-108"/>
              <w:jc w:val="right"/>
              <w:rPr>
                <w:rFonts w:ascii="Arial Narrow" w:hAnsi="Arial Narrow" w:cs="Arial"/>
                <w:color w:val="000000" w:themeColor="text1"/>
                <w:sz w:val="22"/>
                <w:szCs w:val="22"/>
              </w:rPr>
            </w:pPr>
            <w:r w:rsidRPr="009E35ED">
              <w:rPr>
                <w:rFonts w:ascii="Arial Narrow" w:hAnsi="Arial Narrow"/>
                <w:color w:val="000000" w:themeColor="text1"/>
                <w:sz w:val="22"/>
                <w:szCs w:val="22"/>
              </w:rPr>
              <w:t xml:space="preserve"> 546 </w:t>
            </w:r>
          </w:p>
        </w:tc>
      </w:tr>
      <w:tr w:rsidR="000D2A20" w:rsidRPr="009E35ED" w14:paraId="06A69CBA" w14:textId="77777777" w:rsidTr="000B3F04">
        <w:trPr>
          <w:trHeight w:val="315"/>
        </w:trPr>
        <w:tc>
          <w:tcPr>
            <w:tcW w:w="6930" w:type="dxa"/>
            <w:tcBorders>
              <w:top w:val="single" w:sz="4" w:space="0" w:color="auto"/>
              <w:left w:val="nil"/>
              <w:bottom w:val="double" w:sz="6" w:space="0" w:color="auto"/>
              <w:right w:val="nil"/>
            </w:tcBorders>
            <w:shd w:val="clear" w:color="auto" w:fill="auto"/>
            <w:noWrap/>
            <w:hideMark/>
          </w:tcPr>
          <w:p w14:paraId="06C42F42" w14:textId="438AAE1C" w:rsidR="002C6023" w:rsidRPr="009E35ED" w:rsidRDefault="002C6023" w:rsidP="00B90388">
            <w:pPr>
              <w:keepNext/>
              <w:keepLines/>
              <w:ind w:left="-108"/>
              <w:jc w:val="left"/>
              <w:rPr>
                <w:rFonts w:ascii="Arial Narrow" w:hAnsi="Arial Narrow" w:cs="Arial"/>
                <w:b/>
                <w:bCs/>
                <w:color w:val="000000" w:themeColor="text1"/>
                <w:sz w:val="22"/>
                <w:szCs w:val="22"/>
                <w:lang w:val="en-PH" w:eastAsia="en-PH"/>
              </w:rPr>
            </w:pPr>
            <w:r w:rsidRPr="009E35ED">
              <w:rPr>
                <w:rFonts w:ascii="Arial Narrow" w:hAnsi="Arial Narrow"/>
                <w:b/>
                <w:bCs/>
                <w:color w:val="000000" w:themeColor="text1"/>
                <w:sz w:val="22"/>
                <w:szCs w:val="22"/>
              </w:rPr>
              <w:t>Restated Amount as of December 31, 2022 - Other Receivables</w:t>
            </w:r>
          </w:p>
        </w:tc>
        <w:tc>
          <w:tcPr>
            <w:tcW w:w="1620" w:type="dxa"/>
            <w:tcBorders>
              <w:top w:val="single" w:sz="4" w:space="0" w:color="auto"/>
              <w:left w:val="nil"/>
              <w:bottom w:val="double" w:sz="6" w:space="0" w:color="auto"/>
              <w:right w:val="nil"/>
            </w:tcBorders>
            <w:shd w:val="clear" w:color="auto" w:fill="auto"/>
            <w:noWrap/>
            <w:hideMark/>
          </w:tcPr>
          <w:p w14:paraId="2F55B8FD" w14:textId="11C9A4C8" w:rsidR="002C6023" w:rsidRPr="009E35ED" w:rsidRDefault="002C6023" w:rsidP="00B90388">
            <w:pPr>
              <w:keepNext/>
              <w:keepLines/>
              <w:ind w:left="0" w:right="-108"/>
              <w:jc w:val="right"/>
              <w:rPr>
                <w:rFonts w:ascii="Arial Narrow" w:hAnsi="Arial Narrow" w:cs="Arial"/>
                <w:b/>
                <w:bCs/>
                <w:color w:val="000000" w:themeColor="text1"/>
                <w:sz w:val="22"/>
                <w:szCs w:val="22"/>
                <w:lang w:val="en-PH" w:eastAsia="en-PH"/>
              </w:rPr>
            </w:pPr>
            <w:r w:rsidRPr="009E35ED">
              <w:rPr>
                <w:rFonts w:ascii="Arial Narrow" w:hAnsi="Arial Narrow"/>
                <w:b/>
                <w:bCs/>
                <w:color w:val="000000" w:themeColor="text1"/>
                <w:sz w:val="22"/>
                <w:szCs w:val="22"/>
              </w:rPr>
              <w:t xml:space="preserve"> 738,144,184 </w:t>
            </w:r>
          </w:p>
        </w:tc>
      </w:tr>
    </w:tbl>
    <w:p w14:paraId="2A70818B" w14:textId="77777777" w:rsidR="00FA47B4" w:rsidRPr="009E35ED" w:rsidRDefault="00FA47B4" w:rsidP="00803F8C">
      <w:pPr>
        <w:suppressAutoHyphens/>
        <w:ind w:left="0"/>
        <w:rPr>
          <w:rFonts w:ascii="Arial" w:hAnsi="Arial" w:cs="Arial"/>
          <w:color w:val="000000" w:themeColor="text1"/>
          <w:sz w:val="22"/>
          <w:szCs w:val="22"/>
          <w:lang w:eastAsia="ar-SA"/>
        </w:rPr>
      </w:pPr>
    </w:p>
    <w:p w14:paraId="74682A36" w14:textId="7E1B405F" w:rsidR="00B1626D" w:rsidRPr="009E35ED" w:rsidRDefault="00B1626D" w:rsidP="00803F8C">
      <w:pPr>
        <w:suppressAutoHyphens/>
        <w:ind w:left="0"/>
        <w:rPr>
          <w:rFonts w:ascii="Arial" w:hAnsi="Arial" w:cs="Arial"/>
          <w:color w:val="000000" w:themeColor="text1"/>
          <w:sz w:val="22"/>
          <w:szCs w:val="22"/>
          <w:lang w:eastAsia="ar-SA"/>
        </w:rPr>
      </w:pPr>
      <w:r w:rsidRPr="009E35ED">
        <w:rPr>
          <w:rFonts w:ascii="Arial" w:hAnsi="Arial" w:cs="Arial"/>
          <w:color w:val="000000" w:themeColor="text1"/>
          <w:sz w:val="22"/>
          <w:szCs w:val="22"/>
          <w:lang w:eastAsia="ar-SA"/>
        </w:rPr>
        <w:t xml:space="preserve">Accounts </w:t>
      </w:r>
      <w:r w:rsidR="00416DE8">
        <w:rPr>
          <w:rFonts w:ascii="Arial" w:hAnsi="Arial" w:cs="Arial"/>
          <w:color w:val="000000" w:themeColor="text1"/>
          <w:sz w:val="22"/>
          <w:szCs w:val="22"/>
          <w:lang w:eastAsia="ar-SA"/>
        </w:rPr>
        <w:t>r</w:t>
      </w:r>
      <w:r w:rsidRPr="009E35ED">
        <w:rPr>
          <w:rFonts w:ascii="Arial" w:hAnsi="Arial" w:cs="Arial"/>
          <w:color w:val="000000" w:themeColor="text1"/>
          <w:sz w:val="22"/>
          <w:szCs w:val="22"/>
          <w:lang w:eastAsia="ar-SA"/>
        </w:rPr>
        <w:t>eceivable pertains to unremitted sales of Sweepstakes, Keno and Lotto Agents, STL AA</w:t>
      </w:r>
      <w:r w:rsidR="0061371A" w:rsidRPr="009E35ED">
        <w:rPr>
          <w:rFonts w:ascii="Arial" w:hAnsi="Arial" w:cs="Arial"/>
          <w:color w:val="000000" w:themeColor="text1"/>
          <w:sz w:val="22"/>
          <w:szCs w:val="22"/>
          <w:lang w:eastAsia="ar-SA"/>
        </w:rPr>
        <w:t>C</w:t>
      </w:r>
      <w:r w:rsidR="006F44E0" w:rsidRPr="009E35ED">
        <w:rPr>
          <w:rFonts w:ascii="Arial" w:hAnsi="Arial" w:cs="Arial"/>
          <w:color w:val="000000" w:themeColor="text1"/>
          <w:sz w:val="22"/>
          <w:szCs w:val="22"/>
          <w:lang w:eastAsia="ar-SA"/>
        </w:rPr>
        <w:t>s</w:t>
      </w:r>
      <w:r w:rsidRPr="009E35ED">
        <w:rPr>
          <w:rFonts w:ascii="Arial" w:hAnsi="Arial" w:cs="Arial"/>
          <w:color w:val="000000" w:themeColor="text1"/>
          <w:sz w:val="22"/>
          <w:szCs w:val="22"/>
          <w:lang w:eastAsia="ar-SA"/>
        </w:rPr>
        <w:t>, and Peryahan (</w:t>
      </w:r>
      <w:r w:rsidRPr="009E35ED">
        <w:rPr>
          <w:rFonts w:ascii="Arial" w:hAnsi="Arial" w:cs="Arial"/>
          <w:color w:val="000000" w:themeColor="text1"/>
          <w:sz w:val="22"/>
          <w:szCs w:val="22"/>
        </w:rPr>
        <w:t>Globaltech Mobile Online Corporation)</w:t>
      </w:r>
      <w:r w:rsidRPr="009E35ED">
        <w:rPr>
          <w:rFonts w:ascii="Arial" w:hAnsi="Arial" w:cs="Arial"/>
          <w:color w:val="000000" w:themeColor="text1"/>
          <w:sz w:val="22"/>
          <w:szCs w:val="22"/>
          <w:lang w:eastAsia="ar-SA"/>
        </w:rPr>
        <w:t>.</w:t>
      </w:r>
    </w:p>
    <w:p w14:paraId="5B284FF7" w14:textId="77777777" w:rsidR="00B1626D" w:rsidRPr="009E35ED" w:rsidRDefault="00B1626D" w:rsidP="00803F8C">
      <w:pPr>
        <w:suppressAutoHyphens/>
        <w:ind w:left="0" w:firstLine="720"/>
        <w:rPr>
          <w:rFonts w:ascii="Arial" w:hAnsi="Arial" w:cs="Arial"/>
          <w:color w:val="000000" w:themeColor="text1"/>
          <w:sz w:val="22"/>
          <w:szCs w:val="22"/>
          <w:lang w:eastAsia="ar-SA"/>
        </w:rPr>
      </w:pPr>
    </w:p>
    <w:p w14:paraId="3490A001" w14:textId="241D5C41" w:rsidR="00B1626D" w:rsidRPr="009E35ED" w:rsidRDefault="00B1626D" w:rsidP="00803F8C">
      <w:pPr>
        <w:suppressAutoHyphens/>
        <w:ind w:left="0"/>
        <w:rPr>
          <w:rFonts w:ascii="Arial" w:hAnsi="Arial" w:cs="Arial"/>
          <w:color w:val="000000" w:themeColor="text1"/>
          <w:sz w:val="22"/>
          <w:szCs w:val="22"/>
          <w:lang w:eastAsia="ar-SA"/>
        </w:rPr>
      </w:pPr>
      <w:r w:rsidRPr="009E35ED">
        <w:rPr>
          <w:rFonts w:ascii="Arial" w:hAnsi="Arial" w:cs="Arial"/>
          <w:color w:val="000000" w:themeColor="text1"/>
          <w:sz w:val="22"/>
          <w:szCs w:val="22"/>
          <w:lang w:eastAsia="ar-SA"/>
        </w:rPr>
        <w:t xml:space="preserve">Due from </w:t>
      </w:r>
      <w:r w:rsidR="00416DE8">
        <w:rPr>
          <w:rFonts w:ascii="Arial" w:hAnsi="Arial" w:cs="Arial"/>
          <w:color w:val="000000" w:themeColor="text1"/>
          <w:sz w:val="22"/>
          <w:szCs w:val="22"/>
          <w:lang w:eastAsia="ar-SA"/>
        </w:rPr>
        <w:t>o</w:t>
      </w:r>
      <w:r w:rsidRPr="009E35ED">
        <w:rPr>
          <w:rFonts w:ascii="Arial" w:hAnsi="Arial" w:cs="Arial"/>
          <w:color w:val="000000" w:themeColor="text1"/>
          <w:sz w:val="22"/>
          <w:szCs w:val="22"/>
          <w:lang w:eastAsia="ar-SA"/>
        </w:rPr>
        <w:t xml:space="preserve">fficers and </w:t>
      </w:r>
      <w:r w:rsidR="00416DE8">
        <w:rPr>
          <w:rFonts w:ascii="Arial" w:hAnsi="Arial" w:cs="Arial"/>
          <w:color w:val="000000" w:themeColor="text1"/>
          <w:sz w:val="22"/>
          <w:szCs w:val="22"/>
          <w:lang w:eastAsia="ar-SA"/>
        </w:rPr>
        <w:t>e</w:t>
      </w:r>
      <w:r w:rsidRPr="009E35ED">
        <w:rPr>
          <w:rFonts w:ascii="Arial" w:hAnsi="Arial" w:cs="Arial"/>
          <w:color w:val="000000" w:themeColor="text1"/>
          <w:sz w:val="22"/>
          <w:szCs w:val="22"/>
          <w:lang w:eastAsia="ar-SA"/>
        </w:rPr>
        <w:t xml:space="preserve">mployees are </w:t>
      </w:r>
      <w:r w:rsidR="00416DE8">
        <w:rPr>
          <w:rFonts w:ascii="Arial" w:hAnsi="Arial" w:cs="Arial"/>
          <w:color w:val="000000" w:themeColor="text1"/>
          <w:sz w:val="22"/>
          <w:szCs w:val="22"/>
          <w:lang w:eastAsia="ar-SA"/>
        </w:rPr>
        <w:t>p</w:t>
      </w:r>
      <w:r w:rsidRPr="009E35ED">
        <w:rPr>
          <w:rFonts w:ascii="Arial" w:hAnsi="Arial" w:cs="Arial"/>
          <w:color w:val="000000" w:themeColor="text1"/>
          <w:sz w:val="22"/>
          <w:szCs w:val="22"/>
          <w:lang w:eastAsia="ar-SA"/>
        </w:rPr>
        <w:t>ersonal accounts of officers and employees, such as but not limited to car lo</w:t>
      </w:r>
      <w:r w:rsidR="00FD63D8" w:rsidRPr="009E35ED">
        <w:rPr>
          <w:rFonts w:ascii="Arial" w:hAnsi="Arial" w:cs="Arial"/>
          <w:color w:val="000000" w:themeColor="text1"/>
          <w:sz w:val="22"/>
          <w:szCs w:val="22"/>
          <w:lang w:eastAsia="ar-SA"/>
        </w:rPr>
        <w:t>an assistance program (CLAP),</w:t>
      </w:r>
      <w:r w:rsidRPr="009E35ED">
        <w:rPr>
          <w:rFonts w:ascii="Arial" w:hAnsi="Arial" w:cs="Arial"/>
          <w:color w:val="000000" w:themeColor="text1"/>
          <w:sz w:val="22"/>
          <w:szCs w:val="22"/>
          <w:lang w:eastAsia="ar-SA"/>
        </w:rPr>
        <w:t xml:space="preserve"> tax deficiencies</w:t>
      </w:r>
      <w:r w:rsidR="00FD63D8" w:rsidRPr="009E35ED">
        <w:rPr>
          <w:rFonts w:ascii="Arial" w:hAnsi="Arial" w:cs="Arial"/>
          <w:color w:val="000000" w:themeColor="text1"/>
          <w:sz w:val="22"/>
          <w:szCs w:val="22"/>
          <w:lang w:eastAsia="ar-SA"/>
        </w:rPr>
        <w:t>, educational loans and intelligence fund</w:t>
      </w:r>
      <w:r w:rsidRPr="009E35ED">
        <w:rPr>
          <w:rFonts w:ascii="Arial" w:hAnsi="Arial" w:cs="Arial"/>
          <w:color w:val="000000" w:themeColor="text1"/>
          <w:sz w:val="22"/>
          <w:szCs w:val="22"/>
          <w:lang w:eastAsia="ar-SA"/>
        </w:rPr>
        <w:t xml:space="preserve">. </w:t>
      </w:r>
    </w:p>
    <w:p w14:paraId="75B0A838" w14:textId="469E5D1B" w:rsidR="00B1626D" w:rsidRPr="009E35ED" w:rsidRDefault="00B1626D" w:rsidP="0009178A">
      <w:pPr>
        <w:suppressAutoHyphens/>
        <w:ind w:left="0"/>
        <w:rPr>
          <w:rFonts w:ascii="Arial" w:hAnsi="Arial" w:cs="Arial"/>
          <w:color w:val="000000" w:themeColor="text1"/>
          <w:sz w:val="22"/>
          <w:szCs w:val="22"/>
          <w:lang w:eastAsia="ar-SA"/>
        </w:rPr>
      </w:pPr>
    </w:p>
    <w:p w14:paraId="153261E9" w14:textId="502D0D7A" w:rsidR="00B1626D" w:rsidRPr="009E35ED" w:rsidRDefault="00B1626D" w:rsidP="00803F8C">
      <w:pPr>
        <w:suppressAutoHyphens/>
        <w:ind w:left="0"/>
        <w:rPr>
          <w:rFonts w:ascii="Arial" w:hAnsi="Arial" w:cs="Arial"/>
          <w:color w:val="000000" w:themeColor="text1"/>
          <w:sz w:val="22"/>
          <w:szCs w:val="22"/>
          <w:lang w:eastAsia="ar-SA"/>
        </w:rPr>
      </w:pPr>
      <w:r w:rsidRPr="009E35ED">
        <w:rPr>
          <w:rFonts w:ascii="Arial" w:hAnsi="Arial" w:cs="Arial"/>
          <w:color w:val="000000" w:themeColor="text1"/>
          <w:sz w:val="22"/>
          <w:szCs w:val="22"/>
          <w:lang w:eastAsia="ar-SA"/>
        </w:rPr>
        <w:t xml:space="preserve">Receivables </w:t>
      </w:r>
      <w:r w:rsidR="00416DE8">
        <w:rPr>
          <w:rFonts w:ascii="Arial" w:hAnsi="Arial" w:cs="Arial"/>
          <w:color w:val="000000" w:themeColor="text1"/>
          <w:sz w:val="22"/>
          <w:szCs w:val="22"/>
          <w:lang w:eastAsia="ar-SA"/>
        </w:rPr>
        <w:t>d</w:t>
      </w:r>
      <w:r w:rsidRPr="009E35ED">
        <w:rPr>
          <w:rFonts w:ascii="Arial" w:hAnsi="Arial" w:cs="Arial"/>
          <w:color w:val="000000" w:themeColor="text1"/>
          <w:sz w:val="22"/>
          <w:szCs w:val="22"/>
          <w:lang w:eastAsia="ar-SA"/>
        </w:rPr>
        <w:t>isallowance this account includes COA disallowances on the payment of various benefits to the employees of</w:t>
      </w:r>
      <w:r w:rsidR="00416DE8">
        <w:rPr>
          <w:rFonts w:ascii="Arial" w:hAnsi="Arial" w:cs="Arial"/>
          <w:color w:val="000000" w:themeColor="text1"/>
          <w:sz w:val="22"/>
          <w:szCs w:val="22"/>
          <w:lang w:eastAsia="ar-SA"/>
        </w:rPr>
        <w:t xml:space="preserve"> the</w:t>
      </w:r>
      <w:r w:rsidRPr="009E35ED">
        <w:rPr>
          <w:rFonts w:ascii="Arial" w:hAnsi="Arial" w:cs="Arial"/>
          <w:color w:val="000000" w:themeColor="text1"/>
          <w:sz w:val="22"/>
          <w:szCs w:val="22"/>
          <w:lang w:eastAsia="ar-SA"/>
        </w:rPr>
        <w:t xml:space="preserve"> PCSO </w:t>
      </w:r>
      <w:r w:rsidR="00416DE8">
        <w:rPr>
          <w:rFonts w:ascii="Arial" w:hAnsi="Arial" w:cs="Arial"/>
          <w:color w:val="000000" w:themeColor="text1"/>
          <w:sz w:val="22"/>
          <w:szCs w:val="22"/>
          <w:lang w:eastAsia="ar-SA"/>
        </w:rPr>
        <w:t>b</w:t>
      </w:r>
      <w:r w:rsidRPr="009E35ED">
        <w:rPr>
          <w:rFonts w:ascii="Arial" w:hAnsi="Arial" w:cs="Arial"/>
          <w:color w:val="000000" w:themeColor="text1"/>
          <w:sz w:val="22"/>
          <w:szCs w:val="22"/>
          <w:lang w:eastAsia="ar-SA"/>
        </w:rPr>
        <w:t xml:space="preserve">ranch </w:t>
      </w:r>
      <w:r w:rsidR="00416DE8">
        <w:rPr>
          <w:rFonts w:ascii="Arial" w:hAnsi="Arial" w:cs="Arial"/>
          <w:color w:val="000000" w:themeColor="text1"/>
          <w:sz w:val="22"/>
          <w:szCs w:val="22"/>
          <w:lang w:eastAsia="ar-SA"/>
        </w:rPr>
        <w:t>o</w:t>
      </w:r>
      <w:r w:rsidRPr="009E35ED">
        <w:rPr>
          <w:rFonts w:ascii="Arial" w:hAnsi="Arial" w:cs="Arial"/>
          <w:color w:val="000000" w:themeColor="text1"/>
          <w:sz w:val="22"/>
          <w:szCs w:val="22"/>
          <w:lang w:eastAsia="ar-SA"/>
        </w:rPr>
        <w:t>ffices.</w:t>
      </w:r>
    </w:p>
    <w:p w14:paraId="48E2DAF8" w14:textId="77777777" w:rsidR="00B1626D" w:rsidRPr="009E35ED" w:rsidRDefault="00B1626D" w:rsidP="00803F8C">
      <w:pPr>
        <w:suppressAutoHyphens/>
        <w:ind w:left="0"/>
        <w:rPr>
          <w:rFonts w:ascii="Arial" w:hAnsi="Arial" w:cs="Arial"/>
          <w:color w:val="000000" w:themeColor="text1"/>
          <w:sz w:val="22"/>
          <w:szCs w:val="22"/>
          <w:lang w:eastAsia="ar-SA"/>
        </w:rPr>
      </w:pPr>
    </w:p>
    <w:p w14:paraId="41F74631" w14:textId="1715062C" w:rsidR="00B1626D" w:rsidRPr="009E35ED" w:rsidRDefault="00B1626D" w:rsidP="00803F8C">
      <w:pPr>
        <w:ind w:left="0"/>
        <w:rPr>
          <w:rFonts w:ascii="Arial" w:hAnsi="Arial" w:cs="Arial"/>
          <w:color w:val="000000" w:themeColor="text1"/>
          <w:sz w:val="22"/>
          <w:szCs w:val="22"/>
          <w:lang w:eastAsia="ar-SA"/>
        </w:rPr>
      </w:pPr>
      <w:r w:rsidRPr="009E35ED">
        <w:rPr>
          <w:rFonts w:ascii="Arial" w:hAnsi="Arial" w:cs="Arial"/>
          <w:color w:val="000000" w:themeColor="text1"/>
          <w:sz w:val="22"/>
          <w:szCs w:val="22"/>
          <w:lang w:eastAsia="ar-SA"/>
        </w:rPr>
        <w:t xml:space="preserve">Other </w:t>
      </w:r>
      <w:r w:rsidR="00416DE8">
        <w:rPr>
          <w:rFonts w:ascii="Arial" w:hAnsi="Arial" w:cs="Arial"/>
          <w:color w:val="000000" w:themeColor="text1"/>
          <w:sz w:val="22"/>
          <w:szCs w:val="22"/>
          <w:lang w:eastAsia="ar-SA"/>
        </w:rPr>
        <w:t>r</w:t>
      </w:r>
      <w:r w:rsidRPr="009E35ED">
        <w:rPr>
          <w:rFonts w:ascii="Arial" w:hAnsi="Arial" w:cs="Arial"/>
          <w:color w:val="000000" w:themeColor="text1"/>
          <w:sz w:val="22"/>
          <w:szCs w:val="22"/>
          <w:lang w:eastAsia="ar-SA"/>
        </w:rPr>
        <w:t xml:space="preserve">eceivables </w:t>
      </w:r>
      <w:r w:rsidR="004C3006" w:rsidRPr="009E35ED">
        <w:rPr>
          <w:rFonts w:ascii="Arial" w:hAnsi="Arial" w:cs="Arial"/>
          <w:color w:val="000000" w:themeColor="text1"/>
          <w:sz w:val="22"/>
          <w:szCs w:val="22"/>
          <w:lang w:eastAsia="ar-SA"/>
        </w:rPr>
        <w:t>represent</w:t>
      </w:r>
      <w:r w:rsidRPr="009E35ED">
        <w:rPr>
          <w:rFonts w:ascii="Arial" w:hAnsi="Arial" w:cs="Arial"/>
          <w:color w:val="000000" w:themeColor="text1"/>
          <w:sz w:val="22"/>
          <w:szCs w:val="22"/>
          <w:lang w:eastAsia="ar-SA"/>
        </w:rPr>
        <w:t xml:space="preserve"> accruals of interest income from various bank accounts for th</w:t>
      </w:r>
      <w:r w:rsidR="00FD63D8" w:rsidRPr="009E35ED">
        <w:rPr>
          <w:rFonts w:ascii="Arial" w:hAnsi="Arial" w:cs="Arial"/>
          <w:color w:val="000000" w:themeColor="text1"/>
          <w:sz w:val="22"/>
          <w:szCs w:val="22"/>
          <w:lang w:eastAsia="ar-SA"/>
        </w:rPr>
        <w:t xml:space="preserve">e period ended December 31, </w:t>
      </w:r>
      <w:r w:rsidR="00DD7022" w:rsidRPr="009E35ED">
        <w:rPr>
          <w:rFonts w:ascii="Arial" w:hAnsi="Arial" w:cs="Arial"/>
          <w:color w:val="000000" w:themeColor="text1"/>
          <w:sz w:val="22"/>
          <w:szCs w:val="22"/>
          <w:lang w:eastAsia="ar-SA"/>
        </w:rPr>
        <w:t xml:space="preserve">2023 </w:t>
      </w:r>
      <w:r w:rsidRPr="009E35ED">
        <w:rPr>
          <w:rFonts w:ascii="Arial" w:hAnsi="Arial" w:cs="Arial"/>
          <w:color w:val="000000" w:themeColor="text1"/>
          <w:sz w:val="22"/>
          <w:szCs w:val="22"/>
          <w:lang w:eastAsia="ar-SA"/>
        </w:rPr>
        <w:t xml:space="preserve">and the garnish amount pertaining to the case filed by TMA Group of Companies to </w:t>
      </w:r>
      <w:r w:rsidR="00416DE8">
        <w:rPr>
          <w:rFonts w:ascii="Arial" w:hAnsi="Arial" w:cs="Arial"/>
          <w:color w:val="000000" w:themeColor="text1"/>
          <w:sz w:val="22"/>
          <w:szCs w:val="22"/>
          <w:lang w:eastAsia="ar-SA"/>
        </w:rPr>
        <w:t xml:space="preserve">the </w:t>
      </w:r>
      <w:r w:rsidRPr="009E35ED">
        <w:rPr>
          <w:rFonts w:ascii="Arial" w:hAnsi="Arial" w:cs="Arial"/>
          <w:color w:val="000000" w:themeColor="text1"/>
          <w:sz w:val="22"/>
          <w:szCs w:val="22"/>
          <w:lang w:eastAsia="ar-SA"/>
        </w:rPr>
        <w:t xml:space="preserve">PCSO under Civil Case No. 11-310 in the amount of </w:t>
      </w:r>
      <w:r w:rsidR="00F55811" w:rsidRPr="009E35ED">
        <w:rPr>
          <w:rFonts w:ascii="Arial" w:hAnsi="Arial" w:cs="Arial"/>
          <w:color w:val="000000" w:themeColor="text1"/>
          <w:sz w:val="22"/>
          <w:szCs w:val="22"/>
          <w:lang w:eastAsia="ar-SA"/>
        </w:rPr>
        <w:t>P650</w:t>
      </w:r>
      <w:r w:rsidR="00FD63D8" w:rsidRPr="009E35ED">
        <w:rPr>
          <w:rFonts w:ascii="Arial" w:hAnsi="Arial" w:cs="Arial"/>
          <w:color w:val="000000" w:themeColor="text1"/>
          <w:sz w:val="22"/>
          <w:szCs w:val="22"/>
          <w:lang w:eastAsia="ar-SA"/>
        </w:rPr>
        <w:t>,</w:t>
      </w:r>
      <w:r w:rsidR="00DD7022" w:rsidRPr="009E35ED">
        <w:rPr>
          <w:rFonts w:ascii="Arial" w:hAnsi="Arial" w:cs="Arial"/>
          <w:color w:val="000000" w:themeColor="text1"/>
          <w:sz w:val="22"/>
          <w:szCs w:val="22"/>
          <w:lang w:eastAsia="ar-SA"/>
        </w:rPr>
        <w:t>826</w:t>
      </w:r>
      <w:r w:rsidR="00FD63D8" w:rsidRPr="009E35ED">
        <w:rPr>
          <w:rFonts w:ascii="Arial" w:hAnsi="Arial" w:cs="Arial"/>
          <w:color w:val="000000" w:themeColor="text1"/>
          <w:sz w:val="22"/>
          <w:szCs w:val="22"/>
          <w:lang w:eastAsia="ar-SA"/>
        </w:rPr>
        <w:t>,</w:t>
      </w:r>
      <w:r w:rsidR="00F55811" w:rsidRPr="009E35ED">
        <w:rPr>
          <w:rFonts w:ascii="Arial" w:hAnsi="Arial" w:cs="Arial"/>
          <w:color w:val="000000" w:themeColor="text1"/>
          <w:sz w:val="22"/>
          <w:szCs w:val="22"/>
          <w:lang w:eastAsia="ar-SA"/>
        </w:rPr>
        <w:t>394</w:t>
      </w:r>
      <w:r w:rsidR="00FD63D8" w:rsidRPr="009E35ED">
        <w:rPr>
          <w:rFonts w:ascii="Arial" w:hAnsi="Arial" w:cs="Arial"/>
          <w:color w:val="000000" w:themeColor="text1"/>
          <w:sz w:val="22"/>
          <w:szCs w:val="22"/>
          <w:lang w:eastAsia="ar-SA"/>
        </w:rPr>
        <w:t>.</w:t>
      </w:r>
      <w:r w:rsidR="00F55811" w:rsidRPr="009E35ED">
        <w:rPr>
          <w:rFonts w:ascii="Arial" w:hAnsi="Arial" w:cs="Arial"/>
          <w:color w:val="000000" w:themeColor="text1"/>
          <w:sz w:val="22"/>
          <w:szCs w:val="22"/>
          <w:lang w:eastAsia="ar-SA"/>
        </w:rPr>
        <w:t>47</w:t>
      </w:r>
      <w:r w:rsidRPr="009E35ED">
        <w:rPr>
          <w:rFonts w:ascii="Arial" w:hAnsi="Arial" w:cs="Arial"/>
          <w:color w:val="000000" w:themeColor="text1"/>
          <w:sz w:val="22"/>
          <w:szCs w:val="22"/>
          <w:lang w:eastAsia="ar-SA"/>
        </w:rPr>
        <w:t>.</w:t>
      </w:r>
    </w:p>
    <w:p w14:paraId="63349A35" w14:textId="79B193E6" w:rsidR="006D6778" w:rsidRPr="009E35ED" w:rsidRDefault="006D6778" w:rsidP="00803F8C">
      <w:pPr>
        <w:ind w:left="0"/>
        <w:rPr>
          <w:rFonts w:ascii="Arial" w:hAnsi="Arial" w:cs="Arial"/>
          <w:color w:val="000000" w:themeColor="text1"/>
          <w:sz w:val="22"/>
          <w:szCs w:val="22"/>
        </w:rPr>
      </w:pPr>
    </w:p>
    <w:p w14:paraId="73C76947" w14:textId="77777777" w:rsidR="00F604CC" w:rsidRPr="009E35ED" w:rsidRDefault="00F604CC" w:rsidP="00803F8C">
      <w:pPr>
        <w:ind w:left="0"/>
        <w:rPr>
          <w:rFonts w:ascii="Arial" w:hAnsi="Arial" w:cs="Arial"/>
          <w:color w:val="000000" w:themeColor="text1"/>
          <w:sz w:val="22"/>
          <w:szCs w:val="22"/>
        </w:rPr>
      </w:pPr>
    </w:p>
    <w:p w14:paraId="35D0FD45" w14:textId="77777777" w:rsidR="00B1626D" w:rsidRPr="009E35ED" w:rsidRDefault="00B1626D" w:rsidP="001C371F">
      <w:pPr>
        <w:pStyle w:val="ListParagraph"/>
        <w:numPr>
          <w:ilvl w:val="0"/>
          <w:numId w:val="13"/>
        </w:numPr>
        <w:ind w:left="720" w:hanging="720"/>
        <w:contextualSpacing/>
        <w:rPr>
          <w:rFonts w:ascii="Arial" w:hAnsi="Arial" w:cs="Arial"/>
          <w:b/>
          <w:color w:val="000000" w:themeColor="text1"/>
          <w:sz w:val="22"/>
          <w:szCs w:val="22"/>
        </w:rPr>
      </w:pPr>
      <w:r w:rsidRPr="009E35ED">
        <w:rPr>
          <w:rFonts w:ascii="Arial" w:hAnsi="Arial" w:cs="Arial"/>
          <w:b/>
          <w:color w:val="000000" w:themeColor="text1"/>
          <w:sz w:val="22"/>
          <w:szCs w:val="22"/>
        </w:rPr>
        <w:t>INVENTORIES</w:t>
      </w:r>
    </w:p>
    <w:p w14:paraId="2D910EE4" w14:textId="77777777" w:rsidR="00B1626D" w:rsidRPr="009E35ED" w:rsidRDefault="00B1626D" w:rsidP="00803F8C">
      <w:pPr>
        <w:ind w:left="0"/>
        <w:contextualSpacing/>
        <w:rPr>
          <w:rFonts w:ascii="Arial" w:hAnsi="Arial" w:cs="Arial"/>
          <w:b/>
          <w:color w:val="000000" w:themeColor="text1"/>
          <w:sz w:val="22"/>
          <w:szCs w:val="22"/>
        </w:rPr>
      </w:pPr>
    </w:p>
    <w:p w14:paraId="30F51DF7" w14:textId="30A288B0" w:rsidR="00B1626D" w:rsidRDefault="00B1626D" w:rsidP="00803F8C">
      <w:pPr>
        <w:ind w:left="0"/>
        <w:contextualSpacing/>
        <w:rPr>
          <w:rFonts w:ascii="Arial" w:hAnsi="Arial" w:cs="Arial"/>
          <w:color w:val="000000" w:themeColor="text1"/>
          <w:sz w:val="22"/>
          <w:szCs w:val="22"/>
        </w:rPr>
      </w:pPr>
      <w:r w:rsidRPr="009E35ED">
        <w:rPr>
          <w:rFonts w:ascii="Arial" w:hAnsi="Arial" w:cs="Arial"/>
          <w:color w:val="000000" w:themeColor="text1"/>
          <w:sz w:val="22"/>
          <w:szCs w:val="22"/>
        </w:rPr>
        <w:t>This</w:t>
      </w:r>
      <w:r w:rsidRPr="009E35ED">
        <w:rPr>
          <w:rFonts w:ascii="Arial" w:hAnsi="Arial" w:cs="Arial"/>
          <w:b/>
          <w:color w:val="000000" w:themeColor="text1"/>
          <w:sz w:val="22"/>
          <w:szCs w:val="22"/>
        </w:rPr>
        <w:t xml:space="preserve"> </w:t>
      </w:r>
      <w:r w:rsidRPr="009E35ED">
        <w:rPr>
          <w:rFonts w:ascii="Arial" w:hAnsi="Arial" w:cs="Arial"/>
          <w:color w:val="000000" w:themeColor="text1"/>
          <w:sz w:val="22"/>
          <w:szCs w:val="22"/>
        </w:rPr>
        <w:t>account consists the following:</w:t>
      </w:r>
    </w:p>
    <w:p w14:paraId="6662A153" w14:textId="77777777" w:rsidR="00691A0A" w:rsidRPr="009E35ED" w:rsidRDefault="00691A0A" w:rsidP="00803F8C">
      <w:pPr>
        <w:ind w:left="0"/>
        <w:contextualSpacing/>
        <w:rPr>
          <w:rFonts w:ascii="Arial" w:hAnsi="Arial" w:cs="Arial"/>
          <w:color w:val="000000" w:themeColor="text1"/>
          <w:sz w:val="22"/>
          <w:szCs w:val="22"/>
        </w:rPr>
      </w:pPr>
    </w:p>
    <w:p w14:paraId="237BA8C0" w14:textId="366118EA" w:rsidR="00292B06" w:rsidRPr="009E35ED" w:rsidRDefault="00691A0A" w:rsidP="00803F8C">
      <w:pPr>
        <w:ind w:left="0"/>
        <w:contextualSpacing/>
        <w:rPr>
          <w:rFonts w:ascii="Arial" w:hAnsi="Arial" w:cs="Arial"/>
          <w:color w:val="000000" w:themeColor="text1"/>
          <w:sz w:val="22"/>
          <w:szCs w:val="22"/>
        </w:rPr>
      </w:pPr>
      <w:r w:rsidRPr="009E35ED">
        <w:rPr>
          <w:rFonts w:ascii="Arial Narrow" w:hAnsi="Arial Narrow" w:cs="Calibri"/>
          <w:b/>
          <w:bCs/>
          <w:color w:val="000000" w:themeColor="text1"/>
          <w:sz w:val="22"/>
          <w:szCs w:val="22"/>
        </w:rPr>
        <w:t>INVENTORIES</w:t>
      </w:r>
    </w:p>
    <w:tbl>
      <w:tblPr>
        <w:tblW w:w="8672" w:type="dxa"/>
        <w:tblLook w:val="04A0" w:firstRow="1" w:lastRow="0" w:firstColumn="1" w:lastColumn="0" w:noHBand="0" w:noVBand="1"/>
      </w:tblPr>
      <w:tblGrid>
        <w:gridCol w:w="5310"/>
        <w:gridCol w:w="1718"/>
        <w:gridCol w:w="1644"/>
      </w:tblGrid>
      <w:tr w:rsidR="00691A0A" w:rsidRPr="009E35ED" w14:paraId="44F45AA0" w14:textId="77777777" w:rsidTr="00B90388">
        <w:trPr>
          <w:trHeight w:val="249"/>
          <w:tblHeader/>
        </w:trPr>
        <w:tc>
          <w:tcPr>
            <w:tcW w:w="5310" w:type="dxa"/>
            <w:tcBorders>
              <w:top w:val="single" w:sz="4" w:space="0" w:color="auto"/>
              <w:left w:val="nil"/>
              <w:bottom w:val="single" w:sz="4" w:space="0" w:color="auto"/>
              <w:right w:val="nil"/>
            </w:tcBorders>
            <w:shd w:val="clear" w:color="auto" w:fill="auto"/>
            <w:noWrap/>
            <w:vAlign w:val="bottom"/>
            <w:hideMark/>
          </w:tcPr>
          <w:p w14:paraId="3B6BB90C" w14:textId="6C32A10C" w:rsidR="00691A0A" w:rsidRPr="009E35ED" w:rsidRDefault="00691A0A" w:rsidP="00B90388">
            <w:pPr>
              <w:ind w:left="0"/>
              <w:jc w:val="left"/>
              <w:rPr>
                <w:rFonts w:ascii="Arial Narrow" w:hAnsi="Arial Narrow" w:cs="Calibri"/>
                <w:b/>
                <w:bCs/>
                <w:color w:val="000000" w:themeColor="text1"/>
                <w:sz w:val="22"/>
                <w:szCs w:val="22"/>
              </w:rPr>
            </w:pPr>
          </w:p>
        </w:tc>
        <w:tc>
          <w:tcPr>
            <w:tcW w:w="1718" w:type="dxa"/>
            <w:tcBorders>
              <w:top w:val="single" w:sz="4" w:space="0" w:color="auto"/>
              <w:left w:val="nil"/>
              <w:bottom w:val="single" w:sz="4" w:space="0" w:color="auto"/>
              <w:right w:val="nil"/>
            </w:tcBorders>
            <w:shd w:val="clear" w:color="auto" w:fill="auto"/>
            <w:noWrap/>
            <w:vAlign w:val="bottom"/>
            <w:hideMark/>
          </w:tcPr>
          <w:p w14:paraId="2EA6C578" w14:textId="4DC6C48B" w:rsidR="00691A0A" w:rsidRPr="009E35ED" w:rsidRDefault="00691A0A" w:rsidP="00B90388">
            <w:pPr>
              <w:ind w:left="0"/>
              <w:jc w:val="right"/>
              <w:rPr>
                <w:rFonts w:ascii="Arial Narrow" w:hAnsi="Arial Narrow" w:cs="Calibri"/>
                <w:b/>
                <w:bCs/>
                <w:color w:val="000000" w:themeColor="text1"/>
                <w:sz w:val="22"/>
                <w:szCs w:val="22"/>
              </w:rPr>
            </w:pPr>
            <w:r w:rsidRPr="009E35ED">
              <w:rPr>
                <w:rFonts w:ascii="Arial Narrow" w:hAnsi="Arial Narrow" w:cs="Calibri"/>
                <w:b/>
                <w:bCs/>
                <w:color w:val="000000" w:themeColor="text1"/>
                <w:sz w:val="22"/>
                <w:szCs w:val="22"/>
              </w:rPr>
              <w:t>2023</w:t>
            </w:r>
          </w:p>
        </w:tc>
        <w:tc>
          <w:tcPr>
            <w:tcW w:w="1644" w:type="dxa"/>
            <w:tcBorders>
              <w:top w:val="single" w:sz="4" w:space="0" w:color="auto"/>
              <w:left w:val="nil"/>
              <w:bottom w:val="single" w:sz="4" w:space="0" w:color="auto"/>
              <w:right w:val="nil"/>
            </w:tcBorders>
            <w:shd w:val="clear" w:color="auto" w:fill="auto"/>
            <w:noWrap/>
            <w:vAlign w:val="bottom"/>
            <w:hideMark/>
          </w:tcPr>
          <w:p w14:paraId="4EF26AB4" w14:textId="5D6EF7EA" w:rsidR="00691A0A" w:rsidRPr="009E35ED" w:rsidRDefault="00691A0A" w:rsidP="00B90388">
            <w:pPr>
              <w:ind w:left="0"/>
              <w:jc w:val="right"/>
              <w:rPr>
                <w:rFonts w:ascii="Arial Narrow" w:hAnsi="Arial Narrow"/>
                <w:color w:val="000000" w:themeColor="text1"/>
                <w:sz w:val="22"/>
                <w:szCs w:val="22"/>
              </w:rPr>
            </w:pPr>
            <w:r w:rsidRPr="009E35ED">
              <w:rPr>
                <w:rFonts w:ascii="Arial Narrow" w:hAnsi="Arial Narrow" w:cs="Calibri"/>
                <w:b/>
                <w:bCs/>
                <w:color w:val="000000" w:themeColor="text1"/>
                <w:sz w:val="22"/>
                <w:szCs w:val="22"/>
              </w:rPr>
              <w:t>2022</w:t>
            </w:r>
          </w:p>
        </w:tc>
      </w:tr>
      <w:tr w:rsidR="004C3006" w:rsidRPr="009E35ED" w14:paraId="74F6E078" w14:textId="77777777" w:rsidTr="00B90388">
        <w:trPr>
          <w:trHeight w:val="249"/>
        </w:trPr>
        <w:tc>
          <w:tcPr>
            <w:tcW w:w="5310" w:type="dxa"/>
            <w:tcBorders>
              <w:top w:val="single" w:sz="4" w:space="0" w:color="auto"/>
              <w:left w:val="nil"/>
              <w:right w:val="nil"/>
            </w:tcBorders>
            <w:shd w:val="clear" w:color="auto" w:fill="auto"/>
            <w:noWrap/>
            <w:vAlign w:val="bottom"/>
          </w:tcPr>
          <w:p w14:paraId="57901430" w14:textId="77777777" w:rsidR="004C3006" w:rsidRPr="009E35ED" w:rsidRDefault="004C3006" w:rsidP="000B3F04">
            <w:pPr>
              <w:ind w:left="-108"/>
              <w:jc w:val="left"/>
              <w:rPr>
                <w:rFonts w:ascii="Arial Narrow" w:hAnsi="Arial Narrow" w:cs="Calibri"/>
                <w:b/>
                <w:bCs/>
                <w:color w:val="000000" w:themeColor="text1"/>
                <w:sz w:val="22"/>
                <w:szCs w:val="22"/>
              </w:rPr>
            </w:pPr>
          </w:p>
        </w:tc>
        <w:tc>
          <w:tcPr>
            <w:tcW w:w="1718" w:type="dxa"/>
            <w:tcBorders>
              <w:top w:val="single" w:sz="4" w:space="0" w:color="auto"/>
              <w:left w:val="nil"/>
              <w:right w:val="nil"/>
            </w:tcBorders>
            <w:shd w:val="clear" w:color="auto" w:fill="auto"/>
            <w:noWrap/>
            <w:vAlign w:val="bottom"/>
          </w:tcPr>
          <w:p w14:paraId="4D635BB7" w14:textId="77777777" w:rsidR="004C3006" w:rsidRPr="009E35ED" w:rsidRDefault="004C3006" w:rsidP="00AD3D41">
            <w:pPr>
              <w:ind w:left="0"/>
              <w:jc w:val="right"/>
              <w:rPr>
                <w:rFonts w:ascii="Arial Narrow" w:hAnsi="Arial Narrow" w:cs="Calibri"/>
                <w:b/>
                <w:bCs/>
                <w:color w:val="000000" w:themeColor="text1"/>
                <w:sz w:val="22"/>
                <w:szCs w:val="22"/>
              </w:rPr>
            </w:pPr>
          </w:p>
        </w:tc>
        <w:tc>
          <w:tcPr>
            <w:tcW w:w="1644" w:type="dxa"/>
            <w:tcBorders>
              <w:top w:val="single" w:sz="4" w:space="0" w:color="auto"/>
              <w:left w:val="nil"/>
              <w:right w:val="nil"/>
            </w:tcBorders>
            <w:shd w:val="clear" w:color="auto" w:fill="auto"/>
            <w:noWrap/>
            <w:vAlign w:val="bottom"/>
          </w:tcPr>
          <w:p w14:paraId="77C252FE" w14:textId="77777777" w:rsidR="004C3006" w:rsidRPr="009E35ED" w:rsidRDefault="004C3006" w:rsidP="000B3F04">
            <w:pPr>
              <w:ind w:left="0" w:right="-76"/>
              <w:jc w:val="right"/>
              <w:rPr>
                <w:rFonts w:ascii="Arial Narrow" w:hAnsi="Arial Narrow"/>
                <w:color w:val="000000" w:themeColor="text1"/>
                <w:sz w:val="22"/>
                <w:szCs w:val="22"/>
              </w:rPr>
            </w:pPr>
          </w:p>
        </w:tc>
      </w:tr>
      <w:tr w:rsidR="00997F75" w:rsidRPr="009E35ED" w14:paraId="1B190751" w14:textId="77777777" w:rsidTr="00B90388">
        <w:trPr>
          <w:trHeight w:val="249"/>
        </w:trPr>
        <w:tc>
          <w:tcPr>
            <w:tcW w:w="5310" w:type="dxa"/>
            <w:tcBorders>
              <w:left w:val="nil"/>
              <w:bottom w:val="nil"/>
              <w:right w:val="nil"/>
            </w:tcBorders>
            <w:shd w:val="clear" w:color="auto" w:fill="auto"/>
            <w:noWrap/>
            <w:vAlign w:val="bottom"/>
            <w:hideMark/>
          </w:tcPr>
          <w:p w14:paraId="56496BC8" w14:textId="53175FC7" w:rsidR="00C15C13" w:rsidRPr="009E35ED" w:rsidRDefault="00C15C13" w:rsidP="000B3F04">
            <w:pPr>
              <w:ind w:left="-108"/>
              <w:jc w:val="left"/>
              <w:rPr>
                <w:rFonts w:ascii="Arial Narrow" w:hAnsi="Arial Narrow" w:cs="Calibri"/>
                <w:b/>
                <w:bCs/>
                <w:color w:val="000000" w:themeColor="text1"/>
                <w:sz w:val="22"/>
                <w:szCs w:val="22"/>
              </w:rPr>
            </w:pPr>
            <w:r w:rsidRPr="009E35ED">
              <w:rPr>
                <w:rFonts w:ascii="Arial Narrow" w:hAnsi="Arial Narrow" w:cs="Calibri"/>
                <w:b/>
                <w:bCs/>
                <w:color w:val="000000" w:themeColor="text1"/>
                <w:sz w:val="22"/>
                <w:szCs w:val="22"/>
              </w:rPr>
              <w:t>Drugs and Medicines for Distribution</w:t>
            </w:r>
          </w:p>
        </w:tc>
        <w:tc>
          <w:tcPr>
            <w:tcW w:w="1718" w:type="dxa"/>
            <w:tcBorders>
              <w:left w:val="nil"/>
              <w:bottom w:val="nil"/>
              <w:right w:val="nil"/>
            </w:tcBorders>
            <w:shd w:val="clear" w:color="auto" w:fill="auto"/>
            <w:noWrap/>
            <w:vAlign w:val="bottom"/>
            <w:hideMark/>
          </w:tcPr>
          <w:p w14:paraId="59B8BD55" w14:textId="77777777" w:rsidR="00C15C13" w:rsidRPr="009E35ED" w:rsidRDefault="00C15C13" w:rsidP="00AD3D41">
            <w:pPr>
              <w:ind w:left="0"/>
              <w:jc w:val="right"/>
              <w:rPr>
                <w:rFonts w:ascii="Arial Narrow" w:hAnsi="Arial Narrow" w:cs="Calibri"/>
                <w:b/>
                <w:bCs/>
                <w:color w:val="000000" w:themeColor="text1"/>
                <w:sz w:val="22"/>
                <w:szCs w:val="22"/>
              </w:rPr>
            </w:pPr>
          </w:p>
        </w:tc>
        <w:tc>
          <w:tcPr>
            <w:tcW w:w="1644" w:type="dxa"/>
            <w:tcBorders>
              <w:left w:val="nil"/>
              <w:bottom w:val="nil"/>
              <w:right w:val="nil"/>
            </w:tcBorders>
            <w:shd w:val="clear" w:color="auto" w:fill="auto"/>
            <w:noWrap/>
            <w:vAlign w:val="bottom"/>
            <w:hideMark/>
          </w:tcPr>
          <w:p w14:paraId="1F445261" w14:textId="77777777" w:rsidR="00C15C13" w:rsidRPr="009E35ED" w:rsidRDefault="00C15C13" w:rsidP="000B3F04">
            <w:pPr>
              <w:ind w:left="0" w:right="-76"/>
              <w:jc w:val="right"/>
              <w:rPr>
                <w:rFonts w:ascii="Arial Narrow" w:hAnsi="Arial Narrow"/>
                <w:color w:val="000000" w:themeColor="text1"/>
                <w:sz w:val="22"/>
                <w:szCs w:val="22"/>
              </w:rPr>
            </w:pPr>
          </w:p>
        </w:tc>
      </w:tr>
      <w:tr w:rsidR="00997F75" w:rsidRPr="009E35ED" w14:paraId="60DD260D" w14:textId="77777777" w:rsidTr="000B3F04">
        <w:trPr>
          <w:trHeight w:val="249"/>
        </w:trPr>
        <w:tc>
          <w:tcPr>
            <w:tcW w:w="5310" w:type="dxa"/>
            <w:tcBorders>
              <w:top w:val="nil"/>
              <w:left w:val="nil"/>
              <w:bottom w:val="nil"/>
              <w:right w:val="nil"/>
            </w:tcBorders>
            <w:shd w:val="clear" w:color="auto" w:fill="auto"/>
            <w:noWrap/>
            <w:vAlign w:val="bottom"/>
            <w:hideMark/>
          </w:tcPr>
          <w:p w14:paraId="2A3A6B1F" w14:textId="77777777" w:rsidR="00C15C13" w:rsidRPr="009E35ED" w:rsidRDefault="00C15C13" w:rsidP="000B3F04">
            <w:pPr>
              <w:ind w:left="-108"/>
              <w:jc w:val="left"/>
              <w:rPr>
                <w:rFonts w:ascii="Arial Narrow" w:hAnsi="Arial Narrow" w:cs="Calibri"/>
                <w:color w:val="000000" w:themeColor="text1"/>
                <w:sz w:val="22"/>
                <w:szCs w:val="22"/>
              </w:rPr>
            </w:pPr>
            <w:r w:rsidRPr="009E35ED">
              <w:rPr>
                <w:rFonts w:ascii="Arial Narrow" w:hAnsi="Arial Narrow" w:cs="Calibri"/>
                <w:color w:val="000000" w:themeColor="text1"/>
                <w:sz w:val="22"/>
                <w:szCs w:val="22"/>
              </w:rPr>
              <w:t>Carrying Amount January 1</w:t>
            </w:r>
          </w:p>
        </w:tc>
        <w:tc>
          <w:tcPr>
            <w:tcW w:w="1718" w:type="dxa"/>
            <w:tcBorders>
              <w:top w:val="nil"/>
              <w:left w:val="nil"/>
              <w:bottom w:val="nil"/>
              <w:right w:val="nil"/>
            </w:tcBorders>
            <w:shd w:val="clear" w:color="auto" w:fill="auto"/>
            <w:noWrap/>
            <w:vAlign w:val="bottom"/>
          </w:tcPr>
          <w:p w14:paraId="1E2C3CAF" w14:textId="77777777" w:rsidR="00C15C13" w:rsidRPr="009E35ED" w:rsidRDefault="00C15C13" w:rsidP="00AD3D41">
            <w:pPr>
              <w:ind w:left="0"/>
              <w:jc w:val="right"/>
              <w:rPr>
                <w:rFonts w:ascii="Arial Narrow" w:hAnsi="Arial Narrow" w:cs="Calibri"/>
                <w:color w:val="000000" w:themeColor="text1"/>
                <w:sz w:val="22"/>
                <w:szCs w:val="22"/>
              </w:rPr>
            </w:pPr>
            <w:r w:rsidRPr="009E35ED">
              <w:rPr>
                <w:rFonts w:ascii="Arial Narrow" w:hAnsi="Arial Narrow" w:cs="Calibri"/>
                <w:color w:val="000000" w:themeColor="text1"/>
                <w:sz w:val="22"/>
                <w:szCs w:val="22"/>
              </w:rPr>
              <w:t>31,300</w:t>
            </w:r>
          </w:p>
        </w:tc>
        <w:tc>
          <w:tcPr>
            <w:tcW w:w="1644" w:type="dxa"/>
            <w:tcBorders>
              <w:top w:val="nil"/>
              <w:left w:val="nil"/>
              <w:bottom w:val="nil"/>
              <w:right w:val="nil"/>
            </w:tcBorders>
            <w:shd w:val="clear" w:color="auto" w:fill="auto"/>
            <w:noWrap/>
            <w:vAlign w:val="bottom"/>
            <w:hideMark/>
          </w:tcPr>
          <w:p w14:paraId="2220D6CC" w14:textId="77777777" w:rsidR="00C15C13" w:rsidRPr="009E35ED" w:rsidRDefault="00C15C13" w:rsidP="000B3F04">
            <w:pPr>
              <w:ind w:left="0" w:right="-76"/>
              <w:jc w:val="right"/>
              <w:rPr>
                <w:rFonts w:ascii="Arial Narrow" w:hAnsi="Arial Narrow" w:cs="Calibri"/>
                <w:color w:val="000000" w:themeColor="text1"/>
                <w:sz w:val="22"/>
                <w:szCs w:val="22"/>
              </w:rPr>
            </w:pPr>
            <w:r w:rsidRPr="009E35ED">
              <w:rPr>
                <w:rFonts w:ascii="Arial Narrow" w:hAnsi="Arial Narrow" w:cs="Calibri"/>
                <w:color w:val="000000" w:themeColor="text1"/>
                <w:sz w:val="22"/>
                <w:szCs w:val="22"/>
              </w:rPr>
              <w:t>1,796,226</w:t>
            </w:r>
          </w:p>
        </w:tc>
      </w:tr>
      <w:tr w:rsidR="00997F75" w:rsidRPr="009E35ED" w14:paraId="57F893E5" w14:textId="77777777" w:rsidTr="000B3F04">
        <w:trPr>
          <w:trHeight w:val="249"/>
        </w:trPr>
        <w:tc>
          <w:tcPr>
            <w:tcW w:w="5310" w:type="dxa"/>
            <w:tcBorders>
              <w:top w:val="nil"/>
              <w:left w:val="nil"/>
              <w:bottom w:val="nil"/>
              <w:right w:val="nil"/>
            </w:tcBorders>
            <w:shd w:val="clear" w:color="auto" w:fill="auto"/>
            <w:noWrap/>
            <w:vAlign w:val="bottom"/>
            <w:hideMark/>
          </w:tcPr>
          <w:p w14:paraId="1F09A7AD" w14:textId="77777777" w:rsidR="00C15C13" w:rsidRPr="009E35ED" w:rsidRDefault="00C15C13" w:rsidP="000B3F04">
            <w:pPr>
              <w:ind w:left="-108"/>
              <w:jc w:val="left"/>
              <w:rPr>
                <w:rFonts w:ascii="Arial Narrow" w:hAnsi="Arial Narrow" w:cs="Calibri"/>
                <w:color w:val="000000" w:themeColor="text1"/>
                <w:sz w:val="22"/>
                <w:szCs w:val="22"/>
              </w:rPr>
            </w:pPr>
            <w:r w:rsidRPr="009E35ED">
              <w:rPr>
                <w:rFonts w:ascii="Arial Narrow" w:hAnsi="Arial Narrow" w:cs="Calibri"/>
                <w:color w:val="000000" w:themeColor="text1"/>
                <w:sz w:val="22"/>
                <w:szCs w:val="22"/>
              </w:rPr>
              <w:t>Additional acquisition during the year</w:t>
            </w:r>
          </w:p>
        </w:tc>
        <w:tc>
          <w:tcPr>
            <w:tcW w:w="1718" w:type="dxa"/>
            <w:tcBorders>
              <w:top w:val="nil"/>
              <w:left w:val="nil"/>
              <w:bottom w:val="nil"/>
              <w:right w:val="nil"/>
            </w:tcBorders>
            <w:shd w:val="clear" w:color="auto" w:fill="auto"/>
            <w:noWrap/>
            <w:vAlign w:val="bottom"/>
          </w:tcPr>
          <w:p w14:paraId="5072615A" w14:textId="77777777" w:rsidR="00C15C13" w:rsidRPr="009E35ED" w:rsidRDefault="00C15C13" w:rsidP="00AD3D41">
            <w:pPr>
              <w:ind w:left="0"/>
              <w:jc w:val="right"/>
              <w:rPr>
                <w:rFonts w:ascii="Arial Narrow" w:hAnsi="Arial Narrow" w:cs="Calibri"/>
                <w:color w:val="000000" w:themeColor="text1"/>
                <w:sz w:val="22"/>
                <w:szCs w:val="22"/>
              </w:rPr>
            </w:pPr>
            <w:r w:rsidRPr="009E35ED">
              <w:rPr>
                <w:rFonts w:ascii="Arial Narrow" w:hAnsi="Arial Narrow" w:cs="Calibri"/>
                <w:color w:val="000000" w:themeColor="text1"/>
                <w:sz w:val="22"/>
                <w:szCs w:val="22"/>
              </w:rPr>
              <w:t>881,712</w:t>
            </w:r>
          </w:p>
        </w:tc>
        <w:tc>
          <w:tcPr>
            <w:tcW w:w="1644" w:type="dxa"/>
            <w:tcBorders>
              <w:top w:val="nil"/>
              <w:left w:val="nil"/>
              <w:bottom w:val="nil"/>
              <w:right w:val="nil"/>
            </w:tcBorders>
            <w:shd w:val="clear" w:color="auto" w:fill="auto"/>
            <w:noWrap/>
            <w:vAlign w:val="bottom"/>
            <w:hideMark/>
          </w:tcPr>
          <w:p w14:paraId="4F0D9ACD" w14:textId="77777777" w:rsidR="00C15C13" w:rsidRPr="009E35ED" w:rsidRDefault="00C15C13" w:rsidP="000B3F04">
            <w:pPr>
              <w:ind w:left="0" w:right="-76"/>
              <w:jc w:val="right"/>
              <w:rPr>
                <w:rFonts w:ascii="Arial Narrow" w:hAnsi="Arial Narrow" w:cs="Calibri"/>
                <w:color w:val="000000" w:themeColor="text1"/>
                <w:sz w:val="22"/>
                <w:szCs w:val="22"/>
              </w:rPr>
            </w:pPr>
            <w:r w:rsidRPr="009E35ED">
              <w:rPr>
                <w:rFonts w:ascii="Arial Narrow" w:hAnsi="Arial Narrow" w:cs="Calibri"/>
                <w:color w:val="000000" w:themeColor="text1"/>
                <w:sz w:val="22"/>
                <w:szCs w:val="22"/>
              </w:rPr>
              <w:t>235,183</w:t>
            </w:r>
          </w:p>
        </w:tc>
      </w:tr>
      <w:tr w:rsidR="00997F75" w:rsidRPr="009E35ED" w14:paraId="042660A3" w14:textId="77777777" w:rsidTr="000B3F04">
        <w:trPr>
          <w:trHeight w:val="249"/>
        </w:trPr>
        <w:tc>
          <w:tcPr>
            <w:tcW w:w="5310" w:type="dxa"/>
            <w:tcBorders>
              <w:top w:val="nil"/>
              <w:left w:val="nil"/>
              <w:bottom w:val="nil"/>
              <w:right w:val="nil"/>
            </w:tcBorders>
            <w:shd w:val="clear" w:color="auto" w:fill="auto"/>
            <w:noWrap/>
            <w:vAlign w:val="bottom"/>
            <w:hideMark/>
          </w:tcPr>
          <w:p w14:paraId="764EA7D5" w14:textId="77777777" w:rsidR="00C15C13" w:rsidRPr="009E35ED" w:rsidRDefault="00C15C13" w:rsidP="000B3F04">
            <w:pPr>
              <w:ind w:left="-108"/>
              <w:jc w:val="left"/>
              <w:rPr>
                <w:rFonts w:ascii="Arial Narrow" w:hAnsi="Arial Narrow" w:cs="Calibri"/>
                <w:color w:val="000000" w:themeColor="text1"/>
                <w:sz w:val="22"/>
                <w:szCs w:val="22"/>
              </w:rPr>
            </w:pPr>
            <w:r w:rsidRPr="009E35ED">
              <w:rPr>
                <w:rFonts w:ascii="Arial Narrow" w:hAnsi="Arial Narrow" w:cs="Calibri"/>
                <w:color w:val="000000" w:themeColor="text1"/>
                <w:sz w:val="22"/>
                <w:szCs w:val="22"/>
              </w:rPr>
              <w:t>Expensed during the year</w:t>
            </w:r>
          </w:p>
        </w:tc>
        <w:tc>
          <w:tcPr>
            <w:tcW w:w="1718" w:type="dxa"/>
            <w:tcBorders>
              <w:top w:val="nil"/>
              <w:left w:val="nil"/>
              <w:bottom w:val="nil"/>
              <w:right w:val="nil"/>
            </w:tcBorders>
            <w:shd w:val="clear" w:color="auto" w:fill="auto"/>
            <w:noWrap/>
            <w:vAlign w:val="bottom"/>
          </w:tcPr>
          <w:p w14:paraId="428988F2" w14:textId="77777777" w:rsidR="00C15C13" w:rsidRPr="009E35ED" w:rsidRDefault="00C15C13" w:rsidP="00AD3D41">
            <w:pPr>
              <w:ind w:left="0"/>
              <w:jc w:val="right"/>
              <w:rPr>
                <w:rFonts w:ascii="Arial Narrow" w:hAnsi="Arial Narrow" w:cs="Calibri"/>
                <w:color w:val="000000" w:themeColor="text1"/>
                <w:sz w:val="22"/>
                <w:szCs w:val="22"/>
              </w:rPr>
            </w:pPr>
            <w:r w:rsidRPr="009E35ED">
              <w:rPr>
                <w:rFonts w:ascii="Arial Narrow" w:hAnsi="Arial Narrow" w:cs="Calibri"/>
                <w:color w:val="000000" w:themeColor="text1"/>
                <w:sz w:val="22"/>
                <w:szCs w:val="22"/>
              </w:rPr>
              <w:t>(1,362,411)</w:t>
            </w:r>
          </w:p>
        </w:tc>
        <w:tc>
          <w:tcPr>
            <w:tcW w:w="1644" w:type="dxa"/>
            <w:tcBorders>
              <w:top w:val="nil"/>
              <w:left w:val="nil"/>
              <w:bottom w:val="nil"/>
              <w:right w:val="nil"/>
            </w:tcBorders>
            <w:shd w:val="clear" w:color="auto" w:fill="auto"/>
            <w:noWrap/>
            <w:vAlign w:val="bottom"/>
            <w:hideMark/>
          </w:tcPr>
          <w:p w14:paraId="31577B6A" w14:textId="77777777" w:rsidR="00C15C13" w:rsidRPr="009E35ED" w:rsidRDefault="00C15C13" w:rsidP="000B3F04">
            <w:pPr>
              <w:ind w:left="0" w:right="-76"/>
              <w:jc w:val="right"/>
              <w:rPr>
                <w:rFonts w:ascii="Arial Narrow" w:hAnsi="Arial Narrow" w:cs="Calibri"/>
                <w:color w:val="000000" w:themeColor="text1"/>
                <w:sz w:val="22"/>
                <w:szCs w:val="22"/>
              </w:rPr>
            </w:pPr>
            <w:r w:rsidRPr="009E35ED">
              <w:rPr>
                <w:rFonts w:ascii="Arial Narrow" w:hAnsi="Arial Narrow" w:cs="Calibri"/>
                <w:color w:val="000000" w:themeColor="text1"/>
                <w:sz w:val="22"/>
                <w:szCs w:val="22"/>
              </w:rPr>
              <w:t>(2,402,451)</w:t>
            </w:r>
          </w:p>
        </w:tc>
      </w:tr>
      <w:tr w:rsidR="00997F75" w:rsidRPr="009E35ED" w14:paraId="34AA7398" w14:textId="77777777" w:rsidTr="000B3F04">
        <w:trPr>
          <w:trHeight w:val="249"/>
        </w:trPr>
        <w:tc>
          <w:tcPr>
            <w:tcW w:w="5310" w:type="dxa"/>
            <w:tcBorders>
              <w:top w:val="nil"/>
              <w:left w:val="nil"/>
              <w:bottom w:val="nil"/>
              <w:right w:val="nil"/>
            </w:tcBorders>
            <w:shd w:val="clear" w:color="auto" w:fill="auto"/>
            <w:noWrap/>
            <w:vAlign w:val="bottom"/>
            <w:hideMark/>
          </w:tcPr>
          <w:p w14:paraId="4F55F97F" w14:textId="77777777" w:rsidR="00C15C13" w:rsidRPr="009E35ED" w:rsidRDefault="00C15C13" w:rsidP="000B3F04">
            <w:pPr>
              <w:ind w:left="-108"/>
              <w:jc w:val="left"/>
              <w:rPr>
                <w:rFonts w:ascii="Arial Narrow" w:hAnsi="Arial Narrow" w:cs="Calibri"/>
                <w:color w:val="000000" w:themeColor="text1"/>
                <w:sz w:val="22"/>
                <w:szCs w:val="22"/>
              </w:rPr>
            </w:pPr>
            <w:r w:rsidRPr="009E35ED">
              <w:rPr>
                <w:rFonts w:ascii="Arial Narrow" w:hAnsi="Arial Narrow" w:cs="Calibri"/>
                <w:color w:val="000000" w:themeColor="text1"/>
                <w:sz w:val="22"/>
                <w:szCs w:val="22"/>
              </w:rPr>
              <w:t>Other adjustment / Accruals</w:t>
            </w:r>
          </w:p>
        </w:tc>
        <w:tc>
          <w:tcPr>
            <w:tcW w:w="1718" w:type="dxa"/>
            <w:tcBorders>
              <w:top w:val="nil"/>
              <w:left w:val="nil"/>
              <w:bottom w:val="nil"/>
              <w:right w:val="nil"/>
            </w:tcBorders>
            <w:shd w:val="clear" w:color="auto" w:fill="auto"/>
            <w:noWrap/>
            <w:vAlign w:val="bottom"/>
          </w:tcPr>
          <w:p w14:paraId="30516464" w14:textId="77777777" w:rsidR="00C15C13" w:rsidRPr="009E35ED" w:rsidRDefault="00C15C13" w:rsidP="00AD3D41">
            <w:pPr>
              <w:ind w:left="0"/>
              <w:jc w:val="right"/>
              <w:rPr>
                <w:rFonts w:ascii="Arial Narrow" w:hAnsi="Arial Narrow" w:cs="Calibri"/>
                <w:color w:val="000000" w:themeColor="text1"/>
                <w:sz w:val="22"/>
                <w:szCs w:val="22"/>
              </w:rPr>
            </w:pPr>
            <w:r w:rsidRPr="009E35ED">
              <w:rPr>
                <w:rFonts w:ascii="Arial Narrow" w:hAnsi="Arial Narrow" w:cs="Calibri"/>
                <w:color w:val="000000" w:themeColor="text1"/>
                <w:sz w:val="22"/>
                <w:szCs w:val="22"/>
              </w:rPr>
              <w:t>2,359,366</w:t>
            </w:r>
          </w:p>
        </w:tc>
        <w:tc>
          <w:tcPr>
            <w:tcW w:w="1644" w:type="dxa"/>
            <w:tcBorders>
              <w:top w:val="nil"/>
              <w:left w:val="nil"/>
              <w:bottom w:val="nil"/>
              <w:right w:val="nil"/>
            </w:tcBorders>
            <w:shd w:val="clear" w:color="auto" w:fill="auto"/>
            <w:noWrap/>
            <w:vAlign w:val="bottom"/>
            <w:hideMark/>
          </w:tcPr>
          <w:p w14:paraId="3D850F58" w14:textId="77777777" w:rsidR="00C15C13" w:rsidRPr="009E35ED" w:rsidRDefault="00C15C13" w:rsidP="000B3F04">
            <w:pPr>
              <w:ind w:left="0" w:right="-76"/>
              <w:jc w:val="right"/>
              <w:rPr>
                <w:rFonts w:ascii="Arial Narrow" w:hAnsi="Arial Narrow" w:cs="Calibri"/>
                <w:color w:val="000000" w:themeColor="text1"/>
                <w:sz w:val="22"/>
                <w:szCs w:val="22"/>
              </w:rPr>
            </w:pPr>
            <w:r w:rsidRPr="009E35ED">
              <w:rPr>
                <w:rFonts w:ascii="Arial Narrow" w:hAnsi="Arial Narrow" w:cs="Calibri"/>
                <w:color w:val="000000" w:themeColor="text1"/>
                <w:sz w:val="22"/>
                <w:szCs w:val="22"/>
              </w:rPr>
              <w:t>402,342</w:t>
            </w:r>
          </w:p>
        </w:tc>
      </w:tr>
      <w:tr w:rsidR="00997F75" w:rsidRPr="009E35ED" w14:paraId="71D4024E" w14:textId="77777777" w:rsidTr="000B3F04">
        <w:trPr>
          <w:trHeight w:val="249"/>
        </w:trPr>
        <w:tc>
          <w:tcPr>
            <w:tcW w:w="5310" w:type="dxa"/>
            <w:tcBorders>
              <w:top w:val="single" w:sz="4" w:space="0" w:color="auto"/>
              <w:left w:val="nil"/>
              <w:bottom w:val="single" w:sz="4" w:space="0" w:color="auto"/>
              <w:right w:val="nil"/>
            </w:tcBorders>
            <w:shd w:val="clear" w:color="auto" w:fill="auto"/>
            <w:noWrap/>
            <w:vAlign w:val="bottom"/>
            <w:hideMark/>
          </w:tcPr>
          <w:p w14:paraId="0A2152C8" w14:textId="77777777" w:rsidR="00C15C13" w:rsidRPr="009E35ED" w:rsidRDefault="00C15C13" w:rsidP="000B3F04">
            <w:pPr>
              <w:ind w:left="-108"/>
              <w:jc w:val="left"/>
              <w:rPr>
                <w:rFonts w:ascii="Arial Narrow" w:hAnsi="Arial Narrow" w:cs="Calibri"/>
                <w:b/>
                <w:bCs/>
                <w:color w:val="000000" w:themeColor="text1"/>
                <w:sz w:val="22"/>
                <w:szCs w:val="22"/>
              </w:rPr>
            </w:pPr>
            <w:r w:rsidRPr="009E35ED">
              <w:rPr>
                <w:rFonts w:ascii="Arial Narrow" w:hAnsi="Arial Narrow" w:cs="Calibri"/>
                <w:b/>
                <w:bCs/>
                <w:color w:val="000000" w:themeColor="text1"/>
                <w:sz w:val="22"/>
                <w:szCs w:val="22"/>
              </w:rPr>
              <w:t>Carrying Amount December 31</w:t>
            </w:r>
          </w:p>
        </w:tc>
        <w:tc>
          <w:tcPr>
            <w:tcW w:w="1718" w:type="dxa"/>
            <w:tcBorders>
              <w:top w:val="single" w:sz="4" w:space="0" w:color="auto"/>
              <w:left w:val="nil"/>
              <w:bottom w:val="single" w:sz="4" w:space="0" w:color="auto"/>
              <w:right w:val="nil"/>
            </w:tcBorders>
            <w:shd w:val="clear" w:color="auto" w:fill="auto"/>
            <w:noWrap/>
            <w:vAlign w:val="bottom"/>
          </w:tcPr>
          <w:p w14:paraId="3B717DDA" w14:textId="77777777" w:rsidR="00C15C13" w:rsidRPr="009E35ED" w:rsidRDefault="00C15C13" w:rsidP="00AD3D41">
            <w:pPr>
              <w:ind w:left="0"/>
              <w:jc w:val="right"/>
              <w:rPr>
                <w:rFonts w:ascii="Arial Narrow" w:hAnsi="Arial Narrow" w:cs="Calibri"/>
                <w:b/>
                <w:bCs/>
                <w:color w:val="000000" w:themeColor="text1"/>
                <w:sz w:val="22"/>
                <w:szCs w:val="22"/>
              </w:rPr>
            </w:pPr>
            <w:r w:rsidRPr="009E35ED">
              <w:rPr>
                <w:rFonts w:ascii="Arial Narrow" w:hAnsi="Arial Narrow" w:cs="Calibri"/>
                <w:b/>
                <w:bCs/>
                <w:color w:val="000000" w:themeColor="text1"/>
                <w:sz w:val="22"/>
                <w:szCs w:val="22"/>
              </w:rPr>
              <w:fldChar w:fldCharType="begin"/>
            </w:r>
            <w:r w:rsidRPr="009E35ED">
              <w:rPr>
                <w:rFonts w:ascii="Arial Narrow" w:hAnsi="Arial Narrow" w:cs="Calibri"/>
                <w:b/>
                <w:bCs/>
                <w:color w:val="000000" w:themeColor="text1"/>
                <w:sz w:val="22"/>
                <w:szCs w:val="22"/>
              </w:rPr>
              <w:instrText xml:space="preserve"> =SUM(B4:B7) </w:instrText>
            </w:r>
            <w:r w:rsidRPr="009E35ED">
              <w:rPr>
                <w:rFonts w:ascii="Arial Narrow" w:hAnsi="Arial Narrow" w:cs="Calibri"/>
                <w:b/>
                <w:bCs/>
                <w:color w:val="000000" w:themeColor="text1"/>
                <w:sz w:val="22"/>
                <w:szCs w:val="22"/>
              </w:rPr>
              <w:fldChar w:fldCharType="separate"/>
            </w:r>
            <w:r w:rsidRPr="009E35ED">
              <w:rPr>
                <w:rFonts w:ascii="Arial Narrow" w:hAnsi="Arial Narrow" w:cs="Calibri"/>
                <w:b/>
                <w:bCs/>
                <w:noProof/>
                <w:color w:val="000000" w:themeColor="text1"/>
                <w:sz w:val="22"/>
                <w:szCs w:val="22"/>
              </w:rPr>
              <w:t>1,909,967</w:t>
            </w:r>
            <w:r w:rsidRPr="009E35ED">
              <w:rPr>
                <w:rFonts w:ascii="Arial Narrow" w:hAnsi="Arial Narrow" w:cs="Calibri"/>
                <w:b/>
                <w:bCs/>
                <w:color w:val="000000" w:themeColor="text1"/>
                <w:sz w:val="22"/>
                <w:szCs w:val="22"/>
              </w:rPr>
              <w:fldChar w:fldCharType="end"/>
            </w:r>
          </w:p>
        </w:tc>
        <w:tc>
          <w:tcPr>
            <w:tcW w:w="1644" w:type="dxa"/>
            <w:tcBorders>
              <w:top w:val="single" w:sz="4" w:space="0" w:color="auto"/>
              <w:left w:val="nil"/>
              <w:bottom w:val="single" w:sz="4" w:space="0" w:color="auto"/>
              <w:right w:val="nil"/>
            </w:tcBorders>
            <w:shd w:val="clear" w:color="auto" w:fill="auto"/>
            <w:noWrap/>
            <w:vAlign w:val="bottom"/>
            <w:hideMark/>
          </w:tcPr>
          <w:p w14:paraId="0BF5DAB5" w14:textId="77777777" w:rsidR="00C15C13" w:rsidRPr="009E35ED" w:rsidRDefault="00C15C13" w:rsidP="000B3F04">
            <w:pPr>
              <w:ind w:left="0" w:right="-76"/>
              <w:jc w:val="right"/>
              <w:rPr>
                <w:rFonts w:ascii="Arial Narrow" w:hAnsi="Arial Narrow" w:cs="Calibri"/>
                <w:b/>
                <w:bCs/>
                <w:color w:val="000000" w:themeColor="text1"/>
                <w:sz w:val="22"/>
                <w:szCs w:val="22"/>
              </w:rPr>
            </w:pPr>
            <w:r w:rsidRPr="009E35ED">
              <w:rPr>
                <w:rFonts w:ascii="Arial Narrow" w:hAnsi="Arial Narrow" w:cs="Calibri"/>
                <w:b/>
                <w:bCs/>
                <w:color w:val="000000" w:themeColor="text1"/>
                <w:sz w:val="22"/>
                <w:szCs w:val="22"/>
              </w:rPr>
              <w:fldChar w:fldCharType="begin"/>
            </w:r>
            <w:r w:rsidRPr="009E35ED">
              <w:rPr>
                <w:rFonts w:ascii="Arial Narrow" w:hAnsi="Arial Narrow" w:cs="Calibri"/>
                <w:b/>
                <w:bCs/>
                <w:color w:val="000000" w:themeColor="text1"/>
                <w:sz w:val="22"/>
                <w:szCs w:val="22"/>
              </w:rPr>
              <w:instrText xml:space="preserve"> =SUM(c4:c7) </w:instrText>
            </w:r>
            <w:r w:rsidRPr="009E35ED">
              <w:rPr>
                <w:rFonts w:ascii="Arial Narrow" w:hAnsi="Arial Narrow" w:cs="Calibri"/>
                <w:b/>
                <w:bCs/>
                <w:color w:val="000000" w:themeColor="text1"/>
                <w:sz w:val="22"/>
                <w:szCs w:val="22"/>
              </w:rPr>
              <w:fldChar w:fldCharType="separate"/>
            </w:r>
            <w:r w:rsidRPr="009E35ED">
              <w:rPr>
                <w:rFonts w:ascii="Arial Narrow" w:hAnsi="Arial Narrow" w:cs="Calibri"/>
                <w:b/>
                <w:bCs/>
                <w:noProof/>
                <w:color w:val="000000" w:themeColor="text1"/>
                <w:sz w:val="22"/>
                <w:szCs w:val="22"/>
              </w:rPr>
              <w:t>31,300</w:t>
            </w:r>
            <w:r w:rsidRPr="009E35ED">
              <w:rPr>
                <w:rFonts w:ascii="Arial Narrow" w:hAnsi="Arial Narrow" w:cs="Calibri"/>
                <w:b/>
                <w:bCs/>
                <w:color w:val="000000" w:themeColor="text1"/>
                <w:sz w:val="22"/>
                <w:szCs w:val="22"/>
              </w:rPr>
              <w:fldChar w:fldCharType="end"/>
            </w:r>
          </w:p>
        </w:tc>
      </w:tr>
      <w:tr w:rsidR="004C3006" w:rsidRPr="009E35ED" w14:paraId="6AD568FC" w14:textId="77777777" w:rsidTr="000B3F04">
        <w:trPr>
          <w:trHeight w:val="249"/>
        </w:trPr>
        <w:tc>
          <w:tcPr>
            <w:tcW w:w="5310" w:type="dxa"/>
            <w:tcBorders>
              <w:top w:val="nil"/>
              <w:left w:val="nil"/>
              <w:bottom w:val="nil"/>
              <w:right w:val="nil"/>
            </w:tcBorders>
            <w:shd w:val="clear" w:color="auto" w:fill="auto"/>
            <w:noWrap/>
            <w:vAlign w:val="bottom"/>
          </w:tcPr>
          <w:p w14:paraId="657D4529" w14:textId="77777777" w:rsidR="004C3006" w:rsidRPr="009E35ED" w:rsidRDefault="004C3006" w:rsidP="000B3F04">
            <w:pPr>
              <w:ind w:left="-108"/>
              <w:jc w:val="left"/>
              <w:rPr>
                <w:rFonts w:ascii="Arial Narrow" w:hAnsi="Arial Narrow" w:cs="Calibri"/>
                <w:b/>
                <w:bCs/>
                <w:color w:val="000000" w:themeColor="text1"/>
                <w:sz w:val="22"/>
                <w:szCs w:val="22"/>
              </w:rPr>
            </w:pPr>
          </w:p>
        </w:tc>
        <w:tc>
          <w:tcPr>
            <w:tcW w:w="1718" w:type="dxa"/>
            <w:tcBorders>
              <w:top w:val="nil"/>
              <w:left w:val="nil"/>
              <w:bottom w:val="nil"/>
              <w:right w:val="nil"/>
            </w:tcBorders>
            <w:shd w:val="clear" w:color="auto" w:fill="auto"/>
            <w:noWrap/>
            <w:vAlign w:val="bottom"/>
          </w:tcPr>
          <w:p w14:paraId="11D316EE" w14:textId="77777777" w:rsidR="004C3006" w:rsidRPr="009E35ED" w:rsidRDefault="004C3006" w:rsidP="00AD3D41">
            <w:pPr>
              <w:ind w:left="0"/>
              <w:jc w:val="right"/>
              <w:rPr>
                <w:rFonts w:ascii="Arial Narrow" w:hAnsi="Arial Narrow" w:cs="Calibri"/>
                <w:b/>
                <w:bCs/>
                <w:color w:val="000000" w:themeColor="text1"/>
                <w:sz w:val="22"/>
                <w:szCs w:val="22"/>
              </w:rPr>
            </w:pPr>
          </w:p>
        </w:tc>
        <w:tc>
          <w:tcPr>
            <w:tcW w:w="1644" w:type="dxa"/>
            <w:tcBorders>
              <w:top w:val="nil"/>
              <w:left w:val="nil"/>
              <w:bottom w:val="nil"/>
              <w:right w:val="nil"/>
            </w:tcBorders>
            <w:shd w:val="clear" w:color="auto" w:fill="auto"/>
            <w:noWrap/>
            <w:vAlign w:val="bottom"/>
          </w:tcPr>
          <w:p w14:paraId="6A23648D" w14:textId="77777777" w:rsidR="004C3006" w:rsidRPr="009E35ED" w:rsidRDefault="004C3006" w:rsidP="00AD3D41">
            <w:pPr>
              <w:ind w:left="0"/>
              <w:jc w:val="right"/>
              <w:rPr>
                <w:rFonts w:ascii="Arial Narrow" w:hAnsi="Arial Narrow"/>
                <w:color w:val="000000" w:themeColor="text1"/>
                <w:sz w:val="22"/>
                <w:szCs w:val="22"/>
              </w:rPr>
            </w:pPr>
          </w:p>
        </w:tc>
      </w:tr>
      <w:tr w:rsidR="00997F75" w:rsidRPr="009E35ED" w14:paraId="7343AED8" w14:textId="77777777" w:rsidTr="000B3F04">
        <w:trPr>
          <w:trHeight w:val="249"/>
        </w:trPr>
        <w:tc>
          <w:tcPr>
            <w:tcW w:w="5310" w:type="dxa"/>
            <w:tcBorders>
              <w:top w:val="nil"/>
              <w:left w:val="nil"/>
              <w:bottom w:val="nil"/>
              <w:right w:val="nil"/>
            </w:tcBorders>
            <w:shd w:val="clear" w:color="auto" w:fill="auto"/>
            <w:noWrap/>
            <w:vAlign w:val="bottom"/>
          </w:tcPr>
          <w:p w14:paraId="6597893D" w14:textId="7BEE49E8" w:rsidR="00C15C13" w:rsidRPr="009E35ED" w:rsidRDefault="00C15C13" w:rsidP="000B3F04">
            <w:pPr>
              <w:ind w:left="-108"/>
              <w:jc w:val="left"/>
              <w:rPr>
                <w:rFonts w:ascii="Arial Narrow" w:hAnsi="Arial Narrow" w:cs="Calibri"/>
                <w:b/>
                <w:bCs/>
                <w:color w:val="000000" w:themeColor="text1"/>
                <w:sz w:val="22"/>
                <w:szCs w:val="22"/>
              </w:rPr>
            </w:pPr>
            <w:r w:rsidRPr="009E35ED">
              <w:rPr>
                <w:rFonts w:ascii="Arial Narrow" w:hAnsi="Arial Narrow" w:cs="Calibri"/>
                <w:b/>
                <w:bCs/>
                <w:color w:val="000000" w:themeColor="text1"/>
                <w:sz w:val="22"/>
                <w:szCs w:val="22"/>
              </w:rPr>
              <w:t>Other Supplies and Materials for Distribution</w:t>
            </w:r>
          </w:p>
        </w:tc>
        <w:tc>
          <w:tcPr>
            <w:tcW w:w="1718" w:type="dxa"/>
            <w:tcBorders>
              <w:top w:val="nil"/>
              <w:left w:val="nil"/>
              <w:bottom w:val="nil"/>
              <w:right w:val="nil"/>
            </w:tcBorders>
            <w:shd w:val="clear" w:color="auto" w:fill="auto"/>
            <w:noWrap/>
            <w:vAlign w:val="bottom"/>
          </w:tcPr>
          <w:p w14:paraId="0178C673" w14:textId="77777777" w:rsidR="00C15C13" w:rsidRPr="009E35ED" w:rsidRDefault="00C15C13" w:rsidP="00AD3D41">
            <w:pPr>
              <w:ind w:left="0"/>
              <w:jc w:val="right"/>
              <w:rPr>
                <w:rFonts w:ascii="Arial Narrow" w:hAnsi="Arial Narrow" w:cs="Calibri"/>
                <w:b/>
                <w:bCs/>
                <w:color w:val="000000" w:themeColor="text1"/>
                <w:sz w:val="22"/>
                <w:szCs w:val="22"/>
              </w:rPr>
            </w:pPr>
          </w:p>
        </w:tc>
        <w:tc>
          <w:tcPr>
            <w:tcW w:w="1644" w:type="dxa"/>
            <w:tcBorders>
              <w:top w:val="nil"/>
              <w:left w:val="nil"/>
              <w:bottom w:val="nil"/>
              <w:right w:val="nil"/>
            </w:tcBorders>
            <w:shd w:val="clear" w:color="auto" w:fill="auto"/>
            <w:noWrap/>
            <w:vAlign w:val="bottom"/>
          </w:tcPr>
          <w:p w14:paraId="1161E2BA" w14:textId="77777777" w:rsidR="00C15C13" w:rsidRPr="009E35ED" w:rsidRDefault="00C15C13" w:rsidP="00AD3D41">
            <w:pPr>
              <w:ind w:left="0"/>
              <w:jc w:val="right"/>
              <w:rPr>
                <w:rFonts w:ascii="Arial Narrow" w:hAnsi="Arial Narrow"/>
                <w:color w:val="000000" w:themeColor="text1"/>
                <w:sz w:val="22"/>
                <w:szCs w:val="22"/>
              </w:rPr>
            </w:pPr>
          </w:p>
        </w:tc>
      </w:tr>
      <w:tr w:rsidR="00997F75" w:rsidRPr="009E35ED" w14:paraId="4D2DE66C" w14:textId="77777777" w:rsidTr="000B3F04">
        <w:trPr>
          <w:trHeight w:val="249"/>
        </w:trPr>
        <w:tc>
          <w:tcPr>
            <w:tcW w:w="5310" w:type="dxa"/>
            <w:tcBorders>
              <w:top w:val="nil"/>
              <w:left w:val="nil"/>
              <w:bottom w:val="nil"/>
              <w:right w:val="nil"/>
            </w:tcBorders>
            <w:shd w:val="clear" w:color="auto" w:fill="auto"/>
            <w:noWrap/>
            <w:vAlign w:val="bottom"/>
          </w:tcPr>
          <w:p w14:paraId="06977F6F" w14:textId="77777777" w:rsidR="00C15C13" w:rsidRPr="009E35ED" w:rsidRDefault="00C15C13" w:rsidP="000B3F04">
            <w:pPr>
              <w:ind w:left="-108"/>
              <w:jc w:val="left"/>
              <w:rPr>
                <w:rFonts w:ascii="Arial Narrow" w:hAnsi="Arial Narrow" w:cs="Calibri"/>
                <w:b/>
                <w:bCs/>
                <w:color w:val="000000" w:themeColor="text1"/>
                <w:sz w:val="22"/>
                <w:szCs w:val="22"/>
              </w:rPr>
            </w:pPr>
            <w:r w:rsidRPr="009E35ED">
              <w:rPr>
                <w:rFonts w:ascii="Arial Narrow" w:hAnsi="Arial Narrow" w:cs="Calibri"/>
                <w:color w:val="000000" w:themeColor="text1"/>
                <w:sz w:val="22"/>
                <w:szCs w:val="22"/>
              </w:rPr>
              <w:t>Carrying Amount January 1</w:t>
            </w:r>
          </w:p>
        </w:tc>
        <w:tc>
          <w:tcPr>
            <w:tcW w:w="1718" w:type="dxa"/>
            <w:tcBorders>
              <w:top w:val="nil"/>
              <w:left w:val="nil"/>
              <w:bottom w:val="nil"/>
              <w:right w:val="nil"/>
            </w:tcBorders>
            <w:shd w:val="clear" w:color="auto" w:fill="auto"/>
            <w:noWrap/>
            <w:vAlign w:val="bottom"/>
          </w:tcPr>
          <w:p w14:paraId="7D0070DB" w14:textId="77777777" w:rsidR="00C15C13" w:rsidRPr="009E35ED" w:rsidRDefault="00C15C13" w:rsidP="00AD3D41">
            <w:pPr>
              <w:ind w:left="0"/>
              <w:jc w:val="right"/>
              <w:rPr>
                <w:rFonts w:ascii="Arial Narrow" w:hAnsi="Arial Narrow" w:cs="Calibri"/>
                <w:b/>
                <w:bCs/>
                <w:color w:val="000000" w:themeColor="text1"/>
                <w:sz w:val="22"/>
                <w:szCs w:val="22"/>
              </w:rPr>
            </w:pPr>
            <w:r w:rsidRPr="009E35ED">
              <w:rPr>
                <w:rFonts w:ascii="Arial Narrow" w:hAnsi="Arial Narrow" w:cs="Calibri"/>
                <w:color w:val="000000" w:themeColor="text1"/>
                <w:sz w:val="22"/>
                <w:szCs w:val="22"/>
              </w:rPr>
              <w:t>2,552,000</w:t>
            </w:r>
          </w:p>
        </w:tc>
        <w:tc>
          <w:tcPr>
            <w:tcW w:w="1644" w:type="dxa"/>
            <w:tcBorders>
              <w:top w:val="nil"/>
              <w:left w:val="nil"/>
              <w:bottom w:val="nil"/>
              <w:right w:val="nil"/>
            </w:tcBorders>
            <w:shd w:val="clear" w:color="auto" w:fill="auto"/>
            <w:noWrap/>
            <w:vAlign w:val="bottom"/>
          </w:tcPr>
          <w:p w14:paraId="14F66FDB" w14:textId="77777777" w:rsidR="00C15C13" w:rsidRPr="009E35ED" w:rsidRDefault="00C15C13" w:rsidP="000B3F04">
            <w:pPr>
              <w:ind w:left="0" w:right="-76"/>
              <w:jc w:val="right"/>
              <w:rPr>
                <w:rFonts w:ascii="Arial Narrow" w:hAnsi="Arial Narrow"/>
                <w:color w:val="000000" w:themeColor="text1"/>
                <w:sz w:val="22"/>
                <w:szCs w:val="22"/>
              </w:rPr>
            </w:pPr>
            <w:r w:rsidRPr="009E35ED">
              <w:rPr>
                <w:rFonts w:ascii="Arial Narrow" w:hAnsi="Arial Narrow" w:cs="Calibri"/>
                <w:color w:val="000000" w:themeColor="text1"/>
                <w:sz w:val="22"/>
                <w:szCs w:val="22"/>
              </w:rPr>
              <w:t>2,511,600</w:t>
            </w:r>
          </w:p>
        </w:tc>
      </w:tr>
      <w:tr w:rsidR="00997F75" w:rsidRPr="009E35ED" w14:paraId="6AF1B3C3" w14:textId="77777777" w:rsidTr="000B3F04">
        <w:trPr>
          <w:trHeight w:val="249"/>
        </w:trPr>
        <w:tc>
          <w:tcPr>
            <w:tcW w:w="5310" w:type="dxa"/>
            <w:tcBorders>
              <w:top w:val="nil"/>
              <w:left w:val="nil"/>
              <w:bottom w:val="nil"/>
              <w:right w:val="nil"/>
            </w:tcBorders>
            <w:shd w:val="clear" w:color="auto" w:fill="auto"/>
            <w:noWrap/>
            <w:vAlign w:val="bottom"/>
          </w:tcPr>
          <w:p w14:paraId="74ED8A1C" w14:textId="77777777" w:rsidR="00C15C13" w:rsidRPr="009E35ED" w:rsidRDefault="00C15C13" w:rsidP="000B3F04">
            <w:pPr>
              <w:ind w:left="-108"/>
              <w:jc w:val="left"/>
              <w:rPr>
                <w:rFonts w:ascii="Arial Narrow" w:hAnsi="Arial Narrow" w:cs="Calibri"/>
                <w:b/>
                <w:bCs/>
                <w:color w:val="000000" w:themeColor="text1"/>
                <w:sz w:val="22"/>
                <w:szCs w:val="22"/>
              </w:rPr>
            </w:pPr>
            <w:r w:rsidRPr="009E35ED">
              <w:rPr>
                <w:rFonts w:ascii="Arial Narrow" w:hAnsi="Arial Narrow" w:cs="Calibri"/>
                <w:color w:val="000000" w:themeColor="text1"/>
                <w:sz w:val="22"/>
                <w:szCs w:val="22"/>
              </w:rPr>
              <w:t>Additional acquisition during the year</w:t>
            </w:r>
          </w:p>
        </w:tc>
        <w:tc>
          <w:tcPr>
            <w:tcW w:w="1718" w:type="dxa"/>
            <w:tcBorders>
              <w:top w:val="nil"/>
              <w:left w:val="nil"/>
              <w:bottom w:val="nil"/>
              <w:right w:val="nil"/>
            </w:tcBorders>
            <w:shd w:val="clear" w:color="auto" w:fill="auto"/>
            <w:noWrap/>
            <w:vAlign w:val="bottom"/>
          </w:tcPr>
          <w:p w14:paraId="57D83BF2" w14:textId="77777777" w:rsidR="00C15C13" w:rsidRPr="009E35ED" w:rsidRDefault="00C15C13" w:rsidP="00AD3D41">
            <w:pPr>
              <w:ind w:left="0"/>
              <w:jc w:val="right"/>
              <w:rPr>
                <w:rFonts w:ascii="Arial Narrow" w:hAnsi="Arial Narrow" w:cs="Calibri"/>
                <w:b/>
                <w:bCs/>
                <w:color w:val="000000" w:themeColor="text1"/>
                <w:sz w:val="22"/>
                <w:szCs w:val="22"/>
              </w:rPr>
            </w:pPr>
            <w:r w:rsidRPr="009E35ED">
              <w:rPr>
                <w:rFonts w:ascii="Arial Narrow" w:hAnsi="Arial Narrow" w:cs="Calibri"/>
                <w:b/>
                <w:bCs/>
                <w:color w:val="000000" w:themeColor="text1"/>
                <w:sz w:val="22"/>
                <w:szCs w:val="22"/>
              </w:rPr>
              <w:t>-</w:t>
            </w:r>
          </w:p>
        </w:tc>
        <w:tc>
          <w:tcPr>
            <w:tcW w:w="1644" w:type="dxa"/>
            <w:tcBorders>
              <w:top w:val="nil"/>
              <w:left w:val="nil"/>
              <w:bottom w:val="nil"/>
              <w:right w:val="nil"/>
            </w:tcBorders>
            <w:shd w:val="clear" w:color="auto" w:fill="auto"/>
            <w:noWrap/>
            <w:vAlign w:val="bottom"/>
          </w:tcPr>
          <w:p w14:paraId="1D80A2C9" w14:textId="77777777" w:rsidR="00C15C13" w:rsidRPr="009E35ED" w:rsidRDefault="00C15C13" w:rsidP="000B3F04">
            <w:pPr>
              <w:ind w:left="0" w:right="-76"/>
              <w:jc w:val="right"/>
              <w:rPr>
                <w:rFonts w:ascii="Arial Narrow" w:hAnsi="Arial Narrow"/>
                <w:color w:val="000000" w:themeColor="text1"/>
                <w:sz w:val="22"/>
                <w:szCs w:val="22"/>
              </w:rPr>
            </w:pPr>
            <w:r w:rsidRPr="009E35ED">
              <w:rPr>
                <w:rFonts w:ascii="Arial Narrow" w:hAnsi="Arial Narrow" w:cs="Calibri"/>
                <w:color w:val="000000" w:themeColor="text1"/>
                <w:sz w:val="22"/>
                <w:szCs w:val="22"/>
              </w:rPr>
              <w:t>40,400</w:t>
            </w:r>
          </w:p>
        </w:tc>
      </w:tr>
      <w:tr w:rsidR="00997F75" w:rsidRPr="009E35ED" w14:paraId="54A14010" w14:textId="77777777" w:rsidTr="000B3F04">
        <w:trPr>
          <w:trHeight w:val="249"/>
        </w:trPr>
        <w:tc>
          <w:tcPr>
            <w:tcW w:w="5310" w:type="dxa"/>
            <w:tcBorders>
              <w:top w:val="nil"/>
              <w:left w:val="nil"/>
              <w:bottom w:val="nil"/>
              <w:right w:val="nil"/>
            </w:tcBorders>
            <w:shd w:val="clear" w:color="auto" w:fill="auto"/>
            <w:noWrap/>
            <w:vAlign w:val="bottom"/>
          </w:tcPr>
          <w:p w14:paraId="558A2943" w14:textId="77777777" w:rsidR="00C15C13" w:rsidRPr="009E35ED" w:rsidRDefault="00C15C13" w:rsidP="000B3F04">
            <w:pPr>
              <w:ind w:left="-108"/>
              <w:jc w:val="left"/>
              <w:rPr>
                <w:rFonts w:ascii="Arial Narrow" w:hAnsi="Arial Narrow" w:cs="Calibri"/>
                <w:b/>
                <w:bCs/>
                <w:color w:val="000000" w:themeColor="text1"/>
                <w:sz w:val="22"/>
                <w:szCs w:val="22"/>
              </w:rPr>
            </w:pPr>
            <w:r w:rsidRPr="009E35ED">
              <w:rPr>
                <w:rFonts w:ascii="Arial Narrow" w:hAnsi="Arial Narrow" w:cs="Calibri"/>
                <w:color w:val="000000" w:themeColor="text1"/>
                <w:sz w:val="22"/>
                <w:szCs w:val="22"/>
              </w:rPr>
              <w:t>Expensed during the year</w:t>
            </w:r>
          </w:p>
        </w:tc>
        <w:tc>
          <w:tcPr>
            <w:tcW w:w="1718" w:type="dxa"/>
            <w:tcBorders>
              <w:top w:val="nil"/>
              <w:left w:val="nil"/>
              <w:bottom w:val="nil"/>
              <w:right w:val="nil"/>
            </w:tcBorders>
            <w:shd w:val="clear" w:color="auto" w:fill="auto"/>
            <w:noWrap/>
            <w:vAlign w:val="bottom"/>
          </w:tcPr>
          <w:p w14:paraId="305DDF0F" w14:textId="77777777" w:rsidR="00C15C13" w:rsidRPr="009E35ED" w:rsidRDefault="00C15C13" w:rsidP="00AD3D41">
            <w:pPr>
              <w:ind w:left="0"/>
              <w:jc w:val="right"/>
              <w:rPr>
                <w:rFonts w:ascii="Arial Narrow" w:hAnsi="Arial Narrow" w:cs="Calibri"/>
                <w:b/>
                <w:bCs/>
                <w:color w:val="000000" w:themeColor="text1"/>
                <w:sz w:val="22"/>
                <w:szCs w:val="22"/>
              </w:rPr>
            </w:pPr>
            <w:r w:rsidRPr="009E35ED">
              <w:rPr>
                <w:rFonts w:ascii="Arial Narrow" w:hAnsi="Arial Narrow" w:cs="Calibri"/>
                <w:b/>
                <w:bCs/>
                <w:color w:val="000000" w:themeColor="text1"/>
                <w:sz w:val="22"/>
                <w:szCs w:val="22"/>
              </w:rPr>
              <w:t>-</w:t>
            </w:r>
          </w:p>
        </w:tc>
        <w:tc>
          <w:tcPr>
            <w:tcW w:w="1644" w:type="dxa"/>
            <w:tcBorders>
              <w:top w:val="nil"/>
              <w:left w:val="nil"/>
              <w:bottom w:val="nil"/>
              <w:right w:val="nil"/>
            </w:tcBorders>
            <w:shd w:val="clear" w:color="auto" w:fill="auto"/>
            <w:noWrap/>
            <w:vAlign w:val="bottom"/>
          </w:tcPr>
          <w:p w14:paraId="1C43159F" w14:textId="77777777" w:rsidR="00C15C13" w:rsidRPr="009E35ED" w:rsidRDefault="00C15C13" w:rsidP="000B3F04">
            <w:pPr>
              <w:ind w:left="0" w:right="-76"/>
              <w:jc w:val="right"/>
              <w:rPr>
                <w:rFonts w:ascii="Arial Narrow" w:hAnsi="Arial Narrow"/>
                <w:color w:val="000000" w:themeColor="text1"/>
                <w:sz w:val="22"/>
                <w:szCs w:val="22"/>
              </w:rPr>
            </w:pPr>
            <w:r w:rsidRPr="009E35ED">
              <w:rPr>
                <w:rFonts w:ascii="Arial Narrow" w:hAnsi="Arial Narrow" w:cs="Calibri"/>
                <w:bCs/>
                <w:color w:val="000000" w:themeColor="text1"/>
                <w:sz w:val="22"/>
                <w:szCs w:val="22"/>
              </w:rPr>
              <w:t>-</w:t>
            </w:r>
          </w:p>
        </w:tc>
      </w:tr>
      <w:tr w:rsidR="00997F75" w:rsidRPr="009E35ED" w14:paraId="29023AFE" w14:textId="77777777" w:rsidTr="000B3F04">
        <w:trPr>
          <w:trHeight w:val="249"/>
        </w:trPr>
        <w:tc>
          <w:tcPr>
            <w:tcW w:w="5310" w:type="dxa"/>
            <w:tcBorders>
              <w:top w:val="nil"/>
              <w:left w:val="nil"/>
              <w:bottom w:val="single" w:sz="4" w:space="0" w:color="auto"/>
              <w:right w:val="nil"/>
            </w:tcBorders>
            <w:shd w:val="clear" w:color="auto" w:fill="auto"/>
            <w:noWrap/>
            <w:vAlign w:val="bottom"/>
          </w:tcPr>
          <w:p w14:paraId="492394B5" w14:textId="77777777" w:rsidR="00C15C13" w:rsidRPr="009E35ED" w:rsidRDefault="00C15C13" w:rsidP="000B3F04">
            <w:pPr>
              <w:ind w:left="-108"/>
              <w:jc w:val="left"/>
              <w:rPr>
                <w:rFonts w:ascii="Arial Narrow" w:hAnsi="Arial Narrow" w:cs="Calibri"/>
                <w:b/>
                <w:bCs/>
                <w:color w:val="000000" w:themeColor="text1"/>
                <w:sz w:val="22"/>
                <w:szCs w:val="22"/>
              </w:rPr>
            </w:pPr>
            <w:r w:rsidRPr="009E35ED">
              <w:rPr>
                <w:rFonts w:ascii="Arial Narrow" w:hAnsi="Arial Narrow" w:cs="Calibri"/>
                <w:color w:val="000000" w:themeColor="text1"/>
                <w:sz w:val="22"/>
                <w:szCs w:val="22"/>
              </w:rPr>
              <w:t>Other adjustment / Accruals</w:t>
            </w:r>
          </w:p>
        </w:tc>
        <w:tc>
          <w:tcPr>
            <w:tcW w:w="1718" w:type="dxa"/>
            <w:tcBorders>
              <w:top w:val="nil"/>
              <w:left w:val="nil"/>
              <w:bottom w:val="single" w:sz="4" w:space="0" w:color="auto"/>
              <w:right w:val="nil"/>
            </w:tcBorders>
            <w:shd w:val="clear" w:color="auto" w:fill="auto"/>
            <w:noWrap/>
            <w:vAlign w:val="bottom"/>
          </w:tcPr>
          <w:p w14:paraId="750CB6FF" w14:textId="77777777" w:rsidR="00C15C13" w:rsidRPr="009E35ED" w:rsidRDefault="00C15C13" w:rsidP="00AD3D41">
            <w:pPr>
              <w:ind w:left="0"/>
              <w:jc w:val="right"/>
              <w:rPr>
                <w:rFonts w:ascii="Arial Narrow" w:hAnsi="Arial Narrow" w:cs="Calibri"/>
                <w:b/>
                <w:bCs/>
                <w:color w:val="000000" w:themeColor="text1"/>
                <w:sz w:val="22"/>
                <w:szCs w:val="22"/>
              </w:rPr>
            </w:pPr>
            <w:r w:rsidRPr="009E35ED">
              <w:rPr>
                <w:rFonts w:ascii="Arial Narrow" w:hAnsi="Arial Narrow" w:cs="Calibri"/>
                <w:b/>
                <w:bCs/>
                <w:color w:val="000000" w:themeColor="text1"/>
                <w:sz w:val="22"/>
                <w:szCs w:val="22"/>
              </w:rPr>
              <w:t>-</w:t>
            </w:r>
          </w:p>
        </w:tc>
        <w:tc>
          <w:tcPr>
            <w:tcW w:w="1644" w:type="dxa"/>
            <w:tcBorders>
              <w:top w:val="nil"/>
              <w:left w:val="nil"/>
              <w:bottom w:val="single" w:sz="4" w:space="0" w:color="auto"/>
              <w:right w:val="nil"/>
            </w:tcBorders>
            <w:shd w:val="clear" w:color="auto" w:fill="auto"/>
            <w:noWrap/>
            <w:vAlign w:val="bottom"/>
          </w:tcPr>
          <w:p w14:paraId="03D54D46" w14:textId="77777777" w:rsidR="00C15C13" w:rsidRPr="009E35ED" w:rsidRDefault="00C15C13" w:rsidP="000B3F04">
            <w:pPr>
              <w:ind w:left="0" w:right="-76"/>
              <w:jc w:val="right"/>
              <w:rPr>
                <w:rFonts w:ascii="Arial Narrow" w:hAnsi="Arial Narrow"/>
                <w:color w:val="000000" w:themeColor="text1"/>
                <w:sz w:val="22"/>
                <w:szCs w:val="22"/>
              </w:rPr>
            </w:pPr>
            <w:r w:rsidRPr="009E35ED">
              <w:rPr>
                <w:rFonts w:ascii="Arial Narrow" w:hAnsi="Arial Narrow" w:cs="Calibri"/>
                <w:bCs/>
                <w:color w:val="000000" w:themeColor="text1"/>
                <w:sz w:val="22"/>
                <w:szCs w:val="22"/>
              </w:rPr>
              <w:t>-</w:t>
            </w:r>
          </w:p>
        </w:tc>
      </w:tr>
      <w:tr w:rsidR="00997F75" w:rsidRPr="009E35ED" w14:paraId="5234AD3C" w14:textId="77777777" w:rsidTr="000B3F04">
        <w:trPr>
          <w:trHeight w:val="249"/>
        </w:trPr>
        <w:tc>
          <w:tcPr>
            <w:tcW w:w="5310" w:type="dxa"/>
            <w:tcBorders>
              <w:top w:val="single" w:sz="4" w:space="0" w:color="auto"/>
              <w:left w:val="nil"/>
              <w:bottom w:val="single" w:sz="4" w:space="0" w:color="auto"/>
              <w:right w:val="nil"/>
            </w:tcBorders>
            <w:shd w:val="clear" w:color="auto" w:fill="auto"/>
            <w:noWrap/>
            <w:vAlign w:val="bottom"/>
          </w:tcPr>
          <w:p w14:paraId="559DDD77" w14:textId="77777777" w:rsidR="00C15C13" w:rsidRPr="009E35ED" w:rsidRDefault="00C15C13" w:rsidP="000B3F04">
            <w:pPr>
              <w:ind w:left="-108"/>
              <w:jc w:val="left"/>
              <w:rPr>
                <w:rFonts w:ascii="Arial Narrow" w:hAnsi="Arial Narrow" w:cs="Calibri"/>
                <w:b/>
                <w:bCs/>
                <w:color w:val="000000" w:themeColor="text1"/>
                <w:sz w:val="22"/>
                <w:szCs w:val="22"/>
              </w:rPr>
            </w:pPr>
            <w:r w:rsidRPr="009E35ED">
              <w:rPr>
                <w:rFonts w:ascii="Arial Narrow" w:hAnsi="Arial Narrow" w:cs="Calibri"/>
                <w:b/>
                <w:bCs/>
                <w:color w:val="000000" w:themeColor="text1"/>
                <w:sz w:val="22"/>
                <w:szCs w:val="22"/>
              </w:rPr>
              <w:t>Carrying Amount December 31</w:t>
            </w:r>
          </w:p>
        </w:tc>
        <w:tc>
          <w:tcPr>
            <w:tcW w:w="1718" w:type="dxa"/>
            <w:tcBorders>
              <w:top w:val="single" w:sz="4" w:space="0" w:color="auto"/>
              <w:left w:val="nil"/>
              <w:bottom w:val="single" w:sz="4" w:space="0" w:color="auto"/>
              <w:right w:val="nil"/>
            </w:tcBorders>
            <w:shd w:val="clear" w:color="auto" w:fill="auto"/>
            <w:noWrap/>
            <w:vAlign w:val="bottom"/>
          </w:tcPr>
          <w:p w14:paraId="24460B1A" w14:textId="77777777" w:rsidR="00C15C13" w:rsidRPr="009E35ED" w:rsidRDefault="00C15C13" w:rsidP="00AD3D41">
            <w:pPr>
              <w:ind w:left="0"/>
              <w:jc w:val="right"/>
              <w:rPr>
                <w:rFonts w:ascii="Arial Narrow" w:hAnsi="Arial Narrow" w:cs="Calibri"/>
                <w:b/>
                <w:bCs/>
                <w:color w:val="000000" w:themeColor="text1"/>
                <w:sz w:val="22"/>
                <w:szCs w:val="22"/>
              </w:rPr>
            </w:pPr>
            <w:r w:rsidRPr="009E35ED">
              <w:rPr>
                <w:rFonts w:ascii="Arial Narrow" w:hAnsi="Arial Narrow" w:cs="Calibri"/>
                <w:b/>
                <w:bCs/>
                <w:color w:val="000000" w:themeColor="text1"/>
                <w:sz w:val="22"/>
                <w:szCs w:val="22"/>
              </w:rPr>
              <w:fldChar w:fldCharType="begin"/>
            </w:r>
            <w:r w:rsidRPr="009E35ED">
              <w:rPr>
                <w:rFonts w:ascii="Arial Narrow" w:hAnsi="Arial Narrow" w:cs="Calibri"/>
                <w:b/>
                <w:bCs/>
                <w:color w:val="000000" w:themeColor="text1"/>
                <w:sz w:val="22"/>
                <w:szCs w:val="22"/>
              </w:rPr>
              <w:instrText xml:space="preserve"> =SUM(B11:b14) </w:instrText>
            </w:r>
            <w:r w:rsidRPr="009E35ED">
              <w:rPr>
                <w:rFonts w:ascii="Arial Narrow" w:hAnsi="Arial Narrow" w:cs="Calibri"/>
                <w:b/>
                <w:bCs/>
                <w:color w:val="000000" w:themeColor="text1"/>
                <w:sz w:val="22"/>
                <w:szCs w:val="22"/>
              </w:rPr>
              <w:fldChar w:fldCharType="separate"/>
            </w:r>
            <w:r w:rsidRPr="009E35ED">
              <w:rPr>
                <w:rFonts w:ascii="Arial Narrow" w:hAnsi="Arial Narrow" w:cs="Calibri"/>
                <w:b/>
                <w:bCs/>
                <w:noProof/>
                <w:color w:val="000000" w:themeColor="text1"/>
                <w:sz w:val="22"/>
                <w:szCs w:val="22"/>
              </w:rPr>
              <w:t>2,552,000</w:t>
            </w:r>
            <w:r w:rsidRPr="009E35ED">
              <w:rPr>
                <w:rFonts w:ascii="Arial Narrow" w:hAnsi="Arial Narrow" w:cs="Calibri"/>
                <w:b/>
                <w:bCs/>
                <w:color w:val="000000" w:themeColor="text1"/>
                <w:sz w:val="22"/>
                <w:szCs w:val="22"/>
              </w:rPr>
              <w:fldChar w:fldCharType="end"/>
            </w:r>
          </w:p>
        </w:tc>
        <w:tc>
          <w:tcPr>
            <w:tcW w:w="1644" w:type="dxa"/>
            <w:tcBorders>
              <w:top w:val="single" w:sz="4" w:space="0" w:color="auto"/>
              <w:left w:val="nil"/>
              <w:bottom w:val="single" w:sz="4" w:space="0" w:color="auto"/>
              <w:right w:val="nil"/>
            </w:tcBorders>
            <w:shd w:val="clear" w:color="auto" w:fill="auto"/>
            <w:noWrap/>
            <w:vAlign w:val="bottom"/>
          </w:tcPr>
          <w:p w14:paraId="2E24BB5D" w14:textId="77777777" w:rsidR="00C15C13" w:rsidRPr="009E35ED" w:rsidRDefault="00C15C13" w:rsidP="000B3F04">
            <w:pPr>
              <w:ind w:left="0" w:right="-76"/>
              <w:jc w:val="right"/>
              <w:rPr>
                <w:rFonts w:ascii="Arial Narrow" w:hAnsi="Arial Narrow"/>
                <w:color w:val="000000" w:themeColor="text1"/>
                <w:sz w:val="22"/>
                <w:szCs w:val="22"/>
              </w:rPr>
            </w:pPr>
            <w:r w:rsidRPr="009E35ED">
              <w:rPr>
                <w:rFonts w:ascii="Arial Narrow" w:hAnsi="Arial Narrow" w:cs="Calibri"/>
                <w:b/>
                <w:bCs/>
                <w:color w:val="000000" w:themeColor="text1"/>
                <w:sz w:val="22"/>
                <w:szCs w:val="22"/>
              </w:rPr>
              <w:fldChar w:fldCharType="begin"/>
            </w:r>
            <w:r w:rsidRPr="009E35ED">
              <w:rPr>
                <w:rFonts w:ascii="Arial Narrow" w:hAnsi="Arial Narrow" w:cs="Calibri"/>
                <w:b/>
                <w:bCs/>
                <w:color w:val="000000" w:themeColor="text1"/>
                <w:sz w:val="22"/>
                <w:szCs w:val="22"/>
              </w:rPr>
              <w:instrText xml:space="preserve"> =SUM(c11:c14) </w:instrText>
            </w:r>
            <w:r w:rsidRPr="009E35ED">
              <w:rPr>
                <w:rFonts w:ascii="Arial Narrow" w:hAnsi="Arial Narrow" w:cs="Calibri"/>
                <w:b/>
                <w:bCs/>
                <w:color w:val="000000" w:themeColor="text1"/>
                <w:sz w:val="22"/>
                <w:szCs w:val="22"/>
              </w:rPr>
              <w:fldChar w:fldCharType="separate"/>
            </w:r>
            <w:r w:rsidRPr="009E35ED">
              <w:rPr>
                <w:rFonts w:ascii="Arial Narrow" w:hAnsi="Arial Narrow" w:cs="Calibri"/>
                <w:b/>
                <w:bCs/>
                <w:noProof/>
                <w:color w:val="000000" w:themeColor="text1"/>
                <w:sz w:val="22"/>
                <w:szCs w:val="22"/>
              </w:rPr>
              <w:t>2,552,000</w:t>
            </w:r>
            <w:r w:rsidRPr="009E35ED">
              <w:rPr>
                <w:rFonts w:ascii="Arial Narrow" w:hAnsi="Arial Narrow" w:cs="Calibri"/>
                <w:b/>
                <w:bCs/>
                <w:color w:val="000000" w:themeColor="text1"/>
                <w:sz w:val="22"/>
                <w:szCs w:val="22"/>
              </w:rPr>
              <w:fldChar w:fldCharType="end"/>
            </w:r>
          </w:p>
        </w:tc>
      </w:tr>
      <w:tr w:rsidR="004C3006" w:rsidRPr="009E35ED" w14:paraId="6C6811B6" w14:textId="77777777" w:rsidTr="000B3F04">
        <w:trPr>
          <w:trHeight w:val="249"/>
        </w:trPr>
        <w:tc>
          <w:tcPr>
            <w:tcW w:w="5310" w:type="dxa"/>
            <w:tcBorders>
              <w:top w:val="nil"/>
              <w:left w:val="nil"/>
              <w:bottom w:val="nil"/>
              <w:right w:val="nil"/>
            </w:tcBorders>
            <w:shd w:val="clear" w:color="auto" w:fill="auto"/>
            <w:noWrap/>
            <w:vAlign w:val="bottom"/>
          </w:tcPr>
          <w:p w14:paraId="533D8DE6" w14:textId="77777777" w:rsidR="004C3006" w:rsidRPr="009E35ED" w:rsidRDefault="004C3006" w:rsidP="000B3F04">
            <w:pPr>
              <w:ind w:left="-108"/>
              <w:jc w:val="left"/>
              <w:rPr>
                <w:rFonts w:ascii="Arial Narrow" w:hAnsi="Arial Narrow" w:cs="Calibri"/>
                <w:b/>
                <w:bCs/>
                <w:color w:val="000000" w:themeColor="text1"/>
                <w:sz w:val="22"/>
                <w:szCs w:val="22"/>
              </w:rPr>
            </w:pPr>
          </w:p>
        </w:tc>
        <w:tc>
          <w:tcPr>
            <w:tcW w:w="1718" w:type="dxa"/>
            <w:tcBorders>
              <w:top w:val="nil"/>
              <w:left w:val="nil"/>
              <w:bottom w:val="nil"/>
              <w:right w:val="nil"/>
            </w:tcBorders>
            <w:shd w:val="clear" w:color="auto" w:fill="auto"/>
            <w:noWrap/>
            <w:vAlign w:val="bottom"/>
          </w:tcPr>
          <w:p w14:paraId="7B79A42A" w14:textId="77777777" w:rsidR="004C3006" w:rsidRPr="009E35ED" w:rsidRDefault="004C3006" w:rsidP="00AD3D41">
            <w:pPr>
              <w:ind w:left="0"/>
              <w:jc w:val="right"/>
              <w:rPr>
                <w:rFonts w:ascii="Arial Narrow" w:hAnsi="Arial Narrow" w:cs="Calibri"/>
                <w:b/>
                <w:bCs/>
                <w:color w:val="000000" w:themeColor="text1"/>
                <w:sz w:val="22"/>
                <w:szCs w:val="22"/>
              </w:rPr>
            </w:pPr>
          </w:p>
        </w:tc>
        <w:tc>
          <w:tcPr>
            <w:tcW w:w="1644" w:type="dxa"/>
            <w:tcBorders>
              <w:top w:val="nil"/>
              <w:left w:val="nil"/>
              <w:bottom w:val="nil"/>
              <w:right w:val="nil"/>
            </w:tcBorders>
            <w:shd w:val="clear" w:color="auto" w:fill="auto"/>
            <w:noWrap/>
            <w:vAlign w:val="bottom"/>
          </w:tcPr>
          <w:p w14:paraId="049BE9E1" w14:textId="77777777" w:rsidR="004C3006" w:rsidRPr="009E35ED" w:rsidRDefault="004C3006" w:rsidP="00AD3D41">
            <w:pPr>
              <w:ind w:left="0"/>
              <w:jc w:val="right"/>
              <w:rPr>
                <w:rFonts w:ascii="Arial Narrow" w:hAnsi="Arial Narrow"/>
                <w:color w:val="000000" w:themeColor="text1"/>
                <w:sz w:val="22"/>
                <w:szCs w:val="22"/>
              </w:rPr>
            </w:pPr>
          </w:p>
        </w:tc>
      </w:tr>
      <w:tr w:rsidR="00997F75" w:rsidRPr="009E35ED" w14:paraId="35716FC8" w14:textId="77777777" w:rsidTr="000B3F04">
        <w:trPr>
          <w:trHeight w:val="249"/>
        </w:trPr>
        <w:tc>
          <w:tcPr>
            <w:tcW w:w="5310" w:type="dxa"/>
            <w:tcBorders>
              <w:top w:val="nil"/>
              <w:left w:val="nil"/>
              <w:bottom w:val="nil"/>
              <w:right w:val="nil"/>
            </w:tcBorders>
            <w:shd w:val="clear" w:color="auto" w:fill="auto"/>
            <w:noWrap/>
            <w:vAlign w:val="bottom"/>
            <w:hideMark/>
          </w:tcPr>
          <w:p w14:paraId="4FC8A75A" w14:textId="2395CD07" w:rsidR="00C15C13" w:rsidRPr="009E35ED" w:rsidRDefault="00C15C13" w:rsidP="00B90388">
            <w:pPr>
              <w:keepNext/>
              <w:keepLines/>
              <w:ind w:left="-108"/>
              <w:jc w:val="left"/>
              <w:rPr>
                <w:rFonts w:ascii="Arial Narrow" w:hAnsi="Arial Narrow" w:cs="Calibri"/>
                <w:b/>
                <w:bCs/>
                <w:color w:val="000000" w:themeColor="text1"/>
                <w:sz w:val="22"/>
                <w:szCs w:val="22"/>
              </w:rPr>
            </w:pPr>
            <w:r w:rsidRPr="009E35ED">
              <w:rPr>
                <w:rFonts w:ascii="Arial Narrow" w:hAnsi="Arial Narrow" w:cs="Calibri"/>
                <w:b/>
                <w:bCs/>
                <w:color w:val="000000" w:themeColor="text1"/>
                <w:sz w:val="22"/>
                <w:szCs w:val="22"/>
              </w:rPr>
              <w:t>Office Supplies Inventory</w:t>
            </w:r>
          </w:p>
        </w:tc>
        <w:tc>
          <w:tcPr>
            <w:tcW w:w="1718" w:type="dxa"/>
            <w:tcBorders>
              <w:top w:val="nil"/>
              <w:left w:val="nil"/>
              <w:bottom w:val="nil"/>
              <w:right w:val="nil"/>
            </w:tcBorders>
            <w:shd w:val="clear" w:color="auto" w:fill="auto"/>
            <w:noWrap/>
            <w:vAlign w:val="bottom"/>
            <w:hideMark/>
          </w:tcPr>
          <w:p w14:paraId="5FC8F864" w14:textId="77777777" w:rsidR="00C15C13" w:rsidRPr="009E35ED" w:rsidRDefault="00C15C13" w:rsidP="00B90388">
            <w:pPr>
              <w:keepNext/>
              <w:keepLines/>
              <w:ind w:left="0"/>
              <w:jc w:val="right"/>
              <w:rPr>
                <w:rFonts w:ascii="Arial Narrow" w:hAnsi="Arial Narrow" w:cs="Calibri"/>
                <w:b/>
                <w:bCs/>
                <w:color w:val="000000" w:themeColor="text1"/>
                <w:sz w:val="22"/>
                <w:szCs w:val="22"/>
              </w:rPr>
            </w:pPr>
          </w:p>
        </w:tc>
        <w:tc>
          <w:tcPr>
            <w:tcW w:w="1644" w:type="dxa"/>
            <w:tcBorders>
              <w:top w:val="nil"/>
              <w:left w:val="nil"/>
              <w:bottom w:val="nil"/>
              <w:right w:val="nil"/>
            </w:tcBorders>
            <w:shd w:val="clear" w:color="auto" w:fill="auto"/>
            <w:noWrap/>
            <w:vAlign w:val="bottom"/>
            <w:hideMark/>
          </w:tcPr>
          <w:p w14:paraId="3BEE0638" w14:textId="77777777" w:rsidR="00C15C13" w:rsidRPr="009E35ED" w:rsidRDefault="00C15C13" w:rsidP="00B90388">
            <w:pPr>
              <w:keepNext/>
              <w:keepLines/>
              <w:ind w:left="0"/>
              <w:jc w:val="right"/>
              <w:rPr>
                <w:rFonts w:ascii="Arial Narrow" w:hAnsi="Arial Narrow"/>
                <w:color w:val="000000" w:themeColor="text1"/>
                <w:sz w:val="22"/>
                <w:szCs w:val="22"/>
              </w:rPr>
            </w:pPr>
          </w:p>
        </w:tc>
      </w:tr>
      <w:tr w:rsidR="00997F75" w:rsidRPr="009E35ED" w14:paraId="27FCEBC8" w14:textId="77777777" w:rsidTr="000B3F04">
        <w:trPr>
          <w:trHeight w:val="249"/>
        </w:trPr>
        <w:tc>
          <w:tcPr>
            <w:tcW w:w="5310" w:type="dxa"/>
            <w:tcBorders>
              <w:top w:val="nil"/>
              <w:left w:val="nil"/>
              <w:bottom w:val="nil"/>
              <w:right w:val="nil"/>
            </w:tcBorders>
            <w:shd w:val="clear" w:color="auto" w:fill="auto"/>
            <w:noWrap/>
            <w:vAlign w:val="bottom"/>
            <w:hideMark/>
          </w:tcPr>
          <w:p w14:paraId="5BDA1289" w14:textId="77777777" w:rsidR="00C15C13" w:rsidRPr="009E35ED" w:rsidRDefault="00C15C13" w:rsidP="00B90388">
            <w:pPr>
              <w:keepNext/>
              <w:keepLines/>
              <w:ind w:left="-108"/>
              <w:jc w:val="left"/>
              <w:rPr>
                <w:rFonts w:ascii="Arial Narrow" w:hAnsi="Arial Narrow" w:cs="Calibri"/>
                <w:color w:val="000000" w:themeColor="text1"/>
                <w:sz w:val="22"/>
                <w:szCs w:val="22"/>
              </w:rPr>
            </w:pPr>
            <w:r w:rsidRPr="009E35ED">
              <w:rPr>
                <w:rFonts w:ascii="Arial Narrow" w:hAnsi="Arial Narrow" w:cs="Calibri"/>
                <w:color w:val="000000" w:themeColor="text1"/>
                <w:sz w:val="22"/>
                <w:szCs w:val="22"/>
              </w:rPr>
              <w:t>Carrying Amount January 1</w:t>
            </w:r>
          </w:p>
        </w:tc>
        <w:tc>
          <w:tcPr>
            <w:tcW w:w="1718" w:type="dxa"/>
            <w:tcBorders>
              <w:top w:val="nil"/>
              <w:left w:val="nil"/>
              <w:bottom w:val="nil"/>
              <w:right w:val="nil"/>
            </w:tcBorders>
            <w:shd w:val="clear" w:color="auto" w:fill="auto"/>
            <w:noWrap/>
            <w:vAlign w:val="bottom"/>
          </w:tcPr>
          <w:p w14:paraId="58060B87" w14:textId="77777777" w:rsidR="00C15C13" w:rsidRPr="009E35ED" w:rsidRDefault="00C15C13" w:rsidP="00B90388">
            <w:pPr>
              <w:keepNext/>
              <w:keepLines/>
              <w:ind w:left="0"/>
              <w:jc w:val="right"/>
              <w:rPr>
                <w:rFonts w:ascii="Arial Narrow" w:hAnsi="Arial Narrow" w:cs="Calibri"/>
                <w:color w:val="000000" w:themeColor="text1"/>
                <w:sz w:val="22"/>
                <w:szCs w:val="22"/>
              </w:rPr>
            </w:pPr>
            <w:r w:rsidRPr="009E35ED">
              <w:rPr>
                <w:rFonts w:ascii="Arial Narrow" w:hAnsi="Arial Narrow" w:cs="Calibri"/>
                <w:bCs/>
                <w:color w:val="000000" w:themeColor="text1"/>
                <w:sz w:val="22"/>
                <w:szCs w:val="22"/>
              </w:rPr>
              <w:t>8,352,196</w:t>
            </w:r>
          </w:p>
        </w:tc>
        <w:tc>
          <w:tcPr>
            <w:tcW w:w="1644" w:type="dxa"/>
            <w:tcBorders>
              <w:top w:val="nil"/>
              <w:left w:val="nil"/>
              <w:bottom w:val="nil"/>
              <w:right w:val="nil"/>
            </w:tcBorders>
            <w:shd w:val="clear" w:color="auto" w:fill="auto"/>
            <w:noWrap/>
            <w:vAlign w:val="bottom"/>
            <w:hideMark/>
          </w:tcPr>
          <w:p w14:paraId="7AF51A3F" w14:textId="77777777" w:rsidR="00C15C13" w:rsidRPr="009E35ED" w:rsidRDefault="00C15C13" w:rsidP="00B90388">
            <w:pPr>
              <w:keepNext/>
              <w:keepLines/>
              <w:ind w:left="0" w:right="-76"/>
              <w:jc w:val="right"/>
              <w:rPr>
                <w:rFonts w:ascii="Arial Narrow" w:hAnsi="Arial Narrow" w:cs="Calibri"/>
                <w:color w:val="000000" w:themeColor="text1"/>
                <w:sz w:val="22"/>
                <w:szCs w:val="22"/>
              </w:rPr>
            </w:pPr>
            <w:r w:rsidRPr="009E35ED">
              <w:rPr>
                <w:rFonts w:ascii="Arial Narrow" w:hAnsi="Arial Narrow" w:cs="Calibri"/>
                <w:bCs/>
                <w:color w:val="000000" w:themeColor="text1"/>
                <w:sz w:val="22"/>
                <w:szCs w:val="22"/>
              </w:rPr>
              <w:t>7,576,327</w:t>
            </w:r>
          </w:p>
        </w:tc>
      </w:tr>
      <w:tr w:rsidR="00997F75" w:rsidRPr="009E35ED" w14:paraId="1FB5DC7C" w14:textId="77777777" w:rsidTr="000B3F04">
        <w:trPr>
          <w:trHeight w:val="249"/>
        </w:trPr>
        <w:tc>
          <w:tcPr>
            <w:tcW w:w="5310" w:type="dxa"/>
            <w:tcBorders>
              <w:top w:val="nil"/>
              <w:left w:val="nil"/>
              <w:bottom w:val="nil"/>
              <w:right w:val="nil"/>
            </w:tcBorders>
            <w:shd w:val="clear" w:color="auto" w:fill="auto"/>
            <w:noWrap/>
            <w:vAlign w:val="bottom"/>
            <w:hideMark/>
          </w:tcPr>
          <w:p w14:paraId="2CEE2C1A" w14:textId="77777777" w:rsidR="00C15C13" w:rsidRPr="009E35ED" w:rsidRDefault="00C15C13" w:rsidP="00B90388">
            <w:pPr>
              <w:keepNext/>
              <w:keepLines/>
              <w:ind w:left="-108"/>
              <w:jc w:val="left"/>
              <w:rPr>
                <w:rFonts w:ascii="Arial Narrow" w:hAnsi="Arial Narrow" w:cs="Calibri"/>
                <w:color w:val="000000" w:themeColor="text1"/>
                <w:sz w:val="22"/>
                <w:szCs w:val="22"/>
              </w:rPr>
            </w:pPr>
            <w:r w:rsidRPr="009E35ED">
              <w:rPr>
                <w:rFonts w:ascii="Arial Narrow" w:hAnsi="Arial Narrow" w:cs="Calibri"/>
                <w:color w:val="000000" w:themeColor="text1"/>
                <w:sz w:val="22"/>
                <w:szCs w:val="22"/>
              </w:rPr>
              <w:t>Additional acquisition during the year</w:t>
            </w:r>
          </w:p>
        </w:tc>
        <w:tc>
          <w:tcPr>
            <w:tcW w:w="1718" w:type="dxa"/>
            <w:tcBorders>
              <w:top w:val="nil"/>
              <w:left w:val="nil"/>
              <w:bottom w:val="nil"/>
              <w:right w:val="nil"/>
            </w:tcBorders>
            <w:shd w:val="clear" w:color="auto" w:fill="auto"/>
            <w:noWrap/>
            <w:vAlign w:val="bottom"/>
          </w:tcPr>
          <w:p w14:paraId="481EB01F" w14:textId="77777777" w:rsidR="00C15C13" w:rsidRPr="009E35ED" w:rsidRDefault="00C15C13" w:rsidP="00B90388">
            <w:pPr>
              <w:keepNext/>
              <w:keepLines/>
              <w:ind w:left="0"/>
              <w:jc w:val="right"/>
              <w:rPr>
                <w:rFonts w:ascii="Arial Narrow" w:hAnsi="Arial Narrow" w:cs="Calibri"/>
                <w:color w:val="000000" w:themeColor="text1"/>
                <w:sz w:val="22"/>
                <w:szCs w:val="22"/>
              </w:rPr>
            </w:pPr>
            <w:r w:rsidRPr="009E35ED">
              <w:rPr>
                <w:rFonts w:ascii="Arial Narrow" w:hAnsi="Arial Narrow" w:cs="Calibri"/>
                <w:color w:val="000000" w:themeColor="text1"/>
                <w:sz w:val="22"/>
                <w:szCs w:val="22"/>
              </w:rPr>
              <w:t>2,543,549</w:t>
            </w:r>
          </w:p>
        </w:tc>
        <w:tc>
          <w:tcPr>
            <w:tcW w:w="1644" w:type="dxa"/>
            <w:tcBorders>
              <w:top w:val="nil"/>
              <w:left w:val="nil"/>
              <w:bottom w:val="nil"/>
              <w:right w:val="nil"/>
            </w:tcBorders>
            <w:shd w:val="clear" w:color="auto" w:fill="auto"/>
            <w:noWrap/>
            <w:vAlign w:val="bottom"/>
            <w:hideMark/>
          </w:tcPr>
          <w:p w14:paraId="5C576476" w14:textId="77777777" w:rsidR="00C15C13" w:rsidRPr="009E35ED" w:rsidRDefault="00C15C13" w:rsidP="00B90388">
            <w:pPr>
              <w:keepNext/>
              <w:keepLines/>
              <w:ind w:left="0" w:right="-76"/>
              <w:jc w:val="right"/>
              <w:rPr>
                <w:rFonts w:ascii="Arial Narrow" w:hAnsi="Arial Narrow" w:cs="Calibri"/>
                <w:color w:val="000000" w:themeColor="text1"/>
                <w:sz w:val="22"/>
                <w:szCs w:val="22"/>
              </w:rPr>
            </w:pPr>
            <w:r w:rsidRPr="009E35ED">
              <w:rPr>
                <w:rFonts w:ascii="Arial Narrow" w:hAnsi="Arial Narrow" w:cs="Calibri"/>
                <w:color w:val="000000" w:themeColor="text1"/>
                <w:sz w:val="22"/>
                <w:szCs w:val="22"/>
              </w:rPr>
              <w:t>3,802,177</w:t>
            </w:r>
          </w:p>
        </w:tc>
      </w:tr>
      <w:tr w:rsidR="00997F75" w:rsidRPr="009E35ED" w14:paraId="04D7CB5D" w14:textId="77777777" w:rsidTr="000B3F04">
        <w:trPr>
          <w:trHeight w:val="249"/>
        </w:trPr>
        <w:tc>
          <w:tcPr>
            <w:tcW w:w="5310" w:type="dxa"/>
            <w:tcBorders>
              <w:top w:val="nil"/>
              <w:left w:val="nil"/>
              <w:bottom w:val="nil"/>
              <w:right w:val="nil"/>
            </w:tcBorders>
            <w:shd w:val="clear" w:color="auto" w:fill="auto"/>
            <w:noWrap/>
            <w:vAlign w:val="bottom"/>
            <w:hideMark/>
          </w:tcPr>
          <w:p w14:paraId="1ED83DD1" w14:textId="77777777" w:rsidR="00C15C13" w:rsidRPr="009E35ED" w:rsidRDefault="00C15C13" w:rsidP="00B90388">
            <w:pPr>
              <w:keepNext/>
              <w:keepLines/>
              <w:ind w:left="-108"/>
              <w:jc w:val="left"/>
              <w:rPr>
                <w:rFonts w:ascii="Arial Narrow" w:hAnsi="Arial Narrow" w:cs="Calibri"/>
                <w:color w:val="000000" w:themeColor="text1"/>
                <w:sz w:val="22"/>
                <w:szCs w:val="22"/>
              </w:rPr>
            </w:pPr>
            <w:r w:rsidRPr="009E35ED">
              <w:rPr>
                <w:rFonts w:ascii="Arial Narrow" w:hAnsi="Arial Narrow" w:cs="Calibri"/>
                <w:color w:val="000000" w:themeColor="text1"/>
                <w:sz w:val="22"/>
                <w:szCs w:val="22"/>
              </w:rPr>
              <w:t>Expensed during the year</w:t>
            </w:r>
          </w:p>
        </w:tc>
        <w:tc>
          <w:tcPr>
            <w:tcW w:w="1718" w:type="dxa"/>
            <w:tcBorders>
              <w:top w:val="nil"/>
              <w:left w:val="nil"/>
              <w:bottom w:val="nil"/>
              <w:right w:val="nil"/>
            </w:tcBorders>
            <w:shd w:val="clear" w:color="auto" w:fill="auto"/>
            <w:noWrap/>
            <w:vAlign w:val="bottom"/>
          </w:tcPr>
          <w:p w14:paraId="68C83A50" w14:textId="77777777" w:rsidR="00C15C13" w:rsidRPr="009E35ED" w:rsidRDefault="00C15C13" w:rsidP="00B90388">
            <w:pPr>
              <w:keepNext/>
              <w:keepLines/>
              <w:ind w:left="0"/>
              <w:jc w:val="right"/>
              <w:rPr>
                <w:rFonts w:ascii="Arial Narrow" w:hAnsi="Arial Narrow" w:cs="Calibri"/>
                <w:color w:val="000000" w:themeColor="text1"/>
                <w:sz w:val="22"/>
                <w:szCs w:val="22"/>
              </w:rPr>
            </w:pPr>
            <w:r w:rsidRPr="009E35ED">
              <w:rPr>
                <w:rFonts w:ascii="Arial Narrow" w:hAnsi="Arial Narrow" w:cs="Calibri"/>
                <w:color w:val="000000" w:themeColor="text1"/>
                <w:sz w:val="22"/>
                <w:szCs w:val="22"/>
              </w:rPr>
              <w:t>(4,075,510)</w:t>
            </w:r>
          </w:p>
        </w:tc>
        <w:tc>
          <w:tcPr>
            <w:tcW w:w="1644" w:type="dxa"/>
            <w:tcBorders>
              <w:top w:val="nil"/>
              <w:left w:val="nil"/>
              <w:bottom w:val="nil"/>
              <w:right w:val="nil"/>
            </w:tcBorders>
            <w:shd w:val="clear" w:color="auto" w:fill="auto"/>
            <w:noWrap/>
            <w:vAlign w:val="bottom"/>
            <w:hideMark/>
          </w:tcPr>
          <w:p w14:paraId="64720286" w14:textId="77777777" w:rsidR="00C15C13" w:rsidRPr="009E35ED" w:rsidRDefault="00C15C13" w:rsidP="00B90388">
            <w:pPr>
              <w:keepNext/>
              <w:keepLines/>
              <w:ind w:left="0" w:right="-76"/>
              <w:jc w:val="right"/>
              <w:rPr>
                <w:rFonts w:ascii="Arial Narrow" w:hAnsi="Arial Narrow" w:cs="Calibri"/>
                <w:color w:val="000000" w:themeColor="text1"/>
                <w:sz w:val="22"/>
                <w:szCs w:val="22"/>
              </w:rPr>
            </w:pPr>
            <w:r w:rsidRPr="009E35ED">
              <w:rPr>
                <w:rFonts w:ascii="Arial Narrow" w:hAnsi="Arial Narrow" w:cs="Calibri"/>
                <w:color w:val="000000" w:themeColor="text1"/>
                <w:sz w:val="22"/>
                <w:szCs w:val="22"/>
              </w:rPr>
              <w:t>(6,000,456)</w:t>
            </w:r>
          </w:p>
        </w:tc>
      </w:tr>
      <w:tr w:rsidR="00997F75" w:rsidRPr="009E35ED" w14:paraId="2E7998F0" w14:textId="77777777" w:rsidTr="00B90388">
        <w:trPr>
          <w:trHeight w:val="260"/>
        </w:trPr>
        <w:tc>
          <w:tcPr>
            <w:tcW w:w="5310" w:type="dxa"/>
            <w:tcBorders>
              <w:top w:val="nil"/>
              <w:left w:val="nil"/>
              <w:bottom w:val="single" w:sz="4" w:space="0" w:color="auto"/>
              <w:right w:val="nil"/>
            </w:tcBorders>
            <w:shd w:val="clear" w:color="auto" w:fill="auto"/>
            <w:noWrap/>
            <w:vAlign w:val="bottom"/>
            <w:hideMark/>
          </w:tcPr>
          <w:p w14:paraId="65A16BDA" w14:textId="77777777" w:rsidR="00C15C13" w:rsidRPr="009E35ED" w:rsidRDefault="00C15C13" w:rsidP="00B90388">
            <w:pPr>
              <w:keepNext/>
              <w:keepLines/>
              <w:ind w:left="-108"/>
              <w:jc w:val="left"/>
              <w:rPr>
                <w:rFonts w:ascii="Arial Narrow" w:hAnsi="Arial Narrow" w:cs="Calibri"/>
                <w:color w:val="000000" w:themeColor="text1"/>
                <w:sz w:val="22"/>
                <w:szCs w:val="22"/>
              </w:rPr>
            </w:pPr>
            <w:r w:rsidRPr="009E35ED">
              <w:rPr>
                <w:rFonts w:ascii="Arial Narrow" w:hAnsi="Arial Narrow" w:cs="Calibri"/>
                <w:color w:val="000000" w:themeColor="text1"/>
                <w:sz w:val="22"/>
                <w:szCs w:val="22"/>
              </w:rPr>
              <w:t>Other adjustment / Accruals</w:t>
            </w:r>
          </w:p>
        </w:tc>
        <w:tc>
          <w:tcPr>
            <w:tcW w:w="1718" w:type="dxa"/>
            <w:tcBorders>
              <w:top w:val="nil"/>
              <w:left w:val="nil"/>
              <w:bottom w:val="single" w:sz="4" w:space="0" w:color="auto"/>
              <w:right w:val="nil"/>
            </w:tcBorders>
            <w:shd w:val="clear" w:color="auto" w:fill="auto"/>
            <w:noWrap/>
            <w:vAlign w:val="bottom"/>
          </w:tcPr>
          <w:p w14:paraId="7CB36574" w14:textId="77777777" w:rsidR="00C15C13" w:rsidRPr="009E35ED" w:rsidRDefault="00C15C13" w:rsidP="00B90388">
            <w:pPr>
              <w:keepNext/>
              <w:keepLines/>
              <w:ind w:left="0"/>
              <w:jc w:val="right"/>
              <w:rPr>
                <w:rFonts w:ascii="Arial Narrow" w:hAnsi="Arial Narrow" w:cs="Calibri"/>
                <w:color w:val="000000" w:themeColor="text1"/>
                <w:sz w:val="22"/>
                <w:szCs w:val="22"/>
              </w:rPr>
            </w:pPr>
            <w:r w:rsidRPr="009E35ED">
              <w:rPr>
                <w:rFonts w:ascii="Arial Narrow" w:hAnsi="Arial Narrow" w:cs="Calibri"/>
                <w:color w:val="000000" w:themeColor="text1"/>
                <w:sz w:val="22"/>
                <w:szCs w:val="22"/>
              </w:rPr>
              <w:t>412,365</w:t>
            </w:r>
          </w:p>
        </w:tc>
        <w:tc>
          <w:tcPr>
            <w:tcW w:w="1644" w:type="dxa"/>
            <w:tcBorders>
              <w:top w:val="nil"/>
              <w:left w:val="nil"/>
              <w:bottom w:val="single" w:sz="4" w:space="0" w:color="auto"/>
              <w:right w:val="nil"/>
            </w:tcBorders>
            <w:shd w:val="clear" w:color="auto" w:fill="auto"/>
            <w:noWrap/>
            <w:vAlign w:val="bottom"/>
            <w:hideMark/>
          </w:tcPr>
          <w:p w14:paraId="09481C7D" w14:textId="77777777" w:rsidR="00C15C13" w:rsidRPr="009E35ED" w:rsidRDefault="00C15C13" w:rsidP="00B90388">
            <w:pPr>
              <w:keepNext/>
              <w:keepLines/>
              <w:ind w:left="0" w:right="-76"/>
              <w:jc w:val="right"/>
              <w:rPr>
                <w:rFonts w:ascii="Arial Narrow" w:hAnsi="Arial Narrow" w:cs="Calibri"/>
                <w:color w:val="000000" w:themeColor="text1"/>
                <w:sz w:val="22"/>
                <w:szCs w:val="22"/>
              </w:rPr>
            </w:pPr>
            <w:r w:rsidRPr="009E35ED">
              <w:rPr>
                <w:rFonts w:ascii="Arial Narrow" w:hAnsi="Arial Narrow" w:cs="Calibri"/>
                <w:color w:val="000000" w:themeColor="text1"/>
                <w:sz w:val="22"/>
                <w:szCs w:val="22"/>
              </w:rPr>
              <w:t>2,974,148</w:t>
            </w:r>
          </w:p>
        </w:tc>
      </w:tr>
      <w:tr w:rsidR="00997F75" w:rsidRPr="009E35ED" w14:paraId="6877376D" w14:textId="77777777" w:rsidTr="00B90388">
        <w:trPr>
          <w:trHeight w:val="260"/>
        </w:trPr>
        <w:tc>
          <w:tcPr>
            <w:tcW w:w="5310" w:type="dxa"/>
            <w:tcBorders>
              <w:top w:val="single" w:sz="4" w:space="0" w:color="auto"/>
              <w:left w:val="nil"/>
              <w:right w:val="nil"/>
            </w:tcBorders>
            <w:shd w:val="clear" w:color="auto" w:fill="auto"/>
            <w:noWrap/>
            <w:vAlign w:val="bottom"/>
            <w:hideMark/>
          </w:tcPr>
          <w:p w14:paraId="09ED0B81" w14:textId="737ADEFC" w:rsidR="00C15C13" w:rsidRPr="009E35ED" w:rsidRDefault="00C15C13" w:rsidP="00B90388">
            <w:pPr>
              <w:keepNext/>
              <w:keepLines/>
              <w:ind w:left="-108"/>
              <w:jc w:val="left"/>
              <w:rPr>
                <w:rFonts w:ascii="Arial Narrow" w:hAnsi="Arial Narrow" w:cs="Calibri"/>
                <w:b/>
                <w:bCs/>
                <w:color w:val="000000" w:themeColor="text1"/>
                <w:sz w:val="22"/>
                <w:szCs w:val="22"/>
              </w:rPr>
            </w:pPr>
            <w:r w:rsidRPr="009E35ED">
              <w:rPr>
                <w:rFonts w:ascii="Arial Narrow" w:hAnsi="Arial Narrow" w:cs="Calibri"/>
                <w:b/>
                <w:bCs/>
                <w:color w:val="000000" w:themeColor="text1"/>
                <w:sz w:val="22"/>
                <w:szCs w:val="22"/>
              </w:rPr>
              <w:t>Carrying Amount December 31</w:t>
            </w:r>
          </w:p>
        </w:tc>
        <w:tc>
          <w:tcPr>
            <w:tcW w:w="1718" w:type="dxa"/>
            <w:tcBorders>
              <w:top w:val="single" w:sz="4" w:space="0" w:color="auto"/>
              <w:left w:val="nil"/>
              <w:right w:val="nil"/>
            </w:tcBorders>
            <w:shd w:val="clear" w:color="auto" w:fill="auto"/>
            <w:noWrap/>
            <w:vAlign w:val="bottom"/>
          </w:tcPr>
          <w:p w14:paraId="65DEFEF2" w14:textId="77777777" w:rsidR="00C15C13" w:rsidRPr="009E35ED" w:rsidRDefault="00C15C13" w:rsidP="00B90388">
            <w:pPr>
              <w:keepNext/>
              <w:keepLines/>
              <w:ind w:left="0"/>
              <w:jc w:val="right"/>
              <w:rPr>
                <w:rFonts w:ascii="Arial Narrow" w:hAnsi="Arial Narrow" w:cs="Calibri"/>
                <w:b/>
                <w:bCs/>
                <w:color w:val="000000" w:themeColor="text1"/>
                <w:sz w:val="22"/>
                <w:szCs w:val="22"/>
              </w:rPr>
            </w:pPr>
            <w:r w:rsidRPr="009E35ED">
              <w:rPr>
                <w:rFonts w:ascii="Arial Narrow" w:hAnsi="Arial Narrow" w:cs="Calibri"/>
                <w:b/>
                <w:bCs/>
                <w:color w:val="000000" w:themeColor="text1"/>
                <w:sz w:val="22"/>
                <w:szCs w:val="22"/>
              </w:rPr>
              <w:t>7,232,600</w:t>
            </w:r>
          </w:p>
        </w:tc>
        <w:tc>
          <w:tcPr>
            <w:tcW w:w="1644" w:type="dxa"/>
            <w:tcBorders>
              <w:top w:val="single" w:sz="4" w:space="0" w:color="auto"/>
              <w:left w:val="nil"/>
              <w:right w:val="nil"/>
            </w:tcBorders>
            <w:shd w:val="clear" w:color="auto" w:fill="auto"/>
            <w:noWrap/>
            <w:vAlign w:val="bottom"/>
            <w:hideMark/>
          </w:tcPr>
          <w:p w14:paraId="36E774C3" w14:textId="77777777" w:rsidR="00C15C13" w:rsidRPr="009E35ED" w:rsidRDefault="00C15C13" w:rsidP="00B90388">
            <w:pPr>
              <w:keepNext/>
              <w:keepLines/>
              <w:ind w:left="0" w:right="-76"/>
              <w:jc w:val="right"/>
              <w:rPr>
                <w:rFonts w:ascii="Arial Narrow" w:hAnsi="Arial Narrow" w:cs="Calibri"/>
                <w:b/>
                <w:bCs/>
                <w:color w:val="000000" w:themeColor="text1"/>
                <w:sz w:val="22"/>
                <w:szCs w:val="22"/>
              </w:rPr>
            </w:pPr>
            <w:r w:rsidRPr="009E35ED">
              <w:rPr>
                <w:rFonts w:ascii="Arial Narrow" w:hAnsi="Arial Narrow" w:cs="Calibri"/>
                <w:b/>
                <w:bCs/>
                <w:color w:val="000000" w:themeColor="text1"/>
                <w:sz w:val="22"/>
                <w:szCs w:val="22"/>
              </w:rPr>
              <w:fldChar w:fldCharType="begin"/>
            </w:r>
            <w:r w:rsidRPr="009E35ED">
              <w:rPr>
                <w:rFonts w:ascii="Arial Narrow" w:hAnsi="Arial Narrow" w:cs="Calibri"/>
                <w:b/>
                <w:bCs/>
                <w:color w:val="000000" w:themeColor="text1"/>
                <w:sz w:val="22"/>
                <w:szCs w:val="22"/>
              </w:rPr>
              <w:instrText xml:space="preserve"> =SUM(c18:c21) </w:instrText>
            </w:r>
            <w:r w:rsidRPr="009E35ED">
              <w:rPr>
                <w:rFonts w:ascii="Arial Narrow" w:hAnsi="Arial Narrow" w:cs="Calibri"/>
                <w:b/>
                <w:bCs/>
                <w:color w:val="000000" w:themeColor="text1"/>
                <w:sz w:val="22"/>
                <w:szCs w:val="22"/>
              </w:rPr>
              <w:fldChar w:fldCharType="separate"/>
            </w:r>
            <w:r w:rsidRPr="009E35ED">
              <w:rPr>
                <w:rFonts w:ascii="Arial Narrow" w:hAnsi="Arial Narrow" w:cs="Calibri"/>
                <w:b/>
                <w:bCs/>
                <w:noProof/>
                <w:color w:val="000000" w:themeColor="text1"/>
                <w:sz w:val="22"/>
                <w:szCs w:val="22"/>
              </w:rPr>
              <w:t>8,352,196</w:t>
            </w:r>
            <w:r w:rsidRPr="009E35ED">
              <w:rPr>
                <w:rFonts w:ascii="Arial Narrow" w:hAnsi="Arial Narrow" w:cs="Calibri"/>
                <w:b/>
                <w:bCs/>
                <w:color w:val="000000" w:themeColor="text1"/>
                <w:sz w:val="22"/>
                <w:szCs w:val="22"/>
              </w:rPr>
              <w:fldChar w:fldCharType="end"/>
            </w:r>
          </w:p>
        </w:tc>
      </w:tr>
      <w:tr w:rsidR="00997F75" w:rsidRPr="009E35ED" w14:paraId="51018C72" w14:textId="77777777" w:rsidTr="00B90388">
        <w:trPr>
          <w:trHeight w:val="53"/>
        </w:trPr>
        <w:tc>
          <w:tcPr>
            <w:tcW w:w="5310" w:type="dxa"/>
            <w:tcBorders>
              <w:top w:val="single" w:sz="4" w:space="0" w:color="auto"/>
              <w:left w:val="nil"/>
              <w:bottom w:val="nil"/>
              <w:right w:val="nil"/>
            </w:tcBorders>
            <w:shd w:val="clear" w:color="auto" w:fill="auto"/>
            <w:noWrap/>
            <w:vAlign w:val="bottom"/>
            <w:hideMark/>
          </w:tcPr>
          <w:p w14:paraId="5C23A201" w14:textId="77777777" w:rsidR="004C3006" w:rsidRDefault="004C3006" w:rsidP="000B3F04">
            <w:pPr>
              <w:ind w:left="-108"/>
              <w:jc w:val="left"/>
              <w:rPr>
                <w:rFonts w:ascii="Arial Narrow" w:hAnsi="Arial Narrow" w:cs="Calibri"/>
                <w:b/>
                <w:bCs/>
                <w:color w:val="000000" w:themeColor="text1"/>
                <w:sz w:val="22"/>
                <w:szCs w:val="22"/>
              </w:rPr>
            </w:pPr>
          </w:p>
          <w:p w14:paraId="795B5463" w14:textId="24DA0CA3" w:rsidR="00C15C13" w:rsidRPr="009E35ED" w:rsidRDefault="00C15C13" w:rsidP="000B3F04">
            <w:pPr>
              <w:ind w:left="-108"/>
              <w:jc w:val="left"/>
              <w:rPr>
                <w:rFonts w:ascii="Arial Narrow" w:hAnsi="Arial Narrow" w:cs="Calibri"/>
                <w:b/>
                <w:bCs/>
                <w:color w:val="000000" w:themeColor="text1"/>
                <w:sz w:val="22"/>
                <w:szCs w:val="22"/>
              </w:rPr>
            </w:pPr>
            <w:r w:rsidRPr="009E35ED">
              <w:rPr>
                <w:rFonts w:ascii="Arial Narrow" w:hAnsi="Arial Narrow" w:cs="Calibri"/>
                <w:b/>
                <w:bCs/>
                <w:color w:val="000000" w:themeColor="text1"/>
                <w:sz w:val="22"/>
                <w:szCs w:val="22"/>
              </w:rPr>
              <w:t>Medical, Dental and Laboratory Supplies</w:t>
            </w:r>
          </w:p>
        </w:tc>
        <w:tc>
          <w:tcPr>
            <w:tcW w:w="1718" w:type="dxa"/>
            <w:tcBorders>
              <w:top w:val="single" w:sz="4" w:space="0" w:color="auto"/>
              <w:left w:val="nil"/>
              <w:bottom w:val="nil"/>
              <w:right w:val="nil"/>
            </w:tcBorders>
            <w:shd w:val="clear" w:color="auto" w:fill="auto"/>
            <w:noWrap/>
            <w:vAlign w:val="bottom"/>
            <w:hideMark/>
          </w:tcPr>
          <w:p w14:paraId="3FC15C44" w14:textId="77777777" w:rsidR="00C15C13" w:rsidRPr="009E35ED" w:rsidRDefault="00C15C13" w:rsidP="00AD3D41">
            <w:pPr>
              <w:ind w:left="0"/>
              <w:jc w:val="right"/>
              <w:rPr>
                <w:rFonts w:ascii="Arial Narrow" w:hAnsi="Arial Narrow" w:cs="Calibri"/>
                <w:b/>
                <w:bCs/>
                <w:color w:val="000000" w:themeColor="text1"/>
                <w:sz w:val="22"/>
                <w:szCs w:val="22"/>
              </w:rPr>
            </w:pPr>
          </w:p>
        </w:tc>
        <w:tc>
          <w:tcPr>
            <w:tcW w:w="1644" w:type="dxa"/>
            <w:tcBorders>
              <w:top w:val="single" w:sz="4" w:space="0" w:color="auto"/>
              <w:left w:val="nil"/>
              <w:bottom w:val="nil"/>
              <w:right w:val="nil"/>
            </w:tcBorders>
            <w:shd w:val="clear" w:color="auto" w:fill="auto"/>
            <w:noWrap/>
            <w:vAlign w:val="bottom"/>
            <w:hideMark/>
          </w:tcPr>
          <w:p w14:paraId="77FD71BE" w14:textId="77777777" w:rsidR="00C15C13" w:rsidRPr="009E35ED" w:rsidRDefault="00C15C13" w:rsidP="00AD3D41">
            <w:pPr>
              <w:ind w:left="0"/>
              <w:jc w:val="right"/>
              <w:rPr>
                <w:rFonts w:ascii="Arial Narrow" w:hAnsi="Arial Narrow"/>
                <w:color w:val="000000" w:themeColor="text1"/>
                <w:sz w:val="22"/>
                <w:szCs w:val="22"/>
              </w:rPr>
            </w:pPr>
          </w:p>
        </w:tc>
      </w:tr>
      <w:tr w:rsidR="00997F75" w:rsidRPr="009E35ED" w14:paraId="6092AE14" w14:textId="77777777" w:rsidTr="000B3F04">
        <w:trPr>
          <w:trHeight w:val="249"/>
        </w:trPr>
        <w:tc>
          <w:tcPr>
            <w:tcW w:w="5310" w:type="dxa"/>
            <w:tcBorders>
              <w:top w:val="nil"/>
              <w:left w:val="nil"/>
              <w:bottom w:val="nil"/>
              <w:right w:val="nil"/>
            </w:tcBorders>
            <w:shd w:val="clear" w:color="auto" w:fill="auto"/>
            <w:noWrap/>
            <w:vAlign w:val="bottom"/>
            <w:hideMark/>
          </w:tcPr>
          <w:p w14:paraId="4375C628" w14:textId="77777777" w:rsidR="00C15C13" w:rsidRPr="009E35ED" w:rsidRDefault="00C15C13" w:rsidP="000B3F04">
            <w:pPr>
              <w:ind w:left="-108"/>
              <w:jc w:val="left"/>
              <w:rPr>
                <w:rFonts w:ascii="Arial Narrow" w:hAnsi="Arial Narrow" w:cs="Calibri"/>
                <w:color w:val="000000" w:themeColor="text1"/>
                <w:sz w:val="22"/>
                <w:szCs w:val="22"/>
              </w:rPr>
            </w:pPr>
            <w:r w:rsidRPr="009E35ED">
              <w:rPr>
                <w:rFonts w:ascii="Arial Narrow" w:hAnsi="Arial Narrow" w:cs="Calibri"/>
                <w:color w:val="000000" w:themeColor="text1"/>
                <w:sz w:val="22"/>
                <w:szCs w:val="22"/>
              </w:rPr>
              <w:t>Carrying Amount January 1</w:t>
            </w:r>
          </w:p>
        </w:tc>
        <w:tc>
          <w:tcPr>
            <w:tcW w:w="1718" w:type="dxa"/>
            <w:tcBorders>
              <w:top w:val="nil"/>
              <w:left w:val="nil"/>
              <w:bottom w:val="nil"/>
              <w:right w:val="nil"/>
            </w:tcBorders>
            <w:shd w:val="clear" w:color="auto" w:fill="auto"/>
            <w:noWrap/>
            <w:vAlign w:val="bottom"/>
          </w:tcPr>
          <w:p w14:paraId="183FD715" w14:textId="77777777" w:rsidR="00C15C13" w:rsidRPr="009E35ED" w:rsidRDefault="00C15C13" w:rsidP="00AD3D41">
            <w:pPr>
              <w:ind w:left="0"/>
              <w:jc w:val="right"/>
              <w:rPr>
                <w:rFonts w:ascii="Arial Narrow" w:hAnsi="Arial Narrow" w:cs="Calibri"/>
                <w:color w:val="000000" w:themeColor="text1"/>
                <w:sz w:val="22"/>
                <w:szCs w:val="22"/>
              </w:rPr>
            </w:pPr>
            <w:r w:rsidRPr="009E35ED">
              <w:rPr>
                <w:rFonts w:ascii="Arial Narrow" w:hAnsi="Arial Narrow" w:cs="Calibri"/>
                <w:color w:val="000000" w:themeColor="text1"/>
                <w:sz w:val="22"/>
                <w:szCs w:val="22"/>
              </w:rPr>
              <w:t>152,389</w:t>
            </w:r>
          </w:p>
        </w:tc>
        <w:tc>
          <w:tcPr>
            <w:tcW w:w="1644" w:type="dxa"/>
            <w:tcBorders>
              <w:top w:val="nil"/>
              <w:left w:val="nil"/>
              <w:bottom w:val="nil"/>
              <w:right w:val="nil"/>
            </w:tcBorders>
            <w:shd w:val="clear" w:color="auto" w:fill="auto"/>
            <w:noWrap/>
            <w:vAlign w:val="bottom"/>
            <w:hideMark/>
          </w:tcPr>
          <w:p w14:paraId="642AFF58" w14:textId="77777777" w:rsidR="00C15C13" w:rsidRPr="009E35ED" w:rsidRDefault="00C15C13" w:rsidP="000B3F04">
            <w:pPr>
              <w:ind w:left="0" w:right="-76"/>
              <w:jc w:val="right"/>
              <w:rPr>
                <w:rFonts w:ascii="Arial Narrow" w:hAnsi="Arial Narrow" w:cs="Calibri"/>
                <w:color w:val="000000" w:themeColor="text1"/>
                <w:sz w:val="22"/>
                <w:szCs w:val="22"/>
              </w:rPr>
            </w:pPr>
            <w:r w:rsidRPr="009E35ED">
              <w:rPr>
                <w:rFonts w:ascii="Arial Narrow" w:hAnsi="Arial Narrow" w:cs="Calibri"/>
                <w:color w:val="000000" w:themeColor="text1"/>
                <w:sz w:val="22"/>
                <w:szCs w:val="22"/>
              </w:rPr>
              <w:t>279,437</w:t>
            </w:r>
          </w:p>
        </w:tc>
      </w:tr>
      <w:tr w:rsidR="00997F75" w:rsidRPr="009E35ED" w14:paraId="55AEB9B5" w14:textId="77777777" w:rsidTr="000B3F04">
        <w:trPr>
          <w:trHeight w:val="249"/>
        </w:trPr>
        <w:tc>
          <w:tcPr>
            <w:tcW w:w="5310" w:type="dxa"/>
            <w:tcBorders>
              <w:top w:val="nil"/>
              <w:left w:val="nil"/>
              <w:bottom w:val="nil"/>
              <w:right w:val="nil"/>
            </w:tcBorders>
            <w:shd w:val="clear" w:color="auto" w:fill="auto"/>
            <w:noWrap/>
            <w:vAlign w:val="bottom"/>
            <w:hideMark/>
          </w:tcPr>
          <w:p w14:paraId="762D30AB" w14:textId="77777777" w:rsidR="00C15C13" w:rsidRPr="009E35ED" w:rsidRDefault="00C15C13" w:rsidP="000B3F04">
            <w:pPr>
              <w:ind w:left="-108"/>
              <w:jc w:val="left"/>
              <w:rPr>
                <w:rFonts w:ascii="Arial Narrow" w:hAnsi="Arial Narrow" w:cs="Calibri"/>
                <w:color w:val="000000" w:themeColor="text1"/>
                <w:sz w:val="22"/>
                <w:szCs w:val="22"/>
              </w:rPr>
            </w:pPr>
            <w:r w:rsidRPr="009E35ED">
              <w:rPr>
                <w:rFonts w:ascii="Arial Narrow" w:hAnsi="Arial Narrow" w:cs="Calibri"/>
                <w:color w:val="000000" w:themeColor="text1"/>
                <w:sz w:val="22"/>
                <w:szCs w:val="22"/>
              </w:rPr>
              <w:t>Additional acquisition during the year</w:t>
            </w:r>
          </w:p>
        </w:tc>
        <w:tc>
          <w:tcPr>
            <w:tcW w:w="1718" w:type="dxa"/>
            <w:tcBorders>
              <w:top w:val="nil"/>
              <w:left w:val="nil"/>
              <w:bottom w:val="nil"/>
              <w:right w:val="nil"/>
            </w:tcBorders>
            <w:shd w:val="clear" w:color="auto" w:fill="auto"/>
            <w:noWrap/>
            <w:vAlign w:val="bottom"/>
          </w:tcPr>
          <w:p w14:paraId="3EB1168B" w14:textId="77777777" w:rsidR="00C15C13" w:rsidRPr="009E35ED" w:rsidRDefault="00C15C13" w:rsidP="00AD3D41">
            <w:pPr>
              <w:ind w:left="0"/>
              <w:jc w:val="right"/>
              <w:rPr>
                <w:rFonts w:ascii="Arial Narrow" w:hAnsi="Arial Narrow" w:cs="Calibri"/>
                <w:color w:val="000000" w:themeColor="text1"/>
                <w:sz w:val="22"/>
                <w:szCs w:val="22"/>
              </w:rPr>
            </w:pPr>
            <w:r w:rsidRPr="009E35ED">
              <w:rPr>
                <w:rFonts w:ascii="Arial Narrow" w:hAnsi="Arial Narrow" w:cs="Calibri"/>
                <w:color w:val="000000" w:themeColor="text1"/>
                <w:sz w:val="22"/>
                <w:szCs w:val="22"/>
              </w:rPr>
              <w:t>172,224</w:t>
            </w:r>
          </w:p>
        </w:tc>
        <w:tc>
          <w:tcPr>
            <w:tcW w:w="1644" w:type="dxa"/>
            <w:tcBorders>
              <w:top w:val="nil"/>
              <w:left w:val="nil"/>
              <w:bottom w:val="nil"/>
              <w:right w:val="nil"/>
            </w:tcBorders>
            <w:shd w:val="clear" w:color="auto" w:fill="auto"/>
            <w:noWrap/>
            <w:vAlign w:val="bottom"/>
            <w:hideMark/>
          </w:tcPr>
          <w:p w14:paraId="2ABAA73E" w14:textId="77777777" w:rsidR="00C15C13" w:rsidRPr="009E35ED" w:rsidRDefault="00C15C13" w:rsidP="000B3F04">
            <w:pPr>
              <w:ind w:left="0" w:right="-76"/>
              <w:jc w:val="right"/>
              <w:rPr>
                <w:rFonts w:ascii="Arial Narrow" w:hAnsi="Arial Narrow" w:cs="Calibri"/>
                <w:color w:val="000000" w:themeColor="text1"/>
                <w:sz w:val="22"/>
                <w:szCs w:val="22"/>
              </w:rPr>
            </w:pPr>
            <w:r w:rsidRPr="009E35ED">
              <w:rPr>
                <w:rFonts w:ascii="Arial Narrow" w:hAnsi="Arial Narrow" w:cs="Calibri"/>
                <w:color w:val="000000" w:themeColor="text1"/>
                <w:sz w:val="22"/>
                <w:szCs w:val="22"/>
              </w:rPr>
              <w:t>68,329</w:t>
            </w:r>
          </w:p>
        </w:tc>
      </w:tr>
      <w:tr w:rsidR="00997F75" w:rsidRPr="009E35ED" w14:paraId="4006E2FC" w14:textId="77777777" w:rsidTr="000B3F04">
        <w:trPr>
          <w:trHeight w:val="249"/>
        </w:trPr>
        <w:tc>
          <w:tcPr>
            <w:tcW w:w="5310" w:type="dxa"/>
            <w:tcBorders>
              <w:top w:val="nil"/>
              <w:left w:val="nil"/>
              <w:bottom w:val="nil"/>
              <w:right w:val="nil"/>
            </w:tcBorders>
            <w:shd w:val="clear" w:color="auto" w:fill="auto"/>
            <w:noWrap/>
            <w:vAlign w:val="bottom"/>
            <w:hideMark/>
          </w:tcPr>
          <w:p w14:paraId="2B1739D5" w14:textId="77777777" w:rsidR="00C15C13" w:rsidRPr="009E35ED" w:rsidRDefault="00C15C13" w:rsidP="000B3F04">
            <w:pPr>
              <w:ind w:left="-108"/>
              <w:jc w:val="left"/>
              <w:rPr>
                <w:rFonts w:ascii="Arial Narrow" w:hAnsi="Arial Narrow" w:cs="Calibri"/>
                <w:color w:val="000000" w:themeColor="text1"/>
                <w:sz w:val="22"/>
                <w:szCs w:val="22"/>
              </w:rPr>
            </w:pPr>
            <w:r w:rsidRPr="009E35ED">
              <w:rPr>
                <w:rFonts w:ascii="Arial Narrow" w:hAnsi="Arial Narrow" w:cs="Calibri"/>
                <w:color w:val="000000" w:themeColor="text1"/>
                <w:sz w:val="22"/>
                <w:szCs w:val="22"/>
              </w:rPr>
              <w:t>Expensed during the year</w:t>
            </w:r>
          </w:p>
        </w:tc>
        <w:tc>
          <w:tcPr>
            <w:tcW w:w="1718" w:type="dxa"/>
            <w:tcBorders>
              <w:top w:val="nil"/>
              <w:left w:val="nil"/>
              <w:bottom w:val="nil"/>
              <w:right w:val="nil"/>
            </w:tcBorders>
            <w:shd w:val="clear" w:color="auto" w:fill="auto"/>
            <w:noWrap/>
            <w:vAlign w:val="bottom"/>
          </w:tcPr>
          <w:p w14:paraId="35127B7E" w14:textId="77777777" w:rsidR="00C15C13" w:rsidRPr="009E35ED" w:rsidRDefault="00C15C13" w:rsidP="00AD3D41">
            <w:pPr>
              <w:ind w:left="0"/>
              <w:jc w:val="right"/>
              <w:rPr>
                <w:rFonts w:ascii="Arial Narrow" w:hAnsi="Arial Narrow" w:cs="Calibri"/>
                <w:color w:val="000000" w:themeColor="text1"/>
                <w:sz w:val="22"/>
                <w:szCs w:val="22"/>
              </w:rPr>
            </w:pPr>
            <w:r w:rsidRPr="009E35ED">
              <w:rPr>
                <w:rFonts w:ascii="Arial Narrow" w:hAnsi="Arial Narrow" w:cs="Calibri"/>
                <w:color w:val="000000" w:themeColor="text1"/>
                <w:sz w:val="22"/>
                <w:szCs w:val="22"/>
              </w:rPr>
              <w:t>(59,870)</w:t>
            </w:r>
          </w:p>
        </w:tc>
        <w:tc>
          <w:tcPr>
            <w:tcW w:w="1644" w:type="dxa"/>
            <w:tcBorders>
              <w:top w:val="nil"/>
              <w:left w:val="nil"/>
              <w:bottom w:val="nil"/>
              <w:right w:val="nil"/>
            </w:tcBorders>
            <w:shd w:val="clear" w:color="auto" w:fill="auto"/>
            <w:noWrap/>
            <w:vAlign w:val="bottom"/>
            <w:hideMark/>
          </w:tcPr>
          <w:p w14:paraId="211865D2" w14:textId="77777777" w:rsidR="00C15C13" w:rsidRPr="009E35ED" w:rsidRDefault="00C15C13" w:rsidP="000B3F04">
            <w:pPr>
              <w:ind w:left="0" w:right="-76"/>
              <w:jc w:val="right"/>
              <w:rPr>
                <w:rFonts w:ascii="Arial Narrow" w:hAnsi="Arial Narrow" w:cs="Calibri"/>
                <w:color w:val="000000" w:themeColor="text1"/>
                <w:sz w:val="22"/>
                <w:szCs w:val="22"/>
              </w:rPr>
            </w:pPr>
            <w:r w:rsidRPr="009E35ED">
              <w:rPr>
                <w:rFonts w:ascii="Arial Narrow" w:hAnsi="Arial Narrow" w:cs="Calibri"/>
                <w:color w:val="000000" w:themeColor="text1"/>
                <w:sz w:val="22"/>
                <w:szCs w:val="22"/>
              </w:rPr>
              <w:t>(195,377)</w:t>
            </w:r>
          </w:p>
        </w:tc>
      </w:tr>
      <w:tr w:rsidR="00997F75" w:rsidRPr="009E35ED" w14:paraId="29673A6B" w14:textId="77777777" w:rsidTr="000B3F04">
        <w:trPr>
          <w:trHeight w:val="249"/>
        </w:trPr>
        <w:tc>
          <w:tcPr>
            <w:tcW w:w="5310" w:type="dxa"/>
            <w:tcBorders>
              <w:top w:val="nil"/>
              <w:left w:val="nil"/>
              <w:bottom w:val="nil"/>
              <w:right w:val="nil"/>
            </w:tcBorders>
            <w:shd w:val="clear" w:color="auto" w:fill="auto"/>
            <w:noWrap/>
            <w:vAlign w:val="bottom"/>
            <w:hideMark/>
          </w:tcPr>
          <w:p w14:paraId="633EB224" w14:textId="77777777" w:rsidR="00C15C13" w:rsidRPr="009E35ED" w:rsidRDefault="00C15C13" w:rsidP="000B3F04">
            <w:pPr>
              <w:ind w:left="-108"/>
              <w:jc w:val="left"/>
              <w:rPr>
                <w:rFonts w:ascii="Arial Narrow" w:hAnsi="Arial Narrow" w:cs="Calibri"/>
                <w:color w:val="000000" w:themeColor="text1"/>
                <w:sz w:val="22"/>
                <w:szCs w:val="22"/>
              </w:rPr>
            </w:pPr>
            <w:r w:rsidRPr="009E35ED">
              <w:rPr>
                <w:rFonts w:ascii="Arial Narrow" w:hAnsi="Arial Narrow" w:cs="Calibri"/>
                <w:color w:val="000000" w:themeColor="text1"/>
                <w:sz w:val="22"/>
                <w:szCs w:val="22"/>
              </w:rPr>
              <w:t>Other adjustment / Accruals</w:t>
            </w:r>
          </w:p>
        </w:tc>
        <w:tc>
          <w:tcPr>
            <w:tcW w:w="1718" w:type="dxa"/>
            <w:tcBorders>
              <w:top w:val="nil"/>
              <w:left w:val="nil"/>
              <w:bottom w:val="nil"/>
              <w:right w:val="nil"/>
            </w:tcBorders>
            <w:shd w:val="clear" w:color="auto" w:fill="auto"/>
            <w:noWrap/>
            <w:vAlign w:val="bottom"/>
          </w:tcPr>
          <w:p w14:paraId="7744EBB0" w14:textId="77777777" w:rsidR="00C15C13" w:rsidRPr="009E35ED" w:rsidRDefault="00C15C13" w:rsidP="00AD3D41">
            <w:pPr>
              <w:ind w:left="0"/>
              <w:jc w:val="right"/>
              <w:rPr>
                <w:rFonts w:ascii="Arial Narrow" w:hAnsi="Arial Narrow" w:cs="Calibri"/>
                <w:color w:val="000000" w:themeColor="text1"/>
                <w:sz w:val="22"/>
                <w:szCs w:val="22"/>
              </w:rPr>
            </w:pPr>
            <w:r w:rsidRPr="009E35ED">
              <w:rPr>
                <w:rFonts w:ascii="Arial Narrow" w:hAnsi="Arial Narrow" w:cs="Calibri"/>
                <w:color w:val="000000" w:themeColor="text1"/>
                <w:sz w:val="22"/>
                <w:szCs w:val="22"/>
              </w:rPr>
              <w:t>20,258</w:t>
            </w:r>
          </w:p>
        </w:tc>
        <w:tc>
          <w:tcPr>
            <w:tcW w:w="1644" w:type="dxa"/>
            <w:tcBorders>
              <w:top w:val="nil"/>
              <w:left w:val="nil"/>
              <w:bottom w:val="nil"/>
              <w:right w:val="nil"/>
            </w:tcBorders>
            <w:shd w:val="clear" w:color="auto" w:fill="auto"/>
            <w:noWrap/>
            <w:vAlign w:val="bottom"/>
            <w:hideMark/>
          </w:tcPr>
          <w:p w14:paraId="2A12AC42" w14:textId="77777777" w:rsidR="00C15C13" w:rsidRPr="009E35ED" w:rsidRDefault="00C15C13" w:rsidP="000B3F04">
            <w:pPr>
              <w:ind w:left="0" w:right="-76"/>
              <w:jc w:val="right"/>
              <w:rPr>
                <w:rFonts w:ascii="Arial Narrow" w:hAnsi="Arial Narrow" w:cs="Calibri"/>
                <w:color w:val="000000" w:themeColor="text1"/>
                <w:sz w:val="22"/>
                <w:szCs w:val="22"/>
              </w:rPr>
            </w:pPr>
            <w:r w:rsidRPr="009E35ED">
              <w:rPr>
                <w:rFonts w:ascii="Arial Narrow" w:hAnsi="Arial Narrow" w:cs="Calibri"/>
                <w:color w:val="000000" w:themeColor="text1"/>
                <w:sz w:val="22"/>
                <w:szCs w:val="22"/>
              </w:rPr>
              <w:t>-</w:t>
            </w:r>
          </w:p>
        </w:tc>
      </w:tr>
      <w:tr w:rsidR="00997F75" w:rsidRPr="009E35ED" w14:paraId="65873426" w14:textId="77777777" w:rsidTr="000B3F04">
        <w:trPr>
          <w:trHeight w:val="249"/>
        </w:trPr>
        <w:tc>
          <w:tcPr>
            <w:tcW w:w="5310" w:type="dxa"/>
            <w:tcBorders>
              <w:top w:val="single" w:sz="4" w:space="0" w:color="auto"/>
              <w:left w:val="nil"/>
              <w:bottom w:val="single" w:sz="4" w:space="0" w:color="auto"/>
              <w:right w:val="nil"/>
            </w:tcBorders>
            <w:shd w:val="clear" w:color="auto" w:fill="auto"/>
            <w:noWrap/>
            <w:vAlign w:val="bottom"/>
            <w:hideMark/>
          </w:tcPr>
          <w:p w14:paraId="7838D78F" w14:textId="77777777" w:rsidR="00C15C13" w:rsidRPr="009E35ED" w:rsidRDefault="00C15C13" w:rsidP="000B3F04">
            <w:pPr>
              <w:ind w:left="-108"/>
              <w:jc w:val="left"/>
              <w:rPr>
                <w:rFonts w:ascii="Arial Narrow" w:hAnsi="Arial Narrow" w:cs="Calibri"/>
                <w:b/>
                <w:bCs/>
                <w:color w:val="000000" w:themeColor="text1"/>
                <w:sz w:val="22"/>
                <w:szCs w:val="22"/>
              </w:rPr>
            </w:pPr>
            <w:r w:rsidRPr="009E35ED">
              <w:rPr>
                <w:rFonts w:ascii="Arial Narrow" w:hAnsi="Arial Narrow" w:cs="Calibri"/>
                <w:b/>
                <w:bCs/>
                <w:color w:val="000000" w:themeColor="text1"/>
                <w:sz w:val="22"/>
                <w:szCs w:val="22"/>
              </w:rPr>
              <w:t>Carrying Amount December 31</w:t>
            </w:r>
          </w:p>
        </w:tc>
        <w:tc>
          <w:tcPr>
            <w:tcW w:w="1718" w:type="dxa"/>
            <w:tcBorders>
              <w:top w:val="single" w:sz="4" w:space="0" w:color="auto"/>
              <w:left w:val="nil"/>
              <w:bottom w:val="single" w:sz="4" w:space="0" w:color="auto"/>
              <w:right w:val="nil"/>
            </w:tcBorders>
            <w:shd w:val="clear" w:color="auto" w:fill="auto"/>
            <w:noWrap/>
            <w:vAlign w:val="bottom"/>
          </w:tcPr>
          <w:p w14:paraId="37B28E19" w14:textId="77777777" w:rsidR="00C15C13" w:rsidRPr="009E35ED" w:rsidRDefault="00C15C13" w:rsidP="00AD3D41">
            <w:pPr>
              <w:ind w:left="0"/>
              <w:jc w:val="right"/>
              <w:rPr>
                <w:rFonts w:ascii="Arial Narrow" w:hAnsi="Arial Narrow" w:cs="Calibri"/>
                <w:b/>
                <w:bCs/>
                <w:color w:val="000000" w:themeColor="text1"/>
                <w:sz w:val="22"/>
                <w:szCs w:val="22"/>
              </w:rPr>
            </w:pPr>
            <w:r w:rsidRPr="009E35ED">
              <w:rPr>
                <w:rFonts w:ascii="Arial Narrow" w:hAnsi="Arial Narrow" w:cs="Calibri"/>
                <w:b/>
                <w:bCs/>
                <w:color w:val="000000" w:themeColor="text1"/>
                <w:sz w:val="22"/>
                <w:szCs w:val="22"/>
              </w:rPr>
              <w:fldChar w:fldCharType="begin"/>
            </w:r>
            <w:r w:rsidRPr="009E35ED">
              <w:rPr>
                <w:rFonts w:ascii="Arial Narrow" w:hAnsi="Arial Narrow" w:cs="Calibri"/>
                <w:b/>
                <w:bCs/>
                <w:color w:val="000000" w:themeColor="text1"/>
                <w:sz w:val="22"/>
                <w:szCs w:val="22"/>
              </w:rPr>
              <w:instrText xml:space="preserve"> =SUM(B32:b35) </w:instrText>
            </w:r>
            <w:r w:rsidRPr="009E35ED">
              <w:rPr>
                <w:rFonts w:ascii="Arial Narrow" w:hAnsi="Arial Narrow" w:cs="Calibri"/>
                <w:b/>
                <w:bCs/>
                <w:color w:val="000000" w:themeColor="text1"/>
                <w:sz w:val="22"/>
                <w:szCs w:val="22"/>
              </w:rPr>
              <w:fldChar w:fldCharType="separate"/>
            </w:r>
            <w:r w:rsidRPr="009E35ED">
              <w:rPr>
                <w:rFonts w:ascii="Arial Narrow" w:hAnsi="Arial Narrow" w:cs="Calibri"/>
                <w:b/>
                <w:bCs/>
                <w:noProof/>
                <w:color w:val="000000" w:themeColor="text1"/>
                <w:sz w:val="22"/>
                <w:szCs w:val="22"/>
              </w:rPr>
              <w:t>285,001</w:t>
            </w:r>
            <w:r w:rsidRPr="009E35ED">
              <w:rPr>
                <w:rFonts w:ascii="Arial Narrow" w:hAnsi="Arial Narrow" w:cs="Calibri"/>
                <w:b/>
                <w:bCs/>
                <w:color w:val="000000" w:themeColor="text1"/>
                <w:sz w:val="22"/>
                <w:szCs w:val="22"/>
              </w:rPr>
              <w:fldChar w:fldCharType="end"/>
            </w:r>
          </w:p>
        </w:tc>
        <w:tc>
          <w:tcPr>
            <w:tcW w:w="1644" w:type="dxa"/>
            <w:tcBorders>
              <w:top w:val="single" w:sz="4" w:space="0" w:color="auto"/>
              <w:left w:val="nil"/>
              <w:bottom w:val="single" w:sz="4" w:space="0" w:color="auto"/>
              <w:right w:val="nil"/>
            </w:tcBorders>
            <w:shd w:val="clear" w:color="auto" w:fill="auto"/>
            <w:noWrap/>
            <w:vAlign w:val="bottom"/>
            <w:hideMark/>
          </w:tcPr>
          <w:p w14:paraId="58022661" w14:textId="77777777" w:rsidR="00C15C13" w:rsidRPr="009E35ED" w:rsidRDefault="00C15C13" w:rsidP="000B3F04">
            <w:pPr>
              <w:ind w:left="0" w:right="-76"/>
              <w:jc w:val="right"/>
              <w:rPr>
                <w:rFonts w:ascii="Arial Narrow" w:hAnsi="Arial Narrow" w:cs="Calibri"/>
                <w:b/>
                <w:bCs/>
                <w:color w:val="000000" w:themeColor="text1"/>
                <w:sz w:val="22"/>
                <w:szCs w:val="22"/>
              </w:rPr>
            </w:pPr>
            <w:r w:rsidRPr="009E35ED">
              <w:rPr>
                <w:rFonts w:ascii="Arial Narrow" w:hAnsi="Arial Narrow" w:cs="Calibri"/>
                <w:b/>
                <w:bCs/>
                <w:color w:val="000000" w:themeColor="text1"/>
                <w:sz w:val="22"/>
                <w:szCs w:val="22"/>
              </w:rPr>
              <w:fldChar w:fldCharType="begin"/>
            </w:r>
            <w:r w:rsidRPr="009E35ED">
              <w:rPr>
                <w:rFonts w:ascii="Arial Narrow" w:hAnsi="Arial Narrow" w:cs="Calibri"/>
                <w:b/>
                <w:bCs/>
                <w:color w:val="000000" w:themeColor="text1"/>
                <w:sz w:val="22"/>
                <w:szCs w:val="22"/>
              </w:rPr>
              <w:instrText xml:space="preserve"> =SUM(c32:c35) </w:instrText>
            </w:r>
            <w:r w:rsidRPr="009E35ED">
              <w:rPr>
                <w:rFonts w:ascii="Arial Narrow" w:hAnsi="Arial Narrow" w:cs="Calibri"/>
                <w:b/>
                <w:bCs/>
                <w:color w:val="000000" w:themeColor="text1"/>
                <w:sz w:val="22"/>
                <w:szCs w:val="22"/>
              </w:rPr>
              <w:fldChar w:fldCharType="separate"/>
            </w:r>
            <w:r w:rsidRPr="009E35ED">
              <w:rPr>
                <w:rFonts w:ascii="Arial Narrow" w:hAnsi="Arial Narrow" w:cs="Calibri"/>
                <w:b/>
                <w:bCs/>
                <w:noProof/>
                <w:color w:val="000000" w:themeColor="text1"/>
                <w:sz w:val="22"/>
                <w:szCs w:val="22"/>
              </w:rPr>
              <w:t>152,389</w:t>
            </w:r>
            <w:r w:rsidRPr="009E35ED">
              <w:rPr>
                <w:rFonts w:ascii="Arial Narrow" w:hAnsi="Arial Narrow" w:cs="Calibri"/>
                <w:b/>
                <w:bCs/>
                <w:color w:val="000000" w:themeColor="text1"/>
                <w:sz w:val="22"/>
                <w:szCs w:val="22"/>
              </w:rPr>
              <w:fldChar w:fldCharType="end"/>
            </w:r>
          </w:p>
        </w:tc>
      </w:tr>
      <w:tr w:rsidR="00997F75" w:rsidRPr="009E35ED" w14:paraId="04B4EA29" w14:textId="77777777" w:rsidTr="000B3F04">
        <w:trPr>
          <w:trHeight w:val="249"/>
        </w:trPr>
        <w:tc>
          <w:tcPr>
            <w:tcW w:w="5310" w:type="dxa"/>
            <w:tcBorders>
              <w:top w:val="nil"/>
              <w:left w:val="nil"/>
              <w:bottom w:val="nil"/>
              <w:right w:val="nil"/>
            </w:tcBorders>
            <w:shd w:val="clear" w:color="auto" w:fill="auto"/>
            <w:noWrap/>
            <w:vAlign w:val="bottom"/>
            <w:hideMark/>
          </w:tcPr>
          <w:p w14:paraId="0EE878A3" w14:textId="77777777" w:rsidR="00C15C13" w:rsidRPr="009E35ED" w:rsidRDefault="00C15C13" w:rsidP="00AD3D41">
            <w:pPr>
              <w:ind w:left="0"/>
              <w:jc w:val="left"/>
              <w:rPr>
                <w:rFonts w:ascii="Arial Narrow" w:hAnsi="Arial Narrow" w:cs="Calibri"/>
                <w:b/>
                <w:bCs/>
                <w:color w:val="000000" w:themeColor="text1"/>
                <w:sz w:val="22"/>
                <w:szCs w:val="22"/>
              </w:rPr>
            </w:pPr>
          </w:p>
        </w:tc>
        <w:tc>
          <w:tcPr>
            <w:tcW w:w="1718" w:type="dxa"/>
            <w:tcBorders>
              <w:top w:val="nil"/>
              <w:left w:val="nil"/>
              <w:bottom w:val="nil"/>
              <w:right w:val="nil"/>
            </w:tcBorders>
            <w:shd w:val="clear" w:color="auto" w:fill="auto"/>
            <w:noWrap/>
            <w:vAlign w:val="bottom"/>
            <w:hideMark/>
          </w:tcPr>
          <w:p w14:paraId="0768CF19" w14:textId="77777777" w:rsidR="00C15C13" w:rsidRPr="009E35ED" w:rsidRDefault="00C15C13" w:rsidP="00AD3D41">
            <w:pPr>
              <w:ind w:left="0"/>
              <w:jc w:val="right"/>
              <w:rPr>
                <w:rFonts w:ascii="Arial Narrow" w:hAnsi="Arial Narrow"/>
                <w:color w:val="000000" w:themeColor="text1"/>
                <w:sz w:val="22"/>
                <w:szCs w:val="22"/>
              </w:rPr>
            </w:pPr>
          </w:p>
        </w:tc>
        <w:tc>
          <w:tcPr>
            <w:tcW w:w="1644" w:type="dxa"/>
            <w:tcBorders>
              <w:top w:val="nil"/>
              <w:left w:val="nil"/>
              <w:bottom w:val="nil"/>
              <w:right w:val="nil"/>
            </w:tcBorders>
            <w:shd w:val="clear" w:color="auto" w:fill="auto"/>
            <w:noWrap/>
            <w:vAlign w:val="bottom"/>
            <w:hideMark/>
          </w:tcPr>
          <w:p w14:paraId="5ADDA94E" w14:textId="77777777" w:rsidR="00C15C13" w:rsidRPr="009E35ED" w:rsidRDefault="00C15C13" w:rsidP="00AD3D41">
            <w:pPr>
              <w:ind w:left="0"/>
              <w:jc w:val="right"/>
              <w:rPr>
                <w:rFonts w:ascii="Arial Narrow" w:hAnsi="Arial Narrow"/>
                <w:color w:val="000000" w:themeColor="text1"/>
                <w:sz w:val="22"/>
                <w:szCs w:val="22"/>
              </w:rPr>
            </w:pPr>
          </w:p>
        </w:tc>
      </w:tr>
      <w:tr w:rsidR="00997F75" w:rsidRPr="009E35ED" w14:paraId="3C4E4FB7" w14:textId="77777777" w:rsidTr="000B3F04">
        <w:trPr>
          <w:trHeight w:val="249"/>
        </w:trPr>
        <w:tc>
          <w:tcPr>
            <w:tcW w:w="5310" w:type="dxa"/>
            <w:tcBorders>
              <w:top w:val="nil"/>
              <w:left w:val="nil"/>
              <w:bottom w:val="nil"/>
              <w:right w:val="nil"/>
            </w:tcBorders>
            <w:shd w:val="clear" w:color="auto" w:fill="auto"/>
            <w:noWrap/>
            <w:vAlign w:val="bottom"/>
            <w:hideMark/>
          </w:tcPr>
          <w:p w14:paraId="2B87CBB0" w14:textId="77777777" w:rsidR="00C15C13" w:rsidRPr="009E35ED" w:rsidRDefault="00C15C13" w:rsidP="000B3F04">
            <w:pPr>
              <w:ind w:left="-108"/>
              <w:jc w:val="left"/>
              <w:rPr>
                <w:rFonts w:ascii="Arial Narrow" w:hAnsi="Arial Narrow" w:cs="Calibri"/>
                <w:b/>
                <w:bCs/>
                <w:color w:val="000000" w:themeColor="text1"/>
                <w:sz w:val="22"/>
                <w:szCs w:val="22"/>
              </w:rPr>
            </w:pPr>
            <w:r w:rsidRPr="009E35ED">
              <w:rPr>
                <w:rFonts w:ascii="Arial Narrow" w:hAnsi="Arial Narrow" w:cs="Calibri"/>
                <w:b/>
                <w:bCs/>
                <w:color w:val="000000" w:themeColor="text1"/>
                <w:sz w:val="22"/>
                <w:szCs w:val="22"/>
              </w:rPr>
              <w:t>Play/Bet Slips and Thermal Rolls Inventory</w:t>
            </w:r>
          </w:p>
        </w:tc>
        <w:tc>
          <w:tcPr>
            <w:tcW w:w="1718" w:type="dxa"/>
            <w:tcBorders>
              <w:top w:val="nil"/>
              <w:left w:val="nil"/>
              <w:bottom w:val="nil"/>
              <w:right w:val="nil"/>
            </w:tcBorders>
            <w:shd w:val="clear" w:color="auto" w:fill="auto"/>
            <w:noWrap/>
            <w:vAlign w:val="bottom"/>
            <w:hideMark/>
          </w:tcPr>
          <w:p w14:paraId="139DD989" w14:textId="77777777" w:rsidR="00C15C13" w:rsidRPr="009E35ED" w:rsidRDefault="00C15C13" w:rsidP="00AD3D41">
            <w:pPr>
              <w:ind w:left="0"/>
              <w:jc w:val="right"/>
              <w:rPr>
                <w:rFonts w:ascii="Arial Narrow" w:hAnsi="Arial Narrow" w:cs="Calibri"/>
                <w:b/>
                <w:bCs/>
                <w:color w:val="000000" w:themeColor="text1"/>
                <w:sz w:val="22"/>
                <w:szCs w:val="22"/>
              </w:rPr>
            </w:pPr>
          </w:p>
        </w:tc>
        <w:tc>
          <w:tcPr>
            <w:tcW w:w="1644" w:type="dxa"/>
            <w:tcBorders>
              <w:top w:val="nil"/>
              <w:left w:val="nil"/>
              <w:bottom w:val="nil"/>
              <w:right w:val="nil"/>
            </w:tcBorders>
            <w:shd w:val="clear" w:color="auto" w:fill="auto"/>
            <w:noWrap/>
            <w:vAlign w:val="bottom"/>
            <w:hideMark/>
          </w:tcPr>
          <w:p w14:paraId="29AF11E5" w14:textId="77777777" w:rsidR="00C15C13" w:rsidRPr="009E35ED" w:rsidRDefault="00C15C13" w:rsidP="00AD3D41">
            <w:pPr>
              <w:ind w:left="0"/>
              <w:jc w:val="right"/>
              <w:rPr>
                <w:rFonts w:ascii="Arial Narrow" w:hAnsi="Arial Narrow"/>
                <w:color w:val="000000" w:themeColor="text1"/>
                <w:sz w:val="22"/>
                <w:szCs w:val="22"/>
              </w:rPr>
            </w:pPr>
          </w:p>
        </w:tc>
      </w:tr>
      <w:tr w:rsidR="00997F75" w:rsidRPr="009E35ED" w14:paraId="46F80345" w14:textId="77777777" w:rsidTr="000B3F04">
        <w:trPr>
          <w:trHeight w:val="249"/>
        </w:trPr>
        <w:tc>
          <w:tcPr>
            <w:tcW w:w="5310" w:type="dxa"/>
            <w:tcBorders>
              <w:top w:val="nil"/>
              <w:left w:val="nil"/>
              <w:bottom w:val="nil"/>
              <w:right w:val="nil"/>
            </w:tcBorders>
            <w:shd w:val="clear" w:color="auto" w:fill="auto"/>
            <w:noWrap/>
            <w:vAlign w:val="bottom"/>
            <w:hideMark/>
          </w:tcPr>
          <w:p w14:paraId="2354EAEF" w14:textId="77777777" w:rsidR="00C15C13" w:rsidRPr="009E35ED" w:rsidRDefault="00C15C13" w:rsidP="000B3F04">
            <w:pPr>
              <w:ind w:left="-108"/>
              <w:jc w:val="left"/>
              <w:rPr>
                <w:rFonts w:ascii="Arial Narrow" w:hAnsi="Arial Narrow" w:cs="Calibri"/>
                <w:color w:val="000000" w:themeColor="text1"/>
                <w:sz w:val="22"/>
                <w:szCs w:val="22"/>
              </w:rPr>
            </w:pPr>
            <w:r w:rsidRPr="009E35ED">
              <w:rPr>
                <w:rFonts w:ascii="Arial Narrow" w:hAnsi="Arial Narrow" w:cs="Calibri"/>
                <w:color w:val="000000" w:themeColor="text1"/>
                <w:sz w:val="22"/>
                <w:szCs w:val="22"/>
              </w:rPr>
              <w:t>Carrying Amount January 1</w:t>
            </w:r>
          </w:p>
        </w:tc>
        <w:tc>
          <w:tcPr>
            <w:tcW w:w="1718" w:type="dxa"/>
            <w:tcBorders>
              <w:top w:val="nil"/>
              <w:left w:val="nil"/>
              <w:bottom w:val="nil"/>
              <w:right w:val="nil"/>
            </w:tcBorders>
            <w:shd w:val="clear" w:color="auto" w:fill="auto"/>
            <w:noWrap/>
            <w:vAlign w:val="bottom"/>
          </w:tcPr>
          <w:p w14:paraId="0BC5A94C" w14:textId="77777777" w:rsidR="00C15C13" w:rsidRPr="009E35ED" w:rsidRDefault="00C15C13" w:rsidP="00AD3D41">
            <w:pPr>
              <w:ind w:left="0"/>
              <w:jc w:val="right"/>
              <w:rPr>
                <w:rFonts w:ascii="Arial Narrow" w:hAnsi="Arial Narrow" w:cs="Calibri"/>
                <w:color w:val="000000" w:themeColor="text1"/>
                <w:sz w:val="22"/>
                <w:szCs w:val="22"/>
              </w:rPr>
            </w:pPr>
            <w:r w:rsidRPr="009E35ED">
              <w:rPr>
                <w:rFonts w:ascii="Arial Narrow" w:hAnsi="Arial Narrow" w:cs="Calibri"/>
                <w:color w:val="000000" w:themeColor="text1"/>
                <w:sz w:val="22"/>
                <w:szCs w:val="22"/>
              </w:rPr>
              <w:t>109,834,918</w:t>
            </w:r>
          </w:p>
        </w:tc>
        <w:tc>
          <w:tcPr>
            <w:tcW w:w="1644" w:type="dxa"/>
            <w:tcBorders>
              <w:top w:val="nil"/>
              <w:left w:val="nil"/>
              <w:bottom w:val="nil"/>
              <w:right w:val="nil"/>
            </w:tcBorders>
            <w:shd w:val="clear" w:color="auto" w:fill="auto"/>
            <w:noWrap/>
            <w:vAlign w:val="bottom"/>
            <w:hideMark/>
          </w:tcPr>
          <w:p w14:paraId="38FC6D40" w14:textId="77777777" w:rsidR="00C15C13" w:rsidRPr="009E35ED" w:rsidRDefault="00C15C13" w:rsidP="000B3F04">
            <w:pPr>
              <w:ind w:left="0" w:right="-76"/>
              <w:jc w:val="right"/>
              <w:rPr>
                <w:rFonts w:ascii="Arial Narrow" w:hAnsi="Arial Narrow" w:cs="Calibri"/>
                <w:color w:val="000000" w:themeColor="text1"/>
                <w:sz w:val="22"/>
                <w:szCs w:val="22"/>
              </w:rPr>
            </w:pPr>
            <w:r w:rsidRPr="009E35ED">
              <w:rPr>
                <w:rFonts w:ascii="Arial Narrow" w:hAnsi="Arial Narrow" w:cs="Calibri"/>
                <w:color w:val="000000" w:themeColor="text1"/>
                <w:sz w:val="22"/>
                <w:szCs w:val="22"/>
              </w:rPr>
              <w:t>10,891,550</w:t>
            </w:r>
          </w:p>
        </w:tc>
      </w:tr>
      <w:tr w:rsidR="00997F75" w:rsidRPr="009E35ED" w14:paraId="78173DF8" w14:textId="77777777" w:rsidTr="000B3F04">
        <w:trPr>
          <w:trHeight w:val="249"/>
        </w:trPr>
        <w:tc>
          <w:tcPr>
            <w:tcW w:w="5310" w:type="dxa"/>
            <w:tcBorders>
              <w:top w:val="nil"/>
              <w:left w:val="nil"/>
              <w:bottom w:val="nil"/>
              <w:right w:val="nil"/>
            </w:tcBorders>
            <w:shd w:val="clear" w:color="auto" w:fill="auto"/>
            <w:noWrap/>
            <w:vAlign w:val="bottom"/>
            <w:hideMark/>
          </w:tcPr>
          <w:p w14:paraId="33A251CC" w14:textId="77777777" w:rsidR="00C15C13" w:rsidRPr="009E35ED" w:rsidRDefault="00C15C13" w:rsidP="000B3F04">
            <w:pPr>
              <w:ind w:left="-108"/>
              <w:jc w:val="left"/>
              <w:rPr>
                <w:rFonts w:ascii="Arial Narrow" w:hAnsi="Arial Narrow" w:cs="Calibri"/>
                <w:color w:val="000000" w:themeColor="text1"/>
                <w:sz w:val="22"/>
                <w:szCs w:val="22"/>
              </w:rPr>
            </w:pPr>
            <w:r w:rsidRPr="009E35ED">
              <w:rPr>
                <w:rFonts w:ascii="Arial Narrow" w:hAnsi="Arial Narrow" w:cs="Calibri"/>
                <w:color w:val="000000" w:themeColor="text1"/>
                <w:sz w:val="22"/>
                <w:szCs w:val="22"/>
              </w:rPr>
              <w:t>Additional acquisition during the year</w:t>
            </w:r>
          </w:p>
        </w:tc>
        <w:tc>
          <w:tcPr>
            <w:tcW w:w="1718" w:type="dxa"/>
            <w:tcBorders>
              <w:top w:val="nil"/>
              <w:left w:val="nil"/>
              <w:bottom w:val="nil"/>
              <w:right w:val="nil"/>
            </w:tcBorders>
            <w:shd w:val="clear" w:color="auto" w:fill="auto"/>
            <w:noWrap/>
            <w:vAlign w:val="bottom"/>
          </w:tcPr>
          <w:p w14:paraId="7528CFE1" w14:textId="77777777" w:rsidR="00C15C13" w:rsidRPr="009E35ED" w:rsidRDefault="00C15C13" w:rsidP="00AD3D41">
            <w:pPr>
              <w:ind w:left="0"/>
              <w:jc w:val="right"/>
              <w:rPr>
                <w:rFonts w:ascii="Arial Narrow" w:hAnsi="Arial Narrow" w:cs="Calibri"/>
                <w:color w:val="000000" w:themeColor="text1"/>
                <w:sz w:val="22"/>
                <w:szCs w:val="22"/>
              </w:rPr>
            </w:pPr>
            <w:r w:rsidRPr="009E35ED">
              <w:rPr>
                <w:rFonts w:ascii="Arial Narrow" w:hAnsi="Arial Narrow" w:cs="Calibri"/>
                <w:color w:val="000000" w:themeColor="text1"/>
                <w:sz w:val="22"/>
                <w:szCs w:val="22"/>
              </w:rPr>
              <w:t>227,993,909</w:t>
            </w:r>
          </w:p>
        </w:tc>
        <w:tc>
          <w:tcPr>
            <w:tcW w:w="1644" w:type="dxa"/>
            <w:tcBorders>
              <w:top w:val="nil"/>
              <w:left w:val="nil"/>
              <w:bottom w:val="nil"/>
              <w:right w:val="nil"/>
            </w:tcBorders>
            <w:shd w:val="clear" w:color="auto" w:fill="auto"/>
            <w:noWrap/>
            <w:vAlign w:val="bottom"/>
            <w:hideMark/>
          </w:tcPr>
          <w:p w14:paraId="39BBE399" w14:textId="77777777" w:rsidR="00C15C13" w:rsidRPr="009E35ED" w:rsidRDefault="00C15C13" w:rsidP="000B3F04">
            <w:pPr>
              <w:ind w:left="0" w:right="-76"/>
              <w:jc w:val="right"/>
              <w:rPr>
                <w:rFonts w:ascii="Arial Narrow" w:hAnsi="Arial Narrow" w:cs="Calibri"/>
                <w:color w:val="000000" w:themeColor="text1"/>
                <w:sz w:val="22"/>
                <w:szCs w:val="22"/>
              </w:rPr>
            </w:pPr>
            <w:r w:rsidRPr="009E35ED">
              <w:rPr>
                <w:rFonts w:ascii="Arial Narrow" w:hAnsi="Arial Narrow" w:cs="Calibri"/>
                <w:color w:val="000000" w:themeColor="text1"/>
                <w:sz w:val="22"/>
                <w:szCs w:val="22"/>
              </w:rPr>
              <w:t>154,396,405</w:t>
            </w:r>
          </w:p>
        </w:tc>
      </w:tr>
      <w:tr w:rsidR="00997F75" w:rsidRPr="009E35ED" w14:paraId="0126ACA9" w14:textId="77777777" w:rsidTr="000B3F04">
        <w:trPr>
          <w:trHeight w:val="249"/>
        </w:trPr>
        <w:tc>
          <w:tcPr>
            <w:tcW w:w="5310" w:type="dxa"/>
            <w:tcBorders>
              <w:top w:val="nil"/>
              <w:left w:val="nil"/>
              <w:bottom w:val="nil"/>
              <w:right w:val="nil"/>
            </w:tcBorders>
            <w:shd w:val="clear" w:color="auto" w:fill="auto"/>
            <w:noWrap/>
            <w:vAlign w:val="bottom"/>
            <w:hideMark/>
          </w:tcPr>
          <w:p w14:paraId="2EB147AF" w14:textId="77777777" w:rsidR="00C15C13" w:rsidRPr="009E35ED" w:rsidRDefault="00C15C13" w:rsidP="000B3F04">
            <w:pPr>
              <w:ind w:left="-108"/>
              <w:jc w:val="left"/>
              <w:rPr>
                <w:rFonts w:ascii="Arial Narrow" w:hAnsi="Arial Narrow" w:cs="Calibri"/>
                <w:color w:val="000000" w:themeColor="text1"/>
                <w:sz w:val="22"/>
                <w:szCs w:val="22"/>
              </w:rPr>
            </w:pPr>
            <w:r w:rsidRPr="009E35ED">
              <w:rPr>
                <w:rFonts w:ascii="Arial Narrow" w:hAnsi="Arial Narrow" w:cs="Calibri"/>
                <w:color w:val="000000" w:themeColor="text1"/>
                <w:sz w:val="22"/>
                <w:szCs w:val="22"/>
              </w:rPr>
              <w:t>Expensed during the year</w:t>
            </w:r>
          </w:p>
        </w:tc>
        <w:tc>
          <w:tcPr>
            <w:tcW w:w="1718" w:type="dxa"/>
            <w:tcBorders>
              <w:top w:val="nil"/>
              <w:left w:val="nil"/>
              <w:bottom w:val="nil"/>
              <w:right w:val="nil"/>
            </w:tcBorders>
            <w:shd w:val="clear" w:color="auto" w:fill="auto"/>
            <w:noWrap/>
            <w:vAlign w:val="bottom"/>
          </w:tcPr>
          <w:p w14:paraId="6217D053" w14:textId="77777777" w:rsidR="00C15C13" w:rsidRPr="009E35ED" w:rsidRDefault="00C15C13" w:rsidP="00AD3D41">
            <w:pPr>
              <w:ind w:left="0"/>
              <w:jc w:val="right"/>
              <w:rPr>
                <w:rFonts w:ascii="Arial Narrow" w:hAnsi="Arial Narrow" w:cs="Calibri"/>
                <w:color w:val="000000" w:themeColor="text1"/>
                <w:sz w:val="22"/>
                <w:szCs w:val="22"/>
              </w:rPr>
            </w:pPr>
            <w:r w:rsidRPr="009E35ED">
              <w:rPr>
                <w:rFonts w:ascii="Arial Narrow" w:hAnsi="Arial Narrow" w:cs="Calibri"/>
                <w:color w:val="000000" w:themeColor="text1"/>
                <w:sz w:val="22"/>
                <w:szCs w:val="22"/>
              </w:rPr>
              <w:t>(367,513,018)</w:t>
            </w:r>
          </w:p>
        </w:tc>
        <w:tc>
          <w:tcPr>
            <w:tcW w:w="1644" w:type="dxa"/>
            <w:tcBorders>
              <w:top w:val="nil"/>
              <w:left w:val="nil"/>
              <w:bottom w:val="nil"/>
              <w:right w:val="nil"/>
            </w:tcBorders>
            <w:shd w:val="clear" w:color="auto" w:fill="auto"/>
            <w:noWrap/>
            <w:vAlign w:val="bottom"/>
            <w:hideMark/>
          </w:tcPr>
          <w:p w14:paraId="469FF27E" w14:textId="77777777" w:rsidR="00C15C13" w:rsidRPr="009E35ED" w:rsidRDefault="00C15C13" w:rsidP="000B3F04">
            <w:pPr>
              <w:ind w:left="0" w:right="-76"/>
              <w:jc w:val="right"/>
              <w:rPr>
                <w:rFonts w:ascii="Arial Narrow" w:hAnsi="Arial Narrow" w:cs="Calibri"/>
                <w:color w:val="000000" w:themeColor="text1"/>
                <w:sz w:val="22"/>
                <w:szCs w:val="22"/>
              </w:rPr>
            </w:pPr>
            <w:r w:rsidRPr="009E35ED">
              <w:rPr>
                <w:rFonts w:ascii="Arial Narrow" w:hAnsi="Arial Narrow" w:cs="Calibri"/>
                <w:color w:val="000000" w:themeColor="text1"/>
                <w:sz w:val="22"/>
                <w:szCs w:val="22"/>
              </w:rPr>
              <w:t>(323,237,348)</w:t>
            </w:r>
          </w:p>
        </w:tc>
      </w:tr>
      <w:tr w:rsidR="00997F75" w:rsidRPr="009E35ED" w14:paraId="486A8FC6" w14:textId="77777777" w:rsidTr="000B3F04">
        <w:trPr>
          <w:trHeight w:val="249"/>
        </w:trPr>
        <w:tc>
          <w:tcPr>
            <w:tcW w:w="5310" w:type="dxa"/>
            <w:tcBorders>
              <w:top w:val="nil"/>
              <w:left w:val="nil"/>
              <w:bottom w:val="nil"/>
              <w:right w:val="nil"/>
            </w:tcBorders>
            <w:shd w:val="clear" w:color="auto" w:fill="auto"/>
            <w:noWrap/>
            <w:vAlign w:val="bottom"/>
            <w:hideMark/>
          </w:tcPr>
          <w:p w14:paraId="43BA7D8D" w14:textId="77777777" w:rsidR="00C15C13" w:rsidRPr="009E35ED" w:rsidRDefault="00C15C13" w:rsidP="000B3F04">
            <w:pPr>
              <w:ind w:left="-108"/>
              <w:jc w:val="left"/>
              <w:rPr>
                <w:rFonts w:ascii="Arial Narrow" w:hAnsi="Arial Narrow" w:cs="Calibri"/>
                <w:color w:val="000000" w:themeColor="text1"/>
                <w:sz w:val="22"/>
                <w:szCs w:val="22"/>
              </w:rPr>
            </w:pPr>
            <w:r w:rsidRPr="009E35ED">
              <w:rPr>
                <w:rFonts w:ascii="Arial Narrow" w:hAnsi="Arial Narrow" w:cs="Calibri"/>
                <w:color w:val="000000" w:themeColor="text1"/>
                <w:sz w:val="22"/>
                <w:szCs w:val="22"/>
              </w:rPr>
              <w:t>Other adjustment / Accruals</w:t>
            </w:r>
          </w:p>
        </w:tc>
        <w:tc>
          <w:tcPr>
            <w:tcW w:w="1718" w:type="dxa"/>
            <w:tcBorders>
              <w:top w:val="nil"/>
              <w:left w:val="nil"/>
              <w:bottom w:val="nil"/>
              <w:right w:val="nil"/>
            </w:tcBorders>
            <w:shd w:val="clear" w:color="auto" w:fill="auto"/>
            <w:noWrap/>
            <w:vAlign w:val="bottom"/>
          </w:tcPr>
          <w:p w14:paraId="646F5FDD" w14:textId="77777777" w:rsidR="00C15C13" w:rsidRPr="009E35ED" w:rsidRDefault="00C15C13" w:rsidP="00AD3D41">
            <w:pPr>
              <w:ind w:left="0"/>
              <w:jc w:val="right"/>
              <w:rPr>
                <w:rFonts w:ascii="Arial Narrow" w:hAnsi="Arial Narrow" w:cs="Calibri"/>
                <w:color w:val="000000" w:themeColor="text1"/>
                <w:sz w:val="22"/>
                <w:szCs w:val="22"/>
              </w:rPr>
            </w:pPr>
            <w:r w:rsidRPr="009E35ED">
              <w:rPr>
                <w:rFonts w:ascii="Arial Narrow" w:hAnsi="Arial Narrow" w:cs="Calibri"/>
                <w:color w:val="000000" w:themeColor="text1"/>
                <w:sz w:val="22"/>
                <w:szCs w:val="22"/>
              </w:rPr>
              <w:t>89,032,275</w:t>
            </w:r>
          </w:p>
        </w:tc>
        <w:tc>
          <w:tcPr>
            <w:tcW w:w="1644" w:type="dxa"/>
            <w:tcBorders>
              <w:top w:val="nil"/>
              <w:left w:val="nil"/>
              <w:bottom w:val="nil"/>
              <w:right w:val="nil"/>
            </w:tcBorders>
            <w:shd w:val="clear" w:color="auto" w:fill="auto"/>
            <w:noWrap/>
            <w:vAlign w:val="bottom"/>
            <w:hideMark/>
          </w:tcPr>
          <w:p w14:paraId="1FBD9E31" w14:textId="77777777" w:rsidR="00C15C13" w:rsidRPr="009E35ED" w:rsidRDefault="00C15C13" w:rsidP="000B3F04">
            <w:pPr>
              <w:ind w:left="0" w:right="-76"/>
              <w:jc w:val="right"/>
              <w:rPr>
                <w:rFonts w:ascii="Arial Narrow" w:hAnsi="Arial Narrow" w:cs="Calibri"/>
                <w:color w:val="000000" w:themeColor="text1"/>
                <w:sz w:val="22"/>
                <w:szCs w:val="22"/>
              </w:rPr>
            </w:pPr>
            <w:r w:rsidRPr="009E35ED">
              <w:rPr>
                <w:rFonts w:ascii="Arial Narrow" w:hAnsi="Arial Narrow" w:cs="Calibri"/>
                <w:color w:val="000000" w:themeColor="text1"/>
                <w:sz w:val="22"/>
                <w:szCs w:val="22"/>
              </w:rPr>
              <w:t>267,784,311</w:t>
            </w:r>
          </w:p>
        </w:tc>
      </w:tr>
      <w:tr w:rsidR="00997F75" w:rsidRPr="009E35ED" w14:paraId="10E4C1EC" w14:textId="77777777" w:rsidTr="000B3F04">
        <w:trPr>
          <w:trHeight w:val="249"/>
        </w:trPr>
        <w:tc>
          <w:tcPr>
            <w:tcW w:w="5310" w:type="dxa"/>
            <w:tcBorders>
              <w:top w:val="single" w:sz="4" w:space="0" w:color="auto"/>
              <w:left w:val="nil"/>
              <w:bottom w:val="single" w:sz="4" w:space="0" w:color="auto"/>
              <w:right w:val="nil"/>
            </w:tcBorders>
            <w:shd w:val="clear" w:color="auto" w:fill="auto"/>
            <w:noWrap/>
            <w:vAlign w:val="bottom"/>
            <w:hideMark/>
          </w:tcPr>
          <w:p w14:paraId="3B1A6DD4" w14:textId="77777777" w:rsidR="00C15C13" w:rsidRPr="009E35ED" w:rsidRDefault="00C15C13" w:rsidP="000B3F04">
            <w:pPr>
              <w:ind w:left="-108"/>
              <w:jc w:val="left"/>
              <w:rPr>
                <w:rFonts w:ascii="Arial Narrow" w:hAnsi="Arial Narrow" w:cs="Calibri"/>
                <w:b/>
                <w:bCs/>
                <w:color w:val="000000" w:themeColor="text1"/>
                <w:sz w:val="22"/>
                <w:szCs w:val="22"/>
              </w:rPr>
            </w:pPr>
            <w:r w:rsidRPr="009E35ED">
              <w:rPr>
                <w:rFonts w:ascii="Arial Narrow" w:hAnsi="Arial Narrow" w:cs="Calibri"/>
                <w:b/>
                <w:bCs/>
                <w:color w:val="000000" w:themeColor="text1"/>
                <w:sz w:val="22"/>
                <w:szCs w:val="22"/>
              </w:rPr>
              <w:t>Carrying Amount December 31</w:t>
            </w:r>
          </w:p>
        </w:tc>
        <w:tc>
          <w:tcPr>
            <w:tcW w:w="1718" w:type="dxa"/>
            <w:tcBorders>
              <w:top w:val="single" w:sz="4" w:space="0" w:color="auto"/>
              <w:left w:val="nil"/>
              <w:bottom w:val="single" w:sz="4" w:space="0" w:color="auto"/>
              <w:right w:val="nil"/>
            </w:tcBorders>
            <w:shd w:val="clear" w:color="auto" w:fill="auto"/>
            <w:noWrap/>
            <w:vAlign w:val="bottom"/>
          </w:tcPr>
          <w:p w14:paraId="7FF4421E" w14:textId="77777777" w:rsidR="00C15C13" w:rsidRPr="009E35ED" w:rsidRDefault="00C15C13" w:rsidP="00AD3D41">
            <w:pPr>
              <w:ind w:left="0"/>
              <w:jc w:val="right"/>
              <w:rPr>
                <w:rFonts w:ascii="Arial Narrow" w:hAnsi="Arial Narrow" w:cs="Calibri"/>
                <w:b/>
                <w:bCs/>
                <w:color w:val="000000" w:themeColor="text1"/>
                <w:sz w:val="22"/>
                <w:szCs w:val="22"/>
              </w:rPr>
            </w:pPr>
            <w:r w:rsidRPr="009E35ED">
              <w:rPr>
                <w:rFonts w:ascii="Arial Narrow" w:hAnsi="Arial Narrow" w:cs="Calibri"/>
                <w:b/>
                <w:bCs/>
                <w:color w:val="000000" w:themeColor="text1"/>
                <w:sz w:val="22"/>
                <w:szCs w:val="22"/>
              </w:rPr>
              <w:t>59,348,084</w:t>
            </w:r>
          </w:p>
        </w:tc>
        <w:tc>
          <w:tcPr>
            <w:tcW w:w="1644" w:type="dxa"/>
            <w:tcBorders>
              <w:top w:val="single" w:sz="4" w:space="0" w:color="auto"/>
              <w:left w:val="nil"/>
              <w:bottom w:val="single" w:sz="4" w:space="0" w:color="auto"/>
              <w:right w:val="nil"/>
            </w:tcBorders>
            <w:shd w:val="clear" w:color="auto" w:fill="auto"/>
            <w:noWrap/>
            <w:vAlign w:val="bottom"/>
            <w:hideMark/>
          </w:tcPr>
          <w:p w14:paraId="58996C83" w14:textId="77777777" w:rsidR="00C15C13" w:rsidRPr="009E35ED" w:rsidRDefault="00C15C13" w:rsidP="000B3F04">
            <w:pPr>
              <w:ind w:left="0" w:right="-76"/>
              <w:jc w:val="right"/>
              <w:rPr>
                <w:rFonts w:ascii="Arial Narrow" w:hAnsi="Arial Narrow" w:cs="Calibri"/>
                <w:b/>
                <w:bCs/>
                <w:color w:val="000000" w:themeColor="text1"/>
                <w:sz w:val="22"/>
                <w:szCs w:val="22"/>
              </w:rPr>
            </w:pPr>
            <w:r w:rsidRPr="009E35ED">
              <w:rPr>
                <w:rFonts w:ascii="Arial Narrow" w:hAnsi="Arial Narrow" w:cs="Calibri"/>
                <w:b/>
                <w:bCs/>
                <w:color w:val="000000" w:themeColor="text1"/>
                <w:sz w:val="22"/>
                <w:szCs w:val="22"/>
              </w:rPr>
              <w:fldChar w:fldCharType="begin"/>
            </w:r>
            <w:r w:rsidRPr="009E35ED">
              <w:rPr>
                <w:rFonts w:ascii="Arial Narrow" w:hAnsi="Arial Narrow" w:cs="Calibri"/>
                <w:b/>
                <w:bCs/>
                <w:color w:val="000000" w:themeColor="text1"/>
                <w:sz w:val="22"/>
                <w:szCs w:val="22"/>
              </w:rPr>
              <w:instrText xml:space="preserve"> =SUM(c39:c42) </w:instrText>
            </w:r>
            <w:r w:rsidRPr="009E35ED">
              <w:rPr>
                <w:rFonts w:ascii="Arial Narrow" w:hAnsi="Arial Narrow" w:cs="Calibri"/>
                <w:b/>
                <w:bCs/>
                <w:color w:val="000000" w:themeColor="text1"/>
                <w:sz w:val="22"/>
                <w:szCs w:val="22"/>
              </w:rPr>
              <w:fldChar w:fldCharType="separate"/>
            </w:r>
            <w:r w:rsidRPr="009E35ED">
              <w:rPr>
                <w:rFonts w:ascii="Arial Narrow" w:hAnsi="Arial Narrow" w:cs="Calibri"/>
                <w:b/>
                <w:bCs/>
                <w:noProof/>
                <w:color w:val="000000" w:themeColor="text1"/>
                <w:sz w:val="22"/>
                <w:szCs w:val="22"/>
              </w:rPr>
              <w:t>109,834,918</w:t>
            </w:r>
            <w:r w:rsidRPr="009E35ED">
              <w:rPr>
                <w:rFonts w:ascii="Arial Narrow" w:hAnsi="Arial Narrow" w:cs="Calibri"/>
                <w:b/>
                <w:bCs/>
                <w:color w:val="000000" w:themeColor="text1"/>
                <w:sz w:val="22"/>
                <w:szCs w:val="22"/>
              </w:rPr>
              <w:fldChar w:fldCharType="end"/>
            </w:r>
          </w:p>
        </w:tc>
      </w:tr>
      <w:tr w:rsidR="00997F75" w:rsidRPr="009E35ED" w14:paraId="0591192A" w14:textId="77777777" w:rsidTr="000B3F04">
        <w:trPr>
          <w:trHeight w:val="249"/>
        </w:trPr>
        <w:tc>
          <w:tcPr>
            <w:tcW w:w="5310" w:type="dxa"/>
            <w:tcBorders>
              <w:top w:val="nil"/>
              <w:left w:val="nil"/>
              <w:bottom w:val="nil"/>
              <w:right w:val="nil"/>
            </w:tcBorders>
            <w:shd w:val="clear" w:color="auto" w:fill="auto"/>
            <w:noWrap/>
            <w:vAlign w:val="bottom"/>
            <w:hideMark/>
          </w:tcPr>
          <w:p w14:paraId="32F03687" w14:textId="77777777" w:rsidR="00C15C13" w:rsidRPr="009E35ED" w:rsidRDefault="00C15C13" w:rsidP="00AD3D41">
            <w:pPr>
              <w:ind w:left="0"/>
              <w:jc w:val="left"/>
              <w:rPr>
                <w:rFonts w:ascii="Arial Narrow" w:hAnsi="Arial Narrow" w:cs="Calibri"/>
                <w:b/>
                <w:bCs/>
                <w:color w:val="000000" w:themeColor="text1"/>
                <w:sz w:val="22"/>
                <w:szCs w:val="22"/>
              </w:rPr>
            </w:pPr>
          </w:p>
        </w:tc>
        <w:tc>
          <w:tcPr>
            <w:tcW w:w="1718" w:type="dxa"/>
            <w:tcBorders>
              <w:top w:val="nil"/>
              <w:left w:val="nil"/>
              <w:bottom w:val="nil"/>
              <w:right w:val="nil"/>
            </w:tcBorders>
            <w:shd w:val="clear" w:color="auto" w:fill="auto"/>
            <w:noWrap/>
            <w:vAlign w:val="bottom"/>
            <w:hideMark/>
          </w:tcPr>
          <w:p w14:paraId="4468B0EF" w14:textId="77777777" w:rsidR="00C15C13" w:rsidRPr="009E35ED" w:rsidRDefault="00C15C13" w:rsidP="00AD3D41">
            <w:pPr>
              <w:ind w:left="0"/>
              <w:jc w:val="right"/>
              <w:rPr>
                <w:rFonts w:ascii="Arial Narrow" w:hAnsi="Arial Narrow"/>
                <w:color w:val="000000" w:themeColor="text1"/>
                <w:sz w:val="22"/>
                <w:szCs w:val="22"/>
              </w:rPr>
            </w:pPr>
          </w:p>
        </w:tc>
        <w:tc>
          <w:tcPr>
            <w:tcW w:w="1644" w:type="dxa"/>
            <w:tcBorders>
              <w:top w:val="nil"/>
              <w:left w:val="nil"/>
              <w:bottom w:val="nil"/>
              <w:right w:val="nil"/>
            </w:tcBorders>
            <w:shd w:val="clear" w:color="auto" w:fill="auto"/>
            <w:noWrap/>
            <w:vAlign w:val="bottom"/>
            <w:hideMark/>
          </w:tcPr>
          <w:p w14:paraId="7F589D22" w14:textId="77777777" w:rsidR="00C15C13" w:rsidRPr="009E35ED" w:rsidRDefault="00C15C13" w:rsidP="00AD3D41">
            <w:pPr>
              <w:ind w:left="0"/>
              <w:jc w:val="right"/>
              <w:rPr>
                <w:rFonts w:ascii="Arial Narrow" w:hAnsi="Arial Narrow"/>
                <w:color w:val="000000" w:themeColor="text1"/>
                <w:sz w:val="22"/>
                <w:szCs w:val="22"/>
              </w:rPr>
            </w:pPr>
          </w:p>
        </w:tc>
      </w:tr>
      <w:tr w:rsidR="00997F75" w:rsidRPr="009E35ED" w14:paraId="75FEEC80" w14:textId="77777777" w:rsidTr="000B3F04">
        <w:trPr>
          <w:trHeight w:val="249"/>
        </w:trPr>
        <w:tc>
          <w:tcPr>
            <w:tcW w:w="5310" w:type="dxa"/>
            <w:tcBorders>
              <w:top w:val="nil"/>
              <w:left w:val="nil"/>
              <w:bottom w:val="nil"/>
              <w:right w:val="nil"/>
            </w:tcBorders>
            <w:shd w:val="clear" w:color="auto" w:fill="auto"/>
            <w:noWrap/>
            <w:vAlign w:val="bottom"/>
            <w:hideMark/>
          </w:tcPr>
          <w:p w14:paraId="2A7F24D2" w14:textId="77777777" w:rsidR="00C15C13" w:rsidRPr="009E35ED" w:rsidRDefault="00C15C13" w:rsidP="000B3F04">
            <w:pPr>
              <w:ind w:left="-108"/>
              <w:jc w:val="left"/>
              <w:rPr>
                <w:rFonts w:ascii="Arial Narrow" w:hAnsi="Arial Narrow" w:cs="Calibri"/>
                <w:b/>
                <w:bCs/>
                <w:color w:val="000000" w:themeColor="text1"/>
                <w:sz w:val="22"/>
                <w:szCs w:val="22"/>
              </w:rPr>
            </w:pPr>
            <w:r w:rsidRPr="009E35ED">
              <w:rPr>
                <w:rFonts w:ascii="Arial Narrow" w:hAnsi="Arial Narrow" w:cs="Calibri"/>
                <w:b/>
                <w:bCs/>
                <w:color w:val="000000" w:themeColor="text1"/>
                <w:sz w:val="22"/>
                <w:szCs w:val="22"/>
              </w:rPr>
              <w:t>Other Supplies and Materials Inventory</w:t>
            </w:r>
          </w:p>
        </w:tc>
        <w:tc>
          <w:tcPr>
            <w:tcW w:w="1718" w:type="dxa"/>
            <w:tcBorders>
              <w:top w:val="nil"/>
              <w:left w:val="nil"/>
              <w:bottom w:val="nil"/>
              <w:right w:val="nil"/>
            </w:tcBorders>
            <w:shd w:val="clear" w:color="auto" w:fill="auto"/>
            <w:noWrap/>
            <w:vAlign w:val="bottom"/>
            <w:hideMark/>
          </w:tcPr>
          <w:p w14:paraId="6AB4477B" w14:textId="77777777" w:rsidR="00C15C13" w:rsidRPr="009E35ED" w:rsidRDefault="00C15C13" w:rsidP="00AD3D41">
            <w:pPr>
              <w:ind w:left="0"/>
              <w:jc w:val="right"/>
              <w:rPr>
                <w:rFonts w:ascii="Arial Narrow" w:hAnsi="Arial Narrow" w:cs="Calibri"/>
                <w:b/>
                <w:bCs/>
                <w:color w:val="000000" w:themeColor="text1"/>
                <w:sz w:val="22"/>
                <w:szCs w:val="22"/>
              </w:rPr>
            </w:pPr>
          </w:p>
        </w:tc>
        <w:tc>
          <w:tcPr>
            <w:tcW w:w="1644" w:type="dxa"/>
            <w:tcBorders>
              <w:top w:val="nil"/>
              <w:left w:val="nil"/>
              <w:bottom w:val="nil"/>
              <w:right w:val="nil"/>
            </w:tcBorders>
            <w:shd w:val="clear" w:color="auto" w:fill="auto"/>
            <w:noWrap/>
            <w:vAlign w:val="bottom"/>
            <w:hideMark/>
          </w:tcPr>
          <w:p w14:paraId="2127268E" w14:textId="77777777" w:rsidR="00C15C13" w:rsidRPr="009E35ED" w:rsidRDefault="00C15C13" w:rsidP="00AD3D41">
            <w:pPr>
              <w:ind w:left="0"/>
              <w:jc w:val="right"/>
              <w:rPr>
                <w:rFonts w:ascii="Arial Narrow" w:hAnsi="Arial Narrow"/>
                <w:color w:val="000000" w:themeColor="text1"/>
                <w:sz w:val="22"/>
                <w:szCs w:val="22"/>
              </w:rPr>
            </w:pPr>
          </w:p>
        </w:tc>
      </w:tr>
      <w:tr w:rsidR="00997F75" w:rsidRPr="009E35ED" w14:paraId="4FB03C2F" w14:textId="77777777" w:rsidTr="000B3F04">
        <w:trPr>
          <w:trHeight w:val="249"/>
        </w:trPr>
        <w:tc>
          <w:tcPr>
            <w:tcW w:w="5310" w:type="dxa"/>
            <w:tcBorders>
              <w:top w:val="nil"/>
              <w:left w:val="nil"/>
              <w:bottom w:val="nil"/>
              <w:right w:val="nil"/>
            </w:tcBorders>
            <w:shd w:val="clear" w:color="auto" w:fill="auto"/>
            <w:noWrap/>
            <w:vAlign w:val="bottom"/>
            <w:hideMark/>
          </w:tcPr>
          <w:p w14:paraId="4FC3DF50" w14:textId="77777777" w:rsidR="00C15C13" w:rsidRPr="009E35ED" w:rsidRDefault="00C15C13" w:rsidP="000B3F04">
            <w:pPr>
              <w:ind w:left="-108"/>
              <w:jc w:val="left"/>
              <w:rPr>
                <w:rFonts w:ascii="Arial Narrow" w:hAnsi="Arial Narrow" w:cs="Calibri"/>
                <w:color w:val="000000" w:themeColor="text1"/>
                <w:sz w:val="22"/>
                <w:szCs w:val="22"/>
              </w:rPr>
            </w:pPr>
            <w:r w:rsidRPr="009E35ED">
              <w:rPr>
                <w:rFonts w:ascii="Arial Narrow" w:hAnsi="Arial Narrow" w:cs="Calibri"/>
                <w:color w:val="000000" w:themeColor="text1"/>
                <w:sz w:val="22"/>
                <w:szCs w:val="22"/>
              </w:rPr>
              <w:t>Carrying Amount January 1</w:t>
            </w:r>
          </w:p>
        </w:tc>
        <w:tc>
          <w:tcPr>
            <w:tcW w:w="1718" w:type="dxa"/>
            <w:tcBorders>
              <w:top w:val="nil"/>
              <w:left w:val="nil"/>
              <w:bottom w:val="nil"/>
              <w:right w:val="nil"/>
            </w:tcBorders>
            <w:shd w:val="clear" w:color="auto" w:fill="auto"/>
            <w:noWrap/>
            <w:vAlign w:val="bottom"/>
          </w:tcPr>
          <w:p w14:paraId="285AE0CC" w14:textId="77777777" w:rsidR="00C15C13" w:rsidRPr="009E35ED" w:rsidRDefault="00C15C13" w:rsidP="00AD3D41">
            <w:pPr>
              <w:ind w:left="0"/>
              <w:jc w:val="right"/>
              <w:rPr>
                <w:rFonts w:ascii="Arial Narrow" w:hAnsi="Arial Narrow" w:cs="Calibri"/>
                <w:color w:val="000000" w:themeColor="text1"/>
                <w:sz w:val="22"/>
                <w:szCs w:val="22"/>
              </w:rPr>
            </w:pPr>
            <w:r w:rsidRPr="009E35ED">
              <w:rPr>
                <w:rFonts w:ascii="Arial Narrow" w:hAnsi="Arial Narrow" w:cs="Calibri"/>
                <w:bCs/>
                <w:color w:val="000000" w:themeColor="text1"/>
                <w:sz w:val="22"/>
                <w:szCs w:val="22"/>
              </w:rPr>
              <w:t>11,702,518</w:t>
            </w:r>
          </w:p>
        </w:tc>
        <w:tc>
          <w:tcPr>
            <w:tcW w:w="1644" w:type="dxa"/>
            <w:tcBorders>
              <w:top w:val="nil"/>
              <w:left w:val="nil"/>
              <w:bottom w:val="nil"/>
              <w:right w:val="nil"/>
            </w:tcBorders>
            <w:shd w:val="clear" w:color="auto" w:fill="auto"/>
            <w:noWrap/>
            <w:vAlign w:val="bottom"/>
            <w:hideMark/>
          </w:tcPr>
          <w:p w14:paraId="416EB8B1" w14:textId="59275D71" w:rsidR="00C15C13" w:rsidRPr="009E35ED" w:rsidRDefault="00C15C13" w:rsidP="000B3F04">
            <w:pPr>
              <w:ind w:left="0" w:right="-76"/>
              <w:jc w:val="right"/>
              <w:rPr>
                <w:rFonts w:ascii="Arial Narrow" w:hAnsi="Arial Narrow" w:cs="Calibri"/>
                <w:color w:val="000000" w:themeColor="text1"/>
                <w:sz w:val="22"/>
                <w:szCs w:val="22"/>
              </w:rPr>
            </w:pPr>
            <w:r w:rsidRPr="009E35ED">
              <w:rPr>
                <w:rFonts w:ascii="Arial Narrow" w:hAnsi="Arial Narrow" w:cs="Calibri"/>
                <w:bCs/>
                <w:color w:val="000000" w:themeColor="text1"/>
                <w:sz w:val="22"/>
                <w:szCs w:val="22"/>
              </w:rPr>
              <w:t>10,104,</w:t>
            </w:r>
            <w:r w:rsidR="00DD7022" w:rsidRPr="009E35ED">
              <w:rPr>
                <w:rFonts w:ascii="Arial Narrow" w:hAnsi="Arial Narrow" w:cs="Calibri"/>
                <w:bCs/>
                <w:color w:val="000000" w:themeColor="text1"/>
                <w:sz w:val="22"/>
                <w:szCs w:val="22"/>
              </w:rPr>
              <w:t>510</w:t>
            </w:r>
          </w:p>
        </w:tc>
      </w:tr>
      <w:tr w:rsidR="00997F75" w:rsidRPr="009E35ED" w14:paraId="72360E03" w14:textId="77777777" w:rsidTr="000B3F04">
        <w:trPr>
          <w:trHeight w:val="249"/>
        </w:trPr>
        <w:tc>
          <w:tcPr>
            <w:tcW w:w="5310" w:type="dxa"/>
            <w:tcBorders>
              <w:top w:val="nil"/>
              <w:left w:val="nil"/>
              <w:bottom w:val="nil"/>
              <w:right w:val="nil"/>
            </w:tcBorders>
            <w:shd w:val="clear" w:color="auto" w:fill="auto"/>
            <w:noWrap/>
            <w:vAlign w:val="bottom"/>
            <w:hideMark/>
          </w:tcPr>
          <w:p w14:paraId="3701C7C4" w14:textId="77777777" w:rsidR="00C15C13" w:rsidRPr="009E35ED" w:rsidRDefault="00C15C13" w:rsidP="000B3F04">
            <w:pPr>
              <w:ind w:left="-108"/>
              <w:jc w:val="left"/>
              <w:rPr>
                <w:rFonts w:ascii="Arial Narrow" w:hAnsi="Arial Narrow" w:cs="Calibri"/>
                <w:color w:val="000000" w:themeColor="text1"/>
                <w:sz w:val="22"/>
                <w:szCs w:val="22"/>
              </w:rPr>
            </w:pPr>
            <w:r w:rsidRPr="009E35ED">
              <w:rPr>
                <w:rFonts w:ascii="Arial Narrow" w:hAnsi="Arial Narrow" w:cs="Calibri"/>
                <w:color w:val="000000" w:themeColor="text1"/>
                <w:sz w:val="22"/>
                <w:szCs w:val="22"/>
              </w:rPr>
              <w:t>Additional acquisition during the year</w:t>
            </w:r>
          </w:p>
        </w:tc>
        <w:tc>
          <w:tcPr>
            <w:tcW w:w="1718" w:type="dxa"/>
            <w:tcBorders>
              <w:top w:val="nil"/>
              <w:left w:val="nil"/>
              <w:bottom w:val="nil"/>
              <w:right w:val="nil"/>
            </w:tcBorders>
            <w:shd w:val="clear" w:color="auto" w:fill="auto"/>
            <w:noWrap/>
            <w:vAlign w:val="bottom"/>
          </w:tcPr>
          <w:p w14:paraId="5A598B3C" w14:textId="77777777" w:rsidR="00C15C13" w:rsidRPr="009E35ED" w:rsidRDefault="00C15C13" w:rsidP="00AD3D41">
            <w:pPr>
              <w:ind w:left="0"/>
              <w:jc w:val="right"/>
              <w:rPr>
                <w:rFonts w:ascii="Arial Narrow" w:hAnsi="Arial Narrow" w:cs="Calibri"/>
                <w:color w:val="000000" w:themeColor="text1"/>
                <w:sz w:val="22"/>
                <w:szCs w:val="22"/>
              </w:rPr>
            </w:pPr>
            <w:r w:rsidRPr="009E35ED">
              <w:rPr>
                <w:rFonts w:ascii="Arial Narrow" w:hAnsi="Arial Narrow" w:cs="Calibri"/>
                <w:color w:val="000000" w:themeColor="text1"/>
                <w:sz w:val="22"/>
                <w:szCs w:val="22"/>
              </w:rPr>
              <w:t>16,133,988</w:t>
            </w:r>
          </w:p>
        </w:tc>
        <w:tc>
          <w:tcPr>
            <w:tcW w:w="1644" w:type="dxa"/>
            <w:tcBorders>
              <w:top w:val="nil"/>
              <w:left w:val="nil"/>
              <w:bottom w:val="nil"/>
              <w:right w:val="nil"/>
            </w:tcBorders>
            <w:shd w:val="clear" w:color="auto" w:fill="auto"/>
            <w:noWrap/>
            <w:vAlign w:val="bottom"/>
            <w:hideMark/>
          </w:tcPr>
          <w:p w14:paraId="383F5F41" w14:textId="77777777" w:rsidR="00C15C13" w:rsidRPr="009E35ED" w:rsidRDefault="00C15C13" w:rsidP="000B3F04">
            <w:pPr>
              <w:ind w:left="0" w:right="-76"/>
              <w:jc w:val="right"/>
              <w:rPr>
                <w:rFonts w:ascii="Arial Narrow" w:hAnsi="Arial Narrow" w:cs="Calibri"/>
                <w:color w:val="000000" w:themeColor="text1"/>
                <w:sz w:val="22"/>
                <w:szCs w:val="22"/>
              </w:rPr>
            </w:pPr>
            <w:r w:rsidRPr="009E35ED">
              <w:rPr>
                <w:rFonts w:ascii="Arial Narrow" w:hAnsi="Arial Narrow" w:cs="Calibri"/>
                <w:color w:val="000000" w:themeColor="text1"/>
                <w:sz w:val="22"/>
                <w:szCs w:val="22"/>
              </w:rPr>
              <w:t>16,605,320</w:t>
            </w:r>
          </w:p>
        </w:tc>
      </w:tr>
      <w:tr w:rsidR="00997F75" w:rsidRPr="009E35ED" w14:paraId="3F58EC4C" w14:textId="77777777" w:rsidTr="000B3F04">
        <w:trPr>
          <w:trHeight w:val="249"/>
        </w:trPr>
        <w:tc>
          <w:tcPr>
            <w:tcW w:w="5310" w:type="dxa"/>
            <w:tcBorders>
              <w:top w:val="nil"/>
              <w:left w:val="nil"/>
              <w:bottom w:val="nil"/>
              <w:right w:val="nil"/>
            </w:tcBorders>
            <w:shd w:val="clear" w:color="auto" w:fill="auto"/>
            <w:noWrap/>
            <w:vAlign w:val="bottom"/>
            <w:hideMark/>
          </w:tcPr>
          <w:p w14:paraId="1EC47B48" w14:textId="77777777" w:rsidR="00C15C13" w:rsidRPr="009E35ED" w:rsidRDefault="00C15C13" w:rsidP="000B3F04">
            <w:pPr>
              <w:ind w:left="-108"/>
              <w:jc w:val="left"/>
              <w:rPr>
                <w:rFonts w:ascii="Arial Narrow" w:hAnsi="Arial Narrow" w:cs="Calibri"/>
                <w:color w:val="000000" w:themeColor="text1"/>
                <w:sz w:val="22"/>
                <w:szCs w:val="22"/>
              </w:rPr>
            </w:pPr>
            <w:r w:rsidRPr="009E35ED">
              <w:rPr>
                <w:rFonts w:ascii="Arial Narrow" w:hAnsi="Arial Narrow" w:cs="Calibri"/>
                <w:color w:val="000000" w:themeColor="text1"/>
                <w:sz w:val="22"/>
                <w:szCs w:val="22"/>
              </w:rPr>
              <w:t>Expensed during the year</w:t>
            </w:r>
          </w:p>
        </w:tc>
        <w:tc>
          <w:tcPr>
            <w:tcW w:w="1718" w:type="dxa"/>
            <w:tcBorders>
              <w:top w:val="nil"/>
              <w:left w:val="nil"/>
              <w:bottom w:val="nil"/>
              <w:right w:val="nil"/>
            </w:tcBorders>
            <w:shd w:val="clear" w:color="auto" w:fill="auto"/>
            <w:noWrap/>
            <w:vAlign w:val="bottom"/>
          </w:tcPr>
          <w:p w14:paraId="72BA4C19" w14:textId="77777777" w:rsidR="00C15C13" w:rsidRPr="009E35ED" w:rsidRDefault="00C15C13" w:rsidP="00AD3D41">
            <w:pPr>
              <w:ind w:left="0"/>
              <w:jc w:val="right"/>
              <w:rPr>
                <w:rFonts w:ascii="Arial Narrow" w:hAnsi="Arial Narrow" w:cs="Calibri"/>
                <w:color w:val="000000" w:themeColor="text1"/>
                <w:sz w:val="22"/>
                <w:szCs w:val="22"/>
              </w:rPr>
            </w:pPr>
            <w:r w:rsidRPr="009E35ED">
              <w:rPr>
                <w:rFonts w:ascii="Arial Narrow" w:hAnsi="Arial Narrow" w:cs="Calibri"/>
                <w:color w:val="000000" w:themeColor="text1"/>
                <w:sz w:val="22"/>
                <w:szCs w:val="22"/>
              </w:rPr>
              <w:t>(1,104,954)</w:t>
            </w:r>
          </w:p>
        </w:tc>
        <w:tc>
          <w:tcPr>
            <w:tcW w:w="1644" w:type="dxa"/>
            <w:tcBorders>
              <w:top w:val="nil"/>
              <w:left w:val="nil"/>
              <w:bottom w:val="nil"/>
              <w:right w:val="nil"/>
            </w:tcBorders>
            <w:shd w:val="clear" w:color="auto" w:fill="auto"/>
            <w:noWrap/>
            <w:vAlign w:val="bottom"/>
            <w:hideMark/>
          </w:tcPr>
          <w:p w14:paraId="70065E34" w14:textId="77777777" w:rsidR="00C15C13" w:rsidRPr="009E35ED" w:rsidRDefault="00C15C13" w:rsidP="000B3F04">
            <w:pPr>
              <w:ind w:left="0" w:right="-76"/>
              <w:jc w:val="right"/>
              <w:rPr>
                <w:rFonts w:ascii="Arial Narrow" w:hAnsi="Arial Narrow" w:cs="Calibri"/>
                <w:color w:val="000000" w:themeColor="text1"/>
                <w:sz w:val="22"/>
                <w:szCs w:val="22"/>
              </w:rPr>
            </w:pPr>
            <w:r w:rsidRPr="009E35ED">
              <w:rPr>
                <w:rFonts w:ascii="Arial Narrow" w:hAnsi="Arial Narrow" w:cs="Calibri"/>
                <w:color w:val="000000" w:themeColor="text1"/>
                <w:sz w:val="22"/>
                <w:szCs w:val="22"/>
              </w:rPr>
              <w:t>(2,248,880)</w:t>
            </w:r>
          </w:p>
        </w:tc>
      </w:tr>
      <w:tr w:rsidR="00997F75" w:rsidRPr="009E35ED" w14:paraId="6B0843E0" w14:textId="77777777" w:rsidTr="000B3F04">
        <w:trPr>
          <w:trHeight w:val="249"/>
        </w:trPr>
        <w:tc>
          <w:tcPr>
            <w:tcW w:w="5310" w:type="dxa"/>
            <w:tcBorders>
              <w:top w:val="nil"/>
              <w:left w:val="nil"/>
              <w:bottom w:val="nil"/>
              <w:right w:val="nil"/>
            </w:tcBorders>
            <w:shd w:val="clear" w:color="auto" w:fill="auto"/>
            <w:noWrap/>
            <w:vAlign w:val="bottom"/>
            <w:hideMark/>
          </w:tcPr>
          <w:p w14:paraId="516DFFBE" w14:textId="77777777" w:rsidR="00C15C13" w:rsidRPr="009E35ED" w:rsidRDefault="00C15C13" w:rsidP="000B3F04">
            <w:pPr>
              <w:ind w:left="-108"/>
              <w:jc w:val="left"/>
              <w:rPr>
                <w:rFonts w:ascii="Arial Narrow" w:hAnsi="Arial Narrow" w:cs="Calibri"/>
                <w:color w:val="000000" w:themeColor="text1"/>
                <w:sz w:val="22"/>
                <w:szCs w:val="22"/>
              </w:rPr>
            </w:pPr>
            <w:r w:rsidRPr="009E35ED">
              <w:rPr>
                <w:rFonts w:ascii="Arial Narrow" w:hAnsi="Arial Narrow" w:cs="Calibri"/>
                <w:color w:val="000000" w:themeColor="text1"/>
                <w:sz w:val="22"/>
                <w:szCs w:val="22"/>
              </w:rPr>
              <w:t>Other adjustment / Accruals</w:t>
            </w:r>
          </w:p>
        </w:tc>
        <w:tc>
          <w:tcPr>
            <w:tcW w:w="1718" w:type="dxa"/>
            <w:tcBorders>
              <w:top w:val="nil"/>
              <w:left w:val="nil"/>
              <w:bottom w:val="nil"/>
              <w:right w:val="nil"/>
            </w:tcBorders>
            <w:shd w:val="clear" w:color="auto" w:fill="auto"/>
            <w:noWrap/>
            <w:vAlign w:val="bottom"/>
          </w:tcPr>
          <w:p w14:paraId="03F8F797" w14:textId="77777777" w:rsidR="00C15C13" w:rsidRPr="009E35ED" w:rsidRDefault="00C15C13" w:rsidP="00AD3D41">
            <w:pPr>
              <w:ind w:left="0"/>
              <w:jc w:val="right"/>
              <w:rPr>
                <w:rFonts w:ascii="Arial Narrow" w:hAnsi="Arial Narrow" w:cs="Calibri"/>
                <w:color w:val="000000" w:themeColor="text1"/>
                <w:sz w:val="22"/>
                <w:szCs w:val="22"/>
              </w:rPr>
            </w:pPr>
            <w:r w:rsidRPr="009E35ED">
              <w:rPr>
                <w:rFonts w:ascii="Arial Narrow" w:hAnsi="Arial Narrow" w:cs="Calibri"/>
                <w:color w:val="000000" w:themeColor="text1"/>
                <w:sz w:val="22"/>
                <w:szCs w:val="22"/>
              </w:rPr>
              <w:t>(15,300,007)</w:t>
            </w:r>
          </w:p>
        </w:tc>
        <w:tc>
          <w:tcPr>
            <w:tcW w:w="1644" w:type="dxa"/>
            <w:tcBorders>
              <w:top w:val="nil"/>
              <w:left w:val="nil"/>
              <w:bottom w:val="nil"/>
              <w:right w:val="nil"/>
            </w:tcBorders>
            <w:shd w:val="clear" w:color="auto" w:fill="auto"/>
            <w:noWrap/>
            <w:vAlign w:val="bottom"/>
            <w:hideMark/>
          </w:tcPr>
          <w:p w14:paraId="013F0DFD" w14:textId="702A7759" w:rsidR="00C15C13" w:rsidRPr="009E35ED" w:rsidRDefault="00C15C13" w:rsidP="000B3F04">
            <w:pPr>
              <w:ind w:left="0" w:right="-76"/>
              <w:jc w:val="right"/>
              <w:rPr>
                <w:rFonts w:ascii="Arial Narrow" w:hAnsi="Arial Narrow" w:cs="Calibri"/>
                <w:color w:val="000000" w:themeColor="text1"/>
                <w:sz w:val="22"/>
                <w:szCs w:val="22"/>
              </w:rPr>
            </w:pPr>
            <w:r w:rsidRPr="009E35ED">
              <w:rPr>
                <w:rFonts w:ascii="Arial Narrow" w:hAnsi="Arial Narrow" w:cs="Calibri"/>
                <w:color w:val="000000" w:themeColor="text1"/>
                <w:sz w:val="22"/>
                <w:szCs w:val="22"/>
              </w:rPr>
              <w:t>(12,758,</w:t>
            </w:r>
            <w:r w:rsidR="00DD7022" w:rsidRPr="009E35ED">
              <w:rPr>
                <w:rFonts w:ascii="Arial Narrow" w:hAnsi="Arial Narrow" w:cs="Calibri"/>
                <w:color w:val="000000" w:themeColor="text1"/>
                <w:sz w:val="22"/>
                <w:szCs w:val="22"/>
              </w:rPr>
              <w:t>432</w:t>
            </w:r>
            <w:r w:rsidRPr="009E35ED">
              <w:rPr>
                <w:rFonts w:ascii="Arial Narrow" w:hAnsi="Arial Narrow" w:cs="Calibri"/>
                <w:color w:val="000000" w:themeColor="text1"/>
                <w:sz w:val="22"/>
                <w:szCs w:val="22"/>
              </w:rPr>
              <w:t>)</w:t>
            </w:r>
          </w:p>
        </w:tc>
      </w:tr>
      <w:tr w:rsidR="00997F75" w:rsidRPr="009E35ED" w14:paraId="0236FB70" w14:textId="77777777" w:rsidTr="000B3F04">
        <w:trPr>
          <w:trHeight w:val="249"/>
        </w:trPr>
        <w:tc>
          <w:tcPr>
            <w:tcW w:w="5310" w:type="dxa"/>
            <w:tcBorders>
              <w:top w:val="single" w:sz="4" w:space="0" w:color="auto"/>
              <w:left w:val="nil"/>
              <w:bottom w:val="single" w:sz="4" w:space="0" w:color="auto"/>
              <w:right w:val="nil"/>
            </w:tcBorders>
            <w:shd w:val="clear" w:color="auto" w:fill="auto"/>
            <w:noWrap/>
            <w:vAlign w:val="bottom"/>
            <w:hideMark/>
          </w:tcPr>
          <w:p w14:paraId="3720E595" w14:textId="77777777" w:rsidR="00C15C13" w:rsidRPr="009E35ED" w:rsidRDefault="00C15C13" w:rsidP="000B3F04">
            <w:pPr>
              <w:ind w:left="-108"/>
              <w:jc w:val="left"/>
              <w:rPr>
                <w:rFonts w:ascii="Arial Narrow" w:hAnsi="Arial Narrow" w:cs="Calibri"/>
                <w:b/>
                <w:bCs/>
                <w:color w:val="000000" w:themeColor="text1"/>
                <w:sz w:val="22"/>
                <w:szCs w:val="22"/>
              </w:rPr>
            </w:pPr>
            <w:r w:rsidRPr="009E35ED">
              <w:rPr>
                <w:rFonts w:ascii="Arial Narrow" w:hAnsi="Arial Narrow" w:cs="Calibri"/>
                <w:b/>
                <w:bCs/>
                <w:color w:val="000000" w:themeColor="text1"/>
                <w:sz w:val="22"/>
                <w:szCs w:val="22"/>
              </w:rPr>
              <w:t>Carrying Amount December 31</w:t>
            </w:r>
          </w:p>
        </w:tc>
        <w:tc>
          <w:tcPr>
            <w:tcW w:w="1718" w:type="dxa"/>
            <w:tcBorders>
              <w:top w:val="single" w:sz="4" w:space="0" w:color="auto"/>
              <w:left w:val="nil"/>
              <w:bottom w:val="single" w:sz="4" w:space="0" w:color="auto"/>
              <w:right w:val="nil"/>
            </w:tcBorders>
            <w:shd w:val="clear" w:color="auto" w:fill="auto"/>
            <w:noWrap/>
            <w:vAlign w:val="bottom"/>
          </w:tcPr>
          <w:p w14:paraId="0414583A" w14:textId="77777777" w:rsidR="00C15C13" w:rsidRPr="009E35ED" w:rsidRDefault="00C15C13" w:rsidP="00AD3D41">
            <w:pPr>
              <w:ind w:left="0"/>
              <w:jc w:val="right"/>
              <w:rPr>
                <w:rFonts w:ascii="Arial Narrow" w:hAnsi="Arial Narrow" w:cs="Calibri"/>
                <w:b/>
                <w:bCs/>
                <w:color w:val="000000" w:themeColor="text1"/>
                <w:sz w:val="22"/>
                <w:szCs w:val="22"/>
              </w:rPr>
            </w:pPr>
            <w:r w:rsidRPr="009E35ED">
              <w:rPr>
                <w:rFonts w:ascii="Arial Narrow" w:hAnsi="Arial Narrow" w:cs="Calibri"/>
                <w:b/>
                <w:bCs/>
                <w:color w:val="000000" w:themeColor="text1"/>
                <w:sz w:val="22"/>
                <w:szCs w:val="22"/>
              </w:rPr>
              <w:fldChar w:fldCharType="begin"/>
            </w:r>
            <w:r w:rsidRPr="009E35ED">
              <w:rPr>
                <w:rFonts w:ascii="Arial Narrow" w:hAnsi="Arial Narrow" w:cs="Calibri"/>
                <w:b/>
                <w:bCs/>
                <w:color w:val="000000" w:themeColor="text1"/>
                <w:sz w:val="22"/>
                <w:szCs w:val="22"/>
              </w:rPr>
              <w:instrText xml:space="preserve"> =SUM(b46:b49) </w:instrText>
            </w:r>
            <w:r w:rsidRPr="009E35ED">
              <w:rPr>
                <w:rFonts w:ascii="Arial Narrow" w:hAnsi="Arial Narrow" w:cs="Calibri"/>
                <w:b/>
                <w:bCs/>
                <w:color w:val="000000" w:themeColor="text1"/>
                <w:sz w:val="22"/>
                <w:szCs w:val="22"/>
              </w:rPr>
              <w:fldChar w:fldCharType="separate"/>
            </w:r>
            <w:r w:rsidRPr="009E35ED">
              <w:rPr>
                <w:rFonts w:ascii="Arial Narrow" w:hAnsi="Arial Narrow" w:cs="Calibri"/>
                <w:b/>
                <w:bCs/>
                <w:noProof/>
                <w:color w:val="000000" w:themeColor="text1"/>
                <w:sz w:val="22"/>
                <w:szCs w:val="22"/>
              </w:rPr>
              <w:t>11,431,545</w:t>
            </w:r>
            <w:r w:rsidRPr="009E35ED">
              <w:rPr>
                <w:rFonts w:ascii="Arial Narrow" w:hAnsi="Arial Narrow" w:cs="Calibri"/>
                <w:b/>
                <w:bCs/>
                <w:color w:val="000000" w:themeColor="text1"/>
                <w:sz w:val="22"/>
                <w:szCs w:val="22"/>
              </w:rPr>
              <w:fldChar w:fldCharType="end"/>
            </w:r>
          </w:p>
        </w:tc>
        <w:tc>
          <w:tcPr>
            <w:tcW w:w="1644" w:type="dxa"/>
            <w:tcBorders>
              <w:top w:val="single" w:sz="4" w:space="0" w:color="auto"/>
              <w:left w:val="nil"/>
              <w:bottom w:val="single" w:sz="4" w:space="0" w:color="auto"/>
              <w:right w:val="nil"/>
            </w:tcBorders>
            <w:shd w:val="clear" w:color="auto" w:fill="auto"/>
            <w:noWrap/>
            <w:vAlign w:val="bottom"/>
            <w:hideMark/>
          </w:tcPr>
          <w:p w14:paraId="1B896D68" w14:textId="77777777" w:rsidR="00C15C13" w:rsidRPr="009E35ED" w:rsidRDefault="00C15C13" w:rsidP="000B3F04">
            <w:pPr>
              <w:ind w:left="0" w:right="-76"/>
              <w:jc w:val="right"/>
              <w:rPr>
                <w:rFonts w:ascii="Arial Narrow" w:hAnsi="Arial Narrow" w:cs="Calibri"/>
                <w:b/>
                <w:bCs/>
                <w:color w:val="000000" w:themeColor="text1"/>
                <w:sz w:val="22"/>
                <w:szCs w:val="22"/>
              </w:rPr>
            </w:pPr>
            <w:r w:rsidRPr="009E35ED">
              <w:rPr>
                <w:rFonts w:ascii="Arial Narrow" w:hAnsi="Arial Narrow" w:cs="Calibri"/>
                <w:b/>
                <w:bCs/>
                <w:color w:val="000000" w:themeColor="text1"/>
                <w:sz w:val="22"/>
                <w:szCs w:val="22"/>
              </w:rPr>
              <w:fldChar w:fldCharType="begin"/>
            </w:r>
            <w:r w:rsidRPr="009E35ED">
              <w:rPr>
                <w:rFonts w:ascii="Arial Narrow" w:hAnsi="Arial Narrow" w:cs="Calibri"/>
                <w:b/>
                <w:bCs/>
                <w:color w:val="000000" w:themeColor="text1"/>
                <w:sz w:val="22"/>
                <w:szCs w:val="22"/>
              </w:rPr>
              <w:instrText xml:space="preserve"> =SUM(c46:c49) </w:instrText>
            </w:r>
            <w:r w:rsidRPr="009E35ED">
              <w:rPr>
                <w:rFonts w:ascii="Arial Narrow" w:hAnsi="Arial Narrow" w:cs="Calibri"/>
                <w:b/>
                <w:bCs/>
                <w:color w:val="000000" w:themeColor="text1"/>
                <w:sz w:val="22"/>
                <w:szCs w:val="22"/>
              </w:rPr>
              <w:fldChar w:fldCharType="separate"/>
            </w:r>
            <w:r w:rsidRPr="009E35ED">
              <w:rPr>
                <w:rFonts w:ascii="Arial Narrow" w:hAnsi="Arial Narrow" w:cs="Calibri"/>
                <w:b/>
                <w:bCs/>
                <w:noProof/>
                <w:color w:val="000000" w:themeColor="text1"/>
                <w:sz w:val="22"/>
                <w:szCs w:val="22"/>
              </w:rPr>
              <w:t>11,702,518</w:t>
            </w:r>
            <w:r w:rsidRPr="009E35ED">
              <w:rPr>
                <w:rFonts w:ascii="Arial Narrow" w:hAnsi="Arial Narrow" w:cs="Calibri"/>
                <w:b/>
                <w:bCs/>
                <w:color w:val="000000" w:themeColor="text1"/>
                <w:sz w:val="22"/>
                <w:szCs w:val="22"/>
              </w:rPr>
              <w:fldChar w:fldCharType="end"/>
            </w:r>
          </w:p>
        </w:tc>
      </w:tr>
      <w:tr w:rsidR="00997F75" w:rsidRPr="009E35ED" w14:paraId="53F8B8EF" w14:textId="77777777" w:rsidTr="000B3F04">
        <w:trPr>
          <w:trHeight w:val="215"/>
        </w:trPr>
        <w:tc>
          <w:tcPr>
            <w:tcW w:w="5310" w:type="dxa"/>
            <w:tcBorders>
              <w:top w:val="nil"/>
              <w:left w:val="nil"/>
              <w:bottom w:val="nil"/>
              <w:right w:val="nil"/>
            </w:tcBorders>
            <w:shd w:val="clear" w:color="auto" w:fill="auto"/>
            <w:noWrap/>
            <w:vAlign w:val="bottom"/>
            <w:hideMark/>
          </w:tcPr>
          <w:p w14:paraId="1258A433" w14:textId="5C9CB371" w:rsidR="005A75A5" w:rsidRPr="009E35ED" w:rsidRDefault="005A75A5" w:rsidP="00AD3D41">
            <w:pPr>
              <w:ind w:left="0"/>
              <w:jc w:val="left"/>
              <w:rPr>
                <w:rFonts w:ascii="Arial Narrow" w:hAnsi="Arial Narrow" w:cs="Calibri"/>
                <w:b/>
                <w:bCs/>
                <w:color w:val="000000" w:themeColor="text1"/>
                <w:sz w:val="22"/>
                <w:szCs w:val="22"/>
              </w:rPr>
            </w:pPr>
          </w:p>
        </w:tc>
        <w:tc>
          <w:tcPr>
            <w:tcW w:w="1718" w:type="dxa"/>
            <w:tcBorders>
              <w:top w:val="nil"/>
              <w:left w:val="nil"/>
              <w:bottom w:val="nil"/>
              <w:right w:val="nil"/>
            </w:tcBorders>
            <w:shd w:val="clear" w:color="auto" w:fill="auto"/>
            <w:noWrap/>
            <w:vAlign w:val="bottom"/>
            <w:hideMark/>
          </w:tcPr>
          <w:p w14:paraId="6D9FE7F5" w14:textId="77777777" w:rsidR="00C15C13" w:rsidRPr="009E35ED" w:rsidRDefault="00C15C13" w:rsidP="00AD3D41">
            <w:pPr>
              <w:ind w:left="0"/>
              <w:jc w:val="right"/>
              <w:rPr>
                <w:rFonts w:ascii="Arial Narrow" w:hAnsi="Arial Narrow"/>
                <w:color w:val="000000" w:themeColor="text1"/>
                <w:sz w:val="22"/>
                <w:szCs w:val="22"/>
              </w:rPr>
            </w:pPr>
          </w:p>
        </w:tc>
        <w:tc>
          <w:tcPr>
            <w:tcW w:w="1644" w:type="dxa"/>
            <w:tcBorders>
              <w:top w:val="nil"/>
              <w:left w:val="nil"/>
              <w:bottom w:val="nil"/>
              <w:right w:val="nil"/>
            </w:tcBorders>
            <w:shd w:val="clear" w:color="auto" w:fill="auto"/>
            <w:noWrap/>
            <w:vAlign w:val="bottom"/>
            <w:hideMark/>
          </w:tcPr>
          <w:p w14:paraId="2A929206" w14:textId="77777777" w:rsidR="00C15C13" w:rsidRPr="009E35ED" w:rsidRDefault="00C15C13" w:rsidP="00AD3D41">
            <w:pPr>
              <w:ind w:left="0"/>
              <w:jc w:val="right"/>
              <w:rPr>
                <w:rFonts w:ascii="Arial Narrow" w:hAnsi="Arial Narrow"/>
                <w:color w:val="000000" w:themeColor="text1"/>
                <w:sz w:val="22"/>
                <w:szCs w:val="22"/>
              </w:rPr>
            </w:pPr>
          </w:p>
        </w:tc>
      </w:tr>
      <w:tr w:rsidR="00997F75" w:rsidRPr="009E35ED" w14:paraId="1B996FA7" w14:textId="77777777" w:rsidTr="000B3F04">
        <w:trPr>
          <w:trHeight w:val="249"/>
        </w:trPr>
        <w:tc>
          <w:tcPr>
            <w:tcW w:w="5310" w:type="dxa"/>
            <w:tcBorders>
              <w:top w:val="nil"/>
              <w:left w:val="nil"/>
              <w:bottom w:val="nil"/>
              <w:right w:val="nil"/>
            </w:tcBorders>
            <w:shd w:val="clear" w:color="auto" w:fill="auto"/>
            <w:noWrap/>
            <w:vAlign w:val="center"/>
          </w:tcPr>
          <w:p w14:paraId="07DB90FA" w14:textId="77777777" w:rsidR="00C15C13" w:rsidRPr="009E35ED" w:rsidRDefault="00C15C13" w:rsidP="000B3F04">
            <w:pPr>
              <w:ind w:left="-108"/>
              <w:jc w:val="left"/>
              <w:rPr>
                <w:rFonts w:ascii="Arial Narrow" w:hAnsi="Arial Narrow" w:cs="Calibri"/>
                <w:b/>
                <w:bCs/>
                <w:color w:val="000000" w:themeColor="text1"/>
                <w:sz w:val="22"/>
                <w:szCs w:val="22"/>
              </w:rPr>
            </w:pPr>
            <w:r w:rsidRPr="009E35ED">
              <w:rPr>
                <w:rFonts w:ascii="Arial Narrow" w:hAnsi="Arial Narrow" w:cs="Calibri"/>
                <w:b/>
                <w:bCs/>
                <w:color w:val="000000" w:themeColor="text1"/>
                <w:sz w:val="22"/>
                <w:szCs w:val="22"/>
              </w:rPr>
              <w:t>Semi-Expendable Machinery and Equipment</w:t>
            </w:r>
          </w:p>
        </w:tc>
        <w:tc>
          <w:tcPr>
            <w:tcW w:w="1718" w:type="dxa"/>
            <w:tcBorders>
              <w:top w:val="nil"/>
              <w:left w:val="nil"/>
              <w:bottom w:val="nil"/>
              <w:right w:val="nil"/>
            </w:tcBorders>
            <w:shd w:val="clear" w:color="auto" w:fill="auto"/>
            <w:noWrap/>
            <w:vAlign w:val="bottom"/>
          </w:tcPr>
          <w:p w14:paraId="0D558CBB" w14:textId="77777777" w:rsidR="00C15C13" w:rsidRPr="009E35ED" w:rsidRDefault="00C15C13" w:rsidP="00AD3D41">
            <w:pPr>
              <w:ind w:left="0"/>
              <w:jc w:val="right"/>
              <w:rPr>
                <w:rFonts w:ascii="Arial Narrow" w:hAnsi="Arial Narrow" w:cs="Calibri"/>
                <w:b/>
                <w:bCs/>
                <w:color w:val="000000" w:themeColor="text1"/>
                <w:sz w:val="22"/>
                <w:szCs w:val="22"/>
              </w:rPr>
            </w:pPr>
          </w:p>
        </w:tc>
        <w:tc>
          <w:tcPr>
            <w:tcW w:w="1644" w:type="dxa"/>
            <w:tcBorders>
              <w:top w:val="nil"/>
              <w:left w:val="nil"/>
              <w:bottom w:val="nil"/>
              <w:right w:val="nil"/>
            </w:tcBorders>
            <w:shd w:val="clear" w:color="auto" w:fill="auto"/>
            <w:noWrap/>
            <w:vAlign w:val="bottom"/>
          </w:tcPr>
          <w:p w14:paraId="2604A778" w14:textId="77777777" w:rsidR="00C15C13" w:rsidRPr="009E35ED" w:rsidRDefault="00C15C13" w:rsidP="00AD3D41">
            <w:pPr>
              <w:ind w:left="0"/>
              <w:jc w:val="right"/>
              <w:rPr>
                <w:rFonts w:ascii="Arial Narrow" w:hAnsi="Arial Narrow"/>
                <w:color w:val="000000" w:themeColor="text1"/>
                <w:sz w:val="22"/>
                <w:szCs w:val="22"/>
              </w:rPr>
            </w:pPr>
          </w:p>
        </w:tc>
      </w:tr>
      <w:tr w:rsidR="00997F75" w:rsidRPr="009E35ED" w14:paraId="4BF65FAA" w14:textId="77777777" w:rsidTr="000B3F04">
        <w:trPr>
          <w:trHeight w:val="249"/>
        </w:trPr>
        <w:tc>
          <w:tcPr>
            <w:tcW w:w="5310" w:type="dxa"/>
            <w:tcBorders>
              <w:top w:val="nil"/>
              <w:left w:val="nil"/>
              <w:bottom w:val="nil"/>
              <w:right w:val="nil"/>
            </w:tcBorders>
            <w:shd w:val="clear" w:color="auto" w:fill="auto"/>
            <w:noWrap/>
            <w:vAlign w:val="center"/>
          </w:tcPr>
          <w:p w14:paraId="685D10F7" w14:textId="77777777" w:rsidR="002019D0" w:rsidRPr="009E35ED" w:rsidRDefault="002019D0" w:rsidP="000B3F04">
            <w:pPr>
              <w:ind w:left="-108"/>
              <w:jc w:val="left"/>
              <w:rPr>
                <w:rFonts w:ascii="Arial Narrow" w:hAnsi="Arial Narrow" w:cs="Calibri"/>
                <w:b/>
                <w:bCs/>
                <w:color w:val="000000" w:themeColor="text1"/>
                <w:sz w:val="22"/>
                <w:szCs w:val="22"/>
              </w:rPr>
            </w:pPr>
            <w:r w:rsidRPr="009E35ED">
              <w:rPr>
                <w:rFonts w:ascii="Arial Narrow" w:hAnsi="Arial Narrow" w:cs="Calibri"/>
                <w:color w:val="000000" w:themeColor="text1"/>
                <w:sz w:val="22"/>
                <w:szCs w:val="22"/>
              </w:rPr>
              <w:t>Carrying Amount January 1</w:t>
            </w:r>
          </w:p>
        </w:tc>
        <w:tc>
          <w:tcPr>
            <w:tcW w:w="1718" w:type="dxa"/>
            <w:tcBorders>
              <w:top w:val="nil"/>
              <w:left w:val="nil"/>
              <w:bottom w:val="nil"/>
              <w:right w:val="nil"/>
            </w:tcBorders>
            <w:shd w:val="clear" w:color="auto" w:fill="auto"/>
            <w:noWrap/>
            <w:vAlign w:val="center"/>
          </w:tcPr>
          <w:p w14:paraId="5560AF84" w14:textId="122F9F95" w:rsidR="002019D0" w:rsidRPr="009E35ED" w:rsidRDefault="002019D0" w:rsidP="00FB2466">
            <w:pPr>
              <w:ind w:left="0"/>
              <w:jc w:val="right"/>
              <w:rPr>
                <w:rFonts w:ascii="Arial Narrow" w:hAnsi="Arial Narrow" w:cs="Calibri"/>
                <w:bCs/>
                <w:color w:val="000000" w:themeColor="text1"/>
                <w:sz w:val="22"/>
                <w:szCs w:val="22"/>
              </w:rPr>
            </w:pPr>
            <w:r w:rsidRPr="009E35ED">
              <w:rPr>
                <w:rFonts w:ascii="Arial Narrow" w:hAnsi="Arial Narrow" w:cs="Calibri"/>
                <w:color w:val="000000" w:themeColor="text1"/>
                <w:sz w:val="22"/>
                <w:szCs w:val="22"/>
              </w:rPr>
              <w:t>28,63</w:t>
            </w:r>
            <w:r w:rsidR="00FB2466" w:rsidRPr="009E35ED">
              <w:rPr>
                <w:rFonts w:ascii="Arial Narrow" w:hAnsi="Arial Narrow" w:cs="Calibri"/>
                <w:color w:val="000000" w:themeColor="text1"/>
                <w:sz w:val="22"/>
                <w:szCs w:val="22"/>
              </w:rPr>
              <w:t>5</w:t>
            </w:r>
          </w:p>
        </w:tc>
        <w:tc>
          <w:tcPr>
            <w:tcW w:w="1644" w:type="dxa"/>
            <w:tcBorders>
              <w:top w:val="nil"/>
              <w:left w:val="nil"/>
              <w:bottom w:val="nil"/>
              <w:right w:val="nil"/>
            </w:tcBorders>
            <w:shd w:val="clear" w:color="auto" w:fill="auto"/>
            <w:noWrap/>
            <w:vAlign w:val="center"/>
          </w:tcPr>
          <w:p w14:paraId="793A4858" w14:textId="7541F64C" w:rsidR="002019D0" w:rsidRPr="009E35ED" w:rsidRDefault="002019D0" w:rsidP="000B3F04">
            <w:pPr>
              <w:ind w:left="0" w:right="-76"/>
              <w:jc w:val="right"/>
              <w:rPr>
                <w:rFonts w:ascii="Arial Narrow" w:hAnsi="Arial Narrow"/>
                <w:color w:val="000000" w:themeColor="text1"/>
                <w:sz w:val="22"/>
                <w:szCs w:val="22"/>
              </w:rPr>
            </w:pPr>
            <w:r w:rsidRPr="009E35ED">
              <w:rPr>
                <w:rFonts w:ascii="Arial Narrow" w:hAnsi="Arial Narrow" w:cs="Calibri"/>
                <w:bCs/>
                <w:color w:val="000000" w:themeColor="text1"/>
                <w:sz w:val="22"/>
                <w:szCs w:val="22"/>
              </w:rPr>
              <w:t>(84,259)</w:t>
            </w:r>
          </w:p>
        </w:tc>
      </w:tr>
      <w:tr w:rsidR="00997F75" w:rsidRPr="009E35ED" w14:paraId="178C6FBA" w14:textId="77777777" w:rsidTr="000B3F04">
        <w:trPr>
          <w:trHeight w:val="249"/>
        </w:trPr>
        <w:tc>
          <w:tcPr>
            <w:tcW w:w="5310" w:type="dxa"/>
            <w:tcBorders>
              <w:top w:val="nil"/>
              <w:left w:val="nil"/>
              <w:bottom w:val="nil"/>
              <w:right w:val="nil"/>
            </w:tcBorders>
            <w:shd w:val="clear" w:color="auto" w:fill="auto"/>
            <w:noWrap/>
            <w:vAlign w:val="center"/>
          </w:tcPr>
          <w:p w14:paraId="45C0D4CC" w14:textId="77777777" w:rsidR="002019D0" w:rsidRPr="009E35ED" w:rsidRDefault="002019D0" w:rsidP="000B3F04">
            <w:pPr>
              <w:ind w:left="-108"/>
              <w:jc w:val="left"/>
              <w:rPr>
                <w:rFonts w:ascii="Arial Narrow" w:hAnsi="Arial Narrow" w:cs="Calibri"/>
                <w:b/>
                <w:bCs/>
                <w:color w:val="000000" w:themeColor="text1"/>
                <w:sz w:val="22"/>
                <w:szCs w:val="22"/>
              </w:rPr>
            </w:pPr>
            <w:r w:rsidRPr="009E35ED">
              <w:rPr>
                <w:rFonts w:ascii="Arial Narrow" w:hAnsi="Arial Narrow" w:cs="Calibri"/>
                <w:color w:val="000000" w:themeColor="text1"/>
                <w:sz w:val="22"/>
                <w:szCs w:val="22"/>
              </w:rPr>
              <w:t>Additional acquisition during the year</w:t>
            </w:r>
          </w:p>
        </w:tc>
        <w:tc>
          <w:tcPr>
            <w:tcW w:w="1718" w:type="dxa"/>
            <w:tcBorders>
              <w:top w:val="nil"/>
              <w:left w:val="nil"/>
              <w:bottom w:val="nil"/>
              <w:right w:val="nil"/>
            </w:tcBorders>
            <w:shd w:val="clear" w:color="auto" w:fill="auto"/>
            <w:noWrap/>
            <w:vAlign w:val="center"/>
          </w:tcPr>
          <w:p w14:paraId="11B0805C" w14:textId="2528DDD7" w:rsidR="002019D0" w:rsidRPr="009E35ED" w:rsidRDefault="002019D0" w:rsidP="002019D0">
            <w:pPr>
              <w:ind w:left="0"/>
              <w:jc w:val="right"/>
              <w:rPr>
                <w:rFonts w:ascii="Arial Narrow" w:hAnsi="Arial Narrow" w:cs="Calibri"/>
                <w:bCs/>
                <w:color w:val="000000" w:themeColor="text1"/>
                <w:sz w:val="22"/>
                <w:szCs w:val="22"/>
              </w:rPr>
            </w:pPr>
            <w:r w:rsidRPr="009E35ED">
              <w:rPr>
                <w:rFonts w:ascii="Arial Narrow" w:hAnsi="Arial Narrow" w:cs="Calibri"/>
                <w:color w:val="000000" w:themeColor="text1"/>
                <w:sz w:val="22"/>
                <w:szCs w:val="22"/>
              </w:rPr>
              <w:t>6,858,843</w:t>
            </w:r>
          </w:p>
        </w:tc>
        <w:tc>
          <w:tcPr>
            <w:tcW w:w="1644" w:type="dxa"/>
            <w:tcBorders>
              <w:top w:val="nil"/>
              <w:left w:val="nil"/>
              <w:bottom w:val="nil"/>
              <w:right w:val="nil"/>
            </w:tcBorders>
            <w:shd w:val="clear" w:color="auto" w:fill="auto"/>
            <w:noWrap/>
            <w:vAlign w:val="center"/>
          </w:tcPr>
          <w:p w14:paraId="3B3912A1" w14:textId="3CDD6C57" w:rsidR="002019D0" w:rsidRPr="009E35ED" w:rsidRDefault="002019D0" w:rsidP="000B3F04">
            <w:pPr>
              <w:ind w:left="0" w:right="-76"/>
              <w:jc w:val="right"/>
              <w:rPr>
                <w:rFonts w:ascii="Arial Narrow" w:hAnsi="Arial Narrow"/>
                <w:color w:val="000000" w:themeColor="text1"/>
                <w:sz w:val="22"/>
                <w:szCs w:val="22"/>
              </w:rPr>
            </w:pPr>
            <w:r w:rsidRPr="009E35ED">
              <w:rPr>
                <w:rFonts w:ascii="Arial Narrow" w:hAnsi="Arial Narrow" w:cs="Calibri"/>
                <w:color w:val="000000" w:themeColor="text1"/>
                <w:sz w:val="22"/>
                <w:szCs w:val="22"/>
              </w:rPr>
              <w:t>960,41</w:t>
            </w:r>
            <w:r w:rsidR="00FB2466" w:rsidRPr="009E35ED">
              <w:rPr>
                <w:rFonts w:ascii="Arial Narrow" w:hAnsi="Arial Narrow" w:cs="Calibri"/>
                <w:color w:val="000000" w:themeColor="text1"/>
                <w:sz w:val="22"/>
                <w:szCs w:val="22"/>
              </w:rPr>
              <w:t>4</w:t>
            </w:r>
          </w:p>
        </w:tc>
      </w:tr>
      <w:tr w:rsidR="00997F75" w:rsidRPr="009E35ED" w14:paraId="5902D46A" w14:textId="77777777" w:rsidTr="000B3F04">
        <w:trPr>
          <w:trHeight w:val="249"/>
        </w:trPr>
        <w:tc>
          <w:tcPr>
            <w:tcW w:w="5310" w:type="dxa"/>
            <w:tcBorders>
              <w:top w:val="nil"/>
              <w:left w:val="nil"/>
              <w:bottom w:val="nil"/>
              <w:right w:val="nil"/>
            </w:tcBorders>
            <w:shd w:val="clear" w:color="auto" w:fill="auto"/>
            <w:noWrap/>
            <w:vAlign w:val="center"/>
          </w:tcPr>
          <w:p w14:paraId="01A6DFC2" w14:textId="77777777" w:rsidR="002019D0" w:rsidRPr="009E35ED" w:rsidRDefault="002019D0" w:rsidP="000B3F04">
            <w:pPr>
              <w:ind w:left="-108"/>
              <w:jc w:val="left"/>
              <w:rPr>
                <w:rFonts w:ascii="Arial Narrow" w:hAnsi="Arial Narrow" w:cs="Calibri"/>
                <w:b/>
                <w:bCs/>
                <w:color w:val="000000" w:themeColor="text1"/>
                <w:sz w:val="22"/>
                <w:szCs w:val="22"/>
              </w:rPr>
            </w:pPr>
            <w:r w:rsidRPr="009E35ED">
              <w:rPr>
                <w:rFonts w:ascii="Arial Narrow" w:hAnsi="Arial Narrow" w:cs="Calibri"/>
                <w:color w:val="000000" w:themeColor="text1"/>
                <w:sz w:val="22"/>
                <w:szCs w:val="22"/>
              </w:rPr>
              <w:t>Expensed during the year</w:t>
            </w:r>
          </w:p>
        </w:tc>
        <w:tc>
          <w:tcPr>
            <w:tcW w:w="1718" w:type="dxa"/>
            <w:tcBorders>
              <w:top w:val="nil"/>
              <w:left w:val="nil"/>
              <w:bottom w:val="nil"/>
              <w:right w:val="nil"/>
            </w:tcBorders>
            <w:shd w:val="clear" w:color="auto" w:fill="auto"/>
            <w:noWrap/>
            <w:vAlign w:val="center"/>
          </w:tcPr>
          <w:p w14:paraId="79E2B6E4" w14:textId="6582F106" w:rsidR="002019D0" w:rsidRPr="009E35ED" w:rsidRDefault="002019D0" w:rsidP="002019D0">
            <w:pPr>
              <w:ind w:left="0"/>
              <w:jc w:val="right"/>
              <w:rPr>
                <w:rFonts w:ascii="Arial Narrow" w:hAnsi="Arial Narrow" w:cs="Calibri"/>
                <w:bCs/>
                <w:color w:val="000000" w:themeColor="text1"/>
                <w:sz w:val="22"/>
                <w:szCs w:val="22"/>
              </w:rPr>
            </w:pPr>
            <w:r w:rsidRPr="009E35ED">
              <w:rPr>
                <w:rFonts w:ascii="Arial Narrow" w:hAnsi="Arial Narrow" w:cs="Calibri"/>
                <w:color w:val="000000" w:themeColor="text1"/>
                <w:sz w:val="22"/>
                <w:szCs w:val="22"/>
              </w:rPr>
              <w:t>(5,541,235)</w:t>
            </w:r>
          </w:p>
        </w:tc>
        <w:tc>
          <w:tcPr>
            <w:tcW w:w="1644" w:type="dxa"/>
            <w:tcBorders>
              <w:top w:val="nil"/>
              <w:left w:val="nil"/>
              <w:bottom w:val="nil"/>
              <w:right w:val="nil"/>
            </w:tcBorders>
            <w:shd w:val="clear" w:color="auto" w:fill="auto"/>
            <w:noWrap/>
            <w:vAlign w:val="center"/>
          </w:tcPr>
          <w:p w14:paraId="098F497C" w14:textId="26588886" w:rsidR="002019D0" w:rsidRPr="009E35ED" w:rsidRDefault="002019D0" w:rsidP="000B3F04">
            <w:pPr>
              <w:ind w:left="0" w:right="-76"/>
              <w:jc w:val="right"/>
              <w:rPr>
                <w:rFonts w:ascii="Arial Narrow" w:hAnsi="Arial Narrow"/>
                <w:color w:val="000000" w:themeColor="text1"/>
                <w:sz w:val="22"/>
                <w:szCs w:val="22"/>
              </w:rPr>
            </w:pPr>
            <w:r w:rsidRPr="009E35ED">
              <w:rPr>
                <w:rFonts w:ascii="Arial Narrow" w:hAnsi="Arial Narrow" w:cs="Calibri"/>
                <w:color w:val="000000" w:themeColor="text1"/>
                <w:sz w:val="22"/>
                <w:szCs w:val="22"/>
              </w:rPr>
              <w:t>(1,019,225)</w:t>
            </w:r>
          </w:p>
        </w:tc>
      </w:tr>
      <w:tr w:rsidR="00997F75" w:rsidRPr="009E35ED" w14:paraId="51DC690B" w14:textId="77777777" w:rsidTr="000B3F04">
        <w:trPr>
          <w:trHeight w:val="249"/>
        </w:trPr>
        <w:tc>
          <w:tcPr>
            <w:tcW w:w="5310" w:type="dxa"/>
            <w:tcBorders>
              <w:top w:val="nil"/>
              <w:left w:val="nil"/>
              <w:bottom w:val="single" w:sz="4" w:space="0" w:color="auto"/>
              <w:right w:val="nil"/>
            </w:tcBorders>
            <w:shd w:val="clear" w:color="auto" w:fill="auto"/>
            <w:noWrap/>
            <w:vAlign w:val="center"/>
          </w:tcPr>
          <w:p w14:paraId="5C9BD374" w14:textId="77777777" w:rsidR="002019D0" w:rsidRPr="009E35ED" w:rsidRDefault="002019D0" w:rsidP="000B3F04">
            <w:pPr>
              <w:ind w:left="-108"/>
              <w:jc w:val="left"/>
              <w:rPr>
                <w:rFonts w:ascii="Arial Narrow" w:hAnsi="Arial Narrow" w:cs="Calibri"/>
                <w:b/>
                <w:bCs/>
                <w:color w:val="000000" w:themeColor="text1"/>
                <w:sz w:val="22"/>
                <w:szCs w:val="22"/>
              </w:rPr>
            </w:pPr>
            <w:r w:rsidRPr="009E35ED">
              <w:rPr>
                <w:rFonts w:ascii="Arial Narrow" w:hAnsi="Arial Narrow" w:cs="Calibri"/>
                <w:color w:val="000000" w:themeColor="text1"/>
                <w:sz w:val="22"/>
                <w:szCs w:val="22"/>
              </w:rPr>
              <w:t>Other adjustment / Accruals</w:t>
            </w:r>
          </w:p>
        </w:tc>
        <w:tc>
          <w:tcPr>
            <w:tcW w:w="1718" w:type="dxa"/>
            <w:tcBorders>
              <w:top w:val="nil"/>
              <w:left w:val="nil"/>
              <w:bottom w:val="single" w:sz="4" w:space="0" w:color="auto"/>
              <w:right w:val="nil"/>
            </w:tcBorders>
            <w:shd w:val="clear" w:color="auto" w:fill="auto"/>
            <w:noWrap/>
            <w:vAlign w:val="center"/>
          </w:tcPr>
          <w:p w14:paraId="610BE706" w14:textId="51640983" w:rsidR="002019D0" w:rsidRPr="009E35ED" w:rsidRDefault="002019D0" w:rsidP="00FB2466">
            <w:pPr>
              <w:ind w:left="0"/>
              <w:jc w:val="right"/>
              <w:rPr>
                <w:rFonts w:ascii="Arial Narrow" w:hAnsi="Arial Narrow" w:cs="Calibri"/>
                <w:bCs/>
                <w:color w:val="000000" w:themeColor="text1"/>
                <w:sz w:val="22"/>
                <w:szCs w:val="22"/>
              </w:rPr>
            </w:pPr>
            <w:r w:rsidRPr="009E35ED">
              <w:rPr>
                <w:rFonts w:ascii="Arial Narrow" w:hAnsi="Arial Narrow" w:cs="Calibri"/>
                <w:color w:val="000000" w:themeColor="text1"/>
                <w:sz w:val="22"/>
                <w:szCs w:val="22"/>
              </w:rPr>
              <w:t>358,13</w:t>
            </w:r>
            <w:r w:rsidR="00FB2466" w:rsidRPr="009E35ED">
              <w:rPr>
                <w:rFonts w:ascii="Arial Narrow" w:hAnsi="Arial Narrow" w:cs="Calibri"/>
                <w:color w:val="000000" w:themeColor="text1"/>
                <w:sz w:val="22"/>
                <w:szCs w:val="22"/>
              </w:rPr>
              <w:t>6</w:t>
            </w:r>
          </w:p>
        </w:tc>
        <w:tc>
          <w:tcPr>
            <w:tcW w:w="1644" w:type="dxa"/>
            <w:tcBorders>
              <w:top w:val="nil"/>
              <w:left w:val="nil"/>
              <w:bottom w:val="single" w:sz="4" w:space="0" w:color="auto"/>
              <w:right w:val="nil"/>
            </w:tcBorders>
            <w:shd w:val="clear" w:color="auto" w:fill="auto"/>
            <w:noWrap/>
            <w:vAlign w:val="center"/>
          </w:tcPr>
          <w:p w14:paraId="20AAC1E0" w14:textId="763DAE9A" w:rsidR="002019D0" w:rsidRPr="009E35ED" w:rsidRDefault="002019D0" w:rsidP="000B3F04">
            <w:pPr>
              <w:ind w:left="0" w:right="-76"/>
              <w:jc w:val="right"/>
              <w:rPr>
                <w:rFonts w:ascii="Arial Narrow" w:hAnsi="Arial Narrow"/>
                <w:color w:val="000000" w:themeColor="text1"/>
                <w:sz w:val="22"/>
                <w:szCs w:val="22"/>
              </w:rPr>
            </w:pPr>
            <w:r w:rsidRPr="009E35ED">
              <w:rPr>
                <w:rFonts w:ascii="Arial Narrow" w:hAnsi="Arial Narrow" w:cs="Calibri"/>
                <w:color w:val="000000" w:themeColor="text1"/>
                <w:sz w:val="22"/>
                <w:szCs w:val="22"/>
              </w:rPr>
              <w:t>171,705</w:t>
            </w:r>
          </w:p>
        </w:tc>
      </w:tr>
      <w:tr w:rsidR="00997F75" w:rsidRPr="009E35ED" w14:paraId="352FAB19" w14:textId="77777777" w:rsidTr="000B3F04">
        <w:trPr>
          <w:trHeight w:val="249"/>
        </w:trPr>
        <w:tc>
          <w:tcPr>
            <w:tcW w:w="5310" w:type="dxa"/>
            <w:tcBorders>
              <w:top w:val="single" w:sz="4" w:space="0" w:color="auto"/>
              <w:left w:val="nil"/>
              <w:bottom w:val="single" w:sz="4" w:space="0" w:color="auto"/>
              <w:right w:val="nil"/>
            </w:tcBorders>
            <w:shd w:val="clear" w:color="auto" w:fill="auto"/>
            <w:noWrap/>
            <w:vAlign w:val="center"/>
          </w:tcPr>
          <w:p w14:paraId="0FB6AD75" w14:textId="77777777" w:rsidR="002019D0" w:rsidRPr="009E35ED" w:rsidRDefault="002019D0" w:rsidP="000B3F04">
            <w:pPr>
              <w:ind w:left="-108"/>
              <w:jc w:val="left"/>
              <w:rPr>
                <w:rFonts w:ascii="Arial Narrow" w:hAnsi="Arial Narrow" w:cs="Calibri"/>
                <w:b/>
                <w:bCs/>
                <w:color w:val="000000" w:themeColor="text1"/>
                <w:sz w:val="22"/>
                <w:szCs w:val="22"/>
              </w:rPr>
            </w:pPr>
            <w:r w:rsidRPr="009E35ED">
              <w:rPr>
                <w:rFonts w:ascii="Arial Narrow" w:hAnsi="Arial Narrow" w:cs="Calibri"/>
                <w:b/>
                <w:bCs/>
                <w:color w:val="000000" w:themeColor="text1"/>
                <w:sz w:val="22"/>
                <w:szCs w:val="22"/>
              </w:rPr>
              <w:t>Carrying Amount December 31</w:t>
            </w:r>
          </w:p>
        </w:tc>
        <w:tc>
          <w:tcPr>
            <w:tcW w:w="1718" w:type="dxa"/>
            <w:tcBorders>
              <w:top w:val="single" w:sz="4" w:space="0" w:color="auto"/>
              <w:left w:val="nil"/>
              <w:bottom w:val="single" w:sz="4" w:space="0" w:color="auto"/>
              <w:right w:val="nil"/>
            </w:tcBorders>
            <w:shd w:val="clear" w:color="auto" w:fill="auto"/>
            <w:noWrap/>
            <w:vAlign w:val="center"/>
          </w:tcPr>
          <w:p w14:paraId="6E29088A" w14:textId="589A08DC" w:rsidR="002019D0" w:rsidRPr="009E35ED" w:rsidRDefault="002019D0" w:rsidP="00FB2466">
            <w:pPr>
              <w:ind w:left="0"/>
              <w:jc w:val="right"/>
              <w:rPr>
                <w:rFonts w:ascii="Arial Narrow" w:hAnsi="Arial Narrow" w:cs="Calibri"/>
                <w:b/>
                <w:bCs/>
                <w:color w:val="000000" w:themeColor="text1"/>
                <w:sz w:val="22"/>
                <w:szCs w:val="22"/>
              </w:rPr>
            </w:pPr>
            <w:r w:rsidRPr="009E35ED">
              <w:rPr>
                <w:rFonts w:ascii="Arial Narrow" w:hAnsi="Arial Narrow" w:cs="Calibri"/>
                <w:b/>
                <w:bCs/>
                <w:color w:val="000000" w:themeColor="text1"/>
                <w:sz w:val="22"/>
                <w:szCs w:val="22"/>
              </w:rPr>
              <w:t>1,704,3</w:t>
            </w:r>
            <w:r w:rsidR="00FB2466" w:rsidRPr="009E35ED">
              <w:rPr>
                <w:rFonts w:ascii="Arial Narrow" w:hAnsi="Arial Narrow" w:cs="Calibri"/>
                <w:b/>
                <w:bCs/>
                <w:color w:val="000000" w:themeColor="text1"/>
                <w:sz w:val="22"/>
                <w:szCs w:val="22"/>
              </w:rPr>
              <w:t>79</w:t>
            </w:r>
          </w:p>
        </w:tc>
        <w:tc>
          <w:tcPr>
            <w:tcW w:w="1644" w:type="dxa"/>
            <w:tcBorders>
              <w:top w:val="single" w:sz="4" w:space="0" w:color="auto"/>
              <w:left w:val="nil"/>
              <w:bottom w:val="single" w:sz="4" w:space="0" w:color="auto"/>
              <w:right w:val="nil"/>
            </w:tcBorders>
            <w:shd w:val="clear" w:color="auto" w:fill="auto"/>
            <w:noWrap/>
            <w:vAlign w:val="center"/>
          </w:tcPr>
          <w:p w14:paraId="37398853" w14:textId="3CFF9613" w:rsidR="002019D0" w:rsidRPr="009E35ED" w:rsidRDefault="002019D0" w:rsidP="000B3F04">
            <w:pPr>
              <w:ind w:left="0" w:right="-76"/>
              <w:jc w:val="right"/>
              <w:rPr>
                <w:rFonts w:ascii="Arial Narrow" w:hAnsi="Arial Narrow"/>
                <w:b/>
                <w:color w:val="000000" w:themeColor="text1"/>
                <w:sz w:val="22"/>
                <w:szCs w:val="22"/>
              </w:rPr>
            </w:pPr>
            <w:r w:rsidRPr="009E35ED">
              <w:rPr>
                <w:rFonts w:ascii="Arial Narrow" w:hAnsi="Arial Narrow" w:cs="Calibri"/>
                <w:b/>
                <w:bCs/>
                <w:color w:val="000000" w:themeColor="text1"/>
                <w:sz w:val="22"/>
                <w:szCs w:val="22"/>
              </w:rPr>
              <w:fldChar w:fldCharType="begin"/>
            </w:r>
            <w:r w:rsidRPr="009E35ED">
              <w:rPr>
                <w:rFonts w:ascii="Arial Narrow" w:hAnsi="Arial Narrow" w:cs="Calibri"/>
                <w:b/>
                <w:bCs/>
                <w:color w:val="000000" w:themeColor="text1"/>
                <w:sz w:val="22"/>
                <w:szCs w:val="22"/>
              </w:rPr>
              <w:instrText xml:space="preserve"> =SUM(c60:c63) </w:instrText>
            </w:r>
            <w:r w:rsidRPr="009E35ED">
              <w:rPr>
                <w:rFonts w:ascii="Arial Narrow" w:hAnsi="Arial Narrow" w:cs="Calibri"/>
                <w:b/>
                <w:bCs/>
                <w:color w:val="000000" w:themeColor="text1"/>
                <w:sz w:val="22"/>
                <w:szCs w:val="22"/>
              </w:rPr>
              <w:fldChar w:fldCharType="separate"/>
            </w:r>
            <w:r w:rsidRPr="009E35ED">
              <w:rPr>
                <w:rFonts w:ascii="Arial Narrow" w:hAnsi="Arial Narrow" w:cs="Calibri"/>
                <w:b/>
                <w:bCs/>
                <w:noProof/>
                <w:color w:val="000000" w:themeColor="text1"/>
                <w:sz w:val="22"/>
                <w:szCs w:val="22"/>
              </w:rPr>
              <w:t>28,63</w:t>
            </w:r>
            <w:r w:rsidR="00FB2466" w:rsidRPr="009E35ED">
              <w:rPr>
                <w:rFonts w:ascii="Arial Narrow" w:hAnsi="Arial Narrow" w:cs="Calibri"/>
                <w:b/>
                <w:bCs/>
                <w:noProof/>
                <w:color w:val="000000" w:themeColor="text1"/>
                <w:sz w:val="22"/>
                <w:szCs w:val="22"/>
              </w:rPr>
              <w:t>5</w:t>
            </w:r>
            <w:r w:rsidRPr="009E35ED">
              <w:rPr>
                <w:rFonts w:ascii="Arial Narrow" w:hAnsi="Arial Narrow" w:cs="Calibri"/>
                <w:b/>
                <w:bCs/>
                <w:color w:val="000000" w:themeColor="text1"/>
                <w:sz w:val="22"/>
                <w:szCs w:val="22"/>
              </w:rPr>
              <w:fldChar w:fldCharType="end"/>
            </w:r>
          </w:p>
        </w:tc>
      </w:tr>
      <w:tr w:rsidR="00997F75" w:rsidRPr="009E35ED" w14:paraId="69D476A7" w14:textId="77777777" w:rsidTr="000B3F04">
        <w:trPr>
          <w:trHeight w:val="249"/>
        </w:trPr>
        <w:tc>
          <w:tcPr>
            <w:tcW w:w="5310" w:type="dxa"/>
            <w:tcBorders>
              <w:top w:val="single" w:sz="4" w:space="0" w:color="auto"/>
              <w:left w:val="nil"/>
              <w:right w:val="nil"/>
            </w:tcBorders>
            <w:shd w:val="clear" w:color="auto" w:fill="auto"/>
            <w:noWrap/>
            <w:vAlign w:val="center"/>
          </w:tcPr>
          <w:p w14:paraId="00C3BAD9" w14:textId="1423F543" w:rsidR="005A75A5" w:rsidRPr="009E35ED" w:rsidRDefault="005A75A5" w:rsidP="00AD3D41">
            <w:pPr>
              <w:ind w:left="0"/>
              <w:jc w:val="left"/>
              <w:rPr>
                <w:rFonts w:ascii="Arial Narrow" w:hAnsi="Arial Narrow" w:cs="Calibri"/>
                <w:b/>
                <w:bCs/>
                <w:color w:val="000000" w:themeColor="text1"/>
                <w:sz w:val="22"/>
                <w:szCs w:val="22"/>
              </w:rPr>
            </w:pPr>
          </w:p>
        </w:tc>
        <w:tc>
          <w:tcPr>
            <w:tcW w:w="1718" w:type="dxa"/>
            <w:tcBorders>
              <w:top w:val="single" w:sz="4" w:space="0" w:color="auto"/>
              <w:left w:val="nil"/>
              <w:right w:val="nil"/>
            </w:tcBorders>
            <w:shd w:val="clear" w:color="auto" w:fill="auto"/>
            <w:noWrap/>
            <w:vAlign w:val="bottom"/>
          </w:tcPr>
          <w:p w14:paraId="6FE3C55C" w14:textId="77777777" w:rsidR="00C15C13" w:rsidRPr="009E35ED" w:rsidRDefault="00C15C13" w:rsidP="00FB2466">
            <w:pPr>
              <w:ind w:left="0"/>
              <w:jc w:val="right"/>
              <w:rPr>
                <w:rFonts w:ascii="Arial Narrow" w:hAnsi="Arial Narrow" w:cs="Calibri"/>
                <w:b/>
                <w:bCs/>
                <w:color w:val="000000" w:themeColor="text1"/>
                <w:sz w:val="22"/>
                <w:szCs w:val="22"/>
              </w:rPr>
            </w:pPr>
          </w:p>
        </w:tc>
        <w:tc>
          <w:tcPr>
            <w:tcW w:w="1644" w:type="dxa"/>
            <w:tcBorders>
              <w:top w:val="single" w:sz="4" w:space="0" w:color="auto"/>
              <w:left w:val="nil"/>
              <w:right w:val="nil"/>
            </w:tcBorders>
            <w:shd w:val="clear" w:color="auto" w:fill="auto"/>
            <w:noWrap/>
            <w:vAlign w:val="bottom"/>
          </w:tcPr>
          <w:p w14:paraId="101752E9" w14:textId="77777777" w:rsidR="00C15C13" w:rsidRPr="009E35ED" w:rsidRDefault="00C15C13" w:rsidP="00FB2466">
            <w:pPr>
              <w:ind w:left="0"/>
              <w:jc w:val="right"/>
              <w:rPr>
                <w:rFonts w:ascii="Arial Narrow" w:hAnsi="Arial Narrow"/>
                <w:color w:val="000000" w:themeColor="text1"/>
                <w:sz w:val="22"/>
                <w:szCs w:val="22"/>
              </w:rPr>
            </w:pPr>
          </w:p>
        </w:tc>
      </w:tr>
      <w:tr w:rsidR="00997F75" w:rsidRPr="009E35ED" w14:paraId="6557F5FA" w14:textId="77777777" w:rsidTr="000B3F04">
        <w:trPr>
          <w:trHeight w:val="249"/>
        </w:trPr>
        <w:tc>
          <w:tcPr>
            <w:tcW w:w="5310" w:type="dxa"/>
            <w:tcBorders>
              <w:left w:val="nil"/>
              <w:right w:val="nil"/>
            </w:tcBorders>
            <w:shd w:val="clear" w:color="auto" w:fill="auto"/>
            <w:noWrap/>
            <w:vAlign w:val="center"/>
          </w:tcPr>
          <w:p w14:paraId="608239AD" w14:textId="031E430D" w:rsidR="005A75A5" w:rsidRPr="009E35ED" w:rsidRDefault="005A75A5" w:rsidP="000B3F04">
            <w:pPr>
              <w:ind w:left="-108"/>
              <w:jc w:val="left"/>
              <w:rPr>
                <w:rFonts w:ascii="Arial Narrow" w:hAnsi="Arial Narrow" w:cs="Calibri"/>
                <w:b/>
                <w:bCs/>
                <w:color w:val="000000" w:themeColor="text1"/>
                <w:sz w:val="22"/>
                <w:szCs w:val="22"/>
              </w:rPr>
            </w:pPr>
            <w:r w:rsidRPr="009E35ED">
              <w:rPr>
                <w:rFonts w:ascii="Arial Narrow" w:hAnsi="Arial Narrow" w:cs="Calibri"/>
                <w:b/>
                <w:bCs/>
                <w:color w:val="000000" w:themeColor="text1"/>
                <w:sz w:val="22"/>
                <w:szCs w:val="22"/>
              </w:rPr>
              <w:t>Semi-Expendable Furniture and Fixtures</w:t>
            </w:r>
          </w:p>
        </w:tc>
        <w:tc>
          <w:tcPr>
            <w:tcW w:w="1718" w:type="dxa"/>
            <w:tcBorders>
              <w:left w:val="nil"/>
              <w:right w:val="nil"/>
            </w:tcBorders>
            <w:shd w:val="clear" w:color="auto" w:fill="auto"/>
            <w:noWrap/>
            <w:vAlign w:val="bottom"/>
          </w:tcPr>
          <w:p w14:paraId="7EEB95D5" w14:textId="77777777" w:rsidR="005A75A5" w:rsidRPr="009E35ED" w:rsidRDefault="005A75A5" w:rsidP="00FB2466">
            <w:pPr>
              <w:ind w:left="0"/>
              <w:jc w:val="right"/>
              <w:rPr>
                <w:rFonts w:ascii="Arial Narrow" w:hAnsi="Arial Narrow" w:cs="Calibri"/>
                <w:b/>
                <w:bCs/>
                <w:color w:val="000000" w:themeColor="text1"/>
                <w:sz w:val="22"/>
                <w:szCs w:val="22"/>
              </w:rPr>
            </w:pPr>
          </w:p>
        </w:tc>
        <w:tc>
          <w:tcPr>
            <w:tcW w:w="1644" w:type="dxa"/>
            <w:tcBorders>
              <w:left w:val="nil"/>
              <w:right w:val="nil"/>
            </w:tcBorders>
            <w:shd w:val="clear" w:color="auto" w:fill="auto"/>
            <w:noWrap/>
            <w:vAlign w:val="bottom"/>
          </w:tcPr>
          <w:p w14:paraId="2EE0137A" w14:textId="77777777" w:rsidR="005A75A5" w:rsidRPr="009E35ED" w:rsidRDefault="005A75A5" w:rsidP="00FB2466">
            <w:pPr>
              <w:ind w:left="0"/>
              <w:jc w:val="right"/>
              <w:rPr>
                <w:rFonts w:ascii="Arial Narrow" w:hAnsi="Arial Narrow"/>
                <w:color w:val="000000" w:themeColor="text1"/>
                <w:sz w:val="22"/>
                <w:szCs w:val="22"/>
              </w:rPr>
            </w:pPr>
          </w:p>
        </w:tc>
      </w:tr>
      <w:tr w:rsidR="00997F75" w:rsidRPr="009E35ED" w14:paraId="39AEC994" w14:textId="77777777" w:rsidTr="000B3F04">
        <w:trPr>
          <w:trHeight w:val="249"/>
        </w:trPr>
        <w:tc>
          <w:tcPr>
            <w:tcW w:w="5310" w:type="dxa"/>
            <w:tcBorders>
              <w:left w:val="nil"/>
              <w:right w:val="nil"/>
            </w:tcBorders>
            <w:shd w:val="clear" w:color="auto" w:fill="auto"/>
            <w:noWrap/>
            <w:vAlign w:val="center"/>
          </w:tcPr>
          <w:p w14:paraId="7A845CAC" w14:textId="569100EF" w:rsidR="002019D0" w:rsidRPr="009E35ED" w:rsidRDefault="002019D0" w:rsidP="000B3F04">
            <w:pPr>
              <w:ind w:left="-108"/>
              <w:jc w:val="left"/>
              <w:rPr>
                <w:rFonts w:ascii="Arial Narrow" w:hAnsi="Arial Narrow" w:cs="Calibri"/>
                <w:b/>
                <w:bCs/>
                <w:color w:val="000000" w:themeColor="text1"/>
                <w:sz w:val="22"/>
                <w:szCs w:val="22"/>
              </w:rPr>
            </w:pPr>
            <w:r w:rsidRPr="009E35ED">
              <w:rPr>
                <w:rFonts w:ascii="Arial Narrow" w:hAnsi="Arial Narrow" w:cs="Calibri"/>
                <w:color w:val="000000" w:themeColor="text1"/>
                <w:sz w:val="22"/>
                <w:szCs w:val="22"/>
              </w:rPr>
              <w:t>Carrying Amount January 1</w:t>
            </w:r>
          </w:p>
        </w:tc>
        <w:tc>
          <w:tcPr>
            <w:tcW w:w="1718" w:type="dxa"/>
            <w:tcBorders>
              <w:left w:val="nil"/>
              <w:right w:val="nil"/>
            </w:tcBorders>
            <w:shd w:val="clear" w:color="auto" w:fill="auto"/>
            <w:noWrap/>
            <w:vAlign w:val="center"/>
          </w:tcPr>
          <w:p w14:paraId="42E41F0E" w14:textId="7713CC5F" w:rsidR="002019D0" w:rsidRPr="009E35ED" w:rsidRDefault="002019D0" w:rsidP="00FB2466">
            <w:pPr>
              <w:ind w:left="0"/>
              <w:jc w:val="right"/>
              <w:rPr>
                <w:rFonts w:ascii="Arial Narrow" w:hAnsi="Arial Narrow" w:cs="Calibri"/>
                <w:b/>
                <w:bCs/>
                <w:color w:val="000000" w:themeColor="text1"/>
                <w:sz w:val="22"/>
                <w:szCs w:val="22"/>
              </w:rPr>
            </w:pPr>
            <w:r w:rsidRPr="009E35ED">
              <w:rPr>
                <w:rFonts w:ascii="Arial Narrow" w:hAnsi="Arial Narrow" w:cs="Calibri"/>
                <w:bCs/>
                <w:color w:val="000000" w:themeColor="text1"/>
                <w:sz w:val="22"/>
                <w:szCs w:val="22"/>
              </w:rPr>
              <w:t>35,118</w:t>
            </w:r>
          </w:p>
        </w:tc>
        <w:tc>
          <w:tcPr>
            <w:tcW w:w="1644" w:type="dxa"/>
            <w:tcBorders>
              <w:left w:val="nil"/>
              <w:right w:val="nil"/>
            </w:tcBorders>
            <w:shd w:val="clear" w:color="auto" w:fill="auto"/>
            <w:noWrap/>
            <w:vAlign w:val="center"/>
          </w:tcPr>
          <w:p w14:paraId="44883D91" w14:textId="7C6CB797" w:rsidR="002019D0" w:rsidRPr="009E35ED" w:rsidRDefault="002019D0" w:rsidP="000B3F04">
            <w:pPr>
              <w:ind w:left="0" w:right="-76"/>
              <w:jc w:val="right"/>
              <w:rPr>
                <w:rFonts w:ascii="Arial Narrow" w:hAnsi="Arial Narrow"/>
                <w:color w:val="000000" w:themeColor="text1"/>
                <w:sz w:val="22"/>
                <w:szCs w:val="22"/>
              </w:rPr>
            </w:pPr>
            <w:r w:rsidRPr="009E35ED">
              <w:rPr>
                <w:rFonts w:ascii="Arial Narrow" w:hAnsi="Arial Narrow" w:cs="Calibri"/>
                <w:bCs/>
                <w:color w:val="000000" w:themeColor="text1"/>
                <w:sz w:val="22"/>
                <w:szCs w:val="22"/>
              </w:rPr>
              <w:t>(43,548)</w:t>
            </w:r>
          </w:p>
        </w:tc>
      </w:tr>
      <w:tr w:rsidR="00997F75" w:rsidRPr="009E35ED" w14:paraId="03E4A17D" w14:textId="77777777" w:rsidTr="000B3F04">
        <w:trPr>
          <w:trHeight w:val="249"/>
        </w:trPr>
        <w:tc>
          <w:tcPr>
            <w:tcW w:w="5310" w:type="dxa"/>
            <w:tcBorders>
              <w:left w:val="nil"/>
              <w:right w:val="nil"/>
            </w:tcBorders>
            <w:shd w:val="clear" w:color="auto" w:fill="auto"/>
            <w:noWrap/>
            <w:vAlign w:val="center"/>
          </w:tcPr>
          <w:p w14:paraId="01780DCF" w14:textId="622E3BBD" w:rsidR="002019D0" w:rsidRPr="009E35ED" w:rsidRDefault="002019D0" w:rsidP="000B3F04">
            <w:pPr>
              <w:ind w:left="-108"/>
              <w:jc w:val="left"/>
              <w:rPr>
                <w:rFonts w:ascii="Arial Narrow" w:hAnsi="Arial Narrow" w:cs="Calibri"/>
                <w:b/>
                <w:bCs/>
                <w:color w:val="000000" w:themeColor="text1"/>
                <w:sz w:val="22"/>
                <w:szCs w:val="22"/>
              </w:rPr>
            </w:pPr>
            <w:r w:rsidRPr="009E35ED">
              <w:rPr>
                <w:rFonts w:ascii="Arial Narrow" w:hAnsi="Arial Narrow" w:cs="Calibri"/>
                <w:color w:val="000000" w:themeColor="text1"/>
                <w:sz w:val="22"/>
                <w:szCs w:val="22"/>
              </w:rPr>
              <w:t>Additional acquisition during the year</w:t>
            </w:r>
          </w:p>
        </w:tc>
        <w:tc>
          <w:tcPr>
            <w:tcW w:w="1718" w:type="dxa"/>
            <w:tcBorders>
              <w:left w:val="nil"/>
              <w:right w:val="nil"/>
            </w:tcBorders>
            <w:shd w:val="clear" w:color="auto" w:fill="auto"/>
            <w:noWrap/>
            <w:vAlign w:val="center"/>
          </w:tcPr>
          <w:p w14:paraId="75B665E9" w14:textId="4C985332" w:rsidR="002019D0" w:rsidRPr="009E35ED" w:rsidRDefault="002019D0" w:rsidP="00FB2466">
            <w:pPr>
              <w:ind w:left="0"/>
              <w:jc w:val="right"/>
              <w:rPr>
                <w:rFonts w:ascii="Arial Narrow" w:hAnsi="Arial Narrow" w:cs="Calibri"/>
                <w:b/>
                <w:bCs/>
                <w:color w:val="000000" w:themeColor="text1"/>
                <w:sz w:val="22"/>
                <w:szCs w:val="22"/>
              </w:rPr>
            </w:pPr>
            <w:r w:rsidRPr="009E35ED">
              <w:rPr>
                <w:rFonts w:ascii="Arial Narrow" w:hAnsi="Arial Narrow" w:cs="Calibri"/>
                <w:bCs/>
                <w:color w:val="000000" w:themeColor="text1"/>
                <w:sz w:val="22"/>
                <w:szCs w:val="22"/>
              </w:rPr>
              <w:t>5,011,166</w:t>
            </w:r>
          </w:p>
        </w:tc>
        <w:tc>
          <w:tcPr>
            <w:tcW w:w="1644" w:type="dxa"/>
            <w:tcBorders>
              <w:left w:val="nil"/>
              <w:right w:val="nil"/>
            </w:tcBorders>
            <w:shd w:val="clear" w:color="auto" w:fill="auto"/>
            <w:noWrap/>
            <w:vAlign w:val="center"/>
          </w:tcPr>
          <w:p w14:paraId="71707FD2" w14:textId="3D2464CE" w:rsidR="002019D0" w:rsidRPr="009E35ED" w:rsidRDefault="002019D0" w:rsidP="000B3F04">
            <w:pPr>
              <w:ind w:left="0" w:right="-76"/>
              <w:jc w:val="right"/>
              <w:rPr>
                <w:rFonts w:ascii="Arial Narrow" w:hAnsi="Arial Narrow"/>
                <w:color w:val="000000" w:themeColor="text1"/>
                <w:sz w:val="22"/>
                <w:szCs w:val="22"/>
              </w:rPr>
            </w:pPr>
            <w:r w:rsidRPr="009E35ED">
              <w:rPr>
                <w:rFonts w:ascii="Arial Narrow" w:hAnsi="Arial Narrow" w:cs="Calibri"/>
                <w:bCs/>
                <w:color w:val="000000" w:themeColor="text1"/>
                <w:sz w:val="22"/>
                <w:szCs w:val="22"/>
              </w:rPr>
              <w:t>331,95</w:t>
            </w:r>
            <w:r w:rsidR="00A6193F" w:rsidRPr="009E35ED">
              <w:rPr>
                <w:rFonts w:ascii="Arial Narrow" w:hAnsi="Arial Narrow" w:cs="Calibri"/>
                <w:bCs/>
                <w:color w:val="000000" w:themeColor="text1"/>
                <w:sz w:val="22"/>
                <w:szCs w:val="22"/>
              </w:rPr>
              <w:t>7</w:t>
            </w:r>
          </w:p>
        </w:tc>
      </w:tr>
      <w:tr w:rsidR="00997F75" w:rsidRPr="009E35ED" w14:paraId="5CDC5007" w14:textId="77777777" w:rsidTr="000B3F04">
        <w:trPr>
          <w:trHeight w:val="249"/>
        </w:trPr>
        <w:tc>
          <w:tcPr>
            <w:tcW w:w="5310" w:type="dxa"/>
            <w:tcBorders>
              <w:left w:val="nil"/>
              <w:right w:val="nil"/>
            </w:tcBorders>
            <w:shd w:val="clear" w:color="auto" w:fill="auto"/>
            <w:noWrap/>
            <w:vAlign w:val="center"/>
          </w:tcPr>
          <w:p w14:paraId="7513F82C" w14:textId="7011B249" w:rsidR="002019D0" w:rsidRPr="009E35ED" w:rsidRDefault="002019D0" w:rsidP="000B3F04">
            <w:pPr>
              <w:ind w:left="-108"/>
              <w:jc w:val="left"/>
              <w:rPr>
                <w:rFonts w:ascii="Arial Narrow" w:hAnsi="Arial Narrow" w:cs="Calibri"/>
                <w:b/>
                <w:bCs/>
                <w:color w:val="000000" w:themeColor="text1"/>
                <w:sz w:val="22"/>
                <w:szCs w:val="22"/>
              </w:rPr>
            </w:pPr>
            <w:r w:rsidRPr="009E35ED">
              <w:rPr>
                <w:rFonts w:ascii="Arial Narrow" w:hAnsi="Arial Narrow" w:cs="Calibri"/>
                <w:color w:val="000000" w:themeColor="text1"/>
                <w:sz w:val="22"/>
                <w:szCs w:val="22"/>
              </w:rPr>
              <w:t>Expensed during the year</w:t>
            </w:r>
          </w:p>
        </w:tc>
        <w:tc>
          <w:tcPr>
            <w:tcW w:w="1718" w:type="dxa"/>
            <w:tcBorders>
              <w:left w:val="nil"/>
              <w:right w:val="nil"/>
            </w:tcBorders>
            <w:shd w:val="clear" w:color="auto" w:fill="auto"/>
            <w:noWrap/>
            <w:vAlign w:val="center"/>
          </w:tcPr>
          <w:p w14:paraId="1A249FEE" w14:textId="7DB72BA4" w:rsidR="002019D0" w:rsidRPr="009E35ED" w:rsidRDefault="002019D0" w:rsidP="00FB2466">
            <w:pPr>
              <w:ind w:left="0"/>
              <w:jc w:val="right"/>
              <w:rPr>
                <w:rFonts w:ascii="Arial Narrow" w:hAnsi="Arial Narrow" w:cs="Calibri"/>
                <w:b/>
                <w:bCs/>
                <w:color w:val="000000" w:themeColor="text1"/>
                <w:sz w:val="22"/>
                <w:szCs w:val="22"/>
              </w:rPr>
            </w:pPr>
            <w:r w:rsidRPr="009E35ED">
              <w:rPr>
                <w:rFonts w:ascii="Arial Narrow" w:hAnsi="Arial Narrow" w:cs="Calibri"/>
                <w:bCs/>
                <w:color w:val="000000" w:themeColor="text1"/>
                <w:sz w:val="22"/>
                <w:szCs w:val="22"/>
              </w:rPr>
              <w:t>(4,458,462)</w:t>
            </w:r>
          </w:p>
        </w:tc>
        <w:tc>
          <w:tcPr>
            <w:tcW w:w="1644" w:type="dxa"/>
            <w:tcBorders>
              <w:left w:val="nil"/>
              <w:right w:val="nil"/>
            </w:tcBorders>
            <w:shd w:val="clear" w:color="auto" w:fill="auto"/>
            <w:noWrap/>
            <w:vAlign w:val="center"/>
          </w:tcPr>
          <w:p w14:paraId="0A182F54" w14:textId="101B0ABC" w:rsidR="002019D0" w:rsidRPr="009E35ED" w:rsidRDefault="002019D0" w:rsidP="000B3F04">
            <w:pPr>
              <w:ind w:left="0" w:right="-76"/>
              <w:jc w:val="right"/>
              <w:rPr>
                <w:rFonts w:ascii="Arial Narrow" w:hAnsi="Arial Narrow"/>
                <w:color w:val="000000" w:themeColor="text1"/>
                <w:sz w:val="22"/>
                <w:szCs w:val="22"/>
              </w:rPr>
            </w:pPr>
            <w:r w:rsidRPr="009E35ED">
              <w:rPr>
                <w:rFonts w:ascii="Arial Narrow" w:hAnsi="Arial Narrow" w:cs="Calibri"/>
                <w:bCs/>
                <w:color w:val="000000" w:themeColor="text1"/>
                <w:sz w:val="22"/>
                <w:szCs w:val="22"/>
              </w:rPr>
              <w:t>(365,882)</w:t>
            </w:r>
          </w:p>
        </w:tc>
      </w:tr>
      <w:tr w:rsidR="00997F75" w:rsidRPr="009E35ED" w14:paraId="0DB4E13B" w14:textId="77777777" w:rsidTr="000B3F04">
        <w:trPr>
          <w:trHeight w:val="249"/>
        </w:trPr>
        <w:tc>
          <w:tcPr>
            <w:tcW w:w="5310" w:type="dxa"/>
            <w:tcBorders>
              <w:left w:val="nil"/>
              <w:bottom w:val="single" w:sz="4" w:space="0" w:color="auto"/>
              <w:right w:val="nil"/>
            </w:tcBorders>
            <w:shd w:val="clear" w:color="auto" w:fill="auto"/>
            <w:noWrap/>
            <w:vAlign w:val="center"/>
          </w:tcPr>
          <w:p w14:paraId="0AF70452" w14:textId="6C52756B" w:rsidR="002019D0" w:rsidRPr="009E35ED" w:rsidRDefault="002019D0" w:rsidP="000B3F04">
            <w:pPr>
              <w:ind w:left="-108"/>
              <w:jc w:val="left"/>
              <w:rPr>
                <w:rFonts w:ascii="Arial Narrow" w:hAnsi="Arial Narrow" w:cs="Calibri"/>
                <w:b/>
                <w:bCs/>
                <w:color w:val="000000" w:themeColor="text1"/>
                <w:sz w:val="22"/>
                <w:szCs w:val="22"/>
              </w:rPr>
            </w:pPr>
            <w:r w:rsidRPr="009E35ED">
              <w:rPr>
                <w:rFonts w:ascii="Arial Narrow" w:hAnsi="Arial Narrow" w:cs="Calibri"/>
                <w:color w:val="000000" w:themeColor="text1"/>
                <w:sz w:val="22"/>
                <w:szCs w:val="22"/>
              </w:rPr>
              <w:t>Other adjustment / Accruals</w:t>
            </w:r>
          </w:p>
        </w:tc>
        <w:tc>
          <w:tcPr>
            <w:tcW w:w="1718" w:type="dxa"/>
            <w:tcBorders>
              <w:left w:val="nil"/>
              <w:bottom w:val="single" w:sz="4" w:space="0" w:color="auto"/>
              <w:right w:val="nil"/>
            </w:tcBorders>
            <w:shd w:val="clear" w:color="auto" w:fill="auto"/>
            <w:noWrap/>
            <w:vAlign w:val="center"/>
          </w:tcPr>
          <w:p w14:paraId="416D8738" w14:textId="1160C6C1" w:rsidR="002019D0" w:rsidRPr="009E35ED" w:rsidRDefault="002019D0" w:rsidP="00FB2466">
            <w:pPr>
              <w:ind w:left="0"/>
              <w:jc w:val="right"/>
              <w:rPr>
                <w:rFonts w:ascii="Arial Narrow" w:hAnsi="Arial Narrow" w:cs="Calibri"/>
                <w:b/>
                <w:bCs/>
                <w:color w:val="000000" w:themeColor="text1"/>
                <w:sz w:val="22"/>
                <w:szCs w:val="22"/>
              </w:rPr>
            </w:pPr>
            <w:r w:rsidRPr="009E35ED">
              <w:rPr>
                <w:rFonts w:ascii="Arial Narrow" w:hAnsi="Arial Narrow" w:cs="Calibri"/>
                <w:bCs/>
                <w:color w:val="000000" w:themeColor="text1"/>
                <w:sz w:val="22"/>
                <w:szCs w:val="22"/>
              </w:rPr>
              <w:t>16,994</w:t>
            </w:r>
          </w:p>
        </w:tc>
        <w:tc>
          <w:tcPr>
            <w:tcW w:w="1644" w:type="dxa"/>
            <w:tcBorders>
              <w:left w:val="nil"/>
              <w:bottom w:val="single" w:sz="4" w:space="0" w:color="auto"/>
              <w:right w:val="nil"/>
            </w:tcBorders>
            <w:shd w:val="clear" w:color="auto" w:fill="auto"/>
            <w:noWrap/>
            <w:vAlign w:val="center"/>
          </w:tcPr>
          <w:p w14:paraId="21E9497C" w14:textId="1D8C05A7" w:rsidR="002019D0" w:rsidRPr="009E35ED" w:rsidRDefault="002019D0" w:rsidP="000B3F04">
            <w:pPr>
              <w:ind w:left="0" w:right="-76"/>
              <w:jc w:val="right"/>
              <w:rPr>
                <w:rFonts w:ascii="Arial Narrow" w:hAnsi="Arial Narrow"/>
                <w:color w:val="000000" w:themeColor="text1"/>
                <w:sz w:val="22"/>
                <w:szCs w:val="22"/>
              </w:rPr>
            </w:pPr>
            <w:r w:rsidRPr="009E35ED">
              <w:rPr>
                <w:rFonts w:ascii="Arial Narrow" w:hAnsi="Arial Narrow" w:cs="Calibri"/>
                <w:color w:val="000000" w:themeColor="text1"/>
                <w:sz w:val="22"/>
                <w:szCs w:val="22"/>
              </w:rPr>
              <w:t>112,592</w:t>
            </w:r>
          </w:p>
        </w:tc>
      </w:tr>
      <w:tr w:rsidR="00997F75" w:rsidRPr="009E35ED" w14:paraId="629E4524" w14:textId="77777777" w:rsidTr="000B3F04">
        <w:trPr>
          <w:trHeight w:val="249"/>
        </w:trPr>
        <w:tc>
          <w:tcPr>
            <w:tcW w:w="5310" w:type="dxa"/>
            <w:tcBorders>
              <w:top w:val="single" w:sz="4" w:space="0" w:color="auto"/>
              <w:left w:val="nil"/>
              <w:bottom w:val="single" w:sz="4" w:space="0" w:color="auto"/>
              <w:right w:val="nil"/>
            </w:tcBorders>
            <w:shd w:val="clear" w:color="auto" w:fill="auto"/>
            <w:noWrap/>
            <w:vAlign w:val="center"/>
          </w:tcPr>
          <w:p w14:paraId="6F315D56" w14:textId="2F77A1C5" w:rsidR="002019D0" w:rsidRPr="009E35ED" w:rsidRDefault="002019D0" w:rsidP="000B3F04">
            <w:pPr>
              <w:ind w:left="-108"/>
              <w:jc w:val="left"/>
              <w:rPr>
                <w:rFonts w:ascii="Arial Narrow" w:hAnsi="Arial Narrow" w:cs="Calibri"/>
                <w:b/>
                <w:bCs/>
                <w:color w:val="000000" w:themeColor="text1"/>
                <w:sz w:val="22"/>
                <w:szCs w:val="22"/>
              </w:rPr>
            </w:pPr>
            <w:r w:rsidRPr="009E35ED">
              <w:rPr>
                <w:rFonts w:ascii="Arial Narrow" w:hAnsi="Arial Narrow" w:cs="Calibri"/>
                <w:b/>
                <w:bCs/>
                <w:color w:val="000000" w:themeColor="text1"/>
                <w:sz w:val="22"/>
                <w:szCs w:val="22"/>
              </w:rPr>
              <w:t>Carrying Amount December 31</w:t>
            </w:r>
          </w:p>
        </w:tc>
        <w:tc>
          <w:tcPr>
            <w:tcW w:w="1718" w:type="dxa"/>
            <w:tcBorders>
              <w:top w:val="single" w:sz="4" w:space="0" w:color="auto"/>
              <w:left w:val="nil"/>
              <w:bottom w:val="single" w:sz="4" w:space="0" w:color="auto"/>
              <w:right w:val="nil"/>
            </w:tcBorders>
            <w:shd w:val="clear" w:color="auto" w:fill="auto"/>
            <w:noWrap/>
            <w:vAlign w:val="center"/>
          </w:tcPr>
          <w:p w14:paraId="53D6A254" w14:textId="765C3EAA" w:rsidR="002019D0" w:rsidRPr="009E35ED" w:rsidRDefault="002019D0" w:rsidP="00FB2466">
            <w:pPr>
              <w:ind w:left="0"/>
              <w:jc w:val="right"/>
              <w:rPr>
                <w:rFonts w:ascii="Arial Narrow" w:hAnsi="Arial Narrow" w:cs="Calibri"/>
                <w:b/>
                <w:bCs/>
                <w:color w:val="000000" w:themeColor="text1"/>
                <w:sz w:val="22"/>
                <w:szCs w:val="22"/>
              </w:rPr>
            </w:pPr>
            <w:r w:rsidRPr="009E35ED">
              <w:rPr>
                <w:rFonts w:ascii="Arial Narrow" w:hAnsi="Arial Narrow" w:cs="Calibri"/>
                <w:b/>
                <w:bCs/>
                <w:color w:val="000000" w:themeColor="text1"/>
                <w:sz w:val="22"/>
                <w:szCs w:val="22"/>
              </w:rPr>
              <w:t>604,816</w:t>
            </w:r>
          </w:p>
        </w:tc>
        <w:tc>
          <w:tcPr>
            <w:tcW w:w="1644" w:type="dxa"/>
            <w:tcBorders>
              <w:top w:val="single" w:sz="4" w:space="0" w:color="auto"/>
              <w:left w:val="nil"/>
              <w:bottom w:val="single" w:sz="4" w:space="0" w:color="auto"/>
              <w:right w:val="nil"/>
            </w:tcBorders>
            <w:shd w:val="clear" w:color="auto" w:fill="auto"/>
            <w:noWrap/>
            <w:vAlign w:val="center"/>
          </w:tcPr>
          <w:p w14:paraId="6C1E548B" w14:textId="70E1EFFC" w:rsidR="002019D0" w:rsidRPr="009E35ED" w:rsidRDefault="002019D0" w:rsidP="000B3F04">
            <w:pPr>
              <w:ind w:left="0" w:right="-76"/>
              <w:jc w:val="right"/>
              <w:rPr>
                <w:rFonts w:ascii="Arial Narrow" w:hAnsi="Arial Narrow"/>
                <w:color w:val="000000" w:themeColor="text1"/>
                <w:sz w:val="22"/>
                <w:szCs w:val="22"/>
              </w:rPr>
            </w:pPr>
            <w:r w:rsidRPr="009E35ED">
              <w:rPr>
                <w:rFonts w:ascii="Arial Narrow" w:hAnsi="Arial Narrow" w:cs="Calibri"/>
                <w:b/>
                <w:bCs/>
                <w:color w:val="000000" w:themeColor="text1"/>
                <w:sz w:val="22"/>
                <w:szCs w:val="22"/>
              </w:rPr>
              <w:fldChar w:fldCharType="begin"/>
            </w:r>
            <w:r w:rsidRPr="009E35ED">
              <w:rPr>
                <w:rFonts w:ascii="Arial Narrow" w:hAnsi="Arial Narrow" w:cs="Calibri"/>
                <w:b/>
                <w:bCs/>
                <w:color w:val="000000" w:themeColor="text1"/>
                <w:sz w:val="22"/>
                <w:szCs w:val="22"/>
              </w:rPr>
              <w:instrText xml:space="preserve"> =SUM(c53:c56) </w:instrText>
            </w:r>
            <w:r w:rsidRPr="009E35ED">
              <w:rPr>
                <w:rFonts w:ascii="Arial Narrow" w:hAnsi="Arial Narrow" w:cs="Calibri"/>
                <w:b/>
                <w:bCs/>
                <w:color w:val="000000" w:themeColor="text1"/>
                <w:sz w:val="22"/>
                <w:szCs w:val="22"/>
              </w:rPr>
              <w:fldChar w:fldCharType="separate"/>
            </w:r>
            <w:r w:rsidRPr="009E35ED">
              <w:rPr>
                <w:rFonts w:ascii="Arial Narrow" w:hAnsi="Arial Narrow" w:cs="Calibri"/>
                <w:b/>
                <w:bCs/>
                <w:noProof/>
                <w:color w:val="000000" w:themeColor="text1"/>
                <w:sz w:val="22"/>
                <w:szCs w:val="22"/>
              </w:rPr>
              <w:t>35,11</w:t>
            </w:r>
            <w:r w:rsidR="00A6193F" w:rsidRPr="009E35ED">
              <w:rPr>
                <w:rFonts w:ascii="Arial Narrow" w:hAnsi="Arial Narrow" w:cs="Calibri"/>
                <w:b/>
                <w:bCs/>
                <w:noProof/>
                <w:color w:val="000000" w:themeColor="text1"/>
                <w:sz w:val="22"/>
                <w:szCs w:val="22"/>
              </w:rPr>
              <w:t>9</w:t>
            </w:r>
            <w:r w:rsidRPr="009E35ED">
              <w:rPr>
                <w:rFonts w:ascii="Arial Narrow" w:hAnsi="Arial Narrow" w:cs="Calibri"/>
                <w:b/>
                <w:bCs/>
                <w:color w:val="000000" w:themeColor="text1"/>
                <w:sz w:val="22"/>
                <w:szCs w:val="22"/>
              </w:rPr>
              <w:fldChar w:fldCharType="end"/>
            </w:r>
          </w:p>
        </w:tc>
      </w:tr>
      <w:tr w:rsidR="00E35015" w:rsidRPr="009E35ED" w14:paraId="7DE4FE97" w14:textId="77777777" w:rsidTr="000B3F04">
        <w:trPr>
          <w:trHeight w:val="260"/>
        </w:trPr>
        <w:tc>
          <w:tcPr>
            <w:tcW w:w="5310" w:type="dxa"/>
            <w:tcBorders>
              <w:top w:val="single" w:sz="4" w:space="0" w:color="auto"/>
              <w:left w:val="nil"/>
              <w:bottom w:val="double" w:sz="6" w:space="0" w:color="auto"/>
              <w:right w:val="nil"/>
            </w:tcBorders>
            <w:shd w:val="clear" w:color="auto" w:fill="auto"/>
            <w:noWrap/>
            <w:vAlign w:val="center"/>
            <w:hideMark/>
          </w:tcPr>
          <w:p w14:paraId="16D8E5D9" w14:textId="77777777" w:rsidR="00C15C13" w:rsidRPr="009E35ED" w:rsidRDefault="00C15C13" w:rsidP="000B3F04">
            <w:pPr>
              <w:ind w:left="-108"/>
              <w:jc w:val="left"/>
              <w:rPr>
                <w:rFonts w:ascii="Arial Narrow" w:hAnsi="Arial Narrow" w:cs="Calibri"/>
                <w:b/>
                <w:bCs/>
                <w:color w:val="000000" w:themeColor="text1"/>
                <w:sz w:val="22"/>
                <w:szCs w:val="22"/>
              </w:rPr>
            </w:pPr>
            <w:r w:rsidRPr="009E35ED">
              <w:rPr>
                <w:rFonts w:ascii="Arial Narrow" w:hAnsi="Arial Narrow" w:cs="Calibri"/>
                <w:b/>
                <w:bCs/>
                <w:color w:val="000000" w:themeColor="text1"/>
                <w:sz w:val="22"/>
                <w:szCs w:val="22"/>
              </w:rPr>
              <w:t>Total</w:t>
            </w:r>
          </w:p>
        </w:tc>
        <w:tc>
          <w:tcPr>
            <w:tcW w:w="1718" w:type="dxa"/>
            <w:tcBorders>
              <w:top w:val="single" w:sz="4" w:space="0" w:color="auto"/>
              <w:left w:val="nil"/>
              <w:bottom w:val="double" w:sz="6" w:space="0" w:color="auto"/>
              <w:right w:val="nil"/>
            </w:tcBorders>
            <w:shd w:val="clear" w:color="auto" w:fill="auto"/>
            <w:noWrap/>
            <w:vAlign w:val="bottom"/>
          </w:tcPr>
          <w:p w14:paraId="19F66F01" w14:textId="5DD63016" w:rsidR="00C15C13" w:rsidRPr="009E35ED" w:rsidRDefault="00C15C13" w:rsidP="00FB2466">
            <w:pPr>
              <w:ind w:left="0"/>
              <w:jc w:val="right"/>
              <w:rPr>
                <w:rFonts w:ascii="Arial Narrow" w:hAnsi="Arial Narrow" w:cs="Calibri"/>
                <w:b/>
                <w:bCs/>
                <w:color w:val="000000" w:themeColor="text1"/>
                <w:sz w:val="22"/>
                <w:szCs w:val="22"/>
              </w:rPr>
            </w:pPr>
            <w:r w:rsidRPr="009E35ED">
              <w:rPr>
                <w:rFonts w:ascii="Arial Narrow" w:hAnsi="Arial Narrow" w:cs="Calibri"/>
                <w:b/>
                <w:bCs/>
                <w:color w:val="000000" w:themeColor="text1"/>
                <w:sz w:val="22"/>
                <w:szCs w:val="22"/>
              </w:rPr>
              <w:t>8</w:t>
            </w:r>
            <w:r w:rsidR="00FB2466" w:rsidRPr="009E35ED">
              <w:rPr>
                <w:rFonts w:ascii="Arial Narrow" w:hAnsi="Arial Narrow" w:cs="Calibri"/>
                <w:b/>
                <w:bCs/>
                <w:color w:val="000000" w:themeColor="text1"/>
                <w:sz w:val="22"/>
                <w:szCs w:val="22"/>
              </w:rPr>
              <w:t>5,068,392</w:t>
            </w:r>
          </w:p>
        </w:tc>
        <w:tc>
          <w:tcPr>
            <w:tcW w:w="1644" w:type="dxa"/>
            <w:tcBorders>
              <w:top w:val="single" w:sz="4" w:space="0" w:color="auto"/>
              <w:left w:val="nil"/>
              <w:bottom w:val="double" w:sz="6" w:space="0" w:color="auto"/>
              <w:right w:val="nil"/>
            </w:tcBorders>
            <w:shd w:val="clear" w:color="auto" w:fill="auto"/>
            <w:noWrap/>
            <w:vAlign w:val="bottom"/>
            <w:hideMark/>
          </w:tcPr>
          <w:p w14:paraId="1E0D438B" w14:textId="445BA165" w:rsidR="00C15C13" w:rsidRPr="009E35ED" w:rsidRDefault="00C15C13" w:rsidP="000B3F04">
            <w:pPr>
              <w:ind w:left="0" w:right="-76"/>
              <w:jc w:val="right"/>
              <w:rPr>
                <w:rFonts w:ascii="Arial Narrow" w:hAnsi="Arial Narrow" w:cs="Calibri"/>
                <w:b/>
                <w:bCs/>
                <w:color w:val="000000" w:themeColor="text1"/>
                <w:sz w:val="22"/>
                <w:szCs w:val="22"/>
              </w:rPr>
            </w:pPr>
            <w:r w:rsidRPr="009E35ED">
              <w:rPr>
                <w:rFonts w:ascii="Arial Narrow" w:hAnsi="Arial Narrow" w:cs="Calibri"/>
                <w:b/>
                <w:bCs/>
                <w:color w:val="000000" w:themeColor="text1"/>
                <w:sz w:val="22"/>
                <w:szCs w:val="22"/>
              </w:rPr>
              <w:fldChar w:fldCharType="begin"/>
            </w:r>
            <w:r w:rsidRPr="009E35ED">
              <w:rPr>
                <w:rFonts w:ascii="Arial Narrow" w:hAnsi="Arial Narrow" w:cs="Calibri"/>
                <w:b/>
                <w:bCs/>
                <w:color w:val="000000" w:themeColor="text1"/>
                <w:sz w:val="22"/>
                <w:szCs w:val="22"/>
              </w:rPr>
              <w:instrText xml:space="preserve"> =SUM(c8,c15,c22,c36,c43,c50,c57,c64) </w:instrText>
            </w:r>
            <w:r w:rsidRPr="009E35ED">
              <w:rPr>
                <w:rFonts w:ascii="Arial Narrow" w:hAnsi="Arial Narrow" w:cs="Calibri"/>
                <w:b/>
                <w:bCs/>
                <w:color w:val="000000" w:themeColor="text1"/>
                <w:sz w:val="22"/>
                <w:szCs w:val="22"/>
              </w:rPr>
              <w:fldChar w:fldCharType="separate"/>
            </w:r>
            <w:r w:rsidRPr="009E35ED">
              <w:rPr>
                <w:rFonts w:ascii="Arial Narrow" w:hAnsi="Arial Narrow" w:cs="Calibri"/>
                <w:b/>
                <w:bCs/>
                <w:noProof/>
                <w:color w:val="000000" w:themeColor="text1"/>
                <w:sz w:val="22"/>
                <w:szCs w:val="22"/>
              </w:rPr>
              <w:t>132,689,07</w:t>
            </w:r>
            <w:r w:rsidR="00A6193F" w:rsidRPr="009E35ED">
              <w:rPr>
                <w:rFonts w:ascii="Arial Narrow" w:hAnsi="Arial Narrow" w:cs="Calibri"/>
                <w:b/>
                <w:bCs/>
                <w:noProof/>
                <w:color w:val="000000" w:themeColor="text1"/>
                <w:sz w:val="22"/>
                <w:szCs w:val="22"/>
              </w:rPr>
              <w:t>5</w:t>
            </w:r>
            <w:r w:rsidRPr="009E35ED">
              <w:rPr>
                <w:rFonts w:ascii="Arial Narrow" w:hAnsi="Arial Narrow" w:cs="Calibri"/>
                <w:b/>
                <w:bCs/>
                <w:color w:val="000000" w:themeColor="text1"/>
                <w:sz w:val="22"/>
                <w:szCs w:val="22"/>
              </w:rPr>
              <w:fldChar w:fldCharType="end"/>
            </w:r>
          </w:p>
        </w:tc>
      </w:tr>
    </w:tbl>
    <w:p w14:paraId="1CDA4FBB" w14:textId="77777777" w:rsidR="00E35015" w:rsidRPr="009E35ED" w:rsidRDefault="00E35015" w:rsidP="00803F8C">
      <w:pPr>
        <w:suppressAutoHyphens/>
        <w:ind w:left="0"/>
        <w:rPr>
          <w:rFonts w:ascii="Arial" w:hAnsi="Arial" w:cs="Arial"/>
          <w:color w:val="000000" w:themeColor="text1"/>
          <w:sz w:val="22"/>
          <w:szCs w:val="22"/>
        </w:rPr>
      </w:pPr>
    </w:p>
    <w:p w14:paraId="7C73B03F" w14:textId="647038EA" w:rsidR="006A4AF4" w:rsidRPr="009E35ED" w:rsidRDefault="006A4AF4" w:rsidP="00803F8C">
      <w:pPr>
        <w:suppressAutoHyphens/>
        <w:ind w:left="0"/>
        <w:rPr>
          <w:rFonts w:ascii="Arial" w:hAnsi="Arial" w:cs="Arial"/>
          <w:color w:val="000000" w:themeColor="text1"/>
          <w:sz w:val="22"/>
          <w:szCs w:val="22"/>
        </w:rPr>
      </w:pPr>
      <w:r w:rsidRPr="009E35ED">
        <w:rPr>
          <w:rFonts w:ascii="Arial" w:hAnsi="Arial" w:cs="Arial"/>
          <w:color w:val="000000" w:themeColor="text1"/>
          <w:sz w:val="22"/>
          <w:szCs w:val="22"/>
        </w:rPr>
        <w:t xml:space="preserve">Drugs and </w:t>
      </w:r>
      <w:r w:rsidR="00416DE8">
        <w:rPr>
          <w:rFonts w:ascii="Arial" w:hAnsi="Arial" w:cs="Arial"/>
          <w:color w:val="000000" w:themeColor="text1"/>
          <w:sz w:val="22"/>
          <w:szCs w:val="22"/>
        </w:rPr>
        <w:t>m</w:t>
      </w:r>
      <w:r w:rsidRPr="009E35ED">
        <w:rPr>
          <w:rFonts w:ascii="Arial" w:hAnsi="Arial" w:cs="Arial"/>
          <w:color w:val="000000" w:themeColor="text1"/>
          <w:sz w:val="22"/>
          <w:szCs w:val="22"/>
        </w:rPr>
        <w:t xml:space="preserve">edicines </w:t>
      </w:r>
      <w:r w:rsidR="00416DE8">
        <w:rPr>
          <w:rFonts w:ascii="Arial" w:hAnsi="Arial" w:cs="Arial"/>
          <w:color w:val="000000" w:themeColor="text1"/>
          <w:sz w:val="22"/>
          <w:szCs w:val="22"/>
        </w:rPr>
        <w:t>i</w:t>
      </w:r>
      <w:r w:rsidRPr="009E35ED">
        <w:rPr>
          <w:rFonts w:ascii="Arial" w:hAnsi="Arial" w:cs="Arial"/>
          <w:color w:val="000000" w:themeColor="text1"/>
          <w:sz w:val="22"/>
          <w:szCs w:val="22"/>
        </w:rPr>
        <w:t>nventory pertains to the cost of drugs and medicines purchased/received for stock/use in office operations/projects.</w:t>
      </w:r>
    </w:p>
    <w:p w14:paraId="7D3D498F" w14:textId="357A2305" w:rsidR="006A4AF4" w:rsidRPr="009E35ED" w:rsidRDefault="006A4AF4" w:rsidP="00803F8C">
      <w:pPr>
        <w:suppressAutoHyphens/>
        <w:ind w:left="0"/>
        <w:rPr>
          <w:rFonts w:ascii="Arial" w:hAnsi="Arial" w:cs="Arial"/>
          <w:color w:val="000000" w:themeColor="text1"/>
          <w:sz w:val="22"/>
          <w:szCs w:val="22"/>
        </w:rPr>
      </w:pPr>
    </w:p>
    <w:p w14:paraId="5C0BC9FF" w14:textId="14082786" w:rsidR="00A6193F" w:rsidRPr="009E35ED" w:rsidRDefault="00A6193F" w:rsidP="00A6193F">
      <w:pPr>
        <w:suppressAutoHyphens/>
        <w:ind w:left="0"/>
        <w:rPr>
          <w:rFonts w:ascii="Arial" w:hAnsi="Arial" w:cs="Arial"/>
          <w:color w:val="000000" w:themeColor="text1"/>
          <w:sz w:val="22"/>
          <w:szCs w:val="22"/>
        </w:rPr>
      </w:pPr>
      <w:r w:rsidRPr="009E35ED">
        <w:rPr>
          <w:rFonts w:ascii="Arial" w:hAnsi="Arial" w:cs="Arial"/>
          <w:color w:val="000000" w:themeColor="text1"/>
          <w:sz w:val="22"/>
          <w:szCs w:val="22"/>
        </w:rPr>
        <w:t xml:space="preserve">Medical, </w:t>
      </w:r>
      <w:r w:rsidR="00416DE8">
        <w:rPr>
          <w:rFonts w:ascii="Arial" w:hAnsi="Arial" w:cs="Arial"/>
          <w:color w:val="000000" w:themeColor="text1"/>
          <w:sz w:val="22"/>
          <w:szCs w:val="22"/>
        </w:rPr>
        <w:t>d</w:t>
      </w:r>
      <w:r w:rsidRPr="009E35ED">
        <w:rPr>
          <w:rFonts w:ascii="Arial" w:hAnsi="Arial" w:cs="Arial"/>
          <w:color w:val="000000" w:themeColor="text1"/>
          <w:sz w:val="22"/>
          <w:szCs w:val="22"/>
        </w:rPr>
        <w:t xml:space="preserve">ental and </w:t>
      </w:r>
      <w:r w:rsidR="00416DE8">
        <w:rPr>
          <w:rFonts w:ascii="Arial" w:hAnsi="Arial" w:cs="Arial"/>
          <w:color w:val="000000" w:themeColor="text1"/>
          <w:sz w:val="22"/>
          <w:szCs w:val="22"/>
        </w:rPr>
        <w:t>l</w:t>
      </w:r>
      <w:r w:rsidRPr="009E35ED">
        <w:rPr>
          <w:rFonts w:ascii="Arial" w:hAnsi="Arial" w:cs="Arial"/>
          <w:color w:val="000000" w:themeColor="text1"/>
          <w:sz w:val="22"/>
          <w:szCs w:val="22"/>
        </w:rPr>
        <w:t xml:space="preserve">aboratory </w:t>
      </w:r>
      <w:r w:rsidR="00416DE8">
        <w:rPr>
          <w:rFonts w:ascii="Arial" w:hAnsi="Arial" w:cs="Arial"/>
          <w:color w:val="000000" w:themeColor="text1"/>
          <w:sz w:val="22"/>
          <w:szCs w:val="22"/>
        </w:rPr>
        <w:t>s</w:t>
      </w:r>
      <w:r w:rsidRPr="009E35ED">
        <w:rPr>
          <w:rFonts w:ascii="Arial" w:hAnsi="Arial" w:cs="Arial"/>
          <w:color w:val="000000" w:themeColor="text1"/>
          <w:sz w:val="22"/>
          <w:szCs w:val="22"/>
        </w:rPr>
        <w:t>upplies pertain to the cost of materials purchased for use in medical or dental programs of</w:t>
      </w:r>
      <w:r w:rsidR="00416DE8">
        <w:rPr>
          <w:rFonts w:ascii="Arial" w:hAnsi="Arial" w:cs="Arial"/>
          <w:color w:val="000000" w:themeColor="text1"/>
          <w:sz w:val="22"/>
          <w:szCs w:val="22"/>
        </w:rPr>
        <w:t xml:space="preserve"> the</w:t>
      </w:r>
      <w:r w:rsidRPr="009E35ED">
        <w:rPr>
          <w:rFonts w:ascii="Arial" w:hAnsi="Arial" w:cs="Arial"/>
          <w:color w:val="000000" w:themeColor="text1"/>
          <w:sz w:val="22"/>
          <w:szCs w:val="22"/>
        </w:rPr>
        <w:t xml:space="preserve"> PCSO.</w:t>
      </w:r>
    </w:p>
    <w:p w14:paraId="7BB14E0A" w14:textId="77777777" w:rsidR="00A6193F" w:rsidRPr="009E35ED" w:rsidRDefault="00A6193F" w:rsidP="00803F8C">
      <w:pPr>
        <w:suppressAutoHyphens/>
        <w:ind w:left="0"/>
        <w:rPr>
          <w:rFonts w:ascii="Arial" w:hAnsi="Arial" w:cs="Arial"/>
          <w:color w:val="000000" w:themeColor="text1"/>
          <w:sz w:val="22"/>
          <w:szCs w:val="22"/>
        </w:rPr>
      </w:pPr>
    </w:p>
    <w:p w14:paraId="33960C0F" w14:textId="522E6DDA" w:rsidR="007B5670" w:rsidRPr="009E35ED" w:rsidRDefault="007B5670" w:rsidP="00803F8C">
      <w:pPr>
        <w:suppressAutoHyphens/>
        <w:ind w:left="0"/>
        <w:rPr>
          <w:rFonts w:ascii="Arial" w:hAnsi="Arial" w:cs="Arial"/>
          <w:color w:val="000000" w:themeColor="text1"/>
          <w:sz w:val="22"/>
          <w:szCs w:val="22"/>
        </w:rPr>
      </w:pPr>
      <w:r w:rsidRPr="009E35ED">
        <w:rPr>
          <w:rFonts w:ascii="Arial" w:hAnsi="Arial" w:cs="Arial"/>
          <w:color w:val="000000" w:themeColor="text1"/>
          <w:sz w:val="22"/>
          <w:szCs w:val="22"/>
        </w:rPr>
        <w:t xml:space="preserve">Other </w:t>
      </w:r>
      <w:r w:rsidR="00416DE8">
        <w:rPr>
          <w:rFonts w:ascii="Arial" w:hAnsi="Arial" w:cs="Arial"/>
          <w:color w:val="000000" w:themeColor="text1"/>
          <w:sz w:val="22"/>
          <w:szCs w:val="22"/>
        </w:rPr>
        <w:t>s</w:t>
      </w:r>
      <w:r w:rsidRPr="009E35ED">
        <w:rPr>
          <w:rFonts w:ascii="Arial" w:hAnsi="Arial" w:cs="Arial"/>
          <w:color w:val="000000" w:themeColor="text1"/>
          <w:sz w:val="22"/>
          <w:szCs w:val="22"/>
        </w:rPr>
        <w:t xml:space="preserve">upplies and </w:t>
      </w:r>
      <w:r w:rsidR="00416DE8">
        <w:rPr>
          <w:rFonts w:ascii="Arial" w:hAnsi="Arial" w:cs="Arial"/>
          <w:color w:val="000000" w:themeColor="text1"/>
          <w:sz w:val="22"/>
          <w:szCs w:val="22"/>
        </w:rPr>
        <w:t>m</w:t>
      </w:r>
      <w:r w:rsidRPr="009E35ED">
        <w:rPr>
          <w:rFonts w:ascii="Arial" w:hAnsi="Arial" w:cs="Arial"/>
          <w:color w:val="000000" w:themeColor="text1"/>
          <w:sz w:val="22"/>
          <w:szCs w:val="22"/>
        </w:rPr>
        <w:t xml:space="preserve">aterials for </w:t>
      </w:r>
      <w:r w:rsidR="00416DE8">
        <w:rPr>
          <w:rFonts w:ascii="Arial" w:hAnsi="Arial" w:cs="Arial"/>
          <w:color w:val="000000" w:themeColor="text1"/>
          <w:sz w:val="22"/>
          <w:szCs w:val="22"/>
        </w:rPr>
        <w:t>d</w:t>
      </w:r>
      <w:r w:rsidRPr="009E35ED">
        <w:rPr>
          <w:rFonts w:ascii="Arial" w:hAnsi="Arial" w:cs="Arial"/>
          <w:color w:val="000000" w:themeColor="text1"/>
          <w:sz w:val="22"/>
          <w:szCs w:val="22"/>
        </w:rPr>
        <w:t>istribution pertains to the Corporate Giveaways that were purchase for distribution.</w:t>
      </w:r>
    </w:p>
    <w:p w14:paraId="559C1317" w14:textId="77777777" w:rsidR="007B5670" w:rsidRPr="00D4035E" w:rsidRDefault="007B5670" w:rsidP="00803F8C">
      <w:pPr>
        <w:suppressAutoHyphens/>
        <w:ind w:left="0"/>
        <w:rPr>
          <w:rFonts w:ascii="Arial" w:hAnsi="Arial" w:cs="Arial"/>
          <w:color w:val="000000" w:themeColor="text1"/>
          <w:sz w:val="16"/>
          <w:szCs w:val="16"/>
        </w:rPr>
      </w:pPr>
    </w:p>
    <w:p w14:paraId="333BE9B6" w14:textId="5F8F2AEB" w:rsidR="006A4AF4" w:rsidRPr="009E35ED" w:rsidRDefault="006A4AF4" w:rsidP="00803F8C">
      <w:pPr>
        <w:suppressAutoHyphens/>
        <w:ind w:left="0"/>
        <w:rPr>
          <w:rFonts w:ascii="Arial" w:hAnsi="Arial" w:cs="Arial"/>
          <w:color w:val="000000" w:themeColor="text1"/>
          <w:sz w:val="22"/>
          <w:szCs w:val="22"/>
        </w:rPr>
      </w:pPr>
      <w:r w:rsidRPr="009E35ED">
        <w:rPr>
          <w:rFonts w:ascii="Arial" w:hAnsi="Arial" w:cs="Arial"/>
          <w:color w:val="000000" w:themeColor="text1"/>
          <w:sz w:val="22"/>
          <w:szCs w:val="22"/>
        </w:rPr>
        <w:t xml:space="preserve">The Office </w:t>
      </w:r>
      <w:r w:rsidR="00416DE8">
        <w:rPr>
          <w:rFonts w:ascii="Arial" w:hAnsi="Arial" w:cs="Arial"/>
          <w:color w:val="000000" w:themeColor="text1"/>
          <w:sz w:val="22"/>
          <w:szCs w:val="22"/>
        </w:rPr>
        <w:t>s</w:t>
      </w:r>
      <w:r w:rsidRPr="009E35ED">
        <w:rPr>
          <w:rFonts w:ascii="Arial" w:hAnsi="Arial" w:cs="Arial"/>
          <w:color w:val="000000" w:themeColor="text1"/>
          <w:sz w:val="22"/>
          <w:szCs w:val="22"/>
        </w:rPr>
        <w:t xml:space="preserve">upplies </w:t>
      </w:r>
      <w:r w:rsidR="00416DE8">
        <w:rPr>
          <w:rFonts w:ascii="Arial" w:hAnsi="Arial" w:cs="Arial"/>
          <w:color w:val="000000" w:themeColor="text1"/>
          <w:sz w:val="22"/>
          <w:szCs w:val="22"/>
        </w:rPr>
        <w:t>i</w:t>
      </w:r>
      <w:r w:rsidRPr="009E35ED">
        <w:rPr>
          <w:rFonts w:ascii="Arial" w:hAnsi="Arial" w:cs="Arial"/>
          <w:color w:val="000000" w:themeColor="text1"/>
          <w:sz w:val="22"/>
          <w:szCs w:val="22"/>
        </w:rPr>
        <w:t>nventory pertains to the cost of office supplies purchased/received for use in office operations.</w:t>
      </w:r>
    </w:p>
    <w:p w14:paraId="1C81C136" w14:textId="77777777" w:rsidR="006A4AF4" w:rsidRPr="009E35ED" w:rsidRDefault="006A4AF4" w:rsidP="00803F8C">
      <w:pPr>
        <w:suppressAutoHyphens/>
        <w:ind w:left="0"/>
        <w:rPr>
          <w:rFonts w:ascii="Arial" w:hAnsi="Arial" w:cs="Arial"/>
          <w:color w:val="000000" w:themeColor="text1"/>
          <w:sz w:val="22"/>
          <w:szCs w:val="22"/>
          <w:lang w:eastAsia="ar-SA"/>
        </w:rPr>
      </w:pPr>
    </w:p>
    <w:p w14:paraId="62EAE827" w14:textId="601F28A5" w:rsidR="00792525" w:rsidRPr="009E35ED" w:rsidRDefault="006A4AF4" w:rsidP="00803F8C">
      <w:pPr>
        <w:pStyle w:val="ListParagraph"/>
        <w:ind w:left="0"/>
        <w:contextualSpacing/>
        <w:rPr>
          <w:rFonts w:ascii="Arial" w:hAnsi="Arial" w:cs="Arial"/>
          <w:color w:val="000000" w:themeColor="text1"/>
          <w:sz w:val="22"/>
          <w:szCs w:val="22"/>
          <w:lang w:eastAsia="ar-SA"/>
        </w:rPr>
      </w:pPr>
      <w:r w:rsidRPr="009E35ED">
        <w:rPr>
          <w:rFonts w:ascii="Arial" w:hAnsi="Arial" w:cs="Arial"/>
          <w:color w:val="000000" w:themeColor="text1"/>
          <w:sz w:val="22"/>
          <w:szCs w:val="22"/>
          <w:lang w:eastAsia="ar-SA"/>
        </w:rPr>
        <w:t xml:space="preserve">Play/Bet </w:t>
      </w:r>
      <w:r w:rsidR="00416DE8">
        <w:rPr>
          <w:rFonts w:ascii="Arial" w:hAnsi="Arial" w:cs="Arial"/>
          <w:color w:val="000000" w:themeColor="text1"/>
          <w:sz w:val="22"/>
          <w:szCs w:val="22"/>
          <w:lang w:eastAsia="ar-SA"/>
        </w:rPr>
        <w:t>s</w:t>
      </w:r>
      <w:r w:rsidRPr="009E35ED">
        <w:rPr>
          <w:rFonts w:ascii="Arial" w:hAnsi="Arial" w:cs="Arial"/>
          <w:color w:val="000000" w:themeColor="text1"/>
          <w:sz w:val="22"/>
          <w:szCs w:val="22"/>
          <w:lang w:eastAsia="ar-SA"/>
        </w:rPr>
        <w:t xml:space="preserve">lips and </w:t>
      </w:r>
      <w:r w:rsidR="00416DE8">
        <w:rPr>
          <w:rFonts w:ascii="Arial" w:hAnsi="Arial" w:cs="Arial"/>
          <w:color w:val="000000" w:themeColor="text1"/>
          <w:sz w:val="22"/>
          <w:szCs w:val="22"/>
          <w:lang w:eastAsia="ar-SA"/>
        </w:rPr>
        <w:t>t</w:t>
      </w:r>
      <w:r w:rsidRPr="009E35ED">
        <w:rPr>
          <w:rFonts w:ascii="Arial" w:hAnsi="Arial" w:cs="Arial"/>
          <w:color w:val="000000" w:themeColor="text1"/>
          <w:sz w:val="22"/>
          <w:szCs w:val="22"/>
          <w:lang w:eastAsia="ar-SA"/>
        </w:rPr>
        <w:t xml:space="preserve">hermal </w:t>
      </w:r>
      <w:r w:rsidR="00416DE8">
        <w:rPr>
          <w:rFonts w:ascii="Arial" w:hAnsi="Arial" w:cs="Arial"/>
          <w:color w:val="000000" w:themeColor="text1"/>
          <w:sz w:val="22"/>
          <w:szCs w:val="22"/>
          <w:lang w:eastAsia="ar-SA"/>
        </w:rPr>
        <w:t>r</w:t>
      </w:r>
      <w:r w:rsidR="00A6193F" w:rsidRPr="009E35ED">
        <w:rPr>
          <w:rFonts w:ascii="Arial" w:hAnsi="Arial" w:cs="Arial"/>
          <w:color w:val="000000" w:themeColor="text1"/>
          <w:sz w:val="22"/>
          <w:szCs w:val="22"/>
          <w:lang w:eastAsia="ar-SA"/>
        </w:rPr>
        <w:t xml:space="preserve">olls </w:t>
      </w:r>
      <w:r w:rsidR="00416DE8">
        <w:rPr>
          <w:rFonts w:ascii="Arial" w:hAnsi="Arial" w:cs="Arial"/>
          <w:color w:val="000000" w:themeColor="text1"/>
          <w:sz w:val="22"/>
          <w:szCs w:val="22"/>
          <w:lang w:eastAsia="ar-SA"/>
        </w:rPr>
        <w:t>i</w:t>
      </w:r>
      <w:r w:rsidR="00A6193F" w:rsidRPr="009E35ED">
        <w:rPr>
          <w:rFonts w:ascii="Arial" w:hAnsi="Arial" w:cs="Arial"/>
          <w:color w:val="000000" w:themeColor="text1"/>
          <w:sz w:val="22"/>
          <w:szCs w:val="22"/>
          <w:lang w:eastAsia="ar-SA"/>
        </w:rPr>
        <w:t xml:space="preserve">nventory and Other </w:t>
      </w:r>
      <w:r w:rsidR="00416DE8">
        <w:rPr>
          <w:rFonts w:ascii="Arial" w:hAnsi="Arial" w:cs="Arial"/>
          <w:color w:val="000000" w:themeColor="text1"/>
          <w:sz w:val="22"/>
          <w:szCs w:val="22"/>
          <w:lang w:eastAsia="ar-SA"/>
        </w:rPr>
        <w:t>s</w:t>
      </w:r>
      <w:r w:rsidR="00A6193F" w:rsidRPr="009E35ED">
        <w:rPr>
          <w:rFonts w:ascii="Arial" w:hAnsi="Arial" w:cs="Arial"/>
          <w:color w:val="000000" w:themeColor="text1"/>
          <w:sz w:val="22"/>
          <w:szCs w:val="22"/>
          <w:lang w:eastAsia="ar-SA"/>
        </w:rPr>
        <w:t xml:space="preserve">upplies and </w:t>
      </w:r>
      <w:r w:rsidR="00416DE8">
        <w:rPr>
          <w:rFonts w:ascii="Arial" w:hAnsi="Arial" w:cs="Arial"/>
          <w:color w:val="000000" w:themeColor="text1"/>
          <w:sz w:val="22"/>
          <w:szCs w:val="22"/>
          <w:lang w:eastAsia="ar-SA"/>
        </w:rPr>
        <w:t>m</w:t>
      </w:r>
      <w:r w:rsidR="00A6193F" w:rsidRPr="009E35ED">
        <w:rPr>
          <w:rFonts w:ascii="Arial" w:hAnsi="Arial" w:cs="Arial"/>
          <w:color w:val="000000" w:themeColor="text1"/>
          <w:sz w:val="22"/>
          <w:szCs w:val="22"/>
          <w:lang w:eastAsia="ar-SA"/>
        </w:rPr>
        <w:t xml:space="preserve">aterials </w:t>
      </w:r>
      <w:r w:rsidR="00416DE8">
        <w:rPr>
          <w:rFonts w:ascii="Arial" w:hAnsi="Arial" w:cs="Arial"/>
          <w:color w:val="000000" w:themeColor="text1"/>
          <w:sz w:val="22"/>
          <w:szCs w:val="22"/>
          <w:lang w:eastAsia="ar-SA"/>
        </w:rPr>
        <w:t>i</w:t>
      </w:r>
      <w:r w:rsidR="00A6193F" w:rsidRPr="009E35ED">
        <w:rPr>
          <w:rFonts w:ascii="Arial" w:hAnsi="Arial" w:cs="Arial"/>
          <w:color w:val="000000" w:themeColor="text1"/>
          <w:sz w:val="22"/>
          <w:szCs w:val="22"/>
          <w:lang w:eastAsia="ar-SA"/>
        </w:rPr>
        <w:t xml:space="preserve">nventory </w:t>
      </w:r>
      <w:r w:rsidRPr="009E35ED">
        <w:rPr>
          <w:rFonts w:ascii="Arial" w:hAnsi="Arial" w:cs="Arial"/>
          <w:color w:val="000000" w:themeColor="text1"/>
          <w:sz w:val="22"/>
          <w:szCs w:val="22"/>
          <w:lang w:eastAsia="ar-SA"/>
        </w:rPr>
        <w:t>consist of lotto supplies used in betting for various lotto games.</w:t>
      </w:r>
    </w:p>
    <w:p w14:paraId="562E06FF" w14:textId="1A232D2A" w:rsidR="000525B5" w:rsidRPr="00D4035E" w:rsidRDefault="000525B5" w:rsidP="00803F8C">
      <w:pPr>
        <w:pStyle w:val="ListParagraph"/>
        <w:ind w:left="0"/>
        <w:contextualSpacing/>
        <w:rPr>
          <w:rFonts w:ascii="Arial" w:hAnsi="Arial" w:cs="Arial"/>
          <w:color w:val="000000" w:themeColor="text1"/>
          <w:sz w:val="16"/>
          <w:szCs w:val="16"/>
          <w:lang w:eastAsia="ar-SA"/>
        </w:rPr>
      </w:pPr>
    </w:p>
    <w:p w14:paraId="5288746E" w14:textId="6D593840" w:rsidR="000525B5" w:rsidRPr="009E35ED" w:rsidRDefault="006531D9" w:rsidP="00803F8C">
      <w:pPr>
        <w:pStyle w:val="ListParagraph"/>
        <w:ind w:left="0"/>
        <w:contextualSpacing/>
        <w:rPr>
          <w:rFonts w:ascii="Arial" w:hAnsi="Arial" w:cs="Arial"/>
          <w:color w:val="000000" w:themeColor="text1"/>
          <w:sz w:val="22"/>
          <w:szCs w:val="22"/>
          <w:lang w:eastAsia="ar-SA"/>
        </w:rPr>
      </w:pPr>
      <w:r w:rsidRPr="009E35ED">
        <w:rPr>
          <w:rFonts w:ascii="Arial" w:hAnsi="Arial" w:cs="Arial"/>
          <w:color w:val="000000" w:themeColor="text1"/>
          <w:sz w:val="22"/>
          <w:szCs w:val="22"/>
          <w:lang w:eastAsia="ar-SA"/>
        </w:rPr>
        <w:t>Semi-</w:t>
      </w:r>
      <w:r w:rsidR="00416DE8">
        <w:rPr>
          <w:rFonts w:ascii="Arial" w:hAnsi="Arial" w:cs="Arial"/>
          <w:color w:val="000000" w:themeColor="text1"/>
          <w:sz w:val="22"/>
          <w:szCs w:val="22"/>
          <w:lang w:eastAsia="ar-SA"/>
        </w:rPr>
        <w:t>e</w:t>
      </w:r>
      <w:r w:rsidRPr="009E35ED">
        <w:rPr>
          <w:rFonts w:ascii="Arial" w:hAnsi="Arial" w:cs="Arial"/>
          <w:color w:val="000000" w:themeColor="text1"/>
          <w:sz w:val="22"/>
          <w:szCs w:val="22"/>
          <w:lang w:eastAsia="ar-SA"/>
        </w:rPr>
        <w:t xml:space="preserve">xpendable properties </w:t>
      </w:r>
      <w:r w:rsidR="002B211D" w:rsidRPr="009E35ED">
        <w:rPr>
          <w:rFonts w:ascii="Arial" w:hAnsi="Arial" w:cs="Arial"/>
          <w:color w:val="000000" w:themeColor="text1"/>
          <w:sz w:val="22"/>
          <w:szCs w:val="22"/>
          <w:lang w:eastAsia="ar-SA"/>
        </w:rPr>
        <w:t>pertain</w:t>
      </w:r>
      <w:r w:rsidRPr="009E35ED">
        <w:rPr>
          <w:rFonts w:ascii="Arial" w:hAnsi="Arial" w:cs="Arial"/>
          <w:color w:val="000000" w:themeColor="text1"/>
          <w:sz w:val="22"/>
          <w:szCs w:val="22"/>
          <w:lang w:eastAsia="ar-SA"/>
        </w:rPr>
        <w:t xml:space="preserve"> to tangible items which meet the definition and recognition criteria of Property, </w:t>
      </w:r>
      <w:r w:rsidR="00416DE8">
        <w:rPr>
          <w:rFonts w:ascii="Arial" w:hAnsi="Arial" w:cs="Arial"/>
          <w:color w:val="000000" w:themeColor="text1"/>
          <w:sz w:val="22"/>
          <w:szCs w:val="22"/>
          <w:lang w:eastAsia="ar-SA"/>
        </w:rPr>
        <w:t>p</w:t>
      </w:r>
      <w:r w:rsidRPr="009E35ED">
        <w:rPr>
          <w:rFonts w:ascii="Arial" w:hAnsi="Arial" w:cs="Arial"/>
          <w:color w:val="000000" w:themeColor="text1"/>
          <w:sz w:val="22"/>
          <w:szCs w:val="22"/>
          <w:lang w:eastAsia="ar-SA"/>
        </w:rPr>
        <w:t xml:space="preserve">lant and </w:t>
      </w:r>
      <w:r w:rsidR="00416DE8">
        <w:rPr>
          <w:rFonts w:ascii="Arial" w:hAnsi="Arial" w:cs="Arial"/>
          <w:color w:val="000000" w:themeColor="text1"/>
          <w:sz w:val="22"/>
          <w:szCs w:val="22"/>
          <w:lang w:eastAsia="ar-SA"/>
        </w:rPr>
        <w:t>e</w:t>
      </w:r>
      <w:r w:rsidRPr="009E35ED">
        <w:rPr>
          <w:rFonts w:ascii="Arial" w:hAnsi="Arial" w:cs="Arial"/>
          <w:color w:val="000000" w:themeColor="text1"/>
          <w:sz w:val="22"/>
          <w:szCs w:val="22"/>
          <w:lang w:eastAsia="ar-SA"/>
        </w:rPr>
        <w:t>quipment, but below the capitalization threshold of P50,000.00 in accordance with the provisions indicated in COA Circular No. 2022-004 dated May 31, 2022.</w:t>
      </w:r>
    </w:p>
    <w:p w14:paraId="05D098DD" w14:textId="77777777" w:rsidR="000525B5" w:rsidRPr="009E35ED" w:rsidRDefault="000525B5" w:rsidP="00803F8C">
      <w:pPr>
        <w:pStyle w:val="ListParagraph"/>
        <w:ind w:left="0"/>
        <w:contextualSpacing/>
        <w:rPr>
          <w:rFonts w:ascii="Arial" w:hAnsi="Arial" w:cs="Arial"/>
          <w:color w:val="000000" w:themeColor="text1"/>
          <w:sz w:val="22"/>
          <w:szCs w:val="22"/>
          <w:lang w:eastAsia="ar-SA"/>
        </w:rPr>
      </w:pPr>
    </w:p>
    <w:p w14:paraId="054C7C41" w14:textId="77777777" w:rsidR="003158E0" w:rsidRPr="009E35ED" w:rsidRDefault="003158E0" w:rsidP="00803F8C">
      <w:pPr>
        <w:pStyle w:val="ListParagraph"/>
        <w:ind w:left="0"/>
        <w:contextualSpacing/>
        <w:rPr>
          <w:rFonts w:ascii="Arial" w:hAnsi="Arial" w:cs="Arial"/>
          <w:b/>
          <w:color w:val="000000" w:themeColor="text1"/>
          <w:sz w:val="22"/>
          <w:szCs w:val="22"/>
        </w:rPr>
      </w:pPr>
    </w:p>
    <w:p w14:paraId="623A9D44" w14:textId="77777777" w:rsidR="00A577B7" w:rsidRDefault="00A577B7" w:rsidP="001C371F">
      <w:pPr>
        <w:pStyle w:val="ListParagraph"/>
        <w:numPr>
          <w:ilvl w:val="0"/>
          <w:numId w:val="13"/>
        </w:numPr>
        <w:ind w:left="720" w:hanging="720"/>
        <w:contextualSpacing/>
        <w:rPr>
          <w:rFonts w:ascii="Arial" w:hAnsi="Arial" w:cs="Arial"/>
          <w:b/>
          <w:color w:val="000000" w:themeColor="text1"/>
          <w:sz w:val="22"/>
          <w:szCs w:val="22"/>
        </w:rPr>
      </w:pPr>
      <w:r w:rsidRPr="009E35ED">
        <w:rPr>
          <w:rFonts w:ascii="Arial" w:hAnsi="Arial" w:cs="Arial"/>
          <w:b/>
          <w:color w:val="000000" w:themeColor="text1"/>
          <w:sz w:val="22"/>
          <w:szCs w:val="22"/>
        </w:rPr>
        <w:t>OTHER CURRENT ASSETS</w:t>
      </w:r>
    </w:p>
    <w:p w14:paraId="4B01C7AC" w14:textId="77777777" w:rsidR="005A0ECA" w:rsidRPr="009E35ED" w:rsidRDefault="005A0ECA" w:rsidP="005A0ECA">
      <w:pPr>
        <w:pStyle w:val="ListParagraph"/>
        <w:contextualSpacing/>
        <w:rPr>
          <w:rFonts w:ascii="Arial" w:hAnsi="Arial" w:cs="Arial"/>
          <w:b/>
          <w:color w:val="000000" w:themeColor="text1"/>
          <w:sz w:val="22"/>
          <w:szCs w:val="22"/>
        </w:rPr>
      </w:pPr>
    </w:p>
    <w:tbl>
      <w:tblPr>
        <w:tblW w:w="8706" w:type="dxa"/>
        <w:tblLook w:val="04A0" w:firstRow="1" w:lastRow="0" w:firstColumn="1" w:lastColumn="0" w:noHBand="0" w:noVBand="1"/>
      </w:tblPr>
      <w:tblGrid>
        <w:gridCol w:w="4962"/>
        <w:gridCol w:w="1652"/>
        <w:gridCol w:w="2092"/>
      </w:tblGrid>
      <w:tr w:rsidR="00997F75" w:rsidRPr="009E35ED" w14:paraId="50389D46" w14:textId="77777777" w:rsidTr="00B90388">
        <w:trPr>
          <w:trHeight w:val="268"/>
        </w:trPr>
        <w:tc>
          <w:tcPr>
            <w:tcW w:w="4962" w:type="dxa"/>
            <w:tcBorders>
              <w:top w:val="single" w:sz="4" w:space="0" w:color="auto"/>
              <w:left w:val="nil"/>
              <w:bottom w:val="nil"/>
              <w:right w:val="nil"/>
            </w:tcBorders>
            <w:shd w:val="clear" w:color="auto" w:fill="auto"/>
            <w:noWrap/>
            <w:vAlign w:val="bottom"/>
            <w:hideMark/>
          </w:tcPr>
          <w:p w14:paraId="390C18A8" w14:textId="7EB78C13" w:rsidR="00291D7A" w:rsidRPr="009E35ED" w:rsidRDefault="00291D7A" w:rsidP="003630AE">
            <w:pPr>
              <w:ind w:left="0"/>
              <w:jc w:val="left"/>
              <w:rPr>
                <w:color w:val="000000" w:themeColor="text1"/>
                <w:sz w:val="22"/>
                <w:szCs w:val="22"/>
              </w:rPr>
            </w:pPr>
          </w:p>
        </w:tc>
        <w:tc>
          <w:tcPr>
            <w:tcW w:w="1652" w:type="dxa"/>
            <w:tcBorders>
              <w:top w:val="single" w:sz="4" w:space="0" w:color="auto"/>
              <w:left w:val="nil"/>
              <w:bottom w:val="nil"/>
              <w:right w:val="nil"/>
            </w:tcBorders>
            <w:shd w:val="clear" w:color="auto" w:fill="auto"/>
            <w:noWrap/>
            <w:vAlign w:val="bottom"/>
            <w:hideMark/>
          </w:tcPr>
          <w:p w14:paraId="201AB92E" w14:textId="2D284715" w:rsidR="003630AE" w:rsidRPr="009E35ED" w:rsidRDefault="003630AE" w:rsidP="003630AE">
            <w:pPr>
              <w:ind w:left="0"/>
              <w:jc w:val="right"/>
              <w:rPr>
                <w:rFonts w:ascii="Arial Narrow" w:hAnsi="Arial Narrow" w:cs="Calibri"/>
                <w:b/>
                <w:bCs/>
                <w:color w:val="000000" w:themeColor="text1"/>
                <w:sz w:val="22"/>
                <w:szCs w:val="22"/>
              </w:rPr>
            </w:pPr>
          </w:p>
        </w:tc>
        <w:tc>
          <w:tcPr>
            <w:tcW w:w="2092" w:type="dxa"/>
            <w:tcBorders>
              <w:top w:val="single" w:sz="4" w:space="0" w:color="auto"/>
              <w:left w:val="nil"/>
              <w:bottom w:val="nil"/>
              <w:right w:val="nil"/>
            </w:tcBorders>
            <w:shd w:val="clear" w:color="auto" w:fill="auto"/>
            <w:noWrap/>
            <w:vAlign w:val="bottom"/>
            <w:hideMark/>
          </w:tcPr>
          <w:p w14:paraId="3C3ECC83" w14:textId="7DD2B6F3" w:rsidR="003630AE" w:rsidRPr="009E35ED" w:rsidRDefault="003F591D" w:rsidP="005A0ECA">
            <w:pPr>
              <w:ind w:left="0" w:right="-84"/>
              <w:jc w:val="right"/>
              <w:rPr>
                <w:rFonts w:ascii="Arial Narrow" w:hAnsi="Arial Narrow" w:cs="Calibri"/>
                <w:b/>
                <w:bCs/>
                <w:color w:val="000000" w:themeColor="text1"/>
                <w:sz w:val="22"/>
                <w:szCs w:val="22"/>
              </w:rPr>
            </w:pPr>
            <w:r w:rsidRPr="009E35ED">
              <w:rPr>
                <w:rFonts w:ascii="Arial Narrow" w:hAnsi="Arial Narrow" w:cs="Calibri"/>
                <w:b/>
                <w:bCs/>
                <w:color w:val="000000" w:themeColor="text1"/>
                <w:sz w:val="22"/>
                <w:szCs w:val="22"/>
              </w:rPr>
              <w:t>202</w:t>
            </w:r>
            <w:r w:rsidR="00B81D23" w:rsidRPr="009E35ED">
              <w:rPr>
                <w:rFonts w:ascii="Arial Narrow" w:hAnsi="Arial Narrow" w:cs="Calibri"/>
                <w:b/>
                <w:bCs/>
                <w:color w:val="000000" w:themeColor="text1"/>
                <w:sz w:val="22"/>
                <w:szCs w:val="22"/>
              </w:rPr>
              <w:t>2</w:t>
            </w:r>
          </w:p>
        </w:tc>
      </w:tr>
      <w:tr w:rsidR="00997F75" w:rsidRPr="009E35ED" w14:paraId="5D36D048" w14:textId="77777777" w:rsidTr="00B90388">
        <w:trPr>
          <w:trHeight w:val="162"/>
        </w:trPr>
        <w:tc>
          <w:tcPr>
            <w:tcW w:w="4962" w:type="dxa"/>
            <w:tcBorders>
              <w:top w:val="nil"/>
              <w:left w:val="nil"/>
              <w:bottom w:val="single" w:sz="4" w:space="0" w:color="auto"/>
              <w:right w:val="nil"/>
            </w:tcBorders>
            <w:shd w:val="clear" w:color="auto" w:fill="auto"/>
            <w:noWrap/>
            <w:vAlign w:val="bottom"/>
            <w:hideMark/>
          </w:tcPr>
          <w:p w14:paraId="26F65E8C" w14:textId="77777777" w:rsidR="003630AE" w:rsidRPr="009E35ED" w:rsidRDefault="003630AE" w:rsidP="003630AE">
            <w:pPr>
              <w:ind w:left="0"/>
              <w:jc w:val="center"/>
              <w:rPr>
                <w:rFonts w:ascii="Arial Narrow" w:hAnsi="Arial Narrow" w:cs="Calibri"/>
                <w:b/>
                <w:bCs/>
                <w:color w:val="000000" w:themeColor="text1"/>
                <w:sz w:val="22"/>
                <w:szCs w:val="22"/>
              </w:rPr>
            </w:pPr>
            <w:r w:rsidRPr="009E35ED">
              <w:rPr>
                <w:rFonts w:ascii="Arial Narrow" w:hAnsi="Arial Narrow" w:cs="Calibri"/>
                <w:b/>
                <w:bCs/>
                <w:color w:val="000000" w:themeColor="text1"/>
                <w:sz w:val="22"/>
                <w:szCs w:val="22"/>
              </w:rPr>
              <w:t> </w:t>
            </w:r>
          </w:p>
        </w:tc>
        <w:tc>
          <w:tcPr>
            <w:tcW w:w="1652" w:type="dxa"/>
            <w:tcBorders>
              <w:top w:val="nil"/>
              <w:left w:val="nil"/>
              <w:bottom w:val="single" w:sz="4" w:space="0" w:color="auto"/>
              <w:right w:val="nil"/>
            </w:tcBorders>
            <w:shd w:val="clear" w:color="auto" w:fill="auto"/>
            <w:noWrap/>
            <w:vAlign w:val="bottom"/>
            <w:hideMark/>
          </w:tcPr>
          <w:p w14:paraId="5495EBB6" w14:textId="45ACED41" w:rsidR="003630AE" w:rsidRPr="009E35ED" w:rsidRDefault="003630AE" w:rsidP="003630AE">
            <w:pPr>
              <w:ind w:left="0"/>
              <w:jc w:val="right"/>
              <w:rPr>
                <w:rFonts w:ascii="Arial Narrow" w:hAnsi="Arial Narrow" w:cs="Calibri"/>
                <w:b/>
                <w:bCs/>
                <w:color w:val="000000" w:themeColor="text1"/>
                <w:sz w:val="22"/>
                <w:szCs w:val="22"/>
              </w:rPr>
            </w:pPr>
            <w:r w:rsidRPr="009E35ED">
              <w:rPr>
                <w:rFonts w:ascii="Arial Narrow" w:hAnsi="Arial Narrow" w:cs="Calibri"/>
                <w:b/>
                <w:bCs/>
                <w:color w:val="000000" w:themeColor="text1"/>
                <w:sz w:val="22"/>
                <w:szCs w:val="22"/>
              </w:rPr>
              <w:t> </w:t>
            </w:r>
            <w:r w:rsidR="00B81D23" w:rsidRPr="009E35ED">
              <w:rPr>
                <w:rFonts w:ascii="Arial Narrow" w:hAnsi="Arial Narrow" w:cs="Calibri"/>
                <w:b/>
                <w:bCs/>
                <w:color w:val="000000" w:themeColor="text1"/>
                <w:sz w:val="22"/>
                <w:szCs w:val="22"/>
              </w:rPr>
              <w:t>2023</w:t>
            </w:r>
          </w:p>
        </w:tc>
        <w:tc>
          <w:tcPr>
            <w:tcW w:w="2092" w:type="dxa"/>
            <w:tcBorders>
              <w:top w:val="nil"/>
              <w:left w:val="nil"/>
              <w:bottom w:val="single" w:sz="4" w:space="0" w:color="auto"/>
              <w:right w:val="nil"/>
            </w:tcBorders>
            <w:shd w:val="clear" w:color="auto" w:fill="auto"/>
            <w:noWrap/>
            <w:vAlign w:val="bottom"/>
            <w:hideMark/>
          </w:tcPr>
          <w:p w14:paraId="16809091" w14:textId="2AF7EB87" w:rsidR="003630AE" w:rsidRPr="009E35ED" w:rsidRDefault="0031351D" w:rsidP="005A0ECA">
            <w:pPr>
              <w:ind w:left="0" w:right="-84"/>
              <w:jc w:val="right"/>
              <w:rPr>
                <w:rFonts w:ascii="Arial Narrow" w:hAnsi="Arial Narrow" w:cs="Calibri"/>
                <w:b/>
                <w:bCs/>
                <w:color w:val="000000" w:themeColor="text1"/>
                <w:sz w:val="22"/>
                <w:szCs w:val="22"/>
              </w:rPr>
            </w:pPr>
            <w:r w:rsidRPr="009E35ED">
              <w:rPr>
                <w:rFonts w:ascii="Arial Narrow" w:hAnsi="Arial Narrow" w:cs="Calibri"/>
                <w:b/>
                <w:bCs/>
                <w:color w:val="000000" w:themeColor="text1"/>
                <w:sz w:val="22"/>
                <w:szCs w:val="22"/>
              </w:rPr>
              <w:t>As Restated</w:t>
            </w:r>
            <w:r w:rsidR="003630AE" w:rsidRPr="009E35ED">
              <w:rPr>
                <w:rFonts w:ascii="Arial Narrow" w:hAnsi="Arial Narrow" w:cs="Calibri"/>
                <w:b/>
                <w:bCs/>
                <w:color w:val="000000" w:themeColor="text1"/>
                <w:sz w:val="22"/>
                <w:szCs w:val="22"/>
              </w:rPr>
              <w:t xml:space="preserve"> </w:t>
            </w:r>
          </w:p>
        </w:tc>
      </w:tr>
      <w:tr w:rsidR="00997F75" w:rsidRPr="009E35ED" w14:paraId="04F2D4D7" w14:textId="77777777" w:rsidTr="00B90388">
        <w:trPr>
          <w:trHeight w:val="268"/>
        </w:trPr>
        <w:tc>
          <w:tcPr>
            <w:tcW w:w="4962" w:type="dxa"/>
            <w:tcBorders>
              <w:top w:val="nil"/>
              <w:left w:val="nil"/>
              <w:bottom w:val="nil"/>
              <w:right w:val="nil"/>
            </w:tcBorders>
            <w:shd w:val="clear" w:color="auto" w:fill="auto"/>
            <w:noWrap/>
            <w:vAlign w:val="bottom"/>
            <w:hideMark/>
          </w:tcPr>
          <w:p w14:paraId="1AE1508C" w14:textId="00A7FF44" w:rsidR="00BD0699" w:rsidRPr="009E35ED" w:rsidRDefault="00BD0699">
            <w:pPr>
              <w:ind w:left="-108"/>
              <w:jc w:val="left"/>
              <w:rPr>
                <w:rFonts w:ascii="Arial Narrow" w:hAnsi="Arial Narrow" w:cs="Calibri"/>
                <w:color w:val="000000" w:themeColor="text1"/>
                <w:sz w:val="22"/>
                <w:szCs w:val="22"/>
              </w:rPr>
            </w:pPr>
            <w:r w:rsidRPr="009E35ED">
              <w:rPr>
                <w:rFonts w:ascii="Arial Narrow" w:hAnsi="Arial Narrow" w:cs="Calibri"/>
                <w:color w:val="000000" w:themeColor="text1"/>
                <w:sz w:val="22"/>
                <w:szCs w:val="22"/>
              </w:rPr>
              <w:t xml:space="preserve">Advances for </w:t>
            </w:r>
            <w:r w:rsidR="00415CD8">
              <w:rPr>
                <w:rFonts w:ascii="Arial Narrow" w:hAnsi="Arial Narrow" w:cs="Calibri"/>
                <w:color w:val="000000" w:themeColor="text1"/>
                <w:sz w:val="22"/>
                <w:szCs w:val="22"/>
              </w:rPr>
              <w:t>p</w:t>
            </w:r>
            <w:r w:rsidRPr="009E35ED">
              <w:rPr>
                <w:rFonts w:ascii="Arial Narrow" w:hAnsi="Arial Narrow" w:cs="Calibri"/>
                <w:color w:val="000000" w:themeColor="text1"/>
                <w:sz w:val="22"/>
                <w:szCs w:val="22"/>
              </w:rPr>
              <w:t>ayroll</w:t>
            </w:r>
          </w:p>
        </w:tc>
        <w:tc>
          <w:tcPr>
            <w:tcW w:w="1652" w:type="dxa"/>
            <w:tcBorders>
              <w:top w:val="nil"/>
              <w:left w:val="nil"/>
              <w:bottom w:val="nil"/>
              <w:right w:val="nil"/>
            </w:tcBorders>
            <w:shd w:val="clear" w:color="auto" w:fill="auto"/>
            <w:noWrap/>
          </w:tcPr>
          <w:p w14:paraId="50DBBE09" w14:textId="59996C65" w:rsidR="00BD0699" w:rsidRPr="009E35ED" w:rsidRDefault="00BD0699" w:rsidP="00BD0699">
            <w:pPr>
              <w:ind w:left="0"/>
              <w:jc w:val="right"/>
              <w:rPr>
                <w:rFonts w:ascii="Arial Narrow" w:hAnsi="Arial Narrow" w:cs="Calibri"/>
                <w:color w:val="000000" w:themeColor="text1"/>
                <w:sz w:val="22"/>
                <w:szCs w:val="22"/>
              </w:rPr>
            </w:pPr>
            <w:r w:rsidRPr="009E35ED">
              <w:rPr>
                <w:rFonts w:ascii="Arial Narrow" w:hAnsi="Arial Narrow"/>
                <w:color w:val="000000" w:themeColor="text1"/>
                <w:sz w:val="22"/>
                <w:szCs w:val="22"/>
              </w:rPr>
              <w:t xml:space="preserve"> 6,337,245 </w:t>
            </w:r>
          </w:p>
        </w:tc>
        <w:tc>
          <w:tcPr>
            <w:tcW w:w="2092" w:type="dxa"/>
            <w:tcBorders>
              <w:top w:val="nil"/>
              <w:left w:val="nil"/>
              <w:bottom w:val="nil"/>
              <w:right w:val="nil"/>
            </w:tcBorders>
            <w:shd w:val="clear" w:color="auto" w:fill="auto"/>
            <w:noWrap/>
            <w:hideMark/>
          </w:tcPr>
          <w:p w14:paraId="19163B6F" w14:textId="5C1D353E" w:rsidR="00BD0699" w:rsidRPr="009E35ED" w:rsidRDefault="00BD0699" w:rsidP="005A0ECA">
            <w:pPr>
              <w:ind w:left="0" w:right="-84"/>
              <w:jc w:val="right"/>
              <w:rPr>
                <w:rFonts w:ascii="Arial Narrow" w:hAnsi="Arial Narrow" w:cs="Calibri"/>
                <w:color w:val="000000" w:themeColor="text1"/>
                <w:sz w:val="22"/>
                <w:szCs w:val="22"/>
              </w:rPr>
            </w:pPr>
            <w:r w:rsidRPr="009E35ED">
              <w:rPr>
                <w:rFonts w:ascii="Arial Narrow" w:hAnsi="Arial Narrow"/>
                <w:color w:val="000000" w:themeColor="text1"/>
                <w:sz w:val="22"/>
                <w:szCs w:val="22"/>
              </w:rPr>
              <w:t xml:space="preserve"> 169,931 </w:t>
            </w:r>
          </w:p>
        </w:tc>
      </w:tr>
      <w:tr w:rsidR="00997F75" w:rsidRPr="009E35ED" w14:paraId="1A4C5DF9" w14:textId="77777777" w:rsidTr="00B90388">
        <w:trPr>
          <w:trHeight w:val="268"/>
        </w:trPr>
        <w:tc>
          <w:tcPr>
            <w:tcW w:w="4962" w:type="dxa"/>
            <w:tcBorders>
              <w:top w:val="nil"/>
              <w:left w:val="nil"/>
              <w:bottom w:val="nil"/>
              <w:right w:val="nil"/>
            </w:tcBorders>
            <w:shd w:val="clear" w:color="auto" w:fill="auto"/>
            <w:noWrap/>
            <w:vAlign w:val="bottom"/>
            <w:hideMark/>
          </w:tcPr>
          <w:p w14:paraId="72DBE277" w14:textId="2572155C" w:rsidR="00BD0699" w:rsidRPr="009E35ED" w:rsidRDefault="00BD0699" w:rsidP="00D4035E">
            <w:pPr>
              <w:ind w:left="-108"/>
              <w:jc w:val="left"/>
              <w:rPr>
                <w:rFonts w:ascii="Arial Narrow" w:hAnsi="Arial Narrow" w:cs="Calibri"/>
                <w:color w:val="000000" w:themeColor="text1"/>
                <w:sz w:val="22"/>
                <w:szCs w:val="22"/>
              </w:rPr>
            </w:pPr>
            <w:r w:rsidRPr="009E35ED">
              <w:rPr>
                <w:rFonts w:ascii="Arial Narrow" w:hAnsi="Arial Narrow" w:cs="Calibri"/>
                <w:color w:val="000000" w:themeColor="text1"/>
                <w:sz w:val="22"/>
                <w:szCs w:val="22"/>
              </w:rPr>
              <w:t xml:space="preserve">Advances to </w:t>
            </w:r>
            <w:r w:rsidR="00415CD8">
              <w:rPr>
                <w:rFonts w:ascii="Arial Narrow" w:hAnsi="Arial Narrow" w:cs="Calibri"/>
                <w:color w:val="000000" w:themeColor="text1"/>
                <w:sz w:val="22"/>
                <w:szCs w:val="22"/>
              </w:rPr>
              <w:t>o</w:t>
            </w:r>
            <w:r w:rsidRPr="009E35ED">
              <w:rPr>
                <w:rFonts w:ascii="Arial Narrow" w:hAnsi="Arial Narrow" w:cs="Calibri"/>
                <w:color w:val="000000" w:themeColor="text1"/>
                <w:sz w:val="22"/>
                <w:szCs w:val="22"/>
              </w:rPr>
              <w:t xml:space="preserve">fficers and </w:t>
            </w:r>
            <w:r w:rsidR="00415CD8">
              <w:rPr>
                <w:rFonts w:ascii="Arial Narrow" w:hAnsi="Arial Narrow" w:cs="Calibri"/>
                <w:color w:val="000000" w:themeColor="text1"/>
                <w:sz w:val="22"/>
                <w:szCs w:val="22"/>
              </w:rPr>
              <w:t>e</w:t>
            </w:r>
            <w:r w:rsidRPr="009E35ED">
              <w:rPr>
                <w:rFonts w:ascii="Arial Narrow" w:hAnsi="Arial Narrow" w:cs="Calibri"/>
                <w:color w:val="000000" w:themeColor="text1"/>
                <w:sz w:val="22"/>
                <w:szCs w:val="22"/>
              </w:rPr>
              <w:t>mployees</w:t>
            </w:r>
          </w:p>
        </w:tc>
        <w:tc>
          <w:tcPr>
            <w:tcW w:w="1652" w:type="dxa"/>
            <w:tcBorders>
              <w:top w:val="nil"/>
              <w:left w:val="nil"/>
              <w:bottom w:val="nil"/>
              <w:right w:val="nil"/>
            </w:tcBorders>
            <w:shd w:val="clear" w:color="auto" w:fill="auto"/>
            <w:noWrap/>
          </w:tcPr>
          <w:p w14:paraId="788BEF6E" w14:textId="0853F889" w:rsidR="00BD0699" w:rsidRPr="009E35ED" w:rsidRDefault="00BD0699" w:rsidP="00BD0699">
            <w:pPr>
              <w:ind w:left="0"/>
              <w:jc w:val="right"/>
              <w:rPr>
                <w:rFonts w:ascii="Arial Narrow" w:hAnsi="Arial Narrow" w:cs="Calibri"/>
                <w:color w:val="000000" w:themeColor="text1"/>
                <w:sz w:val="22"/>
                <w:szCs w:val="22"/>
              </w:rPr>
            </w:pPr>
            <w:r w:rsidRPr="009E35ED">
              <w:rPr>
                <w:rFonts w:ascii="Arial Narrow" w:hAnsi="Arial Narrow"/>
                <w:color w:val="000000" w:themeColor="text1"/>
                <w:sz w:val="22"/>
                <w:szCs w:val="22"/>
              </w:rPr>
              <w:t xml:space="preserve"> </w:t>
            </w:r>
            <w:r w:rsidR="005A75A5" w:rsidRPr="009E35ED">
              <w:rPr>
                <w:rFonts w:ascii="Arial Narrow" w:hAnsi="Arial Narrow"/>
                <w:color w:val="000000" w:themeColor="text1"/>
                <w:sz w:val="22"/>
                <w:szCs w:val="22"/>
              </w:rPr>
              <w:t>5,091,554</w:t>
            </w:r>
            <w:r w:rsidRPr="009E35ED">
              <w:rPr>
                <w:rFonts w:ascii="Arial Narrow" w:hAnsi="Arial Narrow"/>
                <w:color w:val="000000" w:themeColor="text1"/>
                <w:sz w:val="22"/>
                <w:szCs w:val="22"/>
              </w:rPr>
              <w:t xml:space="preserve"> </w:t>
            </w:r>
          </w:p>
        </w:tc>
        <w:tc>
          <w:tcPr>
            <w:tcW w:w="2092" w:type="dxa"/>
            <w:tcBorders>
              <w:top w:val="nil"/>
              <w:left w:val="nil"/>
              <w:bottom w:val="nil"/>
              <w:right w:val="nil"/>
            </w:tcBorders>
            <w:shd w:val="clear" w:color="auto" w:fill="auto"/>
            <w:noWrap/>
            <w:hideMark/>
          </w:tcPr>
          <w:p w14:paraId="2B6D4713" w14:textId="1AABC1FA" w:rsidR="00BD0699" w:rsidRPr="009E35ED" w:rsidRDefault="00BD0699" w:rsidP="005A0ECA">
            <w:pPr>
              <w:ind w:left="0" w:right="-84"/>
              <w:jc w:val="right"/>
              <w:rPr>
                <w:rFonts w:ascii="Arial Narrow" w:hAnsi="Arial Narrow" w:cs="Calibri"/>
                <w:color w:val="000000" w:themeColor="text1"/>
                <w:sz w:val="22"/>
                <w:szCs w:val="22"/>
              </w:rPr>
            </w:pPr>
            <w:r w:rsidRPr="009E35ED">
              <w:rPr>
                <w:rFonts w:ascii="Arial Narrow" w:hAnsi="Arial Narrow"/>
                <w:color w:val="000000" w:themeColor="text1"/>
                <w:sz w:val="22"/>
                <w:szCs w:val="22"/>
              </w:rPr>
              <w:t xml:space="preserve"> </w:t>
            </w:r>
            <w:r w:rsidR="005A75A5" w:rsidRPr="009E35ED">
              <w:rPr>
                <w:rFonts w:ascii="Arial Narrow" w:hAnsi="Arial Narrow"/>
                <w:color w:val="000000" w:themeColor="text1"/>
                <w:sz w:val="22"/>
                <w:szCs w:val="22"/>
              </w:rPr>
              <w:t>4,390,679</w:t>
            </w:r>
            <w:r w:rsidR="00DD7022" w:rsidRPr="009E35ED">
              <w:rPr>
                <w:rFonts w:ascii="Arial Narrow" w:hAnsi="Arial Narrow"/>
                <w:color w:val="000000" w:themeColor="text1"/>
                <w:sz w:val="22"/>
                <w:szCs w:val="22"/>
              </w:rPr>
              <w:t xml:space="preserve"> </w:t>
            </w:r>
          </w:p>
        </w:tc>
      </w:tr>
      <w:tr w:rsidR="00997F75" w:rsidRPr="009E35ED" w14:paraId="4BBC943B" w14:textId="77777777" w:rsidTr="00B90388">
        <w:trPr>
          <w:trHeight w:val="268"/>
        </w:trPr>
        <w:tc>
          <w:tcPr>
            <w:tcW w:w="4962" w:type="dxa"/>
            <w:tcBorders>
              <w:top w:val="nil"/>
              <w:left w:val="nil"/>
              <w:bottom w:val="nil"/>
              <w:right w:val="nil"/>
            </w:tcBorders>
            <w:shd w:val="clear" w:color="auto" w:fill="auto"/>
            <w:noWrap/>
            <w:vAlign w:val="bottom"/>
            <w:hideMark/>
          </w:tcPr>
          <w:p w14:paraId="7EBDEA87" w14:textId="2EFEBE92" w:rsidR="00BD0699" w:rsidRPr="009E35ED" w:rsidRDefault="00BD0699" w:rsidP="00D4035E">
            <w:pPr>
              <w:ind w:left="-108"/>
              <w:jc w:val="left"/>
              <w:rPr>
                <w:rFonts w:ascii="Arial Narrow" w:hAnsi="Arial Narrow" w:cs="Calibri"/>
                <w:color w:val="000000" w:themeColor="text1"/>
                <w:sz w:val="22"/>
                <w:szCs w:val="22"/>
              </w:rPr>
            </w:pPr>
            <w:r w:rsidRPr="009E35ED">
              <w:rPr>
                <w:rFonts w:ascii="Arial Narrow" w:hAnsi="Arial Narrow" w:cs="Calibri"/>
                <w:color w:val="000000" w:themeColor="text1"/>
                <w:sz w:val="22"/>
                <w:szCs w:val="22"/>
              </w:rPr>
              <w:t xml:space="preserve">Advances for </w:t>
            </w:r>
            <w:r w:rsidR="00415CD8">
              <w:rPr>
                <w:rFonts w:ascii="Arial Narrow" w:hAnsi="Arial Narrow" w:cs="Calibri"/>
                <w:color w:val="000000" w:themeColor="text1"/>
                <w:sz w:val="22"/>
                <w:szCs w:val="22"/>
              </w:rPr>
              <w:t>o</w:t>
            </w:r>
            <w:r w:rsidRPr="009E35ED">
              <w:rPr>
                <w:rFonts w:ascii="Arial Narrow" w:hAnsi="Arial Narrow" w:cs="Calibri"/>
                <w:color w:val="000000" w:themeColor="text1"/>
                <w:sz w:val="22"/>
                <w:szCs w:val="22"/>
              </w:rPr>
              <w:t xml:space="preserve">perating </w:t>
            </w:r>
            <w:r w:rsidR="00415CD8">
              <w:rPr>
                <w:rFonts w:ascii="Arial Narrow" w:hAnsi="Arial Narrow" w:cs="Calibri"/>
                <w:color w:val="000000" w:themeColor="text1"/>
                <w:sz w:val="22"/>
                <w:szCs w:val="22"/>
              </w:rPr>
              <w:t>e</w:t>
            </w:r>
            <w:r w:rsidRPr="009E35ED">
              <w:rPr>
                <w:rFonts w:ascii="Arial Narrow" w:hAnsi="Arial Narrow" w:cs="Calibri"/>
                <w:color w:val="000000" w:themeColor="text1"/>
                <w:sz w:val="22"/>
                <w:szCs w:val="22"/>
              </w:rPr>
              <w:t>xpenses</w:t>
            </w:r>
          </w:p>
        </w:tc>
        <w:tc>
          <w:tcPr>
            <w:tcW w:w="1652" w:type="dxa"/>
            <w:tcBorders>
              <w:top w:val="nil"/>
              <w:left w:val="nil"/>
              <w:bottom w:val="nil"/>
              <w:right w:val="nil"/>
            </w:tcBorders>
            <w:shd w:val="clear" w:color="auto" w:fill="auto"/>
            <w:noWrap/>
          </w:tcPr>
          <w:p w14:paraId="56DB2B69" w14:textId="615D8E84" w:rsidR="00BD0699" w:rsidRPr="009E35ED" w:rsidRDefault="00BD0699" w:rsidP="00DD7022">
            <w:pPr>
              <w:ind w:left="0"/>
              <w:jc w:val="right"/>
              <w:rPr>
                <w:rFonts w:ascii="Arial Narrow" w:hAnsi="Arial Narrow" w:cs="Calibri"/>
                <w:color w:val="000000" w:themeColor="text1"/>
                <w:sz w:val="22"/>
                <w:szCs w:val="22"/>
              </w:rPr>
            </w:pPr>
            <w:r w:rsidRPr="009E35ED">
              <w:rPr>
                <w:rFonts w:ascii="Arial Narrow" w:hAnsi="Arial Narrow"/>
                <w:color w:val="000000" w:themeColor="text1"/>
                <w:sz w:val="22"/>
                <w:szCs w:val="22"/>
              </w:rPr>
              <w:t xml:space="preserve"> 7,249,</w:t>
            </w:r>
            <w:r w:rsidR="00DD7022" w:rsidRPr="009E35ED">
              <w:rPr>
                <w:rFonts w:ascii="Arial Narrow" w:hAnsi="Arial Narrow"/>
                <w:color w:val="000000" w:themeColor="text1"/>
                <w:sz w:val="22"/>
                <w:szCs w:val="22"/>
              </w:rPr>
              <w:t xml:space="preserve">266 </w:t>
            </w:r>
          </w:p>
        </w:tc>
        <w:tc>
          <w:tcPr>
            <w:tcW w:w="2092" w:type="dxa"/>
            <w:tcBorders>
              <w:top w:val="nil"/>
              <w:left w:val="nil"/>
              <w:bottom w:val="nil"/>
              <w:right w:val="nil"/>
            </w:tcBorders>
            <w:shd w:val="clear" w:color="auto" w:fill="auto"/>
            <w:noWrap/>
            <w:hideMark/>
          </w:tcPr>
          <w:p w14:paraId="311D4A6A" w14:textId="01829B7E" w:rsidR="00BD0699" w:rsidRPr="009E35ED" w:rsidRDefault="00BD0699" w:rsidP="005A0ECA">
            <w:pPr>
              <w:ind w:left="0" w:right="-84"/>
              <w:jc w:val="right"/>
              <w:rPr>
                <w:rFonts w:ascii="Arial Narrow" w:hAnsi="Arial Narrow" w:cs="Calibri"/>
                <w:color w:val="000000" w:themeColor="text1"/>
                <w:sz w:val="22"/>
                <w:szCs w:val="22"/>
              </w:rPr>
            </w:pPr>
            <w:r w:rsidRPr="009E35ED">
              <w:rPr>
                <w:rFonts w:ascii="Arial Narrow" w:hAnsi="Arial Narrow"/>
                <w:color w:val="000000" w:themeColor="text1"/>
                <w:sz w:val="22"/>
                <w:szCs w:val="22"/>
              </w:rPr>
              <w:t xml:space="preserve"> (3,534,92</w:t>
            </w:r>
            <w:r w:rsidR="00A6193F" w:rsidRPr="009E35ED">
              <w:rPr>
                <w:rFonts w:ascii="Arial Narrow" w:hAnsi="Arial Narrow"/>
                <w:color w:val="000000" w:themeColor="text1"/>
                <w:sz w:val="22"/>
                <w:szCs w:val="22"/>
              </w:rPr>
              <w:t>8</w:t>
            </w:r>
            <w:r w:rsidRPr="009E35ED">
              <w:rPr>
                <w:rFonts w:ascii="Arial Narrow" w:hAnsi="Arial Narrow"/>
                <w:color w:val="000000" w:themeColor="text1"/>
                <w:sz w:val="22"/>
                <w:szCs w:val="22"/>
              </w:rPr>
              <w:t>)</w:t>
            </w:r>
          </w:p>
        </w:tc>
      </w:tr>
      <w:tr w:rsidR="00997F75" w:rsidRPr="009E35ED" w14:paraId="29D5D18C" w14:textId="77777777" w:rsidTr="00B90388">
        <w:trPr>
          <w:trHeight w:val="268"/>
        </w:trPr>
        <w:tc>
          <w:tcPr>
            <w:tcW w:w="4962" w:type="dxa"/>
            <w:tcBorders>
              <w:top w:val="nil"/>
              <w:left w:val="nil"/>
              <w:bottom w:val="single" w:sz="4" w:space="0" w:color="auto"/>
              <w:right w:val="nil"/>
            </w:tcBorders>
            <w:shd w:val="clear" w:color="auto" w:fill="auto"/>
            <w:noWrap/>
            <w:vAlign w:val="bottom"/>
            <w:hideMark/>
          </w:tcPr>
          <w:p w14:paraId="1C8F7F77" w14:textId="307E218F" w:rsidR="00BD0699" w:rsidRPr="009E35ED" w:rsidRDefault="00BD0699" w:rsidP="00D4035E">
            <w:pPr>
              <w:ind w:left="-108"/>
              <w:jc w:val="left"/>
              <w:rPr>
                <w:rFonts w:ascii="Arial Narrow" w:hAnsi="Arial Narrow" w:cs="Calibri"/>
                <w:color w:val="000000" w:themeColor="text1"/>
                <w:sz w:val="22"/>
                <w:szCs w:val="22"/>
              </w:rPr>
            </w:pPr>
            <w:r w:rsidRPr="009E35ED">
              <w:rPr>
                <w:rFonts w:ascii="Arial Narrow" w:hAnsi="Arial Narrow" w:cs="Calibri"/>
                <w:color w:val="000000" w:themeColor="text1"/>
                <w:sz w:val="22"/>
                <w:szCs w:val="22"/>
              </w:rPr>
              <w:t xml:space="preserve">Advances to </w:t>
            </w:r>
            <w:r w:rsidR="00415CD8">
              <w:rPr>
                <w:rFonts w:ascii="Arial Narrow" w:hAnsi="Arial Narrow" w:cs="Calibri"/>
                <w:color w:val="000000" w:themeColor="text1"/>
                <w:sz w:val="22"/>
                <w:szCs w:val="22"/>
              </w:rPr>
              <w:t>s</w:t>
            </w:r>
            <w:r w:rsidRPr="009E35ED">
              <w:rPr>
                <w:rFonts w:ascii="Arial Narrow" w:hAnsi="Arial Narrow" w:cs="Calibri"/>
                <w:color w:val="000000" w:themeColor="text1"/>
                <w:sz w:val="22"/>
                <w:szCs w:val="22"/>
              </w:rPr>
              <w:t xml:space="preserve">pecial </w:t>
            </w:r>
            <w:r w:rsidR="00415CD8">
              <w:rPr>
                <w:rFonts w:ascii="Arial Narrow" w:hAnsi="Arial Narrow" w:cs="Calibri"/>
                <w:color w:val="000000" w:themeColor="text1"/>
                <w:sz w:val="22"/>
                <w:szCs w:val="22"/>
              </w:rPr>
              <w:t>d</w:t>
            </w:r>
            <w:r w:rsidRPr="009E35ED">
              <w:rPr>
                <w:rFonts w:ascii="Arial Narrow" w:hAnsi="Arial Narrow" w:cs="Calibri"/>
                <w:color w:val="000000" w:themeColor="text1"/>
                <w:sz w:val="22"/>
                <w:szCs w:val="22"/>
              </w:rPr>
              <w:t xml:space="preserve">isbursing </w:t>
            </w:r>
            <w:r w:rsidR="00415CD8">
              <w:rPr>
                <w:rFonts w:ascii="Arial Narrow" w:hAnsi="Arial Narrow" w:cs="Calibri"/>
                <w:color w:val="000000" w:themeColor="text1"/>
                <w:sz w:val="22"/>
                <w:szCs w:val="22"/>
              </w:rPr>
              <w:t>o</w:t>
            </w:r>
            <w:r w:rsidRPr="009E35ED">
              <w:rPr>
                <w:rFonts w:ascii="Arial Narrow" w:hAnsi="Arial Narrow" w:cs="Calibri"/>
                <w:color w:val="000000" w:themeColor="text1"/>
                <w:sz w:val="22"/>
                <w:szCs w:val="22"/>
              </w:rPr>
              <w:t>fficer</w:t>
            </w:r>
          </w:p>
        </w:tc>
        <w:tc>
          <w:tcPr>
            <w:tcW w:w="1652" w:type="dxa"/>
            <w:tcBorders>
              <w:top w:val="nil"/>
              <w:left w:val="nil"/>
              <w:bottom w:val="single" w:sz="4" w:space="0" w:color="auto"/>
              <w:right w:val="nil"/>
            </w:tcBorders>
            <w:shd w:val="clear" w:color="auto" w:fill="auto"/>
            <w:noWrap/>
          </w:tcPr>
          <w:p w14:paraId="4819BE83" w14:textId="05B73443" w:rsidR="00BD0699" w:rsidRPr="009E35ED" w:rsidRDefault="00BD0699" w:rsidP="00BD0699">
            <w:pPr>
              <w:ind w:left="0"/>
              <w:jc w:val="right"/>
              <w:rPr>
                <w:rFonts w:ascii="Arial Narrow" w:hAnsi="Arial Narrow" w:cs="Calibri"/>
                <w:color w:val="000000" w:themeColor="text1"/>
                <w:sz w:val="22"/>
                <w:szCs w:val="22"/>
              </w:rPr>
            </w:pPr>
            <w:r w:rsidRPr="009E35ED">
              <w:rPr>
                <w:rFonts w:ascii="Arial Narrow" w:hAnsi="Arial Narrow"/>
                <w:color w:val="000000" w:themeColor="text1"/>
                <w:sz w:val="22"/>
                <w:szCs w:val="22"/>
              </w:rPr>
              <w:t xml:space="preserve"> 1,073,586 </w:t>
            </w:r>
          </w:p>
        </w:tc>
        <w:tc>
          <w:tcPr>
            <w:tcW w:w="2092" w:type="dxa"/>
            <w:tcBorders>
              <w:top w:val="nil"/>
              <w:left w:val="nil"/>
              <w:bottom w:val="single" w:sz="4" w:space="0" w:color="auto"/>
              <w:right w:val="nil"/>
            </w:tcBorders>
            <w:shd w:val="clear" w:color="auto" w:fill="auto"/>
            <w:noWrap/>
            <w:hideMark/>
          </w:tcPr>
          <w:p w14:paraId="1EAE8FF8" w14:textId="6717D7F1" w:rsidR="00BD0699" w:rsidRPr="009E35ED" w:rsidRDefault="00BD0699" w:rsidP="005A0ECA">
            <w:pPr>
              <w:ind w:left="0" w:right="-84"/>
              <w:jc w:val="right"/>
              <w:rPr>
                <w:rFonts w:ascii="Arial Narrow" w:hAnsi="Arial Narrow" w:cs="Calibri"/>
                <w:color w:val="000000" w:themeColor="text1"/>
                <w:sz w:val="22"/>
                <w:szCs w:val="22"/>
              </w:rPr>
            </w:pPr>
            <w:r w:rsidRPr="009E35ED">
              <w:rPr>
                <w:rFonts w:ascii="Arial Narrow" w:hAnsi="Arial Narrow"/>
                <w:color w:val="000000" w:themeColor="text1"/>
                <w:sz w:val="22"/>
                <w:szCs w:val="22"/>
              </w:rPr>
              <w:t xml:space="preserve"> 9,332,975 </w:t>
            </w:r>
          </w:p>
        </w:tc>
      </w:tr>
      <w:tr w:rsidR="00997F75" w:rsidRPr="009E35ED" w14:paraId="303943B1" w14:textId="77777777" w:rsidTr="00B90388">
        <w:trPr>
          <w:trHeight w:val="68"/>
        </w:trPr>
        <w:tc>
          <w:tcPr>
            <w:tcW w:w="4962" w:type="dxa"/>
            <w:tcBorders>
              <w:top w:val="single" w:sz="4" w:space="0" w:color="auto"/>
              <w:left w:val="nil"/>
              <w:bottom w:val="single" w:sz="4" w:space="0" w:color="auto"/>
              <w:right w:val="nil"/>
            </w:tcBorders>
            <w:shd w:val="clear" w:color="auto" w:fill="auto"/>
            <w:noWrap/>
            <w:vAlign w:val="bottom"/>
            <w:hideMark/>
          </w:tcPr>
          <w:p w14:paraId="0AD4A109" w14:textId="77777777" w:rsidR="00BD0699" w:rsidRPr="009E35ED" w:rsidRDefault="00BD0699" w:rsidP="00D4035E">
            <w:pPr>
              <w:ind w:left="-108"/>
              <w:jc w:val="left"/>
              <w:rPr>
                <w:rFonts w:ascii="Arial Narrow" w:hAnsi="Arial Narrow" w:cs="Calibri"/>
                <w:color w:val="000000" w:themeColor="text1"/>
                <w:sz w:val="22"/>
                <w:szCs w:val="22"/>
              </w:rPr>
            </w:pPr>
          </w:p>
        </w:tc>
        <w:tc>
          <w:tcPr>
            <w:tcW w:w="1652" w:type="dxa"/>
            <w:tcBorders>
              <w:top w:val="single" w:sz="4" w:space="0" w:color="auto"/>
              <w:left w:val="nil"/>
              <w:bottom w:val="single" w:sz="4" w:space="0" w:color="auto"/>
              <w:right w:val="nil"/>
            </w:tcBorders>
            <w:shd w:val="clear" w:color="auto" w:fill="auto"/>
            <w:noWrap/>
          </w:tcPr>
          <w:p w14:paraId="1A327A17" w14:textId="248D7690" w:rsidR="00BD0699" w:rsidRPr="009E35ED" w:rsidRDefault="00BD0699" w:rsidP="005A75A5">
            <w:pPr>
              <w:ind w:left="0"/>
              <w:jc w:val="right"/>
              <w:rPr>
                <w:rFonts w:ascii="Arial Narrow" w:hAnsi="Arial Narrow" w:cs="Calibri"/>
                <w:b/>
                <w:bCs/>
                <w:color w:val="000000" w:themeColor="text1"/>
                <w:sz w:val="22"/>
                <w:szCs w:val="22"/>
              </w:rPr>
            </w:pPr>
            <w:r w:rsidRPr="009E35ED">
              <w:rPr>
                <w:rFonts w:ascii="Arial Narrow" w:hAnsi="Arial Narrow"/>
                <w:b/>
                <w:bCs/>
                <w:color w:val="000000" w:themeColor="text1"/>
                <w:sz w:val="22"/>
                <w:szCs w:val="22"/>
              </w:rPr>
              <w:t xml:space="preserve"> 19,</w:t>
            </w:r>
            <w:r w:rsidR="005A75A5" w:rsidRPr="009E35ED">
              <w:rPr>
                <w:rFonts w:ascii="Arial Narrow" w:hAnsi="Arial Narrow"/>
                <w:b/>
                <w:bCs/>
                <w:color w:val="000000" w:themeColor="text1"/>
                <w:sz w:val="22"/>
                <w:szCs w:val="22"/>
              </w:rPr>
              <w:t>751</w:t>
            </w:r>
            <w:r w:rsidRPr="009E35ED">
              <w:rPr>
                <w:rFonts w:ascii="Arial Narrow" w:hAnsi="Arial Narrow"/>
                <w:b/>
                <w:bCs/>
                <w:color w:val="000000" w:themeColor="text1"/>
                <w:sz w:val="22"/>
                <w:szCs w:val="22"/>
              </w:rPr>
              <w:t>,</w:t>
            </w:r>
            <w:r w:rsidR="005A75A5" w:rsidRPr="009E35ED">
              <w:rPr>
                <w:rFonts w:ascii="Arial Narrow" w:hAnsi="Arial Narrow"/>
                <w:b/>
                <w:bCs/>
                <w:color w:val="000000" w:themeColor="text1"/>
                <w:sz w:val="22"/>
                <w:szCs w:val="22"/>
              </w:rPr>
              <w:t>651</w:t>
            </w:r>
          </w:p>
        </w:tc>
        <w:tc>
          <w:tcPr>
            <w:tcW w:w="2092" w:type="dxa"/>
            <w:tcBorders>
              <w:top w:val="single" w:sz="4" w:space="0" w:color="auto"/>
              <w:left w:val="nil"/>
              <w:bottom w:val="single" w:sz="4" w:space="0" w:color="auto"/>
              <w:right w:val="nil"/>
            </w:tcBorders>
            <w:shd w:val="clear" w:color="auto" w:fill="auto"/>
            <w:noWrap/>
            <w:hideMark/>
          </w:tcPr>
          <w:p w14:paraId="1D827117" w14:textId="152B8AF8" w:rsidR="00BD0699" w:rsidRPr="009E35ED" w:rsidRDefault="00BD0699" w:rsidP="005A0ECA">
            <w:pPr>
              <w:ind w:left="0" w:right="-84"/>
              <w:jc w:val="right"/>
              <w:rPr>
                <w:rFonts w:ascii="Arial Narrow" w:hAnsi="Arial Narrow" w:cs="Calibri"/>
                <w:b/>
                <w:bCs/>
                <w:color w:val="000000" w:themeColor="text1"/>
                <w:sz w:val="22"/>
                <w:szCs w:val="22"/>
              </w:rPr>
            </w:pPr>
            <w:r w:rsidRPr="009E35ED">
              <w:rPr>
                <w:rFonts w:ascii="Arial Narrow" w:hAnsi="Arial Narrow"/>
                <w:b/>
                <w:bCs/>
                <w:color w:val="000000" w:themeColor="text1"/>
                <w:sz w:val="22"/>
                <w:szCs w:val="22"/>
              </w:rPr>
              <w:t xml:space="preserve"> 10,3</w:t>
            </w:r>
            <w:r w:rsidR="005A75A5" w:rsidRPr="009E35ED">
              <w:rPr>
                <w:rFonts w:ascii="Arial Narrow" w:hAnsi="Arial Narrow"/>
                <w:b/>
                <w:bCs/>
                <w:color w:val="000000" w:themeColor="text1"/>
                <w:sz w:val="22"/>
                <w:szCs w:val="22"/>
              </w:rPr>
              <w:t>58,657</w:t>
            </w:r>
            <w:r w:rsidRPr="009E35ED">
              <w:rPr>
                <w:rFonts w:ascii="Arial Narrow" w:hAnsi="Arial Narrow"/>
                <w:b/>
                <w:bCs/>
                <w:color w:val="000000" w:themeColor="text1"/>
                <w:sz w:val="22"/>
                <w:szCs w:val="22"/>
              </w:rPr>
              <w:t xml:space="preserve"> </w:t>
            </w:r>
          </w:p>
        </w:tc>
      </w:tr>
      <w:tr w:rsidR="00997F75" w:rsidRPr="009E35ED" w14:paraId="12F7CBB2" w14:textId="77777777" w:rsidTr="00B90388">
        <w:trPr>
          <w:trHeight w:val="268"/>
        </w:trPr>
        <w:tc>
          <w:tcPr>
            <w:tcW w:w="4962" w:type="dxa"/>
            <w:tcBorders>
              <w:top w:val="single" w:sz="4" w:space="0" w:color="auto"/>
              <w:left w:val="nil"/>
              <w:right w:val="nil"/>
            </w:tcBorders>
            <w:shd w:val="clear" w:color="auto" w:fill="auto"/>
            <w:noWrap/>
            <w:vAlign w:val="bottom"/>
            <w:hideMark/>
          </w:tcPr>
          <w:p w14:paraId="1FE6A9F4" w14:textId="71DA44B6" w:rsidR="00BD0699" w:rsidRPr="009E35ED" w:rsidRDefault="00BD0699" w:rsidP="00D4035E">
            <w:pPr>
              <w:ind w:left="-108"/>
              <w:jc w:val="left"/>
              <w:rPr>
                <w:rFonts w:ascii="Arial Narrow" w:hAnsi="Arial Narrow" w:cs="Calibri"/>
                <w:b/>
                <w:bCs/>
                <w:color w:val="000000" w:themeColor="text1"/>
                <w:sz w:val="22"/>
                <w:szCs w:val="22"/>
              </w:rPr>
            </w:pPr>
            <w:r w:rsidRPr="009E35ED">
              <w:rPr>
                <w:rFonts w:ascii="Arial Narrow" w:hAnsi="Arial Narrow" w:cs="Calibri"/>
                <w:color w:val="000000" w:themeColor="text1"/>
                <w:sz w:val="22"/>
                <w:szCs w:val="22"/>
              </w:rPr>
              <w:t xml:space="preserve">Prepaid </w:t>
            </w:r>
            <w:r w:rsidR="00415CD8">
              <w:rPr>
                <w:rFonts w:ascii="Arial Narrow" w:hAnsi="Arial Narrow" w:cs="Calibri"/>
                <w:color w:val="000000" w:themeColor="text1"/>
                <w:sz w:val="22"/>
                <w:szCs w:val="22"/>
              </w:rPr>
              <w:t>i</w:t>
            </w:r>
            <w:r w:rsidRPr="009E35ED">
              <w:rPr>
                <w:rFonts w:ascii="Arial Narrow" w:hAnsi="Arial Narrow" w:cs="Calibri"/>
                <w:color w:val="000000" w:themeColor="text1"/>
                <w:sz w:val="22"/>
                <w:szCs w:val="22"/>
              </w:rPr>
              <w:t>nsurance</w:t>
            </w:r>
          </w:p>
        </w:tc>
        <w:tc>
          <w:tcPr>
            <w:tcW w:w="1652" w:type="dxa"/>
            <w:tcBorders>
              <w:top w:val="single" w:sz="4" w:space="0" w:color="auto"/>
              <w:left w:val="nil"/>
              <w:right w:val="nil"/>
            </w:tcBorders>
            <w:shd w:val="clear" w:color="auto" w:fill="auto"/>
            <w:noWrap/>
          </w:tcPr>
          <w:p w14:paraId="6F12C882" w14:textId="06955B36" w:rsidR="00BD0699" w:rsidRPr="009E35ED" w:rsidRDefault="00BD0699" w:rsidP="00BD0699">
            <w:pPr>
              <w:ind w:left="0"/>
              <w:jc w:val="right"/>
              <w:rPr>
                <w:rFonts w:ascii="Arial Narrow" w:hAnsi="Arial Narrow"/>
                <w:color w:val="000000" w:themeColor="text1"/>
                <w:sz w:val="22"/>
                <w:szCs w:val="22"/>
              </w:rPr>
            </w:pPr>
            <w:r w:rsidRPr="009E35ED">
              <w:rPr>
                <w:rFonts w:ascii="Arial Narrow" w:hAnsi="Arial Narrow"/>
                <w:color w:val="000000" w:themeColor="text1"/>
                <w:sz w:val="22"/>
                <w:szCs w:val="22"/>
              </w:rPr>
              <w:t xml:space="preserve"> 10,795,689 </w:t>
            </w:r>
          </w:p>
        </w:tc>
        <w:tc>
          <w:tcPr>
            <w:tcW w:w="2092" w:type="dxa"/>
            <w:tcBorders>
              <w:top w:val="single" w:sz="4" w:space="0" w:color="auto"/>
              <w:left w:val="nil"/>
              <w:right w:val="nil"/>
            </w:tcBorders>
            <w:shd w:val="clear" w:color="auto" w:fill="auto"/>
            <w:noWrap/>
            <w:hideMark/>
          </w:tcPr>
          <w:p w14:paraId="3EA31F62" w14:textId="64661738" w:rsidR="00BD0699" w:rsidRPr="009E35ED" w:rsidRDefault="00BD0699" w:rsidP="005A0ECA">
            <w:pPr>
              <w:ind w:left="0" w:right="-84"/>
              <w:jc w:val="right"/>
              <w:rPr>
                <w:rFonts w:ascii="Arial Narrow" w:hAnsi="Arial Narrow"/>
                <w:color w:val="000000" w:themeColor="text1"/>
                <w:sz w:val="22"/>
                <w:szCs w:val="22"/>
              </w:rPr>
            </w:pPr>
            <w:r w:rsidRPr="009E35ED">
              <w:rPr>
                <w:rFonts w:ascii="Arial Narrow" w:hAnsi="Arial Narrow"/>
                <w:color w:val="000000" w:themeColor="text1"/>
                <w:sz w:val="22"/>
                <w:szCs w:val="22"/>
              </w:rPr>
              <w:t xml:space="preserve"> 10,739,496 </w:t>
            </w:r>
          </w:p>
        </w:tc>
      </w:tr>
      <w:tr w:rsidR="00997F75" w:rsidRPr="009E35ED" w14:paraId="6C3B4442" w14:textId="77777777" w:rsidTr="00B90388">
        <w:trPr>
          <w:trHeight w:val="268"/>
        </w:trPr>
        <w:tc>
          <w:tcPr>
            <w:tcW w:w="4962" w:type="dxa"/>
            <w:tcBorders>
              <w:top w:val="nil"/>
              <w:left w:val="nil"/>
              <w:bottom w:val="single" w:sz="4" w:space="0" w:color="auto"/>
              <w:right w:val="nil"/>
            </w:tcBorders>
            <w:shd w:val="clear" w:color="auto" w:fill="auto"/>
            <w:noWrap/>
            <w:vAlign w:val="bottom"/>
            <w:hideMark/>
          </w:tcPr>
          <w:p w14:paraId="474E1E04" w14:textId="5D8AEB2F" w:rsidR="00BD0699" w:rsidRPr="009E35ED" w:rsidRDefault="00BD0699" w:rsidP="00D4035E">
            <w:pPr>
              <w:ind w:left="-108"/>
              <w:jc w:val="left"/>
              <w:rPr>
                <w:rFonts w:ascii="Arial Narrow" w:hAnsi="Arial Narrow" w:cs="Calibri"/>
                <w:color w:val="000000" w:themeColor="text1"/>
                <w:sz w:val="22"/>
                <w:szCs w:val="22"/>
              </w:rPr>
            </w:pPr>
            <w:r w:rsidRPr="009E35ED">
              <w:rPr>
                <w:rFonts w:ascii="Arial Narrow" w:hAnsi="Arial Narrow" w:cs="Calibri"/>
                <w:color w:val="000000" w:themeColor="text1"/>
                <w:sz w:val="22"/>
                <w:szCs w:val="22"/>
              </w:rPr>
              <w:t xml:space="preserve">Other </w:t>
            </w:r>
            <w:r w:rsidR="00415CD8">
              <w:rPr>
                <w:rFonts w:ascii="Arial Narrow" w:hAnsi="Arial Narrow" w:cs="Calibri"/>
                <w:color w:val="000000" w:themeColor="text1"/>
                <w:sz w:val="22"/>
                <w:szCs w:val="22"/>
              </w:rPr>
              <w:t>p</w:t>
            </w:r>
            <w:r w:rsidRPr="009E35ED">
              <w:rPr>
                <w:rFonts w:ascii="Arial Narrow" w:hAnsi="Arial Narrow" w:cs="Calibri"/>
                <w:color w:val="000000" w:themeColor="text1"/>
                <w:sz w:val="22"/>
                <w:szCs w:val="22"/>
              </w:rPr>
              <w:t>repayments</w:t>
            </w:r>
          </w:p>
        </w:tc>
        <w:tc>
          <w:tcPr>
            <w:tcW w:w="1652" w:type="dxa"/>
            <w:tcBorders>
              <w:top w:val="nil"/>
              <w:left w:val="nil"/>
              <w:bottom w:val="single" w:sz="4" w:space="0" w:color="auto"/>
              <w:right w:val="nil"/>
            </w:tcBorders>
            <w:shd w:val="clear" w:color="auto" w:fill="auto"/>
            <w:noWrap/>
          </w:tcPr>
          <w:p w14:paraId="1AE25BB1" w14:textId="5D758DE8" w:rsidR="00BD0699" w:rsidRPr="009E35ED" w:rsidRDefault="00BD0699" w:rsidP="00BD0699">
            <w:pPr>
              <w:ind w:left="0"/>
              <w:jc w:val="right"/>
              <w:rPr>
                <w:rFonts w:ascii="Arial Narrow" w:hAnsi="Arial Narrow" w:cs="Calibri"/>
                <w:color w:val="000000" w:themeColor="text1"/>
                <w:sz w:val="22"/>
                <w:szCs w:val="22"/>
              </w:rPr>
            </w:pPr>
            <w:r w:rsidRPr="009E35ED">
              <w:rPr>
                <w:rFonts w:ascii="Arial Narrow" w:hAnsi="Arial Narrow"/>
                <w:color w:val="000000" w:themeColor="text1"/>
                <w:sz w:val="22"/>
                <w:szCs w:val="22"/>
              </w:rPr>
              <w:t xml:space="preserve"> 52,535,859 </w:t>
            </w:r>
          </w:p>
        </w:tc>
        <w:tc>
          <w:tcPr>
            <w:tcW w:w="2092" w:type="dxa"/>
            <w:tcBorders>
              <w:top w:val="nil"/>
              <w:left w:val="nil"/>
              <w:bottom w:val="single" w:sz="4" w:space="0" w:color="auto"/>
              <w:right w:val="nil"/>
            </w:tcBorders>
            <w:shd w:val="clear" w:color="auto" w:fill="auto"/>
            <w:noWrap/>
            <w:hideMark/>
          </w:tcPr>
          <w:p w14:paraId="78E45FC7" w14:textId="79CE3BF1" w:rsidR="00BD0699" w:rsidRPr="009E35ED" w:rsidRDefault="00BD0699" w:rsidP="005A0ECA">
            <w:pPr>
              <w:ind w:left="0" w:right="-84"/>
              <w:jc w:val="right"/>
              <w:rPr>
                <w:rFonts w:ascii="Arial Narrow" w:hAnsi="Arial Narrow" w:cs="Calibri"/>
                <w:color w:val="000000" w:themeColor="text1"/>
                <w:sz w:val="22"/>
                <w:szCs w:val="22"/>
              </w:rPr>
            </w:pPr>
            <w:r w:rsidRPr="009E35ED">
              <w:rPr>
                <w:rFonts w:ascii="Arial Narrow" w:hAnsi="Arial Narrow"/>
                <w:color w:val="000000" w:themeColor="text1"/>
                <w:sz w:val="22"/>
                <w:szCs w:val="22"/>
              </w:rPr>
              <w:t xml:space="preserve"> 48,902,948 </w:t>
            </w:r>
          </w:p>
        </w:tc>
      </w:tr>
      <w:tr w:rsidR="00997F75" w:rsidRPr="009E35ED" w14:paraId="0C5688BF" w14:textId="77777777" w:rsidTr="00B90388">
        <w:trPr>
          <w:trHeight w:val="268"/>
        </w:trPr>
        <w:tc>
          <w:tcPr>
            <w:tcW w:w="4962" w:type="dxa"/>
            <w:tcBorders>
              <w:top w:val="single" w:sz="4" w:space="0" w:color="auto"/>
              <w:left w:val="nil"/>
              <w:bottom w:val="nil"/>
              <w:right w:val="nil"/>
            </w:tcBorders>
            <w:shd w:val="clear" w:color="auto" w:fill="auto"/>
            <w:noWrap/>
            <w:vAlign w:val="bottom"/>
            <w:hideMark/>
          </w:tcPr>
          <w:p w14:paraId="7C726AAA" w14:textId="77777777" w:rsidR="00BD0699" w:rsidRPr="009E35ED" w:rsidRDefault="00BD0699" w:rsidP="00BD0699">
            <w:pPr>
              <w:ind w:left="0"/>
              <w:jc w:val="left"/>
              <w:rPr>
                <w:rFonts w:ascii="Arial Narrow" w:hAnsi="Arial Narrow" w:cs="Calibri"/>
                <w:color w:val="000000" w:themeColor="text1"/>
                <w:sz w:val="22"/>
                <w:szCs w:val="22"/>
              </w:rPr>
            </w:pPr>
          </w:p>
        </w:tc>
        <w:tc>
          <w:tcPr>
            <w:tcW w:w="1652" w:type="dxa"/>
            <w:tcBorders>
              <w:top w:val="single" w:sz="4" w:space="0" w:color="auto"/>
              <w:left w:val="nil"/>
              <w:bottom w:val="nil"/>
              <w:right w:val="nil"/>
            </w:tcBorders>
            <w:shd w:val="clear" w:color="auto" w:fill="auto"/>
            <w:noWrap/>
          </w:tcPr>
          <w:p w14:paraId="4C730866" w14:textId="0D9AA82D" w:rsidR="00BD0699" w:rsidRPr="009E35ED" w:rsidRDefault="00BD0699" w:rsidP="00BD0699">
            <w:pPr>
              <w:ind w:left="0"/>
              <w:jc w:val="right"/>
              <w:rPr>
                <w:rFonts w:ascii="Arial Narrow" w:hAnsi="Arial Narrow" w:cs="Calibri"/>
                <w:b/>
                <w:bCs/>
                <w:color w:val="000000" w:themeColor="text1"/>
                <w:sz w:val="22"/>
                <w:szCs w:val="22"/>
              </w:rPr>
            </w:pPr>
            <w:r w:rsidRPr="009E35ED">
              <w:rPr>
                <w:rFonts w:ascii="Arial Narrow" w:hAnsi="Arial Narrow"/>
                <w:b/>
                <w:bCs/>
                <w:color w:val="000000" w:themeColor="text1"/>
                <w:sz w:val="22"/>
                <w:szCs w:val="22"/>
              </w:rPr>
              <w:t>63,331,548</w:t>
            </w:r>
          </w:p>
        </w:tc>
        <w:tc>
          <w:tcPr>
            <w:tcW w:w="2092" w:type="dxa"/>
            <w:tcBorders>
              <w:top w:val="single" w:sz="4" w:space="0" w:color="auto"/>
              <w:left w:val="nil"/>
              <w:bottom w:val="nil"/>
              <w:right w:val="nil"/>
            </w:tcBorders>
            <w:shd w:val="clear" w:color="auto" w:fill="auto"/>
            <w:noWrap/>
            <w:hideMark/>
          </w:tcPr>
          <w:p w14:paraId="741608A5" w14:textId="318545F2" w:rsidR="00BD0699" w:rsidRPr="009E35ED" w:rsidRDefault="00BD0699" w:rsidP="005A0ECA">
            <w:pPr>
              <w:ind w:left="0" w:right="-84"/>
              <w:jc w:val="right"/>
              <w:rPr>
                <w:rFonts w:ascii="Arial Narrow" w:hAnsi="Arial Narrow" w:cs="Calibri"/>
                <w:b/>
                <w:bCs/>
                <w:color w:val="000000" w:themeColor="text1"/>
                <w:sz w:val="22"/>
                <w:szCs w:val="22"/>
              </w:rPr>
            </w:pPr>
            <w:r w:rsidRPr="009E35ED">
              <w:rPr>
                <w:rFonts w:ascii="Arial Narrow" w:hAnsi="Arial Narrow"/>
                <w:b/>
                <w:bCs/>
                <w:color w:val="000000" w:themeColor="text1"/>
                <w:sz w:val="22"/>
                <w:szCs w:val="22"/>
              </w:rPr>
              <w:t xml:space="preserve"> 59,642,444 </w:t>
            </w:r>
          </w:p>
        </w:tc>
      </w:tr>
      <w:tr w:rsidR="008704C7" w:rsidRPr="009E35ED" w14:paraId="16741F8F" w14:textId="77777777" w:rsidTr="00B90388">
        <w:trPr>
          <w:trHeight w:val="215"/>
        </w:trPr>
        <w:tc>
          <w:tcPr>
            <w:tcW w:w="4962" w:type="dxa"/>
            <w:tcBorders>
              <w:top w:val="single" w:sz="4" w:space="0" w:color="auto"/>
              <w:left w:val="nil"/>
              <w:bottom w:val="double" w:sz="6" w:space="0" w:color="auto"/>
              <w:right w:val="nil"/>
            </w:tcBorders>
            <w:shd w:val="clear" w:color="auto" w:fill="auto"/>
            <w:noWrap/>
            <w:vAlign w:val="bottom"/>
            <w:hideMark/>
          </w:tcPr>
          <w:p w14:paraId="6EC8C2F4" w14:textId="77777777" w:rsidR="00BD0699" w:rsidRPr="009E35ED" w:rsidRDefault="00BD0699" w:rsidP="005A0ECA">
            <w:pPr>
              <w:ind w:left="-108"/>
              <w:jc w:val="left"/>
              <w:rPr>
                <w:rFonts w:ascii="Arial Narrow" w:hAnsi="Arial Narrow" w:cs="Calibri"/>
                <w:b/>
                <w:bCs/>
                <w:color w:val="000000" w:themeColor="text1"/>
                <w:sz w:val="22"/>
                <w:szCs w:val="22"/>
              </w:rPr>
            </w:pPr>
            <w:r w:rsidRPr="009E35ED">
              <w:rPr>
                <w:rFonts w:ascii="Arial Narrow" w:hAnsi="Arial Narrow" w:cs="Calibri"/>
                <w:b/>
                <w:bCs/>
                <w:color w:val="000000" w:themeColor="text1"/>
                <w:sz w:val="22"/>
                <w:szCs w:val="22"/>
              </w:rPr>
              <w:t xml:space="preserve"> Total </w:t>
            </w:r>
          </w:p>
        </w:tc>
        <w:tc>
          <w:tcPr>
            <w:tcW w:w="1652" w:type="dxa"/>
            <w:tcBorders>
              <w:top w:val="single" w:sz="4" w:space="0" w:color="auto"/>
              <w:left w:val="nil"/>
              <w:bottom w:val="double" w:sz="6" w:space="0" w:color="auto"/>
              <w:right w:val="nil"/>
            </w:tcBorders>
            <w:shd w:val="clear" w:color="auto" w:fill="auto"/>
            <w:noWrap/>
          </w:tcPr>
          <w:p w14:paraId="26EBF3FE" w14:textId="1B29A047" w:rsidR="00BD0699" w:rsidRPr="009E35ED" w:rsidRDefault="00BD0699" w:rsidP="005A75A5">
            <w:pPr>
              <w:ind w:left="0"/>
              <w:jc w:val="right"/>
              <w:rPr>
                <w:rFonts w:ascii="Arial Narrow" w:hAnsi="Arial Narrow" w:cs="Calibri"/>
                <w:b/>
                <w:bCs/>
                <w:color w:val="000000" w:themeColor="text1"/>
                <w:sz w:val="22"/>
                <w:szCs w:val="22"/>
              </w:rPr>
            </w:pPr>
            <w:r w:rsidRPr="009E35ED">
              <w:rPr>
                <w:rFonts w:ascii="Arial Narrow" w:hAnsi="Arial Narrow"/>
                <w:b/>
                <w:bCs/>
                <w:color w:val="000000" w:themeColor="text1"/>
                <w:sz w:val="22"/>
                <w:szCs w:val="22"/>
              </w:rPr>
              <w:t xml:space="preserve">  83,0</w:t>
            </w:r>
            <w:r w:rsidR="005A75A5" w:rsidRPr="009E35ED">
              <w:rPr>
                <w:rFonts w:ascii="Arial Narrow" w:hAnsi="Arial Narrow"/>
                <w:b/>
                <w:bCs/>
                <w:color w:val="000000" w:themeColor="text1"/>
                <w:sz w:val="22"/>
                <w:szCs w:val="22"/>
              </w:rPr>
              <w:t>83,199</w:t>
            </w:r>
          </w:p>
        </w:tc>
        <w:tc>
          <w:tcPr>
            <w:tcW w:w="2092" w:type="dxa"/>
            <w:tcBorders>
              <w:top w:val="single" w:sz="4" w:space="0" w:color="auto"/>
              <w:left w:val="nil"/>
              <w:bottom w:val="double" w:sz="6" w:space="0" w:color="auto"/>
              <w:right w:val="nil"/>
            </w:tcBorders>
            <w:shd w:val="clear" w:color="auto" w:fill="auto"/>
            <w:noWrap/>
            <w:hideMark/>
          </w:tcPr>
          <w:p w14:paraId="44FC19BC" w14:textId="414D2A13" w:rsidR="00BD0699" w:rsidRPr="009E35ED" w:rsidRDefault="00BD0699" w:rsidP="005A0ECA">
            <w:pPr>
              <w:ind w:left="0" w:right="-84"/>
              <w:jc w:val="right"/>
              <w:rPr>
                <w:rFonts w:ascii="Arial Narrow" w:hAnsi="Arial Narrow" w:cs="Calibri"/>
                <w:b/>
                <w:bCs/>
                <w:color w:val="000000" w:themeColor="text1"/>
                <w:sz w:val="22"/>
                <w:szCs w:val="22"/>
              </w:rPr>
            </w:pPr>
            <w:r w:rsidRPr="009E35ED">
              <w:rPr>
                <w:rFonts w:ascii="Arial Narrow" w:hAnsi="Arial Narrow"/>
                <w:b/>
                <w:bCs/>
                <w:color w:val="000000" w:themeColor="text1"/>
                <w:sz w:val="22"/>
                <w:szCs w:val="22"/>
              </w:rPr>
              <w:t xml:space="preserve"> </w:t>
            </w:r>
            <w:r w:rsidR="005A75A5" w:rsidRPr="009E35ED">
              <w:rPr>
                <w:rFonts w:ascii="Arial Narrow" w:hAnsi="Arial Narrow"/>
                <w:b/>
                <w:bCs/>
                <w:color w:val="000000" w:themeColor="text1"/>
                <w:sz w:val="22"/>
                <w:szCs w:val="22"/>
              </w:rPr>
              <w:t>70,001,101</w:t>
            </w:r>
            <w:r w:rsidRPr="009E35ED">
              <w:rPr>
                <w:rFonts w:ascii="Arial Narrow" w:hAnsi="Arial Narrow"/>
                <w:b/>
                <w:bCs/>
                <w:color w:val="000000" w:themeColor="text1"/>
                <w:sz w:val="22"/>
                <w:szCs w:val="22"/>
              </w:rPr>
              <w:t xml:space="preserve"> </w:t>
            </w:r>
          </w:p>
        </w:tc>
      </w:tr>
    </w:tbl>
    <w:p w14:paraId="27B9520A" w14:textId="77777777" w:rsidR="002B211D" w:rsidRDefault="002B211D" w:rsidP="00803F8C">
      <w:pPr>
        <w:ind w:left="0"/>
        <w:rPr>
          <w:rFonts w:ascii="Arial" w:hAnsi="Arial" w:cs="Arial"/>
          <w:color w:val="000000" w:themeColor="text1"/>
          <w:sz w:val="22"/>
          <w:szCs w:val="22"/>
        </w:rPr>
      </w:pPr>
    </w:p>
    <w:p w14:paraId="42FA5B79" w14:textId="01BF6CB0" w:rsidR="00A577B7" w:rsidRPr="009E35ED" w:rsidRDefault="00A577B7" w:rsidP="00803F8C">
      <w:pPr>
        <w:ind w:left="0"/>
        <w:rPr>
          <w:rFonts w:ascii="Arial" w:hAnsi="Arial" w:cs="Arial"/>
          <w:color w:val="000000" w:themeColor="text1"/>
          <w:sz w:val="22"/>
          <w:szCs w:val="22"/>
        </w:rPr>
      </w:pPr>
      <w:r w:rsidRPr="009E35ED">
        <w:rPr>
          <w:rFonts w:ascii="Arial" w:hAnsi="Arial" w:cs="Arial"/>
          <w:color w:val="000000" w:themeColor="text1"/>
          <w:sz w:val="22"/>
          <w:szCs w:val="22"/>
        </w:rPr>
        <w:t>Advances are used to recognize the amount of advances granted to accountable officers for payment of salaries, wages, personnel benefits; special purpose/time-bound undertakings; and for official travel.</w:t>
      </w:r>
    </w:p>
    <w:p w14:paraId="1993F9F1" w14:textId="77777777" w:rsidR="00A577B7" w:rsidRPr="009E35ED" w:rsidRDefault="00A577B7" w:rsidP="00803F8C">
      <w:pPr>
        <w:ind w:left="0"/>
        <w:rPr>
          <w:rFonts w:ascii="Arial" w:hAnsi="Arial" w:cs="Arial"/>
          <w:color w:val="000000" w:themeColor="text1"/>
          <w:sz w:val="22"/>
          <w:szCs w:val="22"/>
        </w:rPr>
      </w:pPr>
    </w:p>
    <w:p w14:paraId="3FE040EC" w14:textId="356D47A9" w:rsidR="00035EC3" w:rsidRPr="009E35ED" w:rsidRDefault="00A577B7" w:rsidP="00035EC3">
      <w:pPr>
        <w:ind w:left="0"/>
        <w:rPr>
          <w:rFonts w:ascii="Arial" w:hAnsi="Arial" w:cs="Arial"/>
          <w:color w:val="000000" w:themeColor="text1"/>
          <w:sz w:val="22"/>
          <w:szCs w:val="22"/>
        </w:rPr>
      </w:pPr>
      <w:r w:rsidRPr="009E35ED">
        <w:rPr>
          <w:rFonts w:ascii="Arial" w:hAnsi="Arial" w:cs="Arial"/>
          <w:color w:val="000000" w:themeColor="text1"/>
          <w:sz w:val="22"/>
          <w:szCs w:val="22"/>
        </w:rPr>
        <w:t xml:space="preserve">Prepayments includes Prepaid </w:t>
      </w:r>
      <w:r w:rsidR="00415CD8">
        <w:rPr>
          <w:rFonts w:ascii="Arial" w:hAnsi="Arial" w:cs="Arial"/>
          <w:color w:val="000000" w:themeColor="text1"/>
          <w:sz w:val="22"/>
          <w:szCs w:val="22"/>
        </w:rPr>
        <w:t>i</w:t>
      </w:r>
      <w:r w:rsidRPr="009E35ED">
        <w:rPr>
          <w:rFonts w:ascii="Arial" w:hAnsi="Arial" w:cs="Arial"/>
          <w:color w:val="000000" w:themeColor="text1"/>
          <w:sz w:val="22"/>
          <w:szCs w:val="22"/>
        </w:rPr>
        <w:t>nsurance which are unused portion of insurance paid to the GSIS-General Insurance Group for PCSO motor vehicles, facilities, properties, and insurances of PCSO officials as bonds to cover any liabilit</w:t>
      </w:r>
      <w:r w:rsidR="004D68A1" w:rsidRPr="009E35ED">
        <w:rPr>
          <w:rFonts w:ascii="Arial" w:hAnsi="Arial" w:cs="Arial"/>
          <w:color w:val="000000" w:themeColor="text1"/>
          <w:sz w:val="22"/>
          <w:szCs w:val="22"/>
        </w:rPr>
        <w:t>y that the officials may incur.</w:t>
      </w:r>
    </w:p>
    <w:p w14:paraId="6723D75C" w14:textId="77777777" w:rsidR="00A6193F" w:rsidRPr="009E35ED" w:rsidRDefault="00A6193F" w:rsidP="00035EC3">
      <w:pPr>
        <w:ind w:left="0"/>
        <w:rPr>
          <w:rFonts w:ascii="Arial" w:hAnsi="Arial" w:cs="Arial"/>
          <w:color w:val="000000" w:themeColor="text1"/>
          <w:sz w:val="22"/>
          <w:szCs w:val="22"/>
        </w:rPr>
      </w:pPr>
    </w:p>
    <w:p w14:paraId="16A0AF1E" w14:textId="3B195022" w:rsidR="00675993" w:rsidRDefault="00675993" w:rsidP="00035EC3">
      <w:pPr>
        <w:ind w:left="0"/>
        <w:rPr>
          <w:rFonts w:ascii="Arial" w:hAnsi="Arial" w:cs="Arial"/>
          <w:color w:val="000000" w:themeColor="text1"/>
          <w:sz w:val="22"/>
          <w:szCs w:val="22"/>
        </w:rPr>
      </w:pPr>
      <w:r w:rsidRPr="009E35ED">
        <w:rPr>
          <w:rFonts w:ascii="Arial" w:hAnsi="Arial" w:cs="Arial"/>
          <w:color w:val="000000" w:themeColor="text1"/>
          <w:sz w:val="22"/>
          <w:szCs w:val="22"/>
        </w:rPr>
        <w:t xml:space="preserve">In conformity with PAS No. 8, the Other </w:t>
      </w:r>
      <w:r w:rsidR="00415CD8">
        <w:rPr>
          <w:rFonts w:ascii="Arial" w:hAnsi="Arial" w:cs="Arial"/>
          <w:color w:val="000000" w:themeColor="text1"/>
          <w:sz w:val="22"/>
          <w:szCs w:val="22"/>
        </w:rPr>
        <w:t>c</w:t>
      </w:r>
      <w:r w:rsidRPr="009E35ED">
        <w:rPr>
          <w:rFonts w:ascii="Arial" w:hAnsi="Arial" w:cs="Arial"/>
          <w:color w:val="000000" w:themeColor="text1"/>
          <w:sz w:val="22"/>
          <w:szCs w:val="22"/>
        </w:rPr>
        <w:t xml:space="preserve">urrent </w:t>
      </w:r>
      <w:r w:rsidR="00415CD8">
        <w:rPr>
          <w:rFonts w:ascii="Arial" w:hAnsi="Arial" w:cs="Arial"/>
          <w:color w:val="000000" w:themeColor="text1"/>
          <w:sz w:val="22"/>
          <w:szCs w:val="22"/>
        </w:rPr>
        <w:t>a</w:t>
      </w:r>
      <w:r w:rsidRPr="009E35ED">
        <w:rPr>
          <w:rFonts w:ascii="Arial" w:hAnsi="Arial" w:cs="Arial"/>
          <w:color w:val="000000" w:themeColor="text1"/>
          <w:sz w:val="22"/>
          <w:szCs w:val="22"/>
        </w:rPr>
        <w:t>ssets accounts are restated as follows:</w:t>
      </w:r>
    </w:p>
    <w:p w14:paraId="70031D59" w14:textId="77777777" w:rsidR="00D4035E" w:rsidRPr="009E35ED" w:rsidRDefault="00D4035E" w:rsidP="00035EC3">
      <w:pPr>
        <w:ind w:left="0"/>
        <w:rPr>
          <w:rFonts w:ascii="Arial" w:hAnsi="Arial" w:cs="Arial"/>
          <w:color w:val="000000" w:themeColor="text1"/>
          <w:sz w:val="22"/>
          <w:szCs w:val="22"/>
        </w:rPr>
      </w:pPr>
    </w:p>
    <w:tbl>
      <w:tblPr>
        <w:tblW w:w="8660" w:type="dxa"/>
        <w:tblLook w:val="04A0" w:firstRow="1" w:lastRow="0" w:firstColumn="1" w:lastColumn="0" w:noHBand="0" w:noVBand="1"/>
      </w:tblPr>
      <w:tblGrid>
        <w:gridCol w:w="7470"/>
        <w:gridCol w:w="1190"/>
      </w:tblGrid>
      <w:tr w:rsidR="00997F75" w:rsidRPr="009E35ED" w14:paraId="5BF2DE7D" w14:textId="77777777" w:rsidTr="00D4035E">
        <w:trPr>
          <w:trHeight w:val="134"/>
        </w:trPr>
        <w:tc>
          <w:tcPr>
            <w:tcW w:w="7470" w:type="dxa"/>
            <w:tcBorders>
              <w:top w:val="single" w:sz="4" w:space="0" w:color="auto"/>
            </w:tcBorders>
            <w:shd w:val="clear" w:color="auto" w:fill="auto"/>
            <w:noWrap/>
            <w:hideMark/>
          </w:tcPr>
          <w:p w14:paraId="061E2727" w14:textId="6285F72F" w:rsidR="00A1327E" w:rsidRPr="009E35ED" w:rsidRDefault="00A1327E" w:rsidP="00D4035E">
            <w:pPr>
              <w:ind w:left="-108"/>
              <w:jc w:val="left"/>
              <w:rPr>
                <w:rFonts w:ascii="Arial Narrow" w:hAnsi="Arial Narrow"/>
                <w:color w:val="000000" w:themeColor="text1"/>
                <w:sz w:val="22"/>
                <w:szCs w:val="22"/>
                <w:lang w:val="en-PH" w:eastAsia="en-PH"/>
              </w:rPr>
            </w:pPr>
            <w:r w:rsidRPr="009E35ED">
              <w:rPr>
                <w:rFonts w:ascii="Arial Narrow" w:hAnsi="Arial Narrow"/>
                <w:color w:val="000000" w:themeColor="text1"/>
                <w:sz w:val="22"/>
                <w:szCs w:val="22"/>
              </w:rPr>
              <w:t>Unrestated</w:t>
            </w:r>
            <w:r w:rsidR="00415CD8">
              <w:rPr>
                <w:rFonts w:ascii="Arial Narrow" w:hAnsi="Arial Narrow"/>
                <w:color w:val="000000" w:themeColor="text1"/>
                <w:sz w:val="22"/>
                <w:szCs w:val="22"/>
              </w:rPr>
              <w:t xml:space="preserve"> a</w:t>
            </w:r>
            <w:r w:rsidRPr="009E35ED">
              <w:rPr>
                <w:rFonts w:ascii="Arial Narrow" w:hAnsi="Arial Narrow"/>
                <w:color w:val="000000" w:themeColor="text1"/>
                <w:sz w:val="22"/>
                <w:szCs w:val="22"/>
              </w:rPr>
              <w:t>mount as of December 31, 2022</w:t>
            </w:r>
          </w:p>
        </w:tc>
        <w:tc>
          <w:tcPr>
            <w:tcW w:w="1190" w:type="dxa"/>
            <w:tcBorders>
              <w:top w:val="single" w:sz="4" w:space="0" w:color="auto"/>
            </w:tcBorders>
            <w:shd w:val="clear" w:color="auto" w:fill="auto"/>
            <w:noWrap/>
            <w:hideMark/>
          </w:tcPr>
          <w:p w14:paraId="4DD0BD16" w14:textId="03C1F3F6" w:rsidR="00A1327E" w:rsidRPr="009E35ED" w:rsidRDefault="00A1327E" w:rsidP="00D4035E">
            <w:pPr>
              <w:ind w:left="0" w:right="-108"/>
              <w:jc w:val="right"/>
              <w:rPr>
                <w:rFonts w:ascii="Arial Narrow" w:hAnsi="Arial Narrow" w:cs="Arial"/>
                <w:color w:val="000000" w:themeColor="text1"/>
                <w:sz w:val="22"/>
                <w:szCs w:val="22"/>
                <w:lang w:val="en-PH" w:eastAsia="en-PH"/>
              </w:rPr>
            </w:pPr>
            <w:r w:rsidRPr="009E35ED">
              <w:rPr>
                <w:rFonts w:ascii="Arial Narrow" w:hAnsi="Arial Narrow"/>
                <w:color w:val="000000" w:themeColor="text1"/>
                <w:sz w:val="22"/>
                <w:szCs w:val="22"/>
              </w:rPr>
              <w:t xml:space="preserve">170,316 </w:t>
            </w:r>
          </w:p>
        </w:tc>
      </w:tr>
      <w:tr w:rsidR="00997F75" w:rsidRPr="009E35ED" w14:paraId="74D4BA0A" w14:textId="77777777" w:rsidTr="00D4035E">
        <w:trPr>
          <w:trHeight w:val="90"/>
        </w:trPr>
        <w:tc>
          <w:tcPr>
            <w:tcW w:w="7470" w:type="dxa"/>
            <w:tcBorders>
              <w:bottom w:val="single" w:sz="4" w:space="0" w:color="auto"/>
            </w:tcBorders>
            <w:shd w:val="clear" w:color="auto" w:fill="auto"/>
            <w:noWrap/>
            <w:hideMark/>
          </w:tcPr>
          <w:p w14:paraId="21FB0CCF" w14:textId="6D8ECCA1" w:rsidR="00A1327E" w:rsidRPr="009E35ED" w:rsidRDefault="00A1327E" w:rsidP="00D4035E">
            <w:pPr>
              <w:ind w:left="-108"/>
              <w:jc w:val="left"/>
              <w:rPr>
                <w:rFonts w:ascii="Arial Narrow" w:hAnsi="Arial Narrow"/>
                <w:color w:val="000000" w:themeColor="text1"/>
                <w:sz w:val="22"/>
                <w:szCs w:val="22"/>
                <w:lang w:val="en-PH" w:eastAsia="en-PH"/>
              </w:rPr>
            </w:pPr>
            <w:r w:rsidRPr="009E35ED">
              <w:rPr>
                <w:rFonts w:ascii="Arial Narrow" w:hAnsi="Arial Narrow"/>
                <w:color w:val="000000" w:themeColor="text1"/>
                <w:sz w:val="22"/>
                <w:szCs w:val="22"/>
              </w:rPr>
              <w:t xml:space="preserve">Adjustment/Recording of </w:t>
            </w:r>
            <w:r w:rsidR="00415CD8">
              <w:rPr>
                <w:rFonts w:ascii="Arial Narrow" w:hAnsi="Arial Narrow"/>
                <w:color w:val="000000" w:themeColor="text1"/>
                <w:sz w:val="22"/>
                <w:szCs w:val="22"/>
              </w:rPr>
              <w:t>a</w:t>
            </w:r>
            <w:r w:rsidRPr="009E35ED">
              <w:rPr>
                <w:rFonts w:ascii="Arial Narrow" w:hAnsi="Arial Narrow"/>
                <w:color w:val="000000" w:themeColor="text1"/>
                <w:sz w:val="22"/>
                <w:szCs w:val="22"/>
              </w:rPr>
              <w:t xml:space="preserve">uditing </w:t>
            </w:r>
            <w:r w:rsidR="00415CD8">
              <w:rPr>
                <w:rFonts w:ascii="Arial Narrow" w:hAnsi="Arial Narrow"/>
                <w:color w:val="000000" w:themeColor="text1"/>
                <w:sz w:val="22"/>
                <w:szCs w:val="22"/>
              </w:rPr>
              <w:t>s</w:t>
            </w:r>
            <w:r w:rsidRPr="009E35ED">
              <w:rPr>
                <w:rFonts w:ascii="Arial Narrow" w:hAnsi="Arial Narrow"/>
                <w:color w:val="000000" w:themeColor="text1"/>
                <w:sz w:val="22"/>
                <w:szCs w:val="22"/>
              </w:rPr>
              <w:t>ervices (</w:t>
            </w:r>
            <w:r w:rsidR="00415CD8">
              <w:rPr>
                <w:rFonts w:ascii="Arial Narrow" w:hAnsi="Arial Narrow"/>
                <w:color w:val="000000" w:themeColor="text1"/>
                <w:sz w:val="22"/>
                <w:szCs w:val="22"/>
              </w:rPr>
              <w:t>w</w:t>
            </w:r>
            <w:r w:rsidRPr="009E35ED">
              <w:rPr>
                <w:rFonts w:ascii="Arial Narrow" w:hAnsi="Arial Narrow"/>
                <w:color w:val="000000" w:themeColor="text1"/>
                <w:sz w:val="22"/>
                <w:szCs w:val="22"/>
              </w:rPr>
              <w:t xml:space="preserve">ater </w:t>
            </w:r>
            <w:r w:rsidR="00415CD8">
              <w:rPr>
                <w:rFonts w:ascii="Arial Narrow" w:hAnsi="Arial Narrow"/>
                <w:color w:val="000000" w:themeColor="text1"/>
                <w:sz w:val="22"/>
                <w:szCs w:val="22"/>
              </w:rPr>
              <w:t>e</w:t>
            </w:r>
            <w:r w:rsidRPr="009E35ED">
              <w:rPr>
                <w:rFonts w:ascii="Arial Narrow" w:hAnsi="Arial Narrow"/>
                <w:color w:val="000000" w:themeColor="text1"/>
                <w:sz w:val="22"/>
                <w:szCs w:val="22"/>
              </w:rPr>
              <w:t>xpenses)</w:t>
            </w:r>
          </w:p>
        </w:tc>
        <w:tc>
          <w:tcPr>
            <w:tcW w:w="1190" w:type="dxa"/>
            <w:tcBorders>
              <w:bottom w:val="single" w:sz="4" w:space="0" w:color="auto"/>
            </w:tcBorders>
            <w:shd w:val="clear" w:color="auto" w:fill="auto"/>
            <w:noWrap/>
            <w:hideMark/>
          </w:tcPr>
          <w:p w14:paraId="37272C21" w14:textId="62800F81" w:rsidR="00A1327E" w:rsidRPr="009E35ED" w:rsidRDefault="00A1327E" w:rsidP="00D4035E">
            <w:pPr>
              <w:ind w:left="0" w:right="-108"/>
              <w:jc w:val="right"/>
              <w:rPr>
                <w:rFonts w:ascii="Arial Narrow" w:hAnsi="Arial Narrow" w:cs="Arial"/>
                <w:color w:val="000000" w:themeColor="text1"/>
                <w:sz w:val="22"/>
                <w:szCs w:val="22"/>
                <w:lang w:val="en-PH" w:eastAsia="en-PH"/>
              </w:rPr>
            </w:pPr>
            <w:r w:rsidRPr="009E35ED">
              <w:rPr>
                <w:rFonts w:ascii="Arial Narrow" w:hAnsi="Arial Narrow"/>
                <w:color w:val="000000" w:themeColor="text1"/>
                <w:sz w:val="22"/>
                <w:szCs w:val="22"/>
              </w:rPr>
              <w:t xml:space="preserve"> (385)</w:t>
            </w:r>
          </w:p>
        </w:tc>
      </w:tr>
      <w:tr w:rsidR="008704C7" w:rsidRPr="009E35ED" w14:paraId="78309373" w14:textId="77777777" w:rsidTr="00B90388">
        <w:trPr>
          <w:trHeight w:val="267"/>
        </w:trPr>
        <w:tc>
          <w:tcPr>
            <w:tcW w:w="7470" w:type="dxa"/>
            <w:tcBorders>
              <w:top w:val="single" w:sz="4" w:space="0" w:color="auto"/>
              <w:bottom w:val="double" w:sz="4" w:space="0" w:color="auto"/>
            </w:tcBorders>
            <w:shd w:val="clear" w:color="auto" w:fill="auto"/>
            <w:noWrap/>
            <w:hideMark/>
          </w:tcPr>
          <w:p w14:paraId="149739D6" w14:textId="314D5F20" w:rsidR="00A1327E" w:rsidRPr="009E35ED" w:rsidRDefault="00A1327E" w:rsidP="00D4035E">
            <w:pPr>
              <w:ind w:left="-108"/>
              <w:jc w:val="left"/>
              <w:rPr>
                <w:rFonts w:ascii="Arial Narrow" w:hAnsi="Arial Narrow" w:cs="Arial"/>
                <w:b/>
                <w:bCs/>
                <w:color w:val="000000" w:themeColor="text1"/>
                <w:sz w:val="22"/>
                <w:szCs w:val="22"/>
                <w:lang w:val="en-PH" w:eastAsia="en-PH"/>
              </w:rPr>
            </w:pPr>
            <w:r w:rsidRPr="009E35ED">
              <w:rPr>
                <w:rFonts w:ascii="Arial Narrow" w:hAnsi="Arial Narrow"/>
                <w:b/>
                <w:bCs/>
                <w:color w:val="000000" w:themeColor="text1"/>
                <w:sz w:val="22"/>
                <w:szCs w:val="22"/>
              </w:rPr>
              <w:t>Restated Amount as of December 31, 2022 - Advances for Payroll</w:t>
            </w:r>
          </w:p>
        </w:tc>
        <w:tc>
          <w:tcPr>
            <w:tcW w:w="1190" w:type="dxa"/>
            <w:tcBorders>
              <w:top w:val="single" w:sz="4" w:space="0" w:color="auto"/>
              <w:bottom w:val="double" w:sz="4" w:space="0" w:color="auto"/>
            </w:tcBorders>
            <w:shd w:val="clear" w:color="auto" w:fill="auto"/>
            <w:noWrap/>
            <w:hideMark/>
          </w:tcPr>
          <w:p w14:paraId="08928623" w14:textId="50F4B4EC" w:rsidR="00A1327E" w:rsidRPr="009E35ED" w:rsidRDefault="00A1327E" w:rsidP="00D4035E">
            <w:pPr>
              <w:ind w:left="0" w:right="-108"/>
              <w:jc w:val="right"/>
              <w:rPr>
                <w:rFonts w:ascii="Arial Narrow" w:hAnsi="Arial Narrow" w:cs="Arial"/>
                <w:b/>
                <w:bCs/>
                <w:color w:val="000000" w:themeColor="text1"/>
                <w:sz w:val="22"/>
                <w:szCs w:val="22"/>
                <w:lang w:val="en-PH" w:eastAsia="en-PH"/>
              </w:rPr>
            </w:pPr>
            <w:r w:rsidRPr="009E35ED">
              <w:rPr>
                <w:rFonts w:ascii="Arial Narrow" w:hAnsi="Arial Narrow"/>
                <w:b/>
                <w:bCs/>
                <w:color w:val="000000" w:themeColor="text1"/>
                <w:sz w:val="22"/>
                <w:szCs w:val="22"/>
              </w:rPr>
              <w:t xml:space="preserve"> 169,931 </w:t>
            </w:r>
          </w:p>
        </w:tc>
      </w:tr>
    </w:tbl>
    <w:p w14:paraId="30C72649" w14:textId="450A2280" w:rsidR="00516659" w:rsidRPr="009E35ED" w:rsidRDefault="00516659" w:rsidP="00876E1B">
      <w:pPr>
        <w:ind w:left="0"/>
        <w:rPr>
          <w:rFonts w:ascii="Arial Narrow" w:hAnsi="Arial Narrow" w:cs="Arial"/>
          <w:b/>
          <w:color w:val="000000" w:themeColor="text1"/>
          <w:sz w:val="22"/>
          <w:szCs w:val="22"/>
        </w:rPr>
      </w:pPr>
    </w:p>
    <w:tbl>
      <w:tblPr>
        <w:tblW w:w="8660" w:type="dxa"/>
        <w:tblLook w:val="04A0" w:firstRow="1" w:lastRow="0" w:firstColumn="1" w:lastColumn="0" w:noHBand="0" w:noVBand="1"/>
      </w:tblPr>
      <w:tblGrid>
        <w:gridCol w:w="7470"/>
        <w:gridCol w:w="1190"/>
      </w:tblGrid>
      <w:tr w:rsidR="00997F75" w:rsidRPr="009E35ED" w14:paraId="1852F411" w14:textId="77777777" w:rsidTr="00D4035E">
        <w:trPr>
          <w:trHeight w:val="134"/>
        </w:trPr>
        <w:tc>
          <w:tcPr>
            <w:tcW w:w="7470" w:type="dxa"/>
            <w:tcBorders>
              <w:top w:val="single" w:sz="4" w:space="0" w:color="auto"/>
            </w:tcBorders>
            <w:shd w:val="clear" w:color="auto" w:fill="auto"/>
            <w:noWrap/>
            <w:hideMark/>
          </w:tcPr>
          <w:p w14:paraId="331A7E72" w14:textId="1A4D1D73" w:rsidR="00672159" w:rsidRPr="009E35ED" w:rsidRDefault="00672159" w:rsidP="00D4035E">
            <w:pPr>
              <w:ind w:left="-108"/>
              <w:jc w:val="left"/>
              <w:rPr>
                <w:rFonts w:ascii="Arial Narrow" w:hAnsi="Arial Narrow"/>
                <w:color w:val="000000" w:themeColor="text1"/>
                <w:sz w:val="22"/>
                <w:szCs w:val="22"/>
                <w:lang w:val="en-PH" w:eastAsia="en-PH"/>
              </w:rPr>
            </w:pPr>
            <w:r w:rsidRPr="009E35ED">
              <w:rPr>
                <w:rFonts w:ascii="Arial Narrow" w:hAnsi="Arial Narrow"/>
                <w:color w:val="000000" w:themeColor="text1"/>
                <w:sz w:val="22"/>
                <w:szCs w:val="22"/>
              </w:rPr>
              <w:t xml:space="preserve">Unrestated </w:t>
            </w:r>
            <w:r w:rsidR="000911E5">
              <w:rPr>
                <w:rFonts w:ascii="Arial Narrow" w:hAnsi="Arial Narrow"/>
                <w:color w:val="000000" w:themeColor="text1"/>
                <w:sz w:val="22"/>
                <w:szCs w:val="22"/>
              </w:rPr>
              <w:t>a</w:t>
            </w:r>
            <w:r w:rsidRPr="009E35ED">
              <w:rPr>
                <w:rFonts w:ascii="Arial Narrow" w:hAnsi="Arial Narrow"/>
                <w:color w:val="000000" w:themeColor="text1"/>
                <w:sz w:val="22"/>
                <w:szCs w:val="22"/>
              </w:rPr>
              <w:t>mount as of December 31, 2022</w:t>
            </w:r>
          </w:p>
        </w:tc>
        <w:tc>
          <w:tcPr>
            <w:tcW w:w="1190" w:type="dxa"/>
            <w:tcBorders>
              <w:top w:val="single" w:sz="4" w:space="0" w:color="auto"/>
            </w:tcBorders>
            <w:shd w:val="clear" w:color="auto" w:fill="auto"/>
            <w:noWrap/>
            <w:hideMark/>
          </w:tcPr>
          <w:p w14:paraId="1A71BC56" w14:textId="0C4EB6B0" w:rsidR="00672159" w:rsidRPr="009E35ED" w:rsidRDefault="00672159" w:rsidP="00D4035E">
            <w:pPr>
              <w:ind w:left="0" w:right="-108"/>
              <w:jc w:val="right"/>
              <w:rPr>
                <w:rFonts w:ascii="Arial Narrow" w:hAnsi="Arial Narrow" w:cs="Arial"/>
                <w:color w:val="000000" w:themeColor="text1"/>
                <w:sz w:val="22"/>
                <w:szCs w:val="22"/>
                <w:lang w:val="en-PH" w:eastAsia="en-PH"/>
              </w:rPr>
            </w:pPr>
            <w:r w:rsidRPr="009E35ED">
              <w:rPr>
                <w:rFonts w:ascii="Arial Narrow" w:hAnsi="Arial Narrow"/>
                <w:color w:val="000000" w:themeColor="text1"/>
                <w:sz w:val="22"/>
                <w:szCs w:val="22"/>
              </w:rPr>
              <w:t xml:space="preserve"> 5,582,376 </w:t>
            </w:r>
          </w:p>
        </w:tc>
      </w:tr>
      <w:tr w:rsidR="00997F75" w:rsidRPr="009E35ED" w14:paraId="2D862B03" w14:textId="77777777" w:rsidTr="00D4035E">
        <w:trPr>
          <w:trHeight w:val="98"/>
        </w:trPr>
        <w:tc>
          <w:tcPr>
            <w:tcW w:w="7470" w:type="dxa"/>
            <w:shd w:val="clear" w:color="auto" w:fill="auto"/>
            <w:noWrap/>
          </w:tcPr>
          <w:p w14:paraId="7DADF555" w14:textId="003AE24A" w:rsidR="005A75A5" w:rsidRPr="009E35ED" w:rsidRDefault="005A75A5" w:rsidP="00D4035E">
            <w:pPr>
              <w:ind w:left="-108"/>
              <w:jc w:val="left"/>
              <w:rPr>
                <w:rFonts w:ascii="Arial Narrow" w:hAnsi="Arial Narrow"/>
                <w:color w:val="000000" w:themeColor="text1"/>
                <w:sz w:val="22"/>
                <w:szCs w:val="22"/>
              </w:rPr>
            </w:pPr>
            <w:r w:rsidRPr="009E35ED">
              <w:rPr>
                <w:rFonts w:ascii="Arial Narrow" w:hAnsi="Arial Narrow"/>
                <w:color w:val="000000" w:themeColor="text1"/>
                <w:sz w:val="22"/>
                <w:szCs w:val="22"/>
              </w:rPr>
              <w:t xml:space="preserve">Adjustment/Recording of </w:t>
            </w:r>
            <w:r w:rsidR="000911E5">
              <w:rPr>
                <w:rFonts w:ascii="Arial Narrow" w:hAnsi="Arial Narrow"/>
                <w:color w:val="000000" w:themeColor="text1"/>
                <w:sz w:val="22"/>
                <w:szCs w:val="22"/>
              </w:rPr>
              <w:t>t</w:t>
            </w:r>
            <w:r w:rsidRPr="009E35ED">
              <w:rPr>
                <w:rFonts w:ascii="Arial Narrow" w:hAnsi="Arial Narrow"/>
                <w:color w:val="000000" w:themeColor="text1"/>
                <w:sz w:val="22"/>
                <w:szCs w:val="22"/>
              </w:rPr>
              <w:t xml:space="preserve">ravelling </w:t>
            </w:r>
            <w:r w:rsidR="000911E5">
              <w:rPr>
                <w:rFonts w:ascii="Arial Narrow" w:hAnsi="Arial Narrow"/>
                <w:color w:val="000000" w:themeColor="text1"/>
                <w:sz w:val="22"/>
                <w:szCs w:val="22"/>
              </w:rPr>
              <w:t>e</w:t>
            </w:r>
            <w:r w:rsidRPr="009E35ED">
              <w:rPr>
                <w:rFonts w:ascii="Arial Narrow" w:hAnsi="Arial Narrow"/>
                <w:color w:val="000000" w:themeColor="text1"/>
                <w:sz w:val="22"/>
                <w:szCs w:val="22"/>
              </w:rPr>
              <w:t>xpenses-</w:t>
            </w:r>
            <w:r w:rsidR="000911E5">
              <w:rPr>
                <w:rFonts w:ascii="Arial Narrow" w:hAnsi="Arial Narrow"/>
                <w:color w:val="000000" w:themeColor="text1"/>
                <w:sz w:val="22"/>
                <w:szCs w:val="22"/>
              </w:rPr>
              <w:t>b</w:t>
            </w:r>
            <w:r w:rsidRPr="009E35ED">
              <w:rPr>
                <w:rFonts w:ascii="Arial Narrow" w:hAnsi="Arial Narrow"/>
                <w:color w:val="000000" w:themeColor="text1"/>
                <w:sz w:val="22"/>
                <w:szCs w:val="22"/>
              </w:rPr>
              <w:t>ranches</w:t>
            </w:r>
          </w:p>
        </w:tc>
        <w:tc>
          <w:tcPr>
            <w:tcW w:w="1190" w:type="dxa"/>
            <w:shd w:val="clear" w:color="auto" w:fill="auto"/>
            <w:noWrap/>
          </w:tcPr>
          <w:p w14:paraId="15A9C8B9" w14:textId="5900AC5B" w:rsidR="005A75A5" w:rsidRPr="009E35ED" w:rsidRDefault="005A75A5" w:rsidP="00D4035E">
            <w:pPr>
              <w:ind w:left="0" w:right="-108"/>
              <w:jc w:val="right"/>
              <w:rPr>
                <w:rFonts w:ascii="Arial Narrow" w:hAnsi="Arial Narrow"/>
                <w:color w:val="000000" w:themeColor="text1"/>
                <w:sz w:val="22"/>
                <w:szCs w:val="22"/>
              </w:rPr>
            </w:pPr>
            <w:r w:rsidRPr="009E35ED">
              <w:rPr>
                <w:rFonts w:ascii="Arial Narrow" w:hAnsi="Arial Narrow"/>
                <w:color w:val="000000" w:themeColor="text1"/>
                <w:sz w:val="22"/>
                <w:szCs w:val="22"/>
              </w:rPr>
              <w:t>17,781</w:t>
            </w:r>
          </w:p>
        </w:tc>
      </w:tr>
      <w:tr w:rsidR="00997F75" w:rsidRPr="009E35ED" w14:paraId="2A7CDE0C" w14:textId="77777777" w:rsidTr="00D4035E">
        <w:trPr>
          <w:trHeight w:val="98"/>
        </w:trPr>
        <w:tc>
          <w:tcPr>
            <w:tcW w:w="7470" w:type="dxa"/>
            <w:tcBorders>
              <w:bottom w:val="single" w:sz="4" w:space="0" w:color="auto"/>
            </w:tcBorders>
            <w:shd w:val="clear" w:color="auto" w:fill="auto"/>
            <w:noWrap/>
          </w:tcPr>
          <w:p w14:paraId="5D93E767" w14:textId="2F733F96" w:rsidR="00672159" w:rsidRPr="009E35ED" w:rsidRDefault="00672159" w:rsidP="00D4035E">
            <w:pPr>
              <w:ind w:left="-108"/>
              <w:jc w:val="left"/>
              <w:rPr>
                <w:rFonts w:ascii="Arial Narrow" w:hAnsi="Arial Narrow" w:cs="Calibri"/>
                <w:color w:val="000000" w:themeColor="text1"/>
                <w:sz w:val="22"/>
                <w:szCs w:val="22"/>
              </w:rPr>
            </w:pPr>
            <w:r w:rsidRPr="009E35ED">
              <w:rPr>
                <w:rFonts w:ascii="Arial Narrow" w:hAnsi="Arial Narrow"/>
                <w:color w:val="000000" w:themeColor="text1"/>
                <w:sz w:val="22"/>
                <w:szCs w:val="22"/>
              </w:rPr>
              <w:t xml:space="preserve">Adjustment/Recording of </w:t>
            </w:r>
            <w:r w:rsidR="000911E5">
              <w:rPr>
                <w:rFonts w:ascii="Arial Narrow" w:hAnsi="Arial Narrow"/>
                <w:color w:val="000000" w:themeColor="text1"/>
                <w:sz w:val="22"/>
                <w:szCs w:val="22"/>
              </w:rPr>
              <w:t>m</w:t>
            </w:r>
            <w:r w:rsidRPr="009E35ED">
              <w:rPr>
                <w:rFonts w:ascii="Arial Narrow" w:hAnsi="Arial Narrow"/>
                <w:color w:val="000000" w:themeColor="text1"/>
                <w:sz w:val="22"/>
                <w:szCs w:val="22"/>
              </w:rPr>
              <w:t xml:space="preserve">aintenance and </w:t>
            </w:r>
            <w:r w:rsidR="000911E5">
              <w:rPr>
                <w:rFonts w:ascii="Arial Narrow" w:hAnsi="Arial Narrow"/>
                <w:color w:val="000000" w:themeColor="text1"/>
                <w:sz w:val="22"/>
                <w:szCs w:val="22"/>
              </w:rPr>
              <w:t>o</w:t>
            </w:r>
            <w:r w:rsidRPr="009E35ED">
              <w:rPr>
                <w:rFonts w:ascii="Arial Narrow" w:hAnsi="Arial Narrow"/>
                <w:color w:val="000000" w:themeColor="text1"/>
                <w:sz w:val="22"/>
                <w:szCs w:val="22"/>
              </w:rPr>
              <w:t xml:space="preserve">ther </w:t>
            </w:r>
            <w:r w:rsidR="000911E5">
              <w:rPr>
                <w:rFonts w:ascii="Arial Narrow" w:hAnsi="Arial Narrow"/>
                <w:color w:val="000000" w:themeColor="text1"/>
                <w:sz w:val="22"/>
                <w:szCs w:val="22"/>
              </w:rPr>
              <w:t>o</w:t>
            </w:r>
            <w:r w:rsidRPr="009E35ED">
              <w:rPr>
                <w:rFonts w:ascii="Arial Narrow" w:hAnsi="Arial Narrow"/>
                <w:color w:val="000000" w:themeColor="text1"/>
                <w:sz w:val="22"/>
                <w:szCs w:val="22"/>
              </w:rPr>
              <w:t xml:space="preserve">perating </w:t>
            </w:r>
            <w:r w:rsidR="000911E5">
              <w:rPr>
                <w:rFonts w:ascii="Arial Narrow" w:hAnsi="Arial Narrow"/>
                <w:color w:val="000000" w:themeColor="text1"/>
                <w:sz w:val="22"/>
                <w:szCs w:val="22"/>
              </w:rPr>
              <w:t>e</w:t>
            </w:r>
            <w:r w:rsidRPr="009E35ED">
              <w:rPr>
                <w:rFonts w:ascii="Arial Narrow" w:hAnsi="Arial Narrow"/>
                <w:color w:val="000000" w:themeColor="text1"/>
                <w:sz w:val="22"/>
                <w:szCs w:val="22"/>
              </w:rPr>
              <w:t>xpenses-</w:t>
            </w:r>
            <w:r w:rsidR="000911E5">
              <w:rPr>
                <w:rFonts w:ascii="Arial Narrow" w:hAnsi="Arial Narrow"/>
                <w:color w:val="000000" w:themeColor="text1"/>
                <w:sz w:val="22"/>
                <w:szCs w:val="22"/>
              </w:rPr>
              <w:t>h</w:t>
            </w:r>
            <w:r w:rsidRPr="009E35ED">
              <w:rPr>
                <w:rFonts w:ascii="Arial Narrow" w:hAnsi="Arial Narrow"/>
                <w:color w:val="000000" w:themeColor="text1"/>
                <w:sz w:val="22"/>
                <w:szCs w:val="22"/>
              </w:rPr>
              <w:t xml:space="preserve">ead </w:t>
            </w:r>
            <w:r w:rsidR="000911E5">
              <w:rPr>
                <w:rFonts w:ascii="Arial Narrow" w:hAnsi="Arial Narrow"/>
                <w:color w:val="000000" w:themeColor="text1"/>
                <w:sz w:val="22"/>
                <w:szCs w:val="22"/>
              </w:rPr>
              <w:t>o</w:t>
            </w:r>
            <w:r w:rsidRPr="009E35ED">
              <w:rPr>
                <w:rFonts w:ascii="Arial Narrow" w:hAnsi="Arial Narrow"/>
                <w:color w:val="000000" w:themeColor="text1"/>
                <w:sz w:val="22"/>
                <w:szCs w:val="22"/>
              </w:rPr>
              <w:t>ffice</w:t>
            </w:r>
          </w:p>
        </w:tc>
        <w:tc>
          <w:tcPr>
            <w:tcW w:w="1190" w:type="dxa"/>
            <w:tcBorders>
              <w:bottom w:val="single" w:sz="4" w:space="0" w:color="auto"/>
            </w:tcBorders>
            <w:shd w:val="clear" w:color="auto" w:fill="auto"/>
            <w:noWrap/>
          </w:tcPr>
          <w:p w14:paraId="0E2131B6" w14:textId="4A4F22EA" w:rsidR="00672159" w:rsidRPr="009E35ED" w:rsidRDefault="00672159" w:rsidP="00D4035E">
            <w:pPr>
              <w:ind w:left="0" w:right="-108"/>
              <w:jc w:val="right"/>
              <w:rPr>
                <w:rFonts w:ascii="Arial Narrow" w:hAnsi="Arial Narrow" w:cs="Arial"/>
                <w:color w:val="000000" w:themeColor="text1"/>
                <w:sz w:val="22"/>
                <w:szCs w:val="22"/>
              </w:rPr>
            </w:pPr>
            <w:r w:rsidRPr="009E35ED">
              <w:rPr>
                <w:rFonts w:ascii="Arial Narrow" w:hAnsi="Arial Narrow"/>
                <w:color w:val="000000" w:themeColor="text1"/>
                <w:sz w:val="22"/>
                <w:szCs w:val="22"/>
              </w:rPr>
              <w:t xml:space="preserve"> (1,209,</w:t>
            </w:r>
            <w:r w:rsidR="00DD7022" w:rsidRPr="009E35ED">
              <w:rPr>
                <w:rFonts w:ascii="Arial Narrow" w:hAnsi="Arial Narrow"/>
                <w:color w:val="000000" w:themeColor="text1"/>
                <w:sz w:val="22"/>
                <w:szCs w:val="22"/>
              </w:rPr>
              <w:t>478</w:t>
            </w:r>
            <w:r w:rsidRPr="009E35ED">
              <w:rPr>
                <w:rFonts w:ascii="Arial Narrow" w:hAnsi="Arial Narrow"/>
                <w:color w:val="000000" w:themeColor="text1"/>
                <w:sz w:val="22"/>
                <w:szCs w:val="22"/>
              </w:rPr>
              <w:t>)</w:t>
            </w:r>
          </w:p>
        </w:tc>
      </w:tr>
      <w:tr w:rsidR="00516659" w:rsidRPr="009E35ED" w14:paraId="7D59EC08" w14:textId="77777777" w:rsidTr="00B90388">
        <w:trPr>
          <w:trHeight w:val="215"/>
        </w:trPr>
        <w:tc>
          <w:tcPr>
            <w:tcW w:w="7470" w:type="dxa"/>
            <w:tcBorders>
              <w:top w:val="single" w:sz="4" w:space="0" w:color="auto"/>
              <w:bottom w:val="double" w:sz="4" w:space="0" w:color="auto"/>
            </w:tcBorders>
            <w:shd w:val="clear" w:color="auto" w:fill="auto"/>
            <w:noWrap/>
            <w:hideMark/>
          </w:tcPr>
          <w:p w14:paraId="135F3E6A" w14:textId="70A724AE" w:rsidR="00672159" w:rsidRPr="009E35ED" w:rsidRDefault="00672159" w:rsidP="00D4035E">
            <w:pPr>
              <w:ind w:left="-108"/>
              <w:jc w:val="left"/>
              <w:rPr>
                <w:rFonts w:ascii="Arial Narrow" w:hAnsi="Arial Narrow" w:cs="Arial"/>
                <w:b/>
                <w:bCs/>
                <w:color w:val="000000" w:themeColor="text1"/>
                <w:sz w:val="22"/>
                <w:szCs w:val="22"/>
                <w:lang w:val="en-PH" w:eastAsia="en-PH"/>
              </w:rPr>
            </w:pPr>
            <w:r w:rsidRPr="009E35ED">
              <w:rPr>
                <w:rFonts w:ascii="Arial Narrow" w:hAnsi="Arial Narrow"/>
                <w:b/>
                <w:bCs/>
                <w:color w:val="000000" w:themeColor="text1"/>
                <w:sz w:val="22"/>
                <w:szCs w:val="22"/>
              </w:rPr>
              <w:t>Restated Amount as of December 31, 2022 - Advances to Officers and Employees</w:t>
            </w:r>
          </w:p>
        </w:tc>
        <w:tc>
          <w:tcPr>
            <w:tcW w:w="1190" w:type="dxa"/>
            <w:tcBorders>
              <w:top w:val="single" w:sz="4" w:space="0" w:color="auto"/>
              <w:bottom w:val="double" w:sz="4" w:space="0" w:color="auto"/>
            </w:tcBorders>
            <w:shd w:val="clear" w:color="auto" w:fill="auto"/>
            <w:noWrap/>
            <w:hideMark/>
          </w:tcPr>
          <w:p w14:paraId="47EA29FF" w14:textId="3B67BE6D" w:rsidR="00672159" w:rsidRPr="009E35ED" w:rsidRDefault="00672159" w:rsidP="00D4035E">
            <w:pPr>
              <w:ind w:left="0" w:right="-108"/>
              <w:jc w:val="right"/>
              <w:rPr>
                <w:rFonts w:ascii="Arial Narrow" w:hAnsi="Arial Narrow" w:cs="Arial"/>
                <w:b/>
                <w:bCs/>
                <w:color w:val="000000" w:themeColor="text1"/>
                <w:sz w:val="22"/>
                <w:szCs w:val="22"/>
                <w:lang w:val="en-PH" w:eastAsia="en-PH"/>
              </w:rPr>
            </w:pPr>
            <w:r w:rsidRPr="009E35ED">
              <w:rPr>
                <w:rFonts w:ascii="Arial Narrow" w:hAnsi="Arial Narrow"/>
                <w:b/>
                <w:bCs/>
                <w:color w:val="000000" w:themeColor="text1"/>
                <w:sz w:val="22"/>
                <w:szCs w:val="22"/>
              </w:rPr>
              <w:t>4,3</w:t>
            </w:r>
            <w:r w:rsidR="005A75A5" w:rsidRPr="009E35ED">
              <w:rPr>
                <w:rFonts w:ascii="Arial Narrow" w:hAnsi="Arial Narrow"/>
                <w:b/>
                <w:bCs/>
                <w:color w:val="000000" w:themeColor="text1"/>
                <w:sz w:val="22"/>
                <w:szCs w:val="22"/>
              </w:rPr>
              <w:t>90,679</w:t>
            </w:r>
            <w:r w:rsidRPr="009E35ED">
              <w:rPr>
                <w:rFonts w:ascii="Arial Narrow" w:hAnsi="Arial Narrow"/>
                <w:b/>
                <w:bCs/>
                <w:color w:val="000000" w:themeColor="text1"/>
                <w:sz w:val="22"/>
                <w:szCs w:val="22"/>
              </w:rPr>
              <w:t xml:space="preserve"> </w:t>
            </w:r>
          </w:p>
        </w:tc>
      </w:tr>
    </w:tbl>
    <w:p w14:paraId="35025173" w14:textId="77777777" w:rsidR="003158E0" w:rsidRPr="009E35ED" w:rsidRDefault="003158E0" w:rsidP="00876E1B">
      <w:pPr>
        <w:ind w:left="0"/>
        <w:rPr>
          <w:rFonts w:ascii="Arial" w:hAnsi="Arial" w:cs="Arial"/>
          <w:b/>
          <w:color w:val="000000" w:themeColor="text1"/>
          <w:sz w:val="22"/>
          <w:szCs w:val="22"/>
        </w:rPr>
      </w:pPr>
    </w:p>
    <w:tbl>
      <w:tblPr>
        <w:tblW w:w="8660" w:type="dxa"/>
        <w:tblLook w:val="04A0" w:firstRow="1" w:lastRow="0" w:firstColumn="1" w:lastColumn="0" w:noHBand="0" w:noVBand="1"/>
      </w:tblPr>
      <w:tblGrid>
        <w:gridCol w:w="7470"/>
        <w:gridCol w:w="1190"/>
      </w:tblGrid>
      <w:tr w:rsidR="00997F75" w:rsidRPr="009E35ED" w14:paraId="17A144E3" w14:textId="77777777" w:rsidTr="00D4035E">
        <w:trPr>
          <w:trHeight w:val="134"/>
        </w:trPr>
        <w:tc>
          <w:tcPr>
            <w:tcW w:w="7470" w:type="dxa"/>
            <w:tcBorders>
              <w:top w:val="single" w:sz="4" w:space="0" w:color="auto"/>
            </w:tcBorders>
            <w:shd w:val="clear" w:color="auto" w:fill="auto"/>
            <w:noWrap/>
            <w:hideMark/>
          </w:tcPr>
          <w:p w14:paraId="47495FA6" w14:textId="735B2E0A" w:rsidR="00A927FD" w:rsidRPr="009E35ED" w:rsidRDefault="00A927FD" w:rsidP="00B90388">
            <w:pPr>
              <w:keepNext/>
              <w:keepLines/>
              <w:ind w:left="-108"/>
              <w:jc w:val="left"/>
              <w:rPr>
                <w:rFonts w:ascii="Arial Narrow" w:hAnsi="Arial Narrow"/>
                <w:color w:val="000000" w:themeColor="text1"/>
                <w:sz w:val="22"/>
                <w:szCs w:val="22"/>
                <w:lang w:val="en-PH" w:eastAsia="en-PH"/>
              </w:rPr>
            </w:pPr>
            <w:r w:rsidRPr="009E35ED">
              <w:rPr>
                <w:rFonts w:ascii="Arial Narrow" w:hAnsi="Arial Narrow"/>
                <w:color w:val="000000" w:themeColor="text1"/>
                <w:sz w:val="22"/>
                <w:szCs w:val="22"/>
              </w:rPr>
              <w:t xml:space="preserve">Unrestated </w:t>
            </w:r>
            <w:r w:rsidR="000911E5">
              <w:rPr>
                <w:rFonts w:ascii="Arial Narrow" w:hAnsi="Arial Narrow"/>
                <w:color w:val="000000" w:themeColor="text1"/>
                <w:sz w:val="22"/>
                <w:szCs w:val="22"/>
              </w:rPr>
              <w:t>a</w:t>
            </w:r>
            <w:r w:rsidRPr="009E35ED">
              <w:rPr>
                <w:rFonts w:ascii="Arial Narrow" w:hAnsi="Arial Narrow"/>
                <w:color w:val="000000" w:themeColor="text1"/>
                <w:sz w:val="22"/>
                <w:szCs w:val="22"/>
              </w:rPr>
              <w:t>mount as of December 31, 2022</w:t>
            </w:r>
          </w:p>
        </w:tc>
        <w:tc>
          <w:tcPr>
            <w:tcW w:w="1190" w:type="dxa"/>
            <w:tcBorders>
              <w:top w:val="single" w:sz="4" w:space="0" w:color="auto"/>
            </w:tcBorders>
            <w:shd w:val="clear" w:color="auto" w:fill="auto"/>
            <w:noWrap/>
            <w:hideMark/>
          </w:tcPr>
          <w:p w14:paraId="64E74725" w14:textId="3D8422EE" w:rsidR="00A927FD" w:rsidRPr="009E35ED" w:rsidRDefault="00A927FD" w:rsidP="00B90388">
            <w:pPr>
              <w:keepNext/>
              <w:keepLines/>
              <w:ind w:left="0" w:right="-108"/>
              <w:jc w:val="right"/>
              <w:rPr>
                <w:rFonts w:ascii="Arial Narrow" w:hAnsi="Arial Narrow" w:cs="Arial"/>
                <w:color w:val="000000" w:themeColor="text1"/>
                <w:sz w:val="22"/>
                <w:szCs w:val="22"/>
                <w:lang w:val="en-PH" w:eastAsia="en-PH"/>
              </w:rPr>
            </w:pPr>
            <w:r w:rsidRPr="009E35ED">
              <w:rPr>
                <w:rFonts w:ascii="Arial Narrow" w:hAnsi="Arial Narrow"/>
                <w:color w:val="000000" w:themeColor="text1"/>
                <w:sz w:val="22"/>
                <w:szCs w:val="22"/>
              </w:rPr>
              <w:t xml:space="preserve"> (3,478,187)</w:t>
            </w:r>
          </w:p>
        </w:tc>
      </w:tr>
      <w:tr w:rsidR="00997F75" w:rsidRPr="009E35ED" w14:paraId="705D94C4" w14:textId="77777777" w:rsidTr="00D4035E">
        <w:trPr>
          <w:trHeight w:val="107"/>
        </w:trPr>
        <w:tc>
          <w:tcPr>
            <w:tcW w:w="7470" w:type="dxa"/>
            <w:tcBorders>
              <w:bottom w:val="single" w:sz="4" w:space="0" w:color="auto"/>
            </w:tcBorders>
            <w:shd w:val="clear" w:color="auto" w:fill="auto"/>
            <w:noWrap/>
          </w:tcPr>
          <w:p w14:paraId="20DC8844" w14:textId="4B46D2B4" w:rsidR="00A927FD" w:rsidRPr="009E35ED" w:rsidRDefault="00A927FD" w:rsidP="00B90388">
            <w:pPr>
              <w:keepNext/>
              <w:keepLines/>
              <w:ind w:left="-108"/>
              <w:jc w:val="left"/>
              <w:rPr>
                <w:rFonts w:ascii="Arial Narrow" w:hAnsi="Arial Narrow"/>
                <w:color w:val="000000" w:themeColor="text1"/>
                <w:sz w:val="22"/>
                <w:szCs w:val="22"/>
              </w:rPr>
            </w:pPr>
            <w:r w:rsidRPr="009E35ED">
              <w:rPr>
                <w:rFonts w:ascii="Arial Narrow" w:hAnsi="Arial Narrow"/>
                <w:color w:val="000000" w:themeColor="text1"/>
                <w:sz w:val="22"/>
                <w:szCs w:val="22"/>
              </w:rPr>
              <w:t xml:space="preserve">Adjustment/Recording of </w:t>
            </w:r>
            <w:r w:rsidR="000911E5">
              <w:rPr>
                <w:rFonts w:ascii="Arial Narrow" w:hAnsi="Arial Narrow"/>
                <w:color w:val="000000" w:themeColor="text1"/>
                <w:sz w:val="22"/>
                <w:szCs w:val="22"/>
              </w:rPr>
              <w:t>p</w:t>
            </w:r>
            <w:r w:rsidRPr="009E35ED">
              <w:rPr>
                <w:rFonts w:ascii="Arial Narrow" w:hAnsi="Arial Narrow"/>
                <w:color w:val="000000" w:themeColor="text1"/>
                <w:sz w:val="22"/>
                <w:szCs w:val="22"/>
              </w:rPr>
              <w:t xml:space="preserve">rize </w:t>
            </w:r>
            <w:r w:rsidR="000911E5">
              <w:rPr>
                <w:rFonts w:ascii="Arial Narrow" w:hAnsi="Arial Narrow"/>
                <w:color w:val="000000" w:themeColor="text1"/>
                <w:sz w:val="22"/>
                <w:szCs w:val="22"/>
              </w:rPr>
              <w:t>f</w:t>
            </w:r>
            <w:r w:rsidRPr="009E35ED">
              <w:rPr>
                <w:rFonts w:ascii="Arial Narrow" w:hAnsi="Arial Narrow"/>
                <w:color w:val="000000" w:themeColor="text1"/>
                <w:sz w:val="22"/>
                <w:szCs w:val="22"/>
              </w:rPr>
              <w:t>und -</w:t>
            </w:r>
            <w:r w:rsidR="000911E5">
              <w:rPr>
                <w:rFonts w:ascii="Arial Narrow" w:hAnsi="Arial Narrow"/>
                <w:color w:val="000000" w:themeColor="text1"/>
                <w:sz w:val="22"/>
                <w:szCs w:val="22"/>
              </w:rPr>
              <w:t xml:space="preserve"> l</w:t>
            </w:r>
            <w:r w:rsidRPr="009E35ED">
              <w:rPr>
                <w:rFonts w:ascii="Arial Narrow" w:hAnsi="Arial Narrow"/>
                <w:color w:val="000000" w:themeColor="text1"/>
                <w:sz w:val="22"/>
                <w:szCs w:val="22"/>
              </w:rPr>
              <w:t xml:space="preserve">ower </w:t>
            </w:r>
            <w:r w:rsidR="000911E5">
              <w:rPr>
                <w:rFonts w:ascii="Arial Narrow" w:hAnsi="Arial Narrow"/>
                <w:color w:val="000000" w:themeColor="text1"/>
                <w:sz w:val="22"/>
                <w:szCs w:val="22"/>
              </w:rPr>
              <w:t>p</w:t>
            </w:r>
            <w:r w:rsidRPr="009E35ED">
              <w:rPr>
                <w:rFonts w:ascii="Arial Narrow" w:hAnsi="Arial Narrow"/>
                <w:color w:val="000000" w:themeColor="text1"/>
                <w:sz w:val="22"/>
                <w:szCs w:val="22"/>
              </w:rPr>
              <w:t>rize</w:t>
            </w:r>
          </w:p>
        </w:tc>
        <w:tc>
          <w:tcPr>
            <w:tcW w:w="1190" w:type="dxa"/>
            <w:tcBorders>
              <w:bottom w:val="single" w:sz="4" w:space="0" w:color="auto"/>
            </w:tcBorders>
            <w:shd w:val="clear" w:color="auto" w:fill="auto"/>
            <w:noWrap/>
          </w:tcPr>
          <w:p w14:paraId="47645D56" w14:textId="45AD65AE" w:rsidR="00A927FD" w:rsidRPr="009E35ED" w:rsidRDefault="00A927FD" w:rsidP="00B90388">
            <w:pPr>
              <w:keepNext/>
              <w:keepLines/>
              <w:ind w:left="0" w:right="-108"/>
              <w:jc w:val="right"/>
              <w:rPr>
                <w:rFonts w:ascii="Arial Narrow" w:hAnsi="Arial Narrow" w:cs="Arial"/>
                <w:color w:val="000000" w:themeColor="text1"/>
                <w:sz w:val="22"/>
                <w:szCs w:val="22"/>
                <w:lang w:val="en-PH" w:eastAsia="en-PH"/>
              </w:rPr>
            </w:pPr>
            <w:r w:rsidRPr="009E35ED">
              <w:rPr>
                <w:rFonts w:ascii="Arial Narrow" w:hAnsi="Arial Narrow"/>
                <w:color w:val="000000" w:themeColor="text1"/>
                <w:sz w:val="22"/>
                <w:szCs w:val="22"/>
              </w:rPr>
              <w:t xml:space="preserve"> (56,74</w:t>
            </w:r>
            <w:r w:rsidR="00A6193F" w:rsidRPr="009E35ED">
              <w:rPr>
                <w:rFonts w:ascii="Arial Narrow" w:hAnsi="Arial Narrow"/>
                <w:color w:val="000000" w:themeColor="text1"/>
                <w:sz w:val="22"/>
                <w:szCs w:val="22"/>
              </w:rPr>
              <w:t>1</w:t>
            </w:r>
            <w:r w:rsidRPr="009E35ED">
              <w:rPr>
                <w:rFonts w:ascii="Arial Narrow" w:hAnsi="Arial Narrow"/>
                <w:color w:val="000000" w:themeColor="text1"/>
                <w:sz w:val="22"/>
                <w:szCs w:val="22"/>
              </w:rPr>
              <w:t>)</w:t>
            </w:r>
          </w:p>
        </w:tc>
      </w:tr>
      <w:tr w:rsidR="008704C7" w:rsidRPr="009E35ED" w14:paraId="1E83697F" w14:textId="77777777" w:rsidTr="00B90388">
        <w:trPr>
          <w:trHeight w:val="182"/>
        </w:trPr>
        <w:tc>
          <w:tcPr>
            <w:tcW w:w="7470" w:type="dxa"/>
            <w:tcBorders>
              <w:top w:val="single" w:sz="4" w:space="0" w:color="auto"/>
              <w:bottom w:val="double" w:sz="4" w:space="0" w:color="auto"/>
            </w:tcBorders>
            <w:shd w:val="clear" w:color="auto" w:fill="auto"/>
            <w:noWrap/>
            <w:hideMark/>
          </w:tcPr>
          <w:p w14:paraId="51210BF4" w14:textId="4FE3BC06" w:rsidR="00A927FD" w:rsidRPr="009E35ED" w:rsidRDefault="00A927FD" w:rsidP="00B90388">
            <w:pPr>
              <w:keepNext/>
              <w:keepLines/>
              <w:ind w:left="-108"/>
              <w:jc w:val="left"/>
              <w:rPr>
                <w:rFonts w:ascii="Arial Narrow" w:hAnsi="Arial Narrow" w:cs="Arial"/>
                <w:b/>
                <w:bCs/>
                <w:color w:val="000000" w:themeColor="text1"/>
                <w:sz w:val="22"/>
                <w:szCs w:val="22"/>
                <w:lang w:val="en-PH" w:eastAsia="en-PH"/>
              </w:rPr>
            </w:pPr>
            <w:r w:rsidRPr="009E35ED">
              <w:rPr>
                <w:rFonts w:ascii="Arial Narrow" w:hAnsi="Arial Narrow"/>
                <w:b/>
                <w:bCs/>
                <w:color w:val="000000" w:themeColor="text1"/>
                <w:sz w:val="22"/>
                <w:szCs w:val="22"/>
              </w:rPr>
              <w:t>Restated Amount as of December 31, 2022 - Advances for Operating Expenses</w:t>
            </w:r>
          </w:p>
        </w:tc>
        <w:tc>
          <w:tcPr>
            <w:tcW w:w="1190" w:type="dxa"/>
            <w:tcBorders>
              <w:top w:val="single" w:sz="4" w:space="0" w:color="auto"/>
              <w:bottom w:val="double" w:sz="4" w:space="0" w:color="auto"/>
            </w:tcBorders>
            <w:shd w:val="clear" w:color="auto" w:fill="auto"/>
            <w:noWrap/>
            <w:hideMark/>
          </w:tcPr>
          <w:p w14:paraId="7BD46714" w14:textId="53B16369" w:rsidR="00A927FD" w:rsidRPr="009E35ED" w:rsidRDefault="00A927FD" w:rsidP="00B90388">
            <w:pPr>
              <w:keepNext/>
              <w:keepLines/>
              <w:ind w:left="0" w:right="-108"/>
              <w:jc w:val="right"/>
              <w:rPr>
                <w:rFonts w:ascii="Arial Narrow" w:hAnsi="Arial Narrow" w:cs="Arial"/>
                <w:b/>
                <w:bCs/>
                <w:color w:val="000000" w:themeColor="text1"/>
                <w:sz w:val="22"/>
                <w:szCs w:val="22"/>
                <w:lang w:val="en-PH" w:eastAsia="en-PH"/>
              </w:rPr>
            </w:pPr>
            <w:r w:rsidRPr="009E35ED">
              <w:rPr>
                <w:rFonts w:ascii="Arial Narrow" w:hAnsi="Arial Narrow"/>
                <w:b/>
                <w:bCs/>
                <w:color w:val="000000" w:themeColor="text1"/>
                <w:sz w:val="22"/>
                <w:szCs w:val="22"/>
              </w:rPr>
              <w:t xml:space="preserve"> (3,534,92</w:t>
            </w:r>
            <w:r w:rsidR="00A6193F" w:rsidRPr="009E35ED">
              <w:rPr>
                <w:rFonts w:ascii="Arial Narrow" w:hAnsi="Arial Narrow"/>
                <w:b/>
                <w:bCs/>
                <w:color w:val="000000" w:themeColor="text1"/>
                <w:sz w:val="22"/>
                <w:szCs w:val="22"/>
              </w:rPr>
              <w:t>8</w:t>
            </w:r>
            <w:r w:rsidRPr="009E35ED">
              <w:rPr>
                <w:rFonts w:ascii="Arial Narrow" w:hAnsi="Arial Narrow"/>
                <w:b/>
                <w:bCs/>
                <w:color w:val="000000" w:themeColor="text1"/>
                <w:sz w:val="22"/>
                <w:szCs w:val="22"/>
              </w:rPr>
              <w:t>)</w:t>
            </w:r>
          </w:p>
        </w:tc>
      </w:tr>
    </w:tbl>
    <w:p w14:paraId="72DD5E76" w14:textId="77777777" w:rsidR="0053702B" w:rsidRPr="009E35ED" w:rsidRDefault="0053702B" w:rsidP="0053702B">
      <w:pPr>
        <w:ind w:left="0"/>
        <w:rPr>
          <w:rFonts w:ascii="Arial Narrow" w:hAnsi="Arial Narrow" w:cs="Arial"/>
          <w:b/>
          <w:color w:val="000000" w:themeColor="text1"/>
          <w:sz w:val="22"/>
          <w:szCs w:val="22"/>
        </w:rPr>
      </w:pPr>
    </w:p>
    <w:tbl>
      <w:tblPr>
        <w:tblW w:w="8660" w:type="dxa"/>
        <w:tblLook w:val="04A0" w:firstRow="1" w:lastRow="0" w:firstColumn="1" w:lastColumn="0" w:noHBand="0" w:noVBand="1"/>
      </w:tblPr>
      <w:tblGrid>
        <w:gridCol w:w="7470"/>
        <w:gridCol w:w="1190"/>
      </w:tblGrid>
      <w:tr w:rsidR="0053702B" w:rsidRPr="009E35ED" w14:paraId="1A19321A" w14:textId="77777777" w:rsidTr="003813B3">
        <w:trPr>
          <w:trHeight w:val="134"/>
        </w:trPr>
        <w:tc>
          <w:tcPr>
            <w:tcW w:w="7470" w:type="dxa"/>
            <w:tcBorders>
              <w:top w:val="single" w:sz="4" w:space="0" w:color="auto"/>
            </w:tcBorders>
            <w:shd w:val="clear" w:color="auto" w:fill="auto"/>
            <w:noWrap/>
            <w:hideMark/>
          </w:tcPr>
          <w:p w14:paraId="317DC303" w14:textId="770E1B21" w:rsidR="0053702B" w:rsidRPr="009E35ED" w:rsidRDefault="0053702B" w:rsidP="003813B3">
            <w:pPr>
              <w:ind w:left="-108"/>
              <w:jc w:val="left"/>
              <w:rPr>
                <w:rFonts w:ascii="Arial Narrow" w:hAnsi="Arial Narrow"/>
                <w:color w:val="000000" w:themeColor="text1"/>
                <w:sz w:val="22"/>
                <w:szCs w:val="22"/>
                <w:lang w:val="en-PH" w:eastAsia="en-PH"/>
              </w:rPr>
            </w:pPr>
            <w:r w:rsidRPr="009E35ED">
              <w:rPr>
                <w:rFonts w:ascii="Arial Narrow" w:hAnsi="Arial Narrow"/>
                <w:color w:val="000000" w:themeColor="text1"/>
                <w:sz w:val="22"/>
                <w:szCs w:val="22"/>
              </w:rPr>
              <w:t xml:space="preserve">Unrestated </w:t>
            </w:r>
            <w:r w:rsidR="000911E5">
              <w:rPr>
                <w:rFonts w:ascii="Arial Narrow" w:hAnsi="Arial Narrow"/>
                <w:color w:val="000000" w:themeColor="text1"/>
                <w:sz w:val="22"/>
                <w:szCs w:val="22"/>
              </w:rPr>
              <w:t>a</w:t>
            </w:r>
            <w:r w:rsidRPr="009E35ED">
              <w:rPr>
                <w:rFonts w:ascii="Arial Narrow" w:hAnsi="Arial Narrow"/>
                <w:color w:val="000000" w:themeColor="text1"/>
                <w:sz w:val="22"/>
                <w:szCs w:val="22"/>
              </w:rPr>
              <w:t>mount as of December 31, 2022</w:t>
            </w:r>
          </w:p>
        </w:tc>
        <w:tc>
          <w:tcPr>
            <w:tcW w:w="1190" w:type="dxa"/>
            <w:tcBorders>
              <w:top w:val="single" w:sz="4" w:space="0" w:color="auto"/>
            </w:tcBorders>
            <w:shd w:val="clear" w:color="auto" w:fill="auto"/>
            <w:noWrap/>
            <w:hideMark/>
          </w:tcPr>
          <w:p w14:paraId="40AF2487" w14:textId="77777777" w:rsidR="0053702B" w:rsidRPr="009E35ED" w:rsidRDefault="0053702B" w:rsidP="003813B3">
            <w:pPr>
              <w:ind w:left="0" w:right="-108"/>
              <w:jc w:val="right"/>
              <w:rPr>
                <w:rFonts w:ascii="Arial Narrow" w:hAnsi="Arial Narrow" w:cs="Arial"/>
                <w:color w:val="000000" w:themeColor="text1"/>
                <w:sz w:val="22"/>
                <w:szCs w:val="22"/>
                <w:lang w:val="en-PH" w:eastAsia="en-PH"/>
              </w:rPr>
            </w:pPr>
            <w:r w:rsidRPr="009E35ED">
              <w:rPr>
                <w:rFonts w:ascii="Arial Narrow" w:hAnsi="Arial Narrow"/>
                <w:color w:val="000000" w:themeColor="text1"/>
                <w:sz w:val="22"/>
                <w:szCs w:val="22"/>
              </w:rPr>
              <w:t xml:space="preserve"> 9,387,524 </w:t>
            </w:r>
          </w:p>
        </w:tc>
      </w:tr>
      <w:tr w:rsidR="0053702B" w:rsidRPr="009E35ED" w14:paraId="608C20F4" w14:textId="77777777" w:rsidTr="003813B3">
        <w:trPr>
          <w:trHeight w:val="107"/>
        </w:trPr>
        <w:tc>
          <w:tcPr>
            <w:tcW w:w="7470" w:type="dxa"/>
            <w:tcBorders>
              <w:bottom w:val="single" w:sz="4" w:space="0" w:color="auto"/>
            </w:tcBorders>
            <w:shd w:val="clear" w:color="auto" w:fill="auto"/>
            <w:noWrap/>
          </w:tcPr>
          <w:p w14:paraId="53A3C7DE" w14:textId="70750E2F" w:rsidR="0053702B" w:rsidRPr="009E35ED" w:rsidRDefault="0053702B" w:rsidP="003813B3">
            <w:pPr>
              <w:ind w:left="-108"/>
              <w:jc w:val="left"/>
              <w:rPr>
                <w:rFonts w:ascii="Arial Narrow" w:hAnsi="Arial Narrow"/>
                <w:color w:val="000000" w:themeColor="text1"/>
                <w:sz w:val="22"/>
                <w:szCs w:val="22"/>
              </w:rPr>
            </w:pPr>
            <w:r w:rsidRPr="009E35ED">
              <w:rPr>
                <w:rFonts w:ascii="Arial Narrow" w:hAnsi="Arial Narrow"/>
                <w:color w:val="000000" w:themeColor="text1"/>
                <w:sz w:val="22"/>
                <w:szCs w:val="22"/>
              </w:rPr>
              <w:t xml:space="preserve">Adjustment/Recording of </w:t>
            </w:r>
            <w:r w:rsidR="000911E5">
              <w:rPr>
                <w:rFonts w:ascii="Arial Narrow" w:hAnsi="Arial Narrow"/>
                <w:color w:val="000000" w:themeColor="text1"/>
                <w:sz w:val="22"/>
                <w:szCs w:val="22"/>
              </w:rPr>
              <w:t>p</w:t>
            </w:r>
            <w:r w:rsidRPr="009E35ED">
              <w:rPr>
                <w:rFonts w:ascii="Arial Narrow" w:hAnsi="Arial Narrow"/>
                <w:color w:val="000000" w:themeColor="text1"/>
                <w:sz w:val="22"/>
                <w:szCs w:val="22"/>
              </w:rPr>
              <w:t xml:space="preserve">rize </w:t>
            </w:r>
            <w:r w:rsidR="000911E5">
              <w:rPr>
                <w:rFonts w:ascii="Arial Narrow" w:hAnsi="Arial Narrow"/>
                <w:color w:val="000000" w:themeColor="text1"/>
                <w:sz w:val="22"/>
                <w:szCs w:val="22"/>
              </w:rPr>
              <w:t>f</w:t>
            </w:r>
            <w:r w:rsidRPr="009E35ED">
              <w:rPr>
                <w:rFonts w:ascii="Arial Narrow" w:hAnsi="Arial Narrow"/>
                <w:color w:val="000000" w:themeColor="text1"/>
                <w:sz w:val="22"/>
                <w:szCs w:val="22"/>
              </w:rPr>
              <w:t xml:space="preserve">und - </w:t>
            </w:r>
            <w:r w:rsidR="000911E5">
              <w:rPr>
                <w:rFonts w:ascii="Arial Narrow" w:hAnsi="Arial Narrow"/>
                <w:color w:val="000000" w:themeColor="text1"/>
                <w:sz w:val="22"/>
                <w:szCs w:val="22"/>
              </w:rPr>
              <w:t>l</w:t>
            </w:r>
            <w:r w:rsidRPr="009E35ED">
              <w:rPr>
                <w:rFonts w:ascii="Arial Narrow" w:hAnsi="Arial Narrow"/>
                <w:color w:val="000000" w:themeColor="text1"/>
                <w:sz w:val="22"/>
                <w:szCs w:val="22"/>
              </w:rPr>
              <w:t xml:space="preserve">ower </w:t>
            </w:r>
            <w:r w:rsidR="000911E5">
              <w:rPr>
                <w:rFonts w:ascii="Arial Narrow" w:hAnsi="Arial Narrow"/>
                <w:color w:val="000000" w:themeColor="text1"/>
                <w:sz w:val="22"/>
                <w:szCs w:val="22"/>
              </w:rPr>
              <w:t>p</w:t>
            </w:r>
            <w:r w:rsidRPr="009E35ED">
              <w:rPr>
                <w:rFonts w:ascii="Arial Narrow" w:hAnsi="Arial Narrow"/>
                <w:color w:val="000000" w:themeColor="text1"/>
                <w:sz w:val="22"/>
                <w:szCs w:val="22"/>
              </w:rPr>
              <w:t>rize</w:t>
            </w:r>
          </w:p>
        </w:tc>
        <w:tc>
          <w:tcPr>
            <w:tcW w:w="1190" w:type="dxa"/>
            <w:tcBorders>
              <w:bottom w:val="single" w:sz="4" w:space="0" w:color="auto"/>
            </w:tcBorders>
            <w:shd w:val="clear" w:color="auto" w:fill="auto"/>
            <w:noWrap/>
          </w:tcPr>
          <w:p w14:paraId="4D3760DF" w14:textId="77777777" w:rsidR="0053702B" w:rsidRPr="009E35ED" w:rsidRDefault="0053702B" w:rsidP="003813B3">
            <w:pPr>
              <w:ind w:left="0" w:right="-108"/>
              <w:jc w:val="right"/>
              <w:rPr>
                <w:rFonts w:ascii="Arial Narrow" w:hAnsi="Arial Narrow" w:cs="Arial"/>
                <w:color w:val="000000" w:themeColor="text1"/>
                <w:sz w:val="22"/>
                <w:szCs w:val="22"/>
                <w:lang w:val="en-PH" w:eastAsia="en-PH"/>
              </w:rPr>
            </w:pPr>
            <w:r w:rsidRPr="009E35ED">
              <w:rPr>
                <w:rFonts w:ascii="Arial Narrow" w:hAnsi="Arial Narrow"/>
                <w:color w:val="000000" w:themeColor="text1"/>
                <w:sz w:val="22"/>
                <w:szCs w:val="22"/>
              </w:rPr>
              <w:t xml:space="preserve"> (54,549)</w:t>
            </w:r>
          </w:p>
        </w:tc>
      </w:tr>
      <w:tr w:rsidR="0053702B" w:rsidRPr="009E35ED" w14:paraId="21E1F964" w14:textId="77777777" w:rsidTr="00B90388">
        <w:trPr>
          <w:trHeight w:val="253"/>
        </w:trPr>
        <w:tc>
          <w:tcPr>
            <w:tcW w:w="7470" w:type="dxa"/>
            <w:tcBorders>
              <w:top w:val="single" w:sz="4" w:space="0" w:color="auto"/>
              <w:bottom w:val="double" w:sz="4" w:space="0" w:color="auto"/>
            </w:tcBorders>
            <w:shd w:val="clear" w:color="auto" w:fill="auto"/>
            <w:noWrap/>
            <w:hideMark/>
          </w:tcPr>
          <w:p w14:paraId="7AD91797" w14:textId="77777777" w:rsidR="0053702B" w:rsidRPr="009E35ED" w:rsidRDefault="0053702B" w:rsidP="003813B3">
            <w:pPr>
              <w:ind w:left="-108"/>
              <w:jc w:val="left"/>
              <w:rPr>
                <w:rFonts w:ascii="Arial Narrow" w:hAnsi="Arial Narrow" w:cs="Arial"/>
                <w:b/>
                <w:bCs/>
                <w:color w:val="000000" w:themeColor="text1"/>
                <w:sz w:val="22"/>
                <w:szCs w:val="22"/>
                <w:lang w:val="en-PH" w:eastAsia="en-PH"/>
              </w:rPr>
            </w:pPr>
            <w:r w:rsidRPr="009E35ED">
              <w:rPr>
                <w:rFonts w:ascii="Arial Narrow" w:hAnsi="Arial Narrow"/>
                <w:b/>
                <w:bCs/>
                <w:color w:val="000000" w:themeColor="text1"/>
                <w:sz w:val="22"/>
                <w:szCs w:val="22"/>
              </w:rPr>
              <w:t>Restated Amount as of December 31, 2022 - Advances to Special Disbursing Officer</w:t>
            </w:r>
          </w:p>
        </w:tc>
        <w:tc>
          <w:tcPr>
            <w:tcW w:w="1190" w:type="dxa"/>
            <w:tcBorders>
              <w:top w:val="single" w:sz="4" w:space="0" w:color="auto"/>
              <w:bottom w:val="double" w:sz="4" w:space="0" w:color="auto"/>
            </w:tcBorders>
            <w:shd w:val="clear" w:color="auto" w:fill="auto"/>
            <w:noWrap/>
            <w:hideMark/>
          </w:tcPr>
          <w:p w14:paraId="756AEBB8" w14:textId="77777777" w:rsidR="0053702B" w:rsidRPr="009E35ED" w:rsidRDefault="0053702B" w:rsidP="003813B3">
            <w:pPr>
              <w:ind w:left="0" w:right="-108"/>
              <w:jc w:val="right"/>
              <w:rPr>
                <w:rFonts w:ascii="Arial Narrow" w:hAnsi="Arial Narrow" w:cs="Arial"/>
                <w:b/>
                <w:bCs/>
                <w:color w:val="000000" w:themeColor="text1"/>
                <w:sz w:val="22"/>
                <w:szCs w:val="22"/>
                <w:lang w:val="en-PH" w:eastAsia="en-PH"/>
              </w:rPr>
            </w:pPr>
            <w:r w:rsidRPr="009E35ED">
              <w:rPr>
                <w:rFonts w:ascii="Arial Narrow" w:hAnsi="Arial Narrow"/>
                <w:b/>
                <w:bCs/>
                <w:color w:val="000000" w:themeColor="text1"/>
                <w:sz w:val="22"/>
                <w:szCs w:val="22"/>
              </w:rPr>
              <w:t xml:space="preserve"> 9,332,975 </w:t>
            </w:r>
          </w:p>
        </w:tc>
      </w:tr>
    </w:tbl>
    <w:p w14:paraId="3662A35C" w14:textId="34903F7B" w:rsidR="00686337" w:rsidRPr="009E35ED" w:rsidRDefault="00686337" w:rsidP="00876E1B">
      <w:pPr>
        <w:ind w:left="0"/>
        <w:rPr>
          <w:rFonts w:ascii="Arial" w:hAnsi="Arial" w:cs="Arial"/>
          <w:b/>
          <w:color w:val="000000" w:themeColor="text1"/>
          <w:sz w:val="22"/>
          <w:szCs w:val="22"/>
        </w:rPr>
      </w:pPr>
    </w:p>
    <w:p w14:paraId="06F38531" w14:textId="77777777" w:rsidR="00686337" w:rsidRPr="009E35ED" w:rsidRDefault="00686337" w:rsidP="00876E1B">
      <w:pPr>
        <w:ind w:left="0"/>
        <w:rPr>
          <w:rFonts w:ascii="Arial" w:hAnsi="Arial" w:cs="Arial"/>
          <w:b/>
          <w:color w:val="000000" w:themeColor="text1"/>
          <w:sz w:val="22"/>
          <w:szCs w:val="22"/>
        </w:rPr>
      </w:pPr>
    </w:p>
    <w:p w14:paraId="1EABE939" w14:textId="77777777" w:rsidR="00773A7F" w:rsidRPr="009E35ED" w:rsidRDefault="00A577B7" w:rsidP="001C371F">
      <w:pPr>
        <w:pStyle w:val="ListParagraph"/>
        <w:numPr>
          <w:ilvl w:val="0"/>
          <w:numId w:val="13"/>
        </w:numPr>
        <w:ind w:left="720" w:hanging="720"/>
        <w:contextualSpacing/>
        <w:rPr>
          <w:rFonts w:ascii="Arial" w:hAnsi="Arial" w:cs="Arial"/>
          <w:b/>
          <w:color w:val="000000" w:themeColor="text1"/>
          <w:sz w:val="22"/>
          <w:szCs w:val="22"/>
        </w:rPr>
      </w:pPr>
      <w:r w:rsidRPr="009E35ED">
        <w:rPr>
          <w:rFonts w:ascii="Arial" w:hAnsi="Arial" w:cs="Arial"/>
          <w:b/>
          <w:color w:val="000000" w:themeColor="text1"/>
          <w:sz w:val="22"/>
          <w:szCs w:val="22"/>
        </w:rPr>
        <w:t>FINANCIAL ASSETS</w:t>
      </w:r>
    </w:p>
    <w:p w14:paraId="441EF5EA" w14:textId="77777777" w:rsidR="00773A7F" w:rsidRPr="009E35ED" w:rsidRDefault="00773A7F" w:rsidP="00803F8C">
      <w:pPr>
        <w:ind w:left="540" w:hanging="540"/>
        <w:contextualSpacing/>
        <w:rPr>
          <w:rFonts w:ascii="Arial" w:hAnsi="Arial" w:cs="Arial"/>
          <w:color w:val="000000" w:themeColor="text1"/>
          <w:sz w:val="22"/>
          <w:szCs w:val="22"/>
        </w:rPr>
      </w:pPr>
    </w:p>
    <w:p w14:paraId="72CCF369" w14:textId="70C38072" w:rsidR="00272E39" w:rsidRPr="009E35ED" w:rsidRDefault="006E34FF" w:rsidP="00803F8C">
      <w:pPr>
        <w:ind w:left="0"/>
        <w:contextualSpacing/>
        <w:rPr>
          <w:rFonts w:ascii="Arial" w:hAnsi="Arial" w:cs="Arial"/>
          <w:color w:val="000000" w:themeColor="text1"/>
          <w:sz w:val="22"/>
          <w:szCs w:val="22"/>
        </w:rPr>
      </w:pPr>
      <w:r w:rsidRPr="009E35ED">
        <w:rPr>
          <w:rFonts w:ascii="Arial" w:hAnsi="Arial" w:cs="Arial"/>
          <w:color w:val="000000" w:themeColor="text1"/>
          <w:sz w:val="22"/>
          <w:szCs w:val="22"/>
        </w:rPr>
        <w:t xml:space="preserve">This account </w:t>
      </w:r>
      <w:r w:rsidR="006A4AF4" w:rsidRPr="009E35ED">
        <w:rPr>
          <w:rFonts w:ascii="Arial" w:hAnsi="Arial" w:cs="Arial"/>
          <w:color w:val="000000" w:themeColor="text1"/>
          <w:sz w:val="22"/>
          <w:szCs w:val="22"/>
        </w:rPr>
        <w:t xml:space="preserve">consists </w:t>
      </w:r>
      <w:r w:rsidRPr="009E35ED">
        <w:rPr>
          <w:rFonts w:ascii="Arial" w:hAnsi="Arial" w:cs="Arial"/>
          <w:color w:val="000000" w:themeColor="text1"/>
          <w:sz w:val="22"/>
          <w:szCs w:val="22"/>
        </w:rPr>
        <w:t>the following:</w:t>
      </w:r>
    </w:p>
    <w:p w14:paraId="3BA30871" w14:textId="77777777" w:rsidR="008B182E" w:rsidRPr="009E35ED" w:rsidRDefault="008B182E" w:rsidP="00803F8C">
      <w:pPr>
        <w:ind w:left="0"/>
        <w:contextualSpacing/>
        <w:rPr>
          <w:rFonts w:ascii="Arial" w:hAnsi="Arial" w:cs="Arial"/>
          <w:color w:val="000000" w:themeColor="text1"/>
          <w:sz w:val="22"/>
          <w:szCs w:val="22"/>
        </w:rPr>
      </w:pPr>
    </w:p>
    <w:tbl>
      <w:tblPr>
        <w:tblW w:w="8643" w:type="dxa"/>
        <w:tblLook w:val="04A0" w:firstRow="1" w:lastRow="0" w:firstColumn="1" w:lastColumn="0" w:noHBand="0" w:noVBand="1"/>
      </w:tblPr>
      <w:tblGrid>
        <w:gridCol w:w="267"/>
        <w:gridCol w:w="5403"/>
        <w:gridCol w:w="1470"/>
        <w:gridCol w:w="1503"/>
      </w:tblGrid>
      <w:tr w:rsidR="00997F75" w:rsidRPr="009E35ED" w14:paraId="48D6F805" w14:textId="77777777" w:rsidTr="00D4035E">
        <w:trPr>
          <w:trHeight w:val="220"/>
        </w:trPr>
        <w:tc>
          <w:tcPr>
            <w:tcW w:w="267" w:type="dxa"/>
            <w:tcBorders>
              <w:top w:val="single" w:sz="4" w:space="0" w:color="auto"/>
              <w:left w:val="nil"/>
              <w:bottom w:val="nil"/>
              <w:right w:val="nil"/>
            </w:tcBorders>
            <w:shd w:val="clear" w:color="auto" w:fill="auto"/>
            <w:noWrap/>
            <w:vAlign w:val="bottom"/>
            <w:hideMark/>
          </w:tcPr>
          <w:p w14:paraId="6BCAC2BE" w14:textId="77777777" w:rsidR="00D54E88" w:rsidRPr="009E35ED" w:rsidRDefault="00D54E88" w:rsidP="00D54E88">
            <w:pPr>
              <w:ind w:left="0"/>
              <w:jc w:val="left"/>
              <w:rPr>
                <w:rFonts w:ascii="Arial Narrow" w:hAnsi="Arial Narrow"/>
                <w:color w:val="000000" w:themeColor="text1"/>
                <w:sz w:val="22"/>
                <w:szCs w:val="22"/>
              </w:rPr>
            </w:pPr>
          </w:p>
        </w:tc>
        <w:tc>
          <w:tcPr>
            <w:tcW w:w="5403" w:type="dxa"/>
            <w:tcBorders>
              <w:top w:val="single" w:sz="4" w:space="0" w:color="auto"/>
              <w:left w:val="nil"/>
              <w:bottom w:val="nil"/>
              <w:right w:val="nil"/>
            </w:tcBorders>
            <w:shd w:val="clear" w:color="auto" w:fill="auto"/>
            <w:noWrap/>
            <w:vAlign w:val="bottom"/>
            <w:hideMark/>
          </w:tcPr>
          <w:p w14:paraId="5C9DE849" w14:textId="77777777" w:rsidR="00D54E88" w:rsidRPr="009E35ED" w:rsidRDefault="00D54E88" w:rsidP="00D54E88">
            <w:pPr>
              <w:ind w:left="0"/>
              <w:jc w:val="left"/>
              <w:rPr>
                <w:rFonts w:ascii="Arial Narrow" w:hAnsi="Arial Narrow"/>
                <w:color w:val="000000" w:themeColor="text1"/>
                <w:sz w:val="22"/>
                <w:szCs w:val="22"/>
              </w:rPr>
            </w:pPr>
          </w:p>
        </w:tc>
        <w:tc>
          <w:tcPr>
            <w:tcW w:w="1470" w:type="dxa"/>
            <w:tcBorders>
              <w:top w:val="single" w:sz="4" w:space="0" w:color="auto"/>
              <w:left w:val="nil"/>
              <w:bottom w:val="nil"/>
              <w:right w:val="nil"/>
            </w:tcBorders>
            <w:shd w:val="clear" w:color="auto" w:fill="auto"/>
            <w:noWrap/>
            <w:vAlign w:val="bottom"/>
            <w:hideMark/>
          </w:tcPr>
          <w:p w14:paraId="30E51CB3" w14:textId="55A312BF" w:rsidR="00D54E88" w:rsidRPr="009E35ED" w:rsidRDefault="003F591D" w:rsidP="00D54E88">
            <w:pPr>
              <w:ind w:left="0"/>
              <w:jc w:val="right"/>
              <w:rPr>
                <w:rFonts w:ascii="Arial Narrow" w:hAnsi="Arial Narrow" w:cs="Calibri"/>
                <w:b/>
                <w:bCs/>
                <w:color w:val="000000" w:themeColor="text1"/>
                <w:sz w:val="22"/>
                <w:szCs w:val="22"/>
              </w:rPr>
            </w:pPr>
            <w:r w:rsidRPr="009E35ED">
              <w:rPr>
                <w:rFonts w:ascii="Arial Narrow" w:hAnsi="Arial Narrow" w:cs="Calibri"/>
                <w:b/>
                <w:bCs/>
                <w:color w:val="000000" w:themeColor="text1"/>
                <w:sz w:val="22"/>
                <w:szCs w:val="22"/>
              </w:rPr>
              <w:t>202</w:t>
            </w:r>
            <w:r w:rsidR="00FA1002" w:rsidRPr="009E35ED">
              <w:rPr>
                <w:rFonts w:ascii="Arial Narrow" w:hAnsi="Arial Narrow" w:cs="Calibri"/>
                <w:b/>
                <w:bCs/>
                <w:color w:val="000000" w:themeColor="text1"/>
                <w:sz w:val="22"/>
                <w:szCs w:val="22"/>
              </w:rPr>
              <w:t>3</w:t>
            </w:r>
          </w:p>
        </w:tc>
        <w:tc>
          <w:tcPr>
            <w:tcW w:w="1503" w:type="dxa"/>
            <w:tcBorders>
              <w:top w:val="single" w:sz="4" w:space="0" w:color="auto"/>
              <w:left w:val="nil"/>
              <w:bottom w:val="nil"/>
              <w:right w:val="nil"/>
            </w:tcBorders>
            <w:shd w:val="clear" w:color="auto" w:fill="auto"/>
            <w:noWrap/>
            <w:vAlign w:val="bottom"/>
            <w:hideMark/>
          </w:tcPr>
          <w:p w14:paraId="608AD33F" w14:textId="19D4D915" w:rsidR="00D54E88" w:rsidRPr="009E35ED" w:rsidRDefault="003F591D" w:rsidP="00D4035E">
            <w:pPr>
              <w:ind w:left="0" w:right="-108"/>
              <w:jc w:val="right"/>
              <w:rPr>
                <w:rFonts w:ascii="Arial Narrow" w:hAnsi="Arial Narrow" w:cs="Calibri"/>
                <w:b/>
                <w:bCs/>
                <w:color w:val="000000" w:themeColor="text1"/>
                <w:sz w:val="22"/>
                <w:szCs w:val="22"/>
              </w:rPr>
            </w:pPr>
            <w:r w:rsidRPr="009E35ED">
              <w:rPr>
                <w:rFonts w:ascii="Arial Narrow" w:hAnsi="Arial Narrow" w:cs="Calibri"/>
                <w:b/>
                <w:bCs/>
                <w:color w:val="000000" w:themeColor="text1"/>
                <w:sz w:val="22"/>
                <w:szCs w:val="22"/>
              </w:rPr>
              <w:t>202</w:t>
            </w:r>
            <w:r w:rsidR="00FA1002" w:rsidRPr="009E35ED">
              <w:rPr>
                <w:rFonts w:ascii="Arial Narrow" w:hAnsi="Arial Narrow" w:cs="Calibri"/>
                <w:b/>
                <w:bCs/>
                <w:color w:val="000000" w:themeColor="text1"/>
                <w:sz w:val="22"/>
                <w:szCs w:val="22"/>
              </w:rPr>
              <w:t>2</w:t>
            </w:r>
          </w:p>
        </w:tc>
      </w:tr>
      <w:tr w:rsidR="00997F75" w:rsidRPr="009E35ED" w14:paraId="5C1EB43B" w14:textId="77777777" w:rsidTr="00D4035E">
        <w:trPr>
          <w:trHeight w:val="220"/>
        </w:trPr>
        <w:tc>
          <w:tcPr>
            <w:tcW w:w="267" w:type="dxa"/>
            <w:tcBorders>
              <w:top w:val="nil"/>
              <w:left w:val="nil"/>
              <w:bottom w:val="single" w:sz="4" w:space="0" w:color="auto"/>
              <w:right w:val="nil"/>
            </w:tcBorders>
            <w:shd w:val="clear" w:color="auto" w:fill="auto"/>
            <w:noWrap/>
            <w:vAlign w:val="bottom"/>
            <w:hideMark/>
          </w:tcPr>
          <w:p w14:paraId="79F5B360" w14:textId="77777777" w:rsidR="00D54E88" w:rsidRPr="009E35ED" w:rsidRDefault="00D54E88" w:rsidP="00D54E88">
            <w:pPr>
              <w:ind w:left="0"/>
              <w:jc w:val="center"/>
              <w:rPr>
                <w:rFonts w:ascii="Arial Narrow" w:hAnsi="Arial Narrow" w:cs="Calibri"/>
                <w:b/>
                <w:bCs/>
                <w:color w:val="000000" w:themeColor="text1"/>
                <w:sz w:val="22"/>
                <w:szCs w:val="22"/>
              </w:rPr>
            </w:pPr>
            <w:r w:rsidRPr="009E35ED">
              <w:rPr>
                <w:rFonts w:ascii="Arial Narrow" w:hAnsi="Arial Narrow" w:cs="Calibri"/>
                <w:b/>
                <w:bCs/>
                <w:color w:val="000000" w:themeColor="text1"/>
                <w:sz w:val="22"/>
                <w:szCs w:val="22"/>
              </w:rPr>
              <w:t> </w:t>
            </w:r>
          </w:p>
        </w:tc>
        <w:tc>
          <w:tcPr>
            <w:tcW w:w="5403" w:type="dxa"/>
            <w:tcBorders>
              <w:top w:val="nil"/>
              <w:left w:val="nil"/>
              <w:bottom w:val="single" w:sz="4" w:space="0" w:color="auto"/>
              <w:right w:val="nil"/>
            </w:tcBorders>
            <w:shd w:val="clear" w:color="auto" w:fill="auto"/>
            <w:noWrap/>
            <w:vAlign w:val="bottom"/>
            <w:hideMark/>
          </w:tcPr>
          <w:p w14:paraId="61EF68BA" w14:textId="77777777" w:rsidR="00D54E88" w:rsidRPr="009E35ED" w:rsidRDefault="00D54E88" w:rsidP="00D54E88">
            <w:pPr>
              <w:ind w:left="0"/>
              <w:jc w:val="center"/>
              <w:rPr>
                <w:rFonts w:ascii="Arial Narrow" w:hAnsi="Arial Narrow" w:cs="Calibri"/>
                <w:b/>
                <w:bCs/>
                <w:color w:val="000000" w:themeColor="text1"/>
                <w:sz w:val="22"/>
                <w:szCs w:val="22"/>
              </w:rPr>
            </w:pPr>
            <w:r w:rsidRPr="009E35ED">
              <w:rPr>
                <w:rFonts w:ascii="Arial Narrow" w:hAnsi="Arial Narrow" w:cs="Calibri"/>
                <w:b/>
                <w:bCs/>
                <w:color w:val="000000" w:themeColor="text1"/>
                <w:sz w:val="22"/>
                <w:szCs w:val="22"/>
              </w:rPr>
              <w:t> </w:t>
            </w:r>
          </w:p>
        </w:tc>
        <w:tc>
          <w:tcPr>
            <w:tcW w:w="1470" w:type="dxa"/>
            <w:tcBorders>
              <w:top w:val="nil"/>
              <w:left w:val="nil"/>
              <w:bottom w:val="single" w:sz="4" w:space="0" w:color="auto"/>
              <w:right w:val="nil"/>
            </w:tcBorders>
            <w:shd w:val="clear" w:color="auto" w:fill="auto"/>
            <w:noWrap/>
            <w:vAlign w:val="bottom"/>
            <w:hideMark/>
          </w:tcPr>
          <w:p w14:paraId="38919557" w14:textId="77777777" w:rsidR="00D54E88" w:rsidRPr="009E35ED" w:rsidRDefault="00D54E88" w:rsidP="00D54E88">
            <w:pPr>
              <w:ind w:left="0"/>
              <w:jc w:val="right"/>
              <w:rPr>
                <w:rFonts w:ascii="Arial Narrow" w:hAnsi="Arial Narrow" w:cs="Calibri"/>
                <w:color w:val="000000" w:themeColor="text1"/>
                <w:sz w:val="22"/>
                <w:szCs w:val="22"/>
              </w:rPr>
            </w:pPr>
            <w:r w:rsidRPr="009E35ED">
              <w:rPr>
                <w:rFonts w:ascii="Arial Narrow" w:hAnsi="Arial Narrow" w:cs="Calibri"/>
                <w:color w:val="000000" w:themeColor="text1"/>
                <w:sz w:val="22"/>
                <w:szCs w:val="22"/>
              </w:rPr>
              <w:t> </w:t>
            </w:r>
          </w:p>
        </w:tc>
        <w:tc>
          <w:tcPr>
            <w:tcW w:w="1503" w:type="dxa"/>
            <w:tcBorders>
              <w:top w:val="nil"/>
              <w:left w:val="nil"/>
              <w:bottom w:val="single" w:sz="4" w:space="0" w:color="auto"/>
              <w:right w:val="nil"/>
            </w:tcBorders>
            <w:shd w:val="clear" w:color="auto" w:fill="auto"/>
            <w:noWrap/>
            <w:vAlign w:val="bottom"/>
            <w:hideMark/>
          </w:tcPr>
          <w:p w14:paraId="441B086A" w14:textId="5EE397CB" w:rsidR="00D54E88" w:rsidRPr="009E35ED" w:rsidRDefault="002621D8" w:rsidP="00D4035E">
            <w:pPr>
              <w:ind w:left="0" w:right="-108"/>
              <w:jc w:val="right"/>
              <w:rPr>
                <w:rFonts w:ascii="Arial Narrow" w:hAnsi="Arial Narrow" w:cs="Calibri"/>
                <w:b/>
                <w:bCs/>
                <w:color w:val="000000" w:themeColor="text1"/>
                <w:sz w:val="22"/>
                <w:szCs w:val="22"/>
              </w:rPr>
            </w:pPr>
            <w:r w:rsidRPr="009E35ED">
              <w:rPr>
                <w:rFonts w:ascii="Arial Narrow" w:hAnsi="Arial Narrow" w:cs="Calibri"/>
                <w:b/>
                <w:bCs/>
                <w:color w:val="000000" w:themeColor="text1"/>
                <w:sz w:val="22"/>
                <w:szCs w:val="22"/>
              </w:rPr>
              <w:t>As Restated</w:t>
            </w:r>
          </w:p>
        </w:tc>
      </w:tr>
      <w:tr w:rsidR="00997F75" w:rsidRPr="009E35ED" w14:paraId="364AA496" w14:textId="77777777" w:rsidTr="00D4035E">
        <w:trPr>
          <w:trHeight w:val="220"/>
        </w:trPr>
        <w:tc>
          <w:tcPr>
            <w:tcW w:w="5670" w:type="dxa"/>
            <w:gridSpan w:val="2"/>
            <w:tcBorders>
              <w:top w:val="nil"/>
              <w:left w:val="nil"/>
              <w:bottom w:val="nil"/>
              <w:right w:val="nil"/>
            </w:tcBorders>
            <w:shd w:val="clear" w:color="auto" w:fill="auto"/>
            <w:noWrap/>
            <w:vAlign w:val="bottom"/>
            <w:hideMark/>
          </w:tcPr>
          <w:p w14:paraId="20F52097" w14:textId="77777777" w:rsidR="00D54E88" w:rsidRPr="009E35ED" w:rsidRDefault="00D54E88" w:rsidP="00D4035E">
            <w:pPr>
              <w:ind w:left="-18"/>
              <w:jc w:val="left"/>
              <w:rPr>
                <w:rFonts w:ascii="Arial Narrow" w:hAnsi="Arial Narrow" w:cs="Calibri"/>
                <w:b/>
                <w:bCs/>
                <w:color w:val="000000" w:themeColor="text1"/>
                <w:sz w:val="22"/>
                <w:szCs w:val="22"/>
              </w:rPr>
            </w:pPr>
            <w:r w:rsidRPr="009E35ED">
              <w:rPr>
                <w:rFonts w:ascii="Arial Narrow" w:hAnsi="Arial Narrow" w:cs="Calibri"/>
                <w:b/>
                <w:bCs/>
                <w:color w:val="000000" w:themeColor="text1"/>
                <w:sz w:val="22"/>
                <w:szCs w:val="22"/>
              </w:rPr>
              <w:t>Financial Assets</w:t>
            </w:r>
          </w:p>
        </w:tc>
        <w:tc>
          <w:tcPr>
            <w:tcW w:w="1470" w:type="dxa"/>
            <w:tcBorders>
              <w:top w:val="nil"/>
              <w:left w:val="nil"/>
              <w:bottom w:val="nil"/>
              <w:right w:val="nil"/>
            </w:tcBorders>
            <w:shd w:val="clear" w:color="auto" w:fill="auto"/>
            <w:noWrap/>
            <w:vAlign w:val="bottom"/>
            <w:hideMark/>
          </w:tcPr>
          <w:p w14:paraId="76EFFC92" w14:textId="77777777" w:rsidR="00D54E88" w:rsidRPr="009E35ED" w:rsidRDefault="00D54E88" w:rsidP="00D54E88">
            <w:pPr>
              <w:ind w:left="0"/>
              <w:jc w:val="right"/>
              <w:rPr>
                <w:rFonts w:ascii="Arial Narrow" w:hAnsi="Arial Narrow" w:cs="Calibri"/>
                <w:b/>
                <w:bCs/>
                <w:color w:val="000000" w:themeColor="text1"/>
                <w:sz w:val="22"/>
                <w:szCs w:val="22"/>
              </w:rPr>
            </w:pPr>
          </w:p>
        </w:tc>
        <w:tc>
          <w:tcPr>
            <w:tcW w:w="1503" w:type="dxa"/>
            <w:tcBorders>
              <w:top w:val="nil"/>
              <w:left w:val="nil"/>
              <w:bottom w:val="nil"/>
              <w:right w:val="nil"/>
            </w:tcBorders>
            <w:shd w:val="clear" w:color="auto" w:fill="auto"/>
            <w:noWrap/>
            <w:vAlign w:val="bottom"/>
            <w:hideMark/>
          </w:tcPr>
          <w:p w14:paraId="6FB96453" w14:textId="77777777" w:rsidR="00D54E88" w:rsidRPr="009E35ED" w:rsidRDefault="00D54E88" w:rsidP="00D4035E">
            <w:pPr>
              <w:ind w:left="0" w:right="-108"/>
              <w:jc w:val="right"/>
              <w:rPr>
                <w:rFonts w:ascii="Arial Narrow" w:hAnsi="Arial Narrow"/>
                <w:color w:val="000000" w:themeColor="text1"/>
                <w:sz w:val="22"/>
                <w:szCs w:val="22"/>
              </w:rPr>
            </w:pPr>
          </w:p>
        </w:tc>
      </w:tr>
      <w:tr w:rsidR="00997F75" w:rsidRPr="009E35ED" w14:paraId="36E2984A" w14:textId="77777777" w:rsidTr="00D4035E">
        <w:trPr>
          <w:trHeight w:val="220"/>
        </w:trPr>
        <w:tc>
          <w:tcPr>
            <w:tcW w:w="267" w:type="dxa"/>
            <w:tcBorders>
              <w:top w:val="nil"/>
              <w:left w:val="nil"/>
              <w:bottom w:val="nil"/>
              <w:right w:val="nil"/>
            </w:tcBorders>
            <w:shd w:val="clear" w:color="auto" w:fill="auto"/>
            <w:noWrap/>
            <w:vAlign w:val="bottom"/>
            <w:hideMark/>
          </w:tcPr>
          <w:p w14:paraId="6898DFA3" w14:textId="77777777" w:rsidR="0056007B" w:rsidRPr="009E35ED" w:rsidRDefault="0056007B" w:rsidP="0056007B">
            <w:pPr>
              <w:ind w:left="0"/>
              <w:jc w:val="left"/>
              <w:rPr>
                <w:rFonts w:ascii="Arial Narrow" w:hAnsi="Arial Narrow"/>
                <w:color w:val="000000" w:themeColor="text1"/>
                <w:sz w:val="22"/>
                <w:szCs w:val="22"/>
              </w:rPr>
            </w:pPr>
          </w:p>
        </w:tc>
        <w:tc>
          <w:tcPr>
            <w:tcW w:w="5403" w:type="dxa"/>
            <w:tcBorders>
              <w:top w:val="nil"/>
              <w:left w:val="nil"/>
              <w:right w:val="nil"/>
            </w:tcBorders>
            <w:shd w:val="clear" w:color="auto" w:fill="auto"/>
            <w:noWrap/>
            <w:vAlign w:val="bottom"/>
            <w:hideMark/>
          </w:tcPr>
          <w:p w14:paraId="4BC8658D" w14:textId="2A9CAF74" w:rsidR="0056007B" w:rsidRPr="009E35ED" w:rsidRDefault="0056007B" w:rsidP="0056007B">
            <w:pPr>
              <w:ind w:left="0"/>
              <w:jc w:val="left"/>
              <w:rPr>
                <w:rFonts w:ascii="Arial Narrow" w:hAnsi="Arial Narrow" w:cs="Calibri"/>
                <w:color w:val="000000" w:themeColor="text1"/>
                <w:sz w:val="22"/>
                <w:szCs w:val="22"/>
              </w:rPr>
            </w:pPr>
            <w:r w:rsidRPr="009E35ED">
              <w:rPr>
                <w:rFonts w:ascii="Arial Narrow" w:hAnsi="Arial Narrow" w:cs="Calibri"/>
                <w:color w:val="000000" w:themeColor="text1"/>
                <w:sz w:val="22"/>
                <w:szCs w:val="22"/>
              </w:rPr>
              <w:t xml:space="preserve">Financial </w:t>
            </w:r>
            <w:r w:rsidR="000911E5">
              <w:rPr>
                <w:rFonts w:ascii="Arial Narrow" w:hAnsi="Arial Narrow" w:cs="Calibri"/>
                <w:color w:val="000000" w:themeColor="text1"/>
                <w:sz w:val="22"/>
                <w:szCs w:val="22"/>
              </w:rPr>
              <w:t>a</w:t>
            </w:r>
            <w:r w:rsidRPr="009E35ED">
              <w:rPr>
                <w:rFonts w:ascii="Arial Narrow" w:hAnsi="Arial Narrow" w:cs="Calibri"/>
                <w:color w:val="000000" w:themeColor="text1"/>
                <w:sz w:val="22"/>
                <w:szCs w:val="22"/>
              </w:rPr>
              <w:t>ssets-</w:t>
            </w:r>
            <w:r w:rsidR="000911E5">
              <w:rPr>
                <w:rFonts w:ascii="Arial Narrow" w:hAnsi="Arial Narrow" w:cs="Calibri"/>
                <w:color w:val="000000" w:themeColor="text1"/>
                <w:sz w:val="22"/>
                <w:szCs w:val="22"/>
              </w:rPr>
              <w:t>h</w:t>
            </w:r>
            <w:r w:rsidRPr="009E35ED">
              <w:rPr>
                <w:rFonts w:ascii="Arial Narrow" w:hAnsi="Arial Narrow" w:cs="Calibri"/>
                <w:color w:val="000000" w:themeColor="text1"/>
                <w:sz w:val="22"/>
                <w:szCs w:val="22"/>
              </w:rPr>
              <w:t xml:space="preserve">eld to </w:t>
            </w:r>
            <w:r w:rsidR="000911E5">
              <w:rPr>
                <w:rFonts w:ascii="Arial Narrow" w:hAnsi="Arial Narrow" w:cs="Calibri"/>
                <w:color w:val="000000" w:themeColor="text1"/>
                <w:sz w:val="22"/>
                <w:szCs w:val="22"/>
              </w:rPr>
              <w:t>m</w:t>
            </w:r>
            <w:r w:rsidRPr="009E35ED">
              <w:rPr>
                <w:rFonts w:ascii="Arial Narrow" w:hAnsi="Arial Narrow" w:cs="Calibri"/>
                <w:color w:val="000000" w:themeColor="text1"/>
                <w:sz w:val="22"/>
                <w:szCs w:val="22"/>
              </w:rPr>
              <w:t xml:space="preserve">aturity (Investments in </w:t>
            </w:r>
            <w:r w:rsidR="000911E5">
              <w:rPr>
                <w:rFonts w:ascii="Arial Narrow" w:hAnsi="Arial Narrow" w:cs="Calibri"/>
                <w:color w:val="000000" w:themeColor="text1"/>
                <w:sz w:val="22"/>
                <w:szCs w:val="22"/>
              </w:rPr>
              <w:t>b</w:t>
            </w:r>
            <w:r w:rsidRPr="009E35ED">
              <w:rPr>
                <w:rFonts w:ascii="Arial Narrow" w:hAnsi="Arial Narrow" w:cs="Calibri"/>
                <w:color w:val="000000" w:themeColor="text1"/>
                <w:sz w:val="22"/>
                <w:szCs w:val="22"/>
              </w:rPr>
              <w:t xml:space="preserve">onds - </w:t>
            </w:r>
            <w:r w:rsidR="000911E5">
              <w:rPr>
                <w:rFonts w:ascii="Arial Narrow" w:hAnsi="Arial Narrow" w:cs="Calibri"/>
                <w:color w:val="000000" w:themeColor="text1"/>
                <w:sz w:val="22"/>
                <w:szCs w:val="22"/>
              </w:rPr>
              <w:t>l</w:t>
            </w:r>
            <w:r w:rsidRPr="009E35ED">
              <w:rPr>
                <w:rFonts w:ascii="Arial Narrow" w:hAnsi="Arial Narrow" w:cs="Calibri"/>
                <w:color w:val="000000" w:themeColor="text1"/>
                <w:sz w:val="22"/>
                <w:szCs w:val="22"/>
              </w:rPr>
              <w:t>ocal)</w:t>
            </w:r>
          </w:p>
        </w:tc>
        <w:tc>
          <w:tcPr>
            <w:tcW w:w="1470" w:type="dxa"/>
            <w:tcBorders>
              <w:top w:val="nil"/>
              <w:left w:val="nil"/>
              <w:right w:val="nil"/>
            </w:tcBorders>
            <w:shd w:val="clear" w:color="auto" w:fill="auto"/>
            <w:noWrap/>
          </w:tcPr>
          <w:p w14:paraId="61ECBD4B" w14:textId="5139762B" w:rsidR="0056007B" w:rsidRPr="009E35ED" w:rsidRDefault="0056007B" w:rsidP="0056007B">
            <w:pPr>
              <w:ind w:left="0"/>
              <w:jc w:val="right"/>
              <w:rPr>
                <w:rFonts w:ascii="Arial Narrow" w:hAnsi="Arial Narrow" w:cs="Calibri"/>
                <w:color w:val="000000" w:themeColor="text1"/>
                <w:sz w:val="22"/>
                <w:szCs w:val="22"/>
              </w:rPr>
            </w:pPr>
            <w:r w:rsidRPr="009E35ED">
              <w:rPr>
                <w:rFonts w:ascii="Arial Narrow" w:hAnsi="Arial Narrow"/>
                <w:color w:val="000000" w:themeColor="text1"/>
                <w:sz w:val="22"/>
                <w:szCs w:val="22"/>
              </w:rPr>
              <w:t xml:space="preserve"> -   </w:t>
            </w:r>
          </w:p>
        </w:tc>
        <w:tc>
          <w:tcPr>
            <w:tcW w:w="1503" w:type="dxa"/>
            <w:tcBorders>
              <w:top w:val="nil"/>
              <w:left w:val="nil"/>
              <w:right w:val="nil"/>
            </w:tcBorders>
            <w:shd w:val="clear" w:color="auto" w:fill="auto"/>
            <w:noWrap/>
            <w:hideMark/>
          </w:tcPr>
          <w:p w14:paraId="5226D5BD" w14:textId="12CFE8DD" w:rsidR="0056007B" w:rsidRPr="009E35ED" w:rsidRDefault="0056007B" w:rsidP="00B90388">
            <w:pPr>
              <w:ind w:left="0" w:right="-108"/>
              <w:jc w:val="right"/>
              <w:rPr>
                <w:rFonts w:ascii="Arial Narrow" w:hAnsi="Arial Narrow" w:cs="Calibri"/>
                <w:color w:val="000000" w:themeColor="text1"/>
                <w:sz w:val="22"/>
                <w:szCs w:val="22"/>
              </w:rPr>
            </w:pPr>
            <w:r w:rsidRPr="009E35ED">
              <w:rPr>
                <w:rFonts w:ascii="Arial Narrow" w:hAnsi="Arial Narrow"/>
                <w:color w:val="000000" w:themeColor="text1"/>
                <w:sz w:val="22"/>
                <w:szCs w:val="22"/>
              </w:rPr>
              <w:t xml:space="preserve">200,000,000 </w:t>
            </w:r>
          </w:p>
        </w:tc>
      </w:tr>
      <w:tr w:rsidR="00997F75" w:rsidRPr="009E35ED" w14:paraId="73889707" w14:textId="77777777" w:rsidTr="00D4035E">
        <w:trPr>
          <w:trHeight w:val="220"/>
        </w:trPr>
        <w:tc>
          <w:tcPr>
            <w:tcW w:w="267" w:type="dxa"/>
            <w:tcBorders>
              <w:top w:val="nil"/>
              <w:left w:val="nil"/>
              <w:bottom w:val="nil"/>
              <w:right w:val="nil"/>
            </w:tcBorders>
            <w:shd w:val="clear" w:color="auto" w:fill="auto"/>
            <w:noWrap/>
            <w:vAlign w:val="bottom"/>
            <w:hideMark/>
          </w:tcPr>
          <w:p w14:paraId="2DF9268D" w14:textId="77777777" w:rsidR="0056007B" w:rsidRPr="009E35ED" w:rsidRDefault="0056007B" w:rsidP="0056007B">
            <w:pPr>
              <w:ind w:left="0"/>
              <w:jc w:val="left"/>
              <w:rPr>
                <w:rFonts w:ascii="Arial Narrow" w:hAnsi="Arial Narrow" w:cs="Calibri"/>
                <w:color w:val="000000" w:themeColor="text1"/>
                <w:sz w:val="22"/>
                <w:szCs w:val="22"/>
              </w:rPr>
            </w:pPr>
          </w:p>
        </w:tc>
        <w:tc>
          <w:tcPr>
            <w:tcW w:w="5403" w:type="dxa"/>
            <w:tcBorders>
              <w:top w:val="nil"/>
              <w:left w:val="nil"/>
              <w:bottom w:val="single" w:sz="4" w:space="0" w:color="auto"/>
              <w:right w:val="nil"/>
            </w:tcBorders>
            <w:shd w:val="clear" w:color="auto" w:fill="auto"/>
            <w:noWrap/>
            <w:vAlign w:val="bottom"/>
            <w:hideMark/>
          </w:tcPr>
          <w:p w14:paraId="4A48B6A1" w14:textId="10A92937" w:rsidR="0056007B" w:rsidRPr="009E35ED" w:rsidRDefault="0056007B" w:rsidP="0056007B">
            <w:pPr>
              <w:ind w:left="0"/>
              <w:jc w:val="left"/>
              <w:rPr>
                <w:rFonts w:ascii="Arial Narrow" w:hAnsi="Arial Narrow" w:cs="Calibri"/>
                <w:color w:val="000000" w:themeColor="text1"/>
                <w:sz w:val="22"/>
                <w:szCs w:val="22"/>
              </w:rPr>
            </w:pPr>
            <w:r w:rsidRPr="009E35ED">
              <w:rPr>
                <w:rFonts w:ascii="Arial Narrow" w:hAnsi="Arial Narrow" w:cs="Calibri"/>
                <w:color w:val="000000" w:themeColor="text1"/>
                <w:sz w:val="22"/>
                <w:szCs w:val="22"/>
              </w:rPr>
              <w:t xml:space="preserve">Financial </w:t>
            </w:r>
            <w:r w:rsidR="000911E5">
              <w:rPr>
                <w:rFonts w:ascii="Arial Narrow" w:hAnsi="Arial Narrow" w:cs="Calibri"/>
                <w:color w:val="000000" w:themeColor="text1"/>
                <w:sz w:val="22"/>
                <w:szCs w:val="22"/>
              </w:rPr>
              <w:t>a</w:t>
            </w:r>
            <w:r w:rsidRPr="009E35ED">
              <w:rPr>
                <w:rFonts w:ascii="Arial Narrow" w:hAnsi="Arial Narrow" w:cs="Calibri"/>
                <w:color w:val="000000" w:themeColor="text1"/>
                <w:sz w:val="22"/>
                <w:szCs w:val="22"/>
              </w:rPr>
              <w:t xml:space="preserve">ssets at </w:t>
            </w:r>
            <w:r w:rsidR="000911E5">
              <w:rPr>
                <w:rFonts w:ascii="Arial Narrow" w:hAnsi="Arial Narrow" w:cs="Calibri"/>
                <w:color w:val="000000" w:themeColor="text1"/>
                <w:sz w:val="22"/>
                <w:szCs w:val="22"/>
              </w:rPr>
              <w:t>f</w:t>
            </w:r>
            <w:r w:rsidRPr="009E35ED">
              <w:rPr>
                <w:rFonts w:ascii="Arial Narrow" w:hAnsi="Arial Narrow" w:cs="Calibri"/>
                <w:color w:val="000000" w:themeColor="text1"/>
                <w:sz w:val="22"/>
                <w:szCs w:val="22"/>
              </w:rPr>
              <w:t xml:space="preserve">air </w:t>
            </w:r>
            <w:r w:rsidR="000911E5">
              <w:rPr>
                <w:rFonts w:ascii="Arial Narrow" w:hAnsi="Arial Narrow" w:cs="Calibri"/>
                <w:color w:val="000000" w:themeColor="text1"/>
                <w:sz w:val="22"/>
                <w:szCs w:val="22"/>
              </w:rPr>
              <w:t>v</w:t>
            </w:r>
            <w:r w:rsidRPr="009E35ED">
              <w:rPr>
                <w:rFonts w:ascii="Arial Narrow" w:hAnsi="Arial Narrow" w:cs="Calibri"/>
                <w:color w:val="000000" w:themeColor="text1"/>
                <w:sz w:val="22"/>
                <w:szCs w:val="22"/>
              </w:rPr>
              <w:t xml:space="preserve">alue through other </w:t>
            </w:r>
            <w:r w:rsidR="000911E5">
              <w:rPr>
                <w:rFonts w:ascii="Arial Narrow" w:hAnsi="Arial Narrow" w:cs="Calibri"/>
                <w:color w:val="000000" w:themeColor="text1"/>
                <w:sz w:val="22"/>
                <w:szCs w:val="22"/>
              </w:rPr>
              <w:t>c</w:t>
            </w:r>
            <w:r w:rsidRPr="009E35ED">
              <w:rPr>
                <w:rFonts w:ascii="Arial Narrow" w:hAnsi="Arial Narrow" w:cs="Calibri"/>
                <w:color w:val="000000" w:themeColor="text1"/>
                <w:sz w:val="22"/>
                <w:szCs w:val="22"/>
              </w:rPr>
              <w:t xml:space="preserve">omprehensive </w:t>
            </w:r>
            <w:r w:rsidR="000911E5">
              <w:rPr>
                <w:rFonts w:ascii="Arial Narrow" w:hAnsi="Arial Narrow" w:cs="Calibri"/>
                <w:color w:val="000000" w:themeColor="text1"/>
                <w:sz w:val="22"/>
                <w:szCs w:val="22"/>
              </w:rPr>
              <w:t>i</w:t>
            </w:r>
            <w:r w:rsidRPr="009E35ED">
              <w:rPr>
                <w:rFonts w:ascii="Arial Narrow" w:hAnsi="Arial Narrow" w:cs="Calibri"/>
                <w:color w:val="000000" w:themeColor="text1"/>
                <w:sz w:val="22"/>
                <w:szCs w:val="22"/>
              </w:rPr>
              <w:t>ncome</w:t>
            </w:r>
          </w:p>
        </w:tc>
        <w:tc>
          <w:tcPr>
            <w:tcW w:w="1470" w:type="dxa"/>
            <w:tcBorders>
              <w:top w:val="nil"/>
              <w:left w:val="nil"/>
              <w:bottom w:val="single" w:sz="4" w:space="0" w:color="auto"/>
              <w:right w:val="nil"/>
            </w:tcBorders>
            <w:shd w:val="clear" w:color="auto" w:fill="auto"/>
            <w:noWrap/>
          </w:tcPr>
          <w:p w14:paraId="7C8C2136" w14:textId="77777777" w:rsidR="0056007B" w:rsidRPr="009E35ED" w:rsidRDefault="0056007B" w:rsidP="0056007B">
            <w:pPr>
              <w:ind w:left="0"/>
              <w:jc w:val="right"/>
              <w:rPr>
                <w:rFonts w:ascii="Arial Narrow" w:hAnsi="Arial Narrow"/>
                <w:color w:val="000000" w:themeColor="text1"/>
                <w:sz w:val="22"/>
                <w:szCs w:val="22"/>
              </w:rPr>
            </w:pPr>
            <w:r w:rsidRPr="009E35ED">
              <w:rPr>
                <w:rFonts w:ascii="Arial Narrow" w:hAnsi="Arial Narrow"/>
                <w:color w:val="000000" w:themeColor="text1"/>
                <w:sz w:val="22"/>
                <w:szCs w:val="22"/>
              </w:rPr>
              <w:t xml:space="preserve"> </w:t>
            </w:r>
          </w:p>
          <w:p w14:paraId="62931C4C" w14:textId="0C10D370" w:rsidR="0056007B" w:rsidRPr="009E35ED" w:rsidRDefault="0056007B" w:rsidP="0056007B">
            <w:pPr>
              <w:ind w:left="0"/>
              <w:jc w:val="right"/>
              <w:rPr>
                <w:rFonts w:ascii="Arial Narrow" w:hAnsi="Arial Narrow" w:cs="Calibri"/>
                <w:color w:val="000000" w:themeColor="text1"/>
                <w:sz w:val="22"/>
                <w:szCs w:val="22"/>
              </w:rPr>
            </w:pPr>
            <w:r w:rsidRPr="009E35ED">
              <w:rPr>
                <w:rFonts w:ascii="Arial Narrow" w:hAnsi="Arial Narrow"/>
                <w:color w:val="000000" w:themeColor="text1"/>
                <w:sz w:val="22"/>
                <w:szCs w:val="22"/>
              </w:rPr>
              <w:t xml:space="preserve">2,736,980,793 </w:t>
            </w:r>
          </w:p>
        </w:tc>
        <w:tc>
          <w:tcPr>
            <w:tcW w:w="1503" w:type="dxa"/>
            <w:tcBorders>
              <w:top w:val="nil"/>
              <w:left w:val="nil"/>
              <w:bottom w:val="single" w:sz="4" w:space="0" w:color="auto"/>
              <w:right w:val="nil"/>
            </w:tcBorders>
            <w:shd w:val="clear" w:color="auto" w:fill="auto"/>
            <w:noWrap/>
            <w:hideMark/>
          </w:tcPr>
          <w:p w14:paraId="337EEAA9" w14:textId="77777777" w:rsidR="0056007B" w:rsidRPr="009E35ED" w:rsidRDefault="0056007B" w:rsidP="00D4035E">
            <w:pPr>
              <w:ind w:left="0" w:right="-108"/>
              <w:jc w:val="right"/>
              <w:rPr>
                <w:rFonts w:ascii="Arial Narrow" w:hAnsi="Arial Narrow"/>
                <w:color w:val="000000" w:themeColor="text1"/>
                <w:sz w:val="22"/>
                <w:szCs w:val="22"/>
              </w:rPr>
            </w:pPr>
            <w:r w:rsidRPr="009E35ED">
              <w:rPr>
                <w:rFonts w:ascii="Arial Narrow" w:hAnsi="Arial Narrow"/>
                <w:color w:val="000000" w:themeColor="text1"/>
                <w:sz w:val="22"/>
                <w:szCs w:val="22"/>
              </w:rPr>
              <w:t xml:space="preserve"> </w:t>
            </w:r>
          </w:p>
          <w:p w14:paraId="40B17955" w14:textId="34F74DDE" w:rsidR="0056007B" w:rsidRPr="009E35ED" w:rsidRDefault="0056007B" w:rsidP="00D4035E">
            <w:pPr>
              <w:ind w:left="0" w:right="-108"/>
              <w:jc w:val="right"/>
              <w:rPr>
                <w:rFonts w:ascii="Arial Narrow" w:hAnsi="Arial Narrow" w:cs="Calibri"/>
                <w:color w:val="000000" w:themeColor="text1"/>
                <w:sz w:val="22"/>
                <w:szCs w:val="22"/>
              </w:rPr>
            </w:pPr>
            <w:r w:rsidRPr="009E35ED">
              <w:rPr>
                <w:rFonts w:ascii="Arial Narrow" w:hAnsi="Arial Narrow"/>
                <w:color w:val="000000" w:themeColor="text1"/>
                <w:sz w:val="22"/>
                <w:szCs w:val="22"/>
              </w:rPr>
              <w:t xml:space="preserve">2,728,093,119 </w:t>
            </w:r>
          </w:p>
        </w:tc>
      </w:tr>
      <w:tr w:rsidR="009E30B1" w:rsidRPr="009E35ED" w14:paraId="74511DB1" w14:textId="77777777" w:rsidTr="00B90388">
        <w:trPr>
          <w:trHeight w:val="174"/>
        </w:trPr>
        <w:tc>
          <w:tcPr>
            <w:tcW w:w="5670" w:type="dxa"/>
            <w:gridSpan w:val="2"/>
            <w:tcBorders>
              <w:top w:val="single" w:sz="4" w:space="0" w:color="auto"/>
              <w:left w:val="nil"/>
              <w:bottom w:val="double" w:sz="6" w:space="0" w:color="auto"/>
              <w:right w:val="nil"/>
            </w:tcBorders>
            <w:shd w:val="clear" w:color="auto" w:fill="auto"/>
            <w:noWrap/>
            <w:vAlign w:val="bottom"/>
            <w:hideMark/>
          </w:tcPr>
          <w:p w14:paraId="51239098" w14:textId="77777777" w:rsidR="009E30B1" w:rsidRPr="009E35ED" w:rsidRDefault="009E30B1" w:rsidP="00D4035E">
            <w:pPr>
              <w:ind w:left="-108"/>
              <w:jc w:val="left"/>
              <w:rPr>
                <w:rFonts w:ascii="Arial Narrow" w:hAnsi="Arial Narrow" w:cs="Calibri"/>
                <w:b/>
                <w:bCs/>
                <w:color w:val="000000" w:themeColor="text1"/>
                <w:sz w:val="22"/>
                <w:szCs w:val="22"/>
              </w:rPr>
            </w:pPr>
            <w:r w:rsidRPr="009E35ED">
              <w:rPr>
                <w:rFonts w:ascii="Arial Narrow" w:hAnsi="Arial Narrow" w:cs="Calibri"/>
                <w:b/>
                <w:bCs/>
                <w:color w:val="000000" w:themeColor="text1"/>
                <w:sz w:val="22"/>
                <w:szCs w:val="22"/>
              </w:rPr>
              <w:t>Total</w:t>
            </w:r>
          </w:p>
        </w:tc>
        <w:tc>
          <w:tcPr>
            <w:tcW w:w="1470" w:type="dxa"/>
            <w:tcBorders>
              <w:top w:val="nil"/>
              <w:left w:val="nil"/>
              <w:bottom w:val="double" w:sz="6" w:space="0" w:color="auto"/>
              <w:right w:val="nil"/>
            </w:tcBorders>
            <w:shd w:val="clear" w:color="auto" w:fill="auto"/>
            <w:noWrap/>
            <w:vAlign w:val="bottom"/>
          </w:tcPr>
          <w:p w14:paraId="5C6EE97D" w14:textId="0D025315" w:rsidR="009E30B1" w:rsidRPr="009E35ED" w:rsidRDefault="0056007B" w:rsidP="002621D8">
            <w:pPr>
              <w:ind w:left="0"/>
              <w:jc w:val="right"/>
              <w:rPr>
                <w:rFonts w:ascii="Arial Narrow" w:hAnsi="Arial Narrow" w:cs="Calibri"/>
                <w:b/>
                <w:bCs/>
                <w:color w:val="000000" w:themeColor="text1"/>
                <w:sz w:val="22"/>
                <w:szCs w:val="22"/>
              </w:rPr>
            </w:pPr>
            <w:r w:rsidRPr="009E35ED">
              <w:rPr>
                <w:rFonts w:ascii="Arial Narrow" w:hAnsi="Arial Narrow" w:cs="Calibri"/>
                <w:b/>
                <w:bCs/>
                <w:color w:val="000000" w:themeColor="text1"/>
                <w:sz w:val="22"/>
                <w:szCs w:val="22"/>
              </w:rPr>
              <w:t>2,736,980,793</w:t>
            </w:r>
          </w:p>
        </w:tc>
        <w:tc>
          <w:tcPr>
            <w:tcW w:w="1503" w:type="dxa"/>
            <w:tcBorders>
              <w:top w:val="nil"/>
              <w:left w:val="nil"/>
              <w:bottom w:val="double" w:sz="6" w:space="0" w:color="auto"/>
              <w:right w:val="nil"/>
            </w:tcBorders>
            <w:shd w:val="clear" w:color="auto" w:fill="auto"/>
            <w:noWrap/>
            <w:vAlign w:val="bottom"/>
            <w:hideMark/>
          </w:tcPr>
          <w:p w14:paraId="26004B2F" w14:textId="70FFA094" w:rsidR="009E30B1" w:rsidRPr="009E35ED" w:rsidRDefault="00FA1002" w:rsidP="00D4035E">
            <w:pPr>
              <w:ind w:left="0" w:right="-108"/>
              <w:jc w:val="right"/>
              <w:rPr>
                <w:rFonts w:ascii="Arial Narrow" w:hAnsi="Arial Narrow" w:cs="Calibri"/>
                <w:b/>
                <w:bCs/>
                <w:color w:val="000000" w:themeColor="text1"/>
                <w:sz w:val="22"/>
                <w:szCs w:val="22"/>
              </w:rPr>
            </w:pPr>
            <w:r w:rsidRPr="009E35ED">
              <w:rPr>
                <w:rFonts w:ascii="Arial Narrow" w:hAnsi="Arial Narrow" w:cs="Calibri"/>
                <w:b/>
                <w:bCs/>
                <w:color w:val="000000" w:themeColor="text1"/>
                <w:sz w:val="22"/>
                <w:szCs w:val="22"/>
              </w:rPr>
              <w:t xml:space="preserve">2,928,093,119  </w:t>
            </w:r>
          </w:p>
        </w:tc>
      </w:tr>
    </w:tbl>
    <w:p w14:paraId="01E079DD" w14:textId="77777777" w:rsidR="00911931" w:rsidRPr="009E35ED" w:rsidRDefault="00911931" w:rsidP="00803F8C">
      <w:pPr>
        <w:ind w:left="0"/>
        <w:contextualSpacing/>
        <w:rPr>
          <w:rFonts w:ascii="Arial" w:hAnsi="Arial" w:cs="Arial"/>
          <w:b/>
          <w:color w:val="000000" w:themeColor="text1"/>
          <w:sz w:val="22"/>
          <w:szCs w:val="22"/>
        </w:rPr>
      </w:pPr>
    </w:p>
    <w:p w14:paraId="1BAFBA66" w14:textId="0F614827" w:rsidR="006C39A6" w:rsidRPr="009E35ED" w:rsidRDefault="006C39A6" w:rsidP="00803F8C">
      <w:pPr>
        <w:ind w:left="0"/>
        <w:contextualSpacing/>
        <w:rPr>
          <w:rFonts w:ascii="Arial" w:hAnsi="Arial" w:cs="Arial"/>
          <w:color w:val="000000" w:themeColor="text1"/>
          <w:sz w:val="22"/>
          <w:szCs w:val="22"/>
          <w:lang w:eastAsia="ar-SA"/>
        </w:rPr>
      </w:pPr>
      <w:r w:rsidRPr="009E35ED">
        <w:rPr>
          <w:rFonts w:ascii="Arial" w:hAnsi="Arial" w:cs="Arial"/>
          <w:color w:val="000000" w:themeColor="text1"/>
          <w:sz w:val="22"/>
          <w:szCs w:val="22"/>
        </w:rPr>
        <w:t xml:space="preserve">The Financial </w:t>
      </w:r>
      <w:r w:rsidR="000911E5">
        <w:rPr>
          <w:rFonts w:ascii="Arial" w:hAnsi="Arial" w:cs="Arial"/>
          <w:color w:val="000000" w:themeColor="text1"/>
          <w:sz w:val="22"/>
          <w:szCs w:val="22"/>
        </w:rPr>
        <w:t>a</w:t>
      </w:r>
      <w:r w:rsidRPr="009E35ED">
        <w:rPr>
          <w:rFonts w:ascii="Arial" w:hAnsi="Arial" w:cs="Arial"/>
          <w:color w:val="000000" w:themeColor="text1"/>
          <w:sz w:val="22"/>
          <w:szCs w:val="22"/>
        </w:rPr>
        <w:t xml:space="preserve">ssets at </w:t>
      </w:r>
      <w:r w:rsidR="000911E5">
        <w:rPr>
          <w:rFonts w:ascii="Arial" w:hAnsi="Arial" w:cs="Arial"/>
          <w:color w:val="000000" w:themeColor="text1"/>
          <w:sz w:val="22"/>
          <w:szCs w:val="22"/>
        </w:rPr>
        <w:t>f</w:t>
      </w:r>
      <w:r w:rsidRPr="009E35ED">
        <w:rPr>
          <w:rFonts w:ascii="Arial" w:hAnsi="Arial" w:cs="Arial"/>
          <w:color w:val="000000" w:themeColor="text1"/>
          <w:sz w:val="22"/>
          <w:szCs w:val="22"/>
        </w:rPr>
        <w:t xml:space="preserve">air </w:t>
      </w:r>
      <w:r w:rsidR="000911E5">
        <w:rPr>
          <w:rFonts w:ascii="Arial" w:hAnsi="Arial" w:cs="Arial"/>
          <w:color w:val="000000" w:themeColor="text1"/>
          <w:sz w:val="22"/>
          <w:szCs w:val="22"/>
        </w:rPr>
        <w:t>v</w:t>
      </w:r>
      <w:r w:rsidRPr="009E35ED">
        <w:rPr>
          <w:rFonts w:ascii="Arial" w:hAnsi="Arial" w:cs="Arial"/>
          <w:color w:val="000000" w:themeColor="text1"/>
          <w:sz w:val="22"/>
          <w:szCs w:val="22"/>
        </w:rPr>
        <w:t xml:space="preserve">alue through other </w:t>
      </w:r>
      <w:r w:rsidR="000911E5">
        <w:rPr>
          <w:rFonts w:ascii="Arial" w:hAnsi="Arial" w:cs="Arial"/>
          <w:color w:val="000000" w:themeColor="text1"/>
          <w:sz w:val="22"/>
          <w:szCs w:val="22"/>
        </w:rPr>
        <w:t>c</w:t>
      </w:r>
      <w:r w:rsidRPr="009E35ED">
        <w:rPr>
          <w:rFonts w:ascii="Arial" w:hAnsi="Arial" w:cs="Arial"/>
          <w:color w:val="000000" w:themeColor="text1"/>
          <w:sz w:val="22"/>
          <w:szCs w:val="22"/>
        </w:rPr>
        <w:t xml:space="preserve">omprehensive </w:t>
      </w:r>
      <w:r w:rsidR="000911E5">
        <w:rPr>
          <w:rFonts w:ascii="Arial" w:hAnsi="Arial" w:cs="Arial"/>
          <w:color w:val="000000" w:themeColor="text1"/>
          <w:sz w:val="22"/>
          <w:szCs w:val="22"/>
        </w:rPr>
        <w:t>i</w:t>
      </w:r>
      <w:r w:rsidRPr="009E35ED">
        <w:rPr>
          <w:rFonts w:ascii="Arial" w:hAnsi="Arial" w:cs="Arial"/>
          <w:color w:val="000000" w:themeColor="text1"/>
          <w:sz w:val="22"/>
          <w:szCs w:val="22"/>
        </w:rPr>
        <w:t xml:space="preserve">ncome are externally managed funds which </w:t>
      </w:r>
      <w:r w:rsidRPr="009E35ED">
        <w:rPr>
          <w:rFonts w:ascii="Arial" w:hAnsi="Arial" w:cs="Arial"/>
          <w:color w:val="000000" w:themeColor="text1"/>
          <w:sz w:val="22"/>
          <w:szCs w:val="22"/>
          <w:lang w:eastAsia="ar-SA"/>
        </w:rPr>
        <w:t xml:space="preserve">includes the P2.5 billion allocated for the construction of PCSO </w:t>
      </w:r>
      <w:r w:rsidR="000911E5">
        <w:rPr>
          <w:rFonts w:ascii="Arial" w:hAnsi="Arial" w:cs="Arial"/>
          <w:color w:val="000000" w:themeColor="text1"/>
          <w:sz w:val="22"/>
          <w:szCs w:val="22"/>
          <w:lang w:eastAsia="ar-SA"/>
        </w:rPr>
        <w:t>b</w:t>
      </w:r>
      <w:r w:rsidRPr="009E35ED">
        <w:rPr>
          <w:rFonts w:ascii="Arial" w:hAnsi="Arial" w:cs="Arial"/>
          <w:color w:val="000000" w:themeColor="text1"/>
          <w:sz w:val="22"/>
          <w:szCs w:val="22"/>
          <w:lang w:eastAsia="ar-SA"/>
        </w:rPr>
        <w:t xml:space="preserve">uilding that was placed in PCSO </w:t>
      </w:r>
      <w:r w:rsidR="000911E5">
        <w:rPr>
          <w:rFonts w:ascii="Arial" w:hAnsi="Arial" w:cs="Arial"/>
          <w:color w:val="000000" w:themeColor="text1"/>
          <w:sz w:val="22"/>
          <w:szCs w:val="22"/>
          <w:lang w:eastAsia="ar-SA"/>
        </w:rPr>
        <w:t>t</w:t>
      </w:r>
      <w:r w:rsidRPr="009E35ED">
        <w:rPr>
          <w:rFonts w:ascii="Arial" w:hAnsi="Arial" w:cs="Arial"/>
          <w:color w:val="000000" w:themeColor="text1"/>
          <w:sz w:val="22"/>
          <w:szCs w:val="22"/>
          <w:lang w:eastAsia="ar-SA"/>
        </w:rPr>
        <w:t xml:space="preserve">rust </w:t>
      </w:r>
      <w:r w:rsidR="000911E5">
        <w:rPr>
          <w:rFonts w:ascii="Arial" w:hAnsi="Arial" w:cs="Arial"/>
          <w:color w:val="000000" w:themeColor="text1"/>
          <w:sz w:val="22"/>
          <w:szCs w:val="22"/>
          <w:lang w:eastAsia="ar-SA"/>
        </w:rPr>
        <w:t>f</w:t>
      </w:r>
      <w:r w:rsidRPr="009E35ED">
        <w:rPr>
          <w:rFonts w:ascii="Arial" w:hAnsi="Arial" w:cs="Arial"/>
          <w:color w:val="000000" w:themeColor="text1"/>
          <w:sz w:val="22"/>
          <w:szCs w:val="22"/>
          <w:lang w:eastAsia="ar-SA"/>
        </w:rPr>
        <w:t xml:space="preserve">und </w:t>
      </w:r>
      <w:r w:rsidR="000911E5">
        <w:rPr>
          <w:rFonts w:ascii="Arial" w:hAnsi="Arial" w:cs="Arial"/>
          <w:color w:val="000000" w:themeColor="text1"/>
          <w:sz w:val="22"/>
          <w:szCs w:val="22"/>
          <w:lang w:eastAsia="ar-SA"/>
        </w:rPr>
        <w:t>a</w:t>
      </w:r>
      <w:r w:rsidRPr="009E35ED">
        <w:rPr>
          <w:rFonts w:ascii="Arial" w:hAnsi="Arial" w:cs="Arial"/>
          <w:color w:val="000000" w:themeColor="text1"/>
          <w:sz w:val="22"/>
          <w:szCs w:val="22"/>
          <w:lang w:eastAsia="ar-SA"/>
        </w:rPr>
        <w:t>ccount pursuant to Board Resolution No. 158 series of 2014 with amendments under Board Res. No. 352 series of 2016.  These are managed by the Land Bank Trust Banking Group based on the PCSO’s Investment Policy Statement.</w:t>
      </w:r>
    </w:p>
    <w:p w14:paraId="770F6A3A" w14:textId="62637F6A" w:rsidR="00BF656A" w:rsidRDefault="00BF656A" w:rsidP="00803F8C">
      <w:pPr>
        <w:ind w:left="0"/>
        <w:contextualSpacing/>
        <w:rPr>
          <w:rFonts w:ascii="Arial" w:hAnsi="Arial" w:cs="Arial"/>
          <w:color w:val="000000" w:themeColor="text1"/>
          <w:sz w:val="22"/>
          <w:szCs w:val="22"/>
          <w:lang w:eastAsia="ar-SA"/>
        </w:rPr>
      </w:pPr>
    </w:p>
    <w:p w14:paraId="30632650" w14:textId="77777777" w:rsidR="00F15185" w:rsidRPr="009E35ED" w:rsidRDefault="004B0B68" w:rsidP="00803F8C">
      <w:pPr>
        <w:ind w:left="0"/>
        <w:rPr>
          <w:rFonts w:ascii="Arial" w:hAnsi="Arial" w:cs="Arial"/>
          <w:color w:val="000000" w:themeColor="text1"/>
          <w:sz w:val="22"/>
          <w:szCs w:val="22"/>
          <w:lang w:eastAsia="ar-SA"/>
        </w:rPr>
      </w:pPr>
      <w:r w:rsidRPr="009E35ED">
        <w:rPr>
          <w:rFonts w:ascii="Arial" w:hAnsi="Arial" w:cs="Arial"/>
          <w:color w:val="000000" w:themeColor="text1"/>
          <w:sz w:val="22"/>
          <w:szCs w:val="22"/>
          <w:lang w:eastAsia="ar-SA"/>
        </w:rPr>
        <w:t>Interest income from the long</w:t>
      </w:r>
      <w:r w:rsidR="00AE7209" w:rsidRPr="009E35ED">
        <w:rPr>
          <w:rFonts w:ascii="Arial" w:hAnsi="Arial" w:cs="Arial"/>
          <w:color w:val="000000" w:themeColor="text1"/>
          <w:sz w:val="22"/>
          <w:szCs w:val="22"/>
          <w:lang w:eastAsia="ar-SA"/>
        </w:rPr>
        <w:t xml:space="preserve"> </w:t>
      </w:r>
      <w:r w:rsidRPr="009E35ED">
        <w:rPr>
          <w:rFonts w:ascii="Arial" w:hAnsi="Arial" w:cs="Arial"/>
          <w:color w:val="000000" w:themeColor="text1"/>
          <w:sz w:val="22"/>
          <w:szCs w:val="22"/>
          <w:lang w:eastAsia="ar-SA"/>
        </w:rPr>
        <w:t>term investments are as follows:</w:t>
      </w:r>
    </w:p>
    <w:p w14:paraId="66C18847" w14:textId="77777777" w:rsidR="007E1FA4" w:rsidRPr="009E35ED" w:rsidRDefault="007E1FA4" w:rsidP="00803F8C">
      <w:pPr>
        <w:ind w:left="0"/>
        <w:rPr>
          <w:rFonts w:ascii="Arial" w:hAnsi="Arial" w:cs="Arial"/>
          <w:color w:val="000000" w:themeColor="text1"/>
          <w:sz w:val="22"/>
          <w:szCs w:val="22"/>
          <w:lang w:eastAsia="ar-SA"/>
        </w:rPr>
      </w:pPr>
    </w:p>
    <w:tbl>
      <w:tblPr>
        <w:tblW w:w="8725" w:type="dxa"/>
        <w:tblLook w:val="04A0" w:firstRow="1" w:lastRow="0" w:firstColumn="1" w:lastColumn="0" w:noHBand="0" w:noVBand="1"/>
      </w:tblPr>
      <w:tblGrid>
        <w:gridCol w:w="5400"/>
        <w:gridCol w:w="1855"/>
        <w:gridCol w:w="1470"/>
      </w:tblGrid>
      <w:tr w:rsidR="00997F75" w:rsidRPr="009E35ED" w14:paraId="4223817B" w14:textId="77777777" w:rsidTr="00D4035E">
        <w:trPr>
          <w:trHeight w:hRule="exact" w:val="338"/>
        </w:trPr>
        <w:tc>
          <w:tcPr>
            <w:tcW w:w="5400" w:type="dxa"/>
            <w:tcBorders>
              <w:top w:val="single" w:sz="4" w:space="0" w:color="auto"/>
              <w:bottom w:val="single" w:sz="4" w:space="0" w:color="auto"/>
            </w:tcBorders>
            <w:shd w:val="clear" w:color="auto" w:fill="auto"/>
            <w:noWrap/>
            <w:vAlign w:val="center"/>
          </w:tcPr>
          <w:p w14:paraId="2995F4FE" w14:textId="77777777" w:rsidR="00D84B08" w:rsidRPr="009E35ED" w:rsidRDefault="00D84B08" w:rsidP="00803F8C">
            <w:pPr>
              <w:jc w:val="left"/>
              <w:rPr>
                <w:rFonts w:ascii="Arial Narrow" w:hAnsi="Arial Narrow" w:cs="Arial"/>
                <w:color w:val="000000" w:themeColor="text1"/>
                <w:sz w:val="22"/>
                <w:szCs w:val="22"/>
              </w:rPr>
            </w:pPr>
          </w:p>
        </w:tc>
        <w:tc>
          <w:tcPr>
            <w:tcW w:w="1855" w:type="dxa"/>
            <w:tcBorders>
              <w:top w:val="single" w:sz="4" w:space="0" w:color="auto"/>
              <w:bottom w:val="single" w:sz="4" w:space="0" w:color="auto"/>
            </w:tcBorders>
            <w:shd w:val="clear" w:color="auto" w:fill="auto"/>
            <w:noWrap/>
            <w:vAlign w:val="center"/>
          </w:tcPr>
          <w:p w14:paraId="78E48F02" w14:textId="039764DD" w:rsidR="00572AF6" w:rsidRPr="009E35ED" w:rsidRDefault="00D84B08" w:rsidP="00803F8C">
            <w:pPr>
              <w:ind w:right="-18"/>
              <w:jc w:val="right"/>
              <w:rPr>
                <w:rFonts w:ascii="Arial Narrow" w:hAnsi="Arial Narrow" w:cs="Arial"/>
                <w:b/>
                <w:color w:val="000000" w:themeColor="text1"/>
                <w:sz w:val="22"/>
                <w:szCs w:val="22"/>
              </w:rPr>
            </w:pPr>
            <w:r w:rsidRPr="009E35ED">
              <w:rPr>
                <w:rFonts w:ascii="Arial Narrow" w:hAnsi="Arial Narrow" w:cs="Arial"/>
                <w:b/>
                <w:bCs/>
                <w:color w:val="000000" w:themeColor="text1"/>
                <w:sz w:val="22"/>
                <w:szCs w:val="22"/>
              </w:rPr>
              <w:t>20</w:t>
            </w:r>
            <w:r w:rsidR="00C961C8" w:rsidRPr="009E35ED">
              <w:rPr>
                <w:rFonts w:ascii="Arial Narrow" w:hAnsi="Arial Narrow" w:cs="Arial"/>
                <w:b/>
                <w:bCs/>
                <w:color w:val="000000" w:themeColor="text1"/>
                <w:sz w:val="22"/>
                <w:szCs w:val="22"/>
              </w:rPr>
              <w:t>2</w:t>
            </w:r>
            <w:r w:rsidR="00FA1002" w:rsidRPr="009E35ED">
              <w:rPr>
                <w:rFonts w:ascii="Arial Narrow" w:hAnsi="Arial Narrow" w:cs="Arial"/>
                <w:b/>
                <w:bCs/>
                <w:color w:val="000000" w:themeColor="text1"/>
                <w:sz w:val="22"/>
                <w:szCs w:val="22"/>
              </w:rPr>
              <w:t>3</w:t>
            </w:r>
          </w:p>
        </w:tc>
        <w:tc>
          <w:tcPr>
            <w:tcW w:w="1470" w:type="dxa"/>
            <w:tcBorders>
              <w:top w:val="single" w:sz="4" w:space="0" w:color="auto"/>
              <w:bottom w:val="single" w:sz="4" w:space="0" w:color="auto"/>
            </w:tcBorders>
            <w:shd w:val="clear" w:color="auto" w:fill="auto"/>
            <w:noWrap/>
            <w:vAlign w:val="center"/>
          </w:tcPr>
          <w:p w14:paraId="734F3EA7" w14:textId="3592E923" w:rsidR="00572AF6" w:rsidRPr="009E35ED" w:rsidRDefault="003F591D" w:rsidP="00803F8C">
            <w:pPr>
              <w:ind w:right="-108"/>
              <w:jc w:val="right"/>
              <w:rPr>
                <w:rFonts w:ascii="Arial Narrow" w:hAnsi="Arial Narrow" w:cs="Arial"/>
                <w:b/>
                <w:color w:val="000000" w:themeColor="text1"/>
                <w:sz w:val="22"/>
                <w:szCs w:val="22"/>
              </w:rPr>
            </w:pPr>
            <w:r w:rsidRPr="009E35ED">
              <w:rPr>
                <w:rFonts w:ascii="Arial Narrow" w:hAnsi="Arial Narrow" w:cs="Arial"/>
                <w:b/>
                <w:bCs/>
                <w:color w:val="000000" w:themeColor="text1"/>
                <w:sz w:val="22"/>
                <w:szCs w:val="22"/>
              </w:rPr>
              <w:t>202</w:t>
            </w:r>
            <w:r w:rsidR="00FA1002" w:rsidRPr="009E35ED">
              <w:rPr>
                <w:rFonts w:ascii="Arial Narrow" w:hAnsi="Arial Narrow" w:cs="Arial"/>
                <w:b/>
                <w:bCs/>
                <w:color w:val="000000" w:themeColor="text1"/>
                <w:sz w:val="22"/>
                <w:szCs w:val="22"/>
              </w:rPr>
              <w:t>2</w:t>
            </w:r>
          </w:p>
        </w:tc>
      </w:tr>
      <w:tr w:rsidR="00997F75" w:rsidRPr="009E35ED" w14:paraId="4BE451C9" w14:textId="77777777" w:rsidTr="00D4035E">
        <w:trPr>
          <w:trHeight w:hRule="exact" w:val="287"/>
        </w:trPr>
        <w:tc>
          <w:tcPr>
            <w:tcW w:w="5400" w:type="dxa"/>
            <w:tcBorders>
              <w:top w:val="single" w:sz="4" w:space="0" w:color="auto"/>
            </w:tcBorders>
            <w:shd w:val="clear" w:color="auto" w:fill="auto"/>
            <w:noWrap/>
          </w:tcPr>
          <w:p w14:paraId="1C3720FE" w14:textId="2DB5A1D3" w:rsidR="00E24DF6" w:rsidRPr="009E35ED" w:rsidRDefault="00E24DF6">
            <w:pPr>
              <w:ind w:left="-110"/>
              <w:jc w:val="left"/>
              <w:rPr>
                <w:rFonts w:ascii="Arial Narrow" w:hAnsi="Arial Narrow" w:cs="Arial"/>
                <w:color w:val="000000" w:themeColor="text1"/>
                <w:sz w:val="22"/>
                <w:szCs w:val="22"/>
              </w:rPr>
            </w:pPr>
            <w:r w:rsidRPr="009E35ED">
              <w:rPr>
                <w:rFonts w:ascii="Arial Narrow" w:hAnsi="Arial Narrow" w:cs="Arial"/>
                <w:color w:val="000000" w:themeColor="text1"/>
                <w:sz w:val="22"/>
                <w:szCs w:val="22"/>
                <w:lang w:val="en-PH" w:eastAsia="en-PH"/>
              </w:rPr>
              <w:t xml:space="preserve">Financial </w:t>
            </w:r>
            <w:r w:rsidR="000911E5">
              <w:rPr>
                <w:rFonts w:ascii="Arial Narrow" w:hAnsi="Arial Narrow" w:cs="Arial"/>
                <w:color w:val="000000" w:themeColor="text1"/>
                <w:sz w:val="22"/>
                <w:szCs w:val="22"/>
                <w:lang w:val="en-PH" w:eastAsia="en-PH"/>
              </w:rPr>
              <w:t>a</w:t>
            </w:r>
            <w:r w:rsidRPr="009E35ED">
              <w:rPr>
                <w:rFonts w:ascii="Arial Narrow" w:hAnsi="Arial Narrow" w:cs="Arial"/>
                <w:color w:val="000000" w:themeColor="text1"/>
                <w:sz w:val="22"/>
                <w:szCs w:val="22"/>
                <w:lang w:val="en-PH" w:eastAsia="en-PH"/>
              </w:rPr>
              <w:t xml:space="preserve">ssets at </w:t>
            </w:r>
            <w:r w:rsidR="000911E5">
              <w:rPr>
                <w:rFonts w:ascii="Arial Narrow" w:hAnsi="Arial Narrow" w:cs="Arial"/>
                <w:color w:val="000000" w:themeColor="text1"/>
                <w:sz w:val="22"/>
                <w:szCs w:val="22"/>
                <w:lang w:val="en-PH" w:eastAsia="en-PH"/>
              </w:rPr>
              <w:t>f</w:t>
            </w:r>
            <w:r w:rsidRPr="009E35ED">
              <w:rPr>
                <w:rFonts w:ascii="Arial Narrow" w:hAnsi="Arial Narrow" w:cs="Arial"/>
                <w:color w:val="000000" w:themeColor="text1"/>
                <w:sz w:val="22"/>
                <w:szCs w:val="22"/>
                <w:lang w:val="en-PH" w:eastAsia="en-PH"/>
              </w:rPr>
              <w:t xml:space="preserve">air </w:t>
            </w:r>
            <w:r w:rsidR="000911E5">
              <w:rPr>
                <w:rFonts w:ascii="Arial Narrow" w:hAnsi="Arial Narrow" w:cs="Arial"/>
                <w:color w:val="000000" w:themeColor="text1"/>
                <w:sz w:val="22"/>
                <w:szCs w:val="22"/>
                <w:lang w:val="en-PH" w:eastAsia="en-PH"/>
              </w:rPr>
              <w:t>v</w:t>
            </w:r>
            <w:r w:rsidRPr="009E35ED">
              <w:rPr>
                <w:rFonts w:ascii="Arial Narrow" w:hAnsi="Arial Narrow" w:cs="Arial"/>
                <w:color w:val="000000" w:themeColor="text1"/>
                <w:sz w:val="22"/>
                <w:szCs w:val="22"/>
                <w:lang w:val="en-PH" w:eastAsia="en-PH"/>
              </w:rPr>
              <w:t xml:space="preserve">alue through other </w:t>
            </w:r>
            <w:r w:rsidR="000911E5">
              <w:rPr>
                <w:rFonts w:ascii="Arial Narrow" w:hAnsi="Arial Narrow" w:cs="Arial"/>
                <w:color w:val="000000" w:themeColor="text1"/>
                <w:sz w:val="22"/>
                <w:szCs w:val="22"/>
                <w:lang w:val="en-PH" w:eastAsia="en-PH"/>
              </w:rPr>
              <w:t>c</w:t>
            </w:r>
            <w:r w:rsidRPr="009E35ED">
              <w:rPr>
                <w:rFonts w:ascii="Arial Narrow" w:hAnsi="Arial Narrow" w:cs="Arial"/>
                <w:color w:val="000000" w:themeColor="text1"/>
                <w:sz w:val="22"/>
                <w:szCs w:val="22"/>
                <w:lang w:val="en-PH" w:eastAsia="en-PH"/>
              </w:rPr>
              <w:t>omprehensive Income</w:t>
            </w:r>
          </w:p>
        </w:tc>
        <w:tc>
          <w:tcPr>
            <w:tcW w:w="1855" w:type="dxa"/>
            <w:tcBorders>
              <w:top w:val="single" w:sz="4" w:space="0" w:color="auto"/>
            </w:tcBorders>
            <w:shd w:val="clear" w:color="auto" w:fill="auto"/>
            <w:noWrap/>
          </w:tcPr>
          <w:p w14:paraId="09F96F4B" w14:textId="15003753" w:rsidR="00E24DF6" w:rsidRPr="009E35ED" w:rsidRDefault="000F731B" w:rsidP="00E24DF6">
            <w:pPr>
              <w:ind w:left="-50" w:right="-70"/>
              <w:jc w:val="right"/>
              <w:rPr>
                <w:rFonts w:ascii="Arial Narrow" w:hAnsi="Arial Narrow" w:cs="Arial"/>
                <w:color w:val="000000" w:themeColor="text1"/>
                <w:sz w:val="22"/>
                <w:szCs w:val="22"/>
              </w:rPr>
            </w:pPr>
            <w:r w:rsidRPr="009E35ED">
              <w:rPr>
                <w:rFonts w:ascii="Arial Narrow" w:hAnsi="Arial Narrow" w:cs="Arial"/>
                <w:color w:val="000000" w:themeColor="text1"/>
                <w:sz w:val="22"/>
                <w:szCs w:val="22"/>
              </w:rPr>
              <w:t>153,562,861</w:t>
            </w:r>
          </w:p>
        </w:tc>
        <w:tc>
          <w:tcPr>
            <w:tcW w:w="1470" w:type="dxa"/>
            <w:tcBorders>
              <w:top w:val="single" w:sz="4" w:space="0" w:color="auto"/>
            </w:tcBorders>
            <w:shd w:val="clear" w:color="auto" w:fill="auto"/>
            <w:noWrap/>
          </w:tcPr>
          <w:p w14:paraId="412F3A82" w14:textId="6469EE4E" w:rsidR="00E24DF6" w:rsidRPr="009E35ED" w:rsidRDefault="00FA1002" w:rsidP="00E24DF6">
            <w:pPr>
              <w:ind w:left="-50" w:right="-110"/>
              <w:jc w:val="right"/>
              <w:rPr>
                <w:rFonts w:ascii="Arial Narrow" w:hAnsi="Arial Narrow" w:cs="Arial"/>
                <w:color w:val="000000" w:themeColor="text1"/>
                <w:sz w:val="22"/>
                <w:szCs w:val="22"/>
              </w:rPr>
            </w:pPr>
            <w:r w:rsidRPr="009E35ED">
              <w:rPr>
                <w:rFonts w:ascii="Arial Narrow" w:hAnsi="Arial Narrow" w:cs="Arial"/>
                <w:color w:val="000000" w:themeColor="text1"/>
                <w:sz w:val="22"/>
                <w:szCs w:val="22"/>
              </w:rPr>
              <w:t>64,664,621</w:t>
            </w:r>
          </w:p>
        </w:tc>
      </w:tr>
      <w:tr w:rsidR="00997F75" w:rsidRPr="009E35ED" w14:paraId="3C7FFF88" w14:textId="77777777" w:rsidTr="00D4035E">
        <w:trPr>
          <w:trHeight w:hRule="exact" w:val="258"/>
        </w:trPr>
        <w:tc>
          <w:tcPr>
            <w:tcW w:w="5400" w:type="dxa"/>
            <w:tcBorders>
              <w:top w:val="single" w:sz="4" w:space="0" w:color="auto"/>
              <w:bottom w:val="double" w:sz="4" w:space="0" w:color="auto"/>
            </w:tcBorders>
            <w:shd w:val="clear" w:color="auto" w:fill="auto"/>
            <w:noWrap/>
          </w:tcPr>
          <w:p w14:paraId="689BA250" w14:textId="77777777" w:rsidR="00E24DF6" w:rsidRPr="009E35ED" w:rsidRDefault="00E24DF6" w:rsidP="00E24DF6">
            <w:pPr>
              <w:ind w:left="-110"/>
              <w:jc w:val="left"/>
              <w:rPr>
                <w:rFonts w:ascii="Arial Narrow" w:hAnsi="Arial Narrow" w:cs="Arial"/>
                <w:b/>
                <w:bCs/>
                <w:color w:val="000000" w:themeColor="text1"/>
                <w:sz w:val="22"/>
                <w:szCs w:val="22"/>
                <w:lang w:val="en-PH" w:eastAsia="en-PH"/>
              </w:rPr>
            </w:pPr>
            <w:r w:rsidRPr="009E35ED">
              <w:rPr>
                <w:rFonts w:ascii="Arial Narrow" w:hAnsi="Arial Narrow" w:cs="Arial"/>
                <w:b/>
                <w:bCs/>
                <w:color w:val="000000" w:themeColor="text1"/>
                <w:sz w:val="22"/>
                <w:szCs w:val="22"/>
                <w:lang w:val="en-PH" w:eastAsia="en-PH"/>
              </w:rPr>
              <w:t>Total</w:t>
            </w:r>
          </w:p>
        </w:tc>
        <w:tc>
          <w:tcPr>
            <w:tcW w:w="1855" w:type="dxa"/>
            <w:tcBorders>
              <w:top w:val="single" w:sz="4" w:space="0" w:color="auto"/>
              <w:bottom w:val="double" w:sz="4" w:space="0" w:color="auto"/>
            </w:tcBorders>
            <w:shd w:val="clear" w:color="auto" w:fill="auto"/>
            <w:noWrap/>
          </w:tcPr>
          <w:p w14:paraId="35AEBD0A" w14:textId="111DDA43" w:rsidR="00E24DF6" w:rsidRPr="009E35ED" w:rsidRDefault="000F731B" w:rsidP="00E24DF6">
            <w:pPr>
              <w:ind w:left="-110" w:right="-70"/>
              <w:jc w:val="right"/>
              <w:rPr>
                <w:rFonts w:ascii="Arial Narrow" w:hAnsi="Arial Narrow" w:cs="Arial"/>
                <w:b/>
                <w:bCs/>
                <w:color w:val="000000" w:themeColor="text1"/>
                <w:sz w:val="22"/>
                <w:szCs w:val="22"/>
              </w:rPr>
            </w:pPr>
            <w:r w:rsidRPr="009E35ED">
              <w:rPr>
                <w:rFonts w:ascii="Arial Narrow" w:hAnsi="Arial Narrow" w:cs="Arial"/>
                <w:b/>
                <w:bCs/>
                <w:color w:val="000000" w:themeColor="text1"/>
                <w:sz w:val="22"/>
                <w:szCs w:val="22"/>
              </w:rPr>
              <w:t>153,562,861</w:t>
            </w:r>
          </w:p>
        </w:tc>
        <w:tc>
          <w:tcPr>
            <w:tcW w:w="1470" w:type="dxa"/>
            <w:tcBorders>
              <w:top w:val="single" w:sz="4" w:space="0" w:color="auto"/>
              <w:bottom w:val="double" w:sz="4" w:space="0" w:color="auto"/>
            </w:tcBorders>
            <w:shd w:val="clear" w:color="auto" w:fill="auto"/>
            <w:noWrap/>
          </w:tcPr>
          <w:p w14:paraId="0B970AA4" w14:textId="4EDA2A5C" w:rsidR="00E24DF6" w:rsidRPr="009E35ED" w:rsidRDefault="00FA1002" w:rsidP="00E24DF6">
            <w:pPr>
              <w:ind w:left="-110" w:right="-110"/>
              <w:jc w:val="right"/>
              <w:rPr>
                <w:rFonts w:ascii="Arial Narrow" w:hAnsi="Arial Narrow" w:cs="Arial"/>
                <w:b/>
                <w:bCs/>
                <w:color w:val="000000" w:themeColor="text1"/>
                <w:sz w:val="22"/>
                <w:szCs w:val="22"/>
              </w:rPr>
            </w:pPr>
            <w:r w:rsidRPr="009E35ED">
              <w:rPr>
                <w:rFonts w:ascii="Arial Narrow" w:hAnsi="Arial Narrow" w:cs="Arial"/>
                <w:b/>
                <w:bCs/>
                <w:color w:val="000000" w:themeColor="text1"/>
                <w:sz w:val="22"/>
                <w:szCs w:val="22"/>
              </w:rPr>
              <w:t>64,664,621</w:t>
            </w:r>
          </w:p>
        </w:tc>
      </w:tr>
    </w:tbl>
    <w:p w14:paraId="1F8B2FC9" w14:textId="77777777" w:rsidR="009B0D2A" w:rsidRPr="009E35ED" w:rsidRDefault="009B0D2A" w:rsidP="009B0D2A">
      <w:pPr>
        <w:tabs>
          <w:tab w:val="left" w:pos="2628"/>
        </w:tabs>
        <w:ind w:left="0"/>
        <w:rPr>
          <w:rFonts w:ascii="Arial" w:hAnsi="Arial" w:cs="Arial"/>
          <w:color w:val="000000" w:themeColor="text1"/>
          <w:sz w:val="22"/>
          <w:szCs w:val="22"/>
        </w:rPr>
      </w:pPr>
    </w:p>
    <w:p w14:paraId="6EA96A37" w14:textId="77777777" w:rsidR="009B0D2A" w:rsidRPr="009E35ED" w:rsidRDefault="009B0D2A" w:rsidP="009B0D2A">
      <w:pPr>
        <w:tabs>
          <w:tab w:val="left" w:pos="2628"/>
        </w:tabs>
        <w:ind w:left="0"/>
        <w:rPr>
          <w:rFonts w:ascii="Arial" w:hAnsi="Arial" w:cs="Arial"/>
          <w:color w:val="000000" w:themeColor="text1"/>
          <w:sz w:val="22"/>
          <w:szCs w:val="22"/>
        </w:rPr>
      </w:pPr>
    </w:p>
    <w:p w14:paraId="1C4766E6" w14:textId="2A3F56C7" w:rsidR="006E34FF" w:rsidRPr="009E35ED" w:rsidRDefault="006E34FF" w:rsidP="00B90388">
      <w:pPr>
        <w:tabs>
          <w:tab w:val="left" w:pos="2628"/>
        </w:tabs>
        <w:ind w:left="0"/>
        <w:rPr>
          <w:rFonts w:ascii="Arial" w:hAnsi="Arial" w:cs="Arial"/>
          <w:color w:val="000000" w:themeColor="text1"/>
          <w:sz w:val="22"/>
          <w:szCs w:val="22"/>
        </w:rPr>
      </w:pPr>
      <w:r w:rsidRPr="009E35ED">
        <w:rPr>
          <w:rFonts w:ascii="Arial" w:hAnsi="Arial" w:cs="Arial"/>
          <w:b/>
          <w:color w:val="000000" w:themeColor="text1"/>
          <w:sz w:val="22"/>
          <w:szCs w:val="22"/>
        </w:rPr>
        <w:t>INVESTMENT PROPERTY</w:t>
      </w:r>
    </w:p>
    <w:p w14:paraId="7A4358F2" w14:textId="77777777" w:rsidR="00A577B7" w:rsidRPr="009E35ED" w:rsidRDefault="00A577B7" w:rsidP="00E22DC2">
      <w:pPr>
        <w:ind w:left="720"/>
        <w:rPr>
          <w:rFonts w:ascii="Arial" w:hAnsi="Arial" w:cs="Arial"/>
          <w:color w:val="000000" w:themeColor="text1"/>
          <w:sz w:val="22"/>
          <w:szCs w:val="22"/>
        </w:rPr>
      </w:pPr>
    </w:p>
    <w:p w14:paraId="04B8427D" w14:textId="172390AD" w:rsidR="00A577B7" w:rsidRPr="009E35ED" w:rsidRDefault="00A577B7" w:rsidP="00803F8C">
      <w:pPr>
        <w:ind w:left="0"/>
        <w:contextualSpacing/>
        <w:rPr>
          <w:rFonts w:ascii="Arial" w:hAnsi="Arial" w:cs="Arial"/>
          <w:color w:val="000000" w:themeColor="text1"/>
          <w:sz w:val="22"/>
          <w:szCs w:val="22"/>
        </w:rPr>
      </w:pPr>
      <w:r w:rsidRPr="009E35ED">
        <w:rPr>
          <w:rFonts w:ascii="Arial" w:hAnsi="Arial" w:cs="Arial"/>
          <w:color w:val="000000" w:themeColor="text1"/>
          <w:sz w:val="22"/>
          <w:szCs w:val="22"/>
        </w:rPr>
        <w:t xml:space="preserve">This account </w:t>
      </w:r>
      <w:r w:rsidR="009D7990">
        <w:rPr>
          <w:rFonts w:ascii="Arial" w:hAnsi="Arial" w:cs="Arial"/>
          <w:color w:val="000000" w:themeColor="text1"/>
          <w:sz w:val="22"/>
          <w:szCs w:val="22"/>
        </w:rPr>
        <w:t xml:space="preserve">consists the </w:t>
      </w:r>
      <w:r w:rsidRPr="009E35ED">
        <w:rPr>
          <w:rFonts w:ascii="Arial" w:hAnsi="Arial" w:cs="Arial"/>
          <w:color w:val="000000" w:themeColor="text1"/>
          <w:sz w:val="22"/>
          <w:szCs w:val="22"/>
        </w:rPr>
        <w:t>following:</w:t>
      </w:r>
    </w:p>
    <w:p w14:paraId="2BDB7194" w14:textId="77777777" w:rsidR="009E2D51" w:rsidRPr="009E35ED" w:rsidRDefault="009E2D51" w:rsidP="00803F8C">
      <w:pPr>
        <w:ind w:left="0"/>
        <w:contextualSpacing/>
        <w:rPr>
          <w:rFonts w:ascii="Arial" w:hAnsi="Arial" w:cs="Arial"/>
          <w:color w:val="000000" w:themeColor="text1"/>
          <w:sz w:val="22"/>
          <w:szCs w:val="22"/>
        </w:rPr>
      </w:pPr>
    </w:p>
    <w:tbl>
      <w:tblPr>
        <w:tblW w:w="8696" w:type="dxa"/>
        <w:tblLayout w:type="fixed"/>
        <w:tblLook w:val="01E0" w:firstRow="1" w:lastRow="1" w:firstColumn="1" w:lastColumn="1" w:noHBand="0" w:noVBand="0"/>
      </w:tblPr>
      <w:tblGrid>
        <w:gridCol w:w="4770"/>
        <w:gridCol w:w="2181"/>
        <w:gridCol w:w="1745"/>
      </w:tblGrid>
      <w:tr w:rsidR="00997F75" w:rsidRPr="009E35ED" w14:paraId="0C69DBD4" w14:textId="77777777" w:rsidTr="00D4035E">
        <w:trPr>
          <w:trHeight w:hRule="exact" w:val="325"/>
        </w:trPr>
        <w:tc>
          <w:tcPr>
            <w:tcW w:w="4770" w:type="dxa"/>
            <w:tcBorders>
              <w:top w:val="single" w:sz="4" w:space="0" w:color="auto"/>
              <w:bottom w:val="single" w:sz="4" w:space="0" w:color="auto"/>
            </w:tcBorders>
            <w:vAlign w:val="center"/>
          </w:tcPr>
          <w:p w14:paraId="1CA10F23" w14:textId="77777777" w:rsidR="009E2D51" w:rsidRPr="009E35ED" w:rsidRDefault="009E2D51" w:rsidP="004E6DFC">
            <w:pPr>
              <w:pStyle w:val="BodyTextIndent2"/>
              <w:ind w:left="-108"/>
              <w:rPr>
                <w:rFonts w:ascii="Arial Narrow" w:hAnsi="Arial Narrow" w:cs="Arial"/>
                <w:color w:val="000000" w:themeColor="text1"/>
                <w:szCs w:val="22"/>
              </w:rPr>
            </w:pPr>
          </w:p>
        </w:tc>
        <w:tc>
          <w:tcPr>
            <w:tcW w:w="2181" w:type="dxa"/>
            <w:tcBorders>
              <w:top w:val="single" w:sz="4" w:space="0" w:color="auto"/>
              <w:bottom w:val="single" w:sz="4" w:space="0" w:color="auto"/>
            </w:tcBorders>
            <w:vAlign w:val="center"/>
          </w:tcPr>
          <w:p w14:paraId="69CE796B" w14:textId="0BFC3FB8" w:rsidR="009E2D51" w:rsidRPr="009E35ED" w:rsidRDefault="009A2538" w:rsidP="004E6DFC">
            <w:pPr>
              <w:pStyle w:val="BodyTextIndent2"/>
              <w:ind w:left="0"/>
              <w:jc w:val="right"/>
              <w:rPr>
                <w:rFonts w:ascii="Arial Narrow" w:hAnsi="Arial Narrow" w:cs="Arial"/>
                <w:b/>
                <w:color w:val="000000" w:themeColor="text1"/>
                <w:szCs w:val="22"/>
              </w:rPr>
            </w:pPr>
            <w:r w:rsidRPr="009E35ED">
              <w:rPr>
                <w:rFonts w:ascii="Arial Narrow" w:hAnsi="Arial Narrow" w:cs="Arial"/>
                <w:b/>
                <w:color w:val="000000" w:themeColor="text1"/>
                <w:szCs w:val="22"/>
              </w:rPr>
              <w:t>202</w:t>
            </w:r>
            <w:r w:rsidR="00FA1002" w:rsidRPr="009E35ED">
              <w:rPr>
                <w:rFonts w:ascii="Arial Narrow" w:hAnsi="Arial Narrow" w:cs="Arial"/>
                <w:b/>
                <w:color w:val="000000" w:themeColor="text1"/>
                <w:szCs w:val="22"/>
              </w:rPr>
              <w:t>3</w:t>
            </w:r>
          </w:p>
        </w:tc>
        <w:tc>
          <w:tcPr>
            <w:tcW w:w="1745" w:type="dxa"/>
            <w:tcBorders>
              <w:top w:val="single" w:sz="4" w:space="0" w:color="auto"/>
              <w:bottom w:val="single" w:sz="4" w:space="0" w:color="auto"/>
            </w:tcBorders>
            <w:vAlign w:val="center"/>
          </w:tcPr>
          <w:p w14:paraId="3114F78E" w14:textId="21F67312" w:rsidR="009E2D51" w:rsidRPr="009E35ED" w:rsidRDefault="003F591D" w:rsidP="00E24DF6">
            <w:pPr>
              <w:pStyle w:val="BodyTextIndent2"/>
              <w:ind w:left="0" w:right="-90"/>
              <w:jc w:val="right"/>
              <w:rPr>
                <w:rFonts w:ascii="Arial Narrow" w:hAnsi="Arial Narrow" w:cs="Arial"/>
                <w:b/>
                <w:color w:val="000000" w:themeColor="text1"/>
                <w:szCs w:val="22"/>
              </w:rPr>
            </w:pPr>
            <w:r w:rsidRPr="009E35ED">
              <w:rPr>
                <w:rFonts w:ascii="Arial Narrow" w:hAnsi="Arial Narrow" w:cs="Arial"/>
                <w:b/>
                <w:color w:val="000000" w:themeColor="text1"/>
                <w:szCs w:val="22"/>
              </w:rPr>
              <w:t>202</w:t>
            </w:r>
            <w:r w:rsidR="00FA1002" w:rsidRPr="009E35ED">
              <w:rPr>
                <w:rFonts w:ascii="Arial Narrow" w:hAnsi="Arial Narrow" w:cs="Arial"/>
                <w:b/>
                <w:color w:val="000000" w:themeColor="text1"/>
                <w:szCs w:val="22"/>
              </w:rPr>
              <w:t>2</w:t>
            </w:r>
          </w:p>
        </w:tc>
      </w:tr>
      <w:tr w:rsidR="00997F75" w:rsidRPr="009E35ED" w14:paraId="218A63BC" w14:textId="77777777" w:rsidTr="00D4035E">
        <w:trPr>
          <w:trHeight w:hRule="exact" w:val="295"/>
        </w:trPr>
        <w:tc>
          <w:tcPr>
            <w:tcW w:w="4770" w:type="dxa"/>
            <w:vAlign w:val="center"/>
          </w:tcPr>
          <w:p w14:paraId="5423144E" w14:textId="2CE92775" w:rsidR="00FA1002" w:rsidRPr="009E35ED" w:rsidRDefault="00FA1002" w:rsidP="00FA1002">
            <w:pPr>
              <w:pStyle w:val="BodyTextIndent2"/>
              <w:ind w:left="-108"/>
              <w:rPr>
                <w:rFonts w:ascii="Arial Narrow" w:hAnsi="Arial Narrow" w:cs="Arial"/>
                <w:color w:val="000000" w:themeColor="text1"/>
                <w:szCs w:val="22"/>
              </w:rPr>
            </w:pPr>
            <w:r w:rsidRPr="009E35ED">
              <w:rPr>
                <w:rFonts w:ascii="Arial Narrow" w:hAnsi="Arial Narrow" w:cs="Arial"/>
                <w:color w:val="000000" w:themeColor="text1"/>
                <w:szCs w:val="22"/>
                <w:lang w:val="en-PH" w:eastAsia="en-PH"/>
              </w:rPr>
              <w:t xml:space="preserve">Investment </w:t>
            </w:r>
            <w:r w:rsidR="000911E5">
              <w:rPr>
                <w:rFonts w:ascii="Arial Narrow" w:hAnsi="Arial Narrow" w:cs="Arial"/>
                <w:color w:val="000000" w:themeColor="text1"/>
                <w:szCs w:val="22"/>
                <w:lang w:val="en-PH" w:eastAsia="en-PH"/>
              </w:rPr>
              <w:t>p</w:t>
            </w:r>
            <w:r w:rsidRPr="009E35ED">
              <w:rPr>
                <w:rFonts w:ascii="Arial Narrow" w:hAnsi="Arial Narrow" w:cs="Arial"/>
                <w:color w:val="000000" w:themeColor="text1"/>
                <w:szCs w:val="22"/>
                <w:lang w:val="en-PH" w:eastAsia="en-PH"/>
              </w:rPr>
              <w:t xml:space="preserve">roperty, </w:t>
            </w:r>
            <w:r w:rsidR="000911E5">
              <w:rPr>
                <w:rFonts w:ascii="Arial Narrow" w:hAnsi="Arial Narrow" w:cs="Arial"/>
                <w:color w:val="000000" w:themeColor="text1"/>
                <w:szCs w:val="22"/>
                <w:lang w:val="en-PH" w:eastAsia="en-PH"/>
              </w:rPr>
              <w:t>l</w:t>
            </w:r>
            <w:r w:rsidRPr="009E35ED">
              <w:rPr>
                <w:rFonts w:ascii="Arial Narrow" w:hAnsi="Arial Narrow" w:cs="Arial"/>
                <w:color w:val="000000" w:themeColor="text1"/>
                <w:szCs w:val="22"/>
                <w:lang w:val="en-PH" w:eastAsia="en-PH"/>
              </w:rPr>
              <w:t>and (net)</w:t>
            </w:r>
          </w:p>
        </w:tc>
        <w:tc>
          <w:tcPr>
            <w:tcW w:w="2181" w:type="dxa"/>
            <w:vAlign w:val="center"/>
          </w:tcPr>
          <w:p w14:paraId="60CEC854" w14:textId="38B6D6E9" w:rsidR="00FA1002" w:rsidRPr="009E35ED" w:rsidRDefault="00047060" w:rsidP="00FA1002">
            <w:pPr>
              <w:pStyle w:val="BodyTextIndent2"/>
              <w:ind w:left="-82" w:right="-101"/>
              <w:jc w:val="right"/>
              <w:rPr>
                <w:rFonts w:ascii="Arial Narrow" w:hAnsi="Arial Narrow" w:cs="Arial"/>
                <w:color w:val="000000" w:themeColor="text1"/>
                <w:szCs w:val="22"/>
              </w:rPr>
            </w:pPr>
            <w:r w:rsidRPr="009E35ED">
              <w:rPr>
                <w:rFonts w:ascii="Arial Narrow" w:hAnsi="Arial Narrow" w:cs="Arial"/>
                <w:color w:val="000000" w:themeColor="text1"/>
                <w:szCs w:val="22"/>
              </w:rPr>
              <w:t>273,866,025</w:t>
            </w:r>
          </w:p>
        </w:tc>
        <w:tc>
          <w:tcPr>
            <w:tcW w:w="1745" w:type="dxa"/>
            <w:vAlign w:val="center"/>
          </w:tcPr>
          <w:p w14:paraId="77E8301B" w14:textId="21D4A052" w:rsidR="00FA1002" w:rsidRPr="009E35ED" w:rsidRDefault="00FA1002" w:rsidP="00FA1002">
            <w:pPr>
              <w:pStyle w:val="BodyTextIndent2"/>
              <w:ind w:left="-82" w:right="-101"/>
              <w:jc w:val="right"/>
              <w:rPr>
                <w:rFonts w:ascii="Arial Narrow" w:hAnsi="Arial Narrow" w:cs="Arial"/>
                <w:color w:val="000000" w:themeColor="text1"/>
                <w:szCs w:val="22"/>
              </w:rPr>
            </w:pPr>
            <w:r w:rsidRPr="009E35ED">
              <w:rPr>
                <w:rFonts w:ascii="Arial Narrow" w:hAnsi="Arial Narrow" w:cs="Arial"/>
                <w:color w:val="000000" w:themeColor="text1"/>
                <w:szCs w:val="22"/>
              </w:rPr>
              <w:t>273,866,025</w:t>
            </w:r>
          </w:p>
        </w:tc>
      </w:tr>
      <w:tr w:rsidR="00997F75" w:rsidRPr="009E35ED" w14:paraId="23E47EDF" w14:textId="77777777" w:rsidTr="00D4035E">
        <w:trPr>
          <w:trHeight w:hRule="exact" w:val="325"/>
        </w:trPr>
        <w:tc>
          <w:tcPr>
            <w:tcW w:w="4770" w:type="dxa"/>
            <w:tcBorders>
              <w:bottom w:val="single" w:sz="4" w:space="0" w:color="auto"/>
            </w:tcBorders>
            <w:vAlign w:val="center"/>
          </w:tcPr>
          <w:p w14:paraId="5520FABD" w14:textId="74456940" w:rsidR="00FA1002" w:rsidRPr="009E35ED" w:rsidRDefault="00FA1002" w:rsidP="00FA1002">
            <w:pPr>
              <w:pStyle w:val="BodyTextIndent2"/>
              <w:ind w:left="-108"/>
              <w:rPr>
                <w:rFonts w:ascii="Arial Narrow" w:hAnsi="Arial Narrow" w:cs="Arial"/>
                <w:color w:val="000000" w:themeColor="text1"/>
                <w:szCs w:val="22"/>
              </w:rPr>
            </w:pPr>
            <w:r w:rsidRPr="009E35ED">
              <w:rPr>
                <w:rFonts w:ascii="Arial Narrow" w:hAnsi="Arial Narrow" w:cs="Arial"/>
                <w:color w:val="000000" w:themeColor="text1"/>
                <w:szCs w:val="22"/>
                <w:lang w:val="en-PH" w:eastAsia="en-PH"/>
              </w:rPr>
              <w:t xml:space="preserve">Investment </w:t>
            </w:r>
            <w:r w:rsidR="000911E5">
              <w:rPr>
                <w:rFonts w:ascii="Arial Narrow" w:hAnsi="Arial Narrow" w:cs="Arial"/>
                <w:color w:val="000000" w:themeColor="text1"/>
                <w:szCs w:val="22"/>
                <w:lang w:val="en-PH" w:eastAsia="en-PH"/>
              </w:rPr>
              <w:t>p</w:t>
            </w:r>
            <w:r w:rsidRPr="009E35ED">
              <w:rPr>
                <w:rFonts w:ascii="Arial Narrow" w:hAnsi="Arial Narrow" w:cs="Arial"/>
                <w:color w:val="000000" w:themeColor="text1"/>
                <w:szCs w:val="22"/>
                <w:lang w:val="en-PH" w:eastAsia="en-PH"/>
              </w:rPr>
              <w:t xml:space="preserve">roperty, </w:t>
            </w:r>
            <w:r w:rsidR="000911E5">
              <w:rPr>
                <w:rFonts w:ascii="Arial Narrow" w:hAnsi="Arial Narrow" w:cs="Arial"/>
                <w:color w:val="000000" w:themeColor="text1"/>
                <w:szCs w:val="22"/>
                <w:lang w:val="en-PH" w:eastAsia="en-PH"/>
              </w:rPr>
              <w:t>b</w:t>
            </w:r>
            <w:r w:rsidRPr="009E35ED">
              <w:rPr>
                <w:rFonts w:ascii="Arial Narrow" w:hAnsi="Arial Narrow" w:cs="Arial"/>
                <w:color w:val="000000" w:themeColor="text1"/>
                <w:szCs w:val="22"/>
                <w:lang w:val="en-PH" w:eastAsia="en-PH"/>
              </w:rPr>
              <w:t>uilding (net)</w:t>
            </w:r>
          </w:p>
        </w:tc>
        <w:tc>
          <w:tcPr>
            <w:tcW w:w="2181" w:type="dxa"/>
            <w:tcBorders>
              <w:bottom w:val="single" w:sz="4" w:space="0" w:color="auto"/>
            </w:tcBorders>
            <w:vAlign w:val="center"/>
          </w:tcPr>
          <w:p w14:paraId="6D3FFD86" w14:textId="3FA85F63" w:rsidR="00FA1002" w:rsidRPr="009E35ED" w:rsidRDefault="00E0306F" w:rsidP="00FA1002">
            <w:pPr>
              <w:pStyle w:val="BodyTextIndent2"/>
              <w:ind w:left="0" w:right="-101"/>
              <w:jc w:val="right"/>
              <w:rPr>
                <w:rFonts w:ascii="Arial Narrow" w:hAnsi="Arial Narrow" w:cs="Arial"/>
                <w:color w:val="000000" w:themeColor="text1"/>
                <w:szCs w:val="22"/>
              </w:rPr>
            </w:pPr>
            <w:r w:rsidRPr="009E35ED">
              <w:rPr>
                <w:rFonts w:ascii="Arial Narrow" w:hAnsi="Arial Narrow" w:cs="Arial"/>
                <w:color w:val="000000" w:themeColor="text1"/>
                <w:szCs w:val="22"/>
              </w:rPr>
              <w:t>4,273,217</w:t>
            </w:r>
          </w:p>
        </w:tc>
        <w:tc>
          <w:tcPr>
            <w:tcW w:w="1745" w:type="dxa"/>
            <w:tcBorders>
              <w:bottom w:val="single" w:sz="4" w:space="0" w:color="auto"/>
            </w:tcBorders>
            <w:vAlign w:val="center"/>
          </w:tcPr>
          <w:p w14:paraId="4AEDE7DA" w14:textId="13E15ED5" w:rsidR="00FA1002" w:rsidRPr="009E35ED" w:rsidRDefault="00FA1002" w:rsidP="00FA1002">
            <w:pPr>
              <w:pStyle w:val="BodyTextIndent2"/>
              <w:ind w:left="-82" w:right="-101"/>
              <w:jc w:val="right"/>
              <w:rPr>
                <w:rFonts w:ascii="Arial Narrow" w:hAnsi="Arial Narrow" w:cs="Arial"/>
                <w:color w:val="000000" w:themeColor="text1"/>
                <w:szCs w:val="22"/>
              </w:rPr>
            </w:pPr>
            <w:r w:rsidRPr="009E35ED">
              <w:rPr>
                <w:rFonts w:ascii="Arial Narrow" w:hAnsi="Arial Narrow" w:cs="Arial"/>
                <w:color w:val="000000" w:themeColor="text1"/>
                <w:szCs w:val="22"/>
              </w:rPr>
              <w:t>4,497,800</w:t>
            </w:r>
          </w:p>
        </w:tc>
      </w:tr>
      <w:tr w:rsidR="00FA1002" w:rsidRPr="009E35ED" w14:paraId="54EDF81B" w14:textId="77777777" w:rsidTr="00D4035E">
        <w:trPr>
          <w:trHeight w:hRule="exact" w:val="296"/>
        </w:trPr>
        <w:tc>
          <w:tcPr>
            <w:tcW w:w="4770" w:type="dxa"/>
            <w:tcBorders>
              <w:top w:val="single" w:sz="4" w:space="0" w:color="auto"/>
              <w:bottom w:val="double" w:sz="4" w:space="0" w:color="auto"/>
            </w:tcBorders>
            <w:vAlign w:val="bottom"/>
          </w:tcPr>
          <w:p w14:paraId="0FE40157" w14:textId="77777777" w:rsidR="00FA1002" w:rsidRPr="009E35ED" w:rsidRDefault="00FA1002" w:rsidP="00FA1002">
            <w:pPr>
              <w:pStyle w:val="BodyTextIndent2"/>
              <w:ind w:left="-108"/>
              <w:rPr>
                <w:rFonts w:ascii="Arial Narrow" w:hAnsi="Arial Narrow" w:cs="Arial"/>
                <w:b/>
                <w:color w:val="000000" w:themeColor="text1"/>
                <w:szCs w:val="22"/>
              </w:rPr>
            </w:pPr>
            <w:r w:rsidRPr="009E35ED">
              <w:rPr>
                <w:rFonts w:ascii="Arial Narrow" w:hAnsi="Arial Narrow" w:cs="Arial"/>
                <w:b/>
                <w:bCs/>
                <w:color w:val="000000" w:themeColor="text1"/>
                <w:szCs w:val="22"/>
                <w:lang w:val="en-PH" w:eastAsia="en-PH"/>
              </w:rPr>
              <w:t>Total</w:t>
            </w:r>
          </w:p>
        </w:tc>
        <w:tc>
          <w:tcPr>
            <w:tcW w:w="2181" w:type="dxa"/>
            <w:tcBorders>
              <w:top w:val="single" w:sz="4" w:space="0" w:color="auto"/>
              <w:bottom w:val="double" w:sz="4" w:space="0" w:color="auto"/>
            </w:tcBorders>
            <w:vAlign w:val="center"/>
          </w:tcPr>
          <w:p w14:paraId="39140F4B" w14:textId="42018DB4" w:rsidR="00FA1002" w:rsidRPr="009E35ED" w:rsidRDefault="00897ABD" w:rsidP="00FA1002">
            <w:pPr>
              <w:pStyle w:val="BodyTextIndent2"/>
              <w:ind w:left="0" w:right="-101"/>
              <w:jc w:val="right"/>
              <w:rPr>
                <w:rFonts w:ascii="Arial Narrow" w:hAnsi="Arial Narrow" w:cs="Arial"/>
                <w:b/>
                <w:color w:val="000000" w:themeColor="text1"/>
                <w:szCs w:val="22"/>
              </w:rPr>
            </w:pPr>
            <w:r w:rsidRPr="009E35ED">
              <w:rPr>
                <w:rFonts w:ascii="Arial Narrow" w:hAnsi="Arial Narrow" w:cs="Arial"/>
                <w:b/>
                <w:color w:val="000000" w:themeColor="text1"/>
                <w:szCs w:val="22"/>
              </w:rPr>
              <w:t>278,139,242</w:t>
            </w:r>
          </w:p>
        </w:tc>
        <w:tc>
          <w:tcPr>
            <w:tcW w:w="1745" w:type="dxa"/>
            <w:tcBorders>
              <w:top w:val="single" w:sz="4" w:space="0" w:color="auto"/>
              <w:bottom w:val="double" w:sz="4" w:space="0" w:color="auto"/>
            </w:tcBorders>
            <w:vAlign w:val="center"/>
          </w:tcPr>
          <w:p w14:paraId="519B7BEC" w14:textId="3D773178" w:rsidR="00FA1002" w:rsidRPr="009E35ED" w:rsidRDefault="00FA1002" w:rsidP="00FA1002">
            <w:pPr>
              <w:pStyle w:val="BodyTextIndent2"/>
              <w:ind w:left="0" w:right="-101"/>
              <w:jc w:val="right"/>
              <w:rPr>
                <w:rFonts w:ascii="Arial Narrow" w:hAnsi="Arial Narrow" w:cs="Arial"/>
                <w:b/>
                <w:color w:val="000000" w:themeColor="text1"/>
                <w:szCs w:val="22"/>
              </w:rPr>
            </w:pPr>
            <w:r w:rsidRPr="009E35ED">
              <w:rPr>
                <w:rFonts w:ascii="Arial Narrow" w:hAnsi="Arial Narrow" w:cs="Arial"/>
                <w:b/>
                <w:color w:val="000000" w:themeColor="text1"/>
                <w:szCs w:val="22"/>
              </w:rPr>
              <w:t>278,363,825</w:t>
            </w:r>
          </w:p>
        </w:tc>
      </w:tr>
    </w:tbl>
    <w:p w14:paraId="485408D0" w14:textId="77777777" w:rsidR="009E2D51" w:rsidRPr="009E35ED" w:rsidRDefault="009E2D51" w:rsidP="00803F8C">
      <w:pPr>
        <w:ind w:left="0"/>
        <w:contextualSpacing/>
        <w:rPr>
          <w:rFonts w:ascii="Arial" w:hAnsi="Arial" w:cs="Arial"/>
          <w:color w:val="000000" w:themeColor="text1"/>
          <w:sz w:val="22"/>
          <w:szCs w:val="22"/>
        </w:rPr>
      </w:pPr>
    </w:p>
    <w:p w14:paraId="5AE2E7B5" w14:textId="25E3C153" w:rsidR="00B44FD1" w:rsidRPr="009E35ED" w:rsidRDefault="00B44FD1" w:rsidP="00B90388">
      <w:pPr>
        <w:keepNext/>
        <w:keepLines/>
        <w:ind w:left="0"/>
        <w:rPr>
          <w:rFonts w:ascii="Arial" w:hAnsi="Arial" w:cs="Arial"/>
          <w:color w:val="000000" w:themeColor="text1"/>
          <w:sz w:val="22"/>
          <w:szCs w:val="22"/>
        </w:rPr>
      </w:pPr>
      <w:r w:rsidRPr="009E35ED">
        <w:rPr>
          <w:rFonts w:ascii="Arial" w:hAnsi="Arial" w:cs="Arial"/>
          <w:color w:val="000000" w:themeColor="text1"/>
          <w:sz w:val="22"/>
          <w:szCs w:val="22"/>
        </w:rPr>
        <w:t xml:space="preserve">The </w:t>
      </w:r>
      <w:r w:rsidR="000911E5">
        <w:rPr>
          <w:rFonts w:ascii="Arial" w:hAnsi="Arial" w:cs="Arial"/>
          <w:color w:val="000000" w:themeColor="text1"/>
          <w:sz w:val="22"/>
          <w:szCs w:val="22"/>
        </w:rPr>
        <w:t xml:space="preserve">PCSO </w:t>
      </w:r>
      <w:r w:rsidRPr="009E35ED">
        <w:rPr>
          <w:rFonts w:ascii="Arial" w:hAnsi="Arial" w:cs="Arial"/>
          <w:color w:val="000000" w:themeColor="text1"/>
          <w:sz w:val="22"/>
          <w:szCs w:val="22"/>
        </w:rPr>
        <w:t>uses these criteria to distinguish investment property from owner-occupied property:</w:t>
      </w:r>
    </w:p>
    <w:p w14:paraId="4DDFE3EB" w14:textId="77777777" w:rsidR="00B44FD1" w:rsidRPr="009E35ED" w:rsidRDefault="00B44FD1" w:rsidP="00B90388">
      <w:pPr>
        <w:keepNext/>
        <w:keepLines/>
        <w:ind w:left="0"/>
        <w:rPr>
          <w:rFonts w:ascii="Arial" w:hAnsi="Arial" w:cs="Arial"/>
          <w:color w:val="000000" w:themeColor="text1"/>
          <w:sz w:val="22"/>
          <w:szCs w:val="22"/>
        </w:rPr>
      </w:pPr>
    </w:p>
    <w:p w14:paraId="2A72E93B" w14:textId="76C8DBEC" w:rsidR="002119CA" w:rsidRPr="009E35ED" w:rsidRDefault="00B44FD1" w:rsidP="00B90388">
      <w:pPr>
        <w:pStyle w:val="ListParagraph"/>
        <w:keepNext/>
        <w:keepLines/>
        <w:numPr>
          <w:ilvl w:val="0"/>
          <w:numId w:val="32"/>
        </w:numPr>
        <w:rPr>
          <w:rFonts w:ascii="Arial" w:hAnsi="Arial" w:cs="Arial"/>
          <w:color w:val="000000" w:themeColor="text1"/>
          <w:sz w:val="22"/>
          <w:szCs w:val="22"/>
        </w:rPr>
      </w:pPr>
      <w:r w:rsidRPr="009E35ED">
        <w:rPr>
          <w:rFonts w:ascii="Arial" w:hAnsi="Arial" w:cs="Arial"/>
          <w:color w:val="000000" w:themeColor="text1"/>
          <w:sz w:val="22"/>
          <w:szCs w:val="22"/>
        </w:rPr>
        <w:t xml:space="preserve">Land held for long-term capital appreciation rather than for short-term sale in the ordinary course of operations; </w:t>
      </w:r>
    </w:p>
    <w:p w14:paraId="79754B11" w14:textId="12A9D377" w:rsidR="002119CA" w:rsidRPr="009E35ED" w:rsidRDefault="00B44FD1" w:rsidP="00B90388">
      <w:pPr>
        <w:pStyle w:val="ListParagraph"/>
        <w:keepNext/>
        <w:keepLines/>
        <w:ind w:left="1080"/>
        <w:rPr>
          <w:rFonts w:ascii="Arial" w:hAnsi="Arial" w:cs="Arial"/>
          <w:color w:val="000000" w:themeColor="text1"/>
          <w:sz w:val="22"/>
          <w:szCs w:val="22"/>
        </w:rPr>
      </w:pPr>
      <w:r w:rsidRPr="009E35ED">
        <w:rPr>
          <w:rFonts w:ascii="Arial" w:hAnsi="Arial" w:cs="Arial"/>
          <w:color w:val="000000" w:themeColor="text1"/>
          <w:sz w:val="22"/>
          <w:szCs w:val="22"/>
        </w:rPr>
        <w:tab/>
      </w:r>
    </w:p>
    <w:p w14:paraId="31BCA0BF" w14:textId="182230E8" w:rsidR="00B44FD1" w:rsidRPr="009E35ED" w:rsidRDefault="00B44FD1" w:rsidP="00B90388">
      <w:pPr>
        <w:pStyle w:val="ListParagraph"/>
        <w:keepNext/>
        <w:keepLines/>
        <w:numPr>
          <w:ilvl w:val="0"/>
          <w:numId w:val="32"/>
        </w:numPr>
        <w:rPr>
          <w:rFonts w:ascii="Arial" w:hAnsi="Arial" w:cs="Arial"/>
          <w:color w:val="000000" w:themeColor="text1"/>
          <w:sz w:val="22"/>
          <w:szCs w:val="22"/>
        </w:rPr>
      </w:pPr>
      <w:r w:rsidRPr="009E35ED">
        <w:rPr>
          <w:rFonts w:ascii="Arial" w:hAnsi="Arial" w:cs="Arial"/>
          <w:color w:val="000000" w:themeColor="text1"/>
          <w:sz w:val="22"/>
          <w:szCs w:val="22"/>
        </w:rPr>
        <w:t xml:space="preserve">Land held for currently undetermined future use. </w:t>
      </w:r>
    </w:p>
    <w:p w14:paraId="2C6F848C" w14:textId="77777777" w:rsidR="00B44FD1" w:rsidRPr="009E35ED" w:rsidRDefault="00B44FD1" w:rsidP="00803F8C">
      <w:pPr>
        <w:ind w:left="0"/>
        <w:rPr>
          <w:rFonts w:ascii="Arial" w:hAnsi="Arial" w:cs="Arial"/>
          <w:color w:val="000000" w:themeColor="text1"/>
          <w:sz w:val="22"/>
          <w:szCs w:val="22"/>
        </w:rPr>
      </w:pPr>
    </w:p>
    <w:p w14:paraId="4D3CBB70" w14:textId="1C659951" w:rsidR="00D5474C" w:rsidRPr="009E35ED" w:rsidRDefault="00B44FD1" w:rsidP="00803F8C">
      <w:pPr>
        <w:pStyle w:val="BodyTextIndent2"/>
        <w:ind w:left="0"/>
        <w:rPr>
          <w:rFonts w:cs="Arial"/>
          <w:color w:val="000000" w:themeColor="text1"/>
          <w:szCs w:val="22"/>
        </w:rPr>
      </w:pPr>
      <w:r w:rsidRPr="009E35ED">
        <w:rPr>
          <w:rFonts w:cs="Arial"/>
          <w:color w:val="000000" w:themeColor="text1"/>
          <w:szCs w:val="22"/>
        </w:rPr>
        <w:t xml:space="preserve">Investment </w:t>
      </w:r>
      <w:r w:rsidR="000911E5">
        <w:rPr>
          <w:rFonts w:cs="Arial"/>
          <w:color w:val="000000" w:themeColor="text1"/>
          <w:szCs w:val="22"/>
        </w:rPr>
        <w:t>p</w:t>
      </w:r>
      <w:r w:rsidRPr="009E35ED">
        <w:rPr>
          <w:rFonts w:cs="Arial"/>
          <w:color w:val="000000" w:themeColor="text1"/>
          <w:szCs w:val="22"/>
        </w:rPr>
        <w:t xml:space="preserve">roperty account </w:t>
      </w:r>
      <w:r w:rsidR="000911E5">
        <w:rPr>
          <w:rFonts w:cs="Arial"/>
          <w:color w:val="000000" w:themeColor="text1"/>
          <w:szCs w:val="22"/>
        </w:rPr>
        <w:t>is</w:t>
      </w:r>
      <w:r w:rsidRPr="009E35ED">
        <w:rPr>
          <w:rFonts w:cs="Arial"/>
          <w:color w:val="000000" w:themeColor="text1"/>
          <w:szCs w:val="22"/>
        </w:rPr>
        <w:t xml:space="preserve"> composed of </w:t>
      </w:r>
      <w:r w:rsidR="005E13ED" w:rsidRPr="009E35ED">
        <w:rPr>
          <w:rFonts w:cs="Arial"/>
          <w:color w:val="000000" w:themeColor="text1"/>
          <w:szCs w:val="22"/>
        </w:rPr>
        <w:t>31 land properties and one (1) building</w:t>
      </w:r>
      <w:r w:rsidRPr="009E35ED">
        <w:rPr>
          <w:rFonts w:cs="Arial"/>
          <w:color w:val="000000" w:themeColor="text1"/>
          <w:szCs w:val="22"/>
        </w:rPr>
        <w:t>.  The investment propert</w:t>
      </w:r>
      <w:r w:rsidR="003E4598" w:rsidRPr="009E35ED">
        <w:rPr>
          <w:rFonts w:cs="Arial"/>
          <w:color w:val="000000" w:themeColor="text1"/>
          <w:szCs w:val="22"/>
        </w:rPr>
        <w:t>ies</w:t>
      </w:r>
      <w:r w:rsidRPr="009E35ED">
        <w:rPr>
          <w:rFonts w:cs="Arial"/>
          <w:color w:val="000000" w:themeColor="text1"/>
          <w:szCs w:val="22"/>
        </w:rPr>
        <w:t xml:space="preserve"> were land and building acquired through foreclosed properties from defaulted sweepstakes agents.</w:t>
      </w:r>
    </w:p>
    <w:p w14:paraId="2DEF8397" w14:textId="64C206CD" w:rsidR="00EA47F9" w:rsidRPr="009E35ED" w:rsidRDefault="00EA47F9" w:rsidP="00803F8C">
      <w:pPr>
        <w:pStyle w:val="BodyTextIndent2"/>
        <w:ind w:left="0"/>
        <w:rPr>
          <w:rFonts w:cs="Arial"/>
          <w:color w:val="000000" w:themeColor="text1"/>
          <w:szCs w:val="22"/>
        </w:rPr>
      </w:pPr>
    </w:p>
    <w:tbl>
      <w:tblPr>
        <w:tblW w:w="8648" w:type="dxa"/>
        <w:tblLayout w:type="fixed"/>
        <w:tblLook w:val="01E0" w:firstRow="1" w:lastRow="1" w:firstColumn="1" w:lastColumn="1" w:noHBand="0" w:noVBand="0"/>
      </w:tblPr>
      <w:tblGrid>
        <w:gridCol w:w="5130"/>
        <w:gridCol w:w="1716"/>
        <w:gridCol w:w="1802"/>
      </w:tblGrid>
      <w:tr w:rsidR="00997F75" w:rsidRPr="009E35ED" w14:paraId="4FFAF447" w14:textId="77777777" w:rsidTr="00D4035E">
        <w:trPr>
          <w:trHeight w:hRule="exact" w:val="217"/>
          <w:tblHeader/>
        </w:trPr>
        <w:tc>
          <w:tcPr>
            <w:tcW w:w="5130" w:type="dxa"/>
            <w:tcBorders>
              <w:top w:val="single" w:sz="4" w:space="0" w:color="auto"/>
              <w:bottom w:val="single" w:sz="4" w:space="0" w:color="auto"/>
            </w:tcBorders>
            <w:vAlign w:val="center"/>
          </w:tcPr>
          <w:p w14:paraId="589811C5" w14:textId="77777777" w:rsidR="00B44FD1" w:rsidRPr="009E35ED" w:rsidRDefault="00B44FD1" w:rsidP="00803F8C">
            <w:pPr>
              <w:pStyle w:val="BodyTextIndent2"/>
              <w:ind w:left="-108"/>
              <w:rPr>
                <w:rFonts w:ascii="Arial Narrow" w:hAnsi="Arial Narrow" w:cs="Arial"/>
                <w:b/>
                <w:color w:val="000000" w:themeColor="text1"/>
                <w:sz w:val="18"/>
                <w:szCs w:val="18"/>
              </w:rPr>
            </w:pPr>
            <w:r w:rsidRPr="009E35ED">
              <w:rPr>
                <w:rFonts w:ascii="Arial Narrow" w:hAnsi="Arial Narrow" w:cs="Arial"/>
                <w:b/>
                <w:color w:val="000000" w:themeColor="text1"/>
                <w:sz w:val="18"/>
                <w:szCs w:val="18"/>
              </w:rPr>
              <w:t>LAND PROPERTIES</w:t>
            </w:r>
          </w:p>
        </w:tc>
        <w:tc>
          <w:tcPr>
            <w:tcW w:w="1716" w:type="dxa"/>
            <w:tcBorders>
              <w:top w:val="single" w:sz="4" w:space="0" w:color="auto"/>
              <w:bottom w:val="single" w:sz="4" w:space="0" w:color="auto"/>
            </w:tcBorders>
            <w:vAlign w:val="center"/>
          </w:tcPr>
          <w:p w14:paraId="5CEE8B35" w14:textId="40D8EAE7" w:rsidR="00B44FD1" w:rsidRPr="009E35ED" w:rsidRDefault="00142AA2" w:rsidP="00071D4D">
            <w:pPr>
              <w:pStyle w:val="BodyTextIndent2"/>
              <w:ind w:left="0"/>
              <w:jc w:val="right"/>
              <w:rPr>
                <w:rFonts w:ascii="Arial Narrow" w:hAnsi="Arial Narrow" w:cs="Arial"/>
                <w:b/>
                <w:color w:val="000000" w:themeColor="text1"/>
                <w:sz w:val="18"/>
                <w:szCs w:val="18"/>
              </w:rPr>
            </w:pPr>
            <w:r w:rsidRPr="009E35ED">
              <w:rPr>
                <w:rFonts w:ascii="Arial Narrow" w:hAnsi="Arial Narrow" w:cs="Arial"/>
                <w:b/>
                <w:color w:val="000000" w:themeColor="text1"/>
                <w:sz w:val="18"/>
                <w:szCs w:val="18"/>
              </w:rPr>
              <w:t>20</w:t>
            </w:r>
            <w:r w:rsidR="00071D4D" w:rsidRPr="009E35ED">
              <w:rPr>
                <w:rFonts w:ascii="Arial Narrow" w:hAnsi="Arial Narrow" w:cs="Arial"/>
                <w:b/>
                <w:color w:val="000000" w:themeColor="text1"/>
                <w:sz w:val="18"/>
                <w:szCs w:val="18"/>
              </w:rPr>
              <w:t>2</w:t>
            </w:r>
            <w:r w:rsidR="00D5551C" w:rsidRPr="009E35ED">
              <w:rPr>
                <w:rFonts w:ascii="Arial Narrow" w:hAnsi="Arial Narrow" w:cs="Arial"/>
                <w:b/>
                <w:color w:val="000000" w:themeColor="text1"/>
                <w:sz w:val="18"/>
                <w:szCs w:val="18"/>
              </w:rPr>
              <w:t>3</w:t>
            </w:r>
          </w:p>
        </w:tc>
        <w:tc>
          <w:tcPr>
            <w:tcW w:w="1802" w:type="dxa"/>
            <w:tcBorders>
              <w:top w:val="single" w:sz="4" w:space="0" w:color="auto"/>
              <w:bottom w:val="single" w:sz="4" w:space="0" w:color="auto"/>
            </w:tcBorders>
            <w:vAlign w:val="center"/>
          </w:tcPr>
          <w:p w14:paraId="465F4586" w14:textId="7CBFCB0C" w:rsidR="00572AF6" w:rsidRPr="009E35ED" w:rsidRDefault="003F591D" w:rsidP="00D4035E">
            <w:pPr>
              <w:pStyle w:val="BodyTextIndent2"/>
              <w:ind w:left="0" w:right="-100"/>
              <w:jc w:val="right"/>
              <w:rPr>
                <w:rFonts w:ascii="Arial Narrow" w:hAnsi="Arial Narrow" w:cs="Arial"/>
                <w:b/>
                <w:color w:val="000000" w:themeColor="text1"/>
                <w:sz w:val="18"/>
                <w:szCs w:val="18"/>
              </w:rPr>
            </w:pPr>
            <w:r w:rsidRPr="009E35ED">
              <w:rPr>
                <w:rFonts w:ascii="Arial Narrow" w:hAnsi="Arial Narrow" w:cs="Arial"/>
                <w:b/>
                <w:color w:val="000000" w:themeColor="text1"/>
                <w:sz w:val="18"/>
                <w:szCs w:val="18"/>
              </w:rPr>
              <w:t>202</w:t>
            </w:r>
            <w:r w:rsidR="00D5551C" w:rsidRPr="009E35ED">
              <w:rPr>
                <w:rFonts w:ascii="Arial Narrow" w:hAnsi="Arial Narrow" w:cs="Arial"/>
                <w:b/>
                <w:color w:val="000000" w:themeColor="text1"/>
                <w:sz w:val="18"/>
                <w:szCs w:val="18"/>
              </w:rPr>
              <w:t>2</w:t>
            </w:r>
          </w:p>
        </w:tc>
      </w:tr>
      <w:tr w:rsidR="00997F75" w:rsidRPr="009E35ED" w14:paraId="31EF3BEF" w14:textId="77777777" w:rsidTr="00D4035E">
        <w:trPr>
          <w:trHeight w:hRule="exact" w:val="261"/>
        </w:trPr>
        <w:tc>
          <w:tcPr>
            <w:tcW w:w="5130" w:type="dxa"/>
            <w:vAlign w:val="bottom"/>
          </w:tcPr>
          <w:p w14:paraId="697A3663" w14:textId="77777777" w:rsidR="00902173" w:rsidRPr="009E35ED" w:rsidRDefault="00902173" w:rsidP="00902173">
            <w:pPr>
              <w:pStyle w:val="BodyTextIndent2"/>
              <w:ind w:left="-108"/>
              <w:rPr>
                <w:rFonts w:ascii="Arial Narrow" w:hAnsi="Arial Narrow" w:cs="Arial"/>
                <w:color w:val="000000" w:themeColor="text1"/>
                <w:sz w:val="18"/>
                <w:szCs w:val="18"/>
              </w:rPr>
            </w:pPr>
            <w:r w:rsidRPr="009E35ED">
              <w:rPr>
                <w:rFonts w:ascii="Arial Narrow" w:hAnsi="Arial Narrow" w:cs="Arial"/>
                <w:color w:val="000000" w:themeColor="text1"/>
                <w:sz w:val="18"/>
                <w:szCs w:val="18"/>
                <w:lang w:val="en-PH" w:eastAsia="en-PH"/>
              </w:rPr>
              <w:t>Brgy. Concepcion Uno, Marikina City</w:t>
            </w:r>
          </w:p>
        </w:tc>
        <w:tc>
          <w:tcPr>
            <w:tcW w:w="1716" w:type="dxa"/>
            <w:vAlign w:val="bottom"/>
          </w:tcPr>
          <w:p w14:paraId="108551B4" w14:textId="77777777" w:rsidR="00902173" w:rsidRPr="009E35ED" w:rsidRDefault="00902173" w:rsidP="00902173">
            <w:pPr>
              <w:pStyle w:val="BodyTextIndent2"/>
              <w:ind w:left="-82" w:right="-110"/>
              <w:jc w:val="right"/>
              <w:rPr>
                <w:rFonts w:ascii="Arial Narrow" w:hAnsi="Arial Narrow" w:cs="Arial"/>
                <w:color w:val="000000" w:themeColor="text1"/>
                <w:sz w:val="18"/>
                <w:szCs w:val="18"/>
              </w:rPr>
            </w:pPr>
            <w:r w:rsidRPr="009E35ED">
              <w:rPr>
                <w:rFonts w:ascii="Arial Narrow" w:hAnsi="Arial Narrow" w:cs="Arial"/>
                <w:color w:val="000000" w:themeColor="text1"/>
                <w:sz w:val="18"/>
                <w:szCs w:val="18"/>
                <w:lang w:val="en-PH" w:eastAsia="en-PH"/>
              </w:rPr>
              <w:t xml:space="preserve">  1,664,000</w:t>
            </w:r>
          </w:p>
        </w:tc>
        <w:tc>
          <w:tcPr>
            <w:tcW w:w="1802" w:type="dxa"/>
            <w:vAlign w:val="bottom"/>
          </w:tcPr>
          <w:p w14:paraId="659C22C8" w14:textId="7D0DDCCE" w:rsidR="00902173" w:rsidRPr="009E35ED" w:rsidRDefault="00902173" w:rsidP="00D4035E">
            <w:pPr>
              <w:pStyle w:val="BodyTextIndent2"/>
              <w:ind w:left="-82" w:right="-100"/>
              <w:jc w:val="right"/>
              <w:rPr>
                <w:rFonts w:ascii="Arial Narrow" w:hAnsi="Arial Narrow" w:cs="Arial"/>
                <w:color w:val="000000" w:themeColor="text1"/>
                <w:sz w:val="18"/>
                <w:szCs w:val="18"/>
              </w:rPr>
            </w:pPr>
            <w:r w:rsidRPr="009E35ED">
              <w:rPr>
                <w:rFonts w:ascii="Arial Narrow" w:hAnsi="Arial Narrow" w:cs="Arial"/>
                <w:color w:val="000000" w:themeColor="text1"/>
                <w:sz w:val="18"/>
                <w:szCs w:val="18"/>
                <w:lang w:val="en-PH" w:eastAsia="en-PH"/>
              </w:rPr>
              <w:t xml:space="preserve">  1,664,000</w:t>
            </w:r>
          </w:p>
        </w:tc>
      </w:tr>
      <w:tr w:rsidR="00997F75" w:rsidRPr="009E35ED" w14:paraId="2C4C0965" w14:textId="77777777" w:rsidTr="00D4035E">
        <w:trPr>
          <w:trHeight w:hRule="exact" w:val="261"/>
        </w:trPr>
        <w:tc>
          <w:tcPr>
            <w:tcW w:w="5130" w:type="dxa"/>
            <w:vAlign w:val="bottom"/>
          </w:tcPr>
          <w:p w14:paraId="41DAFB2B" w14:textId="77777777" w:rsidR="00902173" w:rsidRPr="009E35ED" w:rsidRDefault="00902173" w:rsidP="00902173">
            <w:pPr>
              <w:pStyle w:val="BodyTextIndent2"/>
              <w:ind w:left="-108"/>
              <w:rPr>
                <w:rFonts w:ascii="Arial Narrow" w:hAnsi="Arial Narrow" w:cs="Arial"/>
                <w:color w:val="000000" w:themeColor="text1"/>
                <w:sz w:val="18"/>
                <w:szCs w:val="18"/>
              </w:rPr>
            </w:pPr>
            <w:r w:rsidRPr="009E35ED">
              <w:rPr>
                <w:rFonts w:ascii="Arial Narrow" w:hAnsi="Arial Narrow" w:cs="Arial"/>
                <w:color w:val="000000" w:themeColor="text1"/>
                <w:sz w:val="18"/>
                <w:szCs w:val="18"/>
                <w:lang w:val="en-PH" w:eastAsia="en-PH"/>
              </w:rPr>
              <w:t>Brgy. Salvacion, La Loma, Quezon City</w:t>
            </w:r>
          </w:p>
        </w:tc>
        <w:tc>
          <w:tcPr>
            <w:tcW w:w="1716" w:type="dxa"/>
            <w:vAlign w:val="bottom"/>
          </w:tcPr>
          <w:p w14:paraId="08E27512" w14:textId="77777777" w:rsidR="00902173" w:rsidRPr="009E35ED" w:rsidRDefault="00902173" w:rsidP="00902173">
            <w:pPr>
              <w:pStyle w:val="BodyTextIndent2"/>
              <w:ind w:left="-82" w:right="-110"/>
              <w:jc w:val="right"/>
              <w:rPr>
                <w:rFonts w:ascii="Arial Narrow" w:hAnsi="Arial Narrow" w:cs="Arial"/>
                <w:color w:val="000000" w:themeColor="text1"/>
                <w:sz w:val="18"/>
                <w:szCs w:val="18"/>
              </w:rPr>
            </w:pPr>
            <w:r w:rsidRPr="009E35ED">
              <w:rPr>
                <w:rFonts w:ascii="Arial Narrow" w:hAnsi="Arial Narrow" w:cs="Arial"/>
                <w:color w:val="000000" w:themeColor="text1"/>
                <w:sz w:val="18"/>
                <w:szCs w:val="18"/>
                <w:lang w:val="en-PH" w:eastAsia="en-PH"/>
              </w:rPr>
              <w:t>4,080,000</w:t>
            </w:r>
          </w:p>
        </w:tc>
        <w:tc>
          <w:tcPr>
            <w:tcW w:w="1802" w:type="dxa"/>
            <w:vAlign w:val="bottom"/>
          </w:tcPr>
          <w:p w14:paraId="72B1DBD9" w14:textId="0D1288A0" w:rsidR="00902173" w:rsidRPr="009E35ED" w:rsidRDefault="00902173" w:rsidP="00D4035E">
            <w:pPr>
              <w:pStyle w:val="BodyTextIndent2"/>
              <w:ind w:left="-82" w:right="-100"/>
              <w:jc w:val="right"/>
              <w:rPr>
                <w:rFonts w:ascii="Arial Narrow" w:hAnsi="Arial Narrow" w:cs="Arial"/>
                <w:color w:val="000000" w:themeColor="text1"/>
                <w:sz w:val="18"/>
                <w:szCs w:val="18"/>
              </w:rPr>
            </w:pPr>
            <w:r w:rsidRPr="009E35ED">
              <w:rPr>
                <w:rFonts w:ascii="Arial Narrow" w:hAnsi="Arial Narrow" w:cs="Arial"/>
                <w:color w:val="000000" w:themeColor="text1"/>
                <w:sz w:val="18"/>
                <w:szCs w:val="18"/>
                <w:lang w:val="en-PH" w:eastAsia="en-PH"/>
              </w:rPr>
              <w:t>4,080,000</w:t>
            </w:r>
          </w:p>
        </w:tc>
      </w:tr>
      <w:tr w:rsidR="00997F75" w:rsidRPr="009E35ED" w14:paraId="1A3522DA" w14:textId="77777777" w:rsidTr="00D4035E">
        <w:trPr>
          <w:trHeight w:hRule="exact" w:val="261"/>
        </w:trPr>
        <w:tc>
          <w:tcPr>
            <w:tcW w:w="5130" w:type="dxa"/>
            <w:vAlign w:val="bottom"/>
          </w:tcPr>
          <w:p w14:paraId="7C114161" w14:textId="77777777" w:rsidR="00902173" w:rsidRPr="009E35ED" w:rsidRDefault="00902173" w:rsidP="00902173">
            <w:pPr>
              <w:pStyle w:val="BodyTextIndent2"/>
              <w:ind w:left="-130" w:firstLine="22"/>
              <w:rPr>
                <w:rFonts w:ascii="Arial Narrow" w:hAnsi="Arial Narrow" w:cs="Arial"/>
                <w:color w:val="000000" w:themeColor="text1"/>
                <w:sz w:val="18"/>
                <w:szCs w:val="18"/>
              </w:rPr>
            </w:pPr>
            <w:r w:rsidRPr="009E35ED">
              <w:rPr>
                <w:rFonts w:ascii="Arial Narrow" w:hAnsi="Arial Narrow" w:cs="Arial"/>
                <w:color w:val="000000" w:themeColor="text1"/>
                <w:sz w:val="18"/>
                <w:szCs w:val="18"/>
                <w:lang w:val="en-PH" w:eastAsia="en-PH"/>
              </w:rPr>
              <w:t>Tigbe, Norzagaray, Bulacan</w:t>
            </w:r>
          </w:p>
        </w:tc>
        <w:tc>
          <w:tcPr>
            <w:tcW w:w="1716" w:type="dxa"/>
            <w:vAlign w:val="bottom"/>
          </w:tcPr>
          <w:p w14:paraId="3D061056" w14:textId="77777777" w:rsidR="00902173" w:rsidRPr="009E35ED" w:rsidRDefault="00902173" w:rsidP="00902173">
            <w:pPr>
              <w:pStyle w:val="BodyTextIndent2"/>
              <w:ind w:left="-82" w:right="-110"/>
              <w:jc w:val="right"/>
              <w:rPr>
                <w:rFonts w:ascii="Arial Narrow" w:hAnsi="Arial Narrow" w:cs="Arial"/>
                <w:color w:val="000000" w:themeColor="text1"/>
                <w:sz w:val="18"/>
                <w:szCs w:val="18"/>
              </w:rPr>
            </w:pPr>
            <w:r w:rsidRPr="009E35ED">
              <w:rPr>
                <w:rFonts w:ascii="Arial Narrow" w:hAnsi="Arial Narrow" w:cs="Arial"/>
                <w:color w:val="000000" w:themeColor="text1"/>
                <w:sz w:val="18"/>
                <w:szCs w:val="18"/>
                <w:lang w:val="en-PH" w:eastAsia="en-PH"/>
              </w:rPr>
              <w:t xml:space="preserve">  864,000</w:t>
            </w:r>
          </w:p>
        </w:tc>
        <w:tc>
          <w:tcPr>
            <w:tcW w:w="1802" w:type="dxa"/>
            <w:vAlign w:val="bottom"/>
          </w:tcPr>
          <w:p w14:paraId="2CAD94E0" w14:textId="518438DA" w:rsidR="00902173" w:rsidRPr="009E35ED" w:rsidRDefault="00902173" w:rsidP="00D4035E">
            <w:pPr>
              <w:pStyle w:val="BodyTextIndent2"/>
              <w:ind w:left="-82" w:right="-100"/>
              <w:jc w:val="right"/>
              <w:rPr>
                <w:rFonts w:ascii="Arial Narrow" w:hAnsi="Arial Narrow" w:cs="Arial"/>
                <w:color w:val="000000" w:themeColor="text1"/>
                <w:sz w:val="18"/>
                <w:szCs w:val="18"/>
              </w:rPr>
            </w:pPr>
            <w:r w:rsidRPr="009E35ED">
              <w:rPr>
                <w:rFonts w:ascii="Arial Narrow" w:hAnsi="Arial Narrow" w:cs="Arial"/>
                <w:color w:val="000000" w:themeColor="text1"/>
                <w:sz w:val="18"/>
                <w:szCs w:val="18"/>
                <w:lang w:val="en-PH" w:eastAsia="en-PH"/>
              </w:rPr>
              <w:t xml:space="preserve">  864,000</w:t>
            </w:r>
          </w:p>
        </w:tc>
      </w:tr>
      <w:tr w:rsidR="00997F75" w:rsidRPr="009E35ED" w14:paraId="50742BB7" w14:textId="77777777" w:rsidTr="00D4035E">
        <w:trPr>
          <w:trHeight w:hRule="exact" w:val="261"/>
        </w:trPr>
        <w:tc>
          <w:tcPr>
            <w:tcW w:w="5130" w:type="dxa"/>
            <w:vAlign w:val="bottom"/>
          </w:tcPr>
          <w:p w14:paraId="0386D7FF" w14:textId="77777777" w:rsidR="00902173" w:rsidRPr="009E35ED" w:rsidRDefault="00902173" w:rsidP="00902173">
            <w:pPr>
              <w:pStyle w:val="BodyTextIndent2"/>
              <w:ind w:left="-108"/>
              <w:rPr>
                <w:rFonts w:ascii="Arial Narrow" w:hAnsi="Arial Narrow" w:cs="Arial"/>
                <w:color w:val="000000" w:themeColor="text1"/>
                <w:sz w:val="18"/>
                <w:szCs w:val="18"/>
              </w:rPr>
            </w:pPr>
            <w:r w:rsidRPr="009E35ED">
              <w:rPr>
                <w:rFonts w:ascii="Arial Narrow" w:hAnsi="Arial Narrow" w:cs="Arial"/>
                <w:color w:val="000000" w:themeColor="text1"/>
                <w:sz w:val="18"/>
                <w:szCs w:val="18"/>
                <w:lang w:val="en-PH" w:eastAsia="en-PH"/>
              </w:rPr>
              <w:t>Brgy. Pabanlag, Floridablanca, Pampanga</w:t>
            </w:r>
          </w:p>
        </w:tc>
        <w:tc>
          <w:tcPr>
            <w:tcW w:w="1716" w:type="dxa"/>
            <w:vAlign w:val="bottom"/>
          </w:tcPr>
          <w:p w14:paraId="6718FA19" w14:textId="77777777" w:rsidR="00902173" w:rsidRPr="009E35ED" w:rsidRDefault="00902173" w:rsidP="00902173">
            <w:pPr>
              <w:pStyle w:val="BodyTextIndent2"/>
              <w:ind w:left="-82" w:right="-110"/>
              <w:jc w:val="right"/>
              <w:rPr>
                <w:rFonts w:ascii="Arial Narrow" w:hAnsi="Arial Narrow" w:cs="Arial"/>
                <w:color w:val="000000" w:themeColor="text1"/>
                <w:sz w:val="18"/>
                <w:szCs w:val="18"/>
              </w:rPr>
            </w:pPr>
            <w:r w:rsidRPr="009E35ED">
              <w:rPr>
                <w:rFonts w:ascii="Arial Narrow" w:hAnsi="Arial Narrow" w:cs="Arial"/>
                <w:color w:val="000000" w:themeColor="text1"/>
                <w:sz w:val="18"/>
                <w:szCs w:val="18"/>
                <w:lang w:val="en-PH" w:eastAsia="en-PH"/>
              </w:rPr>
              <w:t>1,797,000</w:t>
            </w:r>
          </w:p>
        </w:tc>
        <w:tc>
          <w:tcPr>
            <w:tcW w:w="1802" w:type="dxa"/>
            <w:vAlign w:val="bottom"/>
          </w:tcPr>
          <w:p w14:paraId="443F6E38" w14:textId="2343CB05" w:rsidR="00902173" w:rsidRPr="009E35ED" w:rsidRDefault="00902173" w:rsidP="00D4035E">
            <w:pPr>
              <w:pStyle w:val="BodyTextIndent2"/>
              <w:ind w:left="-82" w:right="-100"/>
              <w:jc w:val="right"/>
              <w:rPr>
                <w:rFonts w:ascii="Arial Narrow" w:hAnsi="Arial Narrow" w:cs="Arial"/>
                <w:color w:val="000000" w:themeColor="text1"/>
                <w:sz w:val="18"/>
                <w:szCs w:val="18"/>
              </w:rPr>
            </w:pPr>
            <w:r w:rsidRPr="009E35ED">
              <w:rPr>
                <w:rFonts w:ascii="Arial Narrow" w:hAnsi="Arial Narrow" w:cs="Arial"/>
                <w:color w:val="000000" w:themeColor="text1"/>
                <w:sz w:val="18"/>
                <w:szCs w:val="18"/>
                <w:lang w:val="en-PH" w:eastAsia="en-PH"/>
              </w:rPr>
              <w:t>1,797,000</w:t>
            </w:r>
          </w:p>
        </w:tc>
      </w:tr>
      <w:tr w:rsidR="00997F75" w:rsidRPr="009E35ED" w14:paraId="2892C173" w14:textId="77777777" w:rsidTr="00D4035E">
        <w:trPr>
          <w:trHeight w:hRule="exact" w:val="261"/>
        </w:trPr>
        <w:tc>
          <w:tcPr>
            <w:tcW w:w="5130" w:type="dxa"/>
            <w:vAlign w:val="bottom"/>
          </w:tcPr>
          <w:p w14:paraId="13BDEF5D" w14:textId="77777777" w:rsidR="00902173" w:rsidRPr="009E35ED" w:rsidRDefault="00902173" w:rsidP="00902173">
            <w:pPr>
              <w:pStyle w:val="BodyTextIndent2"/>
              <w:ind w:left="-108"/>
              <w:rPr>
                <w:rFonts w:ascii="Arial Narrow" w:hAnsi="Arial Narrow" w:cs="Arial"/>
                <w:color w:val="000000" w:themeColor="text1"/>
                <w:sz w:val="18"/>
                <w:szCs w:val="18"/>
              </w:rPr>
            </w:pPr>
            <w:r w:rsidRPr="009E35ED">
              <w:rPr>
                <w:rFonts w:ascii="Arial Narrow" w:hAnsi="Arial Narrow" w:cs="Arial"/>
                <w:color w:val="000000" w:themeColor="text1"/>
                <w:sz w:val="18"/>
                <w:szCs w:val="18"/>
                <w:lang w:val="en-PH" w:eastAsia="en-PH"/>
              </w:rPr>
              <w:t>Brgy. Kataasan, Dinalupihan, Bataan</w:t>
            </w:r>
          </w:p>
        </w:tc>
        <w:tc>
          <w:tcPr>
            <w:tcW w:w="1716" w:type="dxa"/>
            <w:vAlign w:val="bottom"/>
          </w:tcPr>
          <w:p w14:paraId="78947B21" w14:textId="77777777" w:rsidR="00902173" w:rsidRPr="009E35ED" w:rsidRDefault="00902173" w:rsidP="00902173">
            <w:pPr>
              <w:pStyle w:val="BodyTextIndent2"/>
              <w:ind w:left="-82" w:right="-110"/>
              <w:jc w:val="right"/>
              <w:rPr>
                <w:rFonts w:ascii="Arial Narrow" w:hAnsi="Arial Narrow" w:cs="Arial"/>
                <w:color w:val="000000" w:themeColor="text1"/>
                <w:sz w:val="18"/>
                <w:szCs w:val="18"/>
              </w:rPr>
            </w:pPr>
            <w:r w:rsidRPr="009E35ED">
              <w:rPr>
                <w:rFonts w:ascii="Arial Narrow" w:hAnsi="Arial Narrow" w:cs="Arial"/>
                <w:color w:val="000000" w:themeColor="text1"/>
                <w:sz w:val="18"/>
                <w:szCs w:val="18"/>
                <w:lang w:val="en-PH" w:eastAsia="en-PH"/>
              </w:rPr>
              <w:t>238,000</w:t>
            </w:r>
          </w:p>
        </w:tc>
        <w:tc>
          <w:tcPr>
            <w:tcW w:w="1802" w:type="dxa"/>
            <w:vAlign w:val="bottom"/>
          </w:tcPr>
          <w:p w14:paraId="7344919A" w14:textId="237632C5" w:rsidR="00902173" w:rsidRPr="009E35ED" w:rsidRDefault="00902173" w:rsidP="00D4035E">
            <w:pPr>
              <w:pStyle w:val="BodyTextIndent2"/>
              <w:ind w:left="-82" w:right="-100"/>
              <w:jc w:val="right"/>
              <w:rPr>
                <w:rFonts w:ascii="Arial Narrow" w:hAnsi="Arial Narrow" w:cs="Arial"/>
                <w:color w:val="000000" w:themeColor="text1"/>
                <w:sz w:val="18"/>
                <w:szCs w:val="18"/>
              </w:rPr>
            </w:pPr>
            <w:r w:rsidRPr="009E35ED">
              <w:rPr>
                <w:rFonts w:ascii="Arial Narrow" w:hAnsi="Arial Narrow" w:cs="Arial"/>
                <w:color w:val="000000" w:themeColor="text1"/>
                <w:sz w:val="18"/>
                <w:szCs w:val="18"/>
                <w:lang w:val="en-PH" w:eastAsia="en-PH"/>
              </w:rPr>
              <w:t>238,000</w:t>
            </w:r>
          </w:p>
        </w:tc>
      </w:tr>
      <w:tr w:rsidR="00997F75" w:rsidRPr="009E35ED" w14:paraId="3169F667" w14:textId="77777777" w:rsidTr="00D4035E">
        <w:trPr>
          <w:trHeight w:hRule="exact" w:val="261"/>
        </w:trPr>
        <w:tc>
          <w:tcPr>
            <w:tcW w:w="5130" w:type="dxa"/>
            <w:vAlign w:val="bottom"/>
          </w:tcPr>
          <w:p w14:paraId="21142009" w14:textId="77777777" w:rsidR="00902173" w:rsidRPr="009E35ED" w:rsidRDefault="00902173" w:rsidP="00902173">
            <w:pPr>
              <w:pStyle w:val="BodyTextIndent2"/>
              <w:ind w:left="-108"/>
              <w:rPr>
                <w:rFonts w:ascii="Arial Narrow" w:hAnsi="Arial Narrow" w:cs="Arial"/>
                <w:color w:val="000000" w:themeColor="text1"/>
                <w:sz w:val="18"/>
                <w:szCs w:val="18"/>
              </w:rPr>
            </w:pPr>
            <w:r w:rsidRPr="009E35ED">
              <w:rPr>
                <w:rFonts w:ascii="Arial Narrow" w:hAnsi="Arial Narrow" w:cs="Arial"/>
                <w:color w:val="000000" w:themeColor="text1"/>
                <w:sz w:val="18"/>
                <w:szCs w:val="18"/>
                <w:lang w:val="en-PH" w:eastAsia="en-PH"/>
              </w:rPr>
              <w:t>Brgy. Pagalanggang, Dinalupihan, Bataan</w:t>
            </w:r>
          </w:p>
        </w:tc>
        <w:tc>
          <w:tcPr>
            <w:tcW w:w="1716" w:type="dxa"/>
            <w:vAlign w:val="bottom"/>
          </w:tcPr>
          <w:p w14:paraId="1C1DC925" w14:textId="77777777" w:rsidR="00902173" w:rsidRPr="009E35ED" w:rsidRDefault="00902173" w:rsidP="00902173">
            <w:pPr>
              <w:pStyle w:val="BodyTextIndent2"/>
              <w:ind w:left="-82" w:right="-110"/>
              <w:jc w:val="right"/>
              <w:rPr>
                <w:rFonts w:ascii="Arial Narrow" w:hAnsi="Arial Narrow" w:cs="Arial"/>
                <w:color w:val="000000" w:themeColor="text1"/>
                <w:sz w:val="18"/>
                <w:szCs w:val="18"/>
              </w:rPr>
            </w:pPr>
            <w:r w:rsidRPr="009E35ED">
              <w:rPr>
                <w:rFonts w:ascii="Arial Narrow" w:hAnsi="Arial Narrow" w:cs="Arial"/>
                <w:color w:val="000000" w:themeColor="text1"/>
                <w:sz w:val="18"/>
                <w:szCs w:val="18"/>
                <w:lang w:val="en-PH" w:eastAsia="en-PH"/>
              </w:rPr>
              <w:t>804,000</w:t>
            </w:r>
          </w:p>
        </w:tc>
        <w:tc>
          <w:tcPr>
            <w:tcW w:w="1802" w:type="dxa"/>
            <w:vAlign w:val="bottom"/>
          </w:tcPr>
          <w:p w14:paraId="3DBA5C0B" w14:textId="284D1AC1" w:rsidR="00902173" w:rsidRPr="009E35ED" w:rsidRDefault="00902173" w:rsidP="00D4035E">
            <w:pPr>
              <w:pStyle w:val="BodyTextIndent2"/>
              <w:ind w:left="-82" w:right="-100"/>
              <w:jc w:val="right"/>
              <w:rPr>
                <w:rFonts w:ascii="Arial Narrow" w:hAnsi="Arial Narrow" w:cs="Arial"/>
                <w:color w:val="000000" w:themeColor="text1"/>
                <w:sz w:val="18"/>
                <w:szCs w:val="18"/>
              </w:rPr>
            </w:pPr>
            <w:r w:rsidRPr="009E35ED">
              <w:rPr>
                <w:rFonts w:ascii="Arial Narrow" w:hAnsi="Arial Narrow" w:cs="Arial"/>
                <w:color w:val="000000" w:themeColor="text1"/>
                <w:sz w:val="18"/>
                <w:szCs w:val="18"/>
                <w:lang w:val="en-PH" w:eastAsia="en-PH"/>
              </w:rPr>
              <w:t>804,000</w:t>
            </w:r>
          </w:p>
        </w:tc>
      </w:tr>
      <w:tr w:rsidR="00997F75" w:rsidRPr="009E35ED" w14:paraId="32079170" w14:textId="77777777" w:rsidTr="00D4035E">
        <w:trPr>
          <w:trHeight w:hRule="exact" w:val="261"/>
        </w:trPr>
        <w:tc>
          <w:tcPr>
            <w:tcW w:w="5130" w:type="dxa"/>
            <w:vAlign w:val="bottom"/>
          </w:tcPr>
          <w:p w14:paraId="491E902E" w14:textId="1A92EDEF" w:rsidR="00902173" w:rsidRPr="009E35ED" w:rsidRDefault="00902173" w:rsidP="00902173">
            <w:pPr>
              <w:pStyle w:val="BodyTextIndent2"/>
              <w:ind w:left="-108"/>
              <w:rPr>
                <w:rFonts w:ascii="Arial Narrow" w:hAnsi="Arial Narrow" w:cs="Arial"/>
                <w:color w:val="000000" w:themeColor="text1"/>
                <w:sz w:val="18"/>
                <w:szCs w:val="18"/>
              </w:rPr>
            </w:pPr>
            <w:r w:rsidRPr="009E35ED">
              <w:rPr>
                <w:rFonts w:ascii="Arial Narrow" w:hAnsi="Arial Narrow" w:cs="Arial"/>
                <w:color w:val="000000" w:themeColor="text1"/>
                <w:sz w:val="18"/>
                <w:szCs w:val="18"/>
                <w:lang w:val="en-PH" w:eastAsia="en-PH"/>
              </w:rPr>
              <w:t>Brgy. Sto. Domingo, Capas, Tarlac (net)</w:t>
            </w:r>
          </w:p>
        </w:tc>
        <w:tc>
          <w:tcPr>
            <w:tcW w:w="1716" w:type="dxa"/>
            <w:vAlign w:val="bottom"/>
          </w:tcPr>
          <w:p w14:paraId="348E087B" w14:textId="56895DD7" w:rsidR="00902173" w:rsidRPr="009E35ED" w:rsidRDefault="00902173" w:rsidP="00902173">
            <w:pPr>
              <w:pStyle w:val="BodyTextIndent2"/>
              <w:ind w:left="-82" w:right="-110"/>
              <w:jc w:val="right"/>
              <w:rPr>
                <w:rFonts w:ascii="Arial Narrow" w:hAnsi="Arial Narrow" w:cs="Arial"/>
                <w:color w:val="000000" w:themeColor="text1"/>
                <w:sz w:val="18"/>
                <w:szCs w:val="18"/>
              </w:rPr>
            </w:pPr>
            <w:r w:rsidRPr="009E35ED">
              <w:rPr>
                <w:rFonts w:ascii="Arial Narrow" w:hAnsi="Arial Narrow" w:cs="Arial"/>
                <w:color w:val="000000" w:themeColor="text1"/>
                <w:sz w:val="18"/>
                <w:szCs w:val="18"/>
                <w:lang w:val="en-PH" w:eastAsia="en-PH"/>
              </w:rPr>
              <w:t>3,861,000</w:t>
            </w:r>
          </w:p>
        </w:tc>
        <w:tc>
          <w:tcPr>
            <w:tcW w:w="1802" w:type="dxa"/>
            <w:vAlign w:val="bottom"/>
          </w:tcPr>
          <w:p w14:paraId="47E8335F" w14:textId="2027020B" w:rsidR="00902173" w:rsidRPr="009E35ED" w:rsidRDefault="00902173" w:rsidP="00D4035E">
            <w:pPr>
              <w:pStyle w:val="BodyTextIndent2"/>
              <w:ind w:left="-82" w:right="-100"/>
              <w:jc w:val="right"/>
              <w:rPr>
                <w:rFonts w:ascii="Arial Narrow" w:hAnsi="Arial Narrow" w:cs="Arial"/>
                <w:color w:val="000000" w:themeColor="text1"/>
                <w:sz w:val="18"/>
                <w:szCs w:val="18"/>
              </w:rPr>
            </w:pPr>
            <w:r w:rsidRPr="009E35ED">
              <w:rPr>
                <w:rFonts w:ascii="Arial Narrow" w:hAnsi="Arial Narrow" w:cs="Arial"/>
                <w:color w:val="000000" w:themeColor="text1"/>
                <w:sz w:val="18"/>
                <w:szCs w:val="18"/>
                <w:lang w:val="en-PH" w:eastAsia="en-PH"/>
              </w:rPr>
              <w:t>3,861,000</w:t>
            </w:r>
          </w:p>
        </w:tc>
      </w:tr>
      <w:tr w:rsidR="00997F75" w:rsidRPr="009E35ED" w14:paraId="33353781" w14:textId="77777777" w:rsidTr="00D4035E">
        <w:trPr>
          <w:trHeight w:hRule="exact" w:val="261"/>
        </w:trPr>
        <w:tc>
          <w:tcPr>
            <w:tcW w:w="5130" w:type="dxa"/>
            <w:vAlign w:val="bottom"/>
          </w:tcPr>
          <w:p w14:paraId="67634BEE" w14:textId="77777777" w:rsidR="00902173" w:rsidRPr="009E35ED" w:rsidRDefault="00902173" w:rsidP="00902173">
            <w:pPr>
              <w:pStyle w:val="BodyTextIndent2"/>
              <w:ind w:left="-108"/>
              <w:rPr>
                <w:rFonts w:ascii="Arial Narrow" w:hAnsi="Arial Narrow" w:cs="Arial"/>
                <w:color w:val="000000" w:themeColor="text1"/>
                <w:sz w:val="18"/>
                <w:szCs w:val="18"/>
              </w:rPr>
            </w:pPr>
            <w:r w:rsidRPr="009E35ED">
              <w:rPr>
                <w:rFonts w:ascii="Arial Narrow" w:hAnsi="Arial Narrow" w:cs="Arial"/>
                <w:color w:val="000000" w:themeColor="text1"/>
                <w:sz w:val="18"/>
                <w:szCs w:val="18"/>
                <w:lang w:val="en-PH" w:eastAsia="en-PH"/>
              </w:rPr>
              <w:t>Brgy. Tibag, Tarlac City</w:t>
            </w:r>
          </w:p>
        </w:tc>
        <w:tc>
          <w:tcPr>
            <w:tcW w:w="1716" w:type="dxa"/>
            <w:vAlign w:val="bottom"/>
          </w:tcPr>
          <w:p w14:paraId="6764C5EC" w14:textId="77777777" w:rsidR="00902173" w:rsidRPr="009E35ED" w:rsidRDefault="00902173" w:rsidP="00902173">
            <w:pPr>
              <w:pStyle w:val="BodyTextIndent2"/>
              <w:ind w:left="-82" w:right="-110"/>
              <w:jc w:val="right"/>
              <w:rPr>
                <w:rFonts w:ascii="Arial Narrow" w:hAnsi="Arial Narrow" w:cs="Arial"/>
                <w:color w:val="000000" w:themeColor="text1"/>
                <w:sz w:val="18"/>
                <w:szCs w:val="18"/>
              </w:rPr>
            </w:pPr>
            <w:r w:rsidRPr="009E35ED">
              <w:rPr>
                <w:rFonts w:ascii="Arial Narrow" w:hAnsi="Arial Narrow" w:cs="Arial"/>
                <w:color w:val="000000" w:themeColor="text1"/>
                <w:sz w:val="18"/>
                <w:szCs w:val="18"/>
                <w:lang w:val="en-PH" w:eastAsia="en-PH"/>
              </w:rPr>
              <w:t>3,669,000</w:t>
            </w:r>
          </w:p>
        </w:tc>
        <w:tc>
          <w:tcPr>
            <w:tcW w:w="1802" w:type="dxa"/>
            <w:vAlign w:val="bottom"/>
          </w:tcPr>
          <w:p w14:paraId="2009CE1F" w14:textId="1C7FF9C8" w:rsidR="00902173" w:rsidRPr="009E35ED" w:rsidRDefault="00902173" w:rsidP="00D4035E">
            <w:pPr>
              <w:pStyle w:val="BodyTextIndent2"/>
              <w:ind w:left="-82" w:right="-100"/>
              <w:jc w:val="right"/>
              <w:rPr>
                <w:rFonts w:ascii="Arial Narrow" w:hAnsi="Arial Narrow" w:cs="Arial"/>
                <w:color w:val="000000" w:themeColor="text1"/>
                <w:sz w:val="18"/>
                <w:szCs w:val="18"/>
              </w:rPr>
            </w:pPr>
            <w:r w:rsidRPr="009E35ED">
              <w:rPr>
                <w:rFonts w:ascii="Arial Narrow" w:hAnsi="Arial Narrow" w:cs="Arial"/>
                <w:color w:val="000000" w:themeColor="text1"/>
                <w:sz w:val="18"/>
                <w:szCs w:val="18"/>
                <w:lang w:val="en-PH" w:eastAsia="en-PH"/>
              </w:rPr>
              <w:t>3,669,000</w:t>
            </w:r>
          </w:p>
        </w:tc>
      </w:tr>
      <w:tr w:rsidR="00997F75" w:rsidRPr="009E35ED" w14:paraId="4A2FF02C" w14:textId="77777777" w:rsidTr="00D4035E">
        <w:trPr>
          <w:trHeight w:hRule="exact" w:val="261"/>
        </w:trPr>
        <w:tc>
          <w:tcPr>
            <w:tcW w:w="5130" w:type="dxa"/>
            <w:vAlign w:val="bottom"/>
          </w:tcPr>
          <w:p w14:paraId="1B9F2B34" w14:textId="77777777" w:rsidR="00902173" w:rsidRPr="009E35ED" w:rsidRDefault="00902173" w:rsidP="00902173">
            <w:pPr>
              <w:pStyle w:val="BodyTextIndent2"/>
              <w:ind w:left="-108"/>
              <w:rPr>
                <w:rFonts w:ascii="Arial Narrow" w:hAnsi="Arial Narrow" w:cs="Arial"/>
                <w:color w:val="000000" w:themeColor="text1"/>
                <w:sz w:val="18"/>
                <w:szCs w:val="18"/>
              </w:rPr>
            </w:pPr>
            <w:r w:rsidRPr="009E35ED">
              <w:rPr>
                <w:rFonts w:ascii="Arial Narrow" w:hAnsi="Arial Narrow" w:cs="Arial"/>
                <w:color w:val="000000" w:themeColor="text1"/>
                <w:sz w:val="18"/>
                <w:szCs w:val="18"/>
                <w:lang w:val="en-PH" w:eastAsia="en-PH"/>
              </w:rPr>
              <w:t>Maliwalo, Tarlac City</w:t>
            </w:r>
          </w:p>
        </w:tc>
        <w:tc>
          <w:tcPr>
            <w:tcW w:w="1716" w:type="dxa"/>
            <w:vAlign w:val="bottom"/>
          </w:tcPr>
          <w:p w14:paraId="44492D7A" w14:textId="77777777" w:rsidR="00902173" w:rsidRPr="009E35ED" w:rsidRDefault="00902173" w:rsidP="00902173">
            <w:pPr>
              <w:pStyle w:val="BodyTextIndent2"/>
              <w:ind w:left="-82" w:right="-110"/>
              <w:jc w:val="right"/>
              <w:rPr>
                <w:rFonts w:ascii="Arial Narrow" w:hAnsi="Arial Narrow" w:cs="Arial"/>
                <w:color w:val="000000" w:themeColor="text1"/>
                <w:sz w:val="18"/>
                <w:szCs w:val="18"/>
              </w:rPr>
            </w:pPr>
            <w:r w:rsidRPr="009E35ED">
              <w:rPr>
                <w:rFonts w:ascii="Arial Narrow" w:hAnsi="Arial Narrow" w:cs="Arial"/>
                <w:color w:val="000000" w:themeColor="text1"/>
                <w:sz w:val="18"/>
                <w:szCs w:val="18"/>
                <w:lang w:val="en-PH" w:eastAsia="en-PH"/>
              </w:rPr>
              <w:t>21,000</w:t>
            </w:r>
          </w:p>
        </w:tc>
        <w:tc>
          <w:tcPr>
            <w:tcW w:w="1802" w:type="dxa"/>
            <w:vAlign w:val="bottom"/>
          </w:tcPr>
          <w:p w14:paraId="46627504" w14:textId="7574B877" w:rsidR="00902173" w:rsidRPr="009E35ED" w:rsidRDefault="00902173" w:rsidP="00D4035E">
            <w:pPr>
              <w:pStyle w:val="BodyTextIndent2"/>
              <w:ind w:left="-82" w:right="-100"/>
              <w:jc w:val="right"/>
              <w:rPr>
                <w:rFonts w:ascii="Arial Narrow" w:hAnsi="Arial Narrow" w:cs="Arial"/>
                <w:color w:val="000000" w:themeColor="text1"/>
                <w:sz w:val="18"/>
                <w:szCs w:val="18"/>
              </w:rPr>
            </w:pPr>
            <w:r w:rsidRPr="009E35ED">
              <w:rPr>
                <w:rFonts w:ascii="Arial Narrow" w:hAnsi="Arial Narrow" w:cs="Arial"/>
                <w:color w:val="000000" w:themeColor="text1"/>
                <w:sz w:val="18"/>
                <w:szCs w:val="18"/>
                <w:lang w:val="en-PH" w:eastAsia="en-PH"/>
              </w:rPr>
              <w:t>21,000</w:t>
            </w:r>
          </w:p>
        </w:tc>
      </w:tr>
      <w:tr w:rsidR="00997F75" w:rsidRPr="009E35ED" w14:paraId="4716A7A2" w14:textId="77777777" w:rsidTr="00D4035E">
        <w:trPr>
          <w:trHeight w:hRule="exact" w:val="261"/>
        </w:trPr>
        <w:tc>
          <w:tcPr>
            <w:tcW w:w="5130" w:type="dxa"/>
            <w:vAlign w:val="bottom"/>
          </w:tcPr>
          <w:p w14:paraId="2C1D9A08" w14:textId="77777777" w:rsidR="00902173" w:rsidRPr="009E35ED" w:rsidRDefault="00902173" w:rsidP="00902173">
            <w:pPr>
              <w:pStyle w:val="BodyTextIndent2"/>
              <w:ind w:left="-108"/>
              <w:rPr>
                <w:rFonts w:ascii="Arial Narrow" w:hAnsi="Arial Narrow" w:cs="Arial"/>
                <w:color w:val="000000" w:themeColor="text1"/>
                <w:sz w:val="18"/>
                <w:szCs w:val="18"/>
              </w:rPr>
            </w:pPr>
            <w:r w:rsidRPr="009E35ED">
              <w:rPr>
                <w:rFonts w:ascii="Arial Narrow" w:hAnsi="Arial Narrow" w:cs="Arial"/>
                <w:color w:val="000000" w:themeColor="text1"/>
                <w:sz w:val="18"/>
                <w:szCs w:val="18"/>
                <w:lang w:val="en-PH" w:eastAsia="en-PH"/>
              </w:rPr>
              <w:t>Brgy. Maginoo, Gapan, Nueva Ecija</w:t>
            </w:r>
          </w:p>
        </w:tc>
        <w:tc>
          <w:tcPr>
            <w:tcW w:w="1716" w:type="dxa"/>
            <w:vAlign w:val="bottom"/>
          </w:tcPr>
          <w:p w14:paraId="06AAFAC7" w14:textId="77777777" w:rsidR="00902173" w:rsidRPr="009E35ED" w:rsidRDefault="00902173" w:rsidP="00902173">
            <w:pPr>
              <w:pStyle w:val="BodyTextIndent2"/>
              <w:ind w:left="-82" w:right="-110"/>
              <w:jc w:val="right"/>
              <w:rPr>
                <w:rFonts w:ascii="Arial Narrow" w:hAnsi="Arial Narrow" w:cs="Arial"/>
                <w:color w:val="000000" w:themeColor="text1"/>
                <w:sz w:val="18"/>
                <w:szCs w:val="18"/>
              </w:rPr>
            </w:pPr>
            <w:r w:rsidRPr="009E35ED">
              <w:rPr>
                <w:rFonts w:ascii="Arial Narrow" w:hAnsi="Arial Narrow" w:cs="Arial"/>
                <w:color w:val="000000" w:themeColor="text1"/>
                <w:sz w:val="18"/>
                <w:szCs w:val="18"/>
                <w:lang w:val="en-PH" w:eastAsia="en-PH"/>
              </w:rPr>
              <w:t>544,000</w:t>
            </w:r>
          </w:p>
        </w:tc>
        <w:tc>
          <w:tcPr>
            <w:tcW w:w="1802" w:type="dxa"/>
            <w:vAlign w:val="bottom"/>
          </w:tcPr>
          <w:p w14:paraId="68635DE9" w14:textId="3182FA14" w:rsidR="00902173" w:rsidRPr="009E35ED" w:rsidRDefault="00902173" w:rsidP="00D4035E">
            <w:pPr>
              <w:pStyle w:val="BodyTextIndent2"/>
              <w:ind w:left="-82" w:right="-100"/>
              <w:jc w:val="right"/>
              <w:rPr>
                <w:rFonts w:ascii="Arial Narrow" w:hAnsi="Arial Narrow" w:cs="Arial"/>
                <w:color w:val="000000" w:themeColor="text1"/>
                <w:sz w:val="18"/>
                <w:szCs w:val="18"/>
              </w:rPr>
            </w:pPr>
            <w:r w:rsidRPr="009E35ED">
              <w:rPr>
                <w:rFonts w:ascii="Arial Narrow" w:hAnsi="Arial Narrow" w:cs="Arial"/>
                <w:color w:val="000000" w:themeColor="text1"/>
                <w:sz w:val="18"/>
                <w:szCs w:val="18"/>
                <w:lang w:val="en-PH" w:eastAsia="en-PH"/>
              </w:rPr>
              <w:t>544,000</w:t>
            </w:r>
          </w:p>
        </w:tc>
      </w:tr>
      <w:tr w:rsidR="00997F75" w:rsidRPr="009E35ED" w14:paraId="537050B6" w14:textId="77777777" w:rsidTr="00D4035E">
        <w:trPr>
          <w:trHeight w:hRule="exact" w:val="261"/>
        </w:trPr>
        <w:tc>
          <w:tcPr>
            <w:tcW w:w="5130" w:type="dxa"/>
            <w:vAlign w:val="bottom"/>
          </w:tcPr>
          <w:p w14:paraId="4B29D295" w14:textId="77777777" w:rsidR="00902173" w:rsidRPr="009E35ED" w:rsidRDefault="00902173" w:rsidP="00902173">
            <w:pPr>
              <w:pStyle w:val="BodyTextIndent2"/>
              <w:ind w:left="-108"/>
              <w:rPr>
                <w:rFonts w:ascii="Arial Narrow" w:hAnsi="Arial Narrow" w:cs="Arial"/>
                <w:color w:val="000000" w:themeColor="text1"/>
                <w:sz w:val="18"/>
                <w:szCs w:val="18"/>
              </w:rPr>
            </w:pPr>
            <w:r w:rsidRPr="009E35ED">
              <w:rPr>
                <w:rFonts w:ascii="Arial Narrow" w:hAnsi="Arial Narrow" w:cs="Arial"/>
                <w:color w:val="000000" w:themeColor="text1"/>
                <w:sz w:val="18"/>
                <w:szCs w:val="18"/>
                <w:lang w:val="en-PH" w:eastAsia="en-PH"/>
              </w:rPr>
              <w:t>Brgy. Sangitan West, Cabanatuan, Nueva Ecija</w:t>
            </w:r>
          </w:p>
        </w:tc>
        <w:tc>
          <w:tcPr>
            <w:tcW w:w="1716" w:type="dxa"/>
            <w:vAlign w:val="bottom"/>
          </w:tcPr>
          <w:p w14:paraId="1E808B14" w14:textId="77777777" w:rsidR="00902173" w:rsidRPr="009E35ED" w:rsidRDefault="00902173" w:rsidP="00902173">
            <w:pPr>
              <w:pStyle w:val="BodyTextIndent2"/>
              <w:ind w:left="-82" w:right="-110"/>
              <w:jc w:val="right"/>
              <w:rPr>
                <w:rFonts w:ascii="Arial Narrow" w:hAnsi="Arial Narrow" w:cs="Arial"/>
                <w:color w:val="000000" w:themeColor="text1"/>
                <w:sz w:val="18"/>
                <w:szCs w:val="18"/>
              </w:rPr>
            </w:pPr>
            <w:r w:rsidRPr="009E35ED">
              <w:rPr>
                <w:rFonts w:ascii="Arial Narrow" w:hAnsi="Arial Narrow" w:cs="Arial"/>
                <w:color w:val="000000" w:themeColor="text1"/>
                <w:sz w:val="18"/>
                <w:szCs w:val="18"/>
                <w:lang w:val="en-PH" w:eastAsia="en-PH"/>
              </w:rPr>
              <w:t>244,000</w:t>
            </w:r>
          </w:p>
        </w:tc>
        <w:tc>
          <w:tcPr>
            <w:tcW w:w="1802" w:type="dxa"/>
            <w:vAlign w:val="bottom"/>
          </w:tcPr>
          <w:p w14:paraId="446435CA" w14:textId="5FDEBA18" w:rsidR="00902173" w:rsidRPr="009E35ED" w:rsidRDefault="00902173" w:rsidP="00D4035E">
            <w:pPr>
              <w:pStyle w:val="BodyTextIndent2"/>
              <w:ind w:left="-82" w:right="-100"/>
              <w:jc w:val="right"/>
              <w:rPr>
                <w:rFonts w:ascii="Arial Narrow" w:hAnsi="Arial Narrow" w:cs="Arial"/>
                <w:color w:val="000000" w:themeColor="text1"/>
                <w:sz w:val="18"/>
                <w:szCs w:val="18"/>
              </w:rPr>
            </w:pPr>
            <w:r w:rsidRPr="009E35ED">
              <w:rPr>
                <w:rFonts w:ascii="Arial Narrow" w:hAnsi="Arial Narrow" w:cs="Arial"/>
                <w:color w:val="000000" w:themeColor="text1"/>
                <w:sz w:val="18"/>
                <w:szCs w:val="18"/>
                <w:lang w:val="en-PH" w:eastAsia="en-PH"/>
              </w:rPr>
              <w:t>244,000</w:t>
            </w:r>
          </w:p>
        </w:tc>
      </w:tr>
      <w:tr w:rsidR="00997F75" w:rsidRPr="009E35ED" w14:paraId="155BA6DB" w14:textId="77777777" w:rsidTr="00D4035E">
        <w:trPr>
          <w:trHeight w:hRule="exact" w:val="261"/>
        </w:trPr>
        <w:tc>
          <w:tcPr>
            <w:tcW w:w="5130" w:type="dxa"/>
            <w:vAlign w:val="bottom"/>
          </w:tcPr>
          <w:p w14:paraId="16D53727" w14:textId="77777777" w:rsidR="00902173" w:rsidRPr="009E35ED" w:rsidRDefault="00902173" w:rsidP="00902173">
            <w:pPr>
              <w:pStyle w:val="BodyTextIndent2"/>
              <w:ind w:left="-108"/>
              <w:rPr>
                <w:rFonts w:ascii="Arial Narrow" w:hAnsi="Arial Narrow" w:cs="Arial"/>
                <w:color w:val="000000" w:themeColor="text1"/>
                <w:sz w:val="18"/>
                <w:szCs w:val="18"/>
              </w:rPr>
            </w:pPr>
            <w:r w:rsidRPr="009E35ED">
              <w:rPr>
                <w:rFonts w:ascii="Arial Narrow" w:hAnsi="Arial Narrow" w:cs="Arial"/>
                <w:color w:val="000000" w:themeColor="text1"/>
                <w:sz w:val="18"/>
                <w:szCs w:val="18"/>
                <w:lang w:val="en-PH" w:eastAsia="en-PH"/>
              </w:rPr>
              <w:t>Peñafrancia Hills Subd, Brgy. Cupang, Antipolo City</w:t>
            </w:r>
          </w:p>
        </w:tc>
        <w:tc>
          <w:tcPr>
            <w:tcW w:w="1716" w:type="dxa"/>
            <w:vAlign w:val="bottom"/>
          </w:tcPr>
          <w:p w14:paraId="0CB18F44" w14:textId="10277F73" w:rsidR="00902173" w:rsidRPr="009E35ED" w:rsidRDefault="00902173" w:rsidP="00902173">
            <w:pPr>
              <w:pStyle w:val="BodyTextIndent2"/>
              <w:ind w:left="-82" w:right="-110"/>
              <w:jc w:val="right"/>
              <w:rPr>
                <w:rFonts w:ascii="Arial Narrow" w:hAnsi="Arial Narrow" w:cs="Arial"/>
                <w:color w:val="000000" w:themeColor="text1"/>
                <w:sz w:val="18"/>
                <w:szCs w:val="18"/>
              </w:rPr>
            </w:pPr>
            <w:r w:rsidRPr="009E35ED">
              <w:rPr>
                <w:rFonts w:ascii="Arial Narrow" w:hAnsi="Arial Narrow" w:cs="Arial"/>
                <w:color w:val="000000" w:themeColor="text1"/>
                <w:sz w:val="18"/>
                <w:szCs w:val="18"/>
                <w:lang w:val="en-PH" w:eastAsia="en-PH"/>
              </w:rPr>
              <w:t>415,598</w:t>
            </w:r>
          </w:p>
        </w:tc>
        <w:tc>
          <w:tcPr>
            <w:tcW w:w="1802" w:type="dxa"/>
            <w:vAlign w:val="bottom"/>
          </w:tcPr>
          <w:p w14:paraId="12D1CABE" w14:textId="5F9AECB1" w:rsidR="00902173" w:rsidRPr="009E35ED" w:rsidRDefault="00902173" w:rsidP="00D4035E">
            <w:pPr>
              <w:pStyle w:val="BodyTextIndent2"/>
              <w:ind w:left="-82" w:right="-100"/>
              <w:jc w:val="right"/>
              <w:rPr>
                <w:rFonts w:ascii="Arial Narrow" w:hAnsi="Arial Narrow" w:cs="Arial"/>
                <w:color w:val="000000" w:themeColor="text1"/>
                <w:sz w:val="18"/>
                <w:szCs w:val="18"/>
              </w:rPr>
            </w:pPr>
            <w:r w:rsidRPr="009E35ED">
              <w:rPr>
                <w:rFonts w:ascii="Arial Narrow" w:hAnsi="Arial Narrow" w:cs="Arial"/>
                <w:color w:val="000000" w:themeColor="text1"/>
                <w:sz w:val="18"/>
                <w:szCs w:val="18"/>
                <w:lang w:val="en-PH" w:eastAsia="en-PH"/>
              </w:rPr>
              <w:t>415,598</w:t>
            </w:r>
          </w:p>
        </w:tc>
      </w:tr>
      <w:tr w:rsidR="00997F75" w:rsidRPr="009E35ED" w14:paraId="60A04FDC" w14:textId="77777777" w:rsidTr="00D4035E">
        <w:trPr>
          <w:trHeight w:hRule="exact" w:val="261"/>
        </w:trPr>
        <w:tc>
          <w:tcPr>
            <w:tcW w:w="5130" w:type="dxa"/>
            <w:vAlign w:val="bottom"/>
          </w:tcPr>
          <w:p w14:paraId="781CCC23" w14:textId="77777777" w:rsidR="00902173" w:rsidRPr="009E35ED" w:rsidRDefault="00902173" w:rsidP="00902173">
            <w:pPr>
              <w:pStyle w:val="BodyTextIndent2"/>
              <w:ind w:left="-108"/>
              <w:rPr>
                <w:rFonts w:ascii="Arial Narrow" w:hAnsi="Arial Narrow" w:cs="Arial"/>
                <w:color w:val="000000" w:themeColor="text1"/>
                <w:sz w:val="18"/>
                <w:szCs w:val="18"/>
              </w:rPr>
            </w:pPr>
            <w:r w:rsidRPr="009E35ED">
              <w:rPr>
                <w:rFonts w:ascii="Arial Narrow" w:hAnsi="Arial Narrow" w:cs="Arial"/>
                <w:color w:val="000000" w:themeColor="text1"/>
                <w:sz w:val="18"/>
                <w:szCs w:val="18"/>
                <w:lang w:val="en-PH" w:eastAsia="en-PH"/>
              </w:rPr>
              <w:t>Brgy. San Isidro, Taytay, Rizal</w:t>
            </w:r>
          </w:p>
        </w:tc>
        <w:tc>
          <w:tcPr>
            <w:tcW w:w="1716" w:type="dxa"/>
            <w:vAlign w:val="bottom"/>
          </w:tcPr>
          <w:p w14:paraId="03D05DD8" w14:textId="77777777" w:rsidR="00902173" w:rsidRPr="009E35ED" w:rsidRDefault="00902173" w:rsidP="00902173">
            <w:pPr>
              <w:pStyle w:val="BodyTextIndent2"/>
              <w:ind w:left="-82" w:right="-110"/>
              <w:jc w:val="right"/>
              <w:rPr>
                <w:rFonts w:ascii="Arial Narrow" w:hAnsi="Arial Narrow" w:cs="Arial"/>
                <w:color w:val="000000" w:themeColor="text1"/>
                <w:sz w:val="18"/>
                <w:szCs w:val="18"/>
              </w:rPr>
            </w:pPr>
            <w:r w:rsidRPr="009E35ED">
              <w:rPr>
                <w:rFonts w:ascii="Arial Narrow" w:hAnsi="Arial Narrow" w:cs="Arial"/>
                <w:color w:val="000000" w:themeColor="text1"/>
                <w:sz w:val="18"/>
                <w:szCs w:val="18"/>
                <w:lang w:val="en-PH" w:eastAsia="en-PH"/>
              </w:rPr>
              <w:t>105,733,000</w:t>
            </w:r>
          </w:p>
        </w:tc>
        <w:tc>
          <w:tcPr>
            <w:tcW w:w="1802" w:type="dxa"/>
            <w:vAlign w:val="bottom"/>
          </w:tcPr>
          <w:p w14:paraId="6BACD626" w14:textId="5945374C" w:rsidR="00902173" w:rsidRPr="009E35ED" w:rsidRDefault="00902173" w:rsidP="00D4035E">
            <w:pPr>
              <w:pStyle w:val="BodyTextIndent2"/>
              <w:ind w:left="-82" w:right="-100"/>
              <w:jc w:val="right"/>
              <w:rPr>
                <w:rFonts w:ascii="Arial Narrow" w:hAnsi="Arial Narrow" w:cs="Arial"/>
                <w:color w:val="000000" w:themeColor="text1"/>
                <w:sz w:val="18"/>
                <w:szCs w:val="18"/>
              </w:rPr>
            </w:pPr>
            <w:r w:rsidRPr="009E35ED">
              <w:rPr>
                <w:rFonts w:ascii="Arial Narrow" w:hAnsi="Arial Narrow" w:cs="Arial"/>
                <w:color w:val="000000" w:themeColor="text1"/>
                <w:sz w:val="18"/>
                <w:szCs w:val="18"/>
                <w:lang w:val="en-PH" w:eastAsia="en-PH"/>
              </w:rPr>
              <w:t>105,733,000</w:t>
            </w:r>
          </w:p>
        </w:tc>
      </w:tr>
      <w:tr w:rsidR="00997F75" w:rsidRPr="009E35ED" w14:paraId="2CB0510D" w14:textId="77777777" w:rsidTr="00D4035E">
        <w:trPr>
          <w:trHeight w:hRule="exact" w:val="261"/>
        </w:trPr>
        <w:tc>
          <w:tcPr>
            <w:tcW w:w="5130" w:type="dxa"/>
            <w:vAlign w:val="bottom"/>
          </w:tcPr>
          <w:p w14:paraId="0124A609" w14:textId="77777777" w:rsidR="00902173" w:rsidRPr="009E35ED" w:rsidRDefault="00902173" w:rsidP="00902173">
            <w:pPr>
              <w:pStyle w:val="BodyTextIndent2"/>
              <w:ind w:left="-108"/>
              <w:rPr>
                <w:rFonts w:ascii="Arial Narrow" w:hAnsi="Arial Narrow" w:cs="Arial"/>
                <w:color w:val="000000" w:themeColor="text1"/>
                <w:sz w:val="18"/>
                <w:szCs w:val="18"/>
              </w:rPr>
            </w:pPr>
            <w:r w:rsidRPr="009E35ED">
              <w:rPr>
                <w:rFonts w:ascii="Arial Narrow" w:hAnsi="Arial Narrow" w:cs="Arial"/>
                <w:color w:val="000000" w:themeColor="text1"/>
                <w:sz w:val="18"/>
                <w:szCs w:val="18"/>
                <w:lang w:val="en-PH" w:eastAsia="en-PH"/>
              </w:rPr>
              <w:t>Brgy. San Roque, Antipolo City</w:t>
            </w:r>
          </w:p>
        </w:tc>
        <w:tc>
          <w:tcPr>
            <w:tcW w:w="1716" w:type="dxa"/>
            <w:vAlign w:val="bottom"/>
          </w:tcPr>
          <w:p w14:paraId="76024517" w14:textId="77777777" w:rsidR="00902173" w:rsidRPr="009E35ED" w:rsidRDefault="00902173" w:rsidP="00902173">
            <w:pPr>
              <w:pStyle w:val="BodyTextIndent2"/>
              <w:ind w:left="-82" w:right="-110"/>
              <w:jc w:val="right"/>
              <w:rPr>
                <w:rFonts w:ascii="Arial Narrow" w:hAnsi="Arial Narrow" w:cs="Arial"/>
                <w:color w:val="000000" w:themeColor="text1"/>
                <w:sz w:val="18"/>
                <w:szCs w:val="18"/>
              </w:rPr>
            </w:pPr>
            <w:r w:rsidRPr="009E35ED">
              <w:rPr>
                <w:rFonts w:ascii="Arial Narrow" w:hAnsi="Arial Narrow" w:cs="Arial"/>
                <w:color w:val="000000" w:themeColor="text1"/>
                <w:sz w:val="18"/>
                <w:szCs w:val="18"/>
                <w:lang w:val="en-PH" w:eastAsia="en-PH"/>
              </w:rPr>
              <w:t>111,206,000</w:t>
            </w:r>
          </w:p>
        </w:tc>
        <w:tc>
          <w:tcPr>
            <w:tcW w:w="1802" w:type="dxa"/>
            <w:vAlign w:val="bottom"/>
          </w:tcPr>
          <w:p w14:paraId="5021686F" w14:textId="45522C6F" w:rsidR="00902173" w:rsidRPr="009E35ED" w:rsidRDefault="00902173" w:rsidP="00D4035E">
            <w:pPr>
              <w:pStyle w:val="BodyTextIndent2"/>
              <w:ind w:left="-82" w:right="-100"/>
              <w:jc w:val="right"/>
              <w:rPr>
                <w:rFonts w:ascii="Arial Narrow" w:hAnsi="Arial Narrow" w:cs="Arial"/>
                <w:color w:val="000000" w:themeColor="text1"/>
                <w:sz w:val="18"/>
                <w:szCs w:val="18"/>
              </w:rPr>
            </w:pPr>
            <w:r w:rsidRPr="009E35ED">
              <w:rPr>
                <w:rFonts w:ascii="Arial Narrow" w:hAnsi="Arial Narrow" w:cs="Arial"/>
                <w:color w:val="000000" w:themeColor="text1"/>
                <w:sz w:val="18"/>
                <w:szCs w:val="18"/>
                <w:lang w:val="en-PH" w:eastAsia="en-PH"/>
              </w:rPr>
              <w:t>111,206,000</w:t>
            </w:r>
          </w:p>
        </w:tc>
      </w:tr>
      <w:tr w:rsidR="00997F75" w:rsidRPr="009E35ED" w14:paraId="05F9A576" w14:textId="77777777" w:rsidTr="00D4035E">
        <w:trPr>
          <w:trHeight w:hRule="exact" w:val="261"/>
        </w:trPr>
        <w:tc>
          <w:tcPr>
            <w:tcW w:w="5130" w:type="dxa"/>
            <w:vAlign w:val="bottom"/>
          </w:tcPr>
          <w:p w14:paraId="03223AB1" w14:textId="77777777" w:rsidR="00902173" w:rsidRPr="009E35ED" w:rsidRDefault="00902173" w:rsidP="00902173">
            <w:pPr>
              <w:pStyle w:val="BodyTextIndent2"/>
              <w:ind w:left="-108"/>
              <w:rPr>
                <w:rFonts w:ascii="Arial Narrow" w:hAnsi="Arial Narrow" w:cs="Arial"/>
                <w:color w:val="000000" w:themeColor="text1"/>
                <w:sz w:val="18"/>
                <w:szCs w:val="18"/>
              </w:rPr>
            </w:pPr>
            <w:r w:rsidRPr="009E35ED">
              <w:rPr>
                <w:rFonts w:ascii="Arial Narrow" w:hAnsi="Arial Narrow" w:cs="Arial"/>
                <w:color w:val="000000" w:themeColor="text1"/>
                <w:sz w:val="18"/>
                <w:szCs w:val="18"/>
                <w:lang w:val="en-PH" w:eastAsia="en-PH"/>
              </w:rPr>
              <w:t>Brgy. Cupang, Antipolo City</w:t>
            </w:r>
          </w:p>
        </w:tc>
        <w:tc>
          <w:tcPr>
            <w:tcW w:w="1716" w:type="dxa"/>
            <w:vAlign w:val="bottom"/>
          </w:tcPr>
          <w:p w14:paraId="5332390B" w14:textId="77777777" w:rsidR="00902173" w:rsidRPr="009E35ED" w:rsidRDefault="00902173" w:rsidP="00902173">
            <w:pPr>
              <w:pStyle w:val="BodyTextIndent2"/>
              <w:ind w:left="-82" w:right="-110"/>
              <w:jc w:val="right"/>
              <w:rPr>
                <w:rFonts w:ascii="Arial Narrow" w:hAnsi="Arial Narrow" w:cs="Arial"/>
                <w:color w:val="000000" w:themeColor="text1"/>
                <w:sz w:val="18"/>
                <w:szCs w:val="18"/>
              </w:rPr>
            </w:pPr>
            <w:r w:rsidRPr="009E35ED">
              <w:rPr>
                <w:rFonts w:ascii="Arial Narrow" w:hAnsi="Arial Narrow" w:cs="Arial"/>
                <w:color w:val="000000" w:themeColor="text1"/>
                <w:sz w:val="18"/>
                <w:szCs w:val="18"/>
                <w:lang w:val="en-PH" w:eastAsia="en-PH"/>
              </w:rPr>
              <w:t>268,000</w:t>
            </w:r>
          </w:p>
        </w:tc>
        <w:tc>
          <w:tcPr>
            <w:tcW w:w="1802" w:type="dxa"/>
            <w:vAlign w:val="bottom"/>
          </w:tcPr>
          <w:p w14:paraId="48C3434C" w14:textId="3FFB42E6" w:rsidR="00902173" w:rsidRPr="009E35ED" w:rsidRDefault="00902173" w:rsidP="00D4035E">
            <w:pPr>
              <w:pStyle w:val="BodyTextIndent2"/>
              <w:ind w:left="-82" w:right="-100"/>
              <w:jc w:val="right"/>
              <w:rPr>
                <w:rFonts w:ascii="Arial Narrow" w:hAnsi="Arial Narrow" w:cs="Arial"/>
                <w:color w:val="000000" w:themeColor="text1"/>
                <w:sz w:val="18"/>
                <w:szCs w:val="18"/>
              </w:rPr>
            </w:pPr>
            <w:r w:rsidRPr="009E35ED">
              <w:rPr>
                <w:rFonts w:ascii="Arial Narrow" w:hAnsi="Arial Narrow" w:cs="Arial"/>
                <w:color w:val="000000" w:themeColor="text1"/>
                <w:sz w:val="18"/>
                <w:szCs w:val="18"/>
                <w:lang w:val="en-PH" w:eastAsia="en-PH"/>
              </w:rPr>
              <w:t>268,000</w:t>
            </w:r>
          </w:p>
        </w:tc>
      </w:tr>
      <w:tr w:rsidR="00997F75" w:rsidRPr="009E35ED" w14:paraId="5C4FBE58" w14:textId="77777777" w:rsidTr="00D4035E">
        <w:trPr>
          <w:trHeight w:hRule="exact" w:val="261"/>
        </w:trPr>
        <w:tc>
          <w:tcPr>
            <w:tcW w:w="5130" w:type="dxa"/>
            <w:vAlign w:val="bottom"/>
          </w:tcPr>
          <w:p w14:paraId="554D5417" w14:textId="77777777" w:rsidR="00902173" w:rsidRPr="009E35ED" w:rsidRDefault="00902173" w:rsidP="00902173">
            <w:pPr>
              <w:pStyle w:val="BodyTextIndent2"/>
              <w:ind w:left="-108"/>
              <w:rPr>
                <w:rFonts w:ascii="Arial Narrow" w:hAnsi="Arial Narrow" w:cs="Arial"/>
                <w:color w:val="000000" w:themeColor="text1"/>
                <w:sz w:val="18"/>
                <w:szCs w:val="18"/>
              </w:rPr>
            </w:pPr>
            <w:r w:rsidRPr="009E35ED">
              <w:rPr>
                <w:rFonts w:ascii="Arial Narrow" w:hAnsi="Arial Narrow" w:cs="Arial"/>
                <w:color w:val="000000" w:themeColor="text1"/>
                <w:sz w:val="18"/>
                <w:szCs w:val="18"/>
                <w:lang w:val="en-PH" w:eastAsia="en-PH"/>
              </w:rPr>
              <w:t>Brgy. Macabud, Montalban, Rizal</w:t>
            </w:r>
          </w:p>
        </w:tc>
        <w:tc>
          <w:tcPr>
            <w:tcW w:w="1716" w:type="dxa"/>
            <w:vAlign w:val="bottom"/>
          </w:tcPr>
          <w:p w14:paraId="129FE75A" w14:textId="77777777" w:rsidR="00902173" w:rsidRPr="009E35ED" w:rsidRDefault="00902173" w:rsidP="00902173">
            <w:pPr>
              <w:pStyle w:val="BodyTextIndent2"/>
              <w:ind w:left="-82" w:right="-110"/>
              <w:jc w:val="right"/>
              <w:rPr>
                <w:rFonts w:ascii="Arial Narrow" w:hAnsi="Arial Narrow" w:cs="Arial"/>
                <w:color w:val="000000" w:themeColor="text1"/>
                <w:sz w:val="18"/>
                <w:szCs w:val="18"/>
              </w:rPr>
            </w:pPr>
            <w:r w:rsidRPr="009E35ED">
              <w:rPr>
                <w:rFonts w:ascii="Arial Narrow" w:hAnsi="Arial Narrow" w:cs="Arial"/>
                <w:color w:val="000000" w:themeColor="text1"/>
                <w:sz w:val="18"/>
                <w:szCs w:val="18"/>
                <w:lang w:val="en-PH" w:eastAsia="en-PH"/>
              </w:rPr>
              <w:t>67,000</w:t>
            </w:r>
          </w:p>
        </w:tc>
        <w:tc>
          <w:tcPr>
            <w:tcW w:w="1802" w:type="dxa"/>
            <w:vAlign w:val="bottom"/>
          </w:tcPr>
          <w:p w14:paraId="1B7B17E0" w14:textId="78FD4E43" w:rsidR="00902173" w:rsidRPr="009E35ED" w:rsidRDefault="00902173" w:rsidP="00D4035E">
            <w:pPr>
              <w:pStyle w:val="BodyTextIndent2"/>
              <w:ind w:left="-82" w:right="-100"/>
              <w:jc w:val="right"/>
              <w:rPr>
                <w:rFonts w:ascii="Arial Narrow" w:hAnsi="Arial Narrow" w:cs="Arial"/>
                <w:color w:val="000000" w:themeColor="text1"/>
                <w:sz w:val="18"/>
                <w:szCs w:val="18"/>
              </w:rPr>
            </w:pPr>
            <w:r w:rsidRPr="009E35ED">
              <w:rPr>
                <w:rFonts w:ascii="Arial Narrow" w:hAnsi="Arial Narrow" w:cs="Arial"/>
                <w:color w:val="000000" w:themeColor="text1"/>
                <w:sz w:val="18"/>
                <w:szCs w:val="18"/>
                <w:lang w:val="en-PH" w:eastAsia="en-PH"/>
              </w:rPr>
              <w:t>67,000</w:t>
            </w:r>
          </w:p>
        </w:tc>
      </w:tr>
      <w:tr w:rsidR="00997F75" w:rsidRPr="009E35ED" w14:paraId="689CECEE" w14:textId="77777777" w:rsidTr="00D4035E">
        <w:trPr>
          <w:trHeight w:hRule="exact" w:val="261"/>
        </w:trPr>
        <w:tc>
          <w:tcPr>
            <w:tcW w:w="5130" w:type="dxa"/>
            <w:vAlign w:val="bottom"/>
          </w:tcPr>
          <w:p w14:paraId="7A462B3A" w14:textId="77777777" w:rsidR="00902173" w:rsidRPr="009E35ED" w:rsidRDefault="00902173" w:rsidP="00902173">
            <w:pPr>
              <w:pStyle w:val="BodyTextIndent2"/>
              <w:ind w:left="-108"/>
              <w:rPr>
                <w:rFonts w:ascii="Arial Narrow" w:hAnsi="Arial Narrow" w:cs="Arial"/>
                <w:color w:val="000000" w:themeColor="text1"/>
                <w:sz w:val="18"/>
                <w:szCs w:val="18"/>
              </w:rPr>
            </w:pPr>
            <w:r w:rsidRPr="009E35ED">
              <w:rPr>
                <w:rFonts w:ascii="Arial Narrow" w:hAnsi="Arial Narrow" w:cs="Arial"/>
                <w:color w:val="000000" w:themeColor="text1"/>
                <w:sz w:val="18"/>
                <w:szCs w:val="18"/>
                <w:lang w:val="en-PH" w:eastAsia="en-PH"/>
              </w:rPr>
              <w:t>Brgy. Galicia III, Mendez, Cavite</w:t>
            </w:r>
          </w:p>
        </w:tc>
        <w:tc>
          <w:tcPr>
            <w:tcW w:w="1716" w:type="dxa"/>
            <w:vAlign w:val="bottom"/>
          </w:tcPr>
          <w:p w14:paraId="70F55A89" w14:textId="77777777" w:rsidR="00902173" w:rsidRPr="009E35ED" w:rsidRDefault="00902173" w:rsidP="00902173">
            <w:pPr>
              <w:pStyle w:val="BodyTextIndent2"/>
              <w:ind w:left="-82" w:right="-110"/>
              <w:jc w:val="right"/>
              <w:rPr>
                <w:rFonts w:ascii="Arial Narrow" w:hAnsi="Arial Narrow" w:cs="Arial"/>
                <w:color w:val="000000" w:themeColor="text1"/>
                <w:sz w:val="18"/>
                <w:szCs w:val="18"/>
              </w:rPr>
            </w:pPr>
            <w:r w:rsidRPr="009E35ED">
              <w:rPr>
                <w:rFonts w:ascii="Arial Narrow" w:hAnsi="Arial Narrow" w:cs="Arial"/>
                <w:color w:val="000000" w:themeColor="text1"/>
                <w:sz w:val="18"/>
                <w:szCs w:val="18"/>
                <w:lang w:val="en-PH" w:eastAsia="en-PH"/>
              </w:rPr>
              <w:t>720,000</w:t>
            </w:r>
          </w:p>
        </w:tc>
        <w:tc>
          <w:tcPr>
            <w:tcW w:w="1802" w:type="dxa"/>
            <w:vAlign w:val="bottom"/>
          </w:tcPr>
          <w:p w14:paraId="0F9F2D63" w14:textId="0D9D727A" w:rsidR="00902173" w:rsidRPr="009E35ED" w:rsidRDefault="00902173" w:rsidP="00D4035E">
            <w:pPr>
              <w:pStyle w:val="BodyTextIndent2"/>
              <w:ind w:left="-82" w:right="-100"/>
              <w:jc w:val="right"/>
              <w:rPr>
                <w:rFonts w:ascii="Arial Narrow" w:hAnsi="Arial Narrow" w:cs="Arial"/>
                <w:color w:val="000000" w:themeColor="text1"/>
                <w:sz w:val="18"/>
                <w:szCs w:val="18"/>
              </w:rPr>
            </w:pPr>
            <w:r w:rsidRPr="009E35ED">
              <w:rPr>
                <w:rFonts w:ascii="Arial Narrow" w:hAnsi="Arial Narrow" w:cs="Arial"/>
                <w:color w:val="000000" w:themeColor="text1"/>
                <w:sz w:val="18"/>
                <w:szCs w:val="18"/>
                <w:lang w:val="en-PH" w:eastAsia="en-PH"/>
              </w:rPr>
              <w:t>720,000</w:t>
            </w:r>
          </w:p>
        </w:tc>
      </w:tr>
      <w:tr w:rsidR="00997F75" w:rsidRPr="009E35ED" w14:paraId="661A6B9C" w14:textId="77777777" w:rsidTr="00D4035E">
        <w:trPr>
          <w:trHeight w:hRule="exact" w:val="261"/>
        </w:trPr>
        <w:tc>
          <w:tcPr>
            <w:tcW w:w="5130" w:type="dxa"/>
            <w:vAlign w:val="bottom"/>
          </w:tcPr>
          <w:p w14:paraId="673A489D" w14:textId="77777777" w:rsidR="00902173" w:rsidRPr="009E35ED" w:rsidRDefault="00902173" w:rsidP="00902173">
            <w:pPr>
              <w:pStyle w:val="BodyTextIndent2"/>
              <w:ind w:left="-108"/>
              <w:rPr>
                <w:rFonts w:ascii="Arial Narrow" w:hAnsi="Arial Narrow" w:cs="Arial"/>
                <w:color w:val="000000" w:themeColor="text1"/>
                <w:sz w:val="18"/>
                <w:szCs w:val="18"/>
              </w:rPr>
            </w:pPr>
            <w:r w:rsidRPr="009E35ED">
              <w:rPr>
                <w:rFonts w:ascii="Arial Narrow" w:hAnsi="Arial Narrow" w:cs="Arial"/>
                <w:color w:val="000000" w:themeColor="text1"/>
                <w:sz w:val="18"/>
                <w:szCs w:val="18"/>
                <w:lang w:val="en-PH" w:eastAsia="en-PH"/>
              </w:rPr>
              <w:t>Brgy. 26 Caridad, Cavite City</w:t>
            </w:r>
          </w:p>
        </w:tc>
        <w:tc>
          <w:tcPr>
            <w:tcW w:w="1716" w:type="dxa"/>
            <w:vAlign w:val="bottom"/>
          </w:tcPr>
          <w:p w14:paraId="4200AD4A" w14:textId="77777777" w:rsidR="00902173" w:rsidRPr="009E35ED" w:rsidRDefault="00902173" w:rsidP="00902173">
            <w:pPr>
              <w:pStyle w:val="BodyTextIndent2"/>
              <w:ind w:left="-82" w:right="-110"/>
              <w:jc w:val="right"/>
              <w:rPr>
                <w:rFonts w:ascii="Arial Narrow" w:hAnsi="Arial Narrow" w:cs="Arial"/>
                <w:color w:val="000000" w:themeColor="text1"/>
                <w:sz w:val="18"/>
                <w:szCs w:val="18"/>
              </w:rPr>
            </w:pPr>
            <w:r w:rsidRPr="009E35ED">
              <w:rPr>
                <w:rFonts w:ascii="Arial Narrow" w:hAnsi="Arial Narrow" w:cs="Arial"/>
                <w:color w:val="000000" w:themeColor="text1"/>
                <w:sz w:val="18"/>
                <w:szCs w:val="18"/>
                <w:lang w:val="en-PH" w:eastAsia="en-PH"/>
              </w:rPr>
              <w:t>749,000</w:t>
            </w:r>
          </w:p>
        </w:tc>
        <w:tc>
          <w:tcPr>
            <w:tcW w:w="1802" w:type="dxa"/>
            <w:vAlign w:val="bottom"/>
          </w:tcPr>
          <w:p w14:paraId="2F04CC32" w14:textId="09EFFADD" w:rsidR="00902173" w:rsidRPr="009E35ED" w:rsidRDefault="00902173" w:rsidP="00D4035E">
            <w:pPr>
              <w:pStyle w:val="BodyTextIndent2"/>
              <w:ind w:left="-82" w:right="-100"/>
              <w:jc w:val="right"/>
              <w:rPr>
                <w:rFonts w:ascii="Arial Narrow" w:hAnsi="Arial Narrow" w:cs="Arial"/>
                <w:color w:val="000000" w:themeColor="text1"/>
                <w:sz w:val="18"/>
                <w:szCs w:val="18"/>
              </w:rPr>
            </w:pPr>
            <w:r w:rsidRPr="009E35ED">
              <w:rPr>
                <w:rFonts w:ascii="Arial Narrow" w:hAnsi="Arial Narrow" w:cs="Arial"/>
                <w:color w:val="000000" w:themeColor="text1"/>
                <w:sz w:val="18"/>
                <w:szCs w:val="18"/>
                <w:lang w:val="en-PH" w:eastAsia="en-PH"/>
              </w:rPr>
              <w:t>749,000</w:t>
            </w:r>
          </w:p>
        </w:tc>
      </w:tr>
      <w:tr w:rsidR="00997F75" w:rsidRPr="009E35ED" w14:paraId="52DB3130" w14:textId="77777777" w:rsidTr="00D4035E">
        <w:trPr>
          <w:trHeight w:hRule="exact" w:val="261"/>
        </w:trPr>
        <w:tc>
          <w:tcPr>
            <w:tcW w:w="5130" w:type="dxa"/>
            <w:vAlign w:val="bottom"/>
          </w:tcPr>
          <w:p w14:paraId="1E9F2A86" w14:textId="77777777" w:rsidR="00902173" w:rsidRPr="009E35ED" w:rsidRDefault="00902173" w:rsidP="00902173">
            <w:pPr>
              <w:pStyle w:val="BodyTextIndent2"/>
              <w:ind w:left="-108"/>
              <w:rPr>
                <w:rFonts w:ascii="Arial Narrow" w:hAnsi="Arial Narrow" w:cs="Arial"/>
                <w:color w:val="000000" w:themeColor="text1"/>
                <w:sz w:val="18"/>
                <w:szCs w:val="18"/>
              </w:rPr>
            </w:pPr>
            <w:r w:rsidRPr="009E35ED">
              <w:rPr>
                <w:rFonts w:ascii="Arial Narrow" w:hAnsi="Arial Narrow" w:cs="Arial"/>
                <w:color w:val="000000" w:themeColor="text1"/>
                <w:sz w:val="18"/>
                <w:szCs w:val="18"/>
                <w:lang w:val="en-PH" w:eastAsia="en-PH"/>
              </w:rPr>
              <w:t>Brgy. Cawayan, II, San Francisco, Quezon</w:t>
            </w:r>
          </w:p>
        </w:tc>
        <w:tc>
          <w:tcPr>
            <w:tcW w:w="1716" w:type="dxa"/>
            <w:vAlign w:val="bottom"/>
          </w:tcPr>
          <w:p w14:paraId="5B2F0AE7" w14:textId="77777777" w:rsidR="00902173" w:rsidRPr="009E35ED" w:rsidRDefault="00902173" w:rsidP="00902173">
            <w:pPr>
              <w:pStyle w:val="BodyTextIndent2"/>
              <w:ind w:left="-82" w:right="-110"/>
              <w:jc w:val="right"/>
              <w:rPr>
                <w:rFonts w:ascii="Arial Narrow" w:hAnsi="Arial Narrow" w:cs="Arial"/>
                <w:color w:val="000000" w:themeColor="text1"/>
                <w:sz w:val="18"/>
                <w:szCs w:val="18"/>
              </w:rPr>
            </w:pPr>
            <w:r w:rsidRPr="009E35ED">
              <w:rPr>
                <w:rFonts w:ascii="Arial Narrow" w:hAnsi="Arial Narrow" w:cs="Arial"/>
                <w:color w:val="000000" w:themeColor="text1"/>
                <w:sz w:val="18"/>
                <w:szCs w:val="18"/>
                <w:lang w:val="en-PH" w:eastAsia="en-PH"/>
              </w:rPr>
              <w:t>865,000</w:t>
            </w:r>
          </w:p>
        </w:tc>
        <w:tc>
          <w:tcPr>
            <w:tcW w:w="1802" w:type="dxa"/>
            <w:vAlign w:val="bottom"/>
          </w:tcPr>
          <w:p w14:paraId="36C230E9" w14:textId="470BBEED" w:rsidR="00902173" w:rsidRPr="009E35ED" w:rsidRDefault="00902173" w:rsidP="00D4035E">
            <w:pPr>
              <w:pStyle w:val="BodyTextIndent2"/>
              <w:ind w:left="-82" w:right="-100"/>
              <w:jc w:val="right"/>
              <w:rPr>
                <w:rFonts w:ascii="Arial Narrow" w:hAnsi="Arial Narrow" w:cs="Arial"/>
                <w:color w:val="000000" w:themeColor="text1"/>
                <w:sz w:val="18"/>
                <w:szCs w:val="18"/>
              </w:rPr>
            </w:pPr>
            <w:r w:rsidRPr="009E35ED">
              <w:rPr>
                <w:rFonts w:ascii="Arial Narrow" w:hAnsi="Arial Narrow" w:cs="Arial"/>
                <w:color w:val="000000" w:themeColor="text1"/>
                <w:sz w:val="18"/>
                <w:szCs w:val="18"/>
                <w:lang w:val="en-PH" w:eastAsia="en-PH"/>
              </w:rPr>
              <w:t>865,000</w:t>
            </w:r>
          </w:p>
        </w:tc>
      </w:tr>
      <w:tr w:rsidR="00997F75" w:rsidRPr="009E35ED" w14:paraId="414307B2" w14:textId="77777777" w:rsidTr="00D4035E">
        <w:trPr>
          <w:trHeight w:hRule="exact" w:val="261"/>
        </w:trPr>
        <w:tc>
          <w:tcPr>
            <w:tcW w:w="5130" w:type="dxa"/>
            <w:vAlign w:val="bottom"/>
          </w:tcPr>
          <w:p w14:paraId="3DFAD069" w14:textId="77777777" w:rsidR="00902173" w:rsidRPr="009E35ED" w:rsidRDefault="00902173" w:rsidP="00902173">
            <w:pPr>
              <w:pStyle w:val="BodyTextIndent2"/>
              <w:ind w:left="-108"/>
              <w:rPr>
                <w:rFonts w:ascii="Arial Narrow" w:hAnsi="Arial Narrow" w:cs="Arial"/>
                <w:color w:val="000000" w:themeColor="text1"/>
                <w:sz w:val="18"/>
                <w:szCs w:val="18"/>
              </w:rPr>
            </w:pPr>
            <w:r w:rsidRPr="009E35ED">
              <w:rPr>
                <w:rFonts w:ascii="Arial Narrow" w:hAnsi="Arial Narrow" w:cs="Arial"/>
                <w:color w:val="000000" w:themeColor="text1"/>
                <w:sz w:val="18"/>
                <w:szCs w:val="18"/>
                <w:lang w:val="en-PH" w:eastAsia="en-PH"/>
              </w:rPr>
              <w:t>Brgy. Sambat, San Pascual, Batangas</w:t>
            </w:r>
          </w:p>
        </w:tc>
        <w:tc>
          <w:tcPr>
            <w:tcW w:w="1716" w:type="dxa"/>
            <w:vAlign w:val="bottom"/>
          </w:tcPr>
          <w:p w14:paraId="5A1A1B0B" w14:textId="77777777" w:rsidR="00902173" w:rsidRPr="009E35ED" w:rsidRDefault="00902173" w:rsidP="00902173">
            <w:pPr>
              <w:pStyle w:val="BodyTextIndent2"/>
              <w:ind w:left="-82" w:right="-110"/>
              <w:jc w:val="right"/>
              <w:rPr>
                <w:rFonts w:ascii="Arial Narrow" w:hAnsi="Arial Narrow" w:cs="Arial"/>
                <w:color w:val="000000" w:themeColor="text1"/>
                <w:sz w:val="18"/>
                <w:szCs w:val="18"/>
              </w:rPr>
            </w:pPr>
            <w:r w:rsidRPr="009E35ED">
              <w:rPr>
                <w:rFonts w:ascii="Arial Narrow" w:hAnsi="Arial Narrow" w:cs="Arial"/>
                <w:color w:val="000000" w:themeColor="text1"/>
                <w:sz w:val="18"/>
                <w:szCs w:val="18"/>
                <w:lang w:val="en-PH" w:eastAsia="en-PH"/>
              </w:rPr>
              <w:t>1,142,000</w:t>
            </w:r>
          </w:p>
        </w:tc>
        <w:tc>
          <w:tcPr>
            <w:tcW w:w="1802" w:type="dxa"/>
            <w:vAlign w:val="bottom"/>
          </w:tcPr>
          <w:p w14:paraId="368C591A" w14:textId="5E230A76" w:rsidR="00902173" w:rsidRPr="009E35ED" w:rsidRDefault="00902173" w:rsidP="00D4035E">
            <w:pPr>
              <w:pStyle w:val="BodyTextIndent2"/>
              <w:ind w:left="-82" w:right="-100"/>
              <w:jc w:val="right"/>
              <w:rPr>
                <w:rFonts w:ascii="Arial Narrow" w:hAnsi="Arial Narrow" w:cs="Arial"/>
                <w:color w:val="000000" w:themeColor="text1"/>
                <w:sz w:val="18"/>
                <w:szCs w:val="18"/>
              </w:rPr>
            </w:pPr>
            <w:r w:rsidRPr="009E35ED">
              <w:rPr>
                <w:rFonts w:ascii="Arial Narrow" w:hAnsi="Arial Narrow" w:cs="Arial"/>
                <w:color w:val="000000" w:themeColor="text1"/>
                <w:sz w:val="18"/>
                <w:szCs w:val="18"/>
                <w:lang w:val="en-PH" w:eastAsia="en-PH"/>
              </w:rPr>
              <w:t>1,142,000</w:t>
            </w:r>
          </w:p>
        </w:tc>
      </w:tr>
      <w:tr w:rsidR="00997F75" w:rsidRPr="009E35ED" w14:paraId="1153E74F" w14:textId="77777777" w:rsidTr="00D4035E">
        <w:trPr>
          <w:trHeight w:hRule="exact" w:val="261"/>
        </w:trPr>
        <w:tc>
          <w:tcPr>
            <w:tcW w:w="5130" w:type="dxa"/>
            <w:vAlign w:val="bottom"/>
          </w:tcPr>
          <w:p w14:paraId="438B1BEB" w14:textId="77777777" w:rsidR="00902173" w:rsidRPr="009E35ED" w:rsidRDefault="00902173" w:rsidP="00902173">
            <w:pPr>
              <w:pStyle w:val="BodyTextIndent2"/>
              <w:ind w:left="-108"/>
              <w:rPr>
                <w:rFonts w:ascii="Arial Narrow" w:hAnsi="Arial Narrow" w:cs="Arial"/>
                <w:color w:val="000000" w:themeColor="text1"/>
                <w:sz w:val="18"/>
                <w:szCs w:val="18"/>
              </w:rPr>
            </w:pPr>
            <w:r w:rsidRPr="009E35ED">
              <w:rPr>
                <w:rFonts w:ascii="Arial Narrow" w:hAnsi="Arial Narrow" w:cs="Arial"/>
                <w:color w:val="000000" w:themeColor="text1"/>
                <w:sz w:val="18"/>
                <w:szCs w:val="18"/>
                <w:lang w:val="en-PH" w:eastAsia="en-PH"/>
              </w:rPr>
              <w:t>Lobo, Batangas</w:t>
            </w:r>
          </w:p>
        </w:tc>
        <w:tc>
          <w:tcPr>
            <w:tcW w:w="1716" w:type="dxa"/>
            <w:vAlign w:val="bottom"/>
          </w:tcPr>
          <w:p w14:paraId="4ABAE18F" w14:textId="77777777" w:rsidR="00902173" w:rsidRPr="009E35ED" w:rsidRDefault="00902173" w:rsidP="00902173">
            <w:pPr>
              <w:pStyle w:val="BodyTextIndent2"/>
              <w:ind w:left="-82" w:right="-110"/>
              <w:jc w:val="right"/>
              <w:rPr>
                <w:rFonts w:ascii="Arial Narrow" w:hAnsi="Arial Narrow" w:cs="Arial"/>
                <w:color w:val="000000" w:themeColor="text1"/>
                <w:sz w:val="18"/>
                <w:szCs w:val="18"/>
              </w:rPr>
            </w:pPr>
            <w:r w:rsidRPr="009E35ED">
              <w:rPr>
                <w:rFonts w:ascii="Arial Narrow" w:hAnsi="Arial Narrow" w:cs="Arial"/>
                <w:color w:val="000000" w:themeColor="text1"/>
                <w:sz w:val="18"/>
                <w:szCs w:val="18"/>
                <w:lang w:val="en-PH" w:eastAsia="en-PH"/>
              </w:rPr>
              <w:t>1,705,000</w:t>
            </w:r>
          </w:p>
        </w:tc>
        <w:tc>
          <w:tcPr>
            <w:tcW w:w="1802" w:type="dxa"/>
            <w:vAlign w:val="bottom"/>
          </w:tcPr>
          <w:p w14:paraId="7E6C06F5" w14:textId="3FE8FEA9" w:rsidR="00902173" w:rsidRPr="009E35ED" w:rsidRDefault="00902173" w:rsidP="00D4035E">
            <w:pPr>
              <w:pStyle w:val="BodyTextIndent2"/>
              <w:ind w:left="-82" w:right="-100"/>
              <w:jc w:val="right"/>
              <w:rPr>
                <w:rFonts w:ascii="Arial Narrow" w:hAnsi="Arial Narrow" w:cs="Arial"/>
                <w:color w:val="000000" w:themeColor="text1"/>
                <w:sz w:val="18"/>
                <w:szCs w:val="18"/>
              </w:rPr>
            </w:pPr>
            <w:r w:rsidRPr="009E35ED">
              <w:rPr>
                <w:rFonts w:ascii="Arial Narrow" w:hAnsi="Arial Narrow" w:cs="Arial"/>
                <w:color w:val="000000" w:themeColor="text1"/>
                <w:sz w:val="18"/>
                <w:szCs w:val="18"/>
                <w:lang w:val="en-PH" w:eastAsia="en-PH"/>
              </w:rPr>
              <w:t>1,705,000</w:t>
            </w:r>
          </w:p>
        </w:tc>
      </w:tr>
      <w:tr w:rsidR="00997F75" w:rsidRPr="009E35ED" w14:paraId="7D0EA093" w14:textId="77777777" w:rsidTr="00D4035E">
        <w:trPr>
          <w:trHeight w:hRule="exact" w:val="261"/>
        </w:trPr>
        <w:tc>
          <w:tcPr>
            <w:tcW w:w="5130" w:type="dxa"/>
            <w:vAlign w:val="bottom"/>
          </w:tcPr>
          <w:p w14:paraId="5ADD7061" w14:textId="77777777" w:rsidR="00902173" w:rsidRPr="009E35ED" w:rsidRDefault="00902173" w:rsidP="00902173">
            <w:pPr>
              <w:pStyle w:val="BodyTextIndent2"/>
              <w:ind w:left="-108"/>
              <w:rPr>
                <w:rFonts w:ascii="Arial Narrow" w:hAnsi="Arial Narrow" w:cs="Arial"/>
                <w:color w:val="000000" w:themeColor="text1"/>
                <w:sz w:val="18"/>
                <w:szCs w:val="18"/>
              </w:rPr>
            </w:pPr>
            <w:r w:rsidRPr="009E35ED">
              <w:rPr>
                <w:rFonts w:ascii="Arial Narrow" w:hAnsi="Arial Narrow" w:cs="Arial"/>
                <w:color w:val="000000" w:themeColor="text1"/>
                <w:sz w:val="18"/>
                <w:szCs w:val="18"/>
                <w:lang w:val="en-PH" w:eastAsia="en-PH"/>
              </w:rPr>
              <w:t>Brgy. Bagumbayan Sur, Naga City</w:t>
            </w:r>
          </w:p>
        </w:tc>
        <w:tc>
          <w:tcPr>
            <w:tcW w:w="1716" w:type="dxa"/>
            <w:vAlign w:val="bottom"/>
          </w:tcPr>
          <w:p w14:paraId="7C2D194B" w14:textId="77777777" w:rsidR="00902173" w:rsidRPr="009E35ED" w:rsidRDefault="00902173" w:rsidP="00902173">
            <w:pPr>
              <w:pStyle w:val="BodyTextIndent2"/>
              <w:ind w:left="-82" w:right="-110"/>
              <w:jc w:val="right"/>
              <w:rPr>
                <w:rFonts w:ascii="Arial Narrow" w:hAnsi="Arial Narrow" w:cs="Arial"/>
                <w:color w:val="000000" w:themeColor="text1"/>
                <w:sz w:val="18"/>
                <w:szCs w:val="18"/>
              </w:rPr>
            </w:pPr>
            <w:r w:rsidRPr="009E35ED">
              <w:rPr>
                <w:rFonts w:ascii="Arial Narrow" w:hAnsi="Arial Narrow" w:cs="Arial"/>
                <w:color w:val="000000" w:themeColor="text1"/>
                <w:sz w:val="18"/>
                <w:szCs w:val="18"/>
                <w:lang w:val="en-PH" w:eastAsia="en-PH"/>
              </w:rPr>
              <w:t>636,000</w:t>
            </w:r>
          </w:p>
        </w:tc>
        <w:tc>
          <w:tcPr>
            <w:tcW w:w="1802" w:type="dxa"/>
            <w:vAlign w:val="bottom"/>
          </w:tcPr>
          <w:p w14:paraId="69304D34" w14:textId="57035754" w:rsidR="00902173" w:rsidRPr="009E35ED" w:rsidRDefault="00902173" w:rsidP="00D4035E">
            <w:pPr>
              <w:pStyle w:val="BodyTextIndent2"/>
              <w:ind w:left="-82" w:right="-100"/>
              <w:jc w:val="right"/>
              <w:rPr>
                <w:rFonts w:ascii="Arial Narrow" w:hAnsi="Arial Narrow" w:cs="Arial"/>
                <w:color w:val="000000" w:themeColor="text1"/>
                <w:sz w:val="18"/>
                <w:szCs w:val="18"/>
              </w:rPr>
            </w:pPr>
            <w:r w:rsidRPr="009E35ED">
              <w:rPr>
                <w:rFonts w:ascii="Arial Narrow" w:hAnsi="Arial Narrow" w:cs="Arial"/>
                <w:color w:val="000000" w:themeColor="text1"/>
                <w:sz w:val="18"/>
                <w:szCs w:val="18"/>
                <w:lang w:val="en-PH" w:eastAsia="en-PH"/>
              </w:rPr>
              <w:t>636,000</w:t>
            </w:r>
          </w:p>
        </w:tc>
      </w:tr>
      <w:tr w:rsidR="00997F75" w:rsidRPr="009E35ED" w14:paraId="33794964" w14:textId="77777777" w:rsidTr="00D4035E">
        <w:trPr>
          <w:trHeight w:hRule="exact" w:val="261"/>
        </w:trPr>
        <w:tc>
          <w:tcPr>
            <w:tcW w:w="5130" w:type="dxa"/>
            <w:vAlign w:val="bottom"/>
          </w:tcPr>
          <w:p w14:paraId="35331BB1" w14:textId="77777777" w:rsidR="00902173" w:rsidRPr="009E35ED" w:rsidRDefault="00902173" w:rsidP="00902173">
            <w:pPr>
              <w:pStyle w:val="BodyTextIndent2"/>
              <w:ind w:left="-108"/>
              <w:rPr>
                <w:rFonts w:ascii="Arial Narrow" w:hAnsi="Arial Narrow" w:cs="Arial"/>
                <w:color w:val="000000" w:themeColor="text1"/>
                <w:sz w:val="18"/>
                <w:szCs w:val="18"/>
              </w:rPr>
            </w:pPr>
            <w:r w:rsidRPr="009E35ED">
              <w:rPr>
                <w:rFonts w:ascii="Arial Narrow" w:hAnsi="Arial Narrow" w:cs="Arial"/>
                <w:color w:val="000000" w:themeColor="text1"/>
                <w:sz w:val="18"/>
                <w:szCs w:val="18"/>
                <w:lang w:val="en-PH" w:eastAsia="en-PH"/>
              </w:rPr>
              <w:t>Brgy. Almendras-Cogon, Sorsogon City</w:t>
            </w:r>
          </w:p>
        </w:tc>
        <w:tc>
          <w:tcPr>
            <w:tcW w:w="1716" w:type="dxa"/>
            <w:vAlign w:val="bottom"/>
          </w:tcPr>
          <w:p w14:paraId="04BA2B8C" w14:textId="77777777" w:rsidR="00902173" w:rsidRPr="009E35ED" w:rsidRDefault="00902173" w:rsidP="00902173">
            <w:pPr>
              <w:pStyle w:val="BodyTextIndent2"/>
              <w:ind w:left="-82" w:right="-110"/>
              <w:jc w:val="right"/>
              <w:rPr>
                <w:rFonts w:ascii="Arial Narrow" w:hAnsi="Arial Narrow" w:cs="Arial"/>
                <w:color w:val="000000" w:themeColor="text1"/>
                <w:sz w:val="18"/>
                <w:szCs w:val="18"/>
              </w:rPr>
            </w:pPr>
            <w:r w:rsidRPr="009E35ED">
              <w:rPr>
                <w:rFonts w:ascii="Arial Narrow" w:hAnsi="Arial Narrow" w:cs="Arial"/>
                <w:color w:val="000000" w:themeColor="text1"/>
                <w:sz w:val="18"/>
                <w:szCs w:val="18"/>
                <w:lang w:val="en-PH" w:eastAsia="en-PH"/>
              </w:rPr>
              <w:t>778,000</w:t>
            </w:r>
          </w:p>
        </w:tc>
        <w:tc>
          <w:tcPr>
            <w:tcW w:w="1802" w:type="dxa"/>
            <w:vAlign w:val="bottom"/>
          </w:tcPr>
          <w:p w14:paraId="75254FF4" w14:textId="6BA755AB" w:rsidR="00902173" w:rsidRPr="009E35ED" w:rsidRDefault="00902173" w:rsidP="00D4035E">
            <w:pPr>
              <w:pStyle w:val="BodyTextIndent2"/>
              <w:ind w:left="-82" w:right="-100"/>
              <w:jc w:val="right"/>
              <w:rPr>
                <w:rFonts w:ascii="Arial Narrow" w:hAnsi="Arial Narrow" w:cs="Arial"/>
                <w:color w:val="000000" w:themeColor="text1"/>
                <w:sz w:val="18"/>
                <w:szCs w:val="18"/>
              </w:rPr>
            </w:pPr>
            <w:r w:rsidRPr="009E35ED">
              <w:rPr>
                <w:rFonts w:ascii="Arial Narrow" w:hAnsi="Arial Narrow" w:cs="Arial"/>
                <w:color w:val="000000" w:themeColor="text1"/>
                <w:sz w:val="18"/>
                <w:szCs w:val="18"/>
                <w:lang w:val="en-PH" w:eastAsia="en-PH"/>
              </w:rPr>
              <w:t>778,000</w:t>
            </w:r>
          </w:p>
        </w:tc>
      </w:tr>
      <w:tr w:rsidR="00997F75" w:rsidRPr="009E35ED" w14:paraId="056B2BA1" w14:textId="77777777" w:rsidTr="00D4035E">
        <w:trPr>
          <w:trHeight w:hRule="exact" w:val="261"/>
        </w:trPr>
        <w:tc>
          <w:tcPr>
            <w:tcW w:w="5130" w:type="dxa"/>
            <w:vAlign w:val="bottom"/>
          </w:tcPr>
          <w:p w14:paraId="4F013DA5" w14:textId="77777777" w:rsidR="00902173" w:rsidRPr="009E35ED" w:rsidRDefault="00902173" w:rsidP="00902173">
            <w:pPr>
              <w:pStyle w:val="BodyTextIndent2"/>
              <w:ind w:left="-108"/>
              <w:rPr>
                <w:rFonts w:ascii="Arial Narrow" w:hAnsi="Arial Narrow" w:cs="Arial"/>
                <w:color w:val="000000" w:themeColor="text1"/>
                <w:sz w:val="18"/>
                <w:szCs w:val="18"/>
              </w:rPr>
            </w:pPr>
            <w:r w:rsidRPr="009E35ED">
              <w:rPr>
                <w:rFonts w:ascii="Arial Narrow" w:hAnsi="Arial Narrow" w:cs="Arial"/>
                <w:color w:val="000000" w:themeColor="text1"/>
                <w:sz w:val="18"/>
                <w:szCs w:val="18"/>
                <w:lang w:val="en-PH" w:eastAsia="en-PH"/>
              </w:rPr>
              <w:t>Brgy. Bical, Libmanan, Sorsogon City</w:t>
            </w:r>
          </w:p>
        </w:tc>
        <w:tc>
          <w:tcPr>
            <w:tcW w:w="1716" w:type="dxa"/>
            <w:vAlign w:val="bottom"/>
          </w:tcPr>
          <w:p w14:paraId="7DA6C53E" w14:textId="77777777" w:rsidR="00902173" w:rsidRPr="009E35ED" w:rsidRDefault="00902173" w:rsidP="00902173">
            <w:pPr>
              <w:pStyle w:val="BodyTextIndent2"/>
              <w:ind w:left="-82" w:right="-110"/>
              <w:jc w:val="right"/>
              <w:rPr>
                <w:rFonts w:ascii="Arial Narrow" w:hAnsi="Arial Narrow" w:cs="Arial"/>
                <w:color w:val="000000" w:themeColor="text1"/>
                <w:sz w:val="18"/>
                <w:szCs w:val="18"/>
              </w:rPr>
            </w:pPr>
            <w:r w:rsidRPr="009E35ED">
              <w:rPr>
                <w:rFonts w:ascii="Arial Narrow" w:hAnsi="Arial Narrow" w:cs="Arial"/>
                <w:color w:val="000000" w:themeColor="text1"/>
                <w:sz w:val="18"/>
                <w:szCs w:val="18"/>
                <w:lang w:val="en-PH" w:eastAsia="en-PH"/>
              </w:rPr>
              <w:t>2,203,000</w:t>
            </w:r>
          </w:p>
        </w:tc>
        <w:tc>
          <w:tcPr>
            <w:tcW w:w="1802" w:type="dxa"/>
            <w:vAlign w:val="bottom"/>
          </w:tcPr>
          <w:p w14:paraId="01E9E7B8" w14:textId="2CB6D97D" w:rsidR="00902173" w:rsidRPr="009E35ED" w:rsidRDefault="00902173" w:rsidP="00D4035E">
            <w:pPr>
              <w:pStyle w:val="BodyTextIndent2"/>
              <w:ind w:left="-82" w:right="-100"/>
              <w:jc w:val="right"/>
              <w:rPr>
                <w:rFonts w:ascii="Arial Narrow" w:hAnsi="Arial Narrow" w:cs="Arial"/>
                <w:color w:val="000000" w:themeColor="text1"/>
                <w:sz w:val="18"/>
                <w:szCs w:val="18"/>
              </w:rPr>
            </w:pPr>
            <w:r w:rsidRPr="009E35ED">
              <w:rPr>
                <w:rFonts w:ascii="Arial Narrow" w:hAnsi="Arial Narrow" w:cs="Arial"/>
                <w:color w:val="000000" w:themeColor="text1"/>
                <w:sz w:val="18"/>
                <w:szCs w:val="18"/>
                <w:lang w:val="en-PH" w:eastAsia="en-PH"/>
              </w:rPr>
              <w:t>2,203,000</w:t>
            </w:r>
          </w:p>
        </w:tc>
      </w:tr>
      <w:tr w:rsidR="00997F75" w:rsidRPr="009E35ED" w14:paraId="69DC7B96" w14:textId="77777777" w:rsidTr="00D4035E">
        <w:trPr>
          <w:trHeight w:hRule="exact" w:val="261"/>
        </w:trPr>
        <w:tc>
          <w:tcPr>
            <w:tcW w:w="5130" w:type="dxa"/>
            <w:vAlign w:val="bottom"/>
          </w:tcPr>
          <w:p w14:paraId="7B75724A" w14:textId="77777777" w:rsidR="00902173" w:rsidRPr="009E35ED" w:rsidRDefault="00902173" w:rsidP="00902173">
            <w:pPr>
              <w:pStyle w:val="BodyTextIndent2"/>
              <w:ind w:left="-108"/>
              <w:rPr>
                <w:rFonts w:ascii="Arial Narrow" w:hAnsi="Arial Narrow" w:cs="Arial"/>
                <w:color w:val="000000" w:themeColor="text1"/>
                <w:sz w:val="18"/>
                <w:szCs w:val="18"/>
              </w:rPr>
            </w:pPr>
            <w:r w:rsidRPr="009E35ED">
              <w:rPr>
                <w:rFonts w:ascii="Arial Narrow" w:hAnsi="Arial Narrow" w:cs="Arial"/>
                <w:color w:val="000000" w:themeColor="text1"/>
                <w:sz w:val="18"/>
                <w:szCs w:val="18"/>
                <w:lang w:val="en-PH" w:eastAsia="en-PH"/>
              </w:rPr>
              <w:t>Brgy. Basak, Lapu-lapu City, Cebu</w:t>
            </w:r>
          </w:p>
        </w:tc>
        <w:tc>
          <w:tcPr>
            <w:tcW w:w="1716" w:type="dxa"/>
            <w:vAlign w:val="bottom"/>
          </w:tcPr>
          <w:p w14:paraId="63AE778F" w14:textId="77777777" w:rsidR="00902173" w:rsidRPr="009E35ED" w:rsidRDefault="00902173" w:rsidP="00902173">
            <w:pPr>
              <w:pStyle w:val="BodyTextIndent2"/>
              <w:ind w:left="-82" w:right="-110"/>
              <w:jc w:val="right"/>
              <w:rPr>
                <w:rFonts w:ascii="Arial Narrow" w:hAnsi="Arial Narrow" w:cs="Arial"/>
                <w:color w:val="000000" w:themeColor="text1"/>
                <w:sz w:val="18"/>
                <w:szCs w:val="18"/>
              </w:rPr>
            </w:pPr>
            <w:r w:rsidRPr="009E35ED">
              <w:rPr>
                <w:rFonts w:ascii="Arial Narrow" w:hAnsi="Arial Narrow" w:cs="Arial"/>
                <w:color w:val="000000" w:themeColor="text1"/>
                <w:sz w:val="18"/>
                <w:szCs w:val="18"/>
                <w:lang w:val="en-PH" w:eastAsia="en-PH"/>
              </w:rPr>
              <w:t>1,425,000</w:t>
            </w:r>
          </w:p>
        </w:tc>
        <w:tc>
          <w:tcPr>
            <w:tcW w:w="1802" w:type="dxa"/>
            <w:vAlign w:val="bottom"/>
          </w:tcPr>
          <w:p w14:paraId="372D8F3A" w14:textId="22D83470" w:rsidR="00902173" w:rsidRPr="009E35ED" w:rsidRDefault="00902173" w:rsidP="00D4035E">
            <w:pPr>
              <w:pStyle w:val="BodyTextIndent2"/>
              <w:ind w:left="-82" w:right="-100"/>
              <w:jc w:val="right"/>
              <w:rPr>
                <w:rFonts w:ascii="Arial Narrow" w:hAnsi="Arial Narrow" w:cs="Arial"/>
                <w:color w:val="000000" w:themeColor="text1"/>
                <w:sz w:val="18"/>
                <w:szCs w:val="18"/>
              </w:rPr>
            </w:pPr>
            <w:r w:rsidRPr="009E35ED">
              <w:rPr>
                <w:rFonts w:ascii="Arial Narrow" w:hAnsi="Arial Narrow" w:cs="Arial"/>
                <w:color w:val="000000" w:themeColor="text1"/>
                <w:sz w:val="18"/>
                <w:szCs w:val="18"/>
                <w:lang w:val="en-PH" w:eastAsia="en-PH"/>
              </w:rPr>
              <w:t>1,425,000</w:t>
            </w:r>
          </w:p>
        </w:tc>
      </w:tr>
      <w:tr w:rsidR="00997F75" w:rsidRPr="009E35ED" w14:paraId="0025C47C" w14:textId="77777777" w:rsidTr="00D4035E">
        <w:trPr>
          <w:trHeight w:hRule="exact" w:val="261"/>
        </w:trPr>
        <w:tc>
          <w:tcPr>
            <w:tcW w:w="5130" w:type="dxa"/>
            <w:vAlign w:val="bottom"/>
          </w:tcPr>
          <w:p w14:paraId="4A7E0953" w14:textId="6E69CD67" w:rsidR="00902173" w:rsidRPr="009E35ED" w:rsidRDefault="00902173" w:rsidP="00902173">
            <w:pPr>
              <w:pStyle w:val="BodyTextIndent2"/>
              <w:ind w:left="-108"/>
              <w:rPr>
                <w:rFonts w:ascii="Arial Narrow" w:hAnsi="Arial Narrow" w:cs="Arial"/>
                <w:color w:val="000000" w:themeColor="text1"/>
                <w:sz w:val="18"/>
                <w:szCs w:val="18"/>
              </w:rPr>
            </w:pPr>
            <w:r w:rsidRPr="009E35ED">
              <w:rPr>
                <w:rFonts w:ascii="Arial Narrow" w:hAnsi="Arial Narrow" w:cs="Arial"/>
                <w:color w:val="000000" w:themeColor="text1"/>
                <w:sz w:val="18"/>
                <w:szCs w:val="18"/>
                <w:lang w:val="en-PH" w:eastAsia="en-PH"/>
              </w:rPr>
              <w:t>Bunga, Abuyog, Leyte (net)</w:t>
            </w:r>
          </w:p>
        </w:tc>
        <w:tc>
          <w:tcPr>
            <w:tcW w:w="1716" w:type="dxa"/>
            <w:vAlign w:val="bottom"/>
          </w:tcPr>
          <w:p w14:paraId="60389B34" w14:textId="1533EE5E" w:rsidR="00902173" w:rsidRPr="009E35ED" w:rsidRDefault="00902173" w:rsidP="00902173">
            <w:pPr>
              <w:pStyle w:val="BodyTextIndent2"/>
              <w:ind w:left="-82" w:right="-110"/>
              <w:jc w:val="right"/>
              <w:rPr>
                <w:rFonts w:ascii="Arial Narrow" w:hAnsi="Arial Narrow" w:cs="Arial"/>
                <w:color w:val="000000" w:themeColor="text1"/>
                <w:sz w:val="18"/>
                <w:szCs w:val="18"/>
              </w:rPr>
            </w:pPr>
            <w:r w:rsidRPr="009E35ED">
              <w:rPr>
                <w:rFonts w:ascii="Arial Narrow" w:hAnsi="Arial Narrow" w:cs="Arial"/>
                <w:color w:val="000000" w:themeColor="text1"/>
                <w:sz w:val="18"/>
                <w:szCs w:val="18"/>
                <w:lang w:val="en-PH" w:eastAsia="en-PH"/>
              </w:rPr>
              <w:t>497,000</w:t>
            </w:r>
          </w:p>
        </w:tc>
        <w:tc>
          <w:tcPr>
            <w:tcW w:w="1802" w:type="dxa"/>
            <w:vAlign w:val="bottom"/>
          </w:tcPr>
          <w:p w14:paraId="76A702DD" w14:textId="1E0D9DA3" w:rsidR="00902173" w:rsidRPr="009E35ED" w:rsidRDefault="00902173" w:rsidP="00D4035E">
            <w:pPr>
              <w:pStyle w:val="BodyTextIndent2"/>
              <w:ind w:left="-82" w:right="-100"/>
              <w:jc w:val="right"/>
              <w:rPr>
                <w:rFonts w:ascii="Arial Narrow" w:hAnsi="Arial Narrow" w:cs="Arial"/>
                <w:color w:val="000000" w:themeColor="text1"/>
                <w:sz w:val="18"/>
                <w:szCs w:val="18"/>
              </w:rPr>
            </w:pPr>
            <w:r w:rsidRPr="009E35ED">
              <w:rPr>
                <w:rFonts w:ascii="Arial Narrow" w:hAnsi="Arial Narrow" w:cs="Arial"/>
                <w:color w:val="000000" w:themeColor="text1"/>
                <w:sz w:val="18"/>
                <w:szCs w:val="18"/>
                <w:lang w:val="en-PH" w:eastAsia="en-PH"/>
              </w:rPr>
              <w:t>497,000</w:t>
            </w:r>
          </w:p>
        </w:tc>
      </w:tr>
      <w:tr w:rsidR="00997F75" w:rsidRPr="009E35ED" w14:paraId="17DB9F66" w14:textId="77777777" w:rsidTr="00D4035E">
        <w:trPr>
          <w:trHeight w:hRule="exact" w:val="261"/>
        </w:trPr>
        <w:tc>
          <w:tcPr>
            <w:tcW w:w="5130" w:type="dxa"/>
            <w:vAlign w:val="bottom"/>
          </w:tcPr>
          <w:p w14:paraId="43EF879D" w14:textId="77777777" w:rsidR="00902173" w:rsidRPr="009E35ED" w:rsidRDefault="00902173" w:rsidP="00902173">
            <w:pPr>
              <w:pStyle w:val="BodyTextIndent2"/>
              <w:ind w:left="-108"/>
              <w:rPr>
                <w:rFonts w:ascii="Arial Narrow" w:hAnsi="Arial Narrow" w:cs="Arial"/>
                <w:color w:val="000000" w:themeColor="text1"/>
                <w:sz w:val="18"/>
                <w:szCs w:val="18"/>
              </w:rPr>
            </w:pPr>
            <w:r w:rsidRPr="009E35ED">
              <w:rPr>
                <w:rFonts w:ascii="Arial Narrow" w:hAnsi="Arial Narrow" w:cs="Arial"/>
                <w:color w:val="000000" w:themeColor="text1"/>
                <w:sz w:val="18"/>
                <w:szCs w:val="18"/>
                <w:lang w:val="en-PH" w:eastAsia="en-PH"/>
              </w:rPr>
              <w:t>Brgy, Sicayab, Dipolog City</w:t>
            </w:r>
          </w:p>
        </w:tc>
        <w:tc>
          <w:tcPr>
            <w:tcW w:w="1716" w:type="dxa"/>
            <w:vAlign w:val="bottom"/>
          </w:tcPr>
          <w:p w14:paraId="57325F36" w14:textId="77777777" w:rsidR="00902173" w:rsidRPr="009E35ED" w:rsidRDefault="00902173" w:rsidP="00902173">
            <w:pPr>
              <w:pStyle w:val="BodyTextIndent2"/>
              <w:ind w:left="-82" w:right="-110"/>
              <w:jc w:val="right"/>
              <w:rPr>
                <w:rFonts w:ascii="Arial Narrow" w:hAnsi="Arial Narrow" w:cs="Arial"/>
                <w:color w:val="000000" w:themeColor="text1"/>
                <w:sz w:val="18"/>
                <w:szCs w:val="18"/>
              </w:rPr>
            </w:pPr>
            <w:r w:rsidRPr="009E35ED">
              <w:rPr>
                <w:rFonts w:ascii="Arial Narrow" w:hAnsi="Arial Narrow" w:cs="Arial"/>
                <w:color w:val="000000" w:themeColor="text1"/>
                <w:sz w:val="18"/>
                <w:szCs w:val="18"/>
                <w:lang w:val="en-PH" w:eastAsia="en-PH"/>
              </w:rPr>
              <w:t>14,739,000</w:t>
            </w:r>
          </w:p>
        </w:tc>
        <w:tc>
          <w:tcPr>
            <w:tcW w:w="1802" w:type="dxa"/>
            <w:vAlign w:val="bottom"/>
          </w:tcPr>
          <w:p w14:paraId="427B864A" w14:textId="42F1BD7D" w:rsidR="00902173" w:rsidRPr="009E35ED" w:rsidRDefault="00902173" w:rsidP="00D4035E">
            <w:pPr>
              <w:pStyle w:val="BodyTextIndent2"/>
              <w:ind w:left="-82" w:right="-100"/>
              <w:jc w:val="right"/>
              <w:rPr>
                <w:rFonts w:ascii="Arial Narrow" w:hAnsi="Arial Narrow" w:cs="Arial"/>
                <w:color w:val="000000" w:themeColor="text1"/>
                <w:sz w:val="18"/>
                <w:szCs w:val="18"/>
              </w:rPr>
            </w:pPr>
            <w:r w:rsidRPr="009E35ED">
              <w:rPr>
                <w:rFonts w:ascii="Arial Narrow" w:hAnsi="Arial Narrow" w:cs="Arial"/>
                <w:color w:val="000000" w:themeColor="text1"/>
                <w:sz w:val="18"/>
                <w:szCs w:val="18"/>
                <w:lang w:val="en-PH" w:eastAsia="en-PH"/>
              </w:rPr>
              <w:t>14,739,000</w:t>
            </w:r>
          </w:p>
        </w:tc>
      </w:tr>
      <w:tr w:rsidR="00997F75" w:rsidRPr="009E35ED" w14:paraId="3EC4E50E" w14:textId="77777777" w:rsidTr="00D4035E">
        <w:trPr>
          <w:trHeight w:hRule="exact" w:val="261"/>
        </w:trPr>
        <w:tc>
          <w:tcPr>
            <w:tcW w:w="5130" w:type="dxa"/>
            <w:vAlign w:val="bottom"/>
          </w:tcPr>
          <w:p w14:paraId="5F7ECFB7" w14:textId="77777777" w:rsidR="00902173" w:rsidRPr="009E35ED" w:rsidRDefault="00902173" w:rsidP="00902173">
            <w:pPr>
              <w:pStyle w:val="BodyTextIndent2"/>
              <w:ind w:left="-108"/>
              <w:rPr>
                <w:rFonts w:ascii="Arial Narrow" w:hAnsi="Arial Narrow" w:cs="Arial"/>
                <w:color w:val="000000" w:themeColor="text1"/>
                <w:sz w:val="18"/>
                <w:szCs w:val="18"/>
              </w:rPr>
            </w:pPr>
            <w:r w:rsidRPr="009E35ED">
              <w:rPr>
                <w:rFonts w:ascii="Arial Narrow" w:hAnsi="Arial Narrow" w:cs="Arial"/>
                <w:color w:val="000000" w:themeColor="text1"/>
                <w:sz w:val="18"/>
                <w:szCs w:val="18"/>
                <w:lang w:val="en-PH" w:eastAsia="en-PH"/>
              </w:rPr>
              <w:t>Poblacion Lubao, Pampanga</w:t>
            </w:r>
          </w:p>
        </w:tc>
        <w:tc>
          <w:tcPr>
            <w:tcW w:w="1716" w:type="dxa"/>
            <w:vAlign w:val="bottom"/>
          </w:tcPr>
          <w:p w14:paraId="1EF37A25" w14:textId="77777777" w:rsidR="00902173" w:rsidRPr="009E35ED" w:rsidRDefault="00902173" w:rsidP="00902173">
            <w:pPr>
              <w:pStyle w:val="BodyTextIndent2"/>
              <w:ind w:left="-82" w:right="-110"/>
              <w:jc w:val="right"/>
              <w:rPr>
                <w:rFonts w:ascii="Arial Narrow" w:hAnsi="Arial Narrow" w:cs="Arial"/>
                <w:color w:val="000000" w:themeColor="text1"/>
                <w:sz w:val="18"/>
                <w:szCs w:val="18"/>
              </w:rPr>
            </w:pPr>
            <w:r w:rsidRPr="009E35ED">
              <w:rPr>
                <w:rFonts w:ascii="Arial Narrow" w:hAnsi="Arial Narrow" w:cs="Arial"/>
                <w:color w:val="000000" w:themeColor="text1"/>
                <w:sz w:val="18"/>
                <w:szCs w:val="18"/>
                <w:lang w:val="en-PH" w:eastAsia="en-PH"/>
              </w:rPr>
              <w:t>25,000</w:t>
            </w:r>
          </w:p>
        </w:tc>
        <w:tc>
          <w:tcPr>
            <w:tcW w:w="1802" w:type="dxa"/>
            <w:vAlign w:val="bottom"/>
          </w:tcPr>
          <w:p w14:paraId="7DA1AF09" w14:textId="336B133F" w:rsidR="00902173" w:rsidRPr="009E35ED" w:rsidRDefault="00902173" w:rsidP="00D4035E">
            <w:pPr>
              <w:pStyle w:val="BodyTextIndent2"/>
              <w:ind w:left="-82" w:right="-100"/>
              <w:jc w:val="right"/>
              <w:rPr>
                <w:rFonts w:ascii="Arial Narrow" w:hAnsi="Arial Narrow" w:cs="Arial"/>
                <w:color w:val="000000" w:themeColor="text1"/>
                <w:sz w:val="18"/>
                <w:szCs w:val="18"/>
              </w:rPr>
            </w:pPr>
            <w:r w:rsidRPr="009E35ED">
              <w:rPr>
                <w:rFonts w:ascii="Arial Narrow" w:hAnsi="Arial Narrow" w:cs="Arial"/>
                <w:color w:val="000000" w:themeColor="text1"/>
                <w:sz w:val="18"/>
                <w:szCs w:val="18"/>
                <w:lang w:val="en-PH" w:eastAsia="en-PH"/>
              </w:rPr>
              <w:t>25,000</w:t>
            </w:r>
          </w:p>
        </w:tc>
      </w:tr>
      <w:tr w:rsidR="00997F75" w:rsidRPr="009E35ED" w14:paraId="2DAAC2F4" w14:textId="77777777" w:rsidTr="00D4035E">
        <w:trPr>
          <w:trHeight w:hRule="exact" w:val="261"/>
        </w:trPr>
        <w:tc>
          <w:tcPr>
            <w:tcW w:w="5130" w:type="dxa"/>
            <w:vAlign w:val="bottom"/>
          </w:tcPr>
          <w:p w14:paraId="22941C6F" w14:textId="77777777" w:rsidR="00902173" w:rsidRPr="009E35ED" w:rsidRDefault="00902173" w:rsidP="00902173">
            <w:pPr>
              <w:pStyle w:val="BodyTextIndent2"/>
              <w:ind w:left="-108"/>
              <w:rPr>
                <w:rFonts w:ascii="Arial Narrow" w:hAnsi="Arial Narrow" w:cs="Arial"/>
                <w:color w:val="000000" w:themeColor="text1"/>
                <w:sz w:val="18"/>
                <w:szCs w:val="18"/>
              </w:rPr>
            </w:pPr>
            <w:r w:rsidRPr="009E35ED">
              <w:rPr>
                <w:rFonts w:ascii="Arial Narrow" w:hAnsi="Arial Narrow" w:cs="Arial"/>
                <w:color w:val="000000" w:themeColor="text1"/>
                <w:sz w:val="18"/>
                <w:szCs w:val="18"/>
                <w:lang w:val="en-PH" w:eastAsia="en-PH"/>
              </w:rPr>
              <w:t>Agdahon, Cuartero, Capiz</w:t>
            </w:r>
          </w:p>
        </w:tc>
        <w:tc>
          <w:tcPr>
            <w:tcW w:w="1716" w:type="dxa"/>
            <w:vAlign w:val="bottom"/>
          </w:tcPr>
          <w:p w14:paraId="271399B4" w14:textId="77777777" w:rsidR="00902173" w:rsidRPr="009E35ED" w:rsidRDefault="00902173" w:rsidP="00902173">
            <w:pPr>
              <w:pStyle w:val="BodyTextIndent2"/>
              <w:ind w:left="-82" w:right="-110"/>
              <w:jc w:val="right"/>
              <w:rPr>
                <w:rFonts w:ascii="Arial Narrow" w:hAnsi="Arial Narrow" w:cs="Arial"/>
                <w:color w:val="000000" w:themeColor="text1"/>
                <w:sz w:val="18"/>
                <w:szCs w:val="18"/>
              </w:rPr>
            </w:pPr>
            <w:r w:rsidRPr="009E35ED">
              <w:rPr>
                <w:rFonts w:ascii="Arial Narrow" w:hAnsi="Arial Narrow" w:cs="Arial"/>
                <w:color w:val="000000" w:themeColor="text1"/>
                <w:sz w:val="18"/>
                <w:szCs w:val="18"/>
                <w:lang w:val="en-PH" w:eastAsia="en-PH"/>
              </w:rPr>
              <w:t>368,000</w:t>
            </w:r>
          </w:p>
        </w:tc>
        <w:tc>
          <w:tcPr>
            <w:tcW w:w="1802" w:type="dxa"/>
            <w:vAlign w:val="bottom"/>
          </w:tcPr>
          <w:p w14:paraId="35FC5DE4" w14:textId="5A567E3E" w:rsidR="00902173" w:rsidRPr="009E35ED" w:rsidRDefault="00902173" w:rsidP="00D4035E">
            <w:pPr>
              <w:pStyle w:val="BodyTextIndent2"/>
              <w:ind w:left="-82" w:right="-100"/>
              <w:jc w:val="right"/>
              <w:rPr>
                <w:rFonts w:ascii="Arial Narrow" w:hAnsi="Arial Narrow" w:cs="Arial"/>
                <w:color w:val="000000" w:themeColor="text1"/>
                <w:sz w:val="18"/>
                <w:szCs w:val="18"/>
              </w:rPr>
            </w:pPr>
            <w:r w:rsidRPr="009E35ED">
              <w:rPr>
                <w:rFonts w:ascii="Arial Narrow" w:hAnsi="Arial Narrow" w:cs="Arial"/>
                <w:color w:val="000000" w:themeColor="text1"/>
                <w:sz w:val="18"/>
                <w:szCs w:val="18"/>
                <w:lang w:val="en-PH" w:eastAsia="en-PH"/>
              </w:rPr>
              <w:t>368,000</w:t>
            </w:r>
          </w:p>
        </w:tc>
      </w:tr>
      <w:tr w:rsidR="00997F75" w:rsidRPr="009E35ED" w14:paraId="008DB69E" w14:textId="77777777" w:rsidTr="00D4035E">
        <w:trPr>
          <w:trHeight w:hRule="exact" w:val="261"/>
        </w:trPr>
        <w:tc>
          <w:tcPr>
            <w:tcW w:w="5130" w:type="dxa"/>
            <w:vAlign w:val="bottom"/>
          </w:tcPr>
          <w:p w14:paraId="0B05DD4A" w14:textId="77777777" w:rsidR="00902173" w:rsidRPr="009E35ED" w:rsidRDefault="00902173" w:rsidP="00902173">
            <w:pPr>
              <w:pStyle w:val="BodyTextIndent2"/>
              <w:ind w:left="-108"/>
              <w:rPr>
                <w:rFonts w:ascii="Arial Narrow" w:hAnsi="Arial Narrow" w:cs="Arial"/>
                <w:color w:val="000000" w:themeColor="text1"/>
                <w:sz w:val="18"/>
                <w:szCs w:val="18"/>
              </w:rPr>
            </w:pPr>
            <w:r w:rsidRPr="009E35ED">
              <w:rPr>
                <w:rFonts w:ascii="Arial Narrow" w:hAnsi="Arial Narrow" w:cs="Arial"/>
                <w:color w:val="000000" w:themeColor="text1"/>
                <w:sz w:val="18"/>
                <w:szCs w:val="18"/>
                <w:lang w:val="en-PH" w:eastAsia="en-PH"/>
              </w:rPr>
              <w:t xml:space="preserve">Right of Way – Flamingo Land Subd, Antipolo </w:t>
            </w:r>
          </w:p>
        </w:tc>
        <w:tc>
          <w:tcPr>
            <w:tcW w:w="1716" w:type="dxa"/>
            <w:vAlign w:val="bottom"/>
          </w:tcPr>
          <w:p w14:paraId="7B0720C4" w14:textId="77777777" w:rsidR="00902173" w:rsidRPr="009E35ED" w:rsidRDefault="00902173" w:rsidP="00902173">
            <w:pPr>
              <w:pStyle w:val="BodyTextIndent2"/>
              <w:ind w:left="-82" w:right="-110"/>
              <w:jc w:val="right"/>
              <w:rPr>
                <w:rFonts w:ascii="Arial Narrow" w:hAnsi="Arial Narrow" w:cs="Arial"/>
                <w:color w:val="000000" w:themeColor="text1"/>
                <w:sz w:val="18"/>
                <w:szCs w:val="18"/>
              </w:rPr>
            </w:pPr>
            <w:r w:rsidRPr="009E35ED">
              <w:rPr>
                <w:rFonts w:ascii="Arial Narrow" w:hAnsi="Arial Narrow" w:cs="Arial"/>
                <w:color w:val="000000" w:themeColor="text1"/>
                <w:sz w:val="18"/>
                <w:szCs w:val="18"/>
                <w:lang w:val="en-PH" w:eastAsia="en-PH"/>
              </w:rPr>
              <w:t>4,500,000</w:t>
            </w:r>
          </w:p>
        </w:tc>
        <w:tc>
          <w:tcPr>
            <w:tcW w:w="1802" w:type="dxa"/>
            <w:vAlign w:val="bottom"/>
          </w:tcPr>
          <w:p w14:paraId="5B810AF1" w14:textId="065B843D" w:rsidR="00902173" w:rsidRPr="009E35ED" w:rsidRDefault="00902173" w:rsidP="00D4035E">
            <w:pPr>
              <w:pStyle w:val="BodyTextIndent2"/>
              <w:ind w:left="-82" w:right="-100"/>
              <w:jc w:val="right"/>
              <w:rPr>
                <w:rFonts w:ascii="Arial Narrow" w:hAnsi="Arial Narrow" w:cs="Arial"/>
                <w:color w:val="000000" w:themeColor="text1"/>
                <w:sz w:val="18"/>
                <w:szCs w:val="18"/>
              </w:rPr>
            </w:pPr>
            <w:r w:rsidRPr="009E35ED">
              <w:rPr>
                <w:rFonts w:ascii="Arial Narrow" w:hAnsi="Arial Narrow" w:cs="Arial"/>
                <w:color w:val="000000" w:themeColor="text1"/>
                <w:sz w:val="18"/>
                <w:szCs w:val="18"/>
                <w:lang w:val="en-PH" w:eastAsia="en-PH"/>
              </w:rPr>
              <w:t>4,500,000</w:t>
            </w:r>
          </w:p>
        </w:tc>
      </w:tr>
      <w:tr w:rsidR="00997F75" w:rsidRPr="009E35ED" w14:paraId="65E5AB75" w14:textId="77777777" w:rsidTr="00D4035E">
        <w:trPr>
          <w:trHeight w:hRule="exact" w:val="261"/>
        </w:trPr>
        <w:tc>
          <w:tcPr>
            <w:tcW w:w="5130" w:type="dxa"/>
            <w:vAlign w:val="bottom"/>
          </w:tcPr>
          <w:p w14:paraId="57A37090" w14:textId="77777777" w:rsidR="00902173" w:rsidRPr="009E35ED" w:rsidRDefault="00902173" w:rsidP="00902173">
            <w:pPr>
              <w:pStyle w:val="BodyTextIndent2"/>
              <w:ind w:left="-108"/>
              <w:rPr>
                <w:rFonts w:ascii="Arial Narrow" w:hAnsi="Arial Narrow" w:cs="Arial"/>
                <w:color w:val="000000" w:themeColor="text1"/>
                <w:sz w:val="18"/>
                <w:szCs w:val="18"/>
              </w:rPr>
            </w:pPr>
            <w:r w:rsidRPr="009E35ED">
              <w:rPr>
                <w:rFonts w:ascii="Arial Narrow" w:hAnsi="Arial Narrow" w:cs="Arial"/>
                <w:color w:val="000000" w:themeColor="text1"/>
                <w:sz w:val="18"/>
                <w:szCs w:val="18"/>
                <w:lang w:val="en-PH" w:eastAsia="en-PH"/>
              </w:rPr>
              <w:t>Right of Way – Manuel Uy &amp; Sons – Antipolo City</w:t>
            </w:r>
          </w:p>
        </w:tc>
        <w:tc>
          <w:tcPr>
            <w:tcW w:w="1716" w:type="dxa"/>
            <w:vAlign w:val="bottom"/>
          </w:tcPr>
          <w:p w14:paraId="342221C0" w14:textId="77777777" w:rsidR="00902173" w:rsidRPr="009E35ED" w:rsidRDefault="00902173" w:rsidP="00902173">
            <w:pPr>
              <w:pStyle w:val="BodyTextIndent2"/>
              <w:ind w:left="-82" w:right="-110"/>
              <w:jc w:val="right"/>
              <w:rPr>
                <w:rFonts w:ascii="Arial Narrow" w:hAnsi="Arial Narrow" w:cs="Arial"/>
                <w:color w:val="000000" w:themeColor="text1"/>
                <w:sz w:val="18"/>
                <w:szCs w:val="18"/>
              </w:rPr>
            </w:pPr>
            <w:r w:rsidRPr="009E35ED">
              <w:rPr>
                <w:rFonts w:ascii="Arial Narrow" w:hAnsi="Arial Narrow" w:cs="Arial"/>
                <w:color w:val="000000" w:themeColor="text1"/>
                <w:sz w:val="18"/>
                <w:szCs w:val="18"/>
                <w:lang w:val="en-PH" w:eastAsia="en-PH"/>
              </w:rPr>
              <w:t xml:space="preserve">  8,038,427</w:t>
            </w:r>
          </w:p>
        </w:tc>
        <w:tc>
          <w:tcPr>
            <w:tcW w:w="1802" w:type="dxa"/>
            <w:vAlign w:val="bottom"/>
          </w:tcPr>
          <w:p w14:paraId="1C759519" w14:textId="38309633" w:rsidR="00902173" w:rsidRPr="009E35ED" w:rsidRDefault="00902173" w:rsidP="00D4035E">
            <w:pPr>
              <w:pStyle w:val="BodyTextIndent2"/>
              <w:ind w:left="-82" w:right="-100"/>
              <w:jc w:val="right"/>
              <w:rPr>
                <w:rFonts w:ascii="Arial Narrow" w:hAnsi="Arial Narrow" w:cs="Arial"/>
                <w:color w:val="000000" w:themeColor="text1"/>
                <w:sz w:val="18"/>
                <w:szCs w:val="18"/>
              </w:rPr>
            </w:pPr>
            <w:r w:rsidRPr="009E35ED">
              <w:rPr>
                <w:rFonts w:ascii="Arial Narrow" w:hAnsi="Arial Narrow" w:cs="Arial"/>
                <w:color w:val="000000" w:themeColor="text1"/>
                <w:sz w:val="18"/>
                <w:szCs w:val="18"/>
                <w:lang w:val="en-PH" w:eastAsia="en-PH"/>
              </w:rPr>
              <w:t xml:space="preserve">  8,038,427</w:t>
            </w:r>
          </w:p>
        </w:tc>
      </w:tr>
      <w:tr w:rsidR="00D5551C" w:rsidRPr="009E35ED" w14:paraId="12ECAE28" w14:textId="77777777" w:rsidTr="00D4035E">
        <w:trPr>
          <w:trHeight w:hRule="exact" w:val="262"/>
        </w:trPr>
        <w:tc>
          <w:tcPr>
            <w:tcW w:w="5130" w:type="dxa"/>
            <w:tcBorders>
              <w:top w:val="single" w:sz="4" w:space="0" w:color="auto"/>
              <w:bottom w:val="double" w:sz="4" w:space="0" w:color="auto"/>
            </w:tcBorders>
            <w:vAlign w:val="bottom"/>
          </w:tcPr>
          <w:p w14:paraId="36EF9D5E" w14:textId="77777777" w:rsidR="00D5551C" w:rsidRPr="009E35ED" w:rsidRDefault="00D5551C" w:rsidP="00D5551C">
            <w:pPr>
              <w:pStyle w:val="BodyTextIndent2"/>
              <w:ind w:left="-108"/>
              <w:rPr>
                <w:rFonts w:ascii="Arial Narrow" w:hAnsi="Arial Narrow" w:cs="Arial"/>
                <w:b/>
                <w:color w:val="000000" w:themeColor="text1"/>
                <w:sz w:val="18"/>
                <w:szCs w:val="18"/>
              </w:rPr>
            </w:pPr>
            <w:r w:rsidRPr="009E35ED">
              <w:rPr>
                <w:rFonts w:ascii="Arial Narrow" w:hAnsi="Arial Narrow" w:cs="Arial"/>
                <w:b/>
                <w:bCs/>
                <w:color w:val="000000" w:themeColor="text1"/>
                <w:sz w:val="18"/>
                <w:szCs w:val="18"/>
                <w:lang w:val="en-PH" w:eastAsia="en-PH"/>
              </w:rPr>
              <w:t>Total</w:t>
            </w:r>
          </w:p>
        </w:tc>
        <w:tc>
          <w:tcPr>
            <w:tcW w:w="1716" w:type="dxa"/>
            <w:tcBorders>
              <w:top w:val="single" w:sz="4" w:space="0" w:color="auto"/>
              <w:bottom w:val="double" w:sz="4" w:space="0" w:color="auto"/>
            </w:tcBorders>
            <w:vAlign w:val="bottom"/>
          </w:tcPr>
          <w:p w14:paraId="2174EE46" w14:textId="2A9640C4" w:rsidR="00D5551C" w:rsidRPr="009E35ED" w:rsidRDefault="00D5551C" w:rsidP="00D5551C">
            <w:pPr>
              <w:pStyle w:val="BodyTextIndent2"/>
              <w:ind w:left="0" w:right="-110"/>
              <w:jc w:val="right"/>
              <w:rPr>
                <w:rFonts w:ascii="Arial Narrow" w:hAnsi="Arial Narrow" w:cs="Arial"/>
                <w:b/>
                <w:color w:val="000000" w:themeColor="text1"/>
                <w:sz w:val="18"/>
                <w:szCs w:val="18"/>
              </w:rPr>
            </w:pPr>
            <w:r w:rsidRPr="009E35ED">
              <w:rPr>
                <w:rFonts w:ascii="Arial Narrow" w:hAnsi="Arial Narrow" w:cs="Arial"/>
                <w:b/>
                <w:color w:val="000000" w:themeColor="text1"/>
                <w:sz w:val="18"/>
                <w:szCs w:val="18"/>
              </w:rPr>
              <w:fldChar w:fldCharType="begin"/>
            </w:r>
            <w:r w:rsidRPr="009E35ED">
              <w:rPr>
                <w:rFonts w:ascii="Arial Narrow" w:hAnsi="Arial Narrow" w:cs="Arial"/>
                <w:b/>
                <w:color w:val="000000" w:themeColor="text1"/>
                <w:sz w:val="18"/>
                <w:szCs w:val="18"/>
              </w:rPr>
              <w:instrText xml:space="preserve"> =SUM(ABOVE) </w:instrText>
            </w:r>
            <w:r w:rsidRPr="009E35ED">
              <w:rPr>
                <w:rFonts w:ascii="Arial Narrow" w:hAnsi="Arial Narrow" w:cs="Arial"/>
                <w:b/>
                <w:color w:val="000000" w:themeColor="text1"/>
                <w:sz w:val="18"/>
                <w:szCs w:val="18"/>
              </w:rPr>
              <w:fldChar w:fldCharType="separate"/>
            </w:r>
            <w:r w:rsidRPr="009E35ED">
              <w:rPr>
                <w:rFonts w:ascii="Arial Narrow" w:hAnsi="Arial Narrow" w:cs="Arial"/>
                <w:b/>
                <w:noProof/>
                <w:color w:val="000000" w:themeColor="text1"/>
                <w:sz w:val="18"/>
                <w:szCs w:val="18"/>
              </w:rPr>
              <w:t>273,866,02</w:t>
            </w:r>
            <w:r w:rsidRPr="009E35ED">
              <w:rPr>
                <w:rFonts w:ascii="Arial Narrow" w:hAnsi="Arial Narrow" w:cs="Arial"/>
                <w:b/>
                <w:color w:val="000000" w:themeColor="text1"/>
                <w:sz w:val="18"/>
                <w:szCs w:val="18"/>
              </w:rPr>
              <w:fldChar w:fldCharType="end"/>
            </w:r>
            <w:r w:rsidRPr="009E35ED">
              <w:rPr>
                <w:rFonts w:ascii="Arial Narrow" w:hAnsi="Arial Narrow" w:cs="Arial"/>
                <w:b/>
                <w:color w:val="000000" w:themeColor="text1"/>
                <w:sz w:val="18"/>
                <w:szCs w:val="18"/>
              </w:rPr>
              <w:t>5</w:t>
            </w:r>
          </w:p>
        </w:tc>
        <w:tc>
          <w:tcPr>
            <w:tcW w:w="1802" w:type="dxa"/>
            <w:tcBorders>
              <w:top w:val="single" w:sz="4" w:space="0" w:color="auto"/>
              <w:bottom w:val="double" w:sz="4" w:space="0" w:color="auto"/>
            </w:tcBorders>
            <w:vAlign w:val="bottom"/>
          </w:tcPr>
          <w:p w14:paraId="1DE5C614" w14:textId="5567741D" w:rsidR="00D5551C" w:rsidRPr="009E35ED" w:rsidRDefault="00D5551C" w:rsidP="00D4035E">
            <w:pPr>
              <w:pStyle w:val="BodyTextIndent2"/>
              <w:ind w:left="0" w:right="-100"/>
              <w:jc w:val="right"/>
              <w:rPr>
                <w:rFonts w:ascii="Arial Narrow" w:hAnsi="Arial Narrow" w:cs="Arial"/>
                <w:b/>
                <w:color w:val="000000" w:themeColor="text1"/>
                <w:sz w:val="18"/>
                <w:szCs w:val="18"/>
              </w:rPr>
            </w:pPr>
            <w:r w:rsidRPr="009E35ED">
              <w:rPr>
                <w:rFonts w:ascii="Arial Narrow" w:hAnsi="Arial Narrow" w:cs="Arial"/>
                <w:b/>
                <w:color w:val="000000" w:themeColor="text1"/>
                <w:sz w:val="18"/>
                <w:szCs w:val="18"/>
              </w:rPr>
              <w:fldChar w:fldCharType="begin"/>
            </w:r>
            <w:r w:rsidRPr="009E35ED">
              <w:rPr>
                <w:rFonts w:ascii="Arial Narrow" w:hAnsi="Arial Narrow" w:cs="Arial"/>
                <w:b/>
                <w:color w:val="000000" w:themeColor="text1"/>
                <w:sz w:val="18"/>
                <w:szCs w:val="18"/>
              </w:rPr>
              <w:instrText xml:space="preserve"> =SUM(ABOVE) </w:instrText>
            </w:r>
            <w:r w:rsidRPr="009E35ED">
              <w:rPr>
                <w:rFonts w:ascii="Arial Narrow" w:hAnsi="Arial Narrow" w:cs="Arial"/>
                <w:b/>
                <w:color w:val="000000" w:themeColor="text1"/>
                <w:sz w:val="18"/>
                <w:szCs w:val="18"/>
              </w:rPr>
              <w:fldChar w:fldCharType="separate"/>
            </w:r>
            <w:r w:rsidRPr="009E35ED">
              <w:rPr>
                <w:rFonts w:ascii="Arial Narrow" w:hAnsi="Arial Narrow" w:cs="Arial"/>
                <w:b/>
                <w:noProof/>
                <w:color w:val="000000" w:themeColor="text1"/>
                <w:sz w:val="18"/>
                <w:szCs w:val="18"/>
              </w:rPr>
              <w:t>273,866,02</w:t>
            </w:r>
            <w:r w:rsidRPr="009E35ED">
              <w:rPr>
                <w:rFonts w:ascii="Arial Narrow" w:hAnsi="Arial Narrow" w:cs="Arial"/>
                <w:b/>
                <w:color w:val="000000" w:themeColor="text1"/>
                <w:sz w:val="18"/>
                <w:szCs w:val="18"/>
              </w:rPr>
              <w:fldChar w:fldCharType="end"/>
            </w:r>
            <w:r w:rsidRPr="009E35ED">
              <w:rPr>
                <w:rFonts w:ascii="Arial Narrow" w:hAnsi="Arial Narrow" w:cs="Arial"/>
                <w:b/>
                <w:color w:val="000000" w:themeColor="text1"/>
                <w:sz w:val="18"/>
                <w:szCs w:val="18"/>
              </w:rPr>
              <w:t>5</w:t>
            </w:r>
          </w:p>
        </w:tc>
      </w:tr>
    </w:tbl>
    <w:p w14:paraId="1CE1F38C" w14:textId="77777777" w:rsidR="00B44FD1" w:rsidRPr="009E35ED" w:rsidRDefault="00B44FD1" w:rsidP="00803F8C">
      <w:pPr>
        <w:pStyle w:val="BodyTextIndent2"/>
        <w:ind w:left="0"/>
        <w:rPr>
          <w:rFonts w:cs="Arial"/>
          <w:color w:val="000000" w:themeColor="text1"/>
          <w:szCs w:val="22"/>
        </w:rPr>
      </w:pPr>
    </w:p>
    <w:p w14:paraId="2349127C" w14:textId="18BCCFEC" w:rsidR="007E0E7F" w:rsidRPr="009E35ED" w:rsidRDefault="0097794C" w:rsidP="00B90388">
      <w:pPr>
        <w:pStyle w:val="BodyTextIndent2"/>
        <w:keepNext/>
        <w:keepLines/>
        <w:ind w:left="0"/>
        <w:rPr>
          <w:rFonts w:cs="Arial"/>
          <w:color w:val="000000" w:themeColor="text1"/>
          <w:szCs w:val="22"/>
        </w:rPr>
      </w:pPr>
      <w:r w:rsidRPr="009E35ED">
        <w:rPr>
          <w:rFonts w:cs="Arial"/>
          <w:color w:val="000000" w:themeColor="text1"/>
          <w:szCs w:val="22"/>
        </w:rPr>
        <w:t>There are no additions and disposal made for the year 20</w:t>
      </w:r>
      <w:r w:rsidR="00792525" w:rsidRPr="009E35ED">
        <w:rPr>
          <w:rFonts w:cs="Arial"/>
          <w:color w:val="000000" w:themeColor="text1"/>
          <w:szCs w:val="22"/>
        </w:rPr>
        <w:t>2</w:t>
      </w:r>
      <w:r w:rsidR="00D5551C" w:rsidRPr="009E35ED">
        <w:rPr>
          <w:rFonts w:cs="Arial"/>
          <w:color w:val="000000" w:themeColor="text1"/>
          <w:szCs w:val="22"/>
        </w:rPr>
        <w:t>3</w:t>
      </w:r>
      <w:r w:rsidR="00A804E8" w:rsidRPr="009E35ED">
        <w:rPr>
          <w:rFonts w:cs="Arial"/>
          <w:color w:val="000000" w:themeColor="text1"/>
          <w:szCs w:val="22"/>
        </w:rPr>
        <w:t>.</w:t>
      </w:r>
      <w:r w:rsidRPr="009E35ED">
        <w:rPr>
          <w:rFonts w:cs="Arial"/>
          <w:color w:val="000000" w:themeColor="text1"/>
          <w:szCs w:val="22"/>
        </w:rPr>
        <w:t xml:space="preserve"> The </w:t>
      </w:r>
      <w:r w:rsidR="000911E5">
        <w:rPr>
          <w:rFonts w:cs="Arial"/>
          <w:color w:val="000000" w:themeColor="text1"/>
          <w:szCs w:val="22"/>
        </w:rPr>
        <w:t>PCSO</w:t>
      </w:r>
      <w:r w:rsidRPr="009E35ED">
        <w:rPr>
          <w:rFonts w:cs="Arial"/>
          <w:color w:val="000000" w:themeColor="text1"/>
          <w:szCs w:val="22"/>
        </w:rPr>
        <w:t xml:space="preserve"> elect</w:t>
      </w:r>
      <w:r w:rsidR="000911E5">
        <w:rPr>
          <w:rFonts w:cs="Arial"/>
          <w:color w:val="000000" w:themeColor="text1"/>
          <w:szCs w:val="22"/>
        </w:rPr>
        <w:t>s</w:t>
      </w:r>
      <w:r w:rsidRPr="009E35ED">
        <w:rPr>
          <w:rFonts w:cs="Arial"/>
          <w:color w:val="000000" w:themeColor="text1"/>
          <w:szCs w:val="22"/>
        </w:rPr>
        <w:t xml:space="preserve"> to measure the </w:t>
      </w:r>
      <w:r w:rsidR="0033319E" w:rsidRPr="009E35ED">
        <w:rPr>
          <w:rFonts w:cs="Arial"/>
          <w:color w:val="000000" w:themeColor="text1"/>
          <w:szCs w:val="22"/>
        </w:rPr>
        <w:t>I</w:t>
      </w:r>
      <w:r w:rsidRPr="009E35ED">
        <w:rPr>
          <w:rFonts w:cs="Arial"/>
          <w:color w:val="000000" w:themeColor="text1"/>
          <w:szCs w:val="22"/>
        </w:rPr>
        <w:t xml:space="preserve">nvestment </w:t>
      </w:r>
      <w:r w:rsidR="000911E5">
        <w:rPr>
          <w:rFonts w:cs="Arial"/>
          <w:color w:val="000000" w:themeColor="text1"/>
          <w:szCs w:val="22"/>
        </w:rPr>
        <w:t>p</w:t>
      </w:r>
      <w:r w:rsidRPr="009E35ED">
        <w:rPr>
          <w:rFonts w:cs="Arial"/>
          <w:color w:val="000000" w:themeColor="text1"/>
          <w:szCs w:val="22"/>
        </w:rPr>
        <w:t xml:space="preserve">roperty, </w:t>
      </w:r>
      <w:r w:rsidR="000911E5">
        <w:rPr>
          <w:rFonts w:cs="Arial"/>
          <w:color w:val="000000" w:themeColor="text1"/>
          <w:szCs w:val="22"/>
        </w:rPr>
        <w:t>l</w:t>
      </w:r>
      <w:r w:rsidRPr="009E35ED">
        <w:rPr>
          <w:rFonts w:cs="Arial"/>
          <w:color w:val="000000" w:themeColor="text1"/>
          <w:szCs w:val="22"/>
        </w:rPr>
        <w:t>and on the date of transition (January 1, 2017) to this Framework at its fair value and use that fair value as its deemed cost at that date.</w:t>
      </w:r>
      <w:r w:rsidR="005E13ED" w:rsidRPr="009E35ED">
        <w:rPr>
          <w:rFonts w:cs="Arial"/>
          <w:color w:val="000000" w:themeColor="text1"/>
          <w:szCs w:val="22"/>
        </w:rPr>
        <w:t xml:space="preserve"> </w:t>
      </w:r>
      <w:r w:rsidR="003841A5" w:rsidRPr="009E35ED">
        <w:rPr>
          <w:rFonts w:cs="Arial"/>
          <w:color w:val="000000" w:themeColor="text1"/>
          <w:szCs w:val="22"/>
        </w:rPr>
        <w:t>Further, n</w:t>
      </w:r>
      <w:r w:rsidR="00D5551C" w:rsidRPr="009E35ED">
        <w:rPr>
          <w:rFonts w:cs="Arial"/>
          <w:color w:val="000000" w:themeColor="text1"/>
          <w:szCs w:val="22"/>
        </w:rPr>
        <w:t xml:space="preserve">o </w:t>
      </w:r>
      <w:r w:rsidR="000911E5">
        <w:rPr>
          <w:rFonts w:cs="Arial"/>
          <w:color w:val="000000" w:themeColor="text1"/>
          <w:szCs w:val="22"/>
        </w:rPr>
        <w:t>i</w:t>
      </w:r>
      <w:r w:rsidR="005E13ED" w:rsidRPr="009E35ED">
        <w:rPr>
          <w:rFonts w:cs="Arial"/>
          <w:color w:val="000000" w:themeColor="text1"/>
          <w:szCs w:val="22"/>
        </w:rPr>
        <w:t xml:space="preserve">mpairment losses were recognized this </w:t>
      </w:r>
      <w:r w:rsidR="00780A26" w:rsidRPr="009E35ED">
        <w:rPr>
          <w:rFonts w:cs="Arial"/>
          <w:color w:val="000000" w:themeColor="text1"/>
          <w:szCs w:val="22"/>
        </w:rPr>
        <w:t xml:space="preserve">year </w:t>
      </w:r>
      <w:r w:rsidR="005E13ED" w:rsidRPr="009E35ED">
        <w:rPr>
          <w:rFonts w:cs="Arial"/>
          <w:color w:val="000000" w:themeColor="text1"/>
          <w:szCs w:val="22"/>
        </w:rPr>
        <w:t>202</w:t>
      </w:r>
      <w:r w:rsidR="00D5551C" w:rsidRPr="009E35ED">
        <w:rPr>
          <w:rFonts w:cs="Arial"/>
          <w:color w:val="000000" w:themeColor="text1"/>
          <w:szCs w:val="22"/>
        </w:rPr>
        <w:t>3</w:t>
      </w:r>
      <w:r w:rsidR="003841A5" w:rsidRPr="009E35ED">
        <w:rPr>
          <w:rFonts w:cs="Arial"/>
          <w:color w:val="000000" w:themeColor="text1"/>
          <w:szCs w:val="22"/>
        </w:rPr>
        <w:t>.</w:t>
      </w:r>
      <w:r w:rsidRPr="009E35ED">
        <w:rPr>
          <w:rFonts w:cs="Arial"/>
          <w:color w:val="000000" w:themeColor="text1"/>
          <w:szCs w:val="22"/>
        </w:rPr>
        <w:tab/>
      </w:r>
    </w:p>
    <w:p w14:paraId="450D807E" w14:textId="77777777" w:rsidR="003841A5" w:rsidRPr="009E35ED" w:rsidRDefault="003841A5" w:rsidP="0003782F">
      <w:pPr>
        <w:pStyle w:val="BodyTextIndent2"/>
        <w:ind w:left="0"/>
        <w:rPr>
          <w:rFonts w:cs="Arial"/>
          <w:color w:val="000000" w:themeColor="text1"/>
          <w:szCs w:val="22"/>
        </w:rPr>
      </w:pPr>
    </w:p>
    <w:p w14:paraId="7BD707FC" w14:textId="16419A52" w:rsidR="00192145" w:rsidRPr="009E35ED" w:rsidRDefault="00192145" w:rsidP="0003782F">
      <w:pPr>
        <w:pStyle w:val="BodyTextIndent2"/>
        <w:ind w:left="0"/>
        <w:rPr>
          <w:rFonts w:cs="Arial"/>
          <w:color w:val="000000" w:themeColor="text1"/>
          <w:szCs w:val="22"/>
        </w:rPr>
      </w:pPr>
      <w:r w:rsidRPr="009E35ED">
        <w:rPr>
          <w:rFonts w:cs="Arial"/>
          <w:color w:val="000000" w:themeColor="text1"/>
          <w:szCs w:val="22"/>
        </w:rPr>
        <w:t>As of December 31, 202</w:t>
      </w:r>
      <w:r w:rsidR="00D5551C" w:rsidRPr="009E35ED">
        <w:rPr>
          <w:rFonts w:cs="Arial"/>
          <w:color w:val="000000" w:themeColor="text1"/>
          <w:szCs w:val="22"/>
        </w:rPr>
        <w:t>3</w:t>
      </w:r>
      <w:r w:rsidRPr="009E35ED">
        <w:rPr>
          <w:rFonts w:cs="Arial"/>
          <w:color w:val="000000" w:themeColor="text1"/>
          <w:szCs w:val="22"/>
        </w:rPr>
        <w:t>, the following are the Fair Market Value of the Investment properties based on the latest Appraisal Reports</w:t>
      </w:r>
      <w:r w:rsidR="0033319E" w:rsidRPr="009E35ED">
        <w:rPr>
          <w:rFonts w:cs="Arial"/>
          <w:color w:val="000000" w:themeColor="text1"/>
          <w:szCs w:val="22"/>
        </w:rPr>
        <w:t>, to</w:t>
      </w:r>
      <w:r w:rsidRPr="009E35ED">
        <w:rPr>
          <w:rFonts w:cs="Arial"/>
          <w:color w:val="000000" w:themeColor="text1"/>
          <w:szCs w:val="22"/>
        </w:rPr>
        <w:t xml:space="preserve"> wit:</w:t>
      </w:r>
    </w:p>
    <w:p w14:paraId="5B8AE149" w14:textId="3C8661F7" w:rsidR="00F048A2" w:rsidRPr="009E35ED" w:rsidRDefault="00F048A2" w:rsidP="0003782F">
      <w:pPr>
        <w:pStyle w:val="BodyTextIndent2"/>
        <w:ind w:left="0"/>
        <w:rPr>
          <w:rFonts w:cs="Arial"/>
          <w:color w:val="000000" w:themeColor="text1"/>
          <w:szCs w:val="22"/>
        </w:rPr>
      </w:pPr>
    </w:p>
    <w:tbl>
      <w:tblPr>
        <w:tblW w:w="6437" w:type="dxa"/>
        <w:tblInd w:w="1303" w:type="dxa"/>
        <w:tblLayout w:type="fixed"/>
        <w:tblLook w:val="01E0" w:firstRow="1" w:lastRow="1" w:firstColumn="1" w:lastColumn="1" w:noHBand="0" w:noVBand="0"/>
      </w:tblPr>
      <w:tblGrid>
        <w:gridCol w:w="4721"/>
        <w:gridCol w:w="1716"/>
      </w:tblGrid>
      <w:tr w:rsidR="00997F75" w:rsidRPr="009E35ED" w14:paraId="5F79F70A" w14:textId="77777777" w:rsidTr="00192145">
        <w:trPr>
          <w:trHeight w:hRule="exact" w:val="217"/>
          <w:tblHeader/>
        </w:trPr>
        <w:tc>
          <w:tcPr>
            <w:tcW w:w="4721" w:type="dxa"/>
            <w:tcBorders>
              <w:top w:val="single" w:sz="4" w:space="0" w:color="auto"/>
              <w:bottom w:val="single" w:sz="4" w:space="0" w:color="auto"/>
            </w:tcBorders>
            <w:vAlign w:val="center"/>
          </w:tcPr>
          <w:p w14:paraId="1D1A7457" w14:textId="77777777" w:rsidR="00192145" w:rsidRPr="009E35ED" w:rsidRDefault="00192145" w:rsidP="00192145">
            <w:pPr>
              <w:pStyle w:val="BodyTextIndent2"/>
              <w:ind w:left="-108"/>
              <w:rPr>
                <w:rFonts w:ascii="Arial Narrow" w:hAnsi="Arial Narrow" w:cs="Arial"/>
                <w:b/>
                <w:color w:val="000000" w:themeColor="text1"/>
                <w:sz w:val="18"/>
                <w:szCs w:val="18"/>
              </w:rPr>
            </w:pPr>
            <w:r w:rsidRPr="009E35ED">
              <w:rPr>
                <w:rFonts w:ascii="Arial Narrow" w:hAnsi="Arial Narrow" w:cs="Arial"/>
                <w:b/>
                <w:color w:val="000000" w:themeColor="text1"/>
                <w:sz w:val="18"/>
                <w:szCs w:val="18"/>
              </w:rPr>
              <w:t>LAND PROPERTIES</w:t>
            </w:r>
          </w:p>
        </w:tc>
        <w:tc>
          <w:tcPr>
            <w:tcW w:w="1716" w:type="dxa"/>
            <w:tcBorders>
              <w:top w:val="single" w:sz="4" w:space="0" w:color="auto"/>
              <w:bottom w:val="single" w:sz="4" w:space="0" w:color="auto"/>
            </w:tcBorders>
            <w:vAlign w:val="center"/>
          </w:tcPr>
          <w:p w14:paraId="1AEDEAE6" w14:textId="65D49C3A" w:rsidR="00192145" w:rsidRPr="009E35ED" w:rsidRDefault="00192145" w:rsidP="00D4035E">
            <w:pPr>
              <w:pStyle w:val="BodyTextIndent2"/>
              <w:ind w:left="0" w:right="-108"/>
              <w:jc w:val="right"/>
              <w:rPr>
                <w:rFonts w:ascii="Arial Narrow" w:hAnsi="Arial Narrow" w:cs="Arial"/>
                <w:b/>
                <w:color w:val="000000" w:themeColor="text1"/>
                <w:sz w:val="18"/>
                <w:szCs w:val="18"/>
              </w:rPr>
            </w:pPr>
            <w:r w:rsidRPr="009E35ED">
              <w:rPr>
                <w:rFonts w:ascii="Arial Narrow" w:hAnsi="Arial Narrow" w:cs="Arial"/>
                <w:b/>
                <w:color w:val="000000" w:themeColor="text1"/>
                <w:sz w:val="18"/>
                <w:szCs w:val="18"/>
              </w:rPr>
              <w:t>202</w:t>
            </w:r>
            <w:r w:rsidR="00D5551C" w:rsidRPr="009E35ED">
              <w:rPr>
                <w:rFonts w:ascii="Arial Narrow" w:hAnsi="Arial Narrow" w:cs="Arial"/>
                <w:b/>
                <w:color w:val="000000" w:themeColor="text1"/>
                <w:sz w:val="18"/>
                <w:szCs w:val="18"/>
              </w:rPr>
              <w:t>3</w:t>
            </w:r>
          </w:p>
        </w:tc>
      </w:tr>
      <w:tr w:rsidR="00997F75" w:rsidRPr="009E35ED" w14:paraId="3B766788" w14:textId="77777777" w:rsidTr="00192145">
        <w:trPr>
          <w:trHeight w:hRule="exact" w:val="261"/>
        </w:trPr>
        <w:tc>
          <w:tcPr>
            <w:tcW w:w="4721" w:type="dxa"/>
            <w:vAlign w:val="bottom"/>
          </w:tcPr>
          <w:p w14:paraId="65071392" w14:textId="77777777" w:rsidR="00192145" w:rsidRPr="009E35ED" w:rsidRDefault="00192145" w:rsidP="00192145">
            <w:pPr>
              <w:pStyle w:val="BodyTextIndent2"/>
              <w:ind w:left="-108"/>
              <w:rPr>
                <w:rFonts w:ascii="Arial Narrow" w:hAnsi="Arial Narrow" w:cs="Arial"/>
                <w:color w:val="000000" w:themeColor="text1"/>
                <w:sz w:val="18"/>
                <w:szCs w:val="18"/>
              </w:rPr>
            </w:pPr>
            <w:r w:rsidRPr="009E35ED">
              <w:rPr>
                <w:rFonts w:ascii="Arial Narrow" w:hAnsi="Arial Narrow" w:cs="Arial"/>
                <w:color w:val="000000" w:themeColor="text1"/>
                <w:sz w:val="18"/>
                <w:szCs w:val="18"/>
                <w:lang w:val="en-PH" w:eastAsia="en-PH"/>
              </w:rPr>
              <w:t>Brgy. Concepcion Uno, Marikina City</w:t>
            </w:r>
          </w:p>
        </w:tc>
        <w:tc>
          <w:tcPr>
            <w:tcW w:w="1716" w:type="dxa"/>
            <w:vAlign w:val="bottom"/>
          </w:tcPr>
          <w:p w14:paraId="5B86B92E" w14:textId="61FAE411" w:rsidR="00192145" w:rsidRPr="009E35ED" w:rsidRDefault="00192145" w:rsidP="00192145">
            <w:pPr>
              <w:pStyle w:val="BodyTextIndent2"/>
              <w:ind w:left="-82" w:right="-110"/>
              <w:jc w:val="right"/>
              <w:rPr>
                <w:rFonts w:ascii="Arial Narrow" w:hAnsi="Arial Narrow" w:cs="Arial"/>
                <w:color w:val="000000" w:themeColor="text1"/>
                <w:sz w:val="18"/>
                <w:szCs w:val="18"/>
              </w:rPr>
            </w:pPr>
            <w:r w:rsidRPr="009E35ED">
              <w:rPr>
                <w:rFonts w:ascii="Arial Narrow" w:hAnsi="Arial Narrow" w:cs="Arial"/>
                <w:color w:val="000000" w:themeColor="text1"/>
                <w:sz w:val="18"/>
                <w:szCs w:val="18"/>
                <w:lang w:val="en-PH" w:eastAsia="en-PH"/>
              </w:rPr>
              <w:t xml:space="preserve">  6,132,000</w:t>
            </w:r>
          </w:p>
        </w:tc>
      </w:tr>
      <w:tr w:rsidR="00997F75" w:rsidRPr="009E35ED" w14:paraId="6B9A1741" w14:textId="77777777" w:rsidTr="00192145">
        <w:trPr>
          <w:trHeight w:hRule="exact" w:val="261"/>
        </w:trPr>
        <w:tc>
          <w:tcPr>
            <w:tcW w:w="4721" w:type="dxa"/>
            <w:vAlign w:val="bottom"/>
          </w:tcPr>
          <w:p w14:paraId="486E9C0E" w14:textId="77777777" w:rsidR="00192145" w:rsidRPr="009E35ED" w:rsidRDefault="00192145" w:rsidP="00192145">
            <w:pPr>
              <w:pStyle w:val="BodyTextIndent2"/>
              <w:ind w:left="-108"/>
              <w:rPr>
                <w:rFonts w:ascii="Arial Narrow" w:hAnsi="Arial Narrow" w:cs="Arial"/>
                <w:color w:val="000000" w:themeColor="text1"/>
                <w:sz w:val="18"/>
                <w:szCs w:val="18"/>
              </w:rPr>
            </w:pPr>
            <w:r w:rsidRPr="009E35ED">
              <w:rPr>
                <w:rFonts w:ascii="Arial Narrow" w:hAnsi="Arial Narrow" w:cs="Arial"/>
                <w:color w:val="000000" w:themeColor="text1"/>
                <w:sz w:val="18"/>
                <w:szCs w:val="18"/>
                <w:lang w:val="en-PH" w:eastAsia="en-PH"/>
              </w:rPr>
              <w:t>Brgy. Salvacion, La Loma, Quezon City</w:t>
            </w:r>
          </w:p>
        </w:tc>
        <w:tc>
          <w:tcPr>
            <w:tcW w:w="1716" w:type="dxa"/>
            <w:vAlign w:val="bottom"/>
          </w:tcPr>
          <w:p w14:paraId="5665A225" w14:textId="4D40855C" w:rsidR="00192145" w:rsidRPr="009E35ED" w:rsidRDefault="00192145" w:rsidP="00192145">
            <w:pPr>
              <w:pStyle w:val="BodyTextIndent2"/>
              <w:ind w:left="-82" w:right="-110"/>
              <w:jc w:val="right"/>
              <w:rPr>
                <w:rFonts w:ascii="Arial Narrow" w:hAnsi="Arial Narrow" w:cs="Arial"/>
                <w:color w:val="000000" w:themeColor="text1"/>
                <w:sz w:val="18"/>
                <w:szCs w:val="18"/>
              </w:rPr>
            </w:pPr>
            <w:r w:rsidRPr="009E35ED">
              <w:rPr>
                <w:rFonts w:ascii="Arial Narrow" w:hAnsi="Arial Narrow" w:cs="Arial"/>
                <w:color w:val="000000" w:themeColor="text1"/>
                <w:sz w:val="18"/>
                <w:szCs w:val="18"/>
                <w:lang w:val="en-PH" w:eastAsia="en-PH"/>
              </w:rPr>
              <w:t>21,360,000</w:t>
            </w:r>
          </w:p>
        </w:tc>
      </w:tr>
      <w:tr w:rsidR="00997F75" w:rsidRPr="009E35ED" w14:paraId="34C3CDEC" w14:textId="77777777" w:rsidTr="00192145">
        <w:trPr>
          <w:trHeight w:hRule="exact" w:val="261"/>
        </w:trPr>
        <w:tc>
          <w:tcPr>
            <w:tcW w:w="4721" w:type="dxa"/>
            <w:vAlign w:val="bottom"/>
          </w:tcPr>
          <w:p w14:paraId="117AF6F4" w14:textId="77777777" w:rsidR="00192145" w:rsidRPr="009E35ED" w:rsidRDefault="00192145" w:rsidP="00192145">
            <w:pPr>
              <w:pStyle w:val="BodyTextIndent2"/>
              <w:ind w:left="-130" w:firstLine="22"/>
              <w:rPr>
                <w:rFonts w:ascii="Arial Narrow" w:hAnsi="Arial Narrow" w:cs="Arial"/>
                <w:color w:val="000000" w:themeColor="text1"/>
                <w:sz w:val="18"/>
                <w:szCs w:val="18"/>
              </w:rPr>
            </w:pPr>
            <w:r w:rsidRPr="009E35ED">
              <w:rPr>
                <w:rFonts w:ascii="Arial Narrow" w:hAnsi="Arial Narrow" w:cs="Arial"/>
                <w:color w:val="000000" w:themeColor="text1"/>
                <w:sz w:val="18"/>
                <w:szCs w:val="18"/>
                <w:lang w:val="en-PH" w:eastAsia="en-PH"/>
              </w:rPr>
              <w:t>Tigbe, Norzagaray, Bulacan</w:t>
            </w:r>
          </w:p>
        </w:tc>
        <w:tc>
          <w:tcPr>
            <w:tcW w:w="1716" w:type="dxa"/>
            <w:vAlign w:val="bottom"/>
          </w:tcPr>
          <w:p w14:paraId="35609621" w14:textId="7A2C88C5" w:rsidR="00192145" w:rsidRPr="009E35ED" w:rsidRDefault="00192145" w:rsidP="00192145">
            <w:pPr>
              <w:pStyle w:val="BodyTextIndent2"/>
              <w:ind w:left="-82" w:right="-110"/>
              <w:jc w:val="right"/>
              <w:rPr>
                <w:rFonts w:ascii="Arial Narrow" w:hAnsi="Arial Narrow" w:cs="Arial"/>
                <w:color w:val="000000" w:themeColor="text1"/>
                <w:sz w:val="18"/>
                <w:szCs w:val="18"/>
              </w:rPr>
            </w:pPr>
            <w:r w:rsidRPr="009E35ED">
              <w:rPr>
                <w:rFonts w:ascii="Arial Narrow" w:hAnsi="Arial Narrow" w:cs="Arial"/>
                <w:color w:val="000000" w:themeColor="text1"/>
                <w:sz w:val="18"/>
                <w:szCs w:val="18"/>
                <w:lang w:val="en-PH" w:eastAsia="en-PH"/>
              </w:rPr>
              <w:t xml:space="preserve">  1,152,000</w:t>
            </w:r>
          </w:p>
        </w:tc>
      </w:tr>
      <w:tr w:rsidR="00997F75" w:rsidRPr="009E35ED" w14:paraId="1A992477" w14:textId="77777777" w:rsidTr="00192145">
        <w:trPr>
          <w:trHeight w:hRule="exact" w:val="261"/>
        </w:trPr>
        <w:tc>
          <w:tcPr>
            <w:tcW w:w="4721" w:type="dxa"/>
            <w:vAlign w:val="bottom"/>
          </w:tcPr>
          <w:p w14:paraId="56BFB5BE" w14:textId="77777777" w:rsidR="00192145" w:rsidRPr="009E35ED" w:rsidRDefault="00192145" w:rsidP="00192145">
            <w:pPr>
              <w:pStyle w:val="BodyTextIndent2"/>
              <w:ind w:left="-108"/>
              <w:rPr>
                <w:rFonts w:ascii="Arial Narrow" w:hAnsi="Arial Narrow" w:cs="Arial"/>
                <w:color w:val="000000" w:themeColor="text1"/>
                <w:sz w:val="18"/>
                <w:szCs w:val="18"/>
              </w:rPr>
            </w:pPr>
            <w:r w:rsidRPr="009E35ED">
              <w:rPr>
                <w:rFonts w:ascii="Arial Narrow" w:hAnsi="Arial Narrow" w:cs="Arial"/>
                <w:color w:val="000000" w:themeColor="text1"/>
                <w:sz w:val="18"/>
                <w:szCs w:val="18"/>
                <w:lang w:val="en-PH" w:eastAsia="en-PH"/>
              </w:rPr>
              <w:t>Brgy. Pabanlag, Floridablanca, Pampanga</w:t>
            </w:r>
          </w:p>
        </w:tc>
        <w:tc>
          <w:tcPr>
            <w:tcW w:w="1716" w:type="dxa"/>
            <w:vAlign w:val="bottom"/>
          </w:tcPr>
          <w:p w14:paraId="13AC2027" w14:textId="508D02D3" w:rsidR="00192145" w:rsidRPr="009E35ED" w:rsidRDefault="00192145" w:rsidP="00192145">
            <w:pPr>
              <w:pStyle w:val="BodyTextIndent2"/>
              <w:ind w:left="-82" w:right="-110"/>
              <w:jc w:val="right"/>
              <w:rPr>
                <w:rFonts w:ascii="Arial Narrow" w:hAnsi="Arial Narrow" w:cs="Arial"/>
                <w:color w:val="000000" w:themeColor="text1"/>
                <w:sz w:val="18"/>
                <w:szCs w:val="18"/>
              </w:rPr>
            </w:pPr>
            <w:r w:rsidRPr="009E35ED">
              <w:rPr>
                <w:rFonts w:ascii="Arial Narrow" w:hAnsi="Arial Narrow" w:cs="Arial"/>
                <w:color w:val="000000" w:themeColor="text1"/>
                <w:sz w:val="18"/>
                <w:szCs w:val="18"/>
                <w:lang w:val="en-PH" w:eastAsia="en-PH"/>
              </w:rPr>
              <w:t>79,055,000</w:t>
            </w:r>
          </w:p>
        </w:tc>
      </w:tr>
      <w:tr w:rsidR="00997F75" w:rsidRPr="009E35ED" w14:paraId="2EE0AFCC" w14:textId="77777777" w:rsidTr="00192145">
        <w:trPr>
          <w:trHeight w:hRule="exact" w:val="261"/>
        </w:trPr>
        <w:tc>
          <w:tcPr>
            <w:tcW w:w="4721" w:type="dxa"/>
            <w:vAlign w:val="bottom"/>
          </w:tcPr>
          <w:p w14:paraId="0018A82D" w14:textId="77777777" w:rsidR="00192145" w:rsidRPr="009E35ED" w:rsidRDefault="00192145" w:rsidP="00192145">
            <w:pPr>
              <w:pStyle w:val="BodyTextIndent2"/>
              <w:ind w:left="-108"/>
              <w:rPr>
                <w:rFonts w:ascii="Arial Narrow" w:hAnsi="Arial Narrow" w:cs="Arial"/>
                <w:color w:val="000000" w:themeColor="text1"/>
                <w:sz w:val="18"/>
                <w:szCs w:val="18"/>
              </w:rPr>
            </w:pPr>
            <w:r w:rsidRPr="009E35ED">
              <w:rPr>
                <w:rFonts w:ascii="Arial Narrow" w:hAnsi="Arial Narrow" w:cs="Arial"/>
                <w:color w:val="000000" w:themeColor="text1"/>
                <w:sz w:val="18"/>
                <w:szCs w:val="18"/>
                <w:lang w:val="en-PH" w:eastAsia="en-PH"/>
              </w:rPr>
              <w:t>Brgy. Kataasan, Dinalupihan, Bataan</w:t>
            </w:r>
          </w:p>
        </w:tc>
        <w:tc>
          <w:tcPr>
            <w:tcW w:w="1716" w:type="dxa"/>
            <w:vAlign w:val="bottom"/>
          </w:tcPr>
          <w:p w14:paraId="4CF869A3" w14:textId="77777777" w:rsidR="00192145" w:rsidRPr="009E35ED" w:rsidRDefault="00192145" w:rsidP="00192145">
            <w:pPr>
              <w:pStyle w:val="BodyTextIndent2"/>
              <w:ind w:left="-82" w:right="-110"/>
              <w:jc w:val="right"/>
              <w:rPr>
                <w:rFonts w:ascii="Arial Narrow" w:hAnsi="Arial Narrow" w:cs="Arial"/>
                <w:color w:val="000000" w:themeColor="text1"/>
                <w:sz w:val="18"/>
                <w:szCs w:val="18"/>
              </w:rPr>
            </w:pPr>
            <w:r w:rsidRPr="009E35ED">
              <w:rPr>
                <w:rFonts w:ascii="Arial Narrow" w:hAnsi="Arial Narrow" w:cs="Arial"/>
                <w:color w:val="000000" w:themeColor="text1"/>
                <w:sz w:val="18"/>
                <w:szCs w:val="18"/>
                <w:lang w:val="en-PH" w:eastAsia="en-PH"/>
              </w:rPr>
              <w:t>238,000</w:t>
            </w:r>
          </w:p>
        </w:tc>
      </w:tr>
      <w:tr w:rsidR="00997F75" w:rsidRPr="009E35ED" w14:paraId="61DA6996" w14:textId="77777777" w:rsidTr="00192145">
        <w:trPr>
          <w:trHeight w:hRule="exact" w:val="261"/>
        </w:trPr>
        <w:tc>
          <w:tcPr>
            <w:tcW w:w="4721" w:type="dxa"/>
            <w:vAlign w:val="bottom"/>
          </w:tcPr>
          <w:p w14:paraId="7CC4F175" w14:textId="77777777" w:rsidR="00192145" w:rsidRPr="009E35ED" w:rsidRDefault="00192145" w:rsidP="00192145">
            <w:pPr>
              <w:pStyle w:val="BodyTextIndent2"/>
              <w:ind w:left="-108"/>
              <w:rPr>
                <w:rFonts w:ascii="Arial Narrow" w:hAnsi="Arial Narrow" w:cs="Arial"/>
                <w:color w:val="000000" w:themeColor="text1"/>
                <w:sz w:val="18"/>
                <w:szCs w:val="18"/>
              </w:rPr>
            </w:pPr>
            <w:r w:rsidRPr="009E35ED">
              <w:rPr>
                <w:rFonts w:ascii="Arial Narrow" w:hAnsi="Arial Narrow" w:cs="Arial"/>
                <w:color w:val="000000" w:themeColor="text1"/>
                <w:sz w:val="18"/>
                <w:szCs w:val="18"/>
                <w:lang w:val="en-PH" w:eastAsia="en-PH"/>
              </w:rPr>
              <w:t>Brgy. Pagalanggang, Dinalupihan, Bataan</w:t>
            </w:r>
          </w:p>
        </w:tc>
        <w:tc>
          <w:tcPr>
            <w:tcW w:w="1716" w:type="dxa"/>
            <w:vAlign w:val="bottom"/>
          </w:tcPr>
          <w:p w14:paraId="2A70193B" w14:textId="2C601B5C" w:rsidR="00192145" w:rsidRPr="009E35ED" w:rsidRDefault="00192145" w:rsidP="00192145">
            <w:pPr>
              <w:pStyle w:val="BodyTextIndent2"/>
              <w:ind w:left="-82" w:right="-110"/>
              <w:jc w:val="right"/>
              <w:rPr>
                <w:rFonts w:ascii="Arial Narrow" w:hAnsi="Arial Narrow" w:cs="Arial"/>
                <w:color w:val="000000" w:themeColor="text1"/>
                <w:sz w:val="18"/>
                <w:szCs w:val="18"/>
              </w:rPr>
            </w:pPr>
            <w:r w:rsidRPr="009E35ED">
              <w:rPr>
                <w:rFonts w:ascii="Arial Narrow" w:hAnsi="Arial Narrow" w:cs="Arial"/>
                <w:color w:val="000000" w:themeColor="text1"/>
                <w:sz w:val="18"/>
                <w:szCs w:val="18"/>
                <w:lang w:val="en-PH" w:eastAsia="en-PH"/>
              </w:rPr>
              <w:t>941,000</w:t>
            </w:r>
          </w:p>
        </w:tc>
      </w:tr>
      <w:tr w:rsidR="00997F75" w:rsidRPr="009E35ED" w14:paraId="0F0D03FF" w14:textId="77777777" w:rsidTr="00192145">
        <w:trPr>
          <w:trHeight w:hRule="exact" w:val="261"/>
        </w:trPr>
        <w:tc>
          <w:tcPr>
            <w:tcW w:w="4721" w:type="dxa"/>
            <w:vAlign w:val="bottom"/>
          </w:tcPr>
          <w:p w14:paraId="13119D73" w14:textId="77777777" w:rsidR="00192145" w:rsidRPr="009E35ED" w:rsidRDefault="00192145" w:rsidP="00192145">
            <w:pPr>
              <w:pStyle w:val="BodyTextIndent2"/>
              <w:ind w:left="-108"/>
              <w:rPr>
                <w:rFonts w:ascii="Arial Narrow" w:hAnsi="Arial Narrow" w:cs="Arial"/>
                <w:color w:val="000000" w:themeColor="text1"/>
                <w:sz w:val="18"/>
                <w:szCs w:val="18"/>
              </w:rPr>
            </w:pPr>
            <w:r w:rsidRPr="009E35ED">
              <w:rPr>
                <w:rFonts w:ascii="Arial Narrow" w:hAnsi="Arial Narrow" w:cs="Arial"/>
                <w:color w:val="000000" w:themeColor="text1"/>
                <w:sz w:val="18"/>
                <w:szCs w:val="18"/>
                <w:lang w:val="en-PH" w:eastAsia="en-PH"/>
              </w:rPr>
              <w:t>Brgy. Sto. Domingo, Capas, Tarlac (net)</w:t>
            </w:r>
          </w:p>
        </w:tc>
        <w:tc>
          <w:tcPr>
            <w:tcW w:w="1716" w:type="dxa"/>
            <w:vAlign w:val="bottom"/>
          </w:tcPr>
          <w:p w14:paraId="25D20538" w14:textId="77777777" w:rsidR="00192145" w:rsidRPr="009E35ED" w:rsidRDefault="00192145" w:rsidP="00192145">
            <w:pPr>
              <w:pStyle w:val="BodyTextIndent2"/>
              <w:ind w:left="-82" w:right="-110"/>
              <w:jc w:val="right"/>
              <w:rPr>
                <w:rFonts w:ascii="Arial Narrow" w:hAnsi="Arial Narrow" w:cs="Arial"/>
                <w:color w:val="000000" w:themeColor="text1"/>
                <w:sz w:val="18"/>
                <w:szCs w:val="18"/>
              </w:rPr>
            </w:pPr>
            <w:r w:rsidRPr="009E35ED">
              <w:rPr>
                <w:rFonts w:ascii="Arial Narrow" w:hAnsi="Arial Narrow" w:cs="Arial"/>
                <w:color w:val="000000" w:themeColor="text1"/>
                <w:sz w:val="18"/>
                <w:szCs w:val="18"/>
                <w:lang w:val="en-PH" w:eastAsia="en-PH"/>
              </w:rPr>
              <w:t>3,861,000</w:t>
            </w:r>
          </w:p>
        </w:tc>
      </w:tr>
      <w:tr w:rsidR="00997F75" w:rsidRPr="009E35ED" w14:paraId="69D3FCC7" w14:textId="77777777" w:rsidTr="00192145">
        <w:trPr>
          <w:trHeight w:hRule="exact" w:val="261"/>
        </w:trPr>
        <w:tc>
          <w:tcPr>
            <w:tcW w:w="4721" w:type="dxa"/>
            <w:vAlign w:val="bottom"/>
          </w:tcPr>
          <w:p w14:paraId="015F0FF4" w14:textId="77777777" w:rsidR="00192145" w:rsidRPr="009E35ED" w:rsidRDefault="00192145" w:rsidP="00192145">
            <w:pPr>
              <w:pStyle w:val="BodyTextIndent2"/>
              <w:ind w:left="-108"/>
              <w:rPr>
                <w:rFonts w:ascii="Arial Narrow" w:hAnsi="Arial Narrow" w:cs="Arial"/>
                <w:color w:val="000000" w:themeColor="text1"/>
                <w:sz w:val="18"/>
                <w:szCs w:val="18"/>
              </w:rPr>
            </w:pPr>
            <w:r w:rsidRPr="009E35ED">
              <w:rPr>
                <w:rFonts w:ascii="Arial Narrow" w:hAnsi="Arial Narrow" w:cs="Arial"/>
                <w:color w:val="000000" w:themeColor="text1"/>
                <w:sz w:val="18"/>
                <w:szCs w:val="18"/>
                <w:lang w:val="en-PH" w:eastAsia="en-PH"/>
              </w:rPr>
              <w:t>Brgy. Tibag, Tarlac City</w:t>
            </w:r>
          </w:p>
        </w:tc>
        <w:tc>
          <w:tcPr>
            <w:tcW w:w="1716" w:type="dxa"/>
            <w:vAlign w:val="bottom"/>
          </w:tcPr>
          <w:p w14:paraId="36F3AD9A" w14:textId="597D8C28" w:rsidR="00192145" w:rsidRPr="009E35ED" w:rsidRDefault="00192145" w:rsidP="00192145">
            <w:pPr>
              <w:pStyle w:val="BodyTextIndent2"/>
              <w:ind w:left="-82" w:right="-110"/>
              <w:jc w:val="right"/>
              <w:rPr>
                <w:rFonts w:ascii="Arial Narrow" w:hAnsi="Arial Narrow" w:cs="Arial"/>
                <w:color w:val="000000" w:themeColor="text1"/>
                <w:sz w:val="18"/>
                <w:szCs w:val="18"/>
              </w:rPr>
            </w:pPr>
            <w:r w:rsidRPr="009E35ED">
              <w:rPr>
                <w:rFonts w:ascii="Arial Narrow" w:hAnsi="Arial Narrow" w:cs="Arial"/>
                <w:color w:val="000000" w:themeColor="text1"/>
                <w:sz w:val="18"/>
                <w:szCs w:val="18"/>
                <w:lang w:val="en-PH" w:eastAsia="en-PH"/>
              </w:rPr>
              <w:t>14,078,000</w:t>
            </w:r>
          </w:p>
        </w:tc>
      </w:tr>
      <w:tr w:rsidR="00997F75" w:rsidRPr="009E35ED" w14:paraId="7FD3AE03" w14:textId="77777777" w:rsidTr="00192145">
        <w:trPr>
          <w:trHeight w:hRule="exact" w:val="261"/>
        </w:trPr>
        <w:tc>
          <w:tcPr>
            <w:tcW w:w="4721" w:type="dxa"/>
            <w:vAlign w:val="bottom"/>
          </w:tcPr>
          <w:p w14:paraId="049541A7" w14:textId="77777777" w:rsidR="00192145" w:rsidRPr="009E35ED" w:rsidRDefault="00192145" w:rsidP="00192145">
            <w:pPr>
              <w:pStyle w:val="BodyTextIndent2"/>
              <w:ind w:left="-108"/>
              <w:rPr>
                <w:rFonts w:ascii="Arial Narrow" w:hAnsi="Arial Narrow" w:cs="Arial"/>
                <w:color w:val="000000" w:themeColor="text1"/>
                <w:sz w:val="18"/>
                <w:szCs w:val="18"/>
              </w:rPr>
            </w:pPr>
            <w:r w:rsidRPr="009E35ED">
              <w:rPr>
                <w:rFonts w:ascii="Arial Narrow" w:hAnsi="Arial Narrow" w:cs="Arial"/>
                <w:color w:val="000000" w:themeColor="text1"/>
                <w:sz w:val="18"/>
                <w:szCs w:val="18"/>
                <w:lang w:val="en-PH" w:eastAsia="en-PH"/>
              </w:rPr>
              <w:t>Maliwalo, Tarlac City</w:t>
            </w:r>
          </w:p>
        </w:tc>
        <w:tc>
          <w:tcPr>
            <w:tcW w:w="1716" w:type="dxa"/>
            <w:vAlign w:val="bottom"/>
          </w:tcPr>
          <w:p w14:paraId="6D045199" w14:textId="73AD1448" w:rsidR="00192145" w:rsidRPr="009E35ED" w:rsidRDefault="00192145" w:rsidP="00192145">
            <w:pPr>
              <w:pStyle w:val="BodyTextIndent2"/>
              <w:ind w:left="-82" w:right="-110"/>
              <w:jc w:val="right"/>
              <w:rPr>
                <w:rFonts w:ascii="Arial Narrow" w:hAnsi="Arial Narrow" w:cs="Arial"/>
                <w:color w:val="000000" w:themeColor="text1"/>
                <w:sz w:val="18"/>
                <w:szCs w:val="18"/>
              </w:rPr>
            </w:pPr>
            <w:r w:rsidRPr="009E35ED">
              <w:rPr>
                <w:rFonts w:ascii="Arial Narrow" w:hAnsi="Arial Narrow" w:cs="Arial"/>
                <w:color w:val="000000" w:themeColor="text1"/>
                <w:sz w:val="18"/>
                <w:szCs w:val="18"/>
                <w:lang w:val="en-PH" w:eastAsia="en-PH"/>
              </w:rPr>
              <w:t>1,080,000</w:t>
            </w:r>
          </w:p>
        </w:tc>
      </w:tr>
      <w:tr w:rsidR="00997F75" w:rsidRPr="009E35ED" w14:paraId="62D6C314" w14:textId="77777777" w:rsidTr="00192145">
        <w:trPr>
          <w:trHeight w:hRule="exact" w:val="261"/>
        </w:trPr>
        <w:tc>
          <w:tcPr>
            <w:tcW w:w="4721" w:type="dxa"/>
            <w:vAlign w:val="bottom"/>
          </w:tcPr>
          <w:p w14:paraId="76C7A851" w14:textId="77777777" w:rsidR="00192145" w:rsidRPr="009E35ED" w:rsidRDefault="00192145" w:rsidP="00192145">
            <w:pPr>
              <w:pStyle w:val="BodyTextIndent2"/>
              <w:ind w:left="-108"/>
              <w:rPr>
                <w:rFonts w:ascii="Arial Narrow" w:hAnsi="Arial Narrow" w:cs="Arial"/>
                <w:color w:val="000000" w:themeColor="text1"/>
                <w:sz w:val="18"/>
                <w:szCs w:val="18"/>
              </w:rPr>
            </w:pPr>
            <w:r w:rsidRPr="009E35ED">
              <w:rPr>
                <w:rFonts w:ascii="Arial Narrow" w:hAnsi="Arial Narrow" w:cs="Arial"/>
                <w:color w:val="000000" w:themeColor="text1"/>
                <w:sz w:val="18"/>
                <w:szCs w:val="18"/>
                <w:lang w:val="en-PH" w:eastAsia="en-PH"/>
              </w:rPr>
              <w:t>Brgy. Maginoo, Gapan, Nueva Ecija</w:t>
            </w:r>
          </w:p>
        </w:tc>
        <w:tc>
          <w:tcPr>
            <w:tcW w:w="1716" w:type="dxa"/>
            <w:vAlign w:val="bottom"/>
          </w:tcPr>
          <w:p w14:paraId="649115BF" w14:textId="56A82AA0" w:rsidR="00192145" w:rsidRPr="009E35ED" w:rsidRDefault="00192145" w:rsidP="00192145">
            <w:pPr>
              <w:pStyle w:val="BodyTextIndent2"/>
              <w:ind w:left="-82" w:right="-110"/>
              <w:jc w:val="right"/>
              <w:rPr>
                <w:rFonts w:ascii="Arial Narrow" w:hAnsi="Arial Narrow" w:cs="Arial"/>
                <w:color w:val="000000" w:themeColor="text1"/>
                <w:sz w:val="18"/>
                <w:szCs w:val="18"/>
              </w:rPr>
            </w:pPr>
            <w:r w:rsidRPr="009E35ED">
              <w:rPr>
                <w:rFonts w:ascii="Arial Narrow" w:hAnsi="Arial Narrow" w:cs="Arial"/>
                <w:color w:val="000000" w:themeColor="text1"/>
                <w:sz w:val="18"/>
                <w:szCs w:val="18"/>
                <w:lang w:val="en-PH" w:eastAsia="en-PH"/>
              </w:rPr>
              <w:t>789,000</w:t>
            </w:r>
          </w:p>
        </w:tc>
      </w:tr>
      <w:tr w:rsidR="00997F75" w:rsidRPr="009E35ED" w14:paraId="4CD330D9" w14:textId="77777777" w:rsidTr="00192145">
        <w:trPr>
          <w:trHeight w:hRule="exact" w:val="261"/>
        </w:trPr>
        <w:tc>
          <w:tcPr>
            <w:tcW w:w="4721" w:type="dxa"/>
            <w:vAlign w:val="bottom"/>
          </w:tcPr>
          <w:p w14:paraId="6406CC6D" w14:textId="77777777" w:rsidR="00192145" w:rsidRPr="009E35ED" w:rsidRDefault="00192145" w:rsidP="00192145">
            <w:pPr>
              <w:pStyle w:val="BodyTextIndent2"/>
              <w:ind w:left="-108"/>
              <w:rPr>
                <w:rFonts w:ascii="Arial Narrow" w:hAnsi="Arial Narrow" w:cs="Arial"/>
                <w:color w:val="000000" w:themeColor="text1"/>
                <w:sz w:val="18"/>
                <w:szCs w:val="18"/>
              </w:rPr>
            </w:pPr>
            <w:r w:rsidRPr="009E35ED">
              <w:rPr>
                <w:rFonts w:ascii="Arial Narrow" w:hAnsi="Arial Narrow" w:cs="Arial"/>
                <w:color w:val="000000" w:themeColor="text1"/>
                <w:sz w:val="18"/>
                <w:szCs w:val="18"/>
                <w:lang w:val="en-PH" w:eastAsia="en-PH"/>
              </w:rPr>
              <w:t>Brgy. Sangitan West, Cabanatuan, Nueva Ecija</w:t>
            </w:r>
          </w:p>
        </w:tc>
        <w:tc>
          <w:tcPr>
            <w:tcW w:w="1716" w:type="dxa"/>
            <w:vAlign w:val="bottom"/>
          </w:tcPr>
          <w:p w14:paraId="73DD5C98" w14:textId="1C633A10" w:rsidR="00192145" w:rsidRPr="009E35ED" w:rsidRDefault="00192145" w:rsidP="00192145">
            <w:pPr>
              <w:pStyle w:val="BodyTextIndent2"/>
              <w:ind w:left="-82" w:right="-110"/>
              <w:jc w:val="right"/>
              <w:rPr>
                <w:rFonts w:ascii="Arial Narrow" w:hAnsi="Arial Narrow" w:cs="Arial"/>
                <w:color w:val="000000" w:themeColor="text1"/>
                <w:sz w:val="18"/>
                <w:szCs w:val="18"/>
              </w:rPr>
            </w:pPr>
            <w:r w:rsidRPr="009E35ED">
              <w:rPr>
                <w:rFonts w:ascii="Arial Narrow" w:hAnsi="Arial Narrow" w:cs="Arial"/>
                <w:color w:val="000000" w:themeColor="text1"/>
                <w:sz w:val="18"/>
                <w:szCs w:val="18"/>
                <w:lang w:val="en-PH" w:eastAsia="en-PH"/>
              </w:rPr>
              <w:t>793,000</w:t>
            </w:r>
          </w:p>
        </w:tc>
      </w:tr>
      <w:tr w:rsidR="00997F75" w:rsidRPr="009E35ED" w14:paraId="5B1B20EC" w14:textId="77777777" w:rsidTr="00192145">
        <w:trPr>
          <w:trHeight w:hRule="exact" w:val="261"/>
        </w:trPr>
        <w:tc>
          <w:tcPr>
            <w:tcW w:w="4721" w:type="dxa"/>
            <w:vAlign w:val="bottom"/>
          </w:tcPr>
          <w:p w14:paraId="5D05D317" w14:textId="77777777" w:rsidR="00192145" w:rsidRPr="009E35ED" w:rsidRDefault="00192145" w:rsidP="00192145">
            <w:pPr>
              <w:pStyle w:val="BodyTextIndent2"/>
              <w:ind w:left="-108"/>
              <w:rPr>
                <w:rFonts w:ascii="Arial Narrow" w:hAnsi="Arial Narrow" w:cs="Arial"/>
                <w:color w:val="000000" w:themeColor="text1"/>
                <w:sz w:val="18"/>
                <w:szCs w:val="18"/>
              </w:rPr>
            </w:pPr>
            <w:r w:rsidRPr="009E35ED">
              <w:rPr>
                <w:rFonts w:ascii="Arial Narrow" w:hAnsi="Arial Narrow" w:cs="Arial"/>
                <w:color w:val="000000" w:themeColor="text1"/>
                <w:sz w:val="18"/>
                <w:szCs w:val="18"/>
                <w:lang w:val="en-PH" w:eastAsia="en-PH"/>
              </w:rPr>
              <w:t>Peñafrancia Hills Subd, Brgy. Cupang, Antipolo City</w:t>
            </w:r>
          </w:p>
        </w:tc>
        <w:tc>
          <w:tcPr>
            <w:tcW w:w="1716" w:type="dxa"/>
            <w:vAlign w:val="bottom"/>
          </w:tcPr>
          <w:p w14:paraId="43800687" w14:textId="790E6428" w:rsidR="00192145" w:rsidRPr="009E35ED" w:rsidRDefault="00192145" w:rsidP="00192145">
            <w:pPr>
              <w:pStyle w:val="BodyTextIndent2"/>
              <w:ind w:left="-82" w:right="-110"/>
              <w:jc w:val="right"/>
              <w:rPr>
                <w:rFonts w:ascii="Arial Narrow" w:hAnsi="Arial Narrow" w:cs="Arial"/>
                <w:color w:val="000000" w:themeColor="text1"/>
                <w:sz w:val="18"/>
                <w:szCs w:val="18"/>
              </w:rPr>
            </w:pPr>
            <w:r w:rsidRPr="009E35ED">
              <w:rPr>
                <w:rFonts w:ascii="Arial Narrow" w:hAnsi="Arial Narrow" w:cs="Arial"/>
                <w:color w:val="000000" w:themeColor="text1"/>
                <w:sz w:val="18"/>
                <w:szCs w:val="18"/>
                <w:lang w:val="en-PH" w:eastAsia="en-PH"/>
              </w:rPr>
              <w:t>1,587,000</w:t>
            </w:r>
          </w:p>
        </w:tc>
      </w:tr>
      <w:tr w:rsidR="00997F75" w:rsidRPr="009E35ED" w14:paraId="74CE0FFA" w14:textId="77777777" w:rsidTr="00192145">
        <w:trPr>
          <w:trHeight w:hRule="exact" w:val="261"/>
        </w:trPr>
        <w:tc>
          <w:tcPr>
            <w:tcW w:w="4721" w:type="dxa"/>
            <w:vAlign w:val="bottom"/>
          </w:tcPr>
          <w:p w14:paraId="3ACADFE4" w14:textId="77777777" w:rsidR="00192145" w:rsidRPr="009E35ED" w:rsidRDefault="00192145" w:rsidP="00192145">
            <w:pPr>
              <w:pStyle w:val="BodyTextIndent2"/>
              <w:ind w:left="-108"/>
              <w:rPr>
                <w:rFonts w:ascii="Arial Narrow" w:hAnsi="Arial Narrow" w:cs="Arial"/>
                <w:color w:val="000000" w:themeColor="text1"/>
                <w:sz w:val="18"/>
                <w:szCs w:val="18"/>
              </w:rPr>
            </w:pPr>
            <w:r w:rsidRPr="009E35ED">
              <w:rPr>
                <w:rFonts w:ascii="Arial Narrow" w:hAnsi="Arial Narrow" w:cs="Arial"/>
                <w:color w:val="000000" w:themeColor="text1"/>
                <w:sz w:val="18"/>
                <w:szCs w:val="18"/>
                <w:lang w:val="en-PH" w:eastAsia="en-PH"/>
              </w:rPr>
              <w:t>Brgy. San Isidro, Taytay, Rizal</w:t>
            </w:r>
          </w:p>
        </w:tc>
        <w:tc>
          <w:tcPr>
            <w:tcW w:w="1716" w:type="dxa"/>
            <w:vAlign w:val="bottom"/>
          </w:tcPr>
          <w:p w14:paraId="13FC05B9" w14:textId="6407E640" w:rsidR="00192145" w:rsidRPr="009E35ED" w:rsidRDefault="00192145" w:rsidP="00192145">
            <w:pPr>
              <w:pStyle w:val="BodyTextIndent2"/>
              <w:ind w:left="-82" w:right="-110"/>
              <w:jc w:val="right"/>
              <w:rPr>
                <w:rFonts w:ascii="Arial Narrow" w:hAnsi="Arial Narrow" w:cs="Arial"/>
                <w:color w:val="000000" w:themeColor="text1"/>
                <w:sz w:val="18"/>
                <w:szCs w:val="18"/>
              </w:rPr>
            </w:pPr>
            <w:r w:rsidRPr="009E35ED">
              <w:rPr>
                <w:rFonts w:ascii="Arial Narrow" w:hAnsi="Arial Narrow" w:cs="Arial"/>
                <w:color w:val="000000" w:themeColor="text1"/>
                <w:sz w:val="18"/>
                <w:szCs w:val="18"/>
                <w:lang w:val="en-PH" w:eastAsia="en-PH"/>
              </w:rPr>
              <w:t>187,315,000</w:t>
            </w:r>
          </w:p>
        </w:tc>
      </w:tr>
      <w:tr w:rsidR="00997F75" w:rsidRPr="009E35ED" w14:paraId="01F307DD" w14:textId="77777777" w:rsidTr="00192145">
        <w:trPr>
          <w:trHeight w:hRule="exact" w:val="261"/>
        </w:trPr>
        <w:tc>
          <w:tcPr>
            <w:tcW w:w="4721" w:type="dxa"/>
            <w:vAlign w:val="bottom"/>
          </w:tcPr>
          <w:p w14:paraId="2047D4AC" w14:textId="77777777" w:rsidR="00192145" w:rsidRPr="009E35ED" w:rsidRDefault="00192145" w:rsidP="00192145">
            <w:pPr>
              <w:pStyle w:val="BodyTextIndent2"/>
              <w:ind w:left="-108"/>
              <w:rPr>
                <w:rFonts w:ascii="Arial Narrow" w:hAnsi="Arial Narrow" w:cs="Arial"/>
                <w:color w:val="000000" w:themeColor="text1"/>
                <w:sz w:val="18"/>
                <w:szCs w:val="18"/>
              </w:rPr>
            </w:pPr>
            <w:r w:rsidRPr="009E35ED">
              <w:rPr>
                <w:rFonts w:ascii="Arial Narrow" w:hAnsi="Arial Narrow" w:cs="Arial"/>
                <w:color w:val="000000" w:themeColor="text1"/>
                <w:sz w:val="18"/>
                <w:szCs w:val="18"/>
                <w:lang w:val="en-PH" w:eastAsia="en-PH"/>
              </w:rPr>
              <w:t>Brgy. San Roque, Antipolo City</w:t>
            </w:r>
          </w:p>
        </w:tc>
        <w:tc>
          <w:tcPr>
            <w:tcW w:w="1716" w:type="dxa"/>
            <w:vAlign w:val="bottom"/>
          </w:tcPr>
          <w:p w14:paraId="7EB67EDB" w14:textId="5060C56A" w:rsidR="00192145" w:rsidRPr="009E35ED" w:rsidRDefault="00192145" w:rsidP="00192145">
            <w:pPr>
              <w:pStyle w:val="BodyTextIndent2"/>
              <w:ind w:left="-82" w:right="-110"/>
              <w:jc w:val="right"/>
              <w:rPr>
                <w:rFonts w:ascii="Arial Narrow" w:hAnsi="Arial Narrow" w:cs="Arial"/>
                <w:color w:val="000000" w:themeColor="text1"/>
                <w:sz w:val="18"/>
                <w:szCs w:val="18"/>
              </w:rPr>
            </w:pPr>
            <w:r w:rsidRPr="009E35ED">
              <w:rPr>
                <w:rFonts w:ascii="Arial Narrow" w:hAnsi="Arial Narrow" w:cs="Arial"/>
                <w:color w:val="000000" w:themeColor="text1"/>
                <w:sz w:val="18"/>
                <w:szCs w:val="18"/>
                <w:lang w:val="en-PH" w:eastAsia="en-PH"/>
              </w:rPr>
              <w:t>111,206,000</w:t>
            </w:r>
          </w:p>
        </w:tc>
      </w:tr>
      <w:tr w:rsidR="00997F75" w:rsidRPr="009E35ED" w14:paraId="20785E3C" w14:textId="77777777" w:rsidTr="00192145">
        <w:trPr>
          <w:trHeight w:hRule="exact" w:val="261"/>
        </w:trPr>
        <w:tc>
          <w:tcPr>
            <w:tcW w:w="4721" w:type="dxa"/>
            <w:vAlign w:val="bottom"/>
          </w:tcPr>
          <w:p w14:paraId="63816394" w14:textId="77777777" w:rsidR="00192145" w:rsidRPr="009E35ED" w:rsidRDefault="00192145" w:rsidP="00192145">
            <w:pPr>
              <w:pStyle w:val="BodyTextIndent2"/>
              <w:ind w:left="-108"/>
              <w:rPr>
                <w:rFonts w:ascii="Arial Narrow" w:hAnsi="Arial Narrow" w:cs="Arial"/>
                <w:color w:val="000000" w:themeColor="text1"/>
                <w:sz w:val="18"/>
                <w:szCs w:val="18"/>
              </w:rPr>
            </w:pPr>
            <w:r w:rsidRPr="009E35ED">
              <w:rPr>
                <w:rFonts w:ascii="Arial Narrow" w:hAnsi="Arial Narrow" w:cs="Arial"/>
                <w:color w:val="000000" w:themeColor="text1"/>
                <w:sz w:val="18"/>
                <w:szCs w:val="18"/>
                <w:lang w:val="en-PH" w:eastAsia="en-PH"/>
              </w:rPr>
              <w:t>Brgy. Cupang, Antipolo City</w:t>
            </w:r>
          </w:p>
        </w:tc>
        <w:tc>
          <w:tcPr>
            <w:tcW w:w="1716" w:type="dxa"/>
            <w:vAlign w:val="bottom"/>
          </w:tcPr>
          <w:p w14:paraId="75D60ABE" w14:textId="5ED05B81" w:rsidR="00192145" w:rsidRPr="009E35ED" w:rsidRDefault="00192145" w:rsidP="00192145">
            <w:pPr>
              <w:pStyle w:val="BodyTextIndent2"/>
              <w:ind w:left="-82" w:right="-110"/>
              <w:jc w:val="right"/>
              <w:rPr>
                <w:rFonts w:ascii="Arial Narrow" w:hAnsi="Arial Narrow" w:cs="Arial"/>
                <w:color w:val="000000" w:themeColor="text1"/>
                <w:sz w:val="18"/>
                <w:szCs w:val="18"/>
              </w:rPr>
            </w:pPr>
            <w:r w:rsidRPr="009E35ED">
              <w:rPr>
                <w:rFonts w:ascii="Arial Narrow" w:hAnsi="Arial Narrow" w:cs="Arial"/>
                <w:color w:val="000000" w:themeColor="text1"/>
                <w:sz w:val="18"/>
                <w:szCs w:val="18"/>
                <w:lang w:val="en-PH" w:eastAsia="en-PH"/>
              </w:rPr>
              <w:t>4,295,000</w:t>
            </w:r>
          </w:p>
        </w:tc>
      </w:tr>
      <w:tr w:rsidR="00997F75" w:rsidRPr="009E35ED" w14:paraId="1382820E" w14:textId="77777777" w:rsidTr="00192145">
        <w:trPr>
          <w:trHeight w:hRule="exact" w:val="261"/>
        </w:trPr>
        <w:tc>
          <w:tcPr>
            <w:tcW w:w="4721" w:type="dxa"/>
            <w:vAlign w:val="bottom"/>
          </w:tcPr>
          <w:p w14:paraId="44C3E9C8" w14:textId="77777777" w:rsidR="00192145" w:rsidRPr="009E35ED" w:rsidRDefault="00192145" w:rsidP="00192145">
            <w:pPr>
              <w:pStyle w:val="BodyTextIndent2"/>
              <w:ind w:left="-108"/>
              <w:rPr>
                <w:rFonts w:ascii="Arial Narrow" w:hAnsi="Arial Narrow" w:cs="Arial"/>
                <w:color w:val="000000" w:themeColor="text1"/>
                <w:sz w:val="18"/>
                <w:szCs w:val="18"/>
              </w:rPr>
            </w:pPr>
            <w:r w:rsidRPr="009E35ED">
              <w:rPr>
                <w:rFonts w:ascii="Arial Narrow" w:hAnsi="Arial Narrow" w:cs="Arial"/>
                <w:color w:val="000000" w:themeColor="text1"/>
                <w:sz w:val="18"/>
                <w:szCs w:val="18"/>
                <w:lang w:val="en-PH" w:eastAsia="en-PH"/>
              </w:rPr>
              <w:t>Brgy. Macabud, Montalban, Rizal</w:t>
            </w:r>
          </w:p>
        </w:tc>
        <w:tc>
          <w:tcPr>
            <w:tcW w:w="1716" w:type="dxa"/>
            <w:vAlign w:val="bottom"/>
          </w:tcPr>
          <w:p w14:paraId="2AEC6A29" w14:textId="6086DF70" w:rsidR="00192145" w:rsidRPr="009E35ED" w:rsidRDefault="00192145" w:rsidP="00192145">
            <w:pPr>
              <w:pStyle w:val="BodyTextIndent2"/>
              <w:ind w:left="-82" w:right="-110"/>
              <w:jc w:val="right"/>
              <w:rPr>
                <w:rFonts w:ascii="Arial Narrow" w:hAnsi="Arial Narrow" w:cs="Arial"/>
                <w:color w:val="000000" w:themeColor="text1"/>
                <w:sz w:val="18"/>
                <w:szCs w:val="18"/>
              </w:rPr>
            </w:pPr>
            <w:r w:rsidRPr="009E35ED">
              <w:rPr>
                <w:rFonts w:ascii="Arial Narrow" w:hAnsi="Arial Narrow" w:cs="Arial"/>
                <w:color w:val="000000" w:themeColor="text1"/>
                <w:sz w:val="18"/>
                <w:szCs w:val="18"/>
                <w:lang w:val="en-PH" w:eastAsia="en-PH"/>
              </w:rPr>
              <w:t>144,000</w:t>
            </w:r>
          </w:p>
        </w:tc>
      </w:tr>
      <w:tr w:rsidR="00997F75" w:rsidRPr="009E35ED" w14:paraId="328F4828" w14:textId="77777777" w:rsidTr="00192145">
        <w:trPr>
          <w:trHeight w:hRule="exact" w:val="261"/>
        </w:trPr>
        <w:tc>
          <w:tcPr>
            <w:tcW w:w="4721" w:type="dxa"/>
            <w:vAlign w:val="bottom"/>
          </w:tcPr>
          <w:p w14:paraId="10C404FE" w14:textId="77777777" w:rsidR="00192145" w:rsidRPr="009E35ED" w:rsidRDefault="00192145" w:rsidP="00192145">
            <w:pPr>
              <w:pStyle w:val="BodyTextIndent2"/>
              <w:ind w:left="-108"/>
              <w:rPr>
                <w:rFonts w:ascii="Arial Narrow" w:hAnsi="Arial Narrow" w:cs="Arial"/>
                <w:color w:val="000000" w:themeColor="text1"/>
                <w:sz w:val="18"/>
                <w:szCs w:val="18"/>
              </w:rPr>
            </w:pPr>
            <w:r w:rsidRPr="009E35ED">
              <w:rPr>
                <w:rFonts w:ascii="Arial Narrow" w:hAnsi="Arial Narrow" w:cs="Arial"/>
                <w:color w:val="000000" w:themeColor="text1"/>
                <w:sz w:val="18"/>
                <w:szCs w:val="18"/>
                <w:lang w:val="en-PH" w:eastAsia="en-PH"/>
              </w:rPr>
              <w:t>Brgy. Galicia III, Mendez, Cavite</w:t>
            </w:r>
          </w:p>
        </w:tc>
        <w:tc>
          <w:tcPr>
            <w:tcW w:w="1716" w:type="dxa"/>
            <w:vAlign w:val="bottom"/>
          </w:tcPr>
          <w:p w14:paraId="4B0036B3" w14:textId="5C0E77FD" w:rsidR="00192145" w:rsidRPr="009E35ED" w:rsidRDefault="00192145" w:rsidP="00192145">
            <w:pPr>
              <w:pStyle w:val="BodyTextIndent2"/>
              <w:ind w:left="-82" w:right="-110"/>
              <w:jc w:val="right"/>
              <w:rPr>
                <w:rFonts w:ascii="Arial Narrow" w:hAnsi="Arial Narrow" w:cs="Arial"/>
                <w:color w:val="000000" w:themeColor="text1"/>
                <w:sz w:val="18"/>
                <w:szCs w:val="18"/>
              </w:rPr>
            </w:pPr>
            <w:r w:rsidRPr="009E35ED">
              <w:rPr>
                <w:rFonts w:ascii="Arial Narrow" w:hAnsi="Arial Narrow" w:cs="Arial"/>
                <w:color w:val="000000" w:themeColor="text1"/>
                <w:sz w:val="18"/>
                <w:szCs w:val="18"/>
                <w:lang w:val="en-PH" w:eastAsia="en-PH"/>
              </w:rPr>
              <w:t>832,000</w:t>
            </w:r>
          </w:p>
        </w:tc>
      </w:tr>
      <w:tr w:rsidR="00997F75" w:rsidRPr="009E35ED" w14:paraId="67C1F7D5" w14:textId="77777777" w:rsidTr="00192145">
        <w:trPr>
          <w:trHeight w:hRule="exact" w:val="261"/>
        </w:trPr>
        <w:tc>
          <w:tcPr>
            <w:tcW w:w="4721" w:type="dxa"/>
            <w:vAlign w:val="bottom"/>
          </w:tcPr>
          <w:p w14:paraId="3DCFEF83" w14:textId="77777777" w:rsidR="00192145" w:rsidRPr="009E35ED" w:rsidRDefault="00192145" w:rsidP="00192145">
            <w:pPr>
              <w:pStyle w:val="BodyTextIndent2"/>
              <w:ind w:left="-108"/>
              <w:rPr>
                <w:rFonts w:ascii="Arial Narrow" w:hAnsi="Arial Narrow" w:cs="Arial"/>
                <w:color w:val="000000" w:themeColor="text1"/>
                <w:sz w:val="18"/>
                <w:szCs w:val="18"/>
              </w:rPr>
            </w:pPr>
            <w:r w:rsidRPr="009E35ED">
              <w:rPr>
                <w:rFonts w:ascii="Arial Narrow" w:hAnsi="Arial Narrow" w:cs="Arial"/>
                <w:color w:val="000000" w:themeColor="text1"/>
                <w:sz w:val="18"/>
                <w:szCs w:val="18"/>
                <w:lang w:val="en-PH" w:eastAsia="en-PH"/>
              </w:rPr>
              <w:t>Brgy. 26 Caridad, Cavite City</w:t>
            </w:r>
          </w:p>
        </w:tc>
        <w:tc>
          <w:tcPr>
            <w:tcW w:w="1716" w:type="dxa"/>
            <w:vAlign w:val="bottom"/>
          </w:tcPr>
          <w:p w14:paraId="6D244B48" w14:textId="0459647D" w:rsidR="00192145" w:rsidRPr="009E35ED" w:rsidRDefault="00192145" w:rsidP="00192145">
            <w:pPr>
              <w:pStyle w:val="BodyTextIndent2"/>
              <w:ind w:left="-82" w:right="-110"/>
              <w:jc w:val="right"/>
              <w:rPr>
                <w:rFonts w:ascii="Arial Narrow" w:hAnsi="Arial Narrow" w:cs="Arial"/>
                <w:color w:val="000000" w:themeColor="text1"/>
                <w:sz w:val="18"/>
                <w:szCs w:val="18"/>
              </w:rPr>
            </w:pPr>
            <w:r w:rsidRPr="009E35ED">
              <w:rPr>
                <w:rFonts w:ascii="Arial Narrow" w:hAnsi="Arial Narrow" w:cs="Arial"/>
                <w:color w:val="000000" w:themeColor="text1"/>
                <w:sz w:val="18"/>
                <w:szCs w:val="18"/>
                <w:lang w:val="en-PH" w:eastAsia="en-PH"/>
              </w:rPr>
              <w:t>1,958,000</w:t>
            </w:r>
          </w:p>
        </w:tc>
      </w:tr>
      <w:tr w:rsidR="00997F75" w:rsidRPr="009E35ED" w14:paraId="09D68A81" w14:textId="77777777" w:rsidTr="00192145">
        <w:trPr>
          <w:trHeight w:hRule="exact" w:val="261"/>
        </w:trPr>
        <w:tc>
          <w:tcPr>
            <w:tcW w:w="4721" w:type="dxa"/>
            <w:vAlign w:val="bottom"/>
          </w:tcPr>
          <w:p w14:paraId="174D8B3C" w14:textId="77777777" w:rsidR="00192145" w:rsidRPr="009E35ED" w:rsidRDefault="00192145" w:rsidP="00192145">
            <w:pPr>
              <w:pStyle w:val="BodyTextIndent2"/>
              <w:ind w:left="-108"/>
              <w:rPr>
                <w:rFonts w:ascii="Arial Narrow" w:hAnsi="Arial Narrow" w:cs="Arial"/>
                <w:color w:val="000000" w:themeColor="text1"/>
                <w:sz w:val="18"/>
                <w:szCs w:val="18"/>
              </w:rPr>
            </w:pPr>
            <w:r w:rsidRPr="009E35ED">
              <w:rPr>
                <w:rFonts w:ascii="Arial Narrow" w:hAnsi="Arial Narrow" w:cs="Arial"/>
                <w:color w:val="000000" w:themeColor="text1"/>
                <w:sz w:val="18"/>
                <w:szCs w:val="18"/>
                <w:lang w:val="en-PH" w:eastAsia="en-PH"/>
              </w:rPr>
              <w:t>Brgy. Cawayan, II, San Francisco, Quezon</w:t>
            </w:r>
          </w:p>
        </w:tc>
        <w:tc>
          <w:tcPr>
            <w:tcW w:w="1716" w:type="dxa"/>
            <w:vAlign w:val="bottom"/>
          </w:tcPr>
          <w:p w14:paraId="14E34302" w14:textId="05234BBF" w:rsidR="00192145" w:rsidRPr="009E35ED" w:rsidRDefault="00707FAD" w:rsidP="00192145">
            <w:pPr>
              <w:pStyle w:val="BodyTextIndent2"/>
              <w:ind w:left="-82" w:right="-110"/>
              <w:jc w:val="right"/>
              <w:rPr>
                <w:rFonts w:ascii="Arial Narrow" w:hAnsi="Arial Narrow" w:cs="Arial"/>
                <w:color w:val="000000" w:themeColor="text1"/>
                <w:sz w:val="18"/>
                <w:szCs w:val="18"/>
              </w:rPr>
            </w:pPr>
            <w:r w:rsidRPr="009E35ED">
              <w:rPr>
                <w:rFonts w:ascii="Arial Narrow" w:hAnsi="Arial Narrow" w:cs="Arial"/>
                <w:color w:val="000000" w:themeColor="text1"/>
                <w:sz w:val="18"/>
                <w:szCs w:val="18"/>
                <w:lang w:val="en-PH" w:eastAsia="en-PH"/>
              </w:rPr>
              <w:t>5,323</w:t>
            </w:r>
            <w:r w:rsidR="00192145" w:rsidRPr="009E35ED">
              <w:rPr>
                <w:rFonts w:ascii="Arial Narrow" w:hAnsi="Arial Narrow" w:cs="Arial"/>
                <w:color w:val="000000" w:themeColor="text1"/>
                <w:sz w:val="18"/>
                <w:szCs w:val="18"/>
                <w:lang w:val="en-PH" w:eastAsia="en-PH"/>
              </w:rPr>
              <w:t>,000</w:t>
            </w:r>
          </w:p>
        </w:tc>
      </w:tr>
      <w:tr w:rsidR="00997F75" w:rsidRPr="009E35ED" w14:paraId="5F2995E6" w14:textId="77777777" w:rsidTr="00192145">
        <w:trPr>
          <w:trHeight w:hRule="exact" w:val="261"/>
        </w:trPr>
        <w:tc>
          <w:tcPr>
            <w:tcW w:w="4721" w:type="dxa"/>
            <w:vAlign w:val="bottom"/>
          </w:tcPr>
          <w:p w14:paraId="068C2FBD" w14:textId="77777777" w:rsidR="00192145" w:rsidRPr="009E35ED" w:rsidRDefault="00192145" w:rsidP="00192145">
            <w:pPr>
              <w:pStyle w:val="BodyTextIndent2"/>
              <w:ind w:left="-108"/>
              <w:rPr>
                <w:rFonts w:ascii="Arial Narrow" w:hAnsi="Arial Narrow" w:cs="Arial"/>
                <w:color w:val="000000" w:themeColor="text1"/>
                <w:sz w:val="18"/>
                <w:szCs w:val="18"/>
              </w:rPr>
            </w:pPr>
            <w:r w:rsidRPr="009E35ED">
              <w:rPr>
                <w:rFonts w:ascii="Arial Narrow" w:hAnsi="Arial Narrow" w:cs="Arial"/>
                <w:color w:val="000000" w:themeColor="text1"/>
                <w:sz w:val="18"/>
                <w:szCs w:val="18"/>
                <w:lang w:val="en-PH" w:eastAsia="en-PH"/>
              </w:rPr>
              <w:t>Brgy. Sambat, San Pascual, Batangas</w:t>
            </w:r>
          </w:p>
        </w:tc>
        <w:tc>
          <w:tcPr>
            <w:tcW w:w="1716" w:type="dxa"/>
            <w:vAlign w:val="bottom"/>
          </w:tcPr>
          <w:p w14:paraId="4B1013F7" w14:textId="339882F4" w:rsidR="00192145" w:rsidRPr="009E35ED" w:rsidRDefault="00192145" w:rsidP="00707FAD">
            <w:pPr>
              <w:pStyle w:val="BodyTextIndent2"/>
              <w:ind w:left="-82" w:right="-110"/>
              <w:jc w:val="right"/>
              <w:rPr>
                <w:rFonts w:ascii="Arial Narrow" w:hAnsi="Arial Narrow" w:cs="Arial"/>
                <w:color w:val="000000" w:themeColor="text1"/>
                <w:sz w:val="18"/>
                <w:szCs w:val="18"/>
              </w:rPr>
            </w:pPr>
            <w:r w:rsidRPr="009E35ED">
              <w:rPr>
                <w:rFonts w:ascii="Arial Narrow" w:hAnsi="Arial Narrow" w:cs="Arial"/>
                <w:color w:val="000000" w:themeColor="text1"/>
                <w:sz w:val="18"/>
                <w:szCs w:val="18"/>
                <w:lang w:val="en-PH" w:eastAsia="en-PH"/>
              </w:rPr>
              <w:t>1,</w:t>
            </w:r>
            <w:r w:rsidR="00707FAD" w:rsidRPr="009E35ED">
              <w:rPr>
                <w:rFonts w:ascii="Arial Narrow" w:hAnsi="Arial Narrow" w:cs="Arial"/>
                <w:color w:val="000000" w:themeColor="text1"/>
                <w:sz w:val="18"/>
                <w:szCs w:val="18"/>
                <w:lang w:val="en-PH" w:eastAsia="en-PH"/>
              </w:rPr>
              <w:t>958</w:t>
            </w:r>
            <w:r w:rsidRPr="009E35ED">
              <w:rPr>
                <w:rFonts w:ascii="Arial Narrow" w:hAnsi="Arial Narrow" w:cs="Arial"/>
                <w:color w:val="000000" w:themeColor="text1"/>
                <w:sz w:val="18"/>
                <w:szCs w:val="18"/>
                <w:lang w:val="en-PH" w:eastAsia="en-PH"/>
              </w:rPr>
              <w:t>,000</w:t>
            </w:r>
          </w:p>
        </w:tc>
      </w:tr>
      <w:tr w:rsidR="00997F75" w:rsidRPr="009E35ED" w14:paraId="5B692201" w14:textId="77777777" w:rsidTr="00192145">
        <w:trPr>
          <w:trHeight w:hRule="exact" w:val="261"/>
        </w:trPr>
        <w:tc>
          <w:tcPr>
            <w:tcW w:w="4721" w:type="dxa"/>
            <w:vAlign w:val="bottom"/>
          </w:tcPr>
          <w:p w14:paraId="5968734B" w14:textId="77777777" w:rsidR="00192145" w:rsidRPr="009E35ED" w:rsidRDefault="00192145" w:rsidP="00192145">
            <w:pPr>
              <w:pStyle w:val="BodyTextIndent2"/>
              <w:ind w:left="-108"/>
              <w:rPr>
                <w:rFonts w:ascii="Arial Narrow" w:hAnsi="Arial Narrow" w:cs="Arial"/>
                <w:color w:val="000000" w:themeColor="text1"/>
                <w:sz w:val="18"/>
                <w:szCs w:val="18"/>
              </w:rPr>
            </w:pPr>
            <w:r w:rsidRPr="009E35ED">
              <w:rPr>
                <w:rFonts w:ascii="Arial Narrow" w:hAnsi="Arial Narrow" w:cs="Arial"/>
                <w:color w:val="000000" w:themeColor="text1"/>
                <w:sz w:val="18"/>
                <w:szCs w:val="18"/>
                <w:lang w:val="en-PH" w:eastAsia="en-PH"/>
              </w:rPr>
              <w:t>Lobo, Batangas</w:t>
            </w:r>
          </w:p>
        </w:tc>
        <w:tc>
          <w:tcPr>
            <w:tcW w:w="1716" w:type="dxa"/>
            <w:vAlign w:val="bottom"/>
          </w:tcPr>
          <w:p w14:paraId="171BDCD0" w14:textId="77777777" w:rsidR="00192145" w:rsidRPr="009E35ED" w:rsidRDefault="00192145" w:rsidP="00192145">
            <w:pPr>
              <w:pStyle w:val="BodyTextIndent2"/>
              <w:ind w:left="-82" w:right="-110"/>
              <w:jc w:val="right"/>
              <w:rPr>
                <w:rFonts w:ascii="Arial Narrow" w:hAnsi="Arial Narrow" w:cs="Arial"/>
                <w:color w:val="000000" w:themeColor="text1"/>
                <w:sz w:val="18"/>
                <w:szCs w:val="18"/>
              </w:rPr>
            </w:pPr>
            <w:r w:rsidRPr="009E35ED">
              <w:rPr>
                <w:rFonts w:ascii="Arial Narrow" w:hAnsi="Arial Narrow" w:cs="Arial"/>
                <w:color w:val="000000" w:themeColor="text1"/>
                <w:sz w:val="18"/>
                <w:szCs w:val="18"/>
                <w:lang w:val="en-PH" w:eastAsia="en-PH"/>
              </w:rPr>
              <w:t>1,705,000</w:t>
            </w:r>
          </w:p>
        </w:tc>
      </w:tr>
      <w:tr w:rsidR="00997F75" w:rsidRPr="009E35ED" w14:paraId="4F109582" w14:textId="77777777" w:rsidTr="00192145">
        <w:trPr>
          <w:trHeight w:hRule="exact" w:val="261"/>
        </w:trPr>
        <w:tc>
          <w:tcPr>
            <w:tcW w:w="4721" w:type="dxa"/>
            <w:vAlign w:val="bottom"/>
          </w:tcPr>
          <w:p w14:paraId="6B4A6E95" w14:textId="77777777" w:rsidR="00192145" w:rsidRPr="009E35ED" w:rsidRDefault="00192145" w:rsidP="00192145">
            <w:pPr>
              <w:pStyle w:val="BodyTextIndent2"/>
              <w:ind w:left="-108"/>
              <w:rPr>
                <w:rFonts w:ascii="Arial Narrow" w:hAnsi="Arial Narrow" w:cs="Arial"/>
                <w:color w:val="000000" w:themeColor="text1"/>
                <w:sz w:val="18"/>
                <w:szCs w:val="18"/>
              </w:rPr>
            </w:pPr>
            <w:r w:rsidRPr="009E35ED">
              <w:rPr>
                <w:rFonts w:ascii="Arial Narrow" w:hAnsi="Arial Narrow" w:cs="Arial"/>
                <w:color w:val="000000" w:themeColor="text1"/>
                <w:sz w:val="18"/>
                <w:szCs w:val="18"/>
                <w:lang w:val="en-PH" w:eastAsia="en-PH"/>
              </w:rPr>
              <w:t>Brgy. Bagumbayan Sur, Naga City</w:t>
            </w:r>
          </w:p>
        </w:tc>
        <w:tc>
          <w:tcPr>
            <w:tcW w:w="1716" w:type="dxa"/>
            <w:vAlign w:val="bottom"/>
          </w:tcPr>
          <w:p w14:paraId="21812B63" w14:textId="51157135" w:rsidR="00192145" w:rsidRPr="009E35ED" w:rsidRDefault="00707FAD" w:rsidP="00192145">
            <w:pPr>
              <w:pStyle w:val="BodyTextIndent2"/>
              <w:ind w:left="-82" w:right="-110"/>
              <w:jc w:val="right"/>
              <w:rPr>
                <w:rFonts w:ascii="Arial Narrow" w:hAnsi="Arial Narrow" w:cs="Arial"/>
                <w:color w:val="000000" w:themeColor="text1"/>
                <w:sz w:val="18"/>
                <w:szCs w:val="18"/>
              </w:rPr>
            </w:pPr>
            <w:r w:rsidRPr="009E35ED">
              <w:rPr>
                <w:rFonts w:ascii="Arial Narrow" w:hAnsi="Arial Narrow" w:cs="Arial"/>
                <w:color w:val="000000" w:themeColor="text1"/>
                <w:sz w:val="18"/>
                <w:szCs w:val="18"/>
                <w:lang w:val="en-PH" w:eastAsia="en-PH"/>
              </w:rPr>
              <w:t>2,120</w:t>
            </w:r>
            <w:r w:rsidR="00192145" w:rsidRPr="009E35ED">
              <w:rPr>
                <w:rFonts w:ascii="Arial Narrow" w:hAnsi="Arial Narrow" w:cs="Arial"/>
                <w:color w:val="000000" w:themeColor="text1"/>
                <w:sz w:val="18"/>
                <w:szCs w:val="18"/>
                <w:lang w:val="en-PH" w:eastAsia="en-PH"/>
              </w:rPr>
              <w:t>,000</w:t>
            </w:r>
          </w:p>
        </w:tc>
      </w:tr>
      <w:tr w:rsidR="00997F75" w:rsidRPr="009E35ED" w14:paraId="5EEC80F9" w14:textId="77777777" w:rsidTr="00192145">
        <w:trPr>
          <w:trHeight w:hRule="exact" w:val="261"/>
        </w:trPr>
        <w:tc>
          <w:tcPr>
            <w:tcW w:w="4721" w:type="dxa"/>
            <w:vAlign w:val="bottom"/>
          </w:tcPr>
          <w:p w14:paraId="4A448773" w14:textId="77777777" w:rsidR="00192145" w:rsidRPr="009E35ED" w:rsidRDefault="00192145" w:rsidP="00192145">
            <w:pPr>
              <w:pStyle w:val="BodyTextIndent2"/>
              <w:ind w:left="-108"/>
              <w:rPr>
                <w:rFonts w:ascii="Arial Narrow" w:hAnsi="Arial Narrow" w:cs="Arial"/>
                <w:color w:val="000000" w:themeColor="text1"/>
                <w:sz w:val="18"/>
                <w:szCs w:val="18"/>
              </w:rPr>
            </w:pPr>
            <w:r w:rsidRPr="009E35ED">
              <w:rPr>
                <w:rFonts w:ascii="Arial Narrow" w:hAnsi="Arial Narrow" w:cs="Arial"/>
                <w:color w:val="000000" w:themeColor="text1"/>
                <w:sz w:val="18"/>
                <w:szCs w:val="18"/>
                <w:lang w:val="en-PH" w:eastAsia="en-PH"/>
              </w:rPr>
              <w:t>Brgy. Almendras-Cogon, Sorsogon City</w:t>
            </w:r>
          </w:p>
        </w:tc>
        <w:tc>
          <w:tcPr>
            <w:tcW w:w="1716" w:type="dxa"/>
            <w:vAlign w:val="bottom"/>
          </w:tcPr>
          <w:p w14:paraId="420D1DD8" w14:textId="7F8B857A" w:rsidR="00192145" w:rsidRPr="009E35ED" w:rsidRDefault="00707FAD" w:rsidP="00192145">
            <w:pPr>
              <w:pStyle w:val="BodyTextIndent2"/>
              <w:ind w:left="-82" w:right="-110"/>
              <w:jc w:val="right"/>
              <w:rPr>
                <w:rFonts w:ascii="Arial Narrow" w:hAnsi="Arial Narrow" w:cs="Arial"/>
                <w:color w:val="000000" w:themeColor="text1"/>
                <w:sz w:val="18"/>
                <w:szCs w:val="18"/>
              </w:rPr>
            </w:pPr>
            <w:r w:rsidRPr="009E35ED">
              <w:rPr>
                <w:rFonts w:ascii="Arial Narrow" w:hAnsi="Arial Narrow" w:cs="Arial"/>
                <w:color w:val="000000" w:themeColor="text1"/>
                <w:sz w:val="18"/>
                <w:szCs w:val="18"/>
                <w:lang w:val="en-PH" w:eastAsia="en-PH"/>
              </w:rPr>
              <w:t>1,284</w:t>
            </w:r>
            <w:r w:rsidR="00192145" w:rsidRPr="009E35ED">
              <w:rPr>
                <w:rFonts w:ascii="Arial Narrow" w:hAnsi="Arial Narrow" w:cs="Arial"/>
                <w:color w:val="000000" w:themeColor="text1"/>
                <w:sz w:val="18"/>
                <w:szCs w:val="18"/>
                <w:lang w:val="en-PH" w:eastAsia="en-PH"/>
              </w:rPr>
              <w:t>,000</w:t>
            </w:r>
          </w:p>
        </w:tc>
      </w:tr>
      <w:tr w:rsidR="00997F75" w:rsidRPr="009E35ED" w14:paraId="59B1D1F6" w14:textId="77777777" w:rsidTr="00192145">
        <w:trPr>
          <w:trHeight w:hRule="exact" w:val="261"/>
        </w:trPr>
        <w:tc>
          <w:tcPr>
            <w:tcW w:w="4721" w:type="dxa"/>
            <w:vAlign w:val="bottom"/>
          </w:tcPr>
          <w:p w14:paraId="321CB72F" w14:textId="77777777" w:rsidR="00192145" w:rsidRPr="009E35ED" w:rsidRDefault="00192145" w:rsidP="00192145">
            <w:pPr>
              <w:pStyle w:val="BodyTextIndent2"/>
              <w:ind w:left="-108"/>
              <w:rPr>
                <w:rFonts w:ascii="Arial Narrow" w:hAnsi="Arial Narrow" w:cs="Arial"/>
                <w:color w:val="000000" w:themeColor="text1"/>
                <w:sz w:val="18"/>
                <w:szCs w:val="18"/>
              </w:rPr>
            </w:pPr>
            <w:r w:rsidRPr="009E35ED">
              <w:rPr>
                <w:rFonts w:ascii="Arial Narrow" w:hAnsi="Arial Narrow" w:cs="Arial"/>
                <w:color w:val="000000" w:themeColor="text1"/>
                <w:sz w:val="18"/>
                <w:szCs w:val="18"/>
                <w:lang w:val="en-PH" w:eastAsia="en-PH"/>
              </w:rPr>
              <w:t>Brgy. Bical, Libmanan, Sorsogon City</w:t>
            </w:r>
          </w:p>
        </w:tc>
        <w:tc>
          <w:tcPr>
            <w:tcW w:w="1716" w:type="dxa"/>
            <w:vAlign w:val="bottom"/>
          </w:tcPr>
          <w:p w14:paraId="12AC610A" w14:textId="77777777" w:rsidR="00192145" w:rsidRPr="009E35ED" w:rsidRDefault="00192145" w:rsidP="00192145">
            <w:pPr>
              <w:pStyle w:val="BodyTextIndent2"/>
              <w:ind w:left="-82" w:right="-110"/>
              <w:jc w:val="right"/>
              <w:rPr>
                <w:rFonts w:ascii="Arial Narrow" w:hAnsi="Arial Narrow" w:cs="Arial"/>
                <w:color w:val="000000" w:themeColor="text1"/>
                <w:sz w:val="18"/>
                <w:szCs w:val="18"/>
              </w:rPr>
            </w:pPr>
            <w:r w:rsidRPr="009E35ED">
              <w:rPr>
                <w:rFonts w:ascii="Arial Narrow" w:hAnsi="Arial Narrow" w:cs="Arial"/>
                <w:color w:val="000000" w:themeColor="text1"/>
                <w:sz w:val="18"/>
                <w:szCs w:val="18"/>
                <w:lang w:val="en-PH" w:eastAsia="en-PH"/>
              </w:rPr>
              <w:t>2,203,000</w:t>
            </w:r>
          </w:p>
        </w:tc>
      </w:tr>
      <w:tr w:rsidR="00997F75" w:rsidRPr="009E35ED" w14:paraId="0F5FC87E" w14:textId="77777777" w:rsidTr="00192145">
        <w:trPr>
          <w:trHeight w:hRule="exact" w:val="261"/>
        </w:trPr>
        <w:tc>
          <w:tcPr>
            <w:tcW w:w="4721" w:type="dxa"/>
            <w:vAlign w:val="bottom"/>
          </w:tcPr>
          <w:p w14:paraId="15D09E37" w14:textId="77777777" w:rsidR="00192145" w:rsidRPr="009E35ED" w:rsidRDefault="00192145" w:rsidP="00192145">
            <w:pPr>
              <w:pStyle w:val="BodyTextIndent2"/>
              <w:ind w:left="-108"/>
              <w:rPr>
                <w:rFonts w:ascii="Arial Narrow" w:hAnsi="Arial Narrow" w:cs="Arial"/>
                <w:color w:val="000000" w:themeColor="text1"/>
                <w:sz w:val="18"/>
                <w:szCs w:val="18"/>
              </w:rPr>
            </w:pPr>
            <w:r w:rsidRPr="009E35ED">
              <w:rPr>
                <w:rFonts w:ascii="Arial Narrow" w:hAnsi="Arial Narrow" w:cs="Arial"/>
                <w:color w:val="000000" w:themeColor="text1"/>
                <w:sz w:val="18"/>
                <w:szCs w:val="18"/>
                <w:lang w:val="en-PH" w:eastAsia="en-PH"/>
              </w:rPr>
              <w:t>Brgy. Basak, Lapu-lapu City, Cebu</w:t>
            </w:r>
          </w:p>
        </w:tc>
        <w:tc>
          <w:tcPr>
            <w:tcW w:w="1716" w:type="dxa"/>
            <w:vAlign w:val="bottom"/>
          </w:tcPr>
          <w:p w14:paraId="7F526145" w14:textId="1EB58EC2" w:rsidR="00192145" w:rsidRPr="009E35ED" w:rsidRDefault="00707FAD" w:rsidP="00707FAD">
            <w:pPr>
              <w:pStyle w:val="BodyTextIndent2"/>
              <w:ind w:left="-82" w:right="-110"/>
              <w:jc w:val="right"/>
              <w:rPr>
                <w:rFonts w:ascii="Arial Narrow" w:hAnsi="Arial Narrow" w:cs="Arial"/>
                <w:color w:val="000000" w:themeColor="text1"/>
                <w:sz w:val="18"/>
                <w:szCs w:val="18"/>
              </w:rPr>
            </w:pPr>
            <w:r w:rsidRPr="009E35ED">
              <w:rPr>
                <w:rFonts w:ascii="Arial Narrow" w:hAnsi="Arial Narrow" w:cs="Arial"/>
                <w:color w:val="000000" w:themeColor="text1"/>
                <w:sz w:val="18"/>
                <w:szCs w:val="18"/>
                <w:lang w:val="en-PH" w:eastAsia="en-PH"/>
              </w:rPr>
              <w:t>2</w:t>
            </w:r>
            <w:r w:rsidR="00192145" w:rsidRPr="009E35ED">
              <w:rPr>
                <w:rFonts w:ascii="Arial Narrow" w:hAnsi="Arial Narrow" w:cs="Arial"/>
                <w:color w:val="000000" w:themeColor="text1"/>
                <w:sz w:val="18"/>
                <w:szCs w:val="18"/>
                <w:lang w:val="en-PH" w:eastAsia="en-PH"/>
              </w:rPr>
              <w:t>,</w:t>
            </w:r>
            <w:r w:rsidRPr="009E35ED">
              <w:rPr>
                <w:rFonts w:ascii="Arial Narrow" w:hAnsi="Arial Narrow" w:cs="Arial"/>
                <w:color w:val="000000" w:themeColor="text1"/>
                <w:sz w:val="18"/>
                <w:szCs w:val="18"/>
                <w:lang w:val="en-PH" w:eastAsia="en-PH"/>
              </w:rPr>
              <w:t>337</w:t>
            </w:r>
            <w:r w:rsidR="00192145" w:rsidRPr="009E35ED">
              <w:rPr>
                <w:rFonts w:ascii="Arial Narrow" w:hAnsi="Arial Narrow" w:cs="Arial"/>
                <w:color w:val="000000" w:themeColor="text1"/>
                <w:sz w:val="18"/>
                <w:szCs w:val="18"/>
                <w:lang w:val="en-PH" w:eastAsia="en-PH"/>
              </w:rPr>
              <w:t>,000</w:t>
            </w:r>
          </w:p>
        </w:tc>
      </w:tr>
      <w:tr w:rsidR="00997F75" w:rsidRPr="009E35ED" w14:paraId="2FF4CE47" w14:textId="77777777" w:rsidTr="00192145">
        <w:trPr>
          <w:trHeight w:hRule="exact" w:val="261"/>
        </w:trPr>
        <w:tc>
          <w:tcPr>
            <w:tcW w:w="4721" w:type="dxa"/>
            <w:vAlign w:val="bottom"/>
          </w:tcPr>
          <w:p w14:paraId="689B4351" w14:textId="77777777" w:rsidR="00192145" w:rsidRPr="009E35ED" w:rsidRDefault="00192145" w:rsidP="00192145">
            <w:pPr>
              <w:pStyle w:val="BodyTextIndent2"/>
              <w:ind w:left="-108"/>
              <w:rPr>
                <w:rFonts w:ascii="Arial Narrow" w:hAnsi="Arial Narrow" w:cs="Arial"/>
                <w:color w:val="000000" w:themeColor="text1"/>
                <w:sz w:val="18"/>
                <w:szCs w:val="18"/>
              </w:rPr>
            </w:pPr>
            <w:r w:rsidRPr="009E35ED">
              <w:rPr>
                <w:rFonts w:ascii="Arial Narrow" w:hAnsi="Arial Narrow" w:cs="Arial"/>
                <w:color w:val="000000" w:themeColor="text1"/>
                <w:sz w:val="18"/>
                <w:szCs w:val="18"/>
                <w:lang w:val="en-PH" w:eastAsia="en-PH"/>
              </w:rPr>
              <w:t>Bunga, Abuyog, Leyte (net)</w:t>
            </w:r>
          </w:p>
        </w:tc>
        <w:tc>
          <w:tcPr>
            <w:tcW w:w="1716" w:type="dxa"/>
            <w:vAlign w:val="bottom"/>
          </w:tcPr>
          <w:p w14:paraId="27726773" w14:textId="77777777" w:rsidR="00192145" w:rsidRPr="009E35ED" w:rsidRDefault="00192145" w:rsidP="00192145">
            <w:pPr>
              <w:pStyle w:val="BodyTextIndent2"/>
              <w:ind w:left="-82" w:right="-110"/>
              <w:jc w:val="right"/>
              <w:rPr>
                <w:rFonts w:ascii="Arial Narrow" w:hAnsi="Arial Narrow" w:cs="Arial"/>
                <w:color w:val="000000" w:themeColor="text1"/>
                <w:sz w:val="18"/>
                <w:szCs w:val="18"/>
              </w:rPr>
            </w:pPr>
            <w:r w:rsidRPr="009E35ED">
              <w:rPr>
                <w:rFonts w:ascii="Arial Narrow" w:hAnsi="Arial Narrow" w:cs="Arial"/>
                <w:color w:val="000000" w:themeColor="text1"/>
                <w:sz w:val="18"/>
                <w:szCs w:val="18"/>
                <w:lang w:val="en-PH" w:eastAsia="en-PH"/>
              </w:rPr>
              <w:t>497,000</w:t>
            </w:r>
          </w:p>
        </w:tc>
      </w:tr>
      <w:tr w:rsidR="00997F75" w:rsidRPr="009E35ED" w14:paraId="79D4FAB4" w14:textId="77777777" w:rsidTr="00192145">
        <w:trPr>
          <w:trHeight w:hRule="exact" w:val="261"/>
        </w:trPr>
        <w:tc>
          <w:tcPr>
            <w:tcW w:w="4721" w:type="dxa"/>
            <w:vAlign w:val="bottom"/>
          </w:tcPr>
          <w:p w14:paraId="5D9A34E9" w14:textId="77777777" w:rsidR="00192145" w:rsidRPr="009E35ED" w:rsidRDefault="00192145" w:rsidP="00192145">
            <w:pPr>
              <w:pStyle w:val="BodyTextIndent2"/>
              <w:ind w:left="-108"/>
              <w:rPr>
                <w:rFonts w:ascii="Arial Narrow" w:hAnsi="Arial Narrow" w:cs="Arial"/>
                <w:color w:val="000000" w:themeColor="text1"/>
                <w:sz w:val="18"/>
                <w:szCs w:val="18"/>
              </w:rPr>
            </w:pPr>
            <w:r w:rsidRPr="009E35ED">
              <w:rPr>
                <w:rFonts w:ascii="Arial Narrow" w:hAnsi="Arial Narrow" w:cs="Arial"/>
                <w:color w:val="000000" w:themeColor="text1"/>
                <w:sz w:val="18"/>
                <w:szCs w:val="18"/>
                <w:lang w:val="en-PH" w:eastAsia="en-PH"/>
              </w:rPr>
              <w:t>Brgy, Sicayab, Dipolog City</w:t>
            </w:r>
          </w:p>
        </w:tc>
        <w:tc>
          <w:tcPr>
            <w:tcW w:w="1716" w:type="dxa"/>
            <w:vAlign w:val="bottom"/>
          </w:tcPr>
          <w:p w14:paraId="7FECB48B" w14:textId="4E4E85B5" w:rsidR="00192145" w:rsidRPr="009E35ED" w:rsidRDefault="00192145" w:rsidP="00707FAD">
            <w:pPr>
              <w:pStyle w:val="BodyTextIndent2"/>
              <w:ind w:left="-82" w:right="-110"/>
              <w:jc w:val="right"/>
              <w:rPr>
                <w:rFonts w:ascii="Arial Narrow" w:hAnsi="Arial Narrow" w:cs="Arial"/>
                <w:color w:val="000000" w:themeColor="text1"/>
                <w:sz w:val="18"/>
                <w:szCs w:val="18"/>
              </w:rPr>
            </w:pPr>
            <w:r w:rsidRPr="009E35ED">
              <w:rPr>
                <w:rFonts w:ascii="Arial Narrow" w:hAnsi="Arial Narrow" w:cs="Arial"/>
                <w:color w:val="000000" w:themeColor="text1"/>
                <w:sz w:val="18"/>
                <w:szCs w:val="18"/>
                <w:lang w:val="en-PH" w:eastAsia="en-PH"/>
              </w:rPr>
              <w:t>1</w:t>
            </w:r>
            <w:r w:rsidR="00707FAD" w:rsidRPr="009E35ED">
              <w:rPr>
                <w:rFonts w:ascii="Arial Narrow" w:hAnsi="Arial Narrow" w:cs="Arial"/>
                <w:color w:val="000000" w:themeColor="text1"/>
                <w:sz w:val="18"/>
                <w:szCs w:val="18"/>
                <w:lang w:val="en-PH" w:eastAsia="en-PH"/>
              </w:rPr>
              <w:t>5</w:t>
            </w:r>
            <w:r w:rsidRPr="009E35ED">
              <w:rPr>
                <w:rFonts w:ascii="Arial Narrow" w:hAnsi="Arial Narrow" w:cs="Arial"/>
                <w:color w:val="000000" w:themeColor="text1"/>
                <w:sz w:val="18"/>
                <w:szCs w:val="18"/>
                <w:lang w:val="en-PH" w:eastAsia="en-PH"/>
              </w:rPr>
              <w:t>,</w:t>
            </w:r>
            <w:r w:rsidR="00707FAD" w:rsidRPr="009E35ED">
              <w:rPr>
                <w:rFonts w:ascii="Arial Narrow" w:hAnsi="Arial Narrow" w:cs="Arial"/>
                <w:color w:val="000000" w:themeColor="text1"/>
                <w:sz w:val="18"/>
                <w:szCs w:val="18"/>
                <w:lang w:val="en-PH" w:eastAsia="en-PH"/>
              </w:rPr>
              <w:t>473</w:t>
            </w:r>
            <w:r w:rsidRPr="009E35ED">
              <w:rPr>
                <w:rFonts w:ascii="Arial Narrow" w:hAnsi="Arial Narrow" w:cs="Arial"/>
                <w:color w:val="000000" w:themeColor="text1"/>
                <w:sz w:val="18"/>
                <w:szCs w:val="18"/>
                <w:lang w:val="en-PH" w:eastAsia="en-PH"/>
              </w:rPr>
              <w:t>,000</w:t>
            </w:r>
          </w:p>
        </w:tc>
      </w:tr>
      <w:tr w:rsidR="00997F75" w:rsidRPr="009E35ED" w14:paraId="167DA03F" w14:textId="77777777" w:rsidTr="00192145">
        <w:trPr>
          <w:trHeight w:hRule="exact" w:val="261"/>
        </w:trPr>
        <w:tc>
          <w:tcPr>
            <w:tcW w:w="4721" w:type="dxa"/>
            <w:vAlign w:val="bottom"/>
          </w:tcPr>
          <w:p w14:paraId="7AA2B689" w14:textId="77777777" w:rsidR="00192145" w:rsidRPr="009E35ED" w:rsidRDefault="00192145" w:rsidP="00192145">
            <w:pPr>
              <w:pStyle w:val="BodyTextIndent2"/>
              <w:ind w:left="-108"/>
              <w:rPr>
                <w:rFonts w:ascii="Arial Narrow" w:hAnsi="Arial Narrow" w:cs="Arial"/>
                <w:color w:val="000000" w:themeColor="text1"/>
                <w:sz w:val="18"/>
                <w:szCs w:val="18"/>
              </w:rPr>
            </w:pPr>
            <w:r w:rsidRPr="009E35ED">
              <w:rPr>
                <w:rFonts w:ascii="Arial Narrow" w:hAnsi="Arial Narrow" w:cs="Arial"/>
                <w:color w:val="000000" w:themeColor="text1"/>
                <w:sz w:val="18"/>
                <w:szCs w:val="18"/>
                <w:lang w:val="en-PH" w:eastAsia="en-PH"/>
              </w:rPr>
              <w:t>Poblacion Lubao, Pampanga</w:t>
            </w:r>
          </w:p>
        </w:tc>
        <w:tc>
          <w:tcPr>
            <w:tcW w:w="1716" w:type="dxa"/>
            <w:vAlign w:val="bottom"/>
          </w:tcPr>
          <w:p w14:paraId="4F419C61" w14:textId="77777777" w:rsidR="00192145" w:rsidRPr="009E35ED" w:rsidRDefault="00192145" w:rsidP="00192145">
            <w:pPr>
              <w:pStyle w:val="BodyTextIndent2"/>
              <w:ind w:left="-82" w:right="-110"/>
              <w:jc w:val="right"/>
              <w:rPr>
                <w:rFonts w:ascii="Arial Narrow" w:hAnsi="Arial Narrow" w:cs="Arial"/>
                <w:color w:val="000000" w:themeColor="text1"/>
                <w:sz w:val="18"/>
                <w:szCs w:val="18"/>
              </w:rPr>
            </w:pPr>
            <w:r w:rsidRPr="009E35ED">
              <w:rPr>
                <w:rFonts w:ascii="Arial Narrow" w:hAnsi="Arial Narrow" w:cs="Arial"/>
                <w:color w:val="000000" w:themeColor="text1"/>
                <w:sz w:val="18"/>
                <w:szCs w:val="18"/>
                <w:lang w:val="en-PH" w:eastAsia="en-PH"/>
              </w:rPr>
              <w:t>25,000</w:t>
            </w:r>
          </w:p>
        </w:tc>
      </w:tr>
      <w:tr w:rsidR="00997F75" w:rsidRPr="009E35ED" w14:paraId="2479BCB3" w14:textId="77777777" w:rsidTr="00192145">
        <w:trPr>
          <w:trHeight w:hRule="exact" w:val="261"/>
        </w:trPr>
        <w:tc>
          <w:tcPr>
            <w:tcW w:w="4721" w:type="dxa"/>
            <w:vAlign w:val="bottom"/>
          </w:tcPr>
          <w:p w14:paraId="6C795166" w14:textId="77777777" w:rsidR="00192145" w:rsidRPr="009E35ED" w:rsidRDefault="00192145" w:rsidP="00192145">
            <w:pPr>
              <w:pStyle w:val="BodyTextIndent2"/>
              <w:ind w:left="-108"/>
              <w:rPr>
                <w:rFonts w:ascii="Arial Narrow" w:hAnsi="Arial Narrow" w:cs="Arial"/>
                <w:color w:val="000000" w:themeColor="text1"/>
                <w:sz w:val="18"/>
                <w:szCs w:val="18"/>
              </w:rPr>
            </w:pPr>
            <w:r w:rsidRPr="009E35ED">
              <w:rPr>
                <w:rFonts w:ascii="Arial Narrow" w:hAnsi="Arial Narrow" w:cs="Arial"/>
                <w:color w:val="000000" w:themeColor="text1"/>
                <w:sz w:val="18"/>
                <w:szCs w:val="18"/>
                <w:lang w:val="en-PH" w:eastAsia="en-PH"/>
              </w:rPr>
              <w:t>Agdahon, Cuartero, Capiz</w:t>
            </w:r>
          </w:p>
        </w:tc>
        <w:tc>
          <w:tcPr>
            <w:tcW w:w="1716" w:type="dxa"/>
            <w:vAlign w:val="bottom"/>
          </w:tcPr>
          <w:p w14:paraId="05349EF5" w14:textId="77777777" w:rsidR="00192145" w:rsidRPr="009E35ED" w:rsidRDefault="00192145" w:rsidP="00192145">
            <w:pPr>
              <w:pStyle w:val="BodyTextIndent2"/>
              <w:ind w:left="-82" w:right="-110"/>
              <w:jc w:val="right"/>
              <w:rPr>
                <w:rFonts w:ascii="Arial Narrow" w:hAnsi="Arial Narrow" w:cs="Arial"/>
                <w:color w:val="000000" w:themeColor="text1"/>
                <w:sz w:val="18"/>
                <w:szCs w:val="18"/>
              </w:rPr>
            </w:pPr>
            <w:r w:rsidRPr="009E35ED">
              <w:rPr>
                <w:rFonts w:ascii="Arial Narrow" w:hAnsi="Arial Narrow" w:cs="Arial"/>
                <w:color w:val="000000" w:themeColor="text1"/>
                <w:sz w:val="18"/>
                <w:szCs w:val="18"/>
                <w:lang w:val="en-PH" w:eastAsia="en-PH"/>
              </w:rPr>
              <w:t>368,000</w:t>
            </w:r>
          </w:p>
        </w:tc>
      </w:tr>
      <w:tr w:rsidR="00997F75" w:rsidRPr="009E35ED" w14:paraId="442304A8" w14:textId="77777777" w:rsidTr="00192145">
        <w:trPr>
          <w:trHeight w:hRule="exact" w:val="261"/>
        </w:trPr>
        <w:tc>
          <w:tcPr>
            <w:tcW w:w="4721" w:type="dxa"/>
            <w:vAlign w:val="bottom"/>
          </w:tcPr>
          <w:p w14:paraId="6D48EBD4" w14:textId="77777777" w:rsidR="00192145" w:rsidRPr="009E35ED" w:rsidRDefault="00192145" w:rsidP="00192145">
            <w:pPr>
              <w:pStyle w:val="BodyTextIndent2"/>
              <w:ind w:left="-108"/>
              <w:rPr>
                <w:rFonts w:ascii="Arial Narrow" w:hAnsi="Arial Narrow" w:cs="Arial"/>
                <w:color w:val="000000" w:themeColor="text1"/>
                <w:sz w:val="18"/>
                <w:szCs w:val="18"/>
              </w:rPr>
            </w:pPr>
            <w:r w:rsidRPr="009E35ED">
              <w:rPr>
                <w:rFonts w:ascii="Arial Narrow" w:hAnsi="Arial Narrow" w:cs="Arial"/>
                <w:color w:val="000000" w:themeColor="text1"/>
                <w:sz w:val="18"/>
                <w:szCs w:val="18"/>
                <w:lang w:val="en-PH" w:eastAsia="en-PH"/>
              </w:rPr>
              <w:t xml:space="preserve">Right of Way – Flamingo Land Subd, Antipolo </w:t>
            </w:r>
          </w:p>
        </w:tc>
        <w:tc>
          <w:tcPr>
            <w:tcW w:w="1716" w:type="dxa"/>
            <w:vAlign w:val="bottom"/>
          </w:tcPr>
          <w:p w14:paraId="218C04D3" w14:textId="77777777" w:rsidR="00192145" w:rsidRPr="009E35ED" w:rsidRDefault="00192145" w:rsidP="00192145">
            <w:pPr>
              <w:pStyle w:val="BodyTextIndent2"/>
              <w:ind w:left="-82" w:right="-110"/>
              <w:jc w:val="right"/>
              <w:rPr>
                <w:rFonts w:ascii="Arial Narrow" w:hAnsi="Arial Narrow" w:cs="Arial"/>
                <w:color w:val="000000" w:themeColor="text1"/>
                <w:sz w:val="18"/>
                <w:szCs w:val="18"/>
              </w:rPr>
            </w:pPr>
            <w:r w:rsidRPr="009E35ED">
              <w:rPr>
                <w:rFonts w:ascii="Arial Narrow" w:hAnsi="Arial Narrow" w:cs="Arial"/>
                <w:color w:val="000000" w:themeColor="text1"/>
                <w:sz w:val="18"/>
                <w:szCs w:val="18"/>
                <w:lang w:val="en-PH" w:eastAsia="en-PH"/>
              </w:rPr>
              <w:t>4,500,000</w:t>
            </w:r>
          </w:p>
        </w:tc>
      </w:tr>
      <w:tr w:rsidR="00997F75" w:rsidRPr="009E35ED" w14:paraId="4E119112" w14:textId="77777777" w:rsidTr="00192145">
        <w:trPr>
          <w:trHeight w:hRule="exact" w:val="261"/>
        </w:trPr>
        <w:tc>
          <w:tcPr>
            <w:tcW w:w="4721" w:type="dxa"/>
            <w:vAlign w:val="bottom"/>
          </w:tcPr>
          <w:p w14:paraId="0E766BBD" w14:textId="77777777" w:rsidR="00192145" w:rsidRPr="009E35ED" w:rsidRDefault="00192145" w:rsidP="00192145">
            <w:pPr>
              <w:pStyle w:val="BodyTextIndent2"/>
              <w:ind w:left="-108"/>
              <w:rPr>
                <w:rFonts w:ascii="Arial Narrow" w:hAnsi="Arial Narrow" w:cs="Arial"/>
                <w:color w:val="000000" w:themeColor="text1"/>
                <w:sz w:val="18"/>
                <w:szCs w:val="18"/>
              </w:rPr>
            </w:pPr>
            <w:r w:rsidRPr="009E35ED">
              <w:rPr>
                <w:rFonts w:ascii="Arial Narrow" w:hAnsi="Arial Narrow" w:cs="Arial"/>
                <w:color w:val="000000" w:themeColor="text1"/>
                <w:sz w:val="18"/>
                <w:szCs w:val="18"/>
                <w:lang w:val="en-PH" w:eastAsia="en-PH"/>
              </w:rPr>
              <w:t>Right of Way – Manuel Uy &amp; Sons – Antipolo City</w:t>
            </w:r>
          </w:p>
        </w:tc>
        <w:tc>
          <w:tcPr>
            <w:tcW w:w="1716" w:type="dxa"/>
            <w:vAlign w:val="bottom"/>
          </w:tcPr>
          <w:p w14:paraId="700FE8CE" w14:textId="1C6E8EC2" w:rsidR="00192145" w:rsidRPr="009E35ED" w:rsidRDefault="00192145" w:rsidP="00707FAD">
            <w:pPr>
              <w:pStyle w:val="BodyTextIndent2"/>
              <w:ind w:left="-82" w:right="-110"/>
              <w:jc w:val="right"/>
              <w:rPr>
                <w:rFonts w:ascii="Arial Narrow" w:hAnsi="Arial Narrow" w:cs="Arial"/>
                <w:color w:val="000000" w:themeColor="text1"/>
                <w:sz w:val="18"/>
                <w:szCs w:val="18"/>
              </w:rPr>
            </w:pPr>
            <w:r w:rsidRPr="009E35ED">
              <w:rPr>
                <w:rFonts w:ascii="Arial Narrow" w:hAnsi="Arial Narrow" w:cs="Arial"/>
                <w:color w:val="000000" w:themeColor="text1"/>
                <w:sz w:val="18"/>
                <w:szCs w:val="18"/>
                <w:lang w:val="en-PH" w:eastAsia="en-PH"/>
              </w:rPr>
              <w:t xml:space="preserve">  </w:t>
            </w:r>
            <w:r w:rsidR="00707FAD" w:rsidRPr="009E35ED">
              <w:rPr>
                <w:rFonts w:ascii="Arial Narrow" w:hAnsi="Arial Narrow" w:cs="Arial"/>
                <w:color w:val="000000" w:themeColor="text1"/>
                <w:sz w:val="18"/>
                <w:szCs w:val="18"/>
                <w:lang w:val="en-PH" w:eastAsia="en-PH"/>
              </w:rPr>
              <w:t>15</w:t>
            </w:r>
            <w:r w:rsidRPr="009E35ED">
              <w:rPr>
                <w:rFonts w:ascii="Arial Narrow" w:hAnsi="Arial Narrow" w:cs="Arial"/>
                <w:color w:val="000000" w:themeColor="text1"/>
                <w:sz w:val="18"/>
                <w:szCs w:val="18"/>
                <w:lang w:val="en-PH" w:eastAsia="en-PH"/>
              </w:rPr>
              <w:t>,</w:t>
            </w:r>
            <w:r w:rsidR="00707FAD" w:rsidRPr="009E35ED">
              <w:rPr>
                <w:rFonts w:ascii="Arial Narrow" w:hAnsi="Arial Narrow" w:cs="Arial"/>
                <w:color w:val="000000" w:themeColor="text1"/>
                <w:sz w:val="18"/>
                <w:szCs w:val="18"/>
                <w:lang w:val="en-PH" w:eastAsia="en-PH"/>
              </w:rPr>
              <w:t>243</w:t>
            </w:r>
            <w:r w:rsidRPr="009E35ED">
              <w:rPr>
                <w:rFonts w:ascii="Arial Narrow" w:hAnsi="Arial Narrow" w:cs="Arial"/>
                <w:color w:val="000000" w:themeColor="text1"/>
                <w:sz w:val="18"/>
                <w:szCs w:val="18"/>
                <w:lang w:val="en-PH" w:eastAsia="en-PH"/>
              </w:rPr>
              <w:t>,</w:t>
            </w:r>
            <w:r w:rsidR="00707FAD" w:rsidRPr="009E35ED">
              <w:rPr>
                <w:rFonts w:ascii="Arial Narrow" w:hAnsi="Arial Narrow" w:cs="Arial"/>
                <w:color w:val="000000" w:themeColor="text1"/>
                <w:sz w:val="18"/>
                <w:szCs w:val="18"/>
                <w:lang w:val="en-PH" w:eastAsia="en-PH"/>
              </w:rPr>
              <w:t>000</w:t>
            </w:r>
          </w:p>
        </w:tc>
      </w:tr>
      <w:tr w:rsidR="00192145" w:rsidRPr="009E35ED" w14:paraId="0C55779B" w14:textId="77777777" w:rsidTr="00192145">
        <w:trPr>
          <w:trHeight w:hRule="exact" w:val="262"/>
        </w:trPr>
        <w:tc>
          <w:tcPr>
            <w:tcW w:w="4721" w:type="dxa"/>
            <w:tcBorders>
              <w:top w:val="single" w:sz="4" w:space="0" w:color="auto"/>
              <w:bottom w:val="double" w:sz="4" w:space="0" w:color="auto"/>
            </w:tcBorders>
            <w:vAlign w:val="bottom"/>
          </w:tcPr>
          <w:p w14:paraId="12F74718" w14:textId="77777777" w:rsidR="00192145" w:rsidRPr="009E35ED" w:rsidRDefault="00192145" w:rsidP="00192145">
            <w:pPr>
              <w:pStyle w:val="BodyTextIndent2"/>
              <w:ind w:left="-108"/>
              <w:rPr>
                <w:rFonts w:ascii="Arial Narrow" w:hAnsi="Arial Narrow" w:cs="Arial"/>
                <w:b/>
                <w:color w:val="000000" w:themeColor="text1"/>
                <w:sz w:val="18"/>
                <w:szCs w:val="18"/>
              </w:rPr>
            </w:pPr>
            <w:r w:rsidRPr="009E35ED">
              <w:rPr>
                <w:rFonts w:ascii="Arial Narrow" w:hAnsi="Arial Narrow" w:cs="Arial"/>
                <w:b/>
                <w:bCs/>
                <w:color w:val="000000" w:themeColor="text1"/>
                <w:sz w:val="18"/>
                <w:szCs w:val="18"/>
                <w:lang w:val="en-PH" w:eastAsia="en-PH"/>
              </w:rPr>
              <w:t>Total</w:t>
            </w:r>
          </w:p>
        </w:tc>
        <w:tc>
          <w:tcPr>
            <w:tcW w:w="1716" w:type="dxa"/>
            <w:tcBorders>
              <w:top w:val="single" w:sz="4" w:space="0" w:color="auto"/>
              <w:bottom w:val="double" w:sz="4" w:space="0" w:color="auto"/>
            </w:tcBorders>
            <w:vAlign w:val="bottom"/>
          </w:tcPr>
          <w:p w14:paraId="336F183F" w14:textId="6A5201E2" w:rsidR="00192145" w:rsidRPr="009E35ED" w:rsidRDefault="00192145" w:rsidP="00707FAD">
            <w:pPr>
              <w:pStyle w:val="BodyTextIndent2"/>
              <w:ind w:left="0" w:right="-110"/>
              <w:jc w:val="right"/>
              <w:rPr>
                <w:rFonts w:ascii="Arial Narrow" w:hAnsi="Arial Narrow" w:cs="Arial"/>
                <w:b/>
                <w:color w:val="000000" w:themeColor="text1"/>
                <w:sz w:val="18"/>
                <w:szCs w:val="18"/>
              </w:rPr>
            </w:pPr>
            <w:r w:rsidRPr="009E35ED">
              <w:rPr>
                <w:rFonts w:ascii="Arial Narrow" w:hAnsi="Arial Narrow" w:cs="Arial"/>
                <w:b/>
                <w:color w:val="000000" w:themeColor="text1"/>
                <w:sz w:val="18"/>
                <w:szCs w:val="18"/>
              </w:rPr>
              <w:fldChar w:fldCharType="begin"/>
            </w:r>
            <w:r w:rsidRPr="009E35ED">
              <w:rPr>
                <w:rFonts w:ascii="Arial Narrow" w:hAnsi="Arial Narrow" w:cs="Arial"/>
                <w:b/>
                <w:color w:val="000000" w:themeColor="text1"/>
                <w:sz w:val="18"/>
                <w:szCs w:val="18"/>
              </w:rPr>
              <w:instrText xml:space="preserve"> =SUM(ABOVE) </w:instrText>
            </w:r>
            <w:r w:rsidRPr="009E35ED">
              <w:rPr>
                <w:rFonts w:ascii="Arial Narrow" w:hAnsi="Arial Narrow" w:cs="Arial"/>
                <w:b/>
                <w:color w:val="000000" w:themeColor="text1"/>
                <w:sz w:val="18"/>
                <w:szCs w:val="18"/>
              </w:rPr>
              <w:fldChar w:fldCharType="separate"/>
            </w:r>
            <w:r w:rsidR="00707FAD" w:rsidRPr="009E35ED">
              <w:rPr>
                <w:rFonts w:ascii="Arial Narrow" w:hAnsi="Arial Narrow" w:cs="Arial"/>
                <w:b/>
                <w:noProof/>
                <w:color w:val="000000" w:themeColor="text1"/>
                <w:sz w:val="18"/>
                <w:szCs w:val="18"/>
              </w:rPr>
              <w:t>489</w:t>
            </w:r>
            <w:r w:rsidRPr="009E35ED">
              <w:rPr>
                <w:rFonts w:ascii="Arial Narrow" w:hAnsi="Arial Narrow" w:cs="Arial"/>
                <w:b/>
                <w:noProof/>
                <w:color w:val="000000" w:themeColor="text1"/>
                <w:sz w:val="18"/>
                <w:szCs w:val="18"/>
              </w:rPr>
              <w:t>,</w:t>
            </w:r>
            <w:r w:rsidR="00707FAD" w:rsidRPr="009E35ED">
              <w:rPr>
                <w:rFonts w:ascii="Arial Narrow" w:hAnsi="Arial Narrow" w:cs="Arial"/>
                <w:b/>
                <w:noProof/>
                <w:color w:val="000000" w:themeColor="text1"/>
                <w:sz w:val="18"/>
                <w:szCs w:val="18"/>
              </w:rPr>
              <w:t>852</w:t>
            </w:r>
            <w:r w:rsidRPr="009E35ED">
              <w:rPr>
                <w:rFonts w:ascii="Arial Narrow" w:hAnsi="Arial Narrow" w:cs="Arial"/>
                <w:b/>
                <w:noProof/>
                <w:color w:val="000000" w:themeColor="text1"/>
                <w:sz w:val="18"/>
                <w:szCs w:val="18"/>
              </w:rPr>
              <w:t>,0</w:t>
            </w:r>
            <w:r w:rsidRPr="009E35ED">
              <w:rPr>
                <w:rFonts w:ascii="Arial Narrow" w:hAnsi="Arial Narrow" w:cs="Arial"/>
                <w:b/>
                <w:color w:val="000000" w:themeColor="text1"/>
                <w:sz w:val="18"/>
                <w:szCs w:val="18"/>
              </w:rPr>
              <w:fldChar w:fldCharType="end"/>
            </w:r>
            <w:r w:rsidR="00707FAD" w:rsidRPr="009E35ED">
              <w:rPr>
                <w:rFonts w:ascii="Arial Narrow" w:hAnsi="Arial Narrow" w:cs="Arial"/>
                <w:b/>
                <w:color w:val="000000" w:themeColor="text1"/>
                <w:sz w:val="18"/>
                <w:szCs w:val="18"/>
              </w:rPr>
              <w:t>00</w:t>
            </w:r>
          </w:p>
        </w:tc>
      </w:tr>
    </w:tbl>
    <w:p w14:paraId="54EA8C4D" w14:textId="77777777" w:rsidR="00997F75" w:rsidRPr="009E35ED" w:rsidRDefault="00997F75" w:rsidP="0003782F">
      <w:pPr>
        <w:pStyle w:val="BodyTextIndent2"/>
        <w:ind w:left="0"/>
        <w:rPr>
          <w:rFonts w:cs="Arial"/>
          <w:b/>
          <w:color w:val="000000" w:themeColor="text1"/>
          <w:szCs w:val="22"/>
        </w:rPr>
      </w:pPr>
    </w:p>
    <w:p w14:paraId="0EA469CB" w14:textId="69B27748" w:rsidR="0003782F" w:rsidRPr="009E35ED" w:rsidRDefault="0003782F" w:rsidP="0003782F">
      <w:pPr>
        <w:pStyle w:val="BodyTextIndent2"/>
        <w:ind w:left="0"/>
        <w:rPr>
          <w:rFonts w:cs="Arial"/>
          <w:b/>
          <w:color w:val="000000" w:themeColor="text1"/>
          <w:szCs w:val="22"/>
        </w:rPr>
      </w:pPr>
      <w:r w:rsidRPr="009E35ED">
        <w:rPr>
          <w:rFonts w:cs="Arial"/>
          <w:b/>
          <w:color w:val="000000" w:themeColor="text1"/>
          <w:szCs w:val="22"/>
        </w:rPr>
        <w:t>Schedule of Investment Property (Building)</w:t>
      </w:r>
    </w:p>
    <w:p w14:paraId="4556E39B" w14:textId="3948E809" w:rsidR="00572AF6" w:rsidRPr="009E35ED" w:rsidRDefault="0097794C" w:rsidP="00803F8C">
      <w:pPr>
        <w:pStyle w:val="BodyTextIndent2"/>
        <w:ind w:left="0"/>
        <w:rPr>
          <w:color w:val="000000" w:themeColor="text1"/>
        </w:rPr>
      </w:pPr>
      <w:r w:rsidRPr="009E35ED">
        <w:rPr>
          <w:rFonts w:cs="Arial"/>
          <w:color w:val="000000" w:themeColor="text1"/>
          <w:szCs w:val="22"/>
        </w:rPr>
        <w:tab/>
      </w:r>
      <w:r w:rsidRPr="009E35ED">
        <w:rPr>
          <w:rFonts w:cs="Arial"/>
          <w:color w:val="000000" w:themeColor="text1"/>
          <w:szCs w:val="22"/>
        </w:rPr>
        <w:tab/>
      </w:r>
      <w:r w:rsidRPr="009E35ED">
        <w:rPr>
          <w:rFonts w:cs="Arial"/>
          <w:color w:val="000000" w:themeColor="text1"/>
          <w:szCs w:val="22"/>
        </w:rPr>
        <w:tab/>
      </w:r>
    </w:p>
    <w:p w14:paraId="53A25D9F" w14:textId="604ADB7A" w:rsidR="00E83763" w:rsidRPr="009E35ED" w:rsidRDefault="0097794C" w:rsidP="00803F8C">
      <w:pPr>
        <w:pStyle w:val="BodyTextIndent2"/>
        <w:ind w:left="0"/>
        <w:rPr>
          <w:rFonts w:cs="Arial"/>
          <w:color w:val="000000" w:themeColor="text1"/>
          <w:szCs w:val="22"/>
        </w:rPr>
      </w:pPr>
      <w:r w:rsidRPr="009E35ED">
        <w:rPr>
          <w:rFonts w:cs="Arial"/>
          <w:color w:val="000000" w:themeColor="text1"/>
          <w:szCs w:val="22"/>
        </w:rPr>
        <w:t>The carrying value</w:t>
      </w:r>
      <w:r w:rsidR="0003782F" w:rsidRPr="009E35ED">
        <w:rPr>
          <w:rFonts w:cs="Arial"/>
          <w:color w:val="000000" w:themeColor="text1"/>
          <w:szCs w:val="22"/>
        </w:rPr>
        <w:t xml:space="preserve"> of the Investment </w:t>
      </w:r>
      <w:r w:rsidR="000911E5">
        <w:rPr>
          <w:rFonts w:cs="Arial"/>
          <w:color w:val="000000" w:themeColor="text1"/>
          <w:szCs w:val="22"/>
        </w:rPr>
        <w:t>p</w:t>
      </w:r>
      <w:r w:rsidR="0003782F" w:rsidRPr="009E35ED">
        <w:rPr>
          <w:rFonts w:cs="Arial"/>
          <w:color w:val="000000" w:themeColor="text1"/>
          <w:szCs w:val="22"/>
        </w:rPr>
        <w:t>roperty (</w:t>
      </w:r>
      <w:r w:rsidR="000911E5">
        <w:rPr>
          <w:rFonts w:cs="Arial"/>
          <w:color w:val="000000" w:themeColor="text1"/>
          <w:szCs w:val="22"/>
        </w:rPr>
        <w:t>b</w:t>
      </w:r>
      <w:r w:rsidR="0003782F" w:rsidRPr="009E35ED">
        <w:rPr>
          <w:rFonts w:cs="Arial"/>
          <w:color w:val="000000" w:themeColor="text1"/>
          <w:szCs w:val="22"/>
        </w:rPr>
        <w:t>uilding)</w:t>
      </w:r>
      <w:r w:rsidRPr="009E35ED">
        <w:rPr>
          <w:rFonts w:cs="Arial"/>
          <w:color w:val="000000" w:themeColor="text1"/>
          <w:szCs w:val="22"/>
        </w:rPr>
        <w:t xml:space="preserve"> is computed a</w:t>
      </w:r>
      <w:r w:rsidR="006971C6" w:rsidRPr="009E35ED">
        <w:rPr>
          <w:rFonts w:cs="Arial"/>
          <w:color w:val="000000" w:themeColor="text1"/>
          <w:szCs w:val="22"/>
        </w:rPr>
        <w:t>t</w:t>
      </w:r>
      <w:r w:rsidRPr="009E35ED">
        <w:rPr>
          <w:rFonts w:cs="Arial"/>
          <w:color w:val="000000" w:themeColor="text1"/>
          <w:szCs w:val="22"/>
        </w:rPr>
        <w:t xml:space="preserve"> cost less accumulated depreciation and depreciated using straight-line method. No additions/acquisitions </w:t>
      </w:r>
      <w:r w:rsidR="00B40F6B" w:rsidRPr="009E35ED">
        <w:rPr>
          <w:rFonts w:cs="Arial"/>
          <w:color w:val="000000" w:themeColor="text1"/>
          <w:szCs w:val="22"/>
        </w:rPr>
        <w:t>made</w:t>
      </w:r>
      <w:r w:rsidRPr="009E35ED">
        <w:rPr>
          <w:rFonts w:cs="Arial"/>
          <w:color w:val="000000" w:themeColor="text1"/>
          <w:szCs w:val="22"/>
        </w:rPr>
        <w:t xml:space="preserve"> for the year 20</w:t>
      </w:r>
      <w:r w:rsidR="00792525" w:rsidRPr="009E35ED">
        <w:rPr>
          <w:rFonts w:cs="Arial"/>
          <w:color w:val="000000" w:themeColor="text1"/>
          <w:szCs w:val="22"/>
        </w:rPr>
        <w:t>2</w:t>
      </w:r>
      <w:r w:rsidR="00D5551C" w:rsidRPr="009E35ED">
        <w:rPr>
          <w:rFonts w:cs="Arial"/>
          <w:color w:val="000000" w:themeColor="text1"/>
          <w:szCs w:val="22"/>
        </w:rPr>
        <w:t>3</w:t>
      </w:r>
      <w:r w:rsidRPr="009E35ED">
        <w:rPr>
          <w:rFonts w:cs="Arial"/>
          <w:color w:val="000000" w:themeColor="text1"/>
          <w:szCs w:val="22"/>
        </w:rPr>
        <w:t>.</w:t>
      </w:r>
    </w:p>
    <w:p w14:paraId="316692DE" w14:textId="08E1A5CD" w:rsidR="00964E4D" w:rsidRPr="009E35ED" w:rsidRDefault="0097794C" w:rsidP="00803F8C">
      <w:pPr>
        <w:pStyle w:val="BodyTextIndent2"/>
        <w:ind w:left="0"/>
        <w:rPr>
          <w:rFonts w:cs="Arial"/>
          <w:color w:val="000000" w:themeColor="text1"/>
          <w:szCs w:val="22"/>
        </w:rPr>
      </w:pPr>
      <w:r w:rsidRPr="009E35ED">
        <w:rPr>
          <w:rFonts w:cs="Arial"/>
          <w:color w:val="000000" w:themeColor="text1"/>
          <w:szCs w:val="22"/>
        </w:rPr>
        <w:tab/>
      </w:r>
    </w:p>
    <w:tbl>
      <w:tblPr>
        <w:tblW w:w="6660" w:type="dxa"/>
        <w:tblInd w:w="1260" w:type="dxa"/>
        <w:tblLook w:val="04A0" w:firstRow="1" w:lastRow="0" w:firstColumn="1" w:lastColumn="0" w:noHBand="0" w:noVBand="1"/>
      </w:tblPr>
      <w:tblGrid>
        <w:gridCol w:w="4680"/>
        <w:gridCol w:w="1980"/>
      </w:tblGrid>
      <w:tr w:rsidR="00997F75" w:rsidRPr="009E35ED" w14:paraId="4C86CC80" w14:textId="77777777" w:rsidTr="002F0748">
        <w:trPr>
          <w:trHeight w:val="622"/>
          <w:tblHeader/>
        </w:trPr>
        <w:tc>
          <w:tcPr>
            <w:tcW w:w="4680" w:type="dxa"/>
            <w:tcBorders>
              <w:top w:val="single" w:sz="4" w:space="0" w:color="auto"/>
              <w:left w:val="nil"/>
              <w:bottom w:val="single" w:sz="4" w:space="0" w:color="auto"/>
              <w:right w:val="nil"/>
            </w:tcBorders>
            <w:shd w:val="clear" w:color="auto" w:fill="auto"/>
            <w:noWrap/>
            <w:vAlign w:val="center"/>
            <w:hideMark/>
          </w:tcPr>
          <w:p w14:paraId="697ED9BA" w14:textId="5EDFE820" w:rsidR="00FA7408" w:rsidRPr="009E35ED" w:rsidRDefault="0097794C" w:rsidP="00803F8C">
            <w:pPr>
              <w:ind w:left="0"/>
              <w:jc w:val="center"/>
              <w:rPr>
                <w:rFonts w:ascii="Arial Narrow" w:hAnsi="Arial Narrow" w:cs="Arial"/>
                <w:bCs/>
                <w:color w:val="000000" w:themeColor="text1"/>
                <w:sz w:val="20"/>
                <w:szCs w:val="20"/>
                <w:lang w:val="en-PH" w:eastAsia="en-PH"/>
              </w:rPr>
            </w:pPr>
            <w:r w:rsidRPr="009E35ED">
              <w:rPr>
                <w:rFonts w:cs="Arial"/>
                <w:color w:val="000000" w:themeColor="text1"/>
                <w:szCs w:val="22"/>
              </w:rPr>
              <w:tab/>
            </w:r>
          </w:p>
        </w:tc>
        <w:tc>
          <w:tcPr>
            <w:tcW w:w="1980" w:type="dxa"/>
            <w:tcBorders>
              <w:top w:val="single" w:sz="4" w:space="0" w:color="auto"/>
              <w:left w:val="nil"/>
              <w:bottom w:val="single" w:sz="4" w:space="0" w:color="auto"/>
              <w:right w:val="nil"/>
            </w:tcBorders>
            <w:shd w:val="clear" w:color="auto" w:fill="auto"/>
            <w:vAlign w:val="center"/>
            <w:hideMark/>
          </w:tcPr>
          <w:p w14:paraId="42739A8C" w14:textId="77777777" w:rsidR="00FA7408" w:rsidRPr="009E35ED" w:rsidRDefault="00FA7408" w:rsidP="00803F8C">
            <w:pPr>
              <w:ind w:left="0"/>
              <w:jc w:val="center"/>
              <w:rPr>
                <w:rFonts w:ascii="Arial Narrow" w:hAnsi="Arial Narrow" w:cs="Arial"/>
                <w:b/>
                <w:bCs/>
                <w:color w:val="000000" w:themeColor="text1"/>
                <w:sz w:val="20"/>
                <w:szCs w:val="20"/>
                <w:lang w:val="en-PH" w:eastAsia="en-PH"/>
              </w:rPr>
            </w:pPr>
            <w:r w:rsidRPr="009E35ED">
              <w:rPr>
                <w:rFonts w:ascii="Arial Narrow" w:hAnsi="Arial Narrow" w:cs="Arial"/>
                <w:b/>
                <w:bCs/>
                <w:color w:val="000000" w:themeColor="text1"/>
                <w:sz w:val="20"/>
                <w:szCs w:val="20"/>
                <w:lang w:val="en-PH" w:eastAsia="en-PH"/>
              </w:rPr>
              <w:t>No. 72 Bulusan Street, Brgy. Salvacion, La Loma, Quezon City</w:t>
            </w:r>
          </w:p>
        </w:tc>
      </w:tr>
      <w:tr w:rsidR="00997F75" w:rsidRPr="009E35ED" w14:paraId="5D2A57B5" w14:textId="77777777" w:rsidTr="002F0748">
        <w:trPr>
          <w:trHeight w:val="181"/>
        </w:trPr>
        <w:tc>
          <w:tcPr>
            <w:tcW w:w="4680" w:type="dxa"/>
            <w:tcBorders>
              <w:top w:val="single" w:sz="4" w:space="0" w:color="auto"/>
              <w:left w:val="nil"/>
              <w:right w:val="nil"/>
            </w:tcBorders>
            <w:shd w:val="clear" w:color="auto" w:fill="auto"/>
            <w:noWrap/>
            <w:vAlign w:val="bottom"/>
            <w:hideMark/>
          </w:tcPr>
          <w:p w14:paraId="6A601B32" w14:textId="77777777" w:rsidR="00FA7408" w:rsidRPr="009E35ED" w:rsidRDefault="00FA7408" w:rsidP="004E1271">
            <w:pPr>
              <w:ind w:left="-110"/>
              <w:jc w:val="left"/>
              <w:rPr>
                <w:rFonts w:ascii="Arial Narrow" w:hAnsi="Arial Narrow" w:cs="Arial"/>
                <w:bCs/>
                <w:color w:val="000000" w:themeColor="text1"/>
                <w:sz w:val="20"/>
                <w:szCs w:val="20"/>
                <w:lang w:val="en-PH" w:eastAsia="en-PH"/>
              </w:rPr>
            </w:pPr>
            <w:r w:rsidRPr="009E35ED">
              <w:rPr>
                <w:rFonts w:ascii="Arial Narrow" w:hAnsi="Arial Narrow" w:cs="Arial"/>
                <w:bCs/>
                <w:color w:val="000000" w:themeColor="text1"/>
                <w:sz w:val="20"/>
                <w:szCs w:val="20"/>
                <w:lang w:val="en-PH" w:eastAsia="en-PH"/>
              </w:rPr>
              <w:t>Cost</w:t>
            </w:r>
          </w:p>
        </w:tc>
        <w:tc>
          <w:tcPr>
            <w:tcW w:w="1980" w:type="dxa"/>
            <w:tcBorders>
              <w:top w:val="single" w:sz="4" w:space="0" w:color="auto"/>
              <w:left w:val="nil"/>
              <w:right w:val="nil"/>
            </w:tcBorders>
            <w:shd w:val="clear" w:color="auto" w:fill="auto"/>
            <w:noWrap/>
            <w:hideMark/>
          </w:tcPr>
          <w:p w14:paraId="04003F0F" w14:textId="77777777" w:rsidR="00FA7408" w:rsidRPr="009E35ED" w:rsidRDefault="00FA7408" w:rsidP="00803F8C">
            <w:pPr>
              <w:ind w:left="0"/>
              <w:jc w:val="right"/>
              <w:rPr>
                <w:rFonts w:ascii="Arial Narrow" w:hAnsi="Arial Narrow" w:cs="Arial"/>
                <w:color w:val="000000" w:themeColor="text1"/>
                <w:sz w:val="20"/>
                <w:szCs w:val="20"/>
                <w:lang w:val="en-PH" w:eastAsia="en-PH"/>
              </w:rPr>
            </w:pPr>
            <w:r w:rsidRPr="009E35ED">
              <w:rPr>
                <w:rFonts w:ascii="Arial Narrow" w:hAnsi="Arial Narrow" w:cs="Arial"/>
                <w:color w:val="000000" w:themeColor="text1"/>
                <w:sz w:val="20"/>
                <w:szCs w:val="20"/>
              </w:rPr>
              <w:t xml:space="preserve">7,122,000 </w:t>
            </w:r>
          </w:p>
        </w:tc>
      </w:tr>
      <w:tr w:rsidR="00997F75" w:rsidRPr="009E35ED" w14:paraId="54822087" w14:textId="77777777" w:rsidTr="002F0748">
        <w:trPr>
          <w:trHeight w:val="153"/>
        </w:trPr>
        <w:tc>
          <w:tcPr>
            <w:tcW w:w="4680" w:type="dxa"/>
            <w:tcBorders>
              <w:top w:val="nil"/>
              <w:left w:val="nil"/>
              <w:bottom w:val="single" w:sz="4" w:space="0" w:color="auto"/>
              <w:right w:val="nil"/>
            </w:tcBorders>
            <w:shd w:val="clear" w:color="auto" w:fill="auto"/>
            <w:vAlign w:val="bottom"/>
            <w:hideMark/>
          </w:tcPr>
          <w:p w14:paraId="3C739B0A" w14:textId="77777777" w:rsidR="00FA7408" w:rsidRPr="009E35ED" w:rsidRDefault="00FA7408" w:rsidP="004E1271">
            <w:pPr>
              <w:ind w:left="-110"/>
              <w:jc w:val="left"/>
              <w:rPr>
                <w:rFonts w:ascii="Arial Narrow" w:hAnsi="Arial Narrow" w:cs="Arial"/>
                <w:bCs/>
                <w:color w:val="000000" w:themeColor="text1"/>
                <w:sz w:val="20"/>
                <w:szCs w:val="20"/>
                <w:lang w:val="en-PH" w:eastAsia="en-PH"/>
              </w:rPr>
            </w:pPr>
            <w:r w:rsidRPr="009E35ED">
              <w:rPr>
                <w:rFonts w:ascii="Arial Narrow" w:hAnsi="Arial Narrow" w:cs="Arial"/>
                <w:bCs/>
                <w:color w:val="000000" w:themeColor="text1"/>
                <w:sz w:val="20"/>
                <w:szCs w:val="20"/>
                <w:lang w:val="en-PH" w:eastAsia="en-PH"/>
              </w:rPr>
              <w:t>Salvage Value (5%)</w:t>
            </w:r>
          </w:p>
        </w:tc>
        <w:tc>
          <w:tcPr>
            <w:tcW w:w="1980" w:type="dxa"/>
            <w:tcBorders>
              <w:top w:val="nil"/>
              <w:left w:val="nil"/>
              <w:bottom w:val="single" w:sz="4" w:space="0" w:color="auto"/>
              <w:right w:val="nil"/>
            </w:tcBorders>
            <w:shd w:val="clear" w:color="auto" w:fill="auto"/>
            <w:noWrap/>
            <w:hideMark/>
          </w:tcPr>
          <w:p w14:paraId="3A0F91C5" w14:textId="77777777" w:rsidR="00FA7408" w:rsidRPr="009E35ED" w:rsidRDefault="00FA7408" w:rsidP="00803F8C">
            <w:pPr>
              <w:ind w:left="0"/>
              <w:jc w:val="right"/>
              <w:rPr>
                <w:rFonts w:ascii="Arial Narrow" w:hAnsi="Arial Narrow" w:cs="Arial"/>
                <w:color w:val="000000" w:themeColor="text1"/>
                <w:sz w:val="20"/>
                <w:szCs w:val="20"/>
                <w:lang w:val="en-PH" w:eastAsia="en-PH"/>
              </w:rPr>
            </w:pPr>
            <w:r w:rsidRPr="009E35ED">
              <w:rPr>
                <w:rFonts w:ascii="Arial Narrow" w:hAnsi="Arial Narrow" w:cs="Arial"/>
                <w:color w:val="000000" w:themeColor="text1"/>
                <w:sz w:val="20"/>
                <w:szCs w:val="20"/>
              </w:rPr>
              <w:t xml:space="preserve">(356,100) </w:t>
            </w:r>
          </w:p>
        </w:tc>
      </w:tr>
      <w:tr w:rsidR="00997F75" w:rsidRPr="009E35ED" w14:paraId="2BF86111" w14:textId="77777777" w:rsidTr="002F0748">
        <w:trPr>
          <w:trHeight w:val="123"/>
        </w:trPr>
        <w:tc>
          <w:tcPr>
            <w:tcW w:w="4680" w:type="dxa"/>
            <w:tcBorders>
              <w:top w:val="single" w:sz="4" w:space="0" w:color="auto"/>
              <w:left w:val="nil"/>
              <w:bottom w:val="single" w:sz="4" w:space="0" w:color="auto"/>
              <w:right w:val="nil"/>
            </w:tcBorders>
            <w:shd w:val="clear" w:color="auto" w:fill="auto"/>
            <w:noWrap/>
            <w:vAlign w:val="bottom"/>
            <w:hideMark/>
          </w:tcPr>
          <w:p w14:paraId="1F26B6AC" w14:textId="77777777" w:rsidR="00FA7408" w:rsidRPr="009E35ED" w:rsidRDefault="00FA7408" w:rsidP="004E1271">
            <w:pPr>
              <w:ind w:left="-110"/>
              <w:jc w:val="left"/>
              <w:rPr>
                <w:rFonts w:ascii="Arial Narrow" w:hAnsi="Arial Narrow" w:cs="Arial"/>
                <w:bCs/>
                <w:color w:val="000000" w:themeColor="text1"/>
                <w:sz w:val="20"/>
                <w:szCs w:val="20"/>
                <w:lang w:val="en-PH" w:eastAsia="en-PH"/>
              </w:rPr>
            </w:pPr>
            <w:r w:rsidRPr="009E35ED">
              <w:rPr>
                <w:rFonts w:ascii="Arial Narrow" w:hAnsi="Arial Narrow" w:cs="Arial"/>
                <w:bCs/>
                <w:color w:val="000000" w:themeColor="text1"/>
                <w:sz w:val="20"/>
                <w:szCs w:val="20"/>
                <w:lang w:val="en-PH" w:eastAsia="en-PH"/>
              </w:rPr>
              <w:t>Depreciable Cost</w:t>
            </w:r>
          </w:p>
        </w:tc>
        <w:tc>
          <w:tcPr>
            <w:tcW w:w="1980" w:type="dxa"/>
            <w:tcBorders>
              <w:top w:val="single" w:sz="4" w:space="0" w:color="auto"/>
              <w:left w:val="nil"/>
              <w:bottom w:val="single" w:sz="4" w:space="0" w:color="auto"/>
              <w:right w:val="nil"/>
            </w:tcBorders>
            <w:shd w:val="clear" w:color="auto" w:fill="auto"/>
            <w:noWrap/>
            <w:hideMark/>
          </w:tcPr>
          <w:p w14:paraId="2B3AB4A9" w14:textId="77777777" w:rsidR="00FA7408" w:rsidRPr="009E35ED" w:rsidRDefault="00FA7408" w:rsidP="00803F8C">
            <w:pPr>
              <w:ind w:left="0"/>
              <w:jc w:val="right"/>
              <w:rPr>
                <w:rFonts w:ascii="Arial Narrow" w:hAnsi="Arial Narrow" w:cs="Arial"/>
                <w:b/>
                <w:bCs/>
                <w:color w:val="000000" w:themeColor="text1"/>
                <w:sz w:val="20"/>
                <w:szCs w:val="20"/>
                <w:lang w:val="en-PH" w:eastAsia="en-PH"/>
              </w:rPr>
            </w:pPr>
            <w:r w:rsidRPr="009E35ED">
              <w:rPr>
                <w:rFonts w:ascii="Arial Narrow" w:hAnsi="Arial Narrow" w:cs="Arial"/>
                <w:b/>
                <w:bCs/>
                <w:color w:val="000000" w:themeColor="text1"/>
                <w:sz w:val="20"/>
                <w:szCs w:val="20"/>
              </w:rPr>
              <w:t xml:space="preserve">6,765,900 </w:t>
            </w:r>
          </w:p>
        </w:tc>
      </w:tr>
      <w:tr w:rsidR="00997F75" w:rsidRPr="009E35ED" w14:paraId="0DE6FC78" w14:textId="77777777" w:rsidTr="002F0748">
        <w:trPr>
          <w:trHeight w:val="85"/>
        </w:trPr>
        <w:tc>
          <w:tcPr>
            <w:tcW w:w="4680" w:type="dxa"/>
            <w:tcBorders>
              <w:top w:val="single" w:sz="4" w:space="0" w:color="auto"/>
              <w:left w:val="nil"/>
              <w:bottom w:val="nil"/>
              <w:right w:val="nil"/>
            </w:tcBorders>
            <w:shd w:val="clear" w:color="auto" w:fill="auto"/>
            <w:vAlign w:val="bottom"/>
            <w:hideMark/>
          </w:tcPr>
          <w:p w14:paraId="72B08EDB" w14:textId="77777777" w:rsidR="00FA7408" w:rsidRPr="009E35ED" w:rsidRDefault="00FA7408" w:rsidP="004E1271">
            <w:pPr>
              <w:ind w:left="-110"/>
              <w:jc w:val="left"/>
              <w:rPr>
                <w:rFonts w:ascii="Arial Narrow" w:hAnsi="Arial Narrow" w:cs="Arial"/>
                <w:bCs/>
                <w:color w:val="000000" w:themeColor="text1"/>
                <w:sz w:val="20"/>
                <w:szCs w:val="20"/>
                <w:lang w:val="en-PH" w:eastAsia="en-PH"/>
              </w:rPr>
            </w:pPr>
            <w:r w:rsidRPr="009E35ED">
              <w:rPr>
                <w:rFonts w:ascii="Arial Narrow" w:hAnsi="Arial Narrow" w:cs="Arial"/>
                <w:bCs/>
                <w:color w:val="000000" w:themeColor="text1"/>
                <w:sz w:val="20"/>
                <w:szCs w:val="20"/>
                <w:lang w:val="en-PH" w:eastAsia="en-PH"/>
              </w:rPr>
              <w:t>Estimated Useful Life</w:t>
            </w:r>
          </w:p>
        </w:tc>
        <w:tc>
          <w:tcPr>
            <w:tcW w:w="1980" w:type="dxa"/>
            <w:tcBorders>
              <w:top w:val="nil"/>
              <w:left w:val="nil"/>
              <w:bottom w:val="nil"/>
              <w:right w:val="nil"/>
            </w:tcBorders>
            <w:shd w:val="clear" w:color="auto" w:fill="auto"/>
            <w:noWrap/>
            <w:hideMark/>
          </w:tcPr>
          <w:p w14:paraId="7A6564E9" w14:textId="77777777" w:rsidR="00FA7408" w:rsidRPr="009E35ED" w:rsidRDefault="00FA7408" w:rsidP="00803F8C">
            <w:pPr>
              <w:ind w:left="0"/>
              <w:jc w:val="right"/>
              <w:rPr>
                <w:rFonts w:ascii="Arial Narrow" w:hAnsi="Arial Narrow" w:cs="Arial"/>
                <w:color w:val="000000" w:themeColor="text1"/>
                <w:sz w:val="20"/>
                <w:szCs w:val="20"/>
                <w:lang w:val="en-PH" w:eastAsia="en-PH"/>
              </w:rPr>
            </w:pPr>
            <w:r w:rsidRPr="009E35ED">
              <w:rPr>
                <w:rFonts w:ascii="Arial Narrow" w:hAnsi="Arial Narrow" w:cs="Arial"/>
                <w:color w:val="000000" w:themeColor="text1"/>
                <w:sz w:val="20"/>
                <w:szCs w:val="20"/>
              </w:rPr>
              <w:t xml:space="preserve">27 </w:t>
            </w:r>
          </w:p>
        </w:tc>
      </w:tr>
      <w:tr w:rsidR="00997F75" w:rsidRPr="009E35ED" w14:paraId="2C12927A" w14:textId="77777777" w:rsidTr="002F0748">
        <w:trPr>
          <w:trHeight w:val="63"/>
        </w:trPr>
        <w:tc>
          <w:tcPr>
            <w:tcW w:w="4680" w:type="dxa"/>
            <w:tcBorders>
              <w:top w:val="nil"/>
              <w:left w:val="nil"/>
              <w:bottom w:val="nil"/>
              <w:right w:val="nil"/>
            </w:tcBorders>
            <w:shd w:val="clear" w:color="auto" w:fill="auto"/>
            <w:vAlign w:val="bottom"/>
            <w:hideMark/>
          </w:tcPr>
          <w:p w14:paraId="71703BF7" w14:textId="77777777" w:rsidR="00FA7408" w:rsidRPr="009E35ED" w:rsidRDefault="00FA7408" w:rsidP="004E1271">
            <w:pPr>
              <w:ind w:left="-110"/>
              <w:jc w:val="left"/>
              <w:rPr>
                <w:rFonts w:ascii="Arial Narrow" w:hAnsi="Arial Narrow" w:cs="Arial"/>
                <w:bCs/>
                <w:color w:val="000000" w:themeColor="text1"/>
                <w:sz w:val="20"/>
                <w:szCs w:val="20"/>
                <w:lang w:val="en-PH" w:eastAsia="en-PH"/>
              </w:rPr>
            </w:pPr>
            <w:r w:rsidRPr="009E35ED">
              <w:rPr>
                <w:rFonts w:ascii="Arial Narrow" w:hAnsi="Arial Narrow" w:cs="Arial"/>
                <w:bCs/>
                <w:color w:val="000000" w:themeColor="text1"/>
                <w:sz w:val="20"/>
                <w:szCs w:val="20"/>
                <w:lang w:val="en-PH" w:eastAsia="en-PH"/>
              </w:rPr>
              <w:t>Depreciation</w:t>
            </w:r>
          </w:p>
        </w:tc>
        <w:tc>
          <w:tcPr>
            <w:tcW w:w="1980" w:type="dxa"/>
            <w:tcBorders>
              <w:top w:val="nil"/>
              <w:left w:val="nil"/>
              <w:bottom w:val="nil"/>
              <w:right w:val="nil"/>
            </w:tcBorders>
            <w:shd w:val="clear" w:color="auto" w:fill="auto"/>
            <w:noWrap/>
            <w:hideMark/>
          </w:tcPr>
          <w:p w14:paraId="79B971A8" w14:textId="77777777" w:rsidR="00FA7408" w:rsidRPr="009E35ED" w:rsidRDefault="00FA7408" w:rsidP="00803F8C">
            <w:pPr>
              <w:ind w:left="0"/>
              <w:jc w:val="right"/>
              <w:rPr>
                <w:rFonts w:ascii="Arial Narrow" w:hAnsi="Arial Narrow" w:cs="Arial"/>
                <w:b/>
                <w:bCs/>
                <w:color w:val="000000" w:themeColor="text1"/>
                <w:sz w:val="20"/>
                <w:szCs w:val="20"/>
                <w:lang w:val="en-PH" w:eastAsia="en-PH"/>
              </w:rPr>
            </w:pPr>
          </w:p>
        </w:tc>
      </w:tr>
      <w:tr w:rsidR="00997F75" w:rsidRPr="009E35ED" w14:paraId="5B073AE8" w14:textId="77777777" w:rsidTr="002F0748">
        <w:trPr>
          <w:trHeight w:val="124"/>
        </w:trPr>
        <w:tc>
          <w:tcPr>
            <w:tcW w:w="4680" w:type="dxa"/>
            <w:tcBorders>
              <w:top w:val="nil"/>
              <w:left w:val="nil"/>
              <w:bottom w:val="nil"/>
              <w:right w:val="nil"/>
            </w:tcBorders>
            <w:shd w:val="clear" w:color="auto" w:fill="auto"/>
            <w:vAlign w:val="bottom"/>
            <w:hideMark/>
          </w:tcPr>
          <w:p w14:paraId="5F8A09FE" w14:textId="77777777" w:rsidR="00FA7408" w:rsidRPr="009E35ED" w:rsidRDefault="00FA7408" w:rsidP="004E1271">
            <w:pPr>
              <w:ind w:left="-110"/>
              <w:jc w:val="left"/>
              <w:rPr>
                <w:rFonts w:ascii="Arial Narrow" w:hAnsi="Arial Narrow" w:cs="Arial"/>
                <w:bCs/>
                <w:color w:val="000000" w:themeColor="text1"/>
                <w:sz w:val="20"/>
                <w:szCs w:val="20"/>
                <w:lang w:val="en-PH" w:eastAsia="en-PH"/>
              </w:rPr>
            </w:pPr>
            <w:r w:rsidRPr="009E35ED">
              <w:rPr>
                <w:rFonts w:ascii="Arial Narrow" w:hAnsi="Arial Narrow" w:cs="Arial"/>
                <w:bCs/>
                <w:color w:val="000000" w:themeColor="text1"/>
                <w:sz w:val="20"/>
                <w:szCs w:val="20"/>
                <w:lang w:val="en-PH" w:eastAsia="en-PH"/>
              </w:rPr>
              <w:t>2014</w:t>
            </w:r>
          </w:p>
        </w:tc>
        <w:tc>
          <w:tcPr>
            <w:tcW w:w="1980" w:type="dxa"/>
            <w:tcBorders>
              <w:top w:val="nil"/>
              <w:left w:val="nil"/>
              <w:bottom w:val="nil"/>
              <w:right w:val="nil"/>
            </w:tcBorders>
            <w:shd w:val="clear" w:color="auto" w:fill="auto"/>
            <w:noWrap/>
            <w:hideMark/>
          </w:tcPr>
          <w:p w14:paraId="4DAE2D8A" w14:textId="77777777" w:rsidR="00FA7408" w:rsidRPr="009E35ED" w:rsidRDefault="00FA7408" w:rsidP="00803F8C">
            <w:pPr>
              <w:ind w:left="0"/>
              <w:jc w:val="right"/>
              <w:rPr>
                <w:rFonts w:ascii="Arial Narrow" w:hAnsi="Arial Narrow" w:cs="Arial"/>
                <w:color w:val="000000" w:themeColor="text1"/>
                <w:sz w:val="20"/>
                <w:szCs w:val="20"/>
                <w:lang w:val="en-PH" w:eastAsia="en-PH"/>
              </w:rPr>
            </w:pPr>
            <w:r w:rsidRPr="009E35ED">
              <w:rPr>
                <w:rFonts w:ascii="Arial Narrow" w:hAnsi="Arial Narrow" w:cs="Arial"/>
                <w:color w:val="000000" w:themeColor="text1"/>
                <w:sz w:val="20"/>
                <w:szCs w:val="20"/>
              </w:rPr>
              <w:t xml:space="preserve">250,589 </w:t>
            </w:r>
          </w:p>
        </w:tc>
      </w:tr>
      <w:tr w:rsidR="00997F75" w:rsidRPr="009E35ED" w14:paraId="24CD03E9" w14:textId="77777777" w:rsidTr="002F0748">
        <w:trPr>
          <w:trHeight w:val="191"/>
        </w:trPr>
        <w:tc>
          <w:tcPr>
            <w:tcW w:w="4680" w:type="dxa"/>
            <w:tcBorders>
              <w:top w:val="nil"/>
              <w:left w:val="nil"/>
              <w:bottom w:val="nil"/>
              <w:right w:val="nil"/>
            </w:tcBorders>
            <w:shd w:val="clear" w:color="auto" w:fill="auto"/>
            <w:vAlign w:val="bottom"/>
            <w:hideMark/>
          </w:tcPr>
          <w:p w14:paraId="3F6BC5A0" w14:textId="77777777" w:rsidR="00FA7408" w:rsidRPr="009E35ED" w:rsidRDefault="00FA7408" w:rsidP="004E1271">
            <w:pPr>
              <w:ind w:left="-110"/>
              <w:jc w:val="left"/>
              <w:rPr>
                <w:rFonts w:ascii="Arial Narrow" w:hAnsi="Arial Narrow" w:cs="Arial"/>
                <w:bCs/>
                <w:color w:val="000000" w:themeColor="text1"/>
                <w:sz w:val="20"/>
                <w:szCs w:val="20"/>
                <w:lang w:val="en-PH" w:eastAsia="en-PH"/>
              </w:rPr>
            </w:pPr>
            <w:r w:rsidRPr="009E35ED">
              <w:rPr>
                <w:rFonts w:ascii="Arial Narrow" w:hAnsi="Arial Narrow" w:cs="Arial"/>
                <w:bCs/>
                <w:color w:val="000000" w:themeColor="text1"/>
                <w:sz w:val="20"/>
                <w:szCs w:val="20"/>
                <w:lang w:val="en-PH" w:eastAsia="en-PH"/>
              </w:rPr>
              <w:t>2015</w:t>
            </w:r>
          </w:p>
        </w:tc>
        <w:tc>
          <w:tcPr>
            <w:tcW w:w="1980" w:type="dxa"/>
            <w:tcBorders>
              <w:top w:val="nil"/>
              <w:left w:val="nil"/>
              <w:bottom w:val="nil"/>
              <w:right w:val="nil"/>
            </w:tcBorders>
            <w:shd w:val="clear" w:color="auto" w:fill="auto"/>
            <w:noWrap/>
            <w:hideMark/>
          </w:tcPr>
          <w:p w14:paraId="248961D2" w14:textId="77777777" w:rsidR="00FA7408" w:rsidRPr="009E35ED" w:rsidRDefault="00FA7408" w:rsidP="00803F8C">
            <w:pPr>
              <w:ind w:left="0"/>
              <w:jc w:val="right"/>
              <w:rPr>
                <w:rFonts w:ascii="Arial Narrow" w:hAnsi="Arial Narrow" w:cs="Arial"/>
                <w:color w:val="000000" w:themeColor="text1"/>
                <w:sz w:val="20"/>
                <w:szCs w:val="20"/>
                <w:lang w:val="en-PH" w:eastAsia="en-PH"/>
              </w:rPr>
            </w:pPr>
            <w:r w:rsidRPr="009E35ED">
              <w:rPr>
                <w:rFonts w:ascii="Arial Narrow" w:hAnsi="Arial Narrow" w:cs="Arial"/>
                <w:color w:val="000000" w:themeColor="text1"/>
                <w:sz w:val="20"/>
                <w:szCs w:val="20"/>
              </w:rPr>
              <w:t xml:space="preserve">250,589 </w:t>
            </w:r>
          </w:p>
        </w:tc>
      </w:tr>
      <w:tr w:rsidR="00997F75" w:rsidRPr="009E35ED" w14:paraId="5944F867" w14:textId="77777777" w:rsidTr="002F0748">
        <w:trPr>
          <w:trHeight w:val="162"/>
        </w:trPr>
        <w:tc>
          <w:tcPr>
            <w:tcW w:w="4680" w:type="dxa"/>
            <w:tcBorders>
              <w:top w:val="nil"/>
              <w:left w:val="nil"/>
              <w:bottom w:val="nil"/>
              <w:right w:val="nil"/>
            </w:tcBorders>
            <w:shd w:val="clear" w:color="auto" w:fill="auto"/>
            <w:vAlign w:val="bottom"/>
            <w:hideMark/>
          </w:tcPr>
          <w:p w14:paraId="681BC7DA" w14:textId="77777777" w:rsidR="00FA7408" w:rsidRPr="009E35ED" w:rsidRDefault="00FA7408" w:rsidP="004E1271">
            <w:pPr>
              <w:ind w:left="-110"/>
              <w:jc w:val="left"/>
              <w:rPr>
                <w:rFonts w:ascii="Arial Narrow" w:hAnsi="Arial Narrow" w:cs="Arial"/>
                <w:bCs/>
                <w:color w:val="000000" w:themeColor="text1"/>
                <w:sz w:val="20"/>
                <w:szCs w:val="20"/>
                <w:lang w:val="en-PH" w:eastAsia="en-PH"/>
              </w:rPr>
            </w:pPr>
            <w:r w:rsidRPr="009E35ED">
              <w:rPr>
                <w:rFonts w:ascii="Arial Narrow" w:hAnsi="Arial Narrow" w:cs="Arial"/>
                <w:bCs/>
                <w:color w:val="000000" w:themeColor="text1"/>
                <w:sz w:val="20"/>
                <w:szCs w:val="20"/>
                <w:lang w:val="en-PH" w:eastAsia="en-PH"/>
              </w:rPr>
              <w:t>2016</w:t>
            </w:r>
          </w:p>
        </w:tc>
        <w:tc>
          <w:tcPr>
            <w:tcW w:w="1980" w:type="dxa"/>
            <w:tcBorders>
              <w:top w:val="nil"/>
              <w:left w:val="nil"/>
              <w:bottom w:val="nil"/>
              <w:right w:val="nil"/>
            </w:tcBorders>
            <w:shd w:val="clear" w:color="auto" w:fill="auto"/>
            <w:noWrap/>
            <w:hideMark/>
          </w:tcPr>
          <w:p w14:paraId="0CCED79B" w14:textId="77777777" w:rsidR="00FA7408" w:rsidRPr="009E35ED" w:rsidRDefault="00FA7408" w:rsidP="00803F8C">
            <w:pPr>
              <w:ind w:left="0"/>
              <w:jc w:val="right"/>
              <w:rPr>
                <w:rFonts w:ascii="Arial Narrow" w:hAnsi="Arial Narrow" w:cs="Arial"/>
                <w:color w:val="000000" w:themeColor="text1"/>
                <w:sz w:val="20"/>
                <w:szCs w:val="20"/>
                <w:lang w:val="en-PH" w:eastAsia="en-PH"/>
              </w:rPr>
            </w:pPr>
            <w:r w:rsidRPr="009E35ED">
              <w:rPr>
                <w:rFonts w:ascii="Arial Narrow" w:hAnsi="Arial Narrow" w:cs="Arial"/>
                <w:color w:val="000000" w:themeColor="text1"/>
                <w:sz w:val="20"/>
                <w:szCs w:val="20"/>
              </w:rPr>
              <w:t xml:space="preserve">250,589 </w:t>
            </w:r>
          </w:p>
        </w:tc>
      </w:tr>
      <w:tr w:rsidR="00997F75" w:rsidRPr="009E35ED" w14:paraId="19D838DA" w14:textId="77777777" w:rsidTr="002F0748">
        <w:trPr>
          <w:trHeight w:val="134"/>
        </w:trPr>
        <w:tc>
          <w:tcPr>
            <w:tcW w:w="4680" w:type="dxa"/>
            <w:tcBorders>
              <w:top w:val="nil"/>
              <w:left w:val="nil"/>
              <w:bottom w:val="nil"/>
              <w:right w:val="nil"/>
            </w:tcBorders>
            <w:shd w:val="clear" w:color="auto" w:fill="auto"/>
            <w:vAlign w:val="bottom"/>
            <w:hideMark/>
          </w:tcPr>
          <w:p w14:paraId="45FA7D21" w14:textId="77777777" w:rsidR="00FA7408" w:rsidRPr="009E35ED" w:rsidRDefault="00FA7408" w:rsidP="004E1271">
            <w:pPr>
              <w:ind w:left="-110"/>
              <w:jc w:val="left"/>
              <w:rPr>
                <w:rFonts w:ascii="Arial Narrow" w:hAnsi="Arial Narrow" w:cs="Arial"/>
                <w:bCs/>
                <w:color w:val="000000" w:themeColor="text1"/>
                <w:sz w:val="20"/>
                <w:szCs w:val="20"/>
                <w:lang w:val="en-PH" w:eastAsia="en-PH"/>
              </w:rPr>
            </w:pPr>
            <w:r w:rsidRPr="009E35ED">
              <w:rPr>
                <w:rFonts w:ascii="Arial Narrow" w:hAnsi="Arial Narrow" w:cs="Arial"/>
                <w:bCs/>
                <w:color w:val="000000" w:themeColor="text1"/>
                <w:sz w:val="20"/>
                <w:szCs w:val="20"/>
                <w:lang w:val="en-PH" w:eastAsia="en-PH"/>
              </w:rPr>
              <w:t>2017</w:t>
            </w:r>
          </w:p>
        </w:tc>
        <w:tc>
          <w:tcPr>
            <w:tcW w:w="1980" w:type="dxa"/>
            <w:tcBorders>
              <w:top w:val="nil"/>
              <w:left w:val="nil"/>
              <w:bottom w:val="nil"/>
              <w:right w:val="nil"/>
            </w:tcBorders>
            <w:shd w:val="clear" w:color="auto" w:fill="auto"/>
            <w:noWrap/>
            <w:hideMark/>
          </w:tcPr>
          <w:p w14:paraId="359F428A" w14:textId="77777777" w:rsidR="00FA7408" w:rsidRPr="009E35ED" w:rsidRDefault="00FA7408" w:rsidP="00803F8C">
            <w:pPr>
              <w:ind w:left="0"/>
              <w:jc w:val="right"/>
              <w:rPr>
                <w:rFonts w:ascii="Arial Narrow" w:hAnsi="Arial Narrow" w:cs="Arial"/>
                <w:color w:val="000000" w:themeColor="text1"/>
                <w:sz w:val="20"/>
                <w:szCs w:val="20"/>
                <w:lang w:val="en-PH" w:eastAsia="en-PH"/>
              </w:rPr>
            </w:pPr>
            <w:r w:rsidRPr="009E35ED">
              <w:rPr>
                <w:rFonts w:ascii="Arial Narrow" w:hAnsi="Arial Narrow" w:cs="Arial"/>
                <w:color w:val="000000" w:themeColor="text1"/>
                <w:sz w:val="20"/>
                <w:szCs w:val="20"/>
              </w:rPr>
              <w:t xml:space="preserve">250,589 </w:t>
            </w:r>
          </w:p>
        </w:tc>
      </w:tr>
      <w:tr w:rsidR="00997F75" w:rsidRPr="009E35ED" w14:paraId="6FDA22C1" w14:textId="77777777" w:rsidTr="002F0748">
        <w:trPr>
          <w:trHeight w:val="201"/>
        </w:trPr>
        <w:tc>
          <w:tcPr>
            <w:tcW w:w="4680" w:type="dxa"/>
            <w:tcBorders>
              <w:top w:val="nil"/>
              <w:left w:val="nil"/>
              <w:right w:val="nil"/>
            </w:tcBorders>
            <w:shd w:val="clear" w:color="auto" w:fill="auto"/>
            <w:vAlign w:val="bottom"/>
            <w:hideMark/>
          </w:tcPr>
          <w:p w14:paraId="1709B04E" w14:textId="77777777" w:rsidR="00FA7408" w:rsidRPr="009E35ED" w:rsidRDefault="00FA7408" w:rsidP="004E1271">
            <w:pPr>
              <w:ind w:left="-110"/>
              <w:jc w:val="left"/>
              <w:rPr>
                <w:rFonts w:ascii="Arial Narrow" w:hAnsi="Arial Narrow" w:cs="Arial"/>
                <w:bCs/>
                <w:color w:val="000000" w:themeColor="text1"/>
                <w:sz w:val="20"/>
                <w:szCs w:val="20"/>
                <w:lang w:val="en-PH" w:eastAsia="en-PH"/>
              </w:rPr>
            </w:pPr>
            <w:r w:rsidRPr="009E35ED">
              <w:rPr>
                <w:rFonts w:ascii="Arial Narrow" w:hAnsi="Arial Narrow" w:cs="Arial"/>
                <w:bCs/>
                <w:color w:val="000000" w:themeColor="text1"/>
                <w:sz w:val="20"/>
                <w:szCs w:val="20"/>
                <w:lang w:val="en-PH" w:eastAsia="en-PH"/>
              </w:rPr>
              <w:t>2018</w:t>
            </w:r>
          </w:p>
        </w:tc>
        <w:tc>
          <w:tcPr>
            <w:tcW w:w="1980" w:type="dxa"/>
            <w:tcBorders>
              <w:top w:val="nil"/>
              <w:left w:val="nil"/>
              <w:bottom w:val="nil"/>
              <w:right w:val="nil"/>
            </w:tcBorders>
            <w:shd w:val="clear" w:color="auto" w:fill="auto"/>
            <w:noWrap/>
            <w:hideMark/>
          </w:tcPr>
          <w:p w14:paraId="69BD6126" w14:textId="77777777" w:rsidR="00FA7408" w:rsidRPr="009E35ED" w:rsidRDefault="00FA7408" w:rsidP="00803F8C">
            <w:pPr>
              <w:ind w:left="0"/>
              <w:jc w:val="right"/>
              <w:rPr>
                <w:rFonts w:ascii="Arial Narrow" w:hAnsi="Arial Narrow" w:cs="Arial"/>
                <w:color w:val="000000" w:themeColor="text1"/>
                <w:sz w:val="20"/>
                <w:szCs w:val="20"/>
                <w:lang w:val="en-PH" w:eastAsia="en-PH"/>
              </w:rPr>
            </w:pPr>
            <w:r w:rsidRPr="009E35ED">
              <w:rPr>
                <w:rFonts w:ascii="Arial Narrow" w:hAnsi="Arial Narrow" w:cs="Arial"/>
                <w:color w:val="000000" w:themeColor="text1"/>
                <w:sz w:val="20"/>
                <w:szCs w:val="20"/>
              </w:rPr>
              <w:t xml:space="preserve">250,589 </w:t>
            </w:r>
          </w:p>
        </w:tc>
      </w:tr>
      <w:tr w:rsidR="00997F75" w:rsidRPr="009E35ED" w14:paraId="1C295B86" w14:textId="77777777" w:rsidTr="002F0748">
        <w:trPr>
          <w:trHeight w:val="201"/>
        </w:trPr>
        <w:tc>
          <w:tcPr>
            <w:tcW w:w="4680" w:type="dxa"/>
            <w:tcBorders>
              <w:top w:val="nil"/>
              <w:left w:val="nil"/>
              <w:right w:val="nil"/>
            </w:tcBorders>
            <w:shd w:val="clear" w:color="auto" w:fill="auto"/>
            <w:vAlign w:val="bottom"/>
          </w:tcPr>
          <w:p w14:paraId="3758553E" w14:textId="758AB47B" w:rsidR="00FA7408" w:rsidRPr="009E35ED" w:rsidRDefault="00FA7408">
            <w:pPr>
              <w:ind w:left="-110"/>
              <w:jc w:val="left"/>
              <w:rPr>
                <w:rFonts w:ascii="Arial Narrow" w:hAnsi="Arial Narrow" w:cs="Arial"/>
                <w:bCs/>
                <w:color w:val="000000" w:themeColor="text1"/>
                <w:sz w:val="20"/>
                <w:szCs w:val="20"/>
                <w:lang w:val="en-PH" w:eastAsia="en-PH"/>
              </w:rPr>
            </w:pPr>
            <w:r w:rsidRPr="009E35ED">
              <w:rPr>
                <w:rFonts w:ascii="Arial Narrow" w:hAnsi="Arial Narrow" w:cs="Arial"/>
                <w:bCs/>
                <w:color w:val="000000" w:themeColor="text1"/>
                <w:sz w:val="20"/>
                <w:szCs w:val="20"/>
                <w:lang w:val="en-PH" w:eastAsia="en-PH"/>
              </w:rPr>
              <w:t>2019</w:t>
            </w:r>
          </w:p>
        </w:tc>
        <w:tc>
          <w:tcPr>
            <w:tcW w:w="1980" w:type="dxa"/>
            <w:tcBorders>
              <w:top w:val="nil"/>
              <w:left w:val="nil"/>
              <w:bottom w:val="nil"/>
              <w:right w:val="nil"/>
            </w:tcBorders>
            <w:shd w:val="clear" w:color="auto" w:fill="auto"/>
            <w:noWrap/>
          </w:tcPr>
          <w:p w14:paraId="52CAF28E" w14:textId="174D0F4D" w:rsidR="00FA7408" w:rsidRPr="009E35ED" w:rsidRDefault="00FA7408" w:rsidP="00803F8C">
            <w:pPr>
              <w:ind w:left="0"/>
              <w:jc w:val="right"/>
              <w:rPr>
                <w:rFonts w:ascii="Arial Narrow" w:hAnsi="Arial Narrow" w:cs="Arial"/>
                <w:color w:val="000000" w:themeColor="text1"/>
                <w:sz w:val="20"/>
                <w:szCs w:val="20"/>
              </w:rPr>
            </w:pPr>
            <w:r w:rsidRPr="009E35ED">
              <w:rPr>
                <w:rFonts w:ascii="Arial Narrow" w:hAnsi="Arial Narrow" w:cs="Arial"/>
                <w:color w:val="000000" w:themeColor="text1"/>
                <w:sz w:val="20"/>
                <w:szCs w:val="20"/>
              </w:rPr>
              <w:t>250,589</w:t>
            </w:r>
          </w:p>
        </w:tc>
      </w:tr>
      <w:tr w:rsidR="00997F75" w:rsidRPr="009E35ED" w14:paraId="74081273" w14:textId="77777777" w:rsidTr="002F0748">
        <w:trPr>
          <w:trHeight w:val="172"/>
        </w:trPr>
        <w:tc>
          <w:tcPr>
            <w:tcW w:w="4680" w:type="dxa"/>
            <w:tcBorders>
              <w:top w:val="nil"/>
              <w:left w:val="nil"/>
              <w:right w:val="nil"/>
            </w:tcBorders>
            <w:shd w:val="clear" w:color="auto" w:fill="auto"/>
            <w:vAlign w:val="bottom"/>
          </w:tcPr>
          <w:p w14:paraId="1E742B32" w14:textId="13315BE9" w:rsidR="00FA7408" w:rsidRPr="009E35ED" w:rsidRDefault="00FA7408" w:rsidP="004E1271">
            <w:pPr>
              <w:ind w:left="-110"/>
              <w:jc w:val="left"/>
              <w:rPr>
                <w:rFonts w:ascii="Arial Narrow" w:hAnsi="Arial Narrow" w:cs="Arial"/>
                <w:bCs/>
                <w:color w:val="000000" w:themeColor="text1"/>
                <w:sz w:val="20"/>
                <w:szCs w:val="20"/>
                <w:lang w:val="en-PH" w:eastAsia="en-PH"/>
              </w:rPr>
            </w:pPr>
            <w:r w:rsidRPr="009E35ED">
              <w:rPr>
                <w:rFonts w:ascii="Arial Narrow" w:hAnsi="Arial Narrow" w:cs="Arial"/>
                <w:bCs/>
                <w:color w:val="000000" w:themeColor="text1"/>
                <w:sz w:val="20"/>
                <w:szCs w:val="20"/>
                <w:lang w:val="en-PH" w:eastAsia="en-PH"/>
              </w:rPr>
              <w:t>2020</w:t>
            </w:r>
          </w:p>
        </w:tc>
        <w:tc>
          <w:tcPr>
            <w:tcW w:w="1980" w:type="dxa"/>
            <w:tcBorders>
              <w:top w:val="nil"/>
              <w:left w:val="nil"/>
              <w:bottom w:val="nil"/>
              <w:right w:val="nil"/>
            </w:tcBorders>
            <w:shd w:val="clear" w:color="auto" w:fill="auto"/>
            <w:noWrap/>
          </w:tcPr>
          <w:p w14:paraId="69A9D1FC" w14:textId="77777777" w:rsidR="00FA7408" w:rsidRPr="009E35ED" w:rsidRDefault="00FA7408" w:rsidP="00803F8C">
            <w:pPr>
              <w:ind w:left="0"/>
              <w:jc w:val="right"/>
              <w:rPr>
                <w:rFonts w:ascii="Arial Narrow" w:hAnsi="Arial Narrow" w:cs="Arial"/>
                <w:color w:val="000000" w:themeColor="text1"/>
                <w:sz w:val="20"/>
                <w:szCs w:val="20"/>
              </w:rPr>
            </w:pPr>
            <w:r w:rsidRPr="009E35ED">
              <w:rPr>
                <w:rFonts w:ascii="Arial Narrow" w:hAnsi="Arial Narrow" w:cs="Arial"/>
                <w:color w:val="000000" w:themeColor="text1"/>
                <w:sz w:val="20"/>
                <w:szCs w:val="20"/>
              </w:rPr>
              <w:t>250,589</w:t>
            </w:r>
          </w:p>
        </w:tc>
      </w:tr>
      <w:tr w:rsidR="00997F75" w:rsidRPr="009E35ED" w14:paraId="77B2B12E" w14:textId="77777777" w:rsidTr="002F0748">
        <w:trPr>
          <w:trHeight w:val="172"/>
        </w:trPr>
        <w:tc>
          <w:tcPr>
            <w:tcW w:w="4680" w:type="dxa"/>
            <w:tcBorders>
              <w:left w:val="nil"/>
              <w:right w:val="nil"/>
            </w:tcBorders>
            <w:shd w:val="clear" w:color="auto" w:fill="auto"/>
            <w:vAlign w:val="bottom"/>
          </w:tcPr>
          <w:p w14:paraId="76DC4252" w14:textId="7F9DCE65" w:rsidR="00FA7408" w:rsidRPr="009E35ED" w:rsidRDefault="00FA7408" w:rsidP="00AD05C0">
            <w:pPr>
              <w:ind w:left="-110"/>
              <w:jc w:val="left"/>
              <w:rPr>
                <w:rFonts w:ascii="Arial Narrow" w:hAnsi="Arial Narrow" w:cs="Arial"/>
                <w:bCs/>
                <w:color w:val="000000" w:themeColor="text1"/>
                <w:sz w:val="20"/>
                <w:szCs w:val="20"/>
                <w:lang w:val="en-PH" w:eastAsia="en-PH"/>
              </w:rPr>
            </w:pPr>
            <w:r w:rsidRPr="009E35ED">
              <w:rPr>
                <w:rFonts w:ascii="Arial Narrow" w:hAnsi="Arial Narrow" w:cs="Arial"/>
                <w:bCs/>
                <w:color w:val="000000" w:themeColor="text1"/>
                <w:sz w:val="20"/>
                <w:szCs w:val="20"/>
                <w:lang w:val="en-PH" w:eastAsia="en-PH"/>
              </w:rPr>
              <w:t>2021</w:t>
            </w:r>
          </w:p>
        </w:tc>
        <w:tc>
          <w:tcPr>
            <w:tcW w:w="1980" w:type="dxa"/>
            <w:tcBorders>
              <w:top w:val="nil"/>
              <w:left w:val="nil"/>
              <w:right w:val="nil"/>
            </w:tcBorders>
            <w:shd w:val="clear" w:color="auto" w:fill="auto"/>
            <w:noWrap/>
          </w:tcPr>
          <w:p w14:paraId="7AE92CFC" w14:textId="5D558687" w:rsidR="00FA7408" w:rsidRPr="009E35ED" w:rsidRDefault="00FA7408" w:rsidP="00AD05C0">
            <w:pPr>
              <w:ind w:left="0"/>
              <w:jc w:val="right"/>
              <w:rPr>
                <w:rFonts w:ascii="Arial Narrow" w:hAnsi="Arial Narrow" w:cs="Arial"/>
                <w:color w:val="000000" w:themeColor="text1"/>
                <w:sz w:val="20"/>
                <w:szCs w:val="20"/>
              </w:rPr>
            </w:pPr>
            <w:r w:rsidRPr="009E35ED">
              <w:rPr>
                <w:rFonts w:ascii="Arial Narrow" w:hAnsi="Arial Narrow" w:cs="Arial"/>
                <w:color w:val="000000" w:themeColor="text1"/>
                <w:sz w:val="20"/>
                <w:szCs w:val="20"/>
              </w:rPr>
              <w:t>250,589</w:t>
            </w:r>
          </w:p>
        </w:tc>
      </w:tr>
      <w:tr w:rsidR="00997F75" w:rsidRPr="009E35ED" w14:paraId="4C01351E" w14:textId="77777777" w:rsidTr="002F0748">
        <w:trPr>
          <w:trHeight w:val="172"/>
        </w:trPr>
        <w:tc>
          <w:tcPr>
            <w:tcW w:w="4680" w:type="dxa"/>
            <w:tcBorders>
              <w:left w:val="nil"/>
              <w:right w:val="nil"/>
            </w:tcBorders>
            <w:shd w:val="clear" w:color="auto" w:fill="auto"/>
            <w:vAlign w:val="bottom"/>
          </w:tcPr>
          <w:p w14:paraId="720716B5" w14:textId="22AB9CF1" w:rsidR="00FA7408" w:rsidRPr="009E35ED" w:rsidRDefault="00FA7408" w:rsidP="00AD05C0">
            <w:pPr>
              <w:ind w:left="-110"/>
              <w:jc w:val="left"/>
              <w:rPr>
                <w:rFonts w:ascii="Arial Narrow" w:hAnsi="Arial Narrow" w:cs="Arial"/>
                <w:bCs/>
                <w:color w:val="000000" w:themeColor="text1"/>
                <w:sz w:val="20"/>
                <w:szCs w:val="20"/>
                <w:lang w:val="en-PH" w:eastAsia="en-PH"/>
              </w:rPr>
            </w:pPr>
            <w:r w:rsidRPr="009E35ED">
              <w:rPr>
                <w:rFonts w:ascii="Arial Narrow" w:hAnsi="Arial Narrow" w:cs="Arial"/>
                <w:bCs/>
                <w:color w:val="000000" w:themeColor="text1"/>
                <w:sz w:val="20"/>
                <w:szCs w:val="20"/>
                <w:lang w:val="en-PH" w:eastAsia="en-PH"/>
              </w:rPr>
              <w:t>2022</w:t>
            </w:r>
          </w:p>
        </w:tc>
        <w:tc>
          <w:tcPr>
            <w:tcW w:w="1980" w:type="dxa"/>
            <w:tcBorders>
              <w:top w:val="nil"/>
              <w:left w:val="nil"/>
              <w:right w:val="nil"/>
            </w:tcBorders>
            <w:shd w:val="clear" w:color="auto" w:fill="auto"/>
            <w:noWrap/>
          </w:tcPr>
          <w:p w14:paraId="14FF248E" w14:textId="7BAB6A45" w:rsidR="00FA7408" w:rsidRPr="009E35ED" w:rsidRDefault="00FA7408" w:rsidP="00AD05C0">
            <w:pPr>
              <w:ind w:left="0"/>
              <w:jc w:val="right"/>
              <w:rPr>
                <w:rFonts w:ascii="Arial Narrow" w:hAnsi="Arial Narrow" w:cs="Arial"/>
                <w:color w:val="000000" w:themeColor="text1"/>
                <w:sz w:val="20"/>
                <w:szCs w:val="20"/>
              </w:rPr>
            </w:pPr>
            <w:r w:rsidRPr="009E35ED">
              <w:rPr>
                <w:rFonts w:ascii="Arial Narrow" w:hAnsi="Arial Narrow" w:cs="Arial"/>
                <w:color w:val="000000" w:themeColor="text1"/>
                <w:sz w:val="20"/>
                <w:szCs w:val="20"/>
              </w:rPr>
              <w:t>250,589</w:t>
            </w:r>
          </w:p>
        </w:tc>
      </w:tr>
      <w:tr w:rsidR="00997F75" w:rsidRPr="009E35ED" w14:paraId="4C5687CE" w14:textId="77777777" w:rsidTr="002F0748">
        <w:trPr>
          <w:trHeight w:val="172"/>
        </w:trPr>
        <w:tc>
          <w:tcPr>
            <w:tcW w:w="4680" w:type="dxa"/>
            <w:tcBorders>
              <w:left w:val="nil"/>
              <w:bottom w:val="single" w:sz="4" w:space="0" w:color="auto"/>
              <w:right w:val="nil"/>
            </w:tcBorders>
            <w:shd w:val="clear" w:color="auto" w:fill="auto"/>
            <w:vAlign w:val="bottom"/>
          </w:tcPr>
          <w:p w14:paraId="36A7D30A" w14:textId="2B7BCEE7" w:rsidR="00D5551C" w:rsidRPr="009E35ED" w:rsidRDefault="00D5551C" w:rsidP="00AD05C0">
            <w:pPr>
              <w:ind w:left="-110"/>
              <w:jc w:val="left"/>
              <w:rPr>
                <w:rFonts w:ascii="Arial Narrow" w:hAnsi="Arial Narrow" w:cs="Arial"/>
                <w:bCs/>
                <w:color w:val="000000" w:themeColor="text1"/>
                <w:sz w:val="20"/>
                <w:szCs w:val="20"/>
                <w:lang w:val="en-PH" w:eastAsia="en-PH"/>
              </w:rPr>
            </w:pPr>
            <w:r w:rsidRPr="009E35ED">
              <w:rPr>
                <w:rFonts w:ascii="Arial Narrow" w:hAnsi="Arial Narrow" w:cs="Arial"/>
                <w:bCs/>
                <w:color w:val="000000" w:themeColor="text1"/>
                <w:sz w:val="20"/>
                <w:szCs w:val="20"/>
                <w:lang w:val="en-PH" w:eastAsia="en-PH"/>
              </w:rPr>
              <w:t>2023</w:t>
            </w:r>
          </w:p>
        </w:tc>
        <w:tc>
          <w:tcPr>
            <w:tcW w:w="1980" w:type="dxa"/>
            <w:tcBorders>
              <w:left w:val="nil"/>
              <w:bottom w:val="nil"/>
              <w:right w:val="nil"/>
            </w:tcBorders>
            <w:shd w:val="clear" w:color="auto" w:fill="auto"/>
            <w:noWrap/>
          </w:tcPr>
          <w:p w14:paraId="5F57F4C8" w14:textId="48E40963" w:rsidR="00B8297B" w:rsidRPr="009E35ED" w:rsidRDefault="00B8297B" w:rsidP="00ED2E8E">
            <w:pPr>
              <w:ind w:left="0"/>
              <w:jc w:val="right"/>
              <w:rPr>
                <w:rFonts w:ascii="Arial Narrow" w:hAnsi="Arial Narrow" w:cs="Arial"/>
                <w:color w:val="000000" w:themeColor="text1"/>
                <w:sz w:val="20"/>
                <w:szCs w:val="20"/>
              </w:rPr>
            </w:pPr>
            <w:r w:rsidRPr="009E35ED">
              <w:rPr>
                <w:rFonts w:ascii="Arial Narrow" w:hAnsi="Arial Narrow" w:cs="Arial"/>
                <w:color w:val="000000" w:themeColor="text1"/>
                <w:sz w:val="20"/>
                <w:szCs w:val="20"/>
              </w:rPr>
              <w:t>224,</w:t>
            </w:r>
            <w:r w:rsidR="00ED2E8E" w:rsidRPr="009E35ED">
              <w:rPr>
                <w:rFonts w:ascii="Arial Narrow" w:hAnsi="Arial Narrow" w:cs="Arial"/>
                <w:color w:val="000000" w:themeColor="text1"/>
                <w:sz w:val="20"/>
                <w:szCs w:val="20"/>
              </w:rPr>
              <w:t>582</w:t>
            </w:r>
          </w:p>
        </w:tc>
      </w:tr>
      <w:tr w:rsidR="00997F75" w:rsidRPr="009E35ED" w14:paraId="37031DE4" w14:textId="77777777" w:rsidTr="002F0748">
        <w:trPr>
          <w:trHeight w:val="238"/>
        </w:trPr>
        <w:tc>
          <w:tcPr>
            <w:tcW w:w="4680" w:type="dxa"/>
            <w:tcBorders>
              <w:top w:val="single" w:sz="4" w:space="0" w:color="auto"/>
              <w:left w:val="nil"/>
              <w:bottom w:val="single" w:sz="4" w:space="0" w:color="auto"/>
              <w:right w:val="nil"/>
            </w:tcBorders>
            <w:shd w:val="clear" w:color="auto" w:fill="auto"/>
            <w:vAlign w:val="bottom"/>
            <w:hideMark/>
          </w:tcPr>
          <w:p w14:paraId="74B8C53A" w14:textId="374A352F" w:rsidR="00FA7408" w:rsidRPr="009E35ED" w:rsidRDefault="00FA7408" w:rsidP="00AD05C0">
            <w:pPr>
              <w:ind w:left="-110"/>
              <w:jc w:val="left"/>
              <w:rPr>
                <w:rFonts w:ascii="Arial Narrow" w:hAnsi="Arial Narrow" w:cs="Arial"/>
                <w:b/>
                <w:bCs/>
                <w:color w:val="000000" w:themeColor="text1"/>
                <w:sz w:val="20"/>
                <w:szCs w:val="20"/>
                <w:lang w:val="en-PH" w:eastAsia="en-PH"/>
              </w:rPr>
            </w:pPr>
            <w:r w:rsidRPr="009E35ED">
              <w:rPr>
                <w:rFonts w:ascii="Arial Narrow" w:hAnsi="Arial Narrow" w:cs="Arial"/>
                <w:b/>
                <w:bCs/>
                <w:color w:val="000000" w:themeColor="text1"/>
                <w:sz w:val="20"/>
                <w:szCs w:val="20"/>
                <w:lang w:val="en-PH" w:eastAsia="en-PH"/>
              </w:rPr>
              <w:t>Total Accumulated Depreciation as of December 31, 202</w:t>
            </w:r>
            <w:r w:rsidR="00767367" w:rsidRPr="009E35ED">
              <w:rPr>
                <w:rFonts w:ascii="Arial Narrow" w:hAnsi="Arial Narrow" w:cs="Arial"/>
                <w:b/>
                <w:bCs/>
                <w:color w:val="000000" w:themeColor="text1"/>
                <w:sz w:val="20"/>
                <w:szCs w:val="20"/>
                <w:lang w:val="en-PH" w:eastAsia="en-PH"/>
              </w:rPr>
              <w:t>3</w:t>
            </w:r>
          </w:p>
        </w:tc>
        <w:tc>
          <w:tcPr>
            <w:tcW w:w="1980" w:type="dxa"/>
            <w:tcBorders>
              <w:top w:val="single" w:sz="4" w:space="0" w:color="auto"/>
              <w:left w:val="nil"/>
              <w:bottom w:val="single" w:sz="4" w:space="0" w:color="auto"/>
              <w:right w:val="nil"/>
            </w:tcBorders>
            <w:shd w:val="clear" w:color="auto" w:fill="auto"/>
            <w:noWrap/>
            <w:vAlign w:val="bottom"/>
            <w:hideMark/>
          </w:tcPr>
          <w:p w14:paraId="6F734139" w14:textId="48E3CB1C" w:rsidR="00FA7408" w:rsidRPr="009E35ED" w:rsidRDefault="00767367" w:rsidP="00AD05C0">
            <w:pPr>
              <w:ind w:left="0"/>
              <w:jc w:val="right"/>
              <w:rPr>
                <w:rFonts w:ascii="Arial Narrow" w:hAnsi="Arial Narrow" w:cs="Arial"/>
                <w:b/>
                <w:bCs/>
                <w:color w:val="000000" w:themeColor="text1"/>
                <w:sz w:val="20"/>
                <w:szCs w:val="20"/>
                <w:lang w:val="en-PH" w:eastAsia="en-PH"/>
              </w:rPr>
            </w:pPr>
            <w:r w:rsidRPr="009E35ED">
              <w:rPr>
                <w:rFonts w:ascii="Arial Narrow" w:hAnsi="Arial Narrow" w:cs="Arial"/>
                <w:b/>
                <w:bCs/>
                <w:color w:val="000000" w:themeColor="text1"/>
                <w:sz w:val="20"/>
                <w:szCs w:val="20"/>
              </w:rPr>
              <w:t>2,479,883</w:t>
            </w:r>
          </w:p>
        </w:tc>
      </w:tr>
      <w:tr w:rsidR="00997F75" w:rsidRPr="009E35ED" w14:paraId="02039509" w14:textId="77777777" w:rsidTr="002F0748">
        <w:trPr>
          <w:trHeight w:val="238"/>
        </w:trPr>
        <w:tc>
          <w:tcPr>
            <w:tcW w:w="4680" w:type="dxa"/>
            <w:tcBorders>
              <w:top w:val="single" w:sz="4" w:space="0" w:color="auto"/>
              <w:left w:val="nil"/>
              <w:bottom w:val="single" w:sz="4" w:space="0" w:color="auto"/>
              <w:right w:val="nil"/>
            </w:tcBorders>
            <w:shd w:val="clear" w:color="auto" w:fill="auto"/>
            <w:vAlign w:val="bottom"/>
          </w:tcPr>
          <w:p w14:paraId="72721259" w14:textId="25F4C37B" w:rsidR="00FA7408" w:rsidRPr="009E35ED" w:rsidRDefault="00FA7408" w:rsidP="00AD05C0">
            <w:pPr>
              <w:ind w:left="-110"/>
              <w:jc w:val="left"/>
              <w:rPr>
                <w:rFonts w:ascii="Arial Narrow" w:hAnsi="Arial Narrow" w:cs="Arial"/>
                <w:b/>
                <w:bCs/>
                <w:color w:val="000000" w:themeColor="text1"/>
                <w:sz w:val="20"/>
                <w:szCs w:val="20"/>
                <w:lang w:val="en-PH" w:eastAsia="en-PH"/>
              </w:rPr>
            </w:pPr>
            <w:r w:rsidRPr="009E35ED">
              <w:rPr>
                <w:rFonts w:ascii="Arial Narrow" w:hAnsi="Arial Narrow" w:cs="Arial"/>
                <w:b/>
                <w:bCs/>
                <w:color w:val="000000" w:themeColor="text1"/>
                <w:sz w:val="20"/>
                <w:szCs w:val="20"/>
                <w:lang w:val="en-PH" w:eastAsia="en-PH"/>
              </w:rPr>
              <w:t>Accumulated Impairment Losses as of December 31, 2022</w:t>
            </w:r>
          </w:p>
        </w:tc>
        <w:tc>
          <w:tcPr>
            <w:tcW w:w="1980" w:type="dxa"/>
            <w:tcBorders>
              <w:top w:val="single" w:sz="4" w:space="0" w:color="auto"/>
              <w:left w:val="nil"/>
              <w:bottom w:val="single" w:sz="4" w:space="0" w:color="auto"/>
              <w:right w:val="nil"/>
            </w:tcBorders>
            <w:shd w:val="clear" w:color="auto" w:fill="auto"/>
            <w:noWrap/>
            <w:vAlign w:val="bottom"/>
          </w:tcPr>
          <w:p w14:paraId="1D36E256" w14:textId="24C0B215" w:rsidR="00FA7408" w:rsidRPr="009E35ED" w:rsidRDefault="00FA7408" w:rsidP="00AD05C0">
            <w:pPr>
              <w:ind w:left="0"/>
              <w:jc w:val="right"/>
              <w:rPr>
                <w:rFonts w:ascii="Arial Narrow" w:hAnsi="Arial Narrow" w:cs="Arial"/>
                <w:b/>
                <w:bCs/>
                <w:color w:val="000000" w:themeColor="text1"/>
                <w:sz w:val="20"/>
                <w:szCs w:val="20"/>
              </w:rPr>
            </w:pPr>
            <w:r w:rsidRPr="009E35ED">
              <w:rPr>
                <w:rFonts w:ascii="Arial Narrow" w:hAnsi="Arial Narrow" w:cs="Arial"/>
                <w:b/>
                <w:bCs/>
                <w:color w:val="000000" w:themeColor="text1"/>
                <w:sz w:val="20"/>
                <w:szCs w:val="20"/>
              </w:rPr>
              <w:t>368,900</w:t>
            </w:r>
          </w:p>
        </w:tc>
      </w:tr>
      <w:tr w:rsidR="00FA7408" w:rsidRPr="009E35ED" w14:paraId="3AD85E5B" w14:textId="77777777" w:rsidTr="002F0748">
        <w:trPr>
          <w:trHeight w:val="229"/>
        </w:trPr>
        <w:tc>
          <w:tcPr>
            <w:tcW w:w="4680" w:type="dxa"/>
            <w:tcBorders>
              <w:top w:val="single" w:sz="4" w:space="0" w:color="auto"/>
              <w:left w:val="nil"/>
              <w:bottom w:val="double" w:sz="4" w:space="0" w:color="auto"/>
              <w:right w:val="nil"/>
            </w:tcBorders>
            <w:shd w:val="clear" w:color="auto" w:fill="auto"/>
            <w:vAlign w:val="bottom"/>
            <w:hideMark/>
          </w:tcPr>
          <w:p w14:paraId="0D9E86C7" w14:textId="120C8CF9" w:rsidR="00FA7408" w:rsidRPr="009E35ED" w:rsidRDefault="00FA7408" w:rsidP="0003782F">
            <w:pPr>
              <w:ind w:left="-110"/>
              <w:jc w:val="left"/>
              <w:rPr>
                <w:rFonts w:ascii="Arial Narrow" w:hAnsi="Arial Narrow" w:cs="Arial"/>
                <w:b/>
                <w:bCs/>
                <w:color w:val="000000" w:themeColor="text1"/>
                <w:sz w:val="20"/>
                <w:szCs w:val="20"/>
                <w:lang w:val="en-PH" w:eastAsia="en-PH"/>
              </w:rPr>
            </w:pPr>
            <w:r w:rsidRPr="009E35ED">
              <w:rPr>
                <w:rFonts w:ascii="Arial Narrow" w:hAnsi="Arial Narrow" w:cs="Arial"/>
                <w:b/>
                <w:bCs/>
                <w:color w:val="000000" w:themeColor="text1"/>
                <w:sz w:val="20"/>
                <w:szCs w:val="20"/>
                <w:lang w:val="en-PH" w:eastAsia="en-PH"/>
              </w:rPr>
              <w:t>Net Book Value as of December 31, 202</w:t>
            </w:r>
            <w:r w:rsidR="00D5551C" w:rsidRPr="009E35ED">
              <w:rPr>
                <w:rFonts w:ascii="Arial Narrow" w:hAnsi="Arial Narrow" w:cs="Arial"/>
                <w:b/>
                <w:bCs/>
                <w:color w:val="000000" w:themeColor="text1"/>
                <w:sz w:val="20"/>
                <w:szCs w:val="20"/>
                <w:lang w:val="en-PH" w:eastAsia="en-PH"/>
              </w:rPr>
              <w:t>3</w:t>
            </w:r>
          </w:p>
        </w:tc>
        <w:tc>
          <w:tcPr>
            <w:tcW w:w="1980" w:type="dxa"/>
            <w:tcBorders>
              <w:top w:val="nil"/>
              <w:left w:val="nil"/>
              <w:bottom w:val="double" w:sz="6" w:space="0" w:color="auto"/>
              <w:right w:val="nil"/>
            </w:tcBorders>
            <w:shd w:val="clear" w:color="auto" w:fill="auto"/>
            <w:noWrap/>
            <w:hideMark/>
          </w:tcPr>
          <w:p w14:paraId="15A536B2" w14:textId="30C59AD3" w:rsidR="00FA7408" w:rsidRPr="009E35ED" w:rsidRDefault="004152DE" w:rsidP="00780A26">
            <w:pPr>
              <w:ind w:left="0"/>
              <w:jc w:val="right"/>
              <w:rPr>
                <w:rFonts w:ascii="Arial Narrow" w:hAnsi="Arial Narrow" w:cs="Arial"/>
                <w:b/>
                <w:bCs/>
                <w:color w:val="000000" w:themeColor="text1"/>
                <w:sz w:val="20"/>
                <w:szCs w:val="20"/>
                <w:lang w:val="en-PH" w:eastAsia="en-PH"/>
              </w:rPr>
            </w:pPr>
            <w:r w:rsidRPr="009E35ED">
              <w:rPr>
                <w:rFonts w:ascii="Arial Narrow" w:hAnsi="Arial Narrow" w:cs="Arial"/>
                <w:b/>
                <w:bCs/>
                <w:color w:val="000000" w:themeColor="text1"/>
                <w:sz w:val="20"/>
                <w:szCs w:val="20"/>
              </w:rPr>
              <w:t>4,273,217</w:t>
            </w:r>
          </w:p>
        </w:tc>
      </w:tr>
    </w:tbl>
    <w:p w14:paraId="67E7DE87" w14:textId="3D1A1AF3" w:rsidR="0098760F" w:rsidRPr="009E35ED" w:rsidRDefault="0098760F" w:rsidP="00803F8C">
      <w:pPr>
        <w:pStyle w:val="BodyTextIndent2"/>
        <w:ind w:left="0"/>
        <w:rPr>
          <w:rFonts w:cs="Arial"/>
          <w:b/>
          <w:color w:val="000000" w:themeColor="text1"/>
          <w:szCs w:val="22"/>
        </w:rPr>
      </w:pPr>
    </w:p>
    <w:p w14:paraId="26C07EA9" w14:textId="5AAC237E" w:rsidR="0098760F" w:rsidRPr="009E35ED" w:rsidRDefault="00707FAD" w:rsidP="00803F8C">
      <w:pPr>
        <w:pStyle w:val="BodyTextIndent2"/>
        <w:ind w:left="0"/>
        <w:rPr>
          <w:rFonts w:cs="Arial"/>
          <w:color w:val="000000" w:themeColor="text1"/>
          <w:szCs w:val="22"/>
        </w:rPr>
      </w:pPr>
      <w:r w:rsidRPr="009E35ED">
        <w:rPr>
          <w:rFonts w:cs="Arial"/>
          <w:color w:val="000000" w:themeColor="text1"/>
          <w:szCs w:val="22"/>
        </w:rPr>
        <w:t>As of December 31, 202</w:t>
      </w:r>
      <w:r w:rsidR="00D5551C" w:rsidRPr="009E35ED">
        <w:rPr>
          <w:rFonts w:cs="Arial"/>
          <w:color w:val="000000" w:themeColor="text1"/>
          <w:szCs w:val="22"/>
        </w:rPr>
        <w:t>3</w:t>
      </w:r>
      <w:r w:rsidRPr="009E35ED">
        <w:rPr>
          <w:rFonts w:cs="Arial"/>
          <w:color w:val="000000" w:themeColor="text1"/>
          <w:szCs w:val="22"/>
        </w:rPr>
        <w:t>, the Fair Market Value of the Building is P4,</w:t>
      </w:r>
      <w:r w:rsidR="004152DE" w:rsidRPr="009E35ED">
        <w:rPr>
          <w:rFonts w:cs="Arial"/>
          <w:color w:val="000000" w:themeColor="text1"/>
          <w:szCs w:val="22"/>
        </w:rPr>
        <w:t>273</w:t>
      </w:r>
      <w:r w:rsidRPr="009E35ED">
        <w:rPr>
          <w:rFonts w:cs="Arial"/>
          <w:color w:val="000000" w:themeColor="text1"/>
          <w:szCs w:val="22"/>
        </w:rPr>
        <w:t>,</w:t>
      </w:r>
      <w:r w:rsidR="004152DE" w:rsidRPr="009E35ED">
        <w:rPr>
          <w:rFonts w:cs="Arial"/>
          <w:color w:val="000000" w:themeColor="text1"/>
          <w:szCs w:val="22"/>
        </w:rPr>
        <w:t>217</w:t>
      </w:r>
      <w:r w:rsidRPr="009E35ED">
        <w:rPr>
          <w:rFonts w:cs="Arial"/>
          <w:color w:val="000000" w:themeColor="text1"/>
          <w:szCs w:val="22"/>
        </w:rPr>
        <w:t xml:space="preserve"> which is the same as the properties Net Book Value due to the recognition of Impairment </w:t>
      </w:r>
      <w:r w:rsidR="000911E5">
        <w:rPr>
          <w:rFonts w:cs="Arial"/>
          <w:color w:val="000000" w:themeColor="text1"/>
          <w:szCs w:val="22"/>
        </w:rPr>
        <w:t>l</w:t>
      </w:r>
      <w:r w:rsidRPr="009E35ED">
        <w:rPr>
          <w:rFonts w:cs="Arial"/>
          <w:color w:val="000000" w:themeColor="text1"/>
          <w:szCs w:val="22"/>
        </w:rPr>
        <w:t>oss attributable to the decline on the property’s Fair Market Value.</w:t>
      </w:r>
    </w:p>
    <w:p w14:paraId="3FC03885" w14:textId="7185F9DC" w:rsidR="00A655C1" w:rsidRPr="009E35ED" w:rsidRDefault="00A655C1" w:rsidP="00803F8C">
      <w:pPr>
        <w:pStyle w:val="BodyTextIndent2"/>
        <w:ind w:left="0"/>
        <w:rPr>
          <w:rFonts w:cs="Arial"/>
          <w:color w:val="000000" w:themeColor="text1"/>
          <w:szCs w:val="22"/>
        </w:rPr>
      </w:pPr>
    </w:p>
    <w:p w14:paraId="24CCE241" w14:textId="77777777" w:rsidR="009B0D2A" w:rsidRPr="009E35ED" w:rsidRDefault="009B0D2A" w:rsidP="00803F8C">
      <w:pPr>
        <w:pStyle w:val="BodyTextIndent2"/>
        <w:ind w:left="0"/>
        <w:rPr>
          <w:rFonts w:cs="Arial"/>
          <w:color w:val="000000" w:themeColor="text1"/>
          <w:szCs w:val="22"/>
        </w:rPr>
      </w:pPr>
    </w:p>
    <w:p w14:paraId="24876C82" w14:textId="77777777" w:rsidR="00572AF6" w:rsidRPr="009E35ED" w:rsidRDefault="00D35EA7" w:rsidP="001C371F">
      <w:pPr>
        <w:pStyle w:val="BodyTextIndent2"/>
        <w:numPr>
          <w:ilvl w:val="0"/>
          <w:numId w:val="13"/>
        </w:numPr>
        <w:ind w:left="720" w:hanging="720"/>
        <w:rPr>
          <w:rFonts w:cs="Arial"/>
          <w:b/>
          <w:color w:val="000000" w:themeColor="text1"/>
          <w:szCs w:val="22"/>
        </w:rPr>
      </w:pPr>
      <w:r w:rsidRPr="009E35ED">
        <w:rPr>
          <w:rFonts w:cs="Arial"/>
          <w:b/>
          <w:color w:val="000000" w:themeColor="text1"/>
          <w:szCs w:val="22"/>
        </w:rPr>
        <w:t>PROPERTY</w:t>
      </w:r>
      <w:r w:rsidR="00740543" w:rsidRPr="009E35ED" w:rsidDel="00740543">
        <w:rPr>
          <w:rFonts w:cs="Arial"/>
          <w:b/>
          <w:color w:val="000000" w:themeColor="text1"/>
          <w:szCs w:val="22"/>
        </w:rPr>
        <w:t xml:space="preserve"> </w:t>
      </w:r>
      <w:r w:rsidRPr="009E35ED">
        <w:rPr>
          <w:rFonts w:cs="Arial"/>
          <w:b/>
          <w:color w:val="000000" w:themeColor="text1"/>
          <w:szCs w:val="22"/>
        </w:rPr>
        <w:t xml:space="preserve">AND EQUIPMENT </w:t>
      </w:r>
    </w:p>
    <w:p w14:paraId="7A5A8F90" w14:textId="77777777" w:rsidR="006E34FF" w:rsidRPr="009E35ED" w:rsidRDefault="006E34FF" w:rsidP="00803F8C">
      <w:pPr>
        <w:ind w:left="0"/>
        <w:rPr>
          <w:rFonts w:ascii="Arial" w:hAnsi="Arial" w:cs="Arial"/>
          <w:color w:val="000000" w:themeColor="text1"/>
          <w:sz w:val="22"/>
          <w:szCs w:val="22"/>
        </w:rPr>
      </w:pPr>
    </w:p>
    <w:p w14:paraId="7F428D6E" w14:textId="7EC17076" w:rsidR="006D7520" w:rsidRPr="009E35ED" w:rsidRDefault="00740543" w:rsidP="00803F8C">
      <w:pPr>
        <w:pStyle w:val="NoSpacing"/>
        <w:ind w:left="0"/>
        <w:rPr>
          <w:rFonts w:ascii="Arial" w:hAnsi="Arial" w:cs="Arial"/>
          <w:color w:val="000000" w:themeColor="text1"/>
        </w:rPr>
      </w:pPr>
      <w:r w:rsidRPr="009E35ED">
        <w:rPr>
          <w:rFonts w:ascii="Arial" w:hAnsi="Arial" w:cs="Arial"/>
          <w:color w:val="000000" w:themeColor="text1"/>
        </w:rPr>
        <w:t xml:space="preserve">A reconciliation of the carrying amounts at the beginning and end of </w:t>
      </w:r>
      <w:r w:rsidR="004152DE" w:rsidRPr="009E35ED">
        <w:rPr>
          <w:rFonts w:ascii="Arial" w:hAnsi="Arial" w:cs="Arial"/>
          <w:color w:val="000000" w:themeColor="text1"/>
        </w:rPr>
        <w:t>2</w:t>
      </w:r>
      <w:r w:rsidRPr="009E35ED">
        <w:rPr>
          <w:rFonts w:ascii="Arial" w:hAnsi="Arial" w:cs="Arial"/>
          <w:color w:val="000000" w:themeColor="text1"/>
        </w:rPr>
        <w:t>0</w:t>
      </w:r>
      <w:r w:rsidR="00644749" w:rsidRPr="009E35ED">
        <w:rPr>
          <w:rFonts w:ascii="Arial" w:hAnsi="Arial" w:cs="Arial"/>
          <w:color w:val="000000" w:themeColor="text1"/>
        </w:rPr>
        <w:t>2</w:t>
      </w:r>
      <w:r w:rsidR="004152DE" w:rsidRPr="009E35ED">
        <w:rPr>
          <w:rFonts w:ascii="Arial" w:hAnsi="Arial" w:cs="Arial"/>
          <w:color w:val="000000" w:themeColor="text1"/>
        </w:rPr>
        <w:t>3</w:t>
      </w:r>
      <w:r w:rsidR="00644749" w:rsidRPr="009E35ED">
        <w:rPr>
          <w:rFonts w:ascii="Arial" w:hAnsi="Arial" w:cs="Arial"/>
          <w:color w:val="000000" w:themeColor="text1"/>
        </w:rPr>
        <w:t xml:space="preserve"> and 202</w:t>
      </w:r>
      <w:r w:rsidR="004152DE" w:rsidRPr="009E35ED">
        <w:rPr>
          <w:rFonts w:ascii="Arial" w:hAnsi="Arial" w:cs="Arial"/>
          <w:color w:val="000000" w:themeColor="text1"/>
        </w:rPr>
        <w:t>2</w:t>
      </w:r>
      <w:r w:rsidRPr="009E35ED">
        <w:rPr>
          <w:rFonts w:ascii="Arial" w:hAnsi="Arial" w:cs="Arial"/>
          <w:color w:val="000000" w:themeColor="text1"/>
        </w:rPr>
        <w:t>, of property and equipment is shown below:</w:t>
      </w:r>
    </w:p>
    <w:p w14:paraId="561C283E" w14:textId="6310A550" w:rsidR="00644749" w:rsidRPr="009E35ED" w:rsidRDefault="00644749" w:rsidP="00803F8C">
      <w:pPr>
        <w:pStyle w:val="NoSpacing"/>
        <w:ind w:left="0"/>
        <w:rPr>
          <w:rFonts w:ascii="Arial" w:hAnsi="Arial" w:cs="Arial"/>
          <w:b/>
          <w:color w:val="000000" w:themeColor="text1"/>
        </w:rPr>
      </w:pPr>
    </w:p>
    <w:p w14:paraId="10A2D5C4" w14:textId="51EF82AA" w:rsidR="009B0D2A" w:rsidRPr="009E35ED" w:rsidRDefault="009B0D2A" w:rsidP="00803F8C">
      <w:pPr>
        <w:pStyle w:val="NoSpacing"/>
        <w:ind w:left="0"/>
        <w:rPr>
          <w:rFonts w:ascii="Arial" w:hAnsi="Arial" w:cs="Arial"/>
          <w:b/>
          <w:color w:val="000000" w:themeColor="text1"/>
        </w:rPr>
      </w:pPr>
    </w:p>
    <w:p w14:paraId="7B5A440D" w14:textId="7B175E9D" w:rsidR="00162741" w:rsidRPr="009E35ED" w:rsidRDefault="00A655C1" w:rsidP="00803F8C">
      <w:pPr>
        <w:pStyle w:val="NoSpacing"/>
        <w:ind w:left="0"/>
        <w:rPr>
          <w:rFonts w:ascii="Arial" w:hAnsi="Arial" w:cs="Arial"/>
          <w:b/>
          <w:color w:val="000000" w:themeColor="text1"/>
        </w:rPr>
      </w:pPr>
      <w:r w:rsidRPr="009E35ED">
        <w:rPr>
          <w:rFonts w:ascii="Arial" w:hAnsi="Arial" w:cs="Arial"/>
          <w:b/>
          <w:color w:val="000000" w:themeColor="text1"/>
        </w:rPr>
        <w:t>202</w:t>
      </w:r>
      <w:r w:rsidR="00D5551C" w:rsidRPr="009E35ED">
        <w:rPr>
          <w:rFonts w:ascii="Arial" w:hAnsi="Arial" w:cs="Arial"/>
          <w:b/>
          <w:color w:val="000000" w:themeColor="text1"/>
        </w:rPr>
        <w:t>3</w:t>
      </w:r>
    </w:p>
    <w:p w14:paraId="64026888" w14:textId="4D1DDD48" w:rsidR="00A655C1" w:rsidRPr="009E35ED" w:rsidRDefault="00A655C1" w:rsidP="00803F8C">
      <w:pPr>
        <w:pStyle w:val="NoSpacing"/>
        <w:ind w:left="0"/>
        <w:rPr>
          <w:rFonts w:ascii="Arial" w:hAnsi="Arial" w:cs="Arial"/>
          <w:b/>
          <w:color w:val="000000" w:themeColor="text1"/>
        </w:rPr>
      </w:pPr>
    </w:p>
    <w:tbl>
      <w:tblPr>
        <w:tblW w:w="9090" w:type="dxa"/>
        <w:tblInd w:w="-90" w:type="dxa"/>
        <w:tblLayout w:type="fixed"/>
        <w:tblLook w:val="04A0" w:firstRow="1" w:lastRow="0" w:firstColumn="1" w:lastColumn="0" w:noHBand="0" w:noVBand="1"/>
      </w:tblPr>
      <w:tblGrid>
        <w:gridCol w:w="1350"/>
        <w:gridCol w:w="1170"/>
        <w:gridCol w:w="1170"/>
        <w:gridCol w:w="1080"/>
        <w:gridCol w:w="92"/>
        <w:gridCol w:w="898"/>
        <w:gridCol w:w="162"/>
        <w:gridCol w:w="918"/>
        <w:gridCol w:w="90"/>
        <w:gridCol w:w="990"/>
        <w:gridCol w:w="90"/>
        <w:gridCol w:w="1080"/>
      </w:tblGrid>
      <w:tr w:rsidR="00997F75" w:rsidRPr="00D4035E" w14:paraId="2B22AD61" w14:textId="77777777" w:rsidTr="00D4035E">
        <w:trPr>
          <w:trHeight w:val="938"/>
        </w:trPr>
        <w:tc>
          <w:tcPr>
            <w:tcW w:w="1350" w:type="dxa"/>
            <w:tcBorders>
              <w:top w:val="single" w:sz="4" w:space="0" w:color="auto"/>
              <w:left w:val="nil"/>
              <w:bottom w:val="single" w:sz="4" w:space="0" w:color="auto"/>
              <w:right w:val="nil"/>
            </w:tcBorders>
            <w:shd w:val="clear" w:color="auto" w:fill="auto"/>
            <w:noWrap/>
            <w:vAlign w:val="bottom"/>
            <w:hideMark/>
          </w:tcPr>
          <w:p w14:paraId="13CBE6AE" w14:textId="77777777" w:rsidR="00A655C1" w:rsidRPr="00D4035E" w:rsidRDefault="00A655C1" w:rsidP="00F3475E">
            <w:pPr>
              <w:ind w:left="-194"/>
              <w:jc w:val="left"/>
              <w:rPr>
                <w:rFonts w:ascii="Arial Narrow" w:hAnsi="Arial Narrow" w:cs="Calibri"/>
                <w:color w:val="000000" w:themeColor="text1"/>
                <w:sz w:val="16"/>
                <w:szCs w:val="16"/>
              </w:rPr>
            </w:pPr>
            <w:r w:rsidRPr="00D4035E">
              <w:rPr>
                <w:rFonts w:ascii="Arial Narrow" w:hAnsi="Arial Narrow" w:cs="Calibri"/>
                <w:color w:val="000000" w:themeColor="text1"/>
                <w:sz w:val="16"/>
                <w:szCs w:val="16"/>
              </w:rPr>
              <w:t>1</w:t>
            </w:r>
          </w:p>
        </w:tc>
        <w:tc>
          <w:tcPr>
            <w:tcW w:w="1170" w:type="dxa"/>
            <w:tcBorders>
              <w:top w:val="single" w:sz="4" w:space="0" w:color="auto"/>
              <w:left w:val="nil"/>
              <w:bottom w:val="single" w:sz="4" w:space="0" w:color="auto"/>
              <w:right w:val="nil"/>
            </w:tcBorders>
            <w:shd w:val="clear" w:color="auto" w:fill="auto"/>
            <w:vAlign w:val="center"/>
            <w:hideMark/>
          </w:tcPr>
          <w:p w14:paraId="105D4B66" w14:textId="77777777" w:rsidR="00A655C1" w:rsidRPr="00D4035E" w:rsidRDefault="00A655C1" w:rsidP="00F3475E">
            <w:pPr>
              <w:ind w:left="0"/>
              <w:jc w:val="center"/>
              <w:rPr>
                <w:rFonts w:ascii="Arial Narrow" w:hAnsi="Arial Narrow" w:cs="Calibri"/>
                <w:b/>
                <w:bCs/>
                <w:color w:val="000000" w:themeColor="text1"/>
                <w:sz w:val="16"/>
                <w:szCs w:val="16"/>
              </w:rPr>
            </w:pPr>
            <w:r w:rsidRPr="00D4035E">
              <w:rPr>
                <w:rFonts w:ascii="Arial Narrow" w:hAnsi="Arial Narrow" w:cs="Calibri"/>
                <w:b/>
                <w:bCs/>
                <w:color w:val="000000" w:themeColor="text1"/>
                <w:sz w:val="16"/>
                <w:szCs w:val="16"/>
              </w:rPr>
              <w:t xml:space="preserve"> Land and Land Improvements </w:t>
            </w:r>
          </w:p>
        </w:tc>
        <w:tc>
          <w:tcPr>
            <w:tcW w:w="1170" w:type="dxa"/>
            <w:tcBorders>
              <w:top w:val="single" w:sz="4" w:space="0" w:color="auto"/>
              <w:left w:val="nil"/>
              <w:bottom w:val="single" w:sz="4" w:space="0" w:color="auto"/>
              <w:right w:val="nil"/>
            </w:tcBorders>
            <w:shd w:val="clear" w:color="auto" w:fill="auto"/>
            <w:vAlign w:val="center"/>
            <w:hideMark/>
          </w:tcPr>
          <w:p w14:paraId="662245A5" w14:textId="77777777" w:rsidR="00A655C1" w:rsidRPr="00D4035E" w:rsidRDefault="00A655C1" w:rsidP="00F3475E">
            <w:pPr>
              <w:ind w:left="0"/>
              <w:jc w:val="center"/>
              <w:rPr>
                <w:rFonts w:ascii="Arial Narrow" w:hAnsi="Arial Narrow" w:cs="Calibri"/>
                <w:b/>
                <w:bCs/>
                <w:color w:val="000000" w:themeColor="text1"/>
                <w:sz w:val="16"/>
                <w:szCs w:val="16"/>
              </w:rPr>
            </w:pPr>
            <w:r w:rsidRPr="00D4035E">
              <w:rPr>
                <w:rFonts w:ascii="Arial Narrow" w:hAnsi="Arial Narrow" w:cs="Calibri"/>
                <w:b/>
                <w:bCs/>
                <w:color w:val="000000" w:themeColor="text1"/>
                <w:sz w:val="16"/>
                <w:szCs w:val="16"/>
              </w:rPr>
              <w:t xml:space="preserve"> Building &amp; Leasehold Improvements </w:t>
            </w:r>
          </w:p>
        </w:tc>
        <w:tc>
          <w:tcPr>
            <w:tcW w:w="1172" w:type="dxa"/>
            <w:gridSpan w:val="2"/>
            <w:tcBorders>
              <w:top w:val="single" w:sz="4" w:space="0" w:color="auto"/>
              <w:left w:val="nil"/>
              <w:bottom w:val="single" w:sz="4" w:space="0" w:color="auto"/>
              <w:right w:val="nil"/>
            </w:tcBorders>
            <w:shd w:val="clear" w:color="auto" w:fill="auto"/>
            <w:vAlign w:val="center"/>
            <w:hideMark/>
          </w:tcPr>
          <w:p w14:paraId="4BD6B09E" w14:textId="77777777" w:rsidR="00A655C1" w:rsidRPr="00D4035E" w:rsidRDefault="00A655C1" w:rsidP="00F3475E">
            <w:pPr>
              <w:ind w:left="0"/>
              <w:jc w:val="center"/>
              <w:rPr>
                <w:rFonts w:ascii="Arial Narrow" w:hAnsi="Arial Narrow" w:cs="Calibri"/>
                <w:b/>
                <w:bCs/>
                <w:color w:val="000000" w:themeColor="text1"/>
                <w:sz w:val="16"/>
                <w:szCs w:val="16"/>
              </w:rPr>
            </w:pPr>
            <w:r w:rsidRPr="00D4035E">
              <w:rPr>
                <w:rFonts w:ascii="Arial Narrow" w:hAnsi="Arial Narrow" w:cs="Calibri"/>
                <w:b/>
                <w:bCs/>
                <w:color w:val="000000" w:themeColor="text1"/>
                <w:sz w:val="16"/>
                <w:szCs w:val="16"/>
              </w:rPr>
              <w:t xml:space="preserve"> Office Furniture, Equipment and Machineries </w:t>
            </w:r>
          </w:p>
        </w:tc>
        <w:tc>
          <w:tcPr>
            <w:tcW w:w="1060" w:type="dxa"/>
            <w:gridSpan w:val="2"/>
            <w:tcBorders>
              <w:top w:val="single" w:sz="4" w:space="0" w:color="auto"/>
              <w:left w:val="nil"/>
              <w:bottom w:val="single" w:sz="4" w:space="0" w:color="auto"/>
              <w:right w:val="nil"/>
            </w:tcBorders>
            <w:shd w:val="clear" w:color="auto" w:fill="auto"/>
            <w:vAlign w:val="center"/>
            <w:hideMark/>
          </w:tcPr>
          <w:p w14:paraId="064289E6" w14:textId="77777777" w:rsidR="00A655C1" w:rsidRPr="00D4035E" w:rsidRDefault="00A655C1" w:rsidP="00F3475E">
            <w:pPr>
              <w:ind w:left="0"/>
              <w:jc w:val="center"/>
              <w:rPr>
                <w:rFonts w:ascii="Arial Narrow" w:hAnsi="Arial Narrow" w:cs="Calibri"/>
                <w:b/>
                <w:bCs/>
                <w:color w:val="000000" w:themeColor="text1"/>
                <w:sz w:val="16"/>
                <w:szCs w:val="16"/>
              </w:rPr>
            </w:pPr>
            <w:r w:rsidRPr="00D4035E">
              <w:rPr>
                <w:rFonts w:ascii="Arial Narrow" w:hAnsi="Arial Narrow" w:cs="Calibri"/>
                <w:b/>
                <w:bCs/>
                <w:color w:val="000000" w:themeColor="text1"/>
                <w:sz w:val="16"/>
                <w:szCs w:val="16"/>
              </w:rPr>
              <w:t xml:space="preserve"> Telecom, Equipment, IT Equipment &amp; Software </w:t>
            </w:r>
          </w:p>
        </w:tc>
        <w:tc>
          <w:tcPr>
            <w:tcW w:w="1008" w:type="dxa"/>
            <w:gridSpan w:val="2"/>
            <w:tcBorders>
              <w:top w:val="single" w:sz="4" w:space="0" w:color="auto"/>
              <w:left w:val="nil"/>
              <w:bottom w:val="single" w:sz="4" w:space="0" w:color="auto"/>
              <w:right w:val="nil"/>
            </w:tcBorders>
            <w:shd w:val="clear" w:color="auto" w:fill="auto"/>
            <w:vAlign w:val="center"/>
            <w:hideMark/>
          </w:tcPr>
          <w:p w14:paraId="41B0F0A1" w14:textId="77777777" w:rsidR="00A655C1" w:rsidRPr="00D4035E" w:rsidRDefault="00A655C1" w:rsidP="00F3475E">
            <w:pPr>
              <w:ind w:left="0"/>
              <w:jc w:val="center"/>
              <w:rPr>
                <w:rFonts w:ascii="Arial Narrow" w:hAnsi="Arial Narrow" w:cs="Calibri"/>
                <w:b/>
                <w:bCs/>
                <w:color w:val="000000" w:themeColor="text1"/>
                <w:sz w:val="16"/>
                <w:szCs w:val="16"/>
              </w:rPr>
            </w:pPr>
            <w:r w:rsidRPr="00D4035E">
              <w:rPr>
                <w:rFonts w:ascii="Arial Narrow" w:hAnsi="Arial Narrow" w:cs="Calibri"/>
                <w:b/>
                <w:bCs/>
                <w:color w:val="000000" w:themeColor="text1"/>
                <w:sz w:val="16"/>
                <w:szCs w:val="16"/>
              </w:rPr>
              <w:t xml:space="preserve"> Motor Vehicles </w:t>
            </w:r>
          </w:p>
        </w:tc>
        <w:tc>
          <w:tcPr>
            <w:tcW w:w="1080" w:type="dxa"/>
            <w:gridSpan w:val="2"/>
            <w:tcBorders>
              <w:top w:val="single" w:sz="4" w:space="0" w:color="auto"/>
              <w:left w:val="nil"/>
              <w:bottom w:val="single" w:sz="4" w:space="0" w:color="auto"/>
              <w:right w:val="nil"/>
            </w:tcBorders>
            <w:shd w:val="clear" w:color="auto" w:fill="auto"/>
            <w:vAlign w:val="center"/>
            <w:hideMark/>
          </w:tcPr>
          <w:p w14:paraId="3C0C338B" w14:textId="77777777" w:rsidR="00A655C1" w:rsidRPr="00D4035E" w:rsidRDefault="00A655C1" w:rsidP="00F3475E">
            <w:pPr>
              <w:ind w:left="0"/>
              <w:jc w:val="center"/>
              <w:rPr>
                <w:rFonts w:ascii="Arial Narrow" w:hAnsi="Arial Narrow" w:cs="Calibri"/>
                <w:b/>
                <w:bCs/>
                <w:color w:val="000000" w:themeColor="text1"/>
                <w:sz w:val="16"/>
                <w:szCs w:val="16"/>
              </w:rPr>
            </w:pPr>
            <w:r w:rsidRPr="00D4035E">
              <w:rPr>
                <w:rFonts w:ascii="Arial Narrow" w:hAnsi="Arial Narrow" w:cs="Calibri"/>
                <w:b/>
                <w:bCs/>
                <w:color w:val="000000" w:themeColor="text1"/>
                <w:sz w:val="16"/>
                <w:szCs w:val="16"/>
              </w:rPr>
              <w:t xml:space="preserve"> Construction in-Progress </w:t>
            </w:r>
          </w:p>
        </w:tc>
        <w:tc>
          <w:tcPr>
            <w:tcW w:w="1080" w:type="dxa"/>
            <w:tcBorders>
              <w:top w:val="single" w:sz="4" w:space="0" w:color="auto"/>
              <w:left w:val="nil"/>
              <w:bottom w:val="single" w:sz="4" w:space="0" w:color="auto"/>
              <w:right w:val="nil"/>
            </w:tcBorders>
            <w:shd w:val="clear" w:color="auto" w:fill="auto"/>
            <w:vAlign w:val="center"/>
            <w:hideMark/>
          </w:tcPr>
          <w:p w14:paraId="3B223A48" w14:textId="77777777" w:rsidR="00A655C1" w:rsidRPr="00D4035E" w:rsidRDefault="00A655C1" w:rsidP="00D4035E">
            <w:pPr>
              <w:ind w:left="0" w:right="-108"/>
              <w:jc w:val="right"/>
              <w:rPr>
                <w:rFonts w:ascii="Arial Narrow" w:hAnsi="Arial Narrow" w:cs="Calibri"/>
                <w:b/>
                <w:bCs/>
                <w:color w:val="000000" w:themeColor="text1"/>
                <w:sz w:val="16"/>
                <w:szCs w:val="16"/>
              </w:rPr>
            </w:pPr>
            <w:r w:rsidRPr="00D4035E">
              <w:rPr>
                <w:rFonts w:ascii="Arial Narrow" w:hAnsi="Arial Narrow" w:cs="Calibri"/>
                <w:b/>
                <w:bCs/>
                <w:color w:val="000000" w:themeColor="text1"/>
                <w:sz w:val="16"/>
                <w:szCs w:val="16"/>
              </w:rPr>
              <w:t xml:space="preserve"> Total </w:t>
            </w:r>
          </w:p>
        </w:tc>
      </w:tr>
      <w:tr w:rsidR="00997F75" w:rsidRPr="00D4035E" w14:paraId="500E9007" w14:textId="77777777" w:rsidTr="00D4035E">
        <w:trPr>
          <w:trHeight w:val="215"/>
        </w:trPr>
        <w:tc>
          <w:tcPr>
            <w:tcW w:w="1350" w:type="dxa"/>
            <w:tcBorders>
              <w:top w:val="nil"/>
              <w:left w:val="nil"/>
              <w:bottom w:val="nil"/>
              <w:right w:val="nil"/>
            </w:tcBorders>
            <w:shd w:val="clear" w:color="auto" w:fill="auto"/>
            <w:noWrap/>
            <w:vAlign w:val="bottom"/>
            <w:hideMark/>
          </w:tcPr>
          <w:p w14:paraId="6C62382E" w14:textId="77777777" w:rsidR="00A655C1" w:rsidRPr="00D4035E" w:rsidRDefault="00A655C1" w:rsidP="00F3475E">
            <w:pPr>
              <w:ind w:left="-105"/>
              <w:rPr>
                <w:rFonts w:ascii="Arial Narrow" w:hAnsi="Arial Narrow" w:cs="Calibri"/>
                <w:color w:val="000000" w:themeColor="text1"/>
                <w:sz w:val="16"/>
                <w:szCs w:val="16"/>
              </w:rPr>
            </w:pPr>
            <w:r w:rsidRPr="00D4035E">
              <w:rPr>
                <w:rFonts w:ascii="Arial Narrow" w:hAnsi="Arial Narrow" w:cs="Calibri"/>
                <w:color w:val="000000" w:themeColor="text1"/>
                <w:sz w:val="16"/>
                <w:szCs w:val="16"/>
              </w:rPr>
              <w:t>Costs</w:t>
            </w:r>
          </w:p>
        </w:tc>
        <w:tc>
          <w:tcPr>
            <w:tcW w:w="1170" w:type="dxa"/>
            <w:tcBorders>
              <w:top w:val="nil"/>
              <w:left w:val="nil"/>
              <w:bottom w:val="nil"/>
              <w:right w:val="nil"/>
            </w:tcBorders>
            <w:shd w:val="clear" w:color="auto" w:fill="auto"/>
            <w:noWrap/>
            <w:vAlign w:val="bottom"/>
            <w:hideMark/>
          </w:tcPr>
          <w:p w14:paraId="0F1223AA" w14:textId="77777777" w:rsidR="00A655C1" w:rsidRPr="00D4035E" w:rsidRDefault="00A655C1" w:rsidP="00F3475E">
            <w:pPr>
              <w:ind w:left="0"/>
              <w:jc w:val="left"/>
              <w:rPr>
                <w:rFonts w:ascii="Arial Narrow" w:hAnsi="Arial Narrow" w:cs="Calibri"/>
                <w:color w:val="000000" w:themeColor="text1"/>
                <w:sz w:val="16"/>
                <w:szCs w:val="16"/>
              </w:rPr>
            </w:pPr>
          </w:p>
        </w:tc>
        <w:tc>
          <w:tcPr>
            <w:tcW w:w="1170" w:type="dxa"/>
            <w:tcBorders>
              <w:top w:val="nil"/>
              <w:left w:val="nil"/>
              <w:bottom w:val="nil"/>
              <w:right w:val="nil"/>
            </w:tcBorders>
            <w:shd w:val="clear" w:color="auto" w:fill="auto"/>
            <w:noWrap/>
            <w:vAlign w:val="bottom"/>
            <w:hideMark/>
          </w:tcPr>
          <w:p w14:paraId="45EEFA6A" w14:textId="77777777" w:rsidR="00A655C1" w:rsidRPr="00D4035E" w:rsidRDefault="00A655C1" w:rsidP="00F3475E">
            <w:pPr>
              <w:ind w:left="0"/>
              <w:jc w:val="left"/>
              <w:rPr>
                <w:rFonts w:ascii="Arial Narrow" w:hAnsi="Arial Narrow"/>
                <w:color w:val="000000" w:themeColor="text1"/>
                <w:sz w:val="16"/>
                <w:szCs w:val="16"/>
              </w:rPr>
            </w:pPr>
          </w:p>
        </w:tc>
        <w:tc>
          <w:tcPr>
            <w:tcW w:w="1172" w:type="dxa"/>
            <w:gridSpan w:val="2"/>
            <w:tcBorders>
              <w:top w:val="nil"/>
              <w:left w:val="nil"/>
              <w:bottom w:val="nil"/>
              <w:right w:val="nil"/>
            </w:tcBorders>
            <w:shd w:val="clear" w:color="auto" w:fill="auto"/>
            <w:noWrap/>
            <w:vAlign w:val="bottom"/>
            <w:hideMark/>
          </w:tcPr>
          <w:p w14:paraId="7C097D2F" w14:textId="77777777" w:rsidR="00A655C1" w:rsidRPr="00D4035E" w:rsidRDefault="00A655C1" w:rsidP="00F3475E">
            <w:pPr>
              <w:ind w:left="0"/>
              <w:jc w:val="left"/>
              <w:rPr>
                <w:rFonts w:ascii="Arial Narrow" w:hAnsi="Arial Narrow"/>
                <w:color w:val="000000" w:themeColor="text1"/>
                <w:sz w:val="16"/>
                <w:szCs w:val="16"/>
              </w:rPr>
            </w:pPr>
          </w:p>
        </w:tc>
        <w:tc>
          <w:tcPr>
            <w:tcW w:w="1060" w:type="dxa"/>
            <w:gridSpan w:val="2"/>
            <w:tcBorders>
              <w:top w:val="nil"/>
              <w:left w:val="nil"/>
              <w:bottom w:val="nil"/>
              <w:right w:val="nil"/>
            </w:tcBorders>
            <w:shd w:val="clear" w:color="auto" w:fill="auto"/>
            <w:noWrap/>
            <w:vAlign w:val="bottom"/>
            <w:hideMark/>
          </w:tcPr>
          <w:p w14:paraId="13147B9F" w14:textId="77777777" w:rsidR="00A655C1" w:rsidRPr="00D4035E" w:rsidRDefault="00A655C1" w:rsidP="00F3475E">
            <w:pPr>
              <w:ind w:left="0"/>
              <w:jc w:val="left"/>
              <w:rPr>
                <w:rFonts w:ascii="Arial Narrow" w:hAnsi="Arial Narrow"/>
                <w:color w:val="000000" w:themeColor="text1"/>
                <w:sz w:val="16"/>
                <w:szCs w:val="16"/>
              </w:rPr>
            </w:pPr>
          </w:p>
        </w:tc>
        <w:tc>
          <w:tcPr>
            <w:tcW w:w="1008" w:type="dxa"/>
            <w:gridSpan w:val="2"/>
            <w:tcBorders>
              <w:top w:val="nil"/>
              <w:left w:val="nil"/>
              <w:bottom w:val="nil"/>
              <w:right w:val="nil"/>
            </w:tcBorders>
            <w:shd w:val="clear" w:color="auto" w:fill="auto"/>
            <w:noWrap/>
            <w:vAlign w:val="bottom"/>
            <w:hideMark/>
          </w:tcPr>
          <w:p w14:paraId="13D74CDE" w14:textId="77777777" w:rsidR="00A655C1" w:rsidRPr="00D4035E" w:rsidRDefault="00A655C1" w:rsidP="00F3475E">
            <w:pPr>
              <w:ind w:left="0"/>
              <w:jc w:val="left"/>
              <w:rPr>
                <w:rFonts w:ascii="Arial Narrow" w:hAnsi="Arial Narrow"/>
                <w:color w:val="000000" w:themeColor="text1"/>
                <w:sz w:val="16"/>
                <w:szCs w:val="16"/>
              </w:rPr>
            </w:pPr>
          </w:p>
        </w:tc>
        <w:tc>
          <w:tcPr>
            <w:tcW w:w="1080" w:type="dxa"/>
            <w:gridSpan w:val="2"/>
            <w:tcBorders>
              <w:top w:val="nil"/>
              <w:left w:val="nil"/>
              <w:bottom w:val="nil"/>
              <w:right w:val="nil"/>
            </w:tcBorders>
            <w:shd w:val="clear" w:color="auto" w:fill="auto"/>
            <w:noWrap/>
            <w:vAlign w:val="bottom"/>
            <w:hideMark/>
          </w:tcPr>
          <w:p w14:paraId="45ACACC7" w14:textId="77777777" w:rsidR="00A655C1" w:rsidRPr="00D4035E" w:rsidRDefault="00A655C1" w:rsidP="00F3475E">
            <w:pPr>
              <w:ind w:left="0"/>
              <w:jc w:val="left"/>
              <w:rPr>
                <w:rFonts w:ascii="Arial Narrow" w:hAnsi="Arial Narrow"/>
                <w:color w:val="000000" w:themeColor="text1"/>
                <w:sz w:val="16"/>
                <w:szCs w:val="16"/>
              </w:rPr>
            </w:pPr>
          </w:p>
        </w:tc>
        <w:tc>
          <w:tcPr>
            <w:tcW w:w="1080" w:type="dxa"/>
            <w:tcBorders>
              <w:top w:val="nil"/>
              <w:left w:val="nil"/>
              <w:bottom w:val="nil"/>
              <w:right w:val="nil"/>
            </w:tcBorders>
            <w:shd w:val="clear" w:color="auto" w:fill="auto"/>
            <w:noWrap/>
            <w:vAlign w:val="bottom"/>
            <w:hideMark/>
          </w:tcPr>
          <w:p w14:paraId="0C6D16C1" w14:textId="77777777" w:rsidR="00A655C1" w:rsidRPr="00D4035E" w:rsidRDefault="00A655C1" w:rsidP="00D4035E">
            <w:pPr>
              <w:ind w:left="0" w:right="-108"/>
              <w:jc w:val="left"/>
              <w:rPr>
                <w:rFonts w:ascii="Arial Narrow" w:hAnsi="Arial Narrow"/>
                <w:color w:val="000000" w:themeColor="text1"/>
                <w:sz w:val="16"/>
                <w:szCs w:val="16"/>
              </w:rPr>
            </w:pPr>
          </w:p>
        </w:tc>
      </w:tr>
      <w:tr w:rsidR="00997F75" w:rsidRPr="00D4035E" w14:paraId="17F6DFE1" w14:textId="77777777" w:rsidTr="00D4035E">
        <w:trPr>
          <w:trHeight w:val="180"/>
        </w:trPr>
        <w:tc>
          <w:tcPr>
            <w:tcW w:w="1350" w:type="dxa"/>
            <w:tcBorders>
              <w:top w:val="nil"/>
              <w:left w:val="nil"/>
              <w:bottom w:val="nil"/>
              <w:right w:val="nil"/>
            </w:tcBorders>
            <w:shd w:val="clear" w:color="auto" w:fill="auto"/>
            <w:noWrap/>
            <w:vAlign w:val="bottom"/>
            <w:hideMark/>
          </w:tcPr>
          <w:p w14:paraId="59B832EF" w14:textId="4D4C6DA5" w:rsidR="007F17D8" w:rsidRPr="00D4035E" w:rsidRDefault="007F17D8" w:rsidP="007F17D8">
            <w:pPr>
              <w:ind w:left="-105"/>
              <w:rPr>
                <w:rFonts w:ascii="Arial Narrow" w:hAnsi="Arial Narrow" w:cs="Calibri"/>
                <w:color w:val="000000" w:themeColor="text1"/>
                <w:sz w:val="16"/>
                <w:szCs w:val="16"/>
              </w:rPr>
            </w:pPr>
            <w:r w:rsidRPr="00D4035E">
              <w:rPr>
                <w:rFonts w:ascii="Arial Narrow" w:hAnsi="Arial Narrow" w:cs="Calibri"/>
                <w:color w:val="000000" w:themeColor="text1"/>
                <w:sz w:val="16"/>
                <w:szCs w:val="16"/>
              </w:rPr>
              <w:t>January 1, 2023</w:t>
            </w:r>
          </w:p>
        </w:tc>
        <w:tc>
          <w:tcPr>
            <w:tcW w:w="1170" w:type="dxa"/>
            <w:tcBorders>
              <w:top w:val="nil"/>
              <w:left w:val="nil"/>
              <w:bottom w:val="nil"/>
              <w:right w:val="nil"/>
            </w:tcBorders>
            <w:shd w:val="clear" w:color="auto" w:fill="auto"/>
            <w:noWrap/>
            <w:vAlign w:val="bottom"/>
            <w:hideMark/>
          </w:tcPr>
          <w:p w14:paraId="0A86E53A" w14:textId="2B8A769D" w:rsidR="007F17D8" w:rsidRPr="00D4035E" w:rsidRDefault="007F17D8" w:rsidP="007F17D8">
            <w:pPr>
              <w:ind w:left="0"/>
              <w:jc w:val="right"/>
              <w:rPr>
                <w:rFonts w:ascii="Arial Narrow" w:hAnsi="Arial Narrow" w:cs="Calibri"/>
                <w:color w:val="000000" w:themeColor="text1"/>
                <w:sz w:val="16"/>
                <w:szCs w:val="16"/>
              </w:rPr>
            </w:pPr>
            <w:r w:rsidRPr="00D4035E">
              <w:rPr>
                <w:rFonts w:ascii="Arial Narrow" w:hAnsi="Arial Narrow" w:cs="Calibri"/>
                <w:color w:val="000000" w:themeColor="text1"/>
                <w:sz w:val="16"/>
                <w:szCs w:val="16"/>
              </w:rPr>
              <w:t>484,398,000</w:t>
            </w:r>
          </w:p>
        </w:tc>
        <w:tc>
          <w:tcPr>
            <w:tcW w:w="1170" w:type="dxa"/>
            <w:tcBorders>
              <w:top w:val="nil"/>
              <w:left w:val="nil"/>
              <w:bottom w:val="nil"/>
              <w:right w:val="nil"/>
            </w:tcBorders>
            <w:shd w:val="clear" w:color="auto" w:fill="auto"/>
            <w:noWrap/>
            <w:vAlign w:val="bottom"/>
            <w:hideMark/>
          </w:tcPr>
          <w:p w14:paraId="741492D9" w14:textId="46C73597" w:rsidR="007F17D8" w:rsidRPr="00D4035E" w:rsidRDefault="007F17D8" w:rsidP="007F17D8">
            <w:pPr>
              <w:ind w:left="0"/>
              <w:jc w:val="right"/>
              <w:rPr>
                <w:rFonts w:ascii="Arial Narrow" w:hAnsi="Arial Narrow" w:cs="Calibri"/>
                <w:color w:val="000000" w:themeColor="text1"/>
                <w:sz w:val="16"/>
                <w:szCs w:val="16"/>
              </w:rPr>
            </w:pPr>
            <w:r w:rsidRPr="00D4035E">
              <w:rPr>
                <w:rFonts w:ascii="Arial Narrow" w:hAnsi="Arial Narrow" w:cs="Calibri"/>
                <w:color w:val="000000" w:themeColor="text1"/>
                <w:sz w:val="16"/>
                <w:szCs w:val="16"/>
              </w:rPr>
              <w:t>758,733,246</w:t>
            </w:r>
          </w:p>
        </w:tc>
        <w:tc>
          <w:tcPr>
            <w:tcW w:w="1080" w:type="dxa"/>
            <w:tcBorders>
              <w:top w:val="nil"/>
              <w:left w:val="nil"/>
              <w:bottom w:val="nil"/>
              <w:right w:val="nil"/>
            </w:tcBorders>
            <w:shd w:val="clear" w:color="auto" w:fill="auto"/>
            <w:noWrap/>
            <w:vAlign w:val="bottom"/>
            <w:hideMark/>
          </w:tcPr>
          <w:p w14:paraId="54527230" w14:textId="695A5CB9" w:rsidR="007F17D8" w:rsidRPr="00D4035E" w:rsidRDefault="007F17D8" w:rsidP="00997F75">
            <w:pPr>
              <w:ind w:left="0" w:right="-21"/>
              <w:jc w:val="right"/>
              <w:rPr>
                <w:rFonts w:ascii="Arial Narrow" w:hAnsi="Arial Narrow" w:cs="Calibri"/>
                <w:color w:val="000000" w:themeColor="text1"/>
                <w:sz w:val="16"/>
                <w:szCs w:val="16"/>
              </w:rPr>
            </w:pPr>
            <w:r w:rsidRPr="00D4035E">
              <w:rPr>
                <w:rFonts w:ascii="Arial Narrow" w:hAnsi="Arial Narrow" w:cs="Calibri"/>
                <w:color w:val="000000" w:themeColor="text1"/>
                <w:sz w:val="16"/>
                <w:szCs w:val="16"/>
              </w:rPr>
              <w:t>317,083,466</w:t>
            </w:r>
          </w:p>
        </w:tc>
        <w:tc>
          <w:tcPr>
            <w:tcW w:w="990" w:type="dxa"/>
            <w:gridSpan w:val="2"/>
            <w:tcBorders>
              <w:top w:val="nil"/>
              <w:left w:val="nil"/>
              <w:bottom w:val="nil"/>
              <w:right w:val="nil"/>
            </w:tcBorders>
            <w:shd w:val="clear" w:color="auto" w:fill="auto"/>
            <w:noWrap/>
            <w:vAlign w:val="bottom"/>
            <w:hideMark/>
          </w:tcPr>
          <w:p w14:paraId="79F36FE1" w14:textId="14EBADF3" w:rsidR="007F17D8" w:rsidRPr="00D4035E" w:rsidRDefault="007F17D8" w:rsidP="002C765B">
            <w:pPr>
              <w:ind w:left="0"/>
              <w:jc w:val="right"/>
              <w:rPr>
                <w:rFonts w:ascii="Arial Narrow" w:hAnsi="Arial Narrow" w:cs="Calibri"/>
                <w:color w:val="000000" w:themeColor="text1"/>
                <w:sz w:val="16"/>
                <w:szCs w:val="16"/>
              </w:rPr>
            </w:pPr>
            <w:r w:rsidRPr="00D4035E">
              <w:rPr>
                <w:rFonts w:ascii="Arial Narrow" w:hAnsi="Arial Narrow" w:cs="Calibri"/>
                <w:color w:val="000000" w:themeColor="text1"/>
                <w:sz w:val="16"/>
                <w:szCs w:val="16"/>
              </w:rPr>
              <w:t>62,307,895</w:t>
            </w:r>
          </w:p>
        </w:tc>
        <w:tc>
          <w:tcPr>
            <w:tcW w:w="1080" w:type="dxa"/>
            <w:gridSpan w:val="2"/>
            <w:tcBorders>
              <w:top w:val="nil"/>
              <w:left w:val="nil"/>
              <w:bottom w:val="nil"/>
              <w:right w:val="nil"/>
            </w:tcBorders>
            <w:shd w:val="clear" w:color="auto" w:fill="auto"/>
            <w:noWrap/>
            <w:vAlign w:val="bottom"/>
            <w:hideMark/>
          </w:tcPr>
          <w:p w14:paraId="0B17FFC8" w14:textId="484656ED" w:rsidR="007F17D8" w:rsidRPr="00D4035E" w:rsidRDefault="007F17D8" w:rsidP="007F17D8">
            <w:pPr>
              <w:ind w:left="0"/>
              <w:jc w:val="right"/>
              <w:rPr>
                <w:rFonts w:ascii="Arial Narrow" w:hAnsi="Arial Narrow" w:cs="Calibri"/>
                <w:color w:val="000000" w:themeColor="text1"/>
                <w:sz w:val="16"/>
                <w:szCs w:val="16"/>
              </w:rPr>
            </w:pPr>
            <w:r w:rsidRPr="00D4035E">
              <w:rPr>
                <w:rFonts w:ascii="Arial Narrow" w:hAnsi="Arial Narrow" w:cs="Calibri"/>
                <w:color w:val="000000" w:themeColor="text1"/>
                <w:sz w:val="16"/>
                <w:szCs w:val="16"/>
              </w:rPr>
              <w:t>278,723,765</w:t>
            </w:r>
          </w:p>
        </w:tc>
        <w:tc>
          <w:tcPr>
            <w:tcW w:w="1080" w:type="dxa"/>
            <w:gridSpan w:val="2"/>
            <w:tcBorders>
              <w:top w:val="nil"/>
              <w:left w:val="nil"/>
              <w:bottom w:val="nil"/>
              <w:right w:val="nil"/>
            </w:tcBorders>
            <w:shd w:val="clear" w:color="auto" w:fill="auto"/>
            <w:noWrap/>
            <w:vAlign w:val="bottom"/>
            <w:hideMark/>
          </w:tcPr>
          <w:p w14:paraId="32BC44A5" w14:textId="026D1F2A" w:rsidR="007F17D8" w:rsidRPr="00D4035E" w:rsidRDefault="007F17D8" w:rsidP="007F17D8">
            <w:pPr>
              <w:ind w:left="0"/>
              <w:jc w:val="right"/>
              <w:rPr>
                <w:rFonts w:ascii="Arial Narrow" w:hAnsi="Arial Narrow" w:cs="Calibri"/>
                <w:color w:val="000000" w:themeColor="text1"/>
                <w:sz w:val="16"/>
                <w:szCs w:val="16"/>
              </w:rPr>
            </w:pPr>
            <w:r w:rsidRPr="00D4035E">
              <w:rPr>
                <w:rFonts w:ascii="Arial Narrow" w:hAnsi="Arial Narrow" w:cs="Calibri"/>
                <w:color w:val="000000" w:themeColor="text1"/>
                <w:sz w:val="16"/>
                <w:szCs w:val="16"/>
              </w:rPr>
              <w:t>10,575,397</w:t>
            </w:r>
          </w:p>
        </w:tc>
        <w:tc>
          <w:tcPr>
            <w:tcW w:w="1170" w:type="dxa"/>
            <w:gridSpan w:val="2"/>
            <w:tcBorders>
              <w:top w:val="nil"/>
              <w:left w:val="nil"/>
              <w:bottom w:val="nil"/>
              <w:right w:val="nil"/>
            </w:tcBorders>
            <w:shd w:val="clear" w:color="auto" w:fill="auto"/>
            <w:noWrap/>
            <w:vAlign w:val="bottom"/>
            <w:hideMark/>
          </w:tcPr>
          <w:p w14:paraId="7BA22F20" w14:textId="58489E04" w:rsidR="007F17D8" w:rsidRPr="00D4035E" w:rsidRDefault="007F17D8" w:rsidP="00D4035E">
            <w:pPr>
              <w:ind w:left="0" w:right="-108"/>
              <w:jc w:val="right"/>
              <w:rPr>
                <w:rFonts w:ascii="Arial Narrow" w:hAnsi="Arial Narrow" w:cs="Calibri"/>
                <w:color w:val="000000" w:themeColor="text1"/>
                <w:sz w:val="16"/>
                <w:szCs w:val="16"/>
              </w:rPr>
            </w:pPr>
            <w:r w:rsidRPr="00D4035E">
              <w:rPr>
                <w:rFonts w:ascii="Arial Narrow" w:hAnsi="Arial Narrow" w:cs="Calibri"/>
                <w:color w:val="000000" w:themeColor="text1"/>
                <w:sz w:val="16"/>
                <w:szCs w:val="16"/>
              </w:rPr>
              <w:t>1,911,821,769</w:t>
            </w:r>
          </w:p>
        </w:tc>
      </w:tr>
      <w:tr w:rsidR="00997F75" w:rsidRPr="00D4035E" w14:paraId="6A7516CB" w14:textId="77777777" w:rsidTr="00D4035E">
        <w:trPr>
          <w:trHeight w:val="189"/>
        </w:trPr>
        <w:tc>
          <w:tcPr>
            <w:tcW w:w="1350" w:type="dxa"/>
            <w:tcBorders>
              <w:top w:val="nil"/>
              <w:left w:val="nil"/>
              <w:bottom w:val="nil"/>
              <w:right w:val="nil"/>
            </w:tcBorders>
            <w:shd w:val="clear" w:color="auto" w:fill="auto"/>
            <w:noWrap/>
            <w:vAlign w:val="bottom"/>
            <w:hideMark/>
          </w:tcPr>
          <w:p w14:paraId="74F77AF3" w14:textId="77777777" w:rsidR="00A655C1" w:rsidRPr="00D4035E" w:rsidRDefault="00A655C1" w:rsidP="00A655C1">
            <w:pPr>
              <w:ind w:left="-105"/>
              <w:rPr>
                <w:rFonts w:ascii="Arial Narrow" w:hAnsi="Arial Narrow" w:cs="Calibri"/>
                <w:color w:val="000000" w:themeColor="text1"/>
                <w:sz w:val="16"/>
                <w:szCs w:val="16"/>
              </w:rPr>
            </w:pPr>
            <w:r w:rsidRPr="00D4035E">
              <w:rPr>
                <w:rFonts w:ascii="Arial Narrow" w:hAnsi="Arial Narrow" w:cs="Calibri"/>
                <w:color w:val="000000" w:themeColor="text1"/>
                <w:sz w:val="16"/>
                <w:szCs w:val="16"/>
              </w:rPr>
              <w:t>Additions</w:t>
            </w:r>
          </w:p>
        </w:tc>
        <w:tc>
          <w:tcPr>
            <w:tcW w:w="1170" w:type="dxa"/>
            <w:tcBorders>
              <w:top w:val="nil"/>
              <w:left w:val="nil"/>
              <w:bottom w:val="nil"/>
              <w:right w:val="nil"/>
            </w:tcBorders>
            <w:shd w:val="clear" w:color="auto" w:fill="auto"/>
            <w:noWrap/>
            <w:vAlign w:val="bottom"/>
            <w:hideMark/>
          </w:tcPr>
          <w:p w14:paraId="5534AFAA" w14:textId="77777777" w:rsidR="00A655C1" w:rsidRPr="00D4035E" w:rsidRDefault="00A655C1" w:rsidP="00A655C1">
            <w:pPr>
              <w:ind w:left="0"/>
              <w:jc w:val="right"/>
              <w:rPr>
                <w:rFonts w:ascii="Arial Narrow" w:hAnsi="Arial Narrow" w:cs="Calibri"/>
                <w:color w:val="000000" w:themeColor="text1"/>
                <w:sz w:val="16"/>
                <w:szCs w:val="16"/>
              </w:rPr>
            </w:pPr>
            <w:r w:rsidRPr="00D4035E">
              <w:rPr>
                <w:rFonts w:ascii="Arial Narrow" w:hAnsi="Arial Narrow" w:cs="Calibri"/>
                <w:color w:val="000000" w:themeColor="text1"/>
                <w:sz w:val="16"/>
                <w:szCs w:val="16"/>
              </w:rPr>
              <w:t xml:space="preserve">                -   </w:t>
            </w:r>
          </w:p>
        </w:tc>
        <w:tc>
          <w:tcPr>
            <w:tcW w:w="1170" w:type="dxa"/>
            <w:tcBorders>
              <w:top w:val="nil"/>
              <w:left w:val="nil"/>
              <w:bottom w:val="nil"/>
              <w:right w:val="nil"/>
            </w:tcBorders>
            <w:shd w:val="clear" w:color="auto" w:fill="auto"/>
            <w:noWrap/>
            <w:vAlign w:val="bottom"/>
          </w:tcPr>
          <w:p w14:paraId="61440278" w14:textId="2208BBA9" w:rsidR="00A655C1" w:rsidRPr="00D4035E" w:rsidRDefault="00C85031" w:rsidP="00A655C1">
            <w:pPr>
              <w:ind w:left="0"/>
              <w:jc w:val="right"/>
              <w:rPr>
                <w:rFonts w:ascii="Arial Narrow" w:hAnsi="Arial Narrow" w:cs="Calibri"/>
                <w:color w:val="000000" w:themeColor="text1"/>
                <w:sz w:val="16"/>
                <w:szCs w:val="16"/>
              </w:rPr>
            </w:pPr>
            <w:r w:rsidRPr="00D4035E">
              <w:rPr>
                <w:rFonts w:ascii="Arial Narrow" w:hAnsi="Arial Narrow" w:cs="Calibri"/>
                <w:color w:val="000000" w:themeColor="text1"/>
                <w:sz w:val="16"/>
                <w:szCs w:val="16"/>
              </w:rPr>
              <w:t>5,563,458,136</w:t>
            </w:r>
          </w:p>
        </w:tc>
        <w:tc>
          <w:tcPr>
            <w:tcW w:w="1080" w:type="dxa"/>
            <w:tcBorders>
              <w:top w:val="nil"/>
              <w:left w:val="nil"/>
              <w:bottom w:val="nil"/>
              <w:right w:val="nil"/>
            </w:tcBorders>
            <w:shd w:val="clear" w:color="auto" w:fill="auto"/>
            <w:noWrap/>
            <w:vAlign w:val="bottom"/>
          </w:tcPr>
          <w:p w14:paraId="091F9D26" w14:textId="261FCD08" w:rsidR="00A655C1" w:rsidRPr="00D4035E" w:rsidRDefault="00F4747B" w:rsidP="00997F75">
            <w:pPr>
              <w:ind w:left="0" w:right="-21"/>
              <w:jc w:val="right"/>
              <w:rPr>
                <w:rFonts w:ascii="Arial Narrow" w:hAnsi="Arial Narrow" w:cs="Calibri"/>
                <w:color w:val="000000" w:themeColor="text1"/>
                <w:sz w:val="16"/>
                <w:szCs w:val="16"/>
              </w:rPr>
            </w:pPr>
            <w:r w:rsidRPr="00D4035E">
              <w:rPr>
                <w:rFonts w:ascii="Arial Narrow" w:hAnsi="Arial Narrow" w:cs="Calibri"/>
                <w:color w:val="000000" w:themeColor="text1"/>
                <w:sz w:val="16"/>
                <w:szCs w:val="16"/>
              </w:rPr>
              <w:t>204,019,571</w:t>
            </w:r>
          </w:p>
        </w:tc>
        <w:tc>
          <w:tcPr>
            <w:tcW w:w="990" w:type="dxa"/>
            <w:gridSpan w:val="2"/>
            <w:tcBorders>
              <w:top w:val="nil"/>
              <w:left w:val="nil"/>
              <w:bottom w:val="nil"/>
              <w:right w:val="nil"/>
            </w:tcBorders>
            <w:shd w:val="clear" w:color="auto" w:fill="auto"/>
            <w:noWrap/>
          </w:tcPr>
          <w:p w14:paraId="1CDC6F55" w14:textId="497DEA16" w:rsidR="00A655C1" w:rsidRPr="00D4035E" w:rsidRDefault="00081A38" w:rsidP="002C765B">
            <w:pPr>
              <w:ind w:left="0"/>
              <w:jc w:val="right"/>
              <w:rPr>
                <w:rFonts w:ascii="Arial Narrow" w:hAnsi="Arial Narrow" w:cs="Calibri"/>
                <w:color w:val="000000" w:themeColor="text1"/>
                <w:sz w:val="16"/>
                <w:szCs w:val="16"/>
              </w:rPr>
            </w:pPr>
            <w:r w:rsidRPr="00D4035E">
              <w:rPr>
                <w:rFonts w:ascii="Arial Narrow" w:hAnsi="Arial Narrow" w:cs="Calibri"/>
                <w:color w:val="000000" w:themeColor="text1"/>
                <w:sz w:val="16"/>
                <w:szCs w:val="16"/>
              </w:rPr>
              <w:t>33,026,103</w:t>
            </w:r>
          </w:p>
        </w:tc>
        <w:tc>
          <w:tcPr>
            <w:tcW w:w="1080" w:type="dxa"/>
            <w:gridSpan w:val="2"/>
            <w:tcBorders>
              <w:top w:val="nil"/>
              <w:left w:val="nil"/>
              <w:bottom w:val="nil"/>
              <w:right w:val="nil"/>
            </w:tcBorders>
            <w:shd w:val="clear" w:color="auto" w:fill="auto"/>
            <w:noWrap/>
          </w:tcPr>
          <w:p w14:paraId="4FA7D004" w14:textId="17E8B5B8" w:rsidR="00A655C1" w:rsidRPr="00D4035E" w:rsidRDefault="00081A38" w:rsidP="00A655C1">
            <w:pPr>
              <w:ind w:left="0"/>
              <w:jc w:val="right"/>
              <w:rPr>
                <w:rFonts w:ascii="Arial Narrow" w:hAnsi="Arial Narrow" w:cs="Calibri"/>
                <w:color w:val="000000" w:themeColor="text1"/>
                <w:sz w:val="16"/>
                <w:szCs w:val="16"/>
              </w:rPr>
            </w:pPr>
            <w:r w:rsidRPr="00D4035E">
              <w:rPr>
                <w:rFonts w:ascii="Arial Narrow" w:hAnsi="Arial Narrow" w:cs="Calibri"/>
                <w:color w:val="000000" w:themeColor="text1"/>
                <w:sz w:val="16"/>
                <w:szCs w:val="16"/>
              </w:rPr>
              <w:t>7,007,000</w:t>
            </w:r>
          </w:p>
        </w:tc>
        <w:tc>
          <w:tcPr>
            <w:tcW w:w="1080" w:type="dxa"/>
            <w:gridSpan w:val="2"/>
            <w:tcBorders>
              <w:top w:val="nil"/>
              <w:left w:val="nil"/>
              <w:bottom w:val="nil"/>
              <w:right w:val="nil"/>
            </w:tcBorders>
            <w:shd w:val="clear" w:color="auto" w:fill="auto"/>
            <w:noWrap/>
          </w:tcPr>
          <w:p w14:paraId="73E415DF" w14:textId="0E6140E3" w:rsidR="00A655C1" w:rsidRPr="00D4035E" w:rsidRDefault="00081A38" w:rsidP="00A655C1">
            <w:pPr>
              <w:ind w:left="0"/>
              <w:jc w:val="right"/>
              <w:rPr>
                <w:rFonts w:ascii="Arial Narrow" w:hAnsi="Arial Narrow" w:cs="Calibri"/>
                <w:color w:val="000000" w:themeColor="text1"/>
                <w:sz w:val="16"/>
                <w:szCs w:val="16"/>
              </w:rPr>
            </w:pPr>
            <w:r w:rsidRPr="00D4035E">
              <w:rPr>
                <w:rFonts w:ascii="Arial Narrow" w:hAnsi="Arial Narrow" w:cs="Calibri"/>
                <w:color w:val="000000" w:themeColor="text1"/>
                <w:sz w:val="16"/>
                <w:szCs w:val="16"/>
              </w:rPr>
              <w:t>6,367,120</w:t>
            </w:r>
          </w:p>
        </w:tc>
        <w:tc>
          <w:tcPr>
            <w:tcW w:w="1170" w:type="dxa"/>
            <w:gridSpan w:val="2"/>
            <w:tcBorders>
              <w:top w:val="nil"/>
              <w:left w:val="nil"/>
              <w:bottom w:val="nil"/>
              <w:right w:val="nil"/>
            </w:tcBorders>
            <w:shd w:val="clear" w:color="auto" w:fill="auto"/>
            <w:noWrap/>
            <w:hideMark/>
          </w:tcPr>
          <w:p w14:paraId="102805D9" w14:textId="75612309" w:rsidR="00A655C1" w:rsidRPr="00D4035E" w:rsidRDefault="00C85031" w:rsidP="00D4035E">
            <w:pPr>
              <w:ind w:left="0" w:right="-108"/>
              <w:jc w:val="right"/>
              <w:rPr>
                <w:rFonts w:ascii="Arial Narrow" w:hAnsi="Arial Narrow" w:cs="Calibri"/>
                <w:color w:val="000000" w:themeColor="text1"/>
                <w:sz w:val="16"/>
                <w:szCs w:val="16"/>
              </w:rPr>
            </w:pPr>
            <w:r w:rsidRPr="00D4035E">
              <w:rPr>
                <w:rFonts w:ascii="Arial Narrow" w:hAnsi="Arial Narrow" w:cs="Calibri"/>
                <w:color w:val="000000" w:themeColor="text1"/>
                <w:sz w:val="16"/>
                <w:szCs w:val="16"/>
              </w:rPr>
              <w:t>5,813,877,930</w:t>
            </w:r>
          </w:p>
        </w:tc>
      </w:tr>
      <w:tr w:rsidR="00997F75" w:rsidRPr="00D4035E" w14:paraId="146F6A22" w14:textId="77777777" w:rsidTr="00D4035E">
        <w:trPr>
          <w:trHeight w:val="162"/>
        </w:trPr>
        <w:tc>
          <w:tcPr>
            <w:tcW w:w="1350" w:type="dxa"/>
            <w:tcBorders>
              <w:top w:val="nil"/>
              <w:left w:val="nil"/>
              <w:bottom w:val="nil"/>
              <w:right w:val="nil"/>
            </w:tcBorders>
            <w:shd w:val="clear" w:color="auto" w:fill="auto"/>
            <w:noWrap/>
            <w:vAlign w:val="bottom"/>
            <w:hideMark/>
          </w:tcPr>
          <w:p w14:paraId="28F85618" w14:textId="77777777" w:rsidR="00A655C1" w:rsidRPr="00D4035E" w:rsidRDefault="00A655C1" w:rsidP="00A655C1">
            <w:pPr>
              <w:ind w:left="-105"/>
              <w:rPr>
                <w:rFonts w:ascii="Arial Narrow" w:hAnsi="Arial Narrow" w:cs="Calibri"/>
                <w:color w:val="000000" w:themeColor="text1"/>
                <w:sz w:val="16"/>
                <w:szCs w:val="16"/>
              </w:rPr>
            </w:pPr>
            <w:r w:rsidRPr="00D4035E">
              <w:rPr>
                <w:rFonts w:ascii="Arial Narrow" w:hAnsi="Arial Narrow" w:cs="Calibri"/>
                <w:color w:val="000000" w:themeColor="text1"/>
                <w:sz w:val="16"/>
                <w:szCs w:val="16"/>
              </w:rPr>
              <w:t>Disposals</w:t>
            </w:r>
          </w:p>
        </w:tc>
        <w:tc>
          <w:tcPr>
            <w:tcW w:w="1170" w:type="dxa"/>
            <w:tcBorders>
              <w:top w:val="nil"/>
              <w:left w:val="nil"/>
              <w:bottom w:val="nil"/>
              <w:right w:val="nil"/>
            </w:tcBorders>
            <w:shd w:val="clear" w:color="auto" w:fill="auto"/>
            <w:noWrap/>
            <w:vAlign w:val="bottom"/>
            <w:hideMark/>
          </w:tcPr>
          <w:p w14:paraId="5A0BA338" w14:textId="77777777" w:rsidR="00A655C1" w:rsidRPr="00D4035E" w:rsidRDefault="00A655C1" w:rsidP="00A655C1">
            <w:pPr>
              <w:ind w:left="0"/>
              <w:jc w:val="right"/>
              <w:rPr>
                <w:rFonts w:ascii="Arial Narrow" w:hAnsi="Arial Narrow" w:cs="Calibri"/>
                <w:color w:val="000000" w:themeColor="text1"/>
                <w:sz w:val="16"/>
                <w:szCs w:val="16"/>
              </w:rPr>
            </w:pPr>
            <w:r w:rsidRPr="00D4035E">
              <w:rPr>
                <w:rFonts w:ascii="Arial Narrow" w:hAnsi="Arial Narrow" w:cs="Calibri"/>
                <w:color w:val="000000" w:themeColor="text1"/>
                <w:sz w:val="16"/>
                <w:szCs w:val="16"/>
              </w:rPr>
              <w:t xml:space="preserve">                -   </w:t>
            </w:r>
          </w:p>
        </w:tc>
        <w:tc>
          <w:tcPr>
            <w:tcW w:w="1170" w:type="dxa"/>
            <w:tcBorders>
              <w:top w:val="nil"/>
              <w:left w:val="nil"/>
              <w:bottom w:val="nil"/>
              <w:right w:val="nil"/>
            </w:tcBorders>
            <w:shd w:val="clear" w:color="auto" w:fill="auto"/>
            <w:noWrap/>
            <w:vAlign w:val="bottom"/>
          </w:tcPr>
          <w:p w14:paraId="0B8186A5" w14:textId="5254A5A6" w:rsidR="00A655C1" w:rsidRPr="00D4035E" w:rsidRDefault="00041FAD" w:rsidP="00A655C1">
            <w:pPr>
              <w:ind w:left="0"/>
              <w:jc w:val="right"/>
              <w:rPr>
                <w:rFonts w:ascii="Arial Narrow" w:hAnsi="Arial Narrow" w:cs="Calibri"/>
                <w:color w:val="000000" w:themeColor="text1"/>
                <w:sz w:val="16"/>
                <w:szCs w:val="16"/>
              </w:rPr>
            </w:pPr>
            <w:r w:rsidRPr="00D4035E">
              <w:rPr>
                <w:rFonts w:ascii="Arial Narrow" w:hAnsi="Arial Narrow" w:cs="Calibri"/>
                <w:color w:val="000000" w:themeColor="text1"/>
                <w:sz w:val="16"/>
                <w:szCs w:val="16"/>
              </w:rPr>
              <w:t>-</w:t>
            </w:r>
          </w:p>
        </w:tc>
        <w:tc>
          <w:tcPr>
            <w:tcW w:w="1080" w:type="dxa"/>
            <w:tcBorders>
              <w:top w:val="nil"/>
              <w:left w:val="nil"/>
              <w:bottom w:val="nil"/>
              <w:right w:val="nil"/>
            </w:tcBorders>
            <w:shd w:val="clear" w:color="auto" w:fill="auto"/>
            <w:noWrap/>
            <w:vAlign w:val="bottom"/>
          </w:tcPr>
          <w:p w14:paraId="03171F9E" w14:textId="1652D597" w:rsidR="00A655C1" w:rsidRPr="00D4035E" w:rsidRDefault="00041FAD" w:rsidP="00997F75">
            <w:pPr>
              <w:ind w:left="0" w:right="-21"/>
              <w:jc w:val="right"/>
              <w:rPr>
                <w:rFonts w:ascii="Arial Narrow" w:hAnsi="Arial Narrow" w:cs="Calibri"/>
                <w:color w:val="000000" w:themeColor="text1"/>
                <w:sz w:val="16"/>
                <w:szCs w:val="16"/>
              </w:rPr>
            </w:pPr>
            <w:r w:rsidRPr="00D4035E">
              <w:rPr>
                <w:rFonts w:ascii="Arial Narrow" w:hAnsi="Arial Narrow" w:cs="Calibri"/>
                <w:color w:val="000000" w:themeColor="text1"/>
                <w:sz w:val="16"/>
                <w:szCs w:val="16"/>
              </w:rPr>
              <w:t>(350,347)</w:t>
            </w:r>
          </w:p>
        </w:tc>
        <w:tc>
          <w:tcPr>
            <w:tcW w:w="990" w:type="dxa"/>
            <w:gridSpan w:val="2"/>
            <w:tcBorders>
              <w:top w:val="nil"/>
              <w:left w:val="nil"/>
              <w:bottom w:val="nil"/>
              <w:right w:val="nil"/>
            </w:tcBorders>
            <w:shd w:val="clear" w:color="auto" w:fill="auto"/>
            <w:noWrap/>
          </w:tcPr>
          <w:p w14:paraId="2924A24D" w14:textId="3EE64DD1" w:rsidR="00A655C1" w:rsidRPr="00D4035E" w:rsidRDefault="00041FAD" w:rsidP="002C765B">
            <w:pPr>
              <w:ind w:left="0"/>
              <w:jc w:val="right"/>
              <w:rPr>
                <w:rFonts w:ascii="Arial Narrow" w:hAnsi="Arial Narrow" w:cs="Calibri"/>
                <w:color w:val="000000" w:themeColor="text1"/>
                <w:sz w:val="16"/>
                <w:szCs w:val="16"/>
              </w:rPr>
            </w:pPr>
            <w:r w:rsidRPr="00D4035E">
              <w:rPr>
                <w:rFonts w:ascii="Arial Narrow" w:hAnsi="Arial Narrow" w:cs="Calibri"/>
                <w:color w:val="000000" w:themeColor="text1"/>
                <w:sz w:val="16"/>
                <w:szCs w:val="16"/>
              </w:rPr>
              <w:t>(32,554)</w:t>
            </w:r>
          </w:p>
        </w:tc>
        <w:tc>
          <w:tcPr>
            <w:tcW w:w="1080" w:type="dxa"/>
            <w:gridSpan w:val="2"/>
            <w:tcBorders>
              <w:top w:val="nil"/>
              <w:left w:val="nil"/>
              <w:bottom w:val="nil"/>
              <w:right w:val="nil"/>
            </w:tcBorders>
            <w:shd w:val="clear" w:color="auto" w:fill="auto"/>
            <w:noWrap/>
          </w:tcPr>
          <w:p w14:paraId="7D733CC3" w14:textId="637101B5" w:rsidR="00A655C1" w:rsidRPr="00D4035E" w:rsidRDefault="008E3C52" w:rsidP="00A655C1">
            <w:pPr>
              <w:ind w:left="0"/>
              <w:jc w:val="right"/>
              <w:rPr>
                <w:rFonts w:ascii="Arial Narrow" w:hAnsi="Arial Narrow" w:cs="Calibri"/>
                <w:color w:val="000000" w:themeColor="text1"/>
                <w:sz w:val="16"/>
                <w:szCs w:val="16"/>
              </w:rPr>
            </w:pPr>
            <w:r w:rsidRPr="00D4035E">
              <w:rPr>
                <w:rFonts w:ascii="Arial Narrow" w:hAnsi="Arial Narrow" w:cs="Calibri"/>
                <w:color w:val="000000" w:themeColor="text1"/>
                <w:sz w:val="16"/>
                <w:szCs w:val="16"/>
              </w:rPr>
              <w:t>-</w:t>
            </w:r>
          </w:p>
        </w:tc>
        <w:tc>
          <w:tcPr>
            <w:tcW w:w="1080" w:type="dxa"/>
            <w:gridSpan w:val="2"/>
            <w:tcBorders>
              <w:top w:val="nil"/>
              <w:left w:val="nil"/>
              <w:bottom w:val="nil"/>
              <w:right w:val="nil"/>
            </w:tcBorders>
            <w:shd w:val="clear" w:color="auto" w:fill="auto"/>
            <w:noWrap/>
          </w:tcPr>
          <w:p w14:paraId="48EEFF0C" w14:textId="015B6EE0" w:rsidR="00A655C1" w:rsidRPr="00D4035E" w:rsidRDefault="008E3C52" w:rsidP="00A655C1">
            <w:pPr>
              <w:ind w:left="0"/>
              <w:jc w:val="right"/>
              <w:rPr>
                <w:rFonts w:ascii="Arial Narrow" w:hAnsi="Arial Narrow" w:cs="Calibri"/>
                <w:color w:val="000000" w:themeColor="text1"/>
                <w:sz w:val="16"/>
                <w:szCs w:val="16"/>
              </w:rPr>
            </w:pPr>
            <w:r w:rsidRPr="00D4035E">
              <w:rPr>
                <w:rFonts w:ascii="Arial Narrow" w:hAnsi="Arial Narrow" w:cs="Calibri"/>
                <w:color w:val="000000" w:themeColor="text1"/>
                <w:sz w:val="16"/>
                <w:szCs w:val="16"/>
              </w:rPr>
              <w:t>-</w:t>
            </w:r>
          </w:p>
        </w:tc>
        <w:tc>
          <w:tcPr>
            <w:tcW w:w="1170" w:type="dxa"/>
            <w:gridSpan w:val="2"/>
            <w:tcBorders>
              <w:top w:val="nil"/>
              <w:left w:val="nil"/>
              <w:bottom w:val="nil"/>
              <w:right w:val="nil"/>
            </w:tcBorders>
            <w:shd w:val="clear" w:color="auto" w:fill="auto"/>
            <w:noWrap/>
            <w:hideMark/>
          </w:tcPr>
          <w:p w14:paraId="13BB5318" w14:textId="1B64247A" w:rsidR="00A655C1" w:rsidRPr="00D4035E" w:rsidRDefault="00454EBD" w:rsidP="00D4035E">
            <w:pPr>
              <w:ind w:left="0" w:right="-108"/>
              <w:jc w:val="right"/>
              <w:rPr>
                <w:rFonts w:ascii="Arial Narrow" w:hAnsi="Arial Narrow" w:cs="Calibri"/>
                <w:color w:val="000000" w:themeColor="text1"/>
                <w:sz w:val="16"/>
                <w:szCs w:val="16"/>
              </w:rPr>
            </w:pPr>
            <w:r w:rsidRPr="00D4035E">
              <w:rPr>
                <w:rFonts w:ascii="Arial Narrow" w:hAnsi="Arial Narrow" w:cs="Calibri"/>
                <w:color w:val="000000" w:themeColor="text1"/>
                <w:sz w:val="16"/>
                <w:szCs w:val="16"/>
              </w:rPr>
              <w:t>(382,901)</w:t>
            </w:r>
          </w:p>
        </w:tc>
      </w:tr>
      <w:tr w:rsidR="00997F75" w:rsidRPr="00D4035E" w14:paraId="2517E179" w14:textId="77777777" w:rsidTr="00D4035E">
        <w:trPr>
          <w:trHeight w:val="117"/>
        </w:trPr>
        <w:tc>
          <w:tcPr>
            <w:tcW w:w="1350" w:type="dxa"/>
            <w:tcBorders>
              <w:top w:val="nil"/>
              <w:left w:val="nil"/>
              <w:bottom w:val="nil"/>
              <w:right w:val="nil"/>
            </w:tcBorders>
            <w:shd w:val="clear" w:color="auto" w:fill="auto"/>
            <w:noWrap/>
            <w:vAlign w:val="bottom"/>
            <w:hideMark/>
          </w:tcPr>
          <w:p w14:paraId="1147467D" w14:textId="77777777" w:rsidR="00A655C1" w:rsidRPr="00D4035E" w:rsidRDefault="00A655C1" w:rsidP="00A655C1">
            <w:pPr>
              <w:ind w:left="-105"/>
              <w:rPr>
                <w:rFonts w:ascii="Arial Narrow" w:hAnsi="Arial Narrow" w:cs="Calibri"/>
                <w:color w:val="000000" w:themeColor="text1"/>
                <w:sz w:val="16"/>
                <w:szCs w:val="16"/>
              </w:rPr>
            </w:pPr>
            <w:r w:rsidRPr="00D4035E">
              <w:rPr>
                <w:rFonts w:ascii="Arial Narrow" w:hAnsi="Arial Narrow" w:cs="Calibri"/>
                <w:color w:val="000000" w:themeColor="text1"/>
                <w:sz w:val="16"/>
                <w:szCs w:val="16"/>
              </w:rPr>
              <w:t>Adjustments</w:t>
            </w:r>
          </w:p>
        </w:tc>
        <w:tc>
          <w:tcPr>
            <w:tcW w:w="1170" w:type="dxa"/>
            <w:tcBorders>
              <w:top w:val="nil"/>
              <w:left w:val="nil"/>
              <w:bottom w:val="nil"/>
              <w:right w:val="nil"/>
            </w:tcBorders>
            <w:shd w:val="clear" w:color="auto" w:fill="auto"/>
            <w:noWrap/>
            <w:vAlign w:val="bottom"/>
            <w:hideMark/>
          </w:tcPr>
          <w:p w14:paraId="7667DC5C" w14:textId="77777777" w:rsidR="00A655C1" w:rsidRPr="00D4035E" w:rsidRDefault="00A655C1" w:rsidP="00A655C1">
            <w:pPr>
              <w:ind w:left="0"/>
              <w:jc w:val="right"/>
              <w:rPr>
                <w:rFonts w:ascii="Arial Narrow" w:hAnsi="Arial Narrow" w:cs="Calibri"/>
                <w:color w:val="000000" w:themeColor="text1"/>
                <w:sz w:val="16"/>
                <w:szCs w:val="16"/>
              </w:rPr>
            </w:pPr>
            <w:r w:rsidRPr="00D4035E">
              <w:rPr>
                <w:rFonts w:ascii="Arial Narrow" w:hAnsi="Arial Narrow" w:cs="Calibri"/>
                <w:color w:val="000000" w:themeColor="text1"/>
                <w:sz w:val="16"/>
                <w:szCs w:val="16"/>
              </w:rPr>
              <w:t xml:space="preserve">                -   </w:t>
            </w:r>
          </w:p>
        </w:tc>
        <w:tc>
          <w:tcPr>
            <w:tcW w:w="1170" w:type="dxa"/>
            <w:tcBorders>
              <w:top w:val="nil"/>
              <w:left w:val="nil"/>
              <w:bottom w:val="nil"/>
              <w:right w:val="nil"/>
            </w:tcBorders>
            <w:shd w:val="clear" w:color="auto" w:fill="auto"/>
            <w:noWrap/>
            <w:vAlign w:val="bottom"/>
          </w:tcPr>
          <w:p w14:paraId="097DA30C" w14:textId="29CABEA1" w:rsidR="00A655C1" w:rsidRPr="00D4035E" w:rsidRDefault="00237588" w:rsidP="00A655C1">
            <w:pPr>
              <w:ind w:left="0"/>
              <w:jc w:val="right"/>
              <w:rPr>
                <w:rFonts w:ascii="Arial Narrow" w:hAnsi="Arial Narrow" w:cs="Calibri"/>
                <w:color w:val="000000" w:themeColor="text1"/>
                <w:sz w:val="16"/>
                <w:szCs w:val="16"/>
              </w:rPr>
            </w:pPr>
            <w:r w:rsidRPr="00D4035E">
              <w:rPr>
                <w:rFonts w:ascii="Arial Narrow" w:hAnsi="Arial Narrow" w:cs="Calibri"/>
                <w:color w:val="000000" w:themeColor="text1"/>
                <w:sz w:val="16"/>
                <w:szCs w:val="16"/>
              </w:rPr>
              <w:t>13,799,540</w:t>
            </w:r>
          </w:p>
        </w:tc>
        <w:tc>
          <w:tcPr>
            <w:tcW w:w="1080" w:type="dxa"/>
            <w:tcBorders>
              <w:top w:val="nil"/>
              <w:left w:val="nil"/>
              <w:bottom w:val="nil"/>
              <w:right w:val="nil"/>
            </w:tcBorders>
            <w:shd w:val="clear" w:color="auto" w:fill="auto"/>
            <w:noWrap/>
            <w:vAlign w:val="bottom"/>
          </w:tcPr>
          <w:p w14:paraId="33E4ACF2" w14:textId="6C7C7C4A" w:rsidR="00A655C1" w:rsidRPr="00D4035E" w:rsidRDefault="006F4D34" w:rsidP="00997F75">
            <w:pPr>
              <w:ind w:left="0" w:right="-21"/>
              <w:jc w:val="right"/>
              <w:rPr>
                <w:rFonts w:ascii="Arial Narrow" w:hAnsi="Arial Narrow" w:cs="Calibri"/>
                <w:color w:val="000000" w:themeColor="text1"/>
                <w:sz w:val="16"/>
                <w:szCs w:val="16"/>
              </w:rPr>
            </w:pPr>
            <w:r w:rsidRPr="00D4035E">
              <w:rPr>
                <w:rFonts w:ascii="Arial Narrow" w:hAnsi="Arial Narrow" w:cs="Calibri"/>
                <w:color w:val="000000" w:themeColor="text1"/>
                <w:sz w:val="16"/>
                <w:szCs w:val="16"/>
              </w:rPr>
              <w:t>(</w:t>
            </w:r>
            <w:r w:rsidR="008436CC" w:rsidRPr="00D4035E">
              <w:rPr>
                <w:rFonts w:ascii="Arial Narrow" w:hAnsi="Arial Narrow" w:cs="Calibri"/>
                <w:color w:val="000000" w:themeColor="text1"/>
                <w:sz w:val="16"/>
                <w:szCs w:val="16"/>
              </w:rPr>
              <w:t>3,313,895)</w:t>
            </w:r>
          </w:p>
        </w:tc>
        <w:tc>
          <w:tcPr>
            <w:tcW w:w="990" w:type="dxa"/>
            <w:gridSpan w:val="2"/>
            <w:tcBorders>
              <w:top w:val="nil"/>
              <w:left w:val="nil"/>
              <w:bottom w:val="nil"/>
              <w:right w:val="nil"/>
            </w:tcBorders>
            <w:shd w:val="clear" w:color="auto" w:fill="auto"/>
            <w:noWrap/>
          </w:tcPr>
          <w:p w14:paraId="66CB927C" w14:textId="09D013A9" w:rsidR="00A655C1" w:rsidRPr="00D4035E" w:rsidRDefault="00332AA9" w:rsidP="002C765B">
            <w:pPr>
              <w:ind w:left="0"/>
              <w:jc w:val="right"/>
              <w:rPr>
                <w:rFonts w:ascii="Arial Narrow" w:hAnsi="Arial Narrow" w:cs="Calibri"/>
                <w:color w:val="000000" w:themeColor="text1"/>
                <w:sz w:val="16"/>
                <w:szCs w:val="16"/>
              </w:rPr>
            </w:pPr>
            <w:r w:rsidRPr="00D4035E">
              <w:rPr>
                <w:rFonts w:ascii="Arial Narrow" w:hAnsi="Arial Narrow" w:cs="Calibri"/>
                <w:color w:val="000000" w:themeColor="text1"/>
                <w:sz w:val="16"/>
                <w:szCs w:val="16"/>
              </w:rPr>
              <w:t>(2,190,905)</w:t>
            </w:r>
          </w:p>
        </w:tc>
        <w:tc>
          <w:tcPr>
            <w:tcW w:w="1080" w:type="dxa"/>
            <w:gridSpan w:val="2"/>
            <w:tcBorders>
              <w:top w:val="nil"/>
              <w:left w:val="nil"/>
              <w:bottom w:val="nil"/>
              <w:right w:val="nil"/>
            </w:tcBorders>
            <w:shd w:val="clear" w:color="auto" w:fill="auto"/>
            <w:noWrap/>
          </w:tcPr>
          <w:p w14:paraId="2ABF7F55" w14:textId="51EFD113" w:rsidR="00A655C1" w:rsidRPr="00D4035E" w:rsidRDefault="00BD4D29" w:rsidP="00A655C1">
            <w:pPr>
              <w:ind w:left="0"/>
              <w:jc w:val="right"/>
              <w:rPr>
                <w:rFonts w:ascii="Arial Narrow" w:hAnsi="Arial Narrow" w:cs="Calibri"/>
                <w:color w:val="000000" w:themeColor="text1"/>
                <w:sz w:val="16"/>
                <w:szCs w:val="16"/>
              </w:rPr>
            </w:pPr>
            <w:r w:rsidRPr="00D4035E">
              <w:rPr>
                <w:rFonts w:ascii="Arial Narrow" w:hAnsi="Arial Narrow" w:cs="Calibri"/>
                <w:color w:val="000000" w:themeColor="text1"/>
                <w:sz w:val="16"/>
                <w:szCs w:val="16"/>
              </w:rPr>
              <w:t>1,783,157</w:t>
            </w:r>
          </w:p>
        </w:tc>
        <w:tc>
          <w:tcPr>
            <w:tcW w:w="1080" w:type="dxa"/>
            <w:gridSpan w:val="2"/>
            <w:tcBorders>
              <w:top w:val="nil"/>
              <w:left w:val="nil"/>
              <w:bottom w:val="nil"/>
              <w:right w:val="nil"/>
            </w:tcBorders>
            <w:shd w:val="clear" w:color="auto" w:fill="auto"/>
            <w:noWrap/>
          </w:tcPr>
          <w:p w14:paraId="0F84A305" w14:textId="6CDC937B" w:rsidR="00A655C1" w:rsidRPr="00D4035E" w:rsidRDefault="00BD4D29" w:rsidP="00A655C1">
            <w:pPr>
              <w:ind w:left="0"/>
              <w:jc w:val="right"/>
              <w:rPr>
                <w:rFonts w:ascii="Arial Narrow" w:hAnsi="Arial Narrow" w:cs="Calibri"/>
                <w:color w:val="000000" w:themeColor="text1"/>
                <w:sz w:val="16"/>
                <w:szCs w:val="16"/>
              </w:rPr>
            </w:pPr>
            <w:r w:rsidRPr="00D4035E">
              <w:rPr>
                <w:rFonts w:ascii="Arial Narrow" w:hAnsi="Arial Narrow" w:cs="Calibri"/>
                <w:color w:val="000000" w:themeColor="text1"/>
                <w:sz w:val="16"/>
                <w:szCs w:val="16"/>
              </w:rPr>
              <w:t>(16,942,517)</w:t>
            </w:r>
          </w:p>
        </w:tc>
        <w:tc>
          <w:tcPr>
            <w:tcW w:w="1170" w:type="dxa"/>
            <w:gridSpan w:val="2"/>
            <w:tcBorders>
              <w:top w:val="nil"/>
              <w:left w:val="nil"/>
              <w:bottom w:val="nil"/>
              <w:right w:val="nil"/>
            </w:tcBorders>
            <w:shd w:val="clear" w:color="auto" w:fill="auto"/>
            <w:noWrap/>
            <w:hideMark/>
          </w:tcPr>
          <w:p w14:paraId="6E6EA0B3" w14:textId="1010A2D7" w:rsidR="00A655C1" w:rsidRPr="00D4035E" w:rsidRDefault="00ED2E8E" w:rsidP="00D4035E">
            <w:pPr>
              <w:ind w:left="0" w:right="-108"/>
              <w:jc w:val="right"/>
              <w:rPr>
                <w:rFonts w:ascii="Arial Narrow" w:hAnsi="Arial Narrow" w:cs="Calibri"/>
                <w:color w:val="000000" w:themeColor="text1"/>
                <w:sz w:val="16"/>
                <w:szCs w:val="16"/>
              </w:rPr>
            </w:pPr>
            <w:r w:rsidRPr="00D4035E">
              <w:rPr>
                <w:rFonts w:ascii="Arial Narrow" w:hAnsi="Arial Narrow" w:cs="Calibri"/>
                <w:color w:val="000000" w:themeColor="text1"/>
                <w:sz w:val="16"/>
                <w:szCs w:val="16"/>
              </w:rPr>
              <w:t>(6,864,620)</w:t>
            </w:r>
          </w:p>
        </w:tc>
      </w:tr>
      <w:tr w:rsidR="00997F75" w:rsidRPr="00D4035E" w14:paraId="078DEF9D" w14:textId="77777777" w:rsidTr="00D4035E">
        <w:trPr>
          <w:trHeight w:val="215"/>
        </w:trPr>
        <w:tc>
          <w:tcPr>
            <w:tcW w:w="1350" w:type="dxa"/>
            <w:tcBorders>
              <w:top w:val="single" w:sz="4" w:space="0" w:color="auto"/>
              <w:left w:val="nil"/>
              <w:bottom w:val="single" w:sz="4" w:space="0" w:color="auto"/>
              <w:right w:val="nil"/>
            </w:tcBorders>
            <w:shd w:val="clear" w:color="auto" w:fill="auto"/>
            <w:noWrap/>
            <w:vAlign w:val="bottom"/>
            <w:hideMark/>
          </w:tcPr>
          <w:p w14:paraId="2031AEE8" w14:textId="7E5CAC76" w:rsidR="00A655C1" w:rsidRPr="00D4035E" w:rsidRDefault="00A655C1" w:rsidP="00A655C1">
            <w:pPr>
              <w:ind w:left="-105"/>
              <w:rPr>
                <w:rFonts w:ascii="Arial Narrow" w:hAnsi="Arial Narrow" w:cs="Calibri"/>
                <w:b/>
                <w:bCs/>
                <w:color w:val="000000" w:themeColor="text1"/>
                <w:sz w:val="16"/>
                <w:szCs w:val="16"/>
              </w:rPr>
            </w:pPr>
            <w:r w:rsidRPr="00D4035E">
              <w:rPr>
                <w:rFonts w:ascii="Arial Narrow" w:hAnsi="Arial Narrow" w:cs="Calibri"/>
                <w:b/>
                <w:bCs/>
                <w:color w:val="000000" w:themeColor="text1"/>
                <w:sz w:val="16"/>
                <w:szCs w:val="16"/>
              </w:rPr>
              <w:t>December 31, 202</w:t>
            </w:r>
            <w:r w:rsidR="006B7C18" w:rsidRPr="00D4035E">
              <w:rPr>
                <w:rFonts w:ascii="Arial Narrow" w:hAnsi="Arial Narrow" w:cs="Calibri"/>
                <w:b/>
                <w:bCs/>
                <w:color w:val="000000" w:themeColor="text1"/>
                <w:sz w:val="16"/>
                <w:szCs w:val="16"/>
              </w:rPr>
              <w:t>3</w:t>
            </w:r>
          </w:p>
        </w:tc>
        <w:tc>
          <w:tcPr>
            <w:tcW w:w="1170" w:type="dxa"/>
            <w:tcBorders>
              <w:top w:val="single" w:sz="4" w:space="0" w:color="auto"/>
              <w:left w:val="nil"/>
              <w:bottom w:val="single" w:sz="4" w:space="0" w:color="auto"/>
              <w:right w:val="nil"/>
            </w:tcBorders>
            <w:shd w:val="clear" w:color="auto" w:fill="auto"/>
            <w:noWrap/>
            <w:vAlign w:val="bottom"/>
            <w:hideMark/>
          </w:tcPr>
          <w:p w14:paraId="2D0FCCDB" w14:textId="0B74E408" w:rsidR="00A655C1" w:rsidRPr="00D4035E" w:rsidRDefault="00570CF8" w:rsidP="00F3475E">
            <w:pPr>
              <w:ind w:left="0"/>
              <w:jc w:val="right"/>
              <w:rPr>
                <w:rFonts w:ascii="Arial Narrow" w:hAnsi="Arial Narrow" w:cs="Calibri"/>
                <w:b/>
                <w:bCs/>
                <w:color w:val="000000" w:themeColor="text1"/>
                <w:sz w:val="16"/>
                <w:szCs w:val="16"/>
              </w:rPr>
            </w:pPr>
            <w:r w:rsidRPr="00D4035E">
              <w:rPr>
                <w:rFonts w:ascii="Arial Narrow" w:hAnsi="Arial Narrow" w:cs="Calibri"/>
                <w:b/>
                <w:bCs/>
                <w:color w:val="000000" w:themeColor="text1"/>
                <w:sz w:val="16"/>
                <w:szCs w:val="16"/>
              </w:rPr>
              <w:t>484,398,000</w:t>
            </w:r>
          </w:p>
        </w:tc>
        <w:tc>
          <w:tcPr>
            <w:tcW w:w="1170" w:type="dxa"/>
            <w:tcBorders>
              <w:top w:val="single" w:sz="4" w:space="0" w:color="auto"/>
              <w:left w:val="nil"/>
              <w:bottom w:val="single" w:sz="4" w:space="0" w:color="auto"/>
              <w:right w:val="nil"/>
            </w:tcBorders>
            <w:shd w:val="clear" w:color="auto" w:fill="auto"/>
            <w:noWrap/>
            <w:vAlign w:val="bottom"/>
          </w:tcPr>
          <w:p w14:paraId="5232A77A" w14:textId="626D5DD4" w:rsidR="00A655C1" w:rsidRPr="00D4035E" w:rsidRDefault="00C85031" w:rsidP="00F3475E">
            <w:pPr>
              <w:ind w:left="0"/>
              <w:jc w:val="right"/>
              <w:rPr>
                <w:rFonts w:ascii="Arial Narrow" w:hAnsi="Arial Narrow" w:cs="Calibri"/>
                <w:b/>
                <w:bCs/>
                <w:color w:val="000000" w:themeColor="text1"/>
                <w:sz w:val="16"/>
                <w:szCs w:val="16"/>
              </w:rPr>
            </w:pPr>
            <w:r w:rsidRPr="00D4035E">
              <w:rPr>
                <w:rFonts w:ascii="Arial Narrow" w:hAnsi="Arial Narrow" w:cs="Calibri"/>
                <w:b/>
                <w:bCs/>
                <w:color w:val="000000" w:themeColor="text1"/>
                <w:sz w:val="16"/>
                <w:szCs w:val="16"/>
              </w:rPr>
              <w:t>6,335,990,922</w:t>
            </w:r>
          </w:p>
        </w:tc>
        <w:tc>
          <w:tcPr>
            <w:tcW w:w="1080" w:type="dxa"/>
            <w:tcBorders>
              <w:top w:val="single" w:sz="4" w:space="0" w:color="auto"/>
              <w:left w:val="nil"/>
              <w:bottom w:val="single" w:sz="4" w:space="0" w:color="auto"/>
              <w:right w:val="nil"/>
            </w:tcBorders>
            <w:shd w:val="clear" w:color="auto" w:fill="auto"/>
            <w:noWrap/>
            <w:vAlign w:val="bottom"/>
          </w:tcPr>
          <w:p w14:paraId="7C4FDCD1" w14:textId="5CCEBD23" w:rsidR="00A655C1" w:rsidRPr="00D4035E" w:rsidRDefault="00A82EBC" w:rsidP="00997F75">
            <w:pPr>
              <w:ind w:left="0" w:right="-21"/>
              <w:jc w:val="right"/>
              <w:rPr>
                <w:rFonts w:ascii="Arial Narrow" w:hAnsi="Arial Narrow" w:cs="Calibri"/>
                <w:b/>
                <w:bCs/>
                <w:color w:val="000000" w:themeColor="text1"/>
                <w:sz w:val="16"/>
                <w:szCs w:val="16"/>
              </w:rPr>
            </w:pPr>
            <w:r w:rsidRPr="00D4035E">
              <w:rPr>
                <w:rFonts w:ascii="Arial Narrow" w:hAnsi="Arial Narrow" w:cs="Calibri"/>
                <w:b/>
                <w:bCs/>
                <w:color w:val="000000" w:themeColor="text1"/>
                <w:sz w:val="16"/>
                <w:szCs w:val="16"/>
              </w:rPr>
              <w:t>517,438,795</w:t>
            </w:r>
          </w:p>
        </w:tc>
        <w:tc>
          <w:tcPr>
            <w:tcW w:w="990" w:type="dxa"/>
            <w:gridSpan w:val="2"/>
            <w:tcBorders>
              <w:top w:val="single" w:sz="4" w:space="0" w:color="auto"/>
              <w:left w:val="nil"/>
              <w:bottom w:val="single" w:sz="4" w:space="0" w:color="auto"/>
              <w:right w:val="nil"/>
            </w:tcBorders>
            <w:shd w:val="clear" w:color="auto" w:fill="auto"/>
            <w:noWrap/>
            <w:vAlign w:val="bottom"/>
          </w:tcPr>
          <w:p w14:paraId="1ED7348A" w14:textId="2DE7D001" w:rsidR="00A655C1" w:rsidRPr="00D4035E" w:rsidRDefault="003C0628" w:rsidP="002C765B">
            <w:pPr>
              <w:ind w:left="0"/>
              <w:jc w:val="right"/>
              <w:rPr>
                <w:rFonts w:ascii="Arial Narrow" w:hAnsi="Arial Narrow" w:cs="Calibri"/>
                <w:b/>
                <w:bCs/>
                <w:color w:val="000000" w:themeColor="text1"/>
                <w:sz w:val="16"/>
                <w:szCs w:val="16"/>
              </w:rPr>
            </w:pPr>
            <w:r w:rsidRPr="00D4035E">
              <w:rPr>
                <w:rFonts w:ascii="Arial Narrow" w:hAnsi="Arial Narrow" w:cs="Calibri"/>
                <w:b/>
                <w:bCs/>
                <w:color w:val="000000" w:themeColor="text1"/>
                <w:sz w:val="16"/>
                <w:szCs w:val="16"/>
              </w:rPr>
              <w:t>93,110,539</w:t>
            </w:r>
          </w:p>
        </w:tc>
        <w:tc>
          <w:tcPr>
            <w:tcW w:w="1080" w:type="dxa"/>
            <w:gridSpan w:val="2"/>
            <w:tcBorders>
              <w:top w:val="single" w:sz="4" w:space="0" w:color="auto"/>
              <w:left w:val="nil"/>
              <w:bottom w:val="single" w:sz="4" w:space="0" w:color="auto"/>
              <w:right w:val="nil"/>
            </w:tcBorders>
            <w:shd w:val="clear" w:color="auto" w:fill="auto"/>
            <w:noWrap/>
            <w:vAlign w:val="bottom"/>
          </w:tcPr>
          <w:p w14:paraId="41075A4A" w14:textId="08338C99" w:rsidR="00A655C1" w:rsidRPr="00D4035E" w:rsidRDefault="003C0628" w:rsidP="00F3475E">
            <w:pPr>
              <w:ind w:left="0"/>
              <w:jc w:val="right"/>
              <w:rPr>
                <w:rFonts w:ascii="Arial Narrow" w:hAnsi="Arial Narrow" w:cs="Calibri"/>
                <w:b/>
                <w:bCs/>
                <w:color w:val="000000" w:themeColor="text1"/>
                <w:sz w:val="16"/>
                <w:szCs w:val="16"/>
              </w:rPr>
            </w:pPr>
            <w:r w:rsidRPr="00D4035E">
              <w:rPr>
                <w:rFonts w:ascii="Arial Narrow" w:hAnsi="Arial Narrow" w:cs="Calibri"/>
                <w:b/>
                <w:bCs/>
                <w:color w:val="000000" w:themeColor="text1"/>
                <w:sz w:val="16"/>
                <w:szCs w:val="16"/>
              </w:rPr>
              <w:t>287,513,922</w:t>
            </w:r>
          </w:p>
        </w:tc>
        <w:tc>
          <w:tcPr>
            <w:tcW w:w="1080" w:type="dxa"/>
            <w:gridSpan w:val="2"/>
            <w:tcBorders>
              <w:top w:val="single" w:sz="4" w:space="0" w:color="auto"/>
              <w:left w:val="nil"/>
              <w:bottom w:val="single" w:sz="4" w:space="0" w:color="auto"/>
              <w:right w:val="nil"/>
            </w:tcBorders>
            <w:shd w:val="clear" w:color="auto" w:fill="auto"/>
            <w:noWrap/>
            <w:vAlign w:val="bottom"/>
          </w:tcPr>
          <w:p w14:paraId="521F9FA6" w14:textId="3CA58F0B" w:rsidR="00A655C1" w:rsidRPr="00D4035E" w:rsidRDefault="003C0628" w:rsidP="00F3475E">
            <w:pPr>
              <w:ind w:left="0"/>
              <w:jc w:val="right"/>
              <w:rPr>
                <w:rFonts w:ascii="Arial Narrow" w:hAnsi="Arial Narrow" w:cs="Calibri"/>
                <w:b/>
                <w:bCs/>
                <w:color w:val="000000" w:themeColor="text1"/>
                <w:sz w:val="16"/>
                <w:szCs w:val="16"/>
              </w:rPr>
            </w:pPr>
            <w:r w:rsidRPr="00D4035E">
              <w:rPr>
                <w:rFonts w:ascii="Arial Narrow" w:hAnsi="Arial Narrow" w:cs="Calibri"/>
                <w:b/>
                <w:bCs/>
                <w:color w:val="000000" w:themeColor="text1"/>
                <w:sz w:val="16"/>
                <w:szCs w:val="16"/>
              </w:rPr>
              <w:t>-</w:t>
            </w:r>
          </w:p>
        </w:tc>
        <w:tc>
          <w:tcPr>
            <w:tcW w:w="1170" w:type="dxa"/>
            <w:gridSpan w:val="2"/>
            <w:tcBorders>
              <w:top w:val="single" w:sz="4" w:space="0" w:color="auto"/>
              <w:left w:val="nil"/>
              <w:bottom w:val="single" w:sz="4" w:space="0" w:color="auto"/>
              <w:right w:val="nil"/>
            </w:tcBorders>
            <w:shd w:val="clear" w:color="auto" w:fill="auto"/>
            <w:noWrap/>
            <w:vAlign w:val="bottom"/>
          </w:tcPr>
          <w:p w14:paraId="223C8A2F" w14:textId="338A3C06" w:rsidR="00A655C1" w:rsidRPr="00D4035E" w:rsidRDefault="00C85031" w:rsidP="00D4035E">
            <w:pPr>
              <w:ind w:left="0" w:right="-108"/>
              <w:jc w:val="right"/>
              <w:rPr>
                <w:rFonts w:ascii="Arial Narrow" w:hAnsi="Arial Narrow" w:cs="Calibri"/>
                <w:b/>
                <w:bCs/>
                <w:color w:val="000000" w:themeColor="text1"/>
                <w:sz w:val="16"/>
                <w:szCs w:val="16"/>
              </w:rPr>
            </w:pPr>
            <w:r w:rsidRPr="00D4035E">
              <w:rPr>
                <w:rFonts w:ascii="Arial Narrow" w:hAnsi="Arial Narrow" w:cs="Calibri"/>
                <w:b/>
                <w:bCs/>
                <w:color w:val="000000" w:themeColor="text1"/>
                <w:sz w:val="16"/>
                <w:szCs w:val="16"/>
              </w:rPr>
              <w:t>7,718,452,178</w:t>
            </w:r>
          </w:p>
        </w:tc>
      </w:tr>
      <w:tr w:rsidR="00D4035E" w:rsidRPr="00D4035E" w14:paraId="7C14E838" w14:textId="77777777" w:rsidTr="003A5476">
        <w:trPr>
          <w:trHeight w:val="302"/>
        </w:trPr>
        <w:tc>
          <w:tcPr>
            <w:tcW w:w="2520" w:type="dxa"/>
            <w:gridSpan w:val="2"/>
            <w:tcBorders>
              <w:top w:val="nil"/>
              <w:left w:val="nil"/>
              <w:bottom w:val="nil"/>
              <w:right w:val="nil"/>
            </w:tcBorders>
            <w:shd w:val="clear" w:color="auto" w:fill="auto"/>
            <w:noWrap/>
            <w:vAlign w:val="bottom"/>
            <w:hideMark/>
          </w:tcPr>
          <w:p w14:paraId="2B58D319" w14:textId="43A48D38" w:rsidR="00D4035E" w:rsidRPr="00D4035E" w:rsidRDefault="00D4035E" w:rsidP="00D4035E">
            <w:pPr>
              <w:ind w:left="-108"/>
              <w:jc w:val="left"/>
              <w:rPr>
                <w:rFonts w:ascii="Arial Narrow" w:hAnsi="Arial Narrow" w:cs="Calibri"/>
                <w:b/>
                <w:color w:val="000000" w:themeColor="text1"/>
                <w:sz w:val="16"/>
                <w:szCs w:val="16"/>
              </w:rPr>
            </w:pPr>
            <w:r w:rsidRPr="00D4035E">
              <w:rPr>
                <w:rFonts w:ascii="Arial Narrow" w:hAnsi="Arial Narrow" w:cs="Calibri"/>
                <w:b/>
                <w:color w:val="000000" w:themeColor="text1"/>
                <w:sz w:val="16"/>
                <w:szCs w:val="16"/>
              </w:rPr>
              <w:t>Accumulated Depreciation:</w:t>
            </w:r>
          </w:p>
        </w:tc>
        <w:tc>
          <w:tcPr>
            <w:tcW w:w="1170" w:type="dxa"/>
            <w:tcBorders>
              <w:top w:val="nil"/>
              <w:left w:val="nil"/>
              <w:bottom w:val="nil"/>
              <w:right w:val="nil"/>
            </w:tcBorders>
            <w:shd w:val="clear" w:color="auto" w:fill="auto"/>
            <w:noWrap/>
            <w:vAlign w:val="bottom"/>
            <w:hideMark/>
          </w:tcPr>
          <w:p w14:paraId="09A73177" w14:textId="77777777" w:rsidR="00D4035E" w:rsidRPr="00D4035E" w:rsidRDefault="00D4035E" w:rsidP="00F3475E">
            <w:pPr>
              <w:ind w:left="0"/>
              <w:jc w:val="right"/>
              <w:rPr>
                <w:rFonts w:ascii="Arial Narrow" w:hAnsi="Arial Narrow"/>
                <w:color w:val="000000" w:themeColor="text1"/>
                <w:sz w:val="16"/>
                <w:szCs w:val="16"/>
              </w:rPr>
            </w:pPr>
          </w:p>
        </w:tc>
        <w:tc>
          <w:tcPr>
            <w:tcW w:w="1080" w:type="dxa"/>
            <w:tcBorders>
              <w:top w:val="nil"/>
              <w:left w:val="nil"/>
              <w:bottom w:val="nil"/>
              <w:right w:val="nil"/>
            </w:tcBorders>
            <w:shd w:val="clear" w:color="auto" w:fill="auto"/>
            <w:noWrap/>
            <w:vAlign w:val="bottom"/>
            <w:hideMark/>
          </w:tcPr>
          <w:p w14:paraId="6E214B5D" w14:textId="77777777" w:rsidR="00D4035E" w:rsidRPr="00D4035E" w:rsidRDefault="00D4035E" w:rsidP="00997F75">
            <w:pPr>
              <w:ind w:left="0" w:right="-21"/>
              <w:jc w:val="right"/>
              <w:rPr>
                <w:rFonts w:ascii="Arial Narrow" w:hAnsi="Arial Narrow"/>
                <w:color w:val="000000" w:themeColor="text1"/>
                <w:sz w:val="16"/>
                <w:szCs w:val="16"/>
              </w:rPr>
            </w:pPr>
          </w:p>
        </w:tc>
        <w:tc>
          <w:tcPr>
            <w:tcW w:w="990" w:type="dxa"/>
            <w:gridSpan w:val="2"/>
            <w:tcBorders>
              <w:top w:val="nil"/>
              <w:left w:val="nil"/>
              <w:bottom w:val="nil"/>
              <w:right w:val="nil"/>
            </w:tcBorders>
            <w:shd w:val="clear" w:color="auto" w:fill="auto"/>
            <w:noWrap/>
            <w:vAlign w:val="bottom"/>
            <w:hideMark/>
          </w:tcPr>
          <w:p w14:paraId="0E552447" w14:textId="77777777" w:rsidR="00D4035E" w:rsidRPr="00D4035E" w:rsidRDefault="00D4035E" w:rsidP="002C765B">
            <w:pPr>
              <w:ind w:left="0"/>
              <w:jc w:val="right"/>
              <w:rPr>
                <w:rFonts w:ascii="Arial Narrow" w:hAnsi="Arial Narrow"/>
                <w:color w:val="000000" w:themeColor="text1"/>
                <w:sz w:val="16"/>
                <w:szCs w:val="16"/>
              </w:rPr>
            </w:pPr>
          </w:p>
        </w:tc>
        <w:tc>
          <w:tcPr>
            <w:tcW w:w="1080" w:type="dxa"/>
            <w:gridSpan w:val="2"/>
            <w:tcBorders>
              <w:top w:val="nil"/>
              <w:left w:val="nil"/>
              <w:bottom w:val="nil"/>
              <w:right w:val="nil"/>
            </w:tcBorders>
            <w:shd w:val="clear" w:color="auto" w:fill="auto"/>
            <w:noWrap/>
            <w:vAlign w:val="bottom"/>
            <w:hideMark/>
          </w:tcPr>
          <w:p w14:paraId="735D6413" w14:textId="77777777" w:rsidR="00D4035E" w:rsidRPr="00D4035E" w:rsidRDefault="00D4035E" w:rsidP="00F3475E">
            <w:pPr>
              <w:ind w:left="0"/>
              <w:jc w:val="right"/>
              <w:rPr>
                <w:rFonts w:ascii="Arial Narrow" w:hAnsi="Arial Narrow"/>
                <w:color w:val="000000" w:themeColor="text1"/>
                <w:sz w:val="16"/>
                <w:szCs w:val="16"/>
              </w:rPr>
            </w:pPr>
          </w:p>
        </w:tc>
        <w:tc>
          <w:tcPr>
            <w:tcW w:w="1080" w:type="dxa"/>
            <w:gridSpan w:val="2"/>
            <w:tcBorders>
              <w:top w:val="nil"/>
              <w:left w:val="nil"/>
              <w:bottom w:val="nil"/>
              <w:right w:val="nil"/>
            </w:tcBorders>
            <w:shd w:val="clear" w:color="auto" w:fill="auto"/>
            <w:noWrap/>
            <w:vAlign w:val="bottom"/>
            <w:hideMark/>
          </w:tcPr>
          <w:p w14:paraId="60D51427" w14:textId="77777777" w:rsidR="00D4035E" w:rsidRPr="00D4035E" w:rsidRDefault="00D4035E" w:rsidP="00F3475E">
            <w:pPr>
              <w:ind w:left="0"/>
              <w:jc w:val="right"/>
              <w:rPr>
                <w:rFonts w:ascii="Arial Narrow" w:hAnsi="Arial Narrow"/>
                <w:color w:val="000000" w:themeColor="text1"/>
                <w:sz w:val="16"/>
                <w:szCs w:val="16"/>
              </w:rPr>
            </w:pPr>
          </w:p>
        </w:tc>
        <w:tc>
          <w:tcPr>
            <w:tcW w:w="1170" w:type="dxa"/>
            <w:gridSpan w:val="2"/>
            <w:tcBorders>
              <w:top w:val="nil"/>
              <w:left w:val="nil"/>
              <w:bottom w:val="nil"/>
              <w:right w:val="nil"/>
            </w:tcBorders>
            <w:shd w:val="clear" w:color="auto" w:fill="auto"/>
            <w:noWrap/>
            <w:vAlign w:val="bottom"/>
            <w:hideMark/>
          </w:tcPr>
          <w:p w14:paraId="697301B2" w14:textId="77777777" w:rsidR="00D4035E" w:rsidRPr="00D4035E" w:rsidRDefault="00D4035E" w:rsidP="00D4035E">
            <w:pPr>
              <w:ind w:left="0" w:right="-108"/>
              <w:jc w:val="right"/>
              <w:rPr>
                <w:rFonts w:ascii="Arial Narrow" w:hAnsi="Arial Narrow"/>
                <w:color w:val="000000" w:themeColor="text1"/>
                <w:sz w:val="16"/>
                <w:szCs w:val="16"/>
              </w:rPr>
            </w:pPr>
          </w:p>
        </w:tc>
      </w:tr>
      <w:tr w:rsidR="00997F75" w:rsidRPr="00D4035E" w14:paraId="7078D8E8" w14:textId="77777777" w:rsidTr="00D4035E">
        <w:trPr>
          <w:trHeight w:val="180"/>
        </w:trPr>
        <w:tc>
          <w:tcPr>
            <w:tcW w:w="1350" w:type="dxa"/>
            <w:tcBorders>
              <w:top w:val="nil"/>
              <w:left w:val="nil"/>
              <w:bottom w:val="nil"/>
              <w:right w:val="nil"/>
            </w:tcBorders>
            <w:shd w:val="clear" w:color="auto" w:fill="auto"/>
            <w:noWrap/>
            <w:vAlign w:val="bottom"/>
            <w:hideMark/>
          </w:tcPr>
          <w:p w14:paraId="491DB563" w14:textId="76140422" w:rsidR="00815242" w:rsidRPr="00D4035E" w:rsidRDefault="00815242" w:rsidP="00815242">
            <w:pPr>
              <w:ind w:left="-105"/>
              <w:rPr>
                <w:rFonts w:ascii="Arial Narrow" w:hAnsi="Arial Narrow" w:cs="Calibri"/>
                <w:color w:val="000000" w:themeColor="text1"/>
                <w:sz w:val="16"/>
                <w:szCs w:val="16"/>
              </w:rPr>
            </w:pPr>
            <w:r w:rsidRPr="00D4035E">
              <w:rPr>
                <w:rFonts w:ascii="Arial Narrow" w:hAnsi="Arial Narrow" w:cs="Calibri"/>
                <w:color w:val="000000" w:themeColor="text1"/>
                <w:sz w:val="16"/>
                <w:szCs w:val="16"/>
              </w:rPr>
              <w:t>January 1, 2023</w:t>
            </w:r>
          </w:p>
        </w:tc>
        <w:tc>
          <w:tcPr>
            <w:tcW w:w="1170" w:type="dxa"/>
            <w:tcBorders>
              <w:top w:val="nil"/>
              <w:left w:val="nil"/>
              <w:bottom w:val="nil"/>
              <w:right w:val="nil"/>
            </w:tcBorders>
            <w:shd w:val="clear" w:color="auto" w:fill="auto"/>
            <w:noWrap/>
            <w:vAlign w:val="bottom"/>
            <w:hideMark/>
          </w:tcPr>
          <w:p w14:paraId="13C47959" w14:textId="77777777" w:rsidR="00815242" w:rsidRPr="00D4035E" w:rsidRDefault="00815242" w:rsidP="00815242">
            <w:pPr>
              <w:ind w:left="0"/>
              <w:jc w:val="right"/>
              <w:rPr>
                <w:rFonts w:ascii="Arial Narrow" w:hAnsi="Arial Narrow" w:cs="Calibri"/>
                <w:color w:val="000000" w:themeColor="text1"/>
                <w:sz w:val="16"/>
                <w:szCs w:val="16"/>
              </w:rPr>
            </w:pPr>
            <w:r w:rsidRPr="00D4035E">
              <w:rPr>
                <w:rFonts w:ascii="Arial Narrow" w:hAnsi="Arial Narrow" w:cs="Calibri"/>
                <w:color w:val="000000" w:themeColor="text1"/>
                <w:sz w:val="16"/>
                <w:szCs w:val="16"/>
              </w:rPr>
              <w:t xml:space="preserve">                -   </w:t>
            </w:r>
          </w:p>
        </w:tc>
        <w:tc>
          <w:tcPr>
            <w:tcW w:w="1170" w:type="dxa"/>
            <w:tcBorders>
              <w:top w:val="nil"/>
              <w:left w:val="nil"/>
              <w:bottom w:val="nil"/>
              <w:right w:val="nil"/>
            </w:tcBorders>
            <w:shd w:val="clear" w:color="auto" w:fill="auto"/>
            <w:noWrap/>
            <w:vAlign w:val="bottom"/>
          </w:tcPr>
          <w:p w14:paraId="737011C3" w14:textId="6FFEA5F7" w:rsidR="00815242" w:rsidRPr="00D4035E" w:rsidRDefault="00815242" w:rsidP="00E34351">
            <w:pPr>
              <w:ind w:left="0"/>
              <w:jc w:val="right"/>
              <w:rPr>
                <w:rFonts w:ascii="Arial Narrow" w:hAnsi="Arial Narrow" w:cs="Calibri"/>
                <w:color w:val="000000" w:themeColor="text1"/>
                <w:sz w:val="16"/>
                <w:szCs w:val="16"/>
              </w:rPr>
            </w:pPr>
            <w:r w:rsidRPr="00D4035E">
              <w:rPr>
                <w:rFonts w:ascii="Arial Narrow" w:hAnsi="Arial Narrow" w:cs="Calibri"/>
                <w:color w:val="000000" w:themeColor="text1"/>
                <w:sz w:val="16"/>
                <w:szCs w:val="16"/>
              </w:rPr>
              <w:t xml:space="preserve">   (55</w:t>
            </w:r>
            <w:r w:rsidR="006A2E67" w:rsidRPr="00D4035E">
              <w:rPr>
                <w:rFonts w:ascii="Arial Narrow" w:hAnsi="Arial Narrow" w:cs="Calibri"/>
                <w:color w:val="000000" w:themeColor="text1"/>
                <w:sz w:val="16"/>
                <w:szCs w:val="16"/>
              </w:rPr>
              <w:t>7</w:t>
            </w:r>
            <w:r w:rsidRPr="00D4035E">
              <w:rPr>
                <w:rFonts w:ascii="Arial Narrow" w:hAnsi="Arial Narrow" w:cs="Calibri"/>
                <w:color w:val="000000" w:themeColor="text1"/>
                <w:sz w:val="16"/>
                <w:szCs w:val="16"/>
              </w:rPr>
              <w:t>,</w:t>
            </w:r>
            <w:r w:rsidR="006A2E67" w:rsidRPr="00D4035E">
              <w:rPr>
                <w:rFonts w:ascii="Arial Narrow" w:hAnsi="Arial Narrow" w:cs="Calibri"/>
                <w:color w:val="000000" w:themeColor="text1"/>
                <w:sz w:val="16"/>
                <w:szCs w:val="16"/>
              </w:rPr>
              <w:t>490</w:t>
            </w:r>
            <w:r w:rsidRPr="00D4035E">
              <w:rPr>
                <w:rFonts w:ascii="Arial Narrow" w:hAnsi="Arial Narrow" w:cs="Calibri"/>
                <w:color w:val="000000" w:themeColor="text1"/>
                <w:sz w:val="16"/>
                <w:szCs w:val="16"/>
              </w:rPr>
              <w:t>,</w:t>
            </w:r>
            <w:r w:rsidR="006A2E67" w:rsidRPr="00D4035E">
              <w:rPr>
                <w:rFonts w:ascii="Arial Narrow" w:hAnsi="Arial Narrow" w:cs="Calibri"/>
                <w:color w:val="000000" w:themeColor="text1"/>
                <w:sz w:val="16"/>
                <w:szCs w:val="16"/>
              </w:rPr>
              <w:t>656</w:t>
            </w:r>
            <w:r w:rsidRPr="00D4035E">
              <w:rPr>
                <w:rFonts w:ascii="Arial Narrow" w:hAnsi="Arial Narrow" w:cs="Calibri"/>
                <w:color w:val="000000" w:themeColor="text1"/>
                <w:sz w:val="16"/>
                <w:szCs w:val="16"/>
              </w:rPr>
              <w:t>)</w:t>
            </w:r>
          </w:p>
        </w:tc>
        <w:tc>
          <w:tcPr>
            <w:tcW w:w="1080" w:type="dxa"/>
            <w:tcBorders>
              <w:top w:val="nil"/>
              <w:left w:val="nil"/>
              <w:bottom w:val="nil"/>
              <w:right w:val="nil"/>
            </w:tcBorders>
            <w:shd w:val="clear" w:color="auto" w:fill="auto"/>
            <w:noWrap/>
            <w:vAlign w:val="bottom"/>
          </w:tcPr>
          <w:p w14:paraId="2D665C27" w14:textId="6F9D2874" w:rsidR="00815242" w:rsidRPr="00D4035E" w:rsidRDefault="00815242" w:rsidP="00997F75">
            <w:pPr>
              <w:ind w:left="0" w:right="-21"/>
              <w:jc w:val="right"/>
              <w:rPr>
                <w:rFonts w:ascii="Arial Narrow" w:hAnsi="Arial Narrow" w:cs="Calibri"/>
                <w:color w:val="000000" w:themeColor="text1"/>
                <w:sz w:val="16"/>
                <w:szCs w:val="16"/>
              </w:rPr>
            </w:pPr>
            <w:r w:rsidRPr="00D4035E">
              <w:rPr>
                <w:rFonts w:ascii="Arial Narrow" w:hAnsi="Arial Narrow" w:cs="Calibri"/>
                <w:color w:val="000000" w:themeColor="text1"/>
                <w:sz w:val="16"/>
                <w:szCs w:val="16"/>
              </w:rPr>
              <w:t>(</w:t>
            </w:r>
            <w:r w:rsidR="006A2E67" w:rsidRPr="00D4035E">
              <w:rPr>
                <w:rFonts w:ascii="Arial Narrow" w:hAnsi="Arial Narrow" w:cs="Calibri"/>
                <w:color w:val="000000" w:themeColor="text1"/>
                <w:sz w:val="16"/>
                <w:szCs w:val="16"/>
              </w:rPr>
              <w:t>165,547,907</w:t>
            </w:r>
            <w:r w:rsidRPr="00D4035E">
              <w:rPr>
                <w:rFonts w:ascii="Arial Narrow" w:hAnsi="Arial Narrow" w:cs="Calibri"/>
                <w:color w:val="000000" w:themeColor="text1"/>
                <w:sz w:val="16"/>
                <w:szCs w:val="16"/>
              </w:rPr>
              <w:t>)</w:t>
            </w:r>
          </w:p>
        </w:tc>
        <w:tc>
          <w:tcPr>
            <w:tcW w:w="990" w:type="dxa"/>
            <w:gridSpan w:val="2"/>
            <w:tcBorders>
              <w:top w:val="nil"/>
              <w:left w:val="nil"/>
              <w:bottom w:val="nil"/>
              <w:right w:val="nil"/>
            </w:tcBorders>
            <w:shd w:val="clear" w:color="auto" w:fill="auto"/>
            <w:noWrap/>
            <w:vAlign w:val="bottom"/>
          </w:tcPr>
          <w:p w14:paraId="4AEA16D0" w14:textId="74AB1108" w:rsidR="00815242" w:rsidRPr="00D4035E" w:rsidRDefault="00815242" w:rsidP="002C765B">
            <w:pPr>
              <w:ind w:left="0"/>
              <w:jc w:val="right"/>
              <w:rPr>
                <w:rFonts w:ascii="Arial Narrow" w:hAnsi="Arial Narrow" w:cs="Calibri"/>
                <w:color w:val="000000" w:themeColor="text1"/>
                <w:sz w:val="16"/>
                <w:szCs w:val="16"/>
              </w:rPr>
            </w:pPr>
            <w:r w:rsidRPr="00D4035E">
              <w:rPr>
                <w:rFonts w:ascii="Arial Narrow" w:hAnsi="Arial Narrow" w:cs="Calibri"/>
                <w:color w:val="000000" w:themeColor="text1"/>
                <w:sz w:val="16"/>
                <w:szCs w:val="16"/>
              </w:rPr>
              <w:t>(</w:t>
            </w:r>
            <w:r w:rsidR="006967AF" w:rsidRPr="00D4035E">
              <w:rPr>
                <w:rFonts w:ascii="Arial Narrow" w:hAnsi="Arial Narrow" w:cs="Calibri"/>
                <w:color w:val="000000" w:themeColor="text1"/>
                <w:sz w:val="16"/>
                <w:szCs w:val="16"/>
              </w:rPr>
              <w:t>37,082,549</w:t>
            </w:r>
            <w:r w:rsidRPr="00D4035E">
              <w:rPr>
                <w:rFonts w:ascii="Arial Narrow" w:hAnsi="Arial Narrow" w:cs="Calibri"/>
                <w:color w:val="000000" w:themeColor="text1"/>
                <w:sz w:val="16"/>
                <w:szCs w:val="16"/>
              </w:rPr>
              <w:t>)</w:t>
            </w:r>
          </w:p>
        </w:tc>
        <w:tc>
          <w:tcPr>
            <w:tcW w:w="1080" w:type="dxa"/>
            <w:gridSpan w:val="2"/>
            <w:tcBorders>
              <w:top w:val="nil"/>
              <w:left w:val="nil"/>
              <w:bottom w:val="nil"/>
              <w:right w:val="nil"/>
            </w:tcBorders>
            <w:shd w:val="clear" w:color="auto" w:fill="auto"/>
            <w:noWrap/>
            <w:vAlign w:val="bottom"/>
          </w:tcPr>
          <w:p w14:paraId="117A10D1" w14:textId="1DE87819" w:rsidR="00815242" w:rsidRPr="00D4035E" w:rsidRDefault="00815242" w:rsidP="00997F75">
            <w:pPr>
              <w:ind w:left="0"/>
              <w:jc w:val="right"/>
              <w:rPr>
                <w:rFonts w:ascii="Arial Narrow" w:hAnsi="Arial Narrow" w:cs="Calibri"/>
                <w:color w:val="000000" w:themeColor="text1"/>
                <w:sz w:val="16"/>
                <w:szCs w:val="16"/>
              </w:rPr>
            </w:pPr>
            <w:r w:rsidRPr="00D4035E">
              <w:rPr>
                <w:rFonts w:ascii="Arial Narrow" w:hAnsi="Arial Narrow" w:cs="Calibri"/>
                <w:color w:val="000000" w:themeColor="text1"/>
                <w:sz w:val="16"/>
                <w:szCs w:val="16"/>
              </w:rPr>
              <w:t>(139,</w:t>
            </w:r>
            <w:r w:rsidR="006967AF" w:rsidRPr="00D4035E">
              <w:rPr>
                <w:rFonts w:ascii="Arial Narrow" w:hAnsi="Arial Narrow" w:cs="Calibri"/>
                <w:color w:val="000000" w:themeColor="text1"/>
                <w:sz w:val="16"/>
                <w:szCs w:val="16"/>
              </w:rPr>
              <w:t>305,093</w:t>
            </w:r>
            <w:r w:rsidRPr="00D4035E">
              <w:rPr>
                <w:rFonts w:ascii="Arial Narrow" w:hAnsi="Arial Narrow" w:cs="Calibri"/>
                <w:color w:val="000000" w:themeColor="text1"/>
                <w:sz w:val="16"/>
                <w:szCs w:val="16"/>
              </w:rPr>
              <w:t>)</w:t>
            </w:r>
          </w:p>
        </w:tc>
        <w:tc>
          <w:tcPr>
            <w:tcW w:w="1080" w:type="dxa"/>
            <w:gridSpan w:val="2"/>
            <w:tcBorders>
              <w:top w:val="nil"/>
              <w:left w:val="nil"/>
              <w:bottom w:val="nil"/>
              <w:right w:val="nil"/>
            </w:tcBorders>
            <w:shd w:val="clear" w:color="auto" w:fill="auto"/>
            <w:noWrap/>
            <w:vAlign w:val="bottom"/>
          </w:tcPr>
          <w:p w14:paraId="12E3E0F2" w14:textId="49EF8FA1" w:rsidR="00815242" w:rsidRPr="00D4035E" w:rsidRDefault="00815242" w:rsidP="00815242">
            <w:pPr>
              <w:ind w:left="0"/>
              <w:jc w:val="right"/>
              <w:rPr>
                <w:rFonts w:ascii="Arial Narrow" w:hAnsi="Arial Narrow" w:cs="Calibri"/>
                <w:color w:val="000000" w:themeColor="text1"/>
                <w:sz w:val="16"/>
                <w:szCs w:val="16"/>
              </w:rPr>
            </w:pPr>
            <w:r w:rsidRPr="00D4035E">
              <w:rPr>
                <w:rFonts w:ascii="Arial Narrow" w:hAnsi="Arial Narrow" w:cs="Calibri"/>
                <w:color w:val="000000" w:themeColor="text1"/>
                <w:sz w:val="16"/>
                <w:szCs w:val="16"/>
              </w:rPr>
              <w:t xml:space="preserve">              -   </w:t>
            </w:r>
          </w:p>
        </w:tc>
        <w:tc>
          <w:tcPr>
            <w:tcW w:w="1170" w:type="dxa"/>
            <w:gridSpan w:val="2"/>
            <w:tcBorders>
              <w:top w:val="nil"/>
              <w:left w:val="nil"/>
              <w:bottom w:val="nil"/>
              <w:right w:val="nil"/>
            </w:tcBorders>
            <w:shd w:val="clear" w:color="auto" w:fill="auto"/>
            <w:noWrap/>
            <w:vAlign w:val="bottom"/>
          </w:tcPr>
          <w:p w14:paraId="4B394E2C" w14:textId="7A5407C8" w:rsidR="00815242" w:rsidRPr="00D4035E" w:rsidRDefault="00815242" w:rsidP="00D4035E">
            <w:pPr>
              <w:ind w:left="0" w:right="-108"/>
              <w:jc w:val="right"/>
              <w:rPr>
                <w:rFonts w:ascii="Arial Narrow" w:hAnsi="Arial Narrow" w:cs="Calibri"/>
                <w:color w:val="000000" w:themeColor="text1"/>
                <w:sz w:val="16"/>
                <w:szCs w:val="16"/>
              </w:rPr>
            </w:pPr>
            <w:r w:rsidRPr="00D4035E">
              <w:rPr>
                <w:rFonts w:ascii="Arial Narrow" w:hAnsi="Arial Narrow" w:cs="Calibri"/>
                <w:color w:val="000000" w:themeColor="text1"/>
                <w:sz w:val="16"/>
                <w:szCs w:val="16"/>
              </w:rPr>
              <w:t>(</w:t>
            </w:r>
            <w:r w:rsidR="006967AF" w:rsidRPr="00D4035E">
              <w:rPr>
                <w:rFonts w:ascii="Arial Narrow" w:hAnsi="Arial Narrow" w:cs="Calibri"/>
                <w:color w:val="000000" w:themeColor="text1"/>
                <w:sz w:val="16"/>
                <w:szCs w:val="16"/>
              </w:rPr>
              <w:t>899,426,205</w:t>
            </w:r>
            <w:r w:rsidRPr="00D4035E">
              <w:rPr>
                <w:rFonts w:ascii="Arial Narrow" w:hAnsi="Arial Narrow" w:cs="Calibri"/>
                <w:color w:val="000000" w:themeColor="text1"/>
                <w:sz w:val="16"/>
                <w:szCs w:val="16"/>
              </w:rPr>
              <w:t>)</w:t>
            </w:r>
          </w:p>
        </w:tc>
      </w:tr>
      <w:tr w:rsidR="00997F75" w:rsidRPr="00D4035E" w14:paraId="4EDCCC84" w14:textId="77777777" w:rsidTr="00D4035E">
        <w:trPr>
          <w:trHeight w:val="387"/>
        </w:trPr>
        <w:tc>
          <w:tcPr>
            <w:tcW w:w="1350" w:type="dxa"/>
            <w:tcBorders>
              <w:top w:val="nil"/>
              <w:left w:val="nil"/>
              <w:bottom w:val="nil"/>
              <w:right w:val="nil"/>
            </w:tcBorders>
            <w:shd w:val="clear" w:color="auto" w:fill="auto"/>
            <w:noWrap/>
            <w:vAlign w:val="center"/>
            <w:hideMark/>
          </w:tcPr>
          <w:p w14:paraId="67261DD6" w14:textId="77777777" w:rsidR="00A655C1" w:rsidRPr="00D4035E" w:rsidRDefault="00A655C1" w:rsidP="00F3475E">
            <w:pPr>
              <w:ind w:left="-105"/>
              <w:rPr>
                <w:rFonts w:ascii="Arial Narrow" w:hAnsi="Arial Narrow" w:cs="Calibri"/>
                <w:color w:val="000000" w:themeColor="text1"/>
                <w:sz w:val="16"/>
                <w:szCs w:val="16"/>
              </w:rPr>
            </w:pPr>
            <w:r w:rsidRPr="00D4035E">
              <w:rPr>
                <w:rFonts w:ascii="Arial Narrow" w:hAnsi="Arial Narrow" w:cs="Calibri"/>
                <w:color w:val="000000" w:themeColor="text1"/>
                <w:sz w:val="16"/>
                <w:szCs w:val="16"/>
              </w:rPr>
              <w:t>Depreciation expense</w:t>
            </w:r>
          </w:p>
        </w:tc>
        <w:tc>
          <w:tcPr>
            <w:tcW w:w="1170" w:type="dxa"/>
            <w:tcBorders>
              <w:top w:val="nil"/>
              <w:left w:val="nil"/>
              <w:bottom w:val="nil"/>
              <w:right w:val="nil"/>
            </w:tcBorders>
            <w:shd w:val="clear" w:color="auto" w:fill="auto"/>
            <w:noWrap/>
            <w:vAlign w:val="center"/>
            <w:hideMark/>
          </w:tcPr>
          <w:p w14:paraId="3C5387C3" w14:textId="77777777" w:rsidR="00A655C1" w:rsidRPr="00D4035E" w:rsidRDefault="00A655C1" w:rsidP="00F3475E">
            <w:pPr>
              <w:ind w:left="0"/>
              <w:jc w:val="right"/>
              <w:rPr>
                <w:rFonts w:ascii="Arial Narrow" w:hAnsi="Arial Narrow" w:cs="Calibri"/>
                <w:color w:val="000000" w:themeColor="text1"/>
                <w:sz w:val="16"/>
                <w:szCs w:val="16"/>
              </w:rPr>
            </w:pPr>
            <w:r w:rsidRPr="00D4035E">
              <w:rPr>
                <w:rFonts w:ascii="Arial Narrow" w:hAnsi="Arial Narrow" w:cs="Calibri"/>
                <w:color w:val="000000" w:themeColor="text1"/>
                <w:sz w:val="16"/>
                <w:szCs w:val="16"/>
              </w:rPr>
              <w:t xml:space="preserve">                -   </w:t>
            </w:r>
          </w:p>
        </w:tc>
        <w:tc>
          <w:tcPr>
            <w:tcW w:w="1170" w:type="dxa"/>
            <w:tcBorders>
              <w:top w:val="nil"/>
              <w:left w:val="nil"/>
              <w:bottom w:val="nil"/>
              <w:right w:val="nil"/>
            </w:tcBorders>
            <w:shd w:val="clear" w:color="auto" w:fill="auto"/>
            <w:noWrap/>
            <w:vAlign w:val="center"/>
          </w:tcPr>
          <w:p w14:paraId="6B8C28B1" w14:textId="3121950B" w:rsidR="00A655C1" w:rsidRPr="00D4035E" w:rsidRDefault="00485B37" w:rsidP="00C85031">
            <w:pPr>
              <w:ind w:left="0"/>
              <w:jc w:val="right"/>
              <w:rPr>
                <w:rFonts w:ascii="Arial Narrow" w:hAnsi="Arial Narrow" w:cs="Calibri"/>
                <w:color w:val="000000" w:themeColor="text1"/>
                <w:sz w:val="16"/>
                <w:szCs w:val="16"/>
              </w:rPr>
            </w:pPr>
            <w:r w:rsidRPr="00D4035E">
              <w:rPr>
                <w:rFonts w:ascii="Arial Narrow" w:hAnsi="Arial Narrow" w:cs="Calibri"/>
                <w:color w:val="000000" w:themeColor="text1"/>
                <w:sz w:val="16"/>
                <w:szCs w:val="16"/>
              </w:rPr>
              <w:t>(</w:t>
            </w:r>
            <w:r w:rsidR="00C85031" w:rsidRPr="00D4035E">
              <w:rPr>
                <w:rFonts w:ascii="Arial Narrow" w:hAnsi="Arial Narrow" w:cs="Calibri"/>
                <w:color w:val="000000" w:themeColor="text1"/>
                <w:sz w:val="16"/>
                <w:szCs w:val="16"/>
              </w:rPr>
              <w:t>423,023,901</w:t>
            </w:r>
            <w:r w:rsidRPr="00D4035E">
              <w:rPr>
                <w:rFonts w:ascii="Arial Narrow" w:hAnsi="Arial Narrow" w:cs="Calibri"/>
                <w:color w:val="000000" w:themeColor="text1"/>
                <w:sz w:val="16"/>
                <w:szCs w:val="16"/>
              </w:rPr>
              <w:t>)</w:t>
            </w:r>
          </w:p>
        </w:tc>
        <w:tc>
          <w:tcPr>
            <w:tcW w:w="1080" w:type="dxa"/>
            <w:tcBorders>
              <w:top w:val="nil"/>
              <w:left w:val="nil"/>
              <w:bottom w:val="nil"/>
              <w:right w:val="nil"/>
            </w:tcBorders>
            <w:shd w:val="clear" w:color="auto" w:fill="auto"/>
            <w:noWrap/>
            <w:vAlign w:val="center"/>
          </w:tcPr>
          <w:p w14:paraId="7B01FADE" w14:textId="09CC8BFF" w:rsidR="00A655C1" w:rsidRPr="00D4035E" w:rsidRDefault="00492CB0" w:rsidP="00997F75">
            <w:pPr>
              <w:ind w:left="0" w:right="-21"/>
              <w:jc w:val="right"/>
              <w:rPr>
                <w:rFonts w:ascii="Arial Narrow" w:hAnsi="Arial Narrow" w:cs="Calibri"/>
                <w:color w:val="000000" w:themeColor="text1"/>
                <w:sz w:val="16"/>
                <w:szCs w:val="16"/>
              </w:rPr>
            </w:pPr>
            <w:r w:rsidRPr="00D4035E">
              <w:rPr>
                <w:rFonts w:ascii="Arial Narrow" w:hAnsi="Arial Narrow" w:cs="Calibri"/>
                <w:color w:val="000000" w:themeColor="text1"/>
                <w:sz w:val="16"/>
                <w:szCs w:val="16"/>
              </w:rPr>
              <w:t>(</w:t>
            </w:r>
            <w:r w:rsidR="00625CBE" w:rsidRPr="00D4035E">
              <w:rPr>
                <w:rFonts w:ascii="Arial Narrow" w:hAnsi="Arial Narrow" w:cs="Calibri"/>
                <w:color w:val="000000" w:themeColor="text1"/>
                <w:sz w:val="16"/>
                <w:szCs w:val="16"/>
              </w:rPr>
              <w:t>15,702,863</w:t>
            </w:r>
            <w:r w:rsidRPr="00D4035E">
              <w:rPr>
                <w:rFonts w:ascii="Arial Narrow" w:hAnsi="Arial Narrow" w:cs="Calibri"/>
                <w:color w:val="000000" w:themeColor="text1"/>
                <w:sz w:val="16"/>
                <w:szCs w:val="16"/>
              </w:rPr>
              <w:t>)</w:t>
            </w:r>
          </w:p>
        </w:tc>
        <w:tc>
          <w:tcPr>
            <w:tcW w:w="990" w:type="dxa"/>
            <w:gridSpan w:val="2"/>
            <w:tcBorders>
              <w:top w:val="nil"/>
              <w:left w:val="nil"/>
              <w:bottom w:val="nil"/>
              <w:right w:val="nil"/>
            </w:tcBorders>
            <w:shd w:val="clear" w:color="auto" w:fill="auto"/>
            <w:noWrap/>
            <w:vAlign w:val="center"/>
          </w:tcPr>
          <w:p w14:paraId="16021E7F" w14:textId="28ABF54A" w:rsidR="00A655C1" w:rsidRPr="00D4035E" w:rsidRDefault="00334E6A" w:rsidP="002C765B">
            <w:pPr>
              <w:ind w:left="0"/>
              <w:jc w:val="right"/>
              <w:rPr>
                <w:rFonts w:ascii="Arial Narrow" w:hAnsi="Arial Narrow" w:cs="Calibri"/>
                <w:color w:val="000000" w:themeColor="text1"/>
                <w:sz w:val="16"/>
                <w:szCs w:val="16"/>
              </w:rPr>
            </w:pPr>
            <w:r w:rsidRPr="00D4035E">
              <w:rPr>
                <w:rFonts w:ascii="Arial Narrow" w:hAnsi="Arial Narrow" w:cs="Calibri"/>
                <w:color w:val="000000" w:themeColor="text1"/>
                <w:sz w:val="16"/>
                <w:szCs w:val="16"/>
              </w:rPr>
              <w:t>(</w:t>
            </w:r>
            <w:r w:rsidR="00707AD5" w:rsidRPr="00D4035E">
              <w:rPr>
                <w:rFonts w:ascii="Arial Narrow" w:hAnsi="Arial Narrow" w:cs="Calibri"/>
                <w:color w:val="000000" w:themeColor="text1"/>
                <w:sz w:val="16"/>
                <w:szCs w:val="16"/>
              </w:rPr>
              <w:t>7,308,443</w:t>
            </w:r>
            <w:r w:rsidRPr="00D4035E">
              <w:rPr>
                <w:rFonts w:ascii="Arial Narrow" w:hAnsi="Arial Narrow" w:cs="Calibri"/>
                <w:color w:val="000000" w:themeColor="text1"/>
                <w:sz w:val="16"/>
                <w:szCs w:val="16"/>
              </w:rPr>
              <w:t>)</w:t>
            </w:r>
          </w:p>
        </w:tc>
        <w:tc>
          <w:tcPr>
            <w:tcW w:w="1080" w:type="dxa"/>
            <w:gridSpan w:val="2"/>
            <w:tcBorders>
              <w:top w:val="nil"/>
              <w:left w:val="nil"/>
              <w:bottom w:val="nil"/>
              <w:right w:val="nil"/>
            </w:tcBorders>
            <w:shd w:val="clear" w:color="auto" w:fill="auto"/>
            <w:noWrap/>
            <w:vAlign w:val="center"/>
          </w:tcPr>
          <w:p w14:paraId="6A58ADC0" w14:textId="718140FE" w:rsidR="00A655C1" w:rsidRPr="00D4035E" w:rsidRDefault="00FC697C" w:rsidP="006967AF">
            <w:pPr>
              <w:ind w:left="0"/>
              <w:jc w:val="right"/>
              <w:rPr>
                <w:rFonts w:ascii="Arial Narrow" w:hAnsi="Arial Narrow" w:cs="Calibri"/>
                <w:color w:val="000000" w:themeColor="text1"/>
                <w:sz w:val="16"/>
                <w:szCs w:val="16"/>
              </w:rPr>
            </w:pPr>
            <w:r w:rsidRPr="00D4035E">
              <w:rPr>
                <w:rFonts w:ascii="Arial Narrow" w:hAnsi="Arial Narrow" w:cs="Calibri"/>
                <w:color w:val="000000" w:themeColor="text1"/>
                <w:sz w:val="16"/>
                <w:szCs w:val="16"/>
              </w:rPr>
              <w:t>(</w:t>
            </w:r>
            <w:r w:rsidR="00172926" w:rsidRPr="00D4035E">
              <w:rPr>
                <w:rFonts w:ascii="Arial Narrow" w:hAnsi="Arial Narrow" w:cs="Calibri"/>
                <w:color w:val="000000" w:themeColor="text1"/>
                <w:sz w:val="16"/>
                <w:szCs w:val="16"/>
              </w:rPr>
              <w:t>24,605,715</w:t>
            </w:r>
            <w:r w:rsidRPr="00D4035E">
              <w:rPr>
                <w:rFonts w:ascii="Arial Narrow" w:hAnsi="Arial Narrow" w:cs="Calibri"/>
                <w:color w:val="000000" w:themeColor="text1"/>
                <w:sz w:val="16"/>
                <w:szCs w:val="16"/>
              </w:rPr>
              <w:t>)</w:t>
            </w:r>
          </w:p>
        </w:tc>
        <w:tc>
          <w:tcPr>
            <w:tcW w:w="1080" w:type="dxa"/>
            <w:gridSpan w:val="2"/>
            <w:tcBorders>
              <w:top w:val="nil"/>
              <w:left w:val="nil"/>
              <w:bottom w:val="nil"/>
              <w:right w:val="nil"/>
            </w:tcBorders>
            <w:shd w:val="clear" w:color="auto" w:fill="auto"/>
            <w:noWrap/>
            <w:vAlign w:val="center"/>
          </w:tcPr>
          <w:p w14:paraId="670E80C1" w14:textId="77777777" w:rsidR="00A655C1" w:rsidRPr="00D4035E" w:rsidRDefault="00A655C1" w:rsidP="00F3475E">
            <w:pPr>
              <w:ind w:left="0"/>
              <w:jc w:val="right"/>
              <w:rPr>
                <w:rFonts w:ascii="Arial Narrow" w:hAnsi="Arial Narrow" w:cs="Calibri"/>
                <w:color w:val="000000" w:themeColor="text1"/>
                <w:sz w:val="16"/>
                <w:szCs w:val="16"/>
              </w:rPr>
            </w:pPr>
            <w:r w:rsidRPr="00D4035E">
              <w:rPr>
                <w:rFonts w:ascii="Arial Narrow" w:hAnsi="Arial Narrow" w:cs="Calibri"/>
                <w:color w:val="000000" w:themeColor="text1"/>
                <w:sz w:val="16"/>
                <w:szCs w:val="16"/>
              </w:rPr>
              <w:t xml:space="preserve">              -   </w:t>
            </w:r>
          </w:p>
        </w:tc>
        <w:tc>
          <w:tcPr>
            <w:tcW w:w="1170" w:type="dxa"/>
            <w:gridSpan w:val="2"/>
            <w:tcBorders>
              <w:top w:val="nil"/>
              <w:left w:val="nil"/>
              <w:bottom w:val="nil"/>
              <w:right w:val="nil"/>
            </w:tcBorders>
            <w:shd w:val="clear" w:color="auto" w:fill="auto"/>
            <w:noWrap/>
            <w:vAlign w:val="center"/>
          </w:tcPr>
          <w:p w14:paraId="326E5C6F" w14:textId="6CDD3E6E" w:rsidR="00A655C1" w:rsidRPr="00D4035E" w:rsidRDefault="00B84320" w:rsidP="00D4035E">
            <w:pPr>
              <w:ind w:left="0" w:right="-108"/>
              <w:jc w:val="right"/>
              <w:rPr>
                <w:rFonts w:ascii="Arial Narrow" w:hAnsi="Arial Narrow" w:cs="Calibri"/>
                <w:color w:val="000000" w:themeColor="text1"/>
                <w:sz w:val="16"/>
                <w:szCs w:val="16"/>
              </w:rPr>
            </w:pPr>
            <w:r w:rsidRPr="00D4035E">
              <w:rPr>
                <w:rFonts w:ascii="Arial Narrow" w:hAnsi="Arial Narrow" w:cs="Calibri"/>
                <w:color w:val="000000" w:themeColor="text1"/>
                <w:sz w:val="16"/>
                <w:szCs w:val="16"/>
              </w:rPr>
              <w:t>(</w:t>
            </w:r>
            <w:r w:rsidR="00C85031" w:rsidRPr="00D4035E">
              <w:rPr>
                <w:rFonts w:ascii="Arial Narrow" w:hAnsi="Arial Narrow" w:cs="Calibri"/>
                <w:color w:val="000000" w:themeColor="text1"/>
                <w:sz w:val="16"/>
                <w:szCs w:val="16"/>
              </w:rPr>
              <w:t>470,640,922</w:t>
            </w:r>
            <w:r w:rsidR="00FC697C" w:rsidRPr="00D4035E">
              <w:rPr>
                <w:rFonts w:ascii="Arial Narrow" w:hAnsi="Arial Narrow" w:cs="Calibri"/>
                <w:color w:val="000000" w:themeColor="text1"/>
                <w:sz w:val="16"/>
                <w:szCs w:val="16"/>
              </w:rPr>
              <w:t>)</w:t>
            </w:r>
          </w:p>
        </w:tc>
      </w:tr>
      <w:tr w:rsidR="00997F75" w:rsidRPr="00D4035E" w14:paraId="65B728A9" w14:textId="77777777" w:rsidTr="00D4035E">
        <w:trPr>
          <w:trHeight w:val="90"/>
        </w:trPr>
        <w:tc>
          <w:tcPr>
            <w:tcW w:w="1350" w:type="dxa"/>
            <w:tcBorders>
              <w:top w:val="nil"/>
              <w:left w:val="nil"/>
              <w:bottom w:val="nil"/>
              <w:right w:val="nil"/>
            </w:tcBorders>
            <w:shd w:val="clear" w:color="auto" w:fill="auto"/>
            <w:noWrap/>
            <w:vAlign w:val="bottom"/>
            <w:hideMark/>
          </w:tcPr>
          <w:p w14:paraId="079EB4A8" w14:textId="77777777" w:rsidR="00A655C1" w:rsidRPr="00D4035E" w:rsidRDefault="00A655C1" w:rsidP="00F3475E">
            <w:pPr>
              <w:ind w:left="-105"/>
              <w:rPr>
                <w:rFonts w:ascii="Arial Narrow" w:hAnsi="Arial Narrow" w:cs="Calibri"/>
                <w:color w:val="000000" w:themeColor="text1"/>
                <w:sz w:val="16"/>
                <w:szCs w:val="16"/>
              </w:rPr>
            </w:pPr>
            <w:r w:rsidRPr="00D4035E">
              <w:rPr>
                <w:rFonts w:ascii="Arial Narrow" w:hAnsi="Arial Narrow" w:cs="Calibri"/>
                <w:color w:val="000000" w:themeColor="text1"/>
                <w:sz w:val="16"/>
                <w:szCs w:val="16"/>
              </w:rPr>
              <w:t>Disposals</w:t>
            </w:r>
          </w:p>
        </w:tc>
        <w:tc>
          <w:tcPr>
            <w:tcW w:w="1170" w:type="dxa"/>
            <w:tcBorders>
              <w:top w:val="nil"/>
              <w:left w:val="nil"/>
              <w:bottom w:val="nil"/>
              <w:right w:val="nil"/>
            </w:tcBorders>
            <w:shd w:val="clear" w:color="auto" w:fill="auto"/>
            <w:noWrap/>
            <w:vAlign w:val="bottom"/>
            <w:hideMark/>
          </w:tcPr>
          <w:p w14:paraId="6E853631" w14:textId="77777777" w:rsidR="00A655C1" w:rsidRPr="00D4035E" w:rsidRDefault="00A655C1" w:rsidP="00F3475E">
            <w:pPr>
              <w:ind w:left="0"/>
              <w:jc w:val="right"/>
              <w:rPr>
                <w:rFonts w:ascii="Arial Narrow" w:hAnsi="Arial Narrow" w:cs="Calibri"/>
                <w:color w:val="000000" w:themeColor="text1"/>
                <w:sz w:val="16"/>
                <w:szCs w:val="16"/>
              </w:rPr>
            </w:pPr>
            <w:r w:rsidRPr="00D4035E">
              <w:rPr>
                <w:rFonts w:ascii="Arial Narrow" w:hAnsi="Arial Narrow" w:cs="Calibri"/>
                <w:color w:val="000000" w:themeColor="text1"/>
                <w:sz w:val="16"/>
                <w:szCs w:val="16"/>
              </w:rPr>
              <w:t xml:space="preserve">                -   </w:t>
            </w:r>
          </w:p>
        </w:tc>
        <w:tc>
          <w:tcPr>
            <w:tcW w:w="1170" w:type="dxa"/>
            <w:tcBorders>
              <w:top w:val="nil"/>
              <w:left w:val="nil"/>
              <w:bottom w:val="nil"/>
              <w:right w:val="nil"/>
            </w:tcBorders>
            <w:shd w:val="clear" w:color="auto" w:fill="auto"/>
            <w:noWrap/>
            <w:vAlign w:val="bottom"/>
          </w:tcPr>
          <w:p w14:paraId="077CF99A" w14:textId="28837A24" w:rsidR="00A655C1" w:rsidRPr="00D4035E" w:rsidRDefault="006E468D" w:rsidP="00F3475E">
            <w:pPr>
              <w:ind w:left="0"/>
              <w:jc w:val="right"/>
              <w:rPr>
                <w:rFonts w:ascii="Arial Narrow" w:hAnsi="Arial Narrow" w:cs="Calibri"/>
                <w:color w:val="000000" w:themeColor="text1"/>
                <w:sz w:val="16"/>
                <w:szCs w:val="16"/>
              </w:rPr>
            </w:pPr>
            <w:r w:rsidRPr="00D4035E">
              <w:rPr>
                <w:rFonts w:ascii="Arial Narrow" w:hAnsi="Arial Narrow" w:cs="Calibri"/>
                <w:color w:val="000000" w:themeColor="text1"/>
                <w:sz w:val="16"/>
                <w:szCs w:val="16"/>
              </w:rPr>
              <w:t>-</w:t>
            </w:r>
          </w:p>
        </w:tc>
        <w:tc>
          <w:tcPr>
            <w:tcW w:w="1080" w:type="dxa"/>
            <w:tcBorders>
              <w:top w:val="nil"/>
              <w:left w:val="nil"/>
              <w:bottom w:val="nil"/>
              <w:right w:val="nil"/>
            </w:tcBorders>
            <w:shd w:val="clear" w:color="auto" w:fill="auto"/>
            <w:noWrap/>
            <w:vAlign w:val="bottom"/>
          </w:tcPr>
          <w:p w14:paraId="60804FE7" w14:textId="34ECE7E0" w:rsidR="00A655C1" w:rsidRPr="00D4035E" w:rsidRDefault="006E468D" w:rsidP="00997F75">
            <w:pPr>
              <w:ind w:left="0" w:right="-21"/>
              <w:jc w:val="right"/>
              <w:rPr>
                <w:rFonts w:ascii="Arial Narrow" w:hAnsi="Arial Narrow" w:cs="Calibri"/>
                <w:color w:val="000000" w:themeColor="text1"/>
                <w:sz w:val="16"/>
                <w:szCs w:val="16"/>
              </w:rPr>
            </w:pPr>
            <w:r w:rsidRPr="00D4035E">
              <w:rPr>
                <w:rFonts w:ascii="Arial Narrow" w:hAnsi="Arial Narrow" w:cs="Calibri"/>
                <w:color w:val="000000" w:themeColor="text1"/>
                <w:sz w:val="16"/>
                <w:szCs w:val="16"/>
              </w:rPr>
              <w:t>160,545</w:t>
            </w:r>
          </w:p>
        </w:tc>
        <w:tc>
          <w:tcPr>
            <w:tcW w:w="990" w:type="dxa"/>
            <w:gridSpan w:val="2"/>
            <w:tcBorders>
              <w:top w:val="nil"/>
              <w:left w:val="nil"/>
              <w:bottom w:val="nil"/>
              <w:right w:val="nil"/>
            </w:tcBorders>
            <w:shd w:val="clear" w:color="auto" w:fill="auto"/>
            <w:noWrap/>
            <w:vAlign w:val="bottom"/>
          </w:tcPr>
          <w:p w14:paraId="35862B48" w14:textId="0C00DCAB" w:rsidR="00A655C1" w:rsidRPr="00D4035E" w:rsidRDefault="006E468D" w:rsidP="002C765B">
            <w:pPr>
              <w:ind w:left="0"/>
              <w:jc w:val="right"/>
              <w:rPr>
                <w:rFonts w:ascii="Arial Narrow" w:hAnsi="Arial Narrow" w:cs="Calibri"/>
                <w:color w:val="000000" w:themeColor="text1"/>
                <w:sz w:val="16"/>
                <w:szCs w:val="16"/>
              </w:rPr>
            </w:pPr>
            <w:r w:rsidRPr="00D4035E">
              <w:rPr>
                <w:rFonts w:ascii="Arial Narrow" w:hAnsi="Arial Narrow" w:cs="Calibri"/>
                <w:color w:val="000000" w:themeColor="text1"/>
                <w:sz w:val="16"/>
                <w:szCs w:val="16"/>
              </w:rPr>
              <w:t>-</w:t>
            </w:r>
          </w:p>
        </w:tc>
        <w:tc>
          <w:tcPr>
            <w:tcW w:w="1080" w:type="dxa"/>
            <w:gridSpan w:val="2"/>
            <w:tcBorders>
              <w:top w:val="nil"/>
              <w:left w:val="nil"/>
              <w:bottom w:val="nil"/>
              <w:right w:val="nil"/>
            </w:tcBorders>
            <w:shd w:val="clear" w:color="auto" w:fill="auto"/>
            <w:noWrap/>
            <w:vAlign w:val="bottom"/>
          </w:tcPr>
          <w:p w14:paraId="7737453D" w14:textId="5B74E283" w:rsidR="00A655C1" w:rsidRPr="00D4035E" w:rsidRDefault="006E468D" w:rsidP="006967AF">
            <w:pPr>
              <w:ind w:left="0"/>
              <w:jc w:val="right"/>
              <w:rPr>
                <w:rFonts w:ascii="Arial Narrow" w:hAnsi="Arial Narrow" w:cs="Calibri"/>
                <w:color w:val="000000" w:themeColor="text1"/>
                <w:sz w:val="16"/>
                <w:szCs w:val="16"/>
              </w:rPr>
            </w:pPr>
            <w:r w:rsidRPr="00D4035E">
              <w:rPr>
                <w:rFonts w:ascii="Arial Narrow" w:hAnsi="Arial Narrow" w:cs="Calibri"/>
                <w:color w:val="000000" w:themeColor="text1"/>
                <w:sz w:val="16"/>
                <w:szCs w:val="16"/>
              </w:rPr>
              <w:t>-</w:t>
            </w:r>
          </w:p>
        </w:tc>
        <w:tc>
          <w:tcPr>
            <w:tcW w:w="1080" w:type="dxa"/>
            <w:gridSpan w:val="2"/>
            <w:tcBorders>
              <w:top w:val="nil"/>
              <w:left w:val="nil"/>
              <w:bottom w:val="nil"/>
              <w:right w:val="nil"/>
            </w:tcBorders>
            <w:shd w:val="clear" w:color="auto" w:fill="auto"/>
            <w:noWrap/>
            <w:vAlign w:val="bottom"/>
          </w:tcPr>
          <w:p w14:paraId="1E683E6E" w14:textId="77777777" w:rsidR="00A655C1" w:rsidRPr="00D4035E" w:rsidRDefault="00A655C1" w:rsidP="00F3475E">
            <w:pPr>
              <w:ind w:left="0"/>
              <w:jc w:val="right"/>
              <w:rPr>
                <w:rFonts w:ascii="Arial Narrow" w:hAnsi="Arial Narrow" w:cs="Calibri"/>
                <w:color w:val="000000" w:themeColor="text1"/>
                <w:sz w:val="16"/>
                <w:szCs w:val="16"/>
              </w:rPr>
            </w:pPr>
            <w:r w:rsidRPr="00D4035E">
              <w:rPr>
                <w:rFonts w:ascii="Arial Narrow" w:hAnsi="Arial Narrow" w:cs="Calibri"/>
                <w:color w:val="000000" w:themeColor="text1"/>
                <w:sz w:val="16"/>
                <w:szCs w:val="16"/>
              </w:rPr>
              <w:t xml:space="preserve">              -   </w:t>
            </w:r>
          </w:p>
        </w:tc>
        <w:tc>
          <w:tcPr>
            <w:tcW w:w="1170" w:type="dxa"/>
            <w:gridSpan w:val="2"/>
            <w:tcBorders>
              <w:top w:val="nil"/>
              <w:left w:val="nil"/>
              <w:bottom w:val="nil"/>
              <w:right w:val="nil"/>
            </w:tcBorders>
            <w:shd w:val="clear" w:color="auto" w:fill="auto"/>
            <w:noWrap/>
            <w:vAlign w:val="bottom"/>
          </w:tcPr>
          <w:p w14:paraId="202FD2D0" w14:textId="202643AB" w:rsidR="00A655C1" w:rsidRPr="00D4035E" w:rsidRDefault="006E468D" w:rsidP="00D4035E">
            <w:pPr>
              <w:ind w:left="0" w:right="-108"/>
              <w:jc w:val="right"/>
              <w:rPr>
                <w:rFonts w:ascii="Arial Narrow" w:hAnsi="Arial Narrow" w:cs="Calibri"/>
                <w:color w:val="000000" w:themeColor="text1"/>
                <w:sz w:val="16"/>
                <w:szCs w:val="16"/>
              </w:rPr>
            </w:pPr>
            <w:r w:rsidRPr="00D4035E">
              <w:rPr>
                <w:rFonts w:ascii="Arial Narrow" w:hAnsi="Arial Narrow" w:cs="Calibri"/>
                <w:color w:val="000000" w:themeColor="text1"/>
                <w:sz w:val="16"/>
                <w:szCs w:val="16"/>
              </w:rPr>
              <w:t>160,545</w:t>
            </w:r>
          </w:p>
        </w:tc>
      </w:tr>
      <w:tr w:rsidR="00997F75" w:rsidRPr="00D4035E" w14:paraId="2A8E502F" w14:textId="77777777" w:rsidTr="00D4035E">
        <w:trPr>
          <w:trHeight w:val="198"/>
        </w:trPr>
        <w:tc>
          <w:tcPr>
            <w:tcW w:w="1350" w:type="dxa"/>
            <w:tcBorders>
              <w:top w:val="nil"/>
              <w:left w:val="nil"/>
              <w:bottom w:val="nil"/>
              <w:right w:val="nil"/>
            </w:tcBorders>
            <w:shd w:val="clear" w:color="auto" w:fill="auto"/>
            <w:noWrap/>
            <w:vAlign w:val="bottom"/>
            <w:hideMark/>
          </w:tcPr>
          <w:p w14:paraId="3E9FD6F4" w14:textId="77777777" w:rsidR="00A655C1" w:rsidRPr="00D4035E" w:rsidRDefault="00A655C1" w:rsidP="00F3475E">
            <w:pPr>
              <w:ind w:left="-105"/>
              <w:rPr>
                <w:rFonts w:ascii="Arial Narrow" w:hAnsi="Arial Narrow" w:cs="Calibri"/>
                <w:color w:val="000000" w:themeColor="text1"/>
                <w:sz w:val="16"/>
                <w:szCs w:val="16"/>
              </w:rPr>
            </w:pPr>
            <w:r w:rsidRPr="00D4035E">
              <w:rPr>
                <w:rFonts w:ascii="Arial Narrow" w:hAnsi="Arial Narrow" w:cs="Calibri"/>
                <w:color w:val="000000" w:themeColor="text1"/>
                <w:sz w:val="16"/>
                <w:szCs w:val="16"/>
              </w:rPr>
              <w:t>Adjustments</w:t>
            </w:r>
          </w:p>
        </w:tc>
        <w:tc>
          <w:tcPr>
            <w:tcW w:w="1170" w:type="dxa"/>
            <w:tcBorders>
              <w:top w:val="nil"/>
              <w:left w:val="nil"/>
              <w:bottom w:val="nil"/>
              <w:right w:val="nil"/>
            </w:tcBorders>
            <w:shd w:val="clear" w:color="auto" w:fill="auto"/>
            <w:noWrap/>
            <w:vAlign w:val="bottom"/>
            <w:hideMark/>
          </w:tcPr>
          <w:p w14:paraId="15061646" w14:textId="77777777" w:rsidR="00A655C1" w:rsidRPr="00D4035E" w:rsidRDefault="00A655C1" w:rsidP="00F3475E">
            <w:pPr>
              <w:ind w:left="0"/>
              <w:jc w:val="right"/>
              <w:rPr>
                <w:rFonts w:ascii="Arial Narrow" w:hAnsi="Arial Narrow" w:cs="Calibri"/>
                <w:color w:val="000000" w:themeColor="text1"/>
                <w:sz w:val="16"/>
                <w:szCs w:val="16"/>
              </w:rPr>
            </w:pPr>
            <w:r w:rsidRPr="00D4035E">
              <w:rPr>
                <w:rFonts w:ascii="Arial Narrow" w:hAnsi="Arial Narrow" w:cs="Calibri"/>
                <w:color w:val="000000" w:themeColor="text1"/>
                <w:sz w:val="16"/>
                <w:szCs w:val="16"/>
              </w:rPr>
              <w:t xml:space="preserve">                -   </w:t>
            </w:r>
          </w:p>
        </w:tc>
        <w:tc>
          <w:tcPr>
            <w:tcW w:w="1170" w:type="dxa"/>
            <w:tcBorders>
              <w:top w:val="nil"/>
              <w:left w:val="nil"/>
              <w:bottom w:val="nil"/>
              <w:right w:val="nil"/>
            </w:tcBorders>
            <w:shd w:val="clear" w:color="auto" w:fill="auto"/>
            <w:noWrap/>
            <w:vAlign w:val="bottom"/>
          </w:tcPr>
          <w:p w14:paraId="259147C9" w14:textId="04BB8669" w:rsidR="002B0D18" w:rsidRPr="00D4035E" w:rsidRDefault="006A2E67" w:rsidP="002B0D18">
            <w:pPr>
              <w:ind w:left="0"/>
              <w:jc w:val="right"/>
              <w:rPr>
                <w:rFonts w:ascii="Arial Narrow" w:hAnsi="Arial Narrow" w:cs="Calibri"/>
                <w:color w:val="000000" w:themeColor="text1"/>
                <w:sz w:val="16"/>
                <w:szCs w:val="16"/>
              </w:rPr>
            </w:pPr>
            <w:r w:rsidRPr="00D4035E">
              <w:rPr>
                <w:rFonts w:ascii="Arial Narrow" w:hAnsi="Arial Narrow" w:cs="Calibri"/>
                <w:color w:val="000000" w:themeColor="text1"/>
                <w:sz w:val="16"/>
                <w:szCs w:val="16"/>
              </w:rPr>
              <w:t>8,852</w:t>
            </w:r>
          </w:p>
        </w:tc>
        <w:tc>
          <w:tcPr>
            <w:tcW w:w="1080" w:type="dxa"/>
            <w:tcBorders>
              <w:top w:val="nil"/>
              <w:left w:val="nil"/>
              <w:bottom w:val="nil"/>
              <w:right w:val="nil"/>
            </w:tcBorders>
            <w:shd w:val="clear" w:color="auto" w:fill="auto"/>
            <w:noWrap/>
            <w:vAlign w:val="bottom"/>
          </w:tcPr>
          <w:p w14:paraId="517BA104" w14:textId="4997BFAE" w:rsidR="00A655C1" w:rsidRPr="00D4035E" w:rsidRDefault="006A2E67" w:rsidP="00997F75">
            <w:pPr>
              <w:ind w:left="0" w:right="-21"/>
              <w:jc w:val="right"/>
              <w:rPr>
                <w:rFonts w:ascii="Arial Narrow" w:hAnsi="Arial Narrow" w:cs="Calibri"/>
                <w:color w:val="000000" w:themeColor="text1"/>
                <w:sz w:val="16"/>
                <w:szCs w:val="16"/>
              </w:rPr>
            </w:pPr>
            <w:r w:rsidRPr="00D4035E">
              <w:rPr>
                <w:rFonts w:ascii="Arial Narrow" w:hAnsi="Arial Narrow" w:cs="Calibri"/>
                <w:color w:val="000000" w:themeColor="text1"/>
                <w:sz w:val="16"/>
                <w:szCs w:val="16"/>
              </w:rPr>
              <w:t>(3,581,214)</w:t>
            </w:r>
          </w:p>
        </w:tc>
        <w:tc>
          <w:tcPr>
            <w:tcW w:w="990" w:type="dxa"/>
            <w:gridSpan w:val="2"/>
            <w:tcBorders>
              <w:top w:val="nil"/>
              <w:left w:val="nil"/>
              <w:bottom w:val="nil"/>
              <w:right w:val="nil"/>
            </w:tcBorders>
            <w:shd w:val="clear" w:color="auto" w:fill="auto"/>
            <w:noWrap/>
            <w:vAlign w:val="bottom"/>
          </w:tcPr>
          <w:p w14:paraId="0EDCFCBC" w14:textId="6FB970E3" w:rsidR="00A655C1" w:rsidRPr="00D4035E" w:rsidRDefault="006967AF" w:rsidP="002C765B">
            <w:pPr>
              <w:ind w:left="0"/>
              <w:jc w:val="right"/>
              <w:rPr>
                <w:rFonts w:ascii="Arial Narrow" w:hAnsi="Arial Narrow" w:cs="Calibri"/>
                <w:color w:val="000000" w:themeColor="text1"/>
                <w:sz w:val="16"/>
                <w:szCs w:val="16"/>
              </w:rPr>
            </w:pPr>
            <w:r w:rsidRPr="00D4035E">
              <w:rPr>
                <w:rFonts w:ascii="Arial Narrow" w:hAnsi="Arial Narrow" w:cs="Calibri"/>
                <w:color w:val="000000" w:themeColor="text1"/>
                <w:sz w:val="16"/>
                <w:szCs w:val="16"/>
              </w:rPr>
              <w:t>(303,251)</w:t>
            </w:r>
          </w:p>
        </w:tc>
        <w:tc>
          <w:tcPr>
            <w:tcW w:w="1080" w:type="dxa"/>
            <w:gridSpan w:val="2"/>
            <w:tcBorders>
              <w:top w:val="nil"/>
              <w:left w:val="nil"/>
              <w:bottom w:val="nil"/>
              <w:right w:val="nil"/>
            </w:tcBorders>
            <w:shd w:val="clear" w:color="auto" w:fill="auto"/>
            <w:noWrap/>
            <w:vAlign w:val="bottom"/>
          </w:tcPr>
          <w:p w14:paraId="4ED86973" w14:textId="38056C25" w:rsidR="00A655C1" w:rsidRPr="00D4035E" w:rsidRDefault="001F57D4" w:rsidP="006967AF">
            <w:pPr>
              <w:ind w:left="0"/>
              <w:jc w:val="right"/>
              <w:rPr>
                <w:rFonts w:ascii="Arial Narrow" w:hAnsi="Arial Narrow" w:cs="Calibri"/>
                <w:color w:val="000000" w:themeColor="text1"/>
                <w:sz w:val="16"/>
                <w:szCs w:val="16"/>
              </w:rPr>
            </w:pPr>
            <w:r w:rsidRPr="00D4035E">
              <w:rPr>
                <w:rFonts w:ascii="Arial Narrow" w:hAnsi="Arial Narrow" w:cs="Calibri"/>
                <w:color w:val="000000" w:themeColor="text1"/>
                <w:sz w:val="16"/>
                <w:szCs w:val="16"/>
              </w:rPr>
              <w:t>(</w:t>
            </w:r>
            <w:r w:rsidR="00AB7ABB" w:rsidRPr="00D4035E">
              <w:rPr>
                <w:rFonts w:ascii="Arial Narrow" w:hAnsi="Arial Narrow" w:cs="Calibri"/>
                <w:color w:val="000000" w:themeColor="text1"/>
                <w:sz w:val="16"/>
                <w:szCs w:val="16"/>
              </w:rPr>
              <w:t>1</w:t>
            </w:r>
            <w:r w:rsidR="006967AF" w:rsidRPr="00D4035E">
              <w:rPr>
                <w:rFonts w:ascii="Arial Narrow" w:hAnsi="Arial Narrow" w:cs="Calibri"/>
                <w:color w:val="000000" w:themeColor="text1"/>
                <w:sz w:val="16"/>
                <w:szCs w:val="16"/>
              </w:rPr>
              <w:t>,652,104</w:t>
            </w:r>
            <w:r w:rsidRPr="00D4035E">
              <w:rPr>
                <w:rFonts w:ascii="Arial Narrow" w:hAnsi="Arial Narrow" w:cs="Calibri"/>
                <w:color w:val="000000" w:themeColor="text1"/>
                <w:sz w:val="16"/>
                <w:szCs w:val="16"/>
              </w:rPr>
              <w:t>)</w:t>
            </w:r>
          </w:p>
        </w:tc>
        <w:tc>
          <w:tcPr>
            <w:tcW w:w="1080" w:type="dxa"/>
            <w:gridSpan w:val="2"/>
            <w:tcBorders>
              <w:top w:val="nil"/>
              <w:left w:val="nil"/>
              <w:bottom w:val="nil"/>
              <w:right w:val="nil"/>
            </w:tcBorders>
            <w:shd w:val="clear" w:color="auto" w:fill="auto"/>
            <w:noWrap/>
            <w:vAlign w:val="bottom"/>
          </w:tcPr>
          <w:p w14:paraId="5F52409C" w14:textId="77777777" w:rsidR="00A655C1" w:rsidRPr="00D4035E" w:rsidRDefault="00A655C1" w:rsidP="00F3475E">
            <w:pPr>
              <w:ind w:left="0"/>
              <w:jc w:val="right"/>
              <w:rPr>
                <w:rFonts w:ascii="Arial Narrow" w:hAnsi="Arial Narrow" w:cs="Calibri"/>
                <w:color w:val="000000" w:themeColor="text1"/>
                <w:sz w:val="16"/>
                <w:szCs w:val="16"/>
              </w:rPr>
            </w:pPr>
            <w:r w:rsidRPr="00D4035E">
              <w:rPr>
                <w:rFonts w:ascii="Arial Narrow" w:hAnsi="Arial Narrow" w:cs="Calibri"/>
                <w:color w:val="000000" w:themeColor="text1"/>
                <w:sz w:val="16"/>
                <w:szCs w:val="16"/>
              </w:rPr>
              <w:t xml:space="preserve">              -   </w:t>
            </w:r>
          </w:p>
        </w:tc>
        <w:tc>
          <w:tcPr>
            <w:tcW w:w="1170" w:type="dxa"/>
            <w:gridSpan w:val="2"/>
            <w:tcBorders>
              <w:top w:val="nil"/>
              <w:left w:val="nil"/>
              <w:bottom w:val="nil"/>
              <w:right w:val="nil"/>
            </w:tcBorders>
            <w:shd w:val="clear" w:color="auto" w:fill="auto"/>
            <w:noWrap/>
            <w:vAlign w:val="bottom"/>
          </w:tcPr>
          <w:p w14:paraId="718586B9" w14:textId="3885A0B9" w:rsidR="00A655C1" w:rsidRPr="00D4035E" w:rsidRDefault="006967AF" w:rsidP="00D4035E">
            <w:pPr>
              <w:ind w:left="0" w:right="-108"/>
              <w:jc w:val="right"/>
              <w:rPr>
                <w:rFonts w:ascii="Arial Narrow" w:hAnsi="Arial Narrow" w:cs="Calibri"/>
                <w:color w:val="000000" w:themeColor="text1"/>
                <w:sz w:val="16"/>
                <w:szCs w:val="16"/>
              </w:rPr>
            </w:pPr>
            <w:r w:rsidRPr="00D4035E">
              <w:rPr>
                <w:rFonts w:ascii="Arial Narrow" w:hAnsi="Arial Narrow" w:cs="Calibri"/>
                <w:color w:val="000000" w:themeColor="text1"/>
                <w:sz w:val="16"/>
                <w:szCs w:val="16"/>
              </w:rPr>
              <w:t>(5,527,717)</w:t>
            </w:r>
          </w:p>
        </w:tc>
      </w:tr>
      <w:tr w:rsidR="00997F75" w:rsidRPr="00D4035E" w14:paraId="0507A39E" w14:textId="77777777" w:rsidTr="00D4035E">
        <w:trPr>
          <w:trHeight w:val="170"/>
        </w:trPr>
        <w:tc>
          <w:tcPr>
            <w:tcW w:w="1350" w:type="dxa"/>
            <w:tcBorders>
              <w:top w:val="single" w:sz="4" w:space="0" w:color="auto"/>
              <w:left w:val="nil"/>
              <w:bottom w:val="single" w:sz="4" w:space="0" w:color="auto"/>
              <w:right w:val="nil"/>
            </w:tcBorders>
            <w:shd w:val="clear" w:color="auto" w:fill="auto"/>
            <w:vAlign w:val="bottom"/>
            <w:hideMark/>
          </w:tcPr>
          <w:p w14:paraId="30A6E0FC" w14:textId="3AA52C01" w:rsidR="00A655C1" w:rsidRPr="00D4035E" w:rsidRDefault="00A655C1" w:rsidP="00A655C1">
            <w:pPr>
              <w:ind w:left="-105"/>
              <w:rPr>
                <w:rFonts w:ascii="Arial Narrow" w:hAnsi="Arial Narrow" w:cs="Calibri"/>
                <w:b/>
                <w:bCs/>
                <w:color w:val="000000" w:themeColor="text1"/>
                <w:sz w:val="16"/>
                <w:szCs w:val="16"/>
              </w:rPr>
            </w:pPr>
            <w:r w:rsidRPr="00D4035E">
              <w:rPr>
                <w:rFonts w:ascii="Arial Narrow" w:hAnsi="Arial Narrow" w:cs="Calibri"/>
                <w:b/>
                <w:bCs/>
                <w:color w:val="000000" w:themeColor="text1"/>
                <w:sz w:val="16"/>
                <w:szCs w:val="16"/>
              </w:rPr>
              <w:t>December 31, 202</w:t>
            </w:r>
            <w:r w:rsidR="007425D1" w:rsidRPr="00D4035E">
              <w:rPr>
                <w:rFonts w:ascii="Arial Narrow" w:hAnsi="Arial Narrow" w:cs="Calibri"/>
                <w:b/>
                <w:bCs/>
                <w:color w:val="000000" w:themeColor="text1"/>
                <w:sz w:val="16"/>
                <w:szCs w:val="16"/>
              </w:rPr>
              <w:t>3</w:t>
            </w:r>
          </w:p>
        </w:tc>
        <w:tc>
          <w:tcPr>
            <w:tcW w:w="1170" w:type="dxa"/>
            <w:tcBorders>
              <w:top w:val="single" w:sz="4" w:space="0" w:color="auto"/>
              <w:left w:val="nil"/>
              <w:bottom w:val="single" w:sz="4" w:space="0" w:color="auto"/>
              <w:right w:val="nil"/>
            </w:tcBorders>
            <w:shd w:val="clear" w:color="auto" w:fill="auto"/>
            <w:noWrap/>
            <w:vAlign w:val="bottom"/>
            <w:hideMark/>
          </w:tcPr>
          <w:p w14:paraId="0D11E915" w14:textId="77777777" w:rsidR="00A655C1" w:rsidRPr="00D4035E" w:rsidRDefault="00A655C1" w:rsidP="00F3475E">
            <w:pPr>
              <w:ind w:left="0"/>
              <w:jc w:val="right"/>
              <w:rPr>
                <w:rFonts w:ascii="Arial Narrow" w:hAnsi="Arial Narrow" w:cs="Calibri"/>
                <w:b/>
                <w:bCs/>
                <w:color w:val="000000" w:themeColor="text1"/>
                <w:sz w:val="16"/>
                <w:szCs w:val="16"/>
              </w:rPr>
            </w:pPr>
            <w:r w:rsidRPr="00D4035E">
              <w:rPr>
                <w:rFonts w:ascii="Arial Narrow" w:hAnsi="Arial Narrow" w:cs="Calibri"/>
                <w:b/>
                <w:bCs/>
                <w:color w:val="000000" w:themeColor="text1"/>
                <w:sz w:val="16"/>
                <w:szCs w:val="16"/>
              </w:rPr>
              <w:t xml:space="preserve">                -   </w:t>
            </w:r>
          </w:p>
        </w:tc>
        <w:tc>
          <w:tcPr>
            <w:tcW w:w="1170" w:type="dxa"/>
            <w:tcBorders>
              <w:top w:val="single" w:sz="4" w:space="0" w:color="auto"/>
              <w:left w:val="nil"/>
              <w:bottom w:val="single" w:sz="4" w:space="0" w:color="auto"/>
              <w:right w:val="nil"/>
            </w:tcBorders>
            <w:shd w:val="clear" w:color="auto" w:fill="auto"/>
            <w:noWrap/>
            <w:vAlign w:val="bottom"/>
          </w:tcPr>
          <w:p w14:paraId="032793B0" w14:textId="0471C786" w:rsidR="00A655C1" w:rsidRPr="00D4035E" w:rsidRDefault="00D963B4" w:rsidP="00C85031">
            <w:pPr>
              <w:ind w:left="0"/>
              <w:jc w:val="right"/>
              <w:rPr>
                <w:rFonts w:ascii="Arial Narrow" w:hAnsi="Arial Narrow" w:cs="Calibri"/>
                <w:b/>
                <w:bCs/>
                <w:color w:val="000000" w:themeColor="text1"/>
                <w:sz w:val="16"/>
                <w:szCs w:val="16"/>
              </w:rPr>
            </w:pPr>
            <w:r w:rsidRPr="00D4035E">
              <w:rPr>
                <w:rFonts w:ascii="Arial Narrow" w:hAnsi="Arial Narrow" w:cs="Calibri"/>
                <w:b/>
                <w:bCs/>
                <w:color w:val="000000" w:themeColor="text1"/>
                <w:sz w:val="16"/>
                <w:szCs w:val="16"/>
              </w:rPr>
              <w:t>(</w:t>
            </w:r>
            <w:r w:rsidR="00C85031" w:rsidRPr="00D4035E">
              <w:rPr>
                <w:rFonts w:ascii="Arial Narrow" w:hAnsi="Arial Narrow" w:cs="Calibri"/>
                <w:b/>
                <w:bCs/>
                <w:color w:val="000000" w:themeColor="text1"/>
                <w:sz w:val="16"/>
                <w:szCs w:val="16"/>
              </w:rPr>
              <w:t>980,505,705</w:t>
            </w:r>
            <w:r w:rsidRPr="00D4035E">
              <w:rPr>
                <w:rFonts w:ascii="Arial Narrow" w:hAnsi="Arial Narrow" w:cs="Calibri"/>
                <w:b/>
                <w:bCs/>
                <w:color w:val="000000" w:themeColor="text1"/>
                <w:sz w:val="16"/>
                <w:szCs w:val="16"/>
              </w:rPr>
              <w:t>)</w:t>
            </w:r>
          </w:p>
        </w:tc>
        <w:tc>
          <w:tcPr>
            <w:tcW w:w="1080" w:type="dxa"/>
            <w:tcBorders>
              <w:top w:val="single" w:sz="4" w:space="0" w:color="auto"/>
              <w:left w:val="nil"/>
              <w:bottom w:val="single" w:sz="4" w:space="0" w:color="auto"/>
              <w:right w:val="nil"/>
            </w:tcBorders>
            <w:shd w:val="clear" w:color="auto" w:fill="auto"/>
            <w:noWrap/>
            <w:vAlign w:val="bottom"/>
          </w:tcPr>
          <w:p w14:paraId="20597E3D" w14:textId="56CF8868" w:rsidR="00A655C1" w:rsidRPr="00D4035E" w:rsidRDefault="00D963B4" w:rsidP="00997F75">
            <w:pPr>
              <w:ind w:left="0" w:right="-21"/>
              <w:jc w:val="right"/>
              <w:rPr>
                <w:rFonts w:ascii="Arial Narrow" w:hAnsi="Arial Narrow" w:cs="Calibri"/>
                <w:b/>
                <w:bCs/>
                <w:color w:val="000000" w:themeColor="text1"/>
                <w:sz w:val="16"/>
                <w:szCs w:val="16"/>
              </w:rPr>
            </w:pPr>
            <w:r w:rsidRPr="00D4035E">
              <w:rPr>
                <w:rFonts w:ascii="Arial Narrow" w:hAnsi="Arial Narrow" w:cs="Calibri"/>
                <w:b/>
                <w:bCs/>
                <w:color w:val="000000" w:themeColor="text1"/>
                <w:sz w:val="16"/>
                <w:szCs w:val="16"/>
              </w:rPr>
              <w:t>(</w:t>
            </w:r>
            <w:r w:rsidR="0036476E" w:rsidRPr="00D4035E">
              <w:rPr>
                <w:rFonts w:ascii="Arial Narrow" w:hAnsi="Arial Narrow" w:cs="Calibri"/>
                <w:b/>
                <w:bCs/>
                <w:color w:val="000000" w:themeColor="text1"/>
                <w:sz w:val="16"/>
                <w:szCs w:val="16"/>
              </w:rPr>
              <w:t>184,671,4</w:t>
            </w:r>
            <w:r w:rsidR="00E83763" w:rsidRPr="00D4035E">
              <w:rPr>
                <w:rFonts w:ascii="Arial Narrow" w:hAnsi="Arial Narrow" w:cs="Calibri"/>
                <w:b/>
                <w:bCs/>
                <w:color w:val="000000" w:themeColor="text1"/>
                <w:sz w:val="16"/>
                <w:szCs w:val="16"/>
              </w:rPr>
              <w:t>39</w:t>
            </w:r>
            <w:r w:rsidRPr="00D4035E">
              <w:rPr>
                <w:rFonts w:ascii="Arial Narrow" w:hAnsi="Arial Narrow" w:cs="Calibri"/>
                <w:b/>
                <w:bCs/>
                <w:color w:val="000000" w:themeColor="text1"/>
                <w:sz w:val="16"/>
                <w:szCs w:val="16"/>
              </w:rPr>
              <w:t>)</w:t>
            </w:r>
          </w:p>
        </w:tc>
        <w:tc>
          <w:tcPr>
            <w:tcW w:w="990" w:type="dxa"/>
            <w:gridSpan w:val="2"/>
            <w:tcBorders>
              <w:top w:val="single" w:sz="4" w:space="0" w:color="auto"/>
              <w:left w:val="nil"/>
              <w:bottom w:val="single" w:sz="4" w:space="0" w:color="auto"/>
              <w:right w:val="nil"/>
            </w:tcBorders>
            <w:shd w:val="clear" w:color="auto" w:fill="auto"/>
            <w:noWrap/>
            <w:vAlign w:val="bottom"/>
          </w:tcPr>
          <w:p w14:paraId="244C9F97" w14:textId="042D4D5F" w:rsidR="00A655C1" w:rsidRPr="00D4035E" w:rsidRDefault="00D963B4" w:rsidP="002C765B">
            <w:pPr>
              <w:ind w:left="0"/>
              <w:jc w:val="right"/>
              <w:rPr>
                <w:rFonts w:ascii="Arial Narrow" w:hAnsi="Arial Narrow" w:cs="Calibri"/>
                <w:b/>
                <w:bCs/>
                <w:color w:val="000000" w:themeColor="text1"/>
                <w:sz w:val="16"/>
                <w:szCs w:val="16"/>
              </w:rPr>
            </w:pPr>
            <w:r w:rsidRPr="00D4035E">
              <w:rPr>
                <w:rFonts w:ascii="Arial Narrow" w:hAnsi="Arial Narrow" w:cs="Calibri"/>
                <w:b/>
                <w:bCs/>
                <w:color w:val="000000" w:themeColor="text1"/>
                <w:sz w:val="16"/>
                <w:szCs w:val="16"/>
              </w:rPr>
              <w:t>(</w:t>
            </w:r>
            <w:r w:rsidR="0036476E" w:rsidRPr="00D4035E">
              <w:rPr>
                <w:rFonts w:ascii="Arial Narrow" w:hAnsi="Arial Narrow" w:cs="Calibri"/>
                <w:b/>
                <w:bCs/>
                <w:color w:val="000000" w:themeColor="text1"/>
                <w:sz w:val="16"/>
                <w:szCs w:val="16"/>
              </w:rPr>
              <w:t>44,694,24</w:t>
            </w:r>
            <w:r w:rsidR="00E83763" w:rsidRPr="00D4035E">
              <w:rPr>
                <w:rFonts w:ascii="Arial Narrow" w:hAnsi="Arial Narrow" w:cs="Calibri"/>
                <w:b/>
                <w:bCs/>
                <w:color w:val="000000" w:themeColor="text1"/>
                <w:sz w:val="16"/>
                <w:szCs w:val="16"/>
              </w:rPr>
              <w:t>3</w:t>
            </w:r>
            <w:r w:rsidRPr="00D4035E">
              <w:rPr>
                <w:rFonts w:ascii="Arial Narrow" w:hAnsi="Arial Narrow" w:cs="Calibri"/>
                <w:b/>
                <w:bCs/>
                <w:color w:val="000000" w:themeColor="text1"/>
                <w:sz w:val="16"/>
                <w:szCs w:val="16"/>
              </w:rPr>
              <w:t>)</w:t>
            </w:r>
          </w:p>
        </w:tc>
        <w:tc>
          <w:tcPr>
            <w:tcW w:w="1080" w:type="dxa"/>
            <w:gridSpan w:val="2"/>
            <w:tcBorders>
              <w:top w:val="single" w:sz="4" w:space="0" w:color="auto"/>
              <w:left w:val="nil"/>
              <w:bottom w:val="single" w:sz="4" w:space="0" w:color="auto"/>
              <w:right w:val="nil"/>
            </w:tcBorders>
            <w:shd w:val="clear" w:color="auto" w:fill="auto"/>
            <w:noWrap/>
            <w:vAlign w:val="bottom"/>
          </w:tcPr>
          <w:p w14:paraId="2A931B87" w14:textId="1E59152C" w:rsidR="00A655C1" w:rsidRPr="00D4035E" w:rsidRDefault="00D963B4" w:rsidP="001F57D4">
            <w:pPr>
              <w:ind w:left="0"/>
              <w:jc w:val="right"/>
              <w:rPr>
                <w:rFonts w:ascii="Arial Narrow" w:hAnsi="Arial Narrow" w:cs="Calibri"/>
                <w:b/>
                <w:bCs/>
                <w:color w:val="000000" w:themeColor="text1"/>
                <w:sz w:val="16"/>
                <w:szCs w:val="16"/>
              </w:rPr>
            </w:pPr>
            <w:r w:rsidRPr="00D4035E">
              <w:rPr>
                <w:rFonts w:ascii="Arial Narrow" w:hAnsi="Arial Narrow" w:cs="Calibri"/>
                <w:b/>
                <w:bCs/>
                <w:color w:val="000000" w:themeColor="text1"/>
                <w:sz w:val="16"/>
                <w:szCs w:val="16"/>
              </w:rPr>
              <w:t>(</w:t>
            </w:r>
            <w:r w:rsidR="0036476E" w:rsidRPr="00D4035E">
              <w:rPr>
                <w:rFonts w:ascii="Arial Narrow" w:hAnsi="Arial Narrow" w:cs="Calibri"/>
                <w:b/>
                <w:bCs/>
                <w:color w:val="000000" w:themeColor="text1"/>
                <w:sz w:val="16"/>
                <w:szCs w:val="16"/>
              </w:rPr>
              <w:t>165,562,</w:t>
            </w:r>
            <w:r w:rsidR="001F57D4" w:rsidRPr="00D4035E">
              <w:rPr>
                <w:rFonts w:ascii="Arial Narrow" w:hAnsi="Arial Narrow" w:cs="Calibri"/>
                <w:b/>
                <w:bCs/>
                <w:color w:val="000000" w:themeColor="text1"/>
                <w:sz w:val="16"/>
                <w:szCs w:val="16"/>
              </w:rPr>
              <w:t>91</w:t>
            </w:r>
            <w:r w:rsidR="00E83763" w:rsidRPr="00D4035E">
              <w:rPr>
                <w:rFonts w:ascii="Arial Narrow" w:hAnsi="Arial Narrow" w:cs="Calibri"/>
                <w:b/>
                <w:bCs/>
                <w:color w:val="000000" w:themeColor="text1"/>
                <w:sz w:val="16"/>
                <w:szCs w:val="16"/>
              </w:rPr>
              <w:t>2</w:t>
            </w:r>
            <w:r w:rsidRPr="00D4035E">
              <w:rPr>
                <w:rFonts w:ascii="Arial Narrow" w:hAnsi="Arial Narrow" w:cs="Calibri"/>
                <w:b/>
                <w:bCs/>
                <w:color w:val="000000" w:themeColor="text1"/>
                <w:sz w:val="16"/>
                <w:szCs w:val="16"/>
              </w:rPr>
              <w:t>)</w:t>
            </w:r>
          </w:p>
        </w:tc>
        <w:tc>
          <w:tcPr>
            <w:tcW w:w="1080" w:type="dxa"/>
            <w:gridSpan w:val="2"/>
            <w:tcBorders>
              <w:top w:val="single" w:sz="4" w:space="0" w:color="auto"/>
              <w:left w:val="nil"/>
              <w:bottom w:val="single" w:sz="4" w:space="0" w:color="auto"/>
              <w:right w:val="nil"/>
            </w:tcBorders>
            <w:shd w:val="clear" w:color="auto" w:fill="auto"/>
            <w:noWrap/>
            <w:vAlign w:val="bottom"/>
          </w:tcPr>
          <w:p w14:paraId="6893E24E" w14:textId="0CF9640F" w:rsidR="00A655C1" w:rsidRPr="00D4035E" w:rsidRDefault="00207B93" w:rsidP="00F3475E">
            <w:pPr>
              <w:ind w:left="0"/>
              <w:jc w:val="right"/>
              <w:rPr>
                <w:rFonts w:ascii="Arial Narrow" w:hAnsi="Arial Narrow" w:cs="Calibri"/>
                <w:b/>
                <w:bCs/>
                <w:color w:val="000000" w:themeColor="text1"/>
                <w:sz w:val="16"/>
                <w:szCs w:val="16"/>
              </w:rPr>
            </w:pPr>
            <w:r w:rsidRPr="00D4035E">
              <w:rPr>
                <w:rFonts w:ascii="Arial Narrow" w:hAnsi="Arial Narrow" w:cs="Calibri"/>
                <w:b/>
                <w:bCs/>
                <w:color w:val="000000" w:themeColor="text1"/>
                <w:sz w:val="16"/>
                <w:szCs w:val="16"/>
              </w:rPr>
              <w:t>-</w:t>
            </w:r>
          </w:p>
        </w:tc>
        <w:tc>
          <w:tcPr>
            <w:tcW w:w="1170" w:type="dxa"/>
            <w:gridSpan w:val="2"/>
            <w:tcBorders>
              <w:top w:val="single" w:sz="4" w:space="0" w:color="auto"/>
              <w:left w:val="nil"/>
              <w:bottom w:val="single" w:sz="4" w:space="0" w:color="auto"/>
              <w:right w:val="nil"/>
            </w:tcBorders>
            <w:shd w:val="clear" w:color="auto" w:fill="auto"/>
            <w:noWrap/>
            <w:vAlign w:val="bottom"/>
          </w:tcPr>
          <w:p w14:paraId="0C5DC97E" w14:textId="26CDEEB9" w:rsidR="00A655C1" w:rsidRPr="00D4035E" w:rsidRDefault="000E3C84" w:rsidP="00D4035E">
            <w:pPr>
              <w:ind w:left="0" w:right="-108"/>
              <w:jc w:val="right"/>
              <w:rPr>
                <w:rFonts w:ascii="Arial Narrow" w:hAnsi="Arial Narrow" w:cs="Calibri"/>
                <w:b/>
                <w:bCs/>
                <w:color w:val="000000" w:themeColor="text1"/>
                <w:sz w:val="16"/>
                <w:szCs w:val="16"/>
              </w:rPr>
            </w:pPr>
            <w:r w:rsidRPr="00D4035E">
              <w:rPr>
                <w:rFonts w:ascii="Arial Narrow" w:hAnsi="Arial Narrow" w:cs="Calibri"/>
                <w:b/>
                <w:bCs/>
                <w:color w:val="000000" w:themeColor="text1"/>
                <w:sz w:val="16"/>
                <w:szCs w:val="16"/>
              </w:rPr>
              <w:t>(</w:t>
            </w:r>
            <w:r w:rsidR="00207B93" w:rsidRPr="00D4035E">
              <w:rPr>
                <w:rFonts w:ascii="Arial Narrow" w:hAnsi="Arial Narrow" w:cs="Calibri"/>
                <w:b/>
                <w:bCs/>
                <w:color w:val="000000" w:themeColor="text1"/>
                <w:sz w:val="16"/>
                <w:szCs w:val="16"/>
              </w:rPr>
              <w:t>1,</w:t>
            </w:r>
            <w:r w:rsidR="00C85031" w:rsidRPr="00D4035E">
              <w:rPr>
                <w:rFonts w:ascii="Arial Narrow" w:hAnsi="Arial Narrow" w:cs="Calibri"/>
                <w:b/>
                <w:bCs/>
                <w:color w:val="000000" w:themeColor="text1"/>
                <w:sz w:val="16"/>
                <w:szCs w:val="16"/>
              </w:rPr>
              <w:t>375,434,299</w:t>
            </w:r>
            <w:r w:rsidRPr="00D4035E">
              <w:rPr>
                <w:rFonts w:ascii="Arial Narrow" w:hAnsi="Arial Narrow" w:cs="Calibri"/>
                <w:b/>
                <w:bCs/>
                <w:color w:val="000000" w:themeColor="text1"/>
                <w:sz w:val="16"/>
                <w:szCs w:val="16"/>
              </w:rPr>
              <w:t>)</w:t>
            </w:r>
          </w:p>
        </w:tc>
      </w:tr>
      <w:tr w:rsidR="00997F75" w:rsidRPr="00D4035E" w14:paraId="3CC9CD8E" w14:textId="77777777" w:rsidTr="00D4035E">
        <w:trPr>
          <w:trHeight w:val="302"/>
        </w:trPr>
        <w:tc>
          <w:tcPr>
            <w:tcW w:w="1350" w:type="dxa"/>
            <w:tcBorders>
              <w:top w:val="nil"/>
              <w:left w:val="nil"/>
              <w:bottom w:val="double" w:sz="6" w:space="0" w:color="auto"/>
              <w:right w:val="nil"/>
            </w:tcBorders>
            <w:shd w:val="clear" w:color="auto" w:fill="auto"/>
            <w:noWrap/>
            <w:vAlign w:val="center"/>
            <w:hideMark/>
          </w:tcPr>
          <w:p w14:paraId="111CAAC2" w14:textId="6D84C31F" w:rsidR="00A655C1" w:rsidRPr="00D4035E" w:rsidRDefault="00A655C1" w:rsidP="00D4035E">
            <w:pPr>
              <w:ind w:left="-105" w:right="-29"/>
              <w:rPr>
                <w:rFonts w:ascii="Arial Narrow" w:hAnsi="Arial Narrow" w:cs="Calibri"/>
                <w:b/>
                <w:bCs/>
                <w:color w:val="000000" w:themeColor="text1"/>
                <w:sz w:val="16"/>
                <w:szCs w:val="16"/>
              </w:rPr>
            </w:pPr>
            <w:r w:rsidRPr="00D4035E">
              <w:rPr>
                <w:rFonts w:ascii="Arial Narrow" w:hAnsi="Arial Narrow" w:cs="Calibri"/>
                <w:b/>
                <w:bCs/>
                <w:color w:val="000000" w:themeColor="text1"/>
                <w:sz w:val="16"/>
                <w:szCs w:val="16"/>
              </w:rPr>
              <w:t xml:space="preserve">Carrying Amount </w:t>
            </w:r>
            <w:r w:rsidR="00D4035E">
              <w:rPr>
                <w:rFonts w:ascii="Arial Narrow" w:hAnsi="Arial Narrow" w:cs="Calibri"/>
                <w:b/>
                <w:bCs/>
                <w:color w:val="000000" w:themeColor="text1"/>
                <w:sz w:val="16"/>
                <w:szCs w:val="16"/>
              </w:rPr>
              <w:t>–</w:t>
            </w:r>
            <w:r w:rsidRPr="00D4035E">
              <w:rPr>
                <w:rFonts w:ascii="Arial Narrow" w:hAnsi="Arial Narrow" w:cs="Calibri"/>
                <w:b/>
                <w:bCs/>
                <w:color w:val="000000" w:themeColor="text1"/>
                <w:sz w:val="16"/>
                <w:szCs w:val="16"/>
              </w:rPr>
              <w:t xml:space="preserve"> </w:t>
            </w:r>
            <w:r w:rsidR="00D4035E">
              <w:rPr>
                <w:rFonts w:ascii="Arial Narrow" w:hAnsi="Arial Narrow" w:cs="Calibri"/>
                <w:b/>
                <w:bCs/>
                <w:color w:val="000000" w:themeColor="text1"/>
                <w:sz w:val="16"/>
                <w:szCs w:val="16"/>
              </w:rPr>
              <w:t>December 31, 2022</w:t>
            </w:r>
          </w:p>
        </w:tc>
        <w:tc>
          <w:tcPr>
            <w:tcW w:w="1170" w:type="dxa"/>
            <w:tcBorders>
              <w:top w:val="nil"/>
              <w:left w:val="nil"/>
              <w:bottom w:val="double" w:sz="6" w:space="0" w:color="auto"/>
              <w:right w:val="nil"/>
            </w:tcBorders>
            <w:shd w:val="clear" w:color="auto" w:fill="auto"/>
            <w:noWrap/>
            <w:vAlign w:val="bottom"/>
            <w:hideMark/>
          </w:tcPr>
          <w:p w14:paraId="13CF9D76" w14:textId="77777777" w:rsidR="00A655C1" w:rsidRPr="00D4035E" w:rsidRDefault="00A655C1" w:rsidP="00F3475E">
            <w:pPr>
              <w:ind w:left="0"/>
              <w:jc w:val="right"/>
              <w:rPr>
                <w:rFonts w:ascii="Arial Narrow" w:hAnsi="Arial Narrow" w:cs="Calibri"/>
                <w:b/>
                <w:bCs/>
                <w:color w:val="000000" w:themeColor="text1"/>
                <w:sz w:val="16"/>
                <w:szCs w:val="16"/>
              </w:rPr>
            </w:pPr>
            <w:r w:rsidRPr="00D4035E">
              <w:rPr>
                <w:rFonts w:ascii="Arial Narrow" w:hAnsi="Arial Narrow" w:cs="Calibri"/>
                <w:b/>
                <w:bCs/>
                <w:color w:val="000000" w:themeColor="text1"/>
                <w:sz w:val="16"/>
                <w:szCs w:val="16"/>
              </w:rPr>
              <w:t xml:space="preserve">  484,398,000 </w:t>
            </w:r>
          </w:p>
        </w:tc>
        <w:tc>
          <w:tcPr>
            <w:tcW w:w="1170" w:type="dxa"/>
            <w:tcBorders>
              <w:top w:val="nil"/>
              <w:left w:val="nil"/>
              <w:bottom w:val="double" w:sz="6" w:space="0" w:color="auto"/>
              <w:right w:val="nil"/>
            </w:tcBorders>
            <w:shd w:val="clear" w:color="auto" w:fill="auto"/>
            <w:noWrap/>
            <w:vAlign w:val="bottom"/>
            <w:hideMark/>
          </w:tcPr>
          <w:p w14:paraId="1ED86833" w14:textId="38EA5368" w:rsidR="00A655C1" w:rsidRPr="00D4035E" w:rsidRDefault="00C85031" w:rsidP="001F57D4">
            <w:pPr>
              <w:ind w:left="0"/>
              <w:jc w:val="right"/>
              <w:rPr>
                <w:rFonts w:ascii="Arial Narrow" w:hAnsi="Arial Narrow" w:cs="Calibri"/>
                <w:b/>
                <w:bCs/>
                <w:color w:val="000000" w:themeColor="text1"/>
                <w:sz w:val="16"/>
                <w:szCs w:val="16"/>
              </w:rPr>
            </w:pPr>
            <w:r w:rsidRPr="00D4035E">
              <w:rPr>
                <w:rFonts w:ascii="Arial Narrow" w:hAnsi="Arial Narrow" w:cs="Calibri"/>
                <w:b/>
                <w:bCs/>
                <w:color w:val="000000" w:themeColor="text1"/>
                <w:sz w:val="16"/>
                <w:szCs w:val="16"/>
              </w:rPr>
              <w:t>5,355,485,217</w:t>
            </w:r>
          </w:p>
        </w:tc>
        <w:tc>
          <w:tcPr>
            <w:tcW w:w="1080" w:type="dxa"/>
            <w:tcBorders>
              <w:top w:val="nil"/>
              <w:left w:val="nil"/>
              <w:bottom w:val="double" w:sz="6" w:space="0" w:color="auto"/>
              <w:right w:val="nil"/>
            </w:tcBorders>
            <w:shd w:val="clear" w:color="auto" w:fill="auto"/>
            <w:noWrap/>
            <w:vAlign w:val="bottom"/>
            <w:hideMark/>
          </w:tcPr>
          <w:p w14:paraId="6F222612" w14:textId="604BAB04" w:rsidR="00A655C1" w:rsidRPr="00D4035E" w:rsidRDefault="00AB4767" w:rsidP="00997F75">
            <w:pPr>
              <w:ind w:left="0" w:right="-21"/>
              <w:jc w:val="right"/>
              <w:rPr>
                <w:rFonts w:ascii="Arial Narrow" w:hAnsi="Arial Narrow" w:cs="Calibri"/>
                <w:b/>
                <w:bCs/>
                <w:color w:val="000000" w:themeColor="text1"/>
                <w:sz w:val="16"/>
                <w:szCs w:val="16"/>
              </w:rPr>
            </w:pPr>
            <w:r w:rsidRPr="00D4035E">
              <w:rPr>
                <w:rFonts w:ascii="Arial Narrow" w:hAnsi="Arial Narrow" w:cs="Calibri"/>
                <w:b/>
                <w:bCs/>
                <w:color w:val="000000" w:themeColor="text1"/>
                <w:sz w:val="16"/>
                <w:szCs w:val="16"/>
              </w:rPr>
              <w:t>332,767,356</w:t>
            </w:r>
          </w:p>
        </w:tc>
        <w:tc>
          <w:tcPr>
            <w:tcW w:w="990" w:type="dxa"/>
            <w:gridSpan w:val="2"/>
            <w:tcBorders>
              <w:top w:val="nil"/>
              <w:left w:val="nil"/>
              <w:bottom w:val="double" w:sz="6" w:space="0" w:color="auto"/>
              <w:right w:val="nil"/>
            </w:tcBorders>
            <w:shd w:val="clear" w:color="auto" w:fill="auto"/>
            <w:noWrap/>
            <w:vAlign w:val="bottom"/>
            <w:hideMark/>
          </w:tcPr>
          <w:p w14:paraId="0C1B6D90" w14:textId="2271D55C" w:rsidR="00A655C1" w:rsidRPr="00D4035E" w:rsidRDefault="00AB4767" w:rsidP="002C765B">
            <w:pPr>
              <w:ind w:left="0"/>
              <w:jc w:val="right"/>
              <w:rPr>
                <w:rFonts w:ascii="Arial Narrow" w:hAnsi="Arial Narrow" w:cs="Calibri"/>
                <w:b/>
                <w:bCs/>
                <w:color w:val="000000" w:themeColor="text1"/>
                <w:sz w:val="16"/>
                <w:szCs w:val="16"/>
              </w:rPr>
            </w:pPr>
            <w:r w:rsidRPr="00D4035E">
              <w:rPr>
                <w:rFonts w:ascii="Arial Narrow" w:hAnsi="Arial Narrow" w:cs="Calibri"/>
                <w:b/>
                <w:bCs/>
                <w:color w:val="000000" w:themeColor="text1"/>
                <w:sz w:val="16"/>
                <w:szCs w:val="16"/>
              </w:rPr>
              <w:t>48,416,</w:t>
            </w:r>
            <w:r w:rsidR="001F57D4" w:rsidRPr="00D4035E">
              <w:rPr>
                <w:rFonts w:ascii="Arial Narrow" w:hAnsi="Arial Narrow" w:cs="Calibri"/>
                <w:b/>
                <w:bCs/>
                <w:color w:val="000000" w:themeColor="text1"/>
                <w:sz w:val="16"/>
                <w:szCs w:val="16"/>
              </w:rPr>
              <w:t>29</w:t>
            </w:r>
            <w:r w:rsidR="00E34351" w:rsidRPr="00D4035E">
              <w:rPr>
                <w:rFonts w:ascii="Arial Narrow" w:hAnsi="Arial Narrow" w:cs="Calibri"/>
                <w:b/>
                <w:bCs/>
                <w:color w:val="000000" w:themeColor="text1"/>
                <w:sz w:val="16"/>
                <w:szCs w:val="16"/>
              </w:rPr>
              <w:t>6</w:t>
            </w:r>
          </w:p>
        </w:tc>
        <w:tc>
          <w:tcPr>
            <w:tcW w:w="1080" w:type="dxa"/>
            <w:gridSpan w:val="2"/>
            <w:tcBorders>
              <w:top w:val="nil"/>
              <w:left w:val="nil"/>
              <w:bottom w:val="double" w:sz="6" w:space="0" w:color="auto"/>
              <w:right w:val="nil"/>
            </w:tcBorders>
            <w:shd w:val="clear" w:color="auto" w:fill="auto"/>
            <w:noWrap/>
            <w:vAlign w:val="bottom"/>
            <w:hideMark/>
          </w:tcPr>
          <w:p w14:paraId="1346EBE1" w14:textId="04745452" w:rsidR="00A655C1" w:rsidRPr="00D4035E" w:rsidRDefault="00AB4767" w:rsidP="00E34351">
            <w:pPr>
              <w:ind w:left="0"/>
              <w:jc w:val="right"/>
              <w:rPr>
                <w:rFonts w:ascii="Arial Narrow" w:hAnsi="Arial Narrow" w:cs="Calibri"/>
                <w:b/>
                <w:bCs/>
                <w:color w:val="000000" w:themeColor="text1"/>
                <w:sz w:val="16"/>
                <w:szCs w:val="16"/>
              </w:rPr>
            </w:pPr>
            <w:r w:rsidRPr="00D4035E">
              <w:rPr>
                <w:rFonts w:ascii="Arial Narrow" w:hAnsi="Arial Narrow" w:cs="Calibri"/>
                <w:b/>
                <w:bCs/>
                <w:color w:val="000000" w:themeColor="text1"/>
                <w:sz w:val="16"/>
                <w:szCs w:val="16"/>
              </w:rPr>
              <w:t>121,951,</w:t>
            </w:r>
            <w:r w:rsidR="001F57D4" w:rsidRPr="00D4035E">
              <w:rPr>
                <w:rFonts w:ascii="Arial Narrow" w:hAnsi="Arial Narrow" w:cs="Calibri"/>
                <w:b/>
                <w:bCs/>
                <w:color w:val="000000" w:themeColor="text1"/>
                <w:sz w:val="16"/>
                <w:szCs w:val="16"/>
              </w:rPr>
              <w:t>01</w:t>
            </w:r>
            <w:r w:rsidR="00E34351" w:rsidRPr="00D4035E">
              <w:rPr>
                <w:rFonts w:ascii="Arial Narrow" w:hAnsi="Arial Narrow" w:cs="Calibri"/>
                <w:b/>
                <w:bCs/>
                <w:color w:val="000000" w:themeColor="text1"/>
                <w:sz w:val="16"/>
                <w:szCs w:val="16"/>
              </w:rPr>
              <w:t>0</w:t>
            </w:r>
          </w:p>
        </w:tc>
        <w:tc>
          <w:tcPr>
            <w:tcW w:w="1080" w:type="dxa"/>
            <w:gridSpan w:val="2"/>
            <w:tcBorders>
              <w:top w:val="nil"/>
              <w:left w:val="nil"/>
              <w:bottom w:val="double" w:sz="6" w:space="0" w:color="auto"/>
              <w:right w:val="nil"/>
            </w:tcBorders>
            <w:shd w:val="clear" w:color="auto" w:fill="auto"/>
            <w:noWrap/>
            <w:vAlign w:val="bottom"/>
            <w:hideMark/>
          </w:tcPr>
          <w:p w14:paraId="22D3E3EB" w14:textId="102F1823" w:rsidR="00A655C1" w:rsidRPr="00D4035E" w:rsidRDefault="00D963B4" w:rsidP="00F3475E">
            <w:pPr>
              <w:ind w:left="0"/>
              <w:jc w:val="right"/>
              <w:rPr>
                <w:rFonts w:ascii="Arial Narrow" w:hAnsi="Arial Narrow" w:cs="Calibri"/>
                <w:b/>
                <w:bCs/>
                <w:color w:val="000000" w:themeColor="text1"/>
                <w:sz w:val="16"/>
                <w:szCs w:val="16"/>
              </w:rPr>
            </w:pPr>
            <w:r w:rsidRPr="00D4035E">
              <w:rPr>
                <w:rFonts w:ascii="Arial Narrow" w:hAnsi="Arial Narrow" w:cs="Calibri"/>
                <w:b/>
                <w:bCs/>
                <w:color w:val="000000" w:themeColor="text1"/>
                <w:sz w:val="16"/>
                <w:szCs w:val="16"/>
              </w:rPr>
              <w:t>-</w:t>
            </w:r>
          </w:p>
        </w:tc>
        <w:tc>
          <w:tcPr>
            <w:tcW w:w="1170" w:type="dxa"/>
            <w:gridSpan w:val="2"/>
            <w:tcBorders>
              <w:top w:val="nil"/>
              <w:left w:val="nil"/>
              <w:bottom w:val="double" w:sz="6" w:space="0" w:color="auto"/>
              <w:right w:val="nil"/>
            </w:tcBorders>
            <w:shd w:val="clear" w:color="auto" w:fill="auto"/>
            <w:noWrap/>
            <w:vAlign w:val="bottom"/>
            <w:hideMark/>
          </w:tcPr>
          <w:p w14:paraId="35DB654B" w14:textId="61E57AE0" w:rsidR="00A655C1" w:rsidRPr="00D4035E" w:rsidRDefault="00C85031" w:rsidP="00D4035E">
            <w:pPr>
              <w:ind w:left="0" w:right="-108"/>
              <w:jc w:val="right"/>
              <w:rPr>
                <w:rFonts w:ascii="Arial Narrow" w:hAnsi="Arial Narrow" w:cs="Calibri"/>
                <w:b/>
                <w:bCs/>
                <w:color w:val="000000" w:themeColor="text1"/>
                <w:sz w:val="16"/>
                <w:szCs w:val="16"/>
              </w:rPr>
            </w:pPr>
            <w:r w:rsidRPr="00D4035E">
              <w:rPr>
                <w:rFonts w:ascii="Arial Narrow" w:hAnsi="Arial Narrow" w:cs="Calibri"/>
                <w:b/>
                <w:bCs/>
                <w:color w:val="000000" w:themeColor="text1"/>
                <w:sz w:val="16"/>
                <w:szCs w:val="16"/>
              </w:rPr>
              <w:t>6,343,017,879</w:t>
            </w:r>
          </w:p>
        </w:tc>
      </w:tr>
      <w:tr w:rsidR="00997F75" w:rsidRPr="00D4035E" w14:paraId="39AA0FA6" w14:textId="77777777" w:rsidTr="00D4035E">
        <w:trPr>
          <w:trHeight w:val="302"/>
        </w:trPr>
        <w:tc>
          <w:tcPr>
            <w:tcW w:w="1350" w:type="dxa"/>
            <w:tcBorders>
              <w:top w:val="double" w:sz="6" w:space="0" w:color="auto"/>
              <w:left w:val="nil"/>
              <w:right w:val="nil"/>
            </w:tcBorders>
            <w:shd w:val="clear" w:color="auto" w:fill="auto"/>
            <w:noWrap/>
            <w:vAlign w:val="center"/>
          </w:tcPr>
          <w:p w14:paraId="167CBDDA" w14:textId="77777777" w:rsidR="00A655C1" w:rsidRPr="00D4035E" w:rsidRDefault="00A655C1" w:rsidP="00F3475E">
            <w:pPr>
              <w:ind w:left="-105"/>
              <w:rPr>
                <w:rFonts w:ascii="Arial Narrow" w:hAnsi="Arial Narrow" w:cs="Calibri"/>
                <w:b/>
                <w:bCs/>
                <w:color w:val="000000" w:themeColor="text1"/>
                <w:sz w:val="16"/>
                <w:szCs w:val="16"/>
              </w:rPr>
            </w:pPr>
          </w:p>
        </w:tc>
        <w:tc>
          <w:tcPr>
            <w:tcW w:w="1170" w:type="dxa"/>
            <w:tcBorders>
              <w:top w:val="double" w:sz="6" w:space="0" w:color="auto"/>
              <w:left w:val="nil"/>
              <w:right w:val="nil"/>
            </w:tcBorders>
            <w:shd w:val="clear" w:color="auto" w:fill="auto"/>
            <w:noWrap/>
            <w:vAlign w:val="bottom"/>
          </w:tcPr>
          <w:p w14:paraId="4A8C1D2D" w14:textId="77777777" w:rsidR="00A655C1" w:rsidRPr="00D4035E" w:rsidRDefault="00A655C1" w:rsidP="00F3475E">
            <w:pPr>
              <w:ind w:left="0"/>
              <w:jc w:val="right"/>
              <w:rPr>
                <w:rFonts w:ascii="Arial Narrow" w:hAnsi="Arial Narrow" w:cs="Calibri"/>
                <w:b/>
                <w:bCs/>
                <w:color w:val="000000" w:themeColor="text1"/>
                <w:sz w:val="16"/>
                <w:szCs w:val="16"/>
              </w:rPr>
            </w:pPr>
          </w:p>
        </w:tc>
        <w:tc>
          <w:tcPr>
            <w:tcW w:w="1170" w:type="dxa"/>
            <w:tcBorders>
              <w:top w:val="double" w:sz="6" w:space="0" w:color="auto"/>
              <w:left w:val="nil"/>
              <w:right w:val="nil"/>
            </w:tcBorders>
            <w:shd w:val="clear" w:color="auto" w:fill="auto"/>
            <w:noWrap/>
            <w:vAlign w:val="bottom"/>
          </w:tcPr>
          <w:p w14:paraId="7C481E09" w14:textId="77777777" w:rsidR="00A655C1" w:rsidRPr="00D4035E" w:rsidRDefault="00A655C1" w:rsidP="00F3475E">
            <w:pPr>
              <w:ind w:left="0"/>
              <w:jc w:val="right"/>
              <w:rPr>
                <w:rFonts w:ascii="Arial Narrow" w:hAnsi="Arial Narrow" w:cs="Calibri"/>
                <w:b/>
                <w:bCs/>
                <w:color w:val="000000" w:themeColor="text1"/>
                <w:sz w:val="16"/>
                <w:szCs w:val="16"/>
              </w:rPr>
            </w:pPr>
          </w:p>
        </w:tc>
        <w:tc>
          <w:tcPr>
            <w:tcW w:w="1172" w:type="dxa"/>
            <w:gridSpan w:val="2"/>
            <w:tcBorders>
              <w:top w:val="double" w:sz="6" w:space="0" w:color="auto"/>
              <w:left w:val="nil"/>
              <w:right w:val="nil"/>
            </w:tcBorders>
            <w:shd w:val="clear" w:color="auto" w:fill="auto"/>
            <w:noWrap/>
            <w:vAlign w:val="bottom"/>
          </w:tcPr>
          <w:p w14:paraId="75B5458A" w14:textId="77777777" w:rsidR="00A655C1" w:rsidRPr="00D4035E" w:rsidRDefault="00A655C1" w:rsidP="00F3475E">
            <w:pPr>
              <w:ind w:left="0"/>
              <w:jc w:val="right"/>
              <w:rPr>
                <w:rFonts w:ascii="Arial Narrow" w:hAnsi="Arial Narrow" w:cs="Calibri"/>
                <w:b/>
                <w:bCs/>
                <w:color w:val="000000" w:themeColor="text1"/>
                <w:sz w:val="16"/>
                <w:szCs w:val="16"/>
              </w:rPr>
            </w:pPr>
          </w:p>
        </w:tc>
        <w:tc>
          <w:tcPr>
            <w:tcW w:w="1060" w:type="dxa"/>
            <w:gridSpan w:val="2"/>
            <w:tcBorders>
              <w:top w:val="double" w:sz="6" w:space="0" w:color="auto"/>
              <w:left w:val="nil"/>
              <w:right w:val="nil"/>
            </w:tcBorders>
            <w:shd w:val="clear" w:color="auto" w:fill="auto"/>
            <w:noWrap/>
            <w:vAlign w:val="bottom"/>
          </w:tcPr>
          <w:p w14:paraId="4639AC27" w14:textId="77777777" w:rsidR="00A655C1" w:rsidRPr="00D4035E" w:rsidRDefault="00A655C1" w:rsidP="00F3475E">
            <w:pPr>
              <w:ind w:left="0"/>
              <w:jc w:val="right"/>
              <w:rPr>
                <w:rFonts w:ascii="Arial Narrow" w:hAnsi="Arial Narrow" w:cs="Calibri"/>
                <w:b/>
                <w:bCs/>
                <w:color w:val="000000" w:themeColor="text1"/>
                <w:sz w:val="16"/>
                <w:szCs w:val="16"/>
              </w:rPr>
            </w:pPr>
          </w:p>
        </w:tc>
        <w:tc>
          <w:tcPr>
            <w:tcW w:w="1008" w:type="dxa"/>
            <w:gridSpan w:val="2"/>
            <w:tcBorders>
              <w:top w:val="double" w:sz="6" w:space="0" w:color="auto"/>
              <w:left w:val="nil"/>
              <w:right w:val="nil"/>
            </w:tcBorders>
            <w:shd w:val="clear" w:color="auto" w:fill="auto"/>
            <w:noWrap/>
            <w:vAlign w:val="bottom"/>
          </w:tcPr>
          <w:p w14:paraId="2D8E3919" w14:textId="77777777" w:rsidR="00A655C1" w:rsidRPr="00D4035E" w:rsidRDefault="00A655C1" w:rsidP="00F3475E">
            <w:pPr>
              <w:ind w:left="0"/>
              <w:jc w:val="right"/>
              <w:rPr>
                <w:rFonts w:ascii="Arial Narrow" w:hAnsi="Arial Narrow" w:cs="Calibri"/>
                <w:b/>
                <w:bCs/>
                <w:color w:val="000000" w:themeColor="text1"/>
                <w:sz w:val="16"/>
                <w:szCs w:val="16"/>
              </w:rPr>
            </w:pPr>
          </w:p>
        </w:tc>
        <w:tc>
          <w:tcPr>
            <w:tcW w:w="1080" w:type="dxa"/>
            <w:gridSpan w:val="2"/>
            <w:tcBorders>
              <w:top w:val="double" w:sz="6" w:space="0" w:color="auto"/>
              <w:left w:val="nil"/>
              <w:right w:val="nil"/>
            </w:tcBorders>
            <w:shd w:val="clear" w:color="auto" w:fill="auto"/>
            <w:noWrap/>
            <w:vAlign w:val="bottom"/>
          </w:tcPr>
          <w:p w14:paraId="44314142" w14:textId="77777777" w:rsidR="00A655C1" w:rsidRPr="00D4035E" w:rsidRDefault="00A655C1" w:rsidP="00F3475E">
            <w:pPr>
              <w:ind w:left="0"/>
              <w:jc w:val="right"/>
              <w:rPr>
                <w:rFonts w:ascii="Arial Narrow" w:hAnsi="Arial Narrow" w:cs="Calibri"/>
                <w:b/>
                <w:bCs/>
                <w:color w:val="000000" w:themeColor="text1"/>
                <w:sz w:val="16"/>
                <w:szCs w:val="16"/>
              </w:rPr>
            </w:pPr>
          </w:p>
        </w:tc>
        <w:tc>
          <w:tcPr>
            <w:tcW w:w="1080" w:type="dxa"/>
            <w:tcBorders>
              <w:top w:val="double" w:sz="6" w:space="0" w:color="auto"/>
              <w:left w:val="nil"/>
              <w:right w:val="nil"/>
            </w:tcBorders>
            <w:shd w:val="clear" w:color="auto" w:fill="auto"/>
            <w:noWrap/>
            <w:vAlign w:val="bottom"/>
          </w:tcPr>
          <w:p w14:paraId="30A15E43" w14:textId="77777777" w:rsidR="00A655C1" w:rsidRPr="00D4035E" w:rsidRDefault="00A655C1" w:rsidP="00F3475E">
            <w:pPr>
              <w:ind w:left="0"/>
              <w:jc w:val="right"/>
              <w:rPr>
                <w:rFonts w:ascii="Arial Narrow" w:hAnsi="Arial Narrow" w:cs="Calibri"/>
                <w:b/>
                <w:bCs/>
                <w:color w:val="000000" w:themeColor="text1"/>
                <w:sz w:val="16"/>
                <w:szCs w:val="16"/>
              </w:rPr>
            </w:pPr>
          </w:p>
        </w:tc>
      </w:tr>
    </w:tbl>
    <w:p w14:paraId="0DBEFCBC" w14:textId="77777777" w:rsidR="00A655C1" w:rsidRPr="009E35ED" w:rsidRDefault="00A655C1" w:rsidP="00803F8C">
      <w:pPr>
        <w:pStyle w:val="NoSpacing"/>
        <w:ind w:left="0"/>
        <w:rPr>
          <w:rFonts w:ascii="Arial" w:hAnsi="Arial" w:cs="Arial"/>
          <w:b/>
          <w:color w:val="000000" w:themeColor="text1"/>
        </w:rPr>
      </w:pPr>
    </w:p>
    <w:p w14:paraId="37A9623A" w14:textId="3A70C665" w:rsidR="00162741" w:rsidRPr="009E35ED" w:rsidRDefault="00BC3A2C" w:rsidP="00FF441D">
      <w:pPr>
        <w:pStyle w:val="NoSpacing"/>
        <w:ind w:left="-90"/>
        <w:rPr>
          <w:rFonts w:ascii="Arial" w:hAnsi="Arial" w:cs="Arial"/>
          <w:b/>
          <w:color w:val="000000" w:themeColor="text1"/>
        </w:rPr>
      </w:pPr>
      <w:r w:rsidRPr="009E35ED">
        <w:rPr>
          <w:rFonts w:ascii="Arial" w:hAnsi="Arial" w:cs="Arial"/>
          <w:b/>
          <w:color w:val="000000" w:themeColor="text1"/>
        </w:rPr>
        <w:t>202</w:t>
      </w:r>
      <w:r w:rsidR="00D5551C" w:rsidRPr="009E35ED">
        <w:rPr>
          <w:rFonts w:ascii="Arial" w:hAnsi="Arial" w:cs="Arial"/>
          <w:b/>
          <w:color w:val="000000" w:themeColor="text1"/>
        </w:rPr>
        <w:t>2</w:t>
      </w:r>
      <w:r w:rsidR="00FF441D">
        <w:rPr>
          <w:rFonts w:ascii="Arial" w:hAnsi="Arial" w:cs="Arial"/>
          <w:b/>
          <w:color w:val="000000" w:themeColor="text1"/>
        </w:rPr>
        <w:t xml:space="preserve"> </w:t>
      </w:r>
      <w:r w:rsidR="00162741" w:rsidRPr="009E35ED">
        <w:rPr>
          <w:rFonts w:ascii="Arial" w:hAnsi="Arial" w:cs="Arial"/>
          <w:b/>
          <w:color w:val="000000" w:themeColor="text1"/>
        </w:rPr>
        <w:t>(As restated)</w:t>
      </w:r>
    </w:p>
    <w:tbl>
      <w:tblPr>
        <w:tblW w:w="9124" w:type="dxa"/>
        <w:tblInd w:w="-90" w:type="dxa"/>
        <w:tblLook w:val="04A0" w:firstRow="1" w:lastRow="0" w:firstColumn="1" w:lastColumn="0" w:noHBand="0" w:noVBand="1"/>
      </w:tblPr>
      <w:tblGrid>
        <w:gridCol w:w="1620"/>
        <w:gridCol w:w="1115"/>
        <w:gridCol w:w="1113"/>
        <w:gridCol w:w="1034"/>
        <w:gridCol w:w="961"/>
        <w:gridCol w:w="1034"/>
        <w:gridCol w:w="1033"/>
        <w:gridCol w:w="1214"/>
      </w:tblGrid>
      <w:tr w:rsidR="00997F75" w:rsidRPr="00FF441D" w14:paraId="086F776A" w14:textId="77777777" w:rsidTr="00FF441D">
        <w:trPr>
          <w:trHeight w:val="938"/>
        </w:trPr>
        <w:tc>
          <w:tcPr>
            <w:tcW w:w="1620" w:type="dxa"/>
            <w:tcBorders>
              <w:top w:val="single" w:sz="4" w:space="0" w:color="auto"/>
              <w:left w:val="nil"/>
              <w:bottom w:val="single" w:sz="4" w:space="0" w:color="auto"/>
              <w:right w:val="nil"/>
            </w:tcBorders>
            <w:shd w:val="clear" w:color="auto" w:fill="auto"/>
            <w:noWrap/>
            <w:vAlign w:val="bottom"/>
            <w:hideMark/>
          </w:tcPr>
          <w:p w14:paraId="22CDB2D2" w14:textId="77777777" w:rsidR="00D5551C" w:rsidRPr="00FF441D" w:rsidRDefault="00D5551C" w:rsidP="00AD3D41">
            <w:pPr>
              <w:ind w:left="-194"/>
              <w:jc w:val="left"/>
              <w:rPr>
                <w:rFonts w:ascii="Arial Narrow" w:hAnsi="Arial Narrow" w:cs="Calibri"/>
                <w:b/>
                <w:bCs/>
                <w:color w:val="000000" w:themeColor="text1"/>
                <w:sz w:val="16"/>
                <w:szCs w:val="16"/>
              </w:rPr>
            </w:pPr>
            <w:r w:rsidRPr="00FF441D">
              <w:rPr>
                <w:rFonts w:ascii="Arial Narrow" w:hAnsi="Arial Narrow" w:cs="Calibri"/>
                <w:b/>
                <w:bCs/>
                <w:color w:val="000000" w:themeColor="text1"/>
                <w:sz w:val="16"/>
                <w:szCs w:val="16"/>
              </w:rPr>
              <w:t>1</w:t>
            </w:r>
          </w:p>
        </w:tc>
        <w:tc>
          <w:tcPr>
            <w:tcW w:w="1115" w:type="dxa"/>
            <w:tcBorders>
              <w:top w:val="single" w:sz="4" w:space="0" w:color="auto"/>
              <w:left w:val="nil"/>
              <w:bottom w:val="single" w:sz="4" w:space="0" w:color="auto"/>
              <w:right w:val="nil"/>
            </w:tcBorders>
            <w:shd w:val="clear" w:color="auto" w:fill="auto"/>
            <w:vAlign w:val="center"/>
            <w:hideMark/>
          </w:tcPr>
          <w:p w14:paraId="4851E08E" w14:textId="77777777" w:rsidR="00D5551C" w:rsidRPr="00FF441D" w:rsidRDefault="00D5551C" w:rsidP="00AD3D41">
            <w:pPr>
              <w:ind w:left="0"/>
              <w:jc w:val="center"/>
              <w:rPr>
                <w:rFonts w:ascii="Arial Narrow" w:hAnsi="Arial Narrow" w:cs="Calibri"/>
                <w:b/>
                <w:bCs/>
                <w:color w:val="000000" w:themeColor="text1"/>
                <w:sz w:val="16"/>
                <w:szCs w:val="16"/>
              </w:rPr>
            </w:pPr>
            <w:r w:rsidRPr="00FF441D">
              <w:rPr>
                <w:rFonts w:ascii="Arial Narrow" w:hAnsi="Arial Narrow" w:cs="Calibri"/>
                <w:b/>
                <w:bCs/>
                <w:color w:val="000000" w:themeColor="text1"/>
                <w:sz w:val="16"/>
                <w:szCs w:val="16"/>
              </w:rPr>
              <w:t xml:space="preserve"> Land and Land Improvements </w:t>
            </w:r>
          </w:p>
        </w:tc>
        <w:tc>
          <w:tcPr>
            <w:tcW w:w="1113" w:type="dxa"/>
            <w:tcBorders>
              <w:top w:val="single" w:sz="4" w:space="0" w:color="auto"/>
              <w:left w:val="nil"/>
              <w:bottom w:val="single" w:sz="4" w:space="0" w:color="auto"/>
              <w:right w:val="nil"/>
            </w:tcBorders>
            <w:shd w:val="clear" w:color="auto" w:fill="auto"/>
            <w:vAlign w:val="center"/>
            <w:hideMark/>
          </w:tcPr>
          <w:p w14:paraId="08207F41" w14:textId="77777777" w:rsidR="00D5551C" w:rsidRPr="00FF441D" w:rsidRDefault="00D5551C" w:rsidP="00AD3D41">
            <w:pPr>
              <w:ind w:left="0"/>
              <w:jc w:val="center"/>
              <w:rPr>
                <w:rFonts w:ascii="Arial Narrow" w:hAnsi="Arial Narrow" w:cs="Calibri"/>
                <w:b/>
                <w:bCs/>
                <w:color w:val="000000" w:themeColor="text1"/>
                <w:sz w:val="16"/>
                <w:szCs w:val="16"/>
              </w:rPr>
            </w:pPr>
            <w:r w:rsidRPr="00FF441D">
              <w:rPr>
                <w:rFonts w:ascii="Arial Narrow" w:hAnsi="Arial Narrow" w:cs="Calibri"/>
                <w:b/>
                <w:bCs/>
                <w:color w:val="000000" w:themeColor="text1"/>
                <w:sz w:val="16"/>
                <w:szCs w:val="16"/>
              </w:rPr>
              <w:t xml:space="preserve"> Building &amp; Leasehold Improvements </w:t>
            </w:r>
          </w:p>
        </w:tc>
        <w:tc>
          <w:tcPr>
            <w:tcW w:w="1034" w:type="dxa"/>
            <w:tcBorders>
              <w:top w:val="single" w:sz="4" w:space="0" w:color="auto"/>
              <w:left w:val="nil"/>
              <w:bottom w:val="single" w:sz="4" w:space="0" w:color="auto"/>
              <w:right w:val="nil"/>
            </w:tcBorders>
            <w:shd w:val="clear" w:color="auto" w:fill="auto"/>
            <w:vAlign w:val="center"/>
            <w:hideMark/>
          </w:tcPr>
          <w:p w14:paraId="61BEA805" w14:textId="77777777" w:rsidR="00D5551C" w:rsidRPr="00FF441D" w:rsidRDefault="00D5551C" w:rsidP="00AD3D41">
            <w:pPr>
              <w:ind w:left="0"/>
              <w:jc w:val="center"/>
              <w:rPr>
                <w:rFonts w:ascii="Arial Narrow" w:hAnsi="Arial Narrow" w:cs="Calibri"/>
                <w:b/>
                <w:bCs/>
                <w:color w:val="000000" w:themeColor="text1"/>
                <w:sz w:val="16"/>
                <w:szCs w:val="16"/>
              </w:rPr>
            </w:pPr>
            <w:r w:rsidRPr="00FF441D">
              <w:rPr>
                <w:rFonts w:ascii="Arial Narrow" w:hAnsi="Arial Narrow" w:cs="Calibri"/>
                <w:b/>
                <w:bCs/>
                <w:color w:val="000000" w:themeColor="text1"/>
                <w:sz w:val="16"/>
                <w:szCs w:val="16"/>
              </w:rPr>
              <w:t xml:space="preserve"> Office Furniture, Equipment and Machineries </w:t>
            </w:r>
          </w:p>
        </w:tc>
        <w:tc>
          <w:tcPr>
            <w:tcW w:w="961" w:type="dxa"/>
            <w:tcBorders>
              <w:top w:val="single" w:sz="4" w:space="0" w:color="auto"/>
              <w:left w:val="nil"/>
              <w:bottom w:val="single" w:sz="4" w:space="0" w:color="auto"/>
              <w:right w:val="nil"/>
            </w:tcBorders>
            <w:shd w:val="clear" w:color="auto" w:fill="auto"/>
            <w:vAlign w:val="center"/>
            <w:hideMark/>
          </w:tcPr>
          <w:p w14:paraId="6A40A5A0" w14:textId="77777777" w:rsidR="00D5551C" w:rsidRPr="00FF441D" w:rsidRDefault="00D5551C" w:rsidP="00AD3D41">
            <w:pPr>
              <w:ind w:left="0"/>
              <w:jc w:val="center"/>
              <w:rPr>
                <w:rFonts w:ascii="Arial Narrow" w:hAnsi="Arial Narrow" w:cs="Calibri"/>
                <w:b/>
                <w:bCs/>
                <w:color w:val="000000" w:themeColor="text1"/>
                <w:sz w:val="16"/>
                <w:szCs w:val="16"/>
              </w:rPr>
            </w:pPr>
            <w:r w:rsidRPr="00FF441D">
              <w:rPr>
                <w:rFonts w:ascii="Arial Narrow" w:hAnsi="Arial Narrow" w:cs="Calibri"/>
                <w:b/>
                <w:bCs/>
                <w:color w:val="000000" w:themeColor="text1"/>
                <w:sz w:val="16"/>
                <w:szCs w:val="16"/>
              </w:rPr>
              <w:t xml:space="preserve"> Telecom, Equipment, IT Equipment &amp; Software </w:t>
            </w:r>
          </w:p>
        </w:tc>
        <w:tc>
          <w:tcPr>
            <w:tcW w:w="1034" w:type="dxa"/>
            <w:tcBorders>
              <w:top w:val="single" w:sz="4" w:space="0" w:color="auto"/>
              <w:left w:val="nil"/>
              <w:bottom w:val="single" w:sz="4" w:space="0" w:color="auto"/>
              <w:right w:val="nil"/>
            </w:tcBorders>
            <w:shd w:val="clear" w:color="auto" w:fill="auto"/>
            <w:vAlign w:val="center"/>
            <w:hideMark/>
          </w:tcPr>
          <w:p w14:paraId="4D1ED4D9" w14:textId="77777777" w:rsidR="00D5551C" w:rsidRPr="00FF441D" w:rsidRDefault="00D5551C" w:rsidP="00AD3D41">
            <w:pPr>
              <w:ind w:left="0"/>
              <w:jc w:val="center"/>
              <w:rPr>
                <w:rFonts w:ascii="Arial Narrow" w:hAnsi="Arial Narrow" w:cs="Calibri"/>
                <w:b/>
                <w:bCs/>
                <w:color w:val="000000" w:themeColor="text1"/>
                <w:sz w:val="16"/>
                <w:szCs w:val="16"/>
              </w:rPr>
            </w:pPr>
            <w:r w:rsidRPr="00FF441D">
              <w:rPr>
                <w:rFonts w:ascii="Arial Narrow" w:hAnsi="Arial Narrow" w:cs="Calibri"/>
                <w:b/>
                <w:bCs/>
                <w:color w:val="000000" w:themeColor="text1"/>
                <w:sz w:val="16"/>
                <w:szCs w:val="16"/>
              </w:rPr>
              <w:t xml:space="preserve"> Motor Vehicles </w:t>
            </w:r>
          </w:p>
        </w:tc>
        <w:tc>
          <w:tcPr>
            <w:tcW w:w="1033" w:type="dxa"/>
            <w:tcBorders>
              <w:top w:val="single" w:sz="4" w:space="0" w:color="auto"/>
              <w:left w:val="nil"/>
              <w:bottom w:val="single" w:sz="4" w:space="0" w:color="auto"/>
              <w:right w:val="nil"/>
            </w:tcBorders>
            <w:shd w:val="clear" w:color="auto" w:fill="auto"/>
            <w:vAlign w:val="center"/>
            <w:hideMark/>
          </w:tcPr>
          <w:p w14:paraId="32D86DFD" w14:textId="77777777" w:rsidR="00D5551C" w:rsidRPr="00FF441D" w:rsidRDefault="00D5551C" w:rsidP="00AD3D41">
            <w:pPr>
              <w:ind w:left="0"/>
              <w:jc w:val="center"/>
              <w:rPr>
                <w:rFonts w:ascii="Arial Narrow" w:hAnsi="Arial Narrow" w:cs="Calibri"/>
                <w:b/>
                <w:bCs/>
                <w:color w:val="000000" w:themeColor="text1"/>
                <w:sz w:val="16"/>
                <w:szCs w:val="16"/>
              </w:rPr>
            </w:pPr>
            <w:r w:rsidRPr="00FF441D">
              <w:rPr>
                <w:rFonts w:ascii="Arial Narrow" w:hAnsi="Arial Narrow" w:cs="Calibri"/>
                <w:b/>
                <w:bCs/>
                <w:color w:val="000000" w:themeColor="text1"/>
                <w:sz w:val="16"/>
                <w:szCs w:val="16"/>
              </w:rPr>
              <w:t xml:space="preserve"> Construction in-Progress </w:t>
            </w:r>
          </w:p>
        </w:tc>
        <w:tc>
          <w:tcPr>
            <w:tcW w:w="1214" w:type="dxa"/>
            <w:tcBorders>
              <w:top w:val="single" w:sz="4" w:space="0" w:color="auto"/>
              <w:left w:val="nil"/>
              <w:bottom w:val="single" w:sz="4" w:space="0" w:color="auto"/>
              <w:right w:val="nil"/>
            </w:tcBorders>
            <w:shd w:val="clear" w:color="auto" w:fill="auto"/>
            <w:vAlign w:val="center"/>
            <w:hideMark/>
          </w:tcPr>
          <w:p w14:paraId="34003EA1" w14:textId="77777777" w:rsidR="00D5551C" w:rsidRPr="00FF441D" w:rsidRDefault="00D5551C" w:rsidP="00AD3D41">
            <w:pPr>
              <w:ind w:left="0"/>
              <w:jc w:val="center"/>
              <w:rPr>
                <w:rFonts w:ascii="Arial Narrow" w:hAnsi="Arial Narrow" w:cs="Calibri"/>
                <w:b/>
                <w:bCs/>
                <w:color w:val="000000" w:themeColor="text1"/>
                <w:sz w:val="16"/>
                <w:szCs w:val="16"/>
              </w:rPr>
            </w:pPr>
            <w:r w:rsidRPr="00FF441D">
              <w:rPr>
                <w:rFonts w:ascii="Arial Narrow" w:hAnsi="Arial Narrow" w:cs="Calibri"/>
                <w:b/>
                <w:bCs/>
                <w:color w:val="000000" w:themeColor="text1"/>
                <w:sz w:val="16"/>
                <w:szCs w:val="16"/>
              </w:rPr>
              <w:t xml:space="preserve"> Total </w:t>
            </w:r>
          </w:p>
        </w:tc>
      </w:tr>
      <w:tr w:rsidR="00FF441D" w:rsidRPr="00FF441D" w14:paraId="1BA98A98" w14:textId="77777777" w:rsidTr="00FF441D">
        <w:trPr>
          <w:trHeight w:val="117"/>
        </w:trPr>
        <w:tc>
          <w:tcPr>
            <w:tcW w:w="1620" w:type="dxa"/>
            <w:tcBorders>
              <w:top w:val="nil"/>
              <w:left w:val="nil"/>
              <w:bottom w:val="nil"/>
              <w:right w:val="nil"/>
            </w:tcBorders>
            <w:shd w:val="clear" w:color="auto" w:fill="auto"/>
            <w:noWrap/>
            <w:vAlign w:val="bottom"/>
          </w:tcPr>
          <w:p w14:paraId="2F8CE695" w14:textId="5236A7C8" w:rsidR="00FF441D" w:rsidRPr="00FF441D" w:rsidRDefault="00FF441D" w:rsidP="00AD3D41">
            <w:pPr>
              <w:ind w:left="-105"/>
              <w:rPr>
                <w:rFonts w:ascii="Arial Narrow" w:hAnsi="Arial Narrow" w:cs="Calibri"/>
                <w:b/>
                <w:color w:val="000000" w:themeColor="text1"/>
                <w:sz w:val="16"/>
                <w:szCs w:val="16"/>
              </w:rPr>
            </w:pPr>
            <w:r w:rsidRPr="00FF441D">
              <w:rPr>
                <w:rFonts w:ascii="Arial Narrow" w:hAnsi="Arial Narrow" w:cs="Calibri"/>
                <w:b/>
                <w:color w:val="000000" w:themeColor="text1"/>
                <w:sz w:val="16"/>
                <w:szCs w:val="16"/>
              </w:rPr>
              <w:t>Costs</w:t>
            </w:r>
          </w:p>
        </w:tc>
        <w:tc>
          <w:tcPr>
            <w:tcW w:w="1115" w:type="dxa"/>
            <w:tcBorders>
              <w:top w:val="nil"/>
              <w:left w:val="nil"/>
              <w:bottom w:val="nil"/>
              <w:right w:val="nil"/>
            </w:tcBorders>
            <w:shd w:val="clear" w:color="auto" w:fill="auto"/>
            <w:noWrap/>
            <w:vAlign w:val="bottom"/>
          </w:tcPr>
          <w:p w14:paraId="4B76AE7B" w14:textId="77777777" w:rsidR="00FF441D" w:rsidRPr="00FF441D" w:rsidRDefault="00FF441D" w:rsidP="00AD3D41">
            <w:pPr>
              <w:ind w:left="0"/>
              <w:jc w:val="right"/>
              <w:rPr>
                <w:rFonts w:ascii="Arial Narrow" w:hAnsi="Arial Narrow" w:cs="Calibri"/>
                <w:color w:val="000000" w:themeColor="text1"/>
                <w:sz w:val="16"/>
                <w:szCs w:val="16"/>
              </w:rPr>
            </w:pPr>
          </w:p>
        </w:tc>
        <w:tc>
          <w:tcPr>
            <w:tcW w:w="1113" w:type="dxa"/>
            <w:tcBorders>
              <w:top w:val="nil"/>
              <w:left w:val="nil"/>
              <w:bottom w:val="nil"/>
              <w:right w:val="nil"/>
            </w:tcBorders>
            <w:shd w:val="clear" w:color="auto" w:fill="auto"/>
            <w:noWrap/>
            <w:vAlign w:val="bottom"/>
          </w:tcPr>
          <w:p w14:paraId="2310820C" w14:textId="77777777" w:rsidR="00FF441D" w:rsidRPr="00FF441D" w:rsidRDefault="00FF441D" w:rsidP="00AD3D41">
            <w:pPr>
              <w:ind w:left="0"/>
              <w:jc w:val="right"/>
              <w:rPr>
                <w:rFonts w:ascii="Arial Narrow" w:hAnsi="Arial Narrow" w:cs="Calibri"/>
                <w:color w:val="000000" w:themeColor="text1"/>
                <w:sz w:val="16"/>
                <w:szCs w:val="16"/>
              </w:rPr>
            </w:pPr>
          </w:p>
        </w:tc>
        <w:tc>
          <w:tcPr>
            <w:tcW w:w="1034" w:type="dxa"/>
            <w:tcBorders>
              <w:top w:val="nil"/>
              <w:left w:val="nil"/>
              <w:bottom w:val="nil"/>
              <w:right w:val="nil"/>
            </w:tcBorders>
            <w:shd w:val="clear" w:color="auto" w:fill="auto"/>
            <w:noWrap/>
            <w:vAlign w:val="bottom"/>
          </w:tcPr>
          <w:p w14:paraId="4B59C646" w14:textId="77777777" w:rsidR="00FF441D" w:rsidRPr="00FF441D" w:rsidRDefault="00FF441D" w:rsidP="002C765B">
            <w:pPr>
              <w:ind w:left="0"/>
              <w:jc w:val="right"/>
              <w:rPr>
                <w:rFonts w:ascii="Arial Narrow" w:hAnsi="Arial Narrow" w:cs="Calibri"/>
                <w:color w:val="000000" w:themeColor="text1"/>
                <w:sz w:val="16"/>
                <w:szCs w:val="16"/>
              </w:rPr>
            </w:pPr>
          </w:p>
        </w:tc>
        <w:tc>
          <w:tcPr>
            <w:tcW w:w="961" w:type="dxa"/>
            <w:tcBorders>
              <w:top w:val="nil"/>
              <w:left w:val="nil"/>
              <w:bottom w:val="nil"/>
              <w:right w:val="nil"/>
            </w:tcBorders>
            <w:shd w:val="clear" w:color="auto" w:fill="auto"/>
            <w:noWrap/>
            <w:vAlign w:val="bottom"/>
          </w:tcPr>
          <w:p w14:paraId="4E1842F2" w14:textId="77777777" w:rsidR="00FF441D" w:rsidRPr="00FF441D" w:rsidRDefault="00FF441D" w:rsidP="00FF441D">
            <w:pPr>
              <w:ind w:left="0"/>
              <w:rPr>
                <w:rFonts w:ascii="Arial Narrow" w:hAnsi="Arial Narrow" w:cs="Calibri"/>
                <w:color w:val="000000" w:themeColor="text1"/>
                <w:sz w:val="16"/>
                <w:szCs w:val="16"/>
              </w:rPr>
            </w:pPr>
          </w:p>
        </w:tc>
        <w:tc>
          <w:tcPr>
            <w:tcW w:w="1034" w:type="dxa"/>
            <w:tcBorders>
              <w:top w:val="nil"/>
              <w:left w:val="nil"/>
              <w:bottom w:val="nil"/>
              <w:right w:val="nil"/>
            </w:tcBorders>
            <w:shd w:val="clear" w:color="auto" w:fill="auto"/>
            <w:noWrap/>
          </w:tcPr>
          <w:p w14:paraId="13CD1DC0" w14:textId="77777777" w:rsidR="00FF441D" w:rsidRPr="00FF441D" w:rsidRDefault="00FF441D" w:rsidP="002C765B">
            <w:pPr>
              <w:ind w:left="0"/>
              <w:jc w:val="right"/>
              <w:rPr>
                <w:rFonts w:ascii="Arial Narrow" w:hAnsi="Arial Narrow" w:cs="Calibri"/>
                <w:color w:val="000000" w:themeColor="text1"/>
                <w:sz w:val="16"/>
                <w:szCs w:val="16"/>
              </w:rPr>
            </w:pPr>
          </w:p>
        </w:tc>
        <w:tc>
          <w:tcPr>
            <w:tcW w:w="1033" w:type="dxa"/>
            <w:tcBorders>
              <w:top w:val="nil"/>
              <w:left w:val="nil"/>
              <w:bottom w:val="nil"/>
              <w:right w:val="nil"/>
            </w:tcBorders>
            <w:shd w:val="clear" w:color="auto" w:fill="auto"/>
            <w:noWrap/>
          </w:tcPr>
          <w:p w14:paraId="3EFB0E70" w14:textId="77777777" w:rsidR="00FF441D" w:rsidRPr="00FF441D" w:rsidRDefault="00FF441D" w:rsidP="002C765B">
            <w:pPr>
              <w:ind w:left="0"/>
              <w:jc w:val="right"/>
              <w:rPr>
                <w:rFonts w:ascii="Arial Narrow" w:hAnsi="Arial Narrow" w:cs="Calibri"/>
                <w:color w:val="000000" w:themeColor="text1"/>
                <w:sz w:val="16"/>
                <w:szCs w:val="16"/>
              </w:rPr>
            </w:pPr>
          </w:p>
        </w:tc>
        <w:tc>
          <w:tcPr>
            <w:tcW w:w="1214" w:type="dxa"/>
            <w:tcBorders>
              <w:top w:val="nil"/>
              <w:left w:val="nil"/>
              <w:bottom w:val="nil"/>
              <w:right w:val="nil"/>
            </w:tcBorders>
            <w:shd w:val="clear" w:color="auto" w:fill="auto"/>
            <w:noWrap/>
          </w:tcPr>
          <w:p w14:paraId="4065C7AA" w14:textId="77777777" w:rsidR="00FF441D" w:rsidRPr="00FF441D" w:rsidRDefault="00FF441D" w:rsidP="00AD3D41">
            <w:pPr>
              <w:ind w:left="0"/>
              <w:jc w:val="right"/>
              <w:rPr>
                <w:rFonts w:ascii="Arial Narrow" w:hAnsi="Arial Narrow" w:cs="Calibri"/>
                <w:color w:val="000000" w:themeColor="text1"/>
                <w:sz w:val="16"/>
                <w:szCs w:val="16"/>
              </w:rPr>
            </w:pPr>
          </w:p>
        </w:tc>
      </w:tr>
      <w:tr w:rsidR="00997F75" w:rsidRPr="00FF441D" w14:paraId="5A2D8149" w14:textId="77777777" w:rsidTr="00FF441D">
        <w:trPr>
          <w:trHeight w:val="117"/>
        </w:trPr>
        <w:tc>
          <w:tcPr>
            <w:tcW w:w="1620" w:type="dxa"/>
            <w:tcBorders>
              <w:top w:val="nil"/>
              <w:left w:val="nil"/>
              <w:bottom w:val="nil"/>
              <w:right w:val="nil"/>
            </w:tcBorders>
            <w:shd w:val="clear" w:color="auto" w:fill="auto"/>
            <w:noWrap/>
            <w:vAlign w:val="bottom"/>
            <w:hideMark/>
          </w:tcPr>
          <w:p w14:paraId="230F53DB" w14:textId="77777777" w:rsidR="00D5551C" w:rsidRPr="00FF441D" w:rsidRDefault="00D5551C" w:rsidP="00AD3D41">
            <w:pPr>
              <w:ind w:left="-105"/>
              <w:rPr>
                <w:rFonts w:ascii="Arial Narrow" w:hAnsi="Arial Narrow" w:cs="Calibri"/>
                <w:color w:val="000000" w:themeColor="text1"/>
                <w:sz w:val="16"/>
                <w:szCs w:val="16"/>
              </w:rPr>
            </w:pPr>
            <w:r w:rsidRPr="00FF441D">
              <w:rPr>
                <w:rFonts w:ascii="Arial Narrow" w:hAnsi="Arial Narrow" w:cs="Calibri"/>
                <w:color w:val="000000" w:themeColor="text1"/>
                <w:sz w:val="16"/>
                <w:szCs w:val="16"/>
              </w:rPr>
              <w:t>January 1, 2022</w:t>
            </w:r>
          </w:p>
        </w:tc>
        <w:tc>
          <w:tcPr>
            <w:tcW w:w="1115" w:type="dxa"/>
            <w:tcBorders>
              <w:top w:val="nil"/>
              <w:left w:val="nil"/>
              <w:bottom w:val="nil"/>
              <w:right w:val="nil"/>
            </w:tcBorders>
            <w:shd w:val="clear" w:color="auto" w:fill="auto"/>
            <w:noWrap/>
            <w:vAlign w:val="bottom"/>
            <w:hideMark/>
          </w:tcPr>
          <w:p w14:paraId="1E10CDAE" w14:textId="77777777" w:rsidR="00D5551C" w:rsidRPr="00FF441D" w:rsidRDefault="00D5551C" w:rsidP="00AD3D41">
            <w:pPr>
              <w:ind w:left="0"/>
              <w:jc w:val="right"/>
              <w:rPr>
                <w:rFonts w:ascii="Arial Narrow" w:hAnsi="Arial Narrow" w:cs="Calibri"/>
                <w:color w:val="000000" w:themeColor="text1"/>
                <w:sz w:val="16"/>
                <w:szCs w:val="16"/>
              </w:rPr>
            </w:pPr>
            <w:r w:rsidRPr="00FF441D">
              <w:rPr>
                <w:rFonts w:ascii="Arial Narrow" w:hAnsi="Arial Narrow" w:cs="Calibri"/>
                <w:color w:val="000000" w:themeColor="text1"/>
                <w:sz w:val="16"/>
                <w:szCs w:val="16"/>
              </w:rPr>
              <w:t xml:space="preserve">  484,398,000 </w:t>
            </w:r>
          </w:p>
        </w:tc>
        <w:tc>
          <w:tcPr>
            <w:tcW w:w="1113" w:type="dxa"/>
            <w:tcBorders>
              <w:top w:val="nil"/>
              <w:left w:val="nil"/>
              <w:bottom w:val="nil"/>
              <w:right w:val="nil"/>
            </w:tcBorders>
            <w:shd w:val="clear" w:color="auto" w:fill="auto"/>
            <w:noWrap/>
            <w:vAlign w:val="bottom"/>
            <w:hideMark/>
          </w:tcPr>
          <w:p w14:paraId="05AF4CE1" w14:textId="77777777" w:rsidR="00D5551C" w:rsidRPr="00FF441D" w:rsidRDefault="00D5551C" w:rsidP="00AD3D41">
            <w:pPr>
              <w:ind w:left="0"/>
              <w:jc w:val="right"/>
              <w:rPr>
                <w:rFonts w:ascii="Arial Narrow" w:hAnsi="Arial Narrow" w:cs="Calibri"/>
                <w:color w:val="000000" w:themeColor="text1"/>
                <w:sz w:val="16"/>
                <w:szCs w:val="16"/>
              </w:rPr>
            </w:pPr>
            <w:r w:rsidRPr="00FF441D">
              <w:rPr>
                <w:rFonts w:ascii="Arial Narrow" w:hAnsi="Arial Narrow" w:cs="Calibri"/>
                <w:color w:val="000000" w:themeColor="text1"/>
                <w:sz w:val="16"/>
                <w:szCs w:val="16"/>
              </w:rPr>
              <w:t xml:space="preserve">   743,196,971</w:t>
            </w:r>
          </w:p>
        </w:tc>
        <w:tc>
          <w:tcPr>
            <w:tcW w:w="1034" w:type="dxa"/>
            <w:tcBorders>
              <w:top w:val="nil"/>
              <w:left w:val="nil"/>
              <w:bottom w:val="nil"/>
              <w:right w:val="nil"/>
            </w:tcBorders>
            <w:shd w:val="clear" w:color="auto" w:fill="auto"/>
            <w:noWrap/>
            <w:vAlign w:val="bottom"/>
            <w:hideMark/>
          </w:tcPr>
          <w:p w14:paraId="3124FDD9" w14:textId="77777777" w:rsidR="00D5551C" w:rsidRPr="00FF441D" w:rsidRDefault="00D5551C" w:rsidP="002C765B">
            <w:pPr>
              <w:ind w:left="0"/>
              <w:jc w:val="right"/>
              <w:rPr>
                <w:rFonts w:ascii="Arial Narrow" w:hAnsi="Arial Narrow" w:cs="Calibri"/>
                <w:color w:val="000000" w:themeColor="text1"/>
                <w:sz w:val="16"/>
                <w:szCs w:val="16"/>
              </w:rPr>
            </w:pPr>
            <w:r w:rsidRPr="00FF441D">
              <w:rPr>
                <w:rFonts w:ascii="Arial Narrow" w:hAnsi="Arial Narrow" w:cs="Calibri"/>
                <w:color w:val="000000" w:themeColor="text1"/>
                <w:sz w:val="16"/>
                <w:szCs w:val="16"/>
              </w:rPr>
              <w:t xml:space="preserve">    322,018,463  </w:t>
            </w:r>
          </w:p>
        </w:tc>
        <w:tc>
          <w:tcPr>
            <w:tcW w:w="961" w:type="dxa"/>
            <w:tcBorders>
              <w:top w:val="nil"/>
              <w:left w:val="nil"/>
              <w:bottom w:val="nil"/>
              <w:right w:val="nil"/>
            </w:tcBorders>
            <w:shd w:val="clear" w:color="auto" w:fill="auto"/>
            <w:noWrap/>
            <w:vAlign w:val="bottom"/>
            <w:hideMark/>
          </w:tcPr>
          <w:p w14:paraId="732B4AD1" w14:textId="5E07D0B5" w:rsidR="00D5551C" w:rsidRPr="00FF441D" w:rsidRDefault="00A040FE" w:rsidP="00FF441D">
            <w:pPr>
              <w:ind w:left="0"/>
              <w:rPr>
                <w:rFonts w:ascii="Arial Narrow" w:hAnsi="Arial Narrow" w:cs="Calibri"/>
                <w:color w:val="000000" w:themeColor="text1"/>
                <w:sz w:val="16"/>
                <w:szCs w:val="16"/>
              </w:rPr>
            </w:pPr>
            <w:r w:rsidRPr="00FF441D">
              <w:rPr>
                <w:rFonts w:ascii="Arial Narrow" w:hAnsi="Arial Narrow" w:cs="Calibri"/>
                <w:color w:val="000000" w:themeColor="text1"/>
                <w:sz w:val="16"/>
                <w:szCs w:val="16"/>
              </w:rPr>
              <w:t>109,579,246</w:t>
            </w:r>
          </w:p>
        </w:tc>
        <w:tc>
          <w:tcPr>
            <w:tcW w:w="1034" w:type="dxa"/>
            <w:tcBorders>
              <w:top w:val="nil"/>
              <w:left w:val="nil"/>
              <w:bottom w:val="nil"/>
              <w:right w:val="nil"/>
            </w:tcBorders>
            <w:shd w:val="clear" w:color="auto" w:fill="auto"/>
            <w:noWrap/>
            <w:hideMark/>
          </w:tcPr>
          <w:p w14:paraId="5EE21DB9" w14:textId="77777777" w:rsidR="00D5551C" w:rsidRPr="00FF441D" w:rsidRDefault="00D5551C" w:rsidP="002C765B">
            <w:pPr>
              <w:ind w:left="0"/>
              <w:jc w:val="right"/>
              <w:rPr>
                <w:rFonts w:ascii="Arial Narrow" w:hAnsi="Arial Narrow" w:cs="Calibri"/>
                <w:color w:val="000000" w:themeColor="text1"/>
                <w:sz w:val="16"/>
                <w:szCs w:val="16"/>
              </w:rPr>
            </w:pPr>
            <w:r w:rsidRPr="00FF441D">
              <w:rPr>
                <w:rFonts w:ascii="Arial Narrow" w:hAnsi="Arial Narrow" w:cs="Calibri"/>
                <w:color w:val="000000" w:themeColor="text1"/>
                <w:sz w:val="16"/>
                <w:szCs w:val="16"/>
              </w:rPr>
              <w:t xml:space="preserve"> </w:t>
            </w:r>
          </w:p>
          <w:p w14:paraId="239B2E55" w14:textId="77777777" w:rsidR="00D5551C" w:rsidRPr="00FF441D" w:rsidRDefault="00D5551C" w:rsidP="002C765B">
            <w:pPr>
              <w:ind w:left="0"/>
              <w:jc w:val="right"/>
              <w:rPr>
                <w:rFonts w:ascii="Arial Narrow" w:hAnsi="Arial Narrow" w:cs="Calibri"/>
                <w:color w:val="000000" w:themeColor="text1"/>
                <w:sz w:val="16"/>
                <w:szCs w:val="16"/>
              </w:rPr>
            </w:pPr>
            <w:r w:rsidRPr="00FF441D">
              <w:rPr>
                <w:rFonts w:ascii="Arial Narrow" w:hAnsi="Arial Narrow" w:cs="Calibri"/>
                <w:color w:val="000000" w:themeColor="text1"/>
                <w:sz w:val="16"/>
                <w:szCs w:val="16"/>
              </w:rPr>
              <w:t xml:space="preserve">175,837,005 </w:t>
            </w:r>
          </w:p>
        </w:tc>
        <w:tc>
          <w:tcPr>
            <w:tcW w:w="1033" w:type="dxa"/>
            <w:tcBorders>
              <w:top w:val="nil"/>
              <w:left w:val="nil"/>
              <w:bottom w:val="nil"/>
              <w:right w:val="nil"/>
            </w:tcBorders>
            <w:shd w:val="clear" w:color="auto" w:fill="auto"/>
            <w:noWrap/>
            <w:hideMark/>
          </w:tcPr>
          <w:p w14:paraId="134D2A7B" w14:textId="77777777" w:rsidR="00D5551C" w:rsidRPr="00FF441D" w:rsidRDefault="00D5551C" w:rsidP="002C765B">
            <w:pPr>
              <w:ind w:left="0"/>
              <w:jc w:val="right"/>
              <w:rPr>
                <w:rFonts w:ascii="Arial Narrow" w:hAnsi="Arial Narrow" w:cs="Calibri"/>
                <w:color w:val="000000" w:themeColor="text1"/>
                <w:sz w:val="16"/>
                <w:szCs w:val="16"/>
              </w:rPr>
            </w:pPr>
            <w:r w:rsidRPr="00FF441D">
              <w:rPr>
                <w:rFonts w:ascii="Arial Narrow" w:hAnsi="Arial Narrow" w:cs="Calibri"/>
                <w:color w:val="000000" w:themeColor="text1"/>
                <w:sz w:val="16"/>
                <w:szCs w:val="16"/>
              </w:rPr>
              <w:t xml:space="preserve"> </w:t>
            </w:r>
          </w:p>
          <w:p w14:paraId="12635B9F" w14:textId="77777777" w:rsidR="00D5551C" w:rsidRPr="00FF441D" w:rsidRDefault="00D5551C" w:rsidP="002C765B">
            <w:pPr>
              <w:ind w:left="0"/>
              <w:jc w:val="right"/>
              <w:rPr>
                <w:rFonts w:ascii="Arial Narrow" w:hAnsi="Arial Narrow" w:cs="Calibri"/>
                <w:color w:val="000000" w:themeColor="text1"/>
                <w:sz w:val="16"/>
                <w:szCs w:val="16"/>
              </w:rPr>
            </w:pPr>
            <w:r w:rsidRPr="00FF441D">
              <w:rPr>
                <w:rFonts w:ascii="Arial Narrow" w:hAnsi="Arial Narrow" w:cs="Calibri"/>
                <w:color w:val="000000" w:themeColor="text1"/>
                <w:sz w:val="16"/>
                <w:szCs w:val="16"/>
              </w:rPr>
              <w:t xml:space="preserve">3,683,710 </w:t>
            </w:r>
          </w:p>
        </w:tc>
        <w:tc>
          <w:tcPr>
            <w:tcW w:w="1214" w:type="dxa"/>
            <w:tcBorders>
              <w:top w:val="nil"/>
              <w:left w:val="nil"/>
              <w:bottom w:val="nil"/>
              <w:right w:val="nil"/>
            </w:tcBorders>
            <w:shd w:val="clear" w:color="auto" w:fill="auto"/>
            <w:noWrap/>
            <w:hideMark/>
          </w:tcPr>
          <w:p w14:paraId="08BE9950" w14:textId="77777777" w:rsidR="00D5551C" w:rsidRPr="00FF441D" w:rsidRDefault="00D5551C" w:rsidP="00AD3D41">
            <w:pPr>
              <w:ind w:left="0"/>
              <w:jc w:val="right"/>
              <w:rPr>
                <w:rFonts w:ascii="Arial Narrow" w:hAnsi="Arial Narrow" w:cs="Calibri"/>
                <w:color w:val="000000" w:themeColor="text1"/>
                <w:sz w:val="16"/>
                <w:szCs w:val="16"/>
              </w:rPr>
            </w:pPr>
          </w:p>
          <w:p w14:paraId="130C4E88" w14:textId="10650ADC" w:rsidR="00D5551C" w:rsidRPr="00FF441D" w:rsidRDefault="00D5551C" w:rsidP="00A040FE">
            <w:pPr>
              <w:ind w:left="0"/>
              <w:jc w:val="right"/>
              <w:rPr>
                <w:rFonts w:ascii="Arial Narrow" w:hAnsi="Arial Narrow" w:cs="Calibri"/>
                <w:color w:val="000000" w:themeColor="text1"/>
                <w:sz w:val="16"/>
                <w:szCs w:val="16"/>
              </w:rPr>
            </w:pPr>
            <w:r w:rsidRPr="00FF441D">
              <w:rPr>
                <w:rFonts w:ascii="Arial Narrow" w:hAnsi="Arial Narrow" w:cs="Calibri"/>
                <w:color w:val="000000" w:themeColor="text1"/>
                <w:sz w:val="16"/>
                <w:szCs w:val="16"/>
              </w:rPr>
              <w:t xml:space="preserve"> 1,838</w:t>
            </w:r>
            <w:r w:rsidR="00741CA1" w:rsidRPr="00FF441D">
              <w:rPr>
                <w:rFonts w:ascii="Arial Narrow" w:hAnsi="Arial Narrow" w:cs="Calibri"/>
                <w:color w:val="000000" w:themeColor="text1"/>
                <w:sz w:val="16"/>
                <w:szCs w:val="16"/>
              </w:rPr>
              <w:t>,</w:t>
            </w:r>
            <w:r w:rsidR="00A040FE" w:rsidRPr="00FF441D">
              <w:rPr>
                <w:rFonts w:ascii="Arial Narrow" w:hAnsi="Arial Narrow" w:cs="Calibri"/>
                <w:color w:val="000000" w:themeColor="text1"/>
                <w:sz w:val="16"/>
                <w:szCs w:val="16"/>
              </w:rPr>
              <w:t>713,395</w:t>
            </w:r>
            <w:r w:rsidRPr="00FF441D">
              <w:rPr>
                <w:rFonts w:ascii="Arial Narrow" w:hAnsi="Arial Narrow" w:cs="Calibri"/>
                <w:color w:val="000000" w:themeColor="text1"/>
                <w:sz w:val="16"/>
                <w:szCs w:val="16"/>
              </w:rPr>
              <w:t xml:space="preserve"> </w:t>
            </w:r>
          </w:p>
        </w:tc>
      </w:tr>
      <w:tr w:rsidR="00997F75" w:rsidRPr="00FF441D" w14:paraId="22AF872D" w14:textId="77777777" w:rsidTr="00FF441D">
        <w:trPr>
          <w:trHeight w:val="189"/>
        </w:trPr>
        <w:tc>
          <w:tcPr>
            <w:tcW w:w="1620" w:type="dxa"/>
            <w:tcBorders>
              <w:top w:val="nil"/>
              <w:left w:val="nil"/>
              <w:bottom w:val="nil"/>
              <w:right w:val="nil"/>
            </w:tcBorders>
            <w:shd w:val="clear" w:color="auto" w:fill="auto"/>
            <w:noWrap/>
            <w:vAlign w:val="bottom"/>
            <w:hideMark/>
          </w:tcPr>
          <w:p w14:paraId="1EC5AB1B" w14:textId="77777777" w:rsidR="00D5551C" w:rsidRPr="00FF441D" w:rsidRDefault="00D5551C" w:rsidP="00AD3D41">
            <w:pPr>
              <w:ind w:left="-105"/>
              <w:rPr>
                <w:rFonts w:ascii="Arial Narrow" w:hAnsi="Arial Narrow" w:cs="Calibri"/>
                <w:color w:val="000000" w:themeColor="text1"/>
                <w:sz w:val="16"/>
                <w:szCs w:val="16"/>
              </w:rPr>
            </w:pPr>
            <w:r w:rsidRPr="00FF441D">
              <w:rPr>
                <w:rFonts w:ascii="Arial Narrow" w:hAnsi="Arial Narrow" w:cs="Calibri"/>
                <w:color w:val="000000" w:themeColor="text1"/>
                <w:sz w:val="16"/>
                <w:szCs w:val="16"/>
              </w:rPr>
              <w:t>Additions</w:t>
            </w:r>
          </w:p>
        </w:tc>
        <w:tc>
          <w:tcPr>
            <w:tcW w:w="1115" w:type="dxa"/>
            <w:tcBorders>
              <w:top w:val="nil"/>
              <w:left w:val="nil"/>
              <w:bottom w:val="nil"/>
              <w:right w:val="nil"/>
            </w:tcBorders>
            <w:shd w:val="clear" w:color="auto" w:fill="auto"/>
            <w:noWrap/>
            <w:vAlign w:val="bottom"/>
            <w:hideMark/>
          </w:tcPr>
          <w:p w14:paraId="2041FFA1" w14:textId="77777777" w:rsidR="00D5551C" w:rsidRPr="00FF441D" w:rsidRDefault="00D5551C" w:rsidP="00AD3D41">
            <w:pPr>
              <w:ind w:left="0"/>
              <w:jc w:val="right"/>
              <w:rPr>
                <w:rFonts w:ascii="Arial Narrow" w:hAnsi="Arial Narrow" w:cs="Calibri"/>
                <w:color w:val="000000" w:themeColor="text1"/>
                <w:sz w:val="16"/>
                <w:szCs w:val="16"/>
              </w:rPr>
            </w:pPr>
            <w:r w:rsidRPr="00FF441D">
              <w:rPr>
                <w:rFonts w:ascii="Arial Narrow" w:hAnsi="Arial Narrow" w:cs="Calibri"/>
                <w:color w:val="000000" w:themeColor="text1"/>
                <w:sz w:val="16"/>
                <w:szCs w:val="16"/>
              </w:rPr>
              <w:t xml:space="preserve">                -   </w:t>
            </w:r>
          </w:p>
        </w:tc>
        <w:tc>
          <w:tcPr>
            <w:tcW w:w="1113" w:type="dxa"/>
            <w:tcBorders>
              <w:top w:val="nil"/>
              <w:left w:val="nil"/>
              <w:bottom w:val="nil"/>
              <w:right w:val="nil"/>
            </w:tcBorders>
            <w:shd w:val="clear" w:color="auto" w:fill="auto"/>
            <w:noWrap/>
            <w:vAlign w:val="bottom"/>
          </w:tcPr>
          <w:p w14:paraId="1EF88EA5" w14:textId="77777777" w:rsidR="00D5551C" w:rsidRPr="00FF441D" w:rsidRDefault="00D5551C" w:rsidP="00AD3D41">
            <w:pPr>
              <w:ind w:left="0"/>
              <w:jc w:val="right"/>
              <w:rPr>
                <w:rFonts w:ascii="Arial Narrow" w:hAnsi="Arial Narrow" w:cs="Calibri"/>
                <w:color w:val="000000" w:themeColor="text1"/>
                <w:sz w:val="16"/>
                <w:szCs w:val="16"/>
              </w:rPr>
            </w:pPr>
            <w:r w:rsidRPr="00FF441D">
              <w:rPr>
                <w:rFonts w:ascii="Arial Narrow" w:hAnsi="Arial Narrow" w:cs="Calibri"/>
                <w:color w:val="000000" w:themeColor="text1"/>
                <w:sz w:val="16"/>
                <w:szCs w:val="16"/>
              </w:rPr>
              <w:t xml:space="preserve">   14,187,778</w:t>
            </w:r>
          </w:p>
        </w:tc>
        <w:tc>
          <w:tcPr>
            <w:tcW w:w="1034" w:type="dxa"/>
            <w:tcBorders>
              <w:top w:val="nil"/>
              <w:left w:val="nil"/>
              <w:bottom w:val="nil"/>
              <w:right w:val="nil"/>
            </w:tcBorders>
            <w:shd w:val="clear" w:color="auto" w:fill="auto"/>
            <w:noWrap/>
            <w:vAlign w:val="bottom"/>
          </w:tcPr>
          <w:p w14:paraId="40850A89" w14:textId="77777777" w:rsidR="00D5551C" w:rsidRPr="00FF441D" w:rsidRDefault="00D5551C" w:rsidP="002C765B">
            <w:pPr>
              <w:ind w:left="0"/>
              <w:jc w:val="right"/>
              <w:rPr>
                <w:rFonts w:ascii="Arial Narrow" w:hAnsi="Arial Narrow" w:cs="Calibri"/>
                <w:color w:val="000000" w:themeColor="text1"/>
                <w:sz w:val="16"/>
                <w:szCs w:val="16"/>
              </w:rPr>
            </w:pPr>
            <w:r w:rsidRPr="00FF441D">
              <w:rPr>
                <w:rFonts w:ascii="Arial Narrow" w:hAnsi="Arial Narrow" w:cs="Calibri"/>
                <w:color w:val="000000" w:themeColor="text1"/>
                <w:sz w:val="16"/>
                <w:szCs w:val="16"/>
              </w:rPr>
              <w:t xml:space="preserve">      6,359,292  </w:t>
            </w:r>
          </w:p>
        </w:tc>
        <w:tc>
          <w:tcPr>
            <w:tcW w:w="961" w:type="dxa"/>
            <w:tcBorders>
              <w:top w:val="nil"/>
              <w:left w:val="nil"/>
              <w:bottom w:val="nil"/>
              <w:right w:val="nil"/>
            </w:tcBorders>
            <w:shd w:val="clear" w:color="auto" w:fill="auto"/>
            <w:noWrap/>
          </w:tcPr>
          <w:p w14:paraId="4AF20542" w14:textId="77777777" w:rsidR="00D5551C" w:rsidRPr="00FF441D" w:rsidRDefault="00D5551C" w:rsidP="002C765B">
            <w:pPr>
              <w:ind w:left="0"/>
              <w:jc w:val="right"/>
              <w:rPr>
                <w:rFonts w:ascii="Arial Narrow" w:hAnsi="Arial Narrow" w:cs="Calibri"/>
                <w:color w:val="000000" w:themeColor="text1"/>
                <w:sz w:val="16"/>
                <w:szCs w:val="16"/>
              </w:rPr>
            </w:pPr>
            <w:r w:rsidRPr="00FF441D">
              <w:rPr>
                <w:rFonts w:ascii="Arial Narrow" w:hAnsi="Arial Narrow" w:cs="Calibri"/>
                <w:color w:val="000000" w:themeColor="text1"/>
                <w:sz w:val="16"/>
                <w:szCs w:val="16"/>
              </w:rPr>
              <w:t xml:space="preserve"> 4,406,867 </w:t>
            </w:r>
          </w:p>
        </w:tc>
        <w:tc>
          <w:tcPr>
            <w:tcW w:w="1034" w:type="dxa"/>
            <w:tcBorders>
              <w:top w:val="nil"/>
              <w:left w:val="nil"/>
              <w:bottom w:val="nil"/>
              <w:right w:val="nil"/>
            </w:tcBorders>
            <w:shd w:val="clear" w:color="auto" w:fill="auto"/>
            <w:noWrap/>
          </w:tcPr>
          <w:p w14:paraId="41C08680" w14:textId="77777777" w:rsidR="00D5551C" w:rsidRPr="00FF441D" w:rsidRDefault="00D5551C" w:rsidP="002C765B">
            <w:pPr>
              <w:ind w:left="0"/>
              <w:jc w:val="right"/>
              <w:rPr>
                <w:rFonts w:ascii="Arial Narrow" w:hAnsi="Arial Narrow" w:cs="Calibri"/>
                <w:color w:val="000000" w:themeColor="text1"/>
                <w:sz w:val="16"/>
                <w:szCs w:val="16"/>
              </w:rPr>
            </w:pPr>
            <w:r w:rsidRPr="00FF441D">
              <w:rPr>
                <w:rFonts w:ascii="Arial Narrow" w:hAnsi="Arial Narrow" w:cs="Calibri"/>
                <w:color w:val="000000" w:themeColor="text1"/>
                <w:sz w:val="16"/>
                <w:szCs w:val="16"/>
              </w:rPr>
              <w:t xml:space="preserve"> 102,960,000 </w:t>
            </w:r>
          </w:p>
        </w:tc>
        <w:tc>
          <w:tcPr>
            <w:tcW w:w="1033" w:type="dxa"/>
            <w:tcBorders>
              <w:top w:val="nil"/>
              <w:left w:val="nil"/>
              <w:bottom w:val="nil"/>
              <w:right w:val="nil"/>
            </w:tcBorders>
            <w:shd w:val="clear" w:color="auto" w:fill="auto"/>
            <w:noWrap/>
          </w:tcPr>
          <w:p w14:paraId="11F4A7F5" w14:textId="77777777" w:rsidR="00D5551C" w:rsidRPr="00FF441D" w:rsidRDefault="00D5551C" w:rsidP="002C765B">
            <w:pPr>
              <w:ind w:left="0"/>
              <w:jc w:val="right"/>
              <w:rPr>
                <w:rFonts w:ascii="Arial Narrow" w:hAnsi="Arial Narrow" w:cs="Calibri"/>
                <w:color w:val="000000" w:themeColor="text1"/>
                <w:sz w:val="16"/>
                <w:szCs w:val="16"/>
              </w:rPr>
            </w:pPr>
            <w:r w:rsidRPr="00FF441D">
              <w:rPr>
                <w:rFonts w:ascii="Arial Narrow" w:hAnsi="Arial Narrow" w:cs="Calibri"/>
                <w:color w:val="000000" w:themeColor="text1"/>
                <w:sz w:val="16"/>
                <w:szCs w:val="16"/>
              </w:rPr>
              <w:t xml:space="preserve"> 10,575,397 </w:t>
            </w:r>
          </w:p>
        </w:tc>
        <w:tc>
          <w:tcPr>
            <w:tcW w:w="1214" w:type="dxa"/>
            <w:tcBorders>
              <w:top w:val="nil"/>
              <w:left w:val="nil"/>
              <w:bottom w:val="nil"/>
              <w:right w:val="nil"/>
            </w:tcBorders>
            <w:shd w:val="clear" w:color="auto" w:fill="auto"/>
            <w:noWrap/>
            <w:hideMark/>
          </w:tcPr>
          <w:p w14:paraId="71DC121B" w14:textId="77777777" w:rsidR="00D5551C" w:rsidRPr="00FF441D" w:rsidRDefault="00D5551C" w:rsidP="00AD3D41">
            <w:pPr>
              <w:ind w:left="0"/>
              <w:jc w:val="right"/>
              <w:rPr>
                <w:rFonts w:ascii="Arial Narrow" w:hAnsi="Arial Narrow" w:cs="Calibri"/>
                <w:color w:val="000000" w:themeColor="text1"/>
                <w:sz w:val="16"/>
                <w:szCs w:val="16"/>
              </w:rPr>
            </w:pPr>
            <w:r w:rsidRPr="00FF441D">
              <w:rPr>
                <w:rFonts w:ascii="Arial Narrow" w:hAnsi="Arial Narrow" w:cs="Calibri"/>
                <w:color w:val="000000" w:themeColor="text1"/>
                <w:sz w:val="16"/>
                <w:szCs w:val="16"/>
              </w:rPr>
              <w:t xml:space="preserve"> 138,489,334 </w:t>
            </w:r>
          </w:p>
        </w:tc>
      </w:tr>
      <w:tr w:rsidR="00997F75" w:rsidRPr="00FF441D" w14:paraId="5AAA1BCE" w14:textId="77777777" w:rsidTr="00FF441D">
        <w:trPr>
          <w:trHeight w:val="162"/>
        </w:trPr>
        <w:tc>
          <w:tcPr>
            <w:tcW w:w="1620" w:type="dxa"/>
            <w:tcBorders>
              <w:top w:val="nil"/>
              <w:left w:val="nil"/>
              <w:bottom w:val="nil"/>
              <w:right w:val="nil"/>
            </w:tcBorders>
            <w:shd w:val="clear" w:color="auto" w:fill="auto"/>
            <w:noWrap/>
            <w:vAlign w:val="bottom"/>
            <w:hideMark/>
          </w:tcPr>
          <w:p w14:paraId="42E19C71" w14:textId="77777777" w:rsidR="00D5551C" w:rsidRPr="00FF441D" w:rsidRDefault="00D5551C" w:rsidP="00AD3D41">
            <w:pPr>
              <w:ind w:left="-105"/>
              <w:rPr>
                <w:rFonts w:ascii="Arial Narrow" w:hAnsi="Arial Narrow" w:cs="Calibri"/>
                <w:color w:val="000000" w:themeColor="text1"/>
                <w:sz w:val="16"/>
                <w:szCs w:val="16"/>
              </w:rPr>
            </w:pPr>
            <w:r w:rsidRPr="00FF441D">
              <w:rPr>
                <w:rFonts w:ascii="Arial Narrow" w:hAnsi="Arial Narrow" w:cs="Calibri"/>
                <w:color w:val="000000" w:themeColor="text1"/>
                <w:sz w:val="16"/>
                <w:szCs w:val="16"/>
              </w:rPr>
              <w:t>Disposals</w:t>
            </w:r>
          </w:p>
        </w:tc>
        <w:tc>
          <w:tcPr>
            <w:tcW w:w="1115" w:type="dxa"/>
            <w:tcBorders>
              <w:top w:val="nil"/>
              <w:left w:val="nil"/>
              <w:bottom w:val="nil"/>
              <w:right w:val="nil"/>
            </w:tcBorders>
            <w:shd w:val="clear" w:color="auto" w:fill="auto"/>
            <w:noWrap/>
            <w:vAlign w:val="bottom"/>
            <w:hideMark/>
          </w:tcPr>
          <w:p w14:paraId="643B85BF" w14:textId="77777777" w:rsidR="00D5551C" w:rsidRPr="00FF441D" w:rsidRDefault="00D5551C" w:rsidP="00AD3D41">
            <w:pPr>
              <w:ind w:left="0"/>
              <w:jc w:val="right"/>
              <w:rPr>
                <w:rFonts w:ascii="Arial Narrow" w:hAnsi="Arial Narrow" w:cs="Calibri"/>
                <w:color w:val="000000" w:themeColor="text1"/>
                <w:sz w:val="16"/>
                <w:szCs w:val="16"/>
              </w:rPr>
            </w:pPr>
            <w:r w:rsidRPr="00FF441D">
              <w:rPr>
                <w:rFonts w:ascii="Arial Narrow" w:hAnsi="Arial Narrow" w:cs="Calibri"/>
                <w:color w:val="000000" w:themeColor="text1"/>
                <w:sz w:val="16"/>
                <w:szCs w:val="16"/>
              </w:rPr>
              <w:t xml:space="preserve">                -   </w:t>
            </w:r>
          </w:p>
        </w:tc>
        <w:tc>
          <w:tcPr>
            <w:tcW w:w="1113" w:type="dxa"/>
            <w:tcBorders>
              <w:top w:val="nil"/>
              <w:left w:val="nil"/>
              <w:bottom w:val="nil"/>
              <w:right w:val="nil"/>
            </w:tcBorders>
            <w:shd w:val="clear" w:color="auto" w:fill="auto"/>
            <w:noWrap/>
            <w:vAlign w:val="bottom"/>
          </w:tcPr>
          <w:p w14:paraId="5A86E366" w14:textId="77777777" w:rsidR="00D5551C" w:rsidRPr="00FF441D" w:rsidRDefault="00D5551C" w:rsidP="00AD3D41">
            <w:pPr>
              <w:ind w:left="0"/>
              <w:jc w:val="right"/>
              <w:rPr>
                <w:rFonts w:ascii="Arial Narrow" w:hAnsi="Arial Narrow" w:cs="Calibri"/>
                <w:color w:val="000000" w:themeColor="text1"/>
                <w:sz w:val="16"/>
                <w:szCs w:val="16"/>
              </w:rPr>
            </w:pPr>
            <w:r w:rsidRPr="00FF441D">
              <w:rPr>
                <w:rFonts w:ascii="Arial Narrow" w:hAnsi="Arial Narrow" w:cs="Calibri"/>
                <w:color w:val="000000" w:themeColor="text1"/>
                <w:sz w:val="16"/>
                <w:szCs w:val="16"/>
              </w:rPr>
              <w:t xml:space="preserve">          (683,400)</w:t>
            </w:r>
          </w:p>
        </w:tc>
        <w:tc>
          <w:tcPr>
            <w:tcW w:w="1034" w:type="dxa"/>
            <w:tcBorders>
              <w:top w:val="nil"/>
              <w:left w:val="nil"/>
              <w:bottom w:val="nil"/>
              <w:right w:val="nil"/>
            </w:tcBorders>
            <w:shd w:val="clear" w:color="auto" w:fill="auto"/>
            <w:noWrap/>
            <w:vAlign w:val="bottom"/>
          </w:tcPr>
          <w:p w14:paraId="03CEB94B" w14:textId="77777777" w:rsidR="00D5551C" w:rsidRPr="00FF441D" w:rsidRDefault="00D5551C" w:rsidP="00997F75">
            <w:pPr>
              <w:ind w:left="0"/>
              <w:jc w:val="right"/>
              <w:rPr>
                <w:rFonts w:ascii="Arial Narrow" w:hAnsi="Arial Narrow" w:cs="Calibri"/>
                <w:color w:val="000000" w:themeColor="text1"/>
                <w:sz w:val="16"/>
                <w:szCs w:val="16"/>
              </w:rPr>
            </w:pPr>
            <w:r w:rsidRPr="00FF441D">
              <w:rPr>
                <w:rFonts w:ascii="Arial Narrow" w:hAnsi="Arial Narrow" w:cs="Calibri"/>
                <w:color w:val="000000" w:themeColor="text1"/>
                <w:sz w:val="16"/>
                <w:szCs w:val="16"/>
              </w:rPr>
              <w:t xml:space="preserve">      (313,252)</w:t>
            </w:r>
          </w:p>
        </w:tc>
        <w:tc>
          <w:tcPr>
            <w:tcW w:w="961" w:type="dxa"/>
            <w:tcBorders>
              <w:top w:val="nil"/>
              <w:left w:val="nil"/>
              <w:bottom w:val="nil"/>
              <w:right w:val="nil"/>
            </w:tcBorders>
            <w:shd w:val="clear" w:color="auto" w:fill="auto"/>
            <w:noWrap/>
          </w:tcPr>
          <w:p w14:paraId="2CA721AD" w14:textId="77777777" w:rsidR="00D5551C" w:rsidRPr="00FF441D" w:rsidRDefault="00D5551C" w:rsidP="002C765B">
            <w:pPr>
              <w:ind w:left="0"/>
              <w:jc w:val="right"/>
              <w:rPr>
                <w:rFonts w:ascii="Arial Narrow" w:hAnsi="Arial Narrow" w:cs="Calibri"/>
                <w:color w:val="000000" w:themeColor="text1"/>
                <w:sz w:val="16"/>
                <w:szCs w:val="16"/>
              </w:rPr>
            </w:pPr>
            <w:r w:rsidRPr="00FF441D">
              <w:rPr>
                <w:rFonts w:ascii="Arial Narrow" w:hAnsi="Arial Narrow" w:cs="Calibri"/>
                <w:color w:val="000000" w:themeColor="text1"/>
                <w:sz w:val="16"/>
                <w:szCs w:val="16"/>
              </w:rPr>
              <w:t xml:space="preserve"> (406,343)</w:t>
            </w:r>
          </w:p>
        </w:tc>
        <w:tc>
          <w:tcPr>
            <w:tcW w:w="1034" w:type="dxa"/>
            <w:tcBorders>
              <w:top w:val="nil"/>
              <w:left w:val="nil"/>
              <w:bottom w:val="nil"/>
              <w:right w:val="nil"/>
            </w:tcBorders>
            <w:shd w:val="clear" w:color="auto" w:fill="auto"/>
            <w:noWrap/>
          </w:tcPr>
          <w:p w14:paraId="22C3C2DD" w14:textId="77777777" w:rsidR="00D5551C" w:rsidRPr="00FF441D" w:rsidRDefault="00D5551C" w:rsidP="002C765B">
            <w:pPr>
              <w:ind w:left="0"/>
              <w:jc w:val="right"/>
              <w:rPr>
                <w:rFonts w:ascii="Arial Narrow" w:hAnsi="Arial Narrow" w:cs="Calibri"/>
                <w:color w:val="000000" w:themeColor="text1"/>
                <w:sz w:val="16"/>
                <w:szCs w:val="16"/>
              </w:rPr>
            </w:pPr>
          </w:p>
        </w:tc>
        <w:tc>
          <w:tcPr>
            <w:tcW w:w="1033" w:type="dxa"/>
            <w:tcBorders>
              <w:top w:val="nil"/>
              <w:left w:val="nil"/>
              <w:bottom w:val="nil"/>
              <w:right w:val="nil"/>
            </w:tcBorders>
            <w:shd w:val="clear" w:color="auto" w:fill="auto"/>
            <w:noWrap/>
          </w:tcPr>
          <w:p w14:paraId="4B176A08" w14:textId="77777777" w:rsidR="00D5551C" w:rsidRPr="00FF441D" w:rsidRDefault="00D5551C" w:rsidP="002C765B">
            <w:pPr>
              <w:ind w:left="0"/>
              <w:jc w:val="right"/>
              <w:rPr>
                <w:rFonts w:ascii="Arial Narrow" w:hAnsi="Arial Narrow" w:cs="Calibri"/>
                <w:color w:val="000000" w:themeColor="text1"/>
                <w:sz w:val="16"/>
                <w:szCs w:val="16"/>
              </w:rPr>
            </w:pPr>
          </w:p>
        </w:tc>
        <w:tc>
          <w:tcPr>
            <w:tcW w:w="1214" w:type="dxa"/>
            <w:tcBorders>
              <w:top w:val="nil"/>
              <w:left w:val="nil"/>
              <w:bottom w:val="nil"/>
              <w:right w:val="nil"/>
            </w:tcBorders>
            <w:shd w:val="clear" w:color="auto" w:fill="auto"/>
            <w:noWrap/>
            <w:hideMark/>
          </w:tcPr>
          <w:p w14:paraId="5C4B9543" w14:textId="77777777" w:rsidR="00D5551C" w:rsidRPr="00FF441D" w:rsidRDefault="00D5551C" w:rsidP="00AD3D41">
            <w:pPr>
              <w:ind w:left="0"/>
              <w:jc w:val="right"/>
              <w:rPr>
                <w:rFonts w:ascii="Arial Narrow" w:hAnsi="Arial Narrow" w:cs="Calibri"/>
                <w:color w:val="000000" w:themeColor="text1"/>
                <w:sz w:val="16"/>
                <w:szCs w:val="16"/>
              </w:rPr>
            </w:pPr>
            <w:r w:rsidRPr="00FF441D">
              <w:rPr>
                <w:rFonts w:ascii="Arial Narrow" w:hAnsi="Arial Narrow" w:cs="Calibri"/>
                <w:color w:val="000000" w:themeColor="text1"/>
                <w:sz w:val="16"/>
                <w:szCs w:val="16"/>
              </w:rPr>
              <w:t xml:space="preserve"> (1,402,995)</w:t>
            </w:r>
          </w:p>
        </w:tc>
      </w:tr>
      <w:tr w:rsidR="00997F75" w:rsidRPr="00FF441D" w14:paraId="0CFB63B7" w14:textId="77777777" w:rsidTr="00FF441D">
        <w:trPr>
          <w:trHeight w:val="117"/>
        </w:trPr>
        <w:tc>
          <w:tcPr>
            <w:tcW w:w="1620" w:type="dxa"/>
            <w:tcBorders>
              <w:top w:val="nil"/>
              <w:left w:val="nil"/>
              <w:bottom w:val="nil"/>
              <w:right w:val="nil"/>
            </w:tcBorders>
            <w:shd w:val="clear" w:color="auto" w:fill="auto"/>
            <w:noWrap/>
            <w:vAlign w:val="bottom"/>
            <w:hideMark/>
          </w:tcPr>
          <w:p w14:paraId="4AF9A053" w14:textId="77777777" w:rsidR="00D5551C" w:rsidRPr="00FF441D" w:rsidRDefault="00D5551C" w:rsidP="00AD3D41">
            <w:pPr>
              <w:ind w:left="-105"/>
              <w:rPr>
                <w:rFonts w:ascii="Arial Narrow" w:hAnsi="Arial Narrow" w:cs="Calibri"/>
                <w:color w:val="000000" w:themeColor="text1"/>
                <w:sz w:val="16"/>
                <w:szCs w:val="16"/>
              </w:rPr>
            </w:pPr>
            <w:r w:rsidRPr="00FF441D">
              <w:rPr>
                <w:rFonts w:ascii="Arial Narrow" w:hAnsi="Arial Narrow" w:cs="Calibri"/>
                <w:color w:val="000000" w:themeColor="text1"/>
                <w:sz w:val="16"/>
                <w:szCs w:val="16"/>
              </w:rPr>
              <w:t>Adjustments</w:t>
            </w:r>
          </w:p>
        </w:tc>
        <w:tc>
          <w:tcPr>
            <w:tcW w:w="1115" w:type="dxa"/>
            <w:tcBorders>
              <w:top w:val="nil"/>
              <w:left w:val="nil"/>
              <w:bottom w:val="nil"/>
              <w:right w:val="nil"/>
            </w:tcBorders>
            <w:shd w:val="clear" w:color="auto" w:fill="auto"/>
            <w:noWrap/>
            <w:vAlign w:val="bottom"/>
            <w:hideMark/>
          </w:tcPr>
          <w:p w14:paraId="65887EF8" w14:textId="77777777" w:rsidR="00D5551C" w:rsidRPr="00FF441D" w:rsidRDefault="00D5551C" w:rsidP="00AD3D41">
            <w:pPr>
              <w:ind w:left="0"/>
              <w:jc w:val="right"/>
              <w:rPr>
                <w:rFonts w:ascii="Arial Narrow" w:hAnsi="Arial Narrow" w:cs="Calibri"/>
                <w:color w:val="000000" w:themeColor="text1"/>
                <w:sz w:val="16"/>
                <w:szCs w:val="16"/>
              </w:rPr>
            </w:pPr>
            <w:r w:rsidRPr="00FF441D">
              <w:rPr>
                <w:rFonts w:ascii="Arial Narrow" w:hAnsi="Arial Narrow" w:cs="Calibri"/>
                <w:color w:val="000000" w:themeColor="text1"/>
                <w:sz w:val="16"/>
                <w:szCs w:val="16"/>
              </w:rPr>
              <w:t xml:space="preserve">                -   </w:t>
            </w:r>
          </w:p>
        </w:tc>
        <w:tc>
          <w:tcPr>
            <w:tcW w:w="1113" w:type="dxa"/>
            <w:tcBorders>
              <w:top w:val="nil"/>
              <w:left w:val="nil"/>
              <w:bottom w:val="nil"/>
              <w:right w:val="nil"/>
            </w:tcBorders>
            <w:shd w:val="clear" w:color="auto" w:fill="auto"/>
            <w:noWrap/>
            <w:vAlign w:val="bottom"/>
          </w:tcPr>
          <w:p w14:paraId="407BE2BC" w14:textId="30F9E626" w:rsidR="00D5551C" w:rsidRPr="00FF441D" w:rsidRDefault="00D5551C" w:rsidP="00A040FE">
            <w:pPr>
              <w:ind w:left="0"/>
              <w:jc w:val="right"/>
              <w:rPr>
                <w:rFonts w:ascii="Arial Narrow" w:hAnsi="Arial Narrow" w:cs="Calibri"/>
                <w:color w:val="000000" w:themeColor="text1"/>
                <w:sz w:val="16"/>
                <w:szCs w:val="16"/>
              </w:rPr>
            </w:pPr>
            <w:r w:rsidRPr="00FF441D">
              <w:rPr>
                <w:rFonts w:ascii="Arial Narrow" w:hAnsi="Arial Narrow" w:cs="Calibri"/>
                <w:color w:val="000000" w:themeColor="text1"/>
                <w:sz w:val="16"/>
                <w:szCs w:val="16"/>
              </w:rPr>
              <w:t xml:space="preserve">     2,</w:t>
            </w:r>
            <w:r w:rsidR="00691FB5" w:rsidRPr="00FF441D">
              <w:rPr>
                <w:rFonts w:ascii="Arial Narrow" w:hAnsi="Arial Narrow" w:cs="Calibri"/>
                <w:color w:val="000000" w:themeColor="text1"/>
                <w:sz w:val="16"/>
                <w:szCs w:val="16"/>
              </w:rPr>
              <w:t>031</w:t>
            </w:r>
            <w:r w:rsidRPr="00FF441D">
              <w:rPr>
                <w:rFonts w:ascii="Arial Narrow" w:hAnsi="Arial Narrow" w:cs="Calibri"/>
                <w:color w:val="000000" w:themeColor="text1"/>
                <w:sz w:val="16"/>
                <w:szCs w:val="16"/>
              </w:rPr>
              <w:t>,</w:t>
            </w:r>
            <w:r w:rsidR="00A040FE" w:rsidRPr="00FF441D">
              <w:rPr>
                <w:rFonts w:ascii="Arial Narrow" w:hAnsi="Arial Narrow" w:cs="Calibri"/>
                <w:color w:val="000000" w:themeColor="text1"/>
                <w:sz w:val="16"/>
                <w:szCs w:val="16"/>
              </w:rPr>
              <w:t xml:space="preserve">897  </w:t>
            </w:r>
          </w:p>
        </w:tc>
        <w:tc>
          <w:tcPr>
            <w:tcW w:w="1034" w:type="dxa"/>
            <w:tcBorders>
              <w:top w:val="nil"/>
              <w:left w:val="nil"/>
              <w:bottom w:val="nil"/>
              <w:right w:val="nil"/>
            </w:tcBorders>
            <w:shd w:val="clear" w:color="auto" w:fill="auto"/>
            <w:noWrap/>
            <w:vAlign w:val="bottom"/>
          </w:tcPr>
          <w:p w14:paraId="6BB61CB0" w14:textId="7DFF0E7A" w:rsidR="00D5551C" w:rsidRPr="00FF441D" w:rsidRDefault="003044D3" w:rsidP="00A040FE">
            <w:pPr>
              <w:ind w:left="0"/>
              <w:jc w:val="right"/>
              <w:rPr>
                <w:rFonts w:ascii="Arial Narrow" w:hAnsi="Arial Narrow" w:cs="Calibri"/>
                <w:color w:val="000000" w:themeColor="text1"/>
                <w:sz w:val="16"/>
                <w:szCs w:val="16"/>
              </w:rPr>
            </w:pPr>
            <w:r w:rsidRPr="00FF441D">
              <w:rPr>
                <w:rFonts w:ascii="Arial Narrow" w:hAnsi="Arial Narrow" w:cs="Calibri"/>
                <w:color w:val="000000" w:themeColor="text1"/>
                <w:sz w:val="16"/>
                <w:szCs w:val="16"/>
              </w:rPr>
              <w:t>(10,981,</w:t>
            </w:r>
            <w:r w:rsidR="00A040FE" w:rsidRPr="00FF441D">
              <w:rPr>
                <w:rFonts w:ascii="Arial Narrow" w:hAnsi="Arial Narrow" w:cs="Calibri"/>
                <w:color w:val="000000" w:themeColor="text1"/>
                <w:sz w:val="16"/>
                <w:szCs w:val="16"/>
              </w:rPr>
              <w:t>036</w:t>
            </w:r>
            <w:r w:rsidRPr="00FF441D">
              <w:rPr>
                <w:rFonts w:ascii="Arial Narrow" w:hAnsi="Arial Narrow" w:cs="Calibri"/>
                <w:color w:val="000000" w:themeColor="text1"/>
                <w:sz w:val="16"/>
                <w:szCs w:val="16"/>
              </w:rPr>
              <w:t>)</w:t>
            </w:r>
          </w:p>
        </w:tc>
        <w:tc>
          <w:tcPr>
            <w:tcW w:w="961" w:type="dxa"/>
            <w:tcBorders>
              <w:top w:val="nil"/>
              <w:left w:val="nil"/>
              <w:bottom w:val="nil"/>
              <w:right w:val="nil"/>
            </w:tcBorders>
            <w:shd w:val="clear" w:color="auto" w:fill="auto"/>
            <w:noWrap/>
          </w:tcPr>
          <w:p w14:paraId="44777656" w14:textId="32B2B151" w:rsidR="00D5551C" w:rsidRPr="00FF441D" w:rsidRDefault="00D5551C" w:rsidP="00A040FE">
            <w:pPr>
              <w:ind w:left="0"/>
              <w:jc w:val="right"/>
              <w:rPr>
                <w:rFonts w:ascii="Arial Narrow" w:hAnsi="Arial Narrow" w:cs="Calibri"/>
                <w:color w:val="000000" w:themeColor="text1"/>
                <w:sz w:val="16"/>
                <w:szCs w:val="16"/>
              </w:rPr>
            </w:pPr>
            <w:r w:rsidRPr="00FF441D">
              <w:rPr>
                <w:rFonts w:ascii="Arial Narrow" w:hAnsi="Arial Narrow" w:cs="Calibri"/>
                <w:color w:val="000000" w:themeColor="text1"/>
                <w:sz w:val="16"/>
                <w:szCs w:val="16"/>
              </w:rPr>
              <w:t>(5</w:t>
            </w:r>
            <w:r w:rsidR="00A040FE" w:rsidRPr="00FF441D">
              <w:rPr>
                <w:rFonts w:ascii="Arial Narrow" w:hAnsi="Arial Narrow" w:cs="Calibri"/>
                <w:color w:val="000000" w:themeColor="text1"/>
                <w:sz w:val="16"/>
                <w:szCs w:val="16"/>
              </w:rPr>
              <w:t>1,334,403</w:t>
            </w:r>
            <w:r w:rsidRPr="00FF441D">
              <w:rPr>
                <w:rFonts w:ascii="Arial Narrow" w:hAnsi="Arial Narrow" w:cs="Calibri"/>
                <w:color w:val="000000" w:themeColor="text1"/>
                <w:sz w:val="16"/>
                <w:szCs w:val="16"/>
              </w:rPr>
              <w:t>)</w:t>
            </w:r>
          </w:p>
        </w:tc>
        <w:tc>
          <w:tcPr>
            <w:tcW w:w="1034" w:type="dxa"/>
            <w:tcBorders>
              <w:top w:val="nil"/>
              <w:left w:val="nil"/>
              <w:bottom w:val="nil"/>
              <w:right w:val="nil"/>
            </w:tcBorders>
            <w:shd w:val="clear" w:color="auto" w:fill="auto"/>
            <w:noWrap/>
          </w:tcPr>
          <w:p w14:paraId="36039862" w14:textId="6B17A324" w:rsidR="00D5551C" w:rsidRPr="00FF441D" w:rsidRDefault="00D5551C" w:rsidP="002C765B">
            <w:pPr>
              <w:ind w:left="0"/>
              <w:jc w:val="right"/>
              <w:rPr>
                <w:rFonts w:ascii="Arial Narrow" w:hAnsi="Arial Narrow" w:cs="Calibri"/>
                <w:color w:val="000000" w:themeColor="text1"/>
                <w:sz w:val="16"/>
                <w:szCs w:val="16"/>
              </w:rPr>
            </w:pPr>
            <w:r w:rsidRPr="00FF441D">
              <w:rPr>
                <w:rFonts w:ascii="Arial Narrow" w:hAnsi="Arial Narrow" w:cs="Calibri"/>
                <w:color w:val="000000" w:themeColor="text1"/>
                <w:sz w:val="16"/>
                <w:szCs w:val="16"/>
              </w:rPr>
              <w:t xml:space="preserve"> (</w:t>
            </w:r>
            <w:r w:rsidR="002E5556" w:rsidRPr="00FF441D">
              <w:rPr>
                <w:rFonts w:ascii="Arial Narrow" w:hAnsi="Arial Narrow" w:cs="Calibri"/>
                <w:color w:val="000000" w:themeColor="text1"/>
                <w:sz w:val="16"/>
                <w:szCs w:val="16"/>
              </w:rPr>
              <w:t>73</w:t>
            </w:r>
            <w:r w:rsidRPr="00FF441D">
              <w:rPr>
                <w:rFonts w:ascii="Arial Narrow" w:hAnsi="Arial Narrow" w:cs="Calibri"/>
                <w:color w:val="000000" w:themeColor="text1"/>
                <w:sz w:val="16"/>
                <w:szCs w:val="16"/>
              </w:rPr>
              <w:t>,</w:t>
            </w:r>
            <w:r w:rsidR="002E5556" w:rsidRPr="00FF441D">
              <w:rPr>
                <w:rFonts w:ascii="Arial Narrow" w:hAnsi="Arial Narrow" w:cs="Calibri"/>
                <w:color w:val="000000" w:themeColor="text1"/>
                <w:sz w:val="16"/>
                <w:szCs w:val="16"/>
              </w:rPr>
              <w:t>2</w:t>
            </w:r>
            <w:r w:rsidRPr="00FF441D">
              <w:rPr>
                <w:rFonts w:ascii="Arial Narrow" w:hAnsi="Arial Narrow" w:cs="Calibri"/>
                <w:color w:val="000000" w:themeColor="text1"/>
                <w:sz w:val="16"/>
                <w:szCs w:val="16"/>
              </w:rPr>
              <w:t>40)</w:t>
            </w:r>
          </w:p>
        </w:tc>
        <w:tc>
          <w:tcPr>
            <w:tcW w:w="1033" w:type="dxa"/>
            <w:tcBorders>
              <w:top w:val="nil"/>
              <w:left w:val="nil"/>
              <w:bottom w:val="nil"/>
              <w:right w:val="nil"/>
            </w:tcBorders>
            <w:shd w:val="clear" w:color="auto" w:fill="auto"/>
            <w:noWrap/>
          </w:tcPr>
          <w:p w14:paraId="42F9CAF5" w14:textId="77777777" w:rsidR="00D5551C" w:rsidRPr="00FF441D" w:rsidRDefault="00D5551C" w:rsidP="002C765B">
            <w:pPr>
              <w:ind w:left="0"/>
              <w:jc w:val="right"/>
              <w:rPr>
                <w:rFonts w:ascii="Arial Narrow" w:hAnsi="Arial Narrow" w:cs="Calibri"/>
                <w:color w:val="000000" w:themeColor="text1"/>
                <w:sz w:val="16"/>
                <w:szCs w:val="16"/>
              </w:rPr>
            </w:pPr>
            <w:r w:rsidRPr="00FF441D">
              <w:rPr>
                <w:rFonts w:ascii="Arial Narrow" w:hAnsi="Arial Narrow" w:cs="Calibri"/>
                <w:color w:val="000000" w:themeColor="text1"/>
                <w:sz w:val="16"/>
                <w:szCs w:val="16"/>
              </w:rPr>
              <w:t xml:space="preserve"> (3,683,710)</w:t>
            </w:r>
          </w:p>
        </w:tc>
        <w:tc>
          <w:tcPr>
            <w:tcW w:w="1214" w:type="dxa"/>
            <w:tcBorders>
              <w:top w:val="nil"/>
              <w:left w:val="nil"/>
              <w:bottom w:val="nil"/>
              <w:right w:val="nil"/>
            </w:tcBorders>
            <w:shd w:val="clear" w:color="auto" w:fill="auto"/>
            <w:noWrap/>
            <w:hideMark/>
          </w:tcPr>
          <w:p w14:paraId="03EBED4D" w14:textId="0C493DE8" w:rsidR="00D5551C" w:rsidRPr="00FF441D" w:rsidRDefault="000F371C" w:rsidP="00A040FE">
            <w:pPr>
              <w:ind w:left="0"/>
              <w:jc w:val="right"/>
              <w:rPr>
                <w:rFonts w:ascii="Arial Narrow" w:hAnsi="Arial Narrow" w:cs="Calibri"/>
                <w:color w:val="000000" w:themeColor="text1"/>
                <w:sz w:val="16"/>
                <w:szCs w:val="16"/>
              </w:rPr>
            </w:pPr>
            <w:r w:rsidRPr="00FF441D">
              <w:rPr>
                <w:rFonts w:ascii="Arial Narrow" w:hAnsi="Arial Narrow" w:cs="Calibri"/>
                <w:color w:val="000000" w:themeColor="text1"/>
                <w:sz w:val="16"/>
                <w:szCs w:val="16"/>
              </w:rPr>
              <w:t>(6</w:t>
            </w:r>
            <w:r w:rsidR="00A040FE" w:rsidRPr="00FF441D">
              <w:rPr>
                <w:rFonts w:ascii="Arial Narrow" w:hAnsi="Arial Narrow" w:cs="Calibri"/>
                <w:color w:val="000000" w:themeColor="text1"/>
                <w:sz w:val="16"/>
                <w:szCs w:val="16"/>
              </w:rPr>
              <w:t>4,040,492</w:t>
            </w:r>
            <w:r w:rsidRPr="00FF441D">
              <w:rPr>
                <w:rFonts w:ascii="Arial Narrow" w:hAnsi="Arial Narrow" w:cs="Calibri"/>
                <w:color w:val="000000" w:themeColor="text1"/>
                <w:sz w:val="16"/>
                <w:szCs w:val="16"/>
              </w:rPr>
              <w:t>)</w:t>
            </w:r>
          </w:p>
        </w:tc>
      </w:tr>
      <w:tr w:rsidR="00997F75" w:rsidRPr="00FF441D" w14:paraId="0FE206C3" w14:textId="77777777" w:rsidTr="00FF441D">
        <w:trPr>
          <w:trHeight w:val="260"/>
        </w:trPr>
        <w:tc>
          <w:tcPr>
            <w:tcW w:w="1620" w:type="dxa"/>
            <w:tcBorders>
              <w:top w:val="single" w:sz="4" w:space="0" w:color="auto"/>
              <w:left w:val="nil"/>
              <w:bottom w:val="single" w:sz="4" w:space="0" w:color="auto"/>
              <w:right w:val="nil"/>
            </w:tcBorders>
            <w:shd w:val="clear" w:color="auto" w:fill="auto"/>
            <w:noWrap/>
            <w:vAlign w:val="bottom"/>
            <w:hideMark/>
          </w:tcPr>
          <w:p w14:paraId="232D1490" w14:textId="77777777" w:rsidR="00D5551C" w:rsidRPr="00FF441D" w:rsidRDefault="00D5551C" w:rsidP="00AD3D41">
            <w:pPr>
              <w:ind w:left="-105"/>
              <w:rPr>
                <w:rFonts w:ascii="Arial Narrow" w:hAnsi="Arial Narrow" w:cs="Calibri"/>
                <w:b/>
                <w:bCs/>
                <w:color w:val="000000" w:themeColor="text1"/>
                <w:sz w:val="16"/>
                <w:szCs w:val="16"/>
              </w:rPr>
            </w:pPr>
            <w:r w:rsidRPr="00FF441D">
              <w:rPr>
                <w:rFonts w:ascii="Arial Narrow" w:hAnsi="Arial Narrow" w:cs="Calibri"/>
                <w:b/>
                <w:bCs/>
                <w:color w:val="000000" w:themeColor="text1"/>
                <w:sz w:val="16"/>
                <w:szCs w:val="16"/>
              </w:rPr>
              <w:t>December 31, 2022</w:t>
            </w:r>
          </w:p>
        </w:tc>
        <w:tc>
          <w:tcPr>
            <w:tcW w:w="1115" w:type="dxa"/>
            <w:tcBorders>
              <w:top w:val="single" w:sz="4" w:space="0" w:color="auto"/>
              <w:left w:val="nil"/>
              <w:bottom w:val="single" w:sz="4" w:space="0" w:color="auto"/>
              <w:right w:val="nil"/>
            </w:tcBorders>
            <w:shd w:val="clear" w:color="auto" w:fill="auto"/>
            <w:noWrap/>
            <w:vAlign w:val="bottom"/>
            <w:hideMark/>
          </w:tcPr>
          <w:p w14:paraId="137A8AD1" w14:textId="77777777" w:rsidR="00D5551C" w:rsidRPr="00FF441D" w:rsidRDefault="00D5551C" w:rsidP="00AD3D41">
            <w:pPr>
              <w:ind w:left="0"/>
              <w:jc w:val="right"/>
              <w:rPr>
                <w:rFonts w:ascii="Arial Narrow" w:hAnsi="Arial Narrow" w:cs="Calibri"/>
                <w:b/>
                <w:bCs/>
                <w:color w:val="000000" w:themeColor="text1"/>
                <w:sz w:val="16"/>
                <w:szCs w:val="16"/>
              </w:rPr>
            </w:pPr>
            <w:r w:rsidRPr="00FF441D">
              <w:rPr>
                <w:rFonts w:ascii="Arial Narrow" w:hAnsi="Arial Narrow" w:cs="Calibri"/>
                <w:b/>
                <w:bCs/>
                <w:color w:val="000000" w:themeColor="text1"/>
                <w:sz w:val="16"/>
                <w:szCs w:val="16"/>
              </w:rPr>
              <w:t>484,398,000</w:t>
            </w:r>
          </w:p>
        </w:tc>
        <w:tc>
          <w:tcPr>
            <w:tcW w:w="1113" w:type="dxa"/>
            <w:tcBorders>
              <w:top w:val="single" w:sz="4" w:space="0" w:color="auto"/>
              <w:left w:val="nil"/>
              <w:bottom w:val="single" w:sz="4" w:space="0" w:color="auto"/>
              <w:right w:val="nil"/>
            </w:tcBorders>
            <w:shd w:val="clear" w:color="auto" w:fill="auto"/>
            <w:noWrap/>
            <w:vAlign w:val="bottom"/>
            <w:hideMark/>
          </w:tcPr>
          <w:p w14:paraId="5F2C37BC" w14:textId="408DD04E" w:rsidR="00D5551C" w:rsidRPr="00FF441D" w:rsidRDefault="000F371C" w:rsidP="00A040FE">
            <w:pPr>
              <w:ind w:left="0"/>
              <w:jc w:val="right"/>
              <w:rPr>
                <w:rFonts w:ascii="Arial Narrow" w:hAnsi="Arial Narrow" w:cs="Calibri"/>
                <w:b/>
                <w:bCs/>
                <w:color w:val="000000" w:themeColor="text1"/>
                <w:sz w:val="16"/>
                <w:szCs w:val="16"/>
              </w:rPr>
            </w:pPr>
            <w:r w:rsidRPr="00FF441D">
              <w:rPr>
                <w:rFonts w:ascii="Arial Narrow" w:hAnsi="Arial Narrow" w:cs="Calibri"/>
                <w:b/>
                <w:bCs/>
                <w:color w:val="000000" w:themeColor="text1"/>
                <w:sz w:val="16"/>
                <w:szCs w:val="16"/>
              </w:rPr>
              <w:t>758,733,</w:t>
            </w:r>
            <w:r w:rsidR="00A040FE" w:rsidRPr="00FF441D">
              <w:rPr>
                <w:rFonts w:ascii="Arial Narrow" w:hAnsi="Arial Narrow" w:cs="Calibri"/>
                <w:b/>
                <w:bCs/>
                <w:color w:val="000000" w:themeColor="text1"/>
                <w:sz w:val="16"/>
                <w:szCs w:val="16"/>
              </w:rPr>
              <w:t>246</w:t>
            </w:r>
          </w:p>
        </w:tc>
        <w:tc>
          <w:tcPr>
            <w:tcW w:w="1034" w:type="dxa"/>
            <w:tcBorders>
              <w:top w:val="single" w:sz="4" w:space="0" w:color="auto"/>
              <w:left w:val="nil"/>
              <w:bottom w:val="single" w:sz="4" w:space="0" w:color="auto"/>
              <w:right w:val="nil"/>
            </w:tcBorders>
            <w:shd w:val="clear" w:color="auto" w:fill="auto"/>
            <w:noWrap/>
            <w:vAlign w:val="bottom"/>
            <w:hideMark/>
          </w:tcPr>
          <w:p w14:paraId="3E630FE6" w14:textId="1B7D1D79" w:rsidR="00D5551C" w:rsidRPr="00FF441D" w:rsidRDefault="006A239C" w:rsidP="00A040FE">
            <w:pPr>
              <w:ind w:left="0"/>
              <w:jc w:val="right"/>
              <w:rPr>
                <w:rFonts w:ascii="Arial Narrow" w:hAnsi="Arial Narrow" w:cs="Calibri"/>
                <w:b/>
                <w:bCs/>
                <w:color w:val="000000" w:themeColor="text1"/>
                <w:sz w:val="16"/>
                <w:szCs w:val="16"/>
              </w:rPr>
            </w:pPr>
            <w:r w:rsidRPr="00FF441D">
              <w:rPr>
                <w:rFonts w:ascii="Arial Narrow" w:hAnsi="Arial Narrow" w:cs="Calibri"/>
                <w:b/>
                <w:bCs/>
                <w:color w:val="000000" w:themeColor="text1"/>
                <w:sz w:val="16"/>
                <w:szCs w:val="16"/>
              </w:rPr>
              <w:t>317,083,</w:t>
            </w:r>
            <w:r w:rsidR="00A040FE" w:rsidRPr="00FF441D">
              <w:rPr>
                <w:rFonts w:ascii="Arial Narrow" w:hAnsi="Arial Narrow" w:cs="Calibri"/>
                <w:b/>
                <w:bCs/>
                <w:color w:val="000000" w:themeColor="text1"/>
                <w:sz w:val="16"/>
                <w:szCs w:val="16"/>
              </w:rPr>
              <w:t>467</w:t>
            </w:r>
          </w:p>
        </w:tc>
        <w:tc>
          <w:tcPr>
            <w:tcW w:w="961" w:type="dxa"/>
            <w:tcBorders>
              <w:top w:val="single" w:sz="4" w:space="0" w:color="auto"/>
              <w:left w:val="nil"/>
              <w:bottom w:val="single" w:sz="4" w:space="0" w:color="auto"/>
              <w:right w:val="nil"/>
            </w:tcBorders>
            <w:shd w:val="clear" w:color="auto" w:fill="auto"/>
            <w:noWrap/>
            <w:vAlign w:val="bottom"/>
            <w:hideMark/>
          </w:tcPr>
          <w:p w14:paraId="7965B3E8" w14:textId="29E07C55" w:rsidR="00D5551C" w:rsidRPr="00FF441D" w:rsidRDefault="00A040FE" w:rsidP="00AD3D41">
            <w:pPr>
              <w:ind w:left="0"/>
              <w:jc w:val="right"/>
              <w:rPr>
                <w:rFonts w:ascii="Arial Narrow" w:hAnsi="Arial Narrow" w:cs="Calibri"/>
                <w:b/>
                <w:bCs/>
                <w:color w:val="000000" w:themeColor="text1"/>
                <w:sz w:val="16"/>
                <w:szCs w:val="16"/>
              </w:rPr>
            </w:pPr>
            <w:r w:rsidRPr="00FF441D">
              <w:rPr>
                <w:rFonts w:ascii="Arial Narrow" w:hAnsi="Arial Narrow" w:cs="Calibri"/>
                <w:b/>
                <w:bCs/>
                <w:color w:val="000000" w:themeColor="text1"/>
                <w:sz w:val="16"/>
                <w:szCs w:val="16"/>
              </w:rPr>
              <w:t>62,245,367</w:t>
            </w:r>
          </w:p>
        </w:tc>
        <w:tc>
          <w:tcPr>
            <w:tcW w:w="1034" w:type="dxa"/>
            <w:tcBorders>
              <w:top w:val="single" w:sz="4" w:space="0" w:color="auto"/>
              <w:left w:val="nil"/>
              <w:bottom w:val="single" w:sz="4" w:space="0" w:color="auto"/>
              <w:right w:val="nil"/>
            </w:tcBorders>
            <w:shd w:val="clear" w:color="auto" w:fill="auto"/>
            <w:noWrap/>
            <w:vAlign w:val="bottom"/>
            <w:hideMark/>
          </w:tcPr>
          <w:p w14:paraId="4DB3C4D0" w14:textId="3D9B7F8B" w:rsidR="00D5551C" w:rsidRPr="00FF441D" w:rsidRDefault="00C67D69" w:rsidP="00AD3D41">
            <w:pPr>
              <w:ind w:left="0"/>
              <w:jc w:val="right"/>
              <w:rPr>
                <w:rFonts w:ascii="Arial Narrow" w:hAnsi="Arial Narrow" w:cs="Calibri"/>
                <w:b/>
                <w:bCs/>
                <w:color w:val="000000" w:themeColor="text1"/>
                <w:sz w:val="16"/>
                <w:szCs w:val="16"/>
              </w:rPr>
            </w:pPr>
            <w:r w:rsidRPr="00FF441D">
              <w:rPr>
                <w:rFonts w:ascii="Arial Narrow" w:hAnsi="Arial Narrow" w:cs="Calibri"/>
                <w:b/>
                <w:bCs/>
                <w:color w:val="000000" w:themeColor="text1"/>
                <w:sz w:val="16"/>
                <w:szCs w:val="16"/>
              </w:rPr>
              <w:t>278,723,765</w:t>
            </w:r>
          </w:p>
        </w:tc>
        <w:tc>
          <w:tcPr>
            <w:tcW w:w="1033" w:type="dxa"/>
            <w:tcBorders>
              <w:top w:val="single" w:sz="4" w:space="0" w:color="auto"/>
              <w:left w:val="nil"/>
              <w:bottom w:val="single" w:sz="4" w:space="0" w:color="auto"/>
              <w:right w:val="nil"/>
            </w:tcBorders>
            <w:shd w:val="clear" w:color="auto" w:fill="auto"/>
            <w:noWrap/>
            <w:vAlign w:val="bottom"/>
            <w:hideMark/>
          </w:tcPr>
          <w:p w14:paraId="04925162" w14:textId="77777777" w:rsidR="00D5551C" w:rsidRPr="00FF441D" w:rsidRDefault="00D5551C" w:rsidP="00AD3D41">
            <w:pPr>
              <w:ind w:left="0"/>
              <w:jc w:val="right"/>
              <w:rPr>
                <w:rFonts w:ascii="Arial Narrow" w:hAnsi="Arial Narrow" w:cs="Calibri"/>
                <w:b/>
                <w:bCs/>
                <w:color w:val="000000" w:themeColor="text1"/>
                <w:sz w:val="16"/>
                <w:szCs w:val="16"/>
              </w:rPr>
            </w:pPr>
            <w:r w:rsidRPr="00FF441D">
              <w:rPr>
                <w:rFonts w:ascii="Arial Narrow" w:hAnsi="Arial Narrow" w:cs="Calibri"/>
                <w:b/>
                <w:bCs/>
                <w:color w:val="000000" w:themeColor="text1"/>
                <w:sz w:val="16"/>
                <w:szCs w:val="16"/>
              </w:rPr>
              <w:t>10,575,397</w:t>
            </w:r>
          </w:p>
        </w:tc>
        <w:tc>
          <w:tcPr>
            <w:tcW w:w="1214" w:type="dxa"/>
            <w:tcBorders>
              <w:top w:val="single" w:sz="4" w:space="0" w:color="auto"/>
              <w:left w:val="nil"/>
              <w:bottom w:val="single" w:sz="4" w:space="0" w:color="auto"/>
              <w:right w:val="nil"/>
            </w:tcBorders>
            <w:shd w:val="clear" w:color="auto" w:fill="auto"/>
            <w:noWrap/>
            <w:vAlign w:val="bottom"/>
            <w:hideMark/>
          </w:tcPr>
          <w:p w14:paraId="7C48CCB4" w14:textId="5C46AF66" w:rsidR="00D5551C" w:rsidRPr="00FF441D" w:rsidRDefault="00015DDC" w:rsidP="00A040FE">
            <w:pPr>
              <w:ind w:left="0"/>
              <w:jc w:val="right"/>
              <w:rPr>
                <w:rFonts w:ascii="Arial Narrow" w:hAnsi="Arial Narrow" w:cs="Calibri"/>
                <w:b/>
                <w:bCs/>
                <w:color w:val="000000" w:themeColor="text1"/>
                <w:sz w:val="16"/>
                <w:szCs w:val="16"/>
              </w:rPr>
            </w:pPr>
            <w:r w:rsidRPr="00FF441D">
              <w:rPr>
                <w:rFonts w:ascii="Arial Narrow" w:hAnsi="Arial Narrow" w:cs="Calibri"/>
                <w:b/>
                <w:bCs/>
                <w:color w:val="000000" w:themeColor="text1"/>
                <w:sz w:val="16"/>
                <w:szCs w:val="16"/>
              </w:rPr>
              <w:t>1,911,</w:t>
            </w:r>
            <w:r w:rsidR="00A040FE" w:rsidRPr="00FF441D">
              <w:rPr>
                <w:rFonts w:ascii="Arial Narrow" w:hAnsi="Arial Narrow" w:cs="Calibri"/>
                <w:b/>
                <w:bCs/>
                <w:color w:val="000000" w:themeColor="text1"/>
                <w:sz w:val="16"/>
                <w:szCs w:val="16"/>
              </w:rPr>
              <w:t>759,242</w:t>
            </w:r>
          </w:p>
        </w:tc>
      </w:tr>
      <w:tr w:rsidR="00997F75" w:rsidRPr="00FF441D" w14:paraId="409433B9" w14:textId="77777777" w:rsidTr="00FF441D">
        <w:trPr>
          <w:trHeight w:val="302"/>
        </w:trPr>
        <w:tc>
          <w:tcPr>
            <w:tcW w:w="1620" w:type="dxa"/>
            <w:tcBorders>
              <w:top w:val="nil"/>
              <w:left w:val="nil"/>
              <w:bottom w:val="nil"/>
              <w:right w:val="nil"/>
            </w:tcBorders>
            <w:shd w:val="clear" w:color="auto" w:fill="auto"/>
            <w:noWrap/>
            <w:vAlign w:val="bottom"/>
            <w:hideMark/>
          </w:tcPr>
          <w:p w14:paraId="19E49FB8" w14:textId="77777777" w:rsidR="00D5551C" w:rsidRPr="00FF441D" w:rsidRDefault="00D5551C" w:rsidP="00AD3D41">
            <w:pPr>
              <w:ind w:left="-105"/>
              <w:rPr>
                <w:rFonts w:ascii="Arial Narrow" w:hAnsi="Arial Narrow" w:cs="Calibri"/>
                <w:color w:val="000000" w:themeColor="text1"/>
                <w:sz w:val="16"/>
                <w:szCs w:val="16"/>
              </w:rPr>
            </w:pPr>
            <w:r w:rsidRPr="00FF441D">
              <w:rPr>
                <w:rFonts w:ascii="Arial Narrow" w:hAnsi="Arial Narrow" w:cs="Calibri"/>
                <w:color w:val="000000" w:themeColor="text1"/>
                <w:sz w:val="16"/>
                <w:szCs w:val="16"/>
              </w:rPr>
              <w:t>Accumulated Depreciation:</w:t>
            </w:r>
          </w:p>
        </w:tc>
        <w:tc>
          <w:tcPr>
            <w:tcW w:w="1115" w:type="dxa"/>
            <w:tcBorders>
              <w:top w:val="nil"/>
              <w:left w:val="nil"/>
              <w:bottom w:val="nil"/>
              <w:right w:val="nil"/>
            </w:tcBorders>
            <w:shd w:val="clear" w:color="auto" w:fill="auto"/>
            <w:noWrap/>
            <w:vAlign w:val="bottom"/>
            <w:hideMark/>
          </w:tcPr>
          <w:p w14:paraId="72D01DFF" w14:textId="77777777" w:rsidR="00D5551C" w:rsidRPr="00FF441D" w:rsidRDefault="00D5551C" w:rsidP="00AD3D41">
            <w:pPr>
              <w:ind w:left="0"/>
              <w:jc w:val="right"/>
              <w:rPr>
                <w:rFonts w:ascii="Arial Narrow" w:hAnsi="Arial Narrow" w:cs="Calibri"/>
                <w:color w:val="000000" w:themeColor="text1"/>
                <w:sz w:val="16"/>
                <w:szCs w:val="16"/>
              </w:rPr>
            </w:pPr>
          </w:p>
        </w:tc>
        <w:tc>
          <w:tcPr>
            <w:tcW w:w="1113" w:type="dxa"/>
            <w:tcBorders>
              <w:top w:val="nil"/>
              <w:left w:val="nil"/>
              <w:bottom w:val="nil"/>
              <w:right w:val="nil"/>
            </w:tcBorders>
            <w:shd w:val="clear" w:color="auto" w:fill="auto"/>
            <w:noWrap/>
            <w:vAlign w:val="bottom"/>
            <w:hideMark/>
          </w:tcPr>
          <w:p w14:paraId="351BBCC5" w14:textId="77777777" w:rsidR="00D5551C" w:rsidRPr="00FF441D" w:rsidRDefault="00D5551C" w:rsidP="00AD3D41">
            <w:pPr>
              <w:ind w:left="0"/>
              <w:jc w:val="right"/>
              <w:rPr>
                <w:rFonts w:ascii="Arial Narrow" w:hAnsi="Arial Narrow"/>
                <w:color w:val="000000" w:themeColor="text1"/>
                <w:sz w:val="16"/>
                <w:szCs w:val="16"/>
              </w:rPr>
            </w:pPr>
          </w:p>
        </w:tc>
        <w:tc>
          <w:tcPr>
            <w:tcW w:w="1034" w:type="dxa"/>
            <w:tcBorders>
              <w:top w:val="nil"/>
              <w:left w:val="nil"/>
              <w:bottom w:val="nil"/>
              <w:right w:val="nil"/>
            </w:tcBorders>
            <w:shd w:val="clear" w:color="auto" w:fill="auto"/>
            <w:noWrap/>
            <w:vAlign w:val="bottom"/>
            <w:hideMark/>
          </w:tcPr>
          <w:p w14:paraId="0425923C" w14:textId="77777777" w:rsidR="00D5551C" w:rsidRPr="00FF441D" w:rsidRDefault="00D5551C" w:rsidP="00AD3D41">
            <w:pPr>
              <w:ind w:left="0"/>
              <w:jc w:val="right"/>
              <w:rPr>
                <w:rFonts w:ascii="Arial Narrow" w:hAnsi="Arial Narrow"/>
                <w:color w:val="000000" w:themeColor="text1"/>
                <w:sz w:val="16"/>
                <w:szCs w:val="16"/>
              </w:rPr>
            </w:pPr>
          </w:p>
        </w:tc>
        <w:tc>
          <w:tcPr>
            <w:tcW w:w="961" w:type="dxa"/>
            <w:tcBorders>
              <w:top w:val="nil"/>
              <w:left w:val="nil"/>
              <w:bottom w:val="nil"/>
              <w:right w:val="nil"/>
            </w:tcBorders>
            <w:shd w:val="clear" w:color="auto" w:fill="auto"/>
            <w:noWrap/>
            <w:vAlign w:val="bottom"/>
            <w:hideMark/>
          </w:tcPr>
          <w:p w14:paraId="3067B1E8" w14:textId="77777777" w:rsidR="00D5551C" w:rsidRPr="00FF441D" w:rsidRDefault="00D5551C" w:rsidP="00AD3D41">
            <w:pPr>
              <w:ind w:left="0"/>
              <w:jc w:val="right"/>
              <w:rPr>
                <w:rFonts w:ascii="Arial Narrow" w:hAnsi="Arial Narrow"/>
                <w:color w:val="000000" w:themeColor="text1"/>
                <w:sz w:val="16"/>
                <w:szCs w:val="16"/>
              </w:rPr>
            </w:pPr>
          </w:p>
        </w:tc>
        <w:tc>
          <w:tcPr>
            <w:tcW w:w="1034" w:type="dxa"/>
            <w:tcBorders>
              <w:top w:val="nil"/>
              <w:left w:val="nil"/>
              <w:bottom w:val="nil"/>
              <w:right w:val="nil"/>
            </w:tcBorders>
            <w:shd w:val="clear" w:color="auto" w:fill="auto"/>
            <w:noWrap/>
            <w:vAlign w:val="bottom"/>
            <w:hideMark/>
          </w:tcPr>
          <w:p w14:paraId="1520EE45" w14:textId="77777777" w:rsidR="00D5551C" w:rsidRPr="00FF441D" w:rsidRDefault="00D5551C" w:rsidP="00AD3D41">
            <w:pPr>
              <w:ind w:left="0"/>
              <w:jc w:val="right"/>
              <w:rPr>
                <w:rFonts w:ascii="Arial Narrow" w:hAnsi="Arial Narrow"/>
                <w:color w:val="000000" w:themeColor="text1"/>
                <w:sz w:val="16"/>
                <w:szCs w:val="16"/>
              </w:rPr>
            </w:pPr>
          </w:p>
        </w:tc>
        <w:tc>
          <w:tcPr>
            <w:tcW w:w="1033" w:type="dxa"/>
            <w:tcBorders>
              <w:top w:val="nil"/>
              <w:left w:val="nil"/>
              <w:bottom w:val="nil"/>
              <w:right w:val="nil"/>
            </w:tcBorders>
            <w:shd w:val="clear" w:color="auto" w:fill="auto"/>
            <w:noWrap/>
            <w:vAlign w:val="bottom"/>
            <w:hideMark/>
          </w:tcPr>
          <w:p w14:paraId="2B619081" w14:textId="77777777" w:rsidR="00D5551C" w:rsidRPr="00FF441D" w:rsidRDefault="00D5551C" w:rsidP="00AD3D41">
            <w:pPr>
              <w:ind w:left="0"/>
              <w:jc w:val="right"/>
              <w:rPr>
                <w:rFonts w:ascii="Arial Narrow" w:hAnsi="Arial Narrow"/>
                <w:color w:val="000000" w:themeColor="text1"/>
                <w:sz w:val="16"/>
                <w:szCs w:val="16"/>
              </w:rPr>
            </w:pPr>
          </w:p>
        </w:tc>
        <w:tc>
          <w:tcPr>
            <w:tcW w:w="1214" w:type="dxa"/>
            <w:tcBorders>
              <w:top w:val="nil"/>
              <w:left w:val="nil"/>
              <w:bottom w:val="nil"/>
              <w:right w:val="nil"/>
            </w:tcBorders>
            <w:shd w:val="clear" w:color="auto" w:fill="auto"/>
            <w:noWrap/>
            <w:vAlign w:val="bottom"/>
            <w:hideMark/>
          </w:tcPr>
          <w:p w14:paraId="58F16A9F" w14:textId="77777777" w:rsidR="00D5551C" w:rsidRPr="00FF441D" w:rsidRDefault="00D5551C" w:rsidP="00AD3D41">
            <w:pPr>
              <w:ind w:left="0"/>
              <w:jc w:val="right"/>
              <w:rPr>
                <w:rFonts w:ascii="Arial Narrow" w:hAnsi="Arial Narrow"/>
                <w:color w:val="000000" w:themeColor="text1"/>
                <w:sz w:val="16"/>
                <w:szCs w:val="16"/>
              </w:rPr>
            </w:pPr>
          </w:p>
        </w:tc>
      </w:tr>
      <w:tr w:rsidR="00997F75" w:rsidRPr="00FF441D" w14:paraId="7013F12A" w14:textId="77777777" w:rsidTr="00FF441D">
        <w:trPr>
          <w:trHeight w:val="83"/>
        </w:trPr>
        <w:tc>
          <w:tcPr>
            <w:tcW w:w="1620" w:type="dxa"/>
            <w:tcBorders>
              <w:top w:val="nil"/>
              <w:left w:val="nil"/>
              <w:bottom w:val="nil"/>
              <w:right w:val="nil"/>
            </w:tcBorders>
            <w:shd w:val="clear" w:color="auto" w:fill="auto"/>
            <w:noWrap/>
            <w:vAlign w:val="bottom"/>
            <w:hideMark/>
          </w:tcPr>
          <w:p w14:paraId="10911182" w14:textId="77777777" w:rsidR="00D5551C" w:rsidRPr="00FF441D" w:rsidRDefault="00D5551C" w:rsidP="00AD3D41">
            <w:pPr>
              <w:ind w:left="-105"/>
              <w:rPr>
                <w:rFonts w:ascii="Arial Narrow" w:hAnsi="Arial Narrow" w:cs="Calibri"/>
                <w:color w:val="000000" w:themeColor="text1"/>
                <w:sz w:val="16"/>
                <w:szCs w:val="16"/>
              </w:rPr>
            </w:pPr>
            <w:r w:rsidRPr="00FF441D">
              <w:rPr>
                <w:rFonts w:ascii="Arial Narrow" w:hAnsi="Arial Narrow" w:cs="Calibri"/>
                <w:color w:val="000000" w:themeColor="text1"/>
                <w:sz w:val="16"/>
                <w:szCs w:val="16"/>
              </w:rPr>
              <w:t>January 1, 2022</w:t>
            </w:r>
          </w:p>
        </w:tc>
        <w:tc>
          <w:tcPr>
            <w:tcW w:w="1115" w:type="dxa"/>
            <w:tcBorders>
              <w:top w:val="nil"/>
              <w:left w:val="nil"/>
              <w:bottom w:val="nil"/>
              <w:right w:val="nil"/>
            </w:tcBorders>
            <w:shd w:val="clear" w:color="auto" w:fill="auto"/>
            <w:noWrap/>
            <w:vAlign w:val="bottom"/>
            <w:hideMark/>
          </w:tcPr>
          <w:p w14:paraId="28595EC7" w14:textId="77777777" w:rsidR="00D5551C" w:rsidRPr="00FF441D" w:rsidRDefault="00D5551C" w:rsidP="00AD3D41">
            <w:pPr>
              <w:ind w:left="0"/>
              <w:jc w:val="right"/>
              <w:rPr>
                <w:rFonts w:ascii="Arial Narrow" w:hAnsi="Arial Narrow" w:cs="Calibri"/>
                <w:color w:val="000000" w:themeColor="text1"/>
                <w:sz w:val="16"/>
                <w:szCs w:val="16"/>
              </w:rPr>
            </w:pPr>
            <w:r w:rsidRPr="00FF441D">
              <w:rPr>
                <w:rFonts w:ascii="Arial Narrow" w:hAnsi="Arial Narrow" w:cs="Calibri"/>
                <w:color w:val="000000" w:themeColor="text1"/>
                <w:sz w:val="16"/>
                <w:szCs w:val="16"/>
              </w:rPr>
              <w:t xml:space="preserve">                -   </w:t>
            </w:r>
          </w:p>
        </w:tc>
        <w:tc>
          <w:tcPr>
            <w:tcW w:w="1113" w:type="dxa"/>
            <w:tcBorders>
              <w:top w:val="nil"/>
              <w:left w:val="nil"/>
              <w:bottom w:val="nil"/>
              <w:right w:val="nil"/>
            </w:tcBorders>
            <w:shd w:val="clear" w:color="auto" w:fill="auto"/>
            <w:noWrap/>
            <w:vAlign w:val="bottom"/>
          </w:tcPr>
          <w:p w14:paraId="0795B4C4" w14:textId="77777777" w:rsidR="00D5551C" w:rsidRPr="00FF441D" w:rsidRDefault="00D5551C" w:rsidP="00AD3D41">
            <w:pPr>
              <w:ind w:left="0"/>
              <w:jc w:val="right"/>
              <w:rPr>
                <w:rFonts w:ascii="Arial Narrow" w:hAnsi="Arial Narrow" w:cs="Calibri"/>
                <w:color w:val="000000" w:themeColor="text1"/>
                <w:sz w:val="16"/>
                <w:szCs w:val="16"/>
              </w:rPr>
            </w:pPr>
            <w:r w:rsidRPr="00FF441D">
              <w:rPr>
                <w:rFonts w:ascii="Arial Narrow" w:hAnsi="Arial Narrow" w:cs="Calibri"/>
                <w:color w:val="000000" w:themeColor="text1"/>
                <w:sz w:val="16"/>
                <w:szCs w:val="16"/>
              </w:rPr>
              <w:t xml:space="preserve">   (395,774,943)</w:t>
            </w:r>
          </w:p>
        </w:tc>
        <w:tc>
          <w:tcPr>
            <w:tcW w:w="1034" w:type="dxa"/>
            <w:tcBorders>
              <w:top w:val="nil"/>
              <w:left w:val="nil"/>
              <w:bottom w:val="nil"/>
              <w:right w:val="nil"/>
            </w:tcBorders>
            <w:shd w:val="clear" w:color="auto" w:fill="auto"/>
            <w:noWrap/>
            <w:vAlign w:val="bottom"/>
          </w:tcPr>
          <w:p w14:paraId="154466B9" w14:textId="77777777" w:rsidR="00D5551C" w:rsidRPr="00FF441D" w:rsidRDefault="00D5551C" w:rsidP="00AD3D41">
            <w:pPr>
              <w:ind w:left="0"/>
              <w:jc w:val="right"/>
              <w:rPr>
                <w:rFonts w:ascii="Arial Narrow" w:hAnsi="Arial Narrow" w:cs="Calibri"/>
                <w:color w:val="000000" w:themeColor="text1"/>
                <w:sz w:val="16"/>
                <w:szCs w:val="16"/>
              </w:rPr>
            </w:pPr>
            <w:r w:rsidRPr="00FF441D">
              <w:rPr>
                <w:rFonts w:ascii="Arial Narrow" w:hAnsi="Arial Narrow" w:cs="Calibri"/>
                <w:color w:val="000000" w:themeColor="text1"/>
                <w:sz w:val="16"/>
                <w:szCs w:val="16"/>
              </w:rPr>
              <w:t>(162,411,336)</w:t>
            </w:r>
          </w:p>
        </w:tc>
        <w:tc>
          <w:tcPr>
            <w:tcW w:w="961" w:type="dxa"/>
            <w:tcBorders>
              <w:top w:val="nil"/>
              <w:left w:val="nil"/>
              <w:bottom w:val="nil"/>
              <w:right w:val="nil"/>
            </w:tcBorders>
            <w:shd w:val="clear" w:color="auto" w:fill="auto"/>
            <w:noWrap/>
            <w:vAlign w:val="bottom"/>
          </w:tcPr>
          <w:p w14:paraId="7C257E6D" w14:textId="1EC3CCAD" w:rsidR="00D5551C" w:rsidRPr="00FF441D" w:rsidRDefault="002A5C35" w:rsidP="00A040FE">
            <w:pPr>
              <w:ind w:left="0"/>
              <w:jc w:val="right"/>
              <w:rPr>
                <w:rFonts w:ascii="Arial Narrow" w:hAnsi="Arial Narrow" w:cs="Calibri"/>
                <w:color w:val="000000" w:themeColor="text1"/>
                <w:sz w:val="16"/>
                <w:szCs w:val="16"/>
              </w:rPr>
            </w:pPr>
            <w:r w:rsidRPr="00FF441D">
              <w:rPr>
                <w:rFonts w:ascii="Arial Narrow" w:hAnsi="Arial Narrow" w:cs="Calibri"/>
                <w:color w:val="000000" w:themeColor="text1"/>
                <w:sz w:val="16"/>
                <w:szCs w:val="16"/>
              </w:rPr>
              <w:t>(</w:t>
            </w:r>
            <w:r w:rsidR="007D0043" w:rsidRPr="00FF441D">
              <w:rPr>
                <w:rFonts w:ascii="Arial Narrow" w:hAnsi="Arial Narrow" w:cs="Calibri"/>
                <w:color w:val="000000" w:themeColor="text1"/>
                <w:sz w:val="16"/>
                <w:szCs w:val="16"/>
              </w:rPr>
              <w:t>78,</w:t>
            </w:r>
            <w:r w:rsidR="00A040FE" w:rsidRPr="00FF441D">
              <w:rPr>
                <w:rFonts w:ascii="Arial Narrow" w:hAnsi="Arial Narrow" w:cs="Calibri"/>
                <w:color w:val="000000" w:themeColor="text1"/>
                <w:sz w:val="16"/>
                <w:szCs w:val="16"/>
              </w:rPr>
              <w:t>605,343</w:t>
            </w:r>
            <w:r w:rsidRPr="00FF441D">
              <w:rPr>
                <w:rFonts w:ascii="Arial Narrow" w:hAnsi="Arial Narrow" w:cs="Calibri"/>
                <w:color w:val="000000" w:themeColor="text1"/>
                <w:sz w:val="16"/>
                <w:szCs w:val="16"/>
              </w:rPr>
              <w:t>)</w:t>
            </w:r>
          </w:p>
        </w:tc>
        <w:tc>
          <w:tcPr>
            <w:tcW w:w="1034" w:type="dxa"/>
            <w:tcBorders>
              <w:top w:val="nil"/>
              <w:left w:val="nil"/>
              <w:bottom w:val="nil"/>
              <w:right w:val="nil"/>
            </w:tcBorders>
            <w:shd w:val="clear" w:color="auto" w:fill="auto"/>
            <w:noWrap/>
            <w:vAlign w:val="bottom"/>
          </w:tcPr>
          <w:p w14:paraId="457016C8" w14:textId="77777777" w:rsidR="00D5551C" w:rsidRPr="00FF441D" w:rsidRDefault="00D5551C" w:rsidP="00997F75">
            <w:pPr>
              <w:ind w:left="0"/>
              <w:jc w:val="right"/>
              <w:rPr>
                <w:rFonts w:ascii="Arial Narrow" w:hAnsi="Arial Narrow" w:cs="Calibri"/>
                <w:color w:val="000000" w:themeColor="text1"/>
                <w:sz w:val="16"/>
                <w:szCs w:val="16"/>
              </w:rPr>
            </w:pPr>
            <w:r w:rsidRPr="00FF441D">
              <w:rPr>
                <w:rFonts w:ascii="Arial Narrow" w:hAnsi="Arial Narrow" w:cs="Calibri"/>
                <w:color w:val="000000" w:themeColor="text1"/>
                <w:sz w:val="16"/>
                <w:szCs w:val="16"/>
              </w:rPr>
              <w:t>(121,666,143)</w:t>
            </w:r>
          </w:p>
        </w:tc>
        <w:tc>
          <w:tcPr>
            <w:tcW w:w="1033" w:type="dxa"/>
            <w:tcBorders>
              <w:top w:val="nil"/>
              <w:left w:val="nil"/>
              <w:bottom w:val="nil"/>
              <w:right w:val="nil"/>
            </w:tcBorders>
            <w:shd w:val="clear" w:color="auto" w:fill="auto"/>
            <w:noWrap/>
            <w:vAlign w:val="bottom"/>
          </w:tcPr>
          <w:p w14:paraId="7826C1CE" w14:textId="77777777" w:rsidR="00D5551C" w:rsidRPr="00FF441D" w:rsidRDefault="00D5551C" w:rsidP="00AD3D41">
            <w:pPr>
              <w:ind w:left="0"/>
              <w:jc w:val="right"/>
              <w:rPr>
                <w:rFonts w:ascii="Arial Narrow" w:hAnsi="Arial Narrow" w:cs="Calibri"/>
                <w:color w:val="000000" w:themeColor="text1"/>
                <w:sz w:val="16"/>
                <w:szCs w:val="16"/>
              </w:rPr>
            </w:pPr>
            <w:r w:rsidRPr="00FF441D">
              <w:rPr>
                <w:rFonts w:ascii="Arial Narrow" w:hAnsi="Arial Narrow" w:cs="Calibri"/>
                <w:color w:val="000000" w:themeColor="text1"/>
                <w:sz w:val="16"/>
                <w:szCs w:val="16"/>
              </w:rPr>
              <w:t xml:space="preserve">              -   </w:t>
            </w:r>
          </w:p>
        </w:tc>
        <w:tc>
          <w:tcPr>
            <w:tcW w:w="1214" w:type="dxa"/>
            <w:tcBorders>
              <w:top w:val="nil"/>
              <w:left w:val="nil"/>
              <w:bottom w:val="nil"/>
              <w:right w:val="nil"/>
            </w:tcBorders>
            <w:shd w:val="clear" w:color="auto" w:fill="auto"/>
            <w:noWrap/>
            <w:vAlign w:val="bottom"/>
          </w:tcPr>
          <w:p w14:paraId="01E60329" w14:textId="588FBC8C" w:rsidR="00D5551C" w:rsidRPr="00FF441D" w:rsidRDefault="002A5C35" w:rsidP="00A040FE">
            <w:pPr>
              <w:ind w:left="0"/>
              <w:jc w:val="right"/>
              <w:rPr>
                <w:rFonts w:ascii="Arial Narrow" w:hAnsi="Arial Narrow" w:cs="Calibri"/>
                <w:color w:val="000000" w:themeColor="text1"/>
                <w:sz w:val="16"/>
                <w:szCs w:val="16"/>
              </w:rPr>
            </w:pPr>
            <w:r w:rsidRPr="00FF441D">
              <w:rPr>
                <w:rFonts w:ascii="Arial Narrow" w:hAnsi="Arial Narrow" w:cs="Calibri"/>
                <w:color w:val="000000" w:themeColor="text1"/>
                <w:sz w:val="16"/>
                <w:szCs w:val="16"/>
              </w:rPr>
              <w:t>(758,</w:t>
            </w:r>
            <w:r w:rsidR="00A040FE" w:rsidRPr="00FF441D">
              <w:rPr>
                <w:rFonts w:ascii="Arial Narrow" w:hAnsi="Arial Narrow" w:cs="Calibri"/>
                <w:color w:val="000000" w:themeColor="text1"/>
                <w:sz w:val="16"/>
                <w:szCs w:val="16"/>
              </w:rPr>
              <w:t>457,765</w:t>
            </w:r>
            <w:r w:rsidRPr="00FF441D">
              <w:rPr>
                <w:rFonts w:ascii="Arial Narrow" w:hAnsi="Arial Narrow" w:cs="Calibri"/>
                <w:color w:val="000000" w:themeColor="text1"/>
                <w:sz w:val="16"/>
                <w:szCs w:val="16"/>
              </w:rPr>
              <w:t>)</w:t>
            </w:r>
          </w:p>
        </w:tc>
      </w:tr>
      <w:tr w:rsidR="00997F75" w:rsidRPr="00FF441D" w14:paraId="675F7631" w14:textId="77777777" w:rsidTr="00FF441D">
        <w:trPr>
          <w:trHeight w:val="243"/>
        </w:trPr>
        <w:tc>
          <w:tcPr>
            <w:tcW w:w="1620" w:type="dxa"/>
            <w:tcBorders>
              <w:top w:val="nil"/>
              <w:left w:val="nil"/>
              <w:bottom w:val="nil"/>
              <w:right w:val="nil"/>
            </w:tcBorders>
            <w:shd w:val="clear" w:color="auto" w:fill="auto"/>
            <w:noWrap/>
            <w:vAlign w:val="bottom"/>
            <w:hideMark/>
          </w:tcPr>
          <w:p w14:paraId="4817DE15" w14:textId="77777777" w:rsidR="00D5551C" w:rsidRPr="00FF441D" w:rsidRDefault="00D5551C" w:rsidP="00AD3D41">
            <w:pPr>
              <w:ind w:left="-105"/>
              <w:rPr>
                <w:rFonts w:ascii="Arial Narrow" w:hAnsi="Arial Narrow" w:cs="Calibri"/>
                <w:color w:val="000000" w:themeColor="text1"/>
                <w:sz w:val="16"/>
                <w:szCs w:val="16"/>
              </w:rPr>
            </w:pPr>
            <w:r w:rsidRPr="00FF441D">
              <w:rPr>
                <w:rFonts w:ascii="Arial Narrow" w:hAnsi="Arial Narrow" w:cs="Calibri"/>
                <w:color w:val="000000" w:themeColor="text1"/>
                <w:sz w:val="16"/>
                <w:szCs w:val="16"/>
              </w:rPr>
              <w:t>Depreciation expense</w:t>
            </w:r>
          </w:p>
        </w:tc>
        <w:tc>
          <w:tcPr>
            <w:tcW w:w="1115" w:type="dxa"/>
            <w:tcBorders>
              <w:top w:val="nil"/>
              <w:left w:val="nil"/>
              <w:bottom w:val="nil"/>
              <w:right w:val="nil"/>
            </w:tcBorders>
            <w:shd w:val="clear" w:color="auto" w:fill="auto"/>
            <w:noWrap/>
            <w:vAlign w:val="bottom"/>
            <w:hideMark/>
          </w:tcPr>
          <w:p w14:paraId="56AFA5EB" w14:textId="77777777" w:rsidR="00D5551C" w:rsidRPr="00FF441D" w:rsidRDefault="00D5551C" w:rsidP="00AD3D41">
            <w:pPr>
              <w:ind w:left="0"/>
              <w:jc w:val="right"/>
              <w:rPr>
                <w:rFonts w:ascii="Arial Narrow" w:hAnsi="Arial Narrow" w:cs="Calibri"/>
                <w:color w:val="000000" w:themeColor="text1"/>
                <w:sz w:val="16"/>
                <w:szCs w:val="16"/>
              </w:rPr>
            </w:pPr>
            <w:r w:rsidRPr="00FF441D">
              <w:rPr>
                <w:rFonts w:ascii="Arial Narrow" w:hAnsi="Arial Narrow" w:cs="Calibri"/>
                <w:color w:val="000000" w:themeColor="text1"/>
                <w:sz w:val="16"/>
                <w:szCs w:val="16"/>
              </w:rPr>
              <w:t xml:space="preserve">                -   </w:t>
            </w:r>
          </w:p>
        </w:tc>
        <w:tc>
          <w:tcPr>
            <w:tcW w:w="1113" w:type="dxa"/>
            <w:tcBorders>
              <w:top w:val="nil"/>
              <w:left w:val="nil"/>
              <w:bottom w:val="nil"/>
              <w:right w:val="nil"/>
            </w:tcBorders>
            <w:shd w:val="clear" w:color="auto" w:fill="auto"/>
            <w:noWrap/>
            <w:vAlign w:val="bottom"/>
          </w:tcPr>
          <w:p w14:paraId="2B7CFD7E" w14:textId="1D412D70" w:rsidR="00D5551C" w:rsidRPr="00FF441D" w:rsidRDefault="00D5551C" w:rsidP="00A040FE">
            <w:pPr>
              <w:ind w:left="0"/>
              <w:jc w:val="right"/>
              <w:rPr>
                <w:rFonts w:ascii="Arial Narrow" w:hAnsi="Arial Narrow" w:cs="Calibri"/>
                <w:color w:val="000000" w:themeColor="text1"/>
                <w:sz w:val="16"/>
                <w:szCs w:val="16"/>
              </w:rPr>
            </w:pPr>
            <w:r w:rsidRPr="00FF441D">
              <w:rPr>
                <w:rFonts w:ascii="Arial Narrow" w:hAnsi="Arial Narrow" w:cs="Calibri"/>
                <w:color w:val="000000" w:themeColor="text1"/>
                <w:sz w:val="16"/>
                <w:szCs w:val="16"/>
              </w:rPr>
              <w:t>(</w:t>
            </w:r>
            <w:r w:rsidR="00A040FE" w:rsidRPr="00FF441D">
              <w:rPr>
                <w:rFonts w:ascii="Arial Narrow" w:hAnsi="Arial Narrow" w:cs="Calibri"/>
                <w:color w:val="000000" w:themeColor="text1"/>
                <w:sz w:val="16"/>
                <w:szCs w:val="16"/>
              </w:rPr>
              <w:t>162,427,510</w:t>
            </w:r>
            <w:r w:rsidRPr="00FF441D">
              <w:rPr>
                <w:rFonts w:ascii="Arial Narrow" w:hAnsi="Arial Narrow" w:cs="Calibri"/>
                <w:color w:val="000000" w:themeColor="text1"/>
                <w:sz w:val="16"/>
                <w:szCs w:val="16"/>
              </w:rPr>
              <w:t>)</w:t>
            </w:r>
          </w:p>
        </w:tc>
        <w:tc>
          <w:tcPr>
            <w:tcW w:w="1034" w:type="dxa"/>
            <w:tcBorders>
              <w:top w:val="nil"/>
              <w:left w:val="nil"/>
              <w:bottom w:val="nil"/>
              <w:right w:val="nil"/>
            </w:tcBorders>
            <w:shd w:val="clear" w:color="auto" w:fill="auto"/>
            <w:noWrap/>
            <w:vAlign w:val="bottom"/>
          </w:tcPr>
          <w:p w14:paraId="75158B6F" w14:textId="6878EEB6" w:rsidR="00D5551C" w:rsidRPr="00FF441D" w:rsidRDefault="00D5551C" w:rsidP="00A040FE">
            <w:pPr>
              <w:ind w:left="0"/>
              <w:jc w:val="right"/>
              <w:rPr>
                <w:rFonts w:ascii="Arial Narrow" w:hAnsi="Arial Narrow" w:cs="Calibri"/>
                <w:color w:val="000000" w:themeColor="text1"/>
                <w:sz w:val="16"/>
                <w:szCs w:val="16"/>
              </w:rPr>
            </w:pPr>
            <w:r w:rsidRPr="00FF441D">
              <w:rPr>
                <w:rFonts w:ascii="Arial Narrow" w:hAnsi="Arial Narrow" w:cs="Calibri"/>
                <w:color w:val="000000" w:themeColor="text1"/>
                <w:sz w:val="16"/>
                <w:szCs w:val="16"/>
              </w:rPr>
              <w:t>(</w:t>
            </w:r>
            <w:r w:rsidR="00A040FE" w:rsidRPr="00FF441D">
              <w:rPr>
                <w:rFonts w:ascii="Arial Narrow" w:hAnsi="Arial Narrow" w:cs="Calibri"/>
                <w:color w:val="000000" w:themeColor="text1"/>
                <w:sz w:val="16"/>
                <w:szCs w:val="16"/>
              </w:rPr>
              <w:t>11,047,234</w:t>
            </w:r>
            <w:r w:rsidRPr="00FF441D">
              <w:rPr>
                <w:rFonts w:ascii="Arial Narrow" w:hAnsi="Arial Narrow" w:cs="Calibri"/>
                <w:color w:val="000000" w:themeColor="text1"/>
                <w:sz w:val="16"/>
                <w:szCs w:val="16"/>
              </w:rPr>
              <w:t>)</w:t>
            </w:r>
          </w:p>
        </w:tc>
        <w:tc>
          <w:tcPr>
            <w:tcW w:w="961" w:type="dxa"/>
            <w:tcBorders>
              <w:top w:val="nil"/>
              <w:left w:val="nil"/>
              <w:bottom w:val="nil"/>
              <w:right w:val="nil"/>
            </w:tcBorders>
            <w:shd w:val="clear" w:color="auto" w:fill="auto"/>
            <w:noWrap/>
            <w:vAlign w:val="bottom"/>
          </w:tcPr>
          <w:p w14:paraId="56931829" w14:textId="5234F991" w:rsidR="00D5551C" w:rsidRPr="00FF441D" w:rsidRDefault="00D5551C" w:rsidP="00A040FE">
            <w:pPr>
              <w:ind w:left="0"/>
              <w:jc w:val="right"/>
              <w:rPr>
                <w:rFonts w:ascii="Arial Narrow" w:hAnsi="Arial Narrow" w:cs="Calibri"/>
                <w:color w:val="000000" w:themeColor="text1"/>
                <w:sz w:val="16"/>
                <w:szCs w:val="16"/>
              </w:rPr>
            </w:pPr>
            <w:r w:rsidRPr="00FF441D">
              <w:rPr>
                <w:rFonts w:ascii="Arial Narrow" w:hAnsi="Arial Narrow" w:cs="Calibri"/>
                <w:color w:val="000000" w:themeColor="text1"/>
                <w:sz w:val="16"/>
                <w:szCs w:val="16"/>
              </w:rPr>
              <w:t>(</w:t>
            </w:r>
            <w:r w:rsidR="00A040FE" w:rsidRPr="00FF441D">
              <w:rPr>
                <w:rFonts w:ascii="Arial Narrow" w:hAnsi="Arial Narrow" w:cs="Calibri"/>
                <w:color w:val="000000" w:themeColor="text1"/>
                <w:sz w:val="16"/>
                <w:szCs w:val="16"/>
              </w:rPr>
              <w:t>1</w:t>
            </w:r>
            <w:r w:rsidR="00F755A2" w:rsidRPr="00FF441D">
              <w:rPr>
                <w:rFonts w:ascii="Arial Narrow" w:hAnsi="Arial Narrow" w:cs="Calibri"/>
                <w:color w:val="000000" w:themeColor="text1"/>
                <w:sz w:val="16"/>
                <w:szCs w:val="16"/>
              </w:rPr>
              <w:t>7,</w:t>
            </w:r>
            <w:r w:rsidR="00A040FE" w:rsidRPr="00FF441D">
              <w:rPr>
                <w:rFonts w:ascii="Arial Narrow" w:hAnsi="Arial Narrow" w:cs="Calibri"/>
                <w:color w:val="000000" w:themeColor="text1"/>
                <w:sz w:val="16"/>
                <w:szCs w:val="16"/>
              </w:rPr>
              <w:t>279</w:t>
            </w:r>
            <w:r w:rsidR="00F755A2" w:rsidRPr="00FF441D">
              <w:rPr>
                <w:rFonts w:ascii="Arial Narrow" w:hAnsi="Arial Narrow" w:cs="Calibri"/>
                <w:color w:val="000000" w:themeColor="text1"/>
                <w:sz w:val="16"/>
                <w:szCs w:val="16"/>
              </w:rPr>
              <w:t>,</w:t>
            </w:r>
            <w:r w:rsidR="00A040FE" w:rsidRPr="00FF441D">
              <w:rPr>
                <w:rFonts w:ascii="Arial Narrow" w:hAnsi="Arial Narrow" w:cs="Calibri"/>
                <w:color w:val="000000" w:themeColor="text1"/>
                <w:sz w:val="16"/>
                <w:szCs w:val="16"/>
              </w:rPr>
              <w:t>277</w:t>
            </w:r>
            <w:r w:rsidRPr="00FF441D">
              <w:rPr>
                <w:rFonts w:ascii="Arial Narrow" w:hAnsi="Arial Narrow" w:cs="Calibri"/>
                <w:color w:val="000000" w:themeColor="text1"/>
                <w:sz w:val="16"/>
                <w:szCs w:val="16"/>
              </w:rPr>
              <w:t>)</w:t>
            </w:r>
          </w:p>
        </w:tc>
        <w:tc>
          <w:tcPr>
            <w:tcW w:w="1034" w:type="dxa"/>
            <w:tcBorders>
              <w:top w:val="nil"/>
              <w:left w:val="nil"/>
              <w:bottom w:val="nil"/>
              <w:right w:val="nil"/>
            </w:tcBorders>
            <w:shd w:val="clear" w:color="auto" w:fill="auto"/>
            <w:noWrap/>
            <w:vAlign w:val="bottom"/>
          </w:tcPr>
          <w:p w14:paraId="6412BA07" w14:textId="55570A91" w:rsidR="00D5551C" w:rsidRPr="00FF441D" w:rsidRDefault="00D5551C" w:rsidP="00A040FE">
            <w:pPr>
              <w:ind w:left="0"/>
              <w:jc w:val="right"/>
              <w:rPr>
                <w:rFonts w:ascii="Arial Narrow" w:hAnsi="Arial Narrow" w:cs="Calibri"/>
                <w:color w:val="000000" w:themeColor="text1"/>
                <w:sz w:val="16"/>
                <w:szCs w:val="16"/>
              </w:rPr>
            </w:pPr>
            <w:r w:rsidRPr="00FF441D">
              <w:rPr>
                <w:rFonts w:ascii="Arial Narrow" w:hAnsi="Arial Narrow" w:cs="Calibri"/>
                <w:color w:val="000000" w:themeColor="text1"/>
                <w:sz w:val="16"/>
                <w:szCs w:val="16"/>
              </w:rPr>
              <w:t>(</w:t>
            </w:r>
            <w:r w:rsidR="004321DB" w:rsidRPr="00FF441D">
              <w:rPr>
                <w:rFonts w:ascii="Arial Narrow" w:hAnsi="Arial Narrow" w:cs="Calibri"/>
                <w:color w:val="000000" w:themeColor="text1"/>
                <w:sz w:val="16"/>
                <w:szCs w:val="16"/>
              </w:rPr>
              <w:t>19,</w:t>
            </w:r>
            <w:r w:rsidR="00A040FE" w:rsidRPr="00FF441D">
              <w:rPr>
                <w:rFonts w:ascii="Arial Narrow" w:hAnsi="Arial Narrow" w:cs="Calibri"/>
                <w:color w:val="000000" w:themeColor="text1"/>
                <w:sz w:val="16"/>
                <w:szCs w:val="16"/>
              </w:rPr>
              <w:t>339,147</w:t>
            </w:r>
            <w:r w:rsidRPr="00FF441D">
              <w:rPr>
                <w:rFonts w:ascii="Arial Narrow" w:hAnsi="Arial Narrow" w:cs="Calibri"/>
                <w:color w:val="000000" w:themeColor="text1"/>
                <w:sz w:val="16"/>
                <w:szCs w:val="16"/>
              </w:rPr>
              <w:t>)</w:t>
            </w:r>
          </w:p>
        </w:tc>
        <w:tc>
          <w:tcPr>
            <w:tcW w:w="1033" w:type="dxa"/>
            <w:tcBorders>
              <w:top w:val="nil"/>
              <w:left w:val="nil"/>
              <w:bottom w:val="nil"/>
              <w:right w:val="nil"/>
            </w:tcBorders>
            <w:shd w:val="clear" w:color="auto" w:fill="auto"/>
            <w:noWrap/>
            <w:vAlign w:val="bottom"/>
          </w:tcPr>
          <w:p w14:paraId="3D779647" w14:textId="77777777" w:rsidR="00D5551C" w:rsidRPr="00FF441D" w:rsidRDefault="00D5551C" w:rsidP="00AD3D41">
            <w:pPr>
              <w:ind w:left="0"/>
              <w:jc w:val="right"/>
              <w:rPr>
                <w:rFonts w:ascii="Arial Narrow" w:hAnsi="Arial Narrow" w:cs="Calibri"/>
                <w:color w:val="000000" w:themeColor="text1"/>
                <w:sz w:val="16"/>
                <w:szCs w:val="16"/>
              </w:rPr>
            </w:pPr>
            <w:r w:rsidRPr="00FF441D">
              <w:rPr>
                <w:rFonts w:ascii="Arial Narrow" w:hAnsi="Arial Narrow" w:cs="Calibri"/>
                <w:color w:val="000000" w:themeColor="text1"/>
                <w:sz w:val="16"/>
                <w:szCs w:val="16"/>
              </w:rPr>
              <w:t xml:space="preserve">              -   </w:t>
            </w:r>
          </w:p>
        </w:tc>
        <w:tc>
          <w:tcPr>
            <w:tcW w:w="1214" w:type="dxa"/>
            <w:tcBorders>
              <w:top w:val="nil"/>
              <w:left w:val="nil"/>
              <w:bottom w:val="nil"/>
              <w:right w:val="nil"/>
            </w:tcBorders>
            <w:shd w:val="clear" w:color="auto" w:fill="auto"/>
            <w:noWrap/>
            <w:vAlign w:val="bottom"/>
          </w:tcPr>
          <w:p w14:paraId="2FCD05AC" w14:textId="073D33D2" w:rsidR="00D5551C" w:rsidRPr="00FF441D" w:rsidRDefault="00D5551C" w:rsidP="00A040FE">
            <w:pPr>
              <w:ind w:left="0"/>
              <w:jc w:val="right"/>
              <w:rPr>
                <w:rFonts w:ascii="Arial Narrow" w:hAnsi="Arial Narrow" w:cs="Calibri"/>
                <w:color w:val="000000" w:themeColor="text1"/>
                <w:sz w:val="16"/>
                <w:szCs w:val="16"/>
              </w:rPr>
            </w:pPr>
            <w:r w:rsidRPr="00FF441D">
              <w:rPr>
                <w:rFonts w:ascii="Arial Narrow" w:hAnsi="Arial Narrow" w:cs="Calibri"/>
                <w:color w:val="000000" w:themeColor="text1"/>
                <w:sz w:val="16"/>
                <w:szCs w:val="16"/>
              </w:rPr>
              <w:t>(</w:t>
            </w:r>
            <w:r w:rsidR="00A370A1" w:rsidRPr="00FF441D">
              <w:rPr>
                <w:rFonts w:ascii="Arial Narrow" w:hAnsi="Arial Narrow" w:cs="Calibri"/>
                <w:color w:val="000000" w:themeColor="text1"/>
                <w:sz w:val="16"/>
                <w:szCs w:val="16"/>
              </w:rPr>
              <w:t>2</w:t>
            </w:r>
            <w:r w:rsidR="00A040FE" w:rsidRPr="00FF441D">
              <w:rPr>
                <w:rFonts w:ascii="Arial Narrow" w:hAnsi="Arial Narrow" w:cs="Calibri"/>
                <w:color w:val="000000" w:themeColor="text1"/>
                <w:sz w:val="16"/>
                <w:szCs w:val="16"/>
              </w:rPr>
              <w:t>10,093,168</w:t>
            </w:r>
            <w:r w:rsidRPr="00FF441D">
              <w:rPr>
                <w:rFonts w:ascii="Arial Narrow" w:hAnsi="Arial Narrow" w:cs="Calibri"/>
                <w:color w:val="000000" w:themeColor="text1"/>
                <w:sz w:val="16"/>
                <w:szCs w:val="16"/>
              </w:rPr>
              <w:t>)</w:t>
            </w:r>
          </w:p>
        </w:tc>
      </w:tr>
      <w:tr w:rsidR="00997F75" w:rsidRPr="00FF441D" w14:paraId="45A1DD1B" w14:textId="77777777" w:rsidTr="00FF441D">
        <w:trPr>
          <w:trHeight w:val="135"/>
        </w:trPr>
        <w:tc>
          <w:tcPr>
            <w:tcW w:w="1620" w:type="dxa"/>
            <w:tcBorders>
              <w:top w:val="nil"/>
              <w:left w:val="nil"/>
              <w:bottom w:val="nil"/>
              <w:right w:val="nil"/>
            </w:tcBorders>
            <w:shd w:val="clear" w:color="auto" w:fill="auto"/>
            <w:noWrap/>
            <w:vAlign w:val="bottom"/>
            <w:hideMark/>
          </w:tcPr>
          <w:p w14:paraId="5446266B" w14:textId="77777777" w:rsidR="00D5551C" w:rsidRPr="00FF441D" w:rsidRDefault="00D5551C" w:rsidP="00AD3D41">
            <w:pPr>
              <w:ind w:left="-105"/>
              <w:rPr>
                <w:rFonts w:ascii="Arial Narrow" w:hAnsi="Arial Narrow" w:cs="Calibri"/>
                <w:color w:val="000000" w:themeColor="text1"/>
                <w:sz w:val="16"/>
                <w:szCs w:val="16"/>
              </w:rPr>
            </w:pPr>
            <w:r w:rsidRPr="00FF441D">
              <w:rPr>
                <w:rFonts w:ascii="Arial Narrow" w:hAnsi="Arial Narrow" w:cs="Calibri"/>
                <w:color w:val="000000" w:themeColor="text1"/>
                <w:sz w:val="16"/>
                <w:szCs w:val="16"/>
              </w:rPr>
              <w:t>Disposals</w:t>
            </w:r>
          </w:p>
        </w:tc>
        <w:tc>
          <w:tcPr>
            <w:tcW w:w="1115" w:type="dxa"/>
            <w:tcBorders>
              <w:top w:val="nil"/>
              <w:left w:val="nil"/>
              <w:bottom w:val="nil"/>
              <w:right w:val="nil"/>
            </w:tcBorders>
            <w:shd w:val="clear" w:color="auto" w:fill="auto"/>
            <w:noWrap/>
            <w:vAlign w:val="bottom"/>
            <w:hideMark/>
          </w:tcPr>
          <w:p w14:paraId="223CB0F0" w14:textId="77777777" w:rsidR="00D5551C" w:rsidRPr="00FF441D" w:rsidRDefault="00D5551C" w:rsidP="00AD3D41">
            <w:pPr>
              <w:ind w:left="0"/>
              <w:jc w:val="right"/>
              <w:rPr>
                <w:rFonts w:ascii="Arial Narrow" w:hAnsi="Arial Narrow" w:cs="Calibri"/>
                <w:color w:val="000000" w:themeColor="text1"/>
                <w:sz w:val="16"/>
                <w:szCs w:val="16"/>
              </w:rPr>
            </w:pPr>
            <w:r w:rsidRPr="00FF441D">
              <w:rPr>
                <w:rFonts w:ascii="Arial Narrow" w:hAnsi="Arial Narrow" w:cs="Calibri"/>
                <w:color w:val="000000" w:themeColor="text1"/>
                <w:sz w:val="16"/>
                <w:szCs w:val="16"/>
              </w:rPr>
              <w:t xml:space="preserve">                -   </w:t>
            </w:r>
          </w:p>
        </w:tc>
        <w:tc>
          <w:tcPr>
            <w:tcW w:w="1113" w:type="dxa"/>
            <w:tcBorders>
              <w:top w:val="nil"/>
              <w:left w:val="nil"/>
              <w:bottom w:val="nil"/>
              <w:right w:val="nil"/>
            </w:tcBorders>
            <w:shd w:val="clear" w:color="auto" w:fill="auto"/>
            <w:noWrap/>
            <w:vAlign w:val="bottom"/>
          </w:tcPr>
          <w:p w14:paraId="0D5CA768" w14:textId="77777777" w:rsidR="00D5551C" w:rsidRPr="00FF441D" w:rsidRDefault="00D5551C" w:rsidP="00AD3D41">
            <w:pPr>
              <w:ind w:left="0"/>
              <w:jc w:val="right"/>
              <w:rPr>
                <w:rFonts w:ascii="Arial Narrow" w:hAnsi="Arial Narrow" w:cs="Calibri"/>
                <w:color w:val="000000" w:themeColor="text1"/>
                <w:sz w:val="16"/>
                <w:szCs w:val="16"/>
              </w:rPr>
            </w:pPr>
            <w:r w:rsidRPr="00FF441D">
              <w:rPr>
                <w:rFonts w:ascii="Arial Narrow" w:hAnsi="Arial Narrow" w:cs="Calibri"/>
                <w:color w:val="000000" w:themeColor="text1"/>
                <w:sz w:val="16"/>
                <w:szCs w:val="16"/>
              </w:rPr>
              <w:t xml:space="preserve">               591,544   </w:t>
            </w:r>
          </w:p>
        </w:tc>
        <w:tc>
          <w:tcPr>
            <w:tcW w:w="1034" w:type="dxa"/>
            <w:tcBorders>
              <w:top w:val="nil"/>
              <w:left w:val="nil"/>
              <w:bottom w:val="nil"/>
              <w:right w:val="nil"/>
            </w:tcBorders>
            <w:shd w:val="clear" w:color="auto" w:fill="auto"/>
            <w:noWrap/>
            <w:vAlign w:val="bottom"/>
          </w:tcPr>
          <w:p w14:paraId="368EE772" w14:textId="77777777" w:rsidR="00D5551C" w:rsidRPr="00FF441D" w:rsidRDefault="00D5551C" w:rsidP="00AD3D41">
            <w:pPr>
              <w:ind w:left="0"/>
              <w:jc w:val="right"/>
              <w:rPr>
                <w:rFonts w:ascii="Arial Narrow" w:hAnsi="Arial Narrow" w:cs="Calibri"/>
                <w:color w:val="000000" w:themeColor="text1"/>
                <w:sz w:val="16"/>
                <w:szCs w:val="16"/>
              </w:rPr>
            </w:pPr>
            <w:r w:rsidRPr="00FF441D">
              <w:rPr>
                <w:rFonts w:ascii="Arial Narrow" w:hAnsi="Arial Narrow" w:cs="Calibri"/>
                <w:color w:val="000000" w:themeColor="text1"/>
                <w:sz w:val="16"/>
                <w:szCs w:val="16"/>
              </w:rPr>
              <w:t xml:space="preserve">        220,479</w:t>
            </w:r>
          </w:p>
        </w:tc>
        <w:tc>
          <w:tcPr>
            <w:tcW w:w="961" w:type="dxa"/>
            <w:tcBorders>
              <w:top w:val="nil"/>
              <w:left w:val="nil"/>
              <w:bottom w:val="nil"/>
              <w:right w:val="nil"/>
            </w:tcBorders>
            <w:shd w:val="clear" w:color="auto" w:fill="auto"/>
            <w:noWrap/>
            <w:vAlign w:val="bottom"/>
          </w:tcPr>
          <w:p w14:paraId="2351CFC4" w14:textId="77777777" w:rsidR="00D5551C" w:rsidRPr="00FF441D" w:rsidRDefault="00D5551C" w:rsidP="00AD3D41">
            <w:pPr>
              <w:ind w:left="0"/>
              <w:jc w:val="right"/>
              <w:rPr>
                <w:rFonts w:ascii="Arial Narrow" w:hAnsi="Arial Narrow" w:cs="Calibri"/>
                <w:color w:val="000000" w:themeColor="text1"/>
                <w:sz w:val="16"/>
                <w:szCs w:val="16"/>
              </w:rPr>
            </w:pPr>
            <w:r w:rsidRPr="00FF441D">
              <w:rPr>
                <w:rFonts w:ascii="Arial Narrow" w:hAnsi="Arial Narrow" w:cs="Calibri"/>
                <w:color w:val="000000" w:themeColor="text1"/>
                <w:sz w:val="16"/>
                <w:szCs w:val="16"/>
              </w:rPr>
              <w:t xml:space="preserve">    383,496</w:t>
            </w:r>
          </w:p>
        </w:tc>
        <w:tc>
          <w:tcPr>
            <w:tcW w:w="1034" w:type="dxa"/>
            <w:tcBorders>
              <w:top w:val="nil"/>
              <w:left w:val="nil"/>
              <w:bottom w:val="nil"/>
              <w:right w:val="nil"/>
            </w:tcBorders>
            <w:shd w:val="clear" w:color="auto" w:fill="auto"/>
            <w:noWrap/>
            <w:vAlign w:val="bottom"/>
          </w:tcPr>
          <w:p w14:paraId="149C5365" w14:textId="77777777" w:rsidR="00D5551C" w:rsidRPr="00FF441D" w:rsidRDefault="00D5551C" w:rsidP="00AD3D41">
            <w:pPr>
              <w:ind w:left="0"/>
              <w:jc w:val="right"/>
              <w:rPr>
                <w:rFonts w:ascii="Arial Narrow" w:hAnsi="Arial Narrow" w:cs="Calibri"/>
                <w:color w:val="000000" w:themeColor="text1"/>
                <w:sz w:val="16"/>
                <w:szCs w:val="16"/>
              </w:rPr>
            </w:pPr>
            <w:r w:rsidRPr="00FF441D">
              <w:rPr>
                <w:rFonts w:ascii="Arial Narrow" w:hAnsi="Arial Narrow" w:cs="Calibri"/>
                <w:color w:val="000000" w:themeColor="text1"/>
                <w:sz w:val="16"/>
                <w:szCs w:val="16"/>
              </w:rPr>
              <w:t xml:space="preserve">   1,898,100</w:t>
            </w:r>
          </w:p>
        </w:tc>
        <w:tc>
          <w:tcPr>
            <w:tcW w:w="1033" w:type="dxa"/>
            <w:tcBorders>
              <w:top w:val="nil"/>
              <w:left w:val="nil"/>
              <w:bottom w:val="nil"/>
              <w:right w:val="nil"/>
            </w:tcBorders>
            <w:shd w:val="clear" w:color="auto" w:fill="auto"/>
            <w:noWrap/>
            <w:vAlign w:val="bottom"/>
          </w:tcPr>
          <w:p w14:paraId="4C37FE37" w14:textId="77777777" w:rsidR="00D5551C" w:rsidRPr="00FF441D" w:rsidRDefault="00D5551C" w:rsidP="00AD3D41">
            <w:pPr>
              <w:ind w:left="0"/>
              <w:jc w:val="right"/>
              <w:rPr>
                <w:rFonts w:ascii="Arial Narrow" w:hAnsi="Arial Narrow" w:cs="Calibri"/>
                <w:color w:val="000000" w:themeColor="text1"/>
                <w:sz w:val="16"/>
                <w:szCs w:val="16"/>
              </w:rPr>
            </w:pPr>
            <w:r w:rsidRPr="00FF441D">
              <w:rPr>
                <w:rFonts w:ascii="Arial Narrow" w:hAnsi="Arial Narrow" w:cs="Calibri"/>
                <w:color w:val="000000" w:themeColor="text1"/>
                <w:sz w:val="16"/>
                <w:szCs w:val="16"/>
              </w:rPr>
              <w:t xml:space="preserve">              -   </w:t>
            </w:r>
          </w:p>
        </w:tc>
        <w:tc>
          <w:tcPr>
            <w:tcW w:w="1214" w:type="dxa"/>
            <w:tcBorders>
              <w:top w:val="nil"/>
              <w:left w:val="nil"/>
              <w:bottom w:val="nil"/>
              <w:right w:val="nil"/>
            </w:tcBorders>
            <w:shd w:val="clear" w:color="auto" w:fill="auto"/>
            <w:noWrap/>
            <w:vAlign w:val="bottom"/>
          </w:tcPr>
          <w:p w14:paraId="1B206A7C" w14:textId="77777777" w:rsidR="00D5551C" w:rsidRPr="00FF441D" w:rsidRDefault="00D5551C" w:rsidP="00AD3D41">
            <w:pPr>
              <w:ind w:left="0"/>
              <w:jc w:val="right"/>
              <w:rPr>
                <w:rFonts w:ascii="Arial Narrow" w:hAnsi="Arial Narrow" w:cs="Calibri"/>
                <w:color w:val="000000" w:themeColor="text1"/>
                <w:sz w:val="16"/>
                <w:szCs w:val="16"/>
              </w:rPr>
            </w:pPr>
            <w:r w:rsidRPr="00FF441D">
              <w:rPr>
                <w:rFonts w:ascii="Arial Narrow" w:hAnsi="Arial Narrow" w:cs="Calibri"/>
                <w:color w:val="000000" w:themeColor="text1"/>
                <w:sz w:val="16"/>
                <w:szCs w:val="16"/>
              </w:rPr>
              <w:t xml:space="preserve">          3,093,619</w:t>
            </w:r>
          </w:p>
        </w:tc>
      </w:tr>
      <w:tr w:rsidR="00997F75" w:rsidRPr="00FF441D" w14:paraId="61642CFC" w14:textId="77777777" w:rsidTr="00FF441D">
        <w:trPr>
          <w:trHeight w:val="126"/>
        </w:trPr>
        <w:tc>
          <w:tcPr>
            <w:tcW w:w="1620" w:type="dxa"/>
            <w:tcBorders>
              <w:top w:val="nil"/>
              <w:left w:val="nil"/>
              <w:bottom w:val="nil"/>
              <w:right w:val="nil"/>
            </w:tcBorders>
            <w:shd w:val="clear" w:color="auto" w:fill="auto"/>
            <w:noWrap/>
            <w:vAlign w:val="bottom"/>
            <w:hideMark/>
          </w:tcPr>
          <w:p w14:paraId="6DAC2847" w14:textId="77777777" w:rsidR="00A60D77" w:rsidRPr="00FF441D" w:rsidRDefault="00A60D77" w:rsidP="00A60D77">
            <w:pPr>
              <w:ind w:left="-105"/>
              <w:rPr>
                <w:rFonts w:ascii="Arial Narrow" w:hAnsi="Arial Narrow" w:cs="Calibri"/>
                <w:color w:val="000000" w:themeColor="text1"/>
                <w:sz w:val="16"/>
                <w:szCs w:val="16"/>
              </w:rPr>
            </w:pPr>
            <w:r w:rsidRPr="00FF441D">
              <w:rPr>
                <w:rFonts w:ascii="Arial Narrow" w:hAnsi="Arial Narrow" w:cs="Calibri"/>
                <w:color w:val="000000" w:themeColor="text1"/>
                <w:sz w:val="16"/>
                <w:szCs w:val="16"/>
              </w:rPr>
              <w:t>Adjustments</w:t>
            </w:r>
          </w:p>
        </w:tc>
        <w:tc>
          <w:tcPr>
            <w:tcW w:w="1115" w:type="dxa"/>
            <w:tcBorders>
              <w:top w:val="nil"/>
              <w:left w:val="nil"/>
              <w:bottom w:val="nil"/>
              <w:right w:val="nil"/>
            </w:tcBorders>
            <w:shd w:val="clear" w:color="auto" w:fill="auto"/>
            <w:noWrap/>
            <w:vAlign w:val="bottom"/>
            <w:hideMark/>
          </w:tcPr>
          <w:p w14:paraId="009212F9" w14:textId="77777777" w:rsidR="00A60D77" w:rsidRPr="00FF441D" w:rsidRDefault="00A60D77" w:rsidP="00A60D77">
            <w:pPr>
              <w:ind w:left="0"/>
              <w:jc w:val="right"/>
              <w:rPr>
                <w:rFonts w:ascii="Arial Narrow" w:hAnsi="Arial Narrow" w:cs="Calibri"/>
                <w:color w:val="000000" w:themeColor="text1"/>
                <w:sz w:val="16"/>
                <w:szCs w:val="16"/>
              </w:rPr>
            </w:pPr>
            <w:r w:rsidRPr="00FF441D">
              <w:rPr>
                <w:rFonts w:ascii="Arial Narrow" w:hAnsi="Arial Narrow" w:cs="Calibri"/>
                <w:color w:val="000000" w:themeColor="text1"/>
                <w:sz w:val="16"/>
                <w:szCs w:val="16"/>
              </w:rPr>
              <w:t xml:space="preserve">                -   </w:t>
            </w:r>
          </w:p>
        </w:tc>
        <w:tc>
          <w:tcPr>
            <w:tcW w:w="1113" w:type="dxa"/>
            <w:tcBorders>
              <w:top w:val="nil"/>
              <w:left w:val="nil"/>
              <w:bottom w:val="nil"/>
              <w:right w:val="nil"/>
            </w:tcBorders>
            <w:shd w:val="clear" w:color="auto" w:fill="auto"/>
            <w:noWrap/>
            <w:vAlign w:val="bottom"/>
          </w:tcPr>
          <w:p w14:paraId="7EEE9293" w14:textId="51F9BC48" w:rsidR="00A60D77" w:rsidRPr="00FF441D" w:rsidRDefault="00A040FE" w:rsidP="00A60D77">
            <w:pPr>
              <w:ind w:left="0"/>
              <w:jc w:val="right"/>
              <w:rPr>
                <w:rFonts w:ascii="Arial Narrow" w:hAnsi="Arial Narrow" w:cs="Calibri"/>
                <w:color w:val="000000" w:themeColor="text1"/>
                <w:sz w:val="16"/>
                <w:szCs w:val="16"/>
              </w:rPr>
            </w:pPr>
            <w:r w:rsidRPr="00FF441D">
              <w:rPr>
                <w:rFonts w:ascii="Arial Narrow" w:hAnsi="Arial Narrow" w:cs="Calibri"/>
                <w:color w:val="000000" w:themeColor="text1"/>
                <w:sz w:val="16"/>
                <w:szCs w:val="16"/>
              </w:rPr>
              <w:t>120,253</w:t>
            </w:r>
          </w:p>
        </w:tc>
        <w:tc>
          <w:tcPr>
            <w:tcW w:w="1034" w:type="dxa"/>
            <w:tcBorders>
              <w:top w:val="nil"/>
              <w:left w:val="nil"/>
              <w:bottom w:val="nil"/>
              <w:right w:val="nil"/>
            </w:tcBorders>
            <w:shd w:val="clear" w:color="auto" w:fill="auto"/>
            <w:noWrap/>
            <w:vAlign w:val="bottom"/>
          </w:tcPr>
          <w:p w14:paraId="217A137B" w14:textId="74B8EA73" w:rsidR="00A60D77" w:rsidRPr="00FF441D" w:rsidRDefault="00A040FE" w:rsidP="00A60D77">
            <w:pPr>
              <w:ind w:left="0"/>
              <w:jc w:val="right"/>
              <w:rPr>
                <w:rFonts w:ascii="Arial Narrow" w:hAnsi="Arial Narrow" w:cs="Calibri"/>
                <w:color w:val="000000" w:themeColor="text1"/>
                <w:sz w:val="16"/>
                <w:szCs w:val="16"/>
              </w:rPr>
            </w:pPr>
            <w:r w:rsidRPr="00FF441D">
              <w:rPr>
                <w:rFonts w:ascii="Arial Narrow" w:hAnsi="Arial Narrow" w:cs="Calibri"/>
                <w:color w:val="000000" w:themeColor="text1"/>
                <w:sz w:val="16"/>
                <w:szCs w:val="16"/>
              </w:rPr>
              <w:t>7,690,185</w:t>
            </w:r>
          </w:p>
        </w:tc>
        <w:tc>
          <w:tcPr>
            <w:tcW w:w="961" w:type="dxa"/>
            <w:tcBorders>
              <w:top w:val="nil"/>
              <w:left w:val="nil"/>
              <w:bottom w:val="nil"/>
              <w:right w:val="nil"/>
            </w:tcBorders>
            <w:shd w:val="clear" w:color="auto" w:fill="auto"/>
            <w:noWrap/>
            <w:vAlign w:val="bottom"/>
          </w:tcPr>
          <w:p w14:paraId="634A2149" w14:textId="750724E0" w:rsidR="00A60D77" w:rsidRPr="00FF441D" w:rsidRDefault="00A040FE" w:rsidP="00A60D77">
            <w:pPr>
              <w:ind w:left="0"/>
              <w:jc w:val="right"/>
              <w:rPr>
                <w:rFonts w:ascii="Arial Narrow" w:hAnsi="Arial Narrow" w:cs="Calibri"/>
                <w:color w:val="000000" w:themeColor="text1"/>
                <w:sz w:val="16"/>
                <w:szCs w:val="16"/>
              </w:rPr>
            </w:pPr>
            <w:r w:rsidRPr="00FF441D">
              <w:rPr>
                <w:rFonts w:ascii="Arial Narrow" w:hAnsi="Arial Narrow" w:cs="Calibri"/>
                <w:color w:val="000000" w:themeColor="text1"/>
                <w:sz w:val="16"/>
                <w:szCs w:val="16"/>
              </w:rPr>
              <w:t>58,481,102</w:t>
            </w:r>
          </w:p>
        </w:tc>
        <w:tc>
          <w:tcPr>
            <w:tcW w:w="1034" w:type="dxa"/>
            <w:tcBorders>
              <w:top w:val="nil"/>
              <w:left w:val="nil"/>
              <w:bottom w:val="nil"/>
              <w:right w:val="nil"/>
            </w:tcBorders>
            <w:shd w:val="clear" w:color="auto" w:fill="auto"/>
            <w:noWrap/>
            <w:vAlign w:val="bottom"/>
          </w:tcPr>
          <w:p w14:paraId="2DEBD1ED" w14:textId="2E1EA32E" w:rsidR="00A60D77" w:rsidRPr="00FF441D" w:rsidRDefault="00A040FE" w:rsidP="00A60D77">
            <w:pPr>
              <w:ind w:left="0"/>
              <w:jc w:val="right"/>
              <w:rPr>
                <w:rFonts w:ascii="Arial Narrow" w:hAnsi="Arial Narrow" w:cs="Calibri"/>
                <w:color w:val="000000" w:themeColor="text1"/>
                <w:sz w:val="16"/>
                <w:szCs w:val="16"/>
              </w:rPr>
            </w:pPr>
            <w:r w:rsidRPr="00FF441D">
              <w:rPr>
                <w:rFonts w:ascii="Arial Narrow" w:hAnsi="Arial Narrow" w:cs="Calibri"/>
                <w:color w:val="000000" w:themeColor="text1"/>
                <w:sz w:val="16"/>
                <w:szCs w:val="16"/>
              </w:rPr>
              <w:t>(197,904)</w:t>
            </w:r>
          </w:p>
        </w:tc>
        <w:tc>
          <w:tcPr>
            <w:tcW w:w="1033" w:type="dxa"/>
            <w:tcBorders>
              <w:top w:val="nil"/>
              <w:left w:val="nil"/>
              <w:bottom w:val="nil"/>
              <w:right w:val="nil"/>
            </w:tcBorders>
            <w:shd w:val="clear" w:color="auto" w:fill="auto"/>
            <w:noWrap/>
            <w:vAlign w:val="bottom"/>
          </w:tcPr>
          <w:p w14:paraId="4AE133DC" w14:textId="677B05EA" w:rsidR="00A60D77" w:rsidRPr="00FF441D" w:rsidRDefault="00A60D77" w:rsidP="00A60D77">
            <w:pPr>
              <w:ind w:left="0"/>
              <w:jc w:val="right"/>
              <w:rPr>
                <w:rFonts w:ascii="Arial Narrow" w:hAnsi="Arial Narrow" w:cs="Calibri"/>
                <w:color w:val="000000" w:themeColor="text1"/>
                <w:sz w:val="16"/>
                <w:szCs w:val="16"/>
              </w:rPr>
            </w:pPr>
            <w:r w:rsidRPr="00FF441D">
              <w:rPr>
                <w:rFonts w:ascii="Arial Narrow" w:hAnsi="Arial Narrow" w:cs="Calibri"/>
                <w:color w:val="000000" w:themeColor="text1"/>
                <w:sz w:val="16"/>
                <w:szCs w:val="16"/>
              </w:rPr>
              <w:t xml:space="preserve">              -   </w:t>
            </w:r>
          </w:p>
        </w:tc>
        <w:tc>
          <w:tcPr>
            <w:tcW w:w="1214" w:type="dxa"/>
            <w:tcBorders>
              <w:top w:val="nil"/>
              <w:left w:val="nil"/>
              <w:bottom w:val="nil"/>
              <w:right w:val="nil"/>
            </w:tcBorders>
            <w:shd w:val="clear" w:color="auto" w:fill="auto"/>
            <w:noWrap/>
            <w:vAlign w:val="bottom"/>
          </w:tcPr>
          <w:p w14:paraId="3C8F52B1" w14:textId="6866F4A6" w:rsidR="00A60D77" w:rsidRPr="00FF441D" w:rsidRDefault="00A040FE" w:rsidP="00A60D77">
            <w:pPr>
              <w:ind w:left="0"/>
              <w:jc w:val="right"/>
              <w:rPr>
                <w:rFonts w:ascii="Arial Narrow" w:hAnsi="Arial Narrow" w:cs="Calibri"/>
                <w:color w:val="000000" w:themeColor="text1"/>
                <w:sz w:val="16"/>
                <w:szCs w:val="16"/>
              </w:rPr>
            </w:pPr>
            <w:r w:rsidRPr="00FF441D">
              <w:rPr>
                <w:rFonts w:ascii="Arial Narrow" w:hAnsi="Arial Narrow" w:cs="Calibri"/>
                <w:color w:val="000000" w:themeColor="text1"/>
                <w:sz w:val="16"/>
                <w:szCs w:val="16"/>
              </w:rPr>
              <w:t>66,093,636</w:t>
            </w:r>
          </w:p>
        </w:tc>
      </w:tr>
      <w:tr w:rsidR="00997F75" w:rsidRPr="00FF441D" w14:paraId="7638A251" w14:textId="77777777" w:rsidTr="00FF441D">
        <w:trPr>
          <w:trHeight w:val="179"/>
        </w:trPr>
        <w:tc>
          <w:tcPr>
            <w:tcW w:w="1620" w:type="dxa"/>
            <w:tcBorders>
              <w:top w:val="single" w:sz="4" w:space="0" w:color="auto"/>
              <w:left w:val="nil"/>
              <w:bottom w:val="single" w:sz="4" w:space="0" w:color="auto"/>
              <w:right w:val="nil"/>
            </w:tcBorders>
            <w:shd w:val="clear" w:color="auto" w:fill="auto"/>
            <w:vAlign w:val="bottom"/>
            <w:hideMark/>
          </w:tcPr>
          <w:p w14:paraId="5B1EB3D6" w14:textId="77777777" w:rsidR="00A60D77" w:rsidRPr="00FF441D" w:rsidRDefault="00A60D77" w:rsidP="00A60D77">
            <w:pPr>
              <w:ind w:left="-105"/>
              <w:rPr>
                <w:rFonts w:ascii="Arial Narrow" w:hAnsi="Arial Narrow" w:cs="Calibri"/>
                <w:b/>
                <w:bCs/>
                <w:color w:val="000000" w:themeColor="text1"/>
                <w:sz w:val="16"/>
                <w:szCs w:val="16"/>
              </w:rPr>
            </w:pPr>
            <w:r w:rsidRPr="00FF441D">
              <w:rPr>
                <w:rFonts w:ascii="Arial Narrow" w:hAnsi="Arial Narrow" w:cs="Calibri"/>
                <w:b/>
                <w:bCs/>
                <w:color w:val="000000" w:themeColor="text1"/>
                <w:sz w:val="16"/>
                <w:szCs w:val="16"/>
              </w:rPr>
              <w:t>December 31, 2022</w:t>
            </w:r>
          </w:p>
        </w:tc>
        <w:tc>
          <w:tcPr>
            <w:tcW w:w="1115" w:type="dxa"/>
            <w:tcBorders>
              <w:top w:val="single" w:sz="4" w:space="0" w:color="auto"/>
              <w:left w:val="nil"/>
              <w:bottom w:val="single" w:sz="4" w:space="0" w:color="auto"/>
              <w:right w:val="nil"/>
            </w:tcBorders>
            <w:shd w:val="clear" w:color="auto" w:fill="auto"/>
            <w:noWrap/>
            <w:vAlign w:val="bottom"/>
            <w:hideMark/>
          </w:tcPr>
          <w:p w14:paraId="43E5EEFC" w14:textId="77777777" w:rsidR="00A60D77" w:rsidRPr="00FF441D" w:rsidRDefault="00A60D77" w:rsidP="00A60D77">
            <w:pPr>
              <w:ind w:left="0"/>
              <w:jc w:val="right"/>
              <w:rPr>
                <w:rFonts w:ascii="Arial Narrow" w:hAnsi="Arial Narrow" w:cs="Calibri"/>
                <w:b/>
                <w:bCs/>
                <w:color w:val="000000" w:themeColor="text1"/>
                <w:sz w:val="16"/>
                <w:szCs w:val="16"/>
              </w:rPr>
            </w:pPr>
            <w:r w:rsidRPr="00FF441D">
              <w:rPr>
                <w:rFonts w:ascii="Arial Narrow" w:hAnsi="Arial Narrow" w:cs="Calibri"/>
                <w:b/>
                <w:bCs/>
                <w:color w:val="000000" w:themeColor="text1"/>
                <w:sz w:val="16"/>
                <w:szCs w:val="16"/>
              </w:rPr>
              <w:t xml:space="preserve">                -   </w:t>
            </w:r>
          </w:p>
        </w:tc>
        <w:tc>
          <w:tcPr>
            <w:tcW w:w="1113" w:type="dxa"/>
            <w:tcBorders>
              <w:top w:val="single" w:sz="4" w:space="0" w:color="auto"/>
              <w:left w:val="nil"/>
              <w:bottom w:val="single" w:sz="4" w:space="0" w:color="auto"/>
              <w:right w:val="nil"/>
            </w:tcBorders>
            <w:shd w:val="clear" w:color="auto" w:fill="auto"/>
            <w:noWrap/>
            <w:vAlign w:val="bottom"/>
            <w:hideMark/>
          </w:tcPr>
          <w:p w14:paraId="670E1602" w14:textId="6A2EEE1E" w:rsidR="00A60D77" w:rsidRPr="00FF441D" w:rsidRDefault="00A60D77" w:rsidP="00A60D77">
            <w:pPr>
              <w:ind w:left="0"/>
              <w:jc w:val="right"/>
              <w:rPr>
                <w:rFonts w:ascii="Arial Narrow" w:hAnsi="Arial Narrow" w:cs="Calibri"/>
                <w:b/>
                <w:bCs/>
                <w:color w:val="000000" w:themeColor="text1"/>
                <w:sz w:val="16"/>
                <w:szCs w:val="16"/>
              </w:rPr>
            </w:pPr>
            <w:r w:rsidRPr="00FF441D">
              <w:rPr>
                <w:rFonts w:ascii="Arial Narrow" w:hAnsi="Arial Narrow" w:cs="Calibri"/>
                <w:b/>
                <w:bCs/>
                <w:color w:val="000000" w:themeColor="text1"/>
                <w:sz w:val="16"/>
                <w:szCs w:val="16"/>
              </w:rPr>
              <w:t xml:space="preserve">   (557,490,656)</w:t>
            </w:r>
          </w:p>
        </w:tc>
        <w:tc>
          <w:tcPr>
            <w:tcW w:w="1034" w:type="dxa"/>
            <w:tcBorders>
              <w:top w:val="single" w:sz="4" w:space="0" w:color="auto"/>
              <w:left w:val="nil"/>
              <w:bottom w:val="single" w:sz="4" w:space="0" w:color="auto"/>
              <w:right w:val="nil"/>
            </w:tcBorders>
            <w:shd w:val="clear" w:color="auto" w:fill="auto"/>
            <w:noWrap/>
            <w:vAlign w:val="bottom"/>
            <w:hideMark/>
          </w:tcPr>
          <w:p w14:paraId="226F2A1D" w14:textId="50C47572" w:rsidR="00A60D77" w:rsidRPr="00FF441D" w:rsidRDefault="00A60D77" w:rsidP="00A040FE">
            <w:pPr>
              <w:ind w:left="0"/>
              <w:jc w:val="right"/>
              <w:rPr>
                <w:rFonts w:ascii="Arial Narrow" w:hAnsi="Arial Narrow" w:cs="Calibri"/>
                <w:b/>
                <w:bCs/>
                <w:color w:val="000000" w:themeColor="text1"/>
                <w:sz w:val="16"/>
                <w:szCs w:val="16"/>
              </w:rPr>
            </w:pPr>
            <w:r w:rsidRPr="00FF441D">
              <w:rPr>
                <w:rFonts w:ascii="Arial Narrow" w:hAnsi="Arial Narrow" w:cs="Calibri"/>
                <w:b/>
                <w:bCs/>
                <w:color w:val="000000" w:themeColor="text1"/>
                <w:sz w:val="16"/>
                <w:szCs w:val="16"/>
              </w:rPr>
              <w:t>(165,547,</w:t>
            </w:r>
            <w:r w:rsidR="00A040FE" w:rsidRPr="00FF441D">
              <w:rPr>
                <w:rFonts w:ascii="Arial Narrow" w:hAnsi="Arial Narrow" w:cs="Calibri"/>
                <w:b/>
                <w:bCs/>
                <w:color w:val="000000" w:themeColor="text1"/>
                <w:sz w:val="16"/>
                <w:szCs w:val="16"/>
              </w:rPr>
              <w:t>906</w:t>
            </w:r>
            <w:r w:rsidRPr="00FF441D">
              <w:rPr>
                <w:rFonts w:ascii="Arial Narrow" w:hAnsi="Arial Narrow" w:cs="Calibri"/>
                <w:b/>
                <w:bCs/>
                <w:color w:val="000000" w:themeColor="text1"/>
                <w:sz w:val="16"/>
                <w:szCs w:val="16"/>
              </w:rPr>
              <w:t>)</w:t>
            </w:r>
          </w:p>
        </w:tc>
        <w:tc>
          <w:tcPr>
            <w:tcW w:w="961" w:type="dxa"/>
            <w:tcBorders>
              <w:top w:val="single" w:sz="4" w:space="0" w:color="auto"/>
              <w:left w:val="nil"/>
              <w:bottom w:val="single" w:sz="4" w:space="0" w:color="auto"/>
              <w:right w:val="nil"/>
            </w:tcBorders>
            <w:shd w:val="clear" w:color="auto" w:fill="auto"/>
            <w:noWrap/>
            <w:vAlign w:val="bottom"/>
            <w:hideMark/>
          </w:tcPr>
          <w:p w14:paraId="1DAF56C8" w14:textId="1BDA7AE5" w:rsidR="00A60D77" w:rsidRPr="00FF441D" w:rsidRDefault="00A60D77" w:rsidP="00A040FE">
            <w:pPr>
              <w:ind w:left="0"/>
              <w:jc w:val="right"/>
              <w:rPr>
                <w:rFonts w:ascii="Arial Narrow" w:hAnsi="Arial Narrow" w:cs="Calibri"/>
                <w:b/>
                <w:bCs/>
                <w:color w:val="000000" w:themeColor="text1"/>
                <w:sz w:val="16"/>
                <w:szCs w:val="16"/>
              </w:rPr>
            </w:pPr>
            <w:r w:rsidRPr="00FF441D">
              <w:rPr>
                <w:rFonts w:ascii="Arial Narrow" w:hAnsi="Arial Narrow" w:cs="Calibri"/>
                <w:b/>
                <w:bCs/>
                <w:color w:val="000000" w:themeColor="text1"/>
                <w:sz w:val="16"/>
                <w:szCs w:val="16"/>
              </w:rPr>
              <w:t>(37,</w:t>
            </w:r>
            <w:r w:rsidR="00A040FE" w:rsidRPr="00FF441D">
              <w:rPr>
                <w:rFonts w:ascii="Arial Narrow" w:hAnsi="Arial Narrow" w:cs="Calibri"/>
                <w:b/>
                <w:bCs/>
                <w:color w:val="000000" w:themeColor="text1"/>
                <w:sz w:val="16"/>
                <w:szCs w:val="16"/>
              </w:rPr>
              <w:t>020,022</w:t>
            </w:r>
            <w:r w:rsidRPr="00FF441D">
              <w:rPr>
                <w:rFonts w:ascii="Arial Narrow" w:hAnsi="Arial Narrow" w:cs="Calibri"/>
                <w:b/>
                <w:bCs/>
                <w:color w:val="000000" w:themeColor="text1"/>
                <w:sz w:val="16"/>
                <w:szCs w:val="16"/>
              </w:rPr>
              <w:t>)</w:t>
            </w:r>
          </w:p>
        </w:tc>
        <w:tc>
          <w:tcPr>
            <w:tcW w:w="1034" w:type="dxa"/>
            <w:tcBorders>
              <w:top w:val="single" w:sz="4" w:space="0" w:color="auto"/>
              <w:left w:val="nil"/>
              <w:bottom w:val="single" w:sz="4" w:space="0" w:color="auto"/>
              <w:right w:val="nil"/>
            </w:tcBorders>
            <w:shd w:val="clear" w:color="auto" w:fill="auto"/>
            <w:noWrap/>
            <w:vAlign w:val="bottom"/>
            <w:hideMark/>
          </w:tcPr>
          <w:p w14:paraId="6AA0EBA1" w14:textId="27A96CEC" w:rsidR="00A60D77" w:rsidRPr="00FF441D" w:rsidRDefault="00A60D77" w:rsidP="00A040FE">
            <w:pPr>
              <w:ind w:left="0"/>
              <w:jc w:val="right"/>
              <w:rPr>
                <w:rFonts w:ascii="Arial Narrow" w:hAnsi="Arial Narrow" w:cs="Calibri"/>
                <w:b/>
                <w:bCs/>
                <w:color w:val="000000" w:themeColor="text1"/>
                <w:sz w:val="16"/>
                <w:szCs w:val="16"/>
              </w:rPr>
            </w:pPr>
            <w:r w:rsidRPr="00FF441D">
              <w:rPr>
                <w:rFonts w:ascii="Arial Narrow" w:hAnsi="Arial Narrow" w:cs="Calibri"/>
                <w:b/>
                <w:bCs/>
                <w:color w:val="000000" w:themeColor="text1"/>
                <w:sz w:val="16"/>
                <w:szCs w:val="16"/>
              </w:rPr>
              <w:t>(139,305,</w:t>
            </w:r>
            <w:r w:rsidR="00A040FE" w:rsidRPr="00FF441D">
              <w:rPr>
                <w:rFonts w:ascii="Arial Narrow" w:hAnsi="Arial Narrow" w:cs="Calibri"/>
                <w:b/>
                <w:bCs/>
                <w:color w:val="000000" w:themeColor="text1"/>
                <w:sz w:val="16"/>
                <w:szCs w:val="16"/>
              </w:rPr>
              <w:t>094</w:t>
            </w:r>
            <w:r w:rsidRPr="00FF441D">
              <w:rPr>
                <w:rFonts w:ascii="Arial Narrow" w:hAnsi="Arial Narrow" w:cs="Calibri"/>
                <w:b/>
                <w:bCs/>
                <w:color w:val="000000" w:themeColor="text1"/>
                <w:sz w:val="16"/>
                <w:szCs w:val="16"/>
              </w:rPr>
              <w:t>)</w:t>
            </w:r>
          </w:p>
        </w:tc>
        <w:tc>
          <w:tcPr>
            <w:tcW w:w="1033" w:type="dxa"/>
            <w:tcBorders>
              <w:top w:val="single" w:sz="4" w:space="0" w:color="auto"/>
              <w:left w:val="nil"/>
              <w:bottom w:val="single" w:sz="4" w:space="0" w:color="auto"/>
              <w:right w:val="nil"/>
            </w:tcBorders>
            <w:shd w:val="clear" w:color="auto" w:fill="auto"/>
            <w:noWrap/>
            <w:vAlign w:val="bottom"/>
            <w:hideMark/>
          </w:tcPr>
          <w:p w14:paraId="3A7C6970" w14:textId="067EAE88" w:rsidR="00A60D77" w:rsidRPr="00FF441D" w:rsidRDefault="00A60D77" w:rsidP="00A60D77">
            <w:pPr>
              <w:ind w:left="0"/>
              <w:jc w:val="right"/>
              <w:rPr>
                <w:rFonts w:ascii="Arial Narrow" w:hAnsi="Arial Narrow" w:cs="Calibri"/>
                <w:b/>
                <w:bCs/>
                <w:color w:val="000000" w:themeColor="text1"/>
                <w:sz w:val="16"/>
                <w:szCs w:val="16"/>
              </w:rPr>
            </w:pPr>
            <w:r w:rsidRPr="00FF441D">
              <w:rPr>
                <w:rFonts w:ascii="Arial Narrow" w:hAnsi="Arial Narrow" w:cs="Calibri"/>
                <w:b/>
                <w:bCs/>
                <w:color w:val="000000" w:themeColor="text1"/>
                <w:sz w:val="16"/>
                <w:szCs w:val="16"/>
              </w:rPr>
              <w:t xml:space="preserve">              -   </w:t>
            </w:r>
          </w:p>
        </w:tc>
        <w:tc>
          <w:tcPr>
            <w:tcW w:w="1214" w:type="dxa"/>
            <w:tcBorders>
              <w:top w:val="single" w:sz="4" w:space="0" w:color="auto"/>
              <w:left w:val="nil"/>
              <w:bottom w:val="single" w:sz="4" w:space="0" w:color="auto"/>
              <w:right w:val="nil"/>
            </w:tcBorders>
            <w:shd w:val="clear" w:color="auto" w:fill="auto"/>
            <w:noWrap/>
            <w:vAlign w:val="bottom"/>
            <w:hideMark/>
          </w:tcPr>
          <w:p w14:paraId="51E5C162" w14:textId="29C46963" w:rsidR="00A60D77" w:rsidRPr="00FF441D" w:rsidRDefault="00A60D77" w:rsidP="00A040FE">
            <w:pPr>
              <w:ind w:left="0"/>
              <w:jc w:val="right"/>
              <w:rPr>
                <w:rFonts w:ascii="Arial Narrow" w:hAnsi="Arial Narrow" w:cs="Calibri"/>
                <w:b/>
                <w:bCs/>
                <w:color w:val="000000" w:themeColor="text1"/>
                <w:sz w:val="16"/>
                <w:szCs w:val="16"/>
              </w:rPr>
            </w:pPr>
            <w:r w:rsidRPr="00FF441D">
              <w:rPr>
                <w:rFonts w:ascii="Arial Narrow" w:hAnsi="Arial Narrow" w:cs="Calibri"/>
                <w:b/>
                <w:bCs/>
                <w:color w:val="000000" w:themeColor="text1"/>
                <w:sz w:val="16"/>
                <w:szCs w:val="16"/>
              </w:rPr>
              <w:t>(8</w:t>
            </w:r>
            <w:r w:rsidR="00A040FE" w:rsidRPr="00FF441D">
              <w:rPr>
                <w:rFonts w:ascii="Arial Narrow" w:hAnsi="Arial Narrow" w:cs="Calibri"/>
                <w:b/>
                <w:bCs/>
                <w:color w:val="000000" w:themeColor="text1"/>
                <w:sz w:val="16"/>
                <w:szCs w:val="16"/>
              </w:rPr>
              <w:t>99,363,678</w:t>
            </w:r>
            <w:r w:rsidRPr="00FF441D">
              <w:rPr>
                <w:rFonts w:ascii="Arial Narrow" w:hAnsi="Arial Narrow" w:cs="Calibri"/>
                <w:b/>
                <w:bCs/>
                <w:color w:val="000000" w:themeColor="text1"/>
                <w:sz w:val="16"/>
                <w:szCs w:val="16"/>
              </w:rPr>
              <w:t>)</w:t>
            </w:r>
          </w:p>
        </w:tc>
      </w:tr>
      <w:tr w:rsidR="00997F75" w:rsidRPr="00FF441D" w14:paraId="412130C8" w14:textId="77777777" w:rsidTr="00FF441D">
        <w:trPr>
          <w:trHeight w:val="302"/>
        </w:trPr>
        <w:tc>
          <w:tcPr>
            <w:tcW w:w="1620" w:type="dxa"/>
            <w:tcBorders>
              <w:top w:val="nil"/>
              <w:left w:val="nil"/>
              <w:bottom w:val="double" w:sz="6" w:space="0" w:color="auto"/>
              <w:right w:val="nil"/>
            </w:tcBorders>
            <w:shd w:val="clear" w:color="auto" w:fill="auto"/>
            <w:noWrap/>
            <w:vAlign w:val="center"/>
            <w:hideMark/>
          </w:tcPr>
          <w:p w14:paraId="2555D61B" w14:textId="48E8DCA1" w:rsidR="00A60D77" w:rsidRPr="00FF441D" w:rsidRDefault="00A60D77" w:rsidP="00A60D77">
            <w:pPr>
              <w:ind w:left="-105" w:right="-29"/>
              <w:rPr>
                <w:rFonts w:ascii="Arial Narrow" w:hAnsi="Arial Narrow" w:cs="Calibri"/>
                <w:b/>
                <w:bCs/>
                <w:color w:val="000000" w:themeColor="text1"/>
                <w:sz w:val="16"/>
                <w:szCs w:val="16"/>
              </w:rPr>
            </w:pPr>
            <w:r w:rsidRPr="00FF441D">
              <w:rPr>
                <w:rFonts w:ascii="Arial Narrow" w:hAnsi="Arial Narrow" w:cs="Calibri"/>
                <w:b/>
                <w:bCs/>
                <w:color w:val="000000" w:themeColor="text1"/>
                <w:sz w:val="16"/>
                <w:szCs w:val="16"/>
              </w:rPr>
              <w:t xml:space="preserve">Carrying Amount </w:t>
            </w:r>
            <w:r w:rsidR="00FF441D">
              <w:rPr>
                <w:rFonts w:ascii="Arial Narrow" w:hAnsi="Arial Narrow" w:cs="Calibri"/>
                <w:b/>
                <w:bCs/>
                <w:color w:val="000000" w:themeColor="text1"/>
                <w:sz w:val="16"/>
                <w:szCs w:val="16"/>
              </w:rPr>
              <w:t>–</w:t>
            </w:r>
            <w:r w:rsidRPr="00FF441D">
              <w:rPr>
                <w:rFonts w:ascii="Arial Narrow" w:hAnsi="Arial Narrow" w:cs="Calibri"/>
                <w:b/>
                <w:bCs/>
                <w:color w:val="000000" w:themeColor="text1"/>
                <w:sz w:val="16"/>
                <w:szCs w:val="16"/>
              </w:rPr>
              <w:t xml:space="preserve"> </w:t>
            </w:r>
            <w:r w:rsidR="00FF441D">
              <w:rPr>
                <w:rFonts w:ascii="Arial Narrow" w:hAnsi="Arial Narrow" w:cs="Calibri"/>
                <w:b/>
                <w:bCs/>
                <w:color w:val="000000" w:themeColor="text1"/>
                <w:sz w:val="16"/>
                <w:szCs w:val="16"/>
              </w:rPr>
              <w:t>December 31, 2021</w:t>
            </w:r>
          </w:p>
          <w:p w14:paraId="75B7F5D5" w14:textId="04539EA7" w:rsidR="00A60D77" w:rsidRPr="00FF441D" w:rsidRDefault="00A60D77" w:rsidP="00A60D77">
            <w:pPr>
              <w:ind w:left="-105" w:right="-29"/>
              <w:rPr>
                <w:rFonts w:ascii="Arial Narrow" w:hAnsi="Arial Narrow" w:cs="Calibri"/>
                <w:b/>
                <w:bCs/>
                <w:color w:val="000000" w:themeColor="text1"/>
                <w:sz w:val="16"/>
                <w:szCs w:val="16"/>
              </w:rPr>
            </w:pPr>
            <w:r w:rsidRPr="00FF441D">
              <w:rPr>
                <w:rFonts w:ascii="Arial Narrow" w:hAnsi="Arial Narrow" w:cs="Calibri"/>
                <w:b/>
                <w:bCs/>
                <w:color w:val="000000" w:themeColor="text1"/>
                <w:sz w:val="16"/>
                <w:szCs w:val="16"/>
              </w:rPr>
              <w:t>(As Restated)</w:t>
            </w:r>
          </w:p>
        </w:tc>
        <w:tc>
          <w:tcPr>
            <w:tcW w:w="1115" w:type="dxa"/>
            <w:tcBorders>
              <w:top w:val="nil"/>
              <w:left w:val="nil"/>
              <w:bottom w:val="double" w:sz="6" w:space="0" w:color="auto"/>
              <w:right w:val="nil"/>
            </w:tcBorders>
            <w:shd w:val="clear" w:color="auto" w:fill="auto"/>
            <w:noWrap/>
            <w:vAlign w:val="bottom"/>
            <w:hideMark/>
          </w:tcPr>
          <w:p w14:paraId="2D5EE8B0" w14:textId="4B478FA4" w:rsidR="00A60D77" w:rsidRPr="00FF441D" w:rsidRDefault="00A60D77" w:rsidP="00A60D77">
            <w:pPr>
              <w:ind w:left="0"/>
              <w:jc w:val="right"/>
              <w:rPr>
                <w:rFonts w:ascii="Arial Narrow" w:hAnsi="Arial Narrow" w:cs="Calibri"/>
                <w:b/>
                <w:bCs/>
                <w:color w:val="000000" w:themeColor="text1"/>
                <w:sz w:val="16"/>
                <w:szCs w:val="16"/>
              </w:rPr>
            </w:pPr>
            <w:r w:rsidRPr="00FF441D">
              <w:rPr>
                <w:rFonts w:ascii="Arial Narrow" w:hAnsi="Arial Narrow" w:cs="Calibri"/>
                <w:b/>
                <w:bCs/>
                <w:color w:val="000000" w:themeColor="text1"/>
                <w:sz w:val="16"/>
                <w:szCs w:val="16"/>
              </w:rPr>
              <w:t xml:space="preserve">  484,398,000 </w:t>
            </w:r>
          </w:p>
        </w:tc>
        <w:tc>
          <w:tcPr>
            <w:tcW w:w="1113" w:type="dxa"/>
            <w:tcBorders>
              <w:top w:val="nil"/>
              <w:left w:val="nil"/>
              <w:bottom w:val="double" w:sz="6" w:space="0" w:color="auto"/>
              <w:right w:val="nil"/>
            </w:tcBorders>
            <w:shd w:val="clear" w:color="auto" w:fill="auto"/>
            <w:noWrap/>
            <w:vAlign w:val="bottom"/>
            <w:hideMark/>
          </w:tcPr>
          <w:p w14:paraId="2D11689A" w14:textId="6F0BB1A9" w:rsidR="00A60D77" w:rsidRPr="00FF441D" w:rsidRDefault="00A60D77" w:rsidP="00A040FE">
            <w:pPr>
              <w:ind w:left="0"/>
              <w:jc w:val="right"/>
              <w:rPr>
                <w:rFonts w:ascii="Arial Narrow" w:hAnsi="Arial Narrow" w:cs="Calibri"/>
                <w:b/>
                <w:bCs/>
                <w:color w:val="000000" w:themeColor="text1"/>
                <w:sz w:val="16"/>
                <w:szCs w:val="16"/>
              </w:rPr>
            </w:pPr>
            <w:r w:rsidRPr="00FF441D">
              <w:rPr>
                <w:rFonts w:ascii="Arial Narrow" w:hAnsi="Arial Narrow" w:cs="Calibri"/>
                <w:b/>
                <w:bCs/>
                <w:color w:val="000000" w:themeColor="text1"/>
                <w:sz w:val="16"/>
                <w:szCs w:val="16"/>
              </w:rPr>
              <w:t>201,242,</w:t>
            </w:r>
            <w:r w:rsidR="00A040FE" w:rsidRPr="00FF441D">
              <w:rPr>
                <w:rFonts w:ascii="Arial Narrow" w:hAnsi="Arial Narrow" w:cs="Calibri"/>
                <w:b/>
                <w:bCs/>
                <w:color w:val="000000" w:themeColor="text1"/>
                <w:sz w:val="16"/>
                <w:szCs w:val="16"/>
              </w:rPr>
              <w:t>590</w:t>
            </w:r>
          </w:p>
        </w:tc>
        <w:tc>
          <w:tcPr>
            <w:tcW w:w="1034" w:type="dxa"/>
            <w:tcBorders>
              <w:top w:val="nil"/>
              <w:left w:val="nil"/>
              <w:bottom w:val="double" w:sz="6" w:space="0" w:color="auto"/>
              <w:right w:val="nil"/>
            </w:tcBorders>
            <w:shd w:val="clear" w:color="auto" w:fill="auto"/>
            <w:noWrap/>
            <w:vAlign w:val="bottom"/>
            <w:hideMark/>
          </w:tcPr>
          <w:p w14:paraId="0FE6AC6C" w14:textId="1D655F62" w:rsidR="00A60D77" w:rsidRPr="00FF441D" w:rsidRDefault="00A60D77" w:rsidP="007B3C86">
            <w:pPr>
              <w:ind w:left="0"/>
              <w:jc w:val="right"/>
              <w:rPr>
                <w:rFonts w:ascii="Arial Narrow" w:hAnsi="Arial Narrow" w:cs="Calibri"/>
                <w:b/>
                <w:bCs/>
                <w:color w:val="000000" w:themeColor="text1"/>
                <w:sz w:val="16"/>
                <w:szCs w:val="16"/>
              </w:rPr>
            </w:pPr>
            <w:r w:rsidRPr="00FF441D">
              <w:rPr>
                <w:rFonts w:ascii="Arial Narrow" w:hAnsi="Arial Narrow" w:cs="Calibri"/>
                <w:b/>
                <w:bCs/>
                <w:color w:val="000000" w:themeColor="text1"/>
                <w:sz w:val="16"/>
                <w:szCs w:val="16"/>
              </w:rPr>
              <w:t>151,535,</w:t>
            </w:r>
            <w:r w:rsidR="007B3C86" w:rsidRPr="00FF441D">
              <w:rPr>
                <w:rFonts w:ascii="Arial Narrow" w:hAnsi="Arial Narrow" w:cs="Calibri"/>
                <w:b/>
                <w:bCs/>
                <w:color w:val="000000" w:themeColor="text1"/>
                <w:sz w:val="16"/>
                <w:szCs w:val="16"/>
              </w:rPr>
              <w:t>561</w:t>
            </w:r>
          </w:p>
        </w:tc>
        <w:tc>
          <w:tcPr>
            <w:tcW w:w="961" w:type="dxa"/>
            <w:tcBorders>
              <w:top w:val="nil"/>
              <w:left w:val="nil"/>
              <w:bottom w:val="double" w:sz="6" w:space="0" w:color="auto"/>
              <w:right w:val="nil"/>
            </w:tcBorders>
            <w:shd w:val="clear" w:color="auto" w:fill="auto"/>
            <w:noWrap/>
            <w:vAlign w:val="bottom"/>
            <w:hideMark/>
          </w:tcPr>
          <w:p w14:paraId="1F7161DC" w14:textId="06ECB9F9" w:rsidR="00A60D77" w:rsidRPr="00FF441D" w:rsidRDefault="00A60D77" w:rsidP="00A040FE">
            <w:pPr>
              <w:ind w:left="0"/>
              <w:jc w:val="right"/>
              <w:rPr>
                <w:rFonts w:ascii="Arial Narrow" w:hAnsi="Arial Narrow" w:cs="Calibri"/>
                <w:b/>
                <w:bCs/>
                <w:color w:val="000000" w:themeColor="text1"/>
                <w:sz w:val="16"/>
                <w:szCs w:val="16"/>
              </w:rPr>
            </w:pPr>
            <w:r w:rsidRPr="00FF441D">
              <w:rPr>
                <w:rFonts w:ascii="Arial Narrow" w:hAnsi="Arial Narrow" w:cs="Calibri"/>
                <w:b/>
                <w:bCs/>
                <w:color w:val="000000" w:themeColor="text1"/>
                <w:sz w:val="16"/>
                <w:szCs w:val="16"/>
              </w:rPr>
              <w:t>25,225,</w:t>
            </w:r>
            <w:r w:rsidR="00A040FE" w:rsidRPr="00FF441D">
              <w:rPr>
                <w:rFonts w:ascii="Arial Narrow" w:hAnsi="Arial Narrow" w:cs="Calibri"/>
                <w:b/>
                <w:bCs/>
                <w:color w:val="000000" w:themeColor="text1"/>
                <w:sz w:val="16"/>
                <w:szCs w:val="16"/>
              </w:rPr>
              <w:t>345</w:t>
            </w:r>
          </w:p>
        </w:tc>
        <w:tc>
          <w:tcPr>
            <w:tcW w:w="1034" w:type="dxa"/>
            <w:tcBorders>
              <w:top w:val="nil"/>
              <w:left w:val="nil"/>
              <w:bottom w:val="double" w:sz="6" w:space="0" w:color="auto"/>
              <w:right w:val="nil"/>
            </w:tcBorders>
            <w:shd w:val="clear" w:color="auto" w:fill="auto"/>
            <w:noWrap/>
            <w:vAlign w:val="bottom"/>
            <w:hideMark/>
          </w:tcPr>
          <w:p w14:paraId="5BC3F85B" w14:textId="42A74466" w:rsidR="00A60D77" w:rsidRPr="00FF441D" w:rsidRDefault="00A60D77" w:rsidP="00A040FE">
            <w:pPr>
              <w:ind w:left="0"/>
              <w:jc w:val="right"/>
              <w:rPr>
                <w:rFonts w:ascii="Arial Narrow" w:hAnsi="Arial Narrow" w:cs="Calibri"/>
                <w:b/>
                <w:bCs/>
                <w:color w:val="000000" w:themeColor="text1"/>
                <w:sz w:val="16"/>
                <w:szCs w:val="16"/>
              </w:rPr>
            </w:pPr>
            <w:r w:rsidRPr="00FF441D">
              <w:rPr>
                <w:rFonts w:ascii="Arial Narrow" w:hAnsi="Arial Narrow" w:cs="Calibri"/>
                <w:b/>
                <w:bCs/>
                <w:color w:val="000000" w:themeColor="text1"/>
                <w:sz w:val="16"/>
                <w:szCs w:val="16"/>
              </w:rPr>
              <w:t>139,418,</w:t>
            </w:r>
            <w:r w:rsidR="00A040FE" w:rsidRPr="00FF441D">
              <w:rPr>
                <w:rFonts w:ascii="Arial Narrow" w:hAnsi="Arial Narrow" w:cs="Calibri"/>
                <w:b/>
                <w:bCs/>
                <w:color w:val="000000" w:themeColor="text1"/>
                <w:sz w:val="16"/>
                <w:szCs w:val="16"/>
              </w:rPr>
              <w:t>671</w:t>
            </w:r>
          </w:p>
        </w:tc>
        <w:tc>
          <w:tcPr>
            <w:tcW w:w="1033" w:type="dxa"/>
            <w:tcBorders>
              <w:top w:val="nil"/>
              <w:left w:val="nil"/>
              <w:bottom w:val="double" w:sz="6" w:space="0" w:color="auto"/>
              <w:right w:val="nil"/>
            </w:tcBorders>
            <w:shd w:val="clear" w:color="auto" w:fill="auto"/>
            <w:noWrap/>
            <w:vAlign w:val="bottom"/>
            <w:hideMark/>
          </w:tcPr>
          <w:p w14:paraId="081BA72F" w14:textId="705BFD40" w:rsidR="00A60D77" w:rsidRPr="00FF441D" w:rsidRDefault="00A60D77" w:rsidP="00A60D77">
            <w:pPr>
              <w:ind w:left="0"/>
              <w:jc w:val="right"/>
              <w:rPr>
                <w:rFonts w:ascii="Arial Narrow" w:hAnsi="Arial Narrow" w:cs="Calibri"/>
                <w:b/>
                <w:bCs/>
                <w:color w:val="000000" w:themeColor="text1"/>
                <w:sz w:val="16"/>
                <w:szCs w:val="16"/>
              </w:rPr>
            </w:pPr>
            <w:r w:rsidRPr="00FF441D">
              <w:rPr>
                <w:rFonts w:ascii="Arial Narrow" w:hAnsi="Arial Narrow" w:cs="Calibri"/>
                <w:b/>
                <w:bCs/>
                <w:color w:val="000000" w:themeColor="text1"/>
                <w:sz w:val="16"/>
                <w:szCs w:val="16"/>
              </w:rPr>
              <w:t xml:space="preserve">    10,575,397  </w:t>
            </w:r>
          </w:p>
        </w:tc>
        <w:tc>
          <w:tcPr>
            <w:tcW w:w="1214" w:type="dxa"/>
            <w:tcBorders>
              <w:top w:val="nil"/>
              <w:left w:val="nil"/>
              <w:bottom w:val="double" w:sz="6" w:space="0" w:color="auto"/>
              <w:right w:val="nil"/>
            </w:tcBorders>
            <w:shd w:val="clear" w:color="auto" w:fill="auto"/>
            <w:noWrap/>
            <w:vAlign w:val="bottom"/>
            <w:hideMark/>
          </w:tcPr>
          <w:p w14:paraId="27E96DAC" w14:textId="45E5CCD5" w:rsidR="00A60D77" w:rsidRPr="00FF441D" w:rsidRDefault="00A60D77" w:rsidP="00A60D77">
            <w:pPr>
              <w:ind w:left="0"/>
              <w:jc w:val="right"/>
              <w:rPr>
                <w:rFonts w:ascii="Arial Narrow" w:hAnsi="Arial Narrow" w:cs="Calibri"/>
                <w:b/>
                <w:bCs/>
                <w:color w:val="000000" w:themeColor="text1"/>
                <w:sz w:val="16"/>
                <w:szCs w:val="16"/>
              </w:rPr>
            </w:pPr>
            <w:r w:rsidRPr="00FF441D">
              <w:rPr>
                <w:rFonts w:ascii="Arial Narrow" w:hAnsi="Arial Narrow" w:cs="Calibri"/>
                <w:b/>
                <w:bCs/>
                <w:color w:val="000000" w:themeColor="text1"/>
                <w:sz w:val="16"/>
                <w:szCs w:val="16"/>
              </w:rPr>
              <w:t>1,012,395,564</w:t>
            </w:r>
          </w:p>
        </w:tc>
      </w:tr>
      <w:tr w:rsidR="00997F75" w:rsidRPr="00FF441D" w14:paraId="2D508C15" w14:textId="77777777" w:rsidTr="00FF441D">
        <w:trPr>
          <w:trHeight w:val="302"/>
        </w:trPr>
        <w:tc>
          <w:tcPr>
            <w:tcW w:w="1620" w:type="dxa"/>
            <w:tcBorders>
              <w:top w:val="double" w:sz="6" w:space="0" w:color="auto"/>
              <w:left w:val="nil"/>
              <w:right w:val="nil"/>
            </w:tcBorders>
            <w:shd w:val="clear" w:color="auto" w:fill="auto"/>
            <w:noWrap/>
            <w:vAlign w:val="center"/>
          </w:tcPr>
          <w:p w14:paraId="31594592" w14:textId="77777777" w:rsidR="00D5551C" w:rsidRPr="00FF441D" w:rsidRDefault="00D5551C" w:rsidP="00AD3D41">
            <w:pPr>
              <w:ind w:left="-105"/>
              <w:rPr>
                <w:rFonts w:ascii="Arial Narrow" w:hAnsi="Arial Narrow" w:cs="Calibri"/>
                <w:b/>
                <w:bCs/>
                <w:color w:val="000000" w:themeColor="text1"/>
                <w:sz w:val="16"/>
                <w:szCs w:val="16"/>
              </w:rPr>
            </w:pPr>
          </w:p>
        </w:tc>
        <w:tc>
          <w:tcPr>
            <w:tcW w:w="1115" w:type="dxa"/>
            <w:tcBorders>
              <w:top w:val="double" w:sz="6" w:space="0" w:color="auto"/>
              <w:left w:val="nil"/>
              <w:right w:val="nil"/>
            </w:tcBorders>
            <w:shd w:val="clear" w:color="auto" w:fill="auto"/>
            <w:noWrap/>
            <w:vAlign w:val="bottom"/>
          </w:tcPr>
          <w:p w14:paraId="48CEAE82" w14:textId="77777777" w:rsidR="00D5551C" w:rsidRPr="00FF441D" w:rsidRDefault="00D5551C" w:rsidP="00AD3D41">
            <w:pPr>
              <w:ind w:left="0"/>
              <w:jc w:val="right"/>
              <w:rPr>
                <w:rFonts w:ascii="Arial Narrow" w:hAnsi="Arial Narrow" w:cs="Calibri"/>
                <w:b/>
                <w:bCs/>
                <w:color w:val="000000" w:themeColor="text1"/>
                <w:sz w:val="16"/>
                <w:szCs w:val="16"/>
              </w:rPr>
            </w:pPr>
          </w:p>
        </w:tc>
        <w:tc>
          <w:tcPr>
            <w:tcW w:w="1113" w:type="dxa"/>
            <w:tcBorders>
              <w:top w:val="double" w:sz="6" w:space="0" w:color="auto"/>
              <w:left w:val="nil"/>
              <w:right w:val="nil"/>
            </w:tcBorders>
            <w:shd w:val="clear" w:color="auto" w:fill="auto"/>
            <w:noWrap/>
            <w:vAlign w:val="bottom"/>
          </w:tcPr>
          <w:p w14:paraId="3C097B1B" w14:textId="77777777" w:rsidR="00D5551C" w:rsidRPr="00FF441D" w:rsidRDefault="00D5551C" w:rsidP="00AD3D41">
            <w:pPr>
              <w:ind w:left="0"/>
              <w:jc w:val="right"/>
              <w:rPr>
                <w:rFonts w:ascii="Arial Narrow" w:hAnsi="Arial Narrow" w:cs="Calibri"/>
                <w:b/>
                <w:bCs/>
                <w:color w:val="000000" w:themeColor="text1"/>
                <w:sz w:val="16"/>
                <w:szCs w:val="16"/>
              </w:rPr>
            </w:pPr>
          </w:p>
        </w:tc>
        <w:tc>
          <w:tcPr>
            <w:tcW w:w="1034" w:type="dxa"/>
            <w:tcBorders>
              <w:top w:val="double" w:sz="6" w:space="0" w:color="auto"/>
              <w:left w:val="nil"/>
              <w:right w:val="nil"/>
            </w:tcBorders>
            <w:shd w:val="clear" w:color="auto" w:fill="auto"/>
            <w:noWrap/>
            <w:vAlign w:val="bottom"/>
          </w:tcPr>
          <w:p w14:paraId="52C49865" w14:textId="77777777" w:rsidR="00D5551C" w:rsidRPr="00FF441D" w:rsidRDefault="00D5551C" w:rsidP="00AD3D41">
            <w:pPr>
              <w:ind w:left="0"/>
              <w:jc w:val="right"/>
              <w:rPr>
                <w:rFonts w:ascii="Arial Narrow" w:hAnsi="Arial Narrow" w:cs="Calibri"/>
                <w:b/>
                <w:bCs/>
                <w:color w:val="000000" w:themeColor="text1"/>
                <w:sz w:val="16"/>
                <w:szCs w:val="16"/>
              </w:rPr>
            </w:pPr>
          </w:p>
        </w:tc>
        <w:tc>
          <w:tcPr>
            <w:tcW w:w="961" w:type="dxa"/>
            <w:tcBorders>
              <w:top w:val="double" w:sz="6" w:space="0" w:color="auto"/>
              <w:left w:val="nil"/>
              <w:right w:val="nil"/>
            </w:tcBorders>
            <w:shd w:val="clear" w:color="auto" w:fill="auto"/>
            <w:noWrap/>
            <w:vAlign w:val="bottom"/>
          </w:tcPr>
          <w:p w14:paraId="5B172F82" w14:textId="77777777" w:rsidR="00D5551C" w:rsidRPr="00FF441D" w:rsidRDefault="00D5551C" w:rsidP="00AD3D41">
            <w:pPr>
              <w:ind w:left="0"/>
              <w:jc w:val="right"/>
              <w:rPr>
                <w:rFonts w:ascii="Arial Narrow" w:hAnsi="Arial Narrow" w:cs="Calibri"/>
                <w:b/>
                <w:bCs/>
                <w:color w:val="000000" w:themeColor="text1"/>
                <w:sz w:val="16"/>
                <w:szCs w:val="16"/>
              </w:rPr>
            </w:pPr>
          </w:p>
        </w:tc>
        <w:tc>
          <w:tcPr>
            <w:tcW w:w="1034" w:type="dxa"/>
            <w:tcBorders>
              <w:top w:val="double" w:sz="6" w:space="0" w:color="auto"/>
              <w:left w:val="nil"/>
              <w:right w:val="nil"/>
            </w:tcBorders>
            <w:shd w:val="clear" w:color="auto" w:fill="auto"/>
            <w:noWrap/>
            <w:vAlign w:val="bottom"/>
          </w:tcPr>
          <w:p w14:paraId="23867FBF" w14:textId="77777777" w:rsidR="00D5551C" w:rsidRPr="00FF441D" w:rsidRDefault="00D5551C" w:rsidP="00AD3D41">
            <w:pPr>
              <w:ind w:left="0"/>
              <w:jc w:val="right"/>
              <w:rPr>
                <w:rFonts w:ascii="Arial Narrow" w:hAnsi="Arial Narrow" w:cs="Calibri"/>
                <w:b/>
                <w:bCs/>
                <w:color w:val="000000" w:themeColor="text1"/>
                <w:sz w:val="16"/>
                <w:szCs w:val="16"/>
              </w:rPr>
            </w:pPr>
          </w:p>
        </w:tc>
        <w:tc>
          <w:tcPr>
            <w:tcW w:w="1033" w:type="dxa"/>
            <w:tcBorders>
              <w:top w:val="double" w:sz="6" w:space="0" w:color="auto"/>
              <w:left w:val="nil"/>
              <w:right w:val="nil"/>
            </w:tcBorders>
            <w:shd w:val="clear" w:color="auto" w:fill="auto"/>
            <w:noWrap/>
            <w:vAlign w:val="bottom"/>
          </w:tcPr>
          <w:p w14:paraId="79DF7CFA" w14:textId="77777777" w:rsidR="00D5551C" w:rsidRPr="00FF441D" w:rsidRDefault="00D5551C" w:rsidP="00AD3D41">
            <w:pPr>
              <w:ind w:left="0"/>
              <w:jc w:val="right"/>
              <w:rPr>
                <w:rFonts w:ascii="Arial Narrow" w:hAnsi="Arial Narrow" w:cs="Calibri"/>
                <w:b/>
                <w:bCs/>
                <w:color w:val="000000" w:themeColor="text1"/>
                <w:sz w:val="16"/>
                <w:szCs w:val="16"/>
              </w:rPr>
            </w:pPr>
          </w:p>
        </w:tc>
        <w:tc>
          <w:tcPr>
            <w:tcW w:w="1214" w:type="dxa"/>
            <w:tcBorders>
              <w:top w:val="double" w:sz="6" w:space="0" w:color="auto"/>
              <w:left w:val="nil"/>
              <w:right w:val="nil"/>
            </w:tcBorders>
            <w:shd w:val="clear" w:color="auto" w:fill="auto"/>
            <w:noWrap/>
            <w:vAlign w:val="bottom"/>
          </w:tcPr>
          <w:p w14:paraId="0DCA84AD" w14:textId="77777777" w:rsidR="00D5551C" w:rsidRPr="00FF441D" w:rsidRDefault="00D5551C" w:rsidP="00AD3D41">
            <w:pPr>
              <w:ind w:left="0"/>
              <w:jc w:val="right"/>
              <w:rPr>
                <w:rFonts w:ascii="Arial Narrow" w:hAnsi="Arial Narrow" w:cs="Calibri"/>
                <w:b/>
                <w:bCs/>
                <w:color w:val="000000" w:themeColor="text1"/>
                <w:sz w:val="16"/>
                <w:szCs w:val="16"/>
              </w:rPr>
            </w:pPr>
          </w:p>
        </w:tc>
      </w:tr>
    </w:tbl>
    <w:p w14:paraId="3AEEC6B2" w14:textId="77777777" w:rsidR="00403D76" w:rsidRPr="009E35ED" w:rsidRDefault="00403D76" w:rsidP="00803F8C">
      <w:pPr>
        <w:ind w:left="0"/>
        <w:rPr>
          <w:rFonts w:ascii="Arial" w:hAnsi="Arial" w:cs="Arial"/>
          <w:color w:val="000000" w:themeColor="text1"/>
          <w:sz w:val="22"/>
          <w:szCs w:val="22"/>
        </w:rPr>
      </w:pPr>
    </w:p>
    <w:p w14:paraId="39DEB2F0" w14:textId="0B56413E" w:rsidR="007E0B6F" w:rsidRPr="009E35ED" w:rsidRDefault="008C01DE" w:rsidP="005C5B1F">
      <w:pPr>
        <w:keepNext/>
        <w:keepLines/>
        <w:ind w:left="0"/>
        <w:rPr>
          <w:rFonts w:ascii="Arial" w:hAnsi="Arial" w:cs="Arial"/>
          <w:color w:val="000000" w:themeColor="text1"/>
          <w:sz w:val="22"/>
          <w:szCs w:val="22"/>
        </w:rPr>
      </w:pPr>
      <w:r w:rsidRPr="009E35ED">
        <w:rPr>
          <w:rFonts w:ascii="Arial" w:hAnsi="Arial" w:cs="Arial"/>
          <w:color w:val="000000" w:themeColor="text1"/>
          <w:sz w:val="22"/>
          <w:szCs w:val="22"/>
        </w:rPr>
        <w:t xml:space="preserve">Included in the line items above are </w:t>
      </w:r>
      <w:r w:rsidR="007E0B6F" w:rsidRPr="009E35ED">
        <w:rPr>
          <w:rFonts w:ascii="Arial" w:hAnsi="Arial" w:cs="Arial"/>
          <w:color w:val="000000" w:themeColor="text1"/>
          <w:sz w:val="22"/>
          <w:szCs w:val="22"/>
        </w:rPr>
        <w:t>right of use asset</w:t>
      </w:r>
      <w:r w:rsidR="00D71538" w:rsidRPr="009E35ED">
        <w:rPr>
          <w:rFonts w:ascii="Arial" w:hAnsi="Arial" w:cs="Arial"/>
          <w:color w:val="000000" w:themeColor="text1"/>
          <w:sz w:val="22"/>
          <w:szCs w:val="22"/>
        </w:rPr>
        <w:t>s</w:t>
      </w:r>
      <w:r w:rsidR="007E0B6F" w:rsidRPr="009E35ED">
        <w:rPr>
          <w:rFonts w:ascii="Arial" w:hAnsi="Arial" w:cs="Arial"/>
          <w:color w:val="000000" w:themeColor="text1"/>
          <w:sz w:val="22"/>
          <w:szCs w:val="22"/>
        </w:rPr>
        <w:t xml:space="preserve"> </w:t>
      </w:r>
      <w:r w:rsidR="00D71538" w:rsidRPr="009E35ED">
        <w:rPr>
          <w:rFonts w:ascii="Arial" w:hAnsi="Arial" w:cs="Arial"/>
          <w:color w:val="000000" w:themeColor="text1"/>
          <w:sz w:val="22"/>
          <w:szCs w:val="22"/>
        </w:rPr>
        <w:t>over the following</w:t>
      </w:r>
      <w:r w:rsidR="007E0B6F" w:rsidRPr="009E35ED">
        <w:rPr>
          <w:rFonts w:ascii="Arial" w:hAnsi="Arial" w:cs="Arial"/>
          <w:color w:val="000000" w:themeColor="text1"/>
          <w:sz w:val="22"/>
          <w:szCs w:val="22"/>
        </w:rPr>
        <w:t>:</w:t>
      </w:r>
    </w:p>
    <w:p w14:paraId="2F836A3E" w14:textId="77777777" w:rsidR="007E0B6F" w:rsidRPr="009E35ED" w:rsidRDefault="007E0B6F" w:rsidP="005C5B1F">
      <w:pPr>
        <w:keepNext/>
        <w:keepLines/>
        <w:ind w:left="0"/>
        <w:rPr>
          <w:rFonts w:ascii="Arial" w:hAnsi="Arial" w:cs="Arial"/>
          <w:color w:val="000000" w:themeColor="text1"/>
          <w:sz w:val="22"/>
          <w:szCs w:val="22"/>
        </w:rPr>
      </w:pPr>
    </w:p>
    <w:tbl>
      <w:tblPr>
        <w:tblW w:w="8648" w:type="dxa"/>
        <w:tblLook w:val="04A0" w:firstRow="1" w:lastRow="0" w:firstColumn="1" w:lastColumn="0" w:noHBand="0" w:noVBand="1"/>
      </w:tblPr>
      <w:tblGrid>
        <w:gridCol w:w="5490"/>
        <w:gridCol w:w="3158"/>
      </w:tblGrid>
      <w:tr w:rsidR="00997F75" w:rsidRPr="009E35ED" w14:paraId="10CF1DC3" w14:textId="77777777" w:rsidTr="00FF441D">
        <w:trPr>
          <w:trHeight w:val="192"/>
        </w:trPr>
        <w:tc>
          <w:tcPr>
            <w:tcW w:w="5490" w:type="dxa"/>
            <w:tcBorders>
              <w:top w:val="single" w:sz="4" w:space="0" w:color="auto"/>
              <w:left w:val="nil"/>
              <w:right w:val="nil"/>
            </w:tcBorders>
            <w:shd w:val="clear" w:color="auto" w:fill="auto"/>
            <w:noWrap/>
            <w:vAlign w:val="bottom"/>
            <w:hideMark/>
          </w:tcPr>
          <w:p w14:paraId="5F8FAA2F" w14:textId="3F273E11" w:rsidR="00AC7B25" w:rsidRPr="009E35ED" w:rsidRDefault="00AC7B25" w:rsidP="005C5B1F">
            <w:pPr>
              <w:keepNext/>
              <w:keepLines/>
              <w:ind w:left="-288" w:firstLine="178"/>
              <w:jc w:val="left"/>
              <w:rPr>
                <w:rFonts w:ascii="Arial Narrow" w:hAnsi="Arial Narrow" w:cs="Arial"/>
                <w:b/>
                <w:bCs/>
                <w:color w:val="000000" w:themeColor="text1"/>
                <w:sz w:val="20"/>
                <w:szCs w:val="20"/>
                <w:lang w:val="en-PH" w:eastAsia="en-PH"/>
              </w:rPr>
            </w:pPr>
            <w:r w:rsidRPr="009E35ED">
              <w:rPr>
                <w:rFonts w:ascii="Arial Narrow" w:hAnsi="Arial Narrow" w:cs="Arial"/>
                <w:b/>
                <w:bCs/>
                <w:color w:val="000000" w:themeColor="text1"/>
                <w:sz w:val="20"/>
                <w:szCs w:val="20"/>
                <w:lang w:val="en-PH" w:eastAsia="en-PH"/>
              </w:rPr>
              <w:t>Leased Assets, Building and Other Structures</w:t>
            </w:r>
          </w:p>
        </w:tc>
        <w:tc>
          <w:tcPr>
            <w:tcW w:w="3158" w:type="dxa"/>
            <w:tcBorders>
              <w:top w:val="single" w:sz="4" w:space="0" w:color="auto"/>
              <w:left w:val="nil"/>
              <w:right w:val="nil"/>
            </w:tcBorders>
            <w:shd w:val="clear" w:color="auto" w:fill="auto"/>
            <w:noWrap/>
            <w:vAlign w:val="bottom"/>
            <w:hideMark/>
          </w:tcPr>
          <w:p w14:paraId="53DAED51" w14:textId="07119575" w:rsidR="00AC7B25" w:rsidRPr="009E35ED" w:rsidRDefault="00AC7B25" w:rsidP="005C5B1F">
            <w:pPr>
              <w:keepNext/>
              <w:keepLines/>
              <w:ind w:left="0" w:right="-108"/>
              <w:jc w:val="right"/>
              <w:rPr>
                <w:rFonts w:ascii="Arial Narrow" w:hAnsi="Arial Narrow" w:cs="Arial"/>
                <w:b/>
                <w:bCs/>
                <w:color w:val="000000" w:themeColor="text1"/>
                <w:sz w:val="20"/>
                <w:szCs w:val="20"/>
                <w:lang w:val="en-PH" w:eastAsia="en-PH"/>
              </w:rPr>
            </w:pPr>
            <w:r w:rsidRPr="009E35ED">
              <w:rPr>
                <w:rFonts w:ascii="Arial Narrow" w:hAnsi="Arial Narrow" w:cs="Arial"/>
                <w:b/>
                <w:bCs/>
                <w:color w:val="000000" w:themeColor="text1"/>
                <w:sz w:val="20"/>
                <w:szCs w:val="20"/>
                <w:lang w:val="en-PH" w:eastAsia="en-PH"/>
              </w:rPr>
              <w:t>Amount</w:t>
            </w:r>
          </w:p>
        </w:tc>
      </w:tr>
      <w:tr w:rsidR="00997F75" w:rsidRPr="009E35ED" w14:paraId="08060341" w14:textId="77777777" w:rsidTr="00FF441D">
        <w:trPr>
          <w:trHeight w:val="212"/>
        </w:trPr>
        <w:tc>
          <w:tcPr>
            <w:tcW w:w="5490" w:type="dxa"/>
            <w:tcBorders>
              <w:top w:val="single" w:sz="4" w:space="0" w:color="auto"/>
              <w:left w:val="nil"/>
              <w:bottom w:val="nil"/>
              <w:right w:val="nil"/>
            </w:tcBorders>
            <w:shd w:val="clear" w:color="auto" w:fill="auto"/>
            <w:noWrap/>
            <w:vAlign w:val="bottom"/>
            <w:hideMark/>
          </w:tcPr>
          <w:p w14:paraId="1DE0EE5E" w14:textId="53A06C08" w:rsidR="00AC7B25" w:rsidRPr="009E35ED" w:rsidRDefault="00DA5AD4" w:rsidP="005C5B1F">
            <w:pPr>
              <w:keepNext/>
              <w:keepLines/>
              <w:ind w:left="-110"/>
              <w:jc w:val="left"/>
              <w:rPr>
                <w:rFonts w:ascii="Arial Narrow" w:hAnsi="Arial Narrow" w:cs="Arial"/>
                <w:color w:val="000000" w:themeColor="text1"/>
                <w:sz w:val="20"/>
                <w:szCs w:val="20"/>
                <w:lang w:val="en-PH" w:eastAsia="en-PH"/>
              </w:rPr>
            </w:pPr>
            <w:r w:rsidRPr="009E35ED">
              <w:rPr>
                <w:rFonts w:ascii="Arial Narrow" w:hAnsi="Arial Narrow" w:cs="Arial"/>
                <w:color w:val="000000" w:themeColor="text1"/>
                <w:sz w:val="20"/>
                <w:szCs w:val="20"/>
                <w:lang w:val="en-PH" w:eastAsia="en-PH"/>
              </w:rPr>
              <w:t>Present Value</w:t>
            </w:r>
          </w:p>
        </w:tc>
        <w:tc>
          <w:tcPr>
            <w:tcW w:w="3158" w:type="dxa"/>
            <w:tcBorders>
              <w:top w:val="single" w:sz="4" w:space="0" w:color="auto"/>
              <w:left w:val="nil"/>
              <w:bottom w:val="nil"/>
              <w:right w:val="nil"/>
            </w:tcBorders>
            <w:shd w:val="clear" w:color="auto" w:fill="auto"/>
            <w:noWrap/>
            <w:vAlign w:val="bottom"/>
            <w:hideMark/>
          </w:tcPr>
          <w:p w14:paraId="04D8B0DF" w14:textId="67B38479" w:rsidR="00AC7B25" w:rsidRPr="009E35ED" w:rsidRDefault="001B64DD" w:rsidP="005C5B1F">
            <w:pPr>
              <w:keepNext/>
              <w:keepLines/>
              <w:ind w:left="0" w:right="-108"/>
              <w:jc w:val="right"/>
              <w:rPr>
                <w:rFonts w:ascii="Arial Narrow" w:hAnsi="Arial Narrow"/>
                <w:color w:val="000000" w:themeColor="text1"/>
                <w:sz w:val="20"/>
                <w:szCs w:val="20"/>
                <w:lang w:val="en-PH" w:eastAsia="en-PH"/>
              </w:rPr>
            </w:pPr>
            <w:r w:rsidRPr="009E35ED">
              <w:rPr>
                <w:rFonts w:ascii="Arial Narrow" w:hAnsi="Arial Narrow"/>
                <w:color w:val="000000" w:themeColor="text1"/>
                <w:sz w:val="20"/>
                <w:szCs w:val="20"/>
                <w:lang w:val="en-PH" w:eastAsia="en-PH"/>
              </w:rPr>
              <w:t>1,205,263,932</w:t>
            </w:r>
          </w:p>
        </w:tc>
      </w:tr>
      <w:tr w:rsidR="00997F75" w:rsidRPr="009E35ED" w14:paraId="37716B2B" w14:textId="77777777" w:rsidTr="00FF441D">
        <w:trPr>
          <w:trHeight w:val="204"/>
        </w:trPr>
        <w:tc>
          <w:tcPr>
            <w:tcW w:w="5490" w:type="dxa"/>
            <w:tcBorders>
              <w:top w:val="nil"/>
              <w:left w:val="nil"/>
              <w:bottom w:val="nil"/>
              <w:right w:val="nil"/>
            </w:tcBorders>
            <w:shd w:val="clear" w:color="auto" w:fill="auto"/>
            <w:noWrap/>
            <w:vAlign w:val="bottom"/>
            <w:hideMark/>
          </w:tcPr>
          <w:p w14:paraId="4036B0FD" w14:textId="77777777" w:rsidR="00AC7B25" w:rsidRPr="009E35ED" w:rsidRDefault="00AC7B25" w:rsidP="005C5B1F">
            <w:pPr>
              <w:keepNext/>
              <w:keepLines/>
              <w:ind w:left="-110"/>
              <w:jc w:val="left"/>
              <w:rPr>
                <w:rFonts w:ascii="Arial Narrow" w:hAnsi="Arial Narrow" w:cs="Arial"/>
                <w:color w:val="000000" w:themeColor="text1"/>
                <w:sz w:val="20"/>
                <w:szCs w:val="20"/>
                <w:lang w:val="en-PH" w:eastAsia="en-PH"/>
              </w:rPr>
            </w:pPr>
            <w:r w:rsidRPr="009E35ED">
              <w:rPr>
                <w:rFonts w:ascii="Arial Narrow" w:hAnsi="Arial Narrow" w:cs="Arial"/>
                <w:color w:val="000000" w:themeColor="text1"/>
                <w:sz w:val="20"/>
                <w:szCs w:val="20"/>
                <w:lang w:val="en-PH" w:eastAsia="en-PH"/>
              </w:rPr>
              <w:t>Depreciation</w:t>
            </w:r>
          </w:p>
        </w:tc>
        <w:tc>
          <w:tcPr>
            <w:tcW w:w="3158" w:type="dxa"/>
            <w:tcBorders>
              <w:top w:val="nil"/>
              <w:left w:val="nil"/>
              <w:bottom w:val="nil"/>
              <w:right w:val="nil"/>
            </w:tcBorders>
            <w:shd w:val="clear" w:color="auto" w:fill="auto"/>
            <w:noWrap/>
            <w:vAlign w:val="bottom"/>
            <w:hideMark/>
          </w:tcPr>
          <w:p w14:paraId="1EEE4FA0" w14:textId="183D1C7F" w:rsidR="00AC7B25" w:rsidRPr="009E35ED" w:rsidRDefault="00A2217F" w:rsidP="005C5B1F">
            <w:pPr>
              <w:keepNext/>
              <w:keepLines/>
              <w:ind w:left="0" w:right="-108"/>
              <w:jc w:val="right"/>
              <w:rPr>
                <w:rFonts w:ascii="Arial Narrow" w:hAnsi="Arial Narrow" w:cs="Arial"/>
                <w:color w:val="000000" w:themeColor="text1"/>
                <w:sz w:val="20"/>
                <w:szCs w:val="20"/>
                <w:lang w:val="en-PH" w:eastAsia="en-PH"/>
              </w:rPr>
            </w:pPr>
            <w:r w:rsidRPr="009E35ED">
              <w:rPr>
                <w:rFonts w:ascii="Arial Narrow" w:hAnsi="Arial Narrow" w:cs="Arial"/>
                <w:color w:val="000000" w:themeColor="text1"/>
                <w:sz w:val="20"/>
                <w:szCs w:val="20"/>
                <w:lang w:val="en-PH" w:eastAsia="en-PH"/>
              </w:rPr>
              <w:t>(</w:t>
            </w:r>
            <w:r w:rsidR="001B64DD" w:rsidRPr="009E35ED">
              <w:rPr>
                <w:rFonts w:ascii="Arial Narrow" w:hAnsi="Arial Narrow" w:cs="Arial"/>
                <w:color w:val="000000" w:themeColor="text1"/>
                <w:sz w:val="20"/>
                <w:szCs w:val="20"/>
                <w:lang w:val="en-PH" w:eastAsia="en-PH"/>
              </w:rPr>
              <w:t>664,947,452</w:t>
            </w:r>
            <w:r w:rsidRPr="009E35ED">
              <w:rPr>
                <w:rFonts w:ascii="Arial Narrow" w:hAnsi="Arial Narrow" w:cs="Arial"/>
                <w:color w:val="000000" w:themeColor="text1"/>
                <w:sz w:val="20"/>
                <w:szCs w:val="20"/>
                <w:lang w:val="en-PH" w:eastAsia="en-PH"/>
              </w:rPr>
              <w:t>)</w:t>
            </w:r>
          </w:p>
        </w:tc>
      </w:tr>
      <w:tr w:rsidR="00AC7B25" w:rsidRPr="009E35ED" w14:paraId="0AD570AA" w14:textId="77777777" w:rsidTr="00FF441D">
        <w:trPr>
          <w:trHeight w:val="223"/>
        </w:trPr>
        <w:tc>
          <w:tcPr>
            <w:tcW w:w="5490" w:type="dxa"/>
            <w:tcBorders>
              <w:top w:val="single" w:sz="4" w:space="0" w:color="auto"/>
              <w:left w:val="nil"/>
              <w:bottom w:val="double" w:sz="4" w:space="0" w:color="auto"/>
              <w:right w:val="nil"/>
            </w:tcBorders>
            <w:shd w:val="clear" w:color="auto" w:fill="auto"/>
            <w:noWrap/>
            <w:vAlign w:val="bottom"/>
            <w:hideMark/>
          </w:tcPr>
          <w:p w14:paraId="17425563" w14:textId="77777777" w:rsidR="00AC7B25" w:rsidRPr="009E35ED" w:rsidRDefault="00AC7B25" w:rsidP="005C5B1F">
            <w:pPr>
              <w:keepNext/>
              <w:keepLines/>
              <w:ind w:left="-110"/>
              <w:jc w:val="left"/>
              <w:rPr>
                <w:rFonts w:ascii="Arial Narrow" w:hAnsi="Arial Narrow" w:cs="Arial"/>
                <w:b/>
                <w:bCs/>
                <w:color w:val="000000" w:themeColor="text1"/>
                <w:sz w:val="20"/>
                <w:szCs w:val="20"/>
                <w:lang w:val="en-PH" w:eastAsia="en-PH"/>
              </w:rPr>
            </w:pPr>
            <w:r w:rsidRPr="009E35ED">
              <w:rPr>
                <w:rFonts w:ascii="Arial Narrow" w:hAnsi="Arial Narrow" w:cs="Arial"/>
                <w:b/>
                <w:bCs/>
                <w:color w:val="000000" w:themeColor="text1"/>
                <w:sz w:val="20"/>
                <w:szCs w:val="20"/>
                <w:lang w:val="en-PH" w:eastAsia="en-PH"/>
              </w:rPr>
              <w:t>Net Book Value</w:t>
            </w:r>
          </w:p>
        </w:tc>
        <w:tc>
          <w:tcPr>
            <w:tcW w:w="3158" w:type="dxa"/>
            <w:tcBorders>
              <w:top w:val="single" w:sz="4" w:space="0" w:color="auto"/>
              <w:left w:val="nil"/>
              <w:bottom w:val="double" w:sz="4" w:space="0" w:color="auto"/>
              <w:right w:val="nil"/>
            </w:tcBorders>
            <w:shd w:val="clear" w:color="auto" w:fill="auto"/>
            <w:noWrap/>
            <w:vAlign w:val="bottom"/>
            <w:hideMark/>
          </w:tcPr>
          <w:p w14:paraId="31B1BE11" w14:textId="3DD4D4C8" w:rsidR="00AC7B25" w:rsidRPr="009E35ED" w:rsidRDefault="001C64CB" w:rsidP="005C5B1F">
            <w:pPr>
              <w:keepNext/>
              <w:keepLines/>
              <w:ind w:left="0" w:right="-108"/>
              <w:jc w:val="right"/>
              <w:rPr>
                <w:rFonts w:ascii="Arial Narrow" w:hAnsi="Arial Narrow" w:cs="Arial"/>
                <w:b/>
                <w:bCs/>
                <w:color w:val="000000" w:themeColor="text1"/>
                <w:sz w:val="20"/>
                <w:szCs w:val="20"/>
                <w:lang w:val="en-PH" w:eastAsia="en-PH"/>
              </w:rPr>
            </w:pPr>
            <w:r w:rsidRPr="009E35ED">
              <w:rPr>
                <w:rFonts w:ascii="Arial Narrow" w:hAnsi="Arial Narrow" w:cs="Arial"/>
                <w:b/>
                <w:bCs/>
                <w:color w:val="000000" w:themeColor="text1"/>
                <w:sz w:val="20"/>
                <w:szCs w:val="20"/>
                <w:lang w:val="en-PH" w:eastAsia="en-PH"/>
              </w:rPr>
              <w:t>540,316,</w:t>
            </w:r>
            <w:r w:rsidR="001B64DD" w:rsidRPr="009E35ED">
              <w:rPr>
                <w:rFonts w:ascii="Arial Narrow" w:hAnsi="Arial Narrow" w:cs="Arial"/>
                <w:b/>
                <w:bCs/>
                <w:color w:val="000000" w:themeColor="text1"/>
                <w:sz w:val="20"/>
                <w:szCs w:val="20"/>
                <w:lang w:val="en-PH" w:eastAsia="en-PH"/>
              </w:rPr>
              <w:t>480</w:t>
            </w:r>
          </w:p>
        </w:tc>
      </w:tr>
    </w:tbl>
    <w:p w14:paraId="394FDF1C" w14:textId="40B91BB1" w:rsidR="007E0B6F" w:rsidRPr="009E35ED" w:rsidRDefault="007E0B6F" w:rsidP="005C5B1F">
      <w:pPr>
        <w:keepNext/>
        <w:keepLines/>
        <w:ind w:left="0"/>
        <w:rPr>
          <w:rFonts w:ascii="Arial" w:hAnsi="Arial" w:cs="Arial"/>
          <w:color w:val="000000" w:themeColor="text1"/>
          <w:sz w:val="22"/>
          <w:szCs w:val="22"/>
        </w:rPr>
      </w:pPr>
    </w:p>
    <w:tbl>
      <w:tblPr>
        <w:tblW w:w="8648" w:type="dxa"/>
        <w:tblLook w:val="04A0" w:firstRow="1" w:lastRow="0" w:firstColumn="1" w:lastColumn="0" w:noHBand="0" w:noVBand="1"/>
      </w:tblPr>
      <w:tblGrid>
        <w:gridCol w:w="5490"/>
        <w:gridCol w:w="3158"/>
      </w:tblGrid>
      <w:tr w:rsidR="00997F75" w:rsidRPr="009E35ED" w14:paraId="41E18EC5" w14:textId="77777777" w:rsidTr="00FF441D">
        <w:trPr>
          <w:trHeight w:val="192"/>
        </w:trPr>
        <w:tc>
          <w:tcPr>
            <w:tcW w:w="5490" w:type="dxa"/>
            <w:tcBorders>
              <w:top w:val="single" w:sz="4" w:space="0" w:color="auto"/>
              <w:left w:val="nil"/>
              <w:right w:val="nil"/>
            </w:tcBorders>
            <w:shd w:val="clear" w:color="auto" w:fill="auto"/>
            <w:noWrap/>
            <w:vAlign w:val="bottom"/>
            <w:hideMark/>
          </w:tcPr>
          <w:p w14:paraId="15348C02" w14:textId="396846AC" w:rsidR="001B64DD" w:rsidRPr="009E35ED" w:rsidRDefault="001B64DD" w:rsidP="005C5B1F">
            <w:pPr>
              <w:keepNext/>
              <w:keepLines/>
              <w:ind w:left="-110"/>
              <w:jc w:val="left"/>
              <w:rPr>
                <w:rFonts w:ascii="Arial Narrow" w:hAnsi="Arial Narrow" w:cs="Arial"/>
                <w:b/>
                <w:bCs/>
                <w:color w:val="000000" w:themeColor="text1"/>
                <w:sz w:val="20"/>
                <w:szCs w:val="20"/>
                <w:lang w:val="en-PH" w:eastAsia="en-PH"/>
              </w:rPr>
            </w:pPr>
            <w:r w:rsidRPr="009E35ED">
              <w:rPr>
                <w:rFonts w:ascii="Arial Narrow" w:hAnsi="Arial Narrow" w:cs="Arial"/>
                <w:b/>
                <w:bCs/>
                <w:color w:val="000000" w:themeColor="text1"/>
                <w:sz w:val="20"/>
                <w:szCs w:val="20"/>
                <w:lang w:val="en-PH" w:eastAsia="en-PH"/>
              </w:rPr>
              <w:t>Leased Assets, Machinery and Equipment</w:t>
            </w:r>
          </w:p>
        </w:tc>
        <w:tc>
          <w:tcPr>
            <w:tcW w:w="3158" w:type="dxa"/>
            <w:tcBorders>
              <w:top w:val="single" w:sz="4" w:space="0" w:color="auto"/>
              <w:left w:val="nil"/>
              <w:right w:val="nil"/>
            </w:tcBorders>
            <w:shd w:val="clear" w:color="auto" w:fill="auto"/>
            <w:noWrap/>
            <w:vAlign w:val="bottom"/>
            <w:hideMark/>
          </w:tcPr>
          <w:p w14:paraId="1BEBD89C" w14:textId="77777777" w:rsidR="001B64DD" w:rsidRPr="009E35ED" w:rsidRDefault="001B64DD" w:rsidP="005C5B1F">
            <w:pPr>
              <w:keepNext/>
              <w:keepLines/>
              <w:ind w:left="0" w:right="-108"/>
              <w:jc w:val="right"/>
              <w:rPr>
                <w:rFonts w:ascii="Arial Narrow" w:hAnsi="Arial Narrow" w:cs="Arial"/>
                <w:b/>
                <w:bCs/>
                <w:color w:val="000000" w:themeColor="text1"/>
                <w:sz w:val="20"/>
                <w:szCs w:val="20"/>
                <w:lang w:val="en-PH" w:eastAsia="en-PH"/>
              </w:rPr>
            </w:pPr>
            <w:r w:rsidRPr="009E35ED">
              <w:rPr>
                <w:rFonts w:ascii="Arial Narrow" w:hAnsi="Arial Narrow" w:cs="Arial"/>
                <w:b/>
                <w:bCs/>
                <w:color w:val="000000" w:themeColor="text1"/>
                <w:sz w:val="20"/>
                <w:szCs w:val="20"/>
                <w:lang w:val="en-PH" w:eastAsia="en-PH"/>
              </w:rPr>
              <w:t>Amount</w:t>
            </w:r>
          </w:p>
        </w:tc>
      </w:tr>
      <w:tr w:rsidR="00997F75" w:rsidRPr="009E35ED" w14:paraId="13D39F71" w14:textId="77777777" w:rsidTr="00FF441D">
        <w:trPr>
          <w:trHeight w:val="212"/>
        </w:trPr>
        <w:tc>
          <w:tcPr>
            <w:tcW w:w="5490" w:type="dxa"/>
            <w:tcBorders>
              <w:top w:val="single" w:sz="4" w:space="0" w:color="auto"/>
              <w:left w:val="nil"/>
              <w:bottom w:val="nil"/>
              <w:right w:val="nil"/>
            </w:tcBorders>
            <w:shd w:val="clear" w:color="auto" w:fill="auto"/>
            <w:noWrap/>
            <w:vAlign w:val="bottom"/>
            <w:hideMark/>
          </w:tcPr>
          <w:p w14:paraId="052EFAF4" w14:textId="77777777" w:rsidR="001B64DD" w:rsidRPr="009E35ED" w:rsidRDefault="001B64DD" w:rsidP="005C5B1F">
            <w:pPr>
              <w:keepNext/>
              <w:keepLines/>
              <w:ind w:left="-110"/>
              <w:jc w:val="left"/>
              <w:rPr>
                <w:rFonts w:ascii="Arial Narrow" w:hAnsi="Arial Narrow" w:cs="Arial"/>
                <w:color w:val="000000" w:themeColor="text1"/>
                <w:sz w:val="20"/>
                <w:szCs w:val="20"/>
                <w:lang w:val="en-PH" w:eastAsia="en-PH"/>
              </w:rPr>
            </w:pPr>
            <w:r w:rsidRPr="009E35ED">
              <w:rPr>
                <w:rFonts w:ascii="Arial Narrow" w:hAnsi="Arial Narrow" w:cs="Arial"/>
                <w:color w:val="000000" w:themeColor="text1"/>
                <w:sz w:val="20"/>
                <w:szCs w:val="20"/>
                <w:lang w:val="en-PH" w:eastAsia="en-PH"/>
              </w:rPr>
              <w:t>Present Value</w:t>
            </w:r>
          </w:p>
        </w:tc>
        <w:tc>
          <w:tcPr>
            <w:tcW w:w="3158" w:type="dxa"/>
            <w:tcBorders>
              <w:top w:val="single" w:sz="4" w:space="0" w:color="auto"/>
              <w:left w:val="nil"/>
              <w:bottom w:val="nil"/>
              <w:right w:val="nil"/>
            </w:tcBorders>
            <w:shd w:val="clear" w:color="auto" w:fill="auto"/>
            <w:noWrap/>
            <w:vAlign w:val="bottom"/>
            <w:hideMark/>
          </w:tcPr>
          <w:p w14:paraId="765E1EE1" w14:textId="349009D2" w:rsidR="001B64DD" w:rsidRPr="009E35ED" w:rsidRDefault="001B64DD" w:rsidP="005C5B1F">
            <w:pPr>
              <w:keepNext/>
              <w:keepLines/>
              <w:ind w:left="0" w:right="-108"/>
              <w:jc w:val="right"/>
              <w:rPr>
                <w:rFonts w:ascii="Arial Narrow" w:hAnsi="Arial Narrow"/>
                <w:color w:val="000000" w:themeColor="text1"/>
                <w:sz w:val="20"/>
                <w:szCs w:val="20"/>
                <w:lang w:val="en-PH" w:eastAsia="en-PH"/>
              </w:rPr>
            </w:pPr>
            <w:r w:rsidRPr="009E35ED">
              <w:rPr>
                <w:rFonts w:ascii="Arial Narrow" w:hAnsi="Arial Narrow"/>
                <w:color w:val="000000" w:themeColor="text1"/>
                <w:sz w:val="20"/>
                <w:szCs w:val="20"/>
                <w:lang w:val="en-PH" w:eastAsia="en-PH"/>
              </w:rPr>
              <w:t>4,984,537,389</w:t>
            </w:r>
          </w:p>
        </w:tc>
      </w:tr>
      <w:tr w:rsidR="00997F75" w:rsidRPr="009E35ED" w14:paraId="36934741" w14:textId="77777777" w:rsidTr="00FF441D">
        <w:trPr>
          <w:trHeight w:val="204"/>
        </w:trPr>
        <w:tc>
          <w:tcPr>
            <w:tcW w:w="5490" w:type="dxa"/>
            <w:tcBorders>
              <w:top w:val="nil"/>
              <w:left w:val="nil"/>
              <w:bottom w:val="nil"/>
              <w:right w:val="nil"/>
            </w:tcBorders>
            <w:shd w:val="clear" w:color="auto" w:fill="auto"/>
            <w:noWrap/>
            <w:vAlign w:val="bottom"/>
            <w:hideMark/>
          </w:tcPr>
          <w:p w14:paraId="389875B6" w14:textId="77777777" w:rsidR="001B64DD" w:rsidRPr="009E35ED" w:rsidRDefault="001B64DD" w:rsidP="005C5B1F">
            <w:pPr>
              <w:keepNext/>
              <w:keepLines/>
              <w:ind w:left="-110"/>
              <w:jc w:val="left"/>
              <w:rPr>
                <w:rFonts w:ascii="Arial Narrow" w:hAnsi="Arial Narrow" w:cs="Arial"/>
                <w:color w:val="000000" w:themeColor="text1"/>
                <w:sz w:val="20"/>
                <w:szCs w:val="20"/>
                <w:lang w:val="en-PH" w:eastAsia="en-PH"/>
              </w:rPr>
            </w:pPr>
            <w:r w:rsidRPr="009E35ED">
              <w:rPr>
                <w:rFonts w:ascii="Arial Narrow" w:hAnsi="Arial Narrow" w:cs="Arial"/>
                <w:color w:val="000000" w:themeColor="text1"/>
                <w:sz w:val="20"/>
                <w:szCs w:val="20"/>
                <w:lang w:val="en-PH" w:eastAsia="en-PH"/>
              </w:rPr>
              <w:t>Depreciation</w:t>
            </w:r>
          </w:p>
        </w:tc>
        <w:tc>
          <w:tcPr>
            <w:tcW w:w="3158" w:type="dxa"/>
            <w:tcBorders>
              <w:top w:val="nil"/>
              <w:left w:val="nil"/>
              <w:bottom w:val="nil"/>
              <w:right w:val="nil"/>
            </w:tcBorders>
            <w:shd w:val="clear" w:color="auto" w:fill="auto"/>
            <w:noWrap/>
            <w:vAlign w:val="bottom"/>
            <w:hideMark/>
          </w:tcPr>
          <w:p w14:paraId="4BE8A1C8" w14:textId="33201D19" w:rsidR="001B64DD" w:rsidRPr="009E35ED" w:rsidRDefault="001B64DD" w:rsidP="005C5B1F">
            <w:pPr>
              <w:keepNext/>
              <w:keepLines/>
              <w:ind w:left="0" w:right="-108"/>
              <w:jc w:val="right"/>
              <w:rPr>
                <w:rFonts w:ascii="Arial Narrow" w:hAnsi="Arial Narrow" w:cs="Arial"/>
                <w:color w:val="000000" w:themeColor="text1"/>
                <w:sz w:val="20"/>
                <w:szCs w:val="20"/>
                <w:lang w:val="en-PH" w:eastAsia="en-PH"/>
              </w:rPr>
            </w:pPr>
            <w:r w:rsidRPr="009E35ED">
              <w:rPr>
                <w:rFonts w:ascii="Arial Narrow" w:hAnsi="Arial Narrow" w:cs="Arial"/>
                <w:color w:val="000000" w:themeColor="text1"/>
                <w:sz w:val="20"/>
                <w:szCs w:val="20"/>
                <w:lang w:val="en-PH" w:eastAsia="en-PH"/>
              </w:rPr>
              <w:t>(249,226,869)</w:t>
            </w:r>
          </w:p>
        </w:tc>
      </w:tr>
      <w:tr w:rsidR="001B64DD" w:rsidRPr="009E35ED" w14:paraId="0C0B8AC8" w14:textId="77777777" w:rsidTr="00FF441D">
        <w:trPr>
          <w:trHeight w:val="223"/>
        </w:trPr>
        <w:tc>
          <w:tcPr>
            <w:tcW w:w="5490" w:type="dxa"/>
            <w:tcBorders>
              <w:top w:val="single" w:sz="4" w:space="0" w:color="auto"/>
              <w:left w:val="nil"/>
              <w:bottom w:val="double" w:sz="4" w:space="0" w:color="auto"/>
              <w:right w:val="nil"/>
            </w:tcBorders>
            <w:shd w:val="clear" w:color="auto" w:fill="auto"/>
            <w:noWrap/>
            <w:vAlign w:val="bottom"/>
            <w:hideMark/>
          </w:tcPr>
          <w:p w14:paraId="4B215B09" w14:textId="77777777" w:rsidR="001B64DD" w:rsidRPr="009E35ED" w:rsidRDefault="001B64DD" w:rsidP="005C5B1F">
            <w:pPr>
              <w:keepNext/>
              <w:keepLines/>
              <w:ind w:left="-110"/>
              <w:jc w:val="left"/>
              <w:rPr>
                <w:rFonts w:ascii="Arial Narrow" w:hAnsi="Arial Narrow" w:cs="Arial"/>
                <w:b/>
                <w:bCs/>
                <w:color w:val="000000" w:themeColor="text1"/>
                <w:sz w:val="20"/>
                <w:szCs w:val="20"/>
                <w:lang w:val="en-PH" w:eastAsia="en-PH"/>
              </w:rPr>
            </w:pPr>
            <w:r w:rsidRPr="009E35ED">
              <w:rPr>
                <w:rFonts w:ascii="Arial Narrow" w:hAnsi="Arial Narrow" w:cs="Arial"/>
                <w:b/>
                <w:bCs/>
                <w:color w:val="000000" w:themeColor="text1"/>
                <w:sz w:val="20"/>
                <w:szCs w:val="20"/>
                <w:lang w:val="en-PH" w:eastAsia="en-PH"/>
              </w:rPr>
              <w:t>Net Book Value</w:t>
            </w:r>
          </w:p>
        </w:tc>
        <w:tc>
          <w:tcPr>
            <w:tcW w:w="3158" w:type="dxa"/>
            <w:tcBorders>
              <w:top w:val="single" w:sz="4" w:space="0" w:color="auto"/>
              <w:left w:val="nil"/>
              <w:bottom w:val="double" w:sz="4" w:space="0" w:color="auto"/>
              <w:right w:val="nil"/>
            </w:tcBorders>
            <w:shd w:val="clear" w:color="auto" w:fill="auto"/>
            <w:noWrap/>
            <w:vAlign w:val="bottom"/>
            <w:hideMark/>
          </w:tcPr>
          <w:p w14:paraId="59AE3A9D" w14:textId="69E2C774" w:rsidR="001B64DD" w:rsidRPr="009E35ED" w:rsidRDefault="001B64DD" w:rsidP="005C5B1F">
            <w:pPr>
              <w:keepNext/>
              <w:keepLines/>
              <w:ind w:left="0" w:right="-108"/>
              <w:jc w:val="right"/>
              <w:rPr>
                <w:rFonts w:ascii="Arial Narrow" w:hAnsi="Arial Narrow" w:cs="Arial"/>
                <w:b/>
                <w:bCs/>
                <w:color w:val="000000" w:themeColor="text1"/>
                <w:sz w:val="20"/>
                <w:szCs w:val="20"/>
                <w:lang w:val="en-PH" w:eastAsia="en-PH"/>
              </w:rPr>
            </w:pPr>
            <w:r w:rsidRPr="009E35ED">
              <w:rPr>
                <w:rFonts w:ascii="Arial Narrow" w:hAnsi="Arial Narrow" w:cs="Arial"/>
                <w:b/>
                <w:bCs/>
                <w:color w:val="000000" w:themeColor="text1"/>
                <w:sz w:val="20"/>
                <w:szCs w:val="20"/>
                <w:lang w:val="en-PH" w:eastAsia="en-PH"/>
              </w:rPr>
              <w:t>4,735,310,520</w:t>
            </w:r>
          </w:p>
        </w:tc>
      </w:tr>
    </w:tbl>
    <w:p w14:paraId="18683822" w14:textId="1425B0C5" w:rsidR="001B64DD" w:rsidRPr="009E35ED" w:rsidRDefault="001B64DD" w:rsidP="00803F8C">
      <w:pPr>
        <w:ind w:left="0"/>
        <w:rPr>
          <w:rFonts w:ascii="Arial" w:hAnsi="Arial" w:cs="Arial"/>
          <w:color w:val="000000" w:themeColor="text1"/>
          <w:sz w:val="22"/>
          <w:szCs w:val="22"/>
        </w:rPr>
      </w:pPr>
    </w:p>
    <w:p w14:paraId="04FB44D9" w14:textId="77777777" w:rsidR="001B64DD" w:rsidRPr="009E35ED" w:rsidRDefault="001B64DD" w:rsidP="00803F8C">
      <w:pPr>
        <w:ind w:left="0"/>
        <w:rPr>
          <w:rFonts w:ascii="Arial" w:hAnsi="Arial" w:cs="Arial"/>
          <w:color w:val="000000" w:themeColor="text1"/>
          <w:sz w:val="22"/>
          <w:szCs w:val="22"/>
        </w:rPr>
      </w:pPr>
    </w:p>
    <w:p w14:paraId="3212D153" w14:textId="6F72CE9F" w:rsidR="000823F0" w:rsidRPr="009E35ED" w:rsidRDefault="00E76801" w:rsidP="004E1271">
      <w:pPr>
        <w:tabs>
          <w:tab w:val="left" w:pos="8550"/>
        </w:tabs>
        <w:ind w:left="0"/>
        <w:rPr>
          <w:rFonts w:ascii="Arial" w:hAnsi="Arial" w:cs="Arial"/>
          <w:color w:val="000000" w:themeColor="text1"/>
          <w:sz w:val="22"/>
          <w:szCs w:val="22"/>
        </w:rPr>
      </w:pPr>
      <w:r w:rsidRPr="009E35ED">
        <w:rPr>
          <w:rFonts w:ascii="Arial" w:hAnsi="Arial" w:cs="Arial"/>
          <w:color w:val="000000" w:themeColor="text1"/>
          <w:sz w:val="22"/>
          <w:szCs w:val="22"/>
        </w:rPr>
        <w:t xml:space="preserve">In conformity with PAS No. 8, the </w:t>
      </w:r>
      <w:r w:rsidR="00675993" w:rsidRPr="009E35ED">
        <w:rPr>
          <w:rFonts w:ascii="Arial" w:hAnsi="Arial" w:cs="Arial"/>
          <w:color w:val="000000" w:themeColor="text1"/>
          <w:sz w:val="22"/>
          <w:szCs w:val="22"/>
        </w:rPr>
        <w:t>Property and Equipment</w:t>
      </w:r>
      <w:r w:rsidRPr="009E35ED">
        <w:rPr>
          <w:rFonts w:ascii="Arial" w:hAnsi="Arial" w:cs="Arial"/>
          <w:color w:val="000000" w:themeColor="text1"/>
          <w:sz w:val="22"/>
          <w:szCs w:val="22"/>
        </w:rPr>
        <w:t xml:space="preserve"> accounts are restated as follows:</w:t>
      </w:r>
    </w:p>
    <w:p w14:paraId="226DA2A0" w14:textId="77777777" w:rsidR="008D17BC" w:rsidRPr="009E35ED" w:rsidRDefault="008D17BC" w:rsidP="004E1271">
      <w:pPr>
        <w:tabs>
          <w:tab w:val="left" w:pos="8550"/>
        </w:tabs>
        <w:ind w:left="0"/>
        <w:rPr>
          <w:rFonts w:ascii="Arial" w:hAnsi="Arial" w:cs="Arial"/>
          <w:color w:val="000000" w:themeColor="text1"/>
          <w:sz w:val="22"/>
          <w:szCs w:val="22"/>
        </w:rPr>
      </w:pPr>
    </w:p>
    <w:tbl>
      <w:tblPr>
        <w:tblW w:w="8640" w:type="dxa"/>
        <w:tblLook w:val="04A0" w:firstRow="1" w:lastRow="0" w:firstColumn="1" w:lastColumn="0" w:noHBand="0" w:noVBand="1"/>
      </w:tblPr>
      <w:tblGrid>
        <w:gridCol w:w="7110"/>
        <w:gridCol w:w="70"/>
        <w:gridCol w:w="1460"/>
      </w:tblGrid>
      <w:tr w:rsidR="00997F75" w:rsidRPr="009E35ED" w14:paraId="4BE2A441" w14:textId="77777777" w:rsidTr="00FF441D">
        <w:trPr>
          <w:trHeight w:val="134"/>
        </w:trPr>
        <w:tc>
          <w:tcPr>
            <w:tcW w:w="7110" w:type="dxa"/>
            <w:tcBorders>
              <w:top w:val="single" w:sz="4" w:space="0" w:color="auto"/>
            </w:tcBorders>
            <w:shd w:val="clear" w:color="auto" w:fill="auto"/>
            <w:noWrap/>
            <w:hideMark/>
          </w:tcPr>
          <w:p w14:paraId="02CA2462" w14:textId="18DA7FF4" w:rsidR="00961E27" w:rsidRPr="009E35ED" w:rsidRDefault="00961E27" w:rsidP="00FF441D">
            <w:pPr>
              <w:ind w:left="-108"/>
              <w:jc w:val="left"/>
              <w:rPr>
                <w:rFonts w:ascii="Arial Narrow" w:hAnsi="Arial Narrow"/>
                <w:color w:val="000000" w:themeColor="text1"/>
                <w:sz w:val="18"/>
                <w:szCs w:val="16"/>
                <w:lang w:val="en-PH" w:eastAsia="en-PH"/>
              </w:rPr>
            </w:pPr>
            <w:r w:rsidRPr="009E35ED">
              <w:rPr>
                <w:rFonts w:ascii="Arial Narrow" w:hAnsi="Arial Narrow"/>
                <w:color w:val="000000" w:themeColor="text1"/>
                <w:sz w:val="18"/>
                <w:szCs w:val="16"/>
              </w:rPr>
              <w:t xml:space="preserve">Unrestated </w:t>
            </w:r>
            <w:r w:rsidR="000911E5">
              <w:rPr>
                <w:rFonts w:ascii="Arial Narrow" w:hAnsi="Arial Narrow"/>
                <w:color w:val="000000" w:themeColor="text1"/>
                <w:sz w:val="18"/>
                <w:szCs w:val="16"/>
              </w:rPr>
              <w:t>a</w:t>
            </w:r>
            <w:r w:rsidRPr="009E35ED">
              <w:rPr>
                <w:rFonts w:ascii="Arial Narrow" w:hAnsi="Arial Narrow"/>
                <w:color w:val="000000" w:themeColor="text1"/>
                <w:sz w:val="18"/>
                <w:szCs w:val="16"/>
              </w:rPr>
              <w:t>mount as of December 31, 2022</w:t>
            </w:r>
          </w:p>
        </w:tc>
        <w:tc>
          <w:tcPr>
            <w:tcW w:w="1530" w:type="dxa"/>
            <w:gridSpan w:val="2"/>
            <w:tcBorders>
              <w:top w:val="single" w:sz="4" w:space="0" w:color="auto"/>
            </w:tcBorders>
            <w:shd w:val="clear" w:color="auto" w:fill="auto"/>
            <w:noWrap/>
            <w:hideMark/>
          </w:tcPr>
          <w:p w14:paraId="1FE268FE" w14:textId="02E501FE" w:rsidR="00961E27" w:rsidRPr="009E35ED" w:rsidRDefault="00961E27" w:rsidP="00FF441D">
            <w:pPr>
              <w:ind w:left="0" w:right="-112"/>
              <w:jc w:val="right"/>
              <w:rPr>
                <w:rFonts w:ascii="Arial Narrow" w:hAnsi="Arial Narrow" w:cs="Arial"/>
                <w:color w:val="000000" w:themeColor="text1"/>
                <w:sz w:val="18"/>
                <w:szCs w:val="16"/>
                <w:lang w:val="en-PH" w:eastAsia="en-PH"/>
              </w:rPr>
            </w:pPr>
            <w:r w:rsidRPr="009E35ED">
              <w:rPr>
                <w:rFonts w:ascii="Arial Narrow" w:hAnsi="Arial Narrow"/>
                <w:color w:val="000000" w:themeColor="text1"/>
                <w:sz w:val="18"/>
                <w:szCs w:val="16"/>
              </w:rPr>
              <w:t xml:space="preserve"> 200,597,499 </w:t>
            </w:r>
          </w:p>
        </w:tc>
      </w:tr>
      <w:tr w:rsidR="00997F75" w:rsidRPr="009E35ED" w14:paraId="067CCD1A" w14:textId="77777777" w:rsidTr="00FF441D">
        <w:trPr>
          <w:trHeight w:val="107"/>
        </w:trPr>
        <w:tc>
          <w:tcPr>
            <w:tcW w:w="7110" w:type="dxa"/>
            <w:shd w:val="clear" w:color="auto" w:fill="auto"/>
            <w:noWrap/>
          </w:tcPr>
          <w:p w14:paraId="104B26E2" w14:textId="71A04398" w:rsidR="00961E27" w:rsidRPr="009E35ED" w:rsidRDefault="00961E27" w:rsidP="00FF441D">
            <w:pPr>
              <w:ind w:left="-108"/>
              <w:jc w:val="left"/>
              <w:rPr>
                <w:rFonts w:ascii="Arial Narrow" w:hAnsi="Arial Narrow" w:cs="Calibri"/>
                <w:color w:val="000000" w:themeColor="text1"/>
                <w:sz w:val="18"/>
                <w:szCs w:val="16"/>
              </w:rPr>
            </w:pPr>
            <w:r w:rsidRPr="009E35ED">
              <w:rPr>
                <w:rFonts w:ascii="Arial Narrow" w:hAnsi="Arial Narrow"/>
                <w:color w:val="000000" w:themeColor="text1"/>
                <w:sz w:val="18"/>
                <w:szCs w:val="16"/>
              </w:rPr>
              <w:t xml:space="preserve">Adjustment/Recording of Depreciation </w:t>
            </w:r>
            <w:r w:rsidR="000911E5">
              <w:rPr>
                <w:rFonts w:ascii="Arial Narrow" w:hAnsi="Arial Narrow"/>
                <w:color w:val="000000" w:themeColor="text1"/>
                <w:sz w:val="18"/>
                <w:szCs w:val="16"/>
              </w:rPr>
              <w:t>e</w:t>
            </w:r>
            <w:r w:rsidRPr="009E35ED">
              <w:rPr>
                <w:rFonts w:ascii="Arial Narrow" w:hAnsi="Arial Narrow"/>
                <w:color w:val="000000" w:themeColor="text1"/>
                <w:sz w:val="18"/>
                <w:szCs w:val="16"/>
              </w:rPr>
              <w:t>xpenses-</w:t>
            </w:r>
            <w:r w:rsidR="000911E5">
              <w:rPr>
                <w:rFonts w:ascii="Arial Narrow" w:hAnsi="Arial Narrow"/>
                <w:color w:val="000000" w:themeColor="text1"/>
                <w:sz w:val="18"/>
                <w:szCs w:val="16"/>
              </w:rPr>
              <w:t>b</w:t>
            </w:r>
            <w:r w:rsidRPr="009E35ED">
              <w:rPr>
                <w:rFonts w:ascii="Arial Narrow" w:hAnsi="Arial Narrow"/>
                <w:color w:val="000000" w:themeColor="text1"/>
                <w:sz w:val="18"/>
                <w:szCs w:val="16"/>
              </w:rPr>
              <w:t xml:space="preserve">uildings and </w:t>
            </w:r>
            <w:r w:rsidR="000911E5">
              <w:rPr>
                <w:rFonts w:ascii="Arial Narrow" w:hAnsi="Arial Narrow"/>
                <w:color w:val="000000" w:themeColor="text1"/>
                <w:sz w:val="18"/>
                <w:szCs w:val="16"/>
              </w:rPr>
              <w:t>o</w:t>
            </w:r>
            <w:r w:rsidRPr="009E35ED">
              <w:rPr>
                <w:rFonts w:ascii="Arial Narrow" w:hAnsi="Arial Narrow"/>
                <w:color w:val="000000" w:themeColor="text1"/>
                <w:sz w:val="18"/>
                <w:szCs w:val="16"/>
              </w:rPr>
              <w:t xml:space="preserve">ther </w:t>
            </w:r>
            <w:r w:rsidR="000911E5">
              <w:rPr>
                <w:rFonts w:ascii="Arial Narrow" w:hAnsi="Arial Narrow"/>
                <w:color w:val="000000" w:themeColor="text1"/>
                <w:sz w:val="18"/>
                <w:szCs w:val="16"/>
              </w:rPr>
              <w:t>s</w:t>
            </w:r>
            <w:r w:rsidRPr="009E35ED">
              <w:rPr>
                <w:rFonts w:ascii="Arial Narrow" w:hAnsi="Arial Narrow"/>
                <w:color w:val="000000" w:themeColor="text1"/>
                <w:sz w:val="18"/>
                <w:szCs w:val="16"/>
              </w:rPr>
              <w:t>tructures-</w:t>
            </w:r>
            <w:r w:rsidR="000911E5">
              <w:rPr>
                <w:rFonts w:ascii="Arial Narrow" w:hAnsi="Arial Narrow"/>
                <w:color w:val="000000" w:themeColor="text1"/>
                <w:sz w:val="18"/>
                <w:szCs w:val="16"/>
              </w:rPr>
              <w:t>b</w:t>
            </w:r>
            <w:r w:rsidRPr="009E35ED">
              <w:rPr>
                <w:rFonts w:ascii="Arial Narrow" w:hAnsi="Arial Narrow"/>
                <w:color w:val="000000" w:themeColor="text1"/>
                <w:sz w:val="18"/>
                <w:szCs w:val="16"/>
              </w:rPr>
              <w:t>uilding-</w:t>
            </w:r>
            <w:r w:rsidR="000911E5">
              <w:rPr>
                <w:rFonts w:ascii="Arial Narrow" w:hAnsi="Arial Narrow"/>
                <w:color w:val="000000" w:themeColor="text1"/>
                <w:sz w:val="18"/>
                <w:szCs w:val="16"/>
              </w:rPr>
              <w:t>b</w:t>
            </w:r>
            <w:r w:rsidRPr="009E35ED">
              <w:rPr>
                <w:rFonts w:ascii="Arial Narrow" w:hAnsi="Arial Narrow"/>
                <w:color w:val="000000" w:themeColor="text1"/>
                <w:sz w:val="18"/>
                <w:szCs w:val="16"/>
              </w:rPr>
              <w:t>ranches</w:t>
            </w:r>
          </w:p>
        </w:tc>
        <w:tc>
          <w:tcPr>
            <w:tcW w:w="1530" w:type="dxa"/>
            <w:gridSpan w:val="2"/>
            <w:shd w:val="clear" w:color="auto" w:fill="auto"/>
            <w:noWrap/>
          </w:tcPr>
          <w:p w14:paraId="2E1F6BF1" w14:textId="1DFFE171" w:rsidR="00961E27" w:rsidRPr="009E35ED" w:rsidRDefault="00961E27" w:rsidP="00FF441D">
            <w:pPr>
              <w:ind w:left="0" w:right="-112"/>
              <w:jc w:val="right"/>
              <w:rPr>
                <w:rFonts w:ascii="Arial Narrow" w:hAnsi="Arial Narrow" w:cs="Arial"/>
                <w:color w:val="000000" w:themeColor="text1"/>
                <w:sz w:val="18"/>
                <w:szCs w:val="16"/>
              </w:rPr>
            </w:pPr>
            <w:r w:rsidRPr="009E35ED">
              <w:rPr>
                <w:rFonts w:ascii="Arial Narrow" w:hAnsi="Arial Narrow"/>
                <w:color w:val="000000" w:themeColor="text1"/>
                <w:sz w:val="18"/>
                <w:szCs w:val="16"/>
              </w:rPr>
              <w:t xml:space="preserve"> 57,549.83 </w:t>
            </w:r>
          </w:p>
        </w:tc>
      </w:tr>
      <w:tr w:rsidR="00997F75" w:rsidRPr="009E35ED" w14:paraId="42938108" w14:textId="77777777" w:rsidTr="00FF441D">
        <w:trPr>
          <w:trHeight w:val="107"/>
        </w:trPr>
        <w:tc>
          <w:tcPr>
            <w:tcW w:w="7110" w:type="dxa"/>
            <w:shd w:val="clear" w:color="auto" w:fill="auto"/>
            <w:noWrap/>
          </w:tcPr>
          <w:p w14:paraId="3A584EA6" w14:textId="2C4E192D" w:rsidR="00961E27" w:rsidRPr="009E35ED" w:rsidRDefault="00961E27" w:rsidP="00FF441D">
            <w:pPr>
              <w:ind w:left="-108"/>
              <w:jc w:val="left"/>
              <w:rPr>
                <w:rFonts w:ascii="Arial Narrow" w:hAnsi="Arial Narrow"/>
                <w:color w:val="000000" w:themeColor="text1"/>
                <w:sz w:val="18"/>
                <w:szCs w:val="16"/>
              </w:rPr>
            </w:pPr>
            <w:r w:rsidRPr="009E35ED">
              <w:rPr>
                <w:rFonts w:ascii="Arial Narrow" w:hAnsi="Arial Narrow"/>
                <w:color w:val="000000" w:themeColor="text1"/>
                <w:sz w:val="18"/>
                <w:szCs w:val="16"/>
              </w:rPr>
              <w:t xml:space="preserve">Adjustment/Recording of Building - </w:t>
            </w:r>
            <w:r w:rsidR="00DB59F6">
              <w:rPr>
                <w:rFonts w:ascii="Arial Narrow" w:hAnsi="Arial Narrow"/>
                <w:color w:val="000000" w:themeColor="text1"/>
                <w:sz w:val="18"/>
                <w:szCs w:val="16"/>
              </w:rPr>
              <w:t>C</w:t>
            </w:r>
            <w:r w:rsidRPr="009E35ED">
              <w:rPr>
                <w:rFonts w:ascii="Arial Narrow" w:hAnsi="Arial Narrow"/>
                <w:color w:val="000000" w:themeColor="text1"/>
                <w:sz w:val="18"/>
                <w:szCs w:val="16"/>
              </w:rPr>
              <w:t>ebu</w:t>
            </w:r>
          </w:p>
        </w:tc>
        <w:tc>
          <w:tcPr>
            <w:tcW w:w="1530" w:type="dxa"/>
            <w:gridSpan w:val="2"/>
            <w:shd w:val="clear" w:color="auto" w:fill="auto"/>
            <w:noWrap/>
          </w:tcPr>
          <w:p w14:paraId="68CE049A" w14:textId="452EC51C" w:rsidR="00961E27" w:rsidRPr="009E35ED" w:rsidRDefault="00961E27" w:rsidP="00FF441D">
            <w:pPr>
              <w:ind w:left="0" w:right="-112"/>
              <w:jc w:val="right"/>
              <w:rPr>
                <w:rFonts w:ascii="Arial Narrow" w:hAnsi="Arial Narrow" w:cs="Arial"/>
                <w:color w:val="000000" w:themeColor="text1"/>
                <w:sz w:val="18"/>
                <w:szCs w:val="16"/>
                <w:lang w:val="en-PH" w:eastAsia="en-PH"/>
              </w:rPr>
            </w:pPr>
            <w:r w:rsidRPr="009E35ED">
              <w:rPr>
                <w:rFonts w:ascii="Arial Narrow" w:hAnsi="Arial Narrow"/>
                <w:color w:val="000000" w:themeColor="text1"/>
                <w:sz w:val="18"/>
                <w:szCs w:val="16"/>
              </w:rPr>
              <w:t xml:space="preserve">(0.05) </w:t>
            </w:r>
          </w:p>
        </w:tc>
      </w:tr>
      <w:tr w:rsidR="00997F75" w:rsidRPr="009E35ED" w14:paraId="292B0491" w14:textId="77777777" w:rsidTr="00FF441D">
        <w:trPr>
          <w:trHeight w:val="107"/>
        </w:trPr>
        <w:tc>
          <w:tcPr>
            <w:tcW w:w="7110" w:type="dxa"/>
            <w:shd w:val="clear" w:color="auto" w:fill="auto"/>
            <w:noWrap/>
          </w:tcPr>
          <w:p w14:paraId="21059174" w14:textId="70A08ED5" w:rsidR="00961E27" w:rsidRPr="009E35ED" w:rsidRDefault="00961E27" w:rsidP="00FF441D">
            <w:pPr>
              <w:ind w:left="-108"/>
              <w:jc w:val="left"/>
              <w:rPr>
                <w:rFonts w:ascii="Arial Narrow" w:hAnsi="Arial Narrow"/>
                <w:color w:val="000000" w:themeColor="text1"/>
                <w:sz w:val="16"/>
                <w:szCs w:val="16"/>
              </w:rPr>
            </w:pPr>
            <w:r w:rsidRPr="009E35ED">
              <w:rPr>
                <w:rFonts w:ascii="Arial Narrow" w:hAnsi="Arial Narrow"/>
                <w:color w:val="000000" w:themeColor="text1"/>
                <w:sz w:val="16"/>
                <w:szCs w:val="16"/>
              </w:rPr>
              <w:t xml:space="preserve">Adjustment/Recording of Depreciation </w:t>
            </w:r>
            <w:r w:rsidR="00DB59F6">
              <w:rPr>
                <w:rFonts w:ascii="Arial Narrow" w:hAnsi="Arial Narrow"/>
                <w:color w:val="000000" w:themeColor="text1"/>
                <w:sz w:val="16"/>
                <w:szCs w:val="16"/>
              </w:rPr>
              <w:t>e</w:t>
            </w:r>
            <w:r w:rsidRPr="009E35ED">
              <w:rPr>
                <w:rFonts w:ascii="Arial Narrow" w:hAnsi="Arial Narrow"/>
                <w:color w:val="000000" w:themeColor="text1"/>
                <w:sz w:val="16"/>
                <w:szCs w:val="16"/>
              </w:rPr>
              <w:t>xpenses-</w:t>
            </w:r>
            <w:r w:rsidR="00DB59F6">
              <w:rPr>
                <w:rFonts w:ascii="Arial Narrow" w:hAnsi="Arial Narrow"/>
                <w:color w:val="000000" w:themeColor="text1"/>
                <w:sz w:val="16"/>
                <w:szCs w:val="16"/>
              </w:rPr>
              <w:t>l</w:t>
            </w:r>
            <w:r w:rsidRPr="009E35ED">
              <w:rPr>
                <w:rFonts w:ascii="Arial Narrow" w:hAnsi="Arial Narrow"/>
                <w:color w:val="000000" w:themeColor="text1"/>
                <w:sz w:val="16"/>
                <w:szCs w:val="16"/>
              </w:rPr>
              <w:t xml:space="preserve">eased </w:t>
            </w:r>
            <w:r w:rsidR="00DB59F6">
              <w:rPr>
                <w:rFonts w:ascii="Arial Narrow" w:hAnsi="Arial Narrow"/>
                <w:color w:val="000000" w:themeColor="text1"/>
                <w:sz w:val="16"/>
                <w:szCs w:val="16"/>
              </w:rPr>
              <w:t>a</w:t>
            </w:r>
            <w:r w:rsidRPr="009E35ED">
              <w:rPr>
                <w:rFonts w:ascii="Arial Narrow" w:hAnsi="Arial Narrow"/>
                <w:color w:val="000000" w:themeColor="text1"/>
                <w:sz w:val="16"/>
                <w:szCs w:val="16"/>
              </w:rPr>
              <w:t xml:space="preserve">ssets,  </w:t>
            </w:r>
            <w:r w:rsidR="00DB59F6">
              <w:rPr>
                <w:rFonts w:ascii="Arial Narrow" w:hAnsi="Arial Narrow"/>
                <w:color w:val="000000" w:themeColor="text1"/>
                <w:sz w:val="16"/>
                <w:szCs w:val="16"/>
              </w:rPr>
              <w:t>b</w:t>
            </w:r>
            <w:r w:rsidRPr="009E35ED">
              <w:rPr>
                <w:rFonts w:ascii="Arial Narrow" w:hAnsi="Arial Narrow"/>
                <w:color w:val="000000" w:themeColor="text1"/>
                <w:sz w:val="16"/>
                <w:szCs w:val="16"/>
              </w:rPr>
              <w:t xml:space="preserve">uildings and </w:t>
            </w:r>
            <w:r w:rsidR="00DB59F6">
              <w:rPr>
                <w:rFonts w:ascii="Arial Narrow" w:hAnsi="Arial Narrow"/>
                <w:color w:val="000000" w:themeColor="text1"/>
                <w:sz w:val="16"/>
                <w:szCs w:val="16"/>
              </w:rPr>
              <w:t>o</w:t>
            </w:r>
            <w:r w:rsidRPr="009E35ED">
              <w:rPr>
                <w:rFonts w:ascii="Arial Narrow" w:hAnsi="Arial Narrow"/>
                <w:color w:val="000000" w:themeColor="text1"/>
                <w:sz w:val="16"/>
                <w:szCs w:val="16"/>
              </w:rPr>
              <w:t xml:space="preserve">ther </w:t>
            </w:r>
            <w:r w:rsidR="00DB59F6">
              <w:rPr>
                <w:rFonts w:ascii="Arial Narrow" w:hAnsi="Arial Narrow"/>
                <w:color w:val="000000" w:themeColor="text1"/>
                <w:sz w:val="16"/>
                <w:szCs w:val="16"/>
              </w:rPr>
              <w:t>s</w:t>
            </w:r>
            <w:r w:rsidRPr="009E35ED">
              <w:rPr>
                <w:rFonts w:ascii="Arial Narrow" w:hAnsi="Arial Narrow"/>
                <w:color w:val="000000" w:themeColor="text1"/>
                <w:sz w:val="16"/>
                <w:szCs w:val="16"/>
              </w:rPr>
              <w:t>tructures-</w:t>
            </w:r>
            <w:r w:rsidR="00DB59F6">
              <w:rPr>
                <w:rFonts w:ascii="Arial Narrow" w:hAnsi="Arial Narrow"/>
                <w:color w:val="000000" w:themeColor="text1"/>
                <w:sz w:val="16"/>
                <w:szCs w:val="16"/>
              </w:rPr>
              <w:t>h</w:t>
            </w:r>
            <w:r w:rsidRPr="009E35ED">
              <w:rPr>
                <w:rFonts w:ascii="Arial Narrow" w:hAnsi="Arial Narrow"/>
                <w:color w:val="000000" w:themeColor="text1"/>
                <w:sz w:val="16"/>
                <w:szCs w:val="16"/>
              </w:rPr>
              <w:t xml:space="preserve">ead </w:t>
            </w:r>
            <w:r w:rsidR="00DB59F6">
              <w:rPr>
                <w:rFonts w:ascii="Arial Narrow" w:hAnsi="Arial Narrow"/>
                <w:color w:val="000000" w:themeColor="text1"/>
                <w:sz w:val="16"/>
                <w:szCs w:val="16"/>
              </w:rPr>
              <w:t>o</w:t>
            </w:r>
            <w:r w:rsidRPr="009E35ED">
              <w:rPr>
                <w:rFonts w:ascii="Arial Narrow" w:hAnsi="Arial Narrow"/>
                <w:color w:val="000000" w:themeColor="text1"/>
                <w:sz w:val="16"/>
                <w:szCs w:val="16"/>
              </w:rPr>
              <w:t>ffice</w:t>
            </w:r>
          </w:p>
        </w:tc>
        <w:tc>
          <w:tcPr>
            <w:tcW w:w="1530" w:type="dxa"/>
            <w:gridSpan w:val="2"/>
            <w:shd w:val="clear" w:color="auto" w:fill="auto"/>
            <w:noWrap/>
          </w:tcPr>
          <w:p w14:paraId="6DA9E109" w14:textId="2C6BDE11" w:rsidR="00961E27" w:rsidRPr="009E35ED" w:rsidRDefault="00961E27" w:rsidP="00FF441D">
            <w:pPr>
              <w:ind w:left="0" w:right="-112"/>
              <w:jc w:val="right"/>
              <w:rPr>
                <w:rFonts w:ascii="Arial Narrow" w:hAnsi="Arial Narrow"/>
                <w:color w:val="000000" w:themeColor="text1"/>
                <w:sz w:val="16"/>
                <w:szCs w:val="16"/>
              </w:rPr>
            </w:pPr>
            <w:r w:rsidRPr="009E35ED">
              <w:rPr>
                <w:rFonts w:ascii="Arial Narrow" w:hAnsi="Arial Narrow"/>
                <w:color w:val="000000" w:themeColor="text1"/>
                <w:sz w:val="16"/>
                <w:szCs w:val="16"/>
              </w:rPr>
              <w:t xml:space="preserve">954,833.87 </w:t>
            </w:r>
          </w:p>
        </w:tc>
      </w:tr>
      <w:tr w:rsidR="00997F75" w:rsidRPr="009E35ED" w14:paraId="004D5330" w14:textId="77777777" w:rsidTr="00FF441D">
        <w:trPr>
          <w:trHeight w:val="107"/>
        </w:trPr>
        <w:tc>
          <w:tcPr>
            <w:tcW w:w="7110" w:type="dxa"/>
            <w:shd w:val="clear" w:color="auto" w:fill="auto"/>
            <w:noWrap/>
          </w:tcPr>
          <w:p w14:paraId="54412E2F" w14:textId="41585A86" w:rsidR="00961E27" w:rsidRPr="009E35ED" w:rsidRDefault="00961E27">
            <w:pPr>
              <w:ind w:left="-108"/>
              <w:jc w:val="left"/>
              <w:rPr>
                <w:rFonts w:ascii="Arial Narrow" w:hAnsi="Arial Narrow"/>
                <w:color w:val="000000" w:themeColor="text1"/>
                <w:sz w:val="18"/>
                <w:szCs w:val="16"/>
              </w:rPr>
            </w:pPr>
            <w:r w:rsidRPr="009E35ED">
              <w:rPr>
                <w:rFonts w:ascii="Arial Narrow" w:hAnsi="Arial Narrow"/>
                <w:color w:val="000000" w:themeColor="text1"/>
                <w:sz w:val="18"/>
                <w:szCs w:val="16"/>
              </w:rPr>
              <w:t xml:space="preserve">Adjustment/Recording of Depreciation </w:t>
            </w:r>
            <w:r w:rsidR="00DB59F6">
              <w:rPr>
                <w:rFonts w:ascii="Arial Narrow" w:hAnsi="Arial Narrow"/>
                <w:color w:val="000000" w:themeColor="text1"/>
                <w:sz w:val="18"/>
                <w:szCs w:val="16"/>
              </w:rPr>
              <w:t>e</w:t>
            </w:r>
            <w:r w:rsidRPr="009E35ED">
              <w:rPr>
                <w:rFonts w:ascii="Arial Narrow" w:hAnsi="Arial Narrow"/>
                <w:color w:val="000000" w:themeColor="text1"/>
                <w:sz w:val="18"/>
                <w:szCs w:val="16"/>
              </w:rPr>
              <w:t>xpenses-</w:t>
            </w:r>
            <w:r w:rsidR="00DB59F6">
              <w:rPr>
                <w:rFonts w:ascii="Arial Narrow" w:hAnsi="Arial Narrow"/>
                <w:color w:val="000000" w:themeColor="text1"/>
                <w:sz w:val="18"/>
                <w:szCs w:val="16"/>
              </w:rPr>
              <w:t>l</w:t>
            </w:r>
            <w:r w:rsidRPr="009E35ED">
              <w:rPr>
                <w:rFonts w:ascii="Arial Narrow" w:hAnsi="Arial Narrow"/>
                <w:color w:val="000000" w:themeColor="text1"/>
                <w:sz w:val="18"/>
                <w:szCs w:val="16"/>
              </w:rPr>
              <w:t xml:space="preserve">eased </w:t>
            </w:r>
            <w:r w:rsidR="00DB59F6">
              <w:rPr>
                <w:rFonts w:ascii="Arial Narrow" w:hAnsi="Arial Narrow"/>
                <w:color w:val="000000" w:themeColor="text1"/>
                <w:sz w:val="18"/>
                <w:szCs w:val="16"/>
              </w:rPr>
              <w:t>a</w:t>
            </w:r>
            <w:r w:rsidRPr="009E35ED">
              <w:rPr>
                <w:rFonts w:ascii="Arial Narrow" w:hAnsi="Arial Narrow"/>
                <w:color w:val="000000" w:themeColor="text1"/>
                <w:sz w:val="18"/>
                <w:szCs w:val="16"/>
              </w:rPr>
              <w:t xml:space="preserve">ssets, </w:t>
            </w:r>
            <w:r w:rsidR="00DB59F6">
              <w:rPr>
                <w:rFonts w:ascii="Arial Narrow" w:hAnsi="Arial Narrow"/>
                <w:color w:val="000000" w:themeColor="text1"/>
                <w:sz w:val="18"/>
                <w:szCs w:val="16"/>
              </w:rPr>
              <w:t>b</w:t>
            </w:r>
            <w:r w:rsidRPr="009E35ED">
              <w:rPr>
                <w:rFonts w:ascii="Arial Narrow" w:hAnsi="Arial Narrow"/>
                <w:color w:val="000000" w:themeColor="text1"/>
                <w:sz w:val="18"/>
                <w:szCs w:val="16"/>
              </w:rPr>
              <w:t xml:space="preserve">uildings and </w:t>
            </w:r>
            <w:r w:rsidR="00DB59F6">
              <w:rPr>
                <w:rFonts w:ascii="Arial Narrow" w:hAnsi="Arial Narrow"/>
                <w:color w:val="000000" w:themeColor="text1"/>
                <w:sz w:val="18"/>
                <w:szCs w:val="16"/>
              </w:rPr>
              <w:t>o</w:t>
            </w:r>
            <w:r w:rsidRPr="009E35ED">
              <w:rPr>
                <w:rFonts w:ascii="Arial Narrow" w:hAnsi="Arial Narrow"/>
                <w:color w:val="000000" w:themeColor="text1"/>
                <w:sz w:val="18"/>
                <w:szCs w:val="16"/>
              </w:rPr>
              <w:t xml:space="preserve">ther </w:t>
            </w:r>
            <w:r w:rsidR="00DB59F6">
              <w:rPr>
                <w:rFonts w:ascii="Arial Narrow" w:hAnsi="Arial Narrow"/>
                <w:color w:val="000000" w:themeColor="text1"/>
                <w:sz w:val="18"/>
                <w:szCs w:val="16"/>
              </w:rPr>
              <w:t>s</w:t>
            </w:r>
            <w:r w:rsidRPr="009E35ED">
              <w:rPr>
                <w:rFonts w:ascii="Arial Narrow" w:hAnsi="Arial Narrow"/>
                <w:color w:val="000000" w:themeColor="text1"/>
                <w:sz w:val="18"/>
                <w:szCs w:val="16"/>
              </w:rPr>
              <w:t>tructures-</w:t>
            </w:r>
            <w:r w:rsidR="00DB59F6">
              <w:rPr>
                <w:rFonts w:ascii="Arial Narrow" w:hAnsi="Arial Narrow"/>
                <w:color w:val="000000" w:themeColor="text1"/>
                <w:sz w:val="18"/>
                <w:szCs w:val="16"/>
              </w:rPr>
              <w:t>b</w:t>
            </w:r>
            <w:r w:rsidRPr="009E35ED">
              <w:rPr>
                <w:rFonts w:ascii="Arial Narrow" w:hAnsi="Arial Narrow"/>
                <w:color w:val="000000" w:themeColor="text1"/>
                <w:sz w:val="18"/>
                <w:szCs w:val="16"/>
              </w:rPr>
              <w:t>ranch</w:t>
            </w:r>
          </w:p>
        </w:tc>
        <w:tc>
          <w:tcPr>
            <w:tcW w:w="1530" w:type="dxa"/>
            <w:gridSpan w:val="2"/>
            <w:shd w:val="clear" w:color="auto" w:fill="auto"/>
            <w:noWrap/>
          </w:tcPr>
          <w:p w14:paraId="6395AE51" w14:textId="7A91FF28" w:rsidR="00961E27" w:rsidRPr="009E35ED" w:rsidRDefault="00961E27" w:rsidP="00FF441D">
            <w:pPr>
              <w:ind w:left="0" w:right="-112"/>
              <w:jc w:val="right"/>
              <w:rPr>
                <w:rFonts w:ascii="Arial Narrow" w:hAnsi="Arial Narrow"/>
                <w:color w:val="000000" w:themeColor="text1"/>
                <w:sz w:val="18"/>
                <w:szCs w:val="16"/>
              </w:rPr>
            </w:pPr>
            <w:r w:rsidRPr="009E35ED">
              <w:rPr>
                <w:rFonts w:ascii="Arial Narrow" w:hAnsi="Arial Narrow"/>
                <w:color w:val="000000" w:themeColor="text1"/>
                <w:sz w:val="18"/>
                <w:szCs w:val="16"/>
              </w:rPr>
              <w:t xml:space="preserve"> 1,876.25 </w:t>
            </w:r>
          </w:p>
        </w:tc>
      </w:tr>
      <w:tr w:rsidR="00997F75" w:rsidRPr="009E35ED" w14:paraId="4253C0A2" w14:textId="77777777" w:rsidTr="00FF441D">
        <w:trPr>
          <w:trHeight w:val="107"/>
        </w:trPr>
        <w:tc>
          <w:tcPr>
            <w:tcW w:w="7110" w:type="dxa"/>
            <w:shd w:val="clear" w:color="auto" w:fill="auto"/>
            <w:noWrap/>
          </w:tcPr>
          <w:p w14:paraId="405F8AF0" w14:textId="5989B1BC" w:rsidR="00961E27" w:rsidRPr="009E35ED" w:rsidRDefault="00961E27" w:rsidP="00FF441D">
            <w:pPr>
              <w:ind w:left="-108"/>
              <w:jc w:val="left"/>
              <w:rPr>
                <w:rFonts w:ascii="Arial Narrow" w:hAnsi="Arial Narrow"/>
                <w:color w:val="000000" w:themeColor="text1"/>
                <w:sz w:val="18"/>
                <w:szCs w:val="16"/>
              </w:rPr>
            </w:pPr>
            <w:r w:rsidRPr="009E35ED">
              <w:rPr>
                <w:rFonts w:ascii="Arial Narrow" w:hAnsi="Arial Narrow"/>
                <w:color w:val="000000" w:themeColor="text1"/>
                <w:sz w:val="18"/>
                <w:szCs w:val="16"/>
              </w:rPr>
              <w:t xml:space="preserve">Adjustment/Recording of Leased </w:t>
            </w:r>
            <w:r w:rsidR="00DB59F6">
              <w:rPr>
                <w:rFonts w:ascii="Arial Narrow" w:hAnsi="Arial Narrow"/>
                <w:color w:val="000000" w:themeColor="text1"/>
                <w:sz w:val="18"/>
                <w:szCs w:val="16"/>
              </w:rPr>
              <w:t>a</w:t>
            </w:r>
            <w:r w:rsidRPr="009E35ED">
              <w:rPr>
                <w:rFonts w:ascii="Arial Narrow" w:hAnsi="Arial Narrow"/>
                <w:color w:val="000000" w:themeColor="text1"/>
                <w:sz w:val="18"/>
                <w:szCs w:val="16"/>
              </w:rPr>
              <w:t xml:space="preserve">ssets </w:t>
            </w:r>
            <w:r w:rsidR="00DB59F6">
              <w:rPr>
                <w:rFonts w:ascii="Arial Narrow" w:hAnsi="Arial Narrow"/>
                <w:color w:val="000000" w:themeColor="text1"/>
                <w:sz w:val="18"/>
                <w:szCs w:val="16"/>
              </w:rPr>
              <w:t>i</w:t>
            </w:r>
            <w:r w:rsidRPr="009E35ED">
              <w:rPr>
                <w:rFonts w:ascii="Arial Narrow" w:hAnsi="Arial Narrow"/>
                <w:color w:val="000000" w:themeColor="text1"/>
                <w:sz w:val="18"/>
                <w:szCs w:val="16"/>
              </w:rPr>
              <w:t xml:space="preserve">mprovements, </w:t>
            </w:r>
            <w:r w:rsidR="00DB59F6">
              <w:rPr>
                <w:rFonts w:ascii="Arial Narrow" w:hAnsi="Arial Narrow"/>
                <w:color w:val="000000" w:themeColor="text1"/>
                <w:sz w:val="18"/>
                <w:szCs w:val="16"/>
              </w:rPr>
              <w:t>b</w:t>
            </w:r>
            <w:r w:rsidRPr="009E35ED">
              <w:rPr>
                <w:rFonts w:ascii="Arial Narrow" w:hAnsi="Arial Narrow"/>
                <w:color w:val="000000" w:themeColor="text1"/>
                <w:sz w:val="18"/>
                <w:szCs w:val="16"/>
              </w:rPr>
              <w:t xml:space="preserve">uildings - </w:t>
            </w:r>
            <w:r w:rsidR="00DB59F6">
              <w:rPr>
                <w:rFonts w:ascii="Arial Narrow" w:hAnsi="Arial Narrow"/>
                <w:color w:val="000000" w:themeColor="text1"/>
                <w:sz w:val="18"/>
                <w:szCs w:val="16"/>
              </w:rPr>
              <w:t>b</w:t>
            </w:r>
            <w:r w:rsidRPr="009E35ED">
              <w:rPr>
                <w:rFonts w:ascii="Arial Narrow" w:hAnsi="Arial Narrow"/>
                <w:color w:val="000000" w:themeColor="text1"/>
                <w:sz w:val="18"/>
                <w:szCs w:val="16"/>
              </w:rPr>
              <w:t>ranches</w:t>
            </w:r>
          </w:p>
        </w:tc>
        <w:tc>
          <w:tcPr>
            <w:tcW w:w="1530" w:type="dxa"/>
            <w:gridSpan w:val="2"/>
            <w:shd w:val="clear" w:color="auto" w:fill="auto"/>
            <w:noWrap/>
          </w:tcPr>
          <w:p w14:paraId="2C61E325" w14:textId="4A9C856D" w:rsidR="00961E27" w:rsidRPr="009E35ED" w:rsidRDefault="00961E27" w:rsidP="00FF441D">
            <w:pPr>
              <w:ind w:left="0" w:right="-112"/>
              <w:jc w:val="right"/>
              <w:rPr>
                <w:rFonts w:ascii="Arial Narrow" w:hAnsi="Arial Narrow"/>
                <w:color w:val="000000" w:themeColor="text1"/>
                <w:sz w:val="18"/>
                <w:szCs w:val="16"/>
              </w:rPr>
            </w:pPr>
            <w:r w:rsidRPr="009E35ED">
              <w:rPr>
                <w:rFonts w:ascii="Arial Narrow" w:hAnsi="Arial Narrow"/>
                <w:color w:val="000000" w:themeColor="text1"/>
                <w:sz w:val="18"/>
                <w:szCs w:val="16"/>
              </w:rPr>
              <w:t xml:space="preserve"> (159,356.69)</w:t>
            </w:r>
          </w:p>
        </w:tc>
      </w:tr>
      <w:tr w:rsidR="00997F75" w:rsidRPr="009E35ED" w14:paraId="72F36516" w14:textId="77777777" w:rsidTr="00FF441D">
        <w:trPr>
          <w:trHeight w:val="107"/>
        </w:trPr>
        <w:tc>
          <w:tcPr>
            <w:tcW w:w="7110" w:type="dxa"/>
            <w:shd w:val="clear" w:color="auto" w:fill="auto"/>
            <w:noWrap/>
            <w:hideMark/>
          </w:tcPr>
          <w:p w14:paraId="50C42322" w14:textId="47D7BD9B" w:rsidR="00961E27" w:rsidRPr="009E35ED" w:rsidRDefault="00961E27">
            <w:pPr>
              <w:ind w:left="-108"/>
              <w:jc w:val="left"/>
              <w:rPr>
                <w:rFonts w:ascii="Arial Narrow" w:hAnsi="Arial Narrow"/>
                <w:color w:val="000000" w:themeColor="text1"/>
                <w:sz w:val="18"/>
                <w:szCs w:val="16"/>
                <w:lang w:val="en-PH" w:eastAsia="en-PH"/>
              </w:rPr>
            </w:pPr>
            <w:r w:rsidRPr="009E35ED">
              <w:rPr>
                <w:rFonts w:ascii="Arial Narrow" w:hAnsi="Arial Narrow"/>
                <w:color w:val="000000" w:themeColor="text1"/>
                <w:sz w:val="18"/>
                <w:szCs w:val="16"/>
              </w:rPr>
              <w:t xml:space="preserve">Adjustment/Recording of Depreciation </w:t>
            </w:r>
            <w:r w:rsidR="00DB59F6">
              <w:rPr>
                <w:rFonts w:ascii="Arial Narrow" w:hAnsi="Arial Narrow"/>
                <w:color w:val="000000" w:themeColor="text1"/>
                <w:sz w:val="18"/>
                <w:szCs w:val="16"/>
              </w:rPr>
              <w:t>e</w:t>
            </w:r>
            <w:r w:rsidRPr="009E35ED">
              <w:rPr>
                <w:rFonts w:ascii="Arial Narrow" w:hAnsi="Arial Narrow"/>
                <w:color w:val="000000" w:themeColor="text1"/>
                <w:sz w:val="18"/>
                <w:szCs w:val="16"/>
              </w:rPr>
              <w:t>xpenses-</w:t>
            </w:r>
            <w:r w:rsidR="00DB59F6">
              <w:rPr>
                <w:rFonts w:ascii="Arial Narrow" w:hAnsi="Arial Narrow"/>
                <w:color w:val="000000" w:themeColor="text1"/>
                <w:sz w:val="18"/>
                <w:szCs w:val="16"/>
              </w:rPr>
              <w:t>l</w:t>
            </w:r>
            <w:r w:rsidRPr="009E35ED">
              <w:rPr>
                <w:rFonts w:ascii="Arial Narrow" w:hAnsi="Arial Narrow"/>
                <w:color w:val="000000" w:themeColor="text1"/>
                <w:sz w:val="18"/>
                <w:szCs w:val="16"/>
              </w:rPr>
              <w:t xml:space="preserve">eased </w:t>
            </w:r>
            <w:r w:rsidR="00DB59F6">
              <w:rPr>
                <w:rFonts w:ascii="Arial Narrow" w:hAnsi="Arial Narrow"/>
                <w:color w:val="000000" w:themeColor="text1"/>
                <w:sz w:val="18"/>
                <w:szCs w:val="16"/>
              </w:rPr>
              <w:t>a</w:t>
            </w:r>
            <w:r w:rsidRPr="009E35ED">
              <w:rPr>
                <w:rFonts w:ascii="Arial Narrow" w:hAnsi="Arial Narrow"/>
                <w:color w:val="000000" w:themeColor="text1"/>
                <w:sz w:val="18"/>
                <w:szCs w:val="16"/>
              </w:rPr>
              <w:t xml:space="preserve">ssets </w:t>
            </w:r>
            <w:r w:rsidR="00DB59F6">
              <w:rPr>
                <w:rFonts w:ascii="Arial Narrow" w:hAnsi="Arial Narrow"/>
                <w:color w:val="000000" w:themeColor="text1"/>
                <w:sz w:val="18"/>
                <w:szCs w:val="16"/>
              </w:rPr>
              <w:t>i</w:t>
            </w:r>
            <w:r w:rsidRPr="009E35ED">
              <w:rPr>
                <w:rFonts w:ascii="Arial Narrow" w:hAnsi="Arial Narrow"/>
                <w:color w:val="000000" w:themeColor="text1"/>
                <w:sz w:val="18"/>
                <w:szCs w:val="16"/>
              </w:rPr>
              <w:t xml:space="preserve">mprovements, </w:t>
            </w:r>
            <w:r w:rsidR="00DB59F6">
              <w:rPr>
                <w:rFonts w:ascii="Arial Narrow" w:hAnsi="Arial Narrow"/>
                <w:color w:val="000000" w:themeColor="text1"/>
                <w:sz w:val="18"/>
                <w:szCs w:val="16"/>
              </w:rPr>
              <w:t>b</w:t>
            </w:r>
            <w:r w:rsidRPr="009E35ED">
              <w:rPr>
                <w:rFonts w:ascii="Arial Narrow" w:hAnsi="Arial Narrow"/>
                <w:color w:val="000000" w:themeColor="text1"/>
                <w:sz w:val="18"/>
                <w:szCs w:val="16"/>
              </w:rPr>
              <w:t>uildings -</w:t>
            </w:r>
            <w:r w:rsidR="00DB59F6">
              <w:rPr>
                <w:rFonts w:ascii="Arial Narrow" w:hAnsi="Arial Narrow"/>
                <w:color w:val="000000" w:themeColor="text1"/>
                <w:sz w:val="18"/>
                <w:szCs w:val="16"/>
              </w:rPr>
              <w:t xml:space="preserve"> b</w:t>
            </w:r>
            <w:r w:rsidRPr="009E35ED">
              <w:rPr>
                <w:rFonts w:ascii="Arial Narrow" w:hAnsi="Arial Narrow"/>
                <w:color w:val="000000" w:themeColor="text1"/>
                <w:sz w:val="18"/>
                <w:szCs w:val="16"/>
              </w:rPr>
              <w:t>ranches</w:t>
            </w:r>
          </w:p>
        </w:tc>
        <w:tc>
          <w:tcPr>
            <w:tcW w:w="1530" w:type="dxa"/>
            <w:gridSpan w:val="2"/>
            <w:shd w:val="clear" w:color="auto" w:fill="auto"/>
            <w:noWrap/>
            <w:hideMark/>
          </w:tcPr>
          <w:p w14:paraId="0F84C12C" w14:textId="4E381310" w:rsidR="00961E27" w:rsidRPr="009E35ED" w:rsidRDefault="00961E27" w:rsidP="00FF441D">
            <w:pPr>
              <w:ind w:left="0" w:right="-112"/>
              <w:jc w:val="right"/>
              <w:rPr>
                <w:rFonts w:ascii="Arial Narrow" w:hAnsi="Arial Narrow"/>
                <w:color w:val="000000" w:themeColor="text1"/>
                <w:sz w:val="18"/>
                <w:szCs w:val="16"/>
              </w:rPr>
            </w:pPr>
            <w:r w:rsidRPr="009E35ED">
              <w:rPr>
                <w:rFonts w:ascii="Arial Narrow" w:hAnsi="Arial Narrow"/>
                <w:color w:val="000000" w:themeColor="text1"/>
                <w:sz w:val="18"/>
                <w:szCs w:val="16"/>
              </w:rPr>
              <w:t>(234,581.84)</w:t>
            </w:r>
          </w:p>
        </w:tc>
      </w:tr>
      <w:tr w:rsidR="00997F75" w:rsidRPr="009E35ED" w14:paraId="4B653CBA" w14:textId="77777777" w:rsidTr="00FF441D">
        <w:trPr>
          <w:trHeight w:val="98"/>
        </w:trPr>
        <w:tc>
          <w:tcPr>
            <w:tcW w:w="7110" w:type="dxa"/>
            <w:shd w:val="clear" w:color="auto" w:fill="auto"/>
            <w:noWrap/>
            <w:hideMark/>
          </w:tcPr>
          <w:p w14:paraId="7E79EE5B" w14:textId="4C40D953" w:rsidR="00961E27" w:rsidRPr="009E35ED" w:rsidRDefault="00961E27" w:rsidP="00FF441D">
            <w:pPr>
              <w:ind w:left="-108"/>
              <w:jc w:val="left"/>
              <w:rPr>
                <w:rFonts w:ascii="Arial Narrow" w:hAnsi="Arial Narrow"/>
                <w:color w:val="000000" w:themeColor="text1"/>
                <w:sz w:val="18"/>
                <w:szCs w:val="16"/>
                <w:lang w:val="en-PH" w:eastAsia="en-PH"/>
              </w:rPr>
            </w:pPr>
            <w:r w:rsidRPr="009E35ED">
              <w:rPr>
                <w:rFonts w:ascii="Arial Narrow" w:hAnsi="Arial Narrow"/>
                <w:color w:val="000000" w:themeColor="text1"/>
                <w:sz w:val="18"/>
                <w:szCs w:val="16"/>
              </w:rPr>
              <w:t xml:space="preserve">Adjustment/Recording of Other </w:t>
            </w:r>
            <w:r w:rsidR="00DB59F6">
              <w:rPr>
                <w:rFonts w:ascii="Arial Narrow" w:hAnsi="Arial Narrow"/>
                <w:color w:val="000000" w:themeColor="text1"/>
                <w:sz w:val="18"/>
                <w:szCs w:val="16"/>
              </w:rPr>
              <w:t>l</w:t>
            </w:r>
            <w:r w:rsidRPr="009E35ED">
              <w:rPr>
                <w:rFonts w:ascii="Arial Narrow" w:hAnsi="Arial Narrow"/>
                <w:color w:val="000000" w:themeColor="text1"/>
                <w:sz w:val="18"/>
                <w:szCs w:val="16"/>
              </w:rPr>
              <w:t xml:space="preserve">eased </w:t>
            </w:r>
            <w:r w:rsidR="00DB59F6">
              <w:rPr>
                <w:rFonts w:ascii="Arial Narrow" w:hAnsi="Arial Narrow"/>
                <w:color w:val="000000" w:themeColor="text1"/>
                <w:sz w:val="18"/>
                <w:szCs w:val="16"/>
              </w:rPr>
              <w:t>a</w:t>
            </w:r>
            <w:r w:rsidRPr="009E35ED">
              <w:rPr>
                <w:rFonts w:ascii="Arial Narrow" w:hAnsi="Arial Narrow"/>
                <w:color w:val="000000" w:themeColor="text1"/>
                <w:sz w:val="18"/>
                <w:szCs w:val="16"/>
              </w:rPr>
              <w:t xml:space="preserve">ssets </w:t>
            </w:r>
            <w:r w:rsidR="00DB59F6">
              <w:rPr>
                <w:rFonts w:ascii="Arial Narrow" w:hAnsi="Arial Narrow"/>
                <w:color w:val="000000" w:themeColor="text1"/>
                <w:sz w:val="18"/>
                <w:szCs w:val="16"/>
              </w:rPr>
              <w:t>i</w:t>
            </w:r>
            <w:r w:rsidRPr="009E35ED">
              <w:rPr>
                <w:rFonts w:ascii="Arial Narrow" w:hAnsi="Arial Narrow"/>
                <w:color w:val="000000" w:themeColor="text1"/>
                <w:sz w:val="18"/>
                <w:szCs w:val="16"/>
              </w:rPr>
              <w:t xml:space="preserve">mprovements - </w:t>
            </w:r>
            <w:r w:rsidR="00DB59F6">
              <w:rPr>
                <w:rFonts w:ascii="Arial Narrow" w:hAnsi="Arial Narrow"/>
                <w:color w:val="000000" w:themeColor="text1"/>
                <w:sz w:val="18"/>
                <w:szCs w:val="16"/>
              </w:rPr>
              <w:t>b</w:t>
            </w:r>
            <w:r w:rsidRPr="009E35ED">
              <w:rPr>
                <w:rFonts w:ascii="Arial Narrow" w:hAnsi="Arial Narrow"/>
                <w:color w:val="000000" w:themeColor="text1"/>
                <w:sz w:val="18"/>
                <w:szCs w:val="16"/>
              </w:rPr>
              <w:t>ranches</w:t>
            </w:r>
          </w:p>
        </w:tc>
        <w:tc>
          <w:tcPr>
            <w:tcW w:w="1530" w:type="dxa"/>
            <w:gridSpan w:val="2"/>
            <w:shd w:val="clear" w:color="auto" w:fill="auto"/>
            <w:noWrap/>
            <w:hideMark/>
          </w:tcPr>
          <w:p w14:paraId="26BA1285" w14:textId="34F94897" w:rsidR="00961E27" w:rsidRPr="009E35ED" w:rsidRDefault="00961E27" w:rsidP="00FF441D">
            <w:pPr>
              <w:ind w:left="0" w:right="-112"/>
              <w:jc w:val="right"/>
              <w:rPr>
                <w:rFonts w:ascii="Arial Narrow" w:hAnsi="Arial Narrow" w:cs="Arial"/>
                <w:color w:val="000000" w:themeColor="text1"/>
                <w:sz w:val="18"/>
                <w:szCs w:val="16"/>
                <w:lang w:val="en-PH" w:eastAsia="en-PH"/>
              </w:rPr>
            </w:pPr>
            <w:r w:rsidRPr="009E35ED">
              <w:rPr>
                <w:rFonts w:ascii="Arial Narrow" w:hAnsi="Arial Narrow"/>
                <w:color w:val="000000" w:themeColor="text1"/>
                <w:sz w:val="18"/>
                <w:szCs w:val="16"/>
              </w:rPr>
              <w:t xml:space="preserve"> 24,770.00 </w:t>
            </w:r>
          </w:p>
        </w:tc>
      </w:tr>
      <w:tr w:rsidR="00997F75" w:rsidRPr="009E35ED" w14:paraId="5407518F" w14:textId="77777777" w:rsidTr="00FF441D">
        <w:trPr>
          <w:trHeight w:val="98"/>
        </w:trPr>
        <w:tc>
          <w:tcPr>
            <w:tcW w:w="7110" w:type="dxa"/>
            <w:tcBorders>
              <w:bottom w:val="single" w:sz="4" w:space="0" w:color="auto"/>
            </w:tcBorders>
            <w:shd w:val="clear" w:color="auto" w:fill="auto"/>
            <w:noWrap/>
          </w:tcPr>
          <w:p w14:paraId="6F7902B7" w14:textId="173479D7" w:rsidR="00961E27" w:rsidRPr="009E35ED" w:rsidRDefault="00961E27">
            <w:pPr>
              <w:ind w:left="-108"/>
              <w:jc w:val="left"/>
              <w:rPr>
                <w:rFonts w:ascii="Arial Narrow" w:hAnsi="Arial Narrow" w:cs="Calibri"/>
                <w:color w:val="000000" w:themeColor="text1"/>
                <w:sz w:val="18"/>
                <w:szCs w:val="16"/>
              </w:rPr>
            </w:pPr>
            <w:r w:rsidRPr="009E35ED">
              <w:rPr>
                <w:rFonts w:ascii="Arial Narrow" w:hAnsi="Arial Narrow"/>
                <w:color w:val="000000" w:themeColor="text1"/>
                <w:sz w:val="18"/>
                <w:szCs w:val="16"/>
              </w:rPr>
              <w:t xml:space="preserve">Adjustment/Recording of Depreciation </w:t>
            </w:r>
            <w:r w:rsidR="00DB59F6">
              <w:rPr>
                <w:rFonts w:ascii="Arial Narrow" w:hAnsi="Arial Narrow"/>
                <w:color w:val="000000" w:themeColor="text1"/>
                <w:sz w:val="18"/>
                <w:szCs w:val="16"/>
              </w:rPr>
              <w:t>e</w:t>
            </w:r>
            <w:r w:rsidRPr="009E35ED">
              <w:rPr>
                <w:rFonts w:ascii="Arial Narrow" w:hAnsi="Arial Narrow"/>
                <w:color w:val="000000" w:themeColor="text1"/>
                <w:sz w:val="18"/>
                <w:szCs w:val="16"/>
              </w:rPr>
              <w:t>xpenses-</w:t>
            </w:r>
            <w:r w:rsidR="00DB59F6">
              <w:rPr>
                <w:rFonts w:ascii="Arial Narrow" w:hAnsi="Arial Narrow"/>
                <w:color w:val="000000" w:themeColor="text1"/>
                <w:sz w:val="18"/>
                <w:szCs w:val="16"/>
              </w:rPr>
              <w:t>o</w:t>
            </w:r>
            <w:r w:rsidRPr="009E35ED">
              <w:rPr>
                <w:rFonts w:ascii="Arial Narrow" w:hAnsi="Arial Narrow"/>
                <w:color w:val="000000" w:themeColor="text1"/>
                <w:sz w:val="18"/>
                <w:szCs w:val="16"/>
              </w:rPr>
              <w:t xml:space="preserve">ther </w:t>
            </w:r>
            <w:r w:rsidR="00DB59F6">
              <w:rPr>
                <w:rFonts w:ascii="Arial Narrow" w:hAnsi="Arial Narrow"/>
                <w:color w:val="000000" w:themeColor="text1"/>
                <w:sz w:val="18"/>
                <w:szCs w:val="16"/>
              </w:rPr>
              <w:t>l</w:t>
            </w:r>
            <w:r w:rsidRPr="009E35ED">
              <w:rPr>
                <w:rFonts w:ascii="Arial Narrow" w:hAnsi="Arial Narrow"/>
                <w:color w:val="000000" w:themeColor="text1"/>
                <w:sz w:val="18"/>
                <w:szCs w:val="16"/>
              </w:rPr>
              <w:t xml:space="preserve">eased </w:t>
            </w:r>
            <w:r w:rsidR="00DB59F6">
              <w:rPr>
                <w:rFonts w:ascii="Arial Narrow" w:hAnsi="Arial Narrow"/>
                <w:color w:val="000000" w:themeColor="text1"/>
                <w:sz w:val="18"/>
                <w:szCs w:val="16"/>
              </w:rPr>
              <w:t>a</w:t>
            </w:r>
            <w:r w:rsidRPr="009E35ED">
              <w:rPr>
                <w:rFonts w:ascii="Arial Narrow" w:hAnsi="Arial Narrow"/>
                <w:color w:val="000000" w:themeColor="text1"/>
                <w:sz w:val="18"/>
                <w:szCs w:val="16"/>
              </w:rPr>
              <w:t>ssets</w:t>
            </w:r>
            <w:r w:rsidR="00DB59F6">
              <w:rPr>
                <w:rFonts w:ascii="Arial Narrow" w:hAnsi="Arial Narrow"/>
                <w:color w:val="000000" w:themeColor="text1"/>
                <w:sz w:val="18"/>
                <w:szCs w:val="16"/>
              </w:rPr>
              <w:t xml:space="preserve"> i</w:t>
            </w:r>
            <w:r w:rsidRPr="009E35ED">
              <w:rPr>
                <w:rFonts w:ascii="Arial Narrow" w:hAnsi="Arial Narrow"/>
                <w:color w:val="000000" w:themeColor="text1"/>
                <w:sz w:val="18"/>
                <w:szCs w:val="16"/>
              </w:rPr>
              <w:t>mprovements</w:t>
            </w:r>
          </w:p>
        </w:tc>
        <w:tc>
          <w:tcPr>
            <w:tcW w:w="1530" w:type="dxa"/>
            <w:gridSpan w:val="2"/>
            <w:tcBorders>
              <w:bottom w:val="single" w:sz="4" w:space="0" w:color="auto"/>
            </w:tcBorders>
            <w:shd w:val="clear" w:color="auto" w:fill="auto"/>
            <w:noWrap/>
          </w:tcPr>
          <w:p w14:paraId="106A2B2F" w14:textId="13FFE43D" w:rsidR="00961E27" w:rsidRPr="009E35ED" w:rsidRDefault="00961E27" w:rsidP="00FF441D">
            <w:pPr>
              <w:ind w:left="0" w:right="-112"/>
              <w:jc w:val="right"/>
              <w:rPr>
                <w:rFonts w:ascii="Arial Narrow" w:hAnsi="Arial Narrow" w:cs="Arial"/>
                <w:color w:val="000000" w:themeColor="text1"/>
                <w:sz w:val="18"/>
                <w:szCs w:val="16"/>
              </w:rPr>
            </w:pPr>
            <w:r w:rsidRPr="009E35ED">
              <w:rPr>
                <w:rFonts w:ascii="Arial Narrow" w:hAnsi="Arial Narrow"/>
                <w:color w:val="000000" w:themeColor="text1"/>
                <w:sz w:val="18"/>
                <w:szCs w:val="16"/>
              </w:rPr>
              <w:t xml:space="preserve"> -   </w:t>
            </w:r>
          </w:p>
        </w:tc>
      </w:tr>
      <w:tr w:rsidR="00997F75" w:rsidRPr="009E35ED" w14:paraId="5F0D7C63" w14:textId="77777777" w:rsidTr="00B90388">
        <w:trPr>
          <w:trHeight w:val="259"/>
        </w:trPr>
        <w:tc>
          <w:tcPr>
            <w:tcW w:w="7110" w:type="dxa"/>
            <w:tcBorders>
              <w:top w:val="single" w:sz="4" w:space="0" w:color="auto"/>
              <w:bottom w:val="double" w:sz="4" w:space="0" w:color="auto"/>
            </w:tcBorders>
            <w:shd w:val="clear" w:color="auto" w:fill="auto"/>
            <w:noWrap/>
            <w:hideMark/>
          </w:tcPr>
          <w:p w14:paraId="05D77F32" w14:textId="21B1E24F" w:rsidR="00961E27" w:rsidRPr="009E35ED" w:rsidRDefault="00961E27" w:rsidP="00FF441D">
            <w:pPr>
              <w:ind w:left="-108"/>
              <w:jc w:val="left"/>
              <w:rPr>
                <w:rFonts w:ascii="Arial Narrow" w:hAnsi="Arial Narrow" w:cs="Arial"/>
                <w:b/>
                <w:bCs/>
                <w:color w:val="000000" w:themeColor="text1"/>
                <w:sz w:val="18"/>
                <w:szCs w:val="16"/>
                <w:lang w:val="en-PH" w:eastAsia="en-PH"/>
              </w:rPr>
            </w:pPr>
            <w:r w:rsidRPr="009E35ED">
              <w:rPr>
                <w:rFonts w:ascii="Arial Narrow" w:hAnsi="Arial Narrow"/>
                <w:b/>
                <w:bCs/>
                <w:color w:val="000000" w:themeColor="text1"/>
                <w:sz w:val="18"/>
                <w:szCs w:val="16"/>
              </w:rPr>
              <w:t>Restated Amount as of December 31, 2022 -Building &amp; Leasehold Improvements</w:t>
            </w:r>
          </w:p>
        </w:tc>
        <w:tc>
          <w:tcPr>
            <w:tcW w:w="1530" w:type="dxa"/>
            <w:gridSpan w:val="2"/>
            <w:tcBorders>
              <w:top w:val="single" w:sz="4" w:space="0" w:color="auto"/>
              <w:bottom w:val="double" w:sz="4" w:space="0" w:color="auto"/>
            </w:tcBorders>
            <w:shd w:val="clear" w:color="auto" w:fill="auto"/>
            <w:noWrap/>
            <w:hideMark/>
          </w:tcPr>
          <w:p w14:paraId="3737498D" w14:textId="6A7EA66C" w:rsidR="00961E27" w:rsidRPr="009E35ED" w:rsidRDefault="00961E27" w:rsidP="00FF441D">
            <w:pPr>
              <w:ind w:left="0" w:right="-112"/>
              <w:jc w:val="right"/>
              <w:rPr>
                <w:rFonts w:ascii="Arial Narrow" w:hAnsi="Arial Narrow" w:cs="Arial"/>
                <w:b/>
                <w:bCs/>
                <w:color w:val="000000" w:themeColor="text1"/>
                <w:sz w:val="18"/>
                <w:szCs w:val="16"/>
                <w:lang w:val="en-PH" w:eastAsia="en-PH"/>
              </w:rPr>
            </w:pPr>
            <w:r w:rsidRPr="009E35ED">
              <w:rPr>
                <w:rFonts w:ascii="Arial Narrow" w:hAnsi="Arial Narrow"/>
                <w:b/>
                <w:bCs/>
                <w:color w:val="000000" w:themeColor="text1"/>
                <w:sz w:val="18"/>
                <w:szCs w:val="16"/>
              </w:rPr>
              <w:t xml:space="preserve"> 201,242,590 </w:t>
            </w:r>
          </w:p>
        </w:tc>
      </w:tr>
      <w:tr w:rsidR="00997F75" w:rsidRPr="009E35ED" w14:paraId="6C260C17" w14:textId="77777777" w:rsidTr="00FF441D">
        <w:trPr>
          <w:trHeight w:val="310"/>
        </w:trPr>
        <w:tc>
          <w:tcPr>
            <w:tcW w:w="7180" w:type="dxa"/>
            <w:gridSpan w:val="2"/>
            <w:tcBorders>
              <w:top w:val="double" w:sz="4" w:space="0" w:color="auto"/>
            </w:tcBorders>
            <w:shd w:val="clear" w:color="auto" w:fill="auto"/>
            <w:noWrap/>
          </w:tcPr>
          <w:p w14:paraId="6DFF0ED6" w14:textId="77777777" w:rsidR="00961E27" w:rsidRPr="009E35ED" w:rsidRDefault="00961E27" w:rsidP="00961E27">
            <w:pPr>
              <w:ind w:left="0"/>
              <w:jc w:val="left"/>
              <w:rPr>
                <w:rFonts w:ascii="Arial Narrow" w:hAnsi="Arial Narrow"/>
                <w:b/>
                <w:bCs/>
                <w:color w:val="000000" w:themeColor="text1"/>
                <w:sz w:val="22"/>
                <w:szCs w:val="22"/>
              </w:rPr>
            </w:pPr>
          </w:p>
          <w:p w14:paraId="4AB62F69" w14:textId="777083AE" w:rsidR="005712AD" w:rsidRPr="009E35ED" w:rsidRDefault="005712AD" w:rsidP="00961E27">
            <w:pPr>
              <w:ind w:left="0"/>
              <w:jc w:val="left"/>
              <w:rPr>
                <w:rFonts w:ascii="Arial Narrow" w:hAnsi="Arial Narrow"/>
                <w:b/>
                <w:bCs/>
                <w:color w:val="000000" w:themeColor="text1"/>
                <w:sz w:val="22"/>
                <w:szCs w:val="22"/>
              </w:rPr>
            </w:pPr>
          </w:p>
        </w:tc>
        <w:tc>
          <w:tcPr>
            <w:tcW w:w="1460" w:type="dxa"/>
            <w:tcBorders>
              <w:top w:val="double" w:sz="4" w:space="0" w:color="auto"/>
            </w:tcBorders>
            <w:shd w:val="clear" w:color="auto" w:fill="auto"/>
            <w:noWrap/>
          </w:tcPr>
          <w:p w14:paraId="4A45A05E" w14:textId="77777777" w:rsidR="00961E27" w:rsidRPr="009E35ED" w:rsidRDefault="00961E27" w:rsidP="00961E27">
            <w:pPr>
              <w:ind w:left="0"/>
              <w:jc w:val="right"/>
              <w:rPr>
                <w:rFonts w:ascii="Arial Narrow" w:hAnsi="Arial Narrow"/>
                <w:b/>
                <w:bCs/>
                <w:color w:val="000000" w:themeColor="text1"/>
                <w:sz w:val="22"/>
                <w:szCs w:val="22"/>
              </w:rPr>
            </w:pPr>
          </w:p>
        </w:tc>
      </w:tr>
      <w:tr w:rsidR="00997F75" w:rsidRPr="009E35ED" w14:paraId="6911E1FA" w14:textId="77777777" w:rsidTr="00FF441D">
        <w:trPr>
          <w:trHeight w:val="295"/>
        </w:trPr>
        <w:tc>
          <w:tcPr>
            <w:tcW w:w="7180" w:type="dxa"/>
            <w:gridSpan w:val="2"/>
            <w:shd w:val="clear" w:color="auto" w:fill="auto"/>
            <w:noWrap/>
            <w:hideMark/>
          </w:tcPr>
          <w:p w14:paraId="2369DDD3" w14:textId="5332EC45" w:rsidR="00FB1C34" w:rsidRPr="009E35ED" w:rsidRDefault="00FB1C34" w:rsidP="00FF441D">
            <w:pPr>
              <w:ind w:left="-108"/>
              <w:jc w:val="left"/>
              <w:rPr>
                <w:rFonts w:ascii="Arial Narrow" w:hAnsi="Arial Narrow" w:cs="Arial"/>
                <w:b/>
                <w:bCs/>
                <w:color w:val="000000" w:themeColor="text1"/>
                <w:sz w:val="18"/>
                <w:szCs w:val="18"/>
                <w:lang w:val="en-PH" w:eastAsia="en-PH"/>
              </w:rPr>
            </w:pPr>
            <w:r w:rsidRPr="009E35ED">
              <w:rPr>
                <w:rFonts w:ascii="Arial Narrow" w:hAnsi="Arial Narrow"/>
                <w:color w:val="000000" w:themeColor="text1"/>
                <w:sz w:val="18"/>
                <w:szCs w:val="18"/>
              </w:rPr>
              <w:t xml:space="preserve">Unrestated </w:t>
            </w:r>
            <w:r w:rsidR="00DB59F6">
              <w:rPr>
                <w:rFonts w:ascii="Arial Narrow" w:hAnsi="Arial Narrow"/>
                <w:color w:val="000000" w:themeColor="text1"/>
                <w:sz w:val="18"/>
                <w:szCs w:val="18"/>
              </w:rPr>
              <w:t>a</w:t>
            </w:r>
            <w:r w:rsidRPr="009E35ED">
              <w:rPr>
                <w:rFonts w:ascii="Arial Narrow" w:hAnsi="Arial Narrow"/>
                <w:color w:val="000000" w:themeColor="text1"/>
                <w:sz w:val="18"/>
                <w:szCs w:val="18"/>
              </w:rPr>
              <w:t>mount as of December 31, 2022</w:t>
            </w:r>
          </w:p>
        </w:tc>
        <w:tc>
          <w:tcPr>
            <w:tcW w:w="1460" w:type="dxa"/>
            <w:shd w:val="clear" w:color="auto" w:fill="auto"/>
            <w:noWrap/>
            <w:hideMark/>
          </w:tcPr>
          <w:p w14:paraId="2F6FA4CC" w14:textId="2AC3EAB3" w:rsidR="00FB1C34" w:rsidRPr="009E35ED" w:rsidRDefault="00FB1C34" w:rsidP="00FF441D">
            <w:pPr>
              <w:ind w:left="0" w:right="-112"/>
              <w:jc w:val="right"/>
              <w:rPr>
                <w:rFonts w:ascii="Arial Narrow" w:hAnsi="Arial Narrow"/>
                <w:color w:val="000000" w:themeColor="text1"/>
                <w:sz w:val="18"/>
                <w:szCs w:val="18"/>
                <w:lang w:val="en-PH" w:eastAsia="en-PH"/>
              </w:rPr>
            </w:pPr>
            <w:r w:rsidRPr="009E35ED">
              <w:rPr>
                <w:rFonts w:ascii="Arial Narrow" w:hAnsi="Arial Narrow"/>
                <w:color w:val="000000" w:themeColor="text1"/>
                <w:sz w:val="18"/>
                <w:szCs w:val="18"/>
              </w:rPr>
              <w:t xml:space="preserve"> 147,214,390 </w:t>
            </w:r>
          </w:p>
        </w:tc>
      </w:tr>
      <w:tr w:rsidR="00997F75" w:rsidRPr="009E35ED" w14:paraId="31ADF273" w14:textId="77777777" w:rsidTr="00FF441D">
        <w:trPr>
          <w:trHeight w:val="134"/>
        </w:trPr>
        <w:tc>
          <w:tcPr>
            <w:tcW w:w="7180" w:type="dxa"/>
            <w:gridSpan w:val="2"/>
            <w:shd w:val="clear" w:color="auto" w:fill="auto"/>
            <w:noWrap/>
          </w:tcPr>
          <w:p w14:paraId="010BA926" w14:textId="63A869CE" w:rsidR="00FB1C34" w:rsidRPr="009E35ED" w:rsidRDefault="00FB1C34" w:rsidP="00FF441D">
            <w:pPr>
              <w:ind w:left="-108"/>
              <w:jc w:val="left"/>
              <w:rPr>
                <w:rFonts w:ascii="Arial Narrow" w:hAnsi="Arial Narrow" w:cs="Arial"/>
                <w:color w:val="000000" w:themeColor="text1"/>
                <w:sz w:val="18"/>
                <w:szCs w:val="18"/>
              </w:rPr>
            </w:pPr>
            <w:r w:rsidRPr="009E35ED">
              <w:rPr>
                <w:rFonts w:ascii="Arial Narrow" w:hAnsi="Arial Narrow"/>
                <w:color w:val="000000" w:themeColor="text1"/>
                <w:sz w:val="18"/>
                <w:szCs w:val="18"/>
              </w:rPr>
              <w:t xml:space="preserve">Adjustment/Recording of Office </w:t>
            </w:r>
            <w:r w:rsidR="00DB59F6">
              <w:rPr>
                <w:rFonts w:ascii="Arial Narrow" w:hAnsi="Arial Narrow"/>
                <w:color w:val="000000" w:themeColor="text1"/>
                <w:sz w:val="18"/>
                <w:szCs w:val="18"/>
              </w:rPr>
              <w:t>e</w:t>
            </w:r>
            <w:r w:rsidRPr="009E35ED">
              <w:rPr>
                <w:rFonts w:ascii="Arial Narrow" w:hAnsi="Arial Narrow"/>
                <w:color w:val="000000" w:themeColor="text1"/>
                <w:sz w:val="18"/>
                <w:szCs w:val="18"/>
              </w:rPr>
              <w:t>quipment-</w:t>
            </w:r>
            <w:r w:rsidR="00DB59F6">
              <w:rPr>
                <w:rFonts w:ascii="Arial Narrow" w:hAnsi="Arial Narrow"/>
                <w:color w:val="000000" w:themeColor="text1"/>
                <w:sz w:val="18"/>
                <w:szCs w:val="18"/>
              </w:rPr>
              <w:t>b</w:t>
            </w:r>
            <w:r w:rsidRPr="009E35ED">
              <w:rPr>
                <w:rFonts w:ascii="Arial Narrow" w:hAnsi="Arial Narrow"/>
                <w:color w:val="000000" w:themeColor="text1"/>
                <w:sz w:val="18"/>
                <w:szCs w:val="18"/>
              </w:rPr>
              <w:t>ranches</w:t>
            </w:r>
          </w:p>
        </w:tc>
        <w:tc>
          <w:tcPr>
            <w:tcW w:w="1460" w:type="dxa"/>
            <w:shd w:val="clear" w:color="auto" w:fill="auto"/>
            <w:noWrap/>
          </w:tcPr>
          <w:p w14:paraId="3764D0E0" w14:textId="6E30C18D" w:rsidR="00FB1C34" w:rsidRPr="009E35ED" w:rsidRDefault="00FB1C34" w:rsidP="00FF441D">
            <w:pPr>
              <w:ind w:left="0" w:right="-112"/>
              <w:jc w:val="right"/>
              <w:rPr>
                <w:rFonts w:ascii="Arial Narrow" w:hAnsi="Arial Narrow" w:cs="Arial"/>
                <w:color w:val="000000" w:themeColor="text1"/>
                <w:sz w:val="18"/>
                <w:szCs w:val="18"/>
                <w:lang w:val="en-PH" w:eastAsia="en-PH"/>
              </w:rPr>
            </w:pPr>
            <w:r w:rsidRPr="009E35ED">
              <w:rPr>
                <w:rFonts w:ascii="Arial Narrow" w:hAnsi="Arial Narrow"/>
                <w:color w:val="000000" w:themeColor="text1"/>
                <w:sz w:val="18"/>
                <w:szCs w:val="18"/>
              </w:rPr>
              <w:t xml:space="preserve"> (79,383)</w:t>
            </w:r>
          </w:p>
        </w:tc>
      </w:tr>
      <w:tr w:rsidR="00997F75" w:rsidRPr="009E35ED" w14:paraId="13A1113A" w14:textId="77777777" w:rsidTr="00FF441D">
        <w:trPr>
          <w:trHeight w:val="134"/>
        </w:trPr>
        <w:tc>
          <w:tcPr>
            <w:tcW w:w="7180" w:type="dxa"/>
            <w:gridSpan w:val="2"/>
            <w:shd w:val="clear" w:color="auto" w:fill="auto"/>
            <w:noWrap/>
            <w:hideMark/>
          </w:tcPr>
          <w:p w14:paraId="23A80B42" w14:textId="58FA1059" w:rsidR="00FB1C34" w:rsidRPr="009E35ED" w:rsidRDefault="00FB1C34" w:rsidP="00FF441D">
            <w:pPr>
              <w:ind w:left="-108"/>
              <w:jc w:val="left"/>
              <w:rPr>
                <w:rFonts w:ascii="Arial Narrow" w:hAnsi="Arial Narrow" w:cs="Arial"/>
                <w:color w:val="000000" w:themeColor="text1"/>
                <w:sz w:val="18"/>
                <w:szCs w:val="18"/>
                <w:lang w:val="en-PH" w:eastAsia="en-PH"/>
              </w:rPr>
            </w:pPr>
            <w:r w:rsidRPr="009E35ED">
              <w:rPr>
                <w:rFonts w:ascii="Arial Narrow" w:hAnsi="Arial Narrow"/>
                <w:color w:val="000000" w:themeColor="text1"/>
                <w:sz w:val="18"/>
                <w:szCs w:val="18"/>
              </w:rPr>
              <w:t xml:space="preserve">Adjustment/Recording of Office </w:t>
            </w:r>
            <w:r w:rsidR="00DB59F6">
              <w:rPr>
                <w:rFonts w:ascii="Arial Narrow" w:hAnsi="Arial Narrow"/>
                <w:color w:val="000000" w:themeColor="text1"/>
                <w:sz w:val="18"/>
                <w:szCs w:val="18"/>
              </w:rPr>
              <w:t>e</w:t>
            </w:r>
            <w:r w:rsidRPr="009E35ED">
              <w:rPr>
                <w:rFonts w:ascii="Arial Narrow" w:hAnsi="Arial Narrow"/>
                <w:color w:val="000000" w:themeColor="text1"/>
                <w:sz w:val="18"/>
                <w:szCs w:val="18"/>
              </w:rPr>
              <w:t>quipment-</w:t>
            </w:r>
            <w:r w:rsidR="00DB59F6">
              <w:rPr>
                <w:rFonts w:ascii="Arial Narrow" w:hAnsi="Arial Narrow"/>
                <w:color w:val="000000" w:themeColor="text1"/>
                <w:sz w:val="18"/>
                <w:szCs w:val="18"/>
              </w:rPr>
              <w:t>h</w:t>
            </w:r>
            <w:r w:rsidRPr="009E35ED">
              <w:rPr>
                <w:rFonts w:ascii="Arial Narrow" w:hAnsi="Arial Narrow"/>
                <w:color w:val="000000" w:themeColor="text1"/>
                <w:sz w:val="18"/>
                <w:szCs w:val="18"/>
              </w:rPr>
              <w:t xml:space="preserve">ead </w:t>
            </w:r>
            <w:r w:rsidR="00DB59F6">
              <w:rPr>
                <w:rFonts w:ascii="Arial Narrow" w:hAnsi="Arial Narrow"/>
                <w:color w:val="000000" w:themeColor="text1"/>
                <w:sz w:val="18"/>
                <w:szCs w:val="18"/>
              </w:rPr>
              <w:t>o</w:t>
            </w:r>
            <w:r w:rsidRPr="009E35ED">
              <w:rPr>
                <w:rFonts w:ascii="Arial Narrow" w:hAnsi="Arial Narrow"/>
                <w:color w:val="000000" w:themeColor="text1"/>
                <w:sz w:val="18"/>
                <w:szCs w:val="18"/>
              </w:rPr>
              <w:t>ffice</w:t>
            </w:r>
          </w:p>
        </w:tc>
        <w:tc>
          <w:tcPr>
            <w:tcW w:w="1460" w:type="dxa"/>
            <w:shd w:val="clear" w:color="auto" w:fill="auto"/>
            <w:noWrap/>
            <w:hideMark/>
          </w:tcPr>
          <w:p w14:paraId="00C4A957" w14:textId="0F7748F4" w:rsidR="00FB1C34" w:rsidRPr="009E35ED" w:rsidRDefault="00FB1C34" w:rsidP="00FF441D">
            <w:pPr>
              <w:ind w:left="0" w:right="-112"/>
              <w:jc w:val="right"/>
              <w:rPr>
                <w:rFonts w:ascii="Arial Narrow" w:hAnsi="Arial Narrow" w:cs="Arial"/>
                <w:color w:val="000000" w:themeColor="text1"/>
                <w:sz w:val="18"/>
                <w:szCs w:val="18"/>
                <w:lang w:val="en-PH" w:eastAsia="en-PH"/>
              </w:rPr>
            </w:pPr>
            <w:r w:rsidRPr="009E35ED">
              <w:rPr>
                <w:rFonts w:ascii="Arial Narrow" w:hAnsi="Arial Narrow"/>
                <w:color w:val="000000" w:themeColor="text1"/>
                <w:sz w:val="18"/>
                <w:szCs w:val="18"/>
              </w:rPr>
              <w:t xml:space="preserve"> (2,007,794)</w:t>
            </w:r>
          </w:p>
        </w:tc>
      </w:tr>
      <w:tr w:rsidR="00997F75" w:rsidRPr="009E35ED" w14:paraId="4DECEC8D" w14:textId="77777777" w:rsidTr="00FF441D">
        <w:trPr>
          <w:trHeight w:val="134"/>
        </w:trPr>
        <w:tc>
          <w:tcPr>
            <w:tcW w:w="7180" w:type="dxa"/>
            <w:gridSpan w:val="2"/>
            <w:shd w:val="clear" w:color="auto" w:fill="auto"/>
            <w:noWrap/>
          </w:tcPr>
          <w:p w14:paraId="4D1EC3E8" w14:textId="067113E9" w:rsidR="00FB1C34" w:rsidRPr="009E35ED" w:rsidRDefault="00FB1C34" w:rsidP="00FF441D">
            <w:pPr>
              <w:ind w:left="-108"/>
              <w:jc w:val="left"/>
              <w:rPr>
                <w:rFonts w:ascii="Arial Narrow" w:hAnsi="Arial Narrow" w:cs="Arial"/>
                <w:color w:val="000000" w:themeColor="text1"/>
                <w:sz w:val="18"/>
                <w:szCs w:val="18"/>
              </w:rPr>
            </w:pPr>
            <w:r w:rsidRPr="009E35ED">
              <w:rPr>
                <w:rFonts w:ascii="Arial Narrow" w:hAnsi="Arial Narrow"/>
                <w:color w:val="000000" w:themeColor="text1"/>
                <w:sz w:val="18"/>
                <w:szCs w:val="18"/>
              </w:rPr>
              <w:t xml:space="preserve">Adjustment/Recording of Depreciation </w:t>
            </w:r>
            <w:r w:rsidR="00DB59F6">
              <w:rPr>
                <w:rFonts w:ascii="Arial Narrow" w:hAnsi="Arial Narrow"/>
                <w:color w:val="000000" w:themeColor="text1"/>
                <w:sz w:val="18"/>
                <w:szCs w:val="18"/>
              </w:rPr>
              <w:t>e</w:t>
            </w:r>
            <w:r w:rsidRPr="009E35ED">
              <w:rPr>
                <w:rFonts w:ascii="Arial Narrow" w:hAnsi="Arial Narrow"/>
                <w:color w:val="000000" w:themeColor="text1"/>
                <w:sz w:val="18"/>
                <w:szCs w:val="18"/>
              </w:rPr>
              <w:t>xpenses-</w:t>
            </w:r>
            <w:r w:rsidR="00DB59F6">
              <w:rPr>
                <w:rFonts w:ascii="Arial Narrow" w:hAnsi="Arial Narrow"/>
                <w:color w:val="000000" w:themeColor="text1"/>
                <w:sz w:val="18"/>
                <w:szCs w:val="18"/>
              </w:rPr>
              <w:t>o</w:t>
            </w:r>
            <w:r w:rsidRPr="009E35ED">
              <w:rPr>
                <w:rFonts w:ascii="Arial Narrow" w:hAnsi="Arial Narrow"/>
                <w:color w:val="000000" w:themeColor="text1"/>
                <w:sz w:val="18"/>
                <w:szCs w:val="18"/>
              </w:rPr>
              <w:t xml:space="preserve">ffice </w:t>
            </w:r>
            <w:r w:rsidR="00DB59F6">
              <w:rPr>
                <w:rFonts w:ascii="Arial Narrow" w:hAnsi="Arial Narrow"/>
                <w:color w:val="000000" w:themeColor="text1"/>
                <w:sz w:val="18"/>
                <w:szCs w:val="18"/>
              </w:rPr>
              <w:t>e</w:t>
            </w:r>
            <w:r w:rsidRPr="009E35ED">
              <w:rPr>
                <w:rFonts w:ascii="Arial Narrow" w:hAnsi="Arial Narrow"/>
                <w:color w:val="000000" w:themeColor="text1"/>
                <w:sz w:val="18"/>
                <w:szCs w:val="18"/>
              </w:rPr>
              <w:t>quipment-</w:t>
            </w:r>
            <w:r w:rsidR="00DB59F6">
              <w:rPr>
                <w:rFonts w:ascii="Arial Narrow" w:hAnsi="Arial Narrow"/>
                <w:color w:val="000000" w:themeColor="text1"/>
                <w:sz w:val="18"/>
                <w:szCs w:val="18"/>
              </w:rPr>
              <w:t>b</w:t>
            </w:r>
            <w:r w:rsidRPr="009E35ED">
              <w:rPr>
                <w:rFonts w:ascii="Arial Narrow" w:hAnsi="Arial Narrow"/>
                <w:color w:val="000000" w:themeColor="text1"/>
                <w:sz w:val="18"/>
                <w:szCs w:val="18"/>
              </w:rPr>
              <w:t>ranches</w:t>
            </w:r>
          </w:p>
        </w:tc>
        <w:tc>
          <w:tcPr>
            <w:tcW w:w="1460" w:type="dxa"/>
            <w:shd w:val="clear" w:color="auto" w:fill="auto"/>
            <w:noWrap/>
          </w:tcPr>
          <w:p w14:paraId="304E7BB7" w14:textId="351B7269" w:rsidR="00FB1C34" w:rsidRPr="009E35ED" w:rsidRDefault="00FB1C34" w:rsidP="00FF441D">
            <w:pPr>
              <w:ind w:left="0" w:right="-112"/>
              <w:jc w:val="right"/>
              <w:rPr>
                <w:rFonts w:ascii="Arial Narrow" w:hAnsi="Arial Narrow"/>
                <w:color w:val="000000" w:themeColor="text1"/>
                <w:sz w:val="18"/>
                <w:szCs w:val="18"/>
              </w:rPr>
            </w:pPr>
            <w:r w:rsidRPr="009E35ED">
              <w:rPr>
                <w:rFonts w:ascii="Arial Narrow" w:hAnsi="Arial Narrow"/>
                <w:color w:val="000000" w:themeColor="text1"/>
                <w:sz w:val="18"/>
                <w:szCs w:val="18"/>
              </w:rPr>
              <w:t xml:space="preserve"> 235,24</w:t>
            </w:r>
            <w:r w:rsidR="00BD6F9B" w:rsidRPr="009E35ED">
              <w:rPr>
                <w:rFonts w:ascii="Arial Narrow" w:hAnsi="Arial Narrow"/>
                <w:color w:val="000000" w:themeColor="text1"/>
                <w:sz w:val="18"/>
                <w:szCs w:val="18"/>
              </w:rPr>
              <w:t>4</w:t>
            </w:r>
            <w:r w:rsidRPr="009E35ED">
              <w:rPr>
                <w:rFonts w:ascii="Arial Narrow" w:hAnsi="Arial Narrow"/>
                <w:color w:val="000000" w:themeColor="text1"/>
                <w:sz w:val="18"/>
                <w:szCs w:val="18"/>
              </w:rPr>
              <w:t xml:space="preserve"> </w:t>
            </w:r>
          </w:p>
        </w:tc>
      </w:tr>
      <w:tr w:rsidR="00997F75" w:rsidRPr="009E35ED" w14:paraId="1095B990" w14:textId="77777777" w:rsidTr="00FF441D">
        <w:trPr>
          <w:trHeight w:val="134"/>
        </w:trPr>
        <w:tc>
          <w:tcPr>
            <w:tcW w:w="7180" w:type="dxa"/>
            <w:gridSpan w:val="2"/>
            <w:shd w:val="clear" w:color="auto" w:fill="auto"/>
            <w:noWrap/>
          </w:tcPr>
          <w:p w14:paraId="261A0AB8" w14:textId="16CBAD68" w:rsidR="00FB1C34" w:rsidRPr="009E35ED" w:rsidRDefault="00FB1C34" w:rsidP="00FF441D">
            <w:pPr>
              <w:ind w:left="-108"/>
              <w:jc w:val="left"/>
              <w:rPr>
                <w:rFonts w:ascii="Arial Narrow" w:hAnsi="Arial Narrow" w:cs="Arial"/>
                <w:color w:val="000000" w:themeColor="text1"/>
                <w:sz w:val="18"/>
                <w:szCs w:val="18"/>
              </w:rPr>
            </w:pPr>
            <w:r w:rsidRPr="009E35ED">
              <w:rPr>
                <w:rFonts w:ascii="Arial Narrow" w:hAnsi="Arial Narrow"/>
                <w:color w:val="000000" w:themeColor="text1"/>
                <w:sz w:val="18"/>
                <w:szCs w:val="18"/>
              </w:rPr>
              <w:t xml:space="preserve">Adjustment/Recording of Depreciation </w:t>
            </w:r>
            <w:r w:rsidR="00DB59F6">
              <w:rPr>
                <w:rFonts w:ascii="Arial Narrow" w:hAnsi="Arial Narrow"/>
                <w:color w:val="000000" w:themeColor="text1"/>
                <w:sz w:val="18"/>
                <w:szCs w:val="18"/>
              </w:rPr>
              <w:t>e</w:t>
            </w:r>
            <w:r w:rsidRPr="009E35ED">
              <w:rPr>
                <w:rFonts w:ascii="Arial Narrow" w:hAnsi="Arial Narrow"/>
                <w:color w:val="000000" w:themeColor="text1"/>
                <w:sz w:val="18"/>
                <w:szCs w:val="18"/>
              </w:rPr>
              <w:t>xpenses-</w:t>
            </w:r>
            <w:r w:rsidR="00DB59F6">
              <w:rPr>
                <w:rFonts w:ascii="Arial Narrow" w:hAnsi="Arial Narrow"/>
                <w:color w:val="000000" w:themeColor="text1"/>
                <w:sz w:val="18"/>
                <w:szCs w:val="18"/>
              </w:rPr>
              <w:t>o</w:t>
            </w:r>
            <w:r w:rsidRPr="009E35ED">
              <w:rPr>
                <w:rFonts w:ascii="Arial Narrow" w:hAnsi="Arial Narrow"/>
                <w:color w:val="000000" w:themeColor="text1"/>
                <w:sz w:val="18"/>
                <w:szCs w:val="18"/>
              </w:rPr>
              <w:t xml:space="preserve">ffice </w:t>
            </w:r>
            <w:r w:rsidR="00DB59F6">
              <w:rPr>
                <w:rFonts w:ascii="Arial Narrow" w:hAnsi="Arial Narrow"/>
                <w:color w:val="000000" w:themeColor="text1"/>
                <w:sz w:val="18"/>
                <w:szCs w:val="18"/>
              </w:rPr>
              <w:t>e</w:t>
            </w:r>
            <w:r w:rsidRPr="009E35ED">
              <w:rPr>
                <w:rFonts w:ascii="Arial Narrow" w:hAnsi="Arial Narrow"/>
                <w:color w:val="000000" w:themeColor="text1"/>
                <w:sz w:val="18"/>
                <w:szCs w:val="18"/>
              </w:rPr>
              <w:t>quipment-</w:t>
            </w:r>
            <w:r w:rsidR="00DB59F6">
              <w:rPr>
                <w:rFonts w:ascii="Arial Narrow" w:hAnsi="Arial Narrow"/>
                <w:color w:val="000000" w:themeColor="text1"/>
                <w:sz w:val="18"/>
                <w:szCs w:val="18"/>
              </w:rPr>
              <w:t>h</w:t>
            </w:r>
            <w:r w:rsidRPr="009E35ED">
              <w:rPr>
                <w:rFonts w:ascii="Arial Narrow" w:hAnsi="Arial Narrow"/>
                <w:color w:val="000000" w:themeColor="text1"/>
                <w:sz w:val="18"/>
                <w:szCs w:val="18"/>
              </w:rPr>
              <w:t xml:space="preserve">ead </w:t>
            </w:r>
            <w:r w:rsidR="00DB59F6">
              <w:rPr>
                <w:rFonts w:ascii="Arial Narrow" w:hAnsi="Arial Narrow"/>
                <w:color w:val="000000" w:themeColor="text1"/>
                <w:sz w:val="18"/>
                <w:szCs w:val="18"/>
              </w:rPr>
              <w:t>o</w:t>
            </w:r>
            <w:r w:rsidRPr="009E35ED">
              <w:rPr>
                <w:rFonts w:ascii="Arial Narrow" w:hAnsi="Arial Narrow"/>
                <w:color w:val="000000" w:themeColor="text1"/>
                <w:sz w:val="18"/>
                <w:szCs w:val="18"/>
              </w:rPr>
              <w:t>ffice</w:t>
            </w:r>
          </w:p>
        </w:tc>
        <w:tc>
          <w:tcPr>
            <w:tcW w:w="1460" w:type="dxa"/>
            <w:shd w:val="clear" w:color="auto" w:fill="auto"/>
            <w:noWrap/>
          </w:tcPr>
          <w:p w14:paraId="501A0098" w14:textId="7ED16823" w:rsidR="00FB1C34" w:rsidRPr="009E35ED" w:rsidRDefault="00DA2837" w:rsidP="00FF441D">
            <w:pPr>
              <w:ind w:left="0" w:right="-112"/>
              <w:jc w:val="right"/>
              <w:rPr>
                <w:rFonts w:ascii="Arial Narrow" w:hAnsi="Arial Narrow"/>
                <w:color w:val="000000" w:themeColor="text1"/>
                <w:sz w:val="18"/>
                <w:szCs w:val="18"/>
              </w:rPr>
            </w:pPr>
            <w:r w:rsidRPr="009E35ED">
              <w:rPr>
                <w:rFonts w:ascii="Arial Narrow" w:hAnsi="Arial Narrow"/>
                <w:color w:val="000000" w:themeColor="text1"/>
                <w:sz w:val="18"/>
                <w:szCs w:val="18"/>
              </w:rPr>
              <w:t>2,113,468</w:t>
            </w:r>
          </w:p>
        </w:tc>
      </w:tr>
      <w:tr w:rsidR="00997F75" w:rsidRPr="009E35ED" w14:paraId="0EE3091F" w14:textId="77777777" w:rsidTr="00FF441D">
        <w:trPr>
          <w:trHeight w:val="134"/>
        </w:trPr>
        <w:tc>
          <w:tcPr>
            <w:tcW w:w="7180" w:type="dxa"/>
            <w:gridSpan w:val="2"/>
            <w:shd w:val="clear" w:color="auto" w:fill="auto"/>
            <w:noWrap/>
          </w:tcPr>
          <w:p w14:paraId="4F65FFED" w14:textId="6B877B8C" w:rsidR="00FB1C34" w:rsidRPr="009E35ED" w:rsidRDefault="00FB1C34" w:rsidP="00FF441D">
            <w:pPr>
              <w:ind w:left="-108"/>
              <w:jc w:val="left"/>
              <w:rPr>
                <w:rFonts w:ascii="Arial Narrow" w:hAnsi="Arial Narrow" w:cs="Arial"/>
                <w:color w:val="000000" w:themeColor="text1"/>
                <w:sz w:val="18"/>
                <w:szCs w:val="18"/>
              </w:rPr>
            </w:pPr>
            <w:r w:rsidRPr="009E35ED">
              <w:rPr>
                <w:rFonts w:ascii="Arial Narrow" w:hAnsi="Arial Narrow"/>
                <w:color w:val="000000" w:themeColor="text1"/>
                <w:sz w:val="18"/>
                <w:szCs w:val="18"/>
              </w:rPr>
              <w:t xml:space="preserve">Adjustment/Recording of Depreciation </w:t>
            </w:r>
            <w:r w:rsidR="00DB59F6">
              <w:rPr>
                <w:rFonts w:ascii="Arial Narrow" w:hAnsi="Arial Narrow"/>
                <w:color w:val="000000" w:themeColor="text1"/>
                <w:sz w:val="18"/>
                <w:szCs w:val="18"/>
              </w:rPr>
              <w:t>e</w:t>
            </w:r>
            <w:r w:rsidRPr="009E35ED">
              <w:rPr>
                <w:rFonts w:ascii="Arial Narrow" w:hAnsi="Arial Narrow"/>
                <w:color w:val="000000" w:themeColor="text1"/>
                <w:sz w:val="18"/>
                <w:szCs w:val="18"/>
              </w:rPr>
              <w:t>xpenses-</w:t>
            </w:r>
            <w:r w:rsidR="00DB59F6">
              <w:rPr>
                <w:rFonts w:ascii="Arial Narrow" w:hAnsi="Arial Narrow"/>
                <w:color w:val="000000" w:themeColor="text1"/>
                <w:sz w:val="18"/>
                <w:szCs w:val="18"/>
              </w:rPr>
              <w:t>m</w:t>
            </w:r>
            <w:r w:rsidRPr="009E35ED">
              <w:rPr>
                <w:rFonts w:ascii="Arial Narrow" w:hAnsi="Arial Narrow"/>
                <w:color w:val="000000" w:themeColor="text1"/>
                <w:sz w:val="18"/>
                <w:szCs w:val="18"/>
              </w:rPr>
              <w:t xml:space="preserve">ilitary, </w:t>
            </w:r>
            <w:r w:rsidR="00DB59F6">
              <w:rPr>
                <w:rFonts w:ascii="Arial Narrow" w:hAnsi="Arial Narrow"/>
                <w:color w:val="000000" w:themeColor="text1"/>
                <w:sz w:val="18"/>
                <w:szCs w:val="18"/>
              </w:rPr>
              <w:t>p</w:t>
            </w:r>
            <w:r w:rsidRPr="009E35ED">
              <w:rPr>
                <w:rFonts w:ascii="Arial Narrow" w:hAnsi="Arial Narrow"/>
                <w:color w:val="000000" w:themeColor="text1"/>
                <w:sz w:val="18"/>
                <w:szCs w:val="18"/>
              </w:rPr>
              <w:t xml:space="preserve">olice and </w:t>
            </w:r>
            <w:r w:rsidR="00DB59F6">
              <w:rPr>
                <w:rFonts w:ascii="Arial Narrow" w:hAnsi="Arial Narrow"/>
                <w:color w:val="000000" w:themeColor="text1"/>
                <w:sz w:val="18"/>
                <w:szCs w:val="18"/>
              </w:rPr>
              <w:t>s</w:t>
            </w:r>
            <w:r w:rsidRPr="009E35ED">
              <w:rPr>
                <w:rFonts w:ascii="Arial Narrow" w:hAnsi="Arial Narrow"/>
                <w:color w:val="000000" w:themeColor="text1"/>
                <w:sz w:val="18"/>
                <w:szCs w:val="18"/>
              </w:rPr>
              <w:t xml:space="preserve">ecurity </w:t>
            </w:r>
            <w:r w:rsidR="00DB59F6">
              <w:rPr>
                <w:rFonts w:ascii="Arial Narrow" w:hAnsi="Arial Narrow"/>
                <w:color w:val="000000" w:themeColor="text1"/>
                <w:sz w:val="18"/>
                <w:szCs w:val="18"/>
              </w:rPr>
              <w:t>e</w:t>
            </w:r>
            <w:r w:rsidRPr="009E35ED">
              <w:rPr>
                <w:rFonts w:ascii="Arial Narrow" w:hAnsi="Arial Narrow"/>
                <w:color w:val="000000" w:themeColor="text1"/>
                <w:sz w:val="18"/>
                <w:szCs w:val="18"/>
              </w:rPr>
              <w:t>quipment-</w:t>
            </w:r>
            <w:r w:rsidR="00DB59F6">
              <w:rPr>
                <w:rFonts w:ascii="Arial Narrow" w:hAnsi="Arial Narrow"/>
                <w:color w:val="000000" w:themeColor="text1"/>
                <w:sz w:val="18"/>
                <w:szCs w:val="18"/>
              </w:rPr>
              <w:t>b</w:t>
            </w:r>
            <w:r w:rsidRPr="009E35ED">
              <w:rPr>
                <w:rFonts w:ascii="Arial Narrow" w:hAnsi="Arial Narrow"/>
                <w:color w:val="000000" w:themeColor="text1"/>
                <w:sz w:val="18"/>
                <w:szCs w:val="18"/>
              </w:rPr>
              <w:t>ranches</w:t>
            </w:r>
          </w:p>
        </w:tc>
        <w:tc>
          <w:tcPr>
            <w:tcW w:w="1460" w:type="dxa"/>
            <w:shd w:val="clear" w:color="auto" w:fill="auto"/>
            <w:noWrap/>
          </w:tcPr>
          <w:p w14:paraId="171800CA" w14:textId="0DAE039D" w:rsidR="00FB1C34" w:rsidRPr="009E35ED" w:rsidRDefault="00FB1C34" w:rsidP="00FF441D">
            <w:pPr>
              <w:ind w:left="0" w:right="-112"/>
              <w:jc w:val="right"/>
              <w:rPr>
                <w:rFonts w:ascii="Arial Narrow" w:hAnsi="Arial Narrow"/>
                <w:color w:val="000000" w:themeColor="text1"/>
                <w:sz w:val="18"/>
                <w:szCs w:val="18"/>
              </w:rPr>
            </w:pPr>
            <w:r w:rsidRPr="009E35ED">
              <w:rPr>
                <w:rFonts w:ascii="Arial Narrow" w:hAnsi="Arial Narrow"/>
                <w:color w:val="000000" w:themeColor="text1"/>
                <w:sz w:val="18"/>
                <w:szCs w:val="18"/>
              </w:rPr>
              <w:t xml:space="preserve">620 </w:t>
            </w:r>
          </w:p>
        </w:tc>
      </w:tr>
      <w:tr w:rsidR="00997F75" w:rsidRPr="009E35ED" w14:paraId="4A97AC16" w14:textId="77777777" w:rsidTr="00FF441D">
        <w:trPr>
          <w:trHeight w:val="134"/>
        </w:trPr>
        <w:tc>
          <w:tcPr>
            <w:tcW w:w="7180" w:type="dxa"/>
            <w:gridSpan w:val="2"/>
            <w:shd w:val="clear" w:color="auto" w:fill="auto"/>
            <w:noWrap/>
          </w:tcPr>
          <w:p w14:paraId="2196ABBE" w14:textId="4FC44A62" w:rsidR="00FB1C34" w:rsidRPr="009E35ED" w:rsidRDefault="00FB1C34" w:rsidP="00FF441D">
            <w:pPr>
              <w:ind w:left="-108"/>
              <w:jc w:val="left"/>
              <w:rPr>
                <w:rFonts w:ascii="Arial Narrow" w:hAnsi="Arial Narrow" w:cs="Arial"/>
                <w:color w:val="000000" w:themeColor="text1"/>
                <w:sz w:val="18"/>
                <w:szCs w:val="18"/>
              </w:rPr>
            </w:pPr>
            <w:r w:rsidRPr="009E35ED">
              <w:rPr>
                <w:rFonts w:ascii="Arial Narrow" w:hAnsi="Arial Narrow"/>
                <w:color w:val="000000" w:themeColor="text1"/>
                <w:sz w:val="18"/>
                <w:szCs w:val="18"/>
              </w:rPr>
              <w:t xml:space="preserve">Adjustment/Recording of Other </w:t>
            </w:r>
            <w:r w:rsidR="00DB59F6">
              <w:rPr>
                <w:rFonts w:ascii="Arial Narrow" w:hAnsi="Arial Narrow"/>
                <w:color w:val="000000" w:themeColor="text1"/>
                <w:sz w:val="18"/>
                <w:szCs w:val="18"/>
              </w:rPr>
              <w:t>m</w:t>
            </w:r>
            <w:r w:rsidRPr="009E35ED">
              <w:rPr>
                <w:rFonts w:ascii="Arial Narrow" w:hAnsi="Arial Narrow"/>
                <w:color w:val="000000" w:themeColor="text1"/>
                <w:sz w:val="18"/>
                <w:szCs w:val="18"/>
              </w:rPr>
              <w:t xml:space="preserve">achinery and </w:t>
            </w:r>
            <w:r w:rsidR="00DB59F6">
              <w:rPr>
                <w:rFonts w:ascii="Arial Narrow" w:hAnsi="Arial Narrow"/>
                <w:color w:val="000000" w:themeColor="text1"/>
                <w:sz w:val="18"/>
                <w:szCs w:val="18"/>
              </w:rPr>
              <w:t>e</w:t>
            </w:r>
            <w:r w:rsidRPr="009E35ED">
              <w:rPr>
                <w:rFonts w:ascii="Arial Narrow" w:hAnsi="Arial Narrow"/>
                <w:color w:val="000000" w:themeColor="text1"/>
                <w:sz w:val="18"/>
                <w:szCs w:val="18"/>
              </w:rPr>
              <w:t>quipment-</w:t>
            </w:r>
            <w:r w:rsidR="00DB59F6">
              <w:rPr>
                <w:rFonts w:ascii="Arial Narrow" w:hAnsi="Arial Narrow"/>
                <w:color w:val="000000" w:themeColor="text1"/>
                <w:sz w:val="18"/>
                <w:szCs w:val="18"/>
              </w:rPr>
              <w:t>h</w:t>
            </w:r>
            <w:r w:rsidRPr="009E35ED">
              <w:rPr>
                <w:rFonts w:ascii="Arial Narrow" w:hAnsi="Arial Narrow"/>
                <w:color w:val="000000" w:themeColor="text1"/>
                <w:sz w:val="18"/>
                <w:szCs w:val="18"/>
              </w:rPr>
              <w:t xml:space="preserve">ead </w:t>
            </w:r>
            <w:r w:rsidR="00DB59F6">
              <w:rPr>
                <w:rFonts w:ascii="Arial Narrow" w:hAnsi="Arial Narrow"/>
                <w:color w:val="000000" w:themeColor="text1"/>
                <w:sz w:val="18"/>
                <w:szCs w:val="18"/>
              </w:rPr>
              <w:t>o</w:t>
            </w:r>
            <w:r w:rsidRPr="009E35ED">
              <w:rPr>
                <w:rFonts w:ascii="Arial Narrow" w:hAnsi="Arial Narrow"/>
                <w:color w:val="000000" w:themeColor="text1"/>
                <w:sz w:val="18"/>
                <w:szCs w:val="18"/>
              </w:rPr>
              <w:t>ffice</w:t>
            </w:r>
          </w:p>
        </w:tc>
        <w:tc>
          <w:tcPr>
            <w:tcW w:w="1460" w:type="dxa"/>
            <w:shd w:val="clear" w:color="auto" w:fill="auto"/>
            <w:noWrap/>
          </w:tcPr>
          <w:p w14:paraId="2C476919" w14:textId="32AFB6E8" w:rsidR="00FB1C34" w:rsidRPr="009E35ED" w:rsidRDefault="00977ABE" w:rsidP="00FF441D">
            <w:pPr>
              <w:ind w:left="0" w:right="-112"/>
              <w:jc w:val="right"/>
              <w:rPr>
                <w:rFonts w:ascii="Arial Narrow" w:hAnsi="Arial Narrow"/>
                <w:color w:val="000000" w:themeColor="text1"/>
                <w:sz w:val="18"/>
                <w:szCs w:val="18"/>
              </w:rPr>
            </w:pPr>
            <w:r w:rsidRPr="009E35ED">
              <w:rPr>
                <w:rFonts w:ascii="Arial Narrow" w:hAnsi="Arial Narrow"/>
                <w:color w:val="000000" w:themeColor="text1"/>
                <w:sz w:val="18"/>
                <w:szCs w:val="18"/>
              </w:rPr>
              <w:t>4,212,998</w:t>
            </w:r>
          </w:p>
        </w:tc>
      </w:tr>
      <w:tr w:rsidR="00997F75" w:rsidRPr="009E35ED" w14:paraId="718EA0F6" w14:textId="77777777" w:rsidTr="00FF441D">
        <w:trPr>
          <w:trHeight w:val="134"/>
        </w:trPr>
        <w:tc>
          <w:tcPr>
            <w:tcW w:w="7180" w:type="dxa"/>
            <w:gridSpan w:val="2"/>
            <w:shd w:val="clear" w:color="auto" w:fill="auto"/>
            <w:noWrap/>
          </w:tcPr>
          <w:p w14:paraId="7D248C81" w14:textId="54C1C41D" w:rsidR="00FB1C34" w:rsidRPr="009E35ED" w:rsidRDefault="00FB1C34" w:rsidP="00FF441D">
            <w:pPr>
              <w:ind w:left="-108"/>
              <w:jc w:val="left"/>
              <w:rPr>
                <w:rFonts w:ascii="Arial Narrow" w:hAnsi="Arial Narrow" w:cs="Arial"/>
                <w:color w:val="000000" w:themeColor="text1"/>
                <w:sz w:val="18"/>
                <w:szCs w:val="18"/>
              </w:rPr>
            </w:pPr>
            <w:r w:rsidRPr="009E35ED">
              <w:rPr>
                <w:rFonts w:ascii="Arial Narrow" w:hAnsi="Arial Narrow"/>
                <w:color w:val="000000" w:themeColor="text1"/>
                <w:sz w:val="18"/>
                <w:szCs w:val="18"/>
              </w:rPr>
              <w:t xml:space="preserve">Adjustment/Recording of Other </w:t>
            </w:r>
            <w:r w:rsidR="00DB59F6">
              <w:rPr>
                <w:rFonts w:ascii="Arial Narrow" w:hAnsi="Arial Narrow"/>
                <w:color w:val="000000" w:themeColor="text1"/>
                <w:sz w:val="18"/>
                <w:szCs w:val="18"/>
              </w:rPr>
              <w:t>m</w:t>
            </w:r>
            <w:r w:rsidRPr="009E35ED">
              <w:rPr>
                <w:rFonts w:ascii="Arial Narrow" w:hAnsi="Arial Narrow"/>
                <w:color w:val="000000" w:themeColor="text1"/>
                <w:sz w:val="18"/>
                <w:szCs w:val="18"/>
              </w:rPr>
              <w:t xml:space="preserve">achinery and </w:t>
            </w:r>
            <w:r w:rsidR="00DB59F6">
              <w:rPr>
                <w:rFonts w:ascii="Arial Narrow" w:hAnsi="Arial Narrow"/>
                <w:color w:val="000000" w:themeColor="text1"/>
                <w:sz w:val="18"/>
                <w:szCs w:val="18"/>
              </w:rPr>
              <w:t>e</w:t>
            </w:r>
            <w:r w:rsidRPr="009E35ED">
              <w:rPr>
                <w:rFonts w:ascii="Arial Narrow" w:hAnsi="Arial Narrow"/>
                <w:color w:val="000000" w:themeColor="text1"/>
                <w:sz w:val="18"/>
                <w:szCs w:val="18"/>
              </w:rPr>
              <w:t>quipment-</w:t>
            </w:r>
            <w:r w:rsidR="00DB59F6">
              <w:rPr>
                <w:rFonts w:ascii="Arial Narrow" w:hAnsi="Arial Narrow"/>
                <w:color w:val="000000" w:themeColor="text1"/>
                <w:sz w:val="18"/>
                <w:szCs w:val="18"/>
              </w:rPr>
              <w:t>b</w:t>
            </w:r>
            <w:r w:rsidRPr="009E35ED">
              <w:rPr>
                <w:rFonts w:ascii="Arial Narrow" w:hAnsi="Arial Narrow"/>
                <w:color w:val="000000" w:themeColor="text1"/>
                <w:sz w:val="18"/>
                <w:szCs w:val="18"/>
              </w:rPr>
              <w:t>ranches</w:t>
            </w:r>
          </w:p>
        </w:tc>
        <w:tc>
          <w:tcPr>
            <w:tcW w:w="1460" w:type="dxa"/>
            <w:shd w:val="clear" w:color="auto" w:fill="auto"/>
            <w:noWrap/>
          </w:tcPr>
          <w:p w14:paraId="7E2F2440" w14:textId="0EE87D04" w:rsidR="00FB1C34" w:rsidRPr="009E35ED" w:rsidRDefault="00FB1C34" w:rsidP="00FF441D">
            <w:pPr>
              <w:ind w:left="0" w:right="-112"/>
              <w:jc w:val="right"/>
              <w:rPr>
                <w:rFonts w:ascii="Arial Narrow" w:hAnsi="Arial Narrow"/>
                <w:color w:val="000000" w:themeColor="text1"/>
                <w:sz w:val="18"/>
                <w:szCs w:val="18"/>
              </w:rPr>
            </w:pPr>
            <w:r w:rsidRPr="009E35ED">
              <w:rPr>
                <w:rFonts w:ascii="Arial Narrow" w:hAnsi="Arial Narrow"/>
                <w:color w:val="000000" w:themeColor="text1"/>
                <w:sz w:val="18"/>
                <w:szCs w:val="18"/>
              </w:rPr>
              <w:t xml:space="preserve"> 3,486.80 </w:t>
            </w:r>
          </w:p>
        </w:tc>
      </w:tr>
      <w:tr w:rsidR="00997F75" w:rsidRPr="009E35ED" w14:paraId="24A1EE36" w14:textId="77777777" w:rsidTr="00FF441D">
        <w:trPr>
          <w:trHeight w:val="134"/>
        </w:trPr>
        <w:tc>
          <w:tcPr>
            <w:tcW w:w="7180" w:type="dxa"/>
            <w:gridSpan w:val="2"/>
            <w:shd w:val="clear" w:color="auto" w:fill="auto"/>
            <w:noWrap/>
          </w:tcPr>
          <w:p w14:paraId="3EDFC37B" w14:textId="306CC99A" w:rsidR="00FB1C34" w:rsidRPr="009E35ED" w:rsidRDefault="00FB1C34" w:rsidP="00FF441D">
            <w:pPr>
              <w:ind w:left="-108"/>
              <w:jc w:val="left"/>
              <w:rPr>
                <w:rFonts w:ascii="Arial Narrow" w:hAnsi="Arial Narrow" w:cs="Arial"/>
                <w:color w:val="000000" w:themeColor="text1"/>
                <w:sz w:val="18"/>
                <w:szCs w:val="18"/>
              </w:rPr>
            </w:pPr>
            <w:r w:rsidRPr="009E35ED">
              <w:rPr>
                <w:rFonts w:ascii="Arial Narrow" w:hAnsi="Arial Narrow"/>
                <w:color w:val="000000" w:themeColor="text1"/>
                <w:sz w:val="18"/>
                <w:szCs w:val="18"/>
              </w:rPr>
              <w:t xml:space="preserve">Adjustment/Recording of Depreciation </w:t>
            </w:r>
            <w:r w:rsidR="00DB59F6">
              <w:rPr>
                <w:rFonts w:ascii="Arial Narrow" w:hAnsi="Arial Narrow"/>
                <w:color w:val="000000" w:themeColor="text1"/>
                <w:sz w:val="18"/>
                <w:szCs w:val="18"/>
              </w:rPr>
              <w:t>e</w:t>
            </w:r>
            <w:r w:rsidRPr="009E35ED">
              <w:rPr>
                <w:rFonts w:ascii="Arial Narrow" w:hAnsi="Arial Narrow"/>
                <w:color w:val="000000" w:themeColor="text1"/>
                <w:sz w:val="18"/>
                <w:szCs w:val="18"/>
              </w:rPr>
              <w:t>xpenses-</w:t>
            </w:r>
            <w:r w:rsidR="00DB59F6">
              <w:rPr>
                <w:rFonts w:ascii="Arial Narrow" w:hAnsi="Arial Narrow"/>
                <w:color w:val="000000" w:themeColor="text1"/>
                <w:sz w:val="18"/>
                <w:szCs w:val="18"/>
              </w:rPr>
              <w:t>o</w:t>
            </w:r>
            <w:r w:rsidRPr="009E35ED">
              <w:rPr>
                <w:rFonts w:ascii="Arial Narrow" w:hAnsi="Arial Narrow"/>
                <w:color w:val="000000" w:themeColor="text1"/>
                <w:sz w:val="18"/>
                <w:szCs w:val="18"/>
              </w:rPr>
              <w:t xml:space="preserve">ther </w:t>
            </w:r>
            <w:r w:rsidR="00DB59F6">
              <w:rPr>
                <w:rFonts w:ascii="Arial Narrow" w:hAnsi="Arial Narrow"/>
                <w:color w:val="000000" w:themeColor="text1"/>
                <w:sz w:val="18"/>
                <w:szCs w:val="18"/>
              </w:rPr>
              <w:t>m</w:t>
            </w:r>
            <w:r w:rsidRPr="009E35ED">
              <w:rPr>
                <w:rFonts w:ascii="Arial Narrow" w:hAnsi="Arial Narrow"/>
                <w:color w:val="000000" w:themeColor="text1"/>
                <w:sz w:val="18"/>
                <w:szCs w:val="18"/>
              </w:rPr>
              <w:t xml:space="preserve">achinery and </w:t>
            </w:r>
            <w:r w:rsidR="00DB59F6">
              <w:rPr>
                <w:rFonts w:ascii="Arial Narrow" w:hAnsi="Arial Narrow"/>
                <w:color w:val="000000" w:themeColor="text1"/>
                <w:sz w:val="18"/>
                <w:szCs w:val="18"/>
              </w:rPr>
              <w:t>e</w:t>
            </w:r>
            <w:r w:rsidRPr="009E35ED">
              <w:rPr>
                <w:rFonts w:ascii="Arial Narrow" w:hAnsi="Arial Narrow"/>
                <w:color w:val="000000" w:themeColor="text1"/>
                <w:sz w:val="18"/>
                <w:szCs w:val="18"/>
              </w:rPr>
              <w:t>quipment-</w:t>
            </w:r>
            <w:r w:rsidR="00DB59F6">
              <w:rPr>
                <w:rFonts w:ascii="Arial Narrow" w:hAnsi="Arial Narrow"/>
                <w:color w:val="000000" w:themeColor="text1"/>
                <w:sz w:val="18"/>
                <w:szCs w:val="18"/>
              </w:rPr>
              <w:t>b</w:t>
            </w:r>
            <w:r w:rsidRPr="009E35ED">
              <w:rPr>
                <w:rFonts w:ascii="Arial Narrow" w:hAnsi="Arial Narrow"/>
                <w:color w:val="000000" w:themeColor="text1"/>
                <w:sz w:val="18"/>
                <w:szCs w:val="18"/>
              </w:rPr>
              <w:t>ranches</w:t>
            </w:r>
          </w:p>
        </w:tc>
        <w:tc>
          <w:tcPr>
            <w:tcW w:w="1460" w:type="dxa"/>
            <w:shd w:val="clear" w:color="auto" w:fill="auto"/>
            <w:noWrap/>
          </w:tcPr>
          <w:p w14:paraId="295B0A2B" w14:textId="78F2385A" w:rsidR="00FB1C34" w:rsidRPr="009E35ED" w:rsidRDefault="00FB1C34" w:rsidP="00FF441D">
            <w:pPr>
              <w:ind w:left="0" w:right="-112"/>
              <w:jc w:val="right"/>
              <w:rPr>
                <w:rFonts w:ascii="Arial Narrow" w:hAnsi="Arial Narrow"/>
                <w:color w:val="000000" w:themeColor="text1"/>
                <w:sz w:val="18"/>
                <w:szCs w:val="18"/>
              </w:rPr>
            </w:pPr>
            <w:r w:rsidRPr="009E35ED">
              <w:rPr>
                <w:rFonts w:ascii="Arial Narrow" w:hAnsi="Arial Narrow"/>
                <w:color w:val="000000" w:themeColor="text1"/>
                <w:sz w:val="18"/>
                <w:szCs w:val="18"/>
              </w:rPr>
              <w:t>(69,210.94)</w:t>
            </w:r>
          </w:p>
        </w:tc>
      </w:tr>
      <w:tr w:rsidR="00997F75" w:rsidRPr="009E35ED" w14:paraId="3F35F4F5" w14:textId="77777777" w:rsidTr="00FF441D">
        <w:trPr>
          <w:trHeight w:val="134"/>
        </w:trPr>
        <w:tc>
          <w:tcPr>
            <w:tcW w:w="7180" w:type="dxa"/>
            <w:gridSpan w:val="2"/>
            <w:shd w:val="clear" w:color="auto" w:fill="auto"/>
            <w:noWrap/>
          </w:tcPr>
          <w:p w14:paraId="681135DC" w14:textId="18ADC0C6" w:rsidR="00FB1C34" w:rsidRPr="009E35ED" w:rsidRDefault="00FB1C34" w:rsidP="00FF441D">
            <w:pPr>
              <w:ind w:left="-108"/>
              <w:jc w:val="left"/>
              <w:rPr>
                <w:rFonts w:ascii="Arial Narrow" w:hAnsi="Arial Narrow"/>
                <w:color w:val="000000" w:themeColor="text1"/>
                <w:sz w:val="18"/>
                <w:szCs w:val="18"/>
              </w:rPr>
            </w:pPr>
            <w:r w:rsidRPr="009E35ED">
              <w:rPr>
                <w:rFonts w:ascii="Arial Narrow" w:hAnsi="Arial Narrow"/>
                <w:color w:val="000000" w:themeColor="text1"/>
                <w:sz w:val="18"/>
                <w:szCs w:val="18"/>
              </w:rPr>
              <w:t xml:space="preserve">Adjustment/Recording of Furniture and </w:t>
            </w:r>
            <w:r w:rsidR="00DB59F6">
              <w:rPr>
                <w:rFonts w:ascii="Arial Narrow" w:hAnsi="Arial Narrow"/>
                <w:color w:val="000000" w:themeColor="text1"/>
                <w:sz w:val="18"/>
                <w:szCs w:val="18"/>
              </w:rPr>
              <w:t>f</w:t>
            </w:r>
            <w:r w:rsidRPr="009E35ED">
              <w:rPr>
                <w:rFonts w:ascii="Arial Narrow" w:hAnsi="Arial Narrow"/>
                <w:color w:val="000000" w:themeColor="text1"/>
                <w:sz w:val="18"/>
                <w:szCs w:val="18"/>
              </w:rPr>
              <w:t>ixtures-</w:t>
            </w:r>
            <w:r w:rsidR="00DB59F6">
              <w:rPr>
                <w:rFonts w:ascii="Arial Narrow" w:hAnsi="Arial Narrow"/>
                <w:color w:val="000000" w:themeColor="text1"/>
                <w:sz w:val="18"/>
                <w:szCs w:val="18"/>
              </w:rPr>
              <w:t>b</w:t>
            </w:r>
            <w:r w:rsidRPr="009E35ED">
              <w:rPr>
                <w:rFonts w:ascii="Arial Narrow" w:hAnsi="Arial Narrow"/>
                <w:color w:val="000000" w:themeColor="text1"/>
                <w:sz w:val="18"/>
                <w:szCs w:val="18"/>
              </w:rPr>
              <w:t>ranches</w:t>
            </w:r>
          </w:p>
        </w:tc>
        <w:tc>
          <w:tcPr>
            <w:tcW w:w="1460" w:type="dxa"/>
            <w:shd w:val="clear" w:color="auto" w:fill="auto"/>
            <w:noWrap/>
          </w:tcPr>
          <w:p w14:paraId="774C250A" w14:textId="03FA4644" w:rsidR="00FB1C34" w:rsidRPr="009E35ED" w:rsidRDefault="00FB1C34" w:rsidP="00FF441D">
            <w:pPr>
              <w:ind w:left="0" w:right="-112"/>
              <w:jc w:val="right"/>
              <w:rPr>
                <w:rFonts w:ascii="Arial Narrow" w:hAnsi="Arial Narrow"/>
                <w:color w:val="000000" w:themeColor="text1"/>
                <w:sz w:val="18"/>
                <w:szCs w:val="18"/>
              </w:rPr>
            </w:pPr>
            <w:r w:rsidRPr="009E35ED">
              <w:rPr>
                <w:rFonts w:ascii="Arial Narrow" w:hAnsi="Arial Narrow"/>
                <w:color w:val="000000" w:themeColor="text1"/>
                <w:sz w:val="18"/>
                <w:szCs w:val="18"/>
              </w:rPr>
              <w:t xml:space="preserve"> (49,140.00)</w:t>
            </w:r>
          </w:p>
        </w:tc>
      </w:tr>
      <w:tr w:rsidR="00997F75" w:rsidRPr="009E35ED" w14:paraId="718DEFC4" w14:textId="77777777" w:rsidTr="00FF441D">
        <w:trPr>
          <w:trHeight w:val="134"/>
        </w:trPr>
        <w:tc>
          <w:tcPr>
            <w:tcW w:w="7180" w:type="dxa"/>
            <w:gridSpan w:val="2"/>
            <w:shd w:val="clear" w:color="auto" w:fill="auto"/>
            <w:noWrap/>
          </w:tcPr>
          <w:p w14:paraId="48B6D78B" w14:textId="48060C7C" w:rsidR="00FB1C34" w:rsidRPr="009E35ED" w:rsidRDefault="00FB1C34" w:rsidP="00FF441D">
            <w:pPr>
              <w:ind w:left="-108"/>
              <w:jc w:val="left"/>
              <w:rPr>
                <w:rFonts w:ascii="Arial Narrow" w:hAnsi="Arial Narrow"/>
                <w:color w:val="000000" w:themeColor="text1"/>
                <w:sz w:val="18"/>
                <w:szCs w:val="18"/>
              </w:rPr>
            </w:pPr>
            <w:r w:rsidRPr="009E35ED">
              <w:rPr>
                <w:rFonts w:ascii="Arial Narrow" w:hAnsi="Arial Narrow"/>
                <w:color w:val="000000" w:themeColor="text1"/>
                <w:sz w:val="18"/>
                <w:szCs w:val="18"/>
              </w:rPr>
              <w:t xml:space="preserve">Adjustment/Recording of Depreciation </w:t>
            </w:r>
            <w:r w:rsidR="00DB59F6">
              <w:rPr>
                <w:rFonts w:ascii="Arial Narrow" w:hAnsi="Arial Narrow"/>
                <w:color w:val="000000" w:themeColor="text1"/>
                <w:sz w:val="18"/>
                <w:szCs w:val="18"/>
              </w:rPr>
              <w:t>e</w:t>
            </w:r>
            <w:r w:rsidRPr="009E35ED">
              <w:rPr>
                <w:rFonts w:ascii="Arial Narrow" w:hAnsi="Arial Narrow"/>
                <w:color w:val="000000" w:themeColor="text1"/>
                <w:sz w:val="18"/>
                <w:szCs w:val="18"/>
              </w:rPr>
              <w:t>xpenses-</w:t>
            </w:r>
            <w:r w:rsidR="00DB59F6">
              <w:rPr>
                <w:rFonts w:ascii="Arial Narrow" w:hAnsi="Arial Narrow"/>
                <w:color w:val="000000" w:themeColor="text1"/>
                <w:sz w:val="18"/>
                <w:szCs w:val="18"/>
              </w:rPr>
              <w:t>f</w:t>
            </w:r>
            <w:r w:rsidRPr="009E35ED">
              <w:rPr>
                <w:rFonts w:ascii="Arial Narrow" w:hAnsi="Arial Narrow"/>
                <w:color w:val="000000" w:themeColor="text1"/>
                <w:sz w:val="18"/>
                <w:szCs w:val="18"/>
              </w:rPr>
              <w:t xml:space="preserve">urniture and </w:t>
            </w:r>
            <w:r w:rsidR="00DB59F6">
              <w:rPr>
                <w:rFonts w:ascii="Arial Narrow" w:hAnsi="Arial Narrow"/>
                <w:color w:val="000000" w:themeColor="text1"/>
                <w:sz w:val="18"/>
                <w:szCs w:val="18"/>
              </w:rPr>
              <w:t>f</w:t>
            </w:r>
            <w:r w:rsidRPr="009E35ED">
              <w:rPr>
                <w:rFonts w:ascii="Arial Narrow" w:hAnsi="Arial Narrow"/>
                <w:color w:val="000000" w:themeColor="text1"/>
                <w:sz w:val="18"/>
                <w:szCs w:val="18"/>
              </w:rPr>
              <w:t>ixtures-</w:t>
            </w:r>
            <w:r w:rsidR="00DB59F6">
              <w:rPr>
                <w:rFonts w:ascii="Arial Narrow" w:hAnsi="Arial Narrow"/>
                <w:color w:val="000000" w:themeColor="text1"/>
                <w:sz w:val="18"/>
                <w:szCs w:val="18"/>
              </w:rPr>
              <w:t>b</w:t>
            </w:r>
            <w:r w:rsidRPr="009E35ED">
              <w:rPr>
                <w:rFonts w:ascii="Arial Narrow" w:hAnsi="Arial Narrow"/>
                <w:color w:val="000000" w:themeColor="text1"/>
                <w:sz w:val="18"/>
                <w:szCs w:val="18"/>
              </w:rPr>
              <w:t>ranches</w:t>
            </w:r>
          </w:p>
        </w:tc>
        <w:tc>
          <w:tcPr>
            <w:tcW w:w="1460" w:type="dxa"/>
            <w:shd w:val="clear" w:color="auto" w:fill="auto"/>
            <w:noWrap/>
          </w:tcPr>
          <w:p w14:paraId="2977BCAD" w14:textId="78E12F91" w:rsidR="00FB1C34" w:rsidRPr="009E35ED" w:rsidRDefault="00FB1C34" w:rsidP="00FF441D">
            <w:pPr>
              <w:ind w:left="0" w:right="-112"/>
              <w:jc w:val="right"/>
              <w:rPr>
                <w:rFonts w:ascii="Arial Narrow" w:hAnsi="Arial Narrow"/>
                <w:color w:val="000000" w:themeColor="text1"/>
                <w:sz w:val="18"/>
                <w:szCs w:val="18"/>
              </w:rPr>
            </w:pPr>
            <w:r w:rsidRPr="009E35ED">
              <w:rPr>
                <w:rFonts w:ascii="Arial Narrow" w:hAnsi="Arial Narrow"/>
                <w:color w:val="000000" w:themeColor="text1"/>
                <w:sz w:val="18"/>
                <w:szCs w:val="18"/>
              </w:rPr>
              <w:t xml:space="preserve"> (79,867.61)</w:t>
            </w:r>
          </w:p>
        </w:tc>
      </w:tr>
      <w:tr w:rsidR="00997F75" w:rsidRPr="009E35ED" w14:paraId="56417C5F" w14:textId="77777777" w:rsidTr="00FF441D">
        <w:trPr>
          <w:trHeight w:val="134"/>
        </w:trPr>
        <w:tc>
          <w:tcPr>
            <w:tcW w:w="7180" w:type="dxa"/>
            <w:gridSpan w:val="2"/>
            <w:shd w:val="clear" w:color="auto" w:fill="auto"/>
            <w:noWrap/>
          </w:tcPr>
          <w:p w14:paraId="4DC78C76" w14:textId="754AAE79" w:rsidR="00FB1C34" w:rsidRPr="009E35ED" w:rsidRDefault="00FB1C34" w:rsidP="00FF441D">
            <w:pPr>
              <w:ind w:left="-108"/>
              <w:jc w:val="left"/>
              <w:rPr>
                <w:rFonts w:ascii="Arial Narrow" w:hAnsi="Arial Narrow" w:cs="Arial"/>
                <w:color w:val="000000" w:themeColor="text1"/>
                <w:sz w:val="18"/>
                <w:szCs w:val="18"/>
              </w:rPr>
            </w:pPr>
            <w:r w:rsidRPr="009E35ED">
              <w:rPr>
                <w:rFonts w:ascii="Arial Narrow" w:hAnsi="Arial Narrow"/>
                <w:color w:val="000000" w:themeColor="text1"/>
                <w:sz w:val="18"/>
                <w:szCs w:val="18"/>
              </w:rPr>
              <w:t xml:space="preserve">Adjustment/Recording of Other </w:t>
            </w:r>
            <w:r w:rsidR="00DB59F6">
              <w:rPr>
                <w:rFonts w:ascii="Arial Narrow" w:hAnsi="Arial Narrow"/>
                <w:color w:val="000000" w:themeColor="text1"/>
                <w:sz w:val="18"/>
                <w:szCs w:val="18"/>
              </w:rPr>
              <w:t>p</w:t>
            </w:r>
            <w:r w:rsidRPr="009E35ED">
              <w:rPr>
                <w:rFonts w:ascii="Arial Narrow" w:hAnsi="Arial Narrow"/>
                <w:color w:val="000000" w:themeColor="text1"/>
                <w:sz w:val="18"/>
                <w:szCs w:val="18"/>
              </w:rPr>
              <w:t xml:space="preserve">roperty, </w:t>
            </w:r>
            <w:r w:rsidR="00DB59F6">
              <w:rPr>
                <w:rFonts w:ascii="Arial Narrow" w:hAnsi="Arial Narrow"/>
                <w:color w:val="000000" w:themeColor="text1"/>
                <w:sz w:val="18"/>
                <w:szCs w:val="18"/>
              </w:rPr>
              <w:t>p</w:t>
            </w:r>
            <w:r w:rsidRPr="009E35ED">
              <w:rPr>
                <w:rFonts w:ascii="Arial Narrow" w:hAnsi="Arial Narrow"/>
                <w:color w:val="000000" w:themeColor="text1"/>
                <w:sz w:val="18"/>
                <w:szCs w:val="18"/>
              </w:rPr>
              <w:t xml:space="preserve">lant  and </w:t>
            </w:r>
            <w:r w:rsidR="00DB59F6">
              <w:rPr>
                <w:rFonts w:ascii="Arial Narrow" w:hAnsi="Arial Narrow"/>
                <w:color w:val="000000" w:themeColor="text1"/>
                <w:sz w:val="18"/>
                <w:szCs w:val="18"/>
              </w:rPr>
              <w:t>e</w:t>
            </w:r>
            <w:r w:rsidRPr="009E35ED">
              <w:rPr>
                <w:rFonts w:ascii="Arial Narrow" w:hAnsi="Arial Narrow"/>
                <w:color w:val="000000" w:themeColor="text1"/>
                <w:sz w:val="18"/>
                <w:szCs w:val="18"/>
              </w:rPr>
              <w:t>quipment-</w:t>
            </w:r>
            <w:r w:rsidR="00DB59F6">
              <w:rPr>
                <w:rFonts w:ascii="Arial Narrow" w:hAnsi="Arial Narrow"/>
                <w:color w:val="000000" w:themeColor="text1"/>
                <w:sz w:val="18"/>
                <w:szCs w:val="18"/>
              </w:rPr>
              <w:t>b</w:t>
            </w:r>
            <w:r w:rsidRPr="009E35ED">
              <w:rPr>
                <w:rFonts w:ascii="Arial Narrow" w:hAnsi="Arial Narrow"/>
                <w:color w:val="000000" w:themeColor="text1"/>
                <w:sz w:val="18"/>
                <w:szCs w:val="18"/>
              </w:rPr>
              <w:t>ranches</w:t>
            </w:r>
          </w:p>
        </w:tc>
        <w:tc>
          <w:tcPr>
            <w:tcW w:w="1460" w:type="dxa"/>
            <w:shd w:val="clear" w:color="auto" w:fill="auto"/>
            <w:noWrap/>
          </w:tcPr>
          <w:p w14:paraId="7B6469F3" w14:textId="52EB1530" w:rsidR="00FB1C34" w:rsidRPr="009E35ED" w:rsidRDefault="00FB1C34" w:rsidP="00FF441D">
            <w:pPr>
              <w:ind w:left="0" w:right="-112"/>
              <w:jc w:val="right"/>
              <w:rPr>
                <w:rFonts w:ascii="Arial Narrow" w:hAnsi="Arial Narrow"/>
                <w:color w:val="000000" w:themeColor="text1"/>
                <w:sz w:val="18"/>
                <w:szCs w:val="18"/>
              </w:rPr>
            </w:pPr>
            <w:r w:rsidRPr="009E35ED">
              <w:rPr>
                <w:rFonts w:ascii="Arial Narrow" w:hAnsi="Arial Narrow"/>
                <w:color w:val="000000" w:themeColor="text1"/>
                <w:sz w:val="18"/>
                <w:szCs w:val="18"/>
              </w:rPr>
              <w:t xml:space="preserve"> 32,903.35 </w:t>
            </w:r>
          </w:p>
        </w:tc>
      </w:tr>
      <w:tr w:rsidR="00997F75" w:rsidRPr="009E35ED" w14:paraId="35799802" w14:textId="77777777" w:rsidTr="00FF441D">
        <w:trPr>
          <w:trHeight w:val="134"/>
        </w:trPr>
        <w:tc>
          <w:tcPr>
            <w:tcW w:w="7180" w:type="dxa"/>
            <w:gridSpan w:val="2"/>
            <w:shd w:val="clear" w:color="auto" w:fill="auto"/>
            <w:noWrap/>
          </w:tcPr>
          <w:p w14:paraId="19AC104E" w14:textId="4A44C0B1" w:rsidR="00FB1C34" w:rsidRPr="009E35ED" w:rsidRDefault="00FB1C34" w:rsidP="00FF441D">
            <w:pPr>
              <w:ind w:left="-108"/>
              <w:jc w:val="left"/>
              <w:rPr>
                <w:rFonts w:ascii="Arial Narrow" w:hAnsi="Arial Narrow" w:cs="Arial"/>
                <w:color w:val="000000" w:themeColor="text1"/>
                <w:sz w:val="18"/>
                <w:szCs w:val="18"/>
              </w:rPr>
            </w:pPr>
            <w:r w:rsidRPr="009E35ED">
              <w:rPr>
                <w:rFonts w:ascii="Arial Narrow" w:hAnsi="Arial Narrow"/>
                <w:color w:val="000000" w:themeColor="text1"/>
                <w:sz w:val="18"/>
                <w:szCs w:val="18"/>
              </w:rPr>
              <w:t xml:space="preserve">Adjustment/Recording of Depreciation </w:t>
            </w:r>
            <w:r w:rsidR="00DB59F6">
              <w:rPr>
                <w:rFonts w:ascii="Arial Narrow" w:hAnsi="Arial Narrow"/>
                <w:color w:val="000000" w:themeColor="text1"/>
                <w:sz w:val="18"/>
                <w:szCs w:val="18"/>
              </w:rPr>
              <w:t>e</w:t>
            </w:r>
            <w:r w:rsidRPr="009E35ED">
              <w:rPr>
                <w:rFonts w:ascii="Arial Narrow" w:hAnsi="Arial Narrow"/>
                <w:color w:val="000000" w:themeColor="text1"/>
                <w:sz w:val="18"/>
                <w:szCs w:val="18"/>
              </w:rPr>
              <w:t>xpenses-</w:t>
            </w:r>
            <w:r w:rsidR="00DB59F6">
              <w:rPr>
                <w:rFonts w:ascii="Arial Narrow" w:hAnsi="Arial Narrow"/>
                <w:color w:val="000000" w:themeColor="text1"/>
                <w:sz w:val="18"/>
                <w:szCs w:val="18"/>
              </w:rPr>
              <w:t>o</w:t>
            </w:r>
            <w:r w:rsidRPr="009E35ED">
              <w:rPr>
                <w:rFonts w:ascii="Arial Narrow" w:hAnsi="Arial Narrow"/>
                <w:color w:val="000000" w:themeColor="text1"/>
                <w:sz w:val="18"/>
                <w:szCs w:val="18"/>
              </w:rPr>
              <w:t xml:space="preserve">ther </w:t>
            </w:r>
            <w:r w:rsidR="00DB59F6">
              <w:rPr>
                <w:rFonts w:ascii="Arial Narrow" w:hAnsi="Arial Narrow"/>
                <w:color w:val="000000" w:themeColor="text1"/>
                <w:sz w:val="18"/>
                <w:szCs w:val="18"/>
              </w:rPr>
              <w:t>p</w:t>
            </w:r>
            <w:r w:rsidRPr="009E35ED">
              <w:rPr>
                <w:rFonts w:ascii="Arial Narrow" w:hAnsi="Arial Narrow"/>
                <w:color w:val="000000" w:themeColor="text1"/>
                <w:sz w:val="18"/>
                <w:szCs w:val="18"/>
              </w:rPr>
              <w:t xml:space="preserve">roperty, </w:t>
            </w:r>
            <w:r w:rsidR="00DB59F6">
              <w:rPr>
                <w:rFonts w:ascii="Arial Narrow" w:hAnsi="Arial Narrow"/>
                <w:color w:val="000000" w:themeColor="text1"/>
                <w:sz w:val="18"/>
                <w:szCs w:val="18"/>
              </w:rPr>
              <w:t>p</w:t>
            </w:r>
            <w:r w:rsidRPr="009E35ED">
              <w:rPr>
                <w:rFonts w:ascii="Arial Narrow" w:hAnsi="Arial Narrow"/>
                <w:color w:val="000000" w:themeColor="text1"/>
                <w:sz w:val="18"/>
                <w:szCs w:val="18"/>
              </w:rPr>
              <w:t xml:space="preserve">lant  and </w:t>
            </w:r>
            <w:r w:rsidR="00DB59F6">
              <w:rPr>
                <w:rFonts w:ascii="Arial Narrow" w:hAnsi="Arial Narrow"/>
                <w:color w:val="000000" w:themeColor="text1"/>
                <w:sz w:val="18"/>
                <w:szCs w:val="18"/>
              </w:rPr>
              <w:t>e</w:t>
            </w:r>
            <w:r w:rsidRPr="009E35ED">
              <w:rPr>
                <w:rFonts w:ascii="Arial Narrow" w:hAnsi="Arial Narrow"/>
                <w:color w:val="000000" w:themeColor="text1"/>
                <w:sz w:val="18"/>
                <w:szCs w:val="18"/>
              </w:rPr>
              <w:t>quipment-</w:t>
            </w:r>
            <w:r w:rsidR="00DB59F6">
              <w:rPr>
                <w:rFonts w:ascii="Arial Narrow" w:hAnsi="Arial Narrow"/>
                <w:color w:val="000000" w:themeColor="text1"/>
                <w:sz w:val="18"/>
                <w:szCs w:val="18"/>
              </w:rPr>
              <w:t>b</w:t>
            </w:r>
            <w:r w:rsidRPr="009E35ED">
              <w:rPr>
                <w:rFonts w:ascii="Arial Narrow" w:hAnsi="Arial Narrow"/>
                <w:color w:val="000000" w:themeColor="text1"/>
                <w:sz w:val="18"/>
                <w:szCs w:val="18"/>
              </w:rPr>
              <w:t>ranches</w:t>
            </w:r>
          </w:p>
        </w:tc>
        <w:tc>
          <w:tcPr>
            <w:tcW w:w="1460" w:type="dxa"/>
            <w:shd w:val="clear" w:color="auto" w:fill="auto"/>
            <w:noWrap/>
          </w:tcPr>
          <w:p w14:paraId="78FA4D6F" w14:textId="6F52FE25" w:rsidR="00FB1C34" w:rsidRPr="009E35ED" w:rsidRDefault="00FB1C34" w:rsidP="00FF441D">
            <w:pPr>
              <w:ind w:left="0" w:right="-112"/>
              <w:jc w:val="right"/>
              <w:rPr>
                <w:rFonts w:ascii="Arial Narrow" w:hAnsi="Arial Narrow"/>
                <w:color w:val="000000" w:themeColor="text1"/>
                <w:sz w:val="18"/>
                <w:szCs w:val="18"/>
              </w:rPr>
            </w:pPr>
            <w:r w:rsidRPr="009E35ED">
              <w:rPr>
                <w:rFonts w:ascii="Arial Narrow" w:hAnsi="Arial Narrow"/>
                <w:color w:val="000000" w:themeColor="text1"/>
                <w:sz w:val="18"/>
                <w:szCs w:val="18"/>
              </w:rPr>
              <w:t xml:space="preserve"> 7,846.00 </w:t>
            </w:r>
          </w:p>
        </w:tc>
      </w:tr>
      <w:tr w:rsidR="00997F75" w:rsidRPr="009E35ED" w14:paraId="5BC0F425" w14:textId="77777777" w:rsidTr="00FF441D">
        <w:trPr>
          <w:trHeight w:val="80"/>
        </w:trPr>
        <w:tc>
          <w:tcPr>
            <w:tcW w:w="7180" w:type="dxa"/>
            <w:gridSpan w:val="2"/>
            <w:tcBorders>
              <w:top w:val="single" w:sz="4" w:space="0" w:color="auto"/>
              <w:bottom w:val="double" w:sz="4" w:space="0" w:color="auto"/>
            </w:tcBorders>
            <w:shd w:val="clear" w:color="auto" w:fill="auto"/>
            <w:noWrap/>
            <w:hideMark/>
          </w:tcPr>
          <w:p w14:paraId="2337F2C9" w14:textId="25F6C296" w:rsidR="00FB1C34" w:rsidRPr="009E35ED" w:rsidRDefault="00FB1C34" w:rsidP="00FB1C34">
            <w:pPr>
              <w:ind w:left="0"/>
              <w:jc w:val="left"/>
              <w:rPr>
                <w:rFonts w:ascii="Arial Narrow" w:hAnsi="Arial Narrow"/>
                <w:b/>
                <w:bCs/>
                <w:color w:val="000000" w:themeColor="text1"/>
                <w:sz w:val="18"/>
                <w:szCs w:val="18"/>
              </w:rPr>
            </w:pPr>
            <w:r w:rsidRPr="009E35ED">
              <w:rPr>
                <w:rFonts w:ascii="Arial Narrow" w:hAnsi="Arial Narrow"/>
                <w:b/>
                <w:bCs/>
                <w:color w:val="000000" w:themeColor="text1"/>
                <w:sz w:val="18"/>
                <w:szCs w:val="18"/>
              </w:rPr>
              <w:t>Restated Amount as of December 31, 2022 -Office Furniture, Equipment and Machineries</w:t>
            </w:r>
          </w:p>
        </w:tc>
        <w:tc>
          <w:tcPr>
            <w:tcW w:w="1460" w:type="dxa"/>
            <w:tcBorders>
              <w:top w:val="single" w:sz="4" w:space="0" w:color="auto"/>
              <w:bottom w:val="double" w:sz="4" w:space="0" w:color="auto"/>
            </w:tcBorders>
            <w:shd w:val="clear" w:color="auto" w:fill="auto"/>
            <w:noWrap/>
          </w:tcPr>
          <w:p w14:paraId="3469D945" w14:textId="4A71E8AE" w:rsidR="00FB1C34" w:rsidRPr="009E35ED" w:rsidRDefault="00484BDE" w:rsidP="00FF441D">
            <w:pPr>
              <w:ind w:left="0" w:right="-112"/>
              <w:jc w:val="right"/>
              <w:rPr>
                <w:rFonts w:ascii="Arial Narrow" w:hAnsi="Arial Narrow"/>
                <w:b/>
                <w:bCs/>
                <w:color w:val="000000" w:themeColor="text1"/>
                <w:sz w:val="18"/>
                <w:szCs w:val="18"/>
              </w:rPr>
            </w:pPr>
            <w:r w:rsidRPr="009E35ED">
              <w:rPr>
                <w:rFonts w:ascii="Arial Narrow" w:hAnsi="Arial Narrow"/>
                <w:b/>
                <w:bCs/>
                <w:color w:val="000000" w:themeColor="text1"/>
                <w:sz w:val="18"/>
                <w:szCs w:val="18"/>
              </w:rPr>
              <w:t>151,535,</w:t>
            </w:r>
            <w:r w:rsidR="006E6DAC" w:rsidRPr="009E35ED">
              <w:rPr>
                <w:rFonts w:ascii="Arial Narrow" w:hAnsi="Arial Narrow"/>
                <w:b/>
                <w:bCs/>
                <w:color w:val="000000" w:themeColor="text1"/>
                <w:sz w:val="18"/>
                <w:szCs w:val="18"/>
              </w:rPr>
              <w:t>56</w:t>
            </w:r>
            <w:r w:rsidR="006E6DAC">
              <w:rPr>
                <w:rFonts w:ascii="Arial Narrow" w:hAnsi="Arial Narrow"/>
                <w:b/>
                <w:bCs/>
                <w:color w:val="000000" w:themeColor="text1"/>
                <w:sz w:val="18"/>
                <w:szCs w:val="18"/>
              </w:rPr>
              <w:t>1</w:t>
            </w:r>
          </w:p>
        </w:tc>
      </w:tr>
      <w:tr w:rsidR="00997F75" w:rsidRPr="009E35ED" w14:paraId="702DF529" w14:textId="77777777" w:rsidTr="00FF441D">
        <w:trPr>
          <w:trHeight w:val="281"/>
        </w:trPr>
        <w:tc>
          <w:tcPr>
            <w:tcW w:w="7180" w:type="dxa"/>
            <w:gridSpan w:val="2"/>
            <w:tcBorders>
              <w:top w:val="double" w:sz="4" w:space="0" w:color="auto"/>
            </w:tcBorders>
            <w:shd w:val="clear" w:color="auto" w:fill="auto"/>
            <w:noWrap/>
            <w:hideMark/>
          </w:tcPr>
          <w:p w14:paraId="2A618AA1" w14:textId="77777777" w:rsidR="001C2255" w:rsidRPr="009E35ED" w:rsidRDefault="001C2255" w:rsidP="00FF441D">
            <w:pPr>
              <w:ind w:left="-108"/>
              <w:jc w:val="left"/>
              <w:rPr>
                <w:rFonts w:ascii="Arial Narrow" w:hAnsi="Arial Narrow"/>
                <w:color w:val="000000" w:themeColor="text1"/>
                <w:sz w:val="18"/>
                <w:szCs w:val="22"/>
              </w:rPr>
            </w:pPr>
          </w:p>
          <w:p w14:paraId="1015390D" w14:textId="4AA12CBA" w:rsidR="00B5638F" w:rsidRPr="009E35ED" w:rsidRDefault="00B5638F" w:rsidP="00FF441D">
            <w:pPr>
              <w:ind w:left="-108"/>
              <w:jc w:val="left"/>
              <w:rPr>
                <w:rFonts w:ascii="Arial Narrow" w:hAnsi="Arial Narrow" w:cs="Arial"/>
                <w:color w:val="000000" w:themeColor="text1"/>
                <w:sz w:val="18"/>
                <w:szCs w:val="22"/>
                <w:lang w:val="en-PH" w:eastAsia="en-PH"/>
              </w:rPr>
            </w:pPr>
            <w:r w:rsidRPr="009E35ED">
              <w:rPr>
                <w:rFonts w:ascii="Arial Narrow" w:hAnsi="Arial Narrow"/>
                <w:color w:val="000000" w:themeColor="text1"/>
                <w:sz w:val="18"/>
                <w:szCs w:val="22"/>
              </w:rPr>
              <w:t xml:space="preserve">Unrestated </w:t>
            </w:r>
            <w:r w:rsidR="0094580B">
              <w:rPr>
                <w:rFonts w:ascii="Arial Narrow" w:hAnsi="Arial Narrow"/>
                <w:color w:val="000000" w:themeColor="text1"/>
                <w:sz w:val="18"/>
                <w:szCs w:val="22"/>
              </w:rPr>
              <w:t>a</w:t>
            </w:r>
            <w:r w:rsidRPr="009E35ED">
              <w:rPr>
                <w:rFonts w:ascii="Arial Narrow" w:hAnsi="Arial Narrow"/>
                <w:color w:val="000000" w:themeColor="text1"/>
                <w:sz w:val="18"/>
                <w:szCs w:val="22"/>
              </w:rPr>
              <w:t>mount as of December 31, 2022</w:t>
            </w:r>
          </w:p>
        </w:tc>
        <w:tc>
          <w:tcPr>
            <w:tcW w:w="1460" w:type="dxa"/>
            <w:tcBorders>
              <w:top w:val="double" w:sz="4" w:space="0" w:color="auto"/>
            </w:tcBorders>
            <w:shd w:val="clear" w:color="auto" w:fill="auto"/>
            <w:noWrap/>
            <w:hideMark/>
          </w:tcPr>
          <w:p w14:paraId="330D6058" w14:textId="77777777" w:rsidR="001C2255" w:rsidRPr="009E35ED" w:rsidRDefault="001C2255" w:rsidP="00FF441D">
            <w:pPr>
              <w:ind w:left="0" w:right="-112"/>
              <w:jc w:val="right"/>
              <w:rPr>
                <w:rFonts w:ascii="Arial Narrow" w:hAnsi="Arial Narrow"/>
                <w:color w:val="000000" w:themeColor="text1"/>
                <w:sz w:val="18"/>
                <w:szCs w:val="22"/>
              </w:rPr>
            </w:pPr>
          </w:p>
          <w:p w14:paraId="193A647E" w14:textId="7B101548" w:rsidR="00B5638F" w:rsidRPr="009E35ED" w:rsidRDefault="00B5638F" w:rsidP="00FF441D">
            <w:pPr>
              <w:ind w:left="0" w:right="-112"/>
              <w:jc w:val="right"/>
              <w:rPr>
                <w:rFonts w:ascii="Arial Narrow" w:hAnsi="Arial Narrow" w:cs="Arial"/>
                <w:color w:val="000000" w:themeColor="text1"/>
                <w:sz w:val="18"/>
                <w:szCs w:val="22"/>
                <w:lang w:val="en-PH" w:eastAsia="en-PH"/>
              </w:rPr>
            </w:pPr>
            <w:r w:rsidRPr="009E35ED">
              <w:rPr>
                <w:rFonts w:ascii="Arial Narrow" w:hAnsi="Arial Narrow"/>
                <w:color w:val="000000" w:themeColor="text1"/>
                <w:sz w:val="18"/>
                <w:szCs w:val="22"/>
              </w:rPr>
              <w:t xml:space="preserve"> 25,151,594 </w:t>
            </w:r>
          </w:p>
        </w:tc>
      </w:tr>
      <w:tr w:rsidR="00997F75" w:rsidRPr="009E35ED" w14:paraId="5384C781" w14:textId="77777777" w:rsidTr="00FF441D">
        <w:trPr>
          <w:trHeight w:val="281"/>
        </w:trPr>
        <w:tc>
          <w:tcPr>
            <w:tcW w:w="7180" w:type="dxa"/>
            <w:gridSpan w:val="2"/>
            <w:shd w:val="clear" w:color="auto" w:fill="auto"/>
            <w:noWrap/>
          </w:tcPr>
          <w:p w14:paraId="5EE9A353" w14:textId="52AA961F" w:rsidR="00B5638F" w:rsidRPr="009E35ED" w:rsidRDefault="00B5638F" w:rsidP="00FF441D">
            <w:pPr>
              <w:ind w:left="-108"/>
              <w:jc w:val="left"/>
              <w:rPr>
                <w:rFonts w:ascii="Arial Narrow" w:hAnsi="Arial Narrow"/>
                <w:color w:val="000000" w:themeColor="text1"/>
                <w:sz w:val="18"/>
                <w:szCs w:val="22"/>
              </w:rPr>
            </w:pPr>
            <w:r w:rsidRPr="009E35ED">
              <w:rPr>
                <w:rFonts w:ascii="Arial Narrow" w:hAnsi="Arial Narrow"/>
                <w:color w:val="000000" w:themeColor="text1"/>
                <w:sz w:val="18"/>
                <w:szCs w:val="22"/>
              </w:rPr>
              <w:t xml:space="preserve">Adjustment/Recording of </w:t>
            </w:r>
            <w:r w:rsidR="0094580B">
              <w:rPr>
                <w:rFonts w:ascii="Arial Narrow" w:hAnsi="Arial Narrow"/>
                <w:color w:val="000000" w:themeColor="text1"/>
                <w:sz w:val="18"/>
                <w:szCs w:val="22"/>
              </w:rPr>
              <w:t>d</w:t>
            </w:r>
            <w:r w:rsidRPr="009E35ED">
              <w:rPr>
                <w:rFonts w:ascii="Arial Narrow" w:hAnsi="Arial Narrow"/>
                <w:color w:val="000000" w:themeColor="text1"/>
                <w:sz w:val="18"/>
                <w:szCs w:val="22"/>
              </w:rPr>
              <w:t xml:space="preserve">epreciations </w:t>
            </w:r>
            <w:r w:rsidR="0094580B">
              <w:rPr>
                <w:rFonts w:ascii="Arial Narrow" w:hAnsi="Arial Narrow"/>
                <w:color w:val="000000" w:themeColor="text1"/>
                <w:sz w:val="18"/>
                <w:szCs w:val="22"/>
              </w:rPr>
              <w:t>e</w:t>
            </w:r>
            <w:r w:rsidRPr="009E35ED">
              <w:rPr>
                <w:rFonts w:ascii="Arial Narrow" w:hAnsi="Arial Narrow"/>
                <w:color w:val="000000" w:themeColor="text1"/>
                <w:sz w:val="18"/>
                <w:szCs w:val="22"/>
              </w:rPr>
              <w:t>xpenses-</w:t>
            </w:r>
            <w:r w:rsidR="0094580B">
              <w:rPr>
                <w:rFonts w:ascii="Arial Narrow" w:hAnsi="Arial Narrow"/>
                <w:color w:val="000000" w:themeColor="text1"/>
                <w:sz w:val="18"/>
                <w:szCs w:val="22"/>
              </w:rPr>
              <w:t>ma</w:t>
            </w:r>
            <w:r w:rsidRPr="009E35ED">
              <w:rPr>
                <w:rFonts w:ascii="Arial Narrow" w:hAnsi="Arial Narrow"/>
                <w:color w:val="000000" w:themeColor="text1"/>
                <w:sz w:val="18"/>
                <w:szCs w:val="22"/>
              </w:rPr>
              <w:t xml:space="preserve">chinery and </w:t>
            </w:r>
            <w:r w:rsidR="0094580B">
              <w:rPr>
                <w:rFonts w:ascii="Arial Narrow" w:hAnsi="Arial Narrow"/>
                <w:color w:val="000000" w:themeColor="text1"/>
                <w:sz w:val="18"/>
                <w:szCs w:val="22"/>
              </w:rPr>
              <w:t>e</w:t>
            </w:r>
            <w:r w:rsidRPr="009E35ED">
              <w:rPr>
                <w:rFonts w:ascii="Arial Narrow" w:hAnsi="Arial Narrow"/>
                <w:color w:val="000000" w:themeColor="text1"/>
                <w:sz w:val="18"/>
                <w:szCs w:val="22"/>
              </w:rPr>
              <w:t>quipment-</w:t>
            </w:r>
            <w:r w:rsidR="0094580B">
              <w:rPr>
                <w:rFonts w:ascii="Arial Narrow" w:hAnsi="Arial Narrow"/>
                <w:color w:val="000000" w:themeColor="text1"/>
                <w:sz w:val="18"/>
                <w:szCs w:val="22"/>
              </w:rPr>
              <w:t>c</w:t>
            </w:r>
            <w:r w:rsidRPr="009E35ED">
              <w:rPr>
                <w:rFonts w:ascii="Arial Narrow" w:hAnsi="Arial Narrow"/>
                <w:color w:val="000000" w:themeColor="text1"/>
                <w:sz w:val="18"/>
                <w:szCs w:val="22"/>
              </w:rPr>
              <w:t xml:space="preserve">ommunication </w:t>
            </w:r>
            <w:r w:rsidR="0094580B">
              <w:rPr>
                <w:rFonts w:ascii="Arial Narrow" w:hAnsi="Arial Narrow"/>
                <w:color w:val="000000" w:themeColor="text1"/>
                <w:sz w:val="18"/>
                <w:szCs w:val="22"/>
              </w:rPr>
              <w:t>e</w:t>
            </w:r>
            <w:r w:rsidRPr="009E35ED">
              <w:rPr>
                <w:rFonts w:ascii="Arial Narrow" w:hAnsi="Arial Narrow"/>
                <w:color w:val="000000" w:themeColor="text1"/>
                <w:sz w:val="18"/>
                <w:szCs w:val="22"/>
              </w:rPr>
              <w:t>quipment-</w:t>
            </w:r>
            <w:r w:rsidR="0094580B">
              <w:rPr>
                <w:rFonts w:ascii="Arial Narrow" w:hAnsi="Arial Narrow"/>
                <w:color w:val="000000" w:themeColor="text1"/>
                <w:sz w:val="18"/>
                <w:szCs w:val="22"/>
              </w:rPr>
              <w:t>h</w:t>
            </w:r>
            <w:r w:rsidRPr="009E35ED">
              <w:rPr>
                <w:rFonts w:ascii="Arial Narrow" w:hAnsi="Arial Narrow"/>
                <w:color w:val="000000" w:themeColor="text1"/>
                <w:sz w:val="18"/>
                <w:szCs w:val="22"/>
              </w:rPr>
              <w:t xml:space="preserve">ead </w:t>
            </w:r>
            <w:r w:rsidR="0094580B">
              <w:rPr>
                <w:rFonts w:ascii="Arial Narrow" w:hAnsi="Arial Narrow"/>
                <w:color w:val="000000" w:themeColor="text1"/>
                <w:sz w:val="18"/>
                <w:szCs w:val="22"/>
              </w:rPr>
              <w:t>off</w:t>
            </w:r>
            <w:r w:rsidRPr="009E35ED">
              <w:rPr>
                <w:rFonts w:ascii="Arial Narrow" w:hAnsi="Arial Narrow"/>
                <w:color w:val="000000" w:themeColor="text1"/>
                <w:sz w:val="18"/>
                <w:szCs w:val="22"/>
              </w:rPr>
              <w:t>ice</w:t>
            </w:r>
          </w:p>
        </w:tc>
        <w:tc>
          <w:tcPr>
            <w:tcW w:w="1460" w:type="dxa"/>
            <w:shd w:val="clear" w:color="auto" w:fill="auto"/>
            <w:noWrap/>
          </w:tcPr>
          <w:p w14:paraId="437A3BA6" w14:textId="77777777" w:rsidR="001C2255" w:rsidRPr="009E35ED" w:rsidRDefault="00B5638F" w:rsidP="00FF441D">
            <w:pPr>
              <w:ind w:left="0" w:right="-112"/>
              <w:jc w:val="right"/>
              <w:rPr>
                <w:rFonts w:ascii="Arial Narrow" w:hAnsi="Arial Narrow"/>
                <w:color w:val="000000" w:themeColor="text1"/>
                <w:sz w:val="18"/>
                <w:szCs w:val="22"/>
              </w:rPr>
            </w:pPr>
            <w:r w:rsidRPr="009E35ED">
              <w:rPr>
                <w:rFonts w:ascii="Arial Narrow" w:hAnsi="Arial Narrow"/>
                <w:color w:val="000000" w:themeColor="text1"/>
                <w:sz w:val="18"/>
                <w:szCs w:val="22"/>
              </w:rPr>
              <w:t xml:space="preserve"> </w:t>
            </w:r>
          </w:p>
          <w:p w14:paraId="442B7DC5" w14:textId="53EAAF08" w:rsidR="00B5638F" w:rsidRPr="009E35ED" w:rsidRDefault="00E83763" w:rsidP="00FF441D">
            <w:pPr>
              <w:ind w:left="0" w:right="-112"/>
              <w:jc w:val="right"/>
              <w:rPr>
                <w:rFonts w:ascii="Arial Narrow" w:hAnsi="Arial Narrow"/>
                <w:color w:val="000000" w:themeColor="text1"/>
                <w:sz w:val="18"/>
                <w:szCs w:val="22"/>
              </w:rPr>
            </w:pPr>
            <w:r w:rsidRPr="009E35ED">
              <w:rPr>
                <w:rFonts w:ascii="Arial Narrow" w:hAnsi="Arial Narrow"/>
                <w:color w:val="000000" w:themeColor="text1"/>
                <w:sz w:val="18"/>
                <w:szCs w:val="22"/>
              </w:rPr>
              <w:t>84,609</w:t>
            </w:r>
            <w:r w:rsidR="00B5638F" w:rsidRPr="009E35ED">
              <w:rPr>
                <w:rFonts w:ascii="Arial Narrow" w:hAnsi="Arial Narrow"/>
                <w:color w:val="000000" w:themeColor="text1"/>
                <w:sz w:val="18"/>
                <w:szCs w:val="22"/>
              </w:rPr>
              <w:t xml:space="preserve"> </w:t>
            </w:r>
          </w:p>
        </w:tc>
      </w:tr>
      <w:tr w:rsidR="00997F75" w:rsidRPr="009E35ED" w14:paraId="36E79373" w14:textId="77777777" w:rsidTr="00FF441D">
        <w:trPr>
          <w:trHeight w:val="281"/>
        </w:trPr>
        <w:tc>
          <w:tcPr>
            <w:tcW w:w="7180" w:type="dxa"/>
            <w:gridSpan w:val="2"/>
            <w:shd w:val="clear" w:color="auto" w:fill="auto"/>
            <w:noWrap/>
          </w:tcPr>
          <w:p w14:paraId="5CD0A4F9" w14:textId="358F83EE" w:rsidR="00B5638F" w:rsidRPr="009E35ED" w:rsidRDefault="00B5638F" w:rsidP="00FF441D">
            <w:pPr>
              <w:ind w:left="-108"/>
              <w:jc w:val="left"/>
              <w:rPr>
                <w:rFonts w:ascii="Arial Narrow" w:hAnsi="Arial Narrow"/>
                <w:color w:val="000000" w:themeColor="text1"/>
                <w:sz w:val="18"/>
                <w:szCs w:val="22"/>
              </w:rPr>
            </w:pPr>
            <w:r w:rsidRPr="009E35ED">
              <w:rPr>
                <w:rFonts w:ascii="Arial Narrow" w:hAnsi="Arial Narrow"/>
                <w:color w:val="000000" w:themeColor="text1"/>
                <w:sz w:val="18"/>
                <w:szCs w:val="22"/>
              </w:rPr>
              <w:t xml:space="preserve">Adjustment/Recording of </w:t>
            </w:r>
            <w:r w:rsidR="0094580B">
              <w:rPr>
                <w:rFonts w:ascii="Arial Narrow" w:hAnsi="Arial Narrow"/>
                <w:color w:val="000000" w:themeColor="text1"/>
                <w:sz w:val="18"/>
                <w:szCs w:val="22"/>
              </w:rPr>
              <w:t>d</w:t>
            </w:r>
            <w:r w:rsidRPr="009E35ED">
              <w:rPr>
                <w:rFonts w:ascii="Arial Narrow" w:hAnsi="Arial Narrow"/>
                <w:color w:val="000000" w:themeColor="text1"/>
                <w:sz w:val="18"/>
                <w:szCs w:val="22"/>
              </w:rPr>
              <w:t xml:space="preserve">epreciations </w:t>
            </w:r>
            <w:r w:rsidR="0094580B">
              <w:rPr>
                <w:rFonts w:ascii="Arial Narrow" w:hAnsi="Arial Narrow"/>
                <w:color w:val="000000" w:themeColor="text1"/>
                <w:sz w:val="18"/>
                <w:szCs w:val="22"/>
              </w:rPr>
              <w:t>e</w:t>
            </w:r>
            <w:r w:rsidRPr="009E35ED">
              <w:rPr>
                <w:rFonts w:ascii="Arial Narrow" w:hAnsi="Arial Narrow"/>
                <w:color w:val="000000" w:themeColor="text1"/>
                <w:sz w:val="18"/>
                <w:szCs w:val="22"/>
              </w:rPr>
              <w:t>xpenses-</w:t>
            </w:r>
            <w:r w:rsidR="0094580B">
              <w:rPr>
                <w:rFonts w:ascii="Arial Narrow" w:hAnsi="Arial Narrow"/>
                <w:color w:val="000000" w:themeColor="text1"/>
                <w:sz w:val="18"/>
                <w:szCs w:val="22"/>
              </w:rPr>
              <w:t>m</w:t>
            </w:r>
            <w:r w:rsidRPr="009E35ED">
              <w:rPr>
                <w:rFonts w:ascii="Arial Narrow" w:hAnsi="Arial Narrow"/>
                <w:color w:val="000000" w:themeColor="text1"/>
                <w:sz w:val="18"/>
                <w:szCs w:val="22"/>
              </w:rPr>
              <w:t xml:space="preserve">achinery and </w:t>
            </w:r>
            <w:r w:rsidR="0094580B">
              <w:rPr>
                <w:rFonts w:ascii="Arial Narrow" w:hAnsi="Arial Narrow"/>
                <w:color w:val="000000" w:themeColor="text1"/>
                <w:sz w:val="18"/>
                <w:szCs w:val="22"/>
              </w:rPr>
              <w:t>e</w:t>
            </w:r>
            <w:r w:rsidRPr="009E35ED">
              <w:rPr>
                <w:rFonts w:ascii="Arial Narrow" w:hAnsi="Arial Narrow"/>
                <w:color w:val="000000" w:themeColor="text1"/>
                <w:sz w:val="18"/>
                <w:szCs w:val="22"/>
              </w:rPr>
              <w:t>quipment-</w:t>
            </w:r>
            <w:r w:rsidR="0094580B">
              <w:rPr>
                <w:rFonts w:ascii="Arial Narrow" w:hAnsi="Arial Narrow"/>
                <w:color w:val="000000" w:themeColor="text1"/>
                <w:sz w:val="18"/>
                <w:szCs w:val="22"/>
              </w:rPr>
              <w:t>c</w:t>
            </w:r>
            <w:r w:rsidRPr="009E35ED">
              <w:rPr>
                <w:rFonts w:ascii="Arial Narrow" w:hAnsi="Arial Narrow"/>
                <w:color w:val="000000" w:themeColor="text1"/>
                <w:sz w:val="18"/>
                <w:szCs w:val="22"/>
              </w:rPr>
              <w:t xml:space="preserve">ommunication </w:t>
            </w:r>
            <w:r w:rsidR="0094580B">
              <w:rPr>
                <w:rFonts w:ascii="Arial Narrow" w:hAnsi="Arial Narrow"/>
                <w:color w:val="000000" w:themeColor="text1"/>
                <w:sz w:val="18"/>
                <w:szCs w:val="22"/>
              </w:rPr>
              <w:t>e</w:t>
            </w:r>
            <w:r w:rsidRPr="009E35ED">
              <w:rPr>
                <w:rFonts w:ascii="Arial Narrow" w:hAnsi="Arial Narrow"/>
                <w:color w:val="000000" w:themeColor="text1"/>
                <w:sz w:val="18"/>
                <w:szCs w:val="22"/>
              </w:rPr>
              <w:t>quipment-</w:t>
            </w:r>
            <w:r w:rsidR="0094580B">
              <w:rPr>
                <w:rFonts w:ascii="Arial Narrow" w:hAnsi="Arial Narrow"/>
                <w:color w:val="000000" w:themeColor="text1"/>
                <w:sz w:val="18"/>
                <w:szCs w:val="22"/>
              </w:rPr>
              <w:t>b</w:t>
            </w:r>
            <w:r w:rsidRPr="009E35ED">
              <w:rPr>
                <w:rFonts w:ascii="Arial Narrow" w:hAnsi="Arial Narrow"/>
                <w:color w:val="000000" w:themeColor="text1"/>
                <w:sz w:val="18"/>
                <w:szCs w:val="22"/>
              </w:rPr>
              <w:t>ranch</w:t>
            </w:r>
          </w:p>
        </w:tc>
        <w:tc>
          <w:tcPr>
            <w:tcW w:w="1460" w:type="dxa"/>
            <w:shd w:val="clear" w:color="auto" w:fill="auto"/>
            <w:noWrap/>
          </w:tcPr>
          <w:p w14:paraId="175EF256" w14:textId="77777777" w:rsidR="001C2255" w:rsidRPr="009E35ED" w:rsidRDefault="001C2255" w:rsidP="00FF441D">
            <w:pPr>
              <w:ind w:left="0" w:right="-112"/>
              <w:jc w:val="right"/>
              <w:rPr>
                <w:rFonts w:ascii="Arial Narrow" w:hAnsi="Arial Narrow"/>
                <w:color w:val="000000" w:themeColor="text1"/>
                <w:sz w:val="18"/>
                <w:szCs w:val="22"/>
              </w:rPr>
            </w:pPr>
          </w:p>
          <w:p w14:paraId="4B55D560" w14:textId="77EB4264" w:rsidR="00B5638F" w:rsidRPr="009E35ED" w:rsidRDefault="00B5638F" w:rsidP="00FF441D">
            <w:pPr>
              <w:ind w:left="0" w:right="-112"/>
              <w:jc w:val="right"/>
              <w:rPr>
                <w:rFonts w:ascii="Arial Narrow" w:hAnsi="Arial Narrow"/>
                <w:color w:val="000000" w:themeColor="text1"/>
                <w:sz w:val="18"/>
                <w:szCs w:val="22"/>
              </w:rPr>
            </w:pPr>
            <w:r w:rsidRPr="009E35ED">
              <w:rPr>
                <w:rFonts w:ascii="Arial Narrow" w:hAnsi="Arial Narrow"/>
                <w:color w:val="000000" w:themeColor="text1"/>
                <w:sz w:val="18"/>
                <w:szCs w:val="22"/>
              </w:rPr>
              <w:t xml:space="preserve"> 2,916 </w:t>
            </w:r>
          </w:p>
        </w:tc>
      </w:tr>
      <w:tr w:rsidR="00997F75" w:rsidRPr="009E35ED" w14:paraId="04498B5C" w14:textId="77777777" w:rsidTr="00FF441D">
        <w:trPr>
          <w:trHeight w:val="281"/>
        </w:trPr>
        <w:tc>
          <w:tcPr>
            <w:tcW w:w="7180" w:type="dxa"/>
            <w:gridSpan w:val="2"/>
            <w:shd w:val="clear" w:color="auto" w:fill="auto"/>
            <w:noWrap/>
          </w:tcPr>
          <w:p w14:paraId="532A3082" w14:textId="57CE57FB" w:rsidR="00B5638F" w:rsidRPr="009E35ED" w:rsidRDefault="00B5638F">
            <w:pPr>
              <w:ind w:left="-108"/>
              <w:jc w:val="left"/>
              <w:rPr>
                <w:rFonts w:ascii="Arial Narrow" w:hAnsi="Arial Narrow"/>
                <w:color w:val="000000" w:themeColor="text1"/>
                <w:sz w:val="18"/>
                <w:szCs w:val="22"/>
              </w:rPr>
            </w:pPr>
            <w:r w:rsidRPr="009E35ED">
              <w:rPr>
                <w:rFonts w:ascii="Arial Narrow" w:hAnsi="Arial Narrow"/>
                <w:color w:val="000000" w:themeColor="text1"/>
                <w:sz w:val="18"/>
                <w:szCs w:val="22"/>
              </w:rPr>
              <w:t xml:space="preserve">Adjustment/Recording of </w:t>
            </w:r>
            <w:r w:rsidR="0094580B">
              <w:rPr>
                <w:rFonts w:ascii="Arial Narrow" w:hAnsi="Arial Narrow"/>
                <w:color w:val="000000" w:themeColor="text1"/>
                <w:sz w:val="18"/>
                <w:szCs w:val="22"/>
              </w:rPr>
              <w:t>m</w:t>
            </w:r>
            <w:r w:rsidRPr="009E35ED">
              <w:rPr>
                <w:rFonts w:ascii="Arial Narrow" w:hAnsi="Arial Narrow"/>
                <w:color w:val="000000" w:themeColor="text1"/>
                <w:sz w:val="18"/>
                <w:szCs w:val="22"/>
              </w:rPr>
              <w:t xml:space="preserve">achinery and </w:t>
            </w:r>
            <w:r w:rsidR="0094580B">
              <w:rPr>
                <w:rFonts w:ascii="Arial Narrow" w:hAnsi="Arial Narrow"/>
                <w:color w:val="000000" w:themeColor="text1"/>
                <w:sz w:val="18"/>
                <w:szCs w:val="22"/>
              </w:rPr>
              <w:t>e</w:t>
            </w:r>
            <w:r w:rsidRPr="009E35ED">
              <w:rPr>
                <w:rFonts w:ascii="Arial Narrow" w:hAnsi="Arial Narrow"/>
                <w:color w:val="000000" w:themeColor="text1"/>
                <w:sz w:val="18"/>
                <w:szCs w:val="22"/>
              </w:rPr>
              <w:t>quipment-</w:t>
            </w:r>
            <w:r w:rsidR="0094580B">
              <w:rPr>
                <w:rFonts w:ascii="Arial Narrow" w:hAnsi="Arial Narrow"/>
                <w:color w:val="000000" w:themeColor="text1"/>
                <w:sz w:val="18"/>
                <w:szCs w:val="22"/>
              </w:rPr>
              <w:t>i</w:t>
            </w:r>
            <w:r w:rsidRPr="009E35ED">
              <w:rPr>
                <w:rFonts w:ascii="Arial Narrow" w:hAnsi="Arial Narrow"/>
                <w:color w:val="000000" w:themeColor="text1"/>
                <w:sz w:val="18"/>
                <w:szCs w:val="22"/>
              </w:rPr>
              <w:t xml:space="preserve">nformation and </w:t>
            </w:r>
            <w:r w:rsidR="0094580B">
              <w:rPr>
                <w:rFonts w:ascii="Arial Narrow" w:hAnsi="Arial Narrow"/>
                <w:color w:val="000000" w:themeColor="text1"/>
                <w:sz w:val="18"/>
                <w:szCs w:val="22"/>
              </w:rPr>
              <w:t>c</w:t>
            </w:r>
            <w:r w:rsidRPr="009E35ED">
              <w:rPr>
                <w:rFonts w:ascii="Arial Narrow" w:hAnsi="Arial Narrow"/>
                <w:color w:val="000000" w:themeColor="text1"/>
                <w:sz w:val="18"/>
                <w:szCs w:val="22"/>
              </w:rPr>
              <w:t xml:space="preserve">ommunication </w:t>
            </w:r>
            <w:r w:rsidR="0094580B">
              <w:rPr>
                <w:rFonts w:ascii="Arial Narrow" w:hAnsi="Arial Narrow"/>
                <w:color w:val="000000" w:themeColor="text1"/>
                <w:sz w:val="18"/>
                <w:szCs w:val="22"/>
              </w:rPr>
              <w:t>t</w:t>
            </w:r>
            <w:r w:rsidRPr="009E35ED">
              <w:rPr>
                <w:rFonts w:ascii="Arial Narrow" w:hAnsi="Arial Narrow"/>
                <w:color w:val="000000" w:themeColor="text1"/>
                <w:sz w:val="18"/>
                <w:szCs w:val="22"/>
              </w:rPr>
              <w:t xml:space="preserve">echnology </w:t>
            </w:r>
            <w:r w:rsidR="0094580B">
              <w:rPr>
                <w:rFonts w:ascii="Arial Narrow" w:hAnsi="Arial Narrow"/>
                <w:color w:val="000000" w:themeColor="text1"/>
                <w:sz w:val="18"/>
                <w:szCs w:val="22"/>
              </w:rPr>
              <w:t>e</w:t>
            </w:r>
            <w:r w:rsidRPr="009E35ED">
              <w:rPr>
                <w:rFonts w:ascii="Arial Narrow" w:hAnsi="Arial Narrow"/>
                <w:color w:val="000000" w:themeColor="text1"/>
                <w:sz w:val="18"/>
                <w:szCs w:val="22"/>
              </w:rPr>
              <w:t>quipment-</w:t>
            </w:r>
            <w:r w:rsidR="0094580B">
              <w:rPr>
                <w:rFonts w:ascii="Arial Narrow" w:hAnsi="Arial Narrow"/>
                <w:color w:val="000000" w:themeColor="text1"/>
                <w:sz w:val="18"/>
                <w:szCs w:val="22"/>
              </w:rPr>
              <w:t>b</w:t>
            </w:r>
            <w:r w:rsidRPr="009E35ED">
              <w:rPr>
                <w:rFonts w:ascii="Arial Narrow" w:hAnsi="Arial Narrow"/>
                <w:color w:val="000000" w:themeColor="text1"/>
                <w:sz w:val="18"/>
                <w:szCs w:val="22"/>
              </w:rPr>
              <w:t>ranch</w:t>
            </w:r>
          </w:p>
        </w:tc>
        <w:tc>
          <w:tcPr>
            <w:tcW w:w="1460" w:type="dxa"/>
            <w:shd w:val="clear" w:color="auto" w:fill="auto"/>
            <w:noWrap/>
          </w:tcPr>
          <w:p w14:paraId="17998761" w14:textId="77777777" w:rsidR="001C2255" w:rsidRPr="009E35ED" w:rsidRDefault="001C2255" w:rsidP="00FF441D">
            <w:pPr>
              <w:ind w:left="0" w:right="-112"/>
              <w:jc w:val="right"/>
              <w:rPr>
                <w:rFonts w:ascii="Arial Narrow" w:hAnsi="Arial Narrow"/>
                <w:color w:val="000000" w:themeColor="text1"/>
                <w:sz w:val="18"/>
                <w:szCs w:val="22"/>
              </w:rPr>
            </w:pPr>
          </w:p>
          <w:p w14:paraId="1493C717" w14:textId="1DAF31C1" w:rsidR="00B5638F" w:rsidRPr="009E35ED" w:rsidRDefault="00B5638F" w:rsidP="003B4391">
            <w:pPr>
              <w:ind w:left="0" w:right="-112"/>
              <w:jc w:val="right"/>
              <w:rPr>
                <w:rFonts w:ascii="Arial Narrow" w:hAnsi="Arial Narrow"/>
                <w:color w:val="000000" w:themeColor="text1"/>
                <w:sz w:val="18"/>
                <w:szCs w:val="22"/>
              </w:rPr>
            </w:pPr>
            <w:r w:rsidRPr="009E35ED">
              <w:rPr>
                <w:rFonts w:ascii="Arial Narrow" w:hAnsi="Arial Narrow"/>
                <w:color w:val="000000" w:themeColor="text1"/>
                <w:sz w:val="18"/>
                <w:szCs w:val="22"/>
              </w:rPr>
              <w:t xml:space="preserve"> (94,41</w:t>
            </w:r>
            <w:r w:rsidR="003B4391">
              <w:rPr>
                <w:rFonts w:ascii="Arial Narrow" w:hAnsi="Arial Narrow"/>
                <w:color w:val="000000" w:themeColor="text1"/>
                <w:sz w:val="18"/>
                <w:szCs w:val="22"/>
              </w:rPr>
              <w:t>6</w:t>
            </w:r>
            <w:r w:rsidRPr="009E35ED">
              <w:rPr>
                <w:rFonts w:ascii="Arial Narrow" w:hAnsi="Arial Narrow"/>
                <w:color w:val="000000" w:themeColor="text1"/>
                <w:sz w:val="18"/>
                <w:szCs w:val="22"/>
              </w:rPr>
              <w:t>)</w:t>
            </w:r>
          </w:p>
        </w:tc>
      </w:tr>
      <w:tr w:rsidR="00997F75" w:rsidRPr="009E35ED" w14:paraId="317579F6" w14:textId="77777777" w:rsidTr="00FF441D">
        <w:trPr>
          <w:trHeight w:val="74"/>
        </w:trPr>
        <w:tc>
          <w:tcPr>
            <w:tcW w:w="7180" w:type="dxa"/>
            <w:gridSpan w:val="2"/>
            <w:shd w:val="clear" w:color="auto" w:fill="auto"/>
            <w:noWrap/>
            <w:hideMark/>
          </w:tcPr>
          <w:p w14:paraId="2E23195C" w14:textId="7E04B17F" w:rsidR="00B5638F" w:rsidRPr="009E35ED" w:rsidRDefault="00B5638F" w:rsidP="00FF441D">
            <w:pPr>
              <w:ind w:left="-108"/>
              <w:jc w:val="left"/>
              <w:rPr>
                <w:rFonts w:ascii="Arial Narrow" w:hAnsi="Arial Narrow" w:cs="Arial"/>
                <w:color w:val="000000" w:themeColor="text1"/>
                <w:sz w:val="18"/>
                <w:szCs w:val="22"/>
                <w:lang w:val="en-PH" w:eastAsia="en-PH"/>
              </w:rPr>
            </w:pPr>
            <w:r w:rsidRPr="009E35ED">
              <w:rPr>
                <w:rFonts w:ascii="Arial Narrow" w:hAnsi="Arial Narrow"/>
                <w:color w:val="000000" w:themeColor="text1"/>
                <w:sz w:val="18"/>
                <w:szCs w:val="22"/>
              </w:rPr>
              <w:t xml:space="preserve">Adjustment/Recording of </w:t>
            </w:r>
            <w:r w:rsidR="0094580B">
              <w:rPr>
                <w:rFonts w:ascii="Arial Narrow" w:hAnsi="Arial Narrow"/>
                <w:color w:val="000000" w:themeColor="text1"/>
                <w:sz w:val="18"/>
                <w:szCs w:val="22"/>
              </w:rPr>
              <w:t>d</w:t>
            </w:r>
            <w:r w:rsidRPr="009E35ED">
              <w:rPr>
                <w:rFonts w:ascii="Arial Narrow" w:hAnsi="Arial Narrow"/>
                <w:color w:val="000000" w:themeColor="text1"/>
                <w:sz w:val="18"/>
                <w:szCs w:val="22"/>
              </w:rPr>
              <w:t xml:space="preserve">epreciation </w:t>
            </w:r>
            <w:r w:rsidR="0094580B">
              <w:rPr>
                <w:rFonts w:ascii="Arial Narrow" w:hAnsi="Arial Narrow"/>
                <w:color w:val="000000" w:themeColor="text1"/>
                <w:sz w:val="18"/>
                <w:szCs w:val="22"/>
              </w:rPr>
              <w:t>e</w:t>
            </w:r>
            <w:r w:rsidRPr="009E35ED">
              <w:rPr>
                <w:rFonts w:ascii="Arial Narrow" w:hAnsi="Arial Narrow"/>
                <w:color w:val="000000" w:themeColor="text1"/>
                <w:sz w:val="18"/>
                <w:szCs w:val="22"/>
              </w:rPr>
              <w:t>xpenses-</w:t>
            </w:r>
            <w:r w:rsidR="0094580B">
              <w:rPr>
                <w:rFonts w:ascii="Arial Narrow" w:hAnsi="Arial Narrow"/>
                <w:color w:val="000000" w:themeColor="text1"/>
                <w:sz w:val="18"/>
                <w:szCs w:val="22"/>
              </w:rPr>
              <w:t>m</w:t>
            </w:r>
            <w:r w:rsidRPr="009E35ED">
              <w:rPr>
                <w:rFonts w:ascii="Arial Narrow" w:hAnsi="Arial Narrow"/>
                <w:color w:val="000000" w:themeColor="text1"/>
                <w:sz w:val="18"/>
                <w:szCs w:val="22"/>
              </w:rPr>
              <w:t xml:space="preserve">achinery and </w:t>
            </w:r>
            <w:r w:rsidR="0094580B">
              <w:rPr>
                <w:rFonts w:ascii="Arial Narrow" w:hAnsi="Arial Narrow"/>
                <w:color w:val="000000" w:themeColor="text1"/>
                <w:sz w:val="18"/>
                <w:szCs w:val="22"/>
              </w:rPr>
              <w:t>e</w:t>
            </w:r>
            <w:r w:rsidRPr="009E35ED">
              <w:rPr>
                <w:rFonts w:ascii="Arial Narrow" w:hAnsi="Arial Narrow"/>
                <w:color w:val="000000" w:themeColor="text1"/>
                <w:sz w:val="18"/>
                <w:szCs w:val="22"/>
              </w:rPr>
              <w:t>quipment-</w:t>
            </w:r>
            <w:r w:rsidR="0094580B">
              <w:rPr>
                <w:rFonts w:ascii="Arial Narrow" w:hAnsi="Arial Narrow"/>
                <w:color w:val="000000" w:themeColor="text1"/>
                <w:sz w:val="18"/>
                <w:szCs w:val="22"/>
              </w:rPr>
              <w:t>i</w:t>
            </w:r>
            <w:r w:rsidRPr="009E35ED">
              <w:rPr>
                <w:rFonts w:ascii="Arial Narrow" w:hAnsi="Arial Narrow"/>
                <w:color w:val="000000" w:themeColor="text1"/>
                <w:sz w:val="18"/>
                <w:szCs w:val="22"/>
              </w:rPr>
              <w:t xml:space="preserve">nformation and </w:t>
            </w:r>
            <w:r w:rsidR="0094580B">
              <w:rPr>
                <w:rFonts w:ascii="Arial Narrow" w:hAnsi="Arial Narrow"/>
                <w:color w:val="000000" w:themeColor="text1"/>
                <w:sz w:val="18"/>
                <w:szCs w:val="22"/>
              </w:rPr>
              <w:t>c</w:t>
            </w:r>
            <w:r w:rsidRPr="009E35ED">
              <w:rPr>
                <w:rFonts w:ascii="Arial Narrow" w:hAnsi="Arial Narrow"/>
                <w:color w:val="000000" w:themeColor="text1"/>
                <w:sz w:val="18"/>
                <w:szCs w:val="22"/>
              </w:rPr>
              <w:t xml:space="preserve">ommunication </w:t>
            </w:r>
            <w:r w:rsidR="0094580B">
              <w:rPr>
                <w:rFonts w:ascii="Arial Narrow" w:hAnsi="Arial Narrow"/>
                <w:color w:val="000000" w:themeColor="text1"/>
                <w:sz w:val="18"/>
                <w:szCs w:val="22"/>
              </w:rPr>
              <w:t>t</w:t>
            </w:r>
            <w:r w:rsidRPr="009E35ED">
              <w:rPr>
                <w:rFonts w:ascii="Arial Narrow" w:hAnsi="Arial Narrow"/>
                <w:color w:val="000000" w:themeColor="text1"/>
                <w:sz w:val="18"/>
                <w:szCs w:val="22"/>
              </w:rPr>
              <w:t xml:space="preserve">echnology </w:t>
            </w:r>
            <w:r w:rsidR="0094580B">
              <w:rPr>
                <w:rFonts w:ascii="Arial Narrow" w:hAnsi="Arial Narrow"/>
                <w:color w:val="000000" w:themeColor="text1"/>
                <w:sz w:val="18"/>
                <w:szCs w:val="22"/>
              </w:rPr>
              <w:t>e</w:t>
            </w:r>
            <w:r w:rsidRPr="009E35ED">
              <w:rPr>
                <w:rFonts w:ascii="Arial Narrow" w:hAnsi="Arial Narrow"/>
                <w:color w:val="000000" w:themeColor="text1"/>
                <w:sz w:val="18"/>
                <w:szCs w:val="22"/>
              </w:rPr>
              <w:t>quipment-</w:t>
            </w:r>
            <w:r w:rsidR="0094580B">
              <w:rPr>
                <w:rFonts w:ascii="Arial Narrow" w:hAnsi="Arial Narrow"/>
                <w:color w:val="000000" w:themeColor="text1"/>
                <w:sz w:val="18"/>
                <w:szCs w:val="22"/>
              </w:rPr>
              <w:t>h</w:t>
            </w:r>
            <w:r w:rsidRPr="009E35ED">
              <w:rPr>
                <w:rFonts w:ascii="Arial Narrow" w:hAnsi="Arial Narrow"/>
                <w:color w:val="000000" w:themeColor="text1"/>
                <w:sz w:val="18"/>
                <w:szCs w:val="22"/>
              </w:rPr>
              <w:t xml:space="preserve">ead </w:t>
            </w:r>
            <w:r w:rsidR="0094580B">
              <w:rPr>
                <w:rFonts w:ascii="Arial Narrow" w:hAnsi="Arial Narrow"/>
                <w:color w:val="000000" w:themeColor="text1"/>
                <w:sz w:val="18"/>
                <w:szCs w:val="22"/>
              </w:rPr>
              <w:t>o</w:t>
            </w:r>
            <w:r w:rsidRPr="009E35ED">
              <w:rPr>
                <w:rFonts w:ascii="Arial Narrow" w:hAnsi="Arial Narrow"/>
                <w:color w:val="000000" w:themeColor="text1"/>
                <w:sz w:val="18"/>
                <w:szCs w:val="22"/>
              </w:rPr>
              <w:t>ffice</w:t>
            </w:r>
          </w:p>
        </w:tc>
        <w:tc>
          <w:tcPr>
            <w:tcW w:w="1460" w:type="dxa"/>
            <w:shd w:val="clear" w:color="auto" w:fill="auto"/>
            <w:noWrap/>
            <w:hideMark/>
          </w:tcPr>
          <w:p w14:paraId="16BF13A1" w14:textId="77777777" w:rsidR="00D035DA" w:rsidRPr="009E35ED" w:rsidRDefault="00D035DA" w:rsidP="00FF441D">
            <w:pPr>
              <w:ind w:left="0" w:right="-112"/>
              <w:jc w:val="right"/>
              <w:rPr>
                <w:rFonts w:ascii="Arial Narrow" w:hAnsi="Arial Narrow"/>
                <w:color w:val="000000" w:themeColor="text1"/>
                <w:sz w:val="18"/>
                <w:szCs w:val="22"/>
              </w:rPr>
            </w:pPr>
          </w:p>
          <w:p w14:paraId="1390B4D1" w14:textId="65148876" w:rsidR="00B5638F" w:rsidRPr="009E35ED" w:rsidRDefault="00D035DA" w:rsidP="003B4391">
            <w:pPr>
              <w:ind w:left="0" w:right="-112"/>
              <w:jc w:val="right"/>
              <w:rPr>
                <w:rFonts w:ascii="Arial Narrow" w:hAnsi="Arial Narrow" w:cs="Arial"/>
                <w:color w:val="000000" w:themeColor="text1"/>
                <w:sz w:val="18"/>
                <w:szCs w:val="22"/>
                <w:lang w:val="en-PH" w:eastAsia="en-PH"/>
              </w:rPr>
            </w:pPr>
            <w:r w:rsidRPr="009E35ED">
              <w:rPr>
                <w:rFonts w:ascii="Arial Narrow" w:hAnsi="Arial Narrow"/>
                <w:color w:val="000000" w:themeColor="text1"/>
                <w:sz w:val="18"/>
                <w:szCs w:val="22"/>
              </w:rPr>
              <w:t>(84,6</w:t>
            </w:r>
            <w:r w:rsidR="003B4391">
              <w:rPr>
                <w:rFonts w:ascii="Arial Narrow" w:hAnsi="Arial Narrow"/>
                <w:color w:val="000000" w:themeColor="text1"/>
                <w:sz w:val="18"/>
                <w:szCs w:val="22"/>
              </w:rPr>
              <w:t>10</w:t>
            </w:r>
            <w:r w:rsidRPr="009E35ED">
              <w:rPr>
                <w:rFonts w:ascii="Arial Narrow" w:hAnsi="Arial Narrow"/>
                <w:color w:val="000000" w:themeColor="text1"/>
                <w:sz w:val="18"/>
                <w:szCs w:val="22"/>
              </w:rPr>
              <w:t>)</w:t>
            </w:r>
          </w:p>
        </w:tc>
      </w:tr>
      <w:tr w:rsidR="00997F75" w:rsidRPr="009E35ED" w14:paraId="1496FF6E" w14:textId="77777777" w:rsidTr="00FF441D">
        <w:trPr>
          <w:trHeight w:val="281"/>
        </w:trPr>
        <w:tc>
          <w:tcPr>
            <w:tcW w:w="7180" w:type="dxa"/>
            <w:gridSpan w:val="2"/>
            <w:tcBorders>
              <w:bottom w:val="single" w:sz="4" w:space="0" w:color="auto"/>
            </w:tcBorders>
            <w:shd w:val="clear" w:color="auto" w:fill="auto"/>
            <w:noWrap/>
            <w:hideMark/>
          </w:tcPr>
          <w:p w14:paraId="02D4A983" w14:textId="75C46416" w:rsidR="00B5638F" w:rsidRPr="009E35ED" w:rsidRDefault="00B5638F" w:rsidP="00FF441D">
            <w:pPr>
              <w:ind w:left="-108"/>
              <w:jc w:val="left"/>
              <w:rPr>
                <w:rFonts w:ascii="Arial Narrow" w:hAnsi="Arial Narrow" w:cs="Arial"/>
                <w:color w:val="000000" w:themeColor="text1"/>
                <w:sz w:val="18"/>
                <w:szCs w:val="22"/>
                <w:lang w:val="en-PH" w:eastAsia="en-PH"/>
              </w:rPr>
            </w:pPr>
            <w:r w:rsidRPr="009E35ED">
              <w:rPr>
                <w:rFonts w:ascii="Arial Narrow" w:hAnsi="Arial Narrow"/>
                <w:color w:val="000000" w:themeColor="text1"/>
                <w:sz w:val="18"/>
                <w:szCs w:val="22"/>
              </w:rPr>
              <w:t xml:space="preserve">Adjustment/Recording of </w:t>
            </w:r>
            <w:r w:rsidR="0094580B">
              <w:rPr>
                <w:rFonts w:ascii="Arial Narrow" w:hAnsi="Arial Narrow"/>
                <w:color w:val="000000" w:themeColor="text1"/>
                <w:sz w:val="18"/>
                <w:szCs w:val="22"/>
              </w:rPr>
              <w:t>D</w:t>
            </w:r>
            <w:r w:rsidRPr="009E35ED">
              <w:rPr>
                <w:rFonts w:ascii="Arial Narrow" w:hAnsi="Arial Narrow"/>
                <w:color w:val="000000" w:themeColor="text1"/>
                <w:sz w:val="18"/>
                <w:szCs w:val="22"/>
              </w:rPr>
              <w:t xml:space="preserve">epreciation </w:t>
            </w:r>
            <w:r w:rsidR="0094580B">
              <w:rPr>
                <w:rFonts w:ascii="Arial Narrow" w:hAnsi="Arial Narrow"/>
                <w:color w:val="000000" w:themeColor="text1"/>
                <w:sz w:val="18"/>
                <w:szCs w:val="22"/>
              </w:rPr>
              <w:t>e</w:t>
            </w:r>
            <w:r w:rsidRPr="009E35ED">
              <w:rPr>
                <w:rFonts w:ascii="Arial Narrow" w:hAnsi="Arial Narrow"/>
                <w:color w:val="000000" w:themeColor="text1"/>
                <w:sz w:val="18"/>
                <w:szCs w:val="22"/>
              </w:rPr>
              <w:t>xpenses-</w:t>
            </w:r>
            <w:r w:rsidR="0094580B">
              <w:rPr>
                <w:rFonts w:ascii="Arial Narrow" w:hAnsi="Arial Narrow"/>
                <w:color w:val="000000" w:themeColor="text1"/>
                <w:sz w:val="18"/>
                <w:szCs w:val="22"/>
              </w:rPr>
              <w:t>m</w:t>
            </w:r>
            <w:r w:rsidRPr="009E35ED">
              <w:rPr>
                <w:rFonts w:ascii="Arial Narrow" w:hAnsi="Arial Narrow"/>
                <w:color w:val="000000" w:themeColor="text1"/>
                <w:sz w:val="18"/>
                <w:szCs w:val="22"/>
              </w:rPr>
              <w:t xml:space="preserve">achinery and </w:t>
            </w:r>
            <w:r w:rsidR="0094580B">
              <w:rPr>
                <w:rFonts w:ascii="Arial Narrow" w:hAnsi="Arial Narrow"/>
                <w:color w:val="000000" w:themeColor="text1"/>
                <w:sz w:val="18"/>
                <w:szCs w:val="22"/>
              </w:rPr>
              <w:t>e</w:t>
            </w:r>
            <w:r w:rsidRPr="009E35ED">
              <w:rPr>
                <w:rFonts w:ascii="Arial Narrow" w:hAnsi="Arial Narrow"/>
                <w:color w:val="000000" w:themeColor="text1"/>
                <w:sz w:val="18"/>
                <w:szCs w:val="22"/>
              </w:rPr>
              <w:t>quipment-</w:t>
            </w:r>
            <w:r w:rsidR="0094580B">
              <w:rPr>
                <w:rFonts w:ascii="Arial Narrow" w:hAnsi="Arial Narrow"/>
                <w:color w:val="000000" w:themeColor="text1"/>
                <w:sz w:val="18"/>
                <w:szCs w:val="22"/>
              </w:rPr>
              <w:t>i</w:t>
            </w:r>
            <w:r w:rsidRPr="009E35ED">
              <w:rPr>
                <w:rFonts w:ascii="Arial Narrow" w:hAnsi="Arial Narrow"/>
                <w:color w:val="000000" w:themeColor="text1"/>
                <w:sz w:val="18"/>
                <w:szCs w:val="22"/>
              </w:rPr>
              <w:t xml:space="preserve">nformation and </w:t>
            </w:r>
            <w:r w:rsidR="0094580B">
              <w:rPr>
                <w:rFonts w:ascii="Arial Narrow" w:hAnsi="Arial Narrow"/>
                <w:color w:val="000000" w:themeColor="text1"/>
                <w:sz w:val="18"/>
                <w:szCs w:val="22"/>
              </w:rPr>
              <w:t>c</w:t>
            </w:r>
            <w:r w:rsidRPr="009E35ED">
              <w:rPr>
                <w:rFonts w:ascii="Arial Narrow" w:hAnsi="Arial Narrow"/>
                <w:color w:val="000000" w:themeColor="text1"/>
                <w:sz w:val="18"/>
                <w:szCs w:val="22"/>
              </w:rPr>
              <w:t xml:space="preserve">ommunication </w:t>
            </w:r>
            <w:r w:rsidR="0094580B">
              <w:rPr>
                <w:rFonts w:ascii="Arial Narrow" w:hAnsi="Arial Narrow"/>
                <w:color w:val="000000" w:themeColor="text1"/>
                <w:sz w:val="18"/>
                <w:szCs w:val="22"/>
              </w:rPr>
              <w:t>t</w:t>
            </w:r>
            <w:r w:rsidRPr="009E35ED">
              <w:rPr>
                <w:rFonts w:ascii="Arial Narrow" w:hAnsi="Arial Narrow"/>
                <w:color w:val="000000" w:themeColor="text1"/>
                <w:sz w:val="18"/>
                <w:szCs w:val="22"/>
              </w:rPr>
              <w:t xml:space="preserve">echnology </w:t>
            </w:r>
            <w:r w:rsidR="0094580B">
              <w:rPr>
                <w:rFonts w:ascii="Arial Narrow" w:hAnsi="Arial Narrow"/>
                <w:color w:val="000000" w:themeColor="text1"/>
                <w:sz w:val="18"/>
                <w:szCs w:val="22"/>
              </w:rPr>
              <w:t>e</w:t>
            </w:r>
            <w:r w:rsidRPr="009E35ED">
              <w:rPr>
                <w:rFonts w:ascii="Arial Narrow" w:hAnsi="Arial Narrow"/>
                <w:color w:val="000000" w:themeColor="text1"/>
                <w:sz w:val="18"/>
                <w:szCs w:val="22"/>
              </w:rPr>
              <w:t>quipment-</w:t>
            </w:r>
            <w:r w:rsidR="0094580B">
              <w:rPr>
                <w:rFonts w:ascii="Arial Narrow" w:hAnsi="Arial Narrow"/>
                <w:color w:val="000000" w:themeColor="text1"/>
                <w:sz w:val="18"/>
                <w:szCs w:val="22"/>
              </w:rPr>
              <w:t>b</w:t>
            </w:r>
            <w:r w:rsidRPr="009E35ED">
              <w:rPr>
                <w:rFonts w:ascii="Arial Narrow" w:hAnsi="Arial Narrow"/>
                <w:color w:val="000000" w:themeColor="text1"/>
                <w:sz w:val="18"/>
                <w:szCs w:val="22"/>
              </w:rPr>
              <w:t>ranch</w:t>
            </w:r>
          </w:p>
        </w:tc>
        <w:tc>
          <w:tcPr>
            <w:tcW w:w="1460" w:type="dxa"/>
            <w:tcBorders>
              <w:bottom w:val="single" w:sz="4" w:space="0" w:color="auto"/>
            </w:tcBorders>
            <w:shd w:val="clear" w:color="auto" w:fill="auto"/>
            <w:noWrap/>
            <w:hideMark/>
          </w:tcPr>
          <w:p w14:paraId="636F5330" w14:textId="77777777" w:rsidR="001C2255" w:rsidRPr="009E35ED" w:rsidRDefault="001C2255" w:rsidP="00FF441D">
            <w:pPr>
              <w:ind w:left="0" w:right="-112"/>
              <w:jc w:val="right"/>
              <w:rPr>
                <w:rFonts w:ascii="Arial Narrow" w:hAnsi="Arial Narrow"/>
                <w:color w:val="000000" w:themeColor="text1"/>
                <w:sz w:val="18"/>
                <w:szCs w:val="22"/>
              </w:rPr>
            </w:pPr>
          </w:p>
          <w:p w14:paraId="3377C395" w14:textId="4D918A31" w:rsidR="00B5638F" w:rsidRPr="009E35ED" w:rsidRDefault="00B5638F" w:rsidP="00FF441D">
            <w:pPr>
              <w:ind w:left="0" w:right="-112"/>
              <w:jc w:val="right"/>
              <w:rPr>
                <w:rFonts w:ascii="Arial Narrow" w:hAnsi="Arial Narrow" w:cs="Arial"/>
                <w:color w:val="000000" w:themeColor="text1"/>
                <w:sz w:val="18"/>
                <w:szCs w:val="22"/>
                <w:lang w:val="en-PH" w:eastAsia="en-PH"/>
              </w:rPr>
            </w:pPr>
            <w:r w:rsidRPr="009E35ED">
              <w:rPr>
                <w:rFonts w:ascii="Arial Narrow" w:hAnsi="Arial Narrow"/>
                <w:color w:val="000000" w:themeColor="text1"/>
                <w:sz w:val="18"/>
                <w:szCs w:val="22"/>
              </w:rPr>
              <w:t xml:space="preserve"> 165,252 </w:t>
            </w:r>
          </w:p>
        </w:tc>
      </w:tr>
      <w:tr w:rsidR="00997F75" w:rsidRPr="009E35ED" w14:paraId="5CAF55B7" w14:textId="77777777" w:rsidTr="00FF441D">
        <w:trPr>
          <w:trHeight w:val="281"/>
        </w:trPr>
        <w:tc>
          <w:tcPr>
            <w:tcW w:w="7180" w:type="dxa"/>
            <w:gridSpan w:val="2"/>
            <w:tcBorders>
              <w:top w:val="single" w:sz="4" w:space="0" w:color="auto"/>
              <w:bottom w:val="double" w:sz="4" w:space="0" w:color="auto"/>
            </w:tcBorders>
            <w:shd w:val="clear" w:color="auto" w:fill="auto"/>
            <w:noWrap/>
            <w:hideMark/>
          </w:tcPr>
          <w:p w14:paraId="17AAD1DB" w14:textId="4D699A5E" w:rsidR="00B5638F" w:rsidRPr="009E35ED" w:rsidRDefault="00B5638F" w:rsidP="00FF441D">
            <w:pPr>
              <w:ind w:left="-108"/>
              <w:jc w:val="left"/>
              <w:rPr>
                <w:rFonts w:ascii="Arial Narrow" w:hAnsi="Arial Narrow"/>
                <w:b/>
                <w:bCs/>
                <w:color w:val="000000" w:themeColor="text1"/>
                <w:sz w:val="18"/>
                <w:szCs w:val="22"/>
              </w:rPr>
            </w:pPr>
            <w:r w:rsidRPr="009E35ED">
              <w:rPr>
                <w:rFonts w:ascii="Arial Narrow" w:hAnsi="Arial Narrow"/>
                <w:b/>
                <w:bCs/>
                <w:color w:val="000000" w:themeColor="text1"/>
                <w:sz w:val="18"/>
                <w:szCs w:val="22"/>
              </w:rPr>
              <w:t>Restated Amount as of December 31, 2022 -Information and Communication Technology Equipment</w:t>
            </w:r>
          </w:p>
        </w:tc>
        <w:tc>
          <w:tcPr>
            <w:tcW w:w="1460" w:type="dxa"/>
            <w:tcBorders>
              <w:top w:val="single" w:sz="4" w:space="0" w:color="auto"/>
              <w:bottom w:val="double" w:sz="4" w:space="0" w:color="auto"/>
            </w:tcBorders>
            <w:shd w:val="clear" w:color="auto" w:fill="auto"/>
            <w:noWrap/>
            <w:hideMark/>
          </w:tcPr>
          <w:p w14:paraId="0F417197" w14:textId="7D0429C1" w:rsidR="00B5638F" w:rsidRPr="009E35ED" w:rsidRDefault="008D78E9" w:rsidP="003B4391">
            <w:pPr>
              <w:ind w:left="0" w:right="-112"/>
              <w:jc w:val="right"/>
              <w:rPr>
                <w:rFonts w:ascii="Arial Narrow" w:hAnsi="Arial Narrow"/>
                <w:b/>
                <w:bCs/>
                <w:color w:val="000000" w:themeColor="text1"/>
                <w:sz w:val="18"/>
                <w:szCs w:val="22"/>
              </w:rPr>
            </w:pPr>
            <w:r w:rsidRPr="009E35ED">
              <w:rPr>
                <w:rFonts w:ascii="Arial Narrow" w:hAnsi="Arial Narrow"/>
                <w:b/>
                <w:bCs/>
                <w:color w:val="000000" w:themeColor="text1"/>
                <w:sz w:val="18"/>
                <w:szCs w:val="22"/>
              </w:rPr>
              <w:t>25,225,</w:t>
            </w:r>
            <w:r w:rsidR="003B4391" w:rsidRPr="009E35ED">
              <w:rPr>
                <w:rFonts w:ascii="Arial Narrow" w:hAnsi="Arial Narrow"/>
                <w:b/>
                <w:bCs/>
                <w:color w:val="000000" w:themeColor="text1"/>
                <w:sz w:val="18"/>
                <w:szCs w:val="22"/>
              </w:rPr>
              <w:t>3</w:t>
            </w:r>
            <w:r w:rsidR="003B4391">
              <w:rPr>
                <w:rFonts w:ascii="Arial Narrow" w:hAnsi="Arial Narrow"/>
                <w:b/>
                <w:bCs/>
                <w:color w:val="000000" w:themeColor="text1"/>
                <w:sz w:val="18"/>
                <w:szCs w:val="22"/>
              </w:rPr>
              <w:t>45</w:t>
            </w:r>
          </w:p>
        </w:tc>
      </w:tr>
      <w:tr w:rsidR="00997F75" w:rsidRPr="009E35ED" w14:paraId="5F7EFAD4" w14:textId="77777777" w:rsidTr="00FF441D">
        <w:trPr>
          <w:trHeight w:val="310"/>
        </w:trPr>
        <w:tc>
          <w:tcPr>
            <w:tcW w:w="7180" w:type="dxa"/>
            <w:gridSpan w:val="2"/>
            <w:tcBorders>
              <w:top w:val="double" w:sz="4" w:space="0" w:color="auto"/>
            </w:tcBorders>
            <w:shd w:val="clear" w:color="auto" w:fill="auto"/>
            <w:noWrap/>
            <w:vAlign w:val="bottom"/>
            <w:hideMark/>
          </w:tcPr>
          <w:p w14:paraId="4D783F99" w14:textId="49215DD5" w:rsidR="006D6778" w:rsidRPr="009E35ED" w:rsidRDefault="006D6778" w:rsidP="00B5638F">
            <w:pPr>
              <w:ind w:left="0"/>
              <w:jc w:val="left"/>
              <w:rPr>
                <w:rFonts w:ascii="Arial Narrow" w:hAnsi="Arial Narrow" w:cs="Arial"/>
                <w:b/>
                <w:bCs/>
                <w:color w:val="000000" w:themeColor="text1"/>
                <w:sz w:val="22"/>
                <w:szCs w:val="22"/>
                <w:lang w:val="en-PH" w:eastAsia="en-PH"/>
              </w:rPr>
            </w:pPr>
          </w:p>
        </w:tc>
        <w:tc>
          <w:tcPr>
            <w:tcW w:w="1460" w:type="dxa"/>
            <w:tcBorders>
              <w:top w:val="double" w:sz="4" w:space="0" w:color="auto"/>
            </w:tcBorders>
            <w:shd w:val="clear" w:color="auto" w:fill="auto"/>
            <w:noWrap/>
          </w:tcPr>
          <w:p w14:paraId="192C9C90" w14:textId="2720EBE0" w:rsidR="00B5638F" w:rsidRPr="009E35ED" w:rsidRDefault="00B5638F" w:rsidP="00B5638F">
            <w:pPr>
              <w:ind w:left="0"/>
              <w:jc w:val="right"/>
              <w:rPr>
                <w:rFonts w:ascii="Arial Narrow" w:hAnsi="Arial Narrow" w:cs="Arial"/>
                <w:b/>
                <w:bCs/>
                <w:color w:val="000000" w:themeColor="text1"/>
                <w:sz w:val="22"/>
                <w:szCs w:val="22"/>
                <w:lang w:val="en-PH" w:eastAsia="en-PH"/>
              </w:rPr>
            </w:pPr>
          </w:p>
        </w:tc>
      </w:tr>
      <w:tr w:rsidR="00997F75" w:rsidRPr="009E35ED" w14:paraId="6629521B" w14:textId="77777777" w:rsidTr="00860ED6">
        <w:trPr>
          <w:trHeight w:val="193"/>
        </w:trPr>
        <w:tc>
          <w:tcPr>
            <w:tcW w:w="7180" w:type="dxa"/>
            <w:gridSpan w:val="2"/>
            <w:shd w:val="clear" w:color="auto" w:fill="auto"/>
            <w:noWrap/>
          </w:tcPr>
          <w:p w14:paraId="0D808272" w14:textId="0A408513" w:rsidR="00925F30" w:rsidRPr="009E35ED" w:rsidRDefault="00925F30" w:rsidP="00FF441D">
            <w:pPr>
              <w:ind w:left="-108"/>
              <w:jc w:val="left"/>
              <w:rPr>
                <w:rFonts w:ascii="Arial Narrow" w:hAnsi="Arial Narrow"/>
                <w:color w:val="000000" w:themeColor="text1"/>
                <w:sz w:val="18"/>
                <w:szCs w:val="18"/>
              </w:rPr>
            </w:pPr>
            <w:r w:rsidRPr="009E35ED">
              <w:rPr>
                <w:rFonts w:ascii="Arial Narrow" w:hAnsi="Arial Narrow"/>
                <w:color w:val="000000" w:themeColor="text1"/>
                <w:sz w:val="18"/>
                <w:szCs w:val="18"/>
              </w:rPr>
              <w:t xml:space="preserve">Unrestated </w:t>
            </w:r>
            <w:r w:rsidR="0094580B">
              <w:rPr>
                <w:rFonts w:ascii="Arial Narrow" w:hAnsi="Arial Narrow"/>
                <w:color w:val="000000" w:themeColor="text1"/>
                <w:sz w:val="18"/>
                <w:szCs w:val="18"/>
              </w:rPr>
              <w:t>a</w:t>
            </w:r>
            <w:r w:rsidRPr="009E35ED">
              <w:rPr>
                <w:rFonts w:ascii="Arial Narrow" w:hAnsi="Arial Narrow"/>
                <w:color w:val="000000" w:themeColor="text1"/>
                <w:sz w:val="18"/>
                <w:szCs w:val="18"/>
              </w:rPr>
              <w:t>mount as of December 31, 2022</w:t>
            </w:r>
          </w:p>
        </w:tc>
        <w:tc>
          <w:tcPr>
            <w:tcW w:w="1460" w:type="dxa"/>
            <w:shd w:val="clear" w:color="auto" w:fill="auto"/>
            <w:noWrap/>
          </w:tcPr>
          <w:p w14:paraId="588AF6C2" w14:textId="25E94350" w:rsidR="00925F30" w:rsidRPr="009E35ED" w:rsidRDefault="00925F30" w:rsidP="00FF441D">
            <w:pPr>
              <w:ind w:left="0" w:right="-108"/>
              <w:jc w:val="right"/>
              <w:rPr>
                <w:rFonts w:ascii="Arial Narrow" w:hAnsi="Arial Narrow"/>
                <w:color w:val="000000" w:themeColor="text1"/>
                <w:sz w:val="18"/>
                <w:szCs w:val="18"/>
              </w:rPr>
            </w:pPr>
            <w:r w:rsidRPr="009E35ED">
              <w:rPr>
                <w:rFonts w:ascii="Arial Narrow" w:hAnsi="Arial Narrow"/>
                <w:color w:val="000000" w:themeColor="text1"/>
                <w:sz w:val="18"/>
                <w:szCs w:val="18"/>
              </w:rPr>
              <w:t xml:space="preserve"> 139,183,094 </w:t>
            </w:r>
          </w:p>
        </w:tc>
      </w:tr>
      <w:tr w:rsidR="00997F75" w:rsidRPr="009E35ED" w14:paraId="60E81033" w14:textId="77777777" w:rsidTr="00FF441D">
        <w:trPr>
          <w:trHeight w:val="74"/>
        </w:trPr>
        <w:tc>
          <w:tcPr>
            <w:tcW w:w="7180" w:type="dxa"/>
            <w:gridSpan w:val="2"/>
            <w:shd w:val="clear" w:color="auto" w:fill="auto"/>
            <w:noWrap/>
            <w:hideMark/>
          </w:tcPr>
          <w:p w14:paraId="5A3FC9A5" w14:textId="72A6FA24" w:rsidR="00925F30" w:rsidRPr="009E35ED" w:rsidRDefault="00925F30" w:rsidP="00FF441D">
            <w:pPr>
              <w:ind w:left="-108"/>
              <w:jc w:val="left"/>
              <w:rPr>
                <w:rFonts w:ascii="Arial Narrow" w:hAnsi="Arial Narrow" w:cs="Arial"/>
                <w:color w:val="000000" w:themeColor="text1"/>
                <w:sz w:val="18"/>
                <w:szCs w:val="18"/>
                <w:lang w:val="en-PH" w:eastAsia="en-PH"/>
              </w:rPr>
            </w:pPr>
            <w:r w:rsidRPr="009E35ED">
              <w:rPr>
                <w:rFonts w:ascii="Arial Narrow" w:hAnsi="Arial Narrow"/>
                <w:color w:val="000000" w:themeColor="text1"/>
                <w:sz w:val="18"/>
                <w:szCs w:val="18"/>
              </w:rPr>
              <w:t xml:space="preserve">Adjustment/Recording of Transportation </w:t>
            </w:r>
            <w:r w:rsidR="0094580B">
              <w:rPr>
                <w:rFonts w:ascii="Arial Narrow" w:hAnsi="Arial Narrow"/>
                <w:color w:val="000000" w:themeColor="text1"/>
                <w:sz w:val="18"/>
                <w:szCs w:val="18"/>
              </w:rPr>
              <w:t>e</w:t>
            </w:r>
            <w:r w:rsidRPr="009E35ED">
              <w:rPr>
                <w:rFonts w:ascii="Arial Narrow" w:hAnsi="Arial Narrow"/>
                <w:color w:val="000000" w:themeColor="text1"/>
                <w:sz w:val="18"/>
                <w:szCs w:val="18"/>
              </w:rPr>
              <w:t>quipment-</w:t>
            </w:r>
            <w:r w:rsidR="0094580B">
              <w:rPr>
                <w:rFonts w:ascii="Arial Narrow" w:hAnsi="Arial Narrow"/>
                <w:color w:val="000000" w:themeColor="text1"/>
                <w:sz w:val="18"/>
                <w:szCs w:val="18"/>
              </w:rPr>
              <w:t>m</w:t>
            </w:r>
            <w:r w:rsidRPr="009E35ED">
              <w:rPr>
                <w:rFonts w:ascii="Arial Narrow" w:hAnsi="Arial Narrow"/>
                <w:color w:val="000000" w:themeColor="text1"/>
                <w:sz w:val="18"/>
                <w:szCs w:val="18"/>
              </w:rPr>
              <w:t xml:space="preserve">otor </w:t>
            </w:r>
            <w:r w:rsidR="0094580B">
              <w:rPr>
                <w:rFonts w:ascii="Arial Narrow" w:hAnsi="Arial Narrow"/>
                <w:color w:val="000000" w:themeColor="text1"/>
                <w:sz w:val="18"/>
                <w:szCs w:val="18"/>
              </w:rPr>
              <w:t>v</w:t>
            </w:r>
            <w:r w:rsidRPr="009E35ED">
              <w:rPr>
                <w:rFonts w:ascii="Arial Narrow" w:hAnsi="Arial Narrow"/>
                <w:color w:val="000000" w:themeColor="text1"/>
                <w:sz w:val="18"/>
                <w:szCs w:val="18"/>
              </w:rPr>
              <w:t>ehicle-</w:t>
            </w:r>
            <w:r w:rsidR="0094580B">
              <w:rPr>
                <w:rFonts w:ascii="Arial Narrow" w:hAnsi="Arial Narrow"/>
                <w:color w:val="000000" w:themeColor="text1"/>
                <w:sz w:val="18"/>
                <w:szCs w:val="18"/>
              </w:rPr>
              <w:t>b</w:t>
            </w:r>
            <w:r w:rsidRPr="009E35ED">
              <w:rPr>
                <w:rFonts w:ascii="Arial Narrow" w:hAnsi="Arial Narrow"/>
                <w:color w:val="000000" w:themeColor="text1"/>
                <w:sz w:val="18"/>
                <w:szCs w:val="18"/>
              </w:rPr>
              <w:t>ranch</w:t>
            </w:r>
          </w:p>
        </w:tc>
        <w:tc>
          <w:tcPr>
            <w:tcW w:w="1460" w:type="dxa"/>
            <w:shd w:val="clear" w:color="auto" w:fill="auto"/>
            <w:noWrap/>
            <w:hideMark/>
          </w:tcPr>
          <w:p w14:paraId="7ACE8C44" w14:textId="18F21B79" w:rsidR="00925F30" w:rsidRPr="009E35ED" w:rsidRDefault="00925F30" w:rsidP="00FF441D">
            <w:pPr>
              <w:ind w:left="0" w:right="-108"/>
              <w:jc w:val="right"/>
              <w:rPr>
                <w:rFonts w:ascii="Arial Narrow" w:hAnsi="Arial Narrow" w:cs="Arial"/>
                <w:color w:val="000000" w:themeColor="text1"/>
                <w:sz w:val="18"/>
                <w:szCs w:val="18"/>
                <w:lang w:val="en-PH" w:eastAsia="en-PH"/>
              </w:rPr>
            </w:pPr>
            <w:r w:rsidRPr="009E35ED">
              <w:rPr>
                <w:rFonts w:ascii="Arial Narrow" w:hAnsi="Arial Narrow"/>
                <w:color w:val="000000" w:themeColor="text1"/>
                <w:sz w:val="18"/>
                <w:szCs w:val="18"/>
              </w:rPr>
              <w:t xml:space="preserve"> (71,900.00)</w:t>
            </w:r>
          </w:p>
        </w:tc>
      </w:tr>
      <w:tr w:rsidR="00997F75" w:rsidRPr="009E35ED" w14:paraId="2696C9EF" w14:textId="77777777" w:rsidTr="00FF441D">
        <w:trPr>
          <w:trHeight w:val="74"/>
        </w:trPr>
        <w:tc>
          <w:tcPr>
            <w:tcW w:w="7180" w:type="dxa"/>
            <w:gridSpan w:val="2"/>
            <w:shd w:val="clear" w:color="auto" w:fill="auto"/>
            <w:noWrap/>
          </w:tcPr>
          <w:p w14:paraId="621E8DDF" w14:textId="3CABC105" w:rsidR="00925F30" w:rsidRPr="009E35ED" w:rsidRDefault="00925F30" w:rsidP="00FF441D">
            <w:pPr>
              <w:ind w:left="-108"/>
              <w:jc w:val="left"/>
              <w:rPr>
                <w:rFonts w:ascii="Arial Narrow" w:hAnsi="Arial Narrow"/>
                <w:color w:val="000000" w:themeColor="text1"/>
                <w:sz w:val="18"/>
                <w:szCs w:val="18"/>
              </w:rPr>
            </w:pPr>
            <w:r w:rsidRPr="009E35ED">
              <w:rPr>
                <w:rFonts w:ascii="Arial Narrow" w:hAnsi="Arial Narrow"/>
                <w:color w:val="000000" w:themeColor="text1"/>
                <w:sz w:val="18"/>
                <w:szCs w:val="18"/>
              </w:rPr>
              <w:t xml:space="preserve">Adjustment/Recording of Depreciation </w:t>
            </w:r>
            <w:r w:rsidR="0094580B">
              <w:rPr>
                <w:rFonts w:ascii="Arial Narrow" w:hAnsi="Arial Narrow"/>
                <w:color w:val="000000" w:themeColor="text1"/>
                <w:sz w:val="18"/>
                <w:szCs w:val="18"/>
              </w:rPr>
              <w:t>e</w:t>
            </w:r>
            <w:r w:rsidRPr="009E35ED">
              <w:rPr>
                <w:rFonts w:ascii="Arial Narrow" w:hAnsi="Arial Narrow"/>
                <w:color w:val="000000" w:themeColor="text1"/>
                <w:sz w:val="18"/>
                <w:szCs w:val="18"/>
              </w:rPr>
              <w:t>xpenses-</w:t>
            </w:r>
            <w:r w:rsidR="0094580B">
              <w:rPr>
                <w:rFonts w:ascii="Arial Narrow" w:hAnsi="Arial Narrow"/>
                <w:color w:val="000000" w:themeColor="text1"/>
                <w:sz w:val="18"/>
                <w:szCs w:val="18"/>
              </w:rPr>
              <w:t>t</w:t>
            </w:r>
            <w:r w:rsidRPr="009E35ED">
              <w:rPr>
                <w:rFonts w:ascii="Arial Narrow" w:hAnsi="Arial Narrow"/>
                <w:color w:val="000000" w:themeColor="text1"/>
                <w:sz w:val="18"/>
                <w:szCs w:val="18"/>
              </w:rPr>
              <w:t xml:space="preserve">ransportation </w:t>
            </w:r>
            <w:r w:rsidR="0094580B">
              <w:rPr>
                <w:rFonts w:ascii="Arial Narrow" w:hAnsi="Arial Narrow"/>
                <w:color w:val="000000" w:themeColor="text1"/>
                <w:sz w:val="18"/>
                <w:szCs w:val="18"/>
              </w:rPr>
              <w:t>e</w:t>
            </w:r>
            <w:r w:rsidRPr="009E35ED">
              <w:rPr>
                <w:rFonts w:ascii="Arial Narrow" w:hAnsi="Arial Narrow"/>
                <w:color w:val="000000" w:themeColor="text1"/>
                <w:sz w:val="18"/>
                <w:szCs w:val="18"/>
              </w:rPr>
              <w:t>quipment-</w:t>
            </w:r>
            <w:r w:rsidR="0094580B">
              <w:rPr>
                <w:rFonts w:ascii="Arial Narrow" w:hAnsi="Arial Narrow"/>
                <w:color w:val="000000" w:themeColor="text1"/>
                <w:sz w:val="18"/>
                <w:szCs w:val="18"/>
              </w:rPr>
              <w:t>m</w:t>
            </w:r>
            <w:r w:rsidRPr="009E35ED">
              <w:rPr>
                <w:rFonts w:ascii="Arial Narrow" w:hAnsi="Arial Narrow"/>
                <w:color w:val="000000" w:themeColor="text1"/>
                <w:sz w:val="18"/>
                <w:szCs w:val="18"/>
              </w:rPr>
              <w:t xml:space="preserve">otor </w:t>
            </w:r>
            <w:r w:rsidR="0094580B">
              <w:rPr>
                <w:rFonts w:ascii="Arial Narrow" w:hAnsi="Arial Narrow"/>
                <w:color w:val="000000" w:themeColor="text1"/>
                <w:sz w:val="18"/>
                <w:szCs w:val="18"/>
              </w:rPr>
              <w:t>v</w:t>
            </w:r>
            <w:r w:rsidRPr="009E35ED">
              <w:rPr>
                <w:rFonts w:ascii="Arial Narrow" w:hAnsi="Arial Narrow"/>
                <w:color w:val="000000" w:themeColor="text1"/>
                <w:sz w:val="18"/>
                <w:szCs w:val="18"/>
              </w:rPr>
              <w:t>ehicle-</w:t>
            </w:r>
            <w:r w:rsidR="0094580B">
              <w:rPr>
                <w:rFonts w:ascii="Arial Narrow" w:hAnsi="Arial Narrow"/>
                <w:color w:val="000000" w:themeColor="text1"/>
                <w:sz w:val="18"/>
                <w:szCs w:val="18"/>
              </w:rPr>
              <w:t>h</w:t>
            </w:r>
            <w:r w:rsidRPr="009E35ED">
              <w:rPr>
                <w:rFonts w:ascii="Arial Narrow" w:hAnsi="Arial Narrow"/>
                <w:color w:val="000000" w:themeColor="text1"/>
                <w:sz w:val="18"/>
                <w:szCs w:val="18"/>
              </w:rPr>
              <w:t xml:space="preserve">ead </w:t>
            </w:r>
            <w:r w:rsidR="0094580B">
              <w:rPr>
                <w:rFonts w:ascii="Arial Narrow" w:hAnsi="Arial Narrow"/>
                <w:color w:val="000000" w:themeColor="text1"/>
                <w:sz w:val="18"/>
                <w:szCs w:val="18"/>
              </w:rPr>
              <w:t>o</w:t>
            </w:r>
            <w:r w:rsidRPr="009E35ED">
              <w:rPr>
                <w:rFonts w:ascii="Arial Narrow" w:hAnsi="Arial Narrow"/>
                <w:color w:val="000000" w:themeColor="text1"/>
                <w:sz w:val="18"/>
                <w:szCs w:val="18"/>
              </w:rPr>
              <w:t>ffice</w:t>
            </w:r>
          </w:p>
        </w:tc>
        <w:tc>
          <w:tcPr>
            <w:tcW w:w="1460" w:type="dxa"/>
            <w:shd w:val="clear" w:color="auto" w:fill="auto"/>
            <w:noWrap/>
          </w:tcPr>
          <w:p w14:paraId="49358E09" w14:textId="1B14BE36" w:rsidR="00925F30" w:rsidRPr="009E35ED" w:rsidRDefault="00925F30" w:rsidP="00FF441D">
            <w:pPr>
              <w:ind w:left="0" w:right="-108"/>
              <w:jc w:val="right"/>
              <w:rPr>
                <w:rFonts w:ascii="Arial Narrow" w:hAnsi="Arial Narrow"/>
                <w:color w:val="000000" w:themeColor="text1"/>
                <w:sz w:val="18"/>
                <w:szCs w:val="18"/>
              </w:rPr>
            </w:pPr>
            <w:r w:rsidRPr="009E35ED">
              <w:rPr>
                <w:rFonts w:ascii="Arial Narrow" w:hAnsi="Arial Narrow"/>
                <w:color w:val="000000" w:themeColor="text1"/>
                <w:sz w:val="18"/>
                <w:szCs w:val="18"/>
              </w:rPr>
              <w:t xml:space="preserve"> 48,970.24 </w:t>
            </w:r>
          </w:p>
        </w:tc>
      </w:tr>
      <w:tr w:rsidR="00997F75" w:rsidRPr="009E35ED" w14:paraId="12E9848C" w14:textId="77777777" w:rsidTr="00FF441D">
        <w:trPr>
          <w:trHeight w:val="281"/>
        </w:trPr>
        <w:tc>
          <w:tcPr>
            <w:tcW w:w="7180" w:type="dxa"/>
            <w:gridSpan w:val="2"/>
            <w:tcBorders>
              <w:bottom w:val="single" w:sz="4" w:space="0" w:color="auto"/>
            </w:tcBorders>
            <w:shd w:val="clear" w:color="auto" w:fill="auto"/>
            <w:noWrap/>
            <w:hideMark/>
          </w:tcPr>
          <w:p w14:paraId="41C26C57" w14:textId="06E4FE3B" w:rsidR="00925F30" w:rsidRPr="009E35ED" w:rsidRDefault="00925F30" w:rsidP="00FF441D">
            <w:pPr>
              <w:ind w:left="-108"/>
              <w:jc w:val="left"/>
              <w:rPr>
                <w:rFonts w:ascii="Arial Narrow" w:hAnsi="Arial Narrow" w:cs="Arial"/>
                <w:color w:val="000000" w:themeColor="text1"/>
                <w:sz w:val="18"/>
                <w:szCs w:val="18"/>
                <w:lang w:val="en-PH" w:eastAsia="en-PH"/>
              </w:rPr>
            </w:pPr>
            <w:r w:rsidRPr="009E35ED">
              <w:rPr>
                <w:rFonts w:ascii="Arial Narrow" w:hAnsi="Arial Narrow"/>
                <w:color w:val="000000" w:themeColor="text1"/>
                <w:sz w:val="18"/>
                <w:szCs w:val="18"/>
              </w:rPr>
              <w:t xml:space="preserve">Adjustment/Recording of Depreciation </w:t>
            </w:r>
            <w:r w:rsidR="0094580B">
              <w:rPr>
                <w:rFonts w:ascii="Arial Narrow" w:hAnsi="Arial Narrow"/>
                <w:color w:val="000000" w:themeColor="text1"/>
                <w:sz w:val="18"/>
                <w:szCs w:val="18"/>
              </w:rPr>
              <w:t>e</w:t>
            </w:r>
            <w:r w:rsidRPr="009E35ED">
              <w:rPr>
                <w:rFonts w:ascii="Arial Narrow" w:hAnsi="Arial Narrow"/>
                <w:color w:val="000000" w:themeColor="text1"/>
                <w:sz w:val="18"/>
                <w:szCs w:val="18"/>
              </w:rPr>
              <w:t>xpenses-</w:t>
            </w:r>
            <w:r w:rsidR="0094580B">
              <w:rPr>
                <w:rFonts w:ascii="Arial Narrow" w:hAnsi="Arial Narrow"/>
                <w:color w:val="000000" w:themeColor="text1"/>
                <w:sz w:val="18"/>
                <w:szCs w:val="18"/>
              </w:rPr>
              <w:t>t</w:t>
            </w:r>
            <w:r w:rsidRPr="009E35ED">
              <w:rPr>
                <w:rFonts w:ascii="Arial Narrow" w:hAnsi="Arial Narrow"/>
                <w:color w:val="000000" w:themeColor="text1"/>
                <w:sz w:val="18"/>
                <w:szCs w:val="18"/>
              </w:rPr>
              <w:t xml:space="preserve">ransportation </w:t>
            </w:r>
            <w:r w:rsidR="0094580B">
              <w:rPr>
                <w:rFonts w:ascii="Arial Narrow" w:hAnsi="Arial Narrow"/>
                <w:color w:val="000000" w:themeColor="text1"/>
                <w:sz w:val="18"/>
                <w:szCs w:val="18"/>
              </w:rPr>
              <w:t>e</w:t>
            </w:r>
            <w:r w:rsidRPr="009E35ED">
              <w:rPr>
                <w:rFonts w:ascii="Arial Narrow" w:hAnsi="Arial Narrow"/>
                <w:color w:val="000000" w:themeColor="text1"/>
                <w:sz w:val="18"/>
                <w:szCs w:val="18"/>
              </w:rPr>
              <w:t>quipment-</w:t>
            </w:r>
            <w:r w:rsidR="0094580B">
              <w:rPr>
                <w:rFonts w:ascii="Arial Narrow" w:hAnsi="Arial Narrow"/>
                <w:color w:val="000000" w:themeColor="text1"/>
                <w:sz w:val="18"/>
                <w:szCs w:val="18"/>
              </w:rPr>
              <w:t>m</w:t>
            </w:r>
            <w:r w:rsidRPr="009E35ED">
              <w:rPr>
                <w:rFonts w:ascii="Arial Narrow" w:hAnsi="Arial Narrow"/>
                <w:color w:val="000000" w:themeColor="text1"/>
                <w:sz w:val="18"/>
                <w:szCs w:val="18"/>
              </w:rPr>
              <w:t xml:space="preserve">otor </w:t>
            </w:r>
            <w:r w:rsidR="0094580B">
              <w:rPr>
                <w:rFonts w:ascii="Arial Narrow" w:hAnsi="Arial Narrow"/>
                <w:color w:val="000000" w:themeColor="text1"/>
                <w:sz w:val="18"/>
                <w:szCs w:val="18"/>
              </w:rPr>
              <w:t>v</w:t>
            </w:r>
            <w:r w:rsidRPr="009E35ED">
              <w:rPr>
                <w:rFonts w:ascii="Arial Narrow" w:hAnsi="Arial Narrow"/>
                <w:color w:val="000000" w:themeColor="text1"/>
                <w:sz w:val="18"/>
                <w:szCs w:val="18"/>
              </w:rPr>
              <w:t>ehicle-</w:t>
            </w:r>
            <w:r w:rsidR="0094580B">
              <w:rPr>
                <w:rFonts w:ascii="Arial Narrow" w:hAnsi="Arial Narrow"/>
                <w:color w:val="000000" w:themeColor="text1"/>
                <w:sz w:val="18"/>
                <w:szCs w:val="18"/>
              </w:rPr>
              <w:t>b</w:t>
            </w:r>
            <w:r w:rsidRPr="009E35ED">
              <w:rPr>
                <w:rFonts w:ascii="Arial Narrow" w:hAnsi="Arial Narrow"/>
                <w:color w:val="000000" w:themeColor="text1"/>
                <w:sz w:val="18"/>
                <w:szCs w:val="18"/>
              </w:rPr>
              <w:t>ranch</w:t>
            </w:r>
          </w:p>
        </w:tc>
        <w:tc>
          <w:tcPr>
            <w:tcW w:w="1460" w:type="dxa"/>
            <w:tcBorders>
              <w:bottom w:val="single" w:sz="4" w:space="0" w:color="auto"/>
            </w:tcBorders>
            <w:shd w:val="clear" w:color="auto" w:fill="auto"/>
            <w:noWrap/>
            <w:hideMark/>
          </w:tcPr>
          <w:p w14:paraId="0766EEF3" w14:textId="60982190" w:rsidR="00925F30" w:rsidRPr="009E35ED" w:rsidRDefault="00925F30" w:rsidP="00FF441D">
            <w:pPr>
              <w:ind w:left="0" w:right="-108"/>
              <w:jc w:val="right"/>
              <w:rPr>
                <w:rFonts w:ascii="Arial Narrow" w:hAnsi="Arial Narrow" w:cs="Arial"/>
                <w:color w:val="000000" w:themeColor="text1"/>
                <w:sz w:val="18"/>
                <w:szCs w:val="18"/>
                <w:lang w:val="en-PH" w:eastAsia="en-PH"/>
              </w:rPr>
            </w:pPr>
            <w:r w:rsidRPr="009E35ED">
              <w:rPr>
                <w:rFonts w:ascii="Arial Narrow" w:hAnsi="Arial Narrow"/>
                <w:color w:val="000000" w:themeColor="text1"/>
                <w:sz w:val="18"/>
                <w:szCs w:val="18"/>
              </w:rPr>
              <w:t xml:space="preserve"> 258,506.55 </w:t>
            </w:r>
          </w:p>
        </w:tc>
      </w:tr>
      <w:tr w:rsidR="006B0AD5" w:rsidRPr="009E35ED" w14:paraId="66BB4D35" w14:textId="77777777" w:rsidTr="00FF441D">
        <w:trPr>
          <w:trHeight w:val="281"/>
        </w:trPr>
        <w:tc>
          <w:tcPr>
            <w:tcW w:w="7180" w:type="dxa"/>
            <w:gridSpan w:val="2"/>
            <w:tcBorders>
              <w:top w:val="single" w:sz="4" w:space="0" w:color="auto"/>
              <w:bottom w:val="double" w:sz="4" w:space="0" w:color="auto"/>
            </w:tcBorders>
            <w:shd w:val="clear" w:color="auto" w:fill="auto"/>
            <w:noWrap/>
            <w:hideMark/>
          </w:tcPr>
          <w:p w14:paraId="238E9F0A" w14:textId="5B323E47" w:rsidR="00925F30" w:rsidRPr="009E35ED" w:rsidRDefault="00925F30" w:rsidP="00FF441D">
            <w:pPr>
              <w:ind w:left="-108"/>
              <w:jc w:val="left"/>
              <w:rPr>
                <w:rFonts w:ascii="Arial Narrow" w:hAnsi="Arial Narrow" w:cs="Arial"/>
                <w:b/>
                <w:bCs/>
                <w:color w:val="000000" w:themeColor="text1"/>
                <w:sz w:val="18"/>
                <w:szCs w:val="18"/>
                <w:lang w:val="en-PH" w:eastAsia="en-PH"/>
              </w:rPr>
            </w:pPr>
            <w:r w:rsidRPr="009E35ED">
              <w:rPr>
                <w:rFonts w:ascii="Arial Narrow" w:hAnsi="Arial Narrow"/>
                <w:b/>
                <w:bCs/>
                <w:color w:val="000000" w:themeColor="text1"/>
                <w:sz w:val="18"/>
                <w:szCs w:val="18"/>
              </w:rPr>
              <w:t>Restated Amount as of December 31, 2022 -Motor Vehicle</w:t>
            </w:r>
          </w:p>
        </w:tc>
        <w:tc>
          <w:tcPr>
            <w:tcW w:w="1460" w:type="dxa"/>
            <w:tcBorders>
              <w:top w:val="single" w:sz="4" w:space="0" w:color="auto"/>
              <w:bottom w:val="double" w:sz="4" w:space="0" w:color="auto"/>
            </w:tcBorders>
            <w:shd w:val="clear" w:color="auto" w:fill="auto"/>
            <w:noWrap/>
            <w:hideMark/>
          </w:tcPr>
          <w:p w14:paraId="3178149B" w14:textId="5A1AB457" w:rsidR="00925F30" w:rsidRPr="009E35ED" w:rsidRDefault="00925F30" w:rsidP="00FF441D">
            <w:pPr>
              <w:ind w:left="0" w:right="-108"/>
              <w:jc w:val="right"/>
              <w:rPr>
                <w:rFonts w:ascii="Arial Narrow" w:hAnsi="Arial Narrow" w:cs="Arial"/>
                <w:b/>
                <w:bCs/>
                <w:color w:val="000000" w:themeColor="text1"/>
                <w:sz w:val="18"/>
                <w:szCs w:val="18"/>
                <w:lang w:val="en-PH" w:eastAsia="en-PH"/>
              </w:rPr>
            </w:pPr>
            <w:r w:rsidRPr="009E35ED">
              <w:rPr>
                <w:rFonts w:ascii="Arial Narrow" w:hAnsi="Arial Narrow"/>
                <w:b/>
                <w:bCs/>
                <w:color w:val="000000" w:themeColor="text1"/>
                <w:sz w:val="18"/>
                <w:szCs w:val="18"/>
              </w:rPr>
              <w:t xml:space="preserve"> 139,418,671 </w:t>
            </w:r>
          </w:p>
        </w:tc>
      </w:tr>
    </w:tbl>
    <w:p w14:paraId="06A5273A" w14:textId="77777777" w:rsidR="00DA5AD4" w:rsidRPr="009E35ED" w:rsidRDefault="00DA5AD4" w:rsidP="00753571">
      <w:pPr>
        <w:ind w:left="0"/>
        <w:rPr>
          <w:rFonts w:ascii="Arial" w:hAnsi="Arial" w:cs="Arial"/>
          <w:color w:val="000000" w:themeColor="text1"/>
          <w:sz w:val="22"/>
          <w:szCs w:val="22"/>
        </w:rPr>
      </w:pPr>
    </w:p>
    <w:p w14:paraId="7467D6E9" w14:textId="3AC4006B" w:rsidR="00A01AAA" w:rsidRPr="0094580B" w:rsidRDefault="00A01AAA">
      <w:pPr>
        <w:ind w:left="0"/>
        <w:rPr>
          <w:rFonts w:ascii="Arial" w:hAnsi="Arial" w:cs="Arial"/>
          <w:color w:val="000000" w:themeColor="text1"/>
          <w:sz w:val="22"/>
          <w:szCs w:val="22"/>
        </w:rPr>
      </w:pPr>
      <w:r w:rsidRPr="0094580B">
        <w:rPr>
          <w:rFonts w:ascii="Arial" w:hAnsi="Arial" w:cs="Arial"/>
          <w:color w:val="000000" w:themeColor="text1"/>
          <w:sz w:val="22"/>
          <w:szCs w:val="22"/>
        </w:rPr>
        <w:t xml:space="preserve">The Land account and Other </w:t>
      </w:r>
      <w:r w:rsidR="00C67B39">
        <w:rPr>
          <w:rFonts w:ascii="Arial" w:hAnsi="Arial" w:cs="Arial"/>
          <w:color w:val="000000" w:themeColor="text1"/>
          <w:sz w:val="22"/>
          <w:szCs w:val="22"/>
        </w:rPr>
        <w:t>l</w:t>
      </w:r>
      <w:r w:rsidRPr="0094580B">
        <w:rPr>
          <w:rFonts w:ascii="Arial" w:hAnsi="Arial" w:cs="Arial"/>
          <w:color w:val="000000" w:themeColor="text1"/>
          <w:sz w:val="22"/>
          <w:szCs w:val="22"/>
        </w:rPr>
        <w:t xml:space="preserve">and </w:t>
      </w:r>
      <w:r w:rsidR="00C67B39">
        <w:rPr>
          <w:rFonts w:ascii="Arial" w:hAnsi="Arial" w:cs="Arial"/>
          <w:color w:val="000000" w:themeColor="text1"/>
          <w:sz w:val="22"/>
          <w:szCs w:val="22"/>
        </w:rPr>
        <w:t>i</w:t>
      </w:r>
      <w:r w:rsidRPr="0094580B">
        <w:rPr>
          <w:rFonts w:ascii="Arial" w:hAnsi="Arial" w:cs="Arial"/>
          <w:color w:val="000000" w:themeColor="text1"/>
          <w:sz w:val="22"/>
          <w:szCs w:val="22"/>
        </w:rPr>
        <w:t>mprovements re</w:t>
      </w:r>
      <w:r w:rsidR="009745AD" w:rsidRPr="0094580B">
        <w:rPr>
          <w:rFonts w:ascii="Arial" w:hAnsi="Arial" w:cs="Arial"/>
          <w:color w:val="000000" w:themeColor="text1"/>
          <w:sz w:val="22"/>
          <w:szCs w:val="22"/>
        </w:rPr>
        <w:t xml:space="preserve">main the same amounting to </w:t>
      </w:r>
      <w:r w:rsidR="00F10767" w:rsidRPr="0094580B">
        <w:rPr>
          <w:rFonts w:ascii="Arial" w:hAnsi="Arial" w:cs="Arial"/>
          <w:color w:val="000000" w:themeColor="text1"/>
          <w:sz w:val="22"/>
          <w:szCs w:val="22"/>
        </w:rPr>
        <w:t>P</w:t>
      </w:r>
      <w:r w:rsidR="009745AD" w:rsidRPr="0094580B">
        <w:rPr>
          <w:rFonts w:ascii="Arial" w:hAnsi="Arial" w:cs="Arial"/>
          <w:color w:val="000000" w:themeColor="text1"/>
          <w:sz w:val="22"/>
          <w:szCs w:val="22"/>
        </w:rPr>
        <w:t xml:space="preserve">484,296,000.00 and </w:t>
      </w:r>
      <w:r w:rsidR="00F10767" w:rsidRPr="0094580B">
        <w:rPr>
          <w:rFonts w:ascii="Arial" w:hAnsi="Arial" w:cs="Arial"/>
          <w:color w:val="000000" w:themeColor="text1"/>
          <w:sz w:val="22"/>
          <w:szCs w:val="22"/>
        </w:rPr>
        <w:t>P</w:t>
      </w:r>
      <w:r w:rsidR="009745AD" w:rsidRPr="0094580B">
        <w:rPr>
          <w:rFonts w:ascii="Arial" w:hAnsi="Arial" w:cs="Arial"/>
          <w:color w:val="000000" w:themeColor="text1"/>
          <w:sz w:val="22"/>
          <w:szCs w:val="22"/>
        </w:rPr>
        <w:t>1</w:t>
      </w:r>
      <w:r w:rsidRPr="0094580B">
        <w:rPr>
          <w:rFonts w:ascii="Arial" w:hAnsi="Arial" w:cs="Arial"/>
          <w:color w:val="000000" w:themeColor="text1"/>
          <w:sz w:val="22"/>
          <w:szCs w:val="22"/>
        </w:rPr>
        <w:t>02,000.00 respectively.</w:t>
      </w:r>
    </w:p>
    <w:p w14:paraId="4EACA912" w14:textId="77777777" w:rsidR="00A01AAA" w:rsidRPr="0094580B" w:rsidRDefault="00A01AAA" w:rsidP="00860ED6">
      <w:pPr>
        <w:ind w:left="0"/>
        <w:rPr>
          <w:rFonts w:ascii="Arial" w:eastAsia="Calibri" w:hAnsi="Arial" w:cs="Arial"/>
          <w:color w:val="000000" w:themeColor="text1"/>
          <w:sz w:val="22"/>
          <w:szCs w:val="22"/>
        </w:rPr>
      </w:pPr>
    </w:p>
    <w:p w14:paraId="6A918AFC" w14:textId="61FEAC26" w:rsidR="00C42A48" w:rsidRPr="0094580B" w:rsidRDefault="00C02303">
      <w:pPr>
        <w:ind w:left="0"/>
        <w:rPr>
          <w:rFonts w:ascii="Arial" w:hAnsi="Arial" w:cs="Arial"/>
          <w:color w:val="000000" w:themeColor="text1"/>
          <w:sz w:val="22"/>
          <w:szCs w:val="22"/>
        </w:rPr>
      </w:pPr>
      <w:r w:rsidRPr="0094580B">
        <w:rPr>
          <w:rFonts w:ascii="Arial" w:hAnsi="Arial" w:cs="Arial"/>
          <w:sz w:val="22"/>
          <w:szCs w:val="22"/>
        </w:rPr>
        <w:t>The increase in Building and</w:t>
      </w:r>
      <w:r w:rsidR="00C67B39">
        <w:rPr>
          <w:rFonts w:ascii="Arial" w:hAnsi="Arial" w:cs="Arial"/>
          <w:sz w:val="22"/>
          <w:szCs w:val="22"/>
        </w:rPr>
        <w:t xml:space="preserve"> l</w:t>
      </w:r>
      <w:r w:rsidRPr="0094580B">
        <w:rPr>
          <w:rFonts w:ascii="Arial" w:hAnsi="Arial" w:cs="Arial"/>
          <w:sz w:val="22"/>
          <w:szCs w:val="22"/>
        </w:rPr>
        <w:t xml:space="preserve">easehold </w:t>
      </w:r>
      <w:r w:rsidR="00C67B39">
        <w:rPr>
          <w:rFonts w:ascii="Arial" w:hAnsi="Arial" w:cs="Arial"/>
          <w:sz w:val="22"/>
          <w:szCs w:val="22"/>
        </w:rPr>
        <w:t>i</w:t>
      </w:r>
      <w:r w:rsidRPr="0094580B">
        <w:rPr>
          <w:rFonts w:ascii="Arial" w:hAnsi="Arial" w:cs="Arial"/>
          <w:sz w:val="22"/>
          <w:szCs w:val="22"/>
        </w:rPr>
        <w:t xml:space="preserve">mprovement is due to the additional lease of warehouse at Pasig Central Business Park (PCBP) Warehouse Office Complex owned by the GSIS, in the amount of </w:t>
      </w:r>
      <w:r w:rsidR="00F10767" w:rsidRPr="0094580B">
        <w:rPr>
          <w:rFonts w:ascii="Arial" w:hAnsi="Arial" w:cs="Arial"/>
          <w:sz w:val="22"/>
          <w:szCs w:val="22"/>
        </w:rPr>
        <w:t>P</w:t>
      </w:r>
      <w:r w:rsidRPr="0094580B">
        <w:rPr>
          <w:rFonts w:ascii="Arial" w:hAnsi="Arial" w:cs="Arial"/>
          <w:sz w:val="22"/>
          <w:szCs w:val="22"/>
        </w:rPr>
        <w:t xml:space="preserve">52,835,818.85. </w:t>
      </w:r>
      <w:r w:rsidR="00546B82" w:rsidRPr="0094580B">
        <w:rPr>
          <w:rFonts w:ascii="Arial" w:hAnsi="Arial" w:cs="Arial"/>
          <w:color w:val="000000" w:themeColor="text1"/>
          <w:sz w:val="22"/>
          <w:szCs w:val="22"/>
        </w:rPr>
        <w:t xml:space="preserve">Various leasehold improvements </w:t>
      </w:r>
      <w:r w:rsidR="00F42C3E" w:rsidRPr="0094580B">
        <w:rPr>
          <w:rFonts w:ascii="Arial" w:hAnsi="Arial" w:cs="Arial"/>
          <w:color w:val="000000" w:themeColor="text1"/>
          <w:sz w:val="22"/>
          <w:szCs w:val="22"/>
        </w:rPr>
        <w:t>were also made during the year</w:t>
      </w:r>
      <w:r w:rsidR="00C756F8" w:rsidRPr="0094580B">
        <w:rPr>
          <w:rFonts w:ascii="Arial" w:hAnsi="Arial" w:cs="Arial"/>
          <w:color w:val="000000" w:themeColor="text1"/>
          <w:sz w:val="22"/>
          <w:szCs w:val="22"/>
        </w:rPr>
        <w:t xml:space="preserve"> </w:t>
      </w:r>
      <w:r w:rsidR="006D2E41" w:rsidRPr="0094580B">
        <w:rPr>
          <w:rFonts w:ascii="Arial" w:hAnsi="Arial" w:cs="Arial"/>
          <w:color w:val="000000" w:themeColor="text1"/>
          <w:sz w:val="22"/>
          <w:szCs w:val="22"/>
        </w:rPr>
        <w:t xml:space="preserve">totaling </w:t>
      </w:r>
      <w:r w:rsidR="00F10767" w:rsidRPr="0094580B">
        <w:rPr>
          <w:rFonts w:ascii="Arial" w:hAnsi="Arial" w:cs="Arial"/>
          <w:color w:val="000000" w:themeColor="text1"/>
          <w:sz w:val="22"/>
          <w:szCs w:val="22"/>
        </w:rPr>
        <w:t>P</w:t>
      </w:r>
      <w:r w:rsidR="006D2E41" w:rsidRPr="0094580B">
        <w:rPr>
          <w:rFonts w:ascii="Arial" w:hAnsi="Arial" w:cs="Arial"/>
          <w:color w:val="000000" w:themeColor="text1"/>
          <w:sz w:val="22"/>
          <w:szCs w:val="22"/>
        </w:rPr>
        <w:t>28</w:t>
      </w:r>
      <w:r w:rsidR="00D80A8A" w:rsidRPr="0094580B">
        <w:rPr>
          <w:rFonts w:ascii="Arial" w:hAnsi="Arial" w:cs="Arial"/>
          <w:color w:val="000000" w:themeColor="text1"/>
          <w:sz w:val="22"/>
          <w:szCs w:val="22"/>
        </w:rPr>
        <w:t xml:space="preserve">,604,110, including costs for the construction and installation of the Data Center for </w:t>
      </w:r>
      <w:r w:rsidR="0051478C" w:rsidRPr="0094580B">
        <w:rPr>
          <w:rFonts w:ascii="Arial" w:hAnsi="Arial" w:cs="Arial"/>
          <w:color w:val="000000" w:themeColor="text1"/>
          <w:sz w:val="22"/>
          <w:szCs w:val="22"/>
        </w:rPr>
        <w:t xml:space="preserve">PLS and fit-out works for </w:t>
      </w:r>
      <w:r w:rsidR="002836D9" w:rsidRPr="0094580B">
        <w:rPr>
          <w:rFonts w:ascii="Arial" w:hAnsi="Arial" w:cs="Arial"/>
          <w:color w:val="000000" w:themeColor="text1"/>
          <w:sz w:val="22"/>
          <w:szCs w:val="22"/>
        </w:rPr>
        <w:t>PCSO-Leased Warehous</w:t>
      </w:r>
      <w:r w:rsidR="00AF2B4A" w:rsidRPr="0094580B">
        <w:rPr>
          <w:rFonts w:ascii="Arial" w:hAnsi="Arial" w:cs="Arial"/>
          <w:color w:val="000000" w:themeColor="text1"/>
          <w:sz w:val="22"/>
          <w:szCs w:val="22"/>
        </w:rPr>
        <w:t>e</w:t>
      </w:r>
      <w:r w:rsidR="002836D9" w:rsidRPr="0094580B">
        <w:rPr>
          <w:rFonts w:ascii="Arial" w:hAnsi="Arial" w:cs="Arial"/>
          <w:color w:val="000000" w:themeColor="text1"/>
          <w:sz w:val="22"/>
          <w:szCs w:val="22"/>
        </w:rPr>
        <w:t xml:space="preserve"> at GSIS </w:t>
      </w:r>
      <w:r w:rsidR="00AF2B4A" w:rsidRPr="0094580B">
        <w:rPr>
          <w:rFonts w:ascii="Arial" w:hAnsi="Arial" w:cs="Arial"/>
          <w:color w:val="000000" w:themeColor="text1"/>
          <w:sz w:val="22"/>
          <w:szCs w:val="22"/>
        </w:rPr>
        <w:t xml:space="preserve">Central </w:t>
      </w:r>
      <w:r w:rsidR="00D43328" w:rsidRPr="0094580B">
        <w:rPr>
          <w:rFonts w:ascii="Arial" w:hAnsi="Arial" w:cs="Arial"/>
          <w:color w:val="000000" w:themeColor="text1"/>
          <w:sz w:val="22"/>
          <w:szCs w:val="22"/>
        </w:rPr>
        <w:t>Business</w:t>
      </w:r>
      <w:r w:rsidR="00AF2B4A" w:rsidRPr="0094580B">
        <w:rPr>
          <w:rFonts w:ascii="Arial" w:hAnsi="Arial" w:cs="Arial"/>
          <w:color w:val="000000" w:themeColor="text1"/>
          <w:sz w:val="22"/>
          <w:szCs w:val="22"/>
        </w:rPr>
        <w:t xml:space="preserve"> Park in Pasig City.</w:t>
      </w:r>
      <w:r w:rsidR="0051478C" w:rsidRPr="0094580B">
        <w:rPr>
          <w:rFonts w:ascii="Arial" w:hAnsi="Arial" w:cs="Arial"/>
          <w:color w:val="000000" w:themeColor="text1"/>
          <w:sz w:val="22"/>
          <w:szCs w:val="22"/>
        </w:rPr>
        <w:t xml:space="preserve"> </w:t>
      </w:r>
      <w:r w:rsidR="00C42A48" w:rsidRPr="0094580B">
        <w:rPr>
          <w:rFonts w:ascii="Arial" w:hAnsi="Arial" w:cs="Arial"/>
          <w:color w:val="000000" w:themeColor="text1"/>
          <w:sz w:val="22"/>
          <w:szCs w:val="22"/>
        </w:rPr>
        <w:t xml:space="preserve">   </w:t>
      </w:r>
    </w:p>
    <w:p w14:paraId="6025C0C6" w14:textId="1D73349D" w:rsidR="002B1C9E" w:rsidRPr="009E35ED" w:rsidRDefault="002B1C9E" w:rsidP="00A01AAA">
      <w:pPr>
        <w:spacing w:line="259" w:lineRule="auto"/>
        <w:ind w:left="0"/>
        <w:rPr>
          <w:rFonts w:ascii="Arial" w:eastAsia="Calibri" w:hAnsi="Arial" w:cs="Arial"/>
          <w:color w:val="000000" w:themeColor="text1"/>
          <w:sz w:val="22"/>
          <w:szCs w:val="22"/>
        </w:rPr>
      </w:pPr>
    </w:p>
    <w:p w14:paraId="79B08C94" w14:textId="77777777" w:rsidR="00C7309A" w:rsidRPr="009E35ED" w:rsidRDefault="00C7309A" w:rsidP="00C7309A">
      <w:pPr>
        <w:ind w:left="0"/>
        <w:rPr>
          <w:rFonts w:ascii="Arial" w:hAnsi="Arial" w:cs="Arial"/>
          <w:color w:val="000000" w:themeColor="text1"/>
          <w:sz w:val="22"/>
          <w:szCs w:val="22"/>
        </w:rPr>
      </w:pPr>
      <w:r w:rsidRPr="009E35ED">
        <w:rPr>
          <w:rFonts w:ascii="Arial" w:hAnsi="Arial" w:cs="Arial"/>
          <w:color w:val="000000" w:themeColor="text1"/>
          <w:sz w:val="22"/>
          <w:szCs w:val="22"/>
        </w:rPr>
        <w:t>Further, the booking of Building accounts was transferred to respective branches during the year for Cavite, Cagayan, Aklan, Cebu and Ilocos Sur.</w:t>
      </w:r>
    </w:p>
    <w:p w14:paraId="6F5DB9DF" w14:textId="77777777" w:rsidR="00C7309A" w:rsidRPr="009E35ED" w:rsidRDefault="00C7309A" w:rsidP="00A01AAA">
      <w:pPr>
        <w:spacing w:line="259" w:lineRule="auto"/>
        <w:ind w:left="0"/>
        <w:rPr>
          <w:rFonts w:ascii="Arial" w:eastAsia="Calibri" w:hAnsi="Arial" w:cs="Arial"/>
          <w:color w:val="000000" w:themeColor="text1"/>
          <w:sz w:val="22"/>
          <w:szCs w:val="22"/>
        </w:rPr>
      </w:pPr>
    </w:p>
    <w:p w14:paraId="7B9E3977" w14:textId="223AAC72" w:rsidR="00B846EC" w:rsidRPr="009E35ED" w:rsidRDefault="00A01AAA" w:rsidP="00A01AAA">
      <w:pPr>
        <w:ind w:left="0"/>
        <w:rPr>
          <w:rFonts w:ascii="Arial" w:hAnsi="Arial" w:cs="Arial"/>
          <w:color w:val="000000" w:themeColor="text1"/>
          <w:sz w:val="22"/>
          <w:szCs w:val="22"/>
        </w:rPr>
      </w:pPr>
      <w:r w:rsidRPr="009E35ED">
        <w:rPr>
          <w:rFonts w:ascii="Arial" w:hAnsi="Arial" w:cs="Arial"/>
          <w:color w:val="000000" w:themeColor="text1"/>
          <w:sz w:val="22"/>
          <w:szCs w:val="22"/>
        </w:rPr>
        <w:t xml:space="preserve">The Office </w:t>
      </w:r>
      <w:r w:rsidR="00C67B39">
        <w:rPr>
          <w:rFonts w:ascii="Arial" w:hAnsi="Arial" w:cs="Arial"/>
          <w:color w:val="000000" w:themeColor="text1"/>
          <w:sz w:val="22"/>
          <w:szCs w:val="22"/>
        </w:rPr>
        <w:t>f</w:t>
      </w:r>
      <w:r w:rsidR="00C67B39" w:rsidRPr="009E35ED">
        <w:rPr>
          <w:rFonts w:ascii="Arial" w:hAnsi="Arial" w:cs="Arial"/>
          <w:color w:val="000000" w:themeColor="text1"/>
          <w:sz w:val="22"/>
          <w:szCs w:val="22"/>
        </w:rPr>
        <w:t>urniture</w:t>
      </w:r>
      <w:r w:rsidRPr="009E35ED">
        <w:rPr>
          <w:rFonts w:ascii="Arial" w:hAnsi="Arial" w:cs="Arial"/>
          <w:color w:val="000000" w:themeColor="text1"/>
          <w:sz w:val="22"/>
          <w:szCs w:val="22"/>
        </w:rPr>
        <w:t xml:space="preserve">, </w:t>
      </w:r>
      <w:r w:rsidR="00C67B39">
        <w:rPr>
          <w:rFonts w:ascii="Arial" w:hAnsi="Arial" w:cs="Arial"/>
          <w:color w:val="000000" w:themeColor="text1"/>
          <w:sz w:val="22"/>
          <w:szCs w:val="22"/>
        </w:rPr>
        <w:t>e</w:t>
      </w:r>
      <w:r w:rsidRPr="009E35ED">
        <w:rPr>
          <w:rFonts w:ascii="Arial" w:hAnsi="Arial" w:cs="Arial"/>
          <w:color w:val="000000" w:themeColor="text1"/>
          <w:sz w:val="22"/>
          <w:szCs w:val="22"/>
        </w:rPr>
        <w:t xml:space="preserve">quipment and </w:t>
      </w:r>
      <w:r w:rsidR="00C67B39">
        <w:rPr>
          <w:rFonts w:ascii="Arial" w:hAnsi="Arial" w:cs="Arial"/>
          <w:color w:val="000000" w:themeColor="text1"/>
          <w:sz w:val="22"/>
          <w:szCs w:val="22"/>
        </w:rPr>
        <w:t>m</w:t>
      </w:r>
      <w:r w:rsidRPr="009E35ED">
        <w:rPr>
          <w:rFonts w:ascii="Arial" w:hAnsi="Arial" w:cs="Arial"/>
          <w:color w:val="000000" w:themeColor="text1"/>
          <w:sz w:val="22"/>
          <w:szCs w:val="22"/>
        </w:rPr>
        <w:t xml:space="preserve">achineries includes the purchases of </w:t>
      </w:r>
      <w:r w:rsidR="00C67B39">
        <w:rPr>
          <w:rFonts w:ascii="Arial" w:hAnsi="Arial" w:cs="Arial"/>
          <w:color w:val="000000" w:themeColor="text1"/>
          <w:sz w:val="22"/>
          <w:szCs w:val="22"/>
        </w:rPr>
        <w:t>su</w:t>
      </w:r>
      <w:r w:rsidRPr="009E35ED">
        <w:rPr>
          <w:rFonts w:ascii="Arial" w:hAnsi="Arial" w:cs="Arial"/>
          <w:color w:val="000000" w:themeColor="text1"/>
          <w:sz w:val="22"/>
          <w:szCs w:val="22"/>
        </w:rPr>
        <w:t xml:space="preserve">pply and </w:t>
      </w:r>
      <w:r w:rsidR="00C67B39">
        <w:rPr>
          <w:rFonts w:ascii="Arial" w:hAnsi="Arial" w:cs="Arial"/>
          <w:color w:val="000000" w:themeColor="text1"/>
          <w:sz w:val="22"/>
          <w:szCs w:val="22"/>
        </w:rPr>
        <w:t>i</w:t>
      </w:r>
      <w:r w:rsidRPr="009E35ED">
        <w:rPr>
          <w:rFonts w:ascii="Arial" w:hAnsi="Arial" w:cs="Arial"/>
          <w:color w:val="000000" w:themeColor="text1"/>
          <w:sz w:val="22"/>
          <w:szCs w:val="22"/>
        </w:rPr>
        <w:t>nstallation of air</w:t>
      </w:r>
      <w:r w:rsidR="00AF2B4A" w:rsidRPr="009E35ED">
        <w:rPr>
          <w:rFonts w:ascii="Arial" w:hAnsi="Arial" w:cs="Arial"/>
          <w:color w:val="000000" w:themeColor="text1"/>
          <w:sz w:val="22"/>
          <w:szCs w:val="22"/>
        </w:rPr>
        <w:t xml:space="preserve"> </w:t>
      </w:r>
      <w:r w:rsidRPr="009E35ED">
        <w:rPr>
          <w:rFonts w:ascii="Arial" w:hAnsi="Arial" w:cs="Arial"/>
          <w:color w:val="000000" w:themeColor="text1"/>
          <w:sz w:val="22"/>
          <w:szCs w:val="22"/>
        </w:rPr>
        <w:t xml:space="preserve">conditioning units - </w:t>
      </w:r>
      <w:r w:rsidR="00954561" w:rsidRPr="009E35ED">
        <w:rPr>
          <w:rFonts w:ascii="Arial" w:hAnsi="Arial" w:cs="Arial"/>
          <w:color w:val="000000" w:themeColor="text1"/>
          <w:sz w:val="22"/>
          <w:szCs w:val="22"/>
        </w:rPr>
        <w:t>six</w:t>
      </w:r>
      <w:r w:rsidRPr="009E35ED">
        <w:rPr>
          <w:rFonts w:ascii="Arial" w:hAnsi="Arial" w:cs="Arial"/>
          <w:color w:val="000000" w:themeColor="text1"/>
          <w:sz w:val="22"/>
          <w:szCs w:val="22"/>
        </w:rPr>
        <w:t xml:space="preserve"> (</w:t>
      </w:r>
      <w:r w:rsidR="00954561" w:rsidRPr="009E35ED">
        <w:rPr>
          <w:rFonts w:ascii="Arial" w:hAnsi="Arial" w:cs="Arial"/>
          <w:color w:val="000000" w:themeColor="text1"/>
          <w:sz w:val="22"/>
          <w:szCs w:val="22"/>
        </w:rPr>
        <w:t>6</w:t>
      </w:r>
      <w:r w:rsidRPr="009E35ED">
        <w:rPr>
          <w:rFonts w:ascii="Arial" w:hAnsi="Arial" w:cs="Arial"/>
          <w:color w:val="000000" w:themeColor="text1"/>
          <w:sz w:val="22"/>
          <w:szCs w:val="22"/>
        </w:rPr>
        <w:t>) units fr</w:t>
      </w:r>
      <w:r w:rsidR="009745AD" w:rsidRPr="009E35ED">
        <w:rPr>
          <w:rFonts w:ascii="Arial" w:hAnsi="Arial" w:cs="Arial"/>
          <w:color w:val="000000" w:themeColor="text1"/>
          <w:sz w:val="22"/>
          <w:szCs w:val="22"/>
        </w:rPr>
        <w:t xml:space="preserve">om </w:t>
      </w:r>
      <w:r w:rsidR="00954561" w:rsidRPr="009E35ED">
        <w:rPr>
          <w:rFonts w:ascii="Arial" w:hAnsi="Arial" w:cs="Arial"/>
          <w:color w:val="000000" w:themeColor="text1"/>
          <w:sz w:val="22"/>
          <w:szCs w:val="22"/>
        </w:rPr>
        <w:t>the H</w:t>
      </w:r>
      <w:r w:rsidR="009745AD" w:rsidRPr="009E35ED">
        <w:rPr>
          <w:rFonts w:ascii="Arial" w:hAnsi="Arial" w:cs="Arial"/>
          <w:color w:val="000000" w:themeColor="text1"/>
          <w:sz w:val="22"/>
          <w:szCs w:val="22"/>
        </w:rPr>
        <w:t xml:space="preserve">ead </w:t>
      </w:r>
      <w:r w:rsidR="00954561" w:rsidRPr="009E35ED">
        <w:rPr>
          <w:rFonts w:ascii="Arial" w:hAnsi="Arial" w:cs="Arial"/>
          <w:color w:val="000000" w:themeColor="text1"/>
          <w:sz w:val="22"/>
          <w:szCs w:val="22"/>
        </w:rPr>
        <w:t>O</w:t>
      </w:r>
      <w:r w:rsidR="009745AD" w:rsidRPr="009E35ED">
        <w:rPr>
          <w:rFonts w:ascii="Arial" w:hAnsi="Arial" w:cs="Arial"/>
          <w:color w:val="000000" w:themeColor="text1"/>
          <w:sz w:val="22"/>
          <w:szCs w:val="22"/>
        </w:rPr>
        <w:t xml:space="preserve">ffice amounting to </w:t>
      </w:r>
      <w:r w:rsidR="00F10767">
        <w:rPr>
          <w:rFonts w:ascii="Arial" w:hAnsi="Arial" w:cs="Arial"/>
          <w:color w:val="000000" w:themeColor="text1"/>
          <w:sz w:val="22"/>
          <w:szCs w:val="22"/>
        </w:rPr>
        <w:t>P</w:t>
      </w:r>
      <w:r w:rsidR="00954561" w:rsidRPr="009E35ED">
        <w:rPr>
          <w:rFonts w:ascii="Arial" w:hAnsi="Arial" w:cs="Arial"/>
          <w:color w:val="000000" w:themeColor="text1"/>
          <w:sz w:val="22"/>
          <w:szCs w:val="22"/>
        </w:rPr>
        <w:t>919</w:t>
      </w:r>
      <w:r w:rsidRPr="009E35ED">
        <w:rPr>
          <w:rFonts w:ascii="Arial" w:hAnsi="Arial" w:cs="Arial"/>
          <w:color w:val="000000" w:themeColor="text1"/>
          <w:sz w:val="22"/>
          <w:szCs w:val="22"/>
        </w:rPr>
        <w:t>,</w:t>
      </w:r>
      <w:r w:rsidR="0093672E" w:rsidRPr="009E35ED">
        <w:rPr>
          <w:rFonts w:ascii="Arial" w:hAnsi="Arial" w:cs="Arial"/>
          <w:color w:val="000000" w:themeColor="text1"/>
          <w:sz w:val="22"/>
          <w:szCs w:val="22"/>
        </w:rPr>
        <w:t>337</w:t>
      </w:r>
      <w:r w:rsidRPr="009E35ED">
        <w:rPr>
          <w:rFonts w:ascii="Arial" w:hAnsi="Arial" w:cs="Arial"/>
          <w:color w:val="000000" w:themeColor="text1"/>
          <w:sz w:val="22"/>
          <w:szCs w:val="22"/>
        </w:rPr>
        <w:t xml:space="preserve">; </w:t>
      </w:r>
      <w:r w:rsidR="00C7309A" w:rsidRPr="009E35ED">
        <w:rPr>
          <w:rFonts w:ascii="Arial" w:hAnsi="Arial" w:cs="Arial"/>
          <w:color w:val="000000" w:themeColor="text1"/>
          <w:sz w:val="22"/>
          <w:szCs w:val="22"/>
        </w:rPr>
        <w:t>o</w:t>
      </w:r>
      <w:r w:rsidRPr="009E35ED">
        <w:rPr>
          <w:rFonts w:ascii="Arial" w:hAnsi="Arial" w:cs="Arial"/>
          <w:color w:val="000000" w:themeColor="text1"/>
          <w:sz w:val="22"/>
          <w:szCs w:val="22"/>
        </w:rPr>
        <w:t xml:space="preserve">ne (1) </w:t>
      </w:r>
      <w:r w:rsidR="0093672E" w:rsidRPr="009E35ED">
        <w:rPr>
          <w:rFonts w:ascii="Arial" w:hAnsi="Arial" w:cs="Arial"/>
          <w:color w:val="000000" w:themeColor="text1"/>
          <w:sz w:val="22"/>
          <w:szCs w:val="22"/>
        </w:rPr>
        <w:t>ID Printer</w:t>
      </w:r>
      <w:r w:rsidR="009745AD" w:rsidRPr="009E35ED">
        <w:rPr>
          <w:rFonts w:ascii="Arial" w:hAnsi="Arial" w:cs="Arial"/>
          <w:color w:val="000000" w:themeColor="text1"/>
          <w:sz w:val="22"/>
          <w:szCs w:val="22"/>
        </w:rPr>
        <w:t xml:space="preserve"> amounting to </w:t>
      </w:r>
      <w:r w:rsidR="00F10767">
        <w:rPr>
          <w:rFonts w:ascii="Arial" w:hAnsi="Arial" w:cs="Arial"/>
          <w:color w:val="000000" w:themeColor="text1"/>
          <w:sz w:val="22"/>
          <w:szCs w:val="22"/>
        </w:rPr>
        <w:t>P</w:t>
      </w:r>
      <w:r w:rsidR="0093672E" w:rsidRPr="009E35ED">
        <w:rPr>
          <w:rFonts w:ascii="Arial" w:hAnsi="Arial" w:cs="Arial"/>
          <w:color w:val="000000" w:themeColor="text1"/>
          <w:sz w:val="22"/>
          <w:szCs w:val="22"/>
        </w:rPr>
        <w:t>108</w:t>
      </w:r>
      <w:r w:rsidRPr="009E35ED">
        <w:rPr>
          <w:rFonts w:ascii="Arial" w:hAnsi="Arial" w:cs="Arial"/>
          <w:color w:val="000000" w:themeColor="text1"/>
          <w:sz w:val="22"/>
          <w:szCs w:val="22"/>
        </w:rPr>
        <w:t>,000</w:t>
      </w:r>
      <w:r w:rsidR="00B4298C" w:rsidRPr="009E35ED">
        <w:rPr>
          <w:rFonts w:ascii="Arial" w:hAnsi="Arial" w:cs="Arial"/>
          <w:color w:val="000000" w:themeColor="text1"/>
          <w:sz w:val="22"/>
          <w:szCs w:val="22"/>
        </w:rPr>
        <w:t xml:space="preserve">; </w:t>
      </w:r>
      <w:r w:rsidR="00F329C4" w:rsidRPr="009E35ED">
        <w:rPr>
          <w:rFonts w:ascii="Arial" w:hAnsi="Arial" w:cs="Arial"/>
          <w:color w:val="000000" w:themeColor="text1"/>
          <w:sz w:val="22"/>
          <w:szCs w:val="22"/>
        </w:rPr>
        <w:t>one (1)</w:t>
      </w:r>
      <w:r w:rsidR="00041827" w:rsidRPr="009E35ED">
        <w:rPr>
          <w:rFonts w:ascii="Arial" w:hAnsi="Arial" w:cs="Arial"/>
          <w:color w:val="000000" w:themeColor="text1"/>
          <w:sz w:val="22"/>
          <w:szCs w:val="22"/>
        </w:rPr>
        <w:t xml:space="preserve"> </w:t>
      </w:r>
      <w:r w:rsidR="006845EB" w:rsidRPr="009E35ED">
        <w:rPr>
          <w:rFonts w:ascii="Arial" w:hAnsi="Arial" w:cs="Arial"/>
          <w:color w:val="000000" w:themeColor="text1"/>
          <w:sz w:val="22"/>
          <w:szCs w:val="22"/>
        </w:rPr>
        <w:t>W</w:t>
      </w:r>
      <w:r w:rsidR="00041827" w:rsidRPr="009E35ED">
        <w:rPr>
          <w:rFonts w:ascii="Arial" w:hAnsi="Arial" w:cs="Arial"/>
          <w:color w:val="000000" w:themeColor="text1"/>
          <w:sz w:val="22"/>
          <w:szCs w:val="22"/>
        </w:rPr>
        <w:t>orkforce</w:t>
      </w:r>
      <w:r w:rsidR="006845EB" w:rsidRPr="009E35ED">
        <w:rPr>
          <w:rFonts w:ascii="Arial" w:hAnsi="Arial" w:cs="Arial"/>
          <w:color w:val="000000" w:themeColor="text1"/>
          <w:sz w:val="22"/>
          <w:szCs w:val="22"/>
        </w:rPr>
        <w:t xml:space="preserve"> Multi-Functional Printer</w:t>
      </w:r>
      <w:r w:rsidR="00041827" w:rsidRPr="009E35ED">
        <w:rPr>
          <w:rFonts w:ascii="Arial" w:hAnsi="Arial" w:cs="Arial"/>
          <w:color w:val="000000" w:themeColor="text1"/>
          <w:sz w:val="22"/>
          <w:szCs w:val="22"/>
        </w:rPr>
        <w:t xml:space="preserve"> </w:t>
      </w:r>
      <w:r w:rsidR="006845EB" w:rsidRPr="009E35ED">
        <w:rPr>
          <w:rFonts w:ascii="Arial" w:hAnsi="Arial" w:cs="Arial"/>
          <w:color w:val="000000" w:themeColor="text1"/>
          <w:sz w:val="22"/>
          <w:szCs w:val="22"/>
        </w:rPr>
        <w:t xml:space="preserve">amounting to </w:t>
      </w:r>
      <w:r w:rsidR="00F10767">
        <w:rPr>
          <w:rFonts w:ascii="Arial" w:hAnsi="Arial" w:cs="Arial"/>
          <w:color w:val="000000" w:themeColor="text1"/>
          <w:sz w:val="22"/>
          <w:szCs w:val="22"/>
        </w:rPr>
        <w:t>P</w:t>
      </w:r>
      <w:r w:rsidR="006845EB" w:rsidRPr="009E35ED">
        <w:rPr>
          <w:rFonts w:ascii="Arial" w:hAnsi="Arial" w:cs="Arial"/>
          <w:color w:val="000000" w:themeColor="text1"/>
          <w:sz w:val="22"/>
          <w:szCs w:val="22"/>
        </w:rPr>
        <w:t>567,000</w:t>
      </w:r>
      <w:r w:rsidR="00B4298C" w:rsidRPr="009E35ED">
        <w:rPr>
          <w:rFonts w:ascii="Arial" w:hAnsi="Arial" w:cs="Arial"/>
          <w:color w:val="000000" w:themeColor="text1"/>
          <w:sz w:val="22"/>
          <w:szCs w:val="22"/>
        </w:rPr>
        <w:t xml:space="preserve">; </w:t>
      </w:r>
      <w:r w:rsidR="007A2061" w:rsidRPr="009E35ED">
        <w:rPr>
          <w:rFonts w:ascii="Arial" w:hAnsi="Arial" w:cs="Arial"/>
          <w:color w:val="000000" w:themeColor="text1"/>
          <w:sz w:val="22"/>
          <w:szCs w:val="22"/>
        </w:rPr>
        <w:t>Upgrade of CCTV Surveil</w:t>
      </w:r>
      <w:r w:rsidR="00DE70E2" w:rsidRPr="009E35ED">
        <w:rPr>
          <w:rFonts w:ascii="Arial" w:hAnsi="Arial" w:cs="Arial"/>
          <w:color w:val="000000" w:themeColor="text1"/>
          <w:sz w:val="22"/>
          <w:szCs w:val="22"/>
        </w:rPr>
        <w:t>l</w:t>
      </w:r>
      <w:r w:rsidR="007A2061" w:rsidRPr="009E35ED">
        <w:rPr>
          <w:rFonts w:ascii="Arial" w:hAnsi="Arial" w:cs="Arial"/>
          <w:color w:val="000000" w:themeColor="text1"/>
          <w:sz w:val="22"/>
          <w:szCs w:val="22"/>
        </w:rPr>
        <w:t xml:space="preserve">ance System at the Head </w:t>
      </w:r>
      <w:r w:rsidR="000F4B57" w:rsidRPr="009E35ED">
        <w:rPr>
          <w:rFonts w:ascii="Arial" w:hAnsi="Arial" w:cs="Arial"/>
          <w:color w:val="000000" w:themeColor="text1"/>
          <w:sz w:val="22"/>
          <w:szCs w:val="22"/>
        </w:rPr>
        <w:t>O</w:t>
      </w:r>
      <w:r w:rsidR="007A2061" w:rsidRPr="009E35ED">
        <w:rPr>
          <w:rFonts w:ascii="Arial" w:hAnsi="Arial" w:cs="Arial"/>
          <w:color w:val="000000" w:themeColor="text1"/>
          <w:sz w:val="22"/>
          <w:szCs w:val="22"/>
        </w:rPr>
        <w:t>ffice</w:t>
      </w:r>
      <w:r w:rsidR="000F4B57" w:rsidRPr="009E35ED">
        <w:rPr>
          <w:rFonts w:ascii="Arial" w:hAnsi="Arial" w:cs="Arial"/>
          <w:color w:val="000000" w:themeColor="text1"/>
          <w:sz w:val="22"/>
          <w:szCs w:val="22"/>
        </w:rPr>
        <w:t xml:space="preserve"> totaling </w:t>
      </w:r>
      <w:r w:rsidR="00F10767">
        <w:rPr>
          <w:rFonts w:ascii="Arial" w:hAnsi="Arial" w:cs="Arial"/>
          <w:color w:val="000000" w:themeColor="text1"/>
          <w:sz w:val="22"/>
          <w:szCs w:val="22"/>
        </w:rPr>
        <w:t>P</w:t>
      </w:r>
      <w:r w:rsidR="000F4B57" w:rsidRPr="009E35ED">
        <w:rPr>
          <w:rFonts w:ascii="Arial" w:hAnsi="Arial" w:cs="Arial"/>
          <w:color w:val="000000" w:themeColor="text1"/>
          <w:sz w:val="22"/>
          <w:szCs w:val="22"/>
        </w:rPr>
        <w:t>393,393</w:t>
      </w:r>
      <w:r w:rsidR="00313235" w:rsidRPr="009E35ED">
        <w:rPr>
          <w:rFonts w:ascii="Arial" w:hAnsi="Arial" w:cs="Arial"/>
          <w:color w:val="000000" w:themeColor="text1"/>
          <w:sz w:val="22"/>
          <w:szCs w:val="22"/>
        </w:rPr>
        <w:t>;</w:t>
      </w:r>
      <w:r w:rsidR="00B4298C" w:rsidRPr="009E35ED">
        <w:rPr>
          <w:rFonts w:ascii="Arial" w:hAnsi="Arial" w:cs="Arial"/>
          <w:color w:val="000000" w:themeColor="text1"/>
          <w:sz w:val="22"/>
          <w:szCs w:val="22"/>
        </w:rPr>
        <w:t xml:space="preserve"> </w:t>
      </w:r>
      <w:r w:rsidR="00B37C0A">
        <w:rPr>
          <w:rFonts w:ascii="Arial" w:hAnsi="Arial" w:cs="Arial"/>
          <w:color w:val="000000" w:themeColor="text1"/>
          <w:sz w:val="22"/>
          <w:szCs w:val="22"/>
        </w:rPr>
        <w:t xml:space="preserve">and </w:t>
      </w:r>
      <w:r w:rsidR="00313235" w:rsidRPr="009E35ED">
        <w:rPr>
          <w:rFonts w:ascii="Arial" w:hAnsi="Arial" w:cs="Arial"/>
          <w:color w:val="000000" w:themeColor="text1"/>
          <w:sz w:val="22"/>
          <w:szCs w:val="22"/>
        </w:rPr>
        <w:t xml:space="preserve">one </w:t>
      </w:r>
      <w:r w:rsidR="00B4298C" w:rsidRPr="009E35ED">
        <w:rPr>
          <w:rFonts w:ascii="Arial" w:hAnsi="Arial" w:cs="Arial"/>
          <w:color w:val="000000" w:themeColor="text1"/>
          <w:sz w:val="22"/>
          <w:szCs w:val="22"/>
        </w:rPr>
        <w:t>(</w:t>
      </w:r>
      <w:r w:rsidR="00313235" w:rsidRPr="009E35ED">
        <w:rPr>
          <w:rFonts w:ascii="Arial" w:hAnsi="Arial" w:cs="Arial"/>
          <w:color w:val="000000" w:themeColor="text1"/>
          <w:sz w:val="22"/>
          <w:szCs w:val="22"/>
        </w:rPr>
        <w:t>1</w:t>
      </w:r>
      <w:r w:rsidR="00B4298C" w:rsidRPr="009E35ED">
        <w:rPr>
          <w:rFonts w:ascii="Arial" w:hAnsi="Arial" w:cs="Arial"/>
          <w:color w:val="000000" w:themeColor="text1"/>
          <w:sz w:val="22"/>
          <w:szCs w:val="22"/>
        </w:rPr>
        <w:t xml:space="preserve">) unit of </w:t>
      </w:r>
      <w:r w:rsidR="002C39A7" w:rsidRPr="009E35ED">
        <w:rPr>
          <w:rFonts w:ascii="Arial" w:hAnsi="Arial" w:cs="Arial"/>
          <w:color w:val="000000" w:themeColor="text1"/>
          <w:sz w:val="22"/>
          <w:szCs w:val="22"/>
        </w:rPr>
        <w:t>5-Color EB Of</w:t>
      </w:r>
      <w:r w:rsidR="00E416ED" w:rsidRPr="009E35ED">
        <w:rPr>
          <w:rFonts w:ascii="Arial" w:hAnsi="Arial" w:cs="Arial"/>
          <w:color w:val="000000" w:themeColor="text1"/>
          <w:sz w:val="22"/>
          <w:szCs w:val="22"/>
        </w:rPr>
        <w:t xml:space="preserve">fset Printing Machine amounting to </w:t>
      </w:r>
      <w:r w:rsidR="00F10767">
        <w:rPr>
          <w:rFonts w:ascii="Arial" w:hAnsi="Arial" w:cs="Arial"/>
          <w:color w:val="000000" w:themeColor="text1"/>
          <w:sz w:val="22"/>
          <w:szCs w:val="22"/>
        </w:rPr>
        <w:t>P</w:t>
      </w:r>
      <w:r w:rsidR="00E416ED" w:rsidRPr="009E35ED">
        <w:rPr>
          <w:rFonts w:ascii="Arial" w:hAnsi="Arial" w:cs="Arial"/>
          <w:color w:val="000000" w:themeColor="text1"/>
          <w:sz w:val="22"/>
          <w:szCs w:val="22"/>
        </w:rPr>
        <w:t>199,920</w:t>
      </w:r>
      <w:r w:rsidR="00B4298C" w:rsidRPr="009E35ED">
        <w:rPr>
          <w:rFonts w:ascii="Arial" w:hAnsi="Arial" w:cs="Arial"/>
          <w:color w:val="000000" w:themeColor="text1"/>
          <w:sz w:val="22"/>
          <w:szCs w:val="22"/>
        </w:rPr>
        <w:t>,</w:t>
      </w:r>
      <w:r w:rsidR="00354768" w:rsidRPr="009E35ED">
        <w:rPr>
          <w:rFonts w:ascii="Arial" w:hAnsi="Arial" w:cs="Arial"/>
          <w:color w:val="000000" w:themeColor="text1"/>
          <w:sz w:val="22"/>
          <w:szCs w:val="22"/>
        </w:rPr>
        <w:t>0</w:t>
      </w:r>
      <w:r w:rsidR="00B4298C" w:rsidRPr="009E35ED">
        <w:rPr>
          <w:rFonts w:ascii="Arial" w:hAnsi="Arial" w:cs="Arial"/>
          <w:color w:val="000000" w:themeColor="text1"/>
          <w:sz w:val="22"/>
          <w:szCs w:val="22"/>
        </w:rPr>
        <w:t>00</w:t>
      </w:r>
      <w:r w:rsidR="00B37C0A">
        <w:rPr>
          <w:rFonts w:ascii="Arial" w:hAnsi="Arial" w:cs="Arial"/>
          <w:color w:val="000000" w:themeColor="text1"/>
          <w:sz w:val="22"/>
          <w:szCs w:val="22"/>
        </w:rPr>
        <w:t>.</w:t>
      </w:r>
      <w:r w:rsidR="00A40C46" w:rsidRPr="009E35ED">
        <w:rPr>
          <w:rFonts w:ascii="Arial" w:hAnsi="Arial" w:cs="Arial"/>
          <w:color w:val="000000" w:themeColor="text1"/>
          <w:sz w:val="22"/>
          <w:szCs w:val="22"/>
        </w:rPr>
        <w:t xml:space="preserve"> </w:t>
      </w:r>
    </w:p>
    <w:p w14:paraId="4D549D5F" w14:textId="2BECD788" w:rsidR="00A01AAA" w:rsidRPr="009E35ED" w:rsidRDefault="00A01AAA" w:rsidP="00A01AAA">
      <w:pPr>
        <w:ind w:left="0"/>
        <w:rPr>
          <w:rFonts w:ascii="Arial" w:hAnsi="Arial" w:cs="Arial"/>
          <w:color w:val="000000" w:themeColor="text1"/>
          <w:sz w:val="22"/>
          <w:szCs w:val="22"/>
        </w:rPr>
      </w:pPr>
    </w:p>
    <w:p w14:paraId="31C93204" w14:textId="31B5DE43" w:rsidR="00564F11" w:rsidRPr="009E35ED" w:rsidRDefault="00A01AAA" w:rsidP="00A40C46">
      <w:pPr>
        <w:ind w:left="0"/>
        <w:rPr>
          <w:rFonts w:ascii="Arial" w:hAnsi="Arial" w:cs="Arial"/>
          <w:color w:val="000000" w:themeColor="text1"/>
          <w:sz w:val="22"/>
          <w:szCs w:val="22"/>
        </w:rPr>
      </w:pPr>
      <w:r w:rsidRPr="009E35ED">
        <w:rPr>
          <w:rFonts w:ascii="Arial" w:hAnsi="Arial" w:cs="Arial"/>
          <w:color w:val="000000" w:themeColor="text1"/>
          <w:sz w:val="22"/>
          <w:szCs w:val="22"/>
        </w:rPr>
        <w:t>Additions in the Information and Communication Technology</w:t>
      </w:r>
      <w:r w:rsidR="00C67B39">
        <w:rPr>
          <w:rFonts w:ascii="Arial" w:hAnsi="Arial" w:cs="Arial"/>
          <w:color w:val="000000" w:themeColor="text1"/>
          <w:sz w:val="22"/>
          <w:szCs w:val="22"/>
        </w:rPr>
        <w:t xml:space="preserve"> (ICT)</w:t>
      </w:r>
      <w:r w:rsidRPr="009E35ED">
        <w:rPr>
          <w:rFonts w:ascii="Arial" w:hAnsi="Arial" w:cs="Arial"/>
          <w:color w:val="000000" w:themeColor="text1"/>
          <w:sz w:val="22"/>
          <w:szCs w:val="22"/>
        </w:rPr>
        <w:t xml:space="preserve"> consist of procurement of </w:t>
      </w:r>
      <w:r w:rsidR="0076451E" w:rsidRPr="009E35ED">
        <w:rPr>
          <w:rFonts w:ascii="Arial" w:hAnsi="Arial" w:cs="Arial"/>
          <w:color w:val="000000" w:themeColor="text1"/>
          <w:sz w:val="22"/>
          <w:szCs w:val="22"/>
        </w:rPr>
        <w:t>various ICT Equipment</w:t>
      </w:r>
      <w:r w:rsidR="00814862" w:rsidRPr="009E35ED">
        <w:rPr>
          <w:rFonts w:ascii="Arial" w:hAnsi="Arial" w:cs="Arial"/>
          <w:color w:val="000000" w:themeColor="text1"/>
          <w:sz w:val="22"/>
          <w:szCs w:val="22"/>
        </w:rPr>
        <w:t xml:space="preserve"> such as desktop computers, laptops, printers, etc.</w:t>
      </w:r>
      <w:r w:rsidR="00FD4556" w:rsidRPr="009E35ED">
        <w:rPr>
          <w:rFonts w:ascii="Arial" w:hAnsi="Arial" w:cs="Arial"/>
          <w:color w:val="000000" w:themeColor="text1"/>
          <w:sz w:val="22"/>
          <w:szCs w:val="22"/>
        </w:rPr>
        <w:t xml:space="preserve"> </w:t>
      </w:r>
      <w:r w:rsidR="00A35EE8" w:rsidRPr="009E35ED">
        <w:rPr>
          <w:rFonts w:ascii="Arial" w:hAnsi="Arial" w:cs="Arial"/>
          <w:color w:val="000000" w:themeColor="text1"/>
          <w:sz w:val="22"/>
          <w:szCs w:val="22"/>
        </w:rPr>
        <w:t xml:space="preserve">totaling </w:t>
      </w:r>
      <w:r w:rsidR="00F10767">
        <w:rPr>
          <w:rFonts w:ascii="Arial" w:hAnsi="Arial" w:cs="Arial"/>
          <w:color w:val="000000" w:themeColor="text1"/>
          <w:sz w:val="22"/>
          <w:szCs w:val="22"/>
        </w:rPr>
        <w:t>P</w:t>
      </w:r>
      <w:r w:rsidR="0050164C" w:rsidRPr="009E35ED">
        <w:rPr>
          <w:rFonts w:ascii="Arial" w:hAnsi="Arial" w:cs="Arial"/>
          <w:color w:val="000000" w:themeColor="text1"/>
          <w:sz w:val="22"/>
          <w:szCs w:val="22"/>
        </w:rPr>
        <w:t>28,715,840</w:t>
      </w:r>
      <w:r w:rsidR="00B4298C" w:rsidRPr="009E35ED">
        <w:rPr>
          <w:rFonts w:ascii="Arial" w:hAnsi="Arial" w:cs="Arial"/>
          <w:color w:val="000000" w:themeColor="text1"/>
          <w:sz w:val="22"/>
          <w:szCs w:val="22"/>
        </w:rPr>
        <w:t xml:space="preserve"> for use of Head Of</w:t>
      </w:r>
      <w:r w:rsidR="00A40C46" w:rsidRPr="009E35ED">
        <w:rPr>
          <w:rFonts w:ascii="Arial" w:hAnsi="Arial" w:cs="Arial"/>
          <w:color w:val="000000" w:themeColor="text1"/>
          <w:sz w:val="22"/>
          <w:szCs w:val="22"/>
        </w:rPr>
        <w:t xml:space="preserve">fice </w:t>
      </w:r>
      <w:r w:rsidR="00FD4556" w:rsidRPr="009E35ED">
        <w:rPr>
          <w:rFonts w:ascii="Arial" w:hAnsi="Arial" w:cs="Arial"/>
          <w:color w:val="000000" w:themeColor="text1"/>
          <w:sz w:val="22"/>
          <w:szCs w:val="22"/>
        </w:rPr>
        <w:t>and Branch employees</w:t>
      </w:r>
      <w:r w:rsidR="00A40C46" w:rsidRPr="009E35ED">
        <w:rPr>
          <w:rFonts w:ascii="Arial" w:hAnsi="Arial" w:cs="Arial"/>
          <w:color w:val="000000" w:themeColor="text1"/>
          <w:sz w:val="22"/>
          <w:szCs w:val="22"/>
        </w:rPr>
        <w:t xml:space="preserve">, and various </w:t>
      </w:r>
      <w:r w:rsidR="0052333F" w:rsidRPr="009E35ED">
        <w:rPr>
          <w:rFonts w:ascii="Arial" w:hAnsi="Arial" w:cs="Arial"/>
          <w:color w:val="000000" w:themeColor="text1"/>
          <w:sz w:val="22"/>
          <w:szCs w:val="22"/>
        </w:rPr>
        <w:t xml:space="preserve">communications equipment such as </w:t>
      </w:r>
      <w:r w:rsidR="004D1F70" w:rsidRPr="009E35ED">
        <w:rPr>
          <w:rFonts w:ascii="Arial" w:hAnsi="Arial" w:cs="Arial"/>
          <w:color w:val="000000" w:themeColor="text1"/>
          <w:sz w:val="22"/>
          <w:szCs w:val="22"/>
        </w:rPr>
        <w:t>Television and Drones</w:t>
      </w:r>
      <w:r w:rsidR="00A40C46" w:rsidRPr="009E35ED">
        <w:rPr>
          <w:rFonts w:ascii="Arial" w:hAnsi="Arial" w:cs="Arial"/>
          <w:color w:val="000000" w:themeColor="text1"/>
          <w:sz w:val="22"/>
          <w:szCs w:val="22"/>
        </w:rPr>
        <w:t xml:space="preserve"> </w:t>
      </w:r>
      <w:r w:rsidR="004D1F70" w:rsidRPr="009E35ED">
        <w:rPr>
          <w:rFonts w:ascii="Arial" w:hAnsi="Arial" w:cs="Arial"/>
          <w:color w:val="000000" w:themeColor="text1"/>
          <w:sz w:val="22"/>
          <w:szCs w:val="22"/>
        </w:rPr>
        <w:t xml:space="preserve">totaling </w:t>
      </w:r>
      <w:r w:rsidR="00F10767">
        <w:rPr>
          <w:rFonts w:ascii="Arial" w:hAnsi="Arial" w:cs="Arial"/>
          <w:color w:val="000000" w:themeColor="text1"/>
          <w:sz w:val="22"/>
          <w:szCs w:val="22"/>
        </w:rPr>
        <w:t>P</w:t>
      </w:r>
      <w:r w:rsidR="00564F11" w:rsidRPr="009E35ED">
        <w:rPr>
          <w:rFonts w:ascii="Arial" w:hAnsi="Arial" w:cs="Arial"/>
          <w:color w:val="000000" w:themeColor="text1"/>
          <w:sz w:val="22"/>
          <w:szCs w:val="22"/>
        </w:rPr>
        <w:t>139,627.</w:t>
      </w:r>
    </w:p>
    <w:p w14:paraId="1D8DC09C" w14:textId="7ED7A45B" w:rsidR="00A40C46" w:rsidRPr="009E35ED" w:rsidRDefault="004D1F70" w:rsidP="00A40C46">
      <w:pPr>
        <w:ind w:left="0"/>
        <w:rPr>
          <w:rFonts w:ascii="Arial" w:hAnsi="Arial" w:cs="Arial"/>
          <w:color w:val="000000" w:themeColor="text1"/>
          <w:sz w:val="22"/>
          <w:szCs w:val="22"/>
        </w:rPr>
      </w:pPr>
      <w:r w:rsidRPr="009E35ED">
        <w:rPr>
          <w:rFonts w:ascii="Arial" w:hAnsi="Arial" w:cs="Arial"/>
          <w:color w:val="000000" w:themeColor="text1"/>
          <w:sz w:val="22"/>
          <w:szCs w:val="22"/>
        </w:rPr>
        <w:t xml:space="preserve"> </w:t>
      </w:r>
    </w:p>
    <w:p w14:paraId="50099C89" w14:textId="5436A906" w:rsidR="005E0C8C" w:rsidRPr="009E35ED" w:rsidRDefault="005E0C8C" w:rsidP="00A01AAA">
      <w:pPr>
        <w:ind w:left="0"/>
        <w:rPr>
          <w:rFonts w:ascii="Arial" w:hAnsi="Arial" w:cs="Arial"/>
          <w:color w:val="000000" w:themeColor="text1"/>
          <w:sz w:val="22"/>
          <w:szCs w:val="22"/>
        </w:rPr>
      </w:pPr>
      <w:r w:rsidRPr="009E35ED">
        <w:rPr>
          <w:rFonts w:ascii="Arial" w:hAnsi="Arial" w:cs="Arial"/>
          <w:color w:val="000000" w:themeColor="text1"/>
          <w:sz w:val="22"/>
          <w:szCs w:val="22"/>
        </w:rPr>
        <w:t>For the year 202</w:t>
      </w:r>
      <w:r w:rsidR="00564F11" w:rsidRPr="009E35ED">
        <w:rPr>
          <w:rFonts w:ascii="Arial" w:hAnsi="Arial" w:cs="Arial"/>
          <w:color w:val="000000" w:themeColor="text1"/>
          <w:sz w:val="22"/>
          <w:szCs w:val="22"/>
        </w:rPr>
        <w:t>3</w:t>
      </w:r>
      <w:r w:rsidRPr="009E35ED">
        <w:rPr>
          <w:rFonts w:ascii="Arial" w:hAnsi="Arial" w:cs="Arial"/>
          <w:color w:val="000000" w:themeColor="text1"/>
          <w:sz w:val="22"/>
          <w:szCs w:val="22"/>
        </w:rPr>
        <w:t xml:space="preserve">, </w:t>
      </w:r>
      <w:r w:rsidR="005A27A5" w:rsidRPr="009E35ED">
        <w:rPr>
          <w:rFonts w:ascii="Arial" w:hAnsi="Arial" w:cs="Arial"/>
          <w:color w:val="000000" w:themeColor="text1"/>
          <w:sz w:val="22"/>
          <w:szCs w:val="22"/>
        </w:rPr>
        <w:t>one</w:t>
      </w:r>
      <w:r w:rsidRPr="009E35ED">
        <w:rPr>
          <w:rFonts w:ascii="Arial" w:hAnsi="Arial" w:cs="Arial"/>
          <w:color w:val="000000" w:themeColor="text1"/>
          <w:sz w:val="22"/>
          <w:szCs w:val="22"/>
        </w:rPr>
        <w:t xml:space="preserve"> (</w:t>
      </w:r>
      <w:r w:rsidR="005A27A5" w:rsidRPr="009E35ED">
        <w:rPr>
          <w:rFonts w:ascii="Arial" w:hAnsi="Arial" w:cs="Arial"/>
          <w:color w:val="000000" w:themeColor="text1"/>
          <w:sz w:val="22"/>
          <w:szCs w:val="22"/>
        </w:rPr>
        <w:t>1</w:t>
      </w:r>
      <w:r w:rsidRPr="009E35ED">
        <w:rPr>
          <w:rFonts w:ascii="Arial" w:hAnsi="Arial" w:cs="Arial"/>
          <w:color w:val="000000" w:themeColor="text1"/>
          <w:sz w:val="22"/>
          <w:szCs w:val="22"/>
        </w:rPr>
        <w:t>) unit of Motor Vehicles w</w:t>
      </w:r>
      <w:r w:rsidR="00690532" w:rsidRPr="009E35ED">
        <w:rPr>
          <w:rFonts w:ascii="Arial" w:hAnsi="Arial" w:cs="Arial"/>
          <w:color w:val="000000" w:themeColor="text1"/>
          <w:sz w:val="22"/>
          <w:szCs w:val="22"/>
        </w:rPr>
        <w:t>as</w:t>
      </w:r>
      <w:r w:rsidRPr="009E35ED">
        <w:rPr>
          <w:rFonts w:ascii="Arial" w:hAnsi="Arial" w:cs="Arial"/>
          <w:color w:val="000000" w:themeColor="text1"/>
          <w:sz w:val="22"/>
          <w:szCs w:val="22"/>
        </w:rPr>
        <w:t xml:space="preserve"> </w:t>
      </w:r>
      <w:r w:rsidR="00690532" w:rsidRPr="009E35ED">
        <w:rPr>
          <w:rFonts w:ascii="Arial" w:hAnsi="Arial" w:cs="Arial"/>
          <w:color w:val="000000" w:themeColor="text1"/>
          <w:sz w:val="22"/>
          <w:szCs w:val="22"/>
        </w:rPr>
        <w:t>procured</w:t>
      </w:r>
      <w:r w:rsidRPr="009E35ED">
        <w:rPr>
          <w:rFonts w:ascii="Arial" w:hAnsi="Arial" w:cs="Arial"/>
          <w:color w:val="000000" w:themeColor="text1"/>
          <w:sz w:val="22"/>
          <w:szCs w:val="22"/>
        </w:rPr>
        <w:t xml:space="preserve"> </w:t>
      </w:r>
      <w:r w:rsidR="00690532" w:rsidRPr="009E35ED">
        <w:rPr>
          <w:rFonts w:ascii="Arial" w:hAnsi="Arial" w:cs="Arial"/>
          <w:color w:val="000000" w:themeColor="text1"/>
          <w:sz w:val="22"/>
          <w:szCs w:val="22"/>
        </w:rPr>
        <w:t>amounting t</w:t>
      </w:r>
      <w:r w:rsidR="00146172" w:rsidRPr="009E35ED">
        <w:rPr>
          <w:rFonts w:ascii="Arial" w:hAnsi="Arial" w:cs="Arial"/>
          <w:color w:val="000000" w:themeColor="text1"/>
          <w:sz w:val="22"/>
          <w:szCs w:val="22"/>
        </w:rPr>
        <w:t>o</w:t>
      </w:r>
      <w:r w:rsidRPr="009E35ED">
        <w:rPr>
          <w:rFonts w:ascii="Arial" w:hAnsi="Arial" w:cs="Arial"/>
          <w:color w:val="000000" w:themeColor="text1"/>
          <w:sz w:val="22"/>
          <w:szCs w:val="22"/>
        </w:rPr>
        <w:t xml:space="preserve"> </w:t>
      </w:r>
      <w:r w:rsidR="00F10767">
        <w:rPr>
          <w:rFonts w:ascii="Arial" w:hAnsi="Arial" w:cs="Arial"/>
          <w:color w:val="000000" w:themeColor="text1"/>
          <w:sz w:val="22"/>
          <w:szCs w:val="22"/>
        </w:rPr>
        <w:t>P</w:t>
      </w:r>
      <w:r w:rsidR="00A2298B" w:rsidRPr="009E35ED">
        <w:rPr>
          <w:rFonts w:ascii="Arial" w:hAnsi="Arial" w:cs="Arial"/>
          <w:color w:val="000000" w:themeColor="text1"/>
          <w:sz w:val="22"/>
          <w:szCs w:val="22"/>
        </w:rPr>
        <w:t>2</w:t>
      </w:r>
      <w:r w:rsidRPr="009E35ED">
        <w:rPr>
          <w:rFonts w:ascii="Arial" w:hAnsi="Arial" w:cs="Arial"/>
          <w:color w:val="000000" w:themeColor="text1"/>
          <w:sz w:val="22"/>
          <w:szCs w:val="22"/>
        </w:rPr>
        <w:t>,</w:t>
      </w:r>
      <w:r w:rsidR="00A2298B" w:rsidRPr="009E35ED">
        <w:rPr>
          <w:rFonts w:ascii="Arial" w:hAnsi="Arial" w:cs="Arial"/>
          <w:color w:val="000000" w:themeColor="text1"/>
          <w:sz w:val="22"/>
          <w:szCs w:val="22"/>
        </w:rPr>
        <w:t>545</w:t>
      </w:r>
      <w:r w:rsidRPr="009E35ED">
        <w:rPr>
          <w:rFonts w:ascii="Arial" w:hAnsi="Arial" w:cs="Arial"/>
          <w:color w:val="000000" w:themeColor="text1"/>
          <w:sz w:val="22"/>
          <w:szCs w:val="22"/>
        </w:rPr>
        <w:t xml:space="preserve">,000 </w:t>
      </w:r>
      <w:r w:rsidR="00A2298B" w:rsidRPr="009E35ED">
        <w:rPr>
          <w:rFonts w:ascii="Arial" w:hAnsi="Arial" w:cs="Arial"/>
          <w:color w:val="000000" w:themeColor="text1"/>
          <w:sz w:val="22"/>
          <w:szCs w:val="22"/>
        </w:rPr>
        <w:t>for use at the Head Office</w:t>
      </w:r>
      <w:r w:rsidR="002E462E" w:rsidRPr="009E35ED">
        <w:rPr>
          <w:rFonts w:ascii="Arial" w:hAnsi="Arial" w:cs="Arial"/>
          <w:color w:val="000000" w:themeColor="text1"/>
          <w:sz w:val="22"/>
          <w:szCs w:val="22"/>
        </w:rPr>
        <w:t>.</w:t>
      </w:r>
    </w:p>
    <w:p w14:paraId="4AA7A72D" w14:textId="30FB3940" w:rsidR="00A01AAA" w:rsidRPr="009E35ED" w:rsidRDefault="00A01AAA" w:rsidP="00A01AAA">
      <w:pPr>
        <w:spacing w:line="259" w:lineRule="auto"/>
        <w:ind w:left="0"/>
        <w:rPr>
          <w:rFonts w:ascii="Arial" w:eastAsia="Calibri" w:hAnsi="Arial" w:cs="Arial"/>
          <w:color w:val="000000" w:themeColor="text1"/>
          <w:sz w:val="22"/>
          <w:szCs w:val="22"/>
        </w:rPr>
      </w:pPr>
    </w:p>
    <w:p w14:paraId="1CC55180" w14:textId="48F6D17B" w:rsidR="00A01AAA" w:rsidRPr="009E35ED" w:rsidRDefault="00630D61" w:rsidP="00A01AAA">
      <w:pPr>
        <w:spacing w:line="259" w:lineRule="auto"/>
        <w:ind w:left="0"/>
        <w:rPr>
          <w:rFonts w:ascii="Arial" w:eastAsia="Calibri" w:hAnsi="Arial" w:cs="Arial"/>
          <w:color w:val="000000" w:themeColor="text1"/>
          <w:sz w:val="22"/>
          <w:szCs w:val="22"/>
        </w:rPr>
      </w:pPr>
      <w:r w:rsidRPr="009E35ED">
        <w:rPr>
          <w:rFonts w:ascii="Arial" w:eastAsia="Calibri" w:hAnsi="Arial" w:cs="Arial"/>
          <w:color w:val="000000" w:themeColor="text1"/>
          <w:sz w:val="22"/>
          <w:szCs w:val="22"/>
        </w:rPr>
        <w:t xml:space="preserve">During the year, various disposals were made </w:t>
      </w:r>
      <w:r w:rsidR="005E0867" w:rsidRPr="009E35ED">
        <w:rPr>
          <w:rFonts w:ascii="Arial" w:eastAsia="Calibri" w:hAnsi="Arial" w:cs="Arial"/>
          <w:color w:val="000000" w:themeColor="text1"/>
          <w:sz w:val="22"/>
          <w:szCs w:val="22"/>
        </w:rPr>
        <w:t xml:space="preserve">by the Branch Offices </w:t>
      </w:r>
      <w:r w:rsidRPr="009E35ED">
        <w:rPr>
          <w:rFonts w:ascii="Arial" w:eastAsia="Calibri" w:hAnsi="Arial" w:cs="Arial"/>
          <w:color w:val="000000" w:themeColor="text1"/>
          <w:sz w:val="22"/>
          <w:szCs w:val="22"/>
        </w:rPr>
        <w:t>on</w:t>
      </w:r>
      <w:r w:rsidR="005E0867" w:rsidRPr="009E35ED">
        <w:rPr>
          <w:rFonts w:ascii="Arial" w:eastAsia="Calibri" w:hAnsi="Arial" w:cs="Arial"/>
          <w:color w:val="000000" w:themeColor="text1"/>
          <w:sz w:val="22"/>
          <w:szCs w:val="22"/>
        </w:rPr>
        <w:t xml:space="preserve"> Furniture and </w:t>
      </w:r>
      <w:r w:rsidR="00C67B39">
        <w:rPr>
          <w:rFonts w:ascii="Arial" w:eastAsia="Calibri" w:hAnsi="Arial" w:cs="Arial"/>
          <w:color w:val="000000" w:themeColor="text1"/>
          <w:sz w:val="22"/>
          <w:szCs w:val="22"/>
        </w:rPr>
        <w:t>f</w:t>
      </w:r>
      <w:r w:rsidR="005E0867" w:rsidRPr="009E35ED">
        <w:rPr>
          <w:rFonts w:ascii="Arial" w:eastAsia="Calibri" w:hAnsi="Arial" w:cs="Arial"/>
          <w:color w:val="000000" w:themeColor="text1"/>
          <w:sz w:val="22"/>
          <w:szCs w:val="22"/>
        </w:rPr>
        <w:t xml:space="preserve">ixtures, </w:t>
      </w:r>
      <w:r w:rsidR="00C67B39">
        <w:rPr>
          <w:rFonts w:ascii="Arial" w:eastAsia="Calibri" w:hAnsi="Arial" w:cs="Arial"/>
          <w:color w:val="000000" w:themeColor="text1"/>
          <w:sz w:val="22"/>
          <w:szCs w:val="22"/>
        </w:rPr>
        <w:t xml:space="preserve">ICT </w:t>
      </w:r>
      <w:r w:rsidR="005E0867" w:rsidRPr="009E35ED">
        <w:rPr>
          <w:rFonts w:ascii="Arial" w:eastAsia="Calibri" w:hAnsi="Arial" w:cs="Arial"/>
          <w:color w:val="000000" w:themeColor="text1"/>
          <w:sz w:val="22"/>
          <w:szCs w:val="22"/>
        </w:rPr>
        <w:t xml:space="preserve">and Equipment, and   Office </w:t>
      </w:r>
      <w:r w:rsidR="00C67B39">
        <w:rPr>
          <w:rFonts w:ascii="Arial" w:eastAsia="Calibri" w:hAnsi="Arial" w:cs="Arial"/>
          <w:color w:val="000000" w:themeColor="text1"/>
          <w:sz w:val="22"/>
          <w:szCs w:val="22"/>
        </w:rPr>
        <w:t>e</w:t>
      </w:r>
      <w:r w:rsidR="005E0867" w:rsidRPr="009E35ED">
        <w:rPr>
          <w:rFonts w:ascii="Arial" w:eastAsia="Calibri" w:hAnsi="Arial" w:cs="Arial"/>
          <w:color w:val="000000" w:themeColor="text1"/>
          <w:sz w:val="22"/>
          <w:szCs w:val="22"/>
        </w:rPr>
        <w:t>quipment-</w:t>
      </w:r>
      <w:r w:rsidR="00C67B39">
        <w:rPr>
          <w:rFonts w:ascii="Arial" w:eastAsia="Calibri" w:hAnsi="Arial" w:cs="Arial"/>
          <w:color w:val="000000" w:themeColor="text1"/>
          <w:sz w:val="22"/>
          <w:szCs w:val="22"/>
        </w:rPr>
        <w:t>o</w:t>
      </w:r>
      <w:r w:rsidR="005E0867" w:rsidRPr="009E35ED">
        <w:rPr>
          <w:rFonts w:ascii="Arial" w:eastAsia="Calibri" w:hAnsi="Arial" w:cs="Arial"/>
          <w:color w:val="000000" w:themeColor="text1"/>
          <w:sz w:val="22"/>
          <w:szCs w:val="22"/>
        </w:rPr>
        <w:t xml:space="preserve">ffice and </w:t>
      </w:r>
      <w:r w:rsidR="00C67B39">
        <w:rPr>
          <w:rFonts w:ascii="Arial" w:eastAsia="Calibri" w:hAnsi="Arial" w:cs="Arial"/>
          <w:color w:val="000000" w:themeColor="text1"/>
          <w:sz w:val="22"/>
          <w:szCs w:val="22"/>
        </w:rPr>
        <w:t>f</w:t>
      </w:r>
      <w:r w:rsidR="005E0867" w:rsidRPr="009E35ED">
        <w:rPr>
          <w:rFonts w:ascii="Arial" w:eastAsia="Calibri" w:hAnsi="Arial" w:cs="Arial"/>
          <w:color w:val="000000" w:themeColor="text1"/>
          <w:sz w:val="22"/>
          <w:szCs w:val="22"/>
        </w:rPr>
        <w:t xml:space="preserve">urniture </w:t>
      </w:r>
      <w:r w:rsidR="00C67B39">
        <w:rPr>
          <w:rFonts w:ascii="Arial" w:eastAsia="Calibri" w:hAnsi="Arial" w:cs="Arial"/>
          <w:color w:val="000000" w:themeColor="text1"/>
          <w:sz w:val="22"/>
          <w:szCs w:val="22"/>
        </w:rPr>
        <w:t>e</w:t>
      </w:r>
      <w:r w:rsidR="005E0867" w:rsidRPr="009E35ED">
        <w:rPr>
          <w:rFonts w:ascii="Arial" w:eastAsia="Calibri" w:hAnsi="Arial" w:cs="Arial"/>
          <w:color w:val="000000" w:themeColor="text1"/>
          <w:sz w:val="22"/>
          <w:szCs w:val="22"/>
        </w:rPr>
        <w:t>quipment</w:t>
      </w:r>
      <w:r w:rsidR="00D968EE" w:rsidRPr="009E35ED">
        <w:rPr>
          <w:rFonts w:ascii="Arial" w:eastAsia="Calibri" w:hAnsi="Arial" w:cs="Arial"/>
          <w:color w:val="000000" w:themeColor="text1"/>
          <w:sz w:val="22"/>
          <w:szCs w:val="22"/>
        </w:rPr>
        <w:t xml:space="preserve">, and </w:t>
      </w:r>
      <w:r w:rsidR="00C67B39">
        <w:rPr>
          <w:rFonts w:ascii="Arial" w:eastAsia="Calibri" w:hAnsi="Arial" w:cs="Arial"/>
          <w:color w:val="000000" w:themeColor="text1"/>
          <w:sz w:val="22"/>
          <w:szCs w:val="22"/>
        </w:rPr>
        <w:t>o</w:t>
      </w:r>
      <w:r w:rsidR="00D968EE" w:rsidRPr="009E35ED">
        <w:rPr>
          <w:rFonts w:ascii="Arial" w:eastAsia="Calibri" w:hAnsi="Arial" w:cs="Arial"/>
          <w:color w:val="000000" w:themeColor="text1"/>
          <w:sz w:val="22"/>
          <w:szCs w:val="22"/>
        </w:rPr>
        <w:t xml:space="preserve">ther </w:t>
      </w:r>
      <w:r w:rsidR="00C67B39">
        <w:rPr>
          <w:rFonts w:ascii="Arial" w:eastAsia="Calibri" w:hAnsi="Arial" w:cs="Arial"/>
          <w:color w:val="000000" w:themeColor="text1"/>
          <w:sz w:val="22"/>
          <w:szCs w:val="22"/>
        </w:rPr>
        <w:t>m</w:t>
      </w:r>
      <w:r w:rsidR="00D968EE" w:rsidRPr="009E35ED">
        <w:rPr>
          <w:rFonts w:ascii="Arial" w:eastAsia="Calibri" w:hAnsi="Arial" w:cs="Arial"/>
          <w:color w:val="000000" w:themeColor="text1"/>
          <w:sz w:val="22"/>
          <w:szCs w:val="22"/>
        </w:rPr>
        <w:t>achinerie</w:t>
      </w:r>
      <w:r w:rsidR="00A90CF8" w:rsidRPr="009E35ED">
        <w:rPr>
          <w:rFonts w:ascii="Arial" w:eastAsia="Calibri" w:hAnsi="Arial" w:cs="Arial"/>
          <w:color w:val="000000" w:themeColor="text1"/>
          <w:sz w:val="22"/>
          <w:szCs w:val="22"/>
        </w:rPr>
        <w:t>s</w:t>
      </w:r>
      <w:r w:rsidR="00D968EE" w:rsidRPr="009E35ED">
        <w:rPr>
          <w:rFonts w:ascii="Arial" w:eastAsia="Calibri" w:hAnsi="Arial" w:cs="Arial"/>
          <w:color w:val="000000" w:themeColor="text1"/>
          <w:sz w:val="22"/>
          <w:szCs w:val="22"/>
        </w:rPr>
        <w:t xml:space="preserve"> and </w:t>
      </w:r>
      <w:r w:rsidR="00C67B39">
        <w:rPr>
          <w:rFonts w:ascii="Arial" w:eastAsia="Calibri" w:hAnsi="Arial" w:cs="Arial"/>
          <w:color w:val="000000" w:themeColor="text1"/>
          <w:sz w:val="22"/>
          <w:szCs w:val="22"/>
        </w:rPr>
        <w:t>e</w:t>
      </w:r>
      <w:r w:rsidR="00D968EE" w:rsidRPr="009E35ED">
        <w:rPr>
          <w:rFonts w:ascii="Arial" w:eastAsia="Calibri" w:hAnsi="Arial" w:cs="Arial"/>
          <w:color w:val="000000" w:themeColor="text1"/>
          <w:sz w:val="22"/>
          <w:szCs w:val="22"/>
        </w:rPr>
        <w:t>quipment</w:t>
      </w:r>
      <w:r w:rsidR="005E0867" w:rsidRPr="009E35ED">
        <w:rPr>
          <w:rFonts w:ascii="Arial" w:eastAsia="Calibri" w:hAnsi="Arial" w:cs="Arial"/>
          <w:color w:val="000000" w:themeColor="text1"/>
          <w:sz w:val="22"/>
          <w:szCs w:val="22"/>
        </w:rPr>
        <w:t xml:space="preserve"> </w:t>
      </w:r>
      <w:r w:rsidR="00A90CF8" w:rsidRPr="009E35ED">
        <w:rPr>
          <w:rFonts w:ascii="Arial" w:eastAsia="Calibri" w:hAnsi="Arial" w:cs="Arial"/>
          <w:color w:val="000000" w:themeColor="text1"/>
          <w:sz w:val="22"/>
          <w:szCs w:val="22"/>
        </w:rPr>
        <w:t>amounting to</w:t>
      </w:r>
      <w:r w:rsidR="005E0867" w:rsidRPr="009E35ED">
        <w:rPr>
          <w:rFonts w:ascii="Arial" w:eastAsia="Calibri" w:hAnsi="Arial" w:cs="Arial"/>
          <w:color w:val="000000" w:themeColor="text1"/>
          <w:sz w:val="22"/>
          <w:szCs w:val="22"/>
        </w:rPr>
        <w:t xml:space="preserve"> </w:t>
      </w:r>
      <w:r w:rsidR="00F10767">
        <w:rPr>
          <w:rFonts w:ascii="Arial" w:eastAsia="Calibri" w:hAnsi="Arial" w:cs="Arial"/>
          <w:color w:val="000000" w:themeColor="text1"/>
          <w:sz w:val="22"/>
          <w:szCs w:val="22"/>
        </w:rPr>
        <w:t>P</w:t>
      </w:r>
      <w:r w:rsidR="006B4E8D" w:rsidRPr="009E35ED">
        <w:rPr>
          <w:rFonts w:ascii="Arial" w:eastAsia="Calibri" w:hAnsi="Arial" w:cs="Arial"/>
          <w:color w:val="000000" w:themeColor="text1"/>
          <w:sz w:val="22"/>
          <w:szCs w:val="22"/>
        </w:rPr>
        <w:t>165,319</w:t>
      </w:r>
      <w:r w:rsidR="005E0867" w:rsidRPr="009E35ED">
        <w:rPr>
          <w:rFonts w:ascii="Arial" w:eastAsia="Calibri" w:hAnsi="Arial" w:cs="Arial"/>
          <w:color w:val="000000" w:themeColor="text1"/>
          <w:sz w:val="22"/>
          <w:szCs w:val="22"/>
        </w:rPr>
        <w:t>,</w:t>
      </w:r>
      <w:r w:rsidR="00531A9A" w:rsidRPr="009E35ED">
        <w:rPr>
          <w:rFonts w:ascii="Arial" w:eastAsia="Calibri" w:hAnsi="Arial" w:cs="Arial"/>
          <w:color w:val="000000" w:themeColor="text1"/>
          <w:sz w:val="22"/>
          <w:szCs w:val="22"/>
        </w:rPr>
        <w:t xml:space="preserve"> </w:t>
      </w:r>
      <w:r w:rsidR="00F10767">
        <w:rPr>
          <w:rFonts w:ascii="Arial" w:eastAsia="Calibri" w:hAnsi="Arial" w:cs="Arial"/>
          <w:color w:val="000000" w:themeColor="text1"/>
          <w:sz w:val="22"/>
          <w:szCs w:val="22"/>
        </w:rPr>
        <w:t>P</w:t>
      </w:r>
      <w:r w:rsidR="003F6EF6" w:rsidRPr="009E35ED">
        <w:rPr>
          <w:rFonts w:ascii="Arial" w:eastAsia="Calibri" w:hAnsi="Arial" w:cs="Arial"/>
          <w:color w:val="000000" w:themeColor="text1"/>
          <w:sz w:val="22"/>
          <w:szCs w:val="22"/>
        </w:rPr>
        <w:t>32</w:t>
      </w:r>
      <w:r w:rsidR="00531A9A" w:rsidRPr="009E35ED">
        <w:rPr>
          <w:rFonts w:ascii="Arial" w:eastAsia="Calibri" w:hAnsi="Arial" w:cs="Arial"/>
          <w:color w:val="000000" w:themeColor="text1"/>
          <w:sz w:val="22"/>
          <w:szCs w:val="22"/>
        </w:rPr>
        <w:t>,</w:t>
      </w:r>
      <w:r w:rsidR="003F6EF6" w:rsidRPr="009E35ED">
        <w:rPr>
          <w:rFonts w:ascii="Arial" w:eastAsia="Calibri" w:hAnsi="Arial" w:cs="Arial"/>
          <w:color w:val="000000" w:themeColor="text1"/>
          <w:sz w:val="22"/>
          <w:szCs w:val="22"/>
        </w:rPr>
        <w:t>554</w:t>
      </w:r>
      <w:r w:rsidR="00531A9A" w:rsidRPr="009E35ED">
        <w:rPr>
          <w:rFonts w:ascii="Arial" w:eastAsia="Calibri" w:hAnsi="Arial" w:cs="Arial"/>
          <w:color w:val="000000" w:themeColor="text1"/>
          <w:sz w:val="22"/>
          <w:szCs w:val="22"/>
        </w:rPr>
        <w:t xml:space="preserve">, </w:t>
      </w:r>
      <w:r w:rsidR="00F10767">
        <w:rPr>
          <w:rFonts w:ascii="Arial" w:eastAsia="Calibri" w:hAnsi="Arial" w:cs="Arial"/>
          <w:color w:val="000000" w:themeColor="text1"/>
          <w:sz w:val="22"/>
          <w:szCs w:val="22"/>
        </w:rPr>
        <w:t>P</w:t>
      </w:r>
      <w:r w:rsidR="00481C14" w:rsidRPr="009E35ED">
        <w:rPr>
          <w:rFonts w:ascii="Arial" w:eastAsia="Calibri" w:hAnsi="Arial" w:cs="Arial"/>
          <w:color w:val="000000" w:themeColor="text1"/>
          <w:sz w:val="22"/>
          <w:szCs w:val="22"/>
        </w:rPr>
        <w:t>181</w:t>
      </w:r>
      <w:r w:rsidR="00531A9A" w:rsidRPr="009E35ED">
        <w:rPr>
          <w:rFonts w:ascii="Arial" w:eastAsia="Calibri" w:hAnsi="Arial" w:cs="Arial"/>
          <w:color w:val="000000" w:themeColor="text1"/>
          <w:sz w:val="22"/>
          <w:szCs w:val="22"/>
        </w:rPr>
        <w:t>,</w:t>
      </w:r>
      <w:r w:rsidR="00481C14" w:rsidRPr="009E35ED">
        <w:rPr>
          <w:rFonts w:ascii="Arial" w:eastAsia="Calibri" w:hAnsi="Arial" w:cs="Arial"/>
          <w:color w:val="000000" w:themeColor="text1"/>
          <w:sz w:val="22"/>
          <w:szCs w:val="22"/>
        </w:rPr>
        <w:t>426</w:t>
      </w:r>
      <w:r w:rsidR="00531A9A" w:rsidRPr="009E35ED">
        <w:rPr>
          <w:rFonts w:ascii="Arial" w:eastAsia="Calibri" w:hAnsi="Arial" w:cs="Arial"/>
          <w:color w:val="000000" w:themeColor="text1"/>
          <w:sz w:val="22"/>
          <w:szCs w:val="22"/>
        </w:rPr>
        <w:t xml:space="preserve">, </w:t>
      </w:r>
      <w:r w:rsidR="00F10767">
        <w:rPr>
          <w:rFonts w:ascii="Arial" w:eastAsia="Calibri" w:hAnsi="Arial" w:cs="Arial"/>
          <w:color w:val="000000" w:themeColor="text1"/>
          <w:sz w:val="22"/>
          <w:szCs w:val="22"/>
        </w:rPr>
        <w:t>P</w:t>
      </w:r>
      <w:r w:rsidR="00531A9A" w:rsidRPr="009E35ED">
        <w:rPr>
          <w:rFonts w:ascii="Arial" w:eastAsia="Calibri" w:hAnsi="Arial" w:cs="Arial"/>
          <w:color w:val="000000" w:themeColor="text1"/>
          <w:sz w:val="22"/>
          <w:szCs w:val="22"/>
        </w:rPr>
        <w:t xml:space="preserve">406,343.40 and </w:t>
      </w:r>
      <w:r w:rsidR="00F10767">
        <w:rPr>
          <w:rFonts w:ascii="Arial" w:eastAsia="Calibri" w:hAnsi="Arial" w:cs="Arial"/>
          <w:color w:val="000000" w:themeColor="text1"/>
          <w:sz w:val="22"/>
          <w:szCs w:val="22"/>
        </w:rPr>
        <w:t>P</w:t>
      </w:r>
      <w:r w:rsidR="00481C14" w:rsidRPr="009E35ED">
        <w:rPr>
          <w:rFonts w:ascii="Arial" w:eastAsia="Calibri" w:hAnsi="Arial" w:cs="Arial"/>
          <w:color w:val="000000" w:themeColor="text1"/>
          <w:sz w:val="22"/>
          <w:szCs w:val="22"/>
        </w:rPr>
        <w:t>3</w:t>
      </w:r>
      <w:r w:rsidR="00531A9A" w:rsidRPr="009E35ED">
        <w:rPr>
          <w:rFonts w:ascii="Arial" w:eastAsia="Calibri" w:hAnsi="Arial" w:cs="Arial"/>
          <w:color w:val="000000" w:themeColor="text1"/>
          <w:sz w:val="22"/>
          <w:szCs w:val="22"/>
        </w:rPr>
        <w:t>,</w:t>
      </w:r>
      <w:r w:rsidR="00481C14" w:rsidRPr="009E35ED">
        <w:rPr>
          <w:rFonts w:ascii="Arial" w:eastAsia="Calibri" w:hAnsi="Arial" w:cs="Arial"/>
          <w:color w:val="000000" w:themeColor="text1"/>
          <w:sz w:val="22"/>
          <w:szCs w:val="22"/>
        </w:rPr>
        <w:t>602</w:t>
      </w:r>
      <w:r w:rsidR="00EC27C9" w:rsidRPr="009E35ED">
        <w:rPr>
          <w:rFonts w:ascii="Arial" w:eastAsia="Calibri" w:hAnsi="Arial" w:cs="Arial"/>
          <w:color w:val="000000" w:themeColor="text1"/>
          <w:sz w:val="22"/>
          <w:szCs w:val="22"/>
        </w:rPr>
        <w:t>, respectively.</w:t>
      </w:r>
    </w:p>
    <w:p w14:paraId="61897C17" w14:textId="33FC74F5" w:rsidR="005F14D7" w:rsidRPr="009E35ED" w:rsidRDefault="005F14D7" w:rsidP="00A01AAA">
      <w:pPr>
        <w:spacing w:line="259" w:lineRule="auto"/>
        <w:ind w:left="0"/>
        <w:rPr>
          <w:rFonts w:ascii="Arial" w:eastAsia="Calibri" w:hAnsi="Arial" w:cs="Arial"/>
          <w:color w:val="000000" w:themeColor="text1"/>
          <w:sz w:val="22"/>
          <w:szCs w:val="22"/>
        </w:rPr>
      </w:pPr>
    </w:p>
    <w:p w14:paraId="66A9BEAD" w14:textId="129377B6" w:rsidR="00A01AAA" w:rsidRPr="009E35ED" w:rsidRDefault="00A01AAA" w:rsidP="00A01AAA">
      <w:pPr>
        <w:ind w:left="0"/>
        <w:rPr>
          <w:rFonts w:ascii="Arial" w:hAnsi="Arial" w:cs="Arial"/>
          <w:color w:val="000000" w:themeColor="text1"/>
          <w:sz w:val="22"/>
          <w:szCs w:val="22"/>
        </w:rPr>
      </w:pPr>
      <w:r w:rsidRPr="009E35ED">
        <w:rPr>
          <w:rFonts w:ascii="Arial" w:hAnsi="Arial" w:cs="Arial"/>
          <w:color w:val="000000" w:themeColor="text1"/>
          <w:sz w:val="22"/>
          <w:szCs w:val="22"/>
        </w:rPr>
        <w:t xml:space="preserve">Fixed </w:t>
      </w:r>
      <w:r w:rsidR="00C67B39">
        <w:rPr>
          <w:rFonts w:ascii="Arial" w:hAnsi="Arial" w:cs="Arial"/>
          <w:color w:val="000000" w:themeColor="text1"/>
          <w:sz w:val="22"/>
          <w:szCs w:val="22"/>
        </w:rPr>
        <w:t>a</w:t>
      </w:r>
      <w:r w:rsidRPr="009E35ED">
        <w:rPr>
          <w:rFonts w:ascii="Arial" w:hAnsi="Arial" w:cs="Arial"/>
          <w:color w:val="000000" w:themeColor="text1"/>
          <w:sz w:val="22"/>
          <w:szCs w:val="22"/>
        </w:rPr>
        <w:t xml:space="preserve">sset recorded from Office </w:t>
      </w:r>
      <w:r w:rsidR="00C67B39">
        <w:rPr>
          <w:rFonts w:ascii="Arial" w:hAnsi="Arial" w:cs="Arial"/>
          <w:color w:val="000000" w:themeColor="text1"/>
          <w:sz w:val="22"/>
          <w:szCs w:val="22"/>
        </w:rPr>
        <w:t>e</w:t>
      </w:r>
      <w:r w:rsidRPr="009E35ED">
        <w:rPr>
          <w:rFonts w:ascii="Arial" w:hAnsi="Arial" w:cs="Arial"/>
          <w:color w:val="000000" w:themeColor="text1"/>
          <w:sz w:val="22"/>
          <w:szCs w:val="22"/>
        </w:rPr>
        <w:t xml:space="preserve">quipment up to Other </w:t>
      </w:r>
      <w:r w:rsidR="00C67B39">
        <w:rPr>
          <w:rFonts w:ascii="Arial" w:hAnsi="Arial" w:cs="Arial"/>
          <w:color w:val="000000" w:themeColor="text1"/>
          <w:sz w:val="22"/>
          <w:szCs w:val="22"/>
        </w:rPr>
        <w:t>p</w:t>
      </w:r>
      <w:r w:rsidRPr="009E35ED">
        <w:rPr>
          <w:rFonts w:ascii="Arial" w:hAnsi="Arial" w:cs="Arial"/>
          <w:color w:val="000000" w:themeColor="text1"/>
          <w:sz w:val="22"/>
          <w:szCs w:val="22"/>
        </w:rPr>
        <w:t xml:space="preserve">roperty, </w:t>
      </w:r>
      <w:r w:rsidR="00C67B39">
        <w:rPr>
          <w:rFonts w:ascii="Arial" w:hAnsi="Arial" w:cs="Arial"/>
          <w:color w:val="000000" w:themeColor="text1"/>
          <w:sz w:val="22"/>
          <w:szCs w:val="22"/>
        </w:rPr>
        <w:t>p</w:t>
      </w:r>
      <w:r w:rsidRPr="009E35ED">
        <w:rPr>
          <w:rFonts w:ascii="Arial" w:hAnsi="Arial" w:cs="Arial"/>
          <w:color w:val="000000" w:themeColor="text1"/>
          <w:sz w:val="22"/>
          <w:szCs w:val="22"/>
        </w:rPr>
        <w:t xml:space="preserve">lant and </w:t>
      </w:r>
      <w:r w:rsidR="00C67B39">
        <w:rPr>
          <w:rFonts w:ascii="Arial" w:hAnsi="Arial" w:cs="Arial"/>
          <w:color w:val="000000" w:themeColor="text1"/>
          <w:sz w:val="22"/>
          <w:szCs w:val="22"/>
        </w:rPr>
        <w:t>e</w:t>
      </w:r>
      <w:r w:rsidRPr="009E35ED">
        <w:rPr>
          <w:rFonts w:ascii="Arial" w:hAnsi="Arial" w:cs="Arial"/>
          <w:color w:val="000000" w:themeColor="text1"/>
          <w:sz w:val="22"/>
          <w:szCs w:val="22"/>
        </w:rPr>
        <w:t xml:space="preserve">quipment were classified to have proper identification to which account it belongs. Uniform classification of </w:t>
      </w:r>
      <w:r w:rsidR="00C67B39">
        <w:rPr>
          <w:rFonts w:ascii="Arial" w:hAnsi="Arial" w:cs="Arial"/>
          <w:color w:val="000000" w:themeColor="text1"/>
          <w:sz w:val="22"/>
          <w:szCs w:val="22"/>
        </w:rPr>
        <w:t>a</w:t>
      </w:r>
      <w:r w:rsidRPr="009E35ED">
        <w:rPr>
          <w:rFonts w:ascii="Arial" w:hAnsi="Arial" w:cs="Arial"/>
          <w:color w:val="000000" w:themeColor="text1"/>
          <w:sz w:val="22"/>
          <w:szCs w:val="22"/>
        </w:rPr>
        <w:t xml:space="preserve">ccount </w:t>
      </w:r>
      <w:r w:rsidR="00C67B39">
        <w:rPr>
          <w:rFonts w:ascii="Arial" w:hAnsi="Arial" w:cs="Arial"/>
          <w:color w:val="000000" w:themeColor="text1"/>
          <w:sz w:val="22"/>
          <w:szCs w:val="22"/>
        </w:rPr>
        <w:t>c</w:t>
      </w:r>
      <w:r w:rsidRPr="009E35ED">
        <w:rPr>
          <w:rFonts w:ascii="Arial" w:hAnsi="Arial" w:cs="Arial"/>
          <w:color w:val="000000" w:themeColor="text1"/>
          <w:sz w:val="22"/>
          <w:szCs w:val="22"/>
        </w:rPr>
        <w:t xml:space="preserve">ode and </w:t>
      </w:r>
      <w:r w:rsidR="00C67B39">
        <w:rPr>
          <w:rFonts w:ascii="Arial" w:hAnsi="Arial" w:cs="Arial"/>
          <w:color w:val="000000" w:themeColor="text1"/>
          <w:sz w:val="22"/>
          <w:szCs w:val="22"/>
        </w:rPr>
        <w:t>c</w:t>
      </w:r>
      <w:r w:rsidRPr="009E35ED">
        <w:rPr>
          <w:rFonts w:ascii="Arial" w:hAnsi="Arial" w:cs="Arial"/>
          <w:color w:val="000000" w:themeColor="text1"/>
          <w:sz w:val="22"/>
          <w:szCs w:val="22"/>
        </w:rPr>
        <w:t>lass description were made due to recording of same asset description to different account codes for prior period purchases. A meeting was held last June 5, 2017 together with Asset and Supply Management Department (ASMD), Accounting and Budget Department (ABD), Branch Operations Sector (BOS) and Internal Audit Services (IAS) to come up with detailed asset description that must be recorded in each account codes. The account codes and its examples are consolidated and agreed to implement as follows:</w:t>
      </w:r>
    </w:p>
    <w:p w14:paraId="1904E245" w14:textId="77777777" w:rsidR="00A01AAA" w:rsidRPr="009E35ED" w:rsidRDefault="00A01AAA" w:rsidP="00A01AAA">
      <w:pPr>
        <w:ind w:left="0"/>
        <w:rPr>
          <w:rFonts w:ascii="Arial" w:hAnsi="Arial" w:cs="Arial"/>
          <w:color w:val="000000" w:themeColor="text1"/>
          <w:sz w:val="22"/>
          <w:szCs w:val="22"/>
        </w:rPr>
      </w:pPr>
    </w:p>
    <w:p w14:paraId="6B69285C" w14:textId="3E64417B" w:rsidR="00A01AAA" w:rsidRPr="009E35ED" w:rsidRDefault="00A01AAA" w:rsidP="00A01AAA">
      <w:pPr>
        <w:ind w:left="0"/>
        <w:rPr>
          <w:rFonts w:ascii="Arial" w:hAnsi="Arial" w:cs="Arial"/>
          <w:color w:val="000000" w:themeColor="text1"/>
          <w:sz w:val="22"/>
          <w:szCs w:val="22"/>
        </w:rPr>
      </w:pPr>
      <w:r w:rsidRPr="009E35ED">
        <w:rPr>
          <w:rFonts w:ascii="Arial" w:hAnsi="Arial" w:cs="Arial"/>
          <w:color w:val="000000" w:themeColor="text1"/>
          <w:sz w:val="22"/>
          <w:szCs w:val="22"/>
        </w:rPr>
        <w:t xml:space="preserve">Office </w:t>
      </w:r>
      <w:r w:rsidR="00C67B39">
        <w:rPr>
          <w:rFonts w:ascii="Arial" w:hAnsi="Arial" w:cs="Arial"/>
          <w:color w:val="000000" w:themeColor="text1"/>
          <w:sz w:val="22"/>
          <w:szCs w:val="22"/>
        </w:rPr>
        <w:t>e</w:t>
      </w:r>
      <w:r w:rsidRPr="009E35ED">
        <w:rPr>
          <w:rFonts w:ascii="Arial" w:hAnsi="Arial" w:cs="Arial"/>
          <w:color w:val="000000" w:themeColor="text1"/>
          <w:sz w:val="22"/>
          <w:szCs w:val="22"/>
        </w:rPr>
        <w:t xml:space="preserve">quipment - </w:t>
      </w:r>
      <w:r w:rsidR="00A41CE7" w:rsidRPr="009E35ED">
        <w:rPr>
          <w:rFonts w:ascii="Arial" w:hAnsi="Arial" w:cs="Arial"/>
          <w:color w:val="000000" w:themeColor="text1"/>
          <w:sz w:val="22"/>
          <w:szCs w:val="22"/>
        </w:rPr>
        <w:t>air-conditioning</w:t>
      </w:r>
      <w:r w:rsidRPr="009E35ED">
        <w:rPr>
          <w:rFonts w:ascii="Arial" w:hAnsi="Arial" w:cs="Arial"/>
          <w:color w:val="000000" w:themeColor="text1"/>
          <w:sz w:val="22"/>
          <w:szCs w:val="22"/>
        </w:rPr>
        <w:t xml:space="preserve"> units (ACU), binding machine (BIN), typewriter (TYP), </w:t>
      </w:r>
      <w:r w:rsidR="00A41CE7" w:rsidRPr="009E35ED">
        <w:rPr>
          <w:rFonts w:ascii="Arial" w:hAnsi="Arial" w:cs="Arial"/>
          <w:color w:val="000000" w:themeColor="text1"/>
          <w:sz w:val="22"/>
          <w:szCs w:val="22"/>
        </w:rPr>
        <w:t>check writer</w:t>
      </w:r>
      <w:r w:rsidRPr="009E35ED">
        <w:rPr>
          <w:rFonts w:ascii="Arial" w:hAnsi="Arial" w:cs="Arial"/>
          <w:color w:val="000000" w:themeColor="text1"/>
          <w:sz w:val="22"/>
          <w:szCs w:val="22"/>
        </w:rPr>
        <w:t xml:space="preserve"> (CKW), duplicating machine (DUP), punching machine (PUN), stamping machine (STP) shredder machine (SHR), bill counting machine (BCM) and laminating machine (LAM).</w:t>
      </w:r>
    </w:p>
    <w:p w14:paraId="3C3E5393" w14:textId="77777777" w:rsidR="00A01AAA" w:rsidRPr="009E35ED" w:rsidRDefault="00A01AAA" w:rsidP="00A01AAA">
      <w:pPr>
        <w:ind w:left="0"/>
        <w:rPr>
          <w:rFonts w:ascii="Arial" w:hAnsi="Arial" w:cs="Arial"/>
          <w:color w:val="000000" w:themeColor="text1"/>
          <w:sz w:val="22"/>
          <w:szCs w:val="22"/>
        </w:rPr>
      </w:pPr>
    </w:p>
    <w:p w14:paraId="3E18F582" w14:textId="0A9FCF5B" w:rsidR="00A01AAA" w:rsidRPr="009E35ED" w:rsidRDefault="00A01AAA" w:rsidP="00A01AAA">
      <w:pPr>
        <w:ind w:left="0"/>
        <w:rPr>
          <w:rFonts w:ascii="Arial" w:hAnsi="Arial" w:cs="Arial"/>
          <w:color w:val="000000" w:themeColor="text1"/>
          <w:sz w:val="22"/>
          <w:szCs w:val="22"/>
        </w:rPr>
      </w:pPr>
      <w:r w:rsidRPr="009E35ED">
        <w:rPr>
          <w:rFonts w:ascii="Arial" w:hAnsi="Arial" w:cs="Arial"/>
          <w:color w:val="000000" w:themeColor="text1"/>
          <w:sz w:val="22"/>
          <w:szCs w:val="22"/>
        </w:rPr>
        <w:t xml:space="preserve">Furniture and </w:t>
      </w:r>
      <w:r w:rsidR="00C67B39">
        <w:rPr>
          <w:rFonts w:ascii="Arial" w:hAnsi="Arial" w:cs="Arial"/>
          <w:color w:val="000000" w:themeColor="text1"/>
          <w:sz w:val="22"/>
          <w:szCs w:val="22"/>
        </w:rPr>
        <w:t>fi</w:t>
      </w:r>
      <w:r w:rsidRPr="009E35ED">
        <w:rPr>
          <w:rFonts w:ascii="Arial" w:hAnsi="Arial" w:cs="Arial"/>
          <w:color w:val="000000" w:themeColor="text1"/>
          <w:sz w:val="22"/>
          <w:szCs w:val="22"/>
        </w:rPr>
        <w:t>xtures - blinds (BLI), cashier/teller booth (CTB), cabinet (CAB), chairs (CHA), divider (DIV), partition/workstation (PNW), racking system (RAC), table (TAB), vault (VLT) and table accessories (TBA)</w:t>
      </w:r>
      <w:r w:rsidR="00B37C0A">
        <w:rPr>
          <w:rFonts w:ascii="Arial" w:hAnsi="Arial" w:cs="Arial"/>
          <w:color w:val="000000" w:themeColor="text1"/>
          <w:sz w:val="22"/>
          <w:szCs w:val="22"/>
        </w:rPr>
        <w:t>.</w:t>
      </w:r>
    </w:p>
    <w:p w14:paraId="5E8F6486" w14:textId="77777777" w:rsidR="00A01AAA" w:rsidRPr="009E35ED" w:rsidRDefault="00A01AAA" w:rsidP="00A01AAA">
      <w:pPr>
        <w:ind w:left="0"/>
        <w:rPr>
          <w:rFonts w:ascii="Arial" w:hAnsi="Arial" w:cs="Arial"/>
          <w:color w:val="000000" w:themeColor="text1"/>
          <w:sz w:val="22"/>
          <w:szCs w:val="22"/>
        </w:rPr>
      </w:pPr>
    </w:p>
    <w:p w14:paraId="3E1062E3" w14:textId="745D1A42" w:rsidR="00A01AAA" w:rsidRPr="009E35ED" w:rsidRDefault="00A01AAA" w:rsidP="00A01AAA">
      <w:pPr>
        <w:ind w:left="0"/>
        <w:rPr>
          <w:rFonts w:ascii="Arial" w:hAnsi="Arial" w:cs="Arial"/>
          <w:color w:val="000000" w:themeColor="text1"/>
          <w:sz w:val="22"/>
          <w:szCs w:val="22"/>
        </w:rPr>
      </w:pPr>
      <w:r w:rsidRPr="009E35ED">
        <w:rPr>
          <w:rFonts w:ascii="Arial" w:hAnsi="Arial" w:cs="Arial"/>
          <w:color w:val="000000" w:themeColor="text1"/>
          <w:sz w:val="22"/>
          <w:szCs w:val="22"/>
        </w:rPr>
        <w:t xml:space="preserve">Information and </w:t>
      </w:r>
      <w:r w:rsidR="00C67B39">
        <w:rPr>
          <w:rFonts w:ascii="Arial" w:hAnsi="Arial" w:cs="Arial"/>
          <w:color w:val="000000" w:themeColor="text1"/>
          <w:sz w:val="22"/>
          <w:szCs w:val="22"/>
        </w:rPr>
        <w:t>c</w:t>
      </w:r>
      <w:r w:rsidRPr="009E35ED">
        <w:rPr>
          <w:rFonts w:ascii="Arial" w:hAnsi="Arial" w:cs="Arial"/>
          <w:color w:val="000000" w:themeColor="text1"/>
          <w:sz w:val="22"/>
          <w:szCs w:val="22"/>
        </w:rPr>
        <w:t xml:space="preserve">ommunication </w:t>
      </w:r>
      <w:r w:rsidR="00C67B39">
        <w:rPr>
          <w:rFonts w:ascii="Arial" w:hAnsi="Arial" w:cs="Arial"/>
          <w:color w:val="000000" w:themeColor="text1"/>
          <w:sz w:val="22"/>
          <w:szCs w:val="22"/>
        </w:rPr>
        <w:t>t</w:t>
      </w:r>
      <w:r w:rsidRPr="009E35ED">
        <w:rPr>
          <w:rFonts w:ascii="Arial" w:hAnsi="Arial" w:cs="Arial"/>
          <w:color w:val="000000" w:themeColor="text1"/>
          <w:sz w:val="22"/>
          <w:szCs w:val="22"/>
        </w:rPr>
        <w:t xml:space="preserve">echnology </w:t>
      </w:r>
      <w:r w:rsidR="00C67B39">
        <w:rPr>
          <w:rFonts w:ascii="Arial" w:hAnsi="Arial" w:cs="Arial"/>
          <w:color w:val="000000" w:themeColor="text1"/>
          <w:sz w:val="22"/>
          <w:szCs w:val="22"/>
        </w:rPr>
        <w:t>e</w:t>
      </w:r>
      <w:r w:rsidRPr="009E35ED">
        <w:rPr>
          <w:rFonts w:ascii="Arial" w:hAnsi="Arial" w:cs="Arial"/>
          <w:color w:val="000000" w:themeColor="text1"/>
          <w:sz w:val="22"/>
          <w:szCs w:val="22"/>
        </w:rPr>
        <w:t>quipment - computer desktop in set (DES), Ipod (IPD), computer parts and accessories (CPA), data center equipment (DCE), printer (PRI), projector and accessories (PRO), scanner (SCA), network devices (NTD), storage devices (STD), server (SVR) and software (SFW).</w:t>
      </w:r>
    </w:p>
    <w:p w14:paraId="15AE821F" w14:textId="77777777" w:rsidR="00A01AAA" w:rsidRPr="009E35ED" w:rsidRDefault="00A01AAA" w:rsidP="00A01AAA">
      <w:pPr>
        <w:ind w:left="0"/>
        <w:rPr>
          <w:rFonts w:ascii="Arial" w:hAnsi="Arial" w:cs="Arial"/>
          <w:color w:val="000000" w:themeColor="text1"/>
          <w:sz w:val="22"/>
          <w:szCs w:val="22"/>
        </w:rPr>
      </w:pPr>
    </w:p>
    <w:p w14:paraId="62C2A910" w14:textId="77777777" w:rsidR="00A01AAA" w:rsidRPr="009E35ED" w:rsidRDefault="00A01AAA" w:rsidP="00A01AAA">
      <w:pPr>
        <w:ind w:left="0"/>
        <w:rPr>
          <w:rFonts w:ascii="Arial" w:hAnsi="Arial" w:cs="Arial"/>
          <w:color w:val="000000" w:themeColor="text1"/>
          <w:sz w:val="22"/>
          <w:szCs w:val="22"/>
        </w:rPr>
      </w:pPr>
      <w:r w:rsidRPr="009E35ED">
        <w:rPr>
          <w:rFonts w:ascii="Arial" w:hAnsi="Arial" w:cs="Arial"/>
          <w:color w:val="000000" w:themeColor="text1"/>
          <w:sz w:val="22"/>
          <w:szCs w:val="22"/>
        </w:rPr>
        <w:t>Books - hardbound/electronic books (BKS)</w:t>
      </w:r>
    </w:p>
    <w:p w14:paraId="60DCC7CB" w14:textId="77777777" w:rsidR="00A01AAA" w:rsidRPr="009E35ED" w:rsidRDefault="00A01AAA" w:rsidP="00A01AAA">
      <w:pPr>
        <w:ind w:left="0"/>
        <w:rPr>
          <w:rFonts w:ascii="Arial" w:hAnsi="Arial" w:cs="Arial"/>
          <w:color w:val="000000" w:themeColor="text1"/>
          <w:sz w:val="22"/>
          <w:szCs w:val="22"/>
        </w:rPr>
      </w:pPr>
    </w:p>
    <w:p w14:paraId="10E98FB0" w14:textId="5340C5CE" w:rsidR="00A01AAA" w:rsidRPr="009E35ED" w:rsidRDefault="00A01AAA" w:rsidP="00A01AAA">
      <w:pPr>
        <w:ind w:left="0"/>
        <w:rPr>
          <w:rFonts w:ascii="Arial" w:hAnsi="Arial" w:cs="Arial"/>
          <w:color w:val="000000" w:themeColor="text1"/>
          <w:sz w:val="22"/>
          <w:szCs w:val="22"/>
        </w:rPr>
      </w:pPr>
      <w:r w:rsidRPr="009E35ED">
        <w:rPr>
          <w:rFonts w:ascii="Arial" w:hAnsi="Arial" w:cs="Arial"/>
          <w:color w:val="000000" w:themeColor="text1"/>
          <w:sz w:val="22"/>
          <w:szCs w:val="22"/>
        </w:rPr>
        <w:t xml:space="preserve">Other </w:t>
      </w:r>
      <w:r w:rsidR="00C67B39">
        <w:rPr>
          <w:rFonts w:ascii="Arial" w:hAnsi="Arial" w:cs="Arial"/>
          <w:color w:val="000000" w:themeColor="text1"/>
          <w:sz w:val="22"/>
          <w:szCs w:val="22"/>
        </w:rPr>
        <w:t>m</w:t>
      </w:r>
      <w:r w:rsidRPr="009E35ED">
        <w:rPr>
          <w:rFonts w:ascii="Arial" w:hAnsi="Arial" w:cs="Arial"/>
          <w:color w:val="000000" w:themeColor="text1"/>
          <w:sz w:val="22"/>
          <w:szCs w:val="22"/>
        </w:rPr>
        <w:t xml:space="preserve">achinery and </w:t>
      </w:r>
      <w:r w:rsidR="00C67B39">
        <w:rPr>
          <w:rFonts w:ascii="Arial" w:hAnsi="Arial" w:cs="Arial"/>
          <w:color w:val="000000" w:themeColor="text1"/>
          <w:sz w:val="22"/>
          <w:szCs w:val="22"/>
        </w:rPr>
        <w:t>e</w:t>
      </w:r>
      <w:r w:rsidRPr="009E35ED">
        <w:rPr>
          <w:rFonts w:ascii="Arial" w:hAnsi="Arial" w:cs="Arial"/>
          <w:color w:val="000000" w:themeColor="text1"/>
          <w:sz w:val="22"/>
          <w:szCs w:val="22"/>
        </w:rPr>
        <w:t>quipment - draw equipment and accessories (DEA)</w:t>
      </w:r>
    </w:p>
    <w:p w14:paraId="6B3A1DB7" w14:textId="77777777" w:rsidR="00A01AAA" w:rsidRPr="009E35ED" w:rsidRDefault="00A01AAA" w:rsidP="00A01AAA">
      <w:pPr>
        <w:ind w:left="0"/>
        <w:rPr>
          <w:rFonts w:ascii="Arial" w:hAnsi="Arial" w:cs="Arial"/>
          <w:color w:val="000000" w:themeColor="text1"/>
          <w:sz w:val="22"/>
          <w:szCs w:val="22"/>
        </w:rPr>
      </w:pPr>
    </w:p>
    <w:p w14:paraId="2F92D9F6" w14:textId="76F15463" w:rsidR="00A01AAA" w:rsidRPr="009E35ED" w:rsidRDefault="00A01AAA" w:rsidP="00A01AAA">
      <w:pPr>
        <w:ind w:left="0"/>
        <w:rPr>
          <w:rFonts w:ascii="Arial" w:hAnsi="Arial" w:cs="Arial"/>
          <w:color w:val="000000" w:themeColor="text1"/>
          <w:sz w:val="22"/>
          <w:szCs w:val="22"/>
        </w:rPr>
      </w:pPr>
      <w:r w:rsidRPr="009E35ED">
        <w:rPr>
          <w:rFonts w:ascii="Arial" w:hAnsi="Arial" w:cs="Arial"/>
          <w:color w:val="000000" w:themeColor="text1"/>
          <w:sz w:val="22"/>
          <w:szCs w:val="22"/>
        </w:rPr>
        <w:t xml:space="preserve">Communication </w:t>
      </w:r>
      <w:r w:rsidR="00C67B39">
        <w:rPr>
          <w:rFonts w:ascii="Arial" w:hAnsi="Arial" w:cs="Arial"/>
          <w:color w:val="000000" w:themeColor="text1"/>
          <w:sz w:val="22"/>
          <w:szCs w:val="22"/>
        </w:rPr>
        <w:t>e</w:t>
      </w:r>
      <w:r w:rsidRPr="009E35ED">
        <w:rPr>
          <w:rFonts w:ascii="Arial" w:hAnsi="Arial" w:cs="Arial"/>
          <w:color w:val="000000" w:themeColor="text1"/>
          <w:sz w:val="22"/>
          <w:szCs w:val="22"/>
        </w:rPr>
        <w:t>quipment - camera and accessories (CAM), handheld radio and accessories (RAD), lapel (LPL), telephone apparatus (TEL), mobile phone (MOB), voice recorder (VOI), sound system (SSM), television accessories (TVN), cassette recorder (CAS), CD player (CPD), DVD player (DVD) and VHS player.</w:t>
      </w:r>
    </w:p>
    <w:p w14:paraId="2FC07C2C" w14:textId="77777777" w:rsidR="00A01AAA" w:rsidRPr="009E35ED" w:rsidRDefault="00A01AAA" w:rsidP="00A01AAA">
      <w:pPr>
        <w:ind w:left="0"/>
        <w:rPr>
          <w:rFonts w:ascii="Arial" w:hAnsi="Arial" w:cs="Arial"/>
          <w:color w:val="000000" w:themeColor="text1"/>
          <w:sz w:val="22"/>
          <w:szCs w:val="22"/>
        </w:rPr>
      </w:pPr>
    </w:p>
    <w:p w14:paraId="06687A9B" w14:textId="233F5107" w:rsidR="00A01AAA" w:rsidRPr="009E35ED" w:rsidRDefault="00A01AAA" w:rsidP="00A01AAA">
      <w:pPr>
        <w:ind w:left="0"/>
        <w:rPr>
          <w:rFonts w:ascii="Arial" w:hAnsi="Arial" w:cs="Arial"/>
          <w:color w:val="000000" w:themeColor="text1"/>
          <w:sz w:val="22"/>
          <w:szCs w:val="22"/>
        </w:rPr>
      </w:pPr>
      <w:r w:rsidRPr="009E35ED">
        <w:rPr>
          <w:rFonts w:ascii="Arial" w:hAnsi="Arial" w:cs="Arial"/>
          <w:color w:val="000000" w:themeColor="text1"/>
          <w:sz w:val="22"/>
          <w:szCs w:val="22"/>
        </w:rPr>
        <w:t xml:space="preserve">Medical </w:t>
      </w:r>
      <w:r w:rsidR="00C67B39">
        <w:rPr>
          <w:rFonts w:ascii="Arial" w:hAnsi="Arial" w:cs="Arial"/>
          <w:color w:val="000000" w:themeColor="text1"/>
          <w:sz w:val="22"/>
          <w:szCs w:val="22"/>
        </w:rPr>
        <w:t>e</w:t>
      </w:r>
      <w:r w:rsidRPr="009E35ED">
        <w:rPr>
          <w:rFonts w:ascii="Arial" w:hAnsi="Arial" w:cs="Arial"/>
          <w:color w:val="000000" w:themeColor="text1"/>
          <w:sz w:val="22"/>
          <w:szCs w:val="22"/>
        </w:rPr>
        <w:t>quipment - dental equipment/apparatus/instruments (DEN), medical equipment/apparatus/instrument (MED) and laboratory equipment (LAB).</w:t>
      </w:r>
    </w:p>
    <w:p w14:paraId="71343EE2" w14:textId="77777777" w:rsidR="00A01AAA" w:rsidRPr="009E35ED" w:rsidRDefault="00A01AAA" w:rsidP="00A01AAA">
      <w:pPr>
        <w:ind w:left="0"/>
        <w:rPr>
          <w:rFonts w:ascii="Arial" w:hAnsi="Arial" w:cs="Arial"/>
          <w:color w:val="000000" w:themeColor="text1"/>
          <w:sz w:val="22"/>
          <w:szCs w:val="22"/>
        </w:rPr>
      </w:pPr>
    </w:p>
    <w:p w14:paraId="7C5D553D" w14:textId="3634C798" w:rsidR="00A01AAA" w:rsidRPr="009E35ED" w:rsidRDefault="00A01AAA" w:rsidP="00A01AAA">
      <w:pPr>
        <w:ind w:left="0"/>
        <w:rPr>
          <w:rFonts w:ascii="Arial" w:hAnsi="Arial" w:cs="Arial"/>
          <w:color w:val="000000" w:themeColor="text1"/>
          <w:sz w:val="22"/>
          <w:szCs w:val="22"/>
        </w:rPr>
      </w:pPr>
      <w:r w:rsidRPr="009E35ED">
        <w:rPr>
          <w:rFonts w:ascii="Arial" w:hAnsi="Arial" w:cs="Arial"/>
          <w:color w:val="000000" w:themeColor="text1"/>
          <w:sz w:val="22"/>
          <w:szCs w:val="22"/>
        </w:rPr>
        <w:t xml:space="preserve">Military and </w:t>
      </w:r>
      <w:r w:rsidR="00C67B39">
        <w:rPr>
          <w:rFonts w:ascii="Arial" w:hAnsi="Arial" w:cs="Arial"/>
          <w:color w:val="000000" w:themeColor="text1"/>
          <w:sz w:val="22"/>
          <w:szCs w:val="22"/>
        </w:rPr>
        <w:t>p</w:t>
      </w:r>
      <w:r w:rsidRPr="009E35ED">
        <w:rPr>
          <w:rFonts w:ascii="Arial" w:hAnsi="Arial" w:cs="Arial"/>
          <w:color w:val="000000" w:themeColor="text1"/>
          <w:sz w:val="22"/>
          <w:szCs w:val="22"/>
        </w:rPr>
        <w:t xml:space="preserve">olice </w:t>
      </w:r>
      <w:r w:rsidR="00C67B39">
        <w:rPr>
          <w:rFonts w:ascii="Arial" w:hAnsi="Arial" w:cs="Arial"/>
          <w:color w:val="000000" w:themeColor="text1"/>
          <w:sz w:val="22"/>
          <w:szCs w:val="22"/>
        </w:rPr>
        <w:t>s</w:t>
      </w:r>
      <w:r w:rsidRPr="009E35ED">
        <w:rPr>
          <w:rFonts w:ascii="Arial" w:hAnsi="Arial" w:cs="Arial"/>
          <w:color w:val="000000" w:themeColor="text1"/>
          <w:sz w:val="22"/>
          <w:szCs w:val="22"/>
        </w:rPr>
        <w:t xml:space="preserve">ecurity </w:t>
      </w:r>
      <w:r w:rsidR="00C67B39">
        <w:rPr>
          <w:rFonts w:ascii="Arial" w:hAnsi="Arial" w:cs="Arial"/>
          <w:color w:val="000000" w:themeColor="text1"/>
          <w:sz w:val="22"/>
          <w:szCs w:val="22"/>
        </w:rPr>
        <w:t>e</w:t>
      </w:r>
      <w:r w:rsidRPr="009E35ED">
        <w:rPr>
          <w:rFonts w:ascii="Arial" w:hAnsi="Arial" w:cs="Arial"/>
          <w:color w:val="000000" w:themeColor="text1"/>
          <w:sz w:val="22"/>
          <w:szCs w:val="22"/>
        </w:rPr>
        <w:t>quipment - firearms and accessories (FNA) and CCTV system in set (CTV).</w:t>
      </w:r>
    </w:p>
    <w:p w14:paraId="239C1027" w14:textId="77777777" w:rsidR="00A01AAA" w:rsidRPr="009E35ED" w:rsidRDefault="00A01AAA" w:rsidP="00A01AAA">
      <w:pPr>
        <w:ind w:left="0"/>
        <w:rPr>
          <w:rFonts w:ascii="Arial" w:hAnsi="Arial" w:cs="Arial"/>
          <w:color w:val="000000" w:themeColor="text1"/>
          <w:sz w:val="22"/>
          <w:szCs w:val="22"/>
        </w:rPr>
      </w:pPr>
    </w:p>
    <w:p w14:paraId="3360CD5C" w14:textId="21D9E5FE" w:rsidR="00035EC3" w:rsidRPr="009E35ED" w:rsidRDefault="00A01AAA" w:rsidP="00A01AAA">
      <w:pPr>
        <w:ind w:left="0"/>
        <w:rPr>
          <w:rFonts w:ascii="Arial" w:hAnsi="Arial" w:cs="Arial"/>
          <w:color w:val="000000" w:themeColor="text1"/>
          <w:sz w:val="22"/>
          <w:szCs w:val="22"/>
        </w:rPr>
      </w:pPr>
      <w:r w:rsidRPr="009E35ED">
        <w:rPr>
          <w:rFonts w:ascii="Arial" w:hAnsi="Arial" w:cs="Arial"/>
          <w:color w:val="000000" w:themeColor="text1"/>
          <w:sz w:val="22"/>
          <w:szCs w:val="22"/>
        </w:rPr>
        <w:t xml:space="preserve">Sports </w:t>
      </w:r>
      <w:r w:rsidR="00C67B39">
        <w:rPr>
          <w:rFonts w:ascii="Arial" w:hAnsi="Arial" w:cs="Arial"/>
          <w:color w:val="000000" w:themeColor="text1"/>
          <w:sz w:val="22"/>
          <w:szCs w:val="22"/>
        </w:rPr>
        <w:t>e</w:t>
      </w:r>
      <w:r w:rsidRPr="009E35ED">
        <w:rPr>
          <w:rFonts w:ascii="Arial" w:hAnsi="Arial" w:cs="Arial"/>
          <w:color w:val="000000" w:themeColor="text1"/>
          <w:sz w:val="22"/>
          <w:szCs w:val="22"/>
        </w:rPr>
        <w:t>quipment - sports equipment and accessories (SEA).</w:t>
      </w:r>
    </w:p>
    <w:p w14:paraId="7D448581" w14:textId="3F58F799" w:rsidR="00A01AAA" w:rsidRPr="009E35ED" w:rsidRDefault="00A01AAA" w:rsidP="00A01AAA">
      <w:pPr>
        <w:ind w:left="0"/>
        <w:rPr>
          <w:rFonts w:ascii="Arial" w:hAnsi="Arial" w:cs="Arial"/>
          <w:color w:val="000000" w:themeColor="text1"/>
          <w:sz w:val="22"/>
          <w:szCs w:val="22"/>
        </w:rPr>
      </w:pPr>
      <w:r w:rsidRPr="009E35ED">
        <w:rPr>
          <w:rFonts w:ascii="Arial" w:hAnsi="Arial" w:cs="Arial"/>
          <w:color w:val="000000" w:themeColor="text1"/>
          <w:sz w:val="22"/>
          <w:szCs w:val="22"/>
        </w:rPr>
        <w:t xml:space="preserve">Printing </w:t>
      </w:r>
      <w:r w:rsidR="00C67B39">
        <w:rPr>
          <w:rFonts w:ascii="Arial" w:hAnsi="Arial" w:cs="Arial"/>
          <w:color w:val="000000" w:themeColor="text1"/>
          <w:sz w:val="22"/>
          <w:szCs w:val="22"/>
        </w:rPr>
        <w:t>e</w:t>
      </w:r>
      <w:r w:rsidRPr="009E35ED">
        <w:rPr>
          <w:rFonts w:ascii="Arial" w:hAnsi="Arial" w:cs="Arial"/>
          <w:color w:val="000000" w:themeColor="text1"/>
          <w:sz w:val="22"/>
          <w:szCs w:val="22"/>
        </w:rPr>
        <w:t>quipment - printing equipment and accessories (PEA).</w:t>
      </w:r>
    </w:p>
    <w:p w14:paraId="48C28FF6" w14:textId="77777777" w:rsidR="00A01AAA" w:rsidRPr="009E35ED" w:rsidRDefault="00A01AAA" w:rsidP="00A01AAA">
      <w:pPr>
        <w:ind w:left="0"/>
        <w:rPr>
          <w:rFonts w:ascii="Arial" w:hAnsi="Arial" w:cs="Arial"/>
          <w:color w:val="000000" w:themeColor="text1"/>
          <w:sz w:val="22"/>
          <w:szCs w:val="22"/>
        </w:rPr>
      </w:pPr>
    </w:p>
    <w:p w14:paraId="6B19B1FF" w14:textId="531F7682" w:rsidR="00A01AAA" w:rsidRPr="009E35ED" w:rsidRDefault="00A01AAA" w:rsidP="00A01AAA">
      <w:pPr>
        <w:ind w:left="0"/>
        <w:rPr>
          <w:rFonts w:ascii="Arial" w:hAnsi="Arial" w:cs="Arial"/>
          <w:color w:val="000000" w:themeColor="text1"/>
          <w:sz w:val="22"/>
          <w:szCs w:val="22"/>
        </w:rPr>
      </w:pPr>
      <w:r w:rsidRPr="009E35ED">
        <w:rPr>
          <w:rFonts w:ascii="Arial" w:hAnsi="Arial" w:cs="Arial"/>
          <w:color w:val="000000" w:themeColor="text1"/>
          <w:sz w:val="22"/>
          <w:szCs w:val="22"/>
        </w:rPr>
        <w:t xml:space="preserve">Motor </w:t>
      </w:r>
      <w:r w:rsidR="00C67B39">
        <w:rPr>
          <w:rFonts w:ascii="Arial" w:hAnsi="Arial" w:cs="Arial"/>
          <w:color w:val="000000" w:themeColor="text1"/>
          <w:sz w:val="22"/>
          <w:szCs w:val="22"/>
        </w:rPr>
        <w:t>v</w:t>
      </w:r>
      <w:r w:rsidRPr="009E35ED">
        <w:rPr>
          <w:rFonts w:ascii="Arial" w:hAnsi="Arial" w:cs="Arial"/>
          <w:color w:val="000000" w:themeColor="text1"/>
          <w:sz w:val="22"/>
          <w:szCs w:val="22"/>
        </w:rPr>
        <w:t>ehicle - motor vehicle (VEH).</w:t>
      </w:r>
    </w:p>
    <w:p w14:paraId="53CE777A" w14:textId="77777777" w:rsidR="00A01AAA" w:rsidRPr="009E35ED" w:rsidRDefault="00A01AAA" w:rsidP="00A01AAA">
      <w:pPr>
        <w:ind w:left="0"/>
        <w:rPr>
          <w:rFonts w:ascii="Arial" w:hAnsi="Arial" w:cs="Arial"/>
          <w:color w:val="000000" w:themeColor="text1"/>
          <w:sz w:val="22"/>
          <w:szCs w:val="22"/>
        </w:rPr>
      </w:pPr>
    </w:p>
    <w:p w14:paraId="4C9204C4" w14:textId="164D579F" w:rsidR="00933469" w:rsidRPr="009E35ED" w:rsidRDefault="00A01AAA" w:rsidP="00933469">
      <w:pPr>
        <w:ind w:left="0"/>
        <w:rPr>
          <w:rFonts w:ascii="Arial" w:hAnsi="Arial" w:cs="Arial"/>
          <w:color w:val="000000" w:themeColor="text1"/>
          <w:sz w:val="22"/>
          <w:szCs w:val="22"/>
        </w:rPr>
      </w:pPr>
      <w:r w:rsidRPr="009E35ED">
        <w:rPr>
          <w:rFonts w:ascii="Arial" w:hAnsi="Arial" w:cs="Arial"/>
          <w:color w:val="000000" w:themeColor="text1"/>
          <w:sz w:val="22"/>
          <w:szCs w:val="22"/>
        </w:rPr>
        <w:t xml:space="preserve">Other </w:t>
      </w:r>
      <w:r w:rsidR="00C67B39">
        <w:rPr>
          <w:rFonts w:ascii="Arial" w:hAnsi="Arial" w:cs="Arial"/>
          <w:color w:val="000000" w:themeColor="text1"/>
          <w:sz w:val="22"/>
          <w:szCs w:val="22"/>
        </w:rPr>
        <w:t>p</w:t>
      </w:r>
      <w:r w:rsidRPr="009E35ED">
        <w:rPr>
          <w:rFonts w:ascii="Arial" w:hAnsi="Arial" w:cs="Arial"/>
          <w:color w:val="000000" w:themeColor="text1"/>
          <w:sz w:val="22"/>
          <w:szCs w:val="22"/>
        </w:rPr>
        <w:t xml:space="preserve">roperty, </w:t>
      </w:r>
      <w:r w:rsidR="00C67B39">
        <w:rPr>
          <w:rFonts w:ascii="Arial" w:hAnsi="Arial" w:cs="Arial"/>
          <w:color w:val="000000" w:themeColor="text1"/>
          <w:sz w:val="22"/>
          <w:szCs w:val="22"/>
        </w:rPr>
        <w:t>p</w:t>
      </w:r>
      <w:r w:rsidRPr="009E35ED">
        <w:rPr>
          <w:rFonts w:ascii="Arial" w:hAnsi="Arial" w:cs="Arial"/>
          <w:color w:val="000000" w:themeColor="text1"/>
          <w:sz w:val="22"/>
          <w:szCs w:val="22"/>
        </w:rPr>
        <w:t xml:space="preserve">lant and </w:t>
      </w:r>
      <w:r w:rsidR="00C67B39">
        <w:rPr>
          <w:rFonts w:ascii="Arial" w:hAnsi="Arial" w:cs="Arial"/>
          <w:color w:val="000000" w:themeColor="text1"/>
          <w:sz w:val="22"/>
          <w:szCs w:val="22"/>
        </w:rPr>
        <w:t>e</w:t>
      </w:r>
      <w:r w:rsidRPr="009E35ED">
        <w:rPr>
          <w:rFonts w:ascii="Arial" w:hAnsi="Arial" w:cs="Arial"/>
          <w:color w:val="000000" w:themeColor="text1"/>
          <w:sz w:val="22"/>
          <w:szCs w:val="22"/>
        </w:rPr>
        <w:t>quipment - container van (CVN), generator set (GEN), fan (FAN), kitchen appliances (KAP), kitchen articles (KNA) and general services tools and equipment (GST),</w:t>
      </w:r>
      <w:r w:rsidRPr="009E35ED">
        <w:rPr>
          <w:rFonts w:ascii="Arial" w:eastAsia="Calibri" w:hAnsi="Arial" w:cs="Arial"/>
          <w:color w:val="000000" w:themeColor="text1"/>
          <w:sz w:val="22"/>
          <w:szCs w:val="22"/>
        </w:rPr>
        <w:t xml:space="preserve"> </w:t>
      </w:r>
      <w:r w:rsidRPr="009E35ED">
        <w:rPr>
          <w:rFonts w:ascii="Arial" w:hAnsi="Arial" w:cs="Arial"/>
          <w:color w:val="000000" w:themeColor="text1"/>
          <w:sz w:val="22"/>
          <w:szCs w:val="22"/>
        </w:rPr>
        <w:t>such as signage, tent, GST tools, air ionizer, air compressor, dehumidifier, forklift and other unidentified items.</w:t>
      </w:r>
    </w:p>
    <w:p w14:paraId="7940287F" w14:textId="363C84BB" w:rsidR="001B64DD" w:rsidRPr="009E35ED" w:rsidRDefault="001B64DD" w:rsidP="00933469">
      <w:pPr>
        <w:ind w:left="0"/>
        <w:rPr>
          <w:rFonts w:ascii="Arial" w:hAnsi="Arial" w:cs="Arial"/>
          <w:color w:val="000000" w:themeColor="text1"/>
          <w:sz w:val="22"/>
          <w:szCs w:val="22"/>
        </w:rPr>
      </w:pPr>
    </w:p>
    <w:p w14:paraId="6C500712" w14:textId="77777777" w:rsidR="00711600" w:rsidRPr="009E35ED" w:rsidRDefault="00711600" w:rsidP="00753571">
      <w:pPr>
        <w:ind w:left="0"/>
        <w:rPr>
          <w:rFonts w:ascii="Arial" w:eastAsia="Calibri" w:hAnsi="Arial" w:cs="Arial"/>
          <w:color w:val="000000" w:themeColor="text1"/>
          <w:sz w:val="22"/>
          <w:szCs w:val="22"/>
        </w:rPr>
      </w:pPr>
    </w:p>
    <w:p w14:paraId="7DB41EA3" w14:textId="77777777" w:rsidR="00572AF6" w:rsidRPr="009E35ED" w:rsidRDefault="009F61D0" w:rsidP="001C371F">
      <w:pPr>
        <w:pStyle w:val="ListParagraph"/>
        <w:numPr>
          <w:ilvl w:val="0"/>
          <w:numId w:val="13"/>
        </w:numPr>
        <w:ind w:left="720" w:hanging="720"/>
        <w:rPr>
          <w:rFonts w:ascii="Arial" w:hAnsi="Arial" w:cs="Arial"/>
          <w:color w:val="000000" w:themeColor="text1"/>
          <w:sz w:val="22"/>
          <w:szCs w:val="22"/>
        </w:rPr>
      </w:pPr>
      <w:r w:rsidRPr="009E35ED">
        <w:rPr>
          <w:rFonts w:ascii="Arial" w:hAnsi="Arial" w:cs="Arial"/>
          <w:b/>
          <w:color w:val="000000" w:themeColor="text1"/>
          <w:sz w:val="22"/>
          <w:szCs w:val="22"/>
        </w:rPr>
        <w:t>INTANGIBLE ASSETS</w:t>
      </w:r>
    </w:p>
    <w:p w14:paraId="02084D21" w14:textId="77777777" w:rsidR="007B0551" w:rsidRPr="009E35ED" w:rsidRDefault="007B0551" w:rsidP="00803F8C">
      <w:pPr>
        <w:pStyle w:val="NoSpacing"/>
        <w:ind w:left="0"/>
        <w:rPr>
          <w:rFonts w:ascii="Arial" w:hAnsi="Arial" w:cs="Arial"/>
          <w:color w:val="000000" w:themeColor="text1"/>
        </w:rPr>
      </w:pPr>
    </w:p>
    <w:p w14:paraId="13838C7C" w14:textId="0CA93FC1" w:rsidR="007B0551" w:rsidRPr="009E35ED" w:rsidRDefault="007B0551" w:rsidP="00803F8C">
      <w:pPr>
        <w:pStyle w:val="NoSpacing"/>
        <w:ind w:left="0"/>
        <w:rPr>
          <w:rFonts w:ascii="Arial" w:hAnsi="Arial" w:cs="Arial"/>
          <w:color w:val="000000" w:themeColor="text1"/>
        </w:rPr>
      </w:pPr>
      <w:r w:rsidRPr="009E35ED">
        <w:rPr>
          <w:rFonts w:ascii="Arial" w:hAnsi="Arial" w:cs="Arial"/>
          <w:color w:val="000000" w:themeColor="text1"/>
        </w:rPr>
        <w:t>A reconciliation of the carrying amounts at the beginning and end of 20</w:t>
      </w:r>
      <w:r w:rsidR="00F21FCA" w:rsidRPr="009E35ED">
        <w:rPr>
          <w:rFonts w:ascii="Arial" w:hAnsi="Arial" w:cs="Arial"/>
          <w:color w:val="000000" w:themeColor="text1"/>
        </w:rPr>
        <w:t>2</w:t>
      </w:r>
      <w:r w:rsidR="00D5551C" w:rsidRPr="009E35ED">
        <w:rPr>
          <w:rFonts w:ascii="Arial" w:hAnsi="Arial" w:cs="Arial"/>
          <w:color w:val="000000" w:themeColor="text1"/>
        </w:rPr>
        <w:t>3</w:t>
      </w:r>
      <w:r w:rsidR="00F51926" w:rsidRPr="009E35ED">
        <w:rPr>
          <w:rFonts w:ascii="Arial" w:hAnsi="Arial" w:cs="Arial"/>
          <w:color w:val="000000" w:themeColor="text1"/>
        </w:rPr>
        <w:t xml:space="preserve"> and 202</w:t>
      </w:r>
      <w:r w:rsidR="00D5551C" w:rsidRPr="009E35ED">
        <w:rPr>
          <w:rFonts w:ascii="Arial" w:hAnsi="Arial" w:cs="Arial"/>
          <w:color w:val="000000" w:themeColor="text1"/>
        </w:rPr>
        <w:t>2</w:t>
      </w:r>
      <w:r w:rsidRPr="009E35ED">
        <w:rPr>
          <w:rFonts w:ascii="Arial" w:hAnsi="Arial" w:cs="Arial"/>
          <w:color w:val="000000" w:themeColor="text1"/>
        </w:rPr>
        <w:t>, of computer software is shown below:</w:t>
      </w:r>
    </w:p>
    <w:p w14:paraId="38B12BF2" w14:textId="290FBCDE" w:rsidR="00092CC4" w:rsidRPr="009E35ED" w:rsidRDefault="00092CC4" w:rsidP="00803F8C">
      <w:pPr>
        <w:pStyle w:val="NoSpacing"/>
        <w:ind w:left="0"/>
        <w:rPr>
          <w:rFonts w:ascii="Arial" w:hAnsi="Arial" w:cs="Arial"/>
          <w:color w:val="000000" w:themeColor="text1"/>
        </w:rPr>
      </w:pPr>
    </w:p>
    <w:tbl>
      <w:tblPr>
        <w:tblW w:w="8629" w:type="dxa"/>
        <w:tblLayout w:type="fixed"/>
        <w:tblCellMar>
          <w:left w:w="0" w:type="dxa"/>
          <w:right w:w="0" w:type="dxa"/>
        </w:tblCellMar>
        <w:tblLook w:val="04A0" w:firstRow="1" w:lastRow="0" w:firstColumn="1" w:lastColumn="0" w:noHBand="0" w:noVBand="1"/>
      </w:tblPr>
      <w:tblGrid>
        <w:gridCol w:w="4320"/>
        <w:gridCol w:w="2417"/>
        <w:gridCol w:w="1892"/>
      </w:tblGrid>
      <w:tr w:rsidR="00997F75" w:rsidRPr="009E35ED" w14:paraId="171F61C0" w14:textId="77777777" w:rsidTr="002F0748">
        <w:trPr>
          <w:trHeight w:val="258"/>
          <w:tblHeader/>
        </w:trPr>
        <w:tc>
          <w:tcPr>
            <w:tcW w:w="4320"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14:paraId="7FEFA48C" w14:textId="77777777" w:rsidR="002D62EE" w:rsidRPr="009E35ED" w:rsidRDefault="002D62EE" w:rsidP="00E14BE0">
            <w:pPr>
              <w:ind w:left="0"/>
              <w:jc w:val="right"/>
              <w:rPr>
                <w:rFonts w:ascii="Arial Narrow" w:hAnsi="Arial Narrow" w:cs="Arial"/>
                <w:b/>
                <w:bCs/>
                <w:color w:val="000000" w:themeColor="text1"/>
                <w:sz w:val="21"/>
                <w:szCs w:val="21"/>
              </w:rPr>
            </w:pPr>
          </w:p>
        </w:tc>
        <w:tc>
          <w:tcPr>
            <w:tcW w:w="2417"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14:paraId="2788938F" w14:textId="27FE2CF9" w:rsidR="002D62EE" w:rsidRPr="009E35ED" w:rsidRDefault="00CF5D90" w:rsidP="00E14BE0">
            <w:pPr>
              <w:ind w:left="-20"/>
              <w:jc w:val="right"/>
              <w:rPr>
                <w:rFonts w:ascii="Arial Narrow" w:hAnsi="Arial Narrow" w:cs="Arial"/>
                <w:b/>
                <w:bCs/>
                <w:color w:val="000000" w:themeColor="text1"/>
                <w:sz w:val="21"/>
                <w:szCs w:val="21"/>
              </w:rPr>
            </w:pPr>
            <w:r w:rsidRPr="009E35ED">
              <w:rPr>
                <w:rFonts w:ascii="Arial Narrow" w:hAnsi="Arial Narrow" w:cs="Arial"/>
                <w:b/>
                <w:bCs/>
                <w:color w:val="000000" w:themeColor="text1"/>
                <w:sz w:val="21"/>
                <w:szCs w:val="21"/>
              </w:rPr>
              <w:t>202</w:t>
            </w:r>
            <w:r w:rsidR="00D5551C" w:rsidRPr="009E35ED">
              <w:rPr>
                <w:rFonts w:ascii="Arial Narrow" w:hAnsi="Arial Narrow" w:cs="Arial"/>
                <w:b/>
                <w:bCs/>
                <w:color w:val="000000" w:themeColor="text1"/>
                <w:sz w:val="21"/>
                <w:szCs w:val="21"/>
              </w:rPr>
              <w:t>3</w:t>
            </w:r>
          </w:p>
        </w:tc>
        <w:tc>
          <w:tcPr>
            <w:tcW w:w="1892" w:type="dxa"/>
            <w:tcBorders>
              <w:top w:val="single" w:sz="4" w:space="0" w:color="auto"/>
              <w:left w:val="nil"/>
              <w:bottom w:val="single" w:sz="4" w:space="0" w:color="auto"/>
              <w:right w:val="nil"/>
            </w:tcBorders>
          </w:tcPr>
          <w:p w14:paraId="3D91A2CD" w14:textId="21C7E636" w:rsidR="00EC27C9" w:rsidRPr="009E35ED" w:rsidRDefault="002D62EE" w:rsidP="00BD1656">
            <w:pPr>
              <w:ind w:left="0"/>
              <w:jc w:val="right"/>
              <w:rPr>
                <w:rFonts w:ascii="Arial Narrow" w:hAnsi="Arial Narrow" w:cs="Arial"/>
                <w:b/>
                <w:bCs/>
                <w:color w:val="000000" w:themeColor="text1"/>
                <w:sz w:val="21"/>
                <w:szCs w:val="21"/>
              </w:rPr>
            </w:pPr>
            <w:r w:rsidRPr="009E35ED">
              <w:rPr>
                <w:rFonts w:ascii="Arial Narrow" w:hAnsi="Arial Narrow" w:cs="Arial"/>
                <w:b/>
                <w:bCs/>
                <w:color w:val="000000" w:themeColor="text1"/>
                <w:sz w:val="21"/>
                <w:szCs w:val="21"/>
              </w:rPr>
              <w:t>20</w:t>
            </w:r>
            <w:r w:rsidR="00F51926" w:rsidRPr="009E35ED">
              <w:rPr>
                <w:rFonts w:ascii="Arial Narrow" w:hAnsi="Arial Narrow" w:cs="Arial"/>
                <w:b/>
                <w:bCs/>
                <w:color w:val="000000" w:themeColor="text1"/>
                <w:sz w:val="21"/>
                <w:szCs w:val="21"/>
              </w:rPr>
              <w:t>2</w:t>
            </w:r>
            <w:r w:rsidR="00D5551C" w:rsidRPr="009E35ED">
              <w:rPr>
                <w:rFonts w:ascii="Arial Narrow" w:hAnsi="Arial Narrow" w:cs="Arial"/>
                <w:b/>
                <w:bCs/>
                <w:color w:val="000000" w:themeColor="text1"/>
                <w:sz w:val="21"/>
                <w:szCs w:val="21"/>
              </w:rPr>
              <w:t>2</w:t>
            </w:r>
          </w:p>
        </w:tc>
      </w:tr>
      <w:tr w:rsidR="00997F75" w:rsidRPr="009E35ED" w14:paraId="30F94CFC" w14:textId="77777777" w:rsidTr="00FF441D">
        <w:trPr>
          <w:trHeight w:val="159"/>
        </w:trPr>
        <w:tc>
          <w:tcPr>
            <w:tcW w:w="4320" w:type="dxa"/>
            <w:tcBorders>
              <w:top w:val="single" w:sz="4" w:space="0" w:color="auto"/>
              <w:left w:val="nil"/>
              <w:bottom w:val="nil"/>
              <w:right w:val="nil"/>
            </w:tcBorders>
            <w:shd w:val="clear" w:color="auto" w:fill="auto"/>
            <w:noWrap/>
            <w:tcMar>
              <w:top w:w="15" w:type="dxa"/>
              <w:left w:w="15" w:type="dxa"/>
              <w:bottom w:w="0" w:type="dxa"/>
              <w:right w:w="15" w:type="dxa"/>
            </w:tcMar>
            <w:vAlign w:val="bottom"/>
            <w:hideMark/>
          </w:tcPr>
          <w:p w14:paraId="29F5BCF9" w14:textId="77777777" w:rsidR="002D62EE" w:rsidRPr="009E35ED" w:rsidRDefault="002D62EE" w:rsidP="002D62EE">
            <w:pPr>
              <w:ind w:left="0"/>
              <w:jc w:val="left"/>
              <w:rPr>
                <w:rFonts w:ascii="Arial Narrow" w:hAnsi="Arial Narrow" w:cs="Arial"/>
                <w:b/>
                <w:bCs/>
                <w:color w:val="000000" w:themeColor="text1"/>
                <w:sz w:val="21"/>
                <w:szCs w:val="21"/>
              </w:rPr>
            </w:pPr>
            <w:r w:rsidRPr="009E35ED">
              <w:rPr>
                <w:rFonts w:ascii="Arial Narrow" w:hAnsi="Arial Narrow" w:cs="Arial"/>
                <w:b/>
                <w:bCs/>
                <w:color w:val="000000" w:themeColor="text1"/>
                <w:sz w:val="21"/>
                <w:szCs w:val="21"/>
              </w:rPr>
              <w:t>Costs</w:t>
            </w:r>
          </w:p>
        </w:tc>
        <w:tc>
          <w:tcPr>
            <w:tcW w:w="2417" w:type="dxa"/>
            <w:tcBorders>
              <w:top w:val="single" w:sz="4" w:space="0" w:color="auto"/>
              <w:left w:val="nil"/>
              <w:bottom w:val="nil"/>
              <w:right w:val="nil"/>
            </w:tcBorders>
            <w:shd w:val="clear" w:color="auto" w:fill="auto"/>
            <w:noWrap/>
            <w:tcMar>
              <w:top w:w="15" w:type="dxa"/>
              <w:left w:w="15" w:type="dxa"/>
              <w:bottom w:w="0" w:type="dxa"/>
              <w:right w:w="15" w:type="dxa"/>
            </w:tcMar>
            <w:vAlign w:val="bottom"/>
          </w:tcPr>
          <w:p w14:paraId="535F551A" w14:textId="77777777" w:rsidR="002D62EE" w:rsidRPr="009E35ED" w:rsidRDefault="002D62EE" w:rsidP="002D62EE">
            <w:pPr>
              <w:ind w:left="-20"/>
              <w:jc w:val="right"/>
              <w:rPr>
                <w:rFonts w:ascii="Arial Narrow" w:hAnsi="Arial Narrow" w:cs="Arial"/>
                <w:b/>
                <w:bCs/>
                <w:color w:val="000000" w:themeColor="text1"/>
                <w:sz w:val="21"/>
                <w:szCs w:val="21"/>
              </w:rPr>
            </w:pPr>
          </w:p>
        </w:tc>
        <w:tc>
          <w:tcPr>
            <w:tcW w:w="1892" w:type="dxa"/>
            <w:tcBorders>
              <w:top w:val="single" w:sz="4" w:space="0" w:color="auto"/>
              <w:left w:val="nil"/>
              <w:bottom w:val="nil"/>
              <w:right w:val="nil"/>
            </w:tcBorders>
            <w:vAlign w:val="bottom"/>
          </w:tcPr>
          <w:p w14:paraId="0B50AC93" w14:textId="77777777" w:rsidR="002D62EE" w:rsidRPr="009E35ED" w:rsidRDefault="002D62EE" w:rsidP="002D62EE">
            <w:pPr>
              <w:ind w:left="0"/>
              <w:rPr>
                <w:rFonts w:ascii="Arial Narrow" w:hAnsi="Arial Narrow" w:cs="Arial"/>
                <w:b/>
                <w:bCs/>
                <w:color w:val="000000" w:themeColor="text1"/>
                <w:sz w:val="21"/>
                <w:szCs w:val="21"/>
              </w:rPr>
            </w:pPr>
          </w:p>
        </w:tc>
      </w:tr>
      <w:tr w:rsidR="00997F75" w:rsidRPr="009E35ED" w14:paraId="68D6D13E" w14:textId="77777777" w:rsidTr="00FF441D">
        <w:trPr>
          <w:trHeight w:val="98"/>
        </w:trPr>
        <w:tc>
          <w:tcPr>
            <w:tcW w:w="4320" w:type="dxa"/>
            <w:tcBorders>
              <w:top w:val="nil"/>
              <w:left w:val="nil"/>
              <w:bottom w:val="nil"/>
              <w:right w:val="nil"/>
            </w:tcBorders>
            <w:shd w:val="clear" w:color="auto" w:fill="auto"/>
            <w:noWrap/>
            <w:tcMar>
              <w:top w:w="15" w:type="dxa"/>
              <w:left w:w="15" w:type="dxa"/>
              <w:bottom w:w="0" w:type="dxa"/>
              <w:right w:w="15" w:type="dxa"/>
            </w:tcMar>
            <w:vAlign w:val="bottom"/>
            <w:hideMark/>
          </w:tcPr>
          <w:p w14:paraId="670B2142" w14:textId="302738F1" w:rsidR="00D5551C" w:rsidRPr="009E35ED" w:rsidRDefault="00D5551C">
            <w:pPr>
              <w:ind w:left="0"/>
              <w:rPr>
                <w:rFonts w:ascii="Arial Narrow" w:hAnsi="Arial Narrow" w:cs="Arial"/>
                <w:color w:val="000000" w:themeColor="text1"/>
                <w:sz w:val="21"/>
                <w:szCs w:val="21"/>
              </w:rPr>
            </w:pPr>
            <w:r w:rsidRPr="009E35ED">
              <w:rPr>
                <w:rFonts w:ascii="Arial Narrow" w:hAnsi="Arial Narrow" w:cs="Arial"/>
                <w:color w:val="000000" w:themeColor="text1"/>
                <w:sz w:val="21"/>
                <w:szCs w:val="21"/>
              </w:rPr>
              <w:t xml:space="preserve">Beginning </w:t>
            </w:r>
            <w:r w:rsidR="006042C4">
              <w:rPr>
                <w:rFonts w:ascii="Arial Narrow" w:hAnsi="Arial Narrow" w:cs="Arial"/>
                <w:color w:val="000000" w:themeColor="text1"/>
                <w:sz w:val="21"/>
                <w:szCs w:val="21"/>
              </w:rPr>
              <w:t>b</w:t>
            </w:r>
            <w:r w:rsidRPr="009E35ED">
              <w:rPr>
                <w:rFonts w:ascii="Arial Narrow" w:hAnsi="Arial Narrow" w:cs="Arial"/>
                <w:color w:val="000000" w:themeColor="text1"/>
                <w:sz w:val="21"/>
                <w:szCs w:val="21"/>
              </w:rPr>
              <w:t>alance</w:t>
            </w:r>
          </w:p>
        </w:tc>
        <w:tc>
          <w:tcPr>
            <w:tcW w:w="2417" w:type="dxa"/>
            <w:tcBorders>
              <w:top w:val="nil"/>
              <w:left w:val="nil"/>
              <w:bottom w:val="nil"/>
              <w:right w:val="nil"/>
            </w:tcBorders>
            <w:shd w:val="clear" w:color="auto" w:fill="auto"/>
            <w:noWrap/>
            <w:tcMar>
              <w:top w:w="15" w:type="dxa"/>
              <w:left w:w="15" w:type="dxa"/>
              <w:bottom w:w="0" w:type="dxa"/>
              <w:right w:w="15" w:type="dxa"/>
            </w:tcMar>
            <w:vAlign w:val="bottom"/>
          </w:tcPr>
          <w:p w14:paraId="3107C648" w14:textId="5A9347DE" w:rsidR="00D5551C" w:rsidRPr="009E35ED" w:rsidRDefault="00DD232A" w:rsidP="00D5551C">
            <w:pPr>
              <w:ind w:left="-20"/>
              <w:jc w:val="right"/>
              <w:rPr>
                <w:rFonts w:ascii="Arial Narrow" w:hAnsi="Arial Narrow" w:cs="Arial"/>
                <w:color w:val="000000" w:themeColor="text1"/>
                <w:sz w:val="21"/>
                <w:szCs w:val="21"/>
              </w:rPr>
            </w:pPr>
            <w:r w:rsidRPr="009E35ED">
              <w:rPr>
                <w:rFonts w:ascii="Arial Narrow" w:hAnsi="Arial Narrow" w:cs="Arial"/>
                <w:color w:val="000000" w:themeColor="text1"/>
                <w:sz w:val="21"/>
                <w:szCs w:val="21"/>
              </w:rPr>
              <w:t>280,678,051</w:t>
            </w:r>
          </w:p>
        </w:tc>
        <w:tc>
          <w:tcPr>
            <w:tcW w:w="1892" w:type="dxa"/>
            <w:tcBorders>
              <w:top w:val="nil"/>
              <w:left w:val="nil"/>
              <w:bottom w:val="nil"/>
              <w:right w:val="nil"/>
            </w:tcBorders>
            <w:vAlign w:val="bottom"/>
          </w:tcPr>
          <w:p w14:paraId="124E81D0" w14:textId="2EE4EE0F" w:rsidR="00D5551C" w:rsidRPr="009E35ED" w:rsidRDefault="00D5551C" w:rsidP="00D5551C">
            <w:pPr>
              <w:ind w:left="0"/>
              <w:jc w:val="right"/>
              <w:rPr>
                <w:rFonts w:ascii="Arial Narrow" w:hAnsi="Arial Narrow" w:cs="Arial"/>
                <w:color w:val="000000" w:themeColor="text1"/>
                <w:sz w:val="21"/>
                <w:szCs w:val="21"/>
              </w:rPr>
            </w:pPr>
            <w:r w:rsidRPr="009E35ED">
              <w:rPr>
                <w:rFonts w:ascii="Arial Narrow" w:hAnsi="Arial Narrow" w:cs="Arial"/>
                <w:color w:val="000000" w:themeColor="text1"/>
                <w:sz w:val="21"/>
                <w:szCs w:val="21"/>
              </w:rPr>
              <w:t>365,509,335</w:t>
            </w:r>
          </w:p>
        </w:tc>
      </w:tr>
      <w:tr w:rsidR="00997F75" w:rsidRPr="009E35ED" w14:paraId="6759EE49" w14:textId="77777777" w:rsidTr="00FF441D">
        <w:trPr>
          <w:trHeight w:val="104"/>
        </w:trPr>
        <w:tc>
          <w:tcPr>
            <w:tcW w:w="4320" w:type="dxa"/>
            <w:tcBorders>
              <w:top w:val="nil"/>
              <w:left w:val="nil"/>
              <w:bottom w:val="nil"/>
              <w:right w:val="nil"/>
            </w:tcBorders>
            <w:shd w:val="clear" w:color="auto" w:fill="auto"/>
            <w:noWrap/>
            <w:tcMar>
              <w:top w:w="15" w:type="dxa"/>
              <w:left w:w="15" w:type="dxa"/>
              <w:bottom w:w="0" w:type="dxa"/>
              <w:right w:w="15" w:type="dxa"/>
            </w:tcMar>
            <w:vAlign w:val="bottom"/>
            <w:hideMark/>
          </w:tcPr>
          <w:p w14:paraId="142618B5" w14:textId="77777777" w:rsidR="00D5551C" w:rsidRPr="009E35ED" w:rsidRDefault="00D5551C" w:rsidP="00D5551C">
            <w:pPr>
              <w:ind w:left="0"/>
              <w:rPr>
                <w:rFonts w:ascii="Arial Narrow" w:hAnsi="Arial Narrow" w:cs="Arial"/>
                <w:color w:val="000000" w:themeColor="text1"/>
                <w:sz w:val="21"/>
                <w:szCs w:val="21"/>
              </w:rPr>
            </w:pPr>
            <w:r w:rsidRPr="009E35ED">
              <w:rPr>
                <w:rFonts w:ascii="Arial Narrow" w:hAnsi="Arial Narrow" w:cs="Arial"/>
                <w:color w:val="000000" w:themeColor="text1"/>
                <w:sz w:val="21"/>
                <w:szCs w:val="21"/>
              </w:rPr>
              <w:t>Additions</w:t>
            </w:r>
          </w:p>
        </w:tc>
        <w:tc>
          <w:tcPr>
            <w:tcW w:w="2417" w:type="dxa"/>
            <w:tcBorders>
              <w:top w:val="nil"/>
              <w:left w:val="nil"/>
              <w:bottom w:val="nil"/>
              <w:right w:val="nil"/>
            </w:tcBorders>
            <w:shd w:val="clear" w:color="auto" w:fill="auto"/>
            <w:noWrap/>
            <w:tcMar>
              <w:top w:w="15" w:type="dxa"/>
              <w:left w:w="15" w:type="dxa"/>
              <w:bottom w:w="0" w:type="dxa"/>
              <w:right w:w="15" w:type="dxa"/>
            </w:tcMar>
            <w:vAlign w:val="bottom"/>
          </w:tcPr>
          <w:p w14:paraId="148EA1C9" w14:textId="077D51F7" w:rsidR="00D5551C" w:rsidRPr="009E35ED" w:rsidRDefault="00130BBA" w:rsidP="00D5551C">
            <w:pPr>
              <w:ind w:left="-20"/>
              <w:jc w:val="right"/>
              <w:rPr>
                <w:rFonts w:ascii="Arial Narrow" w:hAnsi="Arial Narrow" w:cs="Arial"/>
                <w:color w:val="000000" w:themeColor="text1"/>
                <w:sz w:val="21"/>
                <w:szCs w:val="21"/>
              </w:rPr>
            </w:pPr>
            <w:r w:rsidRPr="009E35ED">
              <w:rPr>
                <w:rFonts w:ascii="Arial Narrow" w:hAnsi="Arial Narrow" w:cs="Arial"/>
                <w:color w:val="000000" w:themeColor="text1"/>
                <w:sz w:val="21"/>
                <w:szCs w:val="21"/>
              </w:rPr>
              <w:t>31,496,500</w:t>
            </w:r>
          </w:p>
        </w:tc>
        <w:tc>
          <w:tcPr>
            <w:tcW w:w="1892" w:type="dxa"/>
            <w:tcBorders>
              <w:top w:val="nil"/>
              <w:left w:val="nil"/>
              <w:bottom w:val="nil"/>
              <w:right w:val="nil"/>
            </w:tcBorders>
            <w:vAlign w:val="bottom"/>
          </w:tcPr>
          <w:p w14:paraId="3EE1612E" w14:textId="1443411E" w:rsidR="00D5551C" w:rsidRPr="009E35ED" w:rsidRDefault="00D5551C" w:rsidP="00D5551C">
            <w:pPr>
              <w:ind w:left="0"/>
              <w:jc w:val="right"/>
              <w:rPr>
                <w:rFonts w:ascii="Arial Narrow" w:hAnsi="Arial Narrow" w:cs="Arial"/>
                <w:color w:val="000000" w:themeColor="text1"/>
                <w:sz w:val="21"/>
                <w:szCs w:val="21"/>
              </w:rPr>
            </w:pPr>
            <w:r w:rsidRPr="009E35ED">
              <w:rPr>
                <w:rFonts w:ascii="Arial Narrow" w:hAnsi="Arial Narrow" w:cs="Arial"/>
                <w:color w:val="000000" w:themeColor="text1"/>
                <w:sz w:val="21"/>
                <w:szCs w:val="21"/>
              </w:rPr>
              <w:t>245,666,152</w:t>
            </w:r>
          </w:p>
        </w:tc>
      </w:tr>
      <w:tr w:rsidR="00997F75" w:rsidRPr="009E35ED" w14:paraId="2D7D6E4F" w14:textId="77777777" w:rsidTr="00FF441D">
        <w:trPr>
          <w:trHeight w:val="104"/>
        </w:trPr>
        <w:tc>
          <w:tcPr>
            <w:tcW w:w="4320" w:type="dxa"/>
            <w:tcBorders>
              <w:top w:val="nil"/>
              <w:left w:val="nil"/>
              <w:bottom w:val="nil"/>
              <w:right w:val="nil"/>
            </w:tcBorders>
            <w:shd w:val="clear" w:color="auto" w:fill="auto"/>
            <w:noWrap/>
            <w:tcMar>
              <w:top w:w="15" w:type="dxa"/>
              <w:left w:w="15" w:type="dxa"/>
              <w:bottom w:w="0" w:type="dxa"/>
              <w:right w:w="15" w:type="dxa"/>
            </w:tcMar>
            <w:vAlign w:val="bottom"/>
          </w:tcPr>
          <w:p w14:paraId="4B812D3E" w14:textId="1CDF41F1" w:rsidR="00D5551C" w:rsidRPr="009E35ED" w:rsidRDefault="00D5551C" w:rsidP="00D5551C">
            <w:pPr>
              <w:ind w:left="0"/>
              <w:rPr>
                <w:rFonts w:ascii="Arial Narrow" w:hAnsi="Arial Narrow" w:cs="Arial"/>
                <w:color w:val="000000" w:themeColor="text1"/>
                <w:sz w:val="21"/>
                <w:szCs w:val="21"/>
              </w:rPr>
            </w:pPr>
            <w:r w:rsidRPr="009E35ED">
              <w:rPr>
                <w:rFonts w:ascii="Arial Narrow" w:hAnsi="Arial Narrow" w:cs="Arial"/>
                <w:color w:val="000000" w:themeColor="text1"/>
                <w:sz w:val="21"/>
                <w:szCs w:val="21"/>
              </w:rPr>
              <w:t>Disposals</w:t>
            </w:r>
          </w:p>
        </w:tc>
        <w:tc>
          <w:tcPr>
            <w:tcW w:w="2417" w:type="dxa"/>
            <w:tcBorders>
              <w:top w:val="nil"/>
              <w:left w:val="nil"/>
              <w:bottom w:val="nil"/>
              <w:right w:val="nil"/>
            </w:tcBorders>
            <w:shd w:val="clear" w:color="auto" w:fill="auto"/>
            <w:noWrap/>
            <w:tcMar>
              <w:top w:w="15" w:type="dxa"/>
              <w:left w:w="15" w:type="dxa"/>
              <w:bottom w:w="0" w:type="dxa"/>
              <w:right w:w="15" w:type="dxa"/>
            </w:tcMar>
            <w:vAlign w:val="bottom"/>
          </w:tcPr>
          <w:p w14:paraId="35B18EE6" w14:textId="524B4C32" w:rsidR="00D5551C" w:rsidRPr="009E35ED" w:rsidRDefault="00D5551C" w:rsidP="00D5551C">
            <w:pPr>
              <w:ind w:left="-20"/>
              <w:jc w:val="right"/>
              <w:rPr>
                <w:rFonts w:ascii="Arial Narrow" w:hAnsi="Arial Narrow" w:cs="Arial"/>
                <w:color w:val="000000" w:themeColor="text1"/>
                <w:sz w:val="21"/>
                <w:szCs w:val="21"/>
              </w:rPr>
            </w:pPr>
          </w:p>
        </w:tc>
        <w:tc>
          <w:tcPr>
            <w:tcW w:w="1892" w:type="dxa"/>
            <w:tcBorders>
              <w:top w:val="nil"/>
              <w:left w:val="nil"/>
              <w:bottom w:val="nil"/>
              <w:right w:val="nil"/>
            </w:tcBorders>
            <w:vAlign w:val="bottom"/>
          </w:tcPr>
          <w:p w14:paraId="77C3CC31" w14:textId="100F5F54" w:rsidR="00D5551C" w:rsidRPr="009E35ED" w:rsidRDefault="00D5551C" w:rsidP="00D5551C">
            <w:pPr>
              <w:ind w:left="0"/>
              <w:jc w:val="right"/>
              <w:rPr>
                <w:rFonts w:ascii="Arial Narrow" w:hAnsi="Arial Narrow" w:cs="Arial"/>
                <w:color w:val="000000" w:themeColor="text1"/>
                <w:sz w:val="21"/>
                <w:szCs w:val="21"/>
              </w:rPr>
            </w:pPr>
            <w:r w:rsidRPr="009E35ED">
              <w:rPr>
                <w:rFonts w:ascii="Arial Narrow" w:hAnsi="Arial Narrow" w:cs="Arial"/>
                <w:color w:val="000000" w:themeColor="text1"/>
                <w:sz w:val="21"/>
                <w:szCs w:val="21"/>
              </w:rPr>
              <w:t>(335,455,827)</w:t>
            </w:r>
          </w:p>
        </w:tc>
      </w:tr>
      <w:tr w:rsidR="00997F75" w:rsidRPr="009E35ED" w14:paraId="0FEB8D24" w14:textId="77777777" w:rsidTr="00FF441D">
        <w:trPr>
          <w:trHeight w:val="98"/>
        </w:trPr>
        <w:tc>
          <w:tcPr>
            <w:tcW w:w="4320" w:type="dxa"/>
            <w:tcBorders>
              <w:top w:val="nil"/>
              <w:left w:val="nil"/>
              <w:bottom w:val="single" w:sz="4" w:space="0" w:color="auto"/>
              <w:right w:val="nil"/>
            </w:tcBorders>
            <w:shd w:val="clear" w:color="auto" w:fill="auto"/>
            <w:noWrap/>
            <w:tcMar>
              <w:top w:w="15" w:type="dxa"/>
              <w:left w:w="15" w:type="dxa"/>
              <w:bottom w:w="0" w:type="dxa"/>
              <w:right w:w="15" w:type="dxa"/>
            </w:tcMar>
            <w:vAlign w:val="bottom"/>
            <w:hideMark/>
          </w:tcPr>
          <w:p w14:paraId="001758CA" w14:textId="77777777" w:rsidR="00D5551C" w:rsidRPr="009E35ED" w:rsidRDefault="00D5551C" w:rsidP="00D5551C">
            <w:pPr>
              <w:ind w:left="0"/>
              <w:rPr>
                <w:rFonts w:ascii="Arial Narrow" w:hAnsi="Arial Narrow" w:cs="Arial"/>
                <w:color w:val="000000" w:themeColor="text1"/>
                <w:sz w:val="21"/>
                <w:szCs w:val="21"/>
              </w:rPr>
            </w:pPr>
            <w:r w:rsidRPr="009E35ED">
              <w:rPr>
                <w:rFonts w:ascii="Arial Narrow" w:hAnsi="Arial Narrow" w:cs="Arial"/>
                <w:color w:val="000000" w:themeColor="text1"/>
                <w:sz w:val="21"/>
                <w:szCs w:val="21"/>
              </w:rPr>
              <w:t>Adjustments</w:t>
            </w:r>
          </w:p>
        </w:tc>
        <w:tc>
          <w:tcPr>
            <w:tcW w:w="2417" w:type="dxa"/>
            <w:tcBorders>
              <w:top w:val="nil"/>
              <w:left w:val="nil"/>
              <w:bottom w:val="single" w:sz="4" w:space="0" w:color="auto"/>
              <w:right w:val="nil"/>
            </w:tcBorders>
            <w:shd w:val="clear" w:color="auto" w:fill="auto"/>
            <w:noWrap/>
            <w:tcMar>
              <w:top w:w="15" w:type="dxa"/>
              <w:left w:w="15" w:type="dxa"/>
              <w:bottom w:w="0" w:type="dxa"/>
              <w:right w:w="15" w:type="dxa"/>
            </w:tcMar>
            <w:vAlign w:val="bottom"/>
          </w:tcPr>
          <w:p w14:paraId="1AB5F0F0" w14:textId="2DB70790" w:rsidR="00D5551C" w:rsidRPr="009E35ED" w:rsidRDefault="00D5551C" w:rsidP="00D5551C">
            <w:pPr>
              <w:ind w:left="-20"/>
              <w:jc w:val="right"/>
              <w:rPr>
                <w:rFonts w:ascii="Arial Narrow" w:hAnsi="Arial Narrow" w:cs="Arial"/>
                <w:color w:val="000000" w:themeColor="text1"/>
                <w:sz w:val="21"/>
                <w:szCs w:val="21"/>
              </w:rPr>
            </w:pPr>
          </w:p>
        </w:tc>
        <w:tc>
          <w:tcPr>
            <w:tcW w:w="1892" w:type="dxa"/>
            <w:tcBorders>
              <w:top w:val="nil"/>
              <w:left w:val="nil"/>
              <w:bottom w:val="single" w:sz="4" w:space="0" w:color="auto"/>
              <w:right w:val="nil"/>
            </w:tcBorders>
            <w:vAlign w:val="bottom"/>
          </w:tcPr>
          <w:p w14:paraId="50E8D977" w14:textId="0DC59769" w:rsidR="00D5551C" w:rsidRPr="009E35ED" w:rsidRDefault="00D5551C" w:rsidP="00D5551C">
            <w:pPr>
              <w:ind w:left="0"/>
              <w:jc w:val="right"/>
              <w:rPr>
                <w:rFonts w:ascii="Arial Narrow" w:hAnsi="Arial Narrow" w:cs="Arial"/>
                <w:color w:val="000000" w:themeColor="text1"/>
                <w:sz w:val="21"/>
                <w:szCs w:val="21"/>
              </w:rPr>
            </w:pPr>
            <w:r w:rsidRPr="009E35ED">
              <w:rPr>
                <w:rFonts w:ascii="Arial Narrow" w:hAnsi="Arial Narrow" w:cs="Arial"/>
                <w:color w:val="000000" w:themeColor="text1"/>
                <w:sz w:val="21"/>
                <w:szCs w:val="21"/>
              </w:rPr>
              <w:t>4,958,391</w:t>
            </w:r>
          </w:p>
        </w:tc>
      </w:tr>
      <w:tr w:rsidR="00997F75" w:rsidRPr="009E35ED" w14:paraId="3F042B0B" w14:textId="77777777" w:rsidTr="00FF441D">
        <w:trPr>
          <w:trHeight w:val="98"/>
        </w:trPr>
        <w:tc>
          <w:tcPr>
            <w:tcW w:w="4320"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vAlign w:val="center"/>
            <w:hideMark/>
          </w:tcPr>
          <w:p w14:paraId="5A924890" w14:textId="77777777" w:rsidR="00D5551C" w:rsidRPr="009E35ED" w:rsidRDefault="00D5551C" w:rsidP="00D5551C">
            <w:pPr>
              <w:ind w:left="0"/>
              <w:rPr>
                <w:rFonts w:ascii="Arial Narrow" w:hAnsi="Arial Narrow" w:cs="Arial"/>
                <w:b/>
                <w:bCs/>
                <w:color w:val="000000" w:themeColor="text1"/>
                <w:sz w:val="21"/>
                <w:szCs w:val="21"/>
              </w:rPr>
            </w:pPr>
            <w:r w:rsidRPr="009E35ED">
              <w:rPr>
                <w:rFonts w:ascii="Arial Narrow" w:hAnsi="Arial Narrow" w:cs="Arial"/>
                <w:b/>
                <w:bCs/>
                <w:color w:val="000000" w:themeColor="text1"/>
                <w:sz w:val="21"/>
                <w:szCs w:val="21"/>
              </w:rPr>
              <w:t>Total</w:t>
            </w:r>
          </w:p>
        </w:tc>
        <w:tc>
          <w:tcPr>
            <w:tcW w:w="2417"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vAlign w:val="bottom"/>
          </w:tcPr>
          <w:p w14:paraId="38F695C7" w14:textId="7D566CC0" w:rsidR="00D5551C" w:rsidRPr="009E35ED" w:rsidRDefault="00AE159D" w:rsidP="00D5551C">
            <w:pPr>
              <w:ind w:left="-20"/>
              <w:jc w:val="right"/>
              <w:rPr>
                <w:rFonts w:ascii="Arial Narrow" w:hAnsi="Arial Narrow" w:cs="Arial"/>
                <w:b/>
                <w:bCs/>
                <w:color w:val="000000" w:themeColor="text1"/>
                <w:sz w:val="21"/>
                <w:szCs w:val="21"/>
              </w:rPr>
            </w:pPr>
            <w:r w:rsidRPr="009E35ED">
              <w:rPr>
                <w:rFonts w:ascii="Arial Narrow" w:hAnsi="Arial Narrow" w:cs="Arial"/>
                <w:b/>
                <w:bCs/>
                <w:color w:val="000000" w:themeColor="text1"/>
                <w:sz w:val="21"/>
                <w:szCs w:val="21"/>
              </w:rPr>
              <w:t>312,1</w:t>
            </w:r>
            <w:r w:rsidR="00C92299" w:rsidRPr="009E35ED">
              <w:rPr>
                <w:rFonts w:ascii="Arial Narrow" w:hAnsi="Arial Narrow" w:cs="Arial"/>
                <w:b/>
                <w:bCs/>
                <w:color w:val="000000" w:themeColor="text1"/>
                <w:sz w:val="21"/>
                <w:szCs w:val="21"/>
              </w:rPr>
              <w:t>74</w:t>
            </w:r>
            <w:r w:rsidRPr="009E35ED">
              <w:rPr>
                <w:rFonts w:ascii="Arial Narrow" w:hAnsi="Arial Narrow" w:cs="Arial"/>
                <w:b/>
                <w:bCs/>
                <w:color w:val="000000" w:themeColor="text1"/>
                <w:sz w:val="21"/>
                <w:szCs w:val="21"/>
              </w:rPr>
              <w:t>,</w:t>
            </w:r>
            <w:r w:rsidR="00C92299" w:rsidRPr="009E35ED">
              <w:rPr>
                <w:rFonts w:ascii="Arial Narrow" w:hAnsi="Arial Narrow" w:cs="Arial"/>
                <w:b/>
                <w:bCs/>
                <w:color w:val="000000" w:themeColor="text1"/>
                <w:sz w:val="21"/>
                <w:szCs w:val="21"/>
              </w:rPr>
              <w:t>551</w:t>
            </w:r>
          </w:p>
        </w:tc>
        <w:tc>
          <w:tcPr>
            <w:tcW w:w="1892" w:type="dxa"/>
            <w:tcBorders>
              <w:top w:val="single" w:sz="4" w:space="0" w:color="auto"/>
              <w:left w:val="nil"/>
              <w:bottom w:val="single" w:sz="4" w:space="0" w:color="auto"/>
              <w:right w:val="nil"/>
            </w:tcBorders>
            <w:vAlign w:val="bottom"/>
          </w:tcPr>
          <w:p w14:paraId="66DCC87C" w14:textId="066F08FD" w:rsidR="00D5551C" w:rsidRPr="009E35ED" w:rsidRDefault="00D5551C" w:rsidP="00D5551C">
            <w:pPr>
              <w:ind w:left="0"/>
              <w:jc w:val="right"/>
              <w:rPr>
                <w:rFonts w:ascii="Arial Narrow" w:hAnsi="Arial Narrow" w:cs="Arial"/>
                <w:b/>
                <w:bCs/>
                <w:color w:val="000000" w:themeColor="text1"/>
                <w:sz w:val="21"/>
                <w:szCs w:val="21"/>
              </w:rPr>
            </w:pPr>
            <w:r w:rsidRPr="009E35ED">
              <w:rPr>
                <w:rFonts w:ascii="Arial Narrow" w:hAnsi="Arial Narrow" w:cs="Arial"/>
                <w:b/>
                <w:bCs/>
                <w:color w:val="000000" w:themeColor="text1"/>
                <w:sz w:val="21"/>
                <w:szCs w:val="21"/>
              </w:rPr>
              <w:fldChar w:fldCharType="begin"/>
            </w:r>
            <w:r w:rsidRPr="009E35ED">
              <w:rPr>
                <w:rFonts w:ascii="Arial Narrow" w:hAnsi="Arial Narrow" w:cs="Arial"/>
                <w:b/>
                <w:bCs/>
                <w:color w:val="000000" w:themeColor="text1"/>
                <w:sz w:val="21"/>
                <w:szCs w:val="21"/>
              </w:rPr>
              <w:instrText xml:space="preserve"> =SUM(B3:B6) </w:instrText>
            </w:r>
            <w:r w:rsidRPr="009E35ED">
              <w:rPr>
                <w:rFonts w:ascii="Arial Narrow" w:hAnsi="Arial Narrow" w:cs="Arial"/>
                <w:b/>
                <w:bCs/>
                <w:color w:val="000000" w:themeColor="text1"/>
                <w:sz w:val="21"/>
                <w:szCs w:val="21"/>
              </w:rPr>
              <w:fldChar w:fldCharType="separate"/>
            </w:r>
            <w:r w:rsidRPr="009E35ED">
              <w:rPr>
                <w:rFonts w:ascii="Arial Narrow" w:hAnsi="Arial Narrow" w:cs="Arial"/>
                <w:b/>
                <w:bCs/>
                <w:noProof/>
                <w:color w:val="000000" w:themeColor="text1"/>
                <w:sz w:val="21"/>
                <w:szCs w:val="21"/>
              </w:rPr>
              <w:t>280,678,051</w:t>
            </w:r>
            <w:r w:rsidRPr="009E35ED">
              <w:rPr>
                <w:rFonts w:ascii="Arial Narrow" w:hAnsi="Arial Narrow" w:cs="Arial"/>
                <w:b/>
                <w:bCs/>
                <w:color w:val="000000" w:themeColor="text1"/>
                <w:sz w:val="21"/>
                <w:szCs w:val="21"/>
              </w:rPr>
              <w:fldChar w:fldCharType="end"/>
            </w:r>
          </w:p>
        </w:tc>
      </w:tr>
      <w:tr w:rsidR="00997F75" w:rsidRPr="009E35ED" w14:paraId="44C2A148" w14:textId="77777777" w:rsidTr="00FF441D">
        <w:trPr>
          <w:trHeight w:val="104"/>
        </w:trPr>
        <w:tc>
          <w:tcPr>
            <w:tcW w:w="4320" w:type="dxa"/>
            <w:tcBorders>
              <w:top w:val="single" w:sz="4" w:space="0" w:color="auto"/>
              <w:left w:val="nil"/>
              <w:bottom w:val="nil"/>
              <w:right w:val="nil"/>
            </w:tcBorders>
            <w:shd w:val="clear" w:color="auto" w:fill="auto"/>
            <w:noWrap/>
            <w:tcMar>
              <w:top w:w="15" w:type="dxa"/>
              <w:left w:w="15" w:type="dxa"/>
              <w:bottom w:w="0" w:type="dxa"/>
              <w:right w:w="15" w:type="dxa"/>
            </w:tcMar>
            <w:vAlign w:val="bottom"/>
            <w:hideMark/>
          </w:tcPr>
          <w:p w14:paraId="1DF4115A" w14:textId="77777777" w:rsidR="00F21FCA" w:rsidRPr="009E35ED" w:rsidRDefault="00F21FCA" w:rsidP="00F21FCA">
            <w:pPr>
              <w:ind w:left="0"/>
              <w:rPr>
                <w:rFonts w:ascii="Arial Narrow" w:hAnsi="Arial Narrow" w:cs="Arial"/>
                <w:b/>
                <w:bCs/>
                <w:color w:val="000000" w:themeColor="text1"/>
                <w:sz w:val="21"/>
                <w:szCs w:val="21"/>
              </w:rPr>
            </w:pPr>
            <w:r w:rsidRPr="009E35ED">
              <w:rPr>
                <w:rFonts w:ascii="Arial Narrow" w:hAnsi="Arial Narrow" w:cs="Arial"/>
                <w:b/>
                <w:bCs/>
                <w:color w:val="000000" w:themeColor="text1"/>
                <w:sz w:val="21"/>
                <w:szCs w:val="21"/>
              </w:rPr>
              <w:t>Accumulated Depreciation:</w:t>
            </w:r>
          </w:p>
        </w:tc>
        <w:tc>
          <w:tcPr>
            <w:tcW w:w="2417" w:type="dxa"/>
            <w:tcBorders>
              <w:top w:val="single" w:sz="4" w:space="0" w:color="auto"/>
              <w:left w:val="nil"/>
              <w:bottom w:val="nil"/>
              <w:right w:val="nil"/>
            </w:tcBorders>
            <w:shd w:val="clear" w:color="auto" w:fill="auto"/>
            <w:noWrap/>
            <w:tcMar>
              <w:top w:w="15" w:type="dxa"/>
              <w:left w:w="15" w:type="dxa"/>
              <w:bottom w:w="0" w:type="dxa"/>
              <w:right w:w="15" w:type="dxa"/>
            </w:tcMar>
            <w:vAlign w:val="bottom"/>
          </w:tcPr>
          <w:p w14:paraId="374A60B2" w14:textId="77777777" w:rsidR="00F21FCA" w:rsidRPr="009E35ED" w:rsidRDefault="00F21FCA" w:rsidP="00F21FCA">
            <w:pPr>
              <w:ind w:left="-20"/>
              <w:jc w:val="right"/>
              <w:rPr>
                <w:rFonts w:ascii="Arial Narrow" w:hAnsi="Arial Narrow" w:cs="Arial"/>
                <w:b/>
                <w:bCs/>
                <w:color w:val="000000" w:themeColor="text1"/>
                <w:sz w:val="21"/>
                <w:szCs w:val="21"/>
              </w:rPr>
            </w:pPr>
          </w:p>
        </w:tc>
        <w:tc>
          <w:tcPr>
            <w:tcW w:w="1892" w:type="dxa"/>
            <w:tcBorders>
              <w:top w:val="single" w:sz="4" w:space="0" w:color="auto"/>
              <w:left w:val="nil"/>
              <w:bottom w:val="nil"/>
              <w:right w:val="nil"/>
            </w:tcBorders>
            <w:vAlign w:val="bottom"/>
          </w:tcPr>
          <w:p w14:paraId="3B6C4C94" w14:textId="77777777" w:rsidR="00F21FCA" w:rsidRPr="009E35ED" w:rsidRDefault="00F21FCA" w:rsidP="00F21FCA">
            <w:pPr>
              <w:ind w:left="0"/>
              <w:jc w:val="right"/>
              <w:rPr>
                <w:rFonts w:ascii="Arial Narrow" w:hAnsi="Arial Narrow" w:cs="Arial"/>
                <w:b/>
                <w:bCs/>
                <w:color w:val="000000" w:themeColor="text1"/>
                <w:sz w:val="21"/>
                <w:szCs w:val="21"/>
              </w:rPr>
            </w:pPr>
          </w:p>
        </w:tc>
      </w:tr>
      <w:tr w:rsidR="00997F75" w:rsidRPr="009E35ED" w14:paraId="0E7AE88C" w14:textId="77777777" w:rsidTr="00FF441D">
        <w:trPr>
          <w:trHeight w:val="98"/>
        </w:trPr>
        <w:tc>
          <w:tcPr>
            <w:tcW w:w="4320" w:type="dxa"/>
            <w:tcBorders>
              <w:top w:val="nil"/>
              <w:left w:val="nil"/>
              <w:bottom w:val="nil"/>
              <w:right w:val="nil"/>
            </w:tcBorders>
            <w:shd w:val="clear" w:color="auto" w:fill="auto"/>
            <w:noWrap/>
            <w:tcMar>
              <w:top w:w="15" w:type="dxa"/>
              <w:left w:w="15" w:type="dxa"/>
              <w:bottom w:w="0" w:type="dxa"/>
              <w:right w:w="15" w:type="dxa"/>
            </w:tcMar>
            <w:vAlign w:val="bottom"/>
            <w:hideMark/>
          </w:tcPr>
          <w:p w14:paraId="79B226FD" w14:textId="6BC048A5" w:rsidR="00D5551C" w:rsidRPr="009E35ED" w:rsidRDefault="00D5551C" w:rsidP="00D5551C">
            <w:pPr>
              <w:ind w:left="0"/>
              <w:rPr>
                <w:rFonts w:ascii="Arial Narrow" w:hAnsi="Arial Narrow" w:cs="Arial"/>
                <w:color w:val="000000" w:themeColor="text1"/>
                <w:sz w:val="21"/>
                <w:szCs w:val="21"/>
              </w:rPr>
            </w:pPr>
            <w:r w:rsidRPr="009E35ED">
              <w:rPr>
                <w:rFonts w:ascii="Arial Narrow" w:hAnsi="Arial Narrow" w:cs="Arial"/>
                <w:color w:val="000000" w:themeColor="text1"/>
                <w:sz w:val="21"/>
                <w:szCs w:val="21"/>
              </w:rPr>
              <w:t xml:space="preserve">Beginning </w:t>
            </w:r>
            <w:r w:rsidR="006042C4">
              <w:rPr>
                <w:rFonts w:ascii="Arial Narrow" w:hAnsi="Arial Narrow" w:cs="Arial"/>
                <w:color w:val="000000" w:themeColor="text1"/>
                <w:sz w:val="21"/>
                <w:szCs w:val="21"/>
              </w:rPr>
              <w:t>b</w:t>
            </w:r>
            <w:r w:rsidRPr="009E35ED">
              <w:rPr>
                <w:rFonts w:ascii="Arial Narrow" w:hAnsi="Arial Narrow" w:cs="Arial"/>
                <w:color w:val="000000" w:themeColor="text1"/>
                <w:sz w:val="21"/>
                <w:szCs w:val="21"/>
              </w:rPr>
              <w:t xml:space="preserve">alance </w:t>
            </w:r>
          </w:p>
        </w:tc>
        <w:tc>
          <w:tcPr>
            <w:tcW w:w="2417" w:type="dxa"/>
            <w:tcBorders>
              <w:top w:val="nil"/>
              <w:left w:val="nil"/>
              <w:bottom w:val="nil"/>
              <w:right w:val="nil"/>
            </w:tcBorders>
            <w:shd w:val="clear" w:color="auto" w:fill="auto"/>
            <w:noWrap/>
            <w:tcMar>
              <w:top w:w="15" w:type="dxa"/>
              <w:left w:w="15" w:type="dxa"/>
              <w:bottom w:w="0" w:type="dxa"/>
              <w:right w:w="15" w:type="dxa"/>
            </w:tcMar>
            <w:vAlign w:val="bottom"/>
          </w:tcPr>
          <w:p w14:paraId="428E9DF6" w14:textId="523DC3A9" w:rsidR="00D5551C" w:rsidRPr="009E35ED" w:rsidRDefault="00AE159D" w:rsidP="00D5551C">
            <w:pPr>
              <w:ind w:left="-20"/>
              <w:jc w:val="right"/>
              <w:rPr>
                <w:rFonts w:ascii="Arial Narrow" w:hAnsi="Arial Narrow" w:cs="Arial"/>
                <w:color w:val="000000" w:themeColor="text1"/>
                <w:sz w:val="21"/>
                <w:szCs w:val="21"/>
              </w:rPr>
            </w:pPr>
            <w:r w:rsidRPr="009E35ED">
              <w:rPr>
                <w:rFonts w:ascii="Arial Narrow" w:hAnsi="Arial Narrow" w:cs="Arial"/>
                <w:color w:val="000000" w:themeColor="text1"/>
                <w:sz w:val="21"/>
                <w:szCs w:val="21"/>
              </w:rPr>
              <w:t>(117,764,730)</w:t>
            </w:r>
          </w:p>
        </w:tc>
        <w:tc>
          <w:tcPr>
            <w:tcW w:w="1892" w:type="dxa"/>
            <w:tcBorders>
              <w:top w:val="nil"/>
              <w:left w:val="nil"/>
              <w:bottom w:val="nil"/>
              <w:right w:val="nil"/>
            </w:tcBorders>
            <w:vAlign w:val="bottom"/>
          </w:tcPr>
          <w:p w14:paraId="744ECF7D" w14:textId="0D506796" w:rsidR="00D5551C" w:rsidRPr="009E35ED" w:rsidRDefault="00D5551C" w:rsidP="00D5551C">
            <w:pPr>
              <w:ind w:left="0"/>
              <w:jc w:val="right"/>
              <w:rPr>
                <w:rFonts w:ascii="Arial Narrow" w:hAnsi="Arial Narrow" w:cs="Arial"/>
                <w:color w:val="000000" w:themeColor="text1"/>
                <w:sz w:val="21"/>
                <w:szCs w:val="21"/>
              </w:rPr>
            </w:pPr>
            <w:r w:rsidRPr="009E35ED">
              <w:rPr>
                <w:rFonts w:ascii="Arial Narrow" w:hAnsi="Arial Narrow" w:cs="Arial"/>
                <w:color w:val="000000" w:themeColor="text1"/>
                <w:sz w:val="21"/>
                <w:szCs w:val="21"/>
              </w:rPr>
              <w:t>(358,793,646)</w:t>
            </w:r>
          </w:p>
        </w:tc>
      </w:tr>
      <w:tr w:rsidR="00997F75" w:rsidRPr="009E35ED" w14:paraId="3086C364" w14:textId="77777777" w:rsidTr="00FF441D">
        <w:trPr>
          <w:trHeight w:val="98"/>
        </w:trPr>
        <w:tc>
          <w:tcPr>
            <w:tcW w:w="4320" w:type="dxa"/>
            <w:tcBorders>
              <w:top w:val="nil"/>
              <w:left w:val="nil"/>
              <w:bottom w:val="nil"/>
              <w:right w:val="nil"/>
            </w:tcBorders>
            <w:shd w:val="clear" w:color="auto" w:fill="auto"/>
            <w:noWrap/>
            <w:tcMar>
              <w:top w:w="15" w:type="dxa"/>
              <w:left w:w="15" w:type="dxa"/>
              <w:bottom w:w="0" w:type="dxa"/>
              <w:right w:w="15" w:type="dxa"/>
            </w:tcMar>
            <w:vAlign w:val="bottom"/>
            <w:hideMark/>
          </w:tcPr>
          <w:p w14:paraId="1C37F956" w14:textId="77777777" w:rsidR="00D5551C" w:rsidRPr="009E35ED" w:rsidRDefault="00D5551C" w:rsidP="00D5551C">
            <w:pPr>
              <w:ind w:left="0"/>
              <w:rPr>
                <w:rFonts w:ascii="Arial Narrow" w:hAnsi="Arial Narrow" w:cs="Arial"/>
                <w:color w:val="000000" w:themeColor="text1"/>
                <w:sz w:val="21"/>
                <w:szCs w:val="21"/>
              </w:rPr>
            </w:pPr>
            <w:r w:rsidRPr="009E35ED">
              <w:rPr>
                <w:rFonts w:ascii="Arial Narrow" w:hAnsi="Arial Narrow" w:cs="Arial"/>
                <w:color w:val="000000" w:themeColor="text1"/>
                <w:sz w:val="21"/>
                <w:szCs w:val="21"/>
              </w:rPr>
              <w:t>Depreciation expense</w:t>
            </w:r>
          </w:p>
        </w:tc>
        <w:tc>
          <w:tcPr>
            <w:tcW w:w="2417" w:type="dxa"/>
            <w:tcBorders>
              <w:top w:val="nil"/>
              <w:left w:val="nil"/>
              <w:bottom w:val="nil"/>
              <w:right w:val="nil"/>
            </w:tcBorders>
            <w:shd w:val="clear" w:color="auto" w:fill="auto"/>
            <w:noWrap/>
            <w:tcMar>
              <w:top w:w="15" w:type="dxa"/>
              <w:left w:w="15" w:type="dxa"/>
              <w:bottom w:w="0" w:type="dxa"/>
              <w:right w:w="15" w:type="dxa"/>
            </w:tcMar>
            <w:vAlign w:val="bottom"/>
          </w:tcPr>
          <w:p w14:paraId="2A650DBE" w14:textId="1149D9A0" w:rsidR="00D5551C" w:rsidRPr="009E35ED" w:rsidRDefault="000C2707" w:rsidP="00D5551C">
            <w:pPr>
              <w:ind w:left="-20"/>
              <w:jc w:val="right"/>
              <w:rPr>
                <w:rFonts w:ascii="Arial Narrow" w:hAnsi="Arial Narrow" w:cs="Arial"/>
                <w:color w:val="000000" w:themeColor="text1"/>
                <w:sz w:val="21"/>
                <w:szCs w:val="21"/>
              </w:rPr>
            </w:pPr>
            <w:r w:rsidRPr="009E35ED">
              <w:rPr>
                <w:rFonts w:ascii="Arial Narrow" w:hAnsi="Arial Narrow" w:cs="Arial"/>
                <w:color w:val="000000" w:themeColor="text1"/>
                <w:sz w:val="21"/>
                <w:szCs w:val="21"/>
              </w:rPr>
              <w:t>(89,547,882)</w:t>
            </w:r>
          </w:p>
        </w:tc>
        <w:tc>
          <w:tcPr>
            <w:tcW w:w="1892" w:type="dxa"/>
            <w:tcBorders>
              <w:top w:val="nil"/>
              <w:left w:val="nil"/>
              <w:bottom w:val="nil"/>
              <w:right w:val="nil"/>
            </w:tcBorders>
            <w:vAlign w:val="bottom"/>
          </w:tcPr>
          <w:p w14:paraId="01CD0007" w14:textId="578E6261" w:rsidR="00D5551C" w:rsidRPr="009E35ED" w:rsidRDefault="00D5551C" w:rsidP="00D5551C">
            <w:pPr>
              <w:ind w:left="0"/>
              <w:jc w:val="right"/>
              <w:rPr>
                <w:rFonts w:ascii="Arial Narrow" w:hAnsi="Arial Narrow" w:cs="Arial"/>
                <w:color w:val="000000" w:themeColor="text1"/>
                <w:sz w:val="21"/>
                <w:szCs w:val="21"/>
              </w:rPr>
            </w:pPr>
            <w:r w:rsidRPr="009E35ED">
              <w:rPr>
                <w:rFonts w:ascii="Arial Narrow" w:hAnsi="Arial Narrow" w:cs="Arial"/>
                <w:color w:val="000000" w:themeColor="text1"/>
                <w:sz w:val="21"/>
                <w:szCs w:val="21"/>
              </w:rPr>
              <w:t>(94,426,911)</w:t>
            </w:r>
          </w:p>
        </w:tc>
      </w:tr>
      <w:tr w:rsidR="00997F75" w:rsidRPr="009E35ED" w14:paraId="0166106C" w14:textId="77777777" w:rsidTr="00FF441D">
        <w:trPr>
          <w:trHeight w:val="98"/>
        </w:trPr>
        <w:tc>
          <w:tcPr>
            <w:tcW w:w="4320" w:type="dxa"/>
            <w:tcBorders>
              <w:top w:val="nil"/>
              <w:left w:val="nil"/>
              <w:bottom w:val="nil"/>
              <w:right w:val="nil"/>
            </w:tcBorders>
            <w:shd w:val="clear" w:color="auto" w:fill="auto"/>
            <w:noWrap/>
            <w:tcMar>
              <w:top w:w="15" w:type="dxa"/>
              <w:left w:w="15" w:type="dxa"/>
              <w:bottom w:w="0" w:type="dxa"/>
              <w:right w:w="15" w:type="dxa"/>
            </w:tcMar>
            <w:vAlign w:val="bottom"/>
          </w:tcPr>
          <w:p w14:paraId="71648991" w14:textId="44A80A82" w:rsidR="00D5551C" w:rsidRPr="009E35ED" w:rsidRDefault="00D5551C" w:rsidP="00D5551C">
            <w:pPr>
              <w:ind w:left="0"/>
              <w:rPr>
                <w:rFonts w:ascii="Arial Narrow" w:hAnsi="Arial Narrow" w:cs="Arial"/>
                <w:color w:val="000000" w:themeColor="text1"/>
                <w:sz w:val="21"/>
                <w:szCs w:val="21"/>
              </w:rPr>
            </w:pPr>
            <w:r w:rsidRPr="009E35ED">
              <w:rPr>
                <w:rFonts w:ascii="Arial Narrow" w:hAnsi="Arial Narrow" w:cs="Arial"/>
                <w:color w:val="000000" w:themeColor="text1"/>
                <w:sz w:val="21"/>
                <w:szCs w:val="21"/>
              </w:rPr>
              <w:t>Disposals</w:t>
            </w:r>
          </w:p>
        </w:tc>
        <w:tc>
          <w:tcPr>
            <w:tcW w:w="2417" w:type="dxa"/>
            <w:tcBorders>
              <w:top w:val="nil"/>
              <w:left w:val="nil"/>
              <w:bottom w:val="nil"/>
              <w:right w:val="nil"/>
            </w:tcBorders>
            <w:shd w:val="clear" w:color="auto" w:fill="auto"/>
            <w:noWrap/>
            <w:tcMar>
              <w:top w:w="15" w:type="dxa"/>
              <w:left w:w="15" w:type="dxa"/>
              <w:bottom w:w="0" w:type="dxa"/>
              <w:right w:w="15" w:type="dxa"/>
            </w:tcMar>
            <w:vAlign w:val="bottom"/>
          </w:tcPr>
          <w:p w14:paraId="38FE7191" w14:textId="7AAD6251" w:rsidR="00D5551C" w:rsidRPr="009E35ED" w:rsidRDefault="00D5551C" w:rsidP="00D5551C">
            <w:pPr>
              <w:ind w:left="-20"/>
              <w:jc w:val="right"/>
              <w:rPr>
                <w:rFonts w:ascii="Arial Narrow" w:hAnsi="Arial Narrow" w:cs="Arial"/>
                <w:color w:val="000000" w:themeColor="text1"/>
                <w:sz w:val="21"/>
                <w:szCs w:val="21"/>
              </w:rPr>
            </w:pPr>
          </w:p>
        </w:tc>
        <w:tc>
          <w:tcPr>
            <w:tcW w:w="1892" w:type="dxa"/>
            <w:tcBorders>
              <w:top w:val="nil"/>
              <w:left w:val="nil"/>
              <w:bottom w:val="nil"/>
              <w:right w:val="nil"/>
            </w:tcBorders>
            <w:vAlign w:val="bottom"/>
          </w:tcPr>
          <w:p w14:paraId="1457A51D" w14:textId="00949189" w:rsidR="00D5551C" w:rsidRPr="009E35ED" w:rsidRDefault="00D5551C" w:rsidP="00D5551C">
            <w:pPr>
              <w:ind w:left="0"/>
              <w:jc w:val="right"/>
              <w:rPr>
                <w:rFonts w:ascii="Arial Narrow" w:hAnsi="Arial Narrow" w:cs="Arial"/>
                <w:color w:val="000000" w:themeColor="text1"/>
                <w:sz w:val="21"/>
                <w:szCs w:val="21"/>
              </w:rPr>
            </w:pPr>
            <w:r w:rsidRPr="009E35ED">
              <w:rPr>
                <w:rFonts w:ascii="Arial Narrow" w:hAnsi="Arial Narrow" w:cs="Arial"/>
                <w:color w:val="000000" w:themeColor="text1"/>
                <w:sz w:val="21"/>
                <w:szCs w:val="21"/>
              </w:rPr>
              <w:t>335,455,827</w:t>
            </w:r>
          </w:p>
        </w:tc>
      </w:tr>
      <w:tr w:rsidR="00997F75" w:rsidRPr="009E35ED" w14:paraId="596FEDD1" w14:textId="77777777" w:rsidTr="00FF441D">
        <w:trPr>
          <w:trHeight w:val="98"/>
        </w:trPr>
        <w:tc>
          <w:tcPr>
            <w:tcW w:w="4320" w:type="dxa"/>
            <w:tcBorders>
              <w:top w:val="nil"/>
              <w:left w:val="nil"/>
              <w:bottom w:val="single" w:sz="4" w:space="0" w:color="auto"/>
              <w:right w:val="nil"/>
            </w:tcBorders>
            <w:shd w:val="clear" w:color="auto" w:fill="auto"/>
            <w:noWrap/>
            <w:tcMar>
              <w:top w:w="15" w:type="dxa"/>
              <w:left w:w="15" w:type="dxa"/>
              <w:bottom w:w="0" w:type="dxa"/>
              <w:right w:w="15" w:type="dxa"/>
            </w:tcMar>
            <w:vAlign w:val="bottom"/>
            <w:hideMark/>
          </w:tcPr>
          <w:p w14:paraId="3D02ABAC" w14:textId="77777777" w:rsidR="00D5551C" w:rsidRPr="009E35ED" w:rsidRDefault="00D5551C" w:rsidP="00D5551C">
            <w:pPr>
              <w:ind w:left="0"/>
              <w:rPr>
                <w:rFonts w:ascii="Arial Narrow" w:hAnsi="Arial Narrow" w:cs="Arial"/>
                <w:color w:val="000000" w:themeColor="text1"/>
                <w:sz w:val="21"/>
                <w:szCs w:val="21"/>
              </w:rPr>
            </w:pPr>
            <w:r w:rsidRPr="009E35ED">
              <w:rPr>
                <w:rFonts w:ascii="Arial Narrow" w:hAnsi="Arial Narrow" w:cs="Arial"/>
                <w:color w:val="000000" w:themeColor="text1"/>
                <w:sz w:val="21"/>
                <w:szCs w:val="21"/>
              </w:rPr>
              <w:t>Adjustments</w:t>
            </w:r>
          </w:p>
        </w:tc>
        <w:tc>
          <w:tcPr>
            <w:tcW w:w="2417" w:type="dxa"/>
            <w:tcBorders>
              <w:top w:val="nil"/>
              <w:left w:val="nil"/>
              <w:bottom w:val="single" w:sz="4" w:space="0" w:color="auto"/>
              <w:right w:val="nil"/>
            </w:tcBorders>
            <w:shd w:val="clear" w:color="auto" w:fill="auto"/>
            <w:noWrap/>
            <w:tcMar>
              <w:top w:w="15" w:type="dxa"/>
              <w:left w:w="15" w:type="dxa"/>
              <w:bottom w:w="0" w:type="dxa"/>
              <w:right w:w="15" w:type="dxa"/>
            </w:tcMar>
            <w:vAlign w:val="bottom"/>
          </w:tcPr>
          <w:p w14:paraId="2A80B5E2" w14:textId="4FE0A2F6" w:rsidR="00D5551C" w:rsidRPr="009E35ED" w:rsidRDefault="00E229F7" w:rsidP="00D5551C">
            <w:pPr>
              <w:ind w:left="-20"/>
              <w:jc w:val="right"/>
              <w:rPr>
                <w:rFonts w:ascii="Arial Narrow" w:hAnsi="Arial Narrow" w:cs="Arial"/>
                <w:color w:val="000000" w:themeColor="text1"/>
                <w:sz w:val="21"/>
                <w:szCs w:val="21"/>
              </w:rPr>
            </w:pPr>
            <w:r w:rsidRPr="009E35ED">
              <w:rPr>
                <w:rFonts w:ascii="Arial Narrow" w:hAnsi="Arial Narrow" w:cs="Arial"/>
                <w:color w:val="000000" w:themeColor="text1"/>
                <w:sz w:val="21"/>
                <w:szCs w:val="21"/>
              </w:rPr>
              <w:t>-</w:t>
            </w:r>
          </w:p>
        </w:tc>
        <w:tc>
          <w:tcPr>
            <w:tcW w:w="1892" w:type="dxa"/>
            <w:tcBorders>
              <w:top w:val="nil"/>
              <w:left w:val="nil"/>
              <w:bottom w:val="single" w:sz="4" w:space="0" w:color="auto"/>
              <w:right w:val="nil"/>
            </w:tcBorders>
            <w:vAlign w:val="bottom"/>
          </w:tcPr>
          <w:p w14:paraId="26CE751F" w14:textId="37A62A2C" w:rsidR="00D5551C" w:rsidRPr="009E35ED" w:rsidRDefault="00D5551C" w:rsidP="00D5551C">
            <w:pPr>
              <w:ind w:left="0"/>
              <w:jc w:val="right"/>
              <w:rPr>
                <w:rFonts w:ascii="Arial Narrow" w:hAnsi="Arial Narrow" w:cs="Arial"/>
                <w:color w:val="000000" w:themeColor="text1"/>
                <w:sz w:val="21"/>
                <w:szCs w:val="21"/>
              </w:rPr>
            </w:pPr>
            <w:r w:rsidRPr="009E35ED">
              <w:rPr>
                <w:rFonts w:ascii="Arial Narrow" w:hAnsi="Arial Narrow" w:cs="Arial"/>
                <w:color w:val="000000" w:themeColor="text1"/>
                <w:sz w:val="21"/>
                <w:szCs w:val="21"/>
              </w:rPr>
              <w:t>-</w:t>
            </w:r>
          </w:p>
        </w:tc>
      </w:tr>
      <w:tr w:rsidR="00997F75" w:rsidRPr="009E35ED" w14:paraId="63C193E3" w14:textId="77777777" w:rsidTr="00FF441D">
        <w:trPr>
          <w:trHeight w:val="159"/>
        </w:trPr>
        <w:tc>
          <w:tcPr>
            <w:tcW w:w="4320" w:type="dxa"/>
            <w:tcBorders>
              <w:top w:val="single" w:sz="4" w:space="0" w:color="auto"/>
              <w:left w:val="nil"/>
              <w:bottom w:val="single" w:sz="4" w:space="0" w:color="auto"/>
              <w:right w:val="nil"/>
            </w:tcBorders>
            <w:shd w:val="clear" w:color="auto" w:fill="auto"/>
            <w:tcMar>
              <w:top w:w="15" w:type="dxa"/>
              <w:left w:w="15" w:type="dxa"/>
              <w:bottom w:w="0" w:type="dxa"/>
              <w:right w:w="15" w:type="dxa"/>
            </w:tcMar>
            <w:vAlign w:val="bottom"/>
            <w:hideMark/>
          </w:tcPr>
          <w:p w14:paraId="360356AC" w14:textId="77777777" w:rsidR="00D5551C" w:rsidRPr="009E35ED" w:rsidRDefault="00D5551C" w:rsidP="00D5551C">
            <w:pPr>
              <w:ind w:left="0"/>
              <w:rPr>
                <w:rFonts w:ascii="Arial Narrow" w:hAnsi="Arial Narrow" w:cs="Arial"/>
                <w:b/>
                <w:bCs/>
                <w:color w:val="000000" w:themeColor="text1"/>
                <w:sz w:val="21"/>
                <w:szCs w:val="21"/>
              </w:rPr>
            </w:pPr>
            <w:r w:rsidRPr="009E35ED">
              <w:rPr>
                <w:rFonts w:ascii="Arial Narrow" w:hAnsi="Arial Narrow" w:cs="Arial"/>
                <w:b/>
                <w:bCs/>
                <w:color w:val="000000" w:themeColor="text1"/>
                <w:sz w:val="21"/>
                <w:szCs w:val="21"/>
              </w:rPr>
              <w:t>Total</w:t>
            </w:r>
          </w:p>
        </w:tc>
        <w:tc>
          <w:tcPr>
            <w:tcW w:w="2417"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vAlign w:val="bottom"/>
          </w:tcPr>
          <w:p w14:paraId="3920E5F8" w14:textId="0109DEF6" w:rsidR="00D5551C" w:rsidRPr="009E35ED" w:rsidRDefault="00E75602" w:rsidP="00D5551C">
            <w:pPr>
              <w:jc w:val="right"/>
              <w:rPr>
                <w:rFonts w:ascii="Arial Narrow" w:hAnsi="Arial Narrow" w:cs="Arial"/>
                <w:b/>
                <w:bCs/>
                <w:color w:val="000000" w:themeColor="text1"/>
                <w:sz w:val="21"/>
                <w:szCs w:val="21"/>
              </w:rPr>
            </w:pPr>
            <w:r w:rsidRPr="009E35ED">
              <w:rPr>
                <w:rFonts w:ascii="Arial Narrow" w:hAnsi="Arial Narrow" w:cs="Arial"/>
                <w:b/>
                <w:bCs/>
                <w:color w:val="000000" w:themeColor="text1"/>
                <w:sz w:val="21"/>
                <w:szCs w:val="21"/>
              </w:rPr>
              <w:t>(</w:t>
            </w:r>
            <w:r w:rsidR="00310AF4" w:rsidRPr="009E35ED">
              <w:rPr>
                <w:rFonts w:ascii="Arial Narrow" w:hAnsi="Arial Narrow" w:cs="Arial"/>
                <w:b/>
                <w:bCs/>
                <w:color w:val="000000" w:themeColor="text1"/>
                <w:sz w:val="21"/>
                <w:szCs w:val="21"/>
              </w:rPr>
              <w:t>207,</w:t>
            </w:r>
            <w:r w:rsidR="00E229F7" w:rsidRPr="009E35ED">
              <w:rPr>
                <w:rFonts w:ascii="Arial Narrow" w:hAnsi="Arial Narrow" w:cs="Arial"/>
                <w:b/>
                <w:bCs/>
                <w:color w:val="000000" w:themeColor="text1"/>
                <w:sz w:val="21"/>
                <w:szCs w:val="21"/>
              </w:rPr>
              <w:t>312</w:t>
            </w:r>
            <w:r w:rsidR="00310AF4" w:rsidRPr="009E35ED">
              <w:rPr>
                <w:rFonts w:ascii="Arial Narrow" w:hAnsi="Arial Narrow" w:cs="Arial"/>
                <w:b/>
                <w:bCs/>
                <w:color w:val="000000" w:themeColor="text1"/>
                <w:sz w:val="21"/>
                <w:szCs w:val="21"/>
              </w:rPr>
              <w:t>,</w:t>
            </w:r>
            <w:r w:rsidR="00E229F7" w:rsidRPr="009E35ED">
              <w:rPr>
                <w:rFonts w:ascii="Arial Narrow" w:hAnsi="Arial Narrow" w:cs="Arial"/>
                <w:b/>
                <w:bCs/>
                <w:color w:val="000000" w:themeColor="text1"/>
                <w:sz w:val="21"/>
                <w:szCs w:val="21"/>
              </w:rPr>
              <w:t>612</w:t>
            </w:r>
            <w:r w:rsidRPr="009E35ED">
              <w:rPr>
                <w:rFonts w:ascii="Arial Narrow" w:hAnsi="Arial Narrow" w:cs="Arial"/>
                <w:b/>
                <w:bCs/>
                <w:color w:val="000000" w:themeColor="text1"/>
                <w:sz w:val="21"/>
                <w:szCs w:val="21"/>
              </w:rPr>
              <w:t>)</w:t>
            </w:r>
          </w:p>
        </w:tc>
        <w:tc>
          <w:tcPr>
            <w:tcW w:w="1892" w:type="dxa"/>
            <w:tcBorders>
              <w:top w:val="single" w:sz="4" w:space="0" w:color="auto"/>
              <w:left w:val="nil"/>
              <w:bottom w:val="single" w:sz="4" w:space="0" w:color="auto"/>
              <w:right w:val="nil"/>
            </w:tcBorders>
            <w:vAlign w:val="bottom"/>
          </w:tcPr>
          <w:p w14:paraId="3E231AA2" w14:textId="0847B9A8" w:rsidR="00D5551C" w:rsidRPr="009E35ED" w:rsidRDefault="00D5551C" w:rsidP="00D5551C">
            <w:pPr>
              <w:ind w:left="0"/>
              <w:jc w:val="right"/>
              <w:rPr>
                <w:rFonts w:ascii="Arial Narrow" w:hAnsi="Arial Narrow" w:cs="Arial"/>
                <w:b/>
                <w:bCs/>
                <w:color w:val="000000" w:themeColor="text1"/>
                <w:sz w:val="21"/>
                <w:szCs w:val="21"/>
              </w:rPr>
            </w:pPr>
            <w:r w:rsidRPr="009E35ED">
              <w:rPr>
                <w:rFonts w:ascii="Arial Narrow" w:hAnsi="Arial Narrow" w:cs="Arial"/>
                <w:b/>
                <w:bCs/>
                <w:color w:val="000000" w:themeColor="text1"/>
                <w:sz w:val="21"/>
                <w:szCs w:val="21"/>
              </w:rPr>
              <w:t>(117,764,730)</w:t>
            </w:r>
          </w:p>
        </w:tc>
      </w:tr>
      <w:tr w:rsidR="00D5551C" w:rsidRPr="009E35ED" w14:paraId="240FBE1C" w14:textId="77777777" w:rsidTr="00FF441D">
        <w:trPr>
          <w:trHeight w:val="248"/>
        </w:trPr>
        <w:tc>
          <w:tcPr>
            <w:tcW w:w="4320" w:type="dxa"/>
            <w:tcBorders>
              <w:top w:val="single" w:sz="4" w:space="0" w:color="auto"/>
              <w:left w:val="nil"/>
              <w:bottom w:val="double" w:sz="4" w:space="0" w:color="auto"/>
              <w:right w:val="nil"/>
            </w:tcBorders>
            <w:shd w:val="clear" w:color="auto" w:fill="auto"/>
            <w:noWrap/>
            <w:tcMar>
              <w:top w:w="15" w:type="dxa"/>
              <w:left w:w="15" w:type="dxa"/>
              <w:bottom w:w="0" w:type="dxa"/>
              <w:right w:w="15" w:type="dxa"/>
            </w:tcMar>
            <w:vAlign w:val="bottom"/>
            <w:hideMark/>
          </w:tcPr>
          <w:p w14:paraId="14535FE8" w14:textId="77777777" w:rsidR="00D5551C" w:rsidRPr="009E35ED" w:rsidRDefault="00D5551C" w:rsidP="00D5551C">
            <w:pPr>
              <w:ind w:left="-15"/>
              <w:jc w:val="left"/>
              <w:rPr>
                <w:rFonts w:ascii="Arial Narrow" w:hAnsi="Arial Narrow" w:cs="Arial"/>
                <w:b/>
                <w:color w:val="000000" w:themeColor="text1"/>
                <w:sz w:val="21"/>
                <w:szCs w:val="21"/>
              </w:rPr>
            </w:pPr>
            <w:r w:rsidRPr="009E35ED">
              <w:rPr>
                <w:rFonts w:ascii="Arial Narrow" w:hAnsi="Arial Narrow" w:cs="Arial"/>
                <w:b/>
                <w:color w:val="000000" w:themeColor="text1"/>
                <w:sz w:val="21"/>
                <w:szCs w:val="21"/>
              </w:rPr>
              <w:t xml:space="preserve">Carrying Amount </w:t>
            </w:r>
          </w:p>
        </w:tc>
        <w:tc>
          <w:tcPr>
            <w:tcW w:w="2417" w:type="dxa"/>
            <w:tcBorders>
              <w:top w:val="single" w:sz="4" w:space="0" w:color="auto"/>
              <w:left w:val="nil"/>
              <w:bottom w:val="double" w:sz="4" w:space="0" w:color="auto"/>
              <w:right w:val="nil"/>
            </w:tcBorders>
            <w:shd w:val="clear" w:color="auto" w:fill="auto"/>
            <w:noWrap/>
            <w:tcMar>
              <w:top w:w="15" w:type="dxa"/>
              <w:left w:w="15" w:type="dxa"/>
              <w:bottom w:w="0" w:type="dxa"/>
              <w:right w:w="15" w:type="dxa"/>
            </w:tcMar>
            <w:vAlign w:val="bottom"/>
          </w:tcPr>
          <w:p w14:paraId="5D930518" w14:textId="08C99EF5" w:rsidR="00D5551C" w:rsidRPr="009E35ED" w:rsidRDefault="00310AF4" w:rsidP="00D5551C">
            <w:pPr>
              <w:ind w:left="0"/>
              <w:jc w:val="right"/>
              <w:rPr>
                <w:rFonts w:ascii="Arial Narrow" w:hAnsi="Arial Narrow"/>
                <w:b/>
                <w:color w:val="000000" w:themeColor="text1"/>
                <w:sz w:val="21"/>
                <w:szCs w:val="21"/>
              </w:rPr>
            </w:pPr>
            <w:r w:rsidRPr="009E35ED">
              <w:rPr>
                <w:rFonts w:ascii="Arial Narrow" w:hAnsi="Arial Narrow"/>
                <w:b/>
                <w:color w:val="000000" w:themeColor="text1"/>
                <w:sz w:val="21"/>
                <w:szCs w:val="21"/>
              </w:rPr>
              <w:t>104,</w:t>
            </w:r>
            <w:r w:rsidR="00937DDF" w:rsidRPr="009E35ED">
              <w:rPr>
                <w:rFonts w:ascii="Arial Narrow" w:hAnsi="Arial Narrow"/>
                <w:b/>
                <w:color w:val="000000" w:themeColor="text1"/>
                <w:sz w:val="21"/>
                <w:szCs w:val="21"/>
              </w:rPr>
              <w:t>861</w:t>
            </w:r>
            <w:r w:rsidRPr="009E35ED">
              <w:rPr>
                <w:rFonts w:ascii="Arial Narrow" w:hAnsi="Arial Narrow"/>
                <w:b/>
                <w:color w:val="000000" w:themeColor="text1"/>
                <w:sz w:val="21"/>
                <w:szCs w:val="21"/>
              </w:rPr>
              <w:t>,</w:t>
            </w:r>
            <w:r w:rsidR="00937DDF" w:rsidRPr="009E35ED">
              <w:rPr>
                <w:rFonts w:ascii="Arial Narrow" w:hAnsi="Arial Narrow"/>
                <w:b/>
                <w:color w:val="000000" w:themeColor="text1"/>
                <w:sz w:val="21"/>
                <w:szCs w:val="21"/>
              </w:rPr>
              <w:t>93</w:t>
            </w:r>
            <w:r w:rsidRPr="009E35ED">
              <w:rPr>
                <w:rFonts w:ascii="Arial Narrow" w:hAnsi="Arial Narrow"/>
                <w:b/>
                <w:color w:val="000000" w:themeColor="text1"/>
                <w:sz w:val="21"/>
                <w:szCs w:val="21"/>
              </w:rPr>
              <w:t>9</w:t>
            </w:r>
          </w:p>
        </w:tc>
        <w:tc>
          <w:tcPr>
            <w:tcW w:w="1892" w:type="dxa"/>
            <w:tcBorders>
              <w:top w:val="single" w:sz="4" w:space="0" w:color="auto"/>
              <w:left w:val="nil"/>
              <w:bottom w:val="double" w:sz="4" w:space="0" w:color="auto"/>
              <w:right w:val="nil"/>
            </w:tcBorders>
            <w:vAlign w:val="bottom"/>
          </w:tcPr>
          <w:p w14:paraId="6C37644D" w14:textId="1194F313" w:rsidR="00D5551C" w:rsidRPr="009E35ED" w:rsidRDefault="00D5551C" w:rsidP="00D5551C">
            <w:pPr>
              <w:ind w:left="100"/>
              <w:jc w:val="right"/>
              <w:rPr>
                <w:rFonts w:ascii="Arial Narrow" w:hAnsi="Arial Narrow" w:cs="Arial"/>
                <w:b/>
                <w:color w:val="000000" w:themeColor="text1"/>
                <w:sz w:val="21"/>
                <w:szCs w:val="21"/>
              </w:rPr>
            </w:pPr>
            <w:r w:rsidRPr="009E35ED">
              <w:rPr>
                <w:rFonts w:ascii="Arial Narrow" w:hAnsi="Arial Narrow"/>
                <w:b/>
                <w:color w:val="000000" w:themeColor="text1"/>
                <w:sz w:val="21"/>
                <w:szCs w:val="21"/>
              </w:rPr>
              <w:t>162,913,321</w:t>
            </w:r>
          </w:p>
        </w:tc>
      </w:tr>
    </w:tbl>
    <w:p w14:paraId="0AFCED73" w14:textId="77777777" w:rsidR="002D62EE" w:rsidRPr="009E35ED" w:rsidRDefault="002D62EE" w:rsidP="00803F8C">
      <w:pPr>
        <w:pStyle w:val="NoSpacing"/>
        <w:ind w:left="0"/>
        <w:rPr>
          <w:rFonts w:ascii="Arial" w:hAnsi="Arial" w:cs="Arial"/>
          <w:color w:val="000000" w:themeColor="text1"/>
        </w:rPr>
      </w:pPr>
    </w:p>
    <w:p w14:paraId="5B648E19" w14:textId="4AAFCCA4" w:rsidR="004F5494" w:rsidRPr="009E35ED" w:rsidRDefault="004F5494" w:rsidP="004F5494">
      <w:pPr>
        <w:ind w:left="0"/>
        <w:rPr>
          <w:rFonts w:ascii="Arial" w:hAnsi="Arial" w:cs="Arial"/>
          <w:color w:val="000000" w:themeColor="text1"/>
          <w:sz w:val="22"/>
          <w:szCs w:val="22"/>
        </w:rPr>
      </w:pPr>
      <w:r w:rsidRPr="009E35ED">
        <w:rPr>
          <w:rFonts w:ascii="Arial" w:hAnsi="Arial" w:cs="Arial"/>
          <w:color w:val="000000" w:themeColor="text1"/>
          <w:sz w:val="22"/>
          <w:szCs w:val="22"/>
        </w:rPr>
        <w:t xml:space="preserve">Intangible assets pertain to Computer </w:t>
      </w:r>
      <w:r w:rsidR="00C67B39">
        <w:rPr>
          <w:rFonts w:ascii="Arial" w:hAnsi="Arial" w:cs="Arial"/>
          <w:color w:val="000000" w:themeColor="text1"/>
          <w:sz w:val="22"/>
          <w:szCs w:val="22"/>
        </w:rPr>
        <w:t>s</w:t>
      </w:r>
      <w:r w:rsidRPr="009E35ED">
        <w:rPr>
          <w:rFonts w:ascii="Arial" w:hAnsi="Arial" w:cs="Arial"/>
          <w:color w:val="000000" w:themeColor="text1"/>
          <w:sz w:val="22"/>
          <w:szCs w:val="22"/>
        </w:rPr>
        <w:t>oft</w:t>
      </w:r>
      <w:r w:rsidR="00F21B99" w:rsidRPr="009E35ED">
        <w:rPr>
          <w:rFonts w:ascii="Arial" w:hAnsi="Arial" w:cs="Arial"/>
          <w:color w:val="000000" w:themeColor="text1"/>
          <w:sz w:val="22"/>
          <w:szCs w:val="22"/>
        </w:rPr>
        <w:t xml:space="preserve">ware with a carrying value of </w:t>
      </w:r>
      <w:r w:rsidR="00F10767">
        <w:rPr>
          <w:rFonts w:ascii="Arial" w:hAnsi="Arial" w:cs="Arial"/>
          <w:color w:val="000000" w:themeColor="text1"/>
          <w:sz w:val="22"/>
          <w:szCs w:val="22"/>
        </w:rPr>
        <w:t>P</w:t>
      </w:r>
      <w:r w:rsidR="005B660E" w:rsidRPr="009E35ED">
        <w:rPr>
          <w:rFonts w:ascii="Arial" w:hAnsi="Arial" w:cs="Arial"/>
          <w:color w:val="000000" w:themeColor="text1"/>
          <w:sz w:val="22"/>
          <w:szCs w:val="22"/>
        </w:rPr>
        <w:t>162,913,321</w:t>
      </w:r>
      <w:r w:rsidR="00F21B99" w:rsidRPr="009E35ED">
        <w:rPr>
          <w:rFonts w:ascii="Arial" w:hAnsi="Arial" w:cs="Arial"/>
          <w:color w:val="000000" w:themeColor="text1"/>
          <w:sz w:val="22"/>
          <w:szCs w:val="22"/>
        </w:rPr>
        <w:t xml:space="preserve"> for the year 202</w:t>
      </w:r>
      <w:r w:rsidR="00310AF4" w:rsidRPr="009E35ED">
        <w:rPr>
          <w:rFonts w:ascii="Arial" w:hAnsi="Arial" w:cs="Arial"/>
          <w:color w:val="000000" w:themeColor="text1"/>
          <w:sz w:val="22"/>
          <w:szCs w:val="22"/>
        </w:rPr>
        <w:t>2</w:t>
      </w:r>
      <w:r w:rsidRPr="009E35ED">
        <w:rPr>
          <w:rFonts w:ascii="Arial" w:hAnsi="Arial" w:cs="Arial"/>
          <w:color w:val="000000" w:themeColor="text1"/>
          <w:sz w:val="22"/>
          <w:szCs w:val="22"/>
        </w:rPr>
        <w:t xml:space="preserve"> and </w:t>
      </w:r>
      <w:r w:rsidR="00F10767">
        <w:rPr>
          <w:rFonts w:ascii="Arial" w:hAnsi="Arial" w:cs="Arial"/>
          <w:color w:val="000000" w:themeColor="text1"/>
          <w:sz w:val="22"/>
          <w:szCs w:val="22"/>
        </w:rPr>
        <w:t>P</w:t>
      </w:r>
      <w:r w:rsidR="00EB3325" w:rsidRPr="009E35ED">
        <w:rPr>
          <w:rFonts w:ascii="Arial" w:hAnsi="Arial" w:cs="Arial"/>
          <w:color w:val="000000" w:themeColor="text1"/>
          <w:sz w:val="22"/>
          <w:szCs w:val="22"/>
        </w:rPr>
        <w:t>104,86</w:t>
      </w:r>
      <w:r w:rsidR="00937DDF" w:rsidRPr="009E35ED">
        <w:rPr>
          <w:rFonts w:ascii="Arial" w:hAnsi="Arial" w:cs="Arial"/>
          <w:color w:val="000000" w:themeColor="text1"/>
          <w:sz w:val="22"/>
          <w:szCs w:val="22"/>
        </w:rPr>
        <w:t>1</w:t>
      </w:r>
      <w:r w:rsidR="00EB3325" w:rsidRPr="009E35ED">
        <w:rPr>
          <w:rFonts w:ascii="Arial" w:hAnsi="Arial" w:cs="Arial"/>
          <w:color w:val="000000" w:themeColor="text1"/>
          <w:sz w:val="22"/>
          <w:szCs w:val="22"/>
        </w:rPr>
        <w:t>,</w:t>
      </w:r>
      <w:r w:rsidR="00937DDF" w:rsidRPr="009E35ED">
        <w:rPr>
          <w:rFonts w:ascii="Arial" w:hAnsi="Arial" w:cs="Arial"/>
          <w:color w:val="000000" w:themeColor="text1"/>
          <w:sz w:val="22"/>
          <w:szCs w:val="22"/>
        </w:rPr>
        <w:t>93</w:t>
      </w:r>
      <w:r w:rsidR="00EB3325" w:rsidRPr="009E35ED">
        <w:rPr>
          <w:rFonts w:ascii="Arial" w:hAnsi="Arial" w:cs="Arial"/>
          <w:color w:val="000000" w:themeColor="text1"/>
          <w:sz w:val="22"/>
          <w:szCs w:val="22"/>
        </w:rPr>
        <w:t>9</w:t>
      </w:r>
      <w:r w:rsidRPr="009E35ED">
        <w:rPr>
          <w:rFonts w:ascii="Arial" w:hAnsi="Arial" w:cs="Arial"/>
          <w:color w:val="000000" w:themeColor="text1"/>
          <w:sz w:val="22"/>
          <w:szCs w:val="22"/>
        </w:rPr>
        <w:t xml:space="preserve"> for the year 202</w:t>
      </w:r>
      <w:r w:rsidR="00EB3325" w:rsidRPr="009E35ED">
        <w:rPr>
          <w:rFonts w:ascii="Arial" w:hAnsi="Arial" w:cs="Arial"/>
          <w:color w:val="000000" w:themeColor="text1"/>
          <w:sz w:val="22"/>
          <w:szCs w:val="22"/>
        </w:rPr>
        <w:t>3</w:t>
      </w:r>
      <w:r w:rsidRPr="009E35ED">
        <w:rPr>
          <w:rFonts w:ascii="Arial" w:hAnsi="Arial" w:cs="Arial"/>
          <w:color w:val="000000" w:themeColor="text1"/>
          <w:sz w:val="22"/>
          <w:szCs w:val="22"/>
        </w:rPr>
        <w:t>. The amortizat</w:t>
      </w:r>
      <w:r w:rsidR="007B220B" w:rsidRPr="009E35ED">
        <w:rPr>
          <w:rFonts w:ascii="Arial" w:hAnsi="Arial" w:cs="Arial"/>
          <w:color w:val="000000" w:themeColor="text1"/>
          <w:sz w:val="22"/>
          <w:szCs w:val="22"/>
        </w:rPr>
        <w:t>ion is computed using the straight-</w:t>
      </w:r>
      <w:r w:rsidRPr="009E35ED">
        <w:rPr>
          <w:rFonts w:ascii="Arial" w:hAnsi="Arial" w:cs="Arial"/>
          <w:color w:val="000000" w:themeColor="text1"/>
          <w:sz w:val="22"/>
          <w:szCs w:val="22"/>
        </w:rPr>
        <w:t>line method with a useful life of three years. However, there are software that are included with 12-month subscription and it is amortized over one year.</w:t>
      </w:r>
      <w:r w:rsidRPr="009E35ED">
        <w:rPr>
          <w:rFonts w:ascii="Arial" w:hAnsi="Arial" w:cs="Arial"/>
          <w:color w:val="000000" w:themeColor="text1"/>
          <w:sz w:val="22"/>
          <w:szCs w:val="22"/>
        </w:rPr>
        <w:tab/>
      </w:r>
    </w:p>
    <w:p w14:paraId="3BAC2BC6" w14:textId="77777777" w:rsidR="004F5494" w:rsidRPr="009E35ED" w:rsidRDefault="004F5494" w:rsidP="004F5494">
      <w:pPr>
        <w:ind w:left="0"/>
        <w:rPr>
          <w:rFonts w:ascii="Arial" w:hAnsi="Arial" w:cs="Arial"/>
          <w:color w:val="000000" w:themeColor="text1"/>
          <w:sz w:val="22"/>
          <w:szCs w:val="22"/>
        </w:rPr>
      </w:pPr>
    </w:p>
    <w:p w14:paraId="445F25EA" w14:textId="471EFC5D" w:rsidR="00F51926" w:rsidRPr="009E35ED" w:rsidRDefault="00F21B99" w:rsidP="001515C1">
      <w:pPr>
        <w:ind w:left="0"/>
        <w:rPr>
          <w:rFonts w:ascii="Arial" w:hAnsi="Arial" w:cs="Arial"/>
          <w:color w:val="000000" w:themeColor="text1"/>
          <w:sz w:val="22"/>
          <w:szCs w:val="22"/>
        </w:rPr>
      </w:pPr>
      <w:r w:rsidRPr="009E35ED">
        <w:rPr>
          <w:rFonts w:ascii="Arial" w:hAnsi="Arial" w:cs="Arial"/>
          <w:color w:val="000000" w:themeColor="text1"/>
          <w:sz w:val="22"/>
          <w:szCs w:val="22"/>
        </w:rPr>
        <w:t>Additions for the year 202</w:t>
      </w:r>
      <w:r w:rsidR="009D6B94" w:rsidRPr="009E35ED">
        <w:rPr>
          <w:rFonts w:ascii="Arial" w:hAnsi="Arial" w:cs="Arial"/>
          <w:color w:val="000000" w:themeColor="text1"/>
          <w:sz w:val="22"/>
          <w:szCs w:val="22"/>
        </w:rPr>
        <w:t>3</w:t>
      </w:r>
      <w:r w:rsidRPr="009E35ED">
        <w:rPr>
          <w:rFonts w:ascii="Arial" w:hAnsi="Arial" w:cs="Arial"/>
          <w:color w:val="000000" w:themeColor="text1"/>
          <w:sz w:val="22"/>
          <w:szCs w:val="22"/>
        </w:rPr>
        <w:t xml:space="preserve"> includes payment for</w:t>
      </w:r>
      <w:r w:rsidR="004F5494" w:rsidRPr="009E35ED">
        <w:rPr>
          <w:rFonts w:ascii="Arial" w:hAnsi="Arial" w:cs="Arial"/>
          <w:color w:val="000000" w:themeColor="text1"/>
          <w:sz w:val="22"/>
          <w:szCs w:val="22"/>
        </w:rPr>
        <w:t xml:space="preserve"> </w:t>
      </w:r>
      <w:r w:rsidR="007B220B" w:rsidRPr="009E35ED">
        <w:rPr>
          <w:rFonts w:ascii="Arial" w:hAnsi="Arial" w:cs="Arial"/>
          <w:color w:val="000000" w:themeColor="text1"/>
          <w:sz w:val="22"/>
          <w:szCs w:val="22"/>
        </w:rPr>
        <w:t xml:space="preserve">the </w:t>
      </w:r>
      <w:r w:rsidR="00FB0391" w:rsidRPr="009E35ED">
        <w:rPr>
          <w:rFonts w:ascii="Arial" w:hAnsi="Arial" w:cs="Arial"/>
          <w:color w:val="000000" w:themeColor="text1"/>
          <w:sz w:val="22"/>
          <w:szCs w:val="22"/>
        </w:rPr>
        <w:t>Computerized Accounting System (</w:t>
      </w:r>
      <w:r w:rsidR="00AA5E6C" w:rsidRPr="009E35ED">
        <w:rPr>
          <w:rFonts w:ascii="Arial" w:hAnsi="Arial" w:cs="Arial"/>
          <w:color w:val="000000" w:themeColor="text1"/>
          <w:sz w:val="22"/>
          <w:szCs w:val="22"/>
        </w:rPr>
        <w:t>CAS</w:t>
      </w:r>
      <w:r w:rsidR="0066413D" w:rsidRPr="009E35ED">
        <w:rPr>
          <w:rFonts w:ascii="Arial" w:hAnsi="Arial" w:cs="Arial"/>
          <w:color w:val="000000" w:themeColor="text1"/>
          <w:sz w:val="22"/>
          <w:szCs w:val="22"/>
        </w:rPr>
        <w:t>)</w:t>
      </w:r>
      <w:r w:rsidR="00AA5E6C" w:rsidRPr="009E35ED">
        <w:rPr>
          <w:rFonts w:ascii="Arial" w:hAnsi="Arial" w:cs="Arial"/>
          <w:color w:val="000000" w:themeColor="text1"/>
          <w:sz w:val="22"/>
          <w:szCs w:val="22"/>
        </w:rPr>
        <w:t xml:space="preserve"> Project Milestone 4 – Integration Module, </w:t>
      </w:r>
      <w:r w:rsidR="0061270B" w:rsidRPr="009E35ED">
        <w:rPr>
          <w:rFonts w:ascii="Arial" w:hAnsi="Arial" w:cs="Arial"/>
          <w:color w:val="000000" w:themeColor="text1"/>
          <w:sz w:val="22"/>
          <w:szCs w:val="22"/>
        </w:rPr>
        <w:t>CAS</w:t>
      </w:r>
      <w:r w:rsidR="000642EA" w:rsidRPr="009E35ED">
        <w:rPr>
          <w:rFonts w:ascii="Arial" w:hAnsi="Arial" w:cs="Arial"/>
          <w:color w:val="000000" w:themeColor="text1"/>
          <w:sz w:val="22"/>
          <w:szCs w:val="22"/>
        </w:rPr>
        <w:t xml:space="preserve"> </w:t>
      </w:r>
      <w:r w:rsidR="0061270B" w:rsidRPr="009E35ED">
        <w:rPr>
          <w:rFonts w:ascii="Arial" w:hAnsi="Arial" w:cs="Arial"/>
          <w:color w:val="000000" w:themeColor="text1"/>
          <w:sz w:val="22"/>
          <w:szCs w:val="22"/>
        </w:rPr>
        <w:t>Additional User License (</w:t>
      </w:r>
      <w:r w:rsidR="000642EA" w:rsidRPr="009E35ED">
        <w:rPr>
          <w:rFonts w:ascii="Arial" w:hAnsi="Arial" w:cs="Arial"/>
          <w:color w:val="000000" w:themeColor="text1"/>
          <w:sz w:val="22"/>
          <w:szCs w:val="22"/>
        </w:rPr>
        <w:t xml:space="preserve">Unlimited and Perpetual), and </w:t>
      </w:r>
      <w:r w:rsidR="00FB0391" w:rsidRPr="009E35ED">
        <w:rPr>
          <w:rFonts w:ascii="Arial" w:hAnsi="Arial" w:cs="Arial"/>
          <w:color w:val="000000" w:themeColor="text1"/>
          <w:sz w:val="22"/>
          <w:szCs w:val="22"/>
        </w:rPr>
        <w:t>the CAS Project Milestone 5 for the Branch Roll-out and B</w:t>
      </w:r>
      <w:r w:rsidR="00C67B39">
        <w:rPr>
          <w:rFonts w:ascii="Arial" w:hAnsi="Arial" w:cs="Arial"/>
          <w:color w:val="000000" w:themeColor="text1"/>
          <w:sz w:val="22"/>
          <w:szCs w:val="22"/>
        </w:rPr>
        <w:t xml:space="preserve">ureau of </w:t>
      </w:r>
      <w:r w:rsidR="00FB0391" w:rsidRPr="009E35ED">
        <w:rPr>
          <w:rFonts w:ascii="Arial" w:hAnsi="Arial" w:cs="Arial"/>
          <w:color w:val="000000" w:themeColor="text1"/>
          <w:sz w:val="22"/>
          <w:szCs w:val="22"/>
        </w:rPr>
        <w:t>I</w:t>
      </w:r>
      <w:r w:rsidR="00C67B39">
        <w:rPr>
          <w:rFonts w:ascii="Arial" w:hAnsi="Arial" w:cs="Arial"/>
          <w:color w:val="000000" w:themeColor="text1"/>
          <w:sz w:val="22"/>
          <w:szCs w:val="22"/>
        </w:rPr>
        <w:t xml:space="preserve">nternal </w:t>
      </w:r>
      <w:r w:rsidR="00FB0391" w:rsidRPr="009E35ED">
        <w:rPr>
          <w:rFonts w:ascii="Arial" w:hAnsi="Arial" w:cs="Arial"/>
          <w:color w:val="000000" w:themeColor="text1"/>
          <w:sz w:val="22"/>
          <w:szCs w:val="22"/>
        </w:rPr>
        <w:t>R</w:t>
      </w:r>
      <w:r w:rsidR="00C67B39">
        <w:rPr>
          <w:rFonts w:ascii="Arial" w:hAnsi="Arial" w:cs="Arial"/>
          <w:color w:val="000000" w:themeColor="text1"/>
          <w:sz w:val="22"/>
          <w:szCs w:val="22"/>
        </w:rPr>
        <w:t>evenue (BIR)</w:t>
      </w:r>
      <w:r w:rsidR="00FB0391" w:rsidRPr="009E35ED">
        <w:rPr>
          <w:rFonts w:ascii="Arial" w:hAnsi="Arial" w:cs="Arial"/>
          <w:color w:val="000000" w:themeColor="text1"/>
          <w:sz w:val="22"/>
          <w:szCs w:val="22"/>
        </w:rPr>
        <w:t xml:space="preserve"> Accreditation.</w:t>
      </w:r>
      <w:r w:rsidR="00AA5E6C" w:rsidRPr="009E35ED">
        <w:rPr>
          <w:rFonts w:ascii="Arial" w:hAnsi="Arial" w:cs="Arial"/>
          <w:color w:val="000000" w:themeColor="text1"/>
          <w:sz w:val="22"/>
          <w:szCs w:val="22"/>
        </w:rPr>
        <w:t xml:space="preserve"> </w:t>
      </w:r>
    </w:p>
    <w:p w14:paraId="7C8136C1" w14:textId="4EED41CD" w:rsidR="004A3952" w:rsidRPr="009E35ED" w:rsidRDefault="004A3952" w:rsidP="001515C1">
      <w:pPr>
        <w:ind w:left="0"/>
        <w:rPr>
          <w:rFonts w:ascii="Arial" w:hAnsi="Arial" w:cs="Arial"/>
          <w:color w:val="000000" w:themeColor="text1"/>
          <w:sz w:val="22"/>
          <w:szCs w:val="22"/>
        </w:rPr>
      </w:pPr>
    </w:p>
    <w:p w14:paraId="7F0243D7" w14:textId="55E5108D" w:rsidR="00A552D8" w:rsidRPr="009E35ED" w:rsidRDefault="00A552D8" w:rsidP="001515C1">
      <w:pPr>
        <w:ind w:left="0"/>
        <w:rPr>
          <w:rFonts w:ascii="Arial" w:hAnsi="Arial" w:cs="Arial"/>
          <w:color w:val="000000" w:themeColor="text1"/>
          <w:sz w:val="22"/>
          <w:szCs w:val="22"/>
        </w:rPr>
      </w:pPr>
    </w:p>
    <w:p w14:paraId="1164E33F" w14:textId="77777777" w:rsidR="00273AD8" w:rsidRPr="009E35ED" w:rsidRDefault="00273AD8" w:rsidP="001515C1">
      <w:pPr>
        <w:ind w:left="0"/>
        <w:rPr>
          <w:rFonts w:ascii="Arial" w:hAnsi="Arial" w:cs="Arial"/>
          <w:color w:val="000000" w:themeColor="text1"/>
          <w:sz w:val="22"/>
          <w:szCs w:val="22"/>
        </w:rPr>
      </w:pPr>
    </w:p>
    <w:p w14:paraId="7D2FCF08" w14:textId="77777777" w:rsidR="00572AF6" w:rsidRPr="009E35ED" w:rsidRDefault="009F61D0" w:rsidP="00B90388">
      <w:pPr>
        <w:pStyle w:val="ListParagraph"/>
        <w:keepNext/>
        <w:keepLines/>
        <w:numPr>
          <w:ilvl w:val="0"/>
          <w:numId w:val="13"/>
        </w:numPr>
        <w:ind w:left="720" w:hanging="720"/>
        <w:rPr>
          <w:rFonts w:ascii="Arial" w:hAnsi="Arial" w:cs="Arial"/>
          <w:b/>
          <w:color w:val="000000" w:themeColor="text1"/>
          <w:sz w:val="22"/>
          <w:szCs w:val="22"/>
        </w:rPr>
      </w:pPr>
      <w:r w:rsidRPr="009E35ED">
        <w:rPr>
          <w:rFonts w:ascii="Arial" w:hAnsi="Arial" w:cs="Arial"/>
          <w:b/>
          <w:color w:val="000000" w:themeColor="text1"/>
          <w:sz w:val="22"/>
          <w:szCs w:val="22"/>
        </w:rPr>
        <w:t>OTHER NON-CURRENT ASSETS</w:t>
      </w:r>
    </w:p>
    <w:p w14:paraId="2E265C12" w14:textId="77777777" w:rsidR="00E81E9D" w:rsidRPr="009E35ED" w:rsidRDefault="00E81E9D" w:rsidP="00B90388">
      <w:pPr>
        <w:keepNext/>
        <w:keepLines/>
        <w:ind w:left="0"/>
        <w:rPr>
          <w:rFonts w:ascii="Arial" w:hAnsi="Arial" w:cs="Arial"/>
          <w:b/>
          <w:color w:val="000000" w:themeColor="text1"/>
          <w:sz w:val="22"/>
          <w:szCs w:val="22"/>
        </w:rPr>
      </w:pPr>
    </w:p>
    <w:p w14:paraId="6D68D761" w14:textId="0EF83F05" w:rsidR="006D584D" w:rsidRPr="009E35ED" w:rsidRDefault="00E81E9D" w:rsidP="00B90388">
      <w:pPr>
        <w:keepNext/>
        <w:keepLines/>
        <w:ind w:left="0"/>
        <w:rPr>
          <w:rFonts w:ascii="Arial" w:hAnsi="Arial" w:cs="Arial"/>
          <w:color w:val="000000" w:themeColor="text1"/>
          <w:sz w:val="22"/>
          <w:szCs w:val="22"/>
        </w:rPr>
      </w:pPr>
      <w:r w:rsidRPr="009E35ED">
        <w:rPr>
          <w:rFonts w:ascii="Arial" w:hAnsi="Arial" w:cs="Arial"/>
          <w:color w:val="000000" w:themeColor="text1"/>
          <w:sz w:val="22"/>
          <w:szCs w:val="22"/>
        </w:rPr>
        <w:t xml:space="preserve">This account </w:t>
      </w:r>
      <w:r w:rsidR="009D7990">
        <w:rPr>
          <w:rFonts w:ascii="Arial" w:hAnsi="Arial" w:cs="Arial"/>
          <w:color w:val="000000" w:themeColor="text1"/>
          <w:sz w:val="22"/>
          <w:szCs w:val="22"/>
        </w:rPr>
        <w:t xml:space="preserve">consists the </w:t>
      </w:r>
      <w:r w:rsidRPr="009E35ED">
        <w:rPr>
          <w:rFonts w:ascii="Arial" w:hAnsi="Arial" w:cs="Arial"/>
          <w:color w:val="000000" w:themeColor="text1"/>
          <w:sz w:val="22"/>
          <w:szCs w:val="22"/>
        </w:rPr>
        <w:t>following:</w:t>
      </w:r>
    </w:p>
    <w:tbl>
      <w:tblPr>
        <w:tblW w:w="8692" w:type="dxa"/>
        <w:tblLook w:val="04A0" w:firstRow="1" w:lastRow="0" w:firstColumn="1" w:lastColumn="0" w:noHBand="0" w:noVBand="1"/>
      </w:tblPr>
      <w:tblGrid>
        <w:gridCol w:w="4950"/>
        <w:gridCol w:w="1870"/>
        <w:gridCol w:w="1872"/>
      </w:tblGrid>
      <w:tr w:rsidR="00997F75" w:rsidRPr="009E35ED" w14:paraId="28C037F8" w14:textId="77777777" w:rsidTr="00FF441D">
        <w:trPr>
          <w:trHeight w:val="386"/>
          <w:tblHeader/>
        </w:trPr>
        <w:tc>
          <w:tcPr>
            <w:tcW w:w="4950" w:type="dxa"/>
            <w:tcBorders>
              <w:top w:val="nil"/>
              <w:left w:val="nil"/>
              <w:bottom w:val="single" w:sz="4" w:space="0" w:color="auto"/>
              <w:right w:val="nil"/>
            </w:tcBorders>
            <w:shd w:val="clear" w:color="auto" w:fill="auto"/>
            <w:noWrap/>
            <w:vAlign w:val="bottom"/>
            <w:hideMark/>
          </w:tcPr>
          <w:p w14:paraId="612C8D08" w14:textId="77777777" w:rsidR="00CF5D90" w:rsidRPr="009E35ED" w:rsidRDefault="00CF5D90" w:rsidP="00B90388">
            <w:pPr>
              <w:keepNext/>
              <w:keepLines/>
              <w:ind w:left="0"/>
              <w:jc w:val="left"/>
              <w:rPr>
                <w:color w:val="000000" w:themeColor="text1"/>
                <w:sz w:val="20"/>
                <w:szCs w:val="20"/>
              </w:rPr>
            </w:pPr>
          </w:p>
        </w:tc>
        <w:tc>
          <w:tcPr>
            <w:tcW w:w="1870" w:type="dxa"/>
            <w:tcBorders>
              <w:top w:val="nil"/>
              <w:left w:val="nil"/>
              <w:bottom w:val="single" w:sz="4" w:space="0" w:color="auto"/>
              <w:right w:val="nil"/>
            </w:tcBorders>
            <w:shd w:val="clear" w:color="auto" w:fill="auto"/>
            <w:noWrap/>
            <w:vAlign w:val="bottom"/>
            <w:hideMark/>
          </w:tcPr>
          <w:p w14:paraId="3F94BC57" w14:textId="6CD0F21A" w:rsidR="00CF5D90" w:rsidRPr="009E35ED" w:rsidRDefault="0050322B" w:rsidP="00B90388">
            <w:pPr>
              <w:keepNext/>
              <w:keepLines/>
              <w:ind w:left="0"/>
              <w:jc w:val="right"/>
              <w:rPr>
                <w:rFonts w:ascii="Arial Narrow" w:hAnsi="Arial Narrow" w:cs="Calibri"/>
                <w:b/>
                <w:bCs/>
                <w:color w:val="000000" w:themeColor="text1"/>
                <w:sz w:val="22"/>
                <w:szCs w:val="22"/>
              </w:rPr>
            </w:pPr>
            <w:r w:rsidRPr="009E35ED">
              <w:rPr>
                <w:rFonts w:ascii="Arial Narrow" w:hAnsi="Arial Narrow" w:cs="Calibri"/>
                <w:b/>
                <w:bCs/>
                <w:color w:val="000000" w:themeColor="text1"/>
                <w:sz w:val="22"/>
                <w:szCs w:val="22"/>
              </w:rPr>
              <w:t>202</w:t>
            </w:r>
            <w:r w:rsidR="005B674C" w:rsidRPr="009E35ED">
              <w:rPr>
                <w:rFonts w:ascii="Arial Narrow" w:hAnsi="Arial Narrow" w:cs="Calibri"/>
                <w:b/>
                <w:bCs/>
                <w:color w:val="000000" w:themeColor="text1"/>
                <w:sz w:val="22"/>
                <w:szCs w:val="22"/>
              </w:rPr>
              <w:t>3</w:t>
            </w:r>
          </w:p>
          <w:p w14:paraId="052B673E" w14:textId="6D7F16A5" w:rsidR="00E03494" w:rsidRPr="009E35ED" w:rsidRDefault="00E03494" w:rsidP="00B90388">
            <w:pPr>
              <w:keepNext/>
              <w:keepLines/>
              <w:ind w:left="0"/>
              <w:jc w:val="right"/>
              <w:rPr>
                <w:rFonts w:ascii="Arial Narrow" w:hAnsi="Arial Narrow" w:cs="Calibri"/>
                <w:b/>
                <w:bCs/>
                <w:color w:val="000000" w:themeColor="text1"/>
                <w:sz w:val="22"/>
                <w:szCs w:val="22"/>
              </w:rPr>
            </w:pPr>
          </w:p>
        </w:tc>
        <w:tc>
          <w:tcPr>
            <w:tcW w:w="1872" w:type="dxa"/>
            <w:tcBorders>
              <w:top w:val="nil"/>
              <w:left w:val="nil"/>
              <w:bottom w:val="single" w:sz="4" w:space="0" w:color="auto"/>
              <w:right w:val="nil"/>
            </w:tcBorders>
            <w:shd w:val="clear" w:color="auto" w:fill="auto"/>
            <w:noWrap/>
            <w:vAlign w:val="bottom"/>
            <w:hideMark/>
          </w:tcPr>
          <w:p w14:paraId="68A556E6" w14:textId="5D70C195" w:rsidR="00CF5D90" w:rsidRPr="009E35ED" w:rsidRDefault="0050322B" w:rsidP="00B90388">
            <w:pPr>
              <w:keepNext/>
              <w:keepLines/>
              <w:ind w:left="0" w:right="-56"/>
              <w:jc w:val="right"/>
              <w:rPr>
                <w:rFonts w:ascii="Arial Narrow" w:hAnsi="Arial Narrow" w:cs="Calibri"/>
                <w:b/>
                <w:bCs/>
                <w:color w:val="000000" w:themeColor="text1"/>
                <w:sz w:val="22"/>
                <w:szCs w:val="22"/>
              </w:rPr>
            </w:pPr>
            <w:r w:rsidRPr="009E35ED">
              <w:rPr>
                <w:rFonts w:ascii="Arial Narrow" w:hAnsi="Arial Narrow" w:cs="Calibri"/>
                <w:b/>
                <w:bCs/>
                <w:color w:val="000000" w:themeColor="text1"/>
                <w:sz w:val="22"/>
                <w:szCs w:val="22"/>
              </w:rPr>
              <w:t>202</w:t>
            </w:r>
            <w:r w:rsidR="005B674C" w:rsidRPr="009E35ED">
              <w:rPr>
                <w:rFonts w:ascii="Arial Narrow" w:hAnsi="Arial Narrow" w:cs="Calibri"/>
                <w:b/>
                <w:bCs/>
                <w:color w:val="000000" w:themeColor="text1"/>
                <w:sz w:val="22"/>
                <w:szCs w:val="22"/>
              </w:rPr>
              <w:t>2</w:t>
            </w:r>
          </w:p>
          <w:p w14:paraId="6D24683F" w14:textId="6F13E970" w:rsidR="00E03494" w:rsidRPr="009E35ED" w:rsidRDefault="00E03494" w:rsidP="00B90388">
            <w:pPr>
              <w:keepNext/>
              <w:keepLines/>
              <w:ind w:left="0" w:right="-56"/>
              <w:jc w:val="right"/>
              <w:rPr>
                <w:rFonts w:ascii="Arial Narrow" w:hAnsi="Arial Narrow" w:cs="Calibri"/>
                <w:b/>
                <w:bCs/>
                <w:color w:val="000000" w:themeColor="text1"/>
                <w:sz w:val="22"/>
                <w:szCs w:val="22"/>
              </w:rPr>
            </w:pPr>
            <w:r w:rsidRPr="009E35ED">
              <w:rPr>
                <w:rFonts w:ascii="Arial Narrow" w:hAnsi="Arial Narrow" w:cs="Calibri"/>
                <w:b/>
                <w:bCs/>
                <w:color w:val="000000" w:themeColor="text1"/>
                <w:sz w:val="22"/>
                <w:szCs w:val="22"/>
              </w:rPr>
              <w:t>As Restated</w:t>
            </w:r>
          </w:p>
        </w:tc>
      </w:tr>
      <w:tr w:rsidR="00997F75" w:rsidRPr="009E35ED" w14:paraId="047422BD" w14:textId="77777777" w:rsidTr="00FF441D">
        <w:trPr>
          <w:trHeight w:val="215"/>
        </w:trPr>
        <w:tc>
          <w:tcPr>
            <w:tcW w:w="4950" w:type="dxa"/>
            <w:tcBorders>
              <w:top w:val="single" w:sz="4" w:space="0" w:color="auto"/>
              <w:left w:val="nil"/>
              <w:bottom w:val="single" w:sz="4" w:space="0" w:color="auto"/>
              <w:right w:val="nil"/>
            </w:tcBorders>
            <w:shd w:val="clear" w:color="auto" w:fill="auto"/>
            <w:noWrap/>
            <w:vAlign w:val="bottom"/>
            <w:hideMark/>
          </w:tcPr>
          <w:p w14:paraId="046E9B7C" w14:textId="77777777" w:rsidR="0094514D" w:rsidRPr="009E35ED" w:rsidRDefault="0094514D" w:rsidP="00B90388">
            <w:pPr>
              <w:keepNext/>
              <w:keepLines/>
              <w:ind w:left="-108"/>
              <w:jc w:val="left"/>
              <w:rPr>
                <w:rFonts w:ascii="Arial Narrow" w:hAnsi="Arial Narrow" w:cs="Calibri"/>
                <w:b/>
                <w:bCs/>
                <w:color w:val="000000" w:themeColor="text1"/>
                <w:sz w:val="22"/>
                <w:szCs w:val="22"/>
              </w:rPr>
            </w:pPr>
            <w:r w:rsidRPr="009E35ED">
              <w:rPr>
                <w:rFonts w:ascii="Arial Narrow" w:hAnsi="Arial Narrow" w:cs="Calibri"/>
                <w:b/>
                <w:bCs/>
                <w:color w:val="000000" w:themeColor="text1"/>
                <w:sz w:val="22"/>
                <w:szCs w:val="22"/>
              </w:rPr>
              <w:t>Prepaid Rent</w:t>
            </w:r>
          </w:p>
        </w:tc>
        <w:tc>
          <w:tcPr>
            <w:tcW w:w="1870" w:type="dxa"/>
            <w:tcBorders>
              <w:top w:val="single" w:sz="4" w:space="0" w:color="auto"/>
              <w:left w:val="nil"/>
              <w:bottom w:val="single" w:sz="4" w:space="0" w:color="auto"/>
              <w:right w:val="nil"/>
            </w:tcBorders>
            <w:shd w:val="clear" w:color="auto" w:fill="auto"/>
            <w:noWrap/>
            <w:vAlign w:val="bottom"/>
          </w:tcPr>
          <w:p w14:paraId="224FA995" w14:textId="58E40ADB" w:rsidR="0094514D" w:rsidRPr="009E35ED" w:rsidRDefault="001B64DD" w:rsidP="00B90388">
            <w:pPr>
              <w:keepNext/>
              <w:keepLines/>
              <w:ind w:left="0"/>
              <w:jc w:val="right"/>
              <w:rPr>
                <w:rFonts w:ascii="Arial Narrow" w:hAnsi="Arial Narrow" w:cs="Calibri"/>
                <w:b/>
                <w:bCs/>
                <w:color w:val="000000" w:themeColor="text1"/>
                <w:sz w:val="22"/>
                <w:szCs w:val="22"/>
              </w:rPr>
            </w:pPr>
            <w:r w:rsidRPr="009E35ED">
              <w:rPr>
                <w:rFonts w:ascii="Arial Narrow" w:hAnsi="Arial Narrow"/>
                <w:b/>
                <w:bCs/>
                <w:color w:val="000000" w:themeColor="text1"/>
                <w:sz w:val="22"/>
                <w:szCs w:val="22"/>
              </w:rPr>
              <w:t xml:space="preserve"> 4,705,027</w:t>
            </w:r>
            <w:r w:rsidR="0094514D" w:rsidRPr="009E35ED">
              <w:rPr>
                <w:rFonts w:ascii="Arial Narrow" w:hAnsi="Arial Narrow"/>
                <w:b/>
                <w:bCs/>
                <w:color w:val="000000" w:themeColor="text1"/>
                <w:sz w:val="22"/>
                <w:szCs w:val="22"/>
              </w:rPr>
              <w:t xml:space="preserve"> </w:t>
            </w:r>
          </w:p>
        </w:tc>
        <w:tc>
          <w:tcPr>
            <w:tcW w:w="1872" w:type="dxa"/>
            <w:tcBorders>
              <w:top w:val="single" w:sz="4" w:space="0" w:color="auto"/>
              <w:left w:val="nil"/>
              <w:bottom w:val="single" w:sz="4" w:space="0" w:color="auto"/>
              <w:right w:val="nil"/>
            </w:tcBorders>
            <w:shd w:val="clear" w:color="auto" w:fill="auto"/>
            <w:noWrap/>
            <w:hideMark/>
          </w:tcPr>
          <w:p w14:paraId="6529822F" w14:textId="09EFAA0B" w:rsidR="0094514D" w:rsidRPr="009E35ED" w:rsidRDefault="0094514D" w:rsidP="00B90388">
            <w:pPr>
              <w:keepNext/>
              <w:keepLines/>
              <w:ind w:left="0" w:right="-56"/>
              <w:jc w:val="right"/>
              <w:rPr>
                <w:rFonts w:ascii="Arial Narrow" w:hAnsi="Arial Narrow" w:cs="Calibri"/>
                <w:b/>
                <w:bCs/>
                <w:color w:val="000000" w:themeColor="text1"/>
                <w:sz w:val="22"/>
                <w:szCs w:val="22"/>
              </w:rPr>
            </w:pPr>
            <w:r w:rsidRPr="009E35ED">
              <w:rPr>
                <w:rFonts w:ascii="Arial Narrow" w:hAnsi="Arial Narrow"/>
                <w:b/>
                <w:bCs/>
                <w:color w:val="000000" w:themeColor="text1"/>
                <w:sz w:val="22"/>
                <w:szCs w:val="22"/>
              </w:rPr>
              <w:t xml:space="preserve"> 2,718,053 </w:t>
            </w:r>
          </w:p>
        </w:tc>
      </w:tr>
      <w:tr w:rsidR="00997F75" w:rsidRPr="009E35ED" w14:paraId="0FDC998F" w14:textId="77777777" w:rsidTr="00FF441D">
        <w:trPr>
          <w:trHeight w:val="139"/>
        </w:trPr>
        <w:tc>
          <w:tcPr>
            <w:tcW w:w="4950" w:type="dxa"/>
            <w:tcBorders>
              <w:top w:val="nil"/>
              <w:left w:val="nil"/>
              <w:bottom w:val="nil"/>
              <w:right w:val="nil"/>
            </w:tcBorders>
            <w:shd w:val="clear" w:color="auto" w:fill="auto"/>
            <w:noWrap/>
            <w:vAlign w:val="bottom"/>
            <w:hideMark/>
          </w:tcPr>
          <w:p w14:paraId="76656215" w14:textId="554A7C3B" w:rsidR="0094514D" w:rsidRPr="009E35ED" w:rsidRDefault="0094514D" w:rsidP="00B90388">
            <w:pPr>
              <w:keepNext/>
              <w:keepLines/>
              <w:ind w:left="-108"/>
              <w:jc w:val="left"/>
              <w:rPr>
                <w:rFonts w:ascii="Arial Narrow" w:hAnsi="Arial Narrow" w:cs="Calibri"/>
                <w:color w:val="000000" w:themeColor="text1"/>
                <w:sz w:val="22"/>
                <w:szCs w:val="22"/>
              </w:rPr>
            </w:pPr>
            <w:r w:rsidRPr="009E35ED">
              <w:rPr>
                <w:rFonts w:ascii="Arial Narrow" w:hAnsi="Arial Narrow" w:cs="Calibri"/>
                <w:color w:val="000000" w:themeColor="text1"/>
                <w:sz w:val="22"/>
                <w:szCs w:val="22"/>
              </w:rPr>
              <w:t xml:space="preserve">Guaranty </w:t>
            </w:r>
            <w:r w:rsidR="00C67B39">
              <w:rPr>
                <w:rFonts w:ascii="Arial Narrow" w:hAnsi="Arial Narrow" w:cs="Calibri"/>
                <w:color w:val="000000" w:themeColor="text1"/>
                <w:sz w:val="22"/>
                <w:szCs w:val="22"/>
              </w:rPr>
              <w:t>d</w:t>
            </w:r>
            <w:r w:rsidRPr="009E35ED">
              <w:rPr>
                <w:rFonts w:ascii="Arial Narrow" w:hAnsi="Arial Narrow" w:cs="Calibri"/>
                <w:color w:val="000000" w:themeColor="text1"/>
                <w:sz w:val="22"/>
                <w:szCs w:val="22"/>
              </w:rPr>
              <w:t xml:space="preserve">eposits </w:t>
            </w:r>
          </w:p>
        </w:tc>
        <w:tc>
          <w:tcPr>
            <w:tcW w:w="1870" w:type="dxa"/>
            <w:tcBorders>
              <w:top w:val="nil"/>
              <w:left w:val="nil"/>
              <w:bottom w:val="nil"/>
              <w:right w:val="nil"/>
            </w:tcBorders>
            <w:shd w:val="clear" w:color="auto" w:fill="auto"/>
            <w:noWrap/>
            <w:vAlign w:val="bottom"/>
          </w:tcPr>
          <w:p w14:paraId="2A70AD07" w14:textId="1E94335B" w:rsidR="0094514D" w:rsidRPr="009E35ED" w:rsidRDefault="0094514D" w:rsidP="00B90388">
            <w:pPr>
              <w:keepNext/>
              <w:keepLines/>
              <w:ind w:left="0"/>
              <w:jc w:val="right"/>
              <w:rPr>
                <w:rFonts w:ascii="Arial Narrow" w:hAnsi="Arial Narrow" w:cs="Calibri"/>
                <w:color w:val="000000" w:themeColor="text1"/>
                <w:sz w:val="22"/>
                <w:szCs w:val="22"/>
              </w:rPr>
            </w:pPr>
            <w:r w:rsidRPr="009E35ED">
              <w:rPr>
                <w:rFonts w:ascii="Arial Narrow" w:hAnsi="Arial Narrow"/>
                <w:color w:val="000000" w:themeColor="text1"/>
                <w:sz w:val="22"/>
                <w:szCs w:val="22"/>
              </w:rPr>
              <w:t xml:space="preserve"> 49,236,298 </w:t>
            </w:r>
          </w:p>
        </w:tc>
        <w:tc>
          <w:tcPr>
            <w:tcW w:w="1872" w:type="dxa"/>
            <w:tcBorders>
              <w:top w:val="nil"/>
              <w:left w:val="nil"/>
              <w:bottom w:val="nil"/>
              <w:right w:val="nil"/>
            </w:tcBorders>
            <w:shd w:val="clear" w:color="auto" w:fill="auto"/>
            <w:noWrap/>
            <w:hideMark/>
          </w:tcPr>
          <w:p w14:paraId="3FAAA083" w14:textId="36FEE21F" w:rsidR="0094514D" w:rsidRPr="009E35ED" w:rsidRDefault="0094514D" w:rsidP="00B90388">
            <w:pPr>
              <w:keepNext/>
              <w:keepLines/>
              <w:ind w:left="0" w:right="-56"/>
              <w:jc w:val="right"/>
              <w:rPr>
                <w:rFonts w:ascii="Arial Narrow" w:hAnsi="Arial Narrow" w:cs="Calibri"/>
                <w:color w:val="000000" w:themeColor="text1"/>
                <w:sz w:val="22"/>
                <w:szCs w:val="22"/>
              </w:rPr>
            </w:pPr>
            <w:r w:rsidRPr="009E35ED">
              <w:rPr>
                <w:rFonts w:ascii="Arial Narrow" w:hAnsi="Arial Narrow"/>
                <w:color w:val="000000" w:themeColor="text1"/>
                <w:sz w:val="22"/>
                <w:szCs w:val="22"/>
              </w:rPr>
              <w:t xml:space="preserve"> 45,209,13</w:t>
            </w:r>
            <w:r w:rsidR="00BC04FD" w:rsidRPr="009E35ED">
              <w:rPr>
                <w:rFonts w:ascii="Arial Narrow" w:hAnsi="Arial Narrow"/>
                <w:color w:val="000000" w:themeColor="text1"/>
                <w:sz w:val="22"/>
                <w:szCs w:val="22"/>
              </w:rPr>
              <w:t>7</w:t>
            </w:r>
            <w:r w:rsidRPr="009E35ED">
              <w:rPr>
                <w:rFonts w:ascii="Arial Narrow" w:hAnsi="Arial Narrow"/>
                <w:color w:val="000000" w:themeColor="text1"/>
                <w:sz w:val="22"/>
                <w:szCs w:val="22"/>
              </w:rPr>
              <w:t xml:space="preserve"> </w:t>
            </w:r>
          </w:p>
        </w:tc>
      </w:tr>
      <w:tr w:rsidR="00997F75" w:rsidRPr="009E35ED" w14:paraId="25036D48" w14:textId="77777777" w:rsidTr="00FF441D">
        <w:trPr>
          <w:trHeight w:val="84"/>
        </w:trPr>
        <w:tc>
          <w:tcPr>
            <w:tcW w:w="4950" w:type="dxa"/>
            <w:tcBorders>
              <w:top w:val="nil"/>
              <w:left w:val="nil"/>
              <w:bottom w:val="nil"/>
              <w:right w:val="nil"/>
            </w:tcBorders>
            <w:shd w:val="clear" w:color="auto" w:fill="auto"/>
            <w:noWrap/>
            <w:vAlign w:val="bottom"/>
            <w:hideMark/>
          </w:tcPr>
          <w:p w14:paraId="1CFBBFDE" w14:textId="258CB64E" w:rsidR="0094514D" w:rsidRPr="009E35ED" w:rsidRDefault="0094514D" w:rsidP="00B90388">
            <w:pPr>
              <w:keepNext/>
              <w:keepLines/>
              <w:ind w:left="-108"/>
              <w:jc w:val="left"/>
              <w:rPr>
                <w:rFonts w:ascii="Arial Narrow" w:hAnsi="Arial Narrow" w:cs="Calibri"/>
                <w:color w:val="000000" w:themeColor="text1"/>
                <w:sz w:val="22"/>
                <w:szCs w:val="22"/>
              </w:rPr>
            </w:pPr>
            <w:r w:rsidRPr="009E35ED">
              <w:rPr>
                <w:rFonts w:ascii="Arial Narrow" w:hAnsi="Arial Narrow" w:cs="Calibri"/>
                <w:color w:val="000000" w:themeColor="text1"/>
                <w:sz w:val="22"/>
                <w:szCs w:val="22"/>
              </w:rPr>
              <w:t xml:space="preserve">Other </w:t>
            </w:r>
            <w:r w:rsidR="00C67B39">
              <w:rPr>
                <w:rFonts w:ascii="Arial Narrow" w:hAnsi="Arial Narrow" w:cs="Calibri"/>
                <w:color w:val="000000" w:themeColor="text1"/>
                <w:sz w:val="22"/>
                <w:szCs w:val="22"/>
              </w:rPr>
              <w:t>d</w:t>
            </w:r>
            <w:r w:rsidRPr="009E35ED">
              <w:rPr>
                <w:rFonts w:ascii="Arial Narrow" w:hAnsi="Arial Narrow" w:cs="Calibri"/>
                <w:color w:val="000000" w:themeColor="text1"/>
                <w:sz w:val="22"/>
                <w:szCs w:val="22"/>
              </w:rPr>
              <w:t>eposits</w:t>
            </w:r>
          </w:p>
        </w:tc>
        <w:tc>
          <w:tcPr>
            <w:tcW w:w="1870" w:type="dxa"/>
            <w:tcBorders>
              <w:top w:val="nil"/>
              <w:left w:val="nil"/>
              <w:bottom w:val="nil"/>
              <w:right w:val="nil"/>
            </w:tcBorders>
            <w:shd w:val="clear" w:color="auto" w:fill="auto"/>
            <w:noWrap/>
            <w:vAlign w:val="bottom"/>
          </w:tcPr>
          <w:p w14:paraId="00FC74FB" w14:textId="7162ACF4" w:rsidR="0094514D" w:rsidRPr="009E35ED" w:rsidRDefault="0094514D" w:rsidP="00B90388">
            <w:pPr>
              <w:keepNext/>
              <w:keepLines/>
              <w:ind w:left="0"/>
              <w:jc w:val="right"/>
              <w:rPr>
                <w:rFonts w:ascii="Arial Narrow" w:hAnsi="Arial Narrow" w:cs="Calibri"/>
                <w:color w:val="000000" w:themeColor="text1"/>
                <w:sz w:val="22"/>
                <w:szCs w:val="22"/>
              </w:rPr>
            </w:pPr>
            <w:r w:rsidRPr="009E35ED">
              <w:rPr>
                <w:rFonts w:ascii="Arial Narrow" w:hAnsi="Arial Narrow"/>
                <w:color w:val="000000" w:themeColor="text1"/>
                <w:sz w:val="22"/>
                <w:szCs w:val="22"/>
              </w:rPr>
              <w:t xml:space="preserve"> 8,388,077,43</w:t>
            </w:r>
            <w:r w:rsidR="00872ADF" w:rsidRPr="009E35ED">
              <w:rPr>
                <w:rFonts w:ascii="Arial Narrow" w:hAnsi="Arial Narrow"/>
                <w:color w:val="000000" w:themeColor="text1"/>
                <w:sz w:val="22"/>
                <w:szCs w:val="22"/>
              </w:rPr>
              <w:t>6</w:t>
            </w:r>
            <w:r w:rsidRPr="009E35ED">
              <w:rPr>
                <w:rFonts w:ascii="Arial Narrow" w:hAnsi="Arial Narrow"/>
                <w:color w:val="000000" w:themeColor="text1"/>
                <w:sz w:val="22"/>
                <w:szCs w:val="22"/>
              </w:rPr>
              <w:t xml:space="preserve"> </w:t>
            </w:r>
          </w:p>
        </w:tc>
        <w:tc>
          <w:tcPr>
            <w:tcW w:w="1872" w:type="dxa"/>
            <w:tcBorders>
              <w:top w:val="nil"/>
              <w:left w:val="nil"/>
              <w:bottom w:val="nil"/>
              <w:right w:val="nil"/>
            </w:tcBorders>
            <w:shd w:val="clear" w:color="auto" w:fill="auto"/>
            <w:noWrap/>
            <w:hideMark/>
          </w:tcPr>
          <w:p w14:paraId="70205FAD" w14:textId="058FD101" w:rsidR="0094514D" w:rsidRPr="009E35ED" w:rsidRDefault="0094514D" w:rsidP="00B90388">
            <w:pPr>
              <w:keepNext/>
              <w:keepLines/>
              <w:ind w:left="0" w:right="-56"/>
              <w:jc w:val="right"/>
              <w:rPr>
                <w:rFonts w:ascii="Arial Narrow" w:hAnsi="Arial Narrow" w:cs="Calibri"/>
                <w:color w:val="000000" w:themeColor="text1"/>
                <w:sz w:val="22"/>
                <w:szCs w:val="22"/>
              </w:rPr>
            </w:pPr>
            <w:r w:rsidRPr="009E35ED">
              <w:rPr>
                <w:rFonts w:ascii="Arial Narrow" w:hAnsi="Arial Narrow"/>
                <w:color w:val="000000" w:themeColor="text1"/>
                <w:sz w:val="22"/>
                <w:szCs w:val="22"/>
              </w:rPr>
              <w:t xml:space="preserve"> 7,451,688,665 </w:t>
            </w:r>
          </w:p>
        </w:tc>
      </w:tr>
      <w:tr w:rsidR="00997F75" w:rsidRPr="009E35ED" w14:paraId="010122E3" w14:textId="77777777" w:rsidTr="00FF441D">
        <w:trPr>
          <w:trHeight w:val="101"/>
        </w:trPr>
        <w:tc>
          <w:tcPr>
            <w:tcW w:w="4950" w:type="dxa"/>
            <w:tcBorders>
              <w:top w:val="single" w:sz="4" w:space="0" w:color="auto"/>
              <w:left w:val="nil"/>
              <w:bottom w:val="single" w:sz="4" w:space="0" w:color="auto"/>
              <w:right w:val="nil"/>
            </w:tcBorders>
            <w:shd w:val="clear" w:color="auto" w:fill="auto"/>
            <w:noWrap/>
            <w:vAlign w:val="bottom"/>
            <w:hideMark/>
          </w:tcPr>
          <w:p w14:paraId="0F8424B9" w14:textId="77777777" w:rsidR="0094514D" w:rsidRPr="009E35ED" w:rsidRDefault="0094514D" w:rsidP="00B90388">
            <w:pPr>
              <w:keepNext/>
              <w:keepLines/>
              <w:ind w:left="-108"/>
              <w:jc w:val="left"/>
              <w:rPr>
                <w:rFonts w:ascii="Arial Narrow" w:hAnsi="Arial Narrow" w:cs="Calibri"/>
                <w:b/>
                <w:bCs/>
                <w:color w:val="000000" w:themeColor="text1"/>
                <w:sz w:val="22"/>
                <w:szCs w:val="22"/>
              </w:rPr>
            </w:pPr>
            <w:r w:rsidRPr="009E35ED">
              <w:rPr>
                <w:rFonts w:ascii="Arial Narrow" w:hAnsi="Arial Narrow" w:cs="Calibri"/>
                <w:b/>
                <w:bCs/>
                <w:color w:val="000000" w:themeColor="text1"/>
                <w:sz w:val="22"/>
                <w:szCs w:val="22"/>
              </w:rPr>
              <w:t>Total Deposits</w:t>
            </w:r>
          </w:p>
        </w:tc>
        <w:tc>
          <w:tcPr>
            <w:tcW w:w="1870" w:type="dxa"/>
            <w:tcBorders>
              <w:top w:val="single" w:sz="4" w:space="0" w:color="auto"/>
              <w:left w:val="nil"/>
              <w:bottom w:val="single" w:sz="4" w:space="0" w:color="auto"/>
              <w:right w:val="nil"/>
            </w:tcBorders>
            <w:shd w:val="clear" w:color="auto" w:fill="auto"/>
            <w:noWrap/>
            <w:vAlign w:val="bottom"/>
          </w:tcPr>
          <w:p w14:paraId="5B817E35" w14:textId="565AF95C" w:rsidR="0094514D" w:rsidRPr="009E35ED" w:rsidRDefault="0094514D" w:rsidP="00B90388">
            <w:pPr>
              <w:keepNext/>
              <w:keepLines/>
              <w:ind w:left="0"/>
              <w:jc w:val="right"/>
              <w:rPr>
                <w:rFonts w:ascii="Arial Narrow" w:hAnsi="Arial Narrow" w:cs="Calibri"/>
                <w:b/>
                <w:bCs/>
                <w:color w:val="000000" w:themeColor="text1"/>
                <w:sz w:val="22"/>
                <w:szCs w:val="22"/>
              </w:rPr>
            </w:pPr>
            <w:r w:rsidRPr="009E35ED">
              <w:rPr>
                <w:rFonts w:ascii="Arial Narrow" w:hAnsi="Arial Narrow"/>
                <w:b/>
                <w:bCs/>
                <w:color w:val="000000" w:themeColor="text1"/>
                <w:sz w:val="22"/>
                <w:szCs w:val="22"/>
              </w:rPr>
              <w:t xml:space="preserve"> 8,437,313,734 </w:t>
            </w:r>
          </w:p>
        </w:tc>
        <w:tc>
          <w:tcPr>
            <w:tcW w:w="1872" w:type="dxa"/>
            <w:tcBorders>
              <w:top w:val="single" w:sz="4" w:space="0" w:color="auto"/>
              <w:left w:val="nil"/>
              <w:bottom w:val="single" w:sz="4" w:space="0" w:color="auto"/>
              <w:right w:val="nil"/>
            </w:tcBorders>
            <w:shd w:val="clear" w:color="auto" w:fill="auto"/>
            <w:noWrap/>
            <w:hideMark/>
          </w:tcPr>
          <w:p w14:paraId="11D3AF84" w14:textId="64965431" w:rsidR="0094514D" w:rsidRPr="009E35ED" w:rsidRDefault="0094514D" w:rsidP="00B90388">
            <w:pPr>
              <w:keepNext/>
              <w:keepLines/>
              <w:ind w:left="0" w:right="-56"/>
              <w:jc w:val="right"/>
              <w:rPr>
                <w:rFonts w:ascii="Arial Narrow" w:hAnsi="Arial Narrow" w:cs="Calibri"/>
                <w:b/>
                <w:bCs/>
                <w:color w:val="000000" w:themeColor="text1"/>
                <w:sz w:val="22"/>
                <w:szCs w:val="22"/>
              </w:rPr>
            </w:pPr>
            <w:r w:rsidRPr="009E35ED">
              <w:rPr>
                <w:rFonts w:ascii="Arial Narrow" w:hAnsi="Arial Narrow"/>
                <w:b/>
                <w:bCs/>
                <w:color w:val="000000" w:themeColor="text1"/>
                <w:sz w:val="22"/>
                <w:szCs w:val="22"/>
              </w:rPr>
              <w:t xml:space="preserve"> 7,496,897,</w:t>
            </w:r>
            <w:r w:rsidR="00236C8B" w:rsidRPr="009E35ED">
              <w:rPr>
                <w:rFonts w:ascii="Arial Narrow" w:hAnsi="Arial Narrow"/>
                <w:b/>
                <w:bCs/>
                <w:color w:val="000000" w:themeColor="text1"/>
                <w:sz w:val="22"/>
                <w:szCs w:val="22"/>
              </w:rPr>
              <w:t>80</w:t>
            </w:r>
            <w:r w:rsidR="00236C8B">
              <w:rPr>
                <w:rFonts w:ascii="Arial Narrow" w:hAnsi="Arial Narrow"/>
                <w:b/>
                <w:bCs/>
                <w:color w:val="000000" w:themeColor="text1"/>
                <w:sz w:val="22"/>
                <w:szCs w:val="22"/>
              </w:rPr>
              <w:t>2</w:t>
            </w:r>
            <w:r w:rsidR="00236C8B" w:rsidRPr="009E35ED">
              <w:rPr>
                <w:rFonts w:ascii="Arial Narrow" w:hAnsi="Arial Narrow"/>
                <w:b/>
                <w:bCs/>
                <w:color w:val="000000" w:themeColor="text1"/>
                <w:sz w:val="22"/>
                <w:szCs w:val="22"/>
              </w:rPr>
              <w:t xml:space="preserve"> </w:t>
            </w:r>
          </w:p>
        </w:tc>
      </w:tr>
      <w:tr w:rsidR="00997F75" w:rsidRPr="009E35ED" w14:paraId="46FE406D" w14:textId="77777777" w:rsidTr="00FF441D">
        <w:trPr>
          <w:trHeight w:val="364"/>
        </w:trPr>
        <w:tc>
          <w:tcPr>
            <w:tcW w:w="4950" w:type="dxa"/>
            <w:tcBorders>
              <w:top w:val="nil"/>
              <w:left w:val="nil"/>
              <w:bottom w:val="nil"/>
              <w:right w:val="nil"/>
            </w:tcBorders>
            <w:shd w:val="clear" w:color="auto" w:fill="auto"/>
            <w:noWrap/>
            <w:vAlign w:val="bottom"/>
            <w:hideMark/>
          </w:tcPr>
          <w:p w14:paraId="23A42054" w14:textId="3EB75F01" w:rsidR="0094514D" w:rsidRPr="009E35ED" w:rsidRDefault="0094514D" w:rsidP="00B90388">
            <w:pPr>
              <w:keepNext/>
              <w:keepLines/>
              <w:ind w:left="-108"/>
              <w:jc w:val="left"/>
              <w:rPr>
                <w:rFonts w:ascii="Arial Narrow" w:hAnsi="Arial Narrow" w:cs="Calibri"/>
                <w:color w:val="000000" w:themeColor="text1"/>
                <w:sz w:val="22"/>
                <w:szCs w:val="22"/>
              </w:rPr>
            </w:pPr>
            <w:r w:rsidRPr="009E35ED">
              <w:rPr>
                <w:rFonts w:ascii="Arial Narrow" w:hAnsi="Arial Narrow" w:cs="Calibri"/>
                <w:color w:val="000000" w:themeColor="text1"/>
                <w:sz w:val="22"/>
                <w:szCs w:val="22"/>
              </w:rPr>
              <w:t xml:space="preserve">Foreclosed </w:t>
            </w:r>
            <w:r w:rsidR="00C67B39">
              <w:rPr>
                <w:rFonts w:ascii="Arial Narrow" w:hAnsi="Arial Narrow" w:cs="Calibri"/>
                <w:color w:val="000000" w:themeColor="text1"/>
                <w:sz w:val="22"/>
                <w:szCs w:val="22"/>
              </w:rPr>
              <w:t>p</w:t>
            </w:r>
            <w:r w:rsidRPr="009E35ED">
              <w:rPr>
                <w:rFonts w:ascii="Arial Narrow" w:hAnsi="Arial Narrow" w:cs="Calibri"/>
                <w:color w:val="000000" w:themeColor="text1"/>
                <w:sz w:val="22"/>
                <w:szCs w:val="22"/>
              </w:rPr>
              <w:t>roperty/</w:t>
            </w:r>
            <w:r w:rsidR="006042C4">
              <w:rPr>
                <w:rFonts w:ascii="Arial Narrow" w:hAnsi="Arial Narrow" w:cs="Calibri"/>
                <w:color w:val="000000" w:themeColor="text1"/>
                <w:sz w:val="22"/>
                <w:szCs w:val="22"/>
              </w:rPr>
              <w:t>a</w:t>
            </w:r>
            <w:r w:rsidRPr="009E35ED">
              <w:rPr>
                <w:rFonts w:ascii="Arial Narrow" w:hAnsi="Arial Narrow" w:cs="Calibri"/>
                <w:color w:val="000000" w:themeColor="text1"/>
                <w:sz w:val="22"/>
                <w:szCs w:val="22"/>
              </w:rPr>
              <w:t>ssets-net</w:t>
            </w:r>
          </w:p>
        </w:tc>
        <w:tc>
          <w:tcPr>
            <w:tcW w:w="1870" w:type="dxa"/>
            <w:tcBorders>
              <w:top w:val="nil"/>
              <w:left w:val="nil"/>
              <w:bottom w:val="nil"/>
              <w:right w:val="nil"/>
            </w:tcBorders>
            <w:shd w:val="clear" w:color="auto" w:fill="auto"/>
            <w:noWrap/>
            <w:vAlign w:val="bottom"/>
          </w:tcPr>
          <w:p w14:paraId="6A790364" w14:textId="25FC36BB" w:rsidR="0094514D" w:rsidRPr="009E35ED" w:rsidRDefault="0094514D" w:rsidP="00B90388">
            <w:pPr>
              <w:keepNext/>
              <w:keepLines/>
              <w:ind w:left="0"/>
              <w:jc w:val="right"/>
              <w:rPr>
                <w:rFonts w:ascii="Arial Narrow" w:hAnsi="Arial Narrow" w:cs="Calibri"/>
                <w:color w:val="000000" w:themeColor="text1"/>
                <w:sz w:val="22"/>
                <w:szCs w:val="22"/>
              </w:rPr>
            </w:pPr>
            <w:r w:rsidRPr="009E35ED">
              <w:rPr>
                <w:rFonts w:ascii="Arial Narrow" w:hAnsi="Arial Narrow"/>
                <w:color w:val="000000" w:themeColor="text1"/>
                <w:sz w:val="22"/>
                <w:szCs w:val="22"/>
              </w:rPr>
              <w:t xml:space="preserve"> 26,300 </w:t>
            </w:r>
          </w:p>
        </w:tc>
        <w:tc>
          <w:tcPr>
            <w:tcW w:w="1872" w:type="dxa"/>
            <w:tcBorders>
              <w:top w:val="nil"/>
              <w:left w:val="nil"/>
              <w:bottom w:val="nil"/>
              <w:right w:val="nil"/>
            </w:tcBorders>
            <w:shd w:val="clear" w:color="auto" w:fill="auto"/>
            <w:noWrap/>
            <w:vAlign w:val="bottom"/>
            <w:hideMark/>
          </w:tcPr>
          <w:p w14:paraId="3F84069B" w14:textId="65133B12" w:rsidR="0094514D" w:rsidRPr="009E35ED" w:rsidRDefault="0094514D" w:rsidP="00B90388">
            <w:pPr>
              <w:keepNext/>
              <w:keepLines/>
              <w:ind w:left="0" w:right="-56"/>
              <w:jc w:val="right"/>
              <w:rPr>
                <w:rFonts w:ascii="Arial Narrow" w:hAnsi="Arial Narrow" w:cs="Calibri"/>
                <w:color w:val="000000" w:themeColor="text1"/>
                <w:sz w:val="22"/>
                <w:szCs w:val="22"/>
              </w:rPr>
            </w:pPr>
            <w:r w:rsidRPr="009E35ED">
              <w:rPr>
                <w:rFonts w:ascii="Arial Narrow" w:hAnsi="Arial Narrow"/>
                <w:color w:val="000000" w:themeColor="text1"/>
                <w:sz w:val="22"/>
                <w:szCs w:val="22"/>
              </w:rPr>
              <w:t xml:space="preserve"> 26,300 </w:t>
            </w:r>
          </w:p>
        </w:tc>
      </w:tr>
      <w:tr w:rsidR="00997F75" w:rsidRPr="009E35ED" w14:paraId="31D2404F" w14:textId="77777777" w:rsidTr="00FF441D">
        <w:trPr>
          <w:trHeight w:val="112"/>
        </w:trPr>
        <w:tc>
          <w:tcPr>
            <w:tcW w:w="4950" w:type="dxa"/>
            <w:tcBorders>
              <w:top w:val="nil"/>
              <w:left w:val="nil"/>
              <w:bottom w:val="nil"/>
              <w:right w:val="nil"/>
            </w:tcBorders>
            <w:shd w:val="clear" w:color="auto" w:fill="auto"/>
            <w:noWrap/>
            <w:vAlign w:val="bottom"/>
            <w:hideMark/>
          </w:tcPr>
          <w:p w14:paraId="22FA6074" w14:textId="5BB3C187" w:rsidR="0094514D" w:rsidRPr="009E35ED" w:rsidRDefault="0094514D" w:rsidP="00B90388">
            <w:pPr>
              <w:keepNext/>
              <w:keepLines/>
              <w:ind w:left="-108"/>
              <w:jc w:val="left"/>
              <w:rPr>
                <w:rFonts w:ascii="Arial Narrow" w:hAnsi="Arial Narrow" w:cs="Calibri"/>
                <w:color w:val="000000" w:themeColor="text1"/>
                <w:sz w:val="22"/>
                <w:szCs w:val="22"/>
              </w:rPr>
            </w:pPr>
            <w:r w:rsidRPr="009E35ED">
              <w:rPr>
                <w:rFonts w:ascii="Arial Narrow" w:hAnsi="Arial Narrow" w:cs="Calibri"/>
                <w:color w:val="000000" w:themeColor="text1"/>
                <w:sz w:val="22"/>
                <w:szCs w:val="22"/>
              </w:rPr>
              <w:t xml:space="preserve">Deferred </w:t>
            </w:r>
            <w:r w:rsidR="006042C4">
              <w:rPr>
                <w:rFonts w:ascii="Arial Narrow" w:hAnsi="Arial Narrow" w:cs="Calibri"/>
                <w:color w:val="000000" w:themeColor="text1"/>
                <w:sz w:val="22"/>
                <w:szCs w:val="22"/>
              </w:rPr>
              <w:t>a</w:t>
            </w:r>
            <w:r w:rsidRPr="009E35ED">
              <w:rPr>
                <w:rFonts w:ascii="Arial Narrow" w:hAnsi="Arial Narrow" w:cs="Calibri"/>
                <w:color w:val="000000" w:themeColor="text1"/>
                <w:sz w:val="22"/>
                <w:szCs w:val="22"/>
              </w:rPr>
              <w:t>ssets/</w:t>
            </w:r>
            <w:r w:rsidR="006042C4">
              <w:rPr>
                <w:rFonts w:ascii="Arial Narrow" w:hAnsi="Arial Narrow" w:cs="Calibri"/>
                <w:color w:val="000000" w:themeColor="text1"/>
                <w:sz w:val="22"/>
                <w:szCs w:val="22"/>
              </w:rPr>
              <w:t>l</w:t>
            </w:r>
            <w:r w:rsidRPr="009E35ED">
              <w:rPr>
                <w:rFonts w:ascii="Arial Narrow" w:hAnsi="Arial Narrow" w:cs="Calibri"/>
                <w:color w:val="000000" w:themeColor="text1"/>
                <w:sz w:val="22"/>
                <w:szCs w:val="22"/>
              </w:rPr>
              <w:t>osses</w:t>
            </w:r>
          </w:p>
        </w:tc>
        <w:tc>
          <w:tcPr>
            <w:tcW w:w="1870" w:type="dxa"/>
            <w:tcBorders>
              <w:top w:val="nil"/>
              <w:left w:val="nil"/>
              <w:bottom w:val="nil"/>
              <w:right w:val="nil"/>
            </w:tcBorders>
            <w:shd w:val="clear" w:color="auto" w:fill="auto"/>
            <w:noWrap/>
            <w:vAlign w:val="bottom"/>
          </w:tcPr>
          <w:p w14:paraId="7A530739" w14:textId="56AC5885" w:rsidR="0094514D" w:rsidRPr="009E35ED" w:rsidRDefault="0094514D" w:rsidP="00B90388">
            <w:pPr>
              <w:keepNext/>
              <w:keepLines/>
              <w:ind w:left="0"/>
              <w:jc w:val="right"/>
              <w:rPr>
                <w:rFonts w:ascii="Arial Narrow" w:hAnsi="Arial Narrow" w:cs="Calibri"/>
                <w:color w:val="000000" w:themeColor="text1"/>
                <w:sz w:val="22"/>
                <w:szCs w:val="22"/>
              </w:rPr>
            </w:pPr>
            <w:r w:rsidRPr="009E35ED">
              <w:rPr>
                <w:rFonts w:ascii="Arial Narrow" w:hAnsi="Arial Narrow"/>
                <w:color w:val="000000" w:themeColor="text1"/>
                <w:sz w:val="22"/>
                <w:szCs w:val="22"/>
              </w:rPr>
              <w:t xml:space="preserve"> 780 </w:t>
            </w:r>
          </w:p>
        </w:tc>
        <w:tc>
          <w:tcPr>
            <w:tcW w:w="1872" w:type="dxa"/>
            <w:tcBorders>
              <w:top w:val="nil"/>
              <w:left w:val="nil"/>
              <w:bottom w:val="nil"/>
              <w:right w:val="nil"/>
            </w:tcBorders>
            <w:shd w:val="clear" w:color="auto" w:fill="auto"/>
            <w:noWrap/>
            <w:vAlign w:val="bottom"/>
            <w:hideMark/>
          </w:tcPr>
          <w:p w14:paraId="5E4901AD" w14:textId="539BB99D" w:rsidR="0094514D" w:rsidRPr="009E35ED" w:rsidRDefault="0094514D" w:rsidP="00B90388">
            <w:pPr>
              <w:keepNext/>
              <w:keepLines/>
              <w:ind w:left="0" w:right="-56"/>
              <w:jc w:val="right"/>
              <w:rPr>
                <w:rFonts w:ascii="Arial Narrow" w:hAnsi="Arial Narrow" w:cs="Calibri"/>
                <w:color w:val="000000" w:themeColor="text1"/>
                <w:sz w:val="22"/>
                <w:szCs w:val="22"/>
              </w:rPr>
            </w:pPr>
            <w:r w:rsidRPr="009E35ED">
              <w:rPr>
                <w:rFonts w:ascii="Arial Narrow" w:hAnsi="Arial Narrow"/>
                <w:color w:val="000000" w:themeColor="text1"/>
                <w:sz w:val="22"/>
                <w:szCs w:val="22"/>
              </w:rPr>
              <w:t xml:space="preserve"> 780 </w:t>
            </w:r>
          </w:p>
        </w:tc>
      </w:tr>
      <w:tr w:rsidR="00997F75" w:rsidRPr="009E35ED" w14:paraId="0B40A058" w14:textId="77777777" w:rsidTr="00FF441D">
        <w:trPr>
          <w:trHeight w:val="84"/>
        </w:trPr>
        <w:tc>
          <w:tcPr>
            <w:tcW w:w="4950" w:type="dxa"/>
            <w:tcBorders>
              <w:top w:val="nil"/>
              <w:left w:val="nil"/>
              <w:bottom w:val="nil"/>
              <w:right w:val="nil"/>
            </w:tcBorders>
            <w:shd w:val="clear" w:color="auto" w:fill="auto"/>
            <w:noWrap/>
            <w:vAlign w:val="bottom"/>
            <w:hideMark/>
          </w:tcPr>
          <w:p w14:paraId="69F9F734" w14:textId="172E95B8" w:rsidR="0094514D" w:rsidRPr="009E35ED" w:rsidRDefault="0094514D" w:rsidP="00B90388">
            <w:pPr>
              <w:keepNext/>
              <w:keepLines/>
              <w:ind w:left="-108"/>
              <w:jc w:val="left"/>
              <w:rPr>
                <w:rFonts w:ascii="Arial Narrow" w:hAnsi="Arial Narrow" w:cs="Calibri"/>
                <w:color w:val="000000" w:themeColor="text1"/>
                <w:sz w:val="22"/>
                <w:szCs w:val="22"/>
              </w:rPr>
            </w:pPr>
            <w:r w:rsidRPr="009E35ED">
              <w:rPr>
                <w:rFonts w:ascii="Arial Narrow" w:hAnsi="Arial Narrow" w:cs="Calibri"/>
                <w:color w:val="000000" w:themeColor="text1"/>
                <w:sz w:val="22"/>
                <w:szCs w:val="22"/>
              </w:rPr>
              <w:t>Abandoned/</w:t>
            </w:r>
            <w:r w:rsidR="006042C4">
              <w:rPr>
                <w:rFonts w:ascii="Arial Narrow" w:hAnsi="Arial Narrow" w:cs="Calibri"/>
                <w:color w:val="000000" w:themeColor="text1"/>
                <w:sz w:val="22"/>
                <w:szCs w:val="22"/>
              </w:rPr>
              <w:t>s</w:t>
            </w:r>
            <w:r w:rsidRPr="009E35ED">
              <w:rPr>
                <w:rFonts w:ascii="Arial Narrow" w:hAnsi="Arial Narrow" w:cs="Calibri"/>
                <w:color w:val="000000" w:themeColor="text1"/>
                <w:sz w:val="22"/>
                <w:szCs w:val="22"/>
              </w:rPr>
              <w:t xml:space="preserve">urrendered </w:t>
            </w:r>
            <w:r w:rsidR="006042C4">
              <w:rPr>
                <w:rFonts w:ascii="Arial Narrow" w:hAnsi="Arial Narrow" w:cs="Calibri"/>
                <w:color w:val="000000" w:themeColor="text1"/>
                <w:sz w:val="22"/>
                <w:szCs w:val="22"/>
              </w:rPr>
              <w:t>p</w:t>
            </w:r>
            <w:r w:rsidRPr="009E35ED">
              <w:rPr>
                <w:rFonts w:ascii="Arial Narrow" w:hAnsi="Arial Narrow" w:cs="Calibri"/>
                <w:color w:val="000000" w:themeColor="text1"/>
                <w:sz w:val="22"/>
                <w:szCs w:val="22"/>
              </w:rPr>
              <w:t>roperties-net</w:t>
            </w:r>
          </w:p>
        </w:tc>
        <w:tc>
          <w:tcPr>
            <w:tcW w:w="1870" w:type="dxa"/>
            <w:tcBorders>
              <w:top w:val="nil"/>
              <w:left w:val="nil"/>
              <w:bottom w:val="nil"/>
              <w:right w:val="nil"/>
            </w:tcBorders>
            <w:shd w:val="clear" w:color="auto" w:fill="auto"/>
            <w:noWrap/>
            <w:vAlign w:val="bottom"/>
          </w:tcPr>
          <w:p w14:paraId="358D844C" w14:textId="488F7233" w:rsidR="0094514D" w:rsidRPr="009E35ED" w:rsidRDefault="0094514D" w:rsidP="00B90388">
            <w:pPr>
              <w:keepNext/>
              <w:keepLines/>
              <w:ind w:left="0"/>
              <w:jc w:val="right"/>
              <w:rPr>
                <w:rFonts w:ascii="Arial Narrow" w:hAnsi="Arial Narrow" w:cs="Calibri"/>
                <w:color w:val="000000" w:themeColor="text1"/>
                <w:sz w:val="22"/>
                <w:szCs w:val="22"/>
              </w:rPr>
            </w:pPr>
            <w:r w:rsidRPr="009E35ED">
              <w:rPr>
                <w:rFonts w:ascii="Arial Narrow" w:hAnsi="Arial Narrow"/>
                <w:color w:val="000000" w:themeColor="text1"/>
                <w:sz w:val="22"/>
                <w:szCs w:val="22"/>
              </w:rPr>
              <w:t xml:space="preserve"> 348,498 </w:t>
            </w:r>
          </w:p>
        </w:tc>
        <w:tc>
          <w:tcPr>
            <w:tcW w:w="1872" w:type="dxa"/>
            <w:tcBorders>
              <w:top w:val="nil"/>
              <w:left w:val="nil"/>
              <w:bottom w:val="nil"/>
              <w:right w:val="nil"/>
            </w:tcBorders>
            <w:shd w:val="clear" w:color="auto" w:fill="auto"/>
            <w:noWrap/>
            <w:vAlign w:val="bottom"/>
            <w:hideMark/>
          </w:tcPr>
          <w:p w14:paraId="11191B7F" w14:textId="03BD9AEC" w:rsidR="0094514D" w:rsidRPr="009E35ED" w:rsidRDefault="0094514D" w:rsidP="00B90388">
            <w:pPr>
              <w:keepNext/>
              <w:keepLines/>
              <w:ind w:left="0" w:right="-56"/>
              <w:jc w:val="right"/>
              <w:rPr>
                <w:rFonts w:ascii="Arial Narrow" w:hAnsi="Arial Narrow" w:cs="Calibri"/>
                <w:color w:val="000000" w:themeColor="text1"/>
                <w:sz w:val="22"/>
                <w:szCs w:val="22"/>
              </w:rPr>
            </w:pPr>
            <w:r w:rsidRPr="009E35ED">
              <w:rPr>
                <w:rFonts w:ascii="Arial Narrow" w:hAnsi="Arial Narrow"/>
                <w:color w:val="000000" w:themeColor="text1"/>
                <w:sz w:val="22"/>
                <w:szCs w:val="22"/>
              </w:rPr>
              <w:t xml:space="preserve"> 448,39</w:t>
            </w:r>
            <w:r w:rsidR="00BC04FD" w:rsidRPr="009E35ED">
              <w:rPr>
                <w:rFonts w:ascii="Arial Narrow" w:hAnsi="Arial Narrow"/>
                <w:color w:val="000000" w:themeColor="text1"/>
                <w:sz w:val="22"/>
                <w:szCs w:val="22"/>
              </w:rPr>
              <w:t>8</w:t>
            </w:r>
            <w:r w:rsidRPr="009E35ED">
              <w:rPr>
                <w:rFonts w:ascii="Arial Narrow" w:hAnsi="Arial Narrow"/>
                <w:color w:val="000000" w:themeColor="text1"/>
                <w:sz w:val="22"/>
                <w:szCs w:val="22"/>
              </w:rPr>
              <w:t xml:space="preserve"> </w:t>
            </w:r>
          </w:p>
        </w:tc>
      </w:tr>
      <w:tr w:rsidR="00997F75" w:rsidRPr="009E35ED" w14:paraId="241E9CE2" w14:textId="77777777" w:rsidTr="00FF441D">
        <w:trPr>
          <w:trHeight w:val="84"/>
        </w:trPr>
        <w:tc>
          <w:tcPr>
            <w:tcW w:w="4950" w:type="dxa"/>
            <w:tcBorders>
              <w:top w:val="nil"/>
              <w:left w:val="nil"/>
              <w:bottom w:val="single" w:sz="4" w:space="0" w:color="auto"/>
              <w:right w:val="nil"/>
            </w:tcBorders>
            <w:shd w:val="clear" w:color="auto" w:fill="auto"/>
            <w:noWrap/>
            <w:vAlign w:val="bottom"/>
            <w:hideMark/>
          </w:tcPr>
          <w:p w14:paraId="49541534" w14:textId="71327C4C" w:rsidR="0094514D" w:rsidRPr="009E35ED" w:rsidRDefault="0094514D" w:rsidP="00B90388">
            <w:pPr>
              <w:keepNext/>
              <w:keepLines/>
              <w:ind w:left="-108"/>
              <w:jc w:val="left"/>
              <w:rPr>
                <w:rFonts w:ascii="Arial Narrow" w:hAnsi="Arial Narrow" w:cs="Calibri"/>
                <w:color w:val="000000" w:themeColor="text1"/>
                <w:sz w:val="22"/>
                <w:szCs w:val="22"/>
              </w:rPr>
            </w:pPr>
            <w:r w:rsidRPr="009E35ED">
              <w:rPr>
                <w:rFonts w:ascii="Arial Narrow" w:hAnsi="Arial Narrow" w:cs="Calibri"/>
                <w:color w:val="000000" w:themeColor="text1"/>
                <w:sz w:val="22"/>
                <w:szCs w:val="22"/>
              </w:rPr>
              <w:t xml:space="preserve">Other </w:t>
            </w:r>
            <w:r w:rsidR="006042C4">
              <w:rPr>
                <w:rFonts w:ascii="Arial Narrow" w:hAnsi="Arial Narrow" w:cs="Calibri"/>
                <w:color w:val="000000" w:themeColor="text1"/>
                <w:sz w:val="22"/>
                <w:szCs w:val="22"/>
              </w:rPr>
              <w:t>a</w:t>
            </w:r>
            <w:r w:rsidRPr="009E35ED">
              <w:rPr>
                <w:rFonts w:ascii="Arial Narrow" w:hAnsi="Arial Narrow" w:cs="Calibri"/>
                <w:color w:val="000000" w:themeColor="text1"/>
                <w:sz w:val="22"/>
                <w:szCs w:val="22"/>
              </w:rPr>
              <w:t>ssets</w:t>
            </w:r>
          </w:p>
        </w:tc>
        <w:tc>
          <w:tcPr>
            <w:tcW w:w="1870" w:type="dxa"/>
            <w:tcBorders>
              <w:top w:val="nil"/>
              <w:left w:val="nil"/>
              <w:bottom w:val="single" w:sz="4" w:space="0" w:color="auto"/>
              <w:right w:val="nil"/>
            </w:tcBorders>
            <w:shd w:val="clear" w:color="auto" w:fill="auto"/>
            <w:noWrap/>
            <w:vAlign w:val="bottom"/>
          </w:tcPr>
          <w:p w14:paraId="39BE3F70" w14:textId="6A6CEB6C" w:rsidR="0094514D" w:rsidRPr="009E35ED" w:rsidRDefault="0094514D" w:rsidP="00B90388">
            <w:pPr>
              <w:keepNext/>
              <w:keepLines/>
              <w:ind w:left="0"/>
              <w:jc w:val="right"/>
              <w:rPr>
                <w:rFonts w:ascii="Arial Narrow" w:hAnsi="Arial Narrow" w:cs="Calibri"/>
                <w:color w:val="000000" w:themeColor="text1"/>
                <w:sz w:val="22"/>
                <w:szCs w:val="22"/>
              </w:rPr>
            </w:pPr>
            <w:r w:rsidRPr="009E35ED">
              <w:rPr>
                <w:rFonts w:ascii="Arial Narrow" w:hAnsi="Arial Narrow"/>
                <w:color w:val="000000" w:themeColor="text1"/>
                <w:sz w:val="22"/>
                <w:szCs w:val="22"/>
              </w:rPr>
              <w:t xml:space="preserve"> 205,173,208 </w:t>
            </w:r>
          </w:p>
        </w:tc>
        <w:tc>
          <w:tcPr>
            <w:tcW w:w="1872" w:type="dxa"/>
            <w:tcBorders>
              <w:top w:val="nil"/>
              <w:left w:val="nil"/>
              <w:bottom w:val="single" w:sz="4" w:space="0" w:color="auto"/>
              <w:right w:val="nil"/>
            </w:tcBorders>
            <w:shd w:val="clear" w:color="auto" w:fill="auto"/>
            <w:noWrap/>
            <w:vAlign w:val="bottom"/>
            <w:hideMark/>
          </w:tcPr>
          <w:p w14:paraId="52947378" w14:textId="28EBD805" w:rsidR="0094514D" w:rsidRPr="009E35ED" w:rsidRDefault="0094514D" w:rsidP="00B90388">
            <w:pPr>
              <w:keepNext/>
              <w:keepLines/>
              <w:ind w:left="0" w:right="-56"/>
              <w:jc w:val="right"/>
              <w:rPr>
                <w:rFonts w:ascii="Arial Narrow" w:hAnsi="Arial Narrow" w:cs="Calibri"/>
                <w:color w:val="000000" w:themeColor="text1"/>
                <w:sz w:val="22"/>
                <w:szCs w:val="22"/>
              </w:rPr>
            </w:pPr>
            <w:r w:rsidRPr="009E35ED">
              <w:rPr>
                <w:rFonts w:ascii="Arial Narrow" w:hAnsi="Arial Narrow"/>
                <w:color w:val="000000" w:themeColor="text1"/>
                <w:sz w:val="22"/>
                <w:szCs w:val="22"/>
              </w:rPr>
              <w:t xml:space="preserve"> 3,664,826 </w:t>
            </w:r>
          </w:p>
        </w:tc>
      </w:tr>
      <w:tr w:rsidR="00997F75" w:rsidRPr="009E35ED" w14:paraId="4367BA88" w14:textId="77777777" w:rsidTr="00FF441D">
        <w:trPr>
          <w:trHeight w:val="73"/>
        </w:trPr>
        <w:tc>
          <w:tcPr>
            <w:tcW w:w="4950" w:type="dxa"/>
            <w:tcBorders>
              <w:top w:val="nil"/>
              <w:left w:val="nil"/>
              <w:bottom w:val="nil"/>
              <w:right w:val="nil"/>
            </w:tcBorders>
            <w:shd w:val="clear" w:color="auto" w:fill="auto"/>
            <w:noWrap/>
            <w:vAlign w:val="bottom"/>
            <w:hideMark/>
          </w:tcPr>
          <w:p w14:paraId="45755F38" w14:textId="77777777" w:rsidR="0094514D" w:rsidRPr="009E35ED" w:rsidRDefault="0094514D" w:rsidP="00B90388">
            <w:pPr>
              <w:keepNext/>
              <w:keepLines/>
              <w:ind w:left="-108"/>
              <w:jc w:val="left"/>
              <w:rPr>
                <w:rFonts w:ascii="Arial Narrow" w:hAnsi="Arial Narrow" w:cs="Calibri"/>
                <w:b/>
                <w:bCs/>
                <w:color w:val="000000" w:themeColor="text1"/>
                <w:sz w:val="22"/>
                <w:szCs w:val="22"/>
              </w:rPr>
            </w:pPr>
            <w:r w:rsidRPr="009E35ED">
              <w:rPr>
                <w:rFonts w:ascii="Arial Narrow" w:hAnsi="Arial Narrow" w:cs="Calibri"/>
                <w:b/>
                <w:bCs/>
                <w:color w:val="000000" w:themeColor="text1"/>
                <w:sz w:val="22"/>
                <w:szCs w:val="22"/>
              </w:rPr>
              <w:t>Total Other Assets</w:t>
            </w:r>
          </w:p>
        </w:tc>
        <w:tc>
          <w:tcPr>
            <w:tcW w:w="1870" w:type="dxa"/>
            <w:tcBorders>
              <w:top w:val="nil"/>
              <w:left w:val="nil"/>
              <w:bottom w:val="single" w:sz="4" w:space="0" w:color="auto"/>
              <w:right w:val="nil"/>
            </w:tcBorders>
            <w:shd w:val="clear" w:color="auto" w:fill="auto"/>
            <w:noWrap/>
            <w:vAlign w:val="bottom"/>
          </w:tcPr>
          <w:p w14:paraId="42D2CE5F" w14:textId="13E3DC55" w:rsidR="0094514D" w:rsidRPr="009E35ED" w:rsidRDefault="0094514D" w:rsidP="00B90388">
            <w:pPr>
              <w:keepNext/>
              <w:keepLines/>
              <w:ind w:left="0"/>
              <w:jc w:val="right"/>
              <w:rPr>
                <w:rFonts w:ascii="Arial Narrow" w:hAnsi="Arial Narrow" w:cs="Calibri"/>
                <w:b/>
                <w:bCs/>
                <w:color w:val="000000" w:themeColor="text1"/>
                <w:sz w:val="22"/>
                <w:szCs w:val="22"/>
              </w:rPr>
            </w:pPr>
            <w:r w:rsidRPr="009E35ED">
              <w:rPr>
                <w:rFonts w:ascii="Arial Narrow" w:hAnsi="Arial Narrow"/>
                <w:b/>
                <w:bCs/>
                <w:color w:val="000000" w:themeColor="text1"/>
                <w:sz w:val="22"/>
                <w:szCs w:val="22"/>
              </w:rPr>
              <w:t xml:space="preserve"> 205,548,786 </w:t>
            </w:r>
          </w:p>
        </w:tc>
        <w:tc>
          <w:tcPr>
            <w:tcW w:w="1872" w:type="dxa"/>
            <w:tcBorders>
              <w:top w:val="nil"/>
              <w:left w:val="nil"/>
              <w:bottom w:val="single" w:sz="4" w:space="0" w:color="auto"/>
              <w:right w:val="nil"/>
            </w:tcBorders>
            <w:shd w:val="clear" w:color="auto" w:fill="auto"/>
            <w:noWrap/>
            <w:vAlign w:val="bottom"/>
            <w:hideMark/>
          </w:tcPr>
          <w:p w14:paraId="2C43E2FC" w14:textId="6CEC13F2" w:rsidR="0094514D" w:rsidRPr="009E35ED" w:rsidRDefault="0094514D" w:rsidP="00B90388">
            <w:pPr>
              <w:keepNext/>
              <w:keepLines/>
              <w:ind w:left="0" w:right="-56"/>
              <w:jc w:val="right"/>
              <w:rPr>
                <w:rFonts w:ascii="Arial Narrow" w:hAnsi="Arial Narrow" w:cs="Calibri"/>
                <w:b/>
                <w:bCs/>
                <w:color w:val="000000" w:themeColor="text1"/>
                <w:sz w:val="22"/>
                <w:szCs w:val="22"/>
              </w:rPr>
            </w:pPr>
            <w:r w:rsidRPr="009E35ED">
              <w:rPr>
                <w:rFonts w:ascii="Arial Narrow" w:hAnsi="Arial Narrow"/>
                <w:b/>
                <w:bCs/>
                <w:color w:val="000000" w:themeColor="text1"/>
                <w:sz w:val="22"/>
                <w:szCs w:val="22"/>
              </w:rPr>
              <w:t xml:space="preserve"> 4,140,30</w:t>
            </w:r>
            <w:r w:rsidR="00BC04FD" w:rsidRPr="009E35ED">
              <w:rPr>
                <w:rFonts w:ascii="Arial Narrow" w:hAnsi="Arial Narrow"/>
                <w:b/>
                <w:bCs/>
                <w:color w:val="000000" w:themeColor="text1"/>
                <w:sz w:val="22"/>
                <w:szCs w:val="22"/>
              </w:rPr>
              <w:t>4</w:t>
            </w:r>
            <w:r w:rsidRPr="009E35ED">
              <w:rPr>
                <w:rFonts w:ascii="Arial Narrow" w:hAnsi="Arial Narrow"/>
                <w:b/>
                <w:bCs/>
                <w:color w:val="000000" w:themeColor="text1"/>
                <w:sz w:val="22"/>
                <w:szCs w:val="22"/>
              </w:rPr>
              <w:t xml:space="preserve"> </w:t>
            </w:r>
          </w:p>
        </w:tc>
      </w:tr>
      <w:tr w:rsidR="00781FA6" w:rsidRPr="009E35ED" w14:paraId="5F1010E4" w14:textId="77777777" w:rsidTr="00FF441D">
        <w:trPr>
          <w:trHeight w:val="73"/>
        </w:trPr>
        <w:tc>
          <w:tcPr>
            <w:tcW w:w="4950" w:type="dxa"/>
            <w:tcBorders>
              <w:top w:val="single" w:sz="4" w:space="0" w:color="auto"/>
              <w:left w:val="nil"/>
              <w:bottom w:val="double" w:sz="6" w:space="0" w:color="auto"/>
              <w:right w:val="nil"/>
            </w:tcBorders>
            <w:shd w:val="clear" w:color="auto" w:fill="auto"/>
            <w:noWrap/>
            <w:vAlign w:val="bottom"/>
            <w:hideMark/>
          </w:tcPr>
          <w:p w14:paraId="7D6BDD34" w14:textId="77777777" w:rsidR="0094514D" w:rsidRPr="009E35ED" w:rsidRDefault="0094514D" w:rsidP="00B90388">
            <w:pPr>
              <w:keepNext/>
              <w:keepLines/>
              <w:ind w:left="-108"/>
              <w:jc w:val="left"/>
              <w:rPr>
                <w:rFonts w:ascii="Arial Narrow" w:hAnsi="Arial Narrow" w:cs="Calibri"/>
                <w:b/>
                <w:bCs/>
                <w:color w:val="000000" w:themeColor="text1"/>
                <w:sz w:val="22"/>
                <w:szCs w:val="22"/>
              </w:rPr>
            </w:pPr>
            <w:r w:rsidRPr="009E35ED">
              <w:rPr>
                <w:rFonts w:ascii="Arial Narrow" w:hAnsi="Arial Narrow" w:cs="Calibri"/>
                <w:b/>
                <w:bCs/>
                <w:color w:val="000000" w:themeColor="text1"/>
                <w:sz w:val="22"/>
                <w:szCs w:val="22"/>
              </w:rPr>
              <w:t>TOTAL NON-CURRENT ASSETS</w:t>
            </w:r>
          </w:p>
        </w:tc>
        <w:tc>
          <w:tcPr>
            <w:tcW w:w="1870" w:type="dxa"/>
            <w:tcBorders>
              <w:top w:val="nil"/>
              <w:left w:val="nil"/>
              <w:bottom w:val="double" w:sz="6" w:space="0" w:color="auto"/>
              <w:right w:val="nil"/>
            </w:tcBorders>
            <w:shd w:val="clear" w:color="auto" w:fill="auto"/>
            <w:noWrap/>
            <w:vAlign w:val="bottom"/>
          </w:tcPr>
          <w:p w14:paraId="2E120003" w14:textId="3842BE97" w:rsidR="0094514D" w:rsidRPr="009E35ED" w:rsidRDefault="0094514D" w:rsidP="00B90388">
            <w:pPr>
              <w:keepNext/>
              <w:keepLines/>
              <w:ind w:left="0"/>
              <w:jc w:val="right"/>
              <w:rPr>
                <w:rFonts w:ascii="Arial Narrow" w:hAnsi="Arial Narrow" w:cs="Calibri"/>
                <w:b/>
                <w:bCs/>
                <w:color w:val="000000" w:themeColor="text1"/>
                <w:sz w:val="22"/>
                <w:szCs w:val="22"/>
              </w:rPr>
            </w:pPr>
            <w:r w:rsidRPr="009E35ED">
              <w:rPr>
                <w:rFonts w:ascii="Arial Narrow" w:hAnsi="Arial Narrow"/>
                <w:b/>
                <w:bCs/>
                <w:color w:val="000000" w:themeColor="text1"/>
                <w:sz w:val="22"/>
                <w:szCs w:val="22"/>
              </w:rPr>
              <w:t xml:space="preserve"> 8,647,567,547 </w:t>
            </w:r>
          </w:p>
        </w:tc>
        <w:tc>
          <w:tcPr>
            <w:tcW w:w="1872" w:type="dxa"/>
            <w:tcBorders>
              <w:top w:val="nil"/>
              <w:left w:val="nil"/>
              <w:bottom w:val="double" w:sz="6" w:space="0" w:color="auto"/>
              <w:right w:val="nil"/>
            </w:tcBorders>
            <w:shd w:val="clear" w:color="auto" w:fill="auto"/>
            <w:noWrap/>
            <w:vAlign w:val="bottom"/>
            <w:hideMark/>
          </w:tcPr>
          <w:p w14:paraId="03975121" w14:textId="6E130EAE" w:rsidR="0094514D" w:rsidRPr="009E35ED" w:rsidRDefault="0094514D" w:rsidP="00B90388">
            <w:pPr>
              <w:keepNext/>
              <w:keepLines/>
              <w:ind w:left="0" w:right="-56"/>
              <w:jc w:val="right"/>
              <w:rPr>
                <w:rFonts w:ascii="Arial Narrow" w:hAnsi="Arial Narrow" w:cs="Calibri"/>
                <w:b/>
                <w:bCs/>
                <w:color w:val="000000" w:themeColor="text1"/>
                <w:sz w:val="22"/>
                <w:szCs w:val="22"/>
              </w:rPr>
            </w:pPr>
            <w:r w:rsidRPr="009E35ED">
              <w:rPr>
                <w:rFonts w:ascii="Arial Narrow" w:hAnsi="Arial Narrow"/>
                <w:b/>
                <w:bCs/>
                <w:color w:val="000000" w:themeColor="text1"/>
                <w:sz w:val="22"/>
                <w:szCs w:val="22"/>
              </w:rPr>
              <w:t xml:space="preserve"> 7,503,756,159 </w:t>
            </w:r>
          </w:p>
        </w:tc>
      </w:tr>
    </w:tbl>
    <w:p w14:paraId="61BA0D49" w14:textId="691CF6FE" w:rsidR="00E81E9D" w:rsidRPr="009E35ED" w:rsidRDefault="00E81E9D" w:rsidP="00803F8C">
      <w:pPr>
        <w:ind w:left="0"/>
        <w:rPr>
          <w:rFonts w:ascii="Arial" w:hAnsi="Arial" w:cs="Arial"/>
          <w:color w:val="000000" w:themeColor="text1"/>
          <w:sz w:val="22"/>
          <w:szCs w:val="22"/>
        </w:rPr>
      </w:pPr>
    </w:p>
    <w:p w14:paraId="31B14C0A" w14:textId="50729E36" w:rsidR="007D661E" w:rsidRPr="009E35ED" w:rsidRDefault="007D661E" w:rsidP="00803F8C">
      <w:pPr>
        <w:suppressAutoHyphens/>
        <w:ind w:left="0"/>
        <w:rPr>
          <w:rFonts w:ascii="Arial" w:hAnsi="Arial" w:cs="Arial"/>
          <w:color w:val="000000" w:themeColor="text1"/>
          <w:sz w:val="22"/>
          <w:szCs w:val="22"/>
        </w:rPr>
      </w:pPr>
      <w:r w:rsidRPr="009E35ED">
        <w:rPr>
          <w:rFonts w:ascii="Arial" w:hAnsi="Arial" w:cs="Arial"/>
          <w:color w:val="000000" w:themeColor="text1"/>
          <w:sz w:val="22"/>
          <w:szCs w:val="22"/>
        </w:rPr>
        <w:t>Prepayments</w:t>
      </w:r>
      <w:r w:rsidR="00BC04FD" w:rsidRPr="009E35ED">
        <w:rPr>
          <w:rFonts w:ascii="Arial" w:hAnsi="Arial" w:cs="Arial"/>
          <w:color w:val="000000" w:themeColor="text1"/>
          <w:sz w:val="22"/>
          <w:szCs w:val="22"/>
        </w:rPr>
        <w:t>, which</w:t>
      </w:r>
      <w:r w:rsidRPr="009E35ED">
        <w:rPr>
          <w:rFonts w:ascii="Arial" w:hAnsi="Arial" w:cs="Arial"/>
          <w:color w:val="000000" w:themeColor="text1"/>
          <w:sz w:val="22"/>
          <w:szCs w:val="22"/>
        </w:rPr>
        <w:t xml:space="preserve"> includes prepaid rent</w:t>
      </w:r>
      <w:r w:rsidR="00BC04FD" w:rsidRPr="009E35ED">
        <w:rPr>
          <w:rFonts w:ascii="Arial" w:hAnsi="Arial" w:cs="Arial"/>
          <w:color w:val="000000" w:themeColor="text1"/>
          <w:sz w:val="22"/>
          <w:szCs w:val="22"/>
        </w:rPr>
        <w:t>,</w:t>
      </w:r>
      <w:r w:rsidRPr="009E35ED">
        <w:rPr>
          <w:rFonts w:ascii="Arial" w:hAnsi="Arial" w:cs="Arial"/>
          <w:color w:val="000000" w:themeColor="text1"/>
          <w:sz w:val="22"/>
          <w:szCs w:val="22"/>
        </w:rPr>
        <w:t xml:space="preserve"> pertains to the advance deposits for lease/rentals of property, plant and equipment used in operations. These can be used as rental payments only at the end of the term of the contract</w:t>
      </w:r>
      <w:r w:rsidR="00F30BFC" w:rsidRPr="009E35ED">
        <w:rPr>
          <w:rFonts w:ascii="Arial" w:hAnsi="Arial" w:cs="Arial"/>
          <w:color w:val="000000" w:themeColor="text1"/>
          <w:sz w:val="22"/>
          <w:szCs w:val="22"/>
        </w:rPr>
        <w:t>.</w:t>
      </w:r>
    </w:p>
    <w:p w14:paraId="79BEEC54" w14:textId="77777777" w:rsidR="007D661E" w:rsidRPr="009E35ED" w:rsidRDefault="007D661E" w:rsidP="00803F8C">
      <w:pPr>
        <w:ind w:left="0"/>
        <w:rPr>
          <w:rFonts w:ascii="Arial" w:hAnsi="Arial" w:cs="Arial"/>
          <w:color w:val="000000" w:themeColor="text1"/>
          <w:sz w:val="22"/>
          <w:szCs w:val="22"/>
        </w:rPr>
      </w:pPr>
    </w:p>
    <w:p w14:paraId="2C7D4468" w14:textId="0A1B1099" w:rsidR="007D661E" w:rsidRPr="009E35ED" w:rsidRDefault="007D661E" w:rsidP="00803F8C">
      <w:pPr>
        <w:suppressAutoHyphens/>
        <w:ind w:left="0"/>
        <w:rPr>
          <w:rFonts w:ascii="Arial" w:hAnsi="Arial" w:cs="Arial"/>
          <w:bCs/>
          <w:color w:val="000000" w:themeColor="text1"/>
          <w:sz w:val="22"/>
          <w:szCs w:val="22"/>
          <w:lang w:eastAsia="ar-SA"/>
        </w:rPr>
      </w:pPr>
      <w:r w:rsidRPr="009E35ED">
        <w:rPr>
          <w:rFonts w:ascii="Arial" w:hAnsi="Arial" w:cs="Arial"/>
          <w:color w:val="000000" w:themeColor="text1"/>
          <w:sz w:val="22"/>
          <w:szCs w:val="22"/>
        </w:rPr>
        <w:t>Deposit includes guaranty deposits and other deposits. G</w:t>
      </w:r>
      <w:r w:rsidRPr="009E35ED">
        <w:rPr>
          <w:rFonts w:ascii="Arial" w:hAnsi="Arial" w:cs="Arial"/>
          <w:bCs/>
          <w:color w:val="000000" w:themeColor="text1"/>
          <w:sz w:val="22"/>
          <w:szCs w:val="22"/>
          <w:lang w:eastAsia="ar-SA"/>
        </w:rPr>
        <w:t xml:space="preserve">uaranty deposits are paid to utility companies, namely: Manila Electric Company and Philippine Long Distance Telephone Company.  It also includes guaranty deposits for lease/rentals of the buildings located in Shaw Blvd., Mandaluyong City that are currently being occupied by the PCSO. Other deposits </w:t>
      </w:r>
      <w:r w:rsidR="005A345A" w:rsidRPr="009E35ED">
        <w:rPr>
          <w:rFonts w:ascii="Arial" w:hAnsi="Arial" w:cs="Arial"/>
          <w:bCs/>
          <w:color w:val="000000" w:themeColor="text1"/>
          <w:sz w:val="22"/>
          <w:szCs w:val="22"/>
          <w:lang w:eastAsia="ar-SA"/>
        </w:rPr>
        <w:t>represent</w:t>
      </w:r>
      <w:r w:rsidRPr="009E35ED">
        <w:rPr>
          <w:rFonts w:ascii="Arial" w:hAnsi="Arial" w:cs="Arial"/>
          <w:bCs/>
          <w:color w:val="000000" w:themeColor="text1"/>
          <w:sz w:val="22"/>
          <w:szCs w:val="22"/>
          <w:lang w:eastAsia="ar-SA"/>
        </w:rPr>
        <w:t xml:space="preserve"> the cash bond of STL </w:t>
      </w:r>
      <w:r w:rsidR="00BC04FD" w:rsidRPr="009E35ED">
        <w:rPr>
          <w:rFonts w:ascii="Arial" w:hAnsi="Arial" w:cs="Arial"/>
          <w:bCs/>
          <w:color w:val="000000" w:themeColor="text1"/>
          <w:sz w:val="22"/>
          <w:szCs w:val="22"/>
          <w:lang w:eastAsia="ar-SA"/>
        </w:rPr>
        <w:t>AAC</w:t>
      </w:r>
      <w:r w:rsidRPr="009E35ED">
        <w:rPr>
          <w:rFonts w:ascii="Arial" w:hAnsi="Arial" w:cs="Arial"/>
          <w:bCs/>
          <w:color w:val="000000" w:themeColor="text1"/>
          <w:sz w:val="22"/>
          <w:szCs w:val="22"/>
          <w:lang w:eastAsia="ar-SA"/>
        </w:rPr>
        <w:t xml:space="preserve">, Lotto and Keno </w:t>
      </w:r>
      <w:r w:rsidR="00BC04FD" w:rsidRPr="009E35ED">
        <w:rPr>
          <w:rFonts w:ascii="Arial" w:hAnsi="Arial" w:cs="Arial"/>
          <w:bCs/>
          <w:color w:val="000000" w:themeColor="text1"/>
          <w:sz w:val="22"/>
          <w:szCs w:val="22"/>
          <w:lang w:eastAsia="ar-SA"/>
        </w:rPr>
        <w:t xml:space="preserve">Agents, </w:t>
      </w:r>
      <w:r w:rsidRPr="009E35ED">
        <w:rPr>
          <w:rFonts w:ascii="Arial" w:hAnsi="Arial" w:cs="Arial"/>
          <w:bCs/>
          <w:color w:val="000000" w:themeColor="text1"/>
          <w:sz w:val="22"/>
          <w:szCs w:val="22"/>
          <w:lang w:eastAsia="ar-SA"/>
        </w:rPr>
        <w:t xml:space="preserve">and the Prize Seed Fund entrusted/deposited to PCSO bank account by Pacific Online System Company, Philippine Gaming Management Corporation and Powerball </w:t>
      </w:r>
      <w:r w:rsidR="00672A45" w:rsidRPr="009E35ED">
        <w:rPr>
          <w:rFonts w:ascii="Arial" w:hAnsi="Arial" w:cs="Arial"/>
          <w:bCs/>
          <w:color w:val="000000" w:themeColor="text1"/>
          <w:sz w:val="22"/>
          <w:szCs w:val="22"/>
          <w:lang w:eastAsia="ar-SA"/>
        </w:rPr>
        <w:t xml:space="preserve">Marketing and </w:t>
      </w:r>
      <w:r w:rsidR="00BC04FD" w:rsidRPr="009E35ED">
        <w:rPr>
          <w:rFonts w:ascii="Arial" w:hAnsi="Arial" w:cs="Arial"/>
          <w:bCs/>
          <w:color w:val="000000" w:themeColor="text1"/>
          <w:sz w:val="22"/>
          <w:szCs w:val="22"/>
          <w:lang w:eastAsia="ar-SA"/>
        </w:rPr>
        <w:t xml:space="preserve">Logistics </w:t>
      </w:r>
      <w:r w:rsidRPr="009E35ED">
        <w:rPr>
          <w:rFonts w:ascii="Arial" w:hAnsi="Arial" w:cs="Arial"/>
          <w:bCs/>
          <w:color w:val="000000" w:themeColor="text1"/>
          <w:sz w:val="22"/>
          <w:szCs w:val="22"/>
          <w:lang w:eastAsia="ar-SA"/>
        </w:rPr>
        <w:t xml:space="preserve">Corporation for payment of prizes for Scratch and Match. Also includes the escrow deposit of Mark Sensing Ltd. retained by </w:t>
      </w:r>
      <w:r w:rsidR="006042C4">
        <w:rPr>
          <w:rFonts w:ascii="Arial" w:hAnsi="Arial" w:cs="Arial"/>
          <w:bCs/>
          <w:color w:val="000000" w:themeColor="text1"/>
          <w:sz w:val="22"/>
          <w:szCs w:val="22"/>
          <w:lang w:eastAsia="ar-SA"/>
        </w:rPr>
        <w:t xml:space="preserve">the </w:t>
      </w:r>
      <w:r w:rsidRPr="009E35ED">
        <w:rPr>
          <w:rFonts w:ascii="Arial" w:hAnsi="Arial" w:cs="Arial"/>
          <w:bCs/>
          <w:color w:val="000000" w:themeColor="text1"/>
          <w:sz w:val="22"/>
          <w:szCs w:val="22"/>
          <w:lang w:eastAsia="ar-SA"/>
        </w:rPr>
        <w:t>PCSO in compliance with the court order to withhold 24.5 percent commission of CISCO on PCSO’s lotto supplies purchases with Mark Sensing Ltd. (</w:t>
      </w:r>
      <w:r w:rsidRPr="009E35ED">
        <w:rPr>
          <w:rFonts w:ascii="Arial" w:hAnsi="Arial" w:cs="Arial"/>
          <w:bCs/>
          <w:i/>
          <w:color w:val="000000" w:themeColor="text1"/>
          <w:sz w:val="22"/>
          <w:szCs w:val="22"/>
          <w:lang w:eastAsia="ar-SA"/>
        </w:rPr>
        <w:t>Reference:</w:t>
      </w:r>
      <w:r w:rsidRPr="009E35ED">
        <w:rPr>
          <w:rFonts w:ascii="Arial" w:hAnsi="Arial" w:cs="Arial"/>
          <w:bCs/>
          <w:color w:val="000000" w:themeColor="text1"/>
          <w:sz w:val="22"/>
          <w:szCs w:val="22"/>
          <w:lang w:eastAsia="ar-SA"/>
        </w:rPr>
        <w:t xml:space="preserve"> </w:t>
      </w:r>
      <w:r w:rsidRPr="009E35ED">
        <w:rPr>
          <w:rFonts w:ascii="Arial" w:hAnsi="Arial" w:cs="Arial"/>
          <w:bCs/>
          <w:i/>
          <w:color w:val="000000" w:themeColor="text1"/>
          <w:sz w:val="22"/>
          <w:szCs w:val="22"/>
          <w:lang w:eastAsia="ar-SA"/>
        </w:rPr>
        <w:t>Civil Case No. Q-05-54756</w:t>
      </w:r>
      <w:r w:rsidRPr="009E35ED">
        <w:rPr>
          <w:rFonts w:ascii="Arial" w:hAnsi="Arial" w:cs="Arial"/>
          <w:bCs/>
          <w:color w:val="000000" w:themeColor="text1"/>
          <w:sz w:val="22"/>
          <w:szCs w:val="22"/>
          <w:lang w:eastAsia="ar-SA"/>
        </w:rPr>
        <w:t>).</w:t>
      </w:r>
    </w:p>
    <w:p w14:paraId="5CB62737" w14:textId="77777777" w:rsidR="007D661E" w:rsidRPr="009E35ED" w:rsidRDefault="007D661E" w:rsidP="00803F8C">
      <w:pPr>
        <w:suppressAutoHyphens/>
        <w:ind w:left="0"/>
        <w:rPr>
          <w:rFonts w:ascii="Arial" w:hAnsi="Arial" w:cs="Arial"/>
          <w:bCs/>
          <w:color w:val="000000" w:themeColor="text1"/>
          <w:sz w:val="22"/>
          <w:szCs w:val="22"/>
          <w:lang w:eastAsia="ar-SA"/>
        </w:rPr>
      </w:pPr>
    </w:p>
    <w:p w14:paraId="2AEA356B" w14:textId="3FF660EA" w:rsidR="005A345A" w:rsidRPr="009E35ED" w:rsidRDefault="007D661E" w:rsidP="00803F8C">
      <w:pPr>
        <w:suppressAutoHyphens/>
        <w:ind w:left="0"/>
        <w:rPr>
          <w:rFonts w:ascii="Arial" w:hAnsi="Arial" w:cs="Arial"/>
          <w:bCs/>
          <w:color w:val="000000" w:themeColor="text1"/>
          <w:sz w:val="22"/>
          <w:szCs w:val="22"/>
          <w:lang w:eastAsia="ar-SA"/>
        </w:rPr>
      </w:pPr>
      <w:r w:rsidRPr="009E35ED">
        <w:rPr>
          <w:rFonts w:ascii="Arial" w:hAnsi="Arial" w:cs="Arial"/>
          <w:bCs/>
          <w:color w:val="000000" w:themeColor="text1"/>
          <w:sz w:val="22"/>
          <w:szCs w:val="22"/>
          <w:lang w:eastAsia="ar-SA"/>
        </w:rPr>
        <w:t xml:space="preserve">Other </w:t>
      </w:r>
      <w:r w:rsidR="006042C4">
        <w:rPr>
          <w:rFonts w:ascii="Arial" w:hAnsi="Arial" w:cs="Arial"/>
          <w:bCs/>
          <w:color w:val="000000" w:themeColor="text1"/>
          <w:sz w:val="22"/>
          <w:szCs w:val="22"/>
          <w:lang w:eastAsia="ar-SA"/>
        </w:rPr>
        <w:t>a</w:t>
      </w:r>
      <w:r w:rsidRPr="009E35ED">
        <w:rPr>
          <w:rFonts w:ascii="Arial" w:hAnsi="Arial" w:cs="Arial"/>
          <w:bCs/>
          <w:color w:val="000000" w:themeColor="text1"/>
          <w:sz w:val="22"/>
          <w:szCs w:val="22"/>
          <w:lang w:eastAsia="ar-SA"/>
        </w:rPr>
        <w:t xml:space="preserve">ssets </w:t>
      </w:r>
      <w:r w:rsidR="00B37C0A" w:rsidRPr="009E35ED">
        <w:rPr>
          <w:rFonts w:ascii="Arial" w:hAnsi="Arial" w:cs="Arial"/>
          <w:bCs/>
          <w:color w:val="000000" w:themeColor="text1"/>
          <w:sz w:val="22"/>
          <w:szCs w:val="22"/>
          <w:lang w:eastAsia="ar-SA"/>
        </w:rPr>
        <w:t>include</w:t>
      </w:r>
      <w:r w:rsidRPr="009E35ED">
        <w:rPr>
          <w:rFonts w:ascii="Arial" w:hAnsi="Arial" w:cs="Arial"/>
          <w:bCs/>
          <w:color w:val="000000" w:themeColor="text1"/>
          <w:sz w:val="22"/>
          <w:szCs w:val="22"/>
          <w:lang w:eastAsia="ar-SA"/>
        </w:rPr>
        <w:t xml:space="preserve"> Foreclosed </w:t>
      </w:r>
      <w:r w:rsidR="006042C4">
        <w:rPr>
          <w:rFonts w:ascii="Arial" w:hAnsi="Arial" w:cs="Arial"/>
          <w:bCs/>
          <w:color w:val="000000" w:themeColor="text1"/>
          <w:sz w:val="22"/>
          <w:szCs w:val="22"/>
          <w:lang w:eastAsia="ar-SA"/>
        </w:rPr>
        <w:t>p</w:t>
      </w:r>
      <w:r w:rsidRPr="009E35ED">
        <w:rPr>
          <w:rFonts w:ascii="Arial" w:hAnsi="Arial" w:cs="Arial"/>
          <w:bCs/>
          <w:color w:val="000000" w:themeColor="text1"/>
          <w:sz w:val="22"/>
          <w:szCs w:val="22"/>
          <w:lang w:eastAsia="ar-SA"/>
        </w:rPr>
        <w:t>roperty/</w:t>
      </w:r>
      <w:r w:rsidR="006042C4">
        <w:rPr>
          <w:rFonts w:ascii="Arial" w:hAnsi="Arial" w:cs="Arial"/>
          <w:bCs/>
          <w:color w:val="000000" w:themeColor="text1"/>
          <w:sz w:val="22"/>
          <w:szCs w:val="22"/>
          <w:lang w:eastAsia="ar-SA"/>
        </w:rPr>
        <w:t>a</w:t>
      </w:r>
      <w:r w:rsidRPr="009E35ED">
        <w:rPr>
          <w:rFonts w:ascii="Arial" w:hAnsi="Arial" w:cs="Arial"/>
          <w:bCs/>
          <w:color w:val="000000" w:themeColor="text1"/>
          <w:sz w:val="22"/>
          <w:szCs w:val="22"/>
          <w:lang w:eastAsia="ar-SA"/>
        </w:rPr>
        <w:t xml:space="preserve">ssets, Deferred </w:t>
      </w:r>
      <w:r w:rsidR="006042C4">
        <w:rPr>
          <w:rFonts w:ascii="Arial" w:hAnsi="Arial" w:cs="Arial"/>
          <w:bCs/>
          <w:color w:val="000000" w:themeColor="text1"/>
          <w:sz w:val="22"/>
          <w:szCs w:val="22"/>
          <w:lang w:eastAsia="ar-SA"/>
        </w:rPr>
        <w:t>a</w:t>
      </w:r>
      <w:r w:rsidRPr="009E35ED">
        <w:rPr>
          <w:rFonts w:ascii="Arial" w:hAnsi="Arial" w:cs="Arial"/>
          <w:bCs/>
          <w:color w:val="000000" w:themeColor="text1"/>
          <w:sz w:val="22"/>
          <w:szCs w:val="22"/>
          <w:lang w:eastAsia="ar-SA"/>
        </w:rPr>
        <w:t>ssets/</w:t>
      </w:r>
      <w:r w:rsidR="006042C4">
        <w:rPr>
          <w:rFonts w:ascii="Arial" w:hAnsi="Arial" w:cs="Arial"/>
          <w:bCs/>
          <w:color w:val="000000" w:themeColor="text1"/>
          <w:sz w:val="22"/>
          <w:szCs w:val="22"/>
          <w:lang w:eastAsia="ar-SA"/>
        </w:rPr>
        <w:t>l</w:t>
      </w:r>
      <w:r w:rsidRPr="009E35ED">
        <w:rPr>
          <w:rFonts w:ascii="Arial" w:hAnsi="Arial" w:cs="Arial"/>
          <w:bCs/>
          <w:color w:val="000000" w:themeColor="text1"/>
          <w:sz w:val="22"/>
          <w:szCs w:val="22"/>
          <w:lang w:eastAsia="ar-SA"/>
        </w:rPr>
        <w:t xml:space="preserve">osses, Abandoned/Surrendered </w:t>
      </w:r>
      <w:r w:rsidR="006042C4">
        <w:rPr>
          <w:rFonts w:ascii="Arial" w:hAnsi="Arial" w:cs="Arial"/>
          <w:bCs/>
          <w:color w:val="000000" w:themeColor="text1"/>
          <w:sz w:val="22"/>
          <w:szCs w:val="22"/>
          <w:lang w:eastAsia="ar-SA"/>
        </w:rPr>
        <w:t>p</w:t>
      </w:r>
      <w:r w:rsidRPr="009E35ED">
        <w:rPr>
          <w:rFonts w:ascii="Arial" w:hAnsi="Arial" w:cs="Arial"/>
          <w:bCs/>
          <w:color w:val="000000" w:themeColor="text1"/>
          <w:sz w:val="22"/>
          <w:szCs w:val="22"/>
          <w:lang w:eastAsia="ar-SA"/>
        </w:rPr>
        <w:t xml:space="preserve">roperties and Other </w:t>
      </w:r>
      <w:r w:rsidR="006042C4">
        <w:rPr>
          <w:rFonts w:ascii="Arial" w:hAnsi="Arial" w:cs="Arial"/>
          <w:bCs/>
          <w:color w:val="000000" w:themeColor="text1"/>
          <w:sz w:val="22"/>
          <w:szCs w:val="22"/>
          <w:lang w:eastAsia="ar-SA"/>
        </w:rPr>
        <w:t>a</w:t>
      </w:r>
      <w:r w:rsidRPr="009E35ED">
        <w:rPr>
          <w:rFonts w:ascii="Arial" w:hAnsi="Arial" w:cs="Arial"/>
          <w:bCs/>
          <w:color w:val="000000" w:themeColor="text1"/>
          <w:sz w:val="22"/>
          <w:szCs w:val="22"/>
          <w:lang w:eastAsia="ar-SA"/>
        </w:rPr>
        <w:t>ssets.</w:t>
      </w:r>
    </w:p>
    <w:p w14:paraId="4D261351" w14:textId="77777777" w:rsidR="005A345A" w:rsidRPr="009E35ED" w:rsidRDefault="005A345A" w:rsidP="00803F8C">
      <w:pPr>
        <w:suppressAutoHyphens/>
        <w:ind w:left="0"/>
        <w:rPr>
          <w:rFonts w:ascii="Arial" w:hAnsi="Arial" w:cs="Arial"/>
          <w:bCs/>
          <w:color w:val="000000" w:themeColor="text1"/>
          <w:sz w:val="22"/>
          <w:szCs w:val="22"/>
          <w:lang w:eastAsia="ar-SA"/>
        </w:rPr>
      </w:pPr>
    </w:p>
    <w:p w14:paraId="1C27174A" w14:textId="0BB47BFC" w:rsidR="0050322B" w:rsidRPr="009E35ED" w:rsidRDefault="0050322B" w:rsidP="0050322B">
      <w:pPr>
        <w:tabs>
          <w:tab w:val="left" w:pos="8550"/>
        </w:tabs>
        <w:ind w:left="0"/>
        <w:rPr>
          <w:rFonts w:ascii="Arial" w:hAnsi="Arial" w:cs="Arial"/>
          <w:color w:val="000000" w:themeColor="text1"/>
          <w:sz w:val="22"/>
          <w:szCs w:val="22"/>
        </w:rPr>
      </w:pPr>
      <w:r w:rsidRPr="009E35ED">
        <w:rPr>
          <w:rFonts w:ascii="Arial" w:hAnsi="Arial" w:cs="Arial"/>
          <w:color w:val="000000" w:themeColor="text1"/>
          <w:sz w:val="22"/>
          <w:szCs w:val="22"/>
        </w:rPr>
        <w:t>In conformity with PAS No. 8, the Other Assets accounts are restated as follows:</w:t>
      </w:r>
    </w:p>
    <w:p w14:paraId="26052D4B" w14:textId="77777777" w:rsidR="007157C3" w:rsidRPr="009E35ED" w:rsidRDefault="007157C3" w:rsidP="0050322B">
      <w:pPr>
        <w:tabs>
          <w:tab w:val="left" w:pos="8550"/>
        </w:tabs>
        <w:ind w:left="0"/>
        <w:rPr>
          <w:rFonts w:ascii="Arial" w:hAnsi="Arial" w:cs="Arial"/>
          <w:color w:val="000000" w:themeColor="text1"/>
          <w:sz w:val="22"/>
          <w:szCs w:val="22"/>
        </w:rPr>
      </w:pPr>
    </w:p>
    <w:tbl>
      <w:tblPr>
        <w:tblW w:w="8570" w:type="dxa"/>
        <w:tblLook w:val="04A0" w:firstRow="1" w:lastRow="0" w:firstColumn="1" w:lastColumn="0" w:noHBand="0" w:noVBand="1"/>
      </w:tblPr>
      <w:tblGrid>
        <w:gridCol w:w="7380"/>
        <w:gridCol w:w="1190"/>
      </w:tblGrid>
      <w:tr w:rsidR="00997F75" w:rsidRPr="009E35ED" w14:paraId="4B210CF3" w14:textId="77777777" w:rsidTr="00FF441D">
        <w:trPr>
          <w:trHeight w:val="134"/>
        </w:trPr>
        <w:tc>
          <w:tcPr>
            <w:tcW w:w="7380" w:type="dxa"/>
            <w:shd w:val="clear" w:color="auto" w:fill="auto"/>
            <w:noWrap/>
            <w:hideMark/>
          </w:tcPr>
          <w:p w14:paraId="22B5236A" w14:textId="1B34A692" w:rsidR="009C3EEB" w:rsidRPr="008E5F72" w:rsidRDefault="009C3EEB" w:rsidP="00FF441D">
            <w:pPr>
              <w:ind w:left="-108"/>
              <w:jc w:val="left"/>
              <w:rPr>
                <w:rFonts w:ascii="Arial Narrow" w:hAnsi="Arial Narrow"/>
                <w:color w:val="000000" w:themeColor="text1"/>
                <w:sz w:val="22"/>
                <w:szCs w:val="22"/>
                <w:lang w:val="en-PH" w:eastAsia="en-PH"/>
              </w:rPr>
            </w:pPr>
            <w:r w:rsidRPr="009E35ED">
              <w:rPr>
                <w:rFonts w:ascii="Arial Narrow" w:hAnsi="Arial Narrow"/>
                <w:color w:val="000000" w:themeColor="text1"/>
                <w:sz w:val="22"/>
                <w:szCs w:val="22"/>
              </w:rPr>
              <w:t xml:space="preserve">Unrestated </w:t>
            </w:r>
            <w:r w:rsidR="006042C4">
              <w:rPr>
                <w:rFonts w:ascii="Arial Narrow" w:hAnsi="Arial Narrow"/>
                <w:color w:val="000000" w:themeColor="text1"/>
                <w:sz w:val="22"/>
                <w:szCs w:val="22"/>
              </w:rPr>
              <w:t>a</w:t>
            </w:r>
            <w:r w:rsidRPr="009E35ED">
              <w:rPr>
                <w:rFonts w:ascii="Arial Narrow" w:hAnsi="Arial Narrow"/>
                <w:color w:val="000000" w:themeColor="text1"/>
                <w:sz w:val="22"/>
                <w:szCs w:val="22"/>
              </w:rPr>
              <w:t>mount as of December 31, 2022</w:t>
            </w:r>
          </w:p>
        </w:tc>
        <w:tc>
          <w:tcPr>
            <w:tcW w:w="1190" w:type="dxa"/>
            <w:shd w:val="clear" w:color="auto" w:fill="auto"/>
            <w:noWrap/>
            <w:hideMark/>
          </w:tcPr>
          <w:p w14:paraId="1A1C4F75" w14:textId="2E35D27B" w:rsidR="009C3EEB" w:rsidRPr="009E35ED" w:rsidRDefault="009C3EEB" w:rsidP="00FF441D">
            <w:pPr>
              <w:ind w:left="-108" w:right="-108"/>
              <w:jc w:val="right"/>
              <w:rPr>
                <w:rFonts w:ascii="Arial Narrow" w:hAnsi="Arial Narrow" w:cs="Arial"/>
                <w:color w:val="000000" w:themeColor="text1"/>
                <w:sz w:val="22"/>
                <w:szCs w:val="22"/>
                <w:lang w:val="en-PH" w:eastAsia="en-PH"/>
              </w:rPr>
            </w:pPr>
            <w:r w:rsidRPr="009E35ED">
              <w:rPr>
                <w:rFonts w:ascii="Arial Narrow" w:hAnsi="Arial Narrow"/>
                <w:color w:val="000000" w:themeColor="text1"/>
                <w:sz w:val="22"/>
                <w:szCs w:val="22"/>
              </w:rPr>
              <w:t xml:space="preserve"> (313,174)</w:t>
            </w:r>
          </w:p>
        </w:tc>
      </w:tr>
      <w:tr w:rsidR="00997F75" w:rsidRPr="009E35ED" w14:paraId="7AFBDBCE" w14:textId="77777777" w:rsidTr="00FF441D">
        <w:trPr>
          <w:trHeight w:val="98"/>
        </w:trPr>
        <w:tc>
          <w:tcPr>
            <w:tcW w:w="7380" w:type="dxa"/>
            <w:tcBorders>
              <w:bottom w:val="single" w:sz="4" w:space="0" w:color="auto"/>
            </w:tcBorders>
            <w:shd w:val="clear" w:color="auto" w:fill="auto"/>
            <w:noWrap/>
          </w:tcPr>
          <w:p w14:paraId="2A748372" w14:textId="2D41F6FD" w:rsidR="009C3EEB" w:rsidRPr="009E35ED" w:rsidRDefault="009C3EEB" w:rsidP="00FF441D">
            <w:pPr>
              <w:ind w:left="-108"/>
              <w:jc w:val="left"/>
              <w:rPr>
                <w:rFonts w:ascii="Arial Narrow" w:hAnsi="Arial Narrow" w:cs="Calibri"/>
                <w:color w:val="000000" w:themeColor="text1"/>
                <w:sz w:val="22"/>
                <w:szCs w:val="22"/>
              </w:rPr>
            </w:pPr>
            <w:r w:rsidRPr="009E35ED">
              <w:rPr>
                <w:rFonts w:ascii="Arial Narrow" w:hAnsi="Arial Narrow"/>
                <w:color w:val="000000" w:themeColor="text1"/>
                <w:sz w:val="22"/>
                <w:szCs w:val="22"/>
              </w:rPr>
              <w:t xml:space="preserve">Adjustment/Recording of Other </w:t>
            </w:r>
            <w:r w:rsidR="006042C4">
              <w:rPr>
                <w:rFonts w:ascii="Arial Narrow" w:hAnsi="Arial Narrow"/>
                <w:color w:val="000000" w:themeColor="text1"/>
                <w:sz w:val="22"/>
                <w:szCs w:val="22"/>
              </w:rPr>
              <w:t>a</w:t>
            </w:r>
            <w:r w:rsidRPr="009E35ED">
              <w:rPr>
                <w:rFonts w:ascii="Arial Narrow" w:hAnsi="Arial Narrow"/>
                <w:color w:val="000000" w:themeColor="text1"/>
                <w:sz w:val="22"/>
                <w:szCs w:val="22"/>
              </w:rPr>
              <w:t>ssets-</w:t>
            </w:r>
            <w:r w:rsidR="006042C4">
              <w:rPr>
                <w:rFonts w:ascii="Arial Narrow" w:hAnsi="Arial Narrow"/>
                <w:color w:val="000000" w:themeColor="text1"/>
                <w:sz w:val="22"/>
                <w:szCs w:val="22"/>
              </w:rPr>
              <w:t>b</w:t>
            </w:r>
            <w:r w:rsidRPr="009E35ED">
              <w:rPr>
                <w:rFonts w:ascii="Arial Narrow" w:hAnsi="Arial Narrow"/>
                <w:color w:val="000000" w:themeColor="text1"/>
                <w:sz w:val="22"/>
                <w:szCs w:val="22"/>
              </w:rPr>
              <w:t>ranches</w:t>
            </w:r>
          </w:p>
        </w:tc>
        <w:tc>
          <w:tcPr>
            <w:tcW w:w="1190" w:type="dxa"/>
            <w:tcBorders>
              <w:bottom w:val="single" w:sz="4" w:space="0" w:color="auto"/>
            </w:tcBorders>
            <w:shd w:val="clear" w:color="auto" w:fill="auto"/>
            <w:noWrap/>
          </w:tcPr>
          <w:p w14:paraId="52E37492" w14:textId="0E6463B5" w:rsidR="009C3EEB" w:rsidRPr="009E35ED" w:rsidRDefault="009C3EEB" w:rsidP="00FF441D">
            <w:pPr>
              <w:ind w:left="-108" w:right="-108"/>
              <w:jc w:val="right"/>
              <w:rPr>
                <w:rFonts w:ascii="Arial Narrow" w:hAnsi="Arial Narrow" w:cs="Arial"/>
                <w:color w:val="000000" w:themeColor="text1"/>
                <w:sz w:val="22"/>
                <w:szCs w:val="22"/>
              </w:rPr>
            </w:pPr>
            <w:r w:rsidRPr="009E35ED">
              <w:rPr>
                <w:rFonts w:ascii="Arial Narrow" w:hAnsi="Arial Narrow"/>
                <w:color w:val="000000" w:themeColor="text1"/>
                <w:sz w:val="22"/>
                <w:szCs w:val="22"/>
              </w:rPr>
              <w:t xml:space="preserve"> 3,978,000 </w:t>
            </w:r>
          </w:p>
        </w:tc>
      </w:tr>
      <w:tr w:rsidR="00AE6B73" w:rsidRPr="009E35ED" w14:paraId="3B75658D" w14:textId="77777777" w:rsidTr="00FF441D">
        <w:trPr>
          <w:trHeight w:val="310"/>
        </w:trPr>
        <w:tc>
          <w:tcPr>
            <w:tcW w:w="7380" w:type="dxa"/>
            <w:tcBorders>
              <w:top w:val="single" w:sz="4" w:space="0" w:color="auto"/>
              <w:bottom w:val="double" w:sz="4" w:space="0" w:color="auto"/>
            </w:tcBorders>
            <w:shd w:val="clear" w:color="auto" w:fill="auto"/>
            <w:noWrap/>
            <w:vAlign w:val="bottom"/>
            <w:hideMark/>
          </w:tcPr>
          <w:p w14:paraId="2B2C54B7" w14:textId="4614B164" w:rsidR="009C3EEB" w:rsidRPr="009E35ED" w:rsidRDefault="009C3EEB" w:rsidP="00FF441D">
            <w:pPr>
              <w:ind w:left="-108"/>
              <w:jc w:val="left"/>
              <w:rPr>
                <w:rFonts w:ascii="Arial Narrow" w:hAnsi="Arial Narrow" w:cs="Arial"/>
                <w:b/>
                <w:bCs/>
                <w:color w:val="000000" w:themeColor="text1"/>
                <w:sz w:val="22"/>
                <w:szCs w:val="22"/>
                <w:lang w:val="en-PH" w:eastAsia="en-PH"/>
              </w:rPr>
            </w:pPr>
            <w:r w:rsidRPr="009E35ED">
              <w:rPr>
                <w:rFonts w:ascii="Arial Narrow" w:hAnsi="Arial Narrow"/>
                <w:b/>
                <w:bCs/>
                <w:color w:val="000000" w:themeColor="text1"/>
                <w:sz w:val="22"/>
                <w:szCs w:val="22"/>
              </w:rPr>
              <w:t>Restated Amount as of December 31, 2022 - Other Assets</w:t>
            </w:r>
          </w:p>
        </w:tc>
        <w:tc>
          <w:tcPr>
            <w:tcW w:w="1190" w:type="dxa"/>
            <w:tcBorders>
              <w:top w:val="single" w:sz="4" w:space="0" w:color="auto"/>
              <w:bottom w:val="double" w:sz="4" w:space="0" w:color="auto"/>
            </w:tcBorders>
            <w:shd w:val="clear" w:color="auto" w:fill="auto"/>
            <w:noWrap/>
            <w:vAlign w:val="bottom"/>
            <w:hideMark/>
          </w:tcPr>
          <w:p w14:paraId="5EBAB317" w14:textId="023F5055" w:rsidR="009C3EEB" w:rsidRPr="009E35ED" w:rsidRDefault="009C3EEB" w:rsidP="00FF441D">
            <w:pPr>
              <w:ind w:left="-108" w:right="-108"/>
              <w:jc w:val="right"/>
              <w:rPr>
                <w:rFonts w:ascii="Arial Narrow" w:hAnsi="Arial Narrow" w:cs="Arial"/>
                <w:b/>
                <w:bCs/>
                <w:color w:val="000000" w:themeColor="text1"/>
                <w:sz w:val="22"/>
                <w:szCs w:val="22"/>
                <w:lang w:val="en-PH" w:eastAsia="en-PH"/>
              </w:rPr>
            </w:pPr>
            <w:r w:rsidRPr="009E35ED">
              <w:rPr>
                <w:rFonts w:ascii="Arial Narrow" w:hAnsi="Arial Narrow"/>
                <w:b/>
                <w:bCs/>
                <w:color w:val="000000" w:themeColor="text1"/>
                <w:sz w:val="22"/>
                <w:szCs w:val="22"/>
              </w:rPr>
              <w:t xml:space="preserve"> 3,664,826 </w:t>
            </w:r>
          </w:p>
        </w:tc>
      </w:tr>
    </w:tbl>
    <w:p w14:paraId="76351804" w14:textId="6F75016E" w:rsidR="005A345A" w:rsidRPr="009E35ED" w:rsidRDefault="005A345A" w:rsidP="00803F8C">
      <w:pPr>
        <w:suppressAutoHyphens/>
        <w:ind w:left="0"/>
        <w:rPr>
          <w:rFonts w:ascii="Arial" w:hAnsi="Arial" w:cs="Arial"/>
          <w:bCs/>
          <w:color w:val="000000" w:themeColor="text1"/>
          <w:sz w:val="22"/>
          <w:szCs w:val="22"/>
          <w:lang w:eastAsia="ar-SA"/>
        </w:rPr>
      </w:pPr>
    </w:p>
    <w:tbl>
      <w:tblPr>
        <w:tblW w:w="8570" w:type="dxa"/>
        <w:tblLook w:val="04A0" w:firstRow="1" w:lastRow="0" w:firstColumn="1" w:lastColumn="0" w:noHBand="0" w:noVBand="1"/>
      </w:tblPr>
      <w:tblGrid>
        <w:gridCol w:w="7200"/>
        <w:gridCol w:w="1370"/>
      </w:tblGrid>
      <w:tr w:rsidR="00997F75" w:rsidRPr="009E35ED" w14:paraId="46AAC85A" w14:textId="77777777" w:rsidTr="00FF441D">
        <w:trPr>
          <w:trHeight w:val="145"/>
        </w:trPr>
        <w:tc>
          <w:tcPr>
            <w:tcW w:w="7200" w:type="dxa"/>
            <w:shd w:val="clear" w:color="auto" w:fill="auto"/>
            <w:noWrap/>
            <w:vAlign w:val="bottom"/>
            <w:hideMark/>
          </w:tcPr>
          <w:p w14:paraId="06DCF507" w14:textId="56AD195B" w:rsidR="00C25C59" w:rsidRPr="009E35ED" w:rsidRDefault="00C25C59" w:rsidP="00FF441D">
            <w:pPr>
              <w:ind w:left="-108"/>
              <w:jc w:val="left"/>
              <w:rPr>
                <w:rFonts w:ascii="Arial Narrow" w:hAnsi="Arial Narrow"/>
                <w:color w:val="000000" w:themeColor="text1"/>
                <w:sz w:val="22"/>
                <w:szCs w:val="22"/>
                <w:lang w:val="en-PH" w:eastAsia="en-PH"/>
              </w:rPr>
            </w:pPr>
            <w:r w:rsidRPr="009E35ED">
              <w:rPr>
                <w:rFonts w:ascii="Arial Narrow" w:hAnsi="Arial Narrow"/>
                <w:color w:val="000000" w:themeColor="text1"/>
                <w:sz w:val="22"/>
                <w:szCs w:val="22"/>
              </w:rPr>
              <w:t xml:space="preserve">Unrestated </w:t>
            </w:r>
            <w:r w:rsidR="006042C4">
              <w:rPr>
                <w:rFonts w:ascii="Arial Narrow" w:hAnsi="Arial Narrow"/>
                <w:color w:val="000000" w:themeColor="text1"/>
                <w:sz w:val="22"/>
                <w:szCs w:val="22"/>
              </w:rPr>
              <w:t>a</w:t>
            </w:r>
            <w:r w:rsidRPr="009E35ED">
              <w:rPr>
                <w:rFonts w:ascii="Arial Narrow" w:hAnsi="Arial Narrow"/>
                <w:color w:val="000000" w:themeColor="text1"/>
                <w:sz w:val="22"/>
                <w:szCs w:val="22"/>
              </w:rPr>
              <w:t>mount as of December 31, 2022</w:t>
            </w:r>
          </w:p>
        </w:tc>
        <w:tc>
          <w:tcPr>
            <w:tcW w:w="1370" w:type="dxa"/>
            <w:shd w:val="clear" w:color="auto" w:fill="auto"/>
            <w:noWrap/>
            <w:vAlign w:val="bottom"/>
            <w:hideMark/>
          </w:tcPr>
          <w:p w14:paraId="65B0B208" w14:textId="2295F99D" w:rsidR="00C25C59" w:rsidRPr="009E35ED" w:rsidRDefault="00C25C59" w:rsidP="00FF441D">
            <w:pPr>
              <w:ind w:left="0" w:right="-96"/>
              <w:jc w:val="right"/>
              <w:rPr>
                <w:rFonts w:ascii="Arial Narrow" w:hAnsi="Arial Narrow" w:cs="Arial"/>
                <w:color w:val="000000" w:themeColor="text1"/>
                <w:sz w:val="22"/>
                <w:szCs w:val="22"/>
                <w:lang w:val="en-PH" w:eastAsia="en-PH"/>
              </w:rPr>
            </w:pPr>
            <w:r w:rsidRPr="009E35ED">
              <w:rPr>
                <w:rFonts w:ascii="Arial Narrow" w:hAnsi="Arial Narrow"/>
                <w:color w:val="000000" w:themeColor="text1"/>
                <w:sz w:val="22"/>
                <w:szCs w:val="22"/>
              </w:rPr>
              <w:t xml:space="preserve"> 7,451,691,630 </w:t>
            </w:r>
          </w:p>
        </w:tc>
      </w:tr>
      <w:tr w:rsidR="00997F75" w:rsidRPr="009E35ED" w14:paraId="2080BF63" w14:textId="77777777" w:rsidTr="00FF441D">
        <w:trPr>
          <w:trHeight w:val="145"/>
        </w:trPr>
        <w:tc>
          <w:tcPr>
            <w:tcW w:w="7200" w:type="dxa"/>
            <w:shd w:val="clear" w:color="auto" w:fill="auto"/>
            <w:noWrap/>
            <w:vAlign w:val="bottom"/>
          </w:tcPr>
          <w:p w14:paraId="6734ABA8" w14:textId="29C9CDA4" w:rsidR="00C25C59" w:rsidRPr="009E35ED" w:rsidRDefault="00C25C59" w:rsidP="00FF441D">
            <w:pPr>
              <w:ind w:left="-108"/>
              <w:jc w:val="left"/>
              <w:rPr>
                <w:rFonts w:ascii="Arial Narrow" w:hAnsi="Arial Narrow" w:cs="Arial"/>
                <w:color w:val="000000" w:themeColor="text1"/>
                <w:sz w:val="22"/>
                <w:szCs w:val="22"/>
              </w:rPr>
            </w:pPr>
            <w:r w:rsidRPr="009E35ED">
              <w:rPr>
                <w:rFonts w:ascii="Arial Narrow" w:hAnsi="Arial Narrow"/>
                <w:color w:val="000000" w:themeColor="text1"/>
                <w:sz w:val="22"/>
                <w:szCs w:val="22"/>
              </w:rPr>
              <w:t xml:space="preserve">Adjustment/Recording of </w:t>
            </w:r>
            <w:r w:rsidR="006042C4">
              <w:rPr>
                <w:rFonts w:ascii="Arial Narrow" w:hAnsi="Arial Narrow"/>
                <w:color w:val="000000" w:themeColor="text1"/>
                <w:sz w:val="22"/>
                <w:szCs w:val="22"/>
              </w:rPr>
              <w:t>t</w:t>
            </w:r>
            <w:r w:rsidRPr="009E35ED">
              <w:rPr>
                <w:rFonts w:ascii="Arial Narrow" w:hAnsi="Arial Narrow"/>
                <w:color w:val="000000" w:themeColor="text1"/>
                <w:sz w:val="22"/>
                <w:szCs w:val="22"/>
              </w:rPr>
              <w:t xml:space="preserve">axes, </w:t>
            </w:r>
            <w:r w:rsidR="006042C4">
              <w:rPr>
                <w:rFonts w:ascii="Arial Narrow" w:hAnsi="Arial Narrow"/>
                <w:color w:val="000000" w:themeColor="text1"/>
                <w:sz w:val="22"/>
                <w:szCs w:val="22"/>
              </w:rPr>
              <w:t>d</w:t>
            </w:r>
            <w:r w:rsidRPr="009E35ED">
              <w:rPr>
                <w:rFonts w:ascii="Arial Narrow" w:hAnsi="Arial Narrow"/>
                <w:color w:val="000000" w:themeColor="text1"/>
                <w:sz w:val="22"/>
                <w:szCs w:val="22"/>
              </w:rPr>
              <w:t xml:space="preserve">uties, and </w:t>
            </w:r>
            <w:r w:rsidR="006042C4">
              <w:rPr>
                <w:rFonts w:ascii="Arial Narrow" w:hAnsi="Arial Narrow"/>
                <w:color w:val="000000" w:themeColor="text1"/>
                <w:sz w:val="22"/>
                <w:szCs w:val="22"/>
              </w:rPr>
              <w:t>l</w:t>
            </w:r>
            <w:r w:rsidRPr="009E35ED">
              <w:rPr>
                <w:rFonts w:ascii="Arial Narrow" w:hAnsi="Arial Narrow"/>
                <w:color w:val="000000" w:themeColor="text1"/>
                <w:sz w:val="22"/>
                <w:szCs w:val="22"/>
              </w:rPr>
              <w:t>icenses</w:t>
            </w:r>
          </w:p>
        </w:tc>
        <w:tc>
          <w:tcPr>
            <w:tcW w:w="1370" w:type="dxa"/>
            <w:shd w:val="clear" w:color="auto" w:fill="auto"/>
            <w:noWrap/>
            <w:vAlign w:val="bottom"/>
          </w:tcPr>
          <w:p w14:paraId="6AAA40B1" w14:textId="696CE40A" w:rsidR="00C25C59" w:rsidRPr="009E35ED" w:rsidRDefault="00C25C59" w:rsidP="00FF441D">
            <w:pPr>
              <w:ind w:left="0" w:right="-96"/>
              <w:jc w:val="right"/>
              <w:rPr>
                <w:rFonts w:ascii="Arial Narrow" w:hAnsi="Arial Narrow" w:cs="Arial"/>
                <w:color w:val="000000" w:themeColor="text1"/>
                <w:sz w:val="22"/>
                <w:szCs w:val="22"/>
              </w:rPr>
            </w:pPr>
            <w:r w:rsidRPr="009E35ED">
              <w:rPr>
                <w:rFonts w:ascii="Arial Narrow" w:hAnsi="Arial Narrow"/>
                <w:color w:val="000000" w:themeColor="text1"/>
                <w:sz w:val="22"/>
                <w:szCs w:val="22"/>
              </w:rPr>
              <w:t xml:space="preserve">(5,965) </w:t>
            </w:r>
          </w:p>
        </w:tc>
      </w:tr>
      <w:tr w:rsidR="00997F75" w:rsidRPr="009E35ED" w14:paraId="30C2A4FB" w14:textId="77777777" w:rsidTr="00FF441D">
        <w:trPr>
          <w:trHeight w:val="106"/>
        </w:trPr>
        <w:tc>
          <w:tcPr>
            <w:tcW w:w="7200" w:type="dxa"/>
            <w:tcBorders>
              <w:bottom w:val="single" w:sz="4" w:space="0" w:color="auto"/>
            </w:tcBorders>
            <w:shd w:val="clear" w:color="auto" w:fill="auto"/>
            <w:noWrap/>
            <w:vAlign w:val="bottom"/>
          </w:tcPr>
          <w:p w14:paraId="20D510AB" w14:textId="7DD342B1" w:rsidR="00C25C59" w:rsidRPr="009E35ED" w:rsidRDefault="00C25C59" w:rsidP="00FF441D">
            <w:pPr>
              <w:ind w:left="-108"/>
              <w:jc w:val="left"/>
              <w:rPr>
                <w:rFonts w:ascii="Arial Narrow" w:hAnsi="Arial Narrow" w:cs="Calibri"/>
                <w:color w:val="000000" w:themeColor="text1"/>
                <w:sz w:val="22"/>
                <w:szCs w:val="22"/>
              </w:rPr>
            </w:pPr>
            <w:r w:rsidRPr="009E35ED">
              <w:rPr>
                <w:rFonts w:ascii="Arial Narrow" w:hAnsi="Arial Narrow"/>
                <w:color w:val="000000" w:themeColor="text1"/>
                <w:sz w:val="22"/>
                <w:szCs w:val="22"/>
              </w:rPr>
              <w:t xml:space="preserve">Adjustment/Recording of </w:t>
            </w:r>
            <w:r w:rsidR="006042C4">
              <w:rPr>
                <w:rFonts w:ascii="Arial Narrow" w:hAnsi="Arial Narrow"/>
                <w:color w:val="000000" w:themeColor="text1"/>
                <w:sz w:val="22"/>
                <w:szCs w:val="22"/>
              </w:rPr>
              <w:t>o</w:t>
            </w:r>
            <w:r w:rsidRPr="009E35ED">
              <w:rPr>
                <w:rFonts w:ascii="Arial Narrow" w:hAnsi="Arial Narrow"/>
                <w:color w:val="000000" w:themeColor="text1"/>
                <w:sz w:val="22"/>
                <w:szCs w:val="22"/>
              </w:rPr>
              <w:t xml:space="preserve">ther </w:t>
            </w:r>
            <w:r w:rsidR="006042C4">
              <w:rPr>
                <w:rFonts w:ascii="Arial Narrow" w:hAnsi="Arial Narrow"/>
                <w:color w:val="000000" w:themeColor="text1"/>
                <w:sz w:val="22"/>
                <w:szCs w:val="22"/>
              </w:rPr>
              <w:t>f</w:t>
            </w:r>
            <w:r w:rsidRPr="009E35ED">
              <w:rPr>
                <w:rFonts w:ascii="Arial Narrow" w:hAnsi="Arial Narrow"/>
                <w:color w:val="000000" w:themeColor="text1"/>
                <w:sz w:val="22"/>
                <w:szCs w:val="22"/>
              </w:rPr>
              <w:t xml:space="preserve">inancial </w:t>
            </w:r>
            <w:r w:rsidR="006042C4">
              <w:rPr>
                <w:rFonts w:ascii="Arial Narrow" w:hAnsi="Arial Narrow"/>
                <w:color w:val="000000" w:themeColor="text1"/>
                <w:sz w:val="22"/>
                <w:szCs w:val="22"/>
              </w:rPr>
              <w:t>c</w:t>
            </w:r>
            <w:r w:rsidRPr="009E35ED">
              <w:rPr>
                <w:rFonts w:ascii="Arial Narrow" w:hAnsi="Arial Narrow"/>
                <w:color w:val="000000" w:themeColor="text1"/>
                <w:sz w:val="22"/>
                <w:szCs w:val="22"/>
              </w:rPr>
              <w:t>harges</w:t>
            </w:r>
          </w:p>
        </w:tc>
        <w:tc>
          <w:tcPr>
            <w:tcW w:w="1370" w:type="dxa"/>
            <w:tcBorders>
              <w:bottom w:val="single" w:sz="4" w:space="0" w:color="auto"/>
            </w:tcBorders>
            <w:shd w:val="clear" w:color="auto" w:fill="auto"/>
            <w:noWrap/>
            <w:vAlign w:val="bottom"/>
          </w:tcPr>
          <w:p w14:paraId="28ED4025" w14:textId="45F2A58B" w:rsidR="00C25C59" w:rsidRPr="009E35ED" w:rsidRDefault="00C25C59" w:rsidP="00FF441D">
            <w:pPr>
              <w:ind w:left="0" w:right="-96"/>
              <w:jc w:val="right"/>
              <w:rPr>
                <w:rFonts w:ascii="Arial Narrow" w:hAnsi="Arial Narrow"/>
                <w:color w:val="000000" w:themeColor="text1"/>
                <w:sz w:val="22"/>
                <w:szCs w:val="22"/>
              </w:rPr>
            </w:pPr>
            <w:r w:rsidRPr="009E35ED">
              <w:rPr>
                <w:rFonts w:ascii="Arial Narrow" w:hAnsi="Arial Narrow"/>
                <w:color w:val="000000" w:themeColor="text1"/>
                <w:sz w:val="22"/>
                <w:szCs w:val="22"/>
              </w:rPr>
              <w:t xml:space="preserve"> 3,</w:t>
            </w:r>
            <w:r w:rsidR="001C262B" w:rsidRPr="009E35ED">
              <w:rPr>
                <w:rFonts w:ascii="Arial Narrow" w:hAnsi="Arial Narrow"/>
                <w:color w:val="000000" w:themeColor="text1"/>
                <w:sz w:val="22"/>
                <w:szCs w:val="22"/>
              </w:rPr>
              <w:t>0</w:t>
            </w:r>
            <w:r w:rsidRPr="009E35ED">
              <w:rPr>
                <w:rFonts w:ascii="Arial Narrow" w:hAnsi="Arial Narrow"/>
                <w:color w:val="000000" w:themeColor="text1"/>
                <w:sz w:val="22"/>
                <w:szCs w:val="22"/>
              </w:rPr>
              <w:t xml:space="preserve">00 </w:t>
            </w:r>
          </w:p>
        </w:tc>
      </w:tr>
      <w:tr w:rsidR="00AE6B73" w:rsidRPr="009E35ED" w14:paraId="68417531" w14:textId="77777777" w:rsidTr="00FF441D">
        <w:trPr>
          <w:trHeight w:val="242"/>
        </w:trPr>
        <w:tc>
          <w:tcPr>
            <w:tcW w:w="7200" w:type="dxa"/>
            <w:tcBorders>
              <w:top w:val="single" w:sz="4" w:space="0" w:color="auto"/>
              <w:bottom w:val="double" w:sz="4" w:space="0" w:color="auto"/>
            </w:tcBorders>
            <w:shd w:val="clear" w:color="auto" w:fill="auto"/>
            <w:noWrap/>
            <w:hideMark/>
          </w:tcPr>
          <w:p w14:paraId="36400D59" w14:textId="239D2195" w:rsidR="00C25C59" w:rsidRPr="009E35ED" w:rsidRDefault="00C25C59" w:rsidP="00FF441D">
            <w:pPr>
              <w:ind w:left="-108"/>
              <w:jc w:val="left"/>
              <w:rPr>
                <w:rFonts w:ascii="Arial Narrow" w:hAnsi="Arial Narrow" w:cs="Arial"/>
                <w:b/>
                <w:bCs/>
                <w:color w:val="000000" w:themeColor="text1"/>
                <w:sz w:val="22"/>
                <w:szCs w:val="22"/>
                <w:lang w:val="en-PH" w:eastAsia="en-PH"/>
              </w:rPr>
            </w:pPr>
            <w:r w:rsidRPr="009E35ED">
              <w:rPr>
                <w:rFonts w:ascii="Arial Narrow" w:hAnsi="Arial Narrow"/>
                <w:b/>
                <w:bCs/>
                <w:color w:val="000000" w:themeColor="text1"/>
                <w:sz w:val="22"/>
                <w:szCs w:val="22"/>
              </w:rPr>
              <w:t>Restated Amount as of December 31, 2022 - Other Deposits</w:t>
            </w:r>
          </w:p>
        </w:tc>
        <w:tc>
          <w:tcPr>
            <w:tcW w:w="1370" w:type="dxa"/>
            <w:tcBorders>
              <w:top w:val="single" w:sz="4" w:space="0" w:color="auto"/>
              <w:bottom w:val="double" w:sz="4" w:space="0" w:color="auto"/>
            </w:tcBorders>
            <w:shd w:val="clear" w:color="auto" w:fill="auto"/>
            <w:noWrap/>
            <w:hideMark/>
          </w:tcPr>
          <w:p w14:paraId="524CD2D7" w14:textId="3A7C19B2" w:rsidR="00C25C59" w:rsidRPr="009E35ED" w:rsidRDefault="00C25C59" w:rsidP="00FF441D">
            <w:pPr>
              <w:ind w:left="0" w:right="-96"/>
              <w:jc w:val="right"/>
              <w:rPr>
                <w:rFonts w:ascii="Arial Narrow" w:hAnsi="Arial Narrow" w:cs="Arial"/>
                <w:b/>
                <w:bCs/>
                <w:color w:val="000000" w:themeColor="text1"/>
                <w:sz w:val="22"/>
                <w:szCs w:val="22"/>
                <w:lang w:val="en-PH" w:eastAsia="en-PH"/>
              </w:rPr>
            </w:pPr>
            <w:r w:rsidRPr="009E35ED">
              <w:rPr>
                <w:rFonts w:ascii="Arial Narrow" w:hAnsi="Arial Narrow"/>
                <w:b/>
                <w:bCs/>
                <w:color w:val="000000" w:themeColor="text1"/>
                <w:sz w:val="22"/>
                <w:szCs w:val="22"/>
              </w:rPr>
              <w:t xml:space="preserve">7,451,688,665 </w:t>
            </w:r>
          </w:p>
        </w:tc>
      </w:tr>
    </w:tbl>
    <w:p w14:paraId="76C4C29B" w14:textId="2A394AB7" w:rsidR="00C2059B" w:rsidRPr="009E35ED" w:rsidRDefault="00C2059B" w:rsidP="00803F8C">
      <w:pPr>
        <w:suppressAutoHyphens/>
        <w:ind w:left="0"/>
        <w:rPr>
          <w:rFonts w:ascii="Arial" w:hAnsi="Arial" w:cs="Arial"/>
          <w:bCs/>
          <w:color w:val="000000" w:themeColor="text1"/>
          <w:sz w:val="22"/>
          <w:szCs w:val="22"/>
          <w:lang w:eastAsia="ar-SA"/>
        </w:rPr>
      </w:pPr>
    </w:p>
    <w:p w14:paraId="72F42445" w14:textId="1B206A72" w:rsidR="008A565F" w:rsidRPr="009E35ED" w:rsidRDefault="008A565F" w:rsidP="00803F8C">
      <w:pPr>
        <w:suppressAutoHyphens/>
        <w:ind w:left="0"/>
        <w:rPr>
          <w:rFonts w:ascii="Arial" w:hAnsi="Arial" w:cs="Arial"/>
          <w:bCs/>
          <w:color w:val="000000" w:themeColor="text1"/>
          <w:sz w:val="22"/>
          <w:szCs w:val="22"/>
          <w:lang w:eastAsia="ar-SA"/>
        </w:rPr>
      </w:pPr>
    </w:p>
    <w:p w14:paraId="16D3ADB5" w14:textId="6CFE3D44" w:rsidR="007B7640" w:rsidRPr="009E35ED" w:rsidRDefault="007B7640" w:rsidP="00803F8C">
      <w:pPr>
        <w:suppressAutoHyphens/>
        <w:ind w:left="0"/>
        <w:rPr>
          <w:rFonts w:ascii="Arial" w:hAnsi="Arial" w:cs="Arial"/>
          <w:bCs/>
          <w:color w:val="000000" w:themeColor="text1"/>
          <w:sz w:val="22"/>
          <w:szCs w:val="22"/>
          <w:lang w:eastAsia="ar-SA"/>
        </w:rPr>
      </w:pPr>
    </w:p>
    <w:p w14:paraId="02E4BE39" w14:textId="77777777" w:rsidR="00572AF6" w:rsidRPr="009E35ED" w:rsidRDefault="009F61D0" w:rsidP="00B90388">
      <w:pPr>
        <w:pStyle w:val="ListParagraph"/>
        <w:keepNext/>
        <w:keepLines/>
        <w:numPr>
          <w:ilvl w:val="0"/>
          <w:numId w:val="13"/>
        </w:numPr>
        <w:ind w:left="540" w:hanging="630"/>
        <w:rPr>
          <w:rFonts w:ascii="Arial" w:hAnsi="Arial" w:cs="Arial"/>
          <w:color w:val="000000" w:themeColor="text1"/>
          <w:sz w:val="22"/>
          <w:szCs w:val="22"/>
        </w:rPr>
      </w:pPr>
      <w:r w:rsidRPr="009E35ED">
        <w:rPr>
          <w:rFonts w:ascii="Arial" w:hAnsi="Arial" w:cs="Arial"/>
          <w:b/>
          <w:color w:val="000000" w:themeColor="text1"/>
          <w:sz w:val="22"/>
          <w:szCs w:val="22"/>
        </w:rPr>
        <w:t>TAXES</w:t>
      </w:r>
    </w:p>
    <w:p w14:paraId="1C623EB7" w14:textId="77777777" w:rsidR="008B348A" w:rsidRPr="009E35ED" w:rsidRDefault="008B348A" w:rsidP="00B90388">
      <w:pPr>
        <w:keepNext/>
        <w:keepLines/>
        <w:ind w:left="0"/>
        <w:rPr>
          <w:rFonts w:ascii="Arial" w:hAnsi="Arial" w:cs="Arial"/>
          <w:color w:val="000000" w:themeColor="text1"/>
          <w:sz w:val="22"/>
          <w:szCs w:val="22"/>
        </w:rPr>
      </w:pPr>
    </w:p>
    <w:p w14:paraId="000CBA32" w14:textId="77777777" w:rsidR="00572AF6" w:rsidRPr="009E35ED" w:rsidRDefault="008B348A" w:rsidP="00B90388">
      <w:pPr>
        <w:pStyle w:val="Style2"/>
        <w:keepNext/>
        <w:keepLines/>
        <w:numPr>
          <w:ilvl w:val="0"/>
          <w:numId w:val="0"/>
        </w:numPr>
        <w:spacing w:after="0" w:line="240" w:lineRule="auto"/>
        <w:rPr>
          <w:rFonts w:ascii="Arial" w:hAnsi="Arial" w:cs="Arial"/>
          <w:color w:val="000000" w:themeColor="text1"/>
          <w:sz w:val="22"/>
          <w:szCs w:val="22"/>
        </w:rPr>
      </w:pPr>
      <w:r w:rsidRPr="009E35ED">
        <w:rPr>
          <w:rFonts w:ascii="Arial" w:hAnsi="Arial" w:cs="Arial"/>
          <w:color w:val="000000" w:themeColor="text1"/>
          <w:sz w:val="22"/>
          <w:szCs w:val="22"/>
        </w:rPr>
        <w:t>Income Tax Expense</w:t>
      </w:r>
    </w:p>
    <w:p w14:paraId="034FADC4" w14:textId="77777777" w:rsidR="008B348A" w:rsidRPr="009E35ED" w:rsidRDefault="008B348A" w:rsidP="00B90388">
      <w:pPr>
        <w:keepNext/>
        <w:keepLines/>
        <w:ind w:left="1440"/>
        <w:rPr>
          <w:rFonts w:ascii="Arial" w:hAnsi="Arial" w:cs="Arial"/>
          <w:color w:val="000000" w:themeColor="text1"/>
          <w:sz w:val="22"/>
          <w:szCs w:val="22"/>
        </w:rPr>
      </w:pPr>
    </w:p>
    <w:p w14:paraId="22C9E204" w14:textId="7628D089" w:rsidR="00DD76BE" w:rsidRPr="009E35ED" w:rsidRDefault="008B348A" w:rsidP="00B90388">
      <w:pPr>
        <w:keepNext/>
        <w:keepLines/>
        <w:ind w:left="-90" w:firstLine="90"/>
        <w:rPr>
          <w:rFonts w:ascii="Arial" w:hAnsi="Arial" w:cs="Arial"/>
          <w:color w:val="000000" w:themeColor="text1"/>
          <w:sz w:val="22"/>
          <w:szCs w:val="22"/>
        </w:rPr>
      </w:pPr>
      <w:r w:rsidRPr="009E35ED">
        <w:rPr>
          <w:rFonts w:ascii="Arial" w:hAnsi="Arial" w:cs="Arial"/>
          <w:color w:val="000000" w:themeColor="text1"/>
          <w:sz w:val="22"/>
          <w:szCs w:val="22"/>
        </w:rPr>
        <w:t xml:space="preserve">This account consists </w:t>
      </w:r>
      <w:r w:rsidR="009D7990">
        <w:rPr>
          <w:rFonts w:ascii="Arial" w:hAnsi="Arial" w:cs="Arial"/>
          <w:color w:val="000000" w:themeColor="text1"/>
          <w:sz w:val="22"/>
          <w:szCs w:val="22"/>
        </w:rPr>
        <w:t>the</w:t>
      </w:r>
      <w:r w:rsidR="009D7990" w:rsidRPr="009E35ED">
        <w:rPr>
          <w:rFonts w:ascii="Arial" w:hAnsi="Arial" w:cs="Arial"/>
          <w:color w:val="000000" w:themeColor="text1"/>
          <w:sz w:val="22"/>
          <w:szCs w:val="22"/>
        </w:rPr>
        <w:t xml:space="preserve"> </w:t>
      </w:r>
      <w:r w:rsidRPr="009E35ED">
        <w:rPr>
          <w:rFonts w:ascii="Arial" w:hAnsi="Arial" w:cs="Arial"/>
          <w:color w:val="000000" w:themeColor="text1"/>
          <w:sz w:val="22"/>
          <w:szCs w:val="22"/>
        </w:rPr>
        <w:t>provisions for income taxes for:</w:t>
      </w:r>
    </w:p>
    <w:p w14:paraId="35F08239" w14:textId="77777777" w:rsidR="00572AF6" w:rsidRPr="009E35ED" w:rsidRDefault="00572AF6" w:rsidP="00803F8C">
      <w:pPr>
        <w:ind w:left="-90"/>
        <w:rPr>
          <w:rFonts w:ascii="Arial" w:hAnsi="Arial" w:cs="Arial"/>
          <w:color w:val="000000" w:themeColor="text1"/>
          <w:sz w:val="22"/>
          <w:szCs w:val="22"/>
        </w:rPr>
      </w:pPr>
    </w:p>
    <w:tbl>
      <w:tblPr>
        <w:tblW w:w="8497" w:type="dxa"/>
        <w:tblLook w:val="04A0" w:firstRow="1" w:lastRow="0" w:firstColumn="1" w:lastColumn="0" w:noHBand="0" w:noVBand="1"/>
      </w:tblPr>
      <w:tblGrid>
        <w:gridCol w:w="3420"/>
        <w:gridCol w:w="2951"/>
        <w:gridCol w:w="2126"/>
      </w:tblGrid>
      <w:tr w:rsidR="00997F75" w:rsidRPr="009E35ED" w14:paraId="3F61FCFF" w14:textId="77777777" w:rsidTr="00FF441D">
        <w:trPr>
          <w:trHeight w:val="292"/>
        </w:trPr>
        <w:tc>
          <w:tcPr>
            <w:tcW w:w="3420" w:type="dxa"/>
            <w:tcBorders>
              <w:top w:val="single" w:sz="4" w:space="0" w:color="auto"/>
              <w:bottom w:val="single" w:sz="4" w:space="0" w:color="auto"/>
            </w:tcBorders>
            <w:shd w:val="clear" w:color="auto" w:fill="auto"/>
            <w:vAlign w:val="center"/>
            <w:hideMark/>
          </w:tcPr>
          <w:p w14:paraId="5CC00E80" w14:textId="77777777" w:rsidR="00046232" w:rsidRPr="009E35ED" w:rsidRDefault="00046232" w:rsidP="00046232">
            <w:pPr>
              <w:ind w:left="0"/>
              <w:rPr>
                <w:rFonts w:ascii="Arial Narrow" w:hAnsi="Arial Narrow" w:cs="Calibri"/>
                <w:color w:val="000000" w:themeColor="text1"/>
                <w:sz w:val="22"/>
                <w:szCs w:val="22"/>
              </w:rPr>
            </w:pPr>
            <w:r w:rsidRPr="009E35ED">
              <w:rPr>
                <w:rFonts w:ascii="Arial Narrow" w:hAnsi="Arial Narrow" w:cs="Calibri"/>
                <w:color w:val="000000" w:themeColor="text1"/>
                <w:sz w:val="22"/>
                <w:szCs w:val="22"/>
              </w:rPr>
              <w:t> </w:t>
            </w:r>
          </w:p>
        </w:tc>
        <w:tc>
          <w:tcPr>
            <w:tcW w:w="2951" w:type="dxa"/>
            <w:tcBorders>
              <w:top w:val="single" w:sz="4" w:space="0" w:color="auto"/>
              <w:bottom w:val="single" w:sz="4" w:space="0" w:color="auto"/>
            </w:tcBorders>
            <w:shd w:val="clear" w:color="auto" w:fill="auto"/>
            <w:vAlign w:val="center"/>
            <w:hideMark/>
          </w:tcPr>
          <w:p w14:paraId="4EF93BEF" w14:textId="6A04BEF1" w:rsidR="00046232" w:rsidRPr="009E35ED" w:rsidRDefault="00046232" w:rsidP="00046232">
            <w:pPr>
              <w:ind w:left="0" w:firstLineChars="500" w:firstLine="1100"/>
              <w:jc w:val="right"/>
              <w:rPr>
                <w:rFonts w:ascii="Arial Narrow" w:hAnsi="Arial Narrow" w:cs="Calibri"/>
                <w:b/>
                <w:bCs/>
                <w:color w:val="000000" w:themeColor="text1"/>
                <w:sz w:val="22"/>
                <w:szCs w:val="22"/>
              </w:rPr>
            </w:pPr>
            <w:r w:rsidRPr="009E35ED">
              <w:rPr>
                <w:rFonts w:ascii="Arial Narrow" w:hAnsi="Arial Narrow" w:cs="Calibri"/>
                <w:b/>
                <w:bCs/>
                <w:color w:val="000000" w:themeColor="text1"/>
                <w:sz w:val="22"/>
                <w:szCs w:val="22"/>
              </w:rPr>
              <w:t>202</w:t>
            </w:r>
            <w:r w:rsidR="005B674C" w:rsidRPr="009E35ED">
              <w:rPr>
                <w:rFonts w:ascii="Arial Narrow" w:hAnsi="Arial Narrow" w:cs="Calibri"/>
                <w:b/>
                <w:bCs/>
                <w:color w:val="000000" w:themeColor="text1"/>
                <w:sz w:val="22"/>
                <w:szCs w:val="22"/>
              </w:rPr>
              <w:t>3</w:t>
            </w:r>
          </w:p>
        </w:tc>
        <w:tc>
          <w:tcPr>
            <w:tcW w:w="2126" w:type="dxa"/>
            <w:tcBorders>
              <w:top w:val="single" w:sz="4" w:space="0" w:color="auto"/>
              <w:bottom w:val="single" w:sz="4" w:space="0" w:color="auto"/>
            </w:tcBorders>
            <w:shd w:val="clear" w:color="auto" w:fill="auto"/>
            <w:hideMark/>
          </w:tcPr>
          <w:p w14:paraId="4A7D2E31" w14:textId="34E99579" w:rsidR="00046232" w:rsidRPr="009E35ED" w:rsidRDefault="00046232" w:rsidP="00FF441D">
            <w:pPr>
              <w:ind w:left="368" w:right="-71" w:firstLineChars="333" w:firstLine="733"/>
              <w:jc w:val="right"/>
              <w:rPr>
                <w:rFonts w:ascii="Arial Narrow" w:hAnsi="Arial Narrow" w:cs="Calibri"/>
                <w:b/>
                <w:bCs/>
                <w:color w:val="000000" w:themeColor="text1"/>
                <w:sz w:val="22"/>
                <w:szCs w:val="22"/>
              </w:rPr>
            </w:pPr>
            <w:r w:rsidRPr="009E35ED">
              <w:rPr>
                <w:rFonts w:ascii="Arial Narrow" w:hAnsi="Arial Narrow"/>
                <w:b/>
                <w:color w:val="000000" w:themeColor="text1"/>
                <w:sz w:val="22"/>
                <w:szCs w:val="22"/>
              </w:rPr>
              <w:t>202</w:t>
            </w:r>
            <w:r w:rsidR="005B674C" w:rsidRPr="009E35ED">
              <w:rPr>
                <w:rFonts w:ascii="Arial Narrow" w:hAnsi="Arial Narrow"/>
                <w:b/>
                <w:color w:val="000000" w:themeColor="text1"/>
                <w:sz w:val="22"/>
                <w:szCs w:val="22"/>
              </w:rPr>
              <w:t>2</w:t>
            </w:r>
          </w:p>
        </w:tc>
      </w:tr>
      <w:tr w:rsidR="001C613D" w:rsidRPr="009E35ED" w14:paraId="4B052BC0" w14:textId="77777777" w:rsidTr="00FF441D">
        <w:trPr>
          <w:trHeight w:val="279"/>
        </w:trPr>
        <w:tc>
          <w:tcPr>
            <w:tcW w:w="3420" w:type="dxa"/>
            <w:tcBorders>
              <w:top w:val="single" w:sz="4" w:space="0" w:color="auto"/>
              <w:left w:val="nil"/>
              <w:bottom w:val="nil"/>
              <w:right w:val="nil"/>
            </w:tcBorders>
            <w:shd w:val="clear" w:color="auto" w:fill="auto"/>
            <w:vAlign w:val="center"/>
            <w:hideMark/>
          </w:tcPr>
          <w:p w14:paraId="2D338B65" w14:textId="77777777" w:rsidR="001C613D" w:rsidRPr="009E35ED" w:rsidRDefault="001C613D" w:rsidP="00FF441D">
            <w:pPr>
              <w:ind w:left="-108"/>
              <w:rPr>
                <w:rFonts w:ascii="Arial Narrow" w:hAnsi="Arial Narrow" w:cs="Calibri"/>
                <w:color w:val="000000" w:themeColor="text1"/>
                <w:sz w:val="22"/>
                <w:szCs w:val="22"/>
              </w:rPr>
            </w:pPr>
            <w:r w:rsidRPr="009E35ED">
              <w:rPr>
                <w:rFonts w:ascii="Arial Narrow" w:hAnsi="Arial Narrow" w:cs="Calibri"/>
                <w:color w:val="000000" w:themeColor="text1"/>
                <w:sz w:val="22"/>
                <w:szCs w:val="22"/>
              </w:rPr>
              <w:t>Income tax expense - current</w:t>
            </w:r>
          </w:p>
        </w:tc>
        <w:tc>
          <w:tcPr>
            <w:tcW w:w="2951" w:type="dxa"/>
            <w:tcBorders>
              <w:top w:val="single" w:sz="4" w:space="0" w:color="auto"/>
              <w:left w:val="nil"/>
              <w:bottom w:val="nil"/>
              <w:right w:val="nil"/>
            </w:tcBorders>
            <w:shd w:val="clear" w:color="auto" w:fill="auto"/>
          </w:tcPr>
          <w:p w14:paraId="2D77637B" w14:textId="5A941FB3" w:rsidR="001C613D" w:rsidRPr="009E35ED" w:rsidRDefault="001C613D" w:rsidP="00166F1B">
            <w:pPr>
              <w:ind w:left="0"/>
              <w:jc w:val="right"/>
              <w:rPr>
                <w:rFonts w:ascii="Arial Narrow" w:hAnsi="Arial Narrow" w:cs="Calibri"/>
                <w:color w:val="000000" w:themeColor="text1"/>
                <w:sz w:val="22"/>
                <w:szCs w:val="22"/>
              </w:rPr>
            </w:pPr>
            <w:r w:rsidRPr="009E35ED">
              <w:rPr>
                <w:rFonts w:ascii="Arial Narrow" w:hAnsi="Arial Narrow"/>
                <w:sz w:val="22"/>
                <w:szCs w:val="22"/>
              </w:rPr>
              <w:t xml:space="preserve"> 1,</w:t>
            </w:r>
            <w:r w:rsidR="00166F1B" w:rsidRPr="009E35ED">
              <w:rPr>
                <w:rFonts w:ascii="Arial Narrow" w:hAnsi="Arial Narrow"/>
                <w:sz w:val="22"/>
                <w:szCs w:val="22"/>
              </w:rPr>
              <w:t>597,654,845</w:t>
            </w:r>
            <w:r w:rsidRPr="009E35ED">
              <w:rPr>
                <w:rFonts w:ascii="Arial Narrow" w:hAnsi="Arial Narrow"/>
                <w:sz w:val="22"/>
                <w:szCs w:val="22"/>
              </w:rPr>
              <w:t xml:space="preserve"> </w:t>
            </w:r>
          </w:p>
        </w:tc>
        <w:tc>
          <w:tcPr>
            <w:tcW w:w="2126" w:type="dxa"/>
            <w:tcBorders>
              <w:top w:val="single" w:sz="4" w:space="0" w:color="auto"/>
              <w:left w:val="nil"/>
              <w:bottom w:val="nil"/>
              <w:right w:val="nil"/>
            </w:tcBorders>
            <w:shd w:val="clear" w:color="auto" w:fill="auto"/>
            <w:hideMark/>
          </w:tcPr>
          <w:p w14:paraId="58302B97" w14:textId="55894CCA" w:rsidR="001C613D" w:rsidRPr="009E35ED" w:rsidRDefault="001C613D" w:rsidP="00FF441D">
            <w:pPr>
              <w:ind w:left="0" w:right="-71"/>
              <w:jc w:val="right"/>
              <w:rPr>
                <w:rFonts w:ascii="Arial Narrow" w:hAnsi="Arial Narrow" w:cs="Calibri"/>
                <w:color w:val="000000" w:themeColor="text1"/>
                <w:sz w:val="22"/>
                <w:szCs w:val="22"/>
              </w:rPr>
            </w:pPr>
            <w:r w:rsidRPr="009E35ED">
              <w:rPr>
                <w:rFonts w:ascii="Arial Narrow" w:hAnsi="Arial Narrow"/>
                <w:color w:val="000000" w:themeColor="text1"/>
                <w:sz w:val="22"/>
                <w:szCs w:val="22"/>
              </w:rPr>
              <w:t xml:space="preserve"> 1,840,816,383 </w:t>
            </w:r>
          </w:p>
        </w:tc>
      </w:tr>
      <w:tr w:rsidR="001C613D" w:rsidRPr="009E35ED" w14:paraId="697FA705" w14:textId="77777777" w:rsidTr="00FF441D">
        <w:trPr>
          <w:trHeight w:val="292"/>
        </w:trPr>
        <w:tc>
          <w:tcPr>
            <w:tcW w:w="3420" w:type="dxa"/>
            <w:tcBorders>
              <w:top w:val="nil"/>
              <w:left w:val="nil"/>
              <w:bottom w:val="nil"/>
              <w:right w:val="nil"/>
            </w:tcBorders>
            <w:shd w:val="clear" w:color="auto" w:fill="auto"/>
            <w:vAlign w:val="center"/>
            <w:hideMark/>
          </w:tcPr>
          <w:p w14:paraId="206C542C" w14:textId="77777777" w:rsidR="001C613D" w:rsidRPr="009E35ED" w:rsidRDefault="001C613D" w:rsidP="00FF441D">
            <w:pPr>
              <w:ind w:left="-108"/>
              <w:rPr>
                <w:rFonts w:ascii="Arial Narrow" w:hAnsi="Arial Narrow" w:cs="Calibri"/>
                <w:color w:val="000000" w:themeColor="text1"/>
                <w:sz w:val="22"/>
                <w:szCs w:val="22"/>
              </w:rPr>
            </w:pPr>
            <w:r w:rsidRPr="009E35ED">
              <w:rPr>
                <w:rFonts w:ascii="Arial Narrow" w:hAnsi="Arial Narrow" w:cs="Calibri"/>
                <w:color w:val="000000" w:themeColor="text1"/>
                <w:sz w:val="22"/>
                <w:szCs w:val="22"/>
              </w:rPr>
              <w:t>Income tax expense - deferred</w:t>
            </w:r>
          </w:p>
        </w:tc>
        <w:tc>
          <w:tcPr>
            <w:tcW w:w="2951" w:type="dxa"/>
            <w:tcBorders>
              <w:top w:val="nil"/>
              <w:left w:val="nil"/>
              <w:bottom w:val="nil"/>
              <w:right w:val="nil"/>
            </w:tcBorders>
            <w:shd w:val="clear" w:color="auto" w:fill="auto"/>
          </w:tcPr>
          <w:p w14:paraId="76E5D347" w14:textId="22F7C765" w:rsidR="001C613D" w:rsidRPr="009E35ED" w:rsidRDefault="001C613D" w:rsidP="001C613D">
            <w:pPr>
              <w:ind w:left="0"/>
              <w:jc w:val="right"/>
              <w:rPr>
                <w:rFonts w:ascii="Arial Narrow" w:hAnsi="Arial Narrow" w:cs="Calibri"/>
                <w:color w:val="000000" w:themeColor="text1"/>
                <w:sz w:val="22"/>
                <w:szCs w:val="22"/>
              </w:rPr>
            </w:pPr>
            <w:r w:rsidRPr="009E35ED">
              <w:rPr>
                <w:rFonts w:ascii="Arial Narrow" w:hAnsi="Arial Narrow"/>
                <w:sz w:val="22"/>
                <w:szCs w:val="22"/>
              </w:rPr>
              <w:t xml:space="preserve">(195,478,716) </w:t>
            </w:r>
          </w:p>
        </w:tc>
        <w:tc>
          <w:tcPr>
            <w:tcW w:w="2126" w:type="dxa"/>
            <w:tcBorders>
              <w:top w:val="nil"/>
              <w:left w:val="nil"/>
              <w:bottom w:val="nil"/>
              <w:right w:val="nil"/>
            </w:tcBorders>
            <w:shd w:val="clear" w:color="auto" w:fill="auto"/>
            <w:hideMark/>
          </w:tcPr>
          <w:p w14:paraId="69E74CF1" w14:textId="602112F4" w:rsidR="001C613D" w:rsidRPr="009E35ED" w:rsidRDefault="001C613D" w:rsidP="00FF441D">
            <w:pPr>
              <w:ind w:left="0" w:right="-71"/>
              <w:jc w:val="right"/>
              <w:rPr>
                <w:rFonts w:ascii="Arial Narrow" w:hAnsi="Arial Narrow" w:cs="Calibri"/>
                <w:color w:val="000000" w:themeColor="text1"/>
                <w:sz w:val="22"/>
                <w:szCs w:val="22"/>
              </w:rPr>
            </w:pPr>
            <w:r w:rsidRPr="009E35ED">
              <w:rPr>
                <w:rFonts w:ascii="Arial Narrow" w:hAnsi="Arial Narrow"/>
                <w:color w:val="000000" w:themeColor="text1"/>
                <w:sz w:val="22"/>
                <w:szCs w:val="22"/>
              </w:rPr>
              <w:t xml:space="preserve">(498,279,991) </w:t>
            </w:r>
          </w:p>
        </w:tc>
      </w:tr>
      <w:tr w:rsidR="001C613D" w:rsidRPr="009E35ED" w14:paraId="5CE54A04" w14:textId="77777777" w:rsidTr="00FF441D">
        <w:trPr>
          <w:trHeight w:val="292"/>
        </w:trPr>
        <w:tc>
          <w:tcPr>
            <w:tcW w:w="3420" w:type="dxa"/>
            <w:tcBorders>
              <w:top w:val="single" w:sz="8" w:space="0" w:color="auto"/>
              <w:left w:val="nil"/>
              <w:bottom w:val="double" w:sz="6" w:space="0" w:color="auto"/>
              <w:right w:val="nil"/>
            </w:tcBorders>
            <w:shd w:val="clear" w:color="auto" w:fill="auto"/>
            <w:vAlign w:val="center"/>
            <w:hideMark/>
          </w:tcPr>
          <w:p w14:paraId="6137531D" w14:textId="77777777" w:rsidR="001C613D" w:rsidRPr="009E35ED" w:rsidRDefault="001C613D" w:rsidP="00FF441D">
            <w:pPr>
              <w:ind w:left="-108"/>
              <w:rPr>
                <w:rFonts w:ascii="Arial Narrow" w:hAnsi="Arial Narrow" w:cs="Calibri"/>
                <w:b/>
                <w:bCs/>
                <w:color w:val="000000" w:themeColor="text1"/>
                <w:sz w:val="22"/>
                <w:szCs w:val="22"/>
              </w:rPr>
            </w:pPr>
            <w:r w:rsidRPr="009E35ED">
              <w:rPr>
                <w:rFonts w:ascii="Arial Narrow" w:hAnsi="Arial Narrow" w:cs="Calibri"/>
                <w:b/>
                <w:bCs/>
                <w:color w:val="000000" w:themeColor="text1"/>
                <w:sz w:val="22"/>
                <w:szCs w:val="22"/>
              </w:rPr>
              <w:t>Total</w:t>
            </w:r>
          </w:p>
        </w:tc>
        <w:tc>
          <w:tcPr>
            <w:tcW w:w="2951" w:type="dxa"/>
            <w:tcBorders>
              <w:top w:val="single" w:sz="8" w:space="0" w:color="auto"/>
              <w:left w:val="nil"/>
              <w:bottom w:val="double" w:sz="6" w:space="0" w:color="auto"/>
              <w:right w:val="nil"/>
            </w:tcBorders>
            <w:shd w:val="clear" w:color="auto" w:fill="auto"/>
          </w:tcPr>
          <w:p w14:paraId="227C79BF" w14:textId="0D303921" w:rsidR="001C613D" w:rsidRPr="009E35ED" w:rsidRDefault="001C613D" w:rsidP="00166F1B">
            <w:pPr>
              <w:ind w:left="0"/>
              <w:jc w:val="right"/>
              <w:rPr>
                <w:rFonts w:ascii="Arial Narrow" w:hAnsi="Arial Narrow" w:cs="Calibri"/>
                <w:b/>
                <w:bCs/>
                <w:color w:val="000000" w:themeColor="text1"/>
                <w:sz w:val="22"/>
                <w:szCs w:val="22"/>
              </w:rPr>
            </w:pPr>
            <w:r w:rsidRPr="009E35ED">
              <w:rPr>
                <w:rFonts w:ascii="Arial Narrow" w:hAnsi="Arial Narrow"/>
                <w:b/>
                <w:bCs/>
                <w:sz w:val="22"/>
                <w:szCs w:val="22"/>
              </w:rPr>
              <w:t xml:space="preserve"> 1,</w:t>
            </w:r>
            <w:r w:rsidR="00166F1B" w:rsidRPr="009E35ED">
              <w:rPr>
                <w:rFonts w:ascii="Arial Narrow" w:hAnsi="Arial Narrow"/>
                <w:b/>
                <w:bCs/>
                <w:sz w:val="22"/>
                <w:szCs w:val="22"/>
              </w:rPr>
              <w:t>402,176,129</w:t>
            </w:r>
            <w:r w:rsidRPr="009E35ED">
              <w:rPr>
                <w:rFonts w:ascii="Arial Narrow" w:hAnsi="Arial Narrow"/>
                <w:b/>
                <w:bCs/>
                <w:sz w:val="22"/>
                <w:szCs w:val="22"/>
              </w:rPr>
              <w:t xml:space="preserve"> </w:t>
            </w:r>
          </w:p>
        </w:tc>
        <w:tc>
          <w:tcPr>
            <w:tcW w:w="2126" w:type="dxa"/>
            <w:tcBorders>
              <w:top w:val="single" w:sz="8" w:space="0" w:color="auto"/>
              <w:left w:val="nil"/>
              <w:bottom w:val="double" w:sz="6" w:space="0" w:color="auto"/>
              <w:right w:val="nil"/>
            </w:tcBorders>
            <w:shd w:val="clear" w:color="auto" w:fill="auto"/>
            <w:hideMark/>
          </w:tcPr>
          <w:p w14:paraId="1C5751AE" w14:textId="75D08364" w:rsidR="001C613D" w:rsidRPr="009E35ED" w:rsidRDefault="001C613D" w:rsidP="00FF441D">
            <w:pPr>
              <w:ind w:left="0" w:right="-71"/>
              <w:jc w:val="right"/>
              <w:rPr>
                <w:rFonts w:ascii="Arial Narrow" w:hAnsi="Arial Narrow" w:cs="Calibri"/>
                <w:b/>
                <w:bCs/>
                <w:color w:val="000000" w:themeColor="text1"/>
                <w:sz w:val="22"/>
                <w:szCs w:val="22"/>
              </w:rPr>
            </w:pPr>
            <w:r w:rsidRPr="009E35ED">
              <w:rPr>
                <w:rFonts w:ascii="Arial Narrow" w:hAnsi="Arial Narrow"/>
                <w:b/>
                <w:bCs/>
                <w:color w:val="000000" w:themeColor="text1"/>
                <w:sz w:val="22"/>
                <w:szCs w:val="22"/>
              </w:rPr>
              <w:t xml:space="preserve"> 1,342,536,392 </w:t>
            </w:r>
          </w:p>
        </w:tc>
      </w:tr>
    </w:tbl>
    <w:p w14:paraId="226C0712" w14:textId="5FE2434D" w:rsidR="00421600" w:rsidRPr="009E35ED" w:rsidRDefault="00421600" w:rsidP="00803F8C">
      <w:pPr>
        <w:ind w:left="0"/>
        <w:jc w:val="left"/>
        <w:rPr>
          <w:rFonts w:ascii="Arial" w:hAnsi="Arial" w:cs="Arial"/>
          <w:color w:val="000000" w:themeColor="text1"/>
          <w:sz w:val="22"/>
          <w:szCs w:val="22"/>
        </w:rPr>
      </w:pPr>
    </w:p>
    <w:p w14:paraId="580D6C4B" w14:textId="77777777" w:rsidR="009410C2" w:rsidRPr="009E35ED" w:rsidRDefault="009410C2" w:rsidP="00803F8C">
      <w:pPr>
        <w:ind w:left="0"/>
        <w:jc w:val="left"/>
        <w:rPr>
          <w:rFonts w:ascii="Arial" w:hAnsi="Arial" w:cs="Arial"/>
          <w:color w:val="000000" w:themeColor="text1"/>
          <w:sz w:val="22"/>
          <w:szCs w:val="22"/>
        </w:rPr>
      </w:pPr>
    </w:p>
    <w:p w14:paraId="2AC62F30" w14:textId="010B1D34" w:rsidR="00572AF6" w:rsidRPr="009E35ED" w:rsidRDefault="008B348A" w:rsidP="00803F8C">
      <w:pPr>
        <w:ind w:left="0"/>
        <w:jc w:val="left"/>
        <w:rPr>
          <w:rFonts w:ascii="Arial" w:hAnsi="Arial" w:cs="Arial"/>
          <w:color w:val="000000" w:themeColor="text1"/>
          <w:sz w:val="22"/>
          <w:szCs w:val="22"/>
        </w:rPr>
      </w:pPr>
      <w:r w:rsidRPr="009E35ED">
        <w:rPr>
          <w:rFonts w:ascii="Arial" w:hAnsi="Arial" w:cs="Arial"/>
          <w:color w:val="000000" w:themeColor="text1"/>
          <w:sz w:val="22"/>
          <w:szCs w:val="22"/>
        </w:rPr>
        <w:t>The details of statutory reconciliation are provided below:</w:t>
      </w:r>
    </w:p>
    <w:p w14:paraId="100D0BD9" w14:textId="77777777" w:rsidR="007641A8" w:rsidRPr="009E35ED" w:rsidRDefault="007641A8" w:rsidP="00803F8C">
      <w:pPr>
        <w:rPr>
          <w:rFonts w:ascii="Arial" w:hAnsi="Arial" w:cs="Arial"/>
          <w:color w:val="000000" w:themeColor="text1"/>
          <w:sz w:val="22"/>
          <w:szCs w:val="22"/>
        </w:rPr>
      </w:pPr>
    </w:p>
    <w:tbl>
      <w:tblPr>
        <w:tblStyle w:val="TableGrid"/>
        <w:tblW w:w="8427" w:type="dxa"/>
        <w:tblInd w:w="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032"/>
        <w:gridCol w:w="2410"/>
        <w:gridCol w:w="1985"/>
      </w:tblGrid>
      <w:tr w:rsidR="00997F75" w:rsidRPr="009E35ED" w14:paraId="3809A2E4" w14:textId="77777777" w:rsidTr="00FF441D">
        <w:trPr>
          <w:trHeight w:val="262"/>
          <w:tblHeader/>
        </w:trPr>
        <w:tc>
          <w:tcPr>
            <w:tcW w:w="4032" w:type="dxa"/>
            <w:tcBorders>
              <w:top w:val="single" w:sz="4" w:space="0" w:color="auto"/>
              <w:bottom w:val="single" w:sz="4" w:space="0" w:color="auto"/>
            </w:tcBorders>
          </w:tcPr>
          <w:p w14:paraId="5F8C3B47" w14:textId="77777777" w:rsidR="00046232" w:rsidRPr="009E35ED" w:rsidRDefault="00046232" w:rsidP="00046232">
            <w:pPr>
              <w:ind w:left="0"/>
              <w:rPr>
                <w:rFonts w:ascii="Arial Narrow" w:hAnsi="Arial Narrow" w:cs="Arial"/>
                <w:color w:val="000000" w:themeColor="text1"/>
                <w:sz w:val="22"/>
                <w:szCs w:val="22"/>
              </w:rPr>
            </w:pPr>
            <w:bookmarkStart w:id="2" w:name="OLE_LINK1"/>
          </w:p>
        </w:tc>
        <w:tc>
          <w:tcPr>
            <w:tcW w:w="2410" w:type="dxa"/>
            <w:tcBorders>
              <w:top w:val="single" w:sz="4" w:space="0" w:color="auto"/>
              <w:bottom w:val="single" w:sz="4" w:space="0" w:color="auto"/>
            </w:tcBorders>
            <w:vAlign w:val="center"/>
          </w:tcPr>
          <w:p w14:paraId="21CAFC85" w14:textId="05222A0F" w:rsidR="00046232" w:rsidRPr="009E35ED" w:rsidRDefault="00046232" w:rsidP="00046232">
            <w:pPr>
              <w:ind w:left="0"/>
              <w:jc w:val="right"/>
              <w:rPr>
                <w:rFonts w:ascii="Arial Narrow" w:hAnsi="Arial Narrow" w:cs="Arial"/>
                <w:color w:val="000000" w:themeColor="text1"/>
                <w:sz w:val="22"/>
                <w:szCs w:val="22"/>
              </w:rPr>
            </w:pPr>
            <w:r w:rsidRPr="009E35ED">
              <w:rPr>
                <w:rFonts w:ascii="Arial Narrow" w:hAnsi="Arial Narrow" w:cs="Arial"/>
                <w:b/>
                <w:bCs/>
                <w:color w:val="000000" w:themeColor="text1"/>
                <w:sz w:val="22"/>
                <w:szCs w:val="22"/>
              </w:rPr>
              <w:t>202</w:t>
            </w:r>
            <w:r w:rsidR="005B674C" w:rsidRPr="009E35ED">
              <w:rPr>
                <w:rFonts w:ascii="Arial Narrow" w:hAnsi="Arial Narrow" w:cs="Arial"/>
                <w:b/>
                <w:bCs/>
                <w:color w:val="000000" w:themeColor="text1"/>
                <w:sz w:val="22"/>
                <w:szCs w:val="22"/>
              </w:rPr>
              <w:t>3</w:t>
            </w:r>
          </w:p>
        </w:tc>
        <w:tc>
          <w:tcPr>
            <w:tcW w:w="1985" w:type="dxa"/>
            <w:tcBorders>
              <w:top w:val="single" w:sz="4" w:space="0" w:color="auto"/>
              <w:bottom w:val="single" w:sz="4" w:space="0" w:color="auto"/>
            </w:tcBorders>
          </w:tcPr>
          <w:p w14:paraId="0346391C" w14:textId="62E883E0" w:rsidR="00046232" w:rsidRPr="009E35ED" w:rsidRDefault="00046232" w:rsidP="00FF441D">
            <w:pPr>
              <w:ind w:left="0" w:right="-75"/>
              <w:jc w:val="right"/>
              <w:rPr>
                <w:rFonts w:ascii="Arial Narrow" w:hAnsi="Arial Narrow" w:cs="Arial"/>
                <w:b/>
                <w:bCs/>
                <w:color w:val="000000" w:themeColor="text1"/>
                <w:sz w:val="22"/>
                <w:szCs w:val="22"/>
              </w:rPr>
            </w:pPr>
            <w:r w:rsidRPr="009E35ED">
              <w:rPr>
                <w:rFonts w:ascii="Arial Narrow" w:hAnsi="Arial Narrow"/>
                <w:b/>
                <w:color w:val="000000" w:themeColor="text1"/>
                <w:sz w:val="22"/>
                <w:szCs w:val="22"/>
              </w:rPr>
              <w:t>202</w:t>
            </w:r>
            <w:r w:rsidR="005B674C" w:rsidRPr="009E35ED">
              <w:rPr>
                <w:rFonts w:ascii="Arial Narrow" w:hAnsi="Arial Narrow"/>
                <w:b/>
                <w:color w:val="000000" w:themeColor="text1"/>
                <w:sz w:val="22"/>
                <w:szCs w:val="22"/>
              </w:rPr>
              <w:t>2</w:t>
            </w:r>
          </w:p>
        </w:tc>
      </w:tr>
      <w:tr w:rsidR="001C613D" w:rsidRPr="009E35ED" w14:paraId="0CB1E153" w14:textId="77777777" w:rsidTr="00FF441D">
        <w:trPr>
          <w:trHeight w:val="233"/>
        </w:trPr>
        <w:tc>
          <w:tcPr>
            <w:tcW w:w="4032" w:type="dxa"/>
            <w:tcBorders>
              <w:top w:val="single" w:sz="4" w:space="0" w:color="auto"/>
            </w:tcBorders>
          </w:tcPr>
          <w:p w14:paraId="64BAD5C0" w14:textId="3E24F49E" w:rsidR="001C613D" w:rsidRPr="009E35ED" w:rsidRDefault="001C613D" w:rsidP="00FF441D">
            <w:pPr>
              <w:ind w:left="-126" w:firstLine="4"/>
              <w:rPr>
                <w:rFonts w:ascii="Arial Narrow" w:hAnsi="Arial Narrow" w:cs="Arial"/>
                <w:color w:val="000000" w:themeColor="text1"/>
                <w:sz w:val="22"/>
                <w:szCs w:val="22"/>
              </w:rPr>
            </w:pPr>
            <w:r w:rsidRPr="009E35ED">
              <w:rPr>
                <w:rFonts w:ascii="Arial Narrow" w:hAnsi="Arial Narrow" w:cs="Arial"/>
                <w:sz w:val="22"/>
                <w:szCs w:val="22"/>
              </w:rPr>
              <w:t xml:space="preserve">Income tax at statutory rate </w:t>
            </w:r>
          </w:p>
        </w:tc>
        <w:tc>
          <w:tcPr>
            <w:tcW w:w="2410" w:type="dxa"/>
            <w:tcBorders>
              <w:top w:val="single" w:sz="4" w:space="0" w:color="auto"/>
            </w:tcBorders>
          </w:tcPr>
          <w:p w14:paraId="6EA71E2F" w14:textId="79489686" w:rsidR="001C613D" w:rsidRPr="009E35ED" w:rsidRDefault="001C613D" w:rsidP="00166F1B">
            <w:pPr>
              <w:jc w:val="right"/>
              <w:rPr>
                <w:rFonts w:ascii="Arial Narrow" w:hAnsi="Arial Narrow" w:cs="Calibri"/>
                <w:color w:val="000000" w:themeColor="text1"/>
                <w:sz w:val="22"/>
                <w:szCs w:val="22"/>
              </w:rPr>
            </w:pPr>
            <w:r w:rsidRPr="009E35ED">
              <w:rPr>
                <w:rFonts w:ascii="Arial Narrow" w:hAnsi="Arial Narrow"/>
                <w:sz w:val="22"/>
                <w:szCs w:val="22"/>
              </w:rPr>
              <w:t xml:space="preserve"> 1,</w:t>
            </w:r>
            <w:r w:rsidR="00166F1B" w:rsidRPr="009E35ED">
              <w:rPr>
                <w:rFonts w:ascii="Arial Narrow" w:hAnsi="Arial Narrow"/>
                <w:sz w:val="22"/>
                <w:szCs w:val="22"/>
              </w:rPr>
              <w:t>307,222,396</w:t>
            </w:r>
            <w:r w:rsidRPr="009E35ED">
              <w:rPr>
                <w:rFonts w:ascii="Arial Narrow" w:hAnsi="Arial Narrow"/>
                <w:sz w:val="22"/>
                <w:szCs w:val="22"/>
              </w:rPr>
              <w:t xml:space="preserve"> </w:t>
            </w:r>
          </w:p>
        </w:tc>
        <w:tc>
          <w:tcPr>
            <w:tcW w:w="1985" w:type="dxa"/>
            <w:tcBorders>
              <w:top w:val="single" w:sz="4" w:space="0" w:color="auto"/>
            </w:tcBorders>
          </w:tcPr>
          <w:p w14:paraId="1C3DDF72" w14:textId="1354906C" w:rsidR="001C613D" w:rsidRPr="009E35ED" w:rsidRDefault="001C613D" w:rsidP="00FF441D">
            <w:pPr>
              <w:ind w:left="0" w:right="-75"/>
              <w:jc w:val="right"/>
              <w:rPr>
                <w:rFonts w:ascii="Arial Narrow" w:hAnsi="Arial Narrow" w:cs="Arial"/>
                <w:color w:val="000000" w:themeColor="text1"/>
                <w:sz w:val="22"/>
                <w:szCs w:val="22"/>
              </w:rPr>
            </w:pPr>
            <w:r w:rsidRPr="009E35ED">
              <w:rPr>
                <w:rFonts w:ascii="Arial Narrow" w:hAnsi="Arial Narrow"/>
                <w:color w:val="000000" w:themeColor="text1"/>
                <w:sz w:val="22"/>
                <w:szCs w:val="22"/>
              </w:rPr>
              <w:t xml:space="preserve"> 1,410,676,744 </w:t>
            </w:r>
          </w:p>
        </w:tc>
      </w:tr>
      <w:tr w:rsidR="001C613D" w:rsidRPr="009E35ED" w14:paraId="3CB51B5F" w14:textId="77777777" w:rsidTr="00FF441D">
        <w:trPr>
          <w:trHeight w:val="180"/>
        </w:trPr>
        <w:tc>
          <w:tcPr>
            <w:tcW w:w="4032" w:type="dxa"/>
          </w:tcPr>
          <w:p w14:paraId="1F1DD684" w14:textId="13D3AFA6" w:rsidR="001C613D" w:rsidRPr="009E35ED" w:rsidRDefault="001C613D" w:rsidP="00FF441D">
            <w:pPr>
              <w:ind w:left="-126" w:firstLine="4"/>
              <w:rPr>
                <w:rFonts w:ascii="Arial Narrow" w:hAnsi="Arial Narrow" w:cs="Arial"/>
                <w:color w:val="000000" w:themeColor="text1"/>
                <w:sz w:val="22"/>
                <w:szCs w:val="22"/>
              </w:rPr>
            </w:pPr>
            <w:r w:rsidRPr="009E35ED">
              <w:rPr>
                <w:rFonts w:ascii="Arial Narrow" w:hAnsi="Arial Narrow" w:cs="Arial"/>
                <w:sz w:val="22"/>
                <w:szCs w:val="22"/>
              </w:rPr>
              <w:t xml:space="preserve">Tax effect on income subject to final tax </w:t>
            </w:r>
          </w:p>
        </w:tc>
        <w:tc>
          <w:tcPr>
            <w:tcW w:w="2410" w:type="dxa"/>
          </w:tcPr>
          <w:p w14:paraId="56BB439E" w14:textId="78D937FE" w:rsidR="001C613D" w:rsidRPr="009E35ED" w:rsidRDefault="001C613D" w:rsidP="001C613D">
            <w:pPr>
              <w:jc w:val="right"/>
              <w:rPr>
                <w:rFonts w:ascii="Arial Narrow" w:hAnsi="Arial Narrow" w:cs="Calibri"/>
                <w:color w:val="000000" w:themeColor="text1"/>
                <w:sz w:val="22"/>
                <w:szCs w:val="22"/>
              </w:rPr>
            </w:pPr>
            <w:r w:rsidRPr="009E35ED">
              <w:rPr>
                <w:rFonts w:ascii="Arial Narrow" w:hAnsi="Arial Narrow"/>
                <w:sz w:val="22"/>
                <w:szCs w:val="22"/>
              </w:rPr>
              <w:t xml:space="preserve"> (52,022,247)</w:t>
            </w:r>
          </w:p>
        </w:tc>
        <w:tc>
          <w:tcPr>
            <w:tcW w:w="1985" w:type="dxa"/>
          </w:tcPr>
          <w:p w14:paraId="691DF10B" w14:textId="6FE3BA30" w:rsidR="001C613D" w:rsidRPr="009E35ED" w:rsidRDefault="001C613D" w:rsidP="00FF441D">
            <w:pPr>
              <w:ind w:left="0" w:right="-75"/>
              <w:jc w:val="right"/>
              <w:rPr>
                <w:rFonts w:ascii="Arial Narrow" w:hAnsi="Arial Narrow" w:cs="Arial"/>
                <w:color w:val="000000" w:themeColor="text1"/>
                <w:sz w:val="22"/>
                <w:szCs w:val="22"/>
              </w:rPr>
            </w:pPr>
            <w:r w:rsidRPr="009E35ED">
              <w:rPr>
                <w:rFonts w:ascii="Arial Narrow" w:hAnsi="Arial Narrow"/>
                <w:color w:val="000000" w:themeColor="text1"/>
                <w:sz w:val="22"/>
                <w:szCs w:val="22"/>
              </w:rPr>
              <w:t xml:space="preserve"> (25,045,127)</w:t>
            </w:r>
          </w:p>
        </w:tc>
      </w:tr>
      <w:tr w:rsidR="001C613D" w:rsidRPr="009E35ED" w14:paraId="23F11925" w14:textId="77777777" w:rsidTr="00FF441D">
        <w:trPr>
          <w:trHeight w:val="99"/>
        </w:trPr>
        <w:tc>
          <w:tcPr>
            <w:tcW w:w="4032" w:type="dxa"/>
          </w:tcPr>
          <w:p w14:paraId="0AE7E654" w14:textId="5AF69046" w:rsidR="001C613D" w:rsidRPr="009E35ED" w:rsidRDefault="001C613D" w:rsidP="00FF441D">
            <w:pPr>
              <w:ind w:left="-126" w:firstLine="4"/>
              <w:rPr>
                <w:rFonts w:ascii="Arial Narrow" w:hAnsi="Arial Narrow" w:cs="Arial"/>
                <w:color w:val="000000" w:themeColor="text1"/>
                <w:sz w:val="22"/>
                <w:szCs w:val="22"/>
              </w:rPr>
            </w:pPr>
            <w:r w:rsidRPr="009E35ED">
              <w:rPr>
                <w:rFonts w:ascii="Arial Narrow" w:hAnsi="Arial Narrow" w:cs="Arial"/>
                <w:sz w:val="22"/>
                <w:szCs w:val="22"/>
              </w:rPr>
              <w:t>Tax effect of lease liability-net of ROU asset</w:t>
            </w:r>
          </w:p>
        </w:tc>
        <w:tc>
          <w:tcPr>
            <w:tcW w:w="2410" w:type="dxa"/>
          </w:tcPr>
          <w:p w14:paraId="7D7BDDAF" w14:textId="4C9C7CA9" w:rsidR="001C613D" w:rsidRPr="009E35ED" w:rsidRDefault="001C613D" w:rsidP="001C613D">
            <w:pPr>
              <w:jc w:val="right"/>
              <w:rPr>
                <w:rFonts w:ascii="Arial Narrow" w:hAnsi="Arial Narrow" w:cs="Calibri"/>
                <w:color w:val="000000" w:themeColor="text1"/>
                <w:sz w:val="22"/>
                <w:szCs w:val="22"/>
              </w:rPr>
            </w:pPr>
            <w:r w:rsidRPr="009E35ED">
              <w:rPr>
                <w:rFonts w:ascii="Arial Narrow" w:hAnsi="Arial Narrow"/>
                <w:sz w:val="22"/>
                <w:szCs w:val="22"/>
              </w:rPr>
              <w:t xml:space="preserve"> 109,591,244 </w:t>
            </w:r>
          </w:p>
        </w:tc>
        <w:tc>
          <w:tcPr>
            <w:tcW w:w="1985" w:type="dxa"/>
          </w:tcPr>
          <w:p w14:paraId="13F4731F" w14:textId="5D9E1EC0" w:rsidR="001C613D" w:rsidRPr="009E35ED" w:rsidRDefault="001C613D" w:rsidP="00FF441D">
            <w:pPr>
              <w:ind w:left="0" w:right="-75"/>
              <w:jc w:val="right"/>
              <w:rPr>
                <w:rFonts w:ascii="Arial Narrow" w:hAnsi="Arial Narrow" w:cs="Arial"/>
                <w:color w:val="000000" w:themeColor="text1"/>
                <w:sz w:val="22"/>
                <w:szCs w:val="22"/>
              </w:rPr>
            </w:pPr>
            <w:r w:rsidRPr="009E35ED">
              <w:rPr>
                <w:rFonts w:ascii="Arial Narrow" w:hAnsi="Arial Narrow"/>
                <w:color w:val="000000" w:themeColor="text1"/>
                <w:sz w:val="22"/>
                <w:szCs w:val="22"/>
              </w:rPr>
              <w:t xml:space="preserve"> (7,106,306)</w:t>
            </w:r>
          </w:p>
        </w:tc>
      </w:tr>
      <w:tr w:rsidR="001C613D" w:rsidRPr="009E35ED" w14:paraId="42CD1A66" w14:textId="77777777" w:rsidTr="00FF441D">
        <w:trPr>
          <w:trHeight w:val="225"/>
        </w:trPr>
        <w:tc>
          <w:tcPr>
            <w:tcW w:w="4032" w:type="dxa"/>
            <w:vAlign w:val="bottom"/>
          </w:tcPr>
          <w:p w14:paraId="735E72B6" w14:textId="5758C9F5" w:rsidR="001C613D" w:rsidRPr="009E35ED" w:rsidRDefault="001C613D" w:rsidP="00FF441D">
            <w:pPr>
              <w:ind w:left="-126" w:firstLine="4"/>
              <w:rPr>
                <w:rFonts w:ascii="Arial Narrow" w:hAnsi="Arial Narrow" w:cs="Arial"/>
                <w:color w:val="000000" w:themeColor="text1"/>
                <w:sz w:val="22"/>
                <w:szCs w:val="22"/>
              </w:rPr>
            </w:pPr>
            <w:r w:rsidRPr="009E35ED">
              <w:rPr>
                <w:rFonts w:ascii="Arial Narrow" w:hAnsi="Arial Narrow" w:cs="Arial"/>
                <w:sz w:val="22"/>
                <w:szCs w:val="22"/>
              </w:rPr>
              <w:t>Tax effect on forex</w:t>
            </w:r>
          </w:p>
        </w:tc>
        <w:tc>
          <w:tcPr>
            <w:tcW w:w="2410" w:type="dxa"/>
          </w:tcPr>
          <w:p w14:paraId="09639AE5" w14:textId="6F787356" w:rsidR="001C613D" w:rsidRPr="009E35ED" w:rsidRDefault="001C613D" w:rsidP="001C613D">
            <w:pPr>
              <w:ind w:left="0"/>
              <w:jc w:val="right"/>
              <w:rPr>
                <w:rFonts w:ascii="Arial Narrow" w:hAnsi="Arial Narrow" w:cs="Calibri"/>
                <w:color w:val="000000" w:themeColor="text1"/>
                <w:sz w:val="22"/>
                <w:szCs w:val="22"/>
              </w:rPr>
            </w:pPr>
            <w:r w:rsidRPr="009E35ED">
              <w:rPr>
                <w:rFonts w:ascii="Arial Narrow" w:hAnsi="Arial Narrow"/>
                <w:sz w:val="22"/>
                <w:szCs w:val="22"/>
              </w:rPr>
              <w:t xml:space="preserve"> 708,035 </w:t>
            </w:r>
          </w:p>
        </w:tc>
        <w:tc>
          <w:tcPr>
            <w:tcW w:w="1985" w:type="dxa"/>
          </w:tcPr>
          <w:p w14:paraId="4D39F086" w14:textId="4446CFB3" w:rsidR="001C613D" w:rsidRPr="009E35ED" w:rsidRDefault="001C613D" w:rsidP="00FF441D">
            <w:pPr>
              <w:ind w:left="0" w:right="-75"/>
              <w:jc w:val="right"/>
              <w:rPr>
                <w:rFonts w:ascii="Arial Narrow" w:hAnsi="Arial Narrow"/>
                <w:color w:val="000000" w:themeColor="text1"/>
                <w:sz w:val="22"/>
                <w:szCs w:val="22"/>
              </w:rPr>
            </w:pPr>
            <w:r w:rsidRPr="009E35ED">
              <w:rPr>
                <w:rFonts w:ascii="Arial Narrow" w:hAnsi="Arial Narrow"/>
                <w:color w:val="000000" w:themeColor="text1"/>
                <w:sz w:val="22"/>
                <w:szCs w:val="22"/>
              </w:rPr>
              <w:t>(5,087,907)</w:t>
            </w:r>
          </w:p>
        </w:tc>
      </w:tr>
      <w:tr w:rsidR="001C613D" w:rsidRPr="009E35ED" w14:paraId="4FA376FC" w14:textId="77777777" w:rsidTr="00FF441D">
        <w:trPr>
          <w:trHeight w:val="261"/>
        </w:trPr>
        <w:tc>
          <w:tcPr>
            <w:tcW w:w="4032" w:type="dxa"/>
          </w:tcPr>
          <w:p w14:paraId="517A8D1A" w14:textId="099F9560" w:rsidR="001C613D" w:rsidRPr="009E35ED" w:rsidRDefault="001C613D" w:rsidP="00FF441D">
            <w:pPr>
              <w:ind w:left="-126" w:firstLine="4"/>
              <w:rPr>
                <w:rFonts w:ascii="Arial Narrow" w:hAnsi="Arial Narrow" w:cs="Arial"/>
                <w:color w:val="000000" w:themeColor="text1"/>
                <w:sz w:val="22"/>
                <w:szCs w:val="22"/>
              </w:rPr>
            </w:pPr>
            <w:r w:rsidRPr="009E35ED">
              <w:rPr>
                <w:rFonts w:ascii="Arial Narrow" w:hAnsi="Arial Narrow" w:cs="Arial"/>
                <w:sz w:val="22"/>
                <w:szCs w:val="22"/>
              </w:rPr>
              <w:t>Tax effect on retirement benefits</w:t>
            </w:r>
          </w:p>
        </w:tc>
        <w:tc>
          <w:tcPr>
            <w:tcW w:w="2410" w:type="dxa"/>
          </w:tcPr>
          <w:p w14:paraId="6583F450" w14:textId="04A1BC70" w:rsidR="001C613D" w:rsidRPr="009E35ED" w:rsidRDefault="001C613D" w:rsidP="001C613D">
            <w:pPr>
              <w:ind w:left="0"/>
              <w:jc w:val="right"/>
              <w:rPr>
                <w:rFonts w:ascii="Arial Narrow" w:hAnsi="Arial Narrow" w:cs="Calibri"/>
                <w:color w:val="000000" w:themeColor="text1"/>
                <w:sz w:val="22"/>
                <w:szCs w:val="22"/>
              </w:rPr>
            </w:pPr>
            <w:r w:rsidRPr="009E35ED">
              <w:rPr>
                <w:rFonts w:ascii="Arial Narrow" w:hAnsi="Arial Narrow"/>
                <w:sz w:val="22"/>
                <w:szCs w:val="22"/>
              </w:rPr>
              <w:t xml:space="preserve"> 4,910,844</w:t>
            </w:r>
          </w:p>
        </w:tc>
        <w:tc>
          <w:tcPr>
            <w:tcW w:w="1985" w:type="dxa"/>
          </w:tcPr>
          <w:p w14:paraId="1240810C" w14:textId="3118CA85" w:rsidR="001C613D" w:rsidRPr="009E35ED" w:rsidRDefault="001C613D" w:rsidP="00FF441D">
            <w:pPr>
              <w:ind w:left="0" w:right="-75"/>
              <w:jc w:val="right"/>
              <w:rPr>
                <w:rFonts w:ascii="Arial Narrow" w:hAnsi="Arial Narrow" w:cs="Arial"/>
                <w:color w:val="000000" w:themeColor="text1"/>
                <w:sz w:val="22"/>
                <w:szCs w:val="22"/>
              </w:rPr>
            </w:pPr>
            <w:r w:rsidRPr="009E35ED">
              <w:rPr>
                <w:rFonts w:ascii="Arial Narrow" w:hAnsi="Arial Narrow"/>
                <w:color w:val="000000" w:themeColor="text1"/>
                <w:sz w:val="22"/>
                <w:szCs w:val="22"/>
              </w:rPr>
              <w:t xml:space="preserve"> 19,430,467</w:t>
            </w:r>
          </w:p>
        </w:tc>
      </w:tr>
      <w:tr w:rsidR="001C613D" w:rsidRPr="009E35ED" w14:paraId="1C2CAAC4" w14:textId="77777777" w:rsidTr="00FF441D">
        <w:trPr>
          <w:trHeight w:val="81"/>
        </w:trPr>
        <w:tc>
          <w:tcPr>
            <w:tcW w:w="4032" w:type="dxa"/>
          </w:tcPr>
          <w:p w14:paraId="07F6F2F7" w14:textId="4BC6D19B" w:rsidR="001C613D" w:rsidRPr="009E35ED" w:rsidRDefault="001C613D" w:rsidP="00FF441D">
            <w:pPr>
              <w:ind w:left="-126" w:firstLine="4"/>
              <w:rPr>
                <w:rFonts w:ascii="Arial Narrow" w:hAnsi="Arial Narrow" w:cs="Arial"/>
                <w:color w:val="000000" w:themeColor="text1"/>
                <w:sz w:val="22"/>
                <w:szCs w:val="22"/>
              </w:rPr>
            </w:pPr>
            <w:r w:rsidRPr="009E35ED">
              <w:rPr>
                <w:rFonts w:ascii="Arial Narrow" w:hAnsi="Arial Narrow" w:cs="Arial"/>
                <w:sz w:val="22"/>
                <w:szCs w:val="22"/>
              </w:rPr>
              <w:t>Tax effect on provision for printing cost</w:t>
            </w:r>
          </w:p>
        </w:tc>
        <w:tc>
          <w:tcPr>
            <w:tcW w:w="2410" w:type="dxa"/>
          </w:tcPr>
          <w:p w14:paraId="27D3A3FC" w14:textId="2563F4A3" w:rsidR="001C613D" w:rsidRPr="009E35ED" w:rsidRDefault="001C613D" w:rsidP="001C613D">
            <w:pPr>
              <w:ind w:left="0"/>
              <w:jc w:val="right"/>
              <w:rPr>
                <w:rFonts w:ascii="Arial Narrow" w:hAnsi="Arial Narrow"/>
                <w:color w:val="000000" w:themeColor="text1"/>
                <w:sz w:val="22"/>
                <w:szCs w:val="22"/>
              </w:rPr>
            </w:pPr>
            <w:r w:rsidRPr="009E35ED">
              <w:rPr>
                <w:rFonts w:ascii="Arial Narrow" w:hAnsi="Arial Narrow"/>
                <w:sz w:val="22"/>
                <w:szCs w:val="22"/>
              </w:rPr>
              <w:t>148,671,821</w:t>
            </w:r>
          </w:p>
        </w:tc>
        <w:tc>
          <w:tcPr>
            <w:tcW w:w="1985" w:type="dxa"/>
          </w:tcPr>
          <w:p w14:paraId="7D46B222" w14:textId="77777777" w:rsidR="001C613D" w:rsidRPr="009E35ED" w:rsidRDefault="001C613D" w:rsidP="00FF441D">
            <w:pPr>
              <w:ind w:left="0" w:right="-75"/>
              <w:jc w:val="right"/>
              <w:rPr>
                <w:rFonts w:ascii="Arial Narrow" w:hAnsi="Arial Narrow"/>
                <w:color w:val="000000" w:themeColor="text1"/>
                <w:sz w:val="22"/>
                <w:szCs w:val="22"/>
              </w:rPr>
            </w:pPr>
          </w:p>
        </w:tc>
      </w:tr>
      <w:tr w:rsidR="001C613D" w:rsidRPr="009E35ED" w14:paraId="7E12CF2F" w14:textId="77777777" w:rsidTr="00FF441D">
        <w:trPr>
          <w:trHeight w:val="81"/>
        </w:trPr>
        <w:tc>
          <w:tcPr>
            <w:tcW w:w="4032" w:type="dxa"/>
          </w:tcPr>
          <w:p w14:paraId="4D188247" w14:textId="2F9D6DF8" w:rsidR="001C613D" w:rsidRPr="009E35ED" w:rsidRDefault="001C613D" w:rsidP="00FF441D">
            <w:pPr>
              <w:ind w:left="-126" w:firstLine="4"/>
              <w:rPr>
                <w:rFonts w:ascii="Arial Narrow" w:hAnsi="Arial Narrow" w:cs="Arial"/>
                <w:color w:val="000000" w:themeColor="text1"/>
                <w:sz w:val="22"/>
                <w:szCs w:val="22"/>
              </w:rPr>
            </w:pPr>
            <w:r w:rsidRPr="009E35ED">
              <w:rPr>
                <w:rFonts w:ascii="Arial Narrow" w:hAnsi="Arial Narrow" w:cs="Arial"/>
                <w:sz w:val="22"/>
                <w:szCs w:val="22"/>
              </w:rPr>
              <w:t>Tax effect on allowance for impairment of A/R</w:t>
            </w:r>
          </w:p>
        </w:tc>
        <w:tc>
          <w:tcPr>
            <w:tcW w:w="2410" w:type="dxa"/>
          </w:tcPr>
          <w:p w14:paraId="404ACABD" w14:textId="58430A19" w:rsidR="001C613D" w:rsidRPr="009E35ED" w:rsidRDefault="001C613D" w:rsidP="001C613D">
            <w:pPr>
              <w:ind w:left="0"/>
              <w:jc w:val="right"/>
              <w:rPr>
                <w:rFonts w:ascii="Arial Narrow" w:hAnsi="Arial Narrow" w:cs="Arial"/>
                <w:bCs/>
                <w:color w:val="000000" w:themeColor="text1"/>
                <w:sz w:val="22"/>
                <w:szCs w:val="22"/>
              </w:rPr>
            </w:pPr>
            <w:r w:rsidRPr="009E35ED">
              <w:rPr>
                <w:rFonts w:ascii="Arial Narrow" w:hAnsi="Arial Narrow"/>
                <w:sz w:val="22"/>
                <w:szCs w:val="22"/>
              </w:rPr>
              <w:t xml:space="preserve"> 8,015</w:t>
            </w:r>
          </w:p>
        </w:tc>
        <w:tc>
          <w:tcPr>
            <w:tcW w:w="1985" w:type="dxa"/>
          </w:tcPr>
          <w:p w14:paraId="1050928C" w14:textId="722A44E1" w:rsidR="001C613D" w:rsidRPr="009E35ED" w:rsidRDefault="001C613D" w:rsidP="00FF441D">
            <w:pPr>
              <w:ind w:left="0" w:right="-75"/>
              <w:jc w:val="right"/>
              <w:rPr>
                <w:rFonts w:ascii="Arial Narrow" w:hAnsi="Arial Narrow" w:cs="Arial"/>
                <w:color w:val="000000" w:themeColor="text1"/>
                <w:sz w:val="22"/>
                <w:szCs w:val="22"/>
              </w:rPr>
            </w:pPr>
            <w:r w:rsidRPr="009E35ED">
              <w:rPr>
                <w:rFonts w:ascii="Arial Narrow" w:hAnsi="Arial Narrow"/>
                <w:color w:val="000000" w:themeColor="text1"/>
                <w:sz w:val="22"/>
                <w:szCs w:val="22"/>
              </w:rPr>
              <w:t xml:space="preserve"> (40,600,611)</w:t>
            </w:r>
          </w:p>
        </w:tc>
      </w:tr>
      <w:tr w:rsidR="001C613D" w:rsidRPr="009E35ED" w14:paraId="22B6A5A4" w14:textId="77777777" w:rsidTr="00FF441D">
        <w:trPr>
          <w:trHeight w:val="81"/>
        </w:trPr>
        <w:tc>
          <w:tcPr>
            <w:tcW w:w="4032" w:type="dxa"/>
          </w:tcPr>
          <w:p w14:paraId="3EB414C0" w14:textId="29BAAB2A" w:rsidR="001C613D" w:rsidRPr="009E35ED" w:rsidRDefault="001C613D" w:rsidP="00FF441D">
            <w:pPr>
              <w:ind w:left="-126" w:firstLine="4"/>
              <w:rPr>
                <w:rFonts w:ascii="Arial Narrow" w:hAnsi="Arial Narrow" w:cs="Arial"/>
                <w:color w:val="000000" w:themeColor="text1"/>
                <w:sz w:val="22"/>
                <w:szCs w:val="22"/>
              </w:rPr>
            </w:pPr>
            <w:r w:rsidRPr="009E35ED">
              <w:rPr>
                <w:rFonts w:ascii="Arial Narrow" w:hAnsi="Arial Narrow" w:cs="Arial"/>
                <w:sz w:val="22"/>
                <w:szCs w:val="22"/>
              </w:rPr>
              <w:t>Tax effect on PPE</w:t>
            </w:r>
          </w:p>
        </w:tc>
        <w:tc>
          <w:tcPr>
            <w:tcW w:w="2410" w:type="dxa"/>
          </w:tcPr>
          <w:p w14:paraId="1D8CE790" w14:textId="2E29968D" w:rsidR="001C613D" w:rsidRPr="009E35ED" w:rsidRDefault="001C613D" w:rsidP="001C613D">
            <w:pPr>
              <w:ind w:left="0"/>
              <w:jc w:val="right"/>
              <w:rPr>
                <w:rFonts w:ascii="Arial Narrow" w:hAnsi="Arial Narrow" w:cs="Arial"/>
                <w:bCs/>
                <w:color w:val="000000" w:themeColor="text1"/>
                <w:sz w:val="22"/>
                <w:szCs w:val="22"/>
              </w:rPr>
            </w:pPr>
          </w:p>
        </w:tc>
        <w:tc>
          <w:tcPr>
            <w:tcW w:w="1985" w:type="dxa"/>
          </w:tcPr>
          <w:p w14:paraId="419C42AC" w14:textId="16297457" w:rsidR="001C613D" w:rsidRPr="009E35ED" w:rsidRDefault="001C613D" w:rsidP="00FF441D">
            <w:pPr>
              <w:ind w:left="0" w:right="-75"/>
              <w:jc w:val="right"/>
              <w:rPr>
                <w:rFonts w:ascii="Arial Narrow" w:hAnsi="Arial Narrow" w:cs="Arial"/>
                <w:color w:val="000000" w:themeColor="text1"/>
                <w:sz w:val="22"/>
                <w:szCs w:val="22"/>
              </w:rPr>
            </w:pPr>
            <w:r w:rsidRPr="009E35ED">
              <w:rPr>
                <w:rFonts w:ascii="Arial Narrow" w:hAnsi="Arial Narrow"/>
                <w:color w:val="000000" w:themeColor="text1"/>
                <w:sz w:val="22"/>
                <w:szCs w:val="22"/>
              </w:rPr>
              <w:t xml:space="preserve"> (9,730,868)   </w:t>
            </w:r>
          </w:p>
        </w:tc>
      </w:tr>
      <w:tr w:rsidR="001C613D" w:rsidRPr="009E35ED" w14:paraId="2F6E6858" w14:textId="77777777" w:rsidTr="00FF441D">
        <w:trPr>
          <w:trHeight w:val="81"/>
        </w:trPr>
        <w:tc>
          <w:tcPr>
            <w:tcW w:w="4032" w:type="dxa"/>
            <w:tcBorders>
              <w:bottom w:val="single" w:sz="4" w:space="0" w:color="auto"/>
            </w:tcBorders>
          </w:tcPr>
          <w:p w14:paraId="32A34579" w14:textId="6E83A515" w:rsidR="001C613D" w:rsidRPr="009E35ED" w:rsidRDefault="001C613D" w:rsidP="00FF441D">
            <w:pPr>
              <w:ind w:left="-126" w:firstLine="4"/>
              <w:rPr>
                <w:rFonts w:ascii="Arial Narrow" w:hAnsi="Arial Narrow" w:cs="Arial"/>
                <w:color w:val="000000" w:themeColor="text1"/>
                <w:sz w:val="22"/>
                <w:szCs w:val="22"/>
              </w:rPr>
            </w:pPr>
            <w:r w:rsidRPr="009E35ED">
              <w:rPr>
                <w:rFonts w:ascii="Arial Narrow" w:hAnsi="Arial Narrow" w:cs="Arial"/>
                <w:sz w:val="22"/>
                <w:szCs w:val="22"/>
              </w:rPr>
              <w:t>Tax effect of non-deductible expense</w:t>
            </w:r>
          </w:p>
        </w:tc>
        <w:tc>
          <w:tcPr>
            <w:tcW w:w="2410" w:type="dxa"/>
            <w:tcBorders>
              <w:bottom w:val="single" w:sz="4" w:space="0" w:color="auto"/>
            </w:tcBorders>
          </w:tcPr>
          <w:p w14:paraId="3CACEF20" w14:textId="65CFC578" w:rsidR="001C613D" w:rsidRPr="009E35ED" w:rsidRDefault="001C613D" w:rsidP="001C613D">
            <w:pPr>
              <w:ind w:left="0"/>
              <w:jc w:val="right"/>
              <w:rPr>
                <w:rFonts w:ascii="Arial Narrow" w:hAnsi="Arial Narrow" w:cs="Arial"/>
                <w:bCs/>
                <w:color w:val="000000" w:themeColor="text1"/>
                <w:sz w:val="22"/>
                <w:szCs w:val="22"/>
              </w:rPr>
            </w:pPr>
            <w:r w:rsidRPr="009E35ED">
              <w:rPr>
                <w:rFonts w:ascii="Arial Narrow" w:hAnsi="Arial Narrow"/>
                <w:sz w:val="22"/>
                <w:szCs w:val="22"/>
              </w:rPr>
              <w:t xml:space="preserve"> (116,913,979)</w:t>
            </w:r>
          </w:p>
        </w:tc>
        <w:tc>
          <w:tcPr>
            <w:tcW w:w="1985" w:type="dxa"/>
            <w:tcBorders>
              <w:bottom w:val="single" w:sz="4" w:space="0" w:color="auto"/>
            </w:tcBorders>
          </w:tcPr>
          <w:p w14:paraId="515E72FE" w14:textId="4B476A56" w:rsidR="001C613D" w:rsidRPr="009E35ED" w:rsidRDefault="001C613D" w:rsidP="00FF441D">
            <w:pPr>
              <w:ind w:left="0" w:right="-75"/>
              <w:jc w:val="right"/>
              <w:rPr>
                <w:rFonts w:ascii="Arial Narrow" w:hAnsi="Arial Narrow" w:cs="Arial"/>
                <w:b/>
                <w:color w:val="000000" w:themeColor="text1"/>
                <w:sz w:val="22"/>
                <w:szCs w:val="22"/>
              </w:rPr>
            </w:pPr>
            <w:r w:rsidRPr="009E35ED">
              <w:rPr>
                <w:rFonts w:ascii="Arial Narrow" w:hAnsi="Arial Narrow"/>
                <w:color w:val="000000" w:themeColor="text1"/>
                <w:sz w:val="22"/>
                <w:szCs w:val="22"/>
              </w:rPr>
              <w:t xml:space="preserve"> -   </w:t>
            </w:r>
          </w:p>
        </w:tc>
      </w:tr>
      <w:tr w:rsidR="001C613D" w:rsidRPr="009E35ED" w14:paraId="0501CB02" w14:textId="77777777" w:rsidTr="00FF441D">
        <w:trPr>
          <w:trHeight w:val="71"/>
        </w:trPr>
        <w:tc>
          <w:tcPr>
            <w:tcW w:w="4032" w:type="dxa"/>
            <w:tcBorders>
              <w:top w:val="single" w:sz="4" w:space="0" w:color="auto"/>
              <w:bottom w:val="double" w:sz="4" w:space="0" w:color="auto"/>
            </w:tcBorders>
            <w:vAlign w:val="bottom"/>
          </w:tcPr>
          <w:p w14:paraId="39A5CB4A" w14:textId="5CE56F6E" w:rsidR="001C613D" w:rsidRPr="009E35ED" w:rsidRDefault="001C613D" w:rsidP="00FF441D">
            <w:pPr>
              <w:ind w:left="-126" w:firstLine="4"/>
              <w:rPr>
                <w:rFonts w:ascii="Arial Narrow" w:hAnsi="Arial Narrow" w:cs="Arial"/>
                <w:b/>
                <w:bCs/>
                <w:color w:val="000000" w:themeColor="text1"/>
                <w:sz w:val="22"/>
                <w:szCs w:val="22"/>
              </w:rPr>
            </w:pPr>
            <w:r w:rsidRPr="009E35ED">
              <w:rPr>
                <w:rFonts w:ascii="Arial Narrow" w:hAnsi="Arial Narrow" w:cs="Arial"/>
                <w:b/>
                <w:bCs/>
                <w:sz w:val="22"/>
                <w:szCs w:val="22"/>
                <w:lang w:val="en-PH" w:eastAsia="en-PH"/>
              </w:rPr>
              <w:t>Total</w:t>
            </w:r>
          </w:p>
        </w:tc>
        <w:tc>
          <w:tcPr>
            <w:tcW w:w="2410" w:type="dxa"/>
            <w:tcBorders>
              <w:top w:val="single" w:sz="4" w:space="0" w:color="auto"/>
              <w:bottom w:val="double" w:sz="4" w:space="0" w:color="auto"/>
            </w:tcBorders>
          </w:tcPr>
          <w:p w14:paraId="2874AF20" w14:textId="14586085" w:rsidR="001C613D" w:rsidRPr="009E35ED" w:rsidRDefault="001C613D" w:rsidP="00166F1B">
            <w:pPr>
              <w:jc w:val="right"/>
              <w:rPr>
                <w:rFonts w:ascii="Arial Narrow" w:hAnsi="Arial Narrow" w:cs="Calibri"/>
                <w:b/>
                <w:bCs/>
                <w:color w:val="000000" w:themeColor="text1"/>
                <w:sz w:val="22"/>
                <w:szCs w:val="22"/>
              </w:rPr>
            </w:pPr>
            <w:r w:rsidRPr="009E35ED">
              <w:rPr>
                <w:rFonts w:ascii="Arial Narrow" w:hAnsi="Arial Narrow"/>
                <w:b/>
                <w:bCs/>
                <w:sz w:val="22"/>
                <w:szCs w:val="22"/>
              </w:rPr>
              <w:t xml:space="preserve"> 1,</w:t>
            </w:r>
            <w:r w:rsidR="00166F1B" w:rsidRPr="009E35ED">
              <w:rPr>
                <w:rFonts w:ascii="Arial Narrow" w:hAnsi="Arial Narrow"/>
                <w:b/>
                <w:bCs/>
                <w:sz w:val="22"/>
                <w:szCs w:val="22"/>
              </w:rPr>
              <w:t>402,176,129</w:t>
            </w:r>
            <w:r w:rsidRPr="009E35ED">
              <w:rPr>
                <w:rFonts w:ascii="Arial Narrow" w:hAnsi="Arial Narrow"/>
                <w:b/>
                <w:bCs/>
                <w:sz w:val="22"/>
                <w:szCs w:val="22"/>
              </w:rPr>
              <w:t xml:space="preserve"> </w:t>
            </w:r>
          </w:p>
        </w:tc>
        <w:tc>
          <w:tcPr>
            <w:tcW w:w="1985" w:type="dxa"/>
            <w:tcBorders>
              <w:top w:val="single" w:sz="4" w:space="0" w:color="auto"/>
              <w:bottom w:val="double" w:sz="4" w:space="0" w:color="auto"/>
            </w:tcBorders>
          </w:tcPr>
          <w:p w14:paraId="1F6F1EEA" w14:textId="2795A311" w:rsidR="001C613D" w:rsidRPr="009E35ED" w:rsidRDefault="001C613D" w:rsidP="00FF441D">
            <w:pPr>
              <w:ind w:left="0" w:right="-75"/>
              <w:jc w:val="right"/>
              <w:rPr>
                <w:rFonts w:ascii="Arial Narrow" w:hAnsi="Arial Narrow" w:cs="Arial"/>
                <w:b/>
                <w:bCs/>
                <w:color w:val="000000" w:themeColor="text1"/>
                <w:sz w:val="22"/>
                <w:szCs w:val="22"/>
              </w:rPr>
            </w:pPr>
            <w:r w:rsidRPr="009E35ED">
              <w:rPr>
                <w:rFonts w:ascii="Arial Narrow" w:hAnsi="Arial Narrow"/>
                <w:b/>
                <w:bCs/>
                <w:color w:val="000000" w:themeColor="text1"/>
                <w:sz w:val="22"/>
                <w:szCs w:val="22"/>
              </w:rPr>
              <w:t xml:space="preserve"> 1,342,536,392 </w:t>
            </w:r>
          </w:p>
        </w:tc>
      </w:tr>
      <w:bookmarkEnd w:id="2"/>
    </w:tbl>
    <w:p w14:paraId="4510FB08" w14:textId="433F3D74" w:rsidR="007641A8" w:rsidRPr="009E35ED" w:rsidRDefault="007641A8" w:rsidP="00803F8C">
      <w:pPr>
        <w:ind w:left="0"/>
        <w:rPr>
          <w:rFonts w:ascii="Arial Narrow" w:hAnsi="Arial Narrow" w:cs="Arial"/>
          <w:color w:val="000000" w:themeColor="text1"/>
          <w:sz w:val="22"/>
          <w:szCs w:val="22"/>
        </w:rPr>
      </w:pPr>
    </w:p>
    <w:p w14:paraId="1A718A36" w14:textId="77777777" w:rsidR="00341063" w:rsidRDefault="00341063" w:rsidP="00803F8C">
      <w:pPr>
        <w:ind w:left="0"/>
        <w:rPr>
          <w:rFonts w:ascii="Arial" w:hAnsi="Arial" w:cs="Arial"/>
          <w:color w:val="000000" w:themeColor="text1"/>
          <w:sz w:val="22"/>
          <w:szCs w:val="22"/>
        </w:rPr>
      </w:pPr>
    </w:p>
    <w:p w14:paraId="377B4629" w14:textId="77777777" w:rsidR="007641A8" w:rsidRPr="009E35ED" w:rsidRDefault="007641A8" w:rsidP="002F0748">
      <w:pPr>
        <w:keepNext/>
        <w:keepLines/>
        <w:ind w:left="0"/>
        <w:rPr>
          <w:rFonts w:ascii="Arial" w:hAnsi="Arial" w:cs="Arial"/>
          <w:color w:val="000000" w:themeColor="text1"/>
          <w:sz w:val="22"/>
          <w:szCs w:val="22"/>
        </w:rPr>
      </w:pPr>
      <w:r w:rsidRPr="009E35ED">
        <w:rPr>
          <w:rFonts w:ascii="Arial" w:hAnsi="Arial" w:cs="Arial"/>
          <w:color w:val="000000" w:themeColor="text1"/>
          <w:sz w:val="22"/>
          <w:szCs w:val="22"/>
        </w:rPr>
        <w:t>Analysis of income tax payable (prepaid income tax) follows:</w:t>
      </w:r>
    </w:p>
    <w:p w14:paraId="0F3F6E16" w14:textId="3F80404B" w:rsidR="005167B3" w:rsidRPr="009E35ED" w:rsidRDefault="005167B3" w:rsidP="002F0748">
      <w:pPr>
        <w:keepNext/>
        <w:keepLines/>
        <w:ind w:left="0"/>
        <w:rPr>
          <w:rFonts w:ascii="Arial" w:hAnsi="Arial" w:cs="Arial"/>
          <w:color w:val="000000" w:themeColor="text1"/>
          <w:sz w:val="22"/>
          <w:szCs w:val="22"/>
        </w:rPr>
      </w:pPr>
    </w:p>
    <w:tbl>
      <w:tblPr>
        <w:tblW w:w="8497" w:type="dxa"/>
        <w:tblLayout w:type="fixed"/>
        <w:tblLook w:val="04A0" w:firstRow="1" w:lastRow="0" w:firstColumn="1" w:lastColumn="0" w:noHBand="0" w:noVBand="1"/>
      </w:tblPr>
      <w:tblGrid>
        <w:gridCol w:w="3960"/>
        <w:gridCol w:w="2694"/>
        <w:gridCol w:w="1843"/>
      </w:tblGrid>
      <w:tr w:rsidR="00997F75" w:rsidRPr="009E35ED" w14:paraId="36A01BBE" w14:textId="77777777" w:rsidTr="009E5701">
        <w:trPr>
          <w:trHeight w:val="243"/>
        </w:trPr>
        <w:tc>
          <w:tcPr>
            <w:tcW w:w="3960" w:type="dxa"/>
            <w:tcBorders>
              <w:top w:val="single" w:sz="8" w:space="0" w:color="auto"/>
              <w:left w:val="nil"/>
              <w:bottom w:val="single" w:sz="8" w:space="0" w:color="auto"/>
              <w:right w:val="nil"/>
            </w:tcBorders>
            <w:shd w:val="clear" w:color="auto" w:fill="auto"/>
            <w:vAlign w:val="center"/>
            <w:hideMark/>
          </w:tcPr>
          <w:p w14:paraId="03838AFE" w14:textId="77777777" w:rsidR="00430E92" w:rsidRPr="009E35ED" w:rsidRDefault="00430E92" w:rsidP="00430E92">
            <w:pPr>
              <w:ind w:left="0"/>
              <w:rPr>
                <w:rFonts w:ascii="Arial Narrow" w:hAnsi="Arial Narrow" w:cs="Calibri"/>
                <w:color w:val="000000" w:themeColor="text1"/>
                <w:sz w:val="22"/>
                <w:szCs w:val="22"/>
              </w:rPr>
            </w:pPr>
            <w:r w:rsidRPr="009E35ED">
              <w:rPr>
                <w:rFonts w:ascii="Arial Narrow" w:hAnsi="Arial Narrow" w:cs="Calibri"/>
                <w:color w:val="000000" w:themeColor="text1"/>
                <w:sz w:val="22"/>
                <w:szCs w:val="22"/>
              </w:rPr>
              <w:t> </w:t>
            </w:r>
          </w:p>
        </w:tc>
        <w:tc>
          <w:tcPr>
            <w:tcW w:w="2694" w:type="dxa"/>
            <w:tcBorders>
              <w:top w:val="single" w:sz="8" w:space="0" w:color="auto"/>
              <w:left w:val="nil"/>
              <w:bottom w:val="single" w:sz="8" w:space="0" w:color="auto"/>
              <w:right w:val="nil"/>
            </w:tcBorders>
            <w:shd w:val="clear" w:color="auto" w:fill="auto"/>
            <w:vAlign w:val="center"/>
            <w:hideMark/>
          </w:tcPr>
          <w:p w14:paraId="6877D32A" w14:textId="3AC21319" w:rsidR="00430E92" w:rsidRPr="009E35ED" w:rsidRDefault="00F51926" w:rsidP="00430E92">
            <w:pPr>
              <w:ind w:left="0"/>
              <w:jc w:val="right"/>
              <w:rPr>
                <w:rFonts w:ascii="Arial Narrow" w:hAnsi="Arial Narrow" w:cs="Calibri"/>
                <w:b/>
                <w:bCs/>
                <w:color w:val="000000" w:themeColor="text1"/>
                <w:sz w:val="22"/>
                <w:szCs w:val="22"/>
              </w:rPr>
            </w:pPr>
            <w:r w:rsidRPr="009E35ED">
              <w:rPr>
                <w:rFonts w:ascii="Arial Narrow" w:hAnsi="Arial Narrow" w:cs="Calibri"/>
                <w:b/>
                <w:bCs/>
                <w:color w:val="000000" w:themeColor="text1"/>
                <w:sz w:val="22"/>
                <w:szCs w:val="22"/>
              </w:rPr>
              <w:t>202</w:t>
            </w:r>
            <w:r w:rsidR="005B674C" w:rsidRPr="009E35ED">
              <w:rPr>
                <w:rFonts w:ascii="Arial Narrow" w:hAnsi="Arial Narrow" w:cs="Calibri"/>
                <w:b/>
                <w:bCs/>
                <w:color w:val="000000" w:themeColor="text1"/>
                <w:sz w:val="22"/>
                <w:szCs w:val="22"/>
              </w:rPr>
              <w:t>3</w:t>
            </w:r>
          </w:p>
        </w:tc>
        <w:tc>
          <w:tcPr>
            <w:tcW w:w="1843" w:type="dxa"/>
            <w:tcBorders>
              <w:top w:val="single" w:sz="8" w:space="0" w:color="auto"/>
              <w:left w:val="nil"/>
              <w:bottom w:val="single" w:sz="8" w:space="0" w:color="auto"/>
              <w:right w:val="nil"/>
            </w:tcBorders>
            <w:shd w:val="clear" w:color="auto" w:fill="auto"/>
            <w:vAlign w:val="center"/>
            <w:hideMark/>
          </w:tcPr>
          <w:p w14:paraId="57ECE87E" w14:textId="4FF7B9BA" w:rsidR="00430E92" w:rsidRPr="009E35ED" w:rsidRDefault="00F51926" w:rsidP="009E5701">
            <w:pPr>
              <w:ind w:left="0" w:right="-71"/>
              <w:jc w:val="right"/>
              <w:rPr>
                <w:rFonts w:ascii="Arial Narrow" w:hAnsi="Arial Narrow" w:cs="Calibri"/>
                <w:b/>
                <w:bCs/>
                <w:color w:val="000000" w:themeColor="text1"/>
                <w:sz w:val="22"/>
                <w:szCs w:val="22"/>
              </w:rPr>
            </w:pPr>
            <w:r w:rsidRPr="009E35ED">
              <w:rPr>
                <w:rFonts w:ascii="Arial Narrow" w:hAnsi="Arial Narrow" w:cs="Calibri"/>
                <w:b/>
                <w:bCs/>
                <w:color w:val="000000" w:themeColor="text1"/>
                <w:sz w:val="22"/>
                <w:szCs w:val="22"/>
              </w:rPr>
              <w:t>202</w:t>
            </w:r>
            <w:r w:rsidR="005B674C" w:rsidRPr="009E35ED">
              <w:rPr>
                <w:rFonts w:ascii="Arial Narrow" w:hAnsi="Arial Narrow" w:cs="Calibri"/>
                <w:b/>
                <w:bCs/>
                <w:color w:val="000000" w:themeColor="text1"/>
                <w:sz w:val="22"/>
                <w:szCs w:val="22"/>
              </w:rPr>
              <w:t>2</w:t>
            </w:r>
          </w:p>
        </w:tc>
      </w:tr>
      <w:tr w:rsidR="00997F75" w:rsidRPr="009E35ED" w14:paraId="6ADA51B0" w14:textId="77777777" w:rsidTr="009E5701">
        <w:trPr>
          <w:trHeight w:val="221"/>
        </w:trPr>
        <w:tc>
          <w:tcPr>
            <w:tcW w:w="3960" w:type="dxa"/>
            <w:tcBorders>
              <w:top w:val="nil"/>
              <w:left w:val="nil"/>
              <w:bottom w:val="nil"/>
              <w:right w:val="nil"/>
            </w:tcBorders>
            <w:shd w:val="clear" w:color="auto" w:fill="auto"/>
            <w:vAlign w:val="center"/>
            <w:hideMark/>
          </w:tcPr>
          <w:p w14:paraId="37550611" w14:textId="77777777" w:rsidR="00F9447D" w:rsidRPr="009E35ED" w:rsidRDefault="00F9447D" w:rsidP="00BF4257">
            <w:pPr>
              <w:ind w:left="-108"/>
              <w:rPr>
                <w:rFonts w:ascii="Arial Narrow" w:hAnsi="Arial Narrow" w:cs="Calibri"/>
                <w:b/>
                <w:bCs/>
                <w:color w:val="000000" w:themeColor="text1"/>
                <w:sz w:val="22"/>
                <w:szCs w:val="22"/>
              </w:rPr>
            </w:pPr>
            <w:r w:rsidRPr="009E35ED">
              <w:rPr>
                <w:rFonts w:ascii="Arial Narrow" w:hAnsi="Arial Narrow" w:cs="Calibri"/>
                <w:b/>
                <w:bCs/>
                <w:color w:val="000000" w:themeColor="text1"/>
                <w:sz w:val="22"/>
                <w:szCs w:val="22"/>
              </w:rPr>
              <w:t>Regular Corporate Income Tax:</w:t>
            </w:r>
          </w:p>
        </w:tc>
        <w:tc>
          <w:tcPr>
            <w:tcW w:w="2694" w:type="dxa"/>
            <w:tcBorders>
              <w:top w:val="nil"/>
              <w:left w:val="nil"/>
              <w:bottom w:val="nil"/>
              <w:right w:val="nil"/>
            </w:tcBorders>
            <w:shd w:val="clear" w:color="auto" w:fill="auto"/>
          </w:tcPr>
          <w:p w14:paraId="53D67CF0" w14:textId="3FA64E61" w:rsidR="00F9447D" w:rsidRPr="009E35ED" w:rsidRDefault="00F9447D" w:rsidP="00F9447D">
            <w:pPr>
              <w:ind w:left="0"/>
              <w:jc w:val="right"/>
              <w:rPr>
                <w:rFonts w:ascii="Arial Narrow" w:hAnsi="Arial Narrow" w:cs="Calibri"/>
                <w:b/>
                <w:bCs/>
                <w:color w:val="000000" w:themeColor="text1"/>
                <w:sz w:val="22"/>
                <w:szCs w:val="22"/>
              </w:rPr>
            </w:pPr>
          </w:p>
        </w:tc>
        <w:tc>
          <w:tcPr>
            <w:tcW w:w="1843" w:type="dxa"/>
            <w:tcBorders>
              <w:top w:val="nil"/>
              <w:left w:val="nil"/>
              <w:bottom w:val="nil"/>
              <w:right w:val="nil"/>
            </w:tcBorders>
            <w:shd w:val="clear" w:color="auto" w:fill="auto"/>
          </w:tcPr>
          <w:p w14:paraId="6683D6F5" w14:textId="770D43DF" w:rsidR="00F9447D" w:rsidRPr="009E35ED" w:rsidRDefault="00F9447D" w:rsidP="009E5701">
            <w:pPr>
              <w:ind w:left="0" w:right="-71"/>
              <w:jc w:val="right"/>
              <w:rPr>
                <w:rFonts w:ascii="Arial Narrow" w:hAnsi="Arial Narrow" w:cs="Calibri"/>
                <w:b/>
                <w:bCs/>
                <w:color w:val="000000" w:themeColor="text1"/>
                <w:sz w:val="22"/>
                <w:szCs w:val="22"/>
              </w:rPr>
            </w:pPr>
          </w:p>
        </w:tc>
      </w:tr>
      <w:tr w:rsidR="00997F75" w:rsidRPr="009E35ED" w14:paraId="35278D10" w14:textId="77777777" w:rsidTr="009E5701">
        <w:trPr>
          <w:trHeight w:val="233"/>
        </w:trPr>
        <w:tc>
          <w:tcPr>
            <w:tcW w:w="3960" w:type="dxa"/>
            <w:tcBorders>
              <w:top w:val="nil"/>
              <w:left w:val="nil"/>
              <w:bottom w:val="nil"/>
              <w:right w:val="nil"/>
            </w:tcBorders>
            <w:shd w:val="clear" w:color="auto" w:fill="auto"/>
            <w:vAlign w:val="center"/>
            <w:hideMark/>
          </w:tcPr>
          <w:p w14:paraId="547CC13A" w14:textId="77777777" w:rsidR="00F9447D" w:rsidRPr="009E35ED" w:rsidRDefault="00F9447D" w:rsidP="00BF4257">
            <w:pPr>
              <w:ind w:left="-108"/>
              <w:rPr>
                <w:rFonts w:ascii="Arial Narrow" w:hAnsi="Arial Narrow" w:cs="Calibri"/>
                <w:color w:val="000000" w:themeColor="text1"/>
                <w:sz w:val="22"/>
                <w:szCs w:val="22"/>
              </w:rPr>
            </w:pPr>
            <w:r w:rsidRPr="009E35ED">
              <w:rPr>
                <w:rFonts w:ascii="Arial Narrow" w:hAnsi="Arial Narrow" w:cs="Calibri"/>
                <w:color w:val="000000" w:themeColor="text1"/>
                <w:sz w:val="22"/>
                <w:szCs w:val="22"/>
              </w:rPr>
              <w:t>Net income (loss) before tax</w:t>
            </w:r>
          </w:p>
        </w:tc>
        <w:tc>
          <w:tcPr>
            <w:tcW w:w="2694" w:type="dxa"/>
            <w:tcBorders>
              <w:top w:val="nil"/>
              <w:left w:val="nil"/>
              <w:bottom w:val="nil"/>
              <w:right w:val="nil"/>
            </w:tcBorders>
            <w:shd w:val="clear" w:color="auto" w:fill="auto"/>
            <w:vAlign w:val="bottom"/>
          </w:tcPr>
          <w:p w14:paraId="510DA450" w14:textId="72FC81D0" w:rsidR="00F9447D" w:rsidRPr="009E35ED" w:rsidRDefault="00166F1B" w:rsidP="00FF1307">
            <w:pPr>
              <w:ind w:left="0"/>
              <w:jc w:val="right"/>
              <w:rPr>
                <w:rFonts w:ascii="Arial Narrow" w:hAnsi="Arial Narrow" w:cs="Calibri"/>
                <w:color w:val="000000" w:themeColor="text1"/>
                <w:sz w:val="22"/>
                <w:szCs w:val="22"/>
              </w:rPr>
            </w:pPr>
            <w:r w:rsidRPr="009E35ED">
              <w:rPr>
                <w:rFonts w:ascii="Arial Narrow" w:hAnsi="Arial Narrow" w:cs="Calibri"/>
                <w:color w:val="000000" w:themeColor="text1"/>
                <w:sz w:val="22"/>
                <w:szCs w:val="22"/>
              </w:rPr>
              <w:t>5,228,889,584</w:t>
            </w:r>
          </w:p>
        </w:tc>
        <w:tc>
          <w:tcPr>
            <w:tcW w:w="1843" w:type="dxa"/>
            <w:tcBorders>
              <w:top w:val="nil"/>
              <w:left w:val="nil"/>
              <w:bottom w:val="nil"/>
              <w:right w:val="nil"/>
            </w:tcBorders>
            <w:shd w:val="clear" w:color="auto" w:fill="auto"/>
            <w:vAlign w:val="bottom"/>
            <w:hideMark/>
          </w:tcPr>
          <w:p w14:paraId="13656D87" w14:textId="11F912A6" w:rsidR="00F9447D" w:rsidRPr="009E35ED" w:rsidRDefault="00A02546" w:rsidP="009E5701">
            <w:pPr>
              <w:ind w:left="0" w:right="-71"/>
              <w:jc w:val="right"/>
              <w:rPr>
                <w:rFonts w:ascii="Arial Narrow" w:hAnsi="Arial Narrow"/>
                <w:color w:val="000000" w:themeColor="text1"/>
                <w:sz w:val="22"/>
                <w:szCs w:val="22"/>
              </w:rPr>
            </w:pPr>
            <w:r w:rsidRPr="009E35ED">
              <w:rPr>
                <w:rFonts w:ascii="Arial Narrow" w:hAnsi="Arial Narrow"/>
                <w:color w:val="000000" w:themeColor="text1"/>
                <w:sz w:val="22"/>
                <w:szCs w:val="22"/>
              </w:rPr>
              <w:t>5,642,706,980</w:t>
            </w:r>
          </w:p>
        </w:tc>
      </w:tr>
      <w:tr w:rsidR="00997F75" w:rsidRPr="009E35ED" w14:paraId="02BEB697" w14:textId="77777777" w:rsidTr="009E5701">
        <w:trPr>
          <w:trHeight w:val="233"/>
        </w:trPr>
        <w:tc>
          <w:tcPr>
            <w:tcW w:w="3960" w:type="dxa"/>
            <w:tcBorders>
              <w:top w:val="nil"/>
              <w:left w:val="nil"/>
              <w:bottom w:val="nil"/>
              <w:right w:val="nil"/>
            </w:tcBorders>
            <w:shd w:val="clear" w:color="auto" w:fill="auto"/>
            <w:vAlign w:val="center"/>
            <w:hideMark/>
          </w:tcPr>
          <w:p w14:paraId="495B816B" w14:textId="77777777" w:rsidR="00F9447D" w:rsidRPr="009E35ED" w:rsidRDefault="00F9447D" w:rsidP="00BF4257">
            <w:pPr>
              <w:ind w:left="-108"/>
              <w:rPr>
                <w:rFonts w:ascii="Arial Narrow" w:hAnsi="Arial Narrow" w:cs="Calibri"/>
                <w:color w:val="000000" w:themeColor="text1"/>
                <w:sz w:val="22"/>
                <w:szCs w:val="22"/>
              </w:rPr>
            </w:pPr>
            <w:r w:rsidRPr="009E35ED">
              <w:rPr>
                <w:rFonts w:ascii="Arial Narrow" w:hAnsi="Arial Narrow" w:cs="Calibri"/>
                <w:color w:val="000000" w:themeColor="text1"/>
                <w:sz w:val="22"/>
                <w:szCs w:val="22"/>
              </w:rPr>
              <w:t>Permanent Differences:</w:t>
            </w:r>
            <w:r w:rsidRPr="009E35ED">
              <w:rPr>
                <w:rFonts w:ascii="Arial Narrow" w:hAnsi="Arial Narrow"/>
                <w:color w:val="000000" w:themeColor="text1"/>
                <w:sz w:val="22"/>
                <w:szCs w:val="22"/>
              </w:rPr>
              <w:t> </w:t>
            </w:r>
          </w:p>
        </w:tc>
        <w:tc>
          <w:tcPr>
            <w:tcW w:w="2694" w:type="dxa"/>
            <w:tcBorders>
              <w:top w:val="nil"/>
              <w:left w:val="nil"/>
              <w:bottom w:val="nil"/>
              <w:right w:val="nil"/>
            </w:tcBorders>
            <w:shd w:val="clear" w:color="auto" w:fill="auto"/>
            <w:vAlign w:val="bottom"/>
          </w:tcPr>
          <w:p w14:paraId="5680C135" w14:textId="23215A65" w:rsidR="00F9447D" w:rsidRPr="009E35ED" w:rsidRDefault="00F9447D" w:rsidP="00C06DC4">
            <w:pPr>
              <w:ind w:left="0"/>
              <w:jc w:val="right"/>
              <w:rPr>
                <w:rFonts w:ascii="Arial Narrow" w:hAnsi="Arial Narrow" w:cs="Calibri"/>
                <w:color w:val="000000" w:themeColor="text1"/>
                <w:sz w:val="22"/>
                <w:szCs w:val="22"/>
              </w:rPr>
            </w:pPr>
          </w:p>
        </w:tc>
        <w:tc>
          <w:tcPr>
            <w:tcW w:w="1843" w:type="dxa"/>
            <w:tcBorders>
              <w:top w:val="nil"/>
              <w:left w:val="nil"/>
              <w:bottom w:val="nil"/>
              <w:right w:val="nil"/>
            </w:tcBorders>
            <w:shd w:val="clear" w:color="auto" w:fill="auto"/>
            <w:vAlign w:val="bottom"/>
            <w:hideMark/>
          </w:tcPr>
          <w:p w14:paraId="2480F834" w14:textId="41F18EF0" w:rsidR="00F9447D" w:rsidRPr="009E35ED" w:rsidRDefault="00F9447D" w:rsidP="009E5701">
            <w:pPr>
              <w:ind w:left="0" w:right="-71"/>
              <w:jc w:val="right"/>
              <w:rPr>
                <w:rFonts w:ascii="Arial Narrow" w:hAnsi="Arial Narrow"/>
                <w:color w:val="000000" w:themeColor="text1"/>
                <w:sz w:val="22"/>
                <w:szCs w:val="22"/>
              </w:rPr>
            </w:pPr>
          </w:p>
        </w:tc>
      </w:tr>
      <w:tr w:rsidR="00997F75" w:rsidRPr="009E35ED" w14:paraId="7CC91C7A" w14:textId="77777777" w:rsidTr="009E5701">
        <w:trPr>
          <w:trHeight w:val="144"/>
        </w:trPr>
        <w:tc>
          <w:tcPr>
            <w:tcW w:w="3960" w:type="dxa"/>
            <w:tcBorders>
              <w:top w:val="nil"/>
              <w:left w:val="nil"/>
              <w:right w:val="nil"/>
            </w:tcBorders>
            <w:shd w:val="clear" w:color="auto" w:fill="auto"/>
            <w:vAlign w:val="center"/>
            <w:hideMark/>
          </w:tcPr>
          <w:p w14:paraId="696F6E35" w14:textId="77777777" w:rsidR="00A02546" w:rsidRPr="009E35ED" w:rsidRDefault="00A02546" w:rsidP="00BF4257">
            <w:pPr>
              <w:ind w:left="-108"/>
              <w:rPr>
                <w:rFonts w:ascii="Arial Narrow" w:hAnsi="Arial Narrow" w:cs="Calibri"/>
                <w:color w:val="000000" w:themeColor="text1"/>
                <w:sz w:val="22"/>
                <w:szCs w:val="22"/>
              </w:rPr>
            </w:pPr>
            <w:r w:rsidRPr="009E35ED">
              <w:rPr>
                <w:rFonts w:ascii="Arial Narrow" w:hAnsi="Arial Narrow" w:cs="Calibri"/>
                <w:color w:val="000000" w:themeColor="text1"/>
                <w:sz w:val="22"/>
                <w:szCs w:val="22"/>
              </w:rPr>
              <w:t xml:space="preserve">  Interest income subject to final tax</w:t>
            </w:r>
          </w:p>
        </w:tc>
        <w:tc>
          <w:tcPr>
            <w:tcW w:w="2694" w:type="dxa"/>
            <w:tcBorders>
              <w:top w:val="nil"/>
              <w:left w:val="nil"/>
              <w:right w:val="nil"/>
            </w:tcBorders>
            <w:shd w:val="clear" w:color="auto" w:fill="auto"/>
            <w:vAlign w:val="bottom"/>
          </w:tcPr>
          <w:p w14:paraId="72E3DFAA" w14:textId="50D52699" w:rsidR="00A02546" w:rsidRPr="009E35ED" w:rsidRDefault="00A02546" w:rsidP="00FF1307">
            <w:pPr>
              <w:ind w:left="0"/>
              <w:jc w:val="right"/>
              <w:rPr>
                <w:rFonts w:ascii="Arial Narrow" w:hAnsi="Arial Narrow" w:cs="Calibri"/>
                <w:color w:val="000000" w:themeColor="text1"/>
                <w:sz w:val="22"/>
                <w:szCs w:val="22"/>
              </w:rPr>
            </w:pPr>
            <w:r w:rsidRPr="009E35ED">
              <w:rPr>
                <w:rFonts w:ascii="Arial Narrow" w:hAnsi="Arial Narrow"/>
                <w:color w:val="000000" w:themeColor="text1"/>
                <w:sz w:val="22"/>
                <w:szCs w:val="22"/>
              </w:rPr>
              <w:t>(2</w:t>
            </w:r>
            <w:r w:rsidR="00FF1307" w:rsidRPr="009E35ED">
              <w:rPr>
                <w:rFonts w:ascii="Arial Narrow" w:hAnsi="Arial Narrow"/>
                <w:color w:val="000000" w:themeColor="text1"/>
                <w:sz w:val="22"/>
                <w:szCs w:val="22"/>
              </w:rPr>
              <w:t>08,088,988</w:t>
            </w:r>
            <w:r w:rsidRPr="009E35ED">
              <w:rPr>
                <w:rFonts w:ascii="Arial Narrow" w:hAnsi="Arial Narrow"/>
                <w:color w:val="000000" w:themeColor="text1"/>
                <w:sz w:val="22"/>
                <w:szCs w:val="22"/>
              </w:rPr>
              <w:t>)</w:t>
            </w:r>
          </w:p>
        </w:tc>
        <w:tc>
          <w:tcPr>
            <w:tcW w:w="1843" w:type="dxa"/>
            <w:tcBorders>
              <w:top w:val="nil"/>
              <w:left w:val="nil"/>
              <w:right w:val="nil"/>
            </w:tcBorders>
            <w:shd w:val="clear" w:color="auto" w:fill="auto"/>
            <w:vAlign w:val="bottom"/>
            <w:hideMark/>
          </w:tcPr>
          <w:p w14:paraId="2B0869A1" w14:textId="5D80F2E7" w:rsidR="00A02546" w:rsidRPr="009E35ED" w:rsidRDefault="00A02546" w:rsidP="009E5701">
            <w:pPr>
              <w:ind w:left="0" w:right="-71"/>
              <w:jc w:val="right"/>
              <w:rPr>
                <w:rFonts w:ascii="Arial Narrow" w:hAnsi="Arial Narrow" w:cs="Calibri"/>
                <w:color w:val="000000" w:themeColor="text1"/>
                <w:sz w:val="22"/>
                <w:szCs w:val="22"/>
              </w:rPr>
            </w:pPr>
            <w:r w:rsidRPr="009E35ED">
              <w:rPr>
                <w:rFonts w:ascii="Arial Narrow" w:hAnsi="Arial Narrow"/>
                <w:color w:val="000000" w:themeColor="text1"/>
                <w:sz w:val="22"/>
                <w:szCs w:val="22"/>
              </w:rPr>
              <w:t>(100,180,508)</w:t>
            </w:r>
          </w:p>
        </w:tc>
      </w:tr>
      <w:tr w:rsidR="00997F75" w:rsidRPr="009E35ED" w14:paraId="64C1B667" w14:textId="77777777" w:rsidTr="009E5701">
        <w:trPr>
          <w:trHeight w:val="81"/>
        </w:trPr>
        <w:tc>
          <w:tcPr>
            <w:tcW w:w="3960" w:type="dxa"/>
            <w:tcBorders>
              <w:top w:val="nil"/>
              <w:left w:val="nil"/>
              <w:right w:val="nil"/>
            </w:tcBorders>
            <w:shd w:val="clear" w:color="auto" w:fill="auto"/>
            <w:vAlign w:val="center"/>
            <w:hideMark/>
          </w:tcPr>
          <w:p w14:paraId="4A56701A" w14:textId="77777777" w:rsidR="00A02546" w:rsidRPr="009E35ED" w:rsidRDefault="00A02546" w:rsidP="00BF4257">
            <w:pPr>
              <w:ind w:left="-108"/>
              <w:rPr>
                <w:rFonts w:ascii="Arial Narrow" w:hAnsi="Arial Narrow" w:cs="Calibri"/>
                <w:color w:val="000000" w:themeColor="text1"/>
                <w:sz w:val="22"/>
                <w:szCs w:val="22"/>
              </w:rPr>
            </w:pPr>
            <w:r w:rsidRPr="009E35ED">
              <w:rPr>
                <w:rFonts w:ascii="Arial Narrow" w:hAnsi="Arial Narrow" w:cs="Calibri"/>
                <w:color w:val="000000" w:themeColor="text1"/>
                <w:sz w:val="22"/>
                <w:szCs w:val="22"/>
              </w:rPr>
              <w:t xml:space="preserve">  Tax Assessment</w:t>
            </w:r>
          </w:p>
        </w:tc>
        <w:tc>
          <w:tcPr>
            <w:tcW w:w="2694" w:type="dxa"/>
            <w:tcBorders>
              <w:top w:val="nil"/>
              <w:left w:val="nil"/>
              <w:right w:val="nil"/>
            </w:tcBorders>
            <w:shd w:val="clear" w:color="auto" w:fill="auto"/>
            <w:vAlign w:val="bottom"/>
          </w:tcPr>
          <w:p w14:paraId="711771FB" w14:textId="2E98893E" w:rsidR="00A02546" w:rsidRPr="009E35ED" w:rsidRDefault="00A02546" w:rsidP="00C06DC4">
            <w:pPr>
              <w:ind w:left="0"/>
              <w:jc w:val="right"/>
              <w:rPr>
                <w:rFonts w:ascii="Arial Narrow" w:hAnsi="Arial Narrow" w:cs="Calibri"/>
                <w:color w:val="000000" w:themeColor="text1"/>
                <w:sz w:val="22"/>
                <w:szCs w:val="22"/>
              </w:rPr>
            </w:pPr>
          </w:p>
        </w:tc>
        <w:tc>
          <w:tcPr>
            <w:tcW w:w="1843" w:type="dxa"/>
            <w:tcBorders>
              <w:top w:val="nil"/>
              <w:left w:val="nil"/>
              <w:right w:val="nil"/>
            </w:tcBorders>
            <w:shd w:val="clear" w:color="auto" w:fill="auto"/>
            <w:vAlign w:val="bottom"/>
            <w:hideMark/>
          </w:tcPr>
          <w:p w14:paraId="2B7C908A" w14:textId="406F2DB2" w:rsidR="00A02546" w:rsidRPr="009E35ED" w:rsidRDefault="00A02546" w:rsidP="009E5701">
            <w:pPr>
              <w:ind w:left="0" w:right="-71"/>
              <w:jc w:val="right"/>
              <w:rPr>
                <w:rFonts w:ascii="Arial Narrow" w:hAnsi="Arial Narrow" w:cs="Calibri"/>
                <w:color w:val="000000" w:themeColor="text1"/>
                <w:sz w:val="22"/>
                <w:szCs w:val="22"/>
              </w:rPr>
            </w:pPr>
          </w:p>
        </w:tc>
      </w:tr>
      <w:tr w:rsidR="005032DE" w:rsidRPr="009E35ED" w14:paraId="1AA4CA8C" w14:textId="77777777" w:rsidTr="009E5701">
        <w:trPr>
          <w:trHeight w:val="81"/>
        </w:trPr>
        <w:tc>
          <w:tcPr>
            <w:tcW w:w="3960" w:type="dxa"/>
            <w:tcBorders>
              <w:left w:val="nil"/>
              <w:bottom w:val="nil"/>
              <w:right w:val="nil"/>
            </w:tcBorders>
            <w:shd w:val="clear" w:color="auto" w:fill="auto"/>
            <w:vAlign w:val="center"/>
            <w:hideMark/>
          </w:tcPr>
          <w:p w14:paraId="767F7710" w14:textId="6060A50B" w:rsidR="005032DE" w:rsidRPr="009E35ED" w:rsidRDefault="005032DE" w:rsidP="00BF4257">
            <w:pPr>
              <w:ind w:left="-108"/>
              <w:rPr>
                <w:rFonts w:ascii="Arial Narrow" w:hAnsi="Arial Narrow" w:cs="Calibri"/>
                <w:color w:val="000000" w:themeColor="text1"/>
                <w:sz w:val="22"/>
                <w:szCs w:val="22"/>
              </w:rPr>
            </w:pPr>
            <w:r w:rsidRPr="009E35ED">
              <w:rPr>
                <w:rFonts w:ascii="Arial Narrow" w:hAnsi="Arial Narrow" w:cs="Calibri"/>
                <w:sz w:val="22"/>
                <w:szCs w:val="22"/>
              </w:rPr>
              <w:t>Temporary Differences:</w:t>
            </w:r>
          </w:p>
        </w:tc>
        <w:tc>
          <w:tcPr>
            <w:tcW w:w="2694" w:type="dxa"/>
            <w:tcBorders>
              <w:left w:val="nil"/>
              <w:bottom w:val="nil"/>
              <w:right w:val="nil"/>
            </w:tcBorders>
            <w:shd w:val="clear" w:color="auto" w:fill="auto"/>
            <w:vAlign w:val="bottom"/>
          </w:tcPr>
          <w:p w14:paraId="1307A55D" w14:textId="77777777" w:rsidR="005032DE" w:rsidRPr="009E35ED" w:rsidRDefault="005032DE" w:rsidP="005032DE">
            <w:pPr>
              <w:ind w:left="0"/>
              <w:jc w:val="right"/>
              <w:rPr>
                <w:rFonts w:ascii="Arial Narrow" w:hAnsi="Arial Narrow" w:cs="Calibri"/>
                <w:color w:val="000000" w:themeColor="text1"/>
                <w:sz w:val="22"/>
                <w:szCs w:val="22"/>
              </w:rPr>
            </w:pPr>
          </w:p>
        </w:tc>
        <w:tc>
          <w:tcPr>
            <w:tcW w:w="1843" w:type="dxa"/>
            <w:tcBorders>
              <w:left w:val="nil"/>
              <w:bottom w:val="nil"/>
              <w:right w:val="nil"/>
            </w:tcBorders>
            <w:shd w:val="clear" w:color="auto" w:fill="auto"/>
            <w:vAlign w:val="bottom"/>
            <w:hideMark/>
          </w:tcPr>
          <w:p w14:paraId="275FA0B3" w14:textId="77777777" w:rsidR="005032DE" w:rsidRPr="009E35ED" w:rsidRDefault="005032DE" w:rsidP="009E5701">
            <w:pPr>
              <w:ind w:left="0" w:right="-71"/>
              <w:jc w:val="right"/>
              <w:rPr>
                <w:rFonts w:ascii="Arial Narrow" w:hAnsi="Arial Narrow"/>
                <w:color w:val="000000" w:themeColor="text1"/>
                <w:sz w:val="22"/>
                <w:szCs w:val="22"/>
              </w:rPr>
            </w:pPr>
          </w:p>
        </w:tc>
      </w:tr>
      <w:tr w:rsidR="005032DE" w:rsidRPr="009E35ED" w14:paraId="5BC54421" w14:textId="77777777" w:rsidTr="009E5701">
        <w:trPr>
          <w:trHeight w:val="81"/>
        </w:trPr>
        <w:tc>
          <w:tcPr>
            <w:tcW w:w="3960" w:type="dxa"/>
            <w:tcBorders>
              <w:top w:val="nil"/>
              <w:left w:val="nil"/>
              <w:bottom w:val="nil"/>
              <w:right w:val="nil"/>
            </w:tcBorders>
            <w:shd w:val="clear" w:color="auto" w:fill="auto"/>
            <w:vAlign w:val="center"/>
          </w:tcPr>
          <w:p w14:paraId="5236C513" w14:textId="3C10D8F6" w:rsidR="005032DE" w:rsidRPr="009E35ED" w:rsidRDefault="005032DE" w:rsidP="00BF4257">
            <w:pPr>
              <w:ind w:left="-108"/>
              <w:rPr>
                <w:rFonts w:ascii="Arial Narrow" w:hAnsi="Arial Narrow" w:cs="Calibri"/>
                <w:color w:val="000000" w:themeColor="text1"/>
                <w:sz w:val="22"/>
                <w:szCs w:val="22"/>
              </w:rPr>
            </w:pPr>
            <w:r w:rsidRPr="009E35ED">
              <w:rPr>
                <w:rFonts w:ascii="Arial Narrow" w:hAnsi="Arial Narrow" w:cs="Calibri"/>
                <w:sz w:val="22"/>
                <w:szCs w:val="22"/>
              </w:rPr>
              <w:t xml:space="preserve">   Impairment Loss</w:t>
            </w:r>
          </w:p>
        </w:tc>
        <w:tc>
          <w:tcPr>
            <w:tcW w:w="2694" w:type="dxa"/>
            <w:tcBorders>
              <w:top w:val="nil"/>
              <w:left w:val="nil"/>
              <w:bottom w:val="nil"/>
              <w:right w:val="nil"/>
            </w:tcBorders>
            <w:shd w:val="clear" w:color="auto" w:fill="auto"/>
            <w:vAlign w:val="bottom"/>
          </w:tcPr>
          <w:p w14:paraId="1A335E6B" w14:textId="1AC3FB2D" w:rsidR="005032DE" w:rsidRPr="009E35ED" w:rsidRDefault="005032DE" w:rsidP="005032DE">
            <w:pPr>
              <w:ind w:left="0"/>
              <w:jc w:val="right"/>
              <w:rPr>
                <w:rFonts w:ascii="Arial Narrow" w:hAnsi="Arial Narrow" w:cs="Calibri"/>
                <w:color w:val="000000" w:themeColor="text1"/>
                <w:sz w:val="22"/>
                <w:szCs w:val="22"/>
              </w:rPr>
            </w:pPr>
            <w:r w:rsidRPr="009E35ED">
              <w:rPr>
                <w:rFonts w:ascii="Arial Narrow" w:hAnsi="Arial Narrow"/>
                <w:sz w:val="22"/>
                <w:szCs w:val="22"/>
              </w:rPr>
              <w:t xml:space="preserve"> 764,728,013 </w:t>
            </w:r>
          </w:p>
        </w:tc>
        <w:tc>
          <w:tcPr>
            <w:tcW w:w="1843" w:type="dxa"/>
            <w:tcBorders>
              <w:top w:val="nil"/>
              <w:left w:val="nil"/>
              <w:bottom w:val="nil"/>
              <w:right w:val="nil"/>
            </w:tcBorders>
            <w:shd w:val="clear" w:color="auto" w:fill="auto"/>
            <w:vAlign w:val="bottom"/>
          </w:tcPr>
          <w:p w14:paraId="3FB9F3A8" w14:textId="3BF50E9A" w:rsidR="005032DE" w:rsidRPr="009E35ED" w:rsidRDefault="005032DE" w:rsidP="009E5701">
            <w:pPr>
              <w:ind w:left="0" w:right="-71"/>
              <w:jc w:val="right"/>
              <w:rPr>
                <w:rFonts w:ascii="Arial Narrow" w:hAnsi="Arial Narrow"/>
                <w:color w:val="000000" w:themeColor="text1"/>
                <w:sz w:val="22"/>
                <w:szCs w:val="22"/>
              </w:rPr>
            </w:pPr>
            <w:r w:rsidRPr="009E35ED">
              <w:rPr>
                <w:rFonts w:ascii="Arial Narrow" w:hAnsi="Arial Narrow"/>
                <w:color w:val="000000" w:themeColor="text1"/>
                <w:sz w:val="22"/>
                <w:szCs w:val="22"/>
              </w:rPr>
              <w:t xml:space="preserve"> 1,832,985,149 </w:t>
            </w:r>
          </w:p>
        </w:tc>
      </w:tr>
      <w:tr w:rsidR="005032DE" w:rsidRPr="009E35ED" w14:paraId="53ADB309" w14:textId="77777777" w:rsidTr="009E5701">
        <w:trPr>
          <w:trHeight w:val="81"/>
        </w:trPr>
        <w:tc>
          <w:tcPr>
            <w:tcW w:w="3960" w:type="dxa"/>
            <w:tcBorders>
              <w:top w:val="nil"/>
              <w:left w:val="nil"/>
              <w:bottom w:val="nil"/>
              <w:right w:val="nil"/>
            </w:tcBorders>
            <w:shd w:val="clear" w:color="auto" w:fill="auto"/>
            <w:vAlign w:val="center"/>
          </w:tcPr>
          <w:p w14:paraId="7E407A08" w14:textId="4CCA14FB" w:rsidR="005032DE" w:rsidRPr="009E35ED" w:rsidRDefault="005032DE" w:rsidP="00BF4257">
            <w:pPr>
              <w:ind w:left="-108"/>
              <w:rPr>
                <w:rFonts w:ascii="Arial Narrow" w:hAnsi="Arial Narrow" w:cs="Calibri"/>
                <w:color w:val="000000" w:themeColor="text1"/>
                <w:sz w:val="22"/>
                <w:szCs w:val="22"/>
              </w:rPr>
            </w:pPr>
            <w:r w:rsidRPr="009E35ED">
              <w:rPr>
                <w:rFonts w:ascii="Arial Narrow" w:hAnsi="Arial Narrow" w:cs="Calibri"/>
                <w:sz w:val="22"/>
                <w:szCs w:val="22"/>
              </w:rPr>
              <w:t xml:space="preserve">   Depreciation of Right-of-Use asset</w:t>
            </w:r>
          </w:p>
        </w:tc>
        <w:tc>
          <w:tcPr>
            <w:tcW w:w="2694" w:type="dxa"/>
            <w:tcBorders>
              <w:top w:val="nil"/>
              <w:left w:val="nil"/>
              <w:bottom w:val="nil"/>
              <w:right w:val="nil"/>
            </w:tcBorders>
            <w:shd w:val="clear" w:color="auto" w:fill="auto"/>
            <w:vAlign w:val="bottom"/>
          </w:tcPr>
          <w:p w14:paraId="0A967A9F" w14:textId="706215C7" w:rsidR="005032DE" w:rsidRPr="009E35ED" w:rsidRDefault="005032DE" w:rsidP="00166F1B">
            <w:pPr>
              <w:ind w:left="0"/>
              <w:jc w:val="right"/>
              <w:rPr>
                <w:rFonts w:ascii="Arial Narrow" w:hAnsi="Arial Narrow"/>
                <w:color w:val="000000" w:themeColor="text1"/>
                <w:sz w:val="22"/>
                <w:szCs w:val="22"/>
              </w:rPr>
            </w:pPr>
            <w:r w:rsidRPr="009E35ED">
              <w:rPr>
                <w:rFonts w:ascii="Arial Narrow" w:hAnsi="Arial Narrow"/>
                <w:sz w:val="22"/>
                <w:szCs w:val="22"/>
              </w:rPr>
              <w:t>419,427,28</w:t>
            </w:r>
            <w:r w:rsidR="00166F1B" w:rsidRPr="009E35ED">
              <w:rPr>
                <w:rFonts w:ascii="Arial Narrow" w:hAnsi="Arial Narrow"/>
                <w:sz w:val="22"/>
                <w:szCs w:val="22"/>
              </w:rPr>
              <w:t>6</w:t>
            </w:r>
          </w:p>
        </w:tc>
        <w:tc>
          <w:tcPr>
            <w:tcW w:w="1843" w:type="dxa"/>
            <w:tcBorders>
              <w:top w:val="nil"/>
              <w:left w:val="nil"/>
              <w:bottom w:val="nil"/>
              <w:right w:val="nil"/>
            </w:tcBorders>
            <w:shd w:val="clear" w:color="auto" w:fill="auto"/>
            <w:vAlign w:val="bottom"/>
          </w:tcPr>
          <w:p w14:paraId="49EAE706" w14:textId="3F22727A" w:rsidR="005032DE" w:rsidRPr="009E35ED" w:rsidRDefault="005032DE" w:rsidP="009E5701">
            <w:pPr>
              <w:ind w:left="0" w:right="-71"/>
              <w:jc w:val="right"/>
              <w:rPr>
                <w:rFonts w:ascii="Arial Narrow" w:hAnsi="Arial Narrow"/>
                <w:color w:val="000000" w:themeColor="text1"/>
                <w:sz w:val="22"/>
                <w:szCs w:val="22"/>
              </w:rPr>
            </w:pPr>
            <w:r w:rsidRPr="009E35ED">
              <w:rPr>
                <w:rFonts w:ascii="Arial Narrow" w:hAnsi="Arial Narrow"/>
                <w:color w:val="000000" w:themeColor="text1"/>
                <w:sz w:val="22"/>
                <w:szCs w:val="22"/>
              </w:rPr>
              <w:t>-</w:t>
            </w:r>
          </w:p>
        </w:tc>
      </w:tr>
      <w:tr w:rsidR="005032DE" w:rsidRPr="009E35ED" w14:paraId="4863B3AD" w14:textId="77777777" w:rsidTr="009E5701">
        <w:trPr>
          <w:trHeight w:val="81"/>
        </w:trPr>
        <w:tc>
          <w:tcPr>
            <w:tcW w:w="3960" w:type="dxa"/>
            <w:tcBorders>
              <w:top w:val="nil"/>
              <w:left w:val="nil"/>
              <w:bottom w:val="nil"/>
              <w:right w:val="nil"/>
            </w:tcBorders>
            <w:shd w:val="clear" w:color="auto" w:fill="auto"/>
            <w:vAlign w:val="center"/>
          </w:tcPr>
          <w:p w14:paraId="2EE0378C" w14:textId="3EADC3DC" w:rsidR="005032DE" w:rsidRPr="009E35ED" w:rsidRDefault="005032DE" w:rsidP="00BF4257">
            <w:pPr>
              <w:ind w:left="-108"/>
              <w:rPr>
                <w:rFonts w:ascii="Arial Narrow" w:hAnsi="Arial Narrow" w:cs="Calibri"/>
                <w:color w:val="000000" w:themeColor="text1"/>
                <w:sz w:val="22"/>
                <w:szCs w:val="22"/>
              </w:rPr>
            </w:pPr>
            <w:r w:rsidRPr="009E35ED">
              <w:rPr>
                <w:rFonts w:ascii="Arial Narrow" w:hAnsi="Arial Narrow" w:cs="Calibri"/>
                <w:sz w:val="22"/>
                <w:szCs w:val="22"/>
              </w:rPr>
              <w:t xml:space="preserve">   Rent Expense - Lease</w:t>
            </w:r>
          </w:p>
        </w:tc>
        <w:tc>
          <w:tcPr>
            <w:tcW w:w="2694" w:type="dxa"/>
            <w:tcBorders>
              <w:top w:val="nil"/>
              <w:left w:val="nil"/>
              <w:bottom w:val="nil"/>
              <w:right w:val="nil"/>
            </w:tcBorders>
            <w:shd w:val="clear" w:color="auto" w:fill="auto"/>
            <w:vAlign w:val="bottom"/>
          </w:tcPr>
          <w:p w14:paraId="6ABFC32F" w14:textId="446250B4" w:rsidR="005032DE" w:rsidRPr="009E35ED" w:rsidRDefault="005032DE" w:rsidP="005032DE">
            <w:pPr>
              <w:ind w:left="0"/>
              <w:jc w:val="right"/>
              <w:rPr>
                <w:rFonts w:ascii="Arial Narrow" w:hAnsi="Arial Narrow"/>
                <w:color w:val="000000" w:themeColor="text1"/>
                <w:sz w:val="22"/>
                <w:szCs w:val="22"/>
              </w:rPr>
            </w:pPr>
            <w:r w:rsidRPr="009E35ED">
              <w:rPr>
                <w:rFonts w:ascii="Arial Narrow" w:hAnsi="Arial Narrow"/>
                <w:sz w:val="22"/>
                <w:szCs w:val="22"/>
              </w:rPr>
              <w:t>(467,655,916)</w:t>
            </w:r>
          </w:p>
        </w:tc>
        <w:tc>
          <w:tcPr>
            <w:tcW w:w="1843" w:type="dxa"/>
            <w:tcBorders>
              <w:top w:val="nil"/>
              <w:left w:val="nil"/>
              <w:bottom w:val="nil"/>
              <w:right w:val="nil"/>
            </w:tcBorders>
            <w:shd w:val="clear" w:color="auto" w:fill="auto"/>
            <w:vAlign w:val="bottom"/>
          </w:tcPr>
          <w:p w14:paraId="59AFCD4C" w14:textId="7F13EC8F" w:rsidR="005032DE" w:rsidRPr="009E35ED" w:rsidRDefault="005032DE" w:rsidP="009E5701">
            <w:pPr>
              <w:ind w:left="0" w:right="-71"/>
              <w:jc w:val="right"/>
              <w:rPr>
                <w:rFonts w:ascii="Arial Narrow" w:hAnsi="Arial Narrow"/>
                <w:color w:val="000000" w:themeColor="text1"/>
                <w:sz w:val="22"/>
                <w:szCs w:val="22"/>
              </w:rPr>
            </w:pPr>
            <w:r w:rsidRPr="009E35ED">
              <w:rPr>
                <w:rFonts w:ascii="Arial Narrow" w:hAnsi="Arial Narrow"/>
                <w:color w:val="000000" w:themeColor="text1"/>
                <w:sz w:val="22"/>
                <w:szCs w:val="22"/>
              </w:rPr>
              <w:t>-</w:t>
            </w:r>
          </w:p>
        </w:tc>
      </w:tr>
      <w:tr w:rsidR="005032DE" w:rsidRPr="009E35ED" w14:paraId="3C92CD80" w14:textId="77777777" w:rsidTr="009E5701">
        <w:trPr>
          <w:trHeight w:val="81"/>
        </w:trPr>
        <w:tc>
          <w:tcPr>
            <w:tcW w:w="3960" w:type="dxa"/>
            <w:tcBorders>
              <w:top w:val="nil"/>
              <w:left w:val="nil"/>
              <w:bottom w:val="nil"/>
              <w:right w:val="nil"/>
            </w:tcBorders>
            <w:shd w:val="clear" w:color="auto" w:fill="auto"/>
            <w:vAlign w:val="center"/>
            <w:hideMark/>
          </w:tcPr>
          <w:p w14:paraId="3EFB1654" w14:textId="5529423F" w:rsidR="005032DE" w:rsidRPr="009E35ED" w:rsidRDefault="005032DE" w:rsidP="00BF4257">
            <w:pPr>
              <w:ind w:left="-108"/>
              <w:rPr>
                <w:rFonts w:ascii="Arial Narrow" w:hAnsi="Arial Narrow" w:cs="Calibri"/>
                <w:color w:val="000000" w:themeColor="text1"/>
                <w:sz w:val="22"/>
                <w:szCs w:val="22"/>
              </w:rPr>
            </w:pPr>
            <w:r w:rsidRPr="009E35ED">
              <w:rPr>
                <w:rFonts w:ascii="Arial Narrow" w:hAnsi="Arial Narrow" w:cs="Calibri"/>
                <w:sz w:val="22"/>
                <w:szCs w:val="22"/>
              </w:rPr>
              <w:t xml:space="preserve">   Provision for retirement benefits</w:t>
            </w:r>
          </w:p>
        </w:tc>
        <w:tc>
          <w:tcPr>
            <w:tcW w:w="2694" w:type="dxa"/>
            <w:tcBorders>
              <w:top w:val="nil"/>
              <w:left w:val="nil"/>
              <w:bottom w:val="nil"/>
              <w:right w:val="nil"/>
            </w:tcBorders>
            <w:shd w:val="clear" w:color="auto" w:fill="auto"/>
            <w:vAlign w:val="bottom"/>
          </w:tcPr>
          <w:p w14:paraId="41947A91" w14:textId="545C0E39" w:rsidR="005032DE" w:rsidRPr="009E35ED" w:rsidRDefault="005032DE" w:rsidP="005032DE">
            <w:pPr>
              <w:ind w:left="0"/>
              <w:jc w:val="right"/>
              <w:rPr>
                <w:rFonts w:ascii="Arial Narrow" w:hAnsi="Arial Narrow" w:cs="Calibri"/>
                <w:color w:val="000000" w:themeColor="text1"/>
                <w:sz w:val="22"/>
                <w:szCs w:val="22"/>
              </w:rPr>
            </w:pPr>
            <w:r w:rsidRPr="009E35ED">
              <w:rPr>
                <w:rFonts w:ascii="Arial Narrow" w:hAnsi="Arial Narrow"/>
                <w:sz w:val="22"/>
                <w:szCs w:val="22"/>
              </w:rPr>
              <w:t>55,959,756</w:t>
            </w:r>
          </w:p>
        </w:tc>
        <w:tc>
          <w:tcPr>
            <w:tcW w:w="1843" w:type="dxa"/>
            <w:tcBorders>
              <w:top w:val="nil"/>
              <w:left w:val="nil"/>
              <w:bottom w:val="nil"/>
              <w:right w:val="nil"/>
            </w:tcBorders>
            <w:shd w:val="clear" w:color="auto" w:fill="auto"/>
            <w:vAlign w:val="bottom"/>
            <w:hideMark/>
          </w:tcPr>
          <w:p w14:paraId="782EF5A6" w14:textId="24052488" w:rsidR="005032DE" w:rsidRPr="009E35ED" w:rsidRDefault="005032DE" w:rsidP="009E5701">
            <w:pPr>
              <w:ind w:left="0" w:right="-71"/>
              <w:jc w:val="right"/>
              <w:rPr>
                <w:rFonts w:ascii="Arial Narrow" w:hAnsi="Arial Narrow" w:cs="Calibri"/>
                <w:color w:val="000000" w:themeColor="text1"/>
                <w:sz w:val="22"/>
                <w:szCs w:val="22"/>
              </w:rPr>
            </w:pPr>
            <w:r w:rsidRPr="009E35ED">
              <w:rPr>
                <w:rFonts w:ascii="Arial Narrow" w:hAnsi="Arial Narrow"/>
                <w:color w:val="000000" w:themeColor="text1"/>
                <w:sz w:val="22"/>
                <w:szCs w:val="22"/>
              </w:rPr>
              <w:t>20,320,569</w:t>
            </w:r>
          </w:p>
        </w:tc>
      </w:tr>
      <w:tr w:rsidR="005032DE" w:rsidRPr="009E35ED" w14:paraId="28FBE4A0" w14:textId="77777777" w:rsidTr="009E5701">
        <w:trPr>
          <w:trHeight w:val="81"/>
        </w:trPr>
        <w:tc>
          <w:tcPr>
            <w:tcW w:w="3960" w:type="dxa"/>
            <w:tcBorders>
              <w:top w:val="nil"/>
              <w:left w:val="nil"/>
              <w:bottom w:val="nil"/>
              <w:right w:val="nil"/>
            </w:tcBorders>
            <w:shd w:val="clear" w:color="auto" w:fill="auto"/>
            <w:vAlign w:val="center"/>
          </w:tcPr>
          <w:p w14:paraId="13CC87AF" w14:textId="6A9A7573" w:rsidR="005032DE" w:rsidRPr="009E35ED" w:rsidRDefault="005032DE" w:rsidP="00BF4257">
            <w:pPr>
              <w:ind w:left="-108"/>
              <w:rPr>
                <w:rFonts w:ascii="Arial Narrow" w:hAnsi="Arial Narrow" w:cs="Calibri"/>
                <w:color w:val="000000" w:themeColor="text1"/>
                <w:sz w:val="22"/>
                <w:szCs w:val="22"/>
              </w:rPr>
            </w:pPr>
            <w:r w:rsidRPr="009E35ED">
              <w:rPr>
                <w:rFonts w:ascii="Arial Narrow" w:hAnsi="Arial Narrow" w:cs="Calibri"/>
                <w:sz w:val="22"/>
                <w:szCs w:val="22"/>
              </w:rPr>
              <w:t xml:space="preserve">   Provision for printing cost - STL</w:t>
            </w:r>
          </w:p>
        </w:tc>
        <w:tc>
          <w:tcPr>
            <w:tcW w:w="2694" w:type="dxa"/>
            <w:tcBorders>
              <w:top w:val="nil"/>
              <w:left w:val="nil"/>
              <w:bottom w:val="nil"/>
              <w:right w:val="nil"/>
            </w:tcBorders>
            <w:shd w:val="clear" w:color="auto" w:fill="auto"/>
            <w:vAlign w:val="bottom"/>
          </w:tcPr>
          <w:p w14:paraId="287DEE16" w14:textId="4298A753" w:rsidR="005032DE" w:rsidRPr="009E35ED" w:rsidRDefault="005032DE" w:rsidP="005032DE">
            <w:pPr>
              <w:ind w:left="0"/>
              <w:jc w:val="right"/>
              <w:rPr>
                <w:rFonts w:ascii="Arial Narrow" w:hAnsi="Arial Narrow"/>
                <w:color w:val="000000" w:themeColor="text1"/>
                <w:sz w:val="22"/>
                <w:szCs w:val="22"/>
              </w:rPr>
            </w:pPr>
            <w:r w:rsidRPr="009E35ED">
              <w:rPr>
                <w:rFonts w:ascii="Arial Narrow" w:hAnsi="Arial Narrow"/>
                <w:sz w:val="22"/>
                <w:szCs w:val="22"/>
              </w:rPr>
              <w:t>594,687,283</w:t>
            </w:r>
          </w:p>
        </w:tc>
        <w:tc>
          <w:tcPr>
            <w:tcW w:w="1843" w:type="dxa"/>
            <w:tcBorders>
              <w:top w:val="nil"/>
              <w:left w:val="nil"/>
              <w:bottom w:val="nil"/>
              <w:right w:val="nil"/>
            </w:tcBorders>
            <w:shd w:val="clear" w:color="auto" w:fill="auto"/>
            <w:vAlign w:val="bottom"/>
          </w:tcPr>
          <w:p w14:paraId="02238D99" w14:textId="77777777" w:rsidR="005032DE" w:rsidRPr="009E35ED" w:rsidRDefault="005032DE" w:rsidP="009E5701">
            <w:pPr>
              <w:ind w:left="0" w:right="-71"/>
              <w:jc w:val="right"/>
              <w:rPr>
                <w:rFonts w:ascii="Arial Narrow" w:hAnsi="Arial Narrow"/>
                <w:color w:val="000000" w:themeColor="text1"/>
                <w:sz w:val="22"/>
                <w:szCs w:val="22"/>
              </w:rPr>
            </w:pPr>
          </w:p>
        </w:tc>
      </w:tr>
      <w:tr w:rsidR="005032DE" w:rsidRPr="009E35ED" w14:paraId="6479184F" w14:textId="77777777" w:rsidTr="009E5701">
        <w:trPr>
          <w:trHeight w:val="243"/>
        </w:trPr>
        <w:tc>
          <w:tcPr>
            <w:tcW w:w="3960" w:type="dxa"/>
            <w:tcBorders>
              <w:top w:val="nil"/>
              <w:left w:val="nil"/>
              <w:bottom w:val="single" w:sz="8" w:space="0" w:color="auto"/>
              <w:right w:val="nil"/>
            </w:tcBorders>
            <w:shd w:val="clear" w:color="auto" w:fill="auto"/>
            <w:vAlign w:val="center"/>
            <w:hideMark/>
          </w:tcPr>
          <w:p w14:paraId="66E28C6D" w14:textId="4C0DB28C" w:rsidR="005032DE" w:rsidRPr="009E35ED" w:rsidRDefault="005032DE" w:rsidP="00BF4257">
            <w:pPr>
              <w:ind w:left="-108"/>
              <w:rPr>
                <w:rFonts w:ascii="Arial Narrow" w:hAnsi="Arial Narrow" w:cs="Calibri"/>
                <w:color w:val="000000" w:themeColor="text1"/>
                <w:sz w:val="22"/>
                <w:szCs w:val="22"/>
              </w:rPr>
            </w:pPr>
            <w:r w:rsidRPr="009E35ED">
              <w:rPr>
                <w:rFonts w:ascii="Arial Narrow" w:hAnsi="Arial Narrow" w:cs="Calibri"/>
                <w:sz w:val="22"/>
                <w:szCs w:val="22"/>
              </w:rPr>
              <w:t xml:space="preserve">   Unrealized gain/loss on foreign exchange</w:t>
            </w:r>
          </w:p>
        </w:tc>
        <w:tc>
          <w:tcPr>
            <w:tcW w:w="2694" w:type="dxa"/>
            <w:tcBorders>
              <w:top w:val="nil"/>
              <w:left w:val="nil"/>
              <w:bottom w:val="single" w:sz="8" w:space="0" w:color="auto"/>
              <w:right w:val="nil"/>
            </w:tcBorders>
            <w:shd w:val="clear" w:color="auto" w:fill="auto"/>
            <w:vAlign w:val="bottom"/>
          </w:tcPr>
          <w:p w14:paraId="1C322524" w14:textId="1C5C72FB" w:rsidR="005032DE" w:rsidRPr="009E35ED" w:rsidRDefault="005032DE" w:rsidP="005032DE">
            <w:pPr>
              <w:ind w:left="0"/>
              <w:jc w:val="right"/>
              <w:rPr>
                <w:rFonts w:ascii="Arial Narrow" w:hAnsi="Arial Narrow" w:cs="Calibri"/>
                <w:color w:val="000000" w:themeColor="text1"/>
                <w:sz w:val="22"/>
                <w:szCs w:val="22"/>
              </w:rPr>
            </w:pPr>
            <w:r w:rsidRPr="009E35ED">
              <w:rPr>
                <w:rFonts w:ascii="Arial Narrow" w:hAnsi="Arial Narrow"/>
                <w:sz w:val="22"/>
                <w:szCs w:val="22"/>
              </w:rPr>
              <w:t>2,672,363</w:t>
            </w:r>
          </w:p>
        </w:tc>
        <w:tc>
          <w:tcPr>
            <w:tcW w:w="1843" w:type="dxa"/>
            <w:tcBorders>
              <w:top w:val="nil"/>
              <w:left w:val="nil"/>
              <w:bottom w:val="single" w:sz="8" w:space="0" w:color="auto"/>
              <w:right w:val="nil"/>
            </w:tcBorders>
            <w:shd w:val="clear" w:color="auto" w:fill="auto"/>
            <w:vAlign w:val="bottom"/>
            <w:hideMark/>
          </w:tcPr>
          <w:p w14:paraId="4AC78D00" w14:textId="29C7C630" w:rsidR="005032DE" w:rsidRPr="009E35ED" w:rsidRDefault="005032DE" w:rsidP="009E5701">
            <w:pPr>
              <w:ind w:left="0" w:right="-71"/>
              <w:jc w:val="right"/>
              <w:rPr>
                <w:rFonts w:ascii="Arial Narrow" w:hAnsi="Arial Narrow" w:cs="Calibri"/>
                <w:color w:val="000000" w:themeColor="text1"/>
                <w:sz w:val="22"/>
                <w:szCs w:val="22"/>
              </w:rPr>
            </w:pPr>
            <w:r w:rsidRPr="009E35ED">
              <w:rPr>
                <w:rFonts w:ascii="Arial Narrow" w:hAnsi="Arial Narrow"/>
                <w:color w:val="000000" w:themeColor="text1"/>
                <w:sz w:val="22"/>
                <w:szCs w:val="22"/>
              </w:rPr>
              <w:t>(32,566,656)</w:t>
            </w:r>
          </w:p>
        </w:tc>
      </w:tr>
      <w:tr w:rsidR="005032DE" w:rsidRPr="009E35ED" w14:paraId="2FFE9B2A" w14:textId="77777777" w:rsidTr="009E5701">
        <w:trPr>
          <w:trHeight w:val="243"/>
        </w:trPr>
        <w:tc>
          <w:tcPr>
            <w:tcW w:w="3960" w:type="dxa"/>
            <w:tcBorders>
              <w:top w:val="nil"/>
              <w:left w:val="nil"/>
              <w:bottom w:val="single" w:sz="8" w:space="0" w:color="auto"/>
              <w:right w:val="nil"/>
            </w:tcBorders>
            <w:shd w:val="clear" w:color="auto" w:fill="auto"/>
            <w:vAlign w:val="center"/>
            <w:hideMark/>
          </w:tcPr>
          <w:p w14:paraId="14A66A57" w14:textId="0643801F" w:rsidR="005032DE" w:rsidRPr="009E35ED" w:rsidRDefault="005032DE" w:rsidP="00BF4257">
            <w:pPr>
              <w:ind w:left="-108"/>
              <w:rPr>
                <w:rFonts w:ascii="Arial Narrow" w:hAnsi="Arial Narrow" w:cs="Calibri"/>
                <w:b/>
                <w:bCs/>
                <w:color w:val="000000" w:themeColor="text1"/>
                <w:sz w:val="22"/>
                <w:szCs w:val="22"/>
              </w:rPr>
            </w:pPr>
            <w:r w:rsidRPr="009E35ED">
              <w:rPr>
                <w:rFonts w:ascii="Arial Narrow" w:hAnsi="Arial Narrow" w:cs="Calibri"/>
                <w:b/>
                <w:bCs/>
                <w:sz w:val="22"/>
                <w:szCs w:val="22"/>
              </w:rPr>
              <w:t>Taxable income</w:t>
            </w:r>
          </w:p>
        </w:tc>
        <w:tc>
          <w:tcPr>
            <w:tcW w:w="2694" w:type="dxa"/>
            <w:tcBorders>
              <w:top w:val="nil"/>
              <w:left w:val="nil"/>
              <w:bottom w:val="single" w:sz="8" w:space="0" w:color="auto"/>
              <w:right w:val="nil"/>
            </w:tcBorders>
            <w:shd w:val="clear" w:color="auto" w:fill="auto"/>
            <w:vAlign w:val="bottom"/>
          </w:tcPr>
          <w:p w14:paraId="4F4A44B3" w14:textId="117879AD" w:rsidR="005032DE" w:rsidRPr="009E35ED" w:rsidRDefault="00166F1B" w:rsidP="005032DE">
            <w:pPr>
              <w:ind w:left="0"/>
              <w:jc w:val="right"/>
              <w:rPr>
                <w:rFonts w:ascii="Arial Narrow" w:hAnsi="Arial Narrow" w:cs="Calibri"/>
                <w:b/>
                <w:bCs/>
                <w:color w:val="000000" w:themeColor="text1"/>
                <w:sz w:val="22"/>
                <w:szCs w:val="22"/>
              </w:rPr>
            </w:pPr>
            <w:r w:rsidRPr="009E35ED">
              <w:rPr>
                <w:rFonts w:ascii="Arial Narrow" w:hAnsi="Arial Narrow"/>
                <w:b/>
                <w:bCs/>
                <w:sz w:val="22"/>
                <w:szCs w:val="22"/>
              </w:rPr>
              <w:t>6,390,619,381</w:t>
            </w:r>
          </w:p>
        </w:tc>
        <w:tc>
          <w:tcPr>
            <w:tcW w:w="1843" w:type="dxa"/>
            <w:tcBorders>
              <w:top w:val="nil"/>
              <w:left w:val="nil"/>
              <w:bottom w:val="single" w:sz="8" w:space="0" w:color="auto"/>
              <w:right w:val="nil"/>
            </w:tcBorders>
            <w:shd w:val="clear" w:color="auto" w:fill="auto"/>
            <w:vAlign w:val="bottom"/>
            <w:hideMark/>
          </w:tcPr>
          <w:p w14:paraId="6F3A7099" w14:textId="094907A8" w:rsidR="005032DE" w:rsidRPr="009E35ED" w:rsidRDefault="005032DE" w:rsidP="009E5701">
            <w:pPr>
              <w:ind w:left="0" w:right="-71"/>
              <w:jc w:val="right"/>
              <w:rPr>
                <w:rFonts w:ascii="Arial Narrow" w:hAnsi="Arial Narrow" w:cs="Calibri"/>
                <w:b/>
                <w:bCs/>
                <w:color w:val="000000" w:themeColor="text1"/>
                <w:sz w:val="22"/>
                <w:szCs w:val="22"/>
              </w:rPr>
            </w:pPr>
            <w:r w:rsidRPr="009E35ED">
              <w:rPr>
                <w:rFonts w:ascii="Arial Narrow" w:hAnsi="Arial Narrow"/>
                <w:b/>
                <w:bCs/>
                <w:color w:val="000000" w:themeColor="text1"/>
                <w:sz w:val="22"/>
                <w:szCs w:val="22"/>
              </w:rPr>
              <w:t>7,363,265,534</w:t>
            </w:r>
          </w:p>
        </w:tc>
      </w:tr>
      <w:tr w:rsidR="005032DE" w:rsidRPr="009E35ED" w14:paraId="4E518CE1" w14:textId="77777777" w:rsidTr="009E5701">
        <w:trPr>
          <w:trHeight w:val="243"/>
        </w:trPr>
        <w:tc>
          <w:tcPr>
            <w:tcW w:w="3960" w:type="dxa"/>
            <w:tcBorders>
              <w:top w:val="nil"/>
              <w:left w:val="nil"/>
              <w:bottom w:val="single" w:sz="8" w:space="0" w:color="auto"/>
              <w:right w:val="nil"/>
            </w:tcBorders>
            <w:shd w:val="clear" w:color="auto" w:fill="auto"/>
            <w:vAlign w:val="center"/>
            <w:hideMark/>
          </w:tcPr>
          <w:p w14:paraId="55935E37" w14:textId="09BB9404" w:rsidR="005032DE" w:rsidRPr="009E35ED" w:rsidRDefault="005032DE" w:rsidP="00BF4257">
            <w:pPr>
              <w:ind w:left="-108"/>
              <w:rPr>
                <w:rFonts w:ascii="Arial Narrow" w:hAnsi="Arial Narrow" w:cs="Calibri"/>
                <w:color w:val="000000" w:themeColor="text1"/>
                <w:sz w:val="22"/>
                <w:szCs w:val="22"/>
              </w:rPr>
            </w:pPr>
            <w:r w:rsidRPr="009E35ED">
              <w:rPr>
                <w:rFonts w:ascii="Arial Narrow" w:hAnsi="Arial Narrow" w:cs="Calibri"/>
                <w:sz w:val="22"/>
                <w:szCs w:val="22"/>
              </w:rPr>
              <w:t>Tax rate</w:t>
            </w:r>
          </w:p>
        </w:tc>
        <w:tc>
          <w:tcPr>
            <w:tcW w:w="2694" w:type="dxa"/>
            <w:tcBorders>
              <w:top w:val="nil"/>
              <w:left w:val="nil"/>
              <w:bottom w:val="single" w:sz="8" w:space="0" w:color="auto"/>
              <w:right w:val="nil"/>
            </w:tcBorders>
            <w:shd w:val="clear" w:color="auto" w:fill="auto"/>
            <w:vAlign w:val="bottom"/>
          </w:tcPr>
          <w:p w14:paraId="11925A85" w14:textId="737F5BA6" w:rsidR="005032DE" w:rsidRPr="009E35ED" w:rsidRDefault="005032DE" w:rsidP="005032DE">
            <w:pPr>
              <w:ind w:left="0"/>
              <w:jc w:val="right"/>
              <w:rPr>
                <w:rFonts w:ascii="Arial Narrow" w:hAnsi="Arial Narrow" w:cs="Calibri"/>
                <w:color w:val="000000" w:themeColor="text1"/>
                <w:sz w:val="22"/>
                <w:szCs w:val="22"/>
              </w:rPr>
            </w:pPr>
            <w:r w:rsidRPr="009E35ED">
              <w:rPr>
                <w:rFonts w:ascii="Arial Narrow" w:hAnsi="Arial Narrow"/>
                <w:sz w:val="22"/>
                <w:szCs w:val="22"/>
              </w:rPr>
              <w:t>25%</w:t>
            </w:r>
          </w:p>
        </w:tc>
        <w:tc>
          <w:tcPr>
            <w:tcW w:w="1843" w:type="dxa"/>
            <w:tcBorders>
              <w:top w:val="nil"/>
              <w:left w:val="nil"/>
              <w:bottom w:val="single" w:sz="8" w:space="0" w:color="auto"/>
              <w:right w:val="nil"/>
            </w:tcBorders>
            <w:shd w:val="clear" w:color="auto" w:fill="auto"/>
            <w:vAlign w:val="bottom"/>
            <w:hideMark/>
          </w:tcPr>
          <w:p w14:paraId="36A7616E" w14:textId="023467F7" w:rsidR="005032DE" w:rsidRPr="009E35ED" w:rsidRDefault="005032DE" w:rsidP="009E5701">
            <w:pPr>
              <w:ind w:left="0" w:right="-71"/>
              <w:jc w:val="right"/>
              <w:rPr>
                <w:rFonts w:ascii="Arial Narrow" w:hAnsi="Arial Narrow" w:cs="Calibri"/>
                <w:color w:val="000000" w:themeColor="text1"/>
                <w:sz w:val="22"/>
                <w:szCs w:val="22"/>
              </w:rPr>
            </w:pPr>
            <w:r w:rsidRPr="009E35ED">
              <w:rPr>
                <w:rFonts w:ascii="Arial Narrow" w:hAnsi="Arial Narrow"/>
                <w:color w:val="000000" w:themeColor="text1"/>
                <w:sz w:val="22"/>
                <w:szCs w:val="22"/>
              </w:rPr>
              <w:t>25%</w:t>
            </w:r>
          </w:p>
        </w:tc>
      </w:tr>
      <w:tr w:rsidR="005032DE" w:rsidRPr="009E35ED" w14:paraId="4F7B2CE9" w14:textId="77777777" w:rsidTr="009E5701">
        <w:trPr>
          <w:trHeight w:val="243"/>
        </w:trPr>
        <w:tc>
          <w:tcPr>
            <w:tcW w:w="3960" w:type="dxa"/>
            <w:tcBorders>
              <w:top w:val="nil"/>
              <w:left w:val="nil"/>
              <w:bottom w:val="double" w:sz="6" w:space="0" w:color="auto"/>
              <w:right w:val="nil"/>
            </w:tcBorders>
            <w:shd w:val="clear" w:color="auto" w:fill="auto"/>
            <w:vAlign w:val="center"/>
            <w:hideMark/>
          </w:tcPr>
          <w:p w14:paraId="29967E5D" w14:textId="30A3A7BC" w:rsidR="005032DE" w:rsidRPr="009E35ED" w:rsidRDefault="005032DE" w:rsidP="00BF4257">
            <w:pPr>
              <w:ind w:left="-108"/>
              <w:rPr>
                <w:rFonts w:ascii="Arial Narrow" w:hAnsi="Arial Narrow" w:cs="Calibri"/>
                <w:b/>
                <w:bCs/>
                <w:color w:val="000000" w:themeColor="text1"/>
                <w:sz w:val="22"/>
                <w:szCs w:val="22"/>
              </w:rPr>
            </w:pPr>
            <w:r w:rsidRPr="009E35ED">
              <w:rPr>
                <w:rFonts w:ascii="Arial Narrow" w:hAnsi="Arial Narrow" w:cs="Calibri"/>
                <w:b/>
                <w:bCs/>
                <w:sz w:val="22"/>
                <w:szCs w:val="22"/>
              </w:rPr>
              <w:t xml:space="preserve"> Tax Due </w:t>
            </w:r>
          </w:p>
        </w:tc>
        <w:tc>
          <w:tcPr>
            <w:tcW w:w="2694" w:type="dxa"/>
            <w:tcBorders>
              <w:top w:val="nil"/>
              <w:left w:val="nil"/>
              <w:bottom w:val="double" w:sz="6" w:space="0" w:color="auto"/>
              <w:right w:val="nil"/>
            </w:tcBorders>
            <w:shd w:val="clear" w:color="auto" w:fill="auto"/>
            <w:vAlign w:val="bottom"/>
          </w:tcPr>
          <w:p w14:paraId="0D7A7B79" w14:textId="707213B1" w:rsidR="005032DE" w:rsidRPr="009E35ED" w:rsidRDefault="005032DE" w:rsidP="00166F1B">
            <w:pPr>
              <w:ind w:left="0"/>
              <w:jc w:val="right"/>
              <w:rPr>
                <w:rFonts w:ascii="Arial Narrow" w:hAnsi="Arial Narrow" w:cs="Calibri"/>
                <w:b/>
                <w:bCs/>
                <w:color w:val="000000" w:themeColor="text1"/>
                <w:sz w:val="22"/>
                <w:szCs w:val="22"/>
              </w:rPr>
            </w:pPr>
            <w:r w:rsidRPr="009E35ED">
              <w:rPr>
                <w:rFonts w:ascii="Arial Narrow" w:hAnsi="Arial Narrow"/>
                <w:b/>
                <w:bCs/>
                <w:sz w:val="22"/>
                <w:szCs w:val="22"/>
              </w:rPr>
              <w:t xml:space="preserve"> 1,</w:t>
            </w:r>
            <w:r w:rsidR="00166F1B" w:rsidRPr="009E35ED">
              <w:rPr>
                <w:rFonts w:ascii="Arial Narrow" w:hAnsi="Arial Narrow"/>
                <w:b/>
                <w:bCs/>
                <w:sz w:val="22"/>
                <w:szCs w:val="22"/>
              </w:rPr>
              <w:t>597,654,845</w:t>
            </w:r>
            <w:r w:rsidRPr="009E35ED">
              <w:rPr>
                <w:rFonts w:ascii="Arial Narrow" w:hAnsi="Arial Narrow"/>
                <w:b/>
                <w:bCs/>
                <w:sz w:val="22"/>
                <w:szCs w:val="22"/>
              </w:rPr>
              <w:t xml:space="preserve"> </w:t>
            </w:r>
          </w:p>
        </w:tc>
        <w:tc>
          <w:tcPr>
            <w:tcW w:w="1843" w:type="dxa"/>
            <w:tcBorders>
              <w:top w:val="nil"/>
              <w:left w:val="nil"/>
              <w:bottom w:val="double" w:sz="6" w:space="0" w:color="auto"/>
              <w:right w:val="nil"/>
            </w:tcBorders>
            <w:shd w:val="clear" w:color="auto" w:fill="auto"/>
            <w:vAlign w:val="bottom"/>
            <w:hideMark/>
          </w:tcPr>
          <w:p w14:paraId="2EDF8196" w14:textId="7A3A242D" w:rsidR="005032DE" w:rsidRPr="009E35ED" w:rsidRDefault="005032DE" w:rsidP="009E5701">
            <w:pPr>
              <w:ind w:left="0" w:right="-71"/>
              <w:jc w:val="right"/>
              <w:rPr>
                <w:rFonts w:ascii="Arial Narrow" w:hAnsi="Arial Narrow" w:cs="Calibri"/>
                <w:b/>
                <w:bCs/>
                <w:color w:val="000000" w:themeColor="text1"/>
                <w:sz w:val="22"/>
                <w:szCs w:val="22"/>
              </w:rPr>
            </w:pPr>
            <w:r w:rsidRPr="009E35ED">
              <w:rPr>
                <w:rFonts w:ascii="Arial Narrow" w:hAnsi="Arial Narrow"/>
                <w:b/>
                <w:bCs/>
                <w:color w:val="000000" w:themeColor="text1"/>
                <w:sz w:val="22"/>
                <w:szCs w:val="22"/>
              </w:rPr>
              <w:t xml:space="preserve"> 1,840,816,383 </w:t>
            </w:r>
          </w:p>
        </w:tc>
      </w:tr>
    </w:tbl>
    <w:p w14:paraId="5E173F14" w14:textId="35EF2A41" w:rsidR="005032DE" w:rsidRPr="009E35ED" w:rsidRDefault="005032DE" w:rsidP="00DB5C36">
      <w:pPr>
        <w:pStyle w:val="Style2"/>
        <w:numPr>
          <w:ilvl w:val="0"/>
          <w:numId w:val="0"/>
        </w:numPr>
        <w:spacing w:after="0" w:line="240" w:lineRule="auto"/>
        <w:rPr>
          <w:rFonts w:ascii="Arial" w:hAnsi="Arial" w:cs="Arial"/>
          <w:color w:val="000000" w:themeColor="text1"/>
          <w:sz w:val="22"/>
          <w:szCs w:val="22"/>
        </w:rPr>
      </w:pPr>
    </w:p>
    <w:p w14:paraId="3334C9B8" w14:textId="77777777" w:rsidR="008A565F" w:rsidRPr="009E35ED" w:rsidRDefault="008A565F" w:rsidP="00DB5C36">
      <w:pPr>
        <w:pStyle w:val="Style2"/>
        <w:numPr>
          <w:ilvl w:val="0"/>
          <w:numId w:val="0"/>
        </w:numPr>
        <w:spacing w:after="0" w:line="240" w:lineRule="auto"/>
        <w:rPr>
          <w:rFonts w:ascii="Arial" w:hAnsi="Arial" w:cs="Arial"/>
          <w:color w:val="000000" w:themeColor="text1"/>
          <w:sz w:val="22"/>
          <w:szCs w:val="22"/>
        </w:rPr>
      </w:pPr>
    </w:p>
    <w:p w14:paraId="5834F2AF" w14:textId="77777777" w:rsidR="00572AF6" w:rsidRPr="009E35ED" w:rsidRDefault="00315B87" w:rsidP="00B90388">
      <w:pPr>
        <w:pStyle w:val="Style2"/>
        <w:keepNext/>
        <w:keepLines/>
        <w:numPr>
          <w:ilvl w:val="0"/>
          <w:numId w:val="0"/>
        </w:numPr>
        <w:spacing w:after="0" w:line="240" w:lineRule="auto"/>
        <w:rPr>
          <w:rFonts w:ascii="Arial" w:hAnsi="Arial" w:cs="Arial"/>
          <w:color w:val="000000" w:themeColor="text1"/>
          <w:sz w:val="22"/>
          <w:szCs w:val="22"/>
        </w:rPr>
      </w:pPr>
      <w:r w:rsidRPr="009E35ED">
        <w:rPr>
          <w:rFonts w:ascii="Arial" w:hAnsi="Arial" w:cs="Arial"/>
          <w:color w:val="000000" w:themeColor="text1"/>
          <w:sz w:val="22"/>
          <w:szCs w:val="22"/>
        </w:rPr>
        <w:t>15.</w:t>
      </w:r>
      <w:r w:rsidR="00146E6B" w:rsidRPr="009E35ED">
        <w:rPr>
          <w:rFonts w:ascii="Arial" w:hAnsi="Arial" w:cs="Arial"/>
          <w:color w:val="000000" w:themeColor="text1"/>
          <w:sz w:val="22"/>
          <w:szCs w:val="22"/>
        </w:rPr>
        <w:t>1</w:t>
      </w:r>
      <w:r w:rsidRPr="009E35ED">
        <w:rPr>
          <w:rFonts w:ascii="Arial" w:hAnsi="Arial" w:cs="Arial"/>
          <w:color w:val="000000" w:themeColor="text1"/>
          <w:sz w:val="22"/>
          <w:szCs w:val="22"/>
        </w:rPr>
        <w:t xml:space="preserve">       </w:t>
      </w:r>
      <w:r w:rsidR="007641A8" w:rsidRPr="009E35ED">
        <w:rPr>
          <w:rFonts w:ascii="Arial" w:hAnsi="Arial" w:cs="Arial"/>
          <w:color w:val="000000" w:themeColor="text1"/>
          <w:sz w:val="22"/>
          <w:szCs w:val="22"/>
        </w:rPr>
        <w:t>Deferred Tax Expense</w:t>
      </w:r>
    </w:p>
    <w:p w14:paraId="024EFEEA" w14:textId="77777777" w:rsidR="007641A8" w:rsidRPr="009E35ED" w:rsidRDefault="007641A8" w:rsidP="00B90388">
      <w:pPr>
        <w:keepNext/>
        <w:keepLines/>
        <w:ind w:left="0"/>
        <w:rPr>
          <w:rFonts w:ascii="Arial" w:hAnsi="Arial" w:cs="Arial"/>
          <w:color w:val="000000" w:themeColor="text1"/>
          <w:sz w:val="22"/>
          <w:szCs w:val="22"/>
        </w:rPr>
      </w:pPr>
    </w:p>
    <w:p w14:paraId="2B961A98" w14:textId="77777777" w:rsidR="007641A8" w:rsidRPr="009E35ED" w:rsidRDefault="007641A8" w:rsidP="00B90388">
      <w:pPr>
        <w:keepNext/>
        <w:keepLines/>
        <w:ind w:left="0"/>
        <w:rPr>
          <w:rFonts w:ascii="Arial" w:hAnsi="Arial" w:cs="Arial"/>
          <w:iCs/>
          <w:color w:val="000000" w:themeColor="text1"/>
          <w:sz w:val="22"/>
          <w:szCs w:val="22"/>
        </w:rPr>
      </w:pPr>
      <w:r w:rsidRPr="009E35ED">
        <w:rPr>
          <w:rFonts w:ascii="Arial" w:hAnsi="Arial" w:cs="Arial"/>
          <w:iCs/>
          <w:color w:val="000000" w:themeColor="text1"/>
          <w:sz w:val="22"/>
          <w:szCs w:val="22"/>
        </w:rPr>
        <w:t>Deferred Tax Assets</w:t>
      </w:r>
    </w:p>
    <w:p w14:paraId="38870CEB" w14:textId="77777777" w:rsidR="005909EC" w:rsidRPr="009E35ED" w:rsidRDefault="005909EC" w:rsidP="00B90388">
      <w:pPr>
        <w:keepNext/>
        <w:keepLines/>
        <w:ind w:left="0"/>
        <w:rPr>
          <w:rFonts w:ascii="Arial" w:hAnsi="Arial" w:cs="Arial"/>
          <w:iCs/>
          <w:color w:val="000000" w:themeColor="text1"/>
          <w:sz w:val="22"/>
          <w:szCs w:val="22"/>
        </w:rPr>
      </w:pPr>
    </w:p>
    <w:tbl>
      <w:tblPr>
        <w:tblW w:w="8460" w:type="dxa"/>
        <w:tblLook w:val="04A0" w:firstRow="1" w:lastRow="0" w:firstColumn="1" w:lastColumn="0" w:noHBand="0" w:noVBand="1"/>
      </w:tblPr>
      <w:tblGrid>
        <w:gridCol w:w="4680"/>
        <w:gridCol w:w="1890"/>
        <w:gridCol w:w="1890"/>
      </w:tblGrid>
      <w:tr w:rsidR="00997F75" w:rsidRPr="009E35ED" w14:paraId="1FFF2FFB" w14:textId="77777777" w:rsidTr="00BF4257">
        <w:trPr>
          <w:trHeight w:val="322"/>
          <w:tblHeader/>
        </w:trPr>
        <w:tc>
          <w:tcPr>
            <w:tcW w:w="4680" w:type="dxa"/>
            <w:tcBorders>
              <w:top w:val="single" w:sz="8" w:space="0" w:color="auto"/>
              <w:left w:val="nil"/>
              <w:bottom w:val="single" w:sz="8" w:space="0" w:color="auto"/>
              <w:right w:val="nil"/>
            </w:tcBorders>
            <w:shd w:val="clear" w:color="auto" w:fill="auto"/>
            <w:noWrap/>
            <w:vAlign w:val="bottom"/>
            <w:hideMark/>
          </w:tcPr>
          <w:p w14:paraId="3629B174" w14:textId="77777777" w:rsidR="002212CA" w:rsidRPr="009E35ED" w:rsidRDefault="002212CA" w:rsidP="00B90388">
            <w:pPr>
              <w:keepNext/>
              <w:keepLines/>
              <w:ind w:left="0"/>
              <w:jc w:val="center"/>
              <w:rPr>
                <w:color w:val="000000" w:themeColor="text1"/>
                <w:sz w:val="20"/>
                <w:szCs w:val="20"/>
              </w:rPr>
            </w:pPr>
            <w:r w:rsidRPr="009E35ED">
              <w:rPr>
                <w:color w:val="000000" w:themeColor="text1"/>
                <w:sz w:val="20"/>
                <w:szCs w:val="20"/>
              </w:rPr>
              <w:t> </w:t>
            </w:r>
          </w:p>
        </w:tc>
        <w:tc>
          <w:tcPr>
            <w:tcW w:w="1890" w:type="dxa"/>
            <w:tcBorders>
              <w:top w:val="single" w:sz="8" w:space="0" w:color="auto"/>
              <w:left w:val="nil"/>
              <w:bottom w:val="single" w:sz="8" w:space="0" w:color="auto"/>
              <w:right w:val="nil"/>
            </w:tcBorders>
            <w:shd w:val="clear" w:color="auto" w:fill="auto"/>
            <w:noWrap/>
            <w:vAlign w:val="center"/>
            <w:hideMark/>
          </w:tcPr>
          <w:p w14:paraId="7889908B" w14:textId="77777777" w:rsidR="002212CA" w:rsidRPr="009E35ED" w:rsidRDefault="002212CA" w:rsidP="00B90388">
            <w:pPr>
              <w:keepNext/>
              <w:keepLines/>
              <w:ind w:left="0"/>
              <w:jc w:val="right"/>
              <w:rPr>
                <w:rFonts w:ascii="Arial Narrow" w:hAnsi="Arial Narrow" w:cs="Calibri"/>
                <w:b/>
                <w:bCs/>
                <w:color w:val="000000" w:themeColor="text1"/>
                <w:sz w:val="22"/>
                <w:szCs w:val="22"/>
              </w:rPr>
            </w:pPr>
            <w:r w:rsidRPr="009E35ED">
              <w:rPr>
                <w:rFonts w:ascii="Arial Narrow" w:hAnsi="Arial Narrow" w:cs="Calibri"/>
                <w:b/>
                <w:bCs/>
                <w:color w:val="000000" w:themeColor="text1"/>
                <w:sz w:val="22"/>
                <w:szCs w:val="22"/>
              </w:rPr>
              <w:t>Balance</w:t>
            </w:r>
          </w:p>
        </w:tc>
        <w:tc>
          <w:tcPr>
            <w:tcW w:w="1890" w:type="dxa"/>
            <w:tcBorders>
              <w:top w:val="single" w:sz="8" w:space="0" w:color="auto"/>
              <w:left w:val="nil"/>
              <w:bottom w:val="single" w:sz="8" w:space="0" w:color="auto"/>
              <w:right w:val="nil"/>
            </w:tcBorders>
            <w:shd w:val="clear" w:color="auto" w:fill="auto"/>
            <w:noWrap/>
            <w:vAlign w:val="center"/>
            <w:hideMark/>
          </w:tcPr>
          <w:p w14:paraId="507B29CB" w14:textId="77777777" w:rsidR="002212CA" w:rsidRPr="009E35ED" w:rsidRDefault="002212CA" w:rsidP="00B90388">
            <w:pPr>
              <w:keepNext/>
              <w:keepLines/>
              <w:ind w:left="0" w:right="-108"/>
              <w:jc w:val="right"/>
              <w:rPr>
                <w:rFonts w:ascii="Arial Narrow" w:hAnsi="Arial Narrow" w:cs="Calibri"/>
                <w:b/>
                <w:bCs/>
                <w:color w:val="000000" w:themeColor="text1"/>
                <w:sz w:val="22"/>
                <w:szCs w:val="22"/>
              </w:rPr>
            </w:pPr>
            <w:r w:rsidRPr="009E35ED">
              <w:rPr>
                <w:rFonts w:ascii="Arial Narrow" w:hAnsi="Arial Narrow" w:cs="Calibri"/>
                <w:b/>
                <w:bCs/>
                <w:color w:val="000000" w:themeColor="text1"/>
                <w:sz w:val="22"/>
                <w:szCs w:val="22"/>
              </w:rPr>
              <w:t>Deferred Tax</w:t>
            </w:r>
          </w:p>
        </w:tc>
      </w:tr>
      <w:tr w:rsidR="005032DE" w:rsidRPr="009E35ED" w14:paraId="74C4FFB9" w14:textId="77777777" w:rsidTr="00BF4257">
        <w:trPr>
          <w:trHeight w:val="259"/>
        </w:trPr>
        <w:tc>
          <w:tcPr>
            <w:tcW w:w="4680" w:type="dxa"/>
            <w:tcBorders>
              <w:top w:val="nil"/>
              <w:left w:val="nil"/>
              <w:bottom w:val="nil"/>
              <w:right w:val="nil"/>
            </w:tcBorders>
            <w:shd w:val="clear" w:color="auto" w:fill="auto"/>
            <w:noWrap/>
            <w:vAlign w:val="center"/>
            <w:hideMark/>
          </w:tcPr>
          <w:p w14:paraId="1BE084DB" w14:textId="2CB28AC5" w:rsidR="005032DE" w:rsidRPr="009E35ED" w:rsidRDefault="005032DE" w:rsidP="00B90388">
            <w:pPr>
              <w:keepNext/>
              <w:keepLines/>
              <w:ind w:left="-108"/>
              <w:jc w:val="left"/>
              <w:rPr>
                <w:rFonts w:ascii="Arial Narrow" w:hAnsi="Arial Narrow" w:cs="Calibri"/>
                <w:color w:val="000000" w:themeColor="text1"/>
                <w:sz w:val="22"/>
                <w:szCs w:val="22"/>
              </w:rPr>
            </w:pPr>
            <w:r w:rsidRPr="009E35ED">
              <w:rPr>
                <w:rFonts w:ascii="Arial Narrow" w:hAnsi="Arial Narrow" w:cs="Calibri"/>
                <w:color w:val="000000" w:themeColor="text1"/>
                <w:sz w:val="22"/>
                <w:szCs w:val="22"/>
              </w:rPr>
              <w:t xml:space="preserve">Allowance for </w:t>
            </w:r>
            <w:r w:rsidR="006042C4">
              <w:rPr>
                <w:rFonts w:ascii="Arial Narrow" w:hAnsi="Arial Narrow" w:cs="Calibri"/>
                <w:color w:val="000000" w:themeColor="text1"/>
                <w:sz w:val="22"/>
                <w:szCs w:val="22"/>
              </w:rPr>
              <w:t>i</w:t>
            </w:r>
            <w:r w:rsidRPr="009E35ED">
              <w:rPr>
                <w:rFonts w:ascii="Arial Narrow" w:hAnsi="Arial Narrow" w:cs="Calibri"/>
                <w:color w:val="000000" w:themeColor="text1"/>
                <w:sz w:val="22"/>
                <w:szCs w:val="22"/>
              </w:rPr>
              <w:t>mpairment of AR</w:t>
            </w:r>
          </w:p>
        </w:tc>
        <w:tc>
          <w:tcPr>
            <w:tcW w:w="1890" w:type="dxa"/>
            <w:tcBorders>
              <w:top w:val="nil"/>
              <w:left w:val="nil"/>
              <w:bottom w:val="nil"/>
              <w:right w:val="nil"/>
            </w:tcBorders>
            <w:shd w:val="clear" w:color="auto" w:fill="auto"/>
            <w:noWrap/>
            <w:hideMark/>
          </w:tcPr>
          <w:p w14:paraId="0F5582C7" w14:textId="3DA14DE3" w:rsidR="005032DE" w:rsidRPr="009E35ED" w:rsidRDefault="005032DE" w:rsidP="00B90388">
            <w:pPr>
              <w:keepNext/>
              <w:keepLines/>
              <w:ind w:left="0"/>
              <w:jc w:val="right"/>
              <w:rPr>
                <w:rFonts w:ascii="Arial Narrow" w:hAnsi="Arial Narrow" w:cs="Calibri"/>
                <w:color w:val="000000" w:themeColor="text1"/>
                <w:sz w:val="22"/>
                <w:szCs w:val="22"/>
              </w:rPr>
            </w:pPr>
            <w:r w:rsidRPr="009E35ED">
              <w:rPr>
                <w:rFonts w:ascii="Arial Narrow" w:hAnsi="Arial Narrow"/>
                <w:sz w:val="22"/>
                <w:szCs w:val="22"/>
              </w:rPr>
              <w:t xml:space="preserve"> 2,760,083,543 </w:t>
            </w:r>
          </w:p>
        </w:tc>
        <w:tc>
          <w:tcPr>
            <w:tcW w:w="1890" w:type="dxa"/>
            <w:tcBorders>
              <w:top w:val="nil"/>
              <w:left w:val="nil"/>
              <w:bottom w:val="nil"/>
              <w:right w:val="nil"/>
            </w:tcBorders>
            <w:shd w:val="clear" w:color="auto" w:fill="auto"/>
            <w:noWrap/>
            <w:hideMark/>
          </w:tcPr>
          <w:p w14:paraId="5E86CF21" w14:textId="5DC80F0A" w:rsidR="005032DE" w:rsidRPr="009E35ED" w:rsidRDefault="005032DE" w:rsidP="00B90388">
            <w:pPr>
              <w:keepNext/>
              <w:keepLines/>
              <w:ind w:left="0" w:right="-108"/>
              <w:jc w:val="right"/>
              <w:rPr>
                <w:rFonts w:ascii="Arial Narrow" w:hAnsi="Arial Narrow" w:cs="Calibri"/>
                <w:color w:val="000000" w:themeColor="text1"/>
                <w:sz w:val="22"/>
                <w:szCs w:val="22"/>
              </w:rPr>
            </w:pPr>
            <w:r w:rsidRPr="009E35ED">
              <w:rPr>
                <w:rFonts w:ascii="Arial Narrow" w:hAnsi="Arial Narrow"/>
                <w:sz w:val="22"/>
                <w:szCs w:val="22"/>
              </w:rPr>
              <w:t xml:space="preserve"> 690,020,886 </w:t>
            </w:r>
          </w:p>
        </w:tc>
      </w:tr>
      <w:tr w:rsidR="005032DE" w:rsidRPr="009E35ED" w14:paraId="517D6D5A" w14:textId="77777777" w:rsidTr="00BF4257">
        <w:trPr>
          <w:trHeight w:val="245"/>
        </w:trPr>
        <w:tc>
          <w:tcPr>
            <w:tcW w:w="4680" w:type="dxa"/>
            <w:tcBorders>
              <w:top w:val="nil"/>
              <w:left w:val="nil"/>
              <w:bottom w:val="nil"/>
              <w:right w:val="nil"/>
            </w:tcBorders>
            <w:shd w:val="clear" w:color="auto" w:fill="auto"/>
            <w:noWrap/>
            <w:vAlign w:val="center"/>
          </w:tcPr>
          <w:p w14:paraId="6811464A" w14:textId="7EEA0F95" w:rsidR="005032DE" w:rsidRPr="009E35ED" w:rsidRDefault="005032DE" w:rsidP="00B90388">
            <w:pPr>
              <w:keepNext/>
              <w:keepLines/>
              <w:ind w:left="-108"/>
              <w:jc w:val="left"/>
              <w:rPr>
                <w:rFonts w:ascii="Arial Narrow" w:hAnsi="Arial Narrow" w:cs="Calibri"/>
                <w:color w:val="000000" w:themeColor="text1"/>
                <w:sz w:val="22"/>
                <w:szCs w:val="22"/>
              </w:rPr>
            </w:pPr>
            <w:r w:rsidRPr="009E35ED">
              <w:rPr>
                <w:rFonts w:ascii="Arial Narrow" w:hAnsi="Arial Narrow" w:cs="Calibri"/>
                <w:color w:val="000000" w:themeColor="text1"/>
                <w:sz w:val="22"/>
                <w:szCs w:val="22"/>
              </w:rPr>
              <w:t>PPE</w:t>
            </w:r>
          </w:p>
        </w:tc>
        <w:tc>
          <w:tcPr>
            <w:tcW w:w="1890" w:type="dxa"/>
            <w:tcBorders>
              <w:top w:val="nil"/>
              <w:left w:val="nil"/>
              <w:bottom w:val="nil"/>
              <w:right w:val="nil"/>
            </w:tcBorders>
            <w:shd w:val="clear" w:color="auto" w:fill="auto"/>
            <w:noWrap/>
          </w:tcPr>
          <w:p w14:paraId="79C2732D" w14:textId="18F0F5C4" w:rsidR="005032DE" w:rsidRPr="009E35ED" w:rsidRDefault="005032DE" w:rsidP="00B90388">
            <w:pPr>
              <w:keepNext/>
              <w:keepLines/>
              <w:ind w:left="0"/>
              <w:jc w:val="right"/>
              <w:rPr>
                <w:rFonts w:ascii="Arial Narrow" w:hAnsi="Arial Narrow" w:cs="Calibri"/>
                <w:color w:val="000000" w:themeColor="text1"/>
                <w:sz w:val="22"/>
                <w:szCs w:val="22"/>
              </w:rPr>
            </w:pPr>
            <w:r w:rsidRPr="009E35ED">
              <w:rPr>
                <w:rFonts w:ascii="Arial Narrow" w:hAnsi="Arial Narrow"/>
                <w:sz w:val="22"/>
                <w:szCs w:val="22"/>
              </w:rPr>
              <w:t xml:space="preserve"> -   </w:t>
            </w:r>
          </w:p>
        </w:tc>
        <w:tc>
          <w:tcPr>
            <w:tcW w:w="1890" w:type="dxa"/>
            <w:tcBorders>
              <w:top w:val="nil"/>
              <w:left w:val="nil"/>
              <w:bottom w:val="nil"/>
              <w:right w:val="nil"/>
            </w:tcBorders>
            <w:shd w:val="clear" w:color="auto" w:fill="auto"/>
            <w:noWrap/>
          </w:tcPr>
          <w:p w14:paraId="33C96D93" w14:textId="00126A85" w:rsidR="005032DE" w:rsidRPr="009E35ED" w:rsidRDefault="005032DE" w:rsidP="00B90388">
            <w:pPr>
              <w:keepNext/>
              <w:keepLines/>
              <w:ind w:left="0" w:right="-108"/>
              <w:jc w:val="right"/>
              <w:rPr>
                <w:rFonts w:ascii="Arial Narrow" w:hAnsi="Arial Narrow" w:cs="Calibri"/>
                <w:color w:val="000000" w:themeColor="text1"/>
                <w:sz w:val="22"/>
                <w:szCs w:val="22"/>
              </w:rPr>
            </w:pPr>
            <w:r w:rsidRPr="009E35ED">
              <w:rPr>
                <w:rFonts w:ascii="Arial Narrow" w:hAnsi="Arial Narrow"/>
                <w:sz w:val="22"/>
                <w:szCs w:val="22"/>
              </w:rPr>
              <w:t xml:space="preserve"> -   </w:t>
            </w:r>
          </w:p>
        </w:tc>
      </w:tr>
      <w:tr w:rsidR="005032DE" w:rsidRPr="009E35ED" w14:paraId="084691FD" w14:textId="77777777" w:rsidTr="00BF4257">
        <w:trPr>
          <w:trHeight w:val="245"/>
        </w:trPr>
        <w:tc>
          <w:tcPr>
            <w:tcW w:w="4680" w:type="dxa"/>
            <w:tcBorders>
              <w:top w:val="nil"/>
              <w:left w:val="nil"/>
              <w:bottom w:val="nil"/>
              <w:right w:val="nil"/>
            </w:tcBorders>
            <w:shd w:val="clear" w:color="auto" w:fill="auto"/>
            <w:noWrap/>
            <w:vAlign w:val="center"/>
            <w:hideMark/>
          </w:tcPr>
          <w:p w14:paraId="44935B23" w14:textId="643871E6" w:rsidR="005032DE" w:rsidRPr="009E35ED" w:rsidRDefault="005032DE" w:rsidP="00B90388">
            <w:pPr>
              <w:keepNext/>
              <w:keepLines/>
              <w:ind w:left="-108"/>
              <w:jc w:val="left"/>
              <w:rPr>
                <w:rFonts w:ascii="Arial Narrow" w:hAnsi="Arial Narrow" w:cs="Calibri"/>
                <w:color w:val="000000" w:themeColor="text1"/>
                <w:sz w:val="22"/>
                <w:szCs w:val="22"/>
              </w:rPr>
            </w:pPr>
            <w:r w:rsidRPr="009E35ED">
              <w:rPr>
                <w:rFonts w:ascii="Arial Narrow" w:hAnsi="Arial Narrow" w:cs="Calibri"/>
                <w:color w:val="000000" w:themeColor="text1"/>
                <w:sz w:val="22"/>
                <w:szCs w:val="22"/>
              </w:rPr>
              <w:t xml:space="preserve">Lease </w:t>
            </w:r>
            <w:r w:rsidR="006042C4">
              <w:rPr>
                <w:rFonts w:ascii="Arial Narrow" w:hAnsi="Arial Narrow" w:cs="Calibri"/>
                <w:color w:val="000000" w:themeColor="text1"/>
                <w:sz w:val="22"/>
                <w:szCs w:val="22"/>
              </w:rPr>
              <w:t>l</w:t>
            </w:r>
            <w:r w:rsidRPr="009E35ED">
              <w:rPr>
                <w:rFonts w:ascii="Arial Narrow" w:hAnsi="Arial Narrow" w:cs="Calibri"/>
                <w:color w:val="000000" w:themeColor="text1"/>
                <w:sz w:val="22"/>
                <w:szCs w:val="22"/>
              </w:rPr>
              <w:t>iability-</w:t>
            </w:r>
            <w:r w:rsidR="006042C4">
              <w:rPr>
                <w:rFonts w:ascii="Arial Narrow" w:hAnsi="Arial Narrow" w:cs="Calibri"/>
                <w:color w:val="000000" w:themeColor="text1"/>
                <w:sz w:val="22"/>
                <w:szCs w:val="22"/>
              </w:rPr>
              <w:t>n</w:t>
            </w:r>
            <w:r w:rsidRPr="009E35ED">
              <w:rPr>
                <w:rFonts w:ascii="Arial Narrow" w:hAnsi="Arial Narrow" w:cs="Calibri"/>
                <w:color w:val="000000" w:themeColor="text1"/>
                <w:sz w:val="22"/>
                <w:szCs w:val="22"/>
              </w:rPr>
              <w:t xml:space="preserve">et of ROU </w:t>
            </w:r>
            <w:r w:rsidR="006042C4">
              <w:rPr>
                <w:rFonts w:ascii="Arial Narrow" w:hAnsi="Arial Narrow" w:cs="Calibri"/>
                <w:color w:val="000000" w:themeColor="text1"/>
                <w:sz w:val="22"/>
                <w:szCs w:val="22"/>
              </w:rPr>
              <w:t>a</w:t>
            </w:r>
            <w:r w:rsidRPr="009E35ED">
              <w:rPr>
                <w:rFonts w:ascii="Arial Narrow" w:hAnsi="Arial Narrow" w:cs="Calibri"/>
                <w:color w:val="000000" w:themeColor="text1"/>
                <w:sz w:val="22"/>
                <w:szCs w:val="22"/>
              </w:rPr>
              <w:t>sset</w:t>
            </w:r>
          </w:p>
        </w:tc>
        <w:tc>
          <w:tcPr>
            <w:tcW w:w="1890" w:type="dxa"/>
            <w:tcBorders>
              <w:top w:val="nil"/>
              <w:left w:val="nil"/>
              <w:bottom w:val="nil"/>
              <w:right w:val="nil"/>
            </w:tcBorders>
            <w:shd w:val="clear" w:color="auto" w:fill="auto"/>
            <w:noWrap/>
            <w:hideMark/>
          </w:tcPr>
          <w:p w14:paraId="641C1C2A" w14:textId="0C356251" w:rsidR="005032DE" w:rsidRPr="009E35ED" w:rsidRDefault="005032DE" w:rsidP="00B90388">
            <w:pPr>
              <w:keepNext/>
              <w:keepLines/>
              <w:ind w:left="0"/>
              <w:jc w:val="right"/>
              <w:rPr>
                <w:rFonts w:ascii="Arial Narrow" w:hAnsi="Arial Narrow" w:cs="Calibri"/>
                <w:color w:val="000000" w:themeColor="text1"/>
                <w:sz w:val="22"/>
                <w:szCs w:val="22"/>
              </w:rPr>
            </w:pPr>
            <w:r w:rsidRPr="009E35ED">
              <w:rPr>
                <w:rFonts w:ascii="Arial Narrow" w:hAnsi="Arial Narrow"/>
                <w:sz w:val="22"/>
                <w:szCs w:val="22"/>
              </w:rPr>
              <w:t xml:space="preserve"> 11,227,028 </w:t>
            </w:r>
          </w:p>
        </w:tc>
        <w:tc>
          <w:tcPr>
            <w:tcW w:w="1890" w:type="dxa"/>
            <w:tcBorders>
              <w:top w:val="nil"/>
              <w:left w:val="nil"/>
              <w:bottom w:val="nil"/>
              <w:right w:val="nil"/>
            </w:tcBorders>
            <w:shd w:val="clear" w:color="auto" w:fill="auto"/>
            <w:noWrap/>
            <w:hideMark/>
          </w:tcPr>
          <w:p w14:paraId="257157EB" w14:textId="41FD8B6A" w:rsidR="005032DE" w:rsidRPr="009E35ED" w:rsidRDefault="005032DE" w:rsidP="00B90388">
            <w:pPr>
              <w:keepNext/>
              <w:keepLines/>
              <w:ind w:left="0" w:right="-108"/>
              <w:jc w:val="right"/>
              <w:rPr>
                <w:rFonts w:ascii="Arial Narrow" w:hAnsi="Arial Narrow" w:cs="Calibri"/>
                <w:color w:val="000000" w:themeColor="text1"/>
                <w:sz w:val="22"/>
                <w:szCs w:val="22"/>
              </w:rPr>
            </w:pPr>
            <w:r w:rsidRPr="009E35ED">
              <w:rPr>
                <w:rFonts w:ascii="Arial Narrow" w:hAnsi="Arial Narrow"/>
                <w:sz w:val="22"/>
                <w:szCs w:val="22"/>
              </w:rPr>
              <w:t xml:space="preserve"> 2,806,757 </w:t>
            </w:r>
          </w:p>
        </w:tc>
      </w:tr>
      <w:tr w:rsidR="005032DE" w:rsidRPr="009E35ED" w14:paraId="732A2DA2" w14:textId="77777777" w:rsidTr="00BF4257">
        <w:trPr>
          <w:trHeight w:val="245"/>
        </w:trPr>
        <w:tc>
          <w:tcPr>
            <w:tcW w:w="4680" w:type="dxa"/>
            <w:tcBorders>
              <w:top w:val="nil"/>
              <w:left w:val="nil"/>
              <w:bottom w:val="nil"/>
              <w:right w:val="nil"/>
            </w:tcBorders>
            <w:shd w:val="clear" w:color="auto" w:fill="auto"/>
            <w:noWrap/>
            <w:vAlign w:val="center"/>
            <w:hideMark/>
          </w:tcPr>
          <w:p w14:paraId="165B528E" w14:textId="2C63769D" w:rsidR="005032DE" w:rsidRPr="009E35ED" w:rsidRDefault="005032DE" w:rsidP="00B90388">
            <w:pPr>
              <w:keepNext/>
              <w:keepLines/>
              <w:ind w:left="-108"/>
              <w:jc w:val="left"/>
              <w:rPr>
                <w:rFonts w:ascii="Arial Narrow" w:hAnsi="Arial Narrow" w:cs="Calibri"/>
                <w:color w:val="000000" w:themeColor="text1"/>
                <w:sz w:val="22"/>
                <w:szCs w:val="22"/>
              </w:rPr>
            </w:pPr>
            <w:r w:rsidRPr="009E35ED">
              <w:rPr>
                <w:rFonts w:ascii="Arial Narrow" w:hAnsi="Arial Narrow" w:cs="Calibri"/>
                <w:color w:val="000000" w:themeColor="text1"/>
                <w:sz w:val="22"/>
                <w:szCs w:val="22"/>
              </w:rPr>
              <w:t xml:space="preserve">Leave </w:t>
            </w:r>
            <w:r w:rsidR="006042C4">
              <w:rPr>
                <w:rFonts w:ascii="Arial Narrow" w:hAnsi="Arial Narrow" w:cs="Calibri"/>
                <w:color w:val="000000" w:themeColor="text1"/>
                <w:sz w:val="22"/>
                <w:szCs w:val="22"/>
              </w:rPr>
              <w:t>b</w:t>
            </w:r>
            <w:r w:rsidRPr="009E35ED">
              <w:rPr>
                <w:rFonts w:ascii="Arial Narrow" w:hAnsi="Arial Narrow" w:cs="Calibri"/>
                <w:color w:val="000000" w:themeColor="text1"/>
                <w:sz w:val="22"/>
                <w:szCs w:val="22"/>
              </w:rPr>
              <w:t xml:space="preserve">enefit </w:t>
            </w:r>
            <w:r w:rsidR="006042C4">
              <w:rPr>
                <w:rFonts w:ascii="Arial Narrow" w:hAnsi="Arial Narrow" w:cs="Calibri"/>
                <w:color w:val="000000" w:themeColor="text1"/>
                <w:sz w:val="22"/>
                <w:szCs w:val="22"/>
              </w:rPr>
              <w:t>p</w:t>
            </w:r>
            <w:r w:rsidRPr="009E35ED">
              <w:rPr>
                <w:rFonts w:ascii="Arial Narrow" w:hAnsi="Arial Narrow" w:cs="Calibri"/>
                <w:color w:val="000000" w:themeColor="text1"/>
                <w:sz w:val="22"/>
                <w:szCs w:val="22"/>
              </w:rPr>
              <w:t>ayable</w:t>
            </w:r>
          </w:p>
        </w:tc>
        <w:tc>
          <w:tcPr>
            <w:tcW w:w="1890" w:type="dxa"/>
            <w:tcBorders>
              <w:top w:val="nil"/>
              <w:left w:val="nil"/>
              <w:bottom w:val="nil"/>
              <w:right w:val="nil"/>
            </w:tcBorders>
            <w:shd w:val="clear" w:color="auto" w:fill="auto"/>
            <w:noWrap/>
            <w:hideMark/>
          </w:tcPr>
          <w:p w14:paraId="487ADB8A" w14:textId="6E7C877B" w:rsidR="005032DE" w:rsidRPr="009E35ED" w:rsidRDefault="005032DE" w:rsidP="00B90388">
            <w:pPr>
              <w:keepNext/>
              <w:keepLines/>
              <w:ind w:left="0"/>
              <w:jc w:val="right"/>
              <w:rPr>
                <w:rFonts w:ascii="Arial Narrow" w:hAnsi="Arial Narrow" w:cs="Calibri"/>
                <w:color w:val="000000" w:themeColor="text1"/>
                <w:sz w:val="22"/>
                <w:szCs w:val="22"/>
              </w:rPr>
            </w:pPr>
            <w:r w:rsidRPr="009E35ED">
              <w:rPr>
                <w:rFonts w:ascii="Arial Narrow" w:hAnsi="Arial Narrow"/>
                <w:sz w:val="22"/>
                <w:szCs w:val="22"/>
              </w:rPr>
              <w:t xml:space="preserve"> 293,437,595 </w:t>
            </w:r>
          </w:p>
        </w:tc>
        <w:tc>
          <w:tcPr>
            <w:tcW w:w="1890" w:type="dxa"/>
            <w:tcBorders>
              <w:top w:val="nil"/>
              <w:left w:val="nil"/>
              <w:bottom w:val="nil"/>
              <w:right w:val="nil"/>
            </w:tcBorders>
            <w:shd w:val="clear" w:color="auto" w:fill="auto"/>
            <w:noWrap/>
            <w:hideMark/>
          </w:tcPr>
          <w:p w14:paraId="2C4521B0" w14:textId="08EE84C0" w:rsidR="005032DE" w:rsidRPr="009E35ED" w:rsidRDefault="005032DE" w:rsidP="00B90388">
            <w:pPr>
              <w:keepNext/>
              <w:keepLines/>
              <w:ind w:left="0" w:right="-108"/>
              <w:jc w:val="right"/>
              <w:rPr>
                <w:rFonts w:ascii="Arial Narrow" w:hAnsi="Arial Narrow" w:cs="Calibri"/>
                <w:color w:val="000000" w:themeColor="text1"/>
                <w:sz w:val="22"/>
                <w:szCs w:val="22"/>
              </w:rPr>
            </w:pPr>
            <w:r w:rsidRPr="009E35ED">
              <w:rPr>
                <w:rFonts w:ascii="Arial Narrow" w:hAnsi="Arial Narrow"/>
                <w:sz w:val="22"/>
                <w:szCs w:val="22"/>
              </w:rPr>
              <w:t xml:space="preserve"> 73,359,399 </w:t>
            </w:r>
          </w:p>
        </w:tc>
      </w:tr>
      <w:tr w:rsidR="005032DE" w:rsidRPr="009E35ED" w14:paraId="5D8E7525" w14:textId="77777777" w:rsidTr="00BF4257">
        <w:trPr>
          <w:trHeight w:val="90"/>
        </w:trPr>
        <w:tc>
          <w:tcPr>
            <w:tcW w:w="4680" w:type="dxa"/>
            <w:tcBorders>
              <w:top w:val="nil"/>
              <w:left w:val="nil"/>
              <w:bottom w:val="single" w:sz="8" w:space="0" w:color="auto"/>
              <w:right w:val="nil"/>
            </w:tcBorders>
            <w:shd w:val="clear" w:color="auto" w:fill="auto"/>
            <w:noWrap/>
            <w:vAlign w:val="center"/>
            <w:hideMark/>
          </w:tcPr>
          <w:p w14:paraId="342591BE" w14:textId="2F201174" w:rsidR="005032DE" w:rsidRPr="009E35ED" w:rsidRDefault="005032DE" w:rsidP="00B90388">
            <w:pPr>
              <w:keepNext/>
              <w:keepLines/>
              <w:ind w:left="-108"/>
              <w:jc w:val="left"/>
              <w:rPr>
                <w:rFonts w:ascii="Arial Narrow" w:hAnsi="Arial Narrow" w:cs="Calibri"/>
                <w:color w:val="000000" w:themeColor="text1"/>
                <w:sz w:val="22"/>
                <w:szCs w:val="22"/>
              </w:rPr>
            </w:pPr>
            <w:r w:rsidRPr="009E35ED">
              <w:rPr>
                <w:rFonts w:ascii="Arial Narrow" w:hAnsi="Arial Narrow" w:cs="Calibri"/>
                <w:color w:val="000000" w:themeColor="text1"/>
                <w:sz w:val="22"/>
                <w:szCs w:val="22"/>
              </w:rPr>
              <w:t xml:space="preserve">Unrealized </w:t>
            </w:r>
            <w:r w:rsidR="006042C4">
              <w:rPr>
                <w:rFonts w:ascii="Arial Narrow" w:hAnsi="Arial Narrow" w:cs="Calibri"/>
                <w:color w:val="000000" w:themeColor="text1"/>
                <w:sz w:val="22"/>
                <w:szCs w:val="22"/>
              </w:rPr>
              <w:t>g</w:t>
            </w:r>
            <w:r w:rsidRPr="009E35ED">
              <w:rPr>
                <w:rFonts w:ascii="Arial Narrow" w:hAnsi="Arial Narrow" w:cs="Calibri"/>
                <w:color w:val="000000" w:themeColor="text1"/>
                <w:sz w:val="22"/>
                <w:szCs w:val="22"/>
              </w:rPr>
              <w:t xml:space="preserve">ain on </w:t>
            </w:r>
            <w:r w:rsidR="006042C4">
              <w:rPr>
                <w:rFonts w:ascii="Arial Narrow" w:hAnsi="Arial Narrow" w:cs="Calibri"/>
                <w:color w:val="000000" w:themeColor="text1"/>
                <w:sz w:val="22"/>
                <w:szCs w:val="22"/>
              </w:rPr>
              <w:t>f</w:t>
            </w:r>
            <w:r w:rsidRPr="009E35ED">
              <w:rPr>
                <w:rFonts w:ascii="Arial Narrow" w:hAnsi="Arial Narrow" w:cs="Calibri"/>
                <w:color w:val="000000" w:themeColor="text1"/>
                <w:sz w:val="22"/>
                <w:szCs w:val="22"/>
              </w:rPr>
              <w:t>orex</w:t>
            </w:r>
          </w:p>
        </w:tc>
        <w:tc>
          <w:tcPr>
            <w:tcW w:w="1890" w:type="dxa"/>
            <w:tcBorders>
              <w:top w:val="nil"/>
              <w:left w:val="nil"/>
              <w:bottom w:val="single" w:sz="8" w:space="0" w:color="auto"/>
              <w:right w:val="nil"/>
            </w:tcBorders>
            <w:shd w:val="clear" w:color="auto" w:fill="auto"/>
            <w:noWrap/>
            <w:hideMark/>
          </w:tcPr>
          <w:p w14:paraId="20550376" w14:textId="36AE0910" w:rsidR="005032DE" w:rsidRPr="009E35ED" w:rsidRDefault="005032DE" w:rsidP="00B90388">
            <w:pPr>
              <w:keepNext/>
              <w:keepLines/>
              <w:ind w:left="0"/>
              <w:jc w:val="right"/>
              <w:rPr>
                <w:rFonts w:ascii="Arial Narrow" w:hAnsi="Arial Narrow" w:cs="Calibri"/>
                <w:color w:val="000000" w:themeColor="text1"/>
                <w:sz w:val="22"/>
                <w:szCs w:val="22"/>
              </w:rPr>
            </w:pPr>
            <w:r w:rsidRPr="009E35ED">
              <w:rPr>
                <w:rFonts w:ascii="Arial Narrow" w:hAnsi="Arial Narrow"/>
                <w:sz w:val="22"/>
                <w:szCs w:val="22"/>
              </w:rPr>
              <w:t>(32,726,434)</w:t>
            </w:r>
          </w:p>
        </w:tc>
        <w:tc>
          <w:tcPr>
            <w:tcW w:w="1890" w:type="dxa"/>
            <w:tcBorders>
              <w:top w:val="nil"/>
              <w:left w:val="nil"/>
              <w:bottom w:val="single" w:sz="8" w:space="0" w:color="auto"/>
              <w:right w:val="nil"/>
            </w:tcBorders>
            <w:shd w:val="clear" w:color="auto" w:fill="auto"/>
            <w:noWrap/>
            <w:hideMark/>
          </w:tcPr>
          <w:p w14:paraId="78728CBF" w14:textId="55A168D9" w:rsidR="005032DE" w:rsidRPr="009E35ED" w:rsidRDefault="005032DE" w:rsidP="00B90388">
            <w:pPr>
              <w:keepNext/>
              <w:keepLines/>
              <w:ind w:left="0" w:right="-108"/>
              <w:jc w:val="right"/>
              <w:rPr>
                <w:rFonts w:ascii="Arial Narrow" w:hAnsi="Arial Narrow" w:cs="Calibri"/>
                <w:color w:val="000000" w:themeColor="text1"/>
                <w:sz w:val="22"/>
                <w:szCs w:val="22"/>
              </w:rPr>
            </w:pPr>
            <w:r w:rsidRPr="009E35ED">
              <w:rPr>
                <w:rFonts w:ascii="Arial Narrow" w:hAnsi="Arial Narrow"/>
                <w:sz w:val="22"/>
                <w:szCs w:val="22"/>
              </w:rPr>
              <w:t xml:space="preserve">  (8,181,609)</w:t>
            </w:r>
          </w:p>
        </w:tc>
      </w:tr>
      <w:tr w:rsidR="005032DE" w:rsidRPr="009E35ED" w14:paraId="0504EC73" w14:textId="77777777" w:rsidTr="00BF4257">
        <w:trPr>
          <w:trHeight w:val="256"/>
        </w:trPr>
        <w:tc>
          <w:tcPr>
            <w:tcW w:w="4680" w:type="dxa"/>
            <w:tcBorders>
              <w:top w:val="nil"/>
              <w:left w:val="nil"/>
              <w:bottom w:val="double" w:sz="6" w:space="0" w:color="auto"/>
              <w:right w:val="nil"/>
            </w:tcBorders>
            <w:shd w:val="clear" w:color="auto" w:fill="auto"/>
            <w:noWrap/>
            <w:vAlign w:val="center"/>
            <w:hideMark/>
          </w:tcPr>
          <w:p w14:paraId="3D30ECBA" w14:textId="77777777" w:rsidR="005032DE" w:rsidRPr="009E35ED" w:rsidRDefault="005032DE" w:rsidP="00B90388">
            <w:pPr>
              <w:keepNext/>
              <w:keepLines/>
              <w:ind w:left="-108"/>
              <w:jc w:val="left"/>
              <w:rPr>
                <w:rFonts w:ascii="Arial Narrow" w:hAnsi="Arial Narrow" w:cs="Calibri"/>
                <w:b/>
                <w:bCs/>
                <w:color w:val="000000" w:themeColor="text1"/>
                <w:sz w:val="22"/>
                <w:szCs w:val="22"/>
              </w:rPr>
            </w:pPr>
            <w:r w:rsidRPr="009E35ED">
              <w:rPr>
                <w:rFonts w:ascii="Arial Narrow" w:hAnsi="Arial Narrow" w:cs="Calibri"/>
                <w:b/>
                <w:bCs/>
                <w:color w:val="000000" w:themeColor="text1"/>
                <w:sz w:val="22"/>
                <w:szCs w:val="22"/>
              </w:rPr>
              <w:t>Deferred Tax Asset</w:t>
            </w:r>
          </w:p>
        </w:tc>
        <w:tc>
          <w:tcPr>
            <w:tcW w:w="1890" w:type="dxa"/>
            <w:tcBorders>
              <w:top w:val="nil"/>
              <w:left w:val="nil"/>
              <w:bottom w:val="double" w:sz="6" w:space="0" w:color="auto"/>
              <w:right w:val="nil"/>
            </w:tcBorders>
            <w:shd w:val="clear" w:color="auto" w:fill="auto"/>
            <w:noWrap/>
            <w:vAlign w:val="center"/>
            <w:hideMark/>
          </w:tcPr>
          <w:p w14:paraId="18F65EB5" w14:textId="3499C056" w:rsidR="005032DE" w:rsidRPr="009E35ED" w:rsidRDefault="005032DE" w:rsidP="00B90388">
            <w:pPr>
              <w:keepNext/>
              <w:keepLines/>
              <w:ind w:left="0"/>
              <w:jc w:val="right"/>
              <w:rPr>
                <w:rFonts w:ascii="Arial Narrow" w:hAnsi="Arial Narrow" w:cs="Calibri"/>
                <w:b/>
                <w:bCs/>
                <w:color w:val="000000" w:themeColor="text1"/>
                <w:sz w:val="22"/>
                <w:szCs w:val="22"/>
              </w:rPr>
            </w:pPr>
            <w:r w:rsidRPr="009E35ED">
              <w:rPr>
                <w:rFonts w:ascii="Arial Narrow" w:hAnsi="Arial Narrow" w:cs="Calibri"/>
                <w:b/>
                <w:bCs/>
                <w:sz w:val="22"/>
                <w:szCs w:val="22"/>
              </w:rPr>
              <w:t>3,032,021,732</w:t>
            </w:r>
          </w:p>
        </w:tc>
        <w:tc>
          <w:tcPr>
            <w:tcW w:w="1890" w:type="dxa"/>
            <w:tcBorders>
              <w:top w:val="nil"/>
              <w:left w:val="nil"/>
              <w:bottom w:val="double" w:sz="6" w:space="0" w:color="auto"/>
              <w:right w:val="nil"/>
            </w:tcBorders>
            <w:shd w:val="clear" w:color="auto" w:fill="auto"/>
            <w:noWrap/>
            <w:vAlign w:val="center"/>
            <w:hideMark/>
          </w:tcPr>
          <w:p w14:paraId="3E9C1601" w14:textId="55D27615" w:rsidR="005032DE" w:rsidRPr="009E35ED" w:rsidRDefault="005032DE" w:rsidP="00B90388">
            <w:pPr>
              <w:keepNext/>
              <w:keepLines/>
              <w:ind w:left="0" w:right="-108"/>
              <w:jc w:val="right"/>
              <w:rPr>
                <w:rFonts w:ascii="Arial Narrow" w:hAnsi="Arial Narrow" w:cs="Calibri"/>
                <w:b/>
                <w:bCs/>
                <w:color w:val="000000" w:themeColor="text1"/>
                <w:sz w:val="22"/>
                <w:szCs w:val="22"/>
              </w:rPr>
            </w:pPr>
            <w:r w:rsidRPr="009E35ED">
              <w:rPr>
                <w:rFonts w:ascii="Arial Narrow" w:hAnsi="Arial Narrow" w:cs="Calibri"/>
                <w:b/>
                <w:bCs/>
                <w:sz w:val="22"/>
                <w:szCs w:val="22"/>
              </w:rPr>
              <w:t>758,005,433</w:t>
            </w:r>
          </w:p>
        </w:tc>
      </w:tr>
    </w:tbl>
    <w:p w14:paraId="78B22C4D" w14:textId="5166EB44" w:rsidR="005167B3" w:rsidRPr="009E35ED" w:rsidRDefault="005167B3" w:rsidP="00803F8C">
      <w:pPr>
        <w:ind w:left="0"/>
        <w:rPr>
          <w:rFonts w:ascii="Arial" w:hAnsi="Arial" w:cs="Arial"/>
          <w:color w:val="000000" w:themeColor="text1"/>
          <w:sz w:val="22"/>
          <w:szCs w:val="22"/>
        </w:rPr>
      </w:pPr>
    </w:p>
    <w:p w14:paraId="79904ECE" w14:textId="0FEFDB40" w:rsidR="009410C2" w:rsidRPr="009E35ED" w:rsidRDefault="009410C2" w:rsidP="00803F8C">
      <w:pPr>
        <w:ind w:left="0"/>
        <w:rPr>
          <w:rFonts w:ascii="Arial" w:hAnsi="Arial" w:cs="Arial"/>
          <w:color w:val="000000" w:themeColor="text1"/>
          <w:sz w:val="22"/>
          <w:szCs w:val="22"/>
        </w:rPr>
      </w:pPr>
    </w:p>
    <w:p w14:paraId="665A875F" w14:textId="0729DC22" w:rsidR="007641A8" w:rsidRPr="009E35ED" w:rsidRDefault="007641A8" w:rsidP="00803F8C">
      <w:pPr>
        <w:ind w:left="0"/>
        <w:rPr>
          <w:rFonts w:ascii="Arial" w:hAnsi="Arial" w:cs="Arial"/>
          <w:color w:val="000000" w:themeColor="text1"/>
          <w:sz w:val="22"/>
          <w:szCs w:val="22"/>
        </w:rPr>
      </w:pPr>
      <w:r w:rsidRPr="009E35ED">
        <w:rPr>
          <w:rFonts w:ascii="Arial" w:hAnsi="Arial" w:cs="Arial"/>
          <w:color w:val="000000" w:themeColor="text1"/>
          <w:sz w:val="22"/>
          <w:szCs w:val="22"/>
        </w:rPr>
        <w:t>Details of D</w:t>
      </w:r>
      <w:r w:rsidR="006042C4">
        <w:rPr>
          <w:rFonts w:ascii="Arial" w:hAnsi="Arial" w:cs="Arial"/>
          <w:color w:val="000000" w:themeColor="text1"/>
          <w:sz w:val="22"/>
          <w:szCs w:val="22"/>
        </w:rPr>
        <w:t xml:space="preserve">eferred </w:t>
      </w:r>
      <w:r w:rsidRPr="009E35ED">
        <w:rPr>
          <w:rFonts w:ascii="Arial" w:hAnsi="Arial" w:cs="Arial"/>
          <w:color w:val="000000" w:themeColor="text1"/>
          <w:sz w:val="22"/>
          <w:szCs w:val="22"/>
        </w:rPr>
        <w:t>T</w:t>
      </w:r>
      <w:r w:rsidR="006042C4">
        <w:rPr>
          <w:rFonts w:ascii="Arial" w:hAnsi="Arial" w:cs="Arial"/>
          <w:color w:val="000000" w:themeColor="text1"/>
          <w:sz w:val="22"/>
          <w:szCs w:val="22"/>
        </w:rPr>
        <w:t xml:space="preserve">ax </w:t>
      </w:r>
      <w:r w:rsidRPr="009E35ED">
        <w:rPr>
          <w:rFonts w:ascii="Arial" w:hAnsi="Arial" w:cs="Arial"/>
          <w:color w:val="000000" w:themeColor="text1"/>
          <w:sz w:val="22"/>
          <w:szCs w:val="22"/>
        </w:rPr>
        <w:t>A</w:t>
      </w:r>
      <w:r w:rsidR="006042C4">
        <w:rPr>
          <w:rFonts w:ascii="Arial" w:hAnsi="Arial" w:cs="Arial"/>
          <w:color w:val="000000" w:themeColor="text1"/>
          <w:sz w:val="22"/>
          <w:szCs w:val="22"/>
        </w:rPr>
        <w:t>sset (DTA)</w:t>
      </w:r>
      <w:r w:rsidRPr="009E35ED">
        <w:rPr>
          <w:rFonts w:ascii="Arial" w:hAnsi="Arial" w:cs="Arial"/>
          <w:color w:val="000000" w:themeColor="text1"/>
          <w:sz w:val="22"/>
          <w:szCs w:val="22"/>
        </w:rPr>
        <w:t xml:space="preserve"> and D</w:t>
      </w:r>
      <w:r w:rsidR="006042C4">
        <w:rPr>
          <w:rFonts w:ascii="Arial" w:hAnsi="Arial" w:cs="Arial"/>
          <w:color w:val="000000" w:themeColor="text1"/>
          <w:sz w:val="22"/>
          <w:szCs w:val="22"/>
        </w:rPr>
        <w:t xml:space="preserve">eferred </w:t>
      </w:r>
      <w:r w:rsidRPr="009E35ED">
        <w:rPr>
          <w:rFonts w:ascii="Arial" w:hAnsi="Arial" w:cs="Arial"/>
          <w:color w:val="000000" w:themeColor="text1"/>
          <w:sz w:val="22"/>
          <w:szCs w:val="22"/>
        </w:rPr>
        <w:t>T</w:t>
      </w:r>
      <w:r w:rsidR="006042C4">
        <w:rPr>
          <w:rFonts w:ascii="Arial" w:hAnsi="Arial" w:cs="Arial"/>
          <w:color w:val="000000" w:themeColor="text1"/>
          <w:sz w:val="22"/>
          <w:szCs w:val="22"/>
        </w:rPr>
        <w:t xml:space="preserve">ax </w:t>
      </w:r>
      <w:r w:rsidRPr="009E35ED">
        <w:rPr>
          <w:rFonts w:ascii="Arial" w:hAnsi="Arial" w:cs="Arial"/>
          <w:color w:val="000000" w:themeColor="text1"/>
          <w:sz w:val="22"/>
          <w:szCs w:val="22"/>
        </w:rPr>
        <w:t>L</w:t>
      </w:r>
      <w:r w:rsidR="006042C4">
        <w:rPr>
          <w:rFonts w:ascii="Arial" w:hAnsi="Arial" w:cs="Arial"/>
          <w:color w:val="000000" w:themeColor="text1"/>
          <w:sz w:val="22"/>
          <w:szCs w:val="22"/>
        </w:rPr>
        <w:t>iabilities (DTL)</w:t>
      </w:r>
      <w:r w:rsidRPr="009E35ED">
        <w:rPr>
          <w:rFonts w:ascii="Arial" w:hAnsi="Arial" w:cs="Arial"/>
          <w:color w:val="000000" w:themeColor="text1"/>
          <w:sz w:val="22"/>
          <w:szCs w:val="22"/>
        </w:rPr>
        <w:t xml:space="preserve"> follows:</w:t>
      </w:r>
    </w:p>
    <w:p w14:paraId="3A083C07" w14:textId="77777777" w:rsidR="007641A8" w:rsidRPr="009E35ED" w:rsidRDefault="007641A8" w:rsidP="00803F8C">
      <w:pPr>
        <w:ind w:left="0"/>
        <w:rPr>
          <w:rFonts w:ascii="Arial" w:hAnsi="Arial" w:cs="Arial"/>
          <w:color w:val="000000" w:themeColor="text1"/>
          <w:sz w:val="22"/>
          <w:szCs w:val="22"/>
        </w:rPr>
      </w:pPr>
    </w:p>
    <w:tbl>
      <w:tblPr>
        <w:tblW w:w="8440" w:type="dxa"/>
        <w:tblLook w:val="04A0" w:firstRow="1" w:lastRow="0" w:firstColumn="1" w:lastColumn="0" w:noHBand="0" w:noVBand="1"/>
      </w:tblPr>
      <w:tblGrid>
        <w:gridCol w:w="4410"/>
        <w:gridCol w:w="1988"/>
        <w:gridCol w:w="2042"/>
      </w:tblGrid>
      <w:tr w:rsidR="00997F75" w:rsidRPr="009E35ED" w14:paraId="6333D7AA" w14:textId="77777777" w:rsidTr="00BF4257">
        <w:trPr>
          <w:trHeight w:val="275"/>
        </w:trPr>
        <w:tc>
          <w:tcPr>
            <w:tcW w:w="4410" w:type="dxa"/>
            <w:tcBorders>
              <w:top w:val="single" w:sz="8" w:space="0" w:color="auto"/>
              <w:left w:val="nil"/>
              <w:bottom w:val="single" w:sz="8" w:space="0" w:color="auto"/>
              <w:right w:val="nil"/>
            </w:tcBorders>
            <w:shd w:val="clear" w:color="auto" w:fill="auto"/>
            <w:noWrap/>
            <w:vAlign w:val="center"/>
            <w:hideMark/>
          </w:tcPr>
          <w:p w14:paraId="4C11C351" w14:textId="77777777" w:rsidR="002212CA" w:rsidRPr="009E35ED" w:rsidRDefault="002212CA" w:rsidP="002212CA">
            <w:pPr>
              <w:ind w:left="0"/>
              <w:jc w:val="left"/>
              <w:rPr>
                <w:rFonts w:ascii="Arial Narrow" w:hAnsi="Arial Narrow" w:cs="Calibri"/>
                <w:color w:val="000000" w:themeColor="text1"/>
                <w:sz w:val="22"/>
                <w:szCs w:val="22"/>
              </w:rPr>
            </w:pPr>
            <w:r w:rsidRPr="009E35ED">
              <w:rPr>
                <w:rFonts w:ascii="Arial Narrow" w:hAnsi="Arial Narrow" w:cs="Calibri"/>
                <w:color w:val="000000" w:themeColor="text1"/>
                <w:sz w:val="22"/>
                <w:szCs w:val="22"/>
              </w:rPr>
              <w:t> </w:t>
            </w:r>
          </w:p>
        </w:tc>
        <w:tc>
          <w:tcPr>
            <w:tcW w:w="1988" w:type="dxa"/>
            <w:tcBorders>
              <w:top w:val="single" w:sz="8" w:space="0" w:color="auto"/>
              <w:left w:val="nil"/>
              <w:bottom w:val="single" w:sz="8" w:space="0" w:color="auto"/>
              <w:right w:val="nil"/>
            </w:tcBorders>
            <w:shd w:val="clear" w:color="auto" w:fill="auto"/>
            <w:noWrap/>
            <w:vAlign w:val="center"/>
            <w:hideMark/>
          </w:tcPr>
          <w:p w14:paraId="607ECDD2" w14:textId="552C2AE1" w:rsidR="002212CA" w:rsidRPr="009E35ED" w:rsidRDefault="00F51926" w:rsidP="00726818">
            <w:pPr>
              <w:ind w:left="0"/>
              <w:jc w:val="right"/>
              <w:rPr>
                <w:rFonts w:ascii="Arial Narrow" w:hAnsi="Arial Narrow" w:cs="Calibri"/>
                <w:b/>
                <w:bCs/>
                <w:color w:val="000000" w:themeColor="text1"/>
                <w:sz w:val="22"/>
                <w:szCs w:val="22"/>
              </w:rPr>
            </w:pPr>
            <w:r w:rsidRPr="009E35ED">
              <w:rPr>
                <w:rFonts w:ascii="Arial Narrow" w:hAnsi="Arial Narrow" w:cs="Calibri"/>
                <w:b/>
                <w:bCs/>
                <w:color w:val="000000" w:themeColor="text1"/>
                <w:sz w:val="22"/>
                <w:szCs w:val="22"/>
              </w:rPr>
              <w:t>202</w:t>
            </w:r>
            <w:r w:rsidR="005B674C" w:rsidRPr="009E35ED">
              <w:rPr>
                <w:rFonts w:ascii="Arial Narrow" w:hAnsi="Arial Narrow" w:cs="Calibri"/>
                <w:b/>
                <w:bCs/>
                <w:color w:val="000000" w:themeColor="text1"/>
                <w:sz w:val="22"/>
                <w:szCs w:val="22"/>
              </w:rPr>
              <w:t>3</w:t>
            </w:r>
          </w:p>
        </w:tc>
        <w:tc>
          <w:tcPr>
            <w:tcW w:w="2042" w:type="dxa"/>
            <w:tcBorders>
              <w:top w:val="single" w:sz="8" w:space="0" w:color="auto"/>
              <w:left w:val="nil"/>
              <w:bottom w:val="single" w:sz="8" w:space="0" w:color="auto"/>
              <w:right w:val="nil"/>
            </w:tcBorders>
            <w:shd w:val="clear" w:color="auto" w:fill="auto"/>
            <w:noWrap/>
            <w:vAlign w:val="center"/>
            <w:hideMark/>
          </w:tcPr>
          <w:p w14:paraId="7BAAD17E" w14:textId="2D92E7B5" w:rsidR="002212CA" w:rsidRPr="009E35ED" w:rsidRDefault="006A66E9" w:rsidP="00BF4257">
            <w:pPr>
              <w:ind w:left="0" w:right="-96"/>
              <w:jc w:val="right"/>
              <w:rPr>
                <w:rFonts w:ascii="Arial Narrow" w:hAnsi="Arial Narrow" w:cs="Calibri"/>
                <w:b/>
                <w:bCs/>
                <w:color w:val="000000" w:themeColor="text1"/>
                <w:sz w:val="22"/>
                <w:szCs w:val="22"/>
              </w:rPr>
            </w:pPr>
            <w:r w:rsidRPr="009E35ED">
              <w:rPr>
                <w:rFonts w:ascii="Arial Narrow" w:hAnsi="Arial Narrow" w:cs="Calibri"/>
                <w:b/>
                <w:bCs/>
                <w:color w:val="000000" w:themeColor="text1"/>
                <w:sz w:val="22"/>
                <w:szCs w:val="22"/>
              </w:rPr>
              <w:t>202</w:t>
            </w:r>
            <w:r w:rsidR="005B674C" w:rsidRPr="009E35ED">
              <w:rPr>
                <w:rFonts w:ascii="Arial Narrow" w:hAnsi="Arial Narrow" w:cs="Calibri"/>
                <w:b/>
                <w:bCs/>
                <w:color w:val="000000" w:themeColor="text1"/>
                <w:sz w:val="22"/>
                <w:szCs w:val="22"/>
              </w:rPr>
              <w:t>2</w:t>
            </w:r>
          </w:p>
        </w:tc>
      </w:tr>
      <w:tr w:rsidR="00997F75" w:rsidRPr="009E35ED" w14:paraId="4654C5CE" w14:textId="77777777" w:rsidTr="00BF4257">
        <w:trPr>
          <w:trHeight w:val="256"/>
        </w:trPr>
        <w:tc>
          <w:tcPr>
            <w:tcW w:w="4410" w:type="dxa"/>
            <w:tcBorders>
              <w:top w:val="nil"/>
              <w:left w:val="nil"/>
              <w:bottom w:val="nil"/>
              <w:right w:val="nil"/>
            </w:tcBorders>
            <w:shd w:val="clear" w:color="auto" w:fill="auto"/>
            <w:noWrap/>
            <w:vAlign w:val="bottom"/>
            <w:hideMark/>
          </w:tcPr>
          <w:p w14:paraId="56E58F90" w14:textId="77777777" w:rsidR="002212CA" w:rsidRPr="009E35ED" w:rsidRDefault="002212CA" w:rsidP="00BF4257">
            <w:pPr>
              <w:ind w:left="-108"/>
              <w:jc w:val="left"/>
              <w:rPr>
                <w:rFonts w:ascii="Arial Narrow" w:hAnsi="Arial Narrow" w:cs="Calibri"/>
                <w:color w:val="000000" w:themeColor="text1"/>
                <w:sz w:val="22"/>
                <w:szCs w:val="22"/>
              </w:rPr>
            </w:pPr>
            <w:r w:rsidRPr="009E35ED">
              <w:rPr>
                <w:rFonts w:ascii="Arial Narrow" w:hAnsi="Arial Narrow" w:cs="Calibri"/>
                <w:color w:val="000000" w:themeColor="text1"/>
                <w:sz w:val="22"/>
                <w:szCs w:val="22"/>
              </w:rPr>
              <w:t>DTA:</w:t>
            </w:r>
          </w:p>
        </w:tc>
        <w:tc>
          <w:tcPr>
            <w:tcW w:w="1988" w:type="dxa"/>
            <w:tcBorders>
              <w:top w:val="nil"/>
              <w:left w:val="nil"/>
              <w:bottom w:val="nil"/>
              <w:right w:val="nil"/>
            </w:tcBorders>
            <w:shd w:val="clear" w:color="auto" w:fill="auto"/>
            <w:noWrap/>
            <w:vAlign w:val="bottom"/>
            <w:hideMark/>
          </w:tcPr>
          <w:p w14:paraId="3FC17C5A" w14:textId="77777777" w:rsidR="002212CA" w:rsidRPr="009E35ED" w:rsidRDefault="002212CA" w:rsidP="006A66E9">
            <w:pPr>
              <w:ind w:left="0"/>
              <w:jc w:val="right"/>
              <w:rPr>
                <w:rFonts w:ascii="Arial Narrow" w:hAnsi="Arial Narrow" w:cs="Calibri"/>
                <w:color w:val="000000" w:themeColor="text1"/>
                <w:sz w:val="22"/>
                <w:szCs w:val="22"/>
              </w:rPr>
            </w:pPr>
          </w:p>
        </w:tc>
        <w:tc>
          <w:tcPr>
            <w:tcW w:w="2042" w:type="dxa"/>
            <w:tcBorders>
              <w:top w:val="nil"/>
              <w:left w:val="nil"/>
              <w:bottom w:val="nil"/>
              <w:right w:val="nil"/>
            </w:tcBorders>
            <w:shd w:val="clear" w:color="auto" w:fill="auto"/>
            <w:noWrap/>
            <w:vAlign w:val="bottom"/>
            <w:hideMark/>
          </w:tcPr>
          <w:p w14:paraId="7CCC57E4" w14:textId="77777777" w:rsidR="002212CA" w:rsidRPr="009E35ED" w:rsidRDefault="002212CA" w:rsidP="00BF4257">
            <w:pPr>
              <w:ind w:left="0" w:right="-96"/>
              <w:jc w:val="right"/>
              <w:rPr>
                <w:color w:val="000000" w:themeColor="text1"/>
                <w:sz w:val="22"/>
                <w:szCs w:val="22"/>
              </w:rPr>
            </w:pPr>
          </w:p>
        </w:tc>
      </w:tr>
      <w:tr w:rsidR="0078581F" w:rsidRPr="009E35ED" w14:paraId="1854AD20" w14:textId="77777777" w:rsidTr="00BF4257">
        <w:trPr>
          <w:trHeight w:val="82"/>
        </w:trPr>
        <w:tc>
          <w:tcPr>
            <w:tcW w:w="4410" w:type="dxa"/>
            <w:tcBorders>
              <w:top w:val="nil"/>
              <w:left w:val="nil"/>
              <w:bottom w:val="nil"/>
              <w:right w:val="nil"/>
            </w:tcBorders>
            <w:shd w:val="clear" w:color="auto" w:fill="auto"/>
            <w:noWrap/>
            <w:vAlign w:val="bottom"/>
            <w:hideMark/>
          </w:tcPr>
          <w:p w14:paraId="3D3552F7" w14:textId="4D81F8AA" w:rsidR="0078581F" w:rsidRPr="009E35ED" w:rsidRDefault="0078581F" w:rsidP="00BF4257">
            <w:pPr>
              <w:ind w:left="-108"/>
              <w:jc w:val="left"/>
              <w:rPr>
                <w:rFonts w:ascii="Arial Narrow" w:hAnsi="Arial Narrow" w:cs="Calibri"/>
                <w:color w:val="000000" w:themeColor="text1"/>
                <w:sz w:val="22"/>
                <w:szCs w:val="22"/>
              </w:rPr>
            </w:pPr>
            <w:r w:rsidRPr="009E35ED">
              <w:rPr>
                <w:rFonts w:ascii="Arial Narrow" w:hAnsi="Arial Narrow" w:cs="Calibri"/>
                <w:color w:val="000000" w:themeColor="text1"/>
                <w:sz w:val="22"/>
                <w:szCs w:val="22"/>
              </w:rPr>
              <w:t xml:space="preserve">DTA arising from </w:t>
            </w:r>
            <w:r w:rsidR="006042C4">
              <w:rPr>
                <w:rFonts w:ascii="Arial Narrow" w:hAnsi="Arial Narrow" w:cs="Calibri"/>
                <w:color w:val="000000" w:themeColor="text1"/>
                <w:sz w:val="22"/>
                <w:szCs w:val="22"/>
              </w:rPr>
              <w:t>a</w:t>
            </w:r>
            <w:r w:rsidRPr="009E35ED">
              <w:rPr>
                <w:rFonts w:ascii="Arial Narrow" w:hAnsi="Arial Narrow" w:cs="Calibri"/>
                <w:color w:val="000000" w:themeColor="text1"/>
                <w:sz w:val="22"/>
                <w:szCs w:val="22"/>
              </w:rPr>
              <w:t xml:space="preserve">llowance for </w:t>
            </w:r>
            <w:r w:rsidR="006042C4">
              <w:rPr>
                <w:rFonts w:ascii="Arial Narrow" w:hAnsi="Arial Narrow" w:cs="Calibri"/>
                <w:color w:val="000000" w:themeColor="text1"/>
                <w:sz w:val="22"/>
                <w:szCs w:val="22"/>
              </w:rPr>
              <w:t>i</w:t>
            </w:r>
            <w:r w:rsidRPr="009E35ED">
              <w:rPr>
                <w:rFonts w:ascii="Arial Narrow" w:hAnsi="Arial Narrow" w:cs="Calibri"/>
                <w:color w:val="000000" w:themeColor="text1"/>
                <w:sz w:val="22"/>
                <w:szCs w:val="22"/>
              </w:rPr>
              <w:t>mpairment of AR</w:t>
            </w:r>
          </w:p>
        </w:tc>
        <w:tc>
          <w:tcPr>
            <w:tcW w:w="1988" w:type="dxa"/>
            <w:tcBorders>
              <w:top w:val="nil"/>
              <w:left w:val="nil"/>
              <w:bottom w:val="nil"/>
              <w:right w:val="nil"/>
            </w:tcBorders>
            <w:shd w:val="clear" w:color="auto" w:fill="auto"/>
            <w:noWrap/>
          </w:tcPr>
          <w:p w14:paraId="41BCB37C" w14:textId="1C9FD148" w:rsidR="0078581F" w:rsidRPr="009E35ED" w:rsidRDefault="0078581F" w:rsidP="0078581F">
            <w:pPr>
              <w:ind w:left="0"/>
              <w:jc w:val="right"/>
              <w:rPr>
                <w:rFonts w:ascii="Arial Narrow" w:hAnsi="Arial Narrow" w:cs="Calibri"/>
                <w:color w:val="000000" w:themeColor="text1"/>
                <w:sz w:val="22"/>
                <w:szCs w:val="22"/>
              </w:rPr>
            </w:pPr>
            <w:r w:rsidRPr="009E35ED">
              <w:rPr>
                <w:rFonts w:ascii="Arial Narrow" w:hAnsi="Arial Narrow"/>
                <w:sz w:val="22"/>
                <w:szCs w:val="22"/>
              </w:rPr>
              <w:t xml:space="preserve"> </w:t>
            </w:r>
            <w:r w:rsidRPr="009E35ED">
              <w:rPr>
                <w:rFonts w:ascii="Arial Narrow" w:hAnsi="Arial Narrow" w:cs="Calibri"/>
                <w:sz w:val="22"/>
                <w:szCs w:val="22"/>
              </w:rPr>
              <w:t>690,020,886</w:t>
            </w:r>
            <w:r w:rsidRPr="009E35ED">
              <w:rPr>
                <w:rFonts w:ascii="Arial Narrow" w:hAnsi="Arial Narrow"/>
                <w:sz w:val="22"/>
                <w:szCs w:val="22"/>
              </w:rPr>
              <w:t xml:space="preserve"> </w:t>
            </w:r>
          </w:p>
        </w:tc>
        <w:tc>
          <w:tcPr>
            <w:tcW w:w="2042" w:type="dxa"/>
            <w:tcBorders>
              <w:top w:val="nil"/>
              <w:left w:val="nil"/>
              <w:bottom w:val="nil"/>
              <w:right w:val="nil"/>
            </w:tcBorders>
            <w:shd w:val="clear" w:color="auto" w:fill="auto"/>
            <w:noWrap/>
            <w:vAlign w:val="bottom"/>
            <w:hideMark/>
          </w:tcPr>
          <w:p w14:paraId="7F3E6925" w14:textId="125F54EC" w:rsidR="0078581F" w:rsidRPr="009E35ED" w:rsidRDefault="0078581F" w:rsidP="00BF4257">
            <w:pPr>
              <w:ind w:left="0" w:right="-96"/>
              <w:jc w:val="right"/>
              <w:rPr>
                <w:rFonts w:ascii="Arial Narrow" w:hAnsi="Arial Narrow" w:cs="Calibri"/>
                <w:color w:val="000000" w:themeColor="text1"/>
                <w:sz w:val="22"/>
                <w:szCs w:val="22"/>
              </w:rPr>
            </w:pPr>
            <w:r w:rsidRPr="009E35ED">
              <w:rPr>
                <w:rFonts w:ascii="Arial Narrow" w:hAnsi="Arial Narrow" w:cs="Calibri"/>
                <w:color w:val="000000"/>
                <w:sz w:val="22"/>
                <w:szCs w:val="22"/>
              </w:rPr>
              <w:t>498,846,898</w:t>
            </w:r>
          </w:p>
        </w:tc>
      </w:tr>
      <w:tr w:rsidR="0078581F" w:rsidRPr="009E35ED" w14:paraId="38235E10" w14:textId="77777777" w:rsidTr="00BF4257">
        <w:trPr>
          <w:trHeight w:val="184"/>
        </w:trPr>
        <w:tc>
          <w:tcPr>
            <w:tcW w:w="4410" w:type="dxa"/>
            <w:tcBorders>
              <w:top w:val="nil"/>
              <w:left w:val="nil"/>
              <w:bottom w:val="nil"/>
              <w:right w:val="nil"/>
            </w:tcBorders>
            <w:shd w:val="clear" w:color="auto" w:fill="auto"/>
            <w:noWrap/>
            <w:vAlign w:val="bottom"/>
            <w:hideMark/>
          </w:tcPr>
          <w:p w14:paraId="038261B2" w14:textId="3359D0B0" w:rsidR="0078581F" w:rsidRPr="009E35ED" w:rsidRDefault="0078581F" w:rsidP="00BF4257">
            <w:pPr>
              <w:ind w:left="-108"/>
              <w:jc w:val="left"/>
              <w:rPr>
                <w:rFonts w:ascii="Arial Narrow" w:hAnsi="Arial Narrow" w:cs="Calibri"/>
                <w:color w:val="000000" w:themeColor="text1"/>
                <w:sz w:val="22"/>
                <w:szCs w:val="22"/>
              </w:rPr>
            </w:pPr>
            <w:r w:rsidRPr="009E35ED">
              <w:rPr>
                <w:rFonts w:ascii="Arial Narrow" w:hAnsi="Arial Narrow" w:cs="Calibri"/>
                <w:color w:val="000000" w:themeColor="text1"/>
                <w:sz w:val="22"/>
                <w:szCs w:val="22"/>
              </w:rPr>
              <w:t xml:space="preserve">DTA arising from </w:t>
            </w:r>
            <w:r w:rsidR="006042C4">
              <w:rPr>
                <w:rFonts w:ascii="Arial Narrow" w:hAnsi="Arial Narrow" w:cs="Calibri"/>
                <w:color w:val="000000" w:themeColor="text1"/>
                <w:sz w:val="22"/>
                <w:szCs w:val="22"/>
              </w:rPr>
              <w:t>l</w:t>
            </w:r>
            <w:r w:rsidRPr="009E35ED">
              <w:rPr>
                <w:rFonts w:ascii="Arial Narrow" w:hAnsi="Arial Narrow" w:cs="Calibri"/>
                <w:color w:val="000000" w:themeColor="text1"/>
                <w:sz w:val="22"/>
                <w:szCs w:val="22"/>
              </w:rPr>
              <w:t xml:space="preserve">ease </w:t>
            </w:r>
            <w:r w:rsidR="006042C4">
              <w:rPr>
                <w:rFonts w:ascii="Arial Narrow" w:hAnsi="Arial Narrow" w:cs="Calibri"/>
                <w:color w:val="000000" w:themeColor="text1"/>
                <w:sz w:val="22"/>
                <w:szCs w:val="22"/>
              </w:rPr>
              <w:t>l</w:t>
            </w:r>
            <w:r w:rsidRPr="009E35ED">
              <w:rPr>
                <w:rFonts w:ascii="Arial Narrow" w:hAnsi="Arial Narrow" w:cs="Calibri"/>
                <w:color w:val="000000" w:themeColor="text1"/>
                <w:sz w:val="22"/>
                <w:szCs w:val="22"/>
              </w:rPr>
              <w:t>iability-</w:t>
            </w:r>
            <w:r w:rsidR="006042C4">
              <w:rPr>
                <w:rFonts w:ascii="Arial Narrow" w:hAnsi="Arial Narrow" w:cs="Calibri"/>
                <w:color w:val="000000" w:themeColor="text1"/>
                <w:sz w:val="22"/>
                <w:szCs w:val="22"/>
              </w:rPr>
              <w:t>n</w:t>
            </w:r>
            <w:r w:rsidRPr="009E35ED">
              <w:rPr>
                <w:rFonts w:ascii="Arial Narrow" w:hAnsi="Arial Narrow" w:cs="Calibri"/>
                <w:color w:val="000000" w:themeColor="text1"/>
                <w:sz w:val="22"/>
                <w:szCs w:val="22"/>
              </w:rPr>
              <w:t xml:space="preserve">et of ROU </w:t>
            </w:r>
            <w:r w:rsidR="006042C4">
              <w:rPr>
                <w:rFonts w:ascii="Arial Narrow" w:hAnsi="Arial Narrow" w:cs="Calibri"/>
                <w:color w:val="000000" w:themeColor="text1"/>
                <w:sz w:val="22"/>
                <w:szCs w:val="22"/>
              </w:rPr>
              <w:t>a</w:t>
            </w:r>
            <w:r w:rsidRPr="009E35ED">
              <w:rPr>
                <w:rFonts w:ascii="Arial Narrow" w:hAnsi="Arial Narrow" w:cs="Calibri"/>
                <w:color w:val="000000" w:themeColor="text1"/>
                <w:sz w:val="22"/>
                <w:szCs w:val="22"/>
              </w:rPr>
              <w:t>sset</w:t>
            </w:r>
          </w:p>
        </w:tc>
        <w:tc>
          <w:tcPr>
            <w:tcW w:w="1988" w:type="dxa"/>
            <w:tcBorders>
              <w:top w:val="nil"/>
              <w:left w:val="nil"/>
              <w:bottom w:val="nil"/>
              <w:right w:val="nil"/>
            </w:tcBorders>
            <w:shd w:val="clear" w:color="auto" w:fill="auto"/>
            <w:noWrap/>
          </w:tcPr>
          <w:p w14:paraId="3BEA9E90" w14:textId="1203DA3B" w:rsidR="0078581F" w:rsidRPr="009E35ED" w:rsidRDefault="0078581F" w:rsidP="0078581F">
            <w:pPr>
              <w:ind w:left="0"/>
              <w:jc w:val="right"/>
              <w:rPr>
                <w:rFonts w:ascii="Arial Narrow" w:hAnsi="Arial Narrow" w:cs="Calibri"/>
                <w:color w:val="000000" w:themeColor="text1"/>
                <w:sz w:val="22"/>
                <w:szCs w:val="22"/>
              </w:rPr>
            </w:pPr>
            <w:r w:rsidRPr="009E35ED">
              <w:rPr>
                <w:rFonts w:ascii="Arial Narrow" w:hAnsi="Arial Narrow"/>
                <w:sz w:val="22"/>
                <w:szCs w:val="22"/>
              </w:rPr>
              <w:t>2,806,757</w:t>
            </w:r>
          </w:p>
        </w:tc>
        <w:tc>
          <w:tcPr>
            <w:tcW w:w="2042" w:type="dxa"/>
            <w:tcBorders>
              <w:top w:val="nil"/>
              <w:left w:val="nil"/>
              <w:bottom w:val="nil"/>
              <w:right w:val="nil"/>
            </w:tcBorders>
            <w:shd w:val="clear" w:color="auto" w:fill="auto"/>
            <w:noWrap/>
            <w:vAlign w:val="bottom"/>
            <w:hideMark/>
          </w:tcPr>
          <w:p w14:paraId="32D1DD4B" w14:textId="1B5DA2B8" w:rsidR="0078581F" w:rsidRPr="009E35ED" w:rsidRDefault="0078581F" w:rsidP="00BF4257">
            <w:pPr>
              <w:ind w:left="0" w:right="-96"/>
              <w:jc w:val="right"/>
              <w:rPr>
                <w:rFonts w:ascii="Arial Narrow" w:hAnsi="Arial Narrow" w:cs="Calibri"/>
                <w:color w:val="000000" w:themeColor="text1"/>
                <w:sz w:val="22"/>
                <w:szCs w:val="22"/>
              </w:rPr>
            </w:pPr>
            <w:r w:rsidRPr="009E35ED">
              <w:rPr>
                <w:rFonts w:ascii="Arial Narrow" w:hAnsi="Arial Narrow" w:cs="Calibri"/>
                <w:color w:val="000000"/>
                <w:sz w:val="22"/>
                <w:szCs w:val="22"/>
              </w:rPr>
              <w:t xml:space="preserve">                 7,541,180</w:t>
            </w:r>
          </w:p>
        </w:tc>
      </w:tr>
      <w:tr w:rsidR="0078581F" w:rsidRPr="009E35ED" w14:paraId="1BA7E3B3" w14:textId="77777777" w:rsidTr="00BF4257">
        <w:trPr>
          <w:trHeight w:val="203"/>
        </w:trPr>
        <w:tc>
          <w:tcPr>
            <w:tcW w:w="4410" w:type="dxa"/>
            <w:tcBorders>
              <w:top w:val="nil"/>
              <w:left w:val="nil"/>
              <w:bottom w:val="nil"/>
              <w:right w:val="nil"/>
            </w:tcBorders>
            <w:shd w:val="clear" w:color="auto" w:fill="auto"/>
            <w:noWrap/>
            <w:vAlign w:val="bottom"/>
            <w:hideMark/>
          </w:tcPr>
          <w:p w14:paraId="3FDC6128" w14:textId="2F09FD8C" w:rsidR="0078581F" w:rsidRPr="009E35ED" w:rsidRDefault="0078581F" w:rsidP="00BF4257">
            <w:pPr>
              <w:ind w:left="-108"/>
              <w:jc w:val="left"/>
              <w:rPr>
                <w:rFonts w:ascii="Arial Narrow" w:hAnsi="Arial Narrow" w:cs="Calibri"/>
                <w:color w:val="000000" w:themeColor="text1"/>
                <w:sz w:val="22"/>
                <w:szCs w:val="22"/>
              </w:rPr>
            </w:pPr>
            <w:r w:rsidRPr="009E35ED">
              <w:rPr>
                <w:rFonts w:ascii="Arial Narrow" w:hAnsi="Arial Narrow" w:cs="Calibri"/>
                <w:color w:val="000000" w:themeColor="text1"/>
                <w:sz w:val="22"/>
                <w:szCs w:val="22"/>
              </w:rPr>
              <w:t xml:space="preserve">DTA arising from </w:t>
            </w:r>
            <w:r w:rsidR="006042C4">
              <w:rPr>
                <w:rFonts w:ascii="Arial Narrow" w:hAnsi="Arial Narrow" w:cs="Calibri"/>
                <w:color w:val="000000" w:themeColor="text1"/>
                <w:sz w:val="22"/>
                <w:szCs w:val="22"/>
              </w:rPr>
              <w:t>l</w:t>
            </w:r>
            <w:r w:rsidRPr="009E35ED">
              <w:rPr>
                <w:rFonts w:ascii="Arial Narrow" w:hAnsi="Arial Narrow" w:cs="Calibri"/>
                <w:color w:val="000000" w:themeColor="text1"/>
                <w:sz w:val="22"/>
                <w:szCs w:val="22"/>
              </w:rPr>
              <w:t xml:space="preserve">eave </w:t>
            </w:r>
            <w:r w:rsidR="006042C4">
              <w:rPr>
                <w:rFonts w:ascii="Arial Narrow" w:hAnsi="Arial Narrow" w:cs="Calibri"/>
                <w:color w:val="000000" w:themeColor="text1"/>
                <w:sz w:val="22"/>
                <w:szCs w:val="22"/>
              </w:rPr>
              <w:t>b</w:t>
            </w:r>
            <w:r w:rsidRPr="009E35ED">
              <w:rPr>
                <w:rFonts w:ascii="Arial Narrow" w:hAnsi="Arial Narrow" w:cs="Calibri"/>
                <w:color w:val="000000" w:themeColor="text1"/>
                <w:sz w:val="22"/>
                <w:szCs w:val="22"/>
              </w:rPr>
              <w:t xml:space="preserve">enefit </w:t>
            </w:r>
            <w:r w:rsidR="006042C4">
              <w:rPr>
                <w:rFonts w:ascii="Arial Narrow" w:hAnsi="Arial Narrow" w:cs="Calibri"/>
                <w:color w:val="000000" w:themeColor="text1"/>
                <w:sz w:val="22"/>
                <w:szCs w:val="22"/>
              </w:rPr>
              <w:t>p</w:t>
            </w:r>
            <w:r w:rsidRPr="009E35ED">
              <w:rPr>
                <w:rFonts w:ascii="Arial Narrow" w:hAnsi="Arial Narrow" w:cs="Calibri"/>
                <w:color w:val="000000" w:themeColor="text1"/>
                <w:sz w:val="22"/>
                <w:szCs w:val="22"/>
              </w:rPr>
              <w:t>ayable</w:t>
            </w:r>
          </w:p>
        </w:tc>
        <w:tc>
          <w:tcPr>
            <w:tcW w:w="1988" w:type="dxa"/>
            <w:tcBorders>
              <w:top w:val="nil"/>
              <w:left w:val="nil"/>
              <w:bottom w:val="nil"/>
              <w:right w:val="nil"/>
            </w:tcBorders>
            <w:shd w:val="clear" w:color="auto" w:fill="auto"/>
            <w:noWrap/>
          </w:tcPr>
          <w:p w14:paraId="0488111A" w14:textId="50EC66CA" w:rsidR="0078581F" w:rsidRPr="009E35ED" w:rsidRDefault="0078581F" w:rsidP="0078581F">
            <w:pPr>
              <w:ind w:left="0"/>
              <w:jc w:val="right"/>
              <w:rPr>
                <w:rFonts w:ascii="Arial Narrow" w:hAnsi="Arial Narrow" w:cs="Calibri"/>
                <w:color w:val="000000" w:themeColor="text1"/>
                <w:sz w:val="22"/>
                <w:szCs w:val="22"/>
              </w:rPr>
            </w:pPr>
            <w:r w:rsidRPr="009E35ED">
              <w:rPr>
                <w:rFonts w:ascii="Arial Narrow" w:hAnsi="Arial Narrow"/>
                <w:sz w:val="22"/>
                <w:szCs w:val="22"/>
              </w:rPr>
              <w:t>73,359,399</w:t>
            </w:r>
          </w:p>
        </w:tc>
        <w:tc>
          <w:tcPr>
            <w:tcW w:w="2042" w:type="dxa"/>
            <w:tcBorders>
              <w:top w:val="nil"/>
              <w:left w:val="nil"/>
              <w:bottom w:val="nil"/>
              <w:right w:val="nil"/>
            </w:tcBorders>
            <w:shd w:val="clear" w:color="auto" w:fill="auto"/>
            <w:noWrap/>
            <w:vAlign w:val="bottom"/>
            <w:hideMark/>
          </w:tcPr>
          <w:p w14:paraId="7304D68D" w14:textId="6EE933B3" w:rsidR="0078581F" w:rsidRPr="009E35ED" w:rsidRDefault="0078581F" w:rsidP="00BF4257">
            <w:pPr>
              <w:ind w:left="0" w:right="-96"/>
              <w:jc w:val="right"/>
              <w:rPr>
                <w:rFonts w:ascii="Arial Narrow" w:hAnsi="Arial Narrow" w:cs="Calibri"/>
                <w:color w:val="000000" w:themeColor="text1"/>
                <w:sz w:val="22"/>
                <w:szCs w:val="22"/>
              </w:rPr>
            </w:pPr>
            <w:r w:rsidRPr="009E35ED">
              <w:rPr>
                <w:rFonts w:ascii="Arial Narrow" w:hAnsi="Arial Narrow" w:cs="Calibri"/>
                <w:color w:val="000000"/>
                <w:sz w:val="22"/>
                <w:szCs w:val="22"/>
              </w:rPr>
              <w:t>64,280,303</w:t>
            </w:r>
          </w:p>
        </w:tc>
      </w:tr>
      <w:tr w:rsidR="0078581F" w:rsidRPr="009E35ED" w14:paraId="153685B9" w14:textId="77777777" w:rsidTr="00BF4257">
        <w:trPr>
          <w:trHeight w:val="120"/>
        </w:trPr>
        <w:tc>
          <w:tcPr>
            <w:tcW w:w="4410" w:type="dxa"/>
            <w:tcBorders>
              <w:top w:val="nil"/>
              <w:left w:val="nil"/>
              <w:bottom w:val="nil"/>
              <w:right w:val="nil"/>
            </w:tcBorders>
            <w:shd w:val="clear" w:color="auto" w:fill="auto"/>
            <w:noWrap/>
            <w:vAlign w:val="bottom"/>
            <w:hideMark/>
          </w:tcPr>
          <w:p w14:paraId="12D702E7" w14:textId="3CACB48F" w:rsidR="0078581F" w:rsidRPr="009E35ED" w:rsidRDefault="0078581F" w:rsidP="00BF4257">
            <w:pPr>
              <w:ind w:left="-108"/>
              <w:jc w:val="left"/>
              <w:rPr>
                <w:rFonts w:ascii="Arial Narrow" w:hAnsi="Arial Narrow" w:cs="Calibri"/>
                <w:color w:val="000000" w:themeColor="text1"/>
                <w:sz w:val="22"/>
                <w:szCs w:val="22"/>
              </w:rPr>
            </w:pPr>
            <w:r w:rsidRPr="009E35ED">
              <w:rPr>
                <w:rFonts w:ascii="Arial Narrow" w:hAnsi="Arial Narrow" w:cs="Calibri"/>
                <w:color w:val="000000" w:themeColor="text1"/>
                <w:sz w:val="22"/>
                <w:szCs w:val="22"/>
              </w:rPr>
              <w:t xml:space="preserve">DTA arising from </w:t>
            </w:r>
            <w:r w:rsidR="006042C4">
              <w:rPr>
                <w:rFonts w:ascii="Arial Narrow" w:hAnsi="Arial Narrow" w:cs="Calibri"/>
                <w:color w:val="000000" w:themeColor="text1"/>
                <w:sz w:val="22"/>
                <w:szCs w:val="22"/>
              </w:rPr>
              <w:t>u</w:t>
            </w:r>
            <w:r w:rsidRPr="009E35ED">
              <w:rPr>
                <w:rFonts w:ascii="Arial Narrow" w:hAnsi="Arial Narrow" w:cs="Calibri"/>
                <w:color w:val="000000" w:themeColor="text1"/>
                <w:sz w:val="22"/>
                <w:szCs w:val="22"/>
              </w:rPr>
              <w:t xml:space="preserve">nrealized </w:t>
            </w:r>
            <w:r w:rsidR="006042C4">
              <w:rPr>
                <w:rFonts w:ascii="Arial Narrow" w:hAnsi="Arial Narrow" w:cs="Calibri"/>
                <w:color w:val="000000" w:themeColor="text1"/>
                <w:sz w:val="22"/>
                <w:szCs w:val="22"/>
              </w:rPr>
              <w:t>l</w:t>
            </w:r>
            <w:r w:rsidRPr="009E35ED">
              <w:rPr>
                <w:rFonts w:ascii="Arial Narrow" w:hAnsi="Arial Narrow" w:cs="Calibri"/>
                <w:color w:val="000000" w:themeColor="text1"/>
                <w:sz w:val="22"/>
                <w:szCs w:val="22"/>
              </w:rPr>
              <w:t>oss on</w:t>
            </w:r>
            <w:r w:rsidR="006042C4">
              <w:rPr>
                <w:rFonts w:ascii="Arial Narrow" w:hAnsi="Arial Narrow" w:cs="Calibri"/>
                <w:color w:val="000000" w:themeColor="text1"/>
                <w:sz w:val="22"/>
                <w:szCs w:val="22"/>
              </w:rPr>
              <w:t xml:space="preserve"> f</w:t>
            </w:r>
            <w:r w:rsidRPr="009E35ED">
              <w:rPr>
                <w:rFonts w:ascii="Arial Narrow" w:hAnsi="Arial Narrow" w:cs="Calibri"/>
                <w:color w:val="000000" w:themeColor="text1"/>
                <w:sz w:val="22"/>
                <w:szCs w:val="22"/>
              </w:rPr>
              <w:t>orex</w:t>
            </w:r>
          </w:p>
        </w:tc>
        <w:tc>
          <w:tcPr>
            <w:tcW w:w="1988" w:type="dxa"/>
            <w:tcBorders>
              <w:top w:val="nil"/>
              <w:left w:val="nil"/>
              <w:bottom w:val="nil"/>
              <w:right w:val="nil"/>
            </w:tcBorders>
            <w:shd w:val="clear" w:color="auto" w:fill="auto"/>
            <w:noWrap/>
            <w:vAlign w:val="bottom"/>
          </w:tcPr>
          <w:p w14:paraId="5D970639" w14:textId="2CC4F3DE" w:rsidR="0078581F" w:rsidRPr="009E35ED" w:rsidRDefault="0078581F" w:rsidP="0078581F">
            <w:pPr>
              <w:ind w:left="0"/>
              <w:jc w:val="right"/>
              <w:rPr>
                <w:rFonts w:ascii="Arial Narrow" w:hAnsi="Arial Narrow" w:cs="Calibri"/>
                <w:color w:val="000000" w:themeColor="text1"/>
                <w:sz w:val="22"/>
                <w:szCs w:val="22"/>
              </w:rPr>
            </w:pPr>
            <w:r w:rsidRPr="009E35ED">
              <w:rPr>
                <w:rFonts w:ascii="Arial Narrow" w:hAnsi="Arial Narrow" w:cs="Calibri"/>
                <w:color w:val="000000" w:themeColor="text1"/>
                <w:sz w:val="22"/>
                <w:szCs w:val="22"/>
              </w:rPr>
              <w:t>-</w:t>
            </w:r>
          </w:p>
        </w:tc>
        <w:tc>
          <w:tcPr>
            <w:tcW w:w="2042" w:type="dxa"/>
            <w:tcBorders>
              <w:top w:val="nil"/>
              <w:left w:val="nil"/>
              <w:bottom w:val="nil"/>
              <w:right w:val="nil"/>
            </w:tcBorders>
            <w:shd w:val="clear" w:color="auto" w:fill="auto"/>
            <w:noWrap/>
            <w:vAlign w:val="bottom"/>
            <w:hideMark/>
          </w:tcPr>
          <w:p w14:paraId="05D69C4A" w14:textId="2C04792F" w:rsidR="0078581F" w:rsidRPr="009E35ED" w:rsidRDefault="0078581F" w:rsidP="00BF4257">
            <w:pPr>
              <w:ind w:left="0" w:right="-96"/>
              <w:jc w:val="right"/>
              <w:rPr>
                <w:rFonts w:ascii="Arial Narrow" w:hAnsi="Arial Narrow" w:cs="Calibri"/>
                <w:color w:val="000000" w:themeColor="text1"/>
                <w:sz w:val="22"/>
                <w:szCs w:val="22"/>
              </w:rPr>
            </w:pPr>
            <w:r w:rsidRPr="009E35ED">
              <w:rPr>
                <w:rFonts w:ascii="Arial Narrow" w:hAnsi="Arial Narrow" w:cs="Calibri"/>
                <w:color w:val="000000"/>
                <w:sz w:val="22"/>
                <w:szCs w:val="22"/>
              </w:rPr>
              <w:t xml:space="preserve">                            -</w:t>
            </w:r>
          </w:p>
        </w:tc>
      </w:tr>
      <w:tr w:rsidR="0078581F" w:rsidRPr="009E35ED" w14:paraId="43B66A74" w14:textId="77777777" w:rsidTr="00BF4257">
        <w:trPr>
          <w:trHeight w:val="230"/>
        </w:trPr>
        <w:tc>
          <w:tcPr>
            <w:tcW w:w="4410" w:type="dxa"/>
            <w:tcBorders>
              <w:top w:val="nil"/>
              <w:left w:val="nil"/>
              <w:bottom w:val="nil"/>
              <w:right w:val="nil"/>
            </w:tcBorders>
            <w:shd w:val="clear" w:color="auto" w:fill="auto"/>
            <w:noWrap/>
            <w:vAlign w:val="bottom"/>
            <w:hideMark/>
          </w:tcPr>
          <w:p w14:paraId="67B4BE94" w14:textId="77777777" w:rsidR="0078581F" w:rsidRPr="009E35ED" w:rsidRDefault="0078581F" w:rsidP="00BF4257">
            <w:pPr>
              <w:ind w:left="-108"/>
              <w:jc w:val="left"/>
              <w:rPr>
                <w:rFonts w:ascii="Arial Narrow" w:hAnsi="Arial Narrow" w:cs="Calibri"/>
                <w:color w:val="000000" w:themeColor="text1"/>
                <w:sz w:val="22"/>
                <w:szCs w:val="22"/>
              </w:rPr>
            </w:pPr>
            <w:r w:rsidRPr="009E35ED">
              <w:rPr>
                <w:rFonts w:ascii="Arial Narrow" w:hAnsi="Arial Narrow" w:cs="Calibri"/>
                <w:color w:val="000000" w:themeColor="text1"/>
                <w:sz w:val="22"/>
                <w:szCs w:val="22"/>
              </w:rPr>
              <w:t>DTL:</w:t>
            </w:r>
          </w:p>
        </w:tc>
        <w:tc>
          <w:tcPr>
            <w:tcW w:w="1988" w:type="dxa"/>
            <w:tcBorders>
              <w:top w:val="nil"/>
              <w:left w:val="nil"/>
              <w:bottom w:val="nil"/>
              <w:right w:val="nil"/>
            </w:tcBorders>
            <w:shd w:val="clear" w:color="auto" w:fill="auto"/>
            <w:noWrap/>
            <w:vAlign w:val="bottom"/>
          </w:tcPr>
          <w:p w14:paraId="1C0032B2" w14:textId="77777777" w:rsidR="0078581F" w:rsidRPr="009E35ED" w:rsidRDefault="0078581F" w:rsidP="0078581F">
            <w:pPr>
              <w:ind w:left="0"/>
              <w:jc w:val="right"/>
              <w:rPr>
                <w:rFonts w:ascii="Arial Narrow" w:hAnsi="Arial Narrow" w:cs="Calibri"/>
                <w:color w:val="000000" w:themeColor="text1"/>
                <w:sz w:val="22"/>
                <w:szCs w:val="22"/>
              </w:rPr>
            </w:pPr>
          </w:p>
        </w:tc>
        <w:tc>
          <w:tcPr>
            <w:tcW w:w="2042" w:type="dxa"/>
            <w:tcBorders>
              <w:top w:val="nil"/>
              <w:left w:val="nil"/>
              <w:bottom w:val="nil"/>
              <w:right w:val="nil"/>
            </w:tcBorders>
            <w:shd w:val="clear" w:color="auto" w:fill="auto"/>
            <w:noWrap/>
            <w:vAlign w:val="bottom"/>
            <w:hideMark/>
          </w:tcPr>
          <w:p w14:paraId="4EA5A4F7" w14:textId="77777777" w:rsidR="0078581F" w:rsidRPr="009E35ED" w:rsidRDefault="0078581F" w:rsidP="00BF4257">
            <w:pPr>
              <w:ind w:left="0" w:right="-96"/>
              <w:jc w:val="right"/>
              <w:rPr>
                <w:color w:val="000000" w:themeColor="text1"/>
                <w:sz w:val="22"/>
                <w:szCs w:val="22"/>
              </w:rPr>
            </w:pPr>
          </w:p>
        </w:tc>
      </w:tr>
      <w:tr w:rsidR="0078581F" w:rsidRPr="009E35ED" w14:paraId="31A0BFA0" w14:textId="77777777" w:rsidTr="00BF4257">
        <w:trPr>
          <w:trHeight w:val="230"/>
        </w:trPr>
        <w:tc>
          <w:tcPr>
            <w:tcW w:w="4410" w:type="dxa"/>
            <w:tcBorders>
              <w:top w:val="nil"/>
              <w:left w:val="nil"/>
              <w:bottom w:val="nil"/>
              <w:right w:val="nil"/>
            </w:tcBorders>
            <w:shd w:val="clear" w:color="auto" w:fill="auto"/>
            <w:noWrap/>
            <w:vAlign w:val="bottom"/>
          </w:tcPr>
          <w:p w14:paraId="6AAA49BA" w14:textId="64236C3B" w:rsidR="0078581F" w:rsidRPr="009E35ED" w:rsidRDefault="0078581F" w:rsidP="00BF4257">
            <w:pPr>
              <w:ind w:left="-108"/>
              <w:jc w:val="left"/>
              <w:rPr>
                <w:rFonts w:ascii="Arial Narrow" w:hAnsi="Arial Narrow" w:cs="Calibri"/>
                <w:color w:val="000000" w:themeColor="text1"/>
                <w:sz w:val="22"/>
                <w:szCs w:val="22"/>
              </w:rPr>
            </w:pPr>
            <w:r w:rsidRPr="009E35ED">
              <w:rPr>
                <w:rFonts w:ascii="Arial Narrow" w:hAnsi="Arial Narrow" w:cs="Calibri"/>
                <w:color w:val="000000" w:themeColor="text1"/>
                <w:sz w:val="22"/>
                <w:szCs w:val="22"/>
              </w:rPr>
              <w:t>DTL arising from PPE</w:t>
            </w:r>
          </w:p>
        </w:tc>
        <w:tc>
          <w:tcPr>
            <w:tcW w:w="1988" w:type="dxa"/>
            <w:tcBorders>
              <w:top w:val="nil"/>
              <w:left w:val="nil"/>
              <w:bottom w:val="nil"/>
              <w:right w:val="nil"/>
            </w:tcBorders>
            <w:shd w:val="clear" w:color="auto" w:fill="auto"/>
            <w:noWrap/>
            <w:vAlign w:val="bottom"/>
          </w:tcPr>
          <w:p w14:paraId="21DB54D1" w14:textId="367C268E" w:rsidR="0078581F" w:rsidRPr="009E35ED" w:rsidRDefault="0078581F" w:rsidP="0078581F">
            <w:pPr>
              <w:ind w:left="0"/>
              <w:jc w:val="right"/>
              <w:rPr>
                <w:rFonts w:ascii="Arial Narrow" w:hAnsi="Arial Narrow" w:cs="Calibri"/>
                <w:color w:val="000000" w:themeColor="text1"/>
                <w:sz w:val="22"/>
                <w:szCs w:val="22"/>
              </w:rPr>
            </w:pPr>
            <w:r w:rsidRPr="009E35ED">
              <w:rPr>
                <w:rFonts w:ascii="Arial Narrow" w:hAnsi="Arial Narrow" w:cs="Calibri"/>
                <w:color w:val="000000" w:themeColor="text1"/>
                <w:sz w:val="22"/>
                <w:szCs w:val="22"/>
              </w:rPr>
              <w:t>-</w:t>
            </w:r>
          </w:p>
        </w:tc>
        <w:tc>
          <w:tcPr>
            <w:tcW w:w="2042" w:type="dxa"/>
            <w:tcBorders>
              <w:top w:val="nil"/>
              <w:left w:val="nil"/>
              <w:bottom w:val="nil"/>
              <w:right w:val="nil"/>
            </w:tcBorders>
            <w:shd w:val="clear" w:color="auto" w:fill="auto"/>
            <w:noWrap/>
            <w:vAlign w:val="bottom"/>
          </w:tcPr>
          <w:p w14:paraId="76518D25" w14:textId="09A0D19B" w:rsidR="0078581F" w:rsidRPr="009E35ED" w:rsidRDefault="0078581F" w:rsidP="00BF4257">
            <w:pPr>
              <w:ind w:left="0" w:right="-96"/>
              <w:jc w:val="right"/>
              <w:rPr>
                <w:color w:val="000000" w:themeColor="text1"/>
                <w:sz w:val="22"/>
                <w:szCs w:val="22"/>
              </w:rPr>
            </w:pPr>
            <w:r w:rsidRPr="009E35ED">
              <w:rPr>
                <w:rFonts w:ascii="Arial Narrow" w:hAnsi="Arial Narrow" w:cs="Calibri"/>
                <w:color w:val="000000"/>
                <w:sz w:val="22"/>
                <w:szCs w:val="22"/>
              </w:rPr>
              <w:t xml:space="preserve">           -                     </w:t>
            </w:r>
          </w:p>
        </w:tc>
      </w:tr>
      <w:tr w:rsidR="0078581F" w:rsidRPr="009E35ED" w14:paraId="0588D8D8" w14:textId="77777777" w:rsidTr="00BF4257">
        <w:trPr>
          <w:trHeight w:val="258"/>
        </w:trPr>
        <w:tc>
          <w:tcPr>
            <w:tcW w:w="4410" w:type="dxa"/>
            <w:tcBorders>
              <w:top w:val="nil"/>
              <w:left w:val="nil"/>
              <w:bottom w:val="single" w:sz="8" w:space="0" w:color="auto"/>
              <w:right w:val="nil"/>
            </w:tcBorders>
            <w:shd w:val="clear" w:color="auto" w:fill="auto"/>
            <w:noWrap/>
            <w:vAlign w:val="bottom"/>
            <w:hideMark/>
          </w:tcPr>
          <w:p w14:paraId="481EABFF" w14:textId="4F70BF17" w:rsidR="0078581F" w:rsidRPr="009E35ED" w:rsidRDefault="0078581F" w:rsidP="00BF4257">
            <w:pPr>
              <w:ind w:left="-108"/>
              <w:jc w:val="left"/>
              <w:rPr>
                <w:rFonts w:ascii="Arial Narrow" w:hAnsi="Arial Narrow" w:cs="Calibri"/>
                <w:color w:val="000000" w:themeColor="text1"/>
                <w:sz w:val="22"/>
                <w:szCs w:val="22"/>
              </w:rPr>
            </w:pPr>
            <w:r w:rsidRPr="009E35ED">
              <w:rPr>
                <w:rFonts w:ascii="Arial Narrow" w:hAnsi="Arial Narrow" w:cs="Calibri"/>
                <w:color w:val="000000" w:themeColor="text1"/>
                <w:sz w:val="22"/>
                <w:szCs w:val="22"/>
              </w:rPr>
              <w:t xml:space="preserve">DTL arising from </w:t>
            </w:r>
            <w:r w:rsidR="006042C4">
              <w:rPr>
                <w:rFonts w:ascii="Arial Narrow" w:hAnsi="Arial Narrow" w:cs="Calibri"/>
                <w:color w:val="000000" w:themeColor="text1"/>
                <w:sz w:val="22"/>
                <w:szCs w:val="22"/>
              </w:rPr>
              <w:t>u</w:t>
            </w:r>
            <w:r w:rsidRPr="009E35ED">
              <w:rPr>
                <w:rFonts w:ascii="Arial Narrow" w:hAnsi="Arial Narrow" w:cs="Calibri"/>
                <w:color w:val="000000" w:themeColor="text1"/>
                <w:sz w:val="22"/>
                <w:szCs w:val="22"/>
              </w:rPr>
              <w:t xml:space="preserve">nrealized </w:t>
            </w:r>
            <w:r w:rsidR="006042C4">
              <w:rPr>
                <w:rFonts w:ascii="Arial Narrow" w:hAnsi="Arial Narrow" w:cs="Calibri"/>
                <w:color w:val="000000" w:themeColor="text1"/>
                <w:sz w:val="22"/>
                <w:szCs w:val="22"/>
              </w:rPr>
              <w:t>g</w:t>
            </w:r>
            <w:r w:rsidRPr="009E35ED">
              <w:rPr>
                <w:rFonts w:ascii="Arial Narrow" w:hAnsi="Arial Narrow" w:cs="Calibri"/>
                <w:color w:val="000000" w:themeColor="text1"/>
                <w:sz w:val="22"/>
                <w:szCs w:val="22"/>
              </w:rPr>
              <w:t xml:space="preserve">ain on </w:t>
            </w:r>
            <w:r w:rsidR="006042C4">
              <w:rPr>
                <w:rFonts w:ascii="Arial Narrow" w:hAnsi="Arial Narrow" w:cs="Calibri"/>
                <w:color w:val="000000" w:themeColor="text1"/>
                <w:sz w:val="22"/>
                <w:szCs w:val="22"/>
              </w:rPr>
              <w:t>f</w:t>
            </w:r>
            <w:r w:rsidRPr="009E35ED">
              <w:rPr>
                <w:rFonts w:ascii="Arial Narrow" w:hAnsi="Arial Narrow" w:cs="Calibri"/>
                <w:color w:val="000000" w:themeColor="text1"/>
                <w:sz w:val="22"/>
                <w:szCs w:val="22"/>
              </w:rPr>
              <w:t>orex</w:t>
            </w:r>
          </w:p>
        </w:tc>
        <w:tc>
          <w:tcPr>
            <w:tcW w:w="1988" w:type="dxa"/>
            <w:tcBorders>
              <w:top w:val="nil"/>
              <w:left w:val="nil"/>
              <w:bottom w:val="single" w:sz="8" w:space="0" w:color="auto"/>
              <w:right w:val="nil"/>
            </w:tcBorders>
            <w:shd w:val="clear" w:color="auto" w:fill="auto"/>
            <w:noWrap/>
            <w:vAlign w:val="bottom"/>
          </w:tcPr>
          <w:p w14:paraId="5BB936E4" w14:textId="630F5BC9" w:rsidR="0078581F" w:rsidRPr="009E35ED" w:rsidRDefault="0078581F" w:rsidP="0078581F">
            <w:pPr>
              <w:ind w:left="0"/>
              <w:jc w:val="right"/>
              <w:rPr>
                <w:rFonts w:ascii="Arial Narrow" w:hAnsi="Arial Narrow" w:cs="Calibri"/>
                <w:color w:val="000000" w:themeColor="text1"/>
                <w:sz w:val="22"/>
                <w:szCs w:val="22"/>
              </w:rPr>
            </w:pPr>
            <w:r w:rsidRPr="009E35ED">
              <w:rPr>
                <w:rFonts w:ascii="Arial Narrow" w:hAnsi="Arial Narrow"/>
                <w:sz w:val="22"/>
                <w:szCs w:val="22"/>
              </w:rPr>
              <w:t>(8,181,609)</w:t>
            </w:r>
          </w:p>
        </w:tc>
        <w:tc>
          <w:tcPr>
            <w:tcW w:w="2042" w:type="dxa"/>
            <w:tcBorders>
              <w:top w:val="nil"/>
              <w:left w:val="nil"/>
              <w:bottom w:val="single" w:sz="8" w:space="0" w:color="auto"/>
              <w:right w:val="nil"/>
            </w:tcBorders>
            <w:shd w:val="clear" w:color="auto" w:fill="auto"/>
            <w:noWrap/>
            <w:vAlign w:val="bottom"/>
            <w:hideMark/>
          </w:tcPr>
          <w:p w14:paraId="6B7BC030" w14:textId="3186A414" w:rsidR="0078581F" w:rsidRPr="009E35ED" w:rsidRDefault="0078581F" w:rsidP="00BF4257">
            <w:pPr>
              <w:ind w:left="0" w:right="-96"/>
              <w:jc w:val="right"/>
              <w:rPr>
                <w:rFonts w:ascii="Arial Narrow" w:hAnsi="Arial Narrow" w:cs="Calibri"/>
                <w:color w:val="000000" w:themeColor="text1"/>
                <w:sz w:val="22"/>
                <w:szCs w:val="22"/>
              </w:rPr>
            </w:pPr>
            <w:r w:rsidRPr="009E35ED">
              <w:rPr>
                <w:rFonts w:ascii="Arial Narrow" w:hAnsi="Arial Narrow" w:cs="Calibri"/>
                <w:color w:val="000000"/>
                <w:sz w:val="22"/>
                <w:szCs w:val="22"/>
              </w:rPr>
              <w:t xml:space="preserve">                  </w:t>
            </w:r>
            <w:r w:rsidR="00153B82" w:rsidRPr="009E35ED">
              <w:rPr>
                <w:rFonts w:ascii="Arial Narrow" w:hAnsi="Arial Narrow" w:cs="Calibri"/>
                <w:color w:val="000000"/>
                <w:sz w:val="22"/>
                <w:szCs w:val="22"/>
              </w:rPr>
              <w:t>(</w:t>
            </w:r>
            <w:r w:rsidRPr="009E35ED">
              <w:rPr>
                <w:rFonts w:ascii="Arial Narrow" w:hAnsi="Arial Narrow" w:cs="Calibri"/>
                <w:color w:val="000000"/>
                <w:sz w:val="22"/>
                <w:szCs w:val="22"/>
              </w:rPr>
              <w:t>8,141,664</w:t>
            </w:r>
            <w:r w:rsidR="00153B82" w:rsidRPr="009E35ED">
              <w:rPr>
                <w:rFonts w:ascii="Arial Narrow" w:hAnsi="Arial Narrow" w:cs="Calibri"/>
                <w:color w:val="000000"/>
                <w:sz w:val="22"/>
                <w:szCs w:val="22"/>
              </w:rPr>
              <w:t>)</w:t>
            </w:r>
          </w:p>
        </w:tc>
      </w:tr>
      <w:tr w:rsidR="0078581F" w:rsidRPr="009E35ED" w14:paraId="12E9DA32" w14:textId="77777777" w:rsidTr="00BF4257">
        <w:trPr>
          <w:trHeight w:val="210"/>
        </w:trPr>
        <w:tc>
          <w:tcPr>
            <w:tcW w:w="4410" w:type="dxa"/>
            <w:tcBorders>
              <w:top w:val="nil"/>
              <w:left w:val="nil"/>
              <w:bottom w:val="double" w:sz="6" w:space="0" w:color="auto"/>
              <w:right w:val="nil"/>
            </w:tcBorders>
            <w:shd w:val="clear" w:color="auto" w:fill="auto"/>
            <w:noWrap/>
            <w:vAlign w:val="bottom"/>
            <w:hideMark/>
          </w:tcPr>
          <w:p w14:paraId="6DF37D0E" w14:textId="77777777" w:rsidR="0078581F" w:rsidRPr="009E35ED" w:rsidRDefault="0078581F" w:rsidP="0078581F">
            <w:pPr>
              <w:ind w:left="0"/>
              <w:jc w:val="left"/>
              <w:rPr>
                <w:color w:val="000000" w:themeColor="text1"/>
                <w:sz w:val="22"/>
                <w:szCs w:val="22"/>
              </w:rPr>
            </w:pPr>
            <w:r w:rsidRPr="009E35ED">
              <w:rPr>
                <w:color w:val="000000" w:themeColor="text1"/>
                <w:sz w:val="22"/>
                <w:szCs w:val="22"/>
              </w:rPr>
              <w:t> </w:t>
            </w:r>
          </w:p>
        </w:tc>
        <w:tc>
          <w:tcPr>
            <w:tcW w:w="1988" w:type="dxa"/>
            <w:tcBorders>
              <w:top w:val="nil"/>
              <w:left w:val="nil"/>
              <w:bottom w:val="double" w:sz="6" w:space="0" w:color="auto"/>
              <w:right w:val="nil"/>
            </w:tcBorders>
            <w:shd w:val="clear" w:color="auto" w:fill="auto"/>
            <w:noWrap/>
            <w:vAlign w:val="bottom"/>
          </w:tcPr>
          <w:p w14:paraId="311170D5" w14:textId="393BD9E4" w:rsidR="0078581F" w:rsidRPr="009E35ED" w:rsidRDefault="0078581F" w:rsidP="0078581F">
            <w:pPr>
              <w:ind w:left="0"/>
              <w:jc w:val="right"/>
              <w:rPr>
                <w:rFonts w:ascii="Arial Narrow" w:hAnsi="Arial Narrow" w:cs="Calibri"/>
                <w:b/>
                <w:bCs/>
                <w:color w:val="000000" w:themeColor="text1"/>
                <w:sz w:val="22"/>
                <w:szCs w:val="22"/>
              </w:rPr>
            </w:pPr>
            <w:r w:rsidRPr="009E35ED">
              <w:rPr>
                <w:rFonts w:ascii="Arial Narrow" w:hAnsi="Arial Narrow" w:cs="Calibri"/>
                <w:b/>
                <w:bCs/>
                <w:sz w:val="22"/>
                <w:szCs w:val="22"/>
              </w:rPr>
              <w:t>758,005,433</w:t>
            </w:r>
          </w:p>
        </w:tc>
        <w:tc>
          <w:tcPr>
            <w:tcW w:w="2042" w:type="dxa"/>
            <w:tcBorders>
              <w:top w:val="nil"/>
              <w:left w:val="nil"/>
              <w:bottom w:val="double" w:sz="6" w:space="0" w:color="auto"/>
              <w:right w:val="nil"/>
            </w:tcBorders>
            <w:shd w:val="clear" w:color="auto" w:fill="auto"/>
            <w:noWrap/>
            <w:vAlign w:val="bottom"/>
            <w:hideMark/>
          </w:tcPr>
          <w:p w14:paraId="052260D7" w14:textId="2277B31D" w:rsidR="0078581F" w:rsidRPr="009E35ED" w:rsidRDefault="0078581F" w:rsidP="00BF4257">
            <w:pPr>
              <w:ind w:left="0" w:right="-96"/>
              <w:jc w:val="right"/>
              <w:rPr>
                <w:rFonts w:ascii="Arial Narrow" w:hAnsi="Arial Narrow" w:cs="Calibri"/>
                <w:b/>
                <w:bCs/>
                <w:color w:val="000000" w:themeColor="text1"/>
                <w:sz w:val="22"/>
                <w:szCs w:val="22"/>
              </w:rPr>
            </w:pPr>
            <w:r w:rsidRPr="009E35ED">
              <w:rPr>
                <w:rFonts w:ascii="Arial Narrow" w:hAnsi="Arial Narrow" w:cs="Calibri"/>
                <w:b/>
                <w:bCs/>
                <w:color w:val="000000"/>
                <w:sz w:val="22"/>
                <w:szCs w:val="22"/>
              </w:rPr>
              <w:t>562,526,717</w:t>
            </w:r>
          </w:p>
        </w:tc>
      </w:tr>
    </w:tbl>
    <w:p w14:paraId="079EB21A" w14:textId="3F2EBB5F" w:rsidR="00F51926" w:rsidRDefault="00F51926" w:rsidP="00803F8C">
      <w:pPr>
        <w:ind w:left="0"/>
        <w:rPr>
          <w:rFonts w:ascii="Arial" w:hAnsi="Arial" w:cs="Arial"/>
          <w:color w:val="000000" w:themeColor="text1"/>
          <w:sz w:val="22"/>
          <w:szCs w:val="22"/>
        </w:rPr>
      </w:pPr>
    </w:p>
    <w:p w14:paraId="37568B7B" w14:textId="77777777" w:rsidR="00BF4257" w:rsidRPr="009E35ED" w:rsidRDefault="00BF4257" w:rsidP="00803F8C">
      <w:pPr>
        <w:ind w:left="0"/>
        <w:rPr>
          <w:rFonts w:ascii="Arial" w:hAnsi="Arial" w:cs="Arial"/>
          <w:color w:val="000000" w:themeColor="text1"/>
          <w:sz w:val="22"/>
          <w:szCs w:val="22"/>
        </w:rPr>
      </w:pPr>
    </w:p>
    <w:p w14:paraId="0B1B6F44" w14:textId="77777777" w:rsidR="003158E0" w:rsidRPr="009E35ED" w:rsidRDefault="003158E0" w:rsidP="00803F8C">
      <w:pPr>
        <w:ind w:left="0"/>
        <w:rPr>
          <w:rFonts w:ascii="Arial" w:hAnsi="Arial" w:cs="Arial"/>
          <w:color w:val="000000" w:themeColor="text1"/>
          <w:sz w:val="22"/>
          <w:szCs w:val="22"/>
        </w:rPr>
      </w:pPr>
    </w:p>
    <w:p w14:paraId="7478E4EE" w14:textId="77777777" w:rsidR="003E0457" w:rsidRPr="009E35ED" w:rsidRDefault="007A161A" w:rsidP="00803F8C">
      <w:pPr>
        <w:pStyle w:val="ListParagraph"/>
        <w:ind w:left="0"/>
        <w:rPr>
          <w:rFonts w:ascii="Arial" w:hAnsi="Arial" w:cs="Arial"/>
          <w:b/>
          <w:vanish/>
          <w:color w:val="000000" w:themeColor="text1"/>
          <w:sz w:val="22"/>
          <w:szCs w:val="22"/>
        </w:rPr>
      </w:pPr>
      <w:r w:rsidRPr="009E35ED">
        <w:rPr>
          <w:rFonts w:ascii="Arial" w:hAnsi="Arial" w:cs="Arial"/>
          <w:b/>
          <w:color w:val="000000" w:themeColor="text1"/>
          <w:sz w:val="22"/>
          <w:szCs w:val="22"/>
        </w:rPr>
        <w:t xml:space="preserve">16. </w:t>
      </w:r>
      <w:r w:rsidRPr="009E35ED">
        <w:rPr>
          <w:rFonts w:ascii="Arial" w:hAnsi="Arial" w:cs="Arial"/>
          <w:b/>
          <w:color w:val="000000" w:themeColor="text1"/>
          <w:sz w:val="22"/>
          <w:szCs w:val="22"/>
        </w:rPr>
        <w:tab/>
      </w:r>
    </w:p>
    <w:p w14:paraId="5CF3670F" w14:textId="77777777" w:rsidR="003E0457" w:rsidRPr="009E35ED" w:rsidRDefault="003E0457" w:rsidP="001C371F">
      <w:pPr>
        <w:pStyle w:val="ListParagraph"/>
        <w:numPr>
          <w:ilvl w:val="0"/>
          <w:numId w:val="26"/>
        </w:numPr>
        <w:rPr>
          <w:rFonts w:ascii="Arial" w:hAnsi="Arial" w:cs="Arial"/>
          <w:b/>
          <w:vanish/>
          <w:color w:val="000000" w:themeColor="text1"/>
          <w:sz w:val="22"/>
          <w:szCs w:val="22"/>
        </w:rPr>
      </w:pPr>
    </w:p>
    <w:p w14:paraId="00C59A2C" w14:textId="77777777" w:rsidR="003E0457" w:rsidRPr="009E35ED" w:rsidRDefault="003E0457" w:rsidP="001C371F">
      <w:pPr>
        <w:pStyle w:val="ListParagraph"/>
        <w:numPr>
          <w:ilvl w:val="0"/>
          <w:numId w:val="26"/>
        </w:numPr>
        <w:rPr>
          <w:rFonts w:ascii="Arial" w:hAnsi="Arial" w:cs="Arial"/>
          <w:b/>
          <w:vanish/>
          <w:color w:val="000000" w:themeColor="text1"/>
          <w:sz w:val="22"/>
          <w:szCs w:val="22"/>
        </w:rPr>
      </w:pPr>
    </w:p>
    <w:p w14:paraId="37B836CB" w14:textId="77777777" w:rsidR="003E0457" w:rsidRPr="009E35ED" w:rsidRDefault="003E0457" w:rsidP="001C371F">
      <w:pPr>
        <w:pStyle w:val="ListParagraph"/>
        <w:numPr>
          <w:ilvl w:val="0"/>
          <w:numId w:val="26"/>
        </w:numPr>
        <w:rPr>
          <w:rFonts w:ascii="Arial" w:hAnsi="Arial" w:cs="Arial"/>
          <w:b/>
          <w:vanish/>
          <w:color w:val="000000" w:themeColor="text1"/>
          <w:sz w:val="22"/>
          <w:szCs w:val="22"/>
        </w:rPr>
      </w:pPr>
    </w:p>
    <w:p w14:paraId="311AD50D" w14:textId="77777777" w:rsidR="00572AF6" w:rsidRPr="009E35ED" w:rsidRDefault="009F61D0" w:rsidP="001C371F">
      <w:pPr>
        <w:pStyle w:val="ListParagraph"/>
        <w:numPr>
          <w:ilvl w:val="0"/>
          <w:numId w:val="26"/>
        </w:numPr>
        <w:ind w:hanging="720"/>
        <w:rPr>
          <w:rFonts w:ascii="Arial" w:hAnsi="Arial" w:cs="Arial"/>
          <w:b/>
          <w:color w:val="000000" w:themeColor="text1"/>
          <w:sz w:val="22"/>
          <w:szCs w:val="22"/>
        </w:rPr>
      </w:pPr>
      <w:r w:rsidRPr="009E35ED">
        <w:rPr>
          <w:rFonts w:ascii="Arial" w:hAnsi="Arial" w:cs="Arial"/>
          <w:b/>
          <w:color w:val="000000" w:themeColor="text1"/>
          <w:sz w:val="22"/>
          <w:szCs w:val="22"/>
        </w:rPr>
        <w:t>FINANCIAL LIABILITIES</w:t>
      </w:r>
    </w:p>
    <w:p w14:paraId="3DA006A8" w14:textId="77777777" w:rsidR="00BF4257" w:rsidRDefault="00BF4257" w:rsidP="00BF4257">
      <w:pPr>
        <w:ind w:left="0"/>
        <w:rPr>
          <w:rFonts w:ascii="Arial Narrow" w:hAnsi="Arial Narrow" w:cs="Arial"/>
          <w:b/>
          <w:bCs/>
          <w:color w:val="000000" w:themeColor="text1"/>
          <w:sz w:val="22"/>
          <w:szCs w:val="22"/>
        </w:rPr>
      </w:pPr>
    </w:p>
    <w:p w14:paraId="625D0243" w14:textId="77777777" w:rsidR="00BF4257" w:rsidRPr="009E35ED" w:rsidRDefault="00BF4257" w:rsidP="00BF4257">
      <w:pPr>
        <w:ind w:left="0"/>
        <w:rPr>
          <w:rFonts w:ascii="Arial Narrow" w:hAnsi="Arial Narrow" w:cs="Arial"/>
          <w:b/>
          <w:bCs/>
          <w:color w:val="000000" w:themeColor="text1"/>
          <w:sz w:val="22"/>
          <w:szCs w:val="22"/>
        </w:rPr>
      </w:pPr>
      <w:r w:rsidRPr="009E35ED">
        <w:rPr>
          <w:rFonts w:ascii="Arial Narrow" w:hAnsi="Arial Narrow" w:cs="Arial"/>
          <w:b/>
          <w:bCs/>
          <w:color w:val="000000" w:themeColor="text1"/>
          <w:sz w:val="22"/>
          <w:szCs w:val="22"/>
        </w:rPr>
        <w:t>FINANCIAL LIABILITIES – CURRENT</w:t>
      </w:r>
    </w:p>
    <w:tbl>
      <w:tblPr>
        <w:tblW w:w="8370" w:type="dxa"/>
        <w:tblLook w:val="04A0" w:firstRow="1" w:lastRow="0" w:firstColumn="1" w:lastColumn="0" w:noHBand="0" w:noVBand="1"/>
      </w:tblPr>
      <w:tblGrid>
        <w:gridCol w:w="3960"/>
        <w:gridCol w:w="2700"/>
        <w:gridCol w:w="1710"/>
      </w:tblGrid>
      <w:tr w:rsidR="00997F75" w:rsidRPr="009E35ED" w14:paraId="253E2FE0" w14:textId="77777777" w:rsidTr="00BF4257">
        <w:trPr>
          <w:trHeight w:val="273"/>
        </w:trPr>
        <w:tc>
          <w:tcPr>
            <w:tcW w:w="3960" w:type="dxa"/>
            <w:tcBorders>
              <w:top w:val="single" w:sz="4" w:space="0" w:color="auto"/>
              <w:left w:val="nil"/>
              <w:bottom w:val="single" w:sz="4" w:space="0" w:color="auto"/>
              <w:right w:val="nil"/>
            </w:tcBorders>
            <w:shd w:val="clear" w:color="auto" w:fill="auto"/>
            <w:noWrap/>
            <w:vAlign w:val="bottom"/>
          </w:tcPr>
          <w:p w14:paraId="7B0361E5" w14:textId="77777777" w:rsidR="00AE24B4" w:rsidRPr="009E35ED" w:rsidRDefault="00AE24B4" w:rsidP="00AE24B4">
            <w:pPr>
              <w:ind w:left="0"/>
              <w:jc w:val="left"/>
              <w:rPr>
                <w:rFonts w:ascii="Arial Narrow" w:hAnsi="Arial Narrow"/>
                <w:color w:val="000000" w:themeColor="text1"/>
                <w:sz w:val="20"/>
                <w:szCs w:val="20"/>
                <w:lang w:val="en-PH" w:eastAsia="en-PH"/>
              </w:rPr>
            </w:pPr>
          </w:p>
        </w:tc>
        <w:tc>
          <w:tcPr>
            <w:tcW w:w="2700" w:type="dxa"/>
            <w:tcBorders>
              <w:top w:val="single" w:sz="4" w:space="0" w:color="auto"/>
              <w:left w:val="nil"/>
              <w:bottom w:val="single" w:sz="4" w:space="0" w:color="auto"/>
              <w:right w:val="nil"/>
            </w:tcBorders>
            <w:shd w:val="clear" w:color="auto" w:fill="auto"/>
            <w:noWrap/>
            <w:vAlign w:val="bottom"/>
            <w:hideMark/>
          </w:tcPr>
          <w:p w14:paraId="1CC5A20D" w14:textId="62F61008" w:rsidR="00AE24B4" w:rsidRPr="009E35ED" w:rsidRDefault="00054D95" w:rsidP="00AE24B4">
            <w:pPr>
              <w:ind w:left="0"/>
              <w:jc w:val="right"/>
              <w:rPr>
                <w:rFonts w:ascii="Arial Narrow" w:hAnsi="Arial Narrow" w:cs="Arial"/>
                <w:b/>
                <w:bCs/>
                <w:color w:val="000000" w:themeColor="text1"/>
                <w:sz w:val="22"/>
                <w:szCs w:val="22"/>
                <w:lang w:val="en-PH" w:eastAsia="en-PH"/>
              </w:rPr>
            </w:pPr>
            <w:r w:rsidRPr="009E35ED">
              <w:rPr>
                <w:rFonts w:ascii="Arial Narrow" w:hAnsi="Arial Narrow" w:cs="Arial"/>
                <w:b/>
                <w:bCs/>
                <w:color w:val="000000" w:themeColor="text1"/>
                <w:sz w:val="22"/>
                <w:szCs w:val="22"/>
                <w:lang w:val="en-PH" w:eastAsia="en-PH"/>
              </w:rPr>
              <w:t>202</w:t>
            </w:r>
            <w:r w:rsidR="005B674C" w:rsidRPr="009E35ED">
              <w:rPr>
                <w:rFonts w:ascii="Arial Narrow" w:hAnsi="Arial Narrow" w:cs="Arial"/>
                <w:b/>
                <w:bCs/>
                <w:color w:val="000000" w:themeColor="text1"/>
                <w:sz w:val="22"/>
                <w:szCs w:val="22"/>
                <w:lang w:val="en-PH" w:eastAsia="en-PH"/>
              </w:rPr>
              <w:t>3</w:t>
            </w:r>
          </w:p>
          <w:p w14:paraId="4BCF8195" w14:textId="3551C37F" w:rsidR="00A93AAF" w:rsidRPr="009E35ED" w:rsidRDefault="00A93AAF" w:rsidP="00AE24B4">
            <w:pPr>
              <w:ind w:left="0"/>
              <w:jc w:val="right"/>
              <w:rPr>
                <w:rFonts w:ascii="Arial Narrow" w:hAnsi="Arial Narrow" w:cs="Arial"/>
                <w:b/>
                <w:bCs/>
                <w:color w:val="000000" w:themeColor="text1"/>
                <w:sz w:val="22"/>
                <w:szCs w:val="22"/>
                <w:lang w:val="en-PH" w:eastAsia="en-PH"/>
              </w:rPr>
            </w:pPr>
          </w:p>
        </w:tc>
        <w:tc>
          <w:tcPr>
            <w:tcW w:w="1710" w:type="dxa"/>
            <w:tcBorders>
              <w:top w:val="single" w:sz="4" w:space="0" w:color="auto"/>
              <w:left w:val="nil"/>
              <w:bottom w:val="single" w:sz="4" w:space="0" w:color="auto"/>
              <w:right w:val="nil"/>
            </w:tcBorders>
            <w:shd w:val="clear" w:color="auto" w:fill="auto"/>
            <w:noWrap/>
            <w:vAlign w:val="bottom"/>
            <w:hideMark/>
          </w:tcPr>
          <w:p w14:paraId="3C6C15CC" w14:textId="0136A1D9" w:rsidR="00AE24B4" w:rsidRPr="009E35ED" w:rsidRDefault="00054D95" w:rsidP="00BF4257">
            <w:pPr>
              <w:ind w:left="0" w:right="-108"/>
              <w:jc w:val="right"/>
              <w:rPr>
                <w:rFonts w:ascii="Arial Narrow" w:hAnsi="Arial Narrow" w:cs="Arial"/>
                <w:b/>
                <w:bCs/>
                <w:color w:val="000000" w:themeColor="text1"/>
                <w:sz w:val="22"/>
                <w:szCs w:val="22"/>
                <w:lang w:val="en-PH" w:eastAsia="en-PH"/>
              </w:rPr>
            </w:pPr>
            <w:r w:rsidRPr="009E35ED">
              <w:rPr>
                <w:rFonts w:ascii="Arial Narrow" w:hAnsi="Arial Narrow" w:cs="Arial"/>
                <w:b/>
                <w:bCs/>
                <w:color w:val="000000" w:themeColor="text1"/>
                <w:sz w:val="22"/>
                <w:szCs w:val="22"/>
                <w:lang w:val="en-PH" w:eastAsia="en-PH"/>
              </w:rPr>
              <w:t>202</w:t>
            </w:r>
            <w:r w:rsidR="005B674C" w:rsidRPr="009E35ED">
              <w:rPr>
                <w:rFonts w:ascii="Arial Narrow" w:hAnsi="Arial Narrow" w:cs="Arial"/>
                <w:b/>
                <w:bCs/>
                <w:color w:val="000000" w:themeColor="text1"/>
                <w:sz w:val="22"/>
                <w:szCs w:val="22"/>
                <w:lang w:val="en-PH" w:eastAsia="en-PH"/>
              </w:rPr>
              <w:t>2</w:t>
            </w:r>
          </w:p>
          <w:p w14:paraId="72AB007A" w14:textId="0F39B51F" w:rsidR="00A93AAF" w:rsidRPr="009E35ED" w:rsidRDefault="00A93AAF" w:rsidP="00BF4257">
            <w:pPr>
              <w:ind w:left="0" w:right="-108"/>
              <w:jc w:val="right"/>
              <w:rPr>
                <w:rFonts w:ascii="Arial Narrow" w:hAnsi="Arial Narrow" w:cs="Arial"/>
                <w:b/>
                <w:bCs/>
                <w:color w:val="000000" w:themeColor="text1"/>
                <w:sz w:val="22"/>
                <w:szCs w:val="22"/>
                <w:lang w:val="en-PH" w:eastAsia="en-PH"/>
              </w:rPr>
            </w:pPr>
            <w:r w:rsidRPr="009E35ED">
              <w:rPr>
                <w:rFonts w:ascii="Arial Narrow" w:hAnsi="Arial Narrow" w:cs="Arial"/>
                <w:b/>
                <w:bCs/>
                <w:color w:val="000000" w:themeColor="text1"/>
                <w:sz w:val="22"/>
                <w:szCs w:val="22"/>
                <w:lang w:val="en-PH" w:eastAsia="en-PH"/>
              </w:rPr>
              <w:t>As Restated</w:t>
            </w:r>
          </w:p>
        </w:tc>
      </w:tr>
      <w:tr w:rsidR="00997F75" w:rsidRPr="009E35ED" w14:paraId="0CFFE0F4" w14:textId="77777777" w:rsidTr="00BF4257">
        <w:trPr>
          <w:trHeight w:val="247"/>
        </w:trPr>
        <w:tc>
          <w:tcPr>
            <w:tcW w:w="3960" w:type="dxa"/>
            <w:tcBorders>
              <w:top w:val="single" w:sz="4" w:space="0" w:color="auto"/>
            </w:tcBorders>
            <w:shd w:val="clear" w:color="auto" w:fill="auto"/>
            <w:noWrap/>
            <w:vAlign w:val="bottom"/>
            <w:hideMark/>
          </w:tcPr>
          <w:p w14:paraId="68313394" w14:textId="3FA7931A" w:rsidR="00CE6281" w:rsidRPr="009E35ED" w:rsidRDefault="00CE6281" w:rsidP="00BF4257">
            <w:pPr>
              <w:ind w:left="-108"/>
              <w:jc w:val="left"/>
              <w:rPr>
                <w:rFonts w:ascii="Arial Narrow" w:hAnsi="Arial Narrow" w:cs="Arial"/>
                <w:color w:val="000000" w:themeColor="text1"/>
                <w:sz w:val="22"/>
                <w:szCs w:val="22"/>
                <w:lang w:val="en-PH" w:eastAsia="en-PH"/>
              </w:rPr>
            </w:pPr>
            <w:r w:rsidRPr="009E35ED">
              <w:rPr>
                <w:rFonts w:ascii="Arial Narrow" w:hAnsi="Arial Narrow" w:cs="Arial"/>
                <w:color w:val="000000" w:themeColor="text1"/>
                <w:sz w:val="22"/>
                <w:szCs w:val="22"/>
                <w:lang w:val="en-PH" w:eastAsia="en-PH"/>
              </w:rPr>
              <w:t xml:space="preserve">Miscellaneous </w:t>
            </w:r>
            <w:r w:rsidR="006042C4">
              <w:rPr>
                <w:rFonts w:ascii="Arial Narrow" w:hAnsi="Arial Narrow" w:cs="Arial"/>
                <w:color w:val="000000" w:themeColor="text1"/>
                <w:sz w:val="22"/>
                <w:szCs w:val="22"/>
                <w:lang w:val="en-PH" w:eastAsia="en-PH"/>
              </w:rPr>
              <w:t>a</w:t>
            </w:r>
            <w:r w:rsidRPr="009E35ED">
              <w:rPr>
                <w:rFonts w:ascii="Arial Narrow" w:hAnsi="Arial Narrow" w:cs="Arial"/>
                <w:color w:val="000000" w:themeColor="text1"/>
                <w:sz w:val="22"/>
                <w:szCs w:val="22"/>
                <w:lang w:val="en-PH" w:eastAsia="en-PH"/>
              </w:rPr>
              <w:t>ccounts</w:t>
            </w:r>
            <w:r w:rsidR="006042C4">
              <w:rPr>
                <w:rFonts w:ascii="Arial Narrow" w:hAnsi="Arial Narrow" w:cs="Arial"/>
                <w:color w:val="000000" w:themeColor="text1"/>
                <w:sz w:val="22"/>
                <w:szCs w:val="22"/>
                <w:lang w:val="en-PH" w:eastAsia="en-PH"/>
              </w:rPr>
              <w:t xml:space="preserve"> p</w:t>
            </w:r>
            <w:r w:rsidRPr="009E35ED">
              <w:rPr>
                <w:rFonts w:ascii="Arial Narrow" w:hAnsi="Arial Narrow" w:cs="Arial"/>
                <w:color w:val="000000" w:themeColor="text1"/>
                <w:sz w:val="22"/>
                <w:szCs w:val="22"/>
                <w:lang w:val="en-PH" w:eastAsia="en-PH"/>
              </w:rPr>
              <w:t>ayable</w:t>
            </w:r>
          </w:p>
        </w:tc>
        <w:tc>
          <w:tcPr>
            <w:tcW w:w="2700" w:type="dxa"/>
            <w:tcBorders>
              <w:top w:val="single" w:sz="4" w:space="0" w:color="auto"/>
            </w:tcBorders>
            <w:shd w:val="clear" w:color="auto" w:fill="auto"/>
            <w:noWrap/>
            <w:vAlign w:val="bottom"/>
          </w:tcPr>
          <w:p w14:paraId="42949067" w14:textId="53109BDF" w:rsidR="00CE6281" w:rsidRPr="009E35ED" w:rsidRDefault="00CE6281" w:rsidP="00B04ABA">
            <w:pPr>
              <w:ind w:left="0"/>
              <w:jc w:val="right"/>
              <w:rPr>
                <w:rFonts w:ascii="Arial Narrow" w:hAnsi="Arial Narrow" w:cs="Calibri"/>
                <w:color w:val="000000" w:themeColor="text1"/>
                <w:sz w:val="22"/>
                <w:szCs w:val="22"/>
              </w:rPr>
            </w:pPr>
            <w:r w:rsidRPr="009E35ED">
              <w:rPr>
                <w:rFonts w:ascii="Arial Narrow" w:hAnsi="Arial Narrow"/>
                <w:color w:val="000000" w:themeColor="text1"/>
                <w:sz w:val="22"/>
                <w:szCs w:val="22"/>
              </w:rPr>
              <w:t xml:space="preserve"> </w:t>
            </w:r>
            <w:r w:rsidR="00A36844" w:rsidRPr="009E35ED">
              <w:rPr>
                <w:rFonts w:ascii="Arial Narrow" w:hAnsi="Arial Narrow"/>
                <w:color w:val="000000" w:themeColor="text1"/>
                <w:sz w:val="22"/>
                <w:szCs w:val="22"/>
              </w:rPr>
              <w:t>8,</w:t>
            </w:r>
            <w:r w:rsidR="00B04ABA" w:rsidRPr="009E35ED">
              <w:rPr>
                <w:rFonts w:ascii="Arial Narrow" w:hAnsi="Arial Narrow"/>
                <w:color w:val="000000" w:themeColor="text1"/>
                <w:sz w:val="22"/>
                <w:szCs w:val="22"/>
              </w:rPr>
              <w:t>757,546,700</w:t>
            </w:r>
          </w:p>
        </w:tc>
        <w:tc>
          <w:tcPr>
            <w:tcW w:w="1710" w:type="dxa"/>
            <w:tcBorders>
              <w:top w:val="single" w:sz="4" w:space="0" w:color="auto"/>
            </w:tcBorders>
            <w:shd w:val="clear" w:color="auto" w:fill="auto"/>
            <w:noWrap/>
            <w:vAlign w:val="bottom"/>
            <w:hideMark/>
          </w:tcPr>
          <w:p w14:paraId="58749EE0" w14:textId="70D90AB6" w:rsidR="00CE6281" w:rsidRPr="009E35ED" w:rsidRDefault="00CE6281" w:rsidP="00BF4257">
            <w:pPr>
              <w:ind w:left="0" w:right="-108"/>
              <w:jc w:val="right"/>
              <w:rPr>
                <w:rFonts w:ascii="Arial Narrow" w:hAnsi="Arial Narrow" w:cs="Arial"/>
                <w:color w:val="000000" w:themeColor="text1"/>
                <w:sz w:val="22"/>
                <w:szCs w:val="22"/>
                <w:lang w:val="en-PH" w:eastAsia="en-PH"/>
              </w:rPr>
            </w:pPr>
            <w:r w:rsidRPr="009E35ED">
              <w:rPr>
                <w:rFonts w:ascii="Arial Narrow" w:hAnsi="Arial Narrow"/>
                <w:color w:val="000000" w:themeColor="text1"/>
                <w:sz w:val="22"/>
                <w:szCs w:val="22"/>
              </w:rPr>
              <w:t xml:space="preserve"> 6,994,588,53</w:t>
            </w:r>
            <w:r w:rsidR="00153B82" w:rsidRPr="009E35ED">
              <w:rPr>
                <w:rFonts w:ascii="Arial Narrow" w:hAnsi="Arial Narrow"/>
                <w:color w:val="000000" w:themeColor="text1"/>
                <w:sz w:val="22"/>
                <w:szCs w:val="22"/>
              </w:rPr>
              <w:t>4</w:t>
            </w:r>
            <w:r w:rsidRPr="009E35ED">
              <w:rPr>
                <w:rFonts w:ascii="Arial Narrow" w:hAnsi="Arial Narrow"/>
                <w:color w:val="000000" w:themeColor="text1"/>
                <w:sz w:val="22"/>
                <w:szCs w:val="22"/>
              </w:rPr>
              <w:t xml:space="preserve"> </w:t>
            </w:r>
          </w:p>
        </w:tc>
      </w:tr>
      <w:tr w:rsidR="00997F75" w:rsidRPr="009E35ED" w14:paraId="04ABE918" w14:textId="77777777" w:rsidTr="00BF4257">
        <w:trPr>
          <w:trHeight w:val="247"/>
        </w:trPr>
        <w:tc>
          <w:tcPr>
            <w:tcW w:w="3960" w:type="dxa"/>
            <w:shd w:val="clear" w:color="auto" w:fill="auto"/>
            <w:noWrap/>
            <w:vAlign w:val="bottom"/>
            <w:hideMark/>
          </w:tcPr>
          <w:p w14:paraId="4F65A17E" w14:textId="4EAB93DE" w:rsidR="00CE6281" w:rsidRPr="009E35ED" w:rsidRDefault="00CE6281" w:rsidP="00BF4257">
            <w:pPr>
              <w:ind w:left="-108"/>
              <w:jc w:val="left"/>
              <w:rPr>
                <w:rFonts w:ascii="Arial Narrow" w:hAnsi="Arial Narrow" w:cs="Arial"/>
                <w:color w:val="000000" w:themeColor="text1"/>
                <w:sz w:val="22"/>
                <w:szCs w:val="22"/>
                <w:lang w:val="en-PH" w:eastAsia="en-PH"/>
              </w:rPr>
            </w:pPr>
            <w:r w:rsidRPr="009E35ED">
              <w:rPr>
                <w:rFonts w:ascii="Arial Narrow" w:hAnsi="Arial Narrow" w:cs="Arial"/>
                <w:color w:val="000000" w:themeColor="text1"/>
                <w:sz w:val="22"/>
                <w:szCs w:val="22"/>
                <w:lang w:val="en-PH" w:eastAsia="en-PH"/>
              </w:rPr>
              <w:t xml:space="preserve">Vouchers </w:t>
            </w:r>
            <w:r w:rsidR="006042C4">
              <w:rPr>
                <w:rFonts w:ascii="Arial Narrow" w:hAnsi="Arial Narrow" w:cs="Arial"/>
                <w:color w:val="000000" w:themeColor="text1"/>
                <w:sz w:val="22"/>
                <w:szCs w:val="22"/>
                <w:lang w:val="en-PH" w:eastAsia="en-PH"/>
              </w:rPr>
              <w:t>p</w:t>
            </w:r>
            <w:r w:rsidRPr="009E35ED">
              <w:rPr>
                <w:rFonts w:ascii="Arial Narrow" w:hAnsi="Arial Narrow" w:cs="Arial"/>
                <w:color w:val="000000" w:themeColor="text1"/>
                <w:sz w:val="22"/>
                <w:szCs w:val="22"/>
                <w:lang w:val="en-PH" w:eastAsia="en-PH"/>
              </w:rPr>
              <w:t>ayable-</w:t>
            </w:r>
            <w:r w:rsidR="006042C4">
              <w:rPr>
                <w:rFonts w:ascii="Arial Narrow" w:hAnsi="Arial Narrow" w:cs="Arial"/>
                <w:color w:val="000000" w:themeColor="text1"/>
                <w:sz w:val="22"/>
                <w:szCs w:val="22"/>
                <w:lang w:val="en-PH" w:eastAsia="en-PH"/>
              </w:rPr>
              <w:t>c</w:t>
            </w:r>
            <w:r w:rsidRPr="009E35ED">
              <w:rPr>
                <w:rFonts w:ascii="Arial Narrow" w:hAnsi="Arial Narrow" w:cs="Arial"/>
                <w:color w:val="000000" w:themeColor="text1"/>
                <w:sz w:val="22"/>
                <w:szCs w:val="22"/>
                <w:lang w:val="en-PH" w:eastAsia="en-PH"/>
              </w:rPr>
              <w:t xml:space="preserve">harity </w:t>
            </w:r>
            <w:r w:rsidR="006042C4">
              <w:rPr>
                <w:rFonts w:ascii="Arial Narrow" w:hAnsi="Arial Narrow" w:cs="Arial"/>
                <w:color w:val="000000" w:themeColor="text1"/>
                <w:sz w:val="22"/>
                <w:szCs w:val="22"/>
                <w:lang w:val="en-PH" w:eastAsia="en-PH"/>
              </w:rPr>
              <w:t>f</w:t>
            </w:r>
            <w:r w:rsidRPr="009E35ED">
              <w:rPr>
                <w:rFonts w:ascii="Arial Narrow" w:hAnsi="Arial Narrow" w:cs="Arial"/>
                <w:color w:val="000000" w:themeColor="text1"/>
                <w:sz w:val="22"/>
                <w:szCs w:val="22"/>
                <w:lang w:val="en-PH" w:eastAsia="en-PH"/>
              </w:rPr>
              <w:t>und</w:t>
            </w:r>
          </w:p>
        </w:tc>
        <w:tc>
          <w:tcPr>
            <w:tcW w:w="2700" w:type="dxa"/>
            <w:shd w:val="clear" w:color="auto" w:fill="auto"/>
            <w:noWrap/>
            <w:vAlign w:val="bottom"/>
          </w:tcPr>
          <w:p w14:paraId="08F1491A" w14:textId="224C086E" w:rsidR="00CE6281" w:rsidRPr="009E35ED" w:rsidRDefault="00CE6281" w:rsidP="00672A60">
            <w:pPr>
              <w:jc w:val="right"/>
              <w:rPr>
                <w:rFonts w:ascii="Arial Narrow" w:hAnsi="Arial Narrow" w:cs="Calibri"/>
                <w:color w:val="000000" w:themeColor="text1"/>
                <w:sz w:val="22"/>
                <w:szCs w:val="22"/>
              </w:rPr>
            </w:pPr>
            <w:r w:rsidRPr="009E35ED">
              <w:rPr>
                <w:rFonts w:ascii="Arial Narrow" w:hAnsi="Arial Narrow"/>
                <w:color w:val="000000" w:themeColor="text1"/>
                <w:sz w:val="22"/>
                <w:szCs w:val="22"/>
              </w:rPr>
              <w:t xml:space="preserve"> </w:t>
            </w:r>
            <w:r w:rsidR="00A36844" w:rsidRPr="009E35ED">
              <w:rPr>
                <w:rFonts w:ascii="Arial Narrow" w:hAnsi="Arial Narrow"/>
                <w:color w:val="000000" w:themeColor="text1"/>
                <w:sz w:val="22"/>
                <w:szCs w:val="22"/>
              </w:rPr>
              <w:t>675,780,975</w:t>
            </w:r>
          </w:p>
        </w:tc>
        <w:tc>
          <w:tcPr>
            <w:tcW w:w="1710" w:type="dxa"/>
            <w:shd w:val="clear" w:color="auto" w:fill="auto"/>
            <w:noWrap/>
            <w:vAlign w:val="bottom"/>
          </w:tcPr>
          <w:p w14:paraId="2B8E1442" w14:textId="3B62F794" w:rsidR="00CE6281" w:rsidRPr="009E35ED" w:rsidRDefault="00CE6281" w:rsidP="00BF4257">
            <w:pPr>
              <w:ind w:left="0" w:right="-108"/>
              <w:jc w:val="right"/>
              <w:rPr>
                <w:rFonts w:ascii="Arial Narrow" w:hAnsi="Arial Narrow" w:cs="Arial"/>
                <w:color w:val="000000" w:themeColor="text1"/>
                <w:sz w:val="22"/>
                <w:szCs w:val="22"/>
                <w:lang w:val="en-PH" w:eastAsia="en-PH"/>
              </w:rPr>
            </w:pPr>
            <w:r w:rsidRPr="009E35ED">
              <w:rPr>
                <w:rFonts w:ascii="Arial Narrow" w:hAnsi="Arial Narrow"/>
                <w:color w:val="000000" w:themeColor="text1"/>
                <w:sz w:val="22"/>
                <w:szCs w:val="22"/>
              </w:rPr>
              <w:t xml:space="preserve"> 64</w:t>
            </w:r>
            <w:r w:rsidR="00A36844" w:rsidRPr="009E35ED">
              <w:rPr>
                <w:rFonts w:ascii="Arial Narrow" w:hAnsi="Arial Narrow"/>
                <w:color w:val="000000" w:themeColor="text1"/>
                <w:sz w:val="22"/>
                <w:szCs w:val="22"/>
              </w:rPr>
              <w:t>8,503,00</w:t>
            </w:r>
            <w:r w:rsidR="00153B82" w:rsidRPr="009E35ED">
              <w:rPr>
                <w:rFonts w:ascii="Arial Narrow" w:hAnsi="Arial Narrow"/>
                <w:color w:val="000000" w:themeColor="text1"/>
                <w:sz w:val="22"/>
                <w:szCs w:val="22"/>
              </w:rPr>
              <w:t>2</w:t>
            </w:r>
          </w:p>
        </w:tc>
      </w:tr>
      <w:tr w:rsidR="00997F75" w:rsidRPr="009E35ED" w14:paraId="78D6D79C" w14:textId="77777777" w:rsidTr="00BF4257">
        <w:trPr>
          <w:trHeight w:val="247"/>
        </w:trPr>
        <w:tc>
          <w:tcPr>
            <w:tcW w:w="3960" w:type="dxa"/>
            <w:shd w:val="clear" w:color="auto" w:fill="auto"/>
            <w:noWrap/>
            <w:vAlign w:val="bottom"/>
          </w:tcPr>
          <w:p w14:paraId="2BED2D0C" w14:textId="2754918E" w:rsidR="00CE6281" w:rsidRPr="009E35ED" w:rsidRDefault="00CE6281" w:rsidP="00BF4257">
            <w:pPr>
              <w:ind w:left="-108"/>
              <w:jc w:val="left"/>
              <w:rPr>
                <w:rFonts w:ascii="Arial Narrow" w:hAnsi="Arial Narrow" w:cs="Arial"/>
                <w:color w:val="000000" w:themeColor="text1"/>
                <w:sz w:val="22"/>
                <w:szCs w:val="22"/>
                <w:lang w:val="en-PH" w:eastAsia="en-PH"/>
              </w:rPr>
            </w:pPr>
            <w:r w:rsidRPr="009E35ED">
              <w:rPr>
                <w:rFonts w:ascii="Arial Narrow" w:hAnsi="Arial Narrow" w:cs="Arial"/>
                <w:color w:val="000000" w:themeColor="text1"/>
                <w:sz w:val="22"/>
                <w:szCs w:val="22"/>
                <w:lang w:val="en-PH" w:eastAsia="en-PH"/>
              </w:rPr>
              <w:t xml:space="preserve">Guaranty </w:t>
            </w:r>
            <w:r w:rsidR="006042C4">
              <w:rPr>
                <w:rFonts w:ascii="Arial Narrow" w:hAnsi="Arial Narrow" w:cs="Arial"/>
                <w:color w:val="000000" w:themeColor="text1"/>
                <w:sz w:val="22"/>
                <w:szCs w:val="22"/>
                <w:lang w:val="en-PH" w:eastAsia="en-PH"/>
              </w:rPr>
              <w:t>l</w:t>
            </w:r>
            <w:r w:rsidRPr="009E35ED">
              <w:rPr>
                <w:rFonts w:ascii="Arial Narrow" w:hAnsi="Arial Narrow" w:cs="Arial"/>
                <w:color w:val="000000" w:themeColor="text1"/>
                <w:sz w:val="22"/>
                <w:szCs w:val="22"/>
                <w:lang w:val="en-PH" w:eastAsia="en-PH"/>
              </w:rPr>
              <w:t>etters</w:t>
            </w:r>
          </w:p>
        </w:tc>
        <w:tc>
          <w:tcPr>
            <w:tcW w:w="2700" w:type="dxa"/>
            <w:shd w:val="clear" w:color="auto" w:fill="auto"/>
            <w:noWrap/>
            <w:vAlign w:val="bottom"/>
          </w:tcPr>
          <w:p w14:paraId="44E5F263" w14:textId="6A5865DB" w:rsidR="00CE6281" w:rsidRPr="009E35ED" w:rsidRDefault="00CE6281" w:rsidP="00B04ABA">
            <w:pPr>
              <w:ind w:left="0"/>
              <w:jc w:val="right"/>
              <w:rPr>
                <w:rFonts w:ascii="Arial Narrow" w:hAnsi="Arial Narrow"/>
                <w:color w:val="000000" w:themeColor="text1"/>
                <w:sz w:val="22"/>
                <w:szCs w:val="22"/>
              </w:rPr>
            </w:pPr>
            <w:r w:rsidRPr="009E35ED">
              <w:rPr>
                <w:rFonts w:ascii="Arial Narrow" w:hAnsi="Arial Narrow"/>
                <w:color w:val="000000" w:themeColor="text1"/>
                <w:sz w:val="22"/>
                <w:szCs w:val="22"/>
              </w:rPr>
              <w:t xml:space="preserve"> 19</w:t>
            </w:r>
            <w:r w:rsidR="00B04ABA" w:rsidRPr="009E35ED">
              <w:rPr>
                <w:rFonts w:ascii="Arial Narrow" w:hAnsi="Arial Narrow"/>
                <w:color w:val="000000" w:themeColor="text1"/>
                <w:sz w:val="22"/>
                <w:szCs w:val="22"/>
              </w:rPr>
              <w:t>8,840,711</w:t>
            </w:r>
            <w:r w:rsidRPr="009E35ED">
              <w:rPr>
                <w:rFonts w:ascii="Arial Narrow" w:hAnsi="Arial Narrow"/>
                <w:color w:val="000000" w:themeColor="text1"/>
                <w:sz w:val="22"/>
                <w:szCs w:val="22"/>
              </w:rPr>
              <w:t xml:space="preserve"> </w:t>
            </w:r>
          </w:p>
        </w:tc>
        <w:tc>
          <w:tcPr>
            <w:tcW w:w="1710" w:type="dxa"/>
            <w:shd w:val="clear" w:color="auto" w:fill="auto"/>
            <w:noWrap/>
            <w:vAlign w:val="bottom"/>
          </w:tcPr>
          <w:p w14:paraId="44908F50" w14:textId="3A8C18B5" w:rsidR="00CE6281" w:rsidRPr="009E35ED" w:rsidRDefault="00CE6281" w:rsidP="00BF4257">
            <w:pPr>
              <w:ind w:left="0" w:right="-108"/>
              <w:jc w:val="right"/>
              <w:rPr>
                <w:rFonts w:ascii="Arial Narrow" w:hAnsi="Arial Narrow"/>
                <w:color w:val="000000" w:themeColor="text1"/>
                <w:sz w:val="22"/>
                <w:szCs w:val="22"/>
              </w:rPr>
            </w:pPr>
            <w:r w:rsidRPr="009E35ED">
              <w:rPr>
                <w:rFonts w:ascii="Arial Narrow" w:hAnsi="Arial Narrow"/>
                <w:color w:val="000000" w:themeColor="text1"/>
                <w:sz w:val="22"/>
                <w:szCs w:val="22"/>
              </w:rPr>
              <w:t xml:space="preserve"> 106,635,004 </w:t>
            </w:r>
          </w:p>
        </w:tc>
      </w:tr>
      <w:tr w:rsidR="00997F75" w:rsidRPr="009E35ED" w14:paraId="54C7418F" w14:textId="77777777" w:rsidTr="00BF4257">
        <w:trPr>
          <w:trHeight w:val="247"/>
        </w:trPr>
        <w:tc>
          <w:tcPr>
            <w:tcW w:w="3960" w:type="dxa"/>
            <w:shd w:val="clear" w:color="auto" w:fill="auto"/>
            <w:noWrap/>
            <w:vAlign w:val="bottom"/>
            <w:hideMark/>
          </w:tcPr>
          <w:p w14:paraId="5219EB46" w14:textId="1822EFD7" w:rsidR="00CE6281" w:rsidRPr="009E35ED" w:rsidRDefault="00CE6281" w:rsidP="00BF4257">
            <w:pPr>
              <w:ind w:left="-108"/>
              <w:jc w:val="left"/>
              <w:rPr>
                <w:rFonts w:ascii="Arial Narrow" w:hAnsi="Arial Narrow" w:cs="Arial"/>
                <w:color w:val="000000" w:themeColor="text1"/>
                <w:sz w:val="22"/>
                <w:szCs w:val="22"/>
                <w:lang w:val="en-PH" w:eastAsia="en-PH"/>
              </w:rPr>
            </w:pPr>
            <w:r w:rsidRPr="009E35ED">
              <w:rPr>
                <w:rFonts w:ascii="Arial Narrow" w:hAnsi="Arial Narrow" w:cs="Arial"/>
                <w:color w:val="000000" w:themeColor="text1"/>
                <w:sz w:val="22"/>
                <w:szCs w:val="22"/>
                <w:lang w:val="en-PH" w:eastAsia="en-PH"/>
              </w:rPr>
              <w:t xml:space="preserve">Vouchers </w:t>
            </w:r>
            <w:r w:rsidR="006042C4">
              <w:rPr>
                <w:rFonts w:ascii="Arial Narrow" w:hAnsi="Arial Narrow" w:cs="Arial"/>
                <w:color w:val="000000" w:themeColor="text1"/>
                <w:sz w:val="22"/>
                <w:szCs w:val="22"/>
                <w:lang w:val="en-PH" w:eastAsia="en-PH"/>
              </w:rPr>
              <w:t>p</w:t>
            </w:r>
            <w:r w:rsidRPr="009E35ED">
              <w:rPr>
                <w:rFonts w:ascii="Arial Narrow" w:hAnsi="Arial Narrow" w:cs="Arial"/>
                <w:color w:val="000000" w:themeColor="text1"/>
                <w:sz w:val="22"/>
                <w:szCs w:val="22"/>
                <w:lang w:val="en-PH" w:eastAsia="en-PH"/>
              </w:rPr>
              <w:t>ayable-</w:t>
            </w:r>
            <w:r w:rsidR="006042C4">
              <w:rPr>
                <w:rFonts w:ascii="Arial Narrow" w:hAnsi="Arial Narrow" w:cs="Arial"/>
                <w:color w:val="000000" w:themeColor="text1"/>
                <w:sz w:val="22"/>
                <w:szCs w:val="22"/>
                <w:lang w:val="en-PH" w:eastAsia="en-PH"/>
              </w:rPr>
              <w:t>o</w:t>
            </w:r>
            <w:r w:rsidRPr="009E35ED">
              <w:rPr>
                <w:rFonts w:ascii="Arial Narrow" w:hAnsi="Arial Narrow" w:cs="Arial"/>
                <w:color w:val="000000" w:themeColor="text1"/>
                <w:sz w:val="22"/>
                <w:szCs w:val="22"/>
                <w:lang w:val="en-PH" w:eastAsia="en-PH"/>
              </w:rPr>
              <w:t xml:space="preserve">perating </w:t>
            </w:r>
            <w:r w:rsidR="006042C4">
              <w:rPr>
                <w:rFonts w:ascii="Arial Narrow" w:hAnsi="Arial Narrow" w:cs="Arial"/>
                <w:color w:val="000000" w:themeColor="text1"/>
                <w:sz w:val="22"/>
                <w:szCs w:val="22"/>
                <w:lang w:val="en-PH" w:eastAsia="en-PH"/>
              </w:rPr>
              <w:t>f</w:t>
            </w:r>
            <w:r w:rsidRPr="009E35ED">
              <w:rPr>
                <w:rFonts w:ascii="Arial Narrow" w:hAnsi="Arial Narrow" w:cs="Arial"/>
                <w:color w:val="000000" w:themeColor="text1"/>
                <w:sz w:val="22"/>
                <w:szCs w:val="22"/>
                <w:lang w:val="en-PH" w:eastAsia="en-PH"/>
              </w:rPr>
              <w:t>und</w:t>
            </w:r>
          </w:p>
        </w:tc>
        <w:tc>
          <w:tcPr>
            <w:tcW w:w="2700" w:type="dxa"/>
            <w:shd w:val="clear" w:color="auto" w:fill="auto"/>
            <w:noWrap/>
            <w:vAlign w:val="bottom"/>
          </w:tcPr>
          <w:p w14:paraId="4763C70D" w14:textId="3DC25C02" w:rsidR="00CE6281" w:rsidRPr="009E35ED" w:rsidRDefault="00CE6281" w:rsidP="00672A60">
            <w:pPr>
              <w:ind w:left="0"/>
              <w:jc w:val="right"/>
              <w:rPr>
                <w:rFonts w:ascii="Arial Narrow" w:hAnsi="Arial Narrow" w:cs="Calibri"/>
                <w:color w:val="000000" w:themeColor="text1"/>
                <w:sz w:val="22"/>
                <w:szCs w:val="22"/>
              </w:rPr>
            </w:pPr>
            <w:r w:rsidRPr="009E35ED">
              <w:rPr>
                <w:rFonts w:ascii="Arial Narrow" w:hAnsi="Arial Narrow"/>
                <w:color w:val="000000" w:themeColor="text1"/>
                <w:sz w:val="22"/>
                <w:szCs w:val="22"/>
              </w:rPr>
              <w:t xml:space="preserve"> </w:t>
            </w:r>
            <w:r w:rsidR="00A36844" w:rsidRPr="009E35ED">
              <w:rPr>
                <w:rFonts w:ascii="Arial Narrow" w:hAnsi="Arial Narrow"/>
                <w:color w:val="000000" w:themeColor="text1"/>
                <w:sz w:val="22"/>
                <w:szCs w:val="22"/>
              </w:rPr>
              <w:t>222,143,709</w:t>
            </w:r>
          </w:p>
        </w:tc>
        <w:tc>
          <w:tcPr>
            <w:tcW w:w="1710" w:type="dxa"/>
            <w:shd w:val="clear" w:color="auto" w:fill="auto"/>
            <w:noWrap/>
            <w:vAlign w:val="bottom"/>
          </w:tcPr>
          <w:p w14:paraId="59D829C5" w14:textId="320E8BA8" w:rsidR="00CE6281" w:rsidRPr="009E35ED" w:rsidRDefault="00CE6281" w:rsidP="00BF4257">
            <w:pPr>
              <w:ind w:left="0" w:right="-108"/>
              <w:jc w:val="right"/>
              <w:rPr>
                <w:rFonts w:ascii="Arial Narrow" w:hAnsi="Arial Narrow" w:cs="Arial"/>
                <w:color w:val="000000" w:themeColor="text1"/>
                <w:sz w:val="22"/>
                <w:szCs w:val="22"/>
                <w:lang w:val="en-PH" w:eastAsia="en-PH"/>
              </w:rPr>
            </w:pPr>
            <w:r w:rsidRPr="009E35ED">
              <w:rPr>
                <w:rFonts w:ascii="Arial Narrow" w:hAnsi="Arial Narrow"/>
                <w:color w:val="000000" w:themeColor="text1"/>
                <w:sz w:val="22"/>
                <w:szCs w:val="22"/>
              </w:rPr>
              <w:t xml:space="preserve"> 90,038,022 </w:t>
            </w:r>
          </w:p>
        </w:tc>
      </w:tr>
      <w:tr w:rsidR="00997F75" w:rsidRPr="009E35ED" w14:paraId="08ABE775" w14:textId="77777777" w:rsidTr="00BF4257">
        <w:trPr>
          <w:trHeight w:val="247"/>
        </w:trPr>
        <w:tc>
          <w:tcPr>
            <w:tcW w:w="3960" w:type="dxa"/>
            <w:shd w:val="clear" w:color="auto" w:fill="auto"/>
            <w:noWrap/>
            <w:vAlign w:val="bottom"/>
            <w:hideMark/>
          </w:tcPr>
          <w:p w14:paraId="7B2AE05D" w14:textId="15D956E1" w:rsidR="00CE6281" w:rsidRPr="009E35ED" w:rsidRDefault="00CE6281" w:rsidP="00BF4257">
            <w:pPr>
              <w:ind w:left="-108"/>
              <w:jc w:val="left"/>
              <w:rPr>
                <w:rFonts w:ascii="Arial Narrow" w:hAnsi="Arial Narrow" w:cs="Arial"/>
                <w:color w:val="000000" w:themeColor="text1"/>
                <w:sz w:val="22"/>
                <w:szCs w:val="22"/>
                <w:lang w:val="en-PH" w:eastAsia="en-PH"/>
              </w:rPr>
            </w:pPr>
            <w:r w:rsidRPr="009E35ED">
              <w:rPr>
                <w:rFonts w:ascii="Arial Narrow" w:hAnsi="Arial Narrow" w:cs="Arial"/>
                <w:color w:val="000000" w:themeColor="text1"/>
                <w:sz w:val="22"/>
                <w:szCs w:val="22"/>
                <w:lang w:val="en-PH" w:eastAsia="en-PH"/>
              </w:rPr>
              <w:t xml:space="preserve">Vouchers </w:t>
            </w:r>
            <w:r w:rsidR="006042C4">
              <w:rPr>
                <w:rFonts w:ascii="Arial Narrow" w:hAnsi="Arial Narrow" w:cs="Arial"/>
                <w:color w:val="000000" w:themeColor="text1"/>
                <w:sz w:val="22"/>
                <w:szCs w:val="22"/>
                <w:lang w:val="en-PH" w:eastAsia="en-PH"/>
              </w:rPr>
              <w:t>p</w:t>
            </w:r>
            <w:r w:rsidRPr="009E35ED">
              <w:rPr>
                <w:rFonts w:ascii="Arial Narrow" w:hAnsi="Arial Narrow" w:cs="Arial"/>
                <w:color w:val="000000" w:themeColor="text1"/>
                <w:sz w:val="22"/>
                <w:szCs w:val="22"/>
                <w:lang w:val="en-PH" w:eastAsia="en-PH"/>
              </w:rPr>
              <w:t>ayable-</w:t>
            </w:r>
            <w:r w:rsidR="006042C4">
              <w:rPr>
                <w:rFonts w:ascii="Arial Narrow" w:hAnsi="Arial Narrow" w:cs="Arial"/>
                <w:color w:val="000000" w:themeColor="text1"/>
                <w:sz w:val="22"/>
                <w:szCs w:val="22"/>
                <w:lang w:val="en-PH" w:eastAsia="en-PH"/>
              </w:rPr>
              <w:t>p</w:t>
            </w:r>
            <w:r w:rsidRPr="009E35ED">
              <w:rPr>
                <w:rFonts w:ascii="Arial Narrow" w:hAnsi="Arial Narrow" w:cs="Arial"/>
                <w:color w:val="000000" w:themeColor="text1"/>
                <w:sz w:val="22"/>
                <w:szCs w:val="22"/>
                <w:lang w:val="en-PH" w:eastAsia="en-PH"/>
              </w:rPr>
              <w:t xml:space="preserve">rize </w:t>
            </w:r>
            <w:r w:rsidR="006042C4">
              <w:rPr>
                <w:rFonts w:ascii="Arial Narrow" w:hAnsi="Arial Narrow" w:cs="Arial"/>
                <w:color w:val="000000" w:themeColor="text1"/>
                <w:sz w:val="22"/>
                <w:szCs w:val="22"/>
                <w:lang w:val="en-PH" w:eastAsia="en-PH"/>
              </w:rPr>
              <w:t>f</w:t>
            </w:r>
            <w:r w:rsidRPr="009E35ED">
              <w:rPr>
                <w:rFonts w:ascii="Arial Narrow" w:hAnsi="Arial Narrow" w:cs="Arial"/>
                <w:color w:val="000000" w:themeColor="text1"/>
                <w:sz w:val="22"/>
                <w:szCs w:val="22"/>
                <w:lang w:val="en-PH" w:eastAsia="en-PH"/>
              </w:rPr>
              <w:t>und</w:t>
            </w:r>
          </w:p>
        </w:tc>
        <w:tc>
          <w:tcPr>
            <w:tcW w:w="2700" w:type="dxa"/>
            <w:shd w:val="clear" w:color="auto" w:fill="auto"/>
            <w:noWrap/>
            <w:vAlign w:val="bottom"/>
          </w:tcPr>
          <w:p w14:paraId="36EE52B0" w14:textId="5439F125" w:rsidR="00CE6281" w:rsidRPr="009E35ED" w:rsidRDefault="00CE6281" w:rsidP="00672A60">
            <w:pPr>
              <w:jc w:val="right"/>
              <w:rPr>
                <w:rFonts w:ascii="Arial Narrow" w:hAnsi="Arial Narrow" w:cs="Calibri"/>
                <w:color w:val="000000" w:themeColor="text1"/>
                <w:sz w:val="22"/>
                <w:szCs w:val="22"/>
              </w:rPr>
            </w:pPr>
            <w:r w:rsidRPr="009E35ED">
              <w:rPr>
                <w:rFonts w:ascii="Arial Narrow" w:hAnsi="Arial Narrow"/>
                <w:color w:val="000000" w:themeColor="text1"/>
                <w:sz w:val="22"/>
                <w:szCs w:val="22"/>
              </w:rPr>
              <w:t xml:space="preserve"> 67,676,640 </w:t>
            </w:r>
          </w:p>
        </w:tc>
        <w:tc>
          <w:tcPr>
            <w:tcW w:w="1710" w:type="dxa"/>
            <w:shd w:val="clear" w:color="auto" w:fill="auto"/>
            <w:noWrap/>
            <w:vAlign w:val="bottom"/>
          </w:tcPr>
          <w:p w14:paraId="6FE6EA00" w14:textId="5837F85C" w:rsidR="00CE6281" w:rsidRPr="009E35ED" w:rsidRDefault="00CE6281" w:rsidP="00BF4257">
            <w:pPr>
              <w:ind w:left="0" w:right="-108"/>
              <w:jc w:val="right"/>
              <w:rPr>
                <w:rFonts w:ascii="Arial Narrow" w:hAnsi="Arial Narrow" w:cs="Arial"/>
                <w:color w:val="000000" w:themeColor="text1"/>
                <w:sz w:val="22"/>
                <w:szCs w:val="22"/>
                <w:lang w:val="en-PH" w:eastAsia="en-PH"/>
              </w:rPr>
            </w:pPr>
            <w:r w:rsidRPr="009E35ED">
              <w:rPr>
                <w:rFonts w:ascii="Arial Narrow" w:hAnsi="Arial Narrow"/>
                <w:color w:val="000000" w:themeColor="text1"/>
                <w:sz w:val="22"/>
                <w:szCs w:val="22"/>
              </w:rPr>
              <w:t xml:space="preserve"> 15,340,100 </w:t>
            </w:r>
          </w:p>
        </w:tc>
      </w:tr>
      <w:tr w:rsidR="00997F75" w:rsidRPr="009E35ED" w14:paraId="727150D3" w14:textId="77777777" w:rsidTr="00BF4257">
        <w:trPr>
          <w:trHeight w:val="273"/>
        </w:trPr>
        <w:tc>
          <w:tcPr>
            <w:tcW w:w="3960" w:type="dxa"/>
            <w:tcBorders>
              <w:bottom w:val="single" w:sz="4" w:space="0" w:color="auto"/>
            </w:tcBorders>
            <w:shd w:val="clear" w:color="auto" w:fill="auto"/>
            <w:noWrap/>
            <w:vAlign w:val="bottom"/>
            <w:hideMark/>
          </w:tcPr>
          <w:p w14:paraId="45DB24E2" w14:textId="4DE6A132" w:rsidR="00CE6281" w:rsidRPr="009E35ED" w:rsidRDefault="00CE6281" w:rsidP="00BF4257">
            <w:pPr>
              <w:ind w:left="-108"/>
              <w:jc w:val="left"/>
              <w:rPr>
                <w:rFonts w:ascii="Arial Narrow" w:hAnsi="Arial Narrow" w:cs="Arial"/>
                <w:color w:val="000000" w:themeColor="text1"/>
                <w:sz w:val="22"/>
                <w:szCs w:val="22"/>
                <w:lang w:val="en-PH" w:eastAsia="en-PH"/>
              </w:rPr>
            </w:pPr>
            <w:r w:rsidRPr="009E35ED">
              <w:rPr>
                <w:rFonts w:ascii="Arial Narrow" w:hAnsi="Arial Narrow" w:cs="Arial"/>
                <w:color w:val="000000" w:themeColor="text1"/>
                <w:sz w:val="22"/>
                <w:szCs w:val="22"/>
                <w:lang w:val="en-PH" w:eastAsia="en-PH"/>
              </w:rPr>
              <w:t xml:space="preserve">Rental and </w:t>
            </w:r>
            <w:r w:rsidR="006042C4">
              <w:rPr>
                <w:rFonts w:ascii="Arial Narrow" w:hAnsi="Arial Narrow" w:cs="Arial"/>
                <w:color w:val="000000" w:themeColor="text1"/>
                <w:sz w:val="22"/>
                <w:szCs w:val="22"/>
                <w:lang w:val="en-PH" w:eastAsia="en-PH"/>
              </w:rPr>
              <w:t>m</w:t>
            </w:r>
            <w:r w:rsidRPr="009E35ED">
              <w:rPr>
                <w:rFonts w:ascii="Arial Narrow" w:hAnsi="Arial Narrow" w:cs="Arial"/>
                <w:color w:val="000000" w:themeColor="text1"/>
                <w:sz w:val="22"/>
                <w:szCs w:val="22"/>
                <w:lang w:val="en-PH" w:eastAsia="en-PH"/>
              </w:rPr>
              <w:t>aintenance</w:t>
            </w:r>
          </w:p>
        </w:tc>
        <w:tc>
          <w:tcPr>
            <w:tcW w:w="2700" w:type="dxa"/>
            <w:tcBorders>
              <w:bottom w:val="single" w:sz="4" w:space="0" w:color="auto"/>
            </w:tcBorders>
            <w:shd w:val="clear" w:color="auto" w:fill="auto"/>
            <w:noWrap/>
            <w:vAlign w:val="bottom"/>
          </w:tcPr>
          <w:p w14:paraId="0322C07B" w14:textId="4DE4F2F4" w:rsidR="00CE6281" w:rsidRPr="009E35ED" w:rsidRDefault="00CE6281" w:rsidP="00672A60">
            <w:pPr>
              <w:ind w:left="0"/>
              <w:jc w:val="right"/>
              <w:rPr>
                <w:rFonts w:ascii="Arial Narrow" w:hAnsi="Arial Narrow" w:cs="Calibri"/>
                <w:color w:val="000000" w:themeColor="text1"/>
                <w:sz w:val="22"/>
                <w:szCs w:val="22"/>
              </w:rPr>
            </w:pPr>
            <w:r w:rsidRPr="009E35ED">
              <w:rPr>
                <w:rFonts w:ascii="Arial Narrow" w:hAnsi="Arial Narrow"/>
                <w:color w:val="000000" w:themeColor="text1"/>
                <w:sz w:val="22"/>
                <w:szCs w:val="22"/>
              </w:rPr>
              <w:t xml:space="preserve"> 129,622,871 </w:t>
            </w:r>
          </w:p>
        </w:tc>
        <w:tc>
          <w:tcPr>
            <w:tcW w:w="1710" w:type="dxa"/>
            <w:tcBorders>
              <w:bottom w:val="single" w:sz="4" w:space="0" w:color="auto"/>
            </w:tcBorders>
            <w:shd w:val="clear" w:color="auto" w:fill="auto"/>
            <w:noWrap/>
            <w:vAlign w:val="bottom"/>
          </w:tcPr>
          <w:p w14:paraId="673EE202" w14:textId="0883AE0C" w:rsidR="00CE6281" w:rsidRPr="009E35ED" w:rsidRDefault="00CE6281" w:rsidP="00BF4257">
            <w:pPr>
              <w:ind w:left="0" w:right="-108"/>
              <w:jc w:val="right"/>
              <w:rPr>
                <w:rFonts w:ascii="Arial Narrow" w:hAnsi="Arial Narrow"/>
                <w:color w:val="000000" w:themeColor="text1"/>
                <w:sz w:val="22"/>
                <w:szCs w:val="22"/>
              </w:rPr>
            </w:pPr>
            <w:r w:rsidRPr="009E35ED">
              <w:rPr>
                <w:rFonts w:ascii="Arial Narrow" w:hAnsi="Arial Narrow"/>
                <w:color w:val="000000" w:themeColor="text1"/>
                <w:sz w:val="22"/>
                <w:szCs w:val="22"/>
              </w:rPr>
              <w:t xml:space="preserve"> 112,708,731 </w:t>
            </w:r>
          </w:p>
        </w:tc>
      </w:tr>
      <w:tr w:rsidR="00997F75" w:rsidRPr="009E35ED" w14:paraId="01CBFB92" w14:textId="77777777" w:rsidTr="00BF4257">
        <w:trPr>
          <w:trHeight w:val="273"/>
        </w:trPr>
        <w:tc>
          <w:tcPr>
            <w:tcW w:w="3960" w:type="dxa"/>
            <w:tcBorders>
              <w:top w:val="single" w:sz="4" w:space="0" w:color="auto"/>
              <w:left w:val="nil"/>
              <w:bottom w:val="single" w:sz="4" w:space="0" w:color="auto"/>
              <w:right w:val="nil"/>
            </w:tcBorders>
            <w:shd w:val="clear" w:color="auto" w:fill="auto"/>
            <w:noWrap/>
            <w:vAlign w:val="bottom"/>
            <w:hideMark/>
          </w:tcPr>
          <w:p w14:paraId="0036A74B" w14:textId="77777777" w:rsidR="00CE6281" w:rsidRPr="009E35ED" w:rsidRDefault="00CE6281" w:rsidP="00BF4257">
            <w:pPr>
              <w:ind w:left="-108"/>
              <w:jc w:val="left"/>
              <w:rPr>
                <w:rFonts w:ascii="Arial Narrow" w:hAnsi="Arial Narrow" w:cs="Arial"/>
                <w:b/>
                <w:bCs/>
                <w:color w:val="000000" w:themeColor="text1"/>
                <w:sz w:val="22"/>
                <w:szCs w:val="22"/>
                <w:lang w:val="en-PH" w:eastAsia="en-PH"/>
              </w:rPr>
            </w:pPr>
            <w:r w:rsidRPr="009E35ED">
              <w:rPr>
                <w:rFonts w:ascii="Arial Narrow" w:hAnsi="Arial Narrow" w:cs="Arial"/>
                <w:b/>
                <w:bCs/>
                <w:color w:val="000000" w:themeColor="text1"/>
                <w:sz w:val="22"/>
                <w:szCs w:val="22"/>
                <w:lang w:val="en-PH" w:eastAsia="en-PH"/>
              </w:rPr>
              <w:t>Total Accounts Payable</w:t>
            </w:r>
          </w:p>
        </w:tc>
        <w:tc>
          <w:tcPr>
            <w:tcW w:w="2700" w:type="dxa"/>
            <w:tcBorders>
              <w:top w:val="single" w:sz="4" w:space="0" w:color="auto"/>
              <w:left w:val="nil"/>
              <w:bottom w:val="single" w:sz="4" w:space="0" w:color="auto"/>
              <w:right w:val="nil"/>
            </w:tcBorders>
            <w:shd w:val="clear" w:color="auto" w:fill="auto"/>
            <w:noWrap/>
            <w:vAlign w:val="bottom"/>
          </w:tcPr>
          <w:p w14:paraId="4BBC8671" w14:textId="6BB8A941" w:rsidR="00CE6281" w:rsidRPr="009E35ED" w:rsidRDefault="00CE6281" w:rsidP="00B04ABA">
            <w:pPr>
              <w:ind w:left="0"/>
              <w:jc w:val="right"/>
              <w:rPr>
                <w:rFonts w:ascii="Arial Narrow" w:hAnsi="Arial Narrow" w:cs="Arial"/>
                <w:b/>
                <w:bCs/>
                <w:color w:val="000000" w:themeColor="text1"/>
                <w:sz w:val="22"/>
                <w:szCs w:val="22"/>
                <w:lang w:val="en-PH" w:eastAsia="en-PH"/>
              </w:rPr>
            </w:pPr>
            <w:r w:rsidRPr="009E35ED">
              <w:rPr>
                <w:rFonts w:ascii="Arial Narrow" w:hAnsi="Arial Narrow"/>
                <w:b/>
                <w:bCs/>
                <w:color w:val="000000" w:themeColor="text1"/>
                <w:sz w:val="22"/>
                <w:szCs w:val="22"/>
              </w:rPr>
              <w:t xml:space="preserve"> </w:t>
            </w:r>
            <w:r w:rsidR="00B04ABA" w:rsidRPr="009E35ED">
              <w:rPr>
                <w:rFonts w:ascii="Arial Narrow" w:hAnsi="Arial Narrow"/>
                <w:b/>
                <w:bCs/>
                <w:color w:val="000000" w:themeColor="text1"/>
                <w:sz w:val="22"/>
                <w:szCs w:val="22"/>
              </w:rPr>
              <w:t>10,051,611,606</w:t>
            </w:r>
            <w:r w:rsidRPr="009E35ED">
              <w:rPr>
                <w:rFonts w:ascii="Arial Narrow" w:hAnsi="Arial Narrow"/>
                <w:b/>
                <w:bCs/>
                <w:color w:val="000000" w:themeColor="text1"/>
                <w:sz w:val="22"/>
                <w:szCs w:val="22"/>
              </w:rPr>
              <w:t xml:space="preserve"> </w:t>
            </w:r>
          </w:p>
        </w:tc>
        <w:tc>
          <w:tcPr>
            <w:tcW w:w="1710" w:type="dxa"/>
            <w:tcBorders>
              <w:top w:val="single" w:sz="4" w:space="0" w:color="auto"/>
              <w:left w:val="nil"/>
              <w:bottom w:val="single" w:sz="4" w:space="0" w:color="auto"/>
              <w:right w:val="nil"/>
            </w:tcBorders>
            <w:shd w:val="clear" w:color="auto" w:fill="auto"/>
            <w:noWrap/>
            <w:vAlign w:val="bottom"/>
            <w:hideMark/>
          </w:tcPr>
          <w:p w14:paraId="1A7E7E9D" w14:textId="2591937D" w:rsidR="00CE6281" w:rsidRPr="009E35ED" w:rsidRDefault="00CE6281" w:rsidP="00BF4257">
            <w:pPr>
              <w:ind w:left="0" w:right="-108"/>
              <w:jc w:val="right"/>
              <w:rPr>
                <w:rFonts w:ascii="Arial Narrow" w:hAnsi="Arial Narrow" w:cs="Arial"/>
                <w:b/>
                <w:bCs/>
                <w:color w:val="000000" w:themeColor="text1"/>
                <w:sz w:val="22"/>
                <w:szCs w:val="22"/>
                <w:lang w:val="en-PH" w:eastAsia="en-PH"/>
              </w:rPr>
            </w:pPr>
            <w:r w:rsidRPr="009E35ED">
              <w:rPr>
                <w:rFonts w:ascii="Arial Narrow" w:hAnsi="Arial Narrow"/>
                <w:b/>
                <w:bCs/>
                <w:color w:val="000000" w:themeColor="text1"/>
                <w:sz w:val="22"/>
                <w:szCs w:val="22"/>
              </w:rPr>
              <w:t xml:space="preserve"> 7,96</w:t>
            </w:r>
            <w:r w:rsidR="00A36844" w:rsidRPr="009E35ED">
              <w:rPr>
                <w:rFonts w:ascii="Arial Narrow" w:hAnsi="Arial Narrow"/>
                <w:b/>
                <w:bCs/>
                <w:color w:val="000000" w:themeColor="text1"/>
                <w:sz w:val="22"/>
                <w:szCs w:val="22"/>
              </w:rPr>
              <w:t>7,813,39</w:t>
            </w:r>
            <w:r w:rsidR="00153B82" w:rsidRPr="009E35ED">
              <w:rPr>
                <w:rFonts w:ascii="Arial Narrow" w:hAnsi="Arial Narrow"/>
                <w:b/>
                <w:bCs/>
                <w:color w:val="000000" w:themeColor="text1"/>
                <w:sz w:val="22"/>
                <w:szCs w:val="22"/>
              </w:rPr>
              <w:t>3</w:t>
            </w:r>
            <w:r w:rsidRPr="009E35ED">
              <w:rPr>
                <w:rFonts w:ascii="Arial Narrow" w:hAnsi="Arial Narrow"/>
                <w:b/>
                <w:bCs/>
                <w:color w:val="000000" w:themeColor="text1"/>
                <w:sz w:val="22"/>
                <w:szCs w:val="22"/>
              </w:rPr>
              <w:t xml:space="preserve"> </w:t>
            </w:r>
          </w:p>
        </w:tc>
      </w:tr>
      <w:tr w:rsidR="00997F75" w:rsidRPr="009E35ED" w14:paraId="797C430B" w14:textId="77777777" w:rsidTr="00BF4257">
        <w:trPr>
          <w:trHeight w:val="247"/>
        </w:trPr>
        <w:tc>
          <w:tcPr>
            <w:tcW w:w="3960" w:type="dxa"/>
            <w:tcBorders>
              <w:top w:val="nil"/>
              <w:left w:val="nil"/>
              <w:bottom w:val="nil"/>
              <w:right w:val="nil"/>
            </w:tcBorders>
            <w:shd w:val="clear" w:color="auto" w:fill="auto"/>
            <w:noWrap/>
            <w:vAlign w:val="bottom"/>
            <w:hideMark/>
          </w:tcPr>
          <w:p w14:paraId="79EC7DB3" w14:textId="0677C1C3" w:rsidR="00672A60" w:rsidRPr="009E35ED" w:rsidRDefault="00672A60">
            <w:pPr>
              <w:ind w:left="-108"/>
              <w:jc w:val="left"/>
              <w:rPr>
                <w:rFonts w:ascii="Arial Narrow" w:hAnsi="Arial Narrow" w:cs="Arial"/>
                <w:color w:val="000000" w:themeColor="text1"/>
                <w:sz w:val="22"/>
                <w:szCs w:val="22"/>
                <w:lang w:val="en-PH" w:eastAsia="en-PH"/>
              </w:rPr>
            </w:pPr>
            <w:r w:rsidRPr="009E35ED">
              <w:rPr>
                <w:rFonts w:ascii="Arial Narrow" w:hAnsi="Arial Narrow" w:cs="Arial"/>
                <w:color w:val="000000" w:themeColor="text1"/>
                <w:sz w:val="22"/>
                <w:szCs w:val="22"/>
                <w:lang w:val="en-PH" w:eastAsia="en-PH"/>
              </w:rPr>
              <w:t xml:space="preserve">Due to </w:t>
            </w:r>
            <w:r w:rsidR="006042C4">
              <w:rPr>
                <w:rFonts w:ascii="Arial Narrow" w:hAnsi="Arial Narrow" w:cs="Arial"/>
                <w:color w:val="000000" w:themeColor="text1"/>
                <w:sz w:val="22"/>
                <w:szCs w:val="22"/>
                <w:lang w:val="en-PH" w:eastAsia="en-PH"/>
              </w:rPr>
              <w:t>o</w:t>
            </w:r>
            <w:r w:rsidRPr="009E35ED">
              <w:rPr>
                <w:rFonts w:ascii="Arial Narrow" w:hAnsi="Arial Narrow" w:cs="Arial"/>
                <w:color w:val="000000" w:themeColor="text1"/>
                <w:sz w:val="22"/>
                <w:szCs w:val="22"/>
                <w:lang w:val="en-PH" w:eastAsia="en-PH"/>
              </w:rPr>
              <w:t xml:space="preserve">fficers and </w:t>
            </w:r>
            <w:r w:rsidR="006042C4">
              <w:rPr>
                <w:rFonts w:ascii="Arial Narrow" w:hAnsi="Arial Narrow" w:cs="Arial"/>
                <w:color w:val="000000" w:themeColor="text1"/>
                <w:sz w:val="22"/>
                <w:szCs w:val="22"/>
                <w:lang w:val="en-PH" w:eastAsia="en-PH"/>
              </w:rPr>
              <w:t>e</w:t>
            </w:r>
            <w:r w:rsidRPr="009E35ED">
              <w:rPr>
                <w:rFonts w:ascii="Arial Narrow" w:hAnsi="Arial Narrow" w:cs="Arial"/>
                <w:color w:val="000000" w:themeColor="text1"/>
                <w:sz w:val="22"/>
                <w:szCs w:val="22"/>
                <w:lang w:val="en-PH" w:eastAsia="en-PH"/>
              </w:rPr>
              <w:t>mployees</w:t>
            </w:r>
          </w:p>
        </w:tc>
        <w:tc>
          <w:tcPr>
            <w:tcW w:w="2700" w:type="dxa"/>
            <w:tcBorders>
              <w:top w:val="nil"/>
              <w:left w:val="nil"/>
              <w:bottom w:val="nil"/>
              <w:right w:val="nil"/>
            </w:tcBorders>
            <w:shd w:val="clear" w:color="auto" w:fill="auto"/>
            <w:noWrap/>
            <w:vAlign w:val="bottom"/>
          </w:tcPr>
          <w:p w14:paraId="009F375D" w14:textId="047394E2" w:rsidR="00672A60" w:rsidRPr="009E35ED" w:rsidRDefault="00672A60" w:rsidP="00B04ABA">
            <w:pPr>
              <w:ind w:left="0"/>
              <w:jc w:val="right"/>
              <w:rPr>
                <w:rFonts w:ascii="Arial Narrow" w:hAnsi="Arial Narrow" w:cs="Arial"/>
                <w:color w:val="000000" w:themeColor="text1"/>
                <w:sz w:val="22"/>
                <w:szCs w:val="22"/>
                <w:lang w:val="en-PH" w:eastAsia="en-PH"/>
              </w:rPr>
            </w:pPr>
            <w:r w:rsidRPr="009E35ED">
              <w:rPr>
                <w:rFonts w:ascii="Arial Narrow" w:hAnsi="Arial Narrow"/>
                <w:color w:val="000000" w:themeColor="text1"/>
                <w:sz w:val="22"/>
                <w:szCs w:val="22"/>
              </w:rPr>
              <w:t xml:space="preserve"> </w:t>
            </w:r>
            <w:r w:rsidR="00B04ABA" w:rsidRPr="009E35ED">
              <w:rPr>
                <w:rFonts w:ascii="Arial Narrow" w:hAnsi="Arial Narrow"/>
                <w:color w:val="000000" w:themeColor="text1"/>
                <w:sz w:val="22"/>
                <w:szCs w:val="22"/>
              </w:rPr>
              <w:t>73,050,247</w:t>
            </w:r>
            <w:r w:rsidRPr="009E35ED">
              <w:rPr>
                <w:rFonts w:ascii="Arial Narrow" w:hAnsi="Arial Narrow"/>
                <w:color w:val="000000" w:themeColor="text1"/>
                <w:sz w:val="22"/>
                <w:szCs w:val="22"/>
              </w:rPr>
              <w:t xml:space="preserve"> </w:t>
            </w:r>
          </w:p>
        </w:tc>
        <w:tc>
          <w:tcPr>
            <w:tcW w:w="1710" w:type="dxa"/>
            <w:tcBorders>
              <w:top w:val="nil"/>
              <w:left w:val="nil"/>
              <w:bottom w:val="nil"/>
              <w:right w:val="nil"/>
            </w:tcBorders>
            <w:shd w:val="clear" w:color="auto" w:fill="auto"/>
            <w:noWrap/>
            <w:vAlign w:val="bottom"/>
            <w:hideMark/>
          </w:tcPr>
          <w:p w14:paraId="771B9DA9" w14:textId="495BED9F" w:rsidR="00672A60" w:rsidRPr="009E35ED" w:rsidRDefault="00672A60" w:rsidP="00BF4257">
            <w:pPr>
              <w:ind w:left="0" w:right="-108"/>
              <w:jc w:val="right"/>
              <w:rPr>
                <w:rFonts w:ascii="Arial Narrow" w:hAnsi="Arial Narrow" w:cs="Arial"/>
                <w:color w:val="000000" w:themeColor="text1"/>
                <w:sz w:val="22"/>
                <w:szCs w:val="22"/>
                <w:lang w:val="en-PH" w:eastAsia="en-PH"/>
              </w:rPr>
            </w:pPr>
            <w:r w:rsidRPr="009E35ED">
              <w:rPr>
                <w:rFonts w:ascii="Arial Narrow" w:hAnsi="Arial Narrow"/>
                <w:color w:val="000000" w:themeColor="text1"/>
                <w:sz w:val="22"/>
                <w:szCs w:val="22"/>
              </w:rPr>
              <w:t xml:space="preserve"> 30,791,42</w:t>
            </w:r>
            <w:r w:rsidR="00153B82" w:rsidRPr="009E35ED">
              <w:rPr>
                <w:rFonts w:ascii="Arial Narrow" w:hAnsi="Arial Narrow"/>
                <w:color w:val="000000" w:themeColor="text1"/>
                <w:sz w:val="22"/>
                <w:szCs w:val="22"/>
              </w:rPr>
              <w:t>3</w:t>
            </w:r>
            <w:r w:rsidRPr="009E35ED">
              <w:rPr>
                <w:rFonts w:ascii="Arial Narrow" w:hAnsi="Arial Narrow"/>
                <w:color w:val="000000" w:themeColor="text1"/>
                <w:sz w:val="22"/>
                <w:szCs w:val="22"/>
              </w:rPr>
              <w:t xml:space="preserve"> </w:t>
            </w:r>
          </w:p>
        </w:tc>
      </w:tr>
      <w:tr w:rsidR="00997F75" w:rsidRPr="009E35ED" w14:paraId="2A57DCE8" w14:textId="77777777" w:rsidTr="00BF4257">
        <w:trPr>
          <w:trHeight w:val="273"/>
        </w:trPr>
        <w:tc>
          <w:tcPr>
            <w:tcW w:w="3960" w:type="dxa"/>
            <w:tcBorders>
              <w:top w:val="nil"/>
              <w:left w:val="nil"/>
              <w:bottom w:val="nil"/>
              <w:right w:val="nil"/>
            </w:tcBorders>
            <w:shd w:val="clear" w:color="auto" w:fill="auto"/>
            <w:noWrap/>
            <w:vAlign w:val="bottom"/>
            <w:hideMark/>
          </w:tcPr>
          <w:p w14:paraId="0252CA96" w14:textId="2CDF911E" w:rsidR="00672A60" w:rsidRPr="009E35ED" w:rsidRDefault="00672A60" w:rsidP="00BF4257">
            <w:pPr>
              <w:ind w:left="-108"/>
              <w:jc w:val="left"/>
              <w:rPr>
                <w:rFonts w:ascii="Arial Narrow" w:hAnsi="Arial Narrow" w:cs="Arial"/>
                <w:color w:val="000000" w:themeColor="text1"/>
                <w:sz w:val="22"/>
                <w:szCs w:val="22"/>
                <w:lang w:val="en-PH" w:eastAsia="en-PH"/>
              </w:rPr>
            </w:pPr>
            <w:r w:rsidRPr="009E35ED">
              <w:rPr>
                <w:rFonts w:ascii="Arial Narrow" w:hAnsi="Arial Narrow" w:cs="Arial"/>
                <w:color w:val="000000" w:themeColor="text1"/>
                <w:sz w:val="22"/>
                <w:szCs w:val="22"/>
                <w:lang w:val="en-PH" w:eastAsia="en-PH"/>
              </w:rPr>
              <w:t xml:space="preserve">Finance </w:t>
            </w:r>
            <w:r w:rsidR="006042C4">
              <w:rPr>
                <w:rFonts w:ascii="Arial Narrow" w:hAnsi="Arial Narrow" w:cs="Arial"/>
                <w:color w:val="000000" w:themeColor="text1"/>
                <w:sz w:val="22"/>
                <w:szCs w:val="22"/>
                <w:lang w:val="en-PH" w:eastAsia="en-PH"/>
              </w:rPr>
              <w:t>l</w:t>
            </w:r>
            <w:r w:rsidRPr="009E35ED">
              <w:rPr>
                <w:rFonts w:ascii="Arial Narrow" w:hAnsi="Arial Narrow" w:cs="Arial"/>
                <w:color w:val="000000" w:themeColor="text1"/>
                <w:sz w:val="22"/>
                <w:szCs w:val="22"/>
                <w:lang w:val="en-PH" w:eastAsia="en-PH"/>
              </w:rPr>
              <w:t xml:space="preserve">ease </w:t>
            </w:r>
            <w:r w:rsidR="006042C4">
              <w:rPr>
                <w:rFonts w:ascii="Arial Narrow" w:hAnsi="Arial Narrow" w:cs="Arial"/>
                <w:color w:val="000000" w:themeColor="text1"/>
                <w:sz w:val="22"/>
                <w:szCs w:val="22"/>
                <w:lang w:val="en-PH" w:eastAsia="en-PH"/>
              </w:rPr>
              <w:t>p</w:t>
            </w:r>
            <w:r w:rsidRPr="009E35ED">
              <w:rPr>
                <w:rFonts w:ascii="Arial Narrow" w:hAnsi="Arial Narrow" w:cs="Arial"/>
                <w:color w:val="000000" w:themeColor="text1"/>
                <w:sz w:val="22"/>
                <w:szCs w:val="22"/>
                <w:lang w:val="en-PH" w:eastAsia="en-PH"/>
              </w:rPr>
              <w:t>ayable</w:t>
            </w:r>
          </w:p>
        </w:tc>
        <w:tc>
          <w:tcPr>
            <w:tcW w:w="2700" w:type="dxa"/>
            <w:tcBorders>
              <w:top w:val="nil"/>
              <w:left w:val="nil"/>
              <w:bottom w:val="nil"/>
              <w:right w:val="nil"/>
            </w:tcBorders>
            <w:shd w:val="clear" w:color="auto" w:fill="auto"/>
            <w:noWrap/>
            <w:vAlign w:val="bottom"/>
          </w:tcPr>
          <w:p w14:paraId="3D32857A" w14:textId="0D6E24AD" w:rsidR="00672A60" w:rsidRPr="009E35ED" w:rsidRDefault="00672A60" w:rsidP="00672A60">
            <w:pPr>
              <w:ind w:left="0"/>
              <w:jc w:val="right"/>
              <w:rPr>
                <w:rFonts w:ascii="Arial Narrow" w:hAnsi="Arial Narrow" w:cs="Arial"/>
                <w:color w:val="000000" w:themeColor="text1"/>
                <w:sz w:val="22"/>
                <w:szCs w:val="22"/>
                <w:lang w:val="en-PH" w:eastAsia="en-PH"/>
              </w:rPr>
            </w:pPr>
            <w:r w:rsidRPr="009E35ED">
              <w:rPr>
                <w:rFonts w:ascii="Arial Narrow" w:hAnsi="Arial Narrow"/>
                <w:color w:val="000000" w:themeColor="text1"/>
                <w:sz w:val="22"/>
                <w:szCs w:val="22"/>
              </w:rPr>
              <w:t xml:space="preserve"> 6,218 </w:t>
            </w:r>
          </w:p>
        </w:tc>
        <w:tc>
          <w:tcPr>
            <w:tcW w:w="1710" w:type="dxa"/>
            <w:tcBorders>
              <w:top w:val="nil"/>
              <w:left w:val="nil"/>
              <w:bottom w:val="nil"/>
              <w:right w:val="nil"/>
            </w:tcBorders>
            <w:shd w:val="clear" w:color="auto" w:fill="auto"/>
            <w:noWrap/>
            <w:vAlign w:val="bottom"/>
            <w:hideMark/>
          </w:tcPr>
          <w:p w14:paraId="563780DF" w14:textId="4BF3697F" w:rsidR="00672A60" w:rsidRPr="009E35ED" w:rsidRDefault="00672A60" w:rsidP="00BF4257">
            <w:pPr>
              <w:ind w:left="0" w:right="-108"/>
              <w:jc w:val="right"/>
              <w:rPr>
                <w:rFonts w:ascii="Arial Narrow" w:hAnsi="Arial Narrow" w:cs="Arial"/>
                <w:color w:val="000000" w:themeColor="text1"/>
                <w:sz w:val="22"/>
                <w:szCs w:val="22"/>
                <w:lang w:val="en-PH" w:eastAsia="en-PH"/>
              </w:rPr>
            </w:pPr>
            <w:r w:rsidRPr="009E35ED">
              <w:rPr>
                <w:rFonts w:ascii="Arial Narrow" w:hAnsi="Arial Narrow"/>
                <w:color w:val="000000" w:themeColor="text1"/>
                <w:sz w:val="22"/>
                <w:szCs w:val="22"/>
              </w:rPr>
              <w:t xml:space="preserve"> 133,833,064 </w:t>
            </w:r>
          </w:p>
        </w:tc>
      </w:tr>
      <w:tr w:rsidR="00302171" w:rsidRPr="009E35ED" w14:paraId="4A1DC81F" w14:textId="77777777" w:rsidTr="00BF4257">
        <w:trPr>
          <w:trHeight w:val="286"/>
        </w:trPr>
        <w:tc>
          <w:tcPr>
            <w:tcW w:w="3960" w:type="dxa"/>
            <w:tcBorders>
              <w:top w:val="single" w:sz="4" w:space="0" w:color="auto"/>
              <w:left w:val="nil"/>
              <w:bottom w:val="double" w:sz="6" w:space="0" w:color="auto"/>
              <w:right w:val="nil"/>
            </w:tcBorders>
            <w:shd w:val="clear" w:color="auto" w:fill="auto"/>
            <w:noWrap/>
            <w:vAlign w:val="bottom"/>
            <w:hideMark/>
          </w:tcPr>
          <w:p w14:paraId="07C2675B" w14:textId="77777777" w:rsidR="00672A60" w:rsidRPr="009E35ED" w:rsidRDefault="00672A60" w:rsidP="00BF4257">
            <w:pPr>
              <w:ind w:left="-108"/>
              <w:jc w:val="left"/>
              <w:rPr>
                <w:rFonts w:ascii="Arial Narrow" w:hAnsi="Arial Narrow" w:cs="Arial"/>
                <w:b/>
                <w:bCs/>
                <w:color w:val="000000" w:themeColor="text1"/>
                <w:sz w:val="22"/>
                <w:szCs w:val="22"/>
                <w:lang w:val="en-PH" w:eastAsia="en-PH"/>
              </w:rPr>
            </w:pPr>
            <w:r w:rsidRPr="009E35ED">
              <w:rPr>
                <w:rFonts w:ascii="Arial Narrow" w:hAnsi="Arial Narrow" w:cs="Arial"/>
                <w:b/>
                <w:bCs/>
                <w:color w:val="000000" w:themeColor="text1"/>
                <w:sz w:val="22"/>
                <w:szCs w:val="22"/>
                <w:lang w:val="en-PH" w:eastAsia="en-PH"/>
              </w:rPr>
              <w:t>TOTAL FINANCIAL LIABILITIES</w:t>
            </w:r>
          </w:p>
        </w:tc>
        <w:tc>
          <w:tcPr>
            <w:tcW w:w="2700" w:type="dxa"/>
            <w:tcBorders>
              <w:top w:val="single" w:sz="4" w:space="0" w:color="auto"/>
              <w:left w:val="nil"/>
              <w:bottom w:val="double" w:sz="6" w:space="0" w:color="auto"/>
              <w:right w:val="nil"/>
            </w:tcBorders>
            <w:shd w:val="clear" w:color="auto" w:fill="auto"/>
            <w:noWrap/>
            <w:vAlign w:val="bottom"/>
          </w:tcPr>
          <w:p w14:paraId="4803D4F1" w14:textId="243227D8" w:rsidR="00672A60" w:rsidRPr="009E35ED" w:rsidRDefault="00672A60" w:rsidP="00B04ABA">
            <w:pPr>
              <w:ind w:left="0"/>
              <w:jc w:val="right"/>
              <w:rPr>
                <w:rFonts w:ascii="Arial Narrow" w:hAnsi="Arial Narrow" w:cs="Arial"/>
                <w:b/>
                <w:bCs/>
                <w:color w:val="000000" w:themeColor="text1"/>
                <w:sz w:val="22"/>
                <w:szCs w:val="22"/>
                <w:lang w:val="en-PH" w:eastAsia="en-PH"/>
              </w:rPr>
            </w:pPr>
            <w:r w:rsidRPr="009E35ED">
              <w:rPr>
                <w:rFonts w:ascii="Arial Narrow" w:hAnsi="Arial Narrow"/>
                <w:b/>
                <w:bCs/>
                <w:color w:val="000000" w:themeColor="text1"/>
                <w:sz w:val="22"/>
                <w:szCs w:val="22"/>
              </w:rPr>
              <w:t xml:space="preserve"> </w:t>
            </w:r>
            <w:r w:rsidR="00B04ABA" w:rsidRPr="009E35ED">
              <w:rPr>
                <w:rFonts w:ascii="Arial Narrow" w:hAnsi="Arial Narrow"/>
                <w:b/>
                <w:bCs/>
                <w:color w:val="000000" w:themeColor="text1"/>
                <w:sz w:val="22"/>
                <w:szCs w:val="22"/>
              </w:rPr>
              <w:t>10,124,668,071</w:t>
            </w:r>
            <w:r w:rsidRPr="009E35ED">
              <w:rPr>
                <w:rFonts w:ascii="Arial Narrow" w:hAnsi="Arial Narrow"/>
                <w:b/>
                <w:bCs/>
                <w:color w:val="000000" w:themeColor="text1"/>
                <w:sz w:val="22"/>
                <w:szCs w:val="22"/>
              </w:rPr>
              <w:t xml:space="preserve"> </w:t>
            </w:r>
          </w:p>
        </w:tc>
        <w:tc>
          <w:tcPr>
            <w:tcW w:w="1710" w:type="dxa"/>
            <w:tcBorders>
              <w:top w:val="single" w:sz="4" w:space="0" w:color="auto"/>
              <w:left w:val="nil"/>
              <w:bottom w:val="double" w:sz="6" w:space="0" w:color="auto"/>
              <w:right w:val="nil"/>
            </w:tcBorders>
            <w:shd w:val="clear" w:color="auto" w:fill="auto"/>
            <w:noWrap/>
            <w:vAlign w:val="bottom"/>
            <w:hideMark/>
          </w:tcPr>
          <w:p w14:paraId="560CF4F2" w14:textId="69E24F78" w:rsidR="00672A60" w:rsidRPr="009E35ED" w:rsidRDefault="00672A60" w:rsidP="00BF4257">
            <w:pPr>
              <w:ind w:left="0" w:right="-108"/>
              <w:jc w:val="right"/>
              <w:rPr>
                <w:rFonts w:ascii="Arial Narrow" w:hAnsi="Arial Narrow" w:cs="Arial"/>
                <w:b/>
                <w:bCs/>
                <w:color w:val="000000" w:themeColor="text1"/>
                <w:sz w:val="22"/>
                <w:szCs w:val="22"/>
                <w:lang w:val="en-PH" w:eastAsia="en-PH"/>
              </w:rPr>
            </w:pPr>
            <w:r w:rsidRPr="009E35ED">
              <w:rPr>
                <w:rFonts w:ascii="Arial Narrow" w:hAnsi="Arial Narrow"/>
                <w:b/>
                <w:bCs/>
                <w:color w:val="000000" w:themeColor="text1"/>
                <w:sz w:val="22"/>
                <w:szCs w:val="22"/>
              </w:rPr>
              <w:t xml:space="preserve"> 8,1</w:t>
            </w:r>
            <w:r w:rsidR="00A36844" w:rsidRPr="009E35ED">
              <w:rPr>
                <w:rFonts w:ascii="Arial Narrow" w:hAnsi="Arial Narrow"/>
                <w:b/>
                <w:bCs/>
                <w:color w:val="000000" w:themeColor="text1"/>
                <w:sz w:val="22"/>
                <w:szCs w:val="22"/>
              </w:rPr>
              <w:t>32</w:t>
            </w:r>
            <w:r w:rsidRPr="009E35ED">
              <w:rPr>
                <w:rFonts w:ascii="Arial Narrow" w:hAnsi="Arial Narrow"/>
                <w:b/>
                <w:bCs/>
                <w:color w:val="000000" w:themeColor="text1"/>
                <w:sz w:val="22"/>
                <w:szCs w:val="22"/>
              </w:rPr>
              <w:t>,</w:t>
            </w:r>
            <w:r w:rsidR="00A36844" w:rsidRPr="009E35ED">
              <w:rPr>
                <w:rFonts w:ascii="Arial Narrow" w:hAnsi="Arial Narrow"/>
                <w:b/>
                <w:bCs/>
                <w:color w:val="000000" w:themeColor="text1"/>
                <w:sz w:val="22"/>
                <w:szCs w:val="22"/>
              </w:rPr>
              <w:t>437</w:t>
            </w:r>
            <w:r w:rsidRPr="009E35ED">
              <w:rPr>
                <w:rFonts w:ascii="Arial Narrow" w:hAnsi="Arial Narrow"/>
                <w:b/>
                <w:bCs/>
                <w:color w:val="000000" w:themeColor="text1"/>
                <w:sz w:val="22"/>
                <w:szCs w:val="22"/>
              </w:rPr>
              <w:t>,</w:t>
            </w:r>
            <w:r w:rsidR="00A36844" w:rsidRPr="009E35ED">
              <w:rPr>
                <w:rFonts w:ascii="Arial Narrow" w:hAnsi="Arial Narrow"/>
                <w:b/>
                <w:bCs/>
                <w:color w:val="000000" w:themeColor="text1"/>
                <w:sz w:val="22"/>
                <w:szCs w:val="22"/>
              </w:rPr>
              <w:t>8</w:t>
            </w:r>
            <w:r w:rsidR="00153B82" w:rsidRPr="009E35ED">
              <w:rPr>
                <w:rFonts w:ascii="Arial Narrow" w:hAnsi="Arial Narrow"/>
                <w:b/>
                <w:bCs/>
                <w:color w:val="000000" w:themeColor="text1"/>
                <w:sz w:val="22"/>
                <w:szCs w:val="22"/>
              </w:rPr>
              <w:t>80</w:t>
            </w:r>
            <w:r w:rsidRPr="009E35ED">
              <w:rPr>
                <w:rFonts w:ascii="Arial Narrow" w:hAnsi="Arial Narrow"/>
                <w:b/>
                <w:bCs/>
                <w:color w:val="000000" w:themeColor="text1"/>
                <w:sz w:val="22"/>
                <w:szCs w:val="22"/>
              </w:rPr>
              <w:t xml:space="preserve"> </w:t>
            </w:r>
          </w:p>
        </w:tc>
      </w:tr>
    </w:tbl>
    <w:p w14:paraId="12AAC670" w14:textId="77777777" w:rsidR="006C560D" w:rsidRPr="009E35ED" w:rsidRDefault="006C560D" w:rsidP="00803F8C">
      <w:pPr>
        <w:ind w:left="0"/>
        <w:rPr>
          <w:rFonts w:ascii="Arial" w:hAnsi="Arial" w:cs="Arial"/>
          <w:color w:val="000000" w:themeColor="text1"/>
          <w:sz w:val="22"/>
          <w:szCs w:val="22"/>
        </w:rPr>
      </w:pPr>
    </w:p>
    <w:p w14:paraId="59353D88" w14:textId="77777777" w:rsidR="00647A8E" w:rsidRPr="009E35ED" w:rsidRDefault="00647A8E" w:rsidP="00803F8C">
      <w:pPr>
        <w:ind w:left="0"/>
        <w:rPr>
          <w:rFonts w:ascii="Arial" w:hAnsi="Arial" w:cs="Arial"/>
          <w:color w:val="000000" w:themeColor="text1"/>
          <w:sz w:val="22"/>
          <w:szCs w:val="22"/>
        </w:rPr>
      </w:pPr>
    </w:p>
    <w:p w14:paraId="21459BE6" w14:textId="0495EDE9" w:rsidR="00655FC9" w:rsidRPr="009E35ED" w:rsidRDefault="00655FC9" w:rsidP="00B90388">
      <w:pPr>
        <w:keepNext/>
        <w:keepLines/>
        <w:ind w:left="0"/>
        <w:rPr>
          <w:rFonts w:ascii="Arial Narrow" w:hAnsi="Arial Narrow" w:cs="Arial"/>
          <w:b/>
          <w:bCs/>
          <w:color w:val="000000" w:themeColor="text1"/>
          <w:sz w:val="22"/>
          <w:szCs w:val="22"/>
        </w:rPr>
      </w:pPr>
      <w:r w:rsidRPr="009E35ED">
        <w:rPr>
          <w:rFonts w:ascii="Arial Narrow" w:hAnsi="Arial Narrow" w:cs="Arial"/>
          <w:b/>
          <w:bCs/>
          <w:color w:val="000000" w:themeColor="text1"/>
          <w:sz w:val="22"/>
          <w:szCs w:val="22"/>
        </w:rPr>
        <w:t>FINANCIAL LIABILITIES – NON-CURRENT</w:t>
      </w:r>
    </w:p>
    <w:tbl>
      <w:tblPr>
        <w:tblW w:w="8320" w:type="dxa"/>
        <w:tblLook w:val="04A0" w:firstRow="1" w:lastRow="0" w:firstColumn="1" w:lastColumn="0" w:noHBand="0" w:noVBand="1"/>
      </w:tblPr>
      <w:tblGrid>
        <w:gridCol w:w="4410"/>
        <w:gridCol w:w="1988"/>
        <w:gridCol w:w="1922"/>
      </w:tblGrid>
      <w:tr w:rsidR="00997F75" w:rsidRPr="009E35ED" w14:paraId="79AB920D" w14:textId="77777777" w:rsidTr="00BF4257">
        <w:trPr>
          <w:trHeight w:val="275"/>
        </w:trPr>
        <w:tc>
          <w:tcPr>
            <w:tcW w:w="4410" w:type="dxa"/>
            <w:tcBorders>
              <w:top w:val="single" w:sz="8" w:space="0" w:color="auto"/>
              <w:left w:val="nil"/>
              <w:bottom w:val="single" w:sz="8" w:space="0" w:color="auto"/>
              <w:right w:val="nil"/>
            </w:tcBorders>
            <w:shd w:val="clear" w:color="auto" w:fill="auto"/>
            <w:noWrap/>
            <w:vAlign w:val="center"/>
            <w:hideMark/>
          </w:tcPr>
          <w:p w14:paraId="3FE9973D" w14:textId="77777777" w:rsidR="005A20C6" w:rsidRPr="009E35ED" w:rsidRDefault="005A20C6" w:rsidP="00B90388">
            <w:pPr>
              <w:keepNext/>
              <w:keepLines/>
              <w:ind w:left="0"/>
              <w:jc w:val="left"/>
              <w:rPr>
                <w:rFonts w:ascii="Arial Narrow" w:hAnsi="Arial Narrow" w:cs="Calibri"/>
                <w:color w:val="000000" w:themeColor="text1"/>
                <w:sz w:val="22"/>
                <w:szCs w:val="22"/>
              </w:rPr>
            </w:pPr>
            <w:r w:rsidRPr="009E35ED">
              <w:rPr>
                <w:rFonts w:ascii="Arial Narrow" w:hAnsi="Arial Narrow" w:cs="Calibri"/>
                <w:color w:val="000000" w:themeColor="text1"/>
                <w:sz w:val="22"/>
                <w:szCs w:val="22"/>
              </w:rPr>
              <w:t> </w:t>
            </w:r>
          </w:p>
        </w:tc>
        <w:tc>
          <w:tcPr>
            <w:tcW w:w="1988" w:type="dxa"/>
            <w:tcBorders>
              <w:top w:val="single" w:sz="8" w:space="0" w:color="auto"/>
              <w:left w:val="nil"/>
              <w:bottom w:val="single" w:sz="8" w:space="0" w:color="auto"/>
              <w:right w:val="nil"/>
            </w:tcBorders>
            <w:shd w:val="clear" w:color="auto" w:fill="auto"/>
            <w:noWrap/>
            <w:vAlign w:val="center"/>
            <w:hideMark/>
          </w:tcPr>
          <w:p w14:paraId="7F5BCF54" w14:textId="77777777" w:rsidR="005A20C6" w:rsidRPr="009E35ED" w:rsidRDefault="005A20C6" w:rsidP="00B90388">
            <w:pPr>
              <w:keepNext/>
              <w:keepLines/>
              <w:ind w:left="0"/>
              <w:jc w:val="right"/>
              <w:rPr>
                <w:rFonts w:ascii="Arial Narrow" w:hAnsi="Arial Narrow" w:cs="Calibri"/>
                <w:b/>
                <w:bCs/>
                <w:color w:val="000000" w:themeColor="text1"/>
                <w:sz w:val="22"/>
                <w:szCs w:val="22"/>
              </w:rPr>
            </w:pPr>
            <w:r w:rsidRPr="009E35ED">
              <w:rPr>
                <w:rFonts w:ascii="Arial Narrow" w:hAnsi="Arial Narrow" w:cs="Calibri"/>
                <w:b/>
                <w:bCs/>
                <w:color w:val="000000" w:themeColor="text1"/>
                <w:sz w:val="22"/>
                <w:szCs w:val="22"/>
              </w:rPr>
              <w:t>2023</w:t>
            </w:r>
          </w:p>
        </w:tc>
        <w:tc>
          <w:tcPr>
            <w:tcW w:w="1922" w:type="dxa"/>
            <w:tcBorders>
              <w:top w:val="single" w:sz="8" w:space="0" w:color="auto"/>
              <w:left w:val="nil"/>
              <w:bottom w:val="single" w:sz="8" w:space="0" w:color="auto"/>
              <w:right w:val="nil"/>
            </w:tcBorders>
            <w:shd w:val="clear" w:color="auto" w:fill="auto"/>
            <w:noWrap/>
            <w:vAlign w:val="center"/>
            <w:hideMark/>
          </w:tcPr>
          <w:p w14:paraId="002DD75C" w14:textId="77777777" w:rsidR="005A20C6" w:rsidRPr="009E35ED" w:rsidRDefault="005A20C6" w:rsidP="00B90388">
            <w:pPr>
              <w:keepNext/>
              <w:keepLines/>
              <w:ind w:left="0" w:right="-68"/>
              <w:jc w:val="right"/>
              <w:rPr>
                <w:rFonts w:ascii="Arial Narrow" w:hAnsi="Arial Narrow" w:cs="Calibri"/>
                <w:b/>
                <w:bCs/>
                <w:color w:val="000000" w:themeColor="text1"/>
                <w:sz w:val="22"/>
                <w:szCs w:val="22"/>
              </w:rPr>
            </w:pPr>
            <w:r w:rsidRPr="009E35ED">
              <w:rPr>
                <w:rFonts w:ascii="Arial Narrow" w:hAnsi="Arial Narrow" w:cs="Calibri"/>
                <w:b/>
                <w:bCs/>
                <w:color w:val="000000" w:themeColor="text1"/>
                <w:sz w:val="22"/>
                <w:szCs w:val="22"/>
              </w:rPr>
              <w:t>2022</w:t>
            </w:r>
          </w:p>
        </w:tc>
      </w:tr>
      <w:tr w:rsidR="00997F75" w:rsidRPr="009E35ED" w14:paraId="2F16A7B3" w14:textId="77777777" w:rsidTr="00BF4257">
        <w:trPr>
          <w:trHeight w:val="256"/>
        </w:trPr>
        <w:tc>
          <w:tcPr>
            <w:tcW w:w="4410" w:type="dxa"/>
            <w:tcBorders>
              <w:top w:val="single" w:sz="8" w:space="0" w:color="auto"/>
              <w:left w:val="nil"/>
              <w:bottom w:val="single" w:sz="4" w:space="0" w:color="auto"/>
              <w:right w:val="nil"/>
            </w:tcBorders>
            <w:shd w:val="clear" w:color="auto" w:fill="auto"/>
            <w:noWrap/>
            <w:vAlign w:val="bottom"/>
          </w:tcPr>
          <w:p w14:paraId="460EEE51" w14:textId="592C8BB8" w:rsidR="005A20C6" w:rsidRPr="009E35ED" w:rsidRDefault="007A4D77" w:rsidP="00B90388">
            <w:pPr>
              <w:keepNext/>
              <w:keepLines/>
              <w:ind w:left="-108"/>
              <w:jc w:val="left"/>
              <w:rPr>
                <w:rFonts w:ascii="Arial Narrow" w:hAnsi="Arial Narrow" w:cs="Calibri"/>
                <w:color w:val="000000" w:themeColor="text1"/>
                <w:sz w:val="22"/>
                <w:szCs w:val="22"/>
              </w:rPr>
            </w:pPr>
            <w:r w:rsidRPr="009E35ED">
              <w:rPr>
                <w:rFonts w:ascii="Arial Narrow" w:hAnsi="Arial Narrow" w:cs="Calibri"/>
                <w:color w:val="000000" w:themeColor="text1"/>
                <w:sz w:val="22"/>
                <w:szCs w:val="22"/>
              </w:rPr>
              <w:t xml:space="preserve">Finance </w:t>
            </w:r>
            <w:r w:rsidR="006042C4">
              <w:rPr>
                <w:rFonts w:ascii="Arial Narrow" w:hAnsi="Arial Narrow" w:cs="Calibri"/>
                <w:color w:val="000000" w:themeColor="text1"/>
                <w:sz w:val="22"/>
                <w:szCs w:val="22"/>
              </w:rPr>
              <w:t>l</w:t>
            </w:r>
            <w:r w:rsidRPr="009E35ED">
              <w:rPr>
                <w:rFonts w:ascii="Arial Narrow" w:hAnsi="Arial Narrow" w:cs="Calibri"/>
                <w:color w:val="000000" w:themeColor="text1"/>
                <w:sz w:val="22"/>
                <w:szCs w:val="22"/>
              </w:rPr>
              <w:t xml:space="preserve">ease </w:t>
            </w:r>
            <w:r w:rsidR="006042C4">
              <w:rPr>
                <w:rFonts w:ascii="Arial Narrow" w:hAnsi="Arial Narrow" w:cs="Calibri"/>
                <w:color w:val="000000" w:themeColor="text1"/>
                <w:sz w:val="22"/>
                <w:szCs w:val="22"/>
              </w:rPr>
              <w:t>p</w:t>
            </w:r>
            <w:r w:rsidRPr="009E35ED">
              <w:rPr>
                <w:rFonts w:ascii="Arial Narrow" w:hAnsi="Arial Narrow" w:cs="Calibri"/>
                <w:color w:val="000000" w:themeColor="text1"/>
                <w:sz w:val="22"/>
                <w:szCs w:val="22"/>
              </w:rPr>
              <w:t xml:space="preserve">ayable – </w:t>
            </w:r>
            <w:r w:rsidR="006042C4">
              <w:rPr>
                <w:rFonts w:ascii="Arial Narrow" w:hAnsi="Arial Narrow" w:cs="Calibri"/>
                <w:color w:val="000000" w:themeColor="text1"/>
                <w:sz w:val="22"/>
                <w:szCs w:val="22"/>
              </w:rPr>
              <w:t>n</w:t>
            </w:r>
            <w:r w:rsidRPr="009E35ED">
              <w:rPr>
                <w:rFonts w:ascii="Arial Narrow" w:hAnsi="Arial Narrow" w:cs="Calibri"/>
                <w:color w:val="000000" w:themeColor="text1"/>
                <w:sz w:val="22"/>
                <w:szCs w:val="22"/>
              </w:rPr>
              <w:t>on-</w:t>
            </w:r>
            <w:r w:rsidR="006042C4">
              <w:rPr>
                <w:rFonts w:ascii="Arial Narrow" w:hAnsi="Arial Narrow" w:cs="Calibri"/>
                <w:color w:val="000000" w:themeColor="text1"/>
                <w:sz w:val="22"/>
                <w:szCs w:val="22"/>
              </w:rPr>
              <w:t>c</w:t>
            </w:r>
            <w:r w:rsidRPr="009E35ED">
              <w:rPr>
                <w:rFonts w:ascii="Arial Narrow" w:hAnsi="Arial Narrow" w:cs="Calibri"/>
                <w:color w:val="000000" w:themeColor="text1"/>
                <w:sz w:val="22"/>
                <w:szCs w:val="22"/>
              </w:rPr>
              <w:t>urrent</w:t>
            </w:r>
          </w:p>
        </w:tc>
        <w:tc>
          <w:tcPr>
            <w:tcW w:w="1988" w:type="dxa"/>
            <w:tcBorders>
              <w:top w:val="single" w:sz="8" w:space="0" w:color="auto"/>
              <w:left w:val="nil"/>
              <w:bottom w:val="single" w:sz="4" w:space="0" w:color="auto"/>
              <w:right w:val="nil"/>
            </w:tcBorders>
            <w:shd w:val="clear" w:color="auto" w:fill="auto"/>
            <w:noWrap/>
            <w:vAlign w:val="bottom"/>
          </w:tcPr>
          <w:p w14:paraId="45D96960" w14:textId="3E428DB5" w:rsidR="005A20C6" w:rsidRPr="009E35ED" w:rsidRDefault="00A36844" w:rsidP="00B90388">
            <w:pPr>
              <w:keepNext/>
              <w:keepLines/>
              <w:ind w:left="0"/>
              <w:jc w:val="right"/>
              <w:rPr>
                <w:rFonts w:ascii="Arial Narrow" w:hAnsi="Arial Narrow" w:cs="Calibri"/>
                <w:color w:val="000000" w:themeColor="text1"/>
                <w:sz w:val="22"/>
                <w:szCs w:val="22"/>
              </w:rPr>
            </w:pPr>
            <w:r w:rsidRPr="009E35ED">
              <w:rPr>
                <w:rFonts w:ascii="Arial Narrow" w:hAnsi="Arial Narrow" w:cs="Calibri"/>
                <w:color w:val="000000" w:themeColor="text1"/>
                <w:sz w:val="22"/>
                <w:szCs w:val="22"/>
              </w:rPr>
              <w:t>5,263,604,298</w:t>
            </w:r>
          </w:p>
        </w:tc>
        <w:tc>
          <w:tcPr>
            <w:tcW w:w="1922" w:type="dxa"/>
            <w:tcBorders>
              <w:top w:val="single" w:sz="8" w:space="0" w:color="auto"/>
              <w:left w:val="nil"/>
              <w:bottom w:val="single" w:sz="4" w:space="0" w:color="auto"/>
              <w:right w:val="nil"/>
            </w:tcBorders>
            <w:shd w:val="clear" w:color="auto" w:fill="auto"/>
            <w:noWrap/>
            <w:vAlign w:val="bottom"/>
          </w:tcPr>
          <w:p w14:paraId="40AC5A72" w14:textId="35E0AC3F" w:rsidR="005A20C6" w:rsidRPr="009E35ED" w:rsidRDefault="004B32EC" w:rsidP="00B90388">
            <w:pPr>
              <w:keepNext/>
              <w:keepLines/>
              <w:ind w:left="0" w:right="-68"/>
              <w:jc w:val="right"/>
              <w:rPr>
                <w:color w:val="000000" w:themeColor="text1"/>
                <w:sz w:val="22"/>
                <w:szCs w:val="22"/>
              </w:rPr>
            </w:pPr>
            <w:r w:rsidRPr="009E35ED">
              <w:rPr>
                <w:color w:val="000000" w:themeColor="text1"/>
                <w:sz w:val="22"/>
                <w:szCs w:val="22"/>
              </w:rPr>
              <w:t>-</w:t>
            </w:r>
          </w:p>
        </w:tc>
      </w:tr>
      <w:tr w:rsidR="00BC478C" w:rsidRPr="009E35ED" w14:paraId="0954A6C2" w14:textId="77777777" w:rsidTr="00BF4257">
        <w:trPr>
          <w:trHeight w:val="210"/>
        </w:trPr>
        <w:tc>
          <w:tcPr>
            <w:tcW w:w="4410" w:type="dxa"/>
            <w:tcBorders>
              <w:top w:val="single" w:sz="4" w:space="0" w:color="auto"/>
              <w:left w:val="nil"/>
              <w:bottom w:val="double" w:sz="6" w:space="0" w:color="auto"/>
              <w:right w:val="nil"/>
            </w:tcBorders>
            <w:shd w:val="clear" w:color="auto" w:fill="auto"/>
            <w:noWrap/>
            <w:vAlign w:val="bottom"/>
            <w:hideMark/>
          </w:tcPr>
          <w:p w14:paraId="45C0F874" w14:textId="3AEC3363" w:rsidR="005A20C6" w:rsidRPr="009E35ED" w:rsidRDefault="005A20C6" w:rsidP="00B90388">
            <w:pPr>
              <w:keepNext/>
              <w:keepLines/>
              <w:ind w:left="0"/>
              <w:jc w:val="left"/>
              <w:rPr>
                <w:color w:val="000000" w:themeColor="text1"/>
                <w:sz w:val="22"/>
                <w:szCs w:val="22"/>
              </w:rPr>
            </w:pPr>
          </w:p>
        </w:tc>
        <w:tc>
          <w:tcPr>
            <w:tcW w:w="1988" w:type="dxa"/>
            <w:tcBorders>
              <w:top w:val="single" w:sz="4" w:space="0" w:color="auto"/>
              <w:left w:val="nil"/>
              <w:bottom w:val="double" w:sz="6" w:space="0" w:color="auto"/>
              <w:right w:val="nil"/>
            </w:tcBorders>
            <w:shd w:val="clear" w:color="auto" w:fill="auto"/>
            <w:noWrap/>
            <w:vAlign w:val="bottom"/>
          </w:tcPr>
          <w:p w14:paraId="17084718" w14:textId="4D126658" w:rsidR="005A20C6" w:rsidRPr="009E35ED" w:rsidRDefault="00A36844" w:rsidP="00B90388">
            <w:pPr>
              <w:keepNext/>
              <w:keepLines/>
              <w:ind w:left="0"/>
              <w:jc w:val="right"/>
              <w:rPr>
                <w:rFonts w:ascii="Arial Narrow" w:hAnsi="Arial Narrow" w:cs="Calibri"/>
                <w:b/>
                <w:bCs/>
                <w:color w:val="000000" w:themeColor="text1"/>
                <w:sz w:val="22"/>
                <w:szCs w:val="22"/>
              </w:rPr>
            </w:pPr>
            <w:r w:rsidRPr="009E35ED">
              <w:rPr>
                <w:rFonts w:ascii="Arial Narrow" w:hAnsi="Arial Narrow" w:cs="Calibri"/>
                <w:b/>
                <w:color w:val="000000" w:themeColor="text1"/>
                <w:sz w:val="22"/>
                <w:szCs w:val="22"/>
              </w:rPr>
              <w:t>5,263,604,298</w:t>
            </w:r>
          </w:p>
        </w:tc>
        <w:tc>
          <w:tcPr>
            <w:tcW w:w="1922" w:type="dxa"/>
            <w:tcBorders>
              <w:top w:val="single" w:sz="4" w:space="0" w:color="auto"/>
              <w:left w:val="nil"/>
              <w:bottom w:val="double" w:sz="6" w:space="0" w:color="auto"/>
              <w:right w:val="nil"/>
            </w:tcBorders>
            <w:shd w:val="clear" w:color="auto" w:fill="auto"/>
            <w:noWrap/>
            <w:vAlign w:val="bottom"/>
            <w:hideMark/>
          </w:tcPr>
          <w:p w14:paraId="339C2C1A" w14:textId="7E3E0C52" w:rsidR="005A20C6" w:rsidRPr="009E35ED" w:rsidRDefault="004B32EC" w:rsidP="00B90388">
            <w:pPr>
              <w:keepNext/>
              <w:keepLines/>
              <w:ind w:left="0" w:right="-68"/>
              <w:jc w:val="right"/>
              <w:rPr>
                <w:rFonts w:ascii="Arial Narrow" w:hAnsi="Arial Narrow" w:cs="Calibri"/>
                <w:b/>
                <w:bCs/>
                <w:color w:val="000000" w:themeColor="text1"/>
                <w:sz w:val="22"/>
                <w:szCs w:val="22"/>
              </w:rPr>
            </w:pPr>
            <w:r w:rsidRPr="009E35ED">
              <w:rPr>
                <w:rFonts w:ascii="Arial Narrow" w:hAnsi="Arial Narrow" w:cs="Calibri"/>
                <w:b/>
                <w:bCs/>
                <w:color w:val="000000" w:themeColor="text1"/>
                <w:sz w:val="22"/>
                <w:szCs w:val="22"/>
              </w:rPr>
              <w:t>-</w:t>
            </w:r>
          </w:p>
        </w:tc>
      </w:tr>
    </w:tbl>
    <w:p w14:paraId="16E3AEDE" w14:textId="5FE37D2F" w:rsidR="005032DE" w:rsidRPr="009E35ED" w:rsidRDefault="005032DE" w:rsidP="00803F8C">
      <w:pPr>
        <w:ind w:left="0"/>
        <w:rPr>
          <w:rFonts w:ascii="Arial" w:hAnsi="Arial" w:cs="Arial"/>
          <w:color w:val="000000" w:themeColor="text1"/>
          <w:sz w:val="22"/>
          <w:szCs w:val="22"/>
        </w:rPr>
      </w:pPr>
    </w:p>
    <w:p w14:paraId="6409BBA5" w14:textId="1CF9059C" w:rsidR="002D37F6" w:rsidRPr="009E35ED" w:rsidRDefault="002D37F6" w:rsidP="00803F8C">
      <w:pPr>
        <w:ind w:left="0"/>
        <w:rPr>
          <w:rFonts w:ascii="Arial" w:hAnsi="Arial" w:cs="Arial"/>
          <w:color w:val="000000" w:themeColor="text1"/>
          <w:sz w:val="22"/>
          <w:szCs w:val="22"/>
        </w:rPr>
      </w:pPr>
      <w:r w:rsidRPr="009E35ED">
        <w:rPr>
          <w:rFonts w:ascii="Arial" w:hAnsi="Arial" w:cs="Arial"/>
          <w:color w:val="000000" w:themeColor="text1"/>
          <w:sz w:val="22"/>
          <w:szCs w:val="22"/>
        </w:rPr>
        <w:t xml:space="preserve">In conformity with PAS No. 8, the Accounts </w:t>
      </w:r>
      <w:r w:rsidR="006042C4">
        <w:rPr>
          <w:rFonts w:ascii="Arial" w:hAnsi="Arial" w:cs="Arial"/>
          <w:color w:val="000000" w:themeColor="text1"/>
          <w:sz w:val="22"/>
          <w:szCs w:val="22"/>
        </w:rPr>
        <w:t>p</w:t>
      </w:r>
      <w:r w:rsidRPr="009E35ED">
        <w:rPr>
          <w:rFonts w:ascii="Arial" w:hAnsi="Arial" w:cs="Arial"/>
          <w:color w:val="000000" w:themeColor="text1"/>
          <w:sz w:val="22"/>
          <w:szCs w:val="22"/>
        </w:rPr>
        <w:t>ayable accounts are restated as follows:</w:t>
      </w:r>
    </w:p>
    <w:p w14:paraId="64708A1F" w14:textId="77777777" w:rsidR="002D37F6" w:rsidRPr="009E35ED" w:rsidRDefault="002D37F6" w:rsidP="00803F8C">
      <w:pPr>
        <w:rPr>
          <w:rFonts w:ascii="Arial" w:hAnsi="Arial" w:cs="Arial"/>
          <w:color w:val="000000" w:themeColor="text1"/>
          <w:sz w:val="22"/>
          <w:szCs w:val="22"/>
        </w:rPr>
      </w:pPr>
    </w:p>
    <w:tbl>
      <w:tblPr>
        <w:tblW w:w="8706" w:type="dxa"/>
        <w:tblLook w:val="04A0" w:firstRow="1" w:lastRow="0" w:firstColumn="1" w:lastColumn="0" w:noHBand="0" w:noVBand="1"/>
      </w:tblPr>
      <w:tblGrid>
        <w:gridCol w:w="7290"/>
        <w:gridCol w:w="1416"/>
      </w:tblGrid>
      <w:tr w:rsidR="00997F75" w:rsidRPr="009E35ED" w14:paraId="69E6362E" w14:textId="77777777" w:rsidTr="00BF4257">
        <w:trPr>
          <w:trHeight w:val="278"/>
        </w:trPr>
        <w:tc>
          <w:tcPr>
            <w:tcW w:w="7290" w:type="dxa"/>
            <w:tcBorders>
              <w:top w:val="nil"/>
              <w:left w:val="nil"/>
              <w:bottom w:val="nil"/>
              <w:right w:val="nil"/>
            </w:tcBorders>
            <w:shd w:val="clear" w:color="auto" w:fill="auto"/>
            <w:noWrap/>
            <w:hideMark/>
          </w:tcPr>
          <w:p w14:paraId="422C4B15" w14:textId="1858FD81" w:rsidR="00F771C1" w:rsidRPr="009E35ED" w:rsidRDefault="00F771C1" w:rsidP="00BF4257">
            <w:pPr>
              <w:ind w:left="-108"/>
              <w:jc w:val="left"/>
              <w:rPr>
                <w:rFonts w:ascii="Arial Narrow" w:hAnsi="Arial Narrow" w:cs="Arial"/>
                <w:color w:val="000000" w:themeColor="text1"/>
                <w:sz w:val="22"/>
                <w:szCs w:val="22"/>
                <w:lang w:val="en-PH" w:eastAsia="en-PH"/>
              </w:rPr>
            </w:pPr>
            <w:r w:rsidRPr="009E35ED">
              <w:rPr>
                <w:rFonts w:ascii="Arial Narrow" w:hAnsi="Arial Narrow"/>
                <w:color w:val="000000" w:themeColor="text1"/>
                <w:sz w:val="22"/>
                <w:szCs w:val="22"/>
              </w:rPr>
              <w:t xml:space="preserve">Unrestated </w:t>
            </w:r>
            <w:r w:rsidR="006042C4">
              <w:rPr>
                <w:rFonts w:ascii="Arial Narrow" w:hAnsi="Arial Narrow"/>
                <w:color w:val="000000" w:themeColor="text1"/>
                <w:sz w:val="22"/>
                <w:szCs w:val="22"/>
              </w:rPr>
              <w:t>a</w:t>
            </w:r>
            <w:r w:rsidRPr="009E35ED">
              <w:rPr>
                <w:rFonts w:ascii="Arial Narrow" w:hAnsi="Arial Narrow"/>
                <w:color w:val="000000" w:themeColor="text1"/>
                <w:sz w:val="22"/>
                <w:szCs w:val="22"/>
              </w:rPr>
              <w:t>mount as of December 31, 2022</w:t>
            </w:r>
          </w:p>
        </w:tc>
        <w:tc>
          <w:tcPr>
            <w:tcW w:w="1416" w:type="dxa"/>
            <w:tcBorders>
              <w:top w:val="nil"/>
              <w:left w:val="nil"/>
              <w:bottom w:val="nil"/>
              <w:right w:val="nil"/>
            </w:tcBorders>
            <w:shd w:val="clear" w:color="auto" w:fill="auto"/>
            <w:noWrap/>
            <w:hideMark/>
          </w:tcPr>
          <w:p w14:paraId="38492A3D" w14:textId="323F4CFF" w:rsidR="00F771C1" w:rsidRPr="009E35ED" w:rsidRDefault="00F771C1" w:rsidP="00BF4257">
            <w:pPr>
              <w:ind w:left="0" w:right="-91"/>
              <w:jc w:val="right"/>
              <w:rPr>
                <w:rFonts w:ascii="Arial Narrow" w:hAnsi="Arial Narrow" w:cs="Arial"/>
                <w:color w:val="000000" w:themeColor="text1"/>
                <w:sz w:val="22"/>
                <w:szCs w:val="22"/>
                <w:lang w:val="en-PH" w:eastAsia="en-PH"/>
              </w:rPr>
            </w:pPr>
            <w:r w:rsidRPr="009E35ED">
              <w:rPr>
                <w:rFonts w:ascii="Arial Narrow" w:hAnsi="Arial Narrow"/>
                <w:color w:val="000000" w:themeColor="text1"/>
                <w:sz w:val="22"/>
                <w:szCs w:val="22"/>
              </w:rPr>
              <w:t>7,898,209,59</w:t>
            </w:r>
            <w:r w:rsidR="00153B82" w:rsidRPr="009E35ED">
              <w:rPr>
                <w:rFonts w:ascii="Arial Narrow" w:hAnsi="Arial Narrow"/>
                <w:color w:val="000000" w:themeColor="text1"/>
                <w:sz w:val="22"/>
                <w:szCs w:val="22"/>
              </w:rPr>
              <w:t>5</w:t>
            </w:r>
            <w:r w:rsidRPr="009E35ED">
              <w:rPr>
                <w:rFonts w:ascii="Arial Narrow" w:hAnsi="Arial Narrow"/>
                <w:color w:val="000000" w:themeColor="text1"/>
                <w:sz w:val="22"/>
                <w:szCs w:val="22"/>
              </w:rPr>
              <w:t xml:space="preserve"> </w:t>
            </w:r>
          </w:p>
        </w:tc>
      </w:tr>
      <w:tr w:rsidR="00997F75" w:rsidRPr="009E35ED" w14:paraId="599F7109" w14:textId="77777777" w:rsidTr="00BF4257">
        <w:trPr>
          <w:trHeight w:val="278"/>
        </w:trPr>
        <w:tc>
          <w:tcPr>
            <w:tcW w:w="7290" w:type="dxa"/>
            <w:tcBorders>
              <w:top w:val="nil"/>
              <w:left w:val="nil"/>
              <w:bottom w:val="nil"/>
              <w:right w:val="nil"/>
            </w:tcBorders>
            <w:shd w:val="clear" w:color="auto" w:fill="auto"/>
            <w:noWrap/>
            <w:hideMark/>
          </w:tcPr>
          <w:p w14:paraId="3FB9829D" w14:textId="5CC63B3B" w:rsidR="00F771C1" w:rsidRPr="009E35ED" w:rsidRDefault="00F771C1" w:rsidP="00BF4257">
            <w:pPr>
              <w:ind w:left="-108"/>
              <w:jc w:val="left"/>
              <w:rPr>
                <w:rFonts w:ascii="Arial Narrow" w:hAnsi="Arial Narrow" w:cs="Arial"/>
                <w:color w:val="000000" w:themeColor="text1"/>
                <w:sz w:val="22"/>
                <w:szCs w:val="22"/>
                <w:lang w:val="en-PH" w:eastAsia="en-PH"/>
              </w:rPr>
            </w:pPr>
            <w:r w:rsidRPr="009E35ED">
              <w:rPr>
                <w:rFonts w:ascii="Arial Narrow" w:hAnsi="Arial Narrow"/>
                <w:color w:val="000000" w:themeColor="text1"/>
                <w:sz w:val="22"/>
                <w:szCs w:val="22"/>
              </w:rPr>
              <w:t xml:space="preserve">Adjustment/Recording of </w:t>
            </w:r>
            <w:r w:rsidR="006042C4">
              <w:rPr>
                <w:rFonts w:ascii="Arial Narrow" w:hAnsi="Arial Narrow"/>
                <w:color w:val="000000" w:themeColor="text1"/>
                <w:sz w:val="22"/>
                <w:szCs w:val="22"/>
              </w:rPr>
              <w:t>m</w:t>
            </w:r>
            <w:r w:rsidRPr="009E35ED">
              <w:rPr>
                <w:rFonts w:ascii="Arial Narrow" w:hAnsi="Arial Narrow"/>
                <w:color w:val="000000" w:themeColor="text1"/>
                <w:sz w:val="22"/>
                <w:szCs w:val="22"/>
              </w:rPr>
              <w:t xml:space="preserve">iscellaneous </w:t>
            </w:r>
            <w:r w:rsidR="006042C4">
              <w:rPr>
                <w:rFonts w:ascii="Arial Narrow" w:hAnsi="Arial Narrow"/>
                <w:color w:val="000000" w:themeColor="text1"/>
                <w:sz w:val="22"/>
                <w:szCs w:val="22"/>
              </w:rPr>
              <w:t>a</w:t>
            </w:r>
            <w:r w:rsidRPr="009E35ED">
              <w:rPr>
                <w:rFonts w:ascii="Arial Narrow" w:hAnsi="Arial Narrow"/>
                <w:color w:val="000000" w:themeColor="text1"/>
                <w:sz w:val="22"/>
                <w:szCs w:val="22"/>
              </w:rPr>
              <w:t xml:space="preserve">ccounts </w:t>
            </w:r>
            <w:r w:rsidR="006042C4">
              <w:rPr>
                <w:rFonts w:ascii="Arial Narrow" w:hAnsi="Arial Narrow"/>
                <w:color w:val="000000" w:themeColor="text1"/>
                <w:sz w:val="22"/>
                <w:szCs w:val="22"/>
              </w:rPr>
              <w:t>p</w:t>
            </w:r>
            <w:r w:rsidRPr="009E35ED">
              <w:rPr>
                <w:rFonts w:ascii="Arial Narrow" w:hAnsi="Arial Narrow"/>
                <w:color w:val="000000" w:themeColor="text1"/>
                <w:sz w:val="22"/>
                <w:szCs w:val="22"/>
              </w:rPr>
              <w:t>ayable-</w:t>
            </w:r>
            <w:r w:rsidR="006042C4">
              <w:rPr>
                <w:rFonts w:ascii="Arial Narrow" w:hAnsi="Arial Narrow"/>
                <w:color w:val="000000" w:themeColor="text1"/>
                <w:sz w:val="22"/>
                <w:szCs w:val="22"/>
              </w:rPr>
              <w:t>o</w:t>
            </w:r>
            <w:r w:rsidRPr="009E35ED">
              <w:rPr>
                <w:rFonts w:ascii="Arial Narrow" w:hAnsi="Arial Narrow"/>
                <w:color w:val="000000" w:themeColor="text1"/>
                <w:sz w:val="22"/>
                <w:szCs w:val="22"/>
              </w:rPr>
              <w:t xml:space="preserve">perating </w:t>
            </w:r>
            <w:r w:rsidR="006042C4">
              <w:rPr>
                <w:rFonts w:ascii="Arial Narrow" w:hAnsi="Arial Narrow"/>
                <w:color w:val="000000" w:themeColor="text1"/>
                <w:sz w:val="22"/>
                <w:szCs w:val="22"/>
              </w:rPr>
              <w:t>f</w:t>
            </w:r>
            <w:r w:rsidRPr="009E35ED">
              <w:rPr>
                <w:rFonts w:ascii="Arial Narrow" w:hAnsi="Arial Narrow"/>
                <w:color w:val="000000" w:themeColor="text1"/>
                <w:sz w:val="22"/>
                <w:szCs w:val="22"/>
              </w:rPr>
              <w:t>und-</w:t>
            </w:r>
            <w:r w:rsidR="006042C4">
              <w:rPr>
                <w:rFonts w:ascii="Arial Narrow" w:hAnsi="Arial Narrow"/>
                <w:color w:val="000000" w:themeColor="text1"/>
                <w:sz w:val="22"/>
                <w:szCs w:val="22"/>
              </w:rPr>
              <w:t>b</w:t>
            </w:r>
            <w:r w:rsidRPr="009E35ED">
              <w:rPr>
                <w:rFonts w:ascii="Arial Narrow" w:hAnsi="Arial Narrow"/>
                <w:color w:val="000000" w:themeColor="text1"/>
                <w:sz w:val="22"/>
                <w:szCs w:val="22"/>
              </w:rPr>
              <w:t>ranch</w:t>
            </w:r>
          </w:p>
        </w:tc>
        <w:tc>
          <w:tcPr>
            <w:tcW w:w="1416" w:type="dxa"/>
            <w:tcBorders>
              <w:top w:val="nil"/>
              <w:left w:val="nil"/>
              <w:bottom w:val="nil"/>
              <w:right w:val="nil"/>
            </w:tcBorders>
            <w:shd w:val="clear" w:color="auto" w:fill="auto"/>
            <w:noWrap/>
            <w:hideMark/>
          </w:tcPr>
          <w:p w14:paraId="4AD49D32" w14:textId="088B209C" w:rsidR="00F771C1" w:rsidRPr="009E35ED" w:rsidRDefault="00F771C1" w:rsidP="00BF4257">
            <w:pPr>
              <w:ind w:left="0" w:right="-91"/>
              <w:jc w:val="right"/>
              <w:rPr>
                <w:rFonts w:ascii="Arial Narrow" w:hAnsi="Arial Narrow" w:cs="Arial"/>
                <w:color w:val="000000" w:themeColor="text1"/>
                <w:sz w:val="22"/>
                <w:szCs w:val="22"/>
                <w:lang w:val="en-PH" w:eastAsia="en-PH"/>
              </w:rPr>
            </w:pPr>
            <w:r w:rsidRPr="009E35ED">
              <w:rPr>
                <w:rFonts w:ascii="Arial Narrow" w:hAnsi="Arial Narrow"/>
                <w:color w:val="000000" w:themeColor="text1"/>
                <w:sz w:val="22"/>
                <w:szCs w:val="22"/>
              </w:rPr>
              <w:t xml:space="preserve"> 6,584,047 </w:t>
            </w:r>
          </w:p>
        </w:tc>
      </w:tr>
      <w:tr w:rsidR="00997F75" w:rsidRPr="009E35ED" w14:paraId="5BB0F403" w14:textId="77777777" w:rsidTr="00BF4257">
        <w:trPr>
          <w:trHeight w:val="278"/>
        </w:trPr>
        <w:tc>
          <w:tcPr>
            <w:tcW w:w="7290" w:type="dxa"/>
            <w:tcBorders>
              <w:top w:val="nil"/>
              <w:left w:val="nil"/>
              <w:bottom w:val="nil"/>
              <w:right w:val="nil"/>
            </w:tcBorders>
            <w:shd w:val="clear" w:color="auto" w:fill="auto"/>
            <w:noWrap/>
            <w:hideMark/>
          </w:tcPr>
          <w:p w14:paraId="54C0595C" w14:textId="55A00532" w:rsidR="00F771C1" w:rsidRPr="009E35ED" w:rsidRDefault="00F771C1" w:rsidP="00BF4257">
            <w:pPr>
              <w:ind w:left="-108"/>
              <w:jc w:val="left"/>
              <w:rPr>
                <w:rFonts w:ascii="Arial Narrow" w:hAnsi="Arial Narrow" w:cs="Arial"/>
                <w:color w:val="000000" w:themeColor="text1"/>
                <w:sz w:val="22"/>
                <w:szCs w:val="22"/>
                <w:lang w:val="en-PH" w:eastAsia="en-PH"/>
              </w:rPr>
            </w:pPr>
            <w:r w:rsidRPr="009E35ED">
              <w:rPr>
                <w:rFonts w:ascii="Arial Narrow" w:hAnsi="Arial Narrow"/>
                <w:color w:val="000000" w:themeColor="text1"/>
                <w:sz w:val="22"/>
                <w:szCs w:val="22"/>
              </w:rPr>
              <w:t xml:space="preserve">Adjustment/Recording of </w:t>
            </w:r>
            <w:r w:rsidR="006042C4">
              <w:rPr>
                <w:rFonts w:ascii="Arial Narrow" w:hAnsi="Arial Narrow"/>
                <w:color w:val="000000" w:themeColor="text1"/>
                <w:sz w:val="22"/>
                <w:szCs w:val="22"/>
              </w:rPr>
              <w:t>m</w:t>
            </w:r>
            <w:r w:rsidRPr="009E35ED">
              <w:rPr>
                <w:rFonts w:ascii="Arial Narrow" w:hAnsi="Arial Narrow"/>
                <w:color w:val="000000" w:themeColor="text1"/>
                <w:sz w:val="22"/>
                <w:szCs w:val="22"/>
              </w:rPr>
              <w:t xml:space="preserve">iscellaneous </w:t>
            </w:r>
            <w:r w:rsidR="006042C4">
              <w:rPr>
                <w:rFonts w:ascii="Arial Narrow" w:hAnsi="Arial Narrow"/>
                <w:color w:val="000000" w:themeColor="text1"/>
                <w:sz w:val="22"/>
                <w:szCs w:val="22"/>
              </w:rPr>
              <w:t>a</w:t>
            </w:r>
            <w:r w:rsidRPr="009E35ED">
              <w:rPr>
                <w:rFonts w:ascii="Arial Narrow" w:hAnsi="Arial Narrow"/>
                <w:color w:val="000000" w:themeColor="text1"/>
                <w:sz w:val="22"/>
                <w:szCs w:val="22"/>
              </w:rPr>
              <w:t xml:space="preserve">ccounts </w:t>
            </w:r>
            <w:r w:rsidR="006042C4">
              <w:rPr>
                <w:rFonts w:ascii="Arial Narrow" w:hAnsi="Arial Narrow"/>
                <w:color w:val="000000" w:themeColor="text1"/>
                <w:sz w:val="22"/>
                <w:szCs w:val="22"/>
              </w:rPr>
              <w:t>p</w:t>
            </w:r>
            <w:r w:rsidRPr="009E35ED">
              <w:rPr>
                <w:rFonts w:ascii="Arial Narrow" w:hAnsi="Arial Narrow"/>
                <w:color w:val="000000" w:themeColor="text1"/>
                <w:sz w:val="22"/>
                <w:szCs w:val="22"/>
              </w:rPr>
              <w:t>ayable-</w:t>
            </w:r>
            <w:r w:rsidR="006042C4">
              <w:rPr>
                <w:rFonts w:ascii="Arial Narrow" w:hAnsi="Arial Narrow"/>
                <w:color w:val="000000" w:themeColor="text1"/>
                <w:sz w:val="22"/>
                <w:szCs w:val="22"/>
              </w:rPr>
              <w:t>o</w:t>
            </w:r>
            <w:r w:rsidRPr="009E35ED">
              <w:rPr>
                <w:rFonts w:ascii="Arial Narrow" w:hAnsi="Arial Narrow"/>
                <w:color w:val="000000" w:themeColor="text1"/>
                <w:sz w:val="22"/>
                <w:szCs w:val="22"/>
              </w:rPr>
              <w:t xml:space="preserve">perating </w:t>
            </w:r>
            <w:r w:rsidR="006042C4">
              <w:rPr>
                <w:rFonts w:ascii="Arial Narrow" w:hAnsi="Arial Narrow"/>
                <w:color w:val="000000" w:themeColor="text1"/>
                <w:sz w:val="22"/>
                <w:szCs w:val="22"/>
              </w:rPr>
              <w:t>f</w:t>
            </w:r>
            <w:r w:rsidRPr="009E35ED">
              <w:rPr>
                <w:rFonts w:ascii="Arial Narrow" w:hAnsi="Arial Narrow"/>
                <w:color w:val="000000" w:themeColor="text1"/>
                <w:sz w:val="22"/>
                <w:szCs w:val="22"/>
              </w:rPr>
              <w:t>und-</w:t>
            </w:r>
            <w:r w:rsidR="006042C4">
              <w:rPr>
                <w:rFonts w:ascii="Arial Narrow" w:hAnsi="Arial Narrow"/>
                <w:color w:val="000000" w:themeColor="text1"/>
                <w:sz w:val="22"/>
                <w:szCs w:val="22"/>
              </w:rPr>
              <w:t>h</w:t>
            </w:r>
            <w:r w:rsidRPr="009E35ED">
              <w:rPr>
                <w:rFonts w:ascii="Arial Narrow" w:hAnsi="Arial Narrow"/>
                <w:color w:val="000000" w:themeColor="text1"/>
                <w:sz w:val="22"/>
                <w:szCs w:val="22"/>
              </w:rPr>
              <w:t xml:space="preserve">ead </w:t>
            </w:r>
            <w:r w:rsidR="006042C4">
              <w:rPr>
                <w:rFonts w:ascii="Arial Narrow" w:hAnsi="Arial Narrow"/>
                <w:color w:val="000000" w:themeColor="text1"/>
                <w:sz w:val="22"/>
                <w:szCs w:val="22"/>
              </w:rPr>
              <w:t>o</w:t>
            </w:r>
            <w:r w:rsidRPr="009E35ED">
              <w:rPr>
                <w:rFonts w:ascii="Arial Narrow" w:hAnsi="Arial Narrow"/>
                <w:color w:val="000000" w:themeColor="text1"/>
                <w:sz w:val="22"/>
                <w:szCs w:val="22"/>
              </w:rPr>
              <w:t>ffice</w:t>
            </w:r>
          </w:p>
        </w:tc>
        <w:tc>
          <w:tcPr>
            <w:tcW w:w="1416" w:type="dxa"/>
            <w:tcBorders>
              <w:top w:val="nil"/>
              <w:left w:val="nil"/>
              <w:bottom w:val="nil"/>
              <w:right w:val="nil"/>
            </w:tcBorders>
            <w:shd w:val="clear" w:color="auto" w:fill="auto"/>
            <w:noWrap/>
            <w:hideMark/>
          </w:tcPr>
          <w:p w14:paraId="7230F842" w14:textId="76F43211" w:rsidR="00F771C1" w:rsidRPr="009E35ED" w:rsidRDefault="00F771C1">
            <w:pPr>
              <w:ind w:left="0" w:right="-91"/>
              <w:jc w:val="right"/>
              <w:rPr>
                <w:rFonts w:ascii="Arial Narrow" w:hAnsi="Arial Narrow" w:cs="Arial"/>
                <w:color w:val="000000" w:themeColor="text1"/>
                <w:sz w:val="22"/>
                <w:szCs w:val="22"/>
                <w:lang w:val="en-PH" w:eastAsia="en-PH"/>
              </w:rPr>
            </w:pPr>
            <w:r w:rsidRPr="009E35ED">
              <w:rPr>
                <w:rFonts w:ascii="Arial Narrow" w:hAnsi="Arial Narrow"/>
                <w:color w:val="000000" w:themeColor="text1"/>
                <w:sz w:val="22"/>
                <w:szCs w:val="22"/>
              </w:rPr>
              <w:t xml:space="preserve">14,092 </w:t>
            </w:r>
          </w:p>
        </w:tc>
      </w:tr>
      <w:tr w:rsidR="00997F75" w:rsidRPr="009E35ED" w14:paraId="5C9EC62D" w14:textId="77777777" w:rsidTr="00BF4257">
        <w:trPr>
          <w:trHeight w:val="278"/>
        </w:trPr>
        <w:tc>
          <w:tcPr>
            <w:tcW w:w="7290" w:type="dxa"/>
            <w:tcBorders>
              <w:top w:val="nil"/>
              <w:left w:val="nil"/>
              <w:bottom w:val="nil"/>
              <w:right w:val="nil"/>
            </w:tcBorders>
            <w:shd w:val="clear" w:color="auto" w:fill="auto"/>
            <w:noWrap/>
            <w:hideMark/>
          </w:tcPr>
          <w:p w14:paraId="2E8DF0A1" w14:textId="60EDD817" w:rsidR="00F771C1" w:rsidRPr="009E35ED" w:rsidRDefault="00F771C1" w:rsidP="00BF4257">
            <w:pPr>
              <w:ind w:left="-108"/>
              <w:jc w:val="left"/>
              <w:rPr>
                <w:rFonts w:ascii="Arial Narrow" w:hAnsi="Arial Narrow" w:cs="Arial"/>
                <w:color w:val="000000" w:themeColor="text1"/>
                <w:sz w:val="22"/>
                <w:szCs w:val="22"/>
                <w:lang w:val="en-PH" w:eastAsia="en-PH"/>
              </w:rPr>
            </w:pPr>
            <w:r w:rsidRPr="009E35ED">
              <w:rPr>
                <w:rFonts w:ascii="Arial Narrow" w:hAnsi="Arial Narrow"/>
                <w:color w:val="000000" w:themeColor="text1"/>
                <w:sz w:val="22"/>
                <w:szCs w:val="22"/>
              </w:rPr>
              <w:t xml:space="preserve">Adjustment/Recording of </w:t>
            </w:r>
            <w:r w:rsidR="006042C4">
              <w:rPr>
                <w:rFonts w:ascii="Arial Narrow" w:hAnsi="Arial Narrow"/>
                <w:color w:val="000000" w:themeColor="text1"/>
                <w:sz w:val="22"/>
                <w:szCs w:val="22"/>
              </w:rPr>
              <w:t>m</w:t>
            </w:r>
            <w:r w:rsidRPr="009E35ED">
              <w:rPr>
                <w:rFonts w:ascii="Arial Narrow" w:hAnsi="Arial Narrow"/>
                <w:color w:val="000000" w:themeColor="text1"/>
                <w:sz w:val="22"/>
                <w:szCs w:val="22"/>
              </w:rPr>
              <w:t xml:space="preserve">iscellaneous </w:t>
            </w:r>
            <w:r w:rsidR="006042C4">
              <w:rPr>
                <w:rFonts w:ascii="Arial Narrow" w:hAnsi="Arial Narrow"/>
                <w:color w:val="000000" w:themeColor="text1"/>
                <w:sz w:val="22"/>
                <w:szCs w:val="22"/>
              </w:rPr>
              <w:t>a</w:t>
            </w:r>
            <w:r w:rsidRPr="009E35ED">
              <w:rPr>
                <w:rFonts w:ascii="Arial Narrow" w:hAnsi="Arial Narrow"/>
                <w:color w:val="000000" w:themeColor="text1"/>
                <w:sz w:val="22"/>
                <w:szCs w:val="22"/>
              </w:rPr>
              <w:t xml:space="preserve">ccounts </w:t>
            </w:r>
            <w:r w:rsidR="006042C4">
              <w:rPr>
                <w:rFonts w:ascii="Arial Narrow" w:hAnsi="Arial Narrow"/>
                <w:color w:val="000000" w:themeColor="text1"/>
                <w:sz w:val="22"/>
                <w:szCs w:val="22"/>
              </w:rPr>
              <w:t>p</w:t>
            </w:r>
            <w:r w:rsidRPr="009E35ED">
              <w:rPr>
                <w:rFonts w:ascii="Arial Narrow" w:hAnsi="Arial Narrow"/>
                <w:color w:val="000000" w:themeColor="text1"/>
                <w:sz w:val="22"/>
                <w:szCs w:val="22"/>
              </w:rPr>
              <w:t>ayable-</w:t>
            </w:r>
            <w:r w:rsidR="006042C4">
              <w:rPr>
                <w:rFonts w:ascii="Arial Narrow" w:hAnsi="Arial Narrow"/>
                <w:color w:val="000000" w:themeColor="text1"/>
                <w:sz w:val="22"/>
                <w:szCs w:val="22"/>
              </w:rPr>
              <w:t>c</w:t>
            </w:r>
            <w:r w:rsidRPr="009E35ED">
              <w:rPr>
                <w:rFonts w:ascii="Arial Narrow" w:hAnsi="Arial Narrow"/>
                <w:color w:val="000000" w:themeColor="text1"/>
                <w:sz w:val="22"/>
                <w:szCs w:val="22"/>
              </w:rPr>
              <w:t>harity</w:t>
            </w:r>
            <w:r w:rsidR="006042C4">
              <w:rPr>
                <w:rFonts w:ascii="Arial Narrow" w:hAnsi="Arial Narrow"/>
                <w:color w:val="000000" w:themeColor="text1"/>
                <w:sz w:val="22"/>
                <w:szCs w:val="22"/>
              </w:rPr>
              <w:t xml:space="preserve"> f</w:t>
            </w:r>
            <w:r w:rsidRPr="009E35ED">
              <w:rPr>
                <w:rFonts w:ascii="Arial Narrow" w:hAnsi="Arial Narrow"/>
                <w:color w:val="000000" w:themeColor="text1"/>
                <w:sz w:val="22"/>
                <w:szCs w:val="22"/>
              </w:rPr>
              <w:t>und-</w:t>
            </w:r>
            <w:r w:rsidR="006042C4">
              <w:rPr>
                <w:rFonts w:ascii="Arial Narrow" w:hAnsi="Arial Narrow"/>
                <w:color w:val="000000" w:themeColor="text1"/>
                <w:sz w:val="22"/>
                <w:szCs w:val="22"/>
              </w:rPr>
              <w:t>b</w:t>
            </w:r>
            <w:r w:rsidRPr="009E35ED">
              <w:rPr>
                <w:rFonts w:ascii="Arial Narrow" w:hAnsi="Arial Narrow"/>
                <w:color w:val="000000" w:themeColor="text1"/>
                <w:sz w:val="22"/>
                <w:szCs w:val="22"/>
              </w:rPr>
              <w:t>ranch</w:t>
            </w:r>
          </w:p>
        </w:tc>
        <w:tc>
          <w:tcPr>
            <w:tcW w:w="1416" w:type="dxa"/>
            <w:tcBorders>
              <w:top w:val="nil"/>
              <w:left w:val="nil"/>
              <w:bottom w:val="nil"/>
              <w:right w:val="nil"/>
            </w:tcBorders>
            <w:shd w:val="clear" w:color="auto" w:fill="auto"/>
            <w:noWrap/>
            <w:hideMark/>
          </w:tcPr>
          <w:p w14:paraId="16552CA7" w14:textId="1C77C3CB" w:rsidR="00F771C1" w:rsidRPr="009E35ED" w:rsidRDefault="00F771C1" w:rsidP="00BF4257">
            <w:pPr>
              <w:ind w:left="0" w:right="-91"/>
              <w:jc w:val="right"/>
              <w:rPr>
                <w:rFonts w:ascii="Arial Narrow" w:hAnsi="Arial Narrow" w:cs="Arial"/>
                <w:color w:val="000000" w:themeColor="text1"/>
                <w:sz w:val="22"/>
                <w:szCs w:val="22"/>
                <w:lang w:val="en-PH" w:eastAsia="en-PH"/>
              </w:rPr>
            </w:pPr>
            <w:r w:rsidRPr="009E35ED">
              <w:rPr>
                <w:rFonts w:ascii="Arial Narrow" w:hAnsi="Arial Narrow"/>
                <w:color w:val="000000" w:themeColor="text1"/>
                <w:sz w:val="22"/>
                <w:szCs w:val="22"/>
              </w:rPr>
              <w:t xml:space="preserve"> (1,486,806)</w:t>
            </w:r>
          </w:p>
        </w:tc>
      </w:tr>
      <w:tr w:rsidR="00997F75" w:rsidRPr="009E35ED" w14:paraId="22608238" w14:textId="77777777" w:rsidTr="00BF4257">
        <w:trPr>
          <w:trHeight w:val="278"/>
        </w:trPr>
        <w:tc>
          <w:tcPr>
            <w:tcW w:w="7290" w:type="dxa"/>
            <w:tcBorders>
              <w:top w:val="nil"/>
              <w:left w:val="nil"/>
              <w:bottom w:val="nil"/>
              <w:right w:val="nil"/>
            </w:tcBorders>
            <w:shd w:val="clear" w:color="auto" w:fill="auto"/>
            <w:noWrap/>
          </w:tcPr>
          <w:p w14:paraId="2BEEB823" w14:textId="6924D082" w:rsidR="00F771C1" w:rsidRPr="009E35ED" w:rsidRDefault="00F771C1" w:rsidP="00BF4257">
            <w:pPr>
              <w:ind w:left="-108"/>
              <w:jc w:val="left"/>
              <w:rPr>
                <w:rFonts w:ascii="Arial Narrow" w:hAnsi="Arial Narrow" w:cs="Arial"/>
                <w:color w:val="000000" w:themeColor="text1"/>
                <w:sz w:val="22"/>
                <w:szCs w:val="22"/>
              </w:rPr>
            </w:pPr>
            <w:r w:rsidRPr="009E35ED">
              <w:rPr>
                <w:rFonts w:ascii="Arial Narrow" w:hAnsi="Arial Narrow"/>
                <w:color w:val="000000" w:themeColor="text1"/>
                <w:sz w:val="22"/>
                <w:szCs w:val="22"/>
              </w:rPr>
              <w:t xml:space="preserve">Adjustment/Recording of </w:t>
            </w:r>
            <w:r w:rsidR="006042C4">
              <w:rPr>
                <w:rFonts w:ascii="Arial Narrow" w:hAnsi="Arial Narrow"/>
                <w:color w:val="000000" w:themeColor="text1"/>
                <w:sz w:val="22"/>
                <w:szCs w:val="22"/>
              </w:rPr>
              <w:t>m</w:t>
            </w:r>
            <w:r w:rsidRPr="009E35ED">
              <w:rPr>
                <w:rFonts w:ascii="Arial Narrow" w:hAnsi="Arial Narrow"/>
                <w:color w:val="000000" w:themeColor="text1"/>
                <w:sz w:val="22"/>
                <w:szCs w:val="22"/>
              </w:rPr>
              <w:t xml:space="preserve">iscellaneous </w:t>
            </w:r>
            <w:r w:rsidR="006042C4">
              <w:rPr>
                <w:rFonts w:ascii="Arial Narrow" w:hAnsi="Arial Narrow"/>
                <w:color w:val="000000" w:themeColor="text1"/>
                <w:sz w:val="22"/>
                <w:szCs w:val="22"/>
              </w:rPr>
              <w:t>a</w:t>
            </w:r>
            <w:r w:rsidRPr="009E35ED">
              <w:rPr>
                <w:rFonts w:ascii="Arial Narrow" w:hAnsi="Arial Narrow"/>
                <w:color w:val="000000" w:themeColor="text1"/>
                <w:sz w:val="22"/>
                <w:szCs w:val="22"/>
              </w:rPr>
              <w:t xml:space="preserve">ccounts </w:t>
            </w:r>
            <w:r w:rsidR="006042C4">
              <w:rPr>
                <w:rFonts w:ascii="Arial Narrow" w:hAnsi="Arial Narrow"/>
                <w:color w:val="000000" w:themeColor="text1"/>
                <w:sz w:val="22"/>
                <w:szCs w:val="22"/>
              </w:rPr>
              <w:t>p</w:t>
            </w:r>
            <w:r w:rsidRPr="009E35ED">
              <w:rPr>
                <w:rFonts w:ascii="Arial Narrow" w:hAnsi="Arial Narrow"/>
                <w:color w:val="000000" w:themeColor="text1"/>
                <w:sz w:val="22"/>
                <w:szCs w:val="22"/>
              </w:rPr>
              <w:t>ayable-</w:t>
            </w:r>
            <w:r w:rsidR="006042C4">
              <w:rPr>
                <w:rFonts w:ascii="Arial Narrow" w:hAnsi="Arial Narrow"/>
                <w:color w:val="000000" w:themeColor="text1"/>
                <w:sz w:val="22"/>
                <w:szCs w:val="22"/>
              </w:rPr>
              <w:t>c</w:t>
            </w:r>
            <w:r w:rsidRPr="009E35ED">
              <w:rPr>
                <w:rFonts w:ascii="Arial Narrow" w:hAnsi="Arial Narrow"/>
                <w:color w:val="000000" w:themeColor="text1"/>
                <w:sz w:val="22"/>
                <w:szCs w:val="22"/>
              </w:rPr>
              <w:t xml:space="preserve">harity </w:t>
            </w:r>
            <w:r w:rsidR="006042C4">
              <w:rPr>
                <w:rFonts w:ascii="Arial Narrow" w:hAnsi="Arial Narrow"/>
                <w:color w:val="000000" w:themeColor="text1"/>
                <w:sz w:val="22"/>
                <w:szCs w:val="22"/>
              </w:rPr>
              <w:t>f</w:t>
            </w:r>
            <w:r w:rsidRPr="009E35ED">
              <w:rPr>
                <w:rFonts w:ascii="Arial Narrow" w:hAnsi="Arial Narrow"/>
                <w:color w:val="000000" w:themeColor="text1"/>
                <w:sz w:val="22"/>
                <w:szCs w:val="22"/>
              </w:rPr>
              <w:t>und-</w:t>
            </w:r>
            <w:r w:rsidR="006042C4">
              <w:rPr>
                <w:rFonts w:ascii="Arial Narrow" w:hAnsi="Arial Narrow"/>
                <w:color w:val="000000" w:themeColor="text1"/>
                <w:sz w:val="22"/>
                <w:szCs w:val="22"/>
              </w:rPr>
              <w:t>h</w:t>
            </w:r>
            <w:r w:rsidRPr="009E35ED">
              <w:rPr>
                <w:rFonts w:ascii="Arial Narrow" w:hAnsi="Arial Narrow"/>
                <w:color w:val="000000" w:themeColor="text1"/>
                <w:sz w:val="22"/>
                <w:szCs w:val="22"/>
              </w:rPr>
              <w:t xml:space="preserve">ead </w:t>
            </w:r>
            <w:r w:rsidR="006042C4">
              <w:rPr>
                <w:rFonts w:ascii="Arial Narrow" w:hAnsi="Arial Narrow"/>
                <w:color w:val="000000" w:themeColor="text1"/>
                <w:sz w:val="22"/>
                <w:szCs w:val="22"/>
              </w:rPr>
              <w:t>o</w:t>
            </w:r>
            <w:r w:rsidRPr="009E35ED">
              <w:rPr>
                <w:rFonts w:ascii="Arial Narrow" w:hAnsi="Arial Narrow"/>
                <w:color w:val="000000" w:themeColor="text1"/>
                <w:sz w:val="22"/>
                <w:szCs w:val="22"/>
              </w:rPr>
              <w:t>ffice</w:t>
            </w:r>
          </w:p>
        </w:tc>
        <w:tc>
          <w:tcPr>
            <w:tcW w:w="1416" w:type="dxa"/>
            <w:tcBorders>
              <w:top w:val="nil"/>
              <w:left w:val="nil"/>
              <w:bottom w:val="nil"/>
              <w:right w:val="nil"/>
            </w:tcBorders>
            <w:shd w:val="clear" w:color="auto" w:fill="auto"/>
            <w:noWrap/>
          </w:tcPr>
          <w:p w14:paraId="001AE219" w14:textId="4603F599" w:rsidR="00F771C1" w:rsidRPr="009E35ED" w:rsidRDefault="00F771C1">
            <w:pPr>
              <w:ind w:left="0" w:right="-91"/>
              <w:jc w:val="right"/>
              <w:rPr>
                <w:rFonts w:ascii="Arial Narrow" w:hAnsi="Arial Narrow" w:cs="Arial"/>
                <w:color w:val="000000" w:themeColor="text1"/>
                <w:sz w:val="22"/>
                <w:szCs w:val="22"/>
              </w:rPr>
            </w:pPr>
            <w:r w:rsidRPr="009E35ED">
              <w:rPr>
                <w:rFonts w:ascii="Arial Narrow" w:hAnsi="Arial Narrow"/>
                <w:color w:val="000000" w:themeColor="text1"/>
                <w:sz w:val="22"/>
                <w:szCs w:val="22"/>
              </w:rPr>
              <w:t xml:space="preserve"> (842,194)</w:t>
            </w:r>
          </w:p>
        </w:tc>
      </w:tr>
      <w:tr w:rsidR="00997F75" w:rsidRPr="009E35ED" w14:paraId="41DDBDB7" w14:textId="77777777" w:rsidTr="00BF4257">
        <w:trPr>
          <w:trHeight w:val="278"/>
        </w:trPr>
        <w:tc>
          <w:tcPr>
            <w:tcW w:w="7290" w:type="dxa"/>
            <w:tcBorders>
              <w:top w:val="nil"/>
              <w:left w:val="nil"/>
              <w:bottom w:val="nil"/>
              <w:right w:val="nil"/>
            </w:tcBorders>
            <w:shd w:val="clear" w:color="auto" w:fill="auto"/>
            <w:noWrap/>
            <w:hideMark/>
          </w:tcPr>
          <w:p w14:paraId="52259F70" w14:textId="75132E0B" w:rsidR="00F771C1" w:rsidRPr="009E35ED" w:rsidRDefault="00F771C1" w:rsidP="00BF4257">
            <w:pPr>
              <w:ind w:left="-108"/>
              <w:jc w:val="left"/>
              <w:rPr>
                <w:rFonts w:ascii="Arial Narrow" w:hAnsi="Arial Narrow" w:cs="Arial"/>
                <w:color w:val="000000" w:themeColor="text1"/>
                <w:sz w:val="22"/>
                <w:szCs w:val="22"/>
                <w:lang w:val="en-PH" w:eastAsia="en-PH"/>
              </w:rPr>
            </w:pPr>
            <w:r w:rsidRPr="009E35ED">
              <w:rPr>
                <w:rFonts w:ascii="Arial Narrow" w:hAnsi="Arial Narrow"/>
                <w:color w:val="000000" w:themeColor="text1"/>
                <w:sz w:val="22"/>
                <w:szCs w:val="22"/>
              </w:rPr>
              <w:t xml:space="preserve">Adjustment/Recording of </w:t>
            </w:r>
            <w:r w:rsidR="006042C4">
              <w:rPr>
                <w:rFonts w:ascii="Arial Narrow" w:hAnsi="Arial Narrow"/>
                <w:color w:val="000000" w:themeColor="text1"/>
                <w:sz w:val="22"/>
                <w:szCs w:val="22"/>
              </w:rPr>
              <w:t>m</w:t>
            </w:r>
            <w:r w:rsidRPr="009E35ED">
              <w:rPr>
                <w:rFonts w:ascii="Arial Narrow" w:hAnsi="Arial Narrow"/>
                <w:color w:val="000000" w:themeColor="text1"/>
                <w:sz w:val="22"/>
                <w:szCs w:val="22"/>
              </w:rPr>
              <w:t xml:space="preserve">iscellaneous </w:t>
            </w:r>
            <w:r w:rsidR="006042C4">
              <w:rPr>
                <w:rFonts w:ascii="Arial Narrow" w:hAnsi="Arial Narrow"/>
                <w:color w:val="000000" w:themeColor="text1"/>
                <w:sz w:val="22"/>
                <w:szCs w:val="22"/>
              </w:rPr>
              <w:t>a</w:t>
            </w:r>
            <w:r w:rsidRPr="009E35ED">
              <w:rPr>
                <w:rFonts w:ascii="Arial Narrow" w:hAnsi="Arial Narrow"/>
                <w:color w:val="000000" w:themeColor="text1"/>
                <w:sz w:val="22"/>
                <w:szCs w:val="22"/>
              </w:rPr>
              <w:t xml:space="preserve">ccounts </w:t>
            </w:r>
            <w:r w:rsidR="006042C4">
              <w:rPr>
                <w:rFonts w:ascii="Arial Narrow" w:hAnsi="Arial Narrow"/>
                <w:color w:val="000000" w:themeColor="text1"/>
                <w:sz w:val="22"/>
                <w:szCs w:val="22"/>
              </w:rPr>
              <w:t>p</w:t>
            </w:r>
            <w:r w:rsidRPr="009E35ED">
              <w:rPr>
                <w:rFonts w:ascii="Arial Narrow" w:hAnsi="Arial Narrow"/>
                <w:color w:val="000000" w:themeColor="text1"/>
                <w:sz w:val="22"/>
                <w:szCs w:val="22"/>
              </w:rPr>
              <w:t>ayable-</w:t>
            </w:r>
            <w:r w:rsidR="006042C4">
              <w:rPr>
                <w:rFonts w:ascii="Arial Narrow" w:hAnsi="Arial Narrow"/>
                <w:color w:val="000000" w:themeColor="text1"/>
                <w:sz w:val="22"/>
                <w:szCs w:val="22"/>
              </w:rPr>
              <w:t>p</w:t>
            </w:r>
            <w:r w:rsidRPr="009E35ED">
              <w:rPr>
                <w:rFonts w:ascii="Arial Narrow" w:hAnsi="Arial Narrow"/>
                <w:color w:val="000000" w:themeColor="text1"/>
                <w:sz w:val="22"/>
                <w:szCs w:val="22"/>
              </w:rPr>
              <w:t xml:space="preserve">rize </w:t>
            </w:r>
            <w:r w:rsidR="006042C4">
              <w:rPr>
                <w:rFonts w:ascii="Arial Narrow" w:hAnsi="Arial Narrow"/>
                <w:color w:val="000000" w:themeColor="text1"/>
                <w:sz w:val="22"/>
                <w:szCs w:val="22"/>
              </w:rPr>
              <w:t>f</w:t>
            </w:r>
            <w:r w:rsidRPr="009E35ED">
              <w:rPr>
                <w:rFonts w:ascii="Arial Narrow" w:hAnsi="Arial Narrow"/>
                <w:color w:val="000000" w:themeColor="text1"/>
                <w:sz w:val="22"/>
                <w:szCs w:val="22"/>
              </w:rPr>
              <w:t>und-</w:t>
            </w:r>
            <w:r w:rsidR="006042C4">
              <w:rPr>
                <w:rFonts w:ascii="Arial Narrow" w:hAnsi="Arial Narrow"/>
                <w:color w:val="000000" w:themeColor="text1"/>
                <w:sz w:val="22"/>
                <w:szCs w:val="22"/>
              </w:rPr>
              <w:t>h</w:t>
            </w:r>
            <w:r w:rsidRPr="009E35ED">
              <w:rPr>
                <w:rFonts w:ascii="Arial Narrow" w:hAnsi="Arial Narrow"/>
                <w:color w:val="000000" w:themeColor="text1"/>
                <w:sz w:val="22"/>
                <w:szCs w:val="22"/>
              </w:rPr>
              <w:t xml:space="preserve">ead </w:t>
            </w:r>
            <w:r w:rsidR="006042C4">
              <w:rPr>
                <w:rFonts w:ascii="Arial Narrow" w:hAnsi="Arial Narrow"/>
                <w:color w:val="000000" w:themeColor="text1"/>
                <w:sz w:val="22"/>
                <w:szCs w:val="22"/>
              </w:rPr>
              <w:t>o</w:t>
            </w:r>
            <w:r w:rsidRPr="009E35ED">
              <w:rPr>
                <w:rFonts w:ascii="Arial Narrow" w:hAnsi="Arial Narrow"/>
                <w:color w:val="000000" w:themeColor="text1"/>
                <w:sz w:val="22"/>
                <w:szCs w:val="22"/>
              </w:rPr>
              <w:t>ffice</w:t>
            </w:r>
          </w:p>
        </w:tc>
        <w:tc>
          <w:tcPr>
            <w:tcW w:w="1416" w:type="dxa"/>
            <w:tcBorders>
              <w:top w:val="nil"/>
              <w:left w:val="nil"/>
              <w:bottom w:val="nil"/>
              <w:right w:val="nil"/>
            </w:tcBorders>
            <w:shd w:val="clear" w:color="auto" w:fill="auto"/>
            <w:noWrap/>
            <w:hideMark/>
          </w:tcPr>
          <w:p w14:paraId="08626588" w14:textId="4C082230" w:rsidR="00F771C1" w:rsidRPr="009E35ED" w:rsidRDefault="006042C4" w:rsidP="00860ED6">
            <w:pPr>
              <w:tabs>
                <w:tab w:val="right" w:pos="1291"/>
              </w:tabs>
              <w:ind w:left="0" w:right="-91"/>
              <w:rPr>
                <w:rFonts w:ascii="Arial Narrow" w:hAnsi="Arial Narrow" w:cs="Arial"/>
                <w:color w:val="000000" w:themeColor="text1"/>
                <w:sz w:val="22"/>
                <w:szCs w:val="22"/>
                <w:lang w:val="en-PH" w:eastAsia="en-PH"/>
              </w:rPr>
            </w:pPr>
            <w:r>
              <w:rPr>
                <w:rFonts w:ascii="Arial Narrow" w:hAnsi="Arial Narrow"/>
                <w:color w:val="000000" w:themeColor="text1"/>
                <w:sz w:val="22"/>
                <w:szCs w:val="22"/>
              </w:rPr>
              <w:tab/>
            </w:r>
            <w:r w:rsidR="00B005A9" w:rsidRPr="009E35ED">
              <w:rPr>
                <w:rFonts w:ascii="Arial Narrow" w:hAnsi="Arial Narrow"/>
                <w:color w:val="000000" w:themeColor="text1"/>
                <w:sz w:val="22"/>
                <w:szCs w:val="22"/>
              </w:rPr>
              <w:t xml:space="preserve"> </w:t>
            </w:r>
            <w:r w:rsidR="00F771C1" w:rsidRPr="009E35ED">
              <w:rPr>
                <w:rFonts w:ascii="Arial Narrow" w:hAnsi="Arial Narrow"/>
                <w:color w:val="000000" w:themeColor="text1"/>
                <w:sz w:val="22"/>
                <w:szCs w:val="22"/>
              </w:rPr>
              <w:t>(907,890,200)</w:t>
            </w:r>
          </w:p>
        </w:tc>
      </w:tr>
      <w:tr w:rsidR="00997F75" w:rsidRPr="009E35ED" w14:paraId="2BE282EA" w14:textId="77777777" w:rsidTr="00BF4257">
        <w:trPr>
          <w:trHeight w:val="308"/>
        </w:trPr>
        <w:tc>
          <w:tcPr>
            <w:tcW w:w="7290" w:type="dxa"/>
            <w:tcBorders>
              <w:top w:val="single" w:sz="4" w:space="0" w:color="auto"/>
              <w:left w:val="nil"/>
              <w:bottom w:val="double" w:sz="6" w:space="0" w:color="auto"/>
              <w:right w:val="nil"/>
            </w:tcBorders>
            <w:shd w:val="clear" w:color="auto" w:fill="auto"/>
            <w:noWrap/>
            <w:hideMark/>
          </w:tcPr>
          <w:p w14:paraId="72C3EEDE" w14:textId="4E40CA51" w:rsidR="00F771C1" w:rsidRPr="009E35ED" w:rsidRDefault="00F771C1" w:rsidP="00BF4257">
            <w:pPr>
              <w:ind w:left="-108"/>
              <w:jc w:val="left"/>
              <w:rPr>
                <w:rFonts w:ascii="Arial Narrow" w:hAnsi="Arial Narrow" w:cs="Arial"/>
                <w:b/>
                <w:bCs/>
                <w:color w:val="000000" w:themeColor="text1"/>
                <w:sz w:val="22"/>
                <w:szCs w:val="22"/>
                <w:lang w:val="en-PH" w:eastAsia="en-PH"/>
              </w:rPr>
            </w:pPr>
            <w:r w:rsidRPr="009E35ED">
              <w:rPr>
                <w:rFonts w:ascii="Arial Narrow" w:hAnsi="Arial Narrow"/>
                <w:b/>
                <w:bCs/>
                <w:color w:val="000000" w:themeColor="text1"/>
                <w:sz w:val="22"/>
                <w:szCs w:val="22"/>
              </w:rPr>
              <w:t>Restated Amount as of December 31, 2022-Miscellaneous Accounts Payable</w:t>
            </w:r>
          </w:p>
        </w:tc>
        <w:tc>
          <w:tcPr>
            <w:tcW w:w="1416" w:type="dxa"/>
            <w:tcBorders>
              <w:top w:val="single" w:sz="4" w:space="0" w:color="auto"/>
              <w:left w:val="nil"/>
              <w:bottom w:val="double" w:sz="6" w:space="0" w:color="auto"/>
              <w:right w:val="nil"/>
            </w:tcBorders>
            <w:shd w:val="clear" w:color="auto" w:fill="auto"/>
            <w:noWrap/>
            <w:hideMark/>
          </w:tcPr>
          <w:p w14:paraId="61AFAF3C" w14:textId="7122F549" w:rsidR="00F771C1" w:rsidRPr="009E35ED" w:rsidRDefault="00F771C1" w:rsidP="00BF4257">
            <w:pPr>
              <w:ind w:left="0" w:right="-91"/>
              <w:jc w:val="right"/>
              <w:rPr>
                <w:rFonts w:ascii="Arial Narrow" w:hAnsi="Arial Narrow" w:cs="Arial"/>
                <w:b/>
                <w:bCs/>
                <w:color w:val="000000" w:themeColor="text1"/>
                <w:sz w:val="22"/>
                <w:szCs w:val="22"/>
                <w:lang w:val="en-PH" w:eastAsia="en-PH"/>
              </w:rPr>
            </w:pPr>
            <w:r w:rsidRPr="009E35ED">
              <w:rPr>
                <w:rFonts w:ascii="Arial Narrow" w:hAnsi="Arial Narrow"/>
                <w:b/>
                <w:bCs/>
                <w:color w:val="000000" w:themeColor="text1"/>
                <w:sz w:val="22"/>
                <w:szCs w:val="22"/>
              </w:rPr>
              <w:t>6,994,588,53</w:t>
            </w:r>
            <w:r w:rsidR="00153B82" w:rsidRPr="009E35ED">
              <w:rPr>
                <w:rFonts w:ascii="Arial Narrow" w:hAnsi="Arial Narrow"/>
                <w:b/>
                <w:bCs/>
                <w:color w:val="000000" w:themeColor="text1"/>
                <w:sz w:val="22"/>
                <w:szCs w:val="22"/>
              </w:rPr>
              <w:t>4</w:t>
            </w:r>
            <w:r w:rsidRPr="009E35ED">
              <w:rPr>
                <w:rFonts w:ascii="Arial Narrow" w:hAnsi="Arial Narrow"/>
                <w:b/>
                <w:bCs/>
                <w:color w:val="000000" w:themeColor="text1"/>
                <w:sz w:val="22"/>
                <w:szCs w:val="22"/>
              </w:rPr>
              <w:t xml:space="preserve"> </w:t>
            </w:r>
          </w:p>
        </w:tc>
      </w:tr>
      <w:tr w:rsidR="00997F75" w:rsidRPr="009E35ED" w14:paraId="49D72A7B" w14:textId="77777777" w:rsidTr="00BF4257">
        <w:trPr>
          <w:trHeight w:val="293"/>
        </w:trPr>
        <w:tc>
          <w:tcPr>
            <w:tcW w:w="7290" w:type="dxa"/>
            <w:tcBorders>
              <w:top w:val="nil"/>
              <w:left w:val="nil"/>
              <w:bottom w:val="nil"/>
              <w:right w:val="nil"/>
            </w:tcBorders>
            <w:shd w:val="clear" w:color="auto" w:fill="auto"/>
            <w:noWrap/>
            <w:vAlign w:val="bottom"/>
            <w:hideMark/>
          </w:tcPr>
          <w:p w14:paraId="2BC516FD" w14:textId="53F831E0" w:rsidR="00054D95" w:rsidRPr="009E35ED" w:rsidRDefault="00054D95" w:rsidP="00054D95">
            <w:pPr>
              <w:ind w:left="0"/>
              <w:jc w:val="left"/>
              <w:rPr>
                <w:rFonts w:ascii="Arial Narrow" w:hAnsi="Arial Narrow" w:cs="Arial"/>
                <w:b/>
                <w:bCs/>
                <w:color w:val="000000" w:themeColor="text1"/>
                <w:sz w:val="22"/>
                <w:szCs w:val="22"/>
                <w:lang w:val="en-PH" w:eastAsia="en-PH"/>
              </w:rPr>
            </w:pPr>
          </w:p>
        </w:tc>
        <w:tc>
          <w:tcPr>
            <w:tcW w:w="1416" w:type="dxa"/>
            <w:tcBorders>
              <w:top w:val="nil"/>
              <w:left w:val="nil"/>
              <w:bottom w:val="nil"/>
              <w:right w:val="nil"/>
            </w:tcBorders>
            <w:shd w:val="clear" w:color="auto" w:fill="auto"/>
            <w:noWrap/>
            <w:vAlign w:val="bottom"/>
            <w:hideMark/>
          </w:tcPr>
          <w:p w14:paraId="430FA26E" w14:textId="77777777" w:rsidR="00054D95" w:rsidRPr="009E35ED" w:rsidRDefault="00054D95" w:rsidP="00054D95">
            <w:pPr>
              <w:ind w:left="0"/>
              <w:jc w:val="right"/>
              <w:rPr>
                <w:rFonts w:ascii="Arial Narrow" w:hAnsi="Arial Narrow"/>
                <w:color w:val="000000" w:themeColor="text1"/>
                <w:sz w:val="22"/>
                <w:szCs w:val="22"/>
                <w:lang w:val="en-PH" w:eastAsia="en-PH"/>
              </w:rPr>
            </w:pPr>
          </w:p>
        </w:tc>
      </w:tr>
      <w:tr w:rsidR="00997F75" w:rsidRPr="009E35ED" w14:paraId="7C861434" w14:textId="77777777" w:rsidTr="00BF4257">
        <w:trPr>
          <w:trHeight w:val="278"/>
        </w:trPr>
        <w:tc>
          <w:tcPr>
            <w:tcW w:w="7290" w:type="dxa"/>
            <w:tcBorders>
              <w:top w:val="nil"/>
              <w:left w:val="nil"/>
              <w:bottom w:val="nil"/>
              <w:right w:val="nil"/>
            </w:tcBorders>
            <w:shd w:val="clear" w:color="auto" w:fill="auto"/>
            <w:noWrap/>
            <w:hideMark/>
          </w:tcPr>
          <w:p w14:paraId="5E858653" w14:textId="7BDA5C58" w:rsidR="0043265D" w:rsidRPr="009E35ED" w:rsidRDefault="0043265D" w:rsidP="00BF4257">
            <w:pPr>
              <w:ind w:left="-108"/>
              <w:jc w:val="left"/>
              <w:rPr>
                <w:rFonts w:ascii="Arial Narrow" w:hAnsi="Arial Narrow" w:cs="Arial"/>
                <w:color w:val="000000" w:themeColor="text1"/>
                <w:sz w:val="22"/>
                <w:szCs w:val="22"/>
                <w:lang w:val="en-PH" w:eastAsia="en-PH"/>
              </w:rPr>
            </w:pPr>
            <w:r w:rsidRPr="009E35ED">
              <w:rPr>
                <w:rFonts w:ascii="Arial Narrow" w:hAnsi="Arial Narrow"/>
                <w:color w:val="000000" w:themeColor="text1"/>
                <w:sz w:val="22"/>
                <w:szCs w:val="22"/>
              </w:rPr>
              <w:t xml:space="preserve">Unrestated </w:t>
            </w:r>
            <w:r w:rsidR="006042C4">
              <w:rPr>
                <w:rFonts w:ascii="Arial Narrow" w:hAnsi="Arial Narrow"/>
                <w:color w:val="000000" w:themeColor="text1"/>
                <w:sz w:val="22"/>
                <w:szCs w:val="22"/>
              </w:rPr>
              <w:t>a</w:t>
            </w:r>
            <w:r w:rsidRPr="009E35ED">
              <w:rPr>
                <w:rFonts w:ascii="Arial Narrow" w:hAnsi="Arial Narrow"/>
                <w:color w:val="000000" w:themeColor="text1"/>
                <w:sz w:val="22"/>
                <w:szCs w:val="22"/>
              </w:rPr>
              <w:t>mount as of December 31, 2022</w:t>
            </w:r>
          </w:p>
        </w:tc>
        <w:tc>
          <w:tcPr>
            <w:tcW w:w="1416" w:type="dxa"/>
            <w:tcBorders>
              <w:top w:val="nil"/>
              <w:left w:val="nil"/>
              <w:bottom w:val="nil"/>
              <w:right w:val="nil"/>
            </w:tcBorders>
            <w:shd w:val="clear" w:color="auto" w:fill="auto"/>
            <w:noWrap/>
            <w:hideMark/>
          </w:tcPr>
          <w:p w14:paraId="437F0F98" w14:textId="59F4C476" w:rsidR="0043265D" w:rsidRPr="009E35ED" w:rsidRDefault="0043265D" w:rsidP="00BF4257">
            <w:pPr>
              <w:ind w:left="0" w:right="-91"/>
              <w:jc w:val="right"/>
              <w:rPr>
                <w:rFonts w:ascii="Arial Narrow" w:hAnsi="Arial Narrow" w:cs="Arial"/>
                <w:color w:val="000000" w:themeColor="text1"/>
                <w:sz w:val="22"/>
                <w:szCs w:val="22"/>
                <w:lang w:val="en-PH" w:eastAsia="en-PH"/>
              </w:rPr>
            </w:pPr>
            <w:r w:rsidRPr="009E35ED">
              <w:rPr>
                <w:rFonts w:ascii="Arial Narrow" w:hAnsi="Arial Narrow"/>
                <w:color w:val="000000" w:themeColor="text1"/>
                <w:sz w:val="22"/>
                <w:szCs w:val="22"/>
              </w:rPr>
              <w:t xml:space="preserve"> 814,305,209 </w:t>
            </w:r>
          </w:p>
        </w:tc>
      </w:tr>
      <w:tr w:rsidR="00997F75" w:rsidRPr="009E35ED" w14:paraId="476CF84C" w14:textId="77777777" w:rsidTr="00BF4257">
        <w:trPr>
          <w:trHeight w:val="278"/>
        </w:trPr>
        <w:tc>
          <w:tcPr>
            <w:tcW w:w="7290" w:type="dxa"/>
            <w:tcBorders>
              <w:top w:val="nil"/>
              <w:left w:val="nil"/>
              <w:bottom w:val="nil"/>
              <w:right w:val="nil"/>
            </w:tcBorders>
            <w:shd w:val="clear" w:color="auto" w:fill="auto"/>
            <w:noWrap/>
            <w:hideMark/>
          </w:tcPr>
          <w:p w14:paraId="3EC214DD" w14:textId="1E11C9C6" w:rsidR="0043265D" w:rsidRPr="009E35ED" w:rsidRDefault="0043265D" w:rsidP="00BF4257">
            <w:pPr>
              <w:ind w:left="-108"/>
              <w:jc w:val="left"/>
              <w:rPr>
                <w:rFonts w:ascii="Arial Narrow" w:hAnsi="Arial Narrow" w:cs="Arial"/>
                <w:color w:val="000000" w:themeColor="text1"/>
                <w:sz w:val="22"/>
                <w:szCs w:val="22"/>
                <w:lang w:val="en-PH" w:eastAsia="en-PH"/>
              </w:rPr>
            </w:pPr>
            <w:r w:rsidRPr="009E35ED">
              <w:rPr>
                <w:rFonts w:ascii="Arial Narrow" w:hAnsi="Arial Narrow"/>
                <w:color w:val="000000" w:themeColor="text1"/>
                <w:sz w:val="22"/>
                <w:szCs w:val="22"/>
              </w:rPr>
              <w:t xml:space="preserve">Adjustment/Recording of </w:t>
            </w:r>
            <w:r w:rsidR="006042C4">
              <w:rPr>
                <w:rFonts w:ascii="Arial Narrow" w:hAnsi="Arial Narrow"/>
                <w:color w:val="000000" w:themeColor="text1"/>
                <w:sz w:val="22"/>
                <w:szCs w:val="22"/>
              </w:rPr>
              <w:t>a</w:t>
            </w:r>
            <w:r w:rsidRPr="009E35ED">
              <w:rPr>
                <w:rFonts w:ascii="Arial Narrow" w:hAnsi="Arial Narrow"/>
                <w:color w:val="000000" w:themeColor="text1"/>
                <w:sz w:val="22"/>
                <w:szCs w:val="22"/>
              </w:rPr>
              <w:t xml:space="preserve">ccounts </w:t>
            </w:r>
            <w:r w:rsidR="006042C4">
              <w:rPr>
                <w:rFonts w:ascii="Arial Narrow" w:hAnsi="Arial Narrow"/>
                <w:color w:val="000000" w:themeColor="text1"/>
                <w:sz w:val="22"/>
                <w:szCs w:val="22"/>
              </w:rPr>
              <w:t>p</w:t>
            </w:r>
            <w:r w:rsidRPr="009E35ED">
              <w:rPr>
                <w:rFonts w:ascii="Arial Narrow" w:hAnsi="Arial Narrow"/>
                <w:color w:val="000000" w:themeColor="text1"/>
                <w:sz w:val="22"/>
                <w:szCs w:val="22"/>
              </w:rPr>
              <w:t>ayable-</w:t>
            </w:r>
            <w:r w:rsidR="006042C4">
              <w:rPr>
                <w:rFonts w:ascii="Arial Narrow" w:hAnsi="Arial Narrow"/>
                <w:color w:val="000000" w:themeColor="text1"/>
                <w:sz w:val="22"/>
                <w:szCs w:val="22"/>
              </w:rPr>
              <w:t>c</w:t>
            </w:r>
            <w:r w:rsidRPr="009E35ED">
              <w:rPr>
                <w:rFonts w:ascii="Arial Narrow" w:hAnsi="Arial Narrow"/>
                <w:color w:val="000000" w:themeColor="text1"/>
                <w:sz w:val="22"/>
                <w:szCs w:val="22"/>
              </w:rPr>
              <w:t xml:space="preserve">harity </w:t>
            </w:r>
            <w:r w:rsidR="006042C4">
              <w:rPr>
                <w:rFonts w:ascii="Arial Narrow" w:hAnsi="Arial Narrow"/>
                <w:color w:val="000000" w:themeColor="text1"/>
                <w:sz w:val="22"/>
                <w:szCs w:val="22"/>
              </w:rPr>
              <w:t>f</w:t>
            </w:r>
            <w:r w:rsidRPr="009E35ED">
              <w:rPr>
                <w:rFonts w:ascii="Arial Narrow" w:hAnsi="Arial Narrow"/>
                <w:color w:val="000000" w:themeColor="text1"/>
                <w:sz w:val="22"/>
                <w:szCs w:val="22"/>
              </w:rPr>
              <w:t>und-</w:t>
            </w:r>
            <w:r w:rsidR="006042C4">
              <w:rPr>
                <w:rFonts w:ascii="Arial Narrow" w:hAnsi="Arial Narrow"/>
                <w:color w:val="000000" w:themeColor="text1"/>
                <w:sz w:val="22"/>
                <w:szCs w:val="22"/>
              </w:rPr>
              <w:t>b</w:t>
            </w:r>
            <w:r w:rsidRPr="009E35ED">
              <w:rPr>
                <w:rFonts w:ascii="Arial Narrow" w:hAnsi="Arial Narrow"/>
                <w:color w:val="000000" w:themeColor="text1"/>
                <w:sz w:val="22"/>
                <w:szCs w:val="22"/>
              </w:rPr>
              <w:t>ranch</w:t>
            </w:r>
          </w:p>
        </w:tc>
        <w:tc>
          <w:tcPr>
            <w:tcW w:w="1416" w:type="dxa"/>
            <w:tcBorders>
              <w:top w:val="nil"/>
              <w:left w:val="nil"/>
              <w:bottom w:val="nil"/>
              <w:right w:val="nil"/>
            </w:tcBorders>
            <w:shd w:val="clear" w:color="auto" w:fill="auto"/>
            <w:noWrap/>
            <w:hideMark/>
          </w:tcPr>
          <w:p w14:paraId="36A7336F" w14:textId="2578A78B" w:rsidR="0043265D" w:rsidRPr="009E35ED" w:rsidRDefault="0043265D" w:rsidP="00BF4257">
            <w:pPr>
              <w:ind w:left="0" w:right="-91"/>
              <w:jc w:val="right"/>
              <w:rPr>
                <w:rFonts w:ascii="Arial Narrow" w:hAnsi="Arial Narrow" w:cs="Arial"/>
                <w:color w:val="000000" w:themeColor="text1"/>
                <w:sz w:val="22"/>
                <w:szCs w:val="22"/>
                <w:lang w:val="en-PH" w:eastAsia="en-PH"/>
              </w:rPr>
            </w:pPr>
            <w:r w:rsidRPr="009E35ED">
              <w:rPr>
                <w:rFonts w:ascii="Arial Narrow" w:hAnsi="Arial Narrow"/>
                <w:color w:val="000000" w:themeColor="text1"/>
                <w:sz w:val="22"/>
                <w:szCs w:val="22"/>
              </w:rPr>
              <w:t xml:space="preserve"> (</w:t>
            </w:r>
            <w:r w:rsidR="00A36844" w:rsidRPr="009E35ED">
              <w:rPr>
                <w:rFonts w:ascii="Arial Narrow" w:hAnsi="Arial Narrow"/>
                <w:color w:val="000000" w:themeColor="text1"/>
                <w:sz w:val="22"/>
                <w:szCs w:val="22"/>
              </w:rPr>
              <w:t>55,482,803</w:t>
            </w:r>
            <w:r w:rsidRPr="009E35ED">
              <w:rPr>
                <w:rFonts w:ascii="Arial Narrow" w:hAnsi="Arial Narrow"/>
                <w:color w:val="000000" w:themeColor="text1"/>
                <w:sz w:val="22"/>
                <w:szCs w:val="22"/>
              </w:rPr>
              <w:t>)</w:t>
            </w:r>
          </w:p>
        </w:tc>
      </w:tr>
      <w:tr w:rsidR="00997F75" w:rsidRPr="009E35ED" w14:paraId="1B2BAE06" w14:textId="77777777" w:rsidTr="00BF4257">
        <w:trPr>
          <w:trHeight w:val="278"/>
        </w:trPr>
        <w:tc>
          <w:tcPr>
            <w:tcW w:w="7290" w:type="dxa"/>
            <w:tcBorders>
              <w:top w:val="nil"/>
              <w:left w:val="nil"/>
              <w:bottom w:val="nil"/>
              <w:right w:val="nil"/>
            </w:tcBorders>
            <w:shd w:val="clear" w:color="auto" w:fill="auto"/>
            <w:noWrap/>
            <w:hideMark/>
          </w:tcPr>
          <w:p w14:paraId="3A7E66AF" w14:textId="0CF6D3B6" w:rsidR="0043265D" w:rsidRPr="009E35ED" w:rsidRDefault="0043265D" w:rsidP="00BF4257">
            <w:pPr>
              <w:ind w:left="-108"/>
              <w:jc w:val="left"/>
              <w:rPr>
                <w:rFonts w:ascii="Arial Narrow" w:hAnsi="Arial Narrow" w:cs="Arial"/>
                <w:color w:val="000000" w:themeColor="text1"/>
                <w:sz w:val="22"/>
                <w:szCs w:val="22"/>
                <w:lang w:val="en-PH" w:eastAsia="en-PH"/>
              </w:rPr>
            </w:pPr>
            <w:r w:rsidRPr="009E35ED">
              <w:rPr>
                <w:rFonts w:ascii="Arial Narrow" w:hAnsi="Arial Narrow"/>
                <w:color w:val="000000" w:themeColor="text1"/>
                <w:sz w:val="22"/>
                <w:szCs w:val="22"/>
              </w:rPr>
              <w:t xml:space="preserve">Adjustment/Recording of </w:t>
            </w:r>
            <w:r w:rsidR="00077932">
              <w:rPr>
                <w:rFonts w:ascii="Arial Narrow" w:hAnsi="Arial Narrow"/>
                <w:color w:val="000000" w:themeColor="text1"/>
                <w:sz w:val="22"/>
                <w:szCs w:val="22"/>
              </w:rPr>
              <w:t>a</w:t>
            </w:r>
            <w:r w:rsidRPr="009E35ED">
              <w:rPr>
                <w:rFonts w:ascii="Arial Narrow" w:hAnsi="Arial Narrow"/>
                <w:color w:val="000000" w:themeColor="text1"/>
                <w:sz w:val="22"/>
                <w:szCs w:val="22"/>
              </w:rPr>
              <w:t>ccounts</w:t>
            </w:r>
            <w:r w:rsidR="00077932">
              <w:rPr>
                <w:rFonts w:ascii="Arial Narrow" w:hAnsi="Arial Narrow"/>
                <w:color w:val="000000" w:themeColor="text1"/>
                <w:sz w:val="22"/>
                <w:szCs w:val="22"/>
              </w:rPr>
              <w:t xml:space="preserve"> p</w:t>
            </w:r>
            <w:r w:rsidRPr="009E35ED">
              <w:rPr>
                <w:rFonts w:ascii="Arial Narrow" w:hAnsi="Arial Narrow"/>
                <w:color w:val="000000" w:themeColor="text1"/>
                <w:sz w:val="22"/>
                <w:szCs w:val="22"/>
              </w:rPr>
              <w:t>ayable-</w:t>
            </w:r>
            <w:r w:rsidR="00077932">
              <w:rPr>
                <w:rFonts w:ascii="Arial Narrow" w:hAnsi="Arial Narrow"/>
                <w:color w:val="000000" w:themeColor="text1"/>
                <w:sz w:val="22"/>
                <w:szCs w:val="22"/>
              </w:rPr>
              <w:t>c</w:t>
            </w:r>
            <w:r w:rsidRPr="009E35ED">
              <w:rPr>
                <w:rFonts w:ascii="Arial Narrow" w:hAnsi="Arial Narrow"/>
                <w:color w:val="000000" w:themeColor="text1"/>
                <w:sz w:val="22"/>
                <w:szCs w:val="22"/>
              </w:rPr>
              <w:t xml:space="preserve">harity </w:t>
            </w:r>
            <w:r w:rsidR="00077932">
              <w:rPr>
                <w:rFonts w:ascii="Arial Narrow" w:hAnsi="Arial Narrow"/>
                <w:color w:val="000000" w:themeColor="text1"/>
                <w:sz w:val="22"/>
                <w:szCs w:val="22"/>
              </w:rPr>
              <w:t>f</w:t>
            </w:r>
            <w:r w:rsidRPr="009E35ED">
              <w:rPr>
                <w:rFonts w:ascii="Arial Narrow" w:hAnsi="Arial Narrow"/>
                <w:color w:val="000000" w:themeColor="text1"/>
                <w:sz w:val="22"/>
                <w:szCs w:val="22"/>
              </w:rPr>
              <w:t>und-</w:t>
            </w:r>
            <w:r w:rsidR="00077932">
              <w:rPr>
                <w:rFonts w:ascii="Arial Narrow" w:hAnsi="Arial Narrow"/>
                <w:color w:val="000000" w:themeColor="text1"/>
                <w:sz w:val="22"/>
                <w:szCs w:val="22"/>
              </w:rPr>
              <w:t>h</w:t>
            </w:r>
            <w:r w:rsidRPr="009E35ED">
              <w:rPr>
                <w:rFonts w:ascii="Arial Narrow" w:hAnsi="Arial Narrow"/>
                <w:color w:val="000000" w:themeColor="text1"/>
                <w:sz w:val="22"/>
                <w:szCs w:val="22"/>
              </w:rPr>
              <w:t xml:space="preserve">ead </w:t>
            </w:r>
            <w:r w:rsidR="00077932">
              <w:rPr>
                <w:rFonts w:ascii="Arial Narrow" w:hAnsi="Arial Narrow"/>
                <w:color w:val="000000" w:themeColor="text1"/>
                <w:sz w:val="22"/>
                <w:szCs w:val="22"/>
              </w:rPr>
              <w:t>o</w:t>
            </w:r>
            <w:r w:rsidRPr="009E35ED">
              <w:rPr>
                <w:rFonts w:ascii="Arial Narrow" w:hAnsi="Arial Narrow"/>
                <w:color w:val="000000" w:themeColor="text1"/>
                <w:sz w:val="22"/>
                <w:szCs w:val="22"/>
              </w:rPr>
              <w:t>ffice</w:t>
            </w:r>
          </w:p>
        </w:tc>
        <w:tc>
          <w:tcPr>
            <w:tcW w:w="1416" w:type="dxa"/>
            <w:tcBorders>
              <w:top w:val="nil"/>
              <w:left w:val="nil"/>
              <w:bottom w:val="nil"/>
              <w:right w:val="nil"/>
            </w:tcBorders>
            <w:shd w:val="clear" w:color="auto" w:fill="auto"/>
            <w:noWrap/>
            <w:hideMark/>
          </w:tcPr>
          <w:p w14:paraId="1E3610B5" w14:textId="7A3C491D" w:rsidR="0043265D" w:rsidRPr="009E35ED" w:rsidRDefault="0043265D" w:rsidP="00BF4257">
            <w:pPr>
              <w:ind w:left="0" w:right="-91"/>
              <w:jc w:val="right"/>
              <w:rPr>
                <w:rFonts w:ascii="Arial Narrow" w:hAnsi="Arial Narrow" w:cs="Arial"/>
                <w:color w:val="000000" w:themeColor="text1"/>
                <w:sz w:val="22"/>
                <w:szCs w:val="22"/>
                <w:lang w:val="en-PH" w:eastAsia="en-PH"/>
              </w:rPr>
            </w:pPr>
            <w:r w:rsidRPr="009E35ED">
              <w:rPr>
                <w:rFonts w:ascii="Arial Narrow" w:hAnsi="Arial Narrow"/>
                <w:color w:val="000000" w:themeColor="text1"/>
                <w:sz w:val="22"/>
                <w:szCs w:val="22"/>
              </w:rPr>
              <w:t>(110,319,404)</w:t>
            </w:r>
          </w:p>
        </w:tc>
      </w:tr>
      <w:tr w:rsidR="00997F75" w:rsidRPr="009E35ED" w14:paraId="1E1BA107" w14:textId="77777777" w:rsidTr="00BF4257">
        <w:trPr>
          <w:trHeight w:val="308"/>
        </w:trPr>
        <w:tc>
          <w:tcPr>
            <w:tcW w:w="7290" w:type="dxa"/>
            <w:tcBorders>
              <w:top w:val="single" w:sz="4" w:space="0" w:color="auto"/>
              <w:left w:val="nil"/>
              <w:bottom w:val="double" w:sz="6" w:space="0" w:color="auto"/>
              <w:right w:val="nil"/>
            </w:tcBorders>
            <w:shd w:val="clear" w:color="auto" w:fill="auto"/>
            <w:noWrap/>
            <w:hideMark/>
          </w:tcPr>
          <w:p w14:paraId="75BFCD7B" w14:textId="39793911" w:rsidR="0043265D" w:rsidRPr="009E35ED" w:rsidRDefault="0043265D" w:rsidP="00BF4257">
            <w:pPr>
              <w:ind w:left="-108"/>
              <w:jc w:val="left"/>
              <w:rPr>
                <w:rFonts w:ascii="Arial Narrow" w:hAnsi="Arial Narrow" w:cs="Arial"/>
                <w:b/>
                <w:bCs/>
                <w:color w:val="000000" w:themeColor="text1"/>
                <w:sz w:val="22"/>
                <w:szCs w:val="22"/>
                <w:lang w:val="en-PH" w:eastAsia="en-PH"/>
              </w:rPr>
            </w:pPr>
            <w:r w:rsidRPr="009E35ED">
              <w:rPr>
                <w:rFonts w:ascii="Arial Narrow" w:hAnsi="Arial Narrow"/>
                <w:b/>
                <w:bCs/>
                <w:color w:val="000000" w:themeColor="text1"/>
                <w:sz w:val="22"/>
                <w:szCs w:val="22"/>
              </w:rPr>
              <w:t>Restated Amount as of December 31, 2022-Vouchers Payable-Charity Fund</w:t>
            </w:r>
          </w:p>
        </w:tc>
        <w:tc>
          <w:tcPr>
            <w:tcW w:w="1416" w:type="dxa"/>
            <w:tcBorders>
              <w:top w:val="single" w:sz="4" w:space="0" w:color="auto"/>
              <w:left w:val="nil"/>
              <w:bottom w:val="double" w:sz="6" w:space="0" w:color="auto"/>
              <w:right w:val="nil"/>
            </w:tcBorders>
            <w:shd w:val="clear" w:color="auto" w:fill="auto"/>
            <w:noWrap/>
            <w:hideMark/>
          </w:tcPr>
          <w:p w14:paraId="5A3AD574" w14:textId="6EB718FC" w:rsidR="0043265D" w:rsidRPr="009E35ED" w:rsidRDefault="0043265D" w:rsidP="00BF4257">
            <w:pPr>
              <w:ind w:left="0" w:right="-91"/>
              <w:jc w:val="right"/>
              <w:rPr>
                <w:rFonts w:ascii="Arial Narrow" w:hAnsi="Arial Narrow" w:cs="Arial"/>
                <w:b/>
                <w:bCs/>
                <w:color w:val="000000" w:themeColor="text1"/>
                <w:sz w:val="22"/>
                <w:szCs w:val="22"/>
                <w:lang w:val="en-PH" w:eastAsia="en-PH"/>
              </w:rPr>
            </w:pPr>
            <w:r w:rsidRPr="009E35ED">
              <w:rPr>
                <w:rFonts w:ascii="Arial Narrow" w:hAnsi="Arial Narrow"/>
                <w:b/>
                <w:bCs/>
                <w:color w:val="000000" w:themeColor="text1"/>
                <w:sz w:val="22"/>
                <w:szCs w:val="22"/>
              </w:rPr>
              <w:t xml:space="preserve"> 64</w:t>
            </w:r>
            <w:r w:rsidR="00A36844" w:rsidRPr="009E35ED">
              <w:rPr>
                <w:rFonts w:ascii="Arial Narrow" w:hAnsi="Arial Narrow"/>
                <w:b/>
                <w:bCs/>
                <w:color w:val="000000" w:themeColor="text1"/>
                <w:sz w:val="22"/>
                <w:szCs w:val="22"/>
              </w:rPr>
              <w:t>8</w:t>
            </w:r>
            <w:r w:rsidRPr="009E35ED">
              <w:rPr>
                <w:rFonts w:ascii="Arial Narrow" w:hAnsi="Arial Narrow"/>
                <w:b/>
                <w:bCs/>
                <w:color w:val="000000" w:themeColor="text1"/>
                <w:sz w:val="22"/>
                <w:szCs w:val="22"/>
              </w:rPr>
              <w:t>,</w:t>
            </w:r>
            <w:r w:rsidR="00A36844" w:rsidRPr="009E35ED">
              <w:rPr>
                <w:rFonts w:ascii="Arial Narrow" w:hAnsi="Arial Narrow"/>
                <w:b/>
                <w:bCs/>
                <w:color w:val="000000" w:themeColor="text1"/>
                <w:sz w:val="22"/>
                <w:szCs w:val="22"/>
              </w:rPr>
              <w:t>503,00</w:t>
            </w:r>
            <w:r w:rsidR="00153B82" w:rsidRPr="009E35ED">
              <w:rPr>
                <w:rFonts w:ascii="Arial Narrow" w:hAnsi="Arial Narrow"/>
                <w:b/>
                <w:bCs/>
                <w:color w:val="000000" w:themeColor="text1"/>
                <w:sz w:val="22"/>
                <w:szCs w:val="22"/>
              </w:rPr>
              <w:t>2</w:t>
            </w:r>
            <w:r w:rsidRPr="009E35ED">
              <w:rPr>
                <w:rFonts w:ascii="Arial Narrow" w:hAnsi="Arial Narrow"/>
                <w:b/>
                <w:bCs/>
                <w:color w:val="000000" w:themeColor="text1"/>
                <w:sz w:val="22"/>
                <w:szCs w:val="22"/>
              </w:rPr>
              <w:t xml:space="preserve"> </w:t>
            </w:r>
          </w:p>
        </w:tc>
      </w:tr>
      <w:tr w:rsidR="00997F75" w:rsidRPr="009E35ED" w14:paraId="58554F73" w14:textId="77777777" w:rsidTr="00BF4257">
        <w:trPr>
          <w:trHeight w:val="308"/>
        </w:trPr>
        <w:tc>
          <w:tcPr>
            <w:tcW w:w="7290" w:type="dxa"/>
            <w:tcBorders>
              <w:top w:val="nil"/>
              <w:left w:val="nil"/>
              <w:bottom w:val="nil"/>
              <w:right w:val="nil"/>
            </w:tcBorders>
            <w:shd w:val="clear" w:color="auto" w:fill="auto"/>
            <w:noWrap/>
            <w:vAlign w:val="bottom"/>
            <w:hideMark/>
          </w:tcPr>
          <w:p w14:paraId="24FD53E0" w14:textId="77777777" w:rsidR="00054D95" w:rsidRPr="009E35ED" w:rsidRDefault="00054D95" w:rsidP="00054D95">
            <w:pPr>
              <w:ind w:left="0"/>
              <w:jc w:val="left"/>
              <w:rPr>
                <w:rFonts w:ascii="Arial Narrow" w:hAnsi="Arial Narrow" w:cs="Arial"/>
                <w:b/>
                <w:bCs/>
                <w:color w:val="000000" w:themeColor="text1"/>
                <w:sz w:val="22"/>
                <w:szCs w:val="22"/>
                <w:lang w:val="en-PH" w:eastAsia="en-PH"/>
              </w:rPr>
            </w:pPr>
          </w:p>
        </w:tc>
        <w:tc>
          <w:tcPr>
            <w:tcW w:w="1416" w:type="dxa"/>
            <w:tcBorders>
              <w:top w:val="nil"/>
              <w:left w:val="nil"/>
              <w:bottom w:val="nil"/>
              <w:right w:val="nil"/>
            </w:tcBorders>
            <w:shd w:val="clear" w:color="auto" w:fill="auto"/>
            <w:noWrap/>
            <w:vAlign w:val="bottom"/>
            <w:hideMark/>
          </w:tcPr>
          <w:p w14:paraId="2587730C" w14:textId="77777777" w:rsidR="00054D95" w:rsidRPr="009E35ED" w:rsidRDefault="00054D95" w:rsidP="00054D95">
            <w:pPr>
              <w:ind w:left="0"/>
              <w:jc w:val="right"/>
              <w:rPr>
                <w:rFonts w:ascii="Arial Narrow" w:hAnsi="Arial Narrow"/>
                <w:color w:val="000000" w:themeColor="text1"/>
                <w:sz w:val="22"/>
                <w:szCs w:val="22"/>
                <w:lang w:val="en-PH" w:eastAsia="en-PH"/>
              </w:rPr>
            </w:pPr>
          </w:p>
        </w:tc>
      </w:tr>
      <w:tr w:rsidR="00923C70" w:rsidRPr="009E35ED" w14:paraId="4EB92C4B" w14:textId="77777777" w:rsidTr="00BF4257">
        <w:trPr>
          <w:trHeight w:val="293"/>
        </w:trPr>
        <w:tc>
          <w:tcPr>
            <w:tcW w:w="7290" w:type="dxa"/>
            <w:tcBorders>
              <w:top w:val="nil"/>
              <w:left w:val="nil"/>
              <w:bottom w:val="nil"/>
              <w:right w:val="nil"/>
            </w:tcBorders>
            <w:shd w:val="clear" w:color="auto" w:fill="auto"/>
            <w:noWrap/>
            <w:hideMark/>
          </w:tcPr>
          <w:p w14:paraId="4738735C" w14:textId="742496D9" w:rsidR="00923C70" w:rsidRPr="009E35ED" w:rsidRDefault="00923C70" w:rsidP="00BF4257">
            <w:pPr>
              <w:ind w:left="-108"/>
              <w:jc w:val="left"/>
              <w:rPr>
                <w:rFonts w:ascii="Arial Narrow" w:hAnsi="Arial Narrow" w:cs="Arial"/>
                <w:color w:val="000000" w:themeColor="text1"/>
                <w:sz w:val="22"/>
                <w:szCs w:val="22"/>
                <w:lang w:val="en-PH" w:eastAsia="en-PH"/>
              </w:rPr>
            </w:pPr>
            <w:r w:rsidRPr="009E35ED">
              <w:rPr>
                <w:rFonts w:ascii="Arial Narrow" w:hAnsi="Arial Narrow"/>
                <w:color w:val="000000" w:themeColor="text1"/>
                <w:sz w:val="22"/>
                <w:szCs w:val="22"/>
              </w:rPr>
              <w:t xml:space="preserve">Unrestated </w:t>
            </w:r>
            <w:r w:rsidR="00077932">
              <w:rPr>
                <w:rFonts w:ascii="Arial Narrow" w:hAnsi="Arial Narrow"/>
                <w:color w:val="000000" w:themeColor="text1"/>
                <w:sz w:val="22"/>
                <w:szCs w:val="22"/>
              </w:rPr>
              <w:t>a</w:t>
            </w:r>
            <w:r w:rsidRPr="009E35ED">
              <w:rPr>
                <w:rFonts w:ascii="Arial Narrow" w:hAnsi="Arial Narrow"/>
                <w:color w:val="000000" w:themeColor="text1"/>
                <w:sz w:val="22"/>
                <w:szCs w:val="22"/>
              </w:rPr>
              <w:t>mount as of December 31, 2022</w:t>
            </w:r>
          </w:p>
        </w:tc>
        <w:tc>
          <w:tcPr>
            <w:tcW w:w="1416" w:type="dxa"/>
            <w:tcBorders>
              <w:top w:val="nil"/>
              <w:left w:val="nil"/>
              <w:bottom w:val="nil"/>
              <w:right w:val="nil"/>
            </w:tcBorders>
            <w:shd w:val="clear" w:color="auto" w:fill="auto"/>
            <w:noWrap/>
            <w:hideMark/>
          </w:tcPr>
          <w:p w14:paraId="5BAE7486" w14:textId="77777777" w:rsidR="00923C70" w:rsidRPr="009E35ED" w:rsidRDefault="00923C70" w:rsidP="00BF4257">
            <w:pPr>
              <w:ind w:left="0" w:right="-91"/>
              <w:jc w:val="right"/>
              <w:rPr>
                <w:rFonts w:ascii="Arial Narrow" w:hAnsi="Arial Narrow" w:cs="Arial"/>
                <w:color w:val="000000" w:themeColor="text1"/>
                <w:sz w:val="22"/>
                <w:szCs w:val="22"/>
                <w:lang w:val="en-PH" w:eastAsia="en-PH"/>
              </w:rPr>
            </w:pPr>
            <w:r w:rsidRPr="009E35ED">
              <w:rPr>
                <w:rFonts w:ascii="Arial Narrow" w:hAnsi="Arial Narrow"/>
                <w:color w:val="000000" w:themeColor="text1"/>
                <w:sz w:val="22"/>
                <w:szCs w:val="22"/>
              </w:rPr>
              <w:t xml:space="preserve"> 121,233,998 </w:t>
            </w:r>
          </w:p>
        </w:tc>
      </w:tr>
      <w:tr w:rsidR="00923C70" w:rsidRPr="009E35ED" w14:paraId="646D45F3" w14:textId="77777777" w:rsidTr="00BF4257">
        <w:trPr>
          <w:trHeight w:val="293"/>
        </w:trPr>
        <w:tc>
          <w:tcPr>
            <w:tcW w:w="7290" w:type="dxa"/>
            <w:tcBorders>
              <w:top w:val="nil"/>
              <w:left w:val="nil"/>
              <w:bottom w:val="nil"/>
              <w:right w:val="nil"/>
            </w:tcBorders>
            <w:shd w:val="clear" w:color="auto" w:fill="auto"/>
            <w:noWrap/>
          </w:tcPr>
          <w:p w14:paraId="30E51D80" w14:textId="3ABC09B4" w:rsidR="00923C70" w:rsidRPr="009E35ED" w:rsidRDefault="00923C70" w:rsidP="00BF4257">
            <w:pPr>
              <w:ind w:left="-108"/>
              <w:jc w:val="left"/>
              <w:rPr>
                <w:rFonts w:ascii="Arial Narrow" w:hAnsi="Arial Narrow" w:cs="Arial"/>
                <w:color w:val="000000" w:themeColor="text1"/>
                <w:sz w:val="22"/>
                <w:szCs w:val="22"/>
              </w:rPr>
            </w:pPr>
            <w:r w:rsidRPr="009E35ED">
              <w:rPr>
                <w:rFonts w:ascii="Arial Narrow" w:hAnsi="Arial Narrow"/>
                <w:color w:val="000000" w:themeColor="text1"/>
                <w:sz w:val="22"/>
                <w:szCs w:val="22"/>
              </w:rPr>
              <w:t>Adjustment/Recording of MAP-</w:t>
            </w:r>
            <w:r w:rsidR="00077932">
              <w:rPr>
                <w:rFonts w:ascii="Arial Narrow" w:hAnsi="Arial Narrow"/>
                <w:color w:val="000000" w:themeColor="text1"/>
                <w:sz w:val="22"/>
                <w:szCs w:val="22"/>
              </w:rPr>
              <w:t>g</w:t>
            </w:r>
            <w:r w:rsidRPr="009E35ED">
              <w:rPr>
                <w:rFonts w:ascii="Arial Narrow" w:hAnsi="Arial Narrow"/>
                <w:color w:val="000000" w:themeColor="text1"/>
                <w:sz w:val="22"/>
                <w:szCs w:val="22"/>
              </w:rPr>
              <w:t>eneral</w:t>
            </w:r>
          </w:p>
        </w:tc>
        <w:tc>
          <w:tcPr>
            <w:tcW w:w="1416" w:type="dxa"/>
            <w:tcBorders>
              <w:top w:val="nil"/>
              <w:left w:val="nil"/>
              <w:bottom w:val="nil"/>
              <w:right w:val="nil"/>
            </w:tcBorders>
            <w:shd w:val="clear" w:color="auto" w:fill="auto"/>
            <w:noWrap/>
          </w:tcPr>
          <w:p w14:paraId="60A992B0" w14:textId="77777777" w:rsidR="00923C70" w:rsidRPr="009E35ED" w:rsidRDefault="00923C70" w:rsidP="00BF4257">
            <w:pPr>
              <w:ind w:left="0" w:right="-91"/>
              <w:jc w:val="right"/>
              <w:rPr>
                <w:rFonts w:ascii="Arial Narrow" w:hAnsi="Arial Narrow" w:cs="Arial"/>
                <w:color w:val="000000" w:themeColor="text1"/>
                <w:sz w:val="22"/>
                <w:szCs w:val="22"/>
              </w:rPr>
            </w:pPr>
            <w:r w:rsidRPr="009E35ED">
              <w:rPr>
                <w:rFonts w:ascii="Arial Narrow" w:hAnsi="Arial Narrow"/>
                <w:color w:val="000000" w:themeColor="text1"/>
                <w:sz w:val="22"/>
                <w:szCs w:val="22"/>
              </w:rPr>
              <w:t xml:space="preserve"> (6,143,288)</w:t>
            </w:r>
          </w:p>
        </w:tc>
      </w:tr>
      <w:tr w:rsidR="00923C70" w:rsidRPr="009E35ED" w14:paraId="39ED1C5E" w14:textId="77777777" w:rsidTr="00BF4257">
        <w:trPr>
          <w:trHeight w:val="278"/>
        </w:trPr>
        <w:tc>
          <w:tcPr>
            <w:tcW w:w="7290" w:type="dxa"/>
            <w:tcBorders>
              <w:top w:val="nil"/>
              <w:left w:val="nil"/>
              <w:bottom w:val="nil"/>
              <w:right w:val="nil"/>
            </w:tcBorders>
            <w:shd w:val="clear" w:color="auto" w:fill="auto"/>
            <w:noWrap/>
            <w:hideMark/>
          </w:tcPr>
          <w:p w14:paraId="4F215737" w14:textId="5ACD166E" w:rsidR="00923C70" w:rsidRPr="009E35ED" w:rsidRDefault="00923C70" w:rsidP="00BF4257">
            <w:pPr>
              <w:ind w:left="-108"/>
              <w:jc w:val="left"/>
              <w:rPr>
                <w:rFonts w:ascii="Arial Narrow" w:hAnsi="Arial Narrow" w:cs="Arial"/>
                <w:color w:val="000000" w:themeColor="text1"/>
                <w:sz w:val="22"/>
                <w:szCs w:val="22"/>
                <w:lang w:val="en-PH" w:eastAsia="en-PH"/>
              </w:rPr>
            </w:pPr>
            <w:r w:rsidRPr="009E35ED">
              <w:rPr>
                <w:rFonts w:ascii="Arial Narrow" w:hAnsi="Arial Narrow"/>
                <w:color w:val="000000" w:themeColor="text1"/>
                <w:sz w:val="22"/>
                <w:szCs w:val="22"/>
              </w:rPr>
              <w:t>Adjustment/Recording of MAP-</w:t>
            </w:r>
            <w:r w:rsidR="00077932">
              <w:rPr>
                <w:rFonts w:ascii="Arial Narrow" w:hAnsi="Arial Narrow"/>
                <w:color w:val="000000" w:themeColor="text1"/>
                <w:sz w:val="22"/>
                <w:szCs w:val="22"/>
              </w:rPr>
              <w:t>m</w:t>
            </w:r>
            <w:r w:rsidRPr="009E35ED">
              <w:rPr>
                <w:rFonts w:ascii="Arial Narrow" w:hAnsi="Arial Narrow"/>
                <w:color w:val="000000" w:themeColor="text1"/>
                <w:sz w:val="22"/>
                <w:szCs w:val="22"/>
              </w:rPr>
              <w:t>alasakit</w:t>
            </w:r>
          </w:p>
        </w:tc>
        <w:tc>
          <w:tcPr>
            <w:tcW w:w="1416" w:type="dxa"/>
            <w:tcBorders>
              <w:top w:val="nil"/>
              <w:left w:val="nil"/>
              <w:bottom w:val="nil"/>
              <w:right w:val="nil"/>
            </w:tcBorders>
            <w:shd w:val="clear" w:color="auto" w:fill="auto"/>
            <w:noWrap/>
            <w:hideMark/>
          </w:tcPr>
          <w:p w14:paraId="4D1BADF3" w14:textId="77777777" w:rsidR="00923C70" w:rsidRPr="009E35ED" w:rsidRDefault="00923C70" w:rsidP="00BF4257">
            <w:pPr>
              <w:ind w:left="0" w:right="-91"/>
              <w:jc w:val="right"/>
              <w:rPr>
                <w:rFonts w:ascii="Arial Narrow" w:hAnsi="Arial Narrow" w:cs="Arial"/>
                <w:color w:val="000000" w:themeColor="text1"/>
                <w:sz w:val="22"/>
                <w:szCs w:val="22"/>
                <w:lang w:val="en-PH" w:eastAsia="en-PH"/>
              </w:rPr>
            </w:pPr>
            <w:r w:rsidRPr="009E35ED">
              <w:rPr>
                <w:rFonts w:ascii="Arial Narrow" w:hAnsi="Arial Narrow"/>
                <w:color w:val="000000" w:themeColor="text1"/>
                <w:sz w:val="22"/>
                <w:szCs w:val="22"/>
              </w:rPr>
              <w:t xml:space="preserve"> (8,455,706)</w:t>
            </w:r>
          </w:p>
        </w:tc>
      </w:tr>
      <w:tr w:rsidR="00923C70" w:rsidRPr="009E35ED" w14:paraId="7D4D1B28" w14:textId="77777777" w:rsidTr="00BF4257">
        <w:trPr>
          <w:trHeight w:val="308"/>
        </w:trPr>
        <w:tc>
          <w:tcPr>
            <w:tcW w:w="7290" w:type="dxa"/>
            <w:tcBorders>
              <w:top w:val="single" w:sz="4" w:space="0" w:color="auto"/>
              <w:left w:val="nil"/>
              <w:bottom w:val="double" w:sz="6" w:space="0" w:color="auto"/>
              <w:right w:val="nil"/>
            </w:tcBorders>
            <w:shd w:val="clear" w:color="auto" w:fill="auto"/>
            <w:noWrap/>
            <w:hideMark/>
          </w:tcPr>
          <w:p w14:paraId="58661ADD" w14:textId="77777777" w:rsidR="00923C70" w:rsidRPr="009E35ED" w:rsidRDefault="00923C70" w:rsidP="00BF4257">
            <w:pPr>
              <w:ind w:left="-108"/>
              <w:jc w:val="left"/>
              <w:rPr>
                <w:rFonts w:ascii="Arial Narrow" w:hAnsi="Arial Narrow" w:cs="Arial"/>
                <w:b/>
                <w:bCs/>
                <w:color w:val="000000" w:themeColor="text1"/>
                <w:sz w:val="22"/>
                <w:szCs w:val="22"/>
                <w:lang w:val="en-PH" w:eastAsia="en-PH"/>
              </w:rPr>
            </w:pPr>
            <w:r w:rsidRPr="009E35ED">
              <w:rPr>
                <w:rFonts w:ascii="Arial Narrow" w:hAnsi="Arial Narrow"/>
                <w:b/>
                <w:bCs/>
                <w:color w:val="000000" w:themeColor="text1"/>
                <w:sz w:val="22"/>
                <w:szCs w:val="22"/>
              </w:rPr>
              <w:t>Restated Amount as of December 31, 2022-Guaranty Letters</w:t>
            </w:r>
          </w:p>
        </w:tc>
        <w:tc>
          <w:tcPr>
            <w:tcW w:w="1416" w:type="dxa"/>
            <w:tcBorders>
              <w:top w:val="single" w:sz="4" w:space="0" w:color="auto"/>
              <w:left w:val="nil"/>
              <w:bottom w:val="double" w:sz="6" w:space="0" w:color="auto"/>
              <w:right w:val="nil"/>
            </w:tcBorders>
            <w:shd w:val="clear" w:color="auto" w:fill="auto"/>
            <w:noWrap/>
            <w:hideMark/>
          </w:tcPr>
          <w:p w14:paraId="60216C85" w14:textId="77777777" w:rsidR="00923C70" w:rsidRPr="009E35ED" w:rsidRDefault="00923C70" w:rsidP="00BF4257">
            <w:pPr>
              <w:ind w:left="0" w:right="-91"/>
              <w:jc w:val="right"/>
              <w:rPr>
                <w:rFonts w:ascii="Arial Narrow" w:hAnsi="Arial Narrow" w:cs="Arial"/>
                <w:b/>
                <w:bCs/>
                <w:color w:val="000000" w:themeColor="text1"/>
                <w:sz w:val="22"/>
                <w:szCs w:val="22"/>
                <w:lang w:val="en-PH" w:eastAsia="en-PH"/>
              </w:rPr>
            </w:pPr>
            <w:r w:rsidRPr="009E35ED">
              <w:rPr>
                <w:rFonts w:ascii="Arial Narrow" w:hAnsi="Arial Narrow"/>
                <w:b/>
                <w:bCs/>
                <w:color w:val="000000" w:themeColor="text1"/>
                <w:sz w:val="22"/>
                <w:szCs w:val="22"/>
              </w:rPr>
              <w:t xml:space="preserve"> 106,635,004 </w:t>
            </w:r>
          </w:p>
        </w:tc>
      </w:tr>
      <w:tr w:rsidR="00923C70" w:rsidRPr="009E35ED" w14:paraId="356C9E81" w14:textId="77777777" w:rsidTr="00BF4257">
        <w:trPr>
          <w:trHeight w:val="293"/>
        </w:trPr>
        <w:tc>
          <w:tcPr>
            <w:tcW w:w="7290" w:type="dxa"/>
            <w:tcBorders>
              <w:top w:val="nil"/>
              <w:left w:val="nil"/>
              <w:bottom w:val="nil"/>
              <w:right w:val="nil"/>
            </w:tcBorders>
            <w:shd w:val="clear" w:color="auto" w:fill="auto"/>
            <w:noWrap/>
            <w:vAlign w:val="bottom"/>
          </w:tcPr>
          <w:p w14:paraId="1217BC81" w14:textId="77777777" w:rsidR="00923C70" w:rsidRPr="009E35ED" w:rsidRDefault="00923C70" w:rsidP="00AD3D41">
            <w:pPr>
              <w:ind w:left="0"/>
              <w:jc w:val="left"/>
              <w:rPr>
                <w:rFonts w:ascii="Arial Narrow" w:hAnsi="Arial Narrow" w:cs="Arial"/>
                <w:color w:val="000000" w:themeColor="text1"/>
                <w:sz w:val="22"/>
                <w:szCs w:val="22"/>
                <w:lang w:val="en-PH" w:eastAsia="en-PH"/>
              </w:rPr>
            </w:pPr>
          </w:p>
        </w:tc>
        <w:tc>
          <w:tcPr>
            <w:tcW w:w="1416" w:type="dxa"/>
            <w:tcBorders>
              <w:top w:val="nil"/>
              <w:left w:val="nil"/>
              <w:bottom w:val="nil"/>
              <w:right w:val="nil"/>
            </w:tcBorders>
            <w:shd w:val="clear" w:color="auto" w:fill="auto"/>
            <w:noWrap/>
            <w:vAlign w:val="bottom"/>
          </w:tcPr>
          <w:p w14:paraId="33A754CA" w14:textId="77777777" w:rsidR="00923C70" w:rsidRPr="009E35ED" w:rsidRDefault="00923C70" w:rsidP="00AD3D41">
            <w:pPr>
              <w:ind w:left="0"/>
              <w:jc w:val="right"/>
              <w:rPr>
                <w:rFonts w:ascii="Arial Narrow" w:hAnsi="Arial Narrow" w:cs="Arial"/>
                <w:color w:val="000000" w:themeColor="text1"/>
                <w:sz w:val="22"/>
                <w:szCs w:val="22"/>
                <w:lang w:val="en-PH" w:eastAsia="en-PH"/>
              </w:rPr>
            </w:pPr>
          </w:p>
        </w:tc>
      </w:tr>
      <w:tr w:rsidR="00997F75" w:rsidRPr="009E35ED" w14:paraId="14D8D51A" w14:textId="77777777" w:rsidTr="00BF4257">
        <w:trPr>
          <w:trHeight w:val="293"/>
        </w:trPr>
        <w:tc>
          <w:tcPr>
            <w:tcW w:w="7290" w:type="dxa"/>
            <w:tcBorders>
              <w:top w:val="nil"/>
              <w:left w:val="nil"/>
              <w:bottom w:val="nil"/>
              <w:right w:val="nil"/>
            </w:tcBorders>
            <w:shd w:val="clear" w:color="auto" w:fill="auto"/>
            <w:noWrap/>
            <w:hideMark/>
          </w:tcPr>
          <w:p w14:paraId="5BD5E28A" w14:textId="702B34D2" w:rsidR="00AC3B68" w:rsidRPr="009E35ED" w:rsidRDefault="00AC3B68" w:rsidP="002F0748">
            <w:pPr>
              <w:keepNext/>
              <w:keepLines/>
              <w:ind w:left="-108"/>
              <w:jc w:val="left"/>
              <w:rPr>
                <w:rFonts w:ascii="Arial Narrow" w:hAnsi="Arial Narrow" w:cs="Arial"/>
                <w:color w:val="000000" w:themeColor="text1"/>
                <w:sz w:val="22"/>
                <w:szCs w:val="22"/>
                <w:lang w:val="en-PH" w:eastAsia="en-PH"/>
              </w:rPr>
            </w:pPr>
            <w:r w:rsidRPr="009E35ED">
              <w:rPr>
                <w:rFonts w:ascii="Arial Narrow" w:hAnsi="Arial Narrow"/>
                <w:color w:val="000000" w:themeColor="text1"/>
                <w:sz w:val="22"/>
                <w:szCs w:val="22"/>
              </w:rPr>
              <w:t>Unrestated</w:t>
            </w:r>
            <w:r w:rsidR="00077932">
              <w:rPr>
                <w:rFonts w:ascii="Arial Narrow" w:hAnsi="Arial Narrow"/>
                <w:color w:val="000000" w:themeColor="text1"/>
                <w:sz w:val="22"/>
                <w:szCs w:val="22"/>
              </w:rPr>
              <w:t xml:space="preserve"> a</w:t>
            </w:r>
            <w:r w:rsidRPr="009E35ED">
              <w:rPr>
                <w:rFonts w:ascii="Arial Narrow" w:hAnsi="Arial Narrow"/>
                <w:color w:val="000000" w:themeColor="text1"/>
                <w:sz w:val="22"/>
                <w:szCs w:val="22"/>
              </w:rPr>
              <w:t>mount as of December 31, 2022</w:t>
            </w:r>
          </w:p>
        </w:tc>
        <w:tc>
          <w:tcPr>
            <w:tcW w:w="1416" w:type="dxa"/>
            <w:tcBorders>
              <w:top w:val="nil"/>
              <w:left w:val="nil"/>
              <w:bottom w:val="nil"/>
              <w:right w:val="nil"/>
            </w:tcBorders>
            <w:shd w:val="clear" w:color="auto" w:fill="auto"/>
            <w:noWrap/>
            <w:hideMark/>
          </w:tcPr>
          <w:p w14:paraId="3760BA53" w14:textId="2066F32F" w:rsidR="00AC3B68" w:rsidRPr="009E35ED" w:rsidRDefault="00AC3B68" w:rsidP="002F0748">
            <w:pPr>
              <w:keepNext/>
              <w:keepLines/>
              <w:ind w:left="0" w:right="-91"/>
              <w:jc w:val="right"/>
              <w:rPr>
                <w:rFonts w:ascii="Arial Narrow" w:hAnsi="Arial Narrow" w:cs="Arial"/>
                <w:color w:val="000000" w:themeColor="text1"/>
                <w:sz w:val="22"/>
                <w:szCs w:val="22"/>
                <w:lang w:val="en-PH" w:eastAsia="en-PH"/>
              </w:rPr>
            </w:pPr>
            <w:r w:rsidRPr="009E35ED">
              <w:rPr>
                <w:rFonts w:ascii="Arial Narrow" w:hAnsi="Arial Narrow"/>
                <w:color w:val="000000" w:themeColor="text1"/>
                <w:sz w:val="22"/>
                <w:szCs w:val="22"/>
              </w:rPr>
              <w:t xml:space="preserve"> 46,558,527 </w:t>
            </w:r>
          </w:p>
        </w:tc>
      </w:tr>
      <w:tr w:rsidR="00997F75" w:rsidRPr="009E35ED" w14:paraId="353524E8" w14:textId="77777777" w:rsidTr="00BF4257">
        <w:trPr>
          <w:trHeight w:val="278"/>
        </w:trPr>
        <w:tc>
          <w:tcPr>
            <w:tcW w:w="7290" w:type="dxa"/>
            <w:tcBorders>
              <w:top w:val="nil"/>
              <w:left w:val="nil"/>
              <w:bottom w:val="nil"/>
              <w:right w:val="nil"/>
            </w:tcBorders>
            <w:shd w:val="clear" w:color="auto" w:fill="auto"/>
            <w:noWrap/>
            <w:hideMark/>
          </w:tcPr>
          <w:p w14:paraId="5D73FCD7" w14:textId="348A71DF" w:rsidR="00AC3B68" w:rsidRPr="009E35ED" w:rsidRDefault="00AC3B68" w:rsidP="002F0748">
            <w:pPr>
              <w:keepNext/>
              <w:keepLines/>
              <w:ind w:left="-108"/>
              <w:jc w:val="left"/>
              <w:rPr>
                <w:rFonts w:ascii="Arial Narrow" w:hAnsi="Arial Narrow" w:cs="Arial"/>
                <w:color w:val="000000" w:themeColor="text1"/>
                <w:sz w:val="22"/>
                <w:szCs w:val="22"/>
                <w:lang w:val="en-PH" w:eastAsia="en-PH"/>
              </w:rPr>
            </w:pPr>
            <w:r w:rsidRPr="009E35ED">
              <w:rPr>
                <w:rFonts w:ascii="Arial Narrow" w:hAnsi="Arial Narrow"/>
                <w:color w:val="000000" w:themeColor="text1"/>
                <w:sz w:val="22"/>
                <w:szCs w:val="22"/>
              </w:rPr>
              <w:t xml:space="preserve">Adjustment/Recording of </w:t>
            </w:r>
            <w:r w:rsidR="00077932">
              <w:rPr>
                <w:rFonts w:ascii="Arial Narrow" w:hAnsi="Arial Narrow"/>
                <w:color w:val="000000" w:themeColor="text1"/>
                <w:sz w:val="22"/>
                <w:szCs w:val="22"/>
              </w:rPr>
              <w:t>p</w:t>
            </w:r>
            <w:r w:rsidRPr="009E35ED">
              <w:rPr>
                <w:rFonts w:ascii="Arial Narrow" w:hAnsi="Arial Narrow"/>
                <w:color w:val="000000" w:themeColor="text1"/>
                <w:sz w:val="22"/>
                <w:szCs w:val="22"/>
              </w:rPr>
              <w:t xml:space="preserve">ersonnel </w:t>
            </w:r>
            <w:r w:rsidR="00077932">
              <w:rPr>
                <w:rFonts w:ascii="Arial Narrow" w:hAnsi="Arial Narrow"/>
                <w:color w:val="000000" w:themeColor="text1"/>
                <w:sz w:val="22"/>
                <w:szCs w:val="22"/>
              </w:rPr>
              <w:t>e</w:t>
            </w:r>
            <w:r w:rsidRPr="009E35ED">
              <w:rPr>
                <w:rFonts w:ascii="Arial Narrow" w:hAnsi="Arial Narrow"/>
                <w:color w:val="000000" w:themeColor="text1"/>
                <w:sz w:val="22"/>
                <w:szCs w:val="22"/>
              </w:rPr>
              <w:t>xpenses-</w:t>
            </w:r>
            <w:r w:rsidR="00077932">
              <w:rPr>
                <w:rFonts w:ascii="Arial Narrow" w:hAnsi="Arial Narrow"/>
                <w:color w:val="000000" w:themeColor="text1"/>
                <w:sz w:val="22"/>
                <w:szCs w:val="22"/>
              </w:rPr>
              <w:t>b</w:t>
            </w:r>
            <w:r w:rsidRPr="009E35ED">
              <w:rPr>
                <w:rFonts w:ascii="Arial Narrow" w:hAnsi="Arial Narrow"/>
                <w:color w:val="000000" w:themeColor="text1"/>
                <w:sz w:val="22"/>
                <w:szCs w:val="22"/>
              </w:rPr>
              <w:t>ranch</w:t>
            </w:r>
          </w:p>
        </w:tc>
        <w:tc>
          <w:tcPr>
            <w:tcW w:w="1416" w:type="dxa"/>
            <w:tcBorders>
              <w:top w:val="nil"/>
              <w:left w:val="nil"/>
              <w:bottom w:val="nil"/>
              <w:right w:val="nil"/>
            </w:tcBorders>
            <w:shd w:val="clear" w:color="auto" w:fill="auto"/>
            <w:noWrap/>
            <w:hideMark/>
          </w:tcPr>
          <w:p w14:paraId="45B7BF5D" w14:textId="2075901C" w:rsidR="00AC3B68" w:rsidRPr="009E35ED" w:rsidRDefault="00AC3B68" w:rsidP="002F0748">
            <w:pPr>
              <w:keepNext/>
              <w:keepLines/>
              <w:ind w:left="0" w:right="-91"/>
              <w:jc w:val="right"/>
              <w:rPr>
                <w:rFonts w:ascii="Arial Narrow" w:hAnsi="Arial Narrow" w:cs="Arial"/>
                <w:color w:val="000000" w:themeColor="text1"/>
                <w:sz w:val="22"/>
                <w:szCs w:val="22"/>
                <w:lang w:val="en-PH" w:eastAsia="en-PH"/>
              </w:rPr>
            </w:pPr>
            <w:r w:rsidRPr="009E35ED">
              <w:rPr>
                <w:rFonts w:ascii="Arial Narrow" w:hAnsi="Arial Narrow"/>
                <w:color w:val="000000" w:themeColor="text1"/>
                <w:sz w:val="22"/>
                <w:szCs w:val="22"/>
              </w:rPr>
              <w:t xml:space="preserve"> 30,283 </w:t>
            </w:r>
          </w:p>
        </w:tc>
      </w:tr>
      <w:tr w:rsidR="00997F75" w:rsidRPr="009E35ED" w14:paraId="5F3FD5D7" w14:textId="77777777" w:rsidTr="00BF4257">
        <w:trPr>
          <w:trHeight w:val="278"/>
        </w:trPr>
        <w:tc>
          <w:tcPr>
            <w:tcW w:w="7290" w:type="dxa"/>
            <w:tcBorders>
              <w:top w:val="nil"/>
              <w:left w:val="nil"/>
              <w:bottom w:val="nil"/>
              <w:right w:val="nil"/>
            </w:tcBorders>
            <w:shd w:val="clear" w:color="auto" w:fill="auto"/>
            <w:noWrap/>
            <w:hideMark/>
          </w:tcPr>
          <w:p w14:paraId="52D5B51E" w14:textId="47D40613" w:rsidR="00AC3B68" w:rsidRPr="009E35ED" w:rsidRDefault="00AC3B68" w:rsidP="002F0748">
            <w:pPr>
              <w:keepNext/>
              <w:keepLines/>
              <w:ind w:left="-108"/>
              <w:jc w:val="left"/>
              <w:rPr>
                <w:rFonts w:ascii="Arial Narrow" w:hAnsi="Arial Narrow" w:cs="Arial"/>
                <w:color w:val="000000" w:themeColor="text1"/>
                <w:sz w:val="22"/>
                <w:szCs w:val="22"/>
                <w:lang w:val="en-PH" w:eastAsia="en-PH"/>
              </w:rPr>
            </w:pPr>
            <w:r w:rsidRPr="009E35ED">
              <w:rPr>
                <w:rFonts w:ascii="Arial Narrow" w:hAnsi="Arial Narrow"/>
                <w:color w:val="000000" w:themeColor="text1"/>
                <w:sz w:val="22"/>
                <w:szCs w:val="22"/>
              </w:rPr>
              <w:t xml:space="preserve">Adjustment/Recording of </w:t>
            </w:r>
            <w:r w:rsidR="00077932">
              <w:rPr>
                <w:rFonts w:ascii="Arial Narrow" w:hAnsi="Arial Narrow"/>
                <w:color w:val="000000" w:themeColor="text1"/>
                <w:sz w:val="22"/>
                <w:szCs w:val="22"/>
              </w:rPr>
              <w:t>p</w:t>
            </w:r>
            <w:r w:rsidRPr="009E35ED">
              <w:rPr>
                <w:rFonts w:ascii="Arial Narrow" w:hAnsi="Arial Narrow"/>
                <w:color w:val="000000" w:themeColor="text1"/>
                <w:sz w:val="22"/>
                <w:szCs w:val="22"/>
              </w:rPr>
              <w:t xml:space="preserve">ersonnel </w:t>
            </w:r>
            <w:r w:rsidR="00077932">
              <w:rPr>
                <w:rFonts w:ascii="Arial Narrow" w:hAnsi="Arial Narrow"/>
                <w:color w:val="000000" w:themeColor="text1"/>
                <w:sz w:val="22"/>
                <w:szCs w:val="22"/>
              </w:rPr>
              <w:t>e</w:t>
            </w:r>
            <w:r w:rsidRPr="009E35ED">
              <w:rPr>
                <w:rFonts w:ascii="Arial Narrow" w:hAnsi="Arial Narrow"/>
                <w:color w:val="000000" w:themeColor="text1"/>
                <w:sz w:val="22"/>
                <w:szCs w:val="22"/>
              </w:rPr>
              <w:t>xpenses-</w:t>
            </w:r>
            <w:r w:rsidR="00077932">
              <w:rPr>
                <w:rFonts w:ascii="Arial Narrow" w:hAnsi="Arial Narrow"/>
                <w:color w:val="000000" w:themeColor="text1"/>
                <w:sz w:val="22"/>
                <w:szCs w:val="22"/>
              </w:rPr>
              <w:t>h</w:t>
            </w:r>
            <w:r w:rsidRPr="009E35ED">
              <w:rPr>
                <w:rFonts w:ascii="Arial Narrow" w:hAnsi="Arial Narrow"/>
                <w:color w:val="000000" w:themeColor="text1"/>
                <w:sz w:val="22"/>
                <w:szCs w:val="22"/>
              </w:rPr>
              <w:t xml:space="preserve">ead </w:t>
            </w:r>
            <w:r w:rsidR="00077932">
              <w:rPr>
                <w:rFonts w:ascii="Arial Narrow" w:hAnsi="Arial Narrow"/>
                <w:color w:val="000000" w:themeColor="text1"/>
                <w:sz w:val="22"/>
                <w:szCs w:val="22"/>
              </w:rPr>
              <w:t>o</w:t>
            </w:r>
            <w:r w:rsidRPr="009E35ED">
              <w:rPr>
                <w:rFonts w:ascii="Arial Narrow" w:hAnsi="Arial Narrow"/>
                <w:color w:val="000000" w:themeColor="text1"/>
                <w:sz w:val="22"/>
                <w:szCs w:val="22"/>
              </w:rPr>
              <w:t>ffice</w:t>
            </w:r>
          </w:p>
        </w:tc>
        <w:tc>
          <w:tcPr>
            <w:tcW w:w="1416" w:type="dxa"/>
            <w:tcBorders>
              <w:top w:val="nil"/>
              <w:left w:val="nil"/>
              <w:bottom w:val="nil"/>
              <w:right w:val="nil"/>
            </w:tcBorders>
            <w:shd w:val="clear" w:color="auto" w:fill="auto"/>
            <w:noWrap/>
            <w:hideMark/>
          </w:tcPr>
          <w:p w14:paraId="6B921BC2" w14:textId="2D126E61" w:rsidR="00AC3B68" w:rsidRPr="009E35ED" w:rsidRDefault="00AC3B68" w:rsidP="002F0748">
            <w:pPr>
              <w:keepNext/>
              <w:keepLines/>
              <w:ind w:left="0" w:right="-91"/>
              <w:jc w:val="right"/>
              <w:rPr>
                <w:rFonts w:ascii="Arial Narrow" w:hAnsi="Arial Narrow" w:cs="Arial"/>
                <w:color w:val="000000" w:themeColor="text1"/>
                <w:sz w:val="22"/>
                <w:szCs w:val="22"/>
                <w:lang w:val="en-PH" w:eastAsia="en-PH"/>
              </w:rPr>
            </w:pPr>
            <w:r w:rsidRPr="009E35ED">
              <w:rPr>
                <w:rFonts w:ascii="Arial Narrow" w:hAnsi="Arial Narrow"/>
                <w:color w:val="000000" w:themeColor="text1"/>
                <w:sz w:val="22"/>
                <w:szCs w:val="22"/>
              </w:rPr>
              <w:t xml:space="preserve"> 4,067,332 </w:t>
            </w:r>
          </w:p>
        </w:tc>
      </w:tr>
      <w:tr w:rsidR="00997F75" w:rsidRPr="009E35ED" w14:paraId="2A537DDB" w14:textId="77777777" w:rsidTr="00BF4257">
        <w:trPr>
          <w:trHeight w:val="278"/>
        </w:trPr>
        <w:tc>
          <w:tcPr>
            <w:tcW w:w="7290" w:type="dxa"/>
            <w:tcBorders>
              <w:top w:val="nil"/>
              <w:left w:val="nil"/>
              <w:bottom w:val="nil"/>
              <w:right w:val="nil"/>
            </w:tcBorders>
            <w:shd w:val="clear" w:color="auto" w:fill="auto"/>
            <w:noWrap/>
            <w:hideMark/>
          </w:tcPr>
          <w:p w14:paraId="2EFB7664" w14:textId="6DE4914F" w:rsidR="00AC3B68" w:rsidRPr="009E35ED" w:rsidRDefault="00AC3B68" w:rsidP="002F0748">
            <w:pPr>
              <w:keepNext/>
              <w:keepLines/>
              <w:ind w:left="-108"/>
              <w:jc w:val="left"/>
              <w:rPr>
                <w:rFonts w:ascii="Arial Narrow" w:hAnsi="Arial Narrow" w:cs="Arial"/>
                <w:color w:val="000000" w:themeColor="text1"/>
                <w:sz w:val="22"/>
                <w:szCs w:val="22"/>
                <w:lang w:val="en-PH" w:eastAsia="en-PH"/>
              </w:rPr>
            </w:pPr>
            <w:r w:rsidRPr="009E35ED">
              <w:rPr>
                <w:rFonts w:ascii="Arial Narrow" w:hAnsi="Arial Narrow"/>
                <w:color w:val="000000" w:themeColor="text1"/>
                <w:sz w:val="22"/>
                <w:szCs w:val="22"/>
              </w:rPr>
              <w:t xml:space="preserve">Adjustment/Recording of </w:t>
            </w:r>
            <w:r w:rsidR="00077932">
              <w:rPr>
                <w:rFonts w:ascii="Arial Narrow" w:hAnsi="Arial Narrow"/>
                <w:color w:val="000000" w:themeColor="text1"/>
                <w:sz w:val="22"/>
                <w:szCs w:val="22"/>
              </w:rPr>
              <w:t>m</w:t>
            </w:r>
            <w:r w:rsidRPr="009E35ED">
              <w:rPr>
                <w:rFonts w:ascii="Arial Narrow" w:hAnsi="Arial Narrow"/>
                <w:color w:val="000000" w:themeColor="text1"/>
                <w:sz w:val="22"/>
                <w:szCs w:val="22"/>
              </w:rPr>
              <w:t xml:space="preserve">aintenance and </w:t>
            </w:r>
            <w:r w:rsidR="00077932">
              <w:rPr>
                <w:rFonts w:ascii="Arial Narrow" w:hAnsi="Arial Narrow"/>
                <w:color w:val="000000" w:themeColor="text1"/>
                <w:sz w:val="22"/>
                <w:szCs w:val="22"/>
              </w:rPr>
              <w:t>o</w:t>
            </w:r>
            <w:r w:rsidRPr="009E35ED">
              <w:rPr>
                <w:rFonts w:ascii="Arial Narrow" w:hAnsi="Arial Narrow"/>
                <w:color w:val="000000" w:themeColor="text1"/>
                <w:sz w:val="22"/>
                <w:szCs w:val="22"/>
              </w:rPr>
              <w:t xml:space="preserve">ther </w:t>
            </w:r>
            <w:r w:rsidR="00077932">
              <w:rPr>
                <w:rFonts w:ascii="Arial Narrow" w:hAnsi="Arial Narrow"/>
                <w:color w:val="000000" w:themeColor="text1"/>
                <w:sz w:val="22"/>
                <w:szCs w:val="22"/>
              </w:rPr>
              <w:t>o</w:t>
            </w:r>
            <w:r w:rsidRPr="009E35ED">
              <w:rPr>
                <w:rFonts w:ascii="Arial Narrow" w:hAnsi="Arial Narrow"/>
                <w:color w:val="000000" w:themeColor="text1"/>
                <w:sz w:val="22"/>
                <w:szCs w:val="22"/>
              </w:rPr>
              <w:t xml:space="preserve">perating </w:t>
            </w:r>
            <w:r w:rsidR="00077932">
              <w:rPr>
                <w:rFonts w:ascii="Arial Narrow" w:hAnsi="Arial Narrow"/>
                <w:color w:val="000000" w:themeColor="text1"/>
                <w:sz w:val="22"/>
                <w:szCs w:val="22"/>
              </w:rPr>
              <w:t>e</w:t>
            </w:r>
            <w:r w:rsidRPr="009E35ED">
              <w:rPr>
                <w:rFonts w:ascii="Arial Narrow" w:hAnsi="Arial Narrow"/>
                <w:color w:val="000000" w:themeColor="text1"/>
                <w:sz w:val="22"/>
                <w:szCs w:val="22"/>
              </w:rPr>
              <w:t>xpenses-</w:t>
            </w:r>
            <w:r w:rsidR="00077932">
              <w:rPr>
                <w:rFonts w:ascii="Arial Narrow" w:hAnsi="Arial Narrow"/>
                <w:color w:val="000000" w:themeColor="text1"/>
                <w:sz w:val="22"/>
                <w:szCs w:val="22"/>
              </w:rPr>
              <w:t>b</w:t>
            </w:r>
            <w:r w:rsidRPr="009E35ED">
              <w:rPr>
                <w:rFonts w:ascii="Arial Narrow" w:hAnsi="Arial Narrow"/>
                <w:color w:val="000000" w:themeColor="text1"/>
                <w:sz w:val="22"/>
                <w:szCs w:val="22"/>
              </w:rPr>
              <w:t>ranch</w:t>
            </w:r>
          </w:p>
        </w:tc>
        <w:tc>
          <w:tcPr>
            <w:tcW w:w="1416" w:type="dxa"/>
            <w:tcBorders>
              <w:top w:val="nil"/>
              <w:left w:val="nil"/>
              <w:bottom w:val="nil"/>
              <w:right w:val="nil"/>
            </w:tcBorders>
            <w:shd w:val="clear" w:color="auto" w:fill="auto"/>
            <w:noWrap/>
            <w:hideMark/>
          </w:tcPr>
          <w:p w14:paraId="7FF9B9A2" w14:textId="1304A13A" w:rsidR="00AC3B68" w:rsidRPr="009E35ED" w:rsidRDefault="00AC3B68" w:rsidP="002F0748">
            <w:pPr>
              <w:keepNext/>
              <w:keepLines/>
              <w:ind w:left="0" w:right="-91"/>
              <w:jc w:val="right"/>
              <w:rPr>
                <w:rFonts w:ascii="Arial Narrow" w:hAnsi="Arial Narrow" w:cs="Arial"/>
                <w:color w:val="000000" w:themeColor="text1"/>
                <w:sz w:val="22"/>
                <w:szCs w:val="22"/>
                <w:lang w:val="en-PH" w:eastAsia="en-PH"/>
              </w:rPr>
            </w:pPr>
            <w:r w:rsidRPr="009E35ED">
              <w:rPr>
                <w:rFonts w:ascii="Arial Narrow" w:hAnsi="Arial Narrow"/>
                <w:color w:val="000000" w:themeColor="text1"/>
                <w:sz w:val="22"/>
                <w:szCs w:val="22"/>
              </w:rPr>
              <w:t xml:space="preserve"> 3,993 </w:t>
            </w:r>
          </w:p>
        </w:tc>
      </w:tr>
      <w:tr w:rsidR="00997F75" w:rsidRPr="009E35ED" w14:paraId="07B186A2" w14:textId="77777777" w:rsidTr="00BF4257">
        <w:trPr>
          <w:trHeight w:val="278"/>
        </w:trPr>
        <w:tc>
          <w:tcPr>
            <w:tcW w:w="7290" w:type="dxa"/>
            <w:tcBorders>
              <w:top w:val="nil"/>
              <w:left w:val="nil"/>
              <w:bottom w:val="nil"/>
              <w:right w:val="nil"/>
            </w:tcBorders>
            <w:shd w:val="clear" w:color="auto" w:fill="auto"/>
            <w:noWrap/>
            <w:hideMark/>
          </w:tcPr>
          <w:p w14:paraId="600FF3BA" w14:textId="4AFDBD3A" w:rsidR="00AC3B68" w:rsidRPr="009E35ED" w:rsidRDefault="00AC3B68" w:rsidP="002F0748">
            <w:pPr>
              <w:keepNext/>
              <w:keepLines/>
              <w:ind w:left="-108"/>
              <w:jc w:val="left"/>
              <w:rPr>
                <w:rFonts w:ascii="Arial Narrow" w:hAnsi="Arial Narrow" w:cs="Arial"/>
                <w:color w:val="000000" w:themeColor="text1"/>
                <w:sz w:val="22"/>
                <w:szCs w:val="22"/>
                <w:lang w:val="en-PH" w:eastAsia="en-PH"/>
              </w:rPr>
            </w:pPr>
            <w:r w:rsidRPr="009E35ED">
              <w:rPr>
                <w:rFonts w:ascii="Arial Narrow" w:hAnsi="Arial Narrow"/>
                <w:color w:val="000000" w:themeColor="text1"/>
                <w:sz w:val="22"/>
                <w:szCs w:val="22"/>
              </w:rPr>
              <w:t xml:space="preserve">Adjustment/Recording of </w:t>
            </w:r>
            <w:r w:rsidR="00077932">
              <w:rPr>
                <w:rFonts w:ascii="Arial Narrow" w:hAnsi="Arial Narrow"/>
                <w:color w:val="000000" w:themeColor="text1"/>
                <w:sz w:val="22"/>
                <w:szCs w:val="22"/>
              </w:rPr>
              <w:t>m</w:t>
            </w:r>
            <w:r w:rsidRPr="009E35ED">
              <w:rPr>
                <w:rFonts w:ascii="Arial Narrow" w:hAnsi="Arial Narrow"/>
                <w:color w:val="000000" w:themeColor="text1"/>
                <w:sz w:val="22"/>
                <w:szCs w:val="22"/>
              </w:rPr>
              <w:t xml:space="preserve">aintenance and </w:t>
            </w:r>
            <w:r w:rsidR="00077932">
              <w:rPr>
                <w:rFonts w:ascii="Arial Narrow" w:hAnsi="Arial Narrow"/>
                <w:color w:val="000000" w:themeColor="text1"/>
                <w:sz w:val="22"/>
                <w:szCs w:val="22"/>
              </w:rPr>
              <w:t>o</w:t>
            </w:r>
            <w:r w:rsidRPr="009E35ED">
              <w:rPr>
                <w:rFonts w:ascii="Arial Narrow" w:hAnsi="Arial Narrow"/>
                <w:color w:val="000000" w:themeColor="text1"/>
                <w:sz w:val="22"/>
                <w:szCs w:val="22"/>
              </w:rPr>
              <w:t xml:space="preserve">ther </w:t>
            </w:r>
            <w:r w:rsidR="00077932">
              <w:rPr>
                <w:rFonts w:ascii="Arial Narrow" w:hAnsi="Arial Narrow"/>
                <w:color w:val="000000" w:themeColor="text1"/>
                <w:sz w:val="22"/>
                <w:szCs w:val="22"/>
              </w:rPr>
              <w:t>o</w:t>
            </w:r>
            <w:r w:rsidRPr="009E35ED">
              <w:rPr>
                <w:rFonts w:ascii="Arial Narrow" w:hAnsi="Arial Narrow"/>
                <w:color w:val="000000" w:themeColor="text1"/>
                <w:sz w:val="22"/>
                <w:szCs w:val="22"/>
              </w:rPr>
              <w:t xml:space="preserve">perating </w:t>
            </w:r>
            <w:r w:rsidR="00077932">
              <w:rPr>
                <w:rFonts w:ascii="Arial Narrow" w:hAnsi="Arial Narrow"/>
                <w:color w:val="000000" w:themeColor="text1"/>
                <w:sz w:val="22"/>
                <w:szCs w:val="22"/>
              </w:rPr>
              <w:t>e</w:t>
            </w:r>
            <w:r w:rsidRPr="009E35ED">
              <w:rPr>
                <w:rFonts w:ascii="Arial Narrow" w:hAnsi="Arial Narrow"/>
                <w:color w:val="000000" w:themeColor="text1"/>
                <w:sz w:val="22"/>
                <w:szCs w:val="22"/>
              </w:rPr>
              <w:t>xpenses-</w:t>
            </w:r>
            <w:r w:rsidR="00077932">
              <w:rPr>
                <w:rFonts w:ascii="Arial Narrow" w:hAnsi="Arial Narrow"/>
                <w:color w:val="000000" w:themeColor="text1"/>
                <w:sz w:val="22"/>
                <w:szCs w:val="22"/>
              </w:rPr>
              <w:t>h</w:t>
            </w:r>
            <w:r w:rsidRPr="009E35ED">
              <w:rPr>
                <w:rFonts w:ascii="Arial Narrow" w:hAnsi="Arial Narrow"/>
                <w:color w:val="000000" w:themeColor="text1"/>
                <w:sz w:val="22"/>
                <w:szCs w:val="22"/>
              </w:rPr>
              <w:t xml:space="preserve">ead </w:t>
            </w:r>
            <w:r w:rsidR="00077932">
              <w:rPr>
                <w:rFonts w:ascii="Arial Narrow" w:hAnsi="Arial Narrow"/>
                <w:color w:val="000000" w:themeColor="text1"/>
                <w:sz w:val="22"/>
                <w:szCs w:val="22"/>
              </w:rPr>
              <w:t>o</w:t>
            </w:r>
            <w:r w:rsidRPr="009E35ED">
              <w:rPr>
                <w:rFonts w:ascii="Arial Narrow" w:hAnsi="Arial Narrow"/>
                <w:color w:val="000000" w:themeColor="text1"/>
                <w:sz w:val="22"/>
                <w:szCs w:val="22"/>
              </w:rPr>
              <w:t>ffice</w:t>
            </w:r>
          </w:p>
        </w:tc>
        <w:tc>
          <w:tcPr>
            <w:tcW w:w="1416" w:type="dxa"/>
            <w:tcBorders>
              <w:top w:val="nil"/>
              <w:left w:val="nil"/>
              <w:bottom w:val="nil"/>
              <w:right w:val="nil"/>
            </w:tcBorders>
            <w:shd w:val="clear" w:color="auto" w:fill="auto"/>
            <w:noWrap/>
            <w:hideMark/>
          </w:tcPr>
          <w:p w14:paraId="5F06171C" w14:textId="1B017E36" w:rsidR="00AC3B68" w:rsidRPr="009E35ED" w:rsidRDefault="00AC3B68" w:rsidP="002F0748">
            <w:pPr>
              <w:keepNext/>
              <w:keepLines/>
              <w:ind w:left="0" w:right="-91"/>
              <w:jc w:val="right"/>
              <w:rPr>
                <w:rFonts w:ascii="Arial Narrow" w:hAnsi="Arial Narrow" w:cs="Arial"/>
                <w:color w:val="000000" w:themeColor="text1"/>
                <w:sz w:val="22"/>
                <w:szCs w:val="22"/>
                <w:lang w:val="en-PH" w:eastAsia="en-PH"/>
              </w:rPr>
            </w:pPr>
            <w:r w:rsidRPr="009E35ED">
              <w:rPr>
                <w:rFonts w:ascii="Arial Narrow" w:hAnsi="Arial Narrow"/>
                <w:color w:val="000000" w:themeColor="text1"/>
                <w:sz w:val="22"/>
                <w:szCs w:val="22"/>
              </w:rPr>
              <w:t xml:space="preserve"> 39,377,887 </w:t>
            </w:r>
          </w:p>
        </w:tc>
      </w:tr>
      <w:tr w:rsidR="00997F75" w:rsidRPr="009E35ED" w14:paraId="1063CC3B" w14:textId="77777777" w:rsidTr="00BF4257">
        <w:trPr>
          <w:trHeight w:val="308"/>
        </w:trPr>
        <w:tc>
          <w:tcPr>
            <w:tcW w:w="7290" w:type="dxa"/>
            <w:tcBorders>
              <w:top w:val="single" w:sz="4" w:space="0" w:color="auto"/>
              <w:left w:val="nil"/>
              <w:bottom w:val="double" w:sz="6" w:space="0" w:color="auto"/>
              <w:right w:val="nil"/>
            </w:tcBorders>
            <w:shd w:val="clear" w:color="auto" w:fill="auto"/>
            <w:noWrap/>
            <w:hideMark/>
          </w:tcPr>
          <w:p w14:paraId="4086B930" w14:textId="387B177B" w:rsidR="00AC3B68" w:rsidRPr="009E35ED" w:rsidRDefault="00AC3B68" w:rsidP="002F0748">
            <w:pPr>
              <w:keepNext/>
              <w:keepLines/>
              <w:ind w:left="-108"/>
              <w:jc w:val="left"/>
              <w:rPr>
                <w:rFonts w:ascii="Arial Narrow" w:hAnsi="Arial Narrow" w:cs="Arial"/>
                <w:b/>
                <w:bCs/>
                <w:color w:val="000000" w:themeColor="text1"/>
                <w:sz w:val="22"/>
                <w:szCs w:val="22"/>
                <w:lang w:val="en-PH" w:eastAsia="en-PH"/>
              </w:rPr>
            </w:pPr>
            <w:r w:rsidRPr="009E35ED">
              <w:rPr>
                <w:rFonts w:ascii="Arial Narrow" w:hAnsi="Arial Narrow"/>
                <w:b/>
                <w:bCs/>
                <w:color w:val="000000" w:themeColor="text1"/>
                <w:sz w:val="22"/>
                <w:szCs w:val="22"/>
              </w:rPr>
              <w:t>Restated Amount as of December 31, 2022-Vouchers Payable-Operating Fund</w:t>
            </w:r>
          </w:p>
        </w:tc>
        <w:tc>
          <w:tcPr>
            <w:tcW w:w="1416" w:type="dxa"/>
            <w:tcBorders>
              <w:top w:val="single" w:sz="4" w:space="0" w:color="auto"/>
              <w:left w:val="nil"/>
              <w:bottom w:val="double" w:sz="6" w:space="0" w:color="auto"/>
              <w:right w:val="nil"/>
            </w:tcBorders>
            <w:shd w:val="clear" w:color="auto" w:fill="auto"/>
            <w:noWrap/>
            <w:hideMark/>
          </w:tcPr>
          <w:p w14:paraId="0B7B3318" w14:textId="57F4F743" w:rsidR="00AC3B68" w:rsidRPr="009E35ED" w:rsidRDefault="00AC3B68" w:rsidP="002F0748">
            <w:pPr>
              <w:keepNext/>
              <w:keepLines/>
              <w:ind w:left="0" w:right="-91"/>
              <w:jc w:val="right"/>
              <w:rPr>
                <w:rFonts w:ascii="Arial Narrow" w:hAnsi="Arial Narrow" w:cs="Arial"/>
                <w:b/>
                <w:bCs/>
                <w:color w:val="000000" w:themeColor="text1"/>
                <w:sz w:val="22"/>
                <w:szCs w:val="22"/>
                <w:lang w:val="en-PH" w:eastAsia="en-PH"/>
              </w:rPr>
            </w:pPr>
            <w:r w:rsidRPr="009E35ED">
              <w:rPr>
                <w:rFonts w:ascii="Arial Narrow" w:hAnsi="Arial Narrow"/>
                <w:b/>
                <w:bCs/>
                <w:color w:val="000000" w:themeColor="text1"/>
                <w:sz w:val="22"/>
                <w:szCs w:val="22"/>
              </w:rPr>
              <w:t xml:space="preserve"> 90,038,022 </w:t>
            </w:r>
          </w:p>
        </w:tc>
      </w:tr>
      <w:tr w:rsidR="00997F75" w:rsidRPr="009E35ED" w14:paraId="5C9C48B8" w14:textId="77777777" w:rsidTr="00BF4257">
        <w:trPr>
          <w:trHeight w:val="308"/>
        </w:trPr>
        <w:tc>
          <w:tcPr>
            <w:tcW w:w="7290" w:type="dxa"/>
            <w:tcBorders>
              <w:top w:val="nil"/>
              <w:left w:val="nil"/>
              <w:bottom w:val="nil"/>
              <w:right w:val="nil"/>
            </w:tcBorders>
            <w:shd w:val="clear" w:color="auto" w:fill="auto"/>
            <w:noWrap/>
            <w:vAlign w:val="bottom"/>
            <w:hideMark/>
          </w:tcPr>
          <w:p w14:paraId="5F9EA2DD" w14:textId="6381C02D" w:rsidR="00AA29C9" w:rsidRPr="009E35ED" w:rsidRDefault="00AA29C9" w:rsidP="00054D95">
            <w:pPr>
              <w:ind w:left="0"/>
              <w:jc w:val="left"/>
              <w:rPr>
                <w:rFonts w:ascii="Arial Narrow" w:hAnsi="Arial Narrow" w:cs="Arial"/>
                <w:b/>
                <w:bCs/>
                <w:color w:val="000000" w:themeColor="text1"/>
                <w:sz w:val="22"/>
                <w:szCs w:val="22"/>
                <w:lang w:val="en-PH" w:eastAsia="en-PH"/>
              </w:rPr>
            </w:pPr>
          </w:p>
        </w:tc>
        <w:tc>
          <w:tcPr>
            <w:tcW w:w="1416" w:type="dxa"/>
            <w:tcBorders>
              <w:top w:val="nil"/>
              <w:left w:val="nil"/>
              <w:bottom w:val="nil"/>
              <w:right w:val="nil"/>
            </w:tcBorders>
            <w:shd w:val="clear" w:color="auto" w:fill="auto"/>
            <w:noWrap/>
            <w:vAlign w:val="bottom"/>
            <w:hideMark/>
          </w:tcPr>
          <w:p w14:paraId="63DAD14C" w14:textId="77777777" w:rsidR="00054D95" w:rsidRPr="009E35ED" w:rsidRDefault="00054D95" w:rsidP="00054D95">
            <w:pPr>
              <w:ind w:left="0"/>
              <w:jc w:val="right"/>
              <w:rPr>
                <w:rFonts w:ascii="Arial Narrow" w:hAnsi="Arial Narrow"/>
                <w:color w:val="000000" w:themeColor="text1"/>
                <w:sz w:val="22"/>
                <w:szCs w:val="22"/>
                <w:lang w:val="en-PH" w:eastAsia="en-PH"/>
              </w:rPr>
            </w:pPr>
          </w:p>
        </w:tc>
      </w:tr>
      <w:tr w:rsidR="00997F75" w:rsidRPr="009E35ED" w14:paraId="3B9B79D7" w14:textId="77777777" w:rsidTr="00BF4257">
        <w:trPr>
          <w:trHeight w:val="293"/>
        </w:trPr>
        <w:tc>
          <w:tcPr>
            <w:tcW w:w="7290" w:type="dxa"/>
            <w:tcBorders>
              <w:top w:val="nil"/>
              <w:left w:val="nil"/>
              <w:bottom w:val="nil"/>
              <w:right w:val="nil"/>
            </w:tcBorders>
            <w:shd w:val="clear" w:color="auto" w:fill="auto"/>
            <w:noWrap/>
            <w:hideMark/>
          </w:tcPr>
          <w:p w14:paraId="729E9B33" w14:textId="03513783" w:rsidR="006D2B17" w:rsidRPr="009E35ED" w:rsidRDefault="006D2B17" w:rsidP="00BF4257">
            <w:pPr>
              <w:ind w:left="-108"/>
              <w:jc w:val="left"/>
              <w:rPr>
                <w:rFonts w:ascii="Arial Narrow" w:hAnsi="Arial Narrow" w:cs="Arial"/>
                <w:color w:val="000000" w:themeColor="text1"/>
                <w:sz w:val="22"/>
                <w:szCs w:val="22"/>
                <w:lang w:val="en-PH" w:eastAsia="en-PH"/>
              </w:rPr>
            </w:pPr>
            <w:r w:rsidRPr="009E35ED">
              <w:rPr>
                <w:rFonts w:ascii="Arial Narrow" w:hAnsi="Arial Narrow"/>
                <w:color w:val="000000" w:themeColor="text1"/>
                <w:sz w:val="22"/>
                <w:szCs w:val="22"/>
              </w:rPr>
              <w:t xml:space="preserve">Unrestated </w:t>
            </w:r>
            <w:r w:rsidR="00077932">
              <w:rPr>
                <w:rFonts w:ascii="Arial Narrow" w:hAnsi="Arial Narrow"/>
                <w:color w:val="000000" w:themeColor="text1"/>
                <w:sz w:val="22"/>
                <w:szCs w:val="22"/>
              </w:rPr>
              <w:t>a</w:t>
            </w:r>
            <w:r w:rsidRPr="009E35ED">
              <w:rPr>
                <w:rFonts w:ascii="Arial Narrow" w:hAnsi="Arial Narrow"/>
                <w:color w:val="000000" w:themeColor="text1"/>
                <w:sz w:val="22"/>
                <w:szCs w:val="22"/>
              </w:rPr>
              <w:t>mount as of December 31, 2022</w:t>
            </w:r>
          </w:p>
        </w:tc>
        <w:tc>
          <w:tcPr>
            <w:tcW w:w="1416" w:type="dxa"/>
            <w:tcBorders>
              <w:top w:val="nil"/>
              <w:left w:val="nil"/>
              <w:bottom w:val="nil"/>
              <w:right w:val="nil"/>
            </w:tcBorders>
            <w:shd w:val="clear" w:color="auto" w:fill="auto"/>
            <w:noWrap/>
            <w:hideMark/>
          </w:tcPr>
          <w:p w14:paraId="49B4E3FF" w14:textId="3DB38079" w:rsidR="006D2B17" w:rsidRPr="009E35ED" w:rsidRDefault="006D2B17" w:rsidP="00BF4257">
            <w:pPr>
              <w:ind w:left="0" w:right="-91"/>
              <w:jc w:val="right"/>
              <w:rPr>
                <w:rFonts w:ascii="Arial Narrow" w:hAnsi="Arial Narrow" w:cs="Arial"/>
                <w:color w:val="000000" w:themeColor="text1"/>
                <w:sz w:val="22"/>
                <w:szCs w:val="22"/>
                <w:lang w:val="en-PH" w:eastAsia="en-PH"/>
              </w:rPr>
            </w:pPr>
            <w:r w:rsidRPr="009E35ED">
              <w:rPr>
                <w:rFonts w:ascii="Arial Narrow" w:hAnsi="Arial Narrow"/>
                <w:color w:val="000000" w:themeColor="text1"/>
                <w:sz w:val="22"/>
                <w:szCs w:val="22"/>
              </w:rPr>
              <w:t xml:space="preserve"> 15,281,396 </w:t>
            </w:r>
          </w:p>
        </w:tc>
      </w:tr>
      <w:tr w:rsidR="00997F75" w:rsidRPr="009E35ED" w14:paraId="0B5B2C15" w14:textId="77777777" w:rsidTr="00BF4257">
        <w:trPr>
          <w:trHeight w:val="278"/>
        </w:trPr>
        <w:tc>
          <w:tcPr>
            <w:tcW w:w="7290" w:type="dxa"/>
            <w:tcBorders>
              <w:top w:val="nil"/>
              <w:left w:val="nil"/>
              <w:bottom w:val="nil"/>
              <w:right w:val="nil"/>
            </w:tcBorders>
            <w:shd w:val="clear" w:color="auto" w:fill="auto"/>
            <w:noWrap/>
            <w:hideMark/>
          </w:tcPr>
          <w:p w14:paraId="569DFC87" w14:textId="25639FAA" w:rsidR="006D2B17" w:rsidRPr="009E35ED" w:rsidRDefault="006D2B17" w:rsidP="00BF4257">
            <w:pPr>
              <w:ind w:left="-108"/>
              <w:jc w:val="left"/>
              <w:rPr>
                <w:rFonts w:ascii="Arial Narrow" w:hAnsi="Arial Narrow" w:cs="Arial"/>
                <w:color w:val="000000" w:themeColor="text1"/>
                <w:sz w:val="22"/>
                <w:szCs w:val="22"/>
                <w:lang w:val="en-PH" w:eastAsia="en-PH"/>
              </w:rPr>
            </w:pPr>
            <w:r w:rsidRPr="009E35ED">
              <w:rPr>
                <w:rFonts w:ascii="Arial Narrow" w:hAnsi="Arial Narrow"/>
                <w:color w:val="000000" w:themeColor="text1"/>
                <w:sz w:val="22"/>
                <w:szCs w:val="22"/>
              </w:rPr>
              <w:t xml:space="preserve">Adjustment/Recording of </w:t>
            </w:r>
            <w:r w:rsidR="00077932">
              <w:rPr>
                <w:rFonts w:ascii="Arial Narrow" w:hAnsi="Arial Narrow"/>
                <w:color w:val="000000" w:themeColor="text1"/>
                <w:sz w:val="22"/>
                <w:szCs w:val="22"/>
              </w:rPr>
              <w:t>a</w:t>
            </w:r>
            <w:r w:rsidRPr="009E35ED">
              <w:rPr>
                <w:rFonts w:ascii="Arial Narrow" w:hAnsi="Arial Narrow"/>
                <w:color w:val="000000" w:themeColor="text1"/>
                <w:sz w:val="22"/>
                <w:szCs w:val="22"/>
              </w:rPr>
              <w:t xml:space="preserve">ccounts </w:t>
            </w:r>
            <w:r w:rsidR="00077932">
              <w:rPr>
                <w:rFonts w:ascii="Arial Narrow" w:hAnsi="Arial Narrow"/>
                <w:color w:val="000000" w:themeColor="text1"/>
                <w:sz w:val="22"/>
                <w:szCs w:val="22"/>
              </w:rPr>
              <w:t>p</w:t>
            </w:r>
            <w:r w:rsidRPr="009E35ED">
              <w:rPr>
                <w:rFonts w:ascii="Arial Narrow" w:hAnsi="Arial Narrow"/>
                <w:color w:val="000000" w:themeColor="text1"/>
                <w:sz w:val="22"/>
                <w:szCs w:val="22"/>
              </w:rPr>
              <w:t>ayable-</w:t>
            </w:r>
            <w:r w:rsidR="00077932">
              <w:rPr>
                <w:rFonts w:ascii="Arial Narrow" w:hAnsi="Arial Narrow"/>
                <w:color w:val="000000" w:themeColor="text1"/>
                <w:sz w:val="22"/>
                <w:szCs w:val="22"/>
              </w:rPr>
              <w:t>p</w:t>
            </w:r>
            <w:r w:rsidRPr="009E35ED">
              <w:rPr>
                <w:rFonts w:ascii="Arial Narrow" w:hAnsi="Arial Narrow"/>
                <w:color w:val="000000" w:themeColor="text1"/>
                <w:sz w:val="22"/>
                <w:szCs w:val="22"/>
              </w:rPr>
              <w:t xml:space="preserve">rize </w:t>
            </w:r>
            <w:r w:rsidR="00077932">
              <w:rPr>
                <w:rFonts w:ascii="Arial Narrow" w:hAnsi="Arial Narrow"/>
                <w:color w:val="000000" w:themeColor="text1"/>
                <w:sz w:val="22"/>
                <w:szCs w:val="22"/>
              </w:rPr>
              <w:t>f</w:t>
            </w:r>
            <w:r w:rsidRPr="009E35ED">
              <w:rPr>
                <w:rFonts w:ascii="Arial Narrow" w:hAnsi="Arial Narrow"/>
                <w:color w:val="000000" w:themeColor="text1"/>
                <w:sz w:val="22"/>
                <w:szCs w:val="22"/>
              </w:rPr>
              <w:t>und-</w:t>
            </w:r>
            <w:r w:rsidR="00077932">
              <w:rPr>
                <w:rFonts w:ascii="Arial Narrow" w:hAnsi="Arial Narrow"/>
                <w:color w:val="000000" w:themeColor="text1"/>
                <w:sz w:val="22"/>
                <w:szCs w:val="22"/>
              </w:rPr>
              <w:t>h</w:t>
            </w:r>
            <w:r w:rsidRPr="009E35ED">
              <w:rPr>
                <w:rFonts w:ascii="Arial Narrow" w:hAnsi="Arial Narrow"/>
                <w:color w:val="000000" w:themeColor="text1"/>
                <w:sz w:val="22"/>
                <w:szCs w:val="22"/>
              </w:rPr>
              <w:t xml:space="preserve">ead </w:t>
            </w:r>
            <w:r w:rsidR="00077932">
              <w:rPr>
                <w:rFonts w:ascii="Arial Narrow" w:hAnsi="Arial Narrow"/>
                <w:color w:val="000000" w:themeColor="text1"/>
                <w:sz w:val="22"/>
                <w:szCs w:val="22"/>
              </w:rPr>
              <w:t>o</w:t>
            </w:r>
            <w:r w:rsidRPr="009E35ED">
              <w:rPr>
                <w:rFonts w:ascii="Arial Narrow" w:hAnsi="Arial Narrow"/>
                <w:color w:val="000000" w:themeColor="text1"/>
                <w:sz w:val="22"/>
                <w:szCs w:val="22"/>
              </w:rPr>
              <w:t>ffice</w:t>
            </w:r>
          </w:p>
        </w:tc>
        <w:tc>
          <w:tcPr>
            <w:tcW w:w="1416" w:type="dxa"/>
            <w:tcBorders>
              <w:top w:val="nil"/>
              <w:left w:val="nil"/>
              <w:bottom w:val="nil"/>
              <w:right w:val="nil"/>
            </w:tcBorders>
            <w:shd w:val="clear" w:color="auto" w:fill="auto"/>
            <w:noWrap/>
            <w:hideMark/>
          </w:tcPr>
          <w:p w14:paraId="05EDB591" w14:textId="31047E44" w:rsidR="006D2B17" w:rsidRPr="009E35ED" w:rsidRDefault="00B005A9" w:rsidP="00BF4257">
            <w:pPr>
              <w:ind w:left="0" w:right="-91"/>
              <w:jc w:val="right"/>
              <w:rPr>
                <w:rFonts w:ascii="Arial Narrow" w:hAnsi="Arial Narrow" w:cs="Arial"/>
                <w:color w:val="000000" w:themeColor="text1"/>
                <w:sz w:val="22"/>
                <w:szCs w:val="22"/>
                <w:lang w:val="en-PH" w:eastAsia="en-PH"/>
              </w:rPr>
            </w:pPr>
            <w:r w:rsidRPr="009E35ED">
              <w:rPr>
                <w:rFonts w:ascii="Arial Narrow" w:hAnsi="Arial Narrow" w:cs="Arial"/>
                <w:color w:val="000000" w:themeColor="text1"/>
                <w:sz w:val="22"/>
                <w:szCs w:val="22"/>
                <w:lang w:val="en-PH" w:eastAsia="en-PH"/>
              </w:rPr>
              <w:t>-</w:t>
            </w:r>
          </w:p>
        </w:tc>
      </w:tr>
      <w:tr w:rsidR="00997F75" w:rsidRPr="009E35ED" w14:paraId="75B7C70C" w14:textId="77777777" w:rsidTr="00BF4257">
        <w:trPr>
          <w:trHeight w:val="278"/>
        </w:trPr>
        <w:tc>
          <w:tcPr>
            <w:tcW w:w="7290" w:type="dxa"/>
            <w:tcBorders>
              <w:top w:val="nil"/>
              <w:left w:val="nil"/>
              <w:bottom w:val="nil"/>
              <w:right w:val="nil"/>
            </w:tcBorders>
            <w:shd w:val="clear" w:color="auto" w:fill="auto"/>
            <w:noWrap/>
            <w:hideMark/>
          </w:tcPr>
          <w:p w14:paraId="43B6E224" w14:textId="21D5D1E6" w:rsidR="006D2B17" w:rsidRPr="009E35ED" w:rsidRDefault="006D2B17" w:rsidP="00BF4257">
            <w:pPr>
              <w:ind w:left="-108"/>
              <w:jc w:val="left"/>
              <w:rPr>
                <w:rFonts w:ascii="Arial Narrow" w:hAnsi="Arial Narrow" w:cs="Arial"/>
                <w:color w:val="000000" w:themeColor="text1"/>
                <w:sz w:val="22"/>
                <w:szCs w:val="22"/>
                <w:lang w:val="en-PH" w:eastAsia="en-PH"/>
              </w:rPr>
            </w:pPr>
            <w:r w:rsidRPr="009E35ED">
              <w:rPr>
                <w:rFonts w:ascii="Arial Narrow" w:hAnsi="Arial Narrow"/>
                <w:color w:val="000000" w:themeColor="text1"/>
                <w:sz w:val="22"/>
                <w:szCs w:val="22"/>
              </w:rPr>
              <w:t xml:space="preserve">Adjustment/Recording of </w:t>
            </w:r>
            <w:r w:rsidR="00077932">
              <w:rPr>
                <w:rFonts w:ascii="Arial Narrow" w:hAnsi="Arial Narrow"/>
                <w:color w:val="000000" w:themeColor="text1"/>
                <w:sz w:val="22"/>
                <w:szCs w:val="22"/>
              </w:rPr>
              <w:t>a</w:t>
            </w:r>
            <w:r w:rsidRPr="009E35ED">
              <w:rPr>
                <w:rFonts w:ascii="Arial Narrow" w:hAnsi="Arial Narrow"/>
                <w:color w:val="000000" w:themeColor="text1"/>
                <w:sz w:val="22"/>
                <w:szCs w:val="22"/>
              </w:rPr>
              <w:t>ccounts</w:t>
            </w:r>
            <w:r w:rsidR="00077932">
              <w:rPr>
                <w:rFonts w:ascii="Arial Narrow" w:hAnsi="Arial Narrow"/>
                <w:color w:val="000000" w:themeColor="text1"/>
                <w:sz w:val="22"/>
                <w:szCs w:val="22"/>
              </w:rPr>
              <w:t xml:space="preserve"> p</w:t>
            </w:r>
            <w:r w:rsidRPr="009E35ED">
              <w:rPr>
                <w:rFonts w:ascii="Arial Narrow" w:hAnsi="Arial Narrow"/>
                <w:color w:val="000000" w:themeColor="text1"/>
                <w:sz w:val="22"/>
                <w:szCs w:val="22"/>
              </w:rPr>
              <w:t>ayable-</w:t>
            </w:r>
            <w:r w:rsidR="00077932">
              <w:rPr>
                <w:rFonts w:ascii="Arial Narrow" w:hAnsi="Arial Narrow"/>
                <w:color w:val="000000" w:themeColor="text1"/>
                <w:sz w:val="22"/>
                <w:szCs w:val="22"/>
              </w:rPr>
              <w:t>p</w:t>
            </w:r>
            <w:r w:rsidRPr="009E35ED">
              <w:rPr>
                <w:rFonts w:ascii="Arial Narrow" w:hAnsi="Arial Narrow"/>
                <w:color w:val="000000" w:themeColor="text1"/>
                <w:sz w:val="22"/>
                <w:szCs w:val="22"/>
              </w:rPr>
              <w:t xml:space="preserve">rize </w:t>
            </w:r>
            <w:r w:rsidR="00077932">
              <w:rPr>
                <w:rFonts w:ascii="Arial Narrow" w:hAnsi="Arial Narrow"/>
                <w:color w:val="000000" w:themeColor="text1"/>
                <w:sz w:val="22"/>
                <w:szCs w:val="22"/>
              </w:rPr>
              <w:t>f</w:t>
            </w:r>
            <w:r w:rsidRPr="009E35ED">
              <w:rPr>
                <w:rFonts w:ascii="Arial Narrow" w:hAnsi="Arial Narrow"/>
                <w:color w:val="000000" w:themeColor="text1"/>
                <w:sz w:val="22"/>
                <w:szCs w:val="22"/>
              </w:rPr>
              <w:t>und-</w:t>
            </w:r>
            <w:r w:rsidR="00077932">
              <w:rPr>
                <w:rFonts w:ascii="Arial Narrow" w:hAnsi="Arial Narrow"/>
                <w:color w:val="000000" w:themeColor="text1"/>
                <w:sz w:val="22"/>
                <w:szCs w:val="22"/>
              </w:rPr>
              <w:t>b</w:t>
            </w:r>
            <w:r w:rsidRPr="009E35ED">
              <w:rPr>
                <w:rFonts w:ascii="Arial Narrow" w:hAnsi="Arial Narrow"/>
                <w:color w:val="000000" w:themeColor="text1"/>
                <w:sz w:val="22"/>
                <w:szCs w:val="22"/>
              </w:rPr>
              <w:t>ranch</w:t>
            </w:r>
          </w:p>
        </w:tc>
        <w:tc>
          <w:tcPr>
            <w:tcW w:w="1416" w:type="dxa"/>
            <w:tcBorders>
              <w:top w:val="nil"/>
              <w:left w:val="nil"/>
              <w:bottom w:val="nil"/>
              <w:right w:val="nil"/>
            </w:tcBorders>
            <w:shd w:val="clear" w:color="auto" w:fill="auto"/>
            <w:noWrap/>
            <w:hideMark/>
          </w:tcPr>
          <w:p w14:paraId="5A0E67FA" w14:textId="3335FCA4" w:rsidR="006D2B17" w:rsidRPr="009E35ED" w:rsidRDefault="006D2B17" w:rsidP="00BF4257">
            <w:pPr>
              <w:ind w:left="0" w:right="-91"/>
              <w:jc w:val="right"/>
              <w:rPr>
                <w:rFonts w:ascii="Arial Narrow" w:hAnsi="Arial Narrow" w:cs="Arial"/>
                <w:color w:val="000000" w:themeColor="text1"/>
                <w:sz w:val="22"/>
                <w:szCs w:val="22"/>
                <w:lang w:val="en-PH" w:eastAsia="en-PH"/>
              </w:rPr>
            </w:pPr>
            <w:r w:rsidRPr="009E35ED">
              <w:rPr>
                <w:rFonts w:ascii="Arial Narrow" w:hAnsi="Arial Narrow"/>
                <w:color w:val="000000" w:themeColor="text1"/>
                <w:sz w:val="22"/>
                <w:szCs w:val="22"/>
              </w:rPr>
              <w:t xml:space="preserve"> 58,704 </w:t>
            </w:r>
          </w:p>
        </w:tc>
      </w:tr>
      <w:tr w:rsidR="00997F75" w:rsidRPr="009E35ED" w14:paraId="3B004C77" w14:textId="77777777" w:rsidTr="00BF4257">
        <w:trPr>
          <w:trHeight w:val="308"/>
        </w:trPr>
        <w:tc>
          <w:tcPr>
            <w:tcW w:w="7290" w:type="dxa"/>
            <w:tcBorders>
              <w:top w:val="single" w:sz="4" w:space="0" w:color="auto"/>
              <w:left w:val="nil"/>
              <w:bottom w:val="double" w:sz="6" w:space="0" w:color="auto"/>
              <w:right w:val="nil"/>
            </w:tcBorders>
            <w:shd w:val="clear" w:color="auto" w:fill="auto"/>
            <w:noWrap/>
            <w:hideMark/>
          </w:tcPr>
          <w:p w14:paraId="265C0069" w14:textId="77777777" w:rsidR="006D2B17" w:rsidRPr="009E35ED" w:rsidRDefault="006D2B17" w:rsidP="00BF4257">
            <w:pPr>
              <w:ind w:left="-108"/>
              <w:jc w:val="left"/>
              <w:rPr>
                <w:rFonts w:ascii="Arial Narrow" w:hAnsi="Arial Narrow" w:cs="Arial"/>
                <w:b/>
                <w:bCs/>
                <w:color w:val="000000" w:themeColor="text1"/>
                <w:sz w:val="22"/>
                <w:szCs w:val="22"/>
                <w:lang w:val="en-PH" w:eastAsia="en-PH"/>
              </w:rPr>
            </w:pPr>
            <w:r w:rsidRPr="009E35ED">
              <w:rPr>
                <w:rFonts w:ascii="Arial Narrow" w:hAnsi="Arial Narrow"/>
                <w:b/>
                <w:bCs/>
                <w:color w:val="000000" w:themeColor="text1"/>
                <w:sz w:val="22"/>
                <w:szCs w:val="22"/>
              </w:rPr>
              <w:t>Restated Amount as of December 31, 2022-Vouchers Payable-Prize Fund</w:t>
            </w:r>
          </w:p>
        </w:tc>
        <w:tc>
          <w:tcPr>
            <w:tcW w:w="1416" w:type="dxa"/>
            <w:tcBorders>
              <w:top w:val="single" w:sz="4" w:space="0" w:color="auto"/>
              <w:left w:val="nil"/>
              <w:bottom w:val="double" w:sz="6" w:space="0" w:color="auto"/>
              <w:right w:val="nil"/>
            </w:tcBorders>
            <w:shd w:val="clear" w:color="auto" w:fill="auto"/>
            <w:noWrap/>
            <w:hideMark/>
          </w:tcPr>
          <w:p w14:paraId="32888919" w14:textId="16391EC0" w:rsidR="006D2B17" w:rsidRPr="009E35ED" w:rsidRDefault="006D2B17" w:rsidP="00BF4257">
            <w:pPr>
              <w:ind w:left="0" w:right="-91"/>
              <w:jc w:val="right"/>
              <w:rPr>
                <w:rFonts w:ascii="Arial Narrow" w:hAnsi="Arial Narrow" w:cs="Arial"/>
                <w:b/>
                <w:bCs/>
                <w:color w:val="000000" w:themeColor="text1"/>
                <w:sz w:val="22"/>
                <w:szCs w:val="22"/>
                <w:lang w:val="en-PH" w:eastAsia="en-PH"/>
              </w:rPr>
            </w:pPr>
            <w:r w:rsidRPr="009E35ED">
              <w:rPr>
                <w:rFonts w:ascii="Arial Narrow" w:hAnsi="Arial Narrow"/>
                <w:b/>
                <w:bCs/>
                <w:color w:val="000000" w:themeColor="text1"/>
                <w:sz w:val="22"/>
                <w:szCs w:val="22"/>
              </w:rPr>
              <w:t xml:space="preserve"> 15,340,100 </w:t>
            </w:r>
          </w:p>
        </w:tc>
      </w:tr>
      <w:tr w:rsidR="00997F75" w:rsidRPr="009E35ED" w14:paraId="60C727F5" w14:textId="77777777" w:rsidTr="00BF4257">
        <w:trPr>
          <w:trHeight w:val="293"/>
        </w:trPr>
        <w:tc>
          <w:tcPr>
            <w:tcW w:w="7290" w:type="dxa"/>
            <w:tcBorders>
              <w:top w:val="nil"/>
              <w:left w:val="nil"/>
              <w:bottom w:val="nil"/>
              <w:right w:val="nil"/>
            </w:tcBorders>
            <w:shd w:val="clear" w:color="auto" w:fill="auto"/>
            <w:noWrap/>
            <w:vAlign w:val="bottom"/>
          </w:tcPr>
          <w:p w14:paraId="037BEC91" w14:textId="3FE685A3" w:rsidR="00AA29C9" w:rsidRPr="009E35ED" w:rsidRDefault="00AA29C9" w:rsidP="00DC506C">
            <w:pPr>
              <w:ind w:left="0"/>
              <w:jc w:val="left"/>
              <w:rPr>
                <w:rFonts w:ascii="Arial Narrow" w:hAnsi="Arial Narrow" w:cs="Arial"/>
                <w:color w:val="000000" w:themeColor="text1"/>
                <w:sz w:val="22"/>
                <w:szCs w:val="22"/>
              </w:rPr>
            </w:pPr>
          </w:p>
        </w:tc>
        <w:tc>
          <w:tcPr>
            <w:tcW w:w="1416" w:type="dxa"/>
            <w:tcBorders>
              <w:top w:val="nil"/>
              <w:left w:val="nil"/>
              <w:bottom w:val="nil"/>
              <w:right w:val="nil"/>
            </w:tcBorders>
            <w:shd w:val="clear" w:color="auto" w:fill="auto"/>
            <w:noWrap/>
            <w:vAlign w:val="bottom"/>
          </w:tcPr>
          <w:p w14:paraId="442F2C66" w14:textId="77777777" w:rsidR="008C35AD" w:rsidRPr="009E35ED" w:rsidRDefault="008C35AD" w:rsidP="00DC506C">
            <w:pPr>
              <w:ind w:left="0"/>
              <w:jc w:val="right"/>
              <w:rPr>
                <w:rFonts w:ascii="Arial Narrow" w:hAnsi="Arial Narrow" w:cs="Arial"/>
                <w:color w:val="000000" w:themeColor="text1"/>
                <w:sz w:val="22"/>
                <w:szCs w:val="22"/>
              </w:rPr>
            </w:pPr>
          </w:p>
        </w:tc>
      </w:tr>
      <w:tr w:rsidR="00997F75" w:rsidRPr="009E35ED" w14:paraId="518DEDF9" w14:textId="77777777" w:rsidTr="00BF4257">
        <w:trPr>
          <w:trHeight w:val="293"/>
        </w:trPr>
        <w:tc>
          <w:tcPr>
            <w:tcW w:w="7290" w:type="dxa"/>
            <w:tcBorders>
              <w:top w:val="nil"/>
              <w:left w:val="nil"/>
              <w:bottom w:val="nil"/>
              <w:right w:val="nil"/>
            </w:tcBorders>
            <w:shd w:val="clear" w:color="auto" w:fill="auto"/>
            <w:noWrap/>
            <w:hideMark/>
          </w:tcPr>
          <w:p w14:paraId="7800147B" w14:textId="22E22020" w:rsidR="003D1E7A" w:rsidRPr="009E35ED" w:rsidRDefault="003D1E7A" w:rsidP="00BF4257">
            <w:pPr>
              <w:ind w:left="-108"/>
              <w:jc w:val="left"/>
              <w:rPr>
                <w:rFonts w:ascii="Arial Narrow" w:hAnsi="Arial Narrow" w:cs="Arial"/>
                <w:color w:val="000000" w:themeColor="text1"/>
                <w:sz w:val="22"/>
                <w:szCs w:val="22"/>
                <w:lang w:val="en-PH" w:eastAsia="en-PH"/>
              </w:rPr>
            </w:pPr>
            <w:r w:rsidRPr="009E35ED">
              <w:rPr>
                <w:rFonts w:ascii="Arial Narrow" w:hAnsi="Arial Narrow"/>
                <w:color w:val="000000" w:themeColor="text1"/>
                <w:sz w:val="22"/>
                <w:szCs w:val="22"/>
              </w:rPr>
              <w:t xml:space="preserve">Unrestated </w:t>
            </w:r>
            <w:r w:rsidR="00077932">
              <w:rPr>
                <w:rFonts w:ascii="Arial Narrow" w:hAnsi="Arial Narrow"/>
                <w:color w:val="000000" w:themeColor="text1"/>
                <w:sz w:val="22"/>
                <w:szCs w:val="22"/>
              </w:rPr>
              <w:t>a</w:t>
            </w:r>
            <w:r w:rsidRPr="009E35ED">
              <w:rPr>
                <w:rFonts w:ascii="Arial Narrow" w:hAnsi="Arial Narrow"/>
                <w:color w:val="000000" w:themeColor="text1"/>
                <w:sz w:val="22"/>
                <w:szCs w:val="22"/>
              </w:rPr>
              <w:t>mount as of December 31, 2022</w:t>
            </w:r>
          </w:p>
        </w:tc>
        <w:tc>
          <w:tcPr>
            <w:tcW w:w="1416" w:type="dxa"/>
            <w:tcBorders>
              <w:top w:val="nil"/>
              <w:left w:val="nil"/>
              <w:bottom w:val="nil"/>
              <w:right w:val="nil"/>
            </w:tcBorders>
            <w:shd w:val="clear" w:color="auto" w:fill="auto"/>
            <w:noWrap/>
            <w:hideMark/>
          </w:tcPr>
          <w:p w14:paraId="361EAADF" w14:textId="70891885" w:rsidR="003D1E7A" w:rsidRPr="009E35ED" w:rsidRDefault="003D1E7A" w:rsidP="00BF4257">
            <w:pPr>
              <w:ind w:left="0" w:right="-91"/>
              <w:jc w:val="right"/>
              <w:rPr>
                <w:rFonts w:ascii="Arial Narrow" w:hAnsi="Arial Narrow" w:cs="Arial"/>
                <w:color w:val="000000" w:themeColor="text1"/>
                <w:sz w:val="22"/>
                <w:szCs w:val="22"/>
                <w:lang w:val="en-PH" w:eastAsia="en-PH"/>
              </w:rPr>
            </w:pPr>
            <w:r w:rsidRPr="009E35ED">
              <w:rPr>
                <w:rFonts w:ascii="Arial Narrow" w:hAnsi="Arial Narrow"/>
                <w:color w:val="000000" w:themeColor="text1"/>
                <w:sz w:val="22"/>
                <w:szCs w:val="22"/>
              </w:rPr>
              <w:t xml:space="preserve"> 27,354,508 </w:t>
            </w:r>
          </w:p>
        </w:tc>
      </w:tr>
      <w:tr w:rsidR="00997F75" w:rsidRPr="009E35ED" w14:paraId="7A03AA89" w14:textId="77777777" w:rsidTr="00BF4257">
        <w:trPr>
          <w:trHeight w:val="278"/>
        </w:trPr>
        <w:tc>
          <w:tcPr>
            <w:tcW w:w="7290" w:type="dxa"/>
            <w:tcBorders>
              <w:top w:val="nil"/>
              <w:left w:val="nil"/>
              <w:bottom w:val="nil"/>
              <w:right w:val="nil"/>
            </w:tcBorders>
            <w:shd w:val="clear" w:color="auto" w:fill="auto"/>
            <w:noWrap/>
            <w:hideMark/>
          </w:tcPr>
          <w:p w14:paraId="4CEF55CE" w14:textId="23700115" w:rsidR="003D1E7A" w:rsidRPr="009E35ED" w:rsidRDefault="003D1E7A" w:rsidP="00BF4257">
            <w:pPr>
              <w:ind w:left="-108"/>
              <w:jc w:val="left"/>
              <w:rPr>
                <w:rFonts w:ascii="Arial Narrow" w:hAnsi="Arial Narrow" w:cs="Arial"/>
                <w:color w:val="000000" w:themeColor="text1"/>
                <w:sz w:val="22"/>
                <w:szCs w:val="22"/>
                <w:lang w:val="en-PH" w:eastAsia="en-PH"/>
              </w:rPr>
            </w:pPr>
            <w:r w:rsidRPr="009E35ED">
              <w:rPr>
                <w:rFonts w:ascii="Arial Narrow" w:hAnsi="Arial Narrow"/>
                <w:color w:val="000000" w:themeColor="text1"/>
                <w:sz w:val="22"/>
                <w:szCs w:val="22"/>
              </w:rPr>
              <w:t xml:space="preserve">Adjustment/Recording of </w:t>
            </w:r>
            <w:r w:rsidR="00077932">
              <w:rPr>
                <w:rFonts w:ascii="Arial Narrow" w:hAnsi="Arial Narrow"/>
                <w:color w:val="000000" w:themeColor="text1"/>
                <w:sz w:val="22"/>
                <w:szCs w:val="22"/>
              </w:rPr>
              <w:t>p</w:t>
            </w:r>
            <w:r w:rsidRPr="009E35ED">
              <w:rPr>
                <w:rFonts w:ascii="Arial Narrow" w:hAnsi="Arial Narrow"/>
                <w:color w:val="000000" w:themeColor="text1"/>
                <w:sz w:val="22"/>
                <w:szCs w:val="22"/>
              </w:rPr>
              <w:t xml:space="preserve">ersonal </w:t>
            </w:r>
            <w:r w:rsidR="00077932">
              <w:rPr>
                <w:rFonts w:ascii="Arial Narrow" w:hAnsi="Arial Narrow"/>
                <w:color w:val="000000" w:themeColor="text1"/>
                <w:sz w:val="22"/>
                <w:szCs w:val="22"/>
              </w:rPr>
              <w:t>s</w:t>
            </w:r>
            <w:r w:rsidRPr="009E35ED">
              <w:rPr>
                <w:rFonts w:ascii="Arial Narrow" w:hAnsi="Arial Narrow"/>
                <w:color w:val="000000" w:themeColor="text1"/>
                <w:sz w:val="22"/>
                <w:szCs w:val="22"/>
              </w:rPr>
              <w:t>ervices-</w:t>
            </w:r>
            <w:r w:rsidR="00077932">
              <w:rPr>
                <w:rFonts w:ascii="Arial Narrow" w:hAnsi="Arial Narrow"/>
                <w:color w:val="000000" w:themeColor="text1"/>
                <w:sz w:val="22"/>
                <w:szCs w:val="22"/>
              </w:rPr>
              <w:t>h</w:t>
            </w:r>
            <w:r w:rsidRPr="009E35ED">
              <w:rPr>
                <w:rFonts w:ascii="Arial Narrow" w:hAnsi="Arial Narrow"/>
                <w:color w:val="000000" w:themeColor="text1"/>
                <w:sz w:val="22"/>
                <w:szCs w:val="22"/>
              </w:rPr>
              <w:t xml:space="preserve">ead </w:t>
            </w:r>
            <w:r w:rsidR="00077932">
              <w:rPr>
                <w:rFonts w:ascii="Arial Narrow" w:hAnsi="Arial Narrow"/>
                <w:color w:val="000000" w:themeColor="text1"/>
                <w:sz w:val="22"/>
                <w:szCs w:val="22"/>
              </w:rPr>
              <w:t>o</w:t>
            </w:r>
            <w:r w:rsidRPr="009E35ED">
              <w:rPr>
                <w:rFonts w:ascii="Arial Narrow" w:hAnsi="Arial Narrow"/>
                <w:color w:val="000000" w:themeColor="text1"/>
                <w:sz w:val="22"/>
                <w:szCs w:val="22"/>
              </w:rPr>
              <w:t>ffice</w:t>
            </w:r>
          </w:p>
        </w:tc>
        <w:tc>
          <w:tcPr>
            <w:tcW w:w="1416" w:type="dxa"/>
            <w:tcBorders>
              <w:top w:val="nil"/>
              <w:left w:val="nil"/>
              <w:bottom w:val="nil"/>
              <w:right w:val="nil"/>
            </w:tcBorders>
            <w:shd w:val="clear" w:color="auto" w:fill="auto"/>
            <w:noWrap/>
            <w:hideMark/>
          </w:tcPr>
          <w:p w14:paraId="14BB8C57" w14:textId="1F9852E2" w:rsidR="003D1E7A" w:rsidRPr="009E35ED" w:rsidRDefault="003D1E7A" w:rsidP="00BF4257">
            <w:pPr>
              <w:ind w:left="0" w:right="-91"/>
              <w:jc w:val="right"/>
              <w:rPr>
                <w:rFonts w:ascii="Arial Narrow" w:hAnsi="Arial Narrow" w:cs="Arial"/>
                <w:color w:val="000000" w:themeColor="text1"/>
                <w:sz w:val="22"/>
                <w:szCs w:val="22"/>
                <w:lang w:val="en-PH" w:eastAsia="en-PH"/>
              </w:rPr>
            </w:pPr>
            <w:r w:rsidRPr="009E35ED">
              <w:rPr>
                <w:rFonts w:ascii="Arial Narrow" w:hAnsi="Arial Narrow"/>
                <w:color w:val="000000" w:themeColor="text1"/>
                <w:sz w:val="22"/>
                <w:szCs w:val="22"/>
              </w:rPr>
              <w:t xml:space="preserve"> 70,094 </w:t>
            </w:r>
          </w:p>
        </w:tc>
      </w:tr>
      <w:tr w:rsidR="00997F75" w:rsidRPr="009E35ED" w14:paraId="05F468C0" w14:textId="77777777" w:rsidTr="00BF4257">
        <w:trPr>
          <w:trHeight w:val="278"/>
        </w:trPr>
        <w:tc>
          <w:tcPr>
            <w:tcW w:w="7290" w:type="dxa"/>
            <w:tcBorders>
              <w:top w:val="nil"/>
              <w:left w:val="nil"/>
              <w:bottom w:val="nil"/>
              <w:right w:val="nil"/>
            </w:tcBorders>
            <w:shd w:val="clear" w:color="auto" w:fill="auto"/>
            <w:noWrap/>
          </w:tcPr>
          <w:p w14:paraId="342D2DD6" w14:textId="728391C1" w:rsidR="003D1E7A" w:rsidRPr="009E35ED" w:rsidRDefault="003D1E7A" w:rsidP="00BF4257">
            <w:pPr>
              <w:ind w:left="-108"/>
              <w:jc w:val="left"/>
              <w:rPr>
                <w:rFonts w:ascii="Arial Narrow" w:hAnsi="Arial Narrow" w:cs="Arial"/>
                <w:color w:val="000000" w:themeColor="text1"/>
                <w:sz w:val="22"/>
                <w:szCs w:val="22"/>
              </w:rPr>
            </w:pPr>
            <w:r w:rsidRPr="009E35ED">
              <w:rPr>
                <w:rFonts w:ascii="Arial Narrow" w:hAnsi="Arial Narrow"/>
                <w:color w:val="000000" w:themeColor="text1"/>
                <w:sz w:val="22"/>
                <w:szCs w:val="22"/>
              </w:rPr>
              <w:t xml:space="preserve">Adjustment/Recording of </w:t>
            </w:r>
            <w:r w:rsidR="00077932">
              <w:rPr>
                <w:rFonts w:ascii="Arial Narrow" w:hAnsi="Arial Narrow"/>
                <w:color w:val="000000" w:themeColor="text1"/>
                <w:sz w:val="22"/>
                <w:szCs w:val="22"/>
              </w:rPr>
              <w:t>p</w:t>
            </w:r>
            <w:r w:rsidRPr="009E35ED">
              <w:rPr>
                <w:rFonts w:ascii="Arial Narrow" w:hAnsi="Arial Narrow"/>
                <w:color w:val="000000" w:themeColor="text1"/>
                <w:sz w:val="22"/>
                <w:szCs w:val="22"/>
              </w:rPr>
              <w:t xml:space="preserve">ersonal </w:t>
            </w:r>
            <w:r w:rsidR="00077932">
              <w:rPr>
                <w:rFonts w:ascii="Arial Narrow" w:hAnsi="Arial Narrow"/>
                <w:color w:val="000000" w:themeColor="text1"/>
                <w:sz w:val="22"/>
                <w:szCs w:val="22"/>
              </w:rPr>
              <w:t>s</w:t>
            </w:r>
            <w:r w:rsidRPr="009E35ED">
              <w:rPr>
                <w:rFonts w:ascii="Arial Narrow" w:hAnsi="Arial Narrow"/>
                <w:color w:val="000000" w:themeColor="text1"/>
                <w:sz w:val="22"/>
                <w:szCs w:val="22"/>
              </w:rPr>
              <w:t>ervices-</w:t>
            </w:r>
            <w:r w:rsidR="00077932">
              <w:rPr>
                <w:rFonts w:ascii="Arial Narrow" w:hAnsi="Arial Narrow"/>
                <w:color w:val="000000" w:themeColor="text1"/>
                <w:sz w:val="22"/>
                <w:szCs w:val="22"/>
              </w:rPr>
              <w:t>b</w:t>
            </w:r>
            <w:r w:rsidRPr="009E35ED">
              <w:rPr>
                <w:rFonts w:ascii="Arial Narrow" w:hAnsi="Arial Narrow"/>
                <w:color w:val="000000" w:themeColor="text1"/>
                <w:sz w:val="22"/>
                <w:szCs w:val="22"/>
              </w:rPr>
              <w:t>ranches</w:t>
            </w:r>
          </w:p>
        </w:tc>
        <w:tc>
          <w:tcPr>
            <w:tcW w:w="1416" w:type="dxa"/>
            <w:tcBorders>
              <w:top w:val="nil"/>
              <w:left w:val="nil"/>
              <w:bottom w:val="nil"/>
              <w:right w:val="nil"/>
            </w:tcBorders>
            <w:shd w:val="clear" w:color="auto" w:fill="auto"/>
            <w:noWrap/>
          </w:tcPr>
          <w:p w14:paraId="44442962" w14:textId="584850D2" w:rsidR="003D1E7A" w:rsidRPr="009E35ED" w:rsidRDefault="003D1E7A" w:rsidP="00BF4257">
            <w:pPr>
              <w:ind w:left="0" w:right="-91"/>
              <w:jc w:val="right"/>
              <w:rPr>
                <w:rFonts w:ascii="Arial Narrow" w:hAnsi="Arial Narrow" w:cs="Arial"/>
                <w:color w:val="000000" w:themeColor="text1"/>
                <w:sz w:val="22"/>
                <w:szCs w:val="22"/>
              </w:rPr>
            </w:pPr>
            <w:r w:rsidRPr="009E35ED">
              <w:rPr>
                <w:rFonts w:ascii="Arial Narrow" w:hAnsi="Arial Narrow"/>
                <w:color w:val="000000" w:themeColor="text1"/>
                <w:sz w:val="22"/>
                <w:szCs w:val="22"/>
              </w:rPr>
              <w:t xml:space="preserve"> (320,674)</w:t>
            </w:r>
          </w:p>
        </w:tc>
      </w:tr>
      <w:tr w:rsidR="00997F75" w:rsidRPr="009E35ED" w14:paraId="38FB7C32" w14:textId="77777777" w:rsidTr="00BF4257">
        <w:trPr>
          <w:trHeight w:val="278"/>
        </w:trPr>
        <w:tc>
          <w:tcPr>
            <w:tcW w:w="7290" w:type="dxa"/>
            <w:tcBorders>
              <w:top w:val="nil"/>
              <w:left w:val="nil"/>
              <w:bottom w:val="nil"/>
              <w:right w:val="nil"/>
            </w:tcBorders>
            <w:shd w:val="clear" w:color="auto" w:fill="auto"/>
            <w:noWrap/>
          </w:tcPr>
          <w:p w14:paraId="0759E877" w14:textId="321E30BA" w:rsidR="003D1E7A" w:rsidRPr="009E35ED" w:rsidRDefault="003D1E7A" w:rsidP="00BF4257">
            <w:pPr>
              <w:ind w:left="-108"/>
              <w:jc w:val="left"/>
              <w:rPr>
                <w:rFonts w:ascii="Arial Narrow" w:hAnsi="Arial Narrow" w:cs="Arial"/>
                <w:color w:val="000000" w:themeColor="text1"/>
                <w:sz w:val="22"/>
                <w:szCs w:val="22"/>
              </w:rPr>
            </w:pPr>
            <w:r w:rsidRPr="009E35ED">
              <w:rPr>
                <w:rFonts w:ascii="Arial Narrow" w:hAnsi="Arial Narrow"/>
                <w:color w:val="000000" w:themeColor="text1"/>
                <w:sz w:val="22"/>
                <w:szCs w:val="22"/>
              </w:rPr>
              <w:t xml:space="preserve">Adjustment/Recording of </w:t>
            </w:r>
            <w:r w:rsidR="00077932">
              <w:rPr>
                <w:rFonts w:ascii="Arial Narrow" w:hAnsi="Arial Narrow"/>
                <w:color w:val="000000" w:themeColor="text1"/>
                <w:sz w:val="22"/>
                <w:szCs w:val="22"/>
              </w:rPr>
              <w:t>m</w:t>
            </w:r>
            <w:r w:rsidRPr="009E35ED">
              <w:rPr>
                <w:rFonts w:ascii="Arial Narrow" w:hAnsi="Arial Narrow"/>
                <w:color w:val="000000" w:themeColor="text1"/>
                <w:sz w:val="22"/>
                <w:szCs w:val="22"/>
              </w:rPr>
              <w:t xml:space="preserve">aintenance and </w:t>
            </w:r>
            <w:r w:rsidR="00077932">
              <w:rPr>
                <w:rFonts w:ascii="Arial Narrow" w:hAnsi="Arial Narrow"/>
                <w:color w:val="000000" w:themeColor="text1"/>
                <w:sz w:val="22"/>
                <w:szCs w:val="22"/>
              </w:rPr>
              <w:t>o</w:t>
            </w:r>
            <w:r w:rsidRPr="009E35ED">
              <w:rPr>
                <w:rFonts w:ascii="Arial Narrow" w:hAnsi="Arial Narrow"/>
                <w:color w:val="000000" w:themeColor="text1"/>
                <w:sz w:val="22"/>
                <w:szCs w:val="22"/>
              </w:rPr>
              <w:t xml:space="preserve">ther </w:t>
            </w:r>
            <w:r w:rsidR="00077932">
              <w:rPr>
                <w:rFonts w:ascii="Arial Narrow" w:hAnsi="Arial Narrow"/>
                <w:color w:val="000000" w:themeColor="text1"/>
                <w:sz w:val="22"/>
                <w:szCs w:val="22"/>
              </w:rPr>
              <w:t>o</w:t>
            </w:r>
            <w:r w:rsidRPr="009E35ED">
              <w:rPr>
                <w:rFonts w:ascii="Arial Narrow" w:hAnsi="Arial Narrow"/>
                <w:color w:val="000000" w:themeColor="text1"/>
                <w:sz w:val="22"/>
                <w:szCs w:val="22"/>
              </w:rPr>
              <w:t xml:space="preserve">perating </w:t>
            </w:r>
            <w:r w:rsidR="00077932">
              <w:rPr>
                <w:rFonts w:ascii="Arial Narrow" w:hAnsi="Arial Narrow"/>
                <w:color w:val="000000" w:themeColor="text1"/>
                <w:sz w:val="22"/>
                <w:szCs w:val="22"/>
              </w:rPr>
              <w:t>e</w:t>
            </w:r>
            <w:r w:rsidRPr="009E35ED">
              <w:rPr>
                <w:rFonts w:ascii="Arial Narrow" w:hAnsi="Arial Narrow"/>
                <w:color w:val="000000" w:themeColor="text1"/>
                <w:sz w:val="22"/>
                <w:szCs w:val="22"/>
              </w:rPr>
              <w:t>xpenses-</w:t>
            </w:r>
            <w:r w:rsidR="00077932">
              <w:rPr>
                <w:rFonts w:ascii="Arial Narrow" w:hAnsi="Arial Narrow"/>
                <w:color w:val="000000" w:themeColor="text1"/>
                <w:sz w:val="22"/>
                <w:szCs w:val="22"/>
              </w:rPr>
              <w:t>b</w:t>
            </w:r>
            <w:r w:rsidRPr="009E35ED">
              <w:rPr>
                <w:rFonts w:ascii="Arial Narrow" w:hAnsi="Arial Narrow"/>
                <w:color w:val="000000" w:themeColor="text1"/>
                <w:sz w:val="22"/>
                <w:szCs w:val="22"/>
              </w:rPr>
              <w:t>ranches</w:t>
            </w:r>
          </w:p>
        </w:tc>
        <w:tc>
          <w:tcPr>
            <w:tcW w:w="1416" w:type="dxa"/>
            <w:tcBorders>
              <w:top w:val="nil"/>
              <w:left w:val="nil"/>
              <w:bottom w:val="nil"/>
              <w:right w:val="nil"/>
            </w:tcBorders>
            <w:shd w:val="clear" w:color="auto" w:fill="auto"/>
            <w:noWrap/>
          </w:tcPr>
          <w:p w14:paraId="1F37C133" w14:textId="76F34698" w:rsidR="003D1E7A" w:rsidRPr="009E35ED" w:rsidRDefault="003D1E7A" w:rsidP="00BF4257">
            <w:pPr>
              <w:ind w:left="0" w:right="-91"/>
              <w:jc w:val="right"/>
              <w:rPr>
                <w:rFonts w:ascii="Arial Narrow" w:hAnsi="Arial Narrow" w:cs="Arial"/>
                <w:color w:val="000000" w:themeColor="text1"/>
                <w:sz w:val="22"/>
                <w:szCs w:val="22"/>
              </w:rPr>
            </w:pPr>
            <w:r w:rsidRPr="009E35ED">
              <w:rPr>
                <w:rFonts w:ascii="Arial Narrow" w:hAnsi="Arial Narrow"/>
                <w:color w:val="000000" w:themeColor="text1"/>
                <w:sz w:val="22"/>
                <w:szCs w:val="22"/>
              </w:rPr>
              <w:t xml:space="preserve"> (2,130)</w:t>
            </w:r>
          </w:p>
        </w:tc>
      </w:tr>
      <w:tr w:rsidR="00997F75" w:rsidRPr="009E35ED" w14:paraId="309E8034" w14:textId="77777777" w:rsidTr="00BF4257">
        <w:trPr>
          <w:trHeight w:val="278"/>
        </w:trPr>
        <w:tc>
          <w:tcPr>
            <w:tcW w:w="7290" w:type="dxa"/>
            <w:tcBorders>
              <w:top w:val="nil"/>
              <w:left w:val="nil"/>
              <w:bottom w:val="nil"/>
              <w:right w:val="nil"/>
            </w:tcBorders>
            <w:shd w:val="clear" w:color="auto" w:fill="auto"/>
            <w:noWrap/>
            <w:hideMark/>
          </w:tcPr>
          <w:p w14:paraId="79B24E2A" w14:textId="71F833F4" w:rsidR="003D1E7A" w:rsidRPr="009E35ED" w:rsidRDefault="003D1E7A" w:rsidP="00BF4257">
            <w:pPr>
              <w:ind w:left="-108"/>
              <w:jc w:val="left"/>
              <w:rPr>
                <w:rFonts w:ascii="Arial Narrow" w:hAnsi="Arial Narrow" w:cs="Arial"/>
                <w:color w:val="000000" w:themeColor="text1"/>
                <w:sz w:val="22"/>
                <w:szCs w:val="22"/>
                <w:lang w:val="en-PH" w:eastAsia="en-PH"/>
              </w:rPr>
            </w:pPr>
            <w:r w:rsidRPr="009E35ED">
              <w:rPr>
                <w:rFonts w:ascii="Arial Narrow" w:hAnsi="Arial Narrow"/>
                <w:color w:val="000000" w:themeColor="text1"/>
                <w:sz w:val="22"/>
                <w:szCs w:val="22"/>
              </w:rPr>
              <w:t xml:space="preserve">Adjustment/Recording of </w:t>
            </w:r>
            <w:r w:rsidR="00077932">
              <w:rPr>
                <w:rFonts w:ascii="Arial Narrow" w:hAnsi="Arial Narrow"/>
                <w:color w:val="000000" w:themeColor="text1"/>
                <w:sz w:val="22"/>
                <w:szCs w:val="22"/>
              </w:rPr>
              <w:t>m</w:t>
            </w:r>
            <w:r w:rsidRPr="009E35ED">
              <w:rPr>
                <w:rFonts w:ascii="Arial Narrow" w:hAnsi="Arial Narrow"/>
                <w:color w:val="000000" w:themeColor="text1"/>
                <w:sz w:val="22"/>
                <w:szCs w:val="22"/>
              </w:rPr>
              <w:t xml:space="preserve">aintenance and </w:t>
            </w:r>
            <w:r w:rsidR="00077932">
              <w:rPr>
                <w:rFonts w:ascii="Arial Narrow" w:hAnsi="Arial Narrow"/>
                <w:color w:val="000000" w:themeColor="text1"/>
                <w:sz w:val="22"/>
                <w:szCs w:val="22"/>
              </w:rPr>
              <w:t>o</w:t>
            </w:r>
            <w:r w:rsidRPr="009E35ED">
              <w:rPr>
                <w:rFonts w:ascii="Arial Narrow" w:hAnsi="Arial Narrow"/>
                <w:color w:val="000000" w:themeColor="text1"/>
                <w:sz w:val="22"/>
                <w:szCs w:val="22"/>
              </w:rPr>
              <w:t xml:space="preserve">ther </w:t>
            </w:r>
            <w:r w:rsidR="00077932">
              <w:rPr>
                <w:rFonts w:ascii="Arial Narrow" w:hAnsi="Arial Narrow"/>
                <w:color w:val="000000" w:themeColor="text1"/>
                <w:sz w:val="22"/>
                <w:szCs w:val="22"/>
              </w:rPr>
              <w:t>o</w:t>
            </w:r>
            <w:r w:rsidRPr="009E35ED">
              <w:rPr>
                <w:rFonts w:ascii="Arial Narrow" w:hAnsi="Arial Narrow"/>
                <w:color w:val="000000" w:themeColor="text1"/>
                <w:sz w:val="22"/>
                <w:szCs w:val="22"/>
              </w:rPr>
              <w:t xml:space="preserve">perating </w:t>
            </w:r>
            <w:r w:rsidR="00077932">
              <w:rPr>
                <w:rFonts w:ascii="Arial Narrow" w:hAnsi="Arial Narrow"/>
                <w:color w:val="000000" w:themeColor="text1"/>
                <w:sz w:val="22"/>
                <w:szCs w:val="22"/>
              </w:rPr>
              <w:t>e</w:t>
            </w:r>
            <w:r w:rsidRPr="009E35ED">
              <w:rPr>
                <w:rFonts w:ascii="Arial Narrow" w:hAnsi="Arial Narrow"/>
                <w:color w:val="000000" w:themeColor="text1"/>
                <w:sz w:val="22"/>
                <w:szCs w:val="22"/>
              </w:rPr>
              <w:t>xpenses-</w:t>
            </w:r>
            <w:r w:rsidR="00077932">
              <w:rPr>
                <w:rFonts w:ascii="Arial Narrow" w:hAnsi="Arial Narrow"/>
                <w:color w:val="000000" w:themeColor="text1"/>
                <w:sz w:val="22"/>
                <w:szCs w:val="22"/>
              </w:rPr>
              <w:t>h</w:t>
            </w:r>
            <w:r w:rsidRPr="009E35ED">
              <w:rPr>
                <w:rFonts w:ascii="Arial Narrow" w:hAnsi="Arial Narrow"/>
                <w:color w:val="000000" w:themeColor="text1"/>
                <w:sz w:val="22"/>
                <w:szCs w:val="22"/>
              </w:rPr>
              <w:t xml:space="preserve">ead </w:t>
            </w:r>
            <w:r w:rsidR="00077932">
              <w:rPr>
                <w:rFonts w:ascii="Arial Narrow" w:hAnsi="Arial Narrow"/>
                <w:color w:val="000000" w:themeColor="text1"/>
                <w:sz w:val="22"/>
                <w:szCs w:val="22"/>
              </w:rPr>
              <w:t>o</w:t>
            </w:r>
            <w:r w:rsidRPr="009E35ED">
              <w:rPr>
                <w:rFonts w:ascii="Arial Narrow" w:hAnsi="Arial Narrow"/>
                <w:color w:val="000000" w:themeColor="text1"/>
                <w:sz w:val="22"/>
                <w:szCs w:val="22"/>
              </w:rPr>
              <w:t>ffice</w:t>
            </w:r>
          </w:p>
        </w:tc>
        <w:tc>
          <w:tcPr>
            <w:tcW w:w="1416" w:type="dxa"/>
            <w:tcBorders>
              <w:top w:val="nil"/>
              <w:left w:val="nil"/>
              <w:bottom w:val="nil"/>
              <w:right w:val="nil"/>
            </w:tcBorders>
            <w:shd w:val="clear" w:color="auto" w:fill="auto"/>
            <w:noWrap/>
            <w:hideMark/>
          </w:tcPr>
          <w:p w14:paraId="486D9FF6" w14:textId="2A24888A" w:rsidR="003D1E7A" w:rsidRPr="009E35ED" w:rsidRDefault="003D1E7A" w:rsidP="00BF4257">
            <w:pPr>
              <w:ind w:left="0" w:right="-91"/>
              <w:jc w:val="right"/>
              <w:rPr>
                <w:rFonts w:ascii="Arial Narrow" w:hAnsi="Arial Narrow" w:cs="Arial"/>
                <w:color w:val="000000" w:themeColor="text1"/>
                <w:sz w:val="22"/>
                <w:szCs w:val="22"/>
                <w:lang w:val="en-PH" w:eastAsia="en-PH"/>
              </w:rPr>
            </w:pPr>
            <w:r w:rsidRPr="009E35ED">
              <w:rPr>
                <w:rFonts w:ascii="Arial Narrow" w:hAnsi="Arial Narrow"/>
                <w:color w:val="000000" w:themeColor="text1"/>
                <w:sz w:val="22"/>
                <w:szCs w:val="22"/>
              </w:rPr>
              <w:t xml:space="preserve"> 3,689,625 </w:t>
            </w:r>
          </w:p>
        </w:tc>
      </w:tr>
      <w:tr w:rsidR="00997F75" w:rsidRPr="009E35ED" w14:paraId="564716DB" w14:textId="77777777" w:rsidTr="00BF4257">
        <w:trPr>
          <w:trHeight w:val="308"/>
        </w:trPr>
        <w:tc>
          <w:tcPr>
            <w:tcW w:w="7290" w:type="dxa"/>
            <w:tcBorders>
              <w:top w:val="single" w:sz="4" w:space="0" w:color="auto"/>
              <w:left w:val="nil"/>
              <w:bottom w:val="double" w:sz="6" w:space="0" w:color="auto"/>
              <w:right w:val="nil"/>
            </w:tcBorders>
            <w:shd w:val="clear" w:color="auto" w:fill="auto"/>
            <w:noWrap/>
            <w:hideMark/>
          </w:tcPr>
          <w:p w14:paraId="4BA90A94" w14:textId="77777777" w:rsidR="003D1E7A" w:rsidRPr="009E35ED" w:rsidRDefault="003D1E7A" w:rsidP="00BF4257">
            <w:pPr>
              <w:ind w:left="-108"/>
              <w:jc w:val="left"/>
              <w:rPr>
                <w:rFonts w:ascii="Arial Narrow" w:hAnsi="Arial Narrow" w:cs="Arial"/>
                <w:b/>
                <w:bCs/>
                <w:color w:val="000000" w:themeColor="text1"/>
                <w:sz w:val="22"/>
                <w:szCs w:val="22"/>
                <w:lang w:val="en-PH" w:eastAsia="en-PH"/>
              </w:rPr>
            </w:pPr>
            <w:r w:rsidRPr="009E35ED">
              <w:rPr>
                <w:rFonts w:ascii="Arial Narrow" w:hAnsi="Arial Narrow"/>
                <w:b/>
                <w:bCs/>
                <w:color w:val="000000" w:themeColor="text1"/>
                <w:sz w:val="22"/>
                <w:szCs w:val="22"/>
              </w:rPr>
              <w:t>Restated Amount as of December 31, 2022-Due to Officers and Employees</w:t>
            </w:r>
          </w:p>
        </w:tc>
        <w:tc>
          <w:tcPr>
            <w:tcW w:w="1416" w:type="dxa"/>
            <w:tcBorders>
              <w:top w:val="single" w:sz="4" w:space="0" w:color="auto"/>
              <w:left w:val="nil"/>
              <w:bottom w:val="double" w:sz="6" w:space="0" w:color="auto"/>
              <w:right w:val="nil"/>
            </w:tcBorders>
            <w:shd w:val="clear" w:color="auto" w:fill="auto"/>
            <w:noWrap/>
            <w:hideMark/>
          </w:tcPr>
          <w:p w14:paraId="2F07B8BE" w14:textId="083164A3" w:rsidR="003D1E7A" w:rsidRPr="009E35ED" w:rsidRDefault="003D1E7A" w:rsidP="00BF4257">
            <w:pPr>
              <w:ind w:left="0" w:right="-91"/>
              <w:jc w:val="right"/>
              <w:rPr>
                <w:rFonts w:ascii="Arial Narrow" w:hAnsi="Arial Narrow" w:cs="Arial"/>
                <w:b/>
                <w:bCs/>
                <w:color w:val="000000" w:themeColor="text1"/>
                <w:sz w:val="22"/>
                <w:szCs w:val="22"/>
                <w:lang w:val="en-PH" w:eastAsia="en-PH"/>
              </w:rPr>
            </w:pPr>
            <w:r w:rsidRPr="009E35ED">
              <w:rPr>
                <w:rFonts w:ascii="Arial Narrow" w:hAnsi="Arial Narrow"/>
                <w:b/>
                <w:bCs/>
                <w:color w:val="000000" w:themeColor="text1"/>
                <w:sz w:val="22"/>
                <w:szCs w:val="22"/>
              </w:rPr>
              <w:t xml:space="preserve"> 30,791,42</w:t>
            </w:r>
            <w:r w:rsidR="00153B82" w:rsidRPr="009E35ED">
              <w:rPr>
                <w:rFonts w:ascii="Arial Narrow" w:hAnsi="Arial Narrow"/>
                <w:b/>
                <w:bCs/>
                <w:color w:val="000000" w:themeColor="text1"/>
                <w:sz w:val="22"/>
                <w:szCs w:val="22"/>
              </w:rPr>
              <w:t>3</w:t>
            </w:r>
            <w:r w:rsidRPr="009E35ED">
              <w:rPr>
                <w:rFonts w:ascii="Arial Narrow" w:hAnsi="Arial Narrow"/>
                <w:b/>
                <w:bCs/>
                <w:color w:val="000000" w:themeColor="text1"/>
                <w:sz w:val="22"/>
                <w:szCs w:val="22"/>
              </w:rPr>
              <w:t xml:space="preserve"> </w:t>
            </w:r>
          </w:p>
        </w:tc>
      </w:tr>
      <w:tr w:rsidR="00997F75" w:rsidRPr="009E35ED" w14:paraId="0C04A69C" w14:textId="77777777" w:rsidTr="00BF4257">
        <w:trPr>
          <w:trHeight w:val="293"/>
        </w:trPr>
        <w:tc>
          <w:tcPr>
            <w:tcW w:w="7290" w:type="dxa"/>
            <w:tcBorders>
              <w:top w:val="nil"/>
              <w:left w:val="nil"/>
              <w:bottom w:val="nil"/>
              <w:right w:val="nil"/>
            </w:tcBorders>
            <w:shd w:val="clear" w:color="auto" w:fill="auto"/>
            <w:noWrap/>
            <w:vAlign w:val="bottom"/>
          </w:tcPr>
          <w:p w14:paraId="5354D937" w14:textId="77777777" w:rsidR="008C35AD" w:rsidRPr="009E35ED" w:rsidRDefault="008C35AD" w:rsidP="008C35AD">
            <w:pPr>
              <w:ind w:left="0"/>
              <w:jc w:val="left"/>
              <w:rPr>
                <w:rFonts w:ascii="Arial Narrow" w:hAnsi="Arial Narrow" w:cs="Arial"/>
                <w:color w:val="000000" w:themeColor="text1"/>
                <w:sz w:val="22"/>
                <w:szCs w:val="22"/>
              </w:rPr>
            </w:pPr>
          </w:p>
        </w:tc>
        <w:tc>
          <w:tcPr>
            <w:tcW w:w="1416" w:type="dxa"/>
            <w:tcBorders>
              <w:top w:val="nil"/>
              <w:left w:val="nil"/>
              <w:bottom w:val="nil"/>
              <w:right w:val="nil"/>
            </w:tcBorders>
            <w:shd w:val="clear" w:color="auto" w:fill="auto"/>
            <w:noWrap/>
            <w:vAlign w:val="bottom"/>
          </w:tcPr>
          <w:p w14:paraId="791DEC71" w14:textId="77777777" w:rsidR="008C35AD" w:rsidRPr="009E35ED" w:rsidRDefault="008C35AD" w:rsidP="008C35AD">
            <w:pPr>
              <w:ind w:left="0"/>
              <w:jc w:val="right"/>
              <w:rPr>
                <w:rFonts w:ascii="Arial Narrow" w:hAnsi="Arial Narrow" w:cs="Arial"/>
                <w:color w:val="000000" w:themeColor="text1"/>
                <w:sz w:val="22"/>
                <w:szCs w:val="22"/>
              </w:rPr>
            </w:pPr>
          </w:p>
        </w:tc>
      </w:tr>
      <w:tr w:rsidR="00997F75" w:rsidRPr="009E35ED" w14:paraId="63466077" w14:textId="77777777" w:rsidTr="00BF4257">
        <w:trPr>
          <w:trHeight w:val="278"/>
        </w:trPr>
        <w:tc>
          <w:tcPr>
            <w:tcW w:w="7290" w:type="dxa"/>
            <w:tcBorders>
              <w:top w:val="nil"/>
              <w:left w:val="nil"/>
              <w:bottom w:val="nil"/>
              <w:right w:val="nil"/>
            </w:tcBorders>
            <w:shd w:val="clear" w:color="auto" w:fill="auto"/>
            <w:noWrap/>
          </w:tcPr>
          <w:p w14:paraId="66400591" w14:textId="59EDFF7D" w:rsidR="0095296A" w:rsidRPr="009E35ED" w:rsidRDefault="0095296A" w:rsidP="00BF4257">
            <w:pPr>
              <w:ind w:left="-108"/>
              <w:jc w:val="left"/>
              <w:rPr>
                <w:rFonts w:ascii="Arial Narrow" w:hAnsi="Arial Narrow" w:cs="Arial"/>
                <w:color w:val="000000" w:themeColor="text1"/>
                <w:sz w:val="22"/>
                <w:szCs w:val="22"/>
              </w:rPr>
            </w:pPr>
            <w:r w:rsidRPr="009E35ED">
              <w:rPr>
                <w:rFonts w:ascii="Arial Narrow" w:hAnsi="Arial Narrow"/>
                <w:color w:val="000000" w:themeColor="text1"/>
                <w:sz w:val="22"/>
                <w:szCs w:val="22"/>
              </w:rPr>
              <w:t xml:space="preserve">Unrestated </w:t>
            </w:r>
            <w:r w:rsidR="00077932">
              <w:rPr>
                <w:rFonts w:ascii="Arial Narrow" w:hAnsi="Arial Narrow"/>
                <w:color w:val="000000" w:themeColor="text1"/>
                <w:sz w:val="22"/>
                <w:szCs w:val="22"/>
              </w:rPr>
              <w:t>a</w:t>
            </w:r>
            <w:r w:rsidRPr="009E35ED">
              <w:rPr>
                <w:rFonts w:ascii="Arial Narrow" w:hAnsi="Arial Narrow"/>
                <w:color w:val="000000" w:themeColor="text1"/>
                <w:sz w:val="22"/>
                <w:szCs w:val="22"/>
              </w:rPr>
              <w:t>mount as of December 31, 2022</w:t>
            </w:r>
          </w:p>
        </w:tc>
        <w:tc>
          <w:tcPr>
            <w:tcW w:w="1416" w:type="dxa"/>
            <w:tcBorders>
              <w:top w:val="nil"/>
              <w:left w:val="nil"/>
              <w:bottom w:val="nil"/>
              <w:right w:val="nil"/>
            </w:tcBorders>
            <w:shd w:val="clear" w:color="auto" w:fill="auto"/>
            <w:noWrap/>
          </w:tcPr>
          <w:p w14:paraId="41227DF1" w14:textId="6C748D27" w:rsidR="0095296A" w:rsidRPr="009E35ED" w:rsidRDefault="0095296A" w:rsidP="00BF4257">
            <w:pPr>
              <w:ind w:left="0" w:right="-91"/>
              <w:jc w:val="right"/>
              <w:rPr>
                <w:rFonts w:ascii="Arial Narrow" w:hAnsi="Arial Narrow" w:cs="Arial"/>
                <w:color w:val="000000" w:themeColor="text1"/>
                <w:sz w:val="22"/>
                <w:szCs w:val="22"/>
              </w:rPr>
            </w:pPr>
            <w:r w:rsidRPr="009E35ED">
              <w:rPr>
                <w:rFonts w:ascii="Arial Narrow" w:hAnsi="Arial Narrow"/>
                <w:color w:val="000000" w:themeColor="text1"/>
                <w:sz w:val="22"/>
                <w:szCs w:val="22"/>
              </w:rPr>
              <w:t xml:space="preserve"> 133,872,186 </w:t>
            </w:r>
          </w:p>
        </w:tc>
      </w:tr>
      <w:tr w:rsidR="00997F75" w:rsidRPr="009E35ED" w14:paraId="29E01F3B" w14:textId="77777777" w:rsidTr="00BF4257">
        <w:trPr>
          <w:trHeight w:val="278"/>
        </w:trPr>
        <w:tc>
          <w:tcPr>
            <w:tcW w:w="7290" w:type="dxa"/>
            <w:tcBorders>
              <w:top w:val="nil"/>
              <w:left w:val="nil"/>
              <w:bottom w:val="nil"/>
              <w:right w:val="nil"/>
            </w:tcBorders>
            <w:shd w:val="clear" w:color="auto" w:fill="auto"/>
            <w:noWrap/>
            <w:hideMark/>
          </w:tcPr>
          <w:p w14:paraId="523F27C9" w14:textId="3A1F6FF4" w:rsidR="0095296A" w:rsidRPr="009E35ED" w:rsidRDefault="0095296A" w:rsidP="00BF4257">
            <w:pPr>
              <w:ind w:left="-108"/>
              <w:jc w:val="left"/>
              <w:rPr>
                <w:rFonts w:ascii="Arial Narrow" w:hAnsi="Arial Narrow" w:cs="Arial"/>
                <w:color w:val="000000" w:themeColor="text1"/>
                <w:sz w:val="22"/>
                <w:szCs w:val="22"/>
                <w:lang w:val="en-PH" w:eastAsia="en-PH"/>
              </w:rPr>
            </w:pPr>
            <w:r w:rsidRPr="009E35ED">
              <w:rPr>
                <w:rFonts w:ascii="Arial Narrow" w:hAnsi="Arial Narrow"/>
                <w:color w:val="000000" w:themeColor="text1"/>
                <w:sz w:val="22"/>
                <w:szCs w:val="22"/>
              </w:rPr>
              <w:t xml:space="preserve">Adjustment/Recording of </w:t>
            </w:r>
            <w:r w:rsidR="00077932">
              <w:rPr>
                <w:rFonts w:ascii="Arial Narrow" w:hAnsi="Arial Narrow"/>
                <w:color w:val="000000" w:themeColor="text1"/>
                <w:sz w:val="22"/>
                <w:szCs w:val="22"/>
              </w:rPr>
              <w:t>i</w:t>
            </w:r>
            <w:r w:rsidRPr="009E35ED">
              <w:rPr>
                <w:rFonts w:ascii="Arial Narrow" w:hAnsi="Arial Narrow"/>
                <w:color w:val="000000" w:themeColor="text1"/>
                <w:sz w:val="22"/>
                <w:szCs w:val="22"/>
              </w:rPr>
              <w:t xml:space="preserve">nterest </w:t>
            </w:r>
            <w:r w:rsidR="00077932">
              <w:rPr>
                <w:rFonts w:ascii="Arial Narrow" w:hAnsi="Arial Narrow"/>
                <w:color w:val="000000" w:themeColor="text1"/>
                <w:sz w:val="22"/>
                <w:szCs w:val="22"/>
              </w:rPr>
              <w:t>e</w:t>
            </w:r>
            <w:r w:rsidRPr="009E35ED">
              <w:rPr>
                <w:rFonts w:ascii="Arial Narrow" w:hAnsi="Arial Narrow"/>
                <w:color w:val="000000" w:themeColor="text1"/>
                <w:sz w:val="22"/>
                <w:szCs w:val="22"/>
              </w:rPr>
              <w:t xml:space="preserve">xpense - </w:t>
            </w:r>
            <w:r w:rsidR="00077932">
              <w:rPr>
                <w:rFonts w:ascii="Arial Narrow" w:hAnsi="Arial Narrow"/>
                <w:color w:val="000000" w:themeColor="text1"/>
                <w:sz w:val="22"/>
                <w:szCs w:val="22"/>
              </w:rPr>
              <w:t>f</w:t>
            </w:r>
            <w:r w:rsidRPr="009E35ED">
              <w:rPr>
                <w:rFonts w:ascii="Arial Narrow" w:hAnsi="Arial Narrow"/>
                <w:color w:val="000000" w:themeColor="text1"/>
                <w:sz w:val="22"/>
                <w:szCs w:val="22"/>
              </w:rPr>
              <w:t xml:space="preserve">inance </w:t>
            </w:r>
            <w:r w:rsidR="00077932">
              <w:rPr>
                <w:rFonts w:ascii="Arial Narrow" w:hAnsi="Arial Narrow"/>
                <w:color w:val="000000" w:themeColor="text1"/>
                <w:sz w:val="22"/>
                <w:szCs w:val="22"/>
              </w:rPr>
              <w:t>l</w:t>
            </w:r>
            <w:r w:rsidRPr="009E35ED">
              <w:rPr>
                <w:rFonts w:ascii="Arial Narrow" w:hAnsi="Arial Narrow"/>
                <w:color w:val="000000" w:themeColor="text1"/>
                <w:sz w:val="22"/>
                <w:szCs w:val="22"/>
              </w:rPr>
              <w:t xml:space="preserve">ease </w:t>
            </w:r>
            <w:r w:rsidR="00077932">
              <w:rPr>
                <w:rFonts w:ascii="Arial Narrow" w:hAnsi="Arial Narrow"/>
                <w:color w:val="000000" w:themeColor="text1"/>
                <w:sz w:val="22"/>
                <w:szCs w:val="22"/>
              </w:rPr>
              <w:t>p</w:t>
            </w:r>
            <w:r w:rsidRPr="009E35ED">
              <w:rPr>
                <w:rFonts w:ascii="Arial Narrow" w:hAnsi="Arial Narrow"/>
                <w:color w:val="000000" w:themeColor="text1"/>
                <w:sz w:val="22"/>
                <w:szCs w:val="22"/>
              </w:rPr>
              <w:t xml:space="preserve">ayment </w:t>
            </w:r>
            <w:r w:rsidR="00077932">
              <w:rPr>
                <w:rFonts w:ascii="Arial Narrow" w:hAnsi="Arial Narrow"/>
                <w:color w:val="000000" w:themeColor="text1"/>
                <w:sz w:val="22"/>
                <w:szCs w:val="22"/>
              </w:rPr>
              <w:t>p</w:t>
            </w:r>
            <w:r w:rsidRPr="009E35ED">
              <w:rPr>
                <w:rFonts w:ascii="Arial Narrow" w:hAnsi="Arial Narrow"/>
                <w:color w:val="000000" w:themeColor="text1"/>
                <w:sz w:val="22"/>
                <w:szCs w:val="22"/>
              </w:rPr>
              <w:t>ayable</w:t>
            </w:r>
          </w:p>
        </w:tc>
        <w:tc>
          <w:tcPr>
            <w:tcW w:w="1416" w:type="dxa"/>
            <w:tcBorders>
              <w:top w:val="nil"/>
              <w:left w:val="nil"/>
              <w:bottom w:val="nil"/>
              <w:right w:val="nil"/>
            </w:tcBorders>
            <w:shd w:val="clear" w:color="auto" w:fill="auto"/>
            <w:noWrap/>
            <w:hideMark/>
          </w:tcPr>
          <w:p w14:paraId="5BE63730" w14:textId="1953A0D9" w:rsidR="0095296A" w:rsidRPr="009E35ED" w:rsidRDefault="0095296A" w:rsidP="00BF4257">
            <w:pPr>
              <w:ind w:left="0" w:right="-91"/>
              <w:jc w:val="right"/>
              <w:rPr>
                <w:rFonts w:ascii="Arial Narrow" w:hAnsi="Arial Narrow" w:cs="Arial"/>
                <w:color w:val="000000" w:themeColor="text1"/>
                <w:sz w:val="22"/>
                <w:szCs w:val="22"/>
                <w:lang w:val="en-PH" w:eastAsia="en-PH"/>
              </w:rPr>
            </w:pPr>
            <w:r w:rsidRPr="009E35ED">
              <w:rPr>
                <w:rFonts w:ascii="Arial Narrow" w:hAnsi="Arial Narrow"/>
                <w:color w:val="000000" w:themeColor="text1"/>
                <w:sz w:val="22"/>
                <w:szCs w:val="22"/>
              </w:rPr>
              <w:t xml:space="preserve"> (39,122)</w:t>
            </w:r>
          </w:p>
        </w:tc>
      </w:tr>
      <w:tr w:rsidR="00302171" w:rsidRPr="009E35ED" w14:paraId="773E2681" w14:textId="77777777" w:rsidTr="00BF4257">
        <w:trPr>
          <w:trHeight w:val="308"/>
        </w:trPr>
        <w:tc>
          <w:tcPr>
            <w:tcW w:w="7290" w:type="dxa"/>
            <w:tcBorders>
              <w:top w:val="single" w:sz="4" w:space="0" w:color="auto"/>
              <w:left w:val="nil"/>
              <w:bottom w:val="double" w:sz="6" w:space="0" w:color="auto"/>
              <w:right w:val="nil"/>
            </w:tcBorders>
            <w:shd w:val="clear" w:color="auto" w:fill="auto"/>
            <w:noWrap/>
            <w:hideMark/>
          </w:tcPr>
          <w:p w14:paraId="161AD867" w14:textId="30624317" w:rsidR="0095296A" w:rsidRPr="009E35ED" w:rsidRDefault="0095296A" w:rsidP="00BF4257">
            <w:pPr>
              <w:ind w:left="-108"/>
              <w:jc w:val="left"/>
              <w:rPr>
                <w:rFonts w:ascii="Arial Narrow" w:hAnsi="Arial Narrow" w:cs="Arial"/>
                <w:b/>
                <w:bCs/>
                <w:color w:val="000000" w:themeColor="text1"/>
                <w:sz w:val="22"/>
                <w:szCs w:val="22"/>
                <w:lang w:val="en-PH" w:eastAsia="en-PH"/>
              </w:rPr>
            </w:pPr>
            <w:r w:rsidRPr="009E35ED">
              <w:rPr>
                <w:rFonts w:ascii="Arial Narrow" w:hAnsi="Arial Narrow"/>
                <w:b/>
                <w:bCs/>
                <w:color w:val="000000" w:themeColor="text1"/>
                <w:sz w:val="22"/>
                <w:szCs w:val="22"/>
              </w:rPr>
              <w:t>Restated Amount as of December 31, 2022-Finance Lease Payable</w:t>
            </w:r>
          </w:p>
        </w:tc>
        <w:tc>
          <w:tcPr>
            <w:tcW w:w="1416" w:type="dxa"/>
            <w:tcBorders>
              <w:top w:val="single" w:sz="4" w:space="0" w:color="auto"/>
              <w:left w:val="nil"/>
              <w:bottom w:val="double" w:sz="6" w:space="0" w:color="auto"/>
              <w:right w:val="nil"/>
            </w:tcBorders>
            <w:shd w:val="clear" w:color="auto" w:fill="auto"/>
            <w:noWrap/>
            <w:hideMark/>
          </w:tcPr>
          <w:p w14:paraId="1EECA337" w14:textId="5C8D18E2" w:rsidR="0095296A" w:rsidRPr="009E35ED" w:rsidRDefault="0095296A" w:rsidP="00BF4257">
            <w:pPr>
              <w:ind w:left="0" w:right="-91"/>
              <w:jc w:val="right"/>
              <w:rPr>
                <w:rFonts w:ascii="Arial Narrow" w:hAnsi="Arial Narrow" w:cs="Arial"/>
                <w:b/>
                <w:bCs/>
                <w:color w:val="000000" w:themeColor="text1"/>
                <w:sz w:val="22"/>
                <w:szCs w:val="22"/>
                <w:lang w:val="en-PH" w:eastAsia="en-PH"/>
              </w:rPr>
            </w:pPr>
            <w:r w:rsidRPr="009E35ED">
              <w:rPr>
                <w:rFonts w:ascii="Arial Narrow" w:hAnsi="Arial Narrow"/>
                <w:b/>
                <w:bCs/>
                <w:color w:val="000000" w:themeColor="text1"/>
                <w:sz w:val="22"/>
                <w:szCs w:val="22"/>
              </w:rPr>
              <w:t xml:space="preserve"> 133,833,064 </w:t>
            </w:r>
          </w:p>
        </w:tc>
      </w:tr>
    </w:tbl>
    <w:p w14:paraId="21E1978A" w14:textId="77777777" w:rsidR="00146E6B" w:rsidRPr="009E35ED" w:rsidRDefault="00146E6B" w:rsidP="00803F8C">
      <w:pPr>
        <w:suppressAutoHyphens/>
        <w:ind w:left="0"/>
        <w:rPr>
          <w:rFonts w:ascii="Arial" w:hAnsi="Arial" w:cs="Arial"/>
          <w:bCs/>
          <w:color w:val="000000" w:themeColor="text1"/>
          <w:sz w:val="22"/>
          <w:szCs w:val="22"/>
          <w:lang w:eastAsia="ar-SA"/>
        </w:rPr>
      </w:pPr>
    </w:p>
    <w:p w14:paraId="667F59D4" w14:textId="068C53A8" w:rsidR="002D37F6" w:rsidRPr="009E35ED" w:rsidRDefault="002D37F6" w:rsidP="00803F8C">
      <w:pPr>
        <w:suppressAutoHyphens/>
        <w:ind w:left="0"/>
        <w:rPr>
          <w:rFonts w:ascii="Arial" w:hAnsi="Arial" w:cs="Arial"/>
          <w:bCs/>
          <w:color w:val="000000" w:themeColor="text1"/>
          <w:sz w:val="22"/>
          <w:szCs w:val="22"/>
          <w:lang w:eastAsia="ar-SA"/>
        </w:rPr>
      </w:pPr>
      <w:r w:rsidRPr="009E35ED">
        <w:rPr>
          <w:rFonts w:ascii="Arial" w:hAnsi="Arial" w:cs="Arial"/>
          <w:bCs/>
          <w:color w:val="000000" w:themeColor="text1"/>
          <w:sz w:val="22"/>
          <w:szCs w:val="22"/>
          <w:lang w:eastAsia="ar-SA"/>
        </w:rPr>
        <w:t xml:space="preserve">The </w:t>
      </w:r>
      <w:r w:rsidR="00BA45D5" w:rsidRPr="009E35ED">
        <w:rPr>
          <w:rFonts w:ascii="Arial" w:hAnsi="Arial" w:cs="Arial"/>
          <w:bCs/>
          <w:color w:val="000000" w:themeColor="text1"/>
          <w:sz w:val="22"/>
          <w:szCs w:val="22"/>
          <w:lang w:eastAsia="ar-SA"/>
        </w:rPr>
        <w:t xml:space="preserve">Miscellaneous </w:t>
      </w:r>
      <w:r w:rsidR="00077932">
        <w:rPr>
          <w:rFonts w:ascii="Arial" w:hAnsi="Arial" w:cs="Arial"/>
          <w:bCs/>
          <w:color w:val="000000" w:themeColor="text1"/>
          <w:sz w:val="22"/>
          <w:szCs w:val="22"/>
          <w:lang w:eastAsia="ar-SA"/>
        </w:rPr>
        <w:t>a</w:t>
      </w:r>
      <w:r w:rsidRPr="009E35ED">
        <w:rPr>
          <w:rFonts w:ascii="Arial" w:hAnsi="Arial" w:cs="Arial"/>
          <w:bCs/>
          <w:color w:val="000000" w:themeColor="text1"/>
          <w:sz w:val="22"/>
          <w:szCs w:val="22"/>
          <w:lang w:eastAsia="ar-SA"/>
        </w:rPr>
        <w:t xml:space="preserve">ccounts </w:t>
      </w:r>
      <w:r w:rsidR="00077932">
        <w:rPr>
          <w:rFonts w:ascii="Arial" w:hAnsi="Arial" w:cs="Arial"/>
          <w:bCs/>
          <w:color w:val="000000" w:themeColor="text1"/>
          <w:sz w:val="22"/>
          <w:szCs w:val="22"/>
          <w:lang w:eastAsia="ar-SA"/>
        </w:rPr>
        <w:t>p</w:t>
      </w:r>
      <w:r w:rsidRPr="009E35ED">
        <w:rPr>
          <w:rFonts w:ascii="Arial" w:hAnsi="Arial" w:cs="Arial"/>
          <w:bCs/>
          <w:color w:val="000000" w:themeColor="text1"/>
          <w:sz w:val="22"/>
          <w:szCs w:val="22"/>
          <w:lang w:eastAsia="ar-SA"/>
        </w:rPr>
        <w:t>ayable refers to various oblig</w:t>
      </w:r>
      <w:r w:rsidR="005133D5" w:rsidRPr="009E35ED">
        <w:rPr>
          <w:rFonts w:ascii="Arial" w:hAnsi="Arial" w:cs="Arial"/>
          <w:bCs/>
          <w:color w:val="000000" w:themeColor="text1"/>
          <w:sz w:val="22"/>
          <w:szCs w:val="22"/>
          <w:lang w:eastAsia="ar-SA"/>
        </w:rPr>
        <w:t xml:space="preserve">ations being accrued every </w:t>
      </w:r>
      <w:r w:rsidRPr="009E35ED">
        <w:rPr>
          <w:rFonts w:ascii="Arial" w:hAnsi="Arial" w:cs="Arial"/>
          <w:bCs/>
          <w:color w:val="000000" w:themeColor="text1"/>
          <w:sz w:val="22"/>
          <w:szCs w:val="22"/>
          <w:lang w:eastAsia="ar-SA"/>
        </w:rPr>
        <w:t>end</w:t>
      </w:r>
      <w:r w:rsidR="005133D5" w:rsidRPr="009E35ED">
        <w:rPr>
          <w:rFonts w:ascii="Arial" w:hAnsi="Arial" w:cs="Arial"/>
          <w:bCs/>
          <w:color w:val="000000" w:themeColor="text1"/>
          <w:sz w:val="22"/>
          <w:szCs w:val="22"/>
          <w:lang w:eastAsia="ar-SA"/>
        </w:rPr>
        <w:t xml:space="preserve"> of the year</w:t>
      </w:r>
      <w:r w:rsidRPr="009E35ED">
        <w:rPr>
          <w:rFonts w:ascii="Arial" w:hAnsi="Arial" w:cs="Arial"/>
          <w:bCs/>
          <w:color w:val="000000" w:themeColor="text1"/>
          <w:sz w:val="22"/>
          <w:szCs w:val="22"/>
          <w:lang w:eastAsia="ar-SA"/>
        </w:rPr>
        <w:t xml:space="preserve">.  Majority of its components were accrual of Prize </w:t>
      </w:r>
      <w:r w:rsidR="00077932">
        <w:rPr>
          <w:rFonts w:ascii="Arial" w:hAnsi="Arial" w:cs="Arial"/>
          <w:bCs/>
          <w:color w:val="000000" w:themeColor="text1"/>
          <w:sz w:val="22"/>
          <w:szCs w:val="22"/>
          <w:lang w:eastAsia="ar-SA"/>
        </w:rPr>
        <w:t>f</w:t>
      </w:r>
      <w:r w:rsidRPr="009E35ED">
        <w:rPr>
          <w:rFonts w:ascii="Arial" w:hAnsi="Arial" w:cs="Arial"/>
          <w:bCs/>
          <w:color w:val="000000" w:themeColor="text1"/>
          <w:sz w:val="22"/>
          <w:szCs w:val="22"/>
          <w:lang w:eastAsia="ar-SA"/>
        </w:rPr>
        <w:t>und exp</w:t>
      </w:r>
      <w:r w:rsidR="00037462" w:rsidRPr="009E35ED">
        <w:rPr>
          <w:rFonts w:ascii="Arial" w:hAnsi="Arial" w:cs="Arial"/>
          <w:bCs/>
          <w:color w:val="000000" w:themeColor="text1"/>
          <w:sz w:val="22"/>
          <w:szCs w:val="22"/>
          <w:lang w:eastAsia="ar-SA"/>
        </w:rPr>
        <w:t>enses,</w:t>
      </w:r>
      <w:r w:rsidR="00E14C06" w:rsidRPr="009E35ED">
        <w:rPr>
          <w:rFonts w:ascii="Arial" w:hAnsi="Arial" w:cs="Arial"/>
          <w:bCs/>
          <w:color w:val="000000" w:themeColor="text1"/>
          <w:sz w:val="22"/>
          <w:szCs w:val="22"/>
          <w:lang w:eastAsia="ar-SA"/>
        </w:rPr>
        <w:t xml:space="preserve"> </w:t>
      </w:r>
      <w:r w:rsidR="00037462" w:rsidRPr="009E35ED">
        <w:rPr>
          <w:rFonts w:ascii="Arial" w:hAnsi="Arial" w:cs="Arial"/>
          <w:bCs/>
          <w:color w:val="000000" w:themeColor="text1"/>
          <w:sz w:val="22"/>
          <w:szCs w:val="22"/>
          <w:lang w:eastAsia="ar-SA"/>
        </w:rPr>
        <w:t xml:space="preserve">various Charity Fund expenses and various Operating </w:t>
      </w:r>
      <w:r w:rsidR="00077932">
        <w:rPr>
          <w:rFonts w:ascii="Arial" w:hAnsi="Arial" w:cs="Arial"/>
          <w:bCs/>
          <w:color w:val="000000" w:themeColor="text1"/>
          <w:sz w:val="22"/>
          <w:szCs w:val="22"/>
          <w:lang w:eastAsia="ar-SA"/>
        </w:rPr>
        <w:t>f</w:t>
      </w:r>
      <w:r w:rsidR="00037462" w:rsidRPr="009E35ED">
        <w:rPr>
          <w:rFonts w:ascii="Arial" w:hAnsi="Arial" w:cs="Arial"/>
          <w:bCs/>
          <w:color w:val="000000" w:themeColor="text1"/>
          <w:sz w:val="22"/>
          <w:szCs w:val="22"/>
          <w:lang w:eastAsia="ar-SA"/>
        </w:rPr>
        <w:t xml:space="preserve">und </w:t>
      </w:r>
      <w:r w:rsidR="00077932">
        <w:rPr>
          <w:rFonts w:ascii="Arial" w:hAnsi="Arial" w:cs="Arial"/>
          <w:bCs/>
          <w:color w:val="000000" w:themeColor="text1"/>
          <w:sz w:val="22"/>
          <w:szCs w:val="22"/>
          <w:lang w:eastAsia="ar-SA"/>
        </w:rPr>
        <w:t>e</w:t>
      </w:r>
      <w:r w:rsidR="00037462" w:rsidRPr="009E35ED">
        <w:rPr>
          <w:rFonts w:ascii="Arial" w:hAnsi="Arial" w:cs="Arial"/>
          <w:bCs/>
          <w:color w:val="000000" w:themeColor="text1"/>
          <w:sz w:val="22"/>
          <w:szCs w:val="22"/>
          <w:lang w:eastAsia="ar-SA"/>
        </w:rPr>
        <w:t>xpenses</w:t>
      </w:r>
      <w:r w:rsidRPr="009E35ED">
        <w:rPr>
          <w:rFonts w:ascii="Arial" w:hAnsi="Arial" w:cs="Arial"/>
          <w:bCs/>
          <w:color w:val="000000" w:themeColor="text1"/>
          <w:sz w:val="22"/>
          <w:szCs w:val="22"/>
          <w:lang w:eastAsia="ar-SA"/>
        </w:rPr>
        <w:t>.</w:t>
      </w:r>
      <w:r w:rsidR="00CE27DC" w:rsidRPr="009E35ED">
        <w:rPr>
          <w:rFonts w:ascii="Arial" w:hAnsi="Arial" w:cs="Arial"/>
          <w:bCs/>
          <w:color w:val="000000" w:themeColor="text1"/>
          <w:sz w:val="22"/>
          <w:szCs w:val="22"/>
          <w:lang w:eastAsia="ar-SA"/>
        </w:rPr>
        <w:t xml:space="preserve"> This account also includes the payables of the </w:t>
      </w:r>
      <w:r w:rsidR="00077932">
        <w:rPr>
          <w:rFonts w:ascii="Arial" w:hAnsi="Arial" w:cs="Arial"/>
          <w:bCs/>
          <w:color w:val="000000" w:themeColor="text1"/>
          <w:sz w:val="22"/>
          <w:szCs w:val="22"/>
          <w:lang w:eastAsia="ar-SA"/>
        </w:rPr>
        <w:t>b</w:t>
      </w:r>
      <w:r w:rsidR="00CE27DC" w:rsidRPr="009E35ED">
        <w:rPr>
          <w:rFonts w:ascii="Arial" w:hAnsi="Arial" w:cs="Arial"/>
          <w:bCs/>
          <w:color w:val="000000" w:themeColor="text1"/>
          <w:sz w:val="22"/>
          <w:szCs w:val="22"/>
          <w:lang w:eastAsia="ar-SA"/>
        </w:rPr>
        <w:t xml:space="preserve">ranch </w:t>
      </w:r>
      <w:r w:rsidR="00077932">
        <w:rPr>
          <w:rFonts w:ascii="Arial" w:hAnsi="Arial" w:cs="Arial"/>
          <w:bCs/>
          <w:color w:val="000000" w:themeColor="text1"/>
          <w:sz w:val="22"/>
          <w:szCs w:val="22"/>
          <w:lang w:eastAsia="ar-SA"/>
        </w:rPr>
        <w:t>o</w:t>
      </w:r>
      <w:r w:rsidR="00CE27DC" w:rsidRPr="009E35ED">
        <w:rPr>
          <w:rFonts w:ascii="Arial" w:hAnsi="Arial" w:cs="Arial"/>
          <w:bCs/>
          <w:color w:val="000000" w:themeColor="text1"/>
          <w:sz w:val="22"/>
          <w:szCs w:val="22"/>
          <w:lang w:eastAsia="ar-SA"/>
        </w:rPr>
        <w:t>ffices.</w:t>
      </w:r>
    </w:p>
    <w:p w14:paraId="3EA60BE8" w14:textId="77777777" w:rsidR="00DC5B26" w:rsidRPr="009E35ED" w:rsidRDefault="00DC5B26" w:rsidP="00803F8C">
      <w:pPr>
        <w:suppressAutoHyphens/>
        <w:ind w:left="0"/>
        <w:rPr>
          <w:rFonts w:ascii="Arial" w:hAnsi="Arial" w:cs="Arial"/>
          <w:bCs/>
          <w:color w:val="000000" w:themeColor="text1"/>
          <w:sz w:val="22"/>
          <w:szCs w:val="22"/>
          <w:lang w:eastAsia="ar-SA"/>
        </w:rPr>
      </w:pPr>
    </w:p>
    <w:p w14:paraId="0323A0B9" w14:textId="7C0000E8" w:rsidR="002D37F6" w:rsidRPr="009E35ED" w:rsidRDefault="002D37F6" w:rsidP="00803F8C">
      <w:pPr>
        <w:suppressAutoHyphens/>
        <w:ind w:left="0"/>
        <w:rPr>
          <w:rFonts w:ascii="Arial" w:hAnsi="Arial" w:cs="Arial"/>
          <w:bCs/>
          <w:color w:val="000000" w:themeColor="text1"/>
          <w:sz w:val="22"/>
          <w:szCs w:val="22"/>
          <w:lang w:eastAsia="ar-SA"/>
        </w:rPr>
      </w:pPr>
      <w:r w:rsidRPr="009E35ED">
        <w:rPr>
          <w:rFonts w:ascii="Arial" w:hAnsi="Arial" w:cs="Arial"/>
          <w:bCs/>
          <w:color w:val="000000" w:themeColor="text1"/>
          <w:sz w:val="22"/>
          <w:szCs w:val="22"/>
          <w:lang w:eastAsia="ar-SA"/>
        </w:rPr>
        <w:t xml:space="preserve">The Vouchers </w:t>
      </w:r>
      <w:r w:rsidR="00077932">
        <w:rPr>
          <w:rFonts w:ascii="Arial" w:hAnsi="Arial" w:cs="Arial"/>
          <w:bCs/>
          <w:color w:val="000000" w:themeColor="text1"/>
          <w:sz w:val="22"/>
          <w:szCs w:val="22"/>
          <w:lang w:eastAsia="ar-SA"/>
        </w:rPr>
        <w:t>p</w:t>
      </w:r>
      <w:r w:rsidRPr="009E35ED">
        <w:rPr>
          <w:rFonts w:ascii="Arial" w:hAnsi="Arial" w:cs="Arial"/>
          <w:bCs/>
          <w:color w:val="000000" w:themeColor="text1"/>
          <w:sz w:val="22"/>
          <w:szCs w:val="22"/>
          <w:lang w:eastAsia="ar-SA"/>
        </w:rPr>
        <w:t>ayable-</w:t>
      </w:r>
      <w:r w:rsidR="00077932">
        <w:rPr>
          <w:rFonts w:ascii="Arial" w:hAnsi="Arial" w:cs="Arial"/>
          <w:bCs/>
          <w:color w:val="000000" w:themeColor="text1"/>
          <w:sz w:val="22"/>
          <w:szCs w:val="22"/>
          <w:lang w:eastAsia="ar-SA"/>
        </w:rPr>
        <w:t>c</w:t>
      </w:r>
      <w:r w:rsidRPr="009E35ED">
        <w:rPr>
          <w:rFonts w:ascii="Arial" w:hAnsi="Arial" w:cs="Arial"/>
          <w:bCs/>
          <w:color w:val="000000" w:themeColor="text1"/>
          <w:sz w:val="22"/>
          <w:szCs w:val="22"/>
          <w:lang w:eastAsia="ar-SA"/>
        </w:rPr>
        <w:t xml:space="preserve">harity </w:t>
      </w:r>
      <w:r w:rsidR="00077932">
        <w:rPr>
          <w:rFonts w:ascii="Arial" w:hAnsi="Arial" w:cs="Arial"/>
          <w:bCs/>
          <w:color w:val="000000" w:themeColor="text1"/>
          <w:sz w:val="22"/>
          <w:szCs w:val="22"/>
          <w:lang w:eastAsia="ar-SA"/>
        </w:rPr>
        <w:t>f</w:t>
      </w:r>
      <w:r w:rsidRPr="009E35ED">
        <w:rPr>
          <w:rFonts w:ascii="Arial" w:hAnsi="Arial" w:cs="Arial"/>
          <w:bCs/>
          <w:color w:val="000000" w:themeColor="text1"/>
          <w:sz w:val="22"/>
          <w:szCs w:val="22"/>
          <w:lang w:eastAsia="ar-SA"/>
        </w:rPr>
        <w:t xml:space="preserve">und refers to various unpaid processed vouchers payable to hospitals and other institutions/agencies as payment for financial assistance under the </w:t>
      </w:r>
      <w:r w:rsidR="00077932">
        <w:rPr>
          <w:rFonts w:ascii="Arial" w:hAnsi="Arial" w:cs="Arial"/>
          <w:bCs/>
          <w:color w:val="000000" w:themeColor="text1"/>
          <w:sz w:val="22"/>
          <w:szCs w:val="22"/>
          <w:lang w:eastAsia="ar-SA"/>
        </w:rPr>
        <w:t>MAP</w:t>
      </w:r>
      <w:r w:rsidRPr="009E35ED">
        <w:rPr>
          <w:rFonts w:ascii="Arial" w:hAnsi="Arial" w:cs="Arial"/>
          <w:bCs/>
          <w:color w:val="000000" w:themeColor="text1"/>
          <w:sz w:val="22"/>
          <w:szCs w:val="22"/>
          <w:lang w:eastAsia="ar-SA"/>
        </w:rPr>
        <w:t xml:space="preserve">, </w:t>
      </w:r>
      <w:r w:rsidR="00077932">
        <w:rPr>
          <w:rFonts w:ascii="Arial" w:hAnsi="Arial" w:cs="Arial"/>
          <w:bCs/>
          <w:color w:val="000000" w:themeColor="text1"/>
          <w:sz w:val="22"/>
          <w:szCs w:val="22"/>
          <w:lang w:eastAsia="ar-SA"/>
        </w:rPr>
        <w:t>m</w:t>
      </w:r>
      <w:r w:rsidRPr="009E35ED">
        <w:rPr>
          <w:rFonts w:ascii="Arial" w:hAnsi="Arial" w:cs="Arial"/>
          <w:bCs/>
          <w:color w:val="000000" w:themeColor="text1"/>
          <w:sz w:val="22"/>
          <w:szCs w:val="22"/>
          <w:lang w:eastAsia="ar-SA"/>
        </w:rPr>
        <w:t xml:space="preserve">andatory </w:t>
      </w:r>
      <w:r w:rsidR="00077932">
        <w:rPr>
          <w:rFonts w:ascii="Arial" w:hAnsi="Arial" w:cs="Arial"/>
          <w:bCs/>
          <w:color w:val="000000" w:themeColor="text1"/>
          <w:sz w:val="22"/>
          <w:szCs w:val="22"/>
          <w:lang w:eastAsia="ar-SA"/>
        </w:rPr>
        <w:t>c</w:t>
      </w:r>
      <w:r w:rsidRPr="009E35ED">
        <w:rPr>
          <w:rFonts w:ascii="Arial" w:hAnsi="Arial" w:cs="Arial"/>
          <w:bCs/>
          <w:color w:val="000000" w:themeColor="text1"/>
          <w:sz w:val="22"/>
          <w:szCs w:val="22"/>
          <w:lang w:eastAsia="ar-SA"/>
        </w:rPr>
        <w:t xml:space="preserve">ontributions and </w:t>
      </w:r>
      <w:r w:rsidR="00077932">
        <w:rPr>
          <w:rFonts w:ascii="Arial" w:hAnsi="Arial" w:cs="Arial"/>
          <w:bCs/>
          <w:color w:val="000000" w:themeColor="text1"/>
          <w:sz w:val="22"/>
          <w:szCs w:val="22"/>
          <w:lang w:eastAsia="ar-SA"/>
        </w:rPr>
        <w:t>o</w:t>
      </w:r>
      <w:r w:rsidRPr="009E35ED">
        <w:rPr>
          <w:rFonts w:ascii="Arial" w:hAnsi="Arial" w:cs="Arial"/>
          <w:bCs/>
          <w:color w:val="000000" w:themeColor="text1"/>
          <w:sz w:val="22"/>
          <w:szCs w:val="22"/>
          <w:lang w:eastAsia="ar-SA"/>
        </w:rPr>
        <w:t xml:space="preserve">ther </w:t>
      </w:r>
      <w:r w:rsidR="00077932">
        <w:rPr>
          <w:rFonts w:ascii="Arial" w:hAnsi="Arial" w:cs="Arial"/>
          <w:bCs/>
          <w:color w:val="000000" w:themeColor="text1"/>
          <w:sz w:val="22"/>
          <w:szCs w:val="22"/>
          <w:lang w:eastAsia="ar-SA"/>
        </w:rPr>
        <w:t>h</w:t>
      </w:r>
      <w:r w:rsidRPr="009E35ED">
        <w:rPr>
          <w:rFonts w:ascii="Arial" w:hAnsi="Arial" w:cs="Arial"/>
          <w:bCs/>
          <w:color w:val="000000" w:themeColor="text1"/>
          <w:sz w:val="22"/>
          <w:szCs w:val="22"/>
          <w:lang w:eastAsia="ar-SA"/>
        </w:rPr>
        <w:t xml:space="preserve">ealth and </w:t>
      </w:r>
      <w:r w:rsidR="00077932">
        <w:rPr>
          <w:rFonts w:ascii="Arial" w:hAnsi="Arial" w:cs="Arial"/>
          <w:bCs/>
          <w:color w:val="000000" w:themeColor="text1"/>
          <w:sz w:val="22"/>
          <w:szCs w:val="22"/>
          <w:lang w:eastAsia="ar-SA"/>
        </w:rPr>
        <w:t>w</w:t>
      </w:r>
      <w:r w:rsidRPr="009E35ED">
        <w:rPr>
          <w:rFonts w:ascii="Arial" w:hAnsi="Arial" w:cs="Arial"/>
          <w:bCs/>
          <w:color w:val="000000" w:themeColor="text1"/>
          <w:sz w:val="22"/>
          <w:szCs w:val="22"/>
          <w:lang w:eastAsia="ar-SA"/>
        </w:rPr>
        <w:t xml:space="preserve">elfare </w:t>
      </w:r>
      <w:r w:rsidR="00077932">
        <w:rPr>
          <w:rFonts w:ascii="Arial" w:hAnsi="Arial" w:cs="Arial"/>
          <w:bCs/>
          <w:color w:val="000000" w:themeColor="text1"/>
          <w:sz w:val="22"/>
          <w:szCs w:val="22"/>
          <w:lang w:eastAsia="ar-SA"/>
        </w:rPr>
        <w:t>p</w:t>
      </w:r>
      <w:r w:rsidRPr="009E35ED">
        <w:rPr>
          <w:rFonts w:ascii="Arial" w:hAnsi="Arial" w:cs="Arial"/>
          <w:bCs/>
          <w:color w:val="000000" w:themeColor="text1"/>
          <w:sz w:val="22"/>
          <w:szCs w:val="22"/>
          <w:lang w:eastAsia="ar-SA"/>
        </w:rPr>
        <w:t>rograms of PCSO.</w:t>
      </w:r>
      <w:r w:rsidR="00CE27DC" w:rsidRPr="009E35ED">
        <w:rPr>
          <w:rFonts w:ascii="Arial" w:hAnsi="Arial" w:cs="Arial"/>
          <w:bCs/>
          <w:color w:val="000000" w:themeColor="text1"/>
          <w:sz w:val="22"/>
          <w:szCs w:val="22"/>
          <w:lang w:eastAsia="ar-SA"/>
        </w:rPr>
        <w:t xml:space="preserve"> This account also includes the payables of the </w:t>
      </w:r>
      <w:r w:rsidR="00077932">
        <w:rPr>
          <w:rFonts w:ascii="Arial" w:hAnsi="Arial" w:cs="Arial"/>
          <w:bCs/>
          <w:color w:val="000000" w:themeColor="text1"/>
          <w:sz w:val="22"/>
          <w:szCs w:val="22"/>
          <w:lang w:eastAsia="ar-SA"/>
        </w:rPr>
        <w:t>b</w:t>
      </w:r>
      <w:r w:rsidR="00CE27DC" w:rsidRPr="009E35ED">
        <w:rPr>
          <w:rFonts w:ascii="Arial" w:hAnsi="Arial" w:cs="Arial"/>
          <w:bCs/>
          <w:color w:val="000000" w:themeColor="text1"/>
          <w:sz w:val="22"/>
          <w:szCs w:val="22"/>
          <w:lang w:eastAsia="ar-SA"/>
        </w:rPr>
        <w:t xml:space="preserve">ranch </w:t>
      </w:r>
      <w:r w:rsidR="00077932">
        <w:rPr>
          <w:rFonts w:ascii="Arial" w:hAnsi="Arial" w:cs="Arial"/>
          <w:bCs/>
          <w:color w:val="000000" w:themeColor="text1"/>
          <w:sz w:val="22"/>
          <w:szCs w:val="22"/>
          <w:lang w:eastAsia="ar-SA"/>
        </w:rPr>
        <w:t>of</w:t>
      </w:r>
      <w:r w:rsidR="00CE27DC" w:rsidRPr="009E35ED">
        <w:rPr>
          <w:rFonts w:ascii="Arial" w:hAnsi="Arial" w:cs="Arial"/>
          <w:bCs/>
          <w:color w:val="000000" w:themeColor="text1"/>
          <w:sz w:val="22"/>
          <w:szCs w:val="22"/>
          <w:lang w:eastAsia="ar-SA"/>
        </w:rPr>
        <w:t>fices.</w:t>
      </w:r>
    </w:p>
    <w:p w14:paraId="08D979BB" w14:textId="77777777" w:rsidR="002D37F6" w:rsidRPr="009E35ED" w:rsidRDefault="002D37F6" w:rsidP="00803F8C">
      <w:pPr>
        <w:suppressAutoHyphens/>
        <w:ind w:left="0"/>
        <w:rPr>
          <w:rFonts w:ascii="Arial" w:hAnsi="Arial" w:cs="Arial"/>
          <w:bCs/>
          <w:color w:val="000000" w:themeColor="text1"/>
          <w:sz w:val="22"/>
          <w:szCs w:val="22"/>
          <w:lang w:eastAsia="ar-SA"/>
        </w:rPr>
      </w:pPr>
    </w:p>
    <w:p w14:paraId="1A1FA7F8" w14:textId="430DE428" w:rsidR="002D37F6" w:rsidRPr="009E35ED" w:rsidRDefault="002D37F6" w:rsidP="00803F8C">
      <w:pPr>
        <w:suppressAutoHyphens/>
        <w:ind w:left="0"/>
        <w:rPr>
          <w:rFonts w:ascii="Arial" w:hAnsi="Arial" w:cs="Arial"/>
          <w:bCs/>
          <w:color w:val="000000" w:themeColor="text1"/>
          <w:sz w:val="22"/>
          <w:szCs w:val="22"/>
          <w:lang w:eastAsia="ar-SA"/>
        </w:rPr>
      </w:pPr>
      <w:r w:rsidRPr="009E35ED">
        <w:rPr>
          <w:rFonts w:ascii="Arial" w:hAnsi="Arial" w:cs="Arial"/>
          <w:bCs/>
          <w:color w:val="000000" w:themeColor="text1"/>
          <w:sz w:val="22"/>
          <w:szCs w:val="22"/>
          <w:lang w:eastAsia="ar-SA"/>
        </w:rPr>
        <w:t xml:space="preserve">The Vouchers </w:t>
      </w:r>
      <w:r w:rsidR="00077932">
        <w:rPr>
          <w:rFonts w:ascii="Arial" w:hAnsi="Arial" w:cs="Arial"/>
          <w:bCs/>
          <w:color w:val="000000" w:themeColor="text1"/>
          <w:sz w:val="22"/>
          <w:szCs w:val="22"/>
          <w:lang w:eastAsia="ar-SA"/>
        </w:rPr>
        <w:t>p</w:t>
      </w:r>
      <w:r w:rsidRPr="009E35ED">
        <w:rPr>
          <w:rFonts w:ascii="Arial" w:hAnsi="Arial" w:cs="Arial"/>
          <w:bCs/>
          <w:color w:val="000000" w:themeColor="text1"/>
          <w:sz w:val="22"/>
          <w:szCs w:val="22"/>
          <w:lang w:eastAsia="ar-SA"/>
        </w:rPr>
        <w:t>ayable-</w:t>
      </w:r>
      <w:r w:rsidR="00077932">
        <w:rPr>
          <w:rFonts w:ascii="Arial" w:hAnsi="Arial" w:cs="Arial"/>
          <w:bCs/>
          <w:color w:val="000000" w:themeColor="text1"/>
          <w:sz w:val="22"/>
          <w:szCs w:val="22"/>
          <w:lang w:eastAsia="ar-SA"/>
        </w:rPr>
        <w:t>o</w:t>
      </w:r>
      <w:r w:rsidRPr="009E35ED">
        <w:rPr>
          <w:rFonts w:ascii="Arial" w:hAnsi="Arial" w:cs="Arial"/>
          <w:bCs/>
          <w:color w:val="000000" w:themeColor="text1"/>
          <w:sz w:val="22"/>
          <w:szCs w:val="22"/>
          <w:lang w:eastAsia="ar-SA"/>
        </w:rPr>
        <w:t xml:space="preserve">perating </w:t>
      </w:r>
      <w:r w:rsidR="00077932">
        <w:rPr>
          <w:rFonts w:ascii="Arial" w:hAnsi="Arial" w:cs="Arial"/>
          <w:bCs/>
          <w:color w:val="000000" w:themeColor="text1"/>
          <w:sz w:val="22"/>
          <w:szCs w:val="22"/>
          <w:lang w:eastAsia="ar-SA"/>
        </w:rPr>
        <w:t>f</w:t>
      </w:r>
      <w:r w:rsidRPr="009E35ED">
        <w:rPr>
          <w:rFonts w:ascii="Arial" w:hAnsi="Arial" w:cs="Arial"/>
          <w:bCs/>
          <w:color w:val="000000" w:themeColor="text1"/>
          <w:sz w:val="22"/>
          <w:szCs w:val="22"/>
          <w:lang w:eastAsia="ar-SA"/>
        </w:rPr>
        <w:t xml:space="preserve">und pertains to processed vouchers for various operating expenses that remains unpaid at year-end. This account also includes the payables of the </w:t>
      </w:r>
      <w:r w:rsidR="00077932">
        <w:rPr>
          <w:rFonts w:ascii="Arial" w:hAnsi="Arial" w:cs="Arial"/>
          <w:bCs/>
          <w:color w:val="000000" w:themeColor="text1"/>
          <w:sz w:val="22"/>
          <w:szCs w:val="22"/>
          <w:lang w:eastAsia="ar-SA"/>
        </w:rPr>
        <w:t>b</w:t>
      </w:r>
      <w:r w:rsidRPr="009E35ED">
        <w:rPr>
          <w:rFonts w:ascii="Arial" w:hAnsi="Arial" w:cs="Arial"/>
          <w:bCs/>
          <w:color w:val="000000" w:themeColor="text1"/>
          <w:sz w:val="22"/>
          <w:szCs w:val="22"/>
          <w:lang w:eastAsia="ar-SA"/>
        </w:rPr>
        <w:t xml:space="preserve">ranch </w:t>
      </w:r>
      <w:r w:rsidR="00077932">
        <w:rPr>
          <w:rFonts w:ascii="Arial" w:hAnsi="Arial" w:cs="Arial"/>
          <w:bCs/>
          <w:color w:val="000000" w:themeColor="text1"/>
          <w:sz w:val="22"/>
          <w:szCs w:val="22"/>
          <w:lang w:eastAsia="ar-SA"/>
        </w:rPr>
        <w:t>o</w:t>
      </w:r>
      <w:r w:rsidRPr="009E35ED">
        <w:rPr>
          <w:rFonts w:ascii="Arial" w:hAnsi="Arial" w:cs="Arial"/>
          <w:bCs/>
          <w:color w:val="000000" w:themeColor="text1"/>
          <w:sz w:val="22"/>
          <w:szCs w:val="22"/>
          <w:lang w:eastAsia="ar-SA"/>
        </w:rPr>
        <w:t>ffices.</w:t>
      </w:r>
    </w:p>
    <w:p w14:paraId="4B7BA5EE" w14:textId="77777777" w:rsidR="002D37F6" w:rsidRPr="009E35ED" w:rsidRDefault="002D37F6" w:rsidP="00803F8C">
      <w:pPr>
        <w:suppressAutoHyphens/>
        <w:ind w:left="0"/>
        <w:rPr>
          <w:rFonts w:ascii="Arial" w:hAnsi="Arial" w:cs="Arial"/>
          <w:bCs/>
          <w:color w:val="000000" w:themeColor="text1"/>
          <w:sz w:val="22"/>
          <w:szCs w:val="22"/>
          <w:lang w:eastAsia="ar-SA"/>
        </w:rPr>
      </w:pPr>
    </w:p>
    <w:p w14:paraId="1D142E1D" w14:textId="026C2517" w:rsidR="00887367" w:rsidRPr="009E35ED" w:rsidRDefault="002D37F6" w:rsidP="00803F8C">
      <w:pPr>
        <w:suppressAutoHyphens/>
        <w:ind w:left="0"/>
        <w:rPr>
          <w:rFonts w:ascii="Arial" w:hAnsi="Arial" w:cs="Arial"/>
          <w:bCs/>
          <w:color w:val="000000" w:themeColor="text1"/>
          <w:sz w:val="22"/>
          <w:szCs w:val="22"/>
          <w:lang w:eastAsia="ar-SA"/>
        </w:rPr>
      </w:pPr>
      <w:r w:rsidRPr="009E35ED">
        <w:rPr>
          <w:rFonts w:ascii="Arial" w:hAnsi="Arial" w:cs="Arial"/>
          <w:bCs/>
          <w:color w:val="000000" w:themeColor="text1"/>
          <w:sz w:val="22"/>
          <w:szCs w:val="22"/>
          <w:lang w:eastAsia="ar-SA"/>
        </w:rPr>
        <w:t xml:space="preserve">The Vouchers </w:t>
      </w:r>
      <w:r w:rsidR="00077932">
        <w:rPr>
          <w:rFonts w:ascii="Arial" w:hAnsi="Arial" w:cs="Arial"/>
          <w:bCs/>
          <w:color w:val="000000" w:themeColor="text1"/>
          <w:sz w:val="22"/>
          <w:szCs w:val="22"/>
          <w:lang w:eastAsia="ar-SA"/>
        </w:rPr>
        <w:t>p</w:t>
      </w:r>
      <w:r w:rsidRPr="009E35ED">
        <w:rPr>
          <w:rFonts w:ascii="Arial" w:hAnsi="Arial" w:cs="Arial"/>
          <w:bCs/>
          <w:color w:val="000000" w:themeColor="text1"/>
          <w:sz w:val="22"/>
          <w:szCs w:val="22"/>
          <w:lang w:eastAsia="ar-SA"/>
        </w:rPr>
        <w:t>ayable-</w:t>
      </w:r>
      <w:r w:rsidR="00077932">
        <w:rPr>
          <w:rFonts w:ascii="Arial" w:hAnsi="Arial" w:cs="Arial"/>
          <w:bCs/>
          <w:color w:val="000000" w:themeColor="text1"/>
          <w:sz w:val="22"/>
          <w:szCs w:val="22"/>
          <w:lang w:eastAsia="ar-SA"/>
        </w:rPr>
        <w:t>p</w:t>
      </w:r>
      <w:r w:rsidRPr="009E35ED">
        <w:rPr>
          <w:rFonts w:ascii="Arial" w:hAnsi="Arial" w:cs="Arial"/>
          <w:bCs/>
          <w:color w:val="000000" w:themeColor="text1"/>
          <w:sz w:val="22"/>
          <w:szCs w:val="22"/>
          <w:lang w:eastAsia="ar-SA"/>
        </w:rPr>
        <w:t xml:space="preserve">rize </w:t>
      </w:r>
      <w:r w:rsidR="00077932">
        <w:rPr>
          <w:rFonts w:ascii="Arial" w:hAnsi="Arial" w:cs="Arial"/>
          <w:bCs/>
          <w:color w:val="000000" w:themeColor="text1"/>
          <w:sz w:val="22"/>
          <w:szCs w:val="22"/>
          <w:lang w:eastAsia="ar-SA"/>
        </w:rPr>
        <w:t>f</w:t>
      </w:r>
      <w:r w:rsidRPr="009E35ED">
        <w:rPr>
          <w:rFonts w:ascii="Arial" w:hAnsi="Arial" w:cs="Arial"/>
          <w:bCs/>
          <w:color w:val="000000" w:themeColor="text1"/>
          <w:sz w:val="22"/>
          <w:szCs w:val="22"/>
          <w:lang w:eastAsia="ar-SA"/>
        </w:rPr>
        <w:t xml:space="preserve">und refers to various unpaid processed vouchers for the payment of Prize </w:t>
      </w:r>
      <w:r w:rsidR="00077932">
        <w:rPr>
          <w:rFonts w:ascii="Arial" w:hAnsi="Arial" w:cs="Arial"/>
          <w:bCs/>
          <w:color w:val="000000" w:themeColor="text1"/>
          <w:sz w:val="22"/>
          <w:szCs w:val="22"/>
          <w:lang w:eastAsia="ar-SA"/>
        </w:rPr>
        <w:t>f</w:t>
      </w:r>
      <w:r w:rsidRPr="009E35ED">
        <w:rPr>
          <w:rFonts w:ascii="Arial" w:hAnsi="Arial" w:cs="Arial"/>
          <w:bCs/>
          <w:color w:val="000000" w:themeColor="text1"/>
          <w:sz w:val="22"/>
          <w:szCs w:val="22"/>
          <w:lang w:eastAsia="ar-SA"/>
        </w:rPr>
        <w:t>und expenses</w:t>
      </w:r>
      <w:r w:rsidR="00A31F80" w:rsidRPr="009E35ED">
        <w:rPr>
          <w:rFonts w:ascii="Arial" w:hAnsi="Arial" w:cs="Arial"/>
          <w:bCs/>
          <w:color w:val="000000" w:themeColor="text1"/>
          <w:sz w:val="22"/>
          <w:szCs w:val="22"/>
          <w:lang w:eastAsia="ar-SA"/>
        </w:rPr>
        <w:t xml:space="preserve"> like the share of Prize </w:t>
      </w:r>
      <w:r w:rsidR="00077932">
        <w:rPr>
          <w:rFonts w:ascii="Arial" w:hAnsi="Arial" w:cs="Arial"/>
          <w:bCs/>
          <w:color w:val="000000" w:themeColor="text1"/>
          <w:sz w:val="22"/>
          <w:szCs w:val="22"/>
          <w:lang w:eastAsia="ar-SA"/>
        </w:rPr>
        <w:t>f</w:t>
      </w:r>
      <w:r w:rsidR="00A31F80" w:rsidRPr="009E35ED">
        <w:rPr>
          <w:rFonts w:ascii="Arial" w:hAnsi="Arial" w:cs="Arial"/>
          <w:bCs/>
          <w:color w:val="000000" w:themeColor="text1"/>
          <w:sz w:val="22"/>
          <w:szCs w:val="22"/>
          <w:lang w:eastAsia="ar-SA"/>
        </w:rPr>
        <w:t xml:space="preserve">und in the </w:t>
      </w:r>
      <w:r w:rsidR="00887367" w:rsidRPr="009E35ED">
        <w:rPr>
          <w:rFonts w:ascii="Arial" w:hAnsi="Arial" w:cs="Arial"/>
          <w:bCs/>
          <w:color w:val="000000" w:themeColor="text1"/>
          <w:sz w:val="22"/>
          <w:szCs w:val="22"/>
          <w:lang w:eastAsia="ar-SA"/>
        </w:rPr>
        <w:t>Equ</w:t>
      </w:r>
      <w:r w:rsidR="00D479A6" w:rsidRPr="009E35ED">
        <w:rPr>
          <w:rFonts w:ascii="Arial" w:hAnsi="Arial" w:cs="Arial"/>
          <w:bCs/>
          <w:color w:val="000000" w:themeColor="text1"/>
          <w:sz w:val="22"/>
          <w:szCs w:val="22"/>
          <w:lang w:eastAsia="ar-SA"/>
        </w:rPr>
        <w:t>ipment Lease Agreement</w:t>
      </w:r>
      <w:r w:rsidR="00887367" w:rsidRPr="009E35ED">
        <w:rPr>
          <w:rFonts w:ascii="Arial" w:hAnsi="Arial" w:cs="Arial"/>
          <w:bCs/>
          <w:color w:val="000000" w:themeColor="text1"/>
          <w:sz w:val="22"/>
          <w:szCs w:val="22"/>
          <w:lang w:eastAsia="ar-SA"/>
        </w:rPr>
        <w:t xml:space="preserve"> (ELA).</w:t>
      </w:r>
    </w:p>
    <w:p w14:paraId="5A9E456E" w14:textId="77777777" w:rsidR="002D37F6" w:rsidRPr="009E35ED" w:rsidRDefault="002D37F6" w:rsidP="00803F8C">
      <w:pPr>
        <w:suppressAutoHyphens/>
        <w:ind w:left="0"/>
        <w:rPr>
          <w:rFonts w:ascii="Arial" w:hAnsi="Arial" w:cs="Arial"/>
          <w:bCs/>
          <w:color w:val="000000" w:themeColor="text1"/>
          <w:sz w:val="22"/>
          <w:szCs w:val="22"/>
          <w:lang w:eastAsia="ar-SA"/>
        </w:rPr>
      </w:pPr>
    </w:p>
    <w:p w14:paraId="04DA7916" w14:textId="782701CE" w:rsidR="002D37F6" w:rsidRPr="009E35ED" w:rsidRDefault="002D37F6" w:rsidP="00803F8C">
      <w:pPr>
        <w:suppressAutoHyphens/>
        <w:ind w:left="0"/>
        <w:rPr>
          <w:rFonts w:ascii="Arial" w:hAnsi="Arial" w:cs="Arial"/>
          <w:bCs/>
          <w:color w:val="000000" w:themeColor="text1"/>
          <w:sz w:val="22"/>
          <w:szCs w:val="22"/>
          <w:lang w:eastAsia="ar-SA"/>
        </w:rPr>
      </w:pPr>
      <w:r w:rsidRPr="009E35ED">
        <w:rPr>
          <w:rFonts w:ascii="Arial" w:hAnsi="Arial" w:cs="Arial"/>
          <w:bCs/>
          <w:color w:val="000000" w:themeColor="text1"/>
          <w:sz w:val="22"/>
          <w:szCs w:val="22"/>
          <w:lang w:eastAsia="ar-SA"/>
        </w:rPr>
        <w:t xml:space="preserve">The Vouchers </w:t>
      </w:r>
      <w:r w:rsidR="00077932">
        <w:rPr>
          <w:rFonts w:ascii="Arial" w:hAnsi="Arial" w:cs="Arial"/>
          <w:bCs/>
          <w:color w:val="000000" w:themeColor="text1"/>
          <w:sz w:val="22"/>
          <w:szCs w:val="22"/>
          <w:lang w:eastAsia="ar-SA"/>
        </w:rPr>
        <w:t>p</w:t>
      </w:r>
      <w:r w:rsidRPr="009E35ED">
        <w:rPr>
          <w:rFonts w:ascii="Arial" w:hAnsi="Arial" w:cs="Arial"/>
          <w:bCs/>
          <w:color w:val="000000" w:themeColor="text1"/>
          <w:sz w:val="22"/>
          <w:szCs w:val="22"/>
          <w:lang w:eastAsia="ar-SA"/>
        </w:rPr>
        <w:t>ayable-</w:t>
      </w:r>
      <w:r w:rsidR="00077932">
        <w:rPr>
          <w:rFonts w:ascii="Arial" w:hAnsi="Arial" w:cs="Arial"/>
          <w:bCs/>
          <w:color w:val="000000" w:themeColor="text1"/>
          <w:sz w:val="22"/>
          <w:szCs w:val="22"/>
          <w:lang w:eastAsia="ar-SA"/>
        </w:rPr>
        <w:t>r</w:t>
      </w:r>
      <w:r w:rsidRPr="009E35ED">
        <w:rPr>
          <w:rFonts w:ascii="Arial" w:hAnsi="Arial" w:cs="Arial"/>
          <w:bCs/>
          <w:color w:val="000000" w:themeColor="text1"/>
          <w:sz w:val="22"/>
          <w:szCs w:val="22"/>
          <w:lang w:eastAsia="ar-SA"/>
        </w:rPr>
        <w:t xml:space="preserve">entals and </w:t>
      </w:r>
      <w:r w:rsidR="00077932">
        <w:rPr>
          <w:rFonts w:ascii="Arial" w:hAnsi="Arial" w:cs="Arial"/>
          <w:bCs/>
          <w:color w:val="000000" w:themeColor="text1"/>
          <w:sz w:val="22"/>
          <w:szCs w:val="22"/>
          <w:lang w:eastAsia="ar-SA"/>
        </w:rPr>
        <w:t>m</w:t>
      </w:r>
      <w:r w:rsidRPr="009E35ED">
        <w:rPr>
          <w:rFonts w:ascii="Arial" w:hAnsi="Arial" w:cs="Arial"/>
          <w:bCs/>
          <w:color w:val="000000" w:themeColor="text1"/>
          <w:sz w:val="22"/>
          <w:szCs w:val="22"/>
          <w:lang w:eastAsia="ar-SA"/>
        </w:rPr>
        <w:t xml:space="preserve">aintenance pertains to the amount payable to the service providers of the </w:t>
      </w:r>
      <w:r w:rsidR="00037462" w:rsidRPr="009E35ED">
        <w:rPr>
          <w:rFonts w:ascii="Arial" w:hAnsi="Arial" w:cs="Arial"/>
          <w:bCs/>
          <w:color w:val="000000" w:themeColor="text1"/>
          <w:sz w:val="22"/>
          <w:szCs w:val="22"/>
          <w:lang w:eastAsia="ar-SA"/>
        </w:rPr>
        <w:t xml:space="preserve">Philippine </w:t>
      </w:r>
      <w:r w:rsidRPr="009E35ED">
        <w:rPr>
          <w:rFonts w:ascii="Arial" w:hAnsi="Arial" w:cs="Arial"/>
          <w:bCs/>
          <w:color w:val="000000" w:themeColor="text1"/>
          <w:sz w:val="22"/>
          <w:szCs w:val="22"/>
          <w:lang w:eastAsia="ar-SA"/>
        </w:rPr>
        <w:t>lottery system, Philippine Gaming Management Corp., Pacific Online System Corp.</w:t>
      </w:r>
      <w:r w:rsidR="00037462" w:rsidRPr="009E35ED">
        <w:rPr>
          <w:rFonts w:ascii="Arial" w:hAnsi="Arial" w:cs="Arial"/>
          <w:bCs/>
          <w:color w:val="000000" w:themeColor="text1"/>
          <w:sz w:val="22"/>
          <w:szCs w:val="22"/>
          <w:lang w:eastAsia="ar-SA"/>
        </w:rPr>
        <w:t>,</w:t>
      </w:r>
      <w:r w:rsidRPr="009E35ED">
        <w:rPr>
          <w:rFonts w:ascii="Arial" w:hAnsi="Arial" w:cs="Arial"/>
          <w:bCs/>
          <w:color w:val="000000" w:themeColor="text1"/>
          <w:sz w:val="22"/>
          <w:szCs w:val="22"/>
          <w:lang w:eastAsia="ar-SA"/>
        </w:rPr>
        <w:t xml:space="preserve"> Total Gaming Technology, Inc.,</w:t>
      </w:r>
      <w:r w:rsidR="00037462" w:rsidRPr="009E35ED">
        <w:rPr>
          <w:rFonts w:ascii="Arial" w:hAnsi="Arial" w:cs="Arial"/>
          <w:bCs/>
          <w:color w:val="000000" w:themeColor="text1"/>
          <w:sz w:val="22"/>
          <w:szCs w:val="22"/>
          <w:lang w:eastAsia="ar-SA"/>
        </w:rPr>
        <w:t xml:space="preserve"> and PinoyLotto Technologies Corp.</w:t>
      </w:r>
      <w:r w:rsidRPr="009E35ED">
        <w:rPr>
          <w:rFonts w:ascii="Arial" w:hAnsi="Arial" w:cs="Arial"/>
          <w:bCs/>
          <w:color w:val="000000" w:themeColor="text1"/>
          <w:sz w:val="22"/>
          <w:szCs w:val="22"/>
          <w:lang w:eastAsia="ar-SA"/>
        </w:rPr>
        <w:t xml:space="preserve"> as payment for the cost of equipment lease rental and maintenance.</w:t>
      </w:r>
    </w:p>
    <w:p w14:paraId="32448A27" w14:textId="6A5ED0D5" w:rsidR="00D81BA6" w:rsidRPr="009E35ED" w:rsidRDefault="00D81BA6" w:rsidP="00803F8C">
      <w:pPr>
        <w:ind w:left="0"/>
        <w:rPr>
          <w:rFonts w:ascii="Arial" w:hAnsi="Arial" w:cs="Arial"/>
          <w:b/>
          <w:color w:val="000000" w:themeColor="text1"/>
          <w:sz w:val="22"/>
          <w:szCs w:val="22"/>
        </w:rPr>
      </w:pPr>
    </w:p>
    <w:p w14:paraId="2CD971F6" w14:textId="3D469ED2" w:rsidR="003E6F2C" w:rsidRPr="009E35ED" w:rsidRDefault="009667CF" w:rsidP="00BB4F0F">
      <w:pPr>
        <w:ind w:left="0"/>
        <w:rPr>
          <w:rFonts w:ascii="Arial" w:hAnsi="Arial" w:cs="Arial"/>
          <w:b/>
          <w:color w:val="000000" w:themeColor="text1"/>
          <w:sz w:val="22"/>
          <w:szCs w:val="22"/>
        </w:rPr>
      </w:pPr>
      <w:r w:rsidRPr="009E35ED">
        <w:rPr>
          <w:rFonts w:ascii="Arial" w:hAnsi="Arial" w:cs="Arial"/>
          <w:bCs/>
          <w:color w:val="000000" w:themeColor="text1"/>
          <w:sz w:val="22"/>
          <w:szCs w:val="22"/>
          <w:lang w:eastAsia="ar-SA"/>
        </w:rPr>
        <w:t xml:space="preserve">The Accounts </w:t>
      </w:r>
      <w:r w:rsidR="00077932">
        <w:rPr>
          <w:rFonts w:ascii="Arial" w:hAnsi="Arial" w:cs="Arial"/>
          <w:bCs/>
          <w:color w:val="000000" w:themeColor="text1"/>
          <w:sz w:val="22"/>
          <w:szCs w:val="22"/>
          <w:lang w:eastAsia="ar-SA"/>
        </w:rPr>
        <w:t>p</w:t>
      </w:r>
      <w:r w:rsidRPr="009E35ED">
        <w:rPr>
          <w:rFonts w:ascii="Arial" w:hAnsi="Arial" w:cs="Arial"/>
          <w:bCs/>
          <w:color w:val="000000" w:themeColor="text1"/>
          <w:sz w:val="22"/>
          <w:szCs w:val="22"/>
          <w:lang w:eastAsia="ar-SA"/>
        </w:rPr>
        <w:t>ayable-</w:t>
      </w:r>
      <w:r w:rsidR="00077932">
        <w:rPr>
          <w:rFonts w:ascii="Arial" w:hAnsi="Arial" w:cs="Arial"/>
          <w:bCs/>
          <w:color w:val="000000" w:themeColor="text1"/>
          <w:sz w:val="22"/>
          <w:szCs w:val="22"/>
          <w:lang w:eastAsia="ar-SA"/>
        </w:rPr>
        <w:t>g</w:t>
      </w:r>
      <w:r w:rsidRPr="009E35ED">
        <w:rPr>
          <w:rFonts w:ascii="Arial" w:hAnsi="Arial" w:cs="Arial"/>
          <w:bCs/>
          <w:color w:val="000000" w:themeColor="text1"/>
          <w:sz w:val="22"/>
          <w:szCs w:val="22"/>
          <w:lang w:eastAsia="ar-SA"/>
        </w:rPr>
        <w:t xml:space="preserve">uaranty </w:t>
      </w:r>
      <w:r w:rsidR="00077932">
        <w:rPr>
          <w:rFonts w:ascii="Arial" w:hAnsi="Arial" w:cs="Arial"/>
          <w:bCs/>
          <w:color w:val="000000" w:themeColor="text1"/>
          <w:sz w:val="22"/>
          <w:szCs w:val="22"/>
          <w:lang w:eastAsia="ar-SA"/>
        </w:rPr>
        <w:t>l</w:t>
      </w:r>
      <w:r w:rsidRPr="009E35ED">
        <w:rPr>
          <w:rFonts w:ascii="Arial" w:hAnsi="Arial" w:cs="Arial"/>
          <w:bCs/>
          <w:color w:val="000000" w:themeColor="text1"/>
          <w:sz w:val="22"/>
          <w:szCs w:val="22"/>
          <w:lang w:eastAsia="ar-SA"/>
        </w:rPr>
        <w:t xml:space="preserve">etters refers to various unpaid issued </w:t>
      </w:r>
      <w:r w:rsidR="00077932">
        <w:rPr>
          <w:rFonts w:ascii="Arial" w:hAnsi="Arial" w:cs="Arial"/>
          <w:bCs/>
          <w:color w:val="000000" w:themeColor="text1"/>
          <w:sz w:val="22"/>
          <w:szCs w:val="22"/>
          <w:lang w:eastAsia="ar-SA"/>
        </w:rPr>
        <w:t>g</w:t>
      </w:r>
      <w:r w:rsidRPr="009E35ED">
        <w:rPr>
          <w:rFonts w:ascii="Arial" w:hAnsi="Arial" w:cs="Arial"/>
          <w:bCs/>
          <w:color w:val="000000" w:themeColor="text1"/>
          <w:sz w:val="22"/>
          <w:szCs w:val="22"/>
          <w:lang w:eastAsia="ar-SA"/>
        </w:rPr>
        <w:t>uarant</w:t>
      </w:r>
      <w:r w:rsidR="00153B82" w:rsidRPr="009E35ED">
        <w:rPr>
          <w:rFonts w:ascii="Arial" w:hAnsi="Arial" w:cs="Arial"/>
          <w:bCs/>
          <w:color w:val="000000" w:themeColor="text1"/>
          <w:sz w:val="22"/>
          <w:szCs w:val="22"/>
          <w:lang w:eastAsia="ar-SA"/>
        </w:rPr>
        <w:t>ee</w:t>
      </w:r>
      <w:r w:rsidRPr="009E35ED">
        <w:rPr>
          <w:rFonts w:ascii="Arial" w:hAnsi="Arial" w:cs="Arial"/>
          <w:bCs/>
          <w:color w:val="000000" w:themeColor="text1"/>
          <w:sz w:val="22"/>
          <w:szCs w:val="22"/>
          <w:lang w:eastAsia="ar-SA"/>
        </w:rPr>
        <w:t xml:space="preserve"> </w:t>
      </w:r>
      <w:r w:rsidR="00077932">
        <w:rPr>
          <w:rFonts w:ascii="Arial" w:hAnsi="Arial" w:cs="Arial"/>
          <w:bCs/>
          <w:color w:val="000000" w:themeColor="text1"/>
          <w:sz w:val="22"/>
          <w:szCs w:val="22"/>
          <w:lang w:eastAsia="ar-SA"/>
        </w:rPr>
        <w:t>l</w:t>
      </w:r>
      <w:r w:rsidRPr="009E35ED">
        <w:rPr>
          <w:rFonts w:ascii="Arial" w:hAnsi="Arial" w:cs="Arial"/>
          <w:bCs/>
          <w:color w:val="000000" w:themeColor="text1"/>
          <w:sz w:val="22"/>
          <w:szCs w:val="22"/>
          <w:lang w:eastAsia="ar-SA"/>
        </w:rPr>
        <w:t>etters payable to hospitals and other institutions/agencies as payment for financial assistance under the M</w:t>
      </w:r>
      <w:r w:rsidR="00077932">
        <w:rPr>
          <w:rFonts w:ascii="Arial" w:hAnsi="Arial" w:cs="Arial"/>
          <w:bCs/>
          <w:color w:val="000000" w:themeColor="text1"/>
          <w:sz w:val="22"/>
          <w:szCs w:val="22"/>
          <w:lang w:eastAsia="ar-SA"/>
        </w:rPr>
        <w:t>AP</w:t>
      </w:r>
      <w:r w:rsidRPr="009E35ED">
        <w:rPr>
          <w:rFonts w:ascii="Arial" w:hAnsi="Arial" w:cs="Arial"/>
          <w:bCs/>
          <w:color w:val="000000" w:themeColor="text1"/>
          <w:sz w:val="22"/>
          <w:szCs w:val="22"/>
          <w:lang w:eastAsia="ar-SA"/>
        </w:rPr>
        <w:t xml:space="preserve"> of</w:t>
      </w:r>
      <w:r w:rsidR="00077932">
        <w:rPr>
          <w:rFonts w:ascii="Arial" w:hAnsi="Arial" w:cs="Arial"/>
          <w:bCs/>
          <w:color w:val="000000" w:themeColor="text1"/>
          <w:sz w:val="22"/>
          <w:szCs w:val="22"/>
          <w:lang w:eastAsia="ar-SA"/>
        </w:rPr>
        <w:t xml:space="preserve"> the</w:t>
      </w:r>
      <w:r w:rsidRPr="009E35ED">
        <w:rPr>
          <w:rFonts w:ascii="Arial" w:hAnsi="Arial" w:cs="Arial"/>
          <w:bCs/>
          <w:color w:val="000000" w:themeColor="text1"/>
          <w:sz w:val="22"/>
          <w:szCs w:val="22"/>
          <w:lang w:eastAsia="ar-SA"/>
        </w:rPr>
        <w:t xml:space="preserve"> PCSO.</w:t>
      </w:r>
    </w:p>
    <w:p w14:paraId="3498A0F8" w14:textId="77777777" w:rsidR="003158E0" w:rsidRPr="009E35ED" w:rsidRDefault="003158E0" w:rsidP="00BB4F0F">
      <w:pPr>
        <w:ind w:left="0"/>
        <w:rPr>
          <w:rFonts w:ascii="Arial" w:hAnsi="Arial" w:cs="Arial"/>
          <w:b/>
          <w:color w:val="000000" w:themeColor="text1"/>
          <w:sz w:val="22"/>
          <w:szCs w:val="22"/>
        </w:rPr>
      </w:pPr>
    </w:p>
    <w:p w14:paraId="52C0358D" w14:textId="22F241A0" w:rsidR="00AA29C9" w:rsidRPr="009E35ED" w:rsidRDefault="000D709D" w:rsidP="00BB4F0F">
      <w:pPr>
        <w:ind w:left="0"/>
        <w:rPr>
          <w:rFonts w:ascii="Arial" w:hAnsi="Arial" w:cs="Arial"/>
          <w:b/>
          <w:color w:val="000000" w:themeColor="text1"/>
          <w:sz w:val="22"/>
          <w:szCs w:val="22"/>
        </w:rPr>
      </w:pPr>
      <w:r w:rsidRPr="009E35ED">
        <w:rPr>
          <w:rFonts w:ascii="Arial" w:hAnsi="Arial" w:cs="Arial"/>
          <w:bCs/>
          <w:color w:val="000000" w:themeColor="text1"/>
          <w:sz w:val="22"/>
          <w:szCs w:val="22"/>
        </w:rPr>
        <w:t>The Finance</w:t>
      </w:r>
      <w:r w:rsidR="007963A7">
        <w:rPr>
          <w:rFonts w:ascii="Arial" w:hAnsi="Arial" w:cs="Arial"/>
          <w:bCs/>
          <w:color w:val="000000" w:themeColor="text1"/>
          <w:sz w:val="22"/>
          <w:szCs w:val="22"/>
        </w:rPr>
        <w:t xml:space="preserve"> l</w:t>
      </w:r>
      <w:r w:rsidRPr="009E35ED">
        <w:rPr>
          <w:rFonts w:ascii="Arial" w:hAnsi="Arial" w:cs="Arial"/>
          <w:bCs/>
          <w:color w:val="000000" w:themeColor="text1"/>
          <w:sz w:val="22"/>
          <w:szCs w:val="22"/>
        </w:rPr>
        <w:t xml:space="preserve">ease </w:t>
      </w:r>
      <w:r w:rsidR="007963A7">
        <w:rPr>
          <w:rFonts w:ascii="Arial" w:hAnsi="Arial" w:cs="Arial"/>
          <w:bCs/>
          <w:color w:val="000000" w:themeColor="text1"/>
          <w:sz w:val="22"/>
          <w:szCs w:val="22"/>
        </w:rPr>
        <w:t>p</w:t>
      </w:r>
      <w:r w:rsidRPr="009E35ED">
        <w:rPr>
          <w:rFonts w:ascii="Arial" w:hAnsi="Arial" w:cs="Arial"/>
          <w:bCs/>
          <w:color w:val="000000" w:themeColor="text1"/>
          <w:sz w:val="22"/>
          <w:szCs w:val="22"/>
        </w:rPr>
        <w:t xml:space="preserve">ayable refers to </w:t>
      </w:r>
      <w:r w:rsidR="00884204" w:rsidRPr="009E35ED">
        <w:rPr>
          <w:rFonts w:ascii="Arial" w:hAnsi="Arial" w:cs="Arial"/>
          <w:bCs/>
          <w:color w:val="000000" w:themeColor="text1"/>
          <w:sz w:val="22"/>
          <w:szCs w:val="22"/>
        </w:rPr>
        <w:t>the</w:t>
      </w:r>
      <w:r w:rsidR="004E5A85" w:rsidRPr="009E35ED">
        <w:rPr>
          <w:rFonts w:ascii="Arial" w:hAnsi="Arial" w:cs="Arial"/>
          <w:bCs/>
          <w:color w:val="000000" w:themeColor="text1"/>
          <w:sz w:val="22"/>
          <w:szCs w:val="22"/>
        </w:rPr>
        <w:t xml:space="preserve"> </w:t>
      </w:r>
      <w:r w:rsidR="00E67BD5" w:rsidRPr="009E35ED">
        <w:rPr>
          <w:rFonts w:ascii="Arial" w:hAnsi="Arial" w:cs="Arial"/>
          <w:bCs/>
          <w:color w:val="000000" w:themeColor="text1"/>
          <w:sz w:val="22"/>
          <w:szCs w:val="22"/>
        </w:rPr>
        <w:t xml:space="preserve">amount of the </w:t>
      </w:r>
      <w:r w:rsidR="00633222" w:rsidRPr="009E35ED">
        <w:rPr>
          <w:rFonts w:ascii="Arial" w:hAnsi="Arial" w:cs="Arial"/>
          <w:bCs/>
          <w:color w:val="000000" w:themeColor="text1"/>
          <w:sz w:val="22"/>
          <w:szCs w:val="22"/>
        </w:rPr>
        <w:t xml:space="preserve">principal </w:t>
      </w:r>
      <w:r w:rsidR="00095BF7" w:rsidRPr="009E35ED">
        <w:rPr>
          <w:rFonts w:ascii="Arial" w:hAnsi="Arial" w:cs="Arial"/>
          <w:bCs/>
          <w:color w:val="000000" w:themeColor="text1"/>
          <w:sz w:val="22"/>
          <w:szCs w:val="22"/>
        </w:rPr>
        <w:t xml:space="preserve">lease </w:t>
      </w:r>
      <w:r w:rsidR="00633222" w:rsidRPr="009E35ED">
        <w:rPr>
          <w:rFonts w:ascii="Arial" w:hAnsi="Arial" w:cs="Arial"/>
          <w:bCs/>
          <w:color w:val="000000" w:themeColor="text1"/>
          <w:sz w:val="22"/>
          <w:szCs w:val="22"/>
        </w:rPr>
        <w:t>pay</w:t>
      </w:r>
      <w:r w:rsidR="000F446B" w:rsidRPr="009E35ED">
        <w:rPr>
          <w:rFonts w:ascii="Arial" w:hAnsi="Arial" w:cs="Arial"/>
          <w:bCs/>
          <w:color w:val="000000" w:themeColor="text1"/>
          <w:sz w:val="22"/>
          <w:szCs w:val="22"/>
        </w:rPr>
        <w:t>ments for the next three (</w:t>
      </w:r>
      <w:r w:rsidR="00037462" w:rsidRPr="009E35ED">
        <w:rPr>
          <w:rFonts w:ascii="Arial" w:hAnsi="Arial" w:cs="Arial"/>
          <w:bCs/>
          <w:color w:val="000000" w:themeColor="text1"/>
          <w:sz w:val="22"/>
          <w:szCs w:val="22"/>
        </w:rPr>
        <w:t>3</w:t>
      </w:r>
      <w:r w:rsidR="000F446B" w:rsidRPr="009E35ED">
        <w:rPr>
          <w:rFonts w:ascii="Arial" w:hAnsi="Arial" w:cs="Arial"/>
          <w:bCs/>
          <w:color w:val="000000" w:themeColor="text1"/>
          <w:sz w:val="22"/>
          <w:szCs w:val="22"/>
        </w:rPr>
        <w:t>)</w:t>
      </w:r>
      <w:r w:rsidR="00037462" w:rsidRPr="009E35ED">
        <w:rPr>
          <w:rFonts w:ascii="Arial" w:hAnsi="Arial" w:cs="Arial"/>
          <w:bCs/>
          <w:color w:val="000000" w:themeColor="text1"/>
          <w:sz w:val="22"/>
          <w:szCs w:val="22"/>
        </w:rPr>
        <w:t xml:space="preserve"> to five (5)</w:t>
      </w:r>
      <w:r w:rsidR="000F446B" w:rsidRPr="009E35ED">
        <w:rPr>
          <w:rFonts w:ascii="Arial" w:hAnsi="Arial" w:cs="Arial"/>
          <w:bCs/>
          <w:color w:val="000000" w:themeColor="text1"/>
          <w:sz w:val="22"/>
          <w:szCs w:val="22"/>
        </w:rPr>
        <w:t xml:space="preserve"> years until the expiration of the lease contracts.</w:t>
      </w:r>
      <w:r w:rsidR="00633222" w:rsidRPr="009E35ED">
        <w:rPr>
          <w:rFonts w:ascii="Arial" w:hAnsi="Arial" w:cs="Arial"/>
          <w:bCs/>
          <w:color w:val="000000" w:themeColor="text1"/>
          <w:sz w:val="22"/>
          <w:szCs w:val="22"/>
        </w:rPr>
        <w:t xml:space="preserve"> </w:t>
      </w:r>
      <w:r w:rsidR="00884204" w:rsidRPr="009E35ED">
        <w:rPr>
          <w:rFonts w:ascii="Arial" w:hAnsi="Arial" w:cs="Arial"/>
          <w:bCs/>
          <w:color w:val="000000" w:themeColor="text1"/>
          <w:sz w:val="22"/>
          <w:szCs w:val="22"/>
        </w:rPr>
        <w:t xml:space="preserve"> </w:t>
      </w:r>
      <w:r w:rsidR="0089191D" w:rsidRPr="009E35ED">
        <w:rPr>
          <w:rFonts w:ascii="Arial" w:hAnsi="Arial" w:cs="Arial"/>
          <w:b/>
          <w:color w:val="000000" w:themeColor="text1"/>
          <w:sz w:val="22"/>
          <w:szCs w:val="22"/>
        </w:rPr>
        <w:t xml:space="preserve">     </w:t>
      </w:r>
      <w:r w:rsidR="006D6778" w:rsidRPr="009E35ED">
        <w:rPr>
          <w:rFonts w:ascii="Arial" w:hAnsi="Arial" w:cs="Arial"/>
          <w:b/>
          <w:color w:val="000000" w:themeColor="text1"/>
          <w:sz w:val="22"/>
          <w:szCs w:val="22"/>
        </w:rPr>
        <w:t xml:space="preserve">  </w:t>
      </w:r>
    </w:p>
    <w:p w14:paraId="63F68E87" w14:textId="3336D29D" w:rsidR="00AA29C9" w:rsidRPr="009E35ED" w:rsidRDefault="00AA29C9" w:rsidP="00BB4F0F">
      <w:pPr>
        <w:ind w:left="0"/>
        <w:rPr>
          <w:rFonts w:ascii="Arial" w:hAnsi="Arial" w:cs="Arial"/>
          <w:b/>
          <w:color w:val="000000" w:themeColor="text1"/>
          <w:sz w:val="22"/>
          <w:szCs w:val="22"/>
        </w:rPr>
      </w:pPr>
    </w:p>
    <w:p w14:paraId="593A9CF0" w14:textId="77777777" w:rsidR="00A552D8" w:rsidRPr="009E35ED" w:rsidRDefault="00A552D8" w:rsidP="00BB4F0F">
      <w:pPr>
        <w:ind w:left="0"/>
        <w:rPr>
          <w:rFonts w:ascii="Arial" w:hAnsi="Arial" w:cs="Arial"/>
          <w:b/>
          <w:color w:val="000000" w:themeColor="text1"/>
          <w:sz w:val="22"/>
          <w:szCs w:val="22"/>
        </w:rPr>
      </w:pPr>
    </w:p>
    <w:p w14:paraId="2CF5C7F4" w14:textId="77777777" w:rsidR="006E34FF" w:rsidRPr="009E35ED" w:rsidRDefault="006E34FF" w:rsidP="001C371F">
      <w:pPr>
        <w:numPr>
          <w:ilvl w:val="0"/>
          <w:numId w:val="28"/>
        </w:numPr>
        <w:ind w:hanging="720"/>
        <w:rPr>
          <w:rFonts w:ascii="Arial" w:hAnsi="Arial" w:cs="Arial"/>
          <w:color w:val="000000" w:themeColor="text1"/>
          <w:sz w:val="22"/>
          <w:szCs w:val="22"/>
        </w:rPr>
      </w:pPr>
      <w:r w:rsidRPr="009E35ED">
        <w:rPr>
          <w:rFonts w:ascii="Arial" w:hAnsi="Arial" w:cs="Arial"/>
          <w:b/>
          <w:color w:val="000000" w:themeColor="text1"/>
          <w:sz w:val="22"/>
          <w:szCs w:val="22"/>
        </w:rPr>
        <w:t>INTER-AGENCY PAYABLE</w:t>
      </w:r>
      <w:r w:rsidR="004065EA" w:rsidRPr="009E35ED">
        <w:rPr>
          <w:rFonts w:ascii="Arial" w:hAnsi="Arial" w:cs="Arial"/>
          <w:b/>
          <w:color w:val="000000" w:themeColor="text1"/>
          <w:sz w:val="22"/>
          <w:szCs w:val="22"/>
        </w:rPr>
        <w:t>S</w:t>
      </w:r>
    </w:p>
    <w:p w14:paraId="6C04B075" w14:textId="77777777" w:rsidR="006E34FF" w:rsidRPr="009E35ED" w:rsidRDefault="006E34FF" w:rsidP="00803F8C">
      <w:pPr>
        <w:ind w:left="720"/>
        <w:rPr>
          <w:rFonts w:ascii="Arial" w:hAnsi="Arial" w:cs="Arial"/>
          <w:b/>
          <w:color w:val="000000" w:themeColor="text1"/>
          <w:sz w:val="22"/>
          <w:szCs w:val="22"/>
        </w:rPr>
      </w:pPr>
    </w:p>
    <w:p w14:paraId="0AF26A06" w14:textId="77777777" w:rsidR="00572AF6" w:rsidRPr="009E35ED" w:rsidRDefault="002D37F6" w:rsidP="00803F8C">
      <w:pPr>
        <w:ind w:left="0"/>
        <w:rPr>
          <w:rFonts w:ascii="Arial" w:hAnsi="Arial" w:cs="Arial"/>
          <w:color w:val="000000" w:themeColor="text1"/>
          <w:spacing w:val="-3"/>
          <w:sz w:val="22"/>
          <w:szCs w:val="22"/>
        </w:rPr>
      </w:pPr>
      <w:r w:rsidRPr="009E35ED">
        <w:rPr>
          <w:rFonts w:ascii="Arial" w:hAnsi="Arial" w:cs="Arial"/>
          <w:color w:val="000000" w:themeColor="text1"/>
          <w:spacing w:val="-3"/>
          <w:sz w:val="22"/>
          <w:szCs w:val="22"/>
        </w:rPr>
        <w:t xml:space="preserve">Inter-Agency </w:t>
      </w:r>
      <w:r w:rsidR="007F09F0" w:rsidRPr="009E35ED">
        <w:rPr>
          <w:rFonts w:ascii="Arial" w:hAnsi="Arial" w:cs="Arial"/>
          <w:color w:val="000000" w:themeColor="text1"/>
          <w:spacing w:val="-3"/>
          <w:sz w:val="22"/>
          <w:szCs w:val="22"/>
        </w:rPr>
        <w:t>payables include</w:t>
      </w:r>
      <w:r w:rsidRPr="009E35ED">
        <w:rPr>
          <w:rFonts w:ascii="Arial" w:hAnsi="Arial" w:cs="Arial"/>
          <w:color w:val="000000" w:themeColor="text1"/>
          <w:spacing w:val="-3"/>
          <w:sz w:val="22"/>
          <w:szCs w:val="22"/>
        </w:rPr>
        <w:t xml:space="preserve"> the following accounts:</w:t>
      </w:r>
    </w:p>
    <w:p w14:paraId="10DA22DA" w14:textId="77777777" w:rsidR="006E34FF" w:rsidRPr="009E35ED" w:rsidRDefault="006E34FF" w:rsidP="00803F8C">
      <w:pPr>
        <w:ind w:left="720"/>
        <w:rPr>
          <w:rFonts w:ascii="Arial" w:hAnsi="Arial" w:cs="Arial"/>
          <w:color w:val="000000" w:themeColor="text1"/>
          <w:sz w:val="22"/>
          <w:szCs w:val="22"/>
        </w:rPr>
      </w:pPr>
    </w:p>
    <w:tbl>
      <w:tblPr>
        <w:tblW w:w="8582" w:type="dxa"/>
        <w:tblLook w:val="04A0" w:firstRow="1" w:lastRow="0" w:firstColumn="1" w:lastColumn="0" w:noHBand="0" w:noVBand="1"/>
      </w:tblPr>
      <w:tblGrid>
        <w:gridCol w:w="4410"/>
        <w:gridCol w:w="2374"/>
        <w:gridCol w:w="1798"/>
      </w:tblGrid>
      <w:tr w:rsidR="00997F75" w:rsidRPr="009E35ED" w14:paraId="2A42C2CE" w14:textId="77777777" w:rsidTr="00BF4257">
        <w:trPr>
          <w:trHeight w:val="203"/>
        </w:trPr>
        <w:tc>
          <w:tcPr>
            <w:tcW w:w="4410" w:type="dxa"/>
            <w:tcBorders>
              <w:top w:val="single" w:sz="4" w:space="0" w:color="auto"/>
              <w:left w:val="nil"/>
              <w:bottom w:val="nil"/>
              <w:right w:val="nil"/>
            </w:tcBorders>
            <w:shd w:val="clear" w:color="auto" w:fill="auto"/>
            <w:noWrap/>
            <w:vAlign w:val="bottom"/>
            <w:hideMark/>
          </w:tcPr>
          <w:p w14:paraId="575AFCEC" w14:textId="77777777" w:rsidR="00FF2800" w:rsidRPr="009E35ED" w:rsidRDefault="00FF2800" w:rsidP="00FF2800">
            <w:pPr>
              <w:ind w:left="0"/>
              <w:jc w:val="left"/>
              <w:rPr>
                <w:color w:val="000000" w:themeColor="text1"/>
                <w:sz w:val="20"/>
                <w:szCs w:val="20"/>
              </w:rPr>
            </w:pPr>
          </w:p>
        </w:tc>
        <w:tc>
          <w:tcPr>
            <w:tcW w:w="2374" w:type="dxa"/>
            <w:tcBorders>
              <w:top w:val="single" w:sz="4" w:space="0" w:color="auto"/>
              <w:left w:val="nil"/>
              <w:bottom w:val="nil"/>
              <w:right w:val="nil"/>
            </w:tcBorders>
            <w:shd w:val="clear" w:color="auto" w:fill="auto"/>
            <w:noWrap/>
            <w:vAlign w:val="bottom"/>
            <w:hideMark/>
          </w:tcPr>
          <w:p w14:paraId="58A5D927" w14:textId="35B13566" w:rsidR="00FF2800" w:rsidRPr="009E35ED" w:rsidRDefault="00F01BF7" w:rsidP="00FF2800">
            <w:pPr>
              <w:ind w:left="0"/>
              <w:jc w:val="right"/>
              <w:rPr>
                <w:rFonts w:ascii="Arial Narrow" w:hAnsi="Arial Narrow" w:cs="Calibri"/>
                <w:b/>
                <w:bCs/>
                <w:color w:val="000000" w:themeColor="text1"/>
                <w:sz w:val="22"/>
                <w:szCs w:val="22"/>
              </w:rPr>
            </w:pPr>
            <w:r w:rsidRPr="009E35ED">
              <w:rPr>
                <w:rFonts w:ascii="Arial Narrow" w:hAnsi="Arial Narrow" w:cs="Calibri"/>
                <w:b/>
                <w:bCs/>
                <w:color w:val="000000" w:themeColor="text1"/>
                <w:sz w:val="22"/>
                <w:szCs w:val="22"/>
              </w:rPr>
              <w:t>202</w:t>
            </w:r>
            <w:r w:rsidR="005B674C" w:rsidRPr="009E35ED">
              <w:rPr>
                <w:rFonts w:ascii="Arial Narrow" w:hAnsi="Arial Narrow" w:cs="Calibri"/>
                <w:b/>
                <w:bCs/>
                <w:color w:val="000000" w:themeColor="text1"/>
                <w:sz w:val="22"/>
                <w:szCs w:val="22"/>
              </w:rPr>
              <w:t>3</w:t>
            </w:r>
          </w:p>
        </w:tc>
        <w:tc>
          <w:tcPr>
            <w:tcW w:w="1798" w:type="dxa"/>
            <w:tcBorders>
              <w:top w:val="single" w:sz="4" w:space="0" w:color="auto"/>
              <w:left w:val="nil"/>
              <w:bottom w:val="nil"/>
              <w:right w:val="nil"/>
            </w:tcBorders>
            <w:shd w:val="clear" w:color="auto" w:fill="auto"/>
            <w:noWrap/>
            <w:vAlign w:val="bottom"/>
            <w:hideMark/>
          </w:tcPr>
          <w:p w14:paraId="6D888AD3" w14:textId="40D69249" w:rsidR="00FF2800" w:rsidRPr="009E35ED" w:rsidRDefault="00F01BF7" w:rsidP="00BF4257">
            <w:pPr>
              <w:ind w:left="0" w:right="-76"/>
              <w:jc w:val="right"/>
              <w:rPr>
                <w:rFonts w:ascii="Arial Narrow" w:hAnsi="Arial Narrow" w:cs="Calibri"/>
                <w:b/>
                <w:bCs/>
                <w:color w:val="000000" w:themeColor="text1"/>
                <w:sz w:val="22"/>
                <w:szCs w:val="22"/>
              </w:rPr>
            </w:pPr>
            <w:r w:rsidRPr="009E35ED">
              <w:rPr>
                <w:rFonts w:ascii="Arial Narrow" w:hAnsi="Arial Narrow" w:cs="Calibri"/>
                <w:b/>
                <w:bCs/>
                <w:color w:val="000000" w:themeColor="text1"/>
                <w:sz w:val="22"/>
                <w:szCs w:val="22"/>
              </w:rPr>
              <w:t>202</w:t>
            </w:r>
            <w:r w:rsidR="005B674C" w:rsidRPr="009E35ED">
              <w:rPr>
                <w:rFonts w:ascii="Arial Narrow" w:hAnsi="Arial Narrow" w:cs="Calibri"/>
                <w:b/>
                <w:bCs/>
                <w:color w:val="000000" w:themeColor="text1"/>
                <w:sz w:val="22"/>
                <w:szCs w:val="22"/>
              </w:rPr>
              <w:t>2</w:t>
            </w:r>
          </w:p>
        </w:tc>
      </w:tr>
      <w:tr w:rsidR="00997F75" w:rsidRPr="009E35ED" w14:paraId="3CEE0E4A" w14:textId="77777777" w:rsidTr="00BF4257">
        <w:trPr>
          <w:trHeight w:val="203"/>
        </w:trPr>
        <w:tc>
          <w:tcPr>
            <w:tcW w:w="4410" w:type="dxa"/>
            <w:tcBorders>
              <w:top w:val="nil"/>
              <w:left w:val="nil"/>
              <w:bottom w:val="single" w:sz="4" w:space="0" w:color="auto"/>
              <w:right w:val="nil"/>
            </w:tcBorders>
            <w:shd w:val="clear" w:color="auto" w:fill="auto"/>
            <w:noWrap/>
            <w:vAlign w:val="bottom"/>
            <w:hideMark/>
          </w:tcPr>
          <w:p w14:paraId="5E381FF1" w14:textId="77777777" w:rsidR="00FF2800" w:rsidRPr="009E35ED" w:rsidRDefault="00FF2800" w:rsidP="00FF2800">
            <w:pPr>
              <w:ind w:left="0"/>
              <w:jc w:val="left"/>
              <w:rPr>
                <w:rFonts w:ascii="Arial Narrow" w:hAnsi="Arial Narrow" w:cs="Calibri"/>
                <w:color w:val="000000" w:themeColor="text1"/>
                <w:sz w:val="22"/>
                <w:szCs w:val="22"/>
              </w:rPr>
            </w:pPr>
            <w:r w:rsidRPr="009E35ED">
              <w:rPr>
                <w:rFonts w:ascii="Arial Narrow" w:hAnsi="Arial Narrow" w:cs="Calibri"/>
                <w:color w:val="000000" w:themeColor="text1"/>
                <w:sz w:val="22"/>
                <w:szCs w:val="22"/>
              </w:rPr>
              <w:t> </w:t>
            </w:r>
          </w:p>
        </w:tc>
        <w:tc>
          <w:tcPr>
            <w:tcW w:w="2374" w:type="dxa"/>
            <w:tcBorders>
              <w:top w:val="nil"/>
              <w:left w:val="nil"/>
              <w:bottom w:val="single" w:sz="4" w:space="0" w:color="auto"/>
              <w:right w:val="nil"/>
            </w:tcBorders>
            <w:shd w:val="clear" w:color="auto" w:fill="auto"/>
            <w:noWrap/>
            <w:vAlign w:val="bottom"/>
            <w:hideMark/>
          </w:tcPr>
          <w:p w14:paraId="2A2E48DA" w14:textId="77777777" w:rsidR="00FF2800" w:rsidRPr="009E35ED" w:rsidRDefault="00FF2800" w:rsidP="00FF2800">
            <w:pPr>
              <w:ind w:left="0"/>
              <w:jc w:val="right"/>
              <w:rPr>
                <w:rFonts w:ascii="Arial Narrow" w:hAnsi="Arial Narrow" w:cs="Calibri"/>
                <w:color w:val="000000" w:themeColor="text1"/>
                <w:sz w:val="22"/>
                <w:szCs w:val="22"/>
              </w:rPr>
            </w:pPr>
            <w:r w:rsidRPr="009E35ED">
              <w:rPr>
                <w:rFonts w:ascii="Arial Narrow" w:hAnsi="Arial Narrow" w:cs="Calibri"/>
                <w:color w:val="000000" w:themeColor="text1"/>
                <w:sz w:val="22"/>
                <w:szCs w:val="22"/>
              </w:rPr>
              <w:t> </w:t>
            </w:r>
          </w:p>
        </w:tc>
        <w:tc>
          <w:tcPr>
            <w:tcW w:w="1798" w:type="dxa"/>
            <w:tcBorders>
              <w:top w:val="nil"/>
              <w:left w:val="nil"/>
              <w:bottom w:val="single" w:sz="4" w:space="0" w:color="auto"/>
              <w:right w:val="nil"/>
            </w:tcBorders>
            <w:shd w:val="clear" w:color="auto" w:fill="auto"/>
            <w:noWrap/>
            <w:vAlign w:val="bottom"/>
            <w:hideMark/>
          </w:tcPr>
          <w:p w14:paraId="4CADA70A" w14:textId="77777777" w:rsidR="00FF2800" w:rsidRPr="009E35ED" w:rsidRDefault="00FF2800" w:rsidP="00BF4257">
            <w:pPr>
              <w:ind w:left="0" w:right="-76"/>
              <w:jc w:val="right"/>
              <w:rPr>
                <w:rFonts w:ascii="Arial Narrow" w:hAnsi="Arial Narrow" w:cs="Calibri"/>
                <w:b/>
                <w:bCs/>
                <w:color w:val="000000" w:themeColor="text1"/>
                <w:sz w:val="22"/>
                <w:szCs w:val="22"/>
              </w:rPr>
            </w:pPr>
            <w:r w:rsidRPr="009E35ED">
              <w:rPr>
                <w:rFonts w:ascii="Arial Narrow" w:hAnsi="Arial Narrow" w:cs="Calibri"/>
                <w:b/>
                <w:bCs/>
                <w:color w:val="000000" w:themeColor="text1"/>
                <w:sz w:val="22"/>
                <w:szCs w:val="22"/>
              </w:rPr>
              <w:t>As Restated</w:t>
            </w:r>
          </w:p>
        </w:tc>
      </w:tr>
      <w:tr w:rsidR="00997F75" w:rsidRPr="009E35ED" w14:paraId="2A60D9D3" w14:textId="77777777" w:rsidTr="00BF4257">
        <w:trPr>
          <w:trHeight w:val="203"/>
        </w:trPr>
        <w:tc>
          <w:tcPr>
            <w:tcW w:w="4410" w:type="dxa"/>
            <w:tcBorders>
              <w:top w:val="nil"/>
              <w:left w:val="nil"/>
              <w:bottom w:val="nil"/>
              <w:right w:val="nil"/>
            </w:tcBorders>
            <w:shd w:val="clear" w:color="auto" w:fill="auto"/>
            <w:noWrap/>
            <w:vAlign w:val="bottom"/>
            <w:hideMark/>
          </w:tcPr>
          <w:p w14:paraId="13A6F6B1" w14:textId="77777777" w:rsidR="007635AF" w:rsidRPr="009E35ED" w:rsidRDefault="007635AF" w:rsidP="00BF4257">
            <w:pPr>
              <w:ind w:left="-108"/>
              <w:jc w:val="left"/>
              <w:rPr>
                <w:rFonts w:ascii="Arial Narrow" w:hAnsi="Arial Narrow" w:cs="Calibri"/>
                <w:color w:val="000000" w:themeColor="text1"/>
                <w:sz w:val="22"/>
                <w:szCs w:val="22"/>
              </w:rPr>
            </w:pPr>
            <w:r w:rsidRPr="009E35ED">
              <w:rPr>
                <w:rFonts w:ascii="Arial Narrow" w:hAnsi="Arial Narrow" w:cs="Calibri"/>
                <w:color w:val="000000" w:themeColor="text1"/>
                <w:sz w:val="22"/>
                <w:szCs w:val="22"/>
              </w:rPr>
              <w:t>Due to Other NGAs</w:t>
            </w:r>
          </w:p>
        </w:tc>
        <w:tc>
          <w:tcPr>
            <w:tcW w:w="2374" w:type="dxa"/>
            <w:tcBorders>
              <w:top w:val="nil"/>
              <w:left w:val="nil"/>
              <w:bottom w:val="nil"/>
              <w:right w:val="nil"/>
            </w:tcBorders>
            <w:shd w:val="clear" w:color="auto" w:fill="auto"/>
            <w:noWrap/>
          </w:tcPr>
          <w:p w14:paraId="0752948F" w14:textId="23C2DDFB" w:rsidR="007635AF" w:rsidRPr="009E35ED" w:rsidRDefault="007635AF" w:rsidP="007635AF">
            <w:pPr>
              <w:ind w:left="0"/>
              <w:jc w:val="right"/>
              <w:rPr>
                <w:rFonts w:ascii="Arial Narrow" w:hAnsi="Arial Narrow" w:cs="Calibri"/>
                <w:color w:val="000000" w:themeColor="text1"/>
                <w:sz w:val="22"/>
                <w:szCs w:val="22"/>
              </w:rPr>
            </w:pPr>
            <w:r w:rsidRPr="009E35ED">
              <w:rPr>
                <w:rFonts w:ascii="Arial Narrow" w:hAnsi="Arial Narrow"/>
                <w:color w:val="000000" w:themeColor="text1"/>
                <w:sz w:val="22"/>
                <w:szCs w:val="22"/>
              </w:rPr>
              <w:t xml:space="preserve"> 35,719,05</w:t>
            </w:r>
            <w:r w:rsidR="003B4391">
              <w:rPr>
                <w:rFonts w:ascii="Arial Narrow" w:hAnsi="Arial Narrow"/>
                <w:color w:val="000000" w:themeColor="text1"/>
                <w:sz w:val="22"/>
                <w:szCs w:val="22"/>
              </w:rPr>
              <w:t>6</w:t>
            </w:r>
            <w:r w:rsidRPr="009E35ED">
              <w:rPr>
                <w:rFonts w:ascii="Arial Narrow" w:hAnsi="Arial Narrow"/>
                <w:color w:val="000000" w:themeColor="text1"/>
                <w:sz w:val="22"/>
                <w:szCs w:val="22"/>
              </w:rPr>
              <w:t xml:space="preserve"> </w:t>
            </w:r>
          </w:p>
        </w:tc>
        <w:tc>
          <w:tcPr>
            <w:tcW w:w="1798" w:type="dxa"/>
            <w:tcBorders>
              <w:top w:val="nil"/>
              <w:left w:val="nil"/>
              <w:bottom w:val="nil"/>
              <w:right w:val="nil"/>
            </w:tcBorders>
            <w:shd w:val="clear" w:color="auto" w:fill="auto"/>
            <w:noWrap/>
            <w:hideMark/>
          </w:tcPr>
          <w:p w14:paraId="0619E488" w14:textId="01506897" w:rsidR="007635AF" w:rsidRPr="009E35ED" w:rsidRDefault="007635AF" w:rsidP="00BF4257">
            <w:pPr>
              <w:ind w:left="0" w:right="-76"/>
              <w:jc w:val="right"/>
              <w:rPr>
                <w:rFonts w:ascii="Arial Narrow" w:hAnsi="Arial Narrow" w:cs="Calibri"/>
                <w:color w:val="000000" w:themeColor="text1"/>
                <w:sz w:val="22"/>
                <w:szCs w:val="22"/>
              </w:rPr>
            </w:pPr>
            <w:r w:rsidRPr="009E35ED">
              <w:rPr>
                <w:rFonts w:ascii="Arial Narrow" w:hAnsi="Arial Narrow"/>
                <w:color w:val="000000" w:themeColor="text1"/>
                <w:sz w:val="22"/>
                <w:szCs w:val="22"/>
              </w:rPr>
              <w:t xml:space="preserve"> 83,161,462 </w:t>
            </w:r>
          </w:p>
        </w:tc>
      </w:tr>
      <w:tr w:rsidR="00997F75" w:rsidRPr="009E35ED" w14:paraId="401C440A" w14:textId="77777777" w:rsidTr="00BF4257">
        <w:trPr>
          <w:trHeight w:val="203"/>
        </w:trPr>
        <w:tc>
          <w:tcPr>
            <w:tcW w:w="4410" w:type="dxa"/>
            <w:tcBorders>
              <w:top w:val="nil"/>
              <w:left w:val="nil"/>
              <w:bottom w:val="nil"/>
              <w:right w:val="nil"/>
            </w:tcBorders>
            <w:shd w:val="clear" w:color="auto" w:fill="auto"/>
            <w:noWrap/>
            <w:vAlign w:val="bottom"/>
            <w:hideMark/>
          </w:tcPr>
          <w:p w14:paraId="609131C4" w14:textId="77777777" w:rsidR="007635AF" w:rsidRPr="009E35ED" w:rsidRDefault="007635AF" w:rsidP="00BF4257">
            <w:pPr>
              <w:ind w:left="-108"/>
              <w:jc w:val="left"/>
              <w:rPr>
                <w:rFonts w:ascii="Arial Narrow" w:hAnsi="Arial Narrow" w:cs="Calibri"/>
                <w:color w:val="000000" w:themeColor="text1"/>
                <w:sz w:val="22"/>
                <w:szCs w:val="22"/>
              </w:rPr>
            </w:pPr>
            <w:r w:rsidRPr="009E35ED">
              <w:rPr>
                <w:rFonts w:ascii="Arial Narrow" w:hAnsi="Arial Narrow" w:cs="Calibri"/>
                <w:color w:val="000000" w:themeColor="text1"/>
                <w:sz w:val="22"/>
                <w:szCs w:val="22"/>
              </w:rPr>
              <w:t>Due to BIR</w:t>
            </w:r>
          </w:p>
        </w:tc>
        <w:tc>
          <w:tcPr>
            <w:tcW w:w="2374" w:type="dxa"/>
            <w:tcBorders>
              <w:top w:val="nil"/>
              <w:left w:val="nil"/>
              <w:bottom w:val="nil"/>
              <w:right w:val="nil"/>
            </w:tcBorders>
            <w:shd w:val="clear" w:color="auto" w:fill="auto"/>
            <w:noWrap/>
          </w:tcPr>
          <w:p w14:paraId="3D2F1C4C" w14:textId="56FBF52B" w:rsidR="007635AF" w:rsidRPr="009E35ED" w:rsidRDefault="007635AF" w:rsidP="00A36844">
            <w:pPr>
              <w:ind w:left="0"/>
              <w:jc w:val="right"/>
              <w:rPr>
                <w:rFonts w:ascii="Arial Narrow" w:hAnsi="Arial Narrow" w:cs="Calibri"/>
                <w:color w:val="000000" w:themeColor="text1"/>
                <w:sz w:val="22"/>
                <w:szCs w:val="22"/>
              </w:rPr>
            </w:pPr>
            <w:r w:rsidRPr="009E35ED">
              <w:rPr>
                <w:rFonts w:ascii="Arial Narrow" w:hAnsi="Arial Narrow"/>
                <w:color w:val="000000" w:themeColor="text1"/>
                <w:sz w:val="22"/>
                <w:szCs w:val="22"/>
              </w:rPr>
              <w:t xml:space="preserve"> 1,</w:t>
            </w:r>
            <w:r w:rsidR="00A36844" w:rsidRPr="009E35ED">
              <w:rPr>
                <w:rFonts w:ascii="Arial Narrow" w:hAnsi="Arial Narrow"/>
                <w:color w:val="000000" w:themeColor="text1"/>
                <w:sz w:val="22"/>
                <w:szCs w:val="22"/>
              </w:rPr>
              <w:t>156,601,613</w:t>
            </w:r>
          </w:p>
        </w:tc>
        <w:tc>
          <w:tcPr>
            <w:tcW w:w="1798" w:type="dxa"/>
            <w:tcBorders>
              <w:top w:val="nil"/>
              <w:left w:val="nil"/>
              <w:bottom w:val="nil"/>
              <w:right w:val="nil"/>
            </w:tcBorders>
            <w:shd w:val="clear" w:color="auto" w:fill="auto"/>
            <w:noWrap/>
            <w:hideMark/>
          </w:tcPr>
          <w:p w14:paraId="535D5F42" w14:textId="33188191" w:rsidR="007635AF" w:rsidRPr="009E35ED" w:rsidRDefault="007635AF" w:rsidP="00BF4257">
            <w:pPr>
              <w:ind w:left="0" w:right="-76"/>
              <w:jc w:val="right"/>
              <w:rPr>
                <w:rFonts w:ascii="Arial Narrow" w:hAnsi="Arial Narrow" w:cs="Calibri"/>
                <w:color w:val="000000" w:themeColor="text1"/>
                <w:sz w:val="22"/>
                <w:szCs w:val="22"/>
              </w:rPr>
            </w:pPr>
            <w:r w:rsidRPr="009E35ED">
              <w:rPr>
                <w:rFonts w:ascii="Arial Narrow" w:hAnsi="Arial Narrow"/>
                <w:color w:val="000000" w:themeColor="text1"/>
                <w:sz w:val="22"/>
                <w:szCs w:val="22"/>
              </w:rPr>
              <w:t xml:space="preserve"> 1,136,121,665 </w:t>
            </w:r>
          </w:p>
        </w:tc>
      </w:tr>
      <w:tr w:rsidR="00997F75" w:rsidRPr="009E35ED" w14:paraId="0D1D7D46" w14:textId="77777777" w:rsidTr="00BF4257">
        <w:trPr>
          <w:trHeight w:val="203"/>
        </w:trPr>
        <w:tc>
          <w:tcPr>
            <w:tcW w:w="4410" w:type="dxa"/>
            <w:tcBorders>
              <w:top w:val="nil"/>
              <w:left w:val="nil"/>
              <w:bottom w:val="nil"/>
              <w:right w:val="nil"/>
            </w:tcBorders>
            <w:shd w:val="clear" w:color="auto" w:fill="auto"/>
            <w:noWrap/>
            <w:vAlign w:val="bottom"/>
            <w:hideMark/>
          </w:tcPr>
          <w:p w14:paraId="176AFE0A" w14:textId="77777777" w:rsidR="007635AF" w:rsidRPr="009E35ED" w:rsidRDefault="007635AF" w:rsidP="00BF4257">
            <w:pPr>
              <w:ind w:left="-108"/>
              <w:jc w:val="left"/>
              <w:rPr>
                <w:rFonts w:ascii="Arial Narrow" w:hAnsi="Arial Narrow" w:cs="Calibri"/>
                <w:color w:val="000000" w:themeColor="text1"/>
                <w:sz w:val="22"/>
                <w:szCs w:val="22"/>
              </w:rPr>
            </w:pPr>
            <w:r w:rsidRPr="009E35ED">
              <w:rPr>
                <w:rFonts w:ascii="Arial Narrow" w:hAnsi="Arial Narrow" w:cs="Calibri"/>
                <w:color w:val="000000" w:themeColor="text1"/>
                <w:sz w:val="22"/>
                <w:szCs w:val="22"/>
              </w:rPr>
              <w:t>Due to other GOCCs</w:t>
            </w:r>
          </w:p>
        </w:tc>
        <w:tc>
          <w:tcPr>
            <w:tcW w:w="2374" w:type="dxa"/>
            <w:tcBorders>
              <w:top w:val="nil"/>
              <w:left w:val="nil"/>
              <w:bottom w:val="nil"/>
              <w:right w:val="nil"/>
            </w:tcBorders>
            <w:shd w:val="clear" w:color="auto" w:fill="auto"/>
            <w:noWrap/>
          </w:tcPr>
          <w:p w14:paraId="7EA08744" w14:textId="65627350" w:rsidR="007635AF" w:rsidRPr="009E35ED" w:rsidRDefault="007635AF" w:rsidP="007635AF">
            <w:pPr>
              <w:ind w:left="0"/>
              <w:jc w:val="right"/>
              <w:rPr>
                <w:rFonts w:ascii="Arial Narrow" w:hAnsi="Arial Narrow" w:cs="Calibri"/>
                <w:color w:val="000000" w:themeColor="text1"/>
                <w:sz w:val="22"/>
                <w:szCs w:val="22"/>
              </w:rPr>
            </w:pPr>
            <w:r w:rsidRPr="009E35ED">
              <w:rPr>
                <w:rFonts w:ascii="Arial Narrow" w:hAnsi="Arial Narrow"/>
                <w:color w:val="000000" w:themeColor="text1"/>
                <w:sz w:val="22"/>
                <w:szCs w:val="22"/>
              </w:rPr>
              <w:t xml:space="preserve"> (195,773)</w:t>
            </w:r>
          </w:p>
        </w:tc>
        <w:tc>
          <w:tcPr>
            <w:tcW w:w="1798" w:type="dxa"/>
            <w:tcBorders>
              <w:top w:val="nil"/>
              <w:left w:val="nil"/>
              <w:bottom w:val="nil"/>
              <w:right w:val="nil"/>
            </w:tcBorders>
            <w:shd w:val="clear" w:color="auto" w:fill="auto"/>
            <w:noWrap/>
            <w:hideMark/>
          </w:tcPr>
          <w:p w14:paraId="6F724066" w14:textId="093D0580" w:rsidR="007635AF" w:rsidRPr="009E35ED" w:rsidRDefault="007635AF" w:rsidP="00BF4257">
            <w:pPr>
              <w:ind w:left="0" w:right="-76"/>
              <w:jc w:val="right"/>
              <w:rPr>
                <w:rFonts w:ascii="Arial Narrow" w:hAnsi="Arial Narrow" w:cs="Calibri"/>
                <w:color w:val="000000" w:themeColor="text1"/>
                <w:sz w:val="22"/>
                <w:szCs w:val="22"/>
              </w:rPr>
            </w:pPr>
            <w:r w:rsidRPr="009E35ED">
              <w:rPr>
                <w:rFonts w:ascii="Arial Narrow" w:hAnsi="Arial Narrow"/>
                <w:color w:val="000000" w:themeColor="text1"/>
                <w:sz w:val="22"/>
                <w:szCs w:val="22"/>
              </w:rPr>
              <w:t xml:space="preserve"> (195,773)</w:t>
            </w:r>
          </w:p>
        </w:tc>
      </w:tr>
      <w:tr w:rsidR="00997F75" w:rsidRPr="009E35ED" w14:paraId="0FB0A0BF" w14:textId="77777777" w:rsidTr="00BF4257">
        <w:trPr>
          <w:trHeight w:val="203"/>
        </w:trPr>
        <w:tc>
          <w:tcPr>
            <w:tcW w:w="4410" w:type="dxa"/>
            <w:tcBorders>
              <w:top w:val="nil"/>
              <w:left w:val="nil"/>
              <w:bottom w:val="nil"/>
              <w:right w:val="nil"/>
            </w:tcBorders>
            <w:shd w:val="clear" w:color="auto" w:fill="auto"/>
            <w:noWrap/>
            <w:vAlign w:val="bottom"/>
            <w:hideMark/>
          </w:tcPr>
          <w:p w14:paraId="3F5B8F6A" w14:textId="77777777" w:rsidR="007635AF" w:rsidRPr="009E35ED" w:rsidRDefault="007635AF" w:rsidP="00BF4257">
            <w:pPr>
              <w:ind w:left="-108"/>
              <w:jc w:val="left"/>
              <w:rPr>
                <w:rFonts w:ascii="Arial Narrow" w:hAnsi="Arial Narrow" w:cs="Calibri"/>
                <w:color w:val="000000" w:themeColor="text1"/>
                <w:sz w:val="22"/>
                <w:szCs w:val="22"/>
              </w:rPr>
            </w:pPr>
            <w:r w:rsidRPr="009E35ED">
              <w:rPr>
                <w:rFonts w:ascii="Arial Narrow" w:hAnsi="Arial Narrow" w:cs="Calibri"/>
                <w:color w:val="000000" w:themeColor="text1"/>
                <w:sz w:val="22"/>
                <w:szCs w:val="22"/>
              </w:rPr>
              <w:t>Due to GSIS</w:t>
            </w:r>
          </w:p>
        </w:tc>
        <w:tc>
          <w:tcPr>
            <w:tcW w:w="2374" w:type="dxa"/>
            <w:tcBorders>
              <w:top w:val="nil"/>
              <w:left w:val="nil"/>
              <w:bottom w:val="nil"/>
              <w:right w:val="nil"/>
            </w:tcBorders>
            <w:shd w:val="clear" w:color="auto" w:fill="auto"/>
            <w:noWrap/>
          </w:tcPr>
          <w:p w14:paraId="3699BD0F" w14:textId="0CEEB4D5" w:rsidR="007635AF" w:rsidRPr="009E35ED" w:rsidRDefault="007635AF" w:rsidP="007635AF">
            <w:pPr>
              <w:ind w:left="0"/>
              <w:jc w:val="right"/>
              <w:rPr>
                <w:rFonts w:ascii="Arial Narrow" w:hAnsi="Arial Narrow" w:cs="Calibri"/>
                <w:color w:val="000000" w:themeColor="text1"/>
                <w:sz w:val="22"/>
                <w:szCs w:val="22"/>
              </w:rPr>
            </w:pPr>
            <w:r w:rsidRPr="009E35ED">
              <w:rPr>
                <w:rFonts w:ascii="Arial Narrow" w:hAnsi="Arial Narrow"/>
                <w:color w:val="000000" w:themeColor="text1"/>
                <w:sz w:val="22"/>
                <w:szCs w:val="22"/>
              </w:rPr>
              <w:t xml:space="preserve"> 14,491,949 </w:t>
            </w:r>
          </w:p>
        </w:tc>
        <w:tc>
          <w:tcPr>
            <w:tcW w:w="1798" w:type="dxa"/>
            <w:tcBorders>
              <w:top w:val="nil"/>
              <w:left w:val="nil"/>
              <w:bottom w:val="nil"/>
              <w:right w:val="nil"/>
            </w:tcBorders>
            <w:shd w:val="clear" w:color="auto" w:fill="auto"/>
            <w:noWrap/>
            <w:hideMark/>
          </w:tcPr>
          <w:p w14:paraId="42F6C356" w14:textId="3842E3F4" w:rsidR="007635AF" w:rsidRPr="009E35ED" w:rsidRDefault="007635AF" w:rsidP="00BF4257">
            <w:pPr>
              <w:ind w:left="0" w:right="-76"/>
              <w:jc w:val="right"/>
              <w:rPr>
                <w:rFonts w:ascii="Arial Narrow" w:hAnsi="Arial Narrow" w:cs="Calibri"/>
                <w:color w:val="000000" w:themeColor="text1"/>
                <w:sz w:val="22"/>
                <w:szCs w:val="22"/>
              </w:rPr>
            </w:pPr>
            <w:r w:rsidRPr="009E35ED">
              <w:rPr>
                <w:rFonts w:ascii="Arial Narrow" w:hAnsi="Arial Narrow"/>
                <w:color w:val="000000" w:themeColor="text1"/>
                <w:sz w:val="22"/>
                <w:szCs w:val="22"/>
              </w:rPr>
              <w:t xml:space="preserve"> 16,988,431 </w:t>
            </w:r>
          </w:p>
        </w:tc>
      </w:tr>
      <w:tr w:rsidR="00997F75" w:rsidRPr="009E35ED" w14:paraId="605FD433" w14:textId="77777777" w:rsidTr="00BF4257">
        <w:trPr>
          <w:trHeight w:val="203"/>
        </w:trPr>
        <w:tc>
          <w:tcPr>
            <w:tcW w:w="4410" w:type="dxa"/>
            <w:tcBorders>
              <w:top w:val="nil"/>
              <w:left w:val="nil"/>
              <w:bottom w:val="nil"/>
              <w:right w:val="nil"/>
            </w:tcBorders>
            <w:shd w:val="clear" w:color="auto" w:fill="auto"/>
            <w:noWrap/>
            <w:vAlign w:val="bottom"/>
            <w:hideMark/>
          </w:tcPr>
          <w:p w14:paraId="06138573" w14:textId="77777777" w:rsidR="007635AF" w:rsidRPr="009E35ED" w:rsidRDefault="007635AF" w:rsidP="00BF4257">
            <w:pPr>
              <w:ind w:left="-108"/>
              <w:jc w:val="left"/>
              <w:rPr>
                <w:rFonts w:ascii="Arial Narrow" w:hAnsi="Arial Narrow" w:cs="Calibri"/>
                <w:color w:val="000000" w:themeColor="text1"/>
                <w:sz w:val="22"/>
                <w:szCs w:val="22"/>
              </w:rPr>
            </w:pPr>
            <w:r w:rsidRPr="009E35ED">
              <w:rPr>
                <w:rFonts w:ascii="Arial Narrow" w:hAnsi="Arial Narrow" w:cs="Calibri"/>
                <w:color w:val="000000" w:themeColor="text1"/>
                <w:sz w:val="22"/>
                <w:szCs w:val="22"/>
              </w:rPr>
              <w:t>Due to PHILHEALTH</w:t>
            </w:r>
          </w:p>
        </w:tc>
        <w:tc>
          <w:tcPr>
            <w:tcW w:w="2374" w:type="dxa"/>
            <w:tcBorders>
              <w:top w:val="nil"/>
              <w:left w:val="nil"/>
              <w:bottom w:val="nil"/>
              <w:right w:val="nil"/>
            </w:tcBorders>
            <w:shd w:val="clear" w:color="auto" w:fill="auto"/>
            <w:noWrap/>
          </w:tcPr>
          <w:p w14:paraId="35F339E3" w14:textId="3C9C1104" w:rsidR="007635AF" w:rsidRPr="009E35ED" w:rsidRDefault="007635AF" w:rsidP="007635AF">
            <w:pPr>
              <w:ind w:left="0"/>
              <w:jc w:val="right"/>
              <w:rPr>
                <w:rFonts w:ascii="Arial Narrow" w:hAnsi="Arial Narrow" w:cs="Calibri"/>
                <w:color w:val="000000" w:themeColor="text1"/>
                <w:sz w:val="22"/>
                <w:szCs w:val="22"/>
              </w:rPr>
            </w:pPr>
            <w:r w:rsidRPr="009E35ED">
              <w:rPr>
                <w:rFonts w:ascii="Arial Narrow" w:hAnsi="Arial Narrow"/>
                <w:color w:val="000000" w:themeColor="text1"/>
                <w:sz w:val="22"/>
                <w:szCs w:val="22"/>
              </w:rPr>
              <w:t xml:space="preserve"> 3,149,081 </w:t>
            </w:r>
          </w:p>
        </w:tc>
        <w:tc>
          <w:tcPr>
            <w:tcW w:w="1798" w:type="dxa"/>
            <w:tcBorders>
              <w:top w:val="nil"/>
              <w:left w:val="nil"/>
              <w:bottom w:val="nil"/>
              <w:right w:val="nil"/>
            </w:tcBorders>
            <w:shd w:val="clear" w:color="auto" w:fill="auto"/>
            <w:noWrap/>
            <w:hideMark/>
          </w:tcPr>
          <w:p w14:paraId="4F007A47" w14:textId="39FBBF1C" w:rsidR="007635AF" w:rsidRPr="009E35ED" w:rsidRDefault="007635AF" w:rsidP="00BF4257">
            <w:pPr>
              <w:ind w:left="0" w:right="-76"/>
              <w:jc w:val="right"/>
              <w:rPr>
                <w:rFonts w:ascii="Arial Narrow" w:hAnsi="Arial Narrow" w:cs="Calibri"/>
                <w:color w:val="000000" w:themeColor="text1"/>
                <w:sz w:val="22"/>
                <w:szCs w:val="22"/>
              </w:rPr>
            </w:pPr>
            <w:r w:rsidRPr="009E35ED">
              <w:rPr>
                <w:rFonts w:ascii="Arial Narrow" w:hAnsi="Arial Narrow"/>
                <w:color w:val="000000" w:themeColor="text1"/>
                <w:sz w:val="22"/>
                <w:szCs w:val="22"/>
              </w:rPr>
              <w:t xml:space="preserve"> 3,119,567 </w:t>
            </w:r>
          </w:p>
        </w:tc>
      </w:tr>
      <w:tr w:rsidR="00997F75" w:rsidRPr="009E35ED" w14:paraId="64AA5176" w14:textId="77777777" w:rsidTr="00BF4257">
        <w:trPr>
          <w:trHeight w:val="203"/>
        </w:trPr>
        <w:tc>
          <w:tcPr>
            <w:tcW w:w="4410" w:type="dxa"/>
            <w:tcBorders>
              <w:top w:val="nil"/>
              <w:left w:val="nil"/>
              <w:bottom w:val="nil"/>
              <w:right w:val="nil"/>
            </w:tcBorders>
            <w:shd w:val="clear" w:color="auto" w:fill="auto"/>
            <w:noWrap/>
            <w:vAlign w:val="bottom"/>
            <w:hideMark/>
          </w:tcPr>
          <w:p w14:paraId="575CA3A2" w14:textId="77777777" w:rsidR="007635AF" w:rsidRPr="009E35ED" w:rsidRDefault="007635AF" w:rsidP="00BF4257">
            <w:pPr>
              <w:ind w:left="-108"/>
              <w:jc w:val="left"/>
              <w:rPr>
                <w:rFonts w:ascii="Arial Narrow" w:hAnsi="Arial Narrow" w:cs="Calibri"/>
                <w:color w:val="000000" w:themeColor="text1"/>
                <w:sz w:val="22"/>
                <w:szCs w:val="22"/>
              </w:rPr>
            </w:pPr>
            <w:r w:rsidRPr="009E35ED">
              <w:rPr>
                <w:rFonts w:ascii="Arial Narrow" w:hAnsi="Arial Narrow" w:cs="Calibri"/>
                <w:color w:val="000000" w:themeColor="text1"/>
                <w:sz w:val="22"/>
                <w:szCs w:val="22"/>
              </w:rPr>
              <w:t>Due to PAG-IBIG</w:t>
            </w:r>
          </w:p>
        </w:tc>
        <w:tc>
          <w:tcPr>
            <w:tcW w:w="2374" w:type="dxa"/>
            <w:tcBorders>
              <w:top w:val="nil"/>
              <w:left w:val="nil"/>
              <w:bottom w:val="nil"/>
              <w:right w:val="nil"/>
            </w:tcBorders>
            <w:shd w:val="clear" w:color="auto" w:fill="auto"/>
            <w:noWrap/>
          </w:tcPr>
          <w:p w14:paraId="17FE6867" w14:textId="4A45A4CA" w:rsidR="007635AF" w:rsidRPr="009E35ED" w:rsidRDefault="007635AF" w:rsidP="007635AF">
            <w:pPr>
              <w:ind w:left="0"/>
              <w:jc w:val="right"/>
              <w:rPr>
                <w:rFonts w:ascii="Arial Narrow" w:hAnsi="Arial Narrow" w:cs="Calibri"/>
                <w:color w:val="000000" w:themeColor="text1"/>
                <w:sz w:val="22"/>
                <w:szCs w:val="22"/>
              </w:rPr>
            </w:pPr>
            <w:r w:rsidRPr="009E35ED">
              <w:rPr>
                <w:rFonts w:ascii="Arial Narrow" w:hAnsi="Arial Narrow"/>
                <w:color w:val="000000" w:themeColor="text1"/>
                <w:sz w:val="22"/>
                <w:szCs w:val="22"/>
              </w:rPr>
              <w:t xml:space="preserve"> 2,167,582 </w:t>
            </w:r>
          </w:p>
        </w:tc>
        <w:tc>
          <w:tcPr>
            <w:tcW w:w="1798" w:type="dxa"/>
            <w:tcBorders>
              <w:top w:val="nil"/>
              <w:left w:val="nil"/>
              <w:bottom w:val="nil"/>
              <w:right w:val="nil"/>
            </w:tcBorders>
            <w:shd w:val="clear" w:color="auto" w:fill="auto"/>
            <w:noWrap/>
            <w:hideMark/>
          </w:tcPr>
          <w:p w14:paraId="15F7F623" w14:textId="5BDAD5F3" w:rsidR="007635AF" w:rsidRPr="009E35ED" w:rsidRDefault="007635AF" w:rsidP="00BF4257">
            <w:pPr>
              <w:ind w:left="0" w:right="-76"/>
              <w:jc w:val="right"/>
              <w:rPr>
                <w:rFonts w:ascii="Arial Narrow" w:hAnsi="Arial Narrow" w:cs="Calibri"/>
                <w:color w:val="000000" w:themeColor="text1"/>
                <w:sz w:val="22"/>
                <w:szCs w:val="22"/>
              </w:rPr>
            </w:pPr>
            <w:r w:rsidRPr="009E35ED">
              <w:rPr>
                <w:rFonts w:ascii="Arial Narrow" w:hAnsi="Arial Narrow"/>
                <w:color w:val="000000" w:themeColor="text1"/>
                <w:sz w:val="22"/>
                <w:szCs w:val="22"/>
              </w:rPr>
              <w:t xml:space="preserve"> 2,120,603 </w:t>
            </w:r>
          </w:p>
        </w:tc>
      </w:tr>
      <w:tr w:rsidR="00D7786E" w:rsidRPr="009E35ED" w14:paraId="461D4CD0" w14:textId="77777777" w:rsidTr="00BF4257">
        <w:trPr>
          <w:trHeight w:val="203"/>
        </w:trPr>
        <w:tc>
          <w:tcPr>
            <w:tcW w:w="4410" w:type="dxa"/>
            <w:tcBorders>
              <w:top w:val="nil"/>
              <w:left w:val="nil"/>
              <w:bottom w:val="nil"/>
              <w:right w:val="nil"/>
            </w:tcBorders>
            <w:shd w:val="clear" w:color="auto" w:fill="auto"/>
            <w:noWrap/>
            <w:vAlign w:val="bottom"/>
          </w:tcPr>
          <w:p w14:paraId="7E615B5E" w14:textId="4F3DFBD1" w:rsidR="00D7786E" w:rsidRPr="009E35ED" w:rsidRDefault="00D7786E" w:rsidP="00BF4257">
            <w:pPr>
              <w:ind w:left="-108"/>
              <w:jc w:val="left"/>
              <w:rPr>
                <w:rFonts w:ascii="Arial Narrow" w:hAnsi="Arial Narrow" w:cs="Calibri"/>
                <w:color w:val="000000" w:themeColor="text1"/>
                <w:sz w:val="22"/>
                <w:szCs w:val="22"/>
              </w:rPr>
            </w:pPr>
            <w:r w:rsidRPr="009E35ED">
              <w:rPr>
                <w:rFonts w:ascii="Arial Narrow" w:hAnsi="Arial Narrow" w:cs="Calibri"/>
                <w:color w:val="000000" w:themeColor="text1"/>
                <w:sz w:val="22"/>
                <w:szCs w:val="22"/>
              </w:rPr>
              <w:t>Income tax Payable</w:t>
            </w:r>
          </w:p>
        </w:tc>
        <w:tc>
          <w:tcPr>
            <w:tcW w:w="2374" w:type="dxa"/>
            <w:tcBorders>
              <w:top w:val="nil"/>
              <w:left w:val="nil"/>
              <w:bottom w:val="nil"/>
              <w:right w:val="nil"/>
            </w:tcBorders>
            <w:shd w:val="clear" w:color="auto" w:fill="auto"/>
            <w:noWrap/>
          </w:tcPr>
          <w:p w14:paraId="77FB1FBA" w14:textId="072127EA" w:rsidR="00D7786E" w:rsidRPr="009E35ED" w:rsidRDefault="00D7786E" w:rsidP="00B04ABA">
            <w:pPr>
              <w:ind w:left="0"/>
              <w:jc w:val="right"/>
              <w:rPr>
                <w:rFonts w:ascii="Arial Narrow" w:hAnsi="Arial Narrow" w:cs="Calibri"/>
                <w:color w:val="000000" w:themeColor="text1"/>
                <w:sz w:val="22"/>
                <w:szCs w:val="22"/>
              </w:rPr>
            </w:pPr>
            <w:r w:rsidRPr="009E35ED">
              <w:rPr>
                <w:rFonts w:ascii="Arial Narrow" w:hAnsi="Arial Narrow"/>
                <w:sz w:val="22"/>
                <w:szCs w:val="22"/>
              </w:rPr>
              <w:t xml:space="preserve"> </w:t>
            </w:r>
            <w:r w:rsidR="00B04ABA" w:rsidRPr="009E35ED">
              <w:rPr>
                <w:rFonts w:ascii="Arial Narrow" w:hAnsi="Arial Narrow"/>
                <w:sz w:val="22"/>
                <w:szCs w:val="22"/>
              </w:rPr>
              <w:t>87,990,080</w:t>
            </w:r>
          </w:p>
        </w:tc>
        <w:tc>
          <w:tcPr>
            <w:tcW w:w="1798" w:type="dxa"/>
            <w:tcBorders>
              <w:top w:val="nil"/>
              <w:left w:val="nil"/>
              <w:bottom w:val="nil"/>
              <w:right w:val="nil"/>
            </w:tcBorders>
            <w:shd w:val="clear" w:color="auto" w:fill="auto"/>
            <w:noWrap/>
          </w:tcPr>
          <w:p w14:paraId="77FD2910" w14:textId="67EA217F" w:rsidR="00D7786E" w:rsidRPr="009E35ED" w:rsidRDefault="00D7786E" w:rsidP="00BF4257">
            <w:pPr>
              <w:ind w:left="0" w:right="-76"/>
              <w:jc w:val="right"/>
              <w:rPr>
                <w:rFonts w:ascii="Arial Narrow" w:hAnsi="Arial Narrow" w:cs="Calibri"/>
                <w:color w:val="000000" w:themeColor="text1"/>
                <w:sz w:val="22"/>
                <w:szCs w:val="22"/>
              </w:rPr>
            </w:pPr>
            <w:r w:rsidRPr="009E35ED">
              <w:rPr>
                <w:rFonts w:ascii="Arial Narrow" w:hAnsi="Arial Narrow"/>
                <w:color w:val="000000" w:themeColor="text1"/>
                <w:sz w:val="22"/>
                <w:szCs w:val="22"/>
              </w:rPr>
              <w:t xml:space="preserve"> 1,016,051,692 </w:t>
            </w:r>
          </w:p>
        </w:tc>
      </w:tr>
      <w:tr w:rsidR="00D7786E" w:rsidRPr="009E35ED" w14:paraId="7CF78AB6" w14:textId="77777777" w:rsidTr="00BF4257">
        <w:trPr>
          <w:trHeight w:val="213"/>
        </w:trPr>
        <w:tc>
          <w:tcPr>
            <w:tcW w:w="4410" w:type="dxa"/>
            <w:tcBorders>
              <w:top w:val="single" w:sz="4" w:space="0" w:color="auto"/>
              <w:left w:val="nil"/>
              <w:bottom w:val="double" w:sz="6" w:space="0" w:color="auto"/>
              <w:right w:val="nil"/>
            </w:tcBorders>
            <w:shd w:val="clear" w:color="auto" w:fill="auto"/>
            <w:noWrap/>
            <w:vAlign w:val="bottom"/>
            <w:hideMark/>
          </w:tcPr>
          <w:p w14:paraId="75041745" w14:textId="77777777" w:rsidR="00D7786E" w:rsidRPr="009E35ED" w:rsidRDefault="00D7786E" w:rsidP="00BF4257">
            <w:pPr>
              <w:ind w:left="-108"/>
              <w:jc w:val="left"/>
              <w:rPr>
                <w:rFonts w:ascii="Arial Narrow" w:hAnsi="Arial Narrow" w:cs="Calibri"/>
                <w:b/>
                <w:bCs/>
                <w:color w:val="000000" w:themeColor="text1"/>
                <w:sz w:val="22"/>
                <w:szCs w:val="22"/>
              </w:rPr>
            </w:pPr>
            <w:r w:rsidRPr="009E35ED">
              <w:rPr>
                <w:rFonts w:ascii="Arial Narrow" w:hAnsi="Arial Narrow" w:cs="Calibri"/>
                <w:b/>
                <w:bCs/>
                <w:color w:val="000000" w:themeColor="text1"/>
                <w:sz w:val="22"/>
                <w:szCs w:val="22"/>
              </w:rPr>
              <w:t>TOTAL INTER-AGENCY PAYABLES</w:t>
            </w:r>
          </w:p>
        </w:tc>
        <w:tc>
          <w:tcPr>
            <w:tcW w:w="2374" w:type="dxa"/>
            <w:tcBorders>
              <w:top w:val="single" w:sz="4" w:space="0" w:color="auto"/>
              <w:left w:val="nil"/>
              <w:bottom w:val="double" w:sz="6" w:space="0" w:color="auto"/>
              <w:right w:val="nil"/>
            </w:tcBorders>
            <w:shd w:val="clear" w:color="auto" w:fill="auto"/>
            <w:noWrap/>
          </w:tcPr>
          <w:p w14:paraId="38FDB87D" w14:textId="6AE8E360" w:rsidR="00D7786E" w:rsidRPr="009E35ED" w:rsidRDefault="00D7786E" w:rsidP="00B04ABA">
            <w:pPr>
              <w:ind w:left="0"/>
              <w:jc w:val="right"/>
              <w:rPr>
                <w:rFonts w:ascii="Arial Narrow" w:hAnsi="Arial Narrow" w:cs="Calibri"/>
                <w:b/>
                <w:bCs/>
                <w:color w:val="000000" w:themeColor="text1"/>
                <w:sz w:val="22"/>
                <w:szCs w:val="22"/>
              </w:rPr>
            </w:pPr>
            <w:r w:rsidRPr="009E35ED">
              <w:rPr>
                <w:rFonts w:ascii="Arial Narrow" w:hAnsi="Arial Narrow"/>
                <w:b/>
                <w:bCs/>
                <w:sz w:val="22"/>
                <w:szCs w:val="22"/>
              </w:rPr>
              <w:t xml:space="preserve"> 1,</w:t>
            </w:r>
            <w:r w:rsidR="00B04ABA" w:rsidRPr="009E35ED">
              <w:rPr>
                <w:rFonts w:ascii="Arial Narrow" w:hAnsi="Arial Narrow"/>
                <w:b/>
                <w:bCs/>
                <w:sz w:val="22"/>
                <w:szCs w:val="22"/>
              </w:rPr>
              <w:t>299,923,588</w:t>
            </w:r>
            <w:r w:rsidRPr="009E35ED">
              <w:rPr>
                <w:rFonts w:ascii="Arial Narrow" w:hAnsi="Arial Narrow"/>
                <w:b/>
                <w:bCs/>
                <w:sz w:val="22"/>
                <w:szCs w:val="22"/>
              </w:rPr>
              <w:t xml:space="preserve"> </w:t>
            </w:r>
          </w:p>
        </w:tc>
        <w:tc>
          <w:tcPr>
            <w:tcW w:w="1798" w:type="dxa"/>
            <w:tcBorders>
              <w:top w:val="single" w:sz="4" w:space="0" w:color="auto"/>
              <w:left w:val="nil"/>
              <w:bottom w:val="double" w:sz="6" w:space="0" w:color="auto"/>
              <w:right w:val="nil"/>
            </w:tcBorders>
            <w:shd w:val="clear" w:color="auto" w:fill="auto"/>
            <w:noWrap/>
            <w:hideMark/>
          </w:tcPr>
          <w:p w14:paraId="789B6827" w14:textId="43635737" w:rsidR="00D7786E" w:rsidRPr="009E35ED" w:rsidRDefault="00D7786E" w:rsidP="00BF4257">
            <w:pPr>
              <w:ind w:left="0" w:right="-76"/>
              <w:jc w:val="right"/>
              <w:rPr>
                <w:rFonts w:ascii="Arial Narrow" w:hAnsi="Arial Narrow" w:cs="Calibri"/>
                <w:b/>
                <w:bCs/>
                <w:color w:val="000000" w:themeColor="text1"/>
                <w:sz w:val="22"/>
                <w:szCs w:val="22"/>
              </w:rPr>
            </w:pPr>
            <w:r w:rsidRPr="009E35ED">
              <w:rPr>
                <w:rFonts w:ascii="Arial Narrow" w:hAnsi="Arial Narrow"/>
                <w:b/>
                <w:bCs/>
                <w:color w:val="000000" w:themeColor="text1"/>
                <w:sz w:val="22"/>
                <w:szCs w:val="22"/>
              </w:rPr>
              <w:t xml:space="preserve"> 2,257,367,647 </w:t>
            </w:r>
          </w:p>
        </w:tc>
      </w:tr>
    </w:tbl>
    <w:p w14:paraId="715C8584" w14:textId="77777777" w:rsidR="00A552D8" w:rsidRPr="009E35ED" w:rsidRDefault="00A552D8" w:rsidP="002821B2">
      <w:pPr>
        <w:ind w:left="0"/>
        <w:rPr>
          <w:rFonts w:ascii="Arial" w:hAnsi="Arial" w:cs="Arial"/>
          <w:color w:val="000000" w:themeColor="text1"/>
          <w:sz w:val="22"/>
          <w:szCs w:val="22"/>
        </w:rPr>
      </w:pPr>
    </w:p>
    <w:p w14:paraId="3CFD7F29" w14:textId="32362CA8" w:rsidR="00A93AAF" w:rsidRDefault="00A93AAF" w:rsidP="00A93AAF">
      <w:pPr>
        <w:ind w:left="0"/>
        <w:rPr>
          <w:rFonts w:ascii="Arial" w:hAnsi="Arial" w:cs="Arial"/>
          <w:color w:val="000000" w:themeColor="text1"/>
          <w:sz w:val="22"/>
          <w:szCs w:val="22"/>
        </w:rPr>
      </w:pPr>
      <w:r w:rsidRPr="009E35ED">
        <w:rPr>
          <w:rFonts w:ascii="Arial" w:hAnsi="Arial" w:cs="Arial"/>
          <w:color w:val="000000" w:themeColor="text1"/>
          <w:sz w:val="22"/>
          <w:szCs w:val="22"/>
        </w:rPr>
        <w:t>In conformity with PAS No. 8, the Inter-Agency payables account are restated as follows:</w:t>
      </w:r>
    </w:p>
    <w:p w14:paraId="41725C36" w14:textId="77777777" w:rsidR="00F16075" w:rsidRPr="009E35ED" w:rsidRDefault="00F16075" w:rsidP="00F16075">
      <w:pPr>
        <w:ind w:left="0"/>
        <w:rPr>
          <w:rFonts w:ascii="Arial" w:hAnsi="Arial" w:cs="Arial"/>
          <w:color w:val="000000" w:themeColor="text1"/>
          <w:sz w:val="22"/>
          <w:szCs w:val="22"/>
        </w:rPr>
      </w:pPr>
    </w:p>
    <w:tbl>
      <w:tblPr>
        <w:tblW w:w="8622" w:type="dxa"/>
        <w:tblLook w:val="04A0" w:firstRow="1" w:lastRow="0" w:firstColumn="1" w:lastColumn="0" w:noHBand="0" w:noVBand="1"/>
      </w:tblPr>
      <w:tblGrid>
        <w:gridCol w:w="6930"/>
        <w:gridCol w:w="1692"/>
      </w:tblGrid>
      <w:tr w:rsidR="00F16075" w:rsidRPr="009E35ED" w14:paraId="6E41A3B7" w14:textId="77777777" w:rsidTr="003813B3">
        <w:trPr>
          <w:trHeight w:val="314"/>
        </w:trPr>
        <w:tc>
          <w:tcPr>
            <w:tcW w:w="6930" w:type="dxa"/>
            <w:tcBorders>
              <w:top w:val="nil"/>
              <w:left w:val="nil"/>
              <w:bottom w:val="nil"/>
              <w:right w:val="nil"/>
            </w:tcBorders>
            <w:shd w:val="clear" w:color="auto" w:fill="auto"/>
            <w:noWrap/>
          </w:tcPr>
          <w:p w14:paraId="5B485331" w14:textId="42CC69FF" w:rsidR="00F16075" w:rsidRPr="009E35ED" w:rsidRDefault="00F16075" w:rsidP="003813B3">
            <w:pPr>
              <w:ind w:left="-108"/>
              <w:jc w:val="left"/>
              <w:rPr>
                <w:rFonts w:ascii="Arial Narrow" w:hAnsi="Arial Narrow" w:cs="Arial"/>
                <w:color w:val="000000" w:themeColor="text1"/>
                <w:sz w:val="22"/>
                <w:szCs w:val="22"/>
              </w:rPr>
            </w:pPr>
            <w:r w:rsidRPr="009E35ED">
              <w:rPr>
                <w:rFonts w:ascii="Arial Narrow" w:hAnsi="Arial Narrow"/>
                <w:color w:val="000000" w:themeColor="text1"/>
                <w:sz w:val="22"/>
                <w:szCs w:val="22"/>
              </w:rPr>
              <w:t xml:space="preserve">Unrestated </w:t>
            </w:r>
            <w:r w:rsidR="007963A7">
              <w:rPr>
                <w:rFonts w:ascii="Arial Narrow" w:hAnsi="Arial Narrow"/>
                <w:color w:val="000000" w:themeColor="text1"/>
                <w:sz w:val="22"/>
                <w:szCs w:val="22"/>
              </w:rPr>
              <w:t>a</w:t>
            </w:r>
            <w:r w:rsidRPr="009E35ED">
              <w:rPr>
                <w:rFonts w:ascii="Arial Narrow" w:hAnsi="Arial Narrow"/>
                <w:color w:val="000000" w:themeColor="text1"/>
                <w:sz w:val="22"/>
                <w:szCs w:val="22"/>
              </w:rPr>
              <w:t>mount as of December 31, 2022</w:t>
            </w:r>
          </w:p>
        </w:tc>
        <w:tc>
          <w:tcPr>
            <w:tcW w:w="1692" w:type="dxa"/>
            <w:tcBorders>
              <w:top w:val="nil"/>
              <w:left w:val="nil"/>
              <w:bottom w:val="nil"/>
              <w:right w:val="nil"/>
            </w:tcBorders>
            <w:shd w:val="clear" w:color="auto" w:fill="auto"/>
            <w:noWrap/>
          </w:tcPr>
          <w:p w14:paraId="00AC54E6" w14:textId="77777777" w:rsidR="00F16075" w:rsidRPr="009E35ED" w:rsidRDefault="00F16075" w:rsidP="003813B3">
            <w:pPr>
              <w:ind w:left="0" w:right="-65"/>
              <w:jc w:val="right"/>
              <w:rPr>
                <w:rFonts w:ascii="Arial Narrow" w:hAnsi="Arial Narrow" w:cs="Arial"/>
                <w:color w:val="000000" w:themeColor="text1"/>
                <w:sz w:val="22"/>
                <w:szCs w:val="22"/>
              </w:rPr>
            </w:pPr>
            <w:r w:rsidRPr="009E35ED">
              <w:rPr>
                <w:rFonts w:ascii="Arial Narrow" w:hAnsi="Arial Narrow"/>
                <w:color w:val="000000" w:themeColor="text1"/>
                <w:sz w:val="22"/>
                <w:szCs w:val="22"/>
              </w:rPr>
              <w:t xml:space="preserve"> 33,161,462 </w:t>
            </w:r>
          </w:p>
        </w:tc>
      </w:tr>
      <w:tr w:rsidR="00F16075" w:rsidRPr="009E35ED" w14:paraId="01862419" w14:textId="77777777" w:rsidTr="003813B3">
        <w:trPr>
          <w:trHeight w:val="314"/>
        </w:trPr>
        <w:tc>
          <w:tcPr>
            <w:tcW w:w="6930" w:type="dxa"/>
            <w:tcBorders>
              <w:top w:val="nil"/>
              <w:left w:val="nil"/>
              <w:bottom w:val="single" w:sz="4" w:space="0" w:color="auto"/>
              <w:right w:val="nil"/>
            </w:tcBorders>
            <w:shd w:val="clear" w:color="auto" w:fill="auto"/>
            <w:noWrap/>
            <w:hideMark/>
          </w:tcPr>
          <w:p w14:paraId="67328B1B" w14:textId="77777777" w:rsidR="00F16075" w:rsidRPr="009E35ED" w:rsidRDefault="00F16075" w:rsidP="003813B3">
            <w:pPr>
              <w:ind w:left="-108"/>
              <w:jc w:val="left"/>
              <w:rPr>
                <w:rFonts w:ascii="Arial Narrow" w:hAnsi="Arial Narrow" w:cs="Arial"/>
                <w:color w:val="000000" w:themeColor="text1"/>
                <w:sz w:val="22"/>
                <w:szCs w:val="22"/>
                <w:lang w:val="en-PH" w:eastAsia="en-PH"/>
              </w:rPr>
            </w:pPr>
            <w:r w:rsidRPr="009E35ED">
              <w:rPr>
                <w:rFonts w:ascii="Arial Narrow" w:hAnsi="Arial Narrow"/>
                <w:color w:val="000000" w:themeColor="text1"/>
                <w:sz w:val="22"/>
                <w:szCs w:val="22"/>
              </w:rPr>
              <w:t>Adjustment/Recording of Commission on Higher Education - Head Office</w:t>
            </w:r>
          </w:p>
        </w:tc>
        <w:tc>
          <w:tcPr>
            <w:tcW w:w="1692" w:type="dxa"/>
            <w:tcBorders>
              <w:top w:val="nil"/>
              <w:left w:val="nil"/>
              <w:bottom w:val="single" w:sz="4" w:space="0" w:color="auto"/>
              <w:right w:val="nil"/>
            </w:tcBorders>
            <w:shd w:val="clear" w:color="auto" w:fill="auto"/>
            <w:noWrap/>
            <w:hideMark/>
          </w:tcPr>
          <w:p w14:paraId="190F7848" w14:textId="77777777" w:rsidR="00F16075" w:rsidRPr="009E35ED" w:rsidRDefault="00F16075" w:rsidP="003813B3">
            <w:pPr>
              <w:ind w:left="0" w:right="-65"/>
              <w:jc w:val="right"/>
              <w:rPr>
                <w:rFonts w:ascii="Arial Narrow" w:hAnsi="Arial Narrow" w:cs="Arial"/>
                <w:color w:val="000000" w:themeColor="text1"/>
                <w:sz w:val="22"/>
                <w:szCs w:val="22"/>
                <w:lang w:val="en-PH" w:eastAsia="en-PH"/>
              </w:rPr>
            </w:pPr>
            <w:r w:rsidRPr="009E35ED">
              <w:rPr>
                <w:rFonts w:ascii="Arial Narrow" w:hAnsi="Arial Narrow"/>
                <w:color w:val="000000" w:themeColor="text1"/>
                <w:sz w:val="22"/>
                <w:szCs w:val="22"/>
              </w:rPr>
              <w:t xml:space="preserve"> 50,000,000 </w:t>
            </w:r>
          </w:p>
        </w:tc>
      </w:tr>
      <w:tr w:rsidR="00F16075" w:rsidRPr="009E35ED" w14:paraId="07C0BA67" w14:textId="77777777" w:rsidTr="003813B3">
        <w:trPr>
          <w:trHeight w:val="348"/>
        </w:trPr>
        <w:tc>
          <w:tcPr>
            <w:tcW w:w="6930" w:type="dxa"/>
            <w:tcBorders>
              <w:top w:val="single" w:sz="4" w:space="0" w:color="auto"/>
              <w:left w:val="nil"/>
              <w:bottom w:val="double" w:sz="4" w:space="0" w:color="auto"/>
              <w:right w:val="nil"/>
            </w:tcBorders>
            <w:shd w:val="clear" w:color="auto" w:fill="auto"/>
            <w:noWrap/>
            <w:hideMark/>
          </w:tcPr>
          <w:p w14:paraId="12238091" w14:textId="77777777" w:rsidR="00F16075" w:rsidRPr="009E35ED" w:rsidRDefault="00F16075" w:rsidP="003813B3">
            <w:pPr>
              <w:ind w:left="-108"/>
              <w:jc w:val="left"/>
              <w:rPr>
                <w:rFonts w:ascii="Arial Narrow" w:hAnsi="Arial Narrow" w:cs="Arial"/>
                <w:b/>
                <w:bCs/>
                <w:color w:val="000000" w:themeColor="text1"/>
                <w:sz w:val="22"/>
                <w:szCs w:val="22"/>
                <w:lang w:val="en-PH" w:eastAsia="en-PH"/>
              </w:rPr>
            </w:pPr>
            <w:r w:rsidRPr="009E35ED">
              <w:rPr>
                <w:rFonts w:ascii="Arial Narrow" w:hAnsi="Arial Narrow"/>
                <w:b/>
                <w:bCs/>
                <w:color w:val="000000" w:themeColor="text1"/>
                <w:sz w:val="22"/>
                <w:szCs w:val="22"/>
              </w:rPr>
              <w:t>Restated Amount as of December 31, 2022 - Due to Other NGAs</w:t>
            </w:r>
          </w:p>
        </w:tc>
        <w:tc>
          <w:tcPr>
            <w:tcW w:w="1692" w:type="dxa"/>
            <w:tcBorders>
              <w:top w:val="single" w:sz="4" w:space="0" w:color="auto"/>
              <w:left w:val="nil"/>
              <w:bottom w:val="double" w:sz="4" w:space="0" w:color="auto"/>
              <w:right w:val="nil"/>
            </w:tcBorders>
            <w:shd w:val="clear" w:color="auto" w:fill="auto"/>
            <w:noWrap/>
            <w:hideMark/>
          </w:tcPr>
          <w:p w14:paraId="7707F7F7" w14:textId="77777777" w:rsidR="00F16075" w:rsidRPr="009E35ED" w:rsidRDefault="00F16075" w:rsidP="003813B3">
            <w:pPr>
              <w:ind w:left="0" w:right="-65"/>
              <w:jc w:val="right"/>
              <w:rPr>
                <w:rFonts w:ascii="Arial Narrow" w:hAnsi="Arial Narrow" w:cs="Arial"/>
                <w:b/>
                <w:bCs/>
                <w:color w:val="000000" w:themeColor="text1"/>
                <w:sz w:val="22"/>
                <w:szCs w:val="22"/>
                <w:lang w:val="en-PH" w:eastAsia="en-PH"/>
              </w:rPr>
            </w:pPr>
            <w:r w:rsidRPr="009E35ED">
              <w:rPr>
                <w:rFonts w:ascii="Arial Narrow" w:hAnsi="Arial Narrow"/>
                <w:b/>
                <w:bCs/>
                <w:color w:val="000000" w:themeColor="text1"/>
                <w:sz w:val="22"/>
                <w:szCs w:val="22"/>
              </w:rPr>
              <w:t xml:space="preserve"> 83,161,462 </w:t>
            </w:r>
          </w:p>
        </w:tc>
      </w:tr>
    </w:tbl>
    <w:p w14:paraId="07BBC070" w14:textId="77777777" w:rsidR="00F16075" w:rsidRPr="009E35ED" w:rsidRDefault="00F16075" w:rsidP="00F16075">
      <w:pPr>
        <w:ind w:left="0"/>
        <w:rPr>
          <w:rFonts w:ascii="Arial" w:hAnsi="Arial" w:cs="Arial"/>
          <w:color w:val="000000" w:themeColor="text1"/>
          <w:sz w:val="22"/>
          <w:szCs w:val="22"/>
        </w:rPr>
      </w:pPr>
    </w:p>
    <w:tbl>
      <w:tblPr>
        <w:tblW w:w="8622" w:type="dxa"/>
        <w:tblLook w:val="04A0" w:firstRow="1" w:lastRow="0" w:firstColumn="1" w:lastColumn="0" w:noHBand="0" w:noVBand="1"/>
      </w:tblPr>
      <w:tblGrid>
        <w:gridCol w:w="6930"/>
        <w:gridCol w:w="1692"/>
      </w:tblGrid>
      <w:tr w:rsidR="00997F75" w:rsidRPr="009E35ED" w14:paraId="7C55225D" w14:textId="77777777" w:rsidTr="00BF4257">
        <w:trPr>
          <w:trHeight w:val="314"/>
        </w:trPr>
        <w:tc>
          <w:tcPr>
            <w:tcW w:w="6930" w:type="dxa"/>
            <w:tcBorders>
              <w:top w:val="nil"/>
              <w:left w:val="nil"/>
              <w:bottom w:val="nil"/>
              <w:right w:val="nil"/>
            </w:tcBorders>
            <w:shd w:val="clear" w:color="auto" w:fill="auto"/>
            <w:noWrap/>
          </w:tcPr>
          <w:p w14:paraId="6C28F51E" w14:textId="437421FA" w:rsidR="00F30E62" w:rsidRPr="009E35ED" w:rsidRDefault="00F30E62" w:rsidP="00BF4257">
            <w:pPr>
              <w:ind w:left="-108"/>
              <w:jc w:val="left"/>
              <w:rPr>
                <w:rFonts w:ascii="Arial Narrow" w:hAnsi="Arial Narrow" w:cs="Arial"/>
                <w:color w:val="000000" w:themeColor="text1"/>
                <w:sz w:val="22"/>
                <w:szCs w:val="22"/>
              </w:rPr>
            </w:pPr>
            <w:r w:rsidRPr="009E35ED">
              <w:rPr>
                <w:rFonts w:ascii="Arial Narrow" w:hAnsi="Arial Narrow"/>
                <w:color w:val="000000" w:themeColor="text1"/>
                <w:sz w:val="22"/>
                <w:szCs w:val="22"/>
              </w:rPr>
              <w:t xml:space="preserve">Unrestated </w:t>
            </w:r>
            <w:r w:rsidR="007963A7">
              <w:rPr>
                <w:rFonts w:ascii="Arial Narrow" w:hAnsi="Arial Narrow"/>
                <w:color w:val="000000" w:themeColor="text1"/>
                <w:sz w:val="22"/>
                <w:szCs w:val="22"/>
              </w:rPr>
              <w:t>a</w:t>
            </w:r>
            <w:r w:rsidRPr="009E35ED">
              <w:rPr>
                <w:rFonts w:ascii="Arial Narrow" w:hAnsi="Arial Narrow"/>
                <w:color w:val="000000" w:themeColor="text1"/>
                <w:sz w:val="22"/>
                <w:szCs w:val="22"/>
              </w:rPr>
              <w:t>mount as of December 31, 2022</w:t>
            </w:r>
          </w:p>
        </w:tc>
        <w:tc>
          <w:tcPr>
            <w:tcW w:w="1692" w:type="dxa"/>
            <w:tcBorders>
              <w:top w:val="nil"/>
              <w:left w:val="nil"/>
              <w:bottom w:val="nil"/>
              <w:right w:val="nil"/>
            </w:tcBorders>
            <w:shd w:val="clear" w:color="auto" w:fill="auto"/>
            <w:noWrap/>
          </w:tcPr>
          <w:p w14:paraId="6F2F7652" w14:textId="59484591" w:rsidR="00F30E62" w:rsidRPr="00946F1F" w:rsidRDefault="00F30E62">
            <w:pPr>
              <w:ind w:left="0" w:right="-65"/>
              <w:jc w:val="right"/>
              <w:rPr>
                <w:rFonts w:ascii="Arial Narrow" w:hAnsi="Arial Narrow" w:cs="Arial"/>
                <w:color w:val="000000" w:themeColor="text1"/>
                <w:sz w:val="22"/>
                <w:szCs w:val="22"/>
              </w:rPr>
            </w:pPr>
            <w:r w:rsidRPr="009E35ED">
              <w:rPr>
                <w:rFonts w:ascii="Arial Narrow" w:hAnsi="Arial Narrow"/>
                <w:color w:val="000000" w:themeColor="text1"/>
                <w:sz w:val="22"/>
                <w:szCs w:val="22"/>
              </w:rPr>
              <w:t xml:space="preserve"> 880,590,866</w:t>
            </w:r>
          </w:p>
        </w:tc>
      </w:tr>
      <w:tr w:rsidR="00997F75" w:rsidRPr="009E35ED" w14:paraId="770CCB35" w14:textId="77777777" w:rsidTr="00BF4257">
        <w:trPr>
          <w:trHeight w:val="314"/>
        </w:trPr>
        <w:tc>
          <w:tcPr>
            <w:tcW w:w="6930" w:type="dxa"/>
            <w:tcBorders>
              <w:top w:val="nil"/>
              <w:left w:val="nil"/>
              <w:bottom w:val="nil"/>
              <w:right w:val="nil"/>
            </w:tcBorders>
            <w:shd w:val="clear" w:color="auto" w:fill="auto"/>
            <w:noWrap/>
            <w:hideMark/>
          </w:tcPr>
          <w:p w14:paraId="74753C95" w14:textId="1B5BF201" w:rsidR="00F30E62" w:rsidRPr="009E35ED" w:rsidRDefault="00F30E62" w:rsidP="00BF4257">
            <w:pPr>
              <w:ind w:left="-108"/>
              <w:jc w:val="left"/>
              <w:rPr>
                <w:rFonts w:ascii="Arial Narrow" w:hAnsi="Arial Narrow" w:cs="Arial"/>
                <w:color w:val="000000" w:themeColor="text1"/>
                <w:sz w:val="22"/>
                <w:szCs w:val="22"/>
                <w:lang w:val="en-PH" w:eastAsia="en-PH"/>
              </w:rPr>
            </w:pPr>
            <w:r w:rsidRPr="009E35ED">
              <w:rPr>
                <w:rFonts w:ascii="Arial Narrow" w:hAnsi="Arial Narrow"/>
                <w:color w:val="000000" w:themeColor="text1"/>
                <w:sz w:val="22"/>
                <w:szCs w:val="22"/>
              </w:rPr>
              <w:t>Adjustment/Recording of Due to BIR-</w:t>
            </w:r>
            <w:r w:rsidR="007963A7">
              <w:rPr>
                <w:rFonts w:ascii="Arial Narrow" w:hAnsi="Arial Narrow"/>
                <w:color w:val="000000" w:themeColor="text1"/>
                <w:sz w:val="22"/>
                <w:szCs w:val="22"/>
              </w:rPr>
              <w:t>d</w:t>
            </w:r>
            <w:r w:rsidRPr="009E35ED">
              <w:rPr>
                <w:rFonts w:ascii="Arial Narrow" w:hAnsi="Arial Narrow"/>
                <w:color w:val="000000" w:themeColor="text1"/>
                <w:sz w:val="22"/>
                <w:szCs w:val="22"/>
              </w:rPr>
              <w:t xml:space="preserve">ocumentary </w:t>
            </w:r>
            <w:r w:rsidR="007963A7">
              <w:rPr>
                <w:rFonts w:ascii="Arial Narrow" w:hAnsi="Arial Narrow"/>
                <w:color w:val="000000" w:themeColor="text1"/>
                <w:sz w:val="22"/>
                <w:szCs w:val="22"/>
              </w:rPr>
              <w:t>s</w:t>
            </w:r>
            <w:r w:rsidRPr="009E35ED">
              <w:rPr>
                <w:rFonts w:ascii="Arial Narrow" w:hAnsi="Arial Narrow"/>
                <w:color w:val="000000" w:themeColor="text1"/>
                <w:sz w:val="22"/>
                <w:szCs w:val="22"/>
              </w:rPr>
              <w:t xml:space="preserve">tamp </w:t>
            </w:r>
            <w:r w:rsidR="007963A7">
              <w:rPr>
                <w:rFonts w:ascii="Arial Narrow" w:hAnsi="Arial Narrow"/>
                <w:color w:val="000000" w:themeColor="text1"/>
                <w:sz w:val="22"/>
                <w:szCs w:val="22"/>
              </w:rPr>
              <w:t>t</w:t>
            </w:r>
            <w:r w:rsidRPr="009E35ED">
              <w:rPr>
                <w:rFonts w:ascii="Arial Narrow" w:hAnsi="Arial Narrow"/>
                <w:color w:val="000000" w:themeColor="text1"/>
                <w:sz w:val="22"/>
                <w:szCs w:val="22"/>
              </w:rPr>
              <w:t>ax</w:t>
            </w:r>
          </w:p>
        </w:tc>
        <w:tc>
          <w:tcPr>
            <w:tcW w:w="1692" w:type="dxa"/>
            <w:tcBorders>
              <w:top w:val="nil"/>
              <w:left w:val="nil"/>
              <w:bottom w:val="nil"/>
              <w:right w:val="nil"/>
            </w:tcBorders>
            <w:shd w:val="clear" w:color="auto" w:fill="auto"/>
            <w:noWrap/>
            <w:hideMark/>
          </w:tcPr>
          <w:p w14:paraId="50A2225B" w14:textId="08E22F2A" w:rsidR="00F30E62" w:rsidRPr="009E35ED" w:rsidRDefault="00F30E62" w:rsidP="00BF4257">
            <w:pPr>
              <w:ind w:left="0" w:right="-65"/>
              <w:jc w:val="right"/>
              <w:rPr>
                <w:rFonts w:ascii="Arial Narrow" w:hAnsi="Arial Narrow" w:cs="Arial"/>
                <w:color w:val="000000" w:themeColor="text1"/>
                <w:sz w:val="22"/>
                <w:szCs w:val="22"/>
                <w:lang w:val="en-PH" w:eastAsia="en-PH"/>
              </w:rPr>
            </w:pPr>
            <w:r w:rsidRPr="009E35ED">
              <w:rPr>
                <w:rFonts w:ascii="Arial Narrow" w:hAnsi="Arial Narrow"/>
                <w:color w:val="000000" w:themeColor="text1"/>
                <w:sz w:val="22"/>
                <w:szCs w:val="22"/>
              </w:rPr>
              <w:t xml:space="preserve"> 192,149,640 </w:t>
            </w:r>
          </w:p>
        </w:tc>
      </w:tr>
      <w:tr w:rsidR="00997F75" w:rsidRPr="009E35ED" w14:paraId="1667FE34" w14:textId="77777777" w:rsidTr="00BF4257">
        <w:trPr>
          <w:trHeight w:val="314"/>
        </w:trPr>
        <w:tc>
          <w:tcPr>
            <w:tcW w:w="6930" w:type="dxa"/>
            <w:tcBorders>
              <w:top w:val="nil"/>
              <w:left w:val="nil"/>
              <w:right w:val="nil"/>
            </w:tcBorders>
            <w:shd w:val="clear" w:color="auto" w:fill="auto"/>
            <w:noWrap/>
            <w:hideMark/>
          </w:tcPr>
          <w:p w14:paraId="40DC9B67" w14:textId="3B07DD12" w:rsidR="00F30E62" w:rsidRPr="009E35ED" w:rsidRDefault="00F30E62" w:rsidP="00BF4257">
            <w:pPr>
              <w:ind w:left="-108"/>
              <w:jc w:val="left"/>
              <w:rPr>
                <w:rFonts w:ascii="Arial Narrow" w:hAnsi="Arial Narrow" w:cs="Arial"/>
                <w:color w:val="000000" w:themeColor="text1"/>
                <w:sz w:val="22"/>
                <w:szCs w:val="22"/>
                <w:lang w:val="en-PH" w:eastAsia="en-PH"/>
              </w:rPr>
            </w:pPr>
            <w:r w:rsidRPr="009E35ED">
              <w:rPr>
                <w:rFonts w:ascii="Arial Narrow" w:hAnsi="Arial Narrow"/>
                <w:color w:val="000000" w:themeColor="text1"/>
                <w:sz w:val="22"/>
                <w:szCs w:val="22"/>
              </w:rPr>
              <w:t>Adjustment/Recording of Due to BIR-</w:t>
            </w:r>
            <w:r w:rsidR="007963A7">
              <w:rPr>
                <w:rFonts w:ascii="Arial Narrow" w:hAnsi="Arial Narrow"/>
                <w:color w:val="000000" w:themeColor="text1"/>
                <w:sz w:val="22"/>
                <w:szCs w:val="22"/>
              </w:rPr>
              <w:t>c</w:t>
            </w:r>
            <w:r w:rsidRPr="009E35ED">
              <w:rPr>
                <w:rFonts w:ascii="Arial Narrow" w:hAnsi="Arial Narrow"/>
                <w:color w:val="000000" w:themeColor="text1"/>
                <w:sz w:val="22"/>
                <w:szCs w:val="22"/>
              </w:rPr>
              <w:t xml:space="preserve">apital </w:t>
            </w:r>
            <w:r w:rsidR="007963A7">
              <w:rPr>
                <w:rFonts w:ascii="Arial Narrow" w:hAnsi="Arial Narrow"/>
                <w:color w:val="000000" w:themeColor="text1"/>
                <w:sz w:val="22"/>
                <w:szCs w:val="22"/>
              </w:rPr>
              <w:t>g</w:t>
            </w:r>
            <w:r w:rsidRPr="009E35ED">
              <w:rPr>
                <w:rFonts w:ascii="Arial Narrow" w:hAnsi="Arial Narrow"/>
                <w:color w:val="000000" w:themeColor="text1"/>
                <w:sz w:val="22"/>
                <w:szCs w:val="22"/>
              </w:rPr>
              <w:t xml:space="preserve">ain </w:t>
            </w:r>
            <w:r w:rsidR="007963A7">
              <w:rPr>
                <w:rFonts w:ascii="Arial Narrow" w:hAnsi="Arial Narrow"/>
                <w:color w:val="000000" w:themeColor="text1"/>
                <w:sz w:val="22"/>
                <w:szCs w:val="22"/>
              </w:rPr>
              <w:t>t</w:t>
            </w:r>
            <w:r w:rsidRPr="009E35ED">
              <w:rPr>
                <w:rFonts w:ascii="Arial Narrow" w:hAnsi="Arial Narrow"/>
                <w:color w:val="000000" w:themeColor="text1"/>
                <w:sz w:val="22"/>
                <w:szCs w:val="22"/>
              </w:rPr>
              <w:t>ax</w:t>
            </w:r>
          </w:p>
        </w:tc>
        <w:tc>
          <w:tcPr>
            <w:tcW w:w="1692" w:type="dxa"/>
            <w:tcBorders>
              <w:top w:val="nil"/>
              <w:left w:val="nil"/>
              <w:right w:val="nil"/>
            </w:tcBorders>
            <w:shd w:val="clear" w:color="auto" w:fill="auto"/>
            <w:noWrap/>
            <w:hideMark/>
          </w:tcPr>
          <w:p w14:paraId="6A428EAA" w14:textId="6B0769B5" w:rsidR="00F30E62" w:rsidRPr="009E35ED" w:rsidRDefault="00F30E62" w:rsidP="00BF4257">
            <w:pPr>
              <w:ind w:left="0" w:right="-65"/>
              <w:jc w:val="right"/>
              <w:rPr>
                <w:rFonts w:ascii="Arial Narrow" w:hAnsi="Arial Narrow" w:cs="Arial"/>
                <w:color w:val="000000" w:themeColor="text1"/>
                <w:sz w:val="22"/>
                <w:szCs w:val="22"/>
                <w:lang w:val="en-PH" w:eastAsia="en-PH"/>
              </w:rPr>
            </w:pPr>
            <w:r w:rsidRPr="009E35ED">
              <w:rPr>
                <w:rFonts w:ascii="Arial Narrow" w:hAnsi="Arial Narrow"/>
                <w:color w:val="000000" w:themeColor="text1"/>
                <w:sz w:val="22"/>
                <w:szCs w:val="22"/>
              </w:rPr>
              <w:t xml:space="preserve"> 56,082 </w:t>
            </w:r>
          </w:p>
        </w:tc>
      </w:tr>
      <w:tr w:rsidR="00997F75" w:rsidRPr="009E35ED" w14:paraId="1A10791F" w14:textId="77777777" w:rsidTr="00BF4257">
        <w:trPr>
          <w:trHeight w:val="314"/>
        </w:trPr>
        <w:tc>
          <w:tcPr>
            <w:tcW w:w="6930" w:type="dxa"/>
            <w:tcBorders>
              <w:top w:val="nil"/>
              <w:left w:val="nil"/>
              <w:right w:val="nil"/>
            </w:tcBorders>
            <w:shd w:val="clear" w:color="auto" w:fill="auto"/>
            <w:noWrap/>
          </w:tcPr>
          <w:p w14:paraId="1FE6669D" w14:textId="67DFB982" w:rsidR="00F30E62" w:rsidRPr="009E35ED" w:rsidRDefault="00F30E62" w:rsidP="00BF4257">
            <w:pPr>
              <w:ind w:left="-108"/>
              <w:jc w:val="left"/>
              <w:rPr>
                <w:rFonts w:ascii="Arial Narrow" w:hAnsi="Arial Narrow" w:cs="Arial"/>
                <w:color w:val="000000" w:themeColor="text1"/>
                <w:sz w:val="22"/>
                <w:szCs w:val="22"/>
              </w:rPr>
            </w:pPr>
            <w:r w:rsidRPr="009E35ED">
              <w:rPr>
                <w:rFonts w:ascii="Arial Narrow" w:hAnsi="Arial Narrow"/>
                <w:color w:val="000000" w:themeColor="text1"/>
                <w:sz w:val="22"/>
                <w:szCs w:val="22"/>
              </w:rPr>
              <w:t>Adjustment/Recording of Due to BIR-</w:t>
            </w:r>
            <w:r w:rsidR="007963A7">
              <w:rPr>
                <w:rFonts w:ascii="Arial Narrow" w:hAnsi="Arial Narrow"/>
                <w:color w:val="000000" w:themeColor="text1"/>
                <w:sz w:val="22"/>
                <w:szCs w:val="22"/>
              </w:rPr>
              <w:t>e</w:t>
            </w:r>
            <w:r w:rsidRPr="009E35ED">
              <w:rPr>
                <w:rFonts w:ascii="Arial Narrow" w:hAnsi="Arial Narrow"/>
                <w:color w:val="000000" w:themeColor="text1"/>
                <w:sz w:val="22"/>
                <w:szCs w:val="22"/>
              </w:rPr>
              <w:t xml:space="preserve">xpanded </w:t>
            </w:r>
            <w:r w:rsidR="007963A7">
              <w:rPr>
                <w:rFonts w:ascii="Arial Narrow" w:hAnsi="Arial Narrow"/>
                <w:color w:val="000000" w:themeColor="text1"/>
                <w:sz w:val="22"/>
                <w:szCs w:val="22"/>
              </w:rPr>
              <w:t>w</w:t>
            </w:r>
            <w:r w:rsidRPr="009E35ED">
              <w:rPr>
                <w:rFonts w:ascii="Arial Narrow" w:hAnsi="Arial Narrow"/>
                <w:color w:val="000000" w:themeColor="text1"/>
                <w:sz w:val="22"/>
                <w:szCs w:val="22"/>
              </w:rPr>
              <w:t xml:space="preserve">ithholding </w:t>
            </w:r>
            <w:r w:rsidR="007963A7">
              <w:rPr>
                <w:rFonts w:ascii="Arial Narrow" w:hAnsi="Arial Narrow"/>
                <w:color w:val="000000" w:themeColor="text1"/>
                <w:sz w:val="22"/>
                <w:szCs w:val="22"/>
              </w:rPr>
              <w:t>t</w:t>
            </w:r>
            <w:r w:rsidRPr="009E35ED">
              <w:rPr>
                <w:rFonts w:ascii="Arial Narrow" w:hAnsi="Arial Narrow"/>
                <w:color w:val="000000" w:themeColor="text1"/>
                <w:sz w:val="22"/>
                <w:szCs w:val="22"/>
              </w:rPr>
              <w:t>ax-</w:t>
            </w:r>
            <w:r w:rsidR="007963A7">
              <w:rPr>
                <w:rFonts w:ascii="Arial Narrow" w:hAnsi="Arial Narrow"/>
                <w:color w:val="000000" w:themeColor="text1"/>
                <w:sz w:val="22"/>
                <w:szCs w:val="22"/>
              </w:rPr>
              <w:t>v</w:t>
            </w:r>
            <w:r w:rsidRPr="009E35ED">
              <w:rPr>
                <w:rFonts w:ascii="Arial Narrow" w:hAnsi="Arial Narrow"/>
                <w:color w:val="000000" w:themeColor="text1"/>
                <w:sz w:val="22"/>
                <w:szCs w:val="22"/>
              </w:rPr>
              <w:t xml:space="preserve">arious </w:t>
            </w:r>
            <w:r w:rsidR="007963A7">
              <w:rPr>
                <w:rFonts w:ascii="Arial Narrow" w:hAnsi="Arial Narrow"/>
                <w:color w:val="000000" w:themeColor="text1"/>
                <w:sz w:val="22"/>
                <w:szCs w:val="22"/>
              </w:rPr>
              <w:t>c</w:t>
            </w:r>
            <w:r w:rsidRPr="009E35ED">
              <w:rPr>
                <w:rFonts w:ascii="Arial Narrow" w:hAnsi="Arial Narrow"/>
                <w:color w:val="000000" w:themeColor="text1"/>
                <w:sz w:val="22"/>
                <w:szCs w:val="22"/>
              </w:rPr>
              <w:t>reditors</w:t>
            </w:r>
          </w:p>
        </w:tc>
        <w:tc>
          <w:tcPr>
            <w:tcW w:w="1692" w:type="dxa"/>
            <w:tcBorders>
              <w:top w:val="nil"/>
              <w:left w:val="nil"/>
              <w:right w:val="nil"/>
            </w:tcBorders>
            <w:shd w:val="clear" w:color="auto" w:fill="auto"/>
            <w:noWrap/>
          </w:tcPr>
          <w:p w14:paraId="64FB5C4A" w14:textId="0CDCAE09" w:rsidR="00F30E62" w:rsidRPr="009E35ED" w:rsidRDefault="00F30E62">
            <w:pPr>
              <w:ind w:left="0" w:right="-65"/>
              <w:jc w:val="right"/>
              <w:rPr>
                <w:rFonts w:ascii="Arial Narrow" w:hAnsi="Arial Narrow" w:cs="Arial"/>
                <w:color w:val="000000" w:themeColor="text1"/>
                <w:sz w:val="22"/>
                <w:szCs w:val="22"/>
              </w:rPr>
            </w:pPr>
            <w:r w:rsidRPr="009E35ED">
              <w:rPr>
                <w:rFonts w:ascii="Arial Narrow" w:hAnsi="Arial Narrow"/>
                <w:color w:val="000000" w:themeColor="text1"/>
                <w:sz w:val="22"/>
                <w:szCs w:val="22"/>
              </w:rPr>
              <w:t xml:space="preserve"> 12,740,119 </w:t>
            </w:r>
          </w:p>
        </w:tc>
      </w:tr>
      <w:tr w:rsidR="00997F75" w:rsidRPr="009E35ED" w14:paraId="34C97B5A" w14:textId="77777777" w:rsidTr="00BF4257">
        <w:trPr>
          <w:trHeight w:val="314"/>
        </w:trPr>
        <w:tc>
          <w:tcPr>
            <w:tcW w:w="6930" w:type="dxa"/>
            <w:tcBorders>
              <w:top w:val="nil"/>
              <w:left w:val="nil"/>
              <w:bottom w:val="single" w:sz="4" w:space="0" w:color="auto"/>
              <w:right w:val="nil"/>
            </w:tcBorders>
            <w:shd w:val="clear" w:color="auto" w:fill="auto"/>
            <w:noWrap/>
            <w:hideMark/>
          </w:tcPr>
          <w:p w14:paraId="2E8FE0B1" w14:textId="2337B5D6" w:rsidR="00F30E62" w:rsidRPr="009E35ED" w:rsidRDefault="00F30E62" w:rsidP="00BF4257">
            <w:pPr>
              <w:ind w:left="-108"/>
              <w:jc w:val="left"/>
              <w:rPr>
                <w:rFonts w:ascii="Arial Narrow" w:hAnsi="Arial Narrow" w:cs="Arial"/>
                <w:color w:val="000000" w:themeColor="text1"/>
                <w:sz w:val="22"/>
                <w:szCs w:val="22"/>
                <w:lang w:val="en-PH" w:eastAsia="en-PH"/>
              </w:rPr>
            </w:pPr>
            <w:r w:rsidRPr="009E35ED">
              <w:rPr>
                <w:rFonts w:ascii="Arial Narrow" w:hAnsi="Arial Narrow"/>
                <w:color w:val="000000" w:themeColor="text1"/>
                <w:sz w:val="22"/>
                <w:szCs w:val="22"/>
              </w:rPr>
              <w:t>Adjustment/Recording of Due to BIR-</w:t>
            </w:r>
            <w:r w:rsidR="007963A7">
              <w:rPr>
                <w:rFonts w:ascii="Arial Narrow" w:hAnsi="Arial Narrow"/>
                <w:color w:val="000000" w:themeColor="text1"/>
                <w:sz w:val="22"/>
                <w:szCs w:val="22"/>
              </w:rPr>
              <w:t>w</w:t>
            </w:r>
            <w:r w:rsidRPr="009E35ED">
              <w:rPr>
                <w:rFonts w:ascii="Arial Narrow" w:hAnsi="Arial Narrow"/>
                <w:color w:val="000000" w:themeColor="text1"/>
                <w:sz w:val="22"/>
                <w:szCs w:val="22"/>
              </w:rPr>
              <w:t xml:space="preserve">ithholding </w:t>
            </w:r>
            <w:r w:rsidR="007963A7">
              <w:rPr>
                <w:rFonts w:ascii="Arial Narrow" w:hAnsi="Arial Narrow"/>
                <w:color w:val="000000" w:themeColor="text1"/>
                <w:sz w:val="22"/>
                <w:szCs w:val="22"/>
              </w:rPr>
              <w:t>ta</w:t>
            </w:r>
            <w:r w:rsidRPr="009E35ED">
              <w:rPr>
                <w:rFonts w:ascii="Arial Narrow" w:hAnsi="Arial Narrow"/>
                <w:color w:val="000000" w:themeColor="text1"/>
                <w:sz w:val="22"/>
                <w:szCs w:val="22"/>
              </w:rPr>
              <w:t>x on GMP-</w:t>
            </w:r>
            <w:r w:rsidR="007963A7">
              <w:rPr>
                <w:rFonts w:ascii="Arial Narrow" w:hAnsi="Arial Narrow"/>
                <w:color w:val="000000" w:themeColor="text1"/>
                <w:sz w:val="22"/>
                <w:szCs w:val="22"/>
              </w:rPr>
              <w:t>v</w:t>
            </w:r>
            <w:r w:rsidRPr="009E35ED">
              <w:rPr>
                <w:rFonts w:ascii="Arial Narrow" w:hAnsi="Arial Narrow"/>
                <w:color w:val="000000" w:themeColor="text1"/>
                <w:sz w:val="22"/>
                <w:szCs w:val="22"/>
              </w:rPr>
              <w:t xml:space="preserve">alue </w:t>
            </w:r>
            <w:r w:rsidR="007963A7">
              <w:rPr>
                <w:rFonts w:ascii="Arial Narrow" w:hAnsi="Arial Narrow"/>
                <w:color w:val="000000" w:themeColor="text1"/>
                <w:sz w:val="22"/>
                <w:szCs w:val="22"/>
              </w:rPr>
              <w:t>a</w:t>
            </w:r>
            <w:r w:rsidRPr="009E35ED">
              <w:rPr>
                <w:rFonts w:ascii="Arial Narrow" w:hAnsi="Arial Narrow"/>
                <w:color w:val="000000" w:themeColor="text1"/>
                <w:sz w:val="22"/>
                <w:szCs w:val="22"/>
              </w:rPr>
              <w:t xml:space="preserve">dded </w:t>
            </w:r>
            <w:r w:rsidR="007963A7">
              <w:rPr>
                <w:rFonts w:ascii="Arial Narrow" w:hAnsi="Arial Narrow"/>
                <w:color w:val="000000" w:themeColor="text1"/>
                <w:sz w:val="22"/>
                <w:szCs w:val="22"/>
              </w:rPr>
              <w:t>t</w:t>
            </w:r>
            <w:r w:rsidRPr="009E35ED">
              <w:rPr>
                <w:rFonts w:ascii="Arial Narrow" w:hAnsi="Arial Narrow"/>
                <w:color w:val="000000" w:themeColor="text1"/>
                <w:sz w:val="22"/>
                <w:szCs w:val="22"/>
              </w:rPr>
              <w:t>axes</w:t>
            </w:r>
          </w:p>
        </w:tc>
        <w:tc>
          <w:tcPr>
            <w:tcW w:w="1692" w:type="dxa"/>
            <w:tcBorders>
              <w:top w:val="nil"/>
              <w:left w:val="nil"/>
              <w:bottom w:val="single" w:sz="4" w:space="0" w:color="auto"/>
              <w:right w:val="nil"/>
            </w:tcBorders>
            <w:shd w:val="clear" w:color="auto" w:fill="auto"/>
            <w:noWrap/>
            <w:hideMark/>
          </w:tcPr>
          <w:p w14:paraId="60ABAAEF" w14:textId="2B479E0C" w:rsidR="00F30E62" w:rsidRPr="009E35ED" w:rsidRDefault="00F30E62">
            <w:pPr>
              <w:ind w:left="0" w:right="-65"/>
              <w:jc w:val="right"/>
              <w:rPr>
                <w:rFonts w:ascii="Arial Narrow" w:hAnsi="Arial Narrow" w:cs="Arial"/>
                <w:color w:val="000000" w:themeColor="text1"/>
                <w:sz w:val="22"/>
                <w:szCs w:val="22"/>
                <w:lang w:val="en-PH" w:eastAsia="en-PH"/>
              </w:rPr>
            </w:pPr>
            <w:r w:rsidRPr="009E35ED">
              <w:rPr>
                <w:rFonts w:ascii="Arial Narrow" w:hAnsi="Arial Narrow"/>
                <w:color w:val="000000" w:themeColor="text1"/>
                <w:sz w:val="22"/>
                <w:szCs w:val="22"/>
              </w:rPr>
              <w:t xml:space="preserve"> 50,584,958 </w:t>
            </w:r>
          </w:p>
        </w:tc>
      </w:tr>
      <w:tr w:rsidR="00AA1BD0" w:rsidRPr="009E35ED" w14:paraId="498C92AA" w14:textId="77777777" w:rsidTr="00BF4257">
        <w:trPr>
          <w:trHeight w:val="348"/>
        </w:trPr>
        <w:tc>
          <w:tcPr>
            <w:tcW w:w="6930" w:type="dxa"/>
            <w:tcBorders>
              <w:top w:val="single" w:sz="4" w:space="0" w:color="auto"/>
              <w:left w:val="nil"/>
              <w:bottom w:val="double" w:sz="4" w:space="0" w:color="auto"/>
              <w:right w:val="nil"/>
            </w:tcBorders>
            <w:shd w:val="clear" w:color="auto" w:fill="auto"/>
            <w:noWrap/>
            <w:hideMark/>
          </w:tcPr>
          <w:p w14:paraId="308DEE15" w14:textId="726D8B3C" w:rsidR="00F30E62" w:rsidRPr="009E35ED" w:rsidRDefault="00F30E62" w:rsidP="00BF4257">
            <w:pPr>
              <w:ind w:left="-108"/>
              <w:jc w:val="left"/>
              <w:rPr>
                <w:rFonts w:ascii="Arial Narrow" w:hAnsi="Arial Narrow" w:cs="Arial"/>
                <w:b/>
                <w:bCs/>
                <w:color w:val="000000" w:themeColor="text1"/>
                <w:sz w:val="22"/>
                <w:szCs w:val="22"/>
                <w:lang w:val="en-PH" w:eastAsia="en-PH"/>
              </w:rPr>
            </w:pPr>
            <w:r w:rsidRPr="009E35ED">
              <w:rPr>
                <w:rFonts w:ascii="Arial Narrow" w:hAnsi="Arial Narrow"/>
                <w:b/>
                <w:bCs/>
                <w:color w:val="000000" w:themeColor="text1"/>
                <w:sz w:val="22"/>
                <w:szCs w:val="22"/>
              </w:rPr>
              <w:t>Restated Amount as of December 31, 2022 - Due to BIR</w:t>
            </w:r>
          </w:p>
        </w:tc>
        <w:tc>
          <w:tcPr>
            <w:tcW w:w="1692" w:type="dxa"/>
            <w:tcBorders>
              <w:top w:val="single" w:sz="4" w:space="0" w:color="auto"/>
              <w:left w:val="nil"/>
              <w:bottom w:val="double" w:sz="4" w:space="0" w:color="auto"/>
              <w:right w:val="nil"/>
            </w:tcBorders>
            <w:shd w:val="clear" w:color="auto" w:fill="auto"/>
            <w:noWrap/>
            <w:hideMark/>
          </w:tcPr>
          <w:p w14:paraId="4FF372EB" w14:textId="22175E0F" w:rsidR="00F30E62" w:rsidRPr="009E35ED" w:rsidRDefault="00F30E62" w:rsidP="00BF4257">
            <w:pPr>
              <w:ind w:left="0" w:right="-65"/>
              <w:jc w:val="right"/>
              <w:rPr>
                <w:rFonts w:ascii="Arial Narrow" w:hAnsi="Arial Narrow" w:cs="Arial"/>
                <w:b/>
                <w:bCs/>
                <w:color w:val="000000" w:themeColor="text1"/>
                <w:sz w:val="22"/>
                <w:szCs w:val="22"/>
                <w:lang w:val="en-PH" w:eastAsia="en-PH"/>
              </w:rPr>
            </w:pPr>
            <w:r w:rsidRPr="009E35ED">
              <w:rPr>
                <w:rFonts w:ascii="Arial Narrow" w:hAnsi="Arial Narrow"/>
                <w:b/>
                <w:bCs/>
                <w:color w:val="000000" w:themeColor="text1"/>
                <w:sz w:val="22"/>
                <w:szCs w:val="22"/>
              </w:rPr>
              <w:t xml:space="preserve"> 1,136,121,665 </w:t>
            </w:r>
          </w:p>
        </w:tc>
      </w:tr>
    </w:tbl>
    <w:p w14:paraId="5F4A8CEF" w14:textId="00150DDB" w:rsidR="00F76DD2" w:rsidRPr="009E35ED" w:rsidRDefault="00F76DD2" w:rsidP="002821B2">
      <w:pPr>
        <w:ind w:left="0"/>
        <w:rPr>
          <w:rFonts w:ascii="Arial" w:hAnsi="Arial" w:cs="Arial"/>
          <w:color w:val="000000" w:themeColor="text1"/>
          <w:sz w:val="22"/>
          <w:szCs w:val="22"/>
        </w:rPr>
      </w:pPr>
    </w:p>
    <w:tbl>
      <w:tblPr>
        <w:tblW w:w="8622" w:type="dxa"/>
        <w:tblLook w:val="04A0" w:firstRow="1" w:lastRow="0" w:firstColumn="1" w:lastColumn="0" w:noHBand="0" w:noVBand="1"/>
      </w:tblPr>
      <w:tblGrid>
        <w:gridCol w:w="6930"/>
        <w:gridCol w:w="1692"/>
      </w:tblGrid>
      <w:tr w:rsidR="00997F75" w:rsidRPr="009E35ED" w14:paraId="15E6D4A3" w14:textId="77777777" w:rsidTr="00BF4257">
        <w:trPr>
          <w:trHeight w:val="314"/>
        </w:trPr>
        <w:tc>
          <w:tcPr>
            <w:tcW w:w="6930" w:type="dxa"/>
            <w:tcBorders>
              <w:top w:val="nil"/>
              <w:left w:val="nil"/>
              <w:bottom w:val="nil"/>
              <w:right w:val="nil"/>
            </w:tcBorders>
            <w:shd w:val="clear" w:color="auto" w:fill="auto"/>
            <w:noWrap/>
          </w:tcPr>
          <w:p w14:paraId="376F6697" w14:textId="7586FAE3" w:rsidR="00135FBB" w:rsidRPr="009E35ED" w:rsidRDefault="00135FBB" w:rsidP="00BF4257">
            <w:pPr>
              <w:ind w:left="-108"/>
              <w:jc w:val="left"/>
              <w:rPr>
                <w:rFonts w:ascii="Arial Narrow" w:hAnsi="Arial Narrow" w:cs="Arial"/>
                <w:color w:val="000000" w:themeColor="text1"/>
                <w:sz w:val="22"/>
                <w:szCs w:val="22"/>
              </w:rPr>
            </w:pPr>
            <w:r w:rsidRPr="009E35ED">
              <w:rPr>
                <w:rFonts w:ascii="Arial Narrow" w:hAnsi="Arial Narrow" w:cs="Arial"/>
                <w:color w:val="000000" w:themeColor="text1"/>
                <w:sz w:val="22"/>
                <w:szCs w:val="22"/>
              </w:rPr>
              <w:t xml:space="preserve">Unrestated </w:t>
            </w:r>
            <w:r w:rsidR="00946F1F">
              <w:rPr>
                <w:rFonts w:ascii="Arial Narrow" w:hAnsi="Arial Narrow" w:cs="Arial"/>
                <w:color w:val="000000" w:themeColor="text1"/>
                <w:sz w:val="22"/>
                <w:szCs w:val="22"/>
              </w:rPr>
              <w:t>a</w:t>
            </w:r>
            <w:r w:rsidRPr="009E35ED">
              <w:rPr>
                <w:rFonts w:ascii="Arial Narrow" w:hAnsi="Arial Narrow" w:cs="Arial"/>
                <w:color w:val="000000" w:themeColor="text1"/>
                <w:sz w:val="22"/>
                <w:szCs w:val="22"/>
              </w:rPr>
              <w:t>mount as of December 31, 2022</w:t>
            </w:r>
          </w:p>
        </w:tc>
        <w:tc>
          <w:tcPr>
            <w:tcW w:w="1692" w:type="dxa"/>
            <w:tcBorders>
              <w:top w:val="nil"/>
              <w:left w:val="nil"/>
              <w:bottom w:val="nil"/>
              <w:right w:val="nil"/>
            </w:tcBorders>
            <w:shd w:val="clear" w:color="auto" w:fill="auto"/>
            <w:noWrap/>
          </w:tcPr>
          <w:p w14:paraId="47BF6DDF" w14:textId="288011BA" w:rsidR="00135FBB" w:rsidRPr="009E35ED" w:rsidRDefault="00135FBB" w:rsidP="00BF4257">
            <w:pPr>
              <w:ind w:left="0" w:right="-65"/>
              <w:jc w:val="right"/>
              <w:rPr>
                <w:rFonts w:ascii="Arial Narrow" w:hAnsi="Arial Narrow" w:cs="Arial"/>
                <w:color w:val="000000" w:themeColor="text1"/>
                <w:sz w:val="22"/>
                <w:szCs w:val="22"/>
              </w:rPr>
            </w:pPr>
            <w:r w:rsidRPr="009E35ED">
              <w:rPr>
                <w:rFonts w:ascii="Arial Narrow" w:hAnsi="Arial Narrow" w:cs="Arial"/>
                <w:color w:val="000000" w:themeColor="text1"/>
                <w:sz w:val="22"/>
                <w:szCs w:val="22"/>
              </w:rPr>
              <w:t xml:space="preserve"> 875,971,396 </w:t>
            </w:r>
          </w:p>
        </w:tc>
      </w:tr>
      <w:tr w:rsidR="00997F75" w:rsidRPr="009E35ED" w14:paraId="1E0557EC" w14:textId="77777777" w:rsidTr="00BF4257">
        <w:trPr>
          <w:trHeight w:val="314"/>
        </w:trPr>
        <w:tc>
          <w:tcPr>
            <w:tcW w:w="6930" w:type="dxa"/>
            <w:tcBorders>
              <w:top w:val="nil"/>
              <w:left w:val="nil"/>
              <w:bottom w:val="nil"/>
              <w:right w:val="nil"/>
            </w:tcBorders>
            <w:shd w:val="clear" w:color="auto" w:fill="auto"/>
            <w:noWrap/>
            <w:hideMark/>
          </w:tcPr>
          <w:p w14:paraId="537835C6" w14:textId="4481DCFD" w:rsidR="00135FBB" w:rsidRPr="009E35ED" w:rsidRDefault="00135FBB" w:rsidP="00BF4257">
            <w:pPr>
              <w:ind w:left="-108"/>
              <w:jc w:val="left"/>
              <w:rPr>
                <w:rFonts w:ascii="Arial Narrow" w:hAnsi="Arial Narrow" w:cs="Arial"/>
                <w:color w:val="000000" w:themeColor="text1"/>
                <w:sz w:val="22"/>
                <w:szCs w:val="22"/>
                <w:lang w:val="en-PH" w:eastAsia="en-PH"/>
              </w:rPr>
            </w:pPr>
            <w:r w:rsidRPr="009E35ED">
              <w:rPr>
                <w:rFonts w:ascii="Arial Narrow" w:hAnsi="Arial Narrow" w:cs="Arial"/>
                <w:color w:val="000000" w:themeColor="text1"/>
                <w:sz w:val="22"/>
                <w:szCs w:val="22"/>
              </w:rPr>
              <w:t xml:space="preserve">Adjustment/Recording of </w:t>
            </w:r>
            <w:r w:rsidR="00946F1F">
              <w:rPr>
                <w:rFonts w:ascii="Arial Narrow" w:hAnsi="Arial Narrow" w:cs="Arial"/>
                <w:color w:val="000000" w:themeColor="text1"/>
                <w:sz w:val="22"/>
                <w:szCs w:val="22"/>
              </w:rPr>
              <w:t>t</w:t>
            </w:r>
            <w:r w:rsidRPr="009E35ED">
              <w:rPr>
                <w:rFonts w:ascii="Arial Narrow" w:hAnsi="Arial Narrow" w:cs="Arial"/>
                <w:color w:val="000000" w:themeColor="text1"/>
                <w:sz w:val="22"/>
                <w:szCs w:val="22"/>
              </w:rPr>
              <w:t>axes,</w:t>
            </w:r>
            <w:r w:rsidR="00946F1F">
              <w:rPr>
                <w:rFonts w:ascii="Arial Narrow" w:hAnsi="Arial Narrow" w:cs="Arial"/>
                <w:color w:val="000000" w:themeColor="text1"/>
                <w:sz w:val="22"/>
                <w:szCs w:val="22"/>
              </w:rPr>
              <w:t xml:space="preserve"> d</w:t>
            </w:r>
            <w:r w:rsidRPr="009E35ED">
              <w:rPr>
                <w:rFonts w:ascii="Arial Narrow" w:hAnsi="Arial Narrow" w:cs="Arial"/>
                <w:color w:val="000000" w:themeColor="text1"/>
                <w:sz w:val="22"/>
                <w:szCs w:val="22"/>
              </w:rPr>
              <w:t xml:space="preserve">uties, and </w:t>
            </w:r>
            <w:r w:rsidR="00946F1F">
              <w:rPr>
                <w:rFonts w:ascii="Arial Narrow" w:hAnsi="Arial Narrow" w:cs="Arial"/>
                <w:color w:val="000000" w:themeColor="text1"/>
                <w:sz w:val="22"/>
                <w:szCs w:val="22"/>
              </w:rPr>
              <w:t>l</w:t>
            </w:r>
            <w:r w:rsidRPr="009E35ED">
              <w:rPr>
                <w:rFonts w:ascii="Arial Narrow" w:hAnsi="Arial Narrow" w:cs="Arial"/>
                <w:color w:val="000000" w:themeColor="text1"/>
                <w:sz w:val="22"/>
                <w:szCs w:val="22"/>
              </w:rPr>
              <w:t>icenses</w:t>
            </w:r>
          </w:p>
        </w:tc>
        <w:tc>
          <w:tcPr>
            <w:tcW w:w="1692" w:type="dxa"/>
            <w:tcBorders>
              <w:top w:val="nil"/>
              <w:left w:val="nil"/>
              <w:bottom w:val="nil"/>
              <w:right w:val="nil"/>
            </w:tcBorders>
            <w:shd w:val="clear" w:color="auto" w:fill="auto"/>
            <w:noWrap/>
            <w:hideMark/>
          </w:tcPr>
          <w:p w14:paraId="45B3CE7C" w14:textId="78E2B103" w:rsidR="00135FBB" w:rsidRPr="009E35ED" w:rsidRDefault="00135FBB" w:rsidP="00BF4257">
            <w:pPr>
              <w:ind w:left="0" w:right="-65"/>
              <w:jc w:val="right"/>
              <w:rPr>
                <w:rFonts w:ascii="Arial Narrow" w:hAnsi="Arial Narrow" w:cs="Arial"/>
                <w:color w:val="000000" w:themeColor="text1"/>
                <w:sz w:val="22"/>
                <w:szCs w:val="22"/>
                <w:lang w:val="en-PH" w:eastAsia="en-PH"/>
              </w:rPr>
            </w:pPr>
            <w:r w:rsidRPr="009E35ED">
              <w:rPr>
                <w:rFonts w:ascii="Arial Narrow" w:hAnsi="Arial Narrow" w:cs="Arial"/>
                <w:color w:val="000000" w:themeColor="text1"/>
                <w:sz w:val="22"/>
                <w:szCs w:val="22"/>
              </w:rPr>
              <w:t xml:space="preserve"> 140,080,296 </w:t>
            </w:r>
          </w:p>
        </w:tc>
      </w:tr>
      <w:tr w:rsidR="00997F75" w:rsidRPr="009E35ED" w14:paraId="3AE97F89" w14:textId="77777777" w:rsidTr="00BF4257">
        <w:trPr>
          <w:trHeight w:val="314"/>
        </w:trPr>
        <w:tc>
          <w:tcPr>
            <w:tcW w:w="6930" w:type="dxa"/>
            <w:tcBorders>
              <w:top w:val="nil"/>
              <w:left w:val="nil"/>
              <w:right w:val="nil"/>
            </w:tcBorders>
            <w:shd w:val="clear" w:color="auto" w:fill="auto"/>
            <w:noWrap/>
            <w:hideMark/>
          </w:tcPr>
          <w:p w14:paraId="4E0AA94A" w14:textId="3440DD5B" w:rsidR="00135FBB" w:rsidRPr="009E35ED" w:rsidRDefault="00135FBB" w:rsidP="00BF4257">
            <w:pPr>
              <w:ind w:left="-108"/>
              <w:jc w:val="left"/>
              <w:rPr>
                <w:rFonts w:ascii="Arial Narrow" w:hAnsi="Arial Narrow" w:cs="Arial"/>
                <w:color w:val="000000" w:themeColor="text1"/>
                <w:sz w:val="22"/>
                <w:szCs w:val="22"/>
                <w:lang w:val="en-PH" w:eastAsia="en-PH"/>
              </w:rPr>
            </w:pPr>
            <w:r w:rsidRPr="009E35ED">
              <w:rPr>
                <w:rFonts w:ascii="Arial Narrow" w:hAnsi="Arial Narrow" w:cs="Arial"/>
                <w:color w:val="000000" w:themeColor="text1"/>
                <w:sz w:val="22"/>
                <w:szCs w:val="22"/>
              </w:rPr>
              <w:t xml:space="preserve">Adjustment/Recording of </w:t>
            </w:r>
            <w:r w:rsidR="00946F1F">
              <w:rPr>
                <w:rFonts w:ascii="Arial Narrow" w:hAnsi="Arial Narrow" w:cs="Arial"/>
                <w:color w:val="000000" w:themeColor="text1"/>
                <w:sz w:val="22"/>
                <w:szCs w:val="22"/>
              </w:rPr>
              <w:t>i</w:t>
            </w:r>
            <w:r w:rsidRPr="009E35ED">
              <w:rPr>
                <w:rFonts w:ascii="Arial Narrow" w:hAnsi="Arial Narrow" w:cs="Arial"/>
                <w:color w:val="000000" w:themeColor="text1"/>
                <w:sz w:val="22"/>
                <w:szCs w:val="22"/>
              </w:rPr>
              <w:t xml:space="preserve">ncome </w:t>
            </w:r>
            <w:r w:rsidR="00946F1F">
              <w:rPr>
                <w:rFonts w:ascii="Arial Narrow" w:hAnsi="Arial Narrow" w:cs="Arial"/>
                <w:color w:val="000000" w:themeColor="text1"/>
                <w:sz w:val="22"/>
                <w:szCs w:val="22"/>
              </w:rPr>
              <w:t>t</w:t>
            </w:r>
            <w:r w:rsidRPr="009E35ED">
              <w:rPr>
                <w:rFonts w:ascii="Arial Narrow" w:hAnsi="Arial Narrow" w:cs="Arial"/>
                <w:color w:val="000000" w:themeColor="text1"/>
                <w:sz w:val="22"/>
                <w:szCs w:val="22"/>
              </w:rPr>
              <w:t xml:space="preserve">ax </w:t>
            </w:r>
            <w:r w:rsidR="00946F1F">
              <w:rPr>
                <w:rFonts w:ascii="Arial Narrow" w:hAnsi="Arial Narrow" w:cs="Arial"/>
                <w:color w:val="000000" w:themeColor="text1"/>
                <w:sz w:val="22"/>
                <w:szCs w:val="22"/>
              </w:rPr>
              <w:t>e</w:t>
            </w:r>
            <w:r w:rsidRPr="009E35ED">
              <w:rPr>
                <w:rFonts w:ascii="Arial Narrow" w:hAnsi="Arial Narrow" w:cs="Arial"/>
                <w:color w:val="000000" w:themeColor="text1"/>
                <w:sz w:val="22"/>
                <w:szCs w:val="22"/>
              </w:rPr>
              <w:t xml:space="preserve">xpense - </w:t>
            </w:r>
            <w:r w:rsidR="00946F1F">
              <w:rPr>
                <w:rFonts w:ascii="Arial Narrow" w:hAnsi="Arial Narrow" w:cs="Arial"/>
                <w:color w:val="000000" w:themeColor="text1"/>
                <w:sz w:val="22"/>
                <w:szCs w:val="22"/>
              </w:rPr>
              <w:t>o</w:t>
            </w:r>
            <w:r w:rsidRPr="009E35ED">
              <w:rPr>
                <w:rFonts w:ascii="Arial Narrow" w:hAnsi="Arial Narrow" w:cs="Arial"/>
                <w:color w:val="000000" w:themeColor="text1"/>
                <w:sz w:val="22"/>
                <w:szCs w:val="22"/>
              </w:rPr>
              <w:t>perating</w:t>
            </w:r>
          </w:p>
        </w:tc>
        <w:tc>
          <w:tcPr>
            <w:tcW w:w="1692" w:type="dxa"/>
            <w:tcBorders>
              <w:top w:val="nil"/>
              <w:left w:val="nil"/>
              <w:right w:val="nil"/>
            </w:tcBorders>
            <w:shd w:val="clear" w:color="auto" w:fill="auto"/>
            <w:noWrap/>
            <w:hideMark/>
          </w:tcPr>
          <w:p w14:paraId="0A0D4A56" w14:textId="27A286CD" w:rsidR="00135FBB" w:rsidRPr="009E35ED" w:rsidRDefault="00135FBB" w:rsidP="00BF4257">
            <w:pPr>
              <w:ind w:left="0" w:right="-65"/>
              <w:jc w:val="right"/>
              <w:rPr>
                <w:rFonts w:ascii="Arial Narrow" w:hAnsi="Arial Narrow" w:cs="Arial"/>
                <w:color w:val="000000" w:themeColor="text1"/>
                <w:sz w:val="22"/>
                <w:szCs w:val="22"/>
                <w:lang w:val="en-PH" w:eastAsia="en-PH"/>
              </w:rPr>
            </w:pPr>
            <w:r w:rsidRPr="009E35ED">
              <w:rPr>
                <w:rFonts w:ascii="Arial Narrow" w:hAnsi="Arial Narrow" w:cs="Arial"/>
                <w:color w:val="000000" w:themeColor="text1"/>
                <w:sz w:val="22"/>
                <w:szCs w:val="22"/>
              </w:rPr>
              <w:t xml:space="preserve"> 89,106,487 </w:t>
            </w:r>
          </w:p>
        </w:tc>
      </w:tr>
      <w:tr w:rsidR="00997F75" w:rsidRPr="009E35ED" w14:paraId="2ED4D9A6" w14:textId="77777777" w:rsidTr="00BF4257">
        <w:trPr>
          <w:trHeight w:val="314"/>
        </w:trPr>
        <w:tc>
          <w:tcPr>
            <w:tcW w:w="6930" w:type="dxa"/>
            <w:tcBorders>
              <w:top w:val="nil"/>
              <w:left w:val="nil"/>
              <w:bottom w:val="single" w:sz="4" w:space="0" w:color="auto"/>
              <w:right w:val="nil"/>
            </w:tcBorders>
            <w:shd w:val="clear" w:color="auto" w:fill="auto"/>
            <w:noWrap/>
            <w:hideMark/>
          </w:tcPr>
          <w:p w14:paraId="2ACE90C0" w14:textId="1858905C" w:rsidR="00135FBB" w:rsidRPr="009E35ED" w:rsidRDefault="00135FBB" w:rsidP="00BF4257">
            <w:pPr>
              <w:ind w:left="-108"/>
              <w:jc w:val="left"/>
              <w:rPr>
                <w:rFonts w:ascii="Arial Narrow" w:hAnsi="Arial Narrow" w:cs="Arial"/>
                <w:color w:val="000000" w:themeColor="text1"/>
                <w:sz w:val="22"/>
                <w:szCs w:val="22"/>
                <w:lang w:val="en-PH" w:eastAsia="en-PH"/>
              </w:rPr>
            </w:pPr>
            <w:r w:rsidRPr="009E35ED">
              <w:rPr>
                <w:rFonts w:ascii="Arial Narrow" w:hAnsi="Arial Narrow" w:cs="Arial"/>
                <w:color w:val="000000" w:themeColor="text1"/>
                <w:sz w:val="22"/>
                <w:szCs w:val="22"/>
              </w:rPr>
              <w:t xml:space="preserve">Adjustment/Recording of </w:t>
            </w:r>
            <w:r w:rsidR="00946F1F">
              <w:rPr>
                <w:rFonts w:ascii="Arial Narrow" w:hAnsi="Arial Narrow" w:cs="Arial"/>
                <w:color w:val="000000" w:themeColor="text1"/>
                <w:sz w:val="22"/>
                <w:szCs w:val="22"/>
              </w:rPr>
              <w:t>i</w:t>
            </w:r>
            <w:r w:rsidRPr="009E35ED">
              <w:rPr>
                <w:rFonts w:ascii="Arial Narrow" w:hAnsi="Arial Narrow" w:cs="Arial"/>
                <w:color w:val="000000" w:themeColor="text1"/>
                <w:sz w:val="22"/>
                <w:szCs w:val="22"/>
              </w:rPr>
              <w:t xml:space="preserve">ncome </w:t>
            </w:r>
            <w:r w:rsidR="00946F1F">
              <w:rPr>
                <w:rFonts w:ascii="Arial Narrow" w:hAnsi="Arial Narrow" w:cs="Arial"/>
                <w:color w:val="000000" w:themeColor="text1"/>
                <w:sz w:val="22"/>
                <w:szCs w:val="22"/>
              </w:rPr>
              <w:t>t</w:t>
            </w:r>
            <w:r w:rsidRPr="009E35ED">
              <w:rPr>
                <w:rFonts w:ascii="Arial Narrow" w:hAnsi="Arial Narrow" w:cs="Arial"/>
                <w:color w:val="000000" w:themeColor="text1"/>
                <w:sz w:val="22"/>
                <w:szCs w:val="22"/>
              </w:rPr>
              <w:t xml:space="preserve">ax </w:t>
            </w:r>
            <w:r w:rsidR="00946F1F">
              <w:rPr>
                <w:rFonts w:ascii="Arial Narrow" w:hAnsi="Arial Narrow" w:cs="Arial"/>
                <w:color w:val="000000" w:themeColor="text1"/>
                <w:sz w:val="22"/>
                <w:szCs w:val="22"/>
              </w:rPr>
              <w:t>e</w:t>
            </w:r>
            <w:r w:rsidRPr="009E35ED">
              <w:rPr>
                <w:rFonts w:ascii="Arial Narrow" w:hAnsi="Arial Narrow" w:cs="Arial"/>
                <w:color w:val="000000" w:themeColor="text1"/>
                <w:sz w:val="22"/>
                <w:szCs w:val="22"/>
              </w:rPr>
              <w:t xml:space="preserve">xpense - </w:t>
            </w:r>
            <w:r w:rsidR="00946F1F">
              <w:rPr>
                <w:rFonts w:ascii="Arial Narrow" w:hAnsi="Arial Narrow" w:cs="Arial"/>
                <w:color w:val="000000" w:themeColor="text1"/>
                <w:sz w:val="22"/>
                <w:szCs w:val="22"/>
              </w:rPr>
              <w:t>p</w:t>
            </w:r>
            <w:r w:rsidRPr="009E35ED">
              <w:rPr>
                <w:rFonts w:ascii="Arial Narrow" w:hAnsi="Arial Narrow" w:cs="Arial"/>
                <w:color w:val="000000" w:themeColor="text1"/>
                <w:sz w:val="22"/>
                <w:szCs w:val="22"/>
              </w:rPr>
              <w:t>rize</w:t>
            </w:r>
          </w:p>
        </w:tc>
        <w:tc>
          <w:tcPr>
            <w:tcW w:w="1692" w:type="dxa"/>
            <w:tcBorders>
              <w:top w:val="nil"/>
              <w:left w:val="nil"/>
              <w:bottom w:val="single" w:sz="4" w:space="0" w:color="auto"/>
              <w:right w:val="nil"/>
            </w:tcBorders>
            <w:shd w:val="clear" w:color="auto" w:fill="auto"/>
            <w:noWrap/>
            <w:hideMark/>
          </w:tcPr>
          <w:p w14:paraId="5193D164" w14:textId="71A6AB5E" w:rsidR="00135FBB" w:rsidRPr="009E35ED" w:rsidRDefault="00135FBB" w:rsidP="00BF4257">
            <w:pPr>
              <w:ind w:left="0" w:right="-65"/>
              <w:jc w:val="right"/>
              <w:rPr>
                <w:rFonts w:ascii="Arial Narrow" w:hAnsi="Arial Narrow" w:cs="Arial"/>
                <w:color w:val="000000" w:themeColor="text1"/>
                <w:sz w:val="22"/>
                <w:szCs w:val="22"/>
                <w:lang w:val="en-PH" w:eastAsia="en-PH"/>
              </w:rPr>
            </w:pPr>
            <w:r w:rsidRPr="009E35ED">
              <w:rPr>
                <w:rFonts w:ascii="Arial Narrow" w:hAnsi="Arial Narrow" w:cs="Arial"/>
                <w:color w:val="000000" w:themeColor="text1"/>
                <w:sz w:val="22"/>
                <w:szCs w:val="22"/>
              </w:rPr>
              <w:t xml:space="preserve">(89,106,487) </w:t>
            </w:r>
          </w:p>
        </w:tc>
      </w:tr>
      <w:tr w:rsidR="00AA1BD0" w:rsidRPr="009E35ED" w14:paraId="36ADA045" w14:textId="77777777" w:rsidTr="00BF4257">
        <w:trPr>
          <w:trHeight w:val="348"/>
        </w:trPr>
        <w:tc>
          <w:tcPr>
            <w:tcW w:w="6930" w:type="dxa"/>
            <w:tcBorders>
              <w:top w:val="single" w:sz="4" w:space="0" w:color="auto"/>
              <w:left w:val="nil"/>
              <w:bottom w:val="double" w:sz="4" w:space="0" w:color="auto"/>
              <w:right w:val="nil"/>
            </w:tcBorders>
            <w:shd w:val="clear" w:color="auto" w:fill="auto"/>
            <w:noWrap/>
            <w:hideMark/>
          </w:tcPr>
          <w:p w14:paraId="36AE737F" w14:textId="05CAAC3F" w:rsidR="00135FBB" w:rsidRPr="009E35ED" w:rsidRDefault="00135FBB" w:rsidP="003B4391">
            <w:pPr>
              <w:ind w:left="-108"/>
              <w:jc w:val="left"/>
              <w:rPr>
                <w:rFonts w:ascii="Arial Narrow" w:hAnsi="Arial Narrow" w:cs="Arial"/>
                <w:b/>
                <w:bCs/>
                <w:color w:val="000000" w:themeColor="text1"/>
                <w:sz w:val="22"/>
                <w:szCs w:val="22"/>
                <w:lang w:val="en-PH" w:eastAsia="en-PH"/>
              </w:rPr>
            </w:pPr>
            <w:r w:rsidRPr="009E35ED">
              <w:rPr>
                <w:rFonts w:ascii="Arial Narrow" w:hAnsi="Arial Narrow" w:cs="Arial"/>
                <w:b/>
                <w:bCs/>
                <w:color w:val="000000" w:themeColor="text1"/>
                <w:sz w:val="22"/>
                <w:szCs w:val="22"/>
              </w:rPr>
              <w:t xml:space="preserve">Restated Amount as of December 31, 2022 - </w:t>
            </w:r>
            <w:r w:rsidR="003B4391">
              <w:rPr>
                <w:rFonts w:ascii="Arial Narrow" w:hAnsi="Arial Narrow" w:cs="Arial"/>
                <w:b/>
                <w:bCs/>
                <w:color w:val="000000" w:themeColor="text1"/>
                <w:sz w:val="22"/>
                <w:szCs w:val="22"/>
              </w:rPr>
              <w:t>Income Tax Payable</w:t>
            </w:r>
          </w:p>
        </w:tc>
        <w:tc>
          <w:tcPr>
            <w:tcW w:w="1692" w:type="dxa"/>
            <w:tcBorders>
              <w:top w:val="single" w:sz="4" w:space="0" w:color="auto"/>
              <w:left w:val="nil"/>
              <w:bottom w:val="double" w:sz="4" w:space="0" w:color="auto"/>
              <w:right w:val="nil"/>
            </w:tcBorders>
            <w:shd w:val="clear" w:color="auto" w:fill="auto"/>
            <w:noWrap/>
            <w:hideMark/>
          </w:tcPr>
          <w:p w14:paraId="5D919FD5" w14:textId="4150539C" w:rsidR="00135FBB" w:rsidRPr="009E35ED" w:rsidRDefault="00135FBB" w:rsidP="00BF4257">
            <w:pPr>
              <w:ind w:left="0" w:right="-65"/>
              <w:jc w:val="right"/>
              <w:rPr>
                <w:rFonts w:ascii="Arial Narrow" w:hAnsi="Arial Narrow" w:cs="Arial"/>
                <w:b/>
                <w:bCs/>
                <w:color w:val="000000" w:themeColor="text1"/>
                <w:sz w:val="22"/>
                <w:szCs w:val="22"/>
                <w:lang w:val="en-PH" w:eastAsia="en-PH"/>
              </w:rPr>
            </w:pPr>
            <w:r w:rsidRPr="009E35ED">
              <w:rPr>
                <w:rFonts w:ascii="Arial Narrow" w:hAnsi="Arial Narrow" w:cs="Arial"/>
                <w:b/>
                <w:bCs/>
                <w:color w:val="000000" w:themeColor="text1"/>
                <w:sz w:val="22"/>
                <w:szCs w:val="22"/>
              </w:rPr>
              <w:t xml:space="preserve"> 1,016,051,692 </w:t>
            </w:r>
          </w:p>
        </w:tc>
      </w:tr>
    </w:tbl>
    <w:p w14:paraId="7F8E7606" w14:textId="2BF271CB" w:rsidR="00067B9A" w:rsidRPr="009E35ED" w:rsidRDefault="00067B9A" w:rsidP="002821B2">
      <w:pPr>
        <w:ind w:left="0"/>
        <w:rPr>
          <w:rFonts w:ascii="Arial" w:hAnsi="Arial" w:cs="Arial"/>
          <w:color w:val="000000" w:themeColor="text1"/>
          <w:sz w:val="22"/>
          <w:szCs w:val="22"/>
        </w:rPr>
      </w:pPr>
    </w:p>
    <w:p w14:paraId="487D19DD" w14:textId="77777777" w:rsidR="002C7DDB" w:rsidRPr="009E35ED" w:rsidRDefault="002C7DDB" w:rsidP="002821B2">
      <w:pPr>
        <w:ind w:left="0"/>
        <w:rPr>
          <w:rFonts w:ascii="Arial" w:hAnsi="Arial" w:cs="Arial"/>
          <w:color w:val="000000" w:themeColor="text1"/>
          <w:sz w:val="22"/>
          <w:szCs w:val="22"/>
        </w:rPr>
      </w:pPr>
    </w:p>
    <w:p w14:paraId="6C156AFF" w14:textId="77777777" w:rsidR="006E34FF" w:rsidRPr="009E35ED" w:rsidRDefault="008B0242" w:rsidP="001C371F">
      <w:pPr>
        <w:numPr>
          <w:ilvl w:val="0"/>
          <w:numId w:val="28"/>
        </w:numPr>
        <w:ind w:hanging="720"/>
        <w:rPr>
          <w:rFonts w:ascii="Arial" w:hAnsi="Arial" w:cs="Arial"/>
          <w:color w:val="000000" w:themeColor="text1"/>
          <w:sz w:val="22"/>
          <w:szCs w:val="22"/>
        </w:rPr>
      </w:pPr>
      <w:r w:rsidRPr="009E35ED">
        <w:rPr>
          <w:rFonts w:ascii="Arial" w:hAnsi="Arial" w:cs="Arial"/>
          <w:b/>
          <w:color w:val="000000" w:themeColor="text1"/>
          <w:spacing w:val="-3"/>
          <w:sz w:val="22"/>
          <w:szCs w:val="22"/>
        </w:rPr>
        <w:t>PROVISIONS</w:t>
      </w:r>
      <w:r w:rsidRPr="009E35ED" w:rsidDel="008B0242">
        <w:rPr>
          <w:rFonts w:ascii="Arial" w:hAnsi="Arial" w:cs="Arial"/>
          <w:b/>
          <w:color w:val="000000" w:themeColor="text1"/>
          <w:sz w:val="22"/>
          <w:szCs w:val="22"/>
        </w:rPr>
        <w:t xml:space="preserve"> </w:t>
      </w:r>
    </w:p>
    <w:p w14:paraId="0CB69F84" w14:textId="77777777" w:rsidR="006E34FF" w:rsidRPr="009E35ED" w:rsidRDefault="006E34FF" w:rsidP="00803F8C">
      <w:pPr>
        <w:rPr>
          <w:rFonts w:ascii="Arial" w:hAnsi="Arial" w:cs="Arial"/>
          <w:color w:val="000000" w:themeColor="text1"/>
          <w:sz w:val="22"/>
          <w:szCs w:val="22"/>
        </w:rPr>
      </w:pPr>
    </w:p>
    <w:p w14:paraId="3A367982" w14:textId="2AFCDC0D" w:rsidR="006E4C9F" w:rsidRPr="009E35ED" w:rsidRDefault="006E34FF" w:rsidP="00803F8C">
      <w:pPr>
        <w:ind w:left="0"/>
        <w:rPr>
          <w:rFonts w:ascii="Arial" w:hAnsi="Arial" w:cs="Arial"/>
          <w:color w:val="000000" w:themeColor="text1"/>
          <w:sz w:val="22"/>
          <w:szCs w:val="22"/>
        </w:rPr>
      </w:pPr>
      <w:r w:rsidRPr="009E35ED">
        <w:rPr>
          <w:rFonts w:ascii="Arial" w:hAnsi="Arial" w:cs="Arial"/>
          <w:color w:val="000000" w:themeColor="text1"/>
          <w:sz w:val="22"/>
          <w:szCs w:val="22"/>
        </w:rPr>
        <w:t xml:space="preserve">This account consists </w:t>
      </w:r>
      <w:r w:rsidR="00967710">
        <w:rPr>
          <w:rFonts w:ascii="Arial" w:hAnsi="Arial" w:cs="Arial"/>
          <w:color w:val="000000" w:themeColor="text1"/>
          <w:sz w:val="22"/>
          <w:szCs w:val="22"/>
        </w:rPr>
        <w:t>the</w:t>
      </w:r>
      <w:r w:rsidR="00967710" w:rsidRPr="009E35ED">
        <w:rPr>
          <w:rFonts w:ascii="Arial" w:hAnsi="Arial" w:cs="Arial"/>
          <w:color w:val="000000" w:themeColor="text1"/>
          <w:sz w:val="22"/>
          <w:szCs w:val="22"/>
        </w:rPr>
        <w:t xml:space="preserve"> </w:t>
      </w:r>
      <w:r w:rsidRPr="009E35ED">
        <w:rPr>
          <w:rFonts w:ascii="Arial" w:hAnsi="Arial" w:cs="Arial"/>
          <w:color w:val="000000" w:themeColor="text1"/>
          <w:sz w:val="22"/>
          <w:szCs w:val="22"/>
        </w:rPr>
        <w:t>liabilities to the following:</w:t>
      </w:r>
    </w:p>
    <w:p w14:paraId="3C6D4E19" w14:textId="77777777" w:rsidR="002821B2" w:rsidRPr="009E35ED" w:rsidRDefault="002821B2" w:rsidP="00803F8C">
      <w:pPr>
        <w:ind w:left="0"/>
        <w:rPr>
          <w:rFonts w:ascii="Arial" w:hAnsi="Arial" w:cs="Arial"/>
          <w:color w:val="000000" w:themeColor="text1"/>
          <w:sz w:val="22"/>
          <w:szCs w:val="22"/>
        </w:rPr>
      </w:pPr>
    </w:p>
    <w:tbl>
      <w:tblPr>
        <w:tblW w:w="8653" w:type="dxa"/>
        <w:tblLook w:val="04A0" w:firstRow="1" w:lastRow="0" w:firstColumn="1" w:lastColumn="0" w:noHBand="0" w:noVBand="1"/>
      </w:tblPr>
      <w:tblGrid>
        <w:gridCol w:w="4050"/>
        <w:gridCol w:w="2459"/>
        <w:gridCol w:w="2144"/>
      </w:tblGrid>
      <w:tr w:rsidR="00997F75" w:rsidRPr="009E35ED" w14:paraId="2F7E2F58" w14:textId="77777777" w:rsidTr="003A5476">
        <w:trPr>
          <w:trHeight w:val="228"/>
        </w:trPr>
        <w:tc>
          <w:tcPr>
            <w:tcW w:w="4050" w:type="dxa"/>
            <w:tcBorders>
              <w:top w:val="single" w:sz="4" w:space="0" w:color="auto"/>
              <w:left w:val="nil"/>
              <w:bottom w:val="nil"/>
              <w:right w:val="nil"/>
            </w:tcBorders>
            <w:shd w:val="clear" w:color="auto" w:fill="auto"/>
            <w:noWrap/>
            <w:vAlign w:val="bottom"/>
            <w:hideMark/>
          </w:tcPr>
          <w:p w14:paraId="4FDA939E" w14:textId="77777777" w:rsidR="00FF2800" w:rsidRPr="009E35ED" w:rsidRDefault="00FF2800" w:rsidP="00FF2800">
            <w:pPr>
              <w:ind w:left="0"/>
              <w:jc w:val="left"/>
              <w:rPr>
                <w:color w:val="000000" w:themeColor="text1"/>
                <w:sz w:val="20"/>
                <w:szCs w:val="20"/>
              </w:rPr>
            </w:pPr>
          </w:p>
        </w:tc>
        <w:tc>
          <w:tcPr>
            <w:tcW w:w="2459" w:type="dxa"/>
            <w:tcBorders>
              <w:top w:val="single" w:sz="4" w:space="0" w:color="auto"/>
              <w:left w:val="nil"/>
              <w:bottom w:val="nil"/>
              <w:right w:val="nil"/>
            </w:tcBorders>
            <w:shd w:val="clear" w:color="auto" w:fill="auto"/>
            <w:noWrap/>
            <w:vAlign w:val="bottom"/>
            <w:hideMark/>
          </w:tcPr>
          <w:p w14:paraId="0F5E01B9" w14:textId="1E738C15" w:rsidR="00FF2800" w:rsidRPr="009E35ED" w:rsidRDefault="0067251D" w:rsidP="00FF2800">
            <w:pPr>
              <w:ind w:left="0"/>
              <w:jc w:val="right"/>
              <w:rPr>
                <w:rFonts w:ascii="Arial Narrow" w:hAnsi="Arial Narrow" w:cs="Calibri"/>
                <w:b/>
                <w:bCs/>
                <w:color w:val="000000" w:themeColor="text1"/>
                <w:sz w:val="22"/>
                <w:szCs w:val="22"/>
              </w:rPr>
            </w:pPr>
            <w:r w:rsidRPr="009E35ED">
              <w:rPr>
                <w:rFonts w:ascii="Arial Narrow" w:hAnsi="Arial Narrow" w:cs="Calibri"/>
                <w:b/>
                <w:bCs/>
                <w:color w:val="000000" w:themeColor="text1"/>
                <w:sz w:val="22"/>
                <w:szCs w:val="22"/>
              </w:rPr>
              <w:t>202</w:t>
            </w:r>
            <w:r w:rsidR="005B674C" w:rsidRPr="009E35ED">
              <w:rPr>
                <w:rFonts w:ascii="Arial Narrow" w:hAnsi="Arial Narrow" w:cs="Calibri"/>
                <w:b/>
                <w:bCs/>
                <w:color w:val="000000" w:themeColor="text1"/>
                <w:sz w:val="22"/>
                <w:szCs w:val="22"/>
              </w:rPr>
              <w:t>3</w:t>
            </w:r>
          </w:p>
        </w:tc>
        <w:tc>
          <w:tcPr>
            <w:tcW w:w="2144" w:type="dxa"/>
            <w:tcBorders>
              <w:top w:val="single" w:sz="4" w:space="0" w:color="auto"/>
              <w:left w:val="nil"/>
              <w:bottom w:val="nil"/>
              <w:right w:val="nil"/>
            </w:tcBorders>
            <w:shd w:val="clear" w:color="auto" w:fill="auto"/>
            <w:noWrap/>
            <w:vAlign w:val="bottom"/>
            <w:hideMark/>
          </w:tcPr>
          <w:p w14:paraId="2474CA36" w14:textId="59ACBB38" w:rsidR="00FF2800" w:rsidRPr="009E35ED" w:rsidRDefault="0067251D" w:rsidP="003A5476">
            <w:pPr>
              <w:ind w:left="0" w:right="-95"/>
              <w:jc w:val="right"/>
              <w:rPr>
                <w:rFonts w:ascii="Arial Narrow" w:hAnsi="Arial Narrow" w:cs="Calibri"/>
                <w:b/>
                <w:bCs/>
                <w:color w:val="000000" w:themeColor="text1"/>
                <w:sz w:val="22"/>
                <w:szCs w:val="22"/>
              </w:rPr>
            </w:pPr>
            <w:r w:rsidRPr="009E35ED">
              <w:rPr>
                <w:rFonts w:ascii="Arial Narrow" w:hAnsi="Arial Narrow" w:cs="Calibri"/>
                <w:b/>
                <w:bCs/>
                <w:color w:val="000000" w:themeColor="text1"/>
                <w:sz w:val="22"/>
                <w:szCs w:val="22"/>
              </w:rPr>
              <w:t>202</w:t>
            </w:r>
            <w:r w:rsidR="005B674C" w:rsidRPr="009E35ED">
              <w:rPr>
                <w:rFonts w:ascii="Arial Narrow" w:hAnsi="Arial Narrow" w:cs="Calibri"/>
                <w:b/>
                <w:bCs/>
                <w:color w:val="000000" w:themeColor="text1"/>
                <w:sz w:val="22"/>
                <w:szCs w:val="22"/>
              </w:rPr>
              <w:t>2</w:t>
            </w:r>
          </w:p>
        </w:tc>
      </w:tr>
      <w:tr w:rsidR="00997F75" w:rsidRPr="009E35ED" w14:paraId="6055045C" w14:textId="77777777" w:rsidTr="003A5476">
        <w:trPr>
          <w:trHeight w:val="228"/>
        </w:trPr>
        <w:tc>
          <w:tcPr>
            <w:tcW w:w="4050" w:type="dxa"/>
            <w:tcBorders>
              <w:top w:val="nil"/>
              <w:left w:val="nil"/>
              <w:bottom w:val="single" w:sz="4" w:space="0" w:color="auto"/>
              <w:right w:val="nil"/>
            </w:tcBorders>
            <w:shd w:val="clear" w:color="auto" w:fill="auto"/>
            <w:noWrap/>
            <w:vAlign w:val="bottom"/>
            <w:hideMark/>
          </w:tcPr>
          <w:p w14:paraId="16EAFF83" w14:textId="77777777" w:rsidR="00FF2800" w:rsidRPr="009E35ED" w:rsidRDefault="00FF2800" w:rsidP="00FF2800">
            <w:pPr>
              <w:ind w:left="0"/>
              <w:jc w:val="left"/>
              <w:rPr>
                <w:rFonts w:ascii="Arial Narrow" w:hAnsi="Arial Narrow" w:cs="Calibri"/>
                <w:color w:val="000000" w:themeColor="text1"/>
                <w:sz w:val="22"/>
                <w:szCs w:val="22"/>
              </w:rPr>
            </w:pPr>
            <w:r w:rsidRPr="009E35ED">
              <w:rPr>
                <w:rFonts w:ascii="Arial Narrow" w:hAnsi="Arial Narrow" w:cs="Calibri"/>
                <w:color w:val="000000" w:themeColor="text1"/>
                <w:sz w:val="22"/>
                <w:szCs w:val="22"/>
              </w:rPr>
              <w:t> </w:t>
            </w:r>
          </w:p>
        </w:tc>
        <w:tc>
          <w:tcPr>
            <w:tcW w:w="2459" w:type="dxa"/>
            <w:tcBorders>
              <w:top w:val="nil"/>
              <w:left w:val="nil"/>
              <w:bottom w:val="single" w:sz="4" w:space="0" w:color="auto"/>
              <w:right w:val="nil"/>
            </w:tcBorders>
            <w:shd w:val="clear" w:color="auto" w:fill="auto"/>
            <w:noWrap/>
            <w:vAlign w:val="bottom"/>
            <w:hideMark/>
          </w:tcPr>
          <w:p w14:paraId="50591570" w14:textId="77777777" w:rsidR="00FF2800" w:rsidRPr="009E35ED" w:rsidRDefault="00FF2800" w:rsidP="00FF2800">
            <w:pPr>
              <w:ind w:left="0"/>
              <w:jc w:val="right"/>
              <w:rPr>
                <w:rFonts w:ascii="Arial Narrow" w:hAnsi="Arial Narrow" w:cs="Calibri"/>
                <w:b/>
                <w:bCs/>
                <w:color w:val="000000" w:themeColor="text1"/>
                <w:sz w:val="22"/>
                <w:szCs w:val="22"/>
              </w:rPr>
            </w:pPr>
            <w:r w:rsidRPr="009E35ED">
              <w:rPr>
                <w:rFonts w:ascii="Arial Narrow" w:hAnsi="Arial Narrow" w:cs="Calibri"/>
                <w:b/>
                <w:bCs/>
                <w:color w:val="000000" w:themeColor="text1"/>
                <w:sz w:val="22"/>
                <w:szCs w:val="22"/>
              </w:rPr>
              <w:t> </w:t>
            </w:r>
          </w:p>
        </w:tc>
        <w:tc>
          <w:tcPr>
            <w:tcW w:w="2144" w:type="dxa"/>
            <w:tcBorders>
              <w:top w:val="nil"/>
              <w:left w:val="nil"/>
              <w:bottom w:val="single" w:sz="4" w:space="0" w:color="auto"/>
              <w:right w:val="nil"/>
            </w:tcBorders>
            <w:shd w:val="clear" w:color="auto" w:fill="auto"/>
            <w:noWrap/>
            <w:vAlign w:val="bottom"/>
            <w:hideMark/>
          </w:tcPr>
          <w:p w14:paraId="04984328" w14:textId="5FEFA4B5" w:rsidR="00FF2800" w:rsidRPr="009E35ED" w:rsidRDefault="00A93AAF" w:rsidP="003A5476">
            <w:pPr>
              <w:ind w:left="0" w:right="-95"/>
              <w:jc w:val="right"/>
              <w:rPr>
                <w:rFonts w:ascii="Arial Narrow" w:hAnsi="Arial Narrow" w:cs="Calibri"/>
                <w:b/>
                <w:color w:val="000000" w:themeColor="text1"/>
                <w:sz w:val="22"/>
                <w:szCs w:val="22"/>
              </w:rPr>
            </w:pPr>
            <w:r w:rsidRPr="009E35ED">
              <w:rPr>
                <w:rFonts w:ascii="Arial Narrow" w:hAnsi="Arial Narrow" w:cs="Calibri"/>
                <w:b/>
                <w:color w:val="000000" w:themeColor="text1"/>
                <w:sz w:val="22"/>
                <w:szCs w:val="22"/>
              </w:rPr>
              <w:t>As Restated</w:t>
            </w:r>
            <w:r w:rsidR="00FF2800" w:rsidRPr="009E35ED">
              <w:rPr>
                <w:rFonts w:ascii="Arial Narrow" w:hAnsi="Arial Narrow" w:cs="Calibri"/>
                <w:b/>
                <w:color w:val="000000" w:themeColor="text1"/>
                <w:sz w:val="22"/>
                <w:szCs w:val="22"/>
              </w:rPr>
              <w:t> </w:t>
            </w:r>
          </w:p>
        </w:tc>
      </w:tr>
      <w:tr w:rsidR="00997F75" w:rsidRPr="009E35ED" w14:paraId="32AC4E74" w14:textId="77777777" w:rsidTr="003A5476">
        <w:trPr>
          <w:trHeight w:val="228"/>
        </w:trPr>
        <w:tc>
          <w:tcPr>
            <w:tcW w:w="4050" w:type="dxa"/>
            <w:tcBorders>
              <w:top w:val="nil"/>
              <w:left w:val="nil"/>
              <w:bottom w:val="nil"/>
              <w:right w:val="nil"/>
            </w:tcBorders>
            <w:shd w:val="clear" w:color="auto" w:fill="auto"/>
            <w:noWrap/>
            <w:vAlign w:val="bottom"/>
            <w:hideMark/>
          </w:tcPr>
          <w:p w14:paraId="38952B6B" w14:textId="18A6C675" w:rsidR="006E6E2F" w:rsidRPr="009E35ED" w:rsidRDefault="006E6E2F" w:rsidP="003A5476">
            <w:pPr>
              <w:ind w:left="-108"/>
              <w:jc w:val="left"/>
              <w:rPr>
                <w:rFonts w:ascii="Arial Narrow" w:hAnsi="Arial Narrow" w:cs="Calibri"/>
                <w:color w:val="000000" w:themeColor="text1"/>
                <w:sz w:val="22"/>
                <w:szCs w:val="22"/>
              </w:rPr>
            </w:pPr>
            <w:r w:rsidRPr="009E35ED">
              <w:rPr>
                <w:rFonts w:ascii="Arial Narrow" w:hAnsi="Arial Narrow" w:cs="Calibri"/>
                <w:color w:val="000000" w:themeColor="text1"/>
                <w:sz w:val="22"/>
                <w:szCs w:val="22"/>
              </w:rPr>
              <w:t xml:space="preserve">Current </w:t>
            </w:r>
            <w:r w:rsidR="00DB4881">
              <w:rPr>
                <w:rFonts w:ascii="Arial Narrow" w:hAnsi="Arial Narrow" w:cs="Calibri"/>
                <w:color w:val="000000" w:themeColor="text1"/>
                <w:sz w:val="22"/>
                <w:szCs w:val="22"/>
              </w:rPr>
              <w:t>p</w:t>
            </w:r>
            <w:r w:rsidRPr="009E35ED">
              <w:rPr>
                <w:rFonts w:ascii="Arial Narrow" w:hAnsi="Arial Narrow" w:cs="Calibri"/>
                <w:color w:val="000000" w:themeColor="text1"/>
                <w:sz w:val="22"/>
                <w:szCs w:val="22"/>
              </w:rPr>
              <w:t>rovisions</w:t>
            </w:r>
          </w:p>
        </w:tc>
        <w:tc>
          <w:tcPr>
            <w:tcW w:w="2459" w:type="dxa"/>
            <w:tcBorders>
              <w:top w:val="nil"/>
              <w:left w:val="nil"/>
              <w:bottom w:val="nil"/>
              <w:right w:val="nil"/>
            </w:tcBorders>
            <w:shd w:val="clear" w:color="auto" w:fill="auto"/>
            <w:noWrap/>
          </w:tcPr>
          <w:p w14:paraId="4DAF7439" w14:textId="135D7648" w:rsidR="006E6E2F" w:rsidRPr="009E35ED" w:rsidRDefault="006E6E2F" w:rsidP="00A36844">
            <w:pPr>
              <w:ind w:left="0"/>
              <w:jc w:val="right"/>
              <w:rPr>
                <w:rFonts w:ascii="Arial Narrow" w:hAnsi="Arial Narrow" w:cs="Calibri"/>
                <w:color w:val="000000" w:themeColor="text1"/>
                <w:sz w:val="22"/>
                <w:szCs w:val="22"/>
              </w:rPr>
            </w:pPr>
            <w:r w:rsidRPr="009E35ED">
              <w:rPr>
                <w:rFonts w:ascii="Arial Narrow" w:hAnsi="Arial Narrow"/>
                <w:color w:val="000000" w:themeColor="text1"/>
                <w:sz w:val="22"/>
                <w:szCs w:val="22"/>
              </w:rPr>
              <w:t xml:space="preserve"> 1,175,</w:t>
            </w:r>
            <w:r w:rsidR="00A36844" w:rsidRPr="009E35ED">
              <w:rPr>
                <w:rFonts w:ascii="Arial Narrow" w:hAnsi="Arial Narrow"/>
                <w:color w:val="000000" w:themeColor="text1"/>
                <w:sz w:val="22"/>
                <w:szCs w:val="22"/>
              </w:rPr>
              <w:t>193,876</w:t>
            </w:r>
            <w:r w:rsidRPr="009E35ED">
              <w:rPr>
                <w:rFonts w:ascii="Arial Narrow" w:hAnsi="Arial Narrow"/>
                <w:color w:val="000000" w:themeColor="text1"/>
                <w:sz w:val="22"/>
                <w:szCs w:val="22"/>
              </w:rPr>
              <w:t xml:space="preserve"> </w:t>
            </w:r>
          </w:p>
        </w:tc>
        <w:tc>
          <w:tcPr>
            <w:tcW w:w="2144" w:type="dxa"/>
            <w:tcBorders>
              <w:top w:val="nil"/>
              <w:left w:val="nil"/>
              <w:bottom w:val="nil"/>
              <w:right w:val="nil"/>
            </w:tcBorders>
            <w:shd w:val="clear" w:color="auto" w:fill="auto"/>
            <w:noWrap/>
            <w:hideMark/>
          </w:tcPr>
          <w:p w14:paraId="5F0A8C11" w14:textId="10D5E672" w:rsidR="006E6E2F" w:rsidRPr="009E35ED" w:rsidRDefault="006E6E2F" w:rsidP="003A5476">
            <w:pPr>
              <w:ind w:left="0" w:right="-95"/>
              <w:jc w:val="right"/>
              <w:rPr>
                <w:rFonts w:ascii="Arial Narrow" w:hAnsi="Arial Narrow" w:cs="Calibri"/>
                <w:color w:val="000000" w:themeColor="text1"/>
                <w:sz w:val="22"/>
                <w:szCs w:val="22"/>
              </w:rPr>
            </w:pPr>
            <w:r w:rsidRPr="009E35ED">
              <w:rPr>
                <w:rFonts w:ascii="Arial Narrow" w:hAnsi="Arial Narrow"/>
                <w:color w:val="000000" w:themeColor="text1"/>
                <w:sz w:val="22"/>
                <w:szCs w:val="22"/>
              </w:rPr>
              <w:t xml:space="preserve"> 584,302,828 </w:t>
            </w:r>
          </w:p>
        </w:tc>
      </w:tr>
      <w:tr w:rsidR="00997F75" w:rsidRPr="009E35ED" w14:paraId="3C517738" w14:textId="77777777" w:rsidTr="003A5476">
        <w:trPr>
          <w:trHeight w:val="228"/>
        </w:trPr>
        <w:tc>
          <w:tcPr>
            <w:tcW w:w="4050" w:type="dxa"/>
            <w:tcBorders>
              <w:top w:val="nil"/>
              <w:left w:val="nil"/>
              <w:bottom w:val="nil"/>
              <w:right w:val="nil"/>
            </w:tcBorders>
            <w:shd w:val="clear" w:color="auto" w:fill="auto"/>
            <w:noWrap/>
            <w:vAlign w:val="bottom"/>
            <w:hideMark/>
          </w:tcPr>
          <w:p w14:paraId="174A8FA9" w14:textId="2803A8DD" w:rsidR="006E6E2F" w:rsidRPr="009E35ED" w:rsidRDefault="006E6E2F" w:rsidP="003A5476">
            <w:pPr>
              <w:ind w:left="-108"/>
              <w:jc w:val="left"/>
              <w:rPr>
                <w:rFonts w:ascii="Arial Narrow" w:hAnsi="Arial Narrow" w:cs="Calibri"/>
                <w:color w:val="000000" w:themeColor="text1"/>
                <w:sz w:val="22"/>
                <w:szCs w:val="22"/>
              </w:rPr>
            </w:pPr>
            <w:r w:rsidRPr="009E35ED">
              <w:rPr>
                <w:rFonts w:ascii="Arial Narrow" w:hAnsi="Arial Narrow" w:cs="Calibri"/>
                <w:color w:val="000000" w:themeColor="text1"/>
                <w:sz w:val="22"/>
                <w:szCs w:val="22"/>
              </w:rPr>
              <w:t>Non-</w:t>
            </w:r>
            <w:r w:rsidR="00DB4881">
              <w:rPr>
                <w:rFonts w:ascii="Arial Narrow" w:hAnsi="Arial Narrow" w:cs="Calibri"/>
                <w:color w:val="000000" w:themeColor="text1"/>
                <w:sz w:val="22"/>
                <w:szCs w:val="22"/>
              </w:rPr>
              <w:t>c</w:t>
            </w:r>
            <w:r w:rsidRPr="009E35ED">
              <w:rPr>
                <w:rFonts w:ascii="Arial Narrow" w:hAnsi="Arial Narrow" w:cs="Calibri"/>
                <w:color w:val="000000" w:themeColor="text1"/>
                <w:sz w:val="22"/>
                <w:szCs w:val="22"/>
              </w:rPr>
              <w:t xml:space="preserve">urrent </w:t>
            </w:r>
            <w:r w:rsidR="00DB4881">
              <w:rPr>
                <w:rFonts w:ascii="Arial Narrow" w:hAnsi="Arial Narrow" w:cs="Calibri"/>
                <w:color w:val="000000" w:themeColor="text1"/>
                <w:sz w:val="22"/>
                <w:szCs w:val="22"/>
              </w:rPr>
              <w:t>p</w:t>
            </w:r>
            <w:r w:rsidRPr="009E35ED">
              <w:rPr>
                <w:rFonts w:ascii="Arial Narrow" w:hAnsi="Arial Narrow" w:cs="Calibri"/>
                <w:color w:val="000000" w:themeColor="text1"/>
                <w:sz w:val="22"/>
                <w:szCs w:val="22"/>
              </w:rPr>
              <w:t>rovisions</w:t>
            </w:r>
          </w:p>
        </w:tc>
        <w:tc>
          <w:tcPr>
            <w:tcW w:w="2459" w:type="dxa"/>
            <w:tcBorders>
              <w:top w:val="nil"/>
              <w:left w:val="nil"/>
              <w:bottom w:val="nil"/>
              <w:right w:val="nil"/>
            </w:tcBorders>
            <w:shd w:val="clear" w:color="auto" w:fill="auto"/>
            <w:noWrap/>
          </w:tcPr>
          <w:p w14:paraId="2275FFDE" w14:textId="6C0E0A76" w:rsidR="006E6E2F" w:rsidRPr="009E35ED" w:rsidRDefault="006E6E2F" w:rsidP="006E6E2F">
            <w:pPr>
              <w:ind w:left="0"/>
              <w:jc w:val="right"/>
              <w:rPr>
                <w:rFonts w:ascii="Arial Narrow" w:hAnsi="Arial Narrow" w:cs="Calibri"/>
                <w:color w:val="000000" w:themeColor="text1"/>
                <w:sz w:val="22"/>
                <w:szCs w:val="22"/>
              </w:rPr>
            </w:pPr>
            <w:r w:rsidRPr="009E35ED">
              <w:rPr>
                <w:rFonts w:ascii="Arial Narrow" w:hAnsi="Arial Narrow"/>
                <w:color w:val="000000" w:themeColor="text1"/>
                <w:sz w:val="22"/>
                <w:szCs w:val="22"/>
              </w:rPr>
              <w:t xml:space="preserve"> 281,491,814 </w:t>
            </w:r>
          </w:p>
        </w:tc>
        <w:tc>
          <w:tcPr>
            <w:tcW w:w="2144" w:type="dxa"/>
            <w:tcBorders>
              <w:top w:val="nil"/>
              <w:left w:val="nil"/>
              <w:bottom w:val="nil"/>
              <w:right w:val="nil"/>
            </w:tcBorders>
            <w:shd w:val="clear" w:color="auto" w:fill="auto"/>
            <w:noWrap/>
            <w:hideMark/>
          </w:tcPr>
          <w:p w14:paraId="23E5A757" w14:textId="2041BA0B" w:rsidR="006E6E2F" w:rsidRPr="009E35ED" w:rsidRDefault="006E6E2F" w:rsidP="003A5476">
            <w:pPr>
              <w:ind w:left="0" w:right="-95"/>
              <w:jc w:val="right"/>
              <w:rPr>
                <w:rFonts w:ascii="Arial Narrow" w:hAnsi="Arial Narrow" w:cs="Calibri"/>
                <w:color w:val="000000" w:themeColor="text1"/>
                <w:sz w:val="22"/>
                <w:szCs w:val="22"/>
              </w:rPr>
            </w:pPr>
            <w:r w:rsidRPr="009E35ED">
              <w:rPr>
                <w:rFonts w:ascii="Arial Narrow" w:hAnsi="Arial Narrow"/>
                <w:color w:val="000000" w:themeColor="text1"/>
                <w:sz w:val="22"/>
                <w:szCs w:val="22"/>
              </w:rPr>
              <w:t xml:space="preserve"> 241,189,540 </w:t>
            </w:r>
          </w:p>
        </w:tc>
      </w:tr>
      <w:tr w:rsidR="00B867C7" w:rsidRPr="009E35ED" w14:paraId="5FB4AB61" w14:textId="77777777" w:rsidTr="003A5476">
        <w:trPr>
          <w:trHeight w:val="238"/>
        </w:trPr>
        <w:tc>
          <w:tcPr>
            <w:tcW w:w="4050" w:type="dxa"/>
            <w:tcBorders>
              <w:top w:val="single" w:sz="4" w:space="0" w:color="auto"/>
              <w:left w:val="nil"/>
              <w:bottom w:val="double" w:sz="6" w:space="0" w:color="auto"/>
              <w:right w:val="nil"/>
            </w:tcBorders>
            <w:shd w:val="clear" w:color="auto" w:fill="auto"/>
            <w:noWrap/>
            <w:vAlign w:val="bottom"/>
            <w:hideMark/>
          </w:tcPr>
          <w:p w14:paraId="1C57652E" w14:textId="77777777" w:rsidR="006E6E2F" w:rsidRPr="009E35ED" w:rsidRDefault="006E6E2F" w:rsidP="003A5476">
            <w:pPr>
              <w:ind w:left="-108"/>
              <w:jc w:val="left"/>
              <w:rPr>
                <w:rFonts w:ascii="Arial Narrow" w:hAnsi="Arial Narrow" w:cs="Calibri"/>
                <w:b/>
                <w:bCs/>
                <w:color w:val="000000" w:themeColor="text1"/>
                <w:sz w:val="22"/>
                <w:szCs w:val="22"/>
              </w:rPr>
            </w:pPr>
            <w:r w:rsidRPr="009E35ED">
              <w:rPr>
                <w:rFonts w:ascii="Arial Narrow" w:hAnsi="Arial Narrow" w:cs="Calibri"/>
                <w:b/>
                <w:bCs/>
                <w:color w:val="000000" w:themeColor="text1"/>
                <w:sz w:val="22"/>
                <w:szCs w:val="22"/>
              </w:rPr>
              <w:t>TOTAL FINANCIAL LIABILITIES</w:t>
            </w:r>
          </w:p>
        </w:tc>
        <w:tc>
          <w:tcPr>
            <w:tcW w:w="2459" w:type="dxa"/>
            <w:tcBorders>
              <w:top w:val="single" w:sz="4" w:space="0" w:color="auto"/>
              <w:left w:val="nil"/>
              <w:bottom w:val="double" w:sz="6" w:space="0" w:color="auto"/>
              <w:right w:val="nil"/>
            </w:tcBorders>
            <w:shd w:val="clear" w:color="auto" w:fill="auto"/>
            <w:noWrap/>
          </w:tcPr>
          <w:p w14:paraId="5FD15446" w14:textId="1E7A52AD" w:rsidR="006E6E2F" w:rsidRPr="009E35ED" w:rsidRDefault="006E6E2F" w:rsidP="00A36844">
            <w:pPr>
              <w:ind w:left="0"/>
              <w:jc w:val="right"/>
              <w:rPr>
                <w:rFonts w:ascii="Arial Narrow" w:hAnsi="Arial Narrow" w:cs="Calibri"/>
                <w:b/>
                <w:bCs/>
                <w:color w:val="000000" w:themeColor="text1"/>
                <w:sz w:val="22"/>
                <w:szCs w:val="22"/>
              </w:rPr>
            </w:pPr>
            <w:r w:rsidRPr="009E35ED">
              <w:rPr>
                <w:rFonts w:ascii="Arial Narrow" w:hAnsi="Arial Narrow"/>
                <w:b/>
                <w:bCs/>
                <w:color w:val="000000" w:themeColor="text1"/>
                <w:sz w:val="22"/>
                <w:szCs w:val="22"/>
              </w:rPr>
              <w:t xml:space="preserve"> 1,456,</w:t>
            </w:r>
            <w:r w:rsidR="00A36844" w:rsidRPr="009E35ED">
              <w:rPr>
                <w:rFonts w:ascii="Arial Narrow" w:hAnsi="Arial Narrow"/>
                <w:b/>
                <w:bCs/>
                <w:color w:val="000000" w:themeColor="text1"/>
                <w:sz w:val="22"/>
                <w:szCs w:val="22"/>
              </w:rPr>
              <w:t>685,690</w:t>
            </w:r>
            <w:r w:rsidRPr="009E35ED">
              <w:rPr>
                <w:rFonts w:ascii="Arial Narrow" w:hAnsi="Arial Narrow"/>
                <w:b/>
                <w:bCs/>
                <w:color w:val="000000" w:themeColor="text1"/>
                <w:sz w:val="22"/>
                <w:szCs w:val="22"/>
              </w:rPr>
              <w:t xml:space="preserve"> </w:t>
            </w:r>
          </w:p>
        </w:tc>
        <w:tc>
          <w:tcPr>
            <w:tcW w:w="2144" w:type="dxa"/>
            <w:tcBorders>
              <w:top w:val="single" w:sz="4" w:space="0" w:color="auto"/>
              <w:left w:val="nil"/>
              <w:bottom w:val="double" w:sz="6" w:space="0" w:color="auto"/>
              <w:right w:val="nil"/>
            </w:tcBorders>
            <w:shd w:val="clear" w:color="auto" w:fill="auto"/>
            <w:noWrap/>
            <w:hideMark/>
          </w:tcPr>
          <w:p w14:paraId="7C9AF4F7" w14:textId="172DAC68" w:rsidR="006E6E2F" w:rsidRPr="009E35ED" w:rsidRDefault="006E6E2F" w:rsidP="003A5476">
            <w:pPr>
              <w:ind w:left="0" w:right="-95"/>
              <w:jc w:val="right"/>
              <w:rPr>
                <w:rFonts w:ascii="Arial Narrow" w:hAnsi="Arial Narrow" w:cs="Calibri"/>
                <w:b/>
                <w:bCs/>
                <w:color w:val="000000" w:themeColor="text1"/>
                <w:sz w:val="22"/>
                <w:szCs w:val="22"/>
              </w:rPr>
            </w:pPr>
            <w:r w:rsidRPr="009E35ED">
              <w:rPr>
                <w:rFonts w:ascii="Arial Narrow" w:hAnsi="Arial Narrow"/>
                <w:b/>
                <w:bCs/>
                <w:color w:val="000000" w:themeColor="text1"/>
                <w:sz w:val="22"/>
                <w:szCs w:val="22"/>
              </w:rPr>
              <w:t xml:space="preserve"> 825,492,36</w:t>
            </w:r>
            <w:r w:rsidR="00153B82" w:rsidRPr="009E35ED">
              <w:rPr>
                <w:rFonts w:ascii="Arial Narrow" w:hAnsi="Arial Narrow"/>
                <w:b/>
                <w:bCs/>
                <w:color w:val="000000" w:themeColor="text1"/>
                <w:sz w:val="22"/>
                <w:szCs w:val="22"/>
              </w:rPr>
              <w:t>8</w:t>
            </w:r>
            <w:r w:rsidRPr="009E35ED">
              <w:rPr>
                <w:rFonts w:ascii="Arial Narrow" w:hAnsi="Arial Narrow"/>
                <w:b/>
                <w:bCs/>
                <w:color w:val="000000" w:themeColor="text1"/>
                <w:sz w:val="22"/>
                <w:szCs w:val="22"/>
              </w:rPr>
              <w:t xml:space="preserve"> </w:t>
            </w:r>
          </w:p>
        </w:tc>
      </w:tr>
    </w:tbl>
    <w:p w14:paraId="2DE572A7" w14:textId="77777777" w:rsidR="00572AF6" w:rsidRPr="009E35ED" w:rsidRDefault="00572AF6" w:rsidP="00803F8C">
      <w:pPr>
        <w:ind w:left="0"/>
        <w:rPr>
          <w:rFonts w:ascii="Arial" w:hAnsi="Arial" w:cs="Arial"/>
          <w:color w:val="000000" w:themeColor="text1"/>
          <w:spacing w:val="-3"/>
          <w:sz w:val="22"/>
          <w:szCs w:val="22"/>
        </w:rPr>
      </w:pPr>
    </w:p>
    <w:p w14:paraId="12CF5646" w14:textId="2AAEE819" w:rsidR="007E1FA4" w:rsidRPr="009E35ED" w:rsidRDefault="0066516F" w:rsidP="00803F8C">
      <w:pPr>
        <w:ind w:left="0"/>
        <w:rPr>
          <w:rFonts w:ascii="Arial" w:hAnsi="Arial" w:cs="Arial"/>
          <w:color w:val="000000" w:themeColor="text1"/>
          <w:spacing w:val="-3"/>
          <w:sz w:val="22"/>
          <w:szCs w:val="22"/>
        </w:rPr>
      </w:pPr>
      <w:r w:rsidRPr="009E35ED">
        <w:rPr>
          <w:rFonts w:ascii="Arial" w:hAnsi="Arial" w:cs="Arial"/>
          <w:color w:val="000000" w:themeColor="text1"/>
          <w:spacing w:val="-3"/>
          <w:sz w:val="22"/>
          <w:szCs w:val="22"/>
        </w:rPr>
        <w:t>This account consists of leave benefits of employees. Employees retiring the following year are categorized as current provisions.</w:t>
      </w:r>
    </w:p>
    <w:p w14:paraId="5EBE8D3C" w14:textId="170C7D68" w:rsidR="00A36844" w:rsidRPr="009E35ED" w:rsidRDefault="00A36844" w:rsidP="00803F8C">
      <w:pPr>
        <w:ind w:left="0"/>
        <w:rPr>
          <w:rFonts w:ascii="Arial" w:hAnsi="Arial" w:cs="Arial"/>
          <w:color w:val="000000" w:themeColor="text1"/>
          <w:spacing w:val="-3"/>
          <w:sz w:val="22"/>
          <w:szCs w:val="22"/>
        </w:rPr>
      </w:pPr>
    </w:p>
    <w:p w14:paraId="08DAEA5E" w14:textId="77777777" w:rsidR="00A36844" w:rsidRPr="009E35ED" w:rsidRDefault="00A36844" w:rsidP="00803F8C">
      <w:pPr>
        <w:ind w:left="0"/>
        <w:rPr>
          <w:rFonts w:ascii="Arial" w:hAnsi="Arial" w:cs="Arial"/>
          <w:color w:val="000000" w:themeColor="text1"/>
          <w:spacing w:val="-3"/>
          <w:sz w:val="22"/>
          <w:szCs w:val="22"/>
        </w:rPr>
      </w:pPr>
    </w:p>
    <w:p w14:paraId="353C1015" w14:textId="21440D77" w:rsidR="00A93AAF" w:rsidRPr="009E35ED" w:rsidRDefault="00A93AAF" w:rsidP="00A93AAF">
      <w:pPr>
        <w:ind w:left="0"/>
        <w:rPr>
          <w:rFonts w:ascii="Arial" w:hAnsi="Arial" w:cs="Arial"/>
          <w:color w:val="000000" w:themeColor="text1"/>
          <w:sz w:val="22"/>
          <w:szCs w:val="22"/>
        </w:rPr>
      </w:pPr>
      <w:r w:rsidRPr="009E35ED">
        <w:rPr>
          <w:rFonts w:ascii="Arial" w:hAnsi="Arial" w:cs="Arial"/>
          <w:color w:val="000000" w:themeColor="text1"/>
          <w:sz w:val="22"/>
          <w:szCs w:val="22"/>
        </w:rPr>
        <w:t>In conformity with PAS No. 8, the Provisions account are restated as follows:</w:t>
      </w:r>
    </w:p>
    <w:p w14:paraId="5C41D5C3" w14:textId="77777777" w:rsidR="00A93AAF" w:rsidRPr="009E35ED" w:rsidRDefault="00A93AAF" w:rsidP="00A93AAF">
      <w:pPr>
        <w:rPr>
          <w:rFonts w:ascii="Arial" w:hAnsi="Arial" w:cs="Arial"/>
          <w:color w:val="000000" w:themeColor="text1"/>
          <w:sz w:val="22"/>
          <w:szCs w:val="22"/>
        </w:rPr>
      </w:pPr>
    </w:p>
    <w:tbl>
      <w:tblPr>
        <w:tblW w:w="8632" w:type="dxa"/>
        <w:tblLook w:val="04A0" w:firstRow="1" w:lastRow="0" w:firstColumn="1" w:lastColumn="0" w:noHBand="0" w:noVBand="1"/>
      </w:tblPr>
      <w:tblGrid>
        <w:gridCol w:w="6930"/>
        <w:gridCol w:w="1702"/>
      </w:tblGrid>
      <w:tr w:rsidR="00997F75" w:rsidRPr="009E35ED" w14:paraId="4DB6FA34" w14:textId="77777777" w:rsidTr="003A5476">
        <w:trPr>
          <w:trHeight w:val="278"/>
        </w:trPr>
        <w:tc>
          <w:tcPr>
            <w:tcW w:w="6930" w:type="dxa"/>
            <w:tcBorders>
              <w:top w:val="nil"/>
              <w:left w:val="nil"/>
              <w:bottom w:val="nil"/>
              <w:right w:val="nil"/>
            </w:tcBorders>
            <w:shd w:val="clear" w:color="auto" w:fill="auto"/>
            <w:noWrap/>
            <w:hideMark/>
          </w:tcPr>
          <w:p w14:paraId="4F80F7CA" w14:textId="2F71FAA8" w:rsidR="000106ED" w:rsidRPr="009E35ED" w:rsidRDefault="000106ED" w:rsidP="003A5476">
            <w:pPr>
              <w:ind w:left="-108"/>
              <w:jc w:val="left"/>
              <w:rPr>
                <w:rFonts w:ascii="Arial Narrow" w:hAnsi="Arial Narrow" w:cs="Arial"/>
                <w:color w:val="000000" w:themeColor="text1"/>
                <w:sz w:val="22"/>
                <w:szCs w:val="22"/>
                <w:lang w:val="en-PH" w:eastAsia="en-PH"/>
              </w:rPr>
            </w:pPr>
            <w:r w:rsidRPr="009E35ED">
              <w:rPr>
                <w:rFonts w:ascii="Arial Narrow" w:hAnsi="Arial Narrow"/>
                <w:color w:val="000000" w:themeColor="text1"/>
                <w:sz w:val="22"/>
                <w:szCs w:val="22"/>
              </w:rPr>
              <w:t xml:space="preserve">Unrestated </w:t>
            </w:r>
            <w:r w:rsidR="00DB4881">
              <w:rPr>
                <w:rFonts w:ascii="Arial Narrow" w:hAnsi="Arial Narrow"/>
                <w:color w:val="000000" w:themeColor="text1"/>
                <w:sz w:val="22"/>
                <w:szCs w:val="22"/>
              </w:rPr>
              <w:t>a</w:t>
            </w:r>
            <w:r w:rsidRPr="009E35ED">
              <w:rPr>
                <w:rFonts w:ascii="Arial Narrow" w:hAnsi="Arial Narrow"/>
                <w:color w:val="000000" w:themeColor="text1"/>
                <w:sz w:val="22"/>
                <w:szCs w:val="22"/>
              </w:rPr>
              <w:t>mount as of December 31, 2022</w:t>
            </w:r>
          </w:p>
        </w:tc>
        <w:tc>
          <w:tcPr>
            <w:tcW w:w="1702" w:type="dxa"/>
            <w:tcBorders>
              <w:top w:val="nil"/>
              <w:left w:val="nil"/>
              <w:bottom w:val="nil"/>
              <w:right w:val="nil"/>
            </w:tcBorders>
            <w:shd w:val="clear" w:color="auto" w:fill="auto"/>
            <w:noWrap/>
            <w:hideMark/>
          </w:tcPr>
          <w:p w14:paraId="21AEE5EA" w14:textId="14E9B6DB" w:rsidR="000106ED" w:rsidRPr="009E35ED" w:rsidRDefault="000106ED" w:rsidP="003A5476">
            <w:pPr>
              <w:ind w:left="0" w:right="-108"/>
              <w:jc w:val="right"/>
              <w:rPr>
                <w:rFonts w:ascii="Arial Narrow" w:hAnsi="Arial Narrow" w:cs="Arial"/>
                <w:color w:val="000000" w:themeColor="text1"/>
                <w:sz w:val="22"/>
                <w:szCs w:val="22"/>
                <w:lang w:val="en-PH" w:eastAsia="en-PH"/>
              </w:rPr>
            </w:pPr>
            <w:r w:rsidRPr="009E35ED">
              <w:rPr>
                <w:rFonts w:ascii="Arial Narrow" w:hAnsi="Arial Narrow"/>
                <w:color w:val="000000" w:themeColor="text1"/>
                <w:sz w:val="22"/>
                <w:szCs w:val="22"/>
              </w:rPr>
              <w:t xml:space="preserve"> 15,890,400 </w:t>
            </w:r>
          </w:p>
        </w:tc>
      </w:tr>
      <w:tr w:rsidR="00997F75" w:rsidRPr="009E35ED" w14:paraId="02EDE359" w14:textId="77777777" w:rsidTr="003A5476">
        <w:trPr>
          <w:trHeight w:val="278"/>
        </w:trPr>
        <w:tc>
          <w:tcPr>
            <w:tcW w:w="6930" w:type="dxa"/>
            <w:tcBorders>
              <w:top w:val="nil"/>
              <w:left w:val="nil"/>
              <w:bottom w:val="nil"/>
              <w:right w:val="nil"/>
            </w:tcBorders>
            <w:shd w:val="clear" w:color="auto" w:fill="auto"/>
            <w:noWrap/>
          </w:tcPr>
          <w:p w14:paraId="127CD5E3" w14:textId="6A95DEE2" w:rsidR="000106ED" w:rsidRPr="009E35ED" w:rsidRDefault="000106ED" w:rsidP="003A5476">
            <w:pPr>
              <w:ind w:left="-108"/>
              <w:jc w:val="left"/>
              <w:rPr>
                <w:rFonts w:ascii="Arial Narrow" w:hAnsi="Arial Narrow" w:cs="Arial"/>
                <w:color w:val="000000" w:themeColor="text1"/>
                <w:sz w:val="22"/>
                <w:szCs w:val="22"/>
              </w:rPr>
            </w:pPr>
            <w:r w:rsidRPr="009E35ED">
              <w:rPr>
                <w:rFonts w:ascii="Arial Narrow" w:hAnsi="Arial Narrow"/>
                <w:color w:val="000000" w:themeColor="text1"/>
                <w:sz w:val="22"/>
                <w:szCs w:val="22"/>
              </w:rPr>
              <w:t xml:space="preserve">Adjustment/Recording of </w:t>
            </w:r>
            <w:r w:rsidR="00DB4881">
              <w:rPr>
                <w:rFonts w:ascii="Arial Narrow" w:hAnsi="Arial Narrow"/>
                <w:color w:val="000000" w:themeColor="text1"/>
                <w:sz w:val="22"/>
                <w:szCs w:val="22"/>
              </w:rPr>
              <w:t>l</w:t>
            </w:r>
            <w:r w:rsidRPr="009E35ED">
              <w:rPr>
                <w:rFonts w:ascii="Arial Narrow" w:hAnsi="Arial Narrow"/>
                <w:color w:val="000000" w:themeColor="text1"/>
                <w:sz w:val="22"/>
                <w:szCs w:val="22"/>
              </w:rPr>
              <w:t xml:space="preserve">eave </w:t>
            </w:r>
            <w:r w:rsidR="00DB4881">
              <w:rPr>
                <w:rFonts w:ascii="Arial Narrow" w:hAnsi="Arial Narrow"/>
                <w:color w:val="000000" w:themeColor="text1"/>
                <w:sz w:val="22"/>
                <w:szCs w:val="22"/>
              </w:rPr>
              <w:t>b</w:t>
            </w:r>
            <w:r w:rsidRPr="009E35ED">
              <w:rPr>
                <w:rFonts w:ascii="Arial Narrow" w:hAnsi="Arial Narrow"/>
                <w:color w:val="000000" w:themeColor="text1"/>
                <w:sz w:val="22"/>
                <w:szCs w:val="22"/>
              </w:rPr>
              <w:t xml:space="preserve">enefits </w:t>
            </w:r>
            <w:r w:rsidR="00DB4881">
              <w:rPr>
                <w:rFonts w:ascii="Arial Narrow" w:hAnsi="Arial Narrow"/>
                <w:color w:val="000000" w:themeColor="text1"/>
                <w:sz w:val="22"/>
                <w:szCs w:val="22"/>
              </w:rPr>
              <w:t>p</w:t>
            </w:r>
            <w:r w:rsidRPr="009E35ED">
              <w:rPr>
                <w:rFonts w:ascii="Arial Narrow" w:hAnsi="Arial Narrow"/>
                <w:color w:val="000000" w:themeColor="text1"/>
                <w:sz w:val="22"/>
                <w:szCs w:val="22"/>
              </w:rPr>
              <w:t>ayable-</w:t>
            </w:r>
            <w:r w:rsidR="00DB4881">
              <w:rPr>
                <w:rFonts w:ascii="Arial Narrow" w:hAnsi="Arial Narrow"/>
                <w:color w:val="000000" w:themeColor="text1"/>
                <w:sz w:val="22"/>
                <w:szCs w:val="22"/>
              </w:rPr>
              <w:t>c</w:t>
            </w:r>
            <w:r w:rsidRPr="009E35ED">
              <w:rPr>
                <w:rFonts w:ascii="Arial Narrow" w:hAnsi="Arial Narrow"/>
                <w:color w:val="000000" w:themeColor="text1"/>
                <w:sz w:val="22"/>
                <w:szCs w:val="22"/>
              </w:rPr>
              <w:t>urrent</w:t>
            </w:r>
          </w:p>
        </w:tc>
        <w:tc>
          <w:tcPr>
            <w:tcW w:w="1702" w:type="dxa"/>
            <w:tcBorders>
              <w:top w:val="nil"/>
              <w:left w:val="nil"/>
              <w:bottom w:val="nil"/>
              <w:right w:val="nil"/>
            </w:tcBorders>
            <w:shd w:val="clear" w:color="auto" w:fill="auto"/>
            <w:noWrap/>
          </w:tcPr>
          <w:p w14:paraId="5A261B30" w14:textId="7EF0EDE4" w:rsidR="000106ED" w:rsidRPr="009E35ED" w:rsidRDefault="000106ED" w:rsidP="003A5476">
            <w:pPr>
              <w:ind w:left="0" w:right="-108"/>
              <w:jc w:val="right"/>
              <w:rPr>
                <w:rFonts w:ascii="Arial Narrow" w:hAnsi="Arial Narrow" w:cs="Arial"/>
                <w:color w:val="000000" w:themeColor="text1"/>
                <w:sz w:val="22"/>
                <w:szCs w:val="22"/>
              </w:rPr>
            </w:pPr>
            <w:r w:rsidRPr="009E35ED">
              <w:rPr>
                <w:rFonts w:ascii="Arial Narrow" w:hAnsi="Arial Narrow"/>
                <w:color w:val="000000" w:themeColor="text1"/>
                <w:sz w:val="22"/>
                <w:szCs w:val="22"/>
              </w:rPr>
              <w:t xml:space="preserve"> (148,383)</w:t>
            </w:r>
          </w:p>
        </w:tc>
      </w:tr>
      <w:tr w:rsidR="00997F75" w:rsidRPr="009E35ED" w14:paraId="3F84A3CC" w14:textId="77777777" w:rsidTr="003A5476">
        <w:trPr>
          <w:trHeight w:val="278"/>
        </w:trPr>
        <w:tc>
          <w:tcPr>
            <w:tcW w:w="6930" w:type="dxa"/>
            <w:tcBorders>
              <w:top w:val="nil"/>
              <w:left w:val="nil"/>
              <w:bottom w:val="nil"/>
              <w:right w:val="nil"/>
            </w:tcBorders>
            <w:shd w:val="clear" w:color="auto" w:fill="auto"/>
            <w:noWrap/>
            <w:hideMark/>
          </w:tcPr>
          <w:p w14:paraId="7FA97F91" w14:textId="65C9FFD6" w:rsidR="000106ED" w:rsidRPr="009E35ED" w:rsidRDefault="000106ED" w:rsidP="003A5476">
            <w:pPr>
              <w:ind w:left="-108"/>
              <w:jc w:val="left"/>
              <w:rPr>
                <w:rFonts w:ascii="Arial Narrow" w:hAnsi="Arial Narrow" w:cs="Arial"/>
                <w:color w:val="000000" w:themeColor="text1"/>
                <w:sz w:val="22"/>
                <w:szCs w:val="22"/>
                <w:lang w:val="en-PH" w:eastAsia="en-PH"/>
              </w:rPr>
            </w:pPr>
            <w:r w:rsidRPr="009E35ED">
              <w:rPr>
                <w:rFonts w:ascii="Arial Narrow" w:hAnsi="Arial Narrow"/>
                <w:color w:val="000000" w:themeColor="text1"/>
                <w:sz w:val="22"/>
                <w:szCs w:val="22"/>
              </w:rPr>
              <w:t xml:space="preserve">Adjustment/Recording of </w:t>
            </w:r>
            <w:r w:rsidR="00DB4881">
              <w:rPr>
                <w:rFonts w:ascii="Arial Narrow" w:hAnsi="Arial Narrow"/>
                <w:color w:val="000000" w:themeColor="text1"/>
                <w:sz w:val="22"/>
                <w:szCs w:val="22"/>
              </w:rPr>
              <w:t>o</w:t>
            </w:r>
            <w:r w:rsidRPr="009E35ED">
              <w:rPr>
                <w:rFonts w:ascii="Arial Narrow" w:hAnsi="Arial Narrow"/>
                <w:color w:val="000000" w:themeColor="text1"/>
                <w:sz w:val="22"/>
                <w:szCs w:val="22"/>
              </w:rPr>
              <w:t xml:space="preserve">ther </w:t>
            </w:r>
            <w:r w:rsidR="00DB4881">
              <w:rPr>
                <w:rFonts w:ascii="Arial Narrow" w:hAnsi="Arial Narrow"/>
                <w:color w:val="000000" w:themeColor="text1"/>
                <w:sz w:val="22"/>
                <w:szCs w:val="22"/>
              </w:rPr>
              <w:t>p</w:t>
            </w:r>
            <w:r w:rsidRPr="009E35ED">
              <w:rPr>
                <w:rFonts w:ascii="Arial Narrow" w:hAnsi="Arial Narrow"/>
                <w:color w:val="000000" w:themeColor="text1"/>
                <w:sz w:val="22"/>
                <w:szCs w:val="22"/>
              </w:rPr>
              <w:t>rovisions - STL</w:t>
            </w:r>
          </w:p>
        </w:tc>
        <w:tc>
          <w:tcPr>
            <w:tcW w:w="1702" w:type="dxa"/>
            <w:tcBorders>
              <w:top w:val="nil"/>
              <w:left w:val="nil"/>
              <w:bottom w:val="nil"/>
              <w:right w:val="nil"/>
            </w:tcBorders>
            <w:shd w:val="clear" w:color="auto" w:fill="auto"/>
            <w:noWrap/>
            <w:hideMark/>
          </w:tcPr>
          <w:p w14:paraId="248FE659" w14:textId="7BF0E2B4" w:rsidR="000106ED" w:rsidRPr="009E35ED" w:rsidRDefault="000106ED" w:rsidP="003A5476">
            <w:pPr>
              <w:ind w:left="0" w:right="-108"/>
              <w:jc w:val="right"/>
              <w:rPr>
                <w:rFonts w:ascii="Arial Narrow" w:hAnsi="Arial Narrow" w:cs="Arial"/>
                <w:color w:val="000000" w:themeColor="text1"/>
                <w:sz w:val="22"/>
                <w:szCs w:val="22"/>
                <w:lang w:val="en-PH" w:eastAsia="en-PH"/>
              </w:rPr>
            </w:pPr>
            <w:r w:rsidRPr="009E35ED">
              <w:rPr>
                <w:rFonts w:ascii="Arial Narrow" w:hAnsi="Arial Narrow"/>
                <w:color w:val="000000" w:themeColor="text1"/>
                <w:sz w:val="22"/>
                <w:szCs w:val="22"/>
              </w:rPr>
              <w:t xml:space="preserve"> 568,560,811 </w:t>
            </w:r>
          </w:p>
        </w:tc>
      </w:tr>
      <w:tr w:rsidR="00B867C7" w:rsidRPr="009E35ED" w14:paraId="0DAD0B17" w14:textId="77777777" w:rsidTr="003A5476">
        <w:trPr>
          <w:trHeight w:val="308"/>
        </w:trPr>
        <w:tc>
          <w:tcPr>
            <w:tcW w:w="6930" w:type="dxa"/>
            <w:tcBorders>
              <w:top w:val="single" w:sz="4" w:space="0" w:color="auto"/>
              <w:left w:val="nil"/>
              <w:bottom w:val="double" w:sz="6" w:space="0" w:color="auto"/>
              <w:right w:val="nil"/>
            </w:tcBorders>
            <w:shd w:val="clear" w:color="auto" w:fill="auto"/>
            <w:noWrap/>
            <w:hideMark/>
          </w:tcPr>
          <w:p w14:paraId="5E8C9D2D" w14:textId="2A8F5781" w:rsidR="000106ED" w:rsidRPr="009E35ED" w:rsidRDefault="000106ED" w:rsidP="003A5476">
            <w:pPr>
              <w:ind w:left="-108"/>
              <w:jc w:val="left"/>
              <w:rPr>
                <w:rFonts w:ascii="Arial Narrow" w:hAnsi="Arial Narrow" w:cs="Arial"/>
                <w:b/>
                <w:bCs/>
                <w:color w:val="000000" w:themeColor="text1"/>
                <w:sz w:val="22"/>
                <w:szCs w:val="22"/>
                <w:lang w:val="en-PH" w:eastAsia="en-PH"/>
              </w:rPr>
            </w:pPr>
            <w:r w:rsidRPr="009E35ED">
              <w:rPr>
                <w:rFonts w:ascii="Arial Narrow" w:hAnsi="Arial Narrow"/>
                <w:b/>
                <w:bCs/>
                <w:color w:val="000000" w:themeColor="text1"/>
                <w:sz w:val="22"/>
                <w:szCs w:val="22"/>
              </w:rPr>
              <w:t>Restated Amount as of December 31, 2022-Current Provisions</w:t>
            </w:r>
          </w:p>
        </w:tc>
        <w:tc>
          <w:tcPr>
            <w:tcW w:w="1702" w:type="dxa"/>
            <w:tcBorders>
              <w:top w:val="single" w:sz="4" w:space="0" w:color="auto"/>
              <w:left w:val="nil"/>
              <w:bottom w:val="double" w:sz="6" w:space="0" w:color="auto"/>
              <w:right w:val="nil"/>
            </w:tcBorders>
            <w:shd w:val="clear" w:color="auto" w:fill="auto"/>
            <w:noWrap/>
            <w:hideMark/>
          </w:tcPr>
          <w:p w14:paraId="5376BFE8" w14:textId="61D7C28E" w:rsidR="000106ED" w:rsidRPr="009E35ED" w:rsidRDefault="000106ED" w:rsidP="003A5476">
            <w:pPr>
              <w:ind w:left="0" w:right="-108"/>
              <w:jc w:val="right"/>
              <w:rPr>
                <w:rFonts w:ascii="Arial Narrow" w:hAnsi="Arial Narrow" w:cs="Arial"/>
                <w:b/>
                <w:bCs/>
                <w:color w:val="000000" w:themeColor="text1"/>
                <w:sz w:val="22"/>
                <w:szCs w:val="22"/>
                <w:lang w:val="en-PH" w:eastAsia="en-PH"/>
              </w:rPr>
            </w:pPr>
            <w:r w:rsidRPr="009E35ED">
              <w:rPr>
                <w:rFonts w:ascii="Arial Narrow" w:hAnsi="Arial Narrow"/>
                <w:b/>
                <w:bCs/>
                <w:color w:val="000000" w:themeColor="text1"/>
                <w:sz w:val="22"/>
                <w:szCs w:val="22"/>
              </w:rPr>
              <w:t xml:space="preserve"> 584,302,828 </w:t>
            </w:r>
          </w:p>
        </w:tc>
      </w:tr>
    </w:tbl>
    <w:p w14:paraId="16B28E1F" w14:textId="110AF6BF" w:rsidR="005E096F" w:rsidRPr="009E35ED" w:rsidRDefault="005E096F" w:rsidP="00803F8C">
      <w:pPr>
        <w:ind w:left="0"/>
        <w:rPr>
          <w:rFonts w:ascii="Arial" w:hAnsi="Arial" w:cs="Arial"/>
          <w:color w:val="000000" w:themeColor="text1"/>
          <w:spacing w:val="-3"/>
          <w:sz w:val="22"/>
          <w:szCs w:val="22"/>
        </w:rPr>
      </w:pPr>
    </w:p>
    <w:tbl>
      <w:tblPr>
        <w:tblW w:w="8632" w:type="dxa"/>
        <w:tblLook w:val="04A0" w:firstRow="1" w:lastRow="0" w:firstColumn="1" w:lastColumn="0" w:noHBand="0" w:noVBand="1"/>
      </w:tblPr>
      <w:tblGrid>
        <w:gridCol w:w="6930"/>
        <w:gridCol w:w="1702"/>
      </w:tblGrid>
      <w:tr w:rsidR="00997F75" w:rsidRPr="009E35ED" w14:paraId="709A2B1A" w14:textId="77777777" w:rsidTr="003A5476">
        <w:trPr>
          <w:trHeight w:val="278"/>
        </w:trPr>
        <w:tc>
          <w:tcPr>
            <w:tcW w:w="6930" w:type="dxa"/>
            <w:tcBorders>
              <w:top w:val="nil"/>
              <w:left w:val="nil"/>
              <w:bottom w:val="nil"/>
              <w:right w:val="nil"/>
            </w:tcBorders>
            <w:shd w:val="clear" w:color="auto" w:fill="auto"/>
            <w:noWrap/>
            <w:hideMark/>
          </w:tcPr>
          <w:p w14:paraId="1AB58A8D" w14:textId="1168946E" w:rsidR="00CA2F73" w:rsidRPr="009E35ED" w:rsidRDefault="00CA2F73" w:rsidP="003A5476">
            <w:pPr>
              <w:ind w:left="-108"/>
              <w:jc w:val="left"/>
              <w:rPr>
                <w:rFonts w:ascii="Arial Narrow" w:hAnsi="Arial Narrow" w:cs="Arial"/>
                <w:color w:val="000000" w:themeColor="text1"/>
                <w:sz w:val="22"/>
                <w:szCs w:val="22"/>
                <w:lang w:val="en-PH" w:eastAsia="en-PH"/>
              </w:rPr>
            </w:pPr>
            <w:r w:rsidRPr="009E35ED">
              <w:rPr>
                <w:rFonts w:ascii="Arial Narrow" w:hAnsi="Arial Narrow"/>
                <w:color w:val="000000" w:themeColor="text1"/>
                <w:sz w:val="22"/>
                <w:szCs w:val="22"/>
              </w:rPr>
              <w:t xml:space="preserve">Unrestated </w:t>
            </w:r>
            <w:r w:rsidR="00DB4881">
              <w:rPr>
                <w:rFonts w:ascii="Arial Narrow" w:hAnsi="Arial Narrow"/>
                <w:color w:val="000000" w:themeColor="text1"/>
                <w:sz w:val="22"/>
                <w:szCs w:val="22"/>
              </w:rPr>
              <w:t>a</w:t>
            </w:r>
            <w:r w:rsidRPr="009E35ED">
              <w:rPr>
                <w:rFonts w:ascii="Arial Narrow" w:hAnsi="Arial Narrow"/>
                <w:color w:val="000000" w:themeColor="text1"/>
                <w:sz w:val="22"/>
                <w:szCs w:val="22"/>
              </w:rPr>
              <w:t>mount as of December 31, 2022</w:t>
            </w:r>
          </w:p>
        </w:tc>
        <w:tc>
          <w:tcPr>
            <w:tcW w:w="1702" w:type="dxa"/>
            <w:tcBorders>
              <w:top w:val="nil"/>
              <w:left w:val="nil"/>
              <w:bottom w:val="nil"/>
              <w:right w:val="nil"/>
            </w:tcBorders>
            <w:shd w:val="clear" w:color="auto" w:fill="auto"/>
            <w:noWrap/>
            <w:hideMark/>
          </w:tcPr>
          <w:p w14:paraId="4190F1D4" w14:textId="7A73CBE7" w:rsidR="00CA2F73" w:rsidRPr="009E35ED" w:rsidRDefault="00CA2F73" w:rsidP="003A5476">
            <w:pPr>
              <w:ind w:left="0" w:right="-116"/>
              <w:jc w:val="right"/>
              <w:rPr>
                <w:rFonts w:ascii="Arial Narrow" w:hAnsi="Arial Narrow" w:cs="Arial"/>
                <w:color w:val="000000" w:themeColor="text1"/>
                <w:sz w:val="22"/>
                <w:szCs w:val="22"/>
                <w:lang w:val="en-PH" w:eastAsia="en-PH"/>
              </w:rPr>
            </w:pPr>
            <w:r w:rsidRPr="009E35ED">
              <w:rPr>
                <w:rFonts w:ascii="Arial Narrow" w:hAnsi="Arial Narrow"/>
                <w:color w:val="000000" w:themeColor="text1"/>
                <w:sz w:val="22"/>
                <w:szCs w:val="22"/>
              </w:rPr>
              <w:t xml:space="preserve"> 241,230,813 </w:t>
            </w:r>
          </w:p>
        </w:tc>
      </w:tr>
      <w:tr w:rsidR="00997F75" w:rsidRPr="009E35ED" w14:paraId="43F90CDA" w14:textId="77777777" w:rsidTr="003A5476">
        <w:trPr>
          <w:trHeight w:val="278"/>
        </w:trPr>
        <w:tc>
          <w:tcPr>
            <w:tcW w:w="6930" w:type="dxa"/>
            <w:tcBorders>
              <w:top w:val="nil"/>
              <w:left w:val="nil"/>
              <w:bottom w:val="nil"/>
              <w:right w:val="nil"/>
            </w:tcBorders>
            <w:shd w:val="clear" w:color="auto" w:fill="auto"/>
            <w:noWrap/>
            <w:hideMark/>
          </w:tcPr>
          <w:p w14:paraId="65748386" w14:textId="25E9E10D" w:rsidR="00CA2F73" w:rsidRPr="009E35ED" w:rsidRDefault="00CA2F73" w:rsidP="003A5476">
            <w:pPr>
              <w:ind w:left="-108"/>
              <w:jc w:val="left"/>
              <w:rPr>
                <w:rFonts w:ascii="Arial Narrow" w:hAnsi="Arial Narrow" w:cs="Arial"/>
                <w:color w:val="000000" w:themeColor="text1"/>
                <w:sz w:val="22"/>
                <w:szCs w:val="22"/>
                <w:lang w:val="en-PH" w:eastAsia="en-PH"/>
              </w:rPr>
            </w:pPr>
            <w:r w:rsidRPr="009E35ED">
              <w:rPr>
                <w:rFonts w:ascii="Arial Narrow" w:hAnsi="Arial Narrow"/>
                <w:color w:val="000000" w:themeColor="text1"/>
                <w:sz w:val="22"/>
                <w:szCs w:val="22"/>
              </w:rPr>
              <w:t xml:space="preserve">Adjustment/Recording of </w:t>
            </w:r>
            <w:r w:rsidR="00DB4881">
              <w:rPr>
                <w:rFonts w:ascii="Arial Narrow" w:hAnsi="Arial Narrow"/>
                <w:color w:val="000000" w:themeColor="text1"/>
                <w:sz w:val="22"/>
                <w:szCs w:val="22"/>
              </w:rPr>
              <w:t>l</w:t>
            </w:r>
            <w:r w:rsidRPr="009E35ED">
              <w:rPr>
                <w:rFonts w:ascii="Arial Narrow" w:hAnsi="Arial Narrow"/>
                <w:color w:val="000000" w:themeColor="text1"/>
                <w:sz w:val="22"/>
                <w:szCs w:val="22"/>
              </w:rPr>
              <w:t xml:space="preserve">eave </w:t>
            </w:r>
            <w:r w:rsidR="00DB4881">
              <w:rPr>
                <w:rFonts w:ascii="Arial Narrow" w:hAnsi="Arial Narrow"/>
                <w:color w:val="000000" w:themeColor="text1"/>
                <w:sz w:val="22"/>
                <w:szCs w:val="22"/>
              </w:rPr>
              <w:t>b</w:t>
            </w:r>
            <w:r w:rsidRPr="009E35ED">
              <w:rPr>
                <w:rFonts w:ascii="Arial Narrow" w:hAnsi="Arial Narrow"/>
                <w:color w:val="000000" w:themeColor="text1"/>
                <w:sz w:val="22"/>
                <w:szCs w:val="22"/>
              </w:rPr>
              <w:t>enefits</w:t>
            </w:r>
            <w:r w:rsidR="00DB4881">
              <w:rPr>
                <w:rFonts w:ascii="Arial Narrow" w:hAnsi="Arial Narrow"/>
                <w:color w:val="000000" w:themeColor="text1"/>
                <w:sz w:val="22"/>
                <w:szCs w:val="22"/>
              </w:rPr>
              <w:t xml:space="preserve"> p</w:t>
            </w:r>
            <w:r w:rsidRPr="009E35ED">
              <w:rPr>
                <w:rFonts w:ascii="Arial Narrow" w:hAnsi="Arial Narrow"/>
                <w:color w:val="000000" w:themeColor="text1"/>
                <w:sz w:val="22"/>
                <w:szCs w:val="22"/>
              </w:rPr>
              <w:t>ayable-</w:t>
            </w:r>
            <w:r w:rsidR="00DB4881">
              <w:rPr>
                <w:rFonts w:ascii="Arial Narrow" w:hAnsi="Arial Narrow"/>
                <w:color w:val="000000" w:themeColor="text1"/>
                <w:sz w:val="22"/>
                <w:szCs w:val="22"/>
              </w:rPr>
              <w:t>n</w:t>
            </w:r>
            <w:r w:rsidRPr="009E35ED">
              <w:rPr>
                <w:rFonts w:ascii="Arial Narrow" w:hAnsi="Arial Narrow"/>
                <w:color w:val="000000" w:themeColor="text1"/>
                <w:sz w:val="22"/>
                <w:szCs w:val="22"/>
              </w:rPr>
              <w:t xml:space="preserve">on - </w:t>
            </w:r>
            <w:r w:rsidR="00DB4881">
              <w:rPr>
                <w:rFonts w:ascii="Arial Narrow" w:hAnsi="Arial Narrow"/>
                <w:color w:val="000000" w:themeColor="text1"/>
                <w:sz w:val="22"/>
                <w:szCs w:val="22"/>
              </w:rPr>
              <w:t>c</w:t>
            </w:r>
            <w:r w:rsidRPr="009E35ED">
              <w:rPr>
                <w:rFonts w:ascii="Arial Narrow" w:hAnsi="Arial Narrow"/>
                <w:color w:val="000000" w:themeColor="text1"/>
                <w:sz w:val="22"/>
                <w:szCs w:val="22"/>
              </w:rPr>
              <w:t>urrent</w:t>
            </w:r>
          </w:p>
        </w:tc>
        <w:tc>
          <w:tcPr>
            <w:tcW w:w="1702" w:type="dxa"/>
            <w:tcBorders>
              <w:top w:val="nil"/>
              <w:left w:val="nil"/>
              <w:bottom w:val="nil"/>
              <w:right w:val="nil"/>
            </w:tcBorders>
            <w:shd w:val="clear" w:color="auto" w:fill="auto"/>
            <w:noWrap/>
            <w:hideMark/>
          </w:tcPr>
          <w:p w14:paraId="41E687EB" w14:textId="4848302C" w:rsidR="00CA2F73" w:rsidRPr="009E35ED" w:rsidRDefault="00B867C7" w:rsidP="003A5476">
            <w:pPr>
              <w:ind w:left="0" w:right="-116"/>
              <w:jc w:val="right"/>
              <w:rPr>
                <w:rFonts w:ascii="Arial Narrow" w:hAnsi="Arial Narrow" w:cs="Arial"/>
                <w:color w:val="000000" w:themeColor="text1"/>
                <w:sz w:val="22"/>
                <w:szCs w:val="22"/>
                <w:lang w:val="en-PH" w:eastAsia="en-PH"/>
              </w:rPr>
            </w:pPr>
            <w:r w:rsidRPr="009E35ED">
              <w:rPr>
                <w:rFonts w:ascii="Arial Narrow" w:hAnsi="Arial Narrow"/>
                <w:color w:val="000000" w:themeColor="text1"/>
                <w:sz w:val="22"/>
                <w:szCs w:val="22"/>
              </w:rPr>
              <w:t>(</w:t>
            </w:r>
            <w:r w:rsidR="00CA2F73" w:rsidRPr="009E35ED">
              <w:rPr>
                <w:rFonts w:ascii="Arial Narrow" w:hAnsi="Arial Narrow"/>
                <w:color w:val="000000" w:themeColor="text1"/>
                <w:sz w:val="22"/>
                <w:szCs w:val="22"/>
              </w:rPr>
              <w:t>41,273</w:t>
            </w:r>
            <w:r w:rsidRPr="009E35ED">
              <w:rPr>
                <w:rFonts w:ascii="Arial Narrow" w:hAnsi="Arial Narrow"/>
                <w:color w:val="000000" w:themeColor="text1"/>
                <w:sz w:val="22"/>
                <w:szCs w:val="22"/>
              </w:rPr>
              <w:t>)</w:t>
            </w:r>
            <w:r w:rsidR="00CA2F73" w:rsidRPr="009E35ED">
              <w:rPr>
                <w:rFonts w:ascii="Arial Narrow" w:hAnsi="Arial Narrow"/>
                <w:color w:val="000000" w:themeColor="text1"/>
                <w:sz w:val="22"/>
                <w:szCs w:val="22"/>
              </w:rPr>
              <w:t xml:space="preserve"> </w:t>
            </w:r>
          </w:p>
        </w:tc>
      </w:tr>
      <w:tr w:rsidR="00B867C7" w:rsidRPr="009E35ED" w14:paraId="6C7ABF16" w14:textId="77777777" w:rsidTr="003A5476">
        <w:trPr>
          <w:trHeight w:val="99"/>
        </w:trPr>
        <w:tc>
          <w:tcPr>
            <w:tcW w:w="6930" w:type="dxa"/>
            <w:tcBorders>
              <w:top w:val="single" w:sz="4" w:space="0" w:color="auto"/>
              <w:left w:val="nil"/>
              <w:bottom w:val="double" w:sz="6" w:space="0" w:color="auto"/>
              <w:right w:val="nil"/>
            </w:tcBorders>
            <w:shd w:val="clear" w:color="auto" w:fill="auto"/>
            <w:noWrap/>
            <w:hideMark/>
          </w:tcPr>
          <w:p w14:paraId="446ECFCD" w14:textId="5EA62B90" w:rsidR="00CA2F73" w:rsidRPr="009E35ED" w:rsidRDefault="00CA2F73" w:rsidP="003A5476">
            <w:pPr>
              <w:ind w:left="-108"/>
              <w:jc w:val="left"/>
              <w:rPr>
                <w:rFonts w:ascii="Arial Narrow" w:hAnsi="Arial Narrow" w:cs="Arial"/>
                <w:b/>
                <w:bCs/>
                <w:color w:val="000000" w:themeColor="text1"/>
                <w:sz w:val="22"/>
                <w:szCs w:val="22"/>
                <w:lang w:val="en-PH" w:eastAsia="en-PH"/>
              </w:rPr>
            </w:pPr>
            <w:r w:rsidRPr="009E35ED">
              <w:rPr>
                <w:rFonts w:ascii="Arial Narrow" w:hAnsi="Arial Narrow"/>
                <w:b/>
                <w:bCs/>
                <w:color w:val="000000" w:themeColor="text1"/>
                <w:sz w:val="22"/>
                <w:szCs w:val="22"/>
              </w:rPr>
              <w:t>Restated Amount as of December 31, 2022-Non - Current Provisions</w:t>
            </w:r>
          </w:p>
        </w:tc>
        <w:tc>
          <w:tcPr>
            <w:tcW w:w="1702" w:type="dxa"/>
            <w:tcBorders>
              <w:top w:val="single" w:sz="4" w:space="0" w:color="auto"/>
              <w:left w:val="nil"/>
              <w:bottom w:val="double" w:sz="6" w:space="0" w:color="auto"/>
              <w:right w:val="nil"/>
            </w:tcBorders>
            <w:shd w:val="clear" w:color="auto" w:fill="auto"/>
            <w:noWrap/>
            <w:hideMark/>
          </w:tcPr>
          <w:p w14:paraId="6A26C5AF" w14:textId="2B244908" w:rsidR="00CA2F73" w:rsidRPr="009E35ED" w:rsidRDefault="00CA2F73" w:rsidP="003A5476">
            <w:pPr>
              <w:ind w:left="0" w:right="-116"/>
              <w:jc w:val="right"/>
              <w:rPr>
                <w:rFonts w:ascii="Arial Narrow" w:hAnsi="Arial Narrow" w:cs="Arial"/>
                <w:b/>
                <w:bCs/>
                <w:color w:val="000000" w:themeColor="text1"/>
                <w:sz w:val="22"/>
                <w:szCs w:val="22"/>
                <w:lang w:val="en-PH" w:eastAsia="en-PH"/>
              </w:rPr>
            </w:pPr>
            <w:r w:rsidRPr="009E35ED">
              <w:rPr>
                <w:rFonts w:ascii="Arial Narrow" w:hAnsi="Arial Narrow"/>
                <w:b/>
                <w:bCs/>
                <w:color w:val="000000" w:themeColor="text1"/>
                <w:sz w:val="22"/>
                <w:szCs w:val="22"/>
              </w:rPr>
              <w:t xml:space="preserve"> 241,189,540 </w:t>
            </w:r>
          </w:p>
        </w:tc>
      </w:tr>
    </w:tbl>
    <w:p w14:paraId="73D91AD6" w14:textId="64539807" w:rsidR="00A93AAF" w:rsidRPr="009E35ED" w:rsidRDefault="00A93AAF" w:rsidP="00803F8C">
      <w:pPr>
        <w:ind w:left="0"/>
        <w:rPr>
          <w:rFonts w:ascii="Arial" w:hAnsi="Arial" w:cs="Arial"/>
          <w:color w:val="000000" w:themeColor="text1"/>
          <w:spacing w:val="-3"/>
          <w:sz w:val="22"/>
          <w:szCs w:val="22"/>
        </w:rPr>
      </w:pPr>
    </w:p>
    <w:p w14:paraId="65A86494" w14:textId="77777777" w:rsidR="006E34FF" w:rsidRPr="009E35ED" w:rsidRDefault="0066516F" w:rsidP="001C371F">
      <w:pPr>
        <w:pStyle w:val="ListParagraph"/>
        <w:numPr>
          <w:ilvl w:val="0"/>
          <w:numId w:val="28"/>
        </w:numPr>
        <w:ind w:left="270" w:hanging="270"/>
        <w:rPr>
          <w:rFonts w:ascii="Arial" w:hAnsi="Arial" w:cs="Arial"/>
          <w:b/>
          <w:color w:val="000000" w:themeColor="text1"/>
          <w:sz w:val="22"/>
          <w:szCs w:val="22"/>
        </w:rPr>
      </w:pPr>
      <w:r w:rsidRPr="009E35ED">
        <w:rPr>
          <w:rFonts w:ascii="Arial" w:hAnsi="Arial" w:cs="Arial"/>
          <w:b/>
          <w:color w:val="000000" w:themeColor="text1"/>
          <w:sz w:val="22"/>
          <w:szCs w:val="22"/>
        </w:rPr>
        <w:t>OTHER CURRENT LIABILITIES</w:t>
      </w:r>
    </w:p>
    <w:p w14:paraId="08277CCD" w14:textId="77777777" w:rsidR="006E34FF" w:rsidRPr="009E35ED" w:rsidRDefault="006E34FF" w:rsidP="00803F8C">
      <w:pPr>
        <w:rPr>
          <w:rFonts w:ascii="Arial" w:hAnsi="Arial" w:cs="Arial"/>
          <w:color w:val="000000" w:themeColor="text1"/>
          <w:sz w:val="22"/>
          <w:szCs w:val="22"/>
        </w:rPr>
      </w:pPr>
    </w:p>
    <w:p w14:paraId="53A9B88E" w14:textId="4BE5EAB2" w:rsidR="005C01F0" w:rsidRPr="009E35ED" w:rsidRDefault="006E34FF" w:rsidP="00803F8C">
      <w:pPr>
        <w:ind w:left="0"/>
        <w:rPr>
          <w:rFonts w:ascii="Arial" w:hAnsi="Arial" w:cs="Arial"/>
          <w:color w:val="000000" w:themeColor="text1"/>
          <w:sz w:val="22"/>
          <w:szCs w:val="22"/>
        </w:rPr>
      </w:pPr>
      <w:r w:rsidRPr="009E35ED">
        <w:rPr>
          <w:rFonts w:ascii="Arial" w:hAnsi="Arial" w:cs="Arial"/>
          <w:color w:val="000000" w:themeColor="text1"/>
          <w:sz w:val="22"/>
          <w:szCs w:val="22"/>
        </w:rPr>
        <w:t>This account is composed of the following:</w:t>
      </w:r>
    </w:p>
    <w:tbl>
      <w:tblPr>
        <w:tblW w:w="8777" w:type="dxa"/>
        <w:tblLayout w:type="fixed"/>
        <w:tblLook w:val="04A0" w:firstRow="1" w:lastRow="0" w:firstColumn="1" w:lastColumn="0" w:noHBand="0" w:noVBand="1"/>
      </w:tblPr>
      <w:tblGrid>
        <w:gridCol w:w="4950"/>
        <w:gridCol w:w="1843"/>
        <w:gridCol w:w="1984"/>
      </w:tblGrid>
      <w:tr w:rsidR="00997F75" w:rsidRPr="009E35ED" w14:paraId="726D1ACB" w14:textId="77777777" w:rsidTr="00B90388">
        <w:trPr>
          <w:trHeight w:val="228"/>
          <w:tblHeader/>
        </w:trPr>
        <w:tc>
          <w:tcPr>
            <w:tcW w:w="4950" w:type="dxa"/>
            <w:tcBorders>
              <w:top w:val="single" w:sz="4" w:space="0" w:color="auto"/>
              <w:left w:val="nil"/>
              <w:bottom w:val="nil"/>
              <w:right w:val="nil"/>
            </w:tcBorders>
            <w:shd w:val="clear" w:color="auto" w:fill="auto"/>
            <w:noWrap/>
            <w:vAlign w:val="bottom"/>
            <w:hideMark/>
          </w:tcPr>
          <w:p w14:paraId="36E6F82D" w14:textId="77777777" w:rsidR="00FF2800" w:rsidRPr="009E35ED" w:rsidRDefault="00FF2800" w:rsidP="00FF2800">
            <w:pPr>
              <w:ind w:left="0"/>
              <w:jc w:val="left"/>
              <w:rPr>
                <w:rFonts w:ascii="Arial Narrow" w:hAnsi="Arial Narrow"/>
                <w:color w:val="000000" w:themeColor="text1"/>
                <w:sz w:val="22"/>
                <w:szCs w:val="22"/>
              </w:rPr>
            </w:pPr>
          </w:p>
        </w:tc>
        <w:tc>
          <w:tcPr>
            <w:tcW w:w="1843" w:type="dxa"/>
            <w:tcBorders>
              <w:top w:val="single" w:sz="4" w:space="0" w:color="auto"/>
              <w:left w:val="nil"/>
              <w:bottom w:val="nil"/>
              <w:right w:val="nil"/>
            </w:tcBorders>
            <w:shd w:val="clear" w:color="auto" w:fill="auto"/>
            <w:noWrap/>
            <w:vAlign w:val="bottom"/>
            <w:hideMark/>
          </w:tcPr>
          <w:p w14:paraId="55CB949D" w14:textId="4E635534" w:rsidR="00FF2800" w:rsidRPr="009E35ED" w:rsidRDefault="00FF2800" w:rsidP="00FF2800">
            <w:pPr>
              <w:ind w:left="0"/>
              <w:jc w:val="right"/>
              <w:rPr>
                <w:rFonts w:ascii="Arial Narrow" w:hAnsi="Arial Narrow" w:cs="Calibri"/>
                <w:b/>
                <w:bCs/>
                <w:color w:val="000000" w:themeColor="text1"/>
                <w:sz w:val="22"/>
                <w:szCs w:val="22"/>
              </w:rPr>
            </w:pPr>
          </w:p>
        </w:tc>
        <w:tc>
          <w:tcPr>
            <w:tcW w:w="1984" w:type="dxa"/>
            <w:tcBorders>
              <w:top w:val="single" w:sz="4" w:space="0" w:color="auto"/>
              <w:left w:val="nil"/>
              <w:bottom w:val="nil"/>
              <w:right w:val="nil"/>
            </w:tcBorders>
            <w:shd w:val="clear" w:color="auto" w:fill="auto"/>
            <w:noWrap/>
            <w:vAlign w:val="bottom"/>
            <w:hideMark/>
          </w:tcPr>
          <w:p w14:paraId="7E1122B3" w14:textId="3C76124F" w:rsidR="00FF2800" w:rsidRPr="009E35ED" w:rsidRDefault="0067251D" w:rsidP="003A5476">
            <w:pPr>
              <w:ind w:left="0" w:right="-61"/>
              <w:jc w:val="right"/>
              <w:rPr>
                <w:rFonts w:ascii="Arial Narrow" w:hAnsi="Arial Narrow" w:cs="Calibri"/>
                <w:b/>
                <w:bCs/>
                <w:color w:val="000000" w:themeColor="text1"/>
                <w:sz w:val="22"/>
                <w:szCs w:val="22"/>
              </w:rPr>
            </w:pPr>
            <w:r w:rsidRPr="009E35ED">
              <w:rPr>
                <w:rFonts w:ascii="Arial Narrow" w:hAnsi="Arial Narrow" w:cs="Calibri"/>
                <w:b/>
                <w:bCs/>
                <w:color w:val="000000" w:themeColor="text1"/>
                <w:sz w:val="22"/>
                <w:szCs w:val="22"/>
              </w:rPr>
              <w:t>202</w:t>
            </w:r>
            <w:r w:rsidR="009F04A8" w:rsidRPr="009E35ED">
              <w:rPr>
                <w:rFonts w:ascii="Arial Narrow" w:hAnsi="Arial Narrow" w:cs="Calibri"/>
                <w:b/>
                <w:bCs/>
                <w:color w:val="000000" w:themeColor="text1"/>
                <w:sz w:val="22"/>
                <w:szCs w:val="22"/>
              </w:rPr>
              <w:t>2</w:t>
            </w:r>
          </w:p>
        </w:tc>
      </w:tr>
      <w:tr w:rsidR="00997F75" w:rsidRPr="009E35ED" w14:paraId="588CBE2F" w14:textId="77777777" w:rsidTr="00B90388">
        <w:trPr>
          <w:trHeight w:val="256"/>
          <w:tblHeader/>
        </w:trPr>
        <w:tc>
          <w:tcPr>
            <w:tcW w:w="4950" w:type="dxa"/>
            <w:tcBorders>
              <w:top w:val="nil"/>
              <w:left w:val="nil"/>
              <w:bottom w:val="single" w:sz="4" w:space="0" w:color="auto"/>
              <w:right w:val="nil"/>
            </w:tcBorders>
            <w:shd w:val="clear" w:color="auto" w:fill="auto"/>
            <w:noWrap/>
            <w:vAlign w:val="bottom"/>
            <w:hideMark/>
          </w:tcPr>
          <w:p w14:paraId="5EA9E1FE" w14:textId="5121535B" w:rsidR="00FF2800" w:rsidRPr="009E35ED" w:rsidRDefault="00FF2800" w:rsidP="00FF2800">
            <w:pPr>
              <w:ind w:left="0"/>
              <w:jc w:val="left"/>
              <w:rPr>
                <w:rFonts w:ascii="Arial Narrow" w:hAnsi="Arial Narrow" w:cs="Calibri"/>
                <w:color w:val="000000" w:themeColor="text1"/>
                <w:sz w:val="22"/>
                <w:szCs w:val="22"/>
              </w:rPr>
            </w:pPr>
          </w:p>
        </w:tc>
        <w:tc>
          <w:tcPr>
            <w:tcW w:w="1843" w:type="dxa"/>
            <w:tcBorders>
              <w:top w:val="nil"/>
              <w:left w:val="nil"/>
              <w:bottom w:val="single" w:sz="4" w:space="0" w:color="auto"/>
              <w:right w:val="nil"/>
            </w:tcBorders>
            <w:shd w:val="clear" w:color="auto" w:fill="auto"/>
            <w:noWrap/>
            <w:vAlign w:val="bottom"/>
            <w:hideMark/>
          </w:tcPr>
          <w:p w14:paraId="364FBE0B" w14:textId="640FB039" w:rsidR="00FF2800" w:rsidRPr="009E35ED" w:rsidRDefault="00E17FF0" w:rsidP="00E17FF0">
            <w:pPr>
              <w:ind w:left="0"/>
              <w:jc w:val="right"/>
              <w:rPr>
                <w:rFonts w:ascii="Arial Narrow" w:hAnsi="Arial Narrow" w:cs="Calibri"/>
                <w:b/>
                <w:color w:val="000000" w:themeColor="text1"/>
                <w:sz w:val="22"/>
                <w:szCs w:val="22"/>
              </w:rPr>
            </w:pPr>
            <w:r w:rsidRPr="009E35ED">
              <w:rPr>
                <w:rFonts w:ascii="Arial Narrow" w:hAnsi="Arial Narrow" w:cs="Calibri"/>
                <w:b/>
                <w:color w:val="000000" w:themeColor="text1"/>
                <w:sz w:val="22"/>
                <w:szCs w:val="22"/>
              </w:rPr>
              <w:t>202</w:t>
            </w:r>
            <w:r w:rsidR="009F04A8" w:rsidRPr="009E35ED">
              <w:rPr>
                <w:rFonts w:ascii="Arial Narrow" w:hAnsi="Arial Narrow" w:cs="Calibri"/>
                <w:b/>
                <w:color w:val="000000" w:themeColor="text1"/>
                <w:sz w:val="22"/>
                <w:szCs w:val="22"/>
              </w:rPr>
              <w:t>3</w:t>
            </w:r>
          </w:p>
        </w:tc>
        <w:tc>
          <w:tcPr>
            <w:tcW w:w="1984" w:type="dxa"/>
            <w:tcBorders>
              <w:top w:val="nil"/>
              <w:left w:val="nil"/>
              <w:bottom w:val="single" w:sz="4" w:space="0" w:color="auto"/>
              <w:right w:val="nil"/>
            </w:tcBorders>
            <w:shd w:val="clear" w:color="auto" w:fill="auto"/>
            <w:noWrap/>
            <w:vAlign w:val="bottom"/>
            <w:hideMark/>
          </w:tcPr>
          <w:p w14:paraId="2C3A6DA3" w14:textId="2CB7F32C" w:rsidR="00FF2800" w:rsidRPr="009E35ED" w:rsidRDefault="00A93AAF" w:rsidP="003A5476">
            <w:pPr>
              <w:ind w:left="0" w:right="-61"/>
              <w:jc w:val="right"/>
              <w:rPr>
                <w:rFonts w:ascii="Arial Narrow" w:hAnsi="Arial Narrow" w:cs="Calibri"/>
                <w:b/>
                <w:bCs/>
                <w:color w:val="000000" w:themeColor="text1"/>
                <w:sz w:val="22"/>
                <w:szCs w:val="22"/>
              </w:rPr>
            </w:pPr>
            <w:r w:rsidRPr="009E35ED">
              <w:rPr>
                <w:rFonts w:ascii="Arial Narrow" w:hAnsi="Arial Narrow" w:cs="Calibri"/>
                <w:b/>
                <w:bCs/>
                <w:color w:val="000000" w:themeColor="text1"/>
                <w:sz w:val="22"/>
                <w:szCs w:val="22"/>
              </w:rPr>
              <w:t>As Restated</w:t>
            </w:r>
          </w:p>
        </w:tc>
      </w:tr>
      <w:tr w:rsidR="00997F75" w:rsidRPr="009E35ED" w14:paraId="3E409958" w14:textId="77777777" w:rsidTr="003A5476">
        <w:trPr>
          <w:trHeight w:val="152"/>
        </w:trPr>
        <w:tc>
          <w:tcPr>
            <w:tcW w:w="4950" w:type="dxa"/>
            <w:tcBorders>
              <w:top w:val="nil"/>
              <w:left w:val="nil"/>
              <w:bottom w:val="single" w:sz="4" w:space="0" w:color="auto"/>
              <w:right w:val="nil"/>
            </w:tcBorders>
            <w:shd w:val="clear" w:color="auto" w:fill="auto"/>
            <w:vAlign w:val="bottom"/>
            <w:hideMark/>
          </w:tcPr>
          <w:p w14:paraId="2A690537" w14:textId="186B7915" w:rsidR="00F17598" w:rsidRPr="009E35ED" w:rsidRDefault="00F17598">
            <w:pPr>
              <w:ind w:left="-108"/>
              <w:jc w:val="left"/>
              <w:rPr>
                <w:rFonts w:ascii="Arial Narrow" w:hAnsi="Arial Narrow" w:cs="Calibri"/>
                <w:b/>
                <w:bCs/>
                <w:color w:val="000000" w:themeColor="text1"/>
                <w:sz w:val="22"/>
                <w:szCs w:val="22"/>
              </w:rPr>
            </w:pPr>
            <w:r w:rsidRPr="009E35ED">
              <w:rPr>
                <w:rFonts w:ascii="Arial Narrow" w:hAnsi="Arial Narrow" w:cs="Calibri"/>
                <w:b/>
                <w:bCs/>
                <w:color w:val="000000" w:themeColor="text1"/>
                <w:sz w:val="22"/>
                <w:szCs w:val="22"/>
              </w:rPr>
              <w:t xml:space="preserve">Dividends </w:t>
            </w:r>
            <w:r w:rsidR="00DB4881">
              <w:rPr>
                <w:rFonts w:ascii="Arial Narrow" w:hAnsi="Arial Narrow" w:cs="Calibri"/>
                <w:b/>
                <w:bCs/>
                <w:color w:val="000000" w:themeColor="text1"/>
                <w:sz w:val="22"/>
                <w:szCs w:val="22"/>
              </w:rPr>
              <w:t>p</w:t>
            </w:r>
            <w:r w:rsidRPr="009E35ED">
              <w:rPr>
                <w:rFonts w:ascii="Arial Narrow" w:hAnsi="Arial Narrow" w:cs="Calibri"/>
                <w:b/>
                <w:bCs/>
                <w:color w:val="000000" w:themeColor="text1"/>
                <w:sz w:val="22"/>
                <w:szCs w:val="22"/>
              </w:rPr>
              <w:t>ayable</w:t>
            </w:r>
          </w:p>
        </w:tc>
        <w:tc>
          <w:tcPr>
            <w:tcW w:w="1843" w:type="dxa"/>
            <w:tcBorders>
              <w:top w:val="nil"/>
              <w:left w:val="nil"/>
              <w:bottom w:val="single" w:sz="4" w:space="0" w:color="auto"/>
              <w:right w:val="nil"/>
            </w:tcBorders>
            <w:shd w:val="clear" w:color="auto" w:fill="auto"/>
          </w:tcPr>
          <w:p w14:paraId="19F9D74A" w14:textId="07711D2A" w:rsidR="00F17598" w:rsidRPr="009E35ED" w:rsidRDefault="00D7786E" w:rsidP="00B04ABA">
            <w:pPr>
              <w:ind w:left="0"/>
              <w:jc w:val="right"/>
              <w:rPr>
                <w:rFonts w:ascii="Arial Narrow" w:hAnsi="Arial Narrow" w:cs="Calibri"/>
                <w:b/>
                <w:bCs/>
                <w:color w:val="000000" w:themeColor="text1"/>
                <w:sz w:val="22"/>
                <w:szCs w:val="22"/>
              </w:rPr>
            </w:pPr>
            <w:r w:rsidRPr="009E35ED">
              <w:rPr>
                <w:rFonts w:ascii="Arial Narrow" w:hAnsi="Arial Narrow"/>
                <w:b/>
                <w:bCs/>
                <w:sz w:val="22"/>
                <w:szCs w:val="22"/>
              </w:rPr>
              <w:t>2,</w:t>
            </w:r>
            <w:r w:rsidR="00B04ABA" w:rsidRPr="009E35ED">
              <w:rPr>
                <w:rFonts w:ascii="Arial Narrow" w:hAnsi="Arial Narrow"/>
                <w:b/>
                <w:bCs/>
                <w:sz w:val="22"/>
                <w:szCs w:val="22"/>
              </w:rPr>
              <w:t>684,933,915</w:t>
            </w:r>
          </w:p>
        </w:tc>
        <w:tc>
          <w:tcPr>
            <w:tcW w:w="1984" w:type="dxa"/>
            <w:tcBorders>
              <w:top w:val="nil"/>
              <w:left w:val="nil"/>
              <w:bottom w:val="single" w:sz="4" w:space="0" w:color="auto"/>
              <w:right w:val="nil"/>
            </w:tcBorders>
            <w:shd w:val="clear" w:color="auto" w:fill="auto"/>
            <w:hideMark/>
          </w:tcPr>
          <w:p w14:paraId="20C4F03A" w14:textId="0D892FD9" w:rsidR="00F17598" w:rsidRPr="009E35ED" w:rsidRDefault="00F17598" w:rsidP="003A5476">
            <w:pPr>
              <w:ind w:left="0" w:right="-61"/>
              <w:jc w:val="right"/>
              <w:rPr>
                <w:rFonts w:ascii="Arial Narrow" w:hAnsi="Arial Narrow" w:cs="Calibri"/>
                <w:b/>
                <w:bCs/>
                <w:color w:val="000000" w:themeColor="text1"/>
                <w:sz w:val="22"/>
                <w:szCs w:val="22"/>
              </w:rPr>
            </w:pPr>
            <w:r w:rsidRPr="009E35ED">
              <w:rPr>
                <w:rFonts w:ascii="Arial Narrow" w:hAnsi="Arial Narrow"/>
                <w:b/>
                <w:bCs/>
                <w:color w:val="000000" w:themeColor="text1"/>
                <w:sz w:val="22"/>
                <w:szCs w:val="22"/>
              </w:rPr>
              <w:t xml:space="preserve"> 2,811,314,830 </w:t>
            </w:r>
          </w:p>
        </w:tc>
      </w:tr>
      <w:tr w:rsidR="00997F75" w:rsidRPr="009E35ED" w14:paraId="0E87C09D" w14:textId="77777777" w:rsidTr="003A5476">
        <w:trPr>
          <w:trHeight w:val="152"/>
        </w:trPr>
        <w:tc>
          <w:tcPr>
            <w:tcW w:w="4950" w:type="dxa"/>
            <w:tcBorders>
              <w:top w:val="nil"/>
              <w:left w:val="nil"/>
              <w:bottom w:val="nil"/>
              <w:right w:val="nil"/>
            </w:tcBorders>
            <w:shd w:val="clear" w:color="auto" w:fill="auto"/>
            <w:vAlign w:val="bottom"/>
            <w:hideMark/>
          </w:tcPr>
          <w:p w14:paraId="4F478841" w14:textId="14BFDEFE" w:rsidR="00F17598" w:rsidRPr="009E35ED" w:rsidRDefault="00F17598" w:rsidP="003A5476">
            <w:pPr>
              <w:ind w:left="-108"/>
              <w:jc w:val="left"/>
              <w:rPr>
                <w:rFonts w:ascii="Arial Narrow" w:hAnsi="Arial Narrow" w:cs="Calibri"/>
                <w:b/>
                <w:bCs/>
                <w:color w:val="000000" w:themeColor="text1"/>
                <w:sz w:val="22"/>
                <w:szCs w:val="22"/>
              </w:rPr>
            </w:pPr>
            <w:r w:rsidRPr="009E35ED">
              <w:rPr>
                <w:rFonts w:ascii="Arial Narrow" w:hAnsi="Arial Narrow" w:cs="Calibri"/>
                <w:b/>
                <w:bCs/>
                <w:color w:val="000000" w:themeColor="text1"/>
                <w:sz w:val="22"/>
                <w:szCs w:val="22"/>
              </w:rPr>
              <w:t xml:space="preserve">Trustee </w:t>
            </w:r>
            <w:r w:rsidR="00DB4881">
              <w:rPr>
                <w:rFonts w:ascii="Arial Narrow" w:hAnsi="Arial Narrow" w:cs="Calibri"/>
                <w:b/>
                <w:bCs/>
                <w:color w:val="000000" w:themeColor="text1"/>
                <w:sz w:val="22"/>
                <w:szCs w:val="22"/>
              </w:rPr>
              <w:t>f</w:t>
            </w:r>
            <w:r w:rsidRPr="009E35ED">
              <w:rPr>
                <w:rFonts w:ascii="Arial Narrow" w:hAnsi="Arial Narrow" w:cs="Calibri"/>
                <w:b/>
                <w:bCs/>
                <w:color w:val="000000" w:themeColor="text1"/>
                <w:sz w:val="22"/>
                <w:szCs w:val="22"/>
              </w:rPr>
              <w:t xml:space="preserve">ee </w:t>
            </w:r>
            <w:r w:rsidR="00DB4881">
              <w:rPr>
                <w:rFonts w:ascii="Arial Narrow" w:hAnsi="Arial Narrow" w:cs="Calibri"/>
                <w:b/>
                <w:bCs/>
                <w:color w:val="000000" w:themeColor="text1"/>
                <w:sz w:val="22"/>
                <w:szCs w:val="22"/>
              </w:rPr>
              <w:t>p</w:t>
            </w:r>
            <w:r w:rsidRPr="009E35ED">
              <w:rPr>
                <w:rFonts w:ascii="Arial Narrow" w:hAnsi="Arial Narrow" w:cs="Calibri"/>
                <w:b/>
                <w:bCs/>
                <w:color w:val="000000" w:themeColor="text1"/>
                <w:sz w:val="22"/>
                <w:szCs w:val="22"/>
              </w:rPr>
              <w:t>ayable</w:t>
            </w:r>
          </w:p>
        </w:tc>
        <w:tc>
          <w:tcPr>
            <w:tcW w:w="1843" w:type="dxa"/>
            <w:tcBorders>
              <w:top w:val="nil"/>
              <w:left w:val="nil"/>
              <w:bottom w:val="nil"/>
              <w:right w:val="nil"/>
            </w:tcBorders>
            <w:shd w:val="clear" w:color="auto" w:fill="auto"/>
          </w:tcPr>
          <w:p w14:paraId="064303CD" w14:textId="62FD5858" w:rsidR="00F17598" w:rsidRPr="009E35ED" w:rsidRDefault="00F17598" w:rsidP="00F17598">
            <w:pPr>
              <w:ind w:left="0"/>
              <w:jc w:val="right"/>
              <w:rPr>
                <w:rFonts w:ascii="Arial Narrow" w:hAnsi="Arial Narrow" w:cs="Calibri"/>
                <w:b/>
                <w:bCs/>
                <w:color w:val="000000" w:themeColor="text1"/>
                <w:sz w:val="22"/>
                <w:szCs w:val="22"/>
              </w:rPr>
            </w:pPr>
            <w:r w:rsidRPr="009E35ED">
              <w:rPr>
                <w:rFonts w:ascii="Arial Narrow" w:hAnsi="Arial Narrow"/>
                <w:b/>
                <w:bCs/>
                <w:color w:val="000000" w:themeColor="text1"/>
                <w:sz w:val="22"/>
                <w:szCs w:val="22"/>
              </w:rPr>
              <w:t xml:space="preserve"> 1,552,258 </w:t>
            </w:r>
          </w:p>
        </w:tc>
        <w:tc>
          <w:tcPr>
            <w:tcW w:w="1984" w:type="dxa"/>
            <w:tcBorders>
              <w:top w:val="nil"/>
              <w:left w:val="nil"/>
              <w:bottom w:val="nil"/>
              <w:right w:val="nil"/>
            </w:tcBorders>
            <w:shd w:val="clear" w:color="auto" w:fill="auto"/>
            <w:hideMark/>
          </w:tcPr>
          <w:p w14:paraId="53F58F50" w14:textId="3E1AF9E1" w:rsidR="00F17598" w:rsidRPr="009E35ED" w:rsidRDefault="00F17598" w:rsidP="003A5476">
            <w:pPr>
              <w:ind w:left="0" w:right="-61"/>
              <w:jc w:val="right"/>
              <w:rPr>
                <w:rFonts w:ascii="Arial Narrow" w:hAnsi="Arial Narrow" w:cs="Calibri"/>
                <w:b/>
                <w:bCs/>
                <w:color w:val="000000" w:themeColor="text1"/>
                <w:sz w:val="22"/>
                <w:szCs w:val="22"/>
              </w:rPr>
            </w:pPr>
            <w:r w:rsidRPr="009E35ED">
              <w:rPr>
                <w:rFonts w:ascii="Arial Narrow" w:hAnsi="Arial Narrow"/>
                <w:b/>
                <w:bCs/>
                <w:color w:val="000000" w:themeColor="text1"/>
                <w:sz w:val="22"/>
                <w:szCs w:val="22"/>
              </w:rPr>
              <w:t xml:space="preserve"> 1,495,928 </w:t>
            </w:r>
          </w:p>
        </w:tc>
      </w:tr>
      <w:tr w:rsidR="00997F75" w:rsidRPr="009E35ED" w14:paraId="41E3C388" w14:textId="77777777" w:rsidTr="003A5476">
        <w:trPr>
          <w:trHeight w:val="159"/>
        </w:trPr>
        <w:tc>
          <w:tcPr>
            <w:tcW w:w="4950" w:type="dxa"/>
            <w:tcBorders>
              <w:top w:val="single" w:sz="4" w:space="0" w:color="auto"/>
              <w:left w:val="nil"/>
              <w:bottom w:val="single" w:sz="4" w:space="0" w:color="auto"/>
              <w:right w:val="nil"/>
            </w:tcBorders>
            <w:shd w:val="clear" w:color="auto" w:fill="auto"/>
            <w:vAlign w:val="bottom"/>
            <w:hideMark/>
          </w:tcPr>
          <w:p w14:paraId="08F504A1" w14:textId="1C4257F4" w:rsidR="00F17598" w:rsidRPr="009E35ED" w:rsidRDefault="00F17598" w:rsidP="003A5476">
            <w:pPr>
              <w:ind w:left="-108"/>
              <w:jc w:val="left"/>
              <w:rPr>
                <w:rFonts w:ascii="Arial Narrow" w:hAnsi="Arial Narrow" w:cs="Calibri"/>
                <w:b/>
                <w:bCs/>
                <w:color w:val="000000" w:themeColor="text1"/>
                <w:sz w:val="22"/>
                <w:szCs w:val="22"/>
              </w:rPr>
            </w:pPr>
            <w:r w:rsidRPr="009E35ED">
              <w:rPr>
                <w:rFonts w:ascii="Arial Narrow" w:hAnsi="Arial Narrow" w:cs="Calibri"/>
                <w:b/>
                <w:bCs/>
                <w:color w:val="000000" w:themeColor="text1"/>
                <w:sz w:val="22"/>
                <w:szCs w:val="22"/>
              </w:rPr>
              <w:t xml:space="preserve">Withholding </w:t>
            </w:r>
            <w:r w:rsidR="00DB4881">
              <w:rPr>
                <w:rFonts w:ascii="Arial Narrow" w:hAnsi="Arial Narrow" w:cs="Calibri"/>
                <w:b/>
                <w:bCs/>
                <w:color w:val="000000" w:themeColor="text1"/>
                <w:sz w:val="22"/>
                <w:szCs w:val="22"/>
              </w:rPr>
              <w:t>t</w:t>
            </w:r>
            <w:r w:rsidRPr="009E35ED">
              <w:rPr>
                <w:rFonts w:ascii="Arial Narrow" w:hAnsi="Arial Narrow" w:cs="Calibri"/>
                <w:b/>
                <w:bCs/>
                <w:color w:val="000000" w:themeColor="text1"/>
                <w:sz w:val="22"/>
                <w:szCs w:val="22"/>
              </w:rPr>
              <w:t xml:space="preserve">ax </w:t>
            </w:r>
            <w:r w:rsidR="00DB4881">
              <w:rPr>
                <w:rFonts w:ascii="Arial Narrow" w:hAnsi="Arial Narrow" w:cs="Calibri"/>
                <w:b/>
                <w:bCs/>
                <w:color w:val="000000" w:themeColor="text1"/>
                <w:sz w:val="22"/>
                <w:szCs w:val="22"/>
              </w:rPr>
              <w:t>p</w:t>
            </w:r>
            <w:r w:rsidRPr="009E35ED">
              <w:rPr>
                <w:rFonts w:ascii="Arial Narrow" w:hAnsi="Arial Narrow" w:cs="Calibri"/>
                <w:b/>
                <w:bCs/>
                <w:color w:val="000000" w:themeColor="text1"/>
                <w:sz w:val="22"/>
                <w:szCs w:val="22"/>
              </w:rPr>
              <w:t>ayable</w:t>
            </w:r>
          </w:p>
        </w:tc>
        <w:tc>
          <w:tcPr>
            <w:tcW w:w="1843" w:type="dxa"/>
            <w:tcBorders>
              <w:top w:val="single" w:sz="4" w:space="0" w:color="auto"/>
              <w:left w:val="nil"/>
              <w:bottom w:val="single" w:sz="4" w:space="0" w:color="auto"/>
              <w:right w:val="nil"/>
            </w:tcBorders>
            <w:shd w:val="clear" w:color="auto" w:fill="auto"/>
          </w:tcPr>
          <w:p w14:paraId="3ABF53CE" w14:textId="2BF0EF6D" w:rsidR="00F17598" w:rsidRPr="009E35ED" w:rsidRDefault="00F17598" w:rsidP="00F17598">
            <w:pPr>
              <w:ind w:left="0"/>
              <w:jc w:val="right"/>
              <w:rPr>
                <w:rFonts w:ascii="Arial Narrow" w:hAnsi="Arial Narrow" w:cs="Calibri"/>
                <w:b/>
                <w:bCs/>
                <w:color w:val="000000" w:themeColor="text1"/>
                <w:sz w:val="22"/>
                <w:szCs w:val="22"/>
              </w:rPr>
            </w:pPr>
            <w:r w:rsidRPr="009E35ED">
              <w:rPr>
                <w:rFonts w:ascii="Arial Narrow" w:hAnsi="Arial Narrow"/>
                <w:b/>
                <w:bCs/>
                <w:color w:val="000000" w:themeColor="text1"/>
                <w:sz w:val="22"/>
                <w:szCs w:val="22"/>
              </w:rPr>
              <w:t xml:space="preserve"> 1,625,212 </w:t>
            </w:r>
          </w:p>
        </w:tc>
        <w:tc>
          <w:tcPr>
            <w:tcW w:w="1984" w:type="dxa"/>
            <w:tcBorders>
              <w:top w:val="single" w:sz="4" w:space="0" w:color="auto"/>
              <w:left w:val="nil"/>
              <w:bottom w:val="single" w:sz="4" w:space="0" w:color="auto"/>
              <w:right w:val="nil"/>
            </w:tcBorders>
            <w:shd w:val="clear" w:color="auto" w:fill="auto"/>
            <w:hideMark/>
          </w:tcPr>
          <w:p w14:paraId="58FECBF8" w14:textId="795C2ADC" w:rsidR="00F17598" w:rsidRPr="009E35ED" w:rsidRDefault="00F17598" w:rsidP="003A5476">
            <w:pPr>
              <w:ind w:left="0" w:right="-61"/>
              <w:jc w:val="right"/>
              <w:rPr>
                <w:rFonts w:ascii="Arial Narrow" w:hAnsi="Arial Narrow" w:cs="Calibri"/>
                <w:b/>
                <w:bCs/>
                <w:color w:val="000000" w:themeColor="text1"/>
                <w:sz w:val="22"/>
                <w:szCs w:val="22"/>
              </w:rPr>
            </w:pPr>
            <w:r w:rsidRPr="009E35ED">
              <w:rPr>
                <w:rFonts w:ascii="Arial Narrow" w:hAnsi="Arial Narrow"/>
                <w:b/>
                <w:bCs/>
                <w:color w:val="000000" w:themeColor="text1"/>
                <w:sz w:val="22"/>
                <w:szCs w:val="22"/>
              </w:rPr>
              <w:t xml:space="preserve"> 1,715,711 </w:t>
            </w:r>
          </w:p>
        </w:tc>
      </w:tr>
      <w:tr w:rsidR="00997F75" w:rsidRPr="009E35ED" w14:paraId="011B57C6" w14:textId="77777777" w:rsidTr="003A5476">
        <w:trPr>
          <w:trHeight w:val="56"/>
        </w:trPr>
        <w:tc>
          <w:tcPr>
            <w:tcW w:w="4950" w:type="dxa"/>
            <w:tcBorders>
              <w:top w:val="nil"/>
              <w:left w:val="nil"/>
              <w:bottom w:val="nil"/>
              <w:right w:val="nil"/>
            </w:tcBorders>
            <w:shd w:val="clear" w:color="auto" w:fill="auto"/>
            <w:vAlign w:val="bottom"/>
            <w:hideMark/>
          </w:tcPr>
          <w:p w14:paraId="59D11B76" w14:textId="77777777" w:rsidR="00D81B07" w:rsidRPr="009E35ED" w:rsidRDefault="00D81B07" w:rsidP="003A5476">
            <w:pPr>
              <w:ind w:left="-108"/>
              <w:jc w:val="left"/>
              <w:rPr>
                <w:rFonts w:ascii="Arial Narrow" w:hAnsi="Arial Narrow" w:cs="Calibri"/>
                <w:b/>
                <w:bCs/>
                <w:color w:val="000000" w:themeColor="text1"/>
                <w:sz w:val="22"/>
                <w:szCs w:val="22"/>
              </w:rPr>
            </w:pPr>
          </w:p>
        </w:tc>
        <w:tc>
          <w:tcPr>
            <w:tcW w:w="1843" w:type="dxa"/>
            <w:tcBorders>
              <w:top w:val="nil"/>
              <w:left w:val="nil"/>
              <w:bottom w:val="nil"/>
              <w:right w:val="nil"/>
            </w:tcBorders>
            <w:shd w:val="clear" w:color="auto" w:fill="auto"/>
            <w:vAlign w:val="bottom"/>
          </w:tcPr>
          <w:p w14:paraId="46175CA7" w14:textId="77777777" w:rsidR="00D81B07" w:rsidRPr="009E35ED" w:rsidRDefault="00D81B07" w:rsidP="00D81B07">
            <w:pPr>
              <w:ind w:left="0"/>
              <w:jc w:val="right"/>
              <w:rPr>
                <w:rFonts w:ascii="Arial Narrow" w:hAnsi="Arial Narrow"/>
                <w:color w:val="000000" w:themeColor="text1"/>
                <w:sz w:val="22"/>
                <w:szCs w:val="22"/>
              </w:rPr>
            </w:pPr>
          </w:p>
        </w:tc>
        <w:tc>
          <w:tcPr>
            <w:tcW w:w="1984" w:type="dxa"/>
            <w:tcBorders>
              <w:top w:val="nil"/>
              <w:left w:val="nil"/>
              <w:bottom w:val="nil"/>
              <w:right w:val="nil"/>
            </w:tcBorders>
            <w:shd w:val="clear" w:color="auto" w:fill="auto"/>
            <w:vAlign w:val="bottom"/>
            <w:hideMark/>
          </w:tcPr>
          <w:p w14:paraId="094A43E5" w14:textId="77777777" w:rsidR="00D81B07" w:rsidRPr="009E35ED" w:rsidRDefault="00D81B07" w:rsidP="003A5476">
            <w:pPr>
              <w:ind w:left="0" w:right="-61"/>
              <w:jc w:val="right"/>
              <w:rPr>
                <w:rFonts w:ascii="Arial Narrow" w:hAnsi="Arial Narrow"/>
                <w:color w:val="000000" w:themeColor="text1"/>
                <w:sz w:val="22"/>
                <w:szCs w:val="22"/>
              </w:rPr>
            </w:pPr>
          </w:p>
        </w:tc>
      </w:tr>
      <w:tr w:rsidR="00997F75" w:rsidRPr="009E35ED" w14:paraId="05796F3B" w14:textId="77777777" w:rsidTr="003A5476">
        <w:trPr>
          <w:trHeight w:val="63"/>
        </w:trPr>
        <w:tc>
          <w:tcPr>
            <w:tcW w:w="4950" w:type="dxa"/>
            <w:tcBorders>
              <w:top w:val="nil"/>
              <w:left w:val="nil"/>
              <w:bottom w:val="nil"/>
              <w:right w:val="nil"/>
            </w:tcBorders>
            <w:shd w:val="clear" w:color="auto" w:fill="auto"/>
            <w:noWrap/>
            <w:vAlign w:val="bottom"/>
            <w:hideMark/>
          </w:tcPr>
          <w:p w14:paraId="11030785" w14:textId="635FA587" w:rsidR="00A772F7" w:rsidRPr="009E35ED" w:rsidRDefault="00A772F7">
            <w:pPr>
              <w:ind w:left="-108"/>
              <w:jc w:val="left"/>
              <w:rPr>
                <w:rFonts w:ascii="Arial Narrow" w:hAnsi="Arial Narrow" w:cs="Calibri"/>
                <w:color w:val="000000" w:themeColor="text1"/>
                <w:sz w:val="22"/>
                <w:szCs w:val="22"/>
              </w:rPr>
            </w:pPr>
            <w:bookmarkStart w:id="3" w:name="OLE_LINK3"/>
            <w:bookmarkStart w:id="4" w:name="OLE_LINK4"/>
            <w:r w:rsidRPr="009E35ED">
              <w:rPr>
                <w:rFonts w:ascii="Arial Narrow" w:hAnsi="Arial Narrow" w:cs="Calibri"/>
                <w:color w:val="000000" w:themeColor="text1"/>
                <w:sz w:val="22"/>
                <w:szCs w:val="22"/>
              </w:rPr>
              <w:t xml:space="preserve">PCSO </w:t>
            </w:r>
            <w:r w:rsidR="00DB4881">
              <w:rPr>
                <w:rFonts w:ascii="Arial Narrow" w:hAnsi="Arial Narrow" w:cs="Calibri"/>
                <w:color w:val="000000" w:themeColor="text1"/>
                <w:sz w:val="22"/>
                <w:szCs w:val="22"/>
              </w:rPr>
              <w:t>p</w:t>
            </w:r>
            <w:r w:rsidRPr="009E35ED">
              <w:rPr>
                <w:rFonts w:ascii="Arial Narrow" w:hAnsi="Arial Narrow" w:cs="Calibri"/>
                <w:color w:val="000000" w:themeColor="text1"/>
                <w:sz w:val="22"/>
                <w:szCs w:val="22"/>
              </w:rPr>
              <w:t xml:space="preserve">rovident </w:t>
            </w:r>
            <w:r w:rsidR="00DB4881">
              <w:rPr>
                <w:rFonts w:ascii="Arial Narrow" w:hAnsi="Arial Narrow" w:cs="Calibri"/>
                <w:color w:val="000000" w:themeColor="text1"/>
                <w:sz w:val="22"/>
                <w:szCs w:val="22"/>
              </w:rPr>
              <w:t>f</w:t>
            </w:r>
            <w:r w:rsidRPr="009E35ED">
              <w:rPr>
                <w:rFonts w:ascii="Arial Narrow" w:hAnsi="Arial Narrow" w:cs="Calibri"/>
                <w:color w:val="000000" w:themeColor="text1"/>
                <w:sz w:val="22"/>
                <w:szCs w:val="22"/>
              </w:rPr>
              <w:t>und contributions</w:t>
            </w:r>
            <w:bookmarkEnd w:id="3"/>
            <w:bookmarkEnd w:id="4"/>
          </w:p>
        </w:tc>
        <w:tc>
          <w:tcPr>
            <w:tcW w:w="1843" w:type="dxa"/>
            <w:tcBorders>
              <w:top w:val="nil"/>
              <w:left w:val="nil"/>
              <w:bottom w:val="nil"/>
              <w:right w:val="nil"/>
            </w:tcBorders>
            <w:shd w:val="clear" w:color="auto" w:fill="auto"/>
            <w:noWrap/>
          </w:tcPr>
          <w:p w14:paraId="3C4442D3" w14:textId="0F5EDCD2" w:rsidR="00A772F7" w:rsidRPr="009E35ED" w:rsidRDefault="00A772F7" w:rsidP="00A772F7">
            <w:pPr>
              <w:ind w:left="0"/>
              <w:jc w:val="right"/>
              <w:rPr>
                <w:rFonts w:ascii="Arial Narrow" w:hAnsi="Arial Narrow" w:cs="Calibri"/>
                <w:color w:val="000000" w:themeColor="text1"/>
                <w:sz w:val="22"/>
                <w:szCs w:val="22"/>
              </w:rPr>
            </w:pPr>
            <w:r w:rsidRPr="009E35ED">
              <w:rPr>
                <w:rFonts w:ascii="Arial Narrow" w:hAnsi="Arial Narrow"/>
                <w:color w:val="000000" w:themeColor="text1"/>
                <w:sz w:val="22"/>
                <w:szCs w:val="22"/>
              </w:rPr>
              <w:t xml:space="preserve"> 16,615,654 </w:t>
            </w:r>
          </w:p>
        </w:tc>
        <w:tc>
          <w:tcPr>
            <w:tcW w:w="1984" w:type="dxa"/>
            <w:tcBorders>
              <w:top w:val="nil"/>
              <w:left w:val="nil"/>
              <w:bottom w:val="nil"/>
              <w:right w:val="nil"/>
            </w:tcBorders>
            <w:shd w:val="clear" w:color="auto" w:fill="auto"/>
            <w:noWrap/>
            <w:vAlign w:val="bottom"/>
            <w:hideMark/>
          </w:tcPr>
          <w:p w14:paraId="21C45EE6" w14:textId="10F7DDB4" w:rsidR="00A772F7" w:rsidRPr="009E35ED" w:rsidRDefault="00874992" w:rsidP="003A5476">
            <w:pPr>
              <w:ind w:left="0" w:right="-61"/>
              <w:jc w:val="right"/>
              <w:rPr>
                <w:rFonts w:ascii="Arial Narrow" w:hAnsi="Arial Narrow" w:cs="Calibri"/>
                <w:color w:val="000000" w:themeColor="text1"/>
                <w:sz w:val="22"/>
                <w:szCs w:val="22"/>
              </w:rPr>
            </w:pPr>
            <w:r w:rsidRPr="009E35ED">
              <w:rPr>
                <w:rFonts w:ascii="Arial Narrow" w:hAnsi="Arial Narrow" w:cs="Arial"/>
                <w:color w:val="000000" w:themeColor="text1"/>
                <w:sz w:val="22"/>
                <w:szCs w:val="22"/>
              </w:rPr>
              <w:t>16,181,649</w:t>
            </w:r>
          </w:p>
        </w:tc>
      </w:tr>
      <w:tr w:rsidR="00997F75" w:rsidRPr="009E35ED" w14:paraId="64E327AA" w14:textId="77777777" w:rsidTr="003A5476">
        <w:trPr>
          <w:trHeight w:val="63"/>
        </w:trPr>
        <w:tc>
          <w:tcPr>
            <w:tcW w:w="4950" w:type="dxa"/>
            <w:tcBorders>
              <w:top w:val="nil"/>
              <w:left w:val="nil"/>
              <w:bottom w:val="nil"/>
              <w:right w:val="nil"/>
            </w:tcBorders>
            <w:shd w:val="clear" w:color="auto" w:fill="auto"/>
            <w:noWrap/>
            <w:vAlign w:val="bottom"/>
          </w:tcPr>
          <w:p w14:paraId="41FDBDB2" w14:textId="7CDB6F91" w:rsidR="00A772F7" w:rsidRPr="009E35ED" w:rsidRDefault="00A772F7" w:rsidP="003A5476">
            <w:pPr>
              <w:ind w:left="-108"/>
              <w:jc w:val="left"/>
              <w:rPr>
                <w:rFonts w:ascii="Arial Narrow" w:hAnsi="Arial Narrow" w:cs="Calibri"/>
                <w:color w:val="000000" w:themeColor="text1"/>
                <w:sz w:val="22"/>
                <w:szCs w:val="22"/>
              </w:rPr>
            </w:pPr>
            <w:r w:rsidRPr="009E35ED">
              <w:rPr>
                <w:rFonts w:ascii="Arial Narrow" w:hAnsi="Arial Narrow" w:cs="Calibri"/>
                <w:color w:val="000000" w:themeColor="text1"/>
                <w:sz w:val="22"/>
                <w:szCs w:val="22"/>
              </w:rPr>
              <w:t xml:space="preserve">Payable to </w:t>
            </w:r>
            <w:r w:rsidR="00DB4881">
              <w:rPr>
                <w:rFonts w:ascii="Arial Narrow" w:hAnsi="Arial Narrow" w:cs="Calibri"/>
                <w:color w:val="000000" w:themeColor="text1"/>
                <w:sz w:val="22"/>
                <w:szCs w:val="22"/>
              </w:rPr>
              <w:t>s</w:t>
            </w:r>
            <w:r w:rsidRPr="009E35ED">
              <w:rPr>
                <w:rFonts w:ascii="Arial Narrow" w:hAnsi="Arial Narrow" w:cs="Calibri"/>
                <w:color w:val="000000" w:themeColor="text1"/>
                <w:sz w:val="22"/>
                <w:szCs w:val="22"/>
              </w:rPr>
              <w:t xml:space="preserve">weepstakes </w:t>
            </w:r>
            <w:r w:rsidR="00DB4881">
              <w:rPr>
                <w:rFonts w:ascii="Arial Narrow" w:hAnsi="Arial Narrow" w:cs="Calibri"/>
                <w:color w:val="000000" w:themeColor="text1"/>
                <w:sz w:val="22"/>
                <w:szCs w:val="22"/>
              </w:rPr>
              <w:t>a</w:t>
            </w:r>
            <w:r w:rsidRPr="009E35ED">
              <w:rPr>
                <w:rFonts w:ascii="Arial Narrow" w:hAnsi="Arial Narrow" w:cs="Calibri"/>
                <w:color w:val="000000" w:themeColor="text1"/>
                <w:sz w:val="22"/>
                <w:szCs w:val="22"/>
              </w:rPr>
              <w:t xml:space="preserve">thletic </w:t>
            </w:r>
            <w:r w:rsidR="00DB4881">
              <w:rPr>
                <w:rFonts w:ascii="Arial Narrow" w:hAnsi="Arial Narrow" w:cs="Calibri"/>
                <w:color w:val="000000" w:themeColor="text1"/>
                <w:sz w:val="22"/>
                <w:szCs w:val="22"/>
              </w:rPr>
              <w:t>c</w:t>
            </w:r>
            <w:r w:rsidRPr="009E35ED">
              <w:rPr>
                <w:rFonts w:ascii="Arial Narrow" w:hAnsi="Arial Narrow" w:cs="Calibri"/>
                <w:color w:val="000000" w:themeColor="text1"/>
                <w:sz w:val="22"/>
                <w:szCs w:val="22"/>
              </w:rPr>
              <w:t>lub</w:t>
            </w:r>
          </w:p>
        </w:tc>
        <w:tc>
          <w:tcPr>
            <w:tcW w:w="1843" w:type="dxa"/>
            <w:tcBorders>
              <w:top w:val="nil"/>
              <w:left w:val="nil"/>
              <w:bottom w:val="nil"/>
              <w:right w:val="nil"/>
            </w:tcBorders>
            <w:shd w:val="clear" w:color="auto" w:fill="auto"/>
            <w:noWrap/>
          </w:tcPr>
          <w:p w14:paraId="3E631F65" w14:textId="454A1E95" w:rsidR="00A772F7" w:rsidRPr="009E35ED" w:rsidRDefault="00A772F7" w:rsidP="00A772F7">
            <w:pPr>
              <w:ind w:left="0"/>
              <w:jc w:val="right"/>
              <w:rPr>
                <w:rFonts w:ascii="Arial Narrow" w:hAnsi="Arial Narrow"/>
                <w:color w:val="000000" w:themeColor="text1"/>
                <w:sz w:val="22"/>
                <w:szCs w:val="22"/>
              </w:rPr>
            </w:pPr>
            <w:r w:rsidRPr="009E35ED">
              <w:rPr>
                <w:rFonts w:ascii="Arial Narrow" w:hAnsi="Arial Narrow"/>
                <w:color w:val="000000" w:themeColor="text1"/>
                <w:sz w:val="22"/>
                <w:szCs w:val="22"/>
              </w:rPr>
              <w:t xml:space="preserve"> 17,148 </w:t>
            </w:r>
          </w:p>
        </w:tc>
        <w:tc>
          <w:tcPr>
            <w:tcW w:w="1984" w:type="dxa"/>
            <w:tcBorders>
              <w:top w:val="nil"/>
              <w:left w:val="nil"/>
              <w:bottom w:val="nil"/>
              <w:right w:val="nil"/>
            </w:tcBorders>
            <w:shd w:val="clear" w:color="auto" w:fill="auto"/>
            <w:noWrap/>
            <w:vAlign w:val="bottom"/>
          </w:tcPr>
          <w:p w14:paraId="7BB83556" w14:textId="1DE231D4" w:rsidR="00A772F7" w:rsidRPr="009E35ED" w:rsidRDefault="00A772F7" w:rsidP="003A5476">
            <w:pPr>
              <w:ind w:left="0" w:right="-61"/>
              <w:jc w:val="right"/>
              <w:rPr>
                <w:rFonts w:ascii="Arial Narrow" w:hAnsi="Arial Narrow"/>
                <w:color w:val="000000" w:themeColor="text1"/>
                <w:sz w:val="22"/>
                <w:szCs w:val="22"/>
              </w:rPr>
            </w:pPr>
            <w:r w:rsidRPr="009E35ED">
              <w:rPr>
                <w:rFonts w:ascii="Arial Narrow" w:hAnsi="Arial Narrow" w:cs="Arial"/>
                <w:color w:val="000000" w:themeColor="text1"/>
                <w:sz w:val="22"/>
                <w:szCs w:val="22"/>
              </w:rPr>
              <w:t xml:space="preserve">                   17,148 </w:t>
            </w:r>
          </w:p>
        </w:tc>
      </w:tr>
      <w:tr w:rsidR="00997F75" w:rsidRPr="009E35ED" w14:paraId="39BB3AFB" w14:textId="77777777" w:rsidTr="003A5476">
        <w:trPr>
          <w:trHeight w:val="293"/>
        </w:trPr>
        <w:tc>
          <w:tcPr>
            <w:tcW w:w="4950" w:type="dxa"/>
            <w:tcBorders>
              <w:top w:val="nil"/>
              <w:left w:val="nil"/>
              <w:bottom w:val="nil"/>
              <w:right w:val="nil"/>
            </w:tcBorders>
            <w:shd w:val="clear" w:color="auto" w:fill="auto"/>
            <w:vAlign w:val="bottom"/>
            <w:hideMark/>
          </w:tcPr>
          <w:p w14:paraId="1A992CB6" w14:textId="78BC4173" w:rsidR="00A772F7" w:rsidRPr="009E35ED" w:rsidRDefault="00A772F7" w:rsidP="003A5476">
            <w:pPr>
              <w:ind w:left="-108"/>
              <w:jc w:val="left"/>
              <w:rPr>
                <w:rFonts w:ascii="Arial Narrow" w:hAnsi="Arial Narrow" w:cs="Calibri"/>
                <w:color w:val="000000" w:themeColor="text1"/>
                <w:sz w:val="22"/>
                <w:szCs w:val="22"/>
              </w:rPr>
            </w:pPr>
            <w:bookmarkStart w:id="5" w:name="OLE_LINK11"/>
            <w:r w:rsidRPr="009E35ED">
              <w:rPr>
                <w:rFonts w:ascii="Arial Narrow" w:hAnsi="Arial Narrow" w:cs="Calibri"/>
                <w:color w:val="000000" w:themeColor="text1"/>
                <w:sz w:val="22"/>
                <w:szCs w:val="22"/>
              </w:rPr>
              <w:t xml:space="preserve">Withheld payment of employees payable to </w:t>
            </w:r>
            <w:r w:rsidR="00DB4881">
              <w:rPr>
                <w:rFonts w:ascii="Arial Narrow" w:hAnsi="Arial Narrow" w:cs="Calibri"/>
                <w:color w:val="000000" w:themeColor="text1"/>
                <w:sz w:val="22"/>
                <w:szCs w:val="22"/>
              </w:rPr>
              <w:t>s</w:t>
            </w:r>
            <w:r w:rsidRPr="009E35ED">
              <w:rPr>
                <w:rFonts w:ascii="Arial Narrow" w:hAnsi="Arial Narrow" w:cs="Calibri"/>
                <w:color w:val="000000" w:themeColor="text1"/>
                <w:sz w:val="22"/>
                <w:szCs w:val="22"/>
              </w:rPr>
              <w:t xml:space="preserve">weepstakes </w:t>
            </w:r>
            <w:r w:rsidR="00DB4881">
              <w:rPr>
                <w:rFonts w:ascii="Arial Narrow" w:hAnsi="Arial Narrow" w:cs="Calibri"/>
                <w:color w:val="000000" w:themeColor="text1"/>
                <w:sz w:val="22"/>
                <w:szCs w:val="22"/>
              </w:rPr>
              <w:t>c</w:t>
            </w:r>
            <w:r w:rsidRPr="009E35ED">
              <w:rPr>
                <w:rFonts w:ascii="Arial Narrow" w:hAnsi="Arial Narrow" w:cs="Calibri"/>
                <w:color w:val="000000" w:themeColor="text1"/>
                <w:sz w:val="22"/>
                <w:szCs w:val="22"/>
              </w:rPr>
              <w:t>ooperative</w:t>
            </w:r>
            <w:bookmarkEnd w:id="5"/>
          </w:p>
        </w:tc>
        <w:tc>
          <w:tcPr>
            <w:tcW w:w="1843" w:type="dxa"/>
            <w:tcBorders>
              <w:top w:val="nil"/>
              <w:left w:val="nil"/>
              <w:bottom w:val="nil"/>
              <w:right w:val="nil"/>
            </w:tcBorders>
            <w:shd w:val="clear" w:color="auto" w:fill="auto"/>
          </w:tcPr>
          <w:p w14:paraId="2D661B72" w14:textId="77777777" w:rsidR="00D11681" w:rsidRPr="009E35ED" w:rsidRDefault="00D11681" w:rsidP="00A772F7">
            <w:pPr>
              <w:ind w:left="0"/>
              <w:jc w:val="right"/>
              <w:rPr>
                <w:rFonts w:ascii="Arial Narrow" w:hAnsi="Arial Narrow"/>
                <w:color w:val="000000" w:themeColor="text1"/>
                <w:sz w:val="22"/>
                <w:szCs w:val="22"/>
              </w:rPr>
            </w:pPr>
          </w:p>
          <w:p w14:paraId="0154F047" w14:textId="383ED76E" w:rsidR="00A772F7" w:rsidRPr="009E35ED" w:rsidRDefault="00A772F7" w:rsidP="00A36844">
            <w:pPr>
              <w:ind w:left="0"/>
              <w:jc w:val="right"/>
              <w:rPr>
                <w:rFonts w:ascii="Arial Narrow" w:hAnsi="Arial Narrow" w:cs="Calibri"/>
                <w:color w:val="000000" w:themeColor="text1"/>
                <w:sz w:val="22"/>
                <w:szCs w:val="22"/>
              </w:rPr>
            </w:pPr>
            <w:r w:rsidRPr="009E35ED">
              <w:rPr>
                <w:rFonts w:ascii="Arial Narrow" w:hAnsi="Arial Narrow"/>
                <w:color w:val="000000" w:themeColor="text1"/>
                <w:sz w:val="22"/>
                <w:szCs w:val="22"/>
              </w:rPr>
              <w:t xml:space="preserve"> </w:t>
            </w:r>
            <w:r w:rsidR="00A36844" w:rsidRPr="009E35ED">
              <w:rPr>
                <w:rFonts w:ascii="Arial Narrow" w:hAnsi="Arial Narrow"/>
                <w:color w:val="000000" w:themeColor="text1"/>
                <w:sz w:val="22"/>
                <w:szCs w:val="22"/>
              </w:rPr>
              <w:t>2,746,004</w:t>
            </w:r>
            <w:r w:rsidRPr="009E35ED">
              <w:rPr>
                <w:rFonts w:ascii="Arial Narrow" w:hAnsi="Arial Narrow"/>
                <w:color w:val="000000" w:themeColor="text1"/>
                <w:sz w:val="22"/>
                <w:szCs w:val="22"/>
              </w:rPr>
              <w:t xml:space="preserve"> </w:t>
            </w:r>
          </w:p>
        </w:tc>
        <w:tc>
          <w:tcPr>
            <w:tcW w:w="1984" w:type="dxa"/>
            <w:tcBorders>
              <w:top w:val="nil"/>
              <w:left w:val="nil"/>
              <w:bottom w:val="nil"/>
              <w:right w:val="nil"/>
            </w:tcBorders>
            <w:shd w:val="clear" w:color="auto" w:fill="auto"/>
            <w:hideMark/>
          </w:tcPr>
          <w:p w14:paraId="0E5785A8" w14:textId="77777777" w:rsidR="00D11681" w:rsidRPr="009E35ED" w:rsidRDefault="00A772F7" w:rsidP="003A5476">
            <w:pPr>
              <w:ind w:left="0" w:right="-61"/>
              <w:jc w:val="right"/>
              <w:rPr>
                <w:rFonts w:ascii="Arial Narrow" w:hAnsi="Arial Narrow" w:cs="Arial"/>
                <w:color w:val="000000" w:themeColor="text1"/>
                <w:sz w:val="22"/>
                <w:szCs w:val="22"/>
              </w:rPr>
            </w:pPr>
            <w:r w:rsidRPr="009E35ED">
              <w:rPr>
                <w:rFonts w:ascii="Arial Narrow" w:hAnsi="Arial Narrow" w:cs="Arial"/>
                <w:color w:val="000000" w:themeColor="text1"/>
                <w:sz w:val="22"/>
                <w:szCs w:val="22"/>
              </w:rPr>
              <w:t xml:space="preserve">             </w:t>
            </w:r>
          </w:p>
          <w:p w14:paraId="32928313" w14:textId="4137A23B" w:rsidR="00A772F7" w:rsidRPr="009E35ED" w:rsidRDefault="00A772F7" w:rsidP="003A5476">
            <w:pPr>
              <w:ind w:left="0" w:right="-61"/>
              <w:jc w:val="right"/>
              <w:rPr>
                <w:rFonts w:ascii="Arial Narrow" w:hAnsi="Arial Narrow" w:cs="Calibri"/>
                <w:color w:val="000000" w:themeColor="text1"/>
                <w:sz w:val="22"/>
                <w:szCs w:val="22"/>
              </w:rPr>
            </w:pPr>
            <w:r w:rsidRPr="009E35ED">
              <w:rPr>
                <w:rFonts w:ascii="Arial Narrow" w:hAnsi="Arial Narrow" w:cs="Arial"/>
                <w:color w:val="000000" w:themeColor="text1"/>
                <w:sz w:val="22"/>
                <w:szCs w:val="22"/>
              </w:rPr>
              <w:t xml:space="preserve"> 5,445,725 </w:t>
            </w:r>
          </w:p>
        </w:tc>
      </w:tr>
      <w:tr w:rsidR="00997F75" w:rsidRPr="009E35ED" w14:paraId="5B468531" w14:textId="77777777" w:rsidTr="003A5476">
        <w:trPr>
          <w:trHeight w:val="63"/>
        </w:trPr>
        <w:tc>
          <w:tcPr>
            <w:tcW w:w="4950" w:type="dxa"/>
            <w:tcBorders>
              <w:top w:val="nil"/>
              <w:left w:val="nil"/>
              <w:bottom w:val="nil"/>
              <w:right w:val="nil"/>
            </w:tcBorders>
            <w:shd w:val="clear" w:color="auto" w:fill="auto"/>
            <w:noWrap/>
            <w:vAlign w:val="bottom"/>
            <w:hideMark/>
          </w:tcPr>
          <w:p w14:paraId="5ED294AC" w14:textId="6C367D72" w:rsidR="00A772F7" w:rsidRPr="009E35ED" w:rsidRDefault="00A772F7" w:rsidP="003A5476">
            <w:pPr>
              <w:ind w:left="-108"/>
              <w:jc w:val="left"/>
              <w:rPr>
                <w:rFonts w:ascii="Arial Narrow" w:hAnsi="Arial Narrow" w:cs="Calibri"/>
                <w:color w:val="000000" w:themeColor="text1"/>
                <w:sz w:val="22"/>
                <w:szCs w:val="22"/>
              </w:rPr>
            </w:pPr>
            <w:bookmarkStart w:id="6" w:name="OLE_LINK6"/>
            <w:r w:rsidRPr="009E35ED">
              <w:rPr>
                <w:rFonts w:ascii="Arial Narrow" w:hAnsi="Arial Narrow" w:cs="Calibri"/>
                <w:color w:val="000000" w:themeColor="text1"/>
                <w:sz w:val="22"/>
                <w:szCs w:val="22"/>
              </w:rPr>
              <w:t xml:space="preserve">Share of </w:t>
            </w:r>
            <w:r w:rsidR="00DB4881">
              <w:rPr>
                <w:rFonts w:ascii="Arial Narrow" w:hAnsi="Arial Narrow" w:cs="Calibri"/>
                <w:color w:val="000000" w:themeColor="text1"/>
                <w:sz w:val="22"/>
                <w:szCs w:val="22"/>
              </w:rPr>
              <w:t>c</w:t>
            </w:r>
            <w:r w:rsidR="007D3C15" w:rsidRPr="009E35ED">
              <w:rPr>
                <w:rFonts w:ascii="Arial Narrow" w:hAnsi="Arial Narrow" w:cs="Calibri"/>
                <w:color w:val="000000" w:themeColor="text1"/>
                <w:sz w:val="22"/>
                <w:szCs w:val="22"/>
              </w:rPr>
              <w:t xml:space="preserve">harity </w:t>
            </w:r>
            <w:r w:rsidR="00DB4881">
              <w:rPr>
                <w:rFonts w:ascii="Arial Narrow" w:hAnsi="Arial Narrow" w:cs="Calibri"/>
                <w:color w:val="000000" w:themeColor="text1"/>
                <w:sz w:val="22"/>
                <w:szCs w:val="22"/>
              </w:rPr>
              <w:t>f</w:t>
            </w:r>
            <w:r w:rsidR="007D3C15" w:rsidRPr="009E35ED">
              <w:rPr>
                <w:rFonts w:ascii="Arial Narrow" w:hAnsi="Arial Narrow" w:cs="Calibri"/>
                <w:color w:val="000000" w:themeColor="text1"/>
                <w:sz w:val="22"/>
                <w:szCs w:val="22"/>
              </w:rPr>
              <w:t xml:space="preserve">und in </w:t>
            </w:r>
            <w:r w:rsidR="00DB4881">
              <w:rPr>
                <w:rFonts w:ascii="Arial Narrow" w:hAnsi="Arial Narrow" w:cs="Calibri"/>
                <w:color w:val="000000" w:themeColor="text1"/>
                <w:sz w:val="22"/>
                <w:szCs w:val="22"/>
              </w:rPr>
              <w:t>S</w:t>
            </w:r>
            <w:r w:rsidR="007D3C15" w:rsidRPr="009E35ED">
              <w:rPr>
                <w:rFonts w:ascii="Arial Narrow" w:hAnsi="Arial Narrow" w:cs="Calibri"/>
                <w:color w:val="000000" w:themeColor="text1"/>
                <w:sz w:val="22"/>
                <w:szCs w:val="22"/>
              </w:rPr>
              <w:t>TL of</w:t>
            </w:r>
            <w:r w:rsidRPr="009E35ED">
              <w:rPr>
                <w:rFonts w:ascii="Arial Narrow" w:hAnsi="Arial Narrow" w:cs="Calibri"/>
                <w:color w:val="000000" w:themeColor="text1"/>
                <w:sz w:val="22"/>
                <w:szCs w:val="22"/>
              </w:rPr>
              <w:t xml:space="preserve"> PNP</w:t>
            </w:r>
            <w:bookmarkEnd w:id="6"/>
          </w:p>
        </w:tc>
        <w:tc>
          <w:tcPr>
            <w:tcW w:w="1843" w:type="dxa"/>
            <w:tcBorders>
              <w:top w:val="nil"/>
              <w:left w:val="nil"/>
              <w:bottom w:val="nil"/>
              <w:right w:val="nil"/>
            </w:tcBorders>
            <w:shd w:val="clear" w:color="auto" w:fill="auto"/>
            <w:noWrap/>
          </w:tcPr>
          <w:p w14:paraId="4F9E78C7" w14:textId="16E73EF1" w:rsidR="00A772F7" w:rsidRPr="009E35ED" w:rsidRDefault="00A772F7" w:rsidP="00A36844">
            <w:pPr>
              <w:ind w:left="0"/>
              <w:jc w:val="right"/>
              <w:rPr>
                <w:rFonts w:ascii="Arial Narrow" w:hAnsi="Arial Narrow" w:cs="Calibri"/>
                <w:color w:val="000000" w:themeColor="text1"/>
                <w:sz w:val="22"/>
                <w:szCs w:val="22"/>
              </w:rPr>
            </w:pPr>
            <w:r w:rsidRPr="009E35ED">
              <w:rPr>
                <w:rFonts w:ascii="Arial Narrow" w:hAnsi="Arial Narrow"/>
                <w:color w:val="000000" w:themeColor="text1"/>
                <w:sz w:val="22"/>
                <w:szCs w:val="22"/>
              </w:rPr>
              <w:t xml:space="preserve"> </w:t>
            </w:r>
            <w:r w:rsidR="00A36844" w:rsidRPr="009E35ED">
              <w:rPr>
                <w:rFonts w:ascii="Arial Narrow" w:hAnsi="Arial Narrow"/>
                <w:color w:val="000000" w:themeColor="text1"/>
                <w:sz w:val="22"/>
                <w:szCs w:val="22"/>
              </w:rPr>
              <w:t>156,487,519</w:t>
            </w:r>
            <w:r w:rsidRPr="009E35ED">
              <w:rPr>
                <w:rFonts w:ascii="Arial Narrow" w:hAnsi="Arial Narrow"/>
                <w:color w:val="000000" w:themeColor="text1"/>
                <w:sz w:val="22"/>
                <w:szCs w:val="22"/>
              </w:rPr>
              <w:t xml:space="preserve"> </w:t>
            </w:r>
          </w:p>
        </w:tc>
        <w:tc>
          <w:tcPr>
            <w:tcW w:w="1984" w:type="dxa"/>
            <w:tcBorders>
              <w:top w:val="nil"/>
              <w:left w:val="nil"/>
              <w:bottom w:val="nil"/>
              <w:right w:val="nil"/>
            </w:tcBorders>
            <w:shd w:val="clear" w:color="auto" w:fill="auto"/>
            <w:noWrap/>
            <w:vAlign w:val="bottom"/>
            <w:hideMark/>
          </w:tcPr>
          <w:p w14:paraId="0D8C5286" w14:textId="10F3FA46" w:rsidR="00A772F7" w:rsidRPr="009E35ED" w:rsidRDefault="00A772F7" w:rsidP="003A5476">
            <w:pPr>
              <w:ind w:left="0" w:right="-61"/>
              <w:jc w:val="right"/>
              <w:rPr>
                <w:rFonts w:ascii="Arial Narrow" w:hAnsi="Arial Narrow" w:cs="Calibri"/>
                <w:color w:val="000000" w:themeColor="text1"/>
                <w:sz w:val="22"/>
                <w:szCs w:val="22"/>
              </w:rPr>
            </w:pPr>
            <w:r w:rsidRPr="009E35ED">
              <w:rPr>
                <w:rFonts w:ascii="Arial Narrow" w:hAnsi="Arial Narrow" w:cs="Arial"/>
                <w:color w:val="000000" w:themeColor="text1"/>
                <w:sz w:val="22"/>
                <w:szCs w:val="22"/>
              </w:rPr>
              <w:t xml:space="preserve">          185,933,499 </w:t>
            </w:r>
          </w:p>
        </w:tc>
      </w:tr>
      <w:tr w:rsidR="004A5BE4" w:rsidRPr="009E35ED" w14:paraId="13AB966E" w14:textId="77777777" w:rsidTr="003A5476">
        <w:trPr>
          <w:trHeight w:val="139"/>
        </w:trPr>
        <w:tc>
          <w:tcPr>
            <w:tcW w:w="4950" w:type="dxa"/>
            <w:tcBorders>
              <w:top w:val="nil"/>
              <w:left w:val="nil"/>
              <w:bottom w:val="nil"/>
              <w:right w:val="nil"/>
            </w:tcBorders>
            <w:shd w:val="clear" w:color="auto" w:fill="auto"/>
            <w:vAlign w:val="bottom"/>
          </w:tcPr>
          <w:p w14:paraId="4312CDC9" w14:textId="0605E7FB" w:rsidR="004A5BE4" w:rsidRPr="009E35ED" w:rsidRDefault="004A5BE4" w:rsidP="003A5476">
            <w:pPr>
              <w:ind w:left="-108"/>
              <w:jc w:val="left"/>
              <w:rPr>
                <w:rFonts w:ascii="Arial Narrow" w:hAnsi="Arial Narrow" w:cs="Calibri"/>
                <w:color w:val="000000" w:themeColor="text1"/>
                <w:sz w:val="22"/>
                <w:szCs w:val="22"/>
              </w:rPr>
            </w:pPr>
            <w:bookmarkStart w:id="7" w:name="OLE_LINK2"/>
            <w:r w:rsidRPr="009E35ED">
              <w:rPr>
                <w:rFonts w:ascii="Arial Narrow" w:hAnsi="Arial Narrow" w:cs="Calibri"/>
                <w:color w:val="000000"/>
                <w:sz w:val="22"/>
                <w:szCs w:val="22"/>
              </w:rPr>
              <w:t xml:space="preserve">Share of </w:t>
            </w:r>
            <w:r w:rsidR="004737D5">
              <w:rPr>
                <w:rFonts w:ascii="Arial Narrow" w:hAnsi="Arial Narrow" w:cs="Calibri"/>
                <w:color w:val="000000"/>
                <w:sz w:val="22"/>
                <w:szCs w:val="22"/>
              </w:rPr>
              <w:t>c</w:t>
            </w:r>
            <w:r w:rsidRPr="009E35ED">
              <w:rPr>
                <w:rFonts w:ascii="Arial Narrow" w:hAnsi="Arial Narrow" w:cs="Calibri"/>
                <w:color w:val="000000"/>
                <w:sz w:val="22"/>
                <w:szCs w:val="22"/>
              </w:rPr>
              <w:t xml:space="preserve">harity </w:t>
            </w:r>
            <w:r w:rsidR="004737D5">
              <w:rPr>
                <w:rFonts w:ascii="Arial Narrow" w:hAnsi="Arial Narrow" w:cs="Calibri"/>
                <w:color w:val="000000"/>
                <w:sz w:val="22"/>
                <w:szCs w:val="22"/>
              </w:rPr>
              <w:t>f</w:t>
            </w:r>
            <w:r w:rsidRPr="009E35ED">
              <w:rPr>
                <w:rFonts w:ascii="Arial Narrow" w:hAnsi="Arial Narrow" w:cs="Calibri"/>
                <w:color w:val="000000"/>
                <w:sz w:val="22"/>
                <w:szCs w:val="22"/>
              </w:rPr>
              <w:t xml:space="preserve">und in STL of </w:t>
            </w:r>
            <w:r w:rsidR="004737D5">
              <w:rPr>
                <w:rFonts w:ascii="Arial Narrow" w:hAnsi="Arial Narrow" w:cs="Calibri"/>
                <w:color w:val="000000"/>
                <w:sz w:val="22"/>
                <w:szCs w:val="22"/>
              </w:rPr>
              <w:t>c</w:t>
            </w:r>
            <w:r w:rsidRPr="009E35ED">
              <w:rPr>
                <w:rFonts w:ascii="Arial Narrow" w:hAnsi="Arial Narrow" w:cs="Calibri"/>
                <w:color w:val="000000"/>
                <w:sz w:val="22"/>
                <w:szCs w:val="22"/>
              </w:rPr>
              <w:t>hartered cities</w:t>
            </w:r>
            <w:bookmarkEnd w:id="7"/>
          </w:p>
        </w:tc>
        <w:tc>
          <w:tcPr>
            <w:tcW w:w="1843" w:type="dxa"/>
            <w:tcBorders>
              <w:top w:val="nil"/>
              <w:left w:val="nil"/>
              <w:bottom w:val="nil"/>
              <w:right w:val="nil"/>
            </w:tcBorders>
            <w:shd w:val="clear" w:color="auto" w:fill="auto"/>
          </w:tcPr>
          <w:p w14:paraId="436D7CF3" w14:textId="46E308CD" w:rsidR="004A5BE4" w:rsidRPr="009E35ED" w:rsidRDefault="004A5BE4" w:rsidP="00A772F7">
            <w:pPr>
              <w:ind w:left="0"/>
              <w:jc w:val="right"/>
              <w:rPr>
                <w:rFonts w:ascii="Arial Narrow" w:hAnsi="Arial Narrow"/>
                <w:color w:val="000000" w:themeColor="text1"/>
                <w:sz w:val="22"/>
                <w:szCs w:val="22"/>
              </w:rPr>
            </w:pPr>
            <w:r w:rsidRPr="009E35ED">
              <w:rPr>
                <w:rFonts w:ascii="Arial Narrow" w:hAnsi="Arial Narrow"/>
                <w:sz w:val="22"/>
                <w:szCs w:val="22"/>
              </w:rPr>
              <w:t>2,479,673</w:t>
            </w:r>
          </w:p>
        </w:tc>
        <w:tc>
          <w:tcPr>
            <w:tcW w:w="1984" w:type="dxa"/>
            <w:tcBorders>
              <w:top w:val="nil"/>
              <w:left w:val="nil"/>
              <w:bottom w:val="nil"/>
              <w:right w:val="nil"/>
            </w:tcBorders>
            <w:shd w:val="clear" w:color="auto" w:fill="auto"/>
            <w:vAlign w:val="bottom"/>
          </w:tcPr>
          <w:p w14:paraId="5A5F4374" w14:textId="069E4742" w:rsidR="004A5BE4" w:rsidRPr="009E35ED" w:rsidRDefault="004A5BE4" w:rsidP="003A5476">
            <w:pPr>
              <w:ind w:left="0" w:right="-61"/>
              <w:jc w:val="right"/>
              <w:rPr>
                <w:rFonts w:ascii="Arial Narrow" w:hAnsi="Arial Narrow" w:cs="Arial"/>
                <w:color w:val="000000" w:themeColor="text1"/>
                <w:sz w:val="22"/>
                <w:szCs w:val="22"/>
              </w:rPr>
            </w:pPr>
            <w:r w:rsidRPr="009E35ED">
              <w:rPr>
                <w:rFonts w:ascii="Arial Narrow" w:hAnsi="Arial Narrow"/>
                <w:sz w:val="22"/>
                <w:szCs w:val="22"/>
              </w:rPr>
              <w:t>2,479,673</w:t>
            </w:r>
          </w:p>
        </w:tc>
      </w:tr>
      <w:tr w:rsidR="00997F75" w:rsidRPr="009E35ED" w14:paraId="55C084E7" w14:textId="77777777" w:rsidTr="003A5476">
        <w:trPr>
          <w:trHeight w:val="139"/>
        </w:trPr>
        <w:tc>
          <w:tcPr>
            <w:tcW w:w="4950" w:type="dxa"/>
            <w:tcBorders>
              <w:top w:val="nil"/>
              <w:left w:val="nil"/>
              <w:bottom w:val="nil"/>
              <w:right w:val="nil"/>
            </w:tcBorders>
            <w:shd w:val="clear" w:color="auto" w:fill="auto"/>
            <w:vAlign w:val="bottom"/>
          </w:tcPr>
          <w:p w14:paraId="39DB0CFF" w14:textId="097F717F" w:rsidR="00A772F7" w:rsidRPr="009E35ED" w:rsidRDefault="00A772F7" w:rsidP="003A5476">
            <w:pPr>
              <w:ind w:left="-108"/>
              <w:jc w:val="left"/>
              <w:rPr>
                <w:rFonts w:ascii="Arial Narrow" w:hAnsi="Arial Narrow" w:cs="Calibri"/>
                <w:color w:val="000000" w:themeColor="text1"/>
                <w:sz w:val="22"/>
                <w:szCs w:val="22"/>
              </w:rPr>
            </w:pPr>
            <w:r w:rsidRPr="009E35ED">
              <w:rPr>
                <w:rFonts w:ascii="Arial Narrow" w:hAnsi="Arial Narrow" w:cs="Calibri"/>
                <w:color w:val="000000" w:themeColor="text1"/>
                <w:sz w:val="22"/>
                <w:szCs w:val="22"/>
              </w:rPr>
              <w:t>Payables to</w:t>
            </w:r>
            <w:r w:rsidR="007D3C15" w:rsidRPr="009E35ED">
              <w:rPr>
                <w:rFonts w:ascii="Arial Narrow" w:hAnsi="Arial Narrow" w:cs="Calibri"/>
                <w:color w:val="000000" w:themeColor="text1"/>
                <w:sz w:val="22"/>
                <w:szCs w:val="22"/>
              </w:rPr>
              <w:t xml:space="preserve"> STL</w:t>
            </w:r>
            <w:r w:rsidRPr="009E35ED">
              <w:rPr>
                <w:rFonts w:ascii="Arial Narrow" w:hAnsi="Arial Narrow" w:cs="Calibri"/>
                <w:color w:val="000000" w:themeColor="text1"/>
                <w:sz w:val="22"/>
                <w:szCs w:val="22"/>
              </w:rPr>
              <w:t xml:space="preserve"> AACs</w:t>
            </w:r>
          </w:p>
        </w:tc>
        <w:tc>
          <w:tcPr>
            <w:tcW w:w="1843" w:type="dxa"/>
            <w:tcBorders>
              <w:top w:val="nil"/>
              <w:left w:val="nil"/>
              <w:bottom w:val="nil"/>
              <w:right w:val="nil"/>
            </w:tcBorders>
            <w:shd w:val="clear" w:color="auto" w:fill="auto"/>
          </w:tcPr>
          <w:p w14:paraId="238E5A7F" w14:textId="77684957" w:rsidR="00A772F7" w:rsidRPr="009E35ED" w:rsidRDefault="00A772F7" w:rsidP="004A5BE4">
            <w:pPr>
              <w:ind w:left="0"/>
              <w:jc w:val="right"/>
              <w:rPr>
                <w:rFonts w:ascii="Arial Narrow" w:hAnsi="Arial Narrow"/>
                <w:color w:val="000000" w:themeColor="text1"/>
                <w:sz w:val="22"/>
                <w:szCs w:val="22"/>
              </w:rPr>
            </w:pPr>
            <w:r w:rsidRPr="009E35ED">
              <w:rPr>
                <w:rFonts w:ascii="Arial Narrow" w:hAnsi="Arial Narrow"/>
                <w:color w:val="000000" w:themeColor="text1"/>
                <w:sz w:val="22"/>
                <w:szCs w:val="22"/>
              </w:rPr>
              <w:t xml:space="preserve"> </w:t>
            </w:r>
            <w:r w:rsidR="004A5BE4" w:rsidRPr="009E35ED">
              <w:rPr>
                <w:rFonts w:ascii="Arial Narrow" w:hAnsi="Arial Narrow"/>
                <w:color w:val="000000" w:themeColor="text1"/>
                <w:sz w:val="22"/>
                <w:szCs w:val="22"/>
              </w:rPr>
              <w:t>201,530,554</w:t>
            </w:r>
            <w:r w:rsidRPr="009E35ED">
              <w:rPr>
                <w:rFonts w:ascii="Arial Narrow" w:hAnsi="Arial Narrow"/>
                <w:color w:val="000000" w:themeColor="text1"/>
                <w:sz w:val="22"/>
                <w:szCs w:val="22"/>
              </w:rPr>
              <w:t xml:space="preserve"> </w:t>
            </w:r>
          </w:p>
        </w:tc>
        <w:tc>
          <w:tcPr>
            <w:tcW w:w="1984" w:type="dxa"/>
            <w:tcBorders>
              <w:top w:val="nil"/>
              <w:left w:val="nil"/>
              <w:bottom w:val="nil"/>
              <w:right w:val="nil"/>
            </w:tcBorders>
            <w:shd w:val="clear" w:color="auto" w:fill="auto"/>
            <w:vAlign w:val="bottom"/>
          </w:tcPr>
          <w:p w14:paraId="27327508" w14:textId="6AE0E210" w:rsidR="00A772F7" w:rsidRPr="009E35ED" w:rsidRDefault="00A772F7" w:rsidP="003A5476">
            <w:pPr>
              <w:ind w:left="0" w:right="-61"/>
              <w:jc w:val="right"/>
              <w:rPr>
                <w:rFonts w:ascii="Arial Narrow" w:hAnsi="Arial Narrow" w:cs="Calibri"/>
                <w:color w:val="000000" w:themeColor="text1"/>
                <w:sz w:val="22"/>
                <w:szCs w:val="22"/>
              </w:rPr>
            </w:pPr>
            <w:r w:rsidRPr="009E35ED">
              <w:rPr>
                <w:rFonts w:ascii="Arial Narrow" w:hAnsi="Arial Narrow" w:cs="Arial"/>
                <w:color w:val="000000" w:themeColor="text1"/>
                <w:sz w:val="22"/>
                <w:szCs w:val="22"/>
              </w:rPr>
              <w:t xml:space="preserve">          </w:t>
            </w:r>
            <w:r w:rsidR="004A5BE4" w:rsidRPr="009E35ED">
              <w:rPr>
                <w:rFonts w:ascii="Arial Narrow" w:hAnsi="Arial Narrow" w:cs="Arial"/>
                <w:color w:val="000000" w:themeColor="text1"/>
                <w:sz w:val="22"/>
                <w:szCs w:val="22"/>
              </w:rPr>
              <w:t>198,362,036</w:t>
            </w:r>
            <w:r w:rsidRPr="009E35ED">
              <w:rPr>
                <w:rFonts w:ascii="Arial Narrow" w:hAnsi="Arial Narrow" w:cs="Arial"/>
                <w:color w:val="000000" w:themeColor="text1"/>
                <w:sz w:val="22"/>
                <w:szCs w:val="22"/>
              </w:rPr>
              <w:t xml:space="preserve"> </w:t>
            </w:r>
          </w:p>
        </w:tc>
      </w:tr>
      <w:tr w:rsidR="00997F75" w:rsidRPr="009E35ED" w14:paraId="11DF248F" w14:textId="77777777" w:rsidTr="003A5476">
        <w:trPr>
          <w:trHeight w:val="139"/>
        </w:trPr>
        <w:tc>
          <w:tcPr>
            <w:tcW w:w="4950" w:type="dxa"/>
            <w:tcBorders>
              <w:top w:val="nil"/>
              <w:left w:val="nil"/>
              <w:bottom w:val="nil"/>
              <w:right w:val="nil"/>
            </w:tcBorders>
            <w:shd w:val="clear" w:color="auto" w:fill="auto"/>
            <w:vAlign w:val="bottom"/>
            <w:hideMark/>
          </w:tcPr>
          <w:p w14:paraId="431B6D39" w14:textId="7EF3DF6B" w:rsidR="00A772F7" w:rsidRPr="009E35ED" w:rsidRDefault="00A772F7" w:rsidP="003A5476">
            <w:pPr>
              <w:ind w:left="-108"/>
              <w:jc w:val="left"/>
              <w:rPr>
                <w:rFonts w:ascii="Arial Narrow" w:hAnsi="Arial Narrow" w:cs="Calibri"/>
                <w:color w:val="000000" w:themeColor="text1"/>
                <w:sz w:val="22"/>
                <w:szCs w:val="22"/>
              </w:rPr>
            </w:pPr>
            <w:bookmarkStart w:id="8" w:name="OLE_LINK8"/>
            <w:r w:rsidRPr="009E35ED">
              <w:rPr>
                <w:rFonts w:ascii="Arial Narrow" w:hAnsi="Arial Narrow" w:cs="Calibri"/>
                <w:color w:val="000000" w:themeColor="text1"/>
                <w:sz w:val="22"/>
                <w:szCs w:val="22"/>
              </w:rPr>
              <w:t xml:space="preserve">Share of </w:t>
            </w:r>
            <w:r w:rsidR="004737D5">
              <w:rPr>
                <w:rFonts w:ascii="Arial Narrow" w:hAnsi="Arial Narrow" w:cs="Calibri"/>
                <w:color w:val="000000" w:themeColor="text1"/>
                <w:sz w:val="22"/>
                <w:szCs w:val="22"/>
              </w:rPr>
              <w:t>c</w:t>
            </w:r>
            <w:r w:rsidRPr="009E35ED">
              <w:rPr>
                <w:rFonts w:ascii="Arial Narrow" w:hAnsi="Arial Narrow" w:cs="Calibri"/>
                <w:color w:val="000000" w:themeColor="text1"/>
                <w:sz w:val="22"/>
                <w:szCs w:val="22"/>
              </w:rPr>
              <w:t xml:space="preserve">harity </w:t>
            </w:r>
            <w:r w:rsidR="004737D5">
              <w:rPr>
                <w:rFonts w:ascii="Arial Narrow" w:hAnsi="Arial Narrow" w:cs="Calibri"/>
                <w:color w:val="000000" w:themeColor="text1"/>
                <w:sz w:val="22"/>
                <w:szCs w:val="22"/>
              </w:rPr>
              <w:t>f</w:t>
            </w:r>
            <w:r w:rsidRPr="009E35ED">
              <w:rPr>
                <w:rFonts w:ascii="Arial Narrow" w:hAnsi="Arial Narrow" w:cs="Calibri"/>
                <w:color w:val="000000" w:themeColor="text1"/>
                <w:sz w:val="22"/>
                <w:szCs w:val="22"/>
              </w:rPr>
              <w:t xml:space="preserve">und in STL of </w:t>
            </w:r>
            <w:r w:rsidR="004737D5">
              <w:rPr>
                <w:rFonts w:ascii="Arial Narrow" w:hAnsi="Arial Narrow" w:cs="Calibri"/>
                <w:color w:val="000000" w:themeColor="text1"/>
                <w:sz w:val="22"/>
                <w:szCs w:val="22"/>
              </w:rPr>
              <w:t>m</w:t>
            </w:r>
            <w:r w:rsidRPr="009E35ED">
              <w:rPr>
                <w:rFonts w:ascii="Arial Narrow" w:hAnsi="Arial Narrow" w:cs="Calibri"/>
                <w:color w:val="000000" w:themeColor="text1"/>
                <w:sz w:val="22"/>
                <w:szCs w:val="22"/>
              </w:rPr>
              <w:t>unicipalities</w:t>
            </w:r>
            <w:bookmarkEnd w:id="8"/>
          </w:p>
        </w:tc>
        <w:tc>
          <w:tcPr>
            <w:tcW w:w="1843" w:type="dxa"/>
            <w:tcBorders>
              <w:top w:val="nil"/>
              <w:left w:val="nil"/>
              <w:bottom w:val="nil"/>
              <w:right w:val="nil"/>
            </w:tcBorders>
            <w:shd w:val="clear" w:color="auto" w:fill="auto"/>
          </w:tcPr>
          <w:p w14:paraId="0E39F36F" w14:textId="76B51E9E" w:rsidR="00A772F7" w:rsidRPr="009E35ED" w:rsidRDefault="00A772F7" w:rsidP="00A36844">
            <w:pPr>
              <w:ind w:left="0"/>
              <w:jc w:val="right"/>
              <w:rPr>
                <w:rFonts w:ascii="Arial Narrow" w:hAnsi="Arial Narrow" w:cs="Calibri"/>
                <w:color w:val="000000" w:themeColor="text1"/>
                <w:sz w:val="22"/>
                <w:szCs w:val="22"/>
              </w:rPr>
            </w:pPr>
            <w:r w:rsidRPr="009E35ED">
              <w:rPr>
                <w:rFonts w:ascii="Arial Narrow" w:hAnsi="Arial Narrow"/>
                <w:color w:val="000000" w:themeColor="text1"/>
                <w:sz w:val="22"/>
                <w:szCs w:val="22"/>
              </w:rPr>
              <w:t xml:space="preserve"> </w:t>
            </w:r>
            <w:r w:rsidR="00A36844" w:rsidRPr="009E35ED">
              <w:rPr>
                <w:rFonts w:ascii="Arial Narrow" w:hAnsi="Arial Narrow"/>
                <w:color w:val="000000" w:themeColor="text1"/>
                <w:sz w:val="22"/>
                <w:szCs w:val="22"/>
              </w:rPr>
              <w:t>376,293,745</w:t>
            </w:r>
            <w:r w:rsidRPr="009E35ED">
              <w:rPr>
                <w:rFonts w:ascii="Arial Narrow" w:hAnsi="Arial Narrow"/>
                <w:color w:val="000000" w:themeColor="text1"/>
                <w:sz w:val="22"/>
                <w:szCs w:val="22"/>
              </w:rPr>
              <w:t xml:space="preserve"> </w:t>
            </w:r>
          </w:p>
        </w:tc>
        <w:tc>
          <w:tcPr>
            <w:tcW w:w="1984" w:type="dxa"/>
            <w:tcBorders>
              <w:top w:val="nil"/>
              <w:left w:val="nil"/>
              <w:bottom w:val="nil"/>
              <w:right w:val="nil"/>
            </w:tcBorders>
            <w:shd w:val="clear" w:color="auto" w:fill="auto"/>
            <w:vAlign w:val="bottom"/>
            <w:hideMark/>
          </w:tcPr>
          <w:p w14:paraId="603CA6FD" w14:textId="4A8D936F" w:rsidR="00A772F7" w:rsidRPr="009E35ED" w:rsidRDefault="00A772F7" w:rsidP="003A5476">
            <w:pPr>
              <w:ind w:left="0" w:right="-61"/>
              <w:jc w:val="right"/>
              <w:rPr>
                <w:rFonts w:ascii="Arial Narrow" w:hAnsi="Arial Narrow" w:cs="Calibri"/>
                <w:color w:val="000000" w:themeColor="text1"/>
                <w:sz w:val="22"/>
                <w:szCs w:val="22"/>
              </w:rPr>
            </w:pPr>
            <w:r w:rsidRPr="009E35ED">
              <w:rPr>
                <w:rFonts w:ascii="Arial Narrow" w:hAnsi="Arial Narrow" w:cs="Arial"/>
                <w:color w:val="000000" w:themeColor="text1"/>
                <w:sz w:val="22"/>
                <w:szCs w:val="22"/>
              </w:rPr>
              <w:t xml:space="preserve">          417,276,154 </w:t>
            </w:r>
          </w:p>
        </w:tc>
      </w:tr>
      <w:tr w:rsidR="00997F75" w:rsidRPr="009E35ED" w14:paraId="0F493612" w14:textId="77777777" w:rsidTr="003A5476">
        <w:trPr>
          <w:trHeight w:val="63"/>
        </w:trPr>
        <w:tc>
          <w:tcPr>
            <w:tcW w:w="4950" w:type="dxa"/>
            <w:tcBorders>
              <w:top w:val="nil"/>
              <w:left w:val="nil"/>
              <w:bottom w:val="nil"/>
              <w:right w:val="nil"/>
            </w:tcBorders>
            <w:shd w:val="clear" w:color="auto" w:fill="auto"/>
            <w:vAlign w:val="bottom"/>
            <w:hideMark/>
          </w:tcPr>
          <w:p w14:paraId="388A43F6" w14:textId="168A5683" w:rsidR="00A772F7" w:rsidRPr="009E35ED" w:rsidRDefault="00A772F7" w:rsidP="003A5476">
            <w:pPr>
              <w:ind w:left="-108"/>
              <w:jc w:val="left"/>
              <w:rPr>
                <w:rFonts w:ascii="Arial Narrow" w:hAnsi="Arial Narrow" w:cs="Calibri"/>
                <w:color w:val="000000" w:themeColor="text1"/>
                <w:sz w:val="22"/>
                <w:szCs w:val="22"/>
              </w:rPr>
            </w:pPr>
            <w:bookmarkStart w:id="9" w:name="OLE_LINK9"/>
            <w:r w:rsidRPr="009E35ED">
              <w:rPr>
                <w:rFonts w:ascii="Arial Narrow" w:hAnsi="Arial Narrow" w:cs="Calibri"/>
                <w:color w:val="000000" w:themeColor="text1"/>
                <w:sz w:val="22"/>
                <w:szCs w:val="22"/>
              </w:rPr>
              <w:t xml:space="preserve">Share of </w:t>
            </w:r>
            <w:r w:rsidR="004737D5">
              <w:rPr>
                <w:rFonts w:ascii="Arial Narrow" w:hAnsi="Arial Narrow" w:cs="Calibri"/>
                <w:color w:val="000000" w:themeColor="text1"/>
                <w:sz w:val="22"/>
                <w:szCs w:val="22"/>
              </w:rPr>
              <w:t>c</w:t>
            </w:r>
            <w:r w:rsidRPr="009E35ED">
              <w:rPr>
                <w:rFonts w:ascii="Arial Narrow" w:hAnsi="Arial Narrow" w:cs="Calibri"/>
                <w:color w:val="000000" w:themeColor="text1"/>
                <w:sz w:val="22"/>
                <w:szCs w:val="22"/>
              </w:rPr>
              <w:t xml:space="preserve">harity </w:t>
            </w:r>
            <w:r w:rsidR="004737D5">
              <w:rPr>
                <w:rFonts w:ascii="Arial Narrow" w:hAnsi="Arial Narrow" w:cs="Calibri"/>
                <w:color w:val="000000" w:themeColor="text1"/>
                <w:sz w:val="22"/>
                <w:szCs w:val="22"/>
              </w:rPr>
              <w:t>f</w:t>
            </w:r>
            <w:r w:rsidRPr="009E35ED">
              <w:rPr>
                <w:rFonts w:ascii="Arial Narrow" w:hAnsi="Arial Narrow" w:cs="Calibri"/>
                <w:color w:val="000000" w:themeColor="text1"/>
                <w:sz w:val="22"/>
                <w:szCs w:val="22"/>
              </w:rPr>
              <w:t>und in STL of</w:t>
            </w:r>
            <w:r w:rsidR="004737D5">
              <w:rPr>
                <w:rFonts w:ascii="Arial Narrow" w:hAnsi="Arial Narrow" w:cs="Calibri"/>
                <w:color w:val="000000" w:themeColor="text1"/>
                <w:sz w:val="22"/>
                <w:szCs w:val="22"/>
              </w:rPr>
              <w:t xml:space="preserve"> p</w:t>
            </w:r>
            <w:r w:rsidRPr="009E35ED">
              <w:rPr>
                <w:rFonts w:ascii="Arial Narrow" w:hAnsi="Arial Narrow" w:cs="Calibri"/>
                <w:color w:val="000000" w:themeColor="text1"/>
                <w:sz w:val="22"/>
                <w:szCs w:val="22"/>
              </w:rPr>
              <w:t>rovincial</w:t>
            </w:r>
            <w:bookmarkEnd w:id="9"/>
          </w:p>
        </w:tc>
        <w:tc>
          <w:tcPr>
            <w:tcW w:w="1843" w:type="dxa"/>
            <w:tcBorders>
              <w:top w:val="nil"/>
              <w:left w:val="nil"/>
              <w:bottom w:val="nil"/>
              <w:right w:val="nil"/>
            </w:tcBorders>
            <w:shd w:val="clear" w:color="auto" w:fill="auto"/>
          </w:tcPr>
          <w:p w14:paraId="2B5E0F2F" w14:textId="3E1265B2" w:rsidR="00A772F7" w:rsidRPr="009E35ED" w:rsidRDefault="00A772F7" w:rsidP="00A36844">
            <w:pPr>
              <w:ind w:left="0"/>
              <w:jc w:val="right"/>
              <w:rPr>
                <w:rFonts w:ascii="Arial Narrow" w:hAnsi="Arial Narrow" w:cs="Calibri"/>
                <w:color w:val="000000" w:themeColor="text1"/>
                <w:sz w:val="22"/>
                <w:szCs w:val="22"/>
              </w:rPr>
            </w:pPr>
            <w:r w:rsidRPr="009E35ED">
              <w:rPr>
                <w:rFonts w:ascii="Arial Narrow" w:hAnsi="Arial Narrow"/>
                <w:color w:val="000000" w:themeColor="text1"/>
                <w:sz w:val="22"/>
                <w:szCs w:val="22"/>
              </w:rPr>
              <w:t xml:space="preserve"> 125,</w:t>
            </w:r>
            <w:r w:rsidR="00A36844" w:rsidRPr="009E35ED">
              <w:rPr>
                <w:rFonts w:ascii="Arial Narrow" w:hAnsi="Arial Narrow"/>
                <w:color w:val="000000" w:themeColor="text1"/>
                <w:sz w:val="22"/>
                <w:szCs w:val="22"/>
              </w:rPr>
              <w:t>994,757</w:t>
            </w:r>
            <w:r w:rsidRPr="009E35ED">
              <w:rPr>
                <w:rFonts w:ascii="Arial Narrow" w:hAnsi="Arial Narrow"/>
                <w:color w:val="000000" w:themeColor="text1"/>
                <w:sz w:val="22"/>
                <w:szCs w:val="22"/>
              </w:rPr>
              <w:t xml:space="preserve"> </w:t>
            </w:r>
          </w:p>
        </w:tc>
        <w:tc>
          <w:tcPr>
            <w:tcW w:w="1984" w:type="dxa"/>
            <w:tcBorders>
              <w:top w:val="nil"/>
              <w:left w:val="nil"/>
              <w:bottom w:val="nil"/>
              <w:right w:val="nil"/>
            </w:tcBorders>
            <w:shd w:val="clear" w:color="auto" w:fill="auto"/>
            <w:vAlign w:val="bottom"/>
            <w:hideMark/>
          </w:tcPr>
          <w:p w14:paraId="5279373E" w14:textId="0E906E93" w:rsidR="00A772F7" w:rsidRPr="009E35ED" w:rsidRDefault="00A772F7" w:rsidP="003A5476">
            <w:pPr>
              <w:ind w:left="0" w:right="-61"/>
              <w:jc w:val="right"/>
              <w:rPr>
                <w:rFonts w:ascii="Arial Narrow" w:hAnsi="Arial Narrow" w:cs="Calibri"/>
                <w:color w:val="000000" w:themeColor="text1"/>
                <w:sz w:val="22"/>
                <w:szCs w:val="22"/>
              </w:rPr>
            </w:pPr>
            <w:r w:rsidRPr="009E35ED">
              <w:rPr>
                <w:rFonts w:ascii="Arial Narrow" w:hAnsi="Arial Narrow" w:cs="Arial"/>
                <w:color w:val="000000" w:themeColor="text1"/>
                <w:sz w:val="22"/>
                <w:szCs w:val="22"/>
              </w:rPr>
              <w:t xml:space="preserve">          132,438,823 </w:t>
            </w:r>
          </w:p>
        </w:tc>
      </w:tr>
      <w:tr w:rsidR="00997F75" w:rsidRPr="009E35ED" w14:paraId="31243D6E" w14:textId="77777777" w:rsidTr="003A5476">
        <w:trPr>
          <w:trHeight w:val="63"/>
        </w:trPr>
        <w:tc>
          <w:tcPr>
            <w:tcW w:w="4950" w:type="dxa"/>
            <w:tcBorders>
              <w:top w:val="nil"/>
              <w:left w:val="nil"/>
              <w:bottom w:val="nil"/>
              <w:right w:val="nil"/>
            </w:tcBorders>
            <w:shd w:val="clear" w:color="auto" w:fill="auto"/>
            <w:vAlign w:val="bottom"/>
            <w:hideMark/>
          </w:tcPr>
          <w:p w14:paraId="06ABFD46" w14:textId="3816B609" w:rsidR="00A772F7" w:rsidRPr="009E35ED" w:rsidRDefault="00A772F7" w:rsidP="003A5476">
            <w:pPr>
              <w:ind w:left="-108"/>
              <w:jc w:val="left"/>
              <w:rPr>
                <w:rFonts w:ascii="Arial Narrow" w:hAnsi="Arial Narrow" w:cs="Calibri"/>
                <w:color w:val="000000" w:themeColor="text1"/>
                <w:sz w:val="22"/>
                <w:szCs w:val="22"/>
              </w:rPr>
            </w:pPr>
            <w:r w:rsidRPr="009E35ED">
              <w:rPr>
                <w:rFonts w:ascii="Arial Narrow" w:hAnsi="Arial Narrow" w:cs="Calibri"/>
                <w:color w:val="000000" w:themeColor="text1"/>
                <w:sz w:val="22"/>
                <w:szCs w:val="22"/>
              </w:rPr>
              <w:t xml:space="preserve">Share of </w:t>
            </w:r>
            <w:r w:rsidR="004737D5">
              <w:rPr>
                <w:rFonts w:ascii="Arial Narrow" w:hAnsi="Arial Narrow" w:cs="Calibri"/>
                <w:color w:val="000000" w:themeColor="text1"/>
                <w:sz w:val="22"/>
                <w:szCs w:val="22"/>
              </w:rPr>
              <w:t>c</w:t>
            </w:r>
            <w:r w:rsidRPr="009E35ED">
              <w:rPr>
                <w:rFonts w:ascii="Arial Narrow" w:hAnsi="Arial Narrow" w:cs="Calibri"/>
                <w:color w:val="000000" w:themeColor="text1"/>
                <w:sz w:val="22"/>
                <w:szCs w:val="22"/>
              </w:rPr>
              <w:t xml:space="preserve">harity </w:t>
            </w:r>
            <w:r w:rsidR="004737D5">
              <w:rPr>
                <w:rFonts w:ascii="Arial Narrow" w:hAnsi="Arial Narrow" w:cs="Calibri"/>
                <w:color w:val="000000" w:themeColor="text1"/>
                <w:sz w:val="22"/>
                <w:szCs w:val="22"/>
              </w:rPr>
              <w:t>f</w:t>
            </w:r>
            <w:r w:rsidRPr="009E35ED">
              <w:rPr>
                <w:rFonts w:ascii="Arial Narrow" w:hAnsi="Arial Narrow" w:cs="Calibri"/>
                <w:color w:val="000000" w:themeColor="text1"/>
                <w:sz w:val="22"/>
                <w:szCs w:val="22"/>
              </w:rPr>
              <w:t xml:space="preserve">und in STL of </w:t>
            </w:r>
            <w:r w:rsidR="004737D5">
              <w:rPr>
                <w:rFonts w:ascii="Arial Narrow" w:hAnsi="Arial Narrow" w:cs="Calibri"/>
                <w:color w:val="000000" w:themeColor="text1"/>
                <w:sz w:val="22"/>
                <w:szCs w:val="22"/>
              </w:rPr>
              <w:t>c</w:t>
            </w:r>
            <w:r w:rsidRPr="009E35ED">
              <w:rPr>
                <w:rFonts w:ascii="Arial Narrow" w:hAnsi="Arial Narrow" w:cs="Calibri"/>
                <w:color w:val="000000" w:themeColor="text1"/>
                <w:sz w:val="22"/>
                <w:szCs w:val="22"/>
              </w:rPr>
              <w:t>ongressional</w:t>
            </w:r>
          </w:p>
        </w:tc>
        <w:tc>
          <w:tcPr>
            <w:tcW w:w="1843" w:type="dxa"/>
            <w:tcBorders>
              <w:top w:val="nil"/>
              <w:left w:val="nil"/>
              <w:bottom w:val="nil"/>
              <w:right w:val="nil"/>
            </w:tcBorders>
            <w:shd w:val="clear" w:color="auto" w:fill="auto"/>
          </w:tcPr>
          <w:p w14:paraId="0F202AC5" w14:textId="37C9309F" w:rsidR="00A772F7" w:rsidRPr="009E35ED" w:rsidRDefault="00A772F7" w:rsidP="00A772F7">
            <w:pPr>
              <w:ind w:left="0"/>
              <w:jc w:val="right"/>
              <w:rPr>
                <w:rFonts w:ascii="Arial Narrow" w:hAnsi="Arial Narrow" w:cs="Calibri"/>
                <w:color w:val="000000" w:themeColor="text1"/>
                <w:sz w:val="22"/>
                <w:szCs w:val="22"/>
              </w:rPr>
            </w:pPr>
            <w:r w:rsidRPr="009E35ED">
              <w:rPr>
                <w:rFonts w:ascii="Arial Narrow" w:hAnsi="Arial Narrow"/>
                <w:color w:val="000000" w:themeColor="text1"/>
                <w:sz w:val="22"/>
                <w:szCs w:val="22"/>
              </w:rPr>
              <w:t xml:space="preserve"> 158,501,496 </w:t>
            </w:r>
          </w:p>
        </w:tc>
        <w:tc>
          <w:tcPr>
            <w:tcW w:w="1984" w:type="dxa"/>
            <w:tcBorders>
              <w:top w:val="nil"/>
              <w:left w:val="nil"/>
              <w:bottom w:val="nil"/>
              <w:right w:val="nil"/>
            </w:tcBorders>
            <w:shd w:val="clear" w:color="auto" w:fill="auto"/>
            <w:vAlign w:val="bottom"/>
            <w:hideMark/>
          </w:tcPr>
          <w:p w14:paraId="60156DDA" w14:textId="41B0F1A7" w:rsidR="00A772F7" w:rsidRPr="009E35ED" w:rsidRDefault="00A772F7" w:rsidP="003A5476">
            <w:pPr>
              <w:ind w:left="0" w:right="-61"/>
              <w:jc w:val="right"/>
              <w:rPr>
                <w:rFonts w:ascii="Arial Narrow" w:hAnsi="Arial Narrow" w:cs="Calibri"/>
                <w:color w:val="000000" w:themeColor="text1"/>
                <w:sz w:val="22"/>
                <w:szCs w:val="22"/>
              </w:rPr>
            </w:pPr>
            <w:r w:rsidRPr="009E35ED">
              <w:rPr>
                <w:rFonts w:ascii="Arial Narrow" w:hAnsi="Arial Narrow" w:cs="Arial"/>
                <w:color w:val="000000" w:themeColor="text1"/>
                <w:sz w:val="22"/>
                <w:szCs w:val="22"/>
              </w:rPr>
              <w:t xml:space="preserve">          155,937,123 </w:t>
            </w:r>
          </w:p>
        </w:tc>
      </w:tr>
      <w:tr w:rsidR="00997F75" w:rsidRPr="009E35ED" w14:paraId="40931706" w14:textId="77777777" w:rsidTr="003A5476">
        <w:trPr>
          <w:trHeight w:val="188"/>
        </w:trPr>
        <w:tc>
          <w:tcPr>
            <w:tcW w:w="4950" w:type="dxa"/>
            <w:tcBorders>
              <w:top w:val="nil"/>
              <w:left w:val="nil"/>
              <w:bottom w:val="nil"/>
              <w:right w:val="nil"/>
            </w:tcBorders>
            <w:shd w:val="clear" w:color="auto" w:fill="auto"/>
            <w:vAlign w:val="bottom"/>
          </w:tcPr>
          <w:p w14:paraId="6B9CC41C" w14:textId="5A5243C5" w:rsidR="00A772F7" w:rsidRPr="009E35ED" w:rsidRDefault="00A772F7" w:rsidP="003A5476">
            <w:pPr>
              <w:ind w:left="-108"/>
              <w:jc w:val="left"/>
              <w:rPr>
                <w:rFonts w:ascii="Arial Narrow" w:hAnsi="Arial Narrow" w:cs="Calibri"/>
                <w:color w:val="000000" w:themeColor="text1"/>
                <w:sz w:val="22"/>
                <w:szCs w:val="22"/>
              </w:rPr>
            </w:pPr>
            <w:r w:rsidRPr="009E35ED">
              <w:rPr>
                <w:rFonts w:ascii="Arial Narrow" w:hAnsi="Arial Narrow" w:cs="Calibri"/>
                <w:color w:val="000000" w:themeColor="text1"/>
                <w:sz w:val="22"/>
                <w:szCs w:val="22"/>
              </w:rPr>
              <w:t xml:space="preserve">Share of </w:t>
            </w:r>
            <w:r w:rsidR="004737D5">
              <w:rPr>
                <w:rFonts w:ascii="Arial Narrow" w:hAnsi="Arial Narrow" w:cs="Calibri"/>
                <w:color w:val="000000" w:themeColor="text1"/>
                <w:sz w:val="22"/>
                <w:szCs w:val="22"/>
              </w:rPr>
              <w:t>c</w:t>
            </w:r>
            <w:r w:rsidRPr="009E35ED">
              <w:rPr>
                <w:rFonts w:ascii="Arial Narrow" w:hAnsi="Arial Narrow" w:cs="Calibri"/>
                <w:color w:val="000000" w:themeColor="text1"/>
                <w:sz w:val="22"/>
                <w:szCs w:val="22"/>
              </w:rPr>
              <w:t>harity Fund in STL of NBI</w:t>
            </w:r>
          </w:p>
        </w:tc>
        <w:tc>
          <w:tcPr>
            <w:tcW w:w="1843" w:type="dxa"/>
            <w:tcBorders>
              <w:top w:val="nil"/>
              <w:left w:val="nil"/>
              <w:bottom w:val="nil"/>
              <w:right w:val="nil"/>
            </w:tcBorders>
            <w:shd w:val="clear" w:color="auto" w:fill="auto"/>
          </w:tcPr>
          <w:p w14:paraId="781C47A7" w14:textId="0F12888B" w:rsidR="00A772F7" w:rsidRPr="009E35ED" w:rsidRDefault="00A772F7" w:rsidP="00A772F7">
            <w:pPr>
              <w:ind w:left="0"/>
              <w:jc w:val="right"/>
              <w:rPr>
                <w:rFonts w:ascii="Arial Narrow" w:hAnsi="Arial Narrow"/>
                <w:color w:val="000000" w:themeColor="text1"/>
                <w:sz w:val="22"/>
                <w:szCs w:val="22"/>
              </w:rPr>
            </w:pPr>
            <w:r w:rsidRPr="009E35ED">
              <w:rPr>
                <w:rFonts w:ascii="Arial Narrow" w:hAnsi="Arial Narrow"/>
                <w:color w:val="000000" w:themeColor="text1"/>
                <w:sz w:val="22"/>
                <w:szCs w:val="22"/>
              </w:rPr>
              <w:t xml:space="preserve"> 10,513,804 </w:t>
            </w:r>
          </w:p>
        </w:tc>
        <w:tc>
          <w:tcPr>
            <w:tcW w:w="1984" w:type="dxa"/>
            <w:tcBorders>
              <w:top w:val="nil"/>
              <w:left w:val="nil"/>
              <w:bottom w:val="nil"/>
              <w:right w:val="nil"/>
            </w:tcBorders>
            <w:shd w:val="clear" w:color="auto" w:fill="auto"/>
            <w:vAlign w:val="bottom"/>
          </w:tcPr>
          <w:p w14:paraId="6FF5B7A5" w14:textId="195C442A" w:rsidR="00A772F7" w:rsidRPr="009E35ED" w:rsidRDefault="00A772F7" w:rsidP="003A5476">
            <w:pPr>
              <w:ind w:left="0" w:right="-61"/>
              <w:jc w:val="right"/>
              <w:rPr>
                <w:rFonts w:ascii="Arial Narrow" w:hAnsi="Arial Narrow" w:cs="Calibri"/>
                <w:color w:val="000000" w:themeColor="text1"/>
                <w:sz w:val="22"/>
                <w:szCs w:val="22"/>
              </w:rPr>
            </w:pPr>
            <w:r w:rsidRPr="009E35ED">
              <w:rPr>
                <w:rFonts w:ascii="Arial Narrow" w:hAnsi="Arial Narrow" w:cs="Arial"/>
                <w:color w:val="000000" w:themeColor="text1"/>
                <w:sz w:val="22"/>
                <w:szCs w:val="22"/>
              </w:rPr>
              <w:t xml:space="preserve">              8,667,843 </w:t>
            </w:r>
          </w:p>
        </w:tc>
      </w:tr>
      <w:tr w:rsidR="00997F75" w:rsidRPr="009E35ED" w14:paraId="3DC6F2A8" w14:textId="77777777" w:rsidTr="003A5476">
        <w:trPr>
          <w:trHeight w:val="188"/>
        </w:trPr>
        <w:tc>
          <w:tcPr>
            <w:tcW w:w="4950" w:type="dxa"/>
            <w:tcBorders>
              <w:top w:val="nil"/>
              <w:left w:val="nil"/>
              <w:bottom w:val="nil"/>
              <w:right w:val="nil"/>
            </w:tcBorders>
            <w:shd w:val="clear" w:color="auto" w:fill="auto"/>
            <w:vAlign w:val="bottom"/>
            <w:hideMark/>
          </w:tcPr>
          <w:p w14:paraId="56557AC1" w14:textId="1362E30D" w:rsidR="00A772F7" w:rsidRPr="009E35ED" w:rsidRDefault="00A772F7" w:rsidP="003A5476">
            <w:pPr>
              <w:ind w:left="-108"/>
              <w:jc w:val="left"/>
              <w:rPr>
                <w:rFonts w:ascii="Arial Narrow" w:hAnsi="Arial Narrow" w:cs="Calibri"/>
                <w:color w:val="000000" w:themeColor="text1"/>
                <w:sz w:val="22"/>
                <w:szCs w:val="22"/>
              </w:rPr>
            </w:pPr>
            <w:bookmarkStart w:id="10" w:name="OLE_LINK10"/>
            <w:r w:rsidRPr="009E35ED">
              <w:rPr>
                <w:rFonts w:ascii="Arial Narrow" w:hAnsi="Arial Narrow" w:cs="Calibri"/>
                <w:color w:val="000000" w:themeColor="text1"/>
                <w:sz w:val="22"/>
                <w:szCs w:val="22"/>
              </w:rPr>
              <w:t>Withheld amount payable to thermal roll supplier</w:t>
            </w:r>
            <w:bookmarkEnd w:id="10"/>
          </w:p>
        </w:tc>
        <w:tc>
          <w:tcPr>
            <w:tcW w:w="1843" w:type="dxa"/>
            <w:tcBorders>
              <w:top w:val="nil"/>
              <w:left w:val="nil"/>
              <w:bottom w:val="nil"/>
              <w:right w:val="nil"/>
            </w:tcBorders>
            <w:shd w:val="clear" w:color="auto" w:fill="auto"/>
          </w:tcPr>
          <w:p w14:paraId="28531721" w14:textId="6C05D923" w:rsidR="00A772F7" w:rsidRPr="009E35ED" w:rsidRDefault="00A772F7" w:rsidP="00A772F7">
            <w:pPr>
              <w:ind w:left="0"/>
              <w:jc w:val="right"/>
              <w:rPr>
                <w:rFonts w:ascii="Arial Narrow" w:hAnsi="Arial Narrow" w:cs="Calibri"/>
                <w:color w:val="000000" w:themeColor="text1"/>
                <w:sz w:val="22"/>
                <w:szCs w:val="22"/>
              </w:rPr>
            </w:pPr>
            <w:r w:rsidRPr="009E35ED">
              <w:rPr>
                <w:rFonts w:ascii="Arial Narrow" w:hAnsi="Arial Narrow"/>
                <w:color w:val="000000" w:themeColor="text1"/>
                <w:sz w:val="22"/>
                <w:szCs w:val="22"/>
              </w:rPr>
              <w:t xml:space="preserve"> 94,872 </w:t>
            </w:r>
          </w:p>
        </w:tc>
        <w:tc>
          <w:tcPr>
            <w:tcW w:w="1984" w:type="dxa"/>
            <w:tcBorders>
              <w:top w:val="nil"/>
              <w:left w:val="nil"/>
              <w:bottom w:val="nil"/>
              <w:right w:val="nil"/>
            </w:tcBorders>
            <w:shd w:val="clear" w:color="auto" w:fill="auto"/>
            <w:hideMark/>
          </w:tcPr>
          <w:p w14:paraId="16AB1EBD" w14:textId="07209FB2" w:rsidR="00A772F7" w:rsidRPr="009E35ED" w:rsidRDefault="00A772F7" w:rsidP="003A5476">
            <w:pPr>
              <w:ind w:left="0" w:right="-61"/>
              <w:jc w:val="right"/>
              <w:rPr>
                <w:rFonts w:ascii="Arial Narrow" w:hAnsi="Arial Narrow" w:cs="Calibri"/>
                <w:color w:val="000000" w:themeColor="text1"/>
                <w:sz w:val="22"/>
                <w:szCs w:val="22"/>
              </w:rPr>
            </w:pPr>
            <w:r w:rsidRPr="009E35ED">
              <w:rPr>
                <w:rFonts w:ascii="Arial Narrow" w:hAnsi="Arial Narrow" w:cs="Arial"/>
                <w:color w:val="000000" w:themeColor="text1"/>
                <w:sz w:val="22"/>
                <w:szCs w:val="22"/>
              </w:rPr>
              <w:t xml:space="preserve">                   94,872 </w:t>
            </w:r>
          </w:p>
        </w:tc>
      </w:tr>
      <w:tr w:rsidR="00997F75" w:rsidRPr="009E35ED" w14:paraId="37465D60" w14:textId="77777777" w:rsidTr="003A5476">
        <w:trPr>
          <w:trHeight w:val="63"/>
        </w:trPr>
        <w:tc>
          <w:tcPr>
            <w:tcW w:w="4950" w:type="dxa"/>
            <w:tcBorders>
              <w:top w:val="nil"/>
              <w:left w:val="nil"/>
              <w:bottom w:val="nil"/>
              <w:right w:val="nil"/>
            </w:tcBorders>
            <w:shd w:val="clear" w:color="auto" w:fill="auto"/>
            <w:noWrap/>
            <w:vAlign w:val="bottom"/>
            <w:hideMark/>
          </w:tcPr>
          <w:p w14:paraId="1457E123" w14:textId="77777777" w:rsidR="00A772F7" w:rsidRPr="009E35ED" w:rsidRDefault="00A772F7" w:rsidP="003A5476">
            <w:pPr>
              <w:ind w:left="-108"/>
              <w:jc w:val="left"/>
              <w:rPr>
                <w:rFonts w:ascii="Arial Narrow" w:hAnsi="Arial Narrow" w:cs="Calibri"/>
                <w:color w:val="000000" w:themeColor="text1"/>
                <w:sz w:val="22"/>
                <w:szCs w:val="22"/>
              </w:rPr>
            </w:pPr>
            <w:r w:rsidRPr="009E35ED">
              <w:rPr>
                <w:rFonts w:ascii="Arial Narrow" w:hAnsi="Arial Narrow" w:cs="Calibri"/>
                <w:color w:val="000000" w:themeColor="text1"/>
                <w:sz w:val="22"/>
                <w:szCs w:val="22"/>
              </w:rPr>
              <w:t>Other payables</w:t>
            </w:r>
          </w:p>
        </w:tc>
        <w:tc>
          <w:tcPr>
            <w:tcW w:w="1843" w:type="dxa"/>
            <w:tcBorders>
              <w:top w:val="nil"/>
              <w:left w:val="nil"/>
              <w:bottom w:val="nil"/>
              <w:right w:val="nil"/>
            </w:tcBorders>
            <w:shd w:val="clear" w:color="auto" w:fill="auto"/>
            <w:noWrap/>
          </w:tcPr>
          <w:p w14:paraId="0A64C7D8" w14:textId="34F3C4B0" w:rsidR="00A772F7" w:rsidRPr="009E35ED" w:rsidRDefault="00A772F7" w:rsidP="00A36844">
            <w:pPr>
              <w:ind w:left="0"/>
              <w:jc w:val="right"/>
              <w:rPr>
                <w:rFonts w:ascii="Arial Narrow" w:hAnsi="Arial Narrow" w:cs="Calibri"/>
                <w:color w:val="000000" w:themeColor="text1"/>
                <w:sz w:val="22"/>
                <w:szCs w:val="22"/>
              </w:rPr>
            </w:pPr>
            <w:r w:rsidRPr="009E35ED">
              <w:rPr>
                <w:rFonts w:ascii="Arial Narrow" w:hAnsi="Arial Narrow"/>
                <w:color w:val="000000" w:themeColor="text1"/>
                <w:sz w:val="22"/>
                <w:szCs w:val="22"/>
              </w:rPr>
              <w:t xml:space="preserve"> 14</w:t>
            </w:r>
            <w:r w:rsidR="00A36844" w:rsidRPr="009E35ED">
              <w:rPr>
                <w:rFonts w:ascii="Arial Narrow" w:hAnsi="Arial Narrow"/>
                <w:color w:val="000000" w:themeColor="text1"/>
                <w:sz w:val="22"/>
                <w:szCs w:val="22"/>
              </w:rPr>
              <w:t>1,993,434</w:t>
            </w:r>
            <w:r w:rsidRPr="009E35ED">
              <w:rPr>
                <w:rFonts w:ascii="Arial Narrow" w:hAnsi="Arial Narrow"/>
                <w:color w:val="000000" w:themeColor="text1"/>
                <w:sz w:val="22"/>
                <w:szCs w:val="22"/>
              </w:rPr>
              <w:t xml:space="preserve"> </w:t>
            </w:r>
          </w:p>
        </w:tc>
        <w:tc>
          <w:tcPr>
            <w:tcW w:w="1984" w:type="dxa"/>
            <w:tcBorders>
              <w:top w:val="nil"/>
              <w:left w:val="nil"/>
              <w:bottom w:val="nil"/>
              <w:right w:val="nil"/>
            </w:tcBorders>
            <w:shd w:val="clear" w:color="auto" w:fill="auto"/>
            <w:noWrap/>
            <w:vAlign w:val="bottom"/>
            <w:hideMark/>
          </w:tcPr>
          <w:p w14:paraId="575371EC" w14:textId="1CFA605B" w:rsidR="00A772F7" w:rsidRPr="009E35ED" w:rsidRDefault="00A772F7" w:rsidP="003A5476">
            <w:pPr>
              <w:ind w:left="0" w:right="-61"/>
              <w:jc w:val="right"/>
              <w:rPr>
                <w:rFonts w:ascii="Arial Narrow" w:hAnsi="Arial Narrow" w:cs="Calibri"/>
                <w:color w:val="000000" w:themeColor="text1"/>
                <w:sz w:val="22"/>
                <w:szCs w:val="22"/>
              </w:rPr>
            </w:pPr>
            <w:r w:rsidRPr="009E35ED">
              <w:rPr>
                <w:rFonts w:ascii="Arial Narrow" w:hAnsi="Arial Narrow" w:cs="Arial"/>
                <w:color w:val="000000" w:themeColor="text1"/>
                <w:sz w:val="22"/>
                <w:szCs w:val="22"/>
              </w:rPr>
              <w:t xml:space="preserve">          144,185,75</w:t>
            </w:r>
            <w:r w:rsidR="005A7329" w:rsidRPr="009E35ED">
              <w:rPr>
                <w:rFonts w:ascii="Arial Narrow" w:hAnsi="Arial Narrow" w:cs="Arial"/>
                <w:color w:val="000000" w:themeColor="text1"/>
                <w:sz w:val="22"/>
                <w:szCs w:val="22"/>
              </w:rPr>
              <w:t>1</w:t>
            </w:r>
            <w:r w:rsidRPr="009E35ED">
              <w:rPr>
                <w:rFonts w:ascii="Arial Narrow" w:hAnsi="Arial Narrow" w:cs="Arial"/>
                <w:color w:val="000000" w:themeColor="text1"/>
                <w:sz w:val="22"/>
                <w:szCs w:val="22"/>
              </w:rPr>
              <w:t xml:space="preserve"> </w:t>
            </w:r>
          </w:p>
        </w:tc>
      </w:tr>
      <w:tr w:rsidR="00D7786E" w:rsidRPr="009E35ED" w14:paraId="3C1FE6D9" w14:textId="77777777" w:rsidTr="003A5476">
        <w:trPr>
          <w:trHeight w:val="329"/>
        </w:trPr>
        <w:tc>
          <w:tcPr>
            <w:tcW w:w="4950" w:type="dxa"/>
            <w:tcBorders>
              <w:top w:val="single" w:sz="4" w:space="0" w:color="auto"/>
              <w:left w:val="nil"/>
              <w:bottom w:val="single" w:sz="4" w:space="0" w:color="auto"/>
              <w:right w:val="nil"/>
            </w:tcBorders>
            <w:shd w:val="clear" w:color="auto" w:fill="auto"/>
            <w:noWrap/>
            <w:vAlign w:val="bottom"/>
            <w:hideMark/>
          </w:tcPr>
          <w:p w14:paraId="21790245" w14:textId="77777777" w:rsidR="00D7786E" w:rsidRPr="009E35ED" w:rsidRDefault="00D7786E" w:rsidP="003A5476">
            <w:pPr>
              <w:ind w:left="-108"/>
              <w:jc w:val="left"/>
              <w:rPr>
                <w:rFonts w:ascii="Arial Narrow" w:hAnsi="Arial Narrow" w:cs="Calibri"/>
                <w:b/>
                <w:bCs/>
                <w:color w:val="000000" w:themeColor="text1"/>
                <w:sz w:val="22"/>
                <w:szCs w:val="22"/>
              </w:rPr>
            </w:pPr>
            <w:r w:rsidRPr="009E35ED">
              <w:rPr>
                <w:rFonts w:ascii="Arial Narrow" w:hAnsi="Arial Narrow" w:cs="Calibri"/>
                <w:b/>
                <w:bCs/>
                <w:color w:val="000000" w:themeColor="text1"/>
                <w:sz w:val="22"/>
                <w:szCs w:val="22"/>
              </w:rPr>
              <w:t>Total Other Payables</w:t>
            </w:r>
          </w:p>
        </w:tc>
        <w:tc>
          <w:tcPr>
            <w:tcW w:w="1843" w:type="dxa"/>
            <w:tcBorders>
              <w:top w:val="single" w:sz="4" w:space="0" w:color="auto"/>
              <w:left w:val="nil"/>
              <w:bottom w:val="single" w:sz="4" w:space="0" w:color="auto"/>
              <w:right w:val="nil"/>
            </w:tcBorders>
            <w:shd w:val="clear" w:color="auto" w:fill="auto"/>
            <w:noWrap/>
            <w:vAlign w:val="bottom"/>
          </w:tcPr>
          <w:p w14:paraId="3A58D51A" w14:textId="6CF552FC" w:rsidR="00D7786E" w:rsidRPr="009E35ED" w:rsidRDefault="00D7786E" w:rsidP="00D7786E">
            <w:pPr>
              <w:ind w:left="0"/>
              <w:jc w:val="right"/>
              <w:rPr>
                <w:rFonts w:ascii="Arial Narrow" w:hAnsi="Arial Narrow" w:cs="Calibri"/>
                <w:b/>
                <w:bCs/>
                <w:color w:val="000000" w:themeColor="text1"/>
                <w:sz w:val="22"/>
                <w:szCs w:val="22"/>
              </w:rPr>
            </w:pPr>
            <w:r w:rsidRPr="009E35ED">
              <w:rPr>
                <w:rFonts w:ascii="Arial Narrow" w:hAnsi="Arial Narrow"/>
                <w:b/>
                <w:bCs/>
                <w:sz w:val="22"/>
                <w:szCs w:val="22"/>
              </w:rPr>
              <w:t xml:space="preserve"> 1,193,268,660 </w:t>
            </w:r>
          </w:p>
        </w:tc>
        <w:tc>
          <w:tcPr>
            <w:tcW w:w="1984" w:type="dxa"/>
            <w:tcBorders>
              <w:top w:val="single" w:sz="4" w:space="0" w:color="auto"/>
              <w:left w:val="nil"/>
              <w:bottom w:val="single" w:sz="4" w:space="0" w:color="auto"/>
              <w:right w:val="nil"/>
            </w:tcBorders>
            <w:shd w:val="clear" w:color="auto" w:fill="auto"/>
            <w:noWrap/>
            <w:vAlign w:val="bottom"/>
            <w:hideMark/>
          </w:tcPr>
          <w:p w14:paraId="7CF41D95" w14:textId="08E83EE2" w:rsidR="00D7786E" w:rsidRPr="009E35ED" w:rsidRDefault="00D7786E" w:rsidP="003A5476">
            <w:pPr>
              <w:ind w:left="0" w:right="-61"/>
              <w:jc w:val="right"/>
              <w:rPr>
                <w:rFonts w:ascii="Arial Narrow" w:hAnsi="Arial Narrow" w:cs="Calibri"/>
                <w:b/>
                <w:bCs/>
                <w:color w:val="000000" w:themeColor="text1"/>
                <w:sz w:val="22"/>
                <w:szCs w:val="22"/>
              </w:rPr>
            </w:pPr>
            <w:r w:rsidRPr="009E35ED">
              <w:rPr>
                <w:rFonts w:ascii="Arial Narrow" w:hAnsi="Arial Narrow" w:cs="Arial"/>
                <w:b/>
                <w:bCs/>
                <w:color w:val="000000" w:themeColor="text1"/>
                <w:sz w:val="22"/>
                <w:szCs w:val="22"/>
              </w:rPr>
              <w:t xml:space="preserve">       1,267,020,296 </w:t>
            </w:r>
          </w:p>
        </w:tc>
      </w:tr>
      <w:tr w:rsidR="00D7786E" w:rsidRPr="009E35ED" w14:paraId="25E8AC5D" w14:textId="77777777" w:rsidTr="003A5476">
        <w:trPr>
          <w:trHeight w:val="345"/>
        </w:trPr>
        <w:tc>
          <w:tcPr>
            <w:tcW w:w="4950" w:type="dxa"/>
            <w:tcBorders>
              <w:top w:val="nil"/>
              <w:left w:val="nil"/>
              <w:bottom w:val="double" w:sz="6" w:space="0" w:color="auto"/>
              <w:right w:val="nil"/>
            </w:tcBorders>
            <w:shd w:val="clear" w:color="auto" w:fill="auto"/>
            <w:noWrap/>
            <w:vAlign w:val="bottom"/>
            <w:hideMark/>
          </w:tcPr>
          <w:p w14:paraId="2EE7E747" w14:textId="77777777" w:rsidR="00D7786E" w:rsidRPr="009E35ED" w:rsidRDefault="00D7786E" w:rsidP="003A5476">
            <w:pPr>
              <w:ind w:left="-108"/>
              <w:jc w:val="left"/>
              <w:rPr>
                <w:rFonts w:ascii="Arial Narrow" w:hAnsi="Arial Narrow" w:cs="Calibri"/>
                <w:b/>
                <w:bCs/>
                <w:color w:val="000000" w:themeColor="text1"/>
                <w:sz w:val="22"/>
                <w:szCs w:val="22"/>
              </w:rPr>
            </w:pPr>
            <w:r w:rsidRPr="009E35ED">
              <w:rPr>
                <w:rFonts w:ascii="Arial Narrow" w:hAnsi="Arial Narrow" w:cs="Calibri"/>
                <w:b/>
                <w:bCs/>
                <w:color w:val="000000" w:themeColor="text1"/>
                <w:sz w:val="22"/>
                <w:szCs w:val="22"/>
              </w:rPr>
              <w:t>TOTAL OTHER CURRENT LIABILITY</w:t>
            </w:r>
          </w:p>
        </w:tc>
        <w:tc>
          <w:tcPr>
            <w:tcW w:w="1843" w:type="dxa"/>
            <w:tcBorders>
              <w:top w:val="nil"/>
              <w:left w:val="nil"/>
              <w:bottom w:val="double" w:sz="6" w:space="0" w:color="auto"/>
              <w:right w:val="nil"/>
            </w:tcBorders>
            <w:shd w:val="clear" w:color="auto" w:fill="auto"/>
            <w:noWrap/>
            <w:vAlign w:val="bottom"/>
          </w:tcPr>
          <w:p w14:paraId="11A05D79" w14:textId="43E67921" w:rsidR="00D7786E" w:rsidRPr="009E35ED" w:rsidRDefault="00D7786E" w:rsidP="00B04ABA">
            <w:pPr>
              <w:ind w:left="0"/>
              <w:jc w:val="right"/>
              <w:rPr>
                <w:rFonts w:ascii="Arial Narrow" w:hAnsi="Arial Narrow" w:cs="Calibri"/>
                <w:b/>
                <w:bCs/>
                <w:color w:val="000000" w:themeColor="text1"/>
                <w:sz w:val="22"/>
                <w:szCs w:val="22"/>
              </w:rPr>
            </w:pPr>
            <w:r w:rsidRPr="009E35ED">
              <w:rPr>
                <w:rFonts w:ascii="Arial Narrow" w:hAnsi="Arial Narrow"/>
                <w:b/>
                <w:bCs/>
                <w:sz w:val="22"/>
                <w:szCs w:val="22"/>
              </w:rPr>
              <w:t xml:space="preserve"> </w:t>
            </w:r>
            <w:r w:rsidR="00B04ABA" w:rsidRPr="009E35ED">
              <w:rPr>
                <w:rFonts w:ascii="Arial Narrow" w:hAnsi="Arial Narrow"/>
                <w:b/>
                <w:bCs/>
                <w:sz w:val="22"/>
                <w:szCs w:val="22"/>
              </w:rPr>
              <w:t>3,881,380,045</w:t>
            </w:r>
            <w:r w:rsidRPr="009E35ED">
              <w:rPr>
                <w:rFonts w:ascii="Arial Narrow" w:hAnsi="Arial Narrow"/>
                <w:b/>
                <w:bCs/>
                <w:sz w:val="22"/>
                <w:szCs w:val="22"/>
              </w:rPr>
              <w:t xml:space="preserve"> </w:t>
            </w:r>
          </w:p>
        </w:tc>
        <w:tc>
          <w:tcPr>
            <w:tcW w:w="1984" w:type="dxa"/>
            <w:tcBorders>
              <w:top w:val="nil"/>
              <w:left w:val="nil"/>
              <w:bottom w:val="double" w:sz="6" w:space="0" w:color="auto"/>
              <w:right w:val="nil"/>
            </w:tcBorders>
            <w:shd w:val="clear" w:color="auto" w:fill="auto"/>
            <w:noWrap/>
            <w:vAlign w:val="bottom"/>
            <w:hideMark/>
          </w:tcPr>
          <w:p w14:paraId="502E93CB" w14:textId="65A806AC" w:rsidR="00D7786E" w:rsidRPr="009E35ED" w:rsidRDefault="00D7786E" w:rsidP="003A5476">
            <w:pPr>
              <w:ind w:left="0" w:right="-61"/>
              <w:jc w:val="right"/>
              <w:rPr>
                <w:rFonts w:ascii="Arial Narrow" w:hAnsi="Arial Narrow" w:cs="Calibri"/>
                <w:b/>
                <w:bCs/>
                <w:color w:val="000000" w:themeColor="text1"/>
                <w:sz w:val="22"/>
                <w:szCs w:val="22"/>
              </w:rPr>
            </w:pPr>
            <w:r w:rsidRPr="009E35ED">
              <w:rPr>
                <w:rFonts w:ascii="Arial Narrow" w:hAnsi="Arial Narrow" w:cs="Arial"/>
                <w:b/>
                <w:bCs/>
                <w:color w:val="000000" w:themeColor="text1"/>
                <w:sz w:val="22"/>
                <w:szCs w:val="22"/>
              </w:rPr>
              <w:t xml:space="preserve">       4,081,546,765 </w:t>
            </w:r>
          </w:p>
        </w:tc>
      </w:tr>
    </w:tbl>
    <w:p w14:paraId="725186D7" w14:textId="610CAD13" w:rsidR="006D37B2" w:rsidRPr="009E35ED" w:rsidRDefault="006D37B2" w:rsidP="00803F8C">
      <w:pPr>
        <w:ind w:left="0"/>
        <w:rPr>
          <w:rFonts w:ascii="Arial" w:hAnsi="Arial" w:cs="Arial"/>
          <w:color w:val="000000" w:themeColor="text1"/>
          <w:sz w:val="22"/>
          <w:szCs w:val="22"/>
        </w:rPr>
      </w:pPr>
    </w:p>
    <w:p w14:paraId="0B449729" w14:textId="77777777" w:rsidR="009A725E" w:rsidRPr="009E35ED" w:rsidRDefault="009A725E" w:rsidP="00803F8C">
      <w:pPr>
        <w:ind w:left="0"/>
        <w:rPr>
          <w:rFonts w:ascii="Arial" w:hAnsi="Arial" w:cs="Arial"/>
          <w:color w:val="000000" w:themeColor="text1"/>
          <w:sz w:val="22"/>
          <w:szCs w:val="22"/>
        </w:rPr>
      </w:pPr>
    </w:p>
    <w:p w14:paraId="43887BFE" w14:textId="36D163EB" w:rsidR="00055D57" w:rsidRPr="009E35ED" w:rsidRDefault="00055D57" w:rsidP="00055D57">
      <w:pPr>
        <w:ind w:left="0"/>
        <w:rPr>
          <w:rFonts w:ascii="Arial" w:hAnsi="Arial" w:cs="Arial"/>
          <w:color w:val="000000" w:themeColor="text1"/>
          <w:sz w:val="22"/>
          <w:szCs w:val="22"/>
        </w:rPr>
      </w:pPr>
      <w:r w:rsidRPr="009E35ED">
        <w:rPr>
          <w:rFonts w:ascii="Arial" w:hAnsi="Arial" w:cs="Arial"/>
          <w:color w:val="000000" w:themeColor="text1"/>
          <w:sz w:val="22"/>
          <w:szCs w:val="22"/>
        </w:rPr>
        <w:t>In conformity with PAS No. 8, the Other Payables account are restated as follows:</w:t>
      </w:r>
    </w:p>
    <w:p w14:paraId="6045EFB8" w14:textId="77777777" w:rsidR="003343CB" w:rsidRPr="009E35ED" w:rsidRDefault="003343CB" w:rsidP="003343CB">
      <w:pPr>
        <w:suppressAutoHyphens/>
        <w:ind w:left="0"/>
        <w:rPr>
          <w:rFonts w:ascii="Arial" w:hAnsi="Arial" w:cs="Arial"/>
          <w:bCs/>
          <w:color w:val="000000" w:themeColor="text1"/>
          <w:sz w:val="22"/>
          <w:szCs w:val="22"/>
          <w:lang w:eastAsia="ar-SA"/>
        </w:rPr>
      </w:pPr>
    </w:p>
    <w:tbl>
      <w:tblPr>
        <w:tblW w:w="8722" w:type="dxa"/>
        <w:tblLook w:val="04A0" w:firstRow="1" w:lastRow="0" w:firstColumn="1" w:lastColumn="0" w:noHBand="0" w:noVBand="1"/>
      </w:tblPr>
      <w:tblGrid>
        <w:gridCol w:w="7020"/>
        <w:gridCol w:w="1702"/>
      </w:tblGrid>
      <w:tr w:rsidR="003343CB" w:rsidRPr="009E35ED" w14:paraId="0AF23381" w14:textId="77777777" w:rsidTr="003813B3">
        <w:trPr>
          <w:trHeight w:val="278"/>
        </w:trPr>
        <w:tc>
          <w:tcPr>
            <w:tcW w:w="7020" w:type="dxa"/>
            <w:tcBorders>
              <w:top w:val="nil"/>
              <w:left w:val="nil"/>
              <w:bottom w:val="nil"/>
              <w:right w:val="nil"/>
            </w:tcBorders>
            <w:shd w:val="clear" w:color="auto" w:fill="auto"/>
            <w:noWrap/>
            <w:hideMark/>
          </w:tcPr>
          <w:p w14:paraId="760A4F57" w14:textId="20FEC7DE" w:rsidR="003343CB" w:rsidRPr="009E35ED" w:rsidRDefault="003343CB" w:rsidP="003813B3">
            <w:pPr>
              <w:ind w:left="-108"/>
              <w:jc w:val="left"/>
              <w:rPr>
                <w:rFonts w:ascii="Arial Narrow" w:hAnsi="Arial Narrow" w:cs="Arial"/>
                <w:color w:val="000000" w:themeColor="text1"/>
                <w:sz w:val="22"/>
                <w:szCs w:val="22"/>
                <w:lang w:val="en-PH" w:eastAsia="en-PH"/>
              </w:rPr>
            </w:pPr>
            <w:r w:rsidRPr="009E35ED">
              <w:rPr>
                <w:rFonts w:ascii="Arial Narrow" w:hAnsi="Arial Narrow"/>
                <w:color w:val="000000" w:themeColor="text1"/>
                <w:sz w:val="22"/>
                <w:szCs w:val="22"/>
              </w:rPr>
              <w:t xml:space="preserve">Unrestated </w:t>
            </w:r>
            <w:r w:rsidR="006C1B33">
              <w:rPr>
                <w:rFonts w:ascii="Arial Narrow" w:hAnsi="Arial Narrow"/>
                <w:color w:val="000000" w:themeColor="text1"/>
                <w:sz w:val="22"/>
                <w:szCs w:val="22"/>
              </w:rPr>
              <w:t>a</w:t>
            </w:r>
            <w:r w:rsidRPr="009E35ED">
              <w:rPr>
                <w:rFonts w:ascii="Arial Narrow" w:hAnsi="Arial Narrow"/>
                <w:color w:val="000000" w:themeColor="text1"/>
                <w:sz w:val="22"/>
                <w:szCs w:val="22"/>
              </w:rPr>
              <w:t>mount as of December 31, 2022</w:t>
            </w:r>
          </w:p>
        </w:tc>
        <w:tc>
          <w:tcPr>
            <w:tcW w:w="1702" w:type="dxa"/>
            <w:tcBorders>
              <w:top w:val="nil"/>
              <w:left w:val="nil"/>
              <w:bottom w:val="nil"/>
              <w:right w:val="nil"/>
            </w:tcBorders>
            <w:shd w:val="clear" w:color="auto" w:fill="auto"/>
            <w:noWrap/>
            <w:hideMark/>
          </w:tcPr>
          <w:p w14:paraId="0492B339" w14:textId="77777777" w:rsidR="003343CB" w:rsidRPr="009E35ED" w:rsidRDefault="003343CB" w:rsidP="003813B3">
            <w:pPr>
              <w:ind w:left="0" w:right="-108"/>
              <w:jc w:val="right"/>
              <w:rPr>
                <w:rFonts w:ascii="Arial Narrow" w:hAnsi="Arial Narrow" w:cs="Arial"/>
                <w:color w:val="000000" w:themeColor="text1"/>
                <w:sz w:val="22"/>
                <w:szCs w:val="22"/>
                <w:lang w:val="en-PH" w:eastAsia="en-PH"/>
              </w:rPr>
            </w:pPr>
            <w:r w:rsidRPr="009E35ED">
              <w:rPr>
                <w:rFonts w:ascii="Arial Narrow" w:hAnsi="Arial Narrow"/>
                <w:color w:val="000000" w:themeColor="text1"/>
                <w:sz w:val="22"/>
                <w:szCs w:val="22"/>
              </w:rPr>
              <w:t xml:space="preserve"> 156,951,486 </w:t>
            </w:r>
          </w:p>
        </w:tc>
      </w:tr>
      <w:tr w:rsidR="003343CB" w:rsidRPr="009E35ED" w14:paraId="130E27FD" w14:textId="77777777" w:rsidTr="003813B3">
        <w:trPr>
          <w:trHeight w:val="278"/>
        </w:trPr>
        <w:tc>
          <w:tcPr>
            <w:tcW w:w="7020" w:type="dxa"/>
            <w:tcBorders>
              <w:top w:val="nil"/>
              <w:left w:val="nil"/>
              <w:bottom w:val="nil"/>
              <w:right w:val="nil"/>
            </w:tcBorders>
            <w:shd w:val="clear" w:color="auto" w:fill="auto"/>
            <w:noWrap/>
            <w:hideMark/>
          </w:tcPr>
          <w:p w14:paraId="08AE8C45" w14:textId="02D23C65" w:rsidR="003343CB" w:rsidRPr="009E35ED" w:rsidRDefault="003343CB" w:rsidP="003813B3">
            <w:pPr>
              <w:ind w:left="-108"/>
              <w:jc w:val="left"/>
              <w:rPr>
                <w:rFonts w:ascii="Arial Narrow" w:hAnsi="Arial Narrow" w:cs="Arial"/>
                <w:color w:val="000000" w:themeColor="text1"/>
                <w:sz w:val="22"/>
                <w:szCs w:val="22"/>
                <w:lang w:val="en-PH" w:eastAsia="en-PH"/>
              </w:rPr>
            </w:pPr>
            <w:r w:rsidRPr="009E35ED">
              <w:rPr>
                <w:rFonts w:ascii="Arial Narrow" w:hAnsi="Arial Narrow"/>
                <w:color w:val="000000" w:themeColor="text1"/>
                <w:sz w:val="22"/>
                <w:szCs w:val="22"/>
              </w:rPr>
              <w:t xml:space="preserve">Adjustment/Recording of </w:t>
            </w:r>
            <w:r w:rsidR="006C1B33">
              <w:rPr>
                <w:rFonts w:ascii="Arial Narrow" w:hAnsi="Arial Narrow"/>
                <w:color w:val="000000" w:themeColor="text1"/>
                <w:sz w:val="22"/>
                <w:szCs w:val="22"/>
              </w:rPr>
              <w:t>o</w:t>
            </w:r>
            <w:r w:rsidRPr="009E35ED">
              <w:rPr>
                <w:rFonts w:ascii="Arial Narrow" w:hAnsi="Arial Narrow"/>
                <w:color w:val="000000" w:themeColor="text1"/>
                <w:sz w:val="22"/>
                <w:szCs w:val="22"/>
              </w:rPr>
              <w:t xml:space="preserve">ther </w:t>
            </w:r>
            <w:r w:rsidR="006C1B33">
              <w:rPr>
                <w:rFonts w:ascii="Arial Narrow" w:hAnsi="Arial Narrow"/>
                <w:color w:val="000000" w:themeColor="text1"/>
                <w:sz w:val="22"/>
                <w:szCs w:val="22"/>
              </w:rPr>
              <w:t>p</w:t>
            </w:r>
            <w:r w:rsidRPr="009E35ED">
              <w:rPr>
                <w:rFonts w:ascii="Arial Narrow" w:hAnsi="Arial Narrow"/>
                <w:color w:val="000000" w:themeColor="text1"/>
                <w:sz w:val="22"/>
                <w:szCs w:val="22"/>
              </w:rPr>
              <w:t xml:space="preserve">ayables – STL </w:t>
            </w:r>
            <w:r w:rsidR="006C1B33">
              <w:rPr>
                <w:rFonts w:ascii="Arial Narrow" w:hAnsi="Arial Narrow"/>
                <w:color w:val="000000" w:themeColor="text1"/>
                <w:sz w:val="22"/>
                <w:szCs w:val="22"/>
              </w:rPr>
              <w:t>s</w:t>
            </w:r>
            <w:r w:rsidRPr="009E35ED">
              <w:rPr>
                <w:rFonts w:ascii="Arial Narrow" w:hAnsi="Arial Narrow"/>
                <w:color w:val="000000" w:themeColor="text1"/>
                <w:sz w:val="22"/>
                <w:szCs w:val="22"/>
              </w:rPr>
              <w:t>hare-</w:t>
            </w:r>
            <w:r w:rsidR="006C1B33">
              <w:rPr>
                <w:rFonts w:ascii="Arial Narrow" w:hAnsi="Arial Narrow"/>
                <w:color w:val="000000" w:themeColor="text1"/>
                <w:sz w:val="22"/>
                <w:szCs w:val="22"/>
              </w:rPr>
              <w:t>c</w:t>
            </w:r>
            <w:r w:rsidRPr="009E35ED">
              <w:rPr>
                <w:rFonts w:ascii="Arial Narrow" w:hAnsi="Arial Narrow"/>
                <w:color w:val="000000" w:themeColor="text1"/>
                <w:sz w:val="22"/>
                <w:szCs w:val="22"/>
              </w:rPr>
              <w:t xml:space="preserve">ongressional </w:t>
            </w:r>
            <w:r w:rsidR="006C1B33">
              <w:rPr>
                <w:rFonts w:ascii="Arial Narrow" w:hAnsi="Arial Narrow"/>
                <w:color w:val="000000" w:themeColor="text1"/>
                <w:sz w:val="22"/>
                <w:szCs w:val="22"/>
              </w:rPr>
              <w:t>c</w:t>
            </w:r>
            <w:r w:rsidRPr="009E35ED">
              <w:rPr>
                <w:rFonts w:ascii="Arial Narrow" w:hAnsi="Arial Narrow"/>
                <w:color w:val="000000" w:themeColor="text1"/>
                <w:sz w:val="22"/>
                <w:szCs w:val="22"/>
              </w:rPr>
              <w:t xml:space="preserve">laims - </w:t>
            </w:r>
            <w:r w:rsidR="006C1B33">
              <w:rPr>
                <w:rFonts w:ascii="Arial Narrow" w:hAnsi="Arial Narrow"/>
                <w:color w:val="000000" w:themeColor="text1"/>
                <w:sz w:val="22"/>
                <w:szCs w:val="22"/>
              </w:rPr>
              <w:t>b</w:t>
            </w:r>
            <w:r w:rsidRPr="009E35ED">
              <w:rPr>
                <w:rFonts w:ascii="Arial Narrow" w:hAnsi="Arial Narrow"/>
                <w:color w:val="000000" w:themeColor="text1"/>
                <w:sz w:val="22"/>
                <w:szCs w:val="22"/>
              </w:rPr>
              <w:t>ranches</w:t>
            </w:r>
          </w:p>
        </w:tc>
        <w:tc>
          <w:tcPr>
            <w:tcW w:w="1702" w:type="dxa"/>
            <w:tcBorders>
              <w:top w:val="nil"/>
              <w:left w:val="nil"/>
              <w:bottom w:val="nil"/>
              <w:right w:val="nil"/>
            </w:tcBorders>
            <w:shd w:val="clear" w:color="auto" w:fill="auto"/>
            <w:noWrap/>
            <w:hideMark/>
          </w:tcPr>
          <w:p w14:paraId="02585DAB" w14:textId="56639F05" w:rsidR="003343CB" w:rsidRPr="009E35ED" w:rsidRDefault="003343CB">
            <w:pPr>
              <w:ind w:left="0" w:right="-108"/>
              <w:jc w:val="right"/>
              <w:rPr>
                <w:rFonts w:ascii="Arial Narrow" w:hAnsi="Arial Narrow" w:cs="Arial"/>
                <w:color w:val="000000" w:themeColor="text1"/>
                <w:sz w:val="22"/>
                <w:szCs w:val="22"/>
                <w:lang w:val="en-PH" w:eastAsia="en-PH"/>
              </w:rPr>
            </w:pPr>
            <w:r w:rsidRPr="009E35ED">
              <w:rPr>
                <w:rFonts w:ascii="Arial Narrow" w:hAnsi="Arial Narrow"/>
                <w:color w:val="000000" w:themeColor="text1"/>
                <w:sz w:val="22"/>
                <w:szCs w:val="22"/>
              </w:rPr>
              <w:t xml:space="preserve"> (1,014,363)</w:t>
            </w:r>
          </w:p>
        </w:tc>
      </w:tr>
      <w:tr w:rsidR="003343CB" w:rsidRPr="009E35ED" w14:paraId="72A869B4" w14:textId="77777777" w:rsidTr="003813B3">
        <w:trPr>
          <w:trHeight w:val="308"/>
        </w:trPr>
        <w:tc>
          <w:tcPr>
            <w:tcW w:w="7020" w:type="dxa"/>
            <w:tcBorders>
              <w:top w:val="single" w:sz="4" w:space="0" w:color="auto"/>
              <w:left w:val="nil"/>
              <w:bottom w:val="double" w:sz="6" w:space="0" w:color="auto"/>
              <w:right w:val="nil"/>
            </w:tcBorders>
            <w:shd w:val="clear" w:color="auto" w:fill="auto"/>
            <w:noWrap/>
            <w:hideMark/>
          </w:tcPr>
          <w:p w14:paraId="2120D79A" w14:textId="77777777" w:rsidR="003343CB" w:rsidRPr="009E35ED" w:rsidRDefault="003343CB" w:rsidP="003813B3">
            <w:pPr>
              <w:ind w:left="-108"/>
              <w:jc w:val="left"/>
              <w:rPr>
                <w:rFonts w:ascii="Arial Narrow" w:hAnsi="Arial Narrow"/>
                <w:b/>
                <w:bCs/>
                <w:color w:val="000000" w:themeColor="text1"/>
                <w:sz w:val="22"/>
                <w:szCs w:val="22"/>
              </w:rPr>
            </w:pPr>
            <w:r w:rsidRPr="009E35ED">
              <w:rPr>
                <w:rFonts w:ascii="Arial Narrow" w:hAnsi="Arial Narrow"/>
                <w:b/>
                <w:bCs/>
                <w:color w:val="000000" w:themeColor="text1"/>
                <w:sz w:val="22"/>
                <w:szCs w:val="22"/>
              </w:rPr>
              <w:t>Restated Amount as of December 31, 2022-</w:t>
            </w:r>
            <w:r>
              <w:t xml:space="preserve"> </w:t>
            </w:r>
            <w:r w:rsidRPr="00B056ED">
              <w:rPr>
                <w:rFonts w:ascii="Arial Narrow" w:hAnsi="Arial Narrow"/>
                <w:b/>
                <w:bCs/>
                <w:color w:val="000000" w:themeColor="text1"/>
                <w:sz w:val="22"/>
                <w:szCs w:val="22"/>
              </w:rPr>
              <w:t>Share of Charity Fund in STL of Congressional</w:t>
            </w:r>
          </w:p>
        </w:tc>
        <w:tc>
          <w:tcPr>
            <w:tcW w:w="1702" w:type="dxa"/>
            <w:tcBorders>
              <w:top w:val="single" w:sz="4" w:space="0" w:color="auto"/>
              <w:left w:val="nil"/>
              <w:bottom w:val="double" w:sz="6" w:space="0" w:color="auto"/>
              <w:right w:val="nil"/>
            </w:tcBorders>
            <w:shd w:val="clear" w:color="auto" w:fill="auto"/>
            <w:noWrap/>
            <w:hideMark/>
          </w:tcPr>
          <w:p w14:paraId="03FBEC64" w14:textId="77777777" w:rsidR="003343CB" w:rsidRPr="009E35ED" w:rsidRDefault="003343CB" w:rsidP="003813B3">
            <w:pPr>
              <w:ind w:left="0" w:right="-108"/>
              <w:jc w:val="right"/>
              <w:rPr>
                <w:rFonts w:ascii="Arial Narrow" w:hAnsi="Arial Narrow" w:cs="Arial"/>
                <w:b/>
                <w:bCs/>
                <w:color w:val="000000" w:themeColor="text1"/>
                <w:sz w:val="22"/>
                <w:szCs w:val="22"/>
                <w:lang w:val="en-PH" w:eastAsia="en-PH"/>
              </w:rPr>
            </w:pPr>
            <w:r w:rsidRPr="009E35ED">
              <w:rPr>
                <w:rFonts w:ascii="Arial Narrow" w:hAnsi="Arial Narrow"/>
                <w:b/>
                <w:bCs/>
                <w:color w:val="000000" w:themeColor="text1"/>
                <w:sz w:val="22"/>
                <w:szCs w:val="22"/>
              </w:rPr>
              <w:t xml:space="preserve"> 155,937,123 </w:t>
            </w:r>
          </w:p>
        </w:tc>
      </w:tr>
    </w:tbl>
    <w:p w14:paraId="6609918B" w14:textId="77777777" w:rsidR="00055D57" w:rsidRPr="009E35ED" w:rsidRDefault="00055D57" w:rsidP="00055D57">
      <w:pPr>
        <w:rPr>
          <w:rFonts w:ascii="Arial" w:hAnsi="Arial" w:cs="Arial"/>
          <w:color w:val="000000" w:themeColor="text1"/>
          <w:sz w:val="22"/>
          <w:szCs w:val="22"/>
        </w:rPr>
      </w:pPr>
    </w:p>
    <w:tbl>
      <w:tblPr>
        <w:tblW w:w="8722" w:type="dxa"/>
        <w:tblLook w:val="04A0" w:firstRow="1" w:lastRow="0" w:firstColumn="1" w:lastColumn="0" w:noHBand="0" w:noVBand="1"/>
      </w:tblPr>
      <w:tblGrid>
        <w:gridCol w:w="7020"/>
        <w:gridCol w:w="1702"/>
      </w:tblGrid>
      <w:tr w:rsidR="00997F75" w:rsidRPr="009E35ED" w14:paraId="15C73CB1" w14:textId="77777777" w:rsidTr="003A5476">
        <w:trPr>
          <w:trHeight w:val="278"/>
        </w:trPr>
        <w:tc>
          <w:tcPr>
            <w:tcW w:w="7020" w:type="dxa"/>
            <w:tcBorders>
              <w:top w:val="nil"/>
              <w:left w:val="nil"/>
              <w:bottom w:val="nil"/>
              <w:right w:val="nil"/>
            </w:tcBorders>
            <w:shd w:val="clear" w:color="auto" w:fill="auto"/>
            <w:noWrap/>
            <w:hideMark/>
          </w:tcPr>
          <w:p w14:paraId="18216C46" w14:textId="7650573A" w:rsidR="00396348" w:rsidRPr="009E35ED" w:rsidRDefault="00396348">
            <w:pPr>
              <w:ind w:left="-108"/>
              <w:jc w:val="left"/>
              <w:rPr>
                <w:rFonts w:ascii="Arial Narrow" w:hAnsi="Arial Narrow" w:cs="Arial"/>
                <w:color w:val="000000" w:themeColor="text1"/>
                <w:sz w:val="22"/>
                <w:szCs w:val="20"/>
                <w:lang w:val="en-PH" w:eastAsia="en-PH"/>
              </w:rPr>
            </w:pPr>
            <w:r w:rsidRPr="009E35ED">
              <w:rPr>
                <w:rFonts w:ascii="Arial Narrow" w:hAnsi="Arial Narrow"/>
                <w:color w:val="000000" w:themeColor="text1"/>
                <w:sz w:val="22"/>
                <w:szCs w:val="20"/>
              </w:rPr>
              <w:t xml:space="preserve">Unrestated </w:t>
            </w:r>
            <w:r w:rsidR="00142F79">
              <w:rPr>
                <w:rFonts w:ascii="Arial Narrow" w:hAnsi="Arial Narrow"/>
                <w:color w:val="000000" w:themeColor="text1"/>
                <w:sz w:val="22"/>
                <w:szCs w:val="20"/>
              </w:rPr>
              <w:t>amount as</w:t>
            </w:r>
            <w:r w:rsidRPr="009E35ED">
              <w:rPr>
                <w:rFonts w:ascii="Arial Narrow" w:hAnsi="Arial Narrow"/>
                <w:color w:val="000000" w:themeColor="text1"/>
                <w:sz w:val="22"/>
                <w:szCs w:val="20"/>
              </w:rPr>
              <w:t xml:space="preserve"> of December 31, 2022</w:t>
            </w:r>
          </w:p>
        </w:tc>
        <w:tc>
          <w:tcPr>
            <w:tcW w:w="1702" w:type="dxa"/>
            <w:tcBorders>
              <w:top w:val="nil"/>
              <w:left w:val="nil"/>
              <w:bottom w:val="nil"/>
              <w:right w:val="nil"/>
            </w:tcBorders>
            <w:shd w:val="clear" w:color="auto" w:fill="auto"/>
            <w:noWrap/>
            <w:hideMark/>
          </w:tcPr>
          <w:p w14:paraId="554366AF" w14:textId="76F55630" w:rsidR="00396348" w:rsidRPr="009E35ED" w:rsidRDefault="00396348" w:rsidP="003A5476">
            <w:pPr>
              <w:ind w:left="-108" w:right="-116"/>
              <w:jc w:val="right"/>
              <w:rPr>
                <w:rFonts w:ascii="Arial Narrow" w:hAnsi="Arial Narrow" w:cs="Arial"/>
                <w:color w:val="000000" w:themeColor="text1"/>
                <w:sz w:val="22"/>
                <w:szCs w:val="20"/>
                <w:lang w:val="en-PH" w:eastAsia="en-PH"/>
              </w:rPr>
            </w:pPr>
            <w:r w:rsidRPr="009E35ED">
              <w:rPr>
                <w:rFonts w:ascii="Arial Narrow" w:hAnsi="Arial Narrow"/>
                <w:color w:val="000000" w:themeColor="text1"/>
                <w:sz w:val="22"/>
                <w:szCs w:val="20"/>
              </w:rPr>
              <w:t xml:space="preserve"> 144,182,64</w:t>
            </w:r>
            <w:r w:rsidR="00D772CF" w:rsidRPr="009E35ED">
              <w:rPr>
                <w:rFonts w:ascii="Arial Narrow" w:hAnsi="Arial Narrow"/>
                <w:color w:val="000000" w:themeColor="text1"/>
                <w:sz w:val="22"/>
                <w:szCs w:val="20"/>
              </w:rPr>
              <w:t>6</w:t>
            </w:r>
            <w:r w:rsidRPr="009E35ED">
              <w:rPr>
                <w:rFonts w:ascii="Arial Narrow" w:hAnsi="Arial Narrow"/>
                <w:color w:val="000000" w:themeColor="text1"/>
                <w:sz w:val="22"/>
                <w:szCs w:val="20"/>
              </w:rPr>
              <w:t xml:space="preserve"> </w:t>
            </w:r>
          </w:p>
        </w:tc>
      </w:tr>
      <w:tr w:rsidR="00997F75" w:rsidRPr="009E35ED" w14:paraId="080BBC7B" w14:textId="77777777" w:rsidTr="003A5476">
        <w:trPr>
          <w:trHeight w:val="278"/>
        </w:trPr>
        <w:tc>
          <w:tcPr>
            <w:tcW w:w="7020" w:type="dxa"/>
            <w:tcBorders>
              <w:top w:val="nil"/>
              <w:left w:val="nil"/>
              <w:bottom w:val="nil"/>
              <w:right w:val="nil"/>
            </w:tcBorders>
            <w:shd w:val="clear" w:color="auto" w:fill="auto"/>
            <w:noWrap/>
            <w:hideMark/>
          </w:tcPr>
          <w:p w14:paraId="1770021C" w14:textId="1BE99F96" w:rsidR="00396348" w:rsidRPr="009E35ED" w:rsidRDefault="00396348">
            <w:pPr>
              <w:ind w:left="-108"/>
              <w:jc w:val="left"/>
              <w:rPr>
                <w:rFonts w:ascii="Arial Narrow" w:hAnsi="Arial Narrow" w:cs="Arial"/>
                <w:color w:val="000000" w:themeColor="text1"/>
                <w:sz w:val="22"/>
                <w:szCs w:val="20"/>
                <w:lang w:val="en-PH" w:eastAsia="en-PH"/>
              </w:rPr>
            </w:pPr>
            <w:r w:rsidRPr="009E35ED">
              <w:rPr>
                <w:rFonts w:ascii="Arial Narrow" w:hAnsi="Arial Narrow"/>
                <w:color w:val="000000" w:themeColor="text1"/>
                <w:sz w:val="22"/>
                <w:szCs w:val="20"/>
              </w:rPr>
              <w:t xml:space="preserve">Adjustment/Recording of </w:t>
            </w:r>
            <w:r w:rsidR="00142F79">
              <w:rPr>
                <w:rFonts w:ascii="Arial Narrow" w:hAnsi="Arial Narrow"/>
                <w:color w:val="000000" w:themeColor="text1"/>
                <w:sz w:val="22"/>
                <w:szCs w:val="20"/>
              </w:rPr>
              <w:t>o</w:t>
            </w:r>
            <w:r w:rsidRPr="009E35ED">
              <w:rPr>
                <w:rFonts w:ascii="Arial Narrow" w:hAnsi="Arial Narrow"/>
                <w:color w:val="000000" w:themeColor="text1"/>
                <w:sz w:val="22"/>
                <w:szCs w:val="20"/>
              </w:rPr>
              <w:t xml:space="preserve">ther </w:t>
            </w:r>
            <w:r w:rsidR="00142F79">
              <w:rPr>
                <w:rFonts w:ascii="Arial Narrow" w:hAnsi="Arial Narrow"/>
                <w:color w:val="000000" w:themeColor="text1"/>
                <w:sz w:val="22"/>
                <w:szCs w:val="20"/>
              </w:rPr>
              <w:t>p</w:t>
            </w:r>
            <w:r w:rsidRPr="009E35ED">
              <w:rPr>
                <w:rFonts w:ascii="Arial Narrow" w:hAnsi="Arial Narrow"/>
                <w:color w:val="000000" w:themeColor="text1"/>
                <w:sz w:val="22"/>
                <w:szCs w:val="20"/>
              </w:rPr>
              <w:t>ayables – S</w:t>
            </w:r>
            <w:r w:rsidR="009C0979" w:rsidRPr="009E35ED">
              <w:rPr>
                <w:rFonts w:ascii="Arial Narrow" w:hAnsi="Arial Narrow"/>
                <w:color w:val="000000" w:themeColor="text1"/>
                <w:sz w:val="22"/>
                <w:szCs w:val="20"/>
              </w:rPr>
              <w:t>EU</w:t>
            </w:r>
            <w:r w:rsidRPr="009E35ED">
              <w:rPr>
                <w:rFonts w:ascii="Arial Narrow" w:hAnsi="Arial Narrow"/>
                <w:color w:val="000000" w:themeColor="text1"/>
                <w:sz w:val="22"/>
                <w:szCs w:val="20"/>
              </w:rPr>
              <w:t xml:space="preserve"> </w:t>
            </w:r>
            <w:r w:rsidR="00142F79">
              <w:rPr>
                <w:rFonts w:ascii="Arial Narrow" w:hAnsi="Arial Narrow"/>
                <w:color w:val="000000" w:themeColor="text1"/>
                <w:sz w:val="22"/>
                <w:szCs w:val="20"/>
              </w:rPr>
              <w:t>m</w:t>
            </w:r>
            <w:r w:rsidRPr="009E35ED">
              <w:rPr>
                <w:rFonts w:ascii="Arial Narrow" w:hAnsi="Arial Narrow"/>
                <w:color w:val="000000" w:themeColor="text1"/>
                <w:sz w:val="22"/>
                <w:szCs w:val="20"/>
              </w:rPr>
              <w:t xml:space="preserve">onthly </w:t>
            </w:r>
            <w:r w:rsidR="00142F79">
              <w:rPr>
                <w:rFonts w:ascii="Arial Narrow" w:hAnsi="Arial Narrow"/>
                <w:color w:val="000000" w:themeColor="text1"/>
                <w:sz w:val="22"/>
                <w:szCs w:val="20"/>
              </w:rPr>
              <w:t>d</w:t>
            </w:r>
            <w:r w:rsidRPr="009E35ED">
              <w:rPr>
                <w:rFonts w:ascii="Arial Narrow" w:hAnsi="Arial Narrow"/>
                <w:color w:val="000000" w:themeColor="text1"/>
                <w:sz w:val="22"/>
                <w:szCs w:val="20"/>
              </w:rPr>
              <w:t xml:space="preserve">ues </w:t>
            </w:r>
            <w:r w:rsidR="00142F79">
              <w:rPr>
                <w:rFonts w:ascii="Arial Narrow" w:hAnsi="Arial Narrow"/>
                <w:color w:val="000000" w:themeColor="text1"/>
                <w:sz w:val="22"/>
                <w:szCs w:val="20"/>
              </w:rPr>
              <w:t>a</w:t>
            </w:r>
            <w:r w:rsidRPr="009E35ED">
              <w:rPr>
                <w:rFonts w:ascii="Arial Narrow" w:hAnsi="Arial Narrow"/>
                <w:color w:val="000000" w:themeColor="text1"/>
                <w:sz w:val="22"/>
                <w:szCs w:val="20"/>
              </w:rPr>
              <w:t xml:space="preserve">nd </w:t>
            </w:r>
            <w:r w:rsidR="00142F79">
              <w:rPr>
                <w:rFonts w:ascii="Arial Narrow" w:hAnsi="Arial Narrow"/>
                <w:color w:val="000000" w:themeColor="text1"/>
                <w:sz w:val="22"/>
                <w:szCs w:val="20"/>
              </w:rPr>
              <w:t>a</w:t>
            </w:r>
            <w:r w:rsidRPr="009E35ED">
              <w:rPr>
                <w:rFonts w:ascii="Arial Narrow" w:hAnsi="Arial Narrow"/>
                <w:color w:val="000000" w:themeColor="text1"/>
                <w:sz w:val="22"/>
                <w:szCs w:val="20"/>
              </w:rPr>
              <w:t xml:space="preserve">ssessment - </w:t>
            </w:r>
            <w:r w:rsidR="00142F79">
              <w:rPr>
                <w:rFonts w:ascii="Arial Narrow" w:hAnsi="Arial Narrow"/>
                <w:color w:val="000000" w:themeColor="text1"/>
                <w:sz w:val="22"/>
                <w:szCs w:val="20"/>
              </w:rPr>
              <w:t>h</w:t>
            </w:r>
            <w:r w:rsidRPr="009E35ED">
              <w:rPr>
                <w:rFonts w:ascii="Arial Narrow" w:hAnsi="Arial Narrow"/>
                <w:color w:val="000000" w:themeColor="text1"/>
                <w:sz w:val="22"/>
                <w:szCs w:val="20"/>
              </w:rPr>
              <w:t xml:space="preserve">ead </w:t>
            </w:r>
            <w:r w:rsidR="00142F79">
              <w:rPr>
                <w:rFonts w:ascii="Arial Narrow" w:hAnsi="Arial Narrow"/>
                <w:color w:val="000000" w:themeColor="text1"/>
                <w:sz w:val="22"/>
                <w:szCs w:val="20"/>
              </w:rPr>
              <w:t>o</w:t>
            </w:r>
            <w:r w:rsidRPr="009E35ED">
              <w:rPr>
                <w:rFonts w:ascii="Arial Narrow" w:hAnsi="Arial Narrow"/>
                <w:color w:val="000000" w:themeColor="text1"/>
                <w:sz w:val="22"/>
                <w:szCs w:val="20"/>
              </w:rPr>
              <w:t>ffice</w:t>
            </w:r>
          </w:p>
        </w:tc>
        <w:tc>
          <w:tcPr>
            <w:tcW w:w="1702" w:type="dxa"/>
            <w:tcBorders>
              <w:top w:val="nil"/>
              <w:left w:val="nil"/>
              <w:bottom w:val="nil"/>
              <w:right w:val="nil"/>
            </w:tcBorders>
            <w:shd w:val="clear" w:color="auto" w:fill="auto"/>
            <w:noWrap/>
            <w:vAlign w:val="bottom"/>
            <w:hideMark/>
          </w:tcPr>
          <w:p w14:paraId="5F0EBED6" w14:textId="77777777" w:rsidR="00377724" w:rsidRPr="009E35ED" w:rsidRDefault="00377724" w:rsidP="003A5476">
            <w:pPr>
              <w:ind w:left="-108" w:right="-116"/>
              <w:jc w:val="right"/>
              <w:rPr>
                <w:rFonts w:ascii="Arial Narrow" w:hAnsi="Arial Narrow"/>
                <w:color w:val="000000" w:themeColor="text1"/>
                <w:sz w:val="22"/>
                <w:szCs w:val="20"/>
              </w:rPr>
            </w:pPr>
          </w:p>
          <w:p w14:paraId="3F0D9B4D" w14:textId="4909CC10" w:rsidR="00396348" w:rsidRPr="009E35ED" w:rsidRDefault="00396348" w:rsidP="003A5476">
            <w:pPr>
              <w:ind w:left="-108" w:right="-116"/>
              <w:jc w:val="right"/>
              <w:rPr>
                <w:rFonts w:ascii="Arial Narrow" w:hAnsi="Arial Narrow"/>
                <w:color w:val="000000" w:themeColor="text1"/>
                <w:sz w:val="22"/>
                <w:szCs w:val="20"/>
              </w:rPr>
            </w:pPr>
            <w:r w:rsidRPr="009E35ED">
              <w:rPr>
                <w:rFonts w:ascii="Arial Narrow" w:hAnsi="Arial Narrow"/>
                <w:color w:val="000000" w:themeColor="text1"/>
                <w:sz w:val="22"/>
                <w:szCs w:val="20"/>
              </w:rPr>
              <w:t xml:space="preserve"> 3,105 </w:t>
            </w:r>
          </w:p>
        </w:tc>
      </w:tr>
      <w:tr w:rsidR="00C80AD4" w:rsidRPr="009E35ED" w14:paraId="6CFEA3D1" w14:textId="77777777" w:rsidTr="003A5476">
        <w:trPr>
          <w:trHeight w:val="308"/>
        </w:trPr>
        <w:tc>
          <w:tcPr>
            <w:tcW w:w="7020" w:type="dxa"/>
            <w:tcBorders>
              <w:top w:val="single" w:sz="4" w:space="0" w:color="auto"/>
              <w:left w:val="nil"/>
              <w:bottom w:val="double" w:sz="6" w:space="0" w:color="auto"/>
              <w:right w:val="nil"/>
            </w:tcBorders>
            <w:shd w:val="clear" w:color="auto" w:fill="auto"/>
            <w:noWrap/>
            <w:hideMark/>
          </w:tcPr>
          <w:p w14:paraId="454A768D" w14:textId="41B5CB55" w:rsidR="00396348" w:rsidRPr="009E35ED" w:rsidRDefault="00396348" w:rsidP="003A5476">
            <w:pPr>
              <w:ind w:left="-108"/>
              <w:jc w:val="left"/>
              <w:rPr>
                <w:rFonts w:ascii="Arial Narrow" w:hAnsi="Arial Narrow" w:cs="Arial"/>
                <w:b/>
                <w:bCs/>
                <w:color w:val="000000" w:themeColor="text1"/>
                <w:sz w:val="22"/>
                <w:szCs w:val="22"/>
                <w:lang w:val="en-PH" w:eastAsia="en-PH"/>
              </w:rPr>
            </w:pPr>
            <w:r w:rsidRPr="009E35ED">
              <w:rPr>
                <w:rFonts w:ascii="Arial Narrow" w:hAnsi="Arial Narrow"/>
                <w:b/>
                <w:bCs/>
                <w:color w:val="000000" w:themeColor="text1"/>
                <w:sz w:val="22"/>
                <w:szCs w:val="22"/>
              </w:rPr>
              <w:t>Restated Amount as of December 31, 2022-Other Payables</w:t>
            </w:r>
          </w:p>
        </w:tc>
        <w:tc>
          <w:tcPr>
            <w:tcW w:w="1702" w:type="dxa"/>
            <w:tcBorders>
              <w:top w:val="single" w:sz="4" w:space="0" w:color="auto"/>
              <w:left w:val="nil"/>
              <w:bottom w:val="double" w:sz="6" w:space="0" w:color="auto"/>
              <w:right w:val="nil"/>
            </w:tcBorders>
            <w:shd w:val="clear" w:color="auto" w:fill="auto"/>
            <w:noWrap/>
            <w:hideMark/>
          </w:tcPr>
          <w:p w14:paraId="54B2DE15" w14:textId="224A1378" w:rsidR="00396348" w:rsidRPr="009E35ED" w:rsidRDefault="00396348" w:rsidP="003A5476">
            <w:pPr>
              <w:ind w:left="-108" w:right="-116"/>
              <w:jc w:val="right"/>
              <w:rPr>
                <w:rFonts w:ascii="Arial Narrow" w:hAnsi="Arial Narrow" w:cs="Arial"/>
                <w:b/>
                <w:bCs/>
                <w:color w:val="000000" w:themeColor="text1"/>
                <w:sz w:val="22"/>
                <w:szCs w:val="22"/>
                <w:lang w:val="en-PH" w:eastAsia="en-PH"/>
              </w:rPr>
            </w:pPr>
            <w:r w:rsidRPr="009E35ED">
              <w:rPr>
                <w:rFonts w:ascii="Arial Narrow" w:hAnsi="Arial Narrow"/>
                <w:b/>
                <w:bCs/>
                <w:color w:val="000000" w:themeColor="text1"/>
                <w:sz w:val="22"/>
                <w:szCs w:val="22"/>
              </w:rPr>
              <w:t xml:space="preserve"> 144,185,75</w:t>
            </w:r>
            <w:r w:rsidR="00D772CF" w:rsidRPr="009E35ED">
              <w:rPr>
                <w:rFonts w:ascii="Arial Narrow" w:hAnsi="Arial Narrow"/>
                <w:b/>
                <w:bCs/>
                <w:color w:val="000000" w:themeColor="text1"/>
                <w:sz w:val="22"/>
                <w:szCs w:val="22"/>
              </w:rPr>
              <w:t>1</w:t>
            </w:r>
            <w:r w:rsidRPr="009E35ED">
              <w:rPr>
                <w:rFonts w:ascii="Arial Narrow" w:hAnsi="Arial Narrow"/>
                <w:b/>
                <w:bCs/>
                <w:color w:val="000000" w:themeColor="text1"/>
                <w:sz w:val="22"/>
                <w:szCs w:val="22"/>
              </w:rPr>
              <w:t xml:space="preserve"> </w:t>
            </w:r>
          </w:p>
        </w:tc>
      </w:tr>
    </w:tbl>
    <w:p w14:paraId="7FDF811B" w14:textId="77777777" w:rsidR="00055D57" w:rsidRPr="009E35ED" w:rsidRDefault="00055D57" w:rsidP="00055D57">
      <w:pPr>
        <w:ind w:left="0"/>
        <w:rPr>
          <w:rFonts w:ascii="Arial" w:hAnsi="Arial" w:cs="Arial"/>
          <w:color w:val="000000" w:themeColor="text1"/>
          <w:spacing w:val="-3"/>
          <w:sz w:val="22"/>
          <w:szCs w:val="22"/>
        </w:rPr>
      </w:pPr>
    </w:p>
    <w:p w14:paraId="22CBC83E" w14:textId="2D596172" w:rsidR="0021154D" w:rsidRPr="009E35ED" w:rsidRDefault="0021154D" w:rsidP="00803F8C">
      <w:pPr>
        <w:suppressAutoHyphens/>
        <w:ind w:left="0"/>
        <w:rPr>
          <w:rFonts w:ascii="Arial" w:hAnsi="Arial" w:cs="Arial"/>
          <w:bCs/>
          <w:color w:val="000000" w:themeColor="text1"/>
          <w:sz w:val="22"/>
          <w:szCs w:val="22"/>
          <w:lang w:eastAsia="ar-SA"/>
        </w:rPr>
      </w:pPr>
      <w:r w:rsidRPr="009E35ED">
        <w:rPr>
          <w:rFonts w:ascii="Arial" w:hAnsi="Arial" w:cs="Arial"/>
          <w:bCs/>
          <w:color w:val="000000" w:themeColor="text1"/>
          <w:sz w:val="22"/>
          <w:szCs w:val="22"/>
          <w:lang w:eastAsia="ar-SA"/>
        </w:rPr>
        <w:t>Share of Charity Fund in STL includes the following:</w:t>
      </w:r>
    </w:p>
    <w:p w14:paraId="7ECDAD6A" w14:textId="77777777" w:rsidR="0021154D" w:rsidRPr="009E35ED" w:rsidRDefault="0021154D" w:rsidP="00803F8C">
      <w:pPr>
        <w:suppressAutoHyphens/>
        <w:ind w:left="0" w:firstLine="270"/>
        <w:rPr>
          <w:rFonts w:ascii="Arial" w:hAnsi="Arial" w:cs="Arial"/>
          <w:bCs/>
          <w:color w:val="000000" w:themeColor="text1"/>
          <w:sz w:val="22"/>
          <w:szCs w:val="22"/>
          <w:lang w:eastAsia="ar-SA"/>
        </w:rPr>
      </w:pPr>
    </w:p>
    <w:tbl>
      <w:tblPr>
        <w:tblW w:w="8742" w:type="dxa"/>
        <w:tblLayout w:type="fixed"/>
        <w:tblLook w:val="04A0" w:firstRow="1" w:lastRow="0" w:firstColumn="1" w:lastColumn="0" w:noHBand="0" w:noVBand="1"/>
      </w:tblPr>
      <w:tblGrid>
        <w:gridCol w:w="4962"/>
        <w:gridCol w:w="2250"/>
        <w:gridCol w:w="1530"/>
      </w:tblGrid>
      <w:tr w:rsidR="00997F75" w:rsidRPr="009E35ED" w14:paraId="227C881F" w14:textId="77777777" w:rsidTr="00860ED6">
        <w:trPr>
          <w:trHeight w:val="293"/>
        </w:trPr>
        <w:tc>
          <w:tcPr>
            <w:tcW w:w="4962" w:type="dxa"/>
            <w:tcBorders>
              <w:top w:val="single" w:sz="4" w:space="0" w:color="auto"/>
              <w:left w:val="nil"/>
              <w:bottom w:val="single" w:sz="4" w:space="0" w:color="auto"/>
              <w:right w:val="nil"/>
            </w:tcBorders>
            <w:shd w:val="clear" w:color="auto" w:fill="auto"/>
            <w:noWrap/>
            <w:vAlign w:val="bottom"/>
            <w:hideMark/>
          </w:tcPr>
          <w:p w14:paraId="3382B2DF" w14:textId="77777777" w:rsidR="00572AF6" w:rsidRPr="009E35ED" w:rsidRDefault="00F504CC" w:rsidP="00803F8C">
            <w:pPr>
              <w:ind w:left="-90"/>
              <w:jc w:val="left"/>
              <w:rPr>
                <w:rFonts w:ascii="Arial Narrow" w:hAnsi="Arial Narrow" w:cs="Arial"/>
                <w:color w:val="000000" w:themeColor="text1"/>
                <w:sz w:val="22"/>
                <w:szCs w:val="22"/>
                <w:lang w:val="en-PH" w:eastAsia="en-PH"/>
              </w:rPr>
            </w:pPr>
            <w:r w:rsidRPr="009E35ED">
              <w:rPr>
                <w:rFonts w:ascii="Arial Narrow" w:hAnsi="Arial Narrow" w:cs="Arial"/>
                <w:color w:val="000000" w:themeColor="text1"/>
                <w:sz w:val="22"/>
                <w:szCs w:val="22"/>
                <w:lang w:val="en-PH" w:eastAsia="en-PH"/>
              </w:rPr>
              <w:t> </w:t>
            </w:r>
          </w:p>
        </w:tc>
        <w:tc>
          <w:tcPr>
            <w:tcW w:w="2250" w:type="dxa"/>
            <w:tcBorders>
              <w:top w:val="single" w:sz="4" w:space="0" w:color="auto"/>
              <w:left w:val="nil"/>
              <w:bottom w:val="single" w:sz="4" w:space="0" w:color="auto"/>
              <w:right w:val="nil"/>
            </w:tcBorders>
            <w:shd w:val="clear" w:color="auto" w:fill="auto"/>
            <w:noWrap/>
            <w:vAlign w:val="bottom"/>
            <w:hideMark/>
          </w:tcPr>
          <w:p w14:paraId="3814D620" w14:textId="46F8E401" w:rsidR="00F504CC" w:rsidRPr="009E35ED" w:rsidRDefault="00F504CC" w:rsidP="00F251F9">
            <w:pPr>
              <w:ind w:left="0"/>
              <w:jc w:val="right"/>
              <w:rPr>
                <w:rFonts w:ascii="Arial Narrow" w:hAnsi="Arial Narrow" w:cs="Arial"/>
                <w:b/>
                <w:bCs/>
                <w:color w:val="000000" w:themeColor="text1"/>
                <w:sz w:val="22"/>
                <w:szCs w:val="22"/>
                <w:lang w:val="en-PH" w:eastAsia="en-PH"/>
              </w:rPr>
            </w:pPr>
            <w:r w:rsidRPr="009E35ED">
              <w:rPr>
                <w:rFonts w:ascii="Arial Narrow" w:hAnsi="Arial Narrow" w:cs="Arial"/>
                <w:b/>
                <w:bCs/>
                <w:color w:val="000000" w:themeColor="text1"/>
                <w:sz w:val="22"/>
                <w:szCs w:val="22"/>
                <w:lang w:val="en-PH" w:eastAsia="en-PH"/>
              </w:rPr>
              <w:t>20</w:t>
            </w:r>
            <w:r w:rsidR="00CA53C9" w:rsidRPr="009E35ED">
              <w:rPr>
                <w:rFonts w:ascii="Arial Narrow" w:hAnsi="Arial Narrow" w:cs="Arial"/>
                <w:b/>
                <w:bCs/>
                <w:color w:val="000000" w:themeColor="text1"/>
                <w:sz w:val="22"/>
                <w:szCs w:val="22"/>
                <w:lang w:val="en-PH" w:eastAsia="en-PH"/>
              </w:rPr>
              <w:t>2</w:t>
            </w:r>
            <w:r w:rsidR="009F04A8" w:rsidRPr="009E35ED">
              <w:rPr>
                <w:rFonts w:ascii="Arial Narrow" w:hAnsi="Arial Narrow" w:cs="Arial"/>
                <w:b/>
                <w:bCs/>
                <w:color w:val="000000" w:themeColor="text1"/>
                <w:sz w:val="22"/>
                <w:szCs w:val="22"/>
                <w:lang w:val="en-PH" w:eastAsia="en-PH"/>
              </w:rPr>
              <w:t>3</w:t>
            </w:r>
          </w:p>
        </w:tc>
        <w:tc>
          <w:tcPr>
            <w:tcW w:w="1530" w:type="dxa"/>
            <w:tcBorders>
              <w:top w:val="single" w:sz="4" w:space="0" w:color="auto"/>
              <w:left w:val="nil"/>
              <w:bottom w:val="single" w:sz="4" w:space="0" w:color="auto"/>
              <w:right w:val="nil"/>
            </w:tcBorders>
            <w:vAlign w:val="bottom"/>
          </w:tcPr>
          <w:p w14:paraId="12675D8C" w14:textId="740024D2" w:rsidR="00572AF6" w:rsidRPr="009E35ED" w:rsidRDefault="0067251D" w:rsidP="00F251F9">
            <w:pPr>
              <w:ind w:left="0" w:right="-108"/>
              <w:jc w:val="right"/>
              <w:rPr>
                <w:rFonts w:ascii="Arial Narrow" w:hAnsi="Arial Narrow" w:cs="Arial"/>
                <w:b/>
                <w:bCs/>
                <w:color w:val="000000" w:themeColor="text1"/>
                <w:sz w:val="22"/>
                <w:szCs w:val="22"/>
                <w:lang w:val="en-PH" w:eastAsia="en-PH"/>
              </w:rPr>
            </w:pPr>
            <w:r w:rsidRPr="009E35ED">
              <w:rPr>
                <w:rFonts w:ascii="Arial Narrow" w:hAnsi="Arial Narrow" w:cs="Arial"/>
                <w:b/>
                <w:bCs/>
                <w:color w:val="000000" w:themeColor="text1"/>
                <w:sz w:val="22"/>
                <w:szCs w:val="22"/>
                <w:lang w:val="en-PH" w:eastAsia="en-PH"/>
              </w:rPr>
              <w:t>202</w:t>
            </w:r>
            <w:r w:rsidR="009F04A8" w:rsidRPr="009E35ED">
              <w:rPr>
                <w:rFonts w:ascii="Arial Narrow" w:hAnsi="Arial Narrow" w:cs="Arial"/>
                <w:b/>
                <w:bCs/>
                <w:color w:val="000000" w:themeColor="text1"/>
                <w:sz w:val="22"/>
                <w:szCs w:val="22"/>
                <w:lang w:val="en-PH" w:eastAsia="en-PH"/>
              </w:rPr>
              <w:t>2</w:t>
            </w:r>
          </w:p>
        </w:tc>
      </w:tr>
      <w:tr w:rsidR="00997F75" w:rsidRPr="009E35ED" w14:paraId="55F1B0BD" w14:textId="77777777" w:rsidTr="00860ED6">
        <w:trPr>
          <w:trHeight w:val="265"/>
        </w:trPr>
        <w:tc>
          <w:tcPr>
            <w:tcW w:w="4962" w:type="dxa"/>
            <w:tcBorders>
              <w:top w:val="nil"/>
              <w:left w:val="nil"/>
              <w:bottom w:val="nil"/>
              <w:right w:val="nil"/>
            </w:tcBorders>
            <w:shd w:val="clear" w:color="auto" w:fill="auto"/>
            <w:vAlign w:val="bottom"/>
            <w:hideMark/>
          </w:tcPr>
          <w:p w14:paraId="7E2839A8" w14:textId="39943C6F" w:rsidR="009F04A8" w:rsidRPr="009E35ED" w:rsidRDefault="009F04A8">
            <w:pPr>
              <w:ind w:left="-126"/>
              <w:jc w:val="left"/>
              <w:rPr>
                <w:rFonts w:ascii="Arial Narrow" w:hAnsi="Arial Narrow" w:cs="Arial"/>
                <w:color w:val="000000" w:themeColor="text1"/>
                <w:sz w:val="22"/>
                <w:szCs w:val="22"/>
                <w:lang w:val="en-PH" w:eastAsia="en-PH"/>
              </w:rPr>
            </w:pPr>
            <w:r w:rsidRPr="009E35ED">
              <w:rPr>
                <w:rFonts w:ascii="Arial Narrow" w:hAnsi="Arial Narrow" w:cs="Arial"/>
                <w:color w:val="000000" w:themeColor="text1"/>
                <w:sz w:val="22"/>
                <w:szCs w:val="22"/>
                <w:lang w:val="en-PH" w:eastAsia="en-PH"/>
              </w:rPr>
              <w:t xml:space="preserve">Share of </w:t>
            </w:r>
            <w:r w:rsidR="00142F79">
              <w:rPr>
                <w:rFonts w:ascii="Arial Narrow" w:hAnsi="Arial Narrow" w:cs="Arial"/>
                <w:color w:val="000000" w:themeColor="text1"/>
                <w:sz w:val="22"/>
                <w:szCs w:val="22"/>
                <w:lang w:val="en-PH" w:eastAsia="en-PH"/>
              </w:rPr>
              <w:t>c</w:t>
            </w:r>
            <w:r w:rsidRPr="009E35ED">
              <w:rPr>
                <w:rFonts w:ascii="Arial Narrow" w:hAnsi="Arial Narrow" w:cs="Arial"/>
                <w:color w:val="000000" w:themeColor="text1"/>
                <w:sz w:val="22"/>
                <w:szCs w:val="22"/>
                <w:lang w:val="en-PH" w:eastAsia="en-PH"/>
              </w:rPr>
              <w:t xml:space="preserve">harity </w:t>
            </w:r>
            <w:r w:rsidR="00142F79">
              <w:rPr>
                <w:rFonts w:ascii="Arial Narrow" w:hAnsi="Arial Narrow" w:cs="Arial"/>
                <w:color w:val="000000" w:themeColor="text1"/>
                <w:sz w:val="22"/>
                <w:szCs w:val="22"/>
                <w:lang w:val="en-PH" w:eastAsia="en-PH"/>
              </w:rPr>
              <w:t>f</w:t>
            </w:r>
            <w:r w:rsidRPr="009E35ED">
              <w:rPr>
                <w:rFonts w:ascii="Arial Narrow" w:hAnsi="Arial Narrow" w:cs="Arial"/>
                <w:color w:val="000000" w:themeColor="text1"/>
                <w:sz w:val="22"/>
                <w:szCs w:val="22"/>
                <w:lang w:val="en-PH" w:eastAsia="en-PH"/>
              </w:rPr>
              <w:t>und in STL of Municipalities</w:t>
            </w:r>
          </w:p>
        </w:tc>
        <w:tc>
          <w:tcPr>
            <w:tcW w:w="2250" w:type="dxa"/>
            <w:tcBorders>
              <w:top w:val="nil"/>
              <w:left w:val="nil"/>
              <w:bottom w:val="nil"/>
              <w:right w:val="nil"/>
            </w:tcBorders>
            <w:shd w:val="clear" w:color="auto" w:fill="auto"/>
            <w:vAlign w:val="bottom"/>
          </w:tcPr>
          <w:p w14:paraId="6838CE86" w14:textId="7559C1CF" w:rsidR="009F04A8" w:rsidRPr="009E35ED" w:rsidRDefault="009A725E" w:rsidP="009F04A8">
            <w:pPr>
              <w:ind w:left="0"/>
              <w:jc w:val="right"/>
              <w:rPr>
                <w:rFonts w:ascii="Arial Narrow" w:hAnsi="Arial Narrow" w:cs="Arial"/>
                <w:color w:val="000000" w:themeColor="text1"/>
                <w:sz w:val="22"/>
                <w:szCs w:val="22"/>
                <w:lang w:val="en-PH" w:eastAsia="en-PH"/>
              </w:rPr>
            </w:pPr>
            <w:r w:rsidRPr="009E35ED">
              <w:rPr>
                <w:rFonts w:ascii="Arial Narrow" w:hAnsi="Arial Narrow" w:cs="Arial"/>
                <w:color w:val="000000" w:themeColor="text1"/>
                <w:sz w:val="22"/>
                <w:szCs w:val="22"/>
                <w:lang w:val="en-PH" w:eastAsia="en-PH"/>
              </w:rPr>
              <w:t>376,293,745</w:t>
            </w:r>
          </w:p>
        </w:tc>
        <w:tc>
          <w:tcPr>
            <w:tcW w:w="1530" w:type="dxa"/>
            <w:tcBorders>
              <w:top w:val="nil"/>
              <w:left w:val="nil"/>
              <w:bottom w:val="nil"/>
              <w:right w:val="nil"/>
            </w:tcBorders>
            <w:vAlign w:val="bottom"/>
          </w:tcPr>
          <w:p w14:paraId="6657EB7B" w14:textId="660F5DA4" w:rsidR="009F04A8" w:rsidRPr="009E35ED" w:rsidRDefault="009F04A8" w:rsidP="009F04A8">
            <w:pPr>
              <w:ind w:left="0" w:right="-108"/>
              <w:jc w:val="right"/>
              <w:rPr>
                <w:rFonts w:ascii="Arial Narrow" w:hAnsi="Arial Narrow" w:cs="Arial"/>
                <w:color w:val="000000" w:themeColor="text1"/>
                <w:sz w:val="22"/>
                <w:szCs w:val="22"/>
                <w:lang w:val="en-PH" w:eastAsia="en-PH"/>
              </w:rPr>
            </w:pPr>
            <w:r w:rsidRPr="009E35ED">
              <w:rPr>
                <w:rFonts w:ascii="Arial Narrow" w:hAnsi="Arial Narrow" w:cs="Arial"/>
                <w:color w:val="000000" w:themeColor="text1"/>
                <w:sz w:val="22"/>
                <w:szCs w:val="22"/>
                <w:lang w:val="en-PH" w:eastAsia="en-PH"/>
              </w:rPr>
              <w:t>417,276,154</w:t>
            </w:r>
          </w:p>
        </w:tc>
      </w:tr>
      <w:tr w:rsidR="004A5BE4" w:rsidRPr="009E35ED" w14:paraId="67D63838" w14:textId="77777777" w:rsidTr="00860ED6">
        <w:trPr>
          <w:trHeight w:val="265"/>
        </w:trPr>
        <w:tc>
          <w:tcPr>
            <w:tcW w:w="4962" w:type="dxa"/>
            <w:tcBorders>
              <w:top w:val="nil"/>
              <w:left w:val="nil"/>
              <w:bottom w:val="nil"/>
              <w:right w:val="nil"/>
            </w:tcBorders>
            <w:shd w:val="clear" w:color="auto" w:fill="auto"/>
            <w:vAlign w:val="bottom"/>
          </w:tcPr>
          <w:p w14:paraId="1FE9C872" w14:textId="06DF3B94" w:rsidR="004A5BE4" w:rsidRPr="009E35ED" w:rsidRDefault="004A5BE4" w:rsidP="003A5476">
            <w:pPr>
              <w:ind w:left="-126"/>
              <w:jc w:val="left"/>
              <w:rPr>
                <w:rFonts w:ascii="Arial Narrow" w:hAnsi="Arial Narrow" w:cs="Arial"/>
                <w:color w:val="000000" w:themeColor="text1"/>
                <w:sz w:val="22"/>
                <w:szCs w:val="22"/>
                <w:lang w:val="en-PH" w:eastAsia="en-PH"/>
              </w:rPr>
            </w:pPr>
            <w:r w:rsidRPr="009E35ED">
              <w:rPr>
                <w:rFonts w:ascii="Arial Narrow" w:hAnsi="Arial Narrow" w:cs="Calibri"/>
                <w:color w:val="000000"/>
                <w:sz w:val="22"/>
                <w:szCs w:val="22"/>
              </w:rPr>
              <w:t xml:space="preserve">Share of </w:t>
            </w:r>
            <w:r w:rsidR="00142F79">
              <w:rPr>
                <w:rFonts w:ascii="Arial Narrow" w:hAnsi="Arial Narrow" w:cs="Arial"/>
                <w:color w:val="000000" w:themeColor="text1"/>
                <w:sz w:val="22"/>
                <w:szCs w:val="22"/>
                <w:lang w:val="en-PH" w:eastAsia="en-PH"/>
              </w:rPr>
              <w:t>c</w:t>
            </w:r>
            <w:r w:rsidR="00142F79" w:rsidRPr="009E35ED">
              <w:rPr>
                <w:rFonts w:ascii="Arial Narrow" w:hAnsi="Arial Narrow" w:cs="Arial"/>
                <w:color w:val="000000" w:themeColor="text1"/>
                <w:sz w:val="22"/>
                <w:szCs w:val="22"/>
                <w:lang w:val="en-PH" w:eastAsia="en-PH"/>
              </w:rPr>
              <w:t xml:space="preserve">harity </w:t>
            </w:r>
            <w:r w:rsidR="00142F79">
              <w:rPr>
                <w:rFonts w:ascii="Arial Narrow" w:hAnsi="Arial Narrow" w:cs="Arial"/>
                <w:color w:val="000000" w:themeColor="text1"/>
                <w:sz w:val="22"/>
                <w:szCs w:val="22"/>
                <w:lang w:val="en-PH" w:eastAsia="en-PH"/>
              </w:rPr>
              <w:t>f</w:t>
            </w:r>
            <w:r w:rsidR="00142F79" w:rsidRPr="009E35ED">
              <w:rPr>
                <w:rFonts w:ascii="Arial Narrow" w:hAnsi="Arial Narrow" w:cs="Arial"/>
                <w:color w:val="000000" w:themeColor="text1"/>
                <w:sz w:val="22"/>
                <w:szCs w:val="22"/>
                <w:lang w:val="en-PH" w:eastAsia="en-PH"/>
              </w:rPr>
              <w:t>und</w:t>
            </w:r>
            <w:r w:rsidRPr="009E35ED">
              <w:rPr>
                <w:rFonts w:ascii="Arial Narrow" w:hAnsi="Arial Narrow" w:cs="Calibri"/>
                <w:color w:val="000000"/>
                <w:sz w:val="22"/>
                <w:szCs w:val="22"/>
              </w:rPr>
              <w:t xml:space="preserve"> in STL of Chartered cities</w:t>
            </w:r>
          </w:p>
        </w:tc>
        <w:tc>
          <w:tcPr>
            <w:tcW w:w="2250" w:type="dxa"/>
            <w:tcBorders>
              <w:top w:val="nil"/>
              <w:left w:val="nil"/>
              <w:bottom w:val="nil"/>
              <w:right w:val="nil"/>
            </w:tcBorders>
            <w:shd w:val="clear" w:color="auto" w:fill="auto"/>
          </w:tcPr>
          <w:p w14:paraId="66BB7A41" w14:textId="1A644376" w:rsidR="004A5BE4" w:rsidRPr="009E35ED" w:rsidRDefault="004A5BE4" w:rsidP="004A5BE4">
            <w:pPr>
              <w:ind w:left="0"/>
              <w:jc w:val="right"/>
              <w:rPr>
                <w:rFonts w:ascii="Arial Narrow" w:hAnsi="Arial Narrow" w:cs="Arial"/>
                <w:color w:val="000000" w:themeColor="text1"/>
                <w:sz w:val="22"/>
                <w:szCs w:val="22"/>
                <w:lang w:val="en-PH" w:eastAsia="en-PH"/>
              </w:rPr>
            </w:pPr>
            <w:r w:rsidRPr="009E35ED">
              <w:rPr>
                <w:rFonts w:ascii="Arial Narrow" w:hAnsi="Arial Narrow"/>
                <w:sz w:val="22"/>
                <w:szCs w:val="22"/>
              </w:rPr>
              <w:t>2,479,673</w:t>
            </w:r>
          </w:p>
        </w:tc>
        <w:tc>
          <w:tcPr>
            <w:tcW w:w="1530" w:type="dxa"/>
            <w:tcBorders>
              <w:top w:val="nil"/>
              <w:left w:val="nil"/>
              <w:bottom w:val="nil"/>
              <w:right w:val="nil"/>
            </w:tcBorders>
            <w:vAlign w:val="bottom"/>
          </w:tcPr>
          <w:p w14:paraId="414DFC56" w14:textId="137CCEB4" w:rsidR="004A5BE4" w:rsidRPr="009E35ED" w:rsidRDefault="004A5BE4" w:rsidP="004A5BE4">
            <w:pPr>
              <w:ind w:left="0" w:right="-108"/>
              <w:jc w:val="right"/>
              <w:rPr>
                <w:rFonts w:ascii="Arial Narrow" w:hAnsi="Arial Narrow" w:cs="Arial"/>
                <w:color w:val="000000" w:themeColor="text1"/>
                <w:sz w:val="22"/>
                <w:szCs w:val="22"/>
                <w:lang w:val="en-PH" w:eastAsia="en-PH"/>
              </w:rPr>
            </w:pPr>
            <w:r w:rsidRPr="009E35ED">
              <w:rPr>
                <w:rFonts w:ascii="Arial Narrow" w:hAnsi="Arial Narrow"/>
                <w:sz w:val="22"/>
                <w:szCs w:val="22"/>
              </w:rPr>
              <w:t>2,479,673</w:t>
            </w:r>
          </w:p>
        </w:tc>
      </w:tr>
      <w:tr w:rsidR="004A5BE4" w:rsidRPr="009E35ED" w14:paraId="780C777B" w14:textId="77777777" w:rsidTr="00860ED6">
        <w:trPr>
          <w:trHeight w:val="183"/>
        </w:trPr>
        <w:tc>
          <w:tcPr>
            <w:tcW w:w="4962" w:type="dxa"/>
            <w:tcBorders>
              <w:top w:val="nil"/>
              <w:left w:val="nil"/>
              <w:bottom w:val="nil"/>
              <w:right w:val="nil"/>
            </w:tcBorders>
            <w:shd w:val="clear" w:color="auto" w:fill="auto"/>
            <w:vAlign w:val="bottom"/>
            <w:hideMark/>
          </w:tcPr>
          <w:p w14:paraId="34162172" w14:textId="3CFD5AA8" w:rsidR="004A5BE4" w:rsidRPr="009E35ED" w:rsidRDefault="004A5BE4" w:rsidP="003A5476">
            <w:pPr>
              <w:ind w:left="-126"/>
              <w:jc w:val="left"/>
              <w:rPr>
                <w:rFonts w:ascii="Arial Narrow" w:hAnsi="Arial Narrow" w:cs="Arial"/>
                <w:color w:val="000000" w:themeColor="text1"/>
                <w:sz w:val="22"/>
                <w:szCs w:val="22"/>
                <w:lang w:val="en-PH" w:eastAsia="en-PH"/>
              </w:rPr>
            </w:pPr>
            <w:r w:rsidRPr="009E35ED">
              <w:rPr>
                <w:rFonts w:ascii="Arial Narrow" w:hAnsi="Arial Narrow" w:cs="Arial"/>
                <w:color w:val="000000" w:themeColor="text1"/>
                <w:sz w:val="22"/>
                <w:szCs w:val="22"/>
                <w:lang w:val="en-PH" w:eastAsia="en-PH"/>
              </w:rPr>
              <w:t xml:space="preserve">Share of </w:t>
            </w:r>
            <w:r w:rsidR="00142F79">
              <w:rPr>
                <w:rFonts w:ascii="Arial Narrow" w:hAnsi="Arial Narrow" w:cs="Arial"/>
                <w:color w:val="000000" w:themeColor="text1"/>
                <w:sz w:val="22"/>
                <w:szCs w:val="22"/>
                <w:lang w:val="en-PH" w:eastAsia="en-PH"/>
              </w:rPr>
              <w:t>c</w:t>
            </w:r>
            <w:r w:rsidR="00142F79" w:rsidRPr="009E35ED">
              <w:rPr>
                <w:rFonts w:ascii="Arial Narrow" w:hAnsi="Arial Narrow" w:cs="Arial"/>
                <w:color w:val="000000" w:themeColor="text1"/>
                <w:sz w:val="22"/>
                <w:szCs w:val="22"/>
                <w:lang w:val="en-PH" w:eastAsia="en-PH"/>
              </w:rPr>
              <w:t xml:space="preserve">harity </w:t>
            </w:r>
            <w:r w:rsidR="00142F79">
              <w:rPr>
                <w:rFonts w:ascii="Arial Narrow" w:hAnsi="Arial Narrow" w:cs="Arial"/>
                <w:color w:val="000000" w:themeColor="text1"/>
                <w:sz w:val="22"/>
                <w:szCs w:val="22"/>
                <w:lang w:val="en-PH" w:eastAsia="en-PH"/>
              </w:rPr>
              <w:t>f</w:t>
            </w:r>
            <w:r w:rsidR="00142F79" w:rsidRPr="009E35ED">
              <w:rPr>
                <w:rFonts w:ascii="Arial Narrow" w:hAnsi="Arial Narrow" w:cs="Arial"/>
                <w:color w:val="000000" w:themeColor="text1"/>
                <w:sz w:val="22"/>
                <w:szCs w:val="22"/>
                <w:lang w:val="en-PH" w:eastAsia="en-PH"/>
              </w:rPr>
              <w:t>und</w:t>
            </w:r>
            <w:r w:rsidRPr="009E35ED">
              <w:rPr>
                <w:rFonts w:ascii="Arial Narrow" w:hAnsi="Arial Narrow" w:cs="Arial"/>
                <w:color w:val="000000" w:themeColor="text1"/>
                <w:sz w:val="22"/>
                <w:szCs w:val="22"/>
                <w:lang w:val="en-PH" w:eastAsia="en-PH"/>
              </w:rPr>
              <w:t xml:space="preserve"> in STL of Provincial</w:t>
            </w:r>
          </w:p>
        </w:tc>
        <w:tc>
          <w:tcPr>
            <w:tcW w:w="2250" w:type="dxa"/>
            <w:tcBorders>
              <w:top w:val="nil"/>
              <w:left w:val="nil"/>
              <w:bottom w:val="nil"/>
              <w:right w:val="nil"/>
            </w:tcBorders>
            <w:shd w:val="clear" w:color="auto" w:fill="auto"/>
            <w:vAlign w:val="bottom"/>
          </w:tcPr>
          <w:p w14:paraId="500DE3A3" w14:textId="76C221AE" w:rsidR="004A5BE4" w:rsidRPr="009E35ED" w:rsidRDefault="004A5BE4" w:rsidP="004A5BE4">
            <w:pPr>
              <w:ind w:left="0"/>
              <w:jc w:val="right"/>
              <w:rPr>
                <w:rFonts w:ascii="Arial Narrow" w:hAnsi="Arial Narrow" w:cs="Arial"/>
                <w:color w:val="000000" w:themeColor="text1"/>
                <w:sz w:val="22"/>
                <w:szCs w:val="22"/>
                <w:lang w:val="en-PH" w:eastAsia="en-PH"/>
              </w:rPr>
            </w:pPr>
            <w:r w:rsidRPr="009E35ED">
              <w:rPr>
                <w:rFonts w:ascii="Arial Narrow" w:hAnsi="Arial Narrow" w:cs="Arial"/>
                <w:color w:val="000000" w:themeColor="text1"/>
                <w:sz w:val="22"/>
                <w:szCs w:val="22"/>
                <w:lang w:val="en-PH" w:eastAsia="en-PH"/>
              </w:rPr>
              <w:t>125,994,757</w:t>
            </w:r>
          </w:p>
        </w:tc>
        <w:tc>
          <w:tcPr>
            <w:tcW w:w="1530" w:type="dxa"/>
            <w:tcBorders>
              <w:top w:val="nil"/>
              <w:left w:val="nil"/>
              <w:bottom w:val="nil"/>
              <w:right w:val="nil"/>
            </w:tcBorders>
            <w:vAlign w:val="bottom"/>
          </w:tcPr>
          <w:p w14:paraId="3FE2BA28" w14:textId="64208715" w:rsidR="004A5BE4" w:rsidRPr="009E35ED" w:rsidRDefault="004A5BE4" w:rsidP="004A5BE4">
            <w:pPr>
              <w:ind w:left="0" w:right="-108"/>
              <w:jc w:val="right"/>
              <w:rPr>
                <w:rFonts w:ascii="Arial Narrow" w:hAnsi="Arial Narrow" w:cs="Arial"/>
                <w:color w:val="000000" w:themeColor="text1"/>
                <w:sz w:val="22"/>
                <w:szCs w:val="22"/>
                <w:lang w:val="en-PH" w:eastAsia="en-PH"/>
              </w:rPr>
            </w:pPr>
            <w:r w:rsidRPr="009E35ED">
              <w:rPr>
                <w:rFonts w:ascii="Arial Narrow" w:hAnsi="Arial Narrow" w:cs="Arial"/>
                <w:color w:val="000000" w:themeColor="text1"/>
                <w:sz w:val="22"/>
                <w:szCs w:val="22"/>
                <w:lang w:val="en-PH" w:eastAsia="en-PH"/>
              </w:rPr>
              <w:t>132,438,823</w:t>
            </w:r>
          </w:p>
        </w:tc>
      </w:tr>
      <w:tr w:rsidR="004A5BE4" w:rsidRPr="009E35ED" w14:paraId="7ADD02B8" w14:textId="77777777" w:rsidTr="00860ED6">
        <w:trPr>
          <w:trHeight w:val="201"/>
        </w:trPr>
        <w:tc>
          <w:tcPr>
            <w:tcW w:w="4962" w:type="dxa"/>
            <w:tcBorders>
              <w:top w:val="nil"/>
              <w:left w:val="nil"/>
              <w:bottom w:val="nil"/>
              <w:right w:val="nil"/>
            </w:tcBorders>
            <w:shd w:val="clear" w:color="auto" w:fill="auto"/>
            <w:vAlign w:val="bottom"/>
            <w:hideMark/>
          </w:tcPr>
          <w:p w14:paraId="1150998E" w14:textId="5E8BBA38" w:rsidR="004A5BE4" w:rsidRPr="009E35ED" w:rsidRDefault="004A5BE4" w:rsidP="003A5476">
            <w:pPr>
              <w:ind w:left="-126"/>
              <w:jc w:val="left"/>
              <w:rPr>
                <w:rFonts w:ascii="Arial Narrow" w:hAnsi="Arial Narrow" w:cs="Arial"/>
                <w:color w:val="000000" w:themeColor="text1"/>
                <w:sz w:val="22"/>
                <w:szCs w:val="22"/>
                <w:lang w:val="en-PH" w:eastAsia="en-PH"/>
              </w:rPr>
            </w:pPr>
            <w:r w:rsidRPr="009E35ED">
              <w:rPr>
                <w:rFonts w:ascii="Arial Narrow" w:hAnsi="Arial Narrow" w:cs="Arial"/>
                <w:color w:val="000000" w:themeColor="text1"/>
                <w:sz w:val="22"/>
                <w:szCs w:val="22"/>
                <w:lang w:val="en-PH" w:eastAsia="en-PH"/>
              </w:rPr>
              <w:t xml:space="preserve">Share of </w:t>
            </w:r>
            <w:r w:rsidR="00142F79">
              <w:rPr>
                <w:rFonts w:ascii="Arial Narrow" w:hAnsi="Arial Narrow" w:cs="Arial"/>
                <w:color w:val="000000" w:themeColor="text1"/>
                <w:sz w:val="22"/>
                <w:szCs w:val="22"/>
                <w:lang w:val="en-PH" w:eastAsia="en-PH"/>
              </w:rPr>
              <w:t>c</w:t>
            </w:r>
            <w:r w:rsidR="00142F79" w:rsidRPr="009E35ED">
              <w:rPr>
                <w:rFonts w:ascii="Arial Narrow" w:hAnsi="Arial Narrow" w:cs="Arial"/>
                <w:color w:val="000000" w:themeColor="text1"/>
                <w:sz w:val="22"/>
                <w:szCs w:val="22"/>
                <w:lang w:val="en-PH" w:eastAsia="en-PH"/>
              </w:rPr>
              <w:t xml:space="preserve">harity </w:t>
            </w:r>
            <w:r w:rsidR="00142F79">
              <w:rPr>
                <w:rFonts w:ascii="Arial Narrow" w:hAnsi="Arial Narrow" w:cs="Arial"/>
                <w:color w:val="000000" w:themeColor="text1"/>
                <w:sz w:val="22"/>
                <w:szCs w:val="22"/>
                <w:lang w:val="en-PH" w:eastAsia="en-PH"/>
              </w:rPr>
              <w:t>f</w:t>
            </w:r>
            <w:r w:rsidR="00142F79" w:rsidRPr="009E35ED">
              <w:rPr>
                <w:rFonts w:ascii="Arial Narrow" w:hAnsi="Arial Narrow" w:cs="Arial"/>
                <w:color w:val="000000" w:themeColor="text1"/>
                <w:sz w:val="22"/>
                <w:szCs w:val="22"/>
                <w:lang w:val="en-PH" w:eastAsia="en-PH"/>
              </w:rPr>
              <w:t>und</w:t>
            </w:r>
            <w:r w:rsidRPr="009E35ED">
              <w:rPr>
                <w:rFonts w:ascii="Arial Narrow" w:hAnsi="Arial Narrow" w:cs="Arial"/>
                <w:color w:val="000000" w:themeColor="text1"/>
                <w:sz w:val="22"/>
                <w:szCs w:val="22"/>
                <w:lang w:val="en-PH" w:eastAsia="en-PH"/>
              </w:rPr>
              <w:t xml:space="preserve"> in STL of Congressional</w:t>
            </w:r>
          </w:p>
        </w:tc>
        <w:tc>
          <w:tcPr>
            <w:tcW w:w="2250" w:type="dxa"/>
            <w:tcBorders>
              <w:top w:val="nil"/>
              <w:left w:val="nil"/>
              <w:bottom w:val="nil"/>
              <w:right w:val="nil"/>
            </w:tcBorders>
            <w:shd w:val="clear" w:color="auto" w:fill="auto"/>
            <w:vAlign w:val="bottom"/>
          </w:tcPr>
          <w:p w14:paraId="5C1F9767" w14:textId="73CEC781" w:rsidR="004A5BE4" w:rsidRPr="009E35ED" w:rsidRDefault="004A5BE4" w:rsidP="004A5BE4">
            <w:pPr>
              <w:ind w:left="0"/>
              <w:jc w:val="right"/>
              <w:rPr>
                <w:rFonts w:ascii="Arial Narrow" w:hAnsi="Arial Narrow" w:cs="Arial"/>
                <w:color w:val="000000" w:themeColor="text1"/>
                <w:sz w:val="22"/>
                <w:szCs w:val="22"/>
                <w:lang w:val="en-PH" w:eastAsia="en-PH"/>
              </w:rPr>
            </w:pPr>
            <w:r w:rsidRPr="009E35ED">
              <w:rPr>
                <w:rFonts w:ascii="Arial Narrow" w:hAnsi="Arial Narrow" w:cs="Arial"/>
                <w:color w:val="000000" w:themeColor="text1"/>
                <w:sz w:val="22"/>
                <w:szCs w:val="22"/>
                <w:lang w:val="en-PH" w:eastAsia="en-PH"/>
              </w:rPr>
              <w:t>158,501,496</w:t>
            </w:r>
          </w:p>
        </w:tc>
        <w:tc>
          <w:tcPr>
            <w:tcW w:w="1530" w:type="dxa"/>
            <w:tcBorders>
              <w:top w:val="nil"/>
              <w:left w:val="nil"/>
              <w:bottom w:val="nil"/>
              <w:right w:val="nil"/>
            </w:tcBorders>
            <w:vAlign w:val="bottom"/>
          </w:tcPr>
          <w:p w14:paraId="43003ACF" w14:textId="7493E6F1" w:rsidR="004A5BE4" w:rsidRPr="009E35ED" w:rsidRDefault="004A5BE4" w:rsidP="004A5BE4">
            <w:pPr>
              <w:ind w:left="0" w:right="-108"/>
              <w:jc w:val="right"/>
              <w:rPr>
                <w:rFonts w:ascii="Arial Narrow" w:hAnsi="Arial Narrow" w:cs="Arial"/>
                <w:color w:val="000000" w:themeColor="text1"/>
                <w:sz w:val="22"/>
                <w:szCs w:val="22"/>
                <w:lang w:val="en-PH" w:eastAsia="en-PH"/>
              </w:rPr>
            </w:pPr>
            <w:r w:rsidRPr="009E35ED">
              <w:rPr>
                <w:rFonts w:ascii="Arial Narrow" w:hAnsi="Arial Narrow" w:cs="Arial"/>
                <w:color w:val="000000" w:themeColor="text1"/>
                <w:sz w:val="22"/>
                <w:szCs w:val="22"/>
                <w:lang w:val="en-PH" w:eastAsia="en-PH"/>
              </w:rPr>
              <w:t>155,937,123</w:t>
            </w:r>
          </w:p>
        </w:tc>
      </w:tr>
      <w:tr w:rsidR="004A5BE4" w:rsidRPr="009E35ED" w14:paraId="7E3701D9" w14:textId="77777777" w:rsidTr="00860ED6">
        <w:trPr>
          <w:trHeight w:val="201"/>
        </w:trPr>
        <w:tc>
          <w:tcPr>
            <w:tcW w:w="4962" w:type="dxa"/>
            <w:tcBorders>
              <w:top w:val="nil"/>
              <w:left w:val="nil"/>
              <w:bottom w:val="nil"/>
              <w:right w:val="nil"/>
            </w:tcBorders>
            <w:shd w:val="clear" w:color="auto" w:fill="auto"/>
            <w:vAlign w:val="bottom"/>
          </w:tcPr>
          <w:p w14:paraId="3FC7EA8C" w14:textId="3173D25B" w:rsidR="004A5BE4" w:rsidRPr="009E35ED" w:rsidRDefault="004A5BE4">
            <w:pPr>
              <w:ind w:left="-126"/>
              <w:jc w:val="left"/>
              <w:rPr>
                <w:rFonts w:ascii="Arial Narrow" w:hAnsi="Arial Narrow" w:cs="Arial"/>
                <w:color w:val="000000" w:themeColor="text1"/>
                <w:sz w:val="22"/>
                <w:szCs w:val="22"/>
                <w:lang w:val="en-PH" w:eastAsia="en-PH"/>
              </w:rPr>
            </w:pPr>
            <w:r w:rsidRPr="009E35ED">
              <w:rPr>
                <w:rFonts w:ascii="Arial Narrow" w:hAnsi="Arial Narrow" w:cs="Arial"/>
                <w:color w:val="000000" w:themeColor="text1"/>
                <w:sz w:val="22"/>
                <w:szCs w:val="22"/>
                <w:lang w:val="en-PH" w:eastAsia="en-PH"/>
              </w:rPr>
              <w:t xml:space="preserve">Share of </w:t>
            </w:r>
            <w:r w:rsidR="00142F79">
              <w:rPr>
                <w:rFonts w:ascii="Arial Narrow" w:hAnsi="Arial Narrow" w:cs="Arial"/>
                <w:color w:val="000000" w:themeColor="text1"/>
                <w:sz w:val="22"/>
                <w:szCs w:val="22"/>
                <w:lang w:val="en-PH" w:eastAsia="en-PH"/>
              </w:rPr>
              <w:t>c</w:t>
            </w:r>
            <w:r w:rsidR="00142F79" w:rsidRPr="009E35ED">
              <w:rPr>
                <w:rFonts w:ascii="Arial Narrow" w:hAnsi="Arial Narrow" w:cs="Arial"/>
                <w:color w:val="000000" w:themeColor="text1"/>
                <w:sz w:val="22"/>
                <w:szCs w:val="22"/>
                <w:lang w:val="en-PH" w:eastAsia="en-PH"/>
              </w:rPr>
              <w:t xml:space="preserve">harity </w:t>
            </w:r>
            <w:r w:rsidR="00142F79">
              <w:rPr>
                <w:rFonts w:ascii="Arial Narrow" w:hAnsi="Arial Narrow" w:cs="Arial"/>
                <w:color w:val="000000" w:themeColor="text1"/>
                <w:sz w:val="22"/>
                <w:szCs w:val="22"/>
                <w:lang w:val="en-PH" w:eastAsia="en-PH"/>
              </w:rPr>
              <w:t>f</w:t>
            </w:r>
            <w:r w:rsidR="00142F79" w:rsidRPr="009E35ED">
              <w:rPr>
                <w:rFonts w:ascii="Arial Narrow" w:hAnsi="Arial Narrow" w:cs="Arial"/>
                <w:color w:val="000000" w:themeColor="text1"/>
                <w:sz w:val="22"/>
                <w:szCs w:val="22"/>
                <w:lang w:val="en-PH" w:eastAsia="en-PH"/>
              </w:rPr>
              <w:t>und</w:t>
            </w:r>
            <w:r w:rsidRPr="009E35ED">
              <w:rPr>
                <w:rFonts w:ascii="Arial Narrow" w:hAnsi="Arial Narrow" w:cs="Arial"/>
                <w:color w:val="000000" w:themeColor="text1"/>
                <w:sz w:val="22"/>
                <w:szCs w:val="22"/>
                <w:lang w:val="en-PH" w:eastAsia="en-PH"/>
              </w:rPr>
              <w:t xml:space="preserve"> in STL of NBI</w:t>
            </w:r>
          </w:p>
        </w:tc>
        <w:tc>
          <w:tcPr>
            <w:tcW w:w="2250" w:type="dxa"/>
            <w:tcBorders>
              <w:top w:val="nil"/>
              <w:left w:val="nil"/>
              <w:bottom w:val="nil"/>
              <w:right w:val="nil"/>
            </w:tcBorders>
            <w:shd w:val="clear" w:color="auto" w:fill="FFFFFF" w:themeFill="background1"/>
            <w:vAlign w:val="bottom"/>
          </w:tcPr>
          <w:p w14:paraId="737DD306" w14:textId="057F6FD4" w:rsidR="004A5BE4" w:rsidRPr="009E35ED" w:rsidRDefault="004A5BE4" w:rsidP="004A5BE4">
            <w:pPr>
              <w:ind w:left="0"/>
              <w:jc w:val="right"/>
              <w:rPr>
                <w:rFonts w:ascii="Arial Narrow" w:hAnsi="Arial Narrow" w:cs="Calibri"/>
                <w:color w:val="000000" w:themeColor="text1"/>
                <w:sz w:val="22"/>
                <w:szCs w:val="22"/>
              </w:rPr>
            </w:pPr>
            <w:r w:rsidRPr="009E35ED">
              <w:rPr>
                <w:rFonts w:ascii="Arial Narrow" w:hAnsi="Arial Narrow" w:cs="Calibri"/>
                <w:color w:val="000000" w:themeColor="text1"/>
                <w:sz w:val="22"/>
                <w:szCs w:val="22"/>
              </w:rPr>
              <w:t>10,513,804</w:t>
            </w:r>
          </w:p>
        </w:tc>
        <w:tc>
          <w:tcPr>
            <w:tcW w:w="1530" w:type="dxa"/>
            <w:tcBorders>
              <w:top w:val="nil"/>
              <w:left w:val="nil"/>
              <w:bottom w:val="nil"/>
              <w:right w:val="nil"/>
            </w:tcBorders>
            <w:shd w:val="clear" w:color="auto" w:fill="FFFFFF" w:themeFill="background1"/>
            <w:vAlign w:val="bottom"/>
          </w:tcPr>
          <w:p w14:paraId="3D158909" w14:textId="7A6082A2" w:rsidR="004A5BE4" w:rsidRPr="009E35ED" w:rsidRDefault="004A5BE4" w:rsidP="004A5BE4">
            <w:pPr>
              <w:ind w:left="0" w:right="-108"/>
              <w:jc w:val="right"/>
              <w:rPr>
                <w:rFonts w:ascii="Arial Narrow" w:hAnsi="Arial Narrow" w:cs="Arial"/>
                <w:color w:val="000000" w:themeColor="text1"/>
                <w:sz w:val="22"/>
                <w:szCs w:val="22"/>
                <w:lang w:val="en-PH" w:eastAsia="en-PH"/>
              </w:rPr>
            </w:pPr>
            <w:r w:rsidRPr="009E35ED">
              <w:rPr>
                <w:rFonts w:ascii="Arial Narrow" w:hAnsi="Arial Narrow" w:cs="Calibri"/>
                <w:color w:val="000000" w:themeColor="text1"/>
                <w:sz w:val="22"/>
                <w:szCs w:val="22"/>
              </w:rPr>
              <w:t>8,667,843</w:t>
            </w:r>
          </w:p>
        </w:tc>
      </w:tr>
      <w:tr w:rsidR="004A5BE4" w:rsidRPr="009E35ED" w14:paraId="3E292381" w14:textId="77777777" w:rsidTr="00860ED6">
        <w:trPr>
          <w:trHeight w:val="201"/>
        </w:trPr>
        <w:tc>
          <w:tcPr>
            <w:tcW w:w="4962" w:type="dxa"/>
            <w:tcBorders>
              <w:top w:val="nil"/>
              <w:left w:val="nil"/>
              <w:bottom w:val="nil"/>
              <w:right w:val="nil"/>
            </w:tcBorders>
            <w:shd w:val="clear" w:color="auto" w:fill="auto"/>
            <w:vAlign w:val="bottom"/>
          </w:tcPr>
          <w:p w14:paraId="1B004FF3" w14:textId="4359C8FF" w:rsidR="004A5BE4" w:rsidRPr="009E35ED" w:rsidRDefault="004A5BE4" w:rsidP="003A5476">
            <w:pPr>
              <w:ind w:left="-126"/>
              <w:jc w:val="left"/>
              <w:rPr>
                <w:rFonts w:ascii="Arial Narrow" w:hAnsi="Arial Narrow" w:cs="Arial"/>
                <w:color w:val="000000" w:themeColor="text1"/>
                <w:sz w:val="22"/>
                <w:szCs w:val="22"/>
                <w:lang w:val="en-PH" w:eastAsia="en-PH"/>
              </w:rPr>
            </w:pPr>
            <w:r w:rsidRPr="009E35ED">
              <w:rPr>
                <w:rFonts w:ascii="Arial Narrow" w:hAnsi="Arial Narrow" w:cs="Arial"/>
                <w:color w:val="000000" w:themeColor="text1"/>
                <w:sz w:val="22"/>
                <w:szCs w:val="22"/>
                <w:lang w:val="en-PH" w:eastAsia="en-PH"/>
              </w:rPr>
              <w:t xml:space="preserve">Share of </w:t>
            </w:r>
            <w:r w:rsidR="00142F79">
              <w:rPr>
                <w:rFonts w:ascii="Arial Narrow" w:hAnsi="Arial Narrow" w:cs="Arial"/>
                <w:color w:val="000000" w:themeColor="text1"/>
                <w:sz w:val="22"/>
                <w:szCs w:val="22"/>
                <w:lang w:val="en-PH" w:eastAsia="en-PH"/>
              </w:rPr>
              <w:t>c</w:t>
            </w:r>
            <w:r w:rsidR="00142F79" w:rsidRPr="009E35ED">
              <w:rPr>
                <w:rFonts w:ascii="Arial Narrow" w:hAnsi="Arial Narrow" w:cs="Arial"/>
                <w:color w:val="000000" w:themeColor="text1"/>
                <w:sz w:val="22"/>
                <w:szCs w:val="22"/>
                <w:lang w:val="en-PH" w:eastAsia="en-PH"/>
              </w:rPr>
              <w:t xml:space="preserve">harity </w:t>
            </w:r>
            <w:r w:rsidR="00142F79">
              <w:rPr>
                <w:rFonts w:ascii="Arial Narrow" w:hAnsi="Arial Narrow" w:cs="Arial"/>
                <w:color w:val="000000" w:themeColor="text1"/>
                <w:sz w:val="22"/>
                <w:szCs w:val="22"/>
                <w:lang w:val="en-PH" w:eastAsia="en-PH"/>
              </w:rPr>
              <w:t>f</w:t>
            </w:r>
            <w:r w:rsidR="00142F79" w:rsidRPr="009E35ED">
              <w:rPr>
                <w:rFonts w:ascii="Arial Narrow" w:hAnsi="Arial Narrow" w:cs="Arial"/>
                <w:color w:val="000000" w:themeColor="text1"/>
                <w:sz w:val="22"/>
                <w:szCs w:val="22"/>
                <w:lang w:val="en-PH" w:eastAsia="en-PH"/>
              </w:rPr>
              <w:t>und</w:t>
            </w:r>
            <w:r w:rsidRPr="009E35ED">
              <w:rPr>
                <w:rFonts w:ascii="Arial Narrow" w:hAnsi="Arial Narrow" w:cs="Arial"/>
                <w:color w:val="000000" w:themeColor="text1"/>
                <w:sz w:val="22"/>
                <w:szCs w:val="22"/>
                <w:lang w:val="en-PH" w:eastAsia="en-PH"/>
              </w:rPr>
              <w:t xml:space="preserve"> in STL of PNP National</w:t>
            </w:r>
          </w:p>
        </w:tc>
        <w:tc>
          <w:tcPr>
            <w:tcW w:w="2250" w:type="dxa"/>
            <w:tcBorders>
              <w:top w:val="nil"/>
              <w:left w:val="nil"/>
              <w:bottom w:val="nil"/>
              <w:right w:val="nil"/>
            </w:tcBorders>
            <w:shd w:val="clear" w:color="auto" w:fill="auto"/>
            <w:vAlign w:val="bottom"/>
          </w:tcPr>
          <w:p w14:paraId="7607D638" w14:textId="2C6E83F1" w:rsidR="004A5BE4" w:rsidRPr="009E35ED" w:rsidRDefault="004A5BE4" w:rsidP="004A5BE4">
            <w:pPr>
              <w:ind w:left="0"/>
              <w:jc w:val="right"/>
              <w:rPr>
                <w:rFonts w:ascii="Arial Narrow" w:hAnsi="Arial Narrow" w:cs="Calibri"/>
                <w:color w:val="000000" w:themeColor="text1"/>
                <w:sz w:val="22"/>
                <w:szCs w:val="22"/>
              </w:rPr>
            </w:pPr>
            <w:r w:rsidRPr="009E35ED">
              <w:rPr>
                <w:rFonts w:ascii="Arial Narrow" w:hAnsi="Arial Narrow" w:cs="Calibri"/>
                <w:color w:val="000000" w:themeColor="text1"/>
                <w:sz w:val="22"/>
                <w:szCs w:val="22"/>
              </w:rPr>
              <w:t>156,487,519</w:t>
            </w:r>
          </w:p>
        </w:tc>
        <w:tc>
          <w:tcPr>
            <w:tcW w:w="1530" w:type="dxa"/>
            <w:tcBorders>
              <w:top w:val="nil"/>
              <w:left w:val="nil"/>
              <w:bottom w:val="nil"/>
              <w:right w:val="nil"/>
            </w:tcBorders>
            <w:vAlign w:val="bottom"/>
          </w:tcPr>
          <w:p w14:paraId="25B22459" w14:textId="4C4DFD88" w:rsidR="004A5BE4" w:rsidRPr="009E35ED" w:rsidRDefault="004A5BE4" w:rsidP="004A5BE4">
            <w:pPr>
              <w:ind w:left="0" w:right="-108"/>
              <w:jc w:val="right"/>
              <w:rPr>
                <w:rFonts w:ascii="Arial Narrow" w:hAnsi="Arial Narrow" w:cs="Arial"/>
                <w:color w:val="000000" w:themeColor="text1"/>
                <w:sz w:val="22"/>
                <w:szCs w:val="22"/>
                <w:lang w:val="en-PH" w:eastAsia="en-PH"/>
              </w:rPr>
            </w:pPr>
            <w:r w:rsidRPr="009E35ED">
              <w:rPr>
                <w:rFonts w:ascii="Arial Narrow" w:hAnsi="Arial Narrow" w:cs="Calibri"/>
                <w:color w:val="000000" w:themeColor="text1"/>
                <w:sz w:val="22"/>
                <w:szCs w:val="22"/>
              </w:rPr>
              <w:t>185,933,499</w:t>
            </w:r>
          </w:p>
        </w:tc>
      </w:tr>
      <w:tr w:rsidR="004A5BE4" w:rsidRPr="009E35ED" w14:paraId="62C37CB9" w14:textId="77777777" w:rsidTr="00860ED6">
        <w:trPr>
          <w:trHeight w:val="200"/>
        </w:trPr>
        <w:tc>
          <w:tcPr>
            <w:tcW w:w="4962" w:type="dxa"/>
            <w:tcBorders>
              <w:top w:val="single" w:sz="4" w:space="0" w:color="auto"/>
              <w:left w:val="nil"/>
              <w:bottom w:val="double" w:sz="6" w:space="0" w:color="auto"/>
              <w:right w:val="nil"/>
            </w:tcBorders>
            <w:shd w:val="clear" w:color="auto" w:fill="auto"/>
            <w:noWrap/>
            <w:vAlign w:val="bottom"/>
            <w:hideMark/>
          </w:tcPr>
          <w:p w14:paraId="0BBE3FCA" w14:textId="77777777" w:rsidR="004A5BE4" w:rsidRPr="009E35ED" w:rsidRDefault="004A5BE4" w:rsidP="003A5476">
            <w:pPr>
              <w:ind w:left="-126"/>
              <w:jc w:val="left"/>
              <w:rPr>
                <w:rFonts w:ascii="Arial Narrow" w:hAnsi="Arial Narrow" w:cs="Arial"/>
                <w:b/>
                <w:bCs/>
                <w:color w:val="000000" w:themeColor="text1"/>
                <w:sz w:val="22"/>
                <w:szCs w:val="22"/>
                <w:lang w:val="en-PH" w:eastAsia="en-PH"/>
              </w:rPr>
            </w:pPr>
            <w:r w:rsidRPr="009E35ED">
              <w:rPr>
                <w:rFonts w:ascii="Arial Narrow" w:hAnsi="Arial Narrow" w:cs="Arial"/>
                <w:b/>
                <w:bCs/>
                <w:color w:val="000000" w:themeColor="text1"/>
                <w:sz w:val="22"/>
                <w:szCs w:val="22"/>
                <w:lang w:val="en-PH" w:eastAsia="en-PH"/>
              </w:rPr>
              <w:t>Total Share of Charity Fund in STL</w:t>
            </w:r>
          </w:p>
        </w:tc>
        <w:tc>
          <w:tcPr>
            <w:tcW w:w="2250" w:type="dxa"/>
            <w:tcBorders>
              <w:top w:val="single" w:sz="4" w:space="0" w:color="auto"/>
              <w:left w:val="nil"/>
              <w:bottom w:val="double" w:sz="6" w:space="0" w:color="auto"/>
              <w:right w:val="nil"/>
            </w:tcBorders>
            <w:shd w:val="clear" w:color="auto" w:fill="auto"/>
            <w:noWrap/>
            <w:vAlign w:val="bottom"/>
          </w:tcPr>
          <w:p w14:paraId="1CA1CE13" w14:textId="0C7D46C7" w:rsidR="004A5BE4" w:rsidRPr="009E35ED" w:rsidRDefault="004A5BE4" w:rsidP="004A5BE4">
            <w:pPr>
              <w:jc w:val="right"/>
              <w:rPr>
                <w:rFonts w:ascii="Arial Narrow" w:hAnsi="Arial Narrow" w:cs="Arial"/>
                <w:b/>
                <w:bCs/>
                <w:color w:val="000000" w:themeColor="text1"/>
                <w:sz w:val="22"/>
                <w:szCs w:val="22"/>
              </w:rPr>
            </w:pPr>
            <w:r w:rsidRPr="009E35ED">
              <w:rPr>
                <w:rFonts w:ascii="Arial Narrow" w:hAnsi="Arial Narrow" w:cs="Arial"/>
                <w:b/>
                <w:bCs/>
                <w:color w:val="000000" w:themeColor="text1"/>
                <w:sz w:val="22"/>
                <w:szCs w:val="22"/>
              </w:rPr>
              <w:t>830,270,994</w:t>
            </w:r>
          </w:p>
        </w:tc>
        <w:tc>
          <w:tcPr>
            <w:tcW w:w="1530" w:type="dxa"/>
            <w:tcBorders>
              <w:top w:val="single" w:sz="4" w:space="0" w:color="auto"/>
              <w:left w:val="nil"/>
              <w:bottom w:val="double" w:sz="6" w:space="0" w:color="auto"/>
              <w:right w:val="nil"/>
            </w:tcBorders>
            <w:vAlign w:val="bottom"/>
          </w:tcPr>
          <w:p w14:paraId="066B7065" w14:textId="28AA8B65" w:rsidR="004A5BE4" w:rsidRPr="009E35ED" w:rsidRDefault="004A5BE4" w:rsidP="004A5BE4">
            <w:pPr>
              <w:ind w:left="0" w:right="-108"/>
              <w:jc w:val="right"/>
              <w:rPr>
                <w:rFonts w:ascii="Arial Narrow" w:hAnsi="Arial Narrow" w:cs="Arial"/>
                <w:b/>
                <w:bCs/>
                <w:color w:val="000000" w:themeColor="text1"/>
                <w:sz w:val="22"/>
                <w:szCs w:val="22"/>
                <w:lang w:val="en-PH" w:eastAsia="en-PH"/>
              </w:rPr>
            </w:pPr>
            <w:r w:rsidRPr="009E35ED">
              <w:rPr>
                <w:rFonts w:ascii="Arial Narrow" w:hAnsi="Arial Narrow" w:cs="Arial"/>
                <w:b/>
                <w:bCs/>
                <w:color w:val="000000" w:themeColor="text1"/>
                <w:sz w:val="22"/>
                <w:szCs w:val="22"/>
              </w:rPr>
              <w:t>902,733,115</w:t>
            </w:r>
          </w:p>
        </w:tc>
      </w:tr>
    </w:tbl>
    <w:p w14:paraId="6A1E5D52" w14:textId="270D5151" w:rsidR="00044567" w:rsidRPr="009E35ED" w:rsidRDefault="00E63920" w:rsidP="00883496">
      <w:pPr>
        <w:ind w:left="0"/>
        <w:rPr>
          <w:rFonts w:ascii="Arial" w:hAnsi="Arial" w:cs="Arial"/>
          <w:color w:val="000000" w:themeColor="text1"/>
          <w:spacing w:val="-3"/>
          <w:sz w:val="22"/>
          <w:szCs w:val="22"/>
        </w:rPr>
      </w:pPr>
      <w:r w:rsidRPr="009E35ED">
        <w:rPr>
          <w:rFonts w:ascii="Arial" w:hAnsi="Arial" w:cs="Arial"/>
          <w:color w:val="000000" w:themeColor="text1"/>
          <w:spacing w:val="-3"/>
          <w:sz w:val="22"/>
          <w:szCs w:val="22"/>
        </w:rPr>
        <w:t>The amount P</w:t>
      </w:r>
      <w:r w:rsidR="004A5BE4" w:rsidRPr="009E35ED">
        <w:rPr>
          <w:rFonts w:ascii="Arial" w:hAnsi="Arial" w:cs="Arial"/>
          <w:color w:val="000000" w:themeColor="text1"/>
          <w:spacing w:val="-3"/>
          <w:sz w:val="22"/>
          <w:szCs w:val="22"/>
        </w:rPr>
        <w:t>201,530,554</w:t>
      </w:r>
      <w:r w:rsidRPr="009E35ED">
        <w:rPr>
          <w:rFonts w:ascii="Arial" w:hAnsi="Arial" w:cs="Arial"/>
          <w:color w:val="000000" w:themeColor="text1"/>
          <w:spacing w:val="-3"/>
          <w:sz w:val="22"/>
          <w:szCs w:val="22"/>
        </w:rPr>
        <w:t xml:space="preserve"> from the account </w:t>
      </w:r>
      <w:r w:rsidR="00142F79">
        <w:rPr>
          <w:rFonts w:ascii="Arial" w:hAnsi="Arial" w:cs="Arial"/>
          <w:color w:val="000000" w:themeColor="text1"/>
          <w:spacing w:val="-3"/>
          <w:sz w:val="22"/>
          <w:szCs w:val="22"/>
        </w:rPr>
        <w:t>p</w:t>
      </w:r>
      <w:r w:rsidRPr="009E35ED">
        <w:rPr>
          <w:rFonts w:ascii="Arial" w:hAnsi="Arial" w:cs="Arial"/>
          <w:color w:val="000000" w:themeColor="text1"/>
          <w:spacing w:val="-3"/>
          <w:sz w:val="22"/>
          <w:szCs w:val="22"/>
        </w:rPr>
        <w:t xml:space="preserve">ayable to AACs refers to the unremitted Prize </w:t>
      </w:r>
      <w:r w:rsidR="00142F79">
        <w:rPr>
          <w:rFonts w:ascii="Arial" w:hAnsi="Arial" w:cs="Arial"/>
          <w:color w:val="000000" w:themeColor="text1"/>
          <w:spacing w:val="-3"/>
          <w:sz w:val="22"/>
          <w:szCs w:val="22"/>
        </w:rPr>
        <w:t>f</w:t>
      </w:r>
      <w:r w:rsidRPr="009E35ED">
        <w:rPr>
          <w:rFonts w:ascii="Arial" w:hAnsi="Arial" w:cs="Arial"/>
          <w:color w:val="000000" w:themeColor="text1"/>
          <w:spacing w:val="-3"/>
          <w:sz w:val="22"/>
          <w:szCs w:val="22"/>
        </w:rPr>
        <w:t xml:space="preserve">und </w:t>
      </w:r>
      <w:r w:rsidR="00142F79">
        <w:rPr>
          <w:rFonts w:ascii="Arial" w:hAnsi="Arial" w:cs="Arial"/>
          <w:color w:val="000000" w:themeColor="text1"/>
          <w:spacing w:val="-3"/>
          <w:sz w:val="22"/>
          <w:szCs w:val="22"/>
        </w:rPr>
        <w:t>t</w:t>
      </w:r>
      <w:r w:rsidRPr="009E35ED">
        <w:rPr>
          <w:rFonts w:ascii="Arial" w:hAnsi="Arial" w:cs="Arial"/>
          <w:color w:val="000000" w:themeColor="text1"/>
          <w:spacing w:val="-3"/>
          <w:sz w:val="22"/>
          <w:szCs w:val="22"/>
        </w:rPr>
        <w:t>ax which can be used by the AACs as reimbursement to prize pay-out</w:t>
      </w:r>
      <w:r w:rsidR="00DC42E4" w:rsidRPr="009E35ED">
        <w:rPr>
          <w:rFonts w:ascii="Arial" w:hAnsi="Arial" w:cs="Arial"/>
          <w:color w:val="000000" w:themeColor="text1"/>
          <w:spacing w:val="-3"/>
          <w:sz w:val="22"/>
          <w:szCs w:val="22"/>
        </w:rPr>
        <w:t xml:space="preserve"> upon submission of the document</w:t>
      </w:r>
      <w:r w:rsidR="00F15BEA" w:rsidRPr="009E35ED">
        <w:rPr>
          <w:rFonts w:ascii="Arial" w:hAnsi="Arial" w:cs="Arial"/>
          <w:color w:val="000000" w:themeColor="text1"/>
          <w:spacing w:val="-3"/>
          <w:sz w:val="22"/>
          <w:szCs w:val="22"/>
        </w:rPr>
        <w:t xml:space="preserve">s required under </w:t>
      </w:r>
      <w:r w:rsidR="00142F79">
        <w:rPr>
          <w:rFonts w:ascii="Arial" w:hAnsi="Arial" w:cs="Arial"/>
          <w:color w:val="000000" w:themeColor="text1"/>
          <w:spacing w:val="-3"/>
          <w:sz w:val="22"/>
          <w:szCs w:val="22"/>
        </w:rPr>
        <w:t>BR</w:t>
      </w:r>
      <w:r w:rsidR="00F15BEA" w:rsidRPr="009E35ED">
        <w:rPr>
          <w:rFonts w:ascii="Arial" w:hAnsi="Arial" w:cs="Arial"/>
          <w:color w:val="000000" w:themeColor="text1"/>
          <w:spacing w:val="-3"/>
          <w:sz w:val="22"/>
          <w:szCs w:val="22"/>
        </w:rPr>
        <w:t xml:space="preserve"> No. 92 series 2023</w:t>
      </w:r>
      <w:r w:rsidRPr="009E35ED">
        <w:rPr>
          <w:rFonts w:ascii="Arial" w:hAnsi="Arial" w:cs="Arial"/>
          <w:color w:val="000000" w:themeColor="text1"/>
          <w:spacing w:val="-3"/>
          <w:sz w:val="22"/>
          <w:szCs w:val="22"/>
        </w:rPr>
        <w:t>.</w:t>
      </w:r>
    </w:p>
    <w:p w14:paraId="792BC837" w14:textId="71EF930A" w:rsidR="003158E0" w:rsidRPr="009E35ED" w:rsidRDefault="003158E0" w:rsidP="00803F8C">
      <w:pPr>
        <w:rPr>
          <w:rFonts w:ascii="Arial" w:hAnsi="Arial" w:cs="Arial"/>
          <w:b/>
          <w:color w:val="000000" w:themeColor="text1"/>
          <w:sz w:val="22"/>
          <w:szCs w:val="22"/>
        </w:rPr>
      </w:pPr>
    </w:p>
    <w:p w14:paraId="0EE8E424" w14:textId="77777777" w:rsidR="008A565F" w:rsidRPr="009E35ED" w:rsidRDefault="008A565F" w:rsidP="00803F8C">
      <w:pPr>
        <w:rPr>
          <w:rFonts w:ascii="Arial" w:hAnsi="Arial" w:cs="Arial"/>
          <w:b/>
          <w:color w:val="000000" w:themeColor="text1"/>
          <w:sz w:val="22"/>
          <w:szCs w:val="22"/>
        </w:rPr>
      </w:pPr>
    </w:p>
    <w:p w14:paraId="5E839CF7" w14:textId="77777777" w:rsidR="006E34FF" w:rsidRPr="009E35ED" w:rsidRDefault="00297394" w:rsidP="001C371F">
      <w:pPr>
        <w:numPr>
          <w:ilvl w:val="0"/>
          <w:numId w:val="28"/>
        </w:numPr>
        <w:ind w:hanging="720"/>
        <w:rPr>
          <w:rFonts w:ascii="Arial" w:hAnsi="Arial" w:cs="Arial"/>
          <w:color w:val="000000" w:themeColor="text1"/>
          <w:sz w:val="22"/>
          <w:szCs w:val="22"/>
        </w:rPr>
      </w:pPr>
      <w:r w:rsidRPr="009E35ED">
        <w:rPr>
          <w:rFonts w:ascii="Arial" w:hAnsi="Arial" w:cs="Arial"/>
          <w:b/>
          <w:color w:val="000000" w:themeColor="text1"/>
          <w:sz w:val="22"/>
          <w:szCs w:val="22"/>
        </w:rPr>
        <w:t>DEFERRED CREDITS</w:t>
      </w:r>
    </w:p>
    <w:p w14:paraId="7A2987FE" w14:textId="77777777" w:rsidR="006E34FF" w:rsidRPr="009E35ED" w:rsidRDefault="006E34FF" w:rsidP="00803F8C">
      <w:pPr>
        <w:rPr>
          <w:rFonts w:ascii="Arial" w:hAnsi="Arial" w:cs="Arial"/>
          <w:b/>
          <w:color w:val="000000" w:themeColor="text1"/>
          <w:sz w:val="22"/>
          <w:szCs w:val="22"/>
        </w:rPr>
      </w:pPr>
    </w:p>
    <w:p w14:paraId="26531A6E" w14:textId="1784F626" w:rsidR="00297394" w:rsidRPr="009E35ED" w:rsidRDefault="00297394" w:rsidP="00803F8C">
      <w:pPr>
        <w:suppressAutoHyphens/>
        <w:ind w:left="0"/>
        <w:rPr>
          <w:rFonts w:ascii="Arial" w:hAnsi="Arial" w:cs="Arial"/>
          <w:bCs/>
          <w:color w:val="000000" w:themeColor="text1"/>
          <w:sz w:val="22"/>
          <w:szCs w:val="22"/>
          <w:lang w:eastAsia="ar-SA"/>
        </w:rPr>
      </w:pPr>
      <w:r w:rsidRPr="009E35ED">
        <w:rPr>
          <w:rFonts w:ascii="Arial" w:hAnsi="Arial" w:cs="Arial"/>
          <w:bCs/>
          <w:color w:val="000000" w:themeColor="text1"/>
          <w:sz w:val="22"/>
          <w:szCs w:val="22"/>
          <w:lang w:eastAsia="ar-SA"/>
        </w:rPr>
        <w:t>This account represents advance sales of sweepstakes, keno and lotto tickets and advance remittances of lotto agents</w:t>
      </w:r>
      <w:r w:rsidRPr="009E35ED">
        <w:rPr>
          <w:rFonts w:ascii="Arial" w:hAnsi="Arial" w:cs="Arial"/>
          <w:b/>
          <w:bCs/>
          <w:color w:val="000000" w:themeColor="text1"/>
          <w:sz w:val="22"/>
          <w:szCs w:val="22"/>
          <w:lang w:eastAsia="ar-SA"/>
        </w:rPr>
        <w:t xml:space="preserve"> </w:t>
      </w:r>
      <w:r w:rsidRPr="009E35ED">
        <w:rPr>
          <w:rFonts w:ascii="Arial" w:hAnsi="Arial" w:cs="Arial"/>
          <w:bCs/>
          <w:color w:val="000000" w:themeColor="text1"/>
          <w:sz w:val="22"/>
          <w:szCs w:val="22"/>
          <w:lang w:eastAsia="ar-SA"/>
        </w:rPr>
        <w:t>and deferred tax liabilities.</w:t>
      </w:r>
    </w:p>
    <w:p w14:paraId="4EC786FF" w14:textId="77777777" w:rsidR="003A5476" w:rsidRDefault="003A5476" w:rsidP="00803F8C">
      <w:pPr>
        <w:suppressAutoHyphens/>
        <w:ind w:left="0"/>
        <w:rPr>
          <w:rFonts w:ascii="Arial" w:hAnsi="Arial" w:cs="Arial"/>
          <w:bCs/>
          <w:color w:val="000000" w:themeColor="text1"/>
          <w:sz w:val="22"/>
          <w:szCs w:val="22"/>
          <w:lang w:eastAsia="ar-SA"/>
        </w:rPr>
      </w:pPr>
    </w:p>
    <w:tbl>
      <w:tblPr>
        <w:tblW w:w="8532" w:type="dxa"/>
        <w:tblInd w:w="108" w:type="dxa"/>
        <w:tblLayout w:type="fixed"/>
        <w:tblLook w:val="04A0" w:firstRow="1" w:lastRow="0" w:firstColumn="1" w:lastColumn="0" w:noHBand="0" w:noVBand="1"/>
      </w:tblPr>
      <w:tblGrid>
        <w:gridCol w:w="5112"/>
        <w:gridCol w:w="1890"/>
        <w:gridCol w:w="1530"/>
      </w:tblGrid>
      <w:tr w:rsidR="00997F75" w:rsidRPr="009E35ED" w14:paraId="24B72616" w14:textId="77777777" w:rsidTr="003A5476">
        <w:trPr>
          <w:trHeight w:val="293"/>
        </w:trPr>
        <w:tc>
          <w:tcPr>
            <w:tcW w:w="5112" w:type="dxa"/>
            <w:tcBorders>
              <w:top w:val="single" w:sz="4" w:space="0" w:color="auto"/>
              <w:left w:val="nil"/>
              <w:bottom w:val="single" w:sz="4" w:space="0" w:color="auto"/>
              <w:right w:val="nil"/>
            </w:tcBorders>
            <w:shd w:val="clear" w:color="auto" w:fill="auto"/>
            <w:noWrap/>
            <w:vAlign w:val="bottom"/>
            <w:hideMark/>
          </w:tcPr>
          <w:p w14:paraId="4A82A3DC" w14:textId="77777777" w:rsidR="00036AAD" w:rsidRPr="009E35ED" w:rsidRDefault="00036AAD" w:rsidP="008500CF">
            <w:pPr>
              <w:ind w:left="-90"/>
              <w:jc w:val="left"/>
              <w:rPr>
                <w:rFonts w:ascii="Arial Narrow" w:hAnsi="Arial Narrow" w:cs="Arial"/>
                <w:color w:val="000000" w:themeColor="text1"/>
                <w:sz w:val="22"/>
                <w:szCs w:val="22"/>
                <w:lang w:val="en-PH" w:eastAsia="en-PH"/>
              </w:rPr>
            </w:pPr>
            <w:r w:rsidRPr="009E35ED">
              <w:rPr>
                <w:rFonts w:ascii="Arial Narrow" w:hAnsi="Arial Narrow" w:cs="Arial"/>
                <w:color w:val="000000" w:themeColor="text1"/>
                <w:sz w:val="22"/>
                <w:szCs w:val="22"/>
                <w:lang w:val="en-PH" w:eastAsia="en-PH"/>
              </w:rPr>
              <w:t> </w:t>
            </w:r>
          </w:p>
        </w:tc>
        <w:tc>
          <w:tcPr>
            <w:tcW w:w="1890" w:type="dxa"/>
            <w:tcBorders>
              <w:top w:val="single" w:sz="4" w:space="0" w:color="auto"/>
              <w:left w:val="nil"/>
              <w:bottom w:val="single" w:sz="4" w:space="0" w:color="auto"/>
              <w:right w:val="nil"/>
            </w:tcBorders>
            <w:shd w:val="clear" w:color="auto" w:fill="auto"/>
            <w:noWrap/>
            <w:vAlign w:val="bottom"/>
            <w:hideMark/>
          </w:tcPr>
          <w:p w14:paraId="10D51B32" w14:textId="0B2524C7" w:rsidR="00036AAD" w:rsidRPr="009E35ED" w:rsidRDefault="00036AAD" w:rsidP="008500CF">
            <w:pPr>
              <w:ind w:left="0"/>
              <w:jc w:val="right"/>
              <w:rPr>
                <w:rFonts w:ascii="Arial Narrow" w:hAnsi="Arial Narrow" w:cs="Arial"/>
                <w:b/>
                <w:bCs/>
                <w:color w:val="000000" w:themeColor="text1"/>
                <w:sz w:val="22"/>
                <w:szCs w:val="22"/>
                <w:lang w:val="en-PH" w:eastAsia="en-PH"/>
              </w:rPr>
            </w:pPr>
            <w:r w:rsidRPr="009E35ED">
              <w:rPr>
                <w:rFonts w:ascii="Arial Narrow" w:hAnsi="Arial Narrow" w:cs="Arial"/>
                <w:b/>
                <w:bCs/>
                <w:color w:val="000000" w:themeColor="text1"/>
                <w:sz w:val="22"/>
                <w:szCs w:val="22"/>
                <w:lang w:val="en-PH" w:eastAsia="en-PH"/>
              </w:rPr>
              <w:t>202</w:t>
            </w:r>
            <w:r w:rsidR="009F04A8" w:rsidRPr="009E35ED">
              <w:rPr>
                <w:rFonts w:ascii="Arial Narrow" w:hAnsi="Arial Narrow" w:cs="Arial"/>
                <w:b/>
                <w:bCs/>
                <w:color w:val="000000" w:themeColor="text1"/>
                <w:sz w:val="22"/>
                <w:szCs w:val="22"/>
                <w:lang w:val="en-PH" w:eastAsia="en-PH"/>
              </w:rPr>
              <w:t>3</w:t>
            </w:r>
          </w:p>
        </w:tc>
        <w:tc>
          <w:tcPr>
            <w:tcW w:w="1530" w:type="dxa"/>
            <w:tcBorders>
              <w:top w:val="single" w:sz="4" w:space="0" w:color="auto"/>
              <w:left w:val="nil"/>
              <w:bottom w:val="single" w:sz="4" w:space="0" w:color="auto"/>
              <w:right w:val="nil"/>
            </w:tcBorders>
            <w:vAlign w:val="bottom"/>
          </w:tcPr>
          <w:p w14:paraId="5A8112B2" w14:textId="380363F8" w:rsidR="00036AAD" w:rsidRPr="009E35ED" w:rsidRDefault="00036AAD" w:rsidP="008500CF">
            <w:pPr>
              <w:ind w:left="0" w:right="-108"/>
              <w:jc w:val="right"/>
              <w:rPr>
                <w:rFonts w:ascii="Arial Narrow" w:hAnsi="Arial Narrow" w:cs="Arial"/>
                <w:b/>
                <w:bCs/>
                <w:color w:val="000000" w:themeColor="text1"/>
                <w:sz w:val="22"/>
                <w:szCs w:val="22"/>
                <w:lang w:val="en-PH" w:eastAsia="en-PH"/>
              </w:rPr>
            </w:pPr>
            <w:r w:rsidRPr="009E35ED">
              <w:rPr>
                <w:rFonts w:ascii="Arial Narrow" w:hAnsi="Arial Narrow" w:cs="Arial"/>
                <w:b/>
                <w:bCs/>
                <w:color w:val="000000" w:themeColor="text1"/>
                <w:sz w:val="22"/>
                <w:szCs w:val="22"/>
                <w:lang w:val="en-PH" w:eastAsia="en-PH"/>
              </w:rPr>
              <w:t>202</w:t>
            </w:r>
            <w:r w:rsidR="009F04A8" w:rsidRPr="009E35ED">
              <w:rPr>
                <w:rFonts w:ascii="Arial Narrow" w:hAnsi="Arial Narrow" w:cs="Arial"/>
                <w:b/>
                <w:bCs/>
                <w:color w:val="000000" w:themeColor="text1"/>
                <w:sz w:val="22"/>
                <w:szCs w:val="22"/>
                <w:lang w:val="en-PH" w:eastAsia="en-PH"/>
              </w:rPr>
              <w:t>2</w:t>
            </w:r>
          </w:p>
        </w:tc>
      </w:tr>
      <w:tr w:rsidR="00997F75" w:rsidRPr="009E35ED" w14:paraId="1EFEF94A" w14:textId="77777777" w:rsidTr="003A5476">
        <w:trPr>
          <w:trHeight w:val="154"/>
        </w:trPr>
        <w:tc>
          <w:tcPr>
            <w:tcW w:w="5112" w:type="dxa"/>
            <w:tcBorders>
              <w:top w:val="nil"/>
              <w:left w:val="nil"/>
              <w:bottom w:val="nil"/>
              <w:right w:val="nil"/>
            </w:tcBorders>
            <w:shd w:val="clear" w:color="auto" w:fill="auto"/>
            <w:vAlign w:val="bottom"/>
            <w:hideMark/>
          </w:tcPr>
          <w:p w14:paraId="213CD14B" w14:textId="1AD9D557" w:rsidR="00F9789D" w:rsidRPr="009E35ED" w:rsidRDefault="00F9789D" w:rsidP="00F9789D">
            <w:pPr>
              <w:ind w:left="-90"/>
              <w:jc w:val="left"/>
              <w:rPr>
                <w:rFonts w:ascii="Arial Narrow" w:hAnsi="Arial Narrow" w:cs="Arial"/>
                <w:color w:val="000000" w:themeColor="text1"/>
                <w:sz w:val="22"/>
                <w:szCs w:val="22"/>
                <w:lang w:val="en-PH" w:eastAsia="en-PH"/>
              </w:rPr>
            </w:pPr>
            <w:r w:rsidRPr="009E35ED">
              <w:rPr>
                <w:rFonts w:ascii="Arial Narrow" w:hAnsi="Arial Narrow" w:cs="Arial"/>
                <w:color w:val="000000" w:themeColor="text1"/>
                <w:sz w:val="22"/>
                <w:szCs w:val="22"/>
                <w:lang w:val="en-PH" w:eastAsia="en-PH"/>
              </w:rPr>
              <w:t>Other unearned revenue/income</w:t>
            </w:r>
          </w:p>
        </w:tc>
        <w:tc>
          <w:tcPr>
            <w:tcW w:w="1890" w:type="dxa"/>
            <w:tcBorders>
              <w:top w:val="nil"/>
              <w:left w:val="nil"/>
              <w:bottom w:val="nil"/>
              <w:right w:val="nil"/>
            </w:tcBorders>
            <w:shd w:val="clear" w:color="auto" w:fill="auto"/>
          </w:tcPr>
          <w:p w14:paraId="3535DFAC" w14:textId="0A2C6226" w:rsidR="00F9789D" w:rsidRPr="009E35ED" w:rsidRDefault="00F9789D" w:rsidP="00F9789D">
            <w:pPr>
              <w:ind w:left="0"/>
              <w:jc w:val="right"/>
              <w:rPr>
                <w:rFonts w:ascii="Arial Narrow" w:hAnsi="Arial Narrow" w:cs="Arial"/>
                <w:color w:val="000000" w:themeColor="text1"/>
                <w:sz w:val="22"/>
                <w:szCs w:val="22"/>
                <w:lang w:val="en-PH" w:eastAsia="en-PH"/>
              </w:rPr>
            </w:pPr>
            <w:r w:rsidRPr="009E35ED">
              <w:rPr>
                <w:rFonts w:ascii="Arial Narrow" w:hAnsi="Arial Narrow"/>
                <w:color w:val="000000" w:themeColor="text1"/>
                <w:sz w:val="22"/>
                <w:szCs w:val="22"/>
              </w:rPr>
              <w:t xml:space="preserve"> 7,089,669 </w:t>
            </w:r>
          </w:p>
        </w:tc>
        <w:tc>
          <w:tcPr>
            <w:tcW w:w="1530" w:type="dxa"/>
            <w:tcBorders>
              <w:top w:val="nil"/>
              <w:left w:val="nil"/>
              <w:bottom w:val="nil"/>
              <w:right w:val="nil"/>
            </w:tcBorders>
            <w:vAlign w:val="bottom"/>
          </w:tcPr>
          <w:p w14:paraId="6ED29084" w14:textId="5BEE41B1" w:rsidR="00F9789D" w:rsidRPr="009E35ED" w:rsidRDefault="00F9789D" w:rsidP="00F9789D">
            <w:pPr>
              <w:ind w:left="0" w:right="-108"/>
              <w:jc w:val="right"/>
              <w:rPr>
                <w:rFonts w:ascii="Arial Narrow" w:hAnsi="Arial Narrow" w:cs="Arial"/>
                <w:color w:val="000000" w:themeColor="text1"/>
                <w:sz w:val="22"/>
                <w:szCs w:val="22"/>
                <w:lang w:val="en-PH" w:eastAsia="en-PH"/>
              </w:rPr>
            </w:pPr>
            <w:r w:rsidRPr="009E35ED">
              <w:rPr>
                <w:rFonts w:ascii="Arial Narrow" w:hAnsi="Arial Narrow" w:cs="Arial"/>
                <w:color w:val="000000" w:themeColor="text1"/>
                <w:sz w:val="22"/>
                <w:szCs w:val="22"/>
                <w:lang w:val="en-PH" w:eastAsia="en-PH"/>
              </w:rPr>
              <w:t>7,089,669</w:t>
            </w:r>
          </w:p>
        </w:tc>
      </w:tr>
      <w:tr w:rsidR="00997F75" w:rsidRPr="009E35ED" w14:paraId="42C0D388" w14:textId="77777777" w:rsidTr="003A5476">
        <w:trPr>
          <w:trHeight w:val="265"/>
        </w:trPr>
        <w:tc>
          <w:tcPr>
            <w:tcW w:w="5112" w:type="dxa"/>
            <w:tcBorders>
              <w:top w:val="nil"/>
              <w:left w:val="nil"/>
              <w:bottom w:val="nil"/>
              <w:right w:val="nil"/>
            </w:tcBorders>
            <w:shd w:val="clear" w:color="auto" w:fill="auto"/>
            <w:vAlign w:val="bottom"/>
            <w:hideMark/>
          </w:tcPr>
          <w:p w14:paraId="36AE3D90" w14:textId="688D7D09" w:rsidR="00F9789D" w:rsidRPr="009E35ED" w:rsidRDefault="00F9789D" w:rsidP="00F9789D">
            <w:pPr>
              <w:ind w:left="-90"/>
              <w:jc w:val="left"/>
              <w:rPr>
                <w:rFonts w:ascii="Arial Narrow" w:hAnsi="Arial Narrow" w:cs="Arial"/>
                <w:color w:val="000000" w:themeColor="text1"/>
                <w:sz w:val="22"/>
                <w:szCs w:val="22"/>
                <w:lang w:val="en-PH" w:eastAsia="en-PH"/>
              </w:rPr>
            </w:pPr>
            <w:r w:rsidRPr="009E35ED">
              <w:rPr>
                <w:rFonts w:ascii="Arial Narrow" w:hAnsi="Arial Narrow" w:cs="Arial"/>
                <w:color w:val="000000" w:themeColor="text1"/>
                <w:sz w:val="22"/>
                <w:szCs w:val="22"/>
                <w:lang w:val="en-PH" w:eastAsia="en-PH"/>
              </w:rPr>
              <w:t>Undistributed collection – Lotto</w:t>
            </w:r>
          </w:p>
        </w:tc>
        <w:tc>
          <w:tcPr>
            <w:tcW w:w="1890" w:type="dxa"/>
            <w:tcBorders>
              <w:top w:val="nil"/>
              <w:left w:val="nil"/>
              <w:bottom w:val="nil"/>
              <w:right w:val="nil"/>
            </w:tcBorders>
            <w:shd w:val="clear" w:color="auto" w:fill="auto"/>
          </w:tcPr>
          <w:p w14:paraId="557C8132" w14:textId="63BE0772" w:rsidR="00F9789D" w:rsidRPr="009E35ED" w:rsidRDefault="00F9789D" w:rsidP="00F9789D">
            <w:pPr>
              <w:ind w:left="0"/>
              <w:jc w:val="right"/>
              <w:rPr>
                <w:rFonts w:ascii="Arial Narrow" w:hAnsi="Arial Narrow" w:cs="Arial"/>
                <w:color w:val="000000" w:themeColor="text1"/>
                <w:sz w:val="22"/>
                <w:szCs w:val="22"/>
                <w:lang w:val="en-PH" w:eastAsia="en-PH"/>
              </w:rPr>
            </w:pPr>
            <w:r w:rsidRPr="009E35ED">
              <w:rPr>
                <w:rFonts w:ascii="Arial Narrow" w:hAnsi="Arial Narrow"/>
                <w:color w:val="000000" w:themeColor="text1"/>
                <w:sz w:val="22"/>
                <w:szCs w:val="22"/>
              </w:rPr>
              <w:t xml:space="preserve"> 20,394,952 </w:t>
            </w:r>
          </w:p>
        </w:tc>
        <w:tc>
          <w:tcPr>
            <w:tcW w:w="1530" w:type="dxa"/>
            <w:tcBorders>
              <w:top w:val="nil"/>
              <w:left w:val="nil"/>
              <w:bottom w:val="nil"/>
              <w:right w:val="nil"/>
            </w:tcBorders>
            <w:vAlign w:val="bottom"/>
          </w:tcPr>
          <w:p w14:paraId="24754ABC" w14:textId="63CDBE53" w:rsidR="00F9789D" w:rsidRPr="009E35ED" w:rsidRDefault="00F9789D" w:rsidP="00F9789D">
            <w:pPr>
              <w:ind w:left="0" w:right="-108"/>
              <w:jc w:val="right"/>
              <w:rPr>
                <w:rFonts w:ascii="Arial Narrow" w:hAnsi="Arial Narrow" w:cs="Arial"/>
                <w:color w:val="000000" w:themeColor="text1"/>
                <w:sz w:val="22"/>
                <w:szCs w:val="22"/>
                <w:lang w:val="en-PH" w:eastAsia="en-PH"/>
              </w:rPr>
            </w:pPr>
            <w:r w:rsidRPr="009E35ED">
              <w:rPr>
                <w:rFonts w:ascii="Arial Narrow" w:hAnsi="Arial Narrow" w:cs="Arial"/>
                <w:color w:val="000000" w:themeColor="text1"/>
                <w:sz w:val="22"/>
                <w:szCs w:val="22"/>
                <w:lang w:val="en-PH" w:eastAsia="en-PH"/>
              </w:rPr>
              <w:t>14,396,412</w:t>
            </w:r>
          </w:p>
        </w:tc>
      </w:tr>
      <w:tr w:rsidR="00997F75" w:rsidRPr="009E35ED" w14:paraId="7C564D89" w14:textId="77777777" w:rsidTr="003A5476">
        <w:trPr>
          <w:trHeight w:val="183"/>
        </w:trPr>
        <w:tc>
          <w:tcPr>
            <w:tcW w:w="5112" w:type="dxa"/>
            <w:tcBorders>
              <w:top w:val="nil"/>
              <w:left w:val="nil"/>
              <w:bottom w:val="nil"/>
              <w:right w:val="nil"/>
            </w:tcBorders>
            <w:shd w:val="clear" w:color="auto" w:fill="auto"/>
            <w:vAlign w:val="bottom"/>
            <w:hideMark/>
          </w:tcPr>
          <w:p w14:paraId="7A7FDBF3" w14:textId="3364CA3F" w:rsidR="00F9789D" w:rsidRPr="009E35ED" w:rsidRDefault="00F9789D" w:rsidP="00F9789D">
            <w:pPr>
              <w:ind w:left="-90"/>
              <w:jc w:val="left"/>
              <w:rPr>
                <w:rFonts w:ascii="Arial Narrow" w:hAnsi="Arial Narrow" w:cs="Arial"/>
                <w:color w:val="000000" w:themeColor="text1"/>
                <w:sz w:val="22"/>
                <w:szCs w:val="22"/>
                <w:lang w:val="en-PH" w:eastAsia="en-PH"/>
              </w:rPr>
            </w:pPr>
            <w:r w:rsidRPr="009E35ED">
              <w:rPr>
                <w:rFonts w:ascii="Arial Narrow" w:hAnsi="Arial Narrow" w:cs="Arial"/>
                <w:color w:val="000000" w:themeColor="text1"/>
                <w:sz w:val="22"/>
                <w:szCs w:val="22"/>
                <w:lang w:val="en-PH" w:eastAsia="en-PH"/>
              </w:rPr>
              <w:t>Undistributed collection – NISP</w:t>
            </w:r>
          </w:p>
        </w:tc>
        <w:tc>
          <w:tcPr>
            <w:tcW w:w="1890" w:type="dxa"/>
            <w:tcBorders>
              <w:top w:val="nil"/>
              <w:left w:val="nil"/>
              <w:bottom w:val="nil"/>
              <w:right w:val="nil"/>
            </w:tcBorders>
            <w:shd w:val="clear" w:color="auto" w:fill="auto"/>
          </w:tcPr>
          <w:p w14:paraId="1625E76D" w14:textId="0C3090BC" w:rsidR="00F9789D" w:rsidRPr="009E35ED" w:rsidRDefault="00F9789D" w:rsidP="00F9789D">
            <w:pPr>
              <w:ind w:left="0"/>
              <w:jc w:val="right"/>
              <w:rPr>
                <w:rFonts w:ascii="Arial Narrow" w:hAnsi="Arial Narrow" w:cs="Arial"/>
                <w:color w:val="000000" w:themeColor="text1"/>
                <w:sz w:val="22"/>
                <w:szCs w:val="22"/>
                <w:lang w:val="en-PH" w:eastAsia="en-PH"/>
              </w:rPr>
            </w:pPr>
            <w:r w:rsidRPr="009E35ED">
              <w:rPr>
                <w:rFonts w:ascii="Arial Narrow" w:hAnsi="Arial Narrow"/>
                <w:color w:val="000000" w:themeColor="text1"/>
                <w:sz w:val="22"/>
                <w:szCs w:val="22"/>
              </w:rPr>
              <w:t xml:space="preserve"> -   </w:t>
            </w:r>
          </w:p>
        </w:tc>
        <w:tc>
          <w:tcPr>
            <w:tcW w:w="1530" w:type="dxa"/>
            <w:tcBorders>
              <w:top w:val="nil"/>
              <w:left w:val="nil"/>
              <w:bottom w:val="nil"/>
              <w:right w:val="nil"/>
            </w:tcBorders>
            <w:vAlign w:val="bottom"/>
          </w:tcPr>
          <w:p w14:paraId="472BF4AC" w14:textId="196FE83D" w:rsidR="00F9789D" w:rsidRPr="009E35ED" w:rsidRDefault="007D3C15" w:rsidP="00F9789D">
            <w:pPr>
              <w:ind w:left="0" w:right="-108"/>
              <w:jc w:val="right"/>
              <w:rPr>
                <w:rFonts w:ascii="Arial Narrow" w:hAnsi="Arial Narrow" w:cs="Arial"/>
                <w:color w:val="000000" w:themeColor="text1"/>
                <w:sz w:val="22"/>
                <w:szCs w:val="22"/>
                <w:lang w:val="en-PH" w:eastAsia="en-PH"/>
              </w:rPr>
            </w:pPr>
            <w:r w:rsidRPr="009E35ED">
              <w:rPr>
                <w:rFonts w:ascii="Arial Narrow" w:hAnsi="Arial Narrow" w:cs="Arial"/>
                <w:color w:val="000000" w:themeColor="text1"/>
                <w:sz w:val="22"/>
                <w:szCs w:val="22"/>
                <w:lang w:val="en-PH" w:eastAsia="en-PH"/>
              </w:rPr>
              <w:t>-</w:t>
            </w:r>
          </w:p>
        </w:tc>
      </w:tr>
      <w:tr w:rsidR="00997F75" w:rsidRPr="009E35ED" w14:paraId="71AD5FBC" w14:textId="77777777" w:rsidTr="003A5476">
        <w:trPr>
          <w:trHeight w:val="201"/>
        </w:trPr>
        <w:tc>
          <w:tcPr>
            <w:tcW w:w="5112" w:type="dxa"/>
            <w:tcBorders>
              <w:top w:val="nil"/>
              <w:left w:val="nil"/>
              <w:bottom w:val="nil"/>
              <w:right w:val="nil"/>
            </w:tcBorders>
            <w:shd w:val="clear" w:color="auto" w:fill="auto"/>
            <w:vAlign w:val="bottom"/>
            <w:hideMark/>
          </w:tcPr>
          <w:p w14:paraId="15E985EC" w14:textId="3A8797FA" w:rsidR="00F9789D" w:rsidRPr="009E35ED" w:rsidRDefault="00F9789D" w:rsidP="00F9789D">
            <w:pPr>
              <w:ind w:left="-90"/>
              <w:jc w:val="left"/>
              <w:rPr>
                <w:rFonts w:ascii="Arial Narrow" w:hAnsi="Arial Narrow" w:cs="Arial"/>
                <w:color w:val="000000" w:themeColor="text1"/>
                <w:sz w:val="22"/>
                <w:szCs w:val="22"/>
                <w:lang w:val="en-PH" w:eastAsia="en-PH"/>
              </w:rPr>
            </w:pPr>
            <w:r w:rsidRPr="009E35ED">
              <w:rPr>
                <w:rFonts w:ascii="Arial Narrow" w:hAnsi="Arial Narrow" w:cs="Arial"/>
                <w:color w:val="000000" w:themeColor="text1"/>
                <w:sz w:val="22"/>
                <w:szCs w:val="22"/>
                <w:lang w:val="en-PH" w:eastAsia="en-PH"/>
              </w:rPr>
              <w:t xml:space="preserve">Advance remittance  - Lotto </w:t>
            </w:r>
          </w:p>
        </w:tc>
        <w:tc>
          <w:tcPr>
            <w:tcW w:w="1890" w:type="dxa"/>
            <w:tcBorders>
              <w:top w:val="nil"/>
              <w:left w:val="nil"/>
              <w:bottom w:val="nil"/>
              <w:right w:val="nil"/>
            </w:tcBorders>
            <w:shd w:val="clear" w:color="auto" w:fill="auto"/>
          </w:tcPr>
          <w:p w14:paraId="3AC359AB" w14:textId="32DCD946" w:rsidR="00F9789D" w:rsidRPr="009E35ED" w:rsidRDefault="00F9789D" w:rsidP="0041418E">
            <w:pPr>
              <w:ind w:left="0"/>
              <w:jc w:val="right"/>
              <w:rPr>
                <w:rFonts w:ascii="Arial Narrow" w:hAnsi="Arial Narrow" w:cs="Arial"/>
                <w:color w:val="000000" w:themeColor="text1"/>
                <w:sz w:val="22"/>
                <w:szCs w:val="22"/>
                <w:lang w:val="en-PH" w:eastAsia="en-PH"/>
              </w:rPr>
            </w:pPr>
            <w:r w:rsidRPr="009E35ED">
              <w:rPr>
                <w:rFonts w:ascii="Arial Narrow" w:hAnsi="Arial Narrow"/>
                <w:color w:val="000000" w:themeColor="text1"/>
                <w:sz w:val="22"/>
                <w:szCs w:val="22"/>
              </w:rPr>
              <w:t xml:space="preserve"> 115,</w:t>
            </w:r>
            <w:r w:rsidR="0041418E" w:rsidRPr="009E35ED">
              <w:rPr>
                <w:rFonts w:ascii="Arial Narrow" w:hAnsi="Arial Narrow"/>
                <w:color w:val="000000" w:themeColor="text1"/>
                <w:sz w:val="22"/>
                <w:szCs w:val="22"/>
              </w:rPr>
              <w:t>156,667</w:t>
            </w:r>
            <w:r w:rsidRPr="009E35ED">
              <w:rPr>
                <w:rFonts w:ascii="Arial Narrow" w:hAnsi="Arial Narrow"/>
                <w:color w:val="000000" w:themeColor="text1"/>
                <w:sz w:val="22"/>
                <w:szCs w:val="22"/>
              </w:rPr>
              <w:t xml:space="preserve"> </w:t>
            </w:r>
          </w:p>
        </w:tc>
        <w:tc>
          <w:tcPr>
            <w:tcW w:w="1530" w:type="dxa"/>
            <w:tcBorders>
              <w:top w:val="nil"/>
              <w:left w:val="nil"/>
              <w:bottom w:val="nil"/>
              <w:right w:val="nil"/>
            </w:tcBorders>
            <w:vAlign w:val="bottom"/>
          </w:tcPr>
          <w:p w14:paraId="7353D208" w14:textId="585B9F4D" w:rsidR="00F9789D" w:rsidRPr="009E35ED" w:rsidRDefault="00F9789D" w:rsidP="00F9789D">
            <w:pPr>
              <w:ind w:left="0" w:right="-108"/>
              <w:jc w:val="right"/>
              <w:rPr>
                <w:rFonts w:ascii="Arial Narrow" w:hAnsi="Arial Narrow" w:cs="Arial"/>
                <w:color w:val="000000" w:themeColor="text1"/>
                <w:sz w:val="22"/>
                <w:szCs w:val="22"/>
                <w:lang w:val="en-PH" w:eastAsia="en-PH"/>
              </w:rPr>
            </w:pPr>
            <w:r w:rsidRPr="009E35ED">
              <w:rPr>
                <w:rFonts w:ascii="Arial Narrow" w:hAnsi="Arial Narrow" w:cs="Arial"/>
                <w:color w:val="000000" w:themeColor="text1"/>
                <w:sz w:val="22"/>
                <w:szCs w:val="22"/>
                <w:lang w:val="en-PH" w:eastAsia="en-PH"/>
              </w:rPr>
              <w:t>96,514,870</w:t>
            </w:r>
          </w:p>
        </w:tc>
      </w:tr>
      <w:tr w:rsidR="00997F75" w:rsidRPr="009E35ED" w14:paraId="5916A801" w14:textId="77777777" w:rsidTr="003A5476">
        <w:trPr>
          <w:trHeight w:val="201"/>
        </w:trPr>
        <w:tc>
          <w:tcPr>
            <w:tcW w:w="5112" w:type="dxa"/>
            <w:tcBorders>
              <w:top w:val="nil"/>
              <w:left w:val="nil"/>
              <w:bottom w:val="nil"/>
              <w:right w:val="nil"/>
            </w:tcBorders>
            <w:shd w:val="clear" w:color="auto" w:fill="auto"/>
          </w:tcPr>
          <w:p w14:paraId="233E9F9E" w14:textId="5370EA90" w:rsidR="00F9789D" w:rsidRPr="009E35ED" w:rsidRDefault="00F9789D" w:rsidP="00F9789D">
            <w:pPr>
              <w:ind w:left="-90"/>
              <w:jc w:val="left"/>
              <w:rPr>
                <w:rFonts w:ascii="Arial Narrow" w:hAnsi="Arial Narrow" w:cs="Arial"/>
                <w:color w:val="000000" w:themeColor="text1"/>
                <w:sz w:val="22"/>
                <w:szCs w:val="22"/>
                <w:lang w:val="en-PH" w:eastAsia="en-PH"/>
              </w:rPr>
            </w:pPr>
            <w:r w:rsidRPr="009E35ED">
              <w:rPr>
                <w:rFonts w:ascii="Arial Narrow" w:hAnsi="Arial Narrow" w:cs="Arial"/>
                <w:color w:val="000000" w:themeColor="text1"/>
                <w:sz w:val="22"/>
                <w:szCs w:val="22"/>
                <w:lang w:val="en-PH" w:eastAsia="en-PH"/>
              </w:rPr>
              <w:t xml:space="preserve">Advance remittance  - Keno </w:t>
            </w:r>
          </w:p>
        </w:tc>
        <w:tc>
          <w:tcPr>
            <w:tcW w:w="1890" w:type="dxa"/>
            <w:tcBorders>
              <w:top w:val="nil"/>
              <w:left w:val="nil"/>
              <w:bottom w:val="nil"/>
              <w:right w:val="nil"/>
            </w:tcBorders>
            <w:shd w:val="clear" w:color="auto" w:fill="FFFFFF" w:themeFill="background1"/>
          </w:tcPr>
          <w:p w14:paraId="347E2EAA" w14:textId="68299E1B" w:rsidR="00F9789D" w:rsidRPr="009E35ED" w:rsidRDefault="00F9789D" w:rsidP="00F9789D">
            <w:pPr>
              <w:ind w:left="0"/>
              <w:jc w:val="right"/>
              <w:rPr>
                <w:rFonts w:ascii="Arial Narrow" w:hAnsi="Arial Narrow" w:cs="Calibri"/>
                <w:color w:val="000000" w:themeColor="text1"/>
                <w:sz w:val="22"/>
                <w:szCs w:val="22"/>
              </w:rPr>
            </w:pPr>
            <w:r w:rsidRPr="009E35ED">
              <w:rPr>
                <w:rFonts w:ascii="Arial Narrow" w:hAnsi="Arial Narrow"/>
                <w:color w:val="000000" w:themeColor="text1"/>
                <w:sz w:val="22"/>
                <w:szCs w:val="22"/>
              </w:rPr>
              <w:t xml:space="preserve"> 9,891,604 </w:t>
            </w:r>
          </w:p>
        </w:tc>
        <w:tc>
          <w:tcPr>
            <w:tcW w:w="1530" w:type="dxa"/>
            <w:tcBorders>
              <w:top w:val="nil"/>
              <w:left w:val="nil"/>
              <w:bottom w:val="nil"/>
              <w:right w:val="nil"/>
            </w:tcBorders>
            <w:shd w:val="clear" w:color="auto" w:fill="FFFFFF" w:themeFill="background1"/>
            <w:vAlign w:val="bottom"/>
          </w:tcPr>
          <w:p w14:paraId="67D1076C" w14:textId="3B317B84" w:rsidR="00F9789D" w:rsidRPr="009E35ED" w:rsidRDefault="00F9789D" w:rsidP="00F9789D">
            <w:pPr>
              <w:ind w:left="0" w:right="-108"/>
              <w:jc w:val="right"/>
              <w:rPr>
                <w:rFonts w:ascii="Arial Narrow" w:hAnsi="Arial Narrow" w:cs="Arial"/>
                <w:color w:val="000000" w:themeColor="text1"/>
                <w:sz w:val="22"/>
                <w:szCs w:val="22"/>
                <w:lang w:val="en-PH" w:eastAsia="en-PH"/>
              </w:rPr>
            </w:pPr>
            <w:r w:rsidRPr="009E35ED">
              <w:rPr>
                <w:rFonts w:ascii="Arial Narrow" w:hAnsi="Arial Narrow" w:cs="Calibri"/>
                <w:color w:val="000000" w:themeColor="text1"/>
                <w:sz w:val="22"/>
                <w:szCs w:val="22"/>
              </w:rPr>
              <w:t>8,153,187</w:t>
            </w:r>
          </w:p>
        </w:tc>
      </w:tr>
      <w:tr w:rsidR="00997F75" w:rsidRPr="009E35ED" w14:paraId="28569F5D" w14:textId="77777777" w:rsidTr="003A5476">
        <w:trPr>
          <w:trHeight w:val="201"/>
        </w:trPr>
        <w:tc>
          <w:tcPr>
            <w:tcW w:w="5112" w:type="dxa"/>
            <w:tcBorders>
              <w:top w:val="nil"/>
              <w:left w:val="nil"/>
              <w:bottom w:val="nil"/>
              <w:right w:val="nil"/>
            </w:tcBorders>
            <w:shd w:val="clear" w:color="auto" w:fill="auto"/>
          </w:tcPr>
          <w:p w14:paraId="55380C2C" w14:textId="7FBC2A43" w:rsidR="00F9789D" w:rsidRPr="009E35ED" w:rsidRDefault="00F9789D" w:rsidP="00F9789D">
            <w:pPr>
              <w:ind w:left="-90"/>
              <w:jc w:val="left"/>
              <w:rPr>
                <w:rFonts w:ascii="Arial Narrow" w:hAnsi="Arial Narrow" w:cs="Arial"/>
                <w:color w:val="000000" w:themeColor="text1"/>
                <w:sz w:val="22"/>
                <w:szCs w:val="22"/>
                <w:lang w:val="en-PH" w:eastAsia="en-PH"/>
              </w:rPr>
            </w:pPr>
            <w:r w:rsidRPr="009E35ED">
              <w:rPr>
                <w:rFonts w:ascii="Arial Narrow" w:hAnsi="Arial Narrow" w:cs="Arial"/>
                <w:color w:val="000000" w:themeColor="text1"/>
                <w:sz w:val="22"/>
                <w:szCs w:val="22"/>
                <w:lang w:val="en-PH" w:eastAsia="en-PH"/>
              </w:rPr>
              <w:t xml:space="preserve">Advance remittance  - STL </w:t>
            </w:r>
          </w:p>
        </w:tc>
        <w:tc>
          <w:tcPr>
            <w:tcW w:w="1890" w:type="dxa"/>
            <w:tcBorders>
              <w:top w:val="nil"/>
              <w:left w:val="nil"/>
              <w:bottom w:val="nil"/>
              <w:right w:val="nil"/>
            </w:tcBorders>
            <w:shd w:val="clear" w:color="auto" w:fill="auto"/>
          </w:tcPr>
          <w:p w14:paraId="6237DDB5" w14:textId="017D8981" w:rsidR="00F9789D" w:rsidRPr="009E35ED" w:rsidRDefault="00F9789D" w:rsidP="0041418E">
            <w:pPr>
              <w:ind w:left="0"/>
              <w:jc w:val="right"/>
              <w:rPr>
                <w:rFonts w:ascii="Arial Narrow" w:hAnsi="Arial Narrow" w:cs="Calibri"/>
                <w:color w:val="000000" w:themeColor="text1"/>
                <w:sz w:val="22"/>
                <w:szCs w:val="22"/>
              </w:rPr>
            </w:pPr>
            <w:r w:rsidRPr="009E35ED">
              <w:rPr>
                <w:rFonts w:ascii="Arial Narrow" w:hAnsi="Arial Narrow"/>
                <w:color w:val="000000" w:themeColor="text1"/>
                <w:sz w:val="22"/>
                <w:szCs w:val="22"/>
              </w:rPr>
              <w:t xml:space="preserve"> </w:t>
            </w:r>
            <w:r w:rsidR="0041418E" w:rsidRPr="009E35ED">
              <w:rPr>
                <w:rFonts w:ascii="Arial Narrow" w:hAnsi="Arial Narrow"/>
                <w:color w:val="000000" w:themeColor="text1"/>
                <w:sz w:val="22"/>
                <w:szCs w:val="22"/>
              </w:rPr>
              <w:t>14,181,075</w:t>
            </w:r>
            <w:r w:rsidRPr="009E35ED">
              <w:rPr>
                <w:rFonts w:ascii="Arial Narrow" w:hAnsi="Arial Narrow"/>
                <w:color w:val="000000" w:themeColor="text1"/>
                <w:sz w:val="22"/>
                <w:szCs w:val="22"/>
              </w:rPr>
              <w:t xml:space="preserve"> </w:t>
            </w:r>
          </w:p>
        </w:tc>
        <w:tc>
          <w:tcPr>
            <w:tcW w:w="1530" w:type="dxa"/>
            <w:tcBorders>
              <w:top w:val="nil"/>
              <w:left w:val="nil"/>
              <w:bottom w:val="nil"/>
              <w:right w:val="nil"/>
            </w:tcBorders>
            <w:vAlign w:val="bottom"/>
          </w:tcPr>
          <w:p w14:paraId="14414DE9" w14:textId="10D7187D" w:rsidR="00F9789D" w:rsidRPr="009E35ED" w:rsidRDefault="00F9789D" w:rsidP="00F9789D">
            <w:pPr>
              <w:ind w:left="0" w:right="-108"/>
              <w:jc w:val="right"/>
              <w:rPr>
                <w:rFonts w:ascii="Arial Narrow" w:hAnsi="Arial Narrow" w:cs="Arial"/>
                <w:color w:val="000000" w:themeColor="text1"/>
                <w:sz w:val="22"/>
                <w:szCs w:val="22"/>
                <w:lang w:val="en-PH" w:eastAsia="en-PH"/>
              </w:rPr>
            </w:pPr>
            <w:r w:rsidRPr="009E35ED">
              <w:rPr>
                <w:rFonts w:ascii="Arial Narrow" w:hAnsi="Arial Narrow" w:cs="Calibri"/>
                <w:color w:val="000000" w:themeColor="text1"/>
                <w:sz w:val="22"/>
                <w:szCs w:val="22"/>
              </w:rPr>
              <w:t>24,211,830</w:t>
            </w:r>
          </w:p>
        </w:tc>
      </w:tr>
      <w:tr w:rsidR="00997F75" w:rsidRPr="009E35ED" w14:paraId="3F559F10" w14:textId="77777777" w:rsidTr="003A5476">
        <w:trPr>
          <w:trHeight w:val="201"/>
        </w:trPr>
        <w:tc>
          <w:tcPr>
            <w:tcW w:w="5112" w:type="dxa"/>
            <w:tcBorders>
              <w:top w:val="nil"/>
              <w:left w:val="nil"/>
              <w:bottom w:val="nil"/>
              <w:right w:val="nil"/>
            </w:tcBorders>
            <w:shd w:val="clear" w:color="auto" w:fill="auto"/>
            <w:vAlign w:val="bottom"/>
          </w:tcPr>
          <w:p w14:paraId="3AFAC82D" w14:textId="4B24388C" w:rsidR="00F9789D" w:rsidRPr="009E35ED" w:rsidRDefault="00F9789D" w:rsidP="00F9789D">
            <w:pPr>
              <w:ind w:left="-90"/>
              <w:jc w:val="left"/>
              <w:rPr>
                <w:rFonts w:ascii="Arial Narrow" w:hAnsi="Arial Narrow" w:cs="Arial"/>
                <w:color w:val="000000" w:themeColor="text1"/>
                <w:sz w:val="22"/>
                <w:szCs w:val="22"/>
                <w:lang w:val="en-PH" w:eastAsia="en-PH"/>
              </w:rPr>
            </w:pPr>
            <w:r w:rsidRPr="009E35ED">
              <w:rPr>
                <w:rFonts w:ascii="Arial Narrow" w:hAnsi="Arial Narrow" w:cs="Arial"/>
                <w:color w:val="000000" w:themeColor="text1"/>
                <w:sz w:val="22"/>
                <w:szCs w:val="22"/>
                <w:lang w:val="en-PH" w:eastAsia="en-PH"/>
              </w:rPr>
              <w:t>Other deferred credits – Land Donation</w:t>
            </w:r>
          </w:p>
        </w:tc>
        <w:tc>
          <w:tcPr>
            <w:tcW w:w="1890" w:type="dxa"/>
            <w:tcBorders>
              <w:top w:val="nil"/>
              <w:left w:val="nil"/>
              <w:bottom w:val="nil"/>
              <w:right w:val="nil"/>
            </w:tcBorders>
            <w:shd w:val="clear" w:color="auto" w:fill="auto"/>
          </w:tcPr>
          <w:p w14:paraId="41DE4296" w14:textId="5A34A776" w:rsidR="00F9789D" w:rsidRPr="009E35ED" w:rsidRDefault="00F9789D" w:rsidP="00F9789D">
            <w:pPr>
              <w:ind w:left="0"/>
              <w:jc w:val="right"/>
              <w:rPr>
                <w:rFonts w:ascii="Arial Narrow" w:hAnsi="Arial Narrow" w:cs="Calibri"/>
                <w:color w:val="000000" w:themeColor="text1"/>
                <w:sz w:val="22"/>
                <w:szCs w:val="22"/>
              </w:rPr>
            </w:pPr>
            <w:r w:rsidRPr="009E35ED">
              <w:rPr>
                <w:rFonts w:ascii="Arial Narrow" w:hAnsi="Arial Narrow"/>
                <w:color w:val="000000" w:themeColor="text1"/>
                <w:sz w:val="22"/>
                <w:szCs w:val="22"/>
              </w:rPr>
              <w:t xml:space="preserve"> 1,500,000 </w:t>
            </w:r>
          </w:p>
        </w:tc>
        <w:tc>
          <w:tcPr>
            <w:tcW w:w="1530" w:type="dxa"/>
            <w:tcBorders>
              <w:top w:val="nil"/>
              <w:left w:val="nil"/>
              <w:bottom w:val="nil"/>
              <w:right w:val="nil"/>
            </w:tcBorders>
            <w:vAlign w:val="bottom"/>
          </w:tcPr>
          <w:p w14:paraId="06AD3EFA" w14:textId="0C28F3EB" w:rsidR="00F9789D" w:rsidRPr="009E35ED" w:rsidRDefault="00F9789D" w:rsidP="00F9789D">
            <w:pPr>
              <w:ind w:left="0" w:right="-108"/>
              <w:jc w:val="right"/>
              <w:rPr>
                <w:rFonts w:ascii="Arial Narrow" w:hAnsi="Arial Narrow" w:cs="Calibri"/>
                <w:color w:val="000000" w:themeColor="text1"/>
                <w:sz w:val="22"/>
                <w:szCs w:val="22"/>
              </w:rPr>
            </w:pPr>
            <w:r w:rsidRPr="009E35ED">
              <w:rPr>
                <w:rFonts w:ascii="Arial Narrow" w:hAnsi="Arial Narrow" w:cs="Calibri"/>
                <w:color w:val="000000" w:themeColor="text1"/>
                <w:sz w:val="22"/>
                <w:szCs w:val="22"/>
              </w:rPr>
              <w:t>1,500,000</w:t>
            </w:r>
          </w:p>
        </w:tc>
      </w:tr>
      <w:tr w:rsidR="00997F75" w:rsidRPr="009E35ED" w14:paraId="1A4FB299" w14:textId="77777777" w:rsidTr="003A5476">
        <w:trPr>
          <w:trHeight w:val="200"/>
        </w:trPr>
        <w:tc>
          <w:tcPr>
            <w:tcW w:w="5112" w:type="dxa"/>
            <w:tcBorders>
              <w:top w:val="single" w:sz="4" w:space="0" w:color="auto"/>
              <w:left w:val="nil"/>
              <w:bottom w:val="double" w:sz="6" w:space="0" w:color="auto"/>
              <w:right w:val="nil"/>
            </w:tcBorders>
            <w:shd w:val="clear" w:color="auto" w:fill="auto"/>
            <w:noWrap/>
            <w:vAlign w:val="bottom"/>
            <w:hideMark/>
          </w:tcPr>
          <w:p w14:paraId="1E2C83B6" w14:textId="6463230A" w:rsidR="00F9789D" w:rsidRPr="009E35ED" w:rsidRDefault="00F9789D" w:rsidP="00F9789D">
            <w:pPr>
              <w:ind w:left="-90"/>
              <w:jc w:val="left"/>
              <w:rPr>
                <w:rFonts w:ascii="Arial Narrow" w:hAnsi="Arial Narrow" w:cs="Arial"/>
                <w:b/>
                <w:bCs/>
                <w:color w:val="000000" w:themeColor="text1"/>
                <w:sz w:val="22"/>
                <w:szCs w:val="22"/>
                <w:lang w:val="en-PH" w:eastAsia="en-PH"/>
              </w:rPr>
            </w:pPr>
            <w:r w:rsidRPr="009E35ED">
              <w:rPr>
                <w:rFonts w:ascii="Arial Narrow" w:hAnsi="Arial Narrow" w:cs="Arial"/>
                <w:b/>
                <w:bCs/>
                <w:color w:val="000000" w:themeColor="text1"/>
                <w:sz w:val="22"/>
                <w:szCs w:val="22"/>
                <w:lang w:val="en-PH" w:eastAsia="en-PH"/>
              </w:rPr>
              <w:t>Total Deferred Credits</w:t>
            </w:r>
          </w:p>
        </w:tc>
        <w:tc>
          <w:tcPr>
            <w:tcW w:w="1890" w:type="dxa"/>
            <w:tcBorders>
              <w:top w:val="single" w:sz="4" w:space="0" w:color="auto"/>
              <w:left w:val="nil"/>
              <w:bottom w:val="double" w:sz="6" w:space="0" w:color="auto"/>
              <w:right w:val="nil"/>
            </w:tcBorders>
            <w:shd w:val="clear" w:color="auto" w:fill="auto"/>
            <w:noWrap/>
          </w:tcPr>
          <w:p w14:paraId="2CC59730" w14:textId="30082163" w:rsidR="00F9789D" w:rsidRPr="009E35ED" w:rsidRDefault="00F9789D" w:rsidP="0041418E">
            <w:pPr>
              <w:jc w:val="right"/>
              <w:rPr>
                <w:rFonts w:ascii="Arial Narrow" w:hAnsi="Arial Narrow" w:cs="Arial"/>
                <w:b/>
                <w:bCs/>
                <w:color w:val="000000" w:themeColor="text1"/>
                <w:sz w:val="22"/>
                <w:szCs w:val="22"/>
              </w:rPr>
            </w:pPr>
            <w:r w:rsidRPr="009E35ED">
              <w:rPr>
                <w:rFonts w:ascii="Arial Narrow" w:hAnsi="Arial Narrow"/>
                <w:b/>
                <w:bCs/>
                <w:color w:val="000000" w:themeColor="text1"/>
                <w:sz w:val="22"/>
                <w:szCs w:val="22"/>
              </w:rPr>
              <w:t xml:space="preserve"> 16</w:t>
            </w:r>
            <w:r w:rsidR="0041418E" w:rsidRPr="009E35ED">
              <w:rPr>
                <w:rFonts w:ascii="Arial Narrow" w:hAnsi="Arial Narrow"/>
                <w:b/>
                <w:bCs/>
                <w:color w:val="000000" w:themeColor="text1"/>
                <w:sz w:val="22"/>
                <w:szCs w:val="22"/>
              </w:rPr>
              <w:t>8,213,967</w:t>
            </w:r>
            <w:r w:rsidRPr="009E35ED">
              <w:rPr>
                <w:rFonts w:ascii="Arial Narrow" w:hAnsi="Arial Narrow"/>
                <w:b/>
                <w:bCs/>
                <w:color w:val="000000" w:themeColor="text1"/>
                <w:sz w:val="22"/>
                <w:szCs w:val="22"/>
              </w:rPr>
              <w:t xml:space="preserve"> </w:t>
            </w:r>
          </w:p>
        </w:tc>
        <w:tc>
          <w:tcPr>
            <w:tcW w:w="1530" w:type="dxa"/>
            <w:tcBorders>
              <w:top w:val="single" w:sz="4" w:space="0" w:color="auto"/>
              <w:left w:val="nil"/>
              <w:bottom w:val="double" w:sz="6" w:space="0" w:color="auto"/>
              <w:right w:val="nil"/>
            </w:tcBorders>
            <w:vAlign w:val="bottom"/>
          </w:tcPr>
          <w:p w14:paraId="3345DD83" w14:textId="2D691D4C" w:rsidR="00F9789D" w:rsidRPr="009E35ED" w:rsidRDefault="00F9789D" w:rsidP="00F9789D">
            <w:pPr>
              <w:ind w:left="0" w:right="-108"/>
              <w:jc w:val="right"/>
              <w:rPr>
                <w:rFonts w:ascii="Arial Narrow" w:hAnsi="Arial Narrow" w:cs="Arial"/>
                <w:b/>
                <w:bCs/>
                <w:color w:val="000000" w:themeColor="text1"/>
                <w:sz w:val="22"/>
                <w:szCs w:val="22"/>
                <w:lang w:val="en-PH" w:eastAsia="en-PH"/>
              </w:rPr>
            </w:pPr>
            <w:r w:rsidRPr="009E35ED">
              <w:rPr>
                <w:rFonts w:ascii="Arial Narrow" w:hAnsi="Arial Narrow" w:cs="Arial"/>
                <w:b/>
                <w:bCs/>
                <w:color w:val="000000" w:themeColor="text1"/>
                <w:sz w:val="22"/>
                <w:szCs w:val="22"/>
              </w:rPr>
              <w:t>151,865,968</w:t>
            </w:r>
          </w:p>
        </w:tc>
      </w:tr>
    </w:tbl>
    <w:p w14:paraId="728BC0F3" w14:textId="052833DA" w:rsidR="0041418E" w:rsidRPr="009E35ED" w:rsidRDefault="0041418E" w:rsidP="00803F8C">
      <w:pPr>
        <w:ind w:left="0"/>
        <w:rPr>
          <w:rFonts w:ascii="Arial" w:hAnsi="Arial" w:cs="Arial"/>
          <w:color w:val="000000" w:themeColor="text1"/>
          <w:sz w:val="22"/>
          <w:szCs w:val="22"/>
        </w:rPr>
      </w:pPr>
    </w:p>
    <w:p w14:paraId="4E83BC7D" w14:textId="56FE105F" w:rsidR="0041418E" w:rsidRPr="009E35ED" w:rsidRDefault="0041418E" w:rsidP="00803F8C">
      <w:pPr>
        <w:ind w:left="0"/>
        <w:rPr>
          <w:rFonts w:ascii="Arial" w:hAnsi="Arial" w:cs="Arial"/>
          <w:color w:val="000000" w:themeColor="text1"/>
          <w:sz w:val="22"/>
          <w:szCs w:val="22"/>
        </w:rPr>
      </w:pPr>
    </w:p>
    <w:p w14:paraId="20EC1C09" w14:textId="77777777" w:rsidR="006E34FF" w:rsidRPr="009E35ED" w:rsidRDefault="00297394" w:rsidP="001C371F">
      <w:pPr>
        <w:numPr>
          <w:ilvl w:val="0"/>
          <w:numId w:val="28"/>
        </w:numPr>
        <w:ind w:hanging="720"/>
        <w:rPr>
          <w:rFonts w:ascii="Arial" w:hAnsi="Arial" w:cs="Arial"/>
          <w:b/>
          <w:color w:val="000000" w:themeColor="text1"/>
          <w:sz w:val="22"/>
          <w:szCs w:val="22"/>
        </w:rPr>
      </w:pPr>
      <w:r w:rsidRPr="009E35ED">
        <w:rPr>
          <w:rFonts w:ascii="Arial" w:hAnsi="Arial" w:cs="Arial"/>
          <w:b/>
          <w:color w:val="000000" w:themeColor="text1"/>
          <w:sz w:val="22"/>
          <w:szCs w:val="22"/>
        </w:rPr>
        <w:t>TRUST LIABILITIES</w:t>
      </w:r>
    </w:p>
    <w:p w14:paraId="1CFC5C57" w14:textId="77777777" w:rsidR="006E34FF" w:rsidRPr="009E35ED" w:rsidRDefault="006E34FF" w:rsidP="00803F8C">
      <w:pPr>
        <w:ind w:left="720"/>
        <w:rPr>
          <w:rFonts w:ascii="Arial" w:hAnsi="Arial" w:cs="Arial"/>
          <w:b/>
          <w:color w:val="000000" w:themeColor="text1"/>
          <w:sz w:val="22"/>
          <w:szCs w:val="22"/>
        </w:rPr>
      </w:pPr>
    </w:p>
    <w:p w14:paraId="5C950126" w14:textId="4192B26B" w:rsidR="0030170D" w:rsidRPr="009E35ED" w:rsidRDefault="0030170D" w:rsidP="0030170D">
      <w:pPr>
        <w:suppressAutoHyphens/>
        <w:ind w:left="0"/>
        <w:rPr>
          <w:rFonts w:ascii="Arial" w:hAnsi="Arial" w:cs="Arial"/>
          <w:bCs/>
          <w:sz w:val="22"/>
          <w:szCs w:val="22"/>
          <w:lang w:eastAsia="ar-SA"/>
        </w:rPr>
      </w:pPr>
      <w:r w:rsidRPr="009E35ED">
        <w:rPr>
          <w:rFonts w:ascii="Arial" w:hAnsi="Arial" w:cs="Arial"/>
          <w:bCs/>
          <w:sz w:val="22"/>
          <w:szCs w:val="22"/>
          <w:lang w:eastAsia="ar-SA"/>
        </w:rPr>
        <w:t xml:space="preserve">This account consists </w:t>
      </w:r>
      <w:r w:rsidR="009D7990">
        <w:rPr>
          <w:rFonts w:ascii="Arial" w:hAnsi="Arial" w:cs="Arial"/>
          <w:bCs/>
          <w:sz w:val="22"/>
          <w:szCs w:val="22"/>
          <w:lang w:eastAsia="ar-SA"/>
        </w:rPr>
        <w:t>the</w:t>
      </w:r>
      <w:r w:rsidR="009D7990" w:rsidRPr="009D7990">
        <w:rPr>
          <w:rFonts w:ascii="Arial" w:hAnsi="Arial" w:cs="Arial"/>
          <w:bCs/>
          <w:sz w:val="22"/>
          <w:szCs w:val="22"/>
          <w:lang w:eastAsia="ar-SA"/>
        </w:rPr>
        <w:t xml:space="preserve"> following</w:t>
      </w:r>
      <w:r w:rsidRPr="009E35ED">
        <w:rPr>
          <w:rFonts w:ascii="Arial" w:hAnsi="Arial" w:cs="Arial"/>
          <w:bCs/>
          <w:sz w:val="22"/>
          <w:szCs w:val="22"/>
          <w:lang w:eastAsia="ar-SA"/>
        </w:rPr>
        <w:t>:</w:t>
      </w:r>
    </w:p>
    <w:p w14:paraId="5B59E858" w14:textId="77777777" w:rsidR="0030170D" w:rsidRPr="009E35ED" w:rsidRDefault="0030170D" w:rsidP="0030170D">
      <w:pPr>
        <w:suppressAutoHyphens/>
        <w:ind w:left="0"/>
        <w:rPr>
          <w:rFonts w:ascii="Arial" w:hAnsi="Arial" w:cs="Arial"/>
          <w:bCs/>
          <w:sz w:val="22"/>
          <w:szCs w:val="22"/>
          <w:lang w:eastAsia="ar-SA"/>
        </w:rPr>
      </w:pPr>
    </w:p>
    <w:tbl>
      <w:tblPr>
        <w:tblW w:w="8694" w:type="dxa"/>
        <w:tblLook w:val="04A0" w:firstRow="1" w:lastRow="0" w:firstColumn="1" w:lastColumn="0" w:noHBand="0" w:noVBand="1"/>
      </w:tblPr>
      <w:tblGrid>
        <w:gridCol w:w="5954"/>
        <w:gridCol w:w="1370"/>
        <w:gridCol w:w="1370"/>
      </w:tblGrid>
      <w:tr w:rsidR="0030170D" w:rsidRPr="009E35ED" w14:paraId="25F242EF" w14:textId="77777777" w:rsidTr="00BF1A27">
        <w:trPr>
          <w:trHeight w:val="344"/>
        </w:trPr>
        <w:tc>
          <w:tcPr>
            <w:tcW w:w="5954" w:type="dxa"/>
            <w:tcBorders>
              <w:top w:val="single" w:sz="4" w:space="0" w:color="auto"/>
              <w:left w:val="nil"/>
              <w:bottom w:val="single" w:sz="4" w:space="0" w:color="auto"/>
              <w:right w:val="nil"/>
            </w:tcBorders>
            <w:shd w:val="clear" w:color="auto" w:fill="auto"/>
            <w:noWrap/>
            <w:vAlign w:val="bottom"/>
            <w:hideMark/>
          </w:tcPr>
          <w:p w14:paraId="23335422" w14:textId="77777777" w:rsidR="0030170D" w:rsidRPr="009E35ED" w:rsidRDefault="0030170D" w:rsidP="008A565F">
            <w:pPr>
              <w:ind w:left="0"/>
              <w:jc w:val="left"/>
              <w:rPr>
                <w:rFonts w:ascii="Arial Narrow" w:hAnsi="Arial Narrow"/>
                <w:sz w:val="20"/>
                <w:szCs w:val="20"/>
                <w:lang w:val="en-PH" w:eastAsia="en-PH"/>
              </w:rPr>
            </w:pPr>
          </w:p>
        </w:tc>
        <w:tc>
          <w:tcPr>
            <w:tcW w:w="1370" w:type="dxa"/>
            <w:tcBorders>
              <w:top w:val="single" w:sz="4" w:space="0" w:color="auto"/>
              <w:left w:val="nil"/>
              <w:bottom w:val="single" w:sz="4" w:space="0" w:color="auto"/>
              <w:right w:val="nil"/>
            </w:tcBorders>
            <w:shd w:val="clear" w:color="auto" w:fill="auto"/>
            <w:noWrap/>
            <w:vAlign w:val="bottom"/>
            <w:hideMark/>
          </w:tcPr>
          <w:p w14:paraId="032F5FDE" w14:textId="77777777" w:rsidR="0030170D" w:rsidRPr="009E35ED" w:rsidRDefault="0030170D" w:rsidP="008A565F">
            <w:pPr>
              <w:ind w:left="0"/>
              <w:jc w:val="right"/>
              <w:rPr>
                <w:rFonts w:ascii="Arial Narrow" w:hAnsi="Arial Narrow" w:cs="Arial"/>
                <w:b/>
                <w:bCs/>
                <w:sz w:val="22"/>
                <w:szCs w:val="22"/>
                <w:lang w:val="en-PH" w:eastAsia="en-PH"/>
              </w:rPr>
            </w:pPr>
            <w:r w:rsidRPr="009E35ED">
              <w:rPr>
                <w:rFonts w:ascii="Arial Narrow" w:hAnsi="Arial Narrow" w:cs="Arial"/>
                <w:b/>
                <w:bCs/>
                <w:sz w:val="22"/>
                <w:szCs w:val="22"/>
                <w:lang w:val="en-PH" w:eastAsia="en-PH"/>
              </w:rPr>
              <w:t>2023</w:t>
            </w:r>
          </w:p>
        </w:tc>
        <w:tc>
          <w:tcPr>
            <w:tcW w:w="1370" w:type="dxa"/>
            <w:tcBorders>
              <w:top w:val="single" w:sz="4" w:space="0" w:color="auto"/>
              <w:left w:val="nil"/>
              <w:bottom w:val="single" w:sz="4" w:space="0" w:color="auto"/>
              <w:right w:val="nil"/>
            </w:tcBorders>
            <w:shd w:val="clear" w:color="auto" w:fill="auto"/>
            <w:noWrap/>
            <w:vAlign w:val="bottom"/>
            <w:hideMark/>
          </w:tcPr>
          <w:p w14:paraId="4B7D6E03" w14:textId="77777777" w:rsidR="0030170D" w:rsidRPr="009E35ED" w:rsidRDefault="0030170D" w:rsidP="003A5476">
            <w:pPr>
              <w:ind w:left="0" w:right="-68"/>
              <w:jc w:val="right"/>
              <w:rPr>
                <w:rFonts w:ascii="Arial Narrow" w:hAnsi="Arial Narrow" w:cs="Arial"/>
                <w:b/>
                <w:bCs/>
                <w:sz w:val="22"/>
                <w:szCs w:val="22"/>
                <w:lang w:val="en-PH" w:eastAsia="en-PH"/>
              </w:rPr>
            </w:pPr>
            <w:r w:rsidRPr="009E35ED">
              <w:rPr>
                <w:rFonts w:ascii="Arial Narrow" w:hAnsi="Arial Narrow" w:cs="Arial"/>
                <w:b/>
                <w:bCs/>
                <w:sz w:val="22"/>
                <w:szCs w:val="22"/>
                <w:lang w:val="en-PH" w:eastAsia="en-PH"/>
              </w:rPr>
              <w:t>2022</w:t>
            </w:r>
          </w:p>
        </w:tc>
      </w:tr>
      <w:tr w:rsidR="0030170D" w:rsidRPr="009E35ED" w14:paraId="2D4EE341" w14:textId="77777777" w:rsidTr="00BF1A27">
        <w:trPr>
          <w:trHeight w:val="328"/>
        </w:trPr>
        <w:tc>
          <w:tcPr>
            <w:tcW w:w="5954" w:type="dxa"/>
            <w:tcBorders>
              <w:top w:val="single" w:sz="4" w:space="0" w:color="auto"/>
              <w:left w:val="nil"/>
              <w:bottom w:val="nil"/>
              <w:right w:val="nil"/>
            </w:tcBorders>
            <w:shd w:val="clear" w:color="auto" w:fill="auto"/>
            <w:noWrap/>
            <w:vAlign w:val="bottom"/>
            <w:hideMark/>
          </w:tcPr>
          <w:p w14:paraId="59FE8D22" w14:textId="33720D6A" w:rsidR="0030170D" w:rsidRPr="009E35ED" w:rsidRDefault="0030170D" w:rsidP="003A5476">
            <w:pPr>
              <w:ind w:left="-108"/>
              <w:jc w:val="left"/>
              <w:rPr>
                <w:rFonts w:ascii="Arial Narrow" w:hAnsi="Arial Narrow" w:cs="Arial"/>
                <w:sz w:val="22"/>
                <w:szCs w:val="22"/>
                <w:lang w:val="en-PH" w:eastAsia="en-PH"/>
              </w:rPr>
            </w:pPr>
            <w:r w:rsidRPr="009E35ED">
              <w:rPr>
                <w:rFonts w:ascii="Arial Narrow" w:hAnsi="Arial Narrow" w:cs="Arial"/>
                <w:sz w:val="22"/>
                <w:szCs w:val="22"/>
                <w:lang w:val="en-PH" w:eastAsia="en-PH"/>
              </w:rPr>
              <w:t xml:space="preserve">Guaranty/Security </w:t>
            </w:r>
            <w:r w:rsidR="00142F79">
              <w:rPr>
                <w:rFonts w:ascii="Arial Narrow" w:hAnsi="Arial Narrow" w:cs="Arial"/>
                <w:sz w:val="22"/>
                <w:szCs w:val="22"/>
                <w:lang w:val="en-PH" w:eastAsia="en-PH"/>
              </w:rPr>
              <w:t>d</w:t>
            </w:r>
            <w:r w:rsidRPr="009E35ED">
              <w:rPr>
                <w:rFonts w:ascii="Arial Narrow" w:hAnsi="Arial Narrow" w:cs="Arial"/>
                <w:sz w:val="22"/>
                <w:szCs w:val="22"/>
                <w:lang w:val="en-PH" w:eastAsia="en-PH"/>
              </w:rPr>
              <w:t xml:space="preserve">eposits/Performance </w:t>
            </w:r>
            <w:r w:rsidR="00142F79">
              <w:rPr>
                <w:rFonts w:ascii="Arial Narrow" w:hAnsi="Arial Narrow" w:cs="Arial"/>
                <w:sz w:val="22"/>
                <w:szCs w:val="22"/>
                <w:lang w:val="en-PH" w:eastAsia="en-PH"/>
              </w:rPr>
              <w:t>b</w:t>
            </w:r>
            <w:r w:rsidRPr="009E35ED">
              <w:rPr>
                <w:rFonts w:ascii="Arial Narrow" w:hAnsi="Arial Narrow" w:cs="Arial"/>
                <w:sz w:val="22"/>
                <w:szCs w:val="22"/>
                <w:lang w:val="en-PH" w:eastAsia="en-PH"/>
              </w:rPr>
              <w:t xml:space="preserve">ond- </w:t>
            </w:r>
            <w:r w:rsidR="00142F79">
              <w:rPr>
                <w:rFonts w:ascii="Arial Narrow" w:hAnsi="Arial Narrow" w:cs="Arial"/>
                <w:sz w:val="22"/>
                <w:szCs w:val="22"/>
                <w:lang w:val="en-PH" w:eastAsia="en-PH"/>
              </w:rPr>
              <w:t>A</w:t>
            </w:r>
            <w:r w:rsidRPr="009E35ED">
              <w:rPr>
                <w:rFonts w:ascii="Arial Narrow" w:hAnsi="Arial Narrow" w:cs="Arial"/>
                <w:sz w:val="22"/>
                <w:szCs w:val="22"/>
                <w:lang w:val="en-PH" w:eastAsia="en-PH"/>
              </w:rPr>
              <w:t>gents and System Providers</w:t>
            </w:r>
          </w:p>
        </w:tc>
        <w:tc>
          <w:tcPr>
            <w:tcW w:w="1370" w:type="dxa"/>
            <w:tcBorders>
              <w:top w:val="single" w:sz="4" w:space="0" w:color="auto"/>
              <w:left w:val="nil"/>
              <w:bottom w:val="nil"/>
              <w:right w:val="nil"/>
            </w:tcBorders>
            <w:shd w:val="clear" w:color="auto" w:fill="auto"/>
            <w:noWrap/>
            <w:vAlign w:val="bottom"/>
          </w:tcPr>
          <w:p w14:paraId="1579480A" w14:textId="77777777" w:rsidR="0030170D" w:rsidRPr="009E35ED" w:rsidRDefault="0030170D" w:rsidP="008A565F">
            <w:pPr>
              <w:ind w:left="0"/>
              <w:jc w:val="right"/>
              <w:rPr>
                <w:rFonts w:ascii="Arial Narrow" w:hAnsi="Arial Narrow" w:cs="Arial"/>
                <w:sz w:val="22"/>
                <w:szCs w:val="22"/>
                <w:lang w:val="en-PH" w:eastAsia="en-PH"/>
              </w:rPr>
            </w:pPr>
            <w:r w:rsidRPr="009E35ED">
              <w:rPr>
                <w:rFonts w:ascii="Arial Narrow" w:hAnsi="Arial Narrow" w:cs="Arial"/>
                <w:sz w:val="22"/>
                <w:szCs w:val="22"/>
                <w:lang w:val="en-PH" w:eastAsia="en-PH"/>
              </w:rPr>
              <w:t>8,317,252,024</w:t>
            </w:r>
          </w:p>
        </w:tc>
        <w:tc>
          <w:tcPr>
            <w:tcW w:w="1370" w:type="dxa"/>
            <w:tcBorders>
              <w:top w:val="single" w:sz="4" w:space="0" w:color="auto"/>
              <w:left w:val="nil"/>
              <w:bottom w:val="nil"/>
              <w:right w:val="nil"/>
            </w:tcBorders>
            <w:shd w:val="clear" w:color="auto" w:fill="auto"/>
            <w:noWrap/>
            <w:vAlign w:val="bottom"/>
          </w:tcPr>
          <w:p w14:paraId="68CD76AE" w14:textId="77777777" w:rsidR="0030170D" w:rsidRPr="009E35ED" w:rsidRDefault="0030170D" w:rsidP="003A5476">
            <w:pPr>
              <w:ind w:left="0" w:right="-68"/>
              <w:jc w:val="right"/>
              <w:rPr>
                <w:rFonts w:ascii="Arial Narrow" w:hAnsi="Arial Narrow" w:cs="Arial"/>
                <w:sz w:val="22"/>
                <w:szCs w:val="22"/>
                <w:lang w:val="en-PH" w:eastAsia="en-PH"/>
              </w:rPr>
            </w:pPr>
            <w:r w:rsidRPr="009E35ED">
              <w:rPr>
                <w:rFonts w:ascii="Arial Narrow" w:hAnsi="Arial Narrow" w:cs="Arial"/>
                <w:sz w:val="22"/>
                <w:szCs w:val="22"/>
                <w:lang w:val="en-PH" w:eastAsia="en-PH"/>
              </w:rPr>
              <w:t>7,375,998,795</w:t>
            </w:r>
          </w:p>
        </w:tc>
      </w:tr>
      <w:tr w:rsidR="0030170D" w:rsidRPr="009E35ED" w14:paraId="4E6A0B92" w14:textId="77777777" w:rsidTr="00BF1A27">
        <w:trPr>
          <w:trHeight w:val="136"/>
        </w:trPr>
        <w:tc>
          <w:tcPr>
            <w:tcW w:w="5954" w:type="dxa"/>
            <w:tcBorders>
              <w:top w:val="nil"/>
              <w:left w:val="nil"/>
              <w:bottom w:val="single" w:sz="4" w:space="0" w:color="auto"/>
              <w:right w:val="nil"/>
            </w:tcBorders>
            <w:shd w:val="clear" w:color="auto" w:fill="auto"/>
            <w:noWrap/>
            <w:vAlign w:val="bottom"/>
            <w:hideMark/>
          </w:tcPr>
          <w:p w14:paraId="4670F99F" w14:textId="3979604B" w:rsidR="0030170D" w:rsidRPr="009E35ED" w:rsidRDefault="0030170D" w:rsidP="003A5476">
            <w:pPr>
              <w:ind w:left="-108"/>
              <w:jc w:val="left"/>
              <w:rPr>
                <w:rFonts w:ascii="Arial Narrow" w:hAnsi="Arial Narrow" w:cs="Arial"/>
                <w:sz w:val="22"/>
                <w:szCs w:val="22"/>
                <w:lang w:val="en-PH" w:eastAsia="en-PH"/>
              </w:rPr>
            </w:pPr>
            <w:r w:rsidRPr="009E35ED">
              <w:rPr>
                <w:rFonts w:ascii="Arial Narrow" w:hAnsi="Arial Narrow" w:cs="Arial"/>
                <w:sz w:val="22"/>
                <w:szCs w:val="22"/>
                <w:lang w:val="en-PH" w:eastAsia="en-PH"/>
              </w:rPr>
              <w:t xml:space="preserve">Performance/Bidder's </w:t>
            </w:r>
            <w:r w:rsidR="00142F79">
              <w:rPr>
                <w:rFonts w:ascii="Arial Narrow" w:hAnsi="Arial Narrow" w:cs="Arial"/>
                <w:sz w:val="22"/>
                <w:szCs w:val="22"/>
                <w:lang w:val="en-PH" w:eastAsia="en-PH"/>
              </w:rPr>
              <w:t>b</w:t>
            </w:r>
            <w:r w:rsidRPr="009E35ED">
              <w:rPr>
                <w:rFonts w:ascii="Arial Narrow" w:hAnsi="Arial Narrow" w:cs="Arial"/>
                <w:sz w:val="22"/>
                <w:szCs w:val="22"/>
                <w:lang w:val="en-PH" w:eastAsia="en-PH"/>
              </w:rPr>
              <w:t>ond</w:t>
            </w:r>
          </w:p>
        </w:tc>
        <w:tc>
          <w:tcPr>
            <w:tcW w:w="1370" w:type="dxa"/>
            <w:tcBorders>
              <w:top w:val="nil"/>
              <w:left w:val="nil"/>
              <w:bottom w:val="single" w:sz="4" w:space="0" w:color="auto"/>
              <w:right w:val="nil"/>
            </w:tcBorders>
            <w:shd w:val="clear" w:color="auto" w:fill="auto"/>
            <w:noWrap/>
          </w:tcPr>
          <w:p w14:paraId="77252DC3" w14:textId="77777777" w:rsidR="0030170D" w:rsidRPr="009E35ED" w:rsidRDefault="0030170D" w:rsidP="008A565F">
            <w:pPr>
              <w:ind w:left="0"/>
              <w:jc w:val="right"/>
              <w:rPr>
                <w:rFonts w:ascii="Arial Narrow" w:hAnsi="Arial Narrow" w:cs="Arial"/>
                <w:sz w:val="22"/>
                <w:szCs w:val="22"/>
                <w:lang w:val="en-PH" w:eastAsia="en-PH"/>
              </w:rPr>
            </w:pPr>
            <w:r w:rsidRPr="009E35ED">
              <w:rPr>
                <w:rFonts w:ascii="Arial Narrow" w:hAnsi="Arial Narrow" w:cs="Arial"/>
                <w:sz w:val="22"/>
                <w:szCs w:val="22"/>
                <w:lang w:val="en-PH" w:eastAsia="en-PH"/>
              </w:rPr>
              <w:t>59,772,549</w:t>
            </w:r>
          </w:p>
        </w:tc>
        <w:tc>
          <w:tcPr>
            <w:tcW w:w="1370" w:type="dxa"/>
            <w:tcBorders>
              <w:top w:val="nil"/>
              <w:left w:val="nil"/>
              <w:bottom w:val="single" w:sz="4" w:space="0" w:color="auto"/>
              <w:right w:val="nil"/>
            </w:tcBorders>
            <w:shd w:val="clear" w:color="auto" w:fill="auto"/>
            <w:noWrap/>
          </w:tcPr>
          <w:p w14:paraId="68598C58" w14:textId="33D38897" w:rsidR="0030170D" w:rsidRPr="009E35ED" w:rsidRDefault="0030170D" w:rsidP="003A5476">
            <w:pPr>
              <w:ind w:left="0" w:right="-68"/>
              <w:jc w:val="right"/>
              <w:rPr>
                <w:rFonts w:ascii="Arial Narrow" w:hAnsi="Arial Narrow" w:cs="Arial"/>
                <w:sz w:val="22"/>
                <w:szCs w:val="22"/>
                <w:lang w:val="en-PH" w:eastAsia="en-PH"/>
              </w:rPr>
            </w:pPr>
            <w:r w:rsidRPr="009E35ED">
              <w:rPr>
                <w:rFonts w:ascii="Arial Narrow" w:hAnsi="Arial Narrow" w:cs="Arial"/>
                <w:sz w:val="22"/>
                <w:szCs w:val="22"/>
                <w:lang w:val="en-PH" w:eastAsia="en-PH"/>
              </w:rPr>
              <w:t>46,802,685.0</w:t>
            </w:r>
          </w:p>
        </w:tc>
      </w:tr>
      <w:tr w:rsidR="0030170D" w:rsidRPr="009E35ED" w14:paraId="4BE759A1" w14:textId="77777777" w:rsidTr="00BF1A27">
        <w:trPr>
          <w:trHeight w:val="249"/>
        </w:trPr>
        <w:tc>
          <w:tcPr>
            <w:tcW w:w="5954" w:type="dxa"/>
            <w:tcBorders>
              <w:top w:val="single" w:sz="4" w:space="0" w:color="auto"/>
              <w:left w:val="nil"/>
              <w:bottom w:val="double" w:sz="4" w:space="0" w:color="auto"/>
              <w:right w:val="nil"/>
            </w:tcBorders>
            <w:shd w:val="clear" w:color="auto" w:fill="auto"/>
            <w:noWrap/>
            <w:hideMark/>
          </w:tcPr>
          <w:p w14:paraId="30B5484C" w14:textId="77777777" w:rsidR="0030170D" w:rsidRPr="009E35ED" w:rsidRDefault="0030170D">
            <w:pPr>
              <w:ind w:left="-108"/>
              <w:jc w:val="left"/>
              <w:rPr>
                <w:rFonts w:ascii="Arial Narrow" w:hAnsi="Arial Narrow" w:cs="Arial"/>
                <w:b/>
                <w:bCs/>
                <w:sz w:val="22"/>
                <w:szCs w:val="22"/>
                <w:lang w:val="en-PH" w:eastAsia="en-PH"/>
              </w:rPr>
            </w:pPr>
            <w:r w:rsidRPr="009E35ED">
              <w:rPr>
                <w:rFonts w:ascii="Arial Narrow" w:hAnsi="Arial Narrow" w:cs="Arial"/>
                <w:b/>
                <w:bCs/>
                <w:sz w:val="22"/>
                <w:szCs w:val="22"/>
                <w:lang w:val="en-PH" w:eastAsia="en-PH"/>
              </w:rPr>
              <w:t>TOTAL TRUST LIABILITIES</w:t>
            </w:r>
          </w:p>
        </w:tc>
        <w:tc>
          <w:tcPr>
            <w:tcW w:w="1370" w:type="dxa"/>
            <w:tcBorders>
              <w:top w:val="single" w:sz="4" w:space="0" w:color="auto"/>
              <w:left w:val="nil"/>
              <w:bottom w:val="double" w:sz="4" w:space="0" w:color="auto"/>
              <w:right w:val="nil"/>
            </w:tcBorders>
            <w:shd w:val="clear" w:color="auto" w:fill="auto"/>
            <w:noWrap/>
          </w:tcPr>
          <w:p w14:paraId="564737AB" w14:textId="006FED59" w:rsidR="0030170D" w:rsidRPr="009E35ED" w:rsidRDefault="0030170D" w:rsidP="00860ED6">
            <w:pPr>
              <w:ind w:left="0"/>
              <w:rPr>
                <w:rFonts w:ascii="Arial Narrow" w:hAnsi="Arial Narrow" w:cs="Arial"/>
                <w:b/>
                <w:bCs/>
                <w:sz w:val="22"/>
                <w:szCs w:val="22"/>
                <w:lang w:val="en-PH" w:eastAsia="en-PH"/>
              </w:rPr>
            </w:pPr>
            <w:r w:rsidRPr="009E35ED">
              <w:rPr>
                <w:rFonts w:ascii="Arial Narrow" w:hAnsi="Arial Narrow"/>
                <w:b/>
                <w:bCs/>
                <w:sz w:val="22"/>
                <w:szCs w:val="22"/>
              </w:rPr>
              <w:t xml:space="preserve">8,377,024,573 </w:t>
            </w:r>
          </w:p>
        </w:tc>
        <w:tc>
          <w:tcPr>
            <w:tcW w:w="1370" w:type="dxa"/>
            <w:tcBorders>
              <w:top w:val="single" w:sz="4" w:space="0" w:color="auto"/>
              <w:left w:val="nil"/>
              <w:bottom w:val="double" w:sz="4" w:space="0" w:color="auto"/>
              <w:right w:val="nil"/>
            </w:tcBorders>
            <w:shd w:val="clear" w:color="auto" w:fill="auto"/>
            <w:noWrap/>
            <w:hideMark/>
          </w:tcPr>
          <w:p w14:paraId="0847F74F" w14:textId="77777777" w:rsidR="0030170D" w:rsidRPr="009E35ED" w:rsidRDefault="0030170D">
            <w:pPr>
              <w:ind w:left="0" w:right="-68"/>
              <w:jc w:val="right"/>
              <w:rPr>
                <w:rFonts w:ascii="Arial Narrow" w:hAnsi="Arial Narrow" w:cs="Arial"/>
                <w:b/>
                <w:bCs/>
                <w:sz w:val="22"/>
                <w:szCs w:val="22"/>
                <w:lang w:val="en-PH" w:eastAsia="en-PH"/>
              </w:rPr>
            </w:pPr>
            <w:r w:rsidRPr="009E35ED">
              <w:rPr>
                <w:rFonts w:ascii="Arial Narrow" w:hAnsi="Arial Narrow"/>
                <w:b/>
                <w:sz w:val="22"/>
                <w:szCs w:val="22"/>
              </w:rPr>
              <w:t xml:space="preserve">7,422,801,481 </w:t>
            </w:r>
          </w:p>
        </w:tc>
      </w:tr>
    </w:tbl>
    <w:p w14:paraId="05665DB8" w14:textId="77777777" w:rsidR="0030170D" w:rsidRPr="009E35ED" w:rsidRDefault="0030170D" w:rsidP="0030170D">
      <w:pPr>
        <w:suppressAutoHyphens/>
        <w:ind w:left="0"/>
        <w:rPr>
          <w:rFonts w:ascii="Arial" w:hAnsi="Arial" w:cs="Arial"/>
          <w:bCs/>
          <w:sz w:val="22"/>
          <w:szCs w:val="22"/>
          <w:lang w:eastAsia="ar-SA"/>
        </w:rPr>
      </w:pPr>
    </w:p>
    <w:p w14:paraId="4326025B" w14:textId="29932BCF" w:rsidR="0030170D" w:rsidRPr="009E35ED" w:rsidRDefault="0030170D" w:rsidP="0030170D">
      <w:pPr>
        <w:suppressAutoHyphens/>
        <w:ind w:left="0"/>
        <w:rPr>
          <w:rFonts w:ascii="Arial" w:hAnsi="Arial" w:cs="Arial"/>
          <w:bCs/>
          <w:sz w:val="22"/>
          <w:szCs w:val="22"/>
          <w:lang w:eastAsia="ar-SA"/>
        </w:rPr>
      </w:pPr>
      <w:r w:rsidRPr="009E35ED">
        <w:rPr>
          <w:rFonts w:ascii="Arial" w:hAnsi="Arial" w:cs="Arial"/>
          <w:sz w:val="22"/>
          <w:szCs w:val="22"/>
          <w:lang w:val="en-PH" w:eastAsia="en-PH"/>
        </w:rPr>
        <w:t xml:space="preserve">Guaranty/Security </w:t>
      </w:r>
      <w:r w:rsidR="00142F79">
        <w:rPr>
          <w:rFonts w:ascii="Arial" w:hAnsi="Arial" w:cs="Arial"/>
          <w:sz w:val="22"/>
          <w:szCs w:val="22"/>
          <w:lang w:val="en-PH" w:eastAsia="en-PH"/>
        </w:rPr>
        <w:t>d</w:t>
      </w:r>
      <w:r w:rsidRPr="009E35ED">
        <w:rPr>
          <w:rFonts w:ascii="Arial" w:hAnsi="Arial" w:cs="Arial"/>
          <w:sz w:val="22"/>
          <w:szCs w:val="22"/>
          <w:lang w:val="en-PH" w:eastAsia="en-PH"/>
        </w:rPr>
        <w:t xml:space="preserve">eposits/Performance </w:t>
      </w:r>
      <w:r w:rsidR="00142F79">
        <w:rPr>
          <w:rFonts w:ascii="Arial" w:hAnsi="Arial" w:cs="Arial"/>
          <w:sz w:val="22"/>
          <w:szCs w:val="22"/>
          <w:lang w:val="en-PH" w:eastAsia="en-PH"/>
        </w:rPr>
        <w:t>b</w:t>
      </w:r>
      <w:r w:rsidRPr="009E35ED">
        <w:rPr>
          <w:rFonts w:ascii="Arial" w:hAnsi="Arial" w:cs="Arial"/>
          <w:sz w:val="22"/>
          <w:szCs w:val="22"/>
          <w:lang w:val="en-PH" w:eastAsia="en-PH"/>
        </w:rPr>
        <w:t>ond pertains to the posted cash bond of Lotto and Keno agents, STL A</w:t>
      </w:r>
      <w:r w:rsidR="00142F79">
        <w:rPr>
          <w:rFonts w:ascii="Arial" w:hAnsi="Arial" w:cs="Arial"/>
          <w:sz w:val="22"/>
          <w:szCs w:val="22"/>
          <w:lang w:val="en-PH" w:eastAsia="en-PH"/>
        </w:rPr>
        <w:t>AC</w:t>
      </w:r>
      <w:r w:rsidRPr="009E35ED">
        <w:rPr>
          <w:rFonts w:ascii="Arial" w:hAnsi="Arial" w:cs="Arial"/>
          <w:sz w:val="22"/>
          <w:szCs w:val="22"/>
          <w:lang w:val="en-PH" w:eastAsia="en-PH"/>
        </w:rPr>
        <w:t xml:space="preserve">s, Instant Sweepstakes Authorized Corporation and system providers for PCSO Lottery System and E-Lotto, while Performance/Bidder’s </w:t>
      </w:r>
      <w:r w:rsidR="00142F79">
        <w:rPr>
          <w:rFonts w:ascii="Arial" w:hAnsi="Arial" w:cs="Arial"/>
          <w:sz w:val="22"/>
          <w:szCs w:val="22"/>
          <w:lang w:val="en-PH" w:eastAsia="en-PH"/>
        </w:rPr>
        <w:t>b</w:t>
      </w:r>
      <w:r w:rsidRPr="009E35ED">
        <w:rPr>
          <w:rFonts w:ascii="Arial" w:hAnsi="Arial" w:cs="Arial"/>
          <w:sz w:val="22"/>
          <w:szCs w:val="22"/>
          <w:lang w:val="en-PH" w:eastAsia="en-PH"/>
        </w:rPr>
        <w:t>ond consists of retention fees from suppliers.</w:t>
      </w:r>
    </w:p>
    <w:p w14:paraId="4AC8B091" w14:textId="77777777" w:rsidR="008A565F" w:rsidRPr="009E35ED" w:rsidRDefault="008A565F" w:rsidP="00962F09">
      <w:pPr>
        <w:suppressAutoHyphens/>
        <w:ind w:left="0"/>
        <w:rPr>
          <w:rFonts w:ascii="Arial" w:hAnsi="Arial" w:cs="Arial"/>
          <w:bCs/>
          <w:color w:val="000000" w:themeColor="text1"/>
          <w:sz w:val="22"/>
          <w:szCs w:val="22"/>
          <w:lang w:eastAsia="ar-SA"/>
        </w:rPr>
      </w:pPr>
    </w:p>
    <w:p w14:paraId="0F257C95" w14:textId="1C07107A" w:rsidR="003158E0" w:rsidRPr="009E35ED" w:rsidRDefault="003158E0" w:rsidP="00C3019D">
      <w:pPr>
        <w:ind w:left="0"/>
        <w:rPr>
          <w:rFonts w:ascii="Arial" w:hAnsi="Arial" w:cs="Arial"/>
          <w:b/>
          <w:color w:val="000000" w:themeColor="text1"/>
          <w:sz w:val="22"/>
          <w:szCs w:val="22"/>
        </w:rPr>
      </w:pPr>
    </w:p>
    <w:p w14:paraId="372811F3" w14:textId="77777777" w:rsidR="00297394" w:rsidRPr="009E35ED" w:rsidRDefault="00297394" w:rsidP="00B90388">
      <w:pPr>
        <w:keepNext/>
        <w:keepLines/>
        <w:numPr>
          <w:ilvl w:val="0"/>
          <w:numId w:val="28"/>
        </w:numPr>
        <w:ind w:hanging="720"/>
        <w:rPr>
          <w:rFonts w:ascii="Arial" w:hAnsi="Arial" w:cs="Arial"/>
          <w:b/>
          <w:color w:val="000000" w:themeColor="text1"/>
          <w:sz w:val="22"/>
          <w:szCs w:val="22"/>
        </w:rPr>
      </w:pPr>
      <w:r w:rsidRPr="009E35ED">
        <w:rPr>
          <w:rFonts w:ascii="Arial" w:hAnsi="Arial" w:cs="Arial"/>
          <w:b/>
          <w:color w:val="000000" w:themeColor="text1"/>
          <w:sz w:val="22"/>
          <w:szCs w:val="22"/>
        </w:rPr>
        <w:t>EQUITY</w:t>
      </w:r>
    </w:p>
    <w:p w14:paraId="17456B20" w14:textId="77777777" w:rsidR="00297394" w:rsidRPr="009E35ED" w:rsidRDefault="00297394" w:rsidP="00B90388">
      <w:pPr>
        <w:keepNext/>
        <w:keepLines/>
        <w:ind w:left="0"/>
        <w:rPr>
          <w:rFonts w:ascii="Arial" w:hAnsi="Arial" w:cs="Arial"/>
          <w:b/>
          <w:color w:val="000000" w:themeColor="text1"/>
          <w:sz w:val="22"/>
          <w:szCs w:val="22"/>
        </w:rPr>
      </w:pPr>
    </w:p>
    <w:p w14:paraId="5D2B67EA" w14:textId="552BDAE7" w:rsidR="00297394" w:rsidRPr="009E35ED" w:rsidRDefault="00297394" w:rsidP="00B90388">
      <w:pPr>
        <w:keepNext/>
        <w:keepLines/>
        <w:ind w:left="0"/>
        <w:rPr>
          <w:rFonts w:ascii="Arial" w:hAnsi="Arial" w:cs="Arial"/>
          <w:color w:val="000000" w:themeColor="text1"/>
          <w:sz w:val="22"/>
          <w:szCs w:val="22"/>
        </w:rPr>
      </w:pPr>
      <w:r w:rsidRPr="009E35ED">
        <w:rPr>
          <w:rFonts w:ascii="Arial" w:hAnsi="Arial" w:cs="Arial"/>
          <w:color w:val="000000" w:themeColor="text1"/>
          <w:sz w:val="22"/>
          <w:szCs w:val="22"/>
        </w:rPr>
        <w:t xml:space="preserve">This account </w:t>
      </w:r>
      <w:r w:rsidR="009D7990">
        <w:rPr>
          <w:rFonts w:ascii="Arial" w:hAnsi="Arial" w:cs="Arial"/>
          <w:color w:val="000000" w:themeColor="text1"/>
          <w:sz w:val="22"/>
          <w:szCs w:val="22"/>
        </w:rPr>
        <w:t xml:space="preserve">consists the </w:t>
      </w:r>
      <w:r w:rsidRPr="009E35ED">
        <w:rPr>
          <w:rFonts w:ascii="Arial" w:hAnsi="Arial" w:cs="Arial"/>
          <w:color w:val="000000" w:themeColor="text1"/>
          <w:sz w:val="22"/>
          <w:szCs w:val="22"/>
        </w:rPr>
        <w:t>following:</w:t>
      </w:r>
    </w:p>
    <w:p w14:paraId="653E6C2C" w14:textId="77777777" w:rsidR="00093B1A" w:rsidRPr="009E35ED" w:rsidRDefault="00093B1A" w:rsidP="00B90388">
      <w:pPr>
        <w:keepNext/>
        <w:keepLines/>
        <w:ind w:left="0"/>
        <w:rPr>
          <w:rFonts w:ascii="Arial" w:hAnsi="Arial" w:cs="Arial"/>
          <w:color w:val="000000" w:themeColor="text1"/>
          <w:sz w:val="22"/>
          <w:szCs w:val="22"/>
        </w:rPr>
      </w:pPr>
    </w:p>
    <w:tbl>
      <w:tblPr>
        <w:tblW w:w="9239" w:type="dxa"/>
        <w:tblInd w:w="142" w:type="dxa"/>
        <w:tblLook w:val="04A0" w:firstRow="1" w:lastRow="0" w:firstColumn="1" w:lastColumn="0" w:noHBand="0" w:noVBand="1"/>
      </w:tblPr>
      <w:tblGrid>
        <w:gridCol w:w="2552"/>
        <w:gridCol w:w="1057"/>
        <w:gridCol w:w="1143"/>
        <w:gridCol w:w="1129"/>
        <w:gridCol w:w="1056"/>
        <w:gridCol w:w="1159"/>
        <w:gridCol w:w="1143"/>
      </w:tblGrid>
      <w:tr w:rsidR="00993089" w:rsidRPr="009E35ED" w14:paraId="69154DBB" w14:textId="77777777" w:rsidTr="00B90388">
        <w:trPr>
          <w:trHeight w:val="824"/>
          <w:tblHeader/>
        </w:trPr>
        <w:tc>
          <w:tcPr>
            <w:tcW w:w="2552" w:type="dxa"/>
            <w:tcBorders>
              <w:top w:val="single" w:sz="8" w:space="0" w:color="auto"/>
              <w:left w:val="nil"/>
              <w:bottom w:val="single" w:sz="8" w:space="0" w:color="auto"/>
              <w:right w:val="nil"/>
            </w:tcBorders>
            <w:shd w:val="clear" w:color="auto" w:fill="auto"/>
            <w:noWrap/>
            <w:vAlign w:val="center"/>
            <w:hideMark/>
          </w:tcPr>
          <w:p w14:paraId="04E0191E" w14:textId="77777777" w:rsidR="008B1874" w:rsidRPr="009E35ED" w:rsidRDefault="008B1874" w:rsidP="00B90388">
            <w:pPr>
              <w:keepNext/>
              <w:keepLines/>
              <w:ind w:left="0"/>
              <w:jc w:val="lef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 </w:t>
            </w:r>
          </w:p>
        </w:tc>
        <w:tc>
          <w:tcPr>
            <w:tcW w:w="1057" w:type="dxa"/>
            <w:tcBorders>
              <w:top w:val="single" w:sz="8" w:space="0" w:color="auto"/>
              <w:left w:val="nil"/>
              <w:bottom w:val="single" w:sz="8" w:space="0" w:color="auto"/>
              <w:right w:val="nil"/>
            </w:tcBorders>
            <w:shd w:val="clear" w:color="auto" w:fill="auto"/>
            <w:vAlign w:val="center"/>
            <w:hideMark/>
          </w:tcPr>
          <w:p w14:paraId="243045E1" w14:textId="77777777" w:rsidR="008B1874" w:rsidRPr="009E35ED" w:rsidRDefault="008B1874" w:rsidP="00B90388">
            <w:pPr>
              <w:keepNext/>
              <w:keepLines/>
              <w:ind w:left="0"/>
              <w:jc w:val="center"/>
              <w:rPr>
                <w:rFonts w:ascii="Arial Narrow" w:hAnsi="Arial Narrow"/>
                <w:b/>
                <w:bCs/>
                <w:color w:val="000000" w:themeColor="text1"/>
                <w:sz w:val="16"/>
                <w:szCs w:val="16"/>
                <w:lang w:val="en-PH" w:eastAsia="en-PH"/>
              </w:rPr>
            </w:pPr>
            <w:r w:rsidRPr="009E35ED">
              <w:rPr>
                <w:rFonts w:ascii="Arial Narrow" w:hAnsi="Arial Narrow"/>
                <w:b/>
                <w:bCs/>
                <w:color w:val="000000" w:themeColor="text1"/>
                <w:sz w:val="16"/>
                <w:szCs w:val="16"/>
                <w:lang w:val="en-PH" w:eastAsia="en-PH"/>
              </w:rPr>
              <w:t>Cumulative Changes in Fair Value of Investments</w:t>
            </w:r>
          </w:p>
        </w:tc>
        <w:tc>
          <w:tcPr>
            <w:tcW w:w="1143" w:type="dxa"/>
            <w:tcBorders>
              <w:top w:val="single" w:sz="8" w:space="0" w:color="auto"/>
              <w:left w:val="nil"/>
              <w:bottom w:val="single" w:sz="8" w:space="0" w:color="auto"/>
              <w:right w:val="nil"/>
            </w:tcBorders>
            <w:shd w:val="clear" w:color="auto" w:fill="auto"/>
            <w:vAlign w:val="center"/>
            <w:hideMark/>
          </w:tcPr>
          <w:p w14:paraId="6AF58222" w14:textId="77777777" w:rsidR="008B1874" w:rsidRPr="009E35ED" w:rsidRDefault="008B1874" w:rsidP="00B90388">
            <w:pPr>
              <w:keepNext/>
              <w:keepLines/>
              <w:ind w:left="0"/>
              <w:jc w:val="center"/>
              <w:rPr>
                <w:rFonts w:ascii="Arial Narrow" w:hAnsi="Arial Narrow"/>
                <w:b/>
                <w:bCs/>
                <w:color w:val="000000" w:themeColor="text1"/>
                <w:sz w:val="16"/>
                <w:szCs w:val="16"/>
                <w:lang w:val="en-PH" w:eastAsia="en-PH"/>
              </w:rPr>
            </w:pPr>
            <w:r w:rsidRPr="009E35ED">
              <w:rPr>
                <w:rFonts w:ascii="Arial Narrow" w:hAnsi="Arial Narrow"/>
                <w:b/>
                <w:bCs/>
                <w:color w:val="000000" w:themeColor="text1"/>
                <w:sz w:val="16"/>
                <w:szCs w:val="16"/>
                <w:lang w:val="en-PH" w:eastAsia="en-PH"/>
              </w:rPr>
              <w:t>Operating Fund</w:t>
            </w:r>
          </w:p>
        </w:tc>
        <w:tc>
          <w:tcPr>
            <w:tcW w:w="1129" w:type="dxa"/>
            <w:tcBorders>
              <w:top w:val="single" w:sz="8" w:space="0" w:color="auto"/>
              <w:left w:val="nil"/>
              <w:bottom w:val="single" w:sz="8" w:space="0" w:color="auto"/>
              <w:right w:val="nil"/>
            </w:tcBorders>
            <w:shd w:val="clear" w:color="auto" w:fill="auto"/>
            <w:vAlign w:val="center"/>
            <w:hideMark/>
          </w:tcPr>
          <w:p w14:paraId="678E316F" w14:textId="77777777" w:rsidR="008B1874" w:rsidRPr="009E35ED" w:rsidRDefault="008B1874" w:rsidP="00B90388">
            <w:pPr>
              <w:keepNext/>
              <w:keepLines/>
              <w:ind w:left="0"/>
              <w:jc w:val="center"/>
              <w:rPr>
                <w:rFonts w:ascii="Arial Narrow" w:hAnsi="Arial Narrow"/>
                <w:b/>
                <w:bCs/>
                <w:color w:val="000000" w:themeColor="text1"/>
                <w:sz w:val="16"/>
                <w:szCs w:val="16"/>
                <w:lang w:val="en-PH" w:eastAsia="en-PH"/>
              </w:rPr>
            </w:pPr>
            <w:r w:rsidRPr="009E35ED">
              <w:rPr>
                <w:rFonts w:ascii="Arial Narrow" w:hAnsi="Arial Narrow"/>
                <w:b/>
                <w:bCs/>
                <w:color w:val="000000" w:themeColor="text1"/>
                <w:sz w:val="16"/>
                <w:szCs w:val="16"/>
                <w:lang w:val="en-PH" w:eastAsia="en-PH"/>
              </w:rPr>
              <w:t>Charity Fund</w:t>
            </w:r>
          </w:p>
        </w:tc>
        <w:tc>
          <w:tcPr>
            <w:tcW w:w="1056" w:type="dxa"/>
            <w:tcBorders>
              <w:top w:val="single" w:sz="8" w:space="0" w:color="auto"/>
              <w:left w:val="nil"/>
              <w:bottom w:val="single" w:sz="8" w:space="0" w:color="auto"/>
              <w:right w:val="nil"/>
            </w:tcBorders>
            <w:shd w:val="clear" w:color="auto" w:fill="auto"/>
            <w:vAlign w:val="center"/>
            <w:hideMark/>
          </w:tcPr>
          <w:p w14:paraId="550B5C7E" w14:textId="77777777" w:rsidR="008B1874" w:rsidRPr="009E35ED" w:rsidRDefault="008B1874" w:rsidP="00B90388">
            <w:pPr>
              <w:keepNext/>
              <w:keepLines/>
              <w:ind w:left="0"/>
              <w:jc w:val="center"/>
              <w:rPr>
                <w:rFonts w:ascii="Arial Narrow" w:hAnsi="Arial Narrow"/>
                <w:b/>
                <w:bCs/>
                <w:color w:val="000000" w:themeColor="text1"/>
                <w:sz w:val="16"/>
                <w:szCs w:val="16"/>
                <w:lang w:val="en-PH" w:eastAsia="en-PH"/>
              </w:rPr>
            </w:pPr>
            <w:r w:rsidRPr="009E35ED">
              <w:rPr>
                <w:rFonts w:ascii="Arial Narrow" w:hAnsi="Arial Narrow"/>
                <w:b/>
                <w:bCs/>
                <w:color w:val="000000" w:themeColor="text1"/>
                <w:sz w:val="16"/>
                <w:szCs w:val="16"/>
                <w:lang w:val="en-PH" w:eastAsia="en-PH"/>
              </w:rPr>
              <w:t>Prize fund</w:t>
            </w:r>
          </w:p>
        </w:tc>
        <w:tc>
          <w:tcPr>
            <w:tcW w:w="1159" w:type="dxa"/>
            <w:tcBorders>
              <w:top w:val="single" w:sz="8" w:space="0" w:color="auto"/>
              <w:left w:val="nil"/>
              <w:bottom w:val="single" w:sz="8" w:space="0" w:color="auto"/>
              <w:right w:val="nil"/>
            </w:tcBorders>
            <w:shd w:val="clear" w:color="auto" w:fill="auto"/>
            <w:vAlign w:val="center"/>
            <w:hideMark/>
          </w:tcPr>
          <w:p w14:paraId="2FE84091" w14:textId="77777777" w:rsidR="008B1874" w:rsidRPr="009E35ED" w:rsidRDefault="008B1874" w:rsidP="00B90388">
            <w:pPr>
              <w:keepNext/>
              <w:keepLines/>
              <w:ind w:left="0"/>
              <w:jc w:val="center"/>
              <w:rPr>
                <w:rFonts w:ascii="Arial Narrow" w:hAnsi="Arial Narrow"/>
                <w:b/>
                <w:bCs/>
                <w:color w:val="000000" w:themeColor="text1"/>
                <w:sz w:val="16"/>
                <w:szCs w:val="16"/>
                <w:lang w:val="en-PH" w:eastAsia="en-PH"/>
              </w:rPr>
            </w:pPr>
            <w:r w:rsidRPr="009E35ED">
              <w:rPr>
                <w:rFonts w:ascii="Arial Narrow" w:hAnsi="Arial Narrow"/>
                <w:b/>
                <w:bCs/>
                <w:color w:val="000000" w:themeColor="text1"/>
                <w:sz w:val="16"/>
                <w:szCs w:val="16"/>
                <w:lang w:val="en-PH" w:eastAsia="en-PH"/>
              </w:rPr>
              <w:t>Retained Earnings (Deficit)</w:t>
            </w:r>
          </w:p>
        </w:tc>
        <w:tc>
          <w:tcPr>
            <w:tcW w:w="1143" w:type="dxa"/>
            <w:tcBorders>
              <w:top w:val="single" w:sz="8" w:space="0" w:color="auto"/>
              <w:left w:val="nil"/>
              <w:bottom w:val="single" w:sz="8" w:space="0" w:color="auto"/>
              <w:right w:val="nil"/>
            </w:tcBorders>
            <w:shd w:val="clear" w:color="auto" w:fill="auto"/>
            <w:noWrap/>
            <w:vAlign w:val="center"/>
            <w:hideMark/>
          </w:tcPr>
          <w:p w14:paraId="7C01B8A3" w14:textId="77777777" w:rsidR="008B1874" w:rsidRPr="009E35ED" w:rsidRDefault="008B1874" w:rsidP="00B90388">
            <w:pPr>
              <w:keepNext/>
              <w:keepLines/>
              <w:ind w:left="0"/>
              <w:jc w:val="center"/>
              <w:rPr>
                <w:rFonts w:ascii="Arial Narrow" w:hAnsi="Arial Narrow"/>
                <w:b/>
                <w:bCs/>
                <w:color w:val="000000" w:themeColor="text1"/>
                <w:sz w:val="16"/>
                <w:szCs w:val="16"/>
                <w:lang w:val="en-PH" w:eastAsia="en-PH"/>
              </w:rPr>
            </w:pPr>
            <w:r w:rsidRPr="009E35ED">
              <w:rPr>
                <w:rFonts w:ascii="Arial Narrow" w:hAnsi="Arial Narrow"/>
                <w:b/>
                <w:bCs/>
                <w:color w:val="000000" w:themeColor="text1"/>
                <w:sz w:val="16"/>
                <w:szCs w:val="16"/>
                <w:lang w:val="en-PH" w:eastAsia="en-PH"/>
              </w:rPr>
              <w:t>Total</w:t>
            </w:r>
          </w:p>
        </w:tc>
      </w:tr>
      <w:tr w:rsidR="00993089" w:rsidRPr="009E35ED" w14:paraId="4E11460A" w14:textId="77777777" w:rsidTr="00B90388">
        <w:trPr>
          <w:trHeight w:val="367"/>
        </w:trPr>
        <w:tc>
          <w:tcPr>
            <w:tcW w:w="2552" w:type="dxa"/>
            <w:tcBorders>
              <w:left w:val="nil"/>
              <w:bottom w:val="single" w:sz="8" w:space="0" w:color="auto"/>
              <w:right w:val="nil"/>
            </w:tcBorders>
            <w:shd w:val="clear" w:color="auto" w:fill="auto"/>
            <w:noWrap/>
            <w:vAlign w:val="center"/>
            <w:hideMark/>
          </w:tcPr>
          <w:p w14:paraId="26A05AED" w14:textId="65B31F7D" w:rsidR="008C2315" w:rsidRPr="009E35ED" w:rsidRDefault="008C2315" w:rsidP="00B90388">
            <w:pPr>
              <w:keepNext/>
              <w:keepLines/>
              <w:ind w:left="0"/>
              <w:jc w:val="left"/>
              <w:rPr>
                <w:rFonts w:ascii="Arial Narrow" w:hAnsi="Arial Narrow"/>
                <w:b/>
                <w:bCs/>
                <w:color w:val="000000" w:themeColor="text1"/>
                <w:sz w:val="16"/>
                <w:szCs w:val="16"/>
                <w:lang w:val="en-PH" w:eastAsia="en-PH"/>
              </w:rPr>
            </w:pPr>
            <w:r w:rsidRPr="009E35ED">
              <w:rPr>
                <w:rFonts w:ascii="Arial Narrow" w:hAnsi="Arial Narrow"/>
                <w:b/>
                <w:bCs/>
                <w:color w:val="000000" w:themeColor="text1"/>
                <w:sz w:val="16"/>
                <w:szCs w:val="16"/>
                <w:lang w:val="en-PH" w:eastAsia="en-PH"/>
              </w:rPr>
              <w:t>BALANCE AT JANUARY 31,202</w:t>
            </w:r>
            <w:r w:rsidR="009B751E" w:rsidRPr="009E35ED">
              <w:rPr>
                <w:rFonts w:ascii="Arial Narrow" w:hAnsi="Arial Narrow"/>
                <w:b/>
                <w:bCs/>
                <w:color w:val="000000" w:themeColor="text1"/>
                <w:sz w:val="16"/>
                <w:szCs w:val="16"/>
                <w:lang w:val="en-PH" w:eastAsia="en-PH"/>
              </w:rPr>
              <w:t>2</w:t>
            </w:r>
          </w:p>
        </w:tc>
        <w:tc>
          <w:tcPr>
            <w:tcW w:w="1057" w:type="dxa"/>
            <w:tcBorders>
              <w:left w:val="nil"/>
              <w:bottom w:val="single" w:sz="8" w:space="0" w:color="auto"/>
              <w:right w:val="nil"/>
            </w:tcBorders>
            <w:shd w:val="clear" w:color="auto" w:fill="auto"/>
            <w:noWrap/>
            <w:vAlign w:val="center"/>
            <w:hideMark/>
          </w:tcPr>
          <w:p w14:paraId="70CD103C" w14:textId="111C9AAE" w:rsidR="008C2315" w:rsidRPr="009E35ED" w:rsidRDefault="00AC3721" w:rsidP="00B90388">
            <w:pPr>
              <w:keepNext/>
              <w:keepLines/>
              <w:ind w:left="0"/>
              <w:jc w:val="right"/>
              <w:rPr>
                <w:rFonts w:ascii="Arial Narrow" w:hAnsi="Arial Narrow"/>
                <w:b/>
                <w:bCs/>
                <w:color w:val="000000" w:themeColor="text1"/>
                <w:sz w:val="16"/>
                <w:szCs w:val="16"/>
                <w:lang w:val="en-PH" w:eastAsia="en-PH"/>
              </w:rPr>
            </w:pPr>
            <w:r w:rsidRPr="009E35ED">
              <w:rPr>
                <w:rFonts w:ascii="Arial Narrow" w:hAnsi="Arial Narrow"/>
                <w:b/>
                <w:bCs/>
                <w:color w:val="000000" w:themeColor="text1"/>
                <w:sz w:val="16"/>
                <w:szCs w:val="16"/>
                <w:lang w:val="en-PH" w:eastAsia="en-PH"/>
              </w:rPr>
              <w:t>5,048,798</w:t>
            </w:r>
          </w:p>
        </w:tc>
        <w:tc>
          <w:tcPr>
            <w:tcW w:w="1143" w:type="dxa"/>
            <w:tcBorders>
              <w:left w:val="nil"/>
              <w:bottom w:val="single" w:sz="8" w:space="0" w:color="auto"/>
              <w:right w:val="nil"/>
            </w:tcBorders>
            <w:shd w:val="clear" w:color="auto" w:fill="auto"/>
            <w:noWrap/>
            <w:vAlign w:val="center"/>
            <w:hideMark/>
          </w:tcPr>
          <w:p w14:paraId="05F4BB59" w14:textId="1EE67B65" w:rsidR="008C2315" w:rsidRPr="009E35ED" w:rsidRDefault="0057180F" w:rsidP="00B90388">
            <w:pPr>
              <w:keepNext/>
              <w:keepLines/>
              <w:ind w:left="0"/>
              <w:jc w:val="right"/>
              <w:rPr>
                <w:rFonts w:ascii="Arial Narrow" w:hAnsi="Arial Narrow"/>
                <w:b/>
                <w:bCs/>
                <w:color w:val="000000" w:themeColor="text1"/>
                <w:sz w:val="16"/>
                <w:szCs w:val="16"/>
                <w:lang w:val="en-PH" w:eastAsia="en-PH"/>
              </w:rPr>
            </w:pPr>
            <w:r w:rsidRPr="009E35ED">
              <w:rPr>
                <w:rFonts w:ascii="Arial Narrow" w:hAnsi="Arial Narrow"/>
                <w:b/>
                <w:bCs/>
                <w:color w:val="000000" w:themeColor="text1"/>
                <w:sz w:val="16"/>
                <w:szCs w:val="16"/>
                <w:lang w:val="en-PH" w:eastAsia="en-PH"/>
              </w:rPr>
              <w:t>4,871,095,429</w:t>
            </w:r>
          </w:p>
        </w:tc>
        <w:tc>
          <w:tcPr>
            <w:tcW w:w="1129" w:type="dxa"/>
            <w:tcBorders>
              <w:left w:val="nil"/>
              <w:bottom w:val="single" w:sz="8" w:space="0" w:color="auto"/>
              <w:right w:val="nil"/>
            </w:tcBorders>
            <w:shd w:val="clear" w:color="auto" w:fill="auto"/>
            <w:noWrap/>
            <w:vAlign w:val="center"/>
            <w:hideMark/>
          </w:tcPr>
          <w:p w14:paraId="18C3E807" w14:textId="6DA6B532" w:rsidR="008C2315" w:rsidRPr="009E35ED" w:rsidRDefault="0057180F" w:rsidP="00B90388">
            <w:pPr>
              <w:keepNext/>
              <w:keepLines/>
              <w:ind w:left="0"/>
              <w:jc w:val="right"/>
              <w:rPr>
                <w:rFonts w:ascii="Arial Narrow" w:hAnsi="Arial Narrow"/>
                <w:b/>
                <w:bCs/>
                <w:color w:val="000000" w:themeColor="text1"/>
                <w:sz w:val="16"/>
                <w:szCs w:val="16"/>
                <w:lang w:val="en-PH" w:eastAsia="en-PH"/>
              </w:rPr>
            </w:pPr>
            <w:r w:rsidRPr="009E35ED">
              <w:rPr>
                <w:rFonts w:ascii="Arial Narrow" w:hAnsi="Arial Narrow"/>
                <w:b/>
                <w:bCs/>
                <w:color w:val="000000" w:themeColor="text1"/>
                <w:sz w:val="16"/>
                <w:szCs w:val="16"/>
                <w:lang w:val="en-PH" w:eastAsia="en-PH"/>
              </w:rPr>
              <w:t>11,638,764,864</w:t>
            </w:r>
          </w:p>
        </w:tc>
        <w:tc>
          <w:tcPr>
            <w:tcW w:w="1056" w:type="dxa"/>
            <w:tcBorders>
              <w:left w:val="nil"/>
              <w:bottom w:val="single" w:sz="8" w:space="0" w:color="auto"/>
              <w:right w:val="nil"/>
            </w:tcBorders>
            <w:shd w:val="clear" w:color="auto" w:fill="auto"/>
            <w:noWrap/>
            <w:vAlign w:val="center"/>
            <w:hideMark/>
          </w:tcPr>
          <w:p w14:paraId="2EA90BD7" w14:textId="370FDD87" w:rsidR="008C2315" w:rsidRPr="009E35ED" w:rsidRDefault="0057180F" w:rsidP="00B90388">
            <w:pPr>
              <w:keepNext/>
              <w:keepLines/>
              <w:ind w:left="0"/>
              <w:jc w:val="right"/>
              <w:rPr>
                <w:rFonts w:ascii="Arial Narrow" w:hAnsi="Arial Narrow"/>
                <w:b/>
                <w:bCs/>
                <w:color w:val="000000" w:themeColor="text1"/>
                <w:sz w:val="16"/>
                <w:szCs w:val="16"/>
                <w:lang w:val="en-PH" w:eastAsia="en-PH"/>
              </w:rPr>
            </w:pPr>
            <w:r w:rsidRPr="009E35ED">
              <w:rPr>
                <w:rFonts w:ascii="Arial Narrow" w:hAnsi="Arial Narrow"/>
                <w:b/>
                <w:bCs/>
                <w:color w:val="000000" w:themeColor="text1"/>
                <w:sz w:val="16"/>
                <w:szCs w:val="16"/>
                <w:lang w:val="en-PH" w:eastAsia="en-PH"/>
              </w:rPr>
              <w:t>699,375,793</w:t>
            </w:r>
          </w:p>
        </w:tc>
        <w:tc>
          <w:tcPr>
            <w:tcW w:w="1159" w:type="dxa"/>
            <w:tcBorders>
              <w:left w:val="nil"/>
              <w:bottom w:val="single" w:sz="8" w:space="0" w:color="auto"/>
              <w:right w:val="nil"/>
            </w:tcBorders>
            <w:shd w:val="clear" w:color="auto" w:fill="auto"/>
            <w:noWrap/>
            <w:vAlign w:val="center"/>
            <w:hideMark/>
          </w:tcPr>
          <w:p w14:paraId="263812E5" w14:textId="157B18B9" w:rsidR="008C2315" w:rsidRPr="009E35ED" w:rsidRDefault="00756291" w:rsidP="00B90388">
            <w:pPr>
              <w:keepNext/>
              <w:keepLines/>
              <w:ind w:left="0"/>
              <w:jc w:val="right"/>
              <w:rPr>
                <w:rFonts w:ascii="Arial Narrow" w:hAnsi="Arial Narrow"/>
                <w:b/>
                <w:bCs/>
                <w:color w:val="000000" w:themeColor="text1"/>
                <w:sz w:val="16"/>
                <w:szCs w:val="16"/>
                <w:lang w:val="en-PH" w:eastAsia="en-PH"/>
              </w:rPr>
            </w:pPr>
            <w:r w:rsidRPr="009E35ED">
              <w:rPr>
                <w:rFonts w:ascii="Arial Narrow" w:hAnsi="Arial Narrow"/>
                <w:b/>
                <w:bCs/>
                <w:color w:val="000000" w:themeColor="text1"/>
                <w:sz w:val="16"/>
                <w:szCs w:val="16"/>
                <w:lang w:val="en-PH" w:eastAsia="en-PH"/>
              </w:rPr>
              <w:t>17,209,236,086</w:t>
            </w:r>
          </w:p>
        </w:tc>
        <w:tc>
          <w:tcPr>
            <w:tcW w:w="1143" w:type="dxa"/>
            <w:tcBorders>
              <w:left w:val="nil"/>
              <w:bottom w:val="single" w:sz="8" w:space="0" w:color="auto"/>
              <w:right w:val="nil"/>
            </w:tcBorders>
            <w:shd w:val="clear" w:color="auto" w:fill="auto"/>
            <w:noWrap/>
            <w:vAlign w:val="center"/>
            <w:hideMark/>
          </w:tcPr>
          <w:p w14:paraId="5039A239" w14:textId="250C3EDC" w:rsidR="008C2315" w:rsidRPr="009E35ED" w:rsidRDefault="00756291" w:rsidP="00B90388">
            <w:pPr>
              <w:keepNext/>
              <w:keepLines/>
              <w:ind w:left="0"/>
              <w:jc w:val="right"/>
              <w:rPr>
                <w:rFonts w:ascii="Arial Narrow" w:hAnsi="Arial Narrow"/>
                <w:b/>
                <w:bCs/>
                <w:color w:val="000000" w:themeColor="text1"/>
                <w:sz w:val="16"/>
                <w:szCs w:val="16"/>
                <w:lang w:val="en-PH" w:eastAsia="en-PH"/>
              </w:rPr>
            </w:pPr>
            <w:r w:rsidRPr="009E35ED">
              <w:rPr>
                <w:rFonts w:ascii="Arial Narrow" w:hAnsi="Arial Narrow"/>
                <w:b/>
                <w:bCs/>
                <w:color w:val="000000" w:themeColor="text1"/>
                <w:sz w:val="16"/>
                <w:szCs w:val="16"/>
                <w:lang w:val="en-PH" w:eastAsia="en-PH"/>
              </w:rPr>
              <w:t>17,214,284,884</w:t>
            </w:r>
          </w:p>
        </w:tc>
      </w:tr>
      <w:tr w:rsidR="00993089" w:rsidRPr="009E35ED" w14:paraId="4A9EFE41" w14:textId="77777777" w:rsidTr="00B90388">
        <w:trPr>
          <w:trHeight w:val="457"/>
        </w:trPr>
        <w:tc>
          <w:tcPr>
            <w:tcW w:w="2552" w:type="dxa"/>
            <w:tcBorders>
              <w:top w:val="nil"/>
              <w:left w:val="nil"/>
              <w:right w:val="nil"/>
            </w:tcBorders>
            <w:shd w:val="clear" w:color="auto" w:fill="auto"/>
            <w:noWrap/>
            <w:vAlign w:val="center"/>
            <w:hideMark/>
          </w:tcPr>
          <w:p w14:paraId="07B8C59A" w14:textId="77777777" w:rsidR="008C2315" w:rsidRPr="009E35ED" w:rsidRDefault="008C2315" w:rsidP="00B90388">
            <w:pPr>
              <w:keepNext/>
              <w:keepLines/>
              <w:ind w:left="0"/>
              <w:jc w:val="lef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CHANGES IN EQUITY FOR 2021</w:t>
            </w:r>
          </w:p>
        </w:tc>
        <w:tc>
          <w:tcPr>
            <w:tcW w:w="1057" w:type="dxa"/>
            <w:tcBorders>
              <w:top w:val="nil"/>
              <w:left w:val="nil"/>
              <w:right w:val="nil"/>
            </w:tcBorders>
            <w:shd w:val="clear" w:color="auto" w:fill="auto"/>
            <w:noWrap/>
            <w:vAlign w:val="center"/>
            <w:hideMark/>
          </w:tcPr>
          <w:p w14:paraId="568161DC" w14:textId="77777777" w:rsidR="008C2315" w:rsidRPr="009E35ED" w:rsidRDefault="008C2315" w:rsidP="00B90388">
            <w:pPr>
              <w:keepNext/>
              <w:keepLines/>
              <w:ind w:left="0"/>
              <w:jc w:val="left"/>
              <w:rPr>
                <w:rFonts w:ascii="Arial Narrow" w:hAnsi="Arial Narrow"/>
                <w:color w:val="000000" w:themeColor="text1"/>
                <w:sz w:val="16"/>
                <w:szCs w:val="16"/>
                <w:lang w:val="en-PH" w:eastAsia="en-PH"/>
              </w:rPr>
            </w:pPr>
          </w:p>
        </w:tc>
        <w:tc>
          <w:tcPr>
            <w:tcW w:w="1143" w:type="dxa"/>
            <w:tcBorders>
              <w:top w:val="nil"/>
              <w:left w:val="nil"/>
              <w:right w:val="nil"/>
            </w:tcBorders>
            <w:shd w:val="clear" w:color="auto" w:fill="auto"/>
            <w:noWrap/>
            <w:vAlign w:val="center"/>
            <w:hideMark/>
          </w:tcPr>
          <w:p w14:paraId="3C94289D" w14:textId="77777777" w:rsidR="008C2315" w:rsidRPr="009E35ED" w:rsidRDefault="008C2315" w:rsidP="00B90388">
            <w:pPr>
              <w:keepNext/>
              <w:keepLines/>
              <w:ind w:left="0"/>
              <w:jc w:val="right"/>
              <w:rPr>
                <w:rFonts w:ascii="Arial Narrow" w:hAnsi="Arial Narrow"/>
                <w:color w:val="000000" w:themeColor="text1"/>
                <w:sz w:val="16"/>
                <w:szCs w:val="16"/>
                <w:lang w:val="en-PH" w:eastAsia="en-PH"/>
              </w:rPr>
            </w:pPr>
          </w:p>
        </w:tc>
        <w:tc>
          <w:tcPr>
            <w:tcW w:w="1129" w:type="dxa"/>
            <w:tcBorders>
              <w:top w:val="nil"/>
              <w:left w:val="nil"/>
              <w:right w:val="nil"/>
            </w:tcBorders>
            <w:shd w:val="clear" w:color="auto" w:fill="auto"/>
            <w:noWrap/>
            <w:vAlign w:val="center"/>
            <w:hideMark/>
          </w:tcPr>
          <w:p w14:paraId="1AE6D3E6" w14:textId="77777777" w:rsidR="008C2315" w:rsidRPr="009E35ED" w:rsidRDefault="008C2315" w:rsidP="00B90388">
            <w:pPr>
              <w:keepNext/>
              <w:keepLines/>
              <w:ind w:left="0"/>
              <w:jc w:val="right"/>
              <w:rPr>
                <w:rFonts w:ascii="Arial Narrow" w:hAnsi="Arial Narrow"/>
                <w:color w:val="000000" w:themeColor="text1"/>
                <w:sz w:val="16"/>
                <w:szCs w:val="16"/>
                <w:lang w:val="en-PH" w:eastAsia="en-PH"/>
              </w:rPr>
            </w:pPr>
          </w:p>
        </w:tc>
        <w:tc>
          <w:tcPr>
            <w:tcW w:w="1056" w:type="dxa"/>
            <w:tcBorders>
              <w:top w:val="nil"/>
              <w:left w:val="nil"/>
              <w:right w:val="nil"/>
            </w:tcBorders>
            <w:shd w:val="clear" w:color="auto" w:fill="auto"/>
            <w:noWrap/>
            <w:vAlign w:val="center"/>
            <w:hideMark/>
          </w:tcPr>
          <w:p w14:paraId="245BCF43" w14:textId="77777777" w:rsidR="008C2315" w:rsidRPr="009E35ED" w:rsidRDefault="008C2315" w:rsidP="00B90388">
            <w:pPr>
              <w:keepNext/>
              <w:keepLines/>
              <w:ind w:left="0"/>
              <w:jc w:val="right"/>
              <w:rPr>
                <w:rFonts w:ascii="Arial Narrow" w:hAnsi="Arial Narrow"/>
                <w:color w:val="000000" w:themeColor="text1"/>
                <w:sz w:val="16"/>
                <w:szCs w:val="16"/>
                <w:lang w:val="en-PH" w:eastAsia="en-PH"/>
              </w:rPr>
            </w:pPr>
          </w:p>
        </w:tc>
        <w:tc>
          <w:tcPr>
            <w:tcW w:w="1159" w:type="dxa"/>
            <w:tcBorders>
              <w:top w:val="nil"/>
              <w:left w:val="nil"/>
              <w:right w:val="nil"/>
            </w:tcBorders>
            <w:shd w:val="clear" w:color="auto" w:fill="auto"/>
            <w:noWrap/>
            <w:vAlign w:val="center"/>
            <w:hideMark/>
          </w:tcPr>
          <w:p w14:paraId="712AF35C" w14:textId="77777777" w:rsidR="008C2315" w:rsidRPr="009E35ED" w:rsidRDefault="008C2315" w:rsidP="00B90388">
            <w:pPr>
              <w:keepNext/>
              <w:keepLines/>
              <w:ind w:left="0"/>
              <w:jc w:val="right"/>
              <w:rPr>
                <w:rFonts w:ascii="Arial Narrow" w:hAnsi="Arial Narrow"/>
                <w:color w:val="000000" w:themeColor="text1"/>
                <w:sz w:val="16"/>
                <w:szCs w:val="16"/>
                <w:lang w:val="en-PH" w:eastAsia="en-PH"/>
              </w:rPr>
            </w:pPr>
          </w:p>
        </w:tc>
        <w:tc>
          <w:tcPr>
            <w:tcW w:w="1143" w:type="dxa"/>
            <w:tcBorders>
              <w:top w:val="nil"/>
              <w:left w:val="nil"/>
              <w:right w:val="nil"/>
            </w:tcBorders>
            <w:shd w:val="clear" w:color="auto" w:fill="auto"/>
            <w:noWrap/>
            <w:vAlign w:val="center"/>
            <w:hideMark/>
          </w:tcPr>
          <w:p w14:paraId="17C70F34" w14:textId="77777777" w:rsidR="008C2315" w:rsidRPr="009E35ED" w:rsidRDefault="008C2315" w:rsidP="00B90388">
            <w:pPr>
              <w:keepNext/>
              <w:keepLines/>
              <w:ind w:left="0"/>
              <w:jc w:val="right"/>
              <w:rPr>
                <w:rFonts w:ascii="Arial Narrow" w:hAnsi="Arial Narrow"/>
                <w:color w:val="000000" w:themeColor="text1"/>
                <w:sz w:val="16"/>
                <w:szCs w:val="16"/>
                <w:lang w:val="en-PH" w:eastAsia="en-PH"/>
              </w:rPr>
            </w:pPr>
          </w:p>
        </w:tc>
      </w:tr>
      <w:tr w:rsidR="00993089" w:rsidRPr="009E35ED" w14:paraId="21C045C5" w14:textId="77777777" w:rsidTr="00B90388">
        <w:trPr>
          <w:trHeight w:val="457"/>
        </w:trPr>
        <w:tc>
          <w:tcPr>
            <w:tcW w:w="2552" w:type="dxa"/>
            <w:shd w:val="clear" w:color="auto" w:fill="auto"/>
            <w:noWrap/>
            <w:vAlign w:val="center"/>
            <w:hideMark/>
          </w:tcPr>
          <w:p w14:paraId="508CDE93" w14:textId="77777777" w:rsidR="008C2315" w:rsidRPr="009E35ED" w:rsidRDefault="008C2315" w:rsidP="00B90388">
            <w:pPr>
              <w:keepNext/>
              <w:keepLines/>
              <w:ind w:left="0"/>
              <w:jc w:val="lef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Add/(Deduct):</w:t>
            </w:r>
          </w:p>
        </w:tc>
        <w:tc>
          <w:tcPr>
            <w:tcW w:w="1057" w:type="dxa"/>
            <w:shd w:val="clear" w:color="auto" w:fill="auto"/>
            <w:noWrap/>
            <w:vAlign w:val="center"/>
          </w:tcPr>
          <w:p w14:paraId="47439ADF" w14:textId="77777777" w:rsidR="008C2315" w:rsidRPr="009E35ED" w:rsidRDefault="008C2315" w:rsidP="00B90388">
            <w:pPr>
              <w:keepNext/>
              <w:keepLines/>
              <w:ind w:left="0"/>
              <w:jc w:val="right"/>
              <w:rPr>
                <w:rFonts w:ascii="Arial Narrow" w:hAnsi="Arial Narrow"/>
                <w:color w:val="000000" w:themeColor="text1"/>
                <w:sz w:val="16"/>
                <w:szCs w:val="16"/>
                <w:lang w:val="en-PH" w:eastAsia="en-PH"/>
              </w:rPr>
            </w:pPr>
          </w:p>
        </w:tc>
        <w:tc>
          <w:tcPr>
            <w:tcW w:w="1143" w:type="dxa"/>
            <w:shd w:val="clear" w:color="auto" w:fill="auto"/>
            <w:noWrap/>
            <w:vAlign w:val="center"/>
          </w:tcPr>
          <w:p w14:paraId="07994551" w14:textId="77777777" w:rsidR="008C2315" w:rsidRPr="009E35ED" w:rsidRDefault="008C2315" w:rsidP="00B90388">
            <w:pPr>
              <w:keepNext/>
              <w:keepLines/>
              <w:ind w:left="0"/>
              <w:jc w:val="right"/>
              <w:rPr>
                <w:rFonts w:ascii="Arial Narrow" w:hAnsi="Arial Narrow"/>
                <w:color w:val="000000" w:themeColor="text1"/>
                <w:sz w:val="16"/>
                <w:szCs w:val="16"/>
                <w:lang w:val="en-PH" w:eastAsia="en-PH"/>
              </w:rPr>
            </w:pPr>
          </w:p>
        </w:tc>
        <w:tc>
          <w:tcPr>
            <w:tcW w:w="1129" w:type="dxa"/>
            <w:shd w:val="clear" w:color="auto" w:fill="auto"/>
            <w:noWrap/>
            <w:vAlign w:val="center"/>
          </w:tcPr>
          <w:p w14:paraId="1E04E1E9" w14:textId="77777777" w:rsidR="008C2315" w:rsidRPr="009E35ED" w:rsidRDefault="008C2315" w:rsidP="00B90388">
            <w:pPr>
              <w:keepNext/>
              <w:keepLines/>
              <w:ind w:left="0"/>
              <w:jc w:val="right"/>
              <w:rPr>
                <w:rFonts w:ascii="Arial Narrow" w:hAnsi="Arial Narrow"/>
                <w:color w:val="000000" w:themeColor="text1"/>
                <w:sz w:val="16"/>
                <w:szCs w:val="16"/>
                <w:lang w:val="en-PH" w:eastAsia="en-PH"/>
              </w:rPr>
            </w:pPr>
          </w:p>
        </w:tc>
        <w:tc>
          <w:tcPr>
            <w:tcW w:w="1056" w:type="dxa"/>
            <w:shd w:val="clear" w:color="auto" w:fill="auto"/>
            <w:noWrap/>
            <w:vAlign w:val="center"/>
          </w:tcPr>
          <w:p w14:paraId="3C5B64F0" w14:textId="77777777" w:rsidR="008C2315" w:rsidRPr="009E35ED" w:rsidRDefault="008C2315" w:rsidP="00B90388">
            <w:pPr>
              <w:keepNext/>
              <w:keepLines/>
              <w:ind w:left="0"/>
              <w:jc w:val="right"/>
              <w:rPr>
                <w:rFonts w:ascii="Arial Narrow" w:hAnsi="Arial Narrow"/>
                <w:color w:val="000000" w:themeColor="text1"/>
                <w:sz w:val="16"/>
                <w:szCs w:val="16"/>
                <w:lang w:val="en-PH" w:eastAsia="en-PH"/>
              </w:rPr>
            </w:pPr>
          </w:p>
        </w:tc>
        <w:tc>
          <w:tcPr>
            <w:tcW w:w="1159" w:type="dxa"/>
            <w:shd w:val="clear" w:color="auto" w:fill="auto"/>
            <w:noWrap/>
            <w:vAlign w:val="center"/>
          </w:tcPr>
          <w:p w14:paraId="193C14FF" w14:textId="77777777" w:rsidR="008C2315" w:rsidRPr="009E35ED" w:rsidRDefault="008C2315" w:rsidP="00B90388">
            <w:pPr>
              <w:keepNext/>
              <w:keepLines/>
              <w:ind w:left="0"/>
              <w:jc w:val="right"/>
              <w:rPr>
                <w:rFonts w:ascii="Arial Narrow" w:hAnsi="Arial Narrow"/>
                <w:color w:val="000000" w:themeColor="text1"/>
                <w:sz w:val="16"/>
                <w:szCs w:val="16"/>
                <w:lang w:val="en-PH" w:eastAsia="en-PH"/>
              </w:rPr>
            </w:pPr>
          </w:p>
        </w:tc>
        <w:tc>
          <w:tcPr>
            <w:tcW w:w="1143" w:type="dxa"/>
            <w:shd w:val="clear" w:color="auto" w:fill="auto"/>
            <w:noWrap/>
            <w:vAlign w:val="center"/>
          </w:tcPr>
          <w:p w14:paraId="30FE2AE4" w14:textId="77777777" w:rsidR="008C2315" w:rsidRPr="009E35ED" w:rsidRDefault="008C2315" w:rsidP="00B90388">
            <w:pPr>
              <w:keepNext/>
              <w:keepLines/>
              <w:ind w:left="0"/>
              <w:jc w:val="right"/>
              <w:rPr>
                <w:rFonts w:ascii="Arial Narrow" w:hAnsi="Arial Narrow"/>
                <w:color w:val="000000" w:themeColor="text1"/>
                <w:sz w:val="16"/>
                <w:szCs w:val="16"/>
                <w:lang w:val="en-PH" w:eastAsia="en-PH"/>
              </w:rPr>
            </w:pPr>
          </w:p>
        </w:tc>
      </w:tr>
      <w:tr w:rsidR="00993089" w:rsidRPr="009E35ED" w14:paraId="623C8C2C" w14:textId="77777777" w:rsidTr="00B90388">
        <w:trPr>
          <w:trHeight w:val="457"/>
        </w:trPr>
        <w:tc>
          <w:tcPr>
            <w:tcW w:w="2552" w:type="dxa"/>
            <w:shd w:val="clear" w:color="auto" w:fill="auto"/>
            <w:noWrap/>
            <w:vAlign w:val="center"/>
            <w:hideMark/>
          </w:tcPr>
          <w:p w14:paraId="68416158" w14:textId="77777777" w:rsidR="008C2315" w:rsidRPr="009E35ED" w:rsidRDefault="008C2315" w:rsidP="00B90388">
            <w:pPr>
              <w:keepNext/>
              <w:keepLines/>
              <w:ind w:left="0"/>
              <w:jc w:val="lef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Forfeitures of unclaimed prizes</w:t>
            </w:r>
          </w:p>
        </w:tc>
        <w:tc>
          <w:tcPr>
            <w:tcW w:w="1057" w:type="dxa"/>
            <w:shd w:val="clear" w:color="auto" w:fill="auto"/>
            <w:noWrap/>
            <w:vAlign w:val="center"/>
          </w:tcPr>
          <w:p w14:paraId="2F405173" w14:textId="541356FC" w:rsidR="008C2315" w:rsidRPr="009E35ED" w:rsidRDefault="00F91B75" w:rsidP="00B90388">
            <w:pPr>
              <w:keepNext/>
              <w:keepLines/>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143" w:type="dxa"/>
            <w:shd w:val="clear" w:color="auto" w:fill="auto"/>
            <w:noWrap/>
            <w:vAlign w:val="center"/>
          </w:tcPr>
          <w:p w14:paraId="51817282" w14:textId="04FCD76B" w:rsidR="008C2315" w:rsidRPr="009E35ED" w:rsidRDefault="00F91B75" w:rsidP="00B90388">
            <w:pPr>
              <w:keepNext/>
              <w:keepLines/>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129" w:type="dxa"/>
            <w:shd w:val="clear" w:color="auto" w:fill="auto"/>
            <w:noWrap/>
            <w:vAlign w:val="center"/>
          </w:tcPr>
          <w:p w14:paraId="6E12B4DF" w14:textId="1DE3D5F9" w:rsidR="008C2315" w:rsidRPr="009E35ED" w:rsidRDefault="00811E05" w:rsidP="00B90388">
            <w:pPr>
              <w:keepNext/>
              <w:keepLines/>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354,253,934</w:t>
            </w:r>
          </w:p>
        </w:tc>
        <w:tc>
          <w:tcPr>
            <w:tcW w:w="1056" w:type="dxa"/>
            <w:shd w:val="clear" w:color="auto" w:fill="auto"/>
            <w:noWrap/>
            <w:vAlign w:val="center"/>
          </w:tcPr>
          <w:p w14:paraId="5EB1D26F" w14:textId="4DB9A904" w:rsidR="008C2315" w:rsidRPr="009E35ED" w:rsidRDefault="00811E05" w:rsidP="00B90388">
            <w:pPr>
              <w:keepNext/>
              <w:keepLines/>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(354,253,934)</w:t>
            </w:r>
          </w:p>
        </w:tc>
        <w:tc>
          <w:tcPr>
            <w:tcW w:w="1159" w:type="dxa"/>
            <w:shd w:val="clear" w:color="auto" w:fill="auto"/>
            <w:noWrap/>
            <w:vAlign w:val="center"/>
          </w:tcPr>
          <w:p w14:paraId="66E2DD3D" w14:textId="7EB69F53" w:rsidR="008C2315" w:rsidRPr="009E35ED" w:rsidRDefault="00F91B75" w:rsidP="00B90388">
            <w:pPr>
              <w:keepNext/>
              <w:keepLines/>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143" w:type="dxa"/>
            <w:shd w:val="clear" w:color="auto" w:fill="auto"/>
            <w:noWrap/>
            <w:vAlign w:val="center"/>
          </w:tcPr>
          <w:p w14:paraId="284E6319" w14:textId="3F0B3DC5" w:rsidR="008C2315" w:rsidRPr="009E35ED" w:rsidRDefault="00F91B75" w:rsidP="00B90388">
            <w:pPr>
              <w:keepNext/>
              <w:keepLines/>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r>
      <w:tr w:rsidR="00993089" w:rsidRPr="009E35ED" w14:paraId="753FE5E5" w14:textId="77777777" w:rsidTr="00B90388">
        <w:trPr>
          <w:trHeight w:val="457"/>
        </w:trPr>
        <w:tc>
          <w:tcPr>
            <w:tcW w:w="2552" w:type="dxa"/>
            <w:shd w:val="clear" w:color="auto" w:fill="auto"/>
            <w:noWrap/>
            <w:vAlign w:val="center"/>
            <w:hideMark/>
          </w:tcPr>
          <w:p w14:paraId="31E51087" w14:textId="598A23AA" w:rsidR="008C2315" w:rsidRPr="009E35ED" w:rsidRDefault="008C2315" w:rsidP="00B90388">
            <w:pPr>
              <w:keepNext/>
              <w:keepLines/>
              <w:ind w:left="0"/>
              <w:jc w:val="lef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 xml:space="preserve">Provision for </w:t>
            </w:r>
            <w:r w:rsidR="00142F79">
              <w:rPr>
                <w:rFonts w:ascii="Arial Narrow" w:hAnsi="Arial Narrow"/>
                <w:color w:val="000000" w:themeColor="text1"/>
                <w:sz w:val="16"/>
                <w:szCs w:val="16"/>
                <w:lang w:val="en-PH" w:eastAsia="en-PH"/>
              </w:rPr>
              <w:t>d</w:t>
            </w:r>
            <w:r w:rsidRPr="009E35ED">
              <w:rPr>
                <w:rFonts w:ascii="Arial Narrow" w:hAnsi="Arial Narrow"/>
                <w:color w:val="000000" w:themeColor="text1"/>
                <w:sz w:val="16"/>
                <w:szCs w:val="16"/>
                <w:lang w:val="en-PH" w:eastAsia="en-PH"/>
              </w:rPr>
              <w:t xml:space="preserve">ividends </w:t>
            </w:r>
            <w:r w:rsidR="00142F79">
              <w:rPr>
                <w:rFonts w:ascii="Arial Narrow" w:hAnsi="Arial Narrow"/>
                <w:color w:val="000000" w:themeColor="text1"/>
                <w:sz w:val="16"/>
                <w:szCs w:val="16"/>
                <w:lang w:val="en-PH" w:eastAsia="en-PH"/>
              </w:rPr>
              <w:t>p</w:t>
            </w:r>
            <w:r w:rsidRPr="009E35ED">
              <w:rPr>
                <w:rFonts w:ascii="Arial Narrow" w:hAnsi="Arial Narrow"/>
                <w:color w:val="000000" w:themeColor="text1"/>
                <w:sz w:val="16"/>
                <w:szCs w:val="16"/>
                <w:lang w:val="en-PH" w:eastAsia="en-PH"/>
              </w:rPr>
              <w:t>ayable</w:t>
            </w:r>
          </w:p>
        </w:tc>
        <w:tc>
          <w:tcPr>
            <w:tcW w:w="1057" w:type="dxa"/>
            <w:shd w:val="clear" w:color="auto" w:fill="auto"/>
            <w:noWrap/>
            <w:vAlign w:val="center"/>
          </w:tcPr>
          <w:p w14:paraId="3BB7D719" w14:textId="563C8F35" w:rsidR="008C2315" w:rsidRPr="009E35ED" w:rsidRDefault="009B751E" w:rsidP="00B90388">
            <w:pPr>
              <w:keepNext/>
              <w:keepLines/>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143" w:type="dxa"/>
            <w:shd w:val="clear" w:color="auto" w:fill="auto"/>
            <w:noWrap/>
            <w:vAlign w:val="center"/>
          </w:tcPr>
          <w:p w14:paraId="16C39B92" w14:textId="4C1ABC06" w:rsidR="008C2315" w:rsidRPr="009E35ED" w:rsidRDefault="00C262B9" w:rsidP="00B90388">
            <w:pPr>
              <w:keepNext/>
              <w:keepLines/>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r w:rsidR="00542F78" w:rsidRPr="009E35ED">
              <w:rPr>
                <w:rFonts w:ascii="Arial Narrow" w:hAnsi="Arial Narrow"/>
                <w:color w:val="000000" w:themeColor="text1"/>
                <w:sz w:val="16"/>
                <w:szCs w:val="16"/>
                <w:lang w:val="en-PH" w:eastAsia="en-PH"/>
              </w:rPr>
              <w:t>1,963,491,650</w:t>
            </w:r>
            <w:r w:rsidRPr="009E35ED">
              <w:rPr>
                <w:rFonts w:ascii="Arial Narrow" w:hAnsi="Arial Narrow"/>
                <w:color w:val="000000" w:themeColor="text1"/>
                <w:sz w:val="16"/>
                <w:szCs w:val="16"/>
                <w:lang w:val="en-PH" w:eastAsia="en-PH"/>
              </w:rPr>
              <w:t>)</w:t>
            </w:r>
          </w:p>
        </w:tc>
        <w:tc>
          <w:tcPr>
            <w:tcW w:w="1129" w:type="dxa"/>
            <w:shd w:val="clear" w:color="auto" w:fill="auto"/>
            <w:noWrap/>
            <w:vAlign w:val="center"/>
          </w:tcPr>
          <w:p w14:paraId="6934006F" w14:textId="65DBDE5E" w:rsidR="008C2315" w:rsidRPr="009E35ED" w:rsidRDefault="00C262B9" w:rsidP="00B90388">
            <w:pPr>
              <w:keepNext/>
              <w:keepLines/>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056" w:type="dxa"/>
            <w:shd w:val="clear" w:color="auto" w:fill="auto"/>
            <w:noWrap/>
            <w:vAlign w:val="center"/>
          </w:tcPr>
          <w:p w14:paraId="0B019EB5" w14:textId="67D4F319" w:rsidR="008C2315" w:rsidRPr="009E35ED" w:rsidRDefault="00C262B9" w:rsidP="00B90388">
            <w:pPr>
              <w:keepNext/>
              <w:keepLines/>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r w:rsidR="00B602EC" w:rsidRPr="009E35ED">
              <w:rPr>
                <w:rFonts w:ascii="Arial Narrow" w:hAnsi="Arial Narrow"/>
                <w:color w:val="000000" w:themeColor="text1"/>
                <w:sz w:val="16"/>
                <w:szCs w:val="16"/>
                <w:lang w:val="en-PH" w:eastAsia="en-PH"/>
              </w:rPr>
              <w:t>847,823,180</w:t>
            </w:r>
            <w:r w:rsidRPr="009E35ED">
              <w:rPr>
                <w:rFonts w:ascii="Arial Narrow" w:hAnsi="Arial Narrow"/>
                <w:color w:val="000000" w:themeColor="text1"/>
                <w:sz w:val="16"/>
                <w:szCs w:val="16"/>
                <w:lang w:val="en-PH" w:eastAsia="en-PH"/>
              </w:rPr>
              <w:t>)</w:t>
            </w:r>
          </w:p>
        </w:tc>
        <w:tc>
          <w:tcPr>
            <w:tcW w:w="1159" w:type="dxa"/>
            <w:shd w:val="clear" w:color="auto" w:fill="auto"/>
            <w:noWrap/>
            <w:vAlign w:val="center"/>
          </w:tcPr>
          <w:p w14:paraId="58324D4F" w14:textId="5142CA16" w:rsidR="008C2315" w:rsidRPr="009E35ED" w:rsidRDefault="00B602EC" w:rsidP="00B90388">
            <w:pPr>
              <w:keepNext/>
              <w:keepLines/>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(2,811,314,830)</w:t>
            </w:r>
          </w:p>
        </w:tc>
        <w:tc>
          <w:tcPr>
            <w:tcW w:w="1143" w:type="dxa"/>
            <w:shd w:val="clear" w:color="auto" w:fill="auto"/>
            <w:noWrap/>
            <w:vAlign w:val="center"/>
          </w:tcPr>
          <w:p w14:paraId="1CCCBB73" w14:textId="4D996C3D" w:rsidR="008C2315" w:rsidRPr="009E35ED" w:rsidRDefault="00B602EC" w:rsidP="00B90388">
            <w:pPr>
              <w:keepNext/>
              <w:keepLines/>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(2,811,314,830)</w:t>
            </w:r>
          </w:p>
        </w:tc>
      </w:tr>
      <w:tr w:rsidR="00993089" w:rsidRPr="009E35ED" w14:paraId="6758F2AE" w14:textId="77777777" w:rsidTr="00B90388">
        <w:trPr>
          <w:trHeight w:val="480"/>
        </w:trPr>
        <w:tc>
          <w:tcPr>
            <w:tcW w:w="2552" w:type="dxa"/>
            <w:shd w:val="clear" w:color="auto" w:fill="auto"/>
            <w:noWrap/>
            <w:vAlign w:val="center"/>
            <w:hideMark/>
          </w:tcPr>
          <w:p w14:paraId="2F636818" w14:textId="2387043B" w:rsidR="008C2315" w:rsidRPr="009E35ED" w:rsidRDefault="008C2315" w:rsidP="00B90388">
            <w:pPr>
              <w:keepNext/>
              <w:keepLines/>
              <w:ind w:left="0"/>
              <w:jc w:val="lef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 xml:space="preserve">Comprehensive </w:t>
            </w:r>
            <w:r w:rsidR="00142F79">
              <w:rPr>
                <w:rFonts w:ascii="Arial Narrow" w:hAnsi="Arial Narrow"/>
                <w:color w:val="000000" w:themeColor="text1"/>
                <w:sz w:val="16"/>
                <w:szCs w:val="16"/>
                <w:lang w:val="en-PH" w:eastAsia="en-PH"/>
              </w:rPr>
              <w:t>i</w:t>
            </w:r>
            <w:r w:rsidRPr="009E35ED">
              <w:rPr>
                <w:rFonts w:ascii="Arial Narrow" w:hAnsi="Arial Narrow"/>
                <w:color w:val="000000" w:themeColor="text1"/>
                <w:sz w:val="16"/>
                <w:szCs w:val="16"/>
                <w:lang w:val="en-PH" w:eastAsia="en-PH"/>
              </w:rPr>
              <w:t>ncome</w:t>
            </w:r>
          </w:p>
        </w:tc>
        <w:tc>
          <w:tcPr>
            <w:tcW w:w="1057" w:type="dxa"/>
            <w:shd w:val="clear" w:color="auto" w:fill="auto"/>
            <w:noWrap/>
            <w:vAlign w:val="center"/>
          </w:tcPr>
          <w:p w14:paraId="139D3BC2" w14:textId="22D46CA9" w:rsidR="008C2315" w:rsidRPr="009E35ED" w:rsidRDefault="00903B75" w:rsidP="00B90388">
            <w:pPr>
              <w:keepNext/>
              <w:keepLines/>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(13,807,232)</w:t>
            </w:r>
          </w:p>
        </w:tc>
        <w:tc>
          <w:tcPr>
            <w:tcW w:w="1143" w:type="dxa"/>
            <w:shd w:val="clear" w:color="auto" w:fill="auto"/>
            <w:noWrap/>
            <w:vAlign w:val="center"/>
          </w:tcPr>
          <w:p w14:paraId="120A4F8E" w14:textId="3D6D89BD" w:rsidR="008C2315" w:rsidRPr="009E35ED" w:rsidRDefault="00903B75" w:rsidP="00B90388">
            <w:pPr>
              <w:keepNext/>
              <w:keepLines/>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4,000,582,854</w:t>
            </w:r>
          </w:p>
        </w:tc>
        <w:tc>
          <w:tcPr>
            <w:tcW w:w="1129" w:type="dxa"/>
            <w:shd w:val="clear" w:color="auto" w:fill="auto"/>
            <w:noWrap/>
            <w:vAlign w:val="center"/>
          </w:tcPr>
          <w:p w14:paraId="309AB867" w14:textId="08634FE4" w:rsidR="008C2315" w:rsidRPr="009E35ED" w:rsidRDefault="00903B75" w:rsidP="00B90388">
            <w:pPr>
              <w:keepNext/>
              <w:keepLines/>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-1,427,838,443</w:t>
            </w:r>
          </w:p>
        </w:tc>
        <w:tc>
          <w:tcPr>
            <w:tcW w:w="1056" w:type="dxa"/>
            <w:shd w:val="clear" w:color="auto" w:fill="auto"/>
            <w:noWrap/>
            <w:vAlign w:val="center"/>
          </w:tcPr>
          <w:p w14:paraId="3AA11BA3" w14:textId="780E2953" w:rsidR="008C2315" w:rsidRPr="009E35ED" w:rsidRDefault="00FB5A65" w:rsidP="00B90388">
            <w:pPr>
              <w:keepNext/>
              <w:keepLines/>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1,727,426,177</w:t>
            </w:r>
          </w:p>
        </w:tc>
        <w:tc>
          <w:tcPr>
            <w:tcW w:w="1159" w:type="dxa"/>
            <w:shd w:val="clear" w:color="auto" w:fill="auto"/>
            <w:noWrap/>
            <w:vAlign w:val="center"/>
          </w:tcPr>
          <w:p w14:paraId="51AE1C59" w14:textId="50B4DB18" w:rsidR="008C2315" w:rsidRPr="009E35ED" w:rsidRDefault="00FB5A65" w:rsidP="00B90388">
            <w:pPr>
              <w:keepNext/>
              <w:keepLines/>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4,300,170,588</w:t>
            </w:r>
          </w:p>
        </w:tc>
        <w:tc>
          <w:tcPr>
            <w:tcW w:w="1143" w:type="dxa"/>
            <w:shd w:val="clear" w:color="auto" w:fill="auto"/>
            <w:noWrap/>
            <w:vAlign w:val="center"/>
          </w:tcPr>
          <w:p w14:paraId="1F825DE6" w14:textId="690EAEB4" w:rsidR="008C2315" w:rsidRPr="009E35ED" w:rsidRDefault="00FB5A65" w:rsidP="00B90388">
            <w:pPr>
              <w:keepNext/>
              <w:keepLines/>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4,286,363,356</w:t>
            </w:r>
          </w:p>
        </w:tc>
      </w:tr>
      <w:tr w:rsidR="00993089" w:rsidRPr="009E35ED" w14:paraId="31C33153" w14:textId="77777777" w:rsidTr="00B90388">
        <w:trPr>
          <w:trHeight w:val="480"/>
        </w:trPr>
        <w:tc>
          <w:tcPr>
            <w:tcW w:w="2552" w:type="dxa"/>
            <w:shd w:val="clear" w:color="auto" w:fill="auto"/>
            <w:noWrap/>
            <w:vAlign w:val="center"/>
          </w:tcPr>
          <w:p w14:paraId="165EE215" w14:textId="3574AB4C" w:rsidR="00134AA4" w:rsidRPr="009E35ED" w:rsidRDefault="00134AA4" w:rsidP="00B90388">
            <w:pPr>
              <w:keepNext/>
              <w:keepLines/>
              <w:ind w:left="0"/>
              <w:jc w:val="lef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 xml:space="preserve">Prior </w:t>
            </w:r>
            <w:r w:rsidR="00142F79">
              <w:rPr>
                <w:rFonts w:ascii="Arial Narrow" w:hAnsi="Arial Narrow"/>
                <w:color w:val="000000" w:themeColor="text1"/>
                <w:sz w:val="16"/>
                <w:szCs w:val="16"/>
                <w:lang w:val="en-PH" w:eastAsia="en-PH"/>
              </w:rPr>
              <w:t>y</w:t>
            </w:r>
            <w:r w:rsidRPr="009E35ED">
              <w:rPr>
                <w:rFonts w:ascii="Arial Narrow" w:hAnsi="Arial Narrow"/>
                <w:color w:val="000000" w:themeColor="text1"/>
                <w:sz w:val="16"/>
                <w:szCs w:val="16"/>
                <w:lang w:val="en-PH" w:eastAsia="en-PH"/>
              </w:rPr>
              <w:t xml:space="preserve">ear’s </w:t>
            </w:r>
            <w:r w:rsidR="00142F79">
              <w:rPr>
                <w:rFonts w:ascii="Arial Narrow" w:hAnsi="Arial Narrow"/>
                <w:color w:val="000000" w:themeColor="text1"/>
                <w:sz w:val="16"/>
                <w:szCs w:val="16"/>
                <w:lang w:val="en-PH" w:eastAsia="en-PH"/>
              </w:rPr>
              <w:t>a</w:t>
            </w:r>
            <w:r w:rsidRPr="009E35ED">
              <w:rPr>
                <w:rFonts w:ascii="Arial Narrow" w:hAnsi="Arial Narrow"/>
                <w:color w:val="000000" w:themeColor="text1"/>
                <w:sz w:val="16"/>
                <w:szCs w:val="16"/>
                <w:lang w:val="en-PH" w:eastAsia="en-PH"/>
              </w:rPr>
              <w:t>djustments</w:t>
            </w:r>
          </w:p>
        </w:tc>
        <w:tc>
          <w:tcPr>
            <w:tcW w:w="1057" w:type="dxa"/>
            <w:shd w:val="clear" w:color="auto" w:fill="auto"/>
            <w:noWrap/>
            <w:vAlign w:val="center"/>
          </w:tcPr>
          <w:p w14:paraId="51140071" w14:textId="6C4EB77F" w:rsidR="00134AA4" w:rsidRPr="009E35ED" w:rsidRDefault="009B751E" w:rsidP="00B90388">
            <w:pPr>
              <w:keepNext/>
              <w:keepLines/>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143" w:type="dxa"/>
            <w:shd w:val="clear" w:color="auto" w:fill="auto"/>
            <w:noWrap/>
            <w:vAlign w:val="center"/>
          </w:tcPr>
          <w:p w14:paraId="0761CD77" w14:textId="0496744C" w:rsidR="00134AA4" w:rsidRPr="009E35ED" w:rsidRDefault="00000465" w:rsidP="00B90388">
            <w:pPr>
              <w:keepNext/>
              <w:keepLines/>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(915,</w:t>
            </w:r>
            <w:r w:rsidR="0041418E" w:rsidRPr="009E35ED">
              <w:rPr>
                <w:rFonts w:ascii="Arial Narrow" w:hAnsi="Arial Narrow"/>
                <w:color w:val="000000" w:themeColor="text1"/>
                <w:sz w:val="16"/>
                <w:szCs w:val="16"/>
                <w:lang w:val="en-PH" w:eastAsia="en-PH"/>
              </w:rPr>
              <w:t>5</w:t>
            </w:r>
            <w:r w:rsidR="00170BED" w:rsidRPr="009E35ED">
              <w:rPr>
                <w:rFonts w:ascii="Arial Narrow" w:hAnsi="Arial Narrow"/>
                <w:color w:val="000000" w:themeColor="text1"/>
                <w:sz w:val="16"/>
                <w:szCs w:val="16"/>
                <w:lang w:val="en-PH" w:eastAsia="en-PH"/>
              </w:rPr>
              <w:t>64,416</w:t>
            </w:r>
            <w:r w:rsidRPr="009E35ED">
              <w:rPr>
                <w:rFonts w:ascii="Arial Narrow" w:hAnsi="Arial Narrow"/>
                <w:color w:val="000000" w:themeColor="text1"/>
                <w:sz w:val="16"/>
                <w:szCs w:val="16"/>
                <w:lang w:val="en-PH" w:eastAsia="en-PH"/>
              </w:rPr>
              <w:t>)</w:t>
            </w:r>
          </w:p>
        </w:tc>
        <w:tc>
          <w:tcPr>
            <w:tcW w:w="1129" w:type="dxa"/>
            <w:shd w:val="clear" w:color="auto" w:fill="auto"/>
            <w:noWrap/>
            <w:vAlign w:val="center"/>
          </w:tcPr>
          <w:p w14:paraId="4E13FC9C" w14:textId="2C044229" w:rsidR="00134AA4" w:rsidRPr="009E35ED" w:rsidRDefault="00000465" w:rsidP="00B90388">
            <w:pPr>
              <w:keepNext/>
              <w:keepLines/>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r w:rsidR="0041418E" w:rsidRPr="009E35ED">
              <w:rPr>
                <w:rFonts w:ascii="Arial Narrow" w:hAnsi="Arial Narrow"/>
                <w:color w:val="000000" w:themeColor="text1"/>
                <w:sz w:val="16"/>
                <w:szCs w:val="16"/>
                <w:lang w:val="en-PH" w:eastAsia="en-PH"/>
              </w:rPr>
              <w:t>53,9</w:t>
            </w:r>
            <w:r w:rsidR="00170BED" w:rsidRPr="009E35ED">
              <w:rPr>
                <w:rFonts w:ascii="Arial Narrow" w:hAnsi="Arial Narrow"/>
                <w:color w:val="000000" w:themeColor="text1"/>
                <w:sz w:val="16"/>
                <w:szCs w:val="16"/>
                <w:lang w:val="en-PH" w:eastAsia="en-PH"/>
              </w:rPr>
              <w:t>55</w:t>
            </w:r>
            <w:r w:rsidR="0041418E" w:rsidRPr="009E35ED">
              <w:rPr>
                <w:rFonts w:ascii="Arial Narrow" w:hAnsi="Arial Narrow"/>
                <w:color w:val="000000" w:themeColor="text1"/>
                <w:sz w:val="16"/>
                <w:szCs w:val="16"/>
                <w:lang w:val="en-PH" w:eastAsia="en-PH"/>
              </w:rPr>
              <w:t>,</w:t>
            </w:r>
            <w:r w:rsidR="00170BED" w:rsidRPr="009E35ED">
              <w:rPr>
                <w:rFonts w:ascii="Arial Narrow" w:hAnsi="Arial Narrow"/>
                <w:color w:val="000000" w:themeColor="text1"/>
                <w:sz w:val="16"/>
                <w:szCs w:val="16"/>
                <w:lang w:val="en-PH" w:eastAsia="en-PH"/>
              </w:rPr>
              <w:t>289</w:t>
            </w:r>
            <w:r w:rsidRPr="009E35ED">
              <w:rPr>
                <w:rFonts w:ascii="Arial Narrow" w:hAnsi="Arial Narrow"/>
                <w:color w:val="000000" w:themeColor="text1"/>
                <w:sz w:val="16"/>
                <w:szCs w:val="16"/>
                <w:lang w:val="en-PH" w:eastAsia="en-PH"/>
              </w:rPr>
              <w:t>)</w:t>
            </w:r>
          </w:p>
        </w:tc>
        <w:tc>
          <w:tcPr>
            <w:tcW w:w="1056" w:type="dxa"/>
            <w:shd w:val="clear" w:color="auto" w:fill="auto"/>
            <w:noWrap/>
            <w:vAlign w:val="center"/>
          </w:tcPr>
          <w:p w14:paraId="6FCED738" w14:textId="5F3C38EB" w:rsidR="00134AA4" w:rsidRPr="009E35ED" w:rsidRDefault="0041418E" w:rsidP="00B90388">
            <w:pPr>
              <w:keepNext/>
              <w:keepLines/>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996,</w:t>
            </w:r>
            <w:r w:rsidR="00170BED" w:rsidRPr="009E35ED">
              <w:rPr>
                <w:rFonts w:ascii="Arial Narrow" w:hAnsi="Arial Narrow"/>
                <w:color w:val="000000" w:themeColor="text1"/>
                <w:sz w:val="16"/>
                <w:szCs w:val="16"/>
                <w:lang w:val="en-PH" w:eastAsia="en-PH"/>
              </w:rPr>
              <w:t>794,365</w:t>
            </w:r>
          </w:p>
        </w:tc>
        <w:tc>
          <w:tcPr>
            <w:tcW w:w="1159" w:type="dxa"/>
            <w:shd w:val="clear" w:color="auto" w:fill="auto"/>
            <w:noWrap/>
            <w:vAlign w:val="center"/>
          </w:tcPr>
          <w:p w14:paraId="6D23646B" w14:textId="51B1CE83" w:rsidR="00134AA4" w:rsidRPr="009E35ED" w:rsidRDefault="0041418E" w:rsidP="00B90388">
            <w:pPr>
              <w:keepNext/>
              <w:keepLines/>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27,274,660</w:t>
            </w:r>
          </w:p>
        </w:tc>
        <w:tc>
          <w:tcPr>
            <w:tcW w:w="1143" w:type="dxa"/>
            <w:shd w:val="clear" w:color="auto" w:fill="auto"/>
            <w:noWrap/>
            <w:vAlign w:val="center"/>
          </w:tcPr>
          <w:p w14:paraId="01D05E6D" w14:textId="78F08C1E" w:rsidR="00134AA4" w:rsidRPr="009E35ED" w:rsidRDefault="0041418E" w:rsidP="00B90388">
            <w:pPr>
              <w:keepNext/>
              <w:keepLines/>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27,274,660</w:t>
            </w:r>
          </w:p>
        </w:tc>
      </w:tr>
      <w:tr w:rsidR="00993089" w:rsidRPr="009E35ED" w14:paraId="1CC076D6" w14:textId="77777777" w:rsidTr="00B90388">
        <w:trPr>
          <w:trHeight w:val="480"/>
        </w:trPr>
        <w:tc>
          <w:tcPr>
            <w:tcW w:w="2552" w:type="dxa"/>
            <w:tcBorders>
              <w:top w:val="single" w:sz="4" w:space="0" w:color="auto"/>
              <w:left w:val="nil"/>
              <w:bottom w:val="double" w:sz="6" w:space="0" w:color="auto"/>
              <w:right w:val="nil"/>
            </w:tcBorders>
            <w:shd w:val="clear" w:color="auto" w:fill="auto"/>
            <w:noWrap/>
            <w:vAlign w:val="center"/>
            <w:hideMark/>
          </w:tcPr>
          <w:p w14:paraId="54C50116" w14:textId="5F5BF39A" w:rsidR="00A95E69" w:rsidRPr="009E35ED" w:rsidRDefault="00A95E69" w:rsidP="00B90388">
            <w:pPr>
              <w:keepNext/>
              <w:keepLines/>
              <w:ind w:left="0"/>
              <w:jc w:val="left"/>
              <w:rPr>
                <w:rFonts w:ascii="Arial Narrow" w:hAnsi="Arial Narrow"/>
                <w:b/>
                <w:bCs/>
                <w:color w:val="000000" w:themeColor="text1"/>
                <w:sz w:val="16"/>
                <w:szCs w:val="16"/>
                <w:lang w:val="en-PH" w:eastAsia="en-PH"/>
              </w:rPr>
            </w:pPr>
            <w:r w:rsidRPr="009E35ED">
              <w:rPr>
                <w:rFonts w:ascii="Arial Narrow" w:hAnsi="Arial Narrow"/>
                <w:b/>
                <w:bCs/>
                <w:color w:val="000000" w:themeColor="text1"/>
                <w:sz w:val="16"/>
                <w:szCs w:val="16"/>
                <w:lang w:val="en-PH" w:eastAsia="en-PH"/>
              </w:rPr>
              <w:t>BALANCE AT DECEMBER 31</w:t>
            </w:r>
            <w:r w:rsidR="00823F20" w:rsidRPr="009E35ED">
              <w:rPr>
                <w:rFonts w:ascii="Arial Narrow" w:hAnsi="Arial Narrow"/>
                <w:b/>
                <w:bCs/>
                <w:color w:val="000000" w:themeColor="text1"/>
                <w:sz w:val="16"/>
                <w:szCs w:val="16"/>
                <w:lang w:val="en-PH" w:eastAsia="en-PH"/>
              </w:rPr>
              <w:t>,202</w:t>
            </w:r>
            <w:r w:rsidR="009B751E" w:rsidRPr="009E35ED">
              <w:rPr>
                <w:rFonts w:ascii="Arial Narrow" w:hAnsi="Arial Narrow"/>
                <w:b/>
                <w:bCs/>
                <w:color w:val="000000" w:themeColor="text1"/>
                <w:sz w:val="16"/>
                <w:szCs w:val="16"/>
                <w:lang w:val="en-PH" w:eastAsia="en-PH"/>
              </w:rPr>
              <w:t>2</w:t>
            </w:r>
          </w:p>
        </w:tc>
        <w:tc>
          <w:tcPr>
            <w:tcW w:w="1057" w:type="dxa"/>
            <w:tcBorders>
              <w:top w:val="single" w:sz="4" w:space="0" w:color="auto"/>
              <w:left w:val="nil"/>
              <w:bottom w:val="double" w:sz="6" w:space="0" w:color="auto"/>
              <w:right w:val="nil"/>
            </w:tcBorders>
            <w:shd w:val="clear" w:color="auto" w:fill="auto"/>
            <w:noWrap/>
            <w:vAlign w:val="center"/>
          </w:tcPr>
          <w:p w14:paraId="24C78E5F" w14:textId="61311C93" w:rsidR="00A95E69" w:rsidRPr="009E35ED" w:rsidRDefault="005F0AAC" w:rsidP="00B90388">
            <w:pPr>
              <w:keepNext/>
              <w:keepLines/>
              <w:ind w:left="0"/>
              <w:jc w:val="right"/>
              <w:rPr>
                <w:rFonts w:ascii="Arial Narrow" w:hAnsi="Arial Narrow"/>
                <w:b/>
                <w:bCs/>
                <w:color w:val="000000" w:themeColor="text1"/>
                <w:sz w:val="16"/>
                <w:szCs w:val="16"/>
                <w:lang w:val="en-PH" w:eastAsia="en-PH"/>
              </w:rPr>
            </w:pPr>
            <w:r w:rsidRPr="009E35ED">
              <w:rPr>
                <w:rFonts w:ascii="Arial Narrow" w:hAnsi="Arial Narrow"/>
                <w:b/>
                <w:bCs/>
                <w:color w:val="000000" w:themeColor="text1"/>
                <w:sz w:val="16"/>
                <w:szCs w:val="16"/>
                <w:lang w:val="en-PH" w:eastAsia="en-PH"/>
              </w:rPr>
              <w:t>(8,758,434)</w:t>
            </w:r>
          </w:p>
        </w:tc>
        <w:tc>
          <w:tcPr>
            <w:tcW w:w="1143" w:type="dxa"/>
            <w:tcBorders>
              <w:top w:val="single" w:sz="4" w:space="0" w:color="auto"/>
              <w:left w:val="nil"/>
              <w:bottom w:val="double" w:sz="6" w:space="0" w:color="auto"/>
              <w:right w:val="nil"/>
            </w:tcBorders>
            <w:shd w:val="clear" w:color="auto" w:fill="auto"/>
            <w:noWrap/>
            <w:vAlign w:val="center"/>
          </w:tcPr>
          <w:p w14:paraId="16ADA323" w14:textId="376AFF99" w:rsidR="00A95E69" w:rsidRPr="009E35ED" w:rsidRDefault="005F0AAC" w:rsidP="00B90388">
            <w:pPr>
              <w:keepNext/>
              <w:keepLines/>
              <w:ind w:left="0"/>
              <w:jc w:val="right"/>
              <w:rPr>
                <w:rFonts w:ascii="Arial Narrow" w:hAnsi="Arial Narrow"/>
                <w:b/>
                <w:bCs/>
                <w:color w:val="000000" w:themeColor="text1"/>
                <w:sz w:val="16"/>
                <w:szCs w:val="16"/>
                <w:lang w:val="en-PH" w:eastAsia="en-PH"/>
              </w:rPr>
            </w:pPr>
            <w:r w:rsidRPr="009E35ED">
              <w:rPr>
                <w:rFonts w:ascii="Arial Narrow" w:hAnsi="Arial Narrow"/>
                <w:b/>
                <w:bCs/>
                <w:color w:val="000000" w:themeColor="text1"/>
                <w:sz w:val="16"/>
                <w:szCs w:val="16"/>
                <w:lang w:val="en-PH" w:eastAsia="en-PH"/>
              </w:rPr>
              <w:t>5,992,</w:t>
            </w:r>
            <w:r w:rsidR="0041418E" w:rsidRPr="009E35ED">
              <w:rPr>
                <w:rFonts w:ascii="Arial Narrow" w:hAnsi="Arial Narrow"/>
                <w:b/>
                <w:bCs/>
                <w:color w:val="000000" w:themeColor="text1"/>
                <w:sz w:val="16"/>
                <w:szCs w:val="16"/>
                <w:lang w:val="en-PH" w:eastAsia="en-PH"/>
              </w:rPr>
              <w:t>6</w:t>
            </w:r>
            <w:r w:rsidR="00170BED" w:rsidRPr="009E35ED">
              <w:rPr>
                <w:rFonts w:ascii="Arial Narrow" w:hAnsi="Arial Narrow"/>
                <w:b/>
                <w:bCs/>
                <w:color w:val="000000" w:themeColor="text1"/>
                <w:sz w:val="16"/>
                <w:szCs w:val="16"/>
                <w:lang w:val="en-PH" w:eastAsia="en-PH"/>
              </w:rPr>
              <w:t>22</w:t>
            </w:r>
            <w:r w:rsidR="0041418E" w:rsidRPr="009E35ED">
              <w:rPr>
                <w:rFonts w:ascii="Arial Narrow" w:hAnsi="Arial Narrow"/>
                <w:b/>
                <w:bCs/>
                <w:color w:val="000000" w:themeColor="text1"/>
                <w:sz w:val="16"/>
                <w:szCs w:val="16"/>
                <w:lang w:val="en-PH" w:eastAsia="en-PH"/>
              </w:rPr>
              <w:t>,</w:t>
            </w:r>
            <w:r w:rsidR="00170BED" w:rsidRPr="009E35ED">
              <w:rPr>
                <w:rFonts w:ascii="Arial Narrow" w:hAnsi="Arial Narrow"/>
                <w:b/>
                <w:bCs/>
                <w:color w:val="000000" w:themeColor="text1"/>
                <w:sz w:val="16"/>
                <w:szCs w:val="16"/>
                <w:lang w:val="en-PH" w:eastAsia="en-PH"/>
              </w:rPr>
              <w:t>217</w:t>
            </w:r>
          </w:p>
        </w:tc>
        <w:tc>
          <w:tcPr>
            <w:tcW w:w="1129" w:type="dxa"/>
            <w:tcBorders>
              <w:top w:val="single" w:sz="4" w:space="0" w:color="auto"/>
              <w:left w:val="nil"/>
              <w:bottom w:val="double" w:sz="6" w:space="0" w:color="auto"/>
              <w:right w:val="nil"/>
            </w:tcBorders>
            <w:shd w:val="clear" w:color="auto" w:fill="auto"/>
            <w:noWrap/>
            <w:vAlign w:val="center"/>
          </w:tcPr>
          <w:p w14:paraId="1E583A47" w14:textId="58BE7AE4" w:rsidR="00A95E69" w:rsidRPr="009E35ED" w:rsidRDefault="005F0AAC" w:rsidP="00B90388">
            <w:pPr>
              <w:keepNext/>
              <w:keepLines/>
              <w:ind w:left="0"/>
              <w:jc w:val="right"/>
              <w:rPr>
                <w:rFonts w:ascii="Arial Narrow" w:hAnsi="Arial Narrow"/>
                <w:b/>
                <w:bCs/>
                <w:color w:val="000000" w:themeColor="text1"/>
                <w:sz w:val="16"/>
                <w:szCs w:val="16"/>
                <w:lang w:val="en-PH" w:eastAsia="en-PH"/>
              </w:rPr>
            </w:pPr>
            <w:r w:rsidRPr="009E35ED">
              <w:rPr>
                <w:rFonts w:ascii="Arial Narrow" w:hAnsi="Arial Narrow"/>
                <w:b/>
                <w:bCs/>
                <w:color w:val="000000" w:themeColor="text1"/>
                <w:sz w:val="16"/>
                <w:szCs w:val="16"/>
                <w:lang w:val="en-PH" w:eastAsia="en-PH"/>
              </w:rPr>
              <w:t>10,51</w:t>
            </w:r>
            <w:r w:rsidR="0041418E" w:rsidRPr="009E35ED">
              <w:rPr>
                <w:rFonts w:ascii="Arial Narrow" w:hAnsi="Arial Narrow"/>
                <w:b/>
                <w:bCs/>
                <w:color w:val="000000" w:themeColor="text1"/>
                <w:sz w:val="16"/>
                <w:szCs w:val="16"/>
                <w:lang w:val="en-PH" w:eastAsia="en-PH"/>
              </w:rPr>
              <w:t>1,</w:t>
            </w:r>
            <w:r w:rsidR="00170BED" w:rsidRPr="009E35ED">
              <w:rPr>
                <w:rFonts w:ascii="Arial Narrow" w:hAnsi="Arial Narrow"/>
                <w:b/>
                <w:bCs/>
                <w:color w:val="000000" w:themeColor="text1"/>
                <w:sz w:val="16"/>
                <w:szCs w:val="16"/>
                <w:lang w:val="en-PH" w:eastAsia="en-PH"/>
              </w:rPr>
              <w:t>225</w:t>
            </w:r>
            <w:r w:rsidR="0041418E" w:rsidRPr="009E35ED">
              <w:rPr>
                <w:rFonts w:ascii="Arial Narrow" w:hAnsi="Arial Narrow"/>
                <w:b/>
                <w:bCs/>
                <w:color w:val="000000" w:themeColor="text1"/>
                <w:sz w:val="16"/>
                <w:szCs w:val="16"/>
                <w:lang w:val="en-PH" w:eastAsia="en-PH"/>
              </w:rPr>
              <w:t>,</w:t>
            </w:r>
            <w:r w:rsidR="00170BED" w:rsidRPr="009E35ED">
              <w:rPr>
                <w:rFonts w:ascii="Arial Narrow" w:hAnsi="Arial Narrow"/>
                <w:b/>
                <w:bCs/>
                <w:color w:val="000000" w:themeColor="text1"/>
                <w:sz w:val="16"/>
                <w:szCs w:val="16"/>
                <w:lang w:val="en-PH" w:eastAsia="en-PH"/>
              </w:rPr>
              <w:t>066</w:t>
            </w:r>
          </w:p>
        </w:tc>
        <w:tc>
          <w:tcPr>
            <w:tcW w:w="1056" w:type="dxa"/>
            <w:tcBorders>
              <w:top w:val="single" w:sz="4" w:space="0" w:color="auto"/>
              <w:left w:val="nil"/>
              <w:bottom w:val="double" w:sz="6" w:space="0" w:color="auto"/>
              <w:right w:val="nil"/>
            </w:tcBorders>
            <w:shd w:val="clear" w:color="auto" w:fill="auto"/>
            <w:noWrap/>
            <w:vAlign w:val="center"/>
          </w:tcPr>
          <w:p w14:paraId="39C070FD" w14:textId="610DF9E6" w:rsidR="00A95E69" w:rsidRPr="009E35ED" w:rsidRDefault="00A54C1E" w:rsidP="00B90388">
            <w:pPr>
              <w:keepNext/>
              <w:keepLines/>
              <w:ind w:left="0"/>
              <w:jc w:val="right"/>
              <w:rPr>
                <w:rFonts w:ascii="Arial Narrow" w:hAnsi="Arial Narrow"/>
                <w:b/>
                <w:bCs/>
                <w:color w:val="000000" w:themeColor="text1"/>
                <w:sz w:val="16"/>
                <w:szCs w:val="16"/>
                <w:lang w:val="en-PH" w:eastAsia="en-PH"/>
              </w:rPr>
            </w:pPr>
            <w:r w:rsidRPr="009E35ED">
              <w:rPr>
                <w:rFonts w:ascii="Arial Narrow" w:hAnsi="Arial Narrow"/>
                <w:b/>
                <w:bCs/>
                <w:color w:val="000000" w:themeColor="text1"/>
                <w:sz w:val="16"/>
                <w:szCs w:val="16"/>
                <w:lang w:val="en-PH" w:eastAsia="en-PH"/>
              </w:rPr>
              <w:t>2,221,</w:t>
            </w:r>
            <w:r w:rsidR="0041418E" w:rsidRPr="009E35ED">
              <w:rPr>
                <w:rFonts w:ascii="Arial Narrow" w:hAnsi="Arial Narrow"/>
                <w:b/>
                <w:bCs/>
                <w:color w:val="000000" w:themeColor="text1"/>
                <w:sz w:val="16"/>
                <w:szCs w:val="16"/>
                <w:lang w:val="en-PH" w:eastAsia="en-PH"/>
              </w:rPr>
              <w:t>5</w:t>
            </w:r>
            <w:r w:rsidR="00170BED" w:rsidRPr="009E35ED">
              <w:rPr>
                <w:rFonts w:ascii="Arial Narrow" w:hAnsi="Arial Narrow"/>
                <w:b/>
                <w:bCs/>
                <w:color w:val="000000" w:themeColor="text1"/>
                <w:sz w:val="16"/>
                <w:szCs w:val="16"/>
                <w:lang w:val="en-PH" w:eastAsia="en-PH"/>
              </w:rPr>
              <w:t>19</w:t>
            </w:r>
            <w:r w:rsidR="0041418E" w:rsidRPr="009E35ED">
              <w:rPr>
                <w:rFonts w:ascii="Arial Narrow" w:hAnsi="Arial Narrow"/>
                <w:b/>
                <w:bCs/>
                <w:color w:val="000000" w:themeColor="text1"/>
                <w:sz w:val="16"/>
                <w:szCs w:val="16"/>
                <w:lang w:val="en-PH" w:eastAsia="en-PH"/>
              </w:rPr>
              <w:t>,</w:t>
            </w:r>
            <w:r w:rsidR="00170BED" w:rsidRPr="009E35ED">
              <w:rPr>
                <w:rFonts w:ascii="Arial Narrow" w:hAnsi="Arial Narrow"/>
                <w:b/>
                <w:bCs/>
                <w:color w:val="000000" w:themeColor="text1"/>
                <w:sz w:val="16"/>
                <w:szCs w:val="16"/>
                <w:lang w:val="en-PH" w:eastAsia="en-PH"/>
              </w:rPr>
              <w:t>221</w:t>
            </w:r>
          </w:p>
        </w:tc>
        <w:tc>
          <w:tcPr>
            <w:tcW w:w="1159" w:type="dxa"/>
            <w:tcBorders>
              <w:top w:val="single" w:sz="4" w:space="0" w:color="auto"/>
              <w:left w:val="nil"/>
              <w:bottom w:val="double" w:sz="6" w:space="0" w:color="auto"/>
              <w:right w:val="nil"/>
            </w:tcBorders>
            <w:shd w:val="clear" w:color="auto" w:fill="auto"/>
            <w:noWrap/>
            <w:vAlign w:val="center"/>
          </w:tcPr>
          <w:p w14:paraId="26BB606B" w14:textId="337655EE" w:rsidR="00A95E69" w:rsidRPr="009E35ED" w:rsidRDefault="00A54C1E" w:rsidP="00B90388">
            <w:pPr>
              <w:keepNext/>
              <w:keepLines/>
              <w:ind w:left="0"/>
              <w:jc w:val="right"/>
              <w:rPr>
                <w:rFonts w:ascii="Arial Narrow" w:hAnsi="Arial Narrow"/>
                <w:b/>
                <w:bCs/>
                <w:color w:val="000000" w:themeColor="text1"/>
                <w:sz w:val="16"/>
                <w:szCs w:val="16"/>
                <w:lang w:val="en-PH" w:eastAsia="en-PH"/>
              </w:rPr>
            </w:pPr>
            <w:r w:rsidRPr="009E35ED">
              <w:rPr>
                <w:rFonts w:ascii="Arial Narrow" w:hAnsi="Arial Narrow"/>
                <w:b/>
                <w:bCs/>
                <w:color w:val="000000" w:themeColor="text1"/>
                <w:sz w:val="16"/>
                <w:szCs w:val="16"/>
                <w:lang w:val="en-PH" w:eastAsia="en-PH"/>
              </w:rPr>
              <w:t>18,</w:t>
            </w:r>
            <w:r w:rsidR="0041418E" w:rsidRPr="009E35ED">
              <w:rPr>
                <w:rFonts w:ascii="Arial Narrow" w:hAnsi="Arial Narrow"/>
                <w:b/>
                <w:bCs/>
                <w:color w:val="000000" w:themeColor="text1"/>
                <w:sz w:val="16"/>
                <w:szCs w:val="16"/>
                <w:lang w:val="en-PH" w:eastAsia="en-PH"/>
              </w:rPr>
              <w:t>725,366,504</w:t>
            </w:r>
          </w:p>
        </w:tc>
        <w:tc>
          <w:tcPr>
            <w:tcW w:w="1143" w:type="dxa"/>
            <w:tcBorders>
              <w:top w:val="single" w:sz="4" w:space="0" w:color="auto"/>
              <w:left w:val="nil"/>
              <w:bottom w:val="double" w:sz="6" w:space="0" w:color="auto"/>
              <w:right w:val="nil"/>
            </w:tcBorders>
            <w:shd w:val="clear" w:color="auto" w:fill="auto"/>
            <w:noWrap/>
            <w:vAlign w:val="center"/>
          </w:tcPr>
          <w:p w14:paraId="7D6EBFC9" w14:textId="70F7A7BA" w:rsidR="00A95E69" w:rsidRPr="009E35ED" w:rsidRDefault="0041418E" w:rsidP="00B90388">
            <w:pPr>
              <w:keepNext/>
              <w:keepLines/>
              <w:ind w:left="0"/>
              <w:jc w:val="right"/>
              <w:rPr>
                <w:rFonts w:ascii="Arial Narrow" w:hAnsi="Arial Narrow"/>
                <w:b/>
                <w:bCs/>
                <w:color w:val="000000" w:themeColor="text1"/>
                <w:sz w:val="16"/>
                <w:szCs w:val="16"/>
                <w:lang w:val="en-PH" w:eastAsia="en-PH"/>
              </w:rPr>
            </w:pPr>
            <w:r w:rsidRPr="009E35ED">
              <w:rPr>
                <w:rFonts w:ascii="Arial Narrow" w:hAnsi="Arial Narrow"/>
                <w:b/>
                <w:bCs/>
                <w:color w:val="000000" w:themeColor="text1"/>
                <w:sz w:val="16"/>
                <w:szCs w:val="16"/>
                <w:lang w:val="en-PH" w:eastAsia="en-PH"/>
              </w:rPr>
              <w:t>18,716,608,070</w:t>
            </w:r>
          </w:p>
        </w:tc>
      </w:tr>
      <w:tr w:rsidR="00993089" w:rsidRPr="009E35ED" w14:paraId="7EAE1971" w14:textId="77777777" w:rsidTr="00B90388">
        <w:trPr>
          <w:trHeight w:val="457"/>
        </w:trPr>
        <w:tc>
          <w:tcPr>
            <w:tcW w:w="2552" w:type="dxa"/>
            <w:tcBorders>
              <w:top w:val="nil"/>
              <w:left w:val="nil"/>
              <w:right w:val="nil"/>
            </w:tcBorders>
            <w:shd w:val="clear" w:color="auto" w:fill="auto"/>
            <w:noWrap/>
            <w:vAlign w:val="center"/>
            <w:hideMark/>
          </w:tcPr>
          <w:p w14:paraId="509D85ED" w14:textId="2708A81E" w:rsidR="009B751E" w:rsidRPr="009E35ED" w:rsidRDefault="00460A59" w:rsidP="00B90388">
            <w:pPr>
              <w:keepNext/>
              <w:keepLines/>
              <w:ind w:left="0"/>
              <w:jc w:val="left"/>
              <w:rPr>
                <w:rFonts w:ascii="Arial Narrow" w:hAnsi="Arial Narrow"/>
                <w:b/>
                <w:color w:val="000000" w:themeColor="text1"/>
                <w:sz w:val="16"/>
                <w:szCs w:val="16"/>
                <w:lang w:val="en-PH" w:eastAsia="en-PH"/>
              </w:rPr>
            </w:pPr>
            <w:r w:rsidRPr="009E35ED">
              <w:rPr>
                <w:rFonts w:ascii="Arial Narrow" w:hAnsi="Arial Narrow"/>
                <w:b/>
                <w:color w:val="000000" w:themeColor="text1"/>
                <w:sz w:val="16"/>
                <w:szCs w:val="16"/>
                <w:lang w:val="en-PH" w:eastAsia="en-PH"/>
              </w:rPr>
              <w:t>CHANGES IN EQUITY FOR 202</w:t>
            </w:r>
            <w:r w:rsidR="009B751E" w:rsidRPr="009E35ED">
              <w:rPr>
                <w:rFonts w:ascii="Arial Narrow" w:hAnsi="Arial Narrow"/>
                <w:b/>
                <w:color w:val="000000" w:themeColor="text1"/>
                <w:sz w:val="16"/>
                <w:szCs w:val="16"/>
                <w:lang w:val="en-PH" w:eastAsia="en-PH"/>
              </w:rPr>
              <w:t>3</w:t>
            </w:r>
          </w:p>
        </w:tc>
        <w:tc>
          <w:tcPr>
            <w:tcW w:w="1057" w:type="dxa"/>
            <w:tcBorders>
              <w:top w:val="nil"/>
              <w:left w:val="nil"/>
              <w:right w:val="nil"/>
            </w:tcBorders>
            <w:shd w:val="clear" w:color="auto" w:fill="auto"/>
            <w:noWrap/>
            <w:vAlign w:val="center"/>
            <w:hideMark/>
          </w:tcPr>
          <w:p w14:paraId="4627C411" w14:textId="77777777" w:rsidR="00460A59" w:rsidRPr="009E35ED" w:rsidRDefault="00460A59" w:rsidP="00B90388">
            <w:pPr>
              <w:keepNext/>
              <w:keepLines/>
              <w:ind w:left="0"/>
              <w:jc w:val="left"/>
              <w:rPr>
                <w:rFonts w:ascii="Arial Narrow" w:hAnsi="Arial Narrow"/>
                <w:b/>
                <w:color w:val="000000" w:themeColor="text1"/>
                <w:sz w:val="16"/>
                <w:szCs w:val="16"/>
                <w:lang w:val="en-PH" w:eastAsia="en-PH"/>
              </w:rPr>
            </w:pPr>
          </w:p>
        </w:tc>
        <w:tc>
          <w:tcPr>
            <w:tcW w:w="1143" w:type="dxa"/>
            <w:tcBorders>
              <w:top w:val="nil"/>
              <w:left w:val="nil"/>
              <w:right w:val="nil"/>
            </w:tcBorders>
            <w:shd w:val="clear" w:color="auto" w:fill="auto"/>
            <w:noWrap/>
            <w:vAlign w:val="center"/>
            <w:hideMark/>
          </w:tcPr>
          <w:p w14:paraId="7E999A63" w14:textId="77777777" w:rsidR="00460A59" w:rsidRPr="009E35ED" w:rsidRDefault="00460A59" w:rsidP="00B90388">
            <w:pPr>
              <w:keepNext/>
              <w:keepLines/>
              <w:ind w:left="0"/>
              <w:jc w:val="right"/>
              <w:rPr>
                <w:rFonts w:ascii="Arial Narrow" w:hAnsi="Arial Narrow"/>
                <w:b/>
                <w:color w:val="000000" w:themeColor="text1"/>
                <w:sz w:val="16"/>
                <w:szCs w:val="16"/>
                <w:lang w:val="en-PH" w:eastAsia="en-PH"/>
              </w:rPr>
            </w:pPr>
          </w:p>
        </w:tc>
        <w:tc>
          <w:tcPr>
            <w:tcW w:w="1129" w:type="dxa"/>
            <w:tcBorders>
              <w:top w:val="nil"/>
              <w:left w:val="nil"/>
              <w:right w:val="nil"/>
            </w:tcBorders>
            <w:shd w:val="clear" w:color="auto" w:fill="auto"/>
            <w:noWrap/>
            <w:vAlign w:val="center"/>
            <w:hideMark/>
          </w:tcPr>
          <w:p w14:paraId="65C4BC7A" w14:textId="77777777" w:rsidR="00460A59" w:rsidRPr="009E35ED" w:rsidRDefault="00460A59" w:rsidP="00B90388">
            <w:pPr>
              <w:keepNext/>
              <w:keepLines/>
              <w:ind w:left="0"/>
              <w:jc w:val="right"/>
              <w:rPr>
                <w:rFonts w:ascii="Arial Narrow" w:hAnsi="Arial Narrow"/>
                <w:b/>
                <w:color w:val="000000" w:themeColor="text1"/>
                <w:sz w:val="16"/>
                <w:szCs w:val="16"/>
                <w:lang w:val="en-PH" w:eastAsia="en-PH"/>
              </w:rPr>
            </w:pPr>
          </w:p>
        </w:tc>
        <w:tc>
          <w:tcPr>
            <w:tcW w:w="1056" w:type="dxa"/>
            <w:tcBorders>
              <w:top w:val="nil"/>
              <w:left w:val="nil"/>
              <w:right w:val="nil"/>
            </w:tcBorders>
            <w:shd w:val="clear" w:color="auto" w:fill="auto"/>
            <w:noWrap/>
            <w:vAlign w:val="center"/>
            <w:hideMark/>
          </w:tcPr>
          <w:p w14:paraId="477F7F8B" w14:textId="77777777" w:rsidR="00460A59" w:rsidRPr="009E35ED" w:rsidRDefault="00460A59" w:rsidP="00B90388">
            <w:pPr>
              <w:keepNext/>
              <w:keepLines/>
              <w:ind w:left="0"/>
              <w:jc w:val="right"/>
              <w:rPr>
                <w:rFonts w:ascii="Arial Narrow" w:hAnsi="Arial Narrow"/>
                <w:b/>
                <w:color w:val="000000" w:themeColor="text1"/>
                <w:sz w:val="16"/>
                <w:szCs w:val="16"/>
                <w:lang w:val="en-PH" w:eastAsia="en-PH"/>
              </w:rPr>
            </w:pPr>
          </w:p>
        </w:tc>
        <w:tc>
          <w:tcPr>
            <w:tcW w:w="1159" w:type="dxa"/>
            <w:tcBorders>
              <w:top w:val="nil"/>
              <w:left w:val="nil"/>
              <w:right w:val="nil"/>
            </w:tcBorders>
            <w:shd w:val="clear" w:color="auto" w:fill="auto"/>
            <w:noWrap/>
            <w:vAlign w:val="center"/>
            <w:hideMark/>
          </w:tcPr>
          <w:p w14:paraId="014CCE91" w14:textId="77777777" w:rsidR="00460A59" w:rsidRPr="009E35ED" w:rsidRDefault="00460A59" w:rsidP="00B90388">
            <w:pPr>
              <w:keepNext/>
              <w:keepLines/>
              <w:ind w:left="0"/>
              <w:jc w:val="right"/>
              <w:rPr>
                <w:rFonts w:ascii="Arial Narrow" w:hAnsi="Arial Narrow"/>
                <w:b/>
                <w:color w:val="000000" w:themeColor="text1"/>
                <w:sz w:val="16"/>
                <w:szCs w:val="16"/>
                <w:lang w:val="en-PH" w:eastAsia="en-PH"/>
              </w:rPr>
            </w:pPr>
          </w:p>
        </w:tc>
        <w:tc>
          <w:tcPr>
            <w:tcW w:w="1143" w:type="dxa"/>
            <w:tcBorders>
              <w:top w:val="nil"/>
              <w:left w:val="nil"/>
              <w:right w:val="nil"/>
            </w:tcBorders>
            <w:shd w:val="clear" w:color="auto" w:fill="auto"/>
            <w:noWrap/>
            <w:vAlign w:val="center"/>
            <w:hideMark/>
          </w:tcPr>
          <w:p w14:paraId="7A9D46B2" w14:textId="77777777" w:rsidR="00460A59" w:rsidRPr="009E35ED" w:rsidRDefault="00460A59" w:rsidP="00B90388">
            <w:pPr>
              <w:keepNext/>
              <w:keepLines/>
              <w:ind w:left="0"/>
              <w:jc w:val="right"/>
              <w:rPr>
                <w:rFonts w:ascii="Arial Narrow" w:hAnsi="Arial Narrow"/>
                <w:b/>
                <w:color w:val="000000" w:themeColor="text1"/>
                <w:sz w:val="16"/>
                <w:szCs w:val="16"/>
                <w:lang w:val="en-PH" w:eastAsia="en-PH"/>
              </w:rPr>
            </w:pPr>
          </w:p>
        </w:tc>
      </w:tr>
      <w:tr w:rsidR="00993089" w:rsidRPr="009E35ED" w14:paraId="5566F51A" w14:textId="77777777" w:rsidTr="00B90388">
        <w:trPr>
          <w:trHeight w:val="457"/>
        </w:trPr>
        <w:tc>
          <w:tcPr>
            <w:tcW w:w="2552" w:type="dxa"/>
            <w:shd w:val="clear" w:color="auto" w:fill="auto"/>
            <w:noWrap/>
            <w:vAlign w:val="center"/>
            <w:hideMark/>
          </w:tcPr>
          <w:p w14:paraId="7812F650" w14:textId="77777777" w:rsidR="00460A59" w:rsidRPr="009E35ED" w:rsidRDefault="00460A59" w:rsidP="00B90388">
            <w:pPr>
              <w:keepNext/>
              <w:keepLines/>
              <w:ind w:left="0"/>
              <w:jc w:val="lef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Add/(Deduct):</w:t>
            </w:r>
          </w:p>
        </w:tc>
        <w:tc>
          <w:tcPr>
            <w:tcW w:w="1057" w:type="dxa"/>
            <w:shd w:val="clear" w:color="auto" w:fill="auto"/>
            <w:noWrap/>
            <w:vAlign w:val="center"/>
          </w:tcPr>
          <w:p w14:paraId="0A805B6B" w14:textId="77777777" w:rsidR="00460A59" w:rsidRPr="009E35ED" w:rsidRDefault="00460A59" w:rsidP="00B90388">
            <w:pPr>
              <w:keepNext/>
              <w:keepLines/>
              <w:ind w:left="0"/>
              <w:jc w:val="right"/>
              <w:rPr>
                <w:rFonts w:ascii="Arial Narrow" w:hAnsi="Arial Narrow"/>
                <w:color w:val="000000" w:themeColor="text1"/>
                <w:sz w:val="16"/>
                <w:szCs w:val="16"/>
                <w:lang w:val="en-PH" w:eastAsia="en-PH"/>
              </w:rPr>
            </w:pPr>
          </w:p>
        </w:tc>
        <w:tc>
          <w:tcPr>
            <w:tcW w:w="1143" w:type="dxa"/>
            <w:shd w:val="clear" w:color="auto" w:fill="auto"/>
            <w:noWrap/>
            <w:vAlign w:val="center"/>
          </w:tcPr>
          <w:p w14:paraId="793FD130" w14:textId="77777777" w:rsidR="00460A59" w:rsidRPr="009E35ED" w:rsidRDefault="00460A59" w:rsidP="00B90388">
            <w:pPr>
              <w:keepNext/>
              <w:keepLines/>
              <w:ind w:left="0"/>
              <w:jc w:val="right"/>
              <w:rPr>
                <w:rFonts w:ascii="Arial Narrow" w:hAnsi="Arial Narrow"/>
                <w:color w:val="000000" w:themeColor="text1"/>
                <w:sz w:val="16"/>
                <w:szCs w:val="16"/>
                <w:lang w:val="en-PH" w:eastAsia="en-PH"/>
              </w:rPr>
            </w:pPr>
          </w:p>
        </w:tc>
        <w:tc>
          <w:tcPr>
            <w:tcW w:w="1129" w:type="dxa"/>
            <w:shd w:val="clear" w:color="auto" w:fill="auto"/>
            <w:noWrap/>
            <w:vAlign w:val="center"/>
          </w:tcPr>
          <w:p w14:paraId="20491CEB" w14:textId="77777777" w:rsidR="00460A59" w:rsidRPr="009E35ED" w:rsidRDefault="00460A59" w:rsidP="00B90388">
            <w:pPr>
              <w:keepNext/>
              <w:keepLines/>
              <w:ind w:left="0"/>
              <w:jc w:val="right"/>
              <w:rPr>
                <w:rFonts w:ascii="Arial Narrow" w:hAnsi="Arial Narrow"/>
                <w:color w:val="000000" w:themeColor="text1"/>
                <w:sz w:val="16"/>
                <w:szCs w:val="16"/>
                <w:lang w:val="en-PH" w:eastAsia="en-PH"/>
              </w:rPr>
            </w:pPr>
          </w:p>
        </w:tc>
        <w:tc>
          <w:tcPr>
            <w:tcW w:w="1056" w:type="dxa"/>
            <w:shd w:val="clear" w:color="auto" w:fill="auto"/>
            <w:noWrap/>
            <w:vAlign w:val="center"/>
          </w:tcPr>
          <w:p w14:paraId="2FE72E3A" w14:textId="77777777" w:rsidR="00460A59" w:rsidRPr="009E35ED" w:rsidRDefault="00460A59" w:rsidP="00B90388">
            <w:pPr>
              <w:keepNext/>
              <w:keepLines/>
              <w:ind w:left="0"/>
              <w:jc w:val="right"/>
              <w:rPr>
                <w:rFonts w:ascii="Arial Narrow" w:hAnsi="Arial Narrow"/>
                <w:color w:val="000000" w:themeColor="text1"/>
                <w:sz w:val="16"/>
                <w:szCs w:val="16"/>
                <w:lang w:val="en-PH" w:eastAsia="en-PH"/>
              </w:rPr>
            </w:pPr>
          </w:p>
        </w:tc>
        <w:tc>
          <w:tcPr>
            <w:tcW w:w="1159" w:type="dxa"/>
            <w:shd w:val="clear" w:color="auto" w:fill="auto"/>
            <w:noWrap/>
            <w:vAlign w:val="center"/>
          </w:tcPr>
          <w:p w14:paraId="52E52C27" w14:textId="77777777" w:rsidR="00460A59" w:rsidRPr="009E35ED" w:rsidRDefault="00460A59" w:rsidP="00B90388">
            <w:pPr>
              <w:keepNext/>
              <w:keepLines/>
              <w:ind w:left="0"/>
              <w:jc w:val="right"/>
              <w:rPr>
                <w:rFonts w:ascii="Arial Narrow" w:hAnsi="Arial Narrow"/>
                <w:color w:val="000000" w:themeColor="text1"/>
                <w:sz w:val="16"/>
                <w:szCs w:val="16"/>
                <w:lang w:val="en-PH" w:eastAsia="en-PH"/>
              </w:rPr>
            </w:pPr>
          </w:p>
        </w:tc>
        <w:tc>
          <w:tcPr>
            <w:tcW w:w="1143" w:type="dxa"/>
            <w:shd w:val="clear" w:color="auto" w:fill="auto"/>
            <w:noWrap/>
            <w:vAlign w:val="center"/>
          </w:tcPr>
          <w:p w14:paraId="3CDBC024" w14:textId="77777777" w:rsidR="00460A59" w:rsidRPr="009E35ED" w:rsidRDefault="00460A59" w:rsidP="00B90388">
            <w:pPr>
              <w:keepNext/>
              <w:keepLines/>
              <w:ind w:left="0"/>
              <w:jc w:val="right"/>
              <w:rPr>
                <w:rFonts w:ascii="Arial Narrow" w:hAnsi="Arial Narrow"/>
                <w:color w:val="000000" w:themeColor="text1"/>
                <w:sz w:val="16"/>
                <w:szCs w:val="16"/>
                <w:lang w:val="en-PH" w:eastAsia="en-PH"/>
              </w:rPr>
            </w:pPr>
          </w:p>
        </w:tc>
      </w:tr>
      <w:tr w:rsidR="00993089" w:rsidRPr="009E35ED" w14:paraId="28168672" w14:textId="77777777" w:rsidTr="00B90388">
        <w:trPr>
          <w:trHeight w:val="457"/>
        </w:trPr>
        <w:tc>
          <w:tcPr>
            <w:tcW w:w="2552" w:type="dxa"/>
            <w:shd w:val="clear" w:color="auto" w:fill="auto"/>
            <w:noWrap/>
            <w:vAlign w:val="center"/>
            <w:hideMark/>
          </w:tcPr>
          <w:p w14:paraId="69D5BFFB" w14:textId="77777777" w:rsidR="00460A59" w:rsidRPr="009E35ED" w:rsidRDefault="00460A59" w:rsidP="00B90388">
            <w:pPr>
              <w:keepNext/>
              <w:keepLines/>
              <w:ind w:left="0"/>
              <w:jc w:val="lef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Forfeitures of unclaimed prizes</w:t>
            </w:r>
          </w:p>
        </w:tc>
        <w:tc>
          <w:tcPr>
            <w:tcW w:w="1057" w:type="dxa"/>
            <w:shd w:val="clear" w:color="auto" w:fill="auto"/>
            <w:noWrap/>
            <w:vAlign w:val="center"/>
          </w:tcPr>
          <w:p w14:paraId="483302B5" w14:textId="30849BF2" w:rsidR="00460A59" w:rsidRPr="009E35ED" w:rsidRDefault="00091E52" w:rsidP="00B90388">
            <w:pPr>
              <w:keepNext/>
              <w:keepLines/>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143" w:type="dxa"/>
            <w:shd w:val="clear" w:color="auto" w:fill="auto"/>
            <w:noWrap/>
            <w:vAlign w:val="center"/>
          </w:tcPr>
          <w:p w14:paraId="67FBC3A0" w14:textId="3F18C1C2" w:rsidR="00460A59" w:rsidRPr="009E35ED" w:rsidRDefault="00091E52" w:rsidP="00B90388">
            <w:pPr>
              <w:keepNext/>
              <w:keepLines/>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129" w:type="dxa"/>
            <w:shd w:val="clear" w:color="auto" w:fill="auto"/>
            <w:noWrap/>
            <w:vAlign w:val="center"/>
          </w:tcPr>
          <w:p w14:paraId="408CC437" w14:textId="65BA5962" w:rsidR="00460A59" w:rsidRPr="009E35ED" w:rsidRDefault="00CB27D7" w:rsidP="00B90388">
            <w:pPr>
              <w:keepNext/>
              <w:keepLines/>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462,337,516</w:t>
            </w:r>
          </w:p>
        </w:tc>
        <w:tc>
          <w:tcPr>
            <w:tcW w:w="1056" w:type="dxa"/>
            <w:shd w:val="clear" w:color="auto" w:fill="auto"/>
            <w:noWrap/>
            <w:vAlign w:val="center"/>
          </w:tcPr>
          <w:p w14:paraId="73504BD1" w14:textId="63E6C32C" w:rsidR="00460A59" w:rsidRPr="009E35ED" w:rsidRDefault="00CB27D7" w:rsidP="00B90388">
            <w:pPr>
              <w:keepNext/>
              <w:keepLines/>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(462,337,516)</w:t>
            </w:r>
          </w:p>
        </w:tc>
        <w:tc>
          <w:tcPr>
            <w:tcW w:w="1159" w:type="dxa"/>
            <w:shd w:val="clear" w:color="auto" w:fill="auto"/>
            <w:noWrap/>
            <w:vAlign w:val="center"/>
          </w:tcPr>
          <w:p w14:paraId="6A7988F5" w14:textId="52FC34FA" w:rsidR="00460A59" w:rsidRPr="009E35ED" w:rsidRDefault="00091E52" w:rsidP="00B90388">
            <w:pPr>
              <w:keepNext/>
              <w:keepLines/>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143" w:type="dxa"/>
            <w:shd w:val="clear" w:color="auto" w:fill="auto"/>
            <w:noWrap/>
            <w:vAlign w:val="center"/>
          </w:tcPr>
          <w:p w14:paraId="53881EE8" w14:textId="2AF7B07A" w:rsidR="00460A59" w:rsidRPr="009E35ED" w:rsidRDefault="00091E52" w:rsidP="00B90388">
            <w:pPr>
              <w:keepNext/>
              <w:keepLines/>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r>
      <w:tr w:rsidR="00993089" w:rsidRPr="009E35ED" w14:paraId="0D2F174B" w14:textId="77777777" w:rsidTr="00B90388">
        <w:trPr>
          <w:trHeight w:val="457"/>
        </w:trPr>
        <w:tc>
          <w:tcPr>
            <w:tcW w:w="2552" w:type="dxa"/>
            <w:shd w:val="clear" w:color="auto" w:fill="auto"/>
            <w:noWrap/>
            <w:vAlign w:val="center"/>
            <w:hideMark/>
          </w:tcPr>
          <w:p w14:paraId="462446B9" w14:textId="3B10023E" w:rsidR="00A15E54" w:rsidRPr="009E35ED" w:rsidRDefault="00A15E54" w:rsidP="00B90388">
            <w:pPr>
              <w:keepNext/>
              <w:keepLines/>
              <w:ind w:left="0"/>
              <w:jc w:val="lef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 xml:space="preserve">Subsidy to </w:t>
            </w:r>
            <w:r w:rsidR="00142F79">
              <w:rPr>
                <w:rFonts w:ascii="Arial Narrow" w:hAnsi="Arial Narrow"/>
                <w:color w:val="000000" w:themeColor="text1"/>
                <w:sz w:val="16"/>
                <w:szCs w:val="16"/>
                <w:lang w:val="en-PH" w:eastAsia="en-PH"/>
              </w:rPr>
              <w:t>c</w:t>
            </w:r>
            <w:r w:rsidRPr="009E35ED">
              <w:rPr>
                <w:rFonts w:ascii="Arial Narrow" w:hAnsi="Arial Narrow"/>
                <w:color w:val="000000" w:themeColor="text1"/>
                <w:sz w:val="16"/>
                <w:szCs w:val="16"/>
                <w:lang w:val="en-PH" w:eastAsia="en-PH"/>
              </w:rPr>
              <w:t xml:space="preserve">harity </w:t>
            </w:r>
            <w:r w:rsidR="00142F79">
              <w:rPr>
                <w:rFonts w:ascii="Arial Narrow" w:hAnsi="Arial Narrow"/>
                <w:color w:val="000000" w:themeColor="text1"/>
                <w:sz w:val="16"/>
                <w:szCs w:val="16"/>
                <w:lang w:val="en-PH" w:eastAsia="en-PH"/>
              </w:rPr>
              <w:t>f</w:t>
            </w:r>
            <w:r w:rsidRPr="009E35ED">
              <w:rPr>
                <w:rFonts w:ascii="Arial Narrow" w:hAnsi="Arial Narrow"/>
                <w:color w:val="000000" w:themeColor="text1"/>
                <w:sz w:val="16"/>
                <w:szCs w:val="16"/>
                <w:lang w:val="en-PH" w:eastAsia="en-PH"/>
              </w:rPr>
              <w:t>unds</w:t>
            </w:r>
          </w:p>
        </w:tc>
        <w:tc>
          <w:tcPr>
            <w:tcW w:w="1057" w:type="dxa"/>
            <w:shd w:val="clear" w:color="auto" w:fill="auto"/>
            <w:noWrap/>
            <w:vAlign w:val="center"/>
          </w:tcPr>
          <w:p w14:paraId="78BA0F5B" w14:textId="77777777" w:rsidR="00A15E54" w:rsidRPr="009E35ED" w:rsidRDefault="00A15E54" w:rsidP="00B90388">
            <w:pPr>
              <w:keepNext/>
              <w:keepLines/>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143" w:type="dxa"/>
            <w:shd w:val="clear" w:color="auto" w:fill="auto"/>
            <w:noWrap/>
            <w:vAlign w:val="center"/>
          </w:tcPr>
          <w:p w14:paraId="14EC0255" w14:textId="0C8C3985" w:rsidR="00A15E54" w:rsidRPr="009E35ED" w:rsidRDefault="00C0432A" w:rsidP="00B90388">
            <w:pPr>
              <w:keepNext/>
              <w:keepLines/>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r w:rsidR="00B04ABA" w:rsidRPr="009E35ED">
              <w:rPr>
                <w:rFonts w:ascii="Arial Narrow" w:hAnsi="Arial Narrow"/>
                <w:color w:val="000000" w:themeColor="text1"/>
                <w:sz w:val="16"/>
                <w:szCs w:val="16"/>
                <w:lang w:val="en-PH" w:eastAsia="en-PH"/>
              </w:rPr>
              <w:t>57,660,316</w:t>
            </w:r>
            <w:r w:rsidRPr="009E35ED">
              <w:rPr>
                <w:rFonts w:ascii="Arial Narrow" w:hAnsi="Arial Narrow"/>
                <w:color w:val="000000" w:themeColor="text1"/>
                <w:sz w:val="16"/>
                <w:szCs w:val="16"/>
                <w:lang w:val="en-PH" w:eastAsia="en-PH"/>
              </w:rPr>
              <w:t>)</w:t>
            </w:r>
          </w:p>
        </w:tc>
        <w:tc>
          <w:tcPr>
            <w:tcW w:w="1129" w:type="dxa"/>
            <w:shd w:val="clear" w:color="auto" w:fill="auto"/>
            <w:noWrap/>
            <w:vAlign w:val="center"/>
          </w:tcPr>
          <w:p w14:paraId="3D223C7D" w14:textId="4799D7DA" w:rsidR="00A15E54" w:rsidRPr="009E35ED" w:rsidRDefault="00B04ABA" w:rsidP="00B90388">
            <w:pPr>
              <w:keepNext/>
              <w:keepLines/>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57,660,316</w:t>
            </w:r>
          </w:p>
        </w:tc>
        <w:tc>
          <w:tcPr>
            <w:tcW w:w="1056" w:type="dxa"/>
            <w:shd w:val="clear" w:color="auto" w:fill="auto"/>
            <w:noWrap/>
            <w:vAlign w:val="center"/>
          </w:tcPr>
          <w:p w14:paraId="6577576E" w14:textId="77777777" w:rsidR="00A15E54" w:rsidRPr="009E35ED" w:rsidRDefault="00A15E54" w:rsidP="00B90388">
            <w:pPr>
              <w:keepNext/>
              <w:keepLines/>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159" w:type="dxa"/>
            <w:shd w:val="clear" w:color="auto" w:fill="auto"/>
            <w:noWrap/>
            <w:vAlign w:val="center"/>
          </w:tcPr>
          <w:p w14:paraId="2E6216DD" w14:textId="77777777" w:rsidR="00A15E54" w:rsidRPr="009E35ED" w:rsidRDefault="00A15E54" w:rsidP="00B90388">
            <w:pPr>
              <w:keepNext/>
              <w:keepLines/>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143" w:type="dxa"/>
            <w:shd w:val="clear" w:color="auto" w:fill="auto"/>
            <w:noWrap/>
            <w:vAlign w:val="center"/>
          </w:tcPr>
          <w:p w14:paraId="0413F873" w14:textId="77777777" w:rsidR="00A15E54" w:rsidRPr="009E35ED" w:rsidRDefault="00A15E54" w:rsidP="00B90388">
            <w:pPr>
              <w:keepNext/>
              <w:keepLines/>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r>
      <w:tr w:rsidR="00993089" w:rsidRPr="009E35ED" w14:paraId="7820A1A9" w14:textId="77777777" w:rsidTr="00B90388">
        <w:trPr>
          <w:trHeight w:val="457"/>
        </w:trPr>
        <w:tc>
          <w:tcPr>
            <w:tcW w:w="2552" w:type="dxa"/>
            <w:shd w:val="clear" w:color="auto" w:fill="auto"/>
            <w:noWrap/>
            <w:vAlign w:val="center"/>
            <w:hideMark/>
          </w:tcPr>
          <w:p w14:paraId="27E24B1C" w14:textId="6C38940E" w:rsidR="00460A59" w:rsidRPr="009E35ED" w:rsidRDefault="00460A59" w:rsidP="00B90388">
            <w:pPr>
              <w:keepNext/>
              <w:keepLines/>
              <w:ind w:left="0"/>
              <w:jc w:val="lef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 xml:space="preserve">Provision for </w:t>
            </w:r>
            <w:r w:rsidR="00142F79">
              <w:rPr>
                <w:rFonts w:ascii="Arial Narrow" w:hAnsi="Arial Narrow"/>
                <w:color w:val="000000" w:themeColor="text1"/>
                <w:sz w:val="16"/>
                <w:szCs w:val="16"/>
                <w:lang w:val="en-PH" w:eastAsia="en-PH"/>
              </w:rPr>
              <w:t>d</w:t>
            </w:r>
            <w:r w:rsidRPr="009E35ED">
              <w:rPr>
                <w:rFonts w:ascii="Arial Narrow" w:hAnsi="Arial Narrow"/>
                <w:color w:val="000000" w:themeColor="text1"/>
                <w:sz w:val="16"/>
                <w:szCs w:val="16"/>
                <w:lang w:val="en-PH" w:eastAsia="en-PH"/>
              </w:rPr>
              <w:t xml:space="preserve">ividends </w:t>
            </w:r>
            <w:r w:rsidR="00142F79">
              <w:rPr>
                <w:rFonts w:ascii="Arial Narrow" w:hAnsi="Arial Narrow"/>
                <w:color w:val="000000" w:themeColor="text1"/>
                <w:sz w:val="16"/>
                <w:szCs w:val="16"/>
                <w:lang w:val="en-PH" w:eastAsia="en-PH"/>
              </w:rPr>
              <w:t>p</w:t>
            </w:r>
            <w:r w:rsidRPr="009E35ED">
              <w:rPr>
                <w:rFonts w:ascii="Arial Narrow" w:hAnsi="Arial Narrow"/>
                <w:color w:val="000000" w:themeColor="text1"/>
                <w:sz w:val="16"/>
                <w:szCs w:val="16"/>
                <w:lang w:val="en-PH" w:eastAsia="en-PH"/>
              </w:rPr>
              <w:t>ayable</w:t>
            </w:r>
          </w:p>
        </w:tc>
        <w:tc>
          <w:tcPr>
            <w:tcW w:w="1057" w:type="dxa"/>
            <w:shd w:val="clear" w:color="auto" w:fill="auto"/>
            <w:noWrap/>
            <w:vAlign w:val="center"/>
          </w:tcPr>
          <w:p w14:paraId="2F683882" w14:textId="3F03254F" w:rsidR="00460A59" w:rsidRPr="009E35ED" w:rsidRDefault="00091E52" w:rsidP="00B90388">
            <w:pPr>
              <w:keepNext/>
              <w:keepLines/>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143" w:type="dxa"/>
            <w:shd w:val="clear" w:color="auto" w:fill="auto"/>
            <w:noWrap/>
            <w:vAlign w:val="center"/>
          </w:tcPr>
          <w:p w14:paraId="4C4C9AB5" w14:textId="471070D1" w:rsidR="00460A59" w:rsidRPr="009E35ED" w:rsidRDefault="00304D17" w:rsidP="00B90388">
            <w:pPr>
              <w:keepNext/>
              <w:keepLines/>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r w:rsidR="00FA18A5" w:rsidRPr="009E35ED">
              <w:rPr>
                <w:rFonts w:ascii="Arial Narrow" w:hAnsi="Arial Narrow"/>
                <w:color w:val="000000" w:themeColor="text1"/>
                <w:sz w:val="16"/>
                <w:szCs w:val="16"/>
                <w:lang w:val="en-PH" w:eastAsia="en-PH"/>
              </w:rPr>
              <w:t>2,298,080,982</w:t>
            </w:r>
            <w:r w:rsidRPr="009E35ED">
              <w:rPr>
                <w:rFonts w:ascii="Arial Narrow" w:hAnsi="Arial Narrow"/>
                <w:color w:val="000000" w:themeColor="text1"/>
                <w:sz w:val="16"/>
                <w:szCs w:val="16"/>
                <w:lang w:val="en-PH" w:eastAsia="en-PH"/>
              </w:rPr>
              <w:t>)</w:t>
            </w:r>
          </w:p>
        </w:tc>
        <w:tc>
          <w:tcPr>
            <w:tcW w:w="1129" w:type="dxa"/>
            <w:shd w:val="clear" w:color="auto" w:fill="auto"/>
            <w:noWrap/>
            <w:vAlign w:val="center"/>
          </w:tcPr>
          <w:p w14:paraId="31D7F689" w14:textId="0D2BCB42" w:rsidR="00460A59" w:rsidRPr="009E35ED" w:rsidRDefault="00304D17" w:rsidP="00B90388">
            <w:pPr>
              <w:keepNext/>
              <w:keepLines/>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r w:rsidR="00FA18A5" w:rsidRPr="009E35ED">
              <w:rPr>
                <w:rFonts w:ascii="Arial Narrow" w:hAnsi="Arial Narrow"/>
                <w:color w:val="000000" w:themeColor="text1"/>
                <w:sz w:val="16"/>
                <w:szCs w:val="16"/>
                <w:lang w:val="en-PH" w:eastAsia="en-PH"/>
              </w:rPr>
              <w:t>177,616,645</w:t>
            </w:r>
            <w:r w:rsidRPr="009E35ED">
              <w:rPr>
                <w:rFonts w:ascii="Arial Narrow" w:hAnsi="Arial Narrow"/>
                <w:color w:val="000000" w:themeColor="text1"/>
                <w:sz w:val="16"/>
                <w:szCs w:val="16"/>
                <w:lang w:val="en-PH" w:eastAsia="en-PH"/>
              </w:rPr>
              <w:t>)</w:t>
            </w:r>
          </w:p>
        </w:tc>
        <w:tc>
          <w:tcPr>
            <w:tcW w:w="1056" w:type="dxa"/>
            <w:shd w:val="clear" w:color="auto" w:fill="auto"/>
            <w:noWrap/>
            <w:vAlign w:val="center"/>
          </w:tcPr>
          <w:p w14:paraId="4519A502" w14:textId="462DF0C9" w:rsidR="00460A59" w:rsidRPr="009E35ED" w:rsidRDefault="00DF4573" w:rsidP="00B90388">
            <w:pPr>
              <w:keepNext/>
              <w:keepLines/>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r w:rsidR="00FA18A5" w:rsidRPr="009E35ED">
              <w:rPr>
                <w:rFonts w:ascii="Arial Narrow" w:hAnsi="Arial Narrow"/>
                <w:color w:val="000000" w:themeColor="text1"/>
                <w:sz w:val="16"/>
                <w:szCs w:val="16"/>
                <w:lang w:val="en-PH" w:eastAsia="en-PH"/>
              </w:rPr>
              <w:t>63,702,673</w:t>
            </w:r>
            <w:r w:rsidRPr="009E35ED">
              <w:rPr>
                <w:rFonts w:ascii="Arial Narrow" w:hAnsi="Arial Narrow"/>
                <w:color w:val="000000" w:themeColor="text1"/>
                <w:sz w:val="16"/>
                <w:szCs w:val="16"/>
                <w:lang w:val="en-PH" w:eastAsia="en-PH"/>
              </w:rPr>
              <w:t>)</w:t>
            </w:r>
          </w:p>
        </w:tc>
        <w:tc>
          <w:tcPr>
            <w:tcW w:w="1159" w:type="dxa"/>
            <w:shd w:val="clear" w:color="auto" w:fill="auto"/>
            <w:noWrap/>
            <w:vAlign w:val="center"/>
          </w:tcPr>
          <w:p w14:paraId="03DC2342" w14:textId="1D5BB540" w:rsidR="00460A59" w:rsidRPr="009E35ED" w:rsidRDefault="00DF4573" w:rsidP="00B90388">
            <w:pPr>
              <w:keepNext/>
              <w:keepLines/>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(2,</w:t>
            </w:r>
            <w:r w:rsidR="00FA18A5" w:rsidRPr="009E35ED">
              <w:rPr>
                <w:rFonts w:ascii="Arial Narrow" w:hAnsi="Arial Narrow"/>
                <w:color w:val="000000" w:themeColor="text1"/>
                <w:sz w:val="16"/>
                <w:szCs w:val="16"/>
                <w:lang w:val="en-PH" w:eastAsia="en-PH"/>
              </w:rPr>
              <w:t>539,400,300</w:t>
            </w:r>
            <w:r w:rsidRPr="009E35ED">
              <w:rPr>
                <w:rFonts w:ascii="Arial Narrow" w:hAnsi="Arial Narrow"/>
                <w:color w:val="000000" w:themeColor="text1"/>
                <w:sz w:val="16"/>
                <w:szCs w:val="16"/>
                <w:lang w:val="en-PH" w:eastAsia="en-PH"/>
              </w:rPr>
              <w:t>)</w:t>
            </w:r>
          </w:p>
        </w:tc>
        <w:tc>
          <w:tcPr>
            <w:tcW w:w="1143" w:type="dxa"/>
            <w:shd w:val="clear" w:color="auto" w:fill="auto"/>
            <w:noWrap/>
            <w:vAlign w:val="center"/>
          </w:tcPr>
          <w:p w14:paraId="2F41532D" w14:textId="77DD7417" w:rsidR="00460A59" w:rsidRPr="009E35ED" w:rsidRDefault="0041418E" w:rsidP="00B90388">
            <w:pPr>
              <w:keepNext/>
              <w:keepLines/>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r w:rsidR="00FA18A5" w:rsidRPr="009E35ED">
              <w:rPr>
                <w:rFonts w:ascii="Arial Narrow" w:hAnsi="Arial Narrow"/>
                <w:color w:val="000000" w:themeColor="text1"/>
                <w:sz w:val="16"/>
                <w:szCs w:val="16"/>
                <w:lang w:val="en-PH" w:eastAsia="en-PH"/>
              </w:rPr>
              <w:t>2,539,400,300</w:t>
            </w:r>
            <w:r w:rsidRPr="009E35ED">
              <w:rPr>
                <w:rFonts w:ascii="Arial Narrow" w:hAnsi="Arial Narrow"/>
                <w:color w:val="000000" w:themeColor="text1"/>
                <w:sz w:val="16"/>
                <w:szCs w:val="16"/>
                <w:lang w:val="en-PH" w:eastAsia="en-PH"/>
              </w:rPr>
              <w:t>)</w:t>
            </w:r>
          </w:p>
        </w:tc>
      </w:tr>
      <w:tr w:rsidR="00993089" w:rsidRPr="009E35ED" w14:paraId="64A9D544" w14:textId="77777777" w:rsidTr="00B90388">
        <w:trPr>
          <w:trHeight w:val="480"/>
        </w:trPr>
        <w:tc>
          <w:tcPr>
            <w:tcW w:w="2552" w:type="dxa"/>
            <w:shd w:val="clear" w:color="auto" w:fill="auto"/>
            <w:noWrap/>
            <w:vAlign w:val="center"/>
            <w:hideMark/>
          </w:tcPr>
          <w:p w14:paraId="16E6D911" w14:textId="5194D87E" w:rsidR="00460A59" w:rsidRPr="009E35ED" w:rsidRDefault="00460A59" w:rsidP="00B90388">
            <w:pPr>
              <w:keepNext/>
              <w:keepLines/>
              <w:ind w:left="0"/>
              <w:jc w:val="lef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 xml:space="preserve">Comprehensive </w:t>
            </w:r>
            <w:r w:rsidR="00142F79">
              <w:rPr>
                <w:rFonts w:ascii="Arial Narrow" w:hAnsi="Arial Narrow"/>
                <w:color w:val="000000" w:themeColor="text1"/>
                <w:sz w:val="16"/>
                <w:szCs w:val="16"/>
                <w:lang w:val="en-PH" w:eastAsia="en-PH"/>
              </w:rPr>
              <w:t>i</w:t>
            </w:r>
            <w:r w:rsidRPr="009E35ED">
              <w:rPr>
                <w:rFonts w:ascii="Arial Narrow" w:hAnsi="Arial Narrow"/>
                <w:color w:val="000000" w:themeColor="text1"/>
                <w:sz w:val="16"/>
                <w:szCs w:val="16"/>
                <w:lang w:val="en-PH" w:eastAsia="en-PH"/>
              </w:rPr>
              <w:t>ncome</w:t>
            </w:r>
          </w:p>
        </w:tc>
        <w:tc>
          <w:tcPr>
            <w:tcW w:w="1057" w:type="dxa"/>
            <w:shd w:val="clear" w:color="auto" w:fill="auto"/>
            <w:noWrap/>
            <w:vAlign w:val="center"/>
          </w:tcPr>
          <w:p w14:paraId="312220A4" w14:textId="7DD81024" w:rsidR="00460A59" w:rsidRPr="009E35ED" w:rsidRDefault="00412E86" w:rsidP="00B90388">
            <w:pPr>
              <w:keepNext/>
              <w:keepLines/>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13,529,64</w:t>
            </w:r>
            <w:r w:rsidR="00FA18A5" w:rsidRPr="009E35ED">
              <w:rPr>
                <w:rFonts w:ascii="Arial Narrow" w:hAnsi="Arial Narrow"/>
                <w:color w:val="000000" w:themeColor="text1"/>
                <w:sz w:val="16"/>
                <w:szCs w:val="16"/>
                <w:lang w:val="en-PH" w:eastAsia="en-PH"/>
              </w:rPr>
              <w:t>5</w:t>
            </w:r>
          </w:p>
        </w:tc>
        <w:tc>
          <w:tcPr>
            <w:tcW w:w="1143" w:type="dxa"/>
            <w:shd w:val="clear" w:color="auto" w:fill="auto"/>
            <w:noWrap/>
            <w:vAlign w:val="center"/>
          </w:tcPr>
          <w:p w14:paraId="054B07A7" w14:textId="24BB78EF" w:rsidR="00460A59" w:rsidRPr="009E35ED" w:rsidRDefault="00FA18A5" w:rsidP="00B90388">
            <w:pPr>
              <w:keepNext/>
              <w:keepLines/>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3,463,060,713</w:t>
            </w:r>
          </w:p>
        </w:tc>
        <w:tc>
          <w:tcPr>
            <w:tcW w:w="1129" w:type="dxa"/>
            <w:shd w:val="clear" w:color="auto" w:fill="auto"/>
            <w:noWrap/>
            <w:vAlign w:val="center"/>
          </w:tcPr>
          <w:p w14:paraId="2A713D81" w14:textId="503CB099" w:rsidR="00460A59" w:rsidRPr="009E35ED" w:rsidRDefault="00FA18A5" w:rsidP="00B90388">
            <w:pPr>
              <w:keepNext/>
              <w:keepLines/>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267,656,897</w:t>
            </w:r>
          </w:p>
        </w:tc>
        <w:tc>
          <w:tcPr>
            <w:tcW w:w="1056" w:type="dxa"/>
            <w:shd w:val="clear" w:color="auto" w:fill="auto"/>
            <w:noWrap/>
            <w:vAlign w:val="center"/>
          </w:tcPr>
          <w:p w14:paraId="55513B4E" w14:textId="6FAA1080" w:rsidR="00460A59" w:rsidRPr="009E35ED" w:rsidRDefault="00FA18A5" w:rsidP="00B90388">
            <w:pPr>
              <w:keepNext/>
              <w:keepLines/>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95,995,844</w:t>
            </w:r>
          </w:p>
        </w:tc>
        <w:tc>
          <w:tcPr>
            <w:tcW w:w="1159" w:type="dxa"/>
            <w:shd w:val="clear" w:color="auto" w:fill="auto"/>
            <w:noWrap/>
            <w:vAlign w:val="center"/>
          </w:tcPr>
          <w:p w14:paraId="285CF714" w14:textId="168E1FA0" w:rsidR="00460A59" w:rsidRPr="009E35ED" w:rsidRDefault="00FA18A5" w:rsidP="00B90388">
            <w:pPr>
              <w:keepNext/>
              <w:keepLines/>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3,826,713,454</w:t>
            </w:r>
          </w:p>
        </w:tc>
        <w:tc>
          <w:tcPr>
            <w:tcW w:w="1143" w:type="dxa"/>
            <w:shd w:val="clear" w:color="auto" w:fill="auto"/>
            <w:noWrap/>
            <w:vAlign w:val="center"/>
          </w:tcPr>
          <w:p w14:paraId="117F88A5" w14:textId="7B3F26D1" w:rsidR="00460A59" w:rsidRPr="009E35ED" w:rsidRDefault="00FA18A5" w:rsidP="00B90388">
            <w:pPr>
              <w:keepNext/>
              <w:keepLines/>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3,840,243,099</w:t>
            </w:r>
          </w:p>
        </w:tc>
      </w:tr>
      <w:tr w:rsidR="00993089" w:rsidRPr="009E35ED" w14:paraId="07B24BCA" w14:textId="77777777" w:rsidTr="00B90388">
        <w:trPr>
          <w:trHeight w:val="480"/>
        </w:trPr>
        <w:tc>
          <w:tcPr>
            <w:tcW w:w="2552" w:type="dxa"/>
            <w:tcBorders>
              <w:top w:val="single" w:sz="4" w:space="0" w:color="auto"/>
              <w:left w:val="nil"/>
              <w:bottom w:val="double" w:sz="6" w:space="0" w:color="auto"/>
              <w:right w:val="nil"/>
            </w:tcBorders>
            <w:shd w:val="clear" w:color="auto" w:fill="auto"/>
            <w:noWrap/>
            <w:vAlign w:val="center"/>
            <w:hideMark/>
          </w:tcPr>
          <w:p w14:paraId="37869606" w14:textId="32DA566C" w:rsidR="00460A59" w:rsidRPr="009E35ED" w:rsidRDefault="00460A59" w:rsidP="00B90388">
            <w:pPr>
              <w:keepNext/>
              <w:keepLines/>
              <w:ind w:left="0"/>
              <w:jc w:val="left"/>
              <w:rPr>
                <w:rFonts w:ascii="Arial Narrow" w:hAnsi="Arial Narrow"/>
                <w:b/>
                <w:bCs/>
                <w:color w:val="000000" w:themeColor="text1"/>
                <w:sz w:val="16"/>
                <w:szCs w:val="16"/>
                <w:lang w:val="en-PH" w:eastAsia="en-PH"/>
              </w:rPr>
            </w:pPr>
            <w:r w:rsidRPr="009E35ED">
              <w:rPr>
                <w:rFonts w:ascii="Arial Narrow" w:hAnsi="Arial Narrow"/>
                <w:b/>
                <w:bCs/>
                <w:color w:val="000000" w:themeColor="text1"/>
                <w:sz w:val="16"/>
                <w:szCs w:val="16"/>
                <w:lang w:val="en-PH" w:eastAsia="en-PH"/>
              </w:rPr>
              <w:t>BALANCE AT DECEMBER 31,202</w:t>
            </w:r>
            <w:r w:rsidR="001C5A3D" w:rsidRPr="009E35ED">
              <w:rPr>
                <w:rFonts w:ascii="Arial Narrow" w:hAnsi="Arial Narrow"/>
                <w:b/>
                <w:bCs/>
                <w:color w:val="000000" w:themeColor="text1"/>
                <w:sz w:val="16"/>
                <w:szCs w:val="16"/>
                <w:lang w:val="en-PH" w:eastAsia="en-PH"/>
              </w:rPr>
              <w:t>3</w:t>
            </w:r>
          </w:p>
        </w:tc>
        <w:tc>
          <w:tcPr>
            <w:tcW w:w="1057" w:type="dxa"/>
            <w:tcBorders>
              <w:top w:val="single" w:sz="4" w:space="0" w:color="auto"/>
              <w:left w:val="nil"/>
              <w:bottom w:val="double" w:sz="6" w:space="0" w:color="auto"/>
              <w:right w:val="nil"/>
            </w:tcBorders>
            <w:shd w:val="clear" w:color="auto" w:fill="auto"/>
            <w:noWrap/>
            <w:vAlign w:val="center"/>
          </w:tcPr>
          <w:p w14:paraId="41364224" w14:textId="01D443EF" w:rsidR="00460A59" w:rsidRPr="009E35ED" w:rsidRDefault="001C5A3D" w:rsidP="00B90388">
            <w:pPr>
              <w:keepNext/>
              <w:keepLines/>
              <w:ind w:left="0"/>
              <w:jc w:val="right"/>
              <w:rPr>
                <w:rFonts w:ascii="Arial Narrow" w:hAnsi="Arial Narrow"/>
                <w:b/>
                <w:bCs/>
                <w:color w:val="000000" w:themeColor="text1"/>
                <w:sz w:val="16"/>
                <w:szCs w:val="16"/>
                <w:lang w:val="en-PH" w:eastAsia="en-PH"/>
              </w:rPr>
            </w:pPr>
            <w:r w:rsidRPr="009E35ED">
              <w:rPr>
                <w:rFonts w:ascii="Arial Narrow" w:hAnsi="Arial Narrow"/>
                <w:b/>
                <w:bCs/>
                <w:color w:val="000000" w:themeColor="text1"/>
                <w:sz w:val="16"/>
                <w:szCs w:val="16"/>
                <w:lang w:val="en-PH" w:eastAsia="en-PH"/>
              </w:rPr>
              <w:t>4,771,21</w:t>
            </w:r>
            <w:r w:rsidR="00FA18A5" w:rsidRPr="009E35ED">
              <w:rPr>
                <w:rFonts w:ascii="Arial Narrow" w:hAnsi="Arial Narrow"/>
                <w:b/>
                <w:bCs/>
                <w:color w:val="000000" w:themeColor="text1"/>
                <w:sz w:val="16"/>
                <w:szCs w:val="16"/>
                <w:lang w:val="en-PH" w:eastAsia="en-PH"/>
              </w:rPr>
              <w:t>1</w:t>
            </w:r>
          </w:p>
        </w:tc>
        <w:tc>
          <w:tcPr>
            <w:tcW w:w="1143" w:type="dxa"/>
            <w:tcBorders>
              <w:top w:val="single" w:sz="4" w:space="0" w:color="auto"/>
              <w:left w:val="nil"/>
              <w:bottom w:val="double" w:sz="6" w:space="0" w:color="auto"/>
              <w:right w:val="nil"/>
            </w:tcBorders>
            <w:shd w:val="clear" w:color="auto" w:fill="auto"/>
            <w:noWrap/>
            <w:vAlign w:val="center"/>
          </w:tcPr>
          <w:p w14:paraId="59943BD7" w14:textId="6D000A0F" w:rsidR="00460A59" w:rsidRPr="009E35ED" w:rsidRDefault="00170BED" w:rsidP="00B90388">
            <w:pPr>
              <w:keepNext/>
              <w:keepLines/>
              <w:ind w:left="0"/>
              <w:jc w:val="right"/>
              <w:rPr>
                <w:rFonts w:ascii="Arial Narrow" w:hAnsi="Arial Narrow"/>
                <w:b/>
                <w:bCs/>
                <w:color w:val="000000" w:themeColor="text1"/>
                <w:sz w:val="16"/>
                <w:szCs w:val="16"/>
                <w:lang w:val="en-PH" w:eastAsia="en-PH"/>
              </w:rPr>
            </w:pPr>
            <w:r w:rsidRPr="009E35ED">
              <w:rPr>
                <w:rFonts w:ascii="Arial Narrow" w:hAnsi="Arial Narrow"/>
                <w:b/>
                <w:bCs/>
                <w:color w:val="000000" w:themeColor="text1"/>
                <w:sz w:val="16"/>
                <w:szCs w:val="16"/>
                <w:lang w:val="en-PH" w:eastAsia="en-PH"/>
              </w:rPr>
              <w:t>7,099,941,632</w:t>
            </w:r>
          </w:p>
        </w:tc>
        <w:tc>
          <w:tcPr>
            <w:tcW w:w="1129" w:type="dxa"/>
            <w:tcBorders>
              <w:top w:val="single" w:sz="4" w:space="0" w:color="auto"/>
              <w:left w:val="nil"/>
              <w:bottom w:val="double" w:sz="6" w:space="0" w:color="auto"/>
              <w:right w:val="nil"/>
            </w:tcBorders>
            <w:shd w:val="clear" w:color="auto" w:fill="auto"/>
            <w:noWrap/>
            <w:vAlign w:val="center"/>
          </w:tcPr>
          <w:p w14:paraId="26C87C00" w14:textId="25B4DD8E" w:rsidR="00460A59" w:rsidRPr="009E35ED" w:rsidRDefault="00170BED" w:rsidP="00B90388">
            <w:pPr>
              <w:keepNext/>
              <w:keepLines/>
              <w:ind w:left="0"/>
              <w:jc w:val="right"/>
              <w:rPr>
                <w:rFonts w:ascii="Arial Narrow" w:hAnsi="Arial Narrow"/>
                <w:b/>
                <w:bCs/>
                <w:color w:val="000000" w:themeColor="text1"/>
                <w:sz w:val="16"/>
                <w:szCs w:val="16"/>
                <w:lang w:val="en-PH" w:eastAsia="en-PH"/>
              </w:rPr>
            </w:pPr>
            <w:r w:rsidRPr="009E35ED">
              <w:rPr>
                <w:rFonts w:ascii="Arial Narrow" w:hAnsi="Arial Narrow"/>
                <w:b/>
                <w:bCs/>
                <w:color w:val="000000" w:themeColor="text1"/>
                <w:sz w:val="16"/>
                <w:szCs w:val="16"/>
                <w:lang w:val="en-PH" w:eastAsia="en-PH"/>
              </w:rPr>
              <w:t>11,121,263,150</w:t>
            </w:r>
          </w:p>
        </w:tc>
        <w:tc>
          <w:tcPr>
            <w:tcW w:w="1056" w:type="dxa"/>
            <w:tcBorders>
              <w:top w:val="single" w:sz="4" w:space="0" w:color="auto"/>
              <w:left w:val="nil"/>
              <w:bottom w:val="double" w:sz="6" w:space="0" w:color="auto"/>
              <w:right w:val="nil"/>
            </w:tcBorders>
            <w:shd w:val="clear" w:color="auto" w:fill="auto"/>
            <w:noWrap/>
            <w:vAlign w:val="center"/>
          </w:tcPr>
          <w:p w14:paraId="7449DE1E" w14:textId="672EA0E4" w:rsidR="00460A59" w:rsidRPr="009E35ED" w:rsidRDefault="00170BED" w:rsidP="00B90388">
            <w:pPr>
              <w:keepNext/>
              <w:keepLines/>
              <w:ind w:left="0"/>
              <w:jc w:val="right"/>
              <w:rPr>
                <w:rFonts w:ascii="Arial Narrow" w:hAnsi="Arial Narrow"/>
                <w:b/>
                <w:bCs/>
                <w:color w:val="000000" w:themeColor="text1"/>
                <w:sz w:val="16"/>
                <w:szCs w:val="16"/>
                <w:lang w:val="en-PH" w:eastAsia="en-PH"/>
              </w:rPr>
            </w:pPr>
            <w:r w:rsidRPr="009E35ED">
              <w:rPr>
                <w:rFonts w:ascii="Arial Narrow" w:hAnsi="Arial Narrow"/>
                <w:b/>
                <w:bCs/>
                <w:color w:val="000000" w:themeColor="text1"/>
                <w:sz w:val="16"/>
                <w:szCs w:val="16"/>
                <w:lang w:val="en-PH" w:eastAsia="en-PH"/>
              </w:rPr>
              <w:t>1,791,474,876</w:t>
            </w:r>
          </w:p>
        </w:tc>
        <w:tc>
          <w:tcPr>
            <w:tcW w:w="1159" w:type="dxa"/>
            <w:tcBorders>
              <w:top w:val="single" w:sz="4" w:space="0" w:color="auto"/>
              <w:left w:val="nil"/>
              <w:bottom w:val="double" w:sz="6" w:space="0" w:color="auto"/>
              <w:right w:val="nil"/>
            </w:tcBorders>
            <w:shd w:val="clear" w:color="auto" w:fill="auto"/>
            <w:noWrap/>
            <w:vAlign w:val="center"/>
          </w:tcPr>
          <w:p w14:paraId="50DB2819" w14:textId="41D1FDDD" w:rsidR="00460A59" w:rsidRPr="009E35ED" w:rsidRDefault="005A1BCC" w:rsidP="00B90388">
            <w:pPr>
              <w:keepNext/>
              <w:keepLines/>
              <w:ind w:left="0"/>
              <w:jc w:val="right"/>
              <w:rPr>
                <w:rFonts w:ascii="Arial Narrow" w:hAnsi="Arial Narrow"/>
                <w:b/>
                <w:bCs/>
                <w:color w:val="000000" w:themeColor="text1"/>
                <w:sz w:val="16"/>
                <w:szCs w:val="16"/>
                <w:lang w:val="en-PH" w:eastAsia="en-PH"/>
              </w:rPr>
            </w:pPr>
            <w:r w:rsidRPr="009E35ED">
              <w:rPr>
                <w:rFonts w:ascii="Arial Narrow" w:hAnsi="Arial Narrow"/>
                <w:b/>
                <w:bCs/>
                <w:color w:val="000000" w:themeColor="text1"/>
                <w:sz w:val="16"/>
                <w:szCs w:val="16"/>
                <w:lang w:val="en-PH" w:eastAsia="en-PH"/>
              </w:rPr>
              <w:t>20,</w:t>
            </w:r>
            <w:r w:rsidR="00FA18A5" w:rsidRPr="009E35ED">
              <w:rPr>
                <w:rFonts w:ascii="Arial Narrow" w:hAnsi="Arial Narrow"/>
                <w:b/>
                <w:bCs/>
                <w:color w:val="000000" w:themeColor="text1"/>
                <w:sz w:val="16"/>
                <w:szCs w:val="16"/>
                <w:lang w:val="en-PH" w:eastAsia="en-PH"/>
              </w:rPr>
              <w:t>012,679,658</w:t>
            </w:r>
          </w:p>
        </w:tc>
        <w:tc>
          <w:tcPr>
            <w:tcW w:w="1143" w:type="dxa"/>
            <w:tcBorders>
              <w:top w:val="single" w:sz="4" w:space="0" w:color="auto"/>
              <w:left w:val="nil"/>
              <w:bottom w:val="double" w:sz="6" w:space="0" w:color="auto"/>
              <w:right w:val="nil"/>
            </w:tcBorders>
            <w:shd w:val="clear" w:color="auto" w:fill="auto"/>
            <w:noWrap/>
            <w:vAlign w:val="center"/>
          </w:tcPr>
          <w:p w14:paraId="029E2306" w14:textId="7C1D5086" w:rsidR="00460A59" w:rsidRPr="009E35ED" w:rsidRDefault="00FA18A5" w:rsidP="00B90388">
            <w:pPr>
              <w:keepNext/>
              <w:keepLines/>
              <w:ind w:left="0"/>
              <w:jc w:val="right"/>
              <w:rPr>
                <w:rFonts w:ascii="Arial Narrow" w:hAnsi="Arial Narrow"/>
                <w:b/>
                <w:bCs/>
                <w:color w:val="000000" w:themeColor="text1"/>
                <w:sz w:val="16"/>
                <w:szCs w:val="16"/>
                <w:lang w:val="en-PH" w:eastAsia="en-PH"/>
              </w:rPr>
            </w:pPr>
            <w:r w:rsidRPr="009E35ED">
              <w:rPr>
                <w:rFonts w:ascii="Arial Narrow" w:hAnsi="Arial Narrow"/>
                <w:b/>
                <w:bCs/>
                <w:color w:val="000000" w:themeColor="text1"/>
                <w:sz w:val="16"/>
                <w:szCs w:val="16"/>
                <w:lang w:val="en-PH" w:eastAsia="en-PH"/>
              </w:rPr>
              <w:t>20,017,450,869</w:t>
            </w:r>
          </w:p>
        </w:tc>
      </w:tr>
    </w:tbl>
    <w:p w14:paraId="32AE1E38" w14:textId="757D03C5" w:rsidR="008B6749" w:rsidRPr="009E35ED" w:rsidRDefault="008B6749" w:rsidP="00972187">
      <w:pPr>
        <w:ind w:left="0"/>
        <w:rPr>
          <w:rFonts w:ascii="Arial" w:hAnsi="Arial" w:cs="Arial"/>
          <w:color w:val="000000" w:themeColor="text1"/>
          <w:sz w:val="22"/>
          <w:szCs w:val="22"/>
        </w:rPr>
      </w:pPr>
    </w:p>
    <w:p w14:paraId="4E13F817" w14:textId="564239E8" w:rsidR="00A93EA2" w:rsidRPr="009E35ED" w:rsidRDefault="00A63381" w:rsidP="00292D29">
      <w:pPr>
        <w:suppressAutoHyphens/>
        <w:ind w:left="0"/>
        <w:rPr>
          <w:rFonts w:ascii="Arial" w:hAnsi="Arial" w:cs="Arial"/>
          <w:color w:val="000000" w:themeColor="text1"/>
          <w:sz w:val="22"/>
          <w:szCs w:val="22"/>
        </w:rPr>
      </w:pPr>
      <w:r w:rsidRPr="009E35ED">
        <w:rPr>
          <w:rFonts w:ascii="Arial" w:hAnsi="Arial" w:cs="Arial"/>
          <w:color w:val="000000" w:themeColor="text1"/>
          <w:sz w:val="22"/>
          <w:szCs w:val="22"/>
        </w:rPr>
        <w:t>O</w:t>
      </w:r>
      <w:r w:rsidR="004612BD" w:rsidRPr="009E35ED">
        <w:rPr>
          <w:rFonts w:ascii="Arial" w:hAnsi="Arial" w:cs="Arial"/>
          <w:color w:val="000000" w:themeColor="text1"/>
          <w:sz w:val="22"/>
          <w:szCs w:val="22"/>
        </w:rPr>
        <w:t xml:space="preserve">n </w:t>
      </w:r>
      <w:r w:rsidR="002821B2" w:rsidRPr="009E35ED">
        <w:rPr>
          <w:rFonts w:ascii="Arial" w:hAnsi="Arial" w:cs="Arial"/>
          <w:color w:val="000000" w:themeColor="text1"/>
          <w:sz w:val="22"/>
          <w:szCs w:val="22"/>
        </w:rPr>
        <w:t>May</w:t>
      </w:r>
      <w:r w:rsidR="004612BD" w:rsidRPr="009E35ED">
        <w:rPr>
          <w:rFonts w:ascii="Arial" w:hAnsi="Arial" w:cs="Arial"/>
          <w:color w:val="000000" w:themeColor="text1"/>
          <w:sz w:val="22"/>
          <w:szCs w:val="22"/>
        </w:rPr>
        <w:t xml:space="preserve"> </w:t>
      </w:r>
      <w:r w:rsidR="00605604" w:rsidRPr="009E35ED">
        <w:rPr>
          <w:rFonts w:ascii="Arial" w:hAnsi="Arial" w:cs="Arial"/>
          <w:color w:val="000000" w:themeColor="text1"/>
          <w:sz w:val="22"/>
          <w:szCs w:val="22"/>
        </w:rPr>
        <w:t>1</w:t>
      </w:r>
      <w:r w:rsidR="00C20CF0" w:rsidRPr="009E35ED">
        <w:rPr>
          <w:rFonts w:ascii="Arial" w:hAnsi="Arial" w:cs="Arial"/>
          <w:color w:val="000000" w:themeColor="text1"/>
          <w:sz w:val="22"/>
          <w:szCs w:val="22"/>
        </w:rPr>
        <w:t>5</w:t>
      </w:r>
      <w:r w:rsidR="004612BD" w:rsidRPr="009E35ED">
        <w:rPr>
          <w:rFonts w:ascii="Arial" w:hAnsi="Arial" w:cs="Arial"/>
          <w:color w:val="000000" w:themeColor="text1"/>
          <w:sz w:val="22"/>
          <w:szCs w:val="22"/>
        </w:rPr>
        <w:t>, 20</w:t>
      </w:r>
      <w:r w:rsidR="00962F09" w:rsidRPr="009E35ED">
        <w:rPr>
          <w:rFonts w:ascii="Arial" w:hAnsi="Arial" w:cs="Arial"/>
          <w:color w:val="000000" w:themeColor="text1"/>
          <w:sz w:val="22"/>
          <w:szCs w:val="22"/>
        </w:rPr>
        <w:t>2</w:t>
      </w:r>
      <w:r w:rsidR="00C20CF0" w:rsidRPr="009E35ED">
        <w:rPr>
          <w:rFonts w:ascii="Arial" w:hAnsi="Arial" w:cs="Arial"/>
          <w:color w:val="000000" w:themeColor="text1"/>
          <w:sz w:val="22"/>
          <w:szCs w:val="22"/>
        </w:rPr>
        <w:t>3</w:t>
      </w:r>
      <w:r w:rsidRPr="009E35ED">
        <w:rPr>
          <w:rFonts w:ascii="Arial" w:hAnsi="Arial" w:cs="Arial"/>
          <w:color w:val="000000" w:themeColor="text1"/>
          <w:sz w:val="22"/>
          <w:szCs w:val="22"/>
        </w:rPr>
        <w:t>,</w:t>
      </w:r>
      <w:r w:rsidR="004612BD" w:rsidRPr="009E35ED">
        <w:rPr>
          <w:rFonts w:ascii="Arial" w:hAnsi="Arial" w:cs="Arial"/>
          <w:color w:val="000000" w:themeColor="text1"/>
          <w:sz w:val="22"/>
          <w:szCs w:val="22"/>
        </w:rPr>
        <w:t xml:space="preserve"> </w:t>
      </w:r>
      <w:r w:rsidR="00142F79">
        <w:rPr>
          <w:rFonts w:ascii="Arial" w:hAnsi="Arial" w:cs="Arial"/>
          <w:color w:val="000000" w:themeColor="text1"/>
          <w:sz w:val="22"/>
          <w:szCs w:val="22"/>
        </w:rPr>
        <w:t xml:space="preserve">the </w:t>
      </w:r>
      <w:r w:rsidRPr="009E35ED">
        <w:rPr>
          <w:rFonts w:ascii="Arial" w:hAnsi="Arial" w:cs="Arial"/>
          <w:color w:val="000000" w:themeColor="text1"/>
          <w:sz w:val="22"/>
          <w:szCs w:val="22"/>
        </w:rPr>
        <w:t>PCSO paid P</w:t>
      </w:r>
      <w:r w:rsidR="007F6540" w:rsidRPr="009E35ED">
        <w:rPr>
          <w:rFonts w:ascii="Arial" w:hAnsi="Arial" w:cs="Arial"/>
          <w:color w:val="000000" w:themeColor="text1"/>
          <w:sz w:val="22"/>
          <w:szCs w:val="22"/>
        </w:rPr>
        <w:t>2</w:t>
      </w:r>
      <w:r w:rsidR="00605604" w:rsidRPr="009E35ED">
        <w:rPr>
          <w:rFonts w:ascii="Arial" w:hAnsi="Arial" w:cs="Arial"/>
          <w:color w:val="000000" w:themeColor="text1"/>
          <w:sz w:val="22"/>
          <w:szCs w:val="22"/>
        </w:rPr>
        <w:t>,</w:t>
      </w:r>
      <w:r w:rsidR="007F6540" w:rsidRPr="009E35ED">
        <w:rPr>
          <w:rFonts w:ascii="Arial" w:hAnsi="Arial" w:cs="Arial"/>
          <w:color w:val="000000" w:themeColor="text1"/>
          <w:sz w:val="22"/>
          <w:szCs w:val="22"/>
        </w:rPr>
        <w:t>665</w:t>
      </w:r>
      <w:r w:rsidR="002821B2" w:rsidRPr="009E35ED">
        <w:rPr>
          <w:rFonts w:ascii="Arial" w:hAnsi="Arial" w:cs="Arial"/>
          <w:color w:val="000000" w:themeColor="text1"/>
          <w:sz w:val="22"/>
          <w:szCs w:val="22"/>
        </w:rPr>
        <w:t>,</w:t>
      </w:r>
      <w:r w:rsidR="007F6540" w:rsidRPr="009E35ED">
        <w:rPr>
          <w:rFonts w:ascii="Arial" w:hAnsi="Arial" w:cs="Arial"/>
          <w:color w:val="000000" w:themeColor="text1"/>
          <w:sz w:val="22"/>
          <w:szCs w:val="22"/>
        </w:rPr>
        <w:t>781</w:t>
      </w:r>
      <w:r w:rsidR="002821B2" w:rsidRPr="009E35ED">
        <w:rPr>
          <w:rFonts w:ascii="Arial" w:hAnsi="Arial" w:cs="Arial"/>
          <w:color w:val="000000" w:themeColor="text1"/>
          <w:sz w:val="22"/>
          <w:szCs w:val="22"/>
        </w:rPr>
        <w:t>,</w:t>
      </w:r>
      <w:r w:rsidR="007F6540" w:rsidRPr="009E35ED">
        <w:rPr>
          <w:rFonts w:ascii="Arial" w:hAnsi="Arial" w:cs="Arial"/>
          <w:color w:val="000000" w:themeColor="text1"/>
          <w:sz w:val="22"/>
          <w:szCs w:val="22"/>
        </w:rPr>
        <w:t>214</w:t>
      </w:r>
      <w:r w:rsidR="004612BD" w:rsidRPr="009E35ED">
        <w:rPr>
          <w:rFonts w:ascii="Arial" w:hAnsi="Arial" w:cs="Arial"/>
          <w:color w:val="000000" w:themeColor="text1"/>
          <w:sz w:val="22"/>
          <w:szCs w:val="22"/>
        </w:rPr>
        <w:t xml:space="preserve"> </w:t>
      </w:r>
      <w:r w:rsidRPr="009E35ED">
        <w:rPr>
          <w:rFonts w:ascii="Arial" w:hAnsi="Arial" w:cs="Arial"/>
          <w:color w:val="000000" w:themeColor="text1"/>
          <w:sz w:val="22"/>
          <w:szCs w:val="22"/>
        </w:rPr>
        <w:t xml:space="preserve">to </w:t>
      </w:r>
      <w:r w:rsidR="00142F79">
        <w:rPr>
          <w:rFonts w:ascii="Arial" w:hAnsi="Arial" w:cs="Arial"/>
          <w:color w:val="000000" w:themeColor="text1"/>
          <w:sz w:val="22"/>
          <w:szCs w:val="22"/>
        </w:rPr>
        <w:t xml:space="preserve">the </w:t>
      </w:r>
      <w:r w:rsidRPr="009E35ED">
        <w:rPr>
          <w:rFonts w:ascii="Arial" w:hAnsi="Arial" w:cs="Arial"/>
          <w:color w:val="000000" w:themeColor="text1"/>
          <w:sz w:val="22"/>
          <w:szCs w:val="22"/>
        </w:rPr>
        <w:t xml:space="preserve">Bureau of Treasury as payment for its Dividend </w:t>
      </w:r>
      <w:r w:rsidR="00F93FBC">
        <w:rPr>
          <w:rFonts w:ascii="Arial" w:hAnsi="Arial" w:cs="Arial"/>
          <w:color w:val="000000" w:themeColor="text1"/>
          <w:sz w:val="22"/>
          <w:szCs w:val="22"/>
        </w:rPr>
        <w:t>p</w:t>
      </w:r>
      <w:r w:rsidRPr="009E35ED">
        <w:rPr>
          <w:rFonts w:ascii="Arial" w:hAnsi="Arial" w:cs="Arial"/>
          <w:color w:val="000000" w:themeColor="text1"/>
          <w:sz w:val="22"/>
          <w:szCs w:val="22"/>
        </w:rPr>
        <w:t>ayable for CY</w:t>
      </w:r>
      <w:r w:rsidR="00F93FBC">
        <w:rPr>
          <w:rFonts w:ascii="Arial" w:hAnsi="Arial" w:cs="Arial"/>
          <w:color w:val="000000" w:themeColor="text1"/>
          <w:sz w:val="22"/>
          <w:szCs w:val="22"/>
        </w:rPr>
        <w:t xml:space="preserve"> </w:t>
      </w:r>
      <w:r w:rsidRPr="009E35ED">
        <w:rPr>
          <w:rFonts w:ascii="Arial" w:hAnsi="Arial" w:cs="Arial"/>
          <w:color w:val="000000" w:themeColor="text1"/>
          <w:sz w:val="22"/>
          <w:szCs w:val="22"/>
        </w:rPr>
        <w:t>20</w:t>
      </w:r>
      <w:r w:rsidR="00605604" w:rsidRPr="009E35ED">
        <w:rPr>
          <w:rFonts w:ascii="Arial" w:hAnsi="Arial" w:cs="Arial"/>
          <w:color w:val="000000" w:themeColor="text1"/>
          <w:sz w:val="22"/>
          <w:szCs w:val="22"/>
        </w:rPr>
        <w:t>2</w:t>
      </w:r>
      <w:r w:rsidR="00BA2402" w:rsidRPr="009E35ED">
        <w:rPr>
          <w:rFonts w:ascii="Arial" w:hAnsi="Arial" w:cs="Arial"/>
          <w:color w:val="000000" w:themeColor="text1"/>
          <w:sz w:val="22"/>
          <w:szCs w:val="22"/>
        </w:rPr>
        <w:t>2</w:t>
      </w:r>
      <w:r w:rsidRPr="009E35ED">
        <w:rPr>
          <w:rFonts w:ascii="Arial" w:hAnsi="Arial" w:cs="Arial"/>
          <w:color w:val="000000" w:themeColor="text1"/>
          <w:sz w:val="22"/>
          <w:szCs w:val="22"/>
        </w:rPr>
        <w:t xml:space="preserve">. </w:t>
      </w:r>
      <w:r w:rsidR="00473E98" w:rsidRPr="009E35ED">
        <w:rPr>
          <w:rFonts w:ascii="Arial" w:hAnsi="Arial" w:cs="Arial"/>
          <w:color w:val="000000" w:themeColor="text1"/>
          <w:sz w:val="22"/>
          <w:szCs w:val="22"/>
        </w:rPr>
        <w:t xml:space="preserve">The PCSO </w:t>
      </w:r>
      <w:r w:rsidR="00C52A6C" w:rsidRPr="009E35ED">
        <w:rPr>
          <w:rFonts w:ascii="Arial" w:hAnsi="Arial" w:cs="Arial"/>
          <w:color w:val="000000" w:themeColor="text1"/>
          <w:sz w:val="22"/>
          <w:szCs w:val="22"/>
        </w:rPr>
        <w:t>has also recognized the 2023 provision for dividends amounting t</w:t>
      </w:r>
      <w:r w:rsidR="00040A5A" w:rsidRPr="009E35ED">
        <w:rPr>
          <w:rFonts w:ascii="Arial" w:hAnsi="Arial" w:cs="Arial"/>
          <w:color w:val="000000" w:themeColor="text1"/>
          <w:sz w:val="22"/>
          <w:szCs w:val="22"/>
        </w:rPr>
        <w:t>o</w:t>
      </w:r>
      <w:r w:rsidR="00C52A6C" w:rsidRPr="009E35ED">
        <w:rPr>
          <w:rFonts w:ascii="Arial" w:hAnsi="Arial" w:cs="Arial"/>
          <w:color w:val="000000" w:themeColor="text1"/>
          <w:sz w:val="22"/>
          <w:szCs w:val="22"/>
        </w:rPr>
        <w:t xml:space="preserve"> P2,</w:t>
      </w:r>
      <w:r w:rsidR="00FA18A5" w:rsidRPr="009E35ED">
        <w:rPr>
          <w:rFonts w:ascii="Arial" w:hAnsi="Arial" w:cs="Arial"/>
          <w:color w:val="000000" w:themeColor="text1"/>
          <w:sz w:val="22"/>
          <w:szCs w:val="22"/>
        </w:rPr>
        <w:t>539,400,</w:t>
      </w:r>
      <w:r w:rsidR="00170BED" w:rsidRPr="009E35ED">
        <w:rPr>
          <w:rFonts w:ascii="Arial" w:hAnsi="Arial" w:cs="Arial"/>
          <w:color w:val="000000" w:themeColor="text1"/>
          <w:sz w:val="22"/>
          <w:szCs w:val="22"/>
        </w:rPr>
        <w:t>299.33</w:t>
      </w:r>
      <w:r w:rsidR="00A04F74" w:rsidRPr="009E35ED">
        <w:rPr>
          <w:rFonts w:ascii="Arial" w:hAnsi="Arial" w:cs="Arial"/>
          <w:color w:val="000000" w:themeColor="text1"/>
          <w:sz w:val="22"/>
          <w:szCs w:val="22"/>
        </w:rPr>
        <w:t xml:space="preserve"> on December </w:t>
      </w:r>
      <w:r w:rsidR="00170BED" w:rsidRPr="009E35ED">
        <w:rPr>
          <w:rFonts w:ascii="Arial" w:hAnsi="Arial" w:cs="Arial"/>
          <w:color w:val="000000" w:themeColor="text1"/>
          <w:sz w:val="22"/>
          <w:szCs w:val="22"/>
        </w:rPr>
        <w:t xml:space="preserve">31, </w:t>
      </w:r>
      <w:r w:rsidR="00A04F74" w:rsidRPr="009E35ED">
        <w:rPr>
          <w:rFonts w:ascii="Arial" w:hAnsi="Arial" w:cs="Arial"/>
          <w:color w:val="000000" w:themeColor="text1"/>
          <w:sz w:val="22"/>
          <w:szCs w:val="22"/>
        </w:rPr>
        <w:t>2023</w:t>
      </w:r>
      <w:r w:rsidR="00040A5A" w:rsidRPr="009E35ED">
        <w:rPr>
          <w:rFonts w:ascii="Arial" w:hAnsi="Arial" w:cs="Arial"/>
          <w:color w:val="000000" w:themeColor="text1"/>
          <w:sz w:val="22"/>
          <w:szCs w:val="22"/>
        </w:rPr>
        <w:t>.</w:t>
      </w:r>
    </w:p>
    <w:p w14:paraId="097D954F" w14:textId="534B4C19" w:rsidR="00B848D4" w:rsidRPr="009E35ED" w:rsidRDefault="00B848D4" w:rsidP="00972187">
      <w:pPr>
        <w:ind w:left="0"/>
        <w:rPr>
          <w:rFonts w:ascii="Arial Narrow" w:hAnsi="Arial Narrow" w:cs="Arial"/>
          <w:color w:val="000000" w:themeColor="text1"/>
          <w:sz w:val="22"/>
          <w:szCs w:val="22"/>
        </w:rPr>
      </w:pPr>
    </w:p>
    <w:p w14:paraId="5E008A4F" w14:textId="77777777" w:rsidR="00F96793" w:rsidRPr="009E35ED" w:rsidRDefault="00F96793" w:rsidP="00B90388">
      <w:pPr>
        <w:keepNext/>
        <w:keepLines/>
        <w:numPr>
          <w:ilvl w:val="0"/>
          <w:numId w:val="28"/>
        </w:numPr>
        <w:ind w:left="540" w:hanging="540"/>
        <w:rPr>
          <w:rFonts w:ascii="Arial" w:hAnsi="Arial" w:cs="Arial"/>
          <w:b/>
          <w:color w:val="000000" w:themeColor="text1"/>
          <w:sz w:val="22"/>
          <w:szCs w:val="22"/>
        </w:rPr>
      </w:pPr>
      <w:r w:rsidRPr="009E35ED">
        <w:rPr>
          <w:rFonts w:ascii="Arial" w:hAnsi="Arial" w:cs="Arial"/>
          <w:b/>
          <w:color w:val="000000" w:themeColor="text1"/>
          <w:sz w:val="22"/>
          <w:szCs w:val="22"/>
        </w:rPr>
        <w:t>INCOME</w:t>
      </w:r>
    </w:p>
    <w:p w14:paraId="55C6E9D7" w14:textId="77777777" w:rsidR="00F96793" w:rsidRPr="009E35ED" w:rsidRDefault="00F96793" w:rsidP="00B90388">
      <w:pPr>
        <w:pStyle w:val="ListParagraph"/>
        <w:keepNext/>
        <w:keepLines/>
        <w:rPr>
          <w:rFonts w:ascii="Arial" w:hAnsi="Arial" w:cs="Arial"/>
          <w:color w:val="000000" w:themeColor="text1"/>
          <w:sz w:val="22"/>
          <w:szCs w:val="22"/>
        </w:rPr>
      </w:pPr>
    </w:p>
    <w:p w14:paraId="4B05C195" w14:textId="0E79A5CA" w:rsidR="0091249A" w:rsidRPr="009E35ED" w:rsidRDefault="00F96793" w:rsidP="00B90388">
      <w:pPr>
        <w:keepNext/>
        <w:keepLines/>
        <w:ind w:left="0" w:right="90"/>
        <w:rPr>
          <w:rFonts w:ascii="Arial" w:hAnsi="Arial" w:cs="Arial"/>
          <w:color w:val="000000" w:themeColor="text1"/>
          <w:sz w:val="22"/>
          <w:szCs w:val="22"/>
        </w:rPr>
      </w:pPr>
      <w:r w:rsidRPr="009E35ED">
        <w:rPr>
          <w:rFonts w:ascii="Arial" w:hAnsi="Arial" w:cs="Arial"/>
          <w:color w:val="000000" w:themeColor="text1"/>
          <w:sz w:val="22"/>
          <w:szCs w:val="22"/>
        </w:rPr>
        <w:t xml:space="preserve">The PCSO’s </w:t>
      </w:r>
      <w:r w:rsidR="0091249A" w:rsidRPr="009E35ED">
        <w:rPr>
          <w:rFonts w:ascii="Arial" w:hAnsi="Arial" w:cs="Arial"/>
          <w:color w:val="000000" w:themeColor="text1"/>
          <w:sz w:val="22"/>
          <w:szCs w:val="22"/>
        </w:rPr>
        <w:t>income consists</w:t>
      </w:r>
      <w:r w:rsidRPr="009E35ED">
        <w:rPr>
          <w:rFonts w:ascii="Arial" w:hAnsi="Arial" w:cs="Arial"/>
          <w:color w:val="000000" w:themeColor="text1"/>
          <w:sz w:val="22"/>
          <w:szCs w:val="22"/>
        </w:rPr>
        <w:t xml:space="preserve"> </w:t>
      </w:r>
      <w:r w:rsidR="009D7990">
        <w:rPr>
          <w:rFonts w:ascii="Arial" w:hAnsi="Arial" w:cs="Arial"/>
          <w:color w:val="000000" w:themeColor="text1"/>
          <w:sz w:val="22"/>
          <w:szCs w:val="22"/>
        </w:rPr>
        <w:t xml:space="preserve">the </w:t>
      </w:r>
      <w:r w:rsidR="009D7990" w:rsidRPr="009D7990">
        <w:rPr>
          <w:rFonts w:ascii="Arial" w:hAnsi="Arial" w:cs="Arial"/>
          <w:color w:val="000000" w:themeColor="text1"/>
          <w:sz w:val="22"/>
          <w:szCs w:val="22"/>
        </w:rPr>
        <w:t>following</w:t>
      </w:r>
      <w:r w:rsidRPr="009E35ED">
        <w:rPr>
          <w:rFonts w:ascii="Arial" w:hAnsi="Arial" w:cs="Arial"/>
          <w:color w:val="000000" w:themeColor="text1"/>
          <w:sz w:val="22"/>
          <w:szCs w:val="22"/>
        </w:rPr>
        <w:t>:</w:t>
      </w:r>
    </w:p>
    <w:p w14:paraId="36E06139" w14:textId="206C66B9" w:rsidR="000B76C9" w:rsidRPr="009E35ED" w:rsidRDefault="000B76C9" w:rsidP="00B90388">
      <w:pPr>
        <w:keepNext/>
        <w:keepLines/>
        <w:ind w:left="0"/>
        <w:rPr>
          <w:rFonts w:ascii="Arial" w:hAnsi="Arial" w:cs="Arial"/>
          <w:color w:val="000000" w:themeColor="text1"/>
          <w:sz w:val="22"/>
          <w:szCs w:val="22"/>
        </w:rPr>
      </w:pPr>
    </w:p>
    <w:p w14:paraId="05FDCA9E" w14:textId="044A1397" w:rsidR="00AF33E4" w:rsidRPr="009E35ED" w:rsidRDefault="00AF33E4" w:rsidP="00B90388">
      <w:pPr>
        <w:keepNext/>
        <w:keepLines/>
        <w:ind w:left="0"/>
        <w:rPr>
          <w:rFonts w:ascii="Arial" w:hAnsi="Arial" w:cs="Arial"/>
          <w:b/>
          <w:color w:val="000000" w:themeColor="text1"/>
          <w:sz w:val="22"/>
          <w:szCs w:val="22"/>
        </w:rPr>
      </w:pPr>
      <w:r w:rsidRPr="009E35ED">
        <w:rPr>
          <w:rFonts w:ascii="Arial" w:hAnsi="Arial" w:cs="Arial"/>
          <w:b/>
          <w:color w:val="000000" w:themeColor="text1"/>
          <w:sz w:val="22"/>
          <w:szCs w:val="22"/>
        </w:rPr>
        <w:t>202</w:t>
      </w:r>
      <w:r w:rsidR="003F6162" w:rsidRPr="009E35ED">
        <w:rPr>
          <w:rFonts w:ascii="Arial" w:hAnsi="Arial" w:cs="Arial"/>
          <w:b/>
          <w:color w:val="000000" w:themeColor="text1"/>
          <w:sz w:val="22"/>
          <w:szCs w:val="22"/>
        </w:rPr>
        <w:t>3</w:t>
      </w:r>
    </w:p>
    <w:p w14:paraId="7452B95B" w14:textId="77777777" w:rsidR="00AF33E4" w:rsidRPr="009E35ED" w:rsidRDefault="00AF33E4" w:rsidP="00B90388">
      <w:pPr>
        <w:keepNext/>
        <w:keepLines/>
        <w:ind w:left="0"/>
        <w:rPr>
          <w:rFonts w:ascii="Arial" w:hAnsi="Arial" w:cs="Arial"/>
          <w:b/>
          <w:color w:val="000000" w:themeColor="text1"/>
          <w:sz w:val="22"/>
          <w:szCs w:val="22"/>
        </w:rPr>
      </w:pPr>
    </w:p>
    <w:tbl>
      <w:tblPr>
        <w:tblW w:w="12319" w:type="dxa"/>
        <w:tblLook w:val="04A0" w:firstRow="1" w:lastRow="0" w:firstColumn="1" w:lastColumn="0" w:noHBand="0" w:noVBand="1"/>
      </w:tblPr>
      <w:tblGrid>
        <w:gridCol w:w="276"/>
        <w:gridCol w:w="264"/>
        <w:gridCol w:w="2862"/>
        <w:gridCol w:w="1530"/>
        <w:gridCol w:w="1357"/>
        <w:gridCol w:w="1440"/>
        <w:gridCol w:w="1530"/>
        <w:gridCol w:w="1530"/>
        <w:gridCol w:w="1530"/>
      </w:tblGrid>
      <w:tr w:rsidR="00997F75" w:rsidRPr="009E35ED" w14:paraId="2F631348" w14:textId="77777777" w:rsidTr="00860ED6">
        <w:trPr>
          <w:gridAfter w:val="2"/>
          <w:wAfter w:w="3060" w:type="dxa"/>
          <w:trHeight w:val="203"/>
          <w:tblHeader/>
        </w:trPr>
        <w:tc>
          <w:tcPr>
            <w:tcW w:w="276" w:type="dxa"/>
            <w:tcBorders>
              <w:top w:val="single" w:sz="4" w:space="0" w:color="auto"/>
              <w:left w:val="nil"/>
              <w:bottom w:val="single" w:sz="4" w:space="0" w:color="auto"/>
              <w:right w:val="nil"/>
            </w:tcBorders>
            <w:shd w:val="clear" w:color="auto" w:fill="auto"/>
            <w:noWrap/>
            <w:vAlign w:val="bottom"/>
            <w:hideMark/>
          </w:tcPr>
          <w:p w14:paraId="249DCD79" w14:textId="77777777" w:rsidR="00AF33E4" w:rsidRPr="009E35ED" w:rsidRDefault="00AF33E4" w:rsidP="00B90388">
            <w:pPr>
              <w:keepNext/>
              <w:keepLines/>
              <w:ind w:left="0"/>
              <w:jc w:val="left"/>
              <w:rPr>
                <w:rFonts w:ascii="Arial Narrow" w:hAnsi="Arial Narrow" w:cs="Arial"/>
                <w:color w:val="000000" w:themeColor="text1"/>
                <w:sz w:val="18"/>
                <w:szCs w:val="18"/>
                <w:lang w:val="en-PH" w:eastAsia="en-PH"/>
              </w:rPr>
            </w:pPr>
            <w:r w:rsidRPr="009E35ED">
              <w:rPr>
                <w:rFonts w:ascii="Arial Narrow" w:hAnsi="Arial Narrow" w:cs="Arial"/>
                <w:color w:val="000000" w:themeColor="text1"/>
                <w:sz w:val="18"/>
                <w:szCs w:val="18"/>
                <w:lang w:val="en-PH" w:eastAsia="en-PH"/>
              </w:rPr>
              <w:t> </w:t>
            </w:r>
          </w:p>
        </w:tc>
        <w:tc>
          <w:tcPr>
            <w:tcW w:w="264" w:type="dxa"/>
            <w:tcBorders>
              <w:top w:val="single" w:sz="4" w:space="0" w:color="auto"/>
              <w:left w:val="nil"/>
              <w:bottom w:val="single" w:sz="4" w:space="0" w:color="auto"/>
              <w:right w:val="nil"/>
            </w:tcBorders>
            <w:shd w:val="clear" w:color="auto" w:fill="auto"/>
            <w:noWrap/>
            <w:vAlign w:val="bottom"/>
            <w:hideMark/>
          </w:tcPr>
          <w:p w14:paraId="54E066B5" w14:textId="77777777" w:rsidR="00AF33E4" w:rsidRPr="009E35ED" w:rsidRDefault="00AF33E4" w:rsidP="00B90388">
            <w:pPr>
              <w:keepNext/>
              <w:keepLines/>
              <w:ind w:left="0"/>
              <w:jc w:val="left"/>
              <w:rPr>
                <w:rFonts w:ascii="Arial Narrow" w:hAnsi="Arial Narrow" w:cs="Arial"/>
                <w:color w:val="000000" w:themeColor="text1"/>
                <w:sz w:val="18"/>
                <w:szCs w:val="18"/>
                <w:lang w:val="en-PH" w:eastAsia="en-PH"/>
              </w:rPr>
            </w:pPr>
            <w:r w:rsidRPr="009E35ED">
              <w:rPr>
                <w:rFonts w:ascii="Arial Narrow" w:hAnsi="Arial Narrow" w:cs="Arial"/>
                <w:color w:val="000000" w:themeColor="text1"/>
                <w:sz w:val="18"/>
                <w:szCs w:val="18"/>
                <w:lang w:val="en-PH" w:eastAsia="en-PH"/>
              </w:rPr>
              <w:t> </w:t>
            </w:r>
          </w:p>
        </w:tc>
        <w:tc>
          <w:tcPr>
            <w:tcW w:w="2862" w:type="dxa"/>
            <w:tcBorders>
              <w:top w:val="single" w:sz="4" w:space="0" w:color="auto"/>
              <w:left w:val="nil"/>
              <w:bottom w:val="single" w:sz="4" w:space="0" w:color="auto"/>
              <w:right w:val="nil"/>
            </w:tcBorders>
            <w:shd w:val="clear" w:color="auto" w:fill="auto"/>
            <w:noWrap/>
            <w:vAlign w:val="bottom"/>
            <w:hideMark/>
          </w:tcPr>
          <w:p w14:paraId="3FD12018" w14:textId="77777777" w:rsidR="00AF33E4" w:rsidRPr="009E35ED" w:rsidRDefault="00AF33E4" w:rsidP="00B90388">
            <w:pPr>
              <w:keepNext/>
              <w:keepLines/>
              <w:ind w:left="0"/>
              <w:jc w:val="left"/>
              <w:rPr>
                <w:rFonts w:ascii="Arial Narrow" w:hAnsi="Arial Narrow" w:cs="Arial"/>
                <w:color w:val="000000" w:themeColor="text1"/>
                <w:sz w:val="18"/>
                <w:szCs w:val="18"/>
                <w:lang w:val="en-PH" w:eastAsia="en-PH"/>
              </w:rPr>
            </w:pPr>
            <w:r w:rsidRPr="009E35ED">
              <w:rPr>
                <w:rFonts w:ascii="Arial Narrow" w:hAnsi="Arial Narrow" w:cs="Arial"/>
                <w:color w:val="000000" w:themeColor="text1"/>
                <w:sz w:val="18"/>
                <w:szCs w:val="18"/>
                <w:lang w:val="en-PH" w:eastAsia="en-PH"/>
              </w:rPr>
              <w:t> </w:t>
            </w:r>
          </w:p>
        </w:tc>
        <w:tc>
          <w:tcPr>
            <w:tcW w:w="1530" w:type="dxa"/>
            <w:tcBorders>
              <w:top w:val="single" w:sz="4" w:space="0" w:color="auto"/>
              <w:left w:val="nil"/>
              <w:bottom w:val="single" w:sz="4" w:space="0" w:color="auto"/>
              <w:right w:val="nil"/>
            </w:tcBorders>
            <w:shd w:val="clear" w:color="auto" w:fill="auto"/>
            <w:noWrap/>
            <w:vAlign w:val="bottom"/>
            <w:hideMark/>
          </w:tcPr>
          <w:p w14:paraId="54C9199A" w14:textId="77777777" w:rsidR="00AF33E4" w:rsidRPr="009E35ED" w:rsidRDefault="00AF33E4" w:rsidP="00B90388">
            <w:pPr>
              <w:keepNext/>
              <w:keepLines/>
              <w:ind w:left="0"/>
              <w:jc w:val="right"/>
              <w:rPr>
                <w:rFonts w:ascii="Arial Narrow" w:hAnsi="Arial Narrow" w:cs="Arial"/>
                <w:b/>
                <w:bCs/>
                <w:color w:val="000000" w:themeColor="text1"/>
                <w:sz w:val="18"/>
                <w:szCs w:val="18"/>
                <w:lang w:val="en-PH" w:eastAsia="en-PH"/>
              </w:rPr>
            </w:pPr>
            <w:r w:rsidRPr="009E35ED">
              <w:rPr>
                <w:rFonts w:ascii="Arial Narrow" w:hAnsi="Arial Narrow" w:cs="Arial"/>
                <w:b/>
                <w:bCs/>
                <w:color w:val="000000" w:themeColor="text1"/>
                <w:sz w:val="18"/>
                <w:szCs w:val="18"/>
                <w:lang w:val="en-PH" w:eastAsia="en-PH"/>
              </w:rPr>
              <w:t xml:space="preserve"> Operating </w:t>
            </w:r>
          </w:p>
        </w:tc>
        <w:tc>
          <w:tcPr>
            <w:tcW w:w="1357" w:type="dxa"/>
            <w:tcBorders>
              <w:top w:val="single" w:sz="4" w:space="0" w:color="auto"/>
              <w:left w:val="nil"/>
              <w:bottom w:val="single" w:sz="4" w:space="0" w:color="auto"/>
              <w:right w:val="nil"/>
            </w:tcBorders>
            <w:shd w:val="clear" w:color="auto" w:fill="auto"/>
            <w:noWrap/>
            <w:vAlign w:val="bottom"/>
            <w:hideMark/>
          </w:tcPr>
          <w:p w14:paraId="41E7FD77" w14:textId="77777777" w:rsidR="00AF33E4" w:rsidRPr="009E35ED" w:rsidRDefault="00AF33E4" w:rsidP="00B90388">
            <w:pPr>
              <w:keepNext/>
              <w:keepLines/>
              <w:ind w:left="0"/>
              <w:jc w:val="right"/>
              <w:rPr>
                <w:rFonts w:ascii="Arial Narrow" w:hAnsi="Arial Narrow" w:cs="Arial"/>
                <w:b/>
                <w:bCs/>
                <w:color w:val="000000" w:themeColor="text1"/>
                <w:sz w:val="18"/>
                <w:szCs w:val="18"/>
                <w:lang w:val="en-PH" w:eastAsia="en-PH"/>
              </w:rPr>
            </w:pPr>
            <w:r w:rsidRPr="009E35ED">
              <w:rPr>
                <w:rFonts w:ascii="Arial Narrow" w:hAnsi="Arial Narrow" w:cs="Arial"/>
                <w:b/>
                <w:bCs/>
                <w:color w:val="000000" w:themeColor="text1"/>
                <w:sz w:val="18"/>
                <w:szCs w:val="18"/>
                <w:lang w:val="en-PH" w:eastAsia="en-PH"/>
              </w:rPr>
              <w:t xml:space="preserve"> Charity </w:t>
            </w:r>
          </w:p>
        </w:tc>
        <w:tc>
          <w:tcPr>
            <w:tcW w:w="1440" w:type="dxa"/>
            <w:tcBorders>
              <w:top w:val="single" w:sz="4" w:space="0" w:color="auto"/>
              <w:left w:val="nil"/>
              <w:bottom w:val="single" w:sz="4" w:space="0" w:color="auto"/>
              <w:right w:val="nil"/>
            </w:tcBorders>
            <w:shd w:val="clear" w:color="auto" w:fill="auto"/>
            <w:noWrap/>
            <w:vAlign w:val="bottom"/>
            <w:hideMark/>
          </w:tcPr>
          <w:p w14:paraId="7BF393DF" w14:textId="77777777" w:rsidR="00AF33E4" w:rsidRPr="009E35ED" w:rsidRDefault="00AF33E4" w:rsidP="00B90388">
            <w:pPr>
              <w:keepNext/>
              <w:keepLines/>
              <w:ind w:left="0"/>
              <w:jc w:val="right"/>
              <w:rPr>
                <w:rFonts w:ascii="Arial Narrow" w:hAnsi="Arial Narrow" w:cs="Arial"/>
                <w:b/>
                <w:bCs/>
                <w:color w:val="000000" w:themeColor="text1"/>
                <w:sz w:val="18"/>
                <w:szCs w:val="18"/>
                <w:lang w:val="en-PH" w:eastAsia="en-PH"/>
              </w:rPr>
            </w:pPr>
            <w:r w:rsidRPr="009E35ED">
              <w:rPr>
                <w:rFonts w:ascii="Arial Narrow" w:hAnsi="Arial Narrow" w:cs="Arial"/>
                <w:b/>
                <w:bCs/>
                <w:color w:val="000000" w:themeColor="text1"/>
                <w:sz w:val="18"/>
                <w:szCs w:val="18"/>
                <w:lang w:val="en-PH" w:eastAsia="en-PH"/>
              </w:rPr>
              <w:t xml:space="preserve"> Prize </w:t>
            </w:r>
          </w:p>
        </w:tc>
        <w:tc>
          <w:tcPr>
            <w:tcW w:w="1530" w:type="dxa"/>
            <w:tcBorders>
              <w:top w:val="single" w:sz="4" w:space="0" w:color="auto"/>
              <w:left w:val="nil"/>
              <w:bottom w:val="single" w:sz="4" w:space="0" w:color="auto"/>
              <w:right w:val="nil"/>
            </w:tcBorders>
            <w:shd w:val="clear" w:color="auto" w:fill="auto"/>
            <w:noWrap/>
            <w:vAlign w:val="bottom"/>
            <w:hideMark/>
          </w:tcPr>
          <w:p w14:paraId="4A7CC374" w14:textId="27900377" w:rsidR="00AF33E4" w:rsidRPr="009E35ED" w:rsidRDefault="00AF33E4" w:rsidP="00B90388">
            <w:pPr>
              <w:keepNext/>
              <w:keepLines/>
              <w:ind w:left="0"/>
              <w:jc w:val="right"/>
              <w:rPr>
                <w:rFonts w:ascii="Arial Narrow" w:hAnsi="Arial Narrow" w:cs="Arial"/>
                <w:b/>
                <w:bCs/>
                <w:color w:val="000000" w:themeColor="text1"/>
                <w:sz w:val="18"/>
                <w:szCs w:val="18"/>
                <w:lang w:val="en-PH" w:eastAsia="en-PH"/>
              </w:rPr>
            </w:pPr>
            <w:r w:rsidRPr="009E35ED">
              <w:rPr>
                <w:rFonts w:ascii="Arial Narrow" w:hAnsi="Arial Narrow" w:cs="Arial"/>
                <w:b/>
                <w:bCs/>
                <w:color w:val="000000" w:themeColor="text1"/>
                <w:sz w:val="18"/>
                <w:szCs w:val="18"/>
                <w:lang w:val="en-PH" w:eastAsia="en-PH"/>
              </w:rPr>
              <w:t>202</w:t>
            </w:r>
            <w:r w:rsidR="004A50FD" w:rsidRPr="009E35ED">
              <w:rPr>
                <w:rFonts w:ascii="Arial Narrow" w:hAnsi="Arial Narrow" w:cs="Arial"/>
                <w:b/>
                <w:bCs/>
                <w:color w:val="000000" w:themeColor="text1"/>
                <w:sz w:val="18"/>
                <w:szCs w:val="18"/>
                <w:lang w:val="en-PH" w:eastAsia="en-PH"/>
              </w:rPr>
              <w:t>3</w:t>
            </w:r>
          </w:p>
        </w:tc>
      </w:tr>
      <w:tr w:rsidR="00997F75" w:rsidRPr="009E35ED" w14:paraId="18A5D361" w14:textId="77777777" w:rsidTr="00860ED6">
        <w:trPr>
          <w:gridAfter w:val="2"/>
          <w:wAfter w:w="3060" w:type="dxa"/>
          <w:trHeight w:val="203"/>
        </w:trPr>
        <w:tc>
          <w:tcPr>
            <w:tcW w:w="3402" w:type="dxa"/>
            <w:gridSpan w:val="3"/>
            <w:tcBorders>
              <w:top w:val="nil"/>
              <w:left w:val="nil"/>
              <w:bottom w:val="nil"/>
              <w:right w:val="nil"/>
            </w:tcBorders>
            <w:shd w:val="clear" w:color="auto" w:fill="auto"/>
            <w:noWrap/>
            <w:vAlign w:val="bottom"/>
            <w:hideMark/>
          </w:tcPr>
          <w:p w14:paraId="06E77858" w14:textId="77777777" w:rsidR="00AF33E4" w:rsidRPr="009E35ED" w:rsidRDefault="00AF33E4" w:rsidP="00B90388">
            <w:pPr>
              <w:keepNext/>
              <w:keepLines/>
              <w:ind w:left="0"/>
              <w:jc w:val="left"/>
              <w:rPr>
                <w:rFonts w:ascii="Arial Narrow" w:hAnsi="Arial Narrow" w:cs="Arial"/>
                <w:b/>
                <w:bCs/>
                <w:color w:val="000000" w:themeColor="text1"/>
                <w:sz w:val="18"/>
                <w:szCs w:val="18"/>
                <w:lang w:val="en-PH" w:eastAsia="en-PH"/>
              </w:rPr>
            </w:pPr>
            <w:r w:rsidRPr="009E35ED">
              <w:rPr>
                <w:rFonts w:ascii="Arial Narrow" w:hAnsi="Arial Narrow" w:cs="Arial"/>
                <w:b/>
                <w:bCs/>
                <w:color w:val="000000" w:themeColor="text1"/>
                <w:sz w:val="18"/>
                <w:szCs w:val="18"/>
                <w:lang w:val="en-PH" w:eastAsia="en-PH"/>
              </w:rPr>
              <w:t>Service and Business Income</w:t>
            </w:r>
          </w:p>
        </w:tc>
        <w:tc>
          <w:tcPr>
            <w:tcW w:w="1530" w:type="dxa"/>
            <w:tcBorders>
              <w:top w:val="nil"/>
              <w:left w:val="nil"/>
              <w:bottom w:val="nil"/>
              <w:right w:val="nil"/>
            </w:tcBorders>
            <w:shd w:val="clear" w:color="auto" w:fill="auto"/>
            <w:noWrap/>
            <w:vAlign w:val="bottom"/>
            <w:hideMark/>
          </w:tcPr>
          <w:p w14:paraId="79006A82" w14:textId="77777777" w:rsidR="00AF33E4" w:rsidRPr="009E35ED" w:rsidRDefault="00AF33E4" w:rsidP="00B90388">
            <w:pPr>
              <w:keepNext/>
              <w:keepLines/>
              <w:ind w:left="0"/>
              <w:jc w:val="right"/>
              <w:rPr>
                <w:rFonts w:ascii="Arial Narrow" w:hAnsi="Arial Narrow" w:cs="Arial"/>
                <w:b/>
                <w:bCs/>
                <w:color w:val="000000" w:themeColor="text1"/>
                <w:sz w:val="18"/>
                <w:szCs w:val="18"/>
                <w:lang w:val="en-PH" w:eastAsia="en-PH"/>
              </w:rPr>
            </w:pPr>
          </w:p>
        </w:tc>
        <w:tc>
          <w:tcPr>
            <w:tcW w:w="1357" w:type="dxa"/>
            <w:tcBorders>
              <w:top w:val="nil"/>
              <w:left w:val="nil"/>
              <w:bottom w:val="nil"/>
              <w:right w:val="nil"/>
            </w:tcBorders>
            <w:shd w:val="clear" w:color="auto" w:fill="auto"/>
            <w:noWrap/>
            <w:vAlign w:val="bottom"/>
            <w:hideMark/>
          </w:tcPr>
          <w:p w14:paraId="2002F351" w14:textId="77777777" w:rsidR="00AF33E4" w:rsidRPr="009E35ED" w:rsidRDefault="00AF33E4" w:rsidP="00B90388">
            <w:pPr>
              <w:keepNext/>
              <w:keepLines/>
              <w:ind w:left="0"/>
              <w:jc w:val="right"/>
              <w:rPr>
                <w:rFonts w:ascii="Arial Narrow" w:hAnsi="Arial Narrow"/>
                <w:color w:val="000000" w:themeColor="text1"/>
                <w:sz w:val="18"/>
                <w:szCs w:val="18"/>
                <w:lang w:val="en-PH" w:eastAsia="en-PH"/>
              </w:rPr>
            </w:pPr>
          </w:p>
        </w:tc>
        <w:tc>
          <w:tcPr>
            <w:tcW w:w="1440" w:type="dxa"/>
            <w:tcBorders>
              <w:top w:val="nil"/>
              <w:left w:val="nil"/>
              <w:bottom w:val="nil"/>
              <w:right w:val="nil"/>
            </w:tcBorders>
            <w:shd w:val="clear" w:color="auto" w:fill="auto"/>
            <w:noWrap/>
            <w:vAlign w:val="bottom"/>
            <w:hideMark/>
          </w:tcPr>
          <w:p w14:paraId="2C3D2818" w14:textId="77777777" w:rsidR="00AF33E4" w:rsidRPr="009E35ED" w:rsidRDefault="00AF33E4" w:rsidP="00B90388">
            <w:pPr>
              <w:keepNext/>
              <w:keepLines/>
              <w:ind w:left="0"/>
              <w:jc w:val="right"/>
              <w:rPr>
                <w:rFonts w:ascii="Arial Narrow" w:hAnsi="Arial Narrow"/>
                <w:color w:val="000000" w:themeColor="text1"/>
                <w:sz w:val="18"/>
                <w:szCs w:val="18"/>
                <w:lang w:val="en-PH" w:eastAsia="en-PH"/>
              </w:rPr>
            </w:pPr>
          </w:p>
        </w:tc>
        <w:tc>
          <w:tcPr>
            <w:tcW w:w="1530" w:type="dxa"/>
            <w:tcBorders>
              <w:top w:val="nil"/>
              <w:left w:val="nil"/>
              <w:bottom w:val="nil"/>
              <w:right w:val="nil"/>
            </w:tcBorders>
            <w:shd w:val="clear" w:color="auto" w:fill="auto"/>
            <w:noWrap/>
            <w:vAlign w:val="bottom"/>
            <w:hideMark/>
          </w:tcPr>
          <w:p w14:paraId="4137E700" w14:textId="77777777" w:rsidR="00AF33E4" w:rsidRPr="009E35ED" w:rsidRDefault="00AF33E4" w:rsidP="00B90388">
            <w:pPr>
              <w:keepNext/>
              <w:keepLines/>
              <w:ind w:left="0"/>
              <w:jc w:val="right"/>
              <w:rPr>
                <w:rFonts w:ascii="Arial Narrow" w:hAnsi="Arial Narrow"/>
                <w:color w:val="000000" w:themeColor="text1"/>
                <w:sz w:val="18"/>
                <w:szCs w:val="18"/>
                <w:lang w:val="en-PH" w:eastAsia="en-PH"/>
              </w:rPr>
            </w:pPr>
          </w:p>
        </w:tc>
      </w:tr>
      <w:tr w:rsidR="00997F75" w:rsidRPr="009E35ED" w14:paraId="43A8B720" w14:textId="77777777" w:rsidTr="00860ED6">
        <w:trPr>
          <w:gridAfter w:val="2"/>
          <w:wAfter w:w="3060" w:type="dxa"/>
          <w:trHeight w:val="203"/>
        </w:trPr>
        <w:tc>
          <w:tcPr>
            <w:tcW w:w="276" w:type="dxa"/>
            <w:tcBorders>
              <w:top w:val="nil"/>
              <w:left w:val="nil"/>
              <w:bottom w:val="nil"/>
              <w:right w:val="nil"/>
            </w:tcBorders>
            <w:shd w:val="clear" w:color="auto" w:fill="auto"/>
            <w:noWrap/>
            <w:vAlign w:val="bottom"/>
            <w:hideMark/>
          </w:tcPr>
          <w:p w14:paraId="2CAAE4B1" w14:textId="77777777" w:rsidR="00AF33E4" w:rsidRPr="009E35ED" w:rsidRDefault="00AF33E4" w:rsidP="00B90388">
            <w:pPr>
              <w:keepNext/>
              <w:keepLines/>
              <w:ind w:left="0"/>
              <w:jc w:val="left"/>
              <w:rPr>
                <w:rFonts w:ascii="Arial Narrow" w:hAnsi="Arial Narrow"/>
                <w:color w:val="000000" w:themeColor="text1"/>
                <w:sz w:val="18"/>
                <w:szCs w:val="18"/>
                <w:lang w:val="en-PH" w:eastAsia="en-PH"/>
              </w:rPr>
            </w:pPr>
          </w:p>
        </w:tc>
        <w:tc>
          <w:tcPr>
            <w:tcW w:w="3126" w:type="dxa"/>
            <w:gridSpan w:val="2"/>
            <w:tcBorders>
              <w:top w:val="nil"/>
              <w:left w:val="nil"/>
              <w:bottom w:val="nil"/>
              <w:right w:val="nil"/>
            </w:tcBorders>
            <w:shd w:val="clear" w:color="auto" w:fill="auto"/>
            <w:noWrap/>
            <w:vAlign w:val="bottom"/>
            <w:hideMark/>
          </w:tcPr>
          <w:p w14:paraId="33141379" w14:textId="77777777" w:rsidR="00AF33E4" w:rsidRPr="009E35ED" w:rsidRDefault="00AF33E4" w:rsidP="00B90388">
            <w:pPr>
              <w:keepNext/>
              <w:keepLines/>
              <w:ind w:left="0"/>
              <w:jc w:val="left"/>
              <w:rPr>
                <w:rFonts w:ascii="Arial Narrow" w:hAnsi="Arial Narrow" w:cs="Arial"/>
                <w:b/>
                <w:bCs/>
                <w:color w:val="000000" w:themeColor="text1"/>
                <w:sz w:val="18"/>
                <w:szCs w:val="18"/>
                <w:lang w:val="en-PH" w:eastAsia="en-PH"/>
              </w:rPr>
            </w:pPr>
            <w:r w:rsidRPr="009E35ED">
              <w:rPr>
                <w:rFonts w:ascii="Arial Narrow" w:hAnsi="Arial Narrow" w:cs="Arial"/>
                <w:b/>
                <w:bCs/>
                <w:color w:val="000000" w:themeColor="text1"/>
                <w:sz w:val="18"/>
                <w:szCs w:val="18"/>
                <w:lang w:val="en-PH" w:eastAsia="en-PH"/>
              </w:rPr>
              <w:t>Service Income</w:t>
            </w:r>
          </w:p>
        </w:tc>
        <w:tc>
          <w:tcPr>
            <w:tcW w:w="1530" w:type="dxa"/>
            <w:tcBorders>
              <w:top w:val="nil"/>
              <w:left w:val="nil"/>
              <w:bottom w:val="nil"/>
              <w:right w:val="nil"/>
            </w:tcBorders>
            <w:shd w:val="clear" w:color="auto" w:fill="auto"/>
            <w:noWrap/>
            <w:vAlign w:val="bottom"/>
            <w:hideMark/>
          </w:tcPr>
          <w:p w14:paraId="243BD323" w14:textId="77777777" w:rsidR="00AF33E4" w:rsidRPr="009E35ED" w:rsidRDefault="00AF33E4" w:rsidP="00B90388">
            <w:pPr>
              <w:keepNext/>
              <w:keepLines/>
              <w:ind w:left="0"/>
              <w:jc w:val="right"/>
              <w:rPr>
                <w:rFonts w:ascii="Arial Narrow" w:hAnsi="Arial Narrow" w:cs="Arial"/>
                <w:b/>
                <w:bCs/>
                <w:color w:val="000000" w:themeColor="text1"/>
                <w:sz w:val="18"/>
                <w:szCs w:val="18"/>
                <w:lang w:val="en-PH" w:eastAsia="en-PH"/>
              </w:rPr>
            </w:pPr>
          </w:p>
        </w:tc>
        <w:tc>
          <w:tcPr>
            <w:tcW w:w="1357" w:type="dxa"/>
            <w:tcBorders>
              <w:top w:val="nil"/>
              <w:left w:val="nil"/>
              <w:bottom w:val="nil"/>
              <w:right w:val="nil"/>
            </w:tcBorders>
            <w:shd w:val="clear" w:color="auto" w:fill="auto"/>
            <w:noWrap/>
            <w:vAlign w:val="bottom"/>
            <w:hideMark/>
          </w:tcPr>
          <w:p w14:paraId="261FB8D0" w14:textId="77777777" w:rsidR="00AF33E4" w:rsidRPr="009E35ED" w:rsidRDefault="00AF33E4" w:rsidP="00B90388">
            <w:pPr>
              <w:keepNext/>
              <w:keepLines/>
              <w:ind w:left="0"/>
              <w:jc w:val="right"/>
              <w:rPr>
                <w:rFonts w:ascii="Arial Narrow" w:hAnsi="Arial Narrow"/>
                <w:color w:val="000000" w:themeColor="text1"/>
                <w:sz w:val="18"/>
                <w:szCs w:val="18"/>
                <w:lang w:val="en-PH" w:eastAsia="en-PH"/>
              </w:rPr>
            </w:pPr>
          </w:p>
        </w:tc>
        <w:tc>
          <w:tcPr>
            <w:tcW w:w="1440" w:type="dxa"/>
            <w:tcBorders>
              <w:top w:val="nil"/>
              <w:left w:val="nil"/>
              <w:bottom w:val="nil"/>
              <w:right w:val="nil"/>
            </w:tcBorders>
            <w:shd w:val="clear" w:color="auto" w:fill="auto"/>
            <w:noWrap/>
            <w:vAlign w:val="bottom"/>
            <w:hideMark/>
          </w:tcPr>
          <w:p w14:paraId="2A01C7E6" w14:textId="77777777" w:rsidR="00AF33E4" w:rsidRPr="009E35ED" w:rsidRDefault="00AF33E4" w:rsidP="00B90388">
            <w:pPr>
              <w:keepNext/>
              <w:keepLines/>
              <w:ind w:left="0"/>
              <w:jc w:val="right"/>
              <w:rPr>
                <w:rFonts w:ascii="Arial Narrow" w:hAnsi="Arial Narrow"/>
                <w:color w:val="000000" w:themeColor="text1"/>
                <w:sz w:val="18"/>
                <w:szCs w:val="18"/>
                <w:lang w:val="en-PH" w:eastAsia="en-PH"/>
              </w:rPr>
            </w:pPr>
          </w:p>
        </w:tc>
        <w:tc>
          <w:tcPr>
            <w:tcW w:w="1530" w:type="dxa"/>
            <w:tcBorders>
              <w:top w:val="nil"/>
              <w:left w:val="nil"/>
              <w:bottom w:val="nil"/>
              <w:right w:val="nil"/>
            </w:tcBorders>
            <w:shd w:val="clear" w:color="auto" w:fill="auto"/>
            <w:noWrap/>
            <w:vAlign w:val="bottom"/>
            <w:hideMark/>
          </w:tcPr>
          <w:p w14:paraId="215E8F35" w14:textId="77777777" w:rsidR="00AF33E4" w:rsidRPr="009E35ED" w:rsidRDefault="00AF33E4" w:rsidP="00B90388">
            <w:pPr>
              <w:keepNext/>
              <w:keepLines/>
              <w:ind w:left="0"/>
              <w:jc w:val="right"/>
              <w:rPr>
                <w:rFonts w:ascii="Arial Narrow" w:hAnsi="Arial Narrow"/>
                <w:color w:val="000000" w:themeColor="text1"/>
                <w:sz w:val="18"/>
                <w:szCs w:val="18"/>
                <w:lang w:val="en-PH" w:eastAsia="en-PH"/>
              </w:rPr>
            </w:pPr>
          </w:p>
        </w:tc>
      </w:tr>
      <w:tr w:rsidR="00997F75" w:rsidRPr="009E35ED" w14:paraId="00271653" w14:textId="77777777" w:rsidTr="00860ED6">
        <w:trPr>
          <w:gridAfter w:val="2"/>
          <w:wAfter w:w="3060" w:type="dxa"/>
          <w:trHeight w:val="193"/>
        </w:trPr>
        <w:tc>
          <w:tcPr>
            <w:tcW w:w="276" w:type="dxa"/>
            <w:tcBorders>
              <w:top w:val="nil"/>
              <w:left w:val="nil"/>
              <w:bottom w:val="nil"/>
              <w:right w:val="nil"/>
            </w:tcBorders>
            <w:shd w:val="clear" w:color="auto" w:fill="auto"/>
            <w:noWrap/>
            <w:vAlign w:val="bottom"/>
            <w:hideMark/>
          </w:tcPr>
          <w:p w14:paraId="3A861C6B" w14:textId="77777777" w:rsidR="009C66A2" w:rsidRPr="009E35ED" w:rsidRDefault="009C66A2" w:rsidP="00B90388">
            <w:pPr>
              <w:keepNext/>
              <w:keepLines/>
              <w:ind w:left="0"/>
              <w:jc w:val="left"/>
              <w:rPr>
                <w:rFonts w:ascii="Arial Narrow" w:hAnsi="Arial Narrow"/>
                <w:color w:val="000000" w:themeColor="text1"/>
                <w:sz w:val="18"/>
                <w:szCs w:val="18"/>
                <w:lang w:val="en-PH" w:eastAsia="en-PH"/>
              </w:rPr>
            </w:pPr>
          </w:p>
        </w:tc>
        <w:tc>
          <w:tcPr>
            <w:tcW w:w="264" w:type="dxa"/>
            <w:tcBorders>
              <w:top w:val="nil"/>
              <w:left w:val="nil"/>
              <w:bottom w:val="nil"/>
              <w:right w:val="nil"/>
            </w:tcBorders>
            <w:shd w:val="clear" w:color="auto" w:fill="auto"/>
            <w:noWrap/>
            <w:vAlign w:val="bottom"/>
            <w:hideMark/>
          </w:tcPr>
          <w:p w14:paraId="45FD0DE3" w14:textId="77777777" w:rsidR="009C66A2" w:rsidRPr="009E35ED" w:rsidRDefault="009C66A2" w:rsidP="00B90388">
            <w:pPr>
              <w:keepNext/>
              <w:keepLines/>
              <w:ind w:left="0"/>
              <w:jc w:val="left"/>
              <w:rPr>
                <w:rFonts w:ascii="Arial Narrow" w:hAnsi="Arial Narrow"/>
                <w:color w:val="000000" w:themeColor="text1"/>
                <w:sz w:val="18"/>
                <w:szCs w:val="18"/>
                <w:lang w:val="en-PH" w:eastAsia="en-PH"/>
              </w:rPr>
            </w:pPr>
          </w:p>
        </w:tc>
        <w:tc>
          <w:tcPr>
            <w:tcW w:w="2862" w:type="dxa"/>
            <w:tcBorders>
              <w:top w:val="nil"/>
              <w:left w:val="nil"/>
              <w:bottom w:val="nil"/>
              <w:right w:val="nil"/>
            </w:tcBorders>
            <w:shd w:val="clear" w:color="auto" w:fill="auto"/>
            <w:noWrap/>
            <w:vAlign w:val="bottom"/>
            <w:hideMark/>
          </w:tcPr>
          <w:p w14:paraId="180A8F37" w14:textId="45B454D8" w:rsidR="009C66A2" w:rsidRPr="009E35ED" w:rsidRDefault="009C66A2" w:rsidP="00B90388">
            <w:pPr>
              <w:keepNext/>
              <w:keepLines/>
              <w:ind w:left="0"/>
              <w:jc w:val="left"/>
              <w:rPr>
                <w:rFonts w:ascii="Arial Narrow" w:hAnsi="Arial Narrow" w:cs="Arial"/>
                <w:color w:val="000000" w:themeColor="text1"/>
                <w:sz w:val="18"/>
                <w:szCs w:val="18"/>
                <w:lang w:val="en-PH" w:eastAsia="en-PH"/>
              </w:rPr>
            </w:pPr>
            <w:r w:rsidRPr="009E35ED">
              <w:rPr>
                <w:rFonts w:ascii="Arial Narrow" w:hAnsi="Arial Narrow" w:cs="Arial"/>
                <w:color w:val="000000" w:themeColor="text1"/>
                <w:sz w:val="18"/>
                <w:szCs w:val="18"/>
                <w:lang w:val="en-PH" w:eastAsia="en-PH"/>
              </w:rPr>
              <w:t xml:space="preserve">Processing/Application </w:t>
            </w:r>
            <w:r w:rsidR="00F93FBC">
              <w:rPr>
                <w:rFonts w:ascii="Arial Narrow" w:hAnsi="Arial Narrow" w:cs="Arial"/>
                <w:color w:val="000000" w:themeColor="text1"/>
                <w:sz w:val="18"/>
                <w:szCs w:val="18"/>
                <w:lang w:val="en-PH" w:eastAsia="en-PH"/>
              </w:rPr>
              <w:t>f</w:t>
            </w:r>
            <w:r w:rsidRPr="009E35ED">
              <w:rPr>
                <w:rFonts w:ascii="Arial Narrow" w:hAnsi="Arial Narrow" w:cs="Arial"/>
                <w:color w:val="000000" w:themeColor="text1"/>
                <w:sz w:val="18"/>
                <w:szCs w:val="18"/>
                <w:lang w:val="en-PH" w:eastAsia="en-PH"/>
              </w:rPr>
              <w:t>ee</w:t>
            </w:r>
          </w:p>
        </w:tc>
        <w:tc>
          <w:tcPr>
            <w:tcW w:w="1530" w:type="dxa"/>
            <w:tcBorders>
              <w:top w:val="nil"/>
              <w:left w:val="nil"/>
              <w:bottom w:val="nil"/>
              <w:right w:val="nil"/>
            </w:tcBorders>
            <w:shd w:val="clear" w:color="auto" w:fill="auto"/>
            <w:noWrap/>
            <w:hideMark/>
          </w:tcPr>
          <w:p w14:paraId="6824EAF9" w14:textId="3C66B0EB" w:rsidR="009C66A2" w:rsidRPr="009E35ED" w:rsidRDefault="009C66A2" w:rsidP="00B90388">
            <w:pPr>
              <w:keepNext/>
              <w:keepLines/>
              <w:ind w:left="0"/>
              <w:jc w:val="right"/>
              <w:rPr>
                <w:rFonts w:ascii="Arial Narrow" w:hAnsi="Arial Narrow" w:cs="Arial"/>
                <w:color w:val="000000" w:themeColor="text1"/>
                <w:sz w:val="18"/>
                <w:szCs w:val="18"/>
                <w:lang w:val="en-PH" w:eastAsia="en-PH"/>
              </w:rPr>
            </w:pPr>
            <w:r w:rsidRPr="009E35ED">
              <w:rPr>
                <w:rFonts w:ascii="Arial Narrow" w:hAnsi="Arial Narrow"/>
                <w:color w:val="000000" w:themeColor="text1"/>
                <w:sz w:val="18"/>
                <w:szCs w:val="18"/>
              </w:rPr>
              <w:t xml:space="preserve"> 144,981,805 </w:t>
            </w:r>
          </w:p>
        </w:tc>
        <w:tc>
          <w:tcPr>
            <w:tcW w:w="1357" w:type="dxa"/>
            <w:tcBorders>
              <w:top w:val="nil"/>
              <w:left w:val="nil"/>
              <w:bottom w:val="nil"/>
              <w:right w:val="nil"/>
            </w:tcBorders>
            <w:shd w:val="clear" w:color="auto" w:fill="auto"/>
            <w:noWrap/>
            <w:hideMark/>
          </w:tcPr>
          <w:p w14:paraId="6B5742EC" w14:textId="476C14DF" w:rsidR="009C66A2" w:rsidRPr="009E35ED" w:rsidRDefault="009C66A2" w:rsidP="00B90388">
            <w:pPr>
              <w:keepNext/>
              <w:keepLines/>
              <w:ind w:left="0"/>
              <w:jc w:val="right"/>
              <w:rPr>
                <w:rFonts w:ascii="Arial Narrow" w:hAnsi="Arial Narrow" w:cs="Arial"/>
                <w:color w:val="000000" w:themeColor="text1"/>
                <w:sz w:val="18"/>
                <w:szCs w:val="18"/>
                <w:lang w:val="en-PH" w:eastAsia="en-PH"/>
              </w:rPr>
            </w:pPr>
            <w:r w:rsidRPr="009E35ED">
              <w:rPr>
                <w:rFonts w:ascii="Arial Narrow" w:hAnsi="Arial Narrow" w:cs="Arial"/>
                <w:color w:val="000000" w:themeColor="text1"/>
                <w:sz w:val="18"/>
                <w:szCs w:val="18"/>
                <w:lang w:val="en-PH" w:eastAsia="en-PH"/>
              </w:rPr>
              <w:t>-</w:t>
            </w:r>
          </w:p>
        </w:tc>
        <w:tc>
          <w:tcPr>
            <w:tcW w:w="1440" w:type="dxa"/>
            <w:tcBorders>
              <w:top w:val="nil"/>
              <w:left w:val="nil"/>
              <w:bottom w:val="nil"/>
              <w:right w:val="nil"/>
            </w:tcBorders>
            <w:shd w:val="clear" w:color="auto" w:fill="auto"/>
            <w:noWrap/>
            <w:hideMark/>
          </w:tcPr>
          <w:p w14:paraId="0DAF4A3A" w14:textId="58F05C86" w:rsidR="009C66A2" w:rsidRPr="009E35ED" w:rsidRDefault="009C66A2" w:rsidP="00B90388">
            <w:pPr>
              <w:keepNext/>
              <w:keepLines/>
              <w:ind w:left="0"/>
              <w:jc w:val="right"/>
              <w:rPr>
                <w:rFonts w:ascii="Arial Narrow" w:hAnsi="Arial Narrow"/>
                <w:color w:val="000000" w:themeColor="text1"/>
                <w:sz w:val="18"/>
                <w:szCs w:val="18"/>
                <w:lang w:val="en-PH" w:eastAsia="en-PH"/>
              </w:rPr>
            </w:pPr>
            <w:r w:rsidRPr="009E35ED">
              <w:rPr>
                <w:rFonts w:ascii="Arial Narrow" w:hAnsi="Arial Narrow"/>
                <w:color w:val="000000" w:themeColor="text1"/>
                <w:sz w:val="18"/>
                <w:szCs w:val="18"/>
                <w:lang w:val="en-PH" w:eastAsia="en-PH"/>
              </w:rPr>
              <w:t>-</w:t>
            </w:r>
          </w:p>
        </w:tc>
        <w:tc>
          <w:tcPr>
            <w:tcW w:w="1530" w:type="dxa"/>
            <w:tcBorders>
              <w:top w:val="nil"/>
              <w:left w:val="nil"/>
              <w:bottom w:val="nil"/>
              <w:right w:val="nil"/>
            </w:tcBorders>
            <w:shd w:val="clear" w:color="auto" w:fill="auto"/>
            <w:noWrap/>
            <w:hideMark/>
          </w:tcPr>
          <w:p w14:paraId="18BF5B87" w14:textId="4EA810F9" w:rsidR="009C66A2" w:rsidRPr="009E35ED" w:rsidRDefault="009C66A2" w:rsidP="00B90388">
            <w:pPr>
              <w:keepNext/>
              <w:keepLines/>
              <w:ind w:left="0"/>
              <w:jc w:val="right"/>
              <w:rPr>
                <w:rFonts w:ascii="Arial Narrow" w:hAnsi="Arial Narrow" w:cs="Arial"/>
                <w:color w:val="000000" w:themeColor="text1"/>
                <w:sz w:val="18"/>
                <w:szCs w:val="18"/>
                <w:lang w:val="en-PH" w:eastAsia="en-PH"/>
              </w:rPr>
            </w:pPr>
            <w:r w:rsidRPr="009E35ED">
              <w:rPr>
                <w:rFonts w:ascii="Arial Narrow" w:hAnsi="Arial Narrow"/>
                <w:color w:val="000000" w:themeColor="text1"/>
                <w:sz w:val="18"/>
                <w:szCs w:val="18"/>
              </w:rPr>
              <w:t xml:space="preserve"> 144,981,805 </w:t>
            </w:r>
          </w:p>
        </w:tc>
      </w:tr>
      <w:tr w:rsidR="00997F75" w:rsidRPr="009E35ED" w14:paraId="65CB2413" w14:textId="77777777" w:rsidTr="00860ED6">
        <w:trPr>
          <w:gridAfter w:val="2"/>
          <w:wAfter w:w="3060" w:type="dxa"/>
          <w:trHeight w:val="193"/>
        </w:trPr>
        <w:tc>
          <w:tcPr>
            <w:tcW w:w="276" w:type="dxa"/>
            <w:tcBorders>
              <w:top w:val="nil"/>
              <w:left w:val="nil"/>
              <w:bottom w:val="nil"/>
              <w:right w:val="nil"/>
            </w:tcBorders>
            <w:shd w:val="clear" w:color="auto" w:fill="auto"/>
            <w:noWrap/>
            <w:vAlign w:val="bottom"/>
            <w:hideMark/>
          </w:tcPr>
          <w:p w14:paraId="76901E2E" w14:textId="77777777" w:rsidR="009C66A2" w:rsidRPr="009E35ED" w:rsidRDefault="009C66A2" w:rsidP="00B90388">
            <w:pPr>
              <w:keepNext/>
              <w:keepLines/>
              <w:ind w:left="0"/>
              <w:jc w:val="left"/>
              <w:rPr>
                <w:rFonts w:ascii="Arial Narrow" w:hAnsi="Arial Narrow" w:cs="Arial"/>
                <w:color w:val="000000" w:themeColor="text1"/>
                <w:sz w:val="18"/>
                <w:szCs w:val="18"/>
                <w:lang w:val="en-PH" w:eastAsia="en-PH"/>
              </w:rPr>
            </w:pPr>
          </w:p>
        </w:tc>
        <w:tc>
          <w:tcPr>
            <w:tcW w:w="264" w:type="dxa"/>
            <w:tcBorders>
              <w:top w:val="nil"/>
              <w:left w:val="nil"/>
              <w:bottom w:val="nil"/>
              <w:right w:val="nil"/>
            </w:tcBorders>
            <w:shd w:val="clear" w:color="auto" w:fill="auto"/>
            <w:noWrap/>
            <w:vAlign w:val="bottom"/>
            <w:hideMark/>
          </w:tcPr>
          <w:p w14:paraId="11E2B51D" w14:textId="77777777" w:rsidR="009C66A2" w:rsidRPr="009E35ED" w:rsidRDefault="009C66A2" w:rsidP="00B90388">
            <w:pPr>
              <w:keepNext/>
              <w:keepLines/>
              <w:ind w:left="0"/>
              <w:jc w:val="left"/>
              <w:rPr>
                <w:rFonts w:ascii="Arial Narrow" w:hAnsi="Arial Narrow"/>
                <w:color w:val="000000" w:themeColor="text1"/>
                <w:sz w:val="18"/>
                <w:szCs w:val="18"/>
                <w:lang w:val="en-PH" w:eastAsia="en-PH"/>
              </w:rPr>
            </w:pPr>
          </w:p>
        </w:tc>
        <w:tc>
          <w:tcPr>
            <w:tcW w:w="2862" w:type="dxa"/>
            <w:tcBorders>
              <w:top w:val="nil"/>
              <w:left w:val="nil"/>
              <w:bottom w:val="nil"/>
              <w:right w:val="nil"/>
            </w:tcBorders>
            <w:shd w:val="clear" w:color="auto" w:fill="auto"/>
            <w:noWrap/>
            <w:vAlign w:val="bottom"/>
            <w:hideMark/>
          </w:tcPr>
          <w:p w14:paraId="414AD8B3" w14:textId="393C36B3" w:rsidR="009C66A2" w:rsidRPr="009E35ED" w:rsidRDefault="009C66A2" w:rsidP="00B90388">
            <w:pPr>
              <w:keepNext/>
              <w:keepLines/>
              <w:ind w:left="0"/>
              <w:jc w:val="left"/>
              <w:rPr>
                <w:rFonts w:ascii="Arial Narrow" w:hAnsi="Arial Narrow" w:cs="Arial"/>
                <w:color w:val="000000" w:themeColor="text1"/>
                <w:sz w:val="18"/>
                <w:szCs w:val="18"/>
                <w:lang w:val="en-PH" w:eastAsia="en-PH"/>
              </w:rPr>
            </w:pPr>
            <w:r w:rsidRPr="009E35ED">
              <w:rPr>
                <w:rFonts w:ascii="Arial Narrow" w:hAnsi="Arial Narrow" w:cs="Arial"/>
                <w:color w:val="000000" w:themeColor="text1"/>
                <w:sz w:val="18"/>
                <w:szCs w:val="18"/>
                <w:lang w:val="en-PH" w:eastAsia="en-PH"/>
              </w:rPr>
              <w:t xml:space="preserve">Other </w:t>
            </w:r>
            <w:r w:rsidR="00F93FBC">
              <w:rPr>
                <w:rFonts w:ascii="Arial Narrow" w:hAnsi="Arial Narrow" w:cs="Arial"/>
                <w:color w:val="000000" w:themeColor="text1"/>
                <w:sz w:val="18"/>
                <w:szCs w:val="18"/>
                <w:lang w:val="en-PH" w:eastAsia="en-PH"/>
              </w:rPr>
              <w:t>s</w:t>
            </w:r>
            <w:r w:rsidRPr="009E35ED">
              <w:rPr>
                <w:rFonts w:ascii="Arial Narrow" w:hAnsi="Arial Narrow" w:cs="Arial"/>
                <w:color w:val="000000" w:themeColor="text1"/>
                <w:sz w:val="18"/>
                <w:szCs w:val="18"/>
                <w:lang w:val="en-PH" w:eastAsia="en-PH"/>
              </w:rPr>
              <w:t xml:space="preserve">ervice </w:t>
            </w:r>
            <w:r w:rsidR="00F93FBC">
              <w:rPr>
                <w:rFonts w:ascii="Arial Narrow" w:hAnsi="Arial Narrow" w:cs="Arial"/>
                <w:color w:val="000000" w:themeColor="text1"/>
                <w:sz w:val="18"/>
                <w:szCs w:val="18"/>
                <w:lang w:val="en-PH" w:eastAsia="en-PH"/>
              </w:rPr>
              <w:t>i</w:t>
            </w:r>
            <w:r w:rsidRPr="009E35ED">
              <w:rPr>
                <w:rFonts w:ascii="Arial Narrow" w:hAnsi="Arial Narrow" w:cs="Arial"/>
                <w:color w:val="000000" w:themeColor="text1"/>
                <w:sz w:val="18"/>
                <w:szCs w:val="18"/>
                <w:lang w:val="en-PH" w:eastAsia="en-PH"/>
              </w:rPr>
              <w:t>ncome</w:t>
            </w:r>
          </w:p>
        </w:tc>
        <w:tc>
          <w:tcPr>
            <w:tcW w:w="1530" w:type="dxa"/>
            <w:tcBorders>
              <w:top w:val="nil"/>
              <w:left w:val="nil"/>
              <w:bottom w:val="nil"/>
              <w:right w:val="nil"/>
            </w:tcBorders>
            <w:shd w:val="clear" w:color="auto" w:fill="auto"/>
            <w:noWrap/>
            <w:hideMark/>
          </w:tcPr>
          <w:p w14:paraId="6F682996" w14:textId="2C8150B1" w:rsidR="009C66A2" w:rsidRPr="009E35ED" w:rsidRDefault="009C66A2" w:rsidP="00B90388">
            <w:pPr>
              <w:keepNext/>
              <w:keepLines/>
              <w:ind w:left="0"/>
              <w:jc w:val="right"/>
              <w:rPr>
                <w:rFonts w:ascii="Arial Narrow" w:hAnsi="Arial Narrow" w:cs="Arial"/>
                <w:color w:val="000000" w:themeColor="text1"/>
                <w:sz w:val="18"/>
                <w:szCs w:val="18"/>
                <w:lang w:val="en-PH" w:eastAsia="en-PH"/>
              </w:rPr>
            </w:pPr>
            <w:r w:rsidRPr="009E35ED">
              <w:rPr>
                <w:rFonts w:ascii="Arial Narrow" w:hAnsi="Arial Narrow"/>
                <w:color w:val="000000" w:themeColor="text1"/>
                <w:sz w:val="18"/>
                <w:szCs w:val="18"/>
              </w:rPr>
              <w:t xml:space="preserve"> 7,422,920 </w:t>
            </w:r>
          </w:p>
        </w:tc>
        <w:tc>
          <w:tcPr>
            <w:tcW w:w="1357" w:type="dxa"/>
            <w:tcBorders>
              <w:top w:val="nil"/>
              <w:left w:val="nil"/>
              <w:bottom w:val="nil"/>
              <w:right w:val="nil"/>
            </w:tcBorders>
            <w:shd w:val="clear" w:color="auto" w:fill="auto"/>
            <w:noWrap/>
            <w:hideMark/>
          </w:tcPr>
          <w:p w14:paraId="0A10422D" w14:textId="5147E649" w:rsidR="009C66A2" w:rsidRPr="009E35ED" w:rsidRDefault="009C66A2" w:rsidP="00B90388">
            <w:pPr>
              <w:keepNext/>
              <w:keepLines/>
              <w:ind w:left="0"/>
              <w:jc w:val="right"/>
              <w:rPr>
                <w:rFonts w:ascii="Arial Narrow" w:hAnsi="Arial Narrow" w:cs="Arial"/>
                <w:color w:val="000000" w:themeColor="text1"/>
                <w:sz w:val="18"/>
                <w:szCs w:val="18"/>
                <w:lang w:val="en-PH" w:eastAsia="en-PH"/>
              </w:rPr>
            </w:pPr>
            <w:r w:rsidRPr="009E35ED">
              <w:rPr>
                <w:rFonts w:ascii="Arial Narrow" w:hAnsi="Arial Narrow" w:cs="Arial"/>
                <w:color w:val="000000" w:themeColor="text1"/>
                <w:sz w:val="18"/>
                <w:szCs w:val="18"/>
                <w:lang w:val="en-PH" w:eastAsia="en-PH"/>
              </w:rPr>
              <w:t>-</w:t>
            </w:r>
          </w:p>
        </w:tc>
        <w:tc>
          <w:tcPr>
            <w:tcW w:w="1440" w:type="dxa"/>
            <w:tcBorders>
              <w:top w:val="nil"/>
              <w:left w:val="nil"/>
              <w:bottom w:val="nil"/>
              <w:right w:val="nil"/>
            </w:tcBorders>
            <w:shd w:val="clear" w:color="auto" w:fill="auto"/>
            <w:noWrap/>
            <w:hideMark/>
          </w:tcPr>
          <w:p w14:paraId="2CC7745E" w14:textId="489B7730" w:rsidR="009C66A2" w:rsidRPr="009E35ED" w:rsidRDefault="009C66A2" w:rsidP="00B90388">
            <w:pPr>
              <w:keepNext/>
              <w:keepLines/>
              <w:ind w:left="0"/>
              <w:jc w:val="right"/>
              <w:rPr>
                <w:rFonts w:ascii="Arial Narrow" w:hAnsi="Arial Narrow"/>
                <w:color w:val="000000" w:themeColor="text1"/>
                <w:sz w:val="18"/>
                <w:szCs w:val="18"/>
                <w:lang w:val="en-PH" w:eastAsia="en-PH"/>
              </w:rPr>
            </w:pPr>
            <w:r w:rsidRPr="009E35ED">
              <w:rPr>
                <w:rFonts w:ascii="Arial Narrow" w:hAnsi="Arial Narrow"/>
                <w:color w:val="000000" w:themeColor="text1"/>
                <w:sz w:val="18"/>
                <w:szCs w:val="18"/>
                <w:lang w:val="en-PH" w:eastAsia="en-PH"/>
              </w:rPr>
              <w:t>-</w:t>
            </w:r>
          </w:p>
        </w:tc>
        <w:tc>
          <w:tcPr>
            <w:tcW w:w="1530" w:type="dxa"/>
            <w:tcBorders>
              <w:top w:val="nil"/>
              <w:left w:val="nil"/>
              <w:bottom w:val="nil"/>
              <w:right w:val="nil"/>
            </w:tcBorders>
            <w:shd w:val="clear" w:color="auto" w:fill="auto"/>
            <w:noWrap/>
            <w:hideMark/>
          </w:tcPr>
          <w:p w14:paraId="7AC80094" w14:textId="37BBDFF8" w:rsidR="009C66A2" w:rsidRPr="009E35ED" w:rsidRDefault="009C66A2" w:rsidP="00B90388">
            <w:pPr>
              <w:keepNext/>
              <w:keepLines/>
              <w:ind w:left="0"/>
              <w:jc w:val="right"/>
              <w:rPr>
                <w:rFonts w:ascii="Arial Narrow" w:hAnsi="Arial Narrow" w:cs="Arial"/>
                <w:color w:val="000000" w:themeColor="text1"/>
                <w:sz w:val="18"/>
                <w:szCs w:val="18"/>
                <w:lang w:val="en-PH" w:eastAsia="en-PH"/>
              </w:rPr>
            </w:pPr>
            <w:r w:rsidRPr="009E35ED">
              <w:rPr>
                <w:rFonts w:ascii="Arial Narrow" w:hAnsi="Arial Narrow"/>
                <w:color w:val="000000" w:themeColor="text1"/>
                <w:sz w:val="18"/>
                <w:szCs w:val="18"/>
              </w:rPr>
              <w:t xml:space="preserve"> 7,422,920 </w:t>
            </w:r>
          </w:p>
        </w:tc>
      </w:tr>
      <w:tr w:rsidR="00997F75" w:rsidRPr="009E35ED" w14:paraId="1FFD1D01" w14:textId="77777777" w:rsidTr="00860ED6">
        <w:trPr>
          <w:gridAfter w:val="2"/>
          <w:wAfter w:w="3060" w:type="dxa"/>
          <w:trHeight w:val="203"/>
        </w:trPr>
        <w:tc>
          <w:tcPr>
            <w:tcW w:w="276" w:type="dxa"/>
            <w:tcBorders>
              <w:top w:val="single" w:sz="4" w:space="0" w:color="auto"/>
              <w:left w:val="nil"/>
              <w:bottom w:val="single" w:sz="4" w:space="0" w:color="auto"/>
              <w:right w:val="nil"/>
            </w:tcBorders>
            <w:shd w:val="clear" w:color="auto" w:fill="auto"/>
            <w:noWrap/>
            <w:vAlign w:val="bottom"/>
            <w:hideMark/>
          </w:tcPr>
          <w:p w14:paraId="3D33E5E9" w14:textId="77777777" w:rsidR="009C66A2" w:rsidRPr="009E35ED" w:rsidRDefault="009C66A2" w:rsidP="00B90388">
            <w:pPr>
              <w:keepNext/>
              <w:keepLines/>
              <w:ind w:left="0"/>
              <w:jc w:val="left"/>
              <w:rPr>
                <w:rFonts w:ascii="Arial Narrow" w:hAnsi="Arial Narrow" w:cs="Arial"/>
                <w:b/>
                <w:color w:val="000000" w:themeColor="text1"/>
                <w:sz w:val="18"/>
                <w:szCs w:val="18"/>
                <w:lang w:val="en-PH" w:eastAsia="en-PH"/>
              </w:rPr>
            </w:pPr>
            <w:r w:rsidRPr="009E35ED">
              <w:rPr>
                <w:rFonts w:ascii="Arial Narrow" w:hAnsi="Arial Narrow" w:cs="Arial"/>
                <w:b/>
                <w:color w:val="000000" w:themeColor="text1"/>
                <w:sz w:val="18"/>
                <w:szCs w:val="18"/>
                <w:lang w:val="en-PH" w:eastAsia="en-PH"/>
              </w:rPr>
              <w:t> </w:t>
            </w:r>
          </w:p>
        </w:tc>
        <w:tc>
          <w:tcPr>
            <w:tcW w:w="264" w:type="dxa"/>
            <w:tcBorders>
              <w:top w:val="single" w:sz="4" w:space="0" w:color="auto"/>
              <w:left w:val="nil"/>
              <w:bottom w:val="single" w:sz="4" w:space="0" w:color="auto"/>
              <w:right w:val="nil"/>
            </w:tcBorders>
            <w:shd w:val="clear" w:color="auto" w:fill="auto"/>
            <w:noWrap/>
            <w:vAlign w:val="bottom"/>
            <w:hideMark/>
          </w:tcPr>
          <w:p w14:paraId="0B0802E6" w14:textId="77777777" w:rsidR="009C66A2" w:rsidRPr="009E35ED" w:rsidRDefault="009C66A2" w:rsidP="00B90388">
            <w:pPr>
              <w:keepNext/>
              <w:keepLines/>
              <w:ind w:left="0"/>
              <w:jc w:val="left"/>
              <w:rPr>
                <w:rFonts w:ascii="Arial Narrow" w:hAnsi="Arial Narrow" w:cs="Arial"/>
                <w:b/>
                <w:color w:val="000000" w:themeColor="text1"/>
                <w:sz w:val="18"/>
                <w:szCs w:val="18"/>
                <w:lang w:val="en-PH" w:eastAsia="en-PH"/>
              </w:rPr>
            </w:pPr>
            <w:r w:rsidRPr="009E35ED">
              <w:rPr>
                <w:rFonts w:ascii="Arial Narrow" w:hAnsi="Arial Narrow" w:cs="Arial"/>
                <w:b/>
                <w:color w:val="000000" w:themeColor="text1"/>
                <w:sz w:val="18"/>
                <w:szCs w:val="18"/>
                <w:lang w:val="en-PH" w:eastAsia="en-PH"/>
              </w:rPr>
              <w:t> </w:t>
            </w:r>
          </w:p>
        </w:tc>
        <w:tc>
          <w:tcPr>
            <w:tcW w:w="2862" w:type="dxa"/>
            <w:tcBorders>
              <w:top w:val="single" w:sz="4" w:space="0" w:color="auto"/>
              <w:left w:val="nil"/>
              <w:bottom w:val="single" w:sz="4" w:space="0" w:color="auto"/>
              <w:right w:val="nil"/>
            </w:tcBorders>
            <w:shd w:val="clear" w:color="auto" w:fill="auto"/>
            <w:noWrap/>
            <w:vAlign w:val="bottom"/>
            <w:hideMark/>
          </w:tcPr>
          <w:p w14:paraId="4D63F092" w14:textId="77777777" w:rsidR="009C66A2" w:rsidRPr="009E35ED" w:rsidRDefault="009C66A2" w:rsidP="00B90388">
            <w:pPr>
              <w:keepNext/>
              <w:keepLines/>
              <w:ind w:left="0"/>
              <w:jc w:val="left"/>
              <w:rPr>
                <w:rFonts w:ascii="Arial Narrow" w:hAnsi="Arial Narrow" w:cs="Arial"/>
                <w:b/>
                <w:bCs/>
                <w:color w:val="000000" w:themeColor="text1"/>
                <w:sz w:val="18"/>
                <w:szCs w:val="18"/>
                <w:lang w:val="en-PH" w:eastAsia="en-PH"/>
              </w:rPr>
            </w:pPr>
            <w:r w:rsidRPr="009E35ED">
              <w:rPr>
                <w:rFonts w:ascii="Arial Narrow" w:hAnsi="Arial Narrow" w:cs="Arial"/>
                <w:b/>
                <w:bCs/>
                <w:color w:val="000000" w:themeColor="text1"/>
                <w:sz w:val="18"/>
                <w:szCs w:val="18"/>
                <w:lang w:val="en-PH" w:eastAsia="en-PH"/>
              </w:rPr>
              <w:t>Total Service Income</w:t>
            </w:r>
          </w:p>
        </w:tc>
        <w:tc>
          <w:tcPr>
            <w:tcW w:w="1530" w:type="dxa"/>
            <w:tcBorders>
              <w:top w:val="single" w:sz="4" w:space="0" w:color="auto"/>
              <w:left w:val="nil"/>
              <w:bottom w:val="single" w:sz="4" w:space="0" w:color="auto"/>
              <w:right w:val="nil"/>
            </w:tcBorders>
            <w:shd w:val="clear" w:color="auto" w:fill="auto"/>
            <w:noWrap/>
            <w:hideMark/>
          </w:tcPr>
          <w:p w14:paraId="0E10E1AA" w14:textId="6A7FC384" w:rsidR="009C66A2" w:rsidRPr="009E35ED" w:rsidRDefault="009C66A2" w:rsidP="00B90388">
            <w:pPr>
              <w:keepNext/>
              <w:keepLines/>
              <w:ind w:left="0"/>
              <w:jc w:val="right"/>
              <w:rPr>
                <w:rFonts w:ascii="Arial Narrow" w:hAnsi="Arial Narrow" w:cs="Arial"/>
                <w:b/>
                <w:bCs/>
                <w:color w:val="000000" w:themeColor="text1"/>
                <w:sz w:val="18"/>
                <w:szCs w:val="18"/>
                <w:lang w:val="en-PH" w:eastAsia="en-PH"/>
              </w:rPr>
            </w:pPr>
            <w:r w:rsidRPr="009E35ED">
              <w:rPr>
                <w:rFonts w:ascii="Arial Narrow" w:hAnsi="Arial Narrow"/>
                <w:color w:val="000000" w:themeColor="text1"/>
                <w:sz w:val="18"/>
                <w:szCs w:val="18"/>
              </w:rPr>
              <w:t xml:space="preserve"> 152,404,725 </w:t>
            </w:r>
          </w:p>
        </w:tc>
        <w:tc>
          <w:tcPr>
            <w:tcW w:w="1357" w:type="dxa"/>
            <w:tcBorders>
              <w:top w:val="single" w:sz="4" w:space="0" w:color="auto"/>
              <w:left w:val="nil"/>
              <w:bottom w:val="single" w:sz="4" w:space="0" w:color="auto"/>
              <w:right w:val="nil"/>
            </w:tcBorders>
            <w:shd w:val="clear" w:color="auto" w:fill="auto"/>
            <w:noWrap/>
            <w:hideMark/>
          </w:tcPr>
          <w:p w14:paraId="38ADFB51" w14:textId="60AD928B" w:rsidR="009C66A2" w:rsidRPr="009E35ED" w:rsidRDefault="009C66A2" w:rsidP="00B90388">
            <w:pPr>
              <w:keepNext/>
              <w:keepLines/>
              <w:ind w:left="0"/>
              <w:jc w:val="right"/>
              <w:rPr>
                <w:rFonts w:ascii="Arial Narrow" w:hAnsi="Arial Narrow" w:cs="Arial"/>
                <w:b/>
                <w:bCs/>
                <w:color w:val="000000" w:themeColor="text1"/>
                <w:sz w:val="18"/>
                <w:szCs w:val="18"/>
                <w:lang w:val="en-PH" w:eastAsia="en-PH"/>
              </w:rPr>
            </w:pPr>
            <w:r w:rsidRPr="009E35ED">
              <w:rPr>
                <w:rFonts w:ascii="Arial Narrow" w:hAnsi="Arial Narrow"/>
                <w:b/>
                <w:color w:val="000000" w:themeColor="text1"/>
                <w:sz w:val="18"/>
                <w:szCs w:val="18"/>
              </w:rPr>
              <w:t xml:space="preserve"> -   </w:t>
            </w:r>
          </w:p>
        </w:tc>
        <w:tc>
          <w:tcPr>
            <w:tcW w:w="1440" w:type="dxa"/>
            <w:tcBorders>
              <w:top w:val="single" w:sz="4" w:space="0" w:color="auto"/>
              <w:left w:val="nil"/>
              <w:bottom w:val="single" w:sz="4" w:space="0" w:color="auto"/>
              <w:right w:val="nil"/>
            </w:tcBorders>
            <w:shd w:val="clear" w:color="auto" w:fill="auto"/>
            <w:noWrap/>
            <w:hideMark/>
          </w:tcPr>
          <w:p w14:paraId="058F33FC" w14:textId="70D41191" w:rsidR="009C66A2" w:rsidRPr="009E35ED" w:rsidRDefault="009C66A2" w:rsidP="00B90388">
            <w:pPr>
              <w:keepNext/>
              <w:keepLines/>
              <w:ind w:left="0"/>
              <w:jc w:val="right"/>
              <w:rPr>
                <w:rFonts w:ascii="Arial Narrow" w:hAnsi="Arial Narrow" w:cs="Arial"/>
                <w:b/>
                <w:bCs/>
                <w:color w:val="000000" w:themeColor="text1"/>
                <w:sz w:val="18"/>
                <w:szCs w:val="18"/>
                <w:lang w:val="en-PH" w:eastAsia="en-PH"/>
              </w:rPr>
            </w:pPr>
            <w:r w:rsidRPr="009E35ED">
              <w:rPr>
                <w:rFonts w:ascii="Arial Narrow" w:hAnsi="Arial Narrow"/>
                <w:b/>
                <w:color w:val="000000" w:themeColor="text1"/>
                <w:sz w:val="18"/>
                <w:szCs w:val="18"/>
              </w:rPr>
              <w:t xml:space="preserve"> -   </w:t>
            </w:r>
          </w:p>
        </w:tc>
        <w:tc>
          <w:tcPr>
            <w:tcW w:w="1530" w:type="dxa"/>
            <w:tcBorders>
              <w:top w:val="single" w:sz="4" w:space="0" w:color="auto"/>
              <w:left w:val="nil"/>
              <w:bottom w:val="single" w:sz="4" w:space="0" w:color="auto"/>
              <w:right w:val="nil"/>
            </w:tcBorders>
            <w:shd w:val="clear" w:color="auto" w:fill="auto"/>
            <w:noWrap/>
            <w:hideMark/>
          </w:tcPr>
          <w:p w14:paraId="61CA110D" w14:textId="3C1BBCBA" w:rsidR="009C66A2" w:rsidRPr="009E35ED" w:rsidRDefault="009C66A2" w:rsidP="00B90388">
            <w:pPr>
              <w:keepNext/>
              <w:keepLines/>
              <w:ind w:left="0"/>
              <w:jc w:val="right"/>
              <w:rPr>
                <w:rFonts w:ascii="Arial Narrow" w:hAnsi="Arial Narrow" w:cs="Arial"/>
                <w:b/>
                <w:bCs/>
                <w:color w:val="000000" w:themeColor="text1"/>
                <w:sz w:val="18"/>
                <w:szCs w:val="18"/>
                <w:lang w:val="en-PH" w:eastAsia="en-PH"/>
              </w:rPr>
            </w:pPr>
            <w:r w:rsidRPr="009E35ED">
              <w:rPr>
                <w:rFonts w:ascii="Arial Narrow" w:hAnsi="Arial Narrow"/>
                <w:color w:val="000000" w:themeColor="text1"/>
                <w:sz w:val="18"/>
                <w:szCs w:val="18"/>
              </w:rPr>
              <w:t xml:space="preserve"> 152,404,725 </w:t>
            </w:r>
          </w:p>
        </w:tc>
      </w:tr>
      <w:tr w:rsidR="00997F75" w:rsidRPr="009E35ED" w14:paraId="3C0AA5BB" w14:textId="77777777" w:rsidTr="00860ED6">
        <w:trPr>
          <w:gridAfter w:val="2"/>
          <w:wAfter w:w="3060" w:type="dxa"/>
          <w:trHeight w:val="203"/>
        </w:trPr>
        <w:tc>
          <w:tcPr>
            <w:tcW w:w="276" w:type="dxa"/>
            <w:tcBorders>
              <w:top w:val="nil"/>
              <w:left w:val="nil"/>
              <w:bottom w:val="nil"/>
              <w:right w:val="nil"/>
            </w:tcBorders>
            <w:shd w:val="clear" w:color="auto" w:fill="auto"/>
            <w:noWrap/>
            <w:vAlign w:val="bottom"/>
            <w:hideMark/>
          </w:tcPr>
          <w:p w14:paraId="4C4E7DD0" w14:textId="77777777" w:rsidR="00AF33E4" w:rsidRPr="009E35ED" w:rsidRDefault="00AF33E4" w:rsidP="00B90388">
            <w:pPr>
              <w:keepNext/>
              <w:keepLines/>
              <w:ind w:left="0"/>
              <w:jc w:val="left"/>
              <w:rPr>
                <w:rFonts w:ascii="Arial Narrow" w:hAnsi="Arial Narrow" w:cs="Arial"/>
                <w:b/>
                <w:bCs/>
                <w:color w:val="000000" w:themeColor="text1"/>
                <w:sz w:val="18"/>
                <w:szCs w:val="18"/>
                <w:lang w:val="en-PH" w:eastAsia="en-PH"/>
              </w:rPr>
            </w:pPr>
          </w:p>
        </w:tc>
        <w:tc>
          <w:tcPr>
            <w:tcW w:w="264" w:type="dxa"/>
            <w:tcBorders>
              <w:top w:val="nil"/>
              <w:left w:val="nil"/>
              <w:bottom w:val="nil"/>
              <w:right w:val="nil"/>
            </w:tcBorders>
            <w:shd w:val="clear" w:color="auto" w:fill="auto"/>
            <w:noWrap/>
            <w:vAlign w:val="bottom"/>
            <w:hideMark/>
          </w:tcPr>
          <w:p w14:paraId="7A3D7537" w14:textId="77777777" w:rsidR="00AF33E4" w:rsidRPr="009E35ED" w:rsidRDefault="00AF33E4" w:rsidP="00B90388">
            <w:pPr>
              <w:keepNext/>
              <w:keepLines/>
              <w:ind w:left="0"/>
              <w:jc w:val="left"/>
              <w:rPr>
                <w:rFonts w:ascii="Arial Narrow" w:hAnsi="Arial Narrow"/>
                <w:color w:val="000000" w:themeColor="text1"/>
                <w:sz w:val="18"/>
                <w:szCs w:val="18"/>
                <w:lang w:val="en-PH" w:eastAsia="en-PH"/>
              </w:rPr>
            </w:pPr>
          </w:p>
        </w:tc>
        <w:tc>
          <w:tcPr>
            <w:tcW w:w="2862" w:type="dxa"/>
            <w:tcBorders>
              <w:top w:val="nil"/>
              <w:left w:val="nil"/>
              <w:bottom w:val="nil"/>
              <w:right w:val="nil"/>
            </w:tcBorders>
            <w:shd w:val="clear" w:color="auto" w:fill="auto"/>
            <w:noWrap/>
            <w:vAlign w:val="bottom"/>
            <w:hideMark/>
          </w:tcPr>
          <w:p w14:paraId="22C6CB53" w14:textId="77777777" w:rsidR="00AF33E4" w:rsidRPr="009E35ED" w:rsidRDefault="00AF33E4" w:rsidP="00B90388">
            <w:pPr>
              <w:keepNext/>
              <w:keepLines/>
              <w:ind w:left="0"/>
              <w:jc w:val="left"/>
              <w:rPr>
                <w:rFonts w:ascii="Arial Narrow" w:hAnsi="Arial Narrow"/>
                <w:color w:val="000000" w:themeColor="text1"/>
                <w:sz w:val="18"/>
                <w:szCs w:val="18"/>
                <w:lang w:val="en-PH" w:eastAsia="en-PH"/>
              </w:rPr>
            </w:pPr>
          </w:p>
        </w:tc>
        <w:tc>
          <w:tcPr>
            <w:tcW w:w="1530" w:type="dxa"/>
            <w:tcBorders>
              <w:top w:val="nil"/>
              <w:left w:val="nil"/>
              <w:bottom w:val="nil"/>
              <w:right w:val="nil"/>
            </w:tcBorders>
            <w:shd w:val="clear" w:color="auto" w:fill="auto"/>
            <w:noWrap/>
            <w:hideMark/>
          </w:tcPr>
          <w:p w14:paraId="3F72EADF" w14:textId="77777777" w:rsidR="00AF33E4" w:rsidRPr="009E35ED" w:rsidRDefault="00AF33E4" w:rsidP="00B90388">
            <w:pPr>
              <w:keepNext/>
              <w:keepLines/>
              <w:ind w:left="0"/>
              <w:jc w:val="right"/>
              <w:rPr>
                <w:rFonts w:ascii="Arial Narrow" w:hAnsi="Arial Narrow"/>
                <w:color w:val="000000" w:themeColor="text1"/>
                <w:sz w:val="22"/>
                <w:szCs w:val="22"/>
                <w:lang w:val="en-PH" w:eastAsia="en-PH"/>
              </w:rPr>
            </w:pPr>
          </w:p>
        </w:tc>
        <w:tc>
          <w:tcPr>
            <w:tcW w:w="1357" w:type="dxa"/>
            <w:tcBorders>
              <w:top w:val="nil"/>
              <w:left w:val="nil"/>
              <w:bottom w:val="nil"/>
              <w:right w:val="nil"/>
            </w:tcBorders>
            <w:shd w:val="clear" w:color="auto" w:fill="auto"/>
            <w:noWrap/>
            <w:hideMark/>
          </w:tcPr>
          <w:p w14:paraId="36A93DEF" w14:textId="77777777" w:rsidR="00AF33E4" w:rsidRPr="009E35ED" w:rsidRDefault="00AF33E4" w:rsidP="00B90388">
            <w:pPr>
              <w:keepNext/>
              <w:keepLines/>
              <w:ind w:left="0"/>
              <w:jc w:val="right"/>
              <w:rPr>
                <w:rFonts w:ascii="Arial Narrow" w:hAnsi="Arial Narrow"/>
                <w:color w:val="000000" w:themeColor="text1"/>
                <w:sz w:val="22"/>
                <w:szCs w:val="22"/>
                <w:lang w:val="en-PH" w:eastAsia="en-PH"/>
              </w:rPr>
            </w:pPr>
          </w:p>
        </w:tc>
        <w:tc>
          <w:tcPr>
            <w:tcW w:w="1440" w:type="dxa"/>
            <w:tcBorders>
              <w:top w:val="nil"/>
              <w:left w:val="nil"/>
              <w:bottom w:val="nil"/>
              <w:right w:val="nil"/>
            </w:tcBorders>
            <w:shd w:val="clear" w:color="auto" w:fill="auto"/>
            <w:noWrap/>
            <w:hideMark/>
          </w:tcPr>
          <w:p w14:paraId="15B9DA43" w14:textId="77777777" w:rsidR="00AF33E4" w:rsidRPr="009E35ED" w:rsidRDefault="00AF33E4" w:rsidP="00B90388">
            <w:pPr>
              <w:keepNext/>
              <w:keepLines/>
              <w:ind w:left="0"/>
              <w:jc w:val="right"/>
              <w:rPr>
                <w:rFonts w:ascii="Arial Narrow" w:hAnsi="Arial Narrow"/>
                <w:color w:val="000000" w:themeColor="text1"/>
                <w:sz w:val="22"/>
                <w:szCs w:val="22"/>
                <w:lang w:val="en-PH" w:eastAsia="en-PH"/>
              </w:rPr>
            </w:pPr>
          </w:p>
        </w:tc>
        <w:tc>
          <w:tcPr>
            <w:tcW w:w="1530" w:type="dxa"/>
            <w:tcBorders>
              <w:top w:val="nil"/>
              <w:left w:val="nil"/>
              <w:bottom w:val="nil"/>
              <w:right w:val="nil"/>
            </w:tcBorders>
            <w:shd w:val="clear" w:color="auto" w:fill="auto"/>
            <w:noWrap/>
            <w:hideMark/>
          </w:tcPr>
          <w:p w14:paraId="15F6E70D" w14:textId="77777777" w:rsidR="00AF33E4" w:rsidRPr="009E35ED" w:rsidRDefault="00AF33E4" w:rsidP="00B90388">
            <w:pPr>
              <w:keepNext/>
              <w:keepLines/>
              <w:ind w:left="0"/>
              <w:jc w:val="right"/>
              <w:rPr>
                <w:rFonts w:ascii="Arial Narrow" w:hAnsi="Arial Narrow"/>
                <w:color w:val="000000" w:themeColor="text1"/>
                <w:sz w:val="22"/>
                <w:szCs w:val="22"/>
                <w:lang w:val="en-PH" w:eastAsia="en-PH"/>
              </w:rPr>
            </w:pPr>
          </w:p>
        </w:tc>
      </w:tr>
      <w:tr w:rsidR="00997F75" w:rsidRPr="009E35ED" w14:paraId="2B84BFE4" w14:textId="77777777" w:rsidTr="00860ED6">
        <w:trPr>
          <w:gridAfter w:val="2"/>
          <w:wAfter w:w="3060" w:type="dxa"/>
          <w:trHeight w:val="203"/>
        </w:trPr>
        <w:tc>
          <w:tcPr>
            <w:tcW w:w="276" w:type="dxa"/>
            <w:tcBorders>
              <w:top w:val="nil"/>
              <w:left w:val="nil"/>
              <w:bottom w:val="nil"/>
              <w:right w:val="nil"/>
            </w:tcBorders>
            <w:shd w:val="clear" w:color="auto" w:fill="auto"/>
            <w:noWrap/>
            <w:vAlign w:val="bottom"/>
            <w:hideMark/>
          </w:tcPr>
          <w:p w14:paraId="7F84BFC3" w14:textId="77777777" w:rsidR="00AF33E4" w:rsidRPr="009E35ED" w:rsidRDefault="00AF33E4" w:rsidP="00B90388">
            <w:pPr>
              <w:keepNext/>
              <w:keepLines/>
              <w:ind w:left="0"/>
              <w:jc w:val="left"/>
              <w:rPr>
                <w:rFonts w:ascii="Arial Narrow" w:hAnsi="Arial Narrow"/>
                <w:color w:val="000000" w:themeColor="text1"/>
                <w:sz w:val="18"/>
                <w:szCs w:val="18"/>
                <w:lang w:val="en-PH" w:eastAsia="en-PH"/>
              </w:rPr>
            </w:pPr>
          </w:p>
        </w:tc>
        <w:tc>
          <w:tcPr>
            <w:tcW w:w="3126" w:type="dxa"/>
            <w:gridSpan w:val="2"/>
            <w:tcBorders>
              <w:top w:val="nil"/>
              <w:left w:val="nil"/>
              <w:bottom w:val="nil"/>
              <w:right w:val="nil"/>
            </w:tcBorders>
            <w:shd w:val="clear" w:color="auto" w:fill="auto"/>
            <w:noWrap/>
            <w:vAlign w:val="bottom"/>
            <w:hideMark/>
          </w:tcPr>
          <w:p w14:paraId="22BD8AF6" w14:textId="77777777" w:rsidR="00AF33E4" w:rsidRPr="009E35ED" w:rsidRDefault="00AF33E4" w:rsidP="00B90388">
            <w:pPr>
              <w:keepNext/>
              <w:keepLines/>
              <w:ind w:left="0"/>
              <w:jc w:val="left"/>
              <w:rPr>
                <w:rFonts w:ascii="Arial Narrow" w:hAnsi="Arial Narrow" w:cs="Arial"/>
                <w:b/>
                <w:bCs/>
                <w:color w:val="000000" w:themeColor="text1"/>
                <w:sz w:val="18"/>
                <w:szCs w:val="18"/>
                <w:lang w:val="en-PH" w:eastAsia="en-PH"/>
              </w:rPr>
            </w:pPr>
            <w:r w:rsidRPr="009E35ED">
              <w:rPr>
                <w:rFonts w:ascii="Arial Narrow" w:hAnsi="Arial Narrow" w:cs="Arial"/>
                <w:b/>
                <w:bCs/>
                <w:color w:val="000000" w:themeColor="text1"/>
                <w:sz w:val="18"/>
                <w:szCs w:val="18"/>
                <w:lang w:val="en-PH" w:eastAsia="en-PH"/>
              </w:rPr>
              <w:t>Business Income</w:t>
            </w:r>
          </w:p>
        </w:tc>
        <w:tc>
          <w:tcPr>
            <w:tcW w:w="1530" w:type="dxa"/>
            <w:tcBorders>
              <w:top w:val="nil"/>
              <w:left w:val="nil"/>
              <w:bottom w:val="nil"/>
              <w:right w:val="nil"/>
            </w:tcBorders>
            <w:shd w:val="clear" w:color="auto" w:fill="auto"/>
            <w:noWrap/>
            <w:vAlign w:val="bottom"/>
            <w:hideMark/>
          </w:tcPr>
          <w:p w14:paraId="5C88C13A" w14:textId="77777777" w:rsidR="00AF33E4" w:rsidRPr="009E35ED" w:rsidRDefault="00AF33E4" w:rsidP="00B90388">
            <w:pPr>
              <w:keepNext/>
              <w:keepLines/>
              <w:ind w:left="0"/>
              <w:jc w:val="right"/>
              <w:rPr>
                <w:rFonts w:ascii="Arial Narrow" w:hAnsi="Arial Narrow" w:cs="Arial"/>
                <w:b/>
                <w:bCs/>
                <w:color w:val="000000" w:themeColor="text1"/>
                <w:sz w:val="20"/>
                <w:szCs w:val="20"/>
                <w:lang w:val="en-PH" w:eastAsia="en-PH"/>
              </w:rPr>
            </w:pPr>
          </w:p>
        </w:tc>
        <w:tc>
          <w:tcPr>
            <w:tcW w:w="1357" w:type="dxa"/>
            <w:tcBorders>
              <w:top w:val="nil"/>
              <w:left w:val="nil"/>
              <w:bottom w:val="nil"/>
              <w:right w:val="nil"/>
            </w:tcBorders>
            <w:shd w:val="clear" w:color="auto" w:fill="auto"/>
            <w:noWrap/>
            <w:hideMark/>
          </w:tcPr>
          <w:p w14:paraId="0569C150" w14:textId="77777777" w:rsidR="00AF33E4" w:rsidRPr="009E35ED" w:rsidRDefault="00AF33E4" w:rsidP="00B90388">
            <w:pPr>
              <w:keepNext/>
              <w:keepLines/>
              <w:ind w:left="0"/>
              <w:jc w:val="right"/>
              <w:rPr>
                <w:rFonts w:ascii="Arial Narrow" w:hAnsi="Arial Narrow"/>
                <w:color w:val="000000" w:themeColor="text1"/>
                <w:sz w:val="20"/>
                <w:szCs w:val="20"/>
                <w:lang w:val="en-PH" w:eastAsia="en-PH"/>
              </w:rPr>
            </w:pPr>
          </w:p>
        </w:tc>
        <w:tc>
          <w:tcPr>
            <w:tcW w:w="1440" w:type="dxa"/>
            <w:tcBorders>
              <w:top w:val="nil"/>
              <w:left w:val="nil"/>
              <w:bottom w:val="nil"/>
              <w:right w:val="nil"/>
            </w:tcBorders>
            <w:shd w:val="clear" w:color="auto" w:fill="auto"/>
            <w:noWrap/>
            <w:hideMark/>
          </w:tcPr>
          <w:p w14:paraId="4529DB7A" w14:textId="77777777" w:rsidR="00AF33E4" w:rsidRPr="009E35ED" w:rsidRDefault="00AF33E4" w:rsidP="00B90388">
            <w:pPr>
              <w:keepNext/>
              <w:keepLines/>
              <w:ind w:left="0"/>
              <w:jc w:val="right"/>
              <w:rPr>
                <w:rFonts w:ascii="Arial Narrow" w:hAnsi="Arial Narrow"/>
                <w:color w:val="000000" w:themeColor="text1"/>
                <w:sz w:val="20"/>
                <w:szCs w:val="20"/>
                <w:lang w:val="en-PH" w:eastAsia="en-PH"/>
              </w:rPr>
            </w:pPr>
          </w:p>
        </w:tc>
        <w:tc>
          <w:tcPr>
            <w:tcW w:w="1530" w:type="dxa"/>
            <w:tcBorders>
              <w:top w:val="nil"/>
              <w:left w:val="nil"/>
              <w:bottom w:val="nil"/>
              <w:right w:val="nil"/>
            </w:tcBorders>
            <w:shd w:val="clear" w:color="auto" w:fill="auto"/>
            <w:noWrap/>
            <w:hideMark/>
          </w:tcPr>
          <w:p w14:paraId="71D5A0BF" w14:textId="77777777" w:rsidR="00AF33E4" w:rsidRPr="009E35ED" w:rsidRDefault="00AF33E4" w:rsidP="00B90388">
            <w:pPr>
              <w:keepNext/>
              <w:keepLines/>
              <w:ind w:left="0"/>
              <w:jc w:val="right"/>
              <w:rPr>
                <w:rFonts w:ascii="Arial Narrow" w:hAnsi="Arial Narrow"/>
                <w:color w:val="000000" w:themeColor="text1"/>
                <w:sz w:val="20"/>
                <w:szCs w:val="20"/>
                <w:lang w:val="en-PH" w:eastAsia="en-PH"/>
              </w:rPr>
            </w:pPr>
          </w:p>
        </w:tc>
      </w:tr>
      <w:tr w:rsidR="00997F75" w:rsidRPr="009E35ED" w14:paraId="5F30EE81" w14:textId="77777777" w:rsidTr="00860ED6">
        <w:trPr>
          <w:gridAfter w:val="2"/>
          <w:wAfter w:w="3060" w:type="dxa"/>
          <w:trHeight w:val="193"/>
        </w:trPr>
        <w:tc>
          <w:tcPr>
            <w:tcW w:w="276" w:type="dxa"/>
            <w:tcBorders>
              <w:top w:val="nil"/>
              <w:left w:val="nil"/>
              <w:bottom w:val="nil"/>
              <w:right w:val="nil"/>
            </w:tcBorders>
            <w:shd w:val="clear" w:color="auto" w:fill="auto"/>
            <w:noWrap/>
            <w:vAlign w:val="bottom"/>
            <w:hideMark/>
          </w:tcPr>
          <w:p w14:paraId="1EC25516" w14:textId="77777777" w:rsidR="0081235C" w:rsidRPr="009E35ED" w:rsidRDefault="0081235C" w:rsidP="00B90388">
            <w:pPr>
              <w:keepNext/>
              <w:keepLines/>
              <w:ind w:left="0"/>
              <w:jc w:val="left"/>
              <w:rPr>
                <w:rFonts w:ascii="Arial Narrow" w:hAnsi="Arial Narrow"/>
                <w:color w:val="000000" w:themeColor="text1"/>
                <w:sz w:val="18"/>
                <w:szCs w:val="18"/>
                <w:lang w:val="en-PH" w:eastAsia="en-PH"/>
              </w:rPr>
            </w:pPr>
          </w:p>
        </w:tc>
        <w:tc>
          <w:tcPr>
            <w:tcW w:w="264" w:type="dxa"/>
            <w:tcBorders>
              <w:top w:val="nil"/>
              <w:left w:val="nil"/>
              <w:bottom w:val="nil"/>
              <w:right w:val="nil"/>
            </w:tcBorders>
            <w:shd w:val="clear" w:color="auto" w:fill="auto"/>
            <w:noWrap/>
            <w:vAlign w:val="bottom"/>
            <w:hideMark/>
          </w:tcPr>
          <w:p w14:paraId="2046FCDE" w14:textId="77777777" w:rsidR="0081235C" w:rsidRPr="009E35ED" w:rsidRDefault="0081235C" w:rsidP="00B90388">
            <w:pPr>
              <w:keepNext/>
              <w:keepLines/>
              <w:ind w:left="0"/>
              <w:jc w:val="left"/>
              <w:rPr>
                <w:rFonts w:ascii="Arial Narrow" w:hAnsi="Arial Narrow"/>
                <w:color w:val="000000" w:themeColor="text1"/>
                <w:sz w:val="18"/>
                <w:szCs w:val="18"/>
                <w:lang w:val="en-PH" w:eastAsia="en-PH"/>
              </w:rPr>
            </w:pPr>
          </w:p>
        </w:tc>
        <w:tc>
          <w:tcPr>
            <w:tcW w:w="2862" w:type="dxa"/>
            <w:tcBorders>
              <w:top w:val="nil"/>
              <w:left w:val="nil"/>
              <w:bottom w:val="nil"/>
              <w:right w:val="nil"/>
            </w:tcBorders>
            <w:shd w:val="clear" w:color="auto" w:fill="auto"/>
            <w:noWrap/>
            <w:vAlign w:val="bottom"/>
            <w:hideMark/>
          </w:tcPr>
          <w:p w14:paraId="5E5F9C40" w14:textId="09D0FD7F" w:rsidR="0081235C" w:rsidRPr="009E35ED" w:rsidRDefault="0081235C" w:rsidP="00B90388">
            <w:pPr>
              <w:keepNext/>
              <w:keepLines/>
              <w:ind w:left="0"/>
              <w:jc w:val="left"/>
              <w:rPr>
                <w:rFonts w:ascii="Arial Narrow" w:hAnsi="Arial Narrow" w:cs="Arial"/>
                <w:color w:val="000000" w:themeColor="text1"/>
                <w:sz w:val="18"/>
                <w:szCs w:val="18"/>
                <w:lang w:val="en-PH" w:eastAsia="en-PH"/>
              </w:rPr>
            </w:pPr>
            <w:r w:rsidRPr="009E35ED">
              <w:rPr>
                <w:rFonts w:ascii="Arial Narrow" w:hAnsi="Arial Narrow" w:cs="Arial"/>
                <w:color w:val="000000" w:themeColor="text1"/>
                <w:sz w:val="18"/>
                <w:szCs w:val="18"/>
                <w:lang w:val="en-PH" w:eastAsia="en-PH"/>
              </w:rPr>
              <w:t xml:space="preserve">Income from </w:t>
            </w:r>
            <w:r w:rsidR="00F93FBC">
              <w:rPr>
                <w:rFonts w:ascii="Arial Narrow" w:hAnsi="Arial Narrow" w:cs="Arial"/>
                <w:color w:val="000000" w:themeColor="text1"/>
                <w:sz w:val="18"/>
                <w:szCs w:val="18"/>
                <w:lang w:val="en-PH" w:eastAsia="en-PH"/>
              </w:rPr>
              <w:t>g</w:t>
            </w:r>
            <w:r w:rsidRPr="009E35ED">
              <w:rPr>
                <w:rFonts w:ascii="Arial Narrow" w:hAnsi="Arial Narrow" w:cs="Arial"/>
                <w:color w:val="000000" w:themeColor="text1"/>
                <w:sz w:val="18"/>
                <w:szCs w:val="18"/>
                <w:lang w:val="en-PH" w:eastAsia="en-PH"/>
              </w:rPr>
              <w:t xml:space="preserve">aming </w:t>
            </w:r>
            <w:r w:rsidR="00F93FBC">
              <w:rPr>
                <w:rFonts w:ascii="Arial Narrow" w:hAnsi="Arial Narrow" w:cs="Arial"/>
                <w:color w:val="000000" w:themeColor="text1"/>
                <w:sz w:val="18"/>
                <w:szCs w:val="18"/>
                <w:lang w:val="en-PH" w:eastAsia="en-PH"/>
              </w:rPr>
              <w:t>o</w:t>
            </w:r>
            <w:r w:rsidRPr="009E35ED">
              <w:rPr>
                <w:rFonts w:ascii="Arial Narrow" w:hAnsi="Arial Narrow" w:cs="Arial"/>
                <w:color w:val="000000" w:themeColor="text1"/>
                <w:sz w:val="18"/>
                <w:szCs w:val="18"/>
                <w:lang w:val="en-PH" w:eastAsia="en-PH"/>
              </w:rPr>
              <w:t>perations</w:t>
            </w:r>
          </w:p>
        </w:tc>
        <w:tc>
          <w:tcPr>
            <w:tcW w:w="1530" w:type="dxa"/>
            <w:tcBorders>
              <w:top w:val="nil"/>
              <w:left w:val="nil"/>
              <w:bottom w:val="nil"/>
              <w:right w:val="nil"/>
            </w:tcBorders>
            <w:shd w:val="clear" w:color="auto" w:fill="auto"/>
            <w:noWrap/>
            <w:hideMark/>
          </w:tcPr>
          <w:p w14:paraId="14FA27A8" w14:textId="3664BE7E" w:rsidR="0081235C" w:rsidRPr="009E35ED" w:rsidRDefault="0081235C" w:rsidP="00B90388">
            <w:pPr>
              <w:keepNext/>
              <w:keepLines/>
              <w:ind w:left="0"/>
              <w:jc w:val="right"/>
              <w:rPr>
                <w:rFonts w:ascii="Arial Narrow" w:hAnsi="Arial Narrow" w:cs="Arial"/>
                <w:color w:val="000000" w:themeColor="text1"/>
                <w:sz w:val="18"/>
                <w:szCs w:val="18"/>
                <w:lang w:val="en-PH" w:eastAsia="en-PH"/>
              </w:rPr>
            </w:pPr>
            <w:r w:rsidRPr="009E35ED">
              <w:rPr>
                <w:rFonts w:ascii="Arial Narrow" w:hAnsi="Arial Narrow"/>
                <w:color w:val="000000" w:themeColor="text1"/>
                <w:sz w:val="18"/>
                <w:szCs w:val="18"/>
              </w:rPr>
              <w:t xml:space="preserve"> 10,154,203,2</w:t>
            </w:r>
            <w:r w:rsidR="00D56D71" w:rsidRPr="009E35ED">
              <w:rPr>
                <w:rFonts w:ascii="Arial Narrow" w:hAnsi="Arial Narrow"/>
                <w:color w:val="000000" w:themeColor="text1"/>
                <w:sz w:val="18"/>
                <w:szCs w:val="18"/>
              </w:rPr>
              <w:t>59</w:t>
            </w:r>
            <w:r w:rsidRPr="009E35ED">
              <w:rPr>
                <w:rFonts w:ascii="Arial Narrow" w:hAnsi="Arial Narrow"/>
                <w:color w:val="000000" w:themeColor="text1"/>
                <w:sz w:val="18"/>
                <w:szCs w:val="18"/>
              </w:rPr>
              <w:t xml:space="preserve"> </w:t>
            </w:r>
          </w:p>
        </w:tc>
        <w:tc>
          <w:tcPr>
            <w:tcW w:w="1357" w:type="dxa"/>
            <w:tcBorders>
              <w:top w:val="nil"/>
              <w:left w:val="nil"/>
              <w:bottom w:val="nil"/>
              <w:right w:val="nil"/>
            </w:tcBorders>
            <w:shd w:val="clear" w:color="auto" w:fill="auto"/>
            <w:noWrap/>
            <w:hideMark/>
          </w:tcPr>
          <w:p w14:paraId="5BD01ACA" w14:textId="514FACC5" w:rsidR="0081235C" w:rsidRPr="009E35ED" w:rsidRDefault="0081235C" w:rsidP="00B90388">
            <w:pPr>
              <w:keepNext/>
              <w:keepLines/>
              <w:ind w:left="0"/>
              <w:jc w:val="center"/>
              <w:rPr>
                <w:rFonts w:ascii="Arial Narrow" w:hAnsi="Arial Narrow" w:cs="Arial"/>
                <w:color w:val="000000" w:themeColor="text1"/>
                <w:sz w:val="18"/>
                <w:szCs w:val="18"/>
                <w:lang w:val="en-PH" w:eastAsia="en-PH"/>
              </w:rPr>
            </w:pPr>
            <w:r w:rsidRPr="009E35ED">
              <w:rPr>
                <w:rFonts w:ascii="Arial Narrow" w:hAnsi="Arial Narrow"/>
                <w:color w:val="000000" w:themeColor="text1"/>
                <w:sz w:val="18"/>
                <w:szCs w:val="18"/>
              </w:rPr>
              <w:t xml:space="preserve"> 18,106,526,187 </w:t>
            </w:r>
          </w:p>
        </w:tc>
        <w:tc>
          <w:tcPr>
            <w:tcW w:w="1440" w:type="dxa"/>
            <w:tcBorders>
              <w:top w:val="nil"/>
              <w:left w:val="nil"/>
              <w:bottom w:val="nil"/>
              <w:right w:val="nil"/>
            </w:tcBorders>
            <w:shd w:val="clear" w:color="auto" w:fill="auto"/>
            <w:noWrap/>
            <w:hideMark/>
          </w:tcPr>
          <w:p w14:paraId="59A0B184" w14:textId="5DC712BD" w:rsidR="0081235C" w:rsidRPr="009E35ED" w:rsidRDefault="0081235C" w:rsidP="00B90388">
            <w:pPr>
              <w:keepNext/>
              <w:keepLines/>
              <w:ind w:left="0"/>
              <w:jc w:val="right"/>
              <w:rPr>
                <w:rFonts w:ascii="Arial Narrow" w:hAnsi="Arial Narrow" w:cs="Arial"/>
                <w:color w:val="000000" w:themeColor="text1"/>
                <w:sz w:val="18"/>
                <w:szCs w:val="18"/>
                <w:lang w:val="en-PH" w:eastAsia="en-PH"/>
              </w:rPr>
            </w:pPr>
            <w:r w:rsidRPr="009E35ED">
              <w:rPr>
                <w:rFonts w:ascii="Arial Narrow" w:hAnsi="Arial Narrow"/>
                <w:color w:val="000000" w:themeColor="text1"/>
                <w:sz w:val="18"/>
                <w:szCs w:val="18"/>
              </w:rPr>
              <w:t xml:space="preserve"> 33,195,298,0</w:t>
            </w:r>
            <w:r w:rsidR="00D56D71" w:rsidRPr="009E35ED">
              <w:rPr>
                <w:rFonts w:ascii="Arial Narrow" w:hAnsi="Arial Narrow"/>
                <w:color w:val="000000" w:themeColor="text1"/>
                <w:sz w:val="18"/>
                <w:szCs w:val="18"/>
              </w:rPr>
              <w:t>09</w:t>
            </w:r>
            <w:r w:rsidRPr="009E35ED">
              <w:rPr>
                <w:rFonts w:ascii="Arial Narrow" w:hAnsi="Arial Narrow"/>
                <w:color w:val="000000" w:themeColor="text1"/>
                <w:sz w:val="18"/>
                <w:szCs w:val="18"/>
              </w:rPr>
              <w:t xml:space="preserve"> </w:t>
            </w:r>
          </w:p>
        </w:tc>
        <w:tc>
          <w:tcPr>
            <w:tcW w:w="1530" w:type="dxa"/>
            <w:tcBorders>
              <w:top w:val="nil"/>
              <w:left w:val="nil"/>
              <w:bottom w:val="nil"/>
              <w:right w:val="nil"/>
            </w:tcBorders>
            <w:shd w:val="clear" w:color="auto" w:fill="auto"/>
            <w:noWrap/>
            <w:hideMark/>
          </w:tcPr>
          <w:p w14:paraId="04C6F1A5" w14:textId="1E86297B" w:rsidR="0081235C" w:rsidRPr="009E35ED" w:rsidRDefault="0081235C" w:rsidP="00B90388">
            <w:pPr>
              <w:keepNext/>
              <w:keepLines/>
              <w:ind w:left="0"/>
              <w:jc w:val="right"/>
              <w:rPr>
                <w:rFonts w:ascii="Arial Narrow" w:hAnsi="Arial Narrow" w:cs="Arial"/>
                <w:color w:val="000000" w:themeColor="text1"/>
                <w:sz w:val="18"/>
                <w:szCs w:val="18"/>
                <w:lang w:val="en-PH" w:eastAsia="en-PH"/>
              </w:rPr>
            </w:pPr>
            <w:r w:rsidRPr="009E35ED">
              <w:rPr>
                <w:rFonts w:ascii="Arial Narrow" w:hAnsi="Arial Narrow"/>
                <w:color w:val="000000" w:themeColor="text1"/>
                <w:sz w:val="18"/>
                <w:szCs w:val="18"/>
              </w:rPr>
              <w:t xml:space="preserve"> 61,456,027,45</w:t>
            </w:r>
            <w:r w:rsidR="00D56D71" w:rsidRPr="009E35ED">
              <w:rPr>
                <w:rFonts w:ascii="Arial Narrow" w:hAnsi="Arial Narrow"/>
                <w:color w:val="000000" w:themeColor="text1"/>
                <w:sz w:val="18"/>
                <w:szCs w:val="18"/>
              </w:rPr>
              <w:t>5</w:t>
            </w:r>
            <w:r w:rsidRPr="009E35ED">
              <w:rPr>
                <w:rFonts w:ascii="Arial Narrow" w:hAnsi="Arial Narrow"/>
                <w:color w:val="000000" w:themeColor="text1"/>
                <w:sz w:val="18"/>
                <w:szCs w:val="18"/>
              </w:rPr>
              <w:t xml:space="preserve"> </w:t>
            </w:r>
          </w:p>
        </w:tc>
      </w:tr>
      <w:tr w:rsidR="00997F75" w:rsidRPr="009E35ED" w14:paraId="00B5BF92" w14:textId="77777777" w:rsidTr="00860ED6">
        <w:trPr>
          <w:gridAfter w:val="2"/>
          <w:wAfter w:w="3060" w:type="dxa"/>
          <w:trHeight w:val="193"/>
        </w:trPr>
        <w:tc>
          <w:tcPr>
            <w:tcW w:w="276" w:type="dxa"/>
            <w:tcBorders>
              <w:top w:val="nil"/>
              <w:left w:val="nil"/>
              <w:bottom w:val="nil"/>
              <w:right w:val="nil"/>
            </w:tcBorders>
            <w:shd w:val="clear" w:color="auto" w:fill="auto"/>
            <w:noWrap/>
            <w:vAlign w:val="bottom"/>
            <w:hideMark/>
          </w:tcPr>
          <w:p w14:paraId="733AA11A" w14:textId="77777777" w:rsidR="0081235C" w:rsidRPr="009E35ED" w:rsidRDefault="0081235C" w:rsidP="00B90388">
            <w:pPr>
              <w:keepNext/>
              <w:keepLines/>
              <w:ind w:left="0"/>
              <w:jc w:val="left"/>
              <w:rPr>
                <w:rFonts w:ascii="Arial Narrow" w:hAnsi="Arial Narrow" w:cs="Arial"/>
                <w:color w:val="000000" w:themeColor="text1"/>
                <w:sz w:val="18"/>
                <w:szCs w:val="18"/>
                <w:lang w:val="en-PH" w:eastAsia="en-PH"/>
              </w:rPr>
            </w:pPr>
          </w:p>
        </w:tc>
        <w:tc>
          <w:tcPr>
            <w:tcW w:w="264" w:type="dxa"/>
            <w:tcBorders>
              <w:top w:val="nil"/>
              <w:left w:val="nil"/>
              <w:bottom w:val="nil"/>
              <w:right w:val="nil"/>
            </w:tcBorders>
            <w:shd w:val="clear" w:color="auto" w:fill="auto"/>
            <w:noWrap/>
            <w:vAlign w:val="bottom"/>
            <w:hideMark/>
          </w:tcPr>
          <w:p w14:paraId="2B436546" w14:textId="77777777" w:rsidR="0081235C" w:rsidRPr="009E35ED" w:rsidRDefault="0081235C" w:rsidP="00B90388">
            <w:pPr>
              <w:keepNext/>
              <w:keepLines/>
              <w:ind w:left="0"/>
              <w:jc w:val="left"/>
              <w:rPr>
                <w:rFonts w:ascii="Arial Narrow" w:hAnsi="Arial Narrow"/>
                <w:color w:val="000000" w:themeColor="text1"/>
                <w:sz w:val="18"/>
                <w:szCs w:val="18"/>
                <w:lang w:val="en-PH" w:eastAsia="en-PH"/>
              </w:rPr>
            </w:pPr>
          </w:p>
        </w:tc>
        <w:tc>
          <w:tcPr>
            <w:tcW w:w="2862" w:type="dxa"/>
            <w:tcBorders>
              <w:top w:val="nil"/>
              <w:left w:val="nil"/>
              <w:bottom w:val="nil"/>
              <w:right w:val="nil"/>
            </w:tcBorders>
            <w:shd w:val="clear" w:color="auto" w:fill="auto"/>
            <w:noWrap/>
            <w:vAlign w:val="bottom"/>
            <w:hideMark/>
          </w:tcPr>
          <w:p w14:paraId="5390E799" w14:textId="3199AF8E" w:rsidR="0081235C" w:rsidRPr="009E35ED" w:rsidRDefault="0081235C" w:rsidP="00B90388">
            <w:pPr>
              <w:keepNext/>
              <w:keepLines/>
              <w:ind w:left="0"/>
              <w:jc w:val="left"/>
              <w:rPr>
                <w:rFonts w:ascii="Arial Narrow" w:hAnsi="Arial Narrow" w:cs="Arial"/>
                <w:color w:val="000000" w:themeColor="text1"/>
                <w:sz w:val="18"/>
                <w:szCs w:val="18"/>
                <w:lang w:val="en-PH" w:eastAsia="en-PH"/>
              </w:rPr>
            </w:pPr>
            <w:r w:rsidRPr="009E35ED">
              <w:rPr>
                <w:rFonts w:ascii="Arial Narrow" w:hAnsi="Arial Narrow" w:cs="Arial"/>
                <w:color w:val="000000" w:themeColor="text1"/>
                <w:sz w:val="18"/>
                <w:szCs w:val="18"/>
                <w:lang w:val="en-PH" w:eastAsia="en-PH"/>
              </w:rPr>
              <w:t xml:space="preserve">Seminar/Training </w:t>
            </w:r>
            <w:r w:rsidR="00F93FBC">
              <w:rPr>
                <w:rFonts w:ascii="Arial Narrow" w:hAnsi="Arial Narrow" w:cs="Arial"/>
                <w:color w:val="000000" w:themeColor="text1"/>
                <w:sz w:val="18"/>
                <w:szCs w:val="18"/>
                <w:lang w:val="en-PH" w:eastAsia="en-PH"/>
              </w:rPr>
              <w:t>f</w:t>
            </w:r>
            <w:r w:rsidRPr="009E35ED">
              <w:rPr>
                <w:rFonts w:ascii="Arial Narrow" w:hAnsi="Arial Narrow" w:cs="Arial"/>
                <w:color w:val="000000" w:themeColor="text1"/>
                <w:sz w:val="18"/>
                <w:szCs w:val="18"/>
                <w:lang w:val="en-PH" w:eastAsia="en-PH"/>
              </w:rPr>
              <w:t>ees</w:t>
            </w:r>
          </w:p>
        </w:tc>
        <w:tc>
          <w:tcPr>
            <w:tcW w:w="1530" w:type="dxa"/>
            <w:tcBorders>
              <w:top w:val="nil"/>
              <w:left w:val="nil"/>
              <w:bottom w:val="nil"/>
              <w:right w:val="nil"/>
            </w:tcBorders>
            <w:shd w:val="clear" w:color="auto" w:fill="auto"/>
            <w:noWrap/>
            <w:hideMark/>
          </w:tcPr>
          <w:p w14:paraId="7911C91F" w14:textId="1FD87D53" w:rsidR="0081235C" w:rsidRPr="009E35ED" w:rsidRDefault="0081235C" w:rsidP="00B90388">
            <w:pPr>
              <w:keepNext/>
              <w:keepLines/>
              <w:ind w:left="0"/>
              <w:jc w:val="right"/>
              <w:rPr>
                <w:rFonts w:ascii="Arial Narrow" w:hAnsi="Arial Narrow" w:cs="Arial"/>
                <w:color w:val="000000" w:themeColor="text1"/>
                <w:sz w:val="18"/>
                <w:szCs w:val="18"/>
                <w:lang w:val="en-PH" w:eastAsia="en-PH"/>
              </w:rPr>
            </w:pPr>
            <w:r w:rsidRPr="009E35ED">
              <w:rPr>
                <w:rFonts w:ascii="Arial Narrow" w:hAnsi="Arial Narrow"/>
                <w:color w:val="000000" w:themeColor="text1"/>
                <w:sz w:val="18"/>
                <w:szCs w:val="18"/>
              </w:rPr>
              <w:t xml:space="preserve"> 577,260 </w:t>
            </w:r>
          </w:p>
        </w:tc>
        <w:tc>
          <w:tcPr>
            <w:tcW w:w="1357" w:type="dxa"/>
            <w:tcBorders>
              <w:top w:val="nil"/>
              <w:left w:val="nil"/>
              <w:bottom w:val="nil"/>
              <w:right w:val="nil"/>
            </w:tcBorders>
            <w:shd w:val="clear" w:color="auto" w:fill="auto"/>
            <w:noWrap/>
            <w:hideMark/>
          </w:tcPr>
          <w:p w14:paraId="3A5DA3B9" w14:textId="4F4CA9B3" w:rsidR="0081235C" w:rsidRPr="009E35ED" w:rsidRDefault="0081235C" w:rsidP="00B90388">
            <w:pPr>
              <w:keepNext/>
              <w:keepLines/>
              <w:ind w:left="0"/>
              <w:jc w:val="right"/>
              <w:rPr>
                <w:rFonts w:ascii="Arial Narrow" w:hAnsi="Arial Narrow" w:cs="Arial"/>
                <w:color w:val="000000" w:themeColor="text1"/>
                <w:sz w:val="18"/>
                <w:szCs w:val="18"/>
                <w:lang w:val="en-PH" w:eastAsia="en-PH"/>
              </w:rPr>
            </w:pPr>
          </w:p>
        </w:tc>
        <w:tc>
          <w:tcPr>
            <w:tcW w:w="1440" w:type="dxa"/>
            <w:tcBorders>
              <w:top w:val="nil"/>
              <w:left w:val="nil"/>
              <w:bottom w:val="nil"/>
              <w:right w:val="nil"/>
            </w:tcBorders>
            <w:shd w:val="clear" w:color="auto" w:fill="auto"/>
            <w:noWrap/>
            <w:hideMark/>
          </w:tcPr>
          <w:p w14:paraId="355EB49E" w14:textId="4B171BFB" w:rsidR="0081235C" w:rsidRPr="009E35ED" w:rsidRDefault="0081235C" w:rsidP="00B90388">
            <w:pPr>
              <w:keepNext/>
              <w:keepLines/>
              <w:ind w:left="0"/>
              <w:jc w:val="right"/>
              <w:rPr>
                <w:rFonts w:ascii="Arial Narrow" w:hAnsi="Arial Narrow"/>
                <w:color w:val="000000" w:themeColor="text1"/>
                <w:sz w:val="18"/>
                <w:szCs w:val="18"/>
                <w:lang w:val="en-PH" w:eastAsia="en-PH"/>
              </w:rPr>
            </w:pPr>
          </w:p>
        </w:tc>
        <w:tc>
          <w:tcPr>
            <w:tcW w:w="1530" w:type="dxa"/>
            <w:tcBorders>
              <w:top w:val="nil"/>
              <w:left w:val="nil"/>
              <w:bottom w:val="nil"/>
              <w:right w:val="nil"/>
            </w:tcBorders>
            <w:shd w:val="clear" w:color="auto" w:fill="auto"/>
            <w:noWrap/>
            <w:hideMark/>
          </w:tcPr>
          <w:p w14:paraId="0D43E506" w14:textId="24E6516C" w:rsidR="0081235C" w:rsidRPr="009E35ED" w:rsidRDefault="0081235C" w:rsidP="00B90388">
            <w:pPr>
              <w:keepNext/>
              <w:keepLines/>
              <w:ind w:left="0"/>
              <w:jc w:val="right"/>
              <w:rPr>
                <w:rFonts w:ascii="Arial Narrow" w:hAnsi="Arial Narrow" w:cs="Arial"/>
                <w:color w:val="000000" w:themeColor="text1"/>
                <w:sz w:val="18"/>
                <w:szCs w:val="18"/>
                <w:lang w:val="en-PH" w:eastAsia="en-PH"/>
              </w:rPr>
            </w:pPr>
            <w:r w:rsidRPr="009E35ED">
              <w:rPr>
                <w:rFonts w:ascii="Arial Narrow" w:hAnsi="Arial Narrow"/>
                <w:color w:val="000000" w:themeColor="text1"/>
                <w:sz w:val="18"/>
                <w:szCs w:val="18"/>
              </w:rPr>
              <w:t xml:space="preserve"> 577,260 </w:t>
            </w:r>
          </w:p>
        </w:tc>
      </w:tr>
      <w:tr w:rsidR="00997F75" w:rsidRPr="009E35ED" w14:paraId="2D776486" w14:textId="77777777" w:rsidTr="00860ED6">
        <w:trPr>
          <w:gridAfter w:val="2"/>
          <w:wAfter w:w="3060" w:type="dxa"/>
          <w:trHeight w:val="193"/>
        </w:trPr>
        <w:tc>
          <w:tcPr>
            <w:tcW w:w="276" w:type="dxa"/>
            <w:tcBorders>
              <w:top w:val="nil"/>
              <w:left w:val="nil"/>
              <w:bottom w:val="nil"/>
              <w:right w:val="nil"/>
            </w:tcBorders>
            <w:shd w:val="clear" w:color="auto" w:fill="auto"/>
            <w:noWrap/>
            <w:vAlign w:val="bottom"/>
            <w:hideMark/>
          </w:tcPr>
          <w:p w14:paraId="5782F3D8" w14:textId="77777777" w:rsidR="0081235C" w:rsidRPr="009E35ED" w:rsidRDefault="0081235C" w:rsidP="00B90388">
            <w:pPr>
              <w:keepNext/>
              <w:keepLines/>
              <w:ind w:left="0"/>
              <w:jc w:val="left"/>
              <w:rPr>
                <w:rFonts w:ascii="Arial Narrow" w:hAnsi="Arial Narrow" w:cs="Arial"/>
                <w:color w:val="000000" w:themeColor="text1"/>
                <w:sz w:val="18"/>
                <w:szCs w:val="18"/>
                <w:lang w:val="en-PH" w:eastAsia="en-PH"/>
              </w:rPr>
            </w:pPr>
          </w:p>
        </w:tc>
        <w:tc>
          <w:tcPr>
            <w:tcW w:w="264" w:type="dxa"/>
            <w:tcBorders>
              <w:top w:val="nil"/>
              <w:left w:val="nil"/>
              <w:bottom w:val="nil"/>
              <w:right w:val="nil"/>
            </w:tcBorders>
            <w:shd w:val="clear" w:color="auto" w:fill="auto"/>
            <w:noWrap/>
            <w:vAlign w:val="bottom"/>
            <w:hideMark/>
          </w:tcPr>
          <w:p w14:paraId="55D17AF6" w14:textId="77777777" w:rsidR="0081235C" w:rsidRPr="009E35ED" w:rsidRDefault="0081235C" w:rsidP="00B90388">
            <w:pPr>
              <w:keepNext/>
              <w:keepLines/>
              <w:ind w:left="0"/>
              <w:jc w:val="left"/>
              <w:rPr>
                <w:rFonts w:ascii="Arial Narrow" w:hAnsi="Arial Narrow"/>
                <w:color w:val="000000" w:themeColor="text1"/>
                <w:sz w:val="18"/>
                <w:szCs w:val="18"/>
                <w:lang w:val="en-PH" w:eastAsia="en-PH"/>
              </w:rPr>
            </w:pPr>
          </w:p>
        </w:tc>
        <w:tc>
          <w:tcPr>
            <w:tcW w:w="2862" w:type="dxa"/>
            <w:tcBorders>
              <w:top w:val="nil"/>
              <w:left w:val="nil"/>
              <w:bottom w:val="nil"/>
              <w:right w:val="nil"/>
            </w:tcBorders>
            <w:shd w:val="clear" w:color="auto" w:fill="auto"/>
            <w:noWrap/>
            <w:vAlign w:val="bottom"/>
            <w:hideMark/>
          </w:tcPr>
          <w:p w14:paraId="60671E56" w14:textId="7C4A192D" w:rsidR="0081235C" w:rsidRPr="009E35ED" w:rsidRDefault="0081235C" w:rsidP="00B90388">
            <w:pPr>
              <w:keepNext/>
              <w:keepLines/>
              <w:ind w:left="0"/>
              <w:jc w:val="left"/>
              <w:rPr>
                <w:rFonts w:ascii="Arial Narrow" w:hAnsi="Arial Narrow" w:cs="Arial"/>
                <w:color w:val="000000" w:themeColor="text1"/>
                <w:sz w:val="18"/>
                <w:szCs w:val="18"/>
                <w:lang w:val="en-PH" w:eastAsia="en-PH"/>
              </w:rPr>
            </w:pPr>
            <w:r w:rsidRPr="009E35ED">
              <w:rPr>
                <w:rFonts w:ascii="Arial Narrow" w:hAnsi="Arial Narrow" w:cs="Arial"/>
                <w:color w:val="000000" w:themeColor="text1"/>
                <w:sz w:val="18"/>
                <w:szCs w:val="18"/>
                <w:lang w:val="en-PH" w:eastAsia="en-PH"/>
              </w:rPr>
              <w:t>Fines and</w:t>
            </w:r>
            <w:r w:rsidR="00F93FBC">
              <w:rPr>
                <w:rFonts w:ascii="Arial Narrow" w:hAnsi="Arial Narrow" w:cs="Arial"/>
                <w:color w:val="000000" w:themeColor="text1"/>
                <w:sz w:val="18"/>
                <w:szCs w:val="18"/>
                <w:lang w:val="en-PH" w:eastAsia="en-PH"/>
              </w:rPr>
              <w:t xml:space="preserve"> p</w:t>
            </w:r>
            <w:r w:rsidRPr="009E35ED">
              <w:rPr>
                <w:rFonts w:ascii="Arial Narrow" w:hAnsi="Arial Narrow" w:cs="Arial"/>
                <w:color w:val="000000" w:themeColor="text1"/>
                <w:sz w:val="18"/>
                <w:szCs w:val="18"/>
                <w:lang w:val="en-PH" w:eastAsia="en-PH"/>
              </w:rPr>
              <w:t>enalties</w:t>
            </w:r>
          </w:p>
        </w:tc>
        <w:tc>
          <w:tcPr>
            <w:tcW w:w="1530" w:type="dxa"/>
            <w:tcBorders>
              <w:top w:val="nil"/>
              <w:left w:val="nil"/>
              <w:bottom w:val="nil"/>
              <w:right w:val="nil"/>
            </w:tcBorders>
            <w:shd w:val="clear" w:color="auto" w:fill="auto"/>
            <w:noWrap/>
            <w:hideMark/>
          </w:tcPr>
          <w:p w14:paraId="6F03A374" w14:textId="2FEBC9C1" w:rsidR="0081235C" w:rsidRPr="009E35ED" w:rsidRDefault="0081235C" w:rsidP="00B90388">
            <w:pPr>
              <w:keepNext/>
              <w:keepLines/>
              <w:ind w:left="0"/>
              <w:jc w:val="right"/>
              <w:rPr>
                <w:rFonts w:ascii="Arial Narrow" w:hAnsi="Arial Narrow" w:cs="Arial"/>
                <w:color w:val="000000" w:themeColor="text1"/>
                <w:sz w:val="18"/>
                <w:szCs w:val="18"/>
                <w:lang w:val="en-PH" w:eastAsia="en-PH"/>
              </w:rPr>
            </w:pPr>
            <w:r w:rsidRPr="009E35ED">
              <w:rPr>
                <w:rFonts w:ascii="Arial Narrow" w:hAnsi="Arial Narrow"/>
                <w:color w:val="000000" w:themeColor="text1"/>
                <w:sz w:val="18"/>
                <w:szCs w:val="18"/>
              </w:rPr>
              <w:t xml:space="preserve"> 5,189,760 </w:t>
            </w:r>
          </w:p>
        </w:tc>
        <w:tc>
          <w:tcPr>
            <w:tcW w:w="1357" w:type="dxa"/>
            <w:tcBorders>
              <w:top w:val="nil"/>
              <w:left w:val="nil"/>
              <w:bottom w:val="nil"/>
              <w:right w:val="nil"/>
            </w:tcBorders>
            <w:shd w:val="clear" w:color="auto" w:fill="auto"/>
            <w:noWrap/>
            <w:hideMark/>
          </w:tcPr>
          <w:p w14:paraId="79A28DA7" w14:textId="57DF7BC7" w:rsidR="0081235C" w:rsidRPr="009E35ED" w:rsidRDefault="0081235C" w:rsidP="00B90388">
            <w:pPr>
              <w:keepNext/>
              <w:keepLines/>
              <w:ind w:left="0"/>
              <w:jc w:val="right"/>
              <w:rPr>
                <w:rFonts w:ascii="Arial Narrow" w:hAnsi="Arial Narrow" w:cs="Arial"/>
                <w:color w:val="000000" w:themeColor="text1"/>
                <w:sz w:val="18"/>
                <w:szCs w:val="18"/>
                <w:lang w:val="en-PH" w:eastAsia="en-PH"/>
              </w:rPr>
            </w:pPr>
            <w:r w:rsidRPr="009E35ED">
              <w:rPr>
                <w:rFonts w:ascii="Arial Narrow" w:hAnsi="Arial Narrow"/>
                <w:color w:val="000000" w:themeColor="text1"/>
                <w:sz w:val="18"/>
                <w:szCs w:val="18"/>
              </w:rPr>
              <w:t xml:space="preserve"> 12,328,320 </w:t>
            </w:r>
          </w:p>
        </w:tc>
        <w:tc>
          <w:tcPr>
            <w:tcW w:w="1440" w:type="dxa"/>
            <w:tcBorders>
              <w:top w:val="nil"/>
              <w:left w:val="nil"/>
              <w:bottom w:val="nil"/>
              <w:right w:val="nil"/>
            </w:tcBorders>
            <w:shd w:val="clear" w:color="auto" w:fill="auto"/>
            <w:noWrap/>
            <w:hideMark/>
          </w:tcPr>
          <w:p w14:paraId="6C212AE3" w14:textId="0FCB7FC0" w:rsidR="0081235C" w:rsidRPr="009E35ED" w:rsidRDefault="0081235C" w:rsidP="00B90388">
            <w:pPr>
              <w:keepNext/>
              <w:keepLines/>
              <w:ind w:left="0"/>
              <w:jc w:val="right"/>
              <w:rPr>
                <w:rFonts w:ascii="Arial Narrow" w:hAnsi="Arial Narrow"/>
                <w:color w:val="000000" w:themeColor="text1"/>
                <w:sz w:val="18"/>
                <w:szCs w:val="18"/>
                <w:lang w:val="en-PH" w:eastAsia="en-PH"/>
              </w:rPr>
            </w:pPr>
            <w:r w:rsidRPr="009E35ED">
              <w:rPr>
                <w:rFonts w:ascii="Arial Narrow" w:hAnsi="Arial Narrow"/>
                <w:color w:val="000000" w:themeColor="text1"/>
                <w:sz w:val="18"/>
                <w:szCs w:val="18"/>
              </w:rPr>
              <w:t xml:space="preserve"> 8,572,507 </w:t>
            </w:r>
          </w:p>
        </w:tc>
        <w:tc>
          <w:tcPr>
            <w:tcW w:w="1530" w:type="dxa"/>
            <w:tcBorders>
              <w:top w:val="nil"/>
              <w:left w:val="nil"/>
              <w:bottom w:val="nil"/>
              <w:right w:val="nil"/>
            </w:tcBorders>
            <w:shd w:val="clear" w:color="auto" w:fill="auto"/>
            <w:noWrap/>
            <w:hideMark/>
          </w:tcPr>
          <w:p w14:paraId="4F7743F8" w14:textId="08F348B9" w:rsidR="0081235C" w:rsidRPr="009E35ED" w:rsidRDefault="0081235C" w:rsidP="00B90388">
            <w:pPr>
              <w:keepNext/>
              <w:keepLines/>
              <w:ind w:left="0"/>
              <w:jc w:val="right"/>
              <w:rPr>
                <w:rFonts w:ascii="Arial Narrow" w:hAnsi="Arial Narrow" w:cs="Arial"/>
                <w:color w:val="000000" w:themeColor="text1"/>
                <w:sz w:val="18"/>
                <w:szCs w:val="18"/>
                <w:lang w:val="en-PH" w:eastAsia="en-PH"/>
              </w:rPr>
            </w:pPr>
            <w:r w:rsidRPr="009E35ED">
              <w:rPr>
                <w:rFonts w:ascii="Arial Narrow" w:hAnsi="Arial Narrow"/>
                <w:color w:val="000000" w:themeColor="text1"/>
                <w:sz w:val="18"/>
                <w:szCs w:val="18"/>
              </w:rPr>
              <w:t xml:space="preserve"> 26,090,587 </w:t>
            </w:r>
          </w:p>
        </w:tc>
      </w:tr>
      <w:tr w:rsidR="00997F75" w:rsidRPr="009E35ED" w14:paraId="775E82DA" w14:textId="77777777" w:rsidTr="00860ED6">
        <w:trPr>
          <w:gridAfter w:val="2"/>
          <w:wAfter w:w="3060" w:type="dxa"/>
          <w:trHeight w:val="203"/>
        </w:trPr>
        <w:tc>
          <w:tcPr>
            <w:tcW w:w="276" w:type="dxa"/>
            <w:tcBorders>
              <w:top w:val="nil"/>
              <w:left w:val="nil"/>
              <w:bottom w:val="nil"/>
              <w:right w:val="nil"/>
            </w:tcBorders>
            <w:shd w:val="clear" w:color="auto" w:fill="auto"/>
            <w:noWrap/>
            <w:vAlign w:val="bottom"/>
            <w:hideMark/>
          </w:tcPr>
          <w:p w14:paraId="585843F1" w14:textId="77777777" w:rsidR="0081235C" w:rsidRPr="009E35ED" w:rsidRDefault="0081235C" w:rsidP="00B90388">
            <w:pPr>
              <w:keepNext/>
              <w:keepLines/>
              <w:ind w:left="0"/>
              <w:jc w:val="left"/>
              <w:rPr>
                <w:rFonts w:ascii="Arial Narrow" w:hAnsi="Arial Narrow" w:cs="Arial"/>
                <w:color w:val="000000" w:themeColor="text1"/>
                <w:sz w:val="18"/>
                <w:szCs w:val="18"/>
                <w:lang w:val="en-PH" w:eastAsia="en-PH"/>
              </w:rPr>
            </w:pPr>
          </w:p>
        </w:tc>
        <w:tc>
          <w:tcPr>
            <w:tcW w:w="264" w:type="dxa"/>
            <w:tcBorders>
              <w:top w:val="nil"/>
              <w:left w:val="nil"/>
              <w:bottom w:val="nil"/>
              <w:right w:val="nil"/>
            </w:tcBorders>
            <w:shd w:val="clear" w:color="auto" w:fill="auto"/>
            <w:noWrap/>
            <w:hideMark/>
          </w:tcPr>
          <w:p w14:paraId="4D335788" w14:textId="77777777" w:rsidR="0081235C" w:rsidRPr="009E35ED" w:rsidRDefault="0081235C" w:rsidP="00B90388">
            <w:pPr>
              <w:keepNext/>
              <w:keepLines/>
              <w:ind w:left="0"/>
              <w:jc w:val="left"/>
              <w:rPr>
                <w:rFonts w:ascii="Arial Narrow" w:hAnsi="Arial Narrow"/>
                <w:color w:val="000000" w:themeColor="text1"/>
                <w:sz w:val="18"/>
                <w:szCs w:val="18"/>
                <w:lang w:val="en-PH" w:eastAsia="en-PH"/>
              </w:rPr>
            </w:pPr>
          </w:p>
        </w:tc>
        <w:tc>
          <w:tcPr>
            <w:tcW w:w="2862" w:type="dxa"/>
            <w:tcBorders>
              <w:top w:val="nil"/>
              <w:left w:val="nil"/>
              <w:bottom w:val="nil"/>
              <w:right w:val="nil"/>
            </w:tcBorders>
            <w:shd w:val="clear" w:color="auto" w:fill="auto"/>
            <w:noWrap/>
            <w:vAlign w:val="bottom"/>
            <w:hideMark/>
          </w:tcPr>
          <w:p w14:paraId="45B1D439" w14:textId="41B4D858" w:rsidR="0081235C" w:rsidRPr="009E35ED" w:rsidRDefault="0081235C" w:rsidP="00B90388">
            <w:pPr>
              <w:keepNext/>
              <w:keepLines/>
              <w:ind w:left="0"/>
              <w:jc w:val="left"/>
              <w:rPr>
                <w:rFonts w:ascii="Arial Narrow" w:hAnsi="Arial Narrow" w:cs="Arial"/>
                <w:color w:val="000000" w:themeColor="text1"/>
                <w:sz w:val="18"/>
                <w:szCs w:val="18"/>
                <w:lang w:val="en-PH" w:eastAsia="en-PH"/>
              </w:rPr>
            </w:pPr>
            <w:r w:rsidRPr="009E35ED">
              <w:rPr>
                <w:rFonts w:ascii="Arial Narrow" w:hAnsi="Arial Narrow" w:cs="Arial"/>
                <w:color w:val="000000" w:themeColor="text1"/>
                <w:sz w:val="18"/>
                <w:szCs w:val="18"/>
                <w:lang w:val="en-PH" w:eastAsia="en-PH"/>
              </w:rPr>
              <w:t xml:space="preserve">Interest </w:t>
            </w:r>
            <w:r w:rsidR="00F93FBC">
              <w:rPr>
                <w:rFonts w:ascii="Arial Narrow" w:hAnsi="Arial Narrow" w:cs="Arial"/>
                <w:color w:val="000000" w:themeColor="text1"/>
                <w:sz w:val="18"/>
                <w:szCs w:val="18"/>
                <w:lang w:val="en-PH" w:eastAsia="en-PH"/>
              </w:rPr>
              <w:t>i</w:t>
            </w:r>
            <w:r w:rsidRPr="009E35ED">
              <w:rPr>
                <w:rFonts w:ascii="Arial Narrow" w:hAnsi="Arial Narrow" w:cs="Arial"/>
                <w:color w:val="000000" w:themeColor="text1"/>
                <w:sz w:val="18"/>
                <w:szCs w:val="18"/>
                <w:lang w:val="en-PH" w:eastAsia="en-PH"/>
              </w:rPr>
              <w:t>ncome</w:t>
            </w:r>
          </w:p>
        </w:tc>
        <w:tc>
          <w:tcPr>
            <w:tcW w:w="1530" w:type="dxa"/>
            <w:tcBorders>
              <w:top w:val="nil"/>
              <w:left w:val="nil"/>
              <w:bottom w:val="nil"/>
              <w:right w:val="nil"/>
            </w:tcBorders>
            <w:shd w:val="clear" w:color="auto" w:fill="auto"/>
            <w:noWrap/>
            <w:hideMark/>
          </w:tcPr>
          <w:p w14:paraId="5227640D" w14:textId="565FB458" w:rsidR="0081235C" w:rsidRPr="009E35ED" w:rsidRDefault="0081235C" w:rsidP="00B90388">
            <w:pPr>
              <w:keepNext/>
              <w:keepLines/>
              <w:ind w:left="0"/>
              <w:jc w:val="right"/>
              <w:rPr>
                <w:rFonts w:ascii="Arial Narrow" w:hAnsi="Arial Narrow" w:cs="Arial"/>
                <w:color w:val="000000" w:themeColor="text1"/>
                <w:sz w:val="18"/>
                <w:szCs w:val="18"/>
                <w:lang w:val="en-PH" w:eastAsia="en-PH"/>
              </w:rPr>
            </w:pPr>
            <w:r w:rsidRPr="009E35ED">
              <w:rPr>
                <w:rFonts w:ascii="Arial Narrow" w:hAnsi="Arial Narrow"/>
                <w:color w:val="000000" w:themeColor="text1"/>
                <w:sz w:val="18"/>
                <w:szCs w:val="18"/>
              </w:rPr>
              <w:t xml:space="preserve"> 161,847,057 </w:t>
            </w:r>
          </w:p>
        </w:tc>
        <w:tc>
          <w:tcPr>
            <w:tcW w:w="1357" w:type="dxa"/>
            <w:tcBorders>
              <w:top w:val="nil"/>
              <w:left w:val="nil"/>
              <w:bottom w:val="nil"/>
              <w:right w:val="nil"/>
            </w:tcBorders>
            <w:shd w:val="clear" w:color="auto" w:fill="auto"/>
            <w:noWrap/>
            <w:hideMark/>
          </w:tcPr>
          <w:p w14:paraId="4C361C4A" w14:textId="19B9C4F0" w:rsidR="0081235C" w:rsidRPr="009E35ED" w:rsidRDefault="0081235C" w:rsidP="00B90388">
            <w:pPr>
              <w:keepNext/>
              <w:keepLines/>
              <w:ind w:left="0"/>
              <w:jc w:val="right"/>
              <w:rPr>
                <w:rFonts w:ascii="Arial Narrow" w:hAnsi="Arial Narrow" w:cs="Arial"/>
                <w:color w:val="000000" w:themeColor="text1"/>
                <w:sz w:val="18"/>
                <w:szCs w:val="18"/>
                <w:lang w:val="en-PH" w:eastAsia="en-PH"/>
              </w:rPr>
            </w:pPr>
            <w:r w:rsidRPr="009E35ED">
              <w:rPr>
                <w:rFonts w:ascii="Arial Narrow" w:hAnsi="Arial Narrow"/>
                <w:color w:val="000000" w:themeColor="text1"/>
                <w:sz w:val="18"/>
                <w:szCs w:val="18"/>
              </w:rPr>
              <w:t xml:space="preserve"> 189,440,444 </w:t>
            </w:r>
          </w:p>
        </w:tc>
        <w:tc>
          <w:tcPr>
            <w:tcW w:w="1440" w:type="dxa"/>
            <w:tcBorders>
              <w:top w:val="nil"/>
              <w:left w:val="nil"/>
              <w:bottom w:val="nil"/>
              <w:right w:val="nil"/>
            </w:tcBorders>
            <w:shd w:val="clear" w:color="auto" w:fill="auto"/>
            <w:noWrap/>
            <w:hideMark/>
          </w:tcPr>
          <w:p w14:paraId="52E82D5B" w14:textId="4B7C1BF6" w:rsidR="0081235C" w:rsidRPr="009E35ED" w:rsidRDefault="0081235C" w:rsidP="00B90388">
            <w:pPr>
              <w:keepNext/>
              <w:keepLines/>
              <w:ind w:left="0"/>
              <w:jc w:val="right"/>
              <w:rPr>
                <w:rFonts w:ascii="Arial Narrow" w:hAnsi="Arial Narrow" w:cs="Arial"/>
                <w:color w:val="000000" w:themeColor="text1"/>
                <w:sz w:val="18"/>
                <w:szCs w:val="18"/>
                <w:lang w:val="en-PH" w:eastAsia="en-PH"/>
              </w:rPr>
            </w:pPr>
            <w:r w:rsidRPr="009E35ED">
              <w:rPr>
                <w:rFonts w:ascii="Arial Narrow" w:hAnsi="Arial Narrow"/>
                <w:color w:val="000000" w:themeColor="text1"/>
                <w:sz w:val="18"/>
                <w:szCs w:val="18"/>
              </w:rPr>
              <w:t xml:space="preserve"> 3,401,594 </w:t>
            </w:r>
          </w:p>
        </w:tc>
        <w:tc>
          <w:tcPr>
            <w:tcW w:w="1530" w:type="dxa"/>
            <w:tcBorders>
              <w:top w:val="nil"/>
              <w:left w:val="nil"/>
              <w:bottom w:val="nil"/>
              <w:right w:val="nil"/>
            </w:tcBorders>
            <w:shd w:val="clear" w:color="auto" w:fill="auto"/>
            <w:noWrap/>
            <w:hideMark/>
          </w:tcPr>
          <w:p w14:paraId="3020DA2B" w14:textId="67946694" w:rsidR="0081235C" w:rsidRPr="009E35ED" w:rsidRDefault="0081235C" w:rsidP="00B90388">
            <w:pPr>
              <w:keepNext/>
              <w:keepLines/>
              <w:ind w:left="0"/>
              <w:jc w:val="right"/>
              <w:rPr>
                <w:rFonts w:ascii="Arial Narrow" w:hAnsi="Arial Narrow" w:cs="Arial"/>
                <w:color w:val="000000" w:themeColor="text1"/>
                <w:sz w:val="18"/>
                <w:szCs w:val="18"/>
                <w:lang w:val="en-PH" w:eastAsia="en-PH"/>
              </w:rPr>
            </w:pPr>
            <w:r w:rsidRPr="009E35ED">
              <w:rPr>
                <w:rFonts w:ascii="Arial Narrow" w:hAnsi="Arial Narrow"/>
                <w:color w:val="000000" w:themeColor="text1"/>
                <w:sz w:val="18"/>
                <w:szCs w:val="18"/>
              </w:rPr>
              <w:t xml:space="preserve"> 354,689,095 </w:t>
            </w:r>
          </w:p>
        </w:tc>
      </w:tr>
      <w:tr w:rsidR="00997F75" w:rsidRPr="009E35ED" w14:paraId="3B09A05F" w14:textId="77777777" w:rsidTr="00860ED6">
        <w:trPr>
          <w:gridAfter w:val="2"/>
          <w:wAfter w:w="3060" w:type="dxa"/>
          <w:trHeight w:val="193"/>
        </w:trPr>
        <w:tc>
          <w:tcPr>
            <w:tcW w:w="276" w:type="dxa"/>
            <w:tcBorders>
              <w:top w:val="nil"/>
              <w:left w:val="nil"/>
              <w:bottom w:val="nil"/>
              <w:right w:val="nil"/>
            </w:tcBorders>
            <w:shd w:val="clear" w:color="auto" w:fill="auto"/>
            <w:noWrap/>
            <w:vAlign w:val="bottom"/>
            <w:hideMark/>
          </w:tcPr>
          <w:p w14:paraId="7FCEE039" w14:textId="77777777" w:rsidR="0081235C" w:rsidRPr="009E35ED" w:rsidRDefault="0081235C" w:rsidP="00B90388">
            <w:pPr>
              <w:keepNext/>
              <w:keepLines/>
              <w:ind w:left="0"/>
              <w:jc w:val="left"/>
              <w:rPr>
                <w:rFonts w:ascii="Arial Narrow" w:hAnsi="Arial Narrow" w:cs="Arial"/>
                <w:color w:val="000000" w:themeColor="text1"/>
                <w:sz w:val="18"/>
                <w:szCs w:val="18"/>
                <w:lang w:val="en-PH" w:eastAsia="en-PH"/>
              </w:rPr>
            </w:pPr>
          </w:p>
        </w:tc>
        <w:tc>
          <w:tcPr>
            <w:tcW w:w="264" w:type="dxa"/>
            <w:tcBorders>
              <w:top w:val="nil"/>
              <w:left w:val="nil"/>
              <w:bottom w:val="nil"/>
              <w:right w:val="nil"/>
            </w:tcBorders>
            <w:shd w:val="clear" w:color="auto" w:fill="auto"/>
            <w:noWrap/>
            <w:vAlign w:val="bottom"/>
            <w:hideMark/>
          </w:tcPr>
          <w:p w14:paraId="3E7CF4CD" w14:textId="77777777" w:rsidR="0081235C" w:rsidRPr="009E35ED" w:rsidRDefault="0081235C" w:rsidP="00B90388">
            <w:pPr>
              <w:keepNext/>
              <w:keepLines/>
              <w:ind w:left="0"/>
              <w:jc w:val="left"/>
              <w:rPr>
                <w:rFonts w:ascii="Arial Narrow" w:hAnsi="Arial Narrow"/>
                <w:color w:val="000000" w:themeColor="text1"/>
                <w:sz w:val="18"/>
                <w:szCs w:val="18"/>
                <w:lang w:val="en-PH" w:eastAsia="en-PH"/>
              </w:rPr>
            </w:pPr>
          </w:p>
        </w:tc>
        <w:tc>
          <w:tcPr>
            <w:tcW w:w="2862" w:type="dxa"/>
            <w:tcBorders>
              <w:top w:val="nil"/>
              <w:left w:val="nil"/>
              <w:bottom w:val="nil"/>
              <w:right w:val="nil"/>
            </w:tcBorders>
            <w:shd w:val="clear" w:color="auto" w:fill="auto"/>
            <w:noWrap/>
            <w:vAlign w:val="bottom"/>
            <w:hideMark/>
          </w:tcPr>
          <w:p w14:paraId="5AC82D52" w14:textId="15CE1875" w:rsidR="0081235C" w:rsidRPr="009E35ED" w:rsidRDefault="0081235C" w:rsidP="00B90388">
            <w:pPr>
              <w:keepNext/>
              <w:keepLines/>
              <w:ind w:left="0"/>
              <w:jc w:val="left"/>
              <w:rPr>
                <w:rFonts w:ascii="Arial Narrow" w:hAnsi="Arial Narrow" w:cs="Arial"/>
                <w:color w:val="000000" w:themeColor="text1"/>
                <w:sz w:val="18"/>
                <w:szCs w:val="18"/>
                <w:lang w:val="en-PH" w:eastAsia="en-PH"/>
              </w:rPr>
            </w:pPr>
            <w:r w:rsidRPr="009E35ED">
              <w:rPr>
                <w:rFonts w:ascii="Arial Narrow" w:hAnsi="Arial Narrow" w:cs="Arial"/>
                <w:color w:val="000000" w:themeColor="text1"/>
                <w:sz w:val="18"/>
                <w:szCs w:val="18"/>
                <w:lang w:val="en-PH" w:eastAsia="en-PH"/>
              </w:rPr>
              <w:t>Rent</w:t>
            </w:r>
            <w:r w:rsidR="00F93FBC">
              <w:rPr>
                <w:rFonts w:ascii="Arial Narrow" w:hAnsi="Arial Narrow" w:cs="Arial"/>
                <w:color w:val="000000" w:themeColor="text1"/>
                <w:sz w:val="18"/>
                <w:szCs w:val="18"/>
                <w:lang w:val="en-PH" w:eastAsia="en-PH"/>
              </w:rPr>
              <w:t xml:space="preserve"> i</w:t>
            </w:r>
            <w:r w:rsidRPr="009E35ED">
              <w:rPr>
                <w:rFonts w:ascii="Arial Narrow" w:hAnsi="Arial Narrow" w:cs="Arial"/>
                <w:color w:val="000000" w:themeColor="text1"/>
                <w:sz w:val="18"/>
                <w:szCs w:val="18"/>
                <w:lang w:val="en-PH" w:eastAsia="en-PH"/>
              </w:rPr>
              <w:t>ncome</w:t>
            </w:r>
          </w:p>
        </w:tc>
        <w:tc>
          <w:tcPr>
            <w:tcW w:w="1530" w:type="dxa"/>
            <w:tcBorders>
              <w:top w:val="nil"/>
              <w:left w:val="nil"/>
              <w:bottom w:val="nil"/>
              <w:right w:val="nil"/>
            </w:tcBorders>
            <w:shd w:val="clear" w:color="auto" w:fill="auto"/>
            <w:noWrap/>
            <w:hideMark/>
          </w:tcPr>
          <w:p w14:paraId="4C7F7C41" w14:textId="433024E4" w:rsidR="0081235C" w:rsidRPr="009E35ED" w:rsidRDefault="0081235C" w:rsidP="00B90388">
            <w:pPr>
              <w:keepNext/>
              <w:keepLines/>
              <w:ind w:left="0"/>
              <w:jc w:val="right"/>
              <w:rPr>
                <w:rFonts w:ascii="Arial Narrow" w:hAnsi="Arial Narrow" w:cs="Arial"/>
                <w:color w:val="000000" w:themeColor="text1"/>
                <w:sz w:val="18"/>
                <w:szCs w:val="18"/>
                <w:lang w:val="en-PH" w:eastAsia="en-PH"/>
              </w:rPr>
            </w:pPr>
          </w:p>
        </w:tc>
        <w:tc>
          <w:tcPr>
            <w:tcW w:w="1357" w:type="dxa"/>
            <w:tcBorders>
              <w:top w:val="nil"/>
              <w:left w:val="nil"/>
              <w:bottom w:val="nil"/>
              <w:right w:val="nil"/>
            </w:tcBorders>
            <w:shd w:val="clear" w:color="auto" w:fill="auto"/>
            <w:noWrap/>
            <w:hideMark/>
          </w:tcPr>
          <w:p w14:paraId="51CE9ECE" w14:textId="2904129A" w:rsidR="0081235C" w:rsidRPr="009E35ED" w:rsidRDefault="0081235C" w:rsidP="00B90388">
            <w:pPr>
              <w:keepNext/>
              <w:keepLines/>
              <w:ind w:left="0"/>
              <w:jc w:val="right"/>
              <w:rPr>
                <w:rFonts w:ascii="Arial Narrow" w:hAnsi="Arial Narrow"/>
                <w:color w:val="000000" w:themeColor="text1"/>
                <w:sz w:val="18"/>
                <w:szCs w:val="18"/>
                <w:lang w:val="en-PH" w:eastAsia="en-PH"/>
              </w:rPr>
            </w:pPr>
          </w:p>
        </w:tc>
        <w:tc>
          <w:tcPr>
            <w:tcW w:w="1440" w:type="dxa"/>
            <w:tcBorders>
              <w:top w:val="nil"/>
              <w:left w:val="nil"/>
              <w:bottom w:val="nil"/>
              <w:right w:val="nil"/>
            </w:tcBorders>
            <w:shd w:val="clear" w:color="auto" w:fill="auto"/>
            <w:noWrap/>
            <w:hideMark/>
          </w:tcPr>
          <w:p w14:paraId="7EAF32D4" w14:textId="1C4A5445" w:rsidR="0081235C" w:rsidRPr="009E35ED" w:rsidRDefault="0081235C" w:rsidP="00B90388">
            <w:pPr>
              <w:keepNext/>
              <w:keepLines/>
              <w:ind w:left="0"/>
              <w:jc w:val="right"/>
              <w:rPr>
                <w:rFonts w:ascii="Arial Narrow" w:hAnsi="Arial Narrow"/>
                <w:color w:val="000000" w:themeColor="text1"/>
                <w:sz w:val="18"/>
                <w:szCs w:val="18"/>
                <w:lang w:val="en-PH" w:eastAsia="en-PH"/>
              </w:rPr>
            </w:pPr>
          </w:p>
        </w:tc>
        <w:tc>
          <w:tcPr>
            <w:tcW w:w="1530" w:type="dxa"/>
            <w:tcBorders>
              <w:top w:val="nil"/>
              <w:left w:val="nil"/>
              <w:bottom w:val="nil"/>
              <w:right w:val="nil"/>
            </w:tcBorders>
            <w:shd w:val="clear" w:color="auto" w:fill="auto"/>
            <w:noWrap/>
            <w:hideMark/>
          </w:tcPr>
          <w:p w14:paraId="223DE1BC" w14:textId="2452EE85" w:rsidR="0081235C" w:rsidRPr="009E35ED" w:rsidRDefault="0081235C" w:rsidP="00B90388">
            <w:pPr>
              <w:keepNext/>
              <w:keepLines/>
              <w:ind w:left="0"/>
              <w:jc w:val="right"/>
              <w:rPr>
                <w:rFonts w:ascii="Arial Narrow" w:hAnsi="Arial Narrow" w:cs="Arial"/>
                <w:color w:val="000000" w:themeColor="text1"/>
                <w:sz w:val="18"/>
                <w:szCs w:val="18"/>
                <w:lang w:val="en-PH" w:eastAsia="en-PH"/>
              </w:rPr>
            </w:pPr>
            <w:r w:rsidRPr="009E35ED">
              <w:rPr>
                <w:rFonts w:ascii="Arial Narrow" w:hAnsi="Arial Narrow"/>
                <w:color w:val="000000" w:themeColor="text1"/>
                <w:sz w:val="18"/>
                <w:szCs w:val="18"/>
              </w:rPr>
              <w:t xml:space="preserve"> -   </w:t>
            </w:r>
          </w:p>
        </w:tc>
      </w:tr>
      <w:tr w:rsidR="00997F75" w:rsidRPr="009E35ED" w14:paraId="6E4B300A" w14:textId="77777777" w:rsidTr="00860ED6">
        <w:trPr>
          <w:gridAfter w:val="2"/>
          <w:wAfter w:w="3060" w:type="dxa"/>
          <w:trHeight w:val="193"/>
        </w:trPr>
        <w:tc>
          <w:tcPr>
            <w:tcW w:w="276" w:type="dxa"/>
            <w:tcBorders>
              <w:top w:val="nil"/>
              <w:left w:val="nil"/>
              <w:bottom w:val="nil"/>
              <w:right w:val="nil"/>
            </w:tcBorders>
            <w:shd w:val="clear" w:color="auto" w:fill="auto"/>
            <w:hideMark/>
          </w:tcPr>
          <w:p w14:paraId="7B5A2364" w14:textId="77777777" w:rsidR="0081235C" w:rsidRPr="009E35ED" w:rsidRDefault="0081235C" w:rsidP="00B90388">
            <w:pPr>
              <w:keepNext/>
              <w:keepLines/>
              <w:ind w:left="0"/>
              <w:jc w:val="left"/>
              <w:rPr>
                <w:rFonts w:ascii="Arial Narrow" w:hAnsi="Arial Narrow" w:cs="Arial"/>
                <w:color w:val="000000" w:themeColor="text1"/>
                <w:sz w:val="18"/>
                <w:szCs w:val="18"/>
                <w:lang w:val="en-PH" w:eastAsia="en-PH"/>
              </w:rPr>
            </w:pPr>
          </w:p>
        </w:tc>
        <w:tc>
          <w:tcPr>
            <w:tcW w:w="264" w:type="dxa"/>
            <w:tcBorders>
              <w:top w:val="nil"/>
              <w:left w:val="nil"/>
              <w:bottom w:val="nil"/>
              <w:right w:val="nil"/>
            </w:tcBorders>
            <w:shd w:val="clear" w:color="auto" w:fill="auto"/>
            <w:noWrap/>
            <w:vAlign w:val="bottom"/>
            <w:hideMark/>
          </w:tcPr>
          <w:p w14:paraId="4C0CAD16" w14:textId="77777777" w:rsidR="0081235C" w:rsidRPr="009E35ED" w:rsidRDefault="0081235C" w:rsidP="00B90388">
            <w:pPr>
              <w:keepNext/>
              <w:keepLines/>
              <w:ind w:left="0"/>
              <w:jc w:val="left"/>
              <w:rPr>
                <w:rFonts w:ascii="Arial Narrow" w:hAnsi="Arial Narrow"/>
                <w:color w:val="000000" w:themeColor="text1"/>
                <w:sz w:val="18"/>
                <w:szCs w:val="18"/>
                <w:lang w:val="en-PH" w:eastAsia="en-PH"/>
              </w:rPr>
            </w:pPr>
          </w:p>
        </w:tc>
        <w:tc>
          <w:tcPr>
            <w:tcW w:w="2862" w:type="dxa"/>
            <w:tcBorders>
              <w:top w:val="nil"/>
              <w:left w:val="nil"/>
              <w:bottom w:val="nil"/>
              <w:right w:val="nil"/>
            </w:tcBorders>
            <w:shd w:val="clear" w:color="auto" w:fill="auto"/>
            <w:hideMark/>
          </w:tcPr>
          <w:p w14:paraId="1D590547" w14:textId="21B4E7A2" w:rsidR="0081235C" w:rsidRPr="009E35ED" w:rsidRDefault="0081235C" w:rsidP="00B90388">
            <w:pPr>
              <w:keepNext/>
              <w:keepLines/>
              <w:ind w:left="0"/>
              <w:jc w:val="left"/>
              <w:rPr>
                <w:rFonts w:ascii="Arial Narrow" w:hAnsi="Arial Narrow" w:cs="Arial"/>
                <w:color w:val="000000" w:themeColor="text1"/>
                <w:sz w:val="18"/>
                <w:szCs w:val="18"/>
                <w:lang w:val="en-PH" w:eastAsia="en-PH"/>
              </w:rPr>
            </w:pPr>
            <w:r w:rsidRPr="009E35ED">
              <w:rPr>
                <w:rFonts w:ascii="Arial Narrow" w:hAnsi="Arial Narrow" w:cs="Arial"/>
                <w:color w:val="000000" w:themeColor="text1"/>
                <w:sz w:val="18"/>
                <w:szCs w:val="18"/>
                <w:lang w:val="en-PH" w:eastAsia="en-PH"/>
              </w:rPr>
              <w:t xml:space="preserve">Other </w:t>
            </w:r>
            <w:r w:rsidR="00F93FBC">
              <w:rPr>
                <w:rFonts w:ascii="Arial Narrow" w:hAnsi="Arial Narrow" w:cs="Arial"/>
                <w:color w:val="000000" w:themeColor="text1"/>
                <w:sz w:val="18"/>
                <w:szCs w:val="18"/>
                <w:lang w:val="en-PH" w:eastAsia="en-PH"/>
              </w:rPr>
              <w:t>b</w:t>
            </w:r>
            <w:r w:rsidRPr="009E35ED">
              <w:rPr>
                <w:rFonts w:ascii="Arial Narrow" w:hAnsi="Arial Narrow" w:cs="Arial"/>
                <w:color w:val="000000" w:themeColor="text1"/>
                <w:sz w:val="18"/>
                <w:szCs w:val="18"/>
                <w:lang w:val="en-PH" w:eastAsia="en-PH"/>
              </w:rPr>
              <w:t xml:space="preserve">usiness </w:t>
            </w:r>
            <w:r w:rsidR="00F93FBC">
              <w:rPr>
                <w:rFonts w:ascii="Arial Narrow" w:hAnsi="Arial Narrow" w:cs="Arial"/>
                <w:color w:val="000000" w:themeColor="text1"/>
                <w:sz w:val="18"/>
                <w:szCs w:val="18"/>
                <w:lang w:val="en-PH" w:eastAsia="en-PH"/>
              </w:rPr>
              <w:t>i</w:t>
            </w:r>
            <w:r w:rsidRPr="009E35ED">
              <w:rPr>
                <w:rFonts w:ascii="Arial Narrow" w:hAnsi="Arial Narrow" w:cs="Arial"/>
                <w:color w:val="000000" w:themeColor="text1"/>
                <w:sz w:val="18"/>
                <w:szCs w:val="18"/>
                <w:lang w:val="en-PH" w:eastAsia="en-PH"/>
              </w:rPr>
              <w:t>ncome</w:t>
            </w:r>
          </w:p>
        </w:tc>
        <w:tc>
          <w:tcPr>
            <w:tcW w:w="1530" w:type="dxa"/>
            <w:tcBorders>
              <w:top w:val="nil"/>
              <w:left w:val="nil"/>
              <w:bottom w:val="nil"/>
              <w:right w:val="nil"/>
            </w:tcBorders>
            <w:shd w:val="clear" w:color="auto" w:fill="auto"/>
            <w:hideMark/>
          </w:tcPr>
          <w:p w14:paraId="7B2C37ED" w14:textId="1F2333E5" w:rsidR="0081235C" w:rsidRPr="009E35ED" w:rsidRDefault="0081235C" w:rsidP="00B90388">
            <w:pPr>
              <w:keepNext/>
              <w:keepLines/>
              <w:ind w:left="0"/>
              <w:jc w:val="right"/>
              <w:rPr>
                <w:rFonts w:ascii="Arial Narrow" w:hAnsi="Arial Narrow" w:cs="Arial"/>
                <w:color w:val="000000" w:themeColor="text1"/>
                <w:sz w:val="18"/>
                <w:szCs w:val="18"/>
                <w:lang w:val="en-PH" w:eastAsia="en-PH"/>
              </w:rPr>
            </w:pPr>
            <w:r w:rsidRPr="009E35ED">
              <w:rPr>
                <w:rFonts w:ascii="Arial Narrow" w:hAnsi="Arial Narrow"/>
                <w:color w:val="000000" w:themeColor="text1"/>
                <w:sz w:val="18"/>
                <w:szCs w:val="18"/>
              </w:rPr>
              <w:t xml:space="preserve"> 15,502,735 </w:t>
            </w:r>
          </w:p>
        </w:tc>
        <w:tc>
          <w:tcPr>
            <w:tcW w:w="1357" w:type="dxa"/>
            <w:tcBorders>
              <w:top w:val="nil"/>
              <w:left w:val="nil"/>
              <w:bottom w:val="nil"/>
              <w:right w:val="nil"/>
            </w:tcBorders>
            <w:shd w:val="clear" w:color="auto" w:fill="auto"/>
            <w:hideMark/>
          </w:tcPr>
          <w:p w14:paraId="6A6A75B5" w14:textId="248A9470" w:rsidR="0081235C" w:rsidRPr="009E35ED" w:rsidRDefault="0081235C" w:rsidP="00B90388">
            <w:pPr>
              <w:keepNext/>
              <w:keepLines/>
              <w:ind w:left="0"/>
              <w:jc w:val="right"/>
              <w:rPr>
                <w:rFonts w:ascii="Arial Narrow" w:hAnsi="Arial Narrow" w:cs="Arial"/>
                <w:color w:val="000000" w:themeColor="text1"/>
                <w:sz w:val="18"/>
                <w:szCs w:val="18"/>
                <w:lang w:val="en-PH" w:eastAsia="en-PH"/>
              </w:rPr>
            </w:pPr>
          </w:p>
        </w:tc>
        <w:tc>
          <w:tcPr>
            <w:tcW w:w="1440" w:type="dxa"/>
            <w:tcBorders>
              <w:top w:val="nil"/>
              <w:left w:val="nil"/>
              <w:bottom w:val="nil"/>
              <w:right w:val="nil"/>
            </w:tcBorders>
            <w:shd w:val="clear" w:color="auto" w:fill="auto"/>
            <w:hideMark/>
          </w:tcPr>
          <w:p w14:paraId="11328F47" w14:textId="736D41A9" w:rsidR="0081235C" w:rsidRPr="009E35ED" w:rsidRDefault="0081235C" w:rsidP="00B90388">
            <w:pPr>
              <w:keepNext/>
              <w:keepLines/>
              <w:ind w:left="0"/>
              <w:jc w:val="right"/>
              <w:rPr>
                <w:rFonts w:ascii="Arial Narrow" w:hAnsi="Arial Narrow" w:cs="Arial"/>
                <w:color w:val="000000" w:themeColor="text1"/>
                <w:sz w:val="18"/>
                <w:szCs w:val="18"/>
                <w:lang w:val="en-PH" w:eastAsia="en-PH"/>
              </w:rPr>
            </w:pPr>
          </w:p>
        </w:tc>
        <w:tc>
          <w:tcPr>
            <w:tcW w:w="1530" w:type="dxa"/>
            <w:tcBorders>
              <w:top w:val="nil"/>
              <w:left w:val="nil"/>
              <w:bottom w:val="nil"/>
              <w:right w:val="nil"/>
            </w:tcBorders>
            <w:shd w:val="clear" w:color="auto" w:fill="auto"/>
            <w:noWrap/>
            <w:hideMark/>
          </w:tcPr>
          <w:p w14:paraId="5BAF4732" w14:textId="6DD135D0" w:rsidR="0081235C" w:rsidRPr="009E35ED" w:rsidRDefault="0081235C" w:rsidP="00B90388">
            <w:pPr>
              <w:keepNext/>
              <w:keepLines/>
              <w:ind w:left="0"/>
              <w:jc w:val="right"/>
              <w:rPr>
                <w:rFonts w:ascii="Arial Narrow" w:hAnsi="Arial Narrow" w:cs="Arial"/>
                <w:color w:val="000000" w:themeColor="text1"/>
                <w:sz w:val="18"/>
                <w:szCs w:val="18"/>
                <w:lang w:val="en-PH" w:eastAsia="en-PH"/>
              </w:rPr>
            </w:pPr>
            <w:r w:rsidRPr="009E35ED">
              <w:rPr>
                <w:rFonts w:ascii="Arial Narrow" w:hAnsi="Arial Narrow"/>
                <w:color w:val="000000" w:themeColor="text1"/>
                <w:sz w:val="18"/>
                <w:szCs w:val="18"/>
              </w:rPr>
              <w:t xml:space="preserve"> 15,502,735 </w:t>
            </w:r>
          </w:p>
        </w:tc>
      </w:tr>
      <w:tr w:rsidR="00997F75" w:rsidRPr="009E35ED" w14:paraId="17937F9E" w14:textId="77777777" w:rsidTr="00860ED6">
        <w:trPr>
          <w:gridAfter w:val="2"/>
          <w:wAfter w:w="3060" w:type="dxa"/>
          <w:trHeight w:val="203"/>
        </w:trPr>
        <w:tc>
          <w:tcPr>
            <w:tcW w:w="276" w:type="dxa"/>
            <w:tcBorders>
              <w:top w:val="single" w:sz="4" w:space="0" w:color="auto"/>
              <w:left w:val="nil"/>
              <w:bottom w:val="single" w:sz="4" w:space="0" w:color="auto"/>
              <w:right w:val="nil"/>
            </w:tcBorders>
            <w:shd w:val="clear" w:color="auto" w:fill="auto"/>
            <w:noWrap/>
            <w:vAlign w:val="bottom"/>
            <w:hideMark/>
          </w:tcPr>
          <w:p w14:paraId="557ED888" w14:textId="77777777" w:rsidR="0081235C" w:rsidRPr="009E35ED" w:rsidRDefault="0081235C" w:rsidP="00B90388">
            <w:pPr>
              <w:keepNext/>
              <w:keepLines/>
              <w:ind w:left="0"/>
              <w:jc w:val="left"/>
              <w:rPr>
                <w:rFonts w:ascii="Arial Narrow" w:hAnsi="Arial Narrow" w:cs="Arial"/>
                <w:b/>
                <w:color w:val="000000" w:themeColor="text1"/>
                <w:sz w:val="18"/>
                <w:szCs w:val="18"/>
                <w:lang w:val="en-PH" w:eastAsia="en-PH"/>
              </w:rPr>
            </w:pPr>
            <w:r w:rsidRPr="009E35ED">
              <w:rPr>
                <w:rFonts w:ascii="Arial Narrow" w:hAnsi="Arial Narrow" w:cs="Arial"/>
                <w:b/>
                <w:color w:val="000000" w:themeColor="text1"/>
                <w:sz w:val="18"/>
                <w:szCs w:val="18"/>
                <w:lang w:val="en-PH" w:eastAsia="en-PH"/>
              </w:rPr>
              <w:t> </w:t>
            </w:r>
          </w:p>
        </w:tc>
        <w:tc>
          <w:tcPr>
            <w:tcW w:w="264" w:type="dxa"/>
            <w:tcBorders>
              <w:top w:val="single" w:sz="4" w:space="0" w:color="auto"/>
              <w:left w:val="nil"/>
              <w:bottom w:val="single" w:sz="4" w:space="0" w:color="auto"/>
              <w:right w:val="nil"/>
            </w:tcBorders>
            <w:shd w:val="clear" w:color="auto" w:fill="auto"/>
            <w:noWrap/>
            <w:vAlign w:val="bottom"/>
            <w:hideMark/>
          </w:tcPr>
          <w:p w14:paraId="7E45BEA2" w14:textId="77777777" w:rsidR="0081235C" w:rsidRPr="009E35ED" w:rsidRDefault="0081235C" w:rsidP="00B90388">
            <w:pPr>
              <w:keepNext/>
              <w:keepLines/>
              <w:ind w:left="0"/>
              <w:jc w:val="left"/>
              <w:rPr>
                <w:rFonts w:ascii="Arial Narrow" w:hAnsi="Arial Narrow" w:cs="Arial"/>
                <w:b/>
                <w:color w:val="000000" w:themeColor="text1"/>
                <w:sz w:val="18"/>
                <w:szCs w:val="18"/>
                <w:lang w:val="en-PH" w:eastAsia="en-PH"/>
              </w:rPr>
            </w:pPr>
            <w:r w:rsidRPr="009E35ED">
              <w:rPr>
                <w:rFonts w:ascii="Arial Narrow" w:hAnsi="Arial Narrow" w:cs="Arial"/>
                <w:b/>
                <w:color w:val="000000" w:themeColor="text1"/>
                <w:sz w:val="18"/>
                <w:szCs w:val="18"/>
                <w:lang w:val="en-PH" w:eastAsia="en-PH"/>
              </w:rPr>
              <w:t> </w:t>
            </w:r>
          </w:p>
        </w:tc>
        <w:tc>
          <w:tcPr>
            <w:tcW w:w="2862" w:type="dxa"/>
            <w:tcBorders>
              <w:top w:val="single" w:sz="4" w:space="0" w:color="auto"/>
              <w:left w:val="nil"/>
              <w:bottom w:val="single" w:sz="4" w:space="0" w:color="auto"/>
              <w:right w:val="nil"/>
            </w:tcBorders>
            <w:shd w:val="clear" w:color="auto" w:fill="auto"/>
            <w:noWrap/>
            <w:vAlign w:val="bottom"/>
            <w:hideMark/>
          </w:tcPr>
          <w:p w14:paraId="54AF35E6" w14:textId="77777777" w:rsidR="0081235C" w:rsidRPr="009E35ED" w:rsidRDefault="0081235C" w:rsidP="00B90388">
            <w:pPr>
              <w:keepNext/>
              <w:keepLines/>
              <w:ind w:left="0"/>
              <w:jc w:val="left"/>
              <w:rPr>
                <w:rFonts w:ascii="Arial Narrow" w:hAnsi="Arial Narrow" w:cs="Arial"/>
                <w:b/>
                <w:bCs/>
                <w:color w:val="000000" w:themeColor="text1"/>
                <w:sz w:val="18"/>
                <w:szCs w:val="18"/>
                <w:lang w:val="en-PH" w:eastAsia="en-PH"/>
              </w:rPr>
            </w:pPr>
            <w:r w:rsidRPr="009E35ED">
              <w:rPr>
                <w:rFonts w:ascii="Arial Narrow" w:hAnsi="Arial Narrow" w:cs="Arial"/>
                <w:b/>
                <w:bCs/>
                <w:color w:val="000000" w:themeColor="text1"/>
                <w:sz w:val="18"/>
                <w:szCs w:val="18"/>
                <w:lang w:val="en-PH" w:eastAsia="en-PH"/>
              </w:rPr>
              <w:t>Total Business Income</w:t>
            </w:r>
          </w:p>
        </w:tc>
        <w:tc>
          <w:tcPr>
            <w:tcW w:w="1530" w:type="dxa"/>
            <w:tcBorders>
              <w:top w:val="single" w:sz="4" w:space="0" w:color="auto"/>
              <w:left w:val="nil"/>
              <w:bottom w:val="single" w:sz="4" w:space="0" w:color="auto"/>
              <w:right w:val="nil"/>
            </w:tcBorders>
            <w:shd w:val="clear" w:color="auto" w:fill="auto"/>
            <w:noWrap/>
            <w:hideMark/>
          </w:tcPr>
          <w:p w14:paraId="60B3ABDE" w14:textId="3CB43E4C" w:rsidR="0081235C" w:rsidRPr="009E35ED" w:rsidRDefault="0081235C" w:rsidP="00B90388">
            <w:pPr>
              <w:keepNext/>
              <w:keepLines/>
              <w:ind w:left="0"/>
              <w:jc w:val="right"/>
              <w:rPr>
                <w:rFonts w:ascii="Arial Narrow" w:hAnsi="Arial Narrow" w:cs="Arial"/>
                <w:b/>
                <w:bCs/>
                <w:color w:val="000000" w:themeColor="text1"/>
                <w:sz w:val="18"/>
                <w:szCs w:val="18"/>
                <w:lang w:val="en-PH" w:eastAsia="en-PH"/>
              </w:rPr>
            </w:pPr>
            <w:r w:rsidRPr="009E35ED">
              <w:rPr>
                <w:rFonts w:ascii="Arial Narrow" w:hAnsi="Arial Narrow"/>
                <w:color w:val="000000" w:themeColor="text1"/>
                <w:sz w:val="18"/>
                <w:szCs w:val="18"/>
              </w:rPr>
              <w:t xml:space="preserve"> 10,337,320,071 </w:t>
            </w:r>
          </w:p>
        </w:tc>
        <w:tc>
          <w:tcPr>
            <w:tcW w:w="1357" w:type="dxa"/>
            <w:tcBorders>
              <w:top w:val="single" w:sz="4" w:space="0" w:color="auto"/>
              <w:left w:val="nil"/>
              <w:bottom w:val="single" w:sz="4" w:space="0" w:color="auto"/>
              <w:right w:val="nil"/>
            </w:tcBorders>
            <w:shd w:val="clear" w:color="auto" w:fill="auto"/>
            <w:noWrap/>
            <w:hideMark/>
          </w:tcPr>
          <w:p w14:paraId="67D55264" w14:textId="0ADFF1F6" w:rsidR="0081235C" w:rsidRPr="009E35ED" w:rsidRDefault="0081235C" w:rsidP="00B90388">
            <w:pPr>
              <w:keepNext/>
              <w:keepLines/>
              <w:ind w:left="0"/>
              <w:jc w:val="right"/>
              <w:rPr>
                <w:rFonts w:ascii="Arial Narrow" w:hAnsi="Arial Narrow" w:cs="Arial"/>
                <w:b/>
                <w:bCs/>
                <w:color w:val="000000" w:themeColor="text1"/>
                <w:sz w:val="18"/>
                <w:szCs w:val="18"/>
                <w:lang w:val="en-PH" w:eastAsia="en-PH"/>
              </w:rPr>
            </w:pPr>
            <w:r w:rsidRPr="009E35ED">
              <w:rPr>
                <w:rFonts w:ascii="Arial Narrow" w:hAnsi="Arial Narrow"/>
                <w:color w:val="000000" w:themeColor="text1"/>
                <w:sz w:val="18"/>
                <w:szCs w:val="18"/>
              </w:rPr>
              <w:t xml:space="preserve"> 18,308,294,951 </w:t>
            </w:r>
          </w:p>
        </w:tc>
        <w:tc>
          <w:tcPr>
            <w:tcW w:w="1440" w:type="dxa"/>
            <w:tcBorders>
              <w:top w:val="single" w:sz="4" w:space="0" w:color="auto"/>
              <w:left w:val="nil"/>
              <w:bottom w:val="single" w:sz="4" w:space="0" w:color="auto"/>
              <w:right w:val="nil"/>
            </w:tcBorders>
            <w:shd w:val="clear" w:color="auto" w:fill="auto"/>
            <w:noWrap/>
            <w:hideMark/>
          </w:tcPr>
          <w:p w14:paraId="7DC6B1FF" w14:textId="74C7B6B3" w:rsidR="0081235C" w:rsidRPr="009E35ED" w:rsidRDefault="0081235C" w:rsidP="00B90388">
            <w:pPr>
              <w:keepNext/>
              <w:keepLines/>
              <w:ind w:left="0"/>
              <w:jc w:val="right"/>
              <w:rPr>
                <w:rFonts w:ascii="Arial Narrow" w:hAnsi="Arial Narrow" w:cs="Arial"/>
                <w:b/>
                <w:bCs/>
                <w:color w:val="000000" w:themeColor="text1"/>
                <w:sz w:val="18"/>
                <w:szCs w:val="18"/>
                <w:lang w:val="en-PH" w:eastAsia="en-PH"/>
              </w:rPr>
            </w:pPr>
            <w:r w:rsidRPr="009E35ED">
              <w:rPr>
                <w:rFonts w:ascii="Arial Narrow" w:hAnsi="Arial Narrow"/>
                <w:color w:val="000000" w:themeColor="text1"/>
                <w:sz w:val="18"/>
                <w:szCs w:val="18"/>
              </w:rPr>
              <w:t xml:space="preserve"> 33,207,272,11</w:t>
            </w:r>
            <w:r w:rsidR="00D56D71" w:rsidRPr="009E35ED">
              <w:rPr>
                <w:rFonts w:ascii="Arial Narrow" w:hAnsi="Arial Narrow"/>
                <w:color w:val="000000" w:themeColor="text1"/>
                <w:sz w:val="18"/>
                <w:szCs w:val="18"/>
              </w:rPr>
              <w:t>0</w:t>
            </w:r>
            <w:r w:rsidRPr="009E35ED">
              <w:rPr>
                <w:rFonts w:ascii="Arial Narrow" w:hAnsi="Arial Narrow"/>
                <w:color w:val="000000" w:themeColor="text1"/>
                <w:sz w:val="18"/>
                <w:szCs w:val="18"/>
              </w:rPr>
              <w:t xml:space="preserve"> </w:t>
            </w:r>
          </w:p>
        </w:tc>
        <w:tc>
          <w:tcPr>
            <w:tcW w:w="1530" w:type="dxa"/>
            <w:tcBorders>
              <w:top w:val="single" w:sz="4" w:space="0" w:color="auto"/>
              <w:left w:val="nil"/>
              <w:bottom w:val="single" w:sz="4" w:space="0" w:color="auto"/>
              <w:right w:val="nil"/>
            </w:tcBorders>
            <w:shd w:val="clear" w:color="auto" w:fill="auto"/>
            <w:noWrap/>
            <w:hideMark/>
          </w:tcPr>
          <w:p w14:paraId="4AA78483" w14:textId="5F9368C3" w:rsidR="0081235C" w:rsidRPr="009E35ED" w:rsidRDefault="0081235C" w:rsidP="00B90388">
            <w:pPr>
              <w:keepNext/>
              <w:keepLines/>
              <w:ind w:left="0"/>
              <w:jc w:val="right"/>
              <w:rPr>
                <w:rFonts w:ascii="Arial Narrow" w:hAnsi="Arial Narrow" w:cs="Arial"/>
                <w:b/>
                <w:bCs/>
                <w:color w:val="000000" w:themeColor="text1"/>
                <w:sz w:val="18"/>
                <w:szCs w:val="18"/>
                <w:lang w:val="en-PH" w:eastAsia="en-PH"/>
              </w:rPr>
            </w:pPr>
            <w:r w:rsidRPr="009E35ED">
              <w:rPr>
                <w:rFonts w:ascii="Arial Narrow" w:hAnsi="Arial Narrow"/>
                <w:color w:val="000000" w:themeColor="text1"/>
                <w:sz w:val="18"/>
                <w:szCs w:val="18"/>
              </w:rPr>
              <w:t xml:space="preserve"> 61,852,887,13</w:t>
            </w:r>
            <w:r w:rsidR="00D56D71" w:rsidRPr="009E35ED">
              <w:rPr>
                <w:rFonts w:ascii="Arial Narrow" w:hAnsi="Arial Narrow"/>
                <w:color w:val="000000" w:themeColor="text1"/>
                <w:sz w:val="18"/>
                <w:szCs w:val="18"/>
              </w:rPr>
              <w:t>2</w:t>
            </w:r>
            <w:r w:rsidRPr="009E35ED">
              <w:rPr>
                <w:rFonts w:ascii="Arial Narrow" w:hAnsi="Arial Narrow"/>
                <w:color w:val="000000" w:themeColor="text1"/>
                <w:sz w:val="18"/>
                <w:szCs w:val="18"/>
              </w:rPr>
              <w:t xml:space="preserve"> </w:t>
            </w:r>
          </w:p>
        </w:tc>
      </w:tr>
      <w:tr w:rsidR="00997F75" w:rsidRPr="009E35ED" w14:paraId="296A6B5A" w14:textId="77777777" w:rsidTr="00860ED6">
        <w:trPr>
          <w:gridAfter w:val="2"/>
          <w:wAfter w:w="3060" w:type="dxa"/>
          <w:trHeight w:val="213"/>
        </w:trPr>
        <w:tc>
          <w:tcPr>
            <w:tcW w:w="3402" w:type="dxa"/>
            <w:gridSpan w:val="3"/>
            <w:tcBorders>
              <w:top w:val="single" w:sz="4" w:space="0" w:color="auto"/>
              <w:left w:val="nil"/>
              <w:bottom w:val="single" w:sz="8" w:space="0" w:color="auto"/>
              <w:right w:val="nil"/>
            </w:tcBorders>
            <w:shd w:val="clear" w:color="auto" w:fill="auto"/>
            <w:noWrap/>
            <w:vAlign w:val="bottom"/>
            <w:hideMark/>
          </w:tcPr>
          <w:p w14:paraId="109384B4" w14:textId="77777777" w:rsidR="00D74EE0" w:rsidRPr="009E35ED" w:rsidRDefault="00D74EE0" w:rsidP="00B90388">
            <w:pPr>
              <w:keepNext/>
              <w:keepLines/>
              <w:ind w:left="0"/>
              <w:jc w:val="left"/>
              <w:rPr>
                <w:rFonts w:ascii="Arial Narrow" w:hAnsi="Arial Narrow" w:cs="Arial"/>
                <w:b/>
                <w:bCs/>
                <w:color w:val="000000" w:themeColor="text1"/>
                <w:sz w:val="18"/>
                <w:szCs w:val="18"/>
                <w:lang w:val="en-PH" w:eastAsia="en-PH"/>
              </w:rPr>
            </w:pPr>
            <w:r w:rsidRPr="009E35ED">
              <w:rPr>
                <w:rFonts w:ascii="Arial Narrow" w:hAnsi="Arial Narrow" w:cs="Arial"/>
                <w:b/>
                <w:bCs/>
                <w:color w:val="000000" w:themeColor="text1"/>
                <w:sz w:val="18"/>
                <w:szCs w:val="18"/>
                <w:lang w:val="en-PH" w:eastAsia="en-PH"/>
              </w:rPr>
              <w:t>Total Service and Business Income</w:t>
            </w:r>
          </w:p>
        </w:tc>
        <w:tc>
          <w:tcPr>
            <w:tcW w:w="1530" w:type="dxa"/>
            <w:tcBorders>
              <w:top w:val="nil"/>
              <w:left w:val="nil"/>
              <w:bottom w:val="single" w:sz="8" w:space="0" w:color="auto"/>
              <w:right w:val="nil"/>
            </w:tcBorders>
            <w:shd w:val="clear" w:color="auto" w:fill="auto"/>
            <w:noWrap/>
            <w:hideMark/>
          </w:tcPr>
          <w:p w14:paraId="065698A1" w14:textId="3ADC9750" w:rsidR="00D74EE0" w:rsidRPr="009E35ED" w:rsidRDefault="00D56D71" w:rsidP="00B90388">
            <w:pPr>
              <w:keepNext/>
              <w:keepLines/>
              <w:ind w:left="0"/>
              <w:jc w:val="right"/>
              <w:rPr>
                <w:rFonts w:ascii="Arial Narrow" w:hAnsi="Arial Narrow" w:cs="Arial"/>
                <w:b/>
                <w:bCs/>
                <w:color w:val="000000" w:themeColor="text1"/>
                <w:sz w:val="18"/>
                <w:szCs w:val="18"/>
                <w:lang w:val="en-PH" w:eastAsia="en-PH"/>
              </w:rPr>
            </w:pPr>
            <w:r w:rsidRPr="009E35ED">
              <w:rPr>
                <w:rFonts w:ascii="Arial Narrow" w:hAnsi="Arial Narrow"/>
                <w:b/>
                <w:bCs/>
                <w:color w:val="000000" w:themeColor="text1"/>
                <w:sz w:val="18"/>
                <w:szCs w:val="18"/>
              </w:rPr>
              <w:t xml:space="preserve"> 10,489,724,796</w:t>
            </w:r>
            <w:r w:rsidR="00D74EE0" w:rsidRPr="009E35ED">
              <w:rPr>
                <w:rFonts w:ascii="Arial Narrow" w:hAnsi="Arial Narrow"/>
                <w:b/>
                <w:bCs/>
                <w:color w:val="000000" w:themeColor="text1"/>
                <w:sz w:val="18"/>
                <w:szCs w:val="18"/>
              </w:rPr>
              <w:t xml:space="preserve"> </w:t>
            </w:r>
          </w:p>
        </w:tc>
        <w:tc>
          <w:tcPr>
            <w:tcW w:w="1357" w:type="dxa"/>
            <w:tcBorders>
              <w:top w:val="nil"/>
              <w:left w:val="nil"/>
              <w:bottom w:val="single" w:sz="8" w:space="0" w:color="auto"/>
              <w:right w:val="nil"/>
            </w:tcBorders>
            <w:shd w:val="clear" w:color="auto" w:fill="auto"/>
            <w:noWrap/>
            <w:hideMark/>
          </w:tcPr>
          <w:p w14:paraId="432A048C" w14:textId="5A12D8D7" w:rsidR="00D74EE0" w:rsidRPr="009E35ED" w:rsidRDefault="00D74EE0" w:rsidP="00B90388">
            <w:pPr>
              <w:keepNext/>
              <w:keepLines/>
              <w:ind w:left="0"/>
              <w:jc w:val="right"/>
              <w:rPr>
                <w:rFonts w:ascii="Arial Narrow" w:hAnsi="Arial Narrow" w:cs="Arial"/>
                <w:b/>
                <w:bCs/>
                <w:color w:val="000000" w:themeColor="text1"/>
                <w:sz w:val="18"/>
                <w:szCs w:val="18"/>
                <w:lang w:val="en-PH" w:eastAsia="en-PH"/>
              </w:rPr>
            </w:pPr>
            <w:r w:rsidRPr="009E35ED">
              <w:rPr>
                <w:rFonts w:ascii="Arial Narrow" w:hAnsi="Arial Narrow"/>
                <w:b/>
                <w:bCs/>
                <w:color w:val="000000" w:themeColor="text1"/>
                <w:sz w:val="18"/>
                <w:szCs w:val="18"/>
              </w:rPr>
              <w:t xml:space="preserve"> 18,308,294,951 </w:t>
            </w:r>
          </w:p>
        </w:tc>
        <w:tc>
          <w:tcPr>
            <w:tcW w:w="1440" w:type="dxa"/>
            <w:tcBorders>
              <w:top w:val="nil"/>
              <w:left w:val="nil"/>
              <w:bottom w:val="single" w:sz="8" w:space="0" w:color="auto"/>
              <w:right w:val="nil"/>
            </w:tcBorders>
            <w:shd w:val="clear" w:color="auto" w:fill="auto"/>
            <w:noWrap/>
            <w:hideMark/>
          </w:tcPr>
          <w:p w14:paraId="3DFD4135" w14:textId="198DFD47" w:rsidR="00D74EE0" w:rsidRPr="009E35ED" w:rsidRDefault="00D74EE0" w:rsidP="00B90388">
            <w:pPr>
              <w:keepNext/>
              <w:keepLines/>
              <w:ind w:left="0"/>
              <w:jc w:val="right"/>
              <w:rPr>
                <w:rFonts w:ascii="Arial Narrow" w:hAnsi="Arial Narrow" w:cs="Arial"/>
                <w:b/>
                <w:bCs/>
                <w:color w:val="000000" w:themeColor="text1"/>
                <w:sz w:val="18"/>
                <w:szCs w:val="18"/>
                <w:lang w:val="en-PH" w:eastAsia="en-PH"/>
              </w:rPr>
            </w:pPr>
            <w:r w:rsidRPr="009E35ED">
              <w:rPr>
                <w:rFonts w:ascii="Arial Narrow" w:hAnsi="Arial Narrow"/>
                <w:b/>
                <w:bCs/>
                <w:color w:val="000000" w:themeColor="text1"/>
                <w:sz w:val="18"/>
                <w:szCs w:val="18"/>
              </w:rPr>
              <w:t xml:space="preserve"> 33,207,272,11</w:t>
            </w:r>
            <w:r w:rsidR="00D56D71" w:rsidRPr="009E35ED">
              <w:rPr>
                <w:rFonts w:ascii="Arial Narrow" w:hAnsi="Arial Narrow"/>
                <w:b/>
                <w:bCs/>
                <w:color w:val="000000" w:themeColor="text1"/>
                <w:sz w:val="18"/>
                <w:szCs w:val="18"/>
              </w:rPr>
              <w:t>0</w:t>
            </w:r>
            <w:r w:rsidRPr="009E35ED">
              <w:rPr>
                <w:rFonts w:ascii="Arial Narrow" w:hAnsi="Arial Narrow"/>
                <w:b/>
                <w:bCs/>
                <w:color w:val="000000" w:themeColor="text1"/>
                <w:sz w:val="18"/>
                <w:szCs w:val="18"/>
              </w:rPr>
              <w:t xml:space="preserve"> </w:t>
            </w:r>
          </w:p>
        </w:tc>
        <w:tc>
          <w:tcPr>
            <w:tcW w:w="1530" w:type="dxa"/>
            <w:tcBorders>
              <w:top w:val="nil"/>
              <w:left w:val="nil"/>
              <w:bottom w:val="single" w:sz="8" w:space="0" w:color="auto"/>
              <w:right w:val="nil"/>
            </w:tcBorders>
            <w:shd w:val="clear" w:color="auto" w:fill="auto"/>
            <w:noWrap/>
            <w:hideMark/>
          </w:tcPr>
          <w:p w14:paraId="37BB59A2" w14:textId="7E4867A1" w:rsidR="00D74EE0" w:rsidRPr="009E35ED" w:rsidRDefault="00D74EE0" w:rsidP="00B90388">
            <w:pPr>
              <w:keepNext/>
              <w:keepLines/>
              <w:ind w:left="0"/>
              <w:jc w:val="right"/>
              <w:rPr>
                <w:rFonts w:ascii="Arial Narrow" w:hAnsi="Arial Narrow" w:cs="Arial"/>
                <w:b/>
                <w:bCs/>
                <w:color w:val="000000" w:themeColor="text1"/>
                <w:sz w:val="18"/>
                <w:szCs w:val="18"/>
                <w:lang w:val="en-PH" w:eastAsia="en-PH"/>
              </w:rPr>
            </w:pPr>
            <w:r w:rsidRPr="009E35ED">
              <w:rPr>
                <w:rFonts w:ascii="Arial Narrow" w:hAnsi="Arial Narrow"/>
                <w:b/>
                <w:bCs/>
                <w:color w:val="000000" w:themeColor="text1"/>
                <w:sz w:val="18"/>
                <w:szCs w:val="18"/>
              </w:rPr>
              <w:t xml:space="preserve"> 62,005,291,857 </w:t>
            </w:r>
          </w:p>
        </w:tc>
      </w:tr>
      <w:tr w:rsidR="00997F75" w:rsidRPr="009E35ED" w14:paraId="4D27838C" w14:textId="77777777" w:rsidTr="00860ED6">
        <w:trPr>
          <w:gridAfter w:val="2"/>
          <w:wAfter w:w="3060" w:type="dxa"/>
          <w:trHeight w:val="203"/>
        </w:trPr>
        <w:tc>
          <w:tcPr>
            <w:tcW w:w="276" w:type="dxa"/>
            <w:tcBorders>
              <w:top w:val="nil"/>
              <w:left w:val="nil"/>
              <w:bottom w:val="nil"/>
              <w:right w:val="nil"/>
            </w:tcBorders>
            <w:shd w:val="clear" w:color="auto" w:fill="auto"/>
            <w:noWrap/>
            <w:vAlign w:val="bottom"/>
          </w:tcPr>
          <w:p w14:paraId="72A52AD1" w14:textId="77777777" w:rsidR="0081235C" w:rsidRPr="009E35ED" w:rsidRDefault="0081235C" w:rsidP="0081235C">
            <w:pPr>
              <w:ind w:left="0"/>
              <w:jc w:val="center"/>
              <w:rPr>
                <w:rFonts w:ascii="Arial Narrow" w:hAnsi="Arial Narrow" w:cs="Arial"/>
                <w:b/>
                <w:bCs/>
                <w:color w:val="000000" w:themeColor="text1"/>
                <w:sz w:val="18"/>
                <w:szCs w:val="18"/>
                <w:lang w:val="en-PH" w:eastAsia="en-PH"/>
              </w:rPr>
            </w:pPr>
          </w:p>
        </w:tc>
        <w:tc>
          <w:tcPr>
            <w:tcW w:w="264" w:type="dxa"/>
            <w:tcBorders>
              <w:top w:val="nil"/>
              <w:left w:val="nil"/>
              <w:bottom w:val="nil"/>
              <w:right w:val="nil"/>
            </w:tcBorders>
            <w:shd w:val="clear" w:color="auto" w:fill="auto"/>
            <w:noWrap/>
            <w:vAlign w:val="bottom"/>
          </w:tcPr>
          <w:p w14:paraId="45688CEF" w14:textId="77777777" w:rsidR="0081235C" w:rsidRPr="009E35ED" w:rsidRDefault="0081235C" w:rsidP="0081235C">
            <w:pPr>
              <w:ind w:left="0"/>
              <w:jc w:val="left"/>
              <w:rPr>
                <w:rFonts w:ascii="Arial Narrow" w:hAnsi="Arial Narrow"/>
                <w:color w:val="000000" w:themeColor="text1"/>
                <w:sz w:val="18"/>
                <w:szCs w:val="18"/>
                <w:lang w:val="en-PH" w:eastAsia="en-PH"/>
              </w:rPr>
            </w:pPr>
          </w:p>
        </w:tc>
        <w:tc>
          <w:tcPr>
            <w:tcW w:w="2862" w:type="dxa"/>
            <w:tcBorders>
              <w:top w:val="nil"/>
              <w:left w:val="nil"/>
              <w:bottom w:val="nil"/>
              <w:right w:val="nil"/>
            </w:tcBorders>
            <w:shd w:val="clear" w:color="auto" w:fill="auto"/>
            <w:noWrap/>
            <w:vAlign w:val="bottom"/>
          </w:tcPr>
          <w:p w14:paraId="56F39426" w14:textId="77777777" w:rsidR="0081235C" w:rsidRPr="009E35ED" w:rsidRDefault="0081235C" w:rsidP="0081235C">
            <w:pPr>
              <w:ind w:left="0"/>
              <w:jc w:val="left"/>
              <w:rPr>
                <w:rFonts w:ascii="Arial Narrow" w:hAnsi="Arial Narrow"/>
                <w:color w:val="000000" w:themeColor="text1"/>
                <w:sz w:val="18"/>
                <w:szCs w:val="18"/>
                <w:lang w:val="en-PH" w:eastAsia="en-PH"/>
              </w:rPr>
            </w:pPr>
          </w:p>
        </w:tc>
        <w:tc>
          <w:tcPr>
            <w:tcW w:w="1530" w:type="dxa"/>
            <w:tcBorders>
              <w:top w:val="nil"/>
              <w:left w:val="nil"/>
              <w:bottom w:val="nil"/>
              <w:right w:val="nil"/>
            </w:tcBorders>
            <w:shd w:val="clear" w:color="auto" w:fill="auto"/>
            <w:noWrap/>
          </w:tcPr>
          <w:p w14:paraId="59876226" w14:textId="734D3B8B" w:rsidR="0081235C" w:rsidRPr="009E35ED" w:rsidRDefault="0081235C" w:rsidP="0081235C">
            <w:pPr>
              <w:ind w:left="0"/>
              <w:jc w:val="right"/>
              <w:rPr>
                <w:rFonts w:ascii="Arial Narrow" w:hAnsi="Arial Narrow"/>
                <w:color w:val="000000" w:themeColor="text1"/>
                <w:sz w:val="18"/>
                <w:szCs w:val="18"/>
                <w:lang w:val="en-PH" w:eastAsia="en-PH"/>
              </w:rPr>
            </w:pPr>
          </w:p>
        </w:tc>
        <w:tc>
          <w:tcPr>
            <w:tcW w:w="1357" w:type="dxa"/>
            <w:tcBorders>
              <w:top w:val="nil"/>
              <w:left w:val="nil"/>
              <w:bottom w:val="nil"/>
              <w:right w:val="nil"/>
            </w:tcBorders>
            <w:shd w:val="clear" w:color="auto" w:fill="auto"/>
            <w:noWrap/>
          </w:tcPr>
          <w:p w14:paraId="39CD3EAC" w14:textId="6370A3EA" w:rsidR="0081235C" w:rsidRPr="009E35ED" w:rsidRDefault="0081235C" w:rsidP="0081235C">
            <w:pPr>
              <w:ind w:left="0"/>
              <w:jc w:val="right"/>
              <w:rPr>
                <w:rFonts w:ascii="Arial Narrow" w:hAnsi="Arial Narrow"/>
                <w:color w:val="000000" w:themeColor="text1"/>
                <w:sz w:val="18"/>
                <w:szCs w:val="18"/>
                <w:lang w:val="en-PH" w:eastAsia="en-PH"/>
              </w:rPr>
            </w:pPr>
          </w:p>
        </w:tc>
        <w:tc>
          <w:tcPr>
            <w:tcW w:w="1440" w:type="dxa"/>
            <w:tcBorders>
              <w:top w:val="nil"/>
              <w:left w:val="nil"/>
              <w:bottom w:val="nil"/>
              <w:right w:val="nil"/>
            </w:tcBorders>
            <w:shd w:val="clear" w:color="auto" w:fill="auto"/>
            <w:noWrap/>
          </w:tcPr>
          <w:p w14:paraId="11EA116C" w14:textId="46B33121" w:rsidR="0081235C" w:rsidRPr="009E35ED" w:rsidRDefault="0081235C" w:rsidP="0081235C">
            <w:pPr>
              <w:ind w:left="0"/>
              <w:jc w:val="right"/>
              <w:rPr>
                <w:rFonts w:ascii="Arial Narrow" w:hAnsi="Arial Narrow"/>
                <w:color w:val="000000" w:themeColor="text1"/>
                <w:sz w:val="18"/>
                <w:szCs w:val="18"/>
                <w:lang w:val="en-PH" w:eastAsia="en-PH"/>
              </w:rPr>
            </w:pPr>
          </w:p>
        </w:tc>
        <w:tc>
          <w:tcPr>
            <w:tcW w:w="1530" w:type="dxa"/>
            <w:tcBorders>
              <w:top w:val="nil"/>
              <w:left w:val="nil"/>
              <w:bottom w:val="nil"/>
              <w:right w:val="nil"/>
            </w:tcBorders>
            <w:shd w:val="clear" w:color="auto" w:fill="auto"/>
            <w:noWrap/>
          </w:tcPr>
          <w:p w14:paraId="5BAB13E8" w14:textId="62B14BBB" w:rsidR="0081235C" w:rsidRPr="009E35ED" w:rsidRDefault="0081235C" w:rsidP="0081235C">
            <w:pPr>
              <w:ind w:left="0"/>
              <w:jc w:val="right"/>
              <w:rPr>
                <w:rFonts w:ascii="Arial Narrow" w:hAnsi="Arial Narrow"/>
                <w:color w:val="000000" w:themeColor="text1"/>
                <w:sz w:val="18"/>
                <w:szCs w:val="18"/>
                <w:lang w:val="en-PH" w:eastAsia="en-PH"/>
              </w:rPr>
            </w:pPr>
          </w:p>
        </w:tc>
      </w:tr>
      <w:tr w:rsidR="00997F75" w:rsidRPr="009E35ED" w14:paraId="0385DEED" w14:textId="77777777" w:rsidTr="00860ED6">
        <w:trPr>
          <w:gridAfter w:val="2"/>
          <w:wAfter w:w="3060" w:type="dxa"/>
          <w:trHeight w:val="203"/>
        </w:trPr>
        <w:tc>
          <w:tcPr>
            <w:tcW w:w="3402" w:type="dxa"/>
            <w:gridSpan w:val="3"/>
            <w:tcBorders>
              <w:top w:val="nil"/>
              <w:left w:val="nil"/>
              <w:bottom w:val="nil"/>
              <w:right w:val="nil"/>
            </w:tcBorders>
            <w:shd w:val="clear" w:color="auto" w:fill="auto"/>
            <w:noWrap/>
            <w:vAlign w:val="bottom"/>
            <w:hideMark/>
          </w:tcPr>
          <w:p w14:paraId="7FEE6AA5" w14:textId="77777777" w:rsidR="00AF33E4" w:rsidRPr="009E35ED" w:rsidRDefault="00AF33E4" w:rsidP="00AF33E4">
            <w:pPr>
              <w:ind w:left="0"/>
              <w:jc w:val="left"/>
              <w:rPr>
                <w:rFonts w:ascii="Arial Narrow" w:hAnsi="Arial Narrow" w:cs="Arial"/>
                <w:b/>
                <w:bCs/>
                <w:color w:val="000000" w:themeColor="text1"/>
                <w:sz w:val="18"/>
                <w:szCs w:val="18"/>
                <w:lang w:val="en-PH" w:eastAsia="en-PH"/>
              </w:rPr>
            </w:pPr>
            <w:r w:rsidRPr="009E35ED">
              <w:rPr>
                <w:rFonts w:ascii="Arial Narrow" w:hAnsi="Arial Narrow" w:cs="Arial"/>
                <w:b/>
                <w:bCs/>
                <w:color w:val="000000" w:themeColor="text1"/>
                <w:sz w:val="18"/>
                <w:szCs w:val="18"/>
                <w:lang w:val="en-PH" w:eastAsia="en-PH"/>
              </w:rPr>
              <w:t>Gains</w:t>
            </w:r>
          </w:p>
        </w:tc>
        <w:tc>
          <w:tcPr>
            <w:tcW w:w="1530" w:type="dxa"/>
            <w:tcBorders>
              <w:top w:val="nil"/>
              <w:left w:val="nil"/>
              <w:bottom w:val="nil"/>
              <w:right w:val="nil"/>
            </w:tcBorders>
            <w:shd w:val="clear" w:color="auto" w:fill="auto"/>
            <w:noWrap/>
            <w:vAlign w:val="bottom"/>
            <w:hideMark/>
          </w:tcPr>
          <w:p w14:paraId="787E4582" w14:textId="77777777" w:rsidR="00AF33E4" w:rsidRPr="009E35ED" w:rsidRDefault="00AF33E4" w:rsidP="00AF33E4">
            <w:pPr>
              <w:ind w:left="0"/>
              <w:jc w:val="right"/>
              <w:rPr>
                <w:rFonts w:ascii="Arial Narrow" w:hAnsi="Arial Narrow" w:cs="Arial"/>
                <w:b/>
                <w:bCs/>
                <w:color w:val="000000" w:themeColor="text1"/>
                <w:sz w:val="18"/>
                <w:szCs w:val="18"/>
                <w:lang w:val="en-PH" w:eastAsia="en-PH"/>
              </w:rPr>
            </w:pPr>
          </w:p>
        </w:tc>
        <w:tc>
          <w:tcPr>
            <w:tcW w:w="1357" w:type="dxa"/>
            <w:tcBorders>
              <w:top w:val="nil"/>
              <w:left w:val="nil"/>
              <w:bottom w:val="nil"/>
              <w:right w:val="nil"/>
            </w:tcBorders>
            <w:shd w:val="clear" w:color="auto" w:fill="auto"/>
            <w:noWrap/>
            <w:vAlign w:val="bottom"/>
            <w:hideMark/>
          </w:tcPr>
          <w:p w14:paraId="1F3D78F3" w14:textId="77777777" w:rsidR="00AF33E4" w:rsidRPr="009E35ED" w:rsidRDefault="00AF33E4" w:rsidP="00AF33E4">
            <w:pPr>
              <w:ind w:left="0"/>
              <w:jc w:val="right"/>
              <w:rPr>
                <w:rFonts w:ascii="Arial Narrow" w:hAnsi="Arial Narrow"/>
                <w:color w:val="000000" w:themeColor="text1"/>
                <w:sz w:val="18"/>
                <w:szCs w:val="18"/>
                <w:lang w:val="en-PH" w:eastAsia="en-PH"/>
              </w:rPr>
            </w:pPr>
          </w:p>
        </w:tc>
        <w:tc>
          <w:tcPr>
            <w:tcW w:w="1440" w:type="dxa"/>
            <w:tcBorders>
              <w:top w:val="nil"/>
              <w:left w:val="nil"/>
              <w:bottom w:val="nil"/>
              <w:right w:val="nil"/>
            </w:tcBorders>
            <w:shd w:val="clear" w:color="auto" w:fill="auto"/>
            <w:noWrap/>
            <w:hideMark/>
          </w:tcPr>
          <w:p w14:paraId="1455CB56" w14:textId="77777777" w:rsidR="00AF33E4" w:rsidRPr="009E35ED" w:rsidRDefault="00AF33E4" w:rsidP="00AF33E4">
            <w:pPr>
              <w:ind w:left="0"/>
              <w:jc w:val="right"/>
              <w:rPr>
                <w:rFonts w:ascii="Arial Narrow" w:hAnsi="Arial Narrow"/>
                <w:color w:val="000000" w:themeColor="text1"/>
                <w:sz w:val="18"/>
                <w:szCs w:val="18"/>
                <w:lang w:val="en-PH" w:eastAsia="en-PH"/>
              </w:rPr>
            </w:pPr>
          </w:p>
        </w:tc>
        <w:tc>
          <w:tcPr>
            <w:tcW w:w="1530" w:type="dxa"/>
            <w:tcBorders>
              <w:top w:val="nil"/>
              <w:left w:val="nil"/>
              <w:bottom w:val="nil"/>
              <w:right w:val="nil"/>
            </w:tcBorders>
            <w:shd w:val="clear" w:color="auto" w:fill="auto"/>
            <w:noWrap/>
            <w:hideMark/>
          </w:tcPr>
          <w:p w14:paraId="3A66598A" w14:textId="77777777" w:rsidR="00AF33E4" w:rsidRPr="009E35ED" w:rsidRDefault="00AF33E4" w:rsidP="00AF33E4">
            <w:pPr>
              <w:ind w:left="0"/>
              <w:jc w:val="right"/>
              <w:rPr>
                <w:rFonts w:ascii="Arial Narrow" w:hAnsi="Arial Narrow"/>
                <w:color w:val="000000" w:themeColor="text1"/>
                <w:sz w:val="18"/>
                <w:szCs w:val="18"/>
                <w:lang w:val="en-PH" w:eastAsia="en-PH"/>
              </w:rPr>
            </w:pPr>
          </w:p>
        </w:tc>
      </w:tr>
      <w:tr w:rsidR="00997F75" w:rsidRPr="009E35ED" w14:paraId="7033B4D4" w14:textId="628E9E8F" w:rsidTr="00860ED6">
        <w:trPr>
          <w:gridAfter w:val="1"/>
          <w:wAfter w:w="1530" w:type="dxa"/>
          <w:trHeight w:val="193"/>
        </w:trPr>
        <w:tc>
          <w:tcPr>
            <w:tcW w:w="276" w:type="dxa"/>
            <w:tcBorders>
              <w:top w:val="nil"/>
              <w:left w:val="nil"/>
              <w:bottom w:val="nil"/>
              <w:right w:val="nil"/>
            </w:tcBorders>
            <w:shd w:val="clear" w:color="auto" w:fill="auto"/>
            <w:vAlign w:val="bottom"/>
            <w:hideMark/>
          </w:tcPr>
          <w:p w14:paraId="41C5CAC4" w14:textId="77777777" w:rsidR="00AF33E4" w:rsidRPr="009E35ED" w:rsidRDefault="00AF33E4" w:rsidP="00AF33E4">
            <w:pPr>
              <w:ind w:left="0"/>
              <w:jc w:val="left"/>
              <w:rPr>
                <w:rFonts w:ascii="Arial Narrow" w:hAnsi="Arial Narrow"/>
                <w:color w:val="000000" w:themeColor="text1"/>
                <w:sz w:val="18"/>
                <w:szCs w:val="18"/>
                <w:lang w:val="en-PH" w:eastAsia="en-PH"/>
              </w:rPr>
            </w:pPr>
          </w:p>
        </w:tc>
        <w:tc>
          <w:tcPr>
            <w:tcW w:w="3126" w:type="dxa"/>
            <w:gridSpan w:val="2"/>
            <w:tcBorders>
              <w:top w:val="nil"/>
              <w:left w:val="nil"/>
              <w:bottom w:val="nil"/>
              <w:right w:val="nil"/>
            </w:tcBorders>
            <w:shd w:val="clear" w:color="auto" w:fill="auto"/>
            <w:noWrap/>
            <w:vAlign w:val="bottom"/>
            <w:hideMark/>
          </w:tcPr>
          <w:p w14:paraId="5C00A289" w14:textId="54358DCE" w:rsidR="00AF33E4" w:rsidRPr="009E35ED" w:rsidRDefault="00AF33E4" w:rsidP="00AF33E4">
            <w:pPr>
              <w:ind w:left="0"/>
              <w:jc w:val="left"/>
              <w:rPr>
                <w:rFonts w:ascii="Arial Narrow" w:hAnsi="Arial Narrow" w:cs="Arial"/>
                <w:color w:val="000000" w:themeColor="text1"/>
                <w:sz w:val="18"/>
                <w:szCs w:val="18"/>
                <w:lang w:val="en-PH" w:eastAsia="en-PH"/>
              </w:rPr>
            </w:pPr>
            <w:r w:rsidRPr="009E35ED">
              <w:rPr>
                <w:rFonts w:ascii="Arial Narrow" w:hAnsi="Arial Narrow" w:cs="Arial"/>
                <w:color w:val="000000" w:themeColor="text1"/>
                <w:sz w:val="18"/>
                <w:szCs w:val="18"/>
                <w:lang w:val="en-PH" w:eastAsia="en-PH"/>
              </w:rPr>
              <w:t>G</w:t>
            </w:r>
            <w:r w:rsidR="00D56D71" w:rsidRPr="009E35ED">
              <w:rPr>
                <w:rFonts w:ascii="Arial Narrow" w:hAnsi="Arial Narrow" w:cs="Arial"/>
                <w:color w:val="000000" w:themeColor="text1"/>
                <w:sz w:val="18"/>
                <w:szCs w:val="18"/>
                <w:lang w:val="en-PH" w:eastAsia="en-PH"/>
              </w:rPr>
              <w:t xml:space="preserve">ain or loss on </w:t>
            </w:r>
            <w:r w:rsidR="00F93FBC">
              <w:rPr>
                <w:rFonts w:ascii="Arial Narrow" w:hAnsi="Arial Narrow" w:cs="Arial"/>
                <w:color w:val="000000" w:themeColor="text1"/>
                <w:sz w:val="18"/>
                <w:szCs w:val="18"/>
                <w:lang w:val="en-PH" w:eastAsia="en-PH"/>
              </w:rPr>
              <w:t>f</w:t>
            </w:r>
            <w:r w:rsidR="00D56D71" w:rsidRPr="009E35ED">
              <w:rPr>
                <w:rFonts w:ascii="Arial Narrow" w:hAnsi="Arial Narrow" w:cs="Arial"/>
                <w:color w:val="000000" w:themeColor="text1"/>
                <w:sz w:val="18"/>
                <w:szCs w:val="18"/>
                <w:lang w:val="en-PH" w:eastAsia="en-PH"/>
              </w:rPr>
              <w:t xml:space="preserve">oreign </w:t>
            </w:r>
            <w:r w:rsidR="00F93FBC">
              <w:rPr>
                <w:rFonts w:ascii="Arial Narrow" w:hAnsi="Arial Narrow" w:cs="Arial"/>
                <w:color w:val="000000" w:themeColor="text1"/>
                <w:sz w:val="18"/>
                <w:szCs w:val="18"/>
                <w:lang w:val="en-PH" w:eastAsia="en-PH"/>
              </w:rPr>
              <w:t>e</w:t>
            </w:r>
            <w:r w:rsidR="00D56D71" w:rsidRPr="009E35ED">
              <w:rPr>
                <w:rFonts w:ascii="Arial Narrow" w:hAnsi="Arial Narrow" w:cs="Arial"/>
                <w:color w:val="000000" w:themeColor="text1"/>
                <w:sz w:val="18"/>
                <w:szCs w:val="18"/>
                <w:lang w:val="en-PH" w:eastAsia="en-PH"/>
              </w:rPr>
              <w:t xml:space="preserve">xchange </w:t>
            </w:r>
            <w:r w:rsidRPr="009E35ED">
              <w:rPr>
                <w:rFonts w:ascii="Arial Narrow" w:hAnsi="Arial Narrow" w:cs="Arial"/>
                <w:color w:val="000000" w:themeColor="text1"/>
                <w:sz w:val="18"/>
                <w:szCs w:val="18"/>
                <w:lang w:val="en-PH" w:eastAsia="en-PH"/>
              </w:rPr>
              <w:t>(FOREX)</w:t>
            </w:r>
          </w:p>
        </w:tc>
        <w:tc>
          <w:tcPr>
            <w:tcW w:w="1530" w:type="dxa"/>
            <w:tcBorders>
              <w:top w:val="nil"/>
              <w:left w:val="nil"/>
              <w:bottom w:val="nil"/>
              <w:right w:val="nil"/>
            </w:tcBorders>
            <w:shd w:val="clear" w:color="auto" w:fill="auto"/>
            <w:noWrap/>
            <w:vAlign w:val="bottom"/>
            <w:hideMark/>
          </w:tcPr>
          <w:p w14:paraId="1F6839BD" w14:textId="77777777" w:rsidR="00AF33E4" w:rsidRPr="009E35ED" w:rsidRDefault="00AF33E4" w:rsidP="00AF33E4">
            <w:pPr>
              <w:ind w:left="0"/>
              <w:jc w:val="right"/>
              <w:rPr>
                <w:rFonts w:ascii="Arial Narrow" w:hAnsi="Arial Narrow" w:cs="Arial"/>
                <w:color w:val="000000" w:themeColor="text1"/>
                <w:sz w:val="20"/>
                <w:szCs w:val="20"/>
                <w:lang w:val="en-PH" w:eastAsia="en-PH"/>
              </w:rPr>
            </w:pPr>
            <w:r w:rsidRPr="009E35ED">
              <w:rPr>
                <w:rFonts w:ascii="Arial Narrow" w:hAnsi="Arial Narrow" w:cs="Arial"/>
                <w:color w:val="000000" w:themeColor="text1"/>
                <w:sz w:val="20"/>
                <w:szCs w:val="20"/>
                <w:lang w:val="en-PH" w:eastAsia="en-PH"/>
              </w:rPr>
              <w:t>-</w:t>
            </w:r>
          </w:p>
        </w:tc>
        <w:tc>
          <w:tcPr>
            <w:tcW w:w="1357" w:type="dxa"/>
            <w:tcBorders>
              <w:top w:val="nil"/>
              <w:left w:val="nil"/>
              <w:bottom w:val="nil"/>
              <w:right w:val="nil"/>
            </w:tcBorders>
            <w:shd w:val="clear" w:color="auto" w:fill="auto"/>
            <w:noWrap/>
            <w:vAlign w:val="bottom"/>
            <w:hideMark/>
          </w:tcPr>
          <w:p w14:paraId="7C7BC493" w14:textId="014745DA" w:rsidR="00AF33E4" w:rsidRPr="009E35ED" w:rsidRDefault="00A43B1F" w:rsidP="00AF33E4">
            <w:pPr>
              <w:ind w:left="0"/>
              <w:jc w:val="right"/>
              <w:rPr>
                <w:rFonts w:ascii="Arial Narrow" w:hAnsi="Arial Narrow" w:cs="Arial"/>
                <w:color w:val="000000" w:themeColor="text1"/>
                <w:sz w:val="18"/>
                <w:szCs w:val="18"/>
                <w:lang w:val="en-PH" w:eastAsia="en-PH"/>
              </w:rPr>
            </w:pPr>
            <w:r w:rsidRPr="009E35ED">
              <w:rPr>
                <w:rFonts w:ascii="Arial Narrow" w:hAnsi="Arial Narrow"/>
                <w:color w:val="000000" w:themeColor="text1"/>
                <w:sz w:val="18"/>
                <w:szCs w:val="18"/>
              </w:rPr>
              <w:t>30,054,072</w:t>
            </w:r>
          </w:p>
        </w:tc>
        <w:tc>
          <w:tcPr>
            <w:tcW w:w="1440" w:type="dxa"/>
            <w:tcBorders>
              <w:top w:val="nil"/>
              <w:left w:val="nil"/>
              <w:bottom w:val="nil"/>
              <w:right w:val="nil"/>
            </w:tcBorders>
            <w:shd w:val="clear" w:color="auto" w:fill="auto"/>
            <w:noWrap/>
            <w:vAlign w:val="bottom"/>
            <w:hideMark/>
          </w:tcPr>
          <w:p w14:paraId="33312F18" w14:textId="580F0C69" w:rsidR="00AF33E4" w:rsidRPr="009E35ED" w:rsidRDefault="000208D0" w:rsidP="00AF33E4">
            <w:pPr>
              <w:ind w:left="0"/>
              <w:jc w:val="right"/>
              <w:rPr>
                <w:rFonts w:ascii="Arial Narrow" w:hAnsi="Arial Narrow" w:cs="Arial"/>
                <w:color w:val="000000" w:themeColor="text1"/>
                <w:sz w:val="18"/>
                <w:szCs w:val="18"/>
                <w:lang w:val="en-PH" w:eastAsia="en-PH"/>
              </w:rPr>
            </w:pPr>
            <w:r w:rsidRPr="009E35ED">
              <w:rPr>
                <w:rFonts w:ascii="Arial Narrow" w:hAnsi="Arial Narrow" w:cs="Arial"/>
                <w:color w:val="000000" w:themeColor="text1"/>
                <w:sz w:val="18"/>
                <w:szCs w:val="18"/>
                <w:lang w:val="en-PH" w:eastAsia="en-PH"/>
              </w:rPr>
              <w:t>-</w:t>
            </w:r>
          </w:p>
        </w:tc>
        <w:tc>
          <w:tcPr>
            <w:tcW w:w="1530" w:type="dxa"/>
            <w:tcBorders>
              <w:top w:val="nil"/>
              <w:left w:val="nil"/>
              <w:bottom w:val="nil"/>
              <w:right w:val="nil"/>
            </w:tcBorders>
            <w:shd w:val="clear" w:color="auto" w:fill="auto"/>
            <w:noWrap/>
            <w:vAlign w:val="bottom"/>
            <w:hideMark/>
          </w:tcPr>
          <w:p w14:paraId="00E87095" w14:textId="543C3471" w:rsidR="00AF33E4" w:rsidRPr="009E35ED" w:rsidRDefault="0034105C" w:rsidP="00AF33E4">
            <w:pPr>
              <w:ind w:left="0"/>
              <w:jc w:val="right"/>
              <w:rPr>
                <w:rFonts w:ascii="Arial Narrow" w:hAnsi="Arial Narrow" w:cs="Arial"/>
                <w:color w:val="000000" w:themeColor="text1"/>
                <w:sz w:val="18"/>
                <w:szCs w:val="18"/>
                <w:lang w:val="en-PH" w:eastAsia="en-PH"/>
              </w:rPr>
            </w:pPr>
            <w:r w:rsidRPr="009E35ED">
              <w:rPr>
                <w:rFonts w:ascii="Arial Narrow" w:hAnsi="Arial Narrow"/>
                <w:color w:val="000000" w:themeColor="text1"/>
                <w:sz w:val="18"/>
                <w:szCs w:val="18"/>
              </w:rPr>
              <w:t>30,054,072</w:t>
            </w:r>
          </w:p>
        </w:tc>
        <w:tc>
          <w:tcPr>
            <w:tcW w:w="1530" w:type="dxa"/>
            <w:vAlign w:val="bottom"/>
          </w:tcPr>
          <w:p w14:paraId="1465CDB6" w14:textId="77777777" w:rsidR="00AF33E4" w:rsidRPr="009E35ED" w:rsidRDefault="00AF33E4" w:rsidP="00AF33E4">
            <w:pPr>
              <w:rPr>
                <w:color w:val="000000" w:themeColor="text1"/>
              </w:rPr>
            </w:pPr>
          </w:p>
        </w:tc>
      </w:tr>
      <w:tr w:rsidR="00997F75" w:rsidRPr="009E35ED" w14:paraId="4E416117" w14:textId="77777777" w:rsidTr="00860ED6">
        <w:trPr>
          <w:gridAfter w:val="2"/>
          <w:wAfter w:w="3060" w:type="dxa"/>
          <w:trHeight w:val="213"/>
        </w:trPr>
        <w:tc>
          <w:tcPr>
            <w:tcW w:w="3402" w:type="dxa"/>
            <w:gridSpan w:val="3"/>
            <w:tcBorders>
              <w:top w:val="single" w:sz="4" w:space="0" w:color="auto"/>
              <w:left w:val="nil"/>
              <w:bottom w:val="single" w:sz="8" w:space="0" w:color="auto"/>
              <w:right w:val="nil"/>
            </w:tcBorders>
            <w:shd w:val="clear" w:color="auto" w:fill="auto"/>
            <w:noWrap/>
            <w:vAlign w:val="bottom"/>
            <w:hideMark/>
          </w:tcPr>
          <w:p w14:paraId="3B822654" w14:textId="77777777" w:rsidR="005769AD" w:rsidRPr="009E35ED" w:rsidRDefault="005769AD" w:rsidP="005769AD">
            <w:pPr>
              <w:ind w:left="0"/>
              <w:jc w:val="left"/>
              <w:rPr>
                <w:rFonts w:ascii="Arial Narrow" w:hAnsi="Arial Narrow" w:cs="Arial"/>
                <w:b/>
                <w:bCs/>
                <w:color w:val="000000" w:themeColor="text1"/>
                <w:sz w:val="18"/>
                <w:szCs w:val="18"/>
                <w:lang w:val="en-PH" w:eastAsia="en-PH"/>
              </w:rPr>
            </w:pPr>
            <w:r w:rsidRPr="009E35ED">
              <w:rPr>
                <w:rFonts w:ascii="Arial Narrow" w:hAnsi="Arial Narrow" w:cs="Arial"/>
                <w:b/>
                <w:bCs/>
                <w:color w:val="000000" w:themeColor="text1"/>
                <w:sz w:val="18"/>
                <w:szCs w:val="18"/>
                <w:lang w:val="en-PH" w:eastAsia="en-PH"/>
              </w:rPr>
              <w:t>Total Gains</w:t>
            </w:r>
          </w:p>
        </w:tc>
        <w:tc>
          <w:tcPr>
            <w:tcW w:w="1530" w:type="dxa"/>
            <w:tcBorders>
              <w:top w:val="single" w:sz="4" w:space="0" w:color="auto"/>
              <w:left w:val="nil"/>
              <w:bottom w:val="single" w:sz="8" w:space="0" w:color="auto"/>
              <w:right w:val="nil"/>
            </w:tcBorders>
            <w:shd w:val="clear" w:color="auto" w:fill="auto"/>
            <w:noWrap/>
            <w:vAlign w:val="bottom"/>
          </w:tcPr>
          <w:p w14:paraId="0B0528DB" w14:textId="56E5C943" w:rsidR="005769AD" w:rsidRPr="009E35ED" w:rsidRDefault="005769AD" w:rsidP="005769AD">
            <w:pPr>
              <w:ind w:left="0"/>
              <w:jc w:val="right"/>
              <w:rPr>
                <w:rFonts w:ascii="Arial Narrow" w:hAnsi="Arial Narrow" w:cs="Arial"/>
                <w:b/>
                <w:bCs/>
                <w:color w:val="000000" w:themeColor="text1"/>
                <w:sz w:val="20"/>
                <w:szCs w:val="20"/>
                <w:lang w:val="en-PH" w:eastAsia="en-PH"/>
              </w:rPr>
            </w:pPr>
            <w:r w:rsidRPr="009E35ED">
              <w:rPr>
                <w:rFonts w:ascii="Arial Narrow" w:hAnsi="Arial Narrow"/>
                <w:b/>
                <w:color w:val="000000" w:themeColor="text1"/>
                <w:sz w:val="20"/>
                <w:szCs w:val="20"/>
              </w:rPr>
              <w:t xml:space="preserve"> -   </w:t>
            </w:r>
          </w:p>
        </w:tc>
        <w:tc>
          <w:tcPr>
            <w:tcW w:w="1357" w:type="dxa"/>
            <w:tcBorders>
              <w:top w:val="single" w:sz="4" w:space="0" w:color="auto"/>
              <w:left w:val="nil"/>
              <w:bottom w:val="single" w:sz="8" w:space="0" w:color="auto"/>
              <w:right w:val="nil"/>
            </w:tcBorders>
            <w:shd w:val="clear" w:color="auto" w:fill="auto"/>
            <w:noWrap/>
            <w:vAlign w:val="bottom"/>
          </w:tcPr>
          <w:p w14:paraId="5FFCFFD8" w14:textId="1C656E2A" w:rsidR="005769AD" w:rsidRPr="009E35ED" w:rsidRDefault="005769AD" w:rsidP="005769AD">
            <w:pPr>
              <w:ind w:left="0"/>
              <w:jc w:val="right"/>
              <w:rPr>
                <w:rFonts w:ascii="Arial Narrow" w:hAnsi="Arial Narrow" w:cs="Arial"/>
                <w:b/>
                <w:bCs/>
                <w:color w:val="000000" w:themeColor="text1"/>
                <w:sz w:val="18"/>
                <w:szCs w:val="18"/>
                <w:lang w:val="en-PH" w:eastAsia="en-PH"/>
              </w:rPr>
            </w:pPr>
            <w:r w:rsidRPr="009E35ED">
              <w:rPr>
                <w:rFonts w:ascii="Arial Narrow" w:hAnsi="Arial Narrow"/>
                <w:b/>
                <w:color w:val="000000" w:themeColor="text1"/>
                <w:sz w:val="18"/>
                <w:szCs w:val="18"/>
              </w:rPr>
              <w:t xml:space="preserve"> </w:t>
            </w:r>
            <w:r w:rsidR="0034105C" w:rsidRPr="009E35ED">
              <w:rPr>
                <w:rFonts w:ascii="Arial Narrow" w:hAnsi="Arial Narrow"/>
                <w:b/>
                <w:color w:val="000000" w:themeColor="text1"/>
                <w:sz w:val="18"/>
                <w:szCs w:val="18"/>
              </w:rPr>
              <w:t xml:space="preserve">30,054,072 </w:t>
            </w:r>
            <w:r w:rsidRPr="009E35ED">
              <w:rPr>
                <w:rFonts w:ascii="Arial Narrow" w:hAnsi="Arial Narrow"/>
                <w:b/>
                <w:color w:val="000000" w:themeColor="text1"/>
                <w:sz w:val="18"/>
                <w:szCs w:val="18"/>
              </w:rPr>
              <w:t xml:space="preserve"> </w:t>
            </w:r>
          </w:p>
        </w:tc>
        <w:tc>
          <w:tcPr>
            <w:tcW w:w="1440" w:type="dxa"/>
            <w:tcBorders>
              <w:top w:val="single" w:sz="4" w:space="0" w:color="auto"/>
              <w:left w:val="nil"/>
              <w:bottom w:val="single" w:sz="8" w:space="0" w:color="auto"/>
              <w:right w:val="nil"/>
            </w:tcBorders>
            <w:shd w:val="clear" w:color="auto" w:fill="auto"/>
            <w:noWrap/>
            <w:vAlign w:val="bottom"/>
            <w:hideMark/>
          </w:tcPr>
          <w:p w14:paraId="07EFFAB5" w14:textId="317EFF31" w:rsidR="005769AD" w:rsidRPr="009E35ED" w:rsidRDefault="005769AD" w:rsidP="005769AD">
            <w:pPr>
              <w:ind w:left="0"/>
              <w:jc w:val="right"/>
              <w:rPr>
                <w:rFonts w:ascii="Arial Narrow" w:hAnsi="Arial Narrow" w:cs="Arial"/>
                <w:b/>
                <w:bCs/>
                <w:color w:val="000000" w:themeColor="text1"/>
                <w:sz w:val="18"/>
                <w:szCs w:val="18"/>
                <w:lang w:val="en-PH" w:eastAsia="en-PH"/>
              </w:rPr>
            </w:pPr>
            <w:r w:rsidRPr="009E35ED">
              <w:rPr>
                <w:rFonts w:ascii="Arial Narrow" w:hAnsi="Arial Narrow"/>
                <w:b/>
                <w:color w:val="000000" w:themeColor="text1"/>
                <w:sz w:val="18"/>
                <w:szCs w:val="18"/>
              </w:rPr>
              <w:t xml:space="preserve"> -   </w:t>
            </w:r>
          </w:p>
        </w:tc>
        <w:tc>
          <w:tcPr>
            <w:tcW w:w="1530" w:type="dxa"/>
            <w:tcBorders>
              <w:top w:val="single" w:sz="4" w:space="0" w:color="auto"/>
              <w:left w:val="nil"/>
              <w:bottom w:val="single" w:sz="8" w:space="0" w:color="auto"/>
              <w:right w:val="nil"/>
            </w:tcBorders>
            <w:shd w:val="clear" w:color="auto" w:fill="auto"/>
            <w:noWrap/>
            <w:vAlign w:val="bottom"/>
            <w:hideMark/>
          </w:tcPr>
          <w:p w14:paraId="1C71A130" w14:textId="3B3D1A56" w:rsidR="005769AD" w:rsidRPr="009E35ED" w:rsidRDefault="0034105C" w:rsidP="005769AD">
            <w:pPr>
              <w:ind w:left="0"/>
              <w:jc w:val="right"/>
              <w:rPr>
                <w:rFonts w:ascii="Arial Narrow" w:hAnsi="Arial Narrow" w:cs="Arial"/>
                <w:b/>
                <w:bCs/>
                <w:color w:val="000000" w:themeColor="text1"/>
                <w:sz w:val="18"/>
                <w:szCs w:val="18"/>
                <w:lang w:val="en-PH" w:eastAsia="en-PH"/>
              </w:rPr>
            </w:pPr>
            <w:r w:rsidRPr="009E35ED">
              <w:rPr>
                <w:rFonts w:ascii="Arial Narrow" w:hAnsi="Arial Narrow"/>
                <w:b/>
                <w:color w:val="000000" w:themeColor="text1"/>
                <w:sz w:val="18"/>
                <w:szCs w:val="18"/>
              </w:rPr>
              <w:t>30,054,072</w:t>
            </w:r>
          </w:p>
        </w:tc>
      </w:tr>
      <w:tr w:rsidR="00997F75" w:rsidRPr="009E35ED" w14:paraId="2E101063" w14:textId="77777777" w:rsidTr="00860ED6">
        <w:trPr>
          <w:gridAfter w:val="2"/>
          <w:wAfter w:w="3060" w:type="dxa"/>
          <w:trHeight w:val="203"/>
        </w:trPr>
        <w:tc>
          <w:tcPr>
            <w:tcW w:w="276" w:type="dxa"/>
            <w:tcBorders>
              <w:top w:val="nil"/>
              <w:left w:val="nil"/>
              <w:bottom w:val="nil"/>
              <w:right w:val="nil"/>
            </w:tcBorders>
            <w:shd w:val="clear" w:color="auto" w:fill="auto"/>
            <w:noWrap/>
            <w:vAlign w:val="bottom"/>
          </w:tcPr>
          <w:p w14:paraId="3D36811A" w14:textId="77777777" w:rsidR="003A5476" w:rsidRPr="009E35ED" w:rsidRDefault="003A5476" w:rsidP="005769AD">
            <w:pPr>
              <w:ind w:left="0"/>
              <w:jc w:val="center"/>
              <w:rPr>
                <w:rFonts w:ascii="Arial Narrow" w:hAnsi="Arial Narrow" w:cs="Arial"/>
                <w:b/>
                <w:bCs/>
                <w:color w:val="000000" w:themeColor="text1"/>
                <w:sz w:val="18"/>
                <w:szCs w:val="18"/>
                <w:lang w:val="en-PH" w:eastAsia="en-PH"/>
              </w:rPr>
            </w:pPr>
          </w:p>
        </w:tc>
        <w:tc>
          <w:tcPr>
            <w:tcW w:w="264" w:type="dxa"/>
            <w:tcBorders>
              <w:top w:val="nil"/>
              <w:left w:val="nil"/>
              <w:bottom w:val="nil"/>
              <w:right w:val="nil"/>
            </w:tcBorders>
            <w:shd w:val="clear" w:color="auto" w:fill="auto"/>
            <w:noWrap/>
            <w:vAlign w:val="bottom"/>
          </w:tcPr>
          <w:p w14:paraId="6F03A2CD" w14:textId="77777777" w:rsidR="005769AD" w:rsidRPr="009E35ED" w:rsidRDefault="005769AD" w:rsidP="005769AD">
            <w:pPr>
              <w:ind w:left="0"/>
              <w:jc w:val="left"/>
              <w:rPr>
                <w:rFonts w:ascii="Arial Narrow" w:hAnsi="Arial Narrow"/>
                <w:color w:val="000000" w:themeColor="text1"/>
                <w:sz w:val="18"/>
                <w:szCs w:val="18"/>
                <w:lang w:val="en-PH" w:eastAsia="en-PH"/>
              </w:rPr>
            </w:pPr>
          </w:p>
        </w:tc>
        <w:tc>
          <w:tcPr>
            <w:tcW w:w="2862" w:type="dxa"/>
            <w:tcBorders>
              <w:top w:val="nil"/>
              <w:left w:val="nil"/>
              <w:bottom w:val="nil"/>
              <w:right w:val="nil"/>
            </w:tcBorders>
            <w:shd w:val="clear" w:color="auto" w:fill="auto"/>
            <w:noWrap/>
            <w:vAlign w:val="bottom"/>
          </w:tcPr>
          <w:p w14:paraId="798982F0" w14:textId="77777777" w:rsidR="005769AD" w:rsidRPr="009E35ED" w:rsidRDefault="005769AD" w:rsidP="005769AD">
            <w:pPr>
              <w:ind w:left="0"/>
              <w:jc w:val="left"/>
              <w:rPr>
                <w:rFonts w:ascii="Arial Narrow" w:hAnsi="Arial Narrow"/>
                <w:color w:val="000000" w:themeColor="text1"/>
                <w:sz w:val="18"/>
                <w:szCs w:val="18"/>
                <w:lang w:val="en-PH" w:eastAsia="en-PH"/>
              </w:rPr>
            </w:pPr>
          </w:p>
        </w:tc>
        <w:tc>
          <w:tcPr>
            <w:tcW w:w="1530" w:type="dxa"/>
            <w:tcBorders>
              <w:top w:val="nil"/>
              <w:left w:val="nil"/>
              <w:bottom w:val="nil"/>
              <w:right w:val="nil"/>
            </w:tcBorders>
            <w:shd w:val="clear" w:color="auto" w:fill="auto"/>
            <w:noWrap/>
            <w:vAlign w:val="bottom"/>
          </w:tcPr>
          <w:p w14:paraId="2B7123C1" w14:textId="4E4205B3" w:rsidR="005769AD" w:rsidRPr="009E35ED" w:rsidRDefault="005769AD" w:rsidP="005769AD">
            <w:pPr>
              <w:ind w:left="0"/>
              <w:jc w:val="right"/>
              <w:rPr>
                <w:rFonts w:ascii="Arial Narrow" w:hAnsi="Arial Narrow"/>
                <w:color w:val="000000" w:themeColor="text1"/>
                <w:sz w:val="20"/>
                <w:szCs w:val="20"/>
                <w:lang w:val="en-PH" w:eastAsia="en-PH"/>
              </w:rPr>
            </w:pPr>
          </w:p>
        </w:tc>
        <w:tc>
          <w:tcPr>
            <w:tcW w:w="1357" w:type="dxa"/>
            <w:tcBorders>
              <w:top w:val="nil"/>
              <w:left w:val="nil"/>
              <w:bottom w:val="nil"/>
              <w:right w:val="nil"/>
            </w:tcBorders>
            <w:shd w:val="clear" w:color="auto" w:fill="auto"/>
            <w:noWrap/>
            <w:vAlign w:val="bottom"/>
          </w:tcPr>
          <w:p w14:paraId="2E75729D" w14:textId="55E195D8" w:rsidR="005769AD" w:rsidRPr="009E35ED" w:rsidRDefault="005769AD" w:rsidP="005769AD">
            <w:pPr>
              <w:ind w:left="0"/>
              <w:jc w:val="right"/>
              <w:rPr>
                <w:rFonts w:ascii="Arial Narrow" w:hAnsi="Arial Narrow"/>
                <w:color w:val="000000" w:themeColor="text1"/>
                <w:sz w:val="18"/>
                <w:szCs w:val="18"/>
                <w:lang w:val="en-PH" w:eastAsia="en-PH"/>
              </w:rPr>
            </w:pPr>
          </w:p>
        </w:tc>
        <w:tc>
          <w:tcPr>
            <w:tcW w:w="1440" w:type="dxa"/>
            <w:tcBorders>
              <w:top w:val="nil"/>
              <w:left w:val="nil"/>
              <w:bottom w:val="nil"/>
              <w:right w:val="nil"/>
            </w:tcBorders>
            <w:shd w:val="clear" w:color="auto" w:fill="auto"/>
            <w:noWrap/>
            <w:vAlign w:val="bottom"/>
          </w:tcPr>
          <w:p w14:paraId="6ABAC028" w14:textId="7A417671" w:rsidR="005769AD" w:rsidRPr="009E35ED" w:rsidRDefault="005769AD" w:rsidP="005769AD">
            <w:pPr>
              <w:ind w:left="0"/>
              <w:jc w:val="right"/>
              <w:rPr>
                <w:rFonts w:ascii="Arial Narrow" w:hAnsi="Arial Narrow"/>
                <w:color w:val="000000" w:themeColor="text1"/>
                <w:sz w:val="18"/>
                <w:szCs w:val="18"/>
                <w:lang w:val="en-PH" w:eastAsia="en-PH"/>
              </w:rPr>
            </w:pPr>
          </w:p>
        </w:tc>
        <w:tc>
          <w:tcPr>
            <w:tcW w:w="1530" w:type="dxa"/>
            <w:tcBorders>
              <w:top w:val="nil"/>
              <w:left w:val="nil"/>
              <w:bottom w:val="nil"/>
              <w:right w:val="nil"/>
            </w:tcBorders>
            <w:shd w:val="clear" w:color="auto" w:fill="auto"/>
            <w:noWrap/>
            <w:vAlign w:val="bottom"/>
          </w:tcPr>
          <w:p w14:paraId="196AB78B" w14:textId="3AE18F41" w:rsidR="005769AD" w:rsidRPr="009E35ED" w:rsidRDefault="005769AD" w:rsidP="005769AD">
            <w:pPr>
              <w:ind w:left="0"/>
              <w:jc w:val="right"/>
              <w:rPr>
                <w:rFonts w:ascii="Arial Narrow" w:hAnsi="Arial Narrow"/>
                <w:color w:val="000000" w:themeColor="text1"/>
                <w:sz w:val="18"/>
                <w:szCs w:val="18"/>
                <w:lang w:val="en-PH" w:eastAsia="en-PH"/>
              </w:rPr>
            </w:pPr>
          </w:p>
        </w:tc>
      </w:tr>
      <w:tr w:rsidR="00997F75" w:rsidRPr="009E35ED" w14:paraId="381F7683" w14:textId="77777777" w:rsidTr="00860ED6">
        <w:trPr>
          <w:gridAfter w:val="2"/>
          <w:wAfter w:w="3060" w:type="dxa"/>
          <w:trHeight w:val="203"/>
        </w:trPr>
        <w:tc>
          <w:tcPr>
            <w:tcW w:w="3402" w:type="dxa"/>
            <w:gridSpan w:val="3"/>
            <w:tcBorders>
              <w:top w:val="nil"/>
              <w:left w:val="nil"/>
              <w:bottom w:val="nil"/>
              <w:right w:val="nil"/>
            </w:tcBorders>
            <w:shd w:val="clear" w:color="auto" w:fill="auto"/>
            <w:noWrap/>
            <w:vAlign w:val="bottom"/>
            <w:hideMark/>
          </w:tcPr>
          <w:p w14:paraId="395164FB" w14:textId="77777777" w:rsidR="005769AD" w:rsidRPr="009E35ED" w:rsidRDefault="005769AD" w:rsidP="005769AD">
            <w:pPr>
              <w:ind w:left="0"/>
              <w:jc w:val="left"/>
              <w:rPr>
                <w:rFonts w:ascii="Arial Narrow" w:hAnsi="Arial Narrow" w:cs="Arial"/>
                <w:b/>
                <w:bCs/>
                <w:color w:val="000000" w:themeColor="text1"/>
                <w:sz w:val="18"/>
                <w:szCs w:val="18"/>
                <w:lang w:val="en-PH" w:eastAsia="en-PH"/>
              </w:rPr>
            </w:pPr>
            <w:r w:rsidRPr="009E35ED">
              <w:rPr>
                <w:rFonts w:ascii="Arial Narrow" w:hAnsi="Arial Narrow" w:cs="Arial"/>
                <w:b/>
                <w:bCs/>
                <w:color w:val="000000" w:themeColor="text1"/>
                <w:sz w:val="18"/>
                <w:szCs w:val="18"/>
                <w:lang w:val="en-PH" w:eastAsia="en-PH"/>
              </w:rPr>
              <w:t>Other Non-Operating Income</w:t>
            </w:r>
          </w:p>
        </w:tc>
        <w:tc>
          <w:tcPr>
            <w:tcW w:w="1530" w:type="dxa"/>
            <w:tcBorders>
              <w:top w:val="nil"/>
              <w:left w:val="nil"/>
              <w:bottom w:val="nil"/>
              <w:right w:val="nil"/>
            </w:tcBorders>
            <w:shd w:val="clear" w:color="auto" w:fill="auto"/>
            <w:noWrap/>
            <w:vAlign w:val="bottom"/>
            <w:hideMark/>
          </w:tcPr>
          <w:p w14:paraId="029BC1CF" w14:textId="77777777" w:rsidR="005769AD" w:rsidRPr="009E35ED" w:rsidRDefault="005769AD" w:rsidP="005769AD">
            <w:pPr>
              <w:ind w:left="0"/>
              <w:jc w:val="right"/>
              <w:rPr>
                <w:rFonts w:ascii="Arial Narrow" w:hAnsi="Arial Narrow" w:cs="Arial"/>
                <w:b/>
                <w:bCs/>
                <w:color w:val="000000" w:themeColor="text1"/>
                <w:sz w:val="20"/>
                <w:szCs w:val="20"/>
                <w:lang w:val="en-PH" w:eastAsia="en-PH"/>
              </w:rPr>
            </w:pPr>
          </w:p>
        </w:tc>
        <w:tc>
          <w:tcPr>
            <w:tcW w:w="1357" w:type="dxa"/>
            <w:tcBorders>
              <w:top w:val="nil"/>
              <w:left w:val="nil"/>
              <w:bottom w:val="nil"/>
              <w:right w:val="nil"/>
            </w:tcBorders>
            <w:shd w:val="clear" w:color="auto" w:fill="auto"/>
            <w:noWrap/>
            <w:vAlign w:val="bottom"/>
            <w:hideMark/>
          </w:tcPr>
          <w:p w14:paraId="2C66E6C3" w14:textId="77777777" w:rsidR="005769AD" w:rsidRPr="009E35ED" w:rsidRDefault="005769AD" w:rsidP="005769AD">
            <w:pPr>
              <w:ind w:left="0"/>
              <w:jc w:val="right"/>
              <w:rPr>
                <w:rFonts w:ascii="Arial Narrow" w:hAnsi="Arial Narrow"/>
                <w:color w:val="000000" w:themeColor="text1"/>
                <w:sz w:val="20"/>
                <w:szCs w:val="20"/>
                <w:lang w:val="en-PH" w:eastAsia="en-PH"/>
              </w:rPr>
            </w:pPr>
          </w:p>
        </w:tc>
        <w:tc>
          <w:tcPr>
            <w:tcW w:w="1440" w:type="dxa"/>
            <w:tcBorders>
              <w:top w:val="nil"/>
              <w:left w:val="nil"/>
              <w:bottom w:val="nil"/>
              <w:right w:val="nil"/>
            </w:tcBorders>
            <w:shd w:val="clear" w:color="auto" w:fill="auto"/>
            <w:noWrap/>
            <w:vAlign w:val="bottom"/>
            <w:hideMark/>
          </w:tcPr>
          <w:p w14:paraId="02AF820A" w14:textId="77777777" w:rsidR="005769AD" w:rsidRPr="009E35ED" w:rsidRDefault="005769AD" w:rsidP="005769AD">
            <w:pPr>
              <w:ind w:left="0"/>
              <w:jc w:val="right"/>
              <w:rPr>
                <w:rFonts w:ascii="Arial Narrow" w:hAnsi="Arial Narrow"/>
                <w:color w:val="000000" w:themeColor="text1"/>
                <w:sz w:val="20"/>
                <w:szCs w:val="20"/>
                <w:lang w:val="en-PH" w:eastAsia="en-PH"/>
              </w:rPr>
            </w:pPr>
          </w:p>
        </w:tc>
        <w:tc>
          <w:tcPr>
            <w:tcW w:w="1530" w:type="dxa"/>
            <w:tcBorders>
              <w:top w:val="nil"/>
              <w:left w:val="nil"/>
              <w:bottom w:val="nil"/>
              <w:right w:val="nil"/>
            </w:tcBorders>
            <w:shd w:val="clear" w:color="auto" w:fill="auto"/>
            <w:noWrap/>
            <w:vAlign w:val="bottom"/>
            <w:hideMark/>
          </w:tcPr>
          <w:p w14:paraId="221C70C8" w14:textId="77777777" w:rsidR="005769AD" w:rsidRPr="009E35ED" w:rsidRDefault="005769AD" w:rsidP="005769AD">
            <w:pPr>
              <w:ind w:left="0"/>
              <w:jc w:val="right"/>
              <w:rPr>
                <w:rFonts w:ascii="Arial Narrow" w:hAnsi="Arial Narrow"/>
                <w:color w:val="000000" w:themeColor="text1"/>
                <w:sz w:val="20"/>
                <w:szCs w:val="20"/>
                <w:lang w:val="en-PH" w:eastAsia="en-PH"/>
              </w:rPr>
            </w:pPr>
          </w:p>
        </w:tc>
      </w:tr>
      <w:tr w:rsidR="00997F75" w:rsidRPr="009E35ED" w14:paraId="74616E8B" w14:textId="77777777" w:rsidTr="00860ED6">
        <w:trPr>
          <w:gridAfter w:val="2"/>
          <w:wAfter w:w="3060" w:type="dxa"/>
          <w:trHeight w:val="203"/>
        </w:trPr>
        <w:tc>
          <w:tcPr>
            <w:tcW w:w="276" w:type="dxa"/>
            <w:tcBorders>
              <w:top w:val="nil"/>
              <w:left w:val="nil"/>
              <w:bottom w:val="nil"/>
              <w:right w:val="nil"/>
            </w:tcBorders>
            <w:shd w:val="clear" w:color="auto" w:fill="auto"/>
            <w:noWrap/>
            <w:vAlign w:val="bottom"/>
            <w:hideMark/>
          </w:tcPr>
          <w:p w14:paraId="2A123F81" w14:textId="77777777" w:rsidR="005769AD" w:rsidRPr="009E35ED" w:rsidRDefault="005769AD" w:rsidP="005769AD">
            <w:pPr>
              <w:ind w:left="0"/>
              <w:jc w:val="left"/>
              <w:rPr>
                <w:rFonts w:ascii="Arial Narrow" w:hAnsi="Arial Narrow"/>
                <w:color w:val="000000" w:themeColor="text1"/>
                <w:sz w:val="18"/>
                <w:szCs w:val="18"/>
                <w:lang w:val="en-PH" w:eastAsia="en-PH"/>
              </w:rPr>
            </w:pPr>
          </w:p>
        </w:tc>
        <w:tc>
          <w:tcPr>
            <w:tcW w:w="3126" w:type="dxa"/>
            <w:gridSpan w:val="2"/>
            <w:tcBorders>
              <w:top w:val="nil"/>
              <w:left w:val="nil"/>
              <w:bottom w:val="nil"/>
              <w:right w:val="nil"/>
            </w:tcBorders>
            <w:shd w:val="clear" w:color="auto" w:fill="auto"/>
            <w:noWrap/>
            <w:vAlign w:val="bottom"/>
            <w:hideMark/>
          </w:tcPr>
          <w:p w14:paraId="191B0F62" w14:textId="77777777" w:rsidR="005769AD" w:rsidRPr="009E35ED" w:rsidRDefault="005769AD" w:rsidP="005769AD">
            <w:pPr>
              <w:ind w:left="0"/>
              <w:jc w:val="left"/>
              <w:rPr>
                <w:rFonts w:ascii="Arial Narrow" w:hAnsi="Arial Narrow" w:cs="Arial"/>
                <w:b/>
                <w:bCs/>
                <w:color w:val="000000" w:themeColor="text1"/>
                <w:sz w:val="18"/>
                <w:szCs w:val="18"/>
                <w:lang w:val="en-PH" w:eastAsia="en-PH"/>
              </w:rPr>
            </w:pPr>
            <w:r w:rsidRPr="009E35ED">
              <w:rPr>
                <w:rFonts w:ascii="Arial Narrow" w:hAnsi="Arial Narrow" w:cs="Arial"/>
                <w:b/>
                <w:bCs/>
                <w:color w:val="000000" w:themeColor="text1"/>
                <w:sz w:val="18"/>
                <w:szCs w:val="18"/>
                <w:lang w:val="en-PH" w:eastAsia="en-PH"/>
              </w:rPr>
              <w:t>Sale of Assets</w:t>
            </w:r>
          </w:p>
        </w:tc>
        <w:tc>
          <w:tcPr>
            <w:tcW w:w="1530" w:type="dxa"/>
            <w:tcBorders>
              <w:top w:val="nil"/>
              <w:left w:val="nil"/>
              <w:bottom w:val="nil"/>
              <w:right w:val="nil"/>
            </w:tcBorders>
            <w:shd w:val="clear" w:color="auto" w:fill="auto"/>
            <w:noWrap/>
            <w:vAlign w:val="bottom"/>
            <w:hideMark/>
          </w:tcPr>
          <w:p w14:paraId="3E29DC12" w14:textId="77777777" w:rsidR="005769AD" w:rsidRPr="009E35ED" w:rsidRDefault="005769AD" w:rsidP="005769AD">
            <w:pPr>
              <w:ind w:left="0"/>
              <w:jc w:val="right"/>
              <w:rPr>
                <w:rFonts w:ascii="Arial Narrow" w:hAnsi="Arial Narrow" w:cs="Arial"/>
                <w:b/>
                <w:bCs/>
                <w:color w:val="000000" w:themeColor="text1"/>
                <w:sz w:val="20"/>
                <w:szCs w:val="20"/>
                <w:lang w:val="en-PH" w:eastAsia="en-PH"/>
              </w:rPr>
            </w:pPr>
          </w:p>
        </w:tc>
        <w:tc>
          <w:tcPr>
            <w:tcW w:w="1357" w:type="dxa"/>
            <w:tcBorders>
              <w:top w:val="nil"/>
              <w:left w:val="nil"/>
              <w:bottom w:val="nil"/>
              <w:right w:val="nil"/>
            </w:tcBorders>
            <w:shd w:val="clear" w:color="auto" w:fill="auto"/>
            <w:noWrap/>
            <w:vAlign w:val="bottom"/>
            <w:hideMark/>
          </w:tcPr>
          <w:p w14:paraId="66EC8497" w14:textId="77777777" w:rsidR="005769AD" w:rsidRPr="009E35ED" w:rsidRDefault="005769AD" w:rsidP="005769AD">
            <w:pPr>
              <w:ind w:left="0"/>
              <w:jc w:val="right"/>
              <w:rPr>
                <w:rFonts w:ascii="Arial Narrow" w:hAnsi="Arial Narrow"/>
                <w:color w:val="000000" w:themeColor="text1"/>
                <w:sz w:val="20"/>
                <w:szCs w:val="20"/>
                <w:lang w:val="en-PH" w:eastAsia="en-PH"/>
              </w:rPr>
            </w:pPr>
          </w:p>
        </w:tc>
        <w:tc>
          <w:tcPr>
            <w:tcW w:w="1440" w:type="dxa"/>
            <w:tcBorders>
              <w:top w:val="nil"/>
              <w:left w:val="nil"/>
              <w:bottom w:val="nil"/>
              <w:right w:val="nil"/>
            </w:tcBorders>
            <w:shd w:val="clear" w:color="auto" w:fill="auto"/>
            <w:noWrap/>
            <w:vAlign w:val="bottom"/>
            <w:hideMark/>
          </w:tcPr>
          <w:p w14:paraId="1AA77DD5" w14:textId="77777777" w:rsidR="005769AD" w:rsidRPr="009E35ED" w:rsidRDefault="005769AD" w:rsidP="005769AD">
            <w:pPr>
              <w:ind w:left="0"/>
              <w:jc w:val="right"/>
              <w:rPr>
                <w:rFonts w:ascii="Arial Narrow" w:hAnsi="Arial Narrow"/>
                <w:color w:val="000000" w:themeColor="text1"/>
                <w:sz w:val="20"/>
                <w:szCs w:val="20"/>
                <w:lang w:val="en-PH" w:eastAsia="en-PH"/>
              </w:rPr>
            </w:pPr>
          </w:p>
        </w:tc>
        <w:tc>
          <w:tcPr>
            <w:tcW w:w="1530" w:type="dxa"/>
            <w:tcBorders>
              <w:top w:val="nil"/>
              <w:left w:val="nil"/>
              <w:bottom w:val="nil"/>
              <w:right w:val="nil"/>
            </w:tcBorders>
            <w:shd w:val="clear" w:color="auto" w:fill="auto"/>
            <w:noWrap/>
            <w:vAlign w:val="bottom"/>
            <w:hideMark/>
          </w:tcPr>
          <w:p w14:paraId="26931A37" w14:textId="77777777" w:rsidR="005769AD" w:rsidRPr="009E35ED" w:rsidRDefault="005769AD" w:rsidP="005769AD">
            <w:pPr>
              <w:ind w:left="0"/>
              <w:jc w:val="right"/>
              <w:rPr>
                <w:rFonts w:ascii="Arial Narrow" w:hAnsi="Arial Narrow"/>
                <w:color w:val="000000" w:themeColor="text1"/>
                <w:sz w:val="20"/>
                <w:szCs w:val="20"/>
                <w:lang w:val="en-PH" w:eastAsia="en-PH"/>
              </w:rPr>
            </w:pPr>
          </w:p>
        </w:tc>
      </w:tr>
      <w:tr w:rsidR="00997F75" w:rsidRPr="009E35ED" w14:paraId="15C06366" w14:textId="77777777" w:rsidTr="00860ED6">
        <w:trPr>
          <w:gridAfter w:val="2"/>
          <w:wAfter w:w="3060" w:type="dxa"/>
          <w:trHeight w:val="193"/>
        </w:trPr>
        <w:tc>
          <w:tcPr>
            <w:tcW w:w="276" w:type="dxa"/>
            <w:tcBorders>
              <w:top w:val="nil"/>
              <w:left w:val="nil"/>
              <w:bottom w:val="nil"/>
              <w:right w:val="nil"/>
            </w:tcBorders>
            <w:shd w:val="clear" w:color="auto" w:fill="auto"/>
            <w:noWrap/>
            <w:vAlign w:val="bottom"/>
            <w:hideMark/>
          </w:tcPr>
          <w:p w14:paraId="58DABE09" w14:textId="77777777" w:rsidR="005769AD" w:rsidRPr="009E35ED" w:rsidRDefault="005769AD" w:rsidP="005769AD">
            <w:pPr>
              <w:ind w:left="0"/>
              <w:jc w:val="left"/>
              <w:rPr>
                <w:rFonts w:ascii="Arial Narrow" w:hAnsi="Arial Narrow"/>
                <w:color w:val="000000" w:themeColor="text1"/>
                <w:sz w:val="18"/>
                <w:szCs w:val="18"/>
                <w:lang w:val="en-PH" w:eastAsia="en-PH"/>
              </w:rPr>
            </w:pPr>
          </w:p>
        </w:tc>
        <w:tc>
          <w:tcPr>
            <w:tcW w:w="264" w:type="dxa"/>
            <w:tcBorders>
              <w:top w:val="nil"/>
              <w:left w:val="nil"/>
              <w:bottom w:val="nil"/>
              <w:right w:val="nil"/>
            </w:tcBorders>
            <w:shd w:val="clear" w:color="auto" w:fill="auto"/>
            <w:noWrap/>
            <w:vAlign w:val="bottom"/>
            <w:hideMark/>
          </w:tcPr>
          <w:p w14:paraId="5AB93CB4" w14:textId="77777777" w:rsidR="005769AD" w:rsidRPr="009E35ED" w:rsidRDefault="005769AD" w:rsidP="005769AD">
            <w:pPr>
              <w:ind w:left="0"/>
              <w:jc w:val="left"/>
              <w:rPr>
                <w:rFonts w:ascii="Arial Narrow" w:hAnsi="Arial Narrow"/>
                <w:color w:val="000000" w:themeColor="text1"/>
                <w:sz w:val="18"/>
                <w:szCs w:val="18"/>
                <w:lang w:val="en-PH" w:eastAsia="en-PH"/>
              </w:rPr>
            </w:pPr>
          </w:p>
        </w:tc>
        <w:tc>
          <w:tcPr>
            <w:tcW w:w="2862" w:type="dxa"/>
            <w:tcBorders>
              <w:top w:val="nil"/>
              <w:left w:val="nil"/>
              <w:bottom w:val="nil"/>
              <w:right w:val="nil"/>
            </w:tcBorders>
            <w:shd w:val="clear" w:color="auto" w:fill="auto"/>
            <w:noWrap/>
            <w:vAlign w:val="bottom"/>
            <w:hideMark/>
          </w:tcPr>
          <w:p w14:paraId="0F5AB2A4" w14:textId="5490E815" w:rsidR="005769AD" w:rsidRPr="009E35ED" w:rsidRDefault="005769AD" w:rsidP="005769AD">
            <w:pPr>
              <w:ind w:left="0"/>
              <w:jc w:val="left"/>
              <w:rPr>
                <w:rFonts w:ascii="Arial Narrow" w:hAnsi="Arial Narrow" w:cs="Arial"/>
                <w:color w:val="000000" w:themeColor="text1"/>
                <w:sz w:val="18"/>
                <w:szCs w:val="18"/>
                <w:lang w:val="en-PH" w:eastAsia="en-PH"/>
              </w:rPr>
            </w:pPr>
            <w:r w:rsidRPr="009E35ED">
              <w:rPr>
                <w:rFonts w:ascii="Arial Narrow" w:hAnsi="Arial Narrow" w:cs="Arial"/>
                <w:color w:val="000000" w:themeColor="text1"/>
                <w:sz w:val="18"/>
                <w:szCs w:val="18"/>
                <w:lang w:val="en-PH" w:eastAsia="en-PH"/>
              </w:rPr>
              <w:t xml:space="preserve">Sale of </w:t>
            </w:r>
            <w:r w:rsidR="00F93FBC">
              <w:rPr>
                <w:rFonts w:ascii="Arial Narrow" w:hAnsi="Arial Narrow" w:cs="Arial"/>
                <w:color w:val="000000" w:themeColor="text1"/>
                <w:sz w:val="18"/>
                <w:szCs w:val="18"/>
                <w:lang w:val="en-PH" w:eastAsia="en-PH"/>
              </w:rPr>
              <w:t>u</w:t>
            </w:r>
            <w:r w:rsidRPr="009E35ED">
              <w:rPr>
                <w:rFonts w:ascii="Arial Narrow" w:hAnsi="Arial Narrow" w:cs="Arial"/>
                <w:color w:val="000000" w:themeColor="text1"/>
                <w:sz w:val="18"/>
                <w:szCs w:val="18"/>
                <w:lang w:val="en-PH" w:eastAsia="en-PH"/>
              </w:rPr>
              <w:t xml:space="preserve">nserviceable </w:t>
            </w:r>
            <w:r w:rsidR="00F93FBC">
              <w:rPr>
                <w:rFonts w:ascii="Arial Narrow" w:hAnsi="Arial Narrow" w:cs="Arial"/>
                <w:color w:val="000000" w:themeColor="text1"/>
                <w:sz w:val="18"/>
                <w:szCs w:val="18"/>
                <w:lang w:val="en-PH" w:eastAsia="en-PH"/>
              </w:rPr>
              <w:t>p</w:t>
            </w:r>
            <w:r w:rsidRPr="009E35ED">
              <w:rPr>
                <w:rFonts w:ascii="Arial Narrow" w:hAnsi="Arial Narrow" w:cs="Arial"/>
                <w:color w:val="000000" w:themeColor="text1"/>
                <w:sz w:val="18"/>
                <w:szCs w:val="18"/>
                <w:lang w:val="en-PH" w:eastAsia="en-PH"/>
              </w:rPr>
              <w:t>roperty</w:t>
            </w:r>
          </w:p>
        </w:tc>
        <w:tc>
          <w:tcPr>
            <w:tcW w:w="1530" w:type="dxa"/>
            <w:tcBorders>
              <w:top w:val="nil"/>
              <w:left w:val="nil"/>
              <w:bottom w:val="nil"/>
              <w:right w:val="nil"/>
            </w:tcBorders>
            <w:shd w:val="clear" w:color="auto" w:fill="auto"/>
            <w:noWrap/>
            <w:vAlign w:val="bottom"/>
            <w:hideMark/>
          </w:tcPr>
          <w:p w14:paraId="2583EA9D" w14:textId="6384597B" w:rsidR="005769AD" w:rsidRPr="009E35ED" w:rsidRDefault="00706A6D" w:rsidP="005769AD">
            <w:pPr>
              <w:ind w:left="0"/>
              <w:jc w:val="right"/>
              <w:rPr>
                <w:rFonts w:ascii="Arial Narrow" w:hAnsi="Arial Narrow" w:cs="Arial"/>
                <w:color w:val="000000" w:themeColor="text1"/>
                <w:sz w:val="20"/>
                <w:szCs w:val="20"/>
                <w:lang w:val="en-PH" w:eastAsia="en-PH"/>
              </w:rPr>
            </w:pPr>
            <w:r w:rsidRPr="009E35ED">
              <w:rPr>
                <w:rFonts w:ascii="Arial Narrow" w:hAnsi="Arial Narrow"/>
                <w:color w:val="000000" w:themeColor="text1"/>
                <w:sz w:val="20"/>
                <w:szCs w:val="20"/>
              </w:rPr>
              <w:t>4,300</w:t>
            </w:r>
          </w:p>
        </w:tc>
        <w:tc>
          <w:tcPr>
            <w:tcW w:w="1357" w:type="dxa"/>
            <w:tcBorders>
              <w:top w:val="nil"/>
              <w:left w:val="nil"/>
              <w:bottom w:val="nil"/>
              <w:right w:val="nil"/>
            </w:tcBorders>
            <w:shd w:val="clear" w:color="auto" w:fill="auto"/>
            <w:noWrap/>
            <w:vAlign w:val="bottom"/>
            <w:hideMark/>
          </w:tcPr>
          <w:p w14:paraId="50CC42E1" w14:textId="13DDEF67" w:rsidR="005769AD" w:rsidRPr="009E35ED" w:rsidRDefault="000208D0" w:rsidP="005769AD">
            <w:pPr>
              <w:ind w:left="0"/>
              <w:jc w:val="right"/>
              <w:rPr>
                <w:rFonts w:ascii="Arial Narrow" w:hAnsi="Arial Narrow" w:cs="Arial"/>
                <w:color w:val="000000" w:themeColor="text1"/>
                <w:sz w:val="20"/>
                <w:szCs w:val="20"/>
                <w:lang w:val="en-PH" w:eastAsia="en-PH"/>
              </w:rPr>
            </w:pPr>
            <w:r w:rsidRPr="009E35ED">
              <w:rPr>
                <w:rFonts w:ascii="Arial Narrow" w:hAnsi="Arial Narrow" w:cs="Arial"/>
                <w:color w:val="000000" w:themeColor="text1"/>
                <w:sz w:val="20"/>
                <w:szCs w:val="20"/>
                <w:lang w:val="en-PH" w:eastAsia="en-PH"/>
              </w:rPr>
              <w:t>-</w:t>
            </w:r>
          </w:p>
        </w:tc>
        <w:tc>
          <w:tcPr>
            <w:tcW w:w="1440" w:type="dxa"/>
            <w:tcBorders>
              <w:top w:val="nil"/>
              <w:left w:val="nil"/>
              <w:bottom w:val="nil"/>
              <w:right w:val="nil"/>
            </w:tcBorders>
            <w:shd w:val="clear" w:color="auto" w:fill="auto"/>
            <w:noWrap/>
            <w:vAlign w:val="bottom"/>
            <w:hideMark/>
          </w:tcPr>
          <w:p w14:paraId="472E9445" w14:textId="67621994" w:rsidR="005769AD" w:rsidRPr="009E35ED" w:rsidRDefault="000208D0" w:rsidP="005769AD">
            <w:pPr>
              <w:ind w:left="0"/>
              <w:jc w:val="right"/>
              <w:rPr>
                <w:rFonts w:ascii="Arial Narrow" w:hAnsi="Arial Narrow"/>
                <w:color w:val="000000" w:themeColor="text1"/>
                <w:sz w:val="20"/>
                <w:szCs w:val="20"/>
                <w:lang w:val="en-PH" w:eastAsia="en-PH"/>
              </w:rPr>
            </w:pPr>
            <w:r w:rsidRPr="009E35ED">
              <w:rPr>
                <w:rFonts w:ascii="Arial Narrow" w:hAnsi="Arial Narrow"/>
                <w:color w:val="000000" w:themeColor="text1"/>
                <w:sz w:val="20"/>
                <w:szCs w:val="20"/>
                <w:lang w:val="en-PH" w:eastAsia="en-PH"/>
              </w:rPr>
              <w:t>-</w:t>
            </w:r>
          </w:p>
        </w:tc>
        <w:tc>
          <w:tcPr>
            <w:tcW w:w="1530" w:type="dxa"/>
            <w:tcBorders>
              <w:top w:val="nil"/>
              <w:left w:val="nil"/>
              <w:bottom w:val="nil"/>
              <w:right w:val="nil"/>
            </w:tcBorders>
            <w:shd w:val="clear" w:color="auto" w:fill="auto"/>
            <w:noWrap/>
            <w:vAlign w:val="bottom"/>
            <w:hideMark/>
          </w:tcPr>
          <w:p w14:paraId="60FAEF6F" w14:textId="14AFD4F2" w:rsidR="005769AD" w:rsidRPr="009E35ED" w:rsidRDefault="005769AD" w:rsidP="005769AD">
            <w:pPr>
              <w:ind w:left="0"/>
              <w:jc w:val="right"/>
              <w:rPr>
                <w:rFonts w:ascii="Arial Narrow" w:hAnsi="Arial Narrow" w:cs="Arial"/>
                <w:color w:val="000000" w:themeColor="text1"/>
                <w:sz w:val="20"/>
                <w:szCs w:val="20"/>
                <w:lang w:val="en-PH" w:eastAsia="en-PH"/>
              </w:rPr>
            </w:pPr>
            <w:r w:rsidRPr="009E35ED">
              <w:rPr>
                <w:rFonts w:ascii="Arial Narrow" w:hAnsi="Arial Narrow"/>
                <w:color w:val="000000" w:themeColor="text1"/>
                <w:sz w:val="20"/>
                <w:szCs w:val="20"/>
              </w:rPr>
              <w:t xml:space="preserve"> </w:t>
            </w:r>
            <w:r w:rsidR="00706A6D" w:rsidRPr="009E35ED">
              <w:rPr>
                <w:rFonts w:ascii="Arial Narrow" w:hAnsi="Arial Narrow"/>
                <w:color w:val="000000" w:themeColor="text1"/>
                <w:sz w:val="20"/>
                <w:szCs w:val="20"/>
              </w:rPr>
              <w:t>4,300</w:t>
            </w:r>
          </w:p>
        </w:tc>
      </w:tr>
      <w:tr w:rsidR="00997F75" w:rsidRPr="009E35ED" w14:paraId="2C5C5B67" w14:textId="77777777" w:rsidTr="00860ED6">
        <w:trPr>
          <w:gridAfter w:val="2"/>
          <w:wAfter w:w="3060" w:type="dxa"/>
          <w:trHeight w:val="203"/>
        </w:trPr>
        <w:tc>
          <w:tcPr>
            <w:tcW w:w="276" w:type="dxa"/>
            <w:tcBorders>
              <w:top w:val="single" w:sz="4" w:space="0" w:color="auto"/>
              <w:left w:val="nil"/>
              <w:bottom w:val="single" w:sz="4" w:space="0" w:color="auto"/>
              <w:right w:val="nil"/>
            </w:tcBorders>
            <w:shd w:val="clear" w:color="auto" w:fill="auto"/>
            <w:noWrap/>
            <w:vAlign w:val="bottom"/>
            <w:hideMark/>
          </w:tcPr>
          <w:p w14:paraId="10B1ED04" w14:textId="77777777" w:rsidR="005769AD" w:rsidRPr="009E35ED" w:rsidRDefault="005769AD" w:rsidP="005769AD">
            <w:pPr>
              <w:ind w:left="0"/>
              <w:jc w:val="left"/>
              <w:rPr>
                <w:rFonts w:ascii="Arial Narrow" w:hAnsi="Arial Narrow" w:cs="Arial"/>
                <w:b/>
                <w:color w:val="000000" w:themeColor="text1"/>
                <w:sz w:val="18"/>
                <w:szCs w:val="18"/>
                <w:lang w:val="en-PH" w:eastAsia="en-PH"/>
              </w:rPr>
            </w:pPr>
            <w:r w:rsidRPr="009E35ED">
              <w:rPr>
                <w:rFonts w:ascii="Arial Narrow" w:hAnsi="Arial Narrow" w:cs="Arial"/>
                <w:b/>
                <w:color w:val="000000" w:themeColor="text1"/>
                <w:sz w:val="18"/>
                <w:szCs w:val="18"/>
                <w:lang w:val="en-PH" w:eastAsia="en-PH"/>
              </w:rPr>
              <w:t> </w:t>
            </w:r>
          </w:p>
        </w:tc>
        <w:tc>
          <w:tcPr>
            <w:tcW w:w="264" w:type="dxa"/>
            <w:tcBorders>
              <w:top w:val="single" w:sz="4" w:space="0" w:color="auto"/>
              <w:left w:val="nil"/>
              <w:bottom w:val="single" w:sz="4" w:space="0" w:color="auto"/>
              <w:right w:val="nil"/>
            </w:tcBorders>
            <w:shd w:val="clear" w:color="auto" w:fill="auto"/>
            <w:noWrap/>
            <w:vAlign w:val="bottom"/>
            <w:hideMark/>
          </w:tcPr>
          <w:p w14:paraId="14DE6555" w14:textId="77777777" w:rsidR="005769AD" w:rsidRPr="009E35ED" w:rsidRDefault="005769AD" w:rsidP="005769AD">
            <w:pPr>
              <w:ind w:left="0"/>
              <w:jc w:val="left"/>
              <w:rPr>
                <w:rFonts w:ascii="Arial Narrow" w:hAnsi="Arial Narrow" w:cs="Arial"/>
                <w:b/>
                <w:color w:val="000000" w:themeColor="text1"/>
                <w:sz w:val="18"/>
                <w:szCs w:val="18"/>
                <w:lang w:val="en-PH" w:eastAsia="en-PH"/>
              </w:rPr>
            </w:pPr>
            <w:r w:rsidRPr="009E35ED">
              <w:rPr>
                <w:rFonts w:ascii="Arial Narrow" w:hAnsi="Arial Narrow" w:cs="Arial"/>
                <w:b/>
                <w:color w:val="000000" w:themeColor="text1"/>
                <w:sz w:val="18"/>
                <w:szCs w:val="18"/>
                <w:lang w:val="en-PH" w:eastAsia="en-PH"/>
              </w:rPr>
              <w:t> </w:t>
            </w:r>
          </w:p>
        </w:tc>
        <w:tc>
          <w:tcPr>
            <w:tcW w:w="2862" w:type="dxa"/>
            <w:tcBorders>
              <w:top w:val="single" w:sz="4" w:space="0" w:color="auto"/>
              <w:left w:val="nil"/>
              <w:bottom w:val="single" w:sz="4" w:space="0" w:color="auto"/>
              <w:right w:val="nil"/>
            </w:tcBorders>
            <w:shd w:val="clear" w:color="auto" w:fill="auto"/>
            <w:noWrap/>
            <w:vAlign w:val="bottom"/>
            <w:hideMark/>
          </w:tcPr>
          <w:p w14:paraId="32E22E2B" w14:textId="77777777" w:rsidR="005769AD" w:rsidRPr="009E35ED" w:rsidRDefault="005769AD" w:rsidP="005769AD">
            <w:pPr>
              <w:ind w:left="0"/>
              <w:jc w:val="left"/>
              <w:rPr>
                <w:rFonts w:ascii="Arial Narrow" w:hAnsi="Arial Narrow" w:cs="Arial"/>
                <w:b/>
                <w:bCs/>
                <w:color w:val="000000" w:themeColor="text1"/>
                <w:sz w:val="18"/>
                <w:szCs w:val="18"/>
                <w:lang w:val="en-PH" w:eastAsia="en-PH"/>
              </w:rPr>
            </w:pPr>
            <w:r w:rsidRPr="009E35ED">
              <w:rPr>
                <w:rFonts w:ascii="Arial Narrow" w:hAnsi="Arial Narrow" w:cs="Arial"/>
                <w:b/>
                <w:bCs/>
                <w:color w:val="000000" w:themeColor="text1"/>
                <w:sz w:val="18"/>
                <w:szCs w:val="18"/>
                <w:lang w:val="en-PH" w:eastAsia="en-PH"/>
              </w:rPr>
              <w:t>Total Sale of Assets</w:t>
            </w:r>
          </w:p>
        </w:tc>
        <w:tc>
          <w:tcPr>
            <w:tcW w:w="1530" w:type="dxa"/>
            <w:tcBorders>
              <w:top w:val="single" w:sz="4" w:space="0" w:color="auto"/>
              <w:left w:val="nil"/>
              <w:bottom w:val="single" w:sz="4" w:space="0" w:color="auto"/>
              <w:right w:val="nil"/>
            </w:tcBorders>
            <w:shd w:val="clear" w:color="auto" w:fill="auto"/>
            <w:noWrap/>
            <w:vAlign w:val="bottom"/>
            <w:hideMark/>
          </w:tcPr>
          <w:p w14:paraId="2A11FB9E" w14:textId="7ABE503E" w:rsidR="005769AD" w:rsidRPr="009E35ED" w:rsidRDefault="005769AD" w:rsidP="005769AD">
            <w:pPr>
              <w:ind w:left="0"/>
              <w:jc w:val="right"/>
              <w:rPr>
                <w:rFonts w:ascii="Arial Narrow" w:hAnsi="Arial Narrow" w:cs="Arial"/>
                <w:b/>
                <w:bCs/>
                <w:color w:val="000000" w:themeColor="text1"/>
                <w:sz w:val="20"/>
                <w:szCs w:val="20"/>
                <w:lang w:val="en-PH" w:eastAsia="en-PH"/>
              </w:rPr>
            </w:pPr>
            <w:r w:rsidRPr="009E35ED">
              <w:rPr>
                <w:rFonts w:ascii="Arial Narrow" w:hAnsi="Arial Narrow"/>
                <w:b/>
                <w:color w:val="000000" w:themeColor="text1"/>
                <w:sz w:val="20"/>
                <w:szCs w:val="20"/>
              </w:rPr>
              <w:t xml:space="preserve"> </w:t>
            </w:r>
            <w:r w:rsidR="00706A6D" w:rsidRPr="009E35ED">
              <w:rPr>
                <w:rFonts w:ascii="Arial Narrow" w:hAnsi="Arial Narrow"/>
                <w:b/>
                <w:color w:val="000000" w:themeColor="text1"/>
                <w:sz w:val="20"/>
                <w:szCs w:val="20"/>
              </w:rPr>
              <w:t>4,300</w:t>
            </w:r>
          </w:p>
        </w:tc>
        <w:tc>
          <w:tcPr>
            <w:tcW w:w="1357" w:type="dxa"/>
            <w:tcBorders>
              <w:top w:val="single" w:sz="4" w:space="0" w:color="auto"/>
              <w:left w:val="nil"/>
              <w:bottom w:val="single" w:sz="4" w:space="0" w:color="auto"/>
              <w:right w:val="nil"/>
            </w:tcBorders>
            <w:shd w:val="clear" w:color="auto" w:fill="auto"/>
            <w:noWrap/>
            <w:vAlign w:val="bottom"/>
            <w:hideMark/>
          </w:tcPr>
          <w:p w14:paraId="0EEEA7A1" w14:textId="5BA0A7C8" w:rsidR="005769AD" w:rsidRPr="009E35ED" w:rsidRDefault="005769AD" w:rsidP="005769AD">
            <w:pPr>
              <w:ind w:left="0"/>
              <w:jc w:val="right"/>
              <w:rPr>
                <w:rFonts w:ascii="Arial Narrow" w:hAnsi="Arial Narrow" w:cs="Arial"/>
                <w:b/>
                <w:bCs/>
                <w:color w:val="000000" w:themeColor="text1"/>
                <w:sz w:val="20"/>
                <w:szCs w:val="20"/>
                <w:lang w:val="en-PH" w:eastAsia="en-PH"/>
              </w:rPr>
            </w:pPr>
            <w:r w:rsidRPr="009E35ED">
              <w:rPr>
                <w:rFonts w:ascii="Arial Narrow" w:hAnsi="Arial Narrow"/>
                <w:b/>
                <w:color w:val="000000" w:themeColor="text1"/>
                <w:sz w:val="20"/>
                <w:szCs w:val="20"/>
              </w:rPr>
              <w:t xml:space="preserve"> -   </w:t>
            </w:r>
          </w:p>
        </w:tc>
        <w:tc>
          <w:tcPr>
            <w:tcW w:w="1440" w:type="dxa"/>
            <w:tcBorders>
              <w:top w:val="single" w:sz="4" w:space="0" w:color="auto"/>
              <w:left w:val="nil"/>
              <w:bottom w:val="single" w:sz="4" w:space="0" w:color="auto"/>
              <w:right w:val="nil"/>
            </w:tcBorders>
            <w:shd w:val="clear" w:color="auto" w:fill="auto"/>
            <w:noWrap/>
            <w:vAlign w:val="bottom"/>
            <w:hideMark/>
          </w:tcPr>
          <w:p w14:paraId="74A18D0C" w14:textId="3D517FD2" w:rsidR="005769AD" w:rsidRPr="009E35ED" w:rsidRDefault="005769AD" w:rsidP="005769AD">
            <w:pPr>
              <w:ind w:left="0"/>
              <w:jc w:val="right"/>
              <w:rPr>
                <w:rFonts w:ascii="Arial Narrow" w:hAnsi="Arial Narrow" w:cs="Arial"/>
                <w:b/>
                <w:bCs/>
                <w:color w:val="000000" w:themeColor="text1"/>
                <w:sz w:val="20"/>
                <w:szCs w:val="20"/>
                <w:lang w:val="en-PH" w:eastAsia="en-PH"/>
              </w:rPr>
            </w:pPr>
            <w:r w:rsidRPr="009E35ED">
              <w:rPr>
                <w:rFonts w:ascii="Arial Narrow" w:hAnsi="Arial Narrow"/>
                <w:b/>
                <w:color w:val="000000" w:themeColor="text1"/>
                <w:sz w:val="20"/>
                <w:szCs w:val="20"/>
              </w:rPr>
              <w:t xml:space="preserve"> -   </w:t>
            </w:r>
          </w:p>
        </w:tc>
        <w:tc>
          <w:tcPr>
            <w:tcW w:w="1530" w:type="dxa"/>
            <w:tcBorders>
              <w:top w:val="single" w:sz="4" w:space="0" w:color="auto"/>
              <w:left w:val="nil"/>
              <w:bottom w:val="single" w:sz="4" w:space="0" w:color="auto"/>
              <w:right w:val="nil"/>
            </w:tcBorders>
            <w:shd w:val="clear" w:color="auto" w:fill="auto"/>
            <w:noWrap/>
            <w:vAlign w:val="bottom"/>
            <w:hideMark/>
          </w:tcPr>
          <w:p w14:paraId="74AD0316" w14:textId="62B6C62E" w:rsidR="005769AD" w:rsidRPr="009E35ED" w:rsidRDefault="005769AD" w:rsidP="005769AD">
            <w:pPr>
              <w:ind w:left="0"/>
              <w:jc w:val="right"/>
              <w:rPr>
                <w:rFonts w:ascii="Arial Narrow" w:hAnsi="Arial Narrow" w:cs="Arial"/>
                <w:b/>
                <w:bCs/>
                <w:color w:val="000000" w:themeColor="text1"/>
                <w:sz w:val="20"/>
                <w:szCs w:val="20"/>
                <w:lang w:val="en-PH" w:eastAsia="en-PH"/>
              </w:rPr>
            </w:pPr>
            <w:r w:rsidRPr="009E35ED">
              <w:rPr>
                <w:rFonts w:ascii="Arial Narrow" w:hAnsi="Arial Narrow"/>
                <w:b/>
                <w:color w:val="000000" w:themeColor="text1"/>
                <w:sz w:val="20"/>
                <w:szCs w:val="20"/>
              </w:rPr>
              <w:t xml:space="preserve"> </w:t>
            </w:r>
            <w:r w:rsidR="00706A6D" w:rsidRPr="009E35ED">
              <w:rPr>
                <w:rFonts w:ascii="Arial Narrow" w:hAnsi="Arial Narrow"/>
                <w:b/>
                <w:color w:val="000000" w:themeColor="text1"/>
                <w:sz w:val="20"/>
                <w:szCs w:val="20"/>
              </w:rPr>
              <w:t>4,300</w:t>
            </w:r>
          </w:p>
        </w:tc>
      </w:tr>
      <w:tr w:rsidR="00997F75" w:rsidRPr="009E35ED" w14:paraId="48582EA2" w14:textId="77777777" w:rsidTr="00860ED6">
        <w:trPr>
          <w:gridAfter w:val="2"/>
          <w:wAfter w:w="3060" w:type="dxa"/>
          <w:trHeight w:val="203"/>
        </w:trPr>
        <w:tc>
          <w:tcPr>
            <w:tcW w:w="276" w:type="dxa"/>
            <w:tcBorders>
              <w:top w:val="nil"/>
              <w:left w:val="nil"/>
              <w:bottom w:val="nil"/>
              <w:right w:val="nil"/>
            </w:tcBorders>
            <w:shd w:val="clear" w:color="auto" w:fill="auto"/>
            <w:noWrap/>
            <w:vAlign w:val="bottom"/>
            <w:hideMark/>
          </w:tcPr>
          <w:p w14:paraId="6E2B545C" w14:textId="77777777" w:rsidR="005769AD" w:rsidRPr="009E35ED" w:rsidRDefault="005769AD" w:rsidP="005769AD">
            <w:pPr>
              <w:ind w:left="0"/>
              <w:jc w:val="center"/>
              <w:rPr>
                <w:rFonts w:ascii="Arial Narrow" w:hAnsi="Arial Narrow" w:cs="Arial"/>
                <w:b/>
                <w:bCs/>
                <w:color w:val="000000" w:themeColor="text1"/>
                <w:sz w:val="18"/>
                <w:szCs w:val="18"/>
                <w:lang w:val="en-PH" w:eastAsia="en-PH"/>
              </w:rPr>
            </w:pPr>
          </w:p>
        </w:tc>
        <w:tc>
          <w:tcPr>
            <w:tcW w:w="264" w:type="dxa"/>
            <w:tcBorders>
              <w:top w:val="nil"/>
              <w:left w:val="nil"/>
              <w:bottom w:val="nil"/>
              <w:right w:val="nil"/>
            </w:tcBorders>
            <w:shd w:val="clear" w:color="auto" w:fill="auto"/>
            <w:noWrap/>
            <w:vAlign w:val="bottom"/>
            <w:hideMark/>
          </w:tcPr>
          <w:p w14:paraId="0F503460" w14:textId="77777777" w:rsidR="005769AD" w:rsidRPr="009E35ED" w:rsidRDefault="005769AD" w:rsidP="005769AD">
            <w:pPr>
              <w:ind w:left="0"/>
              <w:jc w:val="left"/>
              <w:rPr>
                <w:rFonts w:ascii="Arial Narrow" w:hAnsi="Arial Narrow"/>
                <w:color w:val="000000" w:themeColor="text1"/>
                <w:sz w:val="18"/>
                <w:szCs w:val="18"/>
                <w:lang w:val="en-PH" w:eastAsia="en-PH"/>
              </w:rPr>
            </w:pPr>
          </w:p>
        </w:tc>
        <w:tc>
          <w:tcPr>
            <w:tcW w:w="2862" w:type="dxa"/>
            <w:tcBorders>
              <w:top w:val="nil"/>
              <w:left w:val="nil"/>
              <w:bottom w:val="nil"/>
              <w:right w:val="nil"/>
            </w:tcBorders>
            <w:shd w:val="clear" w:color="auto" w:fill="auto"/>
            <w:noWrap/>
            <w:vAlign w:val="bottom"/>
            <w:hideMark/>
          </w:tcPr>
          <w:p w14:paraId="12F61088" w14:textId="77777777" w:rsidR="005769AD" w:rsidRPr="009E35ED" w:rsidRDefault="005769AD" w:rsidP="005769AD">
            <w:pPr>
              <w:ind w:left="0"/>
              <w:jc w:val="left"/>
              <w:rPr>
                <w:rFonts w:ascii="Arial Narrow" w:hAnsi="Arial Narrow"/>
                <w:color w:val="000000" w:themeColor="text1"/>
                <w:sz w:val="18"/>
                <w:szCs w:val="18"/>
                <w:lang w:val="en-PH" w:eastAsia="en-PH"/>
              </w:rPr>
            </w:pPr>
          </w:p>
        </w:tc>
        <w:tc>
          <w:tcPr>
            <w:tcW w:w="1530" w:type="dxa"/>
            <w:tcBorders>
              <w:top w:val="nil"/>
              <w:left w:val="nil"/>
              <w:bottom w:val="nil"/>
              <w:right w:val="nil"/>
            </w:tcBorders>
            <w:shd w:val="clear" w:color="auto" w:fill="auto"/>
            <w:noWrap/>
            <w:vAlign w:val="bottom"/>
            <w:hideMark/>
          </w:tcPr>
          <w:p w14:paraId="04E4FA17" w14:textId="7CBA9D5D" w:rsidR="005769AD" w:rsidRPr="009E35ED" w:rsidRDefault="005769AD" w:rsidP="005769AD">
            <w:pPr>
              <w:ind w:left="0"/>
              <w:jc w:val="right"/>
              <w:rPr>
                <w:rFonts w:ascii="Arial Narrow" w:hAnsi="Arial Narrow"/>
                <w:color w:val="000000" w:themeColor="text1"/>
                <w:sz w:val="20"/>
                <w:szCs w:val="20"/>
                <w:lang w:val="en-PH" w:eastAsia="en-PH"/>
              </w:rPr>
            </w:pPr>
          </w:p>
        </w:tc>
        <w:tc>
          <w:tcPr>
            <w:tcW w:w="1357" w:type="dxa"/>
            <w:tcBorders>
              <w:top w:val="nil"/>
              <w:left w:val="nil"/>
              <w:bottom w:val="nil"/>
              <w:right w:val="nil"/>
            </w:tcBorders>
            <w:shd w:val="clear" w:color="auto" w:fill="auto"/>
            <w:noWrap/>
            <w:vAlign w:val="bottom"/>
            <w:hideMark/>
          </w:tcPr>
          <w:p w14:paraId="5F5AFF2C" w14:textId="1E33F0D3" w:rsidR="005769AD" w:rsidRPr="009E35ED" w:rsidRDefault="005769AD" w:rsidP="005769AD">
            <w:pPr>
              <w:ind w:left="0"/>
              <w:jc w:val="right"/>
              <w:rPr>
                <w:rFonts w:ascii="Arial Narrow" w:hAnsi="Arial Narrow"/>
                <w:color w:val="000000" w:themeColor="text1"/>
                <w:sz w:val="20"/>
                <w:szCs w:val="20"/>
                <w:lang w:val="en-PH" w:eastAsia="en-PH"/>
              </w:rPr>
            </w:pPr>
          </w:p>
        </w:tc>
        <w:tc>
          <w:tcPr>
            <w:tcW w:w="1440" w:type="dxa"/>
            <w:tcBorders>
              <w:top w:val="nil"/>
              <w:left w:val="nil"/>
              <w:bottom w:val="nil"/>
              <w:right w:val="nil"/>
            </w:tcBorders>
            <w:shd w:val="clear" w:color="auto" w:fill="auto"/>
            <w:noWrap/>
            <w:vAlign w:val="bottom"/>
            <w:hideMark/>
          </w:tcPr>
          <w:p w14:paraId="40FC2B61" w14:textId="49AA81D4" w:rsidR="005769AD" w:rsidRPr="009E35ED" w:rsidRDefault="005769AD" w:rsidP="005769AD">
            <w:pPr>
              <w:ind w:left="0"/>
              <w:jc w:val="right"/>
              <w:rPr>
                <w:rFonts w:ascii="Arial Narrow" w:hAnsi="Arial Narrow"/>
                <w:color w:val="000000" w:themeColor="text1"/>
                <w:sz w:val="20"/>
                <w:szCs w:val="20"/>
                <w:lang w:val="en-PH" w:eastAsia="en-PH"/>
              </w:rPr>
            </w:pPr>
          </w:p>
        </w:tc>
        <w:tc>
          <w:tcPr>
            <w:tcW w:w="1530" w:type="dxa"/>
            <w:tcBorders>
              <w:top w:val="nil"/>
              <w:left w:val="nil"/>
              <w:bottom w:val="nil"/>
              <w:right w:val="nil"/>
            </w:tcBorders>
            <w:shd w:val="clear" w:color="auto" w:fill="auto"/>
            <w:noWrap/>
            <w:vAlign w:val="bottom"/>
            <w:hideMark/>
          </w:tcPr>
          <w:p w14:paraId="2518ED66" w14:textId="2D437E2E" w:rsidR="005769AD" w:rsidRPr="009E35ED" w:rsidRDefault="005769AD" w:rsidP="005769AD">
            <w:pPr>
              <w:ind w:left="0"/>
              <w:jc w:val="right"/>
              <w:rPr>
                <w:rFonts w:ascii="Arial Narrow" w:hAnsi="Arial Narrow"/>
                <w:color w:val="000000" w:themeColor="text1"/>
                <w:sz w:val="20"/>
                <w:szCs w:val="20"/>
                <w:lang w:val="en-PH" w:eastAsia="en-PH"/>
              </w:rPr>
            </w:pPr>
          </w:p>
        </w:tc>
      </w:tr>
      <w:tr w:rsidR="00997F75" w:rsidRPr="009E35ED" w14:paraId="3F0B580F" w14:textId="77777777" w:rsidTr="00860ED6">
        <w:trPr>
          <w:gridAfter w:val="2"/>
          <w:wAfter w:w="3060" w:type="dxa"/>
          <w:trHeight w:val="203"/>
        </w:trPr>
        <w:tc>
          <w:tcPr>
            <w:tcW w:w="276" w:type="dxa"/>
            <w:tcBorders>
              <w:top w:val="nil"/>
              <w:left w:val="nil"/>
              <w:bottom w:val="nil"/>
              <w:right w:val="nil"/>
            </w:tcBorders>
            <w:shd w:val="clear" w:color="auto" w:fill="auto"/>
            <w:noWrap/>
            <w:vAlign w:val="bottom"/>
            <w:hideMark/>
          </w:tcPr>
          <w:p w14:paraId="7A01C8C0" w14:textId="77777777" w:rsidR="005769AD" w:rsidRPr="009E35ED" w:rsidRDefault="005769AD" w:rsidP="005769AD">
            <w:pPr>
              <w:ind w:left="0"/>
              <w:jc w:val="left"/>
              <w:rPr>
                <w:rFonts w:ascii="Arial Narrow" w:hAnsi="Arial Narrow"/>
                <w:color w:val="000000" w:themeColor="text1"/>
                <w:sz w:val="18"/>
                <w:szCs w:val="18"/>
                <w:lang w:val="en-PH" w:eastAsia="en-PH"/>
              </w:rPr>
            </w:pPr>
          </w:p>
        </w:tc>
        <w:tc>
          <w:tcPr>
            <w:tcW w:w="3126" w:type="dxa"/>
            <w:gridSpan w:val="2"/>
            <w:tcBorders>
              <w:top w:val="nil"/>
              <w:left w:val="nil"/>
              <w:bottom w:val="nil"/>
              <w:right w:val="nil"/>
            </w:tcBorders>
            <w:shd w:val="clear" w:color="auto" w:fill="auto"/>
            <w:noWrap/>
            <w:vAlign w:val="bottom"/>
            <w:hideMark/>
          </w:tcPr>
          <w:p w14:paraId="317F6E07" w14:textId="77777777" w:rsidR="005769AD" w:rsidRPr="009E35ED" w:rsidRDefault="005769AD" w:rsidP="005769AD">
            <w:pPr>
              <w:ind w:left="0"/>
              <w:jc w:val="left"/>
              <w:rPr>
                <w:rFonts w:ascii="Arial Narrow" w:hAnsi="Arial Narrow" w:cs="Arial"/>
                <w:b/>
                <w:bCs/>
                <w:color w:val="000000" w:themeColor="text1"/>
                <w:sz w:val="18"/>
                <w:szCs w:val="18"/>
                <w:lang w:val="en-PH" w:eastAsia="en-PH"/>
              </w:rPr>
            </w:pPr>
            <w:r w:rsidRPr="009E35ED">
              <w:rPr>
                <w:rFonts w:ascii="Arial Narrow" w:hAnsi="Arial Narrow" w:cs="Arial"/>
                <w:b/>
                <w:bCs/>
                <w:color w:val="000000" w:themeColor="text1"/>
                <w:sz w:val="18"/>
                <w:szCs w:val="18"/>
                <w:lang w:val="en-PH" w:eastAsia="en-PH"/>
              </w:rPr>
              <w:t>Miscellaneous Income</w:t>
            </w:r>
          </w:p>
        </w:tc>
        <w:tc>
          <w:tcPr>
            <w:tcW w:w="1530" w:type="dxa"/>
            <w:tcBorders>
              <w:top w:val="nil"/>
              <w:left w:val="nil"/>
              <w:bottom w:val="nil"/>
              <w:right w:val="nil"/>
            </w:tcBorders>
            <w:shd w:val="clear" w:color="auto" w:fill="auto"/>
            <w:noWrap/>
            <w:vAlign w:val="bottom"/>
            <w:hideMark/>
          </w:tcPr>
          <w:p w14:paraId="00ACDB30" w14:textId="77777777" w:rsidR="005769AD" w:rsidRPr="009E35ED" w:rsidRDefault="005769AD" w:rsidP="005769AD">
            <w:pPr>
              <w:ind w:left="0"/>
              <w:jc w:val="right"/>
              <w:rPr>
                <w:rFonts w:ascii="Arial Narrow" w:hAnsi="Arial Narrow" w:cs="Arial"/>
                <w:b/>
                <w:bCs/>
                <w:color w:val="000000" w:themeColor="text1"/>
                <w:sz w:val="20"/>
                <w:szCs w:val="20"/>
                <w:lang w:val="en-PH" w:eastAsia="en-PH"/>
              </w:rPr>
            </w:pPr>
          </w:p>
        </w:tc>
        <w:tc>
          <w:tcPr>
            <w:tcW w:w="1357" w:type="dxa"/>
            <w:tcBorders>
              <w:top w:val="nil"/>
              <w:left w:val="nil"/>
              <w:bottom w:val="nil"/>
              <w:right w:val="nil"/>
            </w:tcBorders>
            <w:shd w:val="clear" w:color="auto" w:fill="auto"/>
            <w:noWrap/>
            <w:vAlign w:val="bottom"/>
            <w:hideMark/>
          </w:tcPr>
          <w:p w14:paraId="02616F59" w14:textId="77777777" w:rsidR="005769AD" w:rsidRPr="009E35ED" w:rsidRDefault="005769AD" w:rsidP="005769AD">
            <w:pPr>
              <w:ind w:left="0"/>
              <w:jc w:val="right"/>
              <w:rPr>
                <w:rFonts w:ascii="Arial Narrow" w:hAnsi="Arial Narrow"/>
                <w:color w:val="000000" w:themeColor="text1"/>
                <w:sz w:val="20"/>
                <w:szCs w:val="20"/>
                <w:lang w:val="en-PH" w:eastAsia="en-PH"/>
              </w:rPr>
            </w:pPr>
          </w:p>
        </w:tc>
        <w:tc>
          <w:tcPr>
            <w:tcW w:w="1440" w:type="dxa"/>
            <w:tcBorders>
              <w:top w:val="nil"/>
              <w:left w:val="nil"/>
              <w:bottom w:val="nil"/>
              <w:right w:val="nil"/>
            </w:tcBorders>
            <w:shd w:val="clear" w:color="auto" w:fill="auto"/>
            <w:noWrap/>
            <w:vAlign w:val="bottom"/>
            <w:hideMark/>
          </w:tcPr>
          <w:p w14:paraId="6EF95191" w14:textId="77777777" w:rsidR="005769AD" w:rsidRPr="009E35ED" w:rsidRDefault="005769AD" w:rsidP="005769AD">
            <w:pPr>
              <w:ind w:left="0"/>
              <w:jc w:val="right"/>
              <w:rPr>
                <w:rFonts w:ascii="Arial Narrow" w:hAnsi="Arial Narrow"/>
                <w:color w:val="000000" w:themeColor="text1"/>
                <w:sz w:val="20"/>
                <w:szCs w:val="20"/>
                <w:lang w:val="en-PH" w:eastAsia="en-PH"/>
              </w:rPr>
            </w:pPr>
          </w:p>
        </w:tc>
        <w:tc>
          <w:tcPr>
            <w:tcW w:w="1530" w:type="dxa"/>
            <w:tcBorders>
              <w:top w:val="nil"/>
              <w:left w:val="nil"/>
              <w:bottom w:val="nil"/>
              <w:right w:val="nil"/>
            </w:tcBorders>
            <w:shd w:val="clear" w:color="auto" w:fill="auto"/>
            <w:noWrap/>
            <w:vAlign w:val="bottom"/>
            <w:hideMark/>
          </w:tcPr>
          <w:p w14:paraId="6DBB21C4" w14:textId="77777777" w:rsidR="005769AD" w:rsidRPr="009E35ED" w:rsidRDefault="005769AD" w:rsidP="005769AD">
            <w:pPr>
              <w:ind w:left="0"/>
              <w:jc w:val="right"/>
              <w:rPr>
                <w:rFonts w:ascii="Arial Narrow" w:hAnsi="Arial Narrow"/>
                <w:color w:val="000000" w:themeColor="text1"/>
                <w:sz w:val="20"/>
                <w:szCs w:val="20"/>
                <w:lang w:val="en-PH" w:eastAsia="en-PH"/>
              </w:rPr>
            </w:pPr>
          </w:p>
        </w:tc>
      </w:tr>
      <w:tr w:rsidR="00997F75" w:rsidRPr="009E35ED" w14:paraId="28533E7B" w14:textId="77777777" w:rsidTr="00860ED6">
        <w:trPr>
          <w:gridAfter w:val="2"/>
          <w:wAfter w:w="3060" w:type="dxa"/>
          <w:trHeight w:val="193"/>
        </w:trPr>
        <w:tc>
          <w:tcPr>
            <w:tcW w:w="276" w:type="dxa"/>
            <w:tcBorders>
              <w:top w:val="nil"/>
              <w:left w:val="nil"/>
              <w:bottom w:val="nil"/>
              <w:right w:val="nil"/>
            </w:tcBorders>
            <w:shd w:val="clear" w:color="auto" w:fill="auto"/>
            <w:noWrap/>
            <w:vAlign w:val="bottom"/>
            <w:hideMark/>
          </w:tcPr>
          <w:p w14:paraId="313E1B08" w14:textId="77777777" w:rsidR="005769AD" w:rsidRPr="009E35ED" w:rsidRDefault="005769AD" w:rsidP="005769AD">
            <w:pPr>
              <w:ind w:left="0"/>
              <w:jc w:val="left"/>
              <w:rPr>
                <w:rFonts w:ascii="Arial Narrow" w:hAnsi="Arial Narrow"/>
                <w:color w:val="000000" w:themeColor="text1"/>
                <w:sz w:val="18"/>
                <w:szCs w:val="18"/>
                <w:lang w:val="en-PH" w:eastAsia="en-PH"/>
              </w:rPr>
            </w:pPr>
          </w:p>
        </w:tc>
        <w:tc>
          <w:tcPr>
            <w:tcW w:w="264" w:type="dxa"/>
            <w:tcBorders>
              <w:top w:val="nil"/>
              <w:left w:val="nil"/>
              <w:bottom w:val="nil"/>
              <w:right w:val="nil"/>
            </w:tcBorders>
            <w:shd w:val="clear" w:color="auto" w:fill="auto"/>
            <w:noWrap/>
            <w:vAlign w:val="bottom"/>
            <w:hideMark/>
          </w:tcPr>
          <w:p w14:paraId="369FC4BE" w14:textId="77777777" w:rsidR="005769AD" w:rsidRPr="009E35ED" w:rsidRDefault="005769AD" w:rsidP="005769AD">
            <w:pPr>
              <w:ind w:left="0"/>
              <w:jc w:val="left"/>
              <w:rPr>
                <w:rFonts w:ascii="Arial Narrow" w:hAnsi="Arial Narrow"/>
                <w:color w:val="000000" w:themeColor="text1"/>
                <w:sz w:val="18"/>
                <w:szCs w:val="18"/>
                <w:lang w:val="en-PH" w:eastAsia="en-PH"/>
              </w:rPr>
            </w:pPr>
          </w:p>
        </w:tc>
        <w:tc>
          <w:tcPr>
            <w:tcW w:w="2862" w:type="dxa"/>
            <w:tcBorders>
              <w:top w:val="nil"/>
              <w:left w:val="nil"/>
              <w:bottom w:val="nil"/>
              <w:right w:val="nil"/>
            </w:tcBorders>
            <w:shd w:val="clear" w:color="auto" w:fill="auto"/>
            <w:noWrap/>
            <w:vAlign w:val="bottom"/>
            <w:hideMark/>
          </w:tcPr>
          <w:p w14:paraId="2A4B87C3" w14:textId="56245CBF" w:rsidR="005769AD" w:rsidRPr="009E35ED" w:rsidRDefault="005769AD" w:rsidP="005769AD">
            <w:pPr>
              <w:ind w:left="0"/>
              <w:jc w:val="left"/>
              <w:rPr>
                <w:rFonts w:ascii="Arial Narrow" w:hAnsi="Arial Narrow" w:cs="Arial"/>
                <w:color w:val="000000" w:themeColor="text1"/>
                <w:sz w:val="18"/>
                <w:szCs w:val="18"/>
                <w:lang w:val="en-PH" w:eastAsia="en-PH"/>
              </w:rPr>
            </w:pPr>
            <w:r w:rsidRPr="009E35ED">
              <w:rPr>
                <w:rFonts w:ascii="Arial Narrow" w:hAnsi="Arial Narrow" w:cs="Arial"/>
                <w:color w:val="000000" w:themeColor="text1"/>
                <w:sz w:val="18"/>
                <w:szCs w:val="18"/>
                <w:lang w:val="en-PH" w:eastAsia="en-PH"/>
              </w:rPr>
              <w:t xml:space="preserve">Miscellaneous </w:t>
            </w:r>
            <w:r w:rsidR="00F93FBC">
              <w:rPr>
                <w:rFonts w:ascii="Arial Narrow" w:hAnsi="Arial Narrow" w:cs="Arial"/>
                <w:color w:val="000000" w:themeColor="text1"/>
                <w:sz w:val="18"/>
                <w:szCs w:val="18"/>
                <w:lang w:val="en-PH" w:eastAsia="en-PH"/>
              </w:rPr>
              <w:t>i</w:t>
            </w:r>
            <w:r w:rsidRPr="009E35ED">
              <w:rPr>
                <w:rFonts w:ascii="Arial Narrow" w:hAnsi="Arial Narrow" w:cs="Arial"/>
                <w:color w:val="000000" w:themeColor="text1"/>
                <w:sz w:val="18"/>
                <w:szCs w:val="18"/>
                <w:lang w:val="en-PH" w:eastAsia="en-PH"/>
              </w:rPr>
              <w:t>ncome</w:t>
            </w:r>
          </w:p>
        </w:tc>
        <w:tc>
          <w:tcPr>
            <w:tcW w:w="1530" w:type="dxa"/>
            <w:tcBorders>
              <w:top w:val="nil"/>
              <w:left w:val="nil"/>
              <w:bottom w:val="nil"/>
              <w:right w:val="nil"/>
            </w:tcBorders>
            <w:shd w:val="clear" w:color="auto" w:fill="auto"/>
            <w:noWrap/>
            <w:vAlign w:val="bottom"/>
            <w:hideMark/>
          </w:tcPr>
          <w:p w14:paraId="2EA41C68" w14:textId="26B67500" w:rsidR="005769AD" w:rsidRPr="009E35ED" w:rsidRDefault="00C47EDA" w:rsidP="005769AD">
            <w:pPr>
              <w:ind w:left="0"/>
              <w:jc w:val="right"/>
              <w:rPr>
                <w:rFonts w:ascii="Arial Narrow" w:hAnsi="Arial Narrow" w:cs="Arial"/>
                <w:color w:val="000000" w:themeColor="text1"/>
                <w:sz w:val="20"/>
                <w:szCs w:val="20"/>
                <w:lang w:val="en-PH" w:eastAsia="en-PH"/>
              </w:rPr>
            </w:pPr>
            <w:r w:rsidRPr="009E35ED">
              <w:rPr>
                <w:rFonts w:ascii="Arial Narrow" w:hAnsi="Arial Narrow"/>
                <w:color w:val="000000" w:themeColor="text1"/>
                <w:sz w:val="20"/>
                <w:szCs w:val="20"/>
              </w:rPr>
              <w:t>8,846,417</w:t>
            </w:r>
          </w:p>
        </w:tc>
        <w:tc>
          <w:tcPr>
            <w:tcW w:w="1357" w:type="dxa"/>
            <w:tcBorders>
              <w:top w:val="nil"/>
              <w:left w:val="nil"/>
              <w:bottom w:val="nil"/>
              <w:right w:val="nil"/>
            </w:tcBorders>
            <w:shd w:val="clear" w:color="auto" w:fill="auto"/>
            <w:noWrap/>
            <w:vAlign w:val="bottom"/>
            <w:hideMark/>
          </w:tcPr>
          <w:p w14:paraId="68E29014" w14:textId="7D327E3F" w:rsidR="005769AD" w:rsidRPr="009E35ED" w:rsidRDefault="000208D0" w:rsidP="005769AD">
            <w:pPr>
              <w:ind w:left="0"/>
              <w:jc w:val="right"/>
              <w:rPr>
                <w:rFonts w:ascii="Arial Narrow" w:hAnsi="Arial Narrow" w:cs="Arial"/>
                <w:color w:val="000000" w:themeColor="text1"/>
                <w:sz w:val="20"/>
                <w:szCs w:val="20"/>
                <w:lang w:val="en-PH" w:eastAsia="en-PH"/>
              </w:rPr>
            </w:pPr>
            <w:r w:rsidRPr="009E35ED">
              <w:rPr>
                <w:rFonts w:ascii="Arial Narrow" w:hAnsi="Arial Narrow" w:cs="Arial"/>
                <w:color w:val="000000" w:themeColor="text1"/>
                <w:sz w:val="20"/>
                <w:szCs w:val="20"/>
                <w:lang w:val="en-PH" w:eastAsia="en-PH"/>
              </w:rPr>
              <w:t>-</w:t>
            </w:r>
          </w:p>
        </w:tc>
        <w:tc>
          <w:tcPr>
            <w:tcW w:w="1440" w:type="dxa"/>
            <w:tcBorders>
              <w:top w:val="nil"/>
              <w:left w:val="nil"/>
              <w:bottom w:val="nil"/>
              <w:right w:val="nil"/>
            </w:tcBorders>
            <w:shd w:val="clear" w:color="auto" w:fill="auto"/>
            <w:noWrap/>
            <w:vAlign w:val="bottom"/>
            <w:hideMark/>
          </w:tcPr>
          <w:p w14:paraId="56BE4859" w14:textId="49882687" w:rsidR="005769AD" w:rsidRPr="009E35ED" w:rsidRDefault="000208D0" w:rsidP="005769AD">
            <w:pPr>
              <w:ind w:left="0"/>
              <w:jc w:val="right"/>
              <w:rPr>
                <w:rFonts w:ascii="Arial Narrow" w:hAnsi="Arial Narrow"/>
                <w:color w:val="000000" w:themeColor="text1"/>
                <w:sz w:val="20"/>
                <w:szCs w:val="20"/>
                <w:lang w:val="en-PH" w:eastAsia="en-PH"/>
              </w:rPr>
            </w:pPr>
            <w:r w:rsidRPr="009E35ED">
              <w:rPr>
                <w:rFonts w:ascii="Arial Narrow" w:hAnsi="Arial Narrow"/>
                <w:color w:val="000000" w:themeColor="text1"/>
                <w:sz w:val="20"/>
                <w:szCs w:val="20"/>
                <w:lang w:val="en-PH" w:eastAsia="en-PH"/>
              </w:rPr>
              <w:t>-</w:t>
            </w:r>
          </w:p>
        </w:tc>
        <w:tc>
          <w:tcPr>
            <w:tcW w:w="1530" w:type="dxa"/>
            <w:tcBorders>
              <w:top w:val="nil"/>
              <w:left w:val="nil"/>
              <w:bottom w:val="nil"/>
              <w:right w:val="nil"/>
            </w:tcBorders>
            <w:shd w:val="clear" w:color="auto" w:fill="auto"/>
            <w:noWrap/>
            <w:vAlign w:val="bottom"/>
            <w:hideMark/>
          </w:tcPr>
          <w:p w14:paraId="5CEA6C8D" w14:textId="2FBE56A5" w:rsidR="005769AD" w:rsidRPr="009E35ED" w:rsidRDefault="005769AD" w:rsidP="005769AD">
            <w:pPr>
              <w:ind w:left="0"/>
              <w:jc w:val="right"/>
              <w:rPr>
                <w:rFonts w:ascii="Arial Narrow" w:hAnsi="Arial Narrow" w:cs="Arial"/>
                <w:color w:val="000000" w:themeColor="text1"/>
                <w:sz w:val="20"/>
                <w:szCs w:val="20"/>
                <w:lang w:val="en-PH" w:eastAsia="en-PH"/>
              </w:rPr>
            </w:pPr>
            <w:r w:rsidRPr="009E35ED">
              <w:rPr>
                <w:rFonts w:ascii="Arial Narrow" w:hAnsi="Arial Narrow"/>
                <w:color w:val="000000" w:themeColor="text1"/>
                <w:sz w:val="20"/>
                <w:szCs w:val="20"/>
              </w:rPr>
              <w:t xml:space="preserve"> </w:t>
            </w:r>
            <w:r w:rsidR="00C47EDA" w:rsidRPr="009E35ED">
              <w:rPr>
                <w:rFonts w:ascii="Arial Narrow" w:hAnsi="Arial Narrow"/>
                <w:color w:val="000000" w:themeColor="text1"/>
                <w:sz w:val="20"/>
                <w:szCs w:val="20"/>
              </w:rPr>
              <w:t xml:space="preserve">8,846,417 </w:t>
            </w:r>
            <w:r w:rsidRPr="009E35ED">
              <w:rPr>
                <w:rFonts w:ascii="Arial Narrow" w:hAnsi="Arial Narrow"/>
                <w:color w:val="000000" w:themeColor="text1"/>
                <w:sz w:val="20"/>
                <w:szCs w:val="20"/>
              </w:rPr>
              <w:t xml:space="preserve"> </w:t>
            </w:r>
          </w:p>
        </w:tc>
      </w:tr>
      <w:tr w:rsidR="00997F75" w:rsidRPr="009E35ED" w14:paraId="09AB670F" w14:textId="77777777" w:rsidTr="00860ED6">
        <w:trPr>
          <w:gridAfter w:val="2"/>
          <w:wAfter w:w="3060" w:type="dxa"/>
          <w:trHeight w:val="203"/>
        </w:trPr>
        <w:tc>
          <w:tcPr>
            <w:tcW w:w="276" w:type="dxa"/>
            <w:tcBorders>
              <w:top w:val="single" w:sz="4" w:space="0" w:color="auto"/>
              <w:left w:val="nil"/>
              <w:bottom w:val="single" w:sz="4" w:space="0" w:color="auto"/>
              <w:right w:val="nil"/>
            </w:tcBorders>
            <w:shd w:val="clear" w:color="auto" w:fill="auto"/>
            <w:noWrap/>
            <w:vAlign w:val="bottom"/>
            <w:hideMark/>
          </w:tcPr>
          <w:p w14:paraId="1C90C5AF" w14:textId="77777777" w:rsidR="005769AD" w:rsidRPr="009E35ED" w:rsidRDefault="005769AD" w:rsidP="005769AD">
            <w:pPr>
              <w:ind w:left="0"/>
              <w:jc w:val="left"/>
              <w:rPr>
                <w:rFonts w:ascii="Arial Narrow" w:hAnsi="Arial Narrow" w:cs="Arial"/>
                <w:b/>
                <w:color w:val="000000" w:themeColor="text1"/>
                <w:sz w:val="18"/>
                <w:szCs w:val="18"/>
                <w:lang w:val="en-PH" w:eastAsia="en-PH"/>
              </w:rPr>
            </w:pPr>
            <w:r w:rsidRPr="009E35ED">
              <w:rPr>
                <w:rFonts w:ascii="Arial Narrow" w:hAnsi="Arial Narrow" w:cs="Arial"/>
                <w:b/>
                <w:color w:val="000000" w:themeColor="text1"/>
                <w:sz w:val="18"/>
                <w:szCs w:val="18"/>
                <w:lang w:val="en-PH" w:eastAsia="en-PH"/>
              </w:rPr>
              <w:t> </w:t>
            </w:r>
          </w:p>
        </w:tc>
        <w:tc>
          <w:tcPr>
            <w:tcW w:w="264" w:type="dxa"/>
            <w:tcBorders>
              <w:top w:val="single" w:sz="4" w:space="0" w:color="auto"/>
              <w:left w:val="nil"/>
              <w:bottom w:val="single" w:sz="4" w:space="0" w:color="auto"/>
              <w:right w:val="nil"/>
            </w:tcBorders>
            <w:shd w:val="clear" w:color="auto" w:fill="auto"/>
            <w:noWrap/>
            <w:vAlign w:val="bottom"/>
            <w:hideMark/>
          </w:tcPr>
          <w:p w14:paraId="78FC8B9C" w14:textId="77777777" w:rsidR="005769AD" w:rsidRPr="009E35ED" w:rsidRDefault="005769AD" w:rsidP="005769AD">
            <w:pPr>
              <w:ind w:left="0"/>
              <w:jc w:val="left"/>
              <w:rPr>
                <w:rFonts w:ascii="Arial Narrow" w:hAnsi="Arial Narrow" w:cs="Arial"/>
                <w:b/>
                <w:color w:val="000000" w:themeColor="text1"/>
                <w:sz w:val="18"/>
                <w:szCs w:val="18"/>
                <w:lang w:val="en-PH" w:eastAsia="en-PH"/>
              </w:rPr>
            </w:pPr>
            <w:r w:rsidRPr="009E35ED">
              <w:rPr>
                <w:rFonts w:ascii="Arial Narrow" w:hAnsi="Arial Narrow" w:cs="Arial"/>
                <w:b/>
                <w:color w:val="000000" w:themeColor="text1"/>
                <w:sz w:val="18"/>
                <w:szCs w:val="18"/>
                <w:lang w:val="en-PH" w:eastAsia="en-PH"/>
              </w:rPr>
              <w:t> </w:t>
            </w:r>
          </w:p>
        </w:tc>
        <w:tc>
          <w:tcPr>
            <w:tcW w:w="2862" w:type="dxa"/>
            <w:tcBorders>
              <w:top w:val="single" w:sz="4" w:space="0" w:color="auto"/>
              <w:left w:val="nil"/>
              <w:bottom w:val="single" w:sz="4" w:space="0" w:color="auto"/>
              <w:right w:val="nil"/>
            </w:tcBorders>
            <w:shd w:val="clear" w:color="auto" w:fill="auto"/>
            <w:noWrap/>
            <w:vAlign w:val="bottom"/>
            <w:hideMark/>
          </w:tcPr>
          <w:p w14:paraId="0B84D2FD" w14:textId="77777777" w:rsidR="005769AD" w:rsidRPr="009E35ED" w:rsidRDefault="005769AD" w:rsidP="005769AD">
            <w:pPr>
              <w:ind w:left="0"/>
              <w:jc w:val="left"/>
              <w:rPr>
                <w:rFonts w:ascii="Arial Narrow" w:hAnsi="Arial Narrow" w:cs="Arial"/>
                <w:b/>
                <w:bCs/>
                <w:color w:val="000000" w:themeColor="text1"/>
                <w:sz w:val="18"/>
                <w:szCs w:val="18"/>
                <w:lang w:val="en-PH" w:eastAsia="en-PH"/>
              </w:rPr>
            </w:pPr>
            <w:r w:rsidRPr="009E35ED">
              <w:rPr>
                <w:rFonts w:ascii="Arial Narrow" w:hAnsi="Arial Narrow" w:cs="Arial"/>
                <w:b/>
                <w:bCs/>
                <w:color w:val="000000" w:themeColor="text1"/>
                <w:sz w:val="18"/>
                <w:szCs w:val="18"/>
                <w:lang w:val="en-PH" w:eastAsia="en-PH"/>
              </w:rPr>
              <w:t>Total Miscellaneous Income</w:t>
            </w:r>
          </w:p>
        </w:tc>
        <w:tc>
          <w:tcPr>
            <w:tcW w:w="1530" w:type="dxa"/>
            <w:tcBorders>
              <w:top w:val="single" w:sz="4" w:space="0" w:color="auto"/>
              <w:left w:val="nil"/>
              <w:bottom w:val="single" w:sz="4" w:space="0" w:color="auto"/>
              <w:right w:val="nil"/>
            </w:tcBorders>
            <w:shd w:val="clear" w:color="auto" w:fill="auto"/>
            <w:noWrap/>
            <w:hideMark/>
          </w:tcPr>
          <w:p w14:paraId="019EFC5F" w14:textId="51BEF7C4" w:rsidR="005769AD" w:rsidRPr="009E35ED" w:rsidRDefault="005769AD" w:rsidP="005769AD">
            <w:pPr>
              <w:ind w:left="0"/>
              <w:jc w:val="right"/>
              <w:rPr>
                <w:rFonts w:ascii="Arial Narrow" w:hAnsi="Arial Narrow" w:cs="Arial"/>
                <w:b/>
                <w:bCs/>
                <w:color w:val="000000" w:themeColor="text1"/>
                <w:sz w:val="20"/>
                <w:szCs w:val="20"/>
                <w:lang w:val="en-PH" w:eastAsia="en-PH"/>
              </w:rPr>
            </w:pPr>
            <w:r w:rsidRPr="009E35ED">
              <w:rPr>
                <w:rFonts w:ascii="Arial Narrow" w:hAnsi="Arial Narrow"/>
                <w:b/>
                <w:color w:val="000000" w:themeColor="text1"/>
                <w:sz w:val="20"/>
                <w:szCs w:val="20"/>
              </w:rPr>
              <w:t xml:space="preserve"> </w:t>
            </w:r>
            <w:r w:rsidR="00C47EDA" w:rsidRPr="009E35ED">
              <w:rPr>
                <w:rFonts w:ascii="Arial Narrow" w:hAnsi="Arial Narrow"/>
                <w:b/>
                <w:color w:val="000000" w:themeColor="text1"/>
                <w:sz w:val="20"/>
                <w:szCs w:val="20"/>
              </w:rPr>
              <w:t xml:space="preserve">8,846,417 </w:t>
            </w:r>
            <w:r w:rsidRPr="009E35ED">
              <w:rPr>
                <w:rFonts w:ascii="Arial Narrow" w:hAnsi="Arial Narrow"/>
                <w:b/>
                <w:color w:val="000000" w:themeColor="text1"/>
                <w:sz w:val="20"/>
                <w:szCs w:val="20"/>
              </w:rPr>
              <w:t xml:space="preserve"> </w:t>
            </w:r>
          </w:p>
        </w:tc>
        <w:tc>
          <w:tcPr>
            <w:tcW w:w="1357" w:type="dxa"/>
            <w:tcBorders>
              <w:top w:val="single" w:sz="4" w:space="0" w:color="auto"/>
              <w:left w:val="nil"/>
              <w:bottom w:val="single" w:sz="4" w:space="0" w:color="auto"/>
              <w:right w:val="nil"/>
            </w:tcBorders>
            <w:shd w:val="clear" w:color="auto" w:fill="auto"/>
            <w:noWrap/>
            <w:hideMark/>
          </w:tcPr>
          <w:p w14:paraId="4B446E6D" w14:textId="21FAB2ED" w:rsidR="005769AD" w:rsidRPr="009E35ED" w:rsidRDefault="005769AD" w:rsidP="005769AD">
            <w:pPr>
              <w:ind w:left="0"/>
              <w:jc w:val="right"/>
              <w:rPr>
                <w:rFonts w:ascii="Arial Narrow" w:hAnsi="Arial Narrow" w:cs="Arial"/>
                <w:b/>
                <w:bCs/>
                <w:color w:val="000000" w:themeColor="text1"/>
                <w:sz w:val="20"/>
                <w:szCs w:val="20"/>
                <w:lang w:val="en-PH" w:eastAsia="en-PH"/>
              </w:rPr>
            </w:pPr>
            <w:r w:rsidRPr="009E35ED">
              <w:rPr>
                <w:rFonts w:ascii="Arial Narrow" w:hAnsi="Arial Narrow"/>
                <w:b/>
                <w:color w:val="000000" w:themeColor="text1"/>
                <w:sz w:val="20"/>
                <w:szCs w:val="20"/>
              </w:rPr>
              <w:t xml:space="preserve"> -   </w:t>
            </w:r>
          </w:p>
        </w:tc>
        <w:tc>
          <w:tcPr>
            <w:tcW w:w="1440" w:type="dxa"/>
            <w:tcBorders>
              <w:top w:val="single" w:sz="4" w:space="0" w:color="auto"/>
              <w:left w:val="nil"/>
              <w:bottom w:val="single" w:sz="4" w:space="0" w:color="auto"/>
              <w:right w:val="nil"/>
            </w:tcBorders>
            <w:shd w:val="clear" w:color="auto" w:fill="auto"/>
            <w:noWrap/>
            <w:hideMark/>
          </w:tcPr>
          <w:p w14:paraId="1B4D21FE" w14:textId="35F68BBB" w:rsidR="005769AD" w:rsidRPr="009E35ED" w:rsidRDefault="005769AD" w:rsidP="005769AD">
            <w:pPr>
              <w:ind w:left="0"/>
              <w:jc w:val="right"/>
              <w:rPr>
                <w:rFonts w:ascii="Arial Narrow" w:hAnsi="Arial Narrow" w:cs="Arial"/>
                <w:b/>
                <w:bCs/>
                <w:color w:val="000000" w:themeColor="text1"/>
                <w:sz w:val="20"/>
                <w:szCs w:val="20"/>
                <w:lang w:val="en-PH" w:eastAsia="en-PH"/>
              </w:rPr>
            </w:pPr>
            <w:r w:rsidRPr="009E35ED">
              <w:rPr>
                <w:rFonts w:ascii="Arial Narrow" w:hAnsi="Arial Narrow"/>
                <w:b/>
                <w:color w:val="000000" w:themeColor="text1"/>
                <w:sz w:val="20"/>
                <w:szCs w:val="20"/>
              </w:rPr>
              <w:t xml:space="preserve"> -   </w:t>
            </w:r>
          </w:p>
        </w:tc>
        <w:tc>
          <w:tcPr>
            <w:tcW w:w="1530" w:type="dxa"/>
            <w:tcBorders>
              <w:top w:val="single" w:sz="4" w:space="0" w:color="auto"/>
              <w:left w:val="nil"/>
              <w:bottom w:val="single" w:sz="4" w:space="0" w:color="auto"/>
              <w:right w:val="nil"/>
            </w:tcBorders>
            <w:shd w:val="clear" w:color="auto" w:fill="auto"/>
            <w:noWrap/>
            <w:hideMark/>
          </w:tcPr>
          <w:p w14:paraId="791DDCC5" w14:textId="6759045E" w:rsidR="005769AD" w:rsidRPr="009E35ED" w:rsidRDefault="005769AD" w:rsidP="005769AD">
            <w:pPr>
              <w:ind w:left="0"/>
              <w:jc w:val="right"/>
              <w:rPr>
                <w:rFonts w:ascii="Arial Narrow" w:hAnsi="Arial Narrow" w:cs="Arial"/>
                <w:b/>
                <w:bCs/>
                <w:color w:val="000000" w:themeColor="text1"/>
                <w:sz w:val="20"/>
                <w:szCs w:val="20"/>
                <w:lang w:val="en-PH" w:eastAsia="en-PH"/>
              </w:rPr>
            </w:pPr>
            <w:r w:rsidRPr="009E35ED">
              <w:rPr>
                <w:rFonts w:ascii="Arial Narrow" w:hAnsi="Arial Narrow"/>
                <w:b/>
                <w:color w:val="000000" w:themeColor="text1"/>
                <w:sz w:val="20"/>
                <w:szCs w:val="20"/>
              </w:rPr>
              <w:t xml:space="preserve"> </w:t>
            </w:r>
            <w:r w:rsidR="00C47EDA" w:rsidRPr="009E35ED">
              <w:rPr>
                <w:rFonts w:ascii="Arial Narrow" w:hAnsi="Arial Narrow"/>
                <w:b/>
                <w:color w:val="000000" w:themeColor="text1"/>
                <w:sz w:val="20"/>
                <w:szCs w:val="20"/>
              </w:rPr>
              <w:t xml:space="preserve">8,846,417 </w:t>
            </w:r>
            <w:r w:rsidRPr="009E35ED">
              <w:rPr>
                <w:rFonts w:ascii="Arial Narrow" w:hAnsi="Arial Narrow"/>
                <w:b/>
                <w:color w:val="000000" w:themeColor="text1"/>
                <w:sz w:val="20"/>
                <w:szCs w:val="20"/>
              </w:rPr>
              <w:t xml:space="preserve"> </w:t>
            </w:r>
          </w:p>
        </w:tc>
      </w:tr>
      <w:tr w:rsidR="00997F75" w:rsidRPr="009E35ED" w14:paraId="40C2DE66" w14:textId="51324296" w:rsidTr="00860ED6">
        <w:trPr>
          <w:trHeight w:val="213"/>
        </w:trPr>
        <w:tc>
          <w:tcPr>
            <w:tcW w:w="3402" w:type="dxa"/>
            <w:gridSpan w:val="3"/>
            <w:tcBorders>
              <w:top w:val="single" w:sz="4" w:space="0" w:color="auto"/>
              <w:left w:val="nil"/>
              <w:bottom w:val="single" w:sz="8" w:space="0" w:color="auto"/>
              <w:right w:val="nil"/>
            </w:tcBorders>
            <w:shd w:val="clear" w:color="auto" w:fill="auto"/>
            <w:noWrap/>
            <w:vAlign w:val="bottom"/>
            <w:hideMark/>
          </w:tcPr>
          <w:p w14:paraId="0F9D56BC" w14:textId="77777777" w:rsidR="005769AD" w:rsidRPr="009E35ED" w:rsidRDefault="005769AD" w:rsidP="005769AD">
            <w:pPr>
              <w:ind w:left="0"/>
              <w:jc w:val="left"/>
              <w:rPr>
                <w:rFonts w:ascii="Arial Narrow" w:hAnsi="Arial Narrow" w:cs="Arial"/>
                <w:b/>
                <w:bCs/>
                <w:color w:val="000000" w:themeColor="text1"/>
                <w:sz w:val="18"/>
                <w:szCs w:val="18"/>
                <w:lang w:val="en-PH" w:eastAsia="en-PH"/>
              </w:rPr>
            </w:pPr>
            <w:r w:rsidRPr="009E35ED">
              <w:rPr>
                <w:rFonts w:ascii="Arial Narrow" w:hAnsi="Arial Narrow" w:cs="Arial"/>
                <w:b/>
                <w:bCs/>
                <w:color w:val="000000" w:themeColor="text1"/>
                <w:sz w:val="18"/>
                <w:szCs w:val="18"/>
                <w:lang w:val="en-PH" w:eastAsia="en-PH"/>
              </w:rPr>
              <w:t>Total Non-Operating Income</w:t>
            </w:r>
          </w:p>
        </w:tc>
        <w:tc>
          <w:tcPr>
            <w:tcW w:w="1530" w:type="dxa"/>
            <w:tcBorders>
              <w:top w:val="single" w:sz="4" w:space="0" w:color="auto"/>
              <w:left w:val="nil"/>
              <w:bottom w:val="single" w:sz="8" w:space="0" w:color="auto"/>
              <w:right w:val="nil"/>
            </w:tcBorders>
            <w:shd w:val="clear" w:color="auto" w:fill="auto"/>
            <w:noWrap/>
            <w:hideMark/>
          </w:tcPr>
          <w:p w14:paraId="22152B30" w14:textId="30C0CDE9" w:rsidR="005769AD" w:rsidRPr="009E35ED" w:rsidRDefault="00211764" w:rsidP="005769AD">
            <w:pPr>
              <w:ind w:left="0"/>
              <w:jc w:val="right"/>
              <w:rPr>
                <w:rFonts w:ascii="Arial Narrow" w:hAnsi="Arial Narrow" w:cs="Arial"/>
                <w:b/>
                <w:bCs/>
                <w:color w:val="000000" w:themeColor="text1"/>
                <w:sz w:val="20"/>
                <w:szCs w:val="20"/>
                <w:lang w:val="en-PH" w:eastAsia="en-PH"/>
              </w:rPr>
            </w:pPr>
            <w:r w:rsidRPr="009E35ED">
              <w:rPr>
                <w:rFonts w:ascii="Arial Narrow" w:hAnsi="Arial Narrow"/>
                <w:b/>
                <w:color w:val="000000" w:themeColor="text1"/>
                <w:sz w:val="20"/>
                <w:szCs w:val="20"/>
              </w:rPr>
              <w:t>8,850,717</w:t>
            </w:r>
          </w:p>
        </w:tc>
        <w:tc>
          <w:tcPr>
            <w:tcW w:w="1357" w:type="dxa"/>
            <w:tcBorders>
              <w:top w:val="single" w:sz="4" w:space="0" w:color="auto"/>
              <w:left w:val="nil"/>
              <w:bottom w:val="single" w:sz="8" w:space="0" w:color="auto"/>
              <w:right w:val="nil"/>
            </w:tcBorders>
            <w:shd w:val="clear" w:color="auto" w:fill="auto"/>
            <w:noWrap/>
            <w:hideMark/>
          </w:tcPr>
          <w:p w14:paraId="21268F74" w14:textId="557AD036" w:rsidR="005769AD" w:rsidRPr="009E35ED" w:rsidRDefault="005769AD" w:rsidP="005769AD">
            <w:pPr>
              <w:ind w:left="0"/>
              <w:jc w:val="right"/>
              <w:rPr>
                <w:rFonts w:ascii="Arial Narrow" w:hAnsi="Arial Narrow" w:cs="Arial"/>
                <w:b/>
                <w:bCs/>
                <w:color w:val="000000" w:themeColor="text1"/>
                <w:sz w:val="20"/>
                <w:szCs w:val="20"/>
                <w:lang w:val="en-PH" w:eastAsia="en-PH"/>
              </w:rPr>
            </w:pPr>
            <w:r w:rsidRPr="009E35ED">
              <w:rPr>
                <w:rFonts w:ascii="Arial Narrow" w:hAnsi="Arial Narrow"/>
                <w:b/>
                <w:color w:val="000000" w:themeColor="text1"/>
                <w:sz w:val="20"/>
                <w:szCs w:val="20"/>
              </w:rPr>
              <w:t xml:space="preserve"> -   </w:t>
            </w:r>
          </w:p>
        </w:tc>
        <w:tc>
          <w:tcPr>
            <w:tcW w:w="1440" w:type="dxa"/>
            <w:tcBorders>
              <w:top w:val="single" w:sz="4" w:space="0" w:color="auto"/>
              <w:left w:val="nil"/>
              <w:bottom w:val="single" w:sz="8" w:space="0" w:color="auto"/>
              <w:right w:val="nil"/>
            </w:tcBorders>
            <w:shd w:val="clear" w:color="auto" w:fill="auto"/>
            <w:noWrap/>
            <w:hideMark/>
          </w:tcPr>
          <w:p w14:paraId="5F5A25C3" w14:textId="06915646" w:rsidR="005769AD" w:rsidRPr="009E35ED" w:rsidRDefault="005769AD" w:rsidP="005769AD">
            <w:pPr>
              <w:ind w:left="0"/>
              <w:jc w:val="right"/>
              <w:rPr>
                <w:rFonts w:ascii="Arial Narrow" w:hAnsi="Arial Narrow" w:cs="Arial"/>
                <w:b/>
                <w:bCs/>
                <w:color w:val="000000" w:themeColor="text1"/>
                <w:sz w:val="20"/>
                <w:szCs w:val="20"/>
                <w:lang w:val="en-PH" w:eastAsia="en-PH"/>
              </w:rPr>
            </w:pPr>
            <w:r w:rsidRPr="009E35ED">
              <w:rPr>
                <w:rFonts w:ascii="Arial Narrow" w:hAnsi="Arial Narrow"/>
                <w:b/>
                <w:color w:val="000000" w:themeColor="text1"/>
                <w:sz w:val="20"/>
                <w:szCs w:val="20"/>
              </w:rPr>
              <w:t xml:space="preserve"> -   </w:t>
            </w:r>
          </w:p>
        </w:tc>
        <w:tc>
          <w:tcPr>
            <w:tcW w:w="1530" w:type="dxa"/>
            <w:tcBorders>
              <w:top w:val="single" w:sz="4" w:space="0" w:color="auto"/>
              <w:left w:val="nil"/>
              <w:bottom w:val="single" w:sz="8" w:space="0" w:color="auto"/>
              <w:right w:val="nil"/>
            </w:tcBorders>
            <w:shd w:val="clear" w:color="auto" w:fill="auto"/>
            <w:noWrap/>
            <w:hideMark/>
          </w:tcPr>
          <w:p w14:paraId="206794C4" w14:textId="7455D623" w:rsidR="005769AD" w:rsidRPr="009E35ED" w:rsidRDefault="00211764" w:rsidP="005769AD">
            <w:pPr>
              <w:ind w:left="0"/>
              <w:jc w:val="right"/>
              <w:rPr>
                <w:rFonts w:ascii="Arial Narrow" w:hAnsi="Arial Narrow" w:cs="Arial"/>
                <w:b/>
                <w:bCs/>
                <w:color w:val="000000" w:themeColor="text1"/>
                <w:sz w:val="20"/>
                <w:szCs w:val="20"/>
                <w:lang w:val="en-PH" w:eastAsia="en-PH"/>
              </w:rPr>
            </w:pPr>
            <w:r w:rsidRPr="009E35ED">
              <w:rPr>
                <w:rFonts w:ascii="Arial Narrow" w:hAnsi="Arial Narrow"/>
                <w:b/>
                <w:color w:val="000000" w:themeColor="text1"/>
                <w:sz w:val="20"/>
                <w:szCs w:val="20"/>
              </w:rPr>
              <w:t>8,850,717</w:t>
            </w:r>
          </w:p>
        </w:tc>
        <w:tc>
          <w:tcPr>
            <w:tcW w:w="1530" w:type="dxa"/>
            <w:vAlign w:val="bottom"/>
          </w:tcPr>
          <w:p w14:paraId="10315F45" w14:textId="4771B650" w:rsidR="005769AD" w:rsidRPr="009E35ED" w:rsidRDefault="005769AD" w:rsidP="000208D0">
            <w:pPr>
              <w:rPr>
                <w:b/>
                <w:color w:val="000000" w:themeColor="text1"/>
              </w:rPr>
            </w:pPr>
            <w:r w:rsidRPr="009E35ED">
              <w:rPr>
                <w:rFonts w:ascii="Arial Narrow" w:hAnsi="Arial Narrow"/>
                <w:b/>
                <w:color w:val="000000" w:themeColor="text1"/>
                <w:sz w:val="20"/>
                <w:szCs w:val="20"/>
              </w:rPr>
              <w:t xml:space="preserve">   </w:t>
            </w:r>
          </w:p>
        </w:tc>
        <w:tc>
          <w:tcPr>
            <w:tcW w:w="1530" w:type="dxa"/>
            <w:vAlign w:val="bottom"/>
          </w:tcPr>
          <w:p w14:paraId="51208753" w14:textId="4FD1752F" w:rsidR="005769AD" w:rsidRPr="009E35ED" w:rsidRDefault="005769AD" w:rsidP="005769AD">
            <w:pPr>
              <w:rPr>
                <w:b/>
                <w:color w:val="000000" w:themeColor="text1"/>
              </w:rPr>
            </w:pPr>
          </w:p>
        </w:tc>
      </w:tr>
      <w:tr w:rsidR="00997F75" w:rsidRPr="009E35ED" w14:paraId="1635E467" w14:textId="77777777" w:rsidTr="00860ED6">
        <w:trPr>
          <w:gridAfter w:val="2"/>
          <w:wAfter w:w="3060" w:type="dxa"/>
          <w:trHeight w:val="55"/>
        </w:trPr>
        <w:tc>
          <w:tcPr>
            <w:tcW w:w="276" w:type="dxa"/>
            <w:tcBorders>
              <w:top w:val="nil"/>
              <w:left w:val="nil"/>
              <w:bottom w:val="nil"/>
              <w:right w:val="nil"/>
            </w:tcBorders>
            <w:shd w:val="clear" w:color="auto" w:fill="auto"/>
            <w:noWrap/>
            <w:vAlign w:val="bottom"/>
          </w:tcPr>
          <w:p w14:paraId="0EDAB591" w14:textId="77777777" w:rsidR="005769AD" w:rsidRPr="009E35ED" w:rsidRDefault="005769AD" w:rsidP="005769AD">
            <w:pPr>
              <w:ind w:left="0"/>
              <w:jc w:val="center"/>
              <w:rPr>
                <w:rFonts w:ascii="Arial Narrow" w:hAnsi="Arial Narrow" w:cs="Arial"/>
                <w:b/>
                <w:bCs/>
                <w:color w:val="000000" w:themeColor="text1"/>
                <w:sz w:val="18"/>
                <w:szCs w:val="18"/>
                <w:lang w:val="en-PH" w:eastAsia="en-PH"/>
              </w:rPr>
            </w:pPr>
          </w:p>
        </w:tc>
        <w:tc>
          <w:tcPr>
            <w:tcW w:w="264" w:type="dxa"/>
            <w:tcBorders>
              <w:top w:val="nil"/>
              <w:left w:val="nil"/>
              <w:bottom w:val="nil"/>
              <w:right w:val="nil"/>
            </w:tcBorders>
            <w:shd w:val="clear" w:color="auto" w:fill="auto"/>
            <w:noWrap/>
            <w:vAlign w:val="bottom"/>
          </w:tcPr>
          <w:p w14:paraId="77742C3A" w14:textId="77777777" w:rsidR="005769AD" w:rsidRPr="009E35ED" w:rsidRDefault="005769AD" w:rsidP="005769AD">
            <w:pPr>
              <w:ind w:left="0"/>
              <w:jc w:val="left"/>
              <w:rPr>
                <w:rFonts w:ascii="Arial Narrow" w:hAnsi="Arial Narrow"/>
                <w:color w:val="000000" w:themeColor="text1"/>
                <w:sz w:val="18"/>
                <w:szCs w:val="18"/>
                <w:lang w:val="en-PH" w:eastAsia="en-PH"/>
              </w:rPr>
            </w:pPr>
          </w:p>
        </w:tc>
        <w:tc>
          <w:tcPr>
            <w:tcW w:w="2862" w:type="dxa"/>
            <w:tcBorders>
              <w:top w:val="nil"/>
              <w:left w:val="nil"/>
              <w:bottom w:val="nil"/>
              <w:right w:val="nil"/>
            </w:tcBorders>
            <w:shd w:val="clear" w:color="auto" w:fill="auto"/>
            <w:noWrap/>
            <w:vAlign w:val="bottom"/>
          </w:tcPr>
          <w:p w14:paraId="3ED1A1E2" w14:textId="77777777" w:rsidR="005769AD" w:rsidRPr="009E35ED" w:rsidRDefault="005769AD" w:rsidP="005769AD">
            <w:pPr>
              <w:ind w:left="0"/>
              <w:jc w:val="left"/>
              <w:rPr>
                <w:rFonts w:ascii="Arial Narrow" w:hAnsi="Arial Narrow"/>
                <w:color w:val="000000" w:themeColor="text1"/>
                <w:sz w:val="18"/>
                <w:szCs w:val="18"/>
                <w:lang w:val="en-PH" w:eastAsia="en-PH"/>
              </w:rPr>
            </w:pPr>
          </w:p>
        </w:tc>
        <w:tc>
          <w:tcPr>
            <w:tcW w:w="1530" w:type="dxa"/>
            <w:tcBorders>
              <w:top w:val="nil"/>
              <w:left w:val="nil"/>
              <w:bottom w:val="nil"/>
              <w:right w:val="nil"/>
            </w:tcBorders>
            <w:shd w:val="clear" w:color="auto" w:fill="auto"/>
            <w:noWrap/>
            <w:vAlign w:val="bottom"/>
          </w:tcPr>
          <w:p w14:paraId="0B3C3BD6" w14:textId="070A07C5" w:rsidR="005769AD" w:rsidRPr="009E35ED" w:rsidRDefault="005769AD" w:rsidP="005769AD">
            <w:pPr>
              <w:ind w:left="0"/>
              <w:jc w:val="right"/>
              <w:rPr>
                <w:rFonts w:ascii="Arial Narrow" w:hAnsi="Arial Narrow"/>
                <w:color w:val="000000" w:themeColor="text1"/>
                <w:sz w:val="20"/>
                <w:szCs w:val="20"/>
                <w:lang w:val="en-PH" w:eastAsia="en-PH"/>
              </w:rPr>
            </w:pPr>
          </w:p>
        </w:tc>
        <w:tc>
          <w:tcPr>
            <w:tcW w:w="1357" w:type="dxa"/>
            <w:tcBorders>
              <w:top w:val="nil"/>
              <w:left w:val="nil"/>
              <w:bottom w:val="nil"/>
              <w:right w:val="nil"/>
            </w:tcBorders>
            <w:shd w:val="clear" w:color="auto" w:fill="auto"/>
            <w:noWrap/>
            <w:vAlign w:val="bottom"/>
          </w:tcPr>
          <w:p w14:paraId="20D04754" w14:textId="7830E690" w:rsidR="005769AD" w:rsidRPr="009E35ED" w:rsidRDefault="005769AD" w:rsidP="005769AD">
            <w:pPr>
              <w:ind w:left="0"/>
              <w:jc w:val="right"/>
              <w:rPr>
                <w:rFonts w:ascii="Arial Narrow" w:hAnsi="Arial Narrow"/>
                <w:color w:val="000000" w:themeColor="text1"/>
                <w:sz w:val="20"/>
                <w:szCs w:val="20"/>
                <w:lang w:val="en-PH" w:eastAsia="en-PH"/>
              </w:rPr>
            </w:pPr>
          </w:p>
        </w:tc>
        <w:tc>
          <w:tcPr>
            <w:tcW w:w="1440" w:type="dxa"/>
            <w:tcBorders>
              <w:top w:val="nil"/>
              <w:left w:val="nil"/>
              <w:bottom w:val="nil"/>
              <w:right w:val="nil"/>
            </w:tcBorders>
            <w:shd w:val="clear" w:color="auto" w:fill="auto"/>
            <w:noWrap/>
            <w:vAlign w:val="bottom"/>
          </w:tcPr>
          <w:p w14:paraId="714D1909" w14:textId="2F555880" w:rsidR="005769AD" w:rsidRPr="009E35ED" w:rsidRDefault="005769AD" w:rsidP="005769AD">
            <w:pPr>
              <w:ind w:left="0"/>
              <w:jc w:val="right"/>
              <w:rPr>
                <w:rFonts w:ascii="Arial Narrow" w:hAnsi="Arial Narrow"/>
                <w:color w:val="000000" w:themeColor="text1"/>
                <w:sz w:val="20"/>
                <w:szCs w:val="20"/>
                <w:lang w:val="en-PH" w:eastAsia="en-PH"/>
              </w:rPr>
            </w:pPr>
          </w:p>
        </w:tc>
        <w:tc>
          <w:tcPr>
            <w:tcW w:w="1530" w:type="dxa"/>
            <w:tcBorders>
              <w:top w:val="nil"/>
              <w:left w:val="nil"/>
              <w:bottom w:val="nil"/>
              <w:right w:val="nil"/>
            </w:tcBorders>
            <w:shd w:val="clear" w:color="auto" w:fill="auto"/>
            <w:noWrap/>
            <w:vAlign w:val="bottom"/>
          </w:tcPr>
          <w:p w14:paraId="35C65EF6" w14:textId="54C1F15D" w:rsidR="005769AD" w:rsidRPr="009E35ED" w:rsidRDefault="005769AD" w:rsidP="005769AD">
            <w:pPr>
              <w:ind w:left="0"/>
              <w:jc w:val="right"/>
              <w:rPr>
                <w:rFonts w:ascii="Arial Narrow" w:hAnsi="Arial Narrow"/>
                <w:color w:val="000000" w:themeColor="text1"/>
                <w:sz w:val="20"/>
                <w:szCs w:val="20"/>
                <w:lang w:val="en-PH" w:eastAsia="en-PH"/>
              </w:rPr>
            </w:pPr>
          </w:p>
        </w:tc>
      </w:tr>
      <w:tr w:rsidR="00E316D9" w:rsidRPr="009E35ED" w14:paraId="6B21C13F" w14:textId="77777777" w:rsidTr="00860ED6">
        <w:trPr>
          <w:gridAfter w:val="2"/>
          <w:wAfter w:w="3060" w:type="dxa"/>
          <w:trHeight w:val="213"/>
        </w:trPr>
        <w:tc>
          <w:tcPr>
            <w:tcW w:w="3402" w:type="dxa"/>
            <w:gridSpan w:val="3"/>
            <w:tcBorders>
              <w:top w:val="single" w:sz="4" w:space="0" w:color="auto"/>
              <w:left w:val="nil"/>
              <w:bottom w:val="double" w:sz="6" w:space="0" w:color="auto"/>
              <w:right w:val="nil"/>
            </w:tcBorders>
            <w:shd w:val="clear" w:color="auto" w:fill="auto"/>
            <w:noWrap/>
            <w:vAlign w:val="bottom"/>
            <w:hideMark/>
          </w:tcPr>
          <w:p w14:paraId="2C87FF83" w14:textId="77777777" w:rsidR="00E316D9" w:rsidRPr="009E35ED" w:rsidRDefault="00E316D9" w:rsidP="00E316D9">
            <w:pPr>
              <w:ind w:left="0"/>
              <w:jc w:val="left"/>
              <w:rPr>
                <w:rFonts w:ascii="Arial Narrow" w:hAnsi="Arial Narrow" w:cs="Arial"/>
                <w:b/>
                <w:bCs/>
                <w:color w:val="000000" w:themeColor="text1"/>
                <w:sz w:val="18"/>
                <w:szCs w:val="18"/>
                <w:lang w:val="en-PH" w:eastAsia="en-PH"/>
              </w:rPr>
            </w:pPr>
            <w:r w:rsidRPr="009E35ED">
              <w:rPr>
                <w:rFonts w:ascii="Arial Narrow" w:hAnsi="Arial Narrow" w:cs="Arial"/>
                <w:b/>
                <w:bCs/>
                <w:color w:val="000000" w:themeColor="text1"/>
                <w:sz w:val="18"/>
                <w:szCs w:val="18"/>
                <w:lang w:val="en-PH" w:eastAsia="en-PH"/>
              </w:rPr>
              <w:t>TOTAL INCOME</w:t>
            </w:r>
          </w:p>
        </w:tc>
        <w:tc>
          <w:tcPr>
            <w:tcW w:w="1530" w:type="dxa"/>
            <w:tcBorders>
              <w:top w:val="single" w:sz="4" w:space="0" w:color="auto"/>
              <w:left w:val="nil"/>
              <w:bottom w:val="double" w:sz="6" w:space="0" w:color="auto"/>
              <w:right w:val="nil"/>
            </w:tcBorders>
            <w:shd w:val="clear" w:color="auto" w:fill="auto"/>
            <w:noWrap/>
            <w:hideMark/>
          </w:tcPr>
          <w:p w14:paraId="786211FD" w14:textId="4773480A" w:rsidR="00E316D9" w:rsidRPr="009E35ED" w:rsidRDefault="00E316D9" w:rsidP="00D56D71">
            <w:pPr>
              <w:ind w:left="0"/>
              <w:jc w:val="right"/>
              <w:rPr>
                <w:rFonts w:ascii="Arial Narrow" w:hAnsi="Arial Narrow" w:cs="Arial"/>
                <w:b/>
                <w:bCs/>
                <w:color w:val="000000" w:themeColor="text1"/>
                <w:sz w:val="18"/>
                <w:szCs w:val="18"/>
                <w:lang w:val="en-PH" w:eastAsia="en-PH"/>
              </w:rPr>
            </w:pPr>
            <w:r w:rsidRPr="009E35ED">
              <w:rPr>
                <w:rFonts w:ascii="Arial Narrow" w:hAnsi="Arial Narrow"/>
                <w:b/>
                <w:bCs/>
                <w:color w:val="000000" w:themeColor="text1"/>
                <w:sz w:val="18"/>
                <w:szCs w:val="18"/>
              </w:rPr>
              <w:t xml:space="preserve"> 10,498,575,51</w:t>
            </w:r>
            <w:r w:rsidR="00D56D71" w:rsidRPr="009E35ED">
              <w:rPr>
                <w:rFonts w:ascii="Arial Narrow" w:hAnsi="Arial Narrow"/>
                <w:b/>
                <w:bCs/>
                <w:color w:val="000000" w:themeColor="text1"/>
                <w:sz w:val="18"/>
                <w:szCs w:val="18"/>
              </w:rPr>
              <w:t>3</w:t>
            </w:r>
            <w:r w:rsidRPr="009E35ED">
              <w:rPr>
                <w:rFonts w:ascii="Arial Narrow" w:hAnsi="Arial Narrow"/>
                <w:b/>
                <w:bCs/>
                <w:color w:val="000000" w:themeColor="text1"/>
                <w:sz w:val="18"/>
                <w:szCs w:val="18"/>
              </w:rPr>
              <w:t xml:space="preserve"> </w:t>
            </w:r>
          </w:p>
        </w:tc>
        <w:tc>
          <w:tcPr>
            <w:tcW w:w="1357" w:type="dxa"/>
            <w:tcBorders>
              <w:top w:val="single" w:sz="4" w:space="0" w:color="auto"/>
              <w:left w:val="nil"/>
              <w:bottom w:val="double" w:sz="6" w:space="0" w:color="auto"/>
              <w:right w:val="nil"/>
            </w:tcBorders>
            <w:shd w:val="clear" w:color="auto" w:fill="auto"/>
            <w:noWrap/>
            <w:hideMark/>
          </w:tcPr>
          <w:p w14:paraId="65590919" w14:textId="40209AED" w:rsidR="00E316D9" w:rsidRPr="009E35ED" w:rsidRDefault="00E316D9" w:rsidP="00E316D9">
            <w:pPr>
              <w:ind w:left="0"/>
              <w:jc w:val="right"/>
              <w:rPr>
                <w:rFonts w:ascii="Arial Narrow" w:hAnsi="Arial Narrow" w:cs="Arial"/>
                <w:b/>
                <w:bCs/>
                <w:color w:val="000000" w:themeColor="text1"/>
                <w:sz w:val="18"/>
                <w:szCs w:val="18"/>
                <w:lang w:val="en-PH" w:eastAsia="en-PH"/>
              </w:rPr>
            </w:pPr>
            <w:r w:rsidRPr="009E35ED">
              <w:rPr>
                <w:rFonts w:ascii="Arial Narrow" w:hAnsi="Arial Narrow"/>
                <w:b/>
                <w:bCs/>
                <w:color w:val="000000" w:themeColor="text1"/>
                <w:sz w:val="18"/>
                <w:szCs w:val="18"/>
              </w:rPr>
              <w:t xml:space="preserve"> 18,338,349,023 </w:t>
            </w:r>
          </w:p>
        </w:tc>
        <w:tc>
          <w:tcPr>
            <w:tcW w:w="1440" w:type="dxa"/>
            <w:tcBorders>
              <w:top w:val="single" w:sz="4" w:space="0" w:color="auto"/>
              <w:left w:val="nil"/>
              <w:bottom w:val="double" w:sz="6" w:space="0" w:color="auto"/>
              <w:right w:val="nil"/>
            </w:tcBorders>
            <w:shd w:val="clear" w:color="auto" w:fill="auto"/>
            <w:noWrap/>
            <w:hideMark/>
          </w:tcPr>
          <w:p w14:paraId="23BEFD65" w14:textId="4C07435A" w:rsidR="00E316D9" w:rsidRPr="009E35ED" w:rsidRDefault="00E316D9" w:rsidP="00D56D71">
            <w:pPr>
              <w:ind w:left="0"/>
              <w:jc w:val="right"/>
              <w:rPr>
                <w:rFonts w:ascii="Arial Narrow" w:hAnsi="Arial Narrow" w:cs="Arial"/>
                <w:b/>
                <w:bCs/>
                <w:color w:val="000000" w:themeColor="text1"/>
                <w:sz w:val="18"/>
                <w:szCs w:val="18"/>
                <w:lang w:val="en-PH" w:eastAsia="en-PH"/>
              </w:rPr>
            </w:pPr>
            <w:r w:rsidRPr="009E35ED">
              <w:rPr>
                <w:rFonts w:ascii="Arial Narrow" w:hAnsi="Arial Narrow"/>
                <w:b/>
                <w:bCs/>
                <w:color w:val="000000" w:themeColor="text1"/>
                <w:sz w:val="18"/>
                <w:szCs w:val="18"/>
              </w:rPr>
              <w:t xml:space="preserve"> 33,207,272,11</w:t>
            </w:r>
            <w:r w:rsidR="00D56D71" w:rsidRPr="009E35ED">
              <w:rPr>
                <w:rFonts w:ascii="Arial Narrow" w:hAnsi="Arial Narrow"/>
                <w:b/>
                <w:bCs/>
                <w:color w:val="000000" w:themeColor="text1"/>
                <w:sz w:val="18"/>
                <w:szCs w:val="18"/>
              </w:rPr>
              <w:t>0</w:t>
            </w:r>
            <w:r w:rsidRPr="009E35ED">
              <w:rPr>
                <w:rFonts w:ascii="Arial Narrow" w:hAnsi="Arial Narrow"/>
                <w:b/>
                <w:bCs/>
                <w:color w:val="000000" w:themeColor="text1"/>
                <w:sz w:val="18"/>
                <w:szCs w:val="18"/>
              </w:rPr>
              <w:t xml:space="preserve"> </w:t>
            </w:r>
          </w:p>
        </w:tc>
        <w:tc>
          <w:tcPr>
            <w:tcW w:w="1530" w:type="dxa"/>
            <w:tcBorders>
              <w:top w:val="single" w:sz="4" w:space="0" w:color="auto"/>
              <w:left w:val="nil"/>
              <w:bottom w:val="double" w:sz="6" w:space="0" w:color="auto"/>
              <w:right w:val="nil"/>
            </w:tcBorders>
            <w:shd w:val="clear" w:color="auto" w:fill="auto"/>
            <w:noWrap/>
            <w:hideMark/>
          </w:tcPr>
          <w:p w14:paraId="710BC216" w14:textId="4A4FCF79" w:rsidR="00E316D9" w:rsidRPr="009E35ED" w:rsidRDefault="00E316D9" w:rsidP="00E316D9">
            <w:pPr>
              <w:ind w:left="0"/>
              <w:jc w:val="right"/>
              <w:rPr>
                <w:rFonts w:ascii="Arial Narrow" w:hAnsi="Arial Narrow" w:cs="Arial"/>
                <w:b/>
                <w:bCs/>
                <w:color w:val="000000" w:themeColor="text1"/>
                <w:sz w:val="18"/>
                <w:szCs w:val="18"/>
                <w:lang w:val="en-PH" w:eastAsia="en-PH"/>
              </w:rPr>
            </w:pPr>
            <w:r w:rsidRPr="009E35ED">
              <w:rPr>
                <w:rFonts w:ascii="Arial Narrow" w:hAnsi="Arial Narrow"/>
                <w:b/>
                <w:bCs/>
                <w:color w:val="000000" w:themeColor="text1"/>
                <w:sz w:val="18"/>
                <w:szCs w:val="18"/>
              </w:rPr>
              <w:t xml:space="preserve"> 62,044,196,646 </w:t>
            </w:r>
          </w:p>
        </w:tc>
      </w:tr>
    </w:tbl>
    <w:p w14:paraId="67DB4A84" w14:textId="5AAC912A" w:rsidR="00AF33E4" w:rsidRPr="009E35ED" w:rsidRDefault="00AF33E4" w:rsidP="00803F8C">
      <w:pPr>
        <w:ind w:left="0"/>
        <w:rPr>
          <w:rFonts w:ascii="Arial" w:hAnsi="Arial" w:cs="Arial"/>
          <w:color w:val="000000" w:themeColor="text1"/>
          <w:sz w:val="22"/>
          <w:szCs w:val="22"/>
        </w:rPr>
      </w:pPr>
    </w:p>
    <w:p w14:paraId="6F2EA150" w14:textId="2D74DFC0" w:rsidR="000503E9" w:rsidRPr="009E35ED" w:rsidRDefault="000503E9" w:rsidP="002F0748">
      <w:pPr>
        <w:keepNext/>
        <w:keepLines/>
        <w:ind w:left="0"/>
        <w:rPr>
          <w:rFonts w:ascii="Arial" w:hAnsi="Arial" w:cs="Arial"/>
          <w:b/>
          <w:color w:val="000000" w:themeColor="text1"/>
          <w:sz w:val="22"/>
          <w:szCs w:val="22"/>
        </w:rPr>
      </w:pPr>
      <w:r w:rsidRPr="009E35ED">
        <w:rPr>
          <w:rFonts w:ascii="Arial" w:hAnsi="Arial" w:cs="Arial"/>
          <w:b/>
          <w:color w:val="000000" w:themeColor="text1"/>
          <w:sz w:val="22"/>
          <w:szCs w:val="22"/>
        </w:rPr>
        <w:t>202</w:t>
      </w:r>
      <w:r w:rsidR="003D5597" w:rsidRPr="009E35ED">
        <w:rPr>
          <w:rFonts w:ascii="Arial" w:hAnsi="Arial" w:cs="Arial"/>
          <w:b/>
          <w:color w:val="000000" w:themeColor="text1"/>
          <w:sz w:val="22"/>
          <w:szCs w:val="22"/>
        </w:rPr>
        <w:t>2</w:t>
      </w:r>
      <w:r w:rsidR="00C751BA" w:rsidRPr="009E35ED">
        <w:rPr>
          <w:rFonts w:ascii="Arial" w:hAnsi="Arial" w:cs="Arial"/>
          <w:b/>
          <w:color w:val="000000" w:themeColor="text1"/>
          <w:sz w:val="22"/>
          <w:szCs w:val="22"/>
        </w:rPr>
        <w:t xml:space="preserve"> (As Restated)</w:t>
      </w:r>
    </w:p>
    <w:p w14:paraId="6AEF7B16" w14:textId="77777777" w:rsidR="000503E9" w:rsidRPr="009E35ED" w:rsidRDefault="000503E9" w:rsidP="002F0748">
      <w:pPr>
        <w:keepNext/>
        <w:keepLines/>
        <w:ind w:left="0"/>
        <w:jc w:val="center"/>
        <w:rPr>
          <w:rFonts w:ascii="Arial" w:hAnsi="Arial" w:cs="Arial"/>
          <w:b/>
          <w:color w:val="000000" w:themeColor="text1"/>
          <w:sz w:val="22"/>
          <w:szCs w:val="22"/>
        </w:rPr>
      </w:pPr>
    </w:p>
    <w:tbl>
      <w:tblPr>
        <w:tblW w:w="9382" w:type="dxa"/>
        <w:tblLook w:val="04A0" w:firstRow="1" w:lastRow="0" w:firstColumn="1" w:lastColumn="0" w:noHBand="0" w:noVBand="1"/>
      </w:tblPr>
      <w:tblGrid>
        <w:gridCol w:w="276"/>
        <w:gridCol w:w="264"/>
        <w:gridCol w:w="2862"/>
        <w:gridCol w:w="1596"/>
        <w:gridCol w:w="1716"/>
        <w:gridCol w:w="1425"/>
        <w:gridCol w:w="1243"/>
      </w:tblGrid>
      <w:tr w:rsidR="00997F75" w:rsidRPr="009E35ED" w14:paraId="1493DA18" w14:textId="77777777" w:rsidTr="00860ED6">
        <w:trPr>
          <w:trHeight w:val="203"/>
          <w:tblHeader/>
        </w:trPr>
        <w:tc>
          <w:tcPr>
            <w:tcW w:w="276" w:type="dxa"/>
            <w:tcBorders>
              <w:top w:val="single" w:sz="4" w:space="0" w:color="auto"/>
              <w:left w:val="nil"/>
              <w:bottom w:val="single" w:sz="4" w:space="0" w:color="auto"/>
              <w:right w:val="nil"/>
            </w:tcBorders>
            <w:shd w:val="clear" w:color="auto" w:fill="auto"/>
            <w:noWrap/>
            <w:vAlign w:val="bottom"/>
            <w:hideMark/>
          </w:tcPr>
          <w:p w14:paraId="0051F31B" w14:textId="77777777" w:rsidR="000503E9" w:rsidRPr="009E35ED" w:rsidRDefault="000503E9" w:rsidP="00EA2216">
            <w:pPr>
              <w:ind w:left="0"/>
              <w:jc w:val="left"/>
              <w:rPr>
                <w:rFonts w:ascii="Arial Narrow" w:hAnsi="Arial Narrow" w:cs="Arial"/>
                <w:color w:val="000000" w:themeColor="text1"/>
                <w:sz w:val="18"/>
                <w:szCs w:val="18"/>
                <w:lang w:val="en-PH" w:eastAsia="en-PH"/>
              </w:rPr>
            </w:pPr>
            <w:r w:rsidRPr="009E35ED">
              <w:rPr>
                <w:rFonts w:ascii="Arial Narrow" w:hAnsi="Arial Narrow" w:cs="Arial"/>
                <w:color w:val="000000" w:themeColor="text1"/>
                <w:sz w:val="18"/>
                <w:szCs w:val="18"/>
                <w:lang w:val="en-PH" w:eastAsia="en-PH"/>
              </w:rPr>
              <w:t> </w:t>
            </w:r>
          </w:p>
        </w:tc>
        <w:tc>
          <w:tcPr>
            <w:tcW w:w="264" w:type="dxa"/>
            <w:tcBorders>
              <w:top w:val="single" w:sz="4" w:space="0" w:color="auto"/>
              <w:left w:val="nil"/>
              <w:bottom w:val="single" w:sz="4" w:space="0" w:color="auto"/>
              <w:right w:val="nil"/>
            </w:tcBorders>
            <w:shd w:val="clear" w:color="auto" w:fill="auto"/>
            <w:noWrap/>
            <w:vAlign w:val="bottom"/>
            <w:hideMark/>
          </w:tcPr>
          <w:p w14:paraId="62E80CE0" w14:textId="77777777" w:rsidR="000503E9" w:rsidRPr="009E35ED" w:rsidRDefault="000503E9" w:rsidP="00EA2216">
            <w:pPr>
              <w:ind w:left="0"/>
              <w:jc w:val="left"/>
              <w:rPr>
                <w:rFonts w:ascii="Arial Narrow" w:hAnsi="Arial Narrow" w:cs="Arial"/>
                <w:color w:val="000000" w:themeColor="text1"/>
                <w:sz w:val="18"/>
                <w:szCs w:val="18"/>
                <w:lang w:val="en-PH" w:eastAsia="en-PH"/>
              </w:rPr>
            </w:pPr>
            <w:r w:rsidRPr="009E35ED">
              <w:rPr>
                <w:rFonts w:ascii="Arial Narrow" w:hAnsi="Arial Narrow" w:cs="Arial"/>
                <w:color w:val="000000" w:themeColor="text1"/>
                <w:sz w:val="18"/>
                <w:szCs w:val="18"/>
                <w:lang w:val="en-PH" w:eastAsia="en-PH"/>
              </w:rPr>
              <w:t> </w:t>
            </w:r>
          </w:p>
        </w:tc>
        <w:tc>
          <w:tcPr>
            <w:tcW w:w="2862" w:type="dxa"/>
            <w:tcBorders>
              <w:top w:val="single" w:sz="4" w:space="0" w:color="auto"/>
              <w:left w:val="nil"/>
              <w:bottom w:val="single" w:sz="4" w:space="0" w:color="auto"/>
              <w:right w:val="nil"/>
            </w:tcBorders>
            <w:shd w:val="clear" w:color="auto" w:fill="auto"/>
            <w:noWrap/>
            <w:vAlign w:val="bottom"/>
            <w:hideMark/>
          </w:tcPr>
          <w:p w14:paraId="7B42E4CF" w14:textId="77777777" w:rsidR="000503E9" w:rsidRPr="009E35ED" w:rsidRDefault="000503E9" w:rsidP="00EA2216">
            <w:pPr>
              <w:ind w:left="0"/>
              <w:jc w:val="left"/>
              <w:rPr>
                <w:rFonts w:ascii="Arial Narrow" w:hAnsi="Arial Narrow" w:cs="Arial"/>
                <w:color w:val="000000" w:themeColor="text1"/>
                <w:sz w:val="18"/>
                <w:szCs w:val="18"/>
                <w:lang w:val="en-PH" w:eastAsia="en-PH"/>
              </w:rPr>
            </w:pPr>
            <w:r w:rsidRPr="009E35ED">
              <w:rPr>
                <w:rFonts w:ascii="Arial Narrow" w:hAnsi="Arial Narrow" w:cs="Arial"/>
                <w:color w:val="000000" w:themeColor="text1"/>
                <w:sz w:val="18"/>
                <w:szCs w:val="18"/>
                <w:lang w:val="en-PH" w:eastAsia="en-PH"/>
              </w:rPr>
              <w:t> </w:t>
            </w:r>
          </w:p>
        </w:tc>
        <w:tc>
          <w:tcPr>
            <w:tcW w:w="1596" w:type="dxa"/>
            <w:tcBorders>
              <w:top w:val="single" w:sz="4" w:space="0" w:color="auto"/>
              <w:left w:val="nil"/>
              <w:bottom w:val="single" w:sz="4" w:space="0" w:color="auto"/>
              <w:right w:val="nil"/>
            </w:tcBorders>
            <w:shd w:val="clear" w:color="auto" w:fill="auto"/>
            <w:noWrap/>
            <w:vAlign w:val="bottom"/>
            <w:hideMark/>
          </w:tcPr>
          <w:p w14:paraId="5050D5F4" w14:textId="77777777" w:rsidR="000503E9" w:rsidRPr="009E35ED" w:rsidRDefault="000503E9" w:rsidP="00EA2216">
            <w:pPr>
              <w:ind w:left="0"/>
              <w:jc w:val="right"/>
              <w:rPr>
                <w:rFonts w:ascii="Arial Narrow" w:hAnsi="Arial Narrow" w:cs="Arial"/>
                <w:b/>
                <w:bCs/>
                <w:color w:val="000000" w:themeColor="text1"/>
                <w:sz w:val="18"/>
                <w:szCs w:val="18"/>
                <w:lang w:val="en-PH" w:eastAsia="en-PH"/>
              </w:rPr>
            </w:pPr>
            <w:r w:rsidRPr="009E35ED">
              <w:rPr>
                <w:rFonts w:ascii="Arial Narrow" w:hAnsi="Arial Narrow" w:cs="Arial"/>
                <w:b/>
                <w:bCs/>
                <w:color w:val="000000" w:themeColor="text1"/>
                <w:sz w:val="18"/>
                <w:szCs w:val="18"/>
                <w:lang w:val="en-PH" w:eastAsia="en-PH"/>
              </w:rPr>
              <w:t xml:space="preserve"> Operating </w:t>
            </w:r>
          </w:p>
        </w:tc>
        <w:tc>
          <w:tcPr>
            <w:tcW w:w="1716" w:type="dxa"/>
            <w:tcBorders>
              <w:top w:val="single" w:sz="4" w:space="0" w:color="auto"/>
              <w:left w:val="nil"/>
              <w:bottom w:val="single" w:sz="4" w:space="0" w:color="auto"/>
              <w:right w:val="nil"/>
            </w:tcBorders>
            <w:shd w:val="clear" w:color="auto" w:fill="auto"/>
            <w:noWrap/>
            <w:vAlign w:val="bottom"/>
            <w:hideMark/>
          </w:tcPr>
          <w:p w14:paraId="482CDC1D" w14:textId="77777777" w:rsidR="000503E9" w:rsidRPr="009E35ED" w:rsidRDefault="000503E9" w:rsidP="00EA2216">
            <w:pPr>
              <w:ind w:left="0"/>
              <w:jc w:val="right"/>
              <w:rPr>
                <w:rFonts w:ascii="Arial Narrow" w:hAnsi="Arial Narrow" w:cs="Arial"/>
                <w:b/>
                <w:bCs/>
                <w:color w:val="000000" w:themeColor="text1"/>
                <w:sz w:val="18"/>
                <w:szCs w:val="18"/>
                <w:lang w:val="en-PH" w:eastAsia="en-PH"/>
              </w:rPr>
            </w:pPr>
            <w:r w:rsidRPr="009E35ED">
              <w:rPr>
                <w:rFonts w:ascii="Arial Narrow" w:hAnsi="Arial Narrow" w:cs="Arial"/>
                <w:b/>
                <w:bCs/>
                <w:color w:val="000000" w:themeColor="text1"/>
                <w:sz w:val="18"/>
                <w:szCs w:val="18"/>
                <w:lang w:val="en-PH" w:eastAsia="en-PH"/>
              </w:rPr>
              <w:t xml:space="preserve"> Charity </w:t>
            </w:r>
          </w:p>
        </w:tc>
        <w:tc>
          <w:tcPr>
            <w:tcW w:w="1425" w:type="dxa"/>
            <w:tcBorders>
              <w:top w:val="single" w:sz="4" w:space="0" w:color="auto"/>
              <w:left w:val="nil"/>
              <w:bottom w:val="single" w:sz="4" w:space="0" w:color="auto"/>
              <w:right w:val="nil"/>
            </w:tcBorders>
            <w:shd w:val="clear" w:color="auto" w:fill="auto"/>
            <w:noWrap/>
            <w:vAlign w:val="bottom"/>
            <w:hideMark/>
          </w:tcPr>
          <w:p w14:paraId="7C0522A4" w14:textId="77777777" w:rsidR="000503E9" w:rsidRPr="009E35ED" w:rsidRDefault="000503E9" w:rsidP="00EA2216">
            <w:pPr>
              <w:ind w:left="0"/>
              <w:jc w:val="right"/>
              <w:rPr>
                <w:rFonts w:ascii="Arial Narrow" w:hAnsi="Arial Narrow" w:cs="Arial"/>
                <w:b/>
                <w:bCs/>
                <w:color w:val="000000" w:themeColor="text1"/>
                <w:sz w:val="18"/>
                <w:szCs w:val="18"/>
                <w:lang w:val="en-PH" w:eastAsia="en-PH"/>
              </w:rPr>
            </w:pPr>
            <w:r w:rsidRPr="009E35ED">
              <w:rPr>
                <w:rFonts w:ascii="Arial Narrow" w:hAnsi="Arial Narrow" w:cs="Arial"/>
                <w:b/>
                <w:bCs/>
                <w:color w:val="000000" w:themeColor="text1"/>
                <w:sz w:val="18"/>
                <w:szCs w:val="18"/>
                <w:lang w:val="en-PH" w:eastAsia="en-PH"/>
              </w:rPr>
              <w:t xml:space="preserve"> Prize </w:t>
            </w:r>
          </w:p>
        </w:tc>
        <w:tc>
          <w:tcPr>
            <w:tcW w:w="1243" w:type="dxa"/>
            <w:tcBorders>
              <w:top w:val="single" w:sz="4" w:space="0" w:color="auto"/>
              <w:left w:val="nil"/>
              <w:bottom w:val="single" w:sz="4" w:space="0" w:color="auto"/>
              <w:right w:val="nil"/>
            </w:tcBorders>
            <w:shd w:val="clear" w:color="auto" w:fill="auto"/>
            <w:noWrap/>
            <w:vAlign w:val="bottom"/>
            <w:hideMark/>
          </w:tcPr>
          <w:p w14:paraId="6C0EF32C" w14:textId="1F93A120" w:rsidR="000503E9" w:rsidRPr="009E35ED" w:rsidRDefault="001B5486" w:rsidP="00EA2216">
            <w:pPr>
              <w:ind w:left="0"/>
              <w:jc w:val="right"/>
              <w:rPr>
                <w:rFonts w:ascii="Arial Narrow" w:hAnsi="Arial Narrow" w:cs="Arial"/>
                <w:b/>
                <w:bCs/>
                <w:color w:val="000000" w:themeColor="text1"/>
                <w:sz w:val="18"/>
                <w:szCs w:val="18"/>
                <w:lang w:val="en-PH" w:eastAsia="en-PH"/>
              </w:rPr>
            </w:pPr>
            <w:r w:rsidRPr="009E35ED">
              <w:rPr>
                <w:rFonts w:ascii="Arial Narrow" w:hAnsi="Arial Narrow" w:cs="Arial"/>
                <w:b/>
                <w:bCs/>
                <w:color w:val="000000" w:themeColor="text1"/>
                <w:sz w:val="18"/>
                <w:szCs w:val="18"/>
                <w:lang w:val="en-PH" w:eastAsia="en-PH"/>
              </w:rPr>
              <w:t>202</w:t>
            </w:r>
            <w:r w:rsidR="00AB1F6A" w:rsidRPr="009E35ED">
              <w:rPr>
                <w:rFonts w:ascii="Arial Narrow" w:hAnsi="Arial Narrow" w:cs="Arial"/>
                <w:b/>
                <w:bCs/>
                <w:color w:val="000000" w:themeColor="text1"/>
                <w:sz w:val="18"/>
                <w:szCs w:val="18"/>
                <w:lang w:val="en-PH" w:eastAsia="en-PH"/>
              </w:rPr>
              <w:t>2</w:t>
            </w:r>
          </w:p>
        </w:tc>
      </w:tr>
      <w:tr w:rsidR="00997F75" w:rsidRPr="009E35ED" w14:paraId="1E6E0C57" w14:textId="77777777" w:rsidTr="00860ED6">
        <w:trPr>
          <w:trHeight w:val="203"/>
        </w:trPr>
        <w:tc>
          <w:tcPr>
            <w:tcW w:w="3402" w:type="dxa"/>
            <w:gridSpan w:val="3"/>
            <w:tcBorders>
              <w:top w:val="nil"/>
              <w:left w:val="nil"/>
              <w:bottom w:val="nil"/>
              <w:right w:val="nil"/>
            </w:tcBorders>
            <w:shd w:val="clear" w:color="auto" w:fill="auto"/>
            <w:noWrap/>
            <w:vAlign w:val="bottom"/>
            <w:hideMark/>
          </w:tcPr>
          <w:p w14:paraId="07228EFB" w14:textId="77777777" w:rsidR="000503E9" w:rsidRPr="009E35ED" w:rsidRDefault="000503E9" w:rsidP="00EA2216">
            <w:pPr>
              <w:ind w:left="0"/>
              <w:jc w:val="left"/>
              <w:rPr>
                <w:rFonts w:ascii="Arial Narrow" w:hAnsi="Arial Narrow" w:cs="Arial"/>
                <w:b/>
                <w:bCs/>
                <w:color w:val="000000" w:themeColor="text1"/>
                <w:sz w:val="18"/>
                <w:szCs w:val="18"/>
                <w:lang w:val="en-PH" w:eastAsia="en-PH"/>
              </w:rPr>
            </w:pPr>
            <w:r w:rsidRPr="009E35ED">
              <w:rPr>
                <w:rFonts w:ascii="Arial Narrow" w:hAnsi="Arial Narrow" w:cs="Arial"/>
                <w:b/>
                <w:bCs/>
                <w:color w:val="000000" w:themeColor="text1"/>
                <w:sz w:val="18"/>
                <w:szCs w:val="18"/>
                <w:lang w:val="en-PH" w:eastAsia="en-PH"/>
              </w:rPr>
              <w:t>Service and Business Income</w:t>
            </w:r>
          </w:p>
        </w:tc>
        <w:tc>
          <w:tcPr>
            <w:tcW w:w="1596" w:type="dxa"/>
            <w:tcBorders>
              <w:top w:val="nil"/>
              <w:left w:val="nil"/>
              <w:bottom w:val="nil"/>
              <w:right w:val="nil"/>
            </w:tcBorders>
            <w:shd w:val="clear" w:color="auto" w:fill="auto"/>
            <w:noWrap/>
            <w:vAlign w:val="bottom"/>
            <w:hideMark/>
          </w:tcPr>
          <w:p w14:paraId="53D3F8DE" w14:textId="77777777" w:rsidR="000503E9" w:rsidRPr="009E35ED" w:rsidRDefault="000503E9" w:rsidP="00EA2216">
            <w:pPr>
              <w:ind w:left="0"/>
              <w:jc w:val="right"/>
              <w:rPr>
                <w:rFonts w:ascii="Arial Narrow" w:hAnsi="Arial Narrow" w:cs="Arial"/>
                <w:b/>
                <w:bCs/>
                <w:color w:val="000000" w:themeColor="text1"/>
                <w:sz w:val="18"/>
                <w:szCs w:val="18"/>
                <w:lang w:val="en-PH" w:eastAsia="en-PH"/>
              </w:rPr>
            </w:pPr>
          </w:p>
        </w:tc>
        <w:tc>
          <w:tcPr>
            <w:tcW w:w="1716" w:type="dxa"/>
            <w:tcBorders>
              <w:top w:val="nil"/>
              <w:left w:val="nil"/>
              <w:bottom w:val="nil"/>
              <w:right w:val="nil"/>
            </w:tcBorders>
            <w:shd w:val="clear" w:color="auto" w:fill="auto"/>
            <w:noWrap/>
            <w:vAlign w:val="bottom"/>
            <w:hideMark/>
          </w:tcPr>
          <w:p w14:paraId="05FF33A5" w14:textId="77777777" w:rsidR="000503E9" w:rsidRPr="009E35ED" w:rsidRDefault="000503E9" w:rsidP="00EA2216">
            <w:pPr>
              <w:ind w:left="0"/>
              <w:jc w:val="right"/>
              <w:rPr>
                <w:rFonts w:ascii="Arial Narrow" w:hAnsi="Arial Narrow"/>
                <w:color w:val="000000" w:themeColor="text1"/>
                <w:sz w:val="18"/>
                <w:szCs w:val="18"/>
                <w:lang w:val="en-PH" w:eastAsia="en-PH"/>
              </w:rPr>
            </w:pPr>
          </w:p>
        </w:tc>
        <w:tc>
          <w:tcPr>
            <w:tcW w:w="1425" w:type="dxa"/>
            <w:tcBorders>
              <w:top w:val="nil"/>
              <w:left w:val="nil"/>
              <w:bottom w:val="nil"/>
              <w:right w:val="nil"/>
            </w:tcBorders>
            <w:shd w:val="clear" w:color="auto" w:fill="auto"/>
            <w:noWrap/>
            <w:vAlign w:val="bottom"/>
            <w:hideMark/>
          </w:tcPr>
          <w:p w14:paraId="2A6CEFFF" w14:textId="77777777" w:rsidR="000503E9" w:rsidRPr="009E35ED" w:rsidRDefault="000503E9" w:rsidP="00EA2216">
            <w:pPr>
              <w:ind w:left="0"/>
              <w:jc w:val="right"/>
              <w:rPr>
                <w:rFonts w:ascii="Arial Narrow" w:hAnsi="Arial Narrow"/>
                <w:color w:val="000000" w:themeColor="text1"/>
                <w:sz w:val="18"/>
                <w:szCs w:val="18"/>
                <w:lang w:val="en-PH" w:eastAsia="en-PH"/>
              </w:rPr>
            </w:pPr>
          </w:p>
        </w:tc>
        <w:tc>
          <w:tcPr>
            <w:tcW w:w="1243" w:type="dxa"/>
            <w:tcBorders>
              <w:top w:val="nil"/>
              <w:left w:val="nil"/>
              <w:bottom w:val="nil"/>
              <w:right w:val="nil"/>
            </w:tcBorders>
            <w:shd w:val="clear" w:color="auto" w:fill="auto"/>
            <w:noWrap/>
            <w:vAlign w:val="bottom"/>
            <w:hideMark/>
          </w:tcPr>
          <w:p w14:paraId="303FE62D" w14:textId="77777777" w:rsidR="000503E9" w:rsidRPr="009E35ED" w:rsidRDefault="000503E9" w:rsidP="00EA2216">
            <w:pPr>
              <w:ind w:left="0"/>
              <w:jc w:val="right"/>
              <w:rPr>
                <w:rFonts w:ascii="Arial Narrow" w:hAnsi="Arial Narrow"/>
                <w:color w:val="000000" w:themeColor="text1"/>
                <w:sz w:val="18"/>
                <w:szCs w:val="18"/>
                <w:lang w:val="en-PH" w:eastAsia="en-PH"/>
              </w:rPr>
            </w:pPr>
          </w:p>
        </w:tc>
      </w:tr>
      <w:tr w:rsidR="00997F75" w:rsidRPr="009E35ED" w14:paraId="76A214DF" w14:textId="77777777" w:rsidTr="00860ED6">
        <w:trPr>
          <w:trHeight w:val="203"/>
        </w:trPr>
        <w:tc>
          <w:tcPr>
            <w:tcW w:w="276" w:type="dxa"/>
            <w:tcBorders>
              <w:top w:val="nil"/>
              <w:left w:val="nil"/>
              <w:bottom w:val="nil"/>
              <w:right w:val="nil"/>
            </w:tcBorders>
            <w:shd w:val="clear" w:color="auto" w:fill="auto"/>
            <w:noWrap/>
            <w:vAlign w:val="bottom"/>
            <w:hideMark/>
          </w:tcPr>
          <w:p w14:paraId="7EDC1DB9" w14:textId="77777777" w:rsidR="000503E9" w:rsidRPr="009E35ED" w:rsidRDefault="000503E9" w:rsidP="00EA2216">
            <w:pPr>
              <w:ind w:left="0"/>
              <w:jc w:val="left"/>
              <w:rPr>
                <w:rFonts w:ascii="Arial Narrow" w:hAnsi="Arial Narrow"/>
                <w:color w:val="000000" w:themeColor="text1"/>
                <w:sz w:val="18"/>
                <w:szCs w:val="18"/>
                <w:lang w:val="en-PH" w:eastAsia="en-PH"/>
              </w:rPr>
            </w:pPr>
          </w:p>
        </w:tc>
        <w:tc>
          <w:tcPr>
            <w:tcW w:w="3126" w:type="dxa"/>
            <w:gridSpan w:val="2"/>
            <w:tcBorders>
              <w:top w:val="nil"/>
              <w:left w:val="nil"/>
              <w:bottom w:val="nil"/>
              <w:right w:val="nil"/>
            </w:tcBorders>
            <w:shd w:val="clear" w:color="auto" w:fill="auto"/>
            <w:noWrap/>
            <w:vAlign w:val="bottom"/>
            <w:hideMark/>
          </w:tcPr>
          <w:p w14:paraId="5D6D4448" w14:textId="77777777" w:rsidR="000503E9" w:rsidRPr="009E35ED" w:rsidRDefault="000503E9" w:rsidP="00EA2216">
            <w:pPr>
              <w:ind w:left="0"/>
              <w:jc w:val="left"/>
              <w:rPr>
                <w:rFonts w:ascii="Arial Narrow" w:hAnsi="Arial Narrow" w:cs="Arial"/>
                <w:b/>
                <w:bCs/>
                <w:color w:val="000000" w:themeColor="text1"/>
                <w:sz w:val="18"/>
                <w:szCs w:val="18"/>
                <w:lang w:val="en-PH" w:eastAsia="en-PH"/>
              </w:rPr>
            </w:pPr>
            <w:r w:rsidRPr="009E35ED">
              <w:rPr>
                <w:rFonts w:ascii="Arial Narrow" w:hAnsi="Arial Narrow" w:cs="Arial"/>
                <w:b/>
                <w:bCs/>
                <w:color w:val="000000" w:themeColor="text1"/>
                <w:sz w:val="18"/>
                <w:szCs w:val="18"/>
                <w:lang w:val="en-PH" w:eastAsia="en-PH"/>
              </w:rPr>
              <w:t>Service Income</w:t>
            </w:r>
          </w:p>
        </w:tc>
        <w:tc>
          <w:tcPr>
            <w:tcW w:w="1596" w:type="dxa"/>
            <w:tcBorders>
              <w:top w:val="nil"/>
              <w:left w:val="nil"/>
              <w:bottom w:val="nil"/>
              <w:right w:val="nil"/>
            </w:tcBorders>
            <w:shd w:val="clear" w:color="auto" w:fill="auto"/>
            <w:noWrap/>
            <w:vAlign w:val="bottom"/>
            <w:hideMark/>
          </w:tcPr>
          <w:p w14:paraId="43E16495" w14:textId="77777777" w:rsidR="000503E9" w:rsidRPr="009E35ED" w:rsidRDefault="000503E9" w:rsidP="00EA2216">
            <w:pPr>
              <w:ind w:left="0"/>
              <w:jc w:val="right"/>
              <w:rPr>
                <w:rFonts w:ascii="Arial Narrow" w:hAnsi="Arial Narrow" w:cs="Arial"/>
                <w:b/>
                <w:bCs/>
                <w:color w:val="000000" w:themeColor="text1"/>
                <w:sz w:val="18"/>
                <w:szCs w:val="18"/>
                <w:lang w:val="en-PH" w:eastAsia="en-PH"/>
              </w:rPr>
            </w:pPr>
          </w:p>
        </w:tc>
        <w:tc>
          <w:tcPr>
            <w:tcW w:w="1716" w:type="dxa"/>
            <w:tcBorders>
              <w:top w:val="nil"/>
              <w:left w:val="nil"/>
              <w:bottom w:val="nil"/>
              <w:right w:val="nil"/>
            </w:tcBorders>
            <w:shd w:val="clear" w:color="auto" w:fill="auto"/>
            <w:noWrap/>
            <w:vAlign w:val="bottom"/>
            <w:hideMark/>
          </w:tcPr>
          <w:p w14:paraId="38DC8D95" w14:textId="77777777" w:rsidR="000503E9" w:rsidRPr="009E35ED" w:rsidRDefault="000503E9" w:rsidP="00EA2216">
            <w:pPr>
              <w:ind w:left="0"/>
              <w:jc w:val="right"/>
              <w:rPr>
                <w:rFonts w:ascii="Arial Narrow" w:hAnsi="Arial Narrow"/>
                <w:color w:val="000000" w:themeColor="text1"/>
                <w:sz w:val="18"/>
                <w:szCs w:val="18"/>
                <w:lang w:val="en-PH" w:eastAsia="en-PH"/>
              </w:rPr>
            </w:pPr>
          </w:p>
        </w:tc>
        <w:tc>
          <w:tcPr>
            <w:tcW w:w="1425" w:type="dxa"/>
            <w:tcBorders>
              <w:top w:val="nil"/>
              <w:left w:val="nil"/>
              <w:bottom w:val="nil"/>
              <w:right w:val="nil"/>
            </w:tcBorders>
            <w:shd w:val="clear" w:color="auto" w:fill="auto"/>
            <w:noWrap/>
            <w:vAlign w:val="bottom"/>
            <w:hideMark/>
          </w:tcPr>
          <w:p w14:paraId="003064B9" w14:textId="77777777" w:rsidR="000503E9" w:rsidRPr="009E35ED" w:rsidRDefault="000503E9" w:rsidP="00EA2216">
            <w:pPr>
              <w:ind w:left="0"/>
              <w:jc w:val="right"/>
              <w:rPr>
                <w:rFonts w:ascii="Arial Narrow" w:hAnsi="Arial Narrow"/>
                <w:color w:val="000000" w:themeColor="text1"/>
                <w:sz w:val="18"/>
                <w:szCs w:val="18"/>
                <w:lang w:val="en-PH" w:eastAsia="en-PH"/>
              </w:rPr>
            </w:pPr>
          </w:p>
        </w:tc>
        <w:tc>
          <w:tcPr>
            <w:tcW w:w="1243" w:type="dxa"/>
            <w:tcBorders>
              <w:top w:val="nil"/>
              <w:left w:val="nil"/>
              <w:bottom w:val="nil"/>
              <w:right w:val="nil"/>
            </w:tcBorders>
            <w:shd w:val="clear" w:color="auto" w:fill="auto"/>
            <w:noWrap/>
            <w:vAlign w:val="bottom"/>
            <w:hideMark/>
          </w:tcPr>
          <w:p w14:paraId="5B94CDA5" w14:textId="77777777" w:rsidR="000503E9" w:rsidRPr="009E35ED" w:rsidRDefault="000503E9" w:rsidP="00EA2216">
            <w:pPr>
              <w:ind w:left="0"/>
              <w:jc w:val="right"/>
              <w:rPr>
                <w:rFonts w:ascii="Arial Narrow" w:hAnsi="Arial Narrow"/>
                <w:color w:val="000000" w:themeColor="text1"/>
                <w:sz w:val="18"/>
                <w:szCs w:val="18"/>
                <w:lang w:val="en-PH" w:eastAsia="en-PH"/>
              </w:rPr>
            </w:pPr>
          </w:p>
        </w:tc>
      </w:tr>
      <w:tr w:rsidR="00997F75" w:rsidRPr="009E35ED" w14:paraId="7761B1EA" w14:textId="77777777" w:rsidTr="00860ED6">
        <w:trPr>
          <w:trHeight w:val="193"/>
        </w:trPr>
        <w:tc>
          <w:tcPr>
            <w:tcW w:w="276" w:type="dxa"/>
            <w:tcBorders>
              <w:top w:val="nil"/>
              <w:left w:val="nil"/>
              <w:bottom w:val="nil"/>
              <w:right w:val="nil"/>
            </w:tcBorders>
            <w:shd w:val="clear" w:color="auto" w:fill="auto"/>
            <w:noWrap/>
            <w:vAlign w:val="bottom"/>
            <w:hideMark/>
          </w:tcPr>
          <w:p w14:paraId="4307A6BF" w14:textId="77777777" w:rsidR="00517D3B" w:rsidRPr="009E35ED" w:rsidRDefault="00517D3B" w:rsidP="00517D3B">
            <w:pPr>
              <w:ind w:left="0"/>
              <w:jc w:val="left"/>
              <w:rPr>
                <w:rFonts w:ascii="Arial Narrow" w:hAnsi="Arial Narrow"/>
                <w:color w:val="000000" w:themeColor="text1"/>
                <w:sz w:val="18"/>
                <w:szCs w:val="18"/>
                <w:lang w:val="en-PH" w:eastAsia="en-PH"/>
              </w:rPr>
            </w:pPr>
          </w:p>
        </w:tc>
        <w:tc>
          <w:tcPr>
            <w:tcW w:w="264" w:type="dxa"/>
            <w:tcBorders>
              <w:top w:val="nil"/>
              <w:left w:val="nil"/>
              <w:bottom w:val="nil"/>
              <w:right w:val="nil"/>
            </w:tcBorders>
            <w:shd w:val="clear" w:color="auto" w:fill="auto"/>
            <w:noWrap/>
            <w:vAlign w:val="bottom"/>
            <w:hideMark/>
          </w:tcPr>
          <w:p w14:paraId="1794D16B" w14:textId="77777777" w:rsidR="00517D3B" w:rsidRPr="009E35ED" w:rsidRDefault="00517D3B" w:rsidP="00517D3B">
            <w:pPr>
              <w:ind w:left="0"/>
              <w:jc w:val="left"/>
              <w:rPr>
                <w:rFonts w:ascii="Arial Narrow" w:hAnsi="Arial Narrow"/>
                <w:color w:val="000000" w:themeColor="text1"/>
                <w:sz w:val="18"/>
                <w:szCs w:val="18"/>
                <w:lang w:val="en-PH" w:eastAsia="en-PH"/>
              </w:rPr>
            </w:pPr>
          </w:p>
        </w:tc>
        <w:tc>
          <w:tcPr>
            <w:tcW w:w="2862" w:type="dxa"/>
            <w:tcBorders>
              <w:top w:val="nil"/>
              <w:left w:val="nil"/>
              <w:bottom w:val="nil"/>
              <w:right w:val="nil"/>
            </w:tcBorders>
            <w:shd w:val="clear" w:color="auto" w:fill="auto"/>
            <w:noWrap/>
            <w:vAlign w:val="bottom"/>
            <w:hideMark/>
          </w:tcPr>
          <w:p w14:paraId="4332BC27" w14:textId="4C06F389" w:rsidR="00517D3B" w:rsidRPr="009E35ED" w:rsidRDefault="00517D3B" w:rsidP="00517D3B">
            <w:pPr>
              <w:ind w:left="0"/>
              <w:jc w:val="left"/>
              <w:rPr>
                <w:rFonts w:ascii="Arial Narrow" w:hAnsi="Arial Narrow" w:cs="Arial"/>
                <w:color w:val="000000" w:themeColor="text1"/>
                <w:sz w:val="18"/>
                <w:szCs w:val="18"/>
                <w:lang w:val="en-PH" w:eastAsia="en-PH"/>
              </w:rPr>
            </w:pPr>
            <w:r w:rsidRPr="009E35ED">
              <w:rPr>
                <w:rFonts w:ascii="Arial Narrow" w:hAnsi="Arial Narrow" w:cs="Arial"/>
                <w:color w:val="000000" w:themeColor="text1"/>
                <w:sz w:val="18"/>
                <w:szCs w:val="18"/>
                <w:lang w:val="en-PH" w:eastAsia="en-PH"/>
              </w:rPr>
              <w:t xml:space="preserve">Processing/Application </w:t>
            </w:r>
            <w:r w:rsidR="00F93FBC">
              <w:rPr>
                <w:rFonts w:ascii="Arial Narrow" w:hAnsi="Arial Narrow" w:cs="Arial"/>
                <w:color w:val="000000" w:themeColor="text1"/>
                <w:sz w:val="18"/>
                <w:szCs w:val="18"/>
                <w:lang w:val="en-PH" w:eastAsia="en-PH"/>
              </w:rPr>
              <w:t>f</w:t>
            </w:r>
            <w:r w:rsidRPr="009E35ED">
              <w:rPr>
                <w:rFonts w:ascii="Arial Narrow" w:hAnsi="Arial Narrow" w:cs="Arial"/>
                <w:color w:val="000000" w:themeColor="text1"/>
                <w:sz w:val="18"/>
                <w:szCs w:val="18"/>
                <w:lang w:val="en-PH" w:eastAsia="en-PH"/>
              </w:rPr>
              <w:t>ee</w:t>
            </w:r>
          </w:p>
        </w:tc>
        <w:tc>
          <w:tcPr>
            <w:tcW w:w="1596" w:type="dxa"/>
            <w:tcBorders>
              <w:top w:val="nil"/>
              <w:left w:val="nil"/>
              <w:bottom w:val="nil"/>
              <w:right w:val="nil"/>
            </w:tcBorders>
            <w:shd w:val="clear" w:color="auto" w:fill="auto"/>
            <w:noWrap/>
          </w:tcPr>
          <w:p w14:paraId="0C690C8C" w14:textId="787A65F3" w:rsidR="00517D3B" w:rsidRPr="009E35ED" w:rsidRDefault="00517D3B" w:rsidP="00517D3B">
            <w:pPr>
              <w:ind w:left="0"/>
              <w:jc w:val="right"/>
              <w:rPr>
                <w:rFonts w:ascii="Arial Narrow" w:hAnsi="Arial Narrow" w:cs="Arial"/>
                <w:color w:val="000000" w:themeColor="text1"/>
                <w:sz w:val="18"/>
                <w:szCs w:val="18"/>
                <w:lang w:val="en-PH" w:eastAsia="en-PH"/>
              </w:rPr>
            </w:pPr>
            <w:r w:rsidRPr="009E35ED">
              <w:rPr>
                <w:rFonts w:ascii="Arial Narrow" w:hAnsi="Arial Narrow"/>
                <w:color w:val="000000" w:themeColor="text1"/>
                <w:sz w:val="18"/>
                <w:szCs w:val="18"/>
              </w:rPr>
              <w:t xml:space="preserve"> 121,921,152 </w:t>
            </w:r>
          </w:p>
        </w:tc>
        <w:tc>
          <w:tcPr>
            <w:tcW w:w="1716" w:type="dxa"/>
            <w:tcBorders>
              <w:top w:val="nil"/>
              <w:left w:val="nil"/>
              <w:bottom w:val="nil"/>
              <w:right w:val="nil"/>
            </w:tcBorders>
            <w:shd w:val="clear" w:color="auto" w:fill="auto"/>
            <w:noWrap/>
            <w:vAlign w:val="bottom"/>
            <w:hideMark/>
          </w:tcPr>
          <w:p w14:paraId="35130B4F" w14:textId="2A329834" w:rsidR="00517D3B" w:rsidRPr="009E35ED" w:rsidRDefault="00517D3B" w:rsidP="00517D3B">
            <w:pPr>
              <w:ind w:left="0"/>
              <w:jc w:val="right"/>
              <w:rPr>
                <w:rFonts w:ascii="Arial Narrow" w:hAnsi="Arial Narrow" w:cs="Arial"/>
                <w:color w:val="000000" w:themeColor="text1"/>
                <w:sz w:val="18"/>
                <w:szCs w:val="18"/>
                <w:lang w:val="en-PH" w:eastAsia="en-PH"/>
              </w:rPr>
            </w:pPr>
            <w:r w:rsidRPr="009E35ED">
              <w:rPr>
                <w:rFonts w:ascii="Arial Narrow" w:hAnsi="Arial Narrow" w:cs="Arial"/>
                <w:color w:val="000000" w:themeColor="text1"/>
                <w:sz w:val="18"/>
                <w:szCs w:val="18"/>
                <w:lang w:val="en-PH" w:eastAsia="en-PH"/>
              </w:rPr>
              <w:t>-</w:t>
            </w:r>
          </w:p>
        </w:tc>
        <w:tc>
          <w:tcPr>
            <w:tcW w:w="1425" w:type="dxa"/>
            <w:tcBorders>
              <w:top w:val="nil"/>
              <w:left w:val="nil"/>
              <w:bottom w:val="nil"/>
              <w:right w:val="nil"/>
            </w:tcBorders>
            <w:shd w:val="clear" w:color="auto" w:fill="auto"/>
            <w:noWrap/>
            <w:vAlign w:val="bottom"/>
            <w:hideMark/>
          </w:tcPr>
          <w:p w14:paraId="36A5B53C" w14:textId="19FA4425" w:rsidR="00517D3B" w:rsidRPr="009E35ED" w:rsidRDefault="00517D3B" w:rsidP="00517D3B">
            <w:pPr>
              <w:ind w:left="0"/>
              <w:jc w:val="right"/>
              <w:rPr>
                <w:rFonts w:ascii="Arial Narrow" w:hAnsi="Arial Narrow"/>
                <w:color w:val="000000" w:themeColor="text1"/>
                <w:sz w:val="18"/>
                <w:szCs w:val="18"/>
                <w:lang w:val="en-PH" w:eastAsia="en-PH"/>
              </w:rPr>
            </w:pPr>
            <w:r w:rsidRPr="009E35ED">
              <w:rPr>
                <w:rFonts w:ascii="Arial Narrow" w:hAnsi="Arial Narrow"/>
                <w:color w:val="000000" w:themeColor="text1"/>
                <w:sz w:val="18"/>
                <w:szCs w:val="18"/>
                <w:lang w:val="en-PH" w:eastAsia="en-PH"/>
              </w:rPr>
              <w:t>-</w:t>
            </w:r>
          </w:p>
        </w:tc>
        <w:tc>
          <w:tcPr>
            <w:tcW w:w="1243" w:type="dxa"/>
            <w:tcBorders>
              <w:top w:val="nil"/>
              <w:left w:val="nil"/>
              <w:bottom w:val="nil"/>
              <w:right w:val="nil"/>
            </w:tcBorders>
            <w:shd w:val="clear" w:color="auto" w:fill="auto"/>
            <w:noWrap/>
          </w:tcPr>
          <w:p w14:paraId="0E2688FB" w14:textId="7F8D852B" w:rsidR="00517D3B" w:rsidRPr="009E35ED" w:rsidRDefault="00517D3B" w:rsidP="00517D3B">
            <w:pPr>
              <w:ind w:left="0"/>
              <w:jc w:val="right"/>
              <w:rPr>
                <w:rFonts w:ascii="Arial Narrow" w:hAnsi="Arial Narrow" w:cs="Arial"/>
                <w:color w:val="000000" w:themeColor="text1"/>
                <w:sz w:val="18"/>
                <w:szCs w:val="18"/>
                <w:lang w:val="en-PH" w:eastAsia="en-PH"/>
              </w:rPr>
            </w:pPr>
            <w:r w:rsidRPr="009E35ED">
              <w:rPr>
                <w:rFonts w:ascii="Arial Narrow" w:hAnsi="Arial Narrow"/>
                <w:color w:val="000000" w:themeColor="text1"/>
                <w:sz w:val="18"/>
                <w:szCs w:val="18"/>
              </w:rPr>
              <w:t xml:space="preserve"> 121,921,152 </w:t>
            </w:r>
          </w:p>
        </w:tc>
      </w:tr>
      <w:tr w:rsidR="00997F75" w:rsidRPr="009E35ED" w14:paraId="5E659837" w14:textId="77777777" w:rsidTr="00860ED6">
        <w:trPr>
          <w:trHeight w:val="193"/>
        </w:trPr>
        <w:tc>
          <w:tcPr>
            <w:tcW w:w="276" w:type="dxa"/>
            <w:tcBorders>
              <w:top w:val="nil"/>
              <w:left w:val="nil"/>
              <w:bottom w:val="nil"/>
              <w:right w:val="nil"/>
            </w:tcBorders>
            <w:shd w:val="clear" w:color="auto" w:fill="auto"/>
            <w:noWrap/>
            <w:vAlign w:val="bottom"/>
            <w:hideMark/>
          </w:tcPr>
          <w:p w14:paraId="79F348B4" w14:textId="77777777" w:rsidR="00517D3B" w:rsidRPr="009E35ED" w:rsidRDefault="00517D3B" w:rsidP="00517D3B">
            <w:pPr>
              <w:ind w:left="0"/>
              <w:jc w:val="left"/>
              <w:rPr>
                <w:rFonts w:ascii="Arial Narrow" w:hAnsi="Arial Narrow" w:cs="Arial"/>
                <w:color w:val="000000" w:themeColor="text1"/>
                <w:sz w:val="18"/>
                <w:szCs w:val="18"/>
                <w:lang w:val="en-PH" w:eastAsia="en-PH"/>
              </w:rPr>
            </w:pPr>
          </w:p>
        </w:tc>
        <w:tc>
          <w:tcPr>
            <w:tcW w:w="264" w:type="dxa"/>
            <w:tcBorders>
              <w:top w:val="nil"/>
              <w:left w:val="nil"/>
              <w:bottom w:val="nil"/>
              <w:right w:val="nil"/>
            </w:tcBorders>
            <w:shd w:val="clear" w:color="auto" w:fill="auto"/>
            <w:noWrap/>
            <w:vAlign w:val="bottom"/>
            <w:hideMark/>
          </w:tcPr>
          <w:p w14:paraId="05391469" w14:textId="77777777" w:rsidR="00517D3B" w:rsidRPr="009E35ED" w:rsidRDefault="00517D3B" w:rsidP="00517D3B">
            <w:pPr>
              <w:ind w:left="0"/>
              <w:jc w:val="left"/>
              <w:rPr>
                <w:rFonts w:ascii="Arial Narrow" w:hAnsi="Arial Narrow"/>
                <w:color w:val="000000" w:themeColor="text1"/>
                <w:sz w:val="18"/>
                <w:szCs w:val="18"/>
                <w:lang w:val="en-PH" w:eastAsia="en-PH"/>
              </w:rPr>
            </w:pPr>
          </w:p>
        </w:tc>
        <w:tc>
          <w:tcPr>
            <w:tcW w:w="2862" w:type="dxa"/>
            <w:tcBorders>
              <w:top w:val="nil"/>
              <w:left w:val="nil"/>
              <w:bottom w:val="nil"/>
              <w:right w:val="nil"/>
            </w:tcBorders>
            <w:shd w:val="clear" w:color="auto" w:fill="auto"/>
            <w:noWrap/>
            <w:vAlign w:val="bottom"/>
            <w:hideMark/>
          </w:tcPr>
          <w:p w14:paraId="79D0ACB9" w14:textId="0D495A88" w:rsidR="00517D3B" w:rsidRPr="009E35ED" w:rsidRDefault="00517D3B" w:rsidP="00517D3B">
            <w:pPr>
              <w:ind w:left="0"/>
              <w:jc w:val="left"/>
              <w:rPr>
                <w:rFonts w:ascii="Arial Narrow" w:hAnsi="Arial Narrow" w:cs="Arial"/>
                <w:color w:val="000000" w:themeColor="text1"/>
                <w:sz w:val="18"/>
                <w:szCs w:val="18"/>
                <w:lang w:val="en-PH" w:eastAsia="en-PH"/>
              </w:rPr>
            </w:pPr>
            <w:r w:rsidRPr="009E35ED">
              <w:rPr>
                <w:rFonts w:ascii="Arial Narrow" w:hAnsi="Arial Narrow" w:cs="Arial"/>
                <w:color w:val="000000" w:themeColor="text1"/>
                <w:sz w:val="18"/>
                <w:szCs w:val="18"/>
                <w:lang w:val="en-PH" w:eastAsia="en-PH"/>
              </w:rPr>
              <w:t xml:space="preserve">Other </w:t>
            </w:r>
            <w:r w:rsidR="00F93FBC">
              <w:rPr>
                <w:rFonts w:ascii="Arial Narrow" w:hAnsi="Arial Narrow" w:cs="Arial"/>
                <w:color w:val="000000" w:themeColor="text1"/>
                <w:sz w:val="18"/>
                <w:szCs w:val="18"/>
                <w:lang w:val="en-PH" w:eastAsia="en-PH"/>
              </w:rPr>
              <w:t>s</w:t>
            </w:r>
            <w:r w:rsidRPr="009E35ED">
              <w:rPr>
                <w:rFonts w:ascii="Arial Narrow" w:hAnsi="Arial Narrow" w:cs="Arial"/>
                <w:color w:val="000000" w:themeColor="text1"/>
                <w:sz w:val="18"/>
                <w:szCs w:val="18"/>
                <w:lang w:val="en-PH" w:eastAsia="en-PH"/>
              </w:rPr>
              <w:t xml:space="preserve">ervice </w:t>
            </w:r>
            <w:r w:rsidR="00F93FBC">
              <w:rPr>
                <w:rFonts w:ascii="Arial Narrow" w:hAnsi="Arial Narrow" w:cs="Arial"/>
                <w:color w:val="000000" w:themeColor="text1"/>
                <w:sz w:val="18"/>
                <w:szCs w:val="18"/>
                <w:lang w:val="en-PH" w:eastAsia="en-PH"/>
              </w:rPr>
              <w:t>i</w:t>
            </w:r>
            <w:r w:rsidRPr="009E35ED">
              <w:rPr>
                <w:rFonts w:ascii="Arial Narrow" w:hAnsi="Arial Narrow" w:cs="Arial"/>
                <w:color w:val="000000" w:themeColor="text1"/>
                <w:sz w:val="18"/>
                <w:szCs w:val="18"/>
                <w:lang w:val="en-PH" w:eastAsia="en-PH"/>
              </w:rPr>
              <w:t>ncome</w:t>
            </w:r>
          </w:p>
        </w:tc>
        <w:tc>
          <w:tcPr>
            <w:tcW w:w="1596" w:type="dxa"/>
            <w:tcBorders>
              <w:top w:val="nil"/>
              <w:left w:val="nil"/>
              <w:bottom w:val="nil"/>
              <w:right w:val="nil"/>
            </w:tcBorders>
            <w:shd w:val="clear" w:color="auto" w:fill="auto"/>
            <w:noWrap/>
          </w:tcPr>
          <w:p w14:paraId="557F3855" w14:textId="1DEF9818" w:rsidR="00517D3B" w:rsidRPr="009E35ED" w:rsidRDefault="00517D3B" w:rsidP="00517D3B">
            <w:pPr>
              <w:ind w:left="0"/>
              <w:jc w:val="right"/>
              <w:rPr>
                <w:rFonts w:ascii="Arial Narrow" w:hAnsi="Arial Narrow" w:cs="Arial"/>
                <w:color w:val="000000" w:themeColor="text1"/>
                <w:sz w:val="18"/>
                <w:szCs w:val="18"/>
                <w:lang w:val="en-PH" w:eastAsia="en-PH"/>
              </w:rPr>
            </w:pPr>
            <w:r w:rsidRPr="009E35ED">
              <w:rPr>
                <w:rFonts w:ascii="Arial Narrow" w:hAnsi="Arial Narrow"/>
                <w:color w:val="000000" w:themeColor="text1"/>
                <w:sz w:val="18"/>
                <w:szCs w:val="18"/>
              </w:rPr>
              <w:t xml:space="preserve"> 18,325,500 </w:t>
            </w:r>
          </w:p>
        </w:tc>
        <w:tc>
          <w:tcPr>
            <w:tcW w:w="1716" w:type="dxa"/>
            <w:tcBorders>
              <w:top w:val="nil"/>
              <w:left w:val="nil"/>
              <w:bottom w:val="nil"/>
              <w:right w:val="nil"/>
            </w:tcBorders>
            <w:shd w:val="clear" w:color="auto" w:fill="auto"/>
            <w:noWrap/>
            <w:vAlign w:val="bottom"/>
            <w:hideMark/>
          </w:tcPr>
          <w:p w14:paraId="0CA0E9ED" w14:textId="2DAD39B3" w:rsidR="00517D3B" w:rsidRPr="009E35ED" w:rsidRDefault="00517D3B" w:rsidP="00517D3B">
            <w:pPr>
              <w:ind w:left="0"/>
              <w:jc w:val="right"/>
              <w:rPr>
                <w:rFonts w:ascii="Arial Narrow" w:hAnsi="Arial Narrow" w:cs="Arial"/>
                <w:color w:val="000000" w:themeColor="text1"/>
                <w:sz w:val="18"/>
                <w:szCs w:val="18"/>
                <w:lang w:val="en-PH" w:eastAsia="en-PH"/>
              </w:rPr>
            </w:pPr>
            <w:r w:rsidRPr="009E35ED">
              <w:rPr>
                <w:rFonts w:ascii="Arial Narrow" w:hAnsi="Arial Narrow" w:cs="Arial"/>
                <w:color w:val="000000" w:themeColor="text1"/>
                <w:sz w:val="18"/>
                <w:szCs w:val="18"/>
                <w:lang w:val="en-PH" w:eastAsia="en-PH"/>
              </w:rPr>
              <w:t>-</w:t>
            </w:r>
          </w:p>
        </w:tc>
        <w:tc>
          <w:tcPr>
            <w:tcW w:w="1425" w:type="dxa"/>
            <w:tcBorders>
              <w:top w:val="nil"/>
              <w:left w:val="nil"/>
              <w:bottom w:val="nil"/>
              <w:right w:val="nil"/>
            </w:tcBorders>
            <w:shd w:val="clear" w:color="auto" w:fill="auto"/>
            <w:noWrap/>
            <w:vAlign w:val="bottom"/>
            <w:hideMark/>
          </w:tcPr>
          <w:p w14:paraId="143AE2CC" w14:textId="291E9887" w:rsidR="00517D3B" w:rsidRPr="009E35ED" w:rsidRDefault="00517D3B" w:rsidP="00517D3B">
            <w:pPr>
              <w:ind w:left="0"/>
              <w:jc w:val="right"/>
              <w:rPr>
                <w:rFonts w:ascii="Arial Narrow" w:hAnsi="Arial Narrow"/>
                <w:color w:val="000000" w:themeColor="text1"/>
                <w:sz w:val="18"/>
                <w:szCs w:val="18"/>
                <w:lang w:val="en-PH" w:eastAsia="en-PH"/>
              </w:rPr>
            </w:pPr>
            <w:r w:rsidRPr="009E35ED">
              <w:rPr>
                <w:rFonts w:ascii="Arial Narrow" w:hAnsi="Arial Narrow"/>
                <w:color w:val="000000" w:themeColor="text1"/>
                <w:sz w:val="18"/>
                <w:szCs w:val="18"/>
                <w:lang w:val="en-PH" w:eastAsia="en-PH"/>
              </w:rPr>
              <w:t>-</w:t>
            </w:r>
          </w:p>
        </w:tc>
        <w:tc>
          <w:tcPr>
            <w:tcW w:w="1243" w:type="dxa"/>
            <w:tcBorders>
              <w:top w:val="nil"/>
              <w:left w:val="nil"/>
              <w:bottom w:val="nil"/>
              <w:right w:val="nil"/>
            </w:tcBorders>
            <w:shd w:val="clear" w:color="auto" w:fill="auto"/>
            <w:noWrap/>
          </w:tcPr>
          <w:p w14:paraId="321B5A57" w14:textId="30A166C7" w:rsidR="00517D3B" w:rsidRPr="009E35ED" w:rsidRDefault="00517D3B" w:rsidP="00517D3B">
            <w:pPr>
              <w:ind w:left="0"/>
              <w:jc w:val="right"/>
              <w:rPr>
                <w:rFonts w:ascii="Arial Narrow" w:hAnsi="Arial Narrow" w:cs="Arial"/>
                <w:color w:val="000000" w:themeColor="text1"/>
                <w:sz w:val="18"/>
                <w:szCs w:val="18"/>
                <w:lang w:val="en-PH" w:eastAsia="en-PH"/>
              </w:rPr>
            </w:pPr>
            <w:r w:rsidRPr="009E35ED">
              <w:rPr>
                <w:rFonts w:ascii="Arial Narrow" w:hAnsi="Arial Narrow"/>
                <w:color w:val="000000" w:themeColor="text1"/>
                <w:sz w:val="18"/>
                <w:szCs w:val="18"/>
              </w:rPr>
              <w:t xml:space="preserve"> 18,325,500 </w:t>
            </w:r>
          </w:p>
        </w:tc>
      </w:tr>
      <w:tr w:rsidR="00997F75" w:rsidRPr="009E35ED" w14:paraId="5AE1AD73" w14:textId="77777777" w:rsidTr="00860ED6">
        <w:trPr>
          <w:trHeight w:val="203"/>
        </w:trPr>
        <w:tc>
          <w:tcPr>
            <w:tcW w:w="276" w:type="dxa"/>
            <w:tcBorders>
              <w:top w:val="single" w:sz="4" w:space="0" w:color="auto"/>
              <w:left w:val="nil"/>
              <w:bottom w:val="single" w:sz="4" w:space="0" w:color="auto"/>
              <w:right w:val="nil"/>
            </w:tcBorders>
            <w:shd w:val="clear" w:color="auto" w:fill="auto"/>
            <w:noWrap/>
            <w:vAlign w:val="bottom"/>
            <w:hideMark/>
          </w:tcPr>
          <w:p w14:paraId="7A8D634C" w14:textId="77777777" w:rsidR="00517D3B" w:rsidRPr="009E35ED" w:rsidRDefault="00517D3B" w:rsidP="00517D3B">
            <w:pPr>
              <w:ind w:left="0"/>
              <w:jc w:val="left"/>
              <w:rPr>
                <w:rFonts w:ascii="Arial Narrow" w:hAnsi="Arial Narrow" w:cs="Arial"/>
                <w:b/>
                <w:bCs/>
                <w:color w:val="000000" w:themeColor="text1"/>
                <w:sz w:val="18"/>
                <w:szCs w:val="18"/>
                <w:lang w:val="en-PH" w:eastAsia="en-PH"/>
              </w:rPr>
            </w:pPr>
            <w:r w:rsidRPr="009E35ED">
              <w:rPr>
                <w:rFonts w:ascii="Arial Narrow" w:hAnsi="Arial Narrow" w:cs="Arial"/>
                <w:b/>
                <w:bCs/>
                <w:color w:val="000000" w:themeColor="text1"/>
                <w:sz w:val="18"/>
                <w:szCs w:val="18"/>
                <w:lang w:val="en-PH" w:eastAsia="en-PH"/>
              </w:rPr>
              <w:t> </w:t>
            </w:r>
          </w:p>
        </w:tc>
        <w:tc>
          <w:tcPr>
            <w:tcW w:w="264" w:type="dxa"/>
            <w:tcBorders>
              <w:top w:val="single" w:sz="4" w:space="0" w:color="auto"/>
              <w:left w:val="nil"/>
              <w:bottom w:val="single" w:sz="4" w:space="0" w:color="auto"/>
              <w:right w:val="nil"/>
            </w:tcBorders>
            <w:shd w:val="clear" w:color="auto" w:fill="auto"/>
            <w:noWrap/>
            <w:vAlign w:val="bottom"/>
            <w:hideMark/>
          </w:tcPr>
          <w:p w14:paraId="1D275B57" w14:textId="77777777" w:rsidR="00517D3B" w:rsidRPr="009E35ED" w:rsidRDefault="00517D3B" w:rsidP="00517D3B">
            <w:pPr>
              <w:ind w:left="0"/>
              <w:jc w:val="left"/>
              <w:rPr>
                <w:rFonts w:ascii="Arial Narrow" w:hAnsi="Arial Narrow" w:cs="Arial"/>
                <w:b/>
                <w:bCs/>
                <w:color w:val="000000" w:themeColor="text1"/>
                <w:sz w:val="18"/>
                <w:szCs w:val="18"/>
                <w:lang w:val="en-PH" w:eastAsia="en-PH"/>
              </w:rPr>
            </w:pPr>
            <w:r w:rsidRPr="009E35ED">
              <w:rPr>
                <w:rFonts w:ascii="Arial Narrow" w:hAnsi="Arial Narrow" w:cs="Arial"/>
                <w:b/>
                <w:bCs/>
                <w:color w:val="000000" w:themeColor="text1"/>
                <w:sz w:val="18"/>
                <w:szCs w:val="18"/>
                <w:lang w:val="en-PH" w:eastAsia="en-PH"/>
              </w:rPr>
              <w:t> </w:t>
            </w:r>
          </w:p>
        </w:tc>
        <w:tc>
          <w:tcPr>
            <w:tcW w:w="2862" w:type="dxa"/>
            <w:tcBorders>
              <w:top w:val="single" w:sz="4" w:space="0" w:color="auto"/>
              <w:left w:val="nil"/>
              <w:bottom w:val="single" w:sz="4" w:space="0" w:color="auto"/>
              <w:right w:val="nil"/>
            </w:tcBorders>
            <w:shd w:val="clear" w:color="auto" w:fill="auto"/>
            <w:noWrap/>
            <w:vAlign w:val="bottom"/>
            <w:hideMark/>
          </w:tcPr>
          <w:p w14:paraId="09E7CE7C" w14:textId="77777777" w:rsidR="00517D3B" w:rsidRPr="009E35ED" w:rsidRDefault="00517D3B" w:rsidP="00517D3B">
            <w:pPr>
              <w:ind w:left="0"/>
              <w:jc w:val="left"/>
              <w:rPr>
                <w:rFonts w:ascii="Arial Narrow" w:hAnsi="Arial Narrow" w:cs="Arial"/>
                <w:b/>
                <w:bCs/>
                <w:color w:val="000000" w:themeColor="text1"/>
                <w:sz w:val="18"/>
                <w:szCs w:val="18"/>
                <w:lang w:val="en-PH" w:eastAsia="en-PH"/>
              </w:rPr>
            </w:pPr>
            <w:r w:rsidRPr="009E35ED">
              <w:rPr>
                <w:rFonts w:ascii="Arial Narrow" w:hAnsi="Arial Narrow" w:cs="Arial"/>
                <w:b/>
                <w:bCs/>
                <w:color w:val="000000" w:themeColor="text1"/>
                <w:sz w:val="18"/>
                <w:szCs w:val="18"/>
                <w:lang w:val="en-PH" w:eastAsia="en-PH"/>
              </w:rPr>
              <w:t>Total Service Income</w:t>
            </w:r>
          </w:p>
        </w:tc>
        <w:tc>
          <w:tcPr>
            <w:tcW w:w="1596" w:type="dxa"/>
            <w:tcBorders>
              <w:top w:val="single" w:sz="4" w:space="0" w:color="auto"/>
              <w:left w:val="nil"/>
              <w:bottom w:val="single" w:sz="4" w:space="0" w:color="auto"/>
              <w:right w:val="nil"/>
            </w:tcBorders>
            <w:shd w:val="clear" w:color="auto" w:fill="auto"/>
            <w:noWrap/>
          </w:tcPr>
          <w:p w14:paraId="1CE90F2A" w14:textId="2C5E2D22" w:rsidR="00517D3B" w:rsidRPr="009E35ED" w:rsidRDefault="00517D3B" w:rsidP="00517D3B">
            <w:pPr>
              <w:ind w:left="0"/>
              <w:jc w:val="right"/>
              <w:rPr>
                <w:rFonts w:ascii="Arial Narrow" w:hAnsi="Arial Narrow" w:cs="Arial"/>
                <w:b/>
                <w:bCs/>
                <w:color w:val="000000" w:themeColor="text1"/>
                <w:sz w:val="18"/>
                <w:szCs w:val="18"/>
                <w:lang w:val="en-PH" w:eastAsia="en-PH"/>
              </w:rPr>
            </w:pPr>
            <w:r w:rsidRPr="009E35ED">
              <w:rPr>
                <w:rFonts w:ascii="Arial Narrow" w:hAnsi="Arial Narrow"/>
                <w:b/>
                <w:bCs/>
                <w:color w:val="000000" w:themeColor="text1"/>
                <w:sz w:val="18"/>
                <w:szCs w:val="18"/>
              </w:rPr>
              <w:t xml:space="preserve"> 140,246,652 </w:t>
            </w:r>
          </w:p>
        </w:tc>
        <w:tc>
          <w:tcPr>
            <w:tcW w:w="1716" w:type="dxa"/>
            <w:tcBorders>
              <w:top w:val="single" w:sz="4" w:space="0" w:color="auto"/>
              <w:left w:val="nil"/>
              <w:bottom w:val="single" w:sz="4" w:space="0" w:color="auto"/>
              <w:right w:val="nil"/>
            </w:tcBorders>
            <w:shd w:val="clear" w:color="auto" w:fill="auto"/>
            <w:noWrap/>
            <w:vAlign w:val="bottom"/>
          </w:tcPr>
          <w:p w14:paraId="33F786DD" w14:textId="2879143E" w:rsidR="00517D3B" w:rsidRPr="009E35ED" w:rsidRDefault="00517D3B" w:rsidP="00517D3B">
            <w:pPr>
              <w:ind w:left="0"/>
              <w:jc w:val="right"/>
              <w:rPr>
                <w:rFonts w:ascii="Arial Narrow" w:hAnsi="Arial Narrow" w:cs="Arial"/>
                <w:b/>
                <w:bCs/>
                <w:color w:val="000000" w:themeColor="text1"/>
                <w:sz w:val="18"/>
                <w:szCs w:val="18"/>
                <w:lang w:val="en-PH" w:eastAsia="en-PH"/>
              </w:rPr>
            </w:pPr>
            <w:r w:rsidRPr="009E35ED">
              <w:rPr>
                <w:rFonts w:ascii="Arial Narrow" w:hAnsi="Arial Narrow" w:cs="Arial"/>
                <w:b/>
                <w:bCs/>
                <w:color w:val="000000" w:themeColor="text1"/>
                <w:sz w:val="18"/>
                <w:szCs w:val="18"/>
                <w:lang w:val="en-PH" w:eastAsia="en-PH"/>
              </w:rPr>
              <w:t xml:space="preserve">                        -   </w:t>
            </w:r>
          </w:p>
        </w:tc>
        <w:tc>
          <w:tcPr>
            <w:tcW w:w="1425" w:type="dxa"/>
            <w:tcBorders>
              <w:top w:val="single" w:sz="4" w:space="0" w:color="auto"/>
              <w:left w:val="nil"/>
              <w:bottom w:val="single" w:sz="4" w:space="0" w:color="auto"/>
              <w:right w:val="nil"/>
            </w:tcBorders>
            <w:shd w:val="clear" w:color="auto" w:fill="auto"/>
            <w:noWrap/>
            <w:vAlign w:val="bottom"/>
          </w:tcPr>
          <w:p w14:paraId="39FDA680" w14:textId="0CF7A3A5" w:rsidR="00517D3B" w:rsidRPr="009E35ED" w:rsidRDefault="00517D3B" w:rsidP="00517D3B">
            <w:pPr>
              <w:ind w:left="0"/>
              <w:jc w:val="right"/>
              <w:rPr>
                <w:rFonts w:ascii="Arial Narrow" w:hAnsi="Arial Narrow" w:cs="Arial"/>
                <w:b/>
                <w:bCs/>
                <w:color w:val="000000" w:themeColor="text1"/>
                <w:sz w:val="18"/>
                <w:szCs w:val="18"/>
                <w:lang w:val="en-PH" w:eastAsia="en-PH"/>
              </w:rPr>
            </w:pPr>
            <w:r w:rsidRPr="009E35ED">
              <w:rPr>
                <w:rFonts w:ascii="Arial Narrow" w:hAnsi="Arial Narrow" w:cs="Arial"/>
                <w:b/>
                <w:bCs/>
                <w:color w:val="000000" w:themeColor="text1"/>
                <w:sz w:val="18"/>
                <w:szCs w:val="18"/>
                <w:lang w:val="en-PH" w:eastAsia="en-PH"/>
              </w:rPr>
              <w:t xml:space="preserve">                        -   </w:t>
            </w:r>
          </w:p>
        </w:tc>
        <w:tc>
          <w:tcPr>
            <w:tcW w:w="1243" w:type="dxa"/>
            <w:tcBorders>
              <w:top w:val="single" w:sz="4" w:space="0" w:color="auto"/>
              <w:left w:val="nil"/>
              <w:bottom w:val="single" w:sz="4" w:space="0" w:color="auto"/>
              <w:right w:val="nil"/>
            </w:tcBorders>
            <w:shd w:val="clear" w:color="auto" w:fill="auto"/>
            <w:noWrap/>
          </w:tcPr>
          <w:p w14:paraId="52E94AA6" w14:textId="4112F129" w:rsidR="00517D3B" w:rsidRPr="009E35ED" w:rsidRDefault="00517D3B" w:rsidP="00517D3B">
            <w:pPr>
              <w:ind w:left="0"/>
              <w:jc w:val="right"/>
              <w:rPr>
                <w:rFonts w:ascii="Arial Narrow" w:hAnsi="Arial Narrow" w:cs="Arial"/>
                <w:b/>
                <w:bCs/>
                <w:color w:val="000000" w:themeColor="text1"/>
                <w:sz w:val="18"/>
                <w:szCs w:val="18"/>
                <w:lang w:val="en-PH" w:eastAsia="en-PH"/>
              </w:rPr>
            </w:pPr>
            <w:r w:rsidRPr="009E35ED">
              <w:rPr>
                <w:rFonts w:ascii="Arial Narrow" w:hAnsi="Arial Narrow"/>
                <w:b/>
                <w:bCs/>
                <w:color w:val="000000" w:themeColor="text1"/>
                <w:sz w:val="18"/>
                <w:szCs w:val="18"/>
              </w:rPr>
              <w:t xml:space="preserve"> 140,246,652 </w:t>
            </w:r>
          </w:p>
        </w:tc>
      </w:tr>
      <w:tr w:rsidR="00997F75" w:rsidRPr="009E35ED" w14:paraId="37FE625D" w14:textId="77777777" w:rsidTr="00860ED6">
        <w:trPr>
          <w:trHeight w:val="203"/>
        </w:trPr>
        <w:tc>
          <w:tcPr>
            <w:tcW w:w="276" w:type="dxa"/>
            <w:tcBorders>
              <w:top w:val="nil"/>
              <w:left w:val="nil"/>
              <w:bottom w:val="nil"/>
              <w:right w:val="nil"/>
            </w:tcBorders>
            <w:shd w:val="clear" w:color="auto" w:fill="auto"/>
            <w:noWrap/>
            <w:vAlign w:val="bottom"/>
            <w:hideMark/>
          </w:tcPr>
          <w:p w14:paraId="1EC80B3E" w14:textId="77777777" w:rsidR="001B5486" w:rsidRPr="009E35ED" w:rsidRDefault="001B5486" w:rsidP="001B5486">
            <w:pPr>
              <w:ind w:left="0"/>
              <w:jc w:val="left"/>
              <w:rPr>
                <w:rFonts w:ascii="Arial Narrow" w:hAnsi="Arial Narrow" w:cs="Arial"/>
                <w:b/>
                <w:bCs/>
                <w:color w:val="000000" w:themeColor="text1"/>
                <w:sz w:val="18"/>
                <w:szCs w:val="18"/>
                <w:lang w:val="en-PH" w:eastAsia="en-PH"/>
              </w:rPr>
            </w:pPr>
          </w:p>
        </w:tc>
        <w:tc>
          <w:tcPr>
            <w:tcW w:w="264" w:type="dxa"/>
            <w:tcBorders>
              <w:top w:val="nil"/>
              <w:left w:val="nil"/>
              <w:bottom w:val="nil"/>
              <w:right w:val="nil"/>
            </w:tcBorders>
            <w:shd w:val="clear" w:color="auto" w:fill="auto"/>
            <w:noWrap/>
            <w:vAlign w:val="bottom"/>
            <w:hideMark/>
          </w:tcPr>
          <w:p w14:paraId="7B6403AA" w14:textId="77777777" w:rsidR="001B5486" w:rsidRPr="009E35ED" w:rsidRDefault="001B5486" w:rsidP="001B5486">
            <w:pPr>
              <w:ind w:left="0"/>
              <w:jc w:val="left"/>
              <w:rPr>
                <w:rFonts w:ascii="Arial Narrow" w:hAnsi="Arial Narrow"/>
                <w:color w:val="000000" w:themeColor="text1"/>
                <w:sz w:val="18"/>
                <w:szCs w:val="18"/>
                <w:lang w:val="en-PH" w:eastAsia="en-PH"/>
              </w:rPr>
            </w:pPr>
          </w:p>
        </w:tc>
        <w:tc>
          <w:tcPr>
            <w:tcW w:w="2862" w:type="dxa"/>
            <w:tcBorders>
              <w:top w:val="nil"/>
              <w:left w:val="nil"/>
              <w:bottom w:val="nil"/>
              <w:right w:val="nil"/>
            </w:tcBorders>
            <w:shd w:val="clear" w:color="auto" w:fill="auto"/>
            <w:noWrap/>
            <w:vAlign w:val="bottom"/>
            <w:hideMark/>
          </w:tcPr>
          <w:p w14:paraId="46ED8F29" w14:textId="77777777" w:rsidR="001B5486" w:rsidRPr="009E35ED" w:rsidRDefault="001B5486" w:rsidP="001B5486">
            <w:pPr>
              <w:ind w:left="0"/>
              <w:jc w:val="left"/>
              <w:rPr>
                <w:rFonts w:ascii="Arial Narrow" w:hAnsi="Arial Narrow"/>
                <w:color w:val="000000" w:themeColor="text1"/>
                <w:sz w:val="18"/>
                <w:szCs w:val="18"/>
                <w:lang w:val="en-PH" w:eastAsia="en-PH"/>
              </w:rPr>
            </w:pPr>
          </w:p>
        </w:tc>
        <w:tc>
          <w:tcPr>
            <w:tcW w:w="1596" w:type="dxa"/>
            <w:tcBorders>
              <w:top w:val="nil"/>
              <w:left w:val="nil"/>
              <w:bottom w:val="nil"/>
              <w:right w:val="nil"/>
            </w:tcBorders>
            <w:shd w:val="clear" w:color="auto" w:fill="auto"/>
            <w:noWrap/>
            <w:vAlign w:val="bottom"/>
          </w:tcPr>
          <w:p w14:paraId="229A0238" w14:textId="77777777" w:rsidR="001B5486" w:rsidRPr="009E35ED" w:rsidRDefault="001B5486" w:rsidP="001B5486">
            <w:pPr>
              <w:ind w:left="0"/>
              <w:jc w:val="right"/>
              <w:rPr>
                <w:rFonts w:ascii="Arial Narrow" w:hAnsi="Arial Narrow"/>
                <w:color w:val="000000" w:themeColor="text1"/>
                <w:sz w:val="18"/>
                <w:szCs w:val="18"/>
                <w:lang w:val="en-PH" w:eastAsia="en-PH"/>
              </w:rPr>
            </w:pPr>
          </w:p>
        </w:tc>
        <w:tc>
          <w:tcPr>
            <w:tcW w:w="1716" w:type="dxa"/>
            <w:tcBorders>
              <w:top w:val="nil"/>
              <w:left w:val="nil"/>
              <w:bottom w:val="nil"/>
              <w:right w:val="nil"/>
            </w:tcBorders>
            <w:shd w:val="clear" w:color="auto" w:fill="auto"/>
            <w:noWrap/>
            <w:vAlign w:val="bottom"/>
          </w:tcPr>
          <w:p w14:paraId="0953EE85" w14:textId="77777777" w:rsidR="001B5486" w:rsidRPr="009E35ED" w:rsidRDefault="001B5486" w:rsidP="001B5486">
            <w:pPr>
              <w:ind w:left="0"/>
              <w:jc w:val="right"/>
              <w:rPr>
                <w:rFonts w:ascii="Arial Narrow" w:hAnsi="Arial Narrow"/>
                <w:color w:val="000000" w:themeColor="text1"/>
                <w:sz w:val="18"/>
                <w:szCs w:val="18"/>
                <w:lang w:val="en-PH" w:eastAsia="en-PH"/>
              </w:rPr>
            </w:pPr>
          </w:p>
        </w:tc>
        <w:tc>
          <w:tcPr>
            <w:tcW w:w="1425" w:type="dxa"/>
            <w:tcBorders>
              <w:top w:val="nil"/>
              <w:left w:val="nil"/>
              <w:bottom w:val="nil"/>
              <w:right w:val="nil"/>
            </w:tcBorders>
            <w:shd w:val="clear" w:color="auto" w:fill="auto"/>
            <w:noWrap/>
            <w:vAlign w:val="bottom"/>
          </w:tcPr>
          <w:p w14:paraId="73F2256D" w14:textId="77777777" w:rsidR="001B5486" w:rsidRPr="009E35ED" w:rsidRDefault="001B5486" w:rsidP="001B5486">
            <w:pPr>
              <w:ind w:left="0"/>
              <w:jc w:val="right"/>
              <w:rPr>
                <w:rFonts w:ascii="Arial Narrow" w:hAnsi="Arial Narrow"/>
                <w:color w:val="000000" w:themeColor="text1"/>
                <w:sz w:val="18"/>
                <w:szCs w:val="18"/>
                <w:lang w:val="en-PH" w:eastAsia="en-PH"/>
              </w:rPr>
            </w:pPr>
          </w:p>
        </w:tc>
        <w:tc>
          <w:tcPr>
            <w:tcW w:w="1243" w:type="dxa"/>
            <w:tcBorders>
              <w:top w:val="nil"/>
              <w:left w:val="nil"/>
              <w:bottom w:val="nil"/>
              <w:right w:val="nil"/>
            </w:tcBorders>
            <w:shd w:val="clear" w:color="auto" w:fill="auto"/>
            <w:noWrap/>
            <w:vAlign w:val="bottom"/>
          </w:tcPr>
          <w:p w14:paraId="2B92C0E2" w14:textId="77777777" w:rsidR="001B5486" w:rsidRPr="009E35ED" w:rsidRDefault="001B5486" w:rsidP="001B5486">
            <w:pPr>
              <w:ind w:left="0"/>
              <w:jc w:val="right"/>
              <w:rPr>
                <w:rFonts w:ascii="Arial Narrow" w:hAnsi="Arial Narrow"/>
                <w:color w:val="000000" w:themeColor="text1"/>
                <w:sz w:val="18"/>
                <w:szCs w:val="18"/>
                <w:lang w:val="en-PH" w:eastAsia="en-PH"/>
              </w:rPr>
            </w:pPr>
          </w:p>
        </w:tc>
      </w:tr>
      <w:tr w:rsidR="00997F75" w:rsidRPr="009E35ED" w14:paraId="18B0D953" w14:textId="77777777" w:rsidTr="00860ED6">
        <w:trPr>
          <w:trHeight w:val="203"/>
        </w:trPr>
        <w:tc>
          <w:tcPr>
            <w:tcW w:w="276" w:type="dxa"/>
            <w:tcBorders>
              <w:top w:val="nil"/>
              <w:left w:val="nil"/>
              <w:bottom w:val="nil"/>
              <w:right w:val="nil"/>
            </w:tcBorders>
            <w:shd w:val="clear" w:color="auto" w:fill="auto"/>
            <w:noWrap/>
            <w:vAlign w:val="bottom"/>
            <w:hideMark/>
          </w:tcPr>
          <w:p w14:paraId="35104F78" w14:textId="77777777" w:rsidR="001B5486" w:rsidRPr="009E35ED" w:rsidRDefault="001B5486" w:rsidP="001B5486">
            <w:pPr>
              <w:ind w:left="0"/>
              <w:jc w:val="left"/>
              <w:rPr>
                <w:rFonts w:ascii="Arial Narrow" w:hAnsi="Arial Narrow"/>
                <w:color w:val="000000" w:themeColor="text1"/>
                <w:sz w:val="18"/>
                <w:szCs w:val="18"/>
                <w:lang w:val="en-PH" w:eastAsia="en-PH"/>
              </w:rPr>
            </w:pPr>
          </w:p>
        </w:tc>
        <w:tc>
          <w:tcPr>
            <w:tcW w:w="3126" w:type="dxa"/>
            <w:gridSpan w:val="2"/>
            <w:tcBorders>
              <w:top w:val="nil"/>
              <w:left w:val="nil"/>
              <w:bottom w:val="nil"/>
              <w:right w:val="nil"/>
            </w:tcBorders>
            <w:shd w:val="clear" w:color="auto" w:fill="auto"/>
            <w:noWrap/>
            <w:vAlign w:val="bottom"/>
            <w:hideMark/>
          </w:tcPr>
          <w:p w14:paraId="4DC58596" w14:textId="77777777" w:rsidR="001B5486" w:rsidRPr="009E35ED" w:rsidRDefault="001B5486" w:rsidP="001B5486">
            <w:pPr>
              <w:ind w:left="0"/>
              <w:jc w:val="left"/>
              <w:rPr>
                <w:rFonts w:ascii="Arial Narrow" w:hAnsi="Arial Narrow" w:cs="Arial"/>
                <w:b/>
                <w:bCs/>
                <w:color w:val="000000" w:themeColor="text1"/>
                <w:sz w:val="18"/>
                <w:szCs w:val="18"/>
                <w:lang w:val="en-PH" w:eastAsia="en-PH"/>
              </w:rPr>
            </w:pPr>
            <w:r w:rsidRPr="009E35ED">
              <w:rPr>
                <w:rFonts w:ascii="Arial Narrow" w:hAnsi="Arial Narrow" w:cs="Arial"/>
                <w:b/>
                <w:bCs/>
                <w:color w:val="000000" w:themeColor="text1"/>
                <w:sz w:val="18"/>
                <w:szCs w:val="18"/>
                <w:lang w:val="en-PH" w:eastAsia="en-PH"/>
              </w:rPr>
              <w:t>Business Income</w:t>
            </w:r>
          </w:p>
        </w:tc>
        <w:tc>
          <w:tcPr>
            <w:tcW w:w="1596" w:type="dxa"/>
            <w:tcBorders>
              <w:top w:val="nil"/>
              <w:left w:val="nil"/>
              <w:bottom w:val="nil"/>
              <w:right w:val="nil"/>
            </w:tcBorders>
            <w:shd w:val="clear" w:color="auto" w:fill="auto"/>
            <w:noWrap/>
            <w:vAlign w:val="bottom"/>
          </w:tcPr>
          <w:p w14:paraId="2DA2A0E9" w14:textId="77777777" w:rsidR="001B5486" w:rsidRPr="009E35ED" w:rsidRDefault="001B5486" w:rsidP="001B5486">
            <w:pPr>
              <w:ind w:left="0"/>
              <w:jc w:val="right"/>
              <w:rPr>
                <w:rFonts w:ascii="Arial Narrow" w:hAnsi="Arial Narrow" w:cs="Arial"/>
                <w:b/>
                <w:bCs/>
                <w:color w:val="000000" w:themeColor="text1"/>
                <w:sz w:val="18"/>
                <w:szCs w:val="18"/>
                <w:lang w:val="en-PH" w:eastAsia="en-PH"/>
              </w:rPr>
            </w:pPr>
          </w:p>
        </w:tc>
        <w:tc>
          <w:tcPr>
            <w:tcW w:w="1716" w:type="dxa"/>
            <w:tcBorders>
              <w:top w:val="nil"/>
              <w:left w:val="nil"/>
              <w:bottom w:val="nil"/>
              <w:right w:val="nil"/>
            </w:tcBorders>
            <w:shd w:val="clear" w:color="auto" w:fill="auto"/>
            <w:noWrap/>
            <w:vAlign w:val="bottom"/>
          </w:tcPr>
          <w:p w14:paraId="5303E72E" w14:textId="77777777" w:rsidR="001B5486" w:rsidRPr="009E35ED" w:rsidRDefault="001B5486" w:rsidP="001B5486">
            <w:pPr>
              <w:ind w:left="0"/>
              <w:jc w:val="right"/>
              <w:rPr>
                <w:rFonts w:ascii="Arial Narrow" w:hAnsi="Arial Narrow"/>
                <w:color w:val="000000" w:themeColor="text1"/>
                <w:sz w:val="18"/>
                <w:szCs w:val="18"/>
                <w:lang w:val="en-PH" w:eastAsia="en-PH"/>
              </w:rPr>
            </w:pPr>
          </w:p>
        </w:tc>
        <w:tc>
          <w:tcPr>
            <w:tcW w:w="1425" w:type="dxa"/>
            <w:tcBorders>
              <w:top w:val="nil"/>
              <w:left w:val="nil"/>
              <w:bottom w:val="nil"/>
              <w:right w:val="nil"/>
            </w:tcBorders>
            <w:shd w:val="clear" w:color="auto" w:fill="auto"/>
            <w:noWrap/>
            <w:vAlign w:val="bottom"/>
          </w:tcPr>
          <w:p w14:paraId="57C8B610" w14:textId="77777777" w:rsidR="001B5486" w:rsidRPr="009E35ED" w:rsidRDefault="001B5486" w:rsidP="001B5486">
            <w:pPr>
              <w:ind w:left="0"/>
              <w:jc w:val="right"/>
              <w:rPr>
                <w:rFonts w:ascii="Arial Narrow" w:hAnsi="Arial Narrow"/>
                <w:color w:val="000000" w:themeColor="text1"/>
                <w:sz w:val="18"/>
                <w:szCs w:val="18"/>
                <w:lang w:val="en-PH" w:eastAsia="en-PH"/>
              </w:rPr>
            </w:pPr>
          </w:p>
        </w:tc>
        <w:tc>
          <w:tcPr>
            <w:tcW w:w="1243" w:type="dxa"/>
            <w:tcBorders>
              <w:top w:val="nil"/>
              <w:left w:val="nil"/>
              <w:bottom w:val="nil"/>
              <w:right w:val="nil"/>
            </w:tcBorders>
            <w:shd w:val="clear" w:color="auto" w:fill="auto"/>
            <w:noWrap/>
            <w:vAlign w:val="bottom"/>
          </w:tcPr>
          <w:p w14:paraId="49FD624C" w14:textId="77777777" w:rsidR="001B5486" w:rsidRPr="009E35ED" w:rsidRDefault="001B5486" w:rsidP="001B5486">
            <w:pPr>
              <w:ind w:left="0"/>
              <w:jc w:val="right"/>
              <w:rPr>
                <w:rFonts w:ascii="Arial Narrow" w:hAnsi="Arial Narrow"/>
                <w:color w:val="000000" w:themeColor="text1"/>
                <w:sz w:val="18"/>
                <w:szCs w:val="18"/>
                <w:lang w:val="en-PH" w:eastAsia="en-PH"/>
              </w:rPr>
            </w:pPr>
          </w:p>
        </w:tc>
      </w:tr>
      <w:tr w:rsidR="00997F75" w:rsidRPr="009E35ED" w14:paraId="6018BCB1" w14:textId="77777777" w:rsidTr="00860ED6">
        <w:trPr>
          <w:trHeight w:val="234"/>
        </w:trPr>
        <w:tc>
          <w:tcPr>
            <w:tcW w:w="276" w:type="dxa"/>
            <w:tcBorders>
              <w:top w:val="nil"/>
              <w:left w:val="nil"/>
              <w:bottom w:val="nil"/>
              <w:right w:val="nil"/>
            </w:tcBorders>
            <w:shd w:val="clear" w:color="auto" w:fill="auto"/>
            <w:noWrap/>
            <w:vAlign w:val="bottom"/>
            <w:hideMark/>
          </w:tcPr>
          <w:p w14:paraId="538E0537" w14:textId="77777777" w:rsidR="00B572B8" w:rsidRPr="009E35ED" w:rsidRDefault="00B572B8" w:rsidP="00B572B8">
            <w:pPr>
              <w:ind w:left="0"/>
              <w:jc w:val="left"/>
              <w:rPr>
                <w:rFonts w:ascii="Arial Narrow" w:hAnsi="Arial Narrow"/>
                <w:color w:val="000000" w:themeColor="text1"/>
                <w:sz w:val="18"/>
                <w:szCs w:val="18"/>
                <w:lang w:val="en-PH" w:eastAsia="en-PH"/>
              </w:rPr>
            </w:pPr>
          </w:p>
        </w:tc>
        <w:tc>
          <w:tcPr>
            <w:tcW w:w="264" w:type="dxa"/>
            <w:tcBorders>
              <w:top w:val="nil"/>
              <w:left w:val="nil"/>
              <w:bottom w:val="nil"/>
              <w:right w:val="nil"/>
            </w:tcBorders>
            <w:shd w:val="clear" w:color="auto" w:fill="auto"/>
            <w:noWrap/>
            <w:vAlign w:val="bottom"/>
            <w:hideMark/>
          </w:tcPr>
          <w:p w14:paraId="0A6AF470" w14:textId="77777777" w:rsidR="00B572B8" w:rsidRPr="009E35ED" w:rsidRDefault="00B572B8" w:rsidP="00B572B8">
            <w:pPr>
              <w:ind w:left="0"/>
              <w:jc w:val="left"/>
              <w:rPr>
                <w:rFonts w:ascii="Arial Narrow" w:hAnsi="Arial Narrow"/>
                <w:color w:val="000000" w:themeColor="text1"/>
                <w:sz w:val="18"/>
                <w:szCs w:val="18"/>
                <w:lang w:val="en-PH" w:eastAsia="en-PH"/>
              </w:rPr>
            </w:pPr>
          </w:p>
        </w:tc>
        <w:tc>
          <w:tcPr>
            <w:tcW w:w="2862" w:type="dxa"/>
            <w:tcBorders>
              <w:top w:val="nil"/>
              <w:left w:val="nil"/>
              <w:bottom w:val="nil"/>
              <w:right w:val="nil"/>
            </w:tcBorders>
            <w:shd w:val="clear" w:color="auto" w:fill="auto"/>
            <w:noWrap/>
            <w:vAlign w:val="bottom"/>
            <w:hideMark/>
          </w:tcPr>
          <w:p w14:paraId="44301DEA" w14:textId="1E707888" w:rsidR="00B572B8" w:rsidRPr="009E35ED" w:rsidRDefault="00B572B8" w:rsidP="00B572B8">
            <w:pPr>
              <w:ind w:left="0"/>
              <w:jc w:val="left"/>
              <w:rPr>
                <w:rFonts w:ascii="Arial Narrow" w:hAnsi="Arial Narrow" w:cs="Arial"/>
                <w:color w:val="000000" w:themeColor="text1"/>
                <w:sz w:val="18"/>
                <w:szCs w:val="18"/>
                <w:lang w:val="en-PH" w:eastAsia="en-PH"/>
              </w:rPr>
            </w:pPr>
            <w:r w:rsidRPr="009E35ED">
              <w:rPr>
                <w:rFonts w:ascii="Arial Narrow" w:hAnsi="Arial Narrow" w:cs="Arial"/>
                <w:color w:val="000000" w:themeColor="text1"/>
                <w:sz w:val="18"/>
                <w:szCs w:val="18"/>
                <w:lang w:val="en-PH" w:eastAsia="en-PH"/>
              </w:rPr>
              <w:t xml:space="preserve">Income from </w:t>
            </w:r>
            <w:r w:rsidR="00F93FBC">
              <w:rPr>
                <w:rFonts w:ascii="Arial Narrow" w:hAnsi="Arial Narrow" w:cs="Arial"/>
                <w:color w:val="000000" w:themeColor="text1"/>
                <w:sz w:val="18"/>
                <w:szCs w:val="18"/>
                <w:lang w:val="en-PH" w:eastAsia="en-PH"/>
              </w:rPr>
              <w:t>g</w:t>
            </w:r>
            <w:r w:rsidRPr="009E35ED">
              <w:rPr>
                <w:rFonts w:ascii="Arial Narrow" w:hAnsi="Arial Narrow" w:cs="Arial"/>
                <w:color w:val="000000" w:themeColor="text1"/>
                <w:sz w:val="18"/>
                <w:szCs w:val="18"/>
                <w:lang w:val="en-PH" w:eastAsia="en-PH"/>
              </w:rPr>
              <w:t xml:space="preserve">aming </w:t>
            </w:r>
            <w:r w:rsidR="00F93FBC">
              <w:rPr>
                <w:rFonts w:ascii="Arial Narrow" w:hAnsi="Arial Narrow" w:cs="Arial"/>
                <w:color w:val="000000" w:themeColor="text1"/>
                <w:sz w:val="18"/>
                <w:szCs w:val="18"/>
                <w:lang w:val="en-PH" w:eastAsia="en-PH"/>
              </w:rPr>
              <w:t>o</w:t>
            </w:r>
            <w:r w:rsidRPr="009E35ED">
              <w:rPr>
                <w:rFonts w:ascii="Arial Narrow" w:hAnsi="Arial Narrow" w:cs="Arial"/>
                <w:color w:val="000000" w:themeColor="text1"/>
                <w:sz w:val="18"/>
                <w:szCs w:val="18"/>
                <w:lang w:val="en-PH" w:eastAsia="en-PH"/>
              </w:rPr>
              <w:t>perations</w:t>
            </w:r>
          </w:p>
        </w:tc>
        <w:tc>
          <w:tcPr>
            <w:tcW w:w="1596" w:type="dxa"/>
            <w:tcBorders>
              <w:top w:val="nil"/>
              <w:left w:val="nil"/>
              <w:bottom w:val="nil"/>
              <w:right w:val="nil"/>
            </w:tcBorders>
            <w:shd w:val="clear" w:color="auto" w:fill="auto"/>
            <w:noWrap/>
            <w:vAlign w:val="bottom"/>
          </w:tcPr>
          <w:p w14:paraId="04F880D0" w14:textId="2853F02F" w:rsidR="00B572B8" w:rsidRPr="009E35ED" w:rsidRDefault="00B572B8" w:rsidP="00B572B8">
            <w:pPr>
              <w:ind w:left="0"/>
              <w:jc w:val="right"/>
              <w:rPr>
                <w:rFonts w:ascii="Arial Narrow" w:hAnsi="Arial Narrow" w:cs="Arial"/>
                <w:color w:val="000000" w:themeColor="text1"/>
                <w:sz w:val="18"/>
                <w:szCs w:val="18"/>
                <w:lang w:val="en-PH" w:eastAsia="en-PH"/>
              </w:rPr>
            </w:pPr>
            <w:r w:rsidRPr="009E35ED">
              <w:rPr>
                <w:rFonts w:ascii="Arial Narrow" w:hAnsi="Arial Narrow"/>
                <w:color w:val="000000" w:themeColor="text1"/>
                <w:sz w:val="18"/>
                <w:szCs w:val="18"/>
              </w:rPr>
              <w:t xml:space="preserve"> 9,597,121,840 </w:t>
            </w:r>
          </w:p>
        </w:tc>
        <w:tc>
          <w:tcPr>
            <w:tcW w:w="1716" w:type="dxa"/>
            <w:tcBorders>
              <w:top w:val="nil"/>
              <w:left w:val="nil"/>
              <w:bottom w:val="nil"/>
              <w:right w:val="nil"/>
            </w:tcBorders>
            <w:shd w:val="clear" w:color="auto" w:fill="auto"/>
            <w:noWrap/>
            <w:vAlign w:val="bottom"/>
          </w:tcPr>
          <w:p w14:paraId="4C726721" w14:textId="387BEC97" w:rsidR="00B572B8" w:rsidRPr="009E35ED" w:rsidRDefault="00B572B8" w:rsidP="00B572B8">
            <w:pPr>
              <w:ind w:left="0"/>
              <w:jc w:val="right"/>
              <w:rPr>
                <w:rFonts w:ascii="Arial Narrow" w:hAnsi="Arial Narrow" w:cs="Arial"/>
                <w:color w:val="000000" w:themeColor="text1"/>
                <w:sz w:val="18"/>
                <w:szCs w:val="18"/>
                <w:lang w:val="en-PH" w:eastAsia="en-PH"/>
              </w:rPr>
            </w:pPr>
            <w:r w:rsidRPr="009E35ED">
              <w:rPr>
                <w:rFonts w:ascii="Arial Narrow" w:hAnsi="Arial Narrow"/>
                <w:color w:val="000000" w:themeColor="text1"/>
                <w:sz w:val="18"/>
                <w:szCs w:val="18"/>
              </w:rPr>
              <w:t xml:space="preserve"> 16,895,531,862 </w:t>
            </w:r>
          </w:p>
        </w:tc>
        <w:tc>
          <w:tcPr>
            <w:tcW w:w="1425" w:type="dxa"/>
            <w:tcBorders>
              <w:top w:val="nil"/>
              <w:left w:val="nil"/>
              <w:bottom w:val="nil"/>
              <w:right w:val="nil"/>
            </w:tcBorders>
            <w:shd w:val="clear" w:color="auto" w:fill="auto"/>
            <w:noWrap/>
            <w:vAlign w:val="bottom"/>
          </w:tcPr>
          <w:p w14:paraId="5BEB4656" w14:textId="7ABEEF9F" w:rsidR="00B572B8" w:rsidRPr="009E35ED" w:rsidRDefault="00B572B8" w:rsidP="00B572B8">
            <w:pPr>
              <w:ind w:left="0"/>
              <w:jc w:val="right"/>
              <w:rPr>
                <w:rFonts w:ascii="Arial Narrow" w:hAnsi="Arial Narrow" w:cs="Arial"/>
                <w:color w:val="000000" w:themeColor="text1"/>
                <w:sz w:val="18"/>
                <w:szCs w:val="18"/>
                <w:lang w:val="en-PH" w:eastAsia="en-PH"/>
              </w:rPr>
            </w:pPr>
            <w:r w:rsidRPr="009E35ED">
              <w:rPr>
                <w:rFonts w:ascii="Arial Narrow" w:hAnsi="Arial Narrow"/>
                <w:color w:val="000000" w:themeColor="text1"/>
                <w:sz w:val="18"/>
                <w:szCs w:val="18"/>
              </w:rPr>
              <w:t xml:space="preserve"> 30,975,141,748 </w:t>
            </w:r>
          </w:p>
        </w:tc>
        <w:tc>
          <w:tcPr>
            <w:tcW w:w="1243" w:type="dxa"/>
            <w:tcBorders>
              <w:top w:val="nil"/>
              <w:left w:val="nil"/>
              <w:bottom w:val="nil"/>
              <w:right w:val="nil"/>
            </w:tcBorders>
            <w:shd w:val="clear" w:color="auto" w:fill="auto"/>
            <w:noWrap/>
            <w:vAlign w:val="bottom"/>
          </w:tcPr>
          <w:p w14:paraId="6BF639EA" w14:textId="7F1508C2" w:rsidR="00B572B8" w:rsidRPr="009E35ED" w:rsidRDefault="00B572B8" w:rsidP="00B572B8">
            <w:pPr>
              <w:ind w:left="0"/>
              <w:jc w:val="right"/>
              <w:rPr>
                <w:rFonts w:ascii="Arial Narrow" w:hAnsi="Arial Narrow" w:cs="Arial"/>
                <w:color w:val="000000" w:themeColor="text1"/>
                <w:sz w:val="18"/>
                <w:szCs w:val="18"/>
                <w:lang w:val="en-PH" w:eastAsia="en-PH"/>
              </w:rPr>
            </w:pPr>
            <w:r w:rsidRPr="009E35ED">
              <w:rPr>
                <w:rFonts w:ascii="Arial Narrow" w:hAnsi="Arial Narrow"/>
                <w:color w:val="000000" w:themeColor="text1"/>
                <w:sz w:val="18"/>
                <w:szCs w:val="18"/>
              </w:rPr>
              <w:t xml:space="preserve"> 57,467,795,450 </w:t>
            </w:r>
          </w:p>
        </w:tc>
      </w:tr>
      <w:tr w:rsidR="00997F75" w:rsidRPr="009E35ED" w14:paraId="218CFC10" w14:textId="77777777" w:rsidTr="00860ED6">
        <w:trPr>
          <w:trHeight w:val="193"/>
        </w:trPr>
        <w:tc>
          <w:tcPr>
            <w:tcW w:w="276" w:type="dxa"/>
            <w:tcBorders>
              <w:top w:val="nil"/>
              <w:left w:val="nil"/>
              <w:bottom w:val="nil"/>
              <w:right w:val="nil"/>
            </w:tcBorders>
            <w:shd w:val="clear" w:color="auto" w:fill="auto"/>
            <w:noWrap/>
            <w:vAlign w:val="bottom"/>
            <w:hideMark/>
          </w:tcPr>
          <w:p w14:paraId="300BC7B7" w14:textId="77777777" w:rsidR="00B572B8" w:rsidRPr="009E35ED" w:rsidRDefault="00B572B8" w:rsidP="00B572B8">
            <w:pPr>
              <w:ind w:left="0"/>
              <w:jc w:val="left"/>
              <w:rPr>
                <w:rFonts w:ascii="Arial Narrow" w:hAnsi="Arial Narrow" w:cs="Arial"/>
                <w:color w:val="000000" w:themeColor="text1"/>
                <w:sz w:val="18"/>
                <w:szCs w:val="18"/>
                <w:lang w:val="en-PH" w:eastAsia="en-PH"/>
              </w:rPr>
            </w:pPr>
          </w:p>
        </w:tc>
        <w:tc>
          <w:tcPr>
            <w:tcW w:w="264" w:type="dxa"/>
            <w:tcBorders>
              <w:top w:val="nil"/>
              <w:left w:val="nil"/>
              <w:bottom w:val="nil"/>
              <w:right w:val="nil"/>
            </w:tcBorders>
            <w:shd w:val="clear" w:color="auto" w:fill="auto"/>
            <w:noWrap/>
            <w:vAlign w:val="bottom"/>
            <w:hideMark/>
          </w:tcPr>
          <w:p w14:paraId="4EF98328" w14:textId="77777777" w:rsidR="00B572B8" w:rsidRPr="009E35ED" w:rsidRDefault="00B572B8" w:rsidP="00B572B8">
            <w:pPr>
              <w:ind w:left="0"/>
              <w:jc w:val="left"/>
              <w:rPr>
                <w:rFonts w:ascii="Arial Narrow" w:hAnsi="Arial Narrow"/>
                <w:color w:val="000000" w:themeColor="text1"/>
                <w:sz w:val="18"/>
                <w:szCs w:val="18"/>
                <w:lang w:val="en-PH" w:eastAsia="en-PH"/>
              </w:rPr>
            </w:pPr>
          </w:p>
        </w:tc>
        <w:tc>
          <w:tcPr>
            <w:tcW w:w="2862" w:type="dxa"/>
            <w:tcBorders>
              <w:top w:val="nil"/>
              <w:left w:val="nil"/>
              <w:bottom w:val="nil"/>
              <w:right w:val="nil"/>
            </w:tcBorders>
            <w:shd w:val="clear" w:color="auto" w:fill="auto"/>
            <w:noWrap/>
            <w:vAlign w:val="bottom"/>
            <w:hideMark/>
          </w:tcPr>
          <w:p w14:paraId="552980E7" w14:textId="565BE869" w:rsidR="00B572B8" w:rsidRPr="009E35ED" w:rsidRDefault="00B572B8" w:rsidP="00B572B8">
            <w:pPr>
              <w:ind w:left="0"/>
              <w:jc w:val="left"/>
              <w:rPr>
                <w:rFonts w:ascii="Arial Narrow" w:hAnsi="Arial Narrow" w:cs="Arial"/>
                <w:color w:val="000000" w:themeColor="text1"/>
                <w:sz w:val="18"/>
                <w:szCs w:val="18"/>
                <w:lang w:val="en-PH" w:eastAsia="en-PH"/>
              </w:rPr>
            </w:pPr>
            <w:r w:rsidRPr="009E35ED">
              <w:rPr>
                <w:rFonts w:ascii="Arial Narrow" w:hAnsi="Arial Narrow" w:cs="Arial"/>
                <w:color w:val="000000" w:themeColor="text1"/>
                <w:sz w:val="18"/>
                <w:szCs w:val="18"/>
                <w:lang w:val="en-PH" w:eastAsia="en-PH"/>
              </w:rPr>
              <w:t>Seminar/</w:t>
            </w:r>
            <w:r w:rsidR="00F93FBC">
              <w:rPr>
                <w:rFonts w:ascii="Arial Narrow" w:hAnsi="Arial Narrow" w:cs="Arial"/>
                <w:color w:val="000000" w:themeColor="text1"/>
                <w:sz w:val="18"/>
                <w:szCs w:val="18"/>
                <w:lang w:val="en-PH" w:eastAsia="en-PH"/>
              </w:rPr>
              <w:t>t</w:t>
            </w:r>
            <w:r w:rsidRPr="009E35ED">
              <w:rPr>
                <w:rFonts w:ascii="Arial Narrow" w:hAnsi="Arial Narrow" w:cs="Arial"/>
                <w:color w:val="000000" w:themeColor="text1"/>
                <w:sz w:val="18"/>
                <w:szCs w:val="18"/>
                <w:lang w:val="en-PH" w:eastAsia="en-PH"/>
              </w:rPr>
              <w:t xml:space="preserve">raining </w:t>
            </w:r>
            <w:r w:rsidR="00F93FBC">
              <w:rPr>
                <w:rFonts w:ascii="Arial Narrow" w:hAnsi="Arial Narrow" w:cs="Arial"/>
                <w:color w:val="000000" w:themeColor="text1"/>
                <w:sz w:val="18"/>
                <w:szCs w:val="18"/>
                <w:lang w:val="en-PH" w:eastAsia="en-PH"/>
              </w:rPr>
              <w:t>f</w:t>
            </w:r>
            <w:r w:rsidRPr="009E35ED">
              <w:rPr>
                <w:rFonts w:ascii="Arial Narrow" w:hAnsi="Arial Narrow" w:cs="Arial"/>
                <w:color w:val="000000" w:themeColor="text1"/>
                <w:sz w:val="18"/>
                <w:szCs w:val="18"/>
                <w:lang w:val="en-PH" w:eastAsia="en-PH"/>
              </w:rPr>
              <w:t>ees</w:t>
            </w:r>
          </w:p>
        </w:tc>
        <w:tc>
          <w:tcPr>
            <w:tcW w:w="1596" w:type="dxa"/>
            <w:tcBorders>
              <w:top w:val="nil"/>
              <w:left w:val="nil"/>
              <w:bottom w:val="nil"/>
              <w:right w:val="nil"/>
            </w:tcBorders>
            <w:shd w:val="clear" w:color="auto" w:fill="auto"/>
            <w:noWrap/>
          </w:tcPr>
          <w:p w14:paraId="344302EC" w14:textId="16FA4AF3" w:rsidR="00B572B8" w:rsidRPr="009E35ED" w:rsidRDefault="00B572B8" w:rsidP="00B572B8">
            <w:pPr>
              <w:ind w:left="0"/>
              <w:jc w:val="right"/>
              <w:rPr>
                <w:rFonts w:ascii="Arial Narrow" w:hAnsi="Arial Narrow" w:cs="Arial"/>
                <w:color w:val="000000" w:themeColor="text1"/>
                <w:sz w:val="18"/>
                <w:szCs w:val="18"/>
                <w:lang w:val="en-PH" w:eastAsia="en-PH"/>
              </w:rPr>
            </w:pPr>
            <w:r w:rsidRPr="009E35ED">
              <w:rPr>
                <w:rFonts w:ascii="Arial Narrow" w:hAnsi="Arial Narrow"/>
                <w:color w:val="000000" w:themeColor="text1"/>
                <w:sz w:val="18"/>
                <w:szCs w:val="18"/>
              </w:rPr>
              <w:t xml:space="preserve"> 369,760 </w:t>
            </w:r>
          </w:p>
        </w:tc>
        <w:tc>
          <w:tcPr>
            <w:tcW w:w="1716" w:type="dxa"/>
            <w:tcBorders>
              <w:top w:val="nil"/>
              <w:left w:val="nil"/>
              <w:bottom w:val="nil"/>
              <w:right w:val="nil"/>
            </w:tcBorders>
            <w:shd w:val="clear" w:color="auto" w:fill="auto"/>
            <w:noWrap/>
          </w:tcPr>
          <w:p w14:paraId="09D3EBE2" w14:textId="24A6A83C" w:rsidR="00B572B8" w:rsidRPr="009E35ED" w:rsidRDefault="00B572B8" w:rsidP="00B572B8">
            <w:pPr>
              <w:ind w:left="0"/>
              <w:jc w:val="right"/>
              <w:rPr>
                <w:rFonts w:ascii="Arial Narrow" w:hAnsi="Arial Narrow" w:cs="Arial"/>
                <w:color w:val="000000" w:themeColor="text1"/>
                <w:sz w:val="18"/>
                <w:szCs w:val="18"/>
                <w:lang w:val="en-PH" w:eastAsia="en-PH"/>
              </w:rPr>
            </w:pPr>
            <w:r w:rsidRPr="009E35ED">
              <w:rPr>
                <w:rFonts w:ascii="Arial Narrow" w:hAnsi="Arial Narrow"/>
                <w:color w:val="000000" w:themeColor="text1"/>
                <w:sz w:val="18"/>
                <w:szCs w:val="18"/>
              </w:rPr>
              <w:t xml:space="preserve"> -   </w:t>
            </w:r>
          </w:p>
        </w:tc>
        <w:tc>
          <w:tcPr>
            <w:tcW w:w="1425" w:type="dxa"/>
            <w:tcBorders>
              <w:top w:val="nil"/>
              <w:left w:val="nil"/>
              <w:bottom w:val="nil"/>
              <w:right w:val="nil"/>
            </w:tcBorders>
            <w:shd w:val="clear" w:color="auto" w:fill="auto"/>
            <w:noWrap/>
          </w:tcPr>
          <w:p w14:paraId="220CEFE8" w14:textId="14A8F5D8" w:rsidR="00B572B8" w:rsidRPr="009E35ED" w:rsidRDefault="00B572B8" w:rsidP="00B572B8">
            <w:pPr>
              <w:ind w:left="0"/>
              <w:jc w:val="right"/>
              <w:rPr>
                <w:rFonts w:ascii="Arial Narrow" w:hAnsi="Arial Narrow"/>
                <w:color w:val="000000" w:themeColor="text1"/>
                <w:sz w:val="18"/>
                <w:szCs w:val="18"/>
                <w:lang w:val="en-PH" w:eastAsia="en-PH"/>
              </w:rPr>
            </w:pPr>
            <w:r w:rsidRPr="009E35ED">
              <w:rPr>
                <w:rFonts w:ascii="Arial Narrow" w:hAnsi="Arial Narrow"/>
                <w:color w:val="000000" w:themeColor="text1"/>
                <w:sz w:val="18"/>
                <w:szCs w:val="18"/>
              </w:rPr>
              <w:t xml:space="preserve"> -   </w:t>
            </w:r>
          </w:p>
        </w:tc>
        <w:tc>
          <w:tcPr>
            <w:tcW w:w="1243" w:type="dxa"/>
            <w:tcBorders>
              <w:top w:val="nil"/>
              <w:left w:val="nil"/>
              <w:bottom w:val="nil"/>
              <w:right w:val="nil"/>
            </w:tcBorders>
            <w:shd w:val="clear" w:color="auto" w:fill="auto"/>
            <w:noWrap/>
          </w:tcPr>
          <w:p w14:paraId="655C5099" w14:textId="7C72EEF4" w:rsidR="00B572B8" w:rsidRPr="009E35ED" w:rsidRDefault="00B572B8" w:rsidP="00B572B8">
            <w:pPr>
              <w:ind w:left="0"/>
              <w:jc w:val="right"/>
              <w:rPr>
                <w:rFonts w:ascii="Arial Narrow" w:hAnsi="Arial Narrow" w:cs="Arial"/>
                <w:color w:val="000000" w:themeColor="text1"/>
                <w:sz w:val="18"/>
                <w:szCs w:val="18"/>
                <w:lang w:val="en-PH" w:eastAsia="en-PH"/>
              </w:rPr>
            </w:pPr>
            <w:r w:rsidRPr="009E35ED">
              <w:rPr>
                <w:rFonts w:ascii="Arial Narrow" w:hAnsi="Arial Narrow"/>
                <w:color w:val="000000" w:themeColor="text1"/>
                <w:sz w:val="18"/>
                <w:szCs w:val="18"/>
              </w:rPr>
              <w:t xml:space="preserve"> 369,760 </w:t>
            </w:r>
          </w:p>
        </w:tc>
      </w:tr>
      <w:tr w:rsidR="00997F75" w:rsidRPr="009E35ED" w14:paraId="5F66124D" w14:textId="77777777" w:rsidTr="00860ED6">
        <w:trPr>
          <w:trHeight w:val="193"/>
        </w:trPr>
        <w:tc>
          <w:tcPr>
            <w:tcW w:w="276" w:type="dxa"/>
            <w:tcBorders>
              <w:top w:val="nil"/>
              <w:left w:val="nil"/>
              <w:bottom w:val="nil"/>
              <w:right w:val="nil"/>
            </w:tcBorders>
            <w:shd w:val="clear" w:color="auto" w:fill="auto"/>
            <w:noWrap/>
            <w:vAlign w:val="bottom"/>
            <w:hideMark/>
          </w:tcPr>
          <w:p w14:paraId="38AEBCAB" w14:textId="77777777" w:rsidR="00B572B8" w:rsidRPr="009E35ED" w:rsidRDefault="00B572B8" w:rsidP="00B572B8">
            <w:pPr>
              <w:ind w:left="0"/>
              <w:jc w:val="left"/>
              <w:rPr>
                <w:rFonts w:ascii="Arial Narrow" w:hAnsi="Arial Narrow" w:cs="Arial"/>
                <w:color w:val="000000" w:themeColor="text1"/>
                <w:sz w:val="18"/>
                <w:szCs w:val="18"/>
                <w:lang w:val="en-PH" w:eastAsia="en-PH"/>
              </w:rPr>
            </w:pPr>
          </w:p>
        </w:tc>
        <w:tc>
          <w:tcPr>
            <w:tcW w:w="264" w:type="dxa"/>
            <w:tcBorders>
              <w:top w:val="nil"/>
              <w:left w:val="nil"/>
              <w:bottom w:val="nil"/>
              <w:right w:val="nil"/>
            </w:tcBorders>
            <w:shd w:val="clear" w:color="auto" w:fill="auto"/>
            <w:noWrap/>
            <w:vAlign w:val="bottom"/>
            <w:hideMark/>
          </w:tcPr>
          <w:p w14:paraId="2288B135" w14:textId="77777777" w:rsidR="00B572B8" w:rsidRPr="009E35ED" w:rsidRDefault="00B572B8" w:rsidP="00B572B8">
            <w:pPr>
              <w:ind w:left="0"/>
              <w:jc w:val="left"/>
              <w:rPr>
                <w:rFonts w:ascii="Arial Narrow" w:hAnsi="Arial Narrow"/>
                <w:color w:val="000000" w:themeColor="text1"/>
                <w:sz w:val="18"/>
                <w:szCs w:val="18"/>
                <w:lang w:val="en-PH" w:eastAsia="en-PH"/>
              </w:rPr>
            </w:pPr>
          </w:p>
        </w:tc>
        <w:tc>
          <w:tcPr>
            <w:tcW w:w="2862" w:type="dxa"/>
            <w:tcBorders>
              <w:top w:val="nil"/>
              <w:left w:val="nil"/>
              <w:bottom w:val="nil"/>
              <w:right w:val="nil"/>
            </w:tcBorders>
            <w:shd w:val="clear" w:color="auto" w:fill="auto"/>
            <w:noWrap/>
            <w:vAlign w:val="bottom"/>
            <w:hideMark/>
          </w:tcPr>
          <w:p w14:paraId="710303DC" w14:textId="1EEFE57B" w:rsidR="00B572B8" w:rsidRPr="009E35ED" w:rsidRDefault="00B572B8" w:rsidP="00B572B8">
            <w:pPr>
              <w:ind w:left="0"/>
              <w:jc w:val="left"/>
              <w:rPr>
                <w:rFonts w:ascii="Arial Narrow" w:hAnsi="Arial Narrow" w:cs="Arial"/>
                <w:color w:val="000000" w:themeColor="text1"/>
                <w:sz w:val="18"/>
                <w:szCs w:val="18"/>
                <w:lang w:val="en-PH" w:eastAsia="en-PH"/>
              </w:rPr>
            </w:pPr>
            <w:r w:rsidRPr="009E35ED">
              <w:rPr>
                <w:rFonts w:ascii="Arial Narrow" w:hAnsi="Arial Narrow" w:cs="Arial"/>
                <w:color w:val="000000" w:themeColor="text1"/>
                <w:sz w:val="18"/>
                <w:szCs w:val="18"/>
                <w:lang w:val="en-PH" w:eastAsia="en-PH"/>
              </w:rPr>
              <w:t xml:space="preserve">Fines and </w:t>
            </w:r>
            <w:r w:rsidR="00F93FBC">
              <w:rPr>
                <w:rFonts w:ascii="Arial Narrow" w:hAnsi="Arial Narrow" w:cs="Arial"/>
                <w:color w:val="000000" w:themeColor="text1"/>
                <w:sz w:val="18"/>
                <w:szCs w:val="18"/>
                <w:lang w:val="en-PH" w:eastAsia="en-PH"/>
              </w:rPr>
              <w:t>p</w:t>
            </w:r>
            <w:r w:rsidRPr="009E35ED">
              <w:rPr>
                <w:rFonts w:ascii="Arial Narrow" w:hAnsi="Arial Narrow" w:cs="Arial"/>
                <w:color w:val="000000" w:themeColor="text1"/>
                <w:sz w:val="18"/>
                <w:szCs w:val="18"/>
                <w:lang w:val="en-PH" w:eastAsia="en-PH"/>
              </w:rPr>
              <w:t>enalties</w:t>
            </w:r>
          </w:p>
        </w:tc>
        <w:tc>
          <w:tcPr>
            <w:tcW w:w="1596" w:type="dxa"/>
            <w:tcBorders>
              <w:top w:val="nil"/>
              <w:left w:val="nil"/>
              <w:bottom w:val="nil"/>
              <w:right w:val="nil"/>
            </w:tcBorders>
            <w:shd w:val="clear" w:color="auto" w:fill="auto"/>
            <w:noWrap/>
          </w:tcPr>
          <w:p w14:paraId="1BB80550" w14:textId="52861D7A" w:rsidR="00B572B8" w:rsidRPr="009E35ED" w:rsidRDefault="00B572B8" w:rsidP="00B572B8">
            <w:pPr>
              <w:ind w:left="0"/>
              <w:jc w:val="right"/>
              <w:rPr>
                <w:rFonts w:ascii="Arial Narrow" w:hAnsi="Arial Narrow" w:cs="Arial"/>
                <w:color w:val="000000" w:themeColor="text1"/>
                <w:sz w:val="18"/>
                <w:szCs w:val="18"/>
                <w:lang w:val="en-PH" w:eastAsia="en-PH"/>
              </w:rPr>
            </w:pPr>
            <w:r w:rsidRPr="009E35ED">
              <w:rPr>
                <w:rFonts w:ascii="Arial Narrow" w:hAnsi="Arial Narrow"/>
                <w:color w:val="000000" w:themeColor="text1"/>
                <w:sz w:val="18"/>
                <w:szCs w:val="18"/>
              </w:rPr>
              <w:t xml:space="preserve"> 624,909 </w:t>
            </w:r>
          </w:p>
        </w:tc>
        <w:tc>
          <w:tcPr>
            <w:tcW w:w="1716" w:type="dxa"/>
            <w:tcBorders>
              <w:top w:val="nil"/>
              <w:left w:val="nil"/>
              <w:bottom w:val="nil"/>
              <w:right w:val="nil"/>
            </w:tcBorders>
            <w:shd w:val="clear" w:color="auto" w:fill="auto"/>
            <w:noWrap/>
          </w:tcPr>
          <w:p w14:paraId="7DB0813C" w14:textId="58228A6C" w:rsidR="00B572B8" w:rsidRPr="009E35ED" w:rsidRDefault="00B572B8" w:rsidP="00B572B8">
            <w:pPr>
              <w:ind w:left="0"/>
              <w:jc w:val="right"/>
              <w:rPr>
                <w:rFonts w:ascii="Arial Narrow" w:hAnsi="Arial Narrow" w:cs="Arial"/>
                <w:color w:val="000000" w:themeColor="text1"/>
                <w:sz w:val="18"/>
                <w:szCs w:val="18"/>
                <w:lang w:val="en-PH" w:eastAsia="en-PH"/>
              </w:rPr>
            </w:pPr>
            <w:r w:rsidRPr="009E35ED">
              <w:rPr>
                <w:rFonts w:ascii="Arial Narrow" w:hAnsi="Arial Narrow"/>
                <w:color w:val="000000" w:themeColor="text1"/>
                <w:sz w:val="18"/>
                <w:szCs w:val="18"/>
              </w:rPr>
              <w:t xml:space="preserve"> 2,427,232 </w:t>
            </w:r>
          </w:p>
        </w:tc>
        <w:tc>
          <w:tcPr>
            <w:tcW w:w="1425" w:type="dxa"/>
            <w:tcBorders>
              <w:top w:val="nil"/>
              <w:left w:val="nil"/>
              <w:bottom w:val="nil"/>
              <w:right w:val="nil"/>
            </w:tcBorders>
            <w:shd w:val="clear" w:color="auto" w:fill="auto"/>
            <w:noWrap/>
          </w:tcPr>
          <w:p w14:paraId="775ADD52" w14:textId="6E0F6385" w:rsidR="00B572B8" w:rsidRPr="009E35ED" w:rsidRDefault="00B572B8" w:rsidP="00B572B8">
            <w:pPr>
              <w:ind w:left="0"/>
              <w:jc w:val="right"/>
              <w:rPr>
                <w:rFonts w:ascii="Arial Narrow" w:hAnsi="Arial Narrow"/>
                <w:color w:val="000000" w:themeColor="text1"/>
                <w:sz w:val="18"/>
                <w:szCs w:val="18"/>
                <w:lang w:val="en-PH" w:eastAsia="en-PH"/>
              </w:rPr>
            </w:pPr>
            <w:r w:rsidRPr="009E35ED">
              <w:rPr>
                <w:rFonts w:ascii="Arial Narrow" w:hAnsi="Arial Narrow"/>
                <w:color w:val="000000" w:themeColor="text1"/>
                <w:sz w:val="18"/>
                <w:szCs w:val="18"/>
              </w:rPr>
              <w:t xml:space="preserve"> -   </w:t>
            </w:r>
          </w:p>
        </w:tc>
        <w:tc>
          <w:tcPr>
            <w:tcW w:w="1243" w:type="dxa"/>
            <w:tcBorders>
              <w:top w:val="nil"/>
              <w:left w:val="nil"/>
              <w:bottom w:val="nil"/>
              <w:right w:val="nil"/>
            </w:tcBorders>
            <w:shd w:val="clear" w:color="auto" w:fill="auto"/>
            <w:noWrap/>
          </w:tcPr>
          <w:p w14:paraId="73E97CCF" w14:textId="7ACBEF6A" w:rsidR="00B572B8" w:rsidRPr="009E35ED" w:rsidRDefault="00B572B8" w:rsidP="00B572B8">
            <w:pPr>
              <w:ind w:left="0"/>
              <w:jc w:val="right"/>
              <w:rPr>
                <w:rFonts w:ascii="Arial Narrow" w:hAnsi="Arial Narrow" w:cs="Arial"/>
                <w:color w:val="000000" w:themeColor="text1"/>
                <w:sz w:val="18"/>
                <w:szCs w:val="18"/>
                <w:lang w:val="en-PH" w:eastAsia="en-PH"/>
              </w:rPr>
            </w:pPr>
            <w:r w:rsidRPr="009E35ED">
              <w:rPr>
                <w:rFonts w:ascii="Arial Narrow" w:hAnsi="Arial Narrow"/>
                <w:color w:val="000000" w:themeColor="text1"/>
                <w:sz w:val="18"/>
                <w:szCs w:val="18"/>
              </w:rPr>
              <w:t xml:space="preserve"> 3,052,141 </w:t>
            </w:r>
          </w:p>
        </w:tc>
      </w:tr>
      <w:tr w:rsidR="00997F75" w:rsidRPr="009E35ED" w14:paraId="6F6A7A96" w14:textId="77777777" w:rsidTr="00860ED6">
        <w:trPr>
          <w:trHeight w:val="203"/>
        </w:trPr>
        <w:tc>
          <w:tcPr>
            <w:tcW w:w="276" w:type="dxa"/>
            <w:tcBorders>
              <w:top w:val="nil"/>
              <w:left w:val="nil"/>
              <w:bottom w:val="nil"/>
              <w:right w:val="nil"/>
            </w:tcBorders>
            <w:shd w:val="clear" w:color="auto" w:fill="auto"/>
            <w:noWrap/>
            <w:vAlign w:val="bottom"/>
            <w:hideMark/>
          </w:tcPr>
          <w:p w14:paraId="69D8EC9C" w14:textId="77777777" w:rsidR="00B572B8" w:rsidRPr="009E35ED" w:rsidRDefault="00B572B8" w:rsidP="00B572B8">
            <w:pPr>
              <w:ind w:left="0"/>
              <w:jc w:val="left"/>
              <w:rPr>
                <w:rFonts w:ascii="Arial Narrow" w:hAnsi="Arial Narrow" w:cs="Arial"/>
                <w:color w:val="000000" w:themeColor="text1"/>
                <w:sz w:val="18"/>
                <w:szCs w:val="18"/>
                <w:lang w:val="en-PH" w:eastAsia="en-PH"/>
              </w:rPr>
            </w:pPr>
          </w:p>
        </w:tc>
        <w:tc>
          <w:tcPr>
            <w:tcW w:w="264" w:type="dxa"/>
            <w:tcBorders>
              <w:top w:val="nil"/>
              <w:left w:val="nil"/>
              <w:bottom w:val="nil"/>
              <w:right w:val="nil"/>
            </w:tcBorders>
            <w:shd w:val="clear" w:color="auto" w:fill="auto"/>
            <w:noWrap/>
            <w:hideMark/>
          </w:tcPr>
          <w:p w14:paraId="41FA184E" w14:textId="77777777" w:rsidR="00B572B8" w:rsidRPr="009E35ED" w:rsidRDefault="00B572B8" w:rsidP="00B572B8">
            <w:pPr>
              <w:ind w:left="0"/>
              <w:jc w:val="left"/>
              <w:rPr>
                <w:rFonts w:ascii="Arial Narrow" w:hAnsi="Arial Narrow"/>
                <w:color w:val="000000" w:themeColor="text1"/>
                <w:sz w:val="18"/>
                <w:szCs w:val="18"/>
                <w:lang w:val="en-PH" w:eastAsia="en-PH"/>
              </w:rPr>
            </w:pPr>
          </w:p>
        </w:tc>
        <w:tc>
          <w:tcPr>
            <w:tcW w:w="2862" w:type="dxa"/>
            <w:tcBorders>
              <w:top w:val="nil"/>
              <w:left w:val="nil"/>
              <w:bottom w:val="nil"/>
              <w:right w:val="nil"/>
            </w:tcBorders>
            <w:shd w:val="clear" w:color="auto" w:fill="auto"/>
            <w:noWrap/>
            <w:vAlign w:val="bottom"/>
            <w:hideMark/>
          </w:tcPr>
          <w:p w14:paraId="328336F0" w14:textId="74435149" w:rsidR="00B572B8" w:rsidRPr="009E35ED" w:rsidRDefault="00B572B8" w:rsidP="00B572B8">
            <w:pPr>
              <w:ind w:left="0"/>
              <w:jc w:val="left"/>
              <w:rPr>
                <w:rFonts w:ascii="Arial Narrow" w:hAnsi="Arial Narrow" w:cs="Arial"/>
                <w:color w:val="000000" w:themeColor="text1"/>
                <w:sz w:val="18"/>
                <w:szCs w:val="18"/>
                <w:lang w:val="en-PH" w:eastAsia="en-PH"/>
              </w:rPr>
            </w:pPr>
            <w:r w:rsidRPr="009E35ED">
              <w:rPr>
                <w:rFonts w:ascii="Arial Narrow" w:hAnsi="Arial Narrow" w:cs="Arial"/>
                <w:color w:val="000000" w:themeColor="text1"/>
                <w:sz w:val="18"/>
                <w:szCs w:val="18"/>
                <w:lang w:val="en-PH" w:eastAsia="en-PH"/>
              </w:rPr>
              <w:t xml:space="preserve">Interest </w:t>
            </w:r>
            <w:r w:rsidR="00F93FBC">
              <w:rPr>
                <w:rFonts w:ascii="Arial Narrow" w:hAnsi="Arial Narrow" w:cs="Arial"/>
                <w:color w:val="000000" w:themeColor="text1"/>
                <w:sz w:val="18"/>
                <w:szCs w:val="18"/>
                <w:lang w:val="en-PH" w:eastAsia="en-PH"/>
              </w:rPr>
              <w:t>i</w:t>
            </w:r>
            <w:r w:rsidRPr="009E35ED">
              <w:rPr>
                <w:rFonts w:ascii="Arial Narrow" w:hAnsi="Arial Narrow" w:cs="Arial"/>
                <w:color w:val="000000" w:themeColor="text1"/>
                <w:sz w:val="18"/>
                <w:szCs w:val="18"/>
                <w:lang w:val="en-PH" w:eastAsia="en-PH"/>
              </w:rPr>
              <w:t>ncome</w:t>
            </w:r>
          </w:p>
        </w:tc>
        <w:tc>
          <w:tcPr>
            <w:tcW w:w="1596" w:type="dxa"/>
            <w:tcBorders>
              <w:top w:val="nil"/>
              <w:left w:val="nil"/>
              <w:bottom w:val="nil"/>
              <w:right w:val="nil"/>
            </w:tcBorders>
            <w:shd w:val="clear" w:color="auto" w:fill="auto"/>
            <w:noWrap/>
          </w:tcPr>
          <w:p w14:paraId="6EDF5D6A" w14:textId="230DBF40" w:rsidR="00B572B8" w:rsidRPr="009E35ED" w:rsidRDefault="00B572B8" w:rsidP="00170BED">
            <w:pPr>
              <w:ind w:left="0"/>
              <w:jc w:val="right"/>
              <w:rPr>
                <w:rFonts w:ascii="Arial Narrow" w:hAnsi="Arial Narrow" w:cs="Arial"/>
                <w:color w:val="000000" w:themeColor="text1"/>
                <w:sz w:val="18"/>
                <w:szCs w:val="18"/>
                <w:lang w:val="en-PH" w:eastAsia="en-PH"/>
              </w:rPr>
            </w:pPr>
            <w:r w:rsidRPr="009E35ED">
              <w:rPr>
                <w:rFonts w:ascii="Arial Narrow" w:hAnsi="Arial Narrow"/>
                <w:color w:val="000000" w:themeColor="text1"/>
                <w:sz w:val="18"/>
                <w:szCs w:val="18"/>
              </w:rPr>
              <w:t xml:space="preserve"> 71,</w:t>
            </w:r>
            <w:r w:rsidR="00170BED" w:rsidRPr="009E35ED">
              <w:rPr>
                <w:rFonts w:ascii="Arial Narrow" w:hAnsi="Arial Narrow"/>
                <w:color w:val="000000" w:themeColor="text1"/>
                <w:sz w:val="18"/>
                <w:szCs w:val="18"/>
              </w:rPr>
              <w:t>514</w:t>
            </w:r>
            <w:r w:rsidRPr="009E35ED">
              <w:rPr>
                <w:rFonts w:ascii="Arial Narrow" w:hAnsi="Arial Narrow"/>
                <w:color w:val="000000" w:themeColor="text1"/>
                <w:sz w:val="18"/>
                <w:szCs w:val="18"/>
              </w:rPr>
              <w:t>,3</w:t>
            </w:r>
            <w:r w:rsidR="00170BED" w:rsidRPr="009E35ED">
              <w:rPr>
                <w:rFonts w:ascii="Arial Narrow" w:hAnsi="Arial Narrow"/>
                <w:color w:val="000000" w:themeColor="text1"/>
                <w:sz w:val="18"/>
                <w:szCs w:val="18"/>
              </w:rPr>
              <w:t>91</w:t>
            </w:r>
            <w:r w:rsidRPr="009E35ED">
              <w:rPr>
                <w:rFonts w:ascii="Arial Narrow" w:hAnsi="Arial Narrow"/>
                <w:color w:val="000000" w:themeColor="text1"/>
                <w:sz w:val="18"/>
                <w:szCs w:val="18"/>
              </w:rPr>
              <w:t xml:space="preserve"> </w:t>
            </w:r>
          </w:p>
        </w:tc>
        <w:tc>
          <w:tcPr>
            <w:tcW w:w="1716" w:type="dxa"/>
            <w:tcBorders>
              <w:top w:val="nil"/>
              <w:left w:val="nil"/>
              <w:bottom w:val="nil"/>
              <w:right w:val="nil"/>
            </w:tcBorders>
            <w:shd w:val="clear" w:color="auto" w:fill="auto"/>
            <w:noWrap/>
          </w:tcPr>
          <w:p w14:paraId="0A0FAF9C" w14:textId="7B474254" w:rsidR="00B572B8" w:rsidRPr="009E35ED" w:rsidRDefault="00B572B8" w:rsidP="00170BED">
            <w:pPr>
              <w:ind w:left="0"/>
              <w:jc w:val="right"/>
              <w:rPr>
                <w:rFonts w:ascii="Arial Narrow" w:hAnsi="Arial Narrow" w:cs="Arial"/>
                <w:color w:val="000000" w:themeColor="text1"/>
                <w:sz w:val="18"/>
                <w:szCs w:val="18"/>
                <w:lang w:val="en-PH" w:eastAsia="en-PH"/>
              </w:rPr>
            </w:pPr>
            <w:r w:rsidRPr="009E35ED">
              <w:rPr>
                <w:rFonts w:ascii="Arial Narrow" w:hAnsi="Arial Narrow"/>
                <w:color w:val="000000" w:themeColor="text1"/>
                <w:sz w:val="18"/>
                <w:szCs w:val="18"/>
              </w:rPr>
              <w:t xml:space="preserve"> 49,</w:t>
            </w:r>
            <w:r w:rsidR="00170BED" w:rsidRPr="009E35ED">
              <w:rPr>
                <w:rFonts w:ascii="Arial Narrow" w:hAnsi="Arial Narrow"/>
                <w:color w:val="000000" w:themeColor="text1"/>
                <w:sz w:val="18"/>
                <w:szCs w:val="18"/>
              </w:rPr>
              <w:t>724,000</w:t>
            </w:r>
            <w:r w:rsidRPr="009E35ED">
              <w:rPr>
                <w:rFonts w:ascii="Arial Narrow" w:hAnsi="Arial Narrow"/>
                <w:color w:val="000000" w:themeColor="text1"/>
                <w:sz w:val="18"/>
                <w:szCs w:val="18"/>
              </w:rPr>
              <w:t xml:space="preserve"> </w:t>
            </w:r>
          </w:p>
        </w:tc>
        <w:tc>
          <w:tcPr>
            <w:tcW w:w="1425" w:type="dxa"/>
            <w:tcBorders>
              <w:top w:val="nil"/>
              <w:left w:val="nil"/>
              <w:bottom w:val="nil"/>
              <w:right w:val="nil"/>
            </w:tcBorders>
            <w:shd w:val="clear" w:color="auto" w:fill="auto"/>
            <w:noWrap/>
          </w:tcPr>
          <w:p w14:paraId="16D0B024" w14:textId="300FA98D" w:rsidR="00B572B8" w:rsidRPr="009E35ED" w:rsidRDefault="00B572B8" w:rsidP="00170BED">
            <w:pPr>
              <w:ind w:left="0"/>
              <w:jc w:val="right"/>
              <w:rPr>
                <w:rFonts w:ascii="Arial Narrow" w:hAnsi="Arial Narrow" w:cs="Arial"/>
                <w:color w:val="000000" w:themeColor="text1"/>
                <w:sz w:val="18"/>
                <w:szCs w:val="18"/>
                <w:lang w:val="en-PH" w:eastAsia="en-PH"/>
              </w:rPr>
            </w:pPr>
            <w:r w:rsidRPr="009E35ED">
              <w:rPr>
                <w:rFonts w:ascii="Arial Narrow" w:hAnsi="Arial Narrow"/>
                <w:color w:val="000000" w:themeColor="text1"/>
                <w:sz w:val="18"/>
                <w:szCs w:val="18"/>
              </w:rPr>
              <w:t xml:space="preserve"> 2,5</w:t>
            </w:r>
            <w:r w:rsidR="00170BED" w:rsidRPr="009E35ED">
              <w:rPr>
                <w:rFonts w:ascii="Arial Narrow" w:hAnsi="Arial Narrow"/>
                <w:color w:val="000000" w:themeColor="text1"/>
                <w:sz w:val="18"/>
                <w:szCs w:val="18"/>
              </w:rPr>
              <w:t>06</w:t>
            </w:r>
            <w:r w:rsidRPr="009E35ED">
              <w:rPr>
                <w:rFonts w:ascii="Arial Narrow" w:hAnsi="Arial Narrow"/>
                <w:color w:val="000000" w:themeColor="text1"/>
                <w:sz w:val="18"/>
                <w:szCs w:val="18"/>
              </w:rPr>
              <w:t>,</w:t>
            </w:r>
            <w:r w:rsidR="00170BED" w:rsidRPr="009E35ED">
              <w:rPr>
                <w:rFonts w:ascii="Arial Narrow" w:hAnsi="Arial Narrow"/>
                <w:color w:val="000000" w:themeColor="text1"/>
                <w:sz w:val="18"/>
                <w:szCs w:val="18"/>
              </w:rPr>
              <w:t>126</w:t>
            </w:r>
            <w:r w:rsidRPr="009E35ED">
              <w:rPr>
                <w:rFonts w:ascii="Arial Narrow" w:hAnsi="Arial Narrow"/>
                <w:color w:val="000000" w:themeColor="text1"/>
                <w:sz w:val="18"/>
                <w:szCs w:val="18"/>
              </w:rPr>
              <w:t xml:space="preserve"> </w:t>
            </w:r>
          </w:p>
        </w:tc>
        <w:tc>
          <w:tcPr>
            <w:tcW w:w="1243" w:type="dxa"/>
            <w:tcBorders>
              <w:top w:val="nil"/>
              <w:left w:val="nil"/>
              <w:bottom w:val="nil"/>
              <w:right w:val="nil"/>
            </w:tcBorders>
            <w:shd w:val="clear" w:color="auto" w:fill="auto"/>
            <w:noWrap/>
          </w:tcPr>
          <w:p w14:paraId="5F021EF5" w14:textId="001A89ED" w:rsidR="00B572B8" w:rsidRPr="009E35ED" w:rsidRDefault="00B572B8" w:rsidP="00170BED">
            <w:pPr>
              <w:ind w:left="0"/>
              <w:jc w:val="right"/>
              <w:rPr>
                <w:rFonts w:ascii="Arial Narrow" w:hAnsi="Arial Narrow" w:cs="Arial"/>
                <w:color w:val="000000" w:themeColor="text1"/>
                <w:sz w:val="18"/>
                <w:szCs w:val="18"/>
                <w:lang w:val="en-PH" w:eastAsia="en-PH"/>
              </w:rPr>
            </w:pPr>
            <w:r w:rsidRPr="009E35ED">
              <w:rPr>
                <w:rFonts w:ascii="Arial Narrow" w:hAnsi="Arial Narrow"/>
                <w:color w:val="000000" w:themeColor="text1"/>
                <w:sz w:val="18"/>
                <w:szCs w:val="18"/>
              </w:rPr>
              <w:t xml:space="preserve"> 123,744,5</w:t>
            </w:r>
            <w:r w:rsidR="00170BED" w:rsidRPr="009E35ED">
              <w:rPr>
                <w:rFonts w:ascii="Arial Narrow" w:hAnsi="Arial Narrow"/>
                <w:color w:val="000000" w:themeColor="text1"/>
                <w:sz w:val="18"/>
                <w:szCs w:val="18"/>
              </w:rPr>
              <w:t>17</w:t>
            </w:r>
            <w:r w:rsidRPr="009E35ED">
              <w:rPr>
                <w:rFonts w:ascii="Arial Narrow" w:hAnsi="Arial Narrow"/>
                <w:color w:val="000000" w:themeColor="text1"/>
                <w:sz w:val="18"/>
                <w:szCs w:val="18"/>
              </w:rPr>
              <w:t xml:space="preserve"> </w:t>
            </w:r>
          </w:p>
        </w:tc>
      </w:tr>
      <w:tr w:rsidR="00997F75" w:rsidRPr="009E35ED" w14:paraId="764A7518" w14:textId="77777777" w:rsidTr="00860ED6">
        <w:trPr>
          <w:trHeight w:val="193"/>
        </w:trPr>
        <w:tc>
          <w:tcPr>
            <w:tcW w:w="276" w:type="dxa"/>
            <w:tcBorders>
              <w:top w:val="nil"/>
              <w:left w:val="nil"/>
              <w:bottom w:val="nil"/>
              <w:right w:val="nil"/>
            </w:tcBorders>
            <w:shd w:val="clear" w:color="auto" w:fill="auto"/>
            <w:hideMark/>
          </w:tcPr>
          <w:p w14:paraId="1029D5AE" w14:textId="77777777" w:rsidR="001B5486" w:rsidRPr="009E35ED" w:rsidRDefault="001B5486" w:rsidP="001B5486">
            <w:pPr>
              <w:ind w:left="0"/>
              <w:jc w:val="left"/>
              <w:rPr>
                <w:rFonts w:ascii="Arial Narrow" w:hAnsi="Arial Narrow" w:cs="Arial"/>
                <w:color w:val="000000" w:themeColor="text1"/>
                <w:sz w:val="18"/>
                <w:szCs w:val="18"/>
                <w:lang w:val="en-PH" w:eastAsia="en-PH"/>
              </w:rPr>
            </w:pPr>
          </w:p>
        </w:tc>
        <w:tc>
          <w:tcPr>
            <w:tcW w:w="264" w:type="dxa"/>
            <w:tcBorders>
              <w:top w:val="nil"/>
              <w:left w:val="nil"/>
              <w:bottom w:val="nil"/>
              <w:right w:val="nil"/>
            </w:tcBorders>
            <w:shd w:val="clear" w:color="auto" w:fill="auto"/>
            <w:noWrap/>
            <w:vAlign w:val="bottom"/>
            <w:hideMark/>
          </w:tcPr>
          <w:p w14:paraId="2FF72DD5" w14:textId="77777777" w:rsidR="001B5486" w:rsidRPr="009E35ED" w:rsidRDefault="001B5486" w:rsidP="001B5486">
            <w:pPr>
              <w:ind w:left="0"/>
              <w:jc w:val="left"/>
              <w:rPr>
                <w:rFonts w:ascii="Arial Narrow" w:hAnsi="Arial Narrow"/>
                <w:color w:val="000000" w:themeColor="text1"/>
                <w:sz w:val="18"/>
                <w:szCs w:val="18"/>
                <w:lang w:val="en-PH" w:eastAsia="en-PH"/>
              </w:rPr>
            </w:pPr>
          </w:p>
        </w:tc>
        <w:tc>
          <w:tcPr>
            <w:tcW w:w="2862" w:type="dxa"/>
            <w:tcBorders>
              <w:top w:val="nil"/>
              <w:left w:val="nil"/>
              <w:bottom w:val="nil"/>
              <w:right w:val="nil"/>
            </w:tcBorders>
            <w:shd w:val="clear" w:color="auto" w:fill="auto"/>
            <w:hideMark/>
          </w:tcPr>
          <w:p w14:paraId="38A61201" w14:textId="66CCC5DF" w:rsidR="001B5486" w:rsidRPr="009E35ED" w:rsidRDefault="001B5486" w:rsidP="001B5486">
            <w:pPr>
              <w:ind w:left="0"/>
              <w:jc w:val="left"/>
              <w:rPr>
                <w:rFonts w:ascii="Arial Narrow" w:hAnsi="Arial Narrow" w:cs="Arial"/>
                <w:color w:val="000000" w:themeColor="text1"/>
                <w:sz w:val="18"/>
                <w:szCs w:val="18"/>
                <w:lang w:val="en-PH" w:eastAsia="en-PH"/>
              </w:rPr>
            </w:pPr>
            <w:r w:rsidRPr="009E35ED">
              <w:rPr>
                <w:rFonts w:ascii="Arial Narrow" w:hAnsi="Arial Narrow" w:cs="Arial"/>
                <w:color w:val="000000" w:themeColor="text1"/>
                <w:sz w:val="18"/>
                <w:szCs w:val="18"/>
                <w:lang w:val="en-PH" w:eastAsia="en-PH"/>
              </w:rPr>
              <w:t xml:space="preserve">Other </w:t>
            </w:r>
            <w:r w:rsidR="00F93FBC">
              <w:rPr>
                <w:rFonts w:ascii="Arial Narrow" w:hAnsi="Arial Narrow" w:cs="Arial"/>
                <w:color w:val="000000" w:themeColor="text1"/>
                <w:sz w:val="18"/>
                <w:szCs w:val="18"/>
                <w:lang w:val="en-PH" w:eastAsia="en-PH"/>
              </w:rPr>
              <w:t>b</w:t>
            </w:r>
            <w:r w:rsidRPr="009E35ED">
              <w:rPr>
                <w:rFonts w:ascii="Arial Narrow" w:hAnsi="Arial Narrow" w:cs="Arial"/>
                <w:color w:val="000000" w:themeColor="text1"/>
                <w:sz w:val="18"/>
                <w:szCs w:val="18"/>
                <w:lang w:val="en-PH" w:eastAsia="en-PH"/>
              </w:rPr>
              <w:t xml:space="preserve">usiness </w:t>
            </w:r>
            <w:r w:rsidR="00F93FBC">
              <w:rPr>
                <w:rFonts w:ascii="Arial Narrow" w:hAnsi="Arial Narrow" w:cs="Arial"/>
                <w:color w:val="000000" w:themeColor="text1"/>
                <w:sz w:val="18"/>
                <w:szCs w:val="18"/>
                <w:lang w:val="en-PH" w:eastAsia="en-PH"/>
              </w:rPr>
              <w:t>i</w:t>
            </w:r>
            <w:r w:rsidRPr="009E35ED">
              <w:rPr>
                <w:rFonts w:ascii="Arial Narrow" w:hAnsi="Arial Narrow" w:cs="Arial"/>
                <w:color w:val="000000" w:themeColor="text1"/>
                <w:sz w:val="18"/>
                <w:szCs w:val="18"/>
                <w:lang w:val="en-PH" w:eastAsia="en-PH"/>
              </w:rPr>
              <w:t>ncome</w:t>
            </w:r>
          </w:p>
        </w:tc>
        <w:tc>
          <w:tcPr>
            <w:tcW w:w="1596" w:type="dxa"/>
            <w:tcBorders>
              <w:top w:val="nil"/>
              <w:left w:val="nil"/>
              <w:bottom w:val="nil"/>
              <w:right w:val="nil"/>
            </w:tcBorders>
            <w:shd w:val="clear" w:color="auto" w:fill="auto"/>
          </w:tcPr>
          <w:p w14:paraId="560D9118" w14:textId="3BA06399" w:rsidR="001B5486" w:rsidRPr="009E35ED" w:rsidRDefault="00516DCF" w:rsidP="001B5486">
            <w:pPr>
              <w:ind w:left="0"/>
              <w:jc w:val="right"/>
              <w:rPr>
                <w:rFonts w:ascii="Arial Narrow" w:hAnsi="Arial Narrow" w:cs="Arial"/>
                <w:color w:val="000000" w:themeColor="text1"/>
                <w:sz w:val="18"/>
                <w:szCs w:val="18"/>
                <w:lang w:val="en-PH" w:eastAsia="en-PH"/>
              </w:rPr>
            </w:pPr>
            <w:r w:rsidRPr="009E35ED">
              <w:rPr>
                <w:rFonts w:ascii="Arial Narrow" w:hAnsi="Arial Narrow" w:cs="Arial"/>
                <w:color w:val="000000" w:themeColor="text1"/>
                <w:sz w:val="18"/>
                <w:szCs w:val="18"/>
                <w:lang w:val="en-PH" w:eastAsia="en-PH"/>
              </w:rPr>
              <w:t>-</w:t>
            </w:r>
          </w:p>
        </w:tc>
        <w:tc>
          <w:tcPr>
            <w:tcW w:w="1716" w:type="dxa"/>
            <w:tcBorders>
              <w:top w:val="nil"/>
              <w:left w:val="nil"/>
              <w:bottom w:val="nil"/>
              <w:right w:val="nil"/>
            </w:tcBorders>
            <w:shd w:val="clear" w:color="auto" w:fill="auto"/>
          </w:tcPr>
          <w:p w14:paraId="618432AA" w14:textId="7B937C8A" w:rsidR="001B5486" w:rsidRPr="009E35ED" w:rsidRDefault="00516DCF" w:rsidP="001B5486">
            <w:pPr>
              <w:ind w:left="0"/>
              <w:jc w:val="right"/>
              <w:rPr>
                <w:rFonts w:ascii="Arial Narrow" w:hAnsi="Arial Narrow" w:cs="Arial"/>
                <w:color w:val="000000" w:themeColor="text1"/>
                <w:sz w:val="18"/>
                <w:szCs w:val="18"/>
                <w:lang w:val="en-PH" w:eastAsia="en-PH"/>
              </w:rPr>
            </w:pPr>
            <w:r w:rsidRPr="009E35ED">
              <w:rPr>
                <w:rFonts w:ascii="Arial Narrow" w:hAnsi="Arial Narrow" w:cs="Arial"/>
                <w:color w:val="000000" w:themeColor="text1"/>
                <w:sz w:val="18"/>
                <w:szCs w:val="18"/>
                <w:lang w:val="en-PH" w:eastAsia="en-PH"/>
              </w:rPr>
              <w:t>-</w:t>
            </w:r>
          </w:p>
        </w:tc>
        <w:tc>
          <w:tcPr>
            <w:tcW w:w="1425" w:type="dxa"/>
            <w:tcBorders>
              <w:top w:val="nil"/>
              <w:left w:val="nil"/>
              <w:bottom w:val="nil"/>
              <w:right w:val="nil"/>
            </w:tcBorders>
            <w:shd w:val="clear" w:color="auto" w:fill="auto"/>
          </w:tcPr>
          <w:p w14:paraId="279881A5" w14:textId="7F011F69" w:rsidR="001B5486" w:rsidRPr="009E35ED" w:rsidRDefault="00516DCF" w:rsidP="001B5486">
            <w:pPr>
              <w:ind w:left="0"/>
              <w:jc w:val="right"/>
              <w:rPr>
                <w:rFonts w:ascii="Arial Narrow" w:hAnsi="Arial Narrow" w:cs="Arial"/>
                <w:color w:val="000000" w:themeColor="text1"/>
                <w:sz w:val="18"/>
                <w:szCs w:val="18"/>
                <w:lang w:val="en-PH" w:eastAsia="en-PH"/>
              </w:rPr>
            </w:pPr>
            <w:r w:rsidRPr="009E35ED">
              <w:rPr>
                <w:rFonts w:ascii="Arial Narrow" w:hAnsi="Arial Narrow" w:cs="Arial"/>
                <w:color w:val="000000" w:themeColor="text1"/>
                <w:sz w:val="18"/>
                <w:szCs w:val="18"/>
                <w:lang w:val="en-PH" w:eastAsia="en-PH"/>
              </w:rPr>
              <w:t>-</w:t>
            </w:r>
          </w:p>
        </w:tc>
        <w:tc>
          <w:tcPr>
            <w:tcW w:w="1243" w:type="dxa"/>
            <w:tcBorders>
              <w:top w:val="nil"/>
              <w:left w:val="nil"/>
              <w:bottom w:val="nil"/>
              <w:right w:val="nil"/>
            </w:tcBorders>
            <w:shd w:val="clear" w:color="auto" w:fill="auto"/>
            <w:noWrap/>
            <w:vAlign w:val="bottom"/>
          </w:tcPr>
          <w:p w14:paraId="20B26146" w14:textId="50C59774" w:rsidR="001B5486" w:rsidRPr="009E35ED" w:rsidRDefault="00EC2A5F" w:rsidP="001B5486">
            <w:pPr>
              <w:ind w:left="0"/>
              <w:jc w:val="right"/>
              <w:rPr>
                <w:rFonts w:ascii="Arial Narrow" w:hAnsi="Arial Narrow" w:cs="Arial"/>
                <w:color w:val="000000" w:themeColor="text1"/>
                <w:sz w:val="18"/>
                <w:szCs w:val="18"/>
                <w:lang w:val="en-PH" w:eastAsia="en-PH"/>
              </w:rPr>
            </w:pPr>
            <w:r w:rsidRPr="009E35ED">
              <w:rPr>
                <w:rFonts w:ascii="Arial Narrow" w:hAnsi="Arial Narrow" w:cs="Arial"/>
                <w:color w:val="000000" w:themeColor="text1"/>
                <w:sz w:val="18"/>
                <w:szCs w:val="18"/>
                <w:lang w:val="en-PH" w:eastAsia="en-PH"/>
              </w:rPr>
              <w:t>-</w:t>
            </w:r>
          </w:p>
        </w:tc>
      </w:tr>
      <w:tr w:rsidR="00997F75" w:rsidRPr="009E35ED" w14:paraId="77D00A52" w14:textId="77777777" w:rsidTr="00860ED6">
        <w:trPr>
          <w:trHeight w:val="203"/>
        </w:trPr>
        <w:tc>
          <w:tcPr>
            <w:tcW w:w="276" w:type="dxa"/>
            <w:tcBorders>
              <w:top w:val="single" w:sz="4" w:space="0" w:color="auto"/>
              <w:left w:val="nil"/>
              <w:bottom w:val="single" w:sz="4" w:space="0" w:color="auto"/>
              <w:right w:val="nil"/>
            </w:tcBorders>
            <w:shd w:val="clear" w:color="auto" w:fill="auto"/>
            <w:noWrap/>
            <w:vAlign w:val="bottom"/>
            <w:hideMark/>
          </w:tcPr>
          <w:p w14:paraId="217B228A" w14:textId="77777777" w:rsidR="001B5486" w:rsidRPr="009E35ED" w:rsidRDefault="001B5486" w:rsidP="001B5486">
            <w:pPr>
              <w:ind w:left="0"/>
              <w:jc w:val="left"/>
              <w:rPr>
                <w:rFonts w:ascii="Arial Narrow" w:hAnsi="Arial Narrow" w:cs="Arial"/>
                <w:color w:val="000000" w:themeColor="text1"/>
                <w:sz w:val="18"/>
                <w:szCs w:val="18"/>
                <w:lang w:val="en-PH" w:eastAsia="en-PH"/>
              </w:rPr>
            </w:pPr>
            <w:r w:rsidRPr="009E35ED">
              <w:rPr>
                <w:rFonts w:ascii="Arial Narrow" w:hAnsi="Arial Narrow" w:cs="Arial"/>
                <w:color w:val="000000" w:themeColor="text1"/>
                <w:sz w:val="18"/>
                <w:szCs w:val="18"/>
                <w:lang w:val="en-PH" w:eastAsia="en-PH"/>
              </w:rPr>
              <w:t> </w:t>
            </w:r>
          </w:p>
        </w:tc>
        <w:tc>
          <w:tcPr>
            <w:tcW w:w="264" w:type="dxa"/>
            <w:tcBorders>
              <w:top w:val="single" w:sz="4" w:space="0" w:color="auto"/>
              <w:left w:val="nil"/>
              <w:bottom w:val="single" w:sz="4" w:space="0" w:color="auto"/>
              <w:right w:val="nil"/>
            </w:tcBorders>
            <w:shd w:val="clear" w:color="auto" w:fill="auto"/>
            <w:noWrap/>
            <w:vAlign w:val="bottom"/>
            <w:hideMark/>
          </w:tcPr>
          <w:p w14:paraId="0BE8D5B0" w14:textId="77777777" w:rsidR="001B5486" w:rsidRPr="009E35ED" w:rsidRDefault="001B5486" w:rsidP="001B5486">
            <w:pPr>
              <w:ind w:left="0"/>
              <w:jc w:val="left"/>
              <w:rPr>
                <w:rFonts w:ascii="Arial Narrow" w:hAnsi="Arial Narrow" w:cs="Arial"/>
                <w:color w:val="000000" w:themeColor="text1"/>
                <w:sz w:val="18"/>
                <w:szCs w:val="18"/>
                <w:lang w:val="en-PH" w:eastAsia="en-PH"/>
              </w:rPr>
            </w:pPr>
            <w:r w:rsidRPr="009E35ED">
              <w:rPr>
                <w:rFonts w:ascii="Arial Narrow" w:hAnsi="Arial Narrow" w:cs="Arial"/>
                <w:color w:val="000000" w:themeColor="text1"/>
                <w:sz w:val="18"/>
                <w:szCs w:val="18"/>
                <w:lang w:val="en-PH" w:eastAsia="en-PH"/>
              </w:rPr>
              <w:t> </w:t>
            </w:r>
          </w:p>
        </w:tc>
        <w:tc>
          <w:tcPr>
            <w:tcW w:w="2862" w:type="dxa"/>
            <w:tcBorders>
              <w:top w:val="single" w:sz="4" w:space="0" w:color="auto"/>
              <w:left w:val="nil"/>
              <w:bottom w:val="single" w:sz="4" w:space="0" w:color="auto"/>
              <w:right w:val="nil"/>
            </w:tcBorders>
            <w:shd w:val="clear" w:color="auto" w:fill="auto"/>
            <w:noWrap/>
            <w:vAlign w:val="bottom"/>
            <w:hideMark/>
          </w:tcPr>
          <w:p w14:paraId="7E5A7456" w14:textId="77777777" w:rsidR="001B5486" w:rsidRPr="009E35ED" w:rsidRDefault="001B5486" w:rsidP="001B5486">
            <w:pPr>
              <w:ind w:left="0"/>
              <w:jc w:val="left"/>
              <w:rPr>
                <w:rFonts w:ascii="Arial Narrow" w:hAnsi="Arial Narrow" w:cs="Arial"/>
                <w:b/>
                <w:bCs/>
                <w:color w:val="000000" w:themeColor="text1"/>
                <w:sz w:val="18"/>
                <w:szCs w:val="18"/>
                <w:lang w:val="en-PH" w:eastAsia="en-PH"/>
              </w:rPr>
            </w:pPr>
            <w:r w:rsidRPr="009E35ED">
              <w:rPr>
                <w:rFonts w:ascii="Arial Narrow" w:hAnsi="Arial Narrow" w:cs="Arial"/>
                <w:b/>
                <w:bCs/>
                <w:color w:val="000000" w:themeColor="text1"/>
                <w:sz w:val="18"/>
                <w:szCs w:val="18"/>
                <w:lang w:val="en-PH" w:eastAsia="en-PH"/>
              </w:rPr>
              <w:t>Total Business Income</w:t>
            </w:r>
          </w:p>
        </w:tc>
        <w:tc>
          <w:tcPr>
            <w:tcW w:w="1596" w:type="dxa"/>
            <w:tcBorders>
              <w:top w:val="single" w:sz="4" w:space="0" w:color="auto"/>
              <w:left w:val="nil"/>
              <w:bottom w:val="single" w:sz="4" w:space="0" w:color="auto"/>
              <w:right w:val="nil"/>
            </w:tcBorders>
            <w:shd w:val="clear" w:color="auto" w:fill="auto"/>
            <w:noWrap/>
            <w:vAlign w:val="bottom"/>
          </w:tcPr>
          <w:p w14:paraId="6F2DF84E" w14:textId="7656082F" w:rsidR="001B5486" w:rsidRPr="009E35ED" w:rsidRDefault="008032D7" w:rsidP="00170BED">
            <w:pPr>
              <w:ind w:left="0"/>
              <w:jc w:val="right"/>
              <w:rPr>
                <w:rFonts w:ascii="Arial Narrow" w:hAnsi="Arial Narrow" w:cs="Arial"/>
                <w:b/>
                <w:bCs/>
                <w:color w:val="000000" w:themeColor="text1"/>
                <w:sz w:val="18"/>
                <w:szCs w:val="18"/>
                <w:lang w:val="en-PH" w:eastAsia="en-PH"/>
              </w:rPr>
            </w:pPr>
            <w:r w:rsidRPr="009E35ED">
              <w:rPr>
                <w:rFonts w:ascii="Arial Narrow" w:hAnsi="Arial Narrow" w:cs="Arial"/>
                <w:b/>
                <w:bCs/>
                <w:color w:val="000000" w:themeColor="text1"/>
                <w:sz w:val="18"/>
                <w:szCs w:val="18"/>
                <w:lang w:val="en-PH" w:eastAsia="en-PH"/>
              </w:rPr>
              <w:t>9,669,6</w:t>
            </w:r>
            <w:r w:rsidR="00170BED" w:rsidRPr="009E35ED">
              <w:rPr>
                <w:rFonts w:ascii="Arial Narrow" w:hAnsi="Arial Narrow" w:cs="Arial"/>
                <w:b/>
                <w:bCs/>
                <w:color w:val="000000" w:themeColor="text1"/>
                <w:sz w:val="18"/>
                <w:szCs w:val="18"/>
                <w:lang w:val="en-PH" w:eastAsia="en-PH"/>
              </w:rPr>
              <w:t>30</w:t>
            </w:r>
            <w:r w:rsidRPr="009E35ED">
              <w:rPr>
                <w:rFonts w:ascii="Arial Narrow" w:hAnsi="Arial Narrow" w:cs="Arial"/>
                <w:b/>
                <w:bCs/>
                <w:color w:val="000000" w:themeColor="text1"/>
                <w:sz w:val="18"/>
                <w:szCs w:val="18"/>
                <w:lang w:val="en-PH" w:eastAsia="en-PH"/>
              </w:rPr>
              <w:t>,</w:t>
            </w:r>
            <w:r w:rsidR="00170BED" w:rsidRPr="009E35ED">
              <w:rPr>
                <w:rFonts w:ascii="Arial Narrow" w:hAnsi="Arial Narrow" w:cs="Arial"/>
                <w:b/>
                <w:bCs/>
                <w:color w:val="000000" w:themeColor="text1"/>
                <w:sz w:val="18"/>
                <w:szCs w:val="18"/>
                <w:lang w:val="en-PH" w:eastAsia="en-PH"/>
              </w:rPr>
              <w:t>900</w:t>
            </w:r>
          </w:p>
        </w:tc>
        <w:tc>
          <w:tcPr>
            <w:tcW w:w="1716" w:type="dxa"/>
            <w:tcBorders>
              <w:top w:val="single" w:sz="4" w:space="0" w:color="auto"/>
              <w:left w:val="nil"/>
              <w:bottom w:val="single" w:sz="4" w:space="0" w:color="auto"/>
              <w:right w:val="nil"/>
            </w:tcBorders>
            <w:shd w:val="clear" w:color="auto" w:fill="auto"/>
            <w:noWrap/>
            <w:vAlign w:val="bottom"/>
          </w:tcPr>
          <w:p w14:paraId="519BCC49" w14:textId="107585EB" w:rsidR="001B5486" w:rsidRPr="009E35ED" w:rsidRDefault="00375D49" w:rsidP="00170BED">
            <w:pPr>
              <w:ind w:left="0"/>
              <w:jc w:val="right"/>
              <w:rPr>
                <w:rFonts w:ascii="Arial Narrow" w:hAnsi="Arial Narrow" w:cs="Arial"/>
                <w:b/>
                <w:bCs/>
                <w:color w:val="000000" w:themeColor="text1"/>
                <w:sz w:val="18"/>
                <w:szCs w:val="18"/>
                <w:lang w:val="en-PH" w:eastAsia="en-PH"/>
              </w:rPr>
            </w:pPr>
            <w:r w:rsidRPr="009E35ED">
              <w:rPr>
                <w:rFonts w:ascii="Arial Narrow" w:hAnsi="Arial Narrow" w:cs="Arial"/>
                <w:b/>
                <w:bCs/>
                <w:color w:val="000000" w:themeColor="text1"/>
                <w:sz w:val="18"/>
                <w:szCs w:val="18"/>
                <w:lang w:val="en-PH" w:eastAsia="en-PH"/>
              </w:rPr>
              <w:t>16,947,6</w:t>
            </w:r>
            <w:r w:rsidR="00170BED" w:rsidRPr="009E35ED">
              <w:rPr>
                <w:rFonts w:ascii="Arial Narrow" w:hAnsi="Arial Narrow" w:cs="Arial"/>
                <w:b/>
                <w:bCs/>
                <w:color w:val="000000" w:themeColor="text1"/>
                <w:sz w:val="18"/>
                <w:szCs w:val="18"/>
                <w:lang w:val="en-PH" w:eastAsia="en-PH"/>
              </w:rPr>
              <w:t>83,094</w:t>
            </w:r>
          </w:p>
        </w:tc>
        <w:tc>
          <w:tcPr>
            <w:tcW w:w="1425" w:type="dxa"/>
            <w:tcBorders>
              <w:top w:val="single" w:sz="4" w:space="0" w:color="auto"/>
              <w:left w:val="nil"/>
              <w:bottom w:val="single" w:sz="4" w:space="0" w:color="auto"/>
              <w:right w:val="nil"/>
            </w:tcBorders>
            <w:shd w:val="clear" w:color="auto" w:fill="auto"/>
            <w:noWrap/>
            <w:vAlign w:val="bottom"/>
          </w:tcPr>
          <w:p w14:paraId="60F8E169" w14:textId="3DF3227A" w:rsidR="001B5486" w:rsidRPr="009E35ED" w:rsidRDefault="001959DA" w:rsidP="00170BED">
            <w:pPr>
              <w:ind w:left="0"/>
              <w:jc w:val="right"/>
              <w:rPr>
                <w:rFonts w:ascii="Arial Narrow" w:hAnsi="Arial Narrow" w:cs="Arial"/>
                <w:b/>
                <w:bCs/>
                <w:color w:val="000000" w:themeColor="text1"/>
                <w:sz w:val="18"/>
                <w:szCs w:val="18"/>
                <w:lang w:val="en-PH" w:eastAsia="en-PH"/>
              </w:rPr>
            </w:pPr>
            <w:r w:rsidRPr="009E35ED">
              <w:rPr>
                <w:rFonts w:ascii="Arial Narrow" w:hAnsi="Arial Narrow" w:cs="Arial"/>
                <w:b/>
                <w:bCs/>
                <w:color w:val="000000" w:themeColor="text1"/>
                <w:sz w:val="18"/>
                <w:szCs w:val="18"/>
                <w:lang w:val="en-PH" w:eastAsia="en-PH"/>
              </w:rPr>
              <w:t>30,977,6</w:t>
            </w:r>
            <w:r w:rsidR="00170BED" w:rsidRPr="009E35ED">
              <w:rPr>
                <w:rFonts w:ascii="Arial Narrow" w:hAnsi="Arial Narrow" w:cs="Arial"/>
                <w:b/>
                <w:bCs/>
                <w:color w:val="000000" w:themeColor="text1"/>
                <w:sz w:val="18"/>
                <w:szCs w:val="18"/>
                <w:lang w:val="en-PH" w:eastAsia="en-PH"/>
              </w:rPr>
              <w:t>47,874</w:t>
            </w:r>
          </w:p>
        </w:tc>
        <w:tc>
          <w:tcPr>
            <w:tcW w:w="1243" w:type="dxa"/>
            <w:tcBorders>
              <w:top w:val="single" w:sz="4" w:space="0" w:color="auto"/>
              <w:left w:val="nil"/>
              <w:bottom w:val="single" w:sz="4" w:space="0" w:color="auto"/>
              <w:right w:val="nil"/>
            </w:tcBorders>
            <w:shd w:val="clear" w:color="auto" w:fill="auto"/>
            <w:noWrap/>
            <w:vAlign w:val="bottom"/>
          </w:tcPr>
          <w:p w14:paraId="46EC71A1" w14:textId="027F2FE6" w:rsidR="001B5486" w:rsidRPr="009E35ED" w:rsidRDefault="0057531D" w:rsidP="00170BED">
            <w:pPr>
              <w:ind w:left="0"/>
              <w:jc w:val="right"/>
              <w:rPr>
                <w:rFonts w:ascii="Arial Narrow" w:hAnsi="Arial Narrow" w:cs="Arial"/>
                <w:b/>
                <w:bCs/>
                <w:color w:val="000000" w:themeColor="text1"/>
                <w:sz w:val="18"/>
                <w:szCs w:val="18"/>
                <w:lang w:val="en-PH" w:eastAsia="en-PH"/>
              </w:rPr>
            </w:pPr>
            <w:r w:rsidRPr="009E35ED">
              <w:rPr>
                <w:rFonts w:ascii="Arial Narrow" w:hAnsi="Arial Narrow" w:cs="Arial"/>
                <w:b/>
                <w:bCs/>
                <w:color w:val="000000" w:themeColor="text1"/>
                <w:sz w:val="18"/>
                <w:szCs w:val="18"/>
                <w:lang w:val="en-PH" w:eastAsia="en-PH"/>
              </w:rPr>
              <w:t>57,594,961,8</w:t>
            </w:r>
            <w:r w:rsidR="00170BED" w:rsidRPr="009E35ED">
              <w:rPr>
                <w:rFonts w:ascii="Arial Narrow" w:hAnsi="Arial Narrow" w:cs="Arial"/>
                <w:b/>
                <w:bCs/>
                <w:color w:val="000000" w:themeColor="text1"/>
                <w:sz w:val="18"/>
                <w:szCs w:val="18"/>
                <w:lang w:val="en-PH" w:eastAsia="en-PH"/>
              </w:rPr>
              <w:t>68</w:t>
            </w:r>
          </w:p>
        </w:tc>
      </w:tr>
      <w:tr w:rsidR="00997F75" w:rsidRPr="009E35ED" w14:paraId="2AACB0E0" w14:textId="77777777" w:rsidTr="00860ED6">
        <w:trPr>
          <w:trHeight w:val="213"/>
        </w:trPr>
        <w:tc>
          <w:tcPr>
            <w:tcW w:w="3402" w:type="dxa"/>
            <w:gridSpan w:val="3"/>
            <w:tcBorders>
              <w:top w:val="single" w:sz="4" w:space="0" w:color="auto"/>
              <w:left w:val="nil"/>
              <w:bottom w:val="single" w:sz="8" w:space="0" w:color="auto"/>
              <w:right w:val="nil"/>
            </w:tcBorders>
            <w:shd w:val="clear" w:color="auto" w:fill="auto"/>
            <w:noWrap/>
            <w:vAlign w:val="bottom"/>
            <w:hideMark/>
          </w:tcPr>
          <w:p w14:paraId="0328EE05" w14:textId="77777777" w:rsidR="00780764" w:rsidRPr="009E35ED" w:rsidRDefault="00780764" w:rsidP="00780764">
            <w:pPr>
              <w:ind w:left="0"/>
              <w:jc w:val="left"/>
              <w:rPr>
                <w:rFonts w:ascii="Arial Narrow" w:hAnsi="Arial Narrow" w:cs="Arial"/>
                <w:b/>
                <w:bCs/>
                <w:color w:val="000000" w:themeColor="text1"/>
                <w:sz w:val="18"/>
                <w:szCs w:val="18"/>
                <w:lang w:val="en-PH" w:eastAsia="en-PH"/>
              </w:rPr>
            </w:pPr>
            <w:r w:rsidRPr="009E35ED">
              <w:rPr>
                <w:rFonts w:ascii="Arial Narrow" w:hAnsi="Arial Narrow" w:cs="Arial"/>
                <w:b/>
                <w:bCs/>
                <w:color w:val="000000" w:themeColor="text1"/>
                <w:sz w:val="18"/>
                <w:szCs w:val="18"/>
                <w:lang w:val="en-PH" w:eastAsia="en-PH"/>
              </w:rPr>
              <w:t>Total Service and Business Income</w:t>
            </w:r>
          </w:p>
        </w:tc>
        <w:tc>
          <w:tcPr>
            <w:tcW w:w="1596" w:type="dxa"/>
            <w:tcBorders>
              <w:top w:val="nil"/>
              <w:left w:val="nil"/>
              <w:bottom w:val="single" w:sz="8" w:space="0" w:color="auto"/>
              <w:right w:val="nil"/>
            </w:tcBorders>
            <w:shd w:val="clear" w:color="auto" w:fill="auto"/>
            <w:noWrap/>
            <w:vAlign w:val="bottom"/>
          </w:tcPr>
          <w:p w14:paraId="543FDD9A" w14:textId="1F71FF64" w:rsidR="00780764" w:rsidRPr="009E35ED" w:rsidRDefault="00375D49" w:rsidP="00170BED">
            <w:pPr>
              <w:ind w:left="0"/>
              <w:jc w:val="right"/>
              <w:rPr>
                <w:rFonts w:ascii="Arial Narrow" w:hAnsi="Arial Narrow" w:cs="Arial"/>
                <w:b/>
                <w:bCs/>
                <w:color w:val="000000" w:themeColor="text1"/>
                <w:sz w:val="18"/>
                <w:szCs w:val="18"/>
                <w:lang w:val="en-PH" w:eastAsia="en-PH"/>
              </w:rPr>
            </w:pPr>
            <w:r w:rsidRPr="009E35ED">
              <w:rPr>
                <w:rFonts w:ascii="Arial Narrow" w:hAnsi="Arial Narrow" w:cs="Arial"/>
                <w:b/>
                <w:bCs/>
                <w:color w:val="000000" w:themeColor="text1"/>
                <w:sz w:val="18"/>
                <w:szCs w:val="18"/>
                <w:lang w:val="en-PH" w:eastAsia="en-PH"/>
              </w:rPr>
              <w:t>9,809,8</w:t>
            </w:r>
            <w:r w:rsidR="00170BED" w:rsidRPr="009E35ED">
              <w:rPr>
                <w:rFonts w:ascii="Arial Narrow" w:hAnsi="Arial Narrow" w:cs="Arial"/>
                <w:b/>
                <w:bCs/>
                <w:color w:val="000000" w:themeColor="text1"/>
                <w:sz w:val="18"/>
                <w:szCs w:val="18"/>
                <w:lang w:val="en-PH" w:eastAsia="en-PH"/>
              </w:rPr>
              <w:t>77</w:t>
            </w:r>
            <w:r w:rsidRPr="009E35ED">
              <w:rPr>
                <w:rFonts w:ascii="Arial Narrow" w:hAnsi="Arial Narrow" w:cs="Arial"/>
                <w:b/>
                <w:bCs/>
                <w:color w:val="000000" w:themeColor="text1"/>
                <w:sz w:val="18"/>
                <w:szCs w:val="18"/>
                <w:lang w:val="en-PH" w:eastAsia="en-PH"/>
              </w:rPr>
              <w:t>,</w:t>
            </w:r>
            <w:r w:rsidR="00170BED" w:rsidRPr="009E35ED">
              <w:rPr>
                <w:rFonts w:ascii="Arial Narrow" w:hAnsi="Arial Narrow" w:cs="Arial"/>
                <w:b/>
                <w:bCs/>
                <w:color w:val="000000" w:themeColor="text1"/>
                <w:sz w:val="18"/>
                <w:szCs w:val="18"/>
                <w:lang w:val="en-PH" w:eastAsia="en-PH"/>
              </w:rPr>
              <w:t>552</w:t>
            </w:r>
          </w:p>
        </w:tc>
        <w:tc>
          <w:tcPr>
            <w:tcW w:w="1716" w:type="dxa"/>
            <w:tcBorders>
              <w:top w:val="nil"/>
              <w:left w:val="nil"/>
              <w:bottom w:val="single" w:sz="8" w:space="0" w:color="auto"/>
              <w:right w:val="nil"/>
            </w:tcBorders>
            <w:shd w:val="clear" w:color="auto" w:fill="auto"/>
            <w:noWrap/>
            <w:vAlign w:val="bottom"/>
          </w:tcPr>
          <w:p w14:paraId="31254819" w14:textId="642FB2FE" w:rsidR="00780764" w:rsidRPr="009E35ED" w:rsidRDefault="001959DA" w:rsidP="00D2091E">
            <w:pPr>
              <w:ind w:left="0"/>
              <w:jc w:val="right"/>
              <w:rPr>
                <w:rFonts w:ascii="Arial Narrow" w:hAnsi="Arial Narrow" w:cs="Arial"/>
                <w:b/>
                <w:bCs/>
                <w:color w:val="000000" w:themeColor="text1"/>
                <w:sz w:val="18"/>
                <w:szCs w:val="18"/>
                <w:lang w:val="en-PH" w:eastAsia="en-PH"/>
              </w:rPr>
            </w:pPr>
            <w:r w:rsidRPr="009E35ED">
              <w:rPr>
                <w:rFonts w:ascii="Arial Narrow" w:hAnsi="Arial Narrow" w:cs="Arial"/>
                <w:b/>
                <w:bCs/>
                <w:color w:val="000000" w:themeColor="text1"/>
                <w:sz w:val="18"/>
                <w:szCs w:val="18"/>
                <w:lang w:val="en-PH" w:eastAsia="en-PH"/>
              </w:rPr>
              <w:t>16,947,</w:t>
            </w:r>
            <w:r w:rsidR="00170BED" w:rsidRPr="009E35ED">
              <w:rPr>
                <w:rFonts w:ascii="Arial Narrow" w:hAnsi="Arial Narrow" w:cs="Arial"/>
                <w:b/>
                <w:bCs/>
                <w:color w:val="000000" w:themeColor="text1"/>
                <w:sz w:val="18"/>
                <w:szCs w:val="18"/>
                <w:lang w:val="en-PH" w:eastAsia="en-PH"/>
              </w:rPr>
              <w:t>683,094</w:t>
            </w:r>
          </w:p>
        </w:tc>
        <w:tc>
          <w:tcPr>
            <w:tcW w:w="1425" w:type="dxa"/>
            <w:tcBorders>
              <w:top w:val="nil"/>
              <w:left w:val="nil"/>
              <w:bottom w:val="single" w:sz="8" w:space="0" w:color="auto"/>
              <w:right w:val="nil"/>
            </w:tcBorders>
            <w:shd w:val="clear" w:color="auto" w:fill="auto"/>
            <w:noWrap/>
            <w:vAlign w:val="bottom"/>
          </w:tcPr>
          <w:p w14:paraId="7E4BA7D1" w14:textId="3B81BBC4" w:rsidR="00780764" w:rsidRPr="009E35ED" w:rsidRDefault="0057531D" w:rsidP="00780764">
            <w:pPr>
              <w:ind w:left="0"/>
              <w:jc w:val="right"/>
              <w:rPr>
                <w:rFonts w:ascii="Arial Narrow" w:hAnsi="Arial Narrow" w:cs="Arial"/>
                <w:b/>
                <w:bCs/>
                <w:color w:val="000000" w:themeColor="text1"/>
                <w:sz w:val="18"/>
                <w:szCs w:val="18"/>
                <w:lang w:val="en-PH" w:eastAsia="en-PH"/>
              </w:rPr>
            </w:pPr>
            <w:r w:rsidRPr="009E35ED">
              <w:rPr>
                <w:rFonts w:ascii="Arial Narrow" w:hAnsi="Arial Narrow" w:cs="Arial"/>
                <w:b/>
                <w:bCs/>
                <w:color w:val="000000" w:themeColor="text1"/>
                <w:sz w:val="18"/>
                <w:szCs w:val="18"/>
                <w:lang w:val="en-PH" w:eastAsia="en-PH"/>
              </w:rPr>
              <w:t>30,977,</w:t>
            </w:r>
            <w:r w:rsidR="00170BED" w:rsidRPr="009E35ED">
              <w:rPr>
                <w:rFonts w:ascii="Arial Narrow" w:hAnsi="Arial Narrow" w:cs="Arial"/>
                <w:b/>
                <w:bCs/>
                <w:color w:val="000000" w:themeColor="text1"/>
                <w:sz w:val="18"/>
                <w:szCs w:val="18"/>
                <w:lang w:val="en-PH" w:eastAsia="en-PH"/>
              </w:rPr>
              <w:t>647,874</w:t>
            </w:r>
          </w:p>
        </w:tc>
        <w:tc>
          <w:tcPr>
            <w:tcW w:w="1243" w:type="dxa"/>
            <w:tcBorders>
              <w:top w:val="nil"/>
              <w:left w:val="nil"/>
              <w:bottom w:val="single" w:sz="8" w:space="0" w:color="auto"/>
              <w:right w:val="nil"/>
            </w:tcBorders>
            <w:shd w:val="clear" w:color="auto" w:fill="auto"/>
            <w:noWrap/>
            <w:vAlign w:val="bottom"/>
          </w:tcPr>
          <w:p w14:paraId="3771FABB" w14:textId="3F2D9C79" w:rsidR="00780764" w:rsidRPr="009E35ED" w:rsidRDefault="00471B33" w:rsidP="00170BED">
            <w:pPr>
              <w:ind w:left="0"/>
              <w:jc w:val="right"/>
              <w:rPr>
                <w:rFonts w:ascii="Arial Narrow" w:hAnsi="Arial Narrow" w:cs="Arial"/>
                <w:b/>
                <w:bCs/>
                <w:color w:val="000000" w:themeColor="text1"/>
                <w:sz w:val="18"/>
                <w:szCs w:val="18"/>
                <w:lang w:val="en-PH" w:eastAsia="en-PH"/>
              </w:rPr>
            </w:pPr>
            <w:r w:rsidRPr="009E35ED">
              <w:rPr>
                <w:rFonts w:ascii="Arial Narrow" w:hAnsi="Arial Narrow" w:cs="Arial"/>
                <w:b/>
                <w:bCs/>
                <w:color w:val="000000" w:themeColor="text1"/>
                <w:sz w:val="18"/>
                <w:szCs w:val="18"/>
                <w:lang w:val="en-PH" w:eastAsia="en-PH"/>
              </w:rPr>
              <w:t>57,735,208,52</w:t>
            </w:r>
            <w:r w:rsidR="00170BED" w:rsidRPr="009E35ED">
              <w:rPr>
                <w:rFonts w:ascii="Arial Narrow" w:hAnsi="Arial Narrow" w:cs="Arial"/>
                <w:b/>
                <w:bCs/>
                <w:color w:val="000000" w:themeColor="text1"/>
                <w:sz w:val="18"/>
                <w:szCs w:val="18"/>
                <w:lang w:val="en-PH" w:eastAsia="en-PH"/>
              </w:rPr>
              <w:t>0</w:t>
            </w:r>
          </w:p>
        </w:tc>
      </w:tr>
      <w:tr w:rsidR="00997F75" w:rsidRPr="009E35ED" w14:paraId="1E20DC60" w14:textId="77777777" w:rsidTr="00860ED6">
        <w:trPr>
          <w:trHeight w:val="203"/>
        </w:trPr>
        <w:tc>
          <w:tcPr>
            <w:tcW w:w="276" w:type="dxa"/>
            <w:tcBorders>
              <w:top w:val="nil"/>
              <w:left w:val="nil"/>
              <w:bottom w:val="nil"/>
              <w:right w:val="nil"/>
            </w:tcBorders>
            <w:shd w:val="clear" w:color="auto" w:fill="auto"/>
            <w:noWrap/>
            <w:vAlign w:val="bottom"/>
            <w:hideMark/>
          </w:tcPr>
          <w:p w14:paraId="3E0A4C27" w14:textId="77777777" w:rsidR="00780764" w:rsidRPr="009E35ED" w:rsidRDefault="00780764" w:rsidP="00780764">
            <w:pPr>
              <w:ind w:left="0"/>
              <w:jc w:val="center"/>
              <w:rPr>
                <w:rFonts w:ascii="Arial Narrow" w:hAnsi="Arial Narrow" w:cs="Arial"/>
                <w:b/>
                <w:bCs/>
                <w:color w:val="000000" w:themeColor="text1"/>
                <w:sz w:val="18"/>
                <w:szCs w:val="18"/>
                <w:lang w:val="en-PH" w:eastAsia="en-PH"/>
              </w:rPr>
            </w:pPr>
          </w:p>
        </w:tc>
        <w:tc>
          <w:tcPr>
            <w:tcW w:w="264" w:type="dxa"/>
            <w:tcBorders>
              <w:top w:val="nil"/>
              <w:left w:val="nil"/>
              <w:bottom w:val="nil"/>
              <w:right w:val="nil"/>
            </w:tcBorders>
            <w:shd w:val="clear" w:color="auto" w:fill="auto"/>
            <w:noWrap/>
            <w:vAlign w:val="bottom"/>
            <w:hideMark/>
          </w:tcPr>
          <w:p w14:paraId="2C1858A6" w14:textId="77777777" w:rsidR="00780764" w:rsidRPr="009E35ED" w:rsidRDefault="00780764" w:rsidP="00780764">
            <w:pPr>
              <w:ind w:left="0"/>
              <w:jc w:val="left"/>
              <w:rPr>
                <w:rFonts w:ascii="Arial Narrow" w:hAnsi="Arial Narrow"/>
                <w:color w:val="000000" w:themeColor="text1"/>
                <w:sz w:val="18"/>
                <w:szCs w:val="18"/>
                <w:lang w:val="en-PH" w:eastAsia="en-PH"/>
              </w:rPr>
            </w:pPr>
          </w:p>
        </w:tc>
        <w:tc>
          <w:tcPr>
            <w:tcW w:w="2862" w:type="dxa"/>
            <w:tcBorders>
              <w:top w:val="nil"/>
              <w:left w:val="nil"/>
              <w:bottom w:val="nil"/>
              <w:right w:val="nil"/>
            </w:tcBorders>
            <w:shd w:val="clear" w:color="auto" w:fill="auto"/>
            <w:noWrap/>
            <w:vAlign w:val="bottom"/>
            <w:hideMark/>
          </w:tcPr>
          <w:p w14:paraId="3D0DA209" w14:textId="77777777" w:rsidR="00780764" w:rsidRPr="009E35ED" w:rsidRDefault="00780764" w:rsidP="00780764">
            <w:pPr>
              <w:ind w:left="0"/>
              <w:jc w:val="left"/>
              <w:rPr>
                <w:rFonts w:ascii="Arial Narrow" w:hAnsi="Arial Narrow"/>
                <w:color w:val="000000" w:themeColor="text1"/>
                <w:sz w:val="18"/>
                <w:szCs w:val="18"/>
                <w:lang w:val="en-PH" w:eastAsia="en-PH"/>
              </w:rPr>
            </w:pPr>
          </w:p>
        </w:tc>
        <w:tc>
          <w:tcPr>
            <w:tcW w:w="1596" w:type="dxa"/>
            <w:tcBorders>
              <w:top w:val="nil"/>
              <w:left w:val="nil"/>
              <w:bottom w:val="nil"/>
              <w:right w:val="nil"/>
            </w:tcBorders>
            <w:shd w:val="clear" w:color="auto" w:fill="auto"/>
            <w:noWrap/>
            <w:vAlign w:val="bottom"/>
            <w:hideMark/>
          </w:tcPr>
          <w:p w14:paraId="4F0E02EB" w14:textId="77777777" w:rsidR="00780764" w:rsidRPr="009E35ED" w:rsidRDefault="00780764" w:rsidP="00780764">
            <w:pPr>
              <w:ind w:left="0"/>
              <w:jc w:val="right"/>
              <w:rPr>
                <w:rFonts w:ascii="Arial Narrow" w:hAnsi="Arial Narrow"/>
                <w:color w:val="000000" w:themeColor="text1"/>
                <w:sz w:val="18"/>
                <w:szCs w:val="18"/>
                <w:lang w:val="en-PH" w:eastAsia="en-PH"/>
              </w:rPr>
            </w:pPr>
          </w:p>
        </w:tc>
        <w:tc>
          <w:tcPr>
            <w:tcW w:w="1716" w:type="dxa"/>
            <w:tcBorders>
              <w:top w:val="nil"/>
              <w:left w:val="nil"/>
              <w:bottom w:val="nil"/>
              <w:right w:val="nil"/>
            </w:tcBorders>
            <w:shd w:val="clear" w:color="auto" w:fill="auto"/>
            <w:noWrap/>
            <w:vAlign w:val="bottom"/>
            <w:hideMark/>
          </w:tcPr>
          <w:p w14:paraId="6792CE6E" w14:textId="77777777" w:rsidR="00780764" w:rsidRPr="009E35ED" w:rsidRDefault="00780764" w:rsidP="00780764">
            <w:pPr>
              <w:ind w:left="0"/>
              <w:jc w:val="right"/>
              <w:rPr>
                <w:rFonts w:ascii="Arial Narrow" w:hAnsi="Arial Narrow"/>
                <w:color w:val="000000" w:themeColor="text1"/>
                <w:sz w:val="18"/>
                <w:szCs w:val="18"/>
                <w:lang w:val="en-PH" w:eastAsia="en-PH"/>
              </w:rPr>
            </w:pPr>
          </w:p>
        </w:tc>
        <w:tc>
          <w:tcPr>
            <w:tcW w:w="1425" w:type="dxa"/>
            <w:tcBorders>
              <w:top w:val="nil"/>
              <w:left w:val="nil"/>
              <w:bottom w:val="nil"/>
              <w:right w:val="nil"/>
            </w:tcBorders>
            <w:shd w:val="clear" w:color="auto" w:fill="auto"/>
            <w:noWrap/>
            <w:vAlign w:val="bottom"/>
            <w:hideMark/>
          </w:tcPr>
          <w:p w14:paraId="060642BB" w14:textId="77777777" w:rsidR="00780764" w:rsidRPr="009E35ED" w:rsidRDefault="00780764" w:rsidP="00780764">
            <w:pPr>
              <w:ind w:left="0"/>
              <w:jc w:val="right"/>
              <w:rPr>
                <w:rFonts w:ascii="Arial Narrow" w:hAnsi="Arial Narrow"/>
                <w:color w:val="000000" w:themeColor="text1"/>
                <w:sz w:val="18"/>
                <w:szCs w:val="18"/>
                <w:lang w:val="en-PH" w:eastAsia="en-PH"/>
              </w:rPr>
            </w:pPr>
          </w:p>
        </w:tc>
        <w:tc>
          <w:tcPr>
            <w:tcW w:w="1243" w:type="dxa"/>
            <w:tcBorders>
              <w:top w:val="nil"/>
              <w:left w:val="nil"/>
              <w:bottom w:val="nil"/>
              <w:right w:val="nil"/>
            </w:tcBorders>
            <w:shd w:val="clear" w:color="auto" w:fill="auto"/>
            <w:noWrap/>
            <w:vAlign w:val="bottom"/>
            <w:hideMark/>
          </w:tcPr>
          <w:p w14:paraId="393AC192" w14:textId="77777777" w:rsidR="00780764" w:rsidRPr="009E35ED" w:rsidRDefault="00780764" w:rsidP="00780764">
            <w:pPr>
              <w:ind w:left="0"/>
              <w:jc w:val="right"/>
              <w:rPr>
                <w:rFonts w:ascii="Arial Narrow" w:hAnsi="Arial Narrow"/>
                <w:color w:val="000000" w:themeColor="text1"/>
                <w:sz w:val="18"/>
                <w:szCs w:val="18"/>
                <w:lang w:val="en-PH" w:eastAsia="en-PH"/>
              </w:rPr>
            </w:pPr>
          </w:p>
        </w:tc>
      </w:tr>
      <w:tr w:rsidR="00997F75" w:rsidRPr="009E35ED" w14:paraId="1C7D46B1" w14:textId="77777777" w:rsidTr="00860ED6">
        <w:trPr>
          <w:trHeight w:val="203"/>
        </w:trPr>
        <w:tc>
          <w:tcPr>
            <w:tcW w:w="3402" w:type="dxa"/>
            <w:gridSpan w:val="3"/>
            <w:tcBorders>
              <w:top w:val="nil"/>
              <w:left w:val="nil"/>
              <w:bottom w:val="nil"/>
              <w:right w:val="nil"/>
            </w:tcBorders>
            <w:shd w:val="clear" w:color="auto" w:fill="auto"/>
            <w:noWrap/>
            <w:vAlign w:val="bottom"/>
            <w:hideMark/>
          </w:tcPr>
          <w:p w14:paraId="6DB31CA6" w14:textId="77777777" w:rsidR="00780764" w:rsidRPr="009E35ED" w:rsidRDefault="00780764" w:rsidP="00780764">
            <w:pPr>
              <w:ind w:left="0"/>
              <w:jc w:val="left"/>
              <w:rPr>
                <w:rFonts w:ascii="Arial Narrow" w:hAnsi="Arial Narrow" w:cs="Arial"/>
                <w:b/>
                <w:bCs/>
                <w:color w:val="000000" w:themeColor="text1"/>
                <w:sz w:val="18"/>
                <w:szCs w:val="18"/>
                <w:lang w:val="en-PH" w:eastAsia="en-PH"/>
              </w:rPr>
            </w:pPr>
            <w:r w:rsidRPr="009E35ED">
              <w:rPr>
                <w:rFonts w:ascii="Arial Narrow" w:hAnsi="Arial Narrow" w:cs="Arial"/>
                <w:b/>
                <w:bCs/>
                <w:color w:val="000000" w:themeColor="text1"/>
                <w:sz w:val="18"/>
                <w:szCs w:val="18"/>
                <w:lang w:val="en-PH" w:eastAsia="en-PH"/>
              </w:rPr>
              <w:t>Gains</w:t>
            </w:r>
          </w:p>
        </w:tc>
        <w:tc>
          <w:tcPr>
            <w:tcW w:w="1596" w:type="dxa"/>
            <w:tcBorders>
              <w:top w:val="nil"/>
              <w:left w:val="nil"/>
              <w:bottom w:val="nil"/>
              <w:right w:val="nil"/>
            </w:tcBorders>
            <w:shd w:val="clear" w:color="auto" w:fill="auto"/>
            <w:noWrap/>
            <w:vAlign w:val="bottom"/>
            <w:hideMark/>
          </w:tcPr>
          <w:p w14:paraId="0B5EFAFA" w14:textId="77777777" w:rsidR="00780764" w:rsidRPr="009E35ED" w:rsidRDefault="00780764" w:rsidP="00780764">
            <w:pPr>
              <w:ind w:left="0"/>
              <w:jc w:val="right"/>
              <w:rPr>
                <w:rFonts w:ascii="Arial Narrow" w:hAnsi="Arial Narrow" w:cs="Arial"/>
                <w:b/>
                <w:bCs/>
                <w:color w:val="000000" w:themeColor="text1"/>
                <w:sz w:val="18"/>
                <w:szCs w:val="18"/>
                <w:lang w:val="en-PH" w:eastAsia="en-PH"/>
              </w:rPr>
            </w:pPr>
          </w:p>
        </w:tc>
        <w:tc>
          <w:tcPr>
            <w:tcW w:w="1716" w:type="dxa"/>
            <w:tcBorders>
              <w:top w:val="nil"/>
              <w:left w:val="nil"/>
              <w:bottom w:val="nil"/>
              <w:right w:val="nil"/>
            </w:tcBorders>
            <w:shd w:val="clear" w:color="auto" w:fill="auto"/>
            <w:noWrap/>
            <w:vAlign w:val="bottom"/>
            <w:hideMark/>
          </w:tcPr>
          <w:p w14:paraId="55CF073C" w14:textId="77777777" w:rsidR="00780764" w:rsidRPr="009E35ED" w:rsidRDefault="00780764" w:rsidP="00780764">
            <w:pPr>
              <w:ind w:left="0"/>
              <w:jc w:val="right"/>
              <w:rPr>
                <w:rFonts w:ascii="Arial Narrow" w:hAnsi="Arial Narrow"/>
                <w:color w:val="000000" w:themeColor="text1"/>
                <w:sz w:val="18"/>
                <w:szCs w:val="18"/>
                <w:lang w:val="en-PH" w:eastAsia="en-PH"/>
              </w:rPr>
            </w:pPr>
          </w:p>
        </w:tc>
        <w:tc>
          <w:tcPr>
            <w:tcW w:w="1425" w:type="dxa"/>
            <w:tcBorders>
              <w:top w:val="nil"/>
              <w:left w:val="nil"/>
              <w:bottom w:val="nil"/>
              <w:right w:val="nil"/>
            </w:tcBorders>
            <w:shd w:val="clear" w:color="auto" w:fill="auto"/>
            <w:noWrap/>
            <w:vAlign w:val="bottom"/>
            <w:hideMark/>
          </w:tcPr>
          <w:p w14:paraId="02556E67" w14:textId="77777777" w:rsidR="00780764" w:rsidRPr="009E35ED" w:rsidRDefault="00780764" w:rsidP="00780764">
            <w:pPr>
              <w:ind w:left="0"/>
              <w:jc w:val="right"/>
              <w:rPr>
                <w:rFonts w:ascii="Arial Narrow" w:hAnsi="Arial Narrow"/>
                <w:color w:val="000000" w:themeColor="text1"/>
                <w:sz w:val="18"/>
                <w:szCs w:val="18"/>
                <w:lang w:val="en-PH" w:eastAsia="en-PH"/>
              </w:rPr>
            </w:pPr>
          </w:p>
        </w:tc>
        <w:tc>
          <w:tcPr>
            <w:tcW w:w="1243" w:type="dxa"/>
            <w:tcBorders>
              <w:top w:val="nil"/>
              <w:left w:val="nil"/>
              <w:bottom w:val="nil"/>
              <w:right w:val="nil"/>
            </w:tcBorders>
            <w:shd w:val="clear" w:color="auto" w:fill="auto"/>
            <w:noWrap/>
            <w:vAlign w:val="bottom"/>
            <w:hideMark/>
          </w:tcPr>
          <w:p w14:paraId="22792496" w14:textId="77777777" w:rsidR="00780764" w:rsidRPr="009E35ED" w:rsidRDefault="00780764" w:rsidP="00780764">
            <w:pPr>
              <w:ind w:left="0"/>
              <w:jc w:val="right"/>
              <w:rPr>
                <w:rFonts w:ascii="Arial Narrow" w:hAnsi="Arial Narrow"/>
                <w:color w:val="000000" w:themeColor="text1"/>
                <w:sz w:val="18"/>
                <w:szCs w:val="18"/>
                <w:lang w:val="en-PH" w:eastAsia="en-PH"/>
              </w:rPr>
            </w:pPr>
          </w:p>
        </w:tc>
      </w:tr>
      <w:tr w:rsidR="00997F75" w:rsidRPr="009E35ED" w14:paraId="1E501C53" w14:textId="77777777" w:rsidTr="00860ED6">
        <w:trPr>
          <w:trHeight w:val="193"/>
        </w:trPr>
        <w:tc>
          <w:tcPr>
            <w:tcW w:w="276" w:type="dxa"/>
            <w:tcBorders>
              <w:top w:val="nil"/>
              <w:left w:val="nil"/>
              <w:bottom w:val="nil"/>
              <w:right w:val="nil"/>
            </w:tcBorders>
            <w:shd w:val="clear" w:color="auto" w:fill="auto"/>
            <w:hideMark/>
          </w:tcPr>
          <w:p w14:paraId="0D0DC7A0" w14:textId="77777777" w:rsidR="00780764" w:rsidRPr="009E35ED" w:rsidRDefault="00780764" w:rsidP="00780764">
            <w:pPr>
              <w:ind w:left="0"/>
              <w:jc w:val="left"/>
              <w:rPr>
                <w:rFonts w:ascii="Arial Narrow" w:hAnsi="Arial Narrow"/>
                <w:color w:val="000000" w:themeColor="text1"/>
                <w:sz w:val="18"/>
                <w:szCs w:val="18"/>
                <w:lang w:val="en-PH" w:eastAsia="en-PH"/>
              </w:rPr>
            </w:pPr>
          </w:p>
        </w:tc>
        <w:tc>
          <w:tcPr>
            <w:tcW w:w="3126" w:type="dxa"/>
            <w:gridSpan w:val="2"/>
            <w:tcBorders>
              <w:top w:val="nil"/>
              <w:left w:val="nil"/>
              <w:bottom w:val="nil"/>
              <w:right w:val="nil"/>
            </w:tcBorders>
            <w:shd w:val="clear" w:color="auto" w:fill="auto"/>
            <w:noWrap/>
            <w:vAlign w:val="bottom"/>
            <w:hideMark/>
          </w:tcPr>
          <w:p w14:paraId="64AFF800" w14:textId="3BF213D6" w:rsidR="00780764" w:rsidRPr="009E35ED" w:rsidRDefault="00780764" w:rsidP="00780764">
            <w:pPr>
              <w:ind w:left="0"/>
              <w:jc w:val="left"/>
              <w:rPr>
                <w:rFonts w:ascii="Arial Narrow" w:hAnsi="Arial Narrow" w:cs="Arial"/>
                <w:color w:val="000000" w:themeColor="text1"/>
                <w:sz w:val="18"/>
                <w:szCs w:val="18"/>
                <w:lang w:val="en-PH" w:eastAsia="en-PH"/>
              </w:rPr>
            </w:pPr>
            <w:r w:rsidRPr="009E35ED">
              <w:rPr>
                <w:rFonts w:ascii="Arial Narrow" w:hAnsi="Arial Narrow" w:cs="Arial"/>
                <w:color w:val="000000" w:themeColor="text1"/>
                <w:sz w:val="18"/>
                <w:szCs w:val="18"/>
                <w:lang w:val="en-PH" w:eastAsia="en-PH"/>
              </w:rPr>
              <w:t xml:space="preserve">Gain or loss on </w:t>
            </w:r>
            <w:r w:rsidR="00F93FBC">
              <w:rPr>
                <w:rFonts w:ascii="Arial Narrow" w:hAnsi="Arial Narrow" w:cs="Arial"/>
                <w:color w:val="000000" w:themeColor="text1"/>
                <w:sz w:val="18"/>
                <w:szCs w:val="18"/>
                <w:lang w:val="en-PH" w:eastAsia="en-PH"/>
              </w:rPr>
              <w:t>f</w:t>
            </w:r>
            <w:r w:rsidRPr="009E35ED">
              <w:rPr>
                <w:rFonts w:ascii="Arial Narrow" w:hAnsi="Arial Narrow" w:cs="Arial"/>
                <w:color w:val="000000" w:themeColor="text1"/>
                <w:sz w:val="18"/>
                <w:szCs w:val="18"/>
                <w:lang w:val="en-PH" w:eastAsia="en-PH"/>
              </w:rPr>
              <w:t xml:space="preserve">oreign </w:t>
            </w:r>
            <w:r w:rsidR="00F93FBC">
              <w:rPr>
                <w:rFonts w:ascii="Arial Narrow" w:hAnsi="Arial Narrow" w:cs="Arial"/>
                <w:color w:val="000000" w:themeColor="text1"/>
                <w:sz w:val="18"/>
                <w:szCs w:val="18"/>
                <w:lang w:val="en-PH" w:eastAsia="en-PH"/>
              </w:rPr>
              <w:t>e</w:t>
            </w:r>
            <w:r w:rsidRPr="009E35ED">
              <w:rPr>
                <w:rFonts w:ascii="Arial Narrow" w:hAnsi="Arial Narrow" w:cs="Arial"/>
                <w:color w:val="000000" w:themeColor="text1"/>
                <w:sz w:val="18"/>
                <w:szCs w:val="18"/>
                <w:lang w:val="en-PH" w:eastAsia="en-PH"/>
              </w:rPr>
              <w:t>xchange (FOREX)</w:t>
            </w:r>
          </w:p>
        </w:tc>
        <w:tc>
          <w:tcPr>
            <w:tcW w:w="1596" w:type="dxa"/>
            <w:tcBorders>
              <w:top w:val="nil"/>
              <w:left w:val="nil"/>
              <w:bottom w:val="nil"/>
              <w:right w:val="nil"/>
            </w:tcBorders>
            <w:shd w:val="clear" w:color="auto" w:fill="auto"/>
            <w:noWrap/>
            <w:vAlign w:val="bottom"/>
          </w:tcPr>
          <w:p w14:paraId="4DC9FEA7" w14:textId="37C6A676" w:rsidR="00780764" w:rsidRPr="009E35ED" w:rsidRDefault="00516DCF" w:rsidP="00780764">
            <w:pPr>
              <w:ind w:left="0"/>
              <w:jc w:val="right"/>
              <w:rPr>
                <w:rFonts w:ascii="Arial Narrow" w:hAnsi="Arial Narrow" w:cs="Arial"/>
                <w:color w:val="000000" w:themeColor="text1"/>
                <w:sz w:val="18"/>
                <w:szCs w:val="18"/>
                <w:lang w:val="en-PH" w:eastAsia="en-PH"/>
              </w:rPr>
            </w:pPr>
            <w:r w:rsidRPr="009E35ED">
              <w:rPr>
                <w:rFonts w:ascii="Arial Narrow" w:hAnsi="Arial Narrow" w:cs="Arial"/>
                <w:color w:val="000000" w:themeColor="text1"/>
                <w:sz w:val="18"/>
                <w:szCs w:val="18"/>
                <w:lang w:val="en-PH" w:eastAsia="en-PH"/>
              </w:rPr>
              <w:t>-</w:t>
            </w:r>
          </w:p>
        </w:tc>
        <w:tc>
          <w:tcPr>
            <w:tcW w:w="1716" w:type="dxa"/>
            <w:tcBorders>
              <w:top w:val="nil"/>
              <w:left w:val="nil"/>
              <w:bottom w:val="nil"/>
              <w:right w:val="nil"/>
            </w:tcBorders>
            <w:shd w:val="clear" w:color="auto" w:fill="auto"/>
            <w:noWrap/>
            <w:vAlign w:val="bottom"/>
          </w:tcPr>
          <w:p w14:paraId="593B20A9" w14:textId="4BB7BAE4" w:rsidR="00780764" w:rsidRPr="009E35ED" w:rsidRDefault="0031325E" w:rsidP="00780764">
            <w:pPr>
              <w:ind w:left="0"/>
              <w:jc w:val="right"/>
              <w:rPr>
                <w:rFonts w:ascii="Arial Narrow" w:hAnsi="Arial Narrow" w:cs="Arial"/>
                <w:color w:val="000000" w:themeColor="text1"/>
                <w:sz w:val="18"/>
                <w:szCs w:val="18"/>
                <w:lang w:val="en-PH" w:eastAsia="en-PH"/>
              </w:rPr>
            </w:pPr>
            <w:r w:rsidRPr="009E35ED">
              <w:rPr>
                <w:rFonts w:ascii="Arial Narrow" w:hAnsi="Arial Narrow" w:cs="Arial"/>
                <w:color w:val="000000" w:themeColor="text1"/>
                <w:sz w:val="18"/>
                <w:szCs w:val="18"/>
                <w:lang w:val="en-PH" w:eastAsia="en-PH"/>
              </w:rPr>
              <w:t>52,571,133</w:t>
            </w:r>
          </w:p>
        </w:tc>
        <w:tc>
          <w:tcPr>
            <w:tcW w:w="1425" w:type="dxa"/>
            <w:tcBorders>
              <w:top w:val="nil"/>
              <w:left w:val="nil"/>
              <w:bottom w:val="nil"/>
              <w:right w:val="nil"/>
            </w:tcBorders>
            <w:shd w:val="clear" w:color="auto" w:fill="auto"/>
            <w:noWrap/>
            <w:vAlign w:val="bottom"/>
          </w:tcPr>
          <w:p w14:paraId="4C60E4FC" w14:textId="48F8C537" w:rsidR="00780764" w:rsidRPr="009E35ED" w:rsidRDefault="00516DCF" w:rsidP="00780764">
            <w:pPr>
              <w:ind w:left="0"/>
              <w:jc w:val="right"/>
              <w:rPr>
                <w:rFonts w:ascii="Arial Narrow" w:hAnsi="Arial Narrow" w:cs="Arial"/>
                <w:color w:val="000000" w:themeColor="text1"/>
                <w:sz w:val="18"/>
                <w:szCs w:val="18"/>
                <w:lang w:val="en-PH" w:eastAsia="en-PH"/>
              </w:rPr>
            </w:pPr>
            <w:r w:rsidRPr="009E35ED">
              <w:rPr>
                <w:rFonts w:ascii="Arial Narrow" w:hAnsi="Arial Narrow" w:cs="Arial"/>
                <w:color w:val="000000" w:themeColor="text1"/>
                <w:sz w:val="18"/>
                <w:szCs w:val="18"/>
                <w:lang w:val="en-PH" w:eastAsia="en-PH"/>
              </w:rPr>
              <w:t>-</w:t>
            </w:r>
          </w:p>
        </w:tc>
        <w:tc>
          <w:tcPr>
            <w:tcW w:w="1243" w:type="dxa"/>
            <w:tcBorders>
              <w:top w:val="nil"/>
              <w:left w:val="nil"/>
              <w:bottom w:val="nil"/>
              <w:right w:val="nil"/>
            </w:tcBorders>
            <w:shd w:val="clear" w:color="auto" w:fill="auto"/>
            <w:noWrap/>
            <w:vAlign w:val="bottom"/>
          </w:tcPr>
          <w:p w14:paraId="3C3D7F79" w14:textId="07CF0C0B" w:rsidR="00780764" w:rsidRPr="009E35ED" w:rsidRDefault="00FA0E6F" w:rsidP="00780764">
            <w:pPr>
              <w:ind w:left="0"/>
              <w:jc w:val="right"/>
              <w:rPr>
                <w:rFonts w:ascii="Arial Narrow" w:hAnsi="Arial Narrow" w:cs="Arial"/>
                <w:color w:val="000000" w:themeColor="text1"/>
                <w:sz w:val="18"/>
                <w:szCs w:val="18"/>
                <w:lang w:val="en-PH" w:eastAsia="en-PH"/>
              </w:rPr>
            </w:pPr>
            <w:r w:rsidRPr="009E35ED">
              <w:rPr>
                <w:rFonts w:ascii="Arial Narrow" w:hAnsi="Arial Narrow" w:cs="Arial"/>
                <w:color w:val="000000" w:themeColor="text1"/>
                <w:sz w:val="18"/>
                <w:szCs w:val="18"/>
                <w:lang w:val="en-PH" w:eastAsia="en-PH"/>
              </w:rPr>
              <w:t>52,571,133</w:t>
            </w:r>
          </w:p>
        </w:tc>
      </w:tr>
      <w:tr w:rsidR="00997F75" w:rsidRPr="009E35ED" w14:paraId="0909F98D" w14:textId="77777777" w:rsidTr="00860ED6">
        <w:trPr>
          <w:trHeight w:val="213"/>
        </w:trPr>
        <w:tc>
          <w:tcPr>
            <w:tcW w:w="3402" w:type="dxa"/>
            <w:gridSpan w:val="3"/>
            <w:tcBorders>
              <w:top w:val="single" w:sz="4" w:space="0" w:color="auto"/>
              <w:left w:val="nil"/>
              <w:bottom w:val="single" w:sz="8" w:space="0" w:color="auto"/>
              <w:right w:val="nil"/>
            </w:tcBorders>
            <w:shd w:val="clear" w:color="auto" w:fill="auto"/>
            <w:noWrap/>
            <w:vAlign w:val="bottom"/>
            <w:hideMark/>
          </w:tcPr>
          <w:p w14:paraId="7D339BFC" w14:textId="77777777" w:rsidR="00780764" w:rsidRPr="009E35ED" w:rsidRDefault="00780764" w:rsidP="00780764">
            <w:pPr>
              <w:ind w:left="0"/>
              <w:jc w:val="left"/>
              <w:rPr>
                <w:rFonts w:ascii="Arial Narrow" w:hAnsi="Arial Narrow" w:cs="Arial"/>
                <w:b/>
                <w:bCs/>
                <w:color w:val="000000" w:themeColor="text1"/>
                <w:sz w:val="18"/>
                <w:szCs w:val="18"/>
                <w:lang w:val="en-PH" w:eastAsia="en-PH"/>
              </w:rPr>
            </w:pPr>
            <w:r w:rsidRPr="009E35ED">
              <w:rPr>
                <w:rFonts w:ascii="Arial Narrow" w:hAnsi="Arial Narrow" w:cs="Arial"/>
                <w:b/>
                <w:bCs/>
                <w:color w:val="000000" w:themeColor="text1"/>
                <w:sz w:val="18"/>
                <w:szCs w:val="18"/>
                <w:lang w:val="en-PH" w:eastAsia="en-PH"/>
              </w:rPr>
              <w:t>Total Gains</w:t>
            </w:r>
          </w:p>
        </w:tc>
        <w:tc>
          <w:tcPr>
            <w:tcW w:w="1596" w:type="dxa"/>
            <w:tcBorders>
              <w:top w:val="single" w:sz="4" w:space="0" w:color="auto"/>
              <w:left w:val="nil"/>
              <w:bottom w:val="single" w:sz="8" w:space="0" w:color="auto"/>
              <w:right w:val="nil"/>
            </w:tcBorders>
            <w:shd w:val="clear" w:color="auto" w:fill="auto"/>
            <w:noWrap/>
            <w:vAlign w:val="bottom"/>
          </w:tcPr>
          <w:p w14:paraId="3FF42089" w14:textId="1E2E37D0" w:rsidR="00780764" w:rsidRPr="009E35ED" w:rsidRDefault="003A5428" w:rsidP="00780764">
            <w:pPr>
              <w:ind w:left="0"/>
              <w:jc w:val="right"/>
              <w:rPr>
                <w:rFonts w:ascii="Arial Narrow" w:hAnsi="Arial Narrow" w:cs="Arial"/>
                <w:b/>
                <w:bCs/>
                <w:color w:val="000000" w:themeColor="text1"/>
                <w:sz w:val="18"/>
                <w:szCs w:val="18"/>
                <w:lang w:val="en-PH" w:eastAsia="en-PH"/>
              </w:rPr>
            </w:pPr>
            <w:r w:rsidRPr="009E35ED">
              <w:rPr>
                <w:rFonts w:ascii="Arial Narrow" w:hAnsi="Arial Narrow" w:cs="Arial"/>
                <w:b/>
                <w:color w:val="000000" w:themeColor="text1"/>
                <w:sz w:val="18"/>
                <w:szCs w:val="18"/>
                <w:lang w:val="en-PH" w:eastAsia="en-PH"/>
              </w:rPr>
              <w:t>-</w:t>
            </w:r>
          </w:p>
        </w:tc>
        <w:tc>
          <w:tcPr>
            <w:tcW w:w="1716" w:type="dxa"/>
            <w:tcBorders>
              <w:top w:val="single" w:sz="4" w:space="0" w:color="auto"/>
              <w:left w:val="nil"/>
              <w:bottom w:val="single" w:sz="8" w:space="0" w:color="auto"/>
              <w:right w:val="nil"/>
            </w:tcBorders>
            <w:shd w:val="clear" w:color="auto" w:fill="auto"/>
            <w:noWrap/>
            <w:vAlign w:val="bottom"/>
          </w:tcPr>
          <w:p w14:paraId="139109B4" w14:textId="06BB3A70" w:rsidR="00780764" w:rsidRPr="009E35ED" w:rsidRDefault="00FA0E6F" w:rsidP="00780764">
            <w:pPr>
              <w:ind w:left="0"/>
              <w:jc w:val="right"/>
              <w:rPr>
                <w:rFonts w:ascii="Arial Narrow" w:hAnsi="Arial Narrow" w:cs="Arial"/>
                <w:b/>
                <w:bCs/>
                <w:color w:val="000000" w:themeColor="text1"/>
                <w:sz w:val="18"/>
                <w:szCs w:val="18"/>
                <w:lang w:val="en-PH" w:eastAsia="en-PH"/>
              </w:rPr>
            </w:pPr>
            <w:r w:rsidRPr="009E35ED">
              <w:rPr>
                <w:rFonts w:ascii="Arial Narrow" w:hAnsi="Arial Narrow" w:cs="Arial"/>
                <w:b/>
                <w:color w:val="000000" w:themeColor="text1"/>
                <w:sz w:val="18"/>
                <w:szCs w:val="18"/>
                <w:lang w:val="en-PH" w:eastAsia="en-PH"/>
              </w:rPr>
              <w:t>52,571,133</w:t>
            </w:r>
          </w:p>
        </w:tc>
        <w:tc>
          <w:tcPr>
            <w:tcW w:w="1425" w:type="dxa"/>
            <w:tcBorders>
              <w:top w:val="single" w:sz="4" w:space="0" w:color="auto"/>
              <w:left w:val="nil"/>
              <w:bottom w:val="single" w:sz="8" w:space="0" w:color="auto"/>
              <w:right w:val="nil"/>
            </w:tcBorders>
            <w:shd w:val="clear" w:color="auto" w:fill="auto"/>
            <w:noWrap/>
            <w:vAlign w:val="bottom"/>
          </w:tcPr>
          <w:p w14:paraId="3E2E0161" w14:textId="4328711A" w:rsidR="00780764" w:rsidRPr="009E35ED" w:rsidRDefault="00780764" w:rsidP="00780764">
            <w:pPr>
              <w:ind w:left="0"/>
              <w:jc w:val="right"/>
              <w:rPr>
                <w:rFonts w:ascii="Arial Narrow" w:hAnsi="Arial Narrow" w:cs="Arial"/>
                <w:b/>
                <w:bCs/>
                <w:color w:val="000000" w:themeColor="text1"/>
                <w:sz w:val="18"/>
                <w:szCs w:val="18"/>
                <w:lang w:val="en-PH" w:eastAsia="en-PH"/>
              </w:rPr>
            </w:pPr>
            <w:r w:rsidRPr="009E35ED">
              <w:rPr>
                <w:rFonts w:ascii="Arial Narrow" w:hAnsi="Arial Narrow" w:cs="Arial"/>
                <w:b/>
                <w:bCs/>
                <w:color w:val="000000" w:themeColor="text1"/>
                <w:sz w:val="18"/>
                <w:szCs w:val="18"/>
                <w:lang w:val="en-PH" w:eastAsia="en-PH"/>
              </w:rPr>
              <w:t xml:space="preserve">                        -   </w:t>
            </w:r>
          </w:p>
        </w:tc>
        <w:tc>
          <w:tcPr>
            <w:tcW w:w="1243" w:type="dxa"/>
            <w:tcBorders>
              <w:top w:val="single" w:sz="4" w:space="0" w:color="auto"/>
              <w:left w:val="nil"/>
              <w:bottom w:val="single" w:sz="8" w:space="0" w:color="auto"/>
              <w:right w:val="nil"/>
            </w:tcBorders>
            <w:shd w:val="clear" w:color="auto" w:fill="auto"/>
            <w:noWrap/>
            <w:vAlign w:val="bottom"/>
          </w:tcPr>
          <w:p w14:paraId="05F7A88E" w14:textId="60EF99D9" w:rsidR="00780764" w:rsidRPr="009E35ED" w:rsidRDefault="00FA0E6F" w:rsidP="00780764">
            <w:pPr>
              <w:ind w:left="0"/>
              <w:jc w:val="right"/>
              <w:rPr>
                <w:rFonts w:ascii="Arial Narrow" w:hAnsi="Arial Narrow" w:cs="Arial"/>
                <w:b/>
                <w:bCs/>
                <w:color w:val="000000" w:themeColor="text1"/>
                <w:sz w:val="18"/>
                <w:szCs w:val="18"/>
                <w:lang w:val="en-PH" w:eastAsia="en-PH"/>
              </w:rPr>
            </w:pPr>
            <w:r w:rsidRPr="009E35ED">
              <w:rPr>
                <w:rFonts w:ascii="Arial Narrow" w:hAnsi="Arial Narrow" w:cs="Arial"/>
                <w:b/>
                <w:bCs/>
                <w:color w:val="000000" w:themeColor="text1"/>
                <w:sz w:val="18"/>
                <w:szCs w:val="18"/>
                <w:lang w:val="en-PH" w:eastAsia="en-PH"/>
              </w:rPr>
              <w:t>52,571,133</w:t>
            </w:r>
          </w:p>
        </w:tc>
      </w:tr>
      <w:tr w:rsidR="00997F75" w:rsidRPr="009E35ED" w14:paraId="694CED03" w14:textId="77777777" w:rsidTr="00860ED6">
        <w:trPr>
          <w:trHeight w:val="203"/>
        </w:trPr>
        <w:tc>
          <w:tcPr>
            <w:tcW w:w="3402" w:type="dxa"/>
            <w:gridSpan w:val="3"/>
            <w:tcBorders>
              <w:top w:val="nil"/>
              <w:left w:val="nil"/>
              <w:bottom w:val="nil"/>
              <w:right w:val="nil"/>
            </w:tcBorders>
            <w:shd w:val="clear" w:color="auto" w:fill="auto"/>
            <w:noWrap/>
            <w:vAlign w:val="bottom"/>
            <w:hideMark/>
          </w:tcPr>
          <w:p w14:paraId="5EC847B6" w14:textId="77777777" w:rsidR="005769AD" w:rsidRPr="009E35ED" w:rsidRDefault="005769AD" w:rsidP="00780764">
            <w:pPr>
              <w:ind w:left="0"/>
              <w:jc w:val="left"/>
              <w:rPr>
                <w:rFonts w:ascii="Arial Narrow" w:hAnsi="Arial Narrow" w:cs="Arial"/>
                <w:b/>
                <w:bCs/>
                <w:color w:val="000000" w:themeColor="text1"/>
                <w:sz w:val="18"/>
                <w:szCs w:val="18"/>
                <w:lang w:val="en-PH" w:eastAsia="en-PH"/>
              </w:rPr>
            </w:pPr>
          </w:p>
          <w:p w14:paraId="3D7BC2FB" w14:textId="467DAFA6" w:rsidR="00780764" w:rsidRPr="009E35ED" w:rsidRDefault="00780764" w:rsidP="00780764">
            <w:pPr>
              <w:ind w:left="0"/>
              <w:jc w:val="left"/>
              <w:rPr>
                <w:rFonts w:ascii="Arial Narrow" w:hAnsi="Arial Narrow" w:cs="Arial"/>
                <w:b/>
                <w:bCs/>
                <w:color w:val="000000" w:themeColor="text1"/>
                <w:sz w:val="18"/>
                <w:szCs w:val="18"/>
                <w:lang w:val="en-PH" w:eastAsia="en-PH"/>
              </w:rPr>
            </w:pPr>
            <w:r w:rsidRPr="009E35ED">
              <w:rPr>
                <w:rFonts w:ascii="Arial Narrow" w:hAnsi="Arial Narrow" w:cs="Arial"/>
                <w:b/>
                <w:bCs/>
                <w:color w:val="000000" w:themeColor="text1"/>
                <w:sz w:val="18"/>
                <w:szCs w:val="18"/>
                <w:lang w:val="en-PH" w:eastAsia="en-PH"/>
              </w:rPr>
              <w:t>Other Non-Operating Income</w:t>
            </w:r>
          </w:p>
        </w:tc>
        <w:tc>
          <w:tcPr>
            <w:tcW w:w="1596" w:type="dxa"/>
            <w:tcBorders>
              <w:top w:val="nil"/>
              <w:left w:val="nil"/>
              <w:bottom w:val="nil"/>
              <w:right w:val="nil"/>
            </w:tcBorders>
            <w:shd w:val="clear" w:color="auto" w:fill="auto"/>
            <w:noWrap/>
            <w:vAlign w:val="bottom"/>
            <w:hideMark/>
          </w:tcPr>
          <w:p w14:paraId="4FF3FE82" w14:textId="77777777" w:rsidR="00780764" w:rsidRPr="009E35ED" w:rsidRDefault="00780764" w:rsidP="00780764">
            <w:pPr>
              <w:ind w:left="0"/>
              <w:jc w:val="right"/>
              <w:rPr>
                <w:rFonts w:ascii="Arial Narrow" w:hAnsi="Arial Narrow" w:cs="Arial"/>
                <w:b/>
                <w:bCs/>
                <w:color w:val="000000" w:themeColor="text1"/>
                <w:sz w:val="18"/>
                <w:szCs w:val="18"/>
                <w:lang w:val="en-PH" w:eastAsia="en-PH"/>
              </w:rPr>
            </w:pPr>
          </w:p>
        </w:tc>
        <w:tc>
          <w:tcPr>
            <w:tcW w:w="1716" w:type="dxa"/>
            <w:tcBorders>
              <w:top w:val="nil"/>
              <w:left w:val="nil"/>
              <w:bottom w:val="nil"/>
              <w:right w:val="nil"/>
            </w:tcBorders>
            <w:shd w:val="clear" w:color="auto" w:fill="auto"/>
            <w:noWrap/>
            <w:vAlign w:val="bottom"/>
            <w:hideMark/>
          </w:tcPr>
          <w:p w14:paraId="5E77AD92" w14:textId="77777777" w:rsidR="00780764" w:rsidRPr="009E35ED" w:rsidRDefault="00780764" w:rsidP="00780764">
            <w:pPr>
              <w:ind w:left="0"/>
              <w:jc w:val="right"/>
              <w:rPr>
                <w:rFonts w:ascii="Arial Narrow" w:hAnsi="Arial Narrow"/>
                <w:color w:val="000000" w:themeColor="text1"/>
                <w:sz w:val="18"/>
                <w:szCs w:val="18"/>
                <w:lang w:val="en-PH" w:eastAsia="en-PH"/>
              </w:rPr>
            </w:pPr>
          </w:p>
        </w:tc>
        <w:tc>
          <w:tcPr>
            <w:tcW w:w="1425" w:type="dxa"/>
            <w:tcBorders>
              <w:top w:val="nil"/>
              <w:left w:val="nil"/>
              <w:bottom w:val="nil"/>
              <w:right w:val="nil"/>
            </w:tcBorders>
            <w:shd w:val="clear" w:color="auto" w:fill="auto"/>
            <w:noWrap/>
            <w:vAlign w:val="bottom"/>
            <w:hideMark/>
          </w:tcPr>
          <w:p w14:paraId="304AACE8" w14:textId="77777777" w:rsidR="00780764" w:rsidRPr="009E35ED" w:rsidRDefault="00780764" w:rsidP="00780764">
            <w:pPr>
              <w:ind w:left="0"/>
              <w:jc w:val="right"/>
              <w:rPr>
                <w:rFonts w:ascii="Arial Narrow" w:hAnsi="Arial Narrow"/>
                <w:color w:val="000000" w:themeColor="text1"/>
                <w:sz w:val="18"/>
                <w:szCs w:val="18"/>
                <w:lang w:val="en-PH" w:eastAsia="en-PH"/>
              </w:rPr>
            </w:pPr>
          </w:p>
        </w:tc>
        <w:tc>
          <w:tcPr>
            <w:tcW w:w="1243" w:type="dxa"/>
            <w:tcBorders>
              <w:top w:val="nil"/>
              <w:left w:val="nil"/>
              <w:bottom w:val="nil"/>
              <w:right w:val="nil"/>
            </w:tcBorders>
            <w:shd w:val="clear" w:color="auto" w:fill="auto"/>
            <w:noWrap/>
            <w:vAlign w:val="bottom"/>
            <w:hideMark/>
          </w:tcPr>
          <w:p w14:paraId="3BD80537" w14:textId="77777777" w:rsidR="00780764" w:rsidRPr="009E35ED" w:rsidRDefault="00780764" w:rsidP="00780764">
            <w:pPr>
              <w:ind w:left="0"/>
              <w:jc w:val="right"/>
              <w:rPr>
                <w:rFonts w:ascii="Arial Narrow" w:hAnsi="Arial Narrow"/>
                <w:color w:val="000000" w:themeColor="text1"/>
                <w:sz w:val="18"/>
                <w:szCs w:val="18"/>
                <w:lang w:val="en-PH" w:eastAsia="en-PH"/>
              </w:rPr>
            </w:pPr>
          </w:p>
        </w:tc>
      </w:tr>
      <w:tr w:rsidR="00997F75" w:rsidRPr="009E35ED" w14:paraId="1DCC5238" w14:textId="77777777" w:rsidTr="00860ED6">
        <w:trPr>
          <w:trHeight w:val="203"/>
        </w:trPr>
        <w:tc>
          <w:tcPr>
            <w:tcW w:w="276" w:type="dxa"/>
            <w:tcBorders>
              <w:top w:val="nil"/>
              <w:left w:val="nil"/>
              <w:bottom w:val="nil"/>
              <w:right w:val="nil"/>
            </w:tcBorders>
            <w:shd w:val="clear" w:color="auto" w:fill="auto"/>
            <w:noWrap/>
            <w:vAlign w:val="bottom"/>
            <w:hideMark/>
          </w:tcPr>
          <w:p w14:paraId="472D8AB8" w14:textId="77777777" w:rsidR="00780764" w:rsidRPr="009E35ED" w:rsidRDefault="00780764" w:rsidP="00780764">
            <w:pPr>
              <w:ind w:left="0"/>
              <w:jc w:val="left"/>
              <w:rPr>
                <w:rFonts w:ascii="Arial Narrow" w:hAnsi="Arial Narrow"/>
                <w:color w:val="000000" w:themeColor="text1"/>
                <w:sz w:val="18"/>
                <w:szCs w:val="18"/>
                <w:lang w:val="en-PH" w:eastAsia="en-PH"/>
              </w:rPr>
            </w:pPr>
          </w:p>
        </w:tc>
        <w:tc>
          <w:tcPr>
            <w:tcW w:w="3126" w:type="dxa"/>
            <w:gridSpan w:val="2"/>
            <w:tcBorders>
              <w:top w:val="nil"/>
              <w:left w:val="nil"/>
              <w:bottom w:val="nil"/>
              <w:right w:val="nil"/>
            </w:tcBorders>
            <w:shd w:val="clear" w:color="auto" w:fill="auto"/>
            <w:noWrap/>
            <w:vAlign w:val="bottom"/>
            <w:hideMark/>
          </w:tcPr>
          <w:p w14:paraId="392F8DA2" w14:textId="77777777" w:rsidR="00780764" w:rsidRPr="009E35ED" w:rsidRDefault="00780764" w:rsidP="00780764">
            <w:pPr>
              <w:ind w:left="0"/>
              <w:jc w:val="left"/>
              <w:rPr>
                <w:rFonts w:ascii="Arial Narrow" w:hAnsi="Arial Narrow" w:cs="Arial"/>
                <w:b/>
                <w:bCs/>
                <w:color w:val="000000" w:themeColor="text1"/>
                <w:sz w:val="18"/>
                <w:szCs w:val="18"/>
                <w:lang w:val="en-PH" w:eastAsia="en-PH"/>
              </w:rPr>
            </w:pPr>
            <w:r w:rsidRPr="009E35ED">
              <w:rPr>
                <w:rFonts w:ascii="Arial Narrow" w:hAnsi="Arial Narrow" w:cs="Arial"/>
                <w:b/>
                <w:bCs/>
                <w:color w:val="000000" w:themeColor="text1"/>
                <w:sz w:val="18"/>
                <w:szCs w:val="18"/>
                <w:lang w:val="en-PH" w:eastAsia="en-PH"/>
              </w:rPr>
              <w:t>Sale of Assets</w:t>
            </w:r>
          </w:p>
        </w:tc>
        <w:tc>
          <w:tcPr>
            <w:tcW w:w="1596" w:type="dxa"/>
            <w:tcBorders>
              <w:top w:val="nil"/>
              <w:left w:val="nil"/>
              <w:bottom w:val="nil"/>
              <w:right w:val="nil"/>
            </w:tcBorders>
            <w:shd w:val="clear" w:color="auto" w:fill="auto"/>
            <w:noWrap/>
            <w:vAlign w:val="bottom"/>
            <w:hideMark/>
          </w:tcPr>
          <w:p w14:paraId="7059630E" w14:textId="77777777" w:rsidR="00780764" w:rsidRPr="009E35ED" w:rsidRDefault="00780764" w:rsidP="00780764">
            <w:pPr>
              <w:ind w:left="0"/>
              <w:jc w:val="right"/>
              <w:rPr>
                <w:rFonts w:ascii="Arial Narrow" w:hAnsi="Arial Narrow" w:cs="Arial"/>
                <w:b/>
                <w:bCs/>
                <w:color w:val="000000" w:themeColor="text1"/>
                <w:sz w:val="18"/>
                <w:szCs w:val="18"/>
                <w:lang w:val="en-PH" w:eastAsia="en-PH"/>
              </w:rPr>
            </w:pPr>
          </w:p>
        </w:tc>
        <w:tc>
          <w:tcPr>
            <w:tcW w:w="1716" w:type="dxa"/>
            <w:tcBorders>
              <w:top w:val="nil"/>
              <w:left w:val="nil"/>
              <w:bottom w:val="nil"/>
              <w:right w:val="nil"/>
            </w:tcBorders>
            <w:shd w:val="clear" w:color="auto" w:fill="auto"/>
            <w:noWrap/>
            <w:vAlign w:val="bottom"/>
            <w:hideMark/>
          </w:tcPr>
          <w:p w14:paraId="3039FCCF" w14:textId="77777777" w:rsidR="00780764" w:rsidRPr="009E35ED" w:rsidRDefault="00780764" w:rsidP="00780764">
            <w:pPr>
              <w:ind w:left="0"/>
              <w:jc w:val="right"/>
              <w:rPr>
                <w:rFonts w:ascii="Arial Narrow" w:hAnsi="Arial Narrow"/>
                <w:color w:val="000000" w:themeColor="text1"/>
                <w:sz w:val="18"/>
                <w:szCs w:val="18"/>
                <w:lang w:val="en-PH" w:eastAsia="en-PH"/>
              </w:rPr>
            </w:pPr>
          </w:p>
        </w:tc>
        <w:tc>
          <w:tcPr>
            <w:tcW w:w="1425" w:type="dxa"/>
            <w:tcBorders>
              <w:top w:val="nil"/>
              <w:left w:val="nil"/>
              <w:bottom w:val="nil"/>
              <w:right w:val="nil"/>
            </w:tcBorders>
            <w:shd w:val="clear" w:color="auto" w:fill="auto"/>
            <w:noWrap/>
            <w:vAlign w:val="bottom"/>
            <w:hideMark/>
          </w:tcPr>
          <w:p w14:paraId="3BA45A41" w14:textId="77777777" w:rsidR="00780764" w:rsidRPr="009E35ED" w:rsidRDefault="00780764" w:rsidP="00780764">
            <w:pPr>
              <w:ind w:left="0"/>
              <w:jc w:val="right"/>
              <w:rPr>
                <w:rFonts w:ascii="Arial Narrow" w:hAnsi="Arial Narrow"/>
                <w:color w:val="000000" w:themeColor="text1"/>
                <w:sz w:val="18"/>
                <w:szCs w:val="18"/>
                <w:lang w:val="en-PH" w:eastAsia="en-PH"/>
              </w:rPr>
            </w:pPr>
          </w:p>
        </w:tc>
        <w:tc>
          <w:tcPr>
            <w:tcW w:w="1243" w:type="dxa"/>
            <w:tcBorders>
              <w:top w:val="nil"/>
              <w:left w:val="nil"/>
              <w:bottom w:val="nil"/>
              <w:right w:val="nil"/>
            </w:tcBorders>
            <w:shd w:val="clear" w:color="auto" w:fill="auto"/>
            <w:noWrap/>
            <w:vAlign w:val="bottom"/>
            <w:hideMark/>
          </w:tcPr>
          <w:p w14:paraId="2B274D46" w14:textId="77777777" w:rsidR="00780764" w:rsidRPr="009E35ED" w:rsidRDefault="00780764" w:rsidP="00780764">
            <w:pPr>
              <w:ind w:left="0"/>
              <w:jc w:val="right"/>
              <w:rPr>
                <w:rFonts w:ascii="Arial Narrow" w:hAnsi="Arial Narrow"/>
                <w:color w:val="000000" w:themeColor="text1"/>
                <w:sz w:val="18"/>
                <w:szCs w:val="18"/>
                <w:lang w:val="en-PH" w:eastAsia="en-PH"/>
              </w:rPr>
            </w:pPr>
          </w:p>
        </w:tc>
      </w:tr>
      <w:tr w:rsidR="00997F75" w:rsidRPr="009E35ED" w14:paraId="2E7D4693" w14:textId="77777777" w:rsidTr="00860ED6">
        <w:trPr>
          <w:trHeight w:val="193"/>
        </w:trPr>
        <w:tc>
          <w:tcPr>
            <w:tcW w:w="276" w:type="dxa"/>
            <w:tcBorders>
              <w:top w:val="nil"/>
              <w:left w:val="nil"/>
              <w:bottom w:val="nil"/>
              <w:right w:val="nil"/>
            </w:tcBorders>
            <w:shd w:val="clear" w:color="auto" w:fill="auto"/>
            <w:noWrap/>
            <w:vAlign w:val="bottom"/>
            <w:hideMark/>
          </w:tcPr>
          <w:p w14:paraId="427AF560" w14:textId="77777777" w:rsidR="00302079" w:rsidRPr="009E35ED" w:rsidRDefault="00302079" w:rsidP="00302079">
            <w:pPr>
              <w:ind w:left="0"/>
              <w:jc w:val="left"/>
              <w:rPr>
                <w:rFonts w:ascii="Arial Narrow" w:hAnsi="Arial Narrow"/>
                <w:color w:val="000000" w:themeColor="text1"/>
                <w:sz w:val="18"/>
                <w:szCs w:val="18"/>
                <w:lang w:val="en-PH" w:eastAsia="en-PH"/>
              </w:rPr>
            </w:pPr>
          </w:p>
        </w:tc>
        <w:tc>
          <w:tcPr>
            <w:tcW w:w="264" w:type="dxa"/>
            <w:tcBorders>
              <w:top w:val="nil"/>
              <w:left w:val="nil"/>
              <w:bottom w:val="nil"/>
              <w:right w:val="nil"/>
            </w:tcBorders>
            <w:shd w:val="clear" w:color="auto" w:fill="auto"/>
            <w:noWrap/>
            <w:vAlign w:val="bottom"/>
            <w:hideMark/>
          </w:tcPr>
          <w:p w14:paraId="02244536" w14:textId="77777777" w:rsidR="00302079" w:rsidRPr="009E35ED" w:rsidRDefault="00302079" w:rsidP="00302079">
            <w:pPr>
              <w:ind w:left="0"/>
              <w:jc w:val="left"/>
              <w:rPr>
                <w:rFonts w:ascii="Arial Narrow" w:hAnsi="Arial Narrow"/>
                <w:color w:val="000000" w:themeColor="text1"/>
                <w:sz w:val="18"/>
                <w:szCs w:val="18"/>
                <w:lang w:val="en-PH" w:eastAsia="en-PH"/>
              </w:rPr>
            </w:pPr>
          </w:p>
        </w:tc>
        <w:tc>
          <w:tcPr>
            <w:tcW w:w="2862" w:type="dxa"/>
            <w:tcBorders>
              <w:top w:val="nil"/>
              <w:left w:val="nil"/>
              <w:bottom w:val="nil"/>
              <w:right w:val="nil"/>
            </w:tcBorders>
            <w:shd w:val="clear" w:color="auto" w:fill="auto"/>
            <w:noWrap/>
            <w:vAlign w:val="bottom"/>
            <w:hideMark/>
          </w:tcPr>
          <w:p w14:paraId="447FDA38" w14:textId="1BDE8AC2" w:rsidR="00302079" w:rsidRPr="009E35ED" w:rsidRDefault="00302079" w:rsidP="00302079">
            <w:pPr>
              <w:ind w:left="0"/>
              <w:jc w:val="left"/>
              <w:rPr>
                <w:rFonts w:ascii="Arial Narrow" w:hAnsi="Arial Narrow" w:cs="Arial"/>
                <w:color w:val="000000" w:themeColor="text1"/>
                <w:sz w:val="18"/>
                <w:szCs w:val="18"/>
                <w:lang w:val="en-PH" w:eastAsia="en-PH"/>
              </w:rPr>
            </w:pPr>
            <w:r w:rsidRPr="009E35ED">
              <w:rPr>
                <w:rFonts w:ascii="Arial Narrow" w:hAnsi="Arial Narrow" w:cs="Arial"/>
                <w:color w:val="000000" w:themeColor="text1"/>
                <w:sz w:val="18"/>
                <w:szCs w:val="18"/>
                <w:lang w:val="en-PH" w:eastAsia="en-PH"/>
              </w:rPr>
              <w:t xml:space="preserve">Sale of </w:t>
            </w:r>
            <w:r w:rsidR="00F93FBC">
              <w:rPr>
                <w:rFonts w:ascii="Arial Narrow" w:hAnsi="Arial Narrow" w:cs="Arial"/>
                <w:color w:val="000000" w:themeColor="text1"/>
                <w:sz w:val="18"/>
                <w:szCs w:val="18"/>
                <w:lang w:val="en-PH" w:eastAsia="en-PH"/>
              </w:rPr>
              <w:t>u</w:t>
            </w:r>
            <w:r w:rsidRPr="009E35ED">
              <w:rPr>
                <w:rFonts w:ascii="Arial Narrow" w:hAnsi="Arial Narrow" w:cs="Arial"/>
                <w:color w:val="000000" w:themeColor="text1"/>
                <w:sz w:val="18"/>
                <w:szCs w:val="18"/>
                <w:lang w:val="en-PH" w:eastAsia="en-PH"/>
              </w:rPr>
              <w:t xml:space="preserve">nserviceable </w:t>
            </w:r>
            <w:r w:rsidR="00F93FBC">
              <w:rPr>
                <w:rFonts w:ascii="Arial Narrow" w:hAnsi="Arial Narrow" w:cs="Arial"/>
                <w:color w:val="000000" w:themeColor="text1"/>
                <w:sz w:val="18"/>
                <w:szCs w:val="18"/>
                <w:lang w:val="en-PH" w:eastAsia="en-PH"/>
              </w:rPr>
              <w:t>p</w:t>
            </w:r>
            <w:r w:rsidRPr="009E35ED">
              <w:rPr>
                <w:rFonts w:ascii="Arial Narrow" w:hAnsi="Arial Narrow" w:cs="Arial"/>
                <w:color w:val="000000" w:themeColor="text1"/>
                <w:sz w:val="18"/>
                <w:szCs w:val="18"/>
                <w:lang w:val="en-PH" w:eastAsia="en-PH"/>
              </w:rPr>
              <w:t>roperty</w:t>
            </w:r>
          </w:p>
        </w:tc>
        <w:tc>
          <w:tcPr>
            <w:tcW w:w="1596" w:type="dxa"/>
            <w:tcBorders>
              <w:top w:val="nil"/>
              <w:left w:val="nil"/>
              <w:bottom w:val="nil"/>
              <w:right w:val="nil"/>
            </w:tcBorders>
            <w:shd w:val="clear" w:color="auto" w:fill="auto"/>
            <w:noWrap/>
            <w:vAlign w:val="bottom"/>
          </w:tcPr>
          <w:p w14:paraId="77E3799F" w14:textId="6B57B439" w:rsidR="00302079" w:rsidRPr="009E35ED" w:rsidRDefault="0080094C" w:rsidP="00302079">
            <w:pPr>
              <w:ind w:left="0"/>
              <w:jc w:val="right"/>
              <w:rPr>
                <w:rFonts w:ascii="Arial Narrow" w:hAnsi="Arial Narrow" w:cs="Arial"/>
                <w:color w:val="000000" w:themeColor="text1"/>
                <w:sz w:val="18"/>
                <w:szCs w:val="18"/>
                <w:lang w:val="en-PH" w:eastAsia="en-PH"/>
              </w:rPr>
            </w:pPr>
            <w:r w:rsidRPr="009E35ED">
              <w:rPr>
                <w:rFonts w:ascii="Arial Narrow" w:hAnsi="Arial Narrow" w:cs="Arial"/>
                <w:color w:val="000000" w:themeColor="text1"/>
                <w:sz w:val="18"/>
                <w:szCs w:val="18"/>
                <w:lang w:val="en-PH" w:eastAsia="en-PH"/>
              </w:rPr>
              <w:t>(82,164)</w:t>
            </w:r>
          </w:p>
        </w:tc>
        <w:tc>
          <w:tcPr>
            <w:tcW w:w="1716" w:type="dxa"/>
            <w:tcBorders>
              <w:top w:val="nil"/>
              <w:left w:val="nil"/>
              <w:bottom w:val="nil"/>
              <w:right w:val="nil"/>
            </w:tcBorders>
            <w:shd w:val="clear" w:color="auto" w:fill="auto"/>
            <w:noWrap/>
            <w:vAlign w:val="bottom"/>
          </w:tcPr>
          <w:p w14:paraId="6CBDD374" w14:textId="049DA768" w:rsidR="00302079" w:rsidRPr="009E35ED" w:rsidRDefault="00302079" w:rsidP="00302079">
            <w:pPr>
              <w:ind w:left="0"/>
              <w:jc w:val="right"/>
              <w:rPr>
                <w:rFonts w:ascii="Arial Narrow" w:hAnsi="Arial Narrow" w:cs="Arial"/>
                <w:color w:val="000000" w:themeColor="text1"/>
                <w:sz w:val="18"/>
                <w:szCs w:val="18"/>
                <w:lang w:val="en-PH" w:eastAsia="en-PH"/>
              </w:rPr>
            </w:pPr>
            <w:r w:rsidRPr="009E35ED">
              <w:rPr>
                <w:rFonts w:ascii="Arial Narrow" w:hAnsi="Arial Narrow" w:cs="Arial"/>
                <w:color w:val="000000" w:themeColor="text1"/>
                <w:sz w:val="18"/>
                <w:szCs w:val="18"/>
                <w:lang w:val="en-PH" w:eastAsia="en-PH"/>
              </w:rPr>
              <w:t>-</w:t>
            </w:r>
          </w:p>
        </w:tc>
        <w:tc>
          <w:tcPr>
            <w:tcW w:w="1425" w:type="dxa"/>
            <w:tcBorders>
              <w:top w:val="nil"/>
              <w:left w:val="nil"/>
              <w:bottom w:val="nil"/>
              <w:right w:val="nil"/>
            </w:tcBorders>
            <w:shd w:val="clear" w:color="auto" w:fill="auto"/>
            <w:noWrap/>
            <w:vAlign w:val="bottom"/>
          </w:tcPr>
          <w:p w14:paraId="4965EB5F" w14:textId="596C3E34" w:rsidR="00302079" w:rsidRPr="009E35ED" w:rsidRDefault="00302079" w:rsidP="00302079">
            <w:pPr>
              <w:ind w:left="0"/>
              <w:jc w:val="right"/>
              <w:rPr>
                <w:rFonts w:ascii="Arial Narrow" w:hAnsi="Arial Narrow"/>
                <w:color w:val="000000" w:themeColor="text1"/>
                <w:sz w:val="18"/>
                <w:szCs w:val="18"/>
                <w:lang w:val="en-PH" w:eastAsia="en-PH"/>
              </w:rPr>
            </w:pPr>
            <w:r w:rsidRPr="009E35ED">
              <w:rPr>
                <w:rFonts w:ascii="Arial Narrow" w:hAnsi="Arial Narrow"/>
                <w:color w:val="000000" w:themeColor="text1"/>
                <w:sz w:val="18"/>
                <w:szCs w:val="18"/>
                <w:lang w:val="en-PH" w:eastAsia="en-PH"/>
              </w:rPr>
              <w:t>-</w:t>
            </w:r>
          </w:p>
        </w:tc>
        <w:tc>
          <w:tcPr>
            <w:tcW w:w="1243" w:type="dxa"/>
            <w:tcBorders>
              <w:top w:val="nil"/>
              <w:left w:val="nil"/>
              <w:bottom w:val="nil"/>
              <w:right w:val="nil"/>
            </w:tcBorders>
            <w:shd w:val="clear" w:color="auto" w:fill="auto"/>
            <w:noWrap/>
          </w:tcPr>
          <w:p w14:paraId="66037A72" w14:textId="35E1D6E3" w:rsidR="00302079" w:rsidRPr="009E35ED" w:rsidRDefault="009B5122" w:rsidP="00302079">
            <w:pPr>
              <w:ind w:left="0"/>
              <w:jc w:val="right"/>
              <w:rPr>
                <w:rFonts w:ascii="Arial Narrow" w:hAnsi="Arial Narrow" w:cs="Arial"/>
                <w:color w:val="000000" w:themeColor="text1"/>
                <w:sz w:val="18"/>
                <w:szCs w:val="18"/>
                <w:lang w:val="en-PH" w:eastAsia="en-PH"/>
              </w:rPr>
            </w:pPr>
            <w:r w:rsidRPr="009E35ED">
              <w:rPr>
                <w:rFonts w:ascii="Arial Narrow" w:hAnsi="Arial Narrow" w:cs="Arial"/>
                <w:color w:val="000000" w:themeColor="text1"/>
                <w:sz w:val="18"/>
                <w:szCs w:val="18"/>
                <w:lang w:val="en-PH" w:eastAsia="en-PH"/>
              </w:rPr>
              <w:t>(82,164)</w:t>
            </w:r>
          </w:p>
        </w:tc>
      </w:tr>
      <w:tr w:rsidR="00997F75" w:rsidRPr="009E35ED" w14:paraId="2A3C61F3" w14:textId="77777777" w:rsidTr="00860ED6">
        <w:trPr>
          <w:trHeight w:val="203"/>
        </w:trPr>
        <w:tc>
          <w:tcPr>
            <w:tcW w:w="276" w:type="dxa"/>
            <w:tcBorders>
              <w:top w:val="single" w:sz="4" w:space="0" w:color="auto"/>
              <w:left w:val="nil"/>
              <w:bottom w:val="single" w:sz="4" w:space="0" w:color="auto"/>
              <w:right w:val="nil"/>
            </w:tcBorders>
            <w:shd w:val="clear" w:color="auto" w:fill="auto"/>
            <w:noWrap/>
            <w:vAlign w:val="bottom"/>
            <w:hideMark/>
          </w:tcPr>
          <w:p w14:paraId="1709431B" w14:textId="77777777" w:rsidR="00302079" w:rsidRPr="009E35ED" w:rsidRDefault="00302079" w:rsidP="00302079">
            <w:pPr>
              <w:ind w:left="0"/>
              <w:jc w:val="left"/>
              <w:rPr>
                <w:rFonts w:ascii="Arial Narrow" w:hAnsi="Arial Narrow" w:cs="Arial"/>
                <w:color w:val="000000" w:themeColor="text1"/>
                <w:sz w:val="18"/>
                <w:szCs w:val="18"/>
                <w:lang w:val="en-PH" w:eastAsia="en-PH"/>
              </w:rPr>
            </w:pPr>
            <w:r w:rsidRPr="009E35ED">
              <w:rPr>
                <w:rFonts w:ascii="Arial Narrow" w:hAnsi="Arial Narrow" w:cs="Arial"/>
                <w:color w:val="000000" w:themeColor="text1"/>
                <w:sz w:val="18"/>
                <w:szCs w:val="18"/>
                <w:lang w:val="en-PH" w:eastAsia="en-PH"/>
              </w:rPr>
              <w:t> </w:t>
            </w:r>
          </w:p>
        </w:tc>
        <w:tc>
          <w:tcPr>
            <w:tcW w:w="264" w:type="dxa"/>
            <w:tcBorders>
              <w:top w:val="single" w:sz="4" w:space="0" w:color="auto"/>
              <w:left w:val="nil"/>
              <w:bottom w:val="single" w:sz="4" w:space="0" w:color="auto"/>
              <w:right w:val="nil"/>
            </w:tcBorders>
            <w:shd w:val="clear" w:color="auto" w:fill="auto"/>
            <w:noWrap/>
            <w:vAlign w:val="bottom"/>
            <w:hideMark/>
          </w:tcPr>
          <w:p w14:paraId="59602425" w14:textId="77777777" w:rsidR="00302079" w:rsidRPr="009E35ED" w:rsidRDefault="00302079" w:rsidP="00302079">
            <w:pPr>
              <w:ind w:left="0"/>
              <w:jc w:val="left"/>
              <w:rPr>
                <w:rFonts w:ascii="Arial Narrow" w:hAnsi="Arial Narrow" w:cs="Arial"/>
                <w:color w:val="000000" w:themeColor="text1"/>
                <w:sz w:val="18"/>
                <w:szCs w:val="18"/>
                <w:lang w:val="en-PH" w:eastAsia="en-PH"/>
              </w:rPr>
            </w:pPr>
            <w:r w:rsidRPr="009E35ED">
              <w:rPr>
                <w:rFonts w:ascii="Arial Narrow" w:hAnsi="Arial Narrow" w:cs="Arial"/>
                <w:color w:val="000000" w:themeColor="text1"/>
                <w:sz w:val="18"/>
                <w:szCs w:val="18"/>
                <w:lang w:val="en-PH" w:eastAsia="en-PH"/>
              </w:rPr>
              <w:t> </w:t>
            </w:r>
          </w:p>
        </w:tc>
        <w:tc>
          <w:tcPr>
            <w:tcW w:w="2862" w:type="dxa"/>
            <w:tcBorders>
              <w:top w:val="single" w:sz="4" w:space="0" w:color="auto"/>
              <w:left w:val="nil"/>
              <w:bottom w:val="single" w:sz="4" w:space="0" w:color="auto"/>
              <w:right w:val="nil"/>
            </w:tcBorders>
            <w:shd w:val="clear" w:color="auto" w:fill="auto"/>
            <w:noWrap/>
            <w:vAlign w:val="bottom"/>
            <w:hideMark/>
          </w:tcPr>
          <w:p w14:paraId="58578844" w14:textId="77777777" w:rsidR="00302079" w:rsidRPr="009E35ED" w:rsidRDefault="00302079" w:rsidP="00302079">
            <w:pPr>
              <w:ind w:left="0"/>
              <w:jc w:val="left"/>
              <w:rPr>
                <w:rFonts w:ascii="Arial Narrow" w:hAnsi="Arial Narrow" w:cs="Arial"/>
                <w:b/>
                <w:bCs/>
                <w:color w:val="000000" w:themeColor="text1"/>
                <w:sz w:val="18"/>
                <w:szCs w:val="18"/>
                <w:lang w:val="en-PH" w:eastAsia="en-PH"/>
              </w:rPr>
            </w:pPr>
            <w:r w:rsidRPr="009E35ED">
              <w:rPr>
                <w:rFonts w:ascii="Arial Narrow" w:hAnsi="Arial Narrow" w:cs="Arial"/>
                <w:b/>
                <w:bCs/>
                <w:color w:val="000000" w:themeColor="text1"/>
                <w:sz w:val="18"/>
                <w:szCs w:val="18"/>
                <w:lang w:val="en-PH" w:eastAsia="en-PH"/>
              </w:rPr>
              <w:t>Total Sale of Assets</w:t>
            </w:r>
          </w:p>
        </w:tc>
        <w:tc>
          <w:tcPr>
            <w:tcW w:w="1596" w:type="dxa"/>
            <w:tcBorders>
              <w:top w:val="single" w:sz="4" w:space="0" w:color="auto"/>
              <w:left w:val="nil"/>
              <w:bottom w:val="single" w:sz="4" w:space="0" w:color="auto"/>
              <w:right w:val="nil"/>
            </w:tcBorders>
            <w:shd w:val="clear" w:color="auto" w:fill="auto"/>
            <w:noWrap/>
            <w:vAlign w:val="bottom"/>
          </w:tcPr>
          <w:p w14:paraId="311376F7" w14:textId="6E1C0150" w:rsidR="00302079" w:rsidRPr="009E35ED" w:rsidRDefault="0080094C" w:rsidP="00302079">
            <w:pPr>
              <w:ind w:left="0"/>
              <w:jc w:val="right"/>
              <w:rPr>
                <w:rFonts w:ascii="Arial Narrow" w:hAnsi="Arial Narrow" w:cs="Arial"/>
                <w:b/>
                <w:bCs/>
                <w:color w:val="000000" w:themeColor="text1"/>
                <w:sz w:val="18"/>
                <w:szCs w:val="18"/>
                <w:lang w:val="en-PH" w:eastAsia="en-PH"/>
              </w:rPr>
            </w:pPr>
            <w:r w:rsidRPr="009E35ED">
              <w:rPr>
                <w:rFonts w:ascii="Arial Narrow" w:hAnsi="Arial Narrow" w:cs="Arial"/>
                <w:b/>
                <w:color w:val="000000" w:themeColor="text1"/>
                <w:sz w:val="18"/>
                <w:szCs w:val="18"/>
                <w:lang w:val="en-PH" w:eastAsia="en-PH"/>
              </w:rPr>
              <w:t>(82,164)</w:t>
            </w:r>
          </w:p>
        </w:tc>
        <w:tc>
          <w:tcPr>
            <w:tcW w:w="1716" w:type="dxa"/>
            <w:tcBorders>
              <w:top w:val="single" w:sz="4" w:space="0" w:color="auto"/>
              <w:left w:val="nil"/>
              <w:bottom w:val="single" w:sz="4" w:space="0" w:color="auto"/>
              <w:right w:val="nil"/>
            </w:tcBorders>
            <w:shd w:val="clear" w:color="auto" w:fill="auto"/>
            <w:noWrap/>
            <w:vAlign w:val="bottom"/>
          </w:tcPr>
          <w:p w14:paraId="52C7A889" w14:textId="7CB580DE" w:rsidR="00302079" w:rsidRPr="009E35ED" w:rsidRDefault="00302079" w:rsidP="00302079">
            <w:pPr>
              <w:ind w:left="0"/>
              <w:jc w:val="right"/>
              <w:rPr>
                <w:rFonts w:ascii="Arial Narrow" w:hAnsi="Arial Narrow" w:cs="Arial"/>
                <w:b/>
                <w:bCs/>
                <w:color w:val="000000" w:themeColor="text1"/>
                <w:sz w:val="18"/>
                <w:szCs w:val="18"/>
                <w:lang w:val="en-PH" w:eastAsia="en-PH"/>
              </w:rPr>
            </w:pPr>
            <w:r w:rsidRPr="009E35ED">
              <w:rPr>
                <w:rFonts w:ascii="Arial Narrow" w:hAnsi="Arial Narrow" w:cs="Arial"/>
                <w:b/>
                <w:bCs/>
                <w:color w:val="000000" w:themeColor="text1"/>
                <w:sz w:val="18"/>
                <w:szCs w:val="18"/>
                <w:lang w:val="en-PH" w:eastAsia="en-PH"/>
              </w:rPr>
              <w:t>-</w:t>
            </w:r>
          </w:p>
        </w:tc>
        <w:tc>
          <w:tcPr>
            <w:tcW w:w="1425" w:type="dxa"/>
            <w:tcBorders>
              <w:top w:val="single" w:sz="4" w:space="0" w:color="auto"/>
              <w:left w:val="nil"/>
              <w:bottom w:val="single" w:sz="4" w:space="0" w:color="auto"/>
              <w:right w:val="nil"/>
            </w:tcBorders>
            <w:shd w:val="clear" w:color="auto" w:fill="auto"/>
            <w:noWrap/>
            <w:vAlign w:val="bottom"/>
          </w:tcPr>
          <w:p w14:paraId="5099828F" w14:textId="5379B794" w:rsidR="00302079" w:rsidRPr="009E35ED" w:rsidRDefault="00302079" w:rsidP="00302079">
            <w:pPr>
              <w:ind w:left="0"/>
              <w:jc w:val="right"/>
              <w:rPr>
                <w:rFonts w:ascii="Arial Narrow" w:hAnsi="Arial Narrow" w:cs="Arial"/>
                <w:b/>
                <w:bCs/>
                <w:color w:val="000000" w:themeColor="text1"/>
                <w:sz w:val="18"/>
                <w:szCs w:val="18"/>
                <w:lang w:val="en-PH" w:eastAsia="en-PH"/>
              </w:rPr>
            </w:pPr>
            <w:r w:rsidRPr="009E35ED">
              <w:rPr>
                <w:rFonts w:ascii="Arial Narrow" w:hAnsi="Arial Narrow" w:cs="Arial"/>
                <w:b/>
                <w:bCs/>
                <w:color w:val="000000" w:themeColor="text1"/>
                <w:sz w:val="18"/>
                <w:szCs w:val="18"/>
                <w:lang w:val="en-PH" w:eastAsia="en-PH"/>
              </w:rPr>
              <w:t>-</w:t>
            </w:r>
          </w:p>
        </w:tc>
        <w:tc>
          <w:tcPr>
            <w:tcW w:w="1243" w:type="dxa"/>
            <w:tcBorders>
              <w:top w:val="single" w:sz="4" w:space="0" w:color="auto"/>
              <w:left w:val="nil"/>
              <w:bottom w:val="single" w:sz="4" w:space="0" w:color="auto"/>
              <w:right w:val="nil"/>
            </w:tcBorders>
            <w:shd w:val="clear" w:color="auto" w:fill="auto"/>
            <w:noWrap/>
          </w:tcPr>
          <w:p w14:paraId="2C328C48" w14:textId="5C289A04" w:rsidR="00302079" w:rsidRPr="009E35ED" w:rsidRDefault="009B5122" w:rsidP="00302079">
            <w:pPr>
              <w:ind w:left="0"/>
              <w:jc w:val="right"/>
              <w:rPr>
                <w:rFonts w:ascii="Arial Narrow" w:hAnsi="Arial Narrow" w:cs="Arial"/>
                <w:b/>
                <w:bCs/>
                <w:color w:val="000000" w:themeColor="text1"/>
                <w:sz w:val="18"/>
                <w:szCs w:val="18"/>
                <w:lang w:val="en-PH" w:eastAsia="en-PH"/>
              </w:rPr>
            </w:pPr>
            <w:r w:rsidRPr="009E35ED">
              <w:rPr>
                <w:rFonts w:ascii="Arial Narrow" w:hAnsi="Arial Narrow" w:cs="Arial"/>
                <w:b/>
                <w:color w:val="000000" w:themeColor="text1"/>
                <w:sz w:val="18"/>
                <w:szCs w:val="18"/>
                <w:lang w:val="en-PH" w:eastAsia="en-PH"/>
              </w:rPr>
              <w:t>(82,164)</w:t>
            </w:r>
          </w:p>
        </w:tc>
      </w:tr>
      <w:tr w:rsidR="00997F75" w:rsidRPr="009E35ED" w14:paraId="46317674" w14:textId="77777777" w:rsidTr="00860ED6">
        <w:trPr>
          <w:trHeight w:val="203"/>
        </w:trPr>
        <w:tc>
          <w:tcPr>
            <w:tcW w:w="276" w:type="dxa"/>
            <w:tcBorders>
              <w:top w:val="nil"/>
              <w:left w:val="nil"/>
              <w:bottom w:val="nil"/>
              <w:right w:val="nil"/>
            </w:tcBorders>
            <w:shd w:val="clear" w:color="auto" w:fill="auto"/>
            <w:noWrap/>
            <w:vAlign w:val="bottom"/>
            <w:hideMark/>
          </w:tcPr>
          <w:p w14:paraId="57DE41C0" w14:textId="77777777" w:rsidR="00780764" w:rsidRPr="009E35ED" w:rsidRDefault="00780764" w:rsidP="00780764">
            <w:pPr>
              <w:ind w:left="0"/>
              <w:jc w:val="left"/>
              <w:rPr>
                <w:rFonts w:ascii="Arial Narrow" w:hAnsi="Arial Narrow"/>
                <w:color w:val="000000" w:themeColor="text1"/>
                <w:sz w:val="18"/>
                <w:szCs w:val="18"/>
                <w:lang w:val="en-PH" w:eastAsia="en-PH"/>
              </w:rPr>
            </w:pPr>
          </w:p>
        </w:tc>
        <w:tc>
          <w:tcPr>
            <w:tcW w:w="3126" w:type="dxa"/>
            <w:gridSpan w:val="2"/>
            <w:tcBorders>
              <w:top w:val="nil"/>
              <w:left w:val="nil"/>
              <w:bottom w:val="nil"/>
              <w:right w:val="nil"/>
            </w:tcBorders>
            <w:shd w:val="clear" w:color="auto" w:fill="auto"/>
            <w:noWrap/>
            <w:vAlign w:val="bottom"/>
            <w:hideMark/>
          </w:tcPr>
          <w:p w14:paraId="0EE3A10A" w14:textId="77777777" w:rsidR="005769AD" w:rsidRPr="009E35ED" w:rsidRDefault="005769AD" w:rsidP="00780764">
            <w:pPr>
              <w:ind w:left="0"/>
              <w:jc w:val="left"/>
              <w:rPr>
                <w:rFonts w:ascii="Arial Narrow" w:hAnsi="Arial Narrow" w:cs="Arial"/>
                <w:b/>
                <w:bCs/>
                <w:color w:val="000000" w:themeColor="text1"/>
                <w:sz w:val="18"/>
                <w:szCs w:val="18"/>
                <w:lang w:val="en-PH" w:eastAsia="en-PH"/>
              </w:rPr>
            </w:pPr>
          </w:p>
          <w:p w14:paraId="048D4356" w14:textId="2B7A538A" w:rsidR="00780764" w:rsidRPr="009E35ED" w:rsidRDefault="00780764" w:rsidP="00780764">
            <w:pPr>
              <w:ind w:left="0"/>
              <w:jc w:val="left"/>
              <w:rPr>
                <w:rFonts w:ascii="Arial Narrow" w:hAnsi="Arial Narrow" w:cs="Arial"/>
                <w:b/>
                <w:bCs/>
                <w:color w:val="000000" w:themeColor="text1"/>
                <w:sz w:val="18"/>
                <w:szCs w:val="18"/>
                <w:lang w:val="en-PH" w:eastAsia="en-PH"/>
              </w:rPr>
            </w:pPr>
            <w:r w:rsidRPr="009E35ED">
              <w:rPr>
                <w:rFonts w:ascii="Arial Narrow" w:hAnsi="Arial Narrow" w:cs="Arial"/>
                <w:b/>
                <w:bCs/>
                <w:color w:val="000000" w:themeColor="text1"/>
                <w:sz w:val="18"/>
                <w:szCs w:val="18"/>
                <w:lang w:val="en-PH" w:eastAsia="en-PH"/>
              </w:rPr>
              <w:t>Miscellaneous Income</w:t>
            </w:r>
          </w:p>
        </w:tc>
        <w:tc>
          <w:tcPr>
            <w:tcW w:w="1596" w:type="dxa"/>
            <w:tcBorders>
              <w:top w:val="nil"/>
              <w:left w:val="nil"/>
              <w:bottom w:val="nil"/>
              <w:right w:val="nil"/>
            </w:tcBorders>
            <w:shd w:val="clear" w:color="auto" w:fill="auto"/>
            <w:noWrap/>
            <w:vAlign w:val="bottom"/>
          </w:tcPr>
          <w:p w14:paraId="3A5CF2E3" w14:textId="77777777" w:rsidR="00780764" w:rsidRPr="009E35ED" w:rsidRDefault="00780764" w:rsidP="00780764">
            <w:pPr>
              <w:ind w:left="0"/>
              <w:jc w:val="right"/>
              <w:rPr>
                <w:rFonts w:ascii="Arial Narrow" w:hAnsi="Arial Narrow" w:cs="Arial"/>
                <w:b/>
                <w:bCs/>
                <w:color w:val="000000" w:themeColor="text1"/>
                <w:sz w:val="18"/>
                <w:szCs w:val="18"/>
                <w:lang w:val="en-PH" w:eastAsia="en-PH"/>
              </w:rPr>
            </w:pPr>
          </w:p>
        </w:tc>
        <w:tc>
          <w:tcPr>
            <w:tcW w:w="1716" w:type="dxa"/>
            <w:tcBorders>
              <w:top w:val="nil"/>
              <w:left w:val="nil"/>
              <w:bottom w:val="nil"/>
              <w:right w:val="nil"/>
            </w:tcBorders>
            <w:shd w:val="clear" w:color="auto" w:fill="auto"/>
            <w:noWrap/>
            <w:vAlign w:val="bottom"/>
          </w:tcPr>
          <w:p w14:paraId="1ADED498" w14:textId="77777777" w:rsidR="00780764" w:rsidRPr="009E35ED" w:rsidRDefault="00780764" w:rsidP="00780764">
            <w:pPr>
              <w:ind w:left="0"/>
              <w:jc w:val="right"/>
              <w:rPr>
                <w:rFonts w:ascii="Arial Narrow" w:hAnsi="Arial Narrow"/>
                <w:color w:val="000000" w:themeColor="text1"/>
                <w:sz w:val="18"/>
                <w:szCs w:val="18"/>
                <w:lang w:val="en-PH" w:eastAsia="en-PH"/>
              </w:rPr>
            </w:pPr>
          </w:p>
        </w:tc>
        <w:tc>
          <w:tcPr>
            <w:tcW w:w="1425" w:type="dxa"/>
            <w:tcBorders>
              <w:top w:val="nil"/>
              <w:left w:val="nil"/>
              <w:bottom w:val="nil"/>
              <w:right w:val="nil"/>
            </w:tcBorders>
            <w:shd w:val="clear" w:color="auto" w:fill="auto"/>
            <w:noWrap/>
            <w:vAlign w:val="bottom"/>
          </w:tcPr>
          <w:p w14:paraId="718E94CC" w14:textId="77777777" w:rsidR="00780764" w:rsidRPr="009E35ED" w:rsidRDefault="00780764" w:rsidP="00780764">
            <w:pPr>
              <w:ind w:left="0"/>
              <w:jc w:val="right"/>
              <w:rPr>
                <w:rFonts w:ascii="Arial Narrow" w:hAnsi="Arial Narrow"/>
                <w:color w:val="000000" w:themeColor="text1"/>
                <w:sz w:val="18"/>
                <w:szCs w:val="18"/>
                <w:lang w:val="en-PH" w:eastAsia="en-PH"/>
              </w:rPr>
            </w:pPr>
          </w:p>
        </w:tc>
        <w:tc>
          <w:tcPr>
            <w:tcW w:w="1243" w:type="dxa"/>
            <w:tcBorders>
              <w:top w:val="nil"/>
              <w:left w:val="nil"/>
              <w:bottom w:val="nil"/>
              <w:right w:val="nil"/>
            </w:tcBorders>
            <w:shd w:val="clear" w:color="auto" w:fill="auto"/>
            <w:noWrap/>
            <w:vAlign w:val="bottom"/>
          </w:tcPr>
          <w:p w14:paraId="05EF3E30" w14:textId="77777777" w:rsidR="00780764" w:rsidRPr="009E35ED" w:rsidRDefault="00780764" w:rsidP="00780764">
            <w:pPr>
              <w:ind w:left="0"/>
              <w:jc w:val="right"/>
              <w:rPr>
                <w:rFonts w:ascii="Arial Narrow" w:hAnsi="Arial Narrow"/>
                <w:color w:val="000000" w:themeColor="text1"/>
                <w:sz w:val="18"/>
                <w:szCs w:val="18"/>
                <w:lang w:val="en-PH" w:eastAsia="en-PH"/>
              </w:rPr>
            </w:pPr>
          </w:p>
        </w:tc>
      </w:tr>
      <w:tr w:rsidR="00997F75" w:rsidRPr="009E35ED" w14:paraId="36F6F15C" w14:textId="77777777" w:rsidTr="00860ED6">
        <w:trPr>
          <w:trHeight w:val="193"/>
        </w:trPr>
        <w:tc>
          <w:tcPr>
            <w:tcW w:w="276" w:type="dxa"/>
            <w:tcBorders>
              <w:top w:val="nil"/>
              <w:left w:val="nil"/>
              <w:bottom w:val="nil"/>
              <w:right w:val="nil"/>
            </w:tcBorders>
            <w:shd w:val="clear" w:color="auto" w:fill="auto"/>
            <w:noWrap/>
            <w:vAlign w:val="bottom"/>
            <w:hideMark/>
          </w:tcPr>
          <w:p w14:paraId="729A10C3" w14:textId="77777777" w:rsidR="00CC2082" w:rsidRPr="009E35ED" w:rsidRDefault="00CC2082" w:rsidP="00CC2082">
            <w:pPr>
              <w:ind w:left="0"/>
              <w:jc w:val="left"/>
              <w:rPr>
                <w:rFonts w:ascii="Arial Narrow" w:hAnsi="Arial Narrow"/>
                <w:color w:val="000000" w:themeColor="text1"/>
                <w:sz w:val="18"/>
                <w:szCs w:val="18"/>
                <w:lang w:val="en-PH" w:eastAsia="en-PH"/>
              </w:rPr>
            </w:pPr>
          </w:p>
        </w:tc>
        <w:tc>
          <w:tcPr>
            <w:tcW w:w="264" w:type="dxa"/>
            <w:tcBorders>
              <w:top w:val="nil"/>
              <w:left w:val="nil"/>
              <w:bottom w:val="nil"/>
              <w:right w:val="nil"/>
            </w:tcBorders>
            <w:shd w:val="clear" w:color="auto" w:fill="auto"/>
            <w:noWrap/>
            <w:vAlign w:val="bottom"/>
            <w:hideMark/>
          </w:tcPr>
          <w:p w14:paraId="1B81F3C4" w14:textId="77777777" w:rsidR="00CC2082" w:rsidRPr="009E35ED" w:rsidRDefault="00CC2082" w:rsidP="00CC2082">
            <w:pPr>
              <w:ind w:left="0"/>
              <w:jc w:val="left"/>
              <w:rPr>
                <w:rFonts w:ascii="Arial Narrow" w:hAnsi="Arial Narrow"/>
                <w:color w:val="000000" w:themeColor="text1"/>
                <w:sz w:val="18"/>
                <w:szCs w:val="18"/>
                <w:lang w:val="en-PH" w:eastAsia="en-PH"/>
              </w:rPr>
            </w:pPr>
          </w:p>
        </w:tc>
        <w:tc>
          <w:tcPr>
            <w:tcW w:w="2862" w:type="dxa"/>
            <w:tcBorders>
              <w:top w:val="nil"/>
              <w:left w:val="nil"/>
              <w:bottom w:val="nil"/>
              <w:right w:val="nil"/>
            </w:tcBorders>
            <w:shd w:val="clear" w:color="auto" w:fill="auto"/>
            <w:noWrap/>
            <w:vAlign w:val="bottom"/>
            <w:hideMark/>
          </w:tcPr>
          <w:p w14:paraId="63716178" w14:textId="437E0699" w:rsidR="00CC2082" w:rsidRPr="009E35ED" w:rsidRDefault="00CC2082" w:rsidP="00CC2082">
            <w:pPr>
              <w:ind w:left="0"/>
              <w:jc w:val="left"/>
              <w:rPr>
                <w:rFonts w:ascii="Arial Narrow" w:hAnsi="Arial Narrow" w:cs="Arial"/>
                <w:color w:val="000000" w:themeColor="text1"/>
                <w:sz w:val="18"/>
                <w:szCs w:val="18"/>
                <w:lang w:val="en-PH" w:eastAsia="en-PH"/>
              </w:rPr>
            </w:pPr>
            <w:r w:rsidRPr="009E35ED">
              <w:rPr>
                <w:rFonts w:ascii="Arial Narrow" w:hAnsi="Arial Narrow" w:cs="Arial"/>
                <w:color w:val="000000" w:themeColor="text1"/>
                <w:sz w:val="18"/>
                <w:szCs w:val="18"/>
                <w:lang w:val="en-PH" w:eastAsia="en-PH"/>
              </w:rPr>
              <w:t xml:space="preserve">Miscellaneous </w:t>
            </w:r>
            <w:r w:rsidR="00F93FBC">
              <w:rPr>
                <w:rFonts w:ascii="Arial Narrow" w:hAnsi="Arial Narrow" w:cs="Arial"/>
                <w:color w:val="000000" w:themeColor="text1"/>
                <w:sz w:val="18"/>
                <w:szCs w:val="18"/>
                <w:lang w:val="en-PH" w:eastAsia="en-PH"/>
              </w:rPr>
              <w:t>i</w:t>
            </w:r>
            <w:r w:rsidRPr="009E35ED">
              <w:rPr>
                <w:rFonts w:ascii="Arial Narrow" w:hAnsi="Arial Narrow" w:cs="Arial"/>
                <w:color w:val="000000" w:themeColor="text1"/>
                <w:sz w:val="18"/>
                <w:szCs w:val="18"/>
                <w:lang w:val="en-PH" w:eastAsia="en-PH"/>
              </w:rPr>
              <w:t>ncome</w:t>
            </w:r>
          </w:p>
        </w:tc>
        <w:tc>
          <w:tcPr>
            <w:tcW w:w="1596" w:type="dxa"/>
            <w:tcBorders>
              <w:top w:val="nil"/>
              <w:left w:val="nil"/>
              <w:bottom w:val="nil"/>
              <w:right w:val="nil"/>
            </w:tcBorders>
            <w:shd w:val="clear" w:color="auto" w:fill="auto"/>
            <w:noWrap/>
          </w:tcPr>
          <w:p w14:paraId="0FB52C70" w14:textId="0D1EA5ED" w:rsidR="00CC2082" w:rsidRPr="009E35ED" w:rsidRDefault="00CC2082" w:rsidP="00170BED">
            <w:pPr>
              <w:ind w:left="0"/>
              <w:jc w:val="right"/>
              <w:rPr>
                <w:rFonts w:ascii="Arial Narrow" w:hAnsi="Arial Narrow" w:cs="Arial"/>
                <w:color w:val="000000" w:themeColor="text1"/>
                <w:sz w:val="18"/>
                <w:szCs w:val="18"/>
                <w:lang w:val="en-PH" w:eastAsia="en-PH"/>
              </w:rPr>
            </w:pPr>
            <w:r w:rsidRPr="009E35ED">
              <w:rPr>
                <w:rFonts w:ascii="Arial Narrow" w:hAnsi="Arial Narrow"/>
                <w:color w:val="000000" w:themeColor="text1"/>
                <w:sz w:val="18"/>
                <w:szCs w:val="18"/>
              </w:rPr>
              <w:t xml:space="preserve"> 9,410,0</w:t>
            </w:r>
            <w:r w:rsidR="00170BED" w:rsidRPr="009E35ED">
              <w:rPr>
                <w:rFonts w:ascii="Arial Narrow" w:hAnsi="Arial Narrow"/>
                <w:color w:val="000000" w:themeColor="text1"/>
                <w:sz w:val="18"/>
                <w:szCs w:val="18"/>
              </w:rPr>
              <w:t>20</w:t>
            </w:r>
            <w:r w:rsidRPr="009E35ED">
              <w:rPr>
                <w:rFonts w:ascii="Arial Narrow" w:hAnsi="Arial Narrow"/>
                <w:color w:val="000000" w:themeColor="text1"/>
                <w:sz w:val="18"/>
                <w:szCs w:val="18"/>
              </w:rPr>
              <w:t xml:space="preserve"> </w:t>
            </w:r>
          </w:p>
        </w:tc>
        <w:tc>
          <w:tcPr>
            <w:tcW w:w="1716" w:type="dxa"/>
            <w:tcBorders>
              <w:top w:val="nil"/>
              <w:left w:val="nil"/>
              <w:bottom w:val="nil"/>
              <w:right w:val="nil"/>
            </w:tcBorders>
            <w:shd w:val="clear" w:color="auto" w:fill="auto"/>
            <w:noWrap/>
            <w:vAlign w:val="bottom"/>
          </w:tcPr>
          <w:p w14:paraId="3476711F" w14:textId="09CADF8F" w:rsidR="00CC2082" w:rsidRPr="009E35ED" w:rsidRDefault="00170BED" w:rsidP="00CC2082">
            <w:pPr>
              <w:ind w:left="0"/>
              <w:jc w:val="right"/>
              <w:rPr>
                <w:rFonts w:ascii="Arial Narrow" w:hAnsi="Arial Narrow" w:cs="Arial"/>
                <w:color w:val="000000" w:themeColor="text1"/>
                <w:sz w:val="18"/>
                <w:szCs w:val="18"/>
                <w:lang w:val="en-PH" w:eastAsia="en-PH"/>
              </w:rPr>
            </w:pPr>
            <w:r w:rsidRPr="009E35ED">
              <w:rPr>
                <w:rFonts w:ascii="Arial Narrow" w:hAnsi="Arial Narrow" w:cs="Arial"/>
                <w:color w:val="000000" w:themeColor="text1"/>
                <w:sz w:val="18"/>
                <w:szCs w:val="18"/>
                <w:lang w:val="en-PH" w:eastAsia="en-PH"/>
              </w:rPr>
              <w:t>-</w:t>
            </w:r>
          </w:p>
        </w:tc>
        <w:tc>
          <w:tcPr>
            <w:tcW w:w="1425" w:type="dxa"/>
            <w:tcBorders>
              <w:top w:val="nil"/>
              <w:left w:val="nil"/>
              <w:bottom w:val="nil"/>
              <w:right w:val="nil"/>
            </w:tcBorders>
            <w:shd w:val="clear" w:color="auto" w:fill="auto"/>
            <w:noWrap/>
            <w:vAlign w:val="bottom"/>
          </w:tcPr>
          <w:p w14:paraId="3EDE8116" w14:textId="0409EF1E" w:rsidR="00CC2082" w:rsidRPr="009E35ED" w:rsidRDefault="00CC2082" w:rsidP="00CC2082">
            <w:pPr>
              <w:ind w:left="0"/>
              <w:jc w:val="right"/>
              <w:rPr>
                <w:rFonts w:ascii="Arial Narrow" w:hAnsi="Arial Narrow"/>
                <w:color w:val="000000" w:themeColor="text1"/>
                <w:sz w:val="18"/>
                <w:szCs w:val="18"/>
                <w:lang w:val="en-PH" w:eastAsia="en-PH"/>
              </w:rPr>
            </w:pPr>
            <w:r w:rsidRPr="009E35ED">
              <w:rPr>
                <w:rFonts w:ascii="Arial Narrow" w:hAnsi="Arial Narrow"/>
                <w:color w:val="000000" w:themeColor="text1"/>
                <w:sz w:val="18"/>
                <w:szCs w:val="18"/>
                <w:lang w:val="en-PH" w:eastAsia="en-PH"/>
              </w:rPr>
              <w:t>-</w:t>
            </w:r>
          </w:p>
        </w:tc>
        <w:tc>
          <w:tcPr>
            <w:tcW w:w="1243" w:type="dxa"/>
            <w:tcBorders>
              <w:top w:val="nil"/>
              <w:left w:val="nil"/>
              <w:bottom w:val="nil"/>
              <w:right w:val="nil"/>
            </w:tcBorders>
            <w:shd w:val="clear" w:color="auto" w:fill="auto"/>
            <w:noWrap/>
          </w:tcPr>
          <w:p w14:paraId="790B0620" w14:textId="730AE96C" w:rsidR="00CC2082" w:rsidRPr="009E35ED" w:rsidRDefault="00CC2082" w:rsidP="00170BED">
            <w:pPr>
              <w:ind w:left="0"/>
              <w:jc w:val="right"/>
              <w:rPr>
                <w:rFonts w:ascii="Arial Narrow" w:hAnsi="Arial Narrow" w:cs="Arial"/>
                <w:color w:val="000000" w:themeColor="text1"/>
                <w:sz w:val="18"/>
                <w:szCs w:val="18"/>
                <w:lang w:val="en-PH" w:eastAsia="en-PH"/>
              </w:rPr>
            </w:pPr>
            <w:r w:rsidRPr="009E35ED">
              <w:rPr>
                <w:rFonts w:ascii="Arial Narrow" w:hAnsi="Arial Narrow"/>
                <w:color w:val="000000" w:themeColor="text1"/>
                <w:sz w:val="18"/>
                <w:szCs w:val="18"/>
              </w:rPr>
              <w:t xml:space="preserve"> 9,410,0</w:t>
            </w:r>
            <w:r w:rsidR="00170BED" w:rsidRPr="009E35ED">
              <w:rPr>
                <w:rFonts w:ascii="Arial Narrow" w:hAnsi="Arial Narrow"/>
                <w:color w:val="000000" w:themeColor="text1"/>
                <w:sz w:val="18"/>
                <w:szCs w:val="18"/>
              </w:rPr>
              <w:t>20</w:t>
            </w:r>
            <w:r w:rsidRPr="009E35ED">
              <w:rPr>
                <w:rFonts w:ascii="Arial Narrow" w:hAnsi="Arial Narrow"/>
                <w:color w:val="000000" w:themeColor="text1"/>
                <w:sz w:val="18"/>
                <w:szCs w:val="18"/>
              </w:rPr>
              <w:t xml:space="preserve"> </w:t>
            </w:r>
          </w:p>
        </w:tc>
      </w:tr>
      <w:tr w:rsidR="00997F75" w:rsidRPr="009E35ED" w14:paraId="2C411756" w14:textId="77777777" w:rsidTr="00860ED6">
        <w:trPr>
          <w:trHeight w:val="203"/>
        </w:trPr>
        <w:tc>
          <w:tcPr>
            <w:tcW w:w="276" w:type="dxa"/>
            <w:tcBorders>
              <w:top w:val="single" w:sz="4" w:space="0" w:color="auto"/>
              <w:left w:val="nil"/>
              <w:bottom w:val="single" w:sz="4" w:space="0" w:color="auto"/>
              <w:right w:val="nil"/>
            </w:tcBorders>
            <w:shd w:val="clear" w:color="auto" w:fill="auto"/>
            <w:noWrap/>
            <w:vAlign w:val="bottom"/>
            <w:hideMark/>
          </w:tcPr>
          <w:p w14:paraId="3A963A74" w14:textId="77777777" w:rsidR="00CC2082" w:rsidRPr="009E35ED" w:rsidRDefault="00CC2082" w:rsidP="00CC2082">
            <w:pPr>
              <w:ind w:left="0"/>
              <w:jc w:val="left"/>
              <w:rPr>
                <w:rFonts w:ascii="Arial Narrow" w:hAnsi="Arial Narrow" w:cs="Arial"/>
                <w:color w:val="000000" w:themeColor="text1"/>
                <w:sz w:val="18"/>
                <w:szCs w:val="18"/>
                <w:lang w:val="en-PH" w:eastAsia="en-PH"/>
              </w:rPr>
            </w:pPr>
            <w:r w:rsidRPr="009E35ED">
              <w:rPr>
                <w:rFonts w:ascii="Arial Narrow" w:hAnsi="Arial Narrow" w:cs="Arial"/>
                <w:color w:val="000000" w:themeColor="text1"/>
                <w:sz w:val="18"/>
                <w:szCs w:val="18"/>
                <w:lang w:val="en-PH" w:eastAsia="en-PH"/>
              </w:rPr>
              <w:t> </w:t>
            </w:r>
          </w:p>
        </w:tc>
        <w:tc>
          <w:tcPr>
            <w:tcW w:w="264" w:type="dxa"/>
            <w:tcBorders>
              <w:top w:val="single" w:sz="4" w:space="0" w:color="auto"/>
              <w:left w:val="nil"/>
              <w:bottom w:val="single" w:sz="4" w:space="0" w:color="auto"/>
              <w:right w:val="nil"/>
            </w:tcBorders>
            <w:shd w:val="clear" w:color="auto" w:fill="auto"/>
            <w:noWrap/>
            <w:vAlign w:val="bottom"/>
            <w:hideMark/>
          </w:tcPr>
          <w:p w14:paraId="304D3A6D" w14:textId="77777777" w:rsidR="00CC2082" w:rsidRPr="009E35ED" w:rsidRDefault="00CC2082" w:rsidP="00CC2082">
            <w:pPr>
              <w:ind w:left="0"/>
              <w:jc w:val="left"/>
              <w:rPr>
                <w:rFonts w:ascii="Arial Narrow" w:hAnsi="Arial Narrow" w:cs="Arial"/>
                <w:color w:val="000000" w:themeColor="text1"/>
                <w:sz w:val="18"/>
                <w:szCs w:val="18"/>
                <w:lang w:val="en-PH" w:eastAsia="en-PH"/>
              </w:rPr>
            </w:pPr>
            <w:r w:rsidRPr="009E35ED">
              <w:rPr>
                <w:rFonts w:ascii="Arial Narrow" w:hAnsi="Arial Narrow" w:cs="Arial"/>
                <w:color w:val="000000" w:themeColor="text1"/>
                <w:sz w:val="18"/>
                <w:szCs w:val="18"/>
                <w:lang w:val="en-PH" w:eastAsia="en-PH"/>
              </w:rPr>
              <w:t> </w:t>
            </w:r>
          </w:p>
        </w:tc>
        <w:tc>
          <w:tcPr>
            <w:tcW w:w="2862" w:type="dxa"/>
            <w:tcBorders>
              <w:top w:val="single" w:sz="4" w:space="0" w:color="auto"/>
              <w:left w:val="nil"/>
              <w:bottom w:val="single" w:sz="4" w:space="0" w:color="auto"/>
              <w:right w:val="nil"/>
            </w:tcBorders>
            <w:shd w:val="clear" w:color="auto" w:fill="auto"/>
            <w:noWrap/>
            <w:vAlign w:val="bottom"/>
            <w:hideMark/>
          </w:tcPr>
          <w:p w14:paraId="1DC7299D" w14:textId="77777777" w:rsidR="00CC2082" w:rsidRPr="009E35ED" w:rsidRDefault="00CC2082" w:rsidP="00CC2082">
            <w:pPr>
              <w:ind w:left="0"/>
              <w:jc w:val="left"/>
              <w:rPr>
                <w:rFonts w:ascii="Arial Narrow" w:hAnsi="Arial Narrow" w:cs="Arial"/>
                <w:b/>
                <w:bCs/>
                <w:color w:val="000000" w:themeColor="text1"/>
                <w:sz w:val="18"/>
                <w:szCs w:val="18"/>
                <w:lang w:val="en-PH" w:eastAsia="en-PH"/>
              </w:rPr>
            </w:pPr>
            <w:r w:rsidRPr="009E35ED">
              <w:rPr>
                <w:rFonts w:ascii="Arial Narrow" w:hAnsi="Arial Narrow" w:cs="Arial"/>
                <w:b/>
                <w:bCs/>
                <w:color w:val="000000" w:themeColor="text1"/>
                <w:sz w:val="18"/>
                <w:szCs w:val="18"/>
                <w:lang w:val="en-PH" w:eastAsia="en-PH"/>
              </w:rPr>
              <w:t>Total Miscellaneous Income</w:t>
            </w:r>
          </w:p>
        </w:tc>
        <w:tc>
          <w:tcPr>
            <w:tcW w:w="1596" w:type="dxa"/>
            <w:tcBorders>
              <w:top w:val="single" w:sz="4" w:space="0" w:color="auto"/>
              <w:left w:val="nil"/>
              <w:bottom w:val="single" w:sz="4" w:space="0" w:color="auto"/>
              <w:right w:val="nil"/>
            </w:tcBorders>
            <w:shd w:val="clear" w:color="auto" w:fill="auto"/>
            <w:noWrap/>
          </w:tcPr>
          <w:p w14:paraId="7C94207B" w14:textId="4B508209" w:rsidR="00CC2082" w:rsidRPr="009E35ED" w:rsidRDefault="00CC2082" w:rsidP="00170BED">
            <w:pPr>
              <w:ind w:left="0"/>
              <w:jc w:val="right"/>
              <w:rPr>
                <w:rFonts w:ascii="Arial Narrow" w:hAnsi="Arial Narrow" w:cs="Arial"/>
                <w:b/>
                <w:bCs/>
                <w:color w:val="000000" w:themeColor="text1"/>
                <w:sz w:val="18"/>
                <w:szCs w:val="18"/>
                <w:lang w:val="en-PH" w:eastAsia="en-PH"/>
              </w:rPr>
            </w:pPr>
            <w:r w:rsidRPr="009E35ED">
              <w:rPr>
                <w:rFonts w:ascii="Arial Narrow" w:hAnsi="Arial Narrow"/>
                <w:color w:val="000000" w:themeColor="text1"/>
                <w:sz w:val="18"/>
                <w:szCs w:val="18"/>
              </w:rPr>
              <w:t xml:space="preserve"> 9,410,0</w:t>
            </w:r>
            <w:r w:rsidR="00170BED" w:rsidRPr="009E35ED">
              <w:rPr>
                <w:rFonts w:ascii="Arial Narrow" w:hAnsi="Arial Narrow"/>
                <w:color w:val="000000" w:themeColor="text1"/>
                <w:sz w:val="18"/>
                <w:szCs w:val="18"/>
              </w:rPr>
              <w:t>20</w:t>
            </w:r>
            <w:r w:rsidRPr="009E35ED">
              <w:rPr>
                <w:rFonts w:ascii="Arial Narrow" w:hAnsi="Arial Narrow"/>
                <w:color w:val="000000" w:themeColor="text1"/>
                <w:sz w:val="18"/>
                <w:szCs w:val="18"/>
              </w:rPr>
              <w:t xml:space="preserve"> </w:t>
            </w:r>
          </w:p>
        </w:tc>
        <w:tc>
          <w:tcPr>
            <w:tcW w:w="1716" w:type="dxa"/>
            <w:tcBorders>
              <w:top w:val="single" w:sz="4" w:space="0" w:color="auto"/>
              <w:left w:val="nil"/>
              <w:bottom w:val="single" w:sz="4" w:space="0" w:color="auto"/>
              <w:right w:val="nil"/>
            </w:tcBorders>
            <w:shd w:val="clear" w:color="auto" w:fill="auto"/>
            <w:noWrap/>
            <w:vAlign w:val="bottom"/>
          </w:tcPr>
          <w:p w14:paraId="59AF1494" w14:textId="6D08CFB3" w:rsidR="00CC2082" w:rsidRPr="009E35ED" w:rsidRDefault="00170BED" w:rsidP="00CC2082">
            <w:pPr>
              <w:ind w:left="0"/>
              <w:jc w:val="right"/>
              <w:rPr>
                <w:rFonts w:ascii="Arial Narrow" w:hAnsi="Arial Narrow" w:cs="Arial"/>
                <w:b/>
                <w:bCs/>
                <w:color w:val="000000" w:themeColor="text1"/>
                <w:sz w:val="18"/>
                <w:szCs w:val="18"/>
                <w:lang w:val="en-PH" w:eastAsia="en-PH"/>
              </w:rPr>
            </w:pPr>
            <w:r w:rsidRPr="009E35ED">
              <w:rPr>
                <w:rFonts w:ascii="Arial Narrow" w:hAnsi="Arial Narrow" w:cs="Arial"/>
                <w:b/>
                <w:bCs/>
                <w:color w:val="000000" w:themeColor="text1"/>
                <w:sz w:val="18"/>
                <w:szCs w:val="18"/>
                <w:lang w:val="en-PH" w:eastAsia="en-PH"/>
              </w:rPr>
              <w:t>-</w:t>
            </w:r>
          </w:p>
        </w:tc>
        <w:tc>
          <w:tcPr>
            <w:tcW w:w="1425" w:type="dxa"/>
            <w:tcBorders>
              <w:top w:val="single" w:sz="4" w:space="0" w:color="auto"/>
              <w:left w:val="nil"/>
              <w:bottom w:val="single" w:sz="4" w:space="0" w:color="auto"/>
              <w:right w:val="nil"/>
            </w:tcBorders>
            <w:shd w:val="clear" w:color="auto" w:fill="auto"/>
            <w:noWrap/>
            <w:vAlign w:val="bottom"/>
          </w:tcPr>
          <w:p w14:paraId="2CB56262" w14:textId="7A94D8E0" w:rsidR="00CC2082" w:rsidRPr="009E35ED" w:rsidRDefault="00CC2082" w:rsidP="00CC2082">
            <w:pPr>
              <w:ind w:left="0"/>
              <w:jc w:val="right"/>
              <w:rPr>
                <w:rFonts w:ascii="Arial Narrow" w:hAnsi="Arial Narrow" w:cs="Arial"/>
                <w:b/>
                <w:bCs/>
                <w:color w:val="000000" w:themeColor="text1"/>
                <w:sz w:val="18"/>
                <w:szCs w:val="18"/>
                <w:lang w:val="en-PH" w:eastAsia="en-PH"/>
              </w:rPr>
            </w:pPr>
            <w:r w:rsidRPr="009E35ED">
              <w:rPr>
                <w:rFonts w:ascii="Arial Narrow" w:hAnsi="Arial Narrow" w:cs="Arial"/>
                <w:b/>
                <w:bCs/>
                <w:color w:val="000000" w:themeColor="text1"/>
                <w:sz w:val="18"/>
                <w:szCs w:val="18"/>
                <w:lang w:val="en-PH" w:eastAsia="en-PH"/>
              </w:rPr>
              <w:t>-</w:t>
            </w:r>
          </w:p>
        </w:tc>
        <w:tc>
          <w:tcPr>
            <w:tcW w:w="1243" w:type="dxa"/>
            <w:tcBorders>
              <w:top w:val="single" w:sz="4" w:space="0" w:color="auto"/>
              <w:left w:val="nil"/>
              <w:bottom w:val="single" w:sz="4" w:space="0" w:color="auto"/>
              <w:right w:val="nil"/>
            </w:tcBorders>
            <w:shd w:val="clear" w:color="auto" w:fill="auto"/>
            <w:noWrap/>
          </w:tcPr>
          <w:p w14:paraId="458C23AA" w14:textId="40490A92" w:rsidR="00CC2082" w:rsidRPr="009E35ED" w:rsidRDefault="00CC2082" w:rsidP="00170BED">
            <w:pPr>
              <w:ind w:left="0"/>
              <w:jc w:val="right"/>
              <w:rPr>
                <w:rFonts w:ascii="Arial Narrow" w:hAnsi="Arial Narrow" w:cs="Arial"/>
                <w:b/>
                <w:bCs/>
                <w:color w:val="000000" w:themeColor="text1"/>
                <w:sz w:val="18"/>
                <w:szCs w:val="18"/>
                <w:lang w:val="en-PH" w:eastAsia="en-PH"/>
              </w:rPr>
            </w:pPr>
            <w:r w:rsidRPr="009E35ED">
              <w:rPr>
                <w:rFonts w:ascii="Arial Narrow" w:hAnsi="Arial Narrow"/>
                <w:color w:val="000000" w:themeColor="text1"/>
                <w:sz w:val="18"/>
                <w:szCs w:val="18"/>
              </w:rPr>
              <w:t xml:space="preserve"> 9,410,0</w:t>
            </w:r>
            <w:r w:rsidR="00170BED" w:rsidRPr="009E35ED">
              <w:rPr>
                <w:rFonts w:ascii="Arial Narrow" w:hAnsi="Arial Narrow"/>
                <w:color w:val="000000" w:themeColor="text1"/>
                <w:sz w:val="18"/>
                <w:szCs w:val="18"/>
              </w:rPr>
              <w:t>20</w:t>
            </w:r>
            <w:r w:rsidRPr="009E35ED">
              <w:rPr>
                <w:rFonts w:ascii="Arial Narrow" w:hAnsi="Arial Narrow"/>
                <w:color w:val="000000" w:themeColor="text1"/>
                <w:sz w:val="18"/>
                <w:szCs w:val="18"/>
              </w:rPr>
              <w:t xml:space="preserve"> </w:t>
            </w:r>
          </w:p>
        </w:tc>
      </w:tr>
      <w:tr w:rsidR="00997F75" w:rsidRPr="009E35ED" w14:paraId="000DFB73" w14:textId="77777777" w:rsidTr="00860ED6">
        <w:trPr>
          <w:trHeight w:val="213"/>
        </w:trPr>
        <w:tc>
          <w:tcPr>
            <w:tcW w:w="3402" w:type="dxa"/>
            <w:gridSpan w:val="3"/>
            <w:tcBorders>
              <w:top w:val="single" w:sz="4" w:space="0" w:color="auto"/>
              <w:left w:val="nil"/>
              <w:bottom w:val="single" w:sz="8" w:space="0" w:color="auto"/>
              <w:right w:val="nil"/>
            </w:tcBorders>
            <w:shd w:val="clear" w:color="auto" w:fill="auto"/>
            <w:noWrap/>
            <w:vAlign w:val="bottom"/>
            <w:hideMark/>
          </w:tcPr>
          <w:p w14:paraId="58290B44" w14:textId="77777777" w:rsidR="00780764" w:rsidRPr="009E35ED" w:rsidRDefault="00780764" w:rsidP="00780764">
            <w:pPr>
              <w:ind w:left="0"/>
              <w:jc w:val="left"/>
              <w:rPr>
                <w:rFonts w:ascii="Arial Narrow" w:hAnsi="Arial Narrow" w:cs="Arial"/>
                <w:b/>
                <w:bCs/>
                <w:color w:val="000000" w:themeColor="text1"/>
                <w:sz w:val="18"/>
                <w:szCs w:val="18"/>
                <w:lang w:val="en-PH" w:eastAsia="en-PH"/>
              </w:rPr>
            </w:pPr>
            <w:r w:rsidRPr="009E35ED">
              <w:rPr>
                <w:rFonts w:ascii="Arial Narrow" w:hAnsi="Arial Narrow" w:cs="Arial"/>
                <w:b/>
                <w:bCs/>
                <w:color w:val="000000" w:themeColor="text1"/>
                <w:sz w:val="18"/>
                <w:szCs w:val="18"/>
                <w:lang w:val="en-PH" w:eastAsia="en-PH"/>
              </w:rPr>
              <w:t>Total Non-Operating Income</w:t>
            </w:r>
          </w:p>
        </w:tc>
        <w:tc>
          <w:tcPr>
            <w:tcW w:w="1596" w:type="dxa"/>
            <w:tcBorders>
              <w:top w:val="nil"/>
              <w:left w:val="nil"/>
              <w:bottom w:val="single" w:sz="8" w:space="0" w:color="auto"/>
              <w:right w:val="nil"/>
            </w:tcBorders>
            <w:shd w:val="clear" w:color="auto" w:fill="auto"/>
            <w:noWrap/>
            <w:vAlign w:val="bottom"/>
          </w:tcPr>
          <w:p w14:paraId="39A2256B" w14:textId="0E965FAF" w:rsidR="00780764" w:rsidRPr="009E35ED" w:rsidRDefault="00374E6E" w:rsidP="00170BED">
            <w:pPr>
              <w:ind w:left="0"/>
              <w:jc w:val="right"/>
              <w:rPr>
                <w:rFonts w:ascii="Arial Narrow" w:hAnsi="Arial Narrow" w:cs="Arial"/>
                <w:b/>
                <w:bCs/>
                <w:color w:val="000000" w:themeColor="text1"/>
                <w:sz w:val="18"/>
                <w:szCs w:val="18"/>
                <w:lang w:val="en-PH" w:eastAsia="en-PH"/>
              </w:rPr>
            </w:pPr>
            <w:r w:rsidRPr="009E35ED">
              <w:rPr>
                <w:rFonts w:ascii="Arial Narrow" w:hAnsi="Arial Narrow" w:cs="Arial"/>
                <w:b/>
                <w:bCs/>
                <w:color w:val="000000" w:themeColor="text1"/>
                <w:sz w:val="18"/>
                <w:szCs w:val="18"/>
                <w:lang w:val="en-PH" w:eastAsia="en-PH"/>
              </w:rPr>
              <w:t>9,327,8</w:t>
            </w:r>
            <w:r w:rsidR="00170BED" w:rsidRPr="009E35ED">
              <w:rPr>
                <w:rFonts w:ascii="Arial Narrow" w:hAnsi="Arial Narrow" w:cs="Arial"/>
                <w:b/>
                <w:bCs/>
                <w:color w:val="000000" w:themeColor="text1"/>
                <w:sz w:val="18"/>
                <w:szCs w:val="18"/>
                <w:lang w:val="en-PH" w:eastAsia="en-PH"/>
              </w:rPr>
              <w:t>56</w:t>
            </w:r>
          </w:p>
        </w:tc>
        <w:tc>
          <w:tcPr>
            <w:tcW w:w="1716" w:type="dxa"/>
            <w:tcBorders>
              <w:top w:val="nil"/>
              <w:left w:val="nil"/>
              <w:bottom w:val="single" w:sz="8" w:space="0" w:color="auto"/>
              <w:right w:val="nil"/>
            </w:tcBorders>
            <w:shd w:val="clear" w:color="auto" w:fill="auto"/>
            <w:noWrap/>
            <w:vAlign w:val="bottom"/>
          </w:tcPr>
          <w:p w14:paraId="1C823B10" w14:textId="4AA326B4" w:rsidR="00780764" w:rsidRPr="009E35ED" w:rsidRDefault="00170BED" w:rsidP="00780764">
            <w:pPr>
              <w:ind w:left="0"/>
              <w:jc w:val="right"/>
              <w:rPr>
                <w:rFonts w:ascii="Arial Narrow" w:hAnsi="Arial Narrow" w:cs="Arial"/>
                <w:b/>
                <w:bCs/>
                <w:color w:val="000000" w:themeColor="text1"/>
                <w:sz w:val="18"/>
                <w:szCs w:val="18"/>
                <w:lang w:val="en-PH" w:eastAsia="en-PH"/>
              </w:rPr>
            </w:pPr>
            <w:r w:rsidRPr="009E35ED">
              <w:rPr>
                <w:rFonts w:ascii="Arial Narrow" w:hAnsi="Arial Narrow" w:cs="Arial"/>
                <w:b/>
                <w:bCs/>
                <w:color w:val="000000" w:themeColor="text1"/>
                <w:sz w:val="18"/>
                <w:szCs w:val="18"/>
                <w:lang w:val="en-PH" w:eastAsia="en-PH"/>
              </w:rPr>
              <w:t>-</w:t>
            </w:r>
          </w:p>
        </w:tc>
        <w:tc>
          <w:tcPr>
            <w:tcW w:w="1425" w:type="dxa"/>
            <w:tcBorders>
              <w:top w:val="nil"/>
              <w:left w:val="nil"/>
              <w:bottom w:val="single" w:sz="8" w:space="0" w:color="auto"/>
              <w:right w:val="nil"/>
            </w:tcBorders>
            <w:shd w:val="clear" w:color="auto" w:fill="auto"/>
            <w:noWrap/>
            <w:vAlign w:val="bottom"/>
          </w:tcPr>
          <w:p w14:paraId="4B208956" w14:textId="6493CCA6" w:rsidR="00780764" w:rsidRPr="009E35ED" w:rsidRDefault="00780764" w:rsidP="00780764">
            <w:pPr>
              <w:ind w:left="0"/>
              <w:jc w:val="right"/>
              <w:rPr>
                <w:rFonts w:ascii="Arial Narrow" w:hAnsi="Arial Narrow" w:cs="Arial"/>
                <w:b/>
                <w:bCs/>
                <w:color w:val="000000" w:themeColor="text1"/>
                <w:sz w:val="18"/>
                <w:szCs w:val="18"/>
                <w:lang w:val="en-PH" w:eastAsia="en-PH"/>
              </w:rPr>
            </w:pPr>
            <w:r w:rsidRPr="009E35ED">
              <w:rPr>
                <w:rFonts w:ascii="Arial Narrow" w:hAnsi="Arial Narrow" w:cs="Arial"/>
                <w:b/>
                <w:bCs/>
                <w:color w:val="000000" w:themeColor="text1"/>
                <w:sz w:val="18"/>
                <w:szCs w:val="18"/>
                <w:lang w:val="en-PH" w:eastAsia="en-PH"/>
              </w:rPr>
              <w:t>-</w:t>
            </w:r>
          </w:p>
        </w:tc>
        <w:tc>
          <w:tcPr>
            <w:tcW w:w="1243" w:type="dxa"/>
            <w:tcBorders>
              <w:top w:val="nil"/>
              <w:left w:val="nil"/>
              <w:bottom w:val="single" w:sz="8" w:space="0" w:color="auto"/>
              <w:right w:val="nil"/>
            </w:tcBorders>
            <w:shd w:val="clear" w:color="auto" w:fill="auto"/>
            <w:noWrap/>
            <w:vAlign w:val="bottom"/>
          </w:tcPr>
          <w:p w14:paraId="3A418EBF" w14:textId="3BAE8EDB" w:rsidR="00780764" w:rsidRPr="009E35ED" w:rsidRDefault="00CC2082" w:rsidP="00170BED">
            <w:pPr>
              <w:ind w:left="0"/>
              <w:jc w:val="right"/>
              <w:rPr>
                <w:rFonts w:ascii="Arial Narrow" w:hAnsi="Arial Narrow" w:cs="Arial"/>
                <w:b/>
                <w:bCs/>
                <w:color w:val="000000" w:themeColor="text1"/>
                <w:sz w:val="18"/>
                <w:szCs w:val="18"/>
                <w:lang w:val="en-PH" w:eastAsia="en-PH"/>
              </w:rPr>
            </w:pPr>
            <w:r w:rsidRPr="009E35ED">
              <w:rPr>
                <w:rFonts w:ascii="Arial Narrow" w:hAnsi="Arial Narrow" w:cs="Arial"/>
                <w:b/>
                <w:bCs/>
                <w:color w:val="000000" w:themeColor="text1"/>
                <w:sz w:val="18"/>
                <w:szCs w:val="18"/>
                <w:lang w:val="en-PH" w:eastAsia="en-PH"/>
              </w:rPr>
              <w:t>9,327,85</w:t>
            </w:r>
            <w:r w:rsidR="00170BED" w:rsidRPr="009E35ED">
              <w:rPr>
                <w:rFonts w:ascii="Arial Narrow" w:hAnsi="Arial Narrow" w:cs="Arial"/>
                <w:b/>
                <w:bCs/>
                <w:color w:val="000000" w:themeColor="text1"/>
                <w:sz w:val="18"/>
                <w:szCs w:val="18"/>
                <w:lang w:val="en-PH" w:eastAsia="en-PH"/>
              </w:rPr>
              <w:t>6</w:t>
            </w:r>
          </w:p>
        </w:tc>
      </w:tr>
      <w:tr w:rsidR="00997F75" w:rsidRPr="009E35ED" w14:paraId="7DCBDE3E" w14:textId="77777777" w:rsidTr="00860ED6">
        <w:trPr>
          <w:trHeight w:val="55"/>
        </w:trPr>
        <w:tc>
          <w:tcPr>
            <w:tcW w:w="276" w:type="dxa"/>
            <w:tcBorders>
              <w:top w:val="nil"/>
              <w:left w:val="nil"/>
              <w:bottom w:val="nil"/>
              <w:right w:val="nil"/>
            </w:tcBorders>
            <w:shd w:val="clear" w:color="auto" w:fill="auto"/>
            <w:noWrap/>
            <w:vAlign w:val="bottom"/>
            <w:hideMark/>
          </w:tcPr>
          <w:p w14:paraId="337417E3" w14:textId="77777777" w:rsidR="00780764" w:rsidRPr="009E35ED" w:rsidRDefault="00780764" w:rsidP="00780764">
            <w:pPr>
              <w:ind w:left="0"/>
              <w:jc w:val="center"/>
              <w:rPr>
                <w:rFonts w:ascii="Arial Narrow" w:hAnsi="Arial Narrow" w:cs="Arial"/>
                <w:b/>
                <w:bCs/>
                <w:color w:val="000000" w:themeColor="text1"/>
                <w:sz w:val="18"/>
                <w:szCs w:val="18"/>
                <w:lang w:val="en-PH" w:eastAsia="en-PH"/>
              </w:rPr>
            </w:pPr>
          </w:p>
        </w:tc>
        <w:tc>
          <w:tcPr>
            <w:tcW w:w="264" w:type="dxa"/>
            <w:tcBorders>
              <w:top w:val="nil"/>
              <w:left w:val="nil"/>
              <w:bottom w:val="nil"/>
              <w:right w:val="nil"/>
            </w:tcBorders>
            <w:shd w:val="clear" w:color="auto" w:fill="auto"/>
            <w:noWrap/>
            <w:vAlign w:val="bottom"/>
            <w:hideMark/>
          </w:tcPr>
          <w:p w14:paraId="07C52048" w14:textId="77777777" w:rsidR="00780764" w:rsidRPr="009E35ED" w:rsidRDefault="00780764" w:rsidP="00780764">
            <w:pPr>
              <w:ind w:left="0"/>
              <w:jc w:val="left"/>
              <w:rPr>
                <w:rFonts w:ascii="Arial Narrow" w:hAnsi="Arial Narrow"/>
                <w:color w:val="000000" w:themeColor="text1"/>
                <w:sz w:val="18"/>
                <w:szCs w:val="18"/>
                <w:lang w:val="en-PH" w:eastAsia="en-PH"/>
              </w:rPr>
            </w:pPr>
          </w:p>
        </w:tc>
        <w:tc>
          <w:tcPr>
            <w:tcW w:w="2862" w:type="dxa"/>
            <w:tcBorders>
              <w:top w:val="nil"/>
              <w:left w:val="nil"/>
              <w:bottom w:val="nil"/>
              <w:right w:val="nil"/>
            </w:tcBorders>
            <w:shd w:val="clear" w:color="auto" w:fill="auto"/>
            <w:noWrap/>
            <w:vAlign w:val="bottom"/>
            <w:hideMark/>
          </w:tcPr>
          <w:p w14:paraId="30742FD7" w14:textId="77777777" w:rsidR="00780764" w:rsidRPr="009E35ED" w:rsidRDefault="00780764" w:rsidP="00780764">
            <w:pPr>
              <w:ind w:left="0"/>
              <w:jc w:val="left"/>
              <w:rPr>
                <w:rFonts w:ascii="Arial Narrow" w:hAnsi="Arial Narrow"/>
                <w:color w:val="000000" w:themeColor="text1"/>
                <w:sz w:val="18"/>
                <w:szCs w:val="18"/>
                <w:lang w:val="en-PH" w:eastAsia="en-PH"/>
              </w:rPr>
            </w:pPr>
          </w:p>
        </w:tc>
        <w:tc>
          <w:tcPr>
            <w:tcW w:w="1596" w:type="dxa"/>
            <w:tcBorders>
              <w:top w:val="nil"/>
              <w:left w:val="nil"/>
              <w:bottom w:val="nil"/>
              <w:right w:val="nil"/>
            </w:tcBorders>
            <w:shd w:val="clear" w:color="auto" w:fill="auto"/>
            <w:noWrap/>
            <w:vAlign w:val="bottom"/>
          </w:tcPr>
          <w:p w14:paraId="745C2218" w14:textId="77777777" w:rsidR="00780764" w:rsidRPr="009E35ED" w:rsidRDefault="00780764" w:rsidP="00780764">
            <w:pPr>
              <w:ind w:left="0"/>
              <w:jc w:val="right"/>
              <w:rPr>
                <w:rFonts w:ascii="Arial Narrow" w:hAnsi="Arial Narrow"/>
                <w:color w:val="000000" w:themeColor="text1"/>
                <w:sz w:val="18"/>
                <w:szCs w:val="18"/>
                <w:lang w:val="en-PH" w:eastAsia="en-PH"/>
              </w:rPr>
            </w:pPr>
          </w:p>
        </w:tc>
        <w:tc>
          <w:tcPr>
            <w:tcW w:w="1716" w:type="dxa"/>
            <w:tcBorders>
              <w:top w:val="nil"/>
              <w:left w:val="nil"/>
              <w:bottom w:val="nil"/>
              <w:right w:val="nil"/>
            </w:tcBorders>
            <w:shd w:val="clear" w:color="auto" w:fill="auto"/>
            <w:noWrap/>
            <w:vAlign w:val="bottom"/>
          </w:tcPr>
          <w:p w14:paraId="0D94EE81" w14:textId="77777777" w:rsidR="00780764" w:rsidRPr="009E35ED" w:rsidRDefault="00780764" w:rsidP="00780764">
            <w:pPr>
              <w:ind w:left="0"/>
              <w:jc w:val="right"/>
              <w:rPr>
                <w:rFonts w:ascii="Arial Narrow" w:hAnsi="Arial Narrow"/>
                <w:color w:val="000000" w:themeColor="text1"/>
                <w:sz w:val="18"/>
                <w:szCs w:val="18"/>
                <w:lang w:val="en-PH" w:eastAsia="en-PH"/>
              </w:rPr>
            </w:pPr>
          </w:p>
        </w:tc>
        <w:tc>
          <w:tcPr>
            <w:tcW w:w="1425" w:type="dxa"/>
            <w:tcBorders>
              <w:top w:val="nil"/>
              <w:left w:val="nil"/>
              <w:bottom w:val="nil"/>
              <w:right w:val="nil"/>
            </w:tcBorders>
            <w:shd w:val="clear" w:color="auto" w:fill="auto"/>
            <w:noWrap/>
            <w:vAlign w:val="bottom"/>
          </w:tcPr>
          <w:p w14:paraId="258E810A" w14:textId="77777777" w:rsidR="00780764" w:rsidRPr="009E35ED" w:rsidRDefault="00780764" w:rsidP="00780764">
            <w:pPr>
              <w:ind w:left="0"/>
              <w:jc w:val="right"/>
              <w:rPr>
                <w:rFonts w:ascii="Arial Narrow" w:hAnsi="Arial Narrow"/>
                <w:color w:val="000000" w:themeColor="text1"/>
                <w:sz w:val="18"/>
                <w:szCs w:val="18"/>
                <w:lang w:val="en-PH" w:eastAsia="en-PH"/>
              </w:rPr>
            </w:pPr>
          </w:p>
        </w:tc>
        <w:tc>
          <w:tcPr>
            <w:tcW w:w="1243" w:type="dxa"/>
            <w:tcBorders>
              <w:top w:val="nil"/>
              <w:left w:val="nil"/>
              <w:bottom w:val="nil"/>
              <w:right w:val="nil"/>
            </w:tcBorders>
            <w:shd w:val="clear" w:color="auto" w:fill="auto"/>
            <w:noWrap/>
            <w:vAlign w:val="bottom"/>
          </w:tcPr>
          <w:p w14:paraId="66F91C9F" w14:textId="77777777" w:rsidR="00780764" w:rsidRPr="009E35ED" w:rsidRDefault="00780764" w:rsidP="00780764">
            <w:pPr>
              <w:ind w:left="0"/>
              <w:jc w:val="right"/>
              <w:rPr>
                <w:rFonts w:ascii="Arial Narrow" w:hAnsi="Arial Narrow"/>
                <w:color w:val="000000" w:themeColor="text1"/>
                <w:sz w:val="18"/>
                <w:szCs w:val="18"/>
                <w:lang w:val="en-PH" w:eastAsia="en-PH"/>
              </w:rPr>
            </w:pPr>
          </w:p>
        </w:tc>
      </w:tr>
      <w:tr w:rsidR="00780764" w:rsidRPr="009E35ED" w14:paraId="2993D1BC" w14:textId="77777777" w:rsidTr="00860ED6">
        <w:trPr>
          <w:trHeight w:val="213"/>
        </w:trPr>
        <w:tc>
          <w:tcPr>
            <w:tcW w:w="3402" w:type="dxa"/>
            <w:gridSpan w:val="3"/>
            <w:tcBorders>
              <w:top w:val="single" w:sz="4" w:space="0" w:color="auto"/>
              <w:left w:val="nil"/>
              <w:bottom w:val="double" w:sz="6" w:space="0" w:color="auto"/>
              <w:right w:val="nil"/>
            </w:tcBorders>
            <w:shd w:val="clear" w:color="auto" w:fill="auto"/>
            <w:noWrap/>
            <w:vAlign w:val="bottom"/>
            <w:hideMark/>
          </w:tcPr>
          <w:p w14:paraId="1119F29A" w14:textId="77777777" w:rsidR="00780764" w:rsidRPr="009E35ED" w:rsidRDefault="00780764" w:rsidP="00780764">
            <w:pPr>
              <w:ind w:left="0"/>
              <w:jc w:val="left"/>
              <w:rPr>
                <w:rFonts w:ascii="Arial Narrow" w:hAnsi="Arial Narrow" w:cs="Arial"/>
                <w:b/>
                <w:bCs/>
                <w:color w:val="000000" w:themeColor="text1"/>
                <w:sz w:val="18"/>
                <w:szCs w:val="18"/>
                <w:lang w:val="en-PH" w:eastAsia="en-PH"/>
              </w:rPr>
            </w:pPr>
            <w:r w:rsidRPr="009E35ED">
              <w:rPr>
                <w:rFonts w:ascii="Arial Narrow" w:hAnsi="Arial Narrow" w:cs="Arial"/>
                <w:b/>
                <w:bCs/>
                <w:color w:val="000000" w:themeColor="text1"/>
                <w:sz w:val="18"/>
                <w:szCs w:val="18"/>
                <w:lang w:val="en-PH" w:eastAsia="en-PH"/>
              </w:rPr>
              <w:t>TOTAL INCOME</w:t>
            </w:r>
          </w:p>
        </w:tc>
        <w:tc>
          <w:tcPr>
            <w:tcW w:w="1596" w:type="dxa"/>
            <w:tcBorders>
              <w:top w:val="single" w:sz="4" w:space="0" w:color="auto"/>
              <w:left w:val="nil"/>
              <w:bottom w:val="double" w:sz="6" w:space="0" w:color="auto"/>
              <w:right w:val="nil"/>
            </w:tcBorders>
            <w:shd w:val="clear" w:color="auto" w:fill="auto"/>
            <w:noWrap/>
            <w:vAlign w:val="bottom"/>
          </w:tcPr>
          <w:p w14:paraId="2B7CBE03" w14:textId="2B92EE41" w:rsidR="00780764" w:rsidRPr="009E35ED" w:rsidRDefault="00830C51" w:rsidP="00170BED">
            <w:pPr>
              <w:ind w:left="0"/>
              <w:jc w:val="right"/>
              <w:rPr>
                <w:rFonts w:ascii="Arial Narrow" w:hAnsi="Arial Narrow" w:cs="Arial"/>
                <w:b/>
                <w:bCs/>
                <w:color w:val="000000" w:themeColor="text1"/>
                <w:sz w:val="18"/>
                <w:szCs w:val="18"/>
                <w:lang w:val="en-PH" w:eastAsia="en-PH"/>
              </w:rPr>
            </w:pPr>
            <w:r w:rsidRPr="009E35ED">
              <w:rPr>
                <w:rFonts w:ascii="Arial Narrow" w:hAnsi="Arial Narrow" w:cs="Arial"/>
                <w:b/>
                <w:bCs/>
                <w:color w:val="000000" w:themeColor="text1"/>
                <w:sz w:val="18"/>
                <w:szCs w:val="18"/>
                <w:lang w:val="en-PH" w:eastAsia="en-PH"/>
              </w:rPr>
              <w:t>9,819,2</w:t>
            </w:r>
            <w:r w:rsidR="00170BED" w:rsidRPr="009E35ED">
              <w:rPr>
                <w:rFonts w:ascii="Arial Narrow" w:hAnsi="Arial Narrow" w:cs="Arial"/>
                <w:b/>
                <w:bCs/>
                <w:color w:val="000000" w:themeColor="text1"/>
                <w:sz w:val="18"/>
                <w:szCs w:val="18"/>
                <w:lang w:val="en-PH" w:eastAsia="en-PH"/>
              </w:rPr>
              <w:t>05,408</w:t>
            </w:r>
          </w:p>
        </w:tc>
        <w:tc>
          <w:tcPr>
            <w:tcW w:w="1716" w:type="dxa"/>
            <w:tcBorders>
              <w:top w:val="single" w:sz="4" w:space="0" w:color="auto"/>
              <w:left w:val="nil"/>
              <w:bottom w:val="double" w:sz="6" w:space="0" w:color="auto"/>
              <w:right w:val="nil"/>
            </w:tcBorders>
            <w:shd w:val="clear" w:color="auto" w:fill="auto"/>
            <w:noWrap/>
            <w:vAlign w:val="bottom"/>
          </w:tcPr>
          <w:p w14:paraId="6B92382D" w14:textId="2957A5A4" w:rsidR="00780764" w:rsidRPr="009E35ED" w:rsidRDefault="00830C51" w:rsidP="00170BED">
            <w:pPr>
              <w:ind w:left="0"/>
              <w:jc w:val="right"/>
              <w:rPr>
                <w:rFonts w:ascii="Arial Narrow" w:hAnsi="Arial Narrow" w:cs="Arial"/>
                <w:b/>
                <w:bCs/>
                <w:color w:val="000000" w:themeColor="text1"/>
                <w:sz w:val="18"/>
                <w:szCs w:val="18"/>
                <w:lang w:val="en-PH" w:eastAsia="en-PH"/>
              </w:rPr>
            </w:pPr>
            <w:r w:rsidRPr="009E35ED">
              <w:rPr>
                <w:rFonts w:ascii="Arial Narrow" w:hAnsi="Arial Narrow" w:cs="Arial"/>
                <w:b/>
                <w:bCs/>
                <w:color w:val="000000" w:themeColor="text1"/>
                <w:sz w:val="18"/>
                <w:szCs w:val="18"/>
                <w:lang w:val="en-PH" w:eastAsia="en-PH"/>
              </w:rPr>
              <w:t>17,000,2</w:t>
            </w:r>
            <w:r w:rsidR="00170BED" w:rsidRPr="009E35ED">
              <w:rPr>
                <w:rFonts w:ascii="Arial Narrow" w:hAnsi="Arial Narrow" w:cs="Arial"/>
                <w:b/>
                <w:bCs/>
                <w:color w:val="000000" w:themeColor="text1"/>
                <w:sz w:val="18"/>
                <w:szCs w:val="18"/>
                <w:lang w:val="en-PH" w:eastAsia="en-PH"/>
              </w:rPr>
              <w:t>54,227</w:t>
            </w:r>
          </w:p>
        </w:tc>
        <w:tc>
          <w:tcPr>
            <w:tcW w:w="1425" w:type="dxa"/>
            <w:tcBorders>
              <w:top w:val="single" w:sz="4" w:space="0" w:color="auto"/>
              <w:left w:val="nil"/>
              <w:bottom w:val="double" w:sz="6" w:space="0" w:color="auto"/>
              <w:right w:val="nil"/>
            </w:tcBorders>
            <w:shd w:val="clear" w:color="auto" w:fill="auto"/>
            <w:noWrap/>
            <w:vAlign w:val="bottom"/>
          </w:tcPr>
          <w:p w14:paraId="6382144D" w14:textId="534A6DAC" w:rsidR="00780764" w:rsidRPr="009E35ED" w:rsidRDefault="00CF12F1" w:rsidP="00170BED">
            <w:pPr>
              <w:ind w:left="0"/>
              <w:jc w:val="right"/>
              <w:rPr>
                <w:rFonts w:ascii="Arial Narrow" w:hAnsi="Arial Narrow" w:cs="Arial"/>
                <w:b/>
                <w:bCs/>
                <w:color w:val="000000" w:themeColor="text1"/>
                <w:sz w:val="18"/>
                <w:szCs w:val="18"/>
                <w:lang w:val="en-PH" w:eastAsia="en-PH"/>
              </w:rPr>
            </w:pPr>
            <w:r w:rsidRPr="009E35ED">
              <w:rPr>
                <w:rFonts w:ascii="Arial Narrow" w:hAnsi="Arial Narrow" w:cs="Arial"/>
                <w:b/>
                <w:bCs/>
                <w:color w:val="000000" w:themeColor="text1"/>
                <w:sz w:val="18"/>
                <w:szCs w:val="18"/>
                <w:lang w:val="en-PH" w:eastAsia="en-PH"/>
              </w:rPr>
              <w:t>30,977,6</w:t>
            </w:r>
            <w:r w:rsidR="00170BED" w:rsidRPr="009E35ED">
              <w:rPr>
                <w:rFonts w:ascii="Arial Narrow" w:hAnsi="Arial Narrow" w:cs="Arial"/>
                <w:b/>
                <w:bCs/>
                <w:color w:val="000000" w:themeColor="text1"/>
                <w:sz w:val="18"/>
                <w:szCs w:val="18"/>
                <w:lang w:val="en-PH" w:eastAsia="en-PH"/>
              </w:rPr>
              <w:t>47</w:t>
            </w:r>
            <w:r w:rsidRPr="009E35ED">
              <w:rPr>
                <w:rFonts w:ascii="Arial Narrow" w:hAnsi="Arial Narrow" w:cs="Arial"/>
                <w:b/>
                <w:bCs/>
                <w:color w:val="000000" w:themeColor="text1"/>
                <w:sz w:val="18"/>
                <w:szCs w:val="18"/>
                <w:lang w:val="en-PH" w:eastAsia="en-PH"/>
              </w:rPr>
              <w:t>,</w:t>
            </w:r>
            <w:r w:rsidR="00170BED" w:rsidRPr="009E35ED">
              <w:rPr>
                <w:rFonts w:ascii="Arial Narrow" w:hAnsi="Arial Narrow" w:cs="Arial"/>
                <w:b/>
                <w:bCs/>
                <w:color w:val="000000" w:themeColor="text1"/>
                <w:sz w:val="18"/>
                <w:szCs w:val="18"/>
                <w:lang w:val="en-PH" w:eastAsia="en-PH"/>
              </w:rPr>
              <w:t>8</w:t>
            </w:r>
            <w:r w:rsidR="00CF49C9" w:rsidRPr="009E35ED">
              <w:rPr>
                <w:rFonts w:ascii="Arial Narrow" w:hAnsi="Arial Narrow" w:cs="Arial"/>
                <w:b/>
                <w:bCs/>
                <w:color w:val="000000" w:themeColor="text1"/>
                <w:sz w:val="18"/>
                <w:szCs w:val="18"/>
                <w:lang w:val="en-PH" w:eastAsia="en-PH"/>
              </w:rPr>
              <w:t>74</w:t>
            </w:r>
          </w:p>
        </w:tc>
        <w:tc>
          <w:tcPr>
            <w:tcW w:w="1243" w:type="dxa"/>
            <w:tcBorders>
              <w:top w:val="single" w:sz="4" w:space="0" w:color="auto"/>
              <w:left w:val="nil"/>
              <w:bottom w:val="double" w:sz="6" w:space="0" w:color="auto"/>
              <w:right w:val="nil"/>
            </w:tcBorders>
            <w:shd w:val="clear" w:color="auto" w:fill="auto"/>
            <w:noWrap/>
            <w:vAlign w:val="bottom"/>
          </w:tcPr>
          <w:p w14:paraId="1051B4DA" w14:textId="2C76794C" w:rsidR="00780764" w:rsidRPr="009E35ED" w:rsidRDefault="00CF12F1" w:rsidP="00170BED">
            <w:pPr>
              <w:ind w:left="0"/>
              <w:jc w:val="right"/>
              <w:rPr>
                <w:rFonts w:ascii="Arial Narrow" w:hAnsi="Arial Narrow" w:cs="Arial"/>
                <w:b/>
                <w:bCs/>
                <w:color w:val="000000" w:themeColor="text1"/>
                <w:sz w:val="18"/>
                <w:szCs w:val="18"/>
                <w:lang w:val="en-PH" w:eastAsia="en-PH"/>
              </w:rPr>
            </w:pPr>
            <w:r w:rsidRPr="009E35ED">
              <w:rPr>
                <w:rFonts w:ascii="Arial Narrow" w:hAnsi="Arial Narrow" w:cs="Arial"/>
                <w:b/>
                <w:bCs/>
                <w:color w:val="000000" w:themeColor="text1"/>
                <w:sz w:val="18"/>
                <w:szCs w:val="18"/>
                <w:lang w:val="en-PH" w:eastAsia="en-PH"/>
              </w:rPr>
              <w:t>57,797,107,5</w:t>
            </w:r>
            <w:r w:rsidR="00170BED" w:rsidRPr="009E35ED">
              <w:rPr>
                <w:rFonts w:ascii="Arial Narrow" w:hAnsi="Arial Narrow" w:cs="Arial"/>
                <w:b/>
                <w:bCs/>
                <w:color w:val="000000" w:themeColor="text1"/>
                <w:sz w:val="18"/>
                <w:szCs w:val="18"/>
                <w:lang w:val="en-PH" w:eastAsia="en-PH"/>
              </w:rPr>
              <w:t>09</w:t>
            </w:r>
          </w:p>
        </w:tc>
      </w:tr>
    </w:tbl>
    <w:p w14:paraId="46329749" w14:textId="7A374283" w:rsidR="000503E9" w:rsidRPr="009E35ED" w:rsidRDefault="000503E9" w:rsidP="00803F8C">
      <w:pPr>
        <w:ind w:left="0"/>
        <w:rPr>
          <w:rFonts w:ascii="Arial" w:hAnsi="Arial" w:cs="Arial"/>
          <w:color w:val="000000" w:themeColor="text1"/>
          <w:sz w:val="22"/>
          <w:szCs w:val="22"/>
        </w:rPr>
      </w:pPr>
    </w:p>
    <w:p w14:paraId="094494CC" w14:textId="271710EE" w:rsidR="00855DCA" w:rsidRPr="009E35ED" w:rsidRDefault="00855DCA" w:rsidP="00803F8C">
      <w:pPr>
        <w:ind w:left="0"/>
        <w:rPr>
          <w:rFonts w:ascii="Arial" w:hAnsi="Arial" w:cs="Arial"/>
          <w:b/>
          <w:color w:val="000000" w:themeColor="text1"/>
          <w:sz w:val="22"/>
          <w:szCs w:val="22"/>
        </w:rPr>
      </w:pPr>
    </w:p>
    <w:p w14:paraId="62204251" w14:textId="4979FCBC" w:rsidR="00F96793" w:rsidRPr="009E35ED" w:rsidRDefault="00F96793" w:rsidP="00803F8C">
      <w:pPr>
        <w:ind w:left="0"/>
        <w:rPr>
          <w:rFonts w:ascii="Arial" w:hAnsi="Arial" w:cs="Arial"/>
          <w:color w:val="000000" w:themeColor="text1"/>
          <w:sz w:val="22"/>
          <w:szCs w:val="22"/>
        </w:rPr>
      </w:pPr>
      <w:r w:rsidRPr="009E35ED">
        <w:rPr>
          <w:rFonts w:ascii="Arial" w:hAnsi="Arial" w:cs="Arial"/>
          <w:color w:val="000000" w:themeColor="text1"/>
          <w:sz w:val="22"/>
          <w:szCs w:val="22"/>
        </w:rPr>
        <w:t xml:space="preserve">In conformity with PAS No. 8, the Other </w:t>
      </w:r>
      <w:r w:rsidR="00F93FBC">
        <w:rPr>
          <w:rFonts w:ascii="Arial" w:hAnsi="Arial" w:cs="Arial"/>
          <w:color w:val="000000" w:themeColor="text1"/>
          <w:sz w:val="22"/>
          <w:szCs w:val="22"/>
        </w:rPr>
        <w:t>i</w:t>
      </w:r>
      <w:r w:rsidRPr="009E35ED">
        <w:rPr>
          <w:rFonts w:ascii="Arial" w:hAnsi="Arial" w:cs="Arial"/>
          <w:color w:val="000000" w:themeColor="text1"/>
          <w:sz w:val="22"/>
          <w:szCs w:val="22"/>
        </w:rPr>
        <w:t>ncome</w:t>
      </w:r>
      <w:r w:rsidR="005167B3" w:rsidRPr="009E35ED">
        <w:rPr>
          <w:rFonts w:ascii="Arial" w:hAnsi="Arial" w:cs="Arial"/>
          <w:color w:val="000000" w:themeColor="text1"/>
          <w:sz w:val="22"/>
          <w:szCs w:val="22"/>
        </w:rPr>
        <w:t>/</w:t>
      </w:r>
      <w:r w:rsidRPr="009E35ED">
        <w:rPr>
          <w:rFonts w:ascii="Arial" w:hAnsi="Arial" w:cs="Arial"/>
          <w:color w:val="000000" w:themeColor="text1"/>
          <w:sz w:val="22"/>
          <w:szCs w:val="22"/>
        </w:rPr>
        <w:t>(</w:t>
      </w:r>
      <w:r w:rsidR="00F93FBC">
        <w:rPr>
          <w:rFonts w:ascii="Arial" w:hAnsi="Arial" w:cs="Arial"/>
          <w:color w:val="000000" w:themeColor="text1"/>
          <w:sz w:val="22"/>
          <w:szCs w:val="22"/>
        </w:rPr>
        <w:t>e</w:t>
      </w:r>
      <w:r w:rsidRPr="009E35ED">
        <w:rPr>
          <w:rFonts w:ascii="Arial" w:hAnsi="Arial" w:cs="Arial"/>
          <w:color w:val="000000" w:themeColor="text1"/>
          <w:sz w:val="22"/>
          <w:szCs w:val="22"/>
        </w:rPr>
        <w:t>xpenses) accounts are restated as follows:</w:t>
      </w:r>
    </w:p>
    <w:p w14:paraId="0A9D13BE" w14:textId="77777777" w:rsidR="00F96793" w:rsidRPr="009E35ED" w:rsidRDefault="00F96793" w:rsidP="00803F8C">
      <w:pPr>
        <w:rPr>
          <w:rFonts w:ascii="Arial" w:hAnsi="Arial" w:cs="Arial"/>
          <w:color w:val="000000" w:themeColor="text1"/>
          <w:sz w:val="22"/>
          <w:szCs w:val="22"/>
        </w:rPr>
      </w:pPr>
    </w:p>
    <w:tbl>
      <w:tblPr>
        <w:tblW w:w="8931" w:type="dxa"/>
        <w:tblBorders>
          <w:bottom w:val="double" w:sz="4" w:space="0" w:color="auto"/>
        </w:tblBorders>
        <w:tblLook w:val="04A0" w:firstRow="1" w:lastRow="0" w:firstColumn="1" w:lastColumn="0" w:noHBand="0" w:noVBand="1"/>
      </w:tblPr>
      <w:tblGrid>
        <w:gridCol w:w="7230"/>
        <w:gridCol w:w="1701"/>
      </w:tblGrid>
      <w:tr w:rsidR="00997F75" w:rsidRPr="009E35ED" w14:paraId="06988E2F" w14:textId="77777777" w:rsidTr="00860ED6">
        <w:trPr>
          <w:trHeight w:val="316"/>
        </w:trPr>
        <w:tc>
          <w:tcPr>
            <w:tcW w:w="7230" w:type="dxa"/>
            <w:tcBorders>
              <w:top w:val="single" w:sz="4" w:space="0" w:color="auto"/>
              <w:bottom w:val="nil"/>
            </w:tcBorders>
            <w:shd w:val="clear" w:color="auto" w:fill="auto"/>
            <w:noWrap/>
          </w:tcPr>
          <w:p w14:paraId="3E7D7F79" w14:textId="67E1864C" w:rsidR="006A4599" w:rsidRPr="009E35ED" w:rsidRDefault="006A4599" w:rsidP="003A5476">
            <w:pPr>
              <w:ind w:left="-108"/>
              <w:jc w:val="left"/>
              <w:rPr>
                <w:rFonts w:ascii="Arial Narrow" w:hAnsi="Arial Narrow" w:cs="Arial"/>
                <w:color w:val="000000" w:themeColor="text1"/>
                <w:sz w:val="22"/>
                <w:szCs w:val="22"/>
                <w:lang w:val="en-PH" w:eastAsia="en-PH"/>
              </w:rPr>
            </w:pPr>
            <w:r w:rsidRPr="009E35ED">
              <w:rPr>
                <w:rFonts w:ascii="Arial Narrow" w:hAnsi="Arial Narrow"/>
                <w:color w:val="000000" w:themeColor="text1"/>
                <w:sz w:val="22"/>
                <w:szCs w:val="22"/>
              </w:rPr>
              <w:t xml:space="preserve">Unrestated </w:t>
            </w:r>
            <w:r w:rsidR="00F93FBC">
              <w:rPr>
                <w:rFonts w:ascii="Arial Narrow" w:hAnsi="Arial Narrow"/>
                <w:color w:val="000000" w:themeColor="text1"/>
                <w:sz w:val="22"/>
                <w:szCs w:val="22"/>
              </w:rPr>
              <w:t>a</w:t>
            </w:r>
            <w:r w:rsidRPr="009E35ED">
              <w:rPr>
                <w:rFonts w:ascii="Arial Narrow" w:hAnsi="Arial Narrow"/>
                <w:color w:val="000000" w:themeColor="text1"/>
                <w:sz w:val="22"/>
                <w:szCs w:val="22"/>
              </w:rPr>
              <w:t>mount as of December 31, 2022</w:t>
            </w:r>
          </w:p>
        </w:tc>
        <w:tc>
          <w:tcPr>
            <w:tcW w:w="1701" w:type="dxa"/>
            <w:tcBorders>
              <w:top w:val="single" w:sz="4" w:space="0" w:color="auto"/>
              <w:bottom w:val="nil"/>
            </w:tcBorders>
            <w:shd w:val="clear" w:color="auto" w:fill="auto"/>
            <w:noWrap/>
          </w:tcPr>
          <w:p w14:paraId="6F901C3F" w14:textId="073B57D8" w:rsidR="006A4599" w:rsidRPr="009E35ED" w:rsidRDefault="006A4599" w:rsidP="003A5476">
            <w:pPr>
              <w:ind w:left="0" w:right="-83"/>
              <w:jc w:val="right"/>
              <w:rPr>
                <w:rFonts w:ascii="Arial Narrow" w:hAnsi="Arial Narrow" w:cs="Arial"/>
                <w:color w:val="000000" w:themeColor="text1"/>
                <w:sz w:val="22"/>
                <w:szCs w:val="22"/>
                <w:lang w:val="en-PH" w:eastAsia="en-PH"/>
              </w:rPr>
            </w:pPr>
            <w:r w:rsidRPr="009E35ED">
              <w:rPr>
                <w:rFonts w:ascii="Arial Narrow" w:hAnsi="Arial Narrow"/>
                <w:color w:val="000000" w:themeColor="text1"/>
                <w:sz w:val="22"/>
                <w:szCs w:val="22"/>
              </w:rPr>
              <w:t xml:space="preserve"> 18,335,500 </w:t>
            </w:r>
          </w:p>
        </w:tc>
      </w:tr>
      <w:tr w:rsidR="00997F75" w:rsidRPr="009E35ED" w14:paraId="2F84ECB3" w14:textId="77777777" w:rsidTr="00860ED6">
        <w:trPr>
          <w:trHeight w:val="85"/>
        </w:trPr>
        <w:tc>
          <w:tcPr>
            <w:tcW w:w="7230" w:type="dxa"/>
            <w:tcBorders>
              <w:bottom w:val="single" w:sz="4" w:space="0" w:color="auto"/>
            </w:tcBorders>
            <w:shd w:val="clear" w:color="auto" w:fill="auto"/>
            <w:noWrap/>
          </w:tcPr>
          <w:p w14:paraId="259346C4" w14:textId="70F72542" w:rsidR="006A4599" w:rsidRPr="009E35ED" w:rsidRDefault="006A4599" w:rsidP="003A5476">
            <w:pPr>
              <w:ind w:left="-108"/>
              <w:jc w:val="left"/>
              <w:rPr>
                <w:rFonts w:ascii="Arial Narrow" w:hAnsi="Arial Narrow" w:cs="Arial"/>
                <w:color w:val="000000" w:themeColor="text1"/>
                <w:sz w:val="22"/>
                <w:szCs w:val="22"/>
                <w:lang w:val="en-PH" w:eastAsia="en-PH"/>
              </w:rPr>
            </w:pPr>
            <w:r w:rsidRPr="009E35ED">
              <w:rPr>
                <w:rFonts w:ascii="Arial Narrow" w:hAnsi="Arial Narrow"/>
                <w:color w:val="000000" w:themeColor="text1"/>
                <w:sz w:val="22"/>
                <w:szCs w:val="22"/>
              </w:rPr>
              <w:t xml:space="preserve">Adjustment/Recording of </w:t>
            </w:r>
            <w:r w:rsidR="00F93FBC">
              <w:rPr>
                <w:rFonts w:ascii="Arial Narrow" w:hAnsi="Arial Narrow"/>
                <w:color w:val="000000" w:themeColor="text1"/>
                <w:sz w:val="22"/>
                <w:szCs w:val="22"/>
              </w:rPr>
              <w:t>o</w:t>
            </w:r>
            <w:r w:rsidRPr="009E35ED">
              <w:rPr>
                <w:rFonts w:ascii="Arial Narrow" w:hAnsi="Arial Narrow"/>
                <w:color w:val="000000" w:themeColor="text1"/>
                <w:sz w:val="22"/>
                <w:szCs w:val="22"/>
              </w:rPr>
              <w:t xml:space="preserve">ther </w:t>
            </w:r>
            <w:r w:rsidR="00F93FBC">
              <w:rPr>
                <w:rFonts w:ascii="Arial Narrow" w:hAnsi="Arial Narrow"/>
                <w:color w:val="000000" w:themeColor="text1"/>
                <w:sz w:val="22"/>
                <w:szCs w:val="22"/>
              </w:rPr>
              <w:t>s</w:t>
            </w:r>
            <w:r w:rsidRPr="009E35ED">
              <w:rPr>
                <w:rFonts w:ascii="Arial Narrow" w:hAnsi="Arial Narrow"/>
                <w:color w:val="000000" w:themeColor="text1"/>
                <w:sz w:val="22"/>
                <w:szCs w:val="22"/>
              </w:rPr>
              <w:t xml:space="preserve">ervice </w:t>
            </w:r>
            <w:r w:rsidR="00F93FBC">
              <w:rPr>
                <w:rFonts w:ascii="Arial Narrow" w:hAnsi="Arial Narrow"/>
                <w:color w:val="000000" w:themeColor="text1"/>
                <w:sz w:val="22"/>
                <w:szCs w:val="22"/>
              </w:rPr>
              <w:t>i</w:t>
            </w:r>
            <w:r w:rsidRPr="009E35ED">
              <w:rPr>
                <w:rFonts w:ascii="Arial Narrow" w:hAnsi="Arial Narrow"/>
                <w:color w:val="000000" w:themeColor="text1"/>
                <w:sz w:val="22"/>
                <w:szCs w:val="22"/>
              </w:rPr>
              <w:t>ncome-</w:t>
            </w:r>
            <w:r w:rsidR="00F93FBC">
              <w:rPr>
                <w:rFonts w:ascii="Arial Narrow" w:hAnsi="Arial Narrow"/>
                <w:color w:val="000000" w:themeColor="text1"/>
                <w:sz w:val="22"/>
                <w:szCs w:val="22"/>
              </w:rPr>
              <w:t>i</w:t>
            </w:r>
            <w:r w:rsidRPr="009E35ED">
              <w:rPr>
                <w:rFonts w:ascii="Arial Narrow" w:hAnsi="Arial Narrow"/>
                <w:color w:val="000000" w:themeColor="text1"/>
                <w:sz w:val="22"/>
                <w:szCs w:val="22"/>
              </w:rPr>
              <w:t>nstallation fees-</w:t>
            </w:r>
            <w:r w:rsidR="00F93FBC">
              <w:rPr>
                <w:rFonts w:ascii="Arial Narrow" w:hAnsi="Arial Narrow"/>
                <w:color w:val="000000" w:themeColor="text1"/>
                <w:sz w:val="22"/>
                <w:szCs w:val="22"/>
              </w:rPr>
              <w:t>h</w:t>
            </w:r>
            <w:r w:rsidRPr="009E35ED">
              <w:rPr>
                <w:rFonts w:ascii="Arial Narrow" w:hAnsi="Arial Narrow"/>
                <w:color w:val="000000" w:themeColor="text1"/>
                <w:sz w:val="22"/>
                <w:szCs w:val="22"/>
              </w:rPr>
              <w:t xml:space="preserve">ead </w:t>
            </w:r>
            <w:r w:rsidR="00F93FBC">
              <w:rPr>
                <w:rFonts w:ascii="Arial Narrow" w:hAnsi="Arial Narrow"/>
                <w:color w:val="000000" w:themeColor="text1"/>
                <w:sz w:val="22"/>
                <w:szCs w:val="22"/>
              </w:rPr>
              <w:t>o</w:t>
            </w:r>
            <w:r w:rsidRPr="009E35ED">
              <w:rPr>
                <w:rFonts w:ascii="Arial Narrow" w:hAnsi="Arial Narrow"/>
                <w:color w:val="000000" w:themeColor="text1"/>
                <w:sz w:val="22"/>
                <w:szCs w:val="22"/>
              </w:rPr>
              <w:t>ffice</w:t>
            </w:r>
          </w:p>
        </w:tc>
        <w:tc>
          <w:tcPr>
            <w:tcW w:w="1701" w:type="dxa"/>
            <w:tcBorders>
              <w:bottom w:val="single" w:sz="4" w:space="0" w:color="auto"/>
            </w:tcBorders>
            <w:shd w:val="clear" w:color="auto" w:fill="auto"/>
            <w:noWrap/>
          </w:tcPr>
          <w:p w14:paraId="1E0E8EB1" w14:textId="4022A1D7" w:rsidR="006A4599" w:rsidRPr="009E35ED" w:rsidRDefault="006A4599" w:rsidP="003A5476">
            <w:pPr>
              <w:ind w:left="0" w:right="-83"/>
              <w:jc w:val="right"/>
              <w:rPr>
                <w:rFonts w:ascii="Arial Narrow" w:hAnsi="Arial Narrow" w:cs="Arial"/>
                <w:color w:val="000000" w:themeColor="text1"/>
                <w:sz w:val="22"/>
                <w:szCs w:val="22"/>
                <w:lang w:val="en-PH" w:eastAsia="en-PH"/>
              </w:rPr>
            </w:pPr>
            <w:r w:rsidRPr="009E35ED">
              <w:rPr>
                <w:rFonts w:ascii="Arial Narrow" w:hAnsi="Arial Narrow"/>
                <w:color w:val="000000" w:themeColor="text1"/>
                <w:sz w:val="22"/>
                <w:szCs w:val="22"/>
              </w:rPr>
              <w:t xml:space="preserve"> (10,000)</w:t>
            </w:r>
          </w:p>
        </w:tc>
      </w:tr>
      <w:tr w:rsidR="00997F75" w:rsidRPr="009E35ED" w14:paraId="608D405A" w14:textId="77777777" w:rsidTr="00860ED6">
        <w:trPr>
          <w:trHeight w:val="316"/>
        </w:trPr>
        <w:tc>
          <w:tcPr>
            <w:tcW w:w="7230" w:type="dxa"/>
            <w:tcBorders>
              <w:top w:val="single" w:sz="4" w:space="0" w:color="auto"/>
              <w:bottom w:val="double" w:sz="4" w:space="0" w:color="auto"/>
            </w:tcBorders>
            <w:shd w:val="clear" w:color="auto" w:fill="auto"/>
            <w:noWrap/>
          </w:tcPr>
          <w:p w14:paraId="2C165E0D" w14:textId="3424029B" w:rsidR="006A4599" w:rsidRPr="009E35ED" w:rsidRDefault="006A4599" w:rsidP="003A5476">
            <w:pPr>
              <w:ind w:left="-108"/>
              <w:jc w:val="left"/>
              <w:rPr>
                <w:rFonts w:ascii="Arial Narrow" w:hAnsi="Arial Narrow" w:cs="Arial"/>
                <w:b/>
                <w:bCs/>
                <w:color w:val="000000" w:themeColor="text1"/>
                <w:sz w:val="22"/>
                <w:szCs w:val="22"/>
                <w:lang w:val="en-PH" w:eastAsia="en-PH"/>
              </w:rPr>
            </w:pPr>
            <w:r w:rsidRPr="009E35ED">
              <w:rPr>
                <w:rFonts w:ascii="Arial Narrow" w:hAnsi="Arial Narrow"/>
                <w:b/>
                <w:bCs/>
                <w:color w:val="000000" w:themeColor="text1"/>
                <w:sz w:val="22"/>
                <w:szCs w:val="22"/>
              </w:rPr>
              <w:t>Restated Amount as of December 31, 2022 - Other Service Income (Operating Fund)</w:t>
            </w:r>
          </w:p>
        </w:tc>
        <w:tc>
          <w:tcPr>
            <w:tcW w:w="1701" w:type="dxa"/>
            <w:tcBorders>
              <w:top w:val="single" w:sz="4" w:space="0" w:color="auto"/>
              <w:bottom w:val="double" w:sz="4" w:space="0" w:color="auto"/>
            </w:tcBorders>
            <w:shd w:val="clear" w:color="auto" w:fill="auto"/>
            <w:noWrap/>
          </w:tcPr>
          <w:p w14:paraId="6FA93B20" w14:textId="77777777" w:rsidR="001D4F51" w:rsidRPr="009E35ED" w:rsidRDefault="006A4599" w:rsidP="003A5476">
            <w:pPr>
              <w:ind w:left="0" w:right="-83"/>
              <w:jc w:val="right"/>
              <w:rPr>
                <w:rFonts w:ascii="Arial Narrow" w:hAnsi="Arial Narrow"/>
                <w:b/>
                <w:bCs/>
                <w:color w:val="000000" w:themeColor="text1"/>
                <w:sz w:val="22"/>
                <w:szCs w:val="22"/>
              </w:rPr>
            </w:pPr>
            <w:r w:rsidRPr="009E35ED">
              <w:rPr>
                <w:rFonts w:ascii="Arial Narrow" w:hAnsi="Arial Narrow"/>
                <w:b/>
                <w:bCs/>
                <w:color w:val="000000" w:themeColor="text1"/>
                <w:sz w:val="22"/>
                <w:szCs w:val="22"/>
              </w:rPr>
              <w:t xml:space="preserve"> </w:t>
            </w:r>
          </w:p>
          <w:p w14:paraId="7122D689" w14:textId="26B45839" w:rsidR="006A4599" w:rsidRPr="009E35ED" w:rsidRDefault="006A4599" w:rsidP="003A5476">
            <w:pPr>
              <w:ind w:left="0" w:right="-83"/>
              <w:jc w:val="right"/>
              <w:rPr>
                <w:rFonts w:ascii="Arial Narrow" w:hAnsi="Arial Narrow"/>
                <w:b/>
                <w:bCs/>
                <w:color w:val="000000" w:themeColor="text1"/>
                <w:sz w:val="22"/>
                <w:szCs w:val="22"/>
                <w:lang w:val="en-PH" w:eastAsia="en-PH"/>
              </w:rPr>
            </w:pPr>
            <w:r w:rsidRPr="009E35ED">
              <w:rPr>
                <w:rFonts w:ascii="Arial Narrow" w:hAnsi="Arial Narrow"/>
                <w:b/>
                <w:bCs/>
                <w:color w:val="000000" w:themeColor="text1"/>
                <w:sz w:val="22"/>
                <w:szCs w:val="22"/>
              </w:rPr>
              <w:t xml:space="preserve">18,325,500 </w:t>
            </w:r>
          </w:p>
        </w:tc>
      </w:tr>
      <w:tr w:rsidR="00997F75" w:rsidRPr="009E35ED" w14:paraId="7879A241" w14:textId="77777777" w:rsidTr="00860ED6">
        <w:trPr>
          <w:trHeight w:val="300"/>
        </w:trPr>
        <w:tc>
          <w:tcPr>
            <w:tcW w:w="7230" w:type="dxa"/>
            <w:tcBorders>
              <w:top w:val="double" w:sz="4" w:space="0" w:color="auto"/>
            </w:tcBorders>
            <w:shd w:val="clear" w:color="auto" w:fill="auto"/>
            <w:noWrap/>
            <w:vAlign w:val="bottom"/>
          </w:tcPr>
          <w:p w14:paraId="25EA9CD5" w14:textId="2E3DA115" w:rsidR="00A31C96" w:rsidRPr="009E35ED" w:rsidRDefault="00A31C96" w:rsidP="00A31C96">
            <w:pPr>
              <w:ind w:left="0"/>
              <w:jc w:val="left"/>
              <w:rPr>
                <w:rFonts w:ascii="Arial Narrow" w:hAnsi="Arial Narrow" w:cs="Arial"/>
                <w:color w:val="000000" w:themeColor="text1"/>
                <w:sz w:val="22"/>
                <w:szCs w:val="22"/>
                <w:lang w:val="en-PH" w:eastAsia="en-PH"/>
              </w:rPr>
            </w:pPr>
          </w:p>
        </w:tc>
        <w:tc>
          <w:tcPr>
            <w:tcW w:w="1701" w:type="dxa"/>
            <w:tcBorders>
              <w:top w:val="double" w:sz="4" w:space="0" w:color="auto"/>
            </w:tcBorders>
            <w:shd w:val="clear" w:color="auto" w:fill="auto"/>
            <w:noWrap/>
            <w:vAlign w:val="bottom"/>
          </w:tcPr>
          <w:p w14:paraId="348F4C94" w14:textId="17F507EC" w:rsidR="00A31C96" w:rsidRPr="009E35ED" w:rsidRDefault="00A31C96" w:rsidP="00A31C96">
            <w:pPr>
              <w:ind w:left="0"/>
              <w:jc w:val="right"/>
              <w:rPr>
                <w:rFonts w:ascii="Arial Narrow" w:hAnsi="Arial Narrow" w:cs="Arial"/>
                <w:color w:val="000000" w:themeColor="text1"/>
                <w:sz w:val="22"/>
                <w:szCs w:val="22"/>
                <w:lang w:val="en-PH" w:eastAsia="en-PH"/>
              </w:rPr>
            </w:pPr>
          </w:p>
        </w:tc>
      </w:tr>
      <w:tr w:rsidR="00997F75" w:rsidRPr="009E35ED" w14:paraId="2CE0AF2C" w14:textId="77777777" w:rsidTr="00860ED6">
        <w:trPr>
          <w:trHeight w:val="300"/>
        </w:trPr>
        <w:tc>
          <w:tcPr>
            <w:tcW w:w="7230" w:type="dxa"/>
            <w:tcBorders>
              <w:bottom w:val="nil"/>
            </w:tcBorders>
            <w:shd w:val="clear" w:color="auto" w:fill="auto"/>
            <w:noWrap/>
          </w:tcPr>
          <w:p w14:paraId="0A3C57C2" w14:textId="545D3D6D" w:rsidR="0047080D" w:rsidRPr="009E35ED" w:rsidRDefault="0047080D" w:rsidP="00F10767">
            <w:pPr>
              <w:ind w:left="-108"/>
              <w:jc w:val="left"/>
              <w:rPr>
                <w:rFonts w:ascii="Arial Narrow" w:hAnsi="Arial Narrow" w:cs="Arial"/>
                <w:color w:val="000000" w:themeColor="text1"/>
                <w:sz w:val="22"/>
                <w:szCs w:val="22"/>
                <w:lang w:val="en-PH" w:eastAsia="en-PH"/>
              </w:rPr>
            </w:pPr>
            <w:r w:rsidRPr="009E35ED">
              <w:rPr>
                <w:rFonts w:ascii="Arial Narrow" w:hAnsi="Arial Narrow"/>
                <w:color w:val="000000" w:themeColor="text1"/>
                <w:sz w:val="22"/>
                <w:szCs w:val="22"/>
              </w:rPr>
              <w:t xml:space="preserve">Unrestated </w:t>
            </w:r>
            <w:r w:rsidR="00F93FBC">
              <w:rPr>
                <w:rFonts w:ascii="Arial Narrow" w:hAnsi="Arial Narrow"/>
                <w:color w:val="000000" w:themeColor="text1"/>
                <w:sz w:val="22"/>
                <w:szCs w:val="22"/>
              </w:rPr>
              <w:t>a</w:t>
            </w:r>
            <w:r w:rsidRPr="009E35ED">
              <w:rPr>
                <w:rFonts w:ascii="Arial Narrow" w:hAnsi="Arial Narrow"/>
                <w:color w:val="000000" w:themeColor="text1"/>
                <w:sz w:val="22"/>
                <w:szCs w:val="22"/>
              </w:rPr>
              <w:t>mount as of December 31, 2022</w:t>
            </w:r>
          </w:p>
        </w:tc>
        <w:tc>
          <w:tcPr>
            <w:tcW w:w="1701" w:type="dxa"/>
            <w:tcBorders>
              <w:bottom w:val="nil"/>
            </w:tcBorders>
            <w:shd w:val="clear" w:color="auto" w:fill="auto"/>
            <w:noWrap/>
          </w:tcPr>
          <w:p w14:paraId="47FF6C0B" w14:textId="6F2D35CB" w:rsidR="0047080D" w:rsidRPr="009E35ED" w:rsidRDefault="0047080D" w:rsidP="00F10767">
            <w:pPr>
              <w:ind w:left="0" w:right="-83"/>
              <w:jc w:val="right"/>
              <w:rPr>
                <w:rFonts w:ascii="Arial Narrow" w:hAnsi="Arial Narrow" w:cs="Arial"/>
                <w:color w:val="000000" w:themeColor="text1"/>
                <w:sz w:val="22"/>
                <w:szCs w:val="22"/>
                <w:lang w:val="en-PH" w:eastAsia="en-PH"/>
              </w:rPr>
            </w:pPr>
            <w:r w:rsidRPr="009E35ED">
              <w:rPr>
                <w:rFonts w:ascii="Arial Narrow" w:hAnsi="Arial Narrow"/>
                <w:color w:val="000000" w:themeColor="text1"/>
                <w:sz w:val="22"/>
                <w:szCs w:val="22"/>
              </w:rPr>
              <w:t xml:space="preserve"> 71,467,101 </w:t>
            </w:r>
          </w:p>
        </w:tc>
      </w:tr>
      <w:tr w:rsidR="00997F75" w:rsidRPr="009E35ED" w14:paraId="70689CD9" w14:textId="77777777" w:rsidTr="00860ED6">
        <w:trPr>
          <w:trHeight w:val="300"/>
        </w:trPr>
        <w:tc>
          <w:tcPr>
            <w:tcW w:w="7230" w:type="dxa"/>
            <w:tcBorders>
              <w:bottom w:val="nil"/>
            </w:tcBorders>
            <w:shd w:val="clear" w:color="auto" w:fill="auto"/>
            <w:noWrap/>
          </w:tcPr>
          <w:p w14:paraId="4EC41DD7" w14:textId="6BFA4BAF" w:rsidR="0047080D" w:rsidRPr="009E35ED" w:rsidRDefault="0047080D" w:rsidP="00F10767">
            <w:pPr>
              <w:ind w:left="-108"/>
              <w:jc w:val="left"/>
              <w:rPr>
                <w:rFonts w:ascii="Arial Narrow" w:hAnsi="Arial Narrow"/>
                <w:color w:val="000000" w:themeColor="text1"/>
                <w:sz w:val="22"/>
                <w:szCs w:val="22"/>
              </w:rPr>
            </w:pPr>
            <w:r w:rsidRPr="009E35ED">
              <w:rPr>
                <w:rFonts w:ascii="Arial Narrow" w:hAnsi="Arial Narrow"/>
                <w:color w:val="000000" w:themeColor="text1"/>
                <w:sz w:val="22"/>
                <w:szCs w:val="22"/>
              </w:rPr>
              <w:t xml:space="preserve">Adjustment/Recording of </w:t>
            </w:r>
            <w:r w:rsidR="00F93FBC">
              <w:rPr>
                <w:rFonts w:ascii="Arial Narrow" w:hAnsi="Arial Narrow"/>
                <w:color w:val="000000" w:themeColor="text1"/>
                <w:sz w:val="22"/>
                <w:szCs w:val="22"/>
              </w:rPr>
              <w:t>i</w:t>
            </w:r>
            <w:r w:rsidRPr="009E35ED">
              <w:rPr>
                <w:rFonts w:ascii="Arial Narrow" w:hAnsi="Arial Narrow"/>
                <w:color w:val="000000" w:themeColor="text1"/>
                <w:sz w:val="22"/>
                <w:szCs w:val="22"/>
              </w:rPr>
              <w:t xml:space="preserve">nterest </w:t>
            </w:r>
            <w:r w:rsidR="00F93FBC">
              <w:rPr>
                <w:rFonts w:ascii="Arial Narrow" w:hAnsi="Arial Narrow"/>
                <w:color w:val="000000" w:themeColor="text1"/>
                <w:sz w:val="22"/>
                <w:szCs w:val="22"/>
              </w:rPr>
              <w:t>i</w:t>
            </w:r>
            <w:r w:rsidRPr="009E35ED">
              <w:rPr>
                <w:rFonts w:ascii="Arial Narrow" w:hAnsi="Arial Narrow"/>
                <w:color w:val="000000" w:themeColor="text1"/>
                <w:sz w:val="22"/>
                <w:szCs w:val="22"/>
              </w:rPr>
              <w:t>ncome-</w:t>
            </w:r>
            <w:r w:rsidR="00F93FBC">
              <w:rPr>
                <w:rFonts w:ascii="Arial Narrow" w:hAnsi="Arial Narrow"/>
                <w:color w:val="000000" w:themeColor="text1"/>
                <w:sz w:val="22"/>
                <w:szCs w:val="22"/>
              </w:rPr>
              <w:t>h</w:t>
            </w:r>
            <w:r w:rsidRPr="009E35ED">
              <w:rPr>
                <w:rFonts w:ascii="Arial Narrow" w:hAnsi="Arial Narrow"/>
                <w:color w:val="000000" w:themeColor="text1"/>
                <w:sz w:val="22"/>
                <w:szCs w:val="22"/>
              </w:rPr>
              <w:t xml:space="preserve">ead </w:t>
            </w:r>
            <w:r w:rsidR="00F93FBC">
              <w:rPr>
                <w:rFonts w:ascii="Arial Narrow" w:hAnsi="Arial Narrow"/>
                <w:color w:val="000000" w:themeColor="text1"/>
                <w:sz w:val="22"/>
                <w:szCs w:val="22"/>
              </w:rPr>
              <w:t>o</w:t>
            </w:r>
            <w:r w:rsidRPr="009E35ED">
              <w:rPr>
                <w:rFonts w:ascii="Arial Narrow" w:hAnsi="Arial Narrow"/>
                <w:color w:val="000000" w:themeColor="text1"/>
                <w:sz w:val="22"/>
                <w:szCs w:val="22"/>
              </w:rPr>
              <w:t>ffice</w:t>
            </w:r>
          </w:p>
        </w:tc>
        <w:tc>
          <w:tcPr>
            <w:tcW w:w="1701" w:type="dxa"/>
            <w:tcBorders>
              <w:bottom w:val="nil"/>
            </w:tcBorders>
            <w:shd w:val="clear" w:color="auto" w:fill="auto"/>
            <w:noWrap/>
          </w:tcPr>
          <w:p w14:paraId="54B9A12A" w14:textId="1DD28222" w:rsidR="0047080D" w:rsidRPr="009E35ED" w:rsidRDefault="0047080D" w:rsidP="00F10767">
            <w:pPr>
              <w:ind w:left="0" w:right="-83"/>
              <w:jc w:val="right"/>
              <w:rPr>
                <w:rFonts w:ascii="Arial Narrow" w:hAnsi="Arial Narrow"/>
                <w:color w:val="000000" w:themeColor="text1"/>
                <w:sz w:val="22"/>
                <w:szCs w:val="22"/>
              </w:rPr>
            </w:pPr>
            <w:r w:rsidRPr="009E35ED">
              <w:rPr>
                <w:rFonts w:ascii="Arial Narrow" w:hAnsi="Arial Narrow"/>
                <w:color w:val="000000" w:themeColor="text1"/>
                <w:sz w:val="22"/>
                <w:szCs w:val="22"/>
              </w:rPr>
              <w:t xml:space="preserve"> 27,835 </w:t>
            </w:r>
          </w:p>
        </w:tc>
      </w:tr>
      <w:tr w:rsidR="00997F75" w:rsidRPr="009E35ED" w14:paraId="75512482" w14:textId="77777777" w:rsidTr="00860ED6">
        <w:trPr>
          <w:trHeight w:val="142"/>
        </w:trPr>
        <w:tc>
          <w:tcPr>
            <w:tcW w:w="7230" w:type="dxa"/>
            <w:tcBorders>
              <w:bottom w:val="single" w:sz="4" w:space="0" w:color="auto"/>
            </w:tcBorders>
            <w:shd w:val="clear" w:color="auto" w:fill="auto"/>
            <w:noWrap/>
          </w:tcPr>
          <w:p w14:paraId="42AD0845" w14:textId="0BA49BD0" w:rsidR="0047080D" w:rsidRPr="009E35ED" w:rsidRDefault="0047080D" w:rsidP="00F10767">
            <w:pPr>
              <w:ind w:left="-108"/>
              <w:jc w:val="left"/>
              <w:rPr>
                <w:rFonts w:ascii="Arial Narrow" w:hAnsi="Arial Narrow" w:cs="Arial"/>
                <w:color w:val="000000" w:themeColor="text1"/>
                <w:sz w:val="22"/>
                <w:szCs w:val="22"/>
                <w:lang w:val="en-PH" w:eastAsia="en-PH"/>
              </w:rPr>
            </w:pPr>
            <w:r w:rsidRPr="009E35ED">
              <w:rPr>
                <w:rFonts w:ascii="Arial Narrow" w:hAnsi="Arial Narrow"/>
                <w:color w:val="000000" w:themeColor="text1"/>
                <w:sz w:val="22"/>
                <w:szCs w:val="22"/>
              </w:rPr>
              <w:t xml:space="preserve">Adjustment/Recording of </w:t>
            </w:r>
            <w:r w:rsidR="00F93FBC">
              <w:rPr>
                <w:rFonts w:ascii="Arial Narrow" w:hAnsi="Arial Narrow"/>
                <w:color w:val="000000" w:themeColor="text1"/>
                <w:sz w:val="22"/>
                <w:szCs w:val="22"/>
              </w:rPr>
              <w:t>i</w:t>
            </w:r>
            <w:r w:rsidRPr="009E35ED">
              <w:rPr>
                <w:rFonts w:ascii="Arial Narrow" w:hAnsi="Arial Narrow"/>
                <w:color w:val="000000" w:themeColor="text1"/>
                <w:sz w:val="22"/>
                <w:szCs w:val="22"/>
              </w:rPr>
              <w:t xml:space="preserve">nterest </w:t>
            </w:r>
            <w:r w:rsidR="00F93FBC">
              <w:rPr>
                <w:rFonts w:ascii="Arial Narrow" w:hAnsi="Arial Narrow"/>
                <w:color w:val="000000" w:themeColor="text1"/>
                <w:sz w:val="22"/>
                <w:szCs w:val="22"/>
              </w:rPr>
              <w:t>i</w:t>
            </w:r>
            <w:r w:rsidRPr="009E35ED">
              <w:rPr>
                <w:rFonts w:ascii="Arial Narrow" w:hAnsi="Arial Narrow"/>
                <w:color w:val="000000" w:themeColor="text1"/>
                <w:sz w:val="22"/>
                <w:szCs w:val="22"/>
              </w:rPr>
              <w:t>ncome-</w:t>
            </w:r>
            <w:r w:rsidR="00F93FBC">
              <w:rPr>
                <w:rFonts w:ascii="Arial Narrow" w:hAnsi="Arial Narrow"/>
                <w:color w:val="000000" w:themeColor="text1"/>
                <w:sz w:val="22"/>
                <w:szCs w:val="22"/>
              </w:rPr>
              <w:t>b</w:t>
            </w:r>
            <w:r w:rsidRPr="009E35ED">
              <w:rPr>
                <w:rFonts w:ascii="Arial Narrow" w:hAnsi="Arial Narrow"/>
                <w:color w:val="000000" w:themeColor="text1"/>
                <w:sz w:val="22"/>
                <w:szCs w:val="22"/>
              </w:rPr>
              <w:t>ranch</w:t>
            </w:r>
          </w:p>
        </w:tc>
        <w:tc>
          <w:tcPr>
            <w:tcW w:w="1701" w:type="dxa"/>
            <w:tcBorders>
              <w:bottom w:val="single" w:sz="4" w:space="0" w:color="auto"/>
            </w:tcBorders>
            <w:shd w:val="clear" w:color="auto" w:fill="auto"/>
            <w:noWrap/>
          </w:tcPr>
          <w:p w14:paraId="03231E61" w14:textId="099C2DBD" w:rsidR="0047080D" w:rsidRPr="009E35ED" w:rsidRDefault="0047080D" w:rsidP="00F10767">
            <w:pPr>
              <w:ind w:left="0" w:right="-83"/>
              <w:jc w:val="right"/>
              <w:rPr>
                <w:rFonts w:ascii="Arial Narrow" w:hAnsi="Arial Narrow" w:cs="Arial"/>
                <w:color w:val="000000" w:themeColor="text1"/>
                <w:sz w:val="22"/>
                <w:szCs w:val="22"/>
                <w:lang w:val="en-PH" w:eastAsia="en-PH"/>
              </w:rPr>
            </w:pPr>
            <w:r w:rsidRPr="009E35ED">
              <w:rPr>
                <w:rFonts w:ascii="Arial Narrow" w:hAnsi="Arial Narrow"/>
                <w:color w:val="000000" w:themeColor="text1"/>
                <w:sz w:val="22"/>
                <w:szCs w:val="22"/>
              </w:rPr>
              <w:t xml:space="preserve"> </w:t>
            </w:r>
            <w:r w:rsidR="000D7826" w:rsidRPr="009E35ED">
              <w:rPr>
                <w:rFonts w:ascii="Arial Narrow" w:hAnsi="Arial Narrow"/>
                <w:color w:val="000000" w:themeColor="text1"/>
                <w:sz w:val="22"/>
                <w:szCs w:val="22"/>
              </w:rPr>
              <w:t>19,455</w:t>
            </w:r>
            <w:r w:rsidRPr="009E35ED">
              <w:rPr>
                <w:rFonts w:ascii="Arial Narrow" w:hAnsi="Arial Narrow"/>
                <w:color w:val="000000" w:themeColor="text1"/>
                <w:sz w:val="22"/>
                <w:szCs w:val="22"/>
              </w:rPr>
              <w:t xml:space="preserve"> </w:t>
            </w:r>
          </w:p>
        </w:tc>
      </w:tr>
      <w:tr w:rsidR="00997F75" w:rsidRPr="009E35ED" w14:paraId="3B6480F0" w14:textId="77777777" w:rsidTr="00860ED6">
        <w:trPr>
          <w:trHeight w:val="180"/>
        </w:trPr>
        <w:tc>
          <w:tcPr>
            <w:tcW w:w="7230" w:type="dxa"/>
            <w:tcBorders>
              <w:top w:val="single" w:sz="4" w:space="0" w:color="auto"/>
              <w:bottom w:val="double" w:sz="4" w:space="0" w:color="auto"/>
            </w:tcBorders>
            <w:shd w:val="clear" w:color="auto" w:fill="auto"/>
            <w:noWrap/>
          </w:tcPr>
          <w:p w14:paraId="691B0EC6" w14:textId="07B952A5" w:rsidR="0047080D" w:rsidRPr="009E35ED" w:rsidRDefault="0047080D" w:rsidP="00F10767">
            <w:pPr>
              <w:ind w:left="-108"/>
              <w:jc w:val="left"/>
              <w:rPr>
                <w:rFonts w:ascii="Arial Narrow" w:hAnsi="Arial Narrow" w:cs="Arial"/>
                <w:b/>
                <w:bCs/>
                <w:color w:val="000000" w:themeColor="text1"/>
                <w:sz w:val="22"/>
                <w:szCs w:val="22"/>
                <w:lang w:val="en-PH" w:eastAsia="en-PH"/>
              </w:rPr>
            </w:pPr>
            <w:r w:rsidRPr="009E35ED">
              <w:rPr>
                <w:rFonts w:ascii="Arial Narrow" w:hAnsi="Arial Narrow"/>
                <w:b/>
                <w:bCs/>
                <w:color w:val="000000" w:themeColor="text1"/>
                <w:sz w:val="22"/>
                <w:szCs w:val="22"/>
              </w:rPr>
              <w:t>Restated Amount as of December 31, 2022 - Interest Income (Operating Fund)</w:t>
            </w:r>
          </w:p>
        </w:tc>
        <w:tc>
          <w:tcPr>
            <w:tcW w:w="1701" w:type="dxa"/>
            <w:tcBorders>
              <w:top w:val="single" w:sz="4" w:space="0" w:color="auto"/>
              <w:bottom w:val="double" w:sz="4" w:space="0" w:color="auto"/>
            </w:tcBorders>
            <w:shd w:val="clear" w:color="auto" w:fill="auto"/>
            <w:noWrap/>
          </w:tcPr>
          <w:p w14:paraId="4E129ED7" w14:textId="5BBB5772" w:rsidR="0047080D" w:rsidRPr="00F10767" w:rsidRDefault="0047080D" w:rsidP="00F10767">
            <w:pPr>
              <w:ind w:left="0" w:right="-83"/>
              <w:jc w:val="right"/>
              <w:rPr>
                <w:rFonts w:ascii="Arial Narrow" w:hAnsi="Arial Narrow"/>
                <w:b/>
                <w:bCs/>
                <w:color w:val="000000" w:themeColor="text1"/>
                <w:sz w:val="22"/>
                <w:szCs w:val="22"/>
              </w:rPr>
            </w:pPr>
            <w:r w:rsidRPr="009E35ED">
              <w:rPr>
                <w:rFonts w:ascii="Arial Narrow" w:hAnsi="Arial Narrow"/>
                <w:b/>
                <w:bCs/>
                <w:color w:val="000000" w:themeColor="text1"/>
                <w:sz w:val="22"/>
                <w:szCs w:val="22"/>
              </w:rPr>
              <w:t xml:space="preserve"> 71,5</w:t>
            </w:r>
            <w:r w:rsidR="000D7826" w:rsidRPr="009E35ED">
              <w:rPr>
                <w:rFonts w:ascii="Arial Narrow" w:hAnsi="Arial Narrow"/>
                <w:b/>
                <w:bCs/>
                <w:color w:val="000000" w:themeColor="text1"/>
                <w:sz w:val="22"/>
                <w:szCs w:val="22"/>
              </w:rPr>
              <w:t>14,391</w:t>
            </w:r>
            <w:r w:rsidRPr="009E35ED">
              <w:rPr>
                <w:rFonts w:ascii="Arial Narrow" w:hAnsi="Arial Narrow"/>
                <w:b/>
                <w:bCs/>
                <w:color w:val="000000" w:themeColor="text1"/>
                <w:sz w:val="22"/>
                <w:szCs w:val="22"/>
              </w:rPr>
              <w:t xml:space="preserve"> </w:t>
            </w:r>
          </w:p>
        </w:tc>
      </w:tr>
      <w:tr w:rsidR="00997F75" w:rsidRPr="009E35ED" w14:paraId="23526EE4" w14:textId="77777777" w:rsidTr="00860ED6">
        <w:trPr>
          <w:trHeight w:val="316"/>
        </w:trPr>
        <w:tc>
          <w:tcPr>
            <w:tcW w:w="7230" w:type="dxa"/>
            <w:tcBorders>
              <w:bottom w:val="nil"/>
            </w:tcBorders>
            <w:shd w:val="clear" w:color="auto" w:fill="auto"/>
            <w:noWrap/>
          </w:tcPr>
          <w:p w14:paraId="5A6EAA0D" w14:textId="77777777" w:rsidR="00F10767" w:rsidRDefault="00F10767" w:rsidP="00F10767">
            <w:pPr>
              <w:ind w:left="-108"/>
              <w:jc w:val="left"/>
              <w:rPr>
                <w:rFonts w:ascii="Arial Narrow" w:hAnsi="Arial Narrow"/>
                <w:color w:val="000000" w:themeColor="text1"/>
                <w:sz w:val="22"/>
                <w:szCs w:val="22"/>
              </w:rPr>
            </w:pPr>
          </w:p>
          <w:p w14:paraId="248AC108" w14:textId="44FA3C0D" w:rsidR="003717E4" w:rsidRPr="009E35ED" w:rsidRDefault="003717E4" w:rsidP="00F10767">
            <w:pPr>
              <w:ind w:left="-108"/>
              <w:jc w:val="left"/>
              <w:rPr>
                <w:rFonts w:ascii="Arial Narrow" w:hAnsi="Arial Narrow" w:cs="Arial"/>
                <w:b/>
                <w:bCs/>
                <w:color w:val="000000" w:themeColor="text1"/>
                <w:sz w:val="22"/>
                <w:szCs w:val="22"/>
                <w:lang w:val="en-PH" w:eastAsia="en-PH"/>
              </w:rPr>
            </w:pPr>
            <w:r w:rsidRPr="009E35ED">
              <w:rPr>
                <w:rFonts w:ascii="Arial Narrow" w:hAnsi="Arial Narrow"/>
                <w:color w:val="000000" w:themeColor="text1"/>
                <w:sz w:val="22"/>
                <w:szCs w:val="22"/>
              </w:rPr>
              <w:t xml:space="preserve">Unrestated </w:t>
            </w:r>
            <w:r w:rsidR="00F93FBC">
              <w:rPr>
                <w:rFonts w:ascii="Arial Narrow" w:hAnsi="Arial Narrow"/>
                <w:color w:val="000000" w:themeColor="text1"/>
                <w:sz w:val="22"/>
                <w:szCs w:val="22"/>
              </w:rPr>
              <w:t>a</w:t>
            </w:r>
            <w:r w:rsidRPr="009E35ED">
              <w:rPr>
                <w:rFonts w:ascii="Arial Narrow" w:hAnsi="Arial Narrow"/>
                <w:color w:val="000000" w:themeColor="text1"/>
                <w:sz w:val="22"/>
                <w:szCs w:val="22"/>
              </w:rPr>
              <w:t>mount as of December 31, 2022</w:t>
            </w:r>
          </w:p>
        </w:tc>
        <w:tc>
          <w:tcPr>
            <w:tcW w:w="1701" w:type="dxa"/>
            <w:tcBorders>
              <w:bottom w:val="nil"/>
            </w:tcBorders>
            <w:shd w:val="clear" w:color="auto" w:fill="auto"/>
            <w:noWrap/>
          </w:tcPr>
          <w:p w14:paraId="7DDEA278" w14:textId="77777777" w:rsidR="00F93FBC" w:rsidRDefault="003717E4" w:rsidP="00F10767">
            <w:pPr>
              <w:ind w:left="0" w:right="-83"/>
              <w:jc w:val="right"/>
              <w:rPr>
                <w:rFonts w:ascii="Arial Narrow" w:hAnsi="Arial Narrow"/>
                <w:color w:val="000000" w:themeColor="text1"/>
                <w:sz w:val="22"/>
                <w:szCs w:val="22"/>
              </w:rPr>
            </w:pPr>
            <w:r w:rsidRPr="009E35ED">
              <w:rPr>
                <w:rFonts w:ascii="Arial Narrow" w:hAnsi="Arial Narrow"/>
                <w:color w:val="000000" w:themeColor="text1"/>
                <w:sz w:val="22"/>
                <w:szCs w:val="22"/>
              </w:rPr>
              <w:t xml:space="preserve"> </w:t>
            </w:r>
          </w:p>
          <w:p w14:paraId="7A1C1B5B" w14:textId="695BB293" w:rsidR="003717E4" w:rsidRPr="009E35ED" w:rsidRDefault="003717E4" w:rsidP="00F10767">
            <w:pPr>
              <w:ind w:left="0" w:right="-83"/>
              <w:jc w:val="right"/>
              <w:rPr>
                <w:rFonts w:ascii="Arial Narrow" w:hAnsi="Arial Narrow"/>
                <w:color w:val="000000" w:themeColor="text1"/>
                <w:sz w:val="22"/>
                <w:szCs w:val="22"/>
                <w:lang w:val="en-PH" w:eastAsia="en-PH"/>
              </w:rPr>
            </w:pPr>
            <w:r w:rsidRPr="009E35ED">
              <w:rPr>
                <w:rFonts w:ascii="Arial Narrow" w:hAnsi="Arial Narrow"/>
                <w:color w:val="000000" w:themeColor="text1"/>
                <w:sz w:val="22"/>
                <w:szCs w:val="22"/>
              </w:rPr>
              <w:t xml:space="preserve">9,395,222 </w:t>
            </w:r>
          </w:p>
        </w:tc>
      </w:tr>
      <w:tr w:rsidR="00997F75" w:rsidRPr="009E35ED" w14:paraId="0D4B14B5" w14:textId="77777777" w:rsidTr="00860ED6">
        <w:trPr>
          <w:trHeight w:val="316"/>
        </w:trPr>
        <w:tc>
          <w:tcPr>
            <w:tcW w:w="7230" w:type="dxa"/>
            <w:tcBorders>
              <w:bottom w:val="nil"/>
            </w:tcBorders>
            <w:shd w:val="clear" w:color="auto" w:fill="auto"/>
            <w:noWrap/>
          </w:tcPr>
          <w:p w14:paraId="468BFE84" w14:textId="06AB2EA2" w:rsidR="003717E4" w:rsidRPr="009E35ED" w:rsidRDefault="003717E4" w:rsidP="00F10767">
            <w:pPr>
              <w:ind w:left="-108"/>
              <w:jc w:val="left"/>
              <w:rPr>
                <w:rFonts w:ascii="Arial Narrow" w:hAnsi="Arial Narrow"/>
                <w:color w:val="000000" w:themeColor="text1"/>
                <w:sz w:val="22"/>
                <w:szCs w:val="22"/>
              </w:rPr>
            </w:pPr>
            <w:r w:rsidRPr="009E35ED">
              <w:rPr>
                <w:rFonts w:ascii="Arial Narrow" w:hAnsi="Arial Narrow"/>
                <w:color w:val="000000" w:themeColor="text1"/>
                <w:sz w:val="22"/>
                <w:szCs w:val="22"/>
              </w:rPr>
              <w:t xml:space="preserve">Adjustment/Recording of </w:t>
            </w:r>
            <w:r w:rsidR="00F93FBC">
              <w:rPr>
                <w:rFonts w:ascii="Arial Narrow" w:hAnsi="Arial Narrow"/>
                <w:color w:val="000000" w:themeColor="text1"/>
                <w:sz w:val="22"/>
                <w:szCs w:val="22"/>
              </w:rPr>
              <w:t>i</w:t>
            </w:r>
            <w:r w:rsidRPr="009E35ED">
              <w:rPr>
                <w:rFonts w:ascii="Arial Narrow" w:hAnsi="Arial Narrow"/>
                <w:color w:val="000000" w:themeColor="text1"/>
                <w:sz w:val="22"/>
                <w:szCs w:val="22"/>
              </w:rPr>
              <w:t xml:space="preserve">nterest on </w:t>
            </w:r>
            <w:r w:rsidR="00F93FBC">
              <w:rPr>
                <w:rFonts w:ascii="Arial Narrow" w:hAnsi="Arial Narrow"/>
                <w:color w:val="000000" w:themeColor="text1"/>
                <w:sz w:val="22"/>
                <w:szCs w:val="22"/>
              </w:rPr>
              <w:t>d</w:t>
            </w:r>
            <w:r w:rsidRPr="009E35ED">
              <w:rPr>
                <w:rFonts w:ascii="Arial Narrow" w:hAnsi="Arial Narrow"/>
                <w:color w:val="000000" w:themeColor="text1"/>
                <w:sz w:val="22"/>
                <w:szCs w:val="22"/>
              </w:rPr>
              <w:t xml:space="preserve">efaulted </w:t>
            </w:r>
            <w:r w:rsidR="00F93FBC">
              <w:rPr>
                <w:rFonts w:ascii="Arial Narrow" w:hAnsi="Arial Narrow"/>
                <w:color w:val="000000" w:themeColor="text1"/>
                <w:sz w:val="22"/>
                <w:szCs w:val="22"/>
              </w:rPr>
              <w:t>t</w:t>
            </w:r>
            <w:r w:rsidRPr="009E35ED">
              <w:rPr>
                <w:rFonts w:ascii="Arial Narrow" w:hAnsi="Arial Narrow"/>
                <w:color w:val="000000" w:themeColor="text1"/>
                <w:sz w:val="22"/>
                <w:szCs w:val="22"/>
              </w:rPr>
              <w:t xml:space="preserve">icket </w:t>
            </w:r>
            <w:r w:rsidR="00F93FBC">
              <w:rPr>
                <w:rFonts w:ascii="Arial Narrow" w:hAnsi="Arial Narrow"/>
                <w:color w:val="000000" w:themeColor="text1"/>
                <w:sz w:val="22"/>
                <w:szCs w:val="22"/>
              </w:rPr>
              <w:t>a</w:t>
            </w:r>
            <w:r w:rsidRPr="009E35ED">
              <w:rPr>
                <w:rFonts w:ascii="Arial Narrow" w:hAnsi="Arial Narrow"/>
                <w:color w:val="000000" w:themeColor="text1"/>
                <w:sz w:val="22"/>
                <w:szCs w:val="22"/>
              </w:rPr>
              <w:t xml:space="preserve">ccount of </w:t>
            </w:r>
            <w:r w:rsidR="00F93FBC">
              <w:rPr>
                <w:rFonts w:ascii="Arial Narrow" w:hAnsi="Arial Narrow"/>
                <w:color w:val="000000" w:themeColor="text1"/>
                <w:sz w:val="22"/>
                <w:szCs w:val="22"/>
              </w:rPr>
              <w:t>a</w:t>
            </w:r>
            <w:r w:rsidRPr="009E35ED">
              <w:rPr>
                <w:rFonts w:ascii="Arial Narrow" w:hAnsi="Arial Narrow"/>
                <w:color w:val="000000" w:themeColor="text1"/>
                <w:sz w:val="22"/>
                <w:szCs w:val="22"/>
              </w:rPr>
              <w:t>gent-</w:t>
            </w:r>
            <w:r w:rsidR="00F93FBC">
              <w:rPr>
                <w:rFonts w:ascii="Arial Narrow" w:hAnsi="Arial Narrow"/>
                <w:color w:val="000000" w:themeColor="text1"/>
                <w:sz w:val="22"/>
                <w:szCs w:val="22"/>
              </w:rPr>
              <w:t>L</w:t>
            </w:r>
            <w:r w:rsidRPr="009E35ED">
              <w:rPr>
                <w:rFonts w:ascii="Arial Narrow" w:hAnsi="Arial Narrow"/>
                <w:color w:val="000000" w:themeColor="text1"/>
                <w:sz w:val="22"/>
                <w:szCs w:val="22"/>
              </w:rPr>
              <w:t>otto-</w:t>
            </w:r>
            <w:r w:rsidR="00F93FBC">
              <w:rPr>
                <w:rFonts w:ascii="Arial Narrow" w:hAnsi="Arial Narrow"/>
                <w:color w:val="000000" w:themeColor="text1"/>
                <w:sz w:val="22"/>
                <w:szCs w:val="22"/>
              </w:rPr>
              <w:t>H</w:t>
            </w:r>
            <w:r w:rsidRPr="009E35ED">
              <w:rPr>
                <w:rFonts w:ascii="Arial Narrow" w:hAnsi="Arial Narrow"/>
                <w:color w:val="000000" w:themeColor="text1"/>
                <w:sz w:val="22"/>
                <w:szCs w:val="22"/>
              </w:rPr>
              <w:t>ead Office</w:t>
            </w:r>
          </w:p>
        </w:tc>
        <w:tc>
          <w:tcPr>
            <w:tcW w:w="1701" w:type="dxa"/>
            <w:tcBorders>
              <w:bottom w:val="nil"/>
            </w:tcBorders>
            <w:shd w:val="clear" w:color="auto" w:fill="auto"/>
            <w:noWrap/>
          </w:tcPr>
          <w:p w14:paraId="03AFE0AE" w14:textId="064C06E4" w:rsidR="003717E4" w:rsidRPr="009E35ED" w:rsidRDefault="003717E4" w:rsidP="00F10767">
            <w:pPr>
              <w:ind w:left="0" w:right="-83"/>
              <w:jc w:val="right"/>
              <w:rPr>
                <w:rFonts w:ascii="Arial Narrow" w:hAnsi="Arial Narrow"/>
                <w:color w:val="000000" w:themeColor="text1"/>
                <w:sz w:val="22"/>
                <w:szCs w:val="22"/>
              </w:rPr>
            </w:pPr>
            <w:r w:rsidRPr="009E35ED">
              <w:rPr>
                <w:rFonts w:ascii="Arial Narrow" w:hAnsi="Arial Narrow"/>
                <w:color w:val="000000" w:themeColor="text1"/>
                <w:sz w:val="22"/>
                <w:szCs w:val="22"/>
              </w:rPr>
              <w:t xml:space="preserve"> 7,45</w:t>
            </w:r>
            <w:r w:rsidR="000D7826" w:rsidRPr="009E35ED">
              <w:rPr>
                <w:rFonts w:ascii="Arial Narrow" w:hAnsi="Arial Narrow"/>
                <w:color w:val="000000" w:themeColor="text1"/>
                <w:sz w:val="22"/>
                <w:szCs w:val="22"/>
              </w:rPr>
              <w:t>7</w:t>
            </w:r>
            <w:r w:rsidRPr="009E35ED">
              <w:rPr>
                <w:rFonts w:ascii="Arial Narrow" w:hAnsi="Arial Narrow"/>
                <w:color w:val="000000" w:themeColor="text1"/>
                <w:sz w:val="22"/>
                <w:szCs w:val="22"/>
              </w:rPr>
              <w:t xml:space="preserve"> </w:t>
            </w:r>
          </w:p>
        </w:tc>
      </w:tr>
      <w:tr w:rsidR="00997F75" w:rsidRPr="009E35ED" w14:paraId="5E092FA1" w14:textId="77777777" w:rsidTr="00860ED6">
        <w:trPr>
          <w:trHeight w:val="316"/>
        </w:trPr>
        <w:tc>
          <w:tcPr>
            <w:tcW w:w="7230" w:type="dxa"/>
            <w:tcBorders>
              <w:bottom w:val="nil"/>
            </w:tcBorders>
            <w:shd w:val="clear" w:color="auto" w:fill="auto"/>
            <w:noWrap/>
          </w:tcPr>
          <w:p w14:paraId="5E76215A" w14:textId="774ABA6D" w:rsidR="003717E4" w:rsidRPr="009E35ED" w:rsidRDefault="003717E4" w:rsidP="00F10767">
            <w:pPr>
              <w:ind w:left="-108"/>
              <w:jc w:val="left"/>
              <w:rPr>
                <w:rFonts w:ascii="Arial Narrow" w:hAnsi="Arial Narrow"/>
                <w:color w:val="000000" w:themeColor="text1"/>
                <w:sz w:val="22"/>
                <w:szCs w:val="22"/>
              </w:rPr>
            </w:pPr>
            <w:r w:rsidRPr="009E35ED">
              <w:rPr>
                <w:rFonts w:ascii="Arial Narrow" w:hAnsi="Arial Narrow"/>
                <w:color w:val="000000" w:themeColor="text1"/>
                <w:sz w:val="22"/>
                <w:szCs w:val="22"/>
              </w:rPr>
              <w:t xml:space="preserve">Adjustment/Recording of Interest on </w:t>
            </w:r>
            <w:r w:rsidR="00F93FBC">
              <w:rPr>
                <w:rFonts w:ascii="Arial Narrow" w:hAnsi="Arial Narrow"/>
                <w:color w:val="000000" w:themeColor="text1"/>
                <w:sz w:val="22"/>
                <w:szCs w:val="22"/>
              </w:rPr>
              <w:t>d</w:t>
            </w:r>
            <w:r w:rsidRPr="009E35ED">
              <w:rPr>
                <w:rFonts w:ascii="Arial Narrow" w:hAnsi="Arial Narrow"/>
                <w:color w:val="000000" w:themeColor="text1"/>
                <w:sz w:val="22"/>
                <w:szCs w:val="22"/>
              </w:rPr>
              <w:t xml:space="preserve">efaulted </w:t>
            </w:r>
            <w:r w:rsidR="00F93FBC">
              <w:rPr>
                <w:rFonts w:ascii="Arial Narrow" w:hAnsi="Arial Narrow"/>
                <w:color w:val="000000" w:themeColor="text1"/>
                <w:sz w:val="22"/>
                <w:szCs w:val="22"/>
              </w:rPr>
              <w:t>ti</w:t>
            </w:r>
            <w:r w:rsidRPr="009E35ED">
              <w:rPr>
                <w:rFonts w:ascii="Arial Narrow" w:hAnsi="Arial Narrow"/>
                <w:color w:val="000000" w:themeColor="text1"/>
                <w:sz w:val="22"/>
                <w:szCs w:val="22"/>
              </w:rPr>
              <w:t xml:space="preserve">cket </w:t>
            </w:r>
            <w:r w:rsidR="00F93FBC">
              <w:rPr>
                <w:rFonts w:ascii="Arial Narrow" w:hAnsi="Arial Narrow"/>
                <w:color w:val="000000" w:themeColor="text1"/>
                <w:sz w:val="22"/>
                <w:szCs w:val="22"/>
              </w:rPr>
              <w:t>a</w:t>
            </w:r>
            <w:r w:rsidRPr="009E35ED">
              <w:rPr>
                <w:rFonts w:ascii="Arial Narrow" w:hAnsi="Arial Narrow"/>
                <w:color w:val="000000" w:themeColor="text1"/>
                <w:sz w:val="22"/>
                <w:szCs w:val="22"/>
              </w:rPr>
              <w:t xml:space="preserve">ccount of </w:t>
            </w:r>
            <w:r w:rsidR="00F93FBC">
              <w:rPr>
                <w:rFonts w:ascii="Arial Narrow" w:hAnsi="Arial Narrow"/>
                <w:color w:val="000000" w:themeColor="text1"/>
                <w:sz w:val="22"/>
                <w:szCs w:val="22"/>
              </w:rPr>
              <w:t>a</w:t>
            </w:r>
            <w:r w:rsidRPr="009E35ED">
              <w:rPr>
                <w:rFonts w:ascii="Arial Narrow" w:hAnsi="Arial Narrow"/>
                <w:color w:val="000000" w:themeColor="text1"/>
                <w:sz w:val="22"/>
                <w:szCs w:val="22"/>
              </w:rPr>
              <w:t>gent-</w:t>
            </w:r>
            <w:r w:rsidR="00F93FBC">
              <w:rPr>
                <w:rFonts w:ascii="Arial Narrow" w:hAnsi="Arial Narrow"/>
                <w:color w:val="000000" w:themeColor="text1"/>
                <w:sz w:val="22"/>
                <w:szCs w:val="22"/>
              </w:rPr>
              <w:t>L</w:t>
            </w:r>
            <w:r w:rsidRPr="009E35ED">
              <w:rPr>
                <w:rFonts w:ascii="Arial Narrow" w:hAnsi="Arial Narrow"/>
                <w:color w:val="000000" w:themeColor="text1"/>
                <w:sz w:val="22"/>
                <w:szCs w:val="22"/>
              </w:rPr>
              <w:t>otto-Branch</w:t>
            </w:r>
          </w:p>
        </w:tc>
        <w:tc>
          <w:tcPr>
            <w:tcW w:w="1701" w:type="dxa"/>
            <w:tcBorders>
              <w:bottom w:val="nil"/>
            </w:tcBorders>
            <w:shd w:val="clear" w:color="auto" w:fill="auto"/>
            <w:noWrap/>
          </w:tcPr>
          <w:p w14:paraId="74EA5D46" w14:textId="49B0443E" w:rsidR="003717E4" w:rsidRPr="009E35ED" w:rsidRDefault="003717E4" w:rsidP="00F10767">
            <w:pPr>
              <w:ind w:left="0" w:right="-83"/>
              <w:jc w:val="right"/>
              <w:rPr>
                <w:rFonts w:ascii="Arial Narrow" w:hAnsi="Arial Narrow"/>
                <w:color w:val="000000" w:themeColor="text1"/>
                <w:sz w:val="22"/>
                <w:szCs w:val="22"/>
              </w:rPr>
            </w:pPr>
            <w:r w:rsidRPr="009E35ED">
              <w:rPr>
                <w:rFonts w:ascii="Arial Narrow" w:hAnsi="Arial Narrow"/>
                <w:color w:val="000000" w:themeColor="text1"/>
                <w:sz w:val="22"/>
                <w:szCs w:val="22"/>
              </w:rPr>
              <w:t xml:space="preserve"> (59</w:t>
            </w:r>
            <w:r w:rsidR="000D7826" w:rsidRPr="009E35ED">
              <w:rPr>
                <w:rFonts w:ascii="Arial Narrow" w:hAnsi="Arial Narrow"/>
                <w:color w:val="000000" w:themeColor="text1"/>
                <w:sz w:val="22"/>
                <w:szCs w:val="22"/>
              </w:rPr>
              <w:t>1</w:t>
            </w:r>
            <w:r w:rsidRPr="009E35ED">
              <w:rPr>
                <w:rFonts w:ascii="Arial Narrow" w:hAnsi="Arial Narrow"/>
                <w:color w:val="000000" w:themeColor="text1"/>
                <w:sz w:val="22"/>
                <w:szCs w:val="22"/>
              </w:rPr>
              <w:t>)</w:t>
            </w:r>
          </w:p>
        </w:tc>
      </w:tr>
      <w:tr w:rsidR="00997F75" w:rsidRPr="009E35ED" w14:paraId="6F7FF21C" w14:textId="77777777" w:rsidTr="00860ED6">
        <w:trPr>
          <w:trHeight w:val="316"/>
        </w:trPr>
        <w:tc>
          <w:tcPr>
            <w:tcW w:w="7230" w:type="dxa"/>
            <w:tcBorders>
              <w:bottom w:val="nil"/>
            </w:tcBorders>
            <w:shd w:val="clear" w:color="auto" w:fill="auto"/>
            <w:noWrap/>
          </w:tcPr>
          <w:p w14:paraId="7E5E72F8" w14:textId="6ABFF199" w:rsidR="003717E4" w:rsidRPr="009E35ED" w:rsidRDefault="003717E4" w:rsidP="00F10767">
            <w:pPr>
              <w:ind w:left="-108"/>
              <w:jc w:val="left"/>
              <w:rPr>
                <w:rFonts w:ascii="Arial Narrow" w:hAnsi="Arial Narrow"/>
                <w:color w:val="000000" w:themeColor="text1"/>
                <w:sz w:val="22"/>
                <w:szCs w:val="22"/>
              </w:rPr>
            </w:pPr>
            <w:r w:rsidRPr="009E35ED">
              <w:rPr>
                <w:rFonts w:ascii="Arial Narrow" w:hAnsi="Arial Narrow"/>
                <w:color w:val="000000" w:themeColor="text1"/>
                <w:sz w:val="22"/>
                <w:szCs w:val="22"/>
              </w:rPr>
              <w:t xml:space="preserve">Adjustment/Recording of </w:t>
            </w:r>
            <w:r w:rsidR="00F93FBC">
              <w:rPr>
                <w:rFonts w:ascii="Arial Narrow" w:hAnsi="Arial Narrow"/>
                <w:color w:val="000000" w:themeColor="text1"/>
                <w:sz w:val="22"/>
                <w:szCs w:val="22"/>
              </w:rPr>
              <w:t>m</w:t>
            </w:r>
            <w:r w:rsidRPr="009E35ED">
              <w:rPr>
                <w:rFonts w:ascii="Arial Narrow" w:hAnsi="Arial Narrow"/>
                <w:color w:val="000000" w:themeColor="text1"/>
                <w:sz w:val="22"/>
                <w:szCs w:val="22"/>
              </w:rPr>
              <w:t xml:space="preserve">iscellaneous </w:t>
            </w:r>
            <w:r w:rsidR="00F93FBC">
              <w:rPr>
                <w:rFonts w:ascii="Arial Narrow" w:hAnsi="Arial Narrow"/>
                <w:color w:val="000000" w:themeColor="text1"/>
                <w:sz w:val="22"/>
                <w:szCs w:val="22"/>
              </w:rPr>
              <w:t>i</w:t>
            </w:r>
            <w:r w:rsidRPr="009E35ED">
              <w:rPr>
                <w:rFonts w:ascii="Arial Narrow" w:hAnsi="Arial Narrow"/>
                <w:color w:val="000000" w:themeColor="text1"/>
                <w:sz w:val="22"/>
                <w:szCs w:val="22"/>
              </w:rPr>
              <w:t>ncome-Others-Branch</w:t>
            </w:r>
          </w:p>
        </w:tc>
        <w:tc>
          <w:tcPr>
            <w:tcW w:w="1701" w:type="dxa"/>
            <w:tcBorders>
              <w:bottom w:val="nil"/>
            </w:tcBorders>
            <w:shd w:val="clear" w:color="auto" w:fill="auto"/>
            <w:noWrap/>
          </w:tcPr>
          <w:p w14:paraId="086D987F" w14:textId="0EE51129" w:rsidR="003717E4" w:rsidRPr="009E35ED" w:rsidRDefault="003717E4" w:rsidP="00F10767">
            <w:pPr>
              <w:ind w:left="0" w:right="-83"/>
              <w:jc w:val="right"/>
              <w:rPr>
                <w:rFonts w:ascii="Arial Narrow" w:hAnsi="Arial Narrow"/>
                <w:color w:val="000000" w:themeColor="text1"/>
                <w:sz w:val="22"/>
                <w:szCs w:val="22"/>
              </w:rPr>
            </w:pPr>
            <w:r w:rsidRPr="009E35ED">
              <w:rPr>
                <w:rFonts w:ascii="Arial Narrow" w:hAnsi="Arial Narrow"/>
                <w:color w:val="000000" w:themeColor="text1"/>
                <w:sz w:val="22"/>
                <w:szCs w:val="22"/>
              </w:rPr>
              <w:t xml:space="preserve"> 8,3</w:t>
            </w:r>
            <w:r w:rsidR="000D7826" w:rsidRPr="009E35ED">
              <w:rPr>
                <w:rFonts w:ascii="Arial Narrow" w:hAnsi="Arial Narrow"/>
                <w:color w:val="000000" w:themeColor="text1"/>
                <w:sz w:val="22"/>
                <w:szCs w:val="22"/>
              </w:rPr>
              <w:t>22</w:t>
            </w:r>
            <w:r w:rsidRPr="009E35ED">
              <w:rPr>
                <w:rFonts w:ascii="Arial Narrow" w:hAnsi="Arial Narrow"/>
                <w:color w:val="000000" w:themeColor="text1"/>
                <w:sz w:val="22"/>
                <w:szCs w:val="22"/>
              </w:rPr>
              <w:t xml:space="preserve"> </w:t>
            </w:r>
          </w:p>
        </w:tc>
      </w:tr>
      <w:tr w:rsidR="00997F75" w:rsidRPr="009E35ED" w14:paraId="09698992" w14:textId="77777777" w:rsidTr="00860ED6">
        <w:trPr>
          <w:trHeight w:val="300"/>
        </w:trPr>
        <w:tc>
          <w:tcPr>
            <w:tcW w:w="7230" w:type="dxa"/>
            <w:tcBorders>
              <w:bottom w:val="single" w:sz="4" w:space="0" w:color="auto"/>
            </w:tcBorders>
            <w:shd w:val="clear" w:color="auto" w:fill="auto"/>
            <w:noWrap/>
          </w:tcPr>
          <w:p w14:paraId="2C74EBFC" w14:textId="1C361A2D" w:rsidR="003717E4" w:rsidRPr="009E35ED" w:rsidRDefault="003717E4" w:rsidP="00F10767">
            <w:pPr>
              <w:ind w:left="-108"/>
              <w:jc w:val="left"/>
              <w:rPr>
                <w:rFonts w:ascii="Arial Narrow" w:hAnsi="Arial Narrow" w:cs="Arial"/>
                <w:color w:val="000000" w:themeColor="text1"/>
                <w:sz w:val="22"/>
                <w:szCs w:val="22"/>
                <w:lang w:val="en-PH" w:eastAsia="en-PH"/>
              </w:rPr>
            </w:pPr>
            <w:r w:rsidRPr="009E35ED">
              <w:rPr>
                <w:rFonts w:ascii="Arial Narrow" w:hAnsi="Arial Narrow"/>
                <w:color w:val="000000" w:themeColor="text1"/>
                <w:sz w:val="22"/>
                <w:szCs w:val="22"/>
              </w:rPr>
              <w:t xml:space="preserve">Adjustment/Recording of </w:t>
            </w:r>
            <w:r w:rsidR="00F93FBC">
              <w:rPr>
                <w:rFonts w:ascii="Arial Narrow" w:hAnsi="Arial Narrow"/>
                <w:color w:val="000000" w:themeColor="text1"/>
                <w:sz w:val="22"/>
                <w:szCs w:val="22"/>
              </w:rPr>
              <w:t>l</w:t>
            </w:r>
            <w:r w:rsidRPr="009E35ED">
              <w:rPr>
                <w:rFonts w:ascii="Arial Narrow" w:hAnsi="Arial Narrow"/>
                <w:color w:val="000000" w:themeColor="text1"/>
                <w:sz w:val="22"/>
                <w:szCs w:val="22"/>
              </w:rPr>
              <w:t xml:space="preserve">ost </w:t>
            </w:r>
            <w:r w:rsidR="00F93FBC">
              <w:rPr>
                <w:rFonts w:ascii="Arial Narrow" w:hAnsi="Arial Narrow"/>
                <w:color w:val="000000" w:themeColor="text1"/>
                <w:sz w:val="22"/>
                <w:szCs w:val="22"/>
              </w:rPr>
              <w:t>t</w:t>
            </w:r>
            <w:r w:rsidRPr="009E35ED">
              <w:rPr>
                <w:rFonts w:ascii="Arial Narrow" w:hAnsi="Arial Narrow"/>
                <w:color w:val="000000" w:themeColor="text1"/>
                <w:sz w:val="22"/>
                <w:szCs w:val="22"/>
              </w:rPr>
              <w:t>icket-Lotto-Head Office</w:t>
            </w:r>
          </w:p>
        </w:tc>
        <w:tc>
          <w:tcPr>
            <w:tcW w:w="1701" w:type="dxa"/>
            <w:tcBorders>
              <w:bottom w:val="single" w:sz="4" w:space="0" w:color="auto"/>
            </w:tcBorders>
            <w:shd w:val="clear" w:color="auto" w:fill="auto"/>
            <w:noWrap/>
          </w:tcPr>
          <w:p w14:paraId="1C8DDD25" w14:textId="5E2F9ABD" w:rsidR="003717E4" w:rsidRPr="009E35ED" w:rsidRDefault="003717E4" w:rsidP="00F10767">
            <w:pPr>
              <w:ind w:left="0" w:right="-83"/>
              <w:jc w:val="right"/>
              <w:rPr>
                <w:rFonts w:ascii="Arial Narrow" w:hAnsi="Arial Narrow" w:cs="Arial"/>
                <w:color w:val="000000" w:themeColor="text1"/>
                <w:sz w:val="22"/>
                <w:szCs w:val="22"/>
                <w:lang w:val="en-PH" w:eastAsia="en-PH"/>
              </w:rPr>
            </w:pPr>
            <w:r w:rsidRPr="009E35ED">
              <w:rPr>
                <w:rFonts w:ascii="Arial Narrow" w:hAnsi="Arial Narrow"/>
                <w:color w:val="000000" w:themeColor="text1"/>
                <w:sz w:val="22"/>
                <w:szCs w:val="22"/>
              </w:rPr>
              <w:t xml:space="preserve"> (390)</w:t>
            </w:r>
          </w:p>
        </w:tc>
      </w:tr>
      <w:tr w:rsidR="00997F75" w:rsidRPr="009E35ED" w14:paraId="4AAC5FA7" w14:textId="77777777" w:rsidTr="00860ED6">
        <w:trPr>
          <w:trHeight w:val="208"/>
        </w:trPr>
        <w:tc>
          <w:tcPr>
            <w:tcW w:w="7230" w:type="dxa"/>
            <w:tcBorders>
              <w:top w:val="single" w:sz="4" w:space="0" w:color="auto"/>
              <w:bottom w:val="double" w:sz="4" w:space="0" w:color="auto"/>
            </w:tcBorders>
            <w:shd w:val="clear" w:color="auto" w:fill="auto"/>
            <w:noWrap/>
          </w:tcPr>
          <w:p w14:paraId="30CF5133" w14:textId="17329DB2" w:rsidR="003717E4" w:rsidRPr="009E35ED" w:rsidRDefault="003717E4" w:rsidP="00F10767">
            <w:pPr>
              <w:ind w:left="-108"/>
              <w:jc w:val="left"/>
              <w:rPr>
                <w:rFonts w:ascii="Arial Narrow" w:hAnsi="Arial Narrow" w:cs="Arial"/>
                <w:b/>
                <w:bCs/>
                <w:color w:val="000000" w:themeColor="text1"/>
                <w:sz w:val="22"/>
                <w:szCs w:val="22"/>
                <w:lang w:val="en-PH" w:eastAsia="en-PH"/>
              </w:rPr>
            </w:pPr>
            <w:r w:rsidRPr="009E35ED">
              <w:rPr>
                <w:rFonts w:ascii="Arial Narrow" w:hAnsi="Arial Narrow"/>
                <w:b/>
                <w:bCs/>
                <w:color w:val="000000" w:themeColor="text1"/>
                <w:sz w:val="22"/>
                <w:szCs w:val="22"/>
              </w:rPr>
              <w:t>Restated Amount as of December 31, 2022 - Miscellaneous Income (Operating Fund)</w:t>
            </w:r>
          </w:p>
        </w:tc>
        <w:tc>
          <w:tcPr>
            <w:tcW w:w="1701" w:type="dxa"/>
            <w:tcBorders>
              <w:top w:val="single" w:sz="4" w:space="0" w:color="auto"/>
              <w:bottom w:val="double" w:sz="4" w:space="0" w:color="auto"/>
            </w:tcBorders>
            <w:shd w:val="clear" w:color="auto" w:fill="auto"/>
            <w:noWrap/>
          </w:tcPr>
          <w:p w14:paraId="1C6ADCFC" w14:textId="3CB2D4F0" w:rsidR="003717E4" w:rsidRPr="009E35ED" w:rsidRDefault="003717E4" w:rsidP="00F10767">
            <w:pPr>
              <w:ind w:left="0" w:right="-83"/>
              <w:jc w:val="right"/>
              <w:rPr>
                <w:rFonts w:ascii="Arial Narrow" w:hAnsi="Arial Narrow" w:cs="Arial"/>
                <w:b/>
                <w:bCs/>
                <w:color w:val="000000" w:themeColor="text1"/>
                <w:sz w:val="22"/>
                <w:szCs w:val="22"/>
                <w:lang w:val="en-PH" w:eastAsia="en-PH"/>
              </w:rPr>
            </w:pPr>
            <w:r w:rsidRPr="009E35ED">
              <w:rPr>
                <w:rFonts w:ascii="Arial Narrow" w:hAnsi="Arial Narrow"/>
                <w:b/>
                <w:bCs/>
                <w:color w:val="000000" w:themeColor="text1"/>
                <w:sz w:val="22"/>
                <w:szCs w:val="22"/>
              </w:rPr>
              <w:t>9,410,0</w:t>
            </w:r>
            <w:r w:rsidR="000D7826" w:rsidRPr="009E35ED">
              <w:rPr>
                <w:rFonts w:ascii="Arial Narrow" w:hAnsi="Arial Narrow"/>
                <w:b/>
                <w:bCs/>
                <w:color w:val="000000" w:themeColor="text1"/>
                <w:sz w:val="22"/>
                <w:szCs w:val="22"/>
              </w:rPr>
              <w:t>20</w:t>
            </w:r>
            <w:r w:rsidRPr="009E35ED">
              <w:rPr>
                <w:rFonts w:ascii="Arial Narrow" w:hAnsi="Arial Narrow"/>
                <w:b/>
                <w:bCs/>
                <w:color w:val="000000" w:themeColor="text1"/>
                <w:sz w:val="22"/>
                <w:szCs w:val="22"/>
              </w:rPr>
              <w:t xml:space="preserve"> </w:t>
            </w:r>
          </w:p>
        </w:tc>
      </w:tr>
      <w:tr w:rsidR="00997F75" w:rsidRPr="009E35ED" w14:paraId="4A6FC198" w14:textId="77777777" w:rsidTr="00860ED6">
        <w:trPr>
          <w:trHeight w:val="79"/>
        </w:trPr>
        <w:tc>
          <w:tcPr>
            <w:tcW w:w="7230" w:type="dxa"/>
            <w:tcBorders>
              <w:top w:val="double" w:sz="4" w:space="0" w:color="auto"/>
            </w:tcBorders>
            <w:shd w:val="clear" w:color="auto" w:fill="auto"/>
            <w:noWrap/>
            <w:vAlign w:val="bottom"/>
          </w:tcPr>
          <w:p w14:paraId="51DE54AC" w14:textId="1289363A" w:rsidR="00A31C96" w:rsidRPr="009E35ED" w:rsidRDefault="00A31C96" w:rsidP="00A31C96">
            <w:pPr>
              <w:ind w:left="0"/>
              <w:jc w:val="left"/>
              <w:rPr>
                <w:rFonts w:ascii="Arial Narrow" w:hAnsi="Arial Narrow" w:cs="Arial"/>
                <w:color w:val="000000" w:themeColor="text1"/>
                <w:sz w:val="22"/>
                <w:szCs w:val="22"/>
                <w:lang w:val="en-PH" w:eastAsia="en-PH"/>
              </w:rPr>
            </w:pPr>
          </w:p>
        </w:tc>
        <w:tc>
          <w:tcPr>
            <w:tcW w:w="1701" w:type="dxa"/>
            <w:tcBorders>
              <w:top w:val="double" w:sz="4" w:space="0" w:color="auto"/>
            </w:tcBorders>
            <w:shd w:val="clear" w:color="auto" w:fill="auto"/>
            <w:noWrap/>
            <w:vAlign w:val="bottom"/>
          </w:tcPr>
          <w:p w14:paraId="59631D81" w14:textId="3381B854" w:rsidR="00A31C96" w:rsidRPr="009E35ED" w:rsidRDefault="00A31C96" w:rsidP="00A31C96">
            <w:pPr>
              <w:ind w:left="0"/>
              <w:jc w:val="right"/>
              <w:rPr>
                <w:rFonts w:ascii="Arial Narrow" w:hAnsi="Arial Narrow" w:cs="Arial"/>
                <w:color w:val="000000" w:themeColor="text1"/>
                <w:sz w:val="22"/>
                <w:szCs w:val="22"/>
                <w:lang w:val="en-PH" w:eastAsia="en-PH"/>
              </w:rPr>
            </w:pPr>
          </w:p>
        </w:tc>
      </w:tr>
      <w:tr w:rsidR="00997F75" w:rsidRPr="009E35ED" w14:paraId="1E95CCE2" w14:textId="77777777" w:rsidTr="00860ED6">
        <w:trPr>
          <w:trHeight w:val="142"/>
        </w:trPr>
        <w:tc>
          <w:tcPr>
            <w:tcW w:w="7230" w:type="dxa"/>
            <w:shd w:val="clear" w:color="auto" w:fill="auto"/>
            <w:noWrap/>
          </w:tcPr>
          <w:p w14:paraId="3C62B4FE" w14:textId="6296E698" w:rsidR="008F6B62" w:rsidRPr="009E35ED" w:rsidRDefault="008F6B62">
            <w:pPr>
              <w:ind w:left="-108"/>
              <w:jc w:val="left"/>
              <w:rPr>
                <w:rFonts w:ascii="Arial Narrow" w:hAnsi="Arial Narrow" w:cs="Arial"/>
                <w:color w:val="000000" w:themeColor="text1"/>
                <w:sz w:val="22"/>
                <w:szCs w:val="22"/>
                <w:lang w:val="en-PH" w:eastAsia="en-PH"/>
              </w:rPr>
            </w:pPr>
            <w:r w:rsidRPr="009E35ED">
              <w:rPr>
                <w:rFonts w:ascii="Arial Narrow" w:hAnsi="Arial Narrow"/>
                <w:color w:val="000000" w:themeColor="text1"/>
                <w:sz w:val="22"/>
                <w:szCs w:val="22"/>
              </w:rPr>
              <w:t xml:space="preserve">Unrestated </w:t>
            </w:r>
            <w:r w:rsidR="00F93FBC">
              <w:rPr>
                <w:rFonts w:ascii="Arial Narrow" w:hAnsi="Arial Narrow"/>
                <w:color w:val="000000" w:themeColor="text1"/>
                <w:sz w:val="22"/>
                <w:szCs w:val="22"/>
              </w:rPr>
              <w:t>a</w:t>
            </w:r>
            <w:r w:rsidRPr="009E35ED">
              <w:rPr>
                <w:rFonts w:ascii="Arial Narrow" w:hAnsi="Arial Narrow"/>
                <w:color w:val="000000" w:themeColor="text1"/>
                <w:sz w:val="22"/>
                <w:szCs w:val="22"/>
              </w:rPr>
              <w:t>mount as of December 31, 2022</w:t>
            </w:r>
          </w:p>
        </w:tc>
        <w:tc>
          <w:tcPr>
            <w:tcW w:w="1701" w:type="dxa"/>
            <w:shd w:val="clear" w:color="auto" w:fill="auto"/>
            <w:noWrap/>
          </w:tcPr>
          <w:p w14:paraId="31C646C5" w14:textId="31B32534" w:rsidR="008F6B62" w:rsidRPr="009E35ED" w:rsidRDefault="008F6B62" w:rsidP="00F10767">
            <w:pPr>
              <w:ind w:left="0" w:right="-83"/>
              <w:jc w:val="right"/>
              <w:rPr>
                <w:rFonts w:ascii="Arial Narrow" w:hAnsi="Arial Narrow" w:cs="Arial"/>
                <w:color w:val="000000" w:themeColor="text1"/>
                <w:sz w:val="22"/>
                <w:szCs w:val="22"/>
                <w:lang w:val="en-PH" w:eastAsia="en-PH"/>
              </w:rPr>
            </w:pPr>
            <w:r w:rsidRPr="009E35ED">
              <w:rPr>
                <w:rFonts w:ascii="Arial Narrow" w:hAnsi="Arial Narrow"/>
                <w:color w:val="000000" w:themeColor="text1"/>
                <w:sz w:val="22"/>
                <w:szCs w:val="22"/>
              </w:rPr>
              <w:t xml:space="preserve"> (79,664)</w:t>
            </w:r>
          </w:p>
        </w:tc>
      </w:tr>
      <w:tr w:rsidR="00997F75" w:rsidRPr="009E35ED" w14:paraId="0D354D5E" w14:textId="77777777" w:rsidTr="00860ED6">
        <w:trPr>
          <w:trHeight w:val="199"/>
        </w:trPr>
        <w:tc>
          <w:tcPr>
            <w:tcW w:w="7230" w:type="dxa"/>
            <w:tcBorders>
              <w:bottom w:val="single" w:sz="4" w:space="0" w:color="auto"/>
            </w:tcBorders>
            <w:shd w:val="clear" w:color="auto" w:fill="auto"/>
            <w:noWrap/>
          </w:tcPr>
          <w:p w14:paraId="73E1C15B" w14:textId="4A0D1E39" w:rsidR="008F6B62" w:rsidRPr="009E35ED" w:rsidRDefault="008F6B62" w:rsidP="00F10767">
            <w:pPr>
              <w:ind w:left="-108"/>
              <w:jc w:val="left"/>
              <w:rPr>
                <w:rFonts w:ascii="Arial Narrow" w:hAnsi="Arial Narrow" w:cs="Arial"/>
                <w:color w:val="000000" w:themeColor="text1"/>
                <w:sz w:val="22"/>
                <w:szCs w:val="22"/>
                <w:lang w:val="en-PH" w:eastAsia="en-PH"/>
              </w:rPr>
            </w:pPr>
            <w:r w:rsidRPr="009E35ED">
              <w:rPr>
                <w:rFonts w:ascii="Arial Narrow" w:hAnsi="Arial Narrow"/>
                <w:color w:val="000000" w:themeColor="text1"/>
                <w:sz w:val="22"/>
                <w:szCs w:val="22"/>
              </w:rPr>
              <w:t xml:space="preserve">Adjustment/Recording of </w:t>
            </w:r>
            <w:r w:rsidR="00F93FBC">
              <w:rPr>
                <w:rFonts w:ascii="Arial Narrow" w:hAnsi="Arial Narrow"/>
                <w:color w:val="000000" w:themeColor="text1"/>
                <w:sz w:val="22"/>
                <w:szCs w:val="22"/>
              </w:rPr>
              <w:t>s</w:t>
            </w:r>
            <w:r w:rsidRPr="009E35ED">
              <w:rPr>
                <w:rFonts w:ascii="Arial Narrow" w:hAnsi="Arial Narrow"/>
                <w:color w:val="000000" w:themeColor="text1"/>
                <w:sz w:val="22"/>
                <w:szCs w:val="22"/>
              </w:rPr>
              <w:t xml:space="preserve">ale of </w:t>
            </w:r>
            <w:r w:rsidR="00F93FBC">
              <w:rPr>
                <w:rFonts w:ascii="Arial Narrow" w:hAnsi="Arial Narrow"/>
                <w:color w:val="000000" w:themeColor="text1"/>
                <w:sz w:val="22"/>
                <w:szCs w:val="22"/>
              </w:rPr>
              <w:t>u</w:t>
            </w:r>
            <w:r w:rsidRPr="009E35ED">
              <w:rPr>
                <w:rFonts w:ascii="Arial Narrow" w:hAnsi="Arial Narrow"/>
                <w:color w:val="000000" w:themeColor="text1"/>
                <w:sz w:val="22"/>
                <w:szCs w:val="22"/>
              </w:rPr>
              <w:t xml:space="preserve">nserviceable </w:t>
            </w:r>
            <w:r w:rsidR="00F93FBC">
              <w:rPr>
                <w:rFonts w:ascii="Arial Narrow" w:hAnsi="Arial Narrow"/>
                <w:color w:val="000000" w:themeColor="text1"/>
                <w:sz w:val="22"/>
                <w:szCs w:val="22"/>
              </w:rPr>
              <w:t>p</w:t>
            </w:r>
            <w:r w:rsidRPr="009E35ED">
              <w:rPr>
                <w:rFonts w:ascii="Arial Narrow" w:hAnsi="Arial Narrow"/>
                <w:color w:val="000000" w:themeColor="text1"/>
                <w:sz w:val="22"/>
                <w:szCs w:val="22"/>
              </w:rPr>
              <w:t>roperty - Head Office</w:t>
            </w:r>
          </w:p>
        </w:tc>
        <w:tc>
          <w:tcPr>
            <w:tcW w:w="1701" w:type="dxa"/>
            <w:tcBorders>
              <w:bottom w:val="single" w:sz="4" w:space="0" w:color="auto"/>
            </w:tcBorders>
            <w:shd w:val="clear" w:color="auto" w:fill="auto"/>
            <w:noWrap/>
          </w:tcPr>
          <w:p w14:paraId="36C3B64C" w14:textId="30277F5E" w:rsidR="008F6B62" w:rsidRPr="009E35ED" w:rsidRDefault="008F6B62" w:rsidP="00F10767">
            <w:pPr>
              <w:ind w:left="0" w:right="-83"/>
              <w:jc w:val="right"/>
              <w:rPr>
                <w:rFonts w:ascii="Arial Narrow" w:hAnsi="Arial Narrow" w:cs="Arial"/>
                <w:color w:val="000000" w:themeColor="text1"/>
                <w:sz w:val="22"/>
                <w:szCs w:val="22"/>
                <w:lang w:val="en-PH" w:eastAsia="en-PH"/>
              </w:rPr>
            </w:pPr>
            <w:r w:rsidRPr="009E35ED">
              <w:rPr>
                <w:rFonts w:ascii="Arial Narrow" w:hAnsi="Arial Narrow"/>
                <w:color w:val="000000" w:themeColor="text1"/>
                <w:sz w:val="22"/>
                <w:szCs w:val="22"/>
              </w:rPr>
              <w:t xml:space="preserve"> (2,500)</w:t>
            </w:r>
          </w:p>
        </w:tc>
      </w:tr>
      <w:tr w:rsidR="00997F75" w:rsidRPr="009E35ED" w14:paraId="1F67F6BA" w14:textId="77777777" w:rsidTr="00860ED6">
        <w:trPr>
          <w:trHeight w:val="236"/>
        </w:trPr>
        <w:tc>
          <w:tcPr>
            <w:tcW w:w="7230" w:type="dxa"/>
            <w:tcBorders>
              <w:top w:val="single" w:sz="4" w:space="0" w:color="auto"/>
              <w:bottom w:val="double" w:sz="4" w:space="0" w:color="auto"/>
            </w:tcBorders>
            <w:shd w:val="clear" w:color="auto" w:fill="auto"/>
          </w:tcPr>
          <w:p w14:paraId="50E5B4C3" w14:textId="2C46C511" w:rsidR="008F6B62" w:rsidRPr="009E35ED" w:rsidRDefault="008F6B62" w:rsidP="00F10767">
            <w:pPr>
              <w:ind w:left="-108"/>
              <w:jc w:val="left"/>
              <w:rPr>
                <w:rFonts w:ascii="Arial Narrow" w:hAnsi="Arial Narrow" w:cs="Arial"/>
                <w:b/>
                <w:bCs/>
                <w:color w:val="000000" w:themeColor="text1"/>
                <w:sz w:val="22"/>
                <w:szCs w:val="22"/>
                <w:lang w:val="en-PH" w:eastAsia="en-PH"/>
              </w:rPr>
            </w:pPr>
            <w:r w:rsidRPr="009E35ED">
              <w:rPr>
                <w:rFonts w:ascii="Arial Narrow" w:hAnsi="Arial Narrow"/>
                <w:b/>
                <w:bCs/>
                <w:color w:val="000000" w:themeColor="text1"/>
                <w:sz w:val="22"/>
                <w:szCs w:val="22"/>
              </w:rPr>
              <w:t>Restated Amount as of December 31, 2022 - Sale of Unserviceable Property (Operating Fund)</w:t>
            </w:r>
          </w:p>
        </w:tc>
        <w:tc>
          <w:tcPr>
            <w:tcW w:w="1701" w:type="dxa"/>
            <w:tcBorders>
              <w:top w:val="single" w:sz="4" w:space="0" w:color="auto"/>
              <w:bottom w:val="double" w:sz="4" w:space="0" w:color="auto"/>
            </w:tcBorders>
            <w:shd w:val="clear" w:color="auto" w:fill="auto"/>
            <w:noWrap/>
          </w:tcPr>
          <w:p w14:paraId="6526ECE6" w14:textId="77777777" w:rsidR="001D4F51" w:rsidRPr="009E35ED" w:rsidRDefault="001D4F51" w:rsidP="00F10767">
            <w:pPr>
              <w:ind w:left="0" w:right="-83"/>
              <w:jc w:val="right"/>
              <w:rPr>
                <w:rFonts w:ascii="Arial Narrow" w:hAnsi="Arial Narrow"/>
                <w:b/>
                <w:bCs/>
                <w:color w:val="000000" w:themeColor="text1"/>
                <w:sz w:val="22"/>
                <w:szCs w:val="22"/>
              </w:rPr>
            </w:pPr>
          </w:p>
          <w:p w14:paraId="17547DBA" w14:textId="6E1CE26A" w:rsidR="008F6B62" w:rsidRPr="009E35ED" w:rsidRDefault="008F6B62" w:rsidP="00F10767">
            <w:pPr>
              <w:ind w:left="0" w:right="-83"/>
              <w:jc w:val="right"/>
              <w:rPr>
                <w:rFonts w:ascii="Arial Narrow" w:hAnsi="Arial Narrow" w:cs="Arial"/>
                <w:b/>
                <w:bCs/>
                <w:color w:val="000000" w:themeColor="text1"/>
                <w:sz w:val="22"/>
                <w:szCs w:val="22"/>
                <w:lang w:val="en-PH" w:eastAsia="en-PH"/>
              </w:rPr>
            </w:pPr>
            <w:r w:rsidRPr="009E35ED">
              <w:rPr>
                <w:rFonts w:ascii="Arial Narrow" w:hAnsi="Arial Narrow"/>
                <w:b/>
                <w:bCs/>
                <w:color w:val="000000" w:themeColor="text1"/>
                <w:sz w:val="22"/>
                <w:szCs w:val="22"/>
              </w:rPr>
              <w:t xml:space="preserve"> (82,164)</w:t>
            </w:r>
          </w:p>
        </w:tc>
      </w:tr>
      <w:tr w:rsidR="00997F75" w:rsidRPr="009E35ED" w14:paraId="13D84997" w14:textId="77777777" w:rsidTr="00860ED6">
        <w:trPr>
          <w:trHeight w:val="123"/>
        </w:trPr>
        <w:tc>
          <w:tcPr>
            <w:tcW w:w="7230" w:type="dxa"/>
            <w:tcBorders>
              <w:top w:val="double" w:sz="4" w:space="0" w:color="auto"/>
            </w:tcBorders>
            <w:shd w:val="clear" w:color="auto" w:fill="auto"/>
            <w:noWrap/>
            <w:vAlign w:val="bottom"/>
          </w:tcPr>
          <w:p w14:paraId="72711336" w14:textId="77777777" w:rsidR="00A31C96" w:rsidRPr="009E35ED" w:rsidRDefault="00A31C96" w:rsidP="00A31C96">
            <w:pPr>
              <w:ind w:left="0"/>
              <w:jc w:val="left"/>
              <w:rPr>
                <w:rFonts w:ascii="Arial Narrow" w:hAnsi="Arial Narrow" w:cs="Arial"/>
                <w:b/>
                <w:bCs/>
                <w:color w:val="000000" w:themeColor="text1"/>
                <w:sz w:val="22"/>
                <w:szCs w:val="22"/>
                <w:lang w:val="en-PH" w:eastAsia="en-PH"/>
              </w:rPr>
            </w:pPr>
          </w:p>
        </w:tc>
        <w:tc>
          <w:tcPr>
            <w:tcW w:w="1701" w:type="dxa"/>
            <w:tcBorders>
              <w:top w:val="double" w:sz="4" w:space="0" w:color="auto"/>
            </w:tcBorders>
            <w:shd w:val="clear" w:color="auto" w:fill="auto"/>
            <w:noWrap/>
            <w:vAlign w:val="bottom"/>
          </w:tcPr>
          <w:p w14:paraId="76FAF00E" w14:textId="77777777" w:rsidR="00A31C96" w:rsidRPr="009E35ED" w:rsidRDefault="00A31C96" w:rsidP="00A31C96">
            <w:pPr>
              <w:ind w:left="0"/>
              <w:jc w:val="right"/>
              <w:rPr>
                <w:rFonts w:ascii="Arial Narrow" w:hAnsi="Arial Narrow"/>
                <w:color w:val="000000" w:themeColor="text1"/>
                <w:sz w:val="22"/>
                <w:szCs w:val="22"/>
                <w:lang w:val="en-PH" w:eastAsia="en-PH"/>
              </w:rPr>
            </w:pPr>
          </w:p>
        </w:tc>
      </w:tr>
      <w:tr w:rsidR="00997F75" w:rsidRPr="009E35ED" w14:paraId="0E1E24E7" w14:textId="77777777" w:rsidTr="00860ED6">
        <w:trPr>
          <w:trHeight w:val="316"/>
        </w:trPr>
        <w:tc>
          <w:tcPr>
            <w:tcW w:w="7230" w:type="dxa"/>
            <w:shd w:val="clear" w:color="auto" w:fill="auto"/>
            <w:noWrap/>
          </w:tcPr>
          <w:p w14:paraId="6B8BED1C" w14:textId="744D539C" w:rsidR="008F6B62" w:rsidRPr="009E35ED" w:rsidRDefault="008F6B62" w:rsidP="00F10767">
            <w:pPr>
              <w:ind w:left="-108"/>
              <w:jc w:val="left"/>
              <w:rPr>
                <w:rFonts w:ascii="Arial Narrow" w:hAnsi="Arial Narrow" w:cs="Arial"/>
                <w:color w:val="000000" w:themeColor="text1"/>
                <w:sz w:val="22"/>
                <w:szCs w:val="22"/>
                <w:lang w:val="en-PH" w:eastAsia="en-PH"/>
              </w:rPr>
            </w:pPr>
            <w:r w:rsidRPr="009E35ED">
              <w:rPr>
                <w:rFonts w:ascii="Arial Narrow" w:hAnsi="Arial Narrow"/>
                <w:color w:val="000000" w:themeColor="text1"/>
                <w:sz w:val="22"/>
                <w:szCs w:val="22"/>
              </w:rPr>
              <w:t xml:space="preserve">Unrestated </w:t>
            </w:r>
            <w:r w:rsidR="00F93FBC">
              <w:rPr>
                <w:rFonts w:ascii="Arial Narrow" w:hAnsi="Arial Narrow"/>
                <w:color w:val="000000" w:themeColor="text1"/>
                <w:sz w:val="22"/>
                <w:szCs w:val="22"/>
              </w:rPr>
              <w:t>a</w:t>
            </w:r>
            <w:r w:rsidRPr="009E35ED">
              <w:rPr>
                <w:rFonts w:ascii="Arial Narrow" w:hAnsi="Arial Narrow"/>
                <w:color w:val="000000" w:themeColor="text1"/>
                <w:sz w:val="22"/>
                <w:szCs w:val="22"/>
              </w:rPr>
              <w:t>mount as of December 31, 2022</w:t>
            </w:r>
          </w:p>
        </w:tc>
        <w:tc>
          <w:tcPr>
            <w:tcW w:w="1701" w:type="dxa"/>
            <w:shd w:val="clear" w:color="auto" w:fill="auto"/>
            <w:noWrap/>
          </w:tcPr>
          <w:p w14:paraId="72144168" w14:textId="1EE8E130" w:rsidR="008F6B62" w:rsidRPr="009E35ED" w:rsidRDefault="008F6B62" w:rsidP="00F10767">
            <w:pPr>
              <w:ind w:left="0" w:right="-83"/>
              <w:jc w:val="right"/>
              <w:rPr>
                <w:rFonts w:ascii="Arial Narrow" w:hAnsi="Arial Narrow" w:cs="Arial"/>
                <w:color w:val="000000" w:themeColor="text1"/>
                <w:sz w:val="22"/>
                <w:szCs w:val="22"/>
                <w:lang w:val="en-PH" w:eastAsia="en-PH"/>
              </w:rPr>
            </w:pPr>
            <w:r w:rsidRPr="009E35ED">
              <w:rPr>
                <w:rFonts w:ascii="Arial Narrow" w:hAnsi="Arial Narrow"/>
                <w:color w:val="000000" w:themeColor="text1"/>
                <w:sz w:val="22"/>
                <w:szCs w:val="22"/>
              </w:rPr>
              <w:t xml:space="preserve"> 49,078,345 </w:t>
            </w:r>
          </w:p>
        </w:tc>
      </w:tr>
      <w:tr w:rsidR="00997F75" w:rsidRPr="009E35ED" w14:paraId="0C889E4C" w14:textId="77777777" w:rsidTr="00860ED6">
        <w:trPr>
          <w:trHeight w:val="142"/>
        </w:trPr>
        <w:tc>
          <w:tcPr>
            <w:tcW w:w="7230" w:type="dxa"/>
            <w:tcBorders>
              <w:bottom w:val="single" w:sz="4" w:space="0" w:color="auto"/>
            </w:tcBorders>
            <w:shd w:val="clear" w:color="auto" w:fill="auto"/>
            <w:noWrap/>
          </w:tcPr>
          <w:p w14:paraId="357A579C" w14:textId="30497DA4" w:rsidR="008F6B62" w:rsidRPr="009E35ED" w:rsidRDefault="008F6B62" w:rsidP="00F10767">
            <w:pPr>
              <w:ind w:left="-108"/>
              <w:jc w:val="left"/>
              <w:rPr>
                <w:rFonts w:ascii="Arial Narrow" w:hAnsi="Arial Narrow" w:cs="Arial"/>
                <w:color w:val="000000" w:themeColor="text1"/>
                <w:sz w:val="22"/>
                <w:szCs w:val="22"/>
                <w:lang w:val="en-PH" w:eastAsia="en-PH"/>
              </w:rPr>
            </w:pPr>
            <w:r w:rsidRPr="009E35ED">
              <w:rPr>
                <w:rFonts w:ascii="Arial Narrow" w:hAnsi="Arial Narrow"/>
                <w:color w:val="000000" w:themeColor="text1"/>
                <w:sz w:val="22"/>
                <w:szCs w:val="22"/>
              </w:rPr>
              <w:t xml:space="preserve">Adjustment/Recording of </w:t>
            </w:r>
            <w:r w:rsidR="00F93FBC">
              <w:rPr>
                <w:rFonts w:ascii="Arial Narrow" w:hAnsi="Arial Narrow"/>
                <w:color w:val="000000" w:themeColor="text1"/>
                <w:sz w:val="22"/>
                <w:szCs w:val="22"/>
              </w:rPr>
              <w:t>i</w:t>
            </w:r>
            <w:r w:rsidRPr="009E35ED">
              <w:rPr>
                <w:rFonts w:ascii="Arial Narrow" w:hAnsi="Arial Narrow"/>
                <w:color w:val="000000" w:themeColor="text1"/>
                <w:sz w:val="22"/>
                <w:szCs w:val="22"/>
              </w:rPr>
              <w:t xml:space="preserve">nterest </w:t>
            </w:r>
            <w:r w:rsidR="00F93FBC">
              <w:rPr>
                <w:rFonts w:ascii="Arial Narrow" w:hAnsi="Arial Narrow"/>
                <w:color w:val="000000" w:themeColor="text1"/>
                <w:sz w:val="22"/>
                <w:szCs w:val="22"/>
              </w:rPr>
              <w:t>i</w:t>
            </w:r>
            <w:r w:rsidRPr="009E35ED">
              <w:rPr>
                <w:rFonts w:ascii="Arial Narrow" w:hAnsi="Arial Narrow"/>
                <w:color w:val="000000" w:themeColor="text1"/>
                <w:sz w:val="22"/>
                <w:szCs w:val="22"/>
              </w:rPr>
              <w:t>ncome-Head Office</w:t>
            </w:r>
          </w:p>
        </w:tc>
        <w:tc>
          <w:tcPr>
            <w:tcW w:w="1701" w:type="dxa"/>
            <w:tcBorders>
              <w:bottom w:val="single" w:sz="4" w:space="0" w:color="auto"/>
            </w:tcBorders>
            <w:shd w:val="clear" w:color="auto" w:fill="auto"/>
            <w:noWrap/>
          </w:tcPr>
          <w:p w14:paraId="317FBD29" w14:textId="4F5ED2C0" w:rsidR="008F6B62" w:rsidRPr="009E35ED" w:rsidRDefault="008F6B62" w:rsidP="00F10767">
            <w:pPr>
              <w:ind w:left="0" w:right="-83"/>
              <w:jc w:val="right"/>
              <w:rPr>
                <w:rFonts w:ascii="Arial Narrow" w:hAnsi="Arial Narrow" w:cs="Arial"/>
                <w:color w:val="000000" w:themeColor="text1"/>
                <w:sz w:val="22"/>
                <w:szCs w:val="22"/>
                <w:lang w:val="en-PH" w:eastAsia="en-PH"/>
              </w:rPr>
            </w:pPr>
            <w:r w:rsidRPr="009E35ED">
              <w:rPr>
                <w:rFonts w:ascii="Arial Narrow" w:hAnsi="Arial Narrow"/>
                <w:color w:val="000000" w:themeColor="text1"/>
                <w:sz w:val="22"/>
                <w:szCs w:val="22"/>
              </w:rPr>
              <w:t xml:space="preserve"> 6</w:t>
            </w:r>
            <w:r w:rsidR="000D7826" w:rsidRPr="009E35ED">
              <w:rPr>
                <w:rFonts w:ascii="Arial Narrow" w:hAnsi="Arial Narrow"/>
                <w:color w:val="000000" w:themeColor="text1"/>
                <w:sz w:val="22"/>
                <w:szCs w:val="22"/>
              </w:rPr>
              <w:t>45,655</w:t>
            </w:r>
            <w:r w:rsidRPr="009E35ED">
              <w:rPr>
                <w:rFonts w:ascii="Arial Narrow" w:hAnsi="Arial Narrow"/>
                <w:color w:val="000000" w:themeColor="text1"/>
                <w:sz w:val="22"/>
                <w:szCs w:val="22"/>
              </w:rPr>
              <w:t xml:space="preserve"> </w:t>
            </w:r>
          </w:p>
        </w:tc>
      </w:tr>
      <w:tr w:rsidR="008F6B62" w:rsidRPr="009E35ED" w14:paraId="4847E8CC" w14:textId="77777777" w:rsidTr="00860ED6">
        <w:trPr>
          <w:trHeight w:val="188"/>
        </w:trPr>
        <w:tc>
          <w:tcPr>
            <w:tcW w:w="7230" w:type="dxa"/>
            <w:tcBorders>
              <w:top w:val="single" w:sz="4" w:space="0" w:color="auto"/>
              <w:bottom w:val="double" w:sz="4" w:space="0" w:color="auto"/>
            </w:tcBorders>
            <w:shd w:val="clear" w:color="auto" w:fill="auto"/>
          </w:tcPr>
          <w:p w14:paraId="702D7943" w14:textId="2501F5C6" w:rsidR="008F6B62" w:rsidRPr="009E35ED" w:rsidRDefault="008F6B62" w:rsidP="00F10767">
            <w:pPr>
              <w:ind w:left="-108"/>
              <w:jc w:val="left"/>
              <w:rPr>
                <w:rFonts w:ascii="Arial Narrow" w:hAnsi="Arial Narrow" w:cs="Arial"/>
                <w:b/>
                <w:bCs/>
                <w:color w:val="000000" w:themeColor="text1"/>
                <w:sz w:val="22"/>
                <w:szCs w:val="22"/>
                <w:lang w:val="en-PH" w:eastAsia="en-PH"/>
              </w:rPr>
            </w:pPr>
            <w:r w:rsidRPr="009E35ED">
              <w:rPr>
                <w:rFonts w:ascii="Arial Narrow" w:hAnsi="Arial Narrow"/>
                <w:b/>
                <w:bCs/>
                <w:color w:val="000000" w:themeColor="text1"/>
                <w:sz w:val="22"/>
                <w:szCs w:val="22"/>
              </w:rPr>
              <w:t>Restated Amount as of December 31, 2022 - Interest Income (Charity Fund)</w:t>
            </w:r>
          </w:p>
        </w:tc>
        <w:tc>
          <w:tcPr>
            <w:tcW w:w="1701" w:type="dxa"/>
            <w:tcBorders>
              <w:top w:val="single" w:sz="4" w:space="0" w:color="auto"/>
              <w:bottom w:val="double" w:sz="4" w:space="0" w:color="auto"/>
            </w:tcBorders>
            <w:shd w:val="clear" w:color="auto" w:fill="auto"/>
            <w:noWrap/>
          </w:tcPr>
          <w:p w14:paraId="1B91ED43" w14:textId="0DE733D6" w:rsidR="008F6B62" w:rsidRPr="009E35ED" w:rsidRDefault="008F6B62" w:rsidP="00F10767">
            <w:pPr>
              <w:ind w:left="0" w:right="-83"/>
              <w:jc w:val="right"/>
              <w:rPr>
                <w:rFonts w:ascii="Arial Narrow" w:hAnsi="Arial Narrow" w:cs="Arial"/>
                <w:b/>
                <w:bCs/>
                <w:color w:val="000000" w:themeColor="text1"/>
                <w:sz w:val="22"/>
                <w:szCs w:val="22"/>
                <w:lang w:val="en-PH" w:eastAsia="en-PH"/>
              </w:rPr>
            </w:pPr>
            <w:r w:rsidRPr="009E35ED">
              <w:rPr>
                <w:rFonts w:ascii="Arial Narrow" w:hAnsi="Arial Narrow"/>
                <w:b/>
                <w:bCs/>
                <w:color w:val="000000" w:themeColor="text1"/>
                <w:sz w:val="22"/>
                <w:szCs w:val="22"/>
              </w:rPr>
              <w:t>49,</w:t>
            </w:r>
            <w:r w:rsidR="000D7826" w:rsidRPr="009E35ED">
              <w:rPr>
                <w:rFonts w:ascii="Arial Narrow" w:hAnsi="Arial Narrow"/>
                <w:b/>
                <w:bCs/>
                <w:color w:val="000000" w:themeColor="text1"/>
                <w:sz w:val="22"/>
                <w:szCs w:val="22"/>
              </w:rPr>
              <w:t>724</w:t>
            </w:r>
            <w:r w:rsidRPr="009E35ED">
              <w:rPr>
                <w:rFonts w:ascii="Arial Narrow" w:hAnsi="Arial Narrow"/>
                <w:b/>
                <w:bCs/>
                <w:color w:val="000000" w:themeColor="text1"/>
                <w:sz w:val="22"/>
                <w:szCs w:val="22"/>
              </w:rPr>
              <w:t>,</w:t>
            </w:r>
            <w:r w:rsidR="000D7826" w:rsidRPr="009E35ED">
              <w:rPr>
                <w:rFonts w:ascii="Arial Narrow" w:hAnsi="Arial Narrow"/>
                <w:b/>
                <w:bCs/>
                <w:color w:val="000000" w:themeColor="text1"/>
                <w:sz w:val="22"/>
                <w:szCs w:val="22"/>
              </w:rPr>
              <w:t>000</w:t>
            </w:r>
            <w:r w:rsidRPr="009E35ED">
              <w:rPr>
                <w:rFonts w:ascii="Arial Narrow" w:hAnsi="Arial Narrow"/>
                <w:b/>
                <w:bCs/>
                <w:color w:val="000000" w:themeColor="text1"/>
                <w:sz w:val="22"/>
                <w:szCs w:val="22"/>
              </w:rPr>
              <w:t xml:space="preserve"> </w:t>
            </w:r>
          </w:p>
        </w:tc>
      </w:tr>
    </w:tbl>
    <w:p w14:paraId="3BE7FB59" w14:textId="77777777" w:rsidR="00A31C96" w:rsidRPr="009E35ED" w:rsidRDefault="00A31C96" w:rsidP="00803F8C">
      <w:pPr>
        <w:ind w:left="0"/>
        <w:rPr>
          <w:rFonts w:ascii="Arial Narrow" w:hAnsi="Arial Narrow" w:cs="Arial"/>
          <w:color w:val="000000" w:themeColor="text1"/>
          <w:sz w:val="22"/>
          <w:szCs w:val="22"/>
        </w:rPr>
      </w:pPr>
    </w:p>
    <w:tbl>
      <w:tblPr>
        <w:tblW w:w="8931" w:type="dxa"/>
        <w:tblBorders>
          <w:bottom w:val="double" w:sz="4" w:space="0" w:color="auto"/>
        </w:tblBorders>
        <w:tblLook w:val="04A0" w:firstRow="1" w:lastRow="0" w:firstColumn="1" w:lastColumn="0" w:noHBand="0" w:noVBand="1"/>
      </w:tblPr>
      <w:tblGrid>
        <w:gridCol w:w="6840"/>
        <w:gridCol w:w="2091"/>
      </w:tblGrid>
      <w:tr w:rsidR="00997F75" w:rsidRPr="009E35ED" w14:paraId="4BDAF914" w14:textId="77777777" w:rsidTr="00860ED6">
        <w:trPr>
          <w:trHeight w:val="316"/>
        </w:trPr>
        <w:tc>
          <w:tcPr>
            <w:tcW w:w="6840" w:type="dxa"/>
            <w:shd w:val="clear" w:color="auto" w:fill="auto"/>
            <w:noWrap/>
          </w:tcPr>
          <w:p w14:paraId="51573FFD" w14:textId="0E65D8BE" w:rsidR="0051228B" w:rsidRPr="009E35ED" w:rsidRDefault="0051228B" w:rsidP="00F10767">
            <w:pPr>
              <w:ind w:left="-108"/>
              <w:jc w:val="left"/>
              <w:rPr>
                <w:rFonts w:ascii="Arial Narrow" w:hAnsi="Arial Narrow" w:cs="Arial"/>
                <w:color w:val="000000" w:themeColor="text1"/>
                <w:sz w:val="22"/>
                <w:szCs w:val="22"/>
                <w:lang w:val="en-PH" w:eastAsia="en-PH"/>
              </w:rPr>
            </w:pPr>
            <w:r w:rsidRPr="009E35ED">
              <w:rPr>
                <w:rFonts w:ascii="Arial Narrow" w:hAnsi="Arial Narrow"/>
                <w:color w:val="000000" w:themeColor="text1"/>
                <w:sz w:val="22"/>
                <w:szCs w:val="22"/>
              </w:rPr>
              <w:t xml:space="preserve">Unrestated </w:t>
            </w:r>
            <w:r w:rsidR="00F93FBC">
              <w:rPr>
                <w:rFonts w:ascii="Arial Narrow" w:hAnsi="Arial Narrow"/>
                <w:color w:val="000000" w:themeColor="text1"/>
                <w:sz w:val="22"/>
                <w:szCs w:val="22"/>
              </w:rPr>
              <w:t>a</w:t>
            </w:r>
            <w:r w:rsidRPr="009E35ED">
              <w:rPr>
                <w:rFonts w:ascii="Arial Narrow" w:hAnsi="Arial Narrow"/>
                <w:color w:val="000000" w:themeColor="text1"/>
                <w:sz w:val="22"/>
                <w:szCs w:val="22"/>
              </w:rPr>
              <w:t>mount as of December 31, 2022</w:t>
            </w:r>
          </w:p>
        </w:tc>
        <w:tc>
          <w:tcPr>
            <w:tcW w:w="2091" w:type="dxa"/>
            <w:shd w:val="clear" w:color="auto" w:fill="auto"/>
            <w:noWrap/>
          </w:tcPr>
          <w:p w14:paraId="1B3E9B5D" w14:textId="78897375" w:rsidR="0051228B" w:rsidRPr="009E35ED" w:rsidRDefault="0051228B" w:rsidP="00F10767">
            <w:pPr>
              <w:ind w:left="0" w:right="-83"/>
              <w:jc w:val="right"/>
              <w:rPr>
                <w:rFonts w:ascii="Arial Narrow" w:hAnsi="Arial Narrow" w:cs="Arial"/>
                <w:color w:val="000000" w:themeColor="text1"/>
                <w:sz w:val="22"/>
                <w:szCs w:val="22"/>
                <w:lang w:val="en-PH" w:eastAsia="en-PH"/>
              </w:rPr>
            </w:pPr>
            <w:r w:rsidRPr="009E35ED">
              <w:rPr>
                <w:rFonts w:ascii="Arial Narrow" w:hAnsi="Arial Narrow"/>
                <w:color w:val="000000" w:themeColor="text1"/>
                <w:sz w:val="22"/>
                <w:szCs w:val="22"/>
              </w:rPr>
              <w:t xml:space="preserve"> 2,511,840 </w:t>
            </w:r>
          </w:p>
        </w:tc>
      </w:tr>
      <w:tr w:rsidR="00997F75" w:rsidRPr="009E35ED" w14:paraId="4E61F1F3" w14:textId="77777777" w:rsidTr="00860ED6">
        <w:trPr>
          <w:trHeight w:val="85"/>
        </w:trPr>
        <w:tc>
          <w:tcPr>
            <w:tcW w:w="6840" w:type="dxa"/>
            <w:tcBorders>
              <w:bottom w:val="single" w:sz="4" w:space="0" w:color="auto"/>
            </w:tcBorders>
            <w:shd w:val="clear" w:color="auto" w:fill="auto"/>
            <w:noWrap/>
          </w:tcPr>
          <w:p w14:paraId="79A8CDEE" w14:textId="3E72B87F" w:rsidR="0051228B" w:rsidRPr="009E35ED" w:rsidRDefault="0051228B" w:rsidP="00F10767">
            <w:pPr>
              <w:ind w:left="-108"/>
              <w:jc w:val="left"/>
              <w:rPr>
                <w:rFonts w:ascii="Arial Narrow" w:hAnsi="Arial Narrow"/>
                <w:color w:val="000000" w:themeColor="text1"/>
                <w:sz w:val="22"/>
                <w:szCs w:val="22"/>
              </w:rPr>
            </w:pPr>
            <w:r w:rsidRPr="009E35ED">
              <w:rPr>
                <w:rFonts w:ascii="Arial Narrow" w:hAnsi="Arial Narrow"/>
                <w:color w:val="000000" w:themeColor="text1"/>
                <w:sz w:val="22"/>
                <w:szCs w:val="22"/>
              </w:rPr>
              <w:t xml:space="preserve">Adjustment/Recording of </w:t>
            </w:r>
            <w:r w:rsidR="00F93FBC">
              <w:rPr>
                <w:rFonts w:ascii="Arial Narrow" w:hAnsi="Arial Narrow"/>
                <w:color w:val="000000" w:themeColor="text1"/>
                <w:sz w:val="22"/>
                <w:szCs w:val="22"/>
              </w:rPr>
              <w:t>i</w:t>
            </w:r>
            <w:r w:rsidRPr="009E35ED">
              <w:rPr>
                <w:rFonts w:ascii="Arial Narrow" w:hAnsi="Arial Narrow"/>
                <w:color w:val="000000" w:themeColor="text1"/>
                <w:sz w:val="22"/>
                <w:szCs w:val="22"/>
              </w:rPr>
              <w:t xml:space="preserve">nterest </w:t>
            </w:r>
            <w:r w:rsidR="00F93FBC">
              <w:rPr>
                <w:rFonts w:ascii="Arial Narrow" w:hAnsi="Arial Narrow"/>
                <w:color w:val="000000" w:themeColor="text1"/>
                <w:sz w:val="22"/>
                <w:szCs w:val="22"/>
              </w:rPr>
              <w:t>i</w:t>
            </w:r>
            <w:r w:rsidRPr="009E35ED">
              <w:rPr>
                <w:rFonts w:ascii="Arial Narrow" w:hAnsi="Arial Narrow"/>
                <w:color w:val="000000" w:themeColor="text1"/>
                <w:sz w:val="22"/>
                <w:szCs w:val="22"/>
              </w:rPr>
              <w:t>ncome-Head Office</w:t>
            </w:r>
          </w:p>
        </w:tc>
        <w:tc>
          <w:tcPr>
            <w:tcW w:w="2091" w:type="dxa"/>
            <w:tcBorders>
              <w:bottom w:val="single" w:sz="4" w:space="0" w:color="auto"/>
            </w:tcBorders>
            <w:shd w:val="clear" w:color="auto" w:fill="auto"/>
            <w:noWrap/>
          </w:tcPr>
          <w:p w14:paraId="5BF12D41" w14:textId="761C19EB" w:rsidR="0051228B" w:rsidRPr="009E35ED" w:rsidRDefault="00F93FBC" w:rsidP="00BF1A27">
            <w:pPr>
              <w:tabs>
                <w:tab w:val="right" w:pos="1692"/>
              </w:tabs>
              <w:ind w:left="0" w:right="-83"/>
              <w:jc w:val="right"/>
              <w:rPr>
                <w:rFonts w:ascii="Arial Narrow" w:hAnsi="Arial Narrow"/>
                <w:color w:val="000000" w:themeColor="text1"/>
                <w:sz w:val="22"/>
                <w:szCs w:val="22"/>
              </w:rPr>
            </w:pPr>
            <w:r>
              <w:rPr>
                <w:rFonts w:ascii="Arial Narrow" w:hAnsi="Arial Narrow"/>
                <w:color w:val="000000" w:themeColor="text1"/>
                <w:sz w:val="22"/>
                <w:szCs w:val="22"/>
              </w:rPr>
              <w:tab/>
            </w:r>
            <w:r w:rsidR="00EB31F0" w:rsidRPr="009E35ED">
              <w:rPr>
                <w:rFonts w:ascii="Arial Narrow" w:hAnsi="Arial Narrow"/>
                <w:color w:val="000000" w:themeColor="text1"/>
                <w:sz w:val="22"/>
                <w:szCs w:val="22"/>
              </w:rPr>
              <w:t xml:space="preserve"> </w:t>
            </w:r>
            <w:r w:rsidR="000D7826" w:rsidRPr="009E35ED">
              <w:rPr>
                <w:rFonts w:ascii="Arial Narrow" w:hAnsi="Arial Narrow"/>
                <w:color w:val="000000" w:themeColor="text1"/>
                <w:sz w:val="22"/>
                <w:szCs w:val="22"/>
              </w:rPr>
              <w:t>(</w:t>
            </w:r>
            <w:r w:rsidR="00EB31F0" w:rsidRPr="009E35ED">
              <w:rPr>
                <w:rFonts w:ascii="Arial Narrow" w:hAnsi="Arial Narrow"/>
                <w:color w:val="000000" w:themeColor="text1"/>
                <w:sz w:val="22"/>
                <w:szCs w:val="22"/>
              </w:rPr>
              <w:t>5</w:t>
            </w:r>
            <w:r w:rsidR="000D7826" w:rsidRPr="009E35ED">
              <w:rPr>
                <w:rFonts w:ascii="Arial Narrow" w:hAnsi="Arial Narrow"/>
                <w:color w:val="000000" w:themeColor="text1"/>
                <w:sz w:val="22"/>
                <w:szCs w:val="22"/>
              </w:rPr>
              <w:t>,</w:t>
            </w:r>
            <w:r w:rsidR="00EB31F0" w:rsidRPr="009E35ED">
              <w:rPr>
                <w:rFonts w:ascii="Arial Narrow" w:hAnsi="Arial Narrow"/>
                <w:color w:val="000000" w:themeColor="text1"/>
                <w:sz w:val="22"/>
                <w:szCs w:val="22"/>
              </w:rPr>
              <w:t>7</w:t>
            </w:r>
            <w:r w:rsidR="000D7826" w:rsidRPr="009E35ED">
              <w:rPr>
                <w:rFonts w:ascii="Arial Narrow" w:hAnsi="Arial Narrow"/>
                <w:color w:val="000000" w:themeColor="text1"/>
                <w:sz w:val="22"/>
                <w:szCs w:val="22"/>
              </w:rPr>
              <w:t>14)</w:t>
            </w:r>
            <w:r w:rsidR="0051228B" w:rsidRPr="009E35ED">
              <w:rPr>
                <w:rFonts w:ascii="Arial Narrow" w:hAnsi="Arial Narrow"/>
                <w:color w:val="000000" w:themeColor="text1"/>
                <w:sz w:val="22"/>
                <w:szCs w:val="22"/>
              </w:rPr>
              <w:t xml:space="preserve"> </w:t>
            </w:r>
          </w:p>
        </w:tc>
      </w:tr>
      <w:tr w:rsidR="0051228B" w:rsidRPr="009E35ED" w14:paraId="7A3A6ED7" w14:textId="77777777" w:rsidTr="00860ED6">
        <w:trPr>
          <w:trHeight w:val="316"/>
        </w:trPr>
        <w:tc>
          <w:tcPr>
            <w:tcW w:w="6840" w:type="dxa"/>
            <w:tcBorders>
              <w:top w:val="single" w:sz="4" w:space="0" w:color="auto"/>
              <w:bottom w:val="double" w:sz="4" w:space="0" w:color="auto"/>
            </w:tcBorders>
            <w:shd w:val="clear" w:color="auto" w:fill="auto"/>
            <w:noWrap/>
          </w:tcPr>
          <w:p w14:paraId="32999AFA" w14:textId="08A1A362" w:rsidR="0051228B" w:rsidRPr="009E35ED" w:rsidRDefault="0051228B" w:rsidP="00F10767">
            <w:pPr>
              <w:ind w:left="-108"/>
              <w:jc w:val="left"/>
              <w:rPr>
                <w:rFonts w:ascii="Arial Narrow" w:hAnsi="Arial Narrow" w:cs="Arial"/>
                <w:b/>
                <w:bCs/>
                <w:color w:val="000000" w:themeColor="text1"/>
                <w:sz w:val="22"/>
                <w:szCs w:val="22"/>
                <w:lang w:val="en-PH" w:eastAsia="en-PH"/>
              </w:rPr>
            </w:pPr>
            <w:r w:rsidRPr="009E35ED">
              <w:rPr>
                <w:rFonts w:ascii="Arial Narrow" w:hAnsi="Arial Narrow"/>
                <w:b/>
                <w:bCs/>
                <w:color w:val="000000" w:themeColor="text1"/>
                <w:sz w:val="22"/>
                <w:szCs w:val="22"/>
              </w:rPr>
              <w:t>Restated Amount as of December 31, 2022 - Interest Income (Prize Fund)</w:t>
            </w:r>
          </w:p>
        </w:tc>
        <w:tc>
          <w:tcPr>
            <w:tcW w:w="2091" w:type="dxa"/>
            <w:tcBorders>
              <w:top w:val="single" w:sz="4" w:space="0" w:color="auto"/>
              <w:bottom w:val="double" w:sz="4" w:space="0" w:color="auto"/>
            </w:tcBorders>
            <w:shd w:val="clear" w:color="auto" w:fill="auto"/>
            <w:noWrap/>
          </w:tcPr>
          <w:p w14:paraId="49DB3985" w14:textId="12E61FA4" w:rsidR="0051228B" w:rsidRPr="009E35ED" w:rsidRDefault="0051228B" w:rsidP="00F10767">
            <w:pPr>
              <w:ind w:left="0" w:right="-83"/>
              <w:jc w:val="right"/>
              <w:rPr>
                <w:rFonts w:ascii="Arial Narrow" w:hAnsi="Arial Narrow"/>
                <w:b/>
                <w:bCs/>
                <w:color w:val="000000" w:themeColor="text1"/>
                <w:sz w:val="22"/>
                <w:szCs w:val="22"/>
                <w:lang w:val="en-PH" w:eastAsia="en-PH"/>
              </w:rPr>
            </w:pPr>
            <w:r w:rsidRPr="009E35ED">
              <w:rPr>
                <w:rFonts w:ascii="Arial Narrow" w:hAnsi="Arial Narrow"/>
                <w:b/>
                <w:bCs/>
                <w:color w:val="000000" w:themeColor="text1"/>
                <w:sz w:val="22"/>
                <w:szCs w:val="22"/>
              </w:rPr>
              <w:t xml:space="preserve"> 2,5</w:t>
            </w:r>
            <w:r w:rsidR="000D7826" w:rsidRPr="009E35ED">
              <w:rPr>
                <w:rFonts w:ascii="Arial Narrow" w:hAnsi="Arial Narrow"/>
                <w:b/>
                <w:bCs/>
                <w:color w:val="000000" w:themeColor="text1"/>
                <w:sz w:val="22"/>
                <w:szCs w:val="22"/>
              </w:rPr>
              <w:t>06,126</w:t>
            </w:r>
            <w:r w:rsidRPr="009E35ED">
              <w:rPr>
                <w:rFonts w:ascii="Arial Narrow" w:hAnsi="Arial Narrow"/>
                <w:b/>
                <w:bCs/>
                <w:color w:val="000000" w:themeColor="text1"/>
                <w:sz w:val="22"/>
                <w:szCs w:val="22"/>
              </w:rPr>
              <w:t xml:space="preserve"> </w:t>
            </w:r>
          </w:p>
        </w:tc>
      </w:tr>
    </w:tbl>
    <w:p w14:paraId="7B57413E" w14:textId="77777777" w:rsidR="000D7826" w:rsidRPr="009E35ED" w:rsidRDefault="000D7826" w:rsidP="00803F8C">
      <w:pPr>
        <w:ind w:left="0"/>
        <w:rPr>
          <w:rFonts w:ascii="Arial" w:hAnsi="Arial" w:cs="Arial"/>
          <w:color w:val="000000" w:themeColor="text1"/>
          <w:sz w:val="22"/>
          <w:szCs w:val="22"/>
        </w:rPr>
      </w:pPr>
    </w:p>
    <w:p w14:paraId="110F7F94" w14:textId="6BD9F000" w:rsidR="00AE0A98" w:rsidRPr="009E35ED" w:rsidRDefault="00AE0A98" w:rsidP="00803F8C">
      <w:pPr>
        <w:ind w:left="0"/>
        <w:rPr>
          <w:rFonts w:ascii="Arial" w:hAnsi="Arial" w:cs="Arial"/>
          <w:color w:val="000000" w:themeColor="text1"/>
          <w:sz w:val="22"/>
          <w:szCs w:val="22"/>
        </w:rPr>
      </w:pPr>
      <w:r w:rsidRPr="009E35ED">
        <w:rPr>
          <w:rFonts w:ascii="Arial" w:hAnsi="Arial" w:cs="Arial"/>
          <w:color w:val="000000" w:themeColor="text1"/>
          <w:sz w:val="22"/>
          <w:szCs w:val="22"/>
        </w:rPr>
        <w:t xml:space="preserve">Income from Gaming Operations </w:t>
      </w:r>
      <w:r w:rsidR="009D7990">
        <w:rPr>
          <w:rFonts w:ascii="Arial" w:hAnsi="Arial" w:cs="Arial"/>
          <w:color w:val="000000" w:themeColor="text1"/>
          <w:sz w:val="22"/>
          <w:szCs w:val="22"/>
        </w:rPr>
        <w:t xml:space="preserve">consists the </w:t>
      </w:r>
      <w:r w:rsidRPr="009E35ED">
        <w:rPr>
          <w:rFonts w:ascii="Arial" w:hAnsi="Arial" w:cs="Arial"/>
          <w:color w:val="000000" w:themeColor="text1"/>
          <w:sz w:val="22"/>
          <w:szCs w:val="22"/>
        </w:rPr>
        <w:t>following:</w:t>
      </w:r>
    </w:p>
    <w:p w14:paraId="1A9E061E" w14:textId="024D8F6E" w:rsidR="00AE0A98" w:rsidRPr="009E35ED" w:rsidRDefault="00AE0A98" w:rsidP="00803F8C">
      <w:pPr>
        <w:ind w:left="0"/>
        <w:rPr>
          <w:rFonts w:ascii="Arial" w:hAnsi="Arial" w:cs="Arial"/>
          <w:color w:val="000000" w:themeColor="text1"/>
          <w:sz w:val="22"/>
          <w:szCs w:val="22"/>
        </w:rPr>
      </w:pPr>
    </w:p>
    <w:p w14:paraId="74843338" w14:textId="28F9272C" w:rsidR="00A31C96" w:rsidRPr="009E35ED" w:rsidRDefault="00A31C96" w:rsidP="00803F8C">
      <w:pPr>
        <w:ind w:left="0"/>
        <w:rPr>
          <w:rFonts w:ascii="Arial Narrow" w:hAnsi="Arial Narrow" w:cs="Arial"/>
          <w:b/>
          <w:color w:val="000000" w:themeColor="text1"/>
          <w:sz w:val="22"/>
          <w:szCs w:val="22"/>
        </w:rPr>
      </w:pPr>
      <w:r w:rsidRPr="009E35ED">
        <w:rPr>
          <w:rFonts w:ascii="Arial Narrow" w:hAnsi="Arial Narrow" w:cs="Arial"/>
          <w:b/>
          <w:color w:val="000000" w:themeColor="text1"/>
          <w:sz w:val="22"/>
          <w:szCs w:val="22"/>
        </w:rPr>
        <w:t>202</w:t>
      </w:r>
      <w:r w:rsidR="009F04A8" w:rsidRPr="009E35ED">
        <w:rPr>
          <w:rFonts w:ascii="Arial Narrow" w:hAnsi="Arial Narrow" w:cs="Arial"/>
          <w:b/>
          <w:color w:val="000000" w:themeColor="text1"/>
          <w:sz w:val="22"/>
          <w:szCs w:val="22"/>
        </w:rPr>
        <w:t>3</w:t>
      </w:r>
    </w:p>
    <w:tbl>
      <w:tblPr>
        <w:tblW w:w="8677" w:type="dxa"/>
        <w:tblLook w:val="04A0" w:firstRow="1" w:lastRow="0" w:firstColumn="1" w:lastColumn="0" w:noHBand="0" w:noVBand="1"/>
      </w:tblPr>
      <w:tblGrid>
        <w:gridCol w:w="2610"/>
        <w:gridCol w:w="1601"/>
        <w:gridCol w:w="1512"/>
        <w:gridCol w:w="1424"/>
        <w:gridCol w:w="1530"/>
      </w:tblGrid>
      <w:tr w:rsidR="00997F75" w:rsidRPr="009E35ED" w14:paraId="27F9C551" w14:textId="77777777" w:rsidTr="00F10767">
        <w:trPr>
          <w:trHeight w:val="259"/>
        </w:trPr>
        <w:tc>
          <w:tcPr>
            <w:tcW w:w="2610" w:type="dxa"/>
            <w:tcBorders>
              <w:top w:val="single" w:sz="4" w:space="0" w:color="auto"/>
              <w:left w:val="nil"/>
              <w:bottom w:val="single" w:sz="4" w:space="0" w:color="auto"/>
              <w:right w:val="nil"/>
            </w:tcBorders>
            <w:shd w:val="clear" w:color="auto" w:fill="auto"/>
            <w:noWrap/>
            <w:hideMark/>
          </w:tcPr>
          <w:p w14:paraId="021EF111" w14:textId="77777777" w:rsidR="00A31C96" w:rsidRPr="009E35ED" w:rsidRDefault="00A31C96" w:rsidP="00495E5D">
            <w:pPr>
              <w:ind w:left="-90"/>
              <w:jc w:val="left"/>
              <w:rPr>
                <w:rFonts w:ascii="Arial Narrow" w:hAnsi="Arial Narrow"/>
                <w:color w:val="000000" w:themeColor="text1"/>
                <w:sz w:val="19"/>
                <w:szCs w:val="19"/>
                <w:lang w:val="en-PH" w:eastAsia="en-PH"/>
              </w:rPr>
            </w:pPr>
          </w:p>
        </w:tc>
        <w:tc>
          <w:tcPr>
            <w:tcW w:w="1601" w:type="dxa"/>
            <w:tcBorders>
              <w:top w:val="single" w:sz="4" w:space="0" w:color="auto"/>
              <w:left w:val="nil"/>
              <w:bottom w:val="single" w:sz="4" w:space="0" w:color="auto"/>
              <w:right w:val="nil"/>
            </w:tcBorders>
            <w:shd w:val="clear" w:color="auto" w:fill="auto"/>
            <w:noWrap/>
          </w:tcPr>
          <w:p w14:paraId="7812CD06" w14:textId="77777777" w:rsidR="00A31C96" w:rsidRPr="009E35ED" w:rsidRDefault="00A31C96" w:rsidP="00495E5D">
            <w:pPr>
              <w:ind w:left="-108" w:right="-108"/>
              <w:jc w:val="right"/>
              <w:rPr>
                <w:rFonts w:ascii="Arial Narrow" w:hAnsi="Arial Narrow"/>
                <w:b/>
                <w:bCs/>
                <w:color w:val="000000" w:themeColor="text1"/>
                <w:sz w:val="19"/>
                <w:szCs w:val="19"/>
                <w:lang w:val="en-PH" w:eastAsia="en-PH"/>
              </w:rPr>
            </w:pPr>
            <w:r w:rsidRPr="009E35ED">
              <w:rPr>
                <w:rFonts w:ascii="Arial Narrow" w:hAnsi="Arial Narrow"/>
                <w:b/>
                <w:bCs/>
                <w:color w:val="000000" w:themeColor="text1"/>
                <w:sz w:val="19"/>
                <w:szCs w:val="19"/>
                <w:lang w:val="en-PH" w:eastAsia="en-PH"/>
              </w:rPr>
              <w:t>Operating</w:t>
            </w:r>
          </w:p>
        </w:tc>
        <w:tc>
          <w:tcPr>
            <w:tcW w:w="1512" w:type="dxa"/>
            <w:tcBorders>
              <w:top w:val="single" w:sz="4" w:space="0" w:color="auto"/>
              <w:left w:val="nil"/>
              <w:bottom w:val="single" w:sz="4" w:space="0" w:color="auto"/>
              <w:right w:val="nil"/>
            </w:tcBorders>
            <w:shd w:val="clear" w:color="auto" w:fill="auto"/>
            <w:noWrap/>
          </w:tcPr>
          <w:p w14:paraId="045053B3" w14:textId="77777777" w:rsidR="00A31C96" w:rsidRPr="009E35ED" w:rsidRDefault="00A31C96" w:rsidP="00495E5D">
            <w:pPr>
              <w:ind w:left="-108" w:right="-108"/>
              <w:jc w:val="right"/>
              <w:rPr>
                <w:rFonts w:ascii="Arial Narrow" w:hAnsi="Arial Narrow"/>
                <w:b/>
                <w:bCs/>
                <w:color w:val="000000" w:themeColor="text1"/>
                <w:sz w:val="19"/>
                <w:szCs w:val="19"/>
                <w:lang w:val="en-PH" w:eastAsia="en-PH"/>
              </w:rPr>
            </w:pPr>
            <w:r w:rsidRPr="009E35ED">
              <w:rPr>
                <w:rFonts w:ascii="Arial Narrow" w:hAnsi="Arial Narrow"/>
                <w:b/>
                <w:bCs/>
                <w:color w:val="000000" w:themeColor="text1"/>
                <w:sz w:val="19"/>
                <w:szCs w:val="19"/>
                <w:lang w:val="en-PH" w:eastAsia="en-PH"/>
              </w:rPr>
              <w:t>Charity</w:t>
            </w:r>
          </w:p>
        </w:tc>
        <w:tc>
          <w:tcPr>
            <w:tcW w:w="1424" w:type="dxa"/>
            <w:tcBorders>
              <w:top w:val="single" w:sz="4" w:space="0" w:color="auto"/>
              <w:left w:val="nil"/>
              <w:bottom w:val="single" w:sz="4" w:space="0" w:color="auto"/>
              <w:right w:val="nil"/>
            </w:tcBorders>
            <w:shd w:val="clear" w:color="auto" w:fill="auto"/>
            <w:noWrap/>
          </w:tcPr>
          <w:p w14:paraId="18A7AF74" w14:textId="77777777" w:rsidR="00A31C96" w:rsidRPr="009E35ED" w:rsidRDefault="00A31C96" w:rsidP="00622335">
            <w:pPr>
              <w:ind w:left="-108" w:right="-30"/>
              <w:jc w:val="right"/>
              <w:rPr>
                <w:rFonts w:ascii="Arial Narrow" w:hAnsi="Arial Narrow"/>
                <w:b/>
                <w:bCs/>
                <w:color w:val="000000" w:themeColor="text1"/>
                <w:sz w:val="19"/>
                <w:szCs w:val="19"/>
                <w:lang w:val="en-PH" w:eastAsia="en-PH"/>
              </w:rPr>
            </w:pPr>
            <w:r w:rsidRPr="009E35ED">
              <w:rPr>
                <w:rFonts w:ascii="Arial Narrow" w:hAnsi="Arial Narrow"/>
                <w:b/>
                <w:bCs/>
                <w:color w:val="000000" w:themeColor="text1"/>
                <w:sz w:val="19"/>
                <w:szCs w:val="19"/>
                <w:lang w:val="en-PH" w:eastAsia="en-PH"/>
              </w:rPr>
              <w:t>Prize</w:t>
            </w:r>
          </w:p>
        </w:tc>
        <w:tc>
          <w:tcPr>
            <w:tcW w:w="1530" w:type="dxa"/>
            <w:tcBorders>
              <w:top w:val="single" w:sz="4" w:space="0" w:color="auto"/>
              <w:left w:val="nil"/>
              <w:bottom w:val="single" w:sz="4" w:space="0" w:color="auto"/>
              <w:right w:val="nil"/>
            </w:tcBorders>
            <w:shd w:val="clear" w:color="auto" w:fill="auto"/>
            <w:noWrap/>
          </w:tcPr>
          <w:p w14:paraId="7402BC2B" w14:textId="77777777" w:rsidR="00A31C96" w:rsidRPr="009E35ED" w:rsidRDefault="00A31C96" w:rsidP="00495E5D">
            <w:pPr>
              <w:ind w:left="-108" w:right="-77"/>
              <w:jc w:val="right"/>
              <w:rPr>
                <w:rFonts w:ascii="Arial Narrow" w:hAnsi="Arial Narrow"/>
                <w:b/>
                <w:bCs/>
                <w:color w:val="000000" w:themeColor="text1"/>
                <w:sz w:val="19"/>
                <w:szCs w:val="19"/>
                <w:lang w:val="en-PH" w:eastAsia="en-PH"/>
              </w:rPr>
            </w:pPr>
            <w:r w:rsidRPr="009E35ED">
              <w:rPr>
                <w:rFonts w:ascii="Arial Narrow" w:hAnsi="Arial Narrow"/>
                <w:b/>
                <w:bCs/>
                <w:color w:val="000000" w:themeColor="text1"/>
                <w:sz w:val="19"/>
                <w:szCs w:val="19"/>
                <w:lang w:val="en-PH" w:eastAsia="en-PH"/>
              </w:rPr>
              <w:t>Total</w:t>
            </w:r>
          </w:p>
        </w:tc>
      </w:tr>
      <w:tr w:rsidR="00997F75" w:rsidRPr="009E35ED" w14:paraId="0AD8BE19" w14:textId="77777777" w:rsidTr="00F10767">
        <w:trPr>
          <w:trHeight w:val="259"/>
        </w:trPr>
        <w:tc>
          <w:tcPr>
            <w:tcW w:w="2610" w:type="dxa"/>
            <w:tcBorders>
              <w:top w:val="single" w:sz="4" w:space="0" w:color="auto"/>
              <w:left w:val="nil"/>
              <w:right w:val="nil"/>
            </w:tcBorders>
            <w:shd w:val="clear" w:color="auto" w:fill="auto"/>
            <w:noWrap/>
            <w:hideMark/>
          </w:tcPr>
          <w:p w14:paraId="34138C78" w14:textId="77777777" w:rsidR="00A31C96" w:rsidRPr="009E35ED" w:rsidRDefault="00A31C96" w:rsidP="00495E5D">
            <w:pPr>
              <w:ind w:left="-90"/>
              <w:jc w:val="left"/>
              <w:rPr>
                <w:rFonts w:ascii="Arial Narrow" w:hAnsi="Arial Narrow"/>
                <w:b/>
                <w:bCs/>
                <w:color w:val="000000" w:themeColor="text1"/>
                <w:sz w:val="20"/>
                <w:szCs w:val="20"/>
                <w:lang w:val="en-PH" w:eastAsia="en-PH"/>
              </w:rPr>
            </w:pPr>
            <w:r w:rsidRPr="009E35ED">
              <w:rPr>
                <w:rFonts w:ascii="Arial Narrow" w:hAnsi="Arial Narrow"/>
                <w:b/>
                <w:bCs/>
                <w:color w:val="000000" w:themeColor="text1"/>
                <w:sz w:val="20"/>
                <w:szCs w:val="20"/>
                <w:lang w:val="en-PH" w:eastAsia="en-PH"/>
              </w:rPr>
              <w:t>Retail Receipts</w:t>
            </w:r>
          </w:p>
        </w:tc>
        <w:tc>
          <w:tcPr>
            <w:tcW w:w="1601" w:type="dxa"/>
            <w:tcBorders>
              <w:top w:val="single" w:sz="4" w:space="0" w:color="auto"/>
              <w:left w:val="nil"/>
              <w:right w:val="nil"/>
            </w:tcBorders>
            <w:shd w:val="clear" w:color="auto" w:fill="auto"/>
            <w:noWrap/>
          </w:tcPr>
          <w:p w14:paraId="6D009B7A" w14:textId="4B3E99FE" w:rsidR="00A31C96" w:rsidRPr="009E35ED" w:rsidRDefault="005B7BA8" w:rsidP="003B4391">
            <w:pPr>
              <w:ind w:left="-108" w:right="-108"/>
              <w:jc w:val="right"/>
              <w:rPr>
                <w:rFonts w:ascii="Arial Narrow" w:hAnsi="Arial Narrow"/>
                <w:b/>
                <w:bCs/>
                <w:color w:val="000000" w:themeColor="text1"/>
                <w:sz w:val="20"/>
                <w:szCs w:val="20"/>
                <w:lang w:val="en-PH" w:eastAsia="en-PH"/>
              </w:rPr>
            </w:pPr>
            <w:r w:rsidRPr="009E35ED">
              <w:rPr>
                <w:rFonts w:ascii="Arial Narrow" w:hAnsi="Arial Narrow"/>
                <w:b/>
                <w:bCs/>
                <w:color w:val="000000" w:themeColor="text1"/>
                <w:sz w:val="20"/>
                <w:szCs w:val="20"/>
                <w:lang w:val="en-PH" w:eastAsia="en-PH"/>
              </w:rPr>
              <w:t>9,218,404,11</w:t>
            </w:r>
            <w:r w:rsidR="003B4391">
              <w:rPr>
                <w:rFonts w:ascii="Arial Narrow" w:hAnsi="Arial Narrow"/>
                <w:b/>
                <w:bCs/>
                <w:color w:val="000000" w:themeColor="text1"/>
                <w:sz w:val="20"/>
                <w:szCs w:val="20"/>
                <w:lang w:val="en-PH" w:eastAsia="en-PH"/>
              </w:rPr>
              <w:t>7</w:t>
            </w:r>
          </w:p>
        </w:tc>
        <w:tc>
          <w:tcPr>
            <w:tcW w:w="1512" w:type="dxa"/>
            <w:tcBorders>
              <w:top w:val="single" w:sz="4" w:space="0" w:color="auto"/>
              <w:left w:val="nil"/>
              <w:right w:val="nil"/>
            </w:tcBorders>
            <w:shd w:val="clear" w:color="auto" w:fill="auto"/>
            <w:noWrap/>
          </w:tcPr>
          <w:p w14:paraId="4B5986E3" w14:textId="5EED1F6A" w:rsidR="00A31C96" w:rsidRPr="009E35ED" w:rsidRDefault="00DE755C" w:rsidP="00495E5D">
            <w:pPr>
              <w:ind w:left="-108" w:right="-108"/>
              <w:jc w:val="right"/>
              <w:rPr>
                <w:rFonts w:ascii="Arial Narrow" w:hAnsi="Arial Narrow"/>
                <w:b/>
                <w:bCs/>
                <w:color w:val="000000" w:themeColor="text1"/>
                <w:sz w:val="20"/>
                <w:szCs w:val="20"/>
                <w:lang w:val="en-PH" w:eastAsia="en-PH"/>
              </w:rPr>
            </w:pPr>
            <w:r w:rsidRPr="009E35ED">
              <w:rPr>
                <w:rFonts w:ascii="Arial Narrow" w:hAnsi="Arial Narrow"/>
                <w:b/>
                <w:bCs/>
                <w:color w:val="000000" w:themeColor="text1"/>
                <w:sz w:val="20"/>
                <w:szCs w:val="20"/>
                <w:lang w:val="en-PH" w:eastAsia="en-PH"/>
              </w:rPr>
              <w:t>18,436,808,237</w:t>
            </w:r>
          </w:p>
        </w:tc>
        <w:tc>
          <w:tcPr>
            <w:tcW w:w="1424" w:type="dxa"/>
            <w:tcBorders>
              <w:top w:val="single" w:sz="4" w:space="0" w:color="auto"/>
              <w:left w:val="nil"/>
              <w:right w:val="nil"/>
            </w:tcBorders>
            <w:shd w:val="clear" w:color="auto" w:fill="auto"/>
            <w:noWrap/>
          </w:tcPr>
          <w:p w14:paraId="44989E23" w14:textId="1F35C5EF" w:rsidR="00A31C96" w:rsidRPr="009E35ED" w:rsidRDefault="007E49A4" w:rsidP="00622335">
            <w:pPr>
              <w:ind w:left="-108" w:right="-30"/>
              <w:jc w:val="right"/>
              <w:rPr>
                <w:rFonts w:ascii="Arial Narrow" w:hAnsi="Arial Narrow"/>
                <w:b/>
                <w:bCs/>
                <w:color w:val="000000" w:themeColor="text1"/>
                <w:sz w:val="20"/>
                <w:szCs w:val="20"/>
                <w:lang w:val="en-PH" w:eastAsia="en-PH"/>
              </w:rPr>
            </w:pPr>
            <w:r w:rsidRPr="009E35ED">
              <w:rPr>
                <w:rFonts w:ascii="Arial Narrow" w:hAnsi="Arial Narrow"/>
                <w:b/>
                <w:bCs/>
                <w:color w:val="000000" w:themeColor="text1"/>
                <w:sz w:val="20"/>
                <w:szCs w:val="20"/>
                <w:lang w:val="en-PH" w:eastAsia="en-PH"/>
              </w:rPr>
              <w:t>33,800,815,101</w:t>
            </w:r>
          </w:p>
        </w:tc>
        <w:tc>
          <w:tcPr>
            <w:tcW w:w="1530" w:type="dxa"/>
            <w:tcBorders>
              <w:top w:val="single" w:sz="4" w:space="0" w:color="auto"/>
              <w:left w:val="nil"/>
              <w:right w:val="nil"/>
            </w:tcBorders>
            <w:shd w:val="clear" w:color="auto" w:fill="auto"/>
            <w:noWrap/>
          </w:tcPr>
          <w:p w14:paraId="2DF77F3B" w14:textId="3BA68C73" w:rsidR="00A31C96" w:rsidRPr="009E35ED" w:rsidRDefault="007E49A4" w:rsidP="003B4391">
            <w:pPr>
              <w:ind w:left="-108" w:right="-77"/>
              <w:jc w:val="right"/>
              <w:rPr>
                <w:rFonts w:ascii="Arial Narrow" w:hAnsi="Arial Narrow"/>
                <w:b/>
                <w:bCs/>
                <w:color w:val="000000" w:themeColor="text1"/>
                <w:sz w:val="20"/>
                <w:szCs w:val="20"/>
                <w:lang w:val="en-PH" w:eastAsia="en-PH"/>
              </w:rPr>
            </w:pPr>
            <w:r w:rsidRPr="009E35ED">
              <w:rPr>
                <w:rFonts w:ascii="Arial Narrow" w:hAnsi="Arial Narrow"/>
                <w:b/>
                <w:bCs/>
                <w:color w:val="000000" w:themeColor="text1"/>
                <w:sz w:val="20"/>
                <w:szCs w:val="20"/>
                <w:lang w:val="en-PH" w:eastAsia="en-PH"/>
              </w:rPr>
              <w:t>61,456,027,45</w:t>
            </w:r>
            <w:r w:rsidR="003B4391">
              <w:rPr>
                <w:rFonts w:ascii="Arial Narrow" w:hAnsi="Arial Narrow"/>
                <w:b/>
                <w:bCs/>
                <w:color w:val="000000" w:themeColor="text1"/>
                <w:sz w:val="20"/>
                <w:szCs w:val="20"/>
                <w:lang w:val="en-PH" w:eastAsia="en-PH"/>
              </w:rPr>
              <w:t>5</w:t>
            </w:r>
          </w:p>
        </w:tc>
      </w:tr>
      <w:tr w:rsidR="00997F75" w:rsidRPr="009E35ED" w14:paraId="27D8755D" w14:textId="77777777" w:rsidTr="00F10767">
        <w:trPr>
          <w:trHeight w:val="259"/>
        </w:trPr>
        <w:tc>
          <w:tcPr>
            <w:tcW w:w="2610" w:type="dxa"/>
            <w:tcBorders>
              <w:left w:val="nil"/>
              <w:right w:val="nil"/>
            </w:tcBorders>
            <w:shd w:val="clear" w:color="auto" w:fill="auto"/>
            <w:noWrap/>
            <w:hideMark/>
          </w:tcPr>
          <w:p w14:paraId="38017962" w14:textId="521CB9FA" w:rsidR="00BD3091" w:rsidRPr="009E35ED" w:rsidRDefault="00BD3091" w:rsidP="00BD3091">
            <w:pPr>
              <w:ind w:left="-90"/>
              <w:jc w:val="left"/>
              <w:rPr>
                <w:rFonts w:ascii="Arial Narrow" w:hAnsi="Arial Narrow"/>
                <w:color w:val="000000" w:themeColor="text1"/>
                <w:sz w:val="19"/>
                <w:szCs w:val="19"/>
                <w:lang w:val="en-PH" w:eastAsia="en-PH"/>
              </w:rPr>
            </w:pPr>
            <w:r w:rsidRPr="009E35ED">
              <w:rPr>
                <w:rFonts w:ascii="Arial Narrow" w:hAnsi="Arial Narrow"/>
                <w:color w:val="000000" w:themeColor="text1"/>
                <w:sz w:val="19"/>
                <w:szCs w:val="19"/>
                <w:lang w:val="en-PH" w:eastAsia="en-PH"/>
              </w:rPr>
              <w:t xml:space="preserve">Less: Printing </w:t>
            </w:r>
            <w:r w:rsidR="00F93FBC">
              <w:rPr>
                <w:rFonts w:ascii="Arial Narrow" w:hAnsi="Arial Narrow"/>
                <w:color w:val="000000" w:themeColor="text1"/>
                <w:sz w:val="19"/>
                <w:szCs w:val="19"/>
                <w:lang w:val="en-PH" w:eastAsia="en-PH"/>
              </w:rPr>
              <w:t>c</w:t>
            </w:r>
            <w:r w:rsidRPr="009E35ED">
              <w:rPr>
                <w:rFonts w:ascii="Arial Narrow" w:hAnsi="Arial Narrow"/>
                <w:color w:val="000000" w:themeColor="text1"/>
                <w:sz w:val="19"/>
                <w:szCs w:val="19"/>
                <w:lang w:val="en-PH" w:eastAsia="en-PH"/>
              </w:rPr>
              <w:t>ost</w:t>
            </w:r>
          </w:p>
        </w:tc>
        <w:tc>
          <w:tcPr>
            <w:tcW w:w="1601" w:type="dxa"/>
            <w:tcBorders>
              <w:left w:val="nil"/>
              <w:bottom w:val="single" w:sz="4" w:space="0" w:color="auto"/>
              <w:right w:val="nil"/>
            </w:tcBorders>
            <w:shd w:val="clear" w:color="auto" w:fill="auto"/>
            <w:noWrap/>
          </w:tcPr>
          <w:p w14:paraId="2B9A7633" w14:textId="21E512DC" w:rsidR="00BD3091" w:rsidRPr="009E35ED" w:rsidRDefault="007E49A4" w:rsidP="00BD3091">
            <w:pPr>
              <w:ind w:left="-108" w:right="-108"/>
              <w:jc w:val="right"/>
              <w:rPr>
                <w:rFonts w:ascii="Arial Narrow" w:hAnsi="Arial Narrow"/>
                <w:color w:val="000000" w:themeColor="text1"/>
                <w:sz w:val="20"/>
                <w:szCs w:val="20"/>
                <w:lang w:val="en-PH" w:eastAsia="en-PH"/>
              </w:rPr>
            </w:pPr>
            <w:r w:rsidRPr="009E35ED">
              <w:rPr>
                <w:rFonts w:ascii="Arial Narrow" w:hAnsi="Arial Narrow"/>
                <w:color w:val="000000" w:themeColor="text1"/>
                <w:sz w:val="20"/>
                <w:szCs w:val="20"/>
                <w:lang w:val="en-PH" w:eastAsia="en-PH"/>
              </w:rPr>
              <w:t>165,141,025</w:t>
            </w:r>
          </w:p>
        </w:tc>
        <w:tc>
          <w:tcPr>
            <w:tcW w:w="1512" w:type="dxa"/>
            <w:tcBorders>
              <w:left w:val="nil"/>
              <w:bottom w:val="single" w:sz="4" w:space="0" w:color="auto"/>
              <w:right w:val="nil"/>
            </w:tcBorders>
            <w:shd w:val="clear" w:color="auto" w:fill="auto"/>
            <w:noWrap/>
          </w:tcPr>
          <w:p w14:paraId="5FB554F2" w14:textId="00CC70C4" w:rsidR="00BD3091" w:rsidRPr="009E35ED" w:rsidRDefault="006B783D" w:rsidP="00BD3091">
            <w:pPr>
              <w:ind w:left="-108" w:right="-108"/>
              <w:jc w:val="right"/>
              <w:rPr>
                <w:rFonts w:ascii="Arial Narrow" w:hAnsi="Arial Narrow"/>
                <w:color w:val="000000" w:themeColor="text1"/>
                <w:sz w:val="20"/>
                <w:szCs w:val="20"/>
                <w:lang w:val="en-PH" w:eastAsia="en-PH"/>
              </w:rPr>
            </w:pPr>
            <w:r w:rsidRPr="009E35ED">
              <w:rPr>
                <w:rFonts w:ascii="Arial Narrow" w:hAnsi="Arial Narrow"/>
                <w:color w:val="000000" w:themeColor="text1"/>
                <w:sz w:val="20"/>
                <w:szCs w:val="20"/>
                <w:lang w:val="en-PH" w:eastAsia="en-PH"/>
              </w:rPr>
              <w:t>330,282,050</w:t>
            </w:r>
          </w:p>
        </w:tc>
        <w:tc>
          <w:tcPr>
            <w:tcW w:w="1424" w:type="dxa"/>
            <w:tcBorders>
              <w:left w:val="nil"/>
              <w:bottom w:val="single" w:sz="4" w:space="0" w:color="auto"/>
              <w:right w:val="nil"/>
            </w:tcBorders>
            <w:shd w:val="clear" w:color="auto" w:fill="auto"/>
            <w:noWrap/>
          </w:tcPr>
          <w:p w14:paraId="4A88C0A0" w14:textId="19EE6147" w:rsidR="00BD3091" w:rsidRPr="009E35ED" w:rsidRDefault="005B1E28" w:rsidP="00622335">
            <w:pPr>
              <w:ind w:left="-108" w:right="-30"/>
              <w:jc w:val="right"/>
              <w:rPr>
                <w:rFonts w:ascii="Arial Narrow" w:hAnsi="Arial Narrow"/>
                <w:color w:val="000000" w:themeColor="text1"/>
                <w:sz w:val="20"/>
                <w:szCs w:val="20"/>
                <w:lang w:val="en-PH" w:eastAsia="en-PH"/>
              </w:rPr>
            </w:pPr>
            <w:r w:rsidRPr="009E35ED">
              <w:rPr>
                <w:rFonts w:ascii="Arial Narrow" w:hAnsi="Arial Narrow"/>
                <w:color w:val="000000" w:themeColor="text1"/>
                <w:sz w:val="20"/>
                <w:szCs w:val="20"/>
                <w:lang w:val="en-PH" w:eastAsia="en-PH"/>
              </w:rPr>
              <w:t>605,517,092</w:t>
            </w:r>
          </w:p>
        </w:tc>
        <w:tc>
          <w:tcPr>
            <w:tcW w:w="1530" w:type="dxa"/>
            <w:tcBorders>
              <w:left w:val="nil"/>
              <w:bottom w:val="single" w:sz="4" w:space="0" w:color="auto"/>
              <w:right w:val="nil"/>
            </w:tcBorders>
            <w:shd w:val="clear" w:color="auto" w:fill="auto"/>
            <w:noWrap/>
          </w:tcPr>
          <w:p w14:paraId="7B528580" w14:textId="161A9655" w:rsidR="00BD3091" w:rsidRPr="009E35ED" w:rsidRDefault="007C2182" w:rsidP="00BD3091">
            <w:pPr>
              <w:ind w:left="-108" w:right="-77"/>
              <w:jc w:val="right"/>
              <w:rPr>
                <w:rFonts w:ascii="Arial Narrow" w:hAnsi="Arial Narrow"/>
                <w:color w:val="000000" w:themeColor="text1"/>
                <w:sz w:val="20"/>
                <w:szCs w:val="20"/>
                <w:lang w:val="en-PH" w:eastAsia="en-PH"/>
              </w:rPr>
            </w:pPr>
            <w:r w:rsidRPr="009E35ED">
              <w:rPr>
                <w:rFonts w:ascii="Arial Narrow" w:hAnsi="Arial Narrow"/>
                <w:color w:val="000000" w:themeColor="text1"/>
                <w:sz w:val="20"/>
                <w:szCs w:val="20"/>
                <w:lang w:val="en-PH" w:eastAsia="en-PH"/>
              </w:rPr>
              <w:t>1,100,940,167</w:t>
            </w:r>
          </w:p>
        </w:tc>
      </w:tr>
      <w:tr w:rsidR="00997F75" w:rsidRPr="009E35ED" w14:paraId="2F746E6B" w14:textId="77777777" w:rsidTr="00F10767">
        <w:trPr>
          <w:trHeight w:val="259"/>
        </w:trPr>
        <w:tc>
          <w:tcPr>
            <w:tcW w:w="2610" w:type="dxa"/>
            <w:tcBorders>
              <w:top w:val="single" w:sz="4" w:space="0" w:color="auto"/>
              <w:left w:val="nil"/>
              <w:bottom w:val="nil"/>
              <w:right w:val="nil"/>
            </w:tcBorders>
            <w:shd w:val="clear" w:color="auto" w:fill="auto"/>
            <w:noWrap/>
            <w:hideMark/>
          </w:tcPr>
          <w:p w14:paraId="361B3FFC" w14:textId="77777777" w:rsidR="00BD3091" w:rsidRPr="009E35ED" w:rsidRDefault="00BD3091" w:rsidP="00BD3091">
            <w:pPr>
              <w:ind w:left="-90"/>
              <w:jc w:val="left"/>
              <w:rPr>
                <w:rFonts w:ascii="Arial Narrow" w:hAnsi="Arial Narrow"/>
                <w:b/>
                <w:bCs/>
                <w:color w:val="000000" w:themeColor="text1"/>
                <w:sz w:val="19"/>
                <w:szCs w:val="19"/>
                <w:lang w:val="en-PH" w:eastAsia="en-PH"/>
              </w:rPr>
            </w:pPr>
            <w:r w:rsidRPr="009E35ED">
              <w:rPr>
                <w:rFonts w:ascii="Arial Narrow" w:hAnsi="Arial Narrow"/>
                <w:b/>
                <w:bCs/>
                <w:color w:val="000000" w:themeColor="text1"/>
                <w:sz w:val="19"/>
                <w:szCs w:val="19"/>
                <w:lang w:val="en-PH" w:eastAsia="en-PH"/>
              </w:rPr>
              <w:t>Net Retail Receipts</w:t>
            </w:r>
          </w:p>
        </w:tc>
        <w:tc>
          <w:tcPr>
            <w:tcW w:w="1601" w:type="dxa"/>
            <w:tcBorders>
              <w:top w:val="single" w:sz="4" w:space="0" w:color="auto"/>
              <w:left w:val="nil"/>
              <w:bottom w:val="nil"/>
              <w:right w:val="nil"/>
            </w:tcBorders>
            <w:shd w:val="clear" w:color="auto" w:fill="auto"/>
            <w:noWrap/>
          </w:tcPr>
          <w:p w14:paraId="4E728029" w14:textId="7F66F62F" w:rsidR="00BD3091" w:rsidRPr="009E35ED" w:rsidRDefault="007C2182" w:rsidP="003B4391">
            <w:pPr>
              <w:ind w:left="-108" w:right="-108"/>
              <w:jc w:val="right"/>
              <w:rPr>
                <w:rFonts w:ascii="Arial Narrow" w:hAnsi="Arial Narrow"/>
                <w:b/>
                <w:bCs/>
                <w:color w:val="000000" w:themeColor="text1"/>
                <w:sz w:val="20"/>
                <w:szCs w:val="20"/>
                <w:lang w:val="en-PH" w:eastAsia="en-PH"/>
              </w:rPr>
            </w:pPr>
            <w:r w:rsidRPr="009E35ED">
              <w:rPr>
                <w:rFonts w:ascii="Arial Narrow" w:hAnsi="Arial Narrow"/>
                <w:b/>
                <w:bCs/>
                <w:color w:val="000000" w:themeColor="text1"/>
                <w:sz w:val="20"/>
                <w:szCs w:val="20"/>
                <w:lang w:val="en-PH" w:eastAsia="en-PH"/>
              </w:rPr>
              <w:t>9,053,263,09</w:t>
            </w:r>
            <w:r w:rsidR="003B4391">
              <w:rPr>
                <w:rFonts w:ascii="Arial Narrow" w:hAnsi="Arial Narrow"/>
                <w:b/>
                <w:bCs/>
                <w:color w:val="000000" w:themeColor="text1"/>
                <w:sz w:val="20"/>
                <w:szCs w:val="20"/>
                <w:lang w:val="en-PH" w:eastAsia="en-PH"/>
              </w:rPr>
              <w:t>2</w:t>
            </w:r>
          </w:p>
        </w:tc>
        <w:tc>
          <w:tcPr>
            <w:tcW w:w="1512" w:type="dxa"/>
            <w:tcBorders>
              <w:top w:val="single" w:sz="4" w:space="0" w:color="auto"/>
              <w:left w:val="nil"/>
              <w:bottom w:val="nil"/>
              <w:right w:val="nil"/>
            </w:tcBorders>
            <w:shd w:val="clear" w:color="auto" w:fill="auto"/>
            <w:noWrap/>
          </w:tcPr>
          <w:p w14:paraId="19AB8807" w14:textId="2142B653" w:rsidR="00BD3091" w:rsidRPr="009E35ED" w:rsidRDefault="007C2182" w:rsidP="00BD3091">
            <w:pPr>
              <w:ind w:left="-108" w:right="-108"/>
              <w:jc w:val="right"/>
              <w:rPr>
                <w:rFonts w:ascii="Arial Narrow" w:hAnsi="Arial Narrow"/>
                <w:b/>
                <w:bCs/>
                <w:color w:val="000000" w:themeColor="text1"/>
                <w:sz w:val="20"/>
                <w:szCs w:val="20"/>
                <w:lang w:val="en-PH" w:eastAsia="en-PH"/>
              </w:rPr>
            </w:pPr>
            <w:r w:rsidRPr="009E35ED">
              <w:rPr>
                <w:rFonts w:ascii="Arial Narrow" w:hAnsi="Arial Narrow"/>
                <w:b/>
                <w:bCs/>
                <w:color w:val="000000" w:themeColor="text1"/>
                <w:sz w:val="20"/>
                <w:szCs w:val="20"/>
                <w:lang w:val="en-PH" w:eastAsia="en-PH"/>
              </w:rPr>
              <w:t>18,106,526,187</w:t>
            </w:r>
          </w:p>
        </w:tc>
        <w:tc>
          <w:tcPr>
            <w:tcW w:w="1424" w:type="dxa"/>
            <w:tcBorders>
              <w:top w:val="single" w:sz="4" w:space="0" w:color="auto"/>
              <w:left w:val="nil"/>
              <w:bottom w:val="nil"/>
              <w:right w:val="nil"/>
            </w:tcBorders>
            <w:shd w:val="clear" w:color="auto" w:fill="auto"/>
            <w:noWrap/>
          </w:tcPr>
          <w:p w14:paraId="648E33EE" w14:textId="7CC13196" w:rsidR="00BD3091" w:rsidRPr="009E35ED" w:rsidRDefault="009839D5" w:rsidP="00622335">
            <w:pPr>
              <w:ind w:left="-108" w:right="-30"/>
              <w:jc w:val="right"/>
              <w:rPr>
                <w:rFonts w:ascii="Arial Narrow" w:hAnsi="Arial Narrow"/>
                <w:b/>
                <w:bCs/>
                <w:color w:val="000000" w:themeColor="text1"/>
                <w:sz w:val="20"/>
                <w:szCs w:val="20"/>
                <w:lang w:val="en-PH" w:eastAsia="en-PH"/>
              </w:rPr>
            </w:pPr>
            <w:r w:rsidRPr="009E35ED">
              <w:rPr>
                <w:rFonts w:ascii="Arial Narrow" w:hAnsi="Arial Narrow"/>
                <w:b/>
                <w:bCs/>
                <w:color w:val="000000" w:themeColor="text1"/>
                <w:sz w:val="20"/>
                <w:szCs w:val="20"/>
                <w:lang w:val="en-PH" w:eastAsia="en-PH"/>
              </w:rPr>
              <w:t>33,195,298,009</w:t>
            </w:r>
          </w:p>
        </w:tc>
        <w:tc>
          <w:tcPr>
            <w:tcW w:w="1530" w:type="dxa"/>
            <w:tcBorders>
              <w:top w:val="single" w:sz="4" w:space="0" w:color="auto"/>
              <w:left w:val="nil"/>
              <w:bottom w:val="nil"/>
              <w:right w:val="nil"/>
            </w:tcBorders>
            <w:shd w:val="clear" w:color="auto" w:fill="auto"/>
            <w:noWrap/>
          </w:tcPr>
          <w:p w14:paraId="3E6B24ED" w14:textId="336465E5" w:rsidR="00BD3091" w:rsidRPr="009E35ED" w:rsidRDefault="007948AB" w:rsidP="00BD3091">
            <w:pPr>
              <w:ind w:left="-108" w:right="-77"/>
              <w:jc w:val="right"/>
              <w:rPr>
                <w:rFonts w:ascii="Arial Narrow" w:hAnsi="Arial Narrow"/>
                <w:b/>
                <w:bCs/>
                <w:color w:val="000000" w:themeColor="text1"/>
                <w:sz w:val="20"/>
                <w:szCs w:val="20"/>
                <w:lang w:val="en-PH" w:eastAsia="en-PH"/>
              </w:rPr>
            </w:pPr>
            <w:r w:rsidRPr="009E35ED">
              <w:rPr>
                <w:rFonts w:ascii="Arial Narrow" w:hAnsi="Arial Narrow"/>
                <w:b/>
                <w:bCs/>
                <w:color w:val="000000" w:themeColor="text1"/>
                <w:sz w:val="20"/>
                <w:szCs w:val="20"/>
                <w:lang w:val="en-PH" w:eastAsia="en-PH"/>
              </w:rPr>
              <w:t>60,355,087,289</w:t>
            </w:r>
          </w:p>
        </w:tc>
      </w:tr>
      <w:tr w:rsidR="00997F75" w:rsidRPr="009E35ED" w14:paraId="43A5E16C" w14:textId="77777777" w:rsidTr="00F10767">
        <w:trPr>
          <w:trHeight w:val="259"/>
        </w:trPr>
        <w:tc>
          <w:tcPr>
            <w:tcW w:w="2610" w:type="dxa"/>
            <w:tcBorders>
              <w:top w:val="nil"/>
              <w:left w:val="nil"/>
              <w:right w:val="nil"/>
            </w:tcBorders>
            <w:shd w:val="clear" w:color="auto" w:fill="auto"/>
            <w:noWrap/>
            <w:hideMark/>
          </w:tcPr>
          <w:p w14:paraId="20BCBBF1" w14:textId="33177D7E" w:rsidR="00BD3091" w:rsidRPr="009E35ED" w:rsidRDefault="00BD3091" w:rsidP="00BD3091">
            <w:pPr>
              <w:ind w:left="-90"/>
              <w:jc w:val="left"/>
              <w:rPr>
                <w:rFonts w:ascii="Arial Narrow" w:hAnsi="Arial Narrow"/>
                <w:color w:val="000000" w:themeColor="text1"/>
                <w:sz w:val="19"/>
                <w:szCs w:val="19"/>
                <w:lang w:val="en-PH" w:eastAsia="en-PH"/>
              </w:rPr>
            </w:pPr>
            <w:r w:rsidRPr="009E35ED">
              <w:rPr>
                <w:rFonts w:ascii="Arial Narrow" w:hAnsi="Arial Narrow"/>
                <w:color w:val="000000" w:themeColor="text1"/>
                <w:sz w:val="19"/>
                <w:szCs w:val="19"/>
                <w:lang w:val="en-PH" w:eastAsia="en-PH"/>
              </w:rPr>
              <w:t xml:space="preserve">Add: 2% Printing </w:t>
            </w:r>
            <w:r w:rsidR="00F93FBC">
              <w:rPr>
                <w:rFonts w:ascii="Arial Narrow" w:hAnsi="Arial Narrow"/>
                <w:color w:val="000000" w:themeColor="text1"/>
                <w:sz w:val="19"/>
                <w:szCs w:val="19"/>
                <w:lang w:val="en-PH" w:eastAsia="en-PH"/>
              </w:rPr>
              <w:t>c</w:t>
            </w:r>
            <w:r w:rsidRPr="009E35ED">
              <w:rPr>
                <w:rFonts w:ascii="Arial Narrow" w:hAnsi="Arial Narrow"/>
                <w:color w:val="000000" w:themeColor="text1"/>
                <w:sz w:val="19"/>
                <w:szCs w:val="19"/>
                <w:lang w:val="en-PH" w:eastAsia="en-PH"/>
              </w:rPr>
              <w:t>ost</w:t>
            </w:r>
          </w:p>
        </w:tc>
        <w:tc>
          <w:tcPr>
            <w:tcW w:w="1601" w:type="dxa"/>
            <w:tcBorders>
              <w:top w:val="nil"/>
              <w:left w:val="nil"/>
              <w:right w:val="nil"/>
            </w:tcBorders>
            <w:shd w:val="clear" w:color="auto" w:fill="auto"/>
            <w:noWrap/>
          </w:tcPr>
          <w:p w14:paraId="0382C174" w14:textId="4774BEC6" w:rsidR="00BD3091" w:rsidRPr="009E35ED" w:rsidRDefault="0046404D" w:rsidP="00BD3091">
            <w:pPr>
              <w:ind w:left="-108" w:right="-108"/>
              <w:jc w:val="right"/>
              <w:rPr>
                <w:rFonts w:ascii="Arial Narrow" w:hAnsi="Arial Narrow"/>
                <w:color w:val="000000" w:themeColor="text1"/>
                <w:sz w:val="20"/>
                <w:szCs w:val="20"/>
                <w:lang w:val="en-PH" w:eastAsia="en-PH"/>
              </w:rPr>
            </w:pPr>
            <w:r w:rsidRPr="009E35ED">
              <w:rPr>
                <w:rFonts w:ascii="Arial Narrow" w:hAnsi="Arial Narrow"/>
                <w:color w:val="000000" w:themeColor="text1"/>
                <w:sz w:val="20"/>
                <w:szCs w:val="20"/>
                <w:lang w:val="en-PH" w:eastAsia="en-PH"/>
              </w:rPr>
              <w:t>1,100,940,167</w:t>
            </w:r>
          </w:p>
        </w:tc>
        <w:tc>
          <w:tcPr>
            <w:tcW w:w="1512" w:type="dxa"/>
            <w:tcBorders>
              <w:top w:val="nil"/>
              <w:left w:val="nil"/>
              <w:right w:val="nil"/>
            </w:tcBorders>
            <w:shd w:val="clear" w:color="auto" w:fill="auto"/>
            <w:noWrap/>
          </w:tcPr>
          <w:p w14:paraId="4A443BC2" w14:textId="77777777" w:rsidR="00BD3091" w:rsidRPr="009E35ED" w:rsidRDefault="00BD3091" w:rsidP="00BD3091">
            <w:pPr>
              <w:ind w:left="-108" w:right="-108"/>
              <w:jc w:val="right"/>
              <w:rPr>
                <w:rFonts w:ascii="Arial Narrow" w:hAnsi="Arial Narrow"/>
                <w:color w:val="000000" w:themeColor="text1"/>
                <w:sz w:val="20"/>
                <w:szCs w:val="20"/>
                <w:lang w:val="en-PH" w:eastAsia="en-PH"/>
              </w:rPr>
            </w:pPr>
          </w:p>
        </w:tc>
        <w:tc>
          <w:tcPr>
            <w:tcW w:w="1424" w:type="dxa"/>
            <w:tcBorders>
              <w:top w:val="nil"/>
              <w:left w:val="nil"/>
              <w:right w:val="nil"/>
            </w:tcBorders>
            <w:shd w:val="clear" w:color="auto" w:fill="auto"/>
            <w:noWrap/>
          </w:tcPr>
          <w:p w14:paraId="36B5594B" w14:textId="77777777" w:rsidR="00BD3091" w:rsidRPr="009E35ED" w:rsidRDefault="00BD3091" w:rsidP="00622335">
            <w:pPr>
              <w:ind w:left="-108" w:right="-30"/>
              <w:jc w:val="right"/>
              <w:rPr>
                <w:rFonts w:ascii="Arial Narrow" w:hAnsi="Arial Narrow"/>
                <w:color w:val="000000" w:themeColor="text1"/>
                <w:sz w:val="20"/>
                <w:szCs w:val="20"/>
                <w:lang w:val="en-PH" w:eastAsia="en-PH"/>
              </w:rPr>
            </w:pPr>
          </w:p>
        </w:tc>
        <w:tc>
          <w:tcPr>
            <w:tcW w:w="1530" w:type="dxa"/>
            <w:tcBorders>
              <w:top w:val="nil"/>
              <w:left w:val="nil"/>
              <w:right w:val="nil"/>
            </w:tcBorders>
            <w:shd w:val="clear" w:color="auto" w:fill="auto"/>
            <w:noWrap/>
          </w:tcPr>
          <w:p w14:paraId="662F6796" w14:textId="05D8CAC2" w:rsidR="00BD3091" w:rsidRPr="009E35ED" w:rsidRDefault="0046404D" w:rsidP="00BD3091">
            <w:pPr>
              <w:ind w:left="-108" w:right="-77"/>
              <w:jc w:val="right"/>
              <w:rPr>
                <w:rFonts w:ascii="Arial Narrow" w:hAnsi="Arial Narrow"/>
                <w:color w:val="000000" w:themeColor="text1"/>
                <w:sz w:val="20"/>
                <w:szCs w:val="20"/>
                <w:lang w:val="en-PH" w:eastAsia="en-PH"/>
              </w:rPr>
            </w:pPr>
            <w:r w:rsidRPr="009E35ED">
              <w:rPr>
                <w:rFonts w:ascii="Arial Narrow" w:hAnsi="Arial Narrow"/>
                <w:color w:val="000000" w:themeColor="text1"/>
                <w:sz w:val="20"/>
                <w:szCs w:val="20"/>
                <w:lang w:val="en-PH" w:eastAsia="en-PH"/>
              </w:rPr>
              <w:t>1,100,940,167</w:t>
            </w:r>
          </w:p>
        </w:tc>
      </w:tr>
      <w:tr w:rsidR="00622335" w:rsidRPr="009E35ED" w14:paraId="57824DD3" w14:textId="77777777" w:rsidTr="00F10767">
        <w:trPr>
          <w:trHeight w:val="141"/>
        </w:trPr>
        <w:tc>
          <w:tcPr>
            <w:tcW w:w="2610" w:type="dxa"/>
            <w:tcBorders>
              <w:top w:val="single" w:sz="4" w:space="0" w:color="auto"/>
              <w:left w:val="nil"/>
              <w:bottom w:val="double" w:sz="4" w:space="0" w:color="auto"/>
              <w:right w:val="nil"/>
            </w:tcBorders>
            <w:shd w:val="clear" w:color="auto" w:fill="auto"/>
            <w:noWrap/>
            <w:hideMark/>
          </w:tcPr>
          <w:p w14:paraId="4DC5D6B5" w14:textId="77777777" w:rsidR="00622335" w:rsidRPr="009E35ED" w:rsidRDefault="00622335" w:rsidP="00622335">
            <w:pPr>
              <w:ind w:left="-90"/>
              <w:jc w:val="left"/>
              <w:rPr>
                <w:rFonts w:ascii="Arial Narrow" w:hAnsi="Arial Narrow"/>
                <w:b/>
                <w:bCs/>
                <w:color w:val="000000" w:themeColor="text1"/>
                <w:sz w:val="19"/>
                <w:szCs w:val="19"/>
                <w:lang w:val="en-PH" w:eastAsia="en-PH"/>
              </w:rPr>
            </w:pPr>
            <w:r w:rsidRPr="009E35ED">
              <w:rPr>
                <w:rFonts w:ascii="Arial Narrow" w:hAnsi="Arial Narrow"/>
                <w:b/>
                <w:bCs/>
                <w:color w:val="000000" w:themeColor="text1"/>
                <w:sz w:val="19"/>
                <w:szCs w:val="19"/>
                <w:lang w:val="en-PH" w:eastAsia="en-PH"/>
              </w:rPr>
              <w:t>Gross Revenue</w:t>
            </w:r>
          </w:p>
        </w:tc>
        <w:tc>
          <w:tcPr>
            <w:tcW w:w="1601" w:type="dxa"/>
            <w:tcBorders>
              <w:top w:val="single" w:sz="4" w:space="0" w:color="auto"/>
              <w:left w:val="nil"/>
              <w:bottom w:val="double" w:sz="4" w:space="0" w:color="auto"/>
              <w:right w:val="nil"/>
            </w:tcBorders>
            <w:shd w:val="clear" w:color="auto" w:fill="auto"/>
            <w:noWrap/>
          </w:tcPr>
          <w:p w14:paraId="39CABBDD" w14:textId="2BFF642F" w:rsidR="00622335" w:rsidRPr="009E35ED" w:rsidRDefault="005B2ECF" w:rsidP="003B4391">
            <w:pPr>
              <w:ind w:left="-108" w:right="-108"/>
              <w:jc w:val="right"/>
              <w:rPr>
                <w:rFonts w:ascii="Arial Narrow" w:hAnsi="Arial Narrow"/>
                <w:b/>
                <w:bCs/>
                <w:color w:val="000000" w:themeColor="text1"/>
                <w:sz w:val="20"/>
                <w:szCs w:val="20"/>
                <w:lang w:val="en-PH" w:eastAsia="en-PH"/>
              </w:rPr>
            </w:pPr>
            <w:r w:rsidRPr="009E35ED">
              <w:rPr>
                <w:rFonts w:ascii="Arial Narrow" w:hAnsi="Arial Narrow"/>
                <w:b/>
                <w:bCs/>
                <w:color w:val="000000" w:themeColor="text1"/>
                <w:sz w:val="20"/>
                <w:szCs w:val="20"/>
                <w:lang w:val="en-PH" w:eastAsia="en-PH"/>
              </w:rPr>
              <w:t>10,154,203,2</w:t>
            </w:r>
            <w:r w:rsidR="003B4391">
              <w:rPr>
                <w:rFonts w:ascii="Arial Narrow" w:hAnsi="Arial Narrow"/>
                <w:b/>
                <w:bCs/>
                <w:color w:val="000000" w:themeColor="text1"/>
                <w:sz w:val="20"/>
                <w:szCs w:val="20"/>
                <w:lang w:val="en-PH" w:eastAsia="en-PH"/>
              </w:rPr>
              <w:t>59</w:t>
            </w:r>
          </w:p>
        </w:tc>
        <w:tc>
          <w:tcPr>
            <w:tcW w:w="1512" w:type="dxa"/>
            <w:tcBorders>
              <w:top w:val="single" w:sz="4" w:space="0" w:color="auto"/>
              <w:left w:val="nil"/>
              <w:bottom w:val="double" w:sz="4" w:space="0" w:color="auto"/>
              <w:right w:val="nil"/>
            </w:tcBorders>
            <w:shd w:val="clear" w:color="auto" w:fill="auto"/>
            <w:noWrap/>
          </w:tcPr>
          <w:p w14:paraId="3195EC85" w14:textId="520AE61D" w:rsidR="00622335" w:rsidRPr="009E35ED" w:rsidRDefault="005B2ECF" w:rsidP="00622335">
            <w:pPr>
              <w:ind w:left="-108" w:right="-108"/>
              <w:jc w:val="right"/>
              <w:rPr>
                <w:rFonts w:ascii="Arial Narrow" w:hAnsi="Arial Narrow"/>
                <w:b/>
                <w:bCs/>
                <w:color w:val="000000" w:themeColor="text1"/>
                <w:sz w:val="20"/>
                <w:szCs w:val="20"/>
                <w:lang w:val="en-PH" w:eastAsia="en-PH"/>
              </w:rPr>
            </w:pPr>
            <w:r w:rsidRPr="009E35ED">
              <w:rPr>
                <w:rFonts w:ascii="Arial Narrow" w:hAnsi="Arial Narrow"/>
                <w:b/>
                <w:bCs/>
                <w:color w:val="000000" w:themeColor="text1"/>
                <w:sz w:val="20"/>
                <w:szCs w:val="20"/>
                <w:lang w:val="en-PH" w:eastAsia="en-PH"/>
              </w:rPr>
              <w:t>18,106,526,187</w:t>
            </w:r>
          </w:p>
        </w:tc>
        <w:tc>
          <w:tcPr>
            <w:tcW w:w="1424" w:type="dxa"/>
            <w:tcBorders>
              <w:top w:val="single" w:sz="4" w:space="0" w:color="auto"/>
              <w:left w:val="nil"/>
              <w:bottom w:val="double" w:sz="4" w:space="0" w:color="auto"/>
              <w:right w:val="nil"/>
            </w:tcBorders>
            <w:shd w:val="clear" w:color="auto" w:fill="auto"/>
            <w:noWrap/>
          </w:tcPr>
          <w:p w14:paraId="5F9F7EFC" w14:textId="1651B49D" w:rsidR="00622335" w:rsidRPr="009E35ED" w:rsidRDefault="00C1748C" w:rsidP="00C1748C">
            <w:pPr>
              <w:ind w:left="-108" w:right="-30"/>
              <w:jc w:val="center"/>
              <w:rPr>
                <w:rFonts w:ascii="Arial Narrow" w:hAnsi="Arial Narrow"/>
                <w:b/>
                <w:bCs/>
                <w:color w:val="000000" w:themeColor="text1"/>
                <w:sz w:val="20"/>
                <w:szCs w:val="20"/>
                <w:lang w:val="en-PH" w:eastAsia="en-PH"/>
              </w:rPr>
            </w:pPr>
            <w:r w:rsidRPr="009E35ED">
              <w:rPr>
                <w:rFonts w:ascii="Arial Narrow" w:hAnsi="Arial Narrow"/>
                <w:b/>
                <w:bCs/>
                <w:color w:val="000000" w:themeColor="text1"/>
                <w:sz w:val="20"/>
                <w:szCs w:val="20"/>
                <w:lang w:val="en-PH" w:eastAsia="en-PH"/>
              </w:rPr>
              <w:t>33,195,298,009</w:t>
            </w:r>
          </w:p>
        </w:tc>
        <w:tc>
          <w:tcPr>
            <w:tcW w:w="1530" w:type="dxa"/>
            <w:tcBorders>
              <w:top w:val="single" w:sz="4" w:space="0" w:color="auto"/>
              <w:left w:val="nil"/>
              <w:bottom w:val="double" w:sz="4" w:space="0" w:color="auto"/>
              <w:right w:val="nil"/>
            </w:tcBorders>
            <w:shd w:val="clear" w:color="auto" w:fill="auto"/>
            <w:noWrap/>
          </w:tcPr>
          <w:p w14:paraId="04D76D21" w14:textId="7FB32355" w:rsidR="00622335" w:rsidRPr="009E35ED" w:rsidRDefault="00C1748C" w:rsidP="003B4391">
            <w:pPr>
              <w:ind w:left="-108" w:right="-77"/>
              <w:jc w:val="right"/>
              <w:rPr>
                <w:rFonts w:ascii="Arial Narrow" w:hAnsi="Arial Narrow"/>
                <w:b/>
                <w:bCs/>
                <w:color w:val="000000" w:themeColor="text1"/>
                <w:sz w:val="20"/>
                <w:szCs w:val="20"/>
                <w:lang w:val="en-PH" w:eastAsia="en-PH"/>
              </w:rPr>
            </w:pPr>
            <w:r w:rsidRPr="009E35ED">
              <w:rPr>
                <w:rFonts w:ascii="Arial Narrow" w:hAnsi="Arial Narrow"/>
                <w:b/>
                <w:bCs/>
                <w:color w:val="000000" w:themeColor="text1"/>
                <w:sz w:val="20"/>
                <w:szCs w:val="20"/>
                <w:lang w:val="en-PH" w:eastAsia="en-PH"/>
              </w:rPr>
              <w:t>61,456,027,45</w:t>
            </w:r>
            <w:r w:rsidR="003B4391">
              <w:rPr>
                <w:rFonts w:ascii="Arial Narrow" w:hAnsi="Arial Narrow"/>
                <w:b/>
                <w:bCs/>
                <w:color w:val="000000" w:themeColor="text1"/>
                <w:sz w:val="20"/>
                <w:szCs w:val="20"/>
                <w:lang w:val="en-PH" w:eastAsia="en-PH"/>
              </w:rPr>
              <w:t>5</w:t>
            </w:r>
          </w:p>
        </w:tc>
      </w:tr>
    </w:tbl>
    <w:p w14:paraId="358A1BFA" w14:textId="221D0068" w:rsidR="00A31C96" w:rsidRPr="009E35ED" w:rsidRDefault="00A31C96" w:rsidP="00803F8C">
      <w:pPr>
        <w:ind w:left="0"/>
        <w:rPr>
          <w:rFonts w:ascii="Arial" w:hAnsi="Arial" w:cs="Arial"/>
          <w:color w:val="000000" w:themeColor="text1"/>
          <w:sz w:val="22"/>
          <w:szCs w:val="22"/>
        </w:rPr>
      </w:pPr>
    </w:p>
    <w:p w14:paraId="4F893314" w14:textId="65FCBE3D" w:rsidR="009F04A8" w:rsidRPr="009E35ED" w:rsidRDefault="009F04A8" w:rsidP="00803F8C">
      <w:pPr>
        <w:ind w:left="0"/>
        <w:rPr>
          <w:rFonts w:ascii="Arial Narrow" w:hAnsi="Arial Narrow" w:cs="Arial"/>
          <w:b/>
          <w:bCs/>
          <w:color w:val="000000" w:themeColor="text1"/>
          <w:sz w:val="22"/>
          <w:szCs w:val="22"/>
        </w:rPr>
      </w:pPr>
      <w:r w:rsidRPr="009E35ED">
        <w:rPr>
          <w:rFonts w:ascii="Arial Narrow" w:hAnsi="Arial Narrow" w:cs="Arial"/>
          <w:b/>
          <w:bCs/>
          <w:color w:val="000000" w:themeColor="text1"/>
          <w:sz w:val="22"/>
          <w:szCs w:val="22"/>
        </w:rPr>
        <w:t>2022</w:t>
      </w:r>
      <w:r w:rsidR="00A65E0D" w:rsidRPr="009E35ED">
        <w:rPr>
          <w:rFonts w:ascii="Arial Narrow" w:hAnsi="Arial Narrow" w:cs="Arial"/>
          <w:b/>
          <w:bCs/>
          <w:color w:val="000000" w:themeColor="text1"/>
          <w:sz w:val="22"/>
          <w:szCs w:val="22"/>
        </w:rPr>
        <w:t xml:space="preserve"> </w:t>
      </w:r>
    </w:p>
    <w:tbl>
      <w:tblPr>
        <w:tblW w:w="8677" w:type="dxa"/>
        <w:tblLook w:val="04A0" w:firstRow="1" w:lastRow="0" w:firstColumn="1" w:lastColumn="0" w:noHBand="0" w:noVBand="1"/>
      </w:tblPr>
      <w:tblGrid>
        <w:gridCol w:w="2610"/>
        <w:gridCol w:w="1601"/>
        <w:gridCol w:w="1512"/>
        <w:gridCol w:w="1424"/>
        <w:gridCol w:w="1530"/>
      </w:tblGrid>
      <w:tr w:rsidR="00997F75" w:rsidRPr="009E35ED" w14:paraId="169372AC" w14:textId="77777777" w:rsidTr="00F10767">
        <w:trPr>
          <w:trHeight w:val="259"/>
        </w:trPr>
        <w:tc>
          <w:tcPr>
            <w:tcW w:w="2610" w:type="dxa"/>
            <w:tcBorders>
              <w:top w:val="single" w:sz="4" w:space="0" w:color="auto"/>
              <w:left w:val="nil"/>
              <w:bottom w:val="single" w:sz="4" w:space="0" w:color="auto"/>
              <w:right w:val="nil"/>
            </w:tcBorders>
            <w:shd w:val="clear" w:color="auto" w:fill="auto"/>
            <w:noWrap/>
            <w:hideMark/>
          </w:tcPr>
          <w:p w14:paraId="66A0F466" w14:textId="77777777" w:rsidR="009F04A8" w:rsidRPr="009E35ED" w:rsidRDefault="009F04A8" w:rsidP="00AD3D41">
            <w:pPr>
              <w:ind w:left="-90"/>
              <w:jc w:val="left"/>
              <w:rPr>
                <w:rFonts w:ascii="Arial Narrow" w:hAnsi="Arial Narrow"/>
                <w:color w:val="000000" w:themeColor="text1"/>
                <w:sz w:val="19"/>
                <w:szCs w:val="19"/>
                <w:lang w:val="en-PH" w:eastAsia="en-PH"/>
              </w:rPr>
            </w:pPr>
          </w:p>
        </w:tc>
        <w:tc>
          <w:tcPr>
            <w:tcW w:w="1601" w:type="dxa"/>
            <w:tcBorders>
              <w:top w:val="single" w:sz="4" w:space="0" w:color="auto"/>
              <w:left w:val="nil"/>
              <w:bottom w:val="single" w:sz="4" w:space="0" w:color="auto"/>
              <w:right w:val="nil"/>
            </w:tcBorders>
            <w:shd w:val="clear" w:color="auto" w:fill="auto"/>
            <w:noWrap/>
          </w:tcPr>
          <w:p w14:paraId="47CCE457" w14:textId="77777777" w:rsidR="009F04A8" w:rsidRPr="009E35ED" w:rsidRDefault="009F04A8" w:rsidP="00AD3D41">
            <w:pPr>
              <w:ind w:left="-108" w:right="-108"/>
              <w:jc w:val="right"/>
              <w:rPr>
                <w:rFonts w:ascii="Arial Narrow" w:hAnsi="Arial Narrow"/>
                <w:b/>
                <w:bCs/>
                <w:color w:val="000000" w:themeColor="text1"/>
                <w:sz w:val="19"/>
                <w:szCs w:val="19"/>
                <w:lang w:val="en-PH" w:eastAsia="en-PH"/>
              </w:rPr>
            </w:pPr>
            <w:r w:rsidRPr="009E35ED">
              <w:rPr>
                <w:rFonts w:ascii="Arial Narrow" w:hAnsi="Arial Narrow"/>
                <w:b/>
                <w:bCs/>
                <w:color w:val="000000" w:themeColor="text1"/>
                <w:sz w:val="19"/>
                <w:szCs w:val="19"/>
                <w:lang w:val="en-PH" w:eastAsia="en-PH"/>
              </w:rPr>
              <w:t>Operating</w:t>
            </w:r>
          </w:p>
        </w:tc>
        <w:tc>
          <w:tcPr>
            <w:tcW w:w="1512" w:type="dxa"/>
            <w:tcBorders>
              <w:top w:val="single" w:sz="4" w:space="0" w:color="auto"/>
              <w:left w:val="nil"/>
              <w:bottom w:val="single" w:sz="4" w:space="0" w:color="auto"/>
              <w:right w:val="nil"/>
            </w:tcBorders>
            <w:shd w:val="clear" w:color="auto" w:fill="auto"/>
            <w:noWrap/>
          </w:tcPr>
          <w:p w14:paraId="1A60BE0A" w14:textId="77777777" w:rsidR="009F04A8" w:rsidRPr="009E35ED" w:rsidRDefault="009F04A8" w:rsidP="00AD3D41">
            <w:pPr>
              <w:ind w:left="-108" w:right="-108"/>
              <w:jc w:val="right"/>
              <w:rPr>
                <w:rFonts w:ascii="Arial Narrow" w:hAnsi="Arial Narrow"/>
                <w:b/>
                <w:bCs/>
                <w:color w:val="000000" w:themeColor="text1"/>
                <w:sz w:val="19"/>
                <w:szCs w:val="19"/>
                <w:lang w:val="en-PH" w:eastAsia="en-PH"/>
              </w:rPr>
            </w:pPr>
            <w:r w:rsidRPr="009E35ED">
              <w:rPr>
                <w:rFonts w:ascii="Arial Narrow" w:hAnsi="Arial Narrow"/>
                <w:b/>
                <w:bCs/>
                <w:color w:val="000000" w:themeColor="text1"/>
                <w:sz w:val="19"/>
                <w:szCs w:val="19"/>
                <w:lang w:val="en-PH" w:eastAsia="en-PH"/>
              </w:rPr>
              <w:t>Charity</w:t>
            </w:r>
          </w:p>
        </w:tc>
        <w:tc>
          <w:tcPr>
            <w:tcW w:w="1424" w:type="dxa"/>
            <w:tcBorders>
              <w:top w:val="single" w:sz="4" w:space="0" w:color="auto"/>
              <w:left w:val="nil"/>
              <w:bottom w:val="single" w:sz="4" w:space="0" w:color="auto"/>
              <w:right w:val="nil"/>
            </w:tcBorders>
            <w:shd w:val="clear" w:color="auto" w:fill="auto"/>
            <w:noWrap/>
          </w:tcPr>
          <w:p w14:paraId="0C6756B5" w14:textId="77777777" w:rsidR="009F04A8" w:rsidRPr="009E35ED" w:rsidRDefault="009F04A8" w:rsidP="00AD3D41">
            <w:pPr>
              <w:ind w:left="-108" w:right="-30"/>
              <w:jc w:val="right"/>
              <w:rPr>
                <w:rFonts w:ascii="Arial Narrow" w:hAnsi="Arial Narrow"/>
                <w:b/>
                <w:bCs/>
                <w:color w:val="000000" w:themeColor="text1"/>
                <w:sz w:val="19"/>
                <w:szCs w:val="19"/>
                <w:lang w:val="en-PH" w:eastAsia="en-PH"/>
              </w:rPr>
            </w:pPr>
            <w:r w:rsidRPr="009E35ED">
              <w:rPr>
                <w:rFonts w:ascii="Arial Narrow" w:hAnsi="Arial Narrow"/>
                <w:b/>
                <w:bCs/>
                <w:color w:val="000000" w:themeColor="text1"/>
                <w:sz w:val="19"/>
                <w:szCs w:val="19"/>
                <w:lang w:val="en-PH" w:eastAsia="en-PH"/>
              </w:rPr>
              <w:t>Prize</w:t>
            </w:r>
          </w:p>
        </w:tc>
        <w:tc>
          <w:tcPr>
            <w:tcW w:w="1530" w:type="dxa"/>
            <w:tcBorders>
              <w:top w:val="single" w:sz="4" w:space="0" w:color="auto"/>
              <w:left w:val="nil"/>
              <w:bottom w:val="single" w:sz="4" w:space="0" w:color="auto"/>
              <w:right w:val="nil"/>
            </w:tcBorders>
            <w:shd w:val="clear" w:color="auto" w:fill="auto"/>
            <w:noWrap/>
          </w:tcPr>
          <w:p w14:paraId="737625C2" w14:textId="77777777" w:rsidR="009F04A8" w:rsidRPr="009E35ED" w:rsidRDefault="009F04A8" w:rsidP="00AD3D41">
            <w:pPr>
              <w:ind w:left="-108" w:right="-77"/>
              <w:jc w:val="right"/>
              <w:rPr>
                <w:rFonts w:ascii="Arial Narrow" w:hAnsi="Arial Narrow"/>
                <w:b/>
                <w:bCs/>
                <w:color w:val="000000" w:themeColor="text1"/>
                <w:sz w:val="19"/>
                <w:szCs w:val="19"/>
                <w:lang w:val="en-PH" w:eastAsia="en-PH"/>
              </w:rPr>
            </w:pPr>
            <w:r w:rsidRPr="009E35ED">
              <w:rPr>
                <w:rFonts w:ascii="Arial Narrow" w:hAnsi="Arial Narrow"/>
                <w:b/>
                <w:bCs/>
                <w:color w:val="000000" w:themeColor="text1"/>
                <w:sz w:val="19"/>
                <w:szCs w:val="19"/>
                <w:lang w:val="en-PH" w:eastAsia="en-PH"/>
              </w:rPr>
              <w:t>Total</w:t>
            </w:r>
          </w:p>
        </w:tc>
      </w:tr>
      <w:tr w:rsidR="0098069A" w:rsidRPr="009E35ED" w14:paraId="2937E12D" w14:textId="77777777" w:rsidTr="00F10767">
        <w:trPr>
          <w:trHeight w:val="259"/>
        </w:trPr>
        <w:tc>
          <w:tcPr>
            <w:tcW w:w="2610" w:type="dxa"/>
            <w:tcBorders>
              <w:top w:val="single" w:sz="4" w:space="0" w:color="auto"/>
              <w:left w:val="nil"/>
              <w:bottom w:val="single" w:sz="4" w:space="0" w:color="auto"/>
              <w:right w:val="nil"/>
            </w:tcBorders>
            <w:shd w:val="clear" w:color="auto" w:fill="auto"/>
            <w:noWrap/>
            <w:hideMark/>
          </w:tcPr>
          <w:p w14:paraId="31A2F93E" w14:textId="77777777" w:rsidR="0098069A" w:rsidRPr="009E35ED" w:rsidRDefault="0098069A" w:rsidP="0098069A">
            <w:pPr>
              <w:ind w:left="-90"/>
              <w:jc w:val="left"/>
              <w:rPr>
                <w:rFonts w:ascii="Arial Narrow" w:hAnsi="Arial Narrow"/>
                <w:b/>
                <w:bCs/>
                <w:color w:val="000000" w:themeColor="text1"/>
                <w:sz w:val="20"/>
                <w:szCs w:val="20"/>
                <w:lang w:val="en-PH" w:eastAsia="en-PH"/>
              </w:rPr>
            </w:pPr>
            <w:r w:rsidRPr="009E35ED">
              <w:rPr>
                <w:rFonts w:ascii="Arial Narrow" w:hAnsi="Arial Narrow"/>
                <w:b/>
                <w:bCs/>
                <w:color w:val="000000" w:themeColor="text1"/>
                <w:sz w:val="20"/>
                <w:szCs w:val="20"/>
                <w:lang w:val="en-PH" w:eastAsia="en-PH"/>
              </w:rPr>
              <w:t>Retail Receipts</w:t>
            </w:r>
          </w:p>
        </w:tc>
        <w:tc>
          <w:tcPr>
            <w:tcW w:w="1601" w:type="dxa"/>
            <w:tcBorders>
              <w:top w:val="single" w:sz="4" w:space="0" w:color="auto"/>
              <w:left w:val="nil"/>
              <w:bottom w:val="single" w:sz="4" w:space="0" w:color="auto"/>
              <w:right w:val="nil"/>
            </w:tcBorders>
            <w:shd w:val="clear" w:color="auto" w:fill="auto"/>
            <w:noWrap/>
            <w:hideMark/>
          </w:tcPr>
          <w:p w14:paraId="5440814F" w14:textId="78E40FF1" w:rsidR="0098069A" w:rsidRPr="009E35ED" w:rsidRDefault="0098069A" w:rsidP="0098069A">
            <w:pPr>
              <w:ind w:left="-108" w:right="-108"/>
              <w:jc w:val="right"/>
              <w:rPr>
                <w:rFonts w:ascii="Arial Narrow" w:hAnsi="Arial Narrow"/>
                <w:b/>
                <w:bCs/>
                <w:color w:val="000000" w:themeColor="text1"/>
                <w:sz w:val="20"/>
                <w:szCs w:val="20"/>
                <w:lang w:val="en-PH" w:eastAsia="en-PH"/>
              </w:rPr>
            </w:pPr>
            <w:r w:rsidRPr="009E35ED">
              <w:rPr>
                <w:rFonts w:ascii="Arial Narrow" w:hAnsi="Arial Narrow"/>
                <w:b/>
                <w:bCs/>
                <w:color w:val="000000"/>
                <w:sz w:val="20"/>
                <w:szCs w:val="20"/>
                <w:lang w:val="en-PH" w:eastAsia="en-PH"/>
              </w:rPr>
              <w:t>8,620,169,317</w:t>
            </w:r>
          </w:p>
        </w:tc>
        <w:tc>
          <w:tcPr>
            <w:tcW w:w="1512" w:type="dxa"/>
            <w:tcBorders>
              <w:top w:val="single" w:sz="4" w:space="0" w:color="auto"/>
              <w:left w:val="nil"/>
              <w:bottom w:val="single" w:sz="4" w:space="0" w:color="auto"/>
              <w:right w:val="nil"/>
            </w:tcBorders>
            <w:shd w:val="clear" w:color="auto" w:fill="auto"/>
            <w:noWrap/>
            <w:hideMark/>
          </w:tcPr>
          <w:p w14:paraId="49AD9FF8" w14:textId="60447C25" w:rsidR="0098069A" w:rsidRPr="009E35ED" w:rsidRDefault="0098069A" w:rsidP="0098069A">
            <w:pPr>
              <w:ind w:left="-108" w:right="-108"/>
              <w:jc w:val="right"/>
              <w:rPr>
                <w:rFonts w:ascii="Arial Narrow" w:hAnsi="Arial Narrow"/>
                <w:b/>
                <w:bCs/>
                <w:color w:val="000000" w:themeColor="text1"/>
                <w:sz w:val="20"/>
                <w:szCs w:val="20"/>
                <w:lang w:val="en-PH" w:eastAsia="en-PH"/>
              </w:rPr>
            </w:pPr>
            <w:r w:rsidRPr="009E35ED">
              <w:rPr>
                <w:rFonts w:ascii="Arial Narrow" w:hAnsi="Arial Narrow"/>
                <w:b/>
                <w:bCs/>
                <w:color w:val="000000"/>
                <w:sz w:val="20"/>
                <w:szCs w:val="20"/>
                <w:lang w:val="en-PH" w:eastAsia="en-PH"/>
              </w:rPr>
              <w:t>17,240,338,635</w:t>
            </w:r>
          </w:p>
        </w:tc>
        <w:tc>
          <w:tcPr>
            <w:tcW w:w="1424" w:type="dxa"/>
            <w:tcBorders>
              <w:top w:val="single" w:sz="4" w:space="0" w:color="auto"/>
              <w:left w:val="nil"/>
              <w:bottom w:val="single" w:sz="4" w:space="0" w:color="auto"/>
              <w:right w:val="nil"/>
            </w:tcBorders>
            <w:shd w:val="clear" w:color="auto" w:fill="auto"/>
            <w:noWrap/>
            <w:hideMark/>
          </w:tcPr>
          <w:p w14:paraId="24DED8FE" w14:textId="7935C7AD" w:rsidR="0098069A" w:rsidRPr="009E35ED" w:rsidRDefault="0098069A" w:rsidP="0098069A">
            <w:pPr>
              <w:ind w:left="-108" w:right="-30"/>
              <w:jc w:val="right"/>
              <w:rPr>
                <w:rFonts w:ascii="Arial Narrow" w:hAnsi="Arial Narrow"/>
                <w:b/>
                <w:bCs/>
                <w:color w:val="000000" w:themeColor="text1"/>
                <w:sz w:val="20"/>
                <w:szCs w:val="20"/>
                <w:lang w:val="en-PH" w:eastAsia="en-PH"/>
              </w:rPr>
            </w:pPr>
            <w:r w:rsidRPr="009E35ED">
              <w:rPr>
                <w:rFonts w:ascii="Arial Narrow" w:hAnsi="Arial Narrow"/>
                <w:b/>
                <w:bCs/>
                <w:color w:val="000000"/>
                <w:sz w:val="20"/>
                <w:szCs w:val="20"/>
                <w:lang w:val="en-PH" w:eastAsia="en-PH"/>
              </w:rPr>
              <w:t>31,607,287,49</w:t>
            </w:r>
            <w:r w:rsidR="00386174" w:rsidRPr="009E35ED">
              <w:rPr>
                <w:rFonts w:ascii="Arial Narrow" w:hAnsi="Arial Narrow"/>
                <w:b/>
                <w:bCs/>
                <w:color w:val="000000"/>
                <w:sz w:val="20"/>
                <w:szCs w:val="20"/>
                <w:lang w:val="en-PH" w:eastAsia="en-PH"/>
              </w:rPr>
              <w:t>8</w:t>
            </w:r>
          </w:p>
        </w:tc>
        <w:tc>
          <w:tcPr>
            <w:tcW w:w="1530" w:type="dxa"/>
            <w:tcBorders>
              <w:top w:val="single" w:sz="4" w:space="0" w:color="auto"/>
              <w:left w:val="nil"/>
              <w:bottom w:val="single" w:sz="4" w:space="0" w:color="auto"/>
              <w:right w:val="nil"/>
            </w:tcBorders>
            <w:shd w:val="clear" w:color="auto" w:fill="auto"/>
            <w:noWrap/>
            <w:hideMark/>
          </w:tcPr>
          <w:p w14:paraId="14375155" w14:textId="59E3F17A" w:rsidR="0098069A" w:rsidRPr="009E35ED" w:rsidRDefault="0098069A" w:rsidP="0098069A">
            <w:pPr>
              <w:ind w:left="-108" w:right="-77"/>
              <w:jc w:val="right"/>
              <w:rPr>
                <w:rFonts w:ascii="Arial Narrow" w:hAnsi="Arial Narrow"/>
                <w:b/>
                <w:bCs/>
                <w:color w:val="000000" w:themeColor="text1"/>
                <w:sz w:val="20"/>
                <w:szCs w:val="20"/>
                <w:lang w:val="en-PH" w:eastAsia="en-PH"/>
              </w:rPr>
            </w:pPr>
            <w:r w:rsidRPr="009E35ED">
              <w:rPr>
                <w:rFonts w:ascii="Arial Narrow" w:hAnsi="Arial Narrow" w:cs="Calibri"/>
                <w:b/>
                <w:color w:val="000000"/>
                <w:sz w:val="20"/>
                <w:szCs w:val="20"/>
              </w:rPr>
              <w:t>57,467,795,450</w:t>
            </w:r>
          </w:p>
        </w:tc>
      </w:tr>
      <w:tr w:rsidR="0098069A" w:rsidRPr="009E35ED" w14:paraId="1F8ADE16" w14:textId="77777777" w:rsidTr="00F10767">
        <w:trPr>
          <w:trHeight w:val="259"/>
        </w:trPr>
        <w:tc>
          <w:tcPr>
            <w:tcW w:w="2610" w:type="dxa"/>
            <w:tcBorders>
              <w:top w:val="single" w:sz="4" w:space="0" w:color="auto"/>
              <w:left w:val="nil"/>
              <w:bottom w:val="single" w:sz="4" w:space="0" w:color="auto"/>
              <w:right w:val="nil"/>
            </w:tcBorders>
            <w:shd w:val="clear" w:color="auto" w:fill="auto"/>
            <w:noWrap/>
            <w:hideMark/>
          </w:tcPr>
          <w:p w14:paraId="5FC65722" w14:textId="2736242A" w:rsidR="0098069A" w:rsidRPr="009E35ED" w:rsidRDefault="0098069A" w:rsidP="0098069A">
            <w:pPr>
              <w:ind w:left="-90"/>
              <w:jc w:val="left"/>
              <w:rPr>
                <w:rFonts w:ascii="Arial Narrow" w:hAnsi="Arial Narrow"/>
                <w:color w:val="000000" w:themeColor="text1"/>
                <w:sz w:val="19"/>
                <w:szCs w:val="19"/>
                <w:lang w:val="en-PH" w:eastAsia="en-PH"/>
              </w:rPr>
            </w:pPr>
            <w:r w:rsidRPr="009E35ED">
              <w:rPr>
                <w:rFonts w:ascii="Arial Narrow" w:hAnsi="Arial Narrow"/>
                <w:color w:val="000000" w:themeColor="text1"/>
                <w:sz w:val="19"/>
                <w:szCs w:val="19"/>
                <w:lang w:val="en-PH" w:eastAsia="en-PH"/>
              </w:rPr>
              <w:t xml:space="preserve">Less: Printing </w:t>
            </w:r>
            <w:r w:rsidR="00F93FBC">
              <w:rPr>
                <w:rFonts w:ascii="Arial Narrow" w:hAnsi="Arial Narrow"/>
                <w:color w:val="000000" w:themeColor="text1"/>
                <w:sz w:val="19"/>
                <w:szCs w:val="19"/>
                <w:lang w:val="en-PH" w:eastAsia="en-PH"/>
              </w:rPr>
              <w:t>c</w:t>
            </w:r>
            <w:r w:rsidRPr="009E35ED">
              <w:rPr>
                <w:rFonts w:ascii="Arial Narrow" w:hAnsi="Arial Narrow"/>
                <w:color w:val="000000" w:themeColor="text1"/>
                <w:sz w:val="19"/>
                <w:szCs w:val="19"/>
                <w:lang w:val="en-PH" w:eastAsia="en-PH"/>
              </w:rPr>
              <w:t>ost</w:t>
            </w:r>
          </w:p>
        </w:tc>
        <w:tc>
          <w:tcPr>
            <w:tcW w:w="1601" w:type="dxa"/>
            <w:tcBorders>
              <w:top w:val="single" w:sz="4" w:space="0" w:color="auto"/>
              <w:left w:val="nil"/>
              <w:bottom w:val="single" w:sz="4" w:space="0" w:color="auto"/>
              <w:right w:val="nil"/>
            </w:tcBorders>
            <w:shd w:val="clear" w:color="auto" w:fill="auto"/>
            <w:noWrap/>
            <w:hideMark/>
          </w:tcPr>
          <w:p w14:paraId="5709A0BF" w14:textId="18B3AF9D" w:rsidR="0098069A" w:rsidRPr="009E35ED" w:rsidRDefault="0098069A" w:rsidP="0098069A">
            <w:pPr>
              <w:ind w:left="-108" w:right="-108"/>
              <w:jc w:val="right"/>
              <w:rPr>
                <w:rFonts w:ascii="Arial Narrow" w:hAnsi="Arial Narrow"/>
                <w:color w:val="000000" w:themeColor="text1"/>
                <w:sz w:val="20"/>
                <w:szCs w:val="20"/>
                <w:lang w:val="en-PH" w:eastAsia="en-PH"/>
              </w:rPr>
            </w:pPr>
            <w:r w:rsidRPr="009E35ED">
              <w:rPr>
                <w:rFonts w:ascii="Arial Narrow" w:hAnsi="Arial Narrow"/>
                <w:sz w:val="20"/>
                <w:szCs w:val="20"/>
              </w:rPr>
              <w:t xml:space="preserve"> 172,403,386 </w:t>
            </w:r>
          </w:p>
        </w:tc>
        <w:tc>
          <w:tcPr>
            <w:tcW w:w="1512" w:type="dxa"/>
            <w:tcBorders>
              <w:top w:val="single" w:sz="4" w:space="0" w:color="auto"/>
              <w:left w:val="nil"/>
              <w:bottom w:val="single" w:sz="4" w:space="0" w:color="auto"/>
              <w:right w:val="nil"/>
            </w:tcBorders>
            <w:shd w:val="clear" w:color="auto" w:fill="auto"/>
            <w:noWrap/>
            <w:hideMark/>
          </w:tcPr>
          <w:p w14:paraId="2768A0B8" w14:textId="4064C8CA" w:rsidR="0098069A" w:rsidRPr="009E35ED" w:rsidRDefault="0098069A" w:rsidP="0098069A">
            <w:pPr>
              <w:ind w:left="-108" w:right="-108"/>
              <w:jc w:val="right"/>
              <w:rPr>
                <w:rFonts w:ascii="Arial Narrow" w:hAnsi="Arial Narrow"/>
                <w:color w:val="000000" w:themeColor="text1"/>
                <w:sz w:val="20"/>
                <w:szCs w:val="20"/>
                <w:lang w:val="en-PH" w:eastAsia="en-PH"/>
              </w:rPr>
            </w:pPr>
            <w:r w:rsidRPr="009E35ED">
              <w:rPr>
                <w:rFonts w:ascii="Arial Narrow" w:hAnsi="Arial Narrow"/>
                <w:sz w:val="20"/>
                <w:szCs w:val="20"/>
              </w:rPr>
              <w:t xml:space="preserve"> 344,806,773 </w:t>
            </w:r>
          </w:p>
        </w:tc>
        <w:tc>
          <w:tcPr>
            <w:tcW w:w="1424" w:type="dxa"/>
            <w:tcBorders>
              <w:top w:val="single" w:sz="4" w:space="0" w:color="auto"/>
              <w:left w:val="nil"/>
              <w:bottom w:val="single" w:sz="4" w:space="0" w:color="auto"/>
              <w:right w:val="nil"/>
            </w:tcBorders>
            <w:shd w:val="clear" w:color="auto" w:fill="auto"/>
            <w:noWrap/>
            <w:hideMark/>
          </w:tcPr>
          <w:p w14:paraId="73EA8ACF" w14:textId="7577D468" w:rsidR="0098069A" w:rsidRPr="009E35ED" w:rsidRDefault="0098069A" w:rsidP="0098069A">
            <w:pPr>
              <w:ind w:left="-108" w:right="-30"/>
              <w:jc w:val="right"/>
              <w:rPr>
                <w:rFonts w:ascii="Arial Narrow" w:hAnsi="Arial Narrow"/>
                <w:color w:val="000000" w:themeColor="text1"/>
                <w:sz w:val="20"/>
                <w:szCs w:val="20"/>
                <w:lang w:val="en-PH" w:eastAsia="en-PH"/>
              </w:rPr>
            </w:pPr>
            <w:r w:rsidRPr="009E35ED">
              <w:rPr>
                <w:rFonts w:ascii="Arial Narrow" w:hAnsi="Arial Narrow"/>
                <w:sz w:val="20"/>
                <w:szCs w:val="20"/>
              </w:rPr>
              <w:t xml:space="preserve"> 632,145,750 </w:t>
            </w:r>
          </w:p>
        </w:tc>
        <w:tc>
          <w:tcPr>
            <w:tcW w:w="1530" w:type="dxa"/>
            <w:tcBorders>
              <w:top w:val="single" w:sz="4" w:space="0" w:color="auto"/>
              <w:left w:val="nil"/>
              <w:bottom w:val="single" w:sz="4" w:space="0" w:color="auto"/>
              <w:right w:val="nil"/>
            </w:tcBorders>
            <w:shd w:val="clear" w:color="auto" w:fill="auto"/>
            <w:noWrap/>
            <w:hideMark/>
          </w:tcPr>
          <w:p w14:paraId="07DC0A7C" w14:textId="111C909F" w:rsidR="0098069A" w:rsidRPr="009E35ED" w:rsidRDefault="0098069A" w:rsidP="0098069A">
            <w:pPr>
              <w:ind w:left="-108" w:right="-77"/>
              <w:jc w:val="right"/>
              <w:rPr>
                <w:rFonts w:ascii="Arial Narrow" w:hAnsi="Arial Narrow"/>
                <w:color w:val="000000" w:themeColor="text1"/>
                <w:sz w:val="20"/>
                <w:szCs w:val="20"/>
                <w:lang w:val="en-PH" w:eastAsia="en-PH"/>
              </w:rPr>
            </w:pPr>
            <w:r w:rsidRPr="009E35ED">
              <w:rPr>
                <w:rFonts w:ascii="Arial Narrow" w:hAnsi="Arial Narrow"/>
                <w:sz w:val="20"/>
                <w:szCs w:val="20"/>
              </w:rPr>
              <w:t xml:space="preserve"> 1,149,355,909 </w:t>
            </w:r>
          </w:p>
        </w:tc>
      </w:tr>
      <w:tr w:rsidR="0098069A" w:rsidRPr="009E35ED" w14:paraId="6F1D158F" w14:textId="77777777" w:rsidTr="00F10767">
        <w:trPr>
          <w:trHeight w:val="259"/>
        </w:trPr>
        <w:tc>
          <w:tcPr>
            <w:tcW w:w="2610" w:type="dxa"/>
            <w:tcBorders>
              <w:top w:val="single" w:sz="4" w:space="0" w:color="auto"/>
              <w:left w:val="nil"/>
              <w:bottom w:val="nil"/>
              <w:right w:val="nil"/>
            </w:tcBorders>
            <w:shd w:val="clear" w:color="auto" w:fill="auto"/>
            <w:noWrap/>
            <w:hideMark/>
          </w:tcPr>
          <w:p w14:paraId="2D76BDD2" w14:textId="77777777" w:rsidR="0098069A" w:rsidRPr="009E35ED" w:rsidRDefault="0098069A" w:rsidP="0098069A">
            <w:pPr>
              <w:ind w:left="-90"/>
              <w:jc w:val="left"/>
              <w:rPr>
                <w:rFonts w:ascii="Arial Narrow" w:hAnsi="Arial Narrow"/>
                <w:b/>
                <w:bCs/>
                <w:color w:val="000000" w:themeColor="text1"/>
                <w:sz w:val="19"/>
                <w:szCs w:val="19"/>
                <w:lang w:val="en-PH" w:eastAsia="en-PH"/>
              </w:rPr>
            </w:pPr>
            <w:r w:rsidRPr="009E35ED">
              <w:rPr>
                <w:rFonts w:ascii="Arial Narrow" w:hAnsi="Arial Narrow"/>
                <w:b/>
                <w:bCs/>
                <w:color w:val="000000" w:themeColor="text1"/>
                <w:sz w:val="19"/>
                <w:szCs w:val="19"/>
                <w:lang w:val="en-PH" w:eastAsia="en-PH"/>
              </w:rPr>
              <w:t>Net Retail Receipts</w:t>
            </w:r>
          </w:p>
        </w:tc>
        <w:tc>
          <w:tcPr>
            <w:tcW w:w="1601" w:type="dxa"/>
            <w:tcBorders>
              <w:top w:val="single" w:sz="4" w:space="0" w:color="auto"/>
              <w:left w:val="nil"/>
              <w:bottom w:val="nil"/>
              <w:right w:val="nil"/>
            </w:tcBorders>
            <w:shd w:val="clear" w:color="auto" w:fill="auto"/>
            <w:noWrap/>
            <w:hideMark/>
          </w:tcPr>
          <w:p w14:paraId="3F5CF43C" w14:textId="0FE4DA8A" w:rsidR="0098069A" w:rsidRPr="009E35ED" w:rsidRDefault="0098069A" w:rsidP="0098069A">
            <w:pPr>
              <w:ind w:left="-108" w:right="-108"/>
              <w:jc w:val="right"/>
              <w:rPr>
                <w:rFonts w:ascii="Arial Narrow" w:hAnsi="Arial Narrow"/>
                <w:b/>
                <w:bCs/>
                <w:color w:val="000000" w:themeColor="text1"/>
                <w:sz w:val="20"/>
                <w:szCs w:val="20"/>
                <w:lang w:val="en-PH" w:eastAsia="en-PH"/>
              </w:rPr>
            </w:pPr>
            <w:r w:rsidRPr="009E35ED">
              <w:rPr>
                <w:rFonts w:ascii="Arial Narrow" w:hAnsi="Arial Narrow"/>
                <w:b/>
                <w:sz w:val="20"/>
                <w:szCs w:val="20"/>
              </w:rPr>
              <w:t>8,447,765,931</w:t>
            </w:r>
          </w:p>
        </w:tc>
        <w:tc>
          <w:tcPr>
            <w:tcW w:w="1512" w:type="dxa"/>
            <w:tcBorders>
              <w:top w:val="single" w:sz="4" w:space="0" w:color="auto"/>
              <w:left w:val="nil"/>
              <w:bottom w:val="nil"/>
              <w:right w:val="nil"/>
            </w:tcBorders>
            <w:shd w:val="clear" w:color="auto" w:fill="auto"/>
            <w:noWrap/>
            <w:hideMark/>
          </w:tcPr>
          <w:p w14:paraId="6C127E8E" w14:textId="59A08B24" w:rsidR="0098069A" w:rsidRPr="009E35ED" w:rsidRDefault="0098069A" w:rsidP="0098069A">
            <w:pPr>
              <w:ind w:left="-108" w:right="-108"/>
              <w:jc w:val="right"/>
              <w:rPr>
                <w:rFonts w:ascii="Arial Narrow" w:hAnsi="Arial Narrow"/>
                <w:b/>
                <w:bCs/>
                <w:color w:val="000000" w:themeColor="text1"/>
                <w:sz w:val="20"/>
                <w:szCs w:val="20"/>
                <w:lang w:val="en-PH" w:eastAsia="en-PH"/>
              </w:rPr>
            </w:pPr>
            <w:r w:rsidRPr="009E35ED">
              <w:rPr>
                <w:rFonts w:ascii="Arial Narrow" w:hAnsi="Arial Narrow"/>
                <w:b/>
                <w:sz w:val="20"/>
                <w:szCs w:val="20"/>
              </w:rPr>
              <w:t>16,895,531,862</w:t>
            </w:r>
          </w:p>
        </w:tc>
        <w:tc>
          <w:tcPr>
            <w:tcW w:w="1424" w:type="dxa"/>
            <w:tcBorders>
              <w:top w:val="single" w:sz="4" w:space="0" w:color="auto"/>
              <w:left w:val="nil"/>
              <w:bottom w:val="nil"/>
              <w:right w:val="nil"/>
            </w:tcBorders>
            <w:shd w:val="clear" w:color="auto" w:fill="auto"/>
            <w:noWrap/>
            <w:hideMark/>
          </w:tcPr>
          <w:p w14:paraId="1C8E08D8" w14:textId="7F06C7F4" w:rsidR="0098069A" w:rsidRPr="009E35ED" w:rsidRDefault="0098069A" w:rsidP="0098069A">
            <w:pPr>
              <w:ind w:left="-108" w:right="-30"/>
              <w:jc w:val="right"/>
              <w:rPr>
                <w:rFonts w:ascii="Arial Narrow" w:hAnsi="Arial Narrow"/>
                <w:b/>
                <w:bCs/>
                <w:color w:val="000000" w:themeColor="text1"/>
                <w:sz w:val="20"/>
                <w:szCs w:val="20"/>
                <w:lang w:val="en-PH" w:eastAsia="en-PH"/>
              </w:rPr>
            </w:pPr>
            <w:r w:rsidRPr="009E35ED">
              <w:rPr>
                <w:rFonts w:ascii="Arial Narrow" w:hAnsi="Arial Narrow"/>
                <w:b/>
                <w:sz w:val="20"/>
                <w:szCs w:val="20"/>
              </w:rPr>
              <w:t>30,975,141,748</w:t>
            </w:r>
          </w:p>
        </w:tc>
        <w:tc>
          <w:tcPr>
            <w:tcW w:w="1530" w:type="dxa"/>
            <w:tcBorders>
              <w:top w:val="single" w:sz="4" w:space="0" w:color="auto"/>
              <w:left w:val="nil"/>
              <w:bottom w:val="nil"/>
              <w:right w:val="nil"/>
            </w:tcBorders>
            <w:shd w:val="clear" w:color="auto" w:fill="auto"/>
            <w:noWrap/>
            <w:hideMark/>
          </w:tcPr>
          <w:p w14:paraId="0FF618AB" w14:textId="4231E0B7" w:rsidR="0098069A" w:rsidRPr="009E35ED" w:rsidRDefault="0098069A" w:rsidP="0098069A">
            <w:pPr>
              <w:ind w:left="-108" w:right="-77"/>
              <w:jc w:val="right"/>
              <w:rPr>
                <w:rFonts w:ascii="Arial Narrow" w:hAnsi="Arial Narrow"/>
                <w:b/>
                <w:bCs/>
                <w:color w:val="000000" w:themeColor="text1"/>
                <w:sz w:val="20"/>
                <w:szCs w:val="20"/>
                <w:lang w:val="en-PH" w:eastAsia="en-PH"/>
              </w:rPr>
            </w:pPr>
            <w:r w:rsidRPr="009E35ED">
              <w:rPr>
                <w:rFonts w:ascii="Arial Narrow" w:hAnsi="Arial Narrow"/>
                <w:b/>
                <w:sz w:val="20"/>
                <w:szCs w:val="20"/>
              </w:rPr>
              <w:t>56,318,439,541</w:t>
            </w:r>
          </w:p>
        </w:tc>
      </w:tr>
      <w:tr w:rsidR="0098069A" w:rsidRPr="009E35ED" w14:paraId="6687FA07" w14:textId="77777777" w:rsidTr="00F10767">
        <w:trPr>
          <w:trHeight w:val="259"/>
        </w:trPr>
        <w:tc>
          <w:tcPr>
            <w:tcW w:w="2610" w:type="dxa"/>
            <w:tcBorders>
              <w:top w:val="nil"/>
              <w:left w:val="nil"/>
              <w:right w:val="nil"/>
            </w:tcBorders>
            <w:shd w:val="clear" w:color="auto" w:fill="auto"/>
            <w:noWrap/>
            <w:hideMark/>
          </w:tcPr>
          <w:p w14:paraId="49D10D0E" w14:textId="63162D7B" w:rsidR="0098069A" w:rsidRPr="009E35ED" w:rsidRDefault="0098069A" w:rsidP="0098069A">
            <w:pPr>
              <w:ind w:left="-90"/>
              <w:jc w:val="left"/>
              <w:rPr>
                <w:rFonts w:ascii="Arial Narrow" w:hAnsi="Arial Narrow"/>
                <w:color w:val="000000" w:themeColor="text1"/>
                <w:sz w:val="19"/>
                <w:szCs w:val="19"/>
                <w:lang w:val="en-PH" w:eastAsia="en-PH"/>
              </w:rPr>
            </w:pPr>
            <w:r w:rsidRPr="009E35ED">
              <w:rPr>
                <w:rFonts w:ascii="Arial Narrow" w:hAnsi="Arial Narrow"/>
                <w:color w:val="000000" w:themeColor="text1"/>
                <w:sz w:val="19"/>
                <w:szCs w:val="19"/>
                <w:lang w:val="en-PH" w:eastAsia="en-PH"/>
              </w:rPr>
              <w:t xml:space="preserve">Add: 2% Printing </w:t>
            </w:r>
            <w:r w:rsidR="00F93FBC">
              <w:rPr>
                <w:rFonts w:ascii="Arial Narrow" w:hAnsi="Arial Narrow"/>
                <w:color w:val="000000" w:themeColor="text1"/>
                <w:sz w:val="19"/>
                <w:szCs w:val="19"/>
                <w:lang w:val="en-PH" w:eastAsia="en-PH"/>
              </w:rPr>
              <w:t>c</w:t>
            </w:r>
            <w:r w:rsidRPr="009E35ED">
              <w:rPr>
                <w:rFonts w:ascii="Arial Narrow" w:hAnsi="Arial Narrow"/>
                <w:color w:val="000000" w:themeColor="text1"/>
                <w:sz w:val="19"/>
                <w:szCs w:val="19"/>
                <w:lang w:val="en-PH" w:eastAsia="en-PH"/>
              </w:rPr>
              <w:t>ost</w:t>
            </w:r>
          </w:p>
        </w:tc>
        <w:tc>
          <w:tcPr>
            <w:tcW w:w="1601" w:type="dxa"/>
            <w:tcBorders>
              <w:top w:val="nil"/>
              <w:left w:val="nil"/>
              <w:right w:val="nil"/>
            </w:tcBorders>
            <w:shd w:val="clear" w:color="auto" w:fill="auto"/>
            <w:noWrap/>
            <w:hideMark/>
          </w:tcPr>
          <w:p w14:paraId="73EEA088" w14:textId="0E8696BD" w:rsidR="0098069A" w:rsidRPr="009E35ED" w:rsidRDefault="0098069A" w:rsidP="0098069A">
            <w:pPr>
              <w:ind w:left="-108" w:right="-108"/>
              <w:jc w:val="right"/>
              <w:rPr>
                <w:rFonts w:ascii="Arial Narrow" w:hAnsi="Arial Narrow"/>
                <w:color w:val="000000" w:themeColor="text1"/>
                <w:sz w:val="20"/>
                <w:szCs w:val="20"/>
                <w:lang w:val="en-PH" w:eastAsia="en-PH"/>
              </w:rPr>
            </w:pPr>
            <w:r w:rsidRPr="009E35ED">
              <w:rPr>
                <w:rFonts w:ascii="Arial Narrow" w:hAnsi="Arial Narrow"/>
                <w:sz w:val="20"/>
                <w:szCs w:val="20"/>
              </w:rPr>
              <w:t xml:space="preserve"> 1,149,355,909 </w:t>
            </w:r>
          </w:p>
        </w:tc>
        <w:tc>
          <w:tcPr>
            <w:tcW w:w="1512" w:type="dxa"/>
            <w:tcBorders>
              <w:top w:val="nil"/>
              <w:left w:val="nil"/>
              <w:right w:val="nil"/>
            </w:tcBorders>
            <w:shd w:val="clear" w:color="auto" w:fill="auto"/>
            <w:noWrap/>
            <w:hideMark/>
          </w:tcPr>
          <w:p w14:paraId="2491886E" w14:textId="77777777" w:rsidR="0098069A" w:rsidRPr="009E35ED" w:rsidRDefault="0098069A" w:rsidP="0098069A">
            <w:pPr>
              <w:ind w:left="-108" w:right="-108"/>
              <w:jc w:val="right"/>
              <w:rPr>
                <w:rFonts w:ascii="Arial Narrow" w:hAnsi="Arial Narrow"/>
                <w:color w:val="000000" w:themeColor="text1"/>
                <w:sz w:val="20"/>
                <w:szCs w:val="20"/>
                <w:lang w:val="en-PH" w:eastAsia="en-PH"/>
              </w:rPr>
            </w:pPr>
          </w:p>
        </w:tc>
        <w:tc>
          <w:tcPr>
            <w:tcW w:w="1424" w:type="dxa"/>
            <w:tcBorders>
              <w:top w:val="nil"/>
              <w:left w:val="nil"/>
              <w:right w:val="nil"/>
            </w:tcBorders>
            <w:shd w:val="clear" w:color="auto" w:fill="auto"/>
            <w:noWrap/>
            <w:hideMark/>
          </w:tcPr>
          <w:p w14:paraId="7E2BA3B9" w14:textId="77777777" w:rsidR="0098069A" w:rsidRPr="009E35ED" w:rsidRDefault="0098069A" w:rsidP="0098069A">
            <w:pPr>
              <w:ind w:left="-108" w:right="-30"/>
              <w:jc w:val="right"/>
              <w:rPr>
                <w:rFonts w:ascii="Arial Narrow" w:hAnsi="Arial Narrow"/>
                <w:color w:val="000000" w:themeColor="text1"/>
                <w:sz w:val="20"/>
                <w:szCs w:val="20"/>
                <w:lang w:val="en-PH" w:eastAsia="en-PH"/>
              </w:rPr>
            </w:pPr>
          </w:p>
        </w:tc>
        <w:tc>
          <w:tcPr>
            <w:tcW w:w="1530" w:type="dxa"/>
            <w:tcBorders>
              <w:top w:val="nil"/>
              <w:left w:val="nil"/>
              <w:right w:val="nil"/>
            </w:tcBorders>
            <w:shd w:val="clear" w:color="auto" w:fill="auto"/>
            <w:noWrap/>
            <w:hideMark/>
          </w:tcPr>
          <w:p w14:paraId="6B34E026" w14:textId="5C51845C" w:rsidR="0098069A" w:rsidRPr="009E35ED" w:rsidRDefault="0098069A" w:rsidP="0098069A">
            <w:pPr>
              <w:ind w:left="-108" w:right="-77"/>
              <w:jc w:val="right"/>
              <w:rPr>
                <w:rFonts w:ascii="Arial Narrow" w:hAnsi="Arial Narrow"/>
                <w:color w:val="000000" w:themeColor="text1"/>
                <w:sz w:val="20"/>
                <w:szCs w:val="20"/>
                <w:lang w:val="en-PH" w:eastAsia="en-PH"/>
              </w:rPr>
            </w:pPr>
            <w:r w:rsidRPr="009E35ED">
              <w:rPr>
                <w:rFonts w:ascii="Arial Narrow" w:hAnsi="Arial Narrow"/>
                <w:sz w:val="20"/>
                <w:szCs w:val="20"/>
              </w:rPr>
              <w:t xml:space="preserve"> 1,149,355,909 </w:t>
            </w:r>
          </w:p>
        </w:tc>
      </w:tr>
      <w:tr w:rsidR="0098069A" w:rsidRPr="009E35ED" w14:paraId="0D84E5D1" w14:textId="77777777" w:rsidTr="00F10767">
        <w:trPr>
          <w:trHeight w:val="141"/>
        </w:trPr>
        <w:tc>
          <w:tcPr>
            <w:tcW w:w="2610" w:type="dxa"/>
            <w:tcBorders>
              <w:top w:val="single" w:sz="4" w:space="0" w:color="auto"/>
              <w:left w:val="nil"/>
              <w:bottom w:val="double" w:sz="4" w:space="0" w:color="auto"/>
              <w:right w:val="nil"/>
            </w:tcBorders>
            <w:shd w:val="clear" w:color="auto" w:fill="auto"/>
            <w:noWrap/>
            <w:hideMark/>
          </w:tcPr>
          <w:p w14:paraId="098FD1DC" w14:textId="77777777" w:rsidR="0098069A" w:rsidRPr="009E35ED" w:rsidRDefault="0098069A" w:rsidP="0098069A">
            <w:pPr>
              <w:ind w:left="-90"/>
              <w:jc w:val="left"/>
              <w:rPr>
                <w:rFonts w:ascii="Arial Narrow" w:hAnsi="Arial Narrow"/>
                <w:b/>
                <w:bCs/>
                <w:color w:val="000000" w:themeColor="text1"/>
                <w:sz w:val="19"/>
                <w:szCs w:val="19"/>
                <w:lang w:val="en-PH" w:eastAsia="en-PH"/>
              </w:rPr>
            </w:pPr>
            <w:r w:rsidRPr="009E35ED">
              <w:rPr>
                <w:rFonts w:ascii="Arial Narrow" w:hAnsi="Arial Narrow"/>
                <w:b/>
                <w:bCs/>
                <w:color w:val="000000" w:themeColor="text1"/>
                <w:sz w:val="19"/>
                <w:szCs w:val="19"/>
                <w:lang w:val="en-PH" w:eastAsia="en-PH"/>
              </w:rPr>
              <w:t>Gross Revenue</w:t>
            </w:r>
          </w:p>
        </w:tc>
        <w:tc>
          <w:tcPr>
            <w:tcW w:w="1601" w:type="dxa"/>
            <w:tcBorders>
              <w:top w:val="single" w:sz="4" w:space="0" w:color="auto"/>
              <w:left w:val="nil"/>
              <w:bottom w:val="double" w:sz="4" w:space="0" w:color="auto"/>
              <w:right w:val="nil"/>
            </w:tcBorders>
            <w:shd w:val="clear" w:color="auto" w:fill="auto"/>
            <w:noWrap/>
            <w:hideMark/>
          </w:tcPr>
          <w:p w14:paraId="6D72AD4D" w14:textId="3E4FA400" w:rsidR="0098069A" w:rsidRPr="009E35ED" w:rsidRDefault="0098069A" w:rsidP="0098069A">
            <w:pPr>
              <w:ind w:left="-108" w:right="-108"/>
              <w:jc w:val="right"/>
              <w:rPr>
                <w:rFonts w:ascii="Arial Narrow" w:hAnsi="Arial Narrow"/>
                <w:b/>
                <w:bCs/>
                <w:color w:val="000000" w:themeColor="text1"/>
                <w:sz w:val="20"/>
                <w:szCs w:val="20"/>
                <w:lang w:val="en-PH" w:eastAsia="en-PH"/>
              </w:rPr>
            </w:pPr>
            <w:r w:rsidRPr="009E35ED">
              <w:rPr>
                <w:rFonts w:ascii="Arial Narrow" w:hAnsi="Arial Narrow"/>
                <w:b/>
                <w:sz w:val="20"/>
                <w:szCs w:val="20"/>
              </w:rPr>
              <w:t>9,597,121,840</w:t>
            </w:r>
          </w:p>
        </w:tc>
        <w:tc>
          <w:tcPr>
            <w:tcW w:w="1512" w:type="dxa"/>
            <w:tcBorders>
              <w:top w:val="single" w:sz="4" w:space="0" w:color="auto"/>
              <w:left w:val="nil"/>
              <w:bottom w:val="double" w:sz="4" w:space="0" w:color="auto"/>
              <w:right w:val="nil"/>
            </w:tcBorders>
            <w:shd w:val="clear" w:color="auto" w:fill="auto"/>
            <w:noWrap/>
            <w:hideMark/>
          </w:tcPr>
          <w:p w14:paraId="636F4EA5" w14:textId="10536108" w:rsidR="0098069A" w:rsidRPr="009E35ED" w:rsidRDefault="0098069A" w:rsidP="0098069A">
            <w:pPr>
              <w:ind w:left="-108" w:right="-108"/>
              <w:jc w:val="right"/>
              <w:rPr>
                <w:rFonts w:ascii="Arial Narrow" w:hAnsi="Arial Narrow"/>
                <w:b/>
                <w:bCs/>
                <w:color w:val="000000" w:themeColor="text1"/>
                <w:sz w:val="20"/>
                <w:szCs w:val="20"/>
                <w:lang w:val="en-PH" w:eastAsia="en-PH"/>
              </w:rPr>
            </w:pPr>
            <w:r w:rsidRPr="009E35ED">
              <w:rPr>
                <w:rFonts w:ascii="Arial Narrow" w:hAnsi="Arial Narrow"/>
                <w:b/>
                <w:sz w:val="20"/>
                <w:szCs w:val="20"/>
              </w:rPr>
              <w:t>16,895,531,862</w:t>
            </w:r>
          </w:p>
        </w:tc>
        <w:tc>
          <w:tcPr>
            <w:tcW w:w="1424" w:type="dxa"/>
            <w:tcBorders>
              <w:top w:val="single" w:sz="4" w:space="0" w:color="auto"/>
              <w:left w:val="nil"/>
              <w:bottom w:val="double" w:sz="4" w:space="0" w:color="auto"/>
              <w:right w:val="nil"/>
            </w:tcBorders>
            <w:shd w:val="clear" w:color="auto" w:fill="auto"/>
            <w:noWrap/>
            <w:hideMark/>
          </w:tcPr>
          <w:p w14:paraId="4028EA88" w14:textId="69BE18E4" w:rsidR="0098069A" w:rsidRPr="009E35ED" w:rsidRDefault="0098069A" w:rsidP="0098069A">
            <w:pPr>
              <w:ind w:left="-108" w:right="-30"/>
              <w:jc w:val="right"/>
              <w:rPr>
                <w:rFonts w:ascii="Arial Narrow" w:hAnsi="Arial Narrow"/>
                <w:b/>
                <w:bCs/>
                <w:color w:val="000000" w:themeColor="text1"/>
                <w:sz w:val="20"/>
                <w:szCs w:val="20"/>
                <w:lang w:val="en-PH" w:eastAsia="en-PH"/>
              </w:rPr>
            </w:pPr>
            <w:r w:rsidRPr="009E35ED">
              <w:rPr>
                <w:rFonts w:ascii="Arial Narrow" w:hAnsi="Arial Narrow"/>
                <w:b/>
                <w:sz w:val="20"/>
                <w:szCs w:val="20"/>
              </w:rPr>
              <w:t>30,975,141,748</w:t>
            </w:r>
          </w:p>
        </w:tc>
        <w:tc>
          <w:tcPr>
            <w:tcW w:w="1530" w:type="dxa"/>
            <w:tcBorders>
              <w:top w:val="single" w:sz="4" w:space="0" w:color="auto"/>
              <w:left w:val="nil"/>
              <w:bottom w:val="double" w:sz="4" w:space="0" w:color="auto"/>
              <w:right w:val="nil"/>
            </w:tcBorders>
            <w:shd w:val="clear" w:color="auto" w:fill="auto"/>
            <w:noWrap/>
            <w:hideMark/>
          </w:tcPr>
          <w:p w14:paraId="7CBA2E08" w14:textId="3CCDCA61" w:rsidR="0098069A" w:rsidRPr="009E35ED" w:rsidRDefault="0098069A" w:rsidP="0098069A">
            <w:pPr>
              <w:ind w:left="-108" w:right="-77"/>
              <w:jc w:val="right"/>
              <w:rPr>
                <w:rFonts w:ascii="Arial Narrow" w:hAnsi="Arial Narrow"/>
                <w:b/>
                <w:bCs/>
                <w:color w:val="000000" w:themeColor="text1"/>
                <w:sz w:val="20"/>
                <w:szCs w:val="20"/>
                <w:lang w:val="en-PH" w:eastAsia="en-PH"/>
              </w:rPr>
            </w:pPr>
            <w:r w:rsidRPr="009E35ED">
              <w:rPr>
                <w:rFonts w:ascii="Arial Narrow" w:hAnsi="Arial Narrow"/>
                <w:b/>
                <w:sz w:val="20"/>
                <w:szCs w:val="20"/>
              </w:rPr>
              <w:t>57,467,795,450</w:t>
            </w:r>
          </w:p>
        </w:tc>
      </w:tr>
    </w:tbl>
    <w:p w14:paraId="4DA5594B" w14:textId="77777777" w:rsidR="00A31C96" w:rsidRPr="009E35ED" w:rsidRDefault="00A31C96" w:rsidP="00803F8C">
      <w:pPr>
        <w:ind w:left="0"/>
        <w:rPr>
          <w:rFonts w:ascii="Arial" w:hAnsi="Arial" w:cs="Arial"/>
          <w:color w:val="000000" w:themeColor="text1"/>
          <w:sz w:val="22"/>
          <w:szCs w:val="22"/>
        </w:rPr>
      </w:pPr>
    </w:p>
    <w:p w14:paraId="7A67BD22" w14:textId="1B242673" w:rsidR="0023104A" w:rsidRPr="009E35ED" w:rsidRDefault="00C355E1" w:rsidP="00803F8C">
      <w:pPr>
        <w:ind w:left="0"/>
        <w:rPr>
          <w:rFonts w:ascii="Arial" w:hAnsi="Arial" w:cs="Arial"/>
          <w:color w:val="000000" w:themeColor="text1"/>
          <w:sz w:val="22"/>
          <w:szCs w:val="22"/>
        </w:rPr>
      </w:pPr>
      <w:r w:rsidRPr="009E35ED">
        <w:rPr>
          <w:rFonts w:ascii="Arial" w:hAnsi="Arial" w:cs="Arial"/>
          <w:color w:val="000000" w:themeColor="text1"/>
          <w:sz w:val="22"/>
          <w:szCs w:val="22"/>
        </w:rPr>
        <w:t>PCSO’s retail receipts</w:t>
      </w:r>
      <w:r w:rsidR="0023104A" w:rsidRPr="009E35ED">
        <w:rPr>
          <w:rFonts w:ascii="Arial" w:hAnsi="Arial" w:cs="Arial"/>
          <w:color w:val="000000" w:themeColor="text1"/>
          <w:sz w:val="22"/>
          <w:szCs w:val="22"/>
        </w:rPr>
        <w:t>:</w:t>
      </w:r>
    </w:p>
    <w:p w14:paraId="54E3D3A8" w14:textId="77777777" w:rsidR="004E08F4" w:rsidRPr="009E35ED" w:rsidRDefault="004E08F4" w:rsidP="00803F8C">
      <w:pPr>
        <w:ind w:left="0"/>
        <w:rPr>
          <w:rFonts w:ascii="Arial" w:hAnsi="Arial" w:cs="Arial"/>
          <w:color w:val="000000" w:themeColor="text1"/>
          <w:sz w:val="22"/>
          <w:szCs w:val="22"/>
        </w:rPr>
      </w:pPr>
    </w:p>
    <w:tbl>
      <w:tblPr>
        <w:tblW w:w="8653" w:type="dxa"/>
        <w:tblLook w:val="04A0" w:firstRow="1" w:lastRow="0" w:firstColumn="1" w:lastColumn="0" w:noHBand="0" w:noVBand="1"/>
      </w:tblPr>
      <w:tblGrid>
        <w:gridCol w:w="4230"/>
        <w:gridCol w:w="2335"/>
        <w:gridCol w:w="2088"/>
      </w:tblGrid>
      <w:tr w:rsidR="00997F75" w:rsidRPr="009E35ED" w14:paraId="3E10DC26" w14:textId="77777777" w:rsidTr="00F10767">
        <w:trPr>
          <w:trHeight w:val="338"/>
        </w:trPr>
        <w:tc>
          <w:tcPr>
            <w:tcW w:w="4230" w:type="dxa"/>
            <w:tcBorders>
              <w:top w:val="single" w:sz="4" w:space="0" w:color="auto"/>
              <w:left w:val="nil"/>
              <w:bottom w:val="single" w:sz="4" w:space="0" w:color="auto"/>
              <w:right w:val="nil"/>
            </w:tcBorders>
            <w:shd w:val="clear" w:color="000000" w:fill="FFFFFF"/>
            <w:noWrap/>
            <w:vAlign w:val="bottom"/>
            <w:hideMark/>
          </w:tcPr>
          <w:p w14:paraId="78CFBEEE" w14:textId="77777777" w:rsidR="00BD3091" w:rsidRPr="009E35ED" w:rsidRDefault="00BD3091" w:rsidP="00BD3091">
            <w:pPr>
              <w:rPr>
                <w:rFonts w:ascii="Arial Narrow" w:hAnsi="Arial Narrow" w:cs="Arial"/>
                <w:color w:val="000000" w:themeColor="text1"/>
                <w:sz w:val="22"/>
                <w:szCs w:val="22"/>
                <w:lang w:val="en-PH" w:eastAsia="en-PH"/>
              </w:rPr>
            </w:pPr>
            <w:r w:rsidRPr="009E35ED">
              <w:rPr>
                <w:rFonts w:ascii="Arial Narrow" w:hAnsi="Arial Narrow" w:cs="Arial"/>
                <w:color w:val="000000" w:themeColor="text1"/>
                <w:sz w:val="22"/>
                <w:szCs w:val="22"/>
                <w:lang w:val="en-PH" w:eastAsia="en-PH"/>
              </w:rPr>
              <w:t> </w:t>
            </w:r>
          </w:p>
        </w:tc>
        <w:tc>
          <w:tcPr>
            <w:tcW w:w="2335" w:type="dxa"/>
            <w:tcBorders>
              <w:top w:val="single" w:sz="4" w:space="0" w:color="auto"/>
              <w:left w:val="nil"/>
              <w:bottom w:val="single" w:sz="4" w:space="0" w:color="auto"/>
              <w:right w:val="nil"/>
            </w:tcBorders>
            <w:shd w:val="clear" w:color="000000" w:fill="FFFFFF"/>
            <w:noWrap/>
            <w:vAlign w:val="center"/>
          </w:tcPr>
          <w:p w14:paraId="54DC9AC9" w14:textId="08CE76CF" w:rsidR="00BD3091" w:rsidRPr="009E35ED" w:rsidRDefault="00BD3091" w:rsidP="00BD3091">
            <w:pPr>
              <w:ind w:right="-108"/>
              <w:jc w:val="right"/>
              <w:rPr>
                <w:rFonts w:ascii="Arial Narrow" w:hAnsi="Arial Narrow" w:cs="Arial"/>
                <w:b/>
                <w:bCs/>
                <w:color w:val="000000" w:themeColor="text1"/>
                <w:sz w:val="22"/>
                <w:szCs w:val="22"/>
                <w:lang w:val="en-PH" w:eastAsia="en-PH"/>
              </w:rPr>
            </w:pPr>
            <w:r w:rsidRPr="009E35ED">
              <w:rPr>
                <w:rFonts w:ascii="Arial Narrow" w:hAnsi="Arial Narrow" w:cs="Arial"/>
                <w:b/>
                <w:bCs/>
                <w:color w:val="000000" w:themeColor="text1"/>
                <w:sz w:val="22"/>
                <w:szCs w:val="22"/>
                <w:lang w:val="en-PH" w:eastAsia="en-PH"/>
              </w:rPr>
              <w:t>202</w:t>
            </w:r>
            <w:r w:rsidR="009F04A8" w:rsidRPr="009E35ED">
              <w:rPr>
                <w:rFonts w:ascii="Arial Narrow" w:hAnsi="Arial Narrow" w:cs="Arial"/>
                <w:b/>
                <w:bCs/>
                <w:color w:val="000000" w:themeColor="text1"/>
                <w:sz w:val="22"/>
                <w:szCs w:val="22"/>
                <w:lang w:val="en-PH" w:eastAsia="en-PH"/>
              </w:rPr>
              <w:t>3</w:t>
            </w:r>
          </w:p>
        </w:tc>
        <w:tc>
          <w:tcPr>
            <w:tcW w:w="2088" w:type="dxa"/>
            <w:tcBorders>
              <w:top w:val="single" w:sz="4" w:space="0" w:color="auto"/>
              <w:left w:val="nil"/>
              <w:bottom w:val="single" w:sz="4" w:space="0" w:color="auto"/>
              <w:right w:val="nil"/>
            </w:tcBorders>
            <w:shd w:val="clear" w:color="000000" w:fill="FFFFFF"/>
          </w:tcPr>
          <w:p w14:paraId="107BE7A0" w14:textId="5C0068CE" w:rsidR="00BD3091" w:rsidRPr="009E35ED" w:rsidRDefault="00BD3091" w:rsidP="00BD3091">
            <w:pPr>
              <w:ind w:right="-108"/>
              <w:jc w:val="right"/>
              <w:rPr>
                <w:rFonts w:ascii="Arial Narrow" w:hAnsi="Arial Narrow"/>
                <w:b/>
                <w:color w:val="000000" w:themeColor="text1"/>
                <w:sz w:val="22"/>
                <w:szCs w:val="22"/>
              </w:rPr>
            </w:pPr>
            <w:r w:rsidRPr="009E35ED">
              <w:rPr>
                <w:rFonts w:ascii="Arial Narrow" w:hAnsi="Arial Narrow"/>
                <w:b/>
                <w:color w:val="000000" w:themeColor="text1"/>
                <w:sz w:val="22"/>
                <w:szCs w:val="22"/>
              </w:rPr>
              <w:t>202</w:t>
            </w:r>
            <w:r w:rsidR="009F04A8" w:rsidRPr="009E35ED">
              <w:rPr>
                <w:rFonts w:ascii="Arial Narrow" w:hAnsi="Arial Narrow"/>
                <w:b/>
                <w:color w:val="000000" w:themeColor="text1"/>
                <w:sz w:val="22"/>
                <w:szCs w:val="22"/>
              </w:rPr>
              <w:t>2</w:t>
            </w:r>
          </w:p>
          <w:p w14:paraId="2E2AE145" w14:textId="5171A962" w:rsidR="00BD3091" w:rsidRPr="009E35ED" w:rsidRDefault="00BD3091" w:rsidP="00BD3091">
            <w:pPr>
              <w:ind w:right="-108"/>
              <w:jc w:val="right"/>
              <w:rPr>
                <w:rFonts w:ascii="Arial Narrow" w:hAnsi="Arial Narrow" w:cs="Arial"/>
                <w:b/>
                <w:bCs/>
                <w:color w:val="000000" w:themeColor="text1"/>
                <w:sz w:val="22"/>
                <w:szCs w:val="22"/>
                <w:lang w:val="en-PH" w:eastAsia="en-PH"/>
              </w:rPr>
            </w:pPr>
            <w:r w:rsidRPr="009E35ED">
              <w:rPr>
                <w:rFonts w:ascii="Arial Narrow" w:hAnsi="Arial Narrow"/>
                <w:b/>
                <w:color w:val="000000" w:themeColor="text1"/>
                <w:sz w:val="22"/>
                <w:szCs w:val="22"/>
              </w:rPr>
              <w:t>(As Restated)</w:t>
            </w:r>
          </w:p>
        </w:tc>
      </w:tr>
      <w:tr w:rsidR="00997F75" w:rsidRPr="009E35ED" w14:paraId="7397937E" w14:textId="77777777" w:rsidTr="00F10767">
        <w:trPr>
          <w:trHeight w:val="180"/>
        </w:trPr>
        <w:tc>
          <w:tcPr>
            <w:tcW w:w="4230" w:type="dxa"/>
            <w:tcBorders>
              <w:top w:val="nil"/>
              <w:left w:val="nil"/>
              <w:bottom w:val="nil"/>
              <w:right w:val="nil"/>
            </w:tcBorders>
            <w:shd w:val="clear" w:color="000000" w:fill="FFFFFF"/>
            <w:noWrap/>
            <w:vAlign w:val="bottom"/>
            <w:hideMark/>
          </w:tcPr>
          <w:p w14:paraId="56C2BAF6" w14:textId="77777777" w:rsidR="00993F55" w:rsidRPr="009E35ED" w:rsidRDefault="00993F55" w:rsidP="00993F55">
            <w:pPr>
              <w:ind w:left="-113"/>
              <w:jc w:val="left"/>
              <w:rPr>
                <w:rFonts w:ascii="Arial Narrow" w:hAnsi="Arial Narrow" w:cs="Arial"/>
                <w:color w:val="000000" w:themeColor="text1"/>
                <w:sz w:val="22"/>
                <w:szCs w:val="22"/>
                <w:lang w:val="en-PH" w:eastAsia="en-PH"/>
              </w:rPr>
            </w:pPr>
            <w:r w:rsidRPr="009E35ED">
              <w:rPr>
                <w:rFonts w:ascii="Arial Narrow" w:hAnsi="Arial Narrow" w:cs="Arial"/>
                <w:color w:val="000000" w:themeColor="text1"/>
                <w:sz w:val="22"/>
                <w:szCs w:val="22"/>
                <w:lang w:val="en-PH" w:eastAsia="en-PH"/>
              </w:rPr>
              <w:t>NISP</w:t>
            </w:r>
          </w:p>
        </w:tc>
        <w:tc>
          <w:tcPr>
            <w:tcW w:w="2335" w:type="dxa"/>
            <w:tcBorders>
              <w:top w:val="nil"/>
              <w:left w:val="nil"/>
              <w:bottom w:val="nil"/>
              <w:right w:val="nil"/>
            </w:tcBorders>
            <w:shd w:val="clear" w:color="000000" w:fill="FFFFFF"/>
            <w:noWrap/>
          </w:tcPr>
          <w:p w14:paraId="078B5799" w14:textId="060369D4" w:rsidR="00993F55" w:rsidRPr="009E35ED" w:rsidRDefault="00993F55" w:rsidP="00993F55">
            <w:pPr>
              <w:ind w:left="-23" w:right="-111"/>
              <w:jc w:val="right"/>
              <w:rPr>
                <w:rFonts w:ascii="Arial Narrow" w:hAnsi="Arial Narrow" w:cs="Arial"/>
                <w:color w:val="000000" w:themeColor="text1"/>
                <w:sz w:val="22"/>
                <w:szCs w:val="22"/>
                <w:lang w:val="en-PH" w:eastAsia="en-PH"/>
              </w:rPr>
            </w:pPr>
            <w:r w:rsidRPr="009E35ED">
              <w:rPr>
                <w:rFonts w:ascii="Arial Narrow" w:hAnsi="Arial Narrow"/>
                <w:color w:val="000000" w:themeColor="text1"/>
                <w:sz w:val="22"/>
                <w:szCs w:val="22"/>
              </w:rPr>
              <w:t xml:space="preserve"> 344,249,497 </w:t>
            </w:r>
          </w:p>
        </w:tc>
        <w:tc>
          <w:tcPr>
            <w:tcW w:w="2088" w:type="dxa"/>
            <w:tcBorders>
              <w:top w:val="nil"/>
              <w:left w:val="nil"/>
              <w:bottom w:val="nil"/>
              <w:right w:val="nil"/>
            </w:tcBorders>
            <w:shd w:val="clear" w:color="000000" w:fill="FFFFFF"/>
            <w:noWrap/>
            <w:hideMark/>
          </w:tcPr>
          <w:p w14:paraId="07AC2F19" w14:textId="1D2FC16F" w:rsidR="00993F55" w:rsidRPr="009E35ED" w:rsidRDefault="00273AD8" w:rsidP="00993F55">
            <w:pPr>
              <w:ind w:left="-23" w:right="-108"/>
              <w:jc w:val="right"/>
              <w:rPr>
                <w:rFonts w:ascii="Arial Narrow" w:hAnsi="Arial Narrow" w:cs="Arial"/>
                <w:color w:val="000000" w:themeColor="text1"/>
                <w:sz w:val="22"/>
                <w:szCs w:val="22"/>
                <w:lang w:val="en-PH" w:eastAsia="en-PH"/>
              </w:rPr>
            </w:pPr>
            <w:r w:rsidRPr="009E35ED">
              <w:rPr>
                <w:rFonts w:ascii="Arial Narrow" w:hAnsi="Arial Narrow"/>
                <w:color w:val="000000" w:themeColor="text1"/>
                <w:sz w:val="22"/>
                <w:szCs w:val="22"/>
              </w:rPr>
              <w:t>1,068,849,899</w:t>
            </w:r>
            <w:r w:rsidR="00993F55" w:rsidRPr="009E35ED">
              <w:rPr>
                <w:rFonts w:ascii="Arial Narrow" w:hAnsi="Arial Narrow"/>
                <w:color w:val="000000" w:themeColor="text1"/>
                <w:sz w:val="22"/>
                <w:szCs w:val="22"/>
              </w:rPr>
              <w:t xml:space="preserve"> </w:t>
            </w:r>
          </w:p>
        </w:tc>
      </w:tr>
      <w:tr w:rsidR="00997F75" w:rsidRPr="009E35ED" w14:paraId="28015C14" w14:textId="77777777" w:rsidTr="00F10767">
        <w:trPr>
          <w:trHeight w:val="200"/>
        </w:trPr>
        <w:tc>
          <w:tcPr>
            <w:tcW w:w="4230" w:type="dxa"/>
            <w:tcBorders>
              <w:top w:val="nil"/>
              <w:left w:val="nil"/>
              <w:bottom w:val="nil"/>
              <w:right w:val="nil"/>
            </w:tcBorders>
            <w:shd w:val="clear" w:color="000000" w:fill="FFFFFF"/>
            <w:noWrap/>
            <w:vAlign w:val="bottom"/>
            <w:hideMark/>
          </w:tcPr>
          <w:p w14:paraId="19023892" w14:textId="77777777" w:rsidR="00993F55" w:rsidRPr="009E35ED" w:rsidRDefault="00993F55" w:rsidP="00993F55">
            <w:pPr>
              <w:ind w:left="-113"/>
              <w:jc w:val="left"/>
              <w:rPr>
                <w:rFonts w:ascii="Arial Narrow" w:hAnsi="Arial Narrow" w:cs="Arial"/>
                <w:color w:val="000000" w:themeColor="text1"/>
                <w:sz w:val="22"/>
                <w:szCs w:val="22"/>
                <w:lang w:val="en-PH" w:eastAsia="en-PH"/>
              </w:rPr>
            </w:pPr>
            <w:r w:rsidRPr="009E35ED">
              <w:rPr>
                <w:rFonts w:ascii="Arial Narrow" w:hAnsi="Arial Narrow" w:cs="Arial"/>
                <w:color w:val="000000" w:themeColor="text1"/>
                <w:sz w:val="22"/>
                <w:szCs w:val="22"/>
                <w:lang w:val="en-PH" w:eastAsia="en-PH"/>
              </w:rPr>
              <w:t>STL</w:t>
            </w:r>
          </w:p>
        </w:tc>
        <w:tc>
          <w:tcPr>
            <w:tcW w:w="2335" w:type="dxa"/>
            <w:tcBorders>
              <w:top w:val="nil"/>
              <w:left w:val="nil"/>
              <w:bottom w:val="nil"/>
              <w:right w:val="nil"/>
            </w:tcBorders>
            <w:shd w:val="clear" w:color="000000" w:fill="FFFFFF"/>
            <w:noWrap/>
          </w:tcPr>
          <w:p w14:paraId="0540ECD2" w14:textId="4BFFAF8C" w:rsidR="00993F55" w:rsidRPr="009E35ED" w:rsidRDefault="00993F55" w:rsidP="00993F55">
            <w:pPr>
              <w:ind w:left="-23" w:right="-111"/>
              <w:jc w:val="right"/>
              <w:rPr>
                <w:rFonts w:ascii="Arial Narrow" w:hAnsi="Arial Narrow" w:cs="Arial"/>
                <w:color w:val="000000" w:themeColor="text1"/>
                <w:sz w:val="22"/>
                <w:szCs w:val="22"/>
                <w:lang w:val="en-PH" w:eastAsia="en-PH"/>
              </w:rPr>
            </w:pPr>
            <w:r w:rsidRPr="009E35ED">
              <w:rPr>
                <w:rFonts w:ascii="Arial Narrow" w:hAnsi="Arial Narrow"/>
                <w:color w:val="000000" w:themeColor="text1"/>
                <w:sz w:val="22"/>
                <w:szCs w:val="22"/>
              </w:rPr>
              <w:t xml:space="preserve"> 29,734,364,169 </w:t>
            </w:r>
          </w:p>
        </w:tc>
        <w:tc>
          <w:tcPr>
            <w:tcW w:w="2088" w:type="dxa"/>
            <w:tcBorders>
              <w:top w:val="nil"/>
              <w:left w:val="nil"/>
              <w:bottom w:val="nil"/>
              <w:right w:val="nil"/>
            </w:tcBorders>
            <w:shd w:val="clear" w:color="000000" w:fill="FFFFFF"/>
            <w:noWrap/>
            <w:hideMark/>
          </w:tcPr>
          <w:p w14:paraId="26C9D51C" w14:textId="5D57B044" w:rsidR="00993F55" w:rsidRPr="009E35ED" w:rsidRDefault="00993F55" w:rsidP="00993F55">
            <w:pPr>
              <w:ind w:left="-23" w:right="-108"/>
              <w:jc w:val="right"/>
              <w:rPr>
                <w:rFonts w:ascii="Arial Narrow" w:hAnsi="Arial Narrow" w:cs="Arial"/>
                <w:color w:val="000000" w:themeColor="text1"/>
                <w:sz w:val="22"/>
                <w:szCs w:val="22"/>
                <w:lang w:val="en-PH" w:eastAsia="en-PH"/>
              </w:rPr>
            </w:pPr>
            <w:r w:rsidRPr="009E35ED">
              <w:rPr>
                <w:rFonts w:ascii="Arial Narrow" w:hAnsi="Arial Narrow"/>
                <w:color w:val="000000" w:themeColor="text1"/>
                <w:sz w:val="22"/>
                <w:szCs w:val="22"/>
              </w:rPr>
              <w:t xml:space="preserve"> 28,428,040,573 </w:t>
            </w:r>
          </w:p>
        </w:tc>
      </w:tr>
      <w:tr w:rsidR="00997F75" w:rsidRPr="009E35ED" w14:paraId="6C3C61C0" w14:textId="77777777" w:rsidTr="00F10767">
        <w:trPr>
          <w:trHeight w:val="200"/>
        </w:trPr>
        <w:tc>
          <w:tcPr>
            <w:tcW w:w="4230" w:type="dxa"/>
            <w:tcBorders>
              <w:top w:val="nil"/>
              <w:left w:val="nil"/>
              <w:bottom w:val="nil"/>
              <w:right w:val="nil"/>
            </w:tcBorders>
            <w:shd w:val="clear" w:color="000000" w:fill="FFFFFF"/>
            <w:noWrap/>
            <w:vAlign w:val="bottom"/>
            <w:hideMark/>
          </w:tcPr>
          <w:p w14:paraId="57363AFD" w14:textId="77777777" w:rsidR="00993F55" w:rsidRPr="009E35ED" w:rsidRDefault="00993F55" w:rsidP="00993F55">
            <w:pPr>
              <w:ind w:left="-113"/>
              <w:jc w:val="left"/>
              <w:rPr>
                <w:rFonts w:ascii="Arial Narrow" w:hAnsi="Arial Narrow" w:cs="Arial"/>
                <w:color w:val="000000" w:themeColor="text1"/>
                <w:sz w:val="22"/>
                <w:szCs w:val="22"/>
                <w:lang w:val="en-PH" w:eastAsia="en-PH"/>
              </w:rPr>
            </w:pPr>
            <w:r w:rsidRPr="009E35ED">
              <w:rPr>
                <w:rFonts w:ascii="Arial Narrow" w:hAnsi="Arial Narrow" w:cs="Arial"/>
                <w:color w:val="000000" w:themeColor="text1"/>
                <w:sz w:val="22"/>
                <w:szCs w:val="22"/>
                <w:lang w:val="en-PH" w:eastAsia="en-PH"/>
              </w:rPr>
              <w:t>Keno</w:t>
            </w:r>
          </w:p>
        </w:tc>
        <w:tc>
          <w:tcPr>
            <w:tcW w:w="2335" w:type="dxa"/>
            <w:tcBorders>
              <w:top w:val="nil"/>
              <w:left w:val="nil"/>
              <w:bottom w:val="nil"/>
              <w:right w:val="nil"/>
            </w:tcBorders>
            <w:shd w:val="clear" w:color="000000" w:fill="FFFFFF"/>
            <w:noWrap/>
          </w:tcPr>
          <w:p w14:paraId="5681DFF0" w14:textId="77100B6D" w:rsidR="00993F55" w:rsidRPr="009E35ED" w:rsidRDefault="00F93FBC" w:rsidP="00993F55">
            <w:pPr>
              <w:ind w:left="-23" w:right="-111"/>
              <w:jc w:val="right"/>
              <w:rPr>
                <w:rFonts w:ascii="Arial Narrow" w:hAnsi="Arial Narrow" w:cs="Arial"/>
                <w:color w:val="000000" w:themeColor="text1"/>
                <w:sz w:val="22"/>
                <w:szCs w:val="22"/>
                <w:lang w:val="en-PH" w:eastAsia="en-PH"/>
              </w:rPr>
            </w:pPr>
            <w:r>
              <w:rPr>
                <w:rFonts w:ascii="Arial Narrow" w:hAnsi="Arial Narrow" w:cs="Arial"/>
                <w:color w:val="000000" w:themeColor="text1"/>
                <w:sz w:val="22"/>
                <w:szCs w:val="22"/>
                <w:lang w:val="en-PH" w:eastAsia="en-PH"/>
              </w:rPr>
              <w:t>-</w:t>
            </w:r>
          </w:p>
        </w:tc>
        <w:tc>
          <w:tcPr>
            <w:tcW w:w="2088" w:type="dxa"/>
            <w:tcBorders>
              <w:top w:val="nil"/>
              <w:left w:val="nil"/>
              <w:bottom w:val="nil"/>
              <w:right w:val="nil"/>
            </w:tcBorders>
            <w:shd w:val="clear" w:color="000000" w:fill="FFFFFF"/>
            <w:noWrap/>
            <w:hideMark/>
          </w:tcPr>
          <w:p w14:paraId="4F78E6D5" w14:textId="1309072F" w:rsidR="00993F55" w:rsidRPr="009E35ED" w:rsidRDefault="00993F55" w:rsidP="00273AD8">
            <w:pPr>
              <w:ind w:left="-23" w:right="-108"/>
              <w:jc w:val="right"/>
              <w:rPr>
                <w:rFonts w:ascii="Arial Narrow" w:hAnsi="Arial Narrow" w:cs="Arial"/>
                <w:color w:val="000000" w:themeColor="text1"/>
                <w:sz w:val="22"/>
                <w:szCs w:val="22"/>
                <w:lang w:val="en-PH" w:eastAsia="en-PH"/>
              </w:rPr>
            </w:pPr>
            <w:r w:rsidRPr="009E35ED">
              <w:rPr>
                <w:rFonts w:ascii="Arial Narrow" w:hAnsi="Arial Narrow"/>
                <w:color w:val="000000" w:themeColor="text1"/>
                <w:sz w:val="22"/>
                <w:szCs w:val="22"/>
              </w:rPr>
              <w:t xml:space="preserve"> </w:t>
            </w:r>
            <w:r w:rsidR="00273AD8" w:rsidRPr="009E35ED">
              <w:rPr>
                <w:rFonts w:ascii="Arial Narrow" w:hAnsi="Arial Narrow"/>
                <w:color w:val="000000" w:themeColor="text1"/>
                <w:sz w:val="22"/>
                <w:szCs w:val="22"/>
              </w:rPr>
              <w:t>54,466,788</w:t>
            </w:r>
            <w:r w:rsidRPr="009E35ED">
              <w:rPr>
                <w:rFonts w:ascii="Arial Narrow" w:hAnsi="Arial Narrow"/>
                <w:color w:val="000000" w:themeColor="text1"/>
                <w:sz w:val="22"/>
                <w:szCs w:val="22"/>
              </w:rPr>
              <w:t xml:space="preserve"> </w:t>
            </w:r>
          </w:p>
        </w:tc>
      </w:tr>
      <w:tr w:rsidR="00997F75" w:rsidRPr="009E35ED" w14:paraId="0BF2FD01" w14:textId="77777777" w:rsidTr="00F10767">
        <w:trPr>
          <w:trHeight w:val="200"/>
        </w:trPr>
        <w:tc>
          <w:tcPr>
            <w:tcW w:w="4230" w:type="dxa"/>
            <w:tcBorders>
              <w:top w:val="nil"/>
              <w:left w:val="nil"/>
              <w:bottom w:val="nil"/>
              <w:right w:val="nil"/>
            </w:tcBorders>
            <w:shd w:val="clear" w:color="000000" w:fill="FFFFFF"/>
            <w:noWrap/>
            <w:vAlign w:val="bottom"/>
            <w:hideMark/>
          </w:tcPr>
          <w:p w14:paraId="637F03ED" w14:textId="77777777" w:rsidR="00993F55" w:rsidRPr="009E35ED" w:rsidRDefault="00993F55" w:rsidP="00993F55">
            <w:pPr>
              <w:ind w:left="-113"/>
              <w:jc w:val="left"/>
              <w:rPr>
                <w:rFonts w:ascii="Arial Narrow" w:hAnsi="Arial Narrow" w:cs="Arial"/>
                <w:color w:val="000000" w:themeColor="text1"/>
                <w:sz w:val="22"/>
                <w:szCs w:val="22"/>
                <w:lang w:val="en-PH" w:eastAsia="en-PH"/>
              </w:rPr>
            </w:pPr>
            <w:r w:rsidRPr="009E35ED">
              <w:rPr>
                <w:rFonts w:ascii="Arial Narrow" w:hAnsi="Arial Narrow" w:cs="Arial"/>
                <w:color w:val="000000" w:themeColor="text1"/>
                <w:sz w:val="22"/>
                <w:szCs w:val="22"/>
                <w:lang w:val="en-PH" w:eastAsia="en-PH"/>
              </w:rPr>
              <w:t>Lotto</w:t>
            </w:r>
          </w:p>
        </w:tc>
        <w:tc>
          <w:tcPr>
            <w:tcW w:w="2335" w:type="dxa"/>
            <w:tcBorders>
              <w:top w:val="nil"/>
              <w:left w:val="nil"/>
              <w:bottom w:val="nil"/>
              <w:right w:val="nil"/>
            </w:tcBorders>
            <w:shd w:val="clear" w:color="000000" w:fill="FFFFFF"/>
            <w:noWrap/>
          </w:tcPr>
          <w:p w14:paraId="1AC67AA2" w14:textId="2AFE7D48" w:rsidR="00993F55" w:rsidRPr="009E35ED" w:rsidRDefault="00993F55" w:rsidP="00993F55">
            <w:pPr>
              <w:ind w:left="-23" w:right="-111"/>
              <w:jc w:val="right"/>
              <w:rPr>
                <w:rFonts w:ascii="Arial Narrow" w:hAnsi="Arial Narrow" w:cs="Arial"/>
                <w:color w:val="000000" w:themeColor="text1"/>
                <w:sz w:val="22"/>
                <w:szCs w:val="22"/>
                <w:lang w:val="en-PH" w:eastAsia="en-PH"/>
              </w:rPr>
            </w:pPr>
            <w:r w:rsidRPr="009E35ED">
              <w:rPr>
                <w:rFonts w:ascii="Arial Narrow" w:hAnsi="Arial Narrow"/>
                <w:color w:val="000000" w:themeColor="text1"/>
                <w:sz w:val="22"/>
                <w:szCs w:val="22"/>
              </w:rPr>
              <w:t xml:space="preserve"> 31,377,413,790 </w:t>
            </w:r>
          </w:p>
        </w:tc>
        <w:tc>
          <w:tcPr>
            <w:tcW w:w="2088" w:type="dxa"/>
            <w:tcBorders>
              <w:top w:val="nil"/>
              <w:left w:val="nil"/>
              <w:bottom w:val="nil"/>
              <w:right w:val="nil"/>
            </w:tcBorders>
            <w:shd w:val="clear" w:color="000000" w:fill="FFFFFF"/>
            <w:noWrap/>
            <w:hideMark/>
          </w:tcPr>
          <w:p w14:paraId="4B5B6308" w14:textId="5E4F53D6" w:rsidR="00993F55" w:rsidRPr="009E35ED" w:rsidRDefault="00993F55" w:rsidP="00273AD8">
            <w:pPr>
              <w:ind w:left="-23" w:right="-108"/>
              <w:jc w:val="right"/>
              <w:rPr>
                <w:rFonts w:ascii="Arial Narrow" w:hAnsi="Arial Narrow" w:cs="Arial"/>
                <w:color w:val="000000" w:themeColor="text1"/>
                <w:sz w:val="22"/>
                <w:szCs w:val="22"/>
                <w:lang w:val="en-PH" w:eastAsia="en-PH"/>
              </w:rPr>
            </w:pPr>
            <w:r w:rsidRPr="009E35ED">
              <w:rPr>
                <w:rFonts w:ascii="Arial Narrow" w:hAnsi="Arial Narrow"/>
                <w:color w:val="000000" w:themeColor="text1"/>
                <w:sz w:val="22"/>
                <w:szCs w:val="22"/>
              </w:rPr>
              <w:t xml:space="preserve"> 2</w:t>
            </w:r>
            <w:r w:rsidR="00273AD8" w:rsidRPr="009E35ED">
              <w:rPr>
                <w:rFonts w:ascii="Arial Narrow" w:hAnsi="Arial Narrow"/>
                <w:color w:val="000000" w:themeColor="text1"/>
                <w:sz w:val="22"/>
                <w:szCs w:val="22"/>
              </w:rPr>
              <w:t>7,916,438,190</w:t>
            </w:r>
            <w:r w:rsidRPr="009E35ED">
              <w:rPr>
                <w:rFonts w:ascii="Arial Narrow" w:hAnsi="Arial Narrow"/>
                <w:color w:val="000000" w:themeColor="text1"/>
                <w:sz w:val="22"/>
                <w:szCs w:val="22"/>
              </w:rPr>
              <w:t xml:space="preserve"> </w:t>
            </w:r>
          </w:p>
        </w:tc>
      </w:tr>
      <w:tr w:rsidR="00997F75" w:rsidRPr="009E35ED" w14:paraId="5ACA5D9C" w14:textId="77777777" w:rsidTr="00F10767">
        <w:trPr>
          <w:trHeight w:val="357"/>
        </w:trPr>
        <w:tc>
          <w:tcPr>
            <w:tcW w:w="4230" w:type="dxa"/>
            <w:tcBorders>
              <w:top w:val="single" w:sz="4" w:space="0" w:color="auto"/>
              <w:left w:val="nil"/>
              <w:bottom w:val="double" w:sz="6" w:space="0" w:color="auto"/>
              <w:right w:val="nil"/>
            </w:tcBorders>
            <w:shd w:val="clear" w:color="000000" w:fill="FFFFFF"/>
            <w:noWrap/>
            <w:vAlign w:val="center"/>
            <w:hideMark/>
          </w:tcPr>
          <w:p w14:paraId="7AF52B3F" w14:textId="77777777" w:rsidR="009F04A8" w:rsidRPr="009E35ED" w:rsidRDefault="009F04A8" w:rsidP="0003047C">
            <w:pPr>
              <w:ind w:left="-110"/>
              <w:jc w:val="left"/>
              <w:rPr>
                <w:rFonts w:ascii="Arial Narrow" w:hAnsi="Arial Narrow" w:cs="Arial"/>
                <w:b/>
                <w:bCs/>
                <w:color w:val="000000" w:themeColor="text1"/>
                <w:sz w:val="22"/>
                <w:szCs w:val="22"/>
                <w:lang w:val="en-PH" w:eastAsia="en-PH"/>
              </w:rPr>
            </w:pPr>
            <w:r w:rsidRPr="009E35ED">
              <w:rPr>
                <w:rFonts w:ascii="Arial Narrow" w:hAnsi="Arial Narrow" w:cs="Arial"/>
                <w:b/>
                <w:bCs/>
                <w:color w:val="000000" w:themeColor="text1"/>
                <w:sz w:val="22"/>
                <w:szCs w:val="22"/>
                <w:lang w:val="en-PH" w:eastAsia="en-PH"/>
              </w:rPr>
              <w:t> Total</w:t>
            </w:r>
          </w:p>
        </w:tc>
        <w:tc>
          <w:tcPr>
            <w:tcW w:w="2335" w:type="dxa"/>
            <w:tcBorders>
              <w:top w:val="single" w:sz="4" w:space="0" w:color="auto"/>
              <w:left w:val="nil"/>
              <w:bottom w:val="double" w:sz="6" w:space="0" w:color="auto"/>
              <w:right w:val="nil"/>
            </w:tcBorders>
            <w:shd w:val="clear" w:color="000000" w:fill="FFFFFF"/>
            <w:noWrap/>
            <w:vAlign w:val="center"/>
          </w:tcPr>
          <w:p w14:paraId="2A890800" w14:textId="23DEDC24" w:rsidR="009F04A8" w:rsidRPr="009E35ED" w:rsidRDefault="006F3E82" w:rsidP="0003047C">
            <w:pPr>
              <w:ind w:left="-23" w:right="-111"/>
              <w:jc w:val="right"/>
              <w:rPr>
                <w:rFonts w:ascii="Arial Narrow" w:hAnsi="Arial Narrow" w:cs="Arial"/>
                <w:b/>
                <w:bCs/>
                <w:color w:val="000000" w:themeColor="text1"/>
                <w:sz w:val="22"/>
                <w:szCs w:val="22"/>
                <w:lang w:val="en-PH" w:eastAsia="en-PH"/>
              </w:rPr>
            </w:pPr>
            <w:r w:rsidRPr="009E35ED">
              <w:rPr>
                <w:rFonts w:ascii="Arial Narrow" w:hAnsi="Arial Narrow" w:cs="Arial"/>
                <w:b/>
                <w:bCs/>
                <w:color w:val="000000" w:themeColor="text1"/>
                <w:sz w:val="22"/>
                <w:szCs w:val="22"/>
                <w:lang w:val="en-PH" w:eastAsia="en-PH"/>
              </w:rPr>
              <w:t>61,456,027,456</w:t>
            </w:r>
          </w:p>
        </w:tc>
        <w:tc>
          <w:tcPr>
            <w:tcW w:w="2088" w:type="dxa"/>
            <w:tcBorders>
              <w:top w:val="single" w:sz="4" w:space="0" w:color="auto"/>
              <w:left w:val="nil"/>
              <w:bottom w:val="double" w:sz="6" w:space="0" w:color="auto"/>
              <w:right w:val="nil"/>
            </w:tcBorders>
            <w:shd w:val="clear" w:color="000000" w:fill="FFFFFF"/>
            <w:noWrap/>
            <w:vAlign w:val="center"/>
          </w:tcPr>
          <w:p w14:paraId="6604A211" w14:textId="061F2607" w:rsidR="009F04A8" w:rsidRPr="009E35ED" w:rsidRDefault="009F04A8" w:rsidP="00273AD8">
            <w:pPr>
              <w:ind w:left="-23" w:right="-108"/>
              <w:jc w:val="right"/>
              <w:rPr>
                <w:rFonts w:ascii="Arial Narrow" w:hAnsi="Arial Narrow" w:cs="Arial"/>
                <w:b/>
                <w:bCs/>
                <w:color w:val="000000" w:themeColor="text1"/>
                <w:sz w:val="22"/>
                <w:szCs w:val="22"/>
                <w:lang w:val="en-PH" w:eastAsia="en-PH"/>
              </w:rPr>
            </w:pPr>
            <w:r w:rsidRPr="009E35ED">
              <w:rPr>
                <w:rFonts w:ascii="Arial Narrow" w:hAnsi="Arial Narrow"/>
                <w:b/>
                <w:color w:val="000000" w:themeColor="text1"/>
                <w:sz w:val="22"/>
                <w:szCs w:val="22"/>
              </w:rPr>
              <w:t xml:space="preserve"> </w:t>
            </w:r>
            <w:r w:rsidR="00273AD8" w:rsidRPr="009E35ED">
              <w:rPr>
                <w:rFonts w:ascii="Arial Narrow" w:hAnsi="Arial Narrow"/>
                <w:b/>
                <w:color w:val="000000" w:themeColor="text1"/>
                <w:sz w:val="22"/>
                <w:szCs w:val="22"/>
              </w:rPr>
              <w:t>57,467,795,450</w:t>
            </w:r>
          </w:p>
        </w:tc>
      </w:tr>
    </w:tbl>
    <w:p w14:paraId="1B6FD7DE" w14:textId="77777777" w:rsidR="0003047C" w:rsidRPr="009E35ED" w:rsidRDefault="0003047C" w:rsidP="00F22564">
      <w:pPr>
        <w:shd w:val="clear" w:color="auto" w:fill="FFFFFF"/>
        <w:tabs>
          <w:tab w:val="left" w:pos="0"/>
        </w:tabs>
        <w:suppressAutoHyphens/>
        <w:ind w:left="0"/>
        <w:rPr>
          <w:rFonts w:ascii="Arial" w:hAnsi="Arial" w:cs="Arial"/>
          <w:iCs/>
          <w:color w:val="000000" w:themeColor="text1"/>
          <w:sz w:val="22"/>
          <w:szCs w:val="22"/>
          <w:lang w:eastAsia="ar-SA"/>
        </w:rPr>
      </w:pPr>
    </w:p>
    <w:p w14:paraId="6D8526D3" w14:textId="06F233ED" w:rsidR="00F22564" w:rsidRPr="009E35ED" w:rsidRDefault="00F22564" w:rsidP="00F22564">
      <w:pPr>
        <w:shd w:val="clear" w:color="auto" w:fill="FFFFFF"/>
        <w:tabs>
          <w:tab w:val="left" w:pos="0"/>
        </w:tabs>
        <w:suppressAutoHyphens/>
        <w:ind w:left="0"/>
        <w:rPr>
          <w:rFonts w:ascii="Arial" w:hAnsi="Arial" w:cs="Arial"/>
          <w:iCs/>
          <w:color w:val="000000" w:themeColor="text1"/>
          <w:sz w:val="22"/>
          <w:szCs w:val="22"/>
          <w:lang w:eastAsia="ar-SA"/>
        </w:rPr>
      </w:pPr>
      <w:r w:rsidRPr="009E35ED">
        <w:rPr>
          <w:rFonts w:ascii="Arial" w:hAnsi="Arial" w:cs="Arial"/>
          <w:iCs/>
          <w:color w:val="000000" w:themeColor="text1"/>
          <w:sz w:val="22"/>
          <w:szCs w:val="22"/>
          <w:lang w:eastAsia="ar-SA"/>
        </w:rPr>
        <w:t xml:space="preserve">In accordance with the provision of PCSO Charter, specifically Section 6 of RA </w:t>
      </w:r>
      <w:r w:rsidR="0061696C">
        <w:rPr>
          <w:rFonts w:ascii="Arial" w:hAnsi="Arial" w:cs="Arial"/>
          <w:iCs/>
          <w:color w:val="000000" w:themeColor="text1"/>
          <w:sz w:val="22"/>
          <w:szCs w:val="22"/>
          <w:lang w:eastAsia="ar-SA"/>
        </w:rPr>
        <w:t xml:space="preserve">No. </w:t>
      </w:r>
      <w:r w:rsidRPr="009E35ED">
        <w:rPr>
          <w:rFonts w:ascii="Arial" w:hAnsi="Arial" w:cs="Arial"/>
          <w:iCs/>
          <w:color w:val="000000" w:themeColor="text1"/>
          <w:sz w:val="22"/>
          <w:szCs w:val="22"/>
          <w:lang w:eastAsia="ar-SA"/>
        </w:rPr>
        <w:t>1169 as amended by Batas Pambansa Bilang 42, the gross receipts generated from the sale of tickets whether for sweepstakes, lotteries or similar activities, shall be deducted the printing cost of such tickets, which in no case shall exceed two percent (2%) of such gross receipts to arrive at the net receipts.  The net receipts shall be allocated as follows:</w:t>
      </w:r>
    </w:p>
    <w:p w14:paraId="282F5BC6" w14:textId="77777777" w:rsidR="00F22564" w:rsidRPr="009E35ED" w:rsidRDefault="00F22564" w:rsidP="00F22564">
      <w:pPr>
        <w:shd w:val="clear" w:color="auto" w:fill="FFFFFF"/>
        <w:suppressAutoHyphens/>
        <w:rPr>
          <w:rFonts w:ascii="Arial" w:hAnsi="Arial" w:cs="Arial"/>
          <w:iCs/>
          <w:color w:val="000000" w:themeColor="text1"/>
          <w:sz w:val="22"/>
          <w:szCs w:val="22"/>
          <w:lang w:eastAsia="ar-SA"/>
        </w:rPr>
      </w:pPr>
    </w:p>
    <w:p w14:paraId="3D9FF3E4" w14:textId="64DBB9CC" w:rsidR="005E096F" w:rsidRPr="009E35ED" w:rsidRDefault="00F22564" w:rsidP="001C371F">
      <w:pPr>
        <w:numPr>
          <w:ilvl w:val="0"/>
          <w:numId w:val="23"/>
        </w:numPr>
        <w:shd w:val="clear" w:color="auto" w:fill="FFFFFF"/>
        <w:suppressAutoHyphens/>
        <w:ind w:left="720"/>
        <w:rPr>
          <w:rFonts w:ascii="Arial" w:hAnsi="Arial" w:cs="Arial"/>
          <w:iCs/>
          <w:color w:val="000000" w:themeColor="text1"/>
          <w:sz w:val="22"/>
          <w:szCs w:val="22"/>
          <w:lang w:eastAsia="ar-SA"/>
        </w:rPr>
      </w:pPr>
      <w:r w:rsidRPr="009E35ED">
        <w:rPr>
          <w:rFonts w:ascii="Arial" w:hAnsi="Arial" w:cs="Arial"/>
          <w:iCs/>
          <w:color w:val="000000" w:themeColor="text1"/>
          <w:sz w:val="22"/>
          <w:szCs w:val="22"/>
          <w:lang w:eastAsia="ar-SA"/>
        </w:rPr>
        <w:t xml:space="preserve">Fifty-five percent (55%) shall be set aside as Prize </w:t>
      </w:r>
      <w:r w:rsidR="00F93FBC">
        <w:rPr>
          <w:rFonts w:ascii="Arial" w:hAnsi="Arial" w:cs="Arial"/>
          <w:iCs/>
          <w:color w:val="000000" w:themeColor="text1"/>
          <w:sz w:val="22"/>
          <w:szCs w:val="22"/>
          <w:lang w:eastAsia="ar-SA"/>
        </w:rPr>
        <w:t>f</w:t>
      </w:r>
      <w:r w:rsidRPr="009E35ED">
        <w:rPr>
          <w:rFonts w:ascii="Arial" w:hAnsi="Arial" w:cs="Arial"/>
          <w:iCs/>
          <w:color w:val="000000" w:themeColor="text1"/>
          <w:sz w:val="22"/>
          <w:szCs w:val="22"/>
          <w:lang w:eastAsia="ar-SA"/>
        </w:rPr>
        <w:t>und.</w:t>
      </w:r>
    </w:p>
    <w:p w14:paraId="323B7C2C" w14:textId="5C73B973" w:rsidR="005E096F" w:rsidRPr="009E35ED" w:rsidRDefault="00F22564" w:rsidP="001C371F">
      <w:pPr>
        <w:numPr>
          <w:ilvl w:val="0"/>
          <w:numId w:val="23"/>
        </w:numPr>
        <w:shd w:val="clear" w:color="auto" w:fill="FFFFFF"/>
        <w:suppressAutoHyphens/>
        <w:ind w:left="720"/>
        <w:rPr>
          <w:rFonts w:ascii="Arial" w:hAnsi="Arial" w:cs="Arial"/>
          <w:iCs/>
          <w:color w:val="000000" w:themeColor="text1"/>
          <w:sz w:val="22"/>
          <w:szCs w:val="22"/>
          <w:lang w:eastAsia="ar-SA"/>
        </w:rPr>
      </w:pPr>
      <w:r w:rsidRPr="009E35ED">
        <w:rPr>
          <w:rFonts w:ascii="Arial" w:hAnsi="Arial" w:cs="Arial"/>
          <w:iCs/>
          <w:color w:val="000000" w:themeColor="text1"/>
          <w:sz w:val="22"/>
          <w:szCs w:val="22"/>
          <w:lang w:eastAsia="ar-SA"/>
        </w:rPr>
        <w:t xml:space="preserve">Thirty percent (30%) shall be set aside as contributions to the Charity </w:t>
      </w:r>
      <w:r w:rsidR="006A1323">
        <w:rPr>
          <w:rFonts w:ascii="Arial" w:hAnsi="Arial" w:cs="Arial"/>
          <w:iCs/>
          <w:color w:val="000000" w:themeColor="text1"/>
          <w:sz w:val="22"/>
          <w:szCs w:val="22"/>
          <w:lang w:eastAsia="ar-SA"/>
        </w:rPr>
        <w:t>f</w:t>
      </w:r>
      <w:r w:rsidRPr="009E35ED">
        <w:rPr>
          <w:rFonts w:ascii="Arial" w:hAnsi="Arial" w:cs="Arial"/>
          <w:iCs/>
          <w:color w:val="000000" w:themeColor="text1"/>
          <w:sz w:val="22"/>
          <w:szCs w:val="22"/>
          <w:lang w:eastAsia="ar-SA"/>
        </w:rPr>
        <w:t>und.</w:t>
      </w:r>
    </w:p>
    <w:p w14:paraId="3EADE18B" w14:textId="7AAF94E9" w:rsidR="00CA2B5B" w:rsidRPr="009E35ED" w:rsidRDefault="00F22564" w:rsidP="00EB31F0">
      <w:pPr>
        <w:numPr>
          <w:ilvl w:val="0"/>
          <w:numId w:val="23"/>
        </w:numPr>
        <w:shd w:val="clear" w:color="auto" w:fill="FFFFFF"/>
        <w:suppressAutoHyphens/>
        <w:ind w:left="720"/>
        <w:rPr>
          <w:rFonts w:ascii="Arial" w:hAnsi="Arial" w:cs="Arial"/>
          <w:iCs/>
          <w:color w:val="000000" w:themeColor="text1"/>
          <w:sz w:val="22"/>
          <w:szCs w:val="22"/>
          <w:lang w:eastAsia="ar-SA"/>
        </w:rPr>
      </w:pPr>
      <w:r w:rsidRPr="009E35ED">
        <w:rPr>
          <w:rFonts w:ascii="Arial" w:hAnsi="Arial" w:cs="Arial"/>
          <w:iCs/>
          <w:color w:val="000000" w:themeColor="text1"/>
          <w:sz w:val="22"/>
          <w:szCs w:val="22"/>
          <w:lang w:eastAsia="ar-SA"/>
        </w:rPr>
        <w:t xml:space="preserve">Fifteen percent (15%) shall be set aside as contributions to Operating </w:t>
      </w:r>
      <w:r w:rsidR="006A1323">
        <w:rPr>
          <w:rFonts w:ascii="Arial" w:hAnsi="Arial" w:cs="Arial"/>
          <w:iCs/>
          <w:color w:val="000000" w:themeColor="text1"/>
          <w:sz w:val="22"/>
          <w:szCs w:val="22"/>
          <w:lang w:eastAsia="ar-SA"/>
        </w:rPr>
        <w:t>e</w:t>
      </w:r>
      <w:r w:rsidRPr="009E35ED">
        <w:rPr>
          <w:rFonts w:ascii="Arial" w:hAnsi="Arial" w:cs="Arial"/>
          <w:iCs/>
          <w:color w:val="000000" w:themeColor="text1"/>
          <w:sz w:val="22"/>
          <w:szCs w:val="22"/>
          <w:lang w:eastAsia="ar-SA"/>
        </w:rPr>
        <w:t xml:space="preserve">xpenses and Capital </w:t>
      </w:r>
      <w:r w:rsidR="006A1323">
        <w:rPr>
          <w:rFonts w:ascii="Arial" w:hAnsi="Arial" w:cs="Arial"/>
          <w:iCs/>
          <w:color w:val="000000" w:themeColor="text1"/>
          <w:sz w:val="22"/>
          <w:szCs w:val="22"/>
          <w:lang w:eastAsia="ar-SA"/>
        </w:rPr>
        <w:t>e</w:t>
      </w:r>
      <w:r w:rsidRPr="009E35ED">
        <w:rPr>
          <w:rFonts w:ascii="Arial" w:hAnsi="Arial" w:cs="Arial"/>
          <w:iCs/>
          <w:color w:val="000000" w:themeColor="text1"/>
          <w:sz w:val="22"/>
          <w:szCs w:val="22"/>
          <w:lang w:eastAsia="ar-SA"/>
        </w:rPr>
        <w:t>xpenditures of the Office.</w:t>
      </w:r>
    </w:p>
    <w:p w14:paraId="347629DA" w14:textId="3F9D7429" w:rsidR="00E106BF" w:rsidRPr="009E35ED" w:rsidRDefault="00E106BF" w:rsidP="00803F8C">
      <w:pPr>
        <w:pStyle w:val="ListParagraph"/>
        <w:ind w:left="0"/>
        <w:rPr>
          <w:rFonts w:ascii="Arial" w:hAnsi="Arial" w:cs="Arial"/>
          <w:color w:val="000000" w:themeColor="text1"/>
          <w:sz w:val="22"/>
          <w:szCs w:val="22"/>
        </w:rPr>
      </w:pPr>
    </w:p>
    <w:p w14:paraId="665FC9B6" w14:textId="01D54D68" w:rsidR="00E106BF" w:rsidRPr="009E35ED" w:rsidRDefault="006E34FF" w:rsidP="00B90388">
      <w:pPr>
        <w:keepNext/>
        <w:keepLines/>
        <w:numPr>
          <w:ilvl w:val="0"/>
          <w:numId w:val="28"/>
        </w:numPr>
        <w:ind w:hanging="720"/>
        <w:rPr>
          <w:rFonts w:ascii="Arial" w:hAnsi="Arial" w:cs="Arial"/>
          <w:b/>
          <w:color w:val="000000" w:themeColor="text1"/>
          <w:sz w:val="22"/>
          <w:szCs w:val="22"/>
        </w:rPr>
      </w:pPr>
      <w:r w:rsidRPr="009E35ED">
        <w:rPr>
          <w:rFonts w:ascii="Arial" w:hAnsi="Arial" w:cs="Arial"/>
          <w:b/>
          <w:color w:val="000000" w:themeColor="text1"/>
          <w:sz w:val="22"/>
          <w:szCs w:val="22"/>
        </w:rPr>
        <w:t xml:space="preserve"> </w:t>
      </w:r>
      <w:r w:rsidR="00790575" w:rsidRPr="009E35ED">
        <w:rPr>
          <w:rFonts w:ascii="Arial" w:hAnsi="Arial" w:cs="Arial"/>
          <w:b/>
          <w:color w:val="000000" w:themeColor="text1"/>
          <w:sz w:val="22"/>
          <w:szCs w:val="22"/>
        </w:rPr>
        <w:t>EXPENSES</w:t>
      </w:r>
    </w:p>
    <w:p w14:paraId="2CA05F85" w14:textId="77777777" w:rsidR="00761A09" w:rsidRPr="009E35ED" w:rsidRDefault="00761A09" w:rsidP="00B90388">
      <w:pPr>
        <w:keepNext/>
        <w:keepLines/>
        <w:ind w:left="0"/>
        <w:rPr>
          <w:rFonts w:ascii="Arial" w:hAnsi="Arial" w:cs="Arial"/>
          <w:b/>
          <w:color w:val="000000" w:themeColor="text1"/>
          <w:sz w:val="22"/>
          <w:szCs w:val="22"/>
        </w:rPr>
      </w:pPr>
    </w:p>
    <w:p w14:paraId="029639BD" w14:textId="1895245A" w:rsidR="00092E21" w:rsidRPr="009E35ED" w:rsidRDefault="00761A09" w:rsidP="00B90388">
      <w:pPr>
        <w:keepNext/>
        <w:keepLines/>
        <w:ind w:left="0"/>
        <w:rPr>
          <w:rFonts w:ascii="Arial" w:hAnsi="Arial" w:cs="Arial"/>
          <w:b/>
          <w:color w:val="000000" w:themeColor="text1"/>
          <w:sz w:val="22"/>
          <w:szCs w:val="22"/>
        </w:rPr>
      </w:pPr>
      <w:r w:rsidRPr="009E35ED">
        <w:rPr>
          <w:rFonts w:ascii="Arial" w:hAnsi="Arial" w:cs="Arial"/>
          <w:b/>
          <w:color w:val="000000" w:themeColor="text1"/>
          <w:sz w:val="22"/>
          <w:szCs w:val="22"/>
        </w:rPr>
        <w:t>2023</w:t>
      </w:r>
    </w:p>
    <w:tbl>
      <w:tblPr>
        <w:tblW w:w="8834" w:type="dxa"/>
        <w:tblLook w:val="04A0" w:firstRow="1" w:lastRow="0" w:firstColumn="1" w:lastColumn="0" w:noHBand="0" w:noVBand="1"/>
      </w:tblPr>
      <w:tblGrid>
        <w:gridCol w:w="532"/>
        <w:gridCol w:w="530"/>
        <w:gridCol w:w="1782"/>
        <w:gridCol w:w="799"/>
        <w:gridCol w:w="1070"/>
        <w:gridCol w:w="1241"/>
        <w:gridCol w:w="1129"/>
        <w:gridCol w:w="1839"/>
      </w:tblGrid>
      <w:tr w:rsidR="00997F75" w:rsidRPr="009E35ED" w14:paraId="787C3C54" w14:textId="77777777" w:rsidTr="00860ED6">
        <w:trPr>
          <w:trHeight w:val="315"/>
          <w:tblHeader/>
        </w:trPr>
        <w:tc>
          <w:tcPr>
            <w:tcW w:w="1062" w:type="dxa"/>
            <w:gridSpan w:val="2"/>
            <w:tcBorders>
              <w:top w:val="single" w:sz="8" w:space="0" w:color="auto"/>
              <w:left w:val="nil"/>
              <w:bottom w:val="single" w:sz="8" w:space="0" w:color="auto"/>
              <w:right w:val="nil"/>
            </w:tcBorders>
            <w:shd w:val="clear" w:color="auto" w:fill="auto"/>
            <w:noWrap/>
            <w:vAlign w:val="center"/>
            <w:hideMark/>
          </w:tcPr>
          <w:p w14:paraId="687BF7C3" w14:textId="77777777" w:rsidR="007437A9" w:rsidRPr="009E35ED" w:rsidRDefault="007437A9" w:rsidP="00B90388">
            <w:pPr>
              <w:keepNext/>
              <w:keepLines/>
              <w:ind w:left="0"/>
              <w:jc w:val="left"/>
              <w:rPr>
                <w:rFonts w:ascii="Arial Narrow" w:hAnsi="Arial Narrow"/>
                <w:b/>
                <w:bCs/>
                <w:color w:val="000000" w:themeColor="text1"/>
                <w:sz w:val="18"/>
                <w:szCs w:val="18"/>
                <w:lang w:val="en-PH" w:eastAsia="en-PH"/>
              </w:rPr>
            </w:pPr>
            <w:r w:rsidRPr="009E35ED">
              <w:rPr>
                <w:rFonts w:ascii="Arial Narrow" w:hAnsi="Arial Narrow"/>
                <w:b/>
                <w:bCs/>
                <w:color w:val="000000" w:themeColor="text1"/>
                <w:sz w:val="18"/>
                <w:szCs w:val="18"/>
                <w:lang w:val="en-PH" w:eastAsia="en-PH"/>
              </w:rPr>
              <w:t> </w:t>
            </w:r>
          </w:p>
        </w:tc>
        <w:tc>
          <w:tcPr>
            <w:tcW w:w="1782" w:type="dxa"/>
            <w:tcBorders>
              <w:top w:val="single" w:sz="8" w:space="0" w:color="auto"/>
              <w:left w:val="nil"/>
              <w:bottom w:val="single" w:sz="8" w:space="0" w:color="auto"/>
              <w:right w:val="nil"/>
            </w:tcBorders>
            <w:shd w:val="clear" w:color="auto" w:fill="auto"/>
            <w:noWrap/>
            <w:vAlign w:val="center"/>
            <w:hideMark/>
          </w:tcPr>
          <w:p w14:paraId="76DCEBCC" w14:textId="77777777" w:rsidR="007437A9" w:rsidRPr="009E35ED" w:rsidRDefault="007437A9" w:rsidP="00B90388">
            <w:pPr>
              <w:keepNext/>
              <w:keepLines/>
              <w:ind w:left="0"/>
              <w:jc w:val="left"/>
              <w:rPr>
                <w:rFonts w:ascii="Arial Narrow" w:hAnsi="Arial Narrow"/>
                <w:b/>
                <w:bCs/>
                <w:color w:val="000000" w:themeColor="text1"/>
                <w:sz w:val="18"/>
                <w:szCs w:val="18"/>
                <w:lang w:val="en-PH" w:eastAsia="en-PH"/>
              </w:rPr>
            </w:pPr>
            <w:r w:rsidRPr="009E35ED">
              <w:rPr>
                <w:rFonts w:ascii="Arial Narrow" w:hAnsi="Arial Narrow"/>
                <w:b/>
                <w:bCs/>
                <w:color w:val="000000" w:themeColor="text1"/>
                <w:sz w:val="18"/>
                <w:szCs w:val="18"/>
                <w:lang w:val="en-PH" w:eastAsia="en-PH"/>
              </w:rPr>
              <w:t> </w:t>
            </w:r>
          </w:p>
        </w:tc>
        <w:tc>
          <w:tcPr>
            <w:tcW w:w="799" w:type="dxa"/>
            <w:tcBorders>
              <w:top w:val="single" w:sz="8" w:space="0" w:color="auto"/>
              <w:left w:val="nil"/>
              <w:bottom w:val="single" w:sz="8" w:space="0" w:color="auto"/>
              <w:right w:val="nil"/>
            </w:tcBorders>
            <w:shd w:val="clear" w:color="auto" w:fill="auto"/>
            <w:noWrap/>
            <w:vAlign w:val="center"/>
            <w:hideMark/>
          </w:tcPr>
          <w:p w14:paraId="144EE9E6" w14:textId="77777777" w:rsidR="007437A9" w:rsidRPr="009E35ED" w:rsidRDefault="007437A9" w:rsidP="00B90388">
            <w:pPr>
              <w:keepNext/>
              <w:keepLines/>
              <w:ind w:left="0"/>
              <w:jc w:val="left"/>
              <w:rPr>
                <w:rFonts w:ascii="Arial Narrow" w:hAnsi="Arial Narrow"/>
                <w:b/>
                <w:bCs/>
                <w:color w:val="000000" w:themeColor="text1"/>
                <w:sz w:val="18"/>
                <w:szCs w:val="18"/>
                <w:lang w:val="en-PH" w:eastAsia="en-PH"/>
              </w:rPr>
            </w:pPr>
            <w:r w:rsidRPr="009E35ED">
              <w:rPr>
                <w:rFonts w:ascii="Arial Narrow" w:hAnsi="Arial Narrow"/>
                <w:b/>
                <w:bCs/>
                <w:color w:val="000000" w:themeColor="text1"/>
                <w:sz w:val="18"/>
                <w:szCs w:val="18"/>
                <w:lang w:val="en-PH" w:eastAsia="en-PH"/>
              </w:rPr>
              <w:t> </w:t>
            </w:r>
          </w:p>
        </w:tc>
        <w:tc>
          <w:tcPr>
            <w:tcW w:w="1070" w:type="dxa"/>
            <w:tcBorders>
              <w:top w:val="single" w:sz="8" w:space="0" w:color="auto"/>
              <w:left w:val="nil"/>
              <w:bottom w:val="single" w:sz="8" w:space="0" w:color="auto"/>
              <w:right w:val="nil"/>
            </w:tcBorders>
            <w:shd w:val="clear" w:color="auto" w:fill="auto"/>
            <w:noWrap/>
            <w:vAlign w:val="center"/>
            <w:hideMark/>
          </w:tcPr>
          <w:p w14:paraId="326FC88A" w14:textId="7ABA946E" w:rsidR="007437A9" w:rsidRPr="009E35ED" w:rsidRDefault="007437A9" w:rsidP="00B90388">
            <w:pPr>
              <w:keepNext/>
              <w:keepLines/>
              <w:ind w:left="0"/>
              <w:jc w:val="center"/>
              <w:rPr>
                <w:rFonts w:ascii="Arial Narrow" w:hAnsi="Arial Narrow"/>
                <w:b/>
                <w:bCs/>
                <w:color w:val="000000" w:themeColor="text1"/>
                <w:sz w:val="18"/>
                <w:szCs w:val="18"/>
                <w:lang w:val="en-PH" w:eastAsia="en-PH"/>
              </w:rPr>
            </w:pPr>
            <w:r w:rsidRPr="009E35ED">
              <w:rPr>
                <w:rFonts w:ascii="Arial Narrow" w:hAnsi="Arial Narrow"/>
                <w:b/>
                <w:bCs/>
                <w:color w:val="000000" w:themeColor="text1"/>
                <w:sz w:val="18"/>
                <w:szCs w:val="18"/>
                <w:lang w:val="en-PH" w:eastAsia="en-PH"/>
              </w:rPr>
              <w:t>Operating</w:t>
            </w:r>
          </w:p>
        </w:tc>
        <w:tc>
          <w:tcPr>
            <w:tcW w:w="1241" w:type="dxa"/>
            <w:tcBorders>
              <w:top w:val="single" w:sz="8" w:space="0" w:color="auto"/>
              <w:left w:val="nil"/>
              <w:bottom w:val="single" w:sz="8" w:space="0" w:color="auto"/>
              <w:right w:val="nil"/>
            </w:tcBorders>
            <w:shd w:val="clear" w:color="auto" w:fill="auto"/>
            <w:noWrap/>
            <w:vAlign w:val="center"/>
            <w:hideMark/>
          </w:tcPr>
          <w:p w14:paraId="056D2184" w14:textId="59B4A274" w:rsidR="007437A9" w:rsidRPr="009E35ED" w:rsidRDefault="007437A9" w:rsidP="00B90388">
            <w:pPr>
              <w:keepNext/>
              <w:keepLines/>
              <w:ind w:left="0"/>
              <w:jc w:val="center"/>
              <w:rPr>
                <w:rFonts w:ascii="Arial Narrow" w:hAnsi="Arial Narrow"/>
                <w:b/>
                <w:bCs/>
                <w:color w:val="000000" w:themeColor="text1"/>
                <w:sz w:val="18"/>
                <w:szCs w:val="18"/>
                <w:lang w:val="en-PH" w:eastAsia="en-PH"/>
              </w:rPr>
            </w:pPr>
            <w:r w:rsidRPr="009E35ED">
              <w:rPr>
                <w:rFonts w:ascii="Arial Narrow" w:hAnsi="Arial Narrow"/>
                <w:b/>
                <w:bCs/>
                <w:color w:val="000000" w:themeColor="text1"/>
                <w:sz w:val="18"/>
                <w:szCs w:val="18"/>
                <w:lang w:val="en-PH" w:eastAsia="en-PH"/>
              </w:rPr>
              <w:t>Charity</w:t>
            </w:r>
          </w:p>
        </w:tc>
        <w:tc>
          <w:tcPr>
            <w:tcW w:w="1041" w:type="dxa"/>
            <w:tcBorders>
              <w:top w:val="single" w:sz="8" w:space="0" w:color="auto"/>
              <w:left w:val="nil"/>
              <w:bottom w:val="single" w:sz="8" w:space="0" w:color="auto"/>
              <w:right w:val="nil"/>
            </w:tcBorders>
            <w:shd w:val="clear" w:color="auto" w:fill="auto"/>
            <w:noWrap/>
            <w:vAlign w:val="center"/>
            <w:hideMark/>
          </w:tcPr>
          <w:p w14:paraId="46AB6E17" w14:textId="1CA4959B" w:rsidR="007437A9" w:rsidRPr="009E35ED" w:rsidRDefault="007437A9" w:rsidP="00B90388">
            <w:pPr>
              <w:keepNext/>
              <w:keepLines/>
              <w:ind w:left="0"/>
              <w:jc w:val="center"/>
              <w:rPr>
                <w:rFonts w:ascii="Arial Narrow" w:hAnsi="Arial Narrow"/>
                <w:b/>
                <w:bCs/>
                <w:color w:val="000000" w:themeColor="text1"/>
                <w:sz w:val="18"/>
                <w:szCs w:val="18"/>
                <w:lang w:val="en-PH" w:eastAsia="en-PH"/>
              </w:rPr>
            </w:pPr>
            <w:r w:rsidRPr="009E35ED">
              <w:rPr>
                <w:rFonts w:ascii="Arial Narrow" w:hAnsi="Arial Narrow"/>
                <w:b/>
                <w:bCs/>
                <w:color w:val="000000" w:themeColor="text1"/>
                <w:sz w:val="18"/>
                <w:szCs w:val="18"/>
                <w:lang w:val="en-PH" w:eastAsia="en-PH"/>
              </w:rPr>
              <w:t>Prize</w:t>
            </w:r>
          </w:p>
        </w:tc>
        <w:tc>
          <w:tcPr>
            <w:tcW w:w="1839" w:type="dxa"/>
            <w:tcBorders>
              <w:top w:val="single" w:sz="8" w:space="0" w:color="auto"/>
              <w:left w:val="nil"/>
              <w:bottom w:val="single" w:sz="8" w:space="0" w:color="auto"/>
              <w:right w:val="nil"/>
            </w:tcBorders>
            <w:shd w:val="clear" w:color="auto" w:fill="auto"/>
            <w:noWrap/>
            <w:vAlign w:val="center"/>
            <w:hideMark/>
          </w:tcPr>
          <w:p w14:paraId="39AB377B" w14:textId="1F248CD2" w:rsidR="007437A9" w:rsidRPr="009E35ED" w:rsidRDefault="007437A9" w:rsidP="00B90388">
            <w:pPr>
              <w:keepNext/>
              <w:keepLines/>
              <w:ind w:left="0"/>
              <w:jc w:val="center"/>
              <w:rPr>
                <w:rFonts w:ascii="Arial Narrow" w:hAnsi="Arial Narrow"/>
                <w:b/>
                <w:bCs/>
                <w:color w:val="000000" w:themeColor="text1"/>
                <w:sz w:val="18"/>
                <w:szCs w:val="18"/>
                <w:lang w:val="en-PH" w:eastAsia="en-PH"/>
              </w:rPr>
            </w:pPr>
            <w:r w:rsidRPr="009E35ED">
              <w:rPr>
                <w:rFonts w:ascii="Arial Narrow" w:hAnsi="Arial Narrow"/>
                <w:b/>
                <w:bCs/>
                <w:color w:val="000000" w:themeColor="text1"/>
                <w:sz w:val="18"/>
                <w:szCs w:val="18"/>
                <w:lang w:val="en-PH" w:eastAsia="en-PH"/>
              </w:rPr>
              <w:t>202</w:t>
            </w:r>
            <w:r w:rsidR="00B13601" w:rsidRPr="009E35ED">
              <w:rPr>
                <w:rFonts w:ascii="Arial Narrow" w:hAnsi="Arial Narrow"/>
                <w:b/>
                <w:bCs/>
                <w:color w:val="000000" w:themeColor="text1"/>
                <w:sz w:val="18"/>
                <w:szCs w:val="18"/>
                <w:lang w:val="en-PH" w:eastAsia="en-PH"/>
              </w:rPr>
              <w:t>3</w:t>
            </w:r>
          </w:p>
        </w:tc>
      </w:tr>
      <w:tr w:rsidR="00997F75" w:rsidRPr="009E35ED" w14:paraId="28ED001D" w14:textId="77777777" w:rsidTr="00860ED6">
        <w:trPr>
          <w:trHeight w:val="300"/>
        </w:trPr>
        <w:tc>
          <w:tcPr>
            <w:tcW w:w="3643" w:type="dxa"/>
            <w:gridSpan w:val="4"/>
            <w:tcBorders>
              <w:top w:val="single" w:sz="8" w:space="0" w:color="auto"/>
              <w:left w:val="nil"/>
              <w:right w:val="nil"/>
            </w:tcBorders>
            <w:shd w:val="clear" w:color="auto" w:fill="auto"/>
            <w:noWrap/>
            <w:vAlign w:val="center"/>
            <w:hideMark/>
          </w:tcPr>
          <w:p w14:paraId="2EB9AC2D" w14:textId="77777777" w:rsidR="00CE251D" w:rsidRPr="009E35ED" w:rsidRDefault="00CE251D" w:rsidP="00B90388">
            <w:pPr>
              <w:keepNext/>
              <w:keepLines/>
              <w:ind w:left="0"/>
              <w:jc w:val="left"/>
              <w:rPr>
                <w:rFonts w:ascii="Arial Narrow" w:hAnsi="Arial Narrow"/>
                <w:b/>
                <w:bCs/>
                <w:color w:val="000000" w:themeColor="text1"/>
                <w:sz w:val="8"/>
                <w:szCs w:val="18"/>
                <w:lang w:val="en-PH" w:eastAsia="en-PH"/>
              </w:rPr>
            </w:pPr>
          </w:p>
          <w:p w14:paraId="59972CE4" w14:textId="6CE1D51D" w:rsidR="007437A9" w:rsidRPr="009E35ED" w:rsidRDefault="007437A9" w:rsidP="00B90388">
            <w:pPr>
              <w:keepNext/>
              <w:keepLines/>
              <w:ind w:left="0"/>
              <w:jc w:val="left"/>
              <w:rPr>
                <w:rFonts w:ascii="Arial Narrow" w:hAnsi="Arial Narrow"/>
                <w:b/>
                <w:bCs/>
                <w:color w:val="000000" w:themeColor="text1"/>
                <w:sz w:val="18"/>
                <w:szCs w:val="18"/>
                <w:lang w:val="en-PH" w:eastAsia="en-PH"/>
              </w:rPr>
            </w:pPr>
            <w:r w:rsidRPr="009E35ED">
              <w:rPr>
                <w:rFonts w:ascii="Arial Narrow" w:hAnsi="Arial Narrow"/>
                <w:b/>
                <w:bCs/>
                <w:color w:val="000000" w:themeColor="text1"/>
                <w:sz w:val="18"/>
                <w:szCs w:val="18"/>
                <w:lang w:val="en-PH" w:eastAsia="en-PH"/>
              </w:rPr>
              <w:t>Personal Services</w:t>
            </w:r>
          </w:p>
          <w:p w14:paraId="512349C4" w14:textId="5A506748" w:rsidR="00CE251D" w:rsidRPr="009E35ED" w:rsidRDefault="00CE251D" w:rsidP="00B90388">
            <w:pPr>
              <w:keepNext/>
              <w:keepLines/>
              <w:ind w:left="0"/>
              <w:jc w:val="left"/>
              <w:rPr>
                <w:rFonts w:ascii="Arial Narrow" w:hAnsi="Arial Narrow"/>
                <w:b/>
                <w:bCs/>
                <w:color w:val="000000" w:themeColor="text1"/>
                <w:sz w:val="12"/>
                <w:szCs w:val="18"/>
                <w:lang w:val="en-PH" w:eastAsia="en-PH"/>
              </w:rPr>
            </w:pPr>
          </w:p>
        </w:tc>
        <w:tc>
          <w:tcPr>
            <w:tcW w:w="1070" w:type="dxa"/>
            <w:tcBorders>
              <w:top w:val="nil"/>
              <w:left w:val="nil"/>
              <w:right w:val="nil"/>
            </w:tcBorders>
            <w:shd w:val="clear" w:color="auto" w:fill="auto"/>
            <w:noWrap/>
            <w:vAlign w:val="bottom"/>
            <w:hideMark/>
          </w:tcPr>
          <w:p w14:paraId="51D1C9BB" w14:textId="77777777" w:rsidR="007437A9" w:rsidRPr="009E35ED" w:rsidRDefault="007437A9" w:rsidP="00B90388">
            <w:pPr>
              <w:keepNext/>
              <w:keepLines/>
              <w:ind w:left="0"/>
              <w:jc w:val="left"/>
              <w:rPr>
                <w:rFonts w:ascii="Arial Narrow" w:hAnsi="Arial Narrow"/>
                <w:b/>
                <w:bCs/>
                <w:color w:val="000000" w:themeColor="text1"/>
                <w:sz w:val="18"/>
                <w:szCs w:val="18"/>
                <w:lang w:val="en-PH" w:eastAsia="en-PH"/>
              </w:rPr>
            </w:pPr>
          </w:p>
        </w:tc>
        <w:tc>
          <w:tcPr>
            <w:tcW w:w="1241" w:type="dxa"/>
            <w:tcBorders>
              <w:top w:val="nil"/>
              <w:left w:val="nil"/>
              <w:right w:val="nil"/>
            </w:tcBorders>
            <w:shd w:val="clear" w:color="auto" w:fill="auto"/>
            <w:noWrap/>
            <w:vAlign w:val="bottom"/>
            <w:hideMark/>
          </w:tcPr>
          <w:p w14:paraId="7834E97D" w14:textId="77777777" w:rsidR="007437A9" w:rsidRPr="009E35ED" w:rsidRDefault="007437A9" w:rsidP="00B90388">
            <w:pPr>
              <w:keepNext/>
              <w:keepLines/>
              <w:ind w:left="0"/>
              <w:jc w:val="left"/>
              <w:rPr>
                <w:rFonts w:ascii="Arial Narrow" w:hAnsi="Arial Narrow"/>
                <w:color w:val="000000" w:themeColor="text1"/>
                <w:sz w:val="18"/>
                <w:szCs w:val="18"/>
                <w:lang w:val="en-PH" w:eastAsia="en-PH"/>
              </w:rPr>
            </w:pPr>
          </w:p>
        </w:tc>
        <w:tc>
          <w:tcPr>
            <w:tcW w:w="1041" w:type="dxa"/>
            <w:tcBorders>
              <w:top w:val="nil"/>
              <w:left w:val="nil"/>
              <w:right w:val="nil"/>
            </w:tcBorders>
            <w:shd w:val="clear" w:color="auto" w:fill="auto"/>
            <w:noWrap/>
            <w:vAlign w:val="bottom"/>
            <w:hideMark/>
          </w:tcPr>
          <w:p w14:paraId="20EE6975" w14:textId="77777777" w:rsidR="007437A9" w:rsidRPr="009E35ED" w:rsidRDefault="007437A9" w:rsidP="00B90388">
            <w:pPr>
              <w:keepNext/>
              <w:keepLines/>
              <w:ind w:left="0"/>
              <w:jc w:val="left"/>
              <w:rPr>
                <w:rFonts w:ascii="Arial Narrow" w:hAnsi="Arial Narrow"/>
                <w:color w:val="000000" w:themeColor="text1"/>
                <w:sz w:val="18"/>
                <w:szCs w:val="18"/>
                <w:lang w:val="en-PH" w:eastAsia="en-PH"/>
              </w:rPr>
            </w:pPr>
          </w:p>
        </w:tc>
        <w:tc>
          <w:tcPr>
            <w:tcW w:w="1839" w:type="dxa"/>
            <w:tcBorders>
              <w:top w:val="nil"/>
              <w:left w:val="nil"/>
              <w:right w:val="nil"/>
            </w:tcBorders>
            <w:shd w:val="clear" w:color="auto" w:fill="auto"/>
            <w:noWrap/>
            <w:vAlign w:val="bottom"/>
            <w:hideMark/>
          </w:tcPr>
          <w:p w14:paraId="75506985" w14:textId="77777777" w:rsidR="007437A9" w:rsidRPr="009E35ED" w:rsidRDefault="007437A9" w:rsidP="00B90388">
            <w:pPr>
              <w:keepNext/>
              <w:keepLines/>
              <w:ind w:left="0"/>
              <w:jc w:val="left"/>
              <w:rPr>
                <w:rFonts w:ascii="Arial Narrow" w:hAnsi="Arial Narrow"/>
                <w:color w:val="000000" w:themeColor="text1"/>
                <w:sz w:val="18"/>
                <w:szCs w:val="18"/>
                <w:lang w:val="en-PH" w:eastAsia="en-PH"/>
              </w:rPr>
            </w:pPr>
          </w:p>
        </w:tc>
      </w:tr>
      <w:tr w:rsidR="00FA18A5" w:rsidRPr="009E35ED" w14:paraId="64F0983A" w14:textId="77777777" w:rsidTr="00860ED6">
        <w:trPr>
          <w:trHeight w:val="45"/>
        </w:trPr>
        <w:tc>
          <w:tcPr>
            <w:tcW w:w="3643" w:type="dxa"/>
            <w:gridSpan w:val="4"/>
            <w:shd w:val="clear" w:color="auto" w:fill="auto"/>
            <w:noWrap/>
            <w:vAlign w:val="center"/>
            <w:hideMark/>
          </w:tcPr>
          <w:p w14:paraId="272A287C" w14:textId="3CF0AAA7" w:rsidR="00FA18A5" w:rsidRPr="009E35ED" w:rsidRDefault="00FA18A5" w:rsidP="00B90388">
            <w:pPr>
              <w:keepNext/>
              <w:keepLines/>
              <w:ind w:left="0"/>
              <w:jc w:val="lef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 xml:space="preserve">Salaries and </w:t>
            </w:r>
            <w:r w:rsidR="006A1323">
              <w:rPr>
                <w:rFonts w:ascii="Arial Narrow" w:hAnsi="Arial Narrow"/>
                <w:color w:val="000000" w:themeColor="text1"/>
                <w:sz w:val="16"/>
                <w:szCs w:val="16"/>
                <w:lang w:val="en-PH" w:eastAsia="en-PH"/>
              </w:rPr>
              <w:t>w</w:t>
            </w:r>
            <w:r w:rsidRPr="009E35ED">
              <w:rPr>
                <w:rFonts w:ascii="Arial Narrow" w:hAnsi="Arial Narrow"/>
                <w:color w:val="000000" w:themeColor="text1"/>
                <w:sz w:val="16"/>
                <w:szCs w:val="16"/>
                <w:lang w:val="en-PH" w:eastAsia="en-PH"/>
              </w:rPr>
              <w:t>ages</w:t>
            </w:r>
          </w:p>
        </w:tc>
        <w:tc>
          <w:tcPr>
            <w:tcW w:w="1070" w:type="dxa"/>
            <w:shd w:val="clear" w:color="auto" w:fill="auto"/>
            <w:noWrap/>
            <w:hideMark/>
          </w:tcPr>
          <w:p w14:paraId="175FEF9F" w14:textId="14F6D34E" w:rsidR="00FA18A5" w:rsidRPr="009E35ED" w:rsidRDefault="00FA18A5" w:rsidP="00B90388">
            <w:pPr>
              <w:keepNext/>
              <w:keepLines/>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rPr>
              <w:t xml:space="preserve">628,208,053 </w:t>
            </w:r>
          </w:p>
        </w:tc>
        <w:tc>
          <w:tcPr>
            <w:tcW w:w="1241" w:type="dxa"/>
            <w:shd w:val="clear" w:color="auto" w:fill="auto"/>
            <w:noWrap/>
            <w:vAlign w:val="center"/>
            <w:hideMark/>
          </w:tcPr>
          <w:p w14:paraId="567860AE" w14:textId="77777777" w:rsidR="00FA18A5" w:rsidRPr="009E35ED" w:rsidRDefault="00FA18A5" w:rsidP="00B90388">
            <w:pPr>
              <w:keepNext/>
              <w:keepLines/>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041" w:type="dxa"/>
            <w:shd w:val="clear" w:color="auto" w:fill="auto"/>
            <w:noWrap/>
            <w:vAlign w:val="center"/>
            <w:hideMark/>
          </w:tcPr>
          <w:p w14:paraId="6321DCB5" w14:textId="77777777" w:rsidR="00FA18A5" w:rsidRPr="009E35ED" w:rsidRDefault="00FA18A5" w:rsidP="00B90388">
            <w:pPr>
              <w:keepNext/>
              <w:keepLines/>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839" w:type="dxa"/>
            <w:shd w:val="clear" w:color="auto" w:fill="auto"/>
            <w:noWrap/>
            <w:hideMark/>
          </w:tcPr>
          <w:p w14:paraId="251D025E" w14:textId="5671B086" w:rsidR="00FA18A5" w:rsidRPr="009E35ED" w:rsidRDefault="00FA18A5" w:rsidP="00B90388">
            <w:pPr>
              <w:keepNext/>
              <w:keepLines/>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rPr>
              <w:t xml:space="preserve">628,208,053 </w:t>
            </w:r>
          </w:p>
        </w:tc>
      </w:tr>
      <w:tr w:rsidR="00FA18A5" w:rsidRPr="009E35ED" w14:paraId="79F2B73C" w14:textId="77777777" w:rsidTr="00860ED6">
        <w:trPr>
          <w:trHeight w:val="93"/>
        </w:trPr>
        <w:tc>
          <w:tcPr>
            <w:tcW w:w="3643" w:type="dxa"/>
            <w:gridSpan w:val="4"/>
            <w:shd w:val="clear" w:color="auto" w:fill="auto"/>
            <w:noWrap/>
            <w:vAlign w:val="center"/>
            <w:hideMark/>
          </w:tcPr>
          <w:p w14:paraId="7D0CDF3B" w14:textId="77777777" w:rsidR="00FA18A5" w:rsidRPr="009E35ED" w:rsidRDefault="00FA18A5" w:rsidP="00B90388">
            <w:pPr>
              <w:keepNext/>
              <w:keepLines/>
              <w:ind w:left="0"/>
              <w:jc w:val="lef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Personnel Economic Relief Allowance (PERA)</w:t>
            </w:r>
          </w:p>
        </w:tc>
        <w:tc>
          <w:tcPr>
            <w:tcW w:w="1070" w:type="dxa"/>
            <w:shd w:val="clear" w:color="auto" w:fill="auto"/>
            <w:noWrap/>
            <w:hideMark/>
          </w:tcPr>
          <w:p w14:paraId="71DCC56E" w14:textId="0094738A" w:rsidR="00FA18A5" w:rsidRPr="009E35ED" w:rsidRDefault="00FA18A5" w:rsidP="00B90388">
            <w:pPr>
              <w:keepNext/>
              <w:keepLines/>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rPr>
              <w:t xml:space="preserve">26,537,324 </w:t>
            </w:r>
          </w:p>
        </w:tc>
        <w:tc>
          <w:tcPr>
            <w:tcW w:w="1241" w:type="dxa"/>
            <w:shd w:val="clear" w:color="auto" w:fill="auto"/>
            <w:noWrap/>
            <w:vAlign w:val="center"/>
            <w:hideMark/>
          </w:tcPr>
          <w:p w14:paraId="3D8EF57D" w14:textId="77777777" w:rsidR="00FA18A5" w:rsidRPr="009E35ED" w:rsidRDefault="00FA18A5" w:rsidP="00B90388">
            <w:pPr>
              <w:keepNext/>
              <w:keepLines/>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041" w:type="dxa"/>
            <w:shd w:val="clear" w:color="auto" w:fill="auto"/>
            <w:noWrap/>
            <w:vAlign w:val="center"/>
            <w:hideMark/>
          </w:tcPr>
          <w:p w14:paraId="306C7EDF" w14:textId="77777777" w:rsidR="00FA18A5" w:rsidRPr="009E35ED" w:rsidRDefault="00FA18A5" w:rsidP="00B90388">
            <w:pPr>
              <w:keepNext/>
              <w:keepLines/>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839" w:type="dxa"/>
            <w:shd w:val="clear" w:color="auto" w:fill="auto"/>
            <w:noWrap/>
            <w:hideMark/>
          </w:tcPr>
          <w:p w14:paraId="4D4C0F45" w14:textId="7A2DC880" w:rsidR="00FA18A5" w:rsidRPr="009E35ED" w:rsidRDefault="00FA18A5" w:rsidP="00B90388">
            <w:pPr>
              <w:keepNext/>
              <w:keepLines/>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rPr>
              <w:t xml:space="preserve">26,537,324 </w:t>
            </w:r>
          </w:p>
        </w:tc>
      </w:tr>
      <w:tr w:rsidR="00FA18A5" w:rsidRPr="009E35ED" w14:paraId="4F6F81F4" w14:textId="77777777" w:rsidTr="00860ED6">
        <w:trPr>
          <w:trHeight w:val="70"/>
        </w:trPr>
        <w:tc>
          <w:tcPr>
            <w:tcW w:w="3643" w:type="dxa"/>
            <w:gridSpan w:val="4"/>
            <w:shd w:val="clear" w:color="auto" w:fill="auto"/>
            <w:noWrap/>
            <w:vAlign w:val="center"/>
            <w:hideMark/>
          </w:tcPr>
          <w:p w14:paraId="6F6C6B96" w14:textId="77777777" w:rsidR="00FA18A5" w:rsidRPr="009E35ED" w:rsidRDefault="00FA18A5" w:rsidP="00B90388">
            <w:pPr>
              <w:keepNext/>
              <w:keepLines/>
              <w:ind w:left="0"/>
              <w:jc w:val="lef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Representation and Transportation Allowance (RATA)</w:t>
            </w:r>
          </w:p>
        </w:tc>
        <w:tc>
          <w:tcPr>
            <w:tcW w:w="1070" w:type="dxa"/>
            <w:shd w:val="clear" w:color="auto" w:fill="auto"/>
            <w:noWrap/>
            <w:hideMark/>
          </w:tcPr>
          <w:p w14:paraId="2D683DD3" w14:textId="21664C01" w:rsidR="00FA18A5" w:rsidRPr="009E35ED" w:rsidRDefault="00FA18A5" w:rsidP="00B90388">
            <w:pPr>
              <w:keepNext/>
              <w:keepLines/>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rPr>
              <w:t xml:space="preserve"> 18,554,561 </w:t>
            </w:r>
          </w:p>
        </w:tc>
        <w:tc>
          <w:tcPr>
            <w:tcW w:w="1241" w:type="dxa"/>
            <w:shd w:val="clear" w:color="auto" w:fill="auto"/>
            <w:noWrap/>
            <w:vAlign w:val="center"/>
            <w:hideMark/>
          </w:tcPr>
          <w:p w14:paraId="13188386" w14:textId="77777777" w:rsidR="00FA18A5" w:rsidRPr="009E35ED" w:rsidRDefault="00FA18A5" w:rsidP="00B90388">
            <w:pPr>
              <w:keepNext/>
              <w:keepLines/>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041" w:type="dxa"/>
            <w:shd w:val="clear" w:color="auto" w:fill="auto"/>
            <w:noWrap/>
            <w:vAlign w:val="center"/>
            <w:hideMark/>
          </w:tcPr>
          <w:p w14:paraId="2E7A642D" w14:textId="77777777" w:rsidR="00FA18A5" w:rsidRPr="009E35ED" w:rsidRDefault="00FA18A5" w:rsidP="00B90388">
            <w:pPr>
              <w:keepNext/>
              <w:keepLines/>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839" w:type="dxa"/>
            <w:shd w:val="clear" w:color="auto" w:fill="auto"/>
            <w:noWrap/>
            <w:hideMark/>
          </w:tcPr>
          <w:p w14:paraId="2861EA8A" w14:textId="2C60EA81" w:rsidR="00FA18A5" w:rsidRPr="009E35ED" w:rsidRDefault="00FA18A5" w:rsidP="00B90388">
            <w:pPr>
              <w:keepNext/>
              <w:keepLines/>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rPr>
              <w:t xml:space="preserve"> 18,554,561 </w:t>
            </w:r>
          </w:p>
        </w:tc>
      </w:tr>
      <w:tr w:rsidR="00FA18A5" w:rsidRPr="009E35ED" w14:paraId="36828109" w14:textId="77777777" w:rsidTr="00860ED6">
        <w:trPr>
          <w:trHeight w:val="45"/>
        </w:trPr>
        <w:tc>
          <w:tcPr>
            <w:tcW w:w="3643" w:type="dxa"/>
            <w:gridSpan w:val="4"/>
            <w:shd w:val="clear" w:color="auto" w:fill="auto"/>
            <w:noWrap/>
            <w:vAlign w:val="center"/>
            <w:hideMark/>
          </w:tcPr>
          <w:p w14:paraId="03D954F9" w14:textId="77CF93D1" w:rsidR="00FA18A5" w:rsidRPr="009E35ED" w:rsidRDefault="00FA18A5" w:rsidP="00B90388">
            <w:pPr>
              <w:keepNext/>
              <w:keepLines/>
              <w:ind w:left="0"/>
              <w:jc w:val="lef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 xml:space="preserve">Clothing/Uniform </w:t>
            </w:r>
            <w:r w:rsidR="006A1323">
              <w:rPr>
                <w:rFonts w:ascii="Arial Narrow" w:hAnsi="Arial Narrow"/>
                <w:color w:val="000000" w:themeColor="text1"/>
                <w:sz w:val="16"/>
                <w:szCs w:val="16"/>
                <w:lang w:val="en-PH" w:eastAsia="en-PH"/>
              </w:rPr>
              <w:t>a</w:t>
            </w:r>
            <w:r w:rsidRPr="009E35ED">
              <w:rPr>
                <w:rFonts w:ascii="Arial Narrow" w:hAnsi="Arial Narrow"/>
                <w:color w:val="000000" w:themeColor="text1"/>
                <w:sz w:val="16"/>
                <w:szCs w:val="16"/>
                <w:lang w:val="en-PH" w:eastAsia="en-PH"/>
              </w:rPr>
              <w:t>llowance</w:t>
            </w:r>
          </w:p>
        </w:tc>
        <w:tc>
          <w:tcPr>
            <w:tcW w:w="1070" w:type="dxa"/>
            <w:shd w:val="clear" w:color="auto" w:fill="auto"/>
            <w:noWrap/>
            <w:hideMark/>
          </w:tcPr>
          <w:p w14:paraId="439D7414" w14:textId="4E38BFB6" w:rsidR="00FA18A5" w:rsidRPr="009E35ED" w:rsidRDefault="00FA18A5" w:rsidP="00B90388">
            <w:pPr>
              <w:keepNext/>
              <w:keepLines/>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rPr>
              <w:t xml:space="preserve"> 6,732,000 </w:t>
            </w:r>
          </w:p>
        </w:tc>
        <w:tc>
          <w:tcPr>
            <w:tcW w:w="1241" w:type="dxa"/>
            <w:shd w:val="clear" w:color="auto" w:fill="auto"/>
            <w:noWrap/>
            <w:vAlign w:val="center"/>
            <w:hideMark/>
          </w:tcPr>
          <w:p w14:paraId="0A7AEFC5" w14:textId="77777777" w:rsidR="00FA18A5" w:rsidRPr="009E35ED" w:rsidRDefault="00FA18A5" w:rsidP="00B90388">
            <w:pPr>
              <w:keepNext/>
              <w:keepLines/>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041" w:type="dxa"/>
            <w:shd w:val="clear" w:color="auto" w:fill="auto"/>
            <w:noWrap/>
            <w:vAlign w:val="center"/>
            <w:hideMark/>
          </w:tcPr>
          <w:p w14:paraId="294D1D81" w14:textId="77777777" w:rsidR="00FA18A5" w:rsidRPr="009E35ED" w:rsidRDefault="00FA18A5" w:rsidP="00B90388">
            <w:pPr>
              <w:keepNext/>
              <w:keepLines/>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839" w:type="dxa"/>
            <w:shd w:val="clear" w:color="auto" w:fill="auto"/>
            <w:noWrap/>
            <w:hideMark/>
          </w:tcPr>
          <w:p w14:paraId="0E71958A" w14:textId="36DCA2B2" w:rsidR="00FA18A5" w:rsidRPr="009E35ED" w:rsidRDefault="00FA18A5" w:rsidP="00B90388">
            <w:pPr>
              <w:keepNext/>
              <w:keepLines/>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rPr>
              <w:t xml:space="preserve"> 6,732,000 </w:t>
            </w:r>
          </w:p>
        </w:tc>
      </w:tr>
      <w:tr w:rsidR="00FA18A5" w:rsidRPr="009E35ED" w14:paraId="094F3021" w14:textId="77777777" w:rsidTr="00860ED6">
        <w:trPr>
          <w:trHeight w:val="45"/>
        </w:trPr>
        <w:tc>
          <w:tcPr>
            <w:tcW w:w="3643" w:type="dxa"/>
            <w:gridSpan w:val="4"/>
            <w:shd w:val="clear" w:color="auto" w:fill="auto"/>
            <w:noWrap/>
            <w:vAlign w:val="center"/>
            <w:hideMark/>
          </w:tcPr>
          <w:p w14:paraId="479D0F0F" w14:textId="7166C03E" w:rsidR="00FA18A5" w:rsidRPr="009E35ED" w:rsidRDefault="00FA18A5" w:rsidP="00B90388">
            <w:pPr>
              <w:keepNext/>
              <w:keepLines/>
              <w:ind w:left="0"/>
              <w:jc w:val="lef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 xml:space="preserve">Subsistence </w:t>
            </w:r>
            <w:r w:rsidR="006A1323">
              <w:rPr>
                <w:rFonts w:ascii="Arial Narrow" w:hAnsi="Arial Narrow"/>
                <w:color w:val="000000" w:themeColor="text1"/>
                <w:sz w:val="16"/>
                <w:szCs w:val="16"/>
                <w:lang w:val="en-PH" w:eastAsia="en-PH"/>
              </w:rPr>
              <w:t>a</w:t>
            </w:r>
            <w:r w:rsidRPr="009E35ED">
              <w:rPr>
                <w:rFonts w:ascii="Arial Narrow" w:hAnsi="Arial Narrow"/>
                <w:color w:val="000000" w:themeColor="text1"/>
                <w:sz w:val="16"/>
                <w:szCs w:val="16"/>
                <w:lang w:val="en-PH" w:eastAsia="en-PH"/>
              </w:rPr>
              <w:t>llowance</w:t>
            </w:r>
          </w:p>
        </w:tc>
        <w:tc>
          <w:tcPr>
            <w:tcW w:w="1070" w:type="dxa"/>
            <w:shd w:val="clear" w:color="auto" w:fill="auto"/>
            <w:noWrap/>
            <w:hideMark/>
          </w:tcPr>
          <w:p w14:paraId="6F5795A7" w14:textId="3F31B431" w:rsidR="00FA18A5" w:rsidRPr="009E35ED" w:rsidRDefault="00FA18A5" w:rsidP="00B90388">
            <w:pPr>
              <w:keepNext/>
              <w:keepLines/>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rPr>
              <w:t xml:space="preserve"> 492,800 </w:t>
            </w:r>
          </w:p>
        </w:tc>
        <w:tc>
          <w:tcPr>
            <w:tcW w:w="1241" w:type="dxa"/>
            <w:shd w:val="clear" w:color="auto" w:fill="auto"/>
            <w:noWrap/>
            <w:vAlign w:val="center"/>
            <w:hideMark/>
          </w:tcPr>
          <w:p w14:paraId="0E151464" w14:textId="77777777" w:rsidR="00FA18A5" w:rsidRPr="009E35ED" w:rsidRDefault="00FA18A5" w:rsidP="00B90388">
            <w:pPr>
              <w:keepNext/>
              <w:keepLines/>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041" w:type="dxa"/>
            <w:shd w:val="clear" w:color="auto" w:fill="auto"/>
            <w:noWrap/>
            <w:vAlign w:val="center"/>
            <w:hideMark/>
          </w:tcPr>
          <w:p w14:paraId="59BC0962" w14:textId="77777777" w:rsidR="00FA18A5" w:rsidRPr="009E35ED" w:rsidRDefault="00FA18A5" w:rsidP="00B90388">
            <w:pPr>
              <w:keepNext/>
              <w:keepLines/>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839" w:type="dxa"/>
            <w:shd w:val="clear" w:color="auto" w:fill="auto"/>
            <w:noWrap/>
            <w:hideMark/>
          </w:tcPr>
          <w:p w14:paraId="1DC0D244" w14:textId="27555328" w:rsidR="00FA18A5" w:rsidRPr="009E35ED" w:rsidRDefault="00FA18A5" w:rsidP="00B90388">
            <w:pPr>
              <w:keepNext/>
              <w:keepLines/>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rPr>
              <w:t xml:space="preserve"> 492,800 </w:t>
            </w:r>
          </w:p>
        </w:tc>
      </w:tr>
      <w:tr w:rsidR="00FA18A5" w:rsidRPr="009E35ED" w14:paraId="10184EB4" w14:textId="77777777" w:rsidTr="00860ED6">
        <w:trPr>
          <w:trHeight w:val="45"/>
        </w:trPr>
        <w:tc>
          <w:tcPr>
            <w:tcW w:w="3643" w:type="dxa"/>
            <w:gridSpan w:val="4"/>
            <w:shd w:val="clear" w:color="auto" w:fill="auto"/>
            <w:noWrap/>
            <w:vAlign w:val="center"/>
            <w:hideMark/>
          </w:tcPr>
          <w:p w14:paraId="3DF62905" w14:textId="0DEA0C87" w:rsidR="00FA18A5" w:rsidRPr="009E35ED" w:rsidRDefault="00FA18A5" w:rsidP="00B90388">
            <w:pPr>
              <w:keepNext/>
              <w:keepLines/>
              <w:ind w:left="0"/>
              <w:jc w:val="lef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 xml:space="preserve">Laundry </w:t>
            </w:r>
            <w:r w:rsidR="006A1323">
              <w:rPr>
                <w:rFonts w:ascii="Arial Narrow" w:hAnsi="Arial Narrow"/>
                <w:color w:val="000000" w:themeColor="text1"/>
                <w:sz w:val="16"/>
                <w:szCs w:val="16"/>
                <w:lang w:val="en-PH" w:eastAsia="en-PH"/>
              </w:rPr>
              <w:t>a</w:t>
            </w:r>
            <w:r w:rsidRPr="009E35ED">
              <w:rPr>
                <w:rFonts w:ascii="Arial Narrow" w:hAnsi="Arial Narrow"/>
                <w:color w:val="000000" w:themeColor="text1"/>
                <w:sz w:val="16"/>
                <w:szCs w:val="16"/>
                <w:lang w:val="en-PH" w:eastAsia="en-PH"/>
              </w:rPr>
              <w:t>llowance</w:t>
            </w:r>
          </w:p>
        </w:tc>
        <w:tc>
          <w:tcPr>
            <w:tcW w:w="1070" w:type="dxa"/>
            <w:shd w:val="clear" w:color="auto" w:fill="auto"/>
            <w:noWrap/>
            <w:hideMark/>
          </w:tcPr>
          <w:p w14:paraId="27908626" w14:textId="0C7208D7" w:rsidR="00FA18A5" w:rsidRPr="009E35ED" w:rsidRDefault="00FA18A5" w:rsidP="00B90388">
            <w:pPr>
              <w:keepNext/>
              <w:keepLines/>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rPr>
              <w:t xml:space="preserve"> 67,200 </w:t>
            </w:r>
          </w:p>
        </w:tc>
        <w:tc>
          <w:tcPr>
            <w:tcW w:w="1241" w:type="dxa"/>
            <w:shd w:val="clear" w:color="auto" w:fill="auto"/>
            <w:noWrap/>
            <w:vAlign w:val="center"/>
            <w:hideMark/>
          </w:tcPr>
          <w:p w14:paraId="6E7737C5" w14:textId="77777777" w:rsidR="00FA18A5" w:rsidRPr="009E35ED" w:rsidRDefault="00FA18A5" w:rsidP="00B90388">
            <w:pPr>
              <w:keepNext/>
              <w:keepLines/>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041" w:type="dxa"/>
            <w:shd w:val="clear" w:color="auto" w:fill="auto"/>
            <w:noWrap/>
            <w:vAlign w:val="center"/>
            <w:hideMark/>
          </w:tcPr>
          <w:p w14:paraId="6EA363D8" w14:textId="77777777" w:rsidR="00FA18A5" w:rsidRPr="009E35ED" w:rsidRDefault="00FA18A5" w:rsidP="00B90388">
            <w:pPr>
              <w:keepNext/>
              <w:keepLines/>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839" w:type="dxa"/>
            <w:shd w:val="clear" w:color="auto" w:fill="auto"/>
            <w:noWrap/>
            <w:hideMark/>
          </w:tcPr>
          <w:p w14:paraId="0D3A493D" w14:textId="04D0D02B" w:rsidR="00FA18A5" w:rsidRPr="009E35ED" w:rsidRDefault="00FA18A5" w:rsidP="00B90388">
            <w:pPr>
              <w:keepNext/>
              <w:keepLines/>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rPr>
              <w:t xml:space="preserve"> 67,200 </w:t>
            </w:r>
          </w:p>
        </w:tc>
      </w:tr>
      <w:tr w:rsidR="00FA18A5" w:rsidRPr="009E35ED" w14:paraId="2113E770" w14:textId="77777777" w:rsidTr="00860ED6">
        <w:trPr>
          <w:trHeight w:val="45"/>
        </w:trPr>
        <w:tc>
          <w:tcPr>
            <w:tcW w:w="3643" w:type="dxa"/>
            <w:gridSpan w:val="4"/>
            <w:shd w:val="clear" w:color="auto" w:fill="auto"/>
            <w:noWrap/>
            <w:vAlign w:val="center"/>
            <w:hideMark/>
          </w:tcPr>
          <w:p w14:paraId="0F9002F2" w14:textId="66EF5036" w:rsidR="00FA18A5" w:rsidRPr="009E35ED" w:rsidRDefault="00FA18A5" w:rsidP="00B90388">
            <w:pPr>
              <w:keepNext/>
              <w:keepLines/>
              <w:ind w:left="0"/>
              <w:jc w:val="lef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 xml:space="preserve">Hazard </w:t>
            </w:r>
            <w:r w:rsidR="006A1323">
              <w:rPr>
                <w:rFonts w:ascii="Arial Narrow" w:hAnsi="Arial Narrow"/>
                <w:color w:val="000000" w:themeColor="text1"/>
                <w:sz w:val="16"/>
                <w:szCs w:val="16"/>
                <w:lang w:val="en-PH" w:eastAsia="en-PH"/>
              </w:rPr>
              <w:t>p</w:t>
            </w:r>
            <w:r w:rsidRPr="009E35ED">
              <w:rPr>
                <w:rFonts w:ascii="Arial Narrow" w:hAnsi="Arial Narrow"/>
                <w:color w:val="000000" w:themeColor="text1"/>
                <w:sz w:val="16"/>
                <w:szCs w:val="16"/>
                <w:lang w:val="en-PH" w:eastAsia="en-PH"/>
              </w:rPr>
              <w:t>ay</w:t>
            </w:r>
          </w:p>
        </w:tc>
        <w:tc>
          <w:tcPr>
            <w:tcW w:w="1070" w:type="dxa"/>
            <w:shd w:val="clear" w:color="auto" w:fill="auto"/>
            <w:noWrap/>
            <w:hideMark/>
          </w:tcPr>
          <w:p w14:paraId="22CDB031" w14:textId="1395C37E" w:rsidR="00FA18A5" w:rsidRPr="009E35ED" w:rsidRDefault="00FA18A5" w:rsidP="00B90388">
            <w:pPr>
              <w:keepNext/>
              <w:keepLines/>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rPr>
              <w:t xml:space="preserve"> 3,982,486 </w:t>
            </w:r>
          </w:p>
        </w:tc>
        <w:tc>
          <w:tcPr>
            <w:tcW w:w="1241" w:type="dxa"/>
            <w:shd w:val="clear" w:color="auto" w:fill="auto"/>
            <w:noWrap/>
            <w:vAlign w:val="center"/>
            <w:hideMark/>
          </w:tcPr>
          <w:p w14:paraId="47ED1D12" w14:textId="77777777" w:rsidR="00FA18A5" w:rsidRPr="009E35ED" w:rsidRDefault="00FA18A5" w:rsidP="00B90388">
            <w:pPr>
              <w:keepNext/>
              <w:keepLines/>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041" w:type="dxa"/>
            <w:shd w:val="clear" w:color="auto" w:fill="auto"/>
            <w:noWrap/>
            <w:vAlign w:val="center"/>
            <w:hideMark/>
          </w:tcPr>
          <w:p w14:paraId="6E810A23" w14:textId="77777777" w:rsidR="00FA18A5" w:rsidRPr="009E35ED" w:rsidRDefault="00FA18A5" w:rsidP="00B90388">
            <w:pPr>
              <w:keepNext/>
              <w:keepLines/>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839" w:type="dxa"/>
            <w:shd w:val="clear" w:color="auto" w:fill="auto"/>
            <w:noWrap/>
            <w:hideMark/>
          </w:tcPr>
          <w:p w14:paraId="676ECF4F" w14:textId="6BC3DDB5" w:rsidR="00FA18A5" w:rsidRPr="009E35ED" w:rsidRDefault="00FA18A5" w:rsidP="00B90388">
            <w:pPr>
              <w:keepNext/>
              <w:keepLines/>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rPr>
              <w:t xml:space="preserve"> 3,982,486 </w:t>
            </w:r>
          </w:p>
        </w:tc>
      </w:tr>
      <w:tr w:rsidR="00FA18A5" w:rsidRPr="009E35ED" w14:paraId="3E8D68C1" w14:textId="77777777" w:rsidTr="00860ED6">
        <w:trPr>
          <w:trHeight w:val="45"/>
        </w:trPr>
        <w:tc>
          <w:tcPr>
            <w:tcW w:w="3643" w:type="dxa"/>
            <w:gridSpan w:val="4"/>
            <w:shd w:val="clear" w:color="auto" w:fill="auto"/>
            <w:noWrap/>
            <w:vAlign w:val="center"/>
            <w:hideMark/>
          </w:tcPr>
          <w:p w14:paraId="13A27015" w14:textId="05E5182A" w:rsidR="00FA18A5" w:rsidRPr="009E35ED" w:rsidRDefault="00FA18A5" w:rsidP="00B90388">
            <w:pPr>
              <w:keepNext/>
              <w:keepLines/>
              <w:ind w:left="0"/>
              <w:jc w:val="lef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 xml:space="preserve">Longevity </w:t>
            </w:r>
            <w:r w:rsidR="006A1323">
              <w:rPr>
                <w:rFonts w:ascii="Arial Narrow" w:hAnsi="Arial Narrow"/>
                <w:color w:val="000000" w:themeColor="text1"/>
                <w:sz w:val="16"/>
                <w:szCs w:val="16"/>
                <w:lang w:val="en-PH" w:eastAsia="en-PH"/>
              </w:rPr>
              <w:t>p</w:t>
            </w:r>
            <w:r w:rsidRPr="009E35ED">
              <w:rPr>
                <w:rFonts w:ascii="Arial Narrow" w:hAnsi="Arial Narrow"/>
                <w:color w:val="000000" w:themeColor="text1"/>
                <w:sz w:val="16"/>
                <w:szCs w:val="16"/>
                <w:lang w:val="en-PH" w:eastAsia="en-PH"/>
              </w:rPr>
              <w:t>ay</w:t>
            </w:r>
          </w:p>
        </w:tc>
        <w:tc>
          <w:tcPr>
            <w:tcW w:w="1070" w:type="dxa"/>
            <w:shd w:val="clear" w:color="auto" w:fill="auto"/>
            <w:noWrap/>
            <w:hideMark/>
          </w:tcPr>
          <w:p w14:paraId="59B2988A" w14:textId="15B0541D" w:rsidR="00FA18A5" w:rsidRPr="009E35ED" w:rsidRDefault="00FA18A5" w:rsidP="00B90388">
            <w:pPr>
              <w:keepNext/>
              <w:keepLines/>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rPr>
              <w:t xml:space="preserve"> 1,181,283 </w:t>
            </w:r>
          </w:p>
        </w:tc>
        <w:tc>
          <w:tcPr>
            <w:tcW w:w="1241" w:type="dxa"/>
            <w:shd w:val="clear" w:color="auto" w:fill="auto"/>
            <w:noWrap/>
            <w:vAlign w:val="center"/>
            <w:hideMark/>
          </w:tcPr>
          <w:p w14:paraId="3392C7D7" w14:textId="77777777" w:rsidR="00FA18A5" w:rsidRPr="009E35ED" w:rsidRDefault="00FA18A5" w:rsidP="00B90388">
            <w:pPr>
              <w:keepNext/>
              <w:keepLines/>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041" w:type="dxa"/>
            <w:shd w:val="clear" w:color="auto" w:fill="auto"/>
            <w:noWrap/>
            <w:vAlign w:val="center"/>
            <w:hideMark/>
          </w:tcPr>
          <w:p w14:paraId="2109578D" w14:textId="77777777" w:rsidR="00FA18A5" w:rsidRPr="009E35ED" w:rsidRDefault="00FA18A5" w:rsidP="00B90388">
            <w:pPr>
              <w:keepNext/>
              <w:keepLines/>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839" w:type="dxa"/>
            <w:shd w:val="clear" w:color="auto" w:fill="auto"/>
            <w:noWrap/>
            <w:hideMark/>
          </w:tcPr>
          <w:p w14:paraId="7E708AE5" w14:textId="0381DC85" w:rsidR="00FA18A5" w:rsidRPr="009E35ED" w:rsidRDefault="00FA18A5" w:rsidP="00B90388">
            <w:pPr>
              <w:keepNext/>
              <w:keepLines/>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rPr>
              <w:t xml:space="preserve"> 1,181,283 </w:t>
            </w:r>
          </w:p>
        </w:tc>
      </w:tr>
      <w:tr w:rsidR="00FA18A5" w:rsidRPr="009E35ED" w14:paraId="27C22114" w14:textId="77777777" w:rsidTr="00860ED6">
        <w:trPr>
          <w:trHeight w:val="45"/>
        </w:trPr>
        <w:tc>
          <w:tcPr>
            <w:tcW w:w="3643" w:type="dxa"/>
            <w:gridSpan w:val="4"/>
            <w:shd w:val="clear" w:color="auto" w:fill="auto"/>
            <w:noWrap/>
            <w:vAlign w:val="center"/>
            <w:hideMark/>
          </w:tcPr>
          <w:p w14:paraId="51F88DCD" w14:textId="6D58679B" w:rsidR="00FA18A5" w:rsidRPr="009E35ED" w:rsidRDefault="00FA18A5" w:rsidP="00B90388">
            <w:pPr>
              <w:keepNext/>
              <w:keepLines/>
              <w:ind w:left="0"/>
              <w:jc w:val="lef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 xml:space="preserve">Overtime and </w:t>
            </w:r>
            <w:r w:rsidR="006A1323">
              <w:rPr>
                <w:rFonts w:ascii="Arial Narrow" w:hAnsi="Arial Narrow"/>
                <w:color w:val="000000" w:themeColor="text1"/>
                <w:sz w:val="16"/>
                <w:szCs w:val="16"/>
                <w:lang w:val="en-PH" w:eastAsia="en-PH"/>
              </w:rPr>
              <w:t>n</w:t>
            </w:r>
            <w:r w:rsidRPr="009E35ED">
              <w:rPr>
                <w:rFonts w:ascii="Arial Narrow" w:hAnsi="Arial Narrow"/>
                <w:color w:val="000000" w:themeColor="text1"/>
                <w:sz w:val="16"/>
                <w:szCs w:val="16"/>
                <w:lang w:val="en-PH" w:eastAsia="en-PH"/>
              </w:rPr>
              <w:t xml:space="preserve">ight </w:t>
            </w:r>
            <w:r w:rsidR="006A1323">
              <w:rPr>
                <w:rFonts w:ascii="Arial Narrow" w:hAnsi="Arial Narrow"/>
                <w:color w:val="000000" w:themeColor="text1"/>
                <w:sz w:val="16"/>
                <w:szCs w:val="16"/>
                <w:lang w:val="en-PH" w:eastAsia="en-PH"/>
              </w:rPr>
              <w:t>p</w:t>
            </w:r>
            <w:r w:rsidRPr="009E35ED">
              <w:rPr>
                <w:rFonts w:ascii="Arial Narrow" w:hAnsi="Arial Narrow"/>
                <w:color w:val="000000" w:themeColor="text1"/>
                <w:sz w:val="16"/>
                <w:szCs w:val="16"/>
                <w:lang w:val="en-PH" w:eastAsia="en-PH"/>
              </w:rPr>
              <w:t>ay</w:t>
            </w:r>
          </w:p>
        </w:tc>
        <w:tc>
          <w:tcPr>
            <w:tcW w:w="1070" w:type="dxa"/>
            <w:shd w:val="clear" w:color="auto" w:fill="auto"/>
            <w:noWrap/>
            <w:hideMark/>
          </w:tcPr>
          <w:p w14:paraId="4764DB92" w14:textId="7FDEED6C" w:rsidR="00FA18A5" w:rsidRPr="009E35ED" w:rsidRDefault="00FA18A5" w:rsidP="00B90388">
            <w:pPr>
              <w:keepNext/>
              <w:keepLines/>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rPr>
              <w:t xml:space="preserve">4,350,170 </w:t>
            </w:r>
          </w:p>
        </w:tc>
        <w:tc>
          <w:tcPr>
            <w:tcW w:w="1241" w:type="dxa"/>
            <w:shd w:val="clear" w:color="auto" w:fill="auto"/>
            <w:noWrap/>
            <w:vAlign w:val="center"/>
            <w:hideMark/>
          </w:tcPr>
          <w:p w14:paraId="034851AD" w14:textId="77777777" w:rsidR="00FA18A5" w:rsidRPr="009E35ED" w:rsidRDefault="00FA18A5" w:rsidP="00B90388">
            <w:pPr>
              <w:keepNext/>
              <w:keepLines/>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041" w:type="dxa"/>
            <w:shd w:val="clear" w:color="auto" w:fill="auto"/>
            <w:noWrap/>
            <w:vAlign w:val="center"/>
            <w:hideMark/>
          </w:tcPr>
          <w:p w14:paraId="087200F7" w14:textId="77777777" w:rsidR="00FA18A5" w:rsidRPr="009E35ED" w:rsidRDefault="00FA18A5" w:rsidP="00B90388">
            <w:pPr>
              <w:keepNext/>
              <w:keepLines/>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839" w:type="dxa"/>
            <w:shd w:val="clear" w:color="auto" w:fill="auto"/>
            <w:noWrap/>
            <w:hideMark/>
          </w:tcPr>
          <w:p w14:paraId="189BB02B" w14:textId="14A07BA7" w:rsidR="00FA18A5" w:rsidRPr="009E35ED" w:rsidRDefault="00FA18A5" w:rsidP="00B90388">
            <w:pPr>
              <w:keepNext/>
              <w:keepLines/>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rPr>
              <w:t xml:space="preserve">4,350,170 </w:t>
            </w:r>
          </w:p>
        </w:tc>
      </w:tr>
      <w:tr w:rsidR="00FA18A5" w:rsidRPr="009E35ED" w14:paraId="25E488A5" w14:textId="77777777" w:rsidTr="00860ED6">
        <w:trPr>
          <w:trHeight w:val="45"/>
        </w:trPr>
        <w:tc>
          <w:tcPr>
            <w:tcW w:w="3643" w:type="dxa"/>
            <w:gridSpan w:val="4"/>
            <w:shd w:val="clear" w:color="auto" w:fill="auto"/>
            <w:noWrap/>
            <w:vAlign w:val="center"/>
            <w:hideMark/>
          </w:tcPr>
          <w:p w14:paraId="5D7BC116" w14:textId="4D5F7B19" w:rsidR="00FA18A5" w:rsidRPr="009E35ED" w:rsidRDefault="006A1323" w:rsidP="00B90388">
            <w:pPr>
              <w:keepNext/>
              <w:keepLines/>
              <w:ind w:left="0"/>
              <w:jc w:val="lef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Year-</w:t>
            </w:r>
            <w:r>
              <w:rPr>
                <w:rFonts w:ascii="Arial Narrow" w:hAnsi="Arial Narrow"/>
                <w:color w:val="000000" w:themeColor="text1"/>
                <w:sz w:val="16"/>
                <w:szCs w:val="16"/>
                <w:lang w:val="en-PH" w:eastAsia="en-PH"/>
              </w:rPr>
              <w:t>e</w:t>
            </w:r>
            <w:r w:rsidRPr="009E35ED">
              <w:rPr>
                <w:rFonts w:ascii="Arial Narrow" w:hAnsi="Arial Narrow"/>
                <w:color w:val="000000" w:themeColor="text1"/>
                <w:sz w:val="16"/>
                <w:szCs w:val="16"/>
                <w:lang w:val="en-PH" w:eastAsia="en-PH"/>
              </w:rPr>
              <w:t>nd</w:t>
            </w:r>
            <w:r w:rsidR="00FA18A5" w:rsidRPr="009E35ED">
              <w:rPr>
                <w:rFonts w:ascii="Arial Narrow" w:hAnsi="Arial Narrow"/>
                <w:color w:val="000000" w:themeColor="text1"/>
                <w:sz w:val="16"/>
                <w:szCs w:val="16"/>
                <w:lang w:val="en-PH" w:eastAsia="en-PH"/>
              </w:rPr>
              <w:t xml:space="preserve"> </w:t>
            </w:r>
            <w:r>
              <w:rPr>
                <w:rFonts w:ascii="Arial Narrow" w:hAnsi="Arial Narrow"/>
                <w:color w:val="000000" w:themeColor="text1"/>
                <w:sz w:val="16"/>
                <w:szCs w:val="16"/>
                <w:lang w:val="en-PH" w:eastAsia="en-PH"/>
              </w:rPr>
              <w:t>b</w:t>
            </w:r>
            <w:r w:rsidR="00FA18A5" w:rsidRPr="009E35ED">
              <w:rPr>
                <w:rFonts w:ascii="Arial Narrow" w:hAnsi="Arial Narrow"/>
                <w:color w:val="000000" w:themeColor="text1"/>
                <w:sz w:val="16"/>
                <w:szCs w:val="16"/>
                <w:lang w:val="en-PH" w:eastAsia="en-PH"/>
              </w:rPr>
              <w:t>onus</w:t>
            </w:r>
          </w:p>
        </w:tc>
        <w:tc>
          <w:tcPr>
            <w:tcW w:w="1070" w:type="dxa"/>
            <w:shd w:val="clear" w:color="auto" w:fill="auto"/>
            <w:noWrap/>
            <w:hideMark/>
          </w:tcPr>
          <w:p w14:paraId="6FAB4FC1" w14:textId="71381064" w:rsidR="00FA18A5" w:rsidRPr="009E35ED" w:rsidRDefault="00FA18A5" w:rsidP="00B90388">
            <w:pPr>
              <w:keepNext/>
              <w:keepLines/>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rPr>
              <w:t xml:space="preserve"> 106,109,599 </w:t>
            </w:r>
          </w:p>
        </w:tc>
        <w:tc>
          <w:tcPr>
            <w:tcW w:w="1241" w:type="dxa"/>
            <w:shd w:val="clear" w:color="auto" w:fill="auto"/>
            <w:noWrap/>
            <w:vAlign w:val="center"/>
            <w:hideMark/>
          </w:tcPr>
          <w:p w14:paraId="1A1F90B5" w14:textId="77777777" w:rsidR="00FA18A5" w:rsidRPr="009E35ED" w:rsidRDefault="00FA18A5" w:rsidP="00B90388">
            <w:pPr>
              <w:keepNext/>
              <w:keepLines/>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041" w:type="dxa"/>
            <w:shd w:val="clear" w:color="auto" w:fill="auto"/>
            <w:noWrap/>
            <w:vAlign w:val="center"/>
            <w:hideMark/>
          </w:tcPr>
          <w:p w14:paraId="47FF3151" w14:textId="77777777" w:rsidR="00FA18A5" w:rsidRPr="009E35ED" w:rsidRDefault="00FA18A5" w:rsidP="00B90388">
            <w:pPr>
              <w:keepNext/>
              <w:keepLines/>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839" w:type="dxa"/>
            <w:shd w:val="clear" w:color="auto" w:fill="auto"/>
            <w:noWrap/>
            <w:hideMark/>
          </w:tcPr>
          <w:p w14:paraId="2413C7CB" w14:textId="01C5728B" w:rsidR="00FA18A5" w:rsidRPr="009E35ED" w:rsidRDefault="00FA18A5" w:rsidP="00B90388">
            <w:pPr>
              <w:keepNext/>
              <w:keepLines/>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rPr>
              <w:t xml:space="preserve"> 106,109,599 </w:t>
            </w:r>
          </w:p>
        </w:tc>
      </w:tr>
      <w:tr w:rsidR="00FA18A5" w:rsidRPr="009E35ED" w14:paraId="2FAFC429" w14:textId="77777777" w:rsidTr="00860ED6">
        <w:trPr>
          <w:trHeight w:val="45"/>
        </w:trPr>
        <w:tc>
          <w:tcPr>
            <w:tcW w:w="2844" w:type="dxa"/>
            <w:gridSpan w:val="3"/>
            <w:shd w:val="clear" w:color="auto" w:fill="auto"/>
            <w:noWrap/>
            <w:vAlign w:val="center"/>
            <w:hideMark/>
          </w:tcPr>
          <w:p w14:paraId="4B5AE9DF" w14:textId="63024AEB" w:rsidR="00FA18A5" w:rsidRPr="009E35ED" w:rsidRDefault="00FA18A5" w:rsidP="00B90388">
            <w:pPr>
              <w:keepNext/>
              <w:keepLines/>
              <w:ind w:left="0"/>
              <w:jc w:val="lef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 xml:space="preserve">Cash </w:t>
            </w:r>
            <w:r w:rsidR="006A1323">
              <w:rPr>
                <w:rFonts w:ascii="Arial Narrow" w:hAnsi="Arial Narrow"/>
                <w:color w:val="000000" w:themeColor="text1"/>
                <w:sz w:val="16"/>
                <w:szCs w:val="16"/>
                <w:lang w:val="en-PH" w:eastAsia="en-PH"/>
              </w:rPr>
              <w:t>g</w:t>
            </w:r>
            <w:r w:rsidRPr="009E35ED">
              <w:rPr>
                <w:rFonts w:ascii="Arial Narrow" w:hAnsi="Arial Narrow"/>
                <w:color w:val="000000" w:themeColor="text1"/>
                <w:sz w:val="16"/>
                <w:szCs w:val="16"/>
                <w:lang w:val="en-PH" w:eastAsia="en-PH"/>
              </w:rPr>
              <w:t>ift</w:t>
            </w:r>
          </w:p>
        </w:tc>
        <w:tc>
          <w:tcPr>
            <w:tcW w:w="799" w:type="dxa"/>
            <w:shd w:val="clear" w:color="auto" w:fill="auto"/>
            <w:noWrap/>
            <w:hideMark/>
          </w:tcPr>
          <w:p w14:paraId="79CAF83C" w14:textId="3819E85A" w:rsidR="00FA18A5" w:rsidRPr="009E35ED" w:rsidRDefault="00FA18A5" w:rsidP="00B90388">
            <w:pPr>
              <w:keepNext/>
              <w:keepLines/>
              <w:ind w:left="0"/>
              <w:jc w:val="lef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rPr>
              <w:t xml:space="preserve">  </w:t>
            </w:r>
          </w:p>
        </w:tc>
        <w:tc>
          <w:tcPr>
            <w:tcW w:w="1070" w:type="dxa"/>
            <w:shd w:val="clear" w:color="auto" w:fill="auto"/>
            <w:noWrap/>
            <w:hideMark/>
          </w:tcPr>
          <w:p w14:paraId="7AA20909" w14:textId="2D76EF43" w:rsidR="00FA18A5" w:rsidRPr="009E35ED" w:rsidRDefault="00FA18A5" w:rsidP="00B90388">
            <w:pPr>
              <w:keepNext/>
              <w:keepLines/>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rPr>
              <w:t xml:space="preserve"> 5,565,000 </w:t>
            </w:r>
          </w:p>
        </w:tc>
        <w:tc>
          <w:tcPr>
            <w:tcW w:w="1241" w:type="dxa"/>
            <w:shd w:val="clear" w:color="auto" w:fill="auto"/>
            <w:noWrap/>
            <w:vAlign w:val="center"/>
            <w:hideMark/>
          </w:tcPr>
          <w:p w14:paraId="35418632" w14:textId="77777777" w:rsidR="00FA18A5" w:rsidRPr="009E35ED" w:rsidRDefault="00FA18A5" w:rsidP="00B90388">
            <w:pPr>
              <w:keepNext/>
              <w:keepLines/>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041" w:type="dxa"/>
            <w:shd w:val="clear" w:color="auto" w:fill="auto"/>
            <w:noWrap/>
            <w:hideMark/>
          </w:tcPr>
          <w:p w14:paraId="2DC6039B" w14:textId="5E63C118" w:rsidR="00FA18A5" w:rsidRPr="009E35ED" w:rsidRDefault="00FA18A5" w:rsidP="00B90388">
            <w:pPr>
              <w:keepNext/>
              <w:keepLines/>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rPr>
              <w:t xml:space="preserve"> - </w:t>
            </w:r>
          </w:p>
        </w:tc>
        <w:tc>
          <w:tcPr>
            <w:tcW w:w="1839" w:type="dxa"/>
            <w:shd w:val="clear" w:color="auto" w:fill="auto"/>
            <w:noWrap/>
            <w:vAlign w:val="center"/>
            <w:hideMark/>
          </w:tcPr>
          <w:p w14:paraId="20852A2D" w14:textId="4A192DBC" w:rsidR="00FA18A5" w:rsidRPr="009E35ED" w:rsidRDefault="00FA18A5" w:rsidP="00B90388">
            <w:pPr>
              <w:keepNext/>
              <w:keepLines/>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rPr>
              <w:t>5,565,000</w:t>
            </w:r>
          </w:p>
        </w:tc>
      </w:tr>
      <w:tr w:rsidR="00FA18A5" w:rsidRPr="009E35ED" w14:paraId="76648964" w14:textId="77777777" w:rsidTr="00860ED6">
        <w:trPr>
          <w:trHeight w:val="45"/>
        </w:trPr>
        <w:tc>
          <w:tcPr>
            <w:tcW w:w="3643" w:type="dxa"/>
            <w:gridSpan w:val="4"/>
            <w:shd w:val="clear" w:color="auto" w:fill="auto"/>
            <w:noWrap/>
            <w:vAlign w:val="center"/>
            <w:hideMark/>
          </w:tcPr>
          <w:p w14:paraId="05051B23" w14:textId="41CCCCCC" w:rsidR="00FA18A5" w:rsidRPr="009E35ED" w:rsidRDefault="00FA18A5" w:rsidP="00B90388">
            <w:pPr>
              <w:keepNext/>
              <w:keepLines/>
              <w:ind w:left="0"/>
              <w:jc w:val="lef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 xml:space="preserve">Other </w:t>
            </w:r>
            <w:r w:rsidR="006A1323">
              <w:rPr>
                <w:rFonts w:ascii="Arial Narrow" w:hAnsi="Arial Narrow"/>
                <w:color w:val="000000" w:themeColor="text1"/>
                <w:sz w:val="16"/>
                <w:szCs w:val="16"/>
                <w:lang w:val="en-PH" w:eastAsia="en-PH"/>
              </w:rPr>
              <w:t>b</w:t>
            </w:r>
            <w:r w:rsidRPr="009E35ED">
              <w:rPr>
                <w:rFonts w:ascii="Arial Narrow" w:hAnsi="Arial Narrow"/>
                <w:color w:val="000000" w:themeColor="text1"/>
                <w:sz w:val="16"/>
                <w:szCs w:val="16"/>
                <w:lang w:val="en-PH" w:eastAsia="en-PH"/>
              </w:rPr>
              <w:t xml:space="preserve">onuses and </w:t>
            </w:r>
            <w:r w:rsidR="006A1323">
              <w:rPr>
                <w:rFonts w:ascii="Arial Narrow" w:hAnsi="Arial Narrow"/>
                <w:color w:val="000000" w:themeColor="text1"/>
                <w:sz w:val="16"/>
                <w:szCs w:val="16"/>
                <w:lang w:val="en-PH" w:eastAsia="en-PH"/>
              </w:rPr>
              <w:t>a</w:t>
            </w:r>
            <w:r w:rsidRPr="009E35ED">
              <w:rPr>
                <w:rFonts w:ascii="Arial Narrow" w:hAnsi="Arial Narrow"/>
                <w:color w:val="000000" w:themeColor="text1"/>
                <w:sz w:val="16"/>
                <w:szCs w:val="16"/>
                <w:lang w:val="en-PH" w:eastAsia="en-PH"/>
              </w:rPr>
              <w:t>llowances</w:t>
            </w:r>
          </w:p>
        </w:tc>
        <w:tc>
          <w:tcPr>
            <w:tcW w:w="1070" w:type="dxa"/>
            <w:shd w:val="clear" w:color="auto" w:fill="auto"/>
            <w:noWrap/>
            <w:hideMark/>
          </w:tcPr>
          <w:p w14:paraId="2FEEB0B5" w14:textId="5E59B216" w:rsidR="00FA18A5" w:rsidRPr="009E35ED" w:rsidRDefault="00FA18A5" w:rsidP="00B90388">
            <w:pPr>
              <w:keepNext/>
              <w:keepLines/>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rPr>
              <w:t xml:space="preserve"> 89,890,567 </w:t>
            </w:r>
          </w:p>
        </w:tc>
        <w:tc>
          <w:tcPr>
            <w:tcW w:w="1241" w:type="dxa"/>
            <w:shd w:val="clear" w:color="auto" w:fill="auto"/>
            <w:noWrap/>
            <w:vAlign w:val="center"/>
            <w:hideMark/>
          </w:tcPr>
          <w:p w14:paraId="72FDE2EC" w14:textId="77777777" w:rsidR="00FA18A5" w:rsidRPr="009E35ED" w:rsidRDefault="00FA18A5" w:rsidP="00B90388">
            <w:pPr>
              <w:keepNext/>
              <w:keepLines/>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041" w:type="dxa"/>
            <w:shd w:val="clear" w:color="auto" w:fill="auto"/>
            <w:noWrap/>
            <w:vAlign w:val="center"/>
            <w:hideMark/>
          </w:tcPr>
          <w:p w14:paraId="10F76967" w14:textId="77777777" w:rsidR="00FA18A5" w:rsidRPr="009E35ED" w:rsidRDefault="00FA18A5" w:rsidP="00B90388">
            <w:pPr>
              <w:keepNext/>
              <w:keepLines/>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839" w:type="dxa"/>
            <w:shd w:val="clear" w:color="auto" w:fill="auto"/>
            <w:noWrap/>
            <w:hideMark/>
          </w:tcPr>
          <w:p w14:paraId="7E935D05" w14:textId="08C20FA5" w:rsidR="00FA18A5" w:rsidRPr="009E35ED" w:rsidRDefault="00FA18A5" w:rsidP="00B90388">
            <w:pPr>
              <w:keepNext/>
              <w:keepLines/>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rPr>
              <w:t xml:space="preserve"> 89,890,567 </w:t>
            </w:r>
          </w:p>
        </w:tc>
      </w:tr>
      <w:tr w:rsidR="00FA18A5" w:rsidRPr="009E35ED" w14:paraId="6129C587" w14:textId="77777777" w:rsidTr="00860ED6">
        <w:trPr>
          <w:trHeight w:val="45"/>
        </w:trPr>
        <w:tc>
          <w:tcPr>
            <w:tcW w:w="3643" w:type="dxa"/>
            <w:gridSpan w:val="4"/>
            <w:shd w:val="clear" w:color="auto" w:fill="auto"/>
            <w:noWrap/>
            <w:vAlign w:val="center"/>
            <w:hideMark/>
          </w:tcPr>
          <w:p w14:paraId="09F7B5D8" w14:textId="51AC4EBF" w:rsidR="00FA18A5" w:rsidRPr="009E35ED" w:rsidRDefault="00FA18A5" w:rsidP="00B90388">
            <w:pPr>
              <w:keepNext/>
              <w:keepLines/>
              <w:ind w:left="0"/>
              <w:jc w:val="lef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 xml:space="preserve">Retirement and </w:t>
            </w:r>
            <w:r w:rsidR="006A1323">
              <w:rPr>
                <w:rFonts w:ascii="Arial Narrow" w:hAnsi="Arial Narrow"/>
                <w:color w:val="000000" w:themeColor="text1"/>
                <w:sz w:val="16"/>
                <w:szCs w:val="16"/>
                <w:lang w:val="en-PH" w:eastAsia="en-PH"/>
              </w:rPr>
              <w:t>l</w:t>
            </w:r>
            <w:r w:rsidRPr="009E35ED">
              <w:rPr>
                <w:rFonts w:ascii="Arial Narrow" w:hAnsi="Arial Narrow"/>
                <w:color w:val="000000" w:themeColor="text1"/>
                <w:sz w:val="16"/>
                <w:szCs w:val="16"/>
                <w:lang w:val="en-PH" w:eastAsia="en-PH"/>
              </w:rPr>
              <w:t xml:space="preserve">ife </w:t>
            </w:r>
            <w:r w:rsidR="006A1323">
              <w:rPr>
                <w:rFonts w:ascii="Arial Narrow" w:hAnsi="Arial Narrow"/>
                <w:color w:val="000000" w:themeColor="text1"/>
                <w:sz w:val="16"/>
                <w:szCs w:val="16"/>
                <w:lang w:val="en-PH" w:eastAsia="en-PH"/>
              </w:rPr>
              <w:t>i</w:t>
            </w:r>
            <w:r w:rsidRPr="009E35ED">
              <w:rPr>
                <w:rFonts w:ascii="Arial Narrow" w:hAnsi="Arial Narrow"/>
                <w:color w:val="000000" w:themeColor="text1"/>
                <w:sz w:val="16"/>
                <w:szCs w:val="16"/>
                <w:lang w:val="en-PH" w:eastAsia="en-PH"/>
              </w:rPr>
              <w:t xml:space="preserve">nsurance </w:t>
            </w:r>
            <w:r w:rsidR="006A1323">
              <w:rPr>
                <w:rFonts w:ascii="Arial Narrow" w:hAnsi="Arial Narrow"/>
                <w:color w:val="000000" w:themeColor="text1"/>
                <w:sz w:val="16"/>
                <w:szCs w:val="16"/>
                <w:lang w:val="en-PH" w:eastAsia="en-PH"/>
              </w:rPr>
              <w:t>p</w:t>
            </w:r>
            <w:r w:rsidRPr="009E35ED">
              <w:rPr>
                <w:rFonts w:ascii="Arial Narrow" w:hAnsi="Arial Narrow"/>
                <w:color w:val="000000" w:themeColor="text1"/>
                <w:sz w:val="16"/>
                <w:szCs w:val="16"/>
                <w:lang w:val="en-PH" w:eastAsia="en-PH"/>
              </w:rPr>
              <w:t>remiums</w:t>
            </w:r>
          </w:p>
        </w:tc>
        <w:tc>
          <w:tcPr>
            <w:tcW w:w="1070" w:type="dxa"/>
            <w:shd w:val="clear" w:color="auto" w:fill="auto"/>
            <w:noWrap/>
            <w:hideMark/>
          </w:tcPr>
          <w:p w14:paraId="7F07E453" w14:textId="59C80051" w:rsidR="00FA18A5" w:rsidRPr="009E35ED" w:rsidRDefault="00FA18A5" w:rsidP="00B90388">
            <w:pPr>
              <w:keepNext/>
              <w:keepLines/>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rPr>
              <w:t xml:space="preserve"> 76,257,188</w:t>
            </w:r>
          </w:p>
        </w:tc>
        <w:tc>
          <w:tcPr>
            <w:tcW w:w="1241" w:type="dxa"/>
            <w:shd w:val="clear" w:color="auto" w:fill="auto"/>
            <w:noWrap/>
            <w:vAlign w:val="center"/>
            <w:hideMark/>
          </w:tcPr>
          <w:p w14:paraId="6CCF4194" w14:textId="77777777" w:rsidR="00FA18A5" w:rsidRPr="009E35ED" w:rsidRDefault="00FA18A5" w:rsidP="00B90388">
            <w:pPr>
              <w:keepNext/>
              <w:keepLines/>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041" w:type="dxa"/>
            <w:shd w:val="clear" w:color="auto" w:fill="auto"/>
            <w:noWrap/>
            <w:vAlign w:val="center"/>
            <w:hideMark/>
          </w:tcPr>
          <w:p w14:paraId="6613CDAA" w14:textId="77777777" w:rsidR="00FA18A5" w:rsidRPr="009E35ED" w:rsidRDefault="00FA18A5" w:rsidP="00B90388">
            <w:pPr>
              <w:keepNext/>
              <w:keepLines/>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839" w:type="dxa"/>
            <w:shd w:val="clear" w:color="auto" w:fill="auto"/>
            <w:noWrap/>
            <w:hideMark/>
          </w:tcPr>
          <w:p w14:paraId="20C5D930" w14:textId="5BD5C03B" w:rsidR="00FA18A5" w:rsidRPr="009E35ED" w:rsidRDefault="00FA18A5" w:rsidP="00B90388">
            <w:pPr>
              <w:keepNext/>
              <w:keepLines/>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rPr>
              <w:t xml:space="preserve"> 76,257,188</w:t>
            </w:r>
          </w:p>
        </w:tc>
      </w:tr>
      <w:tr w:rsidR="00FA18A5" w:rsidRPr="009E35ED" w14:paraId="125D11EF" w14:textId="77777777" w:rsidTr="00860ED6">
        <w:trPr>
          <w:trHeight w:val="45"/>
        </w:trPr>
        <w:tc>
          <w:tcPr>
            <w:tcW w:w="3643" w:type="dxa"/>
            <w:gridSpan w:val="4"/>
            <w:shd w:val="clear" w:color="auto" w:fill="auto"/>
            <w:noWrap/>
            <w:vAlign w:val="center"/>
            <w:hideMark/>
          </w:tcPr>
          <w:p w14:paraId="1A8BA3A3" w14:textId="5A55D49F" w:rsidR="00FA18A5" w:rsidRPr="009E35ED" w:rsidRDefault="00FA18A5" w:rsidP="00B90388">
            <w:pPr>
              <w:keepNext/>
              <w:keepLines/>
              <w:ind w:left="0"/>
              <w:jc w:val="lef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 xml:space="preserve">Pag-Ibig </w:t>
            </w:r>
            <w:r w:rsidR="006A1323">
              <w:rPr>
                <w:rFonts w:ascii="Arial Narrow" w:hAnsi="Arial Narrow"/>
                <w:color w:val="000000" w:themeColor="text1"/>
                <w:sz w:val="16"/>
                <w:szCs w:val="16"/>
                <w:lang w:val="en-PH" w:eastAsia="en-PH"/>
              </w:rPr>
              <w:t>c</w:t>
            </w:r>
            <w:r w:rsidRPr="009E35ED">
              <w:rPr>
                <w:rFonts w:ascii="Arial Narrow" w:hAnsi="Arial Narrow"/>
                <w:color w:val="000000" w:themeColor="text1"/>
                <w:sz w:val="16"/>
                <w:szCs w:val="16"/>
                <w:lang w:val="en-PH" w:eastAsia="en-PH"/>
              </w:rPr>
              <w:t>ontributions</w:t>
            </w:r>
          </w:p>
        </w:tc>
        <w:tc>
          <w:tcPr>
            <w:tcW w:w="1070" w:type="dxa"/>
            <w:shd w:val="clear" w:color="auto" w:fill="auto"/>
            <w:noWrap/>
            <w:hideMark/>
          </w:tcPr>
          <w:p w14:paraId="7A1164A6" w14:textId="5DB34103" w:rsidR="00FA18A5" w:rsidRPr="009E35ED" w:rsidRDefault="00FA18A5" w:rsidP="00B90388">
            <w:pPr>
              <w:keepNext/>
              <w:keepLines/>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rPr>
              <w:t xml:space="preserve"> 1,362,649 </w:t>
            </w:r>
          </w:p>
        </w:tc>
        <w:tc>
          <w:tcPr>
            <w:tcW w:w="1241" w:type="dxa"/>
            <w:shd w:val="clear" w:color="auto" w:fill="auto"/>
            <w:noWrap/>
            <w:vAlign w:val="center"/>
            <w:hideMark/>
          </w:tcPr>
          <w:p w14:paraId="084F3C9A" w14:textId="77777777" w:rsidR="00FA18A5" w:rsidRPr="009E35ED" w:rsidRDefault="00FA18A5" w:rsidP="00B90388">
            <w:pPr>
              <w:keepNext/>
              <w:keepLines/>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041" w:type="dxa"/>
            <w:shd w:val="clear" w:color="auto" w:fill="auto"/>
            <w:noWrap/>
            <w:vAlign w:val="center"/>
            <w:hideMark/>
          </w:tcPr>
          <w:p w14:paraId="62D4A301" w14:textId="77777777" w:rsidR="00FA18A5" w:rsidRPr="009E35ED" w:rsidRDefault="00FA18A5" w:rsidP="00B90388">
            <w:pPr>
              <w:keepNext/>
              <w:keepLines/>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839" w:type="dxa"/>
            <w:shd w:val="clear" w:color="auto" w:fill="auto"/>
            <w:noWrap/>
            <w:hideMark/>
          </w:tcPr>
          <w:p w14:paraId="127E4D02" w14:textId="57EE6CC4" w:rsidR="00FA18A5" w:rsidRPr="009E35ED" w:rsidRDefault="00FA18A5" w:rsidP="00B90388">
            <w:pPr>
              <w:keepNext/>
              <w:keepLines/>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rPr>
              <w:t xml:space="preserve"> 1,362,649 </w:t>
            </w:r>
          </w:p>
        </w:tc>
      </w:tr>
      <w:tr w:rsidR="00FA18A5" w:rsidRPr="009E35ED" w14:paraId="6EB504F2" w14:textId="77777777" w:rsidTr="00860ED6">
        <w:trPr>
          <w:trHeight w:val="45"/>
        </w:trPr>
        <w:tc>
          <w:tcPr>
            <w:tcW w:w="3643" w:type="dxa"/>
            <w:gridSpan w:val="4"/>
            <w:shd w:val="clear" w:color="auto" w:fill="auto"/>
            <w:noWrap/>
            <w:vAlign w:val="center"/>
            <w:hideMark/>
          </w:tcPr>
          <w:p w14:paraId="1785A6E3" w14:textId="29CAAC6F" w:rsidR="00FA18A5" w:rsidRPr="009E35ED" w:rsidRDefault="00FA18A5" w:rsidP="00B90388">
            <w:pPr>
              <w:keepNext/>
              <w:keepLines/>
              <w:ind w:left="0"/>
              <w:jc w:val="lef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 xml:space="preserve">PhilHealth </w:t>
            </w:r>
            <w:r w:rsidR="006A1323">
              <w:rPr>
                <w:rFonts w:ascii="Arial Narrow" w:hAnsi="Arial Narrow"/>
                <w:color w:val="000000" w:themeColor="text1"/>
                <w:sz w:val="16"/>
                <w:szCs w:val="16"/>
                <w:lang w:val="en-PH" w:eastAsia="en-PH"/>
              </w:rPr>
              <w:t>c</w:t>
            </w:r>
            <w:r w:rsidRPr="009E35ED">
              <w:rPr>
                <w:rFonts w:ascii="Arial Narrow" w:hAnsi="Arial Narrow"/>
                <w:color w:val="000000" w:themeColor="text1"/>
                <w:sz w:val="16"/>
                <w:szCs w:val="16"/>
                <w:lang w:val="en-PH" w:eastAsia="en-PH"/>
              </w:rPr>
              <w:t>ontributions</w:t>
            </w:r>
          </w:p>
        </w:tc>
        <w:tc>
          <w:tcPr>
            <w:tcW w:w="1070" w:type="dxa"/>
            <w:shd w:val="clear" w:color="auto" w:fill="auto"/>
            <w:noWrap/>
            <w:hideMark/>
          </w:tcPr>
          <w:p w14:paraId="7D601A9E" w14:textId="4F83E715" w:rsidR="00FA18A5" w:rsidRPr="009E35ED" w:rsidRDefault="00FA18A5" w:rsidP="00B90388">
            <w:pPr>
              <w:keepNext/>
              <w:keepLines/>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rPr>
              <w:t xml:space="preserve"> 11,436,998 </w:t>
            </w:r>
          </w:p>
        </w:tc>
        <w:tc>
          <w:tcPr>
            <w:tcW w:w="1241" w:type="dxa"/>
            <w:shd w:val="clear" w:color="auto" w:fill="auto"/>
            <w:noWrap/>
            <w:vAlign w:val="center"/>
            <w:hideMark/>
          </w:tcPr>
          <w:p w14:paraId="6AEA1C87" w14:textId="77777777" w:rsidR="00FA18A5" w:rsidRPr="009E35ED" w:rsidRDefault="00FA18A5" w:rsidP="00B90388">
            <w:pPr>
              <w:keepNext/>
              <w:keepLines/>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041" w:type="dxa"/>
            <w:shd w:val="clear" w:color="auto" w:fill="auto"/>
            <w:noWrap/>
            <w:vAlign w:val="center"/>
            <w:hideMark/>
          </w:tcPr>
          <w:p w14:paraId="32554E12" w14:textId="77777777" w:rsidR="00FA18A5" w:rsidRPr="009E35ED" w:rsidRDefault="00FA18A5" w:rsidP="00B90388">
            <w:pPr>
              <w:keepNext/>
              <w:keepLines/>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839" w:type="dxa"/>
            <w:shd w:val="clear" w:color="auto" w:fill="auto"/>
            <w:noWrap/>
            <w:hideMark/>
          </w:tcPr>
          <w:p w14:paraId="0DA0D917" w14:textId="65A6CC2E" w:rsidR="00FA18A5" w:rsidRPr="009E35ED" w:rsidRDefault="00FA18A5" w:rsidP="00B90388">
            <w:pPr>
              <w:keepNext/>
              <w:keepLines/>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rPr>
              <w:t xml:space="preserve"> 11,436,998 </w:t>
            </w:r>
          </w:p>
        </w:tc>
      </w:tr>
      <w:tr w:rsidR="00FA18A5" w:rsidRPr="009E35ED" w14:paraId="0287C36C" w14:textId="77777777" w:rsidTr="00860ED6">
        <w:trPr>
          <w:trHeight w:val="45"/>
        </w:trPr>
        <w:tc>
          <w:tcPr>
            <w:tcW w:w="3643" w:type="dxa"/>
            <w:gridSpan w:val="4"/>
            <w:shd w:val="clear" w:color="auto" w:fill="auto"/>
            <w:noWrap/>
            <w:vAlign w:val="center"/>
            <w:hideMark/>
          </w:tcPr>
          <w:p w14:paraId="318B9D98" w14:textId="383F659E" w:rsidR="00FA18A5" w:rsidRPr="009E35ED" w:rsidRDefault="00FA18A5" w:rsidP="00B90388">
            <w:pPr>
              <w:keepNext/>
              <w:keepLines/>
              <w:ind w:left="0"/>
              <w:jc w:val="lef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 xml:space="preserve">Employees </w:t>
            </w:r>
            <w:r w:rsidR="006A1323">
              <w:rPr>
                <w:rFonts w:ascii="Arial Narrow" w:hAnsi="Arial Narrow"/>
                <w:color w:val="000000" w:themeColor="text1"/>
                <w:sz w:val="16"/>
                <w:szCs w:val="16"/>
                <w:lang w:val="en-PH" w:eastAsia="en-PH"/>
              </w:rPr>
              <w:t>c</w:t>
            </w:r>
            <w:r w:rsidRPr="009E35ED">
              <w:rPr>
                <w:rFonts w:ascii="Arial Narrow" w:hAnsi="Arial Narrow"/>
                <w:color w:val="000000" w:themeColor="text1"/>
                <w:sz w:val="16"/>
                <w:szCs w:val="16"/>
                <w:lang w:val="en-PH" w:eastAsia="en-PH"/>
              </w:rPr>
              <w:t xml:space="preserve">ompensation </w:t>
            </w:r>
            <w:r w:rsidR="006A1323">
              <w:rPr>
                <w:rFonts w:ascii="Arial Narrow" w:hAnsi="Arial Narrow"/>
                <w:color w:val="000000" w:themeColor="text1"/>
                <w:sz w:val="16"/>
                <w:szCs w:val="16"/>
                <w:lang w:val="en-PH" w:eastAsia="en-PH"/>
              </w:rPr>
              <w:t>i</w:t>
            </w:r>
            <w:r w:rsidRPr="009E35ED">
              <w:rPr>
                <w:rFonts w:ascii="Arial Narrow" w:hAnsi="Arial Narrow"/>
                <w:color w:val="000000" w:themeColor="text1"/>
                <w:sz w:val="16"/>
                <w:szCs w:val="16"/>
                <w:lang w:val="en-PH" w:eastAsia="en-PH"/>
              </w:rPr>
              <w:t xml:space="preserve">nsurance </w:t>
            </w:r>
            <w:r w:rsidR="006A1323">
              <w:rPr>
                <w:rFonts w:ascii="Arial Narrow" w:hAnsi="Arial Narrow"/>
                <w:color w:val="000000" w:themeColor="text1"/>
                <w:sz w:val="16"/>
                <w:szCs w:val="16"/>
                <w:lang w:val="en-PH" w:eastAsia="en-PH"/>
              </w:rPr>
              <w:t>p</w:t>
            </w:r>
            <w:r w:rsidRPr="009E35ED">
              <w:rPr>
                <w:rFonts w:ascii="Arial Narrow" w:hAnsi="Arial Narrow"/>
                <w:color w:val="000000" w:themeColor="text1"/>
                <w:sz w:val="16"/>
                <w:szCs w:val="16"/>
                <w:lang w:val="en-PH" w:eastAsia="en-PH"/>
              </w:rPr>
              <w:t>remiums</w:t>
            </w:r>
          </w:p>
        </w:tc>
        <w:tc>
          <w:tcPr>
            <w:tcW w:w="1070" w:type="dxa"/>
            <w:shd w:val="clear" w:color="auto" w:fill="auto"/>
            <w:noWrap/>
            <w:hideMark/>
          </w:tcPr>
          <w:p w14:paraId="5429966D" w14:textId="787C53EB" w:rsidR="00FA18A5" w:rsidRPr="009E35ED" w:rsidRDefault="00FA18A5" w:rsidP="00B90388">
            <w:pPr>
              <w:keepNext/>
              <w:keepLines/>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rPr>
              <w:t xml:space="preserve"> 1,510,018 </w:t>
            </w:r>
          </w:p>
        </w:tc>
        <w:tc>
          <w:tcPr>
            <w:tcW w:w="1241" w:type="dxa"/>
            <w:shd w:val="clear" w:color="auto" w:fill="auto"/>
            <w:noWrap/>
            <w:vAlign w:val="center"/>
            <w:hideMark/>
          </w:tcPr>
          <w:p w14:paraId="5A7CB501" w14:textId="77777777" w:rsidR="00FA18A5" w:rsidRPr="009E35ED" w:rsidRDefault="00FA18A5" w:rsidP="00B90388">
            <w:pPr>
              <w:keepNext/>
              <w:keepLines/>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041" w:type="dxa"/>
            <w:shd w:val="clear" w:color="auto" w:fill="auto"/>
            <w:noWrap/>
            <w:vAlign w:val="center"/>
            <w:hideMark/>
          </w:tcPr>
          <w:p w14:paraId="7D38C64B" w14:textId="77777777" w:rsidR="00FA18A5" w:rsidRPr="009E35ED" w:rsidRDefault="00FA18A5" w:rsidP="00B90388">
            <w:pPr>
              <w:keepNext/>
              <w:keepLines/>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839" w:type="dxa"/>
            <w:shd w:val="clear" w:color="auto" w:fill="auto"/>
            <w:noWrap/>
            <w:hideMark/>
          </w:tcPr>
          <w:p w14:paraId="061C30C6" w14:textId="084DA250" w:rsidR="00FA18A5" w:rsidRPr="009E35ED" w:rsidRDefault="00FA18A5" w:rsidP="00B90388">
            <w:pPr>
              <w:keepNext/>
              <w:keepLines/>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rPr>
              <w:t xml:space="preserve"> 1,510,018 </w:t>
            </w:r>
          </w:p>
        </w:tc>
      </w:tr>
      <w:tr w:rsidR="00FA18A5" w:rsidRPr="009E35ED" w14:paraId="5A7548D4" w14:textId="77777777" w:rsidTr="00860ED6">
        <w:trPr>
          <w:trHeight w:val="45"/>
        </w:trPr>
        <w:tc>
          <w:tcPr>
            <w:tcW w:w="3643" w:type="dxa"/>
            <w:gridSpan w:val="4"/>
            <w:shd w:val="clear" w:color="auto" w:fill="auto"/>
            <w:noWrap/>
            <w:vAlign w:val="center"/>
            <w:hideMark/>
          </w:tcPr>
          <w:p w14:paraId="2D60AF26" w14:textId="358B7008" w:rsidR="00FA18A5" w:rsidRPr="009E35ED" w:rsidRDefault="00FA18A5" w:rsidP="00B90388">
            <w:pPr>
              <w:keepNext/>
              <w:keepLines/>
              <w:ind w:left="0"/>
              <w:jc w:val="lef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 xml:space="preserve">Provident/Welfare </w:t>
            </w:r>
            <w:r w:rsidR="006A1323">
              <w:rPr>
                <w:rFonts w:ascii="Arial Narrow" w:hAnsi="Arial Narrow"/>
                <w:color w:val="000000" w:themeColor="text1"/>
                <w:sz w:val="16"/>
                <w:szCs w:val="16"/>
                <w:lang w:val="en-PH" w:eastAsia="en-PH"/>
              </w:rPr>
              <w:t>f</w:t>
            </w:r>
            <w:r w:rsidRPr="009E35ED">
              <w:rPr>
                <w:rFonts w:ascii="Arial Narrow" w:hAnsi="Arial Narrow"/>
                <w:color w:val="000000" w:themeColor="text1"/>
                <w:sz w:val="16"/>
                <w:szCs w:val="16"/>
                <w:lang w:val="en-PH" w:eastAsia="en-PH"/>
              </w:rPr>
              <w:t xml:space="preserve">und </w:t>
            </w:r>
            <w:r w:rsidR="006A1323">
              <w:rPr>
                <w:rFonts w:ascii="Arial Narrow" w:hAnsi="Arial Narrow"/>
                <w:color w:val="000000" w:themeColor="text1"/>
                <w:sz w:val="16"/>
                <w:szCs w:val="16"/>
                <w:lang w:val="en-PH" w:eastAsia="en-PH"/>
              </w:rPr>
              <w:t>c</w:t>
            </w:r>
            <w:r w:rsidRPr="009E35ED">
              <w:rPr>
                <w:rFonts w:ascii="Arial Narrow" w:hAnsi="Arial Narrow"/>
                <w:color w:val="000000" w:themeColor="text1"/>
                <w:sz w:val="16"/>
                <w:szCs w:val="16"/>
                <w:lang w:val="en-PH" w:eastAsia="en-PH"/>
              </w:rPr>
              <w:t>ontributions</w:t>
            </w:r>
          </w:p>
        </w:tc>
        <w:tc>
          <w:tcPr>
            <w:tcW w:w="1070" w:type="dxa"/>
            <w:shd w:val="clear" w:color="auto" w:fill="auto"/>
            <w:noWrap/>
            <w:hideMark/>
          </w:tcPr>
          <w:p w14:paraId="712BFF06" w14:textId="22EEAED5" w:rsidR="00FA18A5" w:rsidRPr="009E35ED" w:rsidRDefault="00FA18A5" w:rsidP="00B90388">
            <w:pPr>
              <w:keepNext/>
              <w:keepLines/>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rPr>
              <w:t xml:space="preserve">62,105,710 </w:t>
            </w:r>
          </w:p>
        </w:tc>
        <w:tc>
          <w:tcPr>
            <w:tcW w:w="1241" w:type="dxa"/>
            <w:shd w:val="clear" w:color="auto" w:fill="auto"/>
            <w:noWrap/>
            <w:vAlign w:val="center"/>
            <w:hideMark/>
          </w:tcPr>
          <w:p w14:paraId="3FE37F31" w14:textId="77777777" w:rsidR="00FA18A5" w:rsidRPr="009E35ED" w:rsidRDefault="00FA18A5" w:rsidP="00B90388">
            <w:pPr>
              <w:keepNext/>
              <w:keepLines/>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041" w:type="dxa"/>
            <w:shd w:val="clear" w:color="auto" w:fill="auto"/>
            <w:noWrap/>
            <w:vAlign w:val="center"/>
            <w:hideMark/>
          </w:tcPr>
          <w:p w14:paraId="159357F1" w14:textId="77777777" w:rsidR="00FA18A5" w:rsidRPr="009E35ED" w:rsidRDefault="00FA18A5" w:rsidP="00B90388">
            <w:pPr>
              <w:keepNext/>
              <w:keepLines/>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839" w:type="dxa"/>
            <w:shd w:val="clear" w:color="auto" w:fill="auto"/>
            <w:noWrap/>
            <w:hideMark/>
          </w:tcPr>
          <w:p w14:paraId="50A1638F" w14:textId="4FDBEC69" w:rsidR="00FA18A5" w:rsidRPr="009E35ED" w:rsidRDefault="00FA18A5" w:rsidP="00B90388">
            <w:pPr>
              <w:keepNext/>
              <w:keepLines/>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rPr>
              <w:t xml:space="preserve">62,105,710 </w:t>
            </w:r>
          </w:p>
        </w:tc>
      </w:tr>
      <w:tr w:rsidR="00FA18A5" w:rsidRPr="009E35ED" w14:paraId="24A5B274" w14:textId="77777777" w:rsidTr="00860ED6">
        <w:trPr>
          <w:trHeight w:val="45"/>
        </w:trPr>
        <w:tc>
          <w:tcPr>
            <w:tcW w:w="3643" w:type="dxa"/>
            <w:gridSpan w:val="4"/>
            <w:shd w:val="clear" w:color="auto" w:fill="auto"/>
            <w:noWrap/>
            <w:vAlign w:val="center"/>
            <w:hideMark/>
          </w:tcPr>
          <w:p w14:paraId="6077CBB9" w14:textId="10288938" w:rsidR="00FA18A5" w:rsidRPr="009E35ED" w:rsidRDefault="00FA18A5" w:rsidP="00B90388">
            <w:pPr>
              <w:keepNext/>
              <w:keepLines/>
              <w:ind w:left="0"/>
              <w:jc w:val="lef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 xml:space="preserve">Terminal </w:t>
            </w:r>
            <w:r w:rsidR="006A1323">
              <w:rPr>
                <w:rFonts w:ascii="Arial Narrow" w:hAnsi="Arial Narrow"/>
                <w:color w:val="000000" w:themeColor="text1"/>
                <w:sz w:val="16"/>
                <w:szCs w:val="16"/>
                <w:lang w:val="en-PH" w:eastAsia="en-PH"/>
              </w:rPr>
              <w:t>l</w:t>
            </w:r>
            <w:r w:rsidRPr="009E35ED">
              <w:rPr>
                <w:rFonts w:ascii="Arial Narrow" w:hAnsi="Arial Narrow"/>
                <w:color w:val="000000" w:themeColor="text1"/>
                <w:sz w:val="16"/>
                <w:szCs w:val="16"/>
                <w:lang w:val="en-PH" w:eastAsia="en-PH"/>
              </w:rPr>
              <w:t xml:space="preserve">eave </w:t>
            </w:r>
            <w:r w:rsidR="006A1323">
              <w:rPr>
                <w:rFonts w:ascii="Arial Narrow" w:hAnsi="Arial Narrow"/>
                <w:color w:val="000000" w:themeColor="text1"/>
                <w:sz w:val="16"/>
                <w:szCs w:val="16"/>
                <w:lang w:val="en-PH" w:eastAsia="en-PH"/>
              </w:rPr>
              <w:t>b</w:t>
            </w:r>
            <w:r w:rsidRPr="009E35ED">
              <w:rPr>
                <w:rFonts w:ascii="Arial Narrow" w:hAnsi="Arial Narrow"/>
                <w:color w:val="000000" w:themeColor="text1"/>
                <w:sz w:val="16"/>
                <w:szCs w:val="16"/>
                <w:lang w:val="en-PH" w:eastAsia="en-PH"/>
              </w:rPr>
              <w:t>enefits</w:t>
            </w:r>
          </w:p>
        </w:tc>
        <w:tc>
          <w:tcPr>
            <w:tcW w:w="1070" w:type="dxa"/>
            <w:shd w:val="clear" w:color="auto" w:fill="auto"/>
            <w:noWrap/>
            <w:hideMark/>
          </w:tcPr>
          <w:p w14:paraId="6ECF68D2" w14:textId="47ACB69E" w:rsidR="00FA18A5" w:rsidRPr="009E35ED" w:rsidRDefault="00FA18A5" w:rsidP="00B90388">
            <w:pPr>
              <w:keepNext/>
              <w:keepLines/>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rPr>
              <w:t xml:space="preserve"> 55,959,75</w:t>
            </w:r>
            <w:r w:rsidR="0098250E" w:rsidRPr="009E35ED">
              <w:rPr>
                <w:rFonts w:ascii="Arial Narrow" w:hAnsi="Arial Narrow"/>
                <w:color w:val="000000" w:themeColor="text1"/>
                <w:sz w:val="16"/>
                <w:szCs w:val="16"/>
              </w:rPr>
              <w:t>5</w:t>
            </w:r>
          </w:p>
        </w:tc>
        <w:tc>
          <w:tcPr>
            <w:tcW w:w="1241" w:type="dxa"/>
            <w:shd w:val="clear" w:color="auto" w:fill="auto"/>
            <w:noWrap/>
            <w:vAlign w:val="center"/>
            <w:hideMark/>
          </w:tcPr>
          <w:p w14:paraId="25F540B8" w14:textId="77777777" w:rsidR="00FA18A5" w:rsidRPr="009E35ED" w:rsidRDefault="00FA18A5" w:rsidP="00B90388">
            <w:pPr>
              <w:keepNext/>
              <w:keepLines/>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041" w:type="dxa"/>
            <w:shd w:val="clear" w:color="auto" w:fill="auto"/>
            <w:noWrap/>
            <w:vAlign w:val="center"/>
            <w:hideMark/>
          </w:tcPr>
          <w:p w14:paraId="4CC09335" w14:textId="77777777" w:rsidR="00FA18A5" w:rsidRPr="009E35ED" w:rsidRDefault="00FA18A5" w:rsidP="00B90388">
            <w:pPr>
              <w:keepNext/>
              <w:keepLines/>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839" w:type="dxa"/>
            <w:shd w:val="clear" w:color="auto" w:fill="auto"/>
            <w:noWrap/>
            <w:hideMark/>
          </w:tcPr>
          <w:p w14:paraId="12DC3338" w14:textId="76F0803C" w:rsidR="00FA18A5" w:rsidRPr="009E35ED" w:rsidRDefault="00FA18A5" w:rsidP="00B90388">
            <w:pPr>
              <w:keepNext/>
              <w:keepLines/>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rPr>
              <w:t xml:space="preserve"> 55,959,75</w:t>
            </w:r>
            <w:r w:rsidR="0098250E" w:rsidRPr="009E35ED">
              <w:rPr>
                <w:rFonts w:ascii="Arial Narrow" w:hAnsi="Arial Narrow"/>
                <w:color w:val="000000" w:themeColor="text1"/>
                <w:sz w:val="16"/>
                <w:szCs w:val="16"/>
              </w:rPr>
              <w:t>5</w:t>
            </w:r>
          </w:p>
        </w:tc>
      </w:tr>
      <w:tr w:rsidR="00FA18A5" w:rsidRPr="009E35ED" w14:paraId="2360D339" w14:textId="77777777" w:rsidTr="00860ED6">
        <w:trPr>
          <w:trHeight w:val="45"/>
        </w:trPr>
        <w:tc>
          <w:tcPr>
            <w:tcW w:w="3643" w:type="dxa"/>
            <w:gridSpan w:val="4"/>
            <w:shd w:val="clear" w:color="auto" w:fill="auto"/>
            <w:noWrap/>
            <w:vAlign w:val="center"/>
            <w:hideMark/>
          </w:tcPr>
          <w:p w14:paraId="03BBCE15" w14:textId="7E24E01D" w:rsidR="00FA18A5" w:rsidRPr="009E35ED" w:rsidRDefault="00FA18A5" w:rsidP="00B90388">
            <w:pPr>
              <w:keepNext/>
              <w:keepLines/>
              <w:ind w:left="0"/>
              <w:jc w:val="lef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 xml:space="preserve">Retirement </w:t>
            </w:r>
            <w:r w:rsidR="006A1323">
              <w:rPr>
                <w:rFonts w:ascii="Arial Narrow" w:hAnsi="Arial Narrow"/>
                <w:color w:val="000000" w:themeColor="text1"/>
                <w:sz w:val="16"/>
                <w:szCs w:val="16"/>
                <w:lang w:val="en-PH" w:eastAsia="en-PH"/>
              </w:rPr>
              <w:t>g</w:t>
            </w:r>
            <w:r w:rsidRPr="009E35ED">
              <w:rPr>
                <w:rFonts w:ascii="Arial Narrow" w:hAnsi="Arial Narrow"/>
                <w:color w:val="000000" w:themeColor="text1"/>
                <w:sz w:val="16"/>
                <w:szCs w:val="16"/>
                <w:lang w:val="en-PH" w:eastAsia="en-PH"/>
              </w:rPr>
              <w:t>ratuity</w:t>
            </w:r>
          </w:p>
        </w:tc>
        <w:tc>
          <w:tcPr>
            <w:tcW w:w="1070" w:type="dxa"/>
            <w:shd w:val="clear" w:color="auto" w:fill="auto"/>
            <w:noWrap/>
            <w:hideMark/>
          </w:tcPr>
          <w:p w14:paraId="56DDA91C" w14:textId="0A5EF78A" w:rsidR="00FA18A5" w:rsidRPr="009E35ED" w:rsidRDefault="00FA18A5" w:rsidP="00B90388">
            <w:pPr>
              <w:keepNext/>
              <w:keepLines/>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rPr>
              <w:t xml:space="preserve"> -   </w:t>
            </w:r>
          </w:p>
        </w:tc>
        <w:tc>
          <w:tcPr>
            <w:tcW w:w="1241" w:type="dxa"/>
            <w:shd w:val="clear" w:color="auto" w:fill="auto"/>
            <w:noWrap/>
            <w:vAlign w:val="center"/>
            <w:hideMark/>
          </w:tcPr>
          <w:p w14:paraId="10AD7AD4" w14:textId="77777777" w:rsidR="00FA18A5" w:rsidRPr="009E35ED" w:rsidRDefault="00FA18A5" w:rsidP="00B90388">
            <w:pPr>
              <w:keepNext/>
              <w:keepLines/>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041" w:type="dxa"/>
            <w:shd w:val="clear" w:color="auto" w:fill="auto"/>
            <w:noWrap/>
            <w:vAlign w:val="center"/>
            <w:hideMark/>
          </w:tcPr>
          <w:p w14:paraId="6A4DE0D1" w14:textId="77777777" w:rsidR="00FA18A5" w:rsidRPr="009E35ED" w:rsidRDefault="00FA18A5" w:rsidP="00B90388">
            <w:pPr>
              <w:keepNext/>
              <w:keepLines/>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839" w:type="dxa"/>
            <w:shd w:val="clear" w:color="auto" w:fill="auto"/>
            <w:noWrap/>
            <w:hideMark/>
          </w:tcPr>
          <w:p w14:paraId="48B6AEE8" w14:textId="791C206E" w:rsidR="00FA18A5" w:rsidRPr="009E35ED" w:rsidRDefault="00FA18A5" w:rsidP="00B90388">
            <w:pPr>
              <w:keepNext/>
              <w:keepLines/>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rPr>
              <w:t xml:space="preserve"> -   </w:t>
            </w:r>
          </w:p>
        </w:tc>
      </w:tr>
      <w:tr w:rsidR="00FA18A5" w:rsidRPr="009E35ED" w14:paraId="6FC2ED6B" w14:textId="77777777" w:rsidTr="00860ED6">
        <w:trPr>
          <w:trHeight w:val="45"/>
        </w:trPr>
        <w:tc>
          <w:tcPr>
            <w:tcW w:w="3643" w:type="dxa"/>
            <w:gridSpan w:val="4"/>
            <w:tcBorders>
              <w:bottom w:val="single" w:sz="4" w:space="0" w:color="auto"/>
            </w:tcBorders>
            <w:shd w:val="clear" w:color="auto" w:fill="auto"/>
            <w:noWrap/>
            <w:vAlign w:val="center"/>
            <w:hideMark/>
          </w:tcPr>
          <w:p w14:paraId="5493FC7C" w14:textId="66952B18" w:rsidR="00FA18A5" w:rsidRPr="009E35ED" w:rsidRDefault="00FA18A5" w:rsidP="00B90388">
            <w:pPr>
              <w:keepNext/>
              <w:keepLines/>
              <w:ind w:left="0"/>
              <w:jc w:val="lef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 xml:space="preserve">Other </w:t>
            </w:r>
            <w:r w:rsidR="006A1323">
              <w:rPr>
                <w:rFonts w:ascii="Arial Narrow" w:hAnsi="Arial Narrow"/>
                <w:color w:val="000000" w:themeColor="text1"/>
                <w:sz w:val="16"/>
                <w:szCs w:val="16"/>
                <w:lang w:val="en-PH" w:eastAsia="en-PH"/>
              </w:rPr>
              <w:t>p</w:t>
            </w:r>
            <w:r w:rsidRPr="009E35ED">
              <w:rPr>
                <w:rFonts w:ascii="Arial Narrow" w:hAnsi="Arial Narrow"/>
                <w:color w:val="000000" w:themeColor="text1"/>
                <w:sz w:val="16"/>
                <w:szCs w:val="16"/>
                <w:lang w:val="en-PH" w:eastAsia="en-PH"/>
              </w:rPr>
              <w:t xml:space="preserve">ersonnel </w:t>
            </w:r>
            <w:r w:rsidR="006A1323">
              <w:rPr>
                <w:rFonts w:ascii="Arial Narrow" w:hAnsi="Arial Narrow"/>
                <w:color w:val="000000" w:themeColor="text1"/>
                <w:sz w:val="16"/>
                <w:szCs w:val="16"/>
                <w:lang w:val="en-PH" w:eastAsia="en-PH"/>
              </w:rPr>
              <w:t>b</w:t>
            </w:r>
            <w:r w:rsidRPr="009E35ED">
              <w:rPr>
                <w:rFonts w:ascii="Arial Narrow" w:hAnsi="Arial Narrow"/>
                <w:color w:val="000000" w:themeColor="text1"/>
                <w:sz w:val="16"/>
                <w:szCs w:val="16"/>
                <w:lang w:val="en-PH" w:eastAsia="en-PH"/>
              </w:rPr>
              <w:t>enefits</w:t>
            </w:r>
          </w:p>
        </w:tc>
        <w:tc>
          <w:tcPr>
            <w:tcW w:w="1070" w:type="dxa"/>
            <w:tcBorders>
              <w:bottom w:val="single" w:sz="4" w:space="0" w:color="auto"/>
            </w:tcBorders>
            <w:shd w:val="clear" w:color="auto" w:fill="auto"/>
            <w:noWrap/>
            <w:hideMark/>
          </w:tcPr>
          <w:p w14:paraId="4C4A0586" w14:textId="0664DB64" w:rsidR="00FA18A5" w:rsidRPr="009E35ED" w:rsidRDefault="00FA18A5" w:rsidP="00B90388">
            <w:pPr>
              <w:keepNext/>
              <w:keepLines/>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rPr>
              <w:t xml:space="preserve">80,000 </w:t>
            </w:r>
          </w:p>
        </w:tc>
        <w:tc>
          <w:tcPr>
            <w:tcW w:w="1241" w:type="dxa"/>
            <w:tcBorders>
              <w:bottom w:val="single" w:sz="4" w:space="0" w:color="auto"/>
            </w:tcBorders>
            <w:shd w:val="clear" w:color="auto" w:fill="auto"/>
            <w:noWrap/>
            <w:vAlign w:val="center"/>
            <w:hideMark/>
          </w:tcPr>
          <w:p w14:paraId="4EC2D5C6" w14:textId="77777777" w:rsidR="00FA18A5" w:rsidRPr="009E35ED" w:rsidRDefault="00FA18A5" w:rsidP="00B90388">
            <w:pPr>
              <w:keepNext/>
              <w:keepLines/>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041" w:type="dxa"/>
            <w:tcBorders>
              <w:bottom w:val="single" w:sz="4" w:space="0" w:color="auto"/>
            </w:tcBorders>
            <w:shd w:val="clear" w:color="auto" w:fill="auto"/>
            <w:noWrap/>
            <w:vAlign w:val="center"/>
            <w:hideMark/>
          </w:tcPr>
          <w:p w14:paraId="238FDC95" w14:textId="77777777" w:rsidR="00FA18A5" w:rsidRPr="009E35ED" w:rsidRDefault="00FA18A5" w:rsidP="00B90388">
            <w:pPr>
              <w:keepNext/>
              <w:keepLines/>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839" w:type="dxa"/>
            <w:tcBorders>
              <w:bottom w:val="single" w:sz="4" w:space="0" w:color="auto"/>
            </w:tcBorders>
            <w:shd w:val="clear" w:color="auto" w:fill="auto"/>
            <w:noWrap/>
            <w:hideMark/>
          </w:tcPr>
          <w:p w14:paraId="610DF6D3" w14:textId="10EEBD1C" w:rsidR="00FA18A5" w:rsidRPr="009E35ED" w:rsidRDefault="00FA18A5" w:rsidP="00B90388">
            <w:pPr>
              <w:keepNext/>
              <w:keepLines/>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rPr>
              <w:t xml:space="preserve">80,000 </w:t>
            </w:r>
          </w:p>
        </w:tc>
      </w:tr>
      <w:tr w:rsidR="00FA18A5" w:rsidRPr="009E35ED" w14:paraId="5A6409D0" w14:textId="77777777" w:rsidTr="00860ED6">
        <w:trPr>
          <w:trHeight w:val="315"/>
        </w:trPr>
        <w:tc>
          <w:tcPr>
            <w:tcW w:w="3643" w:type="dxa"/>
            <w:gridSpan w:val="4"/>
            <w:tcBorders>
              <w:top w:val="single" w:sz="4" w:space="0" w:color="auto"/>
              <w:left w:val="nil"/>
              <w:bottom w:val="double" w:sz="6" w:space="0" w:color="auto"/>
              <w:right w:val="nil"/>
            </w:tcBorders>
            <w:shd w:val="clear" w:color="auto" w:fill="auto"/>
            <w:noWrap/>
            <w:vAlign w:val="center"/>
            <w:hideMark/>
          </w:tcPr>
          <w:p w14:paraId="241B09E0" w14:textId="77777777" w:rsidR="00FA18A5" w:rsidRPr="009E35ED" w:rsidRDefault="00FA18A5" w:rsidP="00B90388">
            <w:pPr>
              <w:keepNext/>
              <w:keepLines/>
              <w:ind w:left="0"/>
              <w:jc w:val="left"/>
              <w:rPr>
                <w:rFonts w:ascii="Arial Narrow" w:hAnsi="Arial Narrow"/>
                <w:b/>
                <w:bCs/>
                <w:color w:val="000000" w:themeColor="text1"/>
                <w:sz w:val="18"/>
                <w:szCs w:val="18"/>
                <w:lang w:val="en-PH" w:eastAsia="en-PH"/>
              </w:rPr>
            </w:pPr>
            <w:r w:rsidRPr="009E35ED">
              <w:rPr>
                <w:rFonts w:ascii="Arial Narrow" w:hAnsi="Arial Narrow"/>
                <w:b/>
                <w:bCs/>
                <w:color w:val="000000" w:themeColor="text1"/>
                <w:sz w:val="18"/>
                <w:szCs w:val="18"/>
                <w:lang w:val="en-PH" w:eastAsia="en-PH"/>
              </w:rPr>
              <w:t>Total Personal Services</w:t>
            </w:r>
          </w:p>
        </w:tc>
        <w:tc>
          <w:tcPr>
            <w:tcW w:w="1070" w:type="dxa"/>
            <w:tcBorders>
              <w:top w:val="single" w:sz="4" w:space="0" w:color="auto"/>
              <w:left w:val="nil"/>
              <w:bottom w:val="double" w:sz="6" w:space="0" w:color="auto"/>
              <w:right w:val="nil"/>
            </w:tcBorders>
            <w:shd w:val="clear" w:color="auto" w:fill="auto"/>
            <w:noWrap/>
            <w:vAlign w:val="center"/>
            <w:hideMark/>
          </w:tcPr>
          <w:p w14:paraId="3C568E59" w14:textId="4521F85D" w:rsidR="00FA18A5" w:rsidRPr="009E35ED" w:rsidRDefault="00FA18A5" w:rsidP="00B90388">
            <w:pPr>
              <w:keepNext/>
              <w:keepLines/>
              <w:ind w:left="0"/>
              <w:jc w:val="right"/>
              <w:rPr>
                <w:rFonts w:ascii="Arial Narrow" w:hAnsi="Arial Narrow"/>
                <w:b/>
                <w:bCs/>
                <w:color w:val="000000" w:themeColor="text1"/>
                <w:sz w:val="16"/>
                <w:szCs w:val="16"/>
                <w:lang w:val="en-PH" w:eastAsia="en-PH"/>
              </w:rPr>
            </w:pPr>
            <w:r w:rsidRPr="009E35ED">
              <w:rPr>
                <w:rFonts w:ascii="Arial Narrow" w:hAnsi="Arial Narrow"/>
                <w:b/>
                <w:bCs/>
                <w:color w:val="000000" w:themeColor="text1"/>
                <w:sz w:val="16"/>
                <w:szCs w:val="16"/>
                <w:lang w:val="en-PH" w:eastAsia="en-PH"/>
              </w:rPr>
              <w:t>1,100,383,361</w:t>
            </w:r>
          </w:p>
        </w:tc>
        <w:tc>
          <w:tcPr>
            <w:tcW w:w="1241" w:type="dxa"/>
            <w:tcBorders>
              <w:top w:val="single" w:sz="4" w:space="0" w:color="auto"/>
              <w:left w:val="nil"/>
              <w:bottom w:val="double" w:sz="6" w:space="0" w:color="auto"/>
              <w:right w:val="nil"/>
            </w:tcBorders>
            <w:shd w:val="clear" w:color="auto" w:fill="auto"/>
            <w:noWrap/>
            <w:vAlign w:val="center"/>
            <w:hideMark/>
          </w:tcPr>
          <w:p w14:paraId="5F9FBA1B" w14:textId="77777777" w:rsidR="00FA18A5" w:rsidRPr="009E35ED" w:rsidRDefault="00FA18A5" w:rsidP="00B90388">
            <w:pPr>
              <w:keepNext/>
              <w:keepLines/>
              <w:ind w:left="0"/>
              <w:jc w:val="right"/>
              <w:rPr>
                <w:rFonts w:ascii="Arial Narrow" w:hAnsi="Arial Narrow"/>
                <w:b/>
                <w:bCs/>
                <w:color w:val="000000" w:themeColor="text1"/>
                <w:sz w:val="16"/>
                <w:szCs w:val="16"/>
                <w:lang w:val="en-PH" w:eastAsia="en-PH"/>
              </w:rPr>
            </w:pPr>
            <w:r w:rsidRPr="009E35ED">
              <w:rPr>
                <w:rFonts w:ascii="Arial Narrow" w:hAnsi="Arial Narrow"/>
                <w:b/>
                <w:bCs/>
                <w:color w:val="000000" w:themeColor="text1"/>
                <w:sz w:val="16"/>
                <w:szCs w:val="16"/>
                <w:lang w:val="en-PH" w:eastAsia="en-PH"/>
              </w:rPr>
              <w:t>-</w:t>
            </w:r>
          </w:p>
        </w:tc>
        <w:tc>
          <w:tcPr>
            <w:tcW w:w="1041" w:type="dxa"/>
            <w:tcBorders>
              <w:top w:val="single" w:sz="4" w:space="0" w:color="auto"/>
              <w:left w:val="nil"/>
              <w:bottom w:val="double" w:sz="6" w:space="0" w:color="auto"/>
              <w:right w:val="nil"/>
            </w:tcBorders>
            <w:shd w:val="clear" w:color="auto" w:fill="auto"/>
            <w:noWrap/>
            <w:vAlign w:val="center"/>
            <w:hideMark/>
          </w:tcPr>
          <w:p w14:paraId="0DB38C7B" w14:textId="77777777" w:rsidR="00FA18A5" w:rsidRPr="009E35ED" w:rsidRDefault="00FA18A5" w:rsidP="00B90388">
            <w:pPr>
              <w:keepNext/>
              <w:keepLines/>
              <w:ind w:left="0"/>
              <w:jc w:val="right"/>
              <w:rPr>
                <w:rFonts w:ascii="Arial Narrow" w:hAnsi="Arial Narrow"/>
                <w:b/>
                <w:bCs/>
                <w:color w:val="000000" w:themeColor="text1"/>
                <w:sz w:val="16"/>
                <w:szCs w:val="16"/>
                <w:lang w:val="en-PH" w:eastAsia="en-PH"/>
              </w:rPr>
            </w:pPr>
            <w:r w:rsidRPr="009E35ED">
              <w:rPr>
                <w:rFonts w:ascii="Arial Narrow" w:hAnsi="Arial Narrow"/>
                <w:b/>
                <w:bCs/>
                <w:color w:val="000000" w:themeColor="text1"/>
                <w:sz w:val="16"/>
                <w:szCs w:val="16"/>
                <w:lang w:val="en-PH" w:eastAsia="en-PH"/>
              </w:rPr>
              <w:t>-</w:t>
            </w:r>
          </w:p>
        </w:tc>
        <w:tc>
          <w:tcPr>
            <w:tcW w:w="1839" w:type="dxa"/>
            <w:tcBorders>
              <w:top w:val="single" w:sz="4" w:space="0" w:color="auto"/>
              <w:left w:val="nil"/>
              <w:bottom w:val="double" w:sz="6" w:space="0" w:color="auto"/>
              <w:right w:val="nil"/>
            </w:tcBorders>
            <w:shd w:val="clear" w:color="auto" w:fill="auto"/>
            <w:noWrap/>
            <w:vAlign w:val="center"/>
            <w:hideMark/>
          </w:tcPr>
          <w:p w14:paraId="3C210906" w14:textId="03E8D4F8" w:rsidR="00FA18A5" w:rsidRPr="009E35ED" w:rsidRDefault="00FA18A5" w:rsidP="00B90388">
            <w:pPr>
              <w:keepNext/>
              <w:keepLines/>
              <w:ind w:left="0"/>
              <w:jc w:val="right"/>
              <w:rPr>
                <w:rFonts w:ascii="Arial Narrow" w:hAnsi="Arial Narrow"/>
                <w:b/>
                <w:bCs/>
                <w:color w:val="000000" w:themeColor="text1"/>
                <w:sz w:val="16"/>
                <w:szCs w:val="16"/>
                <w:lang w:val="en-PH" w:eastAsia="en-PH"/>
              </w:rPr>
            </w:pPr>
            <w:r w:rsidRPr="009E35ED">
              <w:rPr>
                <w:rFonts w:ascii="Arial Narrow" w:hAnsi="Arial Narrow"/>
                <w:b/>
                <w:bCs/>
                <w:color w:val="000000" w:themeColor="text1"/>
                <w:sz w:val="16"/>
                <w:szCs w:val="16"/>
                <w:lang w:val="en-PH" w:eastAsia="en-PH"/>
              </w:rPr>
              <w:t>1,100,383,361</w:t>
            </w:r>
          </w:p>
        </w:tc>
      </w:tr>
      <w:tr w:rsidR="00997F75" w:rsidRPr="009E35ED" w14:paraId="20777F91" w14:textId="77777777" w:rsidTr="00860ED6">
        <w:trPr>
          <w:trHeight w:val="315"/>
        </w:trPr>
        <w:tc>
          <w:tcPr>
            <w:tcW w:w="3643" w:type="dxa"/>
            <w:gridSpan w:val="4"/>
            <w:tcBorders>
              <w:top w:val="double" w:sz="6" w:space="0" w:color="auto"/>
              <w:left w:val="nil"/>
              <w:bottom w:val="nil"/>
              <w:right w:val="nil"/>
            </w:tcBorders>
            <w:shd w:val="clear" w:color="auto" w:fill="auto"/>
            <w:noWrap/>
            <w:vAlign w:val="center"/>
            <w:hideMark/>
          </w:tcPr>
          <w:p w14:paraId="4AD95A36" w14:textId="77777777" w:rsidR="00B13601" w:rsidRPr="009E35ED" w:rsidRDefault="00B13601" w:rsidP="00B13601">
            <w:pPr>
              <w:ind w:left="0"/>
              <w:jc w:val="left"/>
              <w:rPr>
                <w:rFonts w:ascii="Arial Narrow" w:hAnsi="Arial Narrow"/>
                <w:b/>
                <w:bCs/>
                <w:color w:val="000000" w:themeColor="text1"/>
                <w:sz w:val="16"/>
                <w:szCs w:val="16"/>
                <w:lang w:val="en-PH" w:eastAsia="en-PH"/>
              </w:rPr>
            </w:pPr>
            <w:r w:rsidRPr="009E35ED">
              <w:rPr>
                <w:rFonts w:ascii="Arial Narrow" w:hAnsi="Arial Narrow"/>
                <w:b/>
                <w:bCs/>
                <w:color w:val="000000" w:themeColor="text1"/>
                <w:sz w:val="16"/>
                <w:szCs w:val="16"/>
                <w:lang w:val="en-PH" w:eastAsia="en-PH"/>
              </w:rPr>
              <w:t> </w:t>
            </w:r>
          </w:p>
        </w:tc>
        <w:tc>
          <w:tcPr>
            <w:tcW w:w="1070" w:type="dxa"/>
            <w:vMerge w:val="restart"/>
            <w:tcBorders>
              <w:top w:val="nil"/>
              <w:left w:val="nil"/>
              <w:bottom w:val="nil"/>
              <w:right w:val="nil"/>
            </w:tcBorders>
            <w:shd w:val="clear" w:color="auto" w:fill="auto"/>
            <w:noWrap/>
            <w:vAlign w:val="center"/>
            <w:hideMark/>
          </w:tcPr>
          <w:p w14:paraId="0F66A7CE" w14:textId="77777777" w:rsidR="00B13601" w:rsidRPr="009E35ED" w:rsidRDefault="00B13601" w:rsidP="00B13601">
            <w:pPr>
              <w:ind w:left="0"/>
              <w:jc w:val="right"/>
              <w:rPr>
                <w:rFonts w:ascii="Arial Narrow" w:hAnsi="Arial Narrow"/>
                <w:b/>
                <w:bCs/>
                <w:color w:val="000000" w:themeColor="text1"/>
                <w:sz w:val="16"/>
                <w:szCs w:val="16"/>
                <w:lang w:val="en-PH" w:eastAsia="en-PH"/>
              </w:rPr>
            </w:pPr>
            <w:r w:rsidRPr="009E35ED">
              <w:rPr>
                <w:rFonts w:ascii="Arial Narrow" w:hAnsi="Arial Narrow"/>
                <w:b/>
                <w:bCs/>
                <w:color w:val="000000" w:themeColor="text1"/>
                <w:sz w:val="16"/>
                <w:szCs w:val="16"/>
                <w:lang w:val="en-PH" w:eastAsia="en-PH"/>
              </w:rPr>
              <w:t> </w:t>
            </w:r>
          </w:p>
        </w:tc>
        <w:tc>
          <w:tcPr>
            <w:tcW w:w="1241" w:type="dxa"/>
            <w:vMerge w:val="restart"/>
            <w:tcBorders>
              <w:top w:val="nil"/>
              <w:left w:val="nil"/>
              <w:bottom w:val="nil"/>
              <w:right w:val="nil"/>
            </w:tcBorders>
            <w:shd w:val="clear" w:color="auto" w:fill="auto"/>
            <w:noWrap/>
            <w:vAlign w:val="center"/>
            <w:hideMark/>
          </w:tcPr>
          <w:p w14:paraId="704049AC" w14:textId="77777777" w:rsidR="00B13601" w:rsidRPr="009E35ED" w:rsidRDefault="00B13601" w:rsidP="00B13601">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 </w:t>
            </w:r>
          </w:p>
        </w:tc>
        <w:tc>
          <w:tcPr>
            <w:tcW w:w="1041" w:type="dxa"/>
            <w:vMerge w:val="restart"/>
            <w:tcBorders>
              <w:top w:val="nil"/>
              <w:left w:val="nil"/>
              <w:bottom w:val="nil"/>
              <w:right w:val="nil"/>
            </w:tcBorders>
            <w:shd w:val="clear" w:color="auto" w:fill="auto"/>
            <w:noWrap/>
            <w:vAlign w:val="center"/>
            <w:hideMark/>
          </w:tcPr>
          <w:p w14:paraId="6D574265" w14:textId="77777777" w:rsidR="00B13601" w:rsidRPr="009E35ED" w:rsidRDefault="00B13601" w:rsidP="00B13601">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 </w:t>
            </w:r>
          </w:p>
        </w:tc>
        <w:tc>
          <w:tcPr>
            <w:tcW w:w="1839" w:type="dxa"/>
            <w:vMerge w:val="restart"/>
            <w:tcBorders>
              <w:top w:val="nil"/>
              <w:left w:val="nil"/>
              <w:bottom w:val="nil"/>
              <w:right w:val="nil"/>
            </w:tcBorders>
            <w:shd w:val="clear" w:color="auto" w:fill="auto"/>
            <w:noWrap/>
            <w:vAlign w:val="center"/>
            <w:hideMark/>
          </w:tcPr>
          <w:p w14:paraId="479B00B8" w14:textId="77777777" w:rsidR="00B13601" w:rsidRPr="009E35ED" w:rsidRDefault="00B13601" w:rsidP="00B13601">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 </w:t>
            </w:r>
          </w:p>
        </w:tc>
      </w:tr>
      <w:tr w:rsidR="00997F75" w:rsidRPr="009E35ED" w14:paraId="7322FC41" w14:textId="77777777" w:rsidTr="00860ED6">
        <w:trPr>
          <w:trHeight w:val="300"/>
        </w:trPr>
        <w:tc>
          <w:tcPr>
            <w:tcW w:w="3643" w:type="dxa"/>
            <w:gridSpan w:val="4"/>
            <w:tcBorders>
              <w:top w:val="nil"/>
              <w:left w:val="nil"/>
              <w:right w:val="nil"/>
            </w:tcBorders>
            <w:shd w:val="clear" w:color="auto" w:fill="auto"/>
            <w:noWrap/>
            <w:vAlign w:val="center"/>
            <w:hideMark/>
          </w:tcPr>
          <w:p w14:paraId="7668D467" w14:textId="77777777" w:rsidR="00B13601" w:rsidRPr="009E35ED" w:rsidRDefault="00B13601" w:rsidP="00B13601">
            <w:pPr>
              <w:ind w:left="0"/>
              <w:jc w:val="left"/>
              <w:rPr>
                <w:rFonts w:ascii="Arial Narrow" w:hAnsi="Arial Narrow"/>
                <w:b/>
                <w:bCs/>
                <w:color w:val="000000" w:themeColor="text1"/>
                <w:sz w:val="18"/>
                <w:szCs w:val="18"/>
                <w:lang w:val="en-PH" w:eastAsia="en-PH"/>
              </w:rPr>
            </w:pPr>
            <w:r w:rsidRPr="009E35ED">
              <w:rPr>
                <w:rFonts w:ascii="Arial Narrow" w:hAnsi="Arial Narrow"/>
                <w:b/>
                <w:bCs/>
                <w:color w:val="000000" w:themeColor="text1"/>
                <w:sz w:val="18"/>
                <w:szCs w:val="18"/>
                <w:lang w:val="en-PH" w:eastAsia="en-PH"/>
              </w:rPr>
              <w:t>Maintenance and Other Operating Expenses</w:t>
            </w:r>
          </w:p>
          <w:p w14:paraId="2365A6A8" w14:textId="5ABBEC65" w:rsidR="00CE251D" w:rsidRPr="009E35ED" w:rsidRDefault="00CE251D" w:rsidP="00B13601">
            <w:pPr>
              <w:ind w:left="0"/>
              <w:jc w:val="left"/>
              <w:rPr>
                <w:rFonts w:ascii="Arial Narrow" w:hAnsi="Arial Narrow"/>
                <w:b/>
                <w:bCs/>
                <w:color w:val="000000" w:themeColor="text1"/>
                <w:sz w:val="16"/>
                <w:szCs w:val="16"/>
                <w:lang w:val="en-PH" w:eastAsia="en-PH"/>
              </w:rPr>
            </w:pPr>
          </w:p>
        </w:tc>
        <w:tc>
          <w:tcPr>
            <w:tcW w:w="1070" w:type="dxa"/>
            <w:vMerge/>
            <w:tcBorders>
              <w:top w:val="nil"/>
              <w:left w:val="nil"/>
              <w:right w:val="nil"/>
            </w:tcBorders>
            <w:vAlign w:val="center"/>
            <w:hideMark/>
          </w:tcPr>
          <w:p w14:paraId="0DB751BA" w14:textId="77777777" w:rsidR="00B13601" w:rsidRPr="009E35ED" w:rsidRDefault="00B13601" w:rsidP="00B13601">
            <w:pPr>
              <w:ind w:left="0"/>
              <w:jc w:val="left"/>
              <w:rPr>
                <w:rFonts w:ascii="Arial Narrow" w:hAnsi="Arial Narrow"/>
                <w:b/>
                <w:bCs/>
                <w:color w:val="000000" w:themeColor="text1"/>
                <w:sz w:val="16"/>
                <w:szCs w:val="16"/>
                <w:lang w:val="en-PH" w:eastAsia="en-PH"/>
              </w:rPr>
            </w:pPr>
          </w:p>
        </w:tc>
        <w:tc>
          <w:tcPr>
            <w:tcW w:w="1241" w:type="dxa"/>
            <w:vMerge/>
            <w:tcBorders>
              <w:top w:val="nil"/>
              <w:left w:val="nil"/>
              <w:right w:val="nil"/>
            </w:tcBorders>
            <w:vAlign w:val="center"/>
            <w:hideMark/>
          </w:tcPr>
          <w:p w14:paraId="4CC7061D" w14:textId="77777777" w:rsidR="00B13601" w:rsidRPr="009E35ED" w:rsidRDefault="00B13601" w:rsidP="00B13601">
            <w:pPr>
              <w:ind w:left="0"/>
              <w:jc w:val="left"/>
              <w:rPr>
                <w:rFonts w:ascii="Arial Narrow" w:hAnsi="Arial Narrow"/>
                <w:color w:val="000000" w:themeColor="text1"/>
                <w:sz w:val="16"/>
                <w:szCs w:val="16"/>
                <w:lang w:val="en-PH" w:eastAsia="en-PH"/>
              </w:rPr>
            </w:pPr>
          </w:p>
        </w:tc>
        <w:tc>
          <w:tcPr>
            <w:tcW w:w="1041" w:type="dxa"/>
            <w:vMerge/>
            <w:tcBorders>
              <w:top w:val="nil"/>
              <w:left w:val="nil"/>
              <w:right w:val="nil"/>
            </w:tcBorders>
            <w:vAlign w:val="center"/>
            <w:hideMark/>
          </w:tcPr>
          <w:p w14:paraId="0A42738F" w14:textId="77777777" w:rsidR="00B13601" w:rsidRPr="009E35ED" w:rsidRDefault="00B13601" w:rsidP="00B13601">
            <w:pPr>
              <w:ind w:left="0"/>
              <w:jc w:val="left"/>
              <w:rPr>
                <w:rFonts w:ascii="Arial Narrow" w:hAnsi="Arial Narrow"/>
                <w:color w:val="000000" w:themeColor="text1"/>
                <w:sz w:val="16"/>
                <w:szCs w:val="16"/>
                <w:lang w:val="en-PH" w:eastAsia="en-PH"/>
              </w:rPr>
            </w:pPr>
          </w:p>
        </w:tc>
        <w:tc>
          <w:tcPr>
            <w:tcW w:w="1839" w:type="dxa"/>
            <w:vMerge/>
            <w:tcBorders>
              <w:top w:val="nil"/>
              <w:left w:val="nil"/>
              <w:right w:val="nil"/>
            </w:tcBorders>
            <w:vAlign w:val="center"/>
            <w:hideMark/>
          </w:tcPr>
          <w:p w14:paraId="3257F371" w14:textId="77777777" w:rsidR="00B13601" w:rsidRPr="009E35ED" w:rsidRDefault="00B13601" w:rsidP="00B13601">
            <w:pPr>
              <w:ind w:left="0"/>
              <w:jc w:val="left"/>
              <w:rPr>
                <w:rFonts w:ascii="Arial Narrow" w:hAnsi="Arial Narrow"/>
                <w:color w:val="000000" w:themeColor="text1"/>
                <w:sz w:val="16"/>
                <w:szCs w:val="16"/>
                <w:lang w:val="en-PH" w:eastAsia="en-PH"/>
              </w:rPr>
            </w:pPr>
          </w:p>
        </w:tc>
      </w:tr>
      <w:tr w:rsidR="00997F75" w:rsidRPr="009E35ED" w14:paraId="61602D0B" w14:textId="77777777" w:rsidTr="00860ED6">
        <w:trPr>
          <w:trHeight w:val="56"/>
        </w:trPr>
        <w:tc>
          <w:tcPr>
            <w:tcW w:w="3643" w:type="dxa"/>
            <w:gridSpan w:val="4"/>
            <w:shd w:val="clear" w:color="auto" w:fill="auto"/>
            <w:noWrap/>
            <w:vAlign w:val="center"/>
            <w:hideMark/>
          </w:tcPr>
          <w:p w14:paraId="20345163" w14:textId="03A3245E" w:rsidR="00830A6E" w:rsidRPr="009E35ED" w:rsidRDefault="00830A6E" w:rsidP="00830A6E">
            <w:pPr>
              <w:ind w:left="0"/>
              <w:jc w:val="lef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 xml:space="preserve">Traveling </w:t>
            </w:r>
            <w:r w:rsidR="006A1323">
              <w:rPr>
                <w:rFonts w:ascii="Arial Narrow" w:hAnsi="Arial Narrow"/>
                <w:color w:val="000000" w:themeColor="text1"/>
                <w:sz w:val="16"/>
                <w:szCs w:val="16"/>
                <w:lang w:val="en-PH" w:eastAsia="en-PH"/>
              </w:rPr>
              <w:t>e</w:t>
            </w:r>
            <w:r w:rsidRPr="009E35ED">
              <w:rPr>
                <w:rFonts w:ascii="Arial Narrow" w:hAnsi="Arial Narrow"/>
                <w:color w:val="000000" w:themeColor="text1"/>
                <w:sz w:val="16"/>
                <w:szCs w:val="16"/>
                <w:lang w:val="en-PH" w:eastAsia="en-PH"/>
              </w:rPr>
              <w:t>xpenses</w:t>
            </w:r>
          </w:p>
        </w:tc>
        <w:tc>
          <w:tcPr>
            <w:tcW w:w="1070" w:type="dxa"/>
            <w:shd w:val="clear" w:color="auto" w:fill="auto"/>
            <w:noWrap/>
            <w:vAlign w:val="center"/>
            <w:hideMark/>
          </w:tcPr>
          <w:p w14:paraId="1222FB8A" w14:textId="4835AAEE" w:rsidR="00830A6E" w:rsidRPr="009E35ED" w:rsidRDefault="00830A6E" w:rsidP="00E1724A">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rPr>
              <w:t xml:space="preserve">26,414,726 </w:t>
            </w:r>
          </w:p>
        </w:tc>
        <w:tc>
          <w:tcPr>
            <w:tcW w:w="1241" w:type="dxa"/>
            <w:shd w:val="clear" w:color="auto" w:fill="auto"/>
            <w:noWrap/>
            <w:vAlign w:val="center"/>
            <w:hideMark/>
          </w:tcPr>
          <w:p w14:paraId="631895ED" w14:textId="77777777" w:rsidR="00830A6E" w:rsidRPr="009E35ED" w:rsidRDefault="00830A6E" w:rsidP="00E1724A">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041" w:type="dxa"/>
            <w:shd w:val="clear" w:color="auto" w:fill="auto"/>
            <w:noWrap/>
            <w:vAlign w:val="center"/>
            <w:hideMark/>
          </w:tcPr>
          <w:p w14:paraId="413C9929" w14:textId="77777777" w:rsidR="00830A6E" w:rsidRPr="009E35ED" w:rsidRDefault="00830A6E" w:rsidP="00E1724A">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839" w:type="dxa"/>
            <w:shd w:val="clear" w:color="auto" w:fill="auto"/>
            <w:noWrap/>
            <w:vAlign w:val="center"/>
            <w:hideMark/>
          </w:tcPr>
          <w:p w14:paraId="4CCCA198" w14:textId="5B04EAB3" w:rsidR="00830A6E" w:rsidRPr="009E35ED" w:rsidRDefault="00830A6E" w:rsidP="00E1724A">
            <w:pPr>
              <w:ind w:left="0"/>
              <w:jc w:val="right"/>
              <w:rPr>
                <w:rFonts w:ascii="Arial Narrow" w:hAnsi="Arial Narrow"/>
                <w:color w:val="000000" w:themeColor="text1"/>
                <w:sz w:val="16"/>
                <w:szCs w:val="16"/>
                <w:lang w:val="en-PH" w:eastAsia="en-PH"/>
              </w:rPr>
            </w:pPr>
            <w:r w:rsidRPr="009E35ED">
              <w:rPr>
                <w:rFonts w:ascii="Arial Narrow" w:hAnsi="Arial Narrow" w:cs="Arial"/>
                <w:color w:val="000000" w:themeColor="text1"/>
                <w:sz w:val="16"/>
                <w:szCs w:val="16"/>
              </w:rPr>
              <w:t xml:space="preserve">26,414,726 </w:t>
            </w:r>
          </w:p>
        </w:tc>
      </w:tr>
      <w:tr w:rsidR="00997F75" w:rsidRPr="009E35ED" w14:paraId="00A3469B" w14:textId="77777777" w:rsidTr="00860ED6">
        <w:trPr>
          <w:trHeight w:val="56"/>
        </w:trPr>
        <w:tc>
          <w:tcPr>
            <w:tcW w:w="3643" w:type="dxa"/>
            <w:gridSpan w:val="4"/>
            <w:shd w:val="clear" w:color="auto" w:fill="auto"/>
            <w:noWrap/>
            <w:vAlign w:val="center"/>
            <w:hideMark/>
          </w:tcPr>
          <w:p w14:paraId="41ACDD42" w14:textId="24B6EC2A" w:rsidR="00830A6E" w:rsidRPr="009E35ED" w:rsidRDefault="00830A6E" w:rsidP="00830A6E">
            <w:pPr>
              <w:ind w:left="0"/>
              <w:jc w:val="lef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 xml:space="preserve">Training </w:t>
            </w:r>
            <w:r w:rsidR="006A1323">
              <w:rPr>
                <w:rFonts w:ascii="Arial Narrow" w:hAnsi="Arial Narrow"/>
                <w:color w:val="000000" w:themeColor="text1"/>
                <w:sz w:val="16"/>
                <w:szCs w:val="16"/>
                <w:lang w:val="en-PH" w:eastAsia="en-PH"/>
              </w:rPr>
              <w:t>e</w:t>
            </w:r>
            <w:r w:rsidRPr="009E35ED">
              <w:rPr>
                <w:rFonts w:ascii="Arial Narrow" w:hAnsi="Arial Narrow"/>
                <w:color w:val="000000" w:themeColor="text1"/>
                <w:sz w:val="16"/>
                <w:szCs w:val="16"/>
                <w:lang w:val="en-PH" w:eastAsia="en-PH"/>
              </w:rPr>
              <w:t>xpenses</w:t>
            </w:r>
          </w:p>
        </w:tc>
        <w:tc>
          <w:tcPr>
            <w:tcW w:w="1070" w:type="dxa"/>
            <w:shd w:val="clear" w:color="auto" w:fill="auto"/>
            <w:noWrap/>
            <w:vAlign w:val="center"/>
            <w:hideMark/>
          </w:tcPr>
          <w:p w14:paraId="1FB0F3C9" w14:textId="06899BD4" w:rsidR="00830A6E" w:rsidRPr="009E35ED" w:rsidRDefault="00FA18A5" w:rsidP="00E1724A">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rPr>
              <w:t>20,140,451</w:t>
            </w:r>
          </w:p>
        </w:tc>
        <w:tc>
          <w:tcPr>
            <w:tcW w:w="1241" w:type="dxa"/>
            <w:shd w:val="clear" w:color="auto" w:fill="auto"/>
            <w:noWrap/>
            <w:vAlign w:val="center"/>
            <w:hideMark/>
          </w:tcPr>
          <w:p w14:paraId="62853272" w14:textId="77777777" w:rsidR="00830A6E" w:rsidRPr="009E35ED" w:rsidRDefault="00830A6E" w:rsidP="00E1724A">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041" w:type="dxa"/>
            <w:shd w:val="clear" w:color="auto" w:fill="auto"/>
            <w:noWrap/>
            <w:vAlign w:val="center"/>
            <w:hideMark/>
          </w:tcPr>
          <w:p w14:paraId="2AED23BF" w14:textId="77777777" w:rsidR="00830A6E" w:rsidRPr="009E35ED" w:rsidRDefault="00830A6E" w:rsidP="00E1724A">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839" w:type="dxa"/>
            <w:shd w:val="clear" w:color="auto" w:fill="auto"/>
            <w:noWrap/>
            <w:vAlign w:val="center"/>
            <w:hideMark/>
          </w:tcPr>
          <w:p w14:paraId="6681122D" w14:textId="730C2A22" w:rsidR="00830A6E" w:rsidRPr="009E35ED" w:rsidRDefault="00FA18A5" w:rsidP="00E1724A">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rPr>
              <w:t>20,140,451</w:t>
            </w:r>
            <w:r w:rsidR="00830A6E" w:rsidRPr="009E35ED">
              <w:rPr>
                <w:rFonts w:ascii="Arial Narrow" w:hAnsi="Arial Narrow" w:cs="Arial"/>
                <w:color w:val="000000" w:themeColor="text1"/>
                <w:sz w:val="16"/>
                <w:szCs w:val="16"/>
              </w:rPr>
              <w:t xml:space="preserve"> </w:t>
            </w:r>
          </w:p>
        </w:tc>
      </w:tr>
      <w:tr w:rsidR="00997F75" w:rsidRPr="009E35ED" w14:paraId="2E2390EE" w14:textId="77777777" w:rsidTr="00860ED6">
        <w:trPr>
          <w:trHeight w:val="56"/>
        </w:trPr>
        <w:tc>
          <w:tcPr>
            <w:tcW w:w="3643" w:type="dxa"/>
            <w:gridSpan w:val="4"/>
            <w:shd w:val="clear" w:color="auto" w:fill="auto"/>
            <w:noWrap/>
            <w:vAlign w:val="center"/>
            <w:hideMark/>
          </w:tcPr>
          <w:p w14:paraId="12D85E43" w14:textId="36C3EE4A" w:rsidR="00830A6E" w:rsidRPr="009E35ED" w:rsidRDefault="00830A6E" w:rsidP="00830A6E">
            <w:pPr>
              <w:ind w:left="0"/>
              <w:jc w:val="lef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 xml:space="preserve">Office </w:t>
            </w:r>
            <w:r w:rsidR="006A1323">
              <w:rPr>
                <w:rFonts w:ascii="Arial Narrow" w:hAnsi="Arial Narrow"/>
                <w:color w:val="000000" w:themeColor="text1"/>
                <w:sz w:val="16"/>
                <w:szCs w:val="16"/>
                <w:lang w:val="en-PH" w:eastAsia="en-PH"/>
              </w:rPr>
              <w:t>s</w:t>
            </w:r>
            <w:r w:rsidRPr="009E35ED">
              <w:rPr>
                <w:rFonts w:ascii="Arial Narrow" w:hAnsi="Arial Narrow"/>
                <w:color w:val="000000" w:themeColor="text1"/>
                <w:sz w:val="16"/>
                <w:szCs w:val="16"/>
                <w:lang w:val="en-PH" w:eastAsia="en-PH"/>
              </w:rPr>
              <w:t xml:space="preserve">upplies </w:t>
            </w:r>
            <w:r w:rsidR="006A1323">
              <w:rPr>
                <w:rFonts w:ascii="Arial Narrow" w:hAnsi="Arial Narrow"/>
                <w:color w:val="000000" w:themeColor="text1"/>
                <w:sz w:val="16"/>
                <w:szCs w:val="16"/>
                <w:lang w:val="en-PH" w:eastAsia="en-PH"/>
              </w:rPr>
              <w:t>e</w:t>
            </w:r>
            <w:r w:rsidRPr="009E35ED">
              <w:rPr>
                <w:rFonts w:ascii="Arial Narrow" w:hAnsi="Arial Narrow"/>
                <w:color w:val="000000" w:themeColor="text1"/>
                <w:sz w:val="16"/>
                <w:szCs w:val="16"/>
                <w:lang w:val="en-PH" w:eastAsia="en-PH"/>
              </w:rPr>
              <w:t>xpenses</w:t>
            </w:r>
          </w:p>
        </w:tc>
        <w:tc>
          <w:tcPr>
            <w:tcW w:w="1070" w:type="dxa"/>
            <w:shd w:val="clear" w:color="auto" w:fill="auto"/>
            <w:noWrap/>
            <w:vAlign w:val="center"/>
            <w:hideMark/>
          </w:tcPr>
          <w:p w14:paraId="11A4DB6E" w14:textId="5A02C302" w:rsidR="00830A6E" w:rsidRPr="009E35ED" w:rsidRDefault="00830A6E" w:rsidP="00E1724A">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rPr>
              <w:t xml:space="preserve">6,045,289 </w:t>
            </w:r>
          </w:p>
        </w:tc>
        <w:tc>
          <w:tcPr>
            <w:tcW w:w="1241" w:type="dxa"/>
            <w:shd w:val="clear" w:color="auto" w:fill="auto"/>
            <w:noWrap/>
            <w:vAlign w:val="center"/>
            <w:hideMark/>
          </w:tcPr>
          <w:p w14:paraId="7C82B495" w14:textId="77777777" w:rsidR="00830A6E" w:rsidRPr="009E35ED" w:rsidRDefault="00830A6E" w:rsidP="00E1724A">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041" w:type="dxa"/>
            <w:shd w:val="clear" w:color="auto" w:fill="auto"/>
            <w:noWrap/>
            <w:vAlign w:val="center"/>
            <w:hideMark/>
          </w:tcPr>
          <w:p w14:paraId="3D56A15E" w14:textId="77777777" w:rsidR="00830A6E" w:rsidRPr="009E35ED" w:rsidRDefault="00830A6E" w:rsidP="00E1724A">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839" w:type="dxa"/>
            <w:shd w:val="clear" w:color="auto" w:fill="auto"/>
            <w:noWrap/>
            <w:vAlign w:val="center"/>
            <w:hideMark/>
          </w:tcPr>
          <w:p w14:paraId="3F795E4D" w14:textId="12412FFA" w:rsidR="00830A6E" w:rsidRPr="009E35ED" w:rsidRDefault="00830A6E" w:rsidP="00E1724A">
            <w:pPr>
              <w:ind w:left="0"/>
              <w:jc w:val="right"/>
              <w:rPr>
                <w:rFonts w:ascii="Arial Narrow" w:hAnsi="Arial Narrow"/>
                <w:color w:val="000000" w:themeColor="text1"/>
                <w:sz w:val="16"/>
                <w:szCs w:val="16"/>
                <w:lang w:val="en-PH" w:eastAsia="en-PH"/>
              </w:rPr>
            </w:pPr>
            <w:r w:rsidRPr="009E35ED">
              <w:rPr>
                <w:rFonts w:ascii="Arial Narrow" w:hAnsi="Arial Narrow" w:cs="Arial"/>
                <w:color w:val="000000" w:themeColor="text1"/>
                <w:sz w:val="16"/>
                <w:szCs w:val="16"/>
              </w:rPr>
              <w:t xml:space="preserve">6,045,289 </w:t>
            </w:r>
          </w:p>
        </w:tc>
      </w:tr>
      <w:tr w:rsidR="00997F75" w:rsidRPr="009E35ED" w14:paraId="1307CC3C" w14:textId="77777777" w:rsidTr="00860ED6">
        <w:trPr>
          <w:trHeight w:val="56"/>
        </w:trPr>
        <w:tc>
          <w:tcPr>
            <w:tcW w:w="3643" w:type="dxa"/>
            <w:gridSpan w:val="4"/>
            <w:shd w:val="clear" w:color="auto" w:fill="auto"/>
            <w:noWrap/>
            <w:vAlign w:val="center"/>
            <w:hideMark/>
          </w:tcPr>
          <w:p w14:paraId="257BD5F3" w14:textId="36ADD3E9" w:rsidR="00830A6E" w:rsidRPr="009E35ED" w:rsidRDefault="00830A6E" w:rsidP="00830A6E">
            <w:pPr>
              <w:ind w:left="0"/>
              <w:jc w:val="lef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 xml:space="preserve">Drugs and </w:t>
            </w:r>
            <w:r w:rsidR="006A1323">
              <w:rPr>
                <w:rFonts w:ascii="Arial Narrow" w:hAnsi="Arial Narrow"/>
                <w:color w:val="000000" w:themeColor="text1"/>
                <w:sz w:val="16"/>
                <w:szCs w:val="16"/>
                <w:lang w:val="en-PH" w:eastAsia="en-PH"/>
              </w:rPr>
              <w:t>m</w:t>
            </w:r>
            <w:r w:rsidRPr="009E35ED">
              <w:rPr>
                <w:rFonts w:ascii="Arial Narrow" w:hAnsi="Arial Narrow"/>
                <w:color w:val="000000" w:themeColor="text1"/>
                <w:sz w:val="16"/>
                <w:szCs w:val="16"/>
                <w:lang w:val="en-PH" w:eastAsia="en-PH"/>
              </w:rPr>
              <w:t xml:space="preserve">edicines </w:t>
            </w:r>
            <w:r w:rsidR="006A1323">
              <w:rPr>
                <w:rFonts w:ascii="Arial Narrow" w:hAnsi="Arial Narrow"/>
                <w:color w:val="000000" w:themeColor="text1"/>
                <w:sz w:val="16"/>
                <w:szCs w:val="16"/>
                <w:lang w:val="en-PH" w:eastAsia="en-PH"/>
              </w:rPr>
              <w:t>e</w:t>
            </w:r>
            <w:r w:rsidRPr="009E35ED">
              <w:rPr>
                <w:rFonts w:ascii="Arial Narrow" w:hAnsi="Arial Narrow"/>
                <w:color w:val="000000" w:themeColor="text1"/>
                <w:sz w:val="16"/>
                <w:szCs w:val="16"/>
                <w:lang w:val="en-PH" w:eastAsia="en-PH"/>
              </w:rPr>
              <w:t>xpenses</w:t>
            </w:r>
          </w:p>
        </w:tc>
        <w:tc>
          <w:tcPr>
            <w:tcW w:w="1070" w:type="dxa"/>
            <w:shd w:val="clear" w:color="auto" w:fill="auto"/>
            <w:noWrap/>
            <w:vAlign w:val="center"/>
            <w:hideMark/>
          </w:tcPr>
          <w:p w14:paraId="1ACB9CCD" w14:textId="77777777" w:rsidR="00830A6E" w:rsidRPr="009E35ED" w:rsidRDefault="00830A6E" w:rsidP="00E1724A">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241" w:type="dxa"/>
            <w:shd w:val="clear" w:color="auto" w:fill="auto"/>
            <w:noWrap/>
            <w:vAlign w:val="center"/>
            <w:hideMark/>
          </w:tcPr>
          <w:p w14:paraId="104B2FEE" w14:textId="5476707D" w:rsidR="00830A6E" w:rsidRPr="009E35ED" w:rsidRDefault="00830A6E" w:rsidP="00E1724A">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rPr>
              <w:t xml:space="preserve">1,362,411 </w:t>
            </w:r>
          </w:p>
        </w:tc>
        <w:tc>
          <w:tcPr>
            <w:tcW w:w="1041" w:type="dxa"/>
            <w:shd w:val="clear" w:color="auto" w:fill="auto"/>
            <w:noWrap/>
            <w:vAlign w:val="center"/>
            <w:hideMark/>
          </w:tcPr>
          <w:p w14:paraId="2F7A6D91" w14:textId="77777777" w:rsidR="00830A6E" w:rsidRPr="009E35ED" w:rsidRDefault="00830A6E" w:rsidP="00E1724A">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839" w:type="dxa"/>
            <w:shd w:val="clear" w:color="auto" w:fill="auto"/>
            <w:noWrap/>
            <w:vAlign w:val="center"/>
            <w:hideMark/>
          </w:tcPr>
          <w:p w14:paraId="06CA1EAF" w14:textId="531FF67F" w:rsidR="00830A6E" w:rsidRPr="009E35ED" w:rsidRDefault="00830A6E" w:rsidP="00E1724A">
            <w:pPr>
              <w:ind w:left="0"/>
              <w:jc w:val="right"/>
              <w:rPr>
                <w:rFonts w:ascii="Arial Narrow" w:hAnsi="Arial Narrow"/>
                <w:color w:val="000000" w:themeColor="text1"/>
                <w:sz w:val="16"/>
                <w:szCs w:val="16"/>
                <w:lang w:val="en-PH" w:eastAsia="en-PH"/>
              </w:rPr>
            </w:pPr>
            <w:r w:rsidRPr="009E35ED">
              <w:rPr>
                <w:rFonts w:ascii="Arial Narrow" w:hAnsi="Arial Narrow" w:cs="Arial"/>
                <w:color w:val="000000" w:themeColor="text1"/>
                <w:sz w:val="16"/>
                <w:szCs w:val="16"/>
              </w:rPr>
              <w:t xml:space="preserve">1,362,411 </w:t>
            </w:r>
          </w:p>
        </w:tc>
      </w:tr>
      <w:tr w:rsidR="00997F75" w:rsidRPr="009E35ED" w14:paraId="2471E676" w14:textId="77777777" w:rsidTr="00860ED6">
        <w:trPr>
          <w:trHeight w:val="56"/>
        </w:trPr>
        <w:tc>
          <w:tcPr>
            <w:tcW w:w="3643" w:type="dxa"/>
            <w:gridSpan w:val="4"/>
            <w:shd w:val="clear" w:color="auto" w:fill="auto"/>
            <w:noWrap/>
            <w:vAlign w:val="center"/>
            <w:hideMark/>
          </w:tcPr>
          <w:p w14:paraId="2D32D72A" w14:textId="3F9A4AD6" w:rsidR="00830A6E" w:rsidRPr="009E35ED" w:rsidRDefault="00830A6E" w:rsidP="005202F3">
            <w:pPr>
              <w:ind w:left="0"/>
              <w:jc w:val="lef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 xml:space="preserve">Financial </w:t>
            </w:r>
            <w:r w:rsidR="006A1323">
              <w:rPr>
                <w:rFonts w:ascii="Arial Narrow" w:hAnsi="Arial Narrow"/>
                <w:color w:val="000000" w:themeColor="text1"/>
                <w:sz w:val="16"/>
                <w:szCs w:val="16"/>
                <w:lang w:val="en-PH" w:eastAsia="en-PH"/>
              </w:rPr>
              <w:t>a</w:t>
            </w:r>
            <w:r w:rsidRPr="009E35ED">
              <w:rPr>
                <w:rFonts w:ascii="Arial Narrow" w:hAnsi="Arial Narrow"/>
                <w:color w:val="000000" w:themeColor="text1"/>
                <w:sz w:val="16"/>
                <w:szCs w:val="16"/>
                <w:lang w:val="en-PH" w:eastAsia="en-PH"/>
              </w:rPr>
              <w:t xml:space="preserve">ssistance for </w:t>
            </w:r>
            <w:r w:rsidR="006A1323">
              <w:rPr>
                <w:rFonts w:ascii="Arial Narrow" w:hAnsi="Arial Narrow"/>
                <w:color w:val="000000" w:themeColor="text1"/>
                <w:sz w:val="16"/>
                <w:szCs w:val="16"/>
                <w:lang w:val="en-PH" w:eastAsia="en-PH"/>
              </w:rPr>
              <w:t>m</w:t>
            </w:r>
            <w:r w:rsidRPr="009E35ED">
              <w:rPr>
                <w:rFonts w:ascii="Arial Narrow" w:hAnsi="Arial Narrow"/>
                <w:color w:val="000000" w:themeColor="text1"/>
                <w:sz w:val="16"/>
                <w:szCs w:val="16"/>
                <w:lang w:val="en-PH" w:eastAsia="en-PH"/>
              </w:rPr>
              <w:t>edicine</w:t>
            </w:r>
          </w:p>
        </w:tc>
        <w:tc>
          <w:tcPr>
            <w:tcW w:w="1070" w:type="dxa"/>
            <w:shd w:val="clear" w:color="auto" w:fill="auto"/>
            <w:noWrap/>
            <w:vAlign w:val="center"/>
            <w:hideMark/>
          </w:tcPr>
          <w:p w14:paraId="12753709" w14:textId="77777777" w:rsidR="00830A6E" w:rsidRPr="009E35ED" w:rsidRDefault="00830A6E" w:rsidP="00E1724A">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241" w:type="dxa"/>
            <w:shd w:val="clear" w:color="auto" w:fill="auto"/>
            <w:noWrap/>
            <w:vAlign w:val="center"/>
            <w:hideMark/>
          </w:tcPr>
          <w:p w14:paraId="35CD0067" w14:textId="4E829D8D" w:rsidR="00830A6E" w:rsidRPr="009E35ED" w:rsidRDefault="00830A6E" w:rsidP="00E1724A">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rPr>
              <w:t xml:space="preserve">1,127,085 </w:t>
            </w:r>
          </w:p>
        </w:tc>
        <w:tc>
          <w:tcPr>
            <w:tcW w:w="1041" w:type="dxa"/>
            <w:shd w:val="clear" w:color="auto" w:fill="auto"/>
            <w:noWrap/>
            <w:vAlign w:val="center"/>
            <w:hideMark/>
          </w:tcPr>
          <w:p w14:paraId="149548BC" w14:textId="77777777" w:rsidR="00830A6E" w:rsidRPr="009E35ED" w:rsidRDefault="00830A6E" w:rsidP="00E1724A">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839" w:type="dxa"/>
            <w:shd w:val="clear" w:color="auto" w:fill="auto"/>
            <w:noWrap/>
            <w:vAlign w:val="center"/>
            <w:hideMark/>
          </w:tcPr>
          <w:p w14:paraId="3E141B8E" w14:textId="39F5AD3D" w:rsidR="00830A6E" w:rsidRPr="009E35ED" w:rsidRDefault="00830A6E" w:rsidP="00E1724A">
            <w:pPr>
              <w:ind w:left="0"/>
              <w:jc w:val="right"/>
              <w:rPr>
                <w:rFonts w:ascii="Arial Narrow" w:hAnsi="Arial Narrow"/>
                <w:color w:val="000000" w:themeColor="text1"/>
                <w:sz w:val="16"/>
                <w:szCs w:val="16"/>
                <w:lang w:val="en-PH" w:eastAsia="en-PH"/>
              </w:rPr>
            </w:pPr>
            <w:r w:rsidRPr="009E35ED">
              <w:rPr>
                <w:rFonts w:ascii="Arial Narrow" w:hAnsi="Arial Narrow" w:cs="Arial"/>
                <w:color w:val="000000" w:themeColor="text1"/>
                <w:sz w:val="16"/>
                <w:szCs w:val="16"/>
              </w:rPr>
              <w:t xml:space="preserve">1,127,085 </w:t>
            </w:r>
          </w:p>
        </w:tc>
      </w:tr>
      <w:tr w:rsidR="00997F75" w:rsidRPr="009E35ED" w14:paraId="21253E59" w14:textId="77777777" w:rsidTr="00860ED6">
        <w:trPr>
          <w:trHeight w:val="82"/>
        </w:trPr>
        <w:tc>
          <w:tcPr>
            <w:tcW w:w="3643" w:type="dxa"/>
            <w:gridSpan w:val="4"/>
            <w:shd w:val="clear" w:color="auto" w:fill="auto"/>
            <w:noWrap/>
            <w:hideMark/>
          </w:tcPr>
          <w:p w14:paraId="40A30878" w14:textId="2BEC84A8" w:rsidR="00830A6E" w:rsidRPr="009E35ED" w:rsidRDefault="00830A6E" w:rsidP="00830A6E">
            <w:pPr>
              <w:ind w:left="0"/>
              <w:jc w:val="lef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 xml:space="preserve">Medical, </w:t>
            </w:r>
            <w:r w:rsidR="006A1323">
              <w:rPr>
                <w:rFonts w:ascii="Arial Narrow" w:hAnsi="Arial Narrow"/>
                <w:color w:val="000000" w:themeColor="text1"/>
                <w:sz w:val="16"/>
                <w:szCs w:val="16"/>
                <w:lang w:val="en-PH" w:eastAsia="en-PH"/>
              </w:rPr>
              <w:t>d</w:t>
            </w:r>
            <w:r w:rsidRPr="009E35ED">
              <w:rPr>
                <w:rFonts w:ascii="Arial Narrow" w:hAnsi="Arial Narrow"/>
                <w:color w:val="000000" w:themeColor="text1"/>
                <w:sz w:val="16"/>
                <w:szCs w:val="16"/>
                <w:lang w:val="en-PH" w:eastAsia="en-PH"/>
              </w:rPr>
              <w:t xml:space="preserve">ental and </w:t>
            </w:r>
            <w:r w:rsidR="006A1323">
              <w:rPr>
                <w:rFonts w:ascii="Arial Narrow" w:hAnsi="Arial Narrow"/>
                <w:color w:val="000000" w:themeColor="text1"/>
                <w:sz w:val="16"/>
                <w:szCs w:val="16"/>
                <w:lang w:val="en-PH" w:eastAsia="en-PH"/>
              </w:rPr>
              <w:t>l</w:t>
            </w:r>
            <w:r w:rsidRPr="009E35ED">
              <w:rPr>
                <w:rFonts w:ascii="Arial Narrow" w:hAnsi="Arial Narrow"/>
                <w:color w:val="000000" w:themeColor="text1"/>
                <w:sz w:val="16"/>
                <w:szCs w:val="16"/>
                <w:lang w:val="en-PH" w:eastAsia="en-PH"/>
              </w:rPr>
              <w:t xml:space="preserve">aboratory </w:t>
            </w:r>
            <w:r w:rsidR="006A1323">
              <w:rPr>
                <w:rFonts w:ascii="Arial Narrow" w:hAnsi="Arial Narrow"/>
                <w:color w:val="000000" w:themeColor="text1"/>
                <w:sz w:val="16"/>
                <w:szCs w:val="16"/>
                <w:lang w:val="en-PH" w:eastAsia="en-PH"/>
              </w:rPr>
              <w:t>s</w:t>
            </w:r>
            <w:r w:rsidRPr="009E35ED">
              <w:rPr>
                <w:rFonts w:ascii="Arial Narrow" w:hAnsi="Arial Narrow"/>
                <w:color w:val="000000" w:themeColor="text1"/>
                <w:sz w:val="16"/>
                <w:szCs w:val="16"/>
                <w:lang w:val="en-PH" w:eastAsia="en-PH"/>
              </w:rPr>
              <w:t xml:space="preserve">upplies </w:t>
            </w:r>
            <w:r w:rsidR="006A1323">
              <w:rPr>
                <w:rFonts w:ascii="Arial Narrow" w:hAnsi="Arial Narrow"/>
                <w:color w:val="000000" w:themeColor="text1"/>
                <w:sz w:val="16"/>
                <w:szCs w:val="16"/>
                <w:lang w:val="en-PH" w:eastAsia="en-PH"/>
              </w:rPr>
              <w:t>e</w:t>
            </w:r>
            <w:r w:rsidRPr="009E35ED">
              <w:rPr>
                <w:rFonts w:ascii="Arial Narrow" w:hAnsi="Arial Narrow"/>
                <w:color w:val="000000" w:themeColor="text1"/>
                <w:sz w:val="16"/>
                <w:szCs w:val="16"/>
                <w:lang w:val="en-PH" w:eastAsia="en-PH"/>
              </w:rPr>
              <w:t>xpenses</w:t>
            </w:r>
          </w:p>
        </w:tc>
        <w:tc>
          <w:tcPr>
            <w:tcW w:w="1070" w:type="dxa"/>
            <w:shd w:val="clear" w:color="auto" w:fill="auto"/>
            <w:noWrap/>
            <w:vAlign w:val="center"/>
            <w:hideMark/>
          </w:tcPr>
          <w:p w14:paraId="4988C7FF" w14:textId="77777777" w:rsidR="00830A6E" w:rsidRPr="009E35ED" w:rsidRDefault="00830A6E" w:rsidP="00E1724A">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241" w:type="dxa"/>
            <w:shd w:val="clear" w:color="auto" w:fill="auto"/>
            <w:noWrap/>
            <w:vAlign w:val="center"/>
            <w:hideMark/>
          </w:tcPr>
          <w:p w14:paraId="1F6D6AC3" w14:textId="10984E10" w:rsidR="00830A6E" w:rsidRPr="009E35ED" w:rsidRDefault="00830A6E" w:rsidP="00E1724A">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rPr>
              <w:t xml:space="preserve">74,967 </w:t>
            </w:r>
          </w:p>
        </w:tc>
        <w:tc>
          <w:tcPr>
            <w:tcW w:w="1041" w:type="dxa"/>
            <w:shd w:val="clear" w:color="auto" w:fill="auto"/>
            <w:noWrap/>
            <w:vAlign w:val="center"/>
            <w:hideMark/>
          </w:tcPr>
          <w:p w14:paraId="43A58E9C" w14:textId="77777777" w:rsidR="00830A6E" w:rsidRPr="009E35ED" w:rsidRDefault="00830A6E" w:rsidP="00E1724A">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839" w:type="dxa"/>
            <w:shd w:val="clear" w:color="auto" w:fill="auto"/>
            <w:noWrap/>
            <w:vAlign w:val="center"/>
            <w:hideMark/>
          </w:tcPr>
          <w:p w14:paraId="415CD35C" w14:textId="1588A02F" w:rsidR="00830A6E" w:rsidRPr="009E35ED" w:rsidRDefault="00830A6E" w:rsidP="00E1724A">
            <w:pPr>
              <w:ind w:left="0"/>
              <w:jc w:val="right"/>
              <w:rPr>
                <w:rFonts w:ascii="Arial Narrow" w:hAnsi="Arial Narrow"/>
                <w:color w:val="000000" w:themeColor="text1"/>
                <w:sz w:val="16"/>
                <w:szCs w:val="16"/>
                <w:lang w:val="en-PH" w:eastAsia="en-PH"/>
              </w:rPr>
            </w:pPr>
            <w:r w:rsidRPr="009E35ED">
              <w:rPr>
                <w:rFonts w:ascii="Arial Narrow" w:hAnsi="Arial Narrow" w:cs="Arial"/>
                <w:color w:val="000000" w:themeColor="text1"/>
                <w:sz w:val="16"/>
                <w:szCs w:val="16"/>
              </w:rPr>
              <w:t xml:space="preserve">74,967 </w:t>
            </w:r>
          </w:p>
        </w:tc>
      </w:tr>
      <w:tr w:rsidR="00997F75" w:rsidRPr="009E35ED" w14:paraId="3BB9603B" w14:textId="77777777" w:rsidTr="00860ED6">
        <w:trPr>
          <w:trHeight w:val="56"/>
        </w:trPr>
        <w:tc>
          <w:tcPr>
            <w:tcW w:w="3643" w:type="dxa"/>
            <w:gridSpan w:val="4"/>
            <w:shd w:val="clear" w:color="auto" w:fill="auto"/>
            <w:noWrap/>
            <w:hideMark/>
          </w:tcPr>
          <w:p w14:paraId="2CD5B293" w14:textId="10FC5D6F" w:rsidR="00830A6E" w:rsidRPr="009E35ED" w:rsidRDefault="00830A6E" w:rsidP="00830A6E">
            <w:pPr>
              <w:ind w:left="0"/>
              <w:jc w:val="lef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 xml:space="preserve">Fuel, </w:t>
            </w:r>
            <w:r w:rsidR="006A1323">
              <w:rPr>
                <w:rFonts w:ascii="Arial Narrow" w:hAnsi="Arial Narrow"/>
                <w:color w:val="000000" w:themeColor="text1"/>
                <w:sz w:val="16"/>
                <w:szCs w:val="16"/>
                <w:lang w:val="en-PH" w:eastAsia="en-PH"/>
              </w:rPr>
              <w:t>o</w:t>
            </w:r>
            <w:r w:rsidRPr="009E35ED">
              <w:rPr>
                <w:rFonts w:ascii="Arial Narrow" w:hAnsi="Arial Narrow"/>
                <w:color w:val="000000" w:themeColor="text1"/>
                <w:sz w:val="16"/>
                <w:szCs w:val="16"/>
                <w:lang w:val="en-PH" w:eastAsia="en-PH"/>
              </w:rPr>
              <w:t xml:space="preserve">il and </w:t>
            </w:r>
            <w:r w:rsidR="006A1323">
              <w:rPr>
                <w:rFonts w:ascii="Arial Narrow" w:hAnsi="Arial Narrow"/>
                <w:color w:val="000000" w:themeColor="text1"/>
                <w:sz w:val="16"/>
                <w:szCs w:val="16"/>
                <w:lang w:val="en-PH" w:eastAsia="en-PH"/>
              </w:rPr>
              <w:t>l</w:t>
            </w:r>
            <w:r w:rsidRPr="009E35ED">
              <w:rPr>
                <w:rFonts w:ascii="Arial Narrow" w:hAnsi="Arial Narrow"/>
                <w:color w:val="000000" w:themeColor="text1"/>
                <w:sz w:val="16"/>
                <w:szCs w:val="16"/>
                <w:lang w:val="en-PH" w:eastAsia="en-PH"/>
              </w:rPr>
              <w:t xml:space="preserve">ubricants </w:t>
            </w:r>
            <w:r w:rsidR="006A1323">
              <w:rPr>
                <w:rFonts w:ascii="Arial Narrow" w:hAnsi="Arial Narrow"/>
                <w:color w:val="000000" w:themeColor="text1"/>
                <w:sz w:val="16"/>
                <w:szCs w:val="16"/>
                <w:lang w:val="en-PH" w:eastAsia="en-PH"/>
              </w:rPr>
              <w:t>e</w:t>
            </w:r>
            <w:r w:rsidRPr="009E35ED">
              <w:rPr>
                <w:rFonts w:ascii="Arial Narrow" w:hAnsi="Arial Narrow"/>
                <w:color w:val="000000" w:themeColor="text1"/>
                <w:sz w:val="16"/>
                <w:szCs w:val="16"/>
                <w:lang w:val="en-PH" w:eastAsia="en-PH"/>
              </w:rPr>
              <w:t>xpenses</w:t>
            </w:r>
          </w:p>
        </w:tc>
        <w:tc>
          <w:tcPr>
            <w:tcW w:w="1070" w:type="dxa"/>
            <w:shd w:val="clear" w:color="auto" w:fill="auto"/>
            <w:noWrap/>
            <w:vAlign w:val="center"/>
            <w:hideMark/>
          </w:tcPr>
          <w:p w14:paraId="1D308DDE" w14:textId="00CAF5F6" w:rsidR="00830A6E" w:rsidRPr="009E35ED" w:rsidRDefault="00884C9E" w:rsidP="00E1724A">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rPr>
              <w:t>12,204,298</w:t>
            </w:r>
            <w:r w:rsidR="00830A6E" w:rsidRPr="009E35ED">
              <w:rPr>
                <w:rFonts w:ascii="Arial Narrow" w:hAnsi="Arial Narrow"/>
                <w:color w:val="000000" w:themeColor="text1"/>
                <w:sz w:val="16"/>
                <w:szCs w:val="16"/>
              </w:rPr>
              <w:t xml:space="preserve"> </w:t>
            </w:r>
          </w:p>
        </w:tc>
        <w:tc>
          <w:tcPr>
            <w:tcW w:w="1241" w:type="dxa"/>
            <w:shd w:val="clear" w:color="auto" w:fill="auto"/>
            <w:noWrap/>
            <w:vAlign w:val="center"/>
            <w:hideMark/>
          </w:tcPr>
          <w:p w14:paraId="6ABF36AB" w14:textId="77777777" w:rsidR="00830A6E" w:rsidRPr="009E35ED" w:rsidRDefault="00830A6E" w:rsidP="00E1724A">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041" w:type="dxa"/>
            <w:shd w:val="clear" w:color="auto" w:fill="auto"/>
            <w:noWrap/>
            <w:vAlign w:val="center"/>
            <w:hideMark/>
          </w:tcPr>
          <w:p w14:paraId="44A120BA" w14:textId="77777777" w:rsidR="00830A6E" w:rsidRPr="009E35ED" w:rsidRDefault="00830A6E" w:rsidP="00E1724A">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839" w:type="dxa"/>
            <w:shd w:val="clear" w:color="auto" w:fill="auto"/>
            <w:noWrap/>
            <w:vAlign w:val="center"/>
            <w:hideMark/>
          </w:tcPr>
          <w:p w14:paraId="74715AE8" w14:textId="4811BB4E" w:rsidR="00830A6E" w:rsidRPr="009E35ED" w:rsidRDefault="00884C9E" w:rsidP="00E1724A">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rPr>
              <w:t>12,204,298</w:t>
            </w:r>
          </w:p>
        </w:tc>
      </w:tr>
      <w:tr w:rsidR="00997F75" w:rsidRPr="009E35ED" w14:paraId="5559F24B" w14:textId="77777777" w:rsidTr="00860ED6">
        <w:trPr>
          <w:trHeight w:val="56"/>
        </w:trPr>
        <w:tc>
          <w:tcPr>
            <w:tcW w:w="3643" w:type="dxa"/>
            <w:gridSpan w:val="4"/>
            <w:shd w:val="clear" w:color="auto" w:fill="auto"/>
            <w:noWrap/>
            <w:hideMark/>
          </w:tcPr>
          <w:p w14:paraId="51AD8B47" w14:textId="3FA9B661" w:rsidR="00830A6E" w:rsidRPr="009E35ED" w:rsidRDefault="00830A6E" w:rsidP="00830A6E">
            <w:pPr>
              <w:ind w:left="0"/>
              <w:jc w:val="lef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 xml:space="preserve">Military </w:t>
            </w:r>
            <w:r w:rsidR="006A1323">
              <w:rPr>
                <w:rFonts w:ascii="Arial Narrow" w:hAnsi="Arial Narrow"/>
                <w:color w:val="000000" w:themeColor="text1"/>
                <w:sz w:val="16"/>
                <w:szCs w:val="16"/>
                <w:lang w:val="en-PH" w:eastAsia="en-PH"/>
              </w:rPr>
              <w:t>and</w:t>
            </w:r>
            <w:r w:rsidRPr="009E35ED">
              <w:rPr>
                <w:rFonts w:ascii="Arial Narrow" w:hAnsi="Arial Narrow"/>
                <w:color w:val="000000" w:themeColor="text1"/>
                <w:sz w:val="16"/>
                <w:szCs w:val="16"/>
                <w:lang w:val="en-PH" w:eastAsia="en-PH"/>
              </w:rPr>
              <w:t xml:space="preserve"> </w:t>
            </w:r>
            <w:r w:rsidR="006A1323">
              <w:rPr>
                <w:rFonts w:ascii="Arial Narrow" w:hAnsi="Arial Narrow"/>
                <w:color w:val="000000" w:themeColor="text1"/>
                <w:sz w:val="16"/>
                <w:szCs w:val="16"/>
                <w:lang w:val="en-PH" w:eastAsia="en-PH"/>
              </w:rPr>
              <w:t>p</w:t>
            </w:r>
            <w:r w:rsidRPr="009E35ED">
              <w:rPr>
                <w:rFonts w:ascii="Arial Narrow" w:hAnsi="Arial Narrow"/>
                <w:color w:val="000000" w:themeColor="text1"/>
                <w:sz w:val="16"/>
                <w:szCs w:val="16"/>
                <w:lang w:val="en-PH" w:eastAsia="en-PH"/>
              </w:rPr>
              <w:t xml:space="preserve">olice </w:t>
            </w:r>
            <w:r w:rsidR="006A1323">
              <w:rPr>
                <w:rFonts w:ascii="Arial Narrow" w:hAnsi="Arial Narrow"/>
                <w:color w:val="000000" w:themeColor="text1"/>
                <w:sz w:val="16"/>
                <w:szCs w:val="16"/>
                <w:lang w:val="en-PH" w:eastAsia="en-PH"/>
              </w:rPr>
              <w:t>s</w:t>
            </w:r>
            <w:r w:rsidRPr="009E35ED">
              <w:rPr>
                <w:rFonts w:ascii="Arial Narrow" w:hAnsi="Arial Narrow"/>
                <w:color w:val="000000" w:themeColor="text1"/>
                <w:sz w:val="16"/>
                <w:szCs w:val="16"/>
                <w:lang w:val="en-PH" w:eastAsia="en-PH"/>
              </w:rPr>
              <w:t xml:space="preserve">upplies </w:t>
            </w:r>
            <w:r w:rsidR="006A1323">
              <w:rPr>
                <w:rFonts w:ascii="Arial Narrow" w:hAnsi="Arial Narrow"/>
                <w:color w:val="000000" w:themeColor="text1"/>
                <w:sz w:val="16"/>
                <w:szCs w:val="16"/>
                <w:lang w:val="en-PH" w:eastAsia="en-PH"/>
              </w:rPr>
              <w:t>e</w:t>
            </w:r>
            <w:r w:rsidRPr="009E35ED">
              <w:rPr>
                <w:rFonts w:ascii="Arial Narrow" w:hAnsi="Arial Narrow"/>
                <w:color w:val="000000" w:themeColor="text1"/>
                <w:sz w:val="16"/>
                <w:szCs w:val="16"/>
                <w:lang w:val="en-PH" w:eastAsia="en-PH"/>
              </w:rPr>
              <w:t>xpenses</w:t>
            </w:r>
          </w:p>
        </w:tc>
        <w:tc>
          <w:tcPr>
            <w:tcW w:w="1070" w:type="dxa"/>
            <w:shd w:val="clear" w:color="auto" w:fill="auto"/>
            <w:noWrap/>
            <w:vAlign w:val="center"/>
            <w:hideMark/>
          </w:tcPr>
          <w:p w14:paraId="09C50674" w14:textId="165DBCF7" w:rsidR="00830A6E" w:rsidRPr="009E35ED" w:rsidRDefault="00830A6E" w:rsidP="00E1724A">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241" w:type="dxa"/>
            <w:shd w:val="clear" w:color="auto" w:fill="auto"/>
            <w:noWrap/>
            <w:vAlign w:val="center"/>
            <w:hideMark/>
          </w:tcPr>
          <w:p w14:paraId="66953394" w14:textId="77777777" w:rsidR="00830A6E" w:rsidRPr="009E35ED" w:rsidRDefault="00830A6E" w:rsidP="00E1724A">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041" w:type="dxa"/>
            <w:shd w:val="clear" w:color="auto" w:fill="auto"/>
            <w:noWrap/>
            <w:vAlign w:val="center"/>
            <w:hideMark/>
          </w:tcPr>
          <w:p w14:paraId="04E8B1C0" w14:textId="77777777" w:rsidR="00830A6E" w:rsidRPr="009E35ED" w:rsidRDefault="00830A6E" w:rsidP="00E1724A">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839" w:type="dxa"/>
            <w:shd w:val="clear" w:color="auto" w:fill="auto"/>
            <w:noWrap/>
            <w:vAlign w:val="center"/>
            <w:hideMark/>
          </w:tcPr>
          <w:p w14:paraId="6DF7C553" w14:textId="5D746D80" w:rsidR="00830A6E" w:rsidRPr="009E35ED" w:rsidRDefault="00830A6E" w:rsidP="00E1724A">
            <w:pPr>
              <w:ind w:left="0"/>
              <w:jc w:val="right"/>
              <w:rPr>
                <w:rFonts w:ascii="Arial Narrow" w:hAnsi="Arial Narrow"/>
                <w:color w:val="000000" w:themeColor="text1"/>
                <w:sz w:val="16"/>
                <w:szCs w:val="16"/>
                <w:lang w:val="en-PH" w:eastAsia="en-PH"/>
              </w:rPr>
            </w:pPr>
            <w:r w:rsidRPr="009E35ED">
              <w:rPr>
                <w:rFonts w:ascii="Arial Narrow" w:hAnsi="Arial Narrow" w:cs="Arial"/>
                <w:color w:val="000000" w:themeColor="text1"/>
                <w:sz w:val="16"/>
                <w:szCs w:val="16"/>
              </w:rPr>
              <w:t xml:space="preserve">      </w:t>
            </w:r>
            <w:r w:rsidR="00CE251D" w:rsidRPr="009E35ED">
              <w:rPr>
                <w:rFonts w:ascii="Arial Narrow" w:hAnsi="Arial Narrow" w:cs="Arial"/>
                <w:color w:val="000000" w:themeColor="text1"/>
                <w:sz w:val="16"/>
                <w:szCs w:val="16"/>
              </w:rPr>
              <w:t xml:space="preserve"> </w:t>
            </w:r>
            <w:r w:rsidRPr="009E35ED">
              <w:rPr>
                <w:rFonts w:ascii="Arial Narrow" w:hAnsi="Arial Narrow" w:cs="Arial"/>
                <w:color w:val="000000" w:themeColor="text1"/>
                <w:sz w:val="16"/>
                <w:szCs w:val="16"/>
              </w:rPr>
              <w:t xml:space="preserve">-   </w:t>
            </w:r>
          </w:p>
        </w:tc>
      </w:tr>
      <w:tr w:rsidR="00997F75" w:rsidRPr="009E35ED" w14:paraId="50D30D63" w14:textId="77777777" w:rsidTr="00860ED6">
        <w:trPr>
          <w:trHeight w:val="56"/>
        </w:trPr>
        <w:tc>
          <w:tcPr>
            <w:tcW w:w="3643" w:type="dxa"/>
            <w:gridSpan w:val="4"/>
            <w:shd w:val="clear" w:color="auto" w:fill="auto"/>
            <w:noWrap/>
            <w:hideMark/>
          </w:tcPr>
          <w:p w14:paraId="76B10BDF" w14:textId="46C146AC" w:rsidR="00830A6E" w:rsidRPr="009E35ED" w:rsidRDefault="00830A6E" w:rsidP="00830A6E">
            <w:pPr>
              <w:ind w:left="0"/>
              <w:jc w:val="lef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 xml:space="preserve">Play/Bet </w:t>
            </w:r>
            <w:r w:rsidR="006A1323">
              <w:rPr>
                <w:rFonts w:ascii="Arial Narrow" w:hAnsi="Arial Narrow"/>
                <w:color w:val="000000" w:themeColor="text1"/>
                <w:sz w:val="16"/>
                <w:szCs w:val="16"/>
                <w:lang w:val="en-PH" w:eastAsia="en-PH"/>
              </w:rPr>
              <w:t>s</w:t>
            </w:r>
            <w:r w:rsidRPr="009E35ED">
              <w:rPr>
                <w:rFonts w:ascii="Arial Narrow" w:hAnsi="Arial Narrow"/>
                <w:color w:val="000000" w:themeColor="text1"/>
                <w:sz w:val="16"/>
                <w:szCs w:val="16"/>
                <w:lang w:val="en-PH" w:eastAsia="en-PH"/>
              </w:rPr>
              <w:t xml:space="preserve">lips and </w:t>
            </w:r>
            <w:r w:rsidR="006A1323">
              <w:rPr>
                <w:rFonts w:ascii="Arial Narrow" w:hAnsi="Arial Narrow"/>
                <w:color w:val="000000" w:themeColor="text1"/>
                <w:sz w:val="16"/>
                <w:szCs w:val="16"/>
                <w:lang w:val="en-PH" w:eastAsia="en-PH"/>
              </w:rPr>
              <w:t>t</w:t>
            </w:r>
            <w:r w:rsidRPr="009E35ED">
              <w:rPr>
                <w:rFonts w:ascii="Arial Narrow" w:hAnsi="Arial Narrow"/>
                <w:color w:val="000000" w:themeColor="text1"/>
                <w:sz w:val="16"/>
                <w:szCs w:val="16"/>
                <w:lang w:val="en-PH" w:eastAsia="en-PH"/>
              </w:rPr>
              <w:t xml:space="preserve">hermal </w:t>
            </w:r>
            <w:r w:rsidR="006A1323">
              <w:rPr>
                <w:rFonts w:ascii="Arial Narrow" w:hAnsi="Arial Narrow"/>
                <w:color w:val="000000" w:themeColor="text1"/>
                <w:sz w:val="16"/>
                <w:szCs w:val="16"/>
                <w:lang w:val="en-PH" w:eastAsia="en-PH"/>
              </w:rPr>
              <w:t>r</w:t>
            </w:r>
            <w:r w:rsidRPr="009E35ED">
              <w:rPr>
                <w:rFonts w:ascii="Arial Narrow" w:hAnsi="Arial Narrow"/>
                <w:color w:val="000000" w:themeColor="text1"/>
                <w:sz w:val="16"/>
                <w:szCs w:val="16"/>
                <w:lang w:val="en-PH" w:eastAsia="en-PH"/>
              </w:rPr>
              <w:t xml:space="preserve">olls </w:t>
            </w:r>
            <w:r w:rsidR="006A1323">
              <w:rPr>
                <w:rFonts w:ascii="Arial Narrow" w:hAnsi="Arial Narrow"/>
                <w:color w:val="000000" w:themeColor="text1"/>
                <w:sz w:val="16"/>
                <w:szCs w:val="16"/>
                <w:lang w:val="en-PH" w:eastAsia="en-PH"/>
              </w:rPr>
              <w:t>s</w:t>
            </w:r>
            <w:r w:rsidRPr="009E35ED">
              <w:rPr>
                <w:rFonts w:ascii="Arial Narrow" w:hAnsi="Arial Narrow"/>
                <w:color w:val="000000" w:themeColor="text1"/>
                <w:sz w:val="16"/>
                <w:szCs w:val="16"/>
                <w:lang w:val="en-PH" w:eastAsia="en-PH"/>
              </w:rPr>
              <w:t xml:space="preserve">upplies </w:t>
            </w:r>
            <w:r w:rsidR="006A1323">
              <w:rPr>
                <w:rFonts w:ascii="Arial Narrow" w:hAnsi="Arial Narrow"/>
                <w:color w:val="000000" w:themeColor="text1"/>
                <w:sz w:val="16"/>
                <w:szCs w:val="16"/>
                <w:lang w:val="en-PH" w:eastAsia="en-PH"/>
              </w:rPr>
              <w:t>e</w:t>
            </w:r>
            <w:r w:rsidRPr="009E35ED">
              <w:rPr>
                <w:rFonts w:ascii="Arial Narrow" w:hAnsi="Arial Narrow"/>
                <w:color w:val="000000" w:themeColor="text1"/>
                <w:sz w:val="16"/>
                <w:szCs w:val="16"/>
                <w:lang w:val="en-PH" w:eastAsia="en-PH"/>
              </w:rPr>
              <w:t>xpenses</w:t>
            </w:r>
          </w:p>
        </w:tc>
        <w:tc>
          <w:tcPr>
            <w:tcW w:w="1070" w:type="dxa"/>
            <w:shd w:val="clear" w:color="auto" w:fill="auto"/>
            <w:noWrap/>
            <w:vAlign w:val="center"/>
            <w:hideMark/>
          </w:tcPr>
          <w:p w14:paraId="0121680C" w14:textId="17EBC81C" w:rsidR="00830A6E" w:rsidRPr="009E35ED" w:rsidRDefault="00830A6E" w:rsidP="00E1724A">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rPr>
              <w:t xml:space="preserve">499,060,413 </w:t>
            </w:r>
          </w:p>
        </w:tc>
        <w:tc>
          <w:tcPr>
            <w:tcW w:w="1241" w:type="dxa"/>
            <w:shd w:val="clear" w:color="auto" w:fill="auto"/>
            <w:noWrap/>
            <w:vAlign w:val="center"/>
            <w:hideMark/>
          </w:tcPr>
          <w:p w14:paraId="79A1358D" w14:textId="77777777" w:rsidR="00830A6E" w:rsidRPr="009E35ED" w:rsidRDefault="00830A6E" w:rsidP="00E1724A">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041" w:type="dxa"/>
            <w:shd w:val="clear" w:color="auto" w:fill="auto"/>
            <w:noWrap/>
            <w:vAlign w:val="center"/>
            <w:hideMark/>
          </w:tcPr>
          <w:p w14:paraId="38904DF9" w14:textId="77777777" w:rsidR="00830A6E" w:rsidRPr="009E35ED" w:rsidRDefault="00830A6E" w:rsidP="00E1724A">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839" w:type="dxa"/>
            <w:shd w:val="clear" w:color="auto" w:fill="auto"/>
            <w:noWrap/>
            <w:vAlign w:val="center"/>
            <w:hideMark/>
          </w:tcPr>
          <w:p w14:paraId="130C101E" w14:textId="0B198B9F" w:rsidR="00830A6E" w:rsidRPr="009E35ED" w:rsidRDefault="00830A6E" w:rsidP="00E1724A">
            <w:pPr>
              <w:ind w:left="0"/>
              <w:jc w:val="right"/>
              <w:rPr>
                <w:rFonts w:ascii="Arial Narrow" w:hAnsi="Arial Narrow"/>
                <w:color w:val="000000" w:themeColor="text1"/>
                <w:sz w:val="16"/>
                <w:szCs w:val="16"/>
                <w:lang w:val="en-PH" w:eastAsia="en-PH"/>
              </w:rPr>
            </w:pPr>
            <w:r w:rsidRPr="009E35ED">
              <w:rPr>
                <w:rFonts w:ascii="Arial Narrow" w:hAnsi="Arial Narrow" w:cs="Arial"/>
                <w:color w:val="000000" w:themeColor="text1"/>
                <w:sz w:val="16"/>
                <w:szCs w:val="16"/>
              </w:rPr>
              <w:t xml:space="preserve">499,060,413 </w:t>
            </w:r>
          </w:p>
        </w:tc>
      </w:tr>
      <w:tr w:rsidR="00997F75" w:rsidRPr="009E35ED" w14:paraId="6B269A53" w14:textId="77777777" w:rsidTr="00860ED6">
        <w:trPr>
          <w:trHeight w:val="56"/>
        </w:trPr>
        <w:tc>
          <w:tcPr>
            <w:tcW w:w="3643" w:type="dxa"/>
            <w:gridSpan w:val="4"/>
            <w:shd w:val="clear" w:color="auto" w:fill="auto"/>
            <w:noWrap/>
            <w:hideMark/>
          </w:tcPr>
          <w:p w14:paraId="4BB57B89" w14:textId="4F3EC51C" w:rsidR="00830A6E" w:rsidRPr="009E35ED" w:rsidRDefault="00830A6E" w:rsidP="00830A6E">
            <w:pPr>
              <w:ind w:left="0"/>
              <w:jc w:val="lef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 xml:space="preserve">Electrical </w:t>
            </w:r>
            <w:r w:rsidR="006A1323">
              <w:rPr>
                <w:rFonts w:ascii="Arial Narrow" w:hAnsi="Arial Narrow"/>
                <w:color w:val="000000" w:themeColor="text1"/>
                <w:sz w:val="16"/>
                <w:szCs w:val="16"/>
                <w:lang w:val="en-PH" w:eastAsia="en-PH"/>
              </w:rPr>
              <w:t>s</w:t>
            </w:r>
            <w:r w:rsidRPr="009E35ED">
              <w:rPr>
                <w:rFonts w:ascii="Arial Narrow" w:hAnsi="Arial Narrow"/>
                <w:color w:val="000000" w:themeColor="text1"/>
                <w:sz w:val="16"/>
                <w:szCs w:val="16"/>
                <w:lang w:val="en-PH" w:eastAsia="en-PH"/>
              </w:rPr>
              <w:t xml:space="preserve">upplies and </w:t>
            </w:r>
            <w:r w:rsidR="006A1323">
              <w:rPr>
                <w:rFonts w:ascii="Arial Narrow" w:hAnsi="Arial Narrow"/>
                <w:color w:val="000000" w:themeColor="text1"/>
                <w:sz w:val="16"/>
                <w:szCs w:val="16"/>
                <w:lang w:val="en-PH" w:eastAsia="en-PH"/>
              </w:rPr>
              <w:t>m</w:t>
            </w:r>
            <w:r w:rsidRPr="009E35ED">
              <w:rPr>
                <w:rFonts w:ascii="Arial Narrow" w:hAnsi="Arial Narrow"/>
                <w:color w:val="000000" w:themeColor="text1"/>
                <w:sz w:val="16"/>
                <w:szCs w:val="16"/>
                <w:lang w:val="en-PH" w:eastAsia="en-PH"/>
              </w:rPr>
              <w:t xml:space="preserve">aterials </w:t>
            </w:r>
            <w:r w:rsidR="006A1323">
              <w:rPr>
                <w:rFonts w:ascii="Arial Narrow" w:hAnsi="Arial Narrow"/>
                <w:color w:val="000000" w:themeColor="text1"/>
                <w:sz w:val="16"/>
                <w:szCs w:val="16"/>
                <w:lang w:val="en-PH" w:eastAsia="en-PH"/>
              </w:rPr>
              <w:t>e</w:t>
            </w:r>
            <w:r w:rsidRPr="009E35ED">
              <w:rPr>
                <w:rFonts w:ascii="Arial Narrow" w:hAnsi="Arial Narrow"/>
                <w:color w:val="000000" w:themeColor="text1"/>
                <w:sz w:val="16"/>
                <w:szCs w:val="16"/>
                <w:lang w:val="en-PH" w:eastAsia="en-PH"/>
              </w:rPr>
              <w:t>xpenses</w:t>
            </w:r>
          </w:p>
        </w:tc>
        <w:tc>
          <w:tcPr>
            <w:tcW w:w="1070" w:type="dxa"/>
            <w:shd w:val="clear" w:color="auto" w:fill="auto"/>
            <w:noWrap/>
            <w:vAlign w:val="center"/>
            <w:hideMark/>
          </w:tcPr>
          <w:p w14:paraId="0C51182E" w14:textId="0E06F422" w:rsidR="00830A6E" w:rsidRPr="009E35ED" w:rsidRDefault="00830A6E" w:rsidP="00E1724A">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rPr>
              <w:t xml:space="preserve">460,529 </w:t>
            </w:r>
          </w:p>
        </w:tc>
        <w:tc>
          <w:tcPr>
            <w:tcW w:w="1241" w:type="dxa"/>
            <w:shd w:val="clear" w:color="auto" w:fill="auto"/>
            <w:noWrap/>
            <w:vAlign w:val="center"/>
            <w:hideMark/>
          </w:tcPr>
          <w:p w14:paraId="1E195549" w14:textId="77777777" w:rsidR="00830A6E" w:rsidRPr="009E35ED" w:rsidRDefault="00830A6E" w:rsidP="00E1724A">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041" w:type="dxa"/>
            <w:shd w:val="clear" w:color="auto" w:fill="auto"/>
            <w:noWrap/>
            <w:vAlign w:val="center"/>
            <w:hideMark/>
          </w:tcPr>
          <w:p w14:paraId="4CE98A51" w14:textId="77777777" w:rsidR="00830A6E" w:rsidRPr="009E35ED" w:rsidRDefault="00830A6E" w:rsidP="00E1724A">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839" w:type="dxa"/>
            <w:shd w:val="clear" w:color="auto" w:fill="auto"/>
            <w:noWrap/>
            <w:vAlign w:val="center"/>
            <w:hideMark/>
          </w:tcPr>
          <w:p w14:paraId="366C1321" w14:textId="640B9177" w:rsidR="00830A6E" w:rsidRPr="009E35ED" w:rsidRDefault="00830A6E" w:rsidP="00E1724A">
            <w:pPr>
              <w:ind w:left="0"/>
              <w:jc w:val="right"/>
              <w:rPr>
                <w:rFonts w:ascii="Arial Narrow" w:hAnsi="Arial Narrow"/>
                <w:color w:val="000000" w:themeColor="text1"/>
                <w:sz w:val="16"/>
                <w:szCs w:val="16"/>
                <w:lang w:val="en-PH" w:eastAsia="en-PH"/>
              </w:rPr>
            </w:pPr>
            <w:r w:rsidRPr="009E35ED">
              <w:rPr>
                <w:rFonts w:ascii="Arial Narrow" w:hAnsi="Arial Narrow" w:cs="Arial"/>
                <w:color w:val="000000" w:themeColor="text1"/>
                <w:sz w:val="16"/>
                <w:szCs w:val="16"/>
              </w:rPr>
              <w:t xml:space="preserve">460,529 </w:t>
            </w:r>
          </w:p>
        </w:tc>
      </w:tr>
      <w:tr w:rsidR="00997F75" w:rsidRPr="009E35ED" w14:paraId="00210090" w14:textId="77777777" w:rsidTr="00860ED6">
        <w:trPr>
          <w:trHeight w:val="56"/>
        </w:trPr>
        <w:tc>
          <w:tcPr>
            <w:tcW w:w="3643" w:type="dxa"/>
            <w:gridSpan w:val="4"/>
            <w:shd w:val="clear" w:color="auto" w:fill="auto"/>
            <w:noWrap/>
          </w:tcPr>
          <w:p w14:paraId="3A178C66" w14:textId="4D4CE2AA" w:rsidR="00830A6E" w:rsidRPr="009E35ED" w:rsidRDefault="00830A6E" w:rsidP="00830A6E">
            <w:pPr>
              <w:ind w:left="0"/>
              <w:jc w:val="lef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Semi-</w:t>
            </w:r>
            <w:r w:rsidR="006A1323">
              <w:rPr>
                <w:rFonts w:ascii="Arial Narrow" w:hAnsi="Arial Narrow"/>
                <w:color w:val="000000" w:themeColor="text1"/>
                <w:sz w:val="16"/>
                <w:szCs w:val="16"/>
                <w:lang w:val="en-PH" w:eastAsia="en-PH"/>
              </w:rPr>
              <w:t>e</w:t>
            </w:r>
            <w:r w:rsidRPr="009E35ED">
              <w:rPr>
                <w:rFonts w:ascii="Arial Narrow" w:hAnsi="Arial Narrow"/>
                <w:color w:val="000000" w:themeColor="text1"/>
                <w:sz w:val="16"/>
                <w:szCs w:val="16"/>
                <w:lang w:val="en-PH" w:eastAsia="en-PH"/>
              </w:rPr>
              <w:t xml:space="preserve">xpendable </w:t>
            </w:r>
            <w:r w:rsidR="006A1323">
              <w:rPr>
                <w:rFonts w:ascii="Arial Narrow" w:hAnsi="Arial Narrow"/>
                <w:color w:val="000000" w:themeColor="text1"/>
                <w:sz w:val="16"/>
                <w:szCs w:val="16"/>
                <w:lang w:val="en-PH" w:eastAsia="en-PH"/>
              </w:rPr>
              <w:t>f</w:t>
            </w:r>
            <w:r w:rsidRPr="009E35ED">
              <w:rPr>
                <w:rFonts w:ascii="Arial Narrow" w:hAnsi="Arial Narrow"/>
                <w:color w:val="000000" w:themeColor="text1"/>
                <w:sz w:val="16"/>
                <w:szCs w:val="16"/>
                <w:lang w:val="en-PH" w:eastAsia="en-PH"/>
              </w:rPr>
              <w:t xml:space="preserve">urniture, </w:t>
            </w:r>
            <w:r w:rsidR="006A1323">
              <w:rPr>
                <w:rFonts w:ascii="Arial Narrow" w:hAnsi="Arial Narrow"/>
                <w:color w:val="000000" w:themeColor="text1"/>
                <w:sz w:val="16"/>
                <w:szCs w:val="16"/>
                <w:lang w:val="en-PH" w:eastAsia="en-PH"/>
              </w:rPr>
              <w:t>f</w:t>
            </w:r>
            <w:r w:rsidRPr="009E35ED">
              <w:rPr>
                <w:rFonts w:ascii="Arial Narrow" w:hAnsi="Arial Narrow"/>
                <w:color w:val="000000" w:themeColor="text1"/>
                <w:sz w:val="16"/>
                <w:szCs w:val="16"/>
                <w:lang w:val="en-PH" w:eastAsia="en-PH"/>
              </w:rPr>
              <w:t xml:space="preserve">ixtures and </w:t>
            </w:r>
            <w:r w:rsidR="006A1323">
              <w:rPr>
                <w:rFonts w:ascii="Arial Narrow" w:hAnsi="Arial Narrow"/>
                <w:color w:val="000000" w:themeColor="text1"/>
                <w:sz w:val="16"/>
                <w:szCs w:val="16"/>
                <w:lang w:val="en-PH" w:eastAsia="en-PH"/>
              </w:rPr>
              <w:t>b</w:t>
            </w:r>
            <w:r w:rsidRPr="009E35ED">
              <w:rPr>
                <w:rFonts w:ascii="Arial Narrow" w:hAnsi="Arial Narrow"/>
                <w:color w:val="000000" w:themeColor="text1"/>
                <w:sz w:val="16"/>
                <w:szCs w:val="16"/>
                <w:lang w:val="en-PH" w:eastAsia="en-PH"/>
              </w:rPr>
              <w:t xml:space="preserve">ooks </w:t>
            </w:r>
            <w:r w:rsidR="006A1323">
              <w:rPr>
                <w:rFonts w:ascii="Arial Narrow" w:hAnsi="Arial Narrow"/>
                <w:color w:val="000000" w:themeColor="text1"/>
                <w:sz w:val="16"/>
                <w:szCs w:val="16"/>
                <w:lang w:val="en-PH" w:eastAsia="en-PH"/>
              </w:rPr>
              <w:t>e</w:t>
            </w:r>
            <w:r w:rsidRPr="009E35ED">
              <w:rPr>
                <w:rFonts w:ascii="Arial Narrow" w:hAnsi="Arial Narrow"/>
                <w:color w:val="000000" w:themeColor="text1"/>
                <w:sz w:val="16"/>
                <w:szCs w:val="16"/>
                <w:lang w:val="en-PH" w:eastAsia="en-PH"/>
              </w:rPr>
              <w:t>xpenses</w:t>
            </w:r>
          </w:p>
        </w:tc>
        <w:tc>
          <w:tcPr>
            <w:tcW w:w="1070" w:type="dxa"/>
            <w:shd w:val="clear" w:color="auto" w:fill="auto"/>
            <w:noWrap/>
            <w:vAlign w:val="center"/>
          </w:tcPr>
          <w:p w14:paraId="34720018" w14:textId="2CA0D044" w:rsidR="00830A6E" w:rsidRPr="009E35ED" w:rsidRDefault="00830A6E" w:rsidP="00884C9E">
            <w:pPr>
              <w:ind w:left="0"/>
              <w:jc w:val="right"/>
              <w:rPr>
                <w:rFonts w:ascii="Arial Narrow" w:hAnsi="Arial Narrow"/>
                <w:color w:val="000000" w:themeColor="text1"/>
                <w:sz w:val="16"/>
                <w:szCs w:val="16"/>
              </w:rPr>
            </w:pPr>
            <w:r w:rsidRPr="009E35ED">
              <w:rPr>
                <w:rFonts w:ascii="Arial Narrow" w:hAnsi="Arial Narrow"/>
                <w:color w:val="000000" w:themeColor="text1"/>
                <w:sz w:val="16"/>
                <w:szCs w:val="16"/>
              </w:rPr>
              <w:t>6,</w:t>
            </w:r>
            <w:r w:rsidR="00884C9E" w:rsidRPr="009E35ED">
              <w:rPr>
                <w:rFonts w:ascii="Arial Narrow" w:hAnsi="Arial Narrow"/>
                <w:color w:val="000000" w:themeColor="text1"/>
                <w:sz w:val="16"/>
                <w:szCs w:val="16"/>
              </w:rPr>
              <w:t>444,155</w:t>
            </w:r>
          </w:p>
        </w:tc>
        <w:tc>
          <w:tcPr>
            <w:tcW w:w="1241" w:type="dxa"/>
            <w:shd w:val="clear" w:color="auto" w:fill="auto"/>
            <w:noWrap/>
            <w:vAlign w:val="center"/>
          </w:tcPr>
          <w:p w14:paraId="147A66CC" w14:textId="2BFB17E7" w:rsidR="00830A6E" w:rsidRPr="009E35ED" w:rsidRDefault="00884C9E" w:rsidP="00E1724A">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041" w:type="dxa"/>
            <w:shd w:val="clear" w:color="auto" w:fill="auto"/>
            <w:noWrap/>
            <w:vAlign w:val="center"/>
          </w:tcPr>
          <w:p w14:paraId="36C65DED" w14:textId="73454017" w:rsidR="00830A6E" w:rsidRPr="009E35ED" w:rsidRDefault="00884C9E" w:rsidP="00E1724A">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839" w:type="dxa"/>
            <w:shd w:val="clear" w:color="auto" w:fill="auto"/>
            <w:noWrap/>
            <w:vAlign w:val="center"/>
          </w:tcPr>
          <w:p w14:paraId="730E2150" w14:textId="48250487" w:rsidR="00830A6E" w:rsidRPr="009E35ED" w:rsidRDefault="00884C9E" w:rsidP="00E1724A">
            <w:pPr>
              <w:ind w:left="0"/>
              <w:jc w:val="right"/>
              <w:rPr>
                <w:rFonts w:ascii="Arial Narrow" w:hAnsi="Arial Narrow"/>
                <w:color w:val="000000" w:themeColor="text1"/>
                <w:sz w:val="16"/>
                <w:szCs w:val="16"/>
                <w:lang w:eastAsia="en-PH"/>
              </w:rPr>
            </w:pPr>
            <w:r w:rsidRPr="009E35ED">
              <w:rPr>
                <w:rFonts w:ascii="Arial Narrow" w:hAnsi="Arial Narrow"/>
                <w:color w:val="000000" w:themeColor="text1"/>
                <w:sz w:val="16"/>
                <w:szCs w:val="16"/>
              </w:rPr>
              <w:t>6,444,155</w:t>
            </w:r>
          </w:p>
        </w:tc>
      </w:tr>
      <w:tr w:rsidR="00997F75" w:rsidRPr="009E35ED" w14:paraId="44D113BD" w14:textId="77777777" w:rsidTr="00860ED6">
        <w:trPr>
          <w:trHeight w:val="109"/>
        </w:trPr>
        <w:tc>
          <w:tcPr>
            <w:tcW w:w="3643" w:type="dxa"/>
            <w:gridSpan w:val="4"/>
            <w:shd w:val="clear" w:color="auto" w:fill="auto"/>
            <w:noWrap/>
            <w:vAlign w:val="center"/>
            <w:hideMark/>
          </w:tcPr>
          <w:p w14:paraId="0C2899B5" w14:textId="4AE3F214" w:rsidR="00830A6E" w:rsidRPr="009E35ED" w:rsidRDefault="00830A6E" w:rsidP="00830A6E">
            <w:pPr>
              <w:ind w:left="0"/>
              <w:jc w:val="lef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Semi-</w:t>
            </w:r>
            <w:r w:rsidR="006A1323">
              <w:rPr>
                <w:rFonts w:ascii="Arial Narrow" w:hAnsi="Arial Narrow"/>
                <w:color w:val="000000" w:themeColor="text1"/>
                <w:sz w:val="16"/>
                <w:szCs w:val="16"/>
                <w:lang w:val="en-PH" w:eastAsia="en-PH"/>
              </w:rPr>
              <w:t>e</w:t>
            </w:r>
            <w:r w:rsidRPr="009E35ED">
              <w:rPr>
                <w:rFonts w:ascii="Arial Narrow" w:hAnsi="Arial Narrow"/>
                <w:color w:val="000000" w:themeColor="text1"/>
                <w:sz w:val="16"/>
                <w:szCs w:val="16"/>
                <w:lang w:val="en-PH" w:eastAsia="en-PH"/>
              </w:rPr>
              <w:t xml:space="preserve">xpendable </w:t>
            </w:r>
            <w:r w:rsidR="006A1323">
              <w:rPr>
                <w:rFonts w:ascii="Arial Narrow" w:hAnsi="Arial Narrow"/>
                <w:color w:val="000000" w:themeColor="text1"/>
                <w:sz w:val="16"/>
                <w:szCs w:val="16"/>
                <w:lang w:val="en-PH" w:eastAsia="en-PH"/>
              </w:rPr>
              <w:t>m</w:t>
            </w:r>
            <w:r w:rsidRPr="009E35ED">
              <w:rPr>
                <w:rFonts w:ascii="Arial Narrow" w:hAnsi="Arial Narrow"/>
                <w:color w:val="000000" w:themeColor="text1"/>
                <w:sz w:val="16"/>
                <w:szCs w:val="16"/>
                <w:lang w:val="en-PH" w:eastAsia="en-PH"/>
              </w:rPr>
              <w:t xml:space="preserve">achinery and </w:t>
            </w:r>
            <w:r w:rsidR="006A1323">
              <w:rPr>
                <w:rFonts w:ascii="Arial Narrow" w:hAnsi="Arial Narrow"/>
                <w:color w:val="000000" w:themeColor="text1"/>
                <w:sz w:val="16"/>
                <w:szCs w:val="16"/>
                <w:lang w:val="en-PH" w:eastAsia="en-PH"/>
              </w:rPr>
              <w:t>e</w:t>
            </w:r>
            <w:r w:rsidRPr="009E35ED">
              <w:rPr>
                <w:rFonts w:ascii="Arial Narrow" w:hAnsi="Arial Narrow"/>
                <w:color w:val="000000" w:themeColor="text1"/>
                <w:sz w:val="16"/>
                <w:szCs w:val="16"/>
                <w:lang w:val="en-PH" w:eastAsia="en-PH"/>
              </w:rPr>
              <w:t xml:space="preserve">quipment </w:t>
            </w:r>
            <w:r w:rsidR="006A1323">
              <w:rPr>
                <w:rFonts w:ascii="Arial Narrow" w:hAnsi="Arial Narrow"/>
                <w:color w:val="000000" w:themeColor="text1"/>
                <w:sz w:val="16"/>
                <w:szCs w:val="16"/>
                <w:lang w:val="en-PH" w:eastAsia="en-PH"/>
              </w:rPr>
              <w:t>e</w:t>
            </w:r>
            <w:r w:rsidRPr="009E35ED">
              <w:rPr>
                <w:rFonts w:ascii="Arial Narrow" w:hAnsi="Arial Narrow"/>
                <w:color w:val="000000" w:themeColor="text1"/>
                <w:sz w:val="16"/>
                <w:szCs w:val="16"/>
                <w:lang w:val="en-PH" w:eastAsia="en-PH"/>
              </w:rPr>
              <w:t>xpenses</w:t>
            </w:r>
          </w:p>
        </w:tc>
        <w:tc>
          <w:tcPr>
            <w:tcW w:w="1070" w:type="dxa"/>
            <w:shd w:val="clear" w:color="auto" w:fill="auto"/>
            <w:noWrap/>
            <w:vAlign w:val="center"/>
          </w:tcPr>
          <w:p w14:paraId="0C9D6935" w14:textId="726F71B5" w:rsidR="00830A6E" w:rsidRPr="009E35ED" w:rsidRDefault="00884C9E" w:rsidP="00E1724A">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rPr>
              <w:t>7,383,864</w:t>
            </w:r>
          </w:p>
        </w:tc>
        <w:tc>
          <w:tcPr>
            <w:tcW w:w="1241" w:type="dxa"/>
            <w:shd w:val="clear" w:color="auto" w:fill="auto"/>
            <w:noWrap/>
            <w:vAlign w:val="center"/>
            <w:hideMark/>
          </w:tcPr>
          <w:p w14:paraId="0DD9CF6D" w14:textId="1F400D39" w:rsidR="00830A6E" w:rsidRPr="009E35ED" w:rsidRDefault="00830A6E" w:rsidP="00E1724A">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041" w:type="dxa"/>
            <w:shd w:val="clear" w:color="auto" w:fill="auto"/>
            <w:noWrap/>
            <w:vAlign w:val="center"/>
            <w:hideMark/>
          </w:tcPr>
          <w:p w14:paraId="77F752C6" w14:textId="20EDC036" w:rsidR="00830A6E" w:rsidRPr="009E35ED" w:rsidRDefault="00830A6E" w:rsidP="00E1724A">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839" w:type="dxa"/>
            <w:shd w:val="clear" w:color="auto" w:fill="auto"/>
            <w:noWrap/>
            <w:vAlign w:val="center"/>
            <w:hideMark/>
          </w:tcPr>
          <w:p w14:paraId="662F6F63" w14:textId="33425DC3" w:rsidR="00830A6E" w:rsidRPr="009E35ED" w:rsidRDefault="00884C9E" w:rsidP="00E1724A">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rPr>
              <w:t>7,383,864</w:t>
            </w:r>
          </w:p>
        </w:tc>
      </w:tr>
      <w:tr w:rsidR="00997F75" w:rsidRPr="009E35ED" w14:paraId="7BDB5144" w14:textId="77777777" w:rsidTr="00860ED6">
        <w:trPr>
          <w:trHeight w:val="241"/>
        </w:trPr>
        <w:tc>
          <w:tcPr>
            <w:tcW w:w="3643" w:type="dxa"/>
            <w:gridSpan w:val="4"/>
            <w:shd w:val="clear" w:color="auto" w:fill="auto"/>
            <w:noWrap/>
            <w:vAlign w:val="center"/>
            <w:hideMark/>
          </w:tcPr>
          <w:p w14:paraId="23EF0D48" w14:textId="6C784DD3" w:rsidR="00830A6E" w:rsidRPr="009E35ED" w:rsidRDefault="00830A6E" w:rsidP="00830A6E">
            <w:pPr>
              <w:ind w:left="0"/>
              <w:jc w:val="lef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 xml:space="preserve">Accountable </w:t>
            </w:r>
            <w:r w:rsidR="006A1323">
              <w:rPr>
                <w:rFonts w:ascii="Arial Narrow" w:hAnsi="Arial Narrow"/>
                <w:color w:val="000000" w:themeColor="text1"/>
                <w:sz w:val="16"/>
                <w:szCs w:val="16"/>
                <w:lang w:val="en-PH" w:eastAsia="en-PH"/>
              </w:rPr>
              <w:t>f</w:t>
            </w:r>
            <w:r w:rsidRPr="009E35ED">
              <w:rPr>
                <w:rFonts w:ascii="Arial Narrow" w:hAnsi="Arial Narrow"/>
                <w:color w:val="000000" w:themeColor="text1"/>
                <w:sz w:val="16"/>
                <w:szCs w:val="16"/>
                <w:lang w:val="en-PH" w:eastAsia="en-PH"/>
              </w:rPr>
              <w:t xml:space="preserve">orms </w:t>
            </w:r>
            <w:r w:rsidR="006A1323">
              <w:rPr>
                <w:rFonts w:ascii="Arial Narrow" w:hAnsi="Arial Narrow"/>
                <w:color w:val="000000" w:themeColor="text1"/>
                <w:sz w:val="16"/>
                <w:szCs w:val="16"/>
                <w:lang w:val="en-PH" w:eastAsia="en-PH"/>
              </w:rPr>
              <w:t>e</w:t>
            </w:r>
            <w:r w:rsidRPr="009E35ED">
              <w:rPr>
                <w:rFonts w:ascii="Arial Narrow" w:hAnsi="Arial Narrow"/>
                <w:color w:val="000000" w:themeColor="text1"/>
                <w:sz w:val="16"/>
                <w:szCs w:val="16"/>
                <w:lang w:val="en-PH" w:eastAsia="en-PH"/>
              </w:rPr>
              <w:t>xpenses</w:t>
            </w:r>
          </w:p>
        </w:tc>
        <w:tc>
          <w:tcPr>
            <w:tcW w:w="1070" w:type="dxa"/>
            <w:shd w:val="clear" w:color="auto" w:fill="auto"/>
            <w:noWrap/>
            <w:vAlign w:val="center"/>
            <w:hideMark/>
          </w:tcPr>
          <w:p w14:paraId="24DD51E8" w14:textId="5E4E9980" w:rsidR="00830A6E" w:rsidRPr="009E35ED" w:rsidRDefault="00CE251D" w:rsidP="00E1724A">
            <w:pPr>
              <w:ind w:left="0"/>
              <w:jc w:val="right"/>
              <w:rPr>
                <w:rFonts w:ascii="Arial Narrow" w:hAnsi="Arial Narrow"/>
                <w:color w:val="000000" w:themeColor="text1"/>
                <w:sz w:val="16"/>
                <w:szCs w:val="16"/>
                <w:lang w:val="en-PH" w:eastAsia="en-PH"/>
              </w:rPr>
            </w:pPr>
            <w:r w:rsidRPr="009E35ED">
              <w:rPr>
                <w:rFonts w:ascii="Arial Narrow" w:hAnsi="Arial Narrow" w:cs="Arial"/>
                <w:color w:val="000000" w:themeColor="text1"/>
                <w:sz w:val="16"/>
                <w:szCs w:val="16"/>
              </w:rPr>
              <w:t xml:space="preserve">                      </w:t>
            </w:r>
            <w:r w:rsidR="003F0B61" w:rsidRPr="009E35ED">
              <w:rPr>
                <w:rFonts w:ascii="Arial Narrow" w:hAnsi="Arial Narrow" w:cs="Arial"/>
                <w:color w:val="000000" w:themeColor="text1"/>
                <w:sz w:val="16"/>
                <w:szCs w:val="16"/>
              </w:rPr>
              <w:t>-</w:t>
            </w:r>
          </w:p>
        </w:tc>
        <w:tc>
          <w:tcPr>
            <w:tcW w:w="1241" w:type="dxa"/>
            <w:shd w:val="clear" w:color="auto" w:fill="auto"/>
            <w:noWrap/>
            <w:vAlign w:val="center"/>
            <w:hideMark/>
          </w:tcPr>
          <w:p w14:paraId="599C0773" w14:textId="77777777" w:rsidR="00830A6E" w:rsidRPr="009E35ED" w:rsidRDefault="00830A6E" w:rsidP="00E1724A">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041" w:type="dxa"/>
            <w:shd w:val="clear" w:color="auto" w:fill="auto"/>
            <w:noWrap/>
            <w:vAlign w:val="center"/>
            <w:hideMark/>
          </w:tcPr>
          <w:p w14:paraId="51D69C45" w14:textId="77777777" w:rsidR="00830A6E" w:rsidRPr="009E35ED" w:rsidRDefault="00830A6E" w:rsidP="00E1724A">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839" w:type="dxa"/>
            <w:shd w:val="clear" w:color="auto" w:fill="auto"/>
            <w:noWrap/>
            <w:vAlign w:val="center"/>
            <w:hideMark/>
          </w:tcPr>
          <w:p w14:paraId="3135E693" w14:textId="1E70A396" w:rsidR="00830A6E" w:rsidRPr="009E35ED" w:rsidRDefault="00CE251D" w:rsidP="00E1724A">
            <w:pPr>
              <w:ind w:left="0"/>
              <w:jc w:val="right"/>
              <w:rPr>
                <w:rFonts w:ascii="Arial Narrow" w:hAnsi="Arial Narrow"/>
                <w:color w:val="000000" w:themeColor="text1"/>
                <w:sz w:val="16"/>
                <w:szCs w:val="16"/>
                <w:lang w:val="en-PH" w:eastAsia="en-PH"/>
              </w:rPr>
            </w:pPr>
            <w:r w:rsidRPr="009E35ED">
              <w:rPr>
                <w:rFonts w:ascii="Arial Narrow" w:hAnsi="Arial Narrow" w:cs="Arial"/>
                <w:color w:val="000000" w:themeColor="text1"/>
                <w:sz w:val="16"/>
                <w:szCs w:val="16"/>
              </w:rPr>
              <w:t xml:space="preserve">     </w:t>
            </w:r>
            <w:r w:rsidR="00830A6E" w:rsidRPr="009E35ED">
              <w:rPr>
                <w:rFonts w:ascii="Arial Narrow" w:hAnsi="Arial Narrow" w:cs="Arial"/>
                <w:color w:val="000000" w:themeColor="text1"/>
                <w:sz w:val="16"/>
                <w:szCs w:val="16"/>
              </w:rPr>
              <w:t xml:space="preserve">-   </w:t>
            </w:r>
          </w:p>
        </w:tc>
      </w:tr>
      <w:tr w:rsidR="00997F75" w:rsidRPr="009E35ED" w14:paraId="5B3B8A09" w14:textId="77777777" w:rsidTr="00860ED6">
        <w:trPr>
          <w:trHeight w:val="56"/>
        </w:trPr>
        <w:tc>
          <w:tcPr>
            <w:tcW w:w="3643" w:type="dxa"/>
            <w:gridSpan w:val="4"/>
            <w:shd w:val="clear" w:color="auto" w:fill="auto"/>
            <w:noWrap/>
            <w:vAlign w:val="center"/>
            <w:hideMark/>
          </w:tcPr>
          <w:p w14:paraId="27C9A2ED" w14:textId="38AF993B" w:rsidR="003F0B61" w:rsidRPr="009E35ED" w:rsidRDefault="003F0B61">
            <w:pPr>
              <w:ind w:left="0"/>
              <w:jc w:val="lef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 xml:space="preserve">Other </w:t>
            </w:r>
            <w:r w:rsidR="006A1323">
              <w:rPr>
                <w:rFonts w:ascii="Arial Narrow" w:hAnsi="Arial Narrow"/>
                <w:color w:val="000000" w:themeColor="text1"/>
                <w:sz w:val="16"/>
                <w:szCs w:val="16"/>
                <w:lang w:val="en-PH" w:eastAsia="en-PH"/>
              </w:rPr>
              <w:t>s</w:t>
            </w:r>
            <w:r w:rsidRPr="009E35ED">
              <w:rPr>
                <w:rFonts w:ascii="Arial Narrow" w:hAnsi="Arial Narrow"/>
                <w:color w:val="000000" w:themeColor="text1"/>
                <w:sz w:val="16"/>
                <w:szCs w:val="16"/>
                <w:lang w:val="en-PH" w:eastAsia="en-PH"/>
              </w:rPr>
              <w:t xml:space="preserve">upplies and </w:t>
            </w:r>
            <w:r w:rsidR="006A1323">
              <w:rPr>
                <w:rFonts w:ascii="Arial Narrow" w:hAnsi="Arial Narrow"/>
                <w:color w:val="000000" w:themeColor="text1"/>
                <w:sz w:val="16"/>
                <w:szCs w:val="16"/>
                <w:lang w:val="en-PH" w:eastAsia="en-PH"/>
              </w:rPr>
              <w:t>m</w:t>
            </w:r>
            <w:r w:rsidRPr="009E35ED">
              <w:rPr>
                <w:rFonts w:ascii="Arial Narrow" w:hAnsi="Arial Narrow"/>
                <w:color w:val="000000" w:themeColor="text1"/>
                <w:sz w:val="16"/>
                <w:szCs w:val="16"/>
                <w:lang w:val="en-PH" w:eastAsia="en-PH"/>
              </w:rPr>
              <w:t xml:space="preserve">aterials </w:t>
            </w:r>
            <w:r w:rsidR="006A1323">
              <w:rPr>
                <w:rFonts w:ascii="Arial Narrow" w:hAnsi="Arial Narrow"/>
                <w:color w:val="000000" w:themeColor="text1"/>
                <w:sz w:val="16"/>
                <w:szCs w:val="16"/>
                <w:lang w:val="en-PH" w:eastAsia="en-PH"/>
              </w:rPr>
              <w:t>e</w:t>
            </w:r>
            <w:r w:rsidRPr="009E35ED">
              <w:rPr>
                <w:rFonts w:ascii="Arial Narrow" w:hAnsi="Arial Narrow"/>
                <w:color w:val="000000" w:themeColor="text1"/>
                <w:sz w:val="16"/>
                <w:szCs w:val="16"/>
                <w:lang w:val="en-PH" w:eastAsia="en-PH"/>
              </w:rPr>
              <w:t>xpenses</w:t>
            </w:r>
          </w:p>
        </w:tc>
        <w:tc>
          <w:tcPr>
            <w:tcW w:w="1070" w:type="dxa"/>
            <w:shd w:val="clear" w:color="auto" w:fill="auto"/>
            <w:noWrap/>
            <w:vAlign w:val="center"/>
            <w:hideMark/>
          </w:tcPr>
          <w:p w14:paraId="7D7C366F" w14:textId="349A4231" w:rsidR="003F0B61" w:rsidRPr="009E35ED" w:rsidRDefault="00FA18A5" w:rsidP="00E1724A">
            <w:pPr>
              <w:ind w:left="0"/>
              <w:jc w:val="right"/>
              <w:rPr>
                <w:rFonts w:ascii="Arial Narrow" w:hAnsi="Arial Narrow"/>
                <w:color w:val="000000" w:themeColor="text1"/>
                <w:sz w:val="16"/>
                <w:szCs w:val="16"/>
                <w:lang w:val="en-PH" w:eastAsia="en-PH"/>
              </w:rPr>
            </w:pPr>
            <w:r w:rsidRPr="009E35ED">
              <w:rPr>
                <w:rFonts w:ascii="Arial Narrow" w:hAnsi="Arial Narrow" w:cs="Arial"/>
                <w:color w:val="000000" w:themeColor="text1"/>
                <w:sz w:val="16"/>
                <w:szCs w:val="16"/>
              </w:rPr>
              <w:t>2,873,746</w:t>
            </w:r>
          </w:p>
        </w:tc>
        <w:tc>
          <w:tcPr>
            <w:tcW w:w="1241" w:type="dxa"/>
            <w:shd w:val="clear" w:color="auto" w:fill="auto"/>
            <w:noWrap/>
            <w:vAlign w:val="center"/>
            <w:hideMark/>
          </w:tcPr>
          <w:p w14:paraId="21414673" w14:textId="77777777" w:rsidR="003F0B61" w:rsidRPr="009E35ED" w:rsidRDefault="003F0B61" w:rsidP="00E1724A">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041" w:type="dxa"/>
            <w:shd w:val="clear" w:color="auto" w:fill="auto"/>
            <w:noWrap/>
            <w:vAlign w:val="center"/>
            <w:hideMark/>
          </w:tcPr>
          <w:p w14:paraId="603862A5" w14:textId="77777777" w:rsidR="003F0B61" w:rsidRPr="009E35ED" w:rsidRDefault="003F0B61" w:rsidP="00E1724A">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839" w:type="dxa"/>
            <w:shd w:val="clear" w:color="auto" w:fill="auto"/>
            <w:noWrap/>
            <w:vAlign w:val="center"/>
            <w:hideMark/>
          </w:tcPr>
          <w:p w14:paraId="6E2D4EF9" w14:textId="3AB59722" w:rsidR="003F0B61" w:rsidRPr="009E35ED" w:rsidRDefault="00FA18A5" w:rsidP="00E1724A">
            <w:pPr>
              <w:ind w:left="0"/>
              <w:jc w:val="right"/>
              <w:rPr>
                <w:rFonts w:ascii="Arial Narrow" w:hAnsi="Arial Narrow"/>
                <w:color w:val="000000" w:themeColor="text1"/>
                <w:sz w:val="16"/>
                <w:szCs w:val="16"/>
                <w:lang w:val="en-PH" w:eastAsia="en-PH"/>
              </w:rPr>
            </w:pPr>
            <w:r w:rsidRPr="009E35ED">
              <w:rPr>
                <w:rFonts w:ascii="Arial Narrow" w:hAnsi="Arial Narrow" w:cs="Arial"/>
                <w:color w:val="000000" w:themeColor="text1"/>
                <w:sz w:val="16"/>
                <w:szCs w:val="16"/>
              </w:rPr>
              <w:t>2,873,746</w:t>
            </w:r>
          </w:p>
        </w:tc>
      </w:tr>
      <w:tr w:rsidR="00997F75" w:rsidRPr="009E35ED" w14:paraId="6D4C26A7" w14:textId="77777777" w:rsidTr="00860ED6">
        <w:trPr>
          <w:trHeight w:val="56"/>
        </w:trPr>
        <w:tc>
          <w:tcPr>
            <w:tcW w:w="3643" w:type="dxa"/>
            <w:gridSpan w:val="4"/>
            <w:shd w:val="clear" w:color="auto" w:fill="auto"/>
            <w:noWrap/>
            <w:vAlign w:val="center"/>
            <w:hideMark/>
          </w:tcPr>
          <w:p w14:paraId="162B648C" w14:textId="439637E3" w:rsidR="003F0B61" w:rsidRPr="009E35ED" w:rsidRDefault="003F0B61" w:rsidP="003F0B61">
            <w:pPr>
              <w:ind w:left="0"/>
              <w:jc w:val="lef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 xml:space="preserve">Utility </w:t>
            </w:r>
            <w:r w:rsidR="006A1323">
              <w:rPr>
                <w:rFonts w:ascii="Arial Narrow" w:hAnsi="Arial Narrow"/>
                <w:color w:val="000000" w:themeColor="text1"/>
                <w:sz w:val="16"/>
                <w:szCs w:val="16"/>
                <w:lang w:val="en-PH" w:eastAsia="en-PH"/>
              </w:rPr>
              <w:t>e</w:t>
            </w:r>
            <w:r w:rsidRPr="009E35ED">
              <w:rPr>
                <w:rFonts w:ascii="Arial Narrow" w:hAnsi="Arial Narrow"/>
                <w:color w:val="000000" w:themeColor="text1"/>
                <w:sz w:val="16"/>
                <w:szCs w:val="16"/>
                <w:lang w:val="en-PH" w:eastAsia="en-PH"/>
              </w:rPr>
              <w:t>xpenses</w:t>
            </w:r>
          </w:p>
        </w:tc>
        <w:tc>
          <w:tcPr>
            <w:tcW w:w="1070" w:type="dxa"/>
            <w:shd w:val="clear" w:color="auto" w:fill="auto"/>
            <w:noWrap/>
            <w:vAlign w:val="center"/>
            <w:hideMark/>
          </w:tcPr>
          <w:p w14:paraId="19BD0A35" w14:textId="56572006" w:rsidR="003F0B61" w:rsidRPr="009E35ED" w:rsidRDefault="003F0B61" w:rsidP="00884C9E">
            <w:pPr>
              <w:ind w:left="0"/>
              <w:jc w:val="right"/>
              <w:rPr>
                <w:rFonts w:ascii="Arial Narrow" w:hAnsi="Arial Narrow"/>
                <w:color w:val="000000" w:themeColor="text1"/>
                <w:sz w:val="16"/>
                <w:szCs w:val="16"/>
                <w:lang w:val="en-PH" w:eastAsia="en-PH"/>
              </w:rPr>
            </w:pPr>
            <w:r w:rsidRPr="009E35ED">
              <w:rPr>
                <w:rFonts w:ascii="Arial Narrow" w:hAnsi="Arial Narrow" w:cs="Arial"/>
                <w:color w:val="000000" w:themeColor="text1"/>
                <w:sz w:val="16"/>
                <w:szCs w:val="16"/>
              </w:rPr>
              <w:t>40,</w:t>
            </w:r>
            <w:r w:rsidR="00884C9E" w:rsidRPr="009E35ED">
              <w:rPr>
                <w:rFonts w:ascii="Arial Narrow" w:hAnsi="Arial Narrow" w:cs="Arial"/>
                <w:color w:val="000000" w:themeColor="text1"/>
                <w:sz w:val="16"/>
                <w:szCs w:val="16"/>
              </w:rPr>
              <w:t>673,019</w:t>
            </w:r>
            <w:r w:rsidRPr="009E35ED">
              <w:rPr>
                <w:rFonts w:ascii="Arial Narrow" w:hAnsi="Arial Narrow" w:cs="Arial"/>
                <w:color w:val="000000" w:themeColor="text1"/>
                <w:sz w:val="16"/>
                <w:szCs w:val="16"/>
              </w:rPr>
              <w:t xml:space="preserve"> </w:t>
            </w:r>
          </w:p>
        </w:tc>
        <w:tc>
          <w:tcPr>
            <w:tcW w:w="1241" w:type="dxa"/>
            <w:shd w:val="clear" w:color="auto" w:fill="auto"/>
            <w:noWrap/>
            <w:vAlign w:val="center"/>
            <w:hideMark/>
          </w:tcPr>
          <w:p w14:paraId="043D4157" w14:textId="77777777" w:rsidR="003F0B61" w:rsidRPr="009E35ED" w:rsidRDefault="003F0B61" w:rsidP="00E1724A">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041" w:type="dxa"/>
            <w:shd w:val="clear" w:color="auto" w:fill="auto"/>
            <w:noWrap/>
            <w:vAlign w:val="center"/>
            <w:hideMark/>
          </w:tcPr>
          <w:p w14:paraId="3D004EEB" w14:textId="77777777" w:rsidR="003F0B61" w:rsidRPr="009E35ED" w:rsidRDefault="003F0B61" w:rsidP="00E1724A">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839" w:type="dxa"/>
            <w:shd w:val="clear" w:color="auto" w:fill="auto"/>
            <w:noWrap/>
            <w:vAlign w:val="center"/>
            <w:hideMark/>
          </w:tcPr>
          <w:p w14:paraId="4FE05C92" w14:textId="3175204E" w:rsidR="003F0B61" w:rsidRPr="009E35ED" w:rsidRDefault="00884C9E" w:rsidP="00E1724A">
            <w:pPr>
              <w:ind w:left="0"/>
              <w:jc w:val="right"/>
              <w:rPr>
                <w:rFonts w:ascii="Arial Narrow" w:hAnsi="Arial Narrow"/>
                <w:color w:val="000000" w:themeColor="text1"/>
                <w:sz w:val="16"/>
                <w:szCs w:val="16"/>
                <w:lang w:val="en-PH" w:eastAsia="en-PH"/>
              </w:rPr>
            </w:pPr>
            <w:r w:rsidRPr="009E35ED">
              <w:rPr>
                <w:rFonts w:ascii="Arial Narrow" w:hAnsi="Arial Narrow" w:cs="Arial"/>
                <w:color w:val="000000" w:themeColor="text1"/>
                <w:sz w:val="16"/>
                <w:szCs w:val="16"/>
              </w:rPr>
              <w:t>40,673,019</w:t>
            </w:r>
            <w:r w:rsidR="003F0B61" w:rsidRPr="009E35ED">
              <w:rPr>
                <w:rFonts w:ascii="Arial Narrow" w:hAnsi="Arial Narrow" w:cs="Arial"/>
                <w:color w:val="000000" w:themeColor="text1"/>
                <w:sz w:val="16"/>
                <w:szCs w:val="16"/>
              </w:rPr>
              <w:t xml:space="preserve"> </w:t>
            </w:r>
          </w:p>
        </w:tc>
      </w:tr>
      <w:tr w:rsidR="00997F75" w:rsidRPr="009E35ED" w14:paraId="28AE0EE8" w14:textId="77777777" w:rsidTr="00860ED6">
        <w:trPr>
          <w:trHeight w:val="56"/>
        </w:trPr>
        <w:tc>
          <w:tcPr>
            <w:tcW w:w="3643" w:type="dxa"/>
            <w:gridSpan w:val="4"/>
            <w:shd w:val="clear" w:color="auto" w:fill="auto"/>
            <w:noWrap/>
            <w:vAlign w:val="center"/>
            <w:hideMark/>
          </w:tcPr>
          <w:p w14:paraId="1D73B7CD" w14:textId="74EAD5EE" w:rsidR="003F0B61" w:rsidRPr="009E35ED" w:rsidRDefault="003F0B61" w:rsidP="003F0B61">
            <w:pPr>
              <w:ind w:left="0"/>
              <w:jc w:val="lef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 xml:space="preserve">Communication </w:t>
            </w:r>
            <w:r w:rsidR="006A1323">
              <w:rPr>
                <w:rFonts w:ascii="Arial Narrow" w:hAnsi="Arial Narrow"/>
                <w:color w:val="000000" w:themeColor="text1"/>
                <w:sz w:val="16"/>
                <w:szCs w:val="16"/>
                <w:lang w:val="en-PH" w:eastAsia="en-PH"/>
              </w:rPr>
              <w:t>e</w:t>
            </w:r>
            <w:r w:rsidRPr="009E35ED">
              <w:rPr>
                <w:rFonts w:ascii="Arial Narrow" w:hAnsi="Arial Narrow"/>
                <w:color w:val="000000" w:themeColor="text1"/>
                <w:sz w:val="16"/>
                <w:szCs w:val="16"/>
                <w:lang w:val="en-PH" w:eastAsia="en-PH"/>
              </w:rPr>
              <w:t>xpenses</w:t>
            </w:r>
          </w:p>
        </w:tc>
        <w:tc>
          <w:tcPr>
            <w:tcW w:w="1070" w:type="dxa"/>
            <w:shd w:val="clear" w:color="auto" w:fill="auto"/>
            <w:noWrap/>
            <w:vAlign w:val="center"/>
            <w:hideMark/>
          </w:tcPr>
          <w:p w14:paraId="7B5EF2EF" w14:textId="610E1DE2" w:rsidR="003F0B61" w:rsidRPr="009E35ED" w:rsidRDefault="003F0B61" w:rsidP="00E1724A">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 xml:space="preserve">20,762,764 </w:t>
            </w:r>
          </w:p>
        </w:tc>
        <w:tc>
          <w:tcPr>
            <w:tcW w:w="1241" w:type="dxa"/>
            <w:shd w:val="clear" w:color="auto" w:fill="auto"/>
            <w:noWrap/>
            <w:vAlign w:val="center"/>
            <w:hideMark/>
          </w:tcPr>
          <w:p w14:paraId="049AB543" w14:textId="77777777" w:rsidR="003F0B61" w:rsidRPr="009E35ED" w:rsidRDefault="003F0B61" w:rsidP="00E1724A">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041" w:type="dxa"/>
            <w:shd w:val="clear" w:color="auto" w:fill="auto"/>
            <w:noWrap/>
            <w:vAlign w:val="center"/>
            <w:hideMark/>
          </w:tcPr>
          <w:p w14:paraId="3E287753" w14:textId="77777777" w:rsidR="003F0B61" w:rsidRPr="009E35ED" w:rsidRDefault="003F0B61" w:rsidP="00E1724A">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839" w:type="dxa"/>
            <w:shd w:val="clear" w:color="auto" w:fill="auto"/>
            <w:noWrap/>
            <w:vAlign w:val="center"/>
            <w:hideMark/>
          </w:tcPr>
          <w:p w14:paraId="31767688" w14:textId="68F7AB8A" w:rsidR="003F0B61" w:rsidRPr="009E35ED" w:rsidRDefault="003F0B61" w:rsidP="00E1724A">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 xml:space="preserve">20,762,764 </w:t>
            </w:r>
          </w:p>
        </w:tc>
      </w:tr>
      <w:tr w:rsidR="00997F75" w:rsidRPr="009E35ED" w14:paraId="6E6EEE03" w14:textId="77777777" w:rsidTr="00860ED6">
        <w:trPr>
          <w:trHeight w:val="122"/>
        </w:trPr>
        <w:tc>
          <w:tcPr>
            <w:tcW w:w="3643" w:type="dxa"/>
            <w:gridSpan w:val="4"/>
            <w:shd w:val="clear" w:color="auto" w:fill="auto"/>
            <w:noWrap/>
            <w:vAlign w:val="center"/>
            <w:hideMark/>
          </w:tcPr>
          <w:p w14:paraId="387EA968" w14:textId="4979241C" w:rsidR="003F0B61" w:rsidRPr="009E35ED" w:rsidRDefault="003F0B61" w:rsidP="003F0B61">
            <w:pPr>
              <w:ind w:left="0"/>
              <w:jc w:val="lef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 xml:space="preserve">Extra-ordinary and </w:t>
            </w:r>
            <w:r w:rsidR="006A1323">
              <w:rPr>
                <w:rFonts w:ascii="Arial Narrow" w:hAnsi="Arial Narrow"/>
                <w:color w:val="000000" w:themeColor="text1"/>
                <w:sz w:val="16"/>
                <w:szCs w:val="16"/>
                <w:lang w:val="en-PH" w:eastAsia="en-PH"/>
              </w:rPr>
              <w:t>m</w:t>
            </w:r>
            <w:r w:rsidRPr="009E35ED">
              <w:rPr>
                <w:rFonts w:ascii="Arial Narrow" w:hAnsi="Arial Narrow"/>
                <w:color w:val="000000" w:themeColor="text1"/>
                <w:sz w:val="16"/>
                <w:szCs w:val="16"/>
                <w:lang w:val="en-PH" w:eastAsia="en-PH"/>
              </w:rPr>
              <w:t xml:space="preserve">iscellaneous </w:t>
            </w:r>
            <w:r w:rsidR="006A1323">
              <w:rPr>
                <w:rFonts w:ascii="Arial Narrow" w:hAnsi="Arial Narrow"/>
                <w:color w:val="000000" w:themeColor="text1"/>
                <w:sz w:val="16"/>
                <w:szCs w:val="16"/>
                <w:lang w:val="en-PH" w:eastAsia="en-PH"/>
              </w:rPr>
              <w:t>e</w:t>
            </w:r>
            <w:r w:rsidRPr="009E35ED">
              <w:rPr>
                <w:rFonts w:ascii="Arial Narrow" w:hAnsi="Arial Narrow"/>
                <w:color w:val="000000" w:themeColor="text1"/>
                <w:sz w:val="16"/>
                <w:szCs w:val="16"/>
                <w:lang w:val="en-PH" w:eastAsia="en-PH"/>
              </w:rPr>
              <w:t>xpenses</w:t>
            </w:r>
          </w:p>
        </w:tc>
        <w:tc>
          <w:tcPr>
            <w:tcW w:w="1070" w:type="dxa"/>
            <w:shd w:val="clear" w:color="auto" w:fill="auto"/>
            <w:noWrap/>
            <w:vAlign w:val="center"/>
            <w:hideMark/>
          </w:tcPr>
          <w:p w14:paraId="6E35CD6D" w14:textId="1BF80B0D" w:rsidR="003F0B61" w:rsidRPr="009E35ED" w:rsidRDefault="001C613D" w:rsidP="00E1724A">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3,461,280</w:t>
            </w:r>
          </w:p>
        </w:tc>
        <w:tc>
          <w:tcPr>
            <w:tcW w:w="1241" w:type="dxa"/>
            <w:shd w:val="clear" w:color="auto" w:fill="auto"/>
            <w:noWrap/>
            <w:vAlign w:val="center"/>
            <w:hideMark/>
          </w:tcPr>
          <w:p w14:paraId="2116B5DA" w14:textId="77777777" w:rsidR="003F0B61" w:rsidRPr="009E35ED" w:rsidRDefault="003F0B61" w:rsidP="00E1724A">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041" w:type="dxa"/>
            <w:shd w:val="clear" w:color="auto" w:fill="auto"/>
            <w:noWrap/>
            <w:vAlign w:val="center"/>
            <w:hideMark/>
          </w:tcPr>
          <w:p w14:paraId="7F4B2B5B" w14:textId="77777777" w:rsidR="003F0B61" w:rsidRPr="009E35ED" w:rsidRDefault="003F0B61" w:rsidP="00E1724A">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839" w:type="dxa"/>
            <w:shd w:val="clear" w:color="auto" w:fill="auto"/>
            <w:noWrap/>
            <w:vAlign w:val="center"/>
            <w:hideMark/>
          </w:tcPr>
          <w:p w14:paraId="01CB46FC" w14:textId="7CAB55BF" w:rsidR="003F0B61" w:rsidRPr="009E35ED" w:rsidRDefault="001C613D" w:rsidP="00E1724A">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3,461,280</w:t>
            </w:r>
          </w:p>
        </w:tc>
      </w:tr>
      <w:tr w:rsidR="00997F75" w:rsidRPr="009E35ED" w14:paraId="7E177603" w14:textId="77777777" w:rsidTr="00860ED6">
        <w:trPr>
          <w:trHeight w:val="56"/>
        </w:trPr>
        <w:tc>
          <w:tcPr>
            <w:tcW w:w="3643" w:type="dxa"/>
            <w:gridSpan w:val="4"/>
            <w:shd w:val="clear" w:color="auto" w:fill="auto"/>
            <w:noWrap/>
            <w:vAlign w:val="center"/>
            <w:hideMark/>
          </w:tcPr>
          <w:p w14:paraId="30ADD956" w14:textId="476B30F2" w:rsidR="003F0B61" w:rsidRPr="009E35ED" w:rsidRDefault="003F0B61" w:rsidP="003F0B61">
            <w:pPr>
              <w:ind w:left="0"/>
              <w:jc w:val="lef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 xml:space="preserve">Confidential </w:t>
            </w:r>
            <w:r w:rsidR="006A1323">
              <w:rPr>
                <w:rFonts w:ascii="Arial Narrow" w:hAnsi="Arial Narrow"/>
                <w:color w:val="000000" w:themeColor="text1"/>
                <w:sz w:val="16"/>
                <w:szCs w:val="16"/>
                <w:lang w:val="en-PH" w:eastAsia="en-PH"/>
              </w:rPr>
              <w:t>e</w:t>
            </w:r>
            <w:r w:rsidRPr="009E35ED">
              <w:rPr>
                <w:rFonts w:ascii="Arial Narrow" w:hAnsi="Arial Narrow"/>
                <w:color w:val="000000" w:themeColor="text1"/>
                <w:sz w:val="16"/>
                <w:szCs w:val="16"/>
                <w:lang w:val="en-PH" w:eastAsia="en-PH"/>
              </w:rPr>
              <w:t>xpenses</w:t>
            </w:r>
          </w:p>
        </w:tc>
        <w:tc>
          <w:tcPr>
            <w:tcW w:w="1070" w:type="dxa"/>
            <w:shd w:val="clear" w:color="auto" w:fill="auto"/>
            <w:noWrap/>
            <w:vAlign w:val="center"/>
            <w:hideMark/>
          </w:tcPr>
          <w:p w14:paraId="1877868C" w14:textId="637971E3" w:rsidR="003F0B61" w:rsidRPr="009E35ED" w:rsidRDefault="003F0B61" w:rsidP="00E1724A">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 xml:space="preserve">50,000,000 </w:t>
            </w:r>
          </w:p>
        </w:tc>
        <w:tc>
          <w:tcPr>
            <w:tcW w:w="1241" w:type="dxa"/>
            <w:shd w:val="clear" w:color="auto" w:fill="auto"/>
            <w:noWrap/>
            <w:vAlign w:val="center"/>
            <w:hideMark/>
          </w:tcPr>
          <w:p w14:paraId="3C715538" w14:textId="77777777" w:rsidR="003F0B61" w:rsidRPr="009E35ED" w:rsidRDefault="003F0B61" w:rsidP="00E1724A">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041" w:type="dxa"/>
            <w:shd w:val="clear" w:color="auto" w:fill="auto"/>
            <w:noWrap/>
            <w:vAlign w:val="center"/>
            <w:hideMark/>
          </w:tcPr>
          <w:p w14:paraId="62DF0D33" w14:textId="77777777" w:rsidR="003F0B61" w:rsidRPr="009E35ED" w:rsidRDefault="003F0B61" w:rsidP="00E1724A">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839" w:type="dxa"/>
            <w:shd w:val="clear" w:color="auto" w:fill="auto"/>
            <w:noWrap/>
            <w:vAlign w:val="center"/>
            <w:hideMark/>
          </w:tcPr>
          <w:p w14:paraId="220A3EC9" w14:textId="73BB8889" w:rsidR="003F0B61" w:rsidRPr="009E35ED" w:rsidRDefault="003F0B61" w:rsidP="00E1724A">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 xml:space="preserve">50,000,000 </w:t>
            </w:r>
          </w:p>
        </w:tc>
      </w:tr>
      <w:tr w:rsidR="00997F75" w:rsidRPr="009E35ED" w14:paraId="0FECB083" w14:textId="77777777" w:rsidTr="00860ED6">
        <w:trPr>
          <w:trHeight w:val="56"/>
        </w:trPr>
        <w:tc>
          <w:tcPr>
            <w:tcW w:w="3643" w:type="dxa"/>
            <w:gridSpan w:val="4"/>
            <w:shd w:val="clear" w:color="auto" w:fill="auto"/>
            <w:noWrap/>
            <w:vAlign w:val="center"/>
            <w:hideMark/>
          </w:tcPr>
          <w:p w14:paraId="65175EDA" w14:textId="76418788" w:rsidR="003F0B61" w:rsidRPr="009E35ED" w:rsidRDefault="003F0B61" w:rsidP="003F0B61">
            <w:pPr>
              <w:ind w:left="0"/>
              <w:jc w:val="lef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 xml:space="preserve">Professional </w:t>
            </w:r>
            <w:r w:rsidR="006A1323">
              <w:rPr>
                <w:rFonts w:ascii="Arial Narrow" w:hAnsi="Arial Narrow"/>
                <w:color w:val="000000" w:themeColor="text1"/>
                <w:sz w:val="16"/>
                <w:szCs w:val="16"/>
                <w:lang w:val="en-PH" w:eastAsia="en-PH"/>
              </w:rPr>
              <w:t>s</w:t>
            </w:r>
            <w:r w:rsidRPr="009E35ED">
              <w:rPr>
                <w:rFonts w:ascii="Arial Narrow" w:hAnsi="Arial Narrow"/>
                <w:color w:val="000000" w:themeColor="text1"/>
                <w:sz w:val="16"/>
                <w:szCs w:val="16"/>
                <w:lang w:val="en-PH" w:eastAsia="en-PH"/>
              </w:rPr>
              <w:t>ervices</w:t>
            </w:r>
          </w:p>
        </w:tc>
        <w:tc>
          <w:tcPr>
            <w:tcW w:w="1070" w:type="dxa"/>
            <w:shd w:val="clear" w:color="auto" w:fill="auto"/>
            <w:noWrap/>
            <w:vAlign w:val="center"/>
            <w:hideMark/>
          </w:tcPr>
          <w:p w14:paraId="4C9EC482" w14:textId="54A1AFD2" w:rsidR="003F0B61" w:rsidRPr="009E35ED" w:rsidRDefault="003F0B61" w:rsidP="00E1724A">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 xml:space="preserve">122,439,172 </w:t>
            </w:r>
          </w:p>
        </w:tc>
        <w:tc>
          <w:tcPr>
            <w:tcW w:w="1241" w:type="dxa"/>
            <w:shd w:val="clear" w:color="auto" w:fill="auto"/>
            <w:noWrap/>
            <w:vAlign w:val="center"/>
            <w:hideMark/>
          </w:tcPr>
          <w:p w14:paraId="01E59DFA" w14:textId="77777777" w:rsidR="003F0B61" w:rsidRPr="009E35ED" w:rsidRDefault="003F0B61" w:rsidP="00E1724A">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041" w:type="dxa"/>
            <w:shd w:val="clear" w:color="auto" w:fill="auto"/>
            <w:noWrap/>
            <w:vAlign w:val="center"/>
            <w:hideMark/>
          </w:tcPr>
          <w:p w14:paraId="60EA1EC4" w14:textId="77777777" w:rsidR="003F0B61" w:rsidRPr="009E35ED" w:rsidRDefault="003F0B61" w:rsidP="00E1724A">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839" w:type="dxa"/>
            <w:shd w:val="clear" w:color="auto" w:fill="auto"/>
            <w:noWrap/>
            <w:vAlign w:val="center"/>
            <w:hideMark/>
          </w:tcPr>
          <w:p w14:paraId="10AB1FB9" w14:textId="696C27BC" w:rsidR="003F0B61" w:rsidRPr="009E35ED" w:rsidRDefault="003F0B61" w:rsidP="00E1724A">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 xml:space="preserve">122,439,172 </w:t>
            </w:r>
          </w:p>
        </w:tc>
      </w:tr>
      <w:tr w:rsidR="00997F75" w:rsidRPr="009E35ED" w14:paraId="0C7DA20A" w14:textId="77777777" w:rsidTr="00860ED6">
        <w:trPr>
          <w:trHeight w:val="56"/>
        </w:trPr>
        <w:tc>
          <w:tcPr>
            <w:tcW w:w="3643" w:type="dxa"/>
            <w:gridSpan w:val="4"/>
            <w:shd w:val="clear" w:color="auto" w:fill="auto"/>
            <w:noWrap/>
            <w:vAlign w:val="center"/>
            <w:hideMark/>
          </w:tcPr>
          <w:p w14:paraId="063C3CD4" w14:textId="4AF96185" w:rsidR="003F0B61" w:rsidRPr="009E35ED" w:rsidRDefault="003F0B61" w:rsidP="003F0B61">
            <w:pPr>
              <w:ind w:left="0"/>
              <w:jc w:val="lef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 xml:space="preserve">General </w:t>
            </w:r>
            <w:r w:rsidR="006A1323">
              <w:rPr>
                <w:rFonts w:ascii="Arial Narrow" w:hAnsi="Arial Narrow"/>
                <w:color w:val="000000" w:themeColor="text1"/>
                <w:sz w:val="16"/>
                <w:szCs w:val="16"/>
                <w:lang w:val="en-PH" w:eastAsia="en-PH"/>
              </w:rPr>
              <w:t>s</w:t>
            </w:r>
            <w:r w:rsidRPr="009E35ED">
              <w:rPr>
                <w:rFonts w:ascii="Arial Narrow" w:hAnsi="Arial Narrow"/>
                <w:color w:val="000000" w:themeColor="text1"/>
                <w:sz w:val="16"/>
                <w:szCs w:val="16"/>
                <w:lang w:val="en-PH" w:eastAsia="en-PH"/>
              </w:rPr>
              <w:t>ervices</w:t>
            </w:r>
          </w:p>
        </w:tc>
        <w:tc>
          <w:tcPr>
            <w:tcW w:w="1070" w:type="dxa"/>
            <w:shd w:val="clear" w:color="auto" w:fill="auto"/>
            <w:noWrap/>
            <w:vAlign w:val="center"/>
            <w:hideMark/>
          </w:tcPr>
          <w:p w14:paraId="4FF63D13" w14:textId="78EA4D08" w:rsidR="003F0B61" w:rsidRPr="009E35ED" w:rsidRDefault="003F0B61" w:rsidP="00E1724A">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 xml:space="preserve">86,430,319 </w:t>
            </w:r>
          </w:p>
        </w:tc>
        <w:tc>
          <w:tcPr>
            <w:tcW w:w="1241" w:type="dxa"/>
            <w:shd w:val="clear" w:color="auto" w:fill="auto"/>
            <w:noWrap/>
            <w:vAlign w:val="center"/>
            <w:hideMark/>
          </w:tcPr>
          <w:p w14:paraId="3491D440" w14:textId="77777777" w:rsidR="003F0B61" w:rsidRPr="009E35ED" w:rsidRDefault="003F0B61" w:rsidP="00E1724A">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041" w:type="dxa"/>
            <w:shd w:val="clear" w:color="auto" w:fill="auto"/>
            <w:noWrap/>
            <w:vAlign w:val="center"/>
            <w:hideMark/>
          </w:tcPr>
          <w:p w14:paraId="598866A0" w14:textId="77777777" w:rsidR="003F0B61" w:rsidRPr="009E35ED" w:rsidRDefault="003F0B61" w:rsidP="00E1724A">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839" w:type="dxa"/>
            <w:shd w:val="clear" w:color="auto" w:fill="auto"/>
            <w:noWrap/>
            <w:vAlign w:val="center"/>
            <w:hideMark/>
          </w:tcPr>
          <w:p w14:paraId="60D5FDFC" w14:textId="4EB46F1B" w:rsidR="003F0B61" w:rsidRPr="009E35ED" w:rsidRDefault="003F0B61" w:rsidP="00E1724A">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 xml:space="preserve">86,430,319 </w:t>
            </w:r>
          </w:p>
        </w:tc>
      </w:tr>
      <w:tr w:rsidR="00997F75" w:rsidRPr="009E35ED" w14:paraId="6DE3FACC" w14:textId="77777777" w:rsidTr="00860ED6">
        <w:trPr>
          <w:trHeight w:val="56"/>
        </w:trPr>
        <w:tc>
          <w:tcPr>
            <w:tcW w:w="3643" w:type="dxa"/>
            <w:gridSpan w:val="4"/>
            <w:shd w:val="clear" w:color="auto" w:fill="auto"/>
            <w:noWrap/>
            <w:vAlign w:val="center"/>
            <w:hideMark/>
          </w:tcPr>
          <w:p w14:paraId="4ABE05EA" w14:textId="5C1F018F" w:rsidR="003F0B61" w:rsidRPr="009E35ED" w:rsidRDefault="003F0B61" w:rsidP="003F0B61">
            <w:pPr>
              <w:ind w:left="0"/>
              <w:jc w:val="lef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 xml:space="preserve">Repairs and </w:t>
            </w:r>
            <w:r w:rsidR="006A1323">
              <w:rPr>
                <w:rFonts w:ascii="Arial Narrow" w:hAnsi="Arial Narrow"/>
                <w:color w:val="000000" w:themeColor="text1"/>
                <w:sz w:val="16"/>
                <w:szCs w:val="16"/>
                <w:lang w:val="en-PH" w:eastAsia="en-PH"/>
              </w:rPr>
              <w:t>m</w:t>
            </w:r>
            <w:r w:rsidRPr="009E35ED">
              <w:rPr>
                <w:rFonts w:ascii="Arial Narrow" w:hAnsi="Arial Narrow"/>
                <w:color w:val="000000" w:themeColor="text1"/>
                <w:sz w:val="16"/>
                <w:szCs w:val="16"/>
                <w:lang w:val="en-PH" w:eastAsia="en-PH"/>
              </w:rPr>
              <w:t>aintenance</w:t>
            </w:r>
          </w:p>
        </w:tc>
        <w:tc>
          <w:tcPr>
            <w:tcW w:w="1070" w:type="dxa"/>
            <w:shd w:val="clear" w:color="auto" w:fill="auto"/>
            <w:noWrap/>
            <w:vAlign w:val="center"/>
            <w:hideMark/>
          </w:tcPr>
          <w:p w14:paraId="76F5C942" w14:textId="6E21F9CF" w:rsidR="003F0B61" w:rsidRPr="009E35ED" w:rsidRDefault="00884C9E" w:rsidP="00E1724A">
            <w:pPr>
              <w:ind w:left="0"/>
              <w:jc w:val="right"/>
              <w:rPr>
                <w:rFonts w:ascii="Arial Narrow" w:hAnsi="Arial Narrow"/>
                <w:color w:val="000000" w:themeColor="text1"/>
                <w:sz w:val="16"/>
                <w:szCs w:val="16"/>
                <w:lang w:val="en-PH" w:eastAsia="en-PH"/>
              </w:rPr>
            </w:pPr>
            <w:r w:rsidRPr="009E35ED">
              <w:rPr>
                <w:rFonts w:ascii="Arial Narrow" w:hAnsi="Arial Narrow" w:cs="Arial"/>
                <w:color w:val="000000" w:themeColor="text1"/>
                <w:sz w:val="16"/>
                <w:szCs w:val="16"/>
              </w:rPr>
              <w:t>7,218,157</w:t>
            </w:r>
            <w:r w:rsidR="003F0B61" w:rsidRPr="009E35ED">
              <w:rPr>
                <w:rFonts w:ascii="Arial Narrow" w:hAnsi="Arial Narrow" w:cs="Arial"/>
                <w:color w:val="000000" w:themeColor="text1"/>
                <w:sz w:val="16"/>
                <w:szCs w:val="16"/>
              </w:rPr>
              <w:t xml:space="preserve"> </w:t>
            </w:r>
          </w:p>
        </w:tc>
        <w:tc>
          <w:tcPr>
            <w:tcW w:w="1241" w:type="dxa"/>
            <w:shd w:val="clear" w:color="auto" w:fill="auto"/>
            <w:noWrap/>
            <w:vAlign w:val="center"/>
            <w:hideMark/>
          </w:tcPr>
          <w:p w14:paraId="4E36CE5B" w14:textId="77777777" w:rsidR="003F0B61" w:rsidRPr="009E35ED" w:rsidRDefault="003F0B61" w:rsidP="00E1724A">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041" w:type="dxa"/>
            <w:shd w:val="clear" w:color="auto" w:fill="auto"/>
            <w:noWrap/>
            <w:vAlign w:val="center"/>
            <w:hideMark/>
          </w:tcPr>
          <w:p w14:paraId="279749C2" w14:textId="77777777" w:rsidR="003F0B61" w:rsidRPr="009E35ED" w:rsidRDefault="003F0B61" w:rsidP="00E1724A">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839" w:type="dxa"/>
            <w:shd w:val="clear" w:color="auto" w:fill="auto"/>
            <w:noWrap/>
            <w:vAlign w:val="center"/>
            <w:hideMark/>
          </w:tcPr>
          <w:p w14:paraId="71F56300" w14:textId="442BF6AD" w:rsidR="003F0B61" w:rsidRPr="009E35ED" w:rsidRDefault="00884C9E" w:rsidP="00E1724A">
            <w:pPr>
              <w:ind w:left="0"/>
              <w:jc w:val="right"/>
              <w:rPr>
                <w:rFonts w:ascii="Arial Narrow" w:hAnsi="Arial Narrow"/>
                <w:color w:val="000000" w:themeColor="text1"/>
                <w:sz w:val="16"/>
                <w:szCs w:val="16"/>
                <w:lang w:val="en-PH" w:eastAsia="en-PH"/>
              </w:rPr>
            </w:pPr>
            <w:r w:rsidRPr="009E35ED">
              <w:rPr>
                <w:rFonts w:ascii="Arial Narrow" w:hAnsi="Arial Narrow" w:cs="Arial"/>
                <w:color w:val="000000" w:themeColor="text1"/>
                <w:sz w:val="16"/>
                <w:szCs w:val="16"/>
              </w:rPr>
              <w:t>7,218,157</w:t>
            </w:r>
          </w:p>
        </w:tc>
      </w:tr>
      <w:tr w:rsidR="00997F75" w:rsidRPr="009E35ED" w14:paraId="60DF8E03" w14:textId="77777777" w:rsidTr="00860ED6">
        <w:trPr>
          <w:trHeight w:val="56"/>
        </w:trPr>
        <w:tc>
          <w:tcPr>
            <w:tcW w:w="3643" w:type="dxa"/>
            <w:gridSpan w:val="4"/>
            <w:shd w:val="clear" w:color="auto" w:fill="auto"/>
            <w:noWrap/>
            <w:vAlign w:val="center"/>
            <w:hideMark/>
          </w:tcPr>
          <w:p w14:paraId="5E19516E" w14:textId="04A24688" w:rsidR="003F0B61" w:rsidRPr="009E35ED" w:rsidRDefault="003F0B61" w:rsidP="003F0B61">
            <w:pPr>
              <w:ind w:left="0"/>
              <w:jc w:val="lef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 xml:space="preserve">Taxes, </w:t>
            </w:r>
            <w:r w:rsidR="006A1323">
              <w:rPr>
                <w:rFonts w:ascii="Arial Narrow" w:hAnsi="Arial Narrow"/>
                <w:color w:val="000000" w:themeColor="text1"/>
                <w:sz w:val="16"/>
                <w:szCs w:val="16"/>
                <w:lang w:val="en-PH" w:eastAsia="en-PH"/>
              </w:rPr>
              <w:t>d</w:t>
            </w:r>
            <w:r w:rsidRPr="009E35ED">
              <w:rPr>
                <w:rFonts w:ascii="Arial Narrow" w:hAnsi="Arial Narrow"/>
                <w:color w:val="000000" w:themeColor="text1"/>
                <w:sz w:val="16"/>
                <w:szCs w:val="16"/>
                <w:lang w:val="en-PH" w:eastAsia="en-PH"/>
              </w:rPr>
              <w:t xml:space="preserve">uties and </w:t>
            </w:r>
            <w:r w:rsidR="006A1323">
              <w:rPr>
                <w:rFonts w:ascii="Arial Narrow" w:hAnsi="Arial Narrow"/>
                <w:color w:val="000000" w:themeColor="text1"/>
                <w:sz w:val="16"/>
                <w:szCs w:val="16"/>
                <w:lang w:val="en-PH" w:eastAsia="en-PH"/>
              </w:rPr>
              <w:t>l</w:t>
            </w:r>
            <w:r w:rsidRPr="009E35ED">
              <w:rPr>
                <w:rFonts w:ascii="Arial Narrow" w:hAnsi="Arial Narrow"/>
                <w:color w:val="000000" w:themeColor="text1"/>
                <w:sz w:val="16"/>
                <w:szCs w:val="16"/>
                <w:lang w:val="en-PH" w:eastAsia="en-PH"/>
              </w:rPr>
              <w:t>icenses</w:t>
            </w:r>
          </w:p>
        </w:tc>
        <w:tc>
          <w:tcPr>
            <w:tcW w:w="1070" w:type="dxa"/>
            <w:shd w:val="clear" w:color="auto" w:fill="auto"/>
            <w:noWrap/>
            <w:vAlign w:val="center"/>
            <w:hideMark/>
          </w:tcPr>
          <w:p w14:paraId="0C55C367" w14:textId="30687D6E" w:rsidR="003F0B61" w:rsidRPr="009E35ED" w:rsidRDefault="003F0B61" w:rsidP="00E1724A">
            <w:pPr>
              <w:ind w:left="0"/>
              <w:jc w:val="right"/>
              <w:rPr>
                <w:rFonts w:ascii="Arial Narrow" w:hAnsi="Arial Narrow"/>
                <w:color w:val="000000" w:themeColor="text1"/>
                <w:sz w:val="16"/>
                <w:szCs w:val="16"/>
                <w:lang w:val="en-PH" w:eastAsia="en-PH"/>
              </w:rPr>
            </w:pPr>
            <w:r w:rsidRPr="009E35ED">
              <w:rPr>
                <w:rFonts w:ascii="Arial Narrow" w:hAnsi="Arial Narrow" w:cs="Arial"/>
                <w:color w:val="000000" w:themeColor="text1"/>
                <w:sz w:val="16"/>
                <w:szCs w:val="16"/>
              </w:rPr>
              <w:t xml:space="preserve">199,130,134 </w:t>
            </w:r>
          </w:p>
        </w:tc>
        <w:tc>
          <w:tcPr>
            <w:tcW w:w="1241" w:type="dxa"/>
            <w:shd w:val="clear" w:color="auto" w:fill="auto"/>
            <w:noWrap/>
            <w:vAlign w:val="center"/>
            <w:hideMark/>
          </w:tcPr>
          <w:p w14:paraId="5136031C" w14:textId="68D70591" w:rsidR="003F0B61" w:rsidRPr="009E35ED" w:rsidRDefault="003F0B61" w:rsidP="00E1724A">
            <w:pPr>
              <w:ind w:left="0"/>
              <w:jc w:val="right"/>
              <w:rPr>
                <w:rFonts w:ascii="Arial Narrow" w:hAnsi="Arial Narrow"/>
                <w:color w:val="000000" w:themeColor="text1"/>
                <w:sz w:val="16"/>
                <w:szCs w:val="16"/>
                <w:lang w:val="en-PH" w:eastAsia="en-PH"/>
              </w:rPr>
            </w:pPr>
            <w:r w:rsidRPr="009E35ED">
              <w:rPr>
                <w:rFonts w:ascii="Arial Narrow" w:hAnsi="Arial Narrow" w:cs="Arial"/>
                <w:color w:val="000000" w:themeColor="text1"/>
                <w:sz w:val="16"/>
                <w:szCs w:val="16"/>
              </w:rPr>
              <w:t xml:space="preserve">35,789,721 </w:t>
            </w:r>
          </w:p>
        </w:tc>
        <w:tc>
          <w:tcPr>
            <w:tcW w:w="1041" w:type="dxa"/>
            <w:shd w:val="clear" w:color="auto" w:fill="auto"/>
            <w:noWrap/>
            <w:vAlign w:val="center"/>
            <w:hideMark/>
          </w:tcPr>
          <w:p w14:paraId="202227F5" w14:textId="0B7DD12D" w:rsidR="003F0B61" w:rsidRPr="009E35ED" w:rsidRDefault="003F0B61" w:rsidP="00E1724A">
            <w:pPr>
              <w:ind w:left="0"/>
              <w:jc w:val="right"/>
              <w:rPr>
                <w:rFonts w:ascii="Arial Narrow" w:hAnsi="Arial Narrow"/>
                <w:color w:val="000000" w:themeColor="text1"/>
                <w:sz w:val="16"/>
                <w:szCs w:val="16"/>
                <w:lang w:val="en-PH" w:eastAsia="en-PH"/>
              </w:rPr>
            </w:pPr>
            <w:r w:rsidRPr="009E35ED">
              <w:rPr>
                <w:rFonts w:ascii="Arial Narrow" w:hAnsi="Arial Narrow" w:cs="Arial"/>
                <w:color w:val="000000" w:themeColor="text1"/>
                <w:sz w:val="16"/>
                <w:szCs w:val="16"/>
              </w:rPr>
              <w:t xml:space="preserve">677,796 </w:t>
            </w:r>
          </w:p>
        </w:tc>
        <w:tc>
          <w:tcPr>
            <w:tcW w:w="1839" w:type="dxa"/>
            <w:shd w:val="clear" w:color="auto" w:fill="auto"/>
            <w:noWrap/>
            <w:vAlign w:val="center"/>
            <w:hideMark/>
          </w:tcPr>
          <w:p w14:paraId="5963B33A" w14:textId="5EAC95AE" w:rsidR="003F0B61" w:rsidRPr="009E35ED" w:rsidRDefault="003F0B61" w:rsidP="00884C9E">
            <w:pPr>
              <w:ind w:left="0"/>
              <w:jc w:val="right"/>
              <w:rPr>
                <w:rFonts w:ascii="Arial Narrow" w:hAnsi="Arial Narrow"/>
                <w:color w:val="000000" w:themeColor="text1"/>
                <w:sz w:val="16"/>
                <w:szCs w:val="16"/>
                <w:lang w:val="en-PH" w:eastAsia="en-PH"/>
              </w:rPr>
            </w:pPr>
            <w:r w:rsidRPr="009E35ED">
              <w:rPr>
                <w:rFonts w:ascii="Arial Narrow" w:hAnsi="Arial Narrow" w:cs="Arial"/>
                <w:color w:val="000000" w:themeColor="text1"/>
                <w:sz w:val="16"/>
                <w:szCs w:val="16"/>
              </w:rPr>
              <w:t>235,597,65</w:t>
            </w:r>
            <w:r w:rsidR="00884C9E" w:rsidRPr="009E35ED">
              <w:rPr>
                <w:rFonts w:ascii="Arial Narrow" w:hAnsi="Arial Narrow" w:cs="Arial"/>
                <w:color w:val="000000" w:themeColor="text1"/>
                <w:sz w:val="16"/>
                <w:szCs w:val="16"/>
              </w:rPr>
              <w:t>1</w:t>
            </w:r>
            <w:r w:rsidRPr="009E35ED">
              <w:rPr>
                <w:rFonts w:ascii="Arial Narrow" w:hAnsi="Arial Narrow" w:cs="Arial"/>
                <w:color w:val="000000" w:themeColor="text1"/>
                <w:sz w:val="16"/>
                <w:szCs w:val="16"/>
              </w:rPr>
              <w:t xml:space="preserve"> </w:t>
            </w:r>
          </w:p>
        </w:tc>
      </w:tr>
      <w:tr w:rsidR="00997F75" w:rsidRPr="009E35ED" w14:paraId="339E4A10" w14:textId="77777777" w:rsidTr="00860ED6">
        <w:trPr>
          <w:trHeight w:val="81"/>
        </w:trPr>
        <w:tc>
          <w:tcPr>
            <w:tcW w:w="3643" w:type="dxa"/>
            <w:gridSpan w:val="4"/>
            <w:shd w:val="clear" w:color="auto" w:fill="auto"/>
            <w:noWrap/>
            <w:vAlign w:val="center"/>
            <w:hideMark/>
          </w:tcPr>
          <w:p w14:paraId="7B57F00A" w14:textId="0B923AA5" w:rsidR="003F0B61" w:rsidRPr="009E35ED" w:rsidRDefault="003F0B61" w:rsidP="003F0B61">
            <w:pPr>
              <w:ind w:left="0"/>
              <w:jc w:val="lef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 xml:space="preserve">Fidelity </w:t>
            </w:r>
            <w:r w:rsidR="006A1323">
              <w:rPr>
                <w:rFonts w:ascii="Arial Narrow" w:hAnsi="Arial Narrow"/>
                <w:color w:val="000000" w:themeColor="text1"/>
                <w:sz w:val="16"/>
                <w:szCs w:val="16"/>
                <w:lang w:val="en-PH" w:eastAsia="en-PH"/>
              </w:rPr>
              <w:t>b</w:t>
            </w:r>
            <w:r w:rsidRPr="009E35ED">
              <w:rPr>
                <w:rFonts w:ascii="Arial Narrow" w:hAnsi="Arial Narrow"/>
                <w:color w:val="000000" w:themeColor="text1"/>
                <w:sz w:val="16"/>
                <w:szCs w:val="16"/>
                <w:lang w:val="en-PH" w:eastAsia="en-PH"/>
              </w:rPr>
              <w:t xml:space="preserve">ond </w:t>
            </w:r>
            <w:r w:rsidR="006A1323">
              <w:rPr>
                <w:rFonts w:ascii="Arial Narrow" w:hAnsi="Arial Narrow"/>
                <w:color w:val="000000" w:themeColor="text1"/>
                <w:sz w:val="16"/>
                <w:szCs w:val="16"/>
                <w:lang w:val="en-PH" w:eastAsia="en-PH"/>
              </w:rPr>
              <w:t>p</w:t>
            </w:r>
            <w:r w:rsidRPr="009E35ED">
              <w:rPr>
                <w:rFonts w:ascii="Arial Narrow" w:hAnsi="Arial Narrow"/>
                <w:color w:val="000000" w:themeColor="text1"/>
                <w:sz w:val="16"/>
                <w:szCs w:val="16"/>
                <w:lang w:val="en-PH" w:eastAsia="en-PH"/>
              </w:rPr>
              <w:t>remiums</w:t>
            </w:r>
          </w:p>
        </w:tc>
        <w:tc>
          <w:tcPr>
            <w:tcW w:w="1070" w:type="dxa"/>
            <w:shd w:val="clear" w:color="auto" w:fill="auto"/>
            <w:noWrap/>
            <w:vAlign w:val="center"/>
            <w:hideMark/>
          </w:tcPr>
          <w:p w14:paraId="77A09F7F" w14:textId="4C51FD65" w:rsidR="003F0B61" w:rsidRPr="009E35ED" w:rsidRDefault="003F0B61" w:rsidP="00E1724A">
            <w:pPr>
              <w:ind w:left="0"/>
              <w:jc w:val="right"/>
              <w:rPr>
                <w:rFonts w:ascii="Arial Narrow" w:hAnsi="Arial Narrow"/>
                <w:color w:val="000000" w:themeColor="text1"/>
                <w:sz w:val="16"/>
                <w:szCs w:val="16"/>
                <w:lang w:val="en-PH" w:eastAsia="en-PH"/>
              </w:rPr>
            </w:pPr>
            <w:r w:rsidRPr="009E35ED">
              <w:rPr>
                <w:rFonts w:ascii="Arial Narrow" w:hAnsi="Arial Narrow" w:cs="Arial"/>
                <w:color w:val="000000" w:themeColor="text1"/>
                <w:sz w:val="16"/>
                <w:szCs w:val="16"/>
              </w:rPr>
              <w:t xml:space="preserve">1,571,611 </w:t>
            </w:r>
          </w:p>
        </w:tc>
        <w:tc>
          <w:tcPr>
            <w:tcW w:w="1241" w:type="dxa"/>
            <w:shd w:val="clear" w:color="auto" w:fill="auto"/>
            <w:noWrap/>
            <w:vAlign w:val="center"/>
            <w:hideMark/>
          </w:tcPr>
          <w:p w14:paraId="6813D2AE" w14:textId="77777777" w:rsidR="003F0B61" w:rsidRPr="009E35ED" w:rsidRDefault="003F0B61" w:rsidP="00E1724A">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041" w:type="dxa"/>
            <w:shd w:val="clear" w:color="auto" w:fill="auto"/>
            <w:noWrap/>
            <w:vAlign w:val="center"/>
            <w:hideMark/>
          </w:tcPr>
          <w:p w14:paraId="5B864DAD" w14:textId="77777777" w:rsidR="003F0B61" w:rsidRPr="009E35ED" w:rsidRDefault="003F0B61" w:rsidP="00E1724A">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839" w:type="dxa"/>
            <w:shd w:val="clear" w:color="auto" w:fill="auto"/>
            <w:noWrap/>
            <w:vAlign w:val="center"/>
            <w:hideMark/>
          </w:tcPr>
          <w:p w14:paraId="4A5ED856" w14:textId="71556755" w:rsidR="003F0B61" w:rsidRPr="009E35ED" w:rsidRDefault="00CE251D" w:rsidP="00E1724A">
            <w:pPr>
              <w:ind w:left="0"/>
              <w:jc w:val="right"/>
              <w:rPr>
                <w:rFonts w:ascii="Arial Narrow" w:hAnsi="Arial Narrow"/>
                <w:color w:val="000000" w:themeColor="text1"/>
                <w:sz w:val="16"/>
                <w:szCs w:val="16"/>
                <w:lang w:val="en-PH" w:eastAsia="en-PH"/>
              </w:rPr>
            </w:pPr>
            <w:r w:rsidRPr="009E35ED">
              <w:rPr>
                <w:rFonts w:ascii="Arial Narrow" w:hAnsi="Arial Narrow" w:cs="Arial"/>
                <w:color w:val="000000" w:themeColor="text1"/>
                <w:sz w:val="16"/>
                <w:szCs w:val="16"/>
              </w:rPr>
              <w:t>1</w:t>
            </w:r>
            <w:r w:rsidR="003F0B61" w:rsidRPr="009E35ED">
              <w:rPr>
                <w:rFonts w:ascii="Arial Narrow" w:hAnsi="Arial Narrow" w:cs="Arial"/>
                <w:color w:val="000000" w:themeColor="text1"/>
                <w:sz w:val="16"/>
                <w:szCs w:val="16"/>
              </w:rPr>
              <w:t xml:space="preserve">,571,611 </w:t>
            </w:r>
          </w:p>
        </w:tc>
      </w:tr>
      <w:tr w:rsidR="00997F75" w:rsidRPr="009E35ED" w14:paraId="3002728C" w14:textId="77777777" w:rsidTr="00860ED6">
        <w:trPr>
          <w:trHeight w:val="56"/>
        </w:trPr>
        <w:tc>
          <w:tcPr>
            <w:tcW w:w="3643" w:type="dxa"/>
            <w:gridSpan w:val="4"/>
            <w:shd w:val="clear" w:color="auto" w:fill="auto"/>
            <w:noWrap/>
            <w:vAlign w:val="center"/>
            <w:hideMark/>
          </w:tcPr>
          <w:p w14:paraId="5A8C1417" w14:textId="03E08F88" w:rsidR="003F0B61" w:rsidRPr="009E35ED" w:rsidRDefault="003F0B61" w:rsidP="003F0B61">
            <w:pPr>
              <w:ind w:left="0"/>
              <w:jc w:val="lef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 xml:space="preserve">Insurance </w:t>
            </w:r>
            <w:r w:rsidR="006A1323">
              <w:rPr>
                <w:rFonts w:ascii="Arial Narrow" w:hAnsi="Arial Narrow"/>
                <w:color w:val="000000" w:themeColor="text1"/>
                <w:sz w:val="16"/>
                <w:szCs w:val="16"/>
                <w:lang w:val="en-PH" w:eastAsia="en-PH"/>
              </w:rPr>
              <w:t>e</w:t>
            </w:r>
            <w:r w:rsidRPr="009E35ED">
              <w:rPr>
                <w:rFonts w:ascii="Arial Narrow" w:hAnsi="Arial Narrow"/>
                <w:color w:val="000000" w:themeColor="text1"/>
                <w:sz w:val="16"/>
                <w:szCs w:val="16"/>
                <w:lang w:val="en-PH" w:eastAsia="en-PH"/>
              </w:rPr>
              <w:t>xpenses</w:t>
            </w:r>
          </w:p>
        </w:tc>
        <w:tc>
          <w:tcPr>
            <w:tcW w:w="1070" w:type="dxa"/>
            <w:shd w:val="clear" w:color="auto" w:fill="auto"/>
            <w:noWrap/>
            <w:vAlign w:val="center"/>
            <w:hideMark/>
          </w:tcPr>
          <w:p w14:paraId="4AEB8CBF" w14:textId="0B06F54F" w:rsidR="003F0B61" w:rsidRPr="009E35ED" w:rsidRDefault="003F0B61" w:rsidP="00E1724A">
            <w:pPr>
              <w:ind w:left="0"/>
              <w:jc w:val="right"/>
              <w:rPr>
                <w:rFonts w:ascii="Arial Narrow" w:hAnsi="Arial Narrow"/>
                <w:color w:val="000000" w:themeColor="text1"/>
                <w:sz w:val="16"/>
                <w:szCs w:val="16"/>
                <w:lang w:val="en-PH" w:eastAsia="en-PH"/>
              </w:rPr>
            </w:pPr>
            <w:r w:rsidRPr="009E35ED">
              <w:rPr>
                <w:rFonts w:ascii="Arial Narrow" w:hAnsi="Arial Narrow" w:cs="Arial"/>
                <w:color w:val="000000" w:themeColor="text1"/>
                <w:sz w:val="16"/>
                <w:szCs w:val="16"/>
              </w:rPr>
              <w:t xml:space="preserve">16,406,480 </w:t>
            </w:r>
          </w:p>
        </w:tc>
        <w:tc>
          <w:tcPr>
            <w:tcW w:w="1241" w:type="dxa"/>
            <w:shd w:val="clear" w:color="auto" w:fill="auto"/>
            <w:noWrap/>
            <w:vAlign w:val="center"/>
            <w:hideMark/>
          </w:tcPr>
          <w:p w14:paraId="498365C9" w14:textId="77777777" w:rsidR="003F0B61" w:rsidRPr="009E35ED" w:rsidRDefault="003F0B61" w:rsidP="00E1724A">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041" w:type="dxa"/>
            <w:shd w:val="clear" w:color="auto" w:fill="auto"/>
            <w:noWrap/>
            <w:vAlign w:val="center"/>
            <w:hideMark/>
          </w:tcPr>
          <w:p w14:paraId="50E4A729" w14:textId="77777777" w:rsidR="003F0B61" w:rsidRPr="009E35ED" w:rsidRDefault="003F0B61" w:rsidP="00E1724A">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839" w:type="dxa"/>
            <w:shd w:val="clear" w:color="auto" w:fill="auto"/>
            <w:noWrap/>
            <w:vAlign w:val="center"/>
            <w:hideMark/>
          </w:tcPr>
          <w:p w14:paraId="6EEDB33F" w14:textId="22252545" w:rsidR="003F0B61" w:rsidRPr="009E35ED" w:rsidRDefault="003F0B61" w:rsidP="00E1724A">
            <w:pPr>
              <w:ind w:left="0"/>
              <w:jc w:val="right"/>
              <w:rPr>
                <w:rFonts w:ascii="Arial Narrow" w:hAnsi="Arial Narrow"/>
                <w:color w:val="000000" w:themeColor="text1"/>
                <w:sz w:val="16"/>
                <w:szCs w:val="16"/>
                <w:lang w:val="en-PH" w:eastAsia="en-PH"/>
              </w:rPr>
            </w:pPr>
            <w:r w:rsidRPr="009E35ED">
              <w:rPr>
                <w:rFonts w:ascii="Arial Narrow" w:hAnsi="Arial Narrow" w:cs="Arial"/>
                <w:color w:val="000000" w:themeColor="text1"/>
                <w:sz w:val="16"/>
                <w:szCs w:val="16"/>
              </w:rPr>
              <w:t xml:space="preserve">16,406,480 </w:t>
            </w:r>
          </w:p>
        </w:tc>
      </w:tr>
      <w:tr w:rsidR="00997F75" w:rsidRPr="009E35ED" w14:paraId="2DBDCE25" w14:textId="77777777" w:rsidTr="00860ED6">
        <w:trPr>
          <w:trHeight w:val="129"/>
        </w:trPr>
        <w:tc>
          <w:tcPr>
            <w:tcW w:w="3643" w:type="dxa"/>
            <w:gridSpan w:val="4"/>
            <w:shd w:val="clear" w:color="auto" w:fill="auto"/>
            <w:noWrap/>
            <w:vAlign w:val="center"/>
            <w:hideMark/>
          </w:tcPr>
          <w:p w14:paraId="103FE424" w14:textId="1B63AC4A" w:rsidR="008D58F8" w:rsidRPr="009E35ED" w:rsidRDefault="008D58F8" w:rsidP="008D58F8">
            <w:pPr>
              <w:ind w:left="0"/>
              <w:jc w:val="lef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 xml:space="preserve">Other </w:t>
            </w:r>
            <w:r w:rsidR="006A1323">
              <w:rPr>
                <w:rFonts w:ascii="Arial Narrow" w:hAnsi="Arial Narrow"/>
                <w:color w:val="000000" w:themeColor="text1"/>
                <w:sz w:val="16"/>
                <w:szCs w:val="16"/>
                <w:lang w:val="en-PH" w:eastAsia="en-PH"/>
              </w:rPr>
              <w:t>m</w:t>
            </w:r>
            <w:r w:rsidRPr="009E35ED">
              <w:rPr>
                <w:rFonts w:ascii="Arial Narrow" w:hAnsi="Arial Narrow"/>
                <w:color w:val="000000" w:themeColor="text1"/>
                <w:sz w:val="16"/>
                <w:szCs w:val="16"/>
                <w:lang w:val="en-PH" w:eastAsia="en-PH"/>
              </w:rPr>
              <w:t xml:space="preserve">aintenance and </w:t>
            </w:r>
            <w:r w:rsidR="006A1323">
              <w:rPr>
                <w:rFonts w:ascii="Arial Narrow" w:hAnsi="Arial Narrow"/>
                <w:color w:val="000000" w:themeColor="text1"/>
                <w:sz w:val="16"/>
                <w:szCs w:val="16"/>
                <w:lang w:val="en-PH" w:eastAsia="en-PH"/>
              </w:rPr>
              <w:t>o</w:t>
            </w:r>
            <w:r w:rsidRPr="009E35ED">
              <w:rPr>
                <w:rFonts w:ascii="Arial Narrow" w:hAnsi="Arial Narrow"/>
                <w:color w:val="000000" w:themeColor="text1"/>
                <w:sz w:val="16"/>
                <w:szCs w:val="16"/>
                <w:lang w:val="en-PH" w:eastAsia="en-PH"/>
              </w:rPr>
              <w:t xml:space="preserve">perating </w:t>
            </w:r>
            <w:r w:rsidR="006A1323">
              <w:rPr>
                <w:rFonts w:ascii="Arial Narrow" w:hAnsi="Arial Narrow"/>
                <w:color w:val="000000" w:themeColor="text1"/>
                <w:sz w:val="16"/>
                <w:szCs w:val="16"/>
                <w:lang w:val="en-PH" w:eastAsia="en-PH"/>
              </w:rPr>
              <w:t>e</w:t>
            </w:r>
            <w:r w:rsidRPr="009E35ED">
              <w:rPr>
                <w:rFonts w:ascii="Arial Narrow" w:hAnsi="Arial Narrow"/>
                <w:color w:val="000000" w:themeColor="text1"/>
                <w:sz w:val="16"/>
                <w:szCs w:val="16"/>
                <w:lang w:val="en-PH" w:eastAsia="en-PH"/>
              </w:rPr>
              <w:t>xpenses</w:t>
            </w:r>
          </w:p>
        </w:tc>
        <w:tc>
          <w:tcPr>
            <w:tcW w:w="1070" w:type="dxa"/>
            <w:vAlign w:val="center"/>
            <w:hideMark/>
          </w:tcPr>
          <w:p w14:paraId="7E1FF2C5" w14:textId="77777777" w:rsidR="008D58F8" w:rsidRPr="009E35ED" w:rsidRDefault="008D58F8" w:rsidP="00E1724A">
            <w:pPr>
              <w:ind w:left="0"/>
              <w:jc w:val="right"/>
              <w:rPr>
                <w:rFonts w:ascii="Arial Narrow" w:hAnsi="Arial Narrow"/>
                <w:color w:val="000000" w:themeColor="text1"/>
                <w:sz w:val="16"/>
                <w:szCs w:val="16"/>
                <w:lang w:val="en-PH" w:eastAsia="en-PH"/>
              </w:rPr>
            </w:pPr>
          </w:p>
        </w:tc>
        <w:tc>
          <w:tcPr>
            <w:tcW w:w="1241" w:type="dxa"/>
            <w:vAlign w:val="center"/>
            <w:hideMark/>
          </w:tcPr>
          <w:p w14:paraId="2AB16A86" w14:textId="77777777" w:rsidR="008D58F8" w:rsidRPr="009E35ED" w:rsidRDefault="008D58F8" w:rsidP="00E1724A">
            <w:pPr>
              <w:ind w:left="0"/>
              <w:jc w:val="right"/>
              <w:rPr>
                <w:rFonts w:ascii="Arial Narrow" w:hAnsi="Arial Narrow"/>
                <w:color w:val="000000" w:themeColor="text1"/>
                <w:sz w:val="16"/>
                <w:szCs w:val="16"/>
                <w:lang w:val="en-PH" w:eastAsia="en-PH"/>
              </w:rPr>
            </w:pPr>
          </w:p>
        </w:tc>
        <w:tc>
          <w:tcPr>
            <w:tcW w:w="1041" w:type="dxa"/>
            <w:vAlign w:val="center"/>
            <w:hideMark/>
          </w:tcPr>
          <w:p w14:paraId="7350735D" w14:textId="77777777" w:rsidR="008D58F8" w:rsidRPr="009E35ED" w:rsidRDefault="008D58F8" w:rsidP="00E1724A">
            <w:pPr>
              <w:ind w:left="0"/>
              <w:jc w:val="right"/>
              <w:rPr>
                <w:rFonts w:ascii="Arial Narrow" w:hAnsi="Arial Narrow"/>
                <w:color w:val="000000" w:themeColor="text1"/>
                <w:sz w:val="16"/>
                <w:szCs w:val="16"/>
                <w:lang w:val="en-PH" w:eastAsia="en-PH"/>
              </w:rPr>
            </w:pPr>
          </w:p>
        </w:tc>
        <w:tc>
          <w:tcPr>
            <w:tcW w:w="1839" w:type="dxa"/>
            <w:vAlign w:val="center"/>
            <w:hideMark/>
          </w:tcPr>
          <w:p w14:paraId="7066AB12" w14:textId="77777777" w:rsidR="008D58F8" w:rsidRPr="009E35ED" w:rsidRDefault="008D58F8" w:rsidP="00E1724A">
            <w:pPr>
              <w:ind w:left="0"/>
              <w:jc w:val="right"/>
              <w:rPr>
                <w:rFonts w:ascii="Arial Narrow" w:hAnsi="Arial Narrow"/>
                <w:color w:val="000000" w:themeColor="text1"/>
                <w:sz w:val="16"/>
                <w:szCs w:val="16"/>
                <w:lang w:val="en-PH" w:eastAsia="en-PH"/>
              </w:rPr>
            </w:pPr>
          </w:p>
        </w:tc>
      </w:tr>
      <w:tr w:rsidR="00997F75" w:rsidRPr="009E35ED" w14:paraId="636057D6" w14:textId="77777777" w:rsidTr="00860ED6">
        <w:trPr>
          <w:trHeight w:val="75"/>
        </w:trPr>
        <w:tc>
          <w:tcPr>
            <w:tcW w:w="532" w:type="dxa"/>
            <w:shd w:val="clear" w:color="auto" w:fill="auto"/>
            <w:noWrap/>
            <w:vAlign w:val="bottom"/>
            <w:hideMark/>
          </w:tcPr>
          <w:p w14:paraId="659A3DFA" w14:textId="77777777" w:rsidR="004345D7" w:rsidRPr="009E35ED" w:rsidRDefault="004345D7" w:rsidP="004345D7">
            <w:pPr>
              <w:ind w:left="0"/>
              <w:jc w:val="left"/>
              <w:rPr>
                <w:rFonts w:ascii="Arial Narrow" w:hAnsi="Arial Narrow"/>
                <w:color w:val="000000" w:themeColor="text1"/>
                <w:sz w:val="16"/>
                <w:szCs w:val="16"/>
                <w:lang w:val="en-PH" w:eastAsia="en-PH"/>
              </w:rPr>
            </w:pPr>
          </w:p>
        </w:tc>
        <w:tc>
          <w:tcPr>
            <w:tcW w:w="3111" w:type="dxa"/>
            <w:gridSpan w:val="3"/>
            <w:shd w:val="clear" w:color="auto" w:fill="auto"/>
            <w:noWrap/>
            <w:vAlign w:val="center"/>
            <w:hideMark/>
          </w:tcPr>
          <w:p w14:paraId="6948862C" w14:textId="59D54263" w:rsidR="004345D7" w:rsidRPr="009E35ED" w:rsidRDefault="004345D7" w:rsidP="004345D7">
            <w:pPr>
              <w:ind w:left="0"/>
              <w:jc w:val="lef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 xml:space="preserve">Rent </w:t>
            </w:r>
            <w:r w:rsidR="006A1323">
              <w:rPr>
                <w:rFonts w:ascii="Arial Narrow" w:hAnsi="Arial Narrow"/>
                <w:color w:val="000000" w:themeColor="text1"/>
                <w:sz w:val="16"/>
                <w:szCs w:val="16"/>
                <w:lang w:val="en-PH" w:eastAsia="en-PH"/>
              </w:rPr>
              <w:t>e</w:t>
            </w:r>
            <w:r w:rsidRPr="009E35ED">
              <w:rPr>
                <w:rFonts w:ascii="Arial Narrow" w:hAnsi="Arial Narrow"/>
                <w:color w:val="000000" w:themeColor="text1"/>
                <w:sz w:val="16"/>
                <w:szCs w:val="16"/>
                <w:lang w:val="en-PH" w:eastAsia="en-PH"/>
              </w:rPr>
              <w:t>xpenses</w:t>
            </w:r>
          </w:p>
        </w:tc>
        <w:tc>
          <w:tcPr>
            <w:tcW w:w="1070" w:type="dxa"/>
            <w:shd w:val="clear" w:color="auto" w:fill="auto"/>
            <w:noWrap/>
            <w:vAlign w:val="bottom"/>
            <w:hideMark/>
          </w:tcPr>
          <w:p w14:paraId="1E502479" w14:textId="09111579" w:rsidR="004345D7" w:rsidRPr="009E35ED" w:rsidRDefault="00884C9E" w:rsidP="00E1724A">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rPr>
              <w:t>244,257,678</w:t>
            </w:r>
            <w:r w:rsidR="004345D7" w:rsidRPr="009E35ED">
              <w:rPr>
                <w:rFonts w:ascii="Arial Narrow" w:hAnsi="Arial Narrow"/>
                <w:color w:val="000000" w:themeColor="text1"/>
                <w:sz w:val="16"/>
                <w:szCs w:val="16"/>
              </w:rPr>
              <w:t xml:space="preserve"> </w:t>
            </w:r>
          </w:p>
        </w:tc>
        <w:tc>
          <w:tcPr>
            <w:tcW w:w="1241" w:type="dxa"/>
            <w:shd w:val="clear" w:color="auto" w:fill="auto"/>
            <w:noWrap/>
            <w:vAlign w:val="bottom"/>
            <w:hideMark/>
          </w:tcPr>
          <w:p w14:paraId="0393EB4F" w14:textId="1891D86A" w:rsidR="004345D7" w:rsidRPr="009E35ED" w:rsidRDefault="00884C9E" w:rsidP="00884C9E">
            <w:pPr>
              <w:ind w:left="0"/>
              <w:jc w:val="right"/>
              <w:rPr>
                <w:rFonts w:ascii="Arial Narrow" w:hAnsi="Arial Narrow"/>
                <w:color w:val="000000" w:themeColor="text1"/>
                <w:sz w:val="16"/>
                <w:szCs w:val="16"/>
                <w:lang w:val="en-PH" w:eastAsia="en-PH"/>
              </w:rPr>
            </w:pPr>
            <w:r w:rsidRPr="009E35ED">
              <w:rPr>
                <w:rFonts w:ascii="Arial Narrow" w:hAnsi="Arial Narrow" w:cs="Arial"/>
                <w:color w:val="000000" w:themeColor="text1"/>
                <w:sz w:val="16"/>
                <w:szCs w:val="16"/>
              </w:rPr>
              <w:t>466,554,899</w:t>
            </w:r>
            <w:r w:rsidR="004345D7" w:rsidRPr="009E35ED">
              <w:rPr>
                <w:rFonts w:ascii="Arial Narrow" w:hAnsi="Arial Narrow" w:cs="Arial"/>
                <w:color w:val="000000" w:themeColor="text1"/>
                <w:sz w:val="16"/>
                <w:szCs w:val="16"/>
              </w:rPr>
              <w:t xml:space="preserve"> </w:t>
            </w:r>
          </w:p>
        </w:tc>
        <w:tc>
          <w:tcPr>
            <w:tcW w:w="1041" w:type="dxa"/>
            <w:shd w:val="clear" w:color="auto" w:fill="auto"/>
            <w:noWrap/>
            <w:vAlign w:val="bottom"/>
            <w:hideMark/>
          </w:tcPr>
          <w:p w14:paraId="5CB6F5C3" w14:textId="3AC1E5BF" w:rsidR="004345D7" w:rsidRPr="009E35ED" w:rsidRDefault="00884C9E" w:rsidP="00E1724A">
            <w:pPr>
              <w:ind w:left="0"/>
              <w:jc w:val="right"/>
              <w:rPr>
                <w:rFonts w:ascii="Arial Narrow" w:hAnsi="Arial Narrow"/>
                <w:color w:val="000000" w:themeColor="text1"/>
                <w:sz w:val="16"/>
                <w:szCs w:val="16"/>
                <w:lang w:val="en-PH" w:eastAsia="en-PH"/>
              </w:rPr>
            </w:pPr>
            <w:r w:rsidRPr="009E35ED">
              <w:rPr>
                <w:rFonts w:ascii="Arial Narrow" w:hAnsi="Arial Narrow" w:cs="Arial"/>
                <w:color w:val="000000" w:themeColor="text1"/>
                <w:sz w:val="16"/>
                <w:szCs w:val="16"/>
              </w:rPr>
              <w:t>840,594,648</w:t>
            </w:r>
          </w:p>
        </w:tc>
        <w:tc>
          <w:tcPr>
            <w:tcW w:w="1839" w:type="dxa"/>
            <w:shd w:val="clear" w:color="auto" w:fill="auto"/>
            <w:noWrap/>
            <w:vAlign w:val="bottom"/>
            <w:hideMark/>
          </w:tcPr>
          <w:p w14:paraId="71FF1F4A" w14:textId="5A9273A9" w:rsidR="004345D7" w:rsidRPr="009E35ED" w:rsidRDefault="004345D7" w:rsidP="00884C9E">
            <w:pPr>
              <w:ind w:left="0"/>
              <w:jc w:val="right"/>
              <w:rPr>
                <w:rFonts w:ascii="Arial Narrow" w:hAnsi="Arial Narrow"/>
                <w:color w:val="000000" w:themeColor="text1"/>
                <w:sz w:val="16"/>
                <w:szCs w:val="16"/>
                <w:lang w:val="en-PH" w:eastAsia="en-PH"/>
              </w:rPr>
            </w:pPr>
            <w:r w:rsidRPr="009E35ED">
              <w:rPr>
                <w:rFonts w:ascii="Arial Narrow" w:hAnsi="Arial Narrow" w:cs="Arial"/>
                <w:color w:val="000000" w:themeColor="text1"/>
                <w:sz w:val="16"/>
                <w:szCs w:val="16"/>
              </w:rPr>
              <w:t>1,</w:t>
            </w:r>
            <w:r w:rsidR="00884C9E" w:rsidRPr="009E35ED">
              <w:rPr>
                <w:rFonts w:ascii="Arial Narrow" w:hAnsi="Arial Narrow" w:cs="Arial"/>
                <w:color w:val="000000" w:themeColor="text1"/>
                <w:sz w:val="16"/>
                <w:szCs w:val="16"/>
              </w:rPr>
              <w:t>551,407,225</w:t>
            </w:r>
            <w:r w:rsidRPr="009E35ED">
              <w:rPr>
                <w:rFonts w:ascii="Arial Narrow" w:hAnsi="Arial Narrow" w:cs="Arial"/>
                <w:color w:val="000000" w:themeColor="text1"/>
                <w:sz w:val="16"/>
                <w:szCs w:val="16"/>
              </w:rPr>
              <w:t xml:space="preserve"> </w:t>
            </w:r>
          </w:p>
        </w:tc>
      </w:tr>
      <w:tr w:rsidR="00997F75" w:rsidRPr="009E35ED" w14:paraId="716705FE" w14:textId="77777777" w:rsidTr="00860ED6">
        <w:trPr>
          <w:trHeight w:val="56"/>
        </w:trPr>
        <w:tc>
          <w:tcPr>
            <w:tcW w:w="532" w:type="dxa"/>
            <w:shd w:val="clear" w:color="auto" w:fill="auto"/>
            <w:noWrap/>
            <w:vAlign w:val="bottom"/>
            <w:hideMark/>
          </w:tcPr>
          <w:p w14:paraId="0216939F" w14:textId="77777777" w:rsidR="00A27AC6" w:rsidRPr="009E35ED" w:rsidRDefault="00A27AC6" w:rsidP="00A27AC6">
            <w:pPr>
              <w:ind w:left="0"/>
              <w:jc w:val="right"/>
              <w:rPr>
                <w:rFonts w:ascii="Arial Narrow" w:hAnsi="Arial Narrow"/>
                <w:color w:val="000000" w:themeColor="text1"/>
                <w:sz w:val="16"/>
                <w:szCs w:val="16"/>
                <w:lang w:val="en-PH" w:eastAsia="en-PH"/>
              </w:rPr>
            </w:pPr>
          </w:p>
        </w:tc>
        <w:tc>
          <w:tcPr>
            <w:tcW w:w="3111" w:type="dxa"/>
            <w:gridSpan w:val="3"/>
            <w:shd w:val="clear" w:color="auto" w:fill="auto"/>
            <w:noWrap/>
            <w:vAlign w:val="center"/>
            <w:hideMark/>
          </w:tcPr>
          <w:p w14:paraId="3729FD4D" w14:textId="6560AFF2" w:rsidR="00A27AC6" w:rsidRPr="009E35ED" w:rsidRDefault="00A27AC6" w:rsidP="00A27AC6">
            <w:pPr>
              <w:ind w:left="0"/>
              <w:jc w:val="lef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 xml:space="preserve">Advertising </w:t>
            </w:r>
            <w:r w:rsidR="006A1323">
              <w:rPr>
                <w:rFonts w:ascii="Arial Narrow" w:hAnsi="Arial Narrow"/>
                <w:color w:val="000000" w:themeColor="text1"/>
                <w:sz w:val="16"/>
                <w:szCs w:val="16"/>
                <w:lang w:val="en-PH" w:eastAsia="en-PH"/>
              </w:rPr>
              <w:t>e</w:t>
            </w:r>
            <w:r w:rsidRPr="009E35ED">
              <w:rPr>
                <w:rFonts w:ascii="Arial Narrow" w:hAnsi="Arial Narrow"/>
                <w:color w:val="000000" w:themeColor="text1"/>
                <w:sz w:val="16"/>
                <w:szCs w:val="16"/>
                <w:lang w:val="en-PH" w:eastAsia="en-PH"/>
              </w:rPr>
              <w:t>xpenses</w:t>
            </w:r>
          </w:p>
        </w:tc>
        <w:tc>
          <w:tcPr>
            <w:tcW w:w="1070" w:type="dxa"/>
            <w:shd w:val="clear" w:color="auto" w:fill="auto"/>
            <w:noWrap/>
            <w:vAlign w:val="bottom"/>
            <w:hideMark/>
          </w:tcPr>
          <w:p w14:paraId="60E731D7" w14:textId="559A1F06" w:rsidR="00A27AC6" w:rsidRPr="009E35ED" w:rsidRDefault="00A27AC6" w:rsidP="00A27AC6">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rPr>
              <w:t xml:space="preserve">122,110,722 </w:t>
            </w:r>
          </w:p>
        </w:tc>
        <w:tc>
          <w:tcPr>
            <w:tcW w:w="1241" w:type="dxa"/>
            <w:shd w:val="clear" w:color="auto" w:fill="auto"/>
            <w:noWrap/>
            <w:vAlign w:val="center"/>
            <w:hideMark/>
          </w:tcPr>
          <w:p w14:paraId="206FDECC" w14:textId="18ED2248" w:rsidR="00A27AC6" w:rsidRPr="009E35ED" w:rsidRDefault="00A27AC6" w:rsidP="00A27AC6">
            <w:pPr>
              <w:ind w:left="-167"/>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041" w:type="dxa"/>
            <w:shd w:val="clear" w:color="auto" w:fill="auto"/>
            <w:noWrap/>
            <w:vAlign w:val="center"/>
            <w:hideMark/>
          </w:tcPr>
          <w:p w14:paraId="7EC2FBD7" w14:textId="768238FE" w:rsidR="00A27AC6" w:rsidRPr="009E35ED" w:rsidRDefault="00A27AC6" w:rsidP="00A27AC6">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839" w:type="dxa"/>
            <w:shd w:val="clear" w:color="auto" w:fill="auto"/>
            <w:noWrap/>
            <w:vAlign w:val="bottom"/>
            <w:hideMark/>
          </w:tcPr>
          <w:p w14:paraId="19446F1A" w14:textId="47A76292" w:rsidR="00A27AC6" w:rsidRPr="009E35ED" w:rsidRDefault="00A27AC6" w:rsidP="00A27AC6">
            <w:pPr>
              <w:ind w:left="0"/>
              <w:jc w:val="right"/>
              <w:rPr>
                <w:rFonts w:ascii="Arial Narrow" w:hAnsi="Arial Narrow"/>
                <w:color w:val="000000" w:themeColor="text1"/>
                <w:sz w:val="16"/>
                <w:szCs w:val="16"/>
                <w:lang w:val="en-PH" w:eastAsia="en-PH"/>
              </w:rPr>
            </w:pPr>
            <w:r w:rsidRPr="009E35ED">
              <w:rPr>
                <w:rFonts w:ascii="Arial Narrow" w:hAnsi="Arial Narrow" w:cs="Arial"/>
                <w:color w:val="000000" w:themeColor="text1"/>
                <w:sz w:val="16"/>
                <w:szCs w:val="16"/>
              </w:rPr>
              <w:t xml:space="preserve">122,110,722 </w:t>
            </w:r>
          </w:p>
        </w:tc>
      </w:tr>
      <w:tr w:rsidR="00997F75" w:rsidRPr="009E35ED" w14:paraId="34915CB6" w14:textId="77777777" w:rsidTr="00860ED6">
        <w:trPr>
          <w:trHeight w:val="56"/>
        </w:trPr>
        <w:tc>
          <w:tcPr>
            <w:tcW w:w="532" w:type="dxa"/>
            <w:shd w:val="clear" w:color="auto" w:fill="auto"/>
            <w:noWrap/>
            <w:vAlign w:val="bottom"/>
            <w:hideMark/>
          </w:tcPr>
          <w:p w14:paraId="185DE167" w14:textId="77777777" w:rsidR="00A27AC6" w:rsidRPr="009E35ED" w:rsidRDefault="00A27AC6" w:rsidP="00A27AC6">
            <w:pPr>
              <w:ind w:left="0"/>
              <w:jc w:val="right"/>
              <w:rPr>
                <w:rFonts w:ascii="Arial Narrow" w:hAnsi="Arial Narrow"/>
                <w:color w:val="000000" w:themeColor="text1"/>
                <w:sz w:val="16"/>
                <w:szCs w:val="16"/>
                <w:lang w:val="en-PH" w:eastAsia="en-PH"/>
              </w:rPr>
            </w:pPr>
          </w:p>
        </w:tc>
        <w:tc>
          <w:tcPr>
            <w:tcW w:w="3111" w:type="dxa"/>
            <w:gridSpan w:val="3"/>
            <w:shd w:val="clear" w:color="auto" w:fill="auto"/>
            <w:noWrap/>
            <w:vAlign w:val="center"/>
            <w:hideMark/>
          </w:tcPr>
          <w:p w14:paraId="649CF745" w14:textId="494ACAE7" w:rsidR="00A27AC6" w:rsidRPr="009E35ED" w:rsidRDefault="00A27AC6" w:rsidP="00A27AC6">
            <w:pPr>
              <w:ind w:left="0"/>
              <w:jc w:val="lef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 xml:space="preserve">Donation </w:t>
            </w:r>
            <w:r w:rsidR="006A1323">
              <w:rPr>
                <w:rFonts w:ascii="Arial Narrow" w:hAnsi="Arial Narrow"/>
                <w:color w:val="000000" w:themeColor="text1"/>
                <w:sz w:val="16"/>
                <w:szCs w:val="16"/>
                <w:lang w:val="en-PH" w:eastAsia="en-PH"/>
              </w:rPr>
              <w:t>e</w:t>
            </w:r>
            <w:r w:rsidRPr="009E35ED">
              <w:rPr>
                <w:rFonts w:ascii="Arial Narrow" w:hAnsi="Arial Narrow"/>
                <w:color w:val="000000" w:themeColor="text1"/>
                <w:sz w:val="16"/>
                <w:szCs w:val="16"/>
                <w:lang w:val="en-PH" w:eastAsia="en-PH"/>
              </w:rPr>
              <w:t>xpenses</w:t>
            </w:r>
          </w:p>
        </w:tc>
        <w:tc>
          <w:tcPr>
            <w:tcW w:w="1070" w:type="dxa"/>
            <w:shd w:val="clear" w:color="auto" w:fill="auto"/>
            <w:noWrap/>
            <w:vAlign w:val="bottom"/>
            <w:hideMark/>
          </w:tcPr>
          <w:p w14:paraId="74C6FD83" w14:textId="7BD5F9FA" w:rsidR="00A27AC6" w:rsidRPr="009E35ED" w:rsidRDefault="00A27AC6" w:rsidP="00A27AC6">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rPr>
              <w:t xml:space="preserve">91,193,231 </w:t>
            </w:r>
          </w:p>
        </w:tc>
        <w:tc>
          <w:tcPr>
            <w:tcW w:w="1241" w:type="dxa"/>
            <w:shd w:val="clear" w:color="auto" w:fill="auto"/>
            <w:noWrap/>
            <w:vAlign w:val="center"/>
            <w:hideMark/>
          </w:tcPr>
          <w:p w14:paraId="10F87691" w14:textId="5C48E4BE" w:rsidR="00A27AC6" w:rsidRPr="009E35ED" w:rsidRDefault="00A27AC6" w:rsidP="00A27AC6">
            <w:pPr>
              <w:ind w:left="-167"/>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041" w:type="dxa"/>
            <w:shd w:val="clear" w:color="auto" w:fill="auto"/>
            <w:noWrap/>
            <w:vAlign w:val="center"/>
            <w:hideMark/>
          </w:tcPr>
          <w:p w14:paraId="26E9426A" w14:textId="7CD16BD8" w:rsidR="00A27AC6" w:rsidRPr="009E35ED" w:rsidRDefault="00A27AC6" w:rsidP="00A27AC6">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839" w:type="dxa"/>
            <w:shd w:val="clear" w:color="auto" w:fill="auto"/>
            <w:noWrap/>
            <w:vAlign w:val="bottom"/>
            <w:hideMark/>
          </w:tcPr>
          <w:p w14:paraId="5DA596A7" w14:textId="465FB35D" w:rsidR="00A27AC6" w:rsidRPr="009E35ED" w:rsidRDefault="00A27AC6" w:rsidP="00A27AC6">
            <w:pPr>
              <w:ind w:left="0"/>
              <w:jc w:val="right"/>
              <w:rPr>
                <w:rFonts w:ascii="Arial Narrow" w:hAnsi="Arial Narrow"/>
                <w:color w:val="000000" w:themeColor="text1"/>
                <w:sz w:val="16"/>
                <w:szCs w:val="16"/>
                <w:lang w:val="en-PH" w:eastAsia="en-PH"/>
              </w:rPr>
            </w:pPr>
            <w:r w:rsidRPr="009E35ED">
              <w:rPr>
                <w:rFonts w:ascii="Arial Narrow" w:hAnsi="Arial Narrow" w:cs="Arial"/>
                <w:color w:val="000000" w:themeColor="text1"/>
                <w:sz w:val="16"/>
                <w:szCs w:val="16"/>
              </w:rPr>
              <w:t xml:space="preserve">91,193,231 </w:t>
            </w:r>
          </w:p>
        </w:tc>
      </w:tr>
      <w:tr w:rsidR="00997F75" w:rsidRPr="009E35ED" w14:paraId="0F8ED5EB" w14:textId="77777777" w:rsidTr="00860ED6">
        <w:trPr>
          <w:trHeight w:val="56"/>
        </w:trPr>
        <w:tc>
          <w:tcPr>
            <w:tcW w:w="532" w:type="dxa"/>
            <w:shd w:val="clear" w:color="auto" w:fill="auto"/>
            <w:noWrap/>
            <w:vAlign w:val="bottom"/>
            <w:hideMark/>
          </w:tcPr>
          <w:p w14:paraId="479E7601" w14:textId="77777777" w:rsidR="00A27AC6" w:rsidRPr="009E35ED" w:rsidRDefault="00A27AC6" w:rsidP="00A27AC6">
            <w:pPr>
              <w:ind w:left="0"/>
              <w:jc w:val="right"/>
              <w:rPr>
                <w:rFonts w:ascii="Arial Narrow" w:hAnsi="Arial Narrow"/>
                <w:color w:val="000000" w:themeColor="text1"/>
                <w:sz w:val="16"/>
                <w:szCs w:val="16"/>
                <w:lang w:val="en-PH" w:eastAsia="en-PH"/>
              </w:rPr>
            </w:pPr>
          </w:p>
        </w:tc>
        <w:tc>
          <w:tcPr>
            <w:tcW w:w="3111" w:type="dxa"/>
            <w:gridSpan w:val="3"/>
            <w:shd w:val="clear" w:color="auto" w:fill="auto"/>
            <w:noWrap/>
            <w:vAlign w:val="center"/>
            <w:hideMark/>
          </w:tcPr>
          <w:p w14:paraId="2521CD92" w14:textId="00F52D41" w:rsidR="00A27AC6" w:rsidRPr="009E35ED" w:rsidRDefault="00A27AC6" w:rsidP="00A27AC6">
            <w:pPr>
              <w:ind w:left="0"/>
              <w:jc w:val="lef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 xml:space="preserve">Documentary </w:t>
            </w:r>
            <w:r w:rsidR="006A1323">
              <w:rPr>
                <w:rFonts w:ascii="Arial Narrow" w:hAnsi="Arial Narrow"/>
                <w:color w:val="000000" w:themeColor="text1"/>
                <w:sz w:val="16"/>
                <w:szCs w:val="16"/>
                <w:lang w:val="en-PH" w:eastAsia="en-PH"/>
              </w:rPr>
              <w:t>s</w:t>
            </w:r>
            <w:r w:rsidRPr="009E35ED">
              <w:rPr>
                <w:rFonts w:ascii="Arial Narrow" w:hAnsi="Arial Narrow"/>
                <w:color w:val="000000" w:themeColor="text1"/>
                <w:sz w:val="16"/>
                <w:szCs w:val="16"/>
                <w:lang w:val="en-PH" w:eastAsia="en-PH"/>
              </w:rPr>
              <w:t xml:space="preserve">tamps </w:t>
            </w:r>
            <w:r w:rsidR="006A1323">
              <w:rPr>
                <w:rFonts w:ascii="Arial Narrow" w:hAnsi="Arial Narrow"/>
                <w:color w:val="000000" w:themeColor="text1"/>
                <w:sz w:val="16"/>
                <w:szCs w:val="16"/>
                <w:lang w:val="en-PH" w:eastAsia="en-PH"/>
              </w:rPr>
              <w:t>e</w:t>
            </w:r>
            <w:r w:rsidRPr="009E35ED">
              <w:rPr>
                <w:rFonts w:ascii="Arial Narrow" w:hAnsi="Arial Narrow"/>
                <w:color w:val="000000" w:themeColor="text1"/>
                <w:sz w:val="16"/>
                <w:szCs w:val="16"/>
                <w:lang w:val="en-PH" w:eastAsia="en-PH"/>
              </w:rPr>
              <w:t>xpenses</w:t>
            </w:r>
          </w:p>
        </w:tc>
        <w:tc>
          <w:tcPr>
            <w:tcW w:w="1070" w:type="dxa"/>
            <w:shd w:val="clear" w:color="auto" w:fill="auto"/>
            <w:noWrap/>
            <w:vAlign w:val="bottom"/>
            <w:hideMark/>
          </w:tcPr>
          <w:p w14:paraId="1CD81F46" w14:textId="0751FBB2" w:rsidR="00A27AC6" w:rsidRPr="009E35ED" w:rsidRDefault="00A27AC6" w:rsidP="00860ED6">
            <w:pPr>
              <w:ind w:left="0"/>
              <w:rPr>
                <w:rFonts w:ascii="Arial Narrow" w:hAnsi="Arial Narrow"/>
                <w:color w:val="000000" w:themeColor="text1"/>
                <w:sz w:val="16"/>
                <w:szCs w:val="16"/>
                <w:lang w:val="en-PH" w:eastAsia="en-PH"/>
              </w:rPr>
            </w:pPr>
          </w:p>
        </w:tc>
        <w:tc>
          <w:tcPr>
            <w:tcW w:w="1241" w:type="dxa"/>
            <w:shd w:val="clear" w:color="auto" w:fill="auto"/>
            <w:noWrap/>
            <w:vAlign w:val="bottom"/>
            <w:hideMark/>
          </w:tcPr>
          <w:p w14:paraId="2A3493FA" w14:textId="4B5AE6E4" w:rsidR="00A27AC6" w:rsidRPr="009E35ED" w:rsidRDefault="00A27AC6" w:rsidP="00A27AC6">
            <w:pPr>
              <w:ind w:left="0"/>
              <w:jc w:val="right"/>
              <w:rPr>
                <w:rFonts w:ascii="Arial Narrow" w:hAnsi="Arial Narrow"/>
                <w:color w:val="000000" w:themeColor="text1"/>
                <w:sz w:val="16"/>
                <w:szCs w:val="16"/>
                <w:lang w:val="en-PH" w:eastAsia="en-PH"/>
              </w:rPr>
            </w:pPr>
            <w:r w:rsidRPr="009E35ED">
              <w:rPr>
                <w:rFonts w:ascii="Arial Narrow" w:hAnsi="Arial Narrow" w:cs="Arial"/>
                <w:color w:val="000000" w:themeColor="text1"/>
                <w:sz w:val="16"/>
                <w:szCs w:val="16"/>
              </w:rPr>
              <w:t xml:space="preserve">12,291,205,491 </w:t>
            </w:r>
          </w:p>
        </w:tc>
        <w:tc>
          <w:tcPr>
            <w:tcW w:w="1041" w:type="dxa"/>
            <w:shd w:val="clear" w:color="auto" w:fill="auto"/>
            <w:noWrap/>
            <w:vAlign w:val="center"/>
            <w:hideMark/>
          </w:tcPr>
          <w:p w14:paraId="3E1DA59A" w14:textId="09233C2D" w:rsidR="00A27AC6" w:rsidRPr="009E35ED" w:rsidRDefault="00A27AC6" w:rsidP="00A27AC6">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839" w:type="dxa"/>
            <w:shd w:val="clear" w:color="auto" w:fill="auto"/>
            <w:noWrap/>
            <w:vAlign w:val="bottom"/>
            <w:hideMark/>
          </w:tcPr>
          <w:p w14:paraId="1266DF3D" w14:textId="3DD0B2ED" w:rsidR="00A27AC6" w:rsidRPr="009E35ED" w:rsidRDefault="00A27AC6" w:rsidP="00A27AC6">
            <w:pPr>
              <w:ind w:left="0"/>
              <w:jc w:val="right"/>
              <w:rPr>
                <w:rFonts w:ascii="Arial Narrow" w:hAnsi="Arial Narrow"/>
                <w:color w:val="000000" w:themeColor="text1"/>
                <w:sz w:val="16"/>
                <w:szCs w:val="16"/>
                <w:lang w:val="en-PH" w:eastAsia="en-PH"/>
              </w:rPr>
            </w:pPr>
            <w:r w:rsidRPr="009E35ED">
              <w:rPr>
                <w:rFonts w:ascii="Arial Narrow" w:hAnsi="Arial Narrow" w:cs="Arial"/>
                <w:color w:val="000000" w:themeColor="text1"/>
                <w:sz w:val="16"/>
                <w:szCs w:val="16"/>
              </w:rPr>
              <w:t xml:space="preserve">12,291,205,491 </w:t>
            </w:r>
          </w:p>
        </w:tc>
      </w:tr>
      <w:tr w:rsidR="00997F75" w:rsidRPr="009E35ED" w14:paraId="37068A5C" w14:textId="77777777" w:rsidTr="00860ED6">
        <w:trPr>
          <w:trHeight w:val="56"/>
        </w:trPr>
        <w:tc>
          <w:tcPr>
            <w:tcW w:w="532" w:type="dxa"/>
            <w:shd w:val="clear" w:color="auto" w:fill="auto"/>
            <w:noWrap/>
            <w:vAlign w:val="bottom"/>
            <w:hideMark/>
          </w:tcPr>
          <w:p w14:paraId="75B15908" w14:textId="77777777" w:rsidR="00A27AC6" w:rsidRPr="009E35ED" w:rsidRDefault="00A27AC6" w:rsidP="00A27AC6">
            <w:pPr>
              <w:ind w:left="0"/>
              <w:jc w:val="right"/>
              <w:rPr>
                <w:rFonts w:ascii="Arial Narrow" w:hAnsi="Arial Narrow"/>
                <w:color w:val="000000" w:themeColor="text1"/>
                <w:sz w:val="16"/>
                <w:szCs w:val="16"/>
                <w:lang w:val="en-PH" w:eastAsia="en-PH"/>
              </w:rPr>
            </w:pPr>
          </w:p>
        </w:tc>
        <w:tc>
          <w:tcPr>
            <w:tcW w:w="3111" w:type="dxa"/>
            <w:gridSpan w:val="3"/>
            <w:shd w:val="clear" w:color="auto" w:fill="auto"/>
            <w:noWrap/>
            <w:vAlign w:val="center"/>
            <w:hideMark/>
          </w:tcPr>
          <w:p w14:paraId="2FB17EBE" w14:textId="1D51DF0C" w:rsidR="00A27AC6" w:rsidRPr="009E35ED" w:rsidRDefault="00A27AC6" w:rsidP="00A27AC6">
            <w:pPr>
              <w:ind w:left="0"/>
              <w:jc w:val="lef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 xml:space="preserve">Transportation and </w:t>
            </w:r>
            <w:r w:rsidR="006A1323">
              <w:rPr>
                <w:rFonts w:ascii="Arial Narrow" w:hAnsi="Arial Narrow"/>
                <w:color w:val="000000" w:themeColor="text1"/>
                <w:sz w:val="16"/>
                <w:szCs w:val="16"/>
                <w:lang w:val="en-PH" w:eastAsia="en-PH"/>
              </w:rPr>
              <w:t>d</w:t>
            </w:r>
            <w:r w:rsidRPr="009E35ED">
              <w:rPr>
                <w:rFonts w:ascii="Arial Narrow" w:hAnsi="Arial Narrow"/>
                <w:color w:val="000000" w:themeColor="text1"/>
                <w:sz w:val="16"/>
                <w:szCs w:val="16"/>
                <w:lang w:val="en-PH" w:eastAsia="en-PH"/>
              </w:rPr>
              <w:t xml:space="preserve">elivery </w:t>
            </w:r>
            <w:r w:rsidR="006A1323">
              <w:rPr>
                <w:rFonts w:ascii="Arial Narrow" w:hAnsi="Arial Narrow"/>
                <w:color w:val="000000" w:themeColor="text1"/>
                <w:sz w:val="16"/>
                <w:szCs w:val="16"/>
                <w:lang w:val="en-PH" w:eastAsia="en-PH"/>
              </w:rPr>
              <w:t>e</w:t>
            </w:r>
            <w:r w:rsidRPr="009E35ED">
              <w:rPr>
                <w:rFonts w:ascii="Arial Narrow" w:hAnsi="Arial Narrow"/>
                <w:color w:val="000000" w:themeColor="text1"/>
                <w:sz w:val="16"/>
                <w:szCs w:val="16"/>
                <w:lang w:val="en-PH" w:eastAsia="en-PH"/>
              </w:rPr>
              <w:t>xpenses</w:t>
            </w:r>
          </w:p>
        </w:tc>
        <w:tc>
          <w:tcPr>
            <w:tcW w:w="1070" w:type="dxa"/>
            <w:shd w:val="clear" w:color="auto" w:fill="auto"/>
            <w:noWrap/>
            <w:vAlign w:val="bottom"/>
            <w:hideMark/>
          </w:tcPr>
          <w:p w14:paraId="47581C29" w14:textId="0B00BFEA" w:rsidR="00A27AC6" w:rsidRPr="009E35ED" w:rsidRDefault="00A27AC6" w:rsidP="00884C9E">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rPr>
              <w:t>1,873,</w:t>
            </w:r>
            <w:r w:rsidR="00884C9E" w:rsidRPr="009E35ED">
              <w:rPr>
                <w:rFonts w:ascii="Arial Narrow" w:hAnsi="Arial Narrow"/>
                <w:color w:val="000000" w:themeColor="text1"/>
                <w:sz w:val="16"/>
                <w:szCs w:val="16"/>
              </w:rPr>
              <w:t>0</w:t>
            </w:r>
            <w:r w:rsidRPr="009E35ED">
              <w:rPr>
                <w:rFonts w:ascii="Arial Narrow" w:hAnsi="Arial Narrow"/>
                <w:color w:val="000000" w:themeColor="text1"/>
                <w:sz w:val="16"/>
                <w:szCs w:val="16"/>
              </w:rPr>
              <w:t xml:space="preserve">96 </w:t>
            </w:r>
          </w:p>
        </w:tc>
        <w:tc>
          <w:tcPr>
            <w:tcW w:w="1241" w:type="dxa"/>
            <w:shd w:val="clear" w:color="auto" w:fill="auto"/>
            <w:noWrap/>
            <w:vAlign w:val="center"/>
            <w:hideMark/>
          </w:tcPr>
          <w:p w14:paraId="1A3D2245" w14:textId="0C1CA625" w:rsidR="00A27AC6" w:rsidRPr="009E35ED" w:rsidRDefault="00A27AC6" w:rsidP="00A27AC6">
            <w:pPr>
              <w:ind w:left="-167"/>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041" w:type="dxa"/>
            <w:shd w:val="clear" w:color="auto" w:fill="auto"/>
            <w:noWrap/>
            <w:vAlign w:val="center"/>
            <w:hideMark/>
          </w:tcPr>
          <w:p w14:paraId="36586E95" w14:textId="421E9888" w:rsidR="00A27AC6" w:rsidRPr="009E35ED" w:rsidRDefault="00A27AC6" w:rsidP="00A27AC6">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839" w:type="dxa"/>
            <w:shd w:val="clear" w:color="auto" w:fill="auto"/>
            <w:noWrap/>
            <w:vAlign w:val="bottom"/>
            <w:hideMark/>
          </w:tcPr>
          <w:p w14:paraId="799728D6" w14:textId="02ACFF79" w:rsidR="00A27AC6" w:rsidRPr="009E35ED" w:rsidRDefault="00A27AC6" w:rsidP="00884C9E">
            <w:pPr>
              <w:ind w:left="0"/>
              <w:jc w:val="right"/>
              <w:rPr>
                <w:rFonts w:ascii="Arial Narrow" w:hAnsi="Arial Narrow"/>
                <w:color w:val="000000" w:themeColor="text1"/>
                <w:sz w:val="16"/>
                <w:szCs w:val="16"/>
                <w:lang w:val="en-PH" w:eastAsia="en-PH"/>
              </w:rPr>
            </w:pPr>
            <w:r w:rsidRPr="009E35ED">
              <w:rPr>
                <w:rFonts w:ascii="Arial Narrow" w:hAnsi="Arial Narrow" w:cs="Arial"/>
                <w:color w:val="000000" w:themeColor="text1"/>
                <w:sz w:val="16"/>
                <w:szCs w:val="16"/>
              </w:rPr>
              <w:t>1,873,</w:t>
            </w:r>
            <w:r w:rsidR="00884C9E" w:rsidRPr="009E35ED">
              <w:rPr>
                <w:rFonts w:ascii="Arial Narrow" w:hAnsi="Arial Narrow" w:cs="Arial"/>
                <w:color w:val="000000" w:themeColor="text1"/>
                <w:sz w:val="16"/>
                <w:szCs w:val="16"/>
              </w:rPr>
              <w:t>0</w:t>
            </w:r>
            <w:r w:rsidRPr="009E35ED">
              <w:rPr>
                <w:rFonts w:ascii="Arial Narrow" w:hAnsi="Arial Narrow" w:cs="Arial"/>
                <w:color w:val="000000" w:themeColor="text1"/>
                <w:sz w:val="16"/>
                <w:szCs w:val="16"/>
              </w:rPr>
              <w:t xml:space="preserve">96 </w:t>
            </w:r>
          </w:p>
        </w:tc>
      </w:tr>
      <w:tr w:rsidR="00997F75" w:rsidRPr="009E35ED" w14:paraId="2054BC8F" w14:textId="77777777" w:rsidTr="00860ED6">
        <w:trPr>
          <w:trHeight w:val="56"/>
        </w:trPr>
        <w:tc>
          <w:tcPr>
            <w:tcW w:w="532" w:type="dxa"/>
            <w:shd w:val="clear" w:color="auto" w:fill="auto"/>
            <w:noWrap/>
            <w:vAlign w:val="bottom"/>
            <w:hideMark/>
          </w:tcPr>
          <w:p w14:paraId="10F6C590" w14:textId="77777777" w:rsidR="00A27AC6" w:rsidRPr="009E35ED" w:rsidRDefault="00A27AC6" w:rsidP="00A27AC6">
            <w:pPr>
              <w:ind w:left="0"/>
              <w:jc w:val="right"/>
              <w:rPr>
                <w:rFonts w:ascii="Arial Narrow" w:hAnsi="Arial Narrow"/>
                <w:color w:val="000000" w:themeColor="text1"/>
                <w:sz w:val="16"/>
                <w:szCs w:val="16"/>
                <w:lang w:val="en-PH" w:eastAsia="en-PH"/>
              </w:rPr>
            </w:pPr>
          </w:p>
        </w:tc>
        <w:tc>
          <w:tcPr>
            <w:tcW w:w="3111" w:type="dxa"/>
            <w:gridSpan w:val="3"/>
            <w:shd w:val="clear" w:color="auto" w:fill="auto"/>
            <w:noWrap/>
            <w:vAlign w:val="center"/>
            <w:hideMark/>
          </w:tcPr>
          <w:p w14:paraId="6605EC7E" w14:textId="7101DD36" w:rsidR="00A27AC6" w:rsidRPr="009E35ED" w:rsidRDefault="00A27AC6" w:rsidP="00A27AC6">
            <w:pPr>
              <w:ind w:left="0"/>
              <w:jc w:val="lef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 xml:space="preserve">Printing and </w:t>
            </w:r>
            <w:r w:rsidR="006A1323">
              <w:rPr>
                <w:rFonts w:ascii="Arial Narrow" w:hAnsi="Arial Narrow"/>
                <w:color w:val="000000" w:themeColor="text1"/>
                <w:sz w:val="16"/>
                <w:szCs w:val="16"/>
                <w:lang w:val="en-PH" w:eastAsia="en-PH"/>
              </w:rPr>
              <w:t>p</w:t>
            </w:r>
            <w:r w:rsidRPr="009E35ED">
              <w:rPr>
                <w:rFonts w:ascii="Arial Narrow" w:hAnsi="Arial Narrow"/>
                <w:color w:val="000000" w:themeColor="text1"/>
                <w:sz w:val="16"/>
                <w:szCs w:val="16"/>
                <w:lang w:val="en-PH" w:eastAsia="en-PH"/>
              </w:rPr>
              <w:t xml:space="preserve">ublication </w:t>
            </w:r>
            <w:r w:rsidR="006A1323">
              <w:rPr>
                <w:rFonts w:ascii="Arial Narrow" w:hAnsi="Arial Narrow"/>
                <w:color w:val="000000" w:themeColor="text1"/>
                <w:sz w:val="16"/>
                <w:szCs w:val="16"/>
                <w:lang w:val="en-PH" w:eastAsia="en-PH"/>
              </w:rPr>
              <w:t>e</w:t>
            </w:r>
            <w:r w:rsidRPr="009E35ED">
              <w:rPr>
                <w:rFonts w:ascii="Arial Narrow" w:hAnsi="Arial Narrow"/>
                <w:color w:val="000000" w:themeColor="text1"/>
                <w:sz w:val="16"/>
                <w:szCs w:val="16"/>
                <w:lang w:val="en-PH" w:eastAsia="en-PH"/>
              </w:rPr>
              <w:t>xpenses</w:t>
            </w:r>
          </w:p>
        </w:tc>
        <w:tc>
          <w:tcPr>
            <w:tcW w:w="1070" w:type="dxa"/>
            <w:shd w:val="clear" w:color="auto" w:fill="auto"/>
            <w:noWrap/>
            <w:vAlign w:val="bottom"/>
            <w:hideMark/>
          </w:tcPr>
          <w:p w14:paraId="0C4E8D0C" w14:textId="185E67B1" w:rsidR="00A27AC6" w:rsidRPr="009E35ED" w:rsidRDefault="00A27AC6" w:rsidP="00AC4B78">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rPr>
              <w:t>601,6</w:t>
            </w:r>
            <w:r w:rsidR="00AC4B78" w:rsidRPr="009E35ED">
              <w:rPr>
                <w:rFonts w:ascii="Arial Narrow" w:hAnsi="Arial Narrow"/>
                <w:color w:val="000000" w:themeColor="text1"/>
                <w:sz w:val="16"/>
                <w:szCs w:val="16"/>
              </w:rPr>
              <w:t>33</w:t>
            </w:r>
            <w:r w:rsidRPr="009E35ED">
              <w:rPr>
                <w:rFonts w:ascii="Arial Narrow" w:hAnsi="Arial Narrow"/>
                <w:color w:val="000000" w:themeColor="text1"/>
                <w:sz w:val="16"/>
                <w:szCs w:val="16"/>
              </w:rPr>
              <w:t>,</w:t>
            </w:r>
            <w:r w:rsidR="00AC4B78" w:rsidRPr="009E35ED">
              <w:rPr>
                <w:rFonts w:ascii="Arial Narrow" w:hAnsi="Arial Narrow"/>
                <w:color w:val="000000" w:themeColor="text1"/>
                <w:sz w:val="16"/>
                <w:szCs w:val="16"/>
              </w:rPr>
              <w:t>522</w:t>
            </w:r>
            <w:r w:rsidRPr="009E35ED">
              <w:rPr>
                <w:rFonts w:ascii="Arial Narrow" w:hAnsi="Arial Narrow"/>
                <w:color w:val="000000" w:themeColor="text1"/>
                <w:sz w:val="16"/>
                <w:szCs w:val="16"/>
              </w:rPr>
              <w:t xml:space="preserve"> </w:t>
            </w:r>
          </w:p>
        </w:tc>
        <w:tc>
          <w:tcPr>
            <w:tcW w:w="1241" w:type="dxa"/>
            <w:shd w:val="clear" w:color="auto" w:fill="auto"/>
            <w:noWrap/>
            <w:vAlign w:val="center"/>
            <w:hideMark/>
          </w:tcPr>
          <w:p w14:paraId="3C85AEB8" w14:textId="2ACE7100" w:rsidR="00A27AC6" w:rsidRPr="009E35ED" w:rsidRDefault="00A27AC6" w:rsidP="00A27AC6">
            <w:pPr>
              <w:ind w:left="-167"/>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041" w:type="dxa"/>
            <w:shd w:val="clear" w:color="auto" w:fill="auto"/>
            <w:noWrap/>
            <w:vAlign w:val="center"/>
            <w:hideMark/>
          </w:tcPr>
          <w:p w14:paraId="6F8CACDF" w14:textId="4CD1CD70" w:rsidR="00A27AC6" w:rsidRPr="009E35ED" w:rsidRDefault="00A27AC6" w:rsidP="00A27AC6">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839" w:type="dxa"/>
            <w:shd w:val="clear" w:color="auto" w:fill="auto"/>
            <w:noWrap/>
            <w:vAlign w:val="bottom"/>
            <w:hideMark/>
          </w:tcPr>
          <w:p w14:paraId="02D0D3A9" w14:textId="3D656183" w:rsidR="00A27AC6" w:rsidRPr="009E35ED" w:rsidRDefault="00AC4B78" w:rsidP="00A27AC6">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rPr>
              <w:t>601,633,522</w:t>
            </w:r>
            <w:r w:rsidR="00A27AC6" w:rsidRPr="009E35ED">
              <w:rPr>
                <w:rFonts w:ascii="Arial Narrow" w:hAnsi="Arial Narrow" w:cs="Arial"/>
                <w:color w:val="000000" w:themeColor="text1"/>
                <w:sz w:val="16"/>
                <w:szCs w:val="16"/>
              </w:rPr>
              <w:t xml:space="preserve"> </w:t>
            </w:r>
          </w:p>
        </w:tc>
      </w:tr>
      <w:tr w:rsidR="00997F75" w:rsidRPr="009E35ED" w14:paraId="703C968E" w14:textId="77777777" w:rsidTr="00860ED6">
        <w:trPr>
          <w:trHeight w:val="56"/>
        </w:trPr>
        <w:tc>
          <w:tcPr>
            <w:tcW w:w="532" w:type="dxa"/>
            <w:shd w:val="clear" w:color="auto" w:fill="auto"/>
            <w:noWrap/>
            <w:vAlign w:val="bottom"/>
            <w:hideMark/>
          </w:tcPr>
          <w:p w14:paraId="6DD27C56" w14:textId="77777777" w:rsidR="00A27AC6" w:rsidRPr="009E35ED" w:rsidRDefault="00A27AC6" w:rsidP="00A27AC6">
            <w:pPr>
              <w:ind w:left="0"/>
              <w:jc w:val="right"/>
              <w:rPr>
                <w:rFonts w:ascii="Arial Narrow" w:hAnsi="Arial Narrow"/>
                <w:color w:val="000000" w:themeColor="text1"/>
                <w:sz w:val="16"/>
                <w:szCs w:val="16"/>
                <w:lang w:val="en-PH" w:eastAsia="en-PH"/>
              </w:rPr>
            </w:pPr>
          </w:p>
        </w:tc>
        <w:tc>
          <w:tcPr>
            <w:tcW w:w="3111" w:type="dxa"/>
            <w:gridSpan w:val="3"/>
            <w:shd w:val="clear" w:color="auto" w:fill="auto"/>
            <w:noWrap/>
            <w:vAlign w:val="center"/>
            <w:hideMark/>
          </w:tcPr>
          <w:p w14:paraId="3EF8DD89" w14:textId="6F9043AB" w:rsidR="00A27AC6" w:rsidRPr="009E35ED" w:rsidRDefault="00A27AC6" w:rsidP="00A27AC6">
            <w:pPr>
              <w:ind w:left="0"/>
              <w:jc w:val="lef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 xml:space="preserve">Representation </w:t>
            </w:r>
            <w:r w:rsidR="006A1323">
              <w:rPr>
                <w:rFonts w:ascii="Arial Narrow" w:hAnsi="Arial Narrow"/>
                <w:color w:val="000000" w:themeColor="text1"/>
                <w:sz w:val="16"/>
                <w:szCs w:val="16"/>
                <w:lang w:val="en-PH" w:eastAsia="en-PH"/>
              </w:rPr>
              <w:t>e</w:t>
            </w:r>
            <w:r w:rsidRPr="009E35ED">
              <w:rPr>
                <w:rFonts w:ascii="Arial Narrow" w:hAnsi="Arial Narrow"/>
                <w:color w:val="000000" w:themeColor="text1"/>
                <w:sz w:val="16"/>
                <w:szCs w:val="16"/>
                <w:lang w:val="en-PH" w:eastAsia="en-PH"/>
              </w:rPr>
              <w:t>xpenses</w:t>
            </w:r>
          </w:p>
        </w:tc>
        <w:tc>
          <w:tcPr>
            <w:tcW w:w="1070" w:type="dxa"/>
            <w:shd w:val="clear" w:color="auto" w:fill="auto"/>
            <w:noWrap/>
            <w:vAlign w:val="bottom"/>
            <w:hideMark/>
          </w:tcPr>
          <w:p w14:paraId="6C57B8FE" w14:textId="53E09FFA" w:rsidR="00A27AC6" w:rsidRPr="009E35ED" w:rsidRDefault="00A27AC6" w:rsidP="00884C9E">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rPr>
              <w:t>324,5</w:t>
            </w:r>
            <w:r w:rsidR="00884C9E" w:rsidRPr="009E35ED">
              <w:rPr>
                <w:rFonts w:ascii="Arial Narrow" w:hAnsi="Arial Narrow"/>
                <w:color w:val="000000" w:themeColor="text1"/>
                <w:sz w:val="16"/>
                <w:szCs w:val="16"/>
              </w:rPr>
              <w:t>89</w:t>
            </w:r>
            <w:r w:rsidRPr="009E35ED">
              <w:rPr>
                <w:rFonts w:ascii="Arial Narrow" w:hAnsi="Arial Narrow"/>
                <w:color w:val="000000" w:themeColor="text1"/>
                <w:sz w:val="16"/>
                <w:szCs w:val="16"/>
              </w:rPr>
              <w:t xml:space="preserve"> </w:t>
            </w:r>
          </w:p>
        </w:tc>
        <w:tc>
          <w:tcPr>
            <w:tcW w:w="1241" w:type="dxa"/>
            <w:shd w:val="clear" w:color="auto" w:fill="auto"/>
            <w:noWrap/>
            <w:vAlign w:val="center"/>
            <w:hideMark/>
          </w:tcPr>
          <w:p w14:paraId="7C60DB83" w14:textId="27C3239F" w:rsidR="00A27AC6" w:rsidRPr="009E35ED" w:rsidRDefault="00A27AC6" w:rsidP="00A27AC6">
            <w:pPr>
              <w:ind w:left="-167"/>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041" w:type="dxa"/>
            <w:shd w:val="clear" w:color="auto" w:fill="auto"/>
            <w:noWrap/>
            <w:vAlign w:val="center"/>
            <w:hideMark/>
          </w:tcPr>
          <w:p w14:paraId="2AD21884" w14:textId="043A4DC0" w:rsidR="00A27AC6" w:rsidRPr="009E35ED" w:rsidRDefault="00A27AC6" w:rsidP="00A27AC6">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839" w:type="dxa"/>
            <w:shd w:val="clear" w:color="auto" w:fill="auto"/>
            <w:noWrap/>
            <w:vAlign w:val="bottom"/>
            <w:hideMark/>
          </w:tcPr>
          <w:p w14:paraId="59035765" w14:textId="78E2EE2A" w:rsidR="00A27AC6" w:rsidRPr="009E35ED" w:rsidRDefault="00A27AC6" w:rsidP="00884C9E">
            <w:pPr>
              <w:ind w:left="0"/>
              <w:jc w:val="right"/>
              <w:rPr>
                <w:rFonts w:ascii="Arial Narrow" w:hAnsi="Arial Narrow"/>
                <w:color w:val="000000" w:themeColor="text1"/>
                <w:sz w:val="16"/>
                <w:szCs w:val="16"/>
                <w:lang w:val="en-PH" w:eastAsia="en-PH"/>
              </w:rPr>
            </w:pPr>
            <w:r w:rsidRPr="009E35ED">
              <w:rPr>
                <w:rFonts w:ascii="Arial Narrow" w:hAnsi="Arial Narrow" w:cs="Arial"/>
                <w:color w:val="000000" w:themeColor="text1"/>
                <w:sz w:val="16"/>
                <w:szCs w:val="16"/>
              </w:rPr>
              <w:t>324,5</w:t>
            </w:r>
            <w:r w:rsidR="00884C9E" w:rsidRPr="009E35ED">
              <w:rPr>
                <w:rFonts w:ascii="Arial Narrow" w:hAnsi="Arial Narrow" w:cs="Arial"/>
                <w:color w:val="000000" w:themeColor="text1"/>
                <w:sz w:val="16"/>
                <w:szCs w:val="16"/>
              </w:rPr>
              <w:t>89</w:t>
            </w:r>
            <w:r w:rsidRPr="009E35ED">
              <w:rPr>
                <w:rFonts w:ascii="Arial Narrow" w:hAnsi="Arial Narrow" w:cs="Arial"/>
                <w:color w:val="000000" w:themeColor="text1"/>
                <w:sz w:val="16"/>
                <w:szCs w:val="16"/>
              </w:rPr>
              <w:t xml:space="preserve"> </w:t>
            </w:r>
          </w:p>
        </w:tc>
      </w:tr>
      <w:tr w:rsidR="00997F75" w:rsidRPr="009E35ED" w14:paraId="348C785C" w14:textId="77777777" w:rsidTr="00860ED6">
        <w:trPr>
          <w:trHeight w:val="56"/>
        </w:trPr>
        <w:tc>
          <w:tcPr>
            <w:tcW w:w="532" w:type="dxa"/>
            <w:shd w:val="clear" w:color="auto" w:fill="auto"/>
            <w:noWrap/>
            <w:vAlign w:val="bottom"/>
            <w:hideMark/>
          </w:tcPr>
          <w:p w14:paraId="5F68AFC2" w14:textId="77777777" w:rsidR="00A27AC6" w:rsidRPr="009E35ED" w:rsidRDefault="00A27AC6" w:rsidP="00A27AC6">
            <w:pPr>
              <w:ind w:left="0"/>
              <w:jc w:val="right"/>
              <w:rPr>
                <w:rFonts w:ascii="Arial Narrow" w:hAnsi="Arial Narrow"/>
                <w:color w:val="000000" w:themeColor="text1"/>
                <w:sz w:val="16"/>
                <w:szCs w:val="16"/>
                <w:lang w:val="en-PH" w:eastAsia="en-PH"/>
              </w:rPr>
            </w:pPr>
          </w:p>
        </w:tc>
        <w:tc>
          <w:tcPr>
            <w:tcW w:w="3111" w:type="dxa"/>
            <w:gridSpan w:val="3"/>
            <w:shd w:val="clear" w:color="auto" w:fill="auto"/>
            <w:noWrap/>
            <w:vAlign w:val="center"/>
            <w:hideMark/>
          </w:tcPr>
          <w:p w14:paraId="4E2B8E27" w14:textId="4E53047A" w:rsidR="00A27AC6" w:rsidRPr="009E35ED" w:rsidRDefault="00A27AC6" w:rsidP="00A27AC6">
            <w:pPr>
              <w:ind w:left="0"/>
              <w:jc w:val="lef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 xml:space="preserve">Membership </w:t>
            </w:r>
            <w:r w:rsidR="006A1323">
              <w:rPr>
                <w:rFonts w:ascii="Arial Narrow" w:hAnsi="Arial Narrow"/>
                <w:color w:val="000000" w:themeColor="text1"/>
                <w:sz w:val="16"/>
                <w:szCs w:val="16"/>
                <w:lang w:val="en-PH" w:eastAsia="en-PH"/>
              </w:rPr>
              <w:t>d</w:t>
            </w:r>
            <w:r w:rsidRPr="009E35ED">
              <w:rPr>
                <w:rFonts w:ascii="Arial Narrow" w:hAnsi="Arial Narrow"/>
                <w:color w:val="000000" w:themeColor="text1"/>
                <w:sz w:val="16"/>
                <w:szCs w:val="16"/>
                <w:lang w:val="en-PH" w:eastAsia="en-PH"/>
              </w:rPr>
              <w:t xml:space="preserve">ues &amp; </w:t>
            </w:r>
            <w:r w:rsidR="006A1323">
              <w:rPr>
                <w:rFonts w:ascii="Arial Narrow" w:hAnsi="Arial Narrow"/>
                <w:color w:val="000000" w:themeColor="text1"/>
                <w:sz w:val="16"/>
                <w:szCs w:val="16"/>
                <w:lang w:val="en-PH" w:eastAsia="en-PH"/>
              </w:rPr>
              <w:t>c</w:t>
            </w:r>
            <w:r w:rsidRPr="009E35ED">
              <w:rPr>
                <w:rFonts w:ascii="Arial Narrow" w:hAnsi="Arial Narrow"/>
                <w:color w:val="000000" w:themeColor="text1"/>
                <w:sz w:val="16"/>
                <w:szCs w:val="16"/>
                <w:lang w:val="en-PH" w:eastAsia="en-PH"/>
              </w:rPr>
              <w:t xml:space="preserve">ontribution to </w:t>
            </w:r>
            <w:r w:rsidR="006A1323">
              <w:rPr>
                <w:rFonts w:ascii="Arial Narrow" w:hAnsi="Arial Narrow"/>
                <w:color w:val="000000" w:themeColor="text1"/>
                <w:sz w:val="16"/>
                <w:szCs w:val="16"/>
                <w:lang w:val="en-PH" w:eastAsia="en-PH"/>
              </w:rPr>
              <w:t>o</w:t>
            </w:r>
            <w:r w:rsidRPr="009E35ED">
              <w:rPr>
                <w:rFonts w:ascii="Arial Narrow" w:hAnsi="Arial Narrow"/>
                <w:color w:val="000000" w:themeColor="text1"/>
                <w:sz w:val="16"/>
                <w:szCs w:val="16"/>
                <w:lang w:val="en-PH" w:eastAsia="en-PH"/>
              </w:rPr>
              <w:t>rganization</w:t>
            </w:r>
          </w:p>
        </w:tc>
        <w:tc>
          <w:tcPr>
            <w:tcW w:w="1070" w:type="dxa"/>
            <w:shd w:val="clear" w:color="auto" w:fill="auto"/>
            <w:noWrap/>
            <w:vAlign w:val="bottom"/>
            <w:hideMark/>
          </w:tcPr>
          <w:p w14:paraId="77F93E7D" w14:textId="20EEA6B3" w:rsidR="00A27AC6" w:rsidRPr="009E35ED" w:rsidRDefault="00A27AC6" w:rsidP="00A27AC6">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rPr>
              <w:t xml:space="preserve">477,910 </w:t>
            </w:r>
          </w:p>
        </w:tc>
        <w:tc>
          <w:tcPr>
            <w:tcW w:w="1241" w:type="dxa"/>
            <w:shd w:val="clear" w:color="auto" w:fill="auto"/>
            <w:noWrap/>
            <w:vAlign w:val="center"/>
            <w:hideMark/>
          </w:tcPr>
          <w:p w14:paraId="2FDF36D3" w14:textId="4BC58110" w:rsidR="00A27AC6" w:rsidRPr="009E35ED" w:rsidRDefault="00A27AC6" w:rsidP="00A27AC6">
            <w:pPr>
              <w:ind w:left="-167"/>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041" w:type="dxa"/>
            <w:shd w:val="clear" w:color="auto" w:fill="auto"/>
            <w:noWrap/>
            <w:vAlign w:val="center"/>
            <w:hideMark/>
          </w:tcPr>
          <w:p w14:paraId="21470868" w14:textId="72F51322" w:rsidR="00A27AC6" w:rsidRPr="009E35ED" w:rsidRDefault="00A27AC6" w:rsidP="00A27AC6">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839" w:type="dxa"/>
            <w:shd w:val="clear" w:color="auto" w:fill="auto"/>
            <w:noWrap/>
            <w:vAlign w:val="bottom"/>
            <w:hideMark/>
          </w:tcPr>
          <w:p w14:paraId="3D1A49C2" w14:textId="1637B2AD" w:rsidR="00A27AC6" w:rsidRPr="009E35ED" w:rsidRDefault="00A27AC6" w:rsidP="00A27AC6">
            <w:pPr>
              <w:ind w:left="0"/>
              <w:jc w:val="right"/>
              <w:rPr>
                <w:rFonts w:ascii="Arial Narrow" w:hAnsi="Arial Narrow"/>
                <w:color w:val="000000" w:themeColor="text1"/>
                <w:sz w:val="16"/>
                <w:szCs w:val="16"/>
                <w:lang w:val="en-PH" w:eastAsia="en-PH"/>
              </w:rPr>
            </w:pPr>
            <w:r w:rsidRPr="009E35ED">
              <w:rPr>
                <w:rFonts w:ascii="Arial Narrow" w:hAnsi="Arial Narrow" w:cs="Arial"/>
                <w:color w:val="000000" w:themeColor="text1"/>
                <w:sz w:val="16"/>
                <w:szCs w:val="16"/>
              </w:rPr>
              <w:t xml:space="preserve">477,910 </w:t>
            </w:r>
          </w:p>
        </w:tc>
      </w:tr>
      <w:tr w:rsidR="00997F75" w:rsidRPr="009E35ED" w14:paraId="1FF560B7" w14:textId="77777777" w:rsidTr="00860ED6">
        <w:trPr>
          <w:trHeight w:val="83"/>
        </w:trPr>
        <w:tc>
          <w:tcPr>
            <w:tcW w:w="532" w:type="dxa"/>
            <w:shd w:val="clear" w:color="auto" w:fill="auto"/>
            <w:noWrap/>
            <w:vAlign w:val="bottom"/>
            <w:hideMark/>
          </w:tcPr>
          <w:p w14:paraId="0BF235F2" w14:textId="77777777" w:rsidR="00A27AC6" w:rsidRPr="009E35ED" w:rsidRDefault="00A27AC6" w:rsidP="00A27AC6">
            <w:pPr>
              <w:ind w:left="0"/>
              <w:jc w:val="right"/>
              <w:rPr>
                <w:rFonts w:ascii="Arial Narrow" w:hAnsi="Arial Narrow"/>
                <w:color w:val="000000" w:themeColor="text1"/>
                <w:sz w:val="16"/>
                <w:szCs w:val="16"/>
                <w:lang w:val="en-PH" w:eastAsia="en-PH"/>
              </w:rPr>
            </w:pPr>
          </w:p>
        </w:tc>
        <w:tc>
          <w:tcPr>
            <w:tcW w:w="3111" w:type="dxa"/>
            <w:gridSpan w:val="3"/>
            <w:shd w:val="clear" w:color="auto" w:fill="auto"/>
            <w:noWrap/>
            <w:vAlign w:val="center"/>
            <w:hideMark/>
          </w:tcPr>
          <w:p w14:paraId="660C3431" w14:textId="61DF9FE6" w:rsidR="00A27AC6" w:rsidRPr="009E35ED" w:rsidRDefault="00A27AC6" w:rsidP="00A27AC6">
            <w:pPr>
              <w:ind w:left="0"/>
              <w:jc w:val="lef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 xml:space="preserve">Subscription </w:t>
            </w:r>
            <w:r w:rsidR="006A1323">
              <w:rPr>
                <w:rFonts w:ascii="Arial Narrow" w:hAnsi="Arial Narrow"/>
                <w:color w:val="000000" w:themeColor="text1"/>
                <w:sz w:val="16"/>
                <w:szCs w:val="16"/>
                <w:lang w:val="en-PH" w:eastAsia="en-PH"/>
              </w:rPr>
              <w:t>e</w:t>
            </w:r>
            <w:r w:rsidRPr="009E35ED">
              <w:rPr>
                <w:rFonts w:ascii="Arial Narrow" w:hAnsi="Arial Narrow"/>
                <w:color w:val="000000" w:themeColor="text1"/>
                <w:sz w:val="16"/>
                <w:szCs w:val="16"/>
                <w:lang w:val="en-PH" w:eastAsia="en-PH"/>
              </w:rPr>
              <w:t>xpenses</w:t>
            </w:r>
          </w:p>
        </w:tc>
        <w:tc>
          <w:tcPr>
            <w:tcW w:w="1070" w:type="dxa"/>
            <w:shd w:val="clear" w:color="auto" w:fill="auto"/>
            <w:noWrap/>
            <w:vAlign w:val="bottom"/>
            <w:hideMark/>
          </w:tcPr>
          <w:p w14:paraId="7D3B2D3D" w14:textId="365DAF68" w:rsidR="00A27AC6" w:rsidRPr="009E35ED" w:rsidRDefault="00A27AC6" w:rsidP="00A27AC6">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241" w:type="dxa"/>
            <w:shd w:val="clear" w:color="auto" w:fill="auto"/>
            <w:noWrap/>
            <w:vAlign w:val="center"/>
            <w:hideMark/>
          </w:tcPr>
          <w:p w14:paraId="62437D83" w14:textId="3EEBF4C4" w:rsidR="00A27AC6" w:rsidRPr="009E35ED" w:rsidRDefault="00A27AC6" w:rsidP="00A27AC6">
            <w:pPr>
              <w:ind w:left="-167"/>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041" w:type="dxa"/>
            <w:shd w:val="clear" w:color="auto" w:fill="auto"/>
            <w:noWrap/>
            <w:vAlign w:val="center"/>
            <w:hideMark/>
          </w:tcPr>
          <w:p w14:paraId="5232EA46" w14:textId="7D19CEF4" w:rsidR="00A27AC6" w:rsidRPr="009E35ED" w:rsidRDefault="00A27AC6" w:rsidP="00A27AC6">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839" w:type="dxa"/>
            <w:shd w:val="clear" w:color="auto" w:fill="auto"/>
            <w:noWrap/>
            <w:vAlign w:val="bottom"/>
            <w:hideMark/>
          </w:tcPr>
          <w:p w14:paraId="0652578D" w14:textId="36D31535" w:rsidR="00A27AC6" w:rsidRPr="009E35ED" w:rsidRDefault="00A27AC6" w:rsidP="00A27AC6">
            <w:pPr>
              <w:ind w:left="0"/>
              <w:jc w:val="right"/>
              <w:rPr>
                <w:rFonts w:ascii="Arial Narrow" w:hAnsi="Arial Narrow"/>
                <w:color w:val="000000" w:themeColor="text1"/>
                <w:sz w:val="16"/>
                <w:szCs w:val="16"/>
                <w:lang w:val="en-PH" w:eastAsia="en-PH"/>
              </w:rPr>
            </w:pPr>
            <w:r w:rsidRPr="009E35ED">
              <w:rPr>
                <w:rFonts w:ascii="Arial Narrow" w:hAnsi="Arial Narrow" w:cs="Arial"/>
                <w:color w:val="000000" w:themeColor="text1"/>
                <w:sz w:val="16"/>
                <w:szCs w:val="16"/>
              </w:rPr>
              <w:t xml:space="preserve">-   </w:t>
            </w:r>
          </w:p>
        </w:tc>
      </w:tr>
      <w:tr w:rsidR="00997F75" w:rsidRPr="009E35ED" w14:paraId="16CB7B79" w14:textId="77777777" w:rsidTr="00860ED6">
        <w:trPr>
          <w:trHeight w:val="56"/>
        </w:trPr>
        <w:tc>
          <w:tcPr>
            <w:tcW w:w="532" w:type="dxa"/>
            <w:shd w:val="clear" w:color="auto" w:fill="auto"/>
            <w:noWrap/>
            <w:vAlign w:val="bottom"/>
            <w:hideMark/>
          </w:tcPr>
          <w:p w14:paraId="238C1191" w14:textId="77777777" w:rsidR="00A27AC6" w:rsidRPr="009E35ED" w:rsidRDefault="00A27AC6" w:rsidP="00A27AC6">
            <w:pPr>
              <w:ind w:left="0"/>
              <w:jc w:val="right"/>
              <w:rPr>
                <w:rFonts w:ascii="Arial Narrow" w:hAnsi="Arial Narrow"/>
                <w:color w:val="000000" w:themeColor="text1"/>
                <w:sz w:val="16"/>
                <w:szCs w:val="16"/>
                <w:lang w:val="en-PH" w:eastAsia="en-PH"/>
              </w:rPr>
            </w:pPr>
          </w:p>
        </w:tc>
        <w:tc>
          <w:tcPr>
            <w:tcW w:w="3111" w:type="dxa"/>
            <w:gridSpan w:val="3"/>
            <w:shd w:val="clear" w:color="auto" w:fill="auto"/>
            <w:noWrap/>
            <w:vAlign w:val="center"/>
            <w:hideMark/>
          </w:tcPr>
          <w:p w14:paraId="4F8AAD49" w14:textId="0C95C325" w:rsidR="00A27AC6" w:rsidRPr="009E35ED" w:rsidRDefault="00A27AC6" w:rsidP="00A27AC6">
            <w:pPr>
              <w:ind w:left="0"/>
              <w:jc w:val="lef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 xml:space="preserve">Directors and </w:t>
            </w:r>
            <w:r w:rsidR="006A1323">
              <w:rPr>
                <w:rFonts w:ascii="Arial Narrow" w:hAnsi="Arial Narrow"/>
                <w:color w:val="000000" w:themeColor="text1"/>
                <w:sz w:val="16"/>
                <w:szCs w:val="16"/>
                <w:lang w:val="en-PH" w:eastAsia="en-PH"/>
              </w:rPr>
              <w:t>c</w:t>
            </w:r>
            <w:r w:rsidRPr="009E35ED">
              <w:rPr>
                <w:rFonts w:ascii="Arial Narrow" w:hAnsi="Arial Narrow"/>
                <w:color w:val="000000" w:themeColor="text1"/>
                <w:sz w:val="16"/>
                <w:szCs w:val="16"/>
                <w:lang w:val="en-PH" w:eastAsia="en-PH"/>
              </w:rPr>
              <w:t xml:space="preserve">ommittee </w:t>
            </w:r>
            <w:r w:rsidR="006A1323">
              <w:rPr>
                <w:rFonts w:ascii="Arial Narrow" w:hAnsi="Arial Narrow"/>
                <w:color w:val="000000" w:themeColor="text1"/>
                <w:sz w:val="16"/>
                <w:szCs w:val="16"/>
                <w:lang w:val="en-PH" w:eastAsia="en-PH"/>
              </w:rPr>
              <w:t>m</w:t>
            </w:r>
            <w:r w:rsidRPr="009E35ED">
              <w:rPr>
                <w:rFonts w:ascii="Arial Narrow" w:hAnsi="Arial Narrow"/>
                <w:color w:val="000000" w:themeColor="text1"/>
                <w:sz w:val="16"/>
                <w:szCs w:val="16"/>
                <w:lang w:val="en-PH" w:eastAsia="en-PH"/>
              </w:rPr>
              <w:t>embers'</w:t>
            </w:r>
            <w:r w:rsidR="006A1323">
              <w:rPr>
                <w:rFonts w:ascii="Arial Narrow" w:hAnsi="Arial Narrow"/>
                <w:color w:val="000000" w:themeColor="text1"/>
                <w:sz w:val="16"/>
                <w:szCs w:val="16"/>
                <w:lang w:val="en-PH" w:eastAsia="en-PH"/>
              </w:rPr>
              <w:t xml:space="preserve"> f</w:t>
            </w:r>
            <w:r w:rsidRPr="009E35ED">
              <w:rPr>
                <w:rFonts w:ascii="Arial Narrow" w:hAnsi="Arial Narrow"/>
                <w:color w:val="000000" w:themeColor="text1"/>
                <w:sz w:val="16"/>
                <w:szCs w:val="16"/>
                <w:lang w:val="en-PH" w:eastAsia="en-PH"/>
              </w:rPr>
              <w:t>ees</w:t>
            </w:r>
          </w:p>
        </w:tc>
        <w:tc>
          <w:tcPr>
            <w:tcW w:w="1070" w:type="dxa"/>
            <w:shd w:val="clear" w:color="auto" w:fill="auto"/>
            <w:noWrap/>
            <w:vAlign w:val="bottom"/>
            <w:hideMark/>
          </w:tcPr>
          <w:p w14:paraId="1626998C" w14:textId="15CD2BAC" w:rsidR="00A27AC6" w:rsidRPr="009E35ED" w:rsidRDefault="00A27AC6" w:rsidP="00A27AC6">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rPr>
              <w:t xml:space="preserve">7,763,200 </w:t>
            </w:r>
          </w:p>
        </w:tc>
        <w:tc>
          <w:tcPr>
            <w:tcW w:w="1241" w:type="dxa"/>
            <w:shd w:val="clear" w:color="auto" w:fill="auto"/>
            <w:noWrap/>
            <w:vAlign w:val="center"/>
            <w:hideMark/>
          </w:tcPr>
          <w:p w14:paraId="61DD4309" w14:textId="622558FB" w:rsidR="00A27AC6" w:rsidRPr="009E35ED" w:rsidRDefault="00A27AC6" w:rsidP="00A27AC6">
            <w:pPr>
              <w:ind w:left="-167"/>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041" w:type="dxa"/>
            <w:shd w:val="clear" w:color="auto" w:fill="auto"/>
            <w:noWrap/>
            <w:vAlign w:val="center"/>
            <w:hideMark/>
          </w:tcPr>
          <w:p w14:paraId="00618C6F" w14:textId="4DD37637" w:rsidR="00A27AC6" w:rsidRPr="009E35ED" w:rsidRDefault="00A27AC6" w:rsidP="00A27AC6">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839" w:type="dxa"/>
            <w:shd w:val="clear" w:color="auto" w:fill="auto"/>
            <w:noWrap/>
            <w:vAlign w:val="bottom"/>
            <w:hideMark/>
          </w:tcPr>
          <w:p w14:paraId="395541D6" w14:textId="578FB772" w:rsidR="00A27AC6" w:rsidRPr="009E35ED" w:rsidRDefault="00A27AC6" w:rsidP="00A27AC6">
            <w:pPr>
              <w:ind w:left="0"/>
              <w:jc w:val="right"/>
              <w:rPr>
                <w:rFonts w:ascii="Arial Narrow" w:hAnsi="Arial Narrow"/>
                <w:color w:val="000000" w:themeColor="text1"/>
                <w:sz w:val="16"/>
                <w:szCs w:val="16"/>
                <w:lang w:val="en-PH" w:eastAsia="en-PH"/>
              </w:rPr>
            </w:pPr>
            <w:r w:rsidRPr="009E35ED">
              <w:rPr>
                <w:rFonts w:ascii="Arial Narrow" w:hAnsi="Arial Narrow" w:cs="Arial"/>
                <w:color w:val="000000" w:themeColor="text1"/>
                <w:sz w:val="16"/>
                <w:szCs w:val="16"/>
              </w:rPr>
              <w:t xml:space="preserve">7,763,200 </w:t>
            </w:r>
          </w:p>
        </w:tc>
      </w:tr>
      <w:tr w:rsidR="00997F75" w:rsidRPr="009E35ED" w14:paraId="326D94F2" w14:textId="77777777" w:rsidTr="00860ED6">
        <w:trPr>
          <w:trHeight w:val="132"/>
        </w:trPr>
        <w:tc>
          <w:tcPr>
            <w:tcW w:w="532" w:type="dxa"/>
            <w:shd w:val="clear" w:color="auto" w:fill="auto"/>
            <w:noWrap/>
            <w:vAlign w:val="bottom"/>
            <w:hideMark/>
          </w:tcPr>
          <w:p w14:paraId="174C92D2" w14:textId="77777777" w:rsidR="00A27AC6" w:rsidRPr="009E35ED" w:rsidRDefault="00A27AC6" w:rsidP="00A27AC6">
            <w:pPr>
              <w:ind w:left="0"/>
              <w:jc w:val="right"/>
              <w:rPr>
                <w:rFonts w:ascii="Arial Narrow" w:hAnsi="Arial Narrow"/>
                <w:color w:val="000000" w:themeColor="text1"/>
                <w:sz w:val="16"/>
                <w:szCs w:val="16"/>
                <w:lang w:val="en-PH" w:eastAsia="en-PH"/>
              </w:rPr>
            </w:pPr>
          </w:p>
        </w:tc>
        <w:tc>
          <w:tcPr>
            <w:tcW w:w="3111" w:type="dxa"/>
            <w:gridSpan w:val="3"/>
            <w:shd w:val="clear" w:color="auto" w:fill="auto"/>
            <w:noWrap/>
            <w:vAlign w:val="center"/>
            <w:hideMark/>
          </w:tcPr>
          <w:p w14:paraId="6FA94F2A" w14:textId="14809655" w:rsidR="00A27AC6" w:rsidRPr="009E35ED" w:rsidRDefault="00A27AC6" w:rsidP="00A27AC6">
            <w:pPr>
              <w:ind w:left="0"/>
              <w:jc w:val="lef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 xml:space="preserve">Lottery </w:t>
            </w:r>
            <w:r w:rsidR="006A1323">
              <w:rPr>
                <w:rFonts w:ascii="Arial Narrow" w:hAnsi="Arial Narrow"/>
                <w:color w:val="000000" w:themeColor="text1"/>
                <w:sz w:val="16"/>
                <w:szCs w:val="16"/>
                <w:lang w:val="en-PH" w:eastAsia="en-PH"/>
              </w:rPr>
              <w:t>d</w:t>
            </w:r>
            <w:r w:rsidRPr="009E35ED">
              <w:rPr>
                <w:rFonts w:ascii="Arial Narrow" w:hAnsi="Arial Narrow"/>
                <w:color w:val="000000" w:themeColor="text1"/>
                <w:sz w:val="16"/>
                <w:szCs w:val="16"/>
                <w:lang w:val="en-PH" w:eastAsia="en-PH"/>
              </w:rPr>
              <w:t xml:space="preserve">raws </w:t>
            </w:r>
            <w:r w:rsidR="006A1323">
              <w:rPr>
                <w:rFonts w:ascii="Arial Narrow" w:hAnsi="Arial Narrow"/>
                <w:color w:val="000000" w:themeColor="text1"/>
                <w:sz w:val="16"/>
                <w:szCs w:val="16"/>
                <w:lang w:val="en-PH" w:eastAsia="en-PH"/>
              </w:rPr>
              <w:t>e</w:t>
            </w:r>
            <w:r w:rsidRPr="009E35ED">
              <w:rPr>
                <w:rFonts w:ascii="Arial Narrow" w:hAnsi="Arial Narrow"/>
                <w:color w:val="000000" w:themeColor="text1"/>
                <w:sz w:val="16"/>
                <w:szCs w:val="16"/>
                <w:lang w:val="en-PH" w:eastAsia="en-PH"/>
              </w:rPr>
              <w:t>xpenses</w:t>
            </w:r>
          </w:p>
        </w:tc>
        <w:tc>
          <w:tcPr>
            <w:tcW w:w="1070" w:type="dxa"/>
            <w:shd w:val="clear" w:color="auto" w:fill="auto"/>
            <w:noWrap/>
            <w:vAlign w:val="bottom"/>
            <w:hideMark/>
          </w:tcPr>
          <w:p w14:paraId="4D4EE608" w14:textId="5F057C8F" w:rsidR="00A27AC6" w:rsidRPr="009E35ED" w:rsidRDefault="00A27AC6" w:rsidP="00884C9E">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rPr>
              <w:t>661,3</w:t>
            </w:r>
            <w:r w:rsidR="00884C9E" w:rsidRPr="009E35ED">
              <w:rPr>
                <w:rFonts w:ascii="Arial Narrow" w:hAnsi="Arial Narrow"/>
                <w:color w:val="000000" w:themeColor="text1"/>
                <w:sz w:val="16"/>
                <w:szCs w:val="16"/>
              </w:rPr>
              <w:t>85,40</w:t>
            </w:r>
            <w:r w:rsidR="008215E9" w:rsidRPr="009E35ED">
              <w:rPr>
                <w:rFonts w:ascii="Arial Narrow" w:hAnsi="Arial Narrow"/>
                <w:color w:val="000000" w:themeColor="text1"/>
                <w:sz w:val="16"/>
                <w:szCs w:val="16"/>
              </w:rPr>
              <w:t>8</w:t>
            </w:r>
            <w:r w:rsidRPr="009E35ED">
              <w:rPr>
                <w:rFonts w:ascii="Arial Narrow" w:hAnsi="Arial Narrow"/>
                <w:color w:val="000000" w:themeColor="text1"/>
                <w:sz w:val="16"/>
                <w:szCs w:val="16"/>
              </w:rPr>
              <w:t xml:space="preserve"> </w:t>
            </w:r>
          </w:p>
        </w:tc>
        <w:tc>
          <w:tcPr>
            <w:tcW w:w="1241" w:type="dxa"/>
            <w:shd w:val="clear" w:color="auto" w:fill="auto"/>
            <w:noWrap/>
            <w:vAlign w:val="center"/>
            <w:hideMark/>
          </w:tcPr>
          <w:p w14:paraId="66DBB0C6" w14:textId="446AFE70" w:rsidR="00A27AC6" w:rsidRPr="009E35ED" w:rsidRDefault="00A27AC6" w:rsidP="00A27AC6">
            <w:pPr>
              <w:ind w:left="-167"/>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041" w:type="dxa"/>
            <w:shd w:val="clear" w:color="auto" w:fill="auto"/>
            <w:noWrap/>
            <w:vAlign w:val="center"/>
            <w:hideMark/>
          </w:tcPr>
          <w:p w14:paraId="15197D0A" w14:textId="57AFDC16" w:rsidR="00A27AC6" w:rsidRPr="009E35ED" w:rsidRDefault="00A27AC6" w:rsidP="00A27AC6">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839" w:type="dxa"/>
            <w:shd w:val="clear" w:color="auto" w:fill="auto"/>
            <w:noWrap/>
            <w:vAlign w:val="bottom"/>
            <w:hideMark/>
          </w:tcPr>
          <w:p w14:paraId="0DDEABB2" w14:textId="1C2A5E24" w:rsidR="00A27AC6" w:rsidRPr="009E35ED" w:rsidRDefault="00884C9E" w:rsidP="00A27AC6">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rPr>
              <w:t>661,385,40</w:t>
            </w:r>
            <w:r w:rsidR="008215E9" w:rsidRPr="009E35ED">
              <w:rPr>
                <w:rFonts w:ascii="Arial Narrow" w:hAnsi="Arial Narrow"/>
                <w:color w:val="000000" w:themeColor="text1"/>
                <w:sz w:val="16"/>
                <w:szCs w:val="16"/>
              </w:rPr>
              <w:t>8</w:t>
            </w:r>
            <w:r w:rsidR="00A27AC6" w:rsidRPr="009E35ED">
              <w:rPr>
                <w:rFonts w:ascii="Arial Narrow" w:hAnsi="Arial Narrow" w:cs="Arial"/>
                <w:color w:val="000000" w:themeColor="text1"/>
                <w:sz w:val="16"/>
                <w:szCs w:val="16"/>
              </w:rPr>
              <w:t xml:space="preserve"> </w:t>
            </w:r>
          </w:p>
        </w:tc>
      </w:tr>
      <w:tr w:rsidR="00997F75" w:rsidRPr="009E35ED" w14:paraId="501D8108" w14:textId="77777777" w:rsidTr="00860ED6">
        <w:trPr>
          <w:trHeight w:val="56"/>
        </w:trPr>
        <w:tc>
          <w:tcPr>
            <w:tcW w:w="532" w:type="dxa"/>
            <w:shd w:val="clear" w:color="auto" w:fill="auto"/>
            <w:noWrap/>
            <w:vAlign w:val="bottom"/>
            <w:hideMark/>
          </w:tcPr>
          <w:p w14:paraId="0B14119A" w14:textId="77777777" w:rsidR="004345D7" w:rsidRPr="009E35ED" w:rsidRDefault="004345D7" w:rsidP="004345D7">
            <w:pPr>
              <w:ind w:left="0"/>
              <w:jc w:val="right"/>
              <w:rPr>
                <w:rFonts w:ascii="Arial Narrow" w:hAnsi="Arial Narrow"/>
                <w:color w:val="000000" w:themeColor="text1"/>
                <w:sz w:val="16"/>
                <w:szCs w:val="16"/>
                <w:lang w:val="en-PH" w:eastAsia="en-PH"/>
              </w:rPr>
            </w:pPr>
          </w:p>
        </w:tc>
        <w:tc>
          <w:tcPr>
            <w:tcW w:w="3111" w:type="dxa"/>
            <w:gridSpan w:val="3"/>
            <w:shd w:val="clear" w:color="auto" w:fill="auto"/>
            <w:noWrap/>
            <w:vAlign w:val="center"/>
            <w:hideMark/>
          </w:tcPr>
          <w:p w14:paraId="1BF3ED01" w14:textId="2293D480" w:rsidR="004345D7" w:rsidRPr="009E35ED" w:rsidRDefault="004345D7" w:rsidP="004345D7">
            <w:pPr>
              <w:ind w:left="0"/>
              <w:jc w:val="lef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 xml:space="preserve">Fees and </w:t>
            </w:r>
            <w:r w:rsidR="006A1323">
              <w:rPr>
                <w:rFonts w:ascii="Arial Narrow" w:hAnsi="Arial Narrow"/>
                <w:color w:val="000000" w:themeColor="text1"/>
                <w:sz w:val="16"/>
                <w:szCs w:val="16"/>
                <w:lang w:val="en-PH" w:eastAsia="en-PH"/>
              </w:rPr>
              <w:t>c</w:t>
            </w:r>
            <w:r w:rsidRPr="009E35ED">
              <w:rPr>
                <w:rFonts w:ascii="Arial Narrow" w:hAnsi="Arial Narrow"/>
                <w:color w:val="000000" w:themeColor="text1"/>
                <w:sz w:val="16"/>
                <w:szCs w:val="16"/>
                <w:lang w:val="en-PH" w:eastAsia="en-PH"/>
              </w:rPr>
              <w:t xml:space="preserve">ommission - </w:t>
            </w:r>
            <w:r w:rsidR="006A1323">
              <w:rPr>
                <w:rFonts w:ascii="Arial Narrow" w:hAnsi="Arial Narrow"/>
                <w:color w:val="000000" w:themeColor="text1"/>
                <w:sz w:val="16"/>
                <w:szCs w:val="16"/>
                <w:lang w:val="en-PH" w:eastAsia="en-PH"/>
              </w:rPr>
              <w:t>c</w:t>
            </w:r>
            <w:r w:rsidRPr="009E35ED">
              <w:rPr>
                <w:rFonts w:ascii="Arial Narrow" w:hAnsi="Arial Narrow"/>
                <w:color w:val="000000" w:themeColor="text1"/>
                <w:sz w:val="16"/>
                <w:szCs w:val="16"/>
                <w:lang w:val="en-PH" w:eastAsia="en-PH"/>
              </w:rPr>
              <w:t xml:space="preserve">ommission </w:t>
            </w:r>
            <w:r w:rsidR="006A1323">
              <w:rPr>
                <w:rFonts w:ascii="Arial Narrow" w:hAnsi="Arial Narrow"/>
                <w:color w:val="000000" w:themeColor="text1"/>
                <w:sz w:val="16"/>
                <w:szCs w:val="16"/>
                <w:lang w:val="en-PH" w:eastAsia="en-PH"/>
              </w:rPr>
              <w:t>e</w:t>
            </w:r>
            <w:r w:rsidRPr="009E35ED">
              <w:rPr>
                <w:rFonts w:ascii="Arial Narrow" w:hAnsi="Arial Narrow"/>
                <w:color w:val="000000" w:themeColor="text1"/>
                <w:sz w:val="16"/>
                <w:szCs w:val="16"/>
                <w:lang w:val="en-PH" w:eastAsia="en-PH"/>
              </w:rPr>
              <w:t>xpenses</w:t>
            </w:r>
          </w:p>
        </w:tc>
        <w:tc>
          <w:tcPr>
            <w:tcW w:w="1070" w:type="dxa"/>
            <w:shd w:val="clear" w:color="auto" w:fill="auto"/>
            <w:noWrap/>
            <w:vAlign w:val="bottom"/>
            <w:hideMark/>
          </w:tcPr>
          <w:p w14:paraId="77D811B5" w14:textId="2089DCF4" w:rsidR="004345D7" w:rsidRPr="009E35ED" w:rsidRDefault="00884C9E" w:rsidP="00E1724A">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241" w:type="dxa"/>
            <w:shd w:val="clear" w:color="auto" w:fill="auto"/>
            <w:noWrap/>
            <w:vAlign w:val="bottom"/>
            <w:hideMark/>
          </w:tcPr>
          <w:p w14:paraId="372C3E7F" w14:textId="6B92CB19" w:rsidR="004345D7" w:rsidRPr="009E35ED" w:rsidRDefault="00884C9E" w:rsidP="00E1724A">
            <w:pPr>
              <w:ind w:left="-167"/>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041" w:type="dxa"/>
            <w:shd w:val="clear" w:color="auto" w:fill="auto"/>
            <w:noWrap/>
            <w:vAlign w:val="bottom"/>
            <w:hideMark/>
          </w:tcPr>
          <w:p w14:paraId="37665DC9" w14:textId="1559EEBE" w:rsidR="004345D7" w:rsidRPr="009E35ED" w:rsidRDefault="004345D7" w:rsidP="00E1724A">
            <w:pPr>
              <w:ind w:left="0"/>
              <w:jc w:val="right"/>
              <w:rPr>
                <w:rFonts w:ascii="Arial Narrow" w:hAnsi="Arial Narrow"/>
                <w:color w:val="000000" w:themeColor="text1"/>
                <w:sz w:val="16"/>
                <w:szCs w:val="16"/>
                <w:lang w:val="en-PH" w:eastAsia="en-PH"/>
              </w:rPr>
            </w:pPr>
            <w:r w:rsidRPr="009E35ED">
              <w:rPr>
                <w:rFonts w:ascii="Arial Narrow" w:hAnsi="Arial Narrow" w:cs="Arial"/>
                <w:color w:val="000000" w:themeColor="text1"/>
                <w:sz w:val="16"/>
                <w:szCs w:val="16"/>
              </w:rPr>
              <w:t xml:space="preserve">8,201,796,051 </w:t>
            </w:r>
          </w:p>
        </w:tc>
        <w:tc>
          <w:tcPr>
            <w:tcW w:w="1839" w:type="dxa"/>
            <w:shd w:val="clear" w:color="auto" w:fill="auto"/>
            <w:noWrap/>
            <w:vAlign w:val="bottom"/>
            <w:hideMark/>
          </w:tcPr>
          <w:p w14:paraId="6D28C514" w14:textId="511C60A1" w:rsidR="004345D7" w:rsidRPr="009E35ED" w:rsidRDefault="004345D7" w:rsidP="00E1724A">
            <w:pPr>
              <w:ind w:left="0"/>
              <w:jc w:val="right"/>
              <w:rPr>
                <w:rFonts w:ascii="Arial Narrow" w:hAnsi="Arial Narrow"/>
                <w:color w:val="000000" w:themeColor="text1"/>
                <w:sz w:val="16"/>
                <w:szCs w:val="16"/>
                <w:lang w:val="en-PH" w:eastAsia="en-PH"/>
              </w:rPr>
            </w:pPr>
            <w:r w:rsidRPr="009E35ED">
              <w:rPr>
                <w:rFonts w:ascii="Arial Narrow" w:hAnsi="Arial Narrow" w:cs="Arial"/>
                <w:color w:val="000000" w:themeColor="text1"/>
                <w:sz w:val="16"/>
                <w:szCs w:val="16"/>
              </w:rPr>
              <w:t xml:space="preserve">8,201,796,051 </w:t>
            </w:r>
          </w:p>
        </w:tc>
      </w:tr>
      <w:tr w:rsidR="00997F75" w:rsidRPr="009E35ED" w14:paraId="05FC6358" w14:textId="77777777" w:rsidTr="00860ED6">
        <w:trPr>
          <w:trHeight w:val="121"/>
        </w:trPr>
        <w:tc>
          <w:tcPr>
            <w:tcW w:w="532" w:type="dxa"/>
            <w:shd w:val="clear" w:color="auto" w:fill="auto"/>
            <w:noWrap/>
            <w:vAlign w:val="bottom"/>
            <w:hideMark/>
          </w:tcPr>
          <w:p w14:paraId="16EBF7FC" w14:textId="77777777" w:rsidR="00A27AC6" w:rsidRPr="009E35ED" w:rsidRDefault="00A27AC6" w:rsidP="00A27AC6">
            <w:pPr>
              <w:ind w:left="0"/>
              <w:jc w:val="right"/>
              <w:rPr>
                <w:rFonts w:ascii="Arial Narrow" w:hAnsi="Arial Narrow"/>
                <w:color w:val="000000" w:themeColor="text1"/>
                <w:sz w:val="16"/>
                <w:szCs w:val="16"/>
                <w:lang w:val="en-PH" w:eastAsia="en-PH"/>
              </w:rPr>
            </w:pPr>
          </w:p>
        </w:tc>
        <w:tc>
          <w:tcPr>
            <w:tcW w:w="3111" w:type="dxa"/>
            <w:gridSpan w:val="3"/>
            <w:shd w:val="clear" w:color="auto" w:fill="auto"/>
            <w:noWrap/>
            <w:vAlign w:val="center"/>
            <w:hideMark/>
          </w:tcPr>
          <w:p w14:paraId="75953D7C" w14:textId="034052FE" w:rsidR="00A27AC6" w:rsidRPr="009E35ED" w:rsidRDefault="00A27AC6" w:rsidP="00A27AC6">
            <w:pPr>
              <w:ind w:left="0"/>
              <w:jc w:val="lef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 xml:space="preserve">Other </w:t>
            </w:r>
            <w:r w:rsidR="006A1323">
              <w:rPr>
                <w:rFonts w:ascii="Arial Narrow" w:hAnsi="Arial Narrow"/>
                <w:color w:val="000000" w:themeColor="text1"/>
                <w:sz w:val="16"/>
                <w:szCs w:val="16"/>
                <w:lang w:val="en-PH" w:eastAsia="en-PH"/>
              </w:rPr>
              <w:t>m</w:t>
            </w:r>
            <w:r w:rsidRPr="009E35ED">
              <w:rPr>
                <w:rFonts w:ascii="Arial Narrow" w:hAnsi="Arial Narrow"/>
                <w:color w:val="000000" w:themeColor="text1"/>
                <w:sz w:val="16"/>
                <w:szCs w:val="16"/>
                <w:lang w:val="en-PH" w:eastAsia="en-PH"/>
              </w:rPr>
              <w:t xml:space="preserve">aintenance and </w:t>
            </w:r>
            <w:r w:rsidR="006A1323">
              <w:rPr>
                <w:rFonts w:ascii="Arial Narrow" w:hAnsi="Arial Narrow"/>
                <w:color w:val="000000" w:themeColor="text1"/>
                <w:sz w:val="16"/>
                <w:szCs w:val="16"/>
                <w:lang w:val="en-PH" w:eastAsia="en-PH"/>
              </w:rPr>
              <w:t>o</w:t>
            </w:r>
            <w:r w:rsidRPr="009E35ED">
              <w:rPr>
                <w:rFonts w:ascii="Arial Narrow" w:hAnsi="Arial Narrow"/>
                <w:color w:val="000000" w:themeColor="text1"/>
                <w:sz w:val="16"/>
                <w:szCs w:val="16"/>
                <w:lang w:val="en-PH" w:eastAsia="en-PH"/>
              </w:rPr>
              <w:t xml:space="preserve">perating </w:t>
            </w:r>
            <w:r w:rsidR="006A1323">
              <w:rPr>
                <w:rFonts w:ascii="Arial Narrow" w:hAnsi="Arial Narrow"/>
                <w:color w:val="000000" w:themeColor="text1"/>
                <w:sz w:val="16"/>
                <w:szCs w:val="16"/>
                <w:lang w:val="en-PH" w:eastAsia="en-PH"/>
              </w:rPr>
              <w:t>e</w:t>
            </w:r>
            <w:r w:rsidRPr="009E35ED">
              <w:rPr>
                <w:rFonts w:ascii="Arial Narrow" w:hAnsi="Arial Narrow"/>
                <w:color w:val="000000" w:themeColor="text1"/>
                <w:sz w:val="16"/>
                <w:szCs w:val="16"/>
                <w:lang w:val="en-PH" w:eastAsia="en-PH"/>
              </w:rPr>
              <w:t>xpenses</w:t>
            </w:r>
          </w:p>
        </w:tc>
        <w:tc>
          <w:tcPr>
            <w:tcW w:w="1070" w:type="dxa"/>
            <w:shd w:val="clear" w:color="auto" w:fill="auto"/>
            <w:noWrap/>
            <w:vAlign w:val="bottom"/>
            <w:hideMark/>
          </w:tcPr>
          <w:p w14:paraId="7964AE10" w14:textId="58EA0F05" w:rsidR="00A27AC6" w:rsidRPr="009E35ED" w:rsidRDefault="00B535B6" w:rsidP="001C613D">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rPr>
              <w:t>261,516,831</w:t>
            </w:r>
            <w:r w:rsidR="00A27AC6" w:rsidRPr="009E35ED">
              <w:rPr>
                <w:rFonts w:ascii="Arial Narrow" w:hAnsi="Arial Narrow"/>
                <w:color w:val="000000" w:themeColor="text1"/>
                <w:sz w:val="16"/>
                <w:szCs w:val="16"/>
              </w:rPr>
              <w:t xml:space="preserve"> </w:t>
            </w:r>
          </w:p>
        </w:tc>
        <w:tc>
          <w:tcPr>
            <w:tcW w:w="1241" w:type="dxa"/>
            <w:shd w:val="clear" w:color="auto" w:fill="auto"/>
            <w:noWrap/>
            <w:vAlign w:val="bottom"/>
            <w:hideMark/>
          </w:tcPr>
          <w:p w14:paraId="26768AEF" w14:textId="04BD6F32" w:rsidR="00A27AC6" w:rsidRPr="009E35ED" w:rsidRDefault="00A27AC6" w:rsidP="00A27AC6">
            <w:pPr>
              <w:ind w:left="0"/>
              <w:jc w:val="right"/>
              <w:rPr>
                <w:rFonts w:ascii="Arial Narrow" w:hAnsi="Arial Narrow"/>
                <w:color w:val="000000" w:themeColor="text1"/>
                <w:sz w:val="16"/>
                <w:szCs w:val="16"/>
                <w:lang w:val="en-PH" w:eastAsia="en-PH"/>
              </w:rPr>
            </w:pPr>
            <w:r w:rsidRPr="009E35ED">
              <w:rPr>
                <w:rFonts w:ascii="Arial Narrow" w:hAnsi="Arial Narrow" w:cs="Arial"/>
                <w:color w:val="000000" w:themeColor="text1"/>
                <w:sz w:val="16"/>
                <w:szCs w:val="16"/>
              </w:rPr>
              <w:t xml:space="preserve">20,310,720 </w:t>
            </w:r>
          </w:p>
        </w:tc>
        <w:tc>
          <w:tcPr>
            <w:tcW w:w="1041" w:type="dxa"/>
            <w:shd w:val="clear" w:color="auto" w:fill="auto"/>
            <w:noWrap/>
            <w:vAlign w:val="center"/>
            <w:hideMark/>
          </w:tcPr>
          <w:p w14:paraId="2CBCB4B0" w14:textId="68F1D41A" w:rsidR="00A27AC6" w:rsidRPr="009E35ED" w:rsidRDefault="00A27AC6" w:rsidP="00A27AC6">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839" w:type="dxa"/>
            <w:shd w:val="clear" w:color="auto" w:fill="auto"/>
            <w:noWrap/>
            <w:vAlign w:val="center"/>
            <w:hideMark/>
          </w:tcPr>
          <w:p w14:paraId="5E6C90D0" w14:textId="2A1FBF71" w:rsidR="00A27AC6" w:rsidRPr="009E35ED" w:rsidRDefault="00B535B6" w:rsidP="001C613D">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281,827,551</w:t>
            </w:r>
          </w:p>
        </w:tc>
      </w:tr>
      <w:tr w:rsidR="00997F75" w:rsidRPr="009E35ED" w14:paraId="1F98EF6A" w14:textId="77777777" w:rsidTr="00860ED6">
        <w:trPr>
          <w:trHeight w:val="56"/>
        </w:trPr>
        <w:tc>
          <w:tcPr>
            <w:tcW w:w="3643" w:type="dxa"/>
            <w:gridSpan w:val="4"/>
            <w:shd w:val="clear" w:color="auto" w:fill="auto"/>
            <w:noWrap/>
            <w:vAlign w:val="bottom"/>
          </w:tcPr>
          <w:p w14:paraId="2A302F79" w14:textId="2A5E5180" w:rsidR="00A27AC6" w:rsidRPr="009E35ED" w:rsidRDefault="00A27AC6" w:rsidP="00A27AC6">
            <w:pPr>
              <w:ind w:left="0"/>
              <w:jc w:val="lef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Prize Expenses</w:t>
            </w:r>
          </w:p>
        </w:tc>
        <w:tc>
          <w:tcPr>
            <w:tcW w:w="1070" w:type="dxa"/>
            <w:shd w:val="clear" w:color="auto" w:fill="auto"/>
            <w:noWrap/>
            <w:vAlign w:val="bottom"/>
          </w:tcPr>
          <w:p w14:paraId="1599ED88" w14:textId="77777777" w:rsidR="00A27AC6" w:rsidRPr="009E35ED" w:rsidRDefault="00A27AC6" w:rsidP="00A27AC6">
            <w:pPr>
              <w:ind w:left="0"/>
              <w:jc w:val="right"/>
              <w:rPr>
                <w:rFonts w:ascii="Arial Narrow" w:hAnsi="Arial Narrow"/>
                <w:color w:val="000000" w:themeColor="text1"/>
                <w:sz w:val="16"/>
                <w:szCs w:val="16"/>
                <w:lang w:val="en-PH" w:eastAsia="en-PH"/>
              </w:rPr>
            </w:pPr>
          </w:p>
        </w:tc>
        <w:tc>
          <w:tcPr>
            <w:tcW w:w="1241" w:type="dxa"/>
            <w:shd w:val="clear" w:color="auto" w:fill="auto"/>
            <w:noWrap/>
            <w:vAlign w:val="bottom"/>
          </w:tcPr>
          <w:p w14:paraId="4D3A3334" w14:textId="77777777" w:rsidR="00A27AC6" w:rsidRPr="009E35ED" w:rsidRDefault="00A27AC6" w:rsidP="00A27AC6">
            <w:pPr>
              <w:ind w:left="0"/>
              <w:jc w:val="right"/>
              <w:rPr>
                <w:rFonts w:ascii="Arial Narrow" w:hAnsi="Arial Narrow"/>
                <w:color w:val="000000" w:themeColor="text1"/>
                <w:sz w:val="16"/>
                <w:szCs w:val="16"/>
                <w:lang w:val="en-PH" w:eastAsia="en-PH"/>
              </w:rPr>
            </w:pPr>
          </w:p>
        </w:tc>
        <w:tc>
          <w:tcPr>
            <w:tcW w:w="1041" w:type="dxa"/>
            <w:shd w:val="clear" w:color="auto" w:fill="auto"/>
            <w:noWrap/>
            <w:vAlign w:val="center"/>
          </w:tcPr>
          <w:p w14:paraId="4CCB1F97" w14:textId="67BD1D5D" w:rsidR="00A27AC6" w:rsidRPr="009E35ED" w:rsidRDefault="00A27AC6" w:rsidP="00A27AC6">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839" w:type="dxa"/>
            <w:shd w:val="clear" w:color="auto" w:fill="auto"/>
            <w:noWrap/>
            <w:vAlign w:val="center"/>
          </w:tcPr>
          <w:p w14:paraId="2787CB8F" w14:textId="5D1C5F23" w:rsidR="00A27AC6" w:rsidRPr="009E35ED" w:rsidRDefault="00A27AC6" w:rsidP="00A27AC6">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r>
      <w:tr w:rsidR="00B535B6" w:rsidRPr="009E35ED" w14:paraId="2CE11BD4" w14:textId="77777777" w:rsidTr="00860ED6">
        <w:trPr>
          <w:trHeight w:val="56"/>
        </w:trPr>
        <w:tc>
          <w:tcPr>
            <w:tcW w:w="532" w:type="dxa"/>
            <w:shd w:val="clear" w:color="auto" w:fill="auto"/>
            <w:noWrap/>
            <w:vAlign w:val="bottom"/>
          </w:tcPr>
          <w:p w14:paraId="421E82CC" w14:textId="77777777" w:rsidR="00B535B6" w:rsidRPr="009E35ED" w:rsidRDefault="00B535B6" w:rsidP="00B535B6">
            <w:pPr>
              <w:ind w:left="0"/>
              <w:jc w:val="right"/>
              <w:rPr>
                <w:rFonts w:ascii="Arial Narrow" w:hAnsi="Arial Narrow"/>
                <w:color w:val="000000" w:themeColor="text1"/>
                <w:sz w:val="16"/>
                <w:szCs w:val="16"/>
                <w:lang w:val="en-PH" w:eastAsia="en-PH"/>
              </w:rPr>
            </w:pPr>
          </w:p>
        </w:tc>
        <w:tc>
          <w:tcPr>
            <w:tcW w:w="3111" w:type="dxa"/>
            <w:gridSpan w:val="3"/>
            <w:shd w:val="clear" w:color="auto" w:fill="auto"/>
            <w:noWrap/>
            <w:vAlign w:val="center"/>
          </w:tcPr>
          <w:p w14:paraId="278CB6E2" w14:textId="55BC8E6C" w:rsidR="00B535B6" w:rsidRPr="009E35ED" w:rsidRDefault="00B535B6" w:rsidP="00B535B6">
            <w:pPr>
              <w:ind w:left="0"/>
              <w:jc w:val="lef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 xml:space="preserve">Jackpot </w:t>
            </w:r>
            <w:r w:rsidR="006A1323">
              <w:rPr>
                <w:rFonts w:ascii="Arial Narrow" w:hAnsi="Arial Narrow"/>
                <w:color w:val="000000" w:themeColor="text1"/>
                <w:sz w:val="16"/>
                <w:szCs w:val="16"/>
                <w:lang w:val="en-PH" w:eastAsia="en-PH"/>
              </w:rPr>
              <w:t>p</w:t>
            </w:r>
            <w:r w:rsidRPr="009E35ED">
              <w:rPr>
                <w:rFonts w:ascii="Arial Narrow" w:hAnsi="Arial Narrow"/>
                <w:color w:val="000000" w:themeColor="text1"/>
                <w:sz w:val="16"/>
                <w:szCs w:val="16"/>
                <w:lang w:val="en-PH" w:eastAsia="en-PH"/>
              </w:rPr>
              <w:t>rizes</w:t>
            </w:r>
          </w:p>
        </w:tc>
        <w:tc>
          <w:tcPr>
            <w:tcW w:w="1070" w:type="dxa"/>
            <w:shd w:val="clear" w:color="auto" w:fill="auto"/>
            <w:noWrap/>
            <w:vAlign w:val="bottom"/>
          </w:tcPr>
          <w:p w14:paraId="5C50CFB8" w14:textId="659A15BE" w:rsidR="00B535B6" w:rsidRPr="009E35ED" w:rsidRDefault="00B535B6" w:rsidP="00B535B6">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241" w:type="dxa"/>
            <w:shd w:val="clear" w:color="auto" w:fill="auto"/>
            <w:noWrap/>
            <w:vAlign w:val="bottom"/>
          </w:tcPr>
          <w:p w14:paraId="233DBAF5" w14:textId="3730C363" w:rsidR="00B535B6" w:rsidRPr="009E35ED" w:rsidRDefault="00B535B6" w:rsidP="00B535B6">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041" w:type="dxa"/>
            <w:shd w:val="clear" w:color="auto" w:fill="auto"/>
            <w:noWrap/>
            <w:vAlign w:val="bottom"/>
          </w:tcPr>
          <w:p w14:paraId="123A1F2D" w14:textId="2615B572" w:rsidR="00B535B6" w:rsidRPr="009E35ED" w:rsidRDefault="00B535B6" w:rsidP="00B535B6">
            <w:pPr>
              <w:ind w:left="0"/>
              <w:jc w:val="right"/>
              <w:rPr>
                <w:rFonts w:ascii="Arial Narrow" w:hAnsi="Arial Narrow" w:cs="Arial"/>
                <w:color w:val="000000" w:themeColor="text1"/>
                <w:sz w:val="16"/>
                <w:szCs w:val="16"/>
              </w:rPr>
            </w:pPr>
            <w:r w:rsidRPr="009E35ED">
              <w:rPr>
                <w:rFonts w:ascii="Arial Narrow" w:hAnsi="Arial Narrow"/>
                <w:color w:val="000000" w:themeColor="text1"/>
                <w:sz w:val="16"/>
                <w:szCs w:val="16"/>
                <w:lang w:val="en-PH" w:eastAsia="en-PH"/>
              </w:rPr>
              <w:t>6,011,641,659</w:t>
            </w:r>
          </w:p>
        </w:tc>
        <w:tc>
          <w:tcPr>
            <w:tcW w:w="1839" w:type="dxa"/>
            <w:shd w:val="clear" w:color="auto" w:fill="auto"/>
            <w:noWrap/>
            <w:vAlign w:val="bottom"/>
          </w:tcPr>
          <w:p w14:paraId="5ACAB07A" w14:textId="26D7E84C" w:rsidR="00B535B6" w:rsidRPr="009E35ED" w:rsidRDefault="00B535B6" w:rsidP="00B535B6">
            <w:pPr>
              <w:ind w:left="0"/>
              <w:jc w:val="right"/>
              <w:rPr>
                <w:rFonts w:ascii="Arial Narrow" w:hAnsi="Arial Narrow" w:cs="Arial"/>
                <w:color w:val="000000" w:themeColor="text1"/>
                <w:sz w:val="16"/>
                <w:szCs w:val="16"/>
              </w:rPr>
            </w:pPr>
            <w:r w:rsidRPr="009E35ED">
              <w:rPr>
                <w:rFonts w:ascii="Arial Narrow" w:hAnsi="Arial Narrow"/>
                <w:color w:val="000000" w:themeColor="text1"/>
                <w:sz w:val="16"/>
                <w:szCs w:val="16"/>
                <w:lang w:val="en-PH" w:eastAsia="en-PH"/>
              </w:rPr>
              <w:t>6,011,641,659</w:t>
            </w:r>
          </w:p>
        </w:tc>
      </w:tr>
      <w:tr w:rsidR="00B535B6" w:rsidRPr="009E35ED" w14:paraId="08B8A07D" w14:textId="77777777" w:rsidTr="00860ED6">
        <w:trPr>
          <w:trHeight w:val="56"/>
        </w:trPr>
        <w:tc>
          <w:tcPr>
            <w:tcW w:w="532" w:type="dxa"/>
            <w:shd w:val="clear" w:color="auto" w:fill="auto"/>
            <w:noWrap/>
            <w:vAlign w:val="bottom"/>
            <w:hideMark/>
          </w:tcPr>
          <w:p w14:paraId="2888FC0D" w14:textId="77777777" w:rsidR="00B535B6" w:rsidRPr="009E35ED" w:rsidRDefault="00B535B6" w:rsidP="00B535B6">
            <w:pPr>
              <w:ind w:left="0"/>
              <w:jc w:val="right"/>
              <w:rPr>
                <w:rFonts w:ascii="Arial Narrow" w:hAnsi="Arial Narrow"/>
                <w:color w:val="000000" w:themeColor="text1"/>
                <w:sz w:val="16"/>
                <w:szCs w:val="16"/>
                <w:lang w:val="en-PH" w:eastAsia="en-PH"/>
              </w:rPr>
            </w:pPr>
          </w:p>
        </w:tc>
        <w:tc>
          <w:tcPr>
            <w:tcW w:w="3111" w:type="dxa"/>
            <w:gridSpan w:val="3"/>
            <w:shd w:val="clear" w:color="auto" w:fill="auto"/>
            <w:noWrap/>
            <w:vAlign w:val="center"/>
            <w:hideMark/>
          </w:tcPr>
          <w:p w14:paraId="2A3A3EDD" w14:textId="3E4068A5" w:rsidR="00B535B6" w:rsidRPr="009E35ED" w:rsidRDefault="00B535B6" w:rsidP="00B535B6">
            <w:pPr>
              <w:ind w:left="0"/>
              <w:jc w:val="lef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 xml:space="preserve">Low </w:t>
            </w:r>
            <w:r w:rsidR="006A1323">
              <w:rPr>
                <w:rFonts w:ascii="Arial Narrow" w:hAnsi="Arial Narrow"/>
                <w:color w:val="000000" w:themeColor="text1"/>
                <w:sz w:val="16"/>
                <w:szCs w:val="16"/>
                <w:lang w:val="en-PH" w:eastAsia="en-PH"/>
              </w:rPr>
              <w:t>t</w:t>
            </w:r>
            <w:r w:rsidRPr="009E35ED">
              <w:rPr>
                <w:rFonts w:ascii="Arial Narrow" w:hAnsi="Arial Narrow"/>
                <w:color w:val="000000" w:themeColor="text1"/>
                <w:sz w:val="16"/>
                <w:szCs w:val="16"/>
                <w:lang w:val="en-PH" w:eastAsia="en-PH"/>
              </w:rPr>
              <w:t xml:space="preserve">ier </w:t>
            </w:r>
            <w:r w:rsidR="006A1323">
              <w:rPr>
                <w:rFonts w:ascii="Arial Narrow" w:hAnsi="Arial Narrow"/>
                <w:color w:val="000000" w:themeColor="text1"/>
                <w:sz w:val="16"/>
                <w:szCs w:val="16"/>
                <w:lang w:val="en-PH" w:eastAsia="en-PH"/>
              </w:rPr>
              <w:t>p</w:t>
            </w:r>
            <w:r w:rsidRPr="009E35ED">
              <w:rPr>
                <w:rFonts w:ascii="Arial Narrow" w:hAnsi="Arial Narrow"/>
                <w:color w:val="000000" w:themeColor="text1"/>
                <w:sz w:val="16"/>
                <w:szCs w:val="16"/>
                <w:lang w:val="en-PH" w:eastAsia="en-PH"/>
              </w:rPr>
              <w:t>rizes</w:t>
            </w:r>
          </w:p>
        </w:tc>
        <w:tc>
          <w:tcPr>
            <w:tcW w:w="1070" w:type="dxa"/>
            <w:shd w:val="clear" w:color="auto" w:fill="auto"/>
            <w:noWrap/>
            <w:vAlign w:val="bottom"/>
            <w:hideMark/>
          </w:tcPr>
          <w:p w14:paraId="178A75D9" w14:textId="77777777" w:rsidR="00B535B6" w:rsidRPr="009E35ED" w:rsidRDefault="00B535B6" w:rsidP="00B535B6">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241" w:type="dxa"/>
            <w:shd w:val="clear" w:color="auto" w:fill="auto"/>
            <w:noWrap/>
            <w:vAlign w:val="bottom"/>
            <w:hideMark/>
          </w:tcPr>
          <w:p w14:paraId="35D7C197" w14:textId="77777777" w:rsidR="00B535B6" w:rsidRPr="009E35ED" w:rsidRDefault="00B535B6" w:rsidP="00B535B6">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041" w:type="dxa"/>
            <w:shd w:val="clear" w:color="auto" w:fill="auto"/>
            <w:noWrap/>
            <w:vAlign w:val="bottom"/>
            <w:hideMark/>
          </w:tcPr>
          <w:p w14:paraId="312A7F15" w14:textId="053403FC" w:rsidR="00B535B6" w:rsidRPr="009E35ED" w:rsidRDefault="00B535B6" w:rsidP="00B535B6">
            <w:pPr>
              <w:ind w:left="0"/>
              <w:jc w:val="right"/>
              <w:rPr>
                <w:rFonts w:ascii="Arial Narrow" w:hAnsi="Arial Narrow"/>
                <w:color w:val="000000" w:themeColor="text1"/>
                <w:sz w:val="16"/>
                <w:szCs w:val="16"/>
                <w:lang w:val="en-PH" w:eastAsia="en-PH"/>
              </w:rPr>
            </w:pPr>
            <w:r w:rsidRPr="009E35ED">
              <w:rPr>
                <w:rFonts w:ascii="Arial Narrow" w:hAnsi="Arial Narrow" w:cs="Arial"/>
                <w:color w:val="000000" w:themeColor="text1"/>
                <w:sz w:val="16"/>
                <w:szCs w:val="16"/>
              </w:rPr>
              <w:t xml:space="preserve">18,056,520,187 </w:t>
            </w:r>
          </w:p>
        </w:tc>
        <w:tc>
          <w:tcPr>
            <w:tcW w:w="1839" w:type="dxa"/>
            <w:shd w:val="clear" w:color="auto" w:fill="auto"/>
            <w:noWrap/>
            <w:vAlign w:val="bottom"/>
            <w:hideMark/>
          </w:tcPr>
          <w:p w14:paraId="465A13DB" w14:textId="08FE2781" w:rsidR="00B535B6" w:rsidRPr="009E35ED" w:rsidRDefault="00B535B6" w:rsidP="00B535B6">
            <w:pPr>
              <w:ind w:left="0"/>
              <w:jc w:val="right"/>
              <w:rPr>
                <w:rFonts w:ascii="Arial Narrow" w:hAnsi="Arial Narrow"/>
                <w:color w:val="000000" w:themeColor="text1"/>
                <w:sz w:val="16"/>
                <w:szCs w:val="16"/>
                <w:lang w:val="en-PH" w:eastAsia="en-PH"/>
              </w:rPr>
            </w:pPr>
            <w:r w:rsidRPr="009E35ED">
              <w:rPr>
                <w:rFonts w:ascii="Arial Narrow" w:hAnsi="Arial Narrow" w:cs="Arial"/>
                <w:color w:val="000000" w:themeColor="text1"/>
                <w:sz w:val="16"/>
                <w:szCs w:val="16"/>
              </w:rPr>
              <w:t xml:space="preserve">18,056,520,187 </w:t>
            </w:r>
          </w:p>
        </w:tc>
      </w:tr>
      <w:tr w:rsidR="00997F75" w:rsidRPr="009E35ED" w14:paraId="2ECA670F" w14:textId="77777777" w:rsidTr="00860ED6">
        <w:trPr>
          <w:trHeight w:val="56"/>
        </w:trPr>
        <w:tc>
          <w:tcPr>
            <w:tcW w:w="532" w:type="dxa"/>
            <w:shd w:val="clear" w:color="auto" w:fill="auto"/>
            <w:noWrap/>
            <w:vAlign w:val="bottom"/>
            <w:hideMark/>
          </w:tcPr>
          <w:p w14:paraId="2DF18C6A" w14:textId="77777777" w:rsidR="00A27AC6" w:rsidRPr="009E35ED" w:rsidRDefault="00A27AC6" w:rsidP="00A27AC6">
            <w:pPr>
              <w:ind w:left="0"/>
              <w:jc w:val="right"/>
              <w:rPr>
                <w:rFonts w:ascii="Arial Narrow" w:hAnsi="Arial Narrow"/>
                <w:color w:val="000000" w:themeColor="text1"/>
                <w:sz w:val="16"/>
                <w:szCs w:val="16"/>
                <w:lang w:val="en-PH" w:eastAsia="en-PH"/>
              </w:rPr>
            </w:pPr>
          </w:p>
        </w:tc>
        <w:tc>
          <w:tcPr>
            <w:tcW w:w="3111" w:type="dxa"/>
            <w:gridSpan w:val="3"/>
            <w:shd w:val="clear" w:color="auto" w:fill="auto"/>
            <w:noWrap/>
            <w:vAlign w:val="center"/>
            <w:hideMark/>
          </w:tcPr>
          <w:p w14:paraId="26A49068" w14:textId="0E64D735" w:rsidR="00A27AC6" w:rsidRPr="009E35ED" w:rsidRDefault="00A27AC6" w:rsidP="00A27AC6">
            <w:pPr>
              <w:ind w:left="0"/>
              <w:jc w:val="lef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 xml:space="preserve">Winning </w:t>
            </w:r>
            <w:r w:rsidR="006A1323">
              <w:rPr>
                <w:rFonts w:ascii="Arial Narrow" w:hAnsi="Arial Narrow"/>
                <w:color w:val="000000" w:themeColor="text1"/>
                <w:sz w:val="16"/>
                <w:szCs w:val="16"/>
                <w:lang w:val="en-PH" w:eastAsia="en-PH"/>
              </w:rPr>
              <w:t>t</w:t>
            </w:r>
            <w:r w:rsidRPr="009E35ED">
              <w:rPr>
                <w:rFonts w:ascii="Arial Narrow" w:hAnsi="Arial Narrow"/>
                <w:color w:val="000000" w:themeColor="text1"/>
                <w:sz w:val="16"/>
                <w:szCs w:val="16"/>
                <w:lang w:val="en-PH" w:eastAsia="en-PH"/>
              </w:rPr>
              <w:t xml:space="preserve">ickets - </w:t>
            </w:r>
            <w:r w:rsidR="006A1323">
              <w:rPr>
                <w:rFonts w:ascii="Arial Narrow" w:hAnsi="Arial Narrow"/>
                <w:color w:val="000000" w:themeColor="text1"/>
                <w:sz w:val="16"/>
                <w:szCs w:val="16"/>
                <w:lang w:val="en-PH" w:eastAsia="en-PH"/>
              </w:rPr>
              <w:t>s</w:t>
            </w:r>
            <w:r w:rsidRPr="009E35ED">
              <w:rPr>
                <w:rFonts w:ascii="Arial Narrow" w:hAnsi="Arial Narrow"/>
                <w:color w:val="000000" w:themeColor="text1"/>
                <w:sz w:val="16"/>
                <w:szCs w:val="16"/>
                <w:lang w:val="en-PH" w:eastAsia="en-PH"/>
              </w:rPr>
              <w:t>weepstakes</w:t>
            </w:r>
          </w:p>
        </w:tc>
        <w:tc>
          <w:tcPr>
            <w:tcW w:w="1070" w:type="dxa"/>
            <w:shd w:val="clear" w:color="auto" w:fill="auto"/>
            <w:noWrap/>
            <w:vAlign w:val="bottom"/>
            <w:hideMark/>
          </w:tcPr>
          <w:p w14:paraId="1244ADB7" w14:textId="77777777" w:rsidR="00A27AC6" w:rsidRPr="009E35ED" w:rsidRDefault="00A27AC6" w:rsidP="00A27AC6">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241" w:type="dxa"/>
            <w:shd w:val="clear" w:color="auto" w:fill="auto"/>
            <w:noWrap/>
            <w:vAlign w:val="bottom"/>
            <w:hideMark/>
          </w:tcPr>
          <w:p w14:paraId="6FC90757" w14:textId="77777777" w:rsidR="00A27AC6" w:rsidRPr="009E35ED" w:rsidRDefault="00A27AC6" w:rsidP="00A27AC6">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041" w:type="dxa"/>
            <w:shd w:val="clear" w:color="auto" w:fill="auto"/>
            <w:noWrap/>
            <w:vAlign w:val="bottom"/>
            <w:hideMark/>
          </w:tcPr>
          <w:p w14:paraId="0E2B87D9" w14:textId="77777777" w:rsidR="00A27AC6" w:rsidRPr="009E35ED" w:rsidRDefault="00A27AC6" w:rsidP="00A27AC6">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839" w:type="dxa"/>
            <w:shd w:val="clear" w:color="auto" w:fill="auto"/>
            <w:noWrap/>
            <w:vAlign w:val="bottom"/>
            <w:hideMark/>
          </w:tcPr>
          <w:p w14:paraId="37075165" w14:textId="76CBB0D6" w:rsidR="00A27AC6" w:rsidRPr="009E35ED" w:rsidRDefault="00A27AC6" w:rsidP="00A27AC6">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eastAsia="en-PH"/>
              </w:rPr>
              <w:t xml:space="preserve">-   </w:t>
            </w:r>
          </w:p>
        </w:tc>
      </w:tr>
      <w:tr w:rsidR="00997F75" w:rsidRPr="009E35ED" w14:paraId="0616831B" w14:textId="77777777" w:rsidTr="00860ED6">
        <w:trPr>
          <w:trHeight w:val="56"/>
        </w:trPr>
        <w:tc>
          <w:tcPr>
            <w:tcW w:w="532" w:type="dxa"/>
            <w:shd w:val="clear" w:color="auto" w:fill="auto"/>
            <w:noWrap/>
            <w:vAlign w:val="bottom"/>
            <w:hideMark/>
          </w:tcPr>
          <w:p w14:paraId="25E07C59" w14:textId="77777777" w:rsidR="00A27AC6" w:rsidRPr="009E35ED" w:rsidRDefault="00A27AC6" w:rsidP="00A27AC6">
            <w:pPr>
              <w:ind w:left="0"/>
              <w:jc w:val="right"/>
              <w:rPr>
                <w:rFonts w:ascii="Arial Narrow" w:hAnsi="Arial Narrow"/>
                <w:color w:val="000000" w:themeColor="text1"/>
                <w:sz w:val="16"/>
                <w:szCs w:val="16"/>
                <w:lang w:val="en-PH" w:eastAsia="en-PH"/>
              </w:rPr>
            </w:pPr>
          </w:p>
        </w:tc>
        <w:tc>
          <w:tcPr>
            <w:tcW w:w="3111" w:type="dxa"/>
            <w:gridSpan w:val="3"/>
            <w:shd w:val="clear" w:color="auto" w:fill="auto"/>
            <w:noWrap/>
            <w:vAlign w:val="center"/>
            <w:hideMark/>
          </w:tcPr>
          <w:p w14:paraId="300F2A44" w14:textId="29C5E7AB" w:rsidR="00A27AC6" w:rsidRPr="009E35ED" w:rsidRDefault="00A27AC6" w:rsidP="00A27AC6">
            <w:pPr>
              <w:ind w:left="0"/>
              <w:jc w:val="lef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 xml:space="preserve">5% Prize </w:t>
            </w:r>
            <w:r w:rsidR="006A1323">
              <w:rPr>
                <w:rFonts w:ascii="Arial Narrow" w:hAnsi="Arial Narrow"/>
                <w:color w:val="000000" w:themeColor="text1"/>
                <w:sz w:val="16"/>
                <w:szCs w:val="16"/>
                <w:lang w:val="en-PH" w:eastAsia="en-PH"/>
              </w:rPr>
              <w:t>f</w:t>
            </w:r>
            <w:r w:rsidRPr="009E35ED">
              <w:rPr>
                <w:rFonts w:ascii="Arial Narrow" w:hAnsi="Arial Narrow"/>
                <w:color w:val="000000" w:themeColor="text1"/>
                <w:sz w:val="16"/>
                <w:szCs w:val="16"/>
                <w:lang w:val="en-PH" w:eastAsia="en-PH"/>
              </w:rPr>
              <w:t xml:space="preserve">und </w:t>
            </w:r>
            <w:r w:rsidR="006A1323">
              <w:rPr>
                <w:rFonts w:ascii="Arial Narrow" w:hAnsi="Arial Narrow"/>
                <w:color w:val="000000" w:themeColor="text1"/>
                <w:sz w:val="16"/>
                <w:szCs w:val="16"/>
                <w:lang w:val="en-PH" w:eastAsia="en-PH"/>
              </w:rPr>
              <w:t>t</w:t>
            </w:r>
            <w:r w:rsidRPr="009E35ED">
              <w:rPr>
                <w:rFonts w:ascii="Arial Narrow" w:hAnsi="Arial Narrow"/>
                <w:color w:val="000000" w:themeColor="text1"/>
                <w:sz w:val="16"/>
                <w:szCs w:val="16"/>
                <w:lang w:val="en-PH" w:eastAsia="en-PH"/>
              </w:rPr>
              <w:t>ax</w:t>
            </w:r>
          </w:p>
        </w:tc>
        <w:tc>
          <w:tcPr>
            <w:tcW w:w="1070" w:type="dxa"/>
            <w:shd w:val="clear" w:color="auto" w:fill="auto"/>
            <w:noWrap/>
            <w:vAlign w:val="bottom"/>
            <w:hideMark/>
          </w:tcPr>
          <w:p w14:paraId="50D53490" w14:textId="77777777" w:rsidR="00A27AC6" w:rsidRPr="009E35ED" w:rsidRDefault="00A27AC6" w:rsidP="00A27AC6">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241" w:type="dxa"/>
            <w:shd w:val="clear" w:color="auto" w:fill="auto"/>
            <w:noWrap/>
            <w:vAlign w:val="bottom"/>
            <w:hideMark/>
          </w:tcPr>
          <w:p w14:paraId="1E4E6B8E" w14:textId="77777777" w:rsidR="00A27AC6" w:rsidRPr="009E35ED" w:rsidRDefault="00A27AC6" w:rsidP="00A27AC6">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041" w:type="dxa"/>
            <w:shd w:val="clear" w:color="auto" w:fill="auto"/>
            <w:noWrap/>
            <w:vAlign w:val="bottom"/>
            <w:hideMark/>
          </w:tcPr>
          <w:p w14:paraId="4180E800" w14:textId="77777777" w:rsidR="00A27AC6" w:rsidRPr="009E35ED" w:rsidRDefault="00A27AC6" w:rsidP="00A27AC6">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839" w:type="dxa"/>
            <w:shd w:val="clear" w:color="auto" w:fill="auto"/>
            <w:noWrap/>
            <w:vAlign w:val="bottom"/>
            <w:hideMark/>
          </w:tcPr>
          <w:p w14:paraId="0951116F" w14:textId="77777777" w:rsidR="00A27AC6" w:rsidRPr="009E35ED" w:rsidRDefault="00A27AC6" w:rsidP="00A27AC6">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eastAsia="en-PH"/>
              </w:rPr>
              <w:t xml:space="preserve"> -   </w:t>
            </w:r>
          </w:p>
        </w:tc>
      </w:tr>
      <w:tr w:rsidR="00997F75" w:rsidRPr="009E35ED" w14:paraId="37575736" w14:textId="77777777" w:rsidTr="00860ED6">
        <w:trPr>
          <w:trHeight w:val="56"/>
        </w:trPr>
        <w:tc>
          <w:tcPr>
            <w:tcW w:w="532" w:type="dxa"/>
            <w:tcBorders>
              <w:bottom w:val="single" w:sz="4" w:space="0" w:color="auto"/>
            </w:tcBorders>
            <w:shd w:val="clear" w:color="auto" w:fill="auto"/>
            <w:noWrap/>
            <w:vAlign w:val="bottom"/>
            <w:hideMark/>
          </w:tcPr>
          <w:p w14:paraId="28B043A1" w14:textId="77777777" w:rsidR="00A27AC6" w:rsidRPr="009E35ED" w:rsidRDefault="00A27AC6" w:rsidP="00A27AC6">
            <w:pPr>
              <w:ind w:left="0"/>
              <w:jc w:val="right"/>
              <w:rPr>
                <w:rFonts w:ascii="Arial Narrow" w:hAnsi="Arial Narrow"/>
                <w:color w:val="000000" w:themeColor="text1"/>
                <w:sz w:val="16"/>
                <w:szCs w:val="16"/>
                <w:lang w:val="en-PH" w:eastAsia="en-PH"/>
              </w:rPr>
            </w:pPr>
          </w:p>
        </w:tc>
        <w:tc>
          <w:tcPr>
            <w:tcW w:w="3111" w:type="dxa"/>
            <w:gridSpan w:val="3"/>
            <w:tcBorders>
              <w:bottom w:val="single" w:sz="4" w:space="0" w:color="auto"/>
            </w:tcBorders>
            <w:shd w:val="clear" w:color="auto" w:fill="auto"/>
            <w:noWrap/>
            <w:vAlign w:val="center"/>
            <w:hideMark/>
          </w:tcPr>
          <w:p w14:paraId="0D1F4066" w14:textId="28555EBE" w:rsidR="00A27AC6" w:rsidRPr="009E35ED" w:rsidRDefault="00A27AC6" w:rsidP="00A27AC6">
            <w:pPr>
              <w:ind w:left="0"/>
              <w:jc w:val="lef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 xml:space="preserve">Seller's </w:t>
            </w:r>
            <w:r w:rsidR="006A1323">
              <w:rPr>
                <w:rFonts w:ascii="Arial Narrow" w:hAnsi="Arial Narrow"/>
                <w:color w:val="000000" w:themeColor="text1"/>
                <w:sz w:val="16"/>
                <w:szCs w:val="16"/>
                <w:lang w:val="en-PH" w:eastAsia="en-PH"/>
              </w:rPr>
              <w:t>s</w:t>
            </w:r>
            <w:r w:rsidRPr="009E35ED">
              <w:rPr>
                <w:rFonts w:ascii="Arial Narrow" w:hAnsi="Arial Narrow"/>
                <w:color w:val="000000" w:themeColor="text1"/>
                <w:sz w:val="16"/>
                <w:szCs w:val="16"/>
                <w:lang w:val="en-PH" w:eastAsia="en-PH"/>
              </w:rPr>
              <w:t>hare (Lotto/Keno)</w:t>
            </w:r>
          </w:p>
        </w:tc>
        <w:tc>
          <w:tcPr>
            <w:tcW w:w="1070" w:type="dxa"/>
            <w:tcBorders>
              <w:bottom w:val="single" w:sz="4" w:space="0" w:color="auto"/>
            </w:tcBorders>
            <w:shd w:val="clear" w:color="auto" w:fill="auto"/>
            <w:noWrap/>
            <w:vAlign w:val="bottom"/>
            <w:hideMark/>
          </w:tcPr>
          <w:p w14:paraId="02F6326B" w14:textId="77777777" w:rsidR="00A27AC6" w:rsidRPr="009E35ED" w:rsidRDefault="00A27AC6" w:rsidP="00A27AC6">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241" w:type="dxa"/>
            <w:tcBorders>
              <w:bottom w:val="single" w:sz="4" w:space="0" w:color="auto"/>
            </w:tcBorders>
            <w:shd w:val="clear" w:color="auto" w:fill="auto"/>
            <w:noWrap/>
            <w:vAlign w:val="bottom"/>
            <w:hideMark/>
          </w:tcPr>
          <w:p w14:paraId="39F8F08A" w14:textId="77777777" w:rsidR="00A27AC6" w:rsidRPr="009E35ED" w:rsidRDefault="00A27AC6" w:rsidP="00A27AC6">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041" w:type="dxa"/>
            <w:tcBorders>
              <w:bottom w:val="single" w:sz="4" w:space="0" w:color="auto"/>
            </w:tcBorders>
            <w:shd w:val="clear" w:color="auto" w:fill="auto"/>
            <w:noWrap/>
            <w:vAlign w:val="bottom"/>
            <w:hideMark/>
          </w:tcPr>
          <w:p w14:paraId="1E30A46C" w14:textId="77777777" w:rsidR="00A27AC6" w:rsidRPr="009E35ED" w:rsidRDefault="00A27AC6" w:rsidP="00A27AC6">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839" w:type="dxa"/>
            <w:tcBorders>
              <w:bottom w:val="single" w:sz="4" w:space="0" w:color="auto"/>
            </w:tcBorders>
            <w:shd w:val="clear" w:color="auto" w:fill="auto"/>
            <w:noWrap/>
            <w:vAlign w:val="bottom"/>
            <w:hideMark/>
          </w:tcPr>
          <w:p w14:paraId="4B2075E3" w14:textId="77777777" w:rsidR="00A27AC6" w:rsidRPr="009E35ED" w:rsidRDefault="00A27AC6" w:rsidP="00A27AC6">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eastAsia="en-PH"/>
              </w:rPr>
              <w:t xml:space="preserve"> -   </w:t>
            </w:r>
          </w:p>
        </w:tc>
      </w:tr>
      <w:tr w:rsidR="00997F75" w:rsidRPr="009E35ED" w14:paraId="4F92860D" w14:textId="77777777" w:rsidTr="00860ED6">
        <w:trPr>
          <w:trHeight w:val="315"/>
        </w:trPr>
        <w:tc>
          <w:tcPr>
            <w:tcW w:w="3643" w:type="dxa"/>
            <w:gridSpan w:val="4"/>
            <w:tcBorders>
              <w:top w:val="single" w:sz="4" w:space="0" w:color="auto"/>
              <w:left w:val="nil"/>
              <w:bottom w:val="double" w:sz="6" w:space="0" w:color="auto"/>
              <w:right w:val="nil"/>
            </w:tcBorders>
            <w:shd w:val="clear" w:color="auto" w:fill="auto"/>
            <w:noWrap/>
            <w:vAlign w:val="bottom"/>
            <w:hideMark/>
          </w:tcPr>
          <w:p w14:paraId="2CB992FA" w14:textId="77777777" w:rsidR="00A27AC6" w:rsidRPr="009E35ED" w:rsidRDefault="00A27AC6" w:rsidP="00A27AC6">
            <w:pPr>
              <w:ind w:left="0"/>
              <w:jc w:val="left"/>
              <w:rPr>
                <w:rFonts w:ascii="Arial Narrow" w:hAnsi="Arial Narrow"/>
                <w:b/>
                <w:bCs/>
                <w:color w:val="000000" w:themeColor="text1"/>
                <w:sz w:val="18"/>
                <w:szCs w:val="18"/>
                <w:lang w:val="en-PH" w:eastAsia="en-PH"/>
              </w:rPr>
            </w:pPr>
            <w:r w:rsidRPr="009E35ED">
              <w:rPr>
                <w:rFonts w:ascii="Arial Narrow" w:hAnsi="Arial Narrow"/>
                <w:b/>
                <w:bCs/>
                <w:color w:val="000000" w:themeColor="text1"/>
                <w:sz w:val="18"/>
                <w:szCs w:val="18"/>
                <w:lang w:val="en-PH" w:eastAsia="en-PH"/>
              </w:rPr>
              <w:t>Total Maintenance and Other Operating Expenses</w:t>
            </w:r>
          </w:p>
        </w:tc>
        <w:tc>
          <w:tcPr>
            <w:tcW w:w="1070" w:type="dxa"/>
            <w:tcBorders>
              <w:top w:val="single" w:sz="4" w:space="0" w:color="auto"/>
              <w:left w:val="nil"/>
              <w:bottom w:val="double" w:sz="6" w:space="0" w:color="auto"/>
              <w:right w:val="nil"/>
            </w:tcBorders>
            <w:shd w:val="clear" w:color="auto" w:fill="auto"/>
            <w:noWrap/>
            <w:vAlign w:val="bottom"/>
            <w:hideMark/>
          </w:tcPr>
          <w:p w14:paraId="66484AEC" w14:textId="328C42D6" w:rsidR="00A27AC6" w:rsidRPr="009E35ED" w:rsidRDefault="00A27AC6" w:rsidP="00B535B6">
            <w:pPr>
              <w:ind w:left="0"/>
              <w:jc w:val="right"/>
              <w:rPr>
                <w:rFonts w:ascii="Arial Narrow" w:hAnsi="Arial Narrow"/>
                <w:b/>
                <w:bCs/>
                <w:color w:val="000000" w:themeColor="text1"/>
                <w:sz w:val="16"/>
                <w:szCs w:val="16"/>
                <w:lang w:val="en-PH" w:eastAsia="en-PH"/>
              </w:rPr>
            </w:pPr>
            <w:r w:rsidRPr="009E35ED">
              <w:rPr>
                <w:rFonts w:ascii="Arial Narrow" w:hAnsi="Arial Narrow" w:cs="Arial"/>
                <w:b/>
                <w:bCs/>
                <w:color w:val="000000" w:themeColor="text1"/>
                <w:sz w:val="16"/>
                <w:szCs w:val="16"/>
              </w:rPr>
              <w:t xml:space="preserve">                  3,</w:t>
            </w:r>
            <w:r w:rsidR="00B535B6" w:rsidRPr="009E35ED">
              <w:rPr>
                <w:rFonts w:ascii="Arial Narrow" w:hAnsi="Arial Narrow" w:cs="Arial"/>
                <w:b/>
                <w:bCs/>
                <w:color w:val="000000" w:themeColor="text1"/>
                <w:sz w:val="16"/>
                <w:szCs w:val="16"/>
              </w:rPr>
              <w:t>121,656,594</w:t>
            </w:r>
            <w:r w:rsidRPr="009E35ED">
              <w:rPr>
                <w:rFonts w:ascii="Arial Narrow" w:hAnsi="Arial Narrow" w:cs="Arial"/>
                <w:b/>
                <w:bCs/>
                <w:color w:val="000000" w:themeColor="text1"/>
                <w:sz w:val="16"/>
                <w:szCs w:val="16"/>
              </w:rPr>
              <w:t xml:space="preserve"> </w:t>
            </w:r>
          </w:p>
        </w:tc>
        <w:tc>
          <w:tcPr>
            <w:tcW w:w="1241" w:type="dxa"/>
            <w:tcBorders>
              <w:top w:val="single" w:sz="4" w:space="0" w:color="auto"/>
              <w:left w:val="nil"/>
              <w:bottom w:val="double" w:sz="6" w:space="0" w:color="auto"/>
              <w:right w:val="nil"/>
            </w:tcBorders>
            <w:shd w:val="clear" w:color="auto" w:fill="auto"/>
            <w:noWrap/>
            <w:vAlign w:val="bottom"/>
            <w:hideMark/>
          </w:tcPr>
          <w:p w14:paraId="7E6F3239" w14:textId="56E4BAB4" w:rsidR="00A27AC6" w:rsidRPr="009E35ED" w:rsidRDefault="00A27AC6" w:rsidP="00884C9E">
            <w:pPr>
              <w:ind w:left="0"/>
              <w:jc w:val="right"/>
              <w:rPr>
                <w:rFonts w:ascii="Arial Narrow" w:hAnsi="Arial Narrow"/>
                <w:b/>
                <w:bCs/>
                <w:color w:val="000000" w:themeColor="text1"/>
                <w:sz w:val="16"/>
                <w:szCs w:val="16"/>
                <w:lang w:val="en-PH" w:eastAsia="en-PH"/>
              </w:rPr>
            </w:pPr>
            <w:r w:rsidRPr="009E35ED">
              <w:rPr>
                <w:rFonts w:ascii="Arial Narrow" w:hAnsi="Arial Narrow" w:cs="Arial"/>
                <w:b/>
                <w:bCs/>
                <w:color w:val="000000" w:themeColor="text1"/>
                <w:sz w:val="16"/>
                <w:szCs w:val="16"/>
              </w:rPr>
              <w:t xml:space="preserve">                12,</w:t>
            </w:r>
            <w:r w:rsidR="00884C9E" w:rsidRPr="009E35ED">
              <w:rPr>
                <w:rFonts w:ascii="Arial Narrow" w:hAnsi="Arial Narrow" w:cs="Arial"/>
                <w:b/>
                <w:bCs/>
                <w:color w:val="000000" w:themeColor="text1"/>
                <w:sz w:val="16"/>
                <w:szCs w:val="16"/>
              </w:rPr>
              <w:t>816,425,294</w:t>
            </w:r>
            <w:r w:rsidRPr="009E35ED">
              <w:rPr>
                <w:rFonts w:ascii="Arial Narrow" w:hAnsi="Arial Narrow" w:cs="Arial"/>
                <w:b/>
                <w:bCs/>
                <w:color w:val="000000" w:themeColor="text1"/>
                <w:sz w:val="16"/>
                <w:szCs w:val="16"/>
              </w:rPr>
              <w:t xml:space="preserve"> </w:t>
            </w:r>
          </w:p>
        </w:tc>
        <w:tc>
          <w:tcPr>
            <w:tcW w:w="1041" w:type="dxa"/>
            <w:tcBorders>
              <w:top w:val="single" w:sz="4" w:space="0" w:color="auto"/>
              <w:left w:val="nil"/>
              <w:bottom w:val="double" w:sz="6" w:space="0" w:color="auto"/>
              <w:right w:val="nil"/>
            </w:tcBorders>
            <w:shd w:val="clear" w:color="auto" w:fill="auto"/>
            <w:noWrap/>
            <w:vAlign w:val="bottom"/>
            <w:hideMark/>
          </w:tcPr>
          <w:p w14:paraId="0AE6A388" w14:textId="7234E497" w:rsidR="00A27AC6" w:rsidRPr="009E35ED" w:rsidRDefault="00A27AC6" w:rsidP="00B535B6">
            <w:pPr>
              <w:ind w:left="0"/>
              <w:jc w:val="right"/>
              <w:rPr>
                <w:rFonts w:ascii="Arial Narrow" w:hAnsi="Arial Narrow"/>
                <w:b/>
                <w:bCs/>
                <w:color w:val="000000" w:themeColor="text1"/>
                <w:sz w:val="16"/>
                <w:szCs w:val="16"/>
                <w:lang w:val="en-PH" w:eastAsia="en-PH"/>
              </w:rPr>
            </w:pPr>
            <w:r w:rsidRPr="009E35ED">
              <w:rPr>
                <w:rFonts w:ascii="Arial Narrow" w:hAnsi="Arial Narrow" w:cs="Arial"/>
                <w:b/>
                <w:bCs/>
                <w:color w:val="000000" w:themeColor="text1"/>
                <w:sz w:val="16"/>
                <w:szCs w:val="16"/>
              </w:rPr>
              <w:t xml:space="preserve">                3</w:t>
            </w:r>
            <w:r w:rsidR="00B535B6" w:rsidRPr="009E35ED">
              <w:rPr>
                <w:rFonts w:ascii="Arial Narrow" w:hAnsi="Arial Narrow" w:cs="Arial"/>
                <w:b/>
                <w:bCs/>
                <w:color w:val="000000" w:themeColor="text1"/>
                <w:sz w:val="16"/>
                <w:szCs w:val="16"/>
              </w:rPr>
              <w:t>3,111,230,341</w:t>
            </w:r>
            <w:r w:rsidRPr="009E35ED">
              <w:rPr>
                <w:rFonts w:ascii="Arial Narrow" w:hAnsi="Arial Narrow" w:cs="Arial"/>
                <w:b/>
                <w:bCs/>
                <w:color w:val="000000" w:themeColor="text1"/>
                <w:sz w:val="16"/>
                <w:szCs w:val="16"/>
              </w:rPr>
              <w:t xml:space="preserve"> </w:t>
            </w:r>
          </w:p>
        </w:tc>
        <w:tc>
          <w:tcPr>
            <w:tcW w:w="1839" w:type="dxa"/>
            <w:tcBorders>
              <w:top w:val="single" w:sz="4" w:space="0" w:color="auto"/>
              <w:left w:val="nil"/>
              <w:bottom w:val="double" w:sz="6" w:space="0" w:color="auto"/>
              <w:right w:val="nil"/>
            </w:tcBorders>
            <w:shd w:val="clear" w:color="auto" w:fill="auto"/>
            <w:noWrap/>
            <w:vAlign w:val="bottom"/>
            <w:hideMark/>
          </w:tcPr>
          <w:p w14:paraId="4D1C3E65" w14:textId="71F90F31" w:rsidR="00A27AC6" w:rsidRPr="009E35ED" w:rsidRDefault="00A27AC6" w:rsidP="00B535B6">
            <w:pPr>
              <w:ind w:left="0"/>
              <w:jc w:val="right"/>
              <w:rPr>
                <w:rFonts w:ascii="Arial Narrow" w:hAnsi="Arial Narrow"/>
                <w:b/>
                <w:bCs/>
                <w:color w:val="000000" w:themeColor="text1"/>
                <w:sz w:val="16"/>
                <w:szCs w:val="16"/>
                <w:lang w:val="en-PH" w:eastAsia="en-PH"/>
              </w:rPr>
            </w:pPr>
            <w:r w:rsidRPr="009E35ED">
              <w:rPr>
                <w:rFonts w:ascii="Arial Narrow" w:hAnsi="Arial Narrow" w:cs="Arial"/>
                <w:b/>
                <w:bCs/>
                <w:color w:val="000000" w:themeColor="text1"/>
                <w:sz w:val="16"/>
                <w:szCs w:val="16"/>
              </w:rPr>
              <w:t xml:space="preserve">                </w:t>
            </w:r>
            <w:r w:rsidR="00884C9E" w:rsidRPr="009E35ED">
              <w:rPr>
                <w:rFonts w:ascii="Arial Narrow" w:hAnsi="Arial Narrow" w:cs="Arial"/>
                <w:b/>
                <w:bCs/>
                <w:color w:val="000000" w:themeColor="text1"/>
                <w:sz w:val="16"/>
                <w:szCs w:val="16"/>
              </w:rPr>
              <w:t>4</w:t>
            </w:r>
            <w:r w:rsidR="00B535B6" w:rsidRPr="009E35ED">
              <w:rPr>
                <w:rFonts w:ascii="Arial Narrow" w:hAnsi="Arial Narrow" w:cs="Arial"/>
                <w:b/>
                <w:bCs/>
                <w:color w:val="000000" w:themeColor="text1"/>
                <w:sz w:val="16"/>
                <w:szCs w:val="16"/>
              </w:rPr>
              <w:t>9,049,312,229</w:t>
            </w:r>
            <w:r w:rsidRPr="009E35ED">
              <w:rPr>
                <w:rFonts w:ascii="Arial Narrow" w:hAnsi="Arial Narrow" w:cs="Arial"/>
                <w:b/>
                <w:bCs/>
                <w:color w:val="000000" w:themeColor="text1"/>
                <w:sz w:val="16"/>
                <w:szCs w:val="16"/>
              </w:rPr>
              <w:t xml:space="preserve"> </w:t>
            </w:r>
          </w:p>
        </w:tc>
      </w:tr>
      <w:tr w:rsidR="00997F75" w:rsidRPr="009E35ED" w14:paraId="70406CDB" w14:textId="77777777" w:rsidTr="00860ED6">
        <w:trPr>
          <w:trHeight w:val="315"/>
        </w:trPr>
        <w:tc>
          <w:tcPr>
            <w:tcW w:w="1062" w:type="dxa"/>
            <w:gridSpan w:val="2"/>
            <w:tcBorders>
              <w:top w:val="nil"/>
              <w:left w:val="nil"/>
              <w:right w:val="nil"/>
            </w:tcBorders>
            <w:shd w:val="clear" w:color="auto" w:fill="auto"/>
            <w:noWrap/>
            <w:vAlign w:val="bottom"/>
            <w:hideMark/>
          </w:tcPr>
          <w:p w14:paraId="432D8700" w14:textId="77777777" w:rsidR="00A27AC6" w:rsidRPr="009E35ED" w:rsidRDefault="00A27AC6" w:rsidP="00A27AC6">
            <w:pPr>
              <w:ind w:left="0"/>
              <w:jc w:val="right"/>
              <w:rPr>
                <w:rFonts w:ascii="Arial Narrow" w:hAnsi="Arial Narrow"/>
                <w:b/>
                <w:bCs/>
                <w:color w:val="000000" w:themeColor="text1"/>
                <w:sz w:val="16"/>
                <w:szCs w:val="16"/>
                <w:lang w:val="en-PH" w:eastAsia="en-PH"/>
              </w:rPr>
            </w:pPr>
          </w:p>
        </w:tc>
        <w:tc>
          <w:tcPr>
            <w:tcW w:w="1782" w:type="dxa"/>
            <w:tcBorders>
              <w:top w:val="nil"/>
              <w:left w:val="nil"/>
              <w:right w:val="nil"/>
            </w:tcBorders>
            <w:shd w:val="clear" w:color="auto" w:fill="auto"/>
            <w:vAlign w:val="bottom"/>
            <w:hideMark/>
          </w:tcPr>
          <w:p w14:paraId="44A0E284" w14:textId="77777777" w:rsidR="00A27AC6" w:rsidRPr="009E35ED" w:rsidRDefault="00A27AC6" w:rsidP="00A27AC6">
            <w:pPr>
              <w:ind w:left="0"/>
              <w:jc w:val="left"/>
              <w:rPr>
                <w:color w:val="000000" w:themeColor="text1"/>
                <w:sz w:val="20"/>
                <w:szCs w:val="20"/>
                <w:lang w:val="en-PH" w:eastAsia="en-PH"/>
              </w:rPr>
            </w:pPr>
          </w:p>
        </w:tc>
        <w:tc>
          <w:tcPr>
            <w:tcW w:w="799" w:type="dxa"/>
            <w:tcBorders>
              <w:top w:val="nil"/>
              <w:left w:val="nil"/>
              <w:right w:val="nil"/>
            </w:tcBorders>
            <w:shd w:val="clear" w:color="auto" w:fill="auto"/>
            <w:vAlign w:val="bottom"/>
            <w:hideMark/>
          </w:tcPr>
          <w:p w14:paraId="6B1EC1C9" w14:textId="77777777" w:rsidR="00A27AC6" w:rsidRPr="009E35ED" w:rsidRDefault="00A27AC6" w:rsidP="00A27AC6">
            <w:pPr>
              <w:ind w:left="0"/>
              <w:jc w:val="left"/>
              <w:rPr>
                <w:color w:val="000000" w:themeColor="text1"/>
                <w:sz w:val="20"/>
                <w:szCs w:val="20"/>
                <w:lang w:val="en-PH" w:eastAsia="en-PH"/>
              </w:rPr>
            </w:pPr>
          </w:p>
        </w:tc>
        <w:tc>
          <w:tcPr>
            <w:tcW w:w="1070" w:type="dxa"/>
            <w:tcBorders>
              <w:top w:val="nil"/>
              <w:left w:val="nil"/>
              <w:right w:val="nil"/>
            </w:tcBorders>
            <w:shd w:val="clear" w:color="auto" w:fill="auto"/>
            <w:noWrap/>
            <w:vAlign w:val="center"/>
            <w:hideMark/>
          </w:tcPr>
          <w:p w14:paraId="15FD2213" w14:textId="77777777" w:rsidR="00A27AC6" w:rsidRPr="009E35ED" w:rsidRDefault="00A27AC6" w:rsidP="00A27AC6">
            <w:pPr>
              <w:ind w:left="0"/>
              <w:jc w:val="left"/>
              <w:rPr>
                <w:color w:val="000000" w:themeColor="text1"/>
                <w:sz w:val="20"/>
                <w:szCs w:val="20"/>
                <w:lang w:val="en-PH" w:eastAsia="en-PH"/>
              </w:rPr>
            </w:pPr>
          </w:p>
        </w:tc>
        <w:tc>
          <w:tcPr>
            <w:tcW w:w="1241" w:type="dxa"/>
            <w:tcBorders>
              <w:top w:val="nil"/>
              <w:left w:val="nil"/>
              <w:right w:val="nil"/>
            </w:tcBorders>
            <w:shd w:val="clear" w:color="auto" w:fill="auto"/>
            <w:noWrap/>
            <w:vAlign w:val="center"/>
            <w:hideMark/>
          </w:tcPr>
          <w:p w14:paraId="2B10F5AA" w14:textId="77777777" w:rsidR="00A27AC6" w:rsidRPr="009E35ED" w:rsidRDefault="00A27AC6" w:rsidP="00A27AC6">
            <w:pPr>
              <w:ind w:left="0"/>
              <w:jc w:val="right"/>
              <w:rPr>
                <w:color w:val="000000" w:themeColor="text1"/>
                <w:sz w:val="20"/>
                <w:szCs w:val="20"/>
                <w:lang w:val="en-PH" w:eastAsia="en-PH"/>
              </w:rPr>
            </w:pPr>
          </w:p>
        </w:tc>
        <w:tc>
          <w:tcPr>
            <w:tcW w:w="1041" w:type="dxa"/>
            <w:tcBorders>
              <w:top w:val="nil"/>
              <w:left w:val="nil"/>
              <w:right w:val="nil"/>
            </w:tcBorders>
            <w:shd w:val="clear" w:color="auto" w:fill="auto"/>
            <w:noWrap/>
            <w:vAlign w:val="center"/>
            <w:hideMark/>
          </w:tcPr>
          <w:p w14:paraId="44AD4E87" w14:textId="77777777" w:rsidR="00A27AC6" w:rsidRPr="009E35ED" w:rsidRDefault="00A27AC6" w:rsidP="00A27AC6">
            <w:pPr>
              <w:ind w:left="0"/>
              <w:jc w:val="right"/>
              <w:rPr>
                <w:color w:val="000000" w:themeColor="text1"/>
                <w:sz w:val="20"/>
                <w:szCs w:val="20"/>
                <w:lang w:val="en-PH" w:eastAsia="en-PH"/>
              </w:rPr>
            </w:pPr>
          </w:p>
        </w:tc>
        <w:tc>
          <w:tcPr>
            <w:tcW w:w="1839" w:type="dxa"/>
            <w:tcBorders>
              <w:top w:val="nil"/>
              <w:left w:val="nil"/>
              <w:right w:val="nil"/>
            </w:tcBorders>
            <w:shd w:val="clear" w:color="auto" w:fill="auto"/>
            <w:noWrap/>
            <w:vAlign w:val="center"/>
            <w:hideMark/>
          </w:tcPr>
          <w:p w14:paraId="47AA6DBB" w14:textId="77777777" w:rsidR="00A27AC6" w:rsidRPr="009E35ED" w:rsidRDefault="00A27AC6" w:rsidP="00A27AC6">
            <w:pPr>
              <w:ind w:left="0"/>
              <w:jc w:val="right"/>
              <w:rPr>
                <w:color w:val="000000" w:themeColor="text1"/>
                <w:sz w:val="20"/>
                <w:szCs w:val="20"/>
                <w:lang w:val="en-PH" w:eastAsia="en-PH"/>
              </w:rPr>
            </w:pPr>
          </w:p>
        </w:tc>
      </w:tr>
      <w:tr w:rsidR="00997F75" w:rsidRPr="009E35ED" w14:paraId="23278299" w14:textId="77777777" w:rsidTr="00860ED6">
        <w:trPr>
          <w:trHeight w:val="300"/>
        </w:trPr>
        <w:tc>
          <w:tcPr>
            <w:tcW w:w="3643" w:type="dxa"/>
            <w:gridSpan w:val="4"/>
            <w:shd w:val="clear" w:color="auto" w:fill="auto"/>
            <w:noWrap/>
            <w:vAlign w:val="center"/>
            <w:hideMark/>
          </w:tcPr>
          <w:p w14:paraId="729D0A29" w14:textId="77777777" w:rsidR="00A27AC6" w:rsidRPr="009E35ED" w:rsidRDefault="00A27AC6" w:rsidP="00A27AC6">
            <w:pPr>
              <w:ind w:left="0"/>
              <w:jc w:val="left"/>
              <w:rPr>
                <w:rFonts w:ascii="Arial Narrow" w:hAnsi="Arial Narrow"/>
                <w:b/>
                <w:bCs/>
                <w:color w:val="000000" w:themeColor="text1"/>
                <w:sz w:val="16"/>
                <w:szCs w:val="16"/>
                <w:lang w:val="en-PH" w:eastAsia="en-PH"/>
              </w:rPr>
            </w:pPr>
            <w:r w:rsidRPr="009E35ED">
              <w:rPr>
                <w:rFonts w:ascii="Arial Narrow" w:hAnsi="Arial Narrow"/>
                <w:b/>
                <w:bCs/>
                <w:color w:val="000000" w:themeColor="text1"/>
                <w:sz w:val="18"/>
                <w:szCs w:val="16"/>
                <w:lang w:val="en-PH" w:eastAsia="en-PH"/>
              </w:rPr>
              <w:t>Financial Expenses</w:t>
            </w:r>
          </w:p>
        </w:tc>
        <w:tc>
          <w:tcPr>
            <w:tcW w:w="1070" w:type="dxa"/>
            <w:shd w:val="clear" w:color="auto" w:fill="auto"/>
            <w:noWrap/>
            <w:vAlign w:val="center"/>
            <w:hideMark/>
          </w:tcPr>
          <w:p w14:paraId="0D9BC9CC" w14:textId="77777777" w:rsidR="00A27AC6" w:rsidRPr="009E35ED" w:rsidRDefault="00A27AC6" w:rsidP="00A27AC6">
            <w:pPr>
              <w:ind w:left="0"/>
              <w:jc w:val="left"/>
              <w:rPr>
                <w:rFonts w:ascii="Arial Narrow" w:hAnsi="Arial Narrow"/>
                <w:b/>
                <w:bCs/>
                <w:color w:val="000000" w:themeColor="text1"/>
                <w:sz w:val="16"/>
                <w:szCs w:val="16"/>
                <w:lang w:val="en-PH" w:eastAsia="en-PH"/>
              </w:rPr>
            </w:pPr>
          </w:p>
        </w:tc>
        <w:tc>
          <w:tcPr>
            <w:tcW w:w="1241" w:type="dxa"/>
            <w:shd w:val="clear" w:color="auto" w:fill="auto"/>
            <w:noWrap/>
            <w:vAlign w:val="center"/>
            <w:hideMark/>
          </w:tcPr>
          <w:p w14:paraId="2C99572D" w14:textId="77777777" w:rsidR="00A27AC6" w:rsidRPr="009E35ED" w:rsidRDefault="00A27AC6" w:rsidP="00A27AC6">
            <w:pPr>
              <w:ind w:left="0"/>
              <w:jc w:val="right"/>
              <w:rPr>
                <w:color w:val="000000" w:themeColor="text1"/>
                <w:sz w:val="20"/>
                <w:szCs w:val="20"/>
                <w:lang w:val="en-PH" w:eastAsia="en-PH"/>
              </w:rPr>
            </w:pPr>
          </w:p>
        </w:tc>
        <w:tc>
          <w:tcPr>
            <w:tcW w:w="1041" w:type="dxa"/>
            <w:shd w:val="clear" w:color="auto" w:fill="auto"/>
            <w:noWrap/>
            <w:vAlign w:val="center"/>
            <w:hideMark/>
          </w:tcPr>
          <w:p w14:paraId="11B21871" w14:textId="77777777" w:rsidR="00A27AC6" w:rsidRPr="009E35ED" w:rsidRDefault="00A27AC6" w:rsidP="00A27AC6">
            <w:pPr>
              <w:ind w:left="0"/>
              <w:jc w:val="right"/>
              <w:rPr>
                <w:color w:val="000000" w:themeColor="text1"/>
                <w:sz w:val="20"/>
                <w:szCs w:val="20"/>
                <w:lang w:val="en-PH" w:eastAsia="en-PH"/>
              </w:rPr>
            </w:pPr>
          </w:p>
        </w:tc>
        <w:tc>
          <w:tcPr>
            <w:tcW w:w="1839" w:type="dxa"/>
            <w:shd w:val="clear" w:color="auto" w:fill="auto"/>
            <w:noWrap/>
            <w:vAlign w:val="center"/>
            <w:hideMark/>
          </w:tcPr>
          <w:p w14:paraId="78605847" w14:textId="77777777" w:rsidR="00A27AC6" w:rsidRPr="009E35ED" w:rsidRDefault="00A27AC6" w:rsidP="00A27AC6">
            <w:pPr>
              <w:ind w:left="0"/>
              <w:jc w:val="right"/>
              <w:rPr>
                <w:color w:val="000000" w:themeColor="text1"/>
                <w:sz w:val="20"/>
                <w:szCs w:val="20"/>
                <w:lang w:val="en-PH" w:eastAsia="en-PH"/>
              </w:rPr>
            </w:pPr>
          </w:p>
        </w:tc>
      </w:tr>
      <w:tr w:rsidR="00997F75" w:rsidRPr="009E35ED" w14:paraId="6611AD64" w14:textId="77777777" w:rsidTr="00860ED6">
        <w:trPr>
          <w:trHeight w:val="106"/>
        </w:trPr>
        <w:tc>
          <w:tcPr>
            <w:tcW w:w="532" w:type="dxa"/>
            <w:shd w:val="clear" w:color="auto" w:fill="auto"/>
            <w:noWrap/>
            <w:vAlign w:val="bottom"/>
            <w:hideMark/>
          </w:tcPr>
          <w:p w14:paraId="3DC9E327" w14:textId="77777777" w:rsidR="00A27AC6" w:rsidRPr="009E35ED" w:rsidRDefault="00A27AC6" w:rsidP="00A27AC6">
            <w:pPr>
              <w:ind w:left="0"/>
              <w:jc w:val="right"/>
              <w:rPr>
                <w:color w:val="000000" w:themeColor="text1"/>
                <w:sz w:val="20"/>
                <w:szCs w:val="20"/>
                <w:lang w:val="en-PH" w:eastAsia="en-PH"/>
              </w:rPr>
            </w:pPr>
          </w:p>
        </w:tc>
        <w:tc>
          <w:tcPr>
            <w:tcW w:w="3111" w:type="dxa"/>
            <w:gridSpan w:val="3"/>
            <w:shd w:val="clear" w:color="auto" w:fill="auto"/>
            <w:noWrap/>
            <w:vAlign w:val="center"/>
            <w:hideMark/>
          </w:tcPr>
          <w:p w14:paraId="051C1228" w14:textId="77777777" w:rsidR="00A27AC6" w:rsidRPr="009E35ED" w:rsidRDefault="00A27AC6" w:rsidP="00A27AC6">
            <w:pPr>
              <w:ind w:left="0"/>
              <w:jc w:val="lef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Financial charges</w:t>
            </w:r>
          </w:p>
        </w:tc>
        <w:tc>
          <w:tcPr>
            <w:tcW w:w="1070" w:type="dxa"/>
            <w:shd w:val="clear" w:color="auto" w:fill="auto"/>
            <w:noWrap/>
            <w:vAlign w:val="bottom"/>
            <w:hideMark/>
          </w:tcPr>
          <w:p w14:paraId="20F14AD8" w14:textId="65E87CE9" w:rsidR="00A27AC6" w:rsidRPr="009E35ED" w:rsidRDefault="009F73A0" w:rsidP="00A27AC6">
            <w:pPr>
              <w:ind w:left="0"/>
              <w:jc w:val="right"/>
              <w:rPr>
                <w:rFonts w:ascii="Arial Narrow" w:hAnsi="Arial Narrow"/>
                <w:color w:val="000000" w:themeColor="text1"/>
                <w:sz w:val="16"/>
                <w:szCs w:val="16"/>
                <w:lang w:val="en-PH" w:eastAsia="en-PH"/>
              </w:rPr>
            </w:pPr>
            <w:r w:rsidRPr="009E35ED">
              <w:rPr>
                <w:rFonts w:ascii="Arial Narrow" w:hAnsi="Arial Narrow" w:cs="Arial"/>
                <w:color w:val="000000" w:themeColor="text1"/>
                <w:sz w:val="16"/>
                <w:szCs w:val="16"/>
              </w:rPr>
              <w:t>83,946,131</w:t>
            </w:r>
            <w:r w:rsidR="00A27AC6" w:rsidRPr="009E35ED">
              <w:rPr>
                <w:rFonts w:ascii="Arial Narrow" w:hAnsi="Arial Narrow" w:cs="Arial"/>
                <w:color w:val="000000" w:themeColor="text1"/>
                <w:sz w:val="16"/>
                <w:szCs w:val="16"/>
              </w:rPr>
              <w:t xml:space="preserve"> </w:t>
            </w:r>
          </w:p>
        </w:tc>
        <w:tc>
          <w:tcPr>
            <w:tcW w:w="1241" w:type="dxa"/>
            <w:shd w:val="clear" w:color="auto" w:fill="auto"/>
            <w:noWrap/>
            <w:vAlign w:val="bottom"/>
            <w:hideMark/>
          </w:tcPr>
          <w:p w14:paraId="63D110CA" w14:textId="1507F0FC" w:rsidR="00A27AC6" w:rsidRPr="009E35ED" w:rsidRDefault="00A27AC6" w:rsidP="00A27AC6">
            <w:pPr>
              <w:ind w:left="0"/>
              <w:jc w:val="right"/>
              <w:rPr>
                <w:rFonts w:ascii="Arial Narrow" w:hAnsi="Arial Narrow"/>
                <w:color w:val="000000" w:themeColor="text1"/>
                <w:sz w:val="16"/>
                <w:szCs w:val="16"/>
                <w:lang w:val="en-PH" w:eastAsia="en-PH"/>
              </w:rPr>
            </w:pPr>
            <w:r w:rsidRPr="009E35ED">
              <w:rPr>
                <w:rFonts w:ascii="Arial Narrow" w:hAnsi="Arial Narrow" w:cs="Arial"/>
                <w:color w:val="000000" w:themeColor="text1"/>
                <w:sz w:val="16"/>
                <w:szCs w:val="16"/>
              </w:rPr>
              <w:t xml:space="preserve">483,854 </w:t>
            </w:r>
          </w:p>
        </w:tc>
        <w:tc>
          <w:tcPr>
            <w:tcW w:w="1041" w:type="dxa"/>
            <w:shd w:val="clear" w:color="auto" w:fill="auto"/>
            <w:noWrap/>
            <w:vAlign w:val="bottom"/>
            <w:hideMark/>
          </w:tcPr>
          <w:p w14:paraId="667E0ACB" w14:textId="202AAEC5" w:rsidR="00A27AC6" w:rsidRPr="009E35ED" w:rsidRDefault="00A27AC6" w:rsidP="00A27AC6">
            <w:pPr>
              <w:ind w:left="0"/>
              <w:jc w:val="right"/>
              <w:rPr>
                <w:rFonts w:ascii="Arial Narrow" w:hAnsi="Arial Narrow"/>
                <w:color w:val="000000" w:themeColor="text1"/>
                <w:sz w:val="16"/>
                <w:szCs w:val="16"/>
                <w:lang w:val="en-PH" w:eastAsia="en-PH"/>
              </w:rPr>
            </w:pPr>
            <w:r w:rsidRPr="009E35ED">
              <w:rPr>
                <w:rFonts w:ascii="Arial Narrow" w:hAnsi="Arial Narrow" w:cs="Arial"/>
                <w:color w:val="000000" w:themeColor="text1"/>
                <w:sz w:val="16"/>
                <w:szCs w:val="16"/>
              </w:rPr>
              <w:t xml:space="preserve">290,954 </w:t>
            </w:r>
          </w:p>
        </w:tc>
        <w:tc>
          <w:tcPr>
            <w:tcW w:w="1839" w:type="dxa"/>
            <w:shd w:val="clear" w:color="auto" w:fill="auto"/>
            <w:noWrap/>
            <w:vAlign w:val="bottom"/>
            <w:hideMark/>
          </w:tcPr>
          <w:p w14:paraId="0C70FFCA" w14:textId="0A32CDF7" w:rsidR="00A27AC6" w:rsidRPr="009E35ED" w:rsidRDefault="009F73A0" w:rsidP="00A27AC6">
            <w:pPr>
              <w:ind w:left="0"/>
              <w:jc w:val="right"/>
              <w:rPr>
                <w:rFonts w:ascii="Arial Narrow" w:hAnsi="Arial Narrow"/>
                <w:color w:val="000000" w:themeColor="text1"/>
                <w:sz w:val="16"/>
                <w:szCs w:val="16"/>
                <w:lang w:val="en-PH" w:eastAsia="en-PH"/>
              </w:rPr>
            </w:pPr>
            <w:r w:rsidRPr="009E35ED">
              <w:rPr>
                <w:rFonts w:ascii="Arial Narrow" w:hAnsi="Arial Narrow" w:cs="Arial"/>
                <w:color w:val="000000" w:themeColor="text1"/>
                <w:sz w:val="16"/>
                <w:szCs w:val="16"/>
              </w:rPr>
              <w:t>84,720,939</w:t>
            </w:r>
            <w:r w:rsidR="00A27AC6" w:rsidRPr="009E35ED">
              <w:rPr>
                <w:rFonts w:ascii="Arial Narrow" w:hAnsi="Arial Narrow" w:cs="Arial"/>
                <w:color w:val="000000" w:themeColor="text1"/>
                <w:sz w:val="16"/>
                <w:szCs w:val="16"/>
              </w:rPr>
              <w:t xml:space="preserve"> </w:t>
            </w:r>
          </w:p>
        </w:tc>
      </w:tr>
      <w:tr w:rsidR="00997F75" w:rsidRPr="009E35ED" w14:paraId="3C71A4E0" w14:textId="77777777" w:rsidTr="00860ED6">
        <w:trPr>
          <w:trHeight w:val="56"/>
        </w:trPr>
        <w:tc>
          <w:tcPr>
            <w:tcW w:w="3643" w:type="dxa"/>
            <w:gridSpan w:val="4"/>
            <w:shd w:val="clear" w:color="auto" w:fill="auto"/>
            <w:noWrap/>
            <w:vAlign w:val="center"/>
            <w:hideMark/>
          </w:tcPr>
          <w:p w14:paraId="4F35BA55" w14:textId="77777777" w:rsidR="00A27AC6" w:rsidRPr="009E35ED" w:rsidRDefault="00A27AC6" w:rsidP="00A27AC6">
            <w:pPr>
              <w:ind w:left="0"/>
              <w:jc w:val="left"/>
              <w:rPr>
                <w:rFonts w:ascii="Arial Narrow" w:hAnsi="Arial Narrow"/>
                <w:b/>
                <w:bCs/>
                <w:color w:val="000000" w:themeColor="text1"/>
                <w:sz w:val="16"/>
                <w:szCs w:val="16"/>
                <w:lang w:val="en-PH" w:eastAsia="en-PH"/>
              </w:rPr>
            </w:pPr>
            <w:r w:rsidRPr="009E35ED">
              <w:rPr>
                <w:rFonts w:ascii="Arial Narrow" w:hAnsi="Arial Narrow"/>
                <w:b/>
                <w:bCs/>
                <w:color w:val="000000" w:themeColor="text1"/>
                <w:sz w:val="18"/>
                <w:szCs w:val="16"/>
                <w:lang w:val="en-PH" w:eastAsia="en-PH"/>
              </w:rPr>
              <w:t>Non-Cash Expenses</w:t>
            </w:r>
          </w:p>
        </w:tc>
        <w:tc>
          <w:tcPr>
            <w:tcW w:w="1070" w:type="dxa"/>
            <w:shd w:val="clear" w:color="auto" w:fill="auto"/>
            <w:noWrap/>
            <w:vAlign w:val="bottom"/>
          </w:tcPr>
          <w:p w14:paraId="5B3A2306" w14:textId="77777777" w:rsidR="00A27AC6" w:rsidRPr="009E35ED" w:rsidRDefault="00A27AC6" w:rsidP="00A27AC6">
            <w:pPr>
              <w:ind w:left="0"/>
              <w:jc w:val="right"/>
              <w:rPr>
                <w:rFonts w:ascii="Arial Narrow" w:hAnsi="Arial Narrow"/>
                <w:b/>
                <w:bCs/>
                <w:color w:val="000000" w:themeColor="text1"/>
                <w:sz w:val="16"/>
                <w:szCs w:val="16"/>
                <w:lang w:val="en-PH" w:eastAsia="en-PH"/>
              </w:rPr>
            </w:pPr>
          </w:p>
        </w:tc>
        <w:tc>
          <w:tcPr>
            <w:tcW w:w="1241" w:type="dxa"/>
            <w:shd w:val="clear" w:color="auto" w:fill="auto"/>
            <w:noWrap/>
            <w:vAlign w:val="bottom"/>
          </w:tcPr>
          <w:p w14:paraId="605E7658" w14:textId="77777777" w:rsidR="00A27AC6" w:rsidRPr="009E35ED" w:rsidRDefault="00A27AC6" w:rsidP="00A27AC6">
            <w:pPr>
              <w:ind w:left="0"/>
              <w:jc w:val="right"/>
              <w:rPr>
                <w:color w:val="000000" w:themeColor="text1"/>
                <w:sz w:val="20"/>
                <w:szCs w:val="20"/>
                <w:lang w:val="en-PH" w:eastAsia="en-PH"/>
              </w:rPr>
            </w:pPr>
          </w:p>
        </w:tc>
        <w:tc>
          <w:tcPr>
            <w:tcW w:w="1041" w:type="dxa"/>
            <w:shd w:val="clear" w:color="auto" w:fill="auto"/>
            <w:noWrap/>
            <w:vAlign w:val="bottom"/>
          </w:tcPr>
          <w:p w14:paraId="22EEEDA7" w14:textId="77777777" w:rsidR="00A27AC6" w:rsidRPr="009E35ED" w:rsidRDefault="00A27AC6" w:rsidP="00A27AC6">
            <w:pPr>
              <w:ind w:left="0"/>
              <w:jc w:val="right"/>
              <w:rPr>
                <w:color w:val="000000" w:themeColor="text1"/>
                <w:sz w:val="20"/>
                <w:szCs w:val="20"/>
                <w:lang w:val="en-PH" w:eastAsia="en-PH"/>
              </w:rPr>
            </w:pPr>
          </w:p>
        </w:tc>
        <w:tc>
          <w:tcPr>
            <w:tcW w:w="1839" w:type="dxa"/>
            <w:shd w:val="clear" w:color="auto" w:fill="auto"/>
            <w:noWrap/>
            <w:vAlign w:val="bottom"/>
          </w:tcPr>
          <w:p w14:paraId="431FF7C9" w14:textId="77777777" w:rsidR="00A27AC6" w:rsidRPr="009E35ED" w:rsidRDefault="00A27AC6" w:rsidP="00A27AC6">
            <w:pPr>
              <w:ind w:left="0"/>
              <w:jc w:val="right"/>
              <w:rPr>
                <w:color w:val="000000" w:themeColor="text1"/>
                <w:sz w:val="20"/>
                <w:szCs w:val="20"/>
                <w:lang w:val="en-PH" w:eastAsia="en-PH"/>
              </w:rPr>
            </w:pPr>
          </w:p>
        </w:tc>
      </w:tr>
      <w:tr w:rsidR="00997F75" w:rsidRPr="009E35ED" w14:paraId="72269133" w14:textId="77777777" w:rsidTr="00860ED6">
        <w:trPr>
          <w:trHeight w:val="56"/>
        </w:trPr>
        <w:tc>
          <w:tcPr>
            <w:tcW w:w="532" w:type="dxa"/>
            <w:shd w:val="clear" w:color="auto" w:fill="auto"/>
            <w:noWrap/>
            <w:vAlign w:val="bottom"/>
            <w:hideMark/>
          </w:tcPr>
          <w:p w14:paraId="6ECEEA75" w14:textId="77777777" w:rsidR="00A27AC6" w:rsidRPr="009E35ED" w:rsidRDefault="00A27AC6" w:rsidP="00A27AC6">
            <w:pPr>
              <w:ind w:left="0"/>
              <w:jc w:val="right"/>
              <w:rPr>
                <w:color w:val="000000" w:themeColor="text1"/>
                <w:sz w:val="20"/>
                <w:szCs w:val="20"/>
                <w:lang w:val="en-PH" w:eastAsia="en-PH"/>
              </w:rPr>
            </w:pPr>
          </w:p>
        </w:tc>
        <w:tc>
          <w:tcPr>
            <w:tcW w:w="3111" w:type="dxa"/>
            <w:gridSpan w:val="3"/>
            <w:shd w:val="clear" w:color="auto" w:fill="auto"/>
            <w:noWrap/>
            <w:vAlign w:val="center"/>
            <w:hideMark/>
          </w:tcPr>
          <w:p w14:paraId="1305767B" w14:textId="6E206DC5" w:rsidR="00A27AC6" w:rsidRPr="009E35ED" w:rsidRDefault="00A27AC6">
            <w:pPr>
              <w:ind w:left="0"/>
              <w:jc w:val="lef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 xml:space="preserve">Depreciation </w:t>
            </w:r>
            <w:r w:rsidR="006A1323">
              <w:rPr>
                <w:rFonts w:ascii="Arial Narrow" w:hAnsi="Arial Narrow"/>
                <w:color w:val="000000" w:themeColor="text1"/>
                <w:sz w:val="16"/>
                <w:szCs w:val="16"/>
                <w:lang w:val="en-PH" w:eastAsia="en-PH"/>
              </w:rPr>
              <w:t>e</w:t>
            </w:r>
            <w:r w:rsidRPr="009E35ED">
              <w:rPr>
                <w:rFonts w:ascii="Arial Narrow" w:hAnsi="Arial Narrow"/>
                <w:color w:val="000000" w:themeColor="text1"/>
                <w:sz w:val="16"/>
                <w:szCs w:val="16"/>
                <w:lang w:val="en-PH" w:eastAsia="en-PH"/>
              </w:rPr>
              <w:t>xpenses</w:t>
            </w:r>
          </w:p>
        </w:tc>
        <w:tc>
          <w:tcPr>
            <w:tcW w:w="1070" w:type="dxa"/>
            <w:shd w:val="clear" w:color="auto" w:fill="auto"/>
            <w:noWrap/>
            <w:vAlign w:val="bottom"/>
            <w:hideMark/>
          </w:tcPr>
          <w:p w14:paraId="539EF66B" w14:textId="165F5FEE" w:rsidR="00A27AC6" w:rsidRPr="009E35ED" w:rsidRDefault="009F73A0" w:rsidP="00A27AC6">
            <w:pPr>
              <w:ind w:left="0"/>
              <w:jc w:val="right"/>
              <w:rPr>
                <w:rFonts w:ascii="Arial Narrow" w:hAnsi="Arial Narrow"/>
                <w:color w:val="000000" w:themeColor="text1"/>
                <w:sz w:val="16"/>
                <w:szCs w:val="16"/>
                <w:lang w:val="en-PH" w:eastAsia="en-PH"/>
              </w:rPr>
            </w:pPr>
            <w:r w:rsidRPr="009E35ED">
              <w:rPr>
                <w:rFonts w:ascii="Arial Narrow" w:hAnsi="Arial Narrow" w:cs="Arial"/>
                <w:color w:val="000000" w:themeColor="text1"/>
                <w:sz w:val="16"/>
                <w:szCs w:val="16"/>
              </w:rPr>
              <w:t>470,865,50</w:t>
            </w:r>
            <w:r w:rsidR="005B3C62">
              <w:rPr>
                <w:rFonts w:ascii="Arial Narrow" w:hAnsi="Arial Narrow" w:cs="Arial"/>
                <w:color w:val="000000" w:themeColor="text1"/>
                <w:sz w:val="16"/>
                <w:szCs w:val="16"/>
              </w:rPr>
              <w:t>4</w:t>
            </w:r>
          </w:p>
        </w:tc>
        <w:tc>
          <w:tcPr>
            <w:tcW w:w="1241" w:type="dxa"/>
            <w:shd w:val="clear" w:color="auto" w:fill="auto"/>
            <w:noWrap/>
            <w:vAlign w:val="center"/>
            <w:hideMark/>
          </w:tcPr>
          <w:p w14:paraId="14604762" w14:textId="07BBFCE6" w:rsidR="00A27AC6" w:rsidRPr="009E35ED" w:rsidRDefault="00A27AC6" w:rsidP="00A27AC6">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041" w:type="dxa"/>
            <w:shd w:val="clear" w:color="auto" w:fill="auto"/>
            <w:noWrap/>
            <w:vAlign w:val="center"/>
            <w:hideMark/>
          </w:tcPr>
          <w:p w14:paraId="4C9F2C47" w14:textId="51E1CAF6" w:rsidR="00A27AC6" w:rsidRPr="009E35ED" w:rsidRDefault="00A27AC6" w:rsidP="00A27AC6">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839" w:type="dxa"/>
            <w:shd w:val="clear" w:color="auto" w:fill="auto"/>
            <w:noWrap/>
            <w:vAlign w:val="bottom"/>
            <w:hideMark/>
          </w:tcPr>
          <w:p w14:paraId="11728A0B" w14:textId="63EFDE3D" w:rsidR="00A27AC6" w:rsidRPr="009E35ED" w:rsidRDefault="009F73A0" w:rsidP="005B3C62">
            <w:pPr>
              <w:ind w:left="0"/>
              <w:jc w:val="right"/>
              <w:rPr>
                <w:rFonts w:ascii="Arial Narrow" w:hAnsi="Arial Narrow"/>
                <w:color w:val="000000" w:themeColor="text1"/>
                <w:sz w:val="16"/>
                <w:szCs w:val="16"/>
                <w:lang w:val="en-PH" w:eastAsia="en-PH"/>
              </w:rPr>
            </w:pPr>
            <w:r w:rsidRPr="009E35ED">
              <w:rPr>
                <w:rFonts w:ascii="Arial Narrow" w:hAnsi="Arial Narrow" w:cs="Arial"/>
                <w:color w:val="000000" w:themeColor="text1"/>
                <w:sz w:val="16"/>
                <w:szCs w:val="16"/>
              </w:rPr>
              <w:t>470,865,50</w:t>
            </w:r>
            <w:r w:rsidR="005B3C62">
              <w:rPr>
                <w:rFonts w:ascii="Arial Narrow" w:hAnsi="Arial Narrow" w:cs="Arial"/>
                <w:color w:val="000000" w:themeColor="text1"/>
                <w:sz w:val="16"/>
                <w:szCs w:val="16"/>
              </w:rPr>
              <w:t>4</w:t>
            </w:r>
          </w:p>
        </w:tc>
      </w:tr>
      <w:tr w:rsidR="00997F75" w:rsidRPr="009E35ED" w14:paraId="3C74891B" w14:textId="77777777" w:rsidTr="00860ED6">
        <w:trPr>
          <w:trHeight w:val="88"/>
        </w:trPr>
        <w:tc>
          <w:tcPr>
            <w:tcW w:w="532" w:type="dxa"/>
            <w:shd w:val="clear" w:color="auto" w:fill="auto"/>
            <w:noWrap/>
            <w:vAlign w:val="bottom"/>
            <w:hideMark/>
          </w:tcPr>
          <w:p w14:paraId="4C9D3D20" w14:textId="77777777" w:rsidR="00A27AC6" w:rsidRPr="009E35ED" w:rsidRDefault="00A27AC6" w:rsidP="00A27AC6">
            <w:pPr>
              <w:ind w:left="0"/>
              <w:jc w:val="right"/>
              <w:rPr>
                <w:rFonts w:ascii="Arial Narrow" w:hAnsi="Arial Narrow"/>
                <w:color w:val="000000" w:themeColor="text1"/>
                <w:sz w:val="16"/>
                <w:szCs w:val="16"/>
                <w:lang w:val="en-PH" w:eastAsia="en-PH"/>
              </w:rPr>
            </w:pPr>
          </w:p>
        </w:tc>
        <w:tc>
          <w:tcPr>
            <w:tcW w:w="3111" w:type="dxa"/>
            <w:gridSpan w:val="3"/>
            <w:shd w:val="clear" w:color="auto" w:fill="auto"/>
            <w:noWrap/>
            <w:vAlign w:val="center"/>
            <w:hideMark/>
          </w:tcPr>
          <w:p w14:paraId="473EC82C" w14:textId="03BC63BB" w:rsidR="00A27AC6" w:rsidRPr="009E35ED" w:rsidRDefault="00A27AC6" w:rsidP="00A27AC6">
            <w:pPr>
              <w:ind w:left="0"/>
              <w:jc w:val="lef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Amortization-</w:t>
            </w:r>
            <w:r w:rsidR="006A1323">
              <w:rPr>
                <w:rFonts w:ascii="Arial Narrow" w:hAnsi="Arial Narrow"/>
                <w:color w:val="000000" w:themeColor="text1"/>
                <w:sz w:val="16"/>
                <w:szCs w:val="16"/>
                <w:lang w:val="en-PH" w:eastAsia="en-PH"/>
              </w:rPr>
              <w:t>i</w:t>
            </w:r>
            <w:r w:rsidRPr="009E35ED">
              <w:rPr>
                <w:rFonts w:ascii="Arial Narrow" w:hAnsi="Arial Narrow"/>
                <w:color w:val="000000" w:themeColor="text1"/>
                <w:sz w:val="16"/>
                <w:szCs w:val="16"/>
                <w:lang w:val="en-PH" w:eastAsia="en-PH"/>
              </w:rPr>
              <w:t xml:space="preserve">ntangible </w:t>
            </w:r>
            <w:r w:rsidR="006A1323">
              <w:rPr>
                <w:rFonts w:ascii="Arial Narrow" w:hAnsi="Arial Narrow"/>
                <w:color w:val="000000" w:themeColor="text1"/>
                <w:sz w:val="16"/>
                <w:szCs w:val="16"/>
                <w:lang w:val="en-PH" w:eastAsia="en-PH"/>
              </w:rPr>
              <w:t>a</w:t>
            </w:r>
            <w:r w:rsidRPr="009E35ED">
              <w:rPr>
                <w:rFonts w:ascii="Arial Narrow" w:hAnsi="Arial Narrow"/>
                <w:color w:val="000000" w:themeColor="text1"/>
                <w:sz w:val="16"/>
                <w:szCs w:val="16"/>
                <w:lang w:val="en-PH" w:eastAsia="en-PH"/>
              </w:rPr>
              <w:t>ssets</w:t>
            </w:r>
          </w:p>
        </w:tc>
        <w:tc>
          <w:tcPr>
            <w:tcW w:w="1070" w:type="dxa"/>
            <w:shd w:val="clear" w:color="auto" w:fill="auto"/>
            <w:noWrap/>
            <w:vAlign w:val="bottom"/>
            <w:hideMark/>
          </w:tcPr>
          <w:p w14:paraId="4E9207C4" w14:textId="09F821AC" w:rsidR="00A27AC6" w:rsidRPr="009E35ED" w:rsidRDefault="00A27AC6" w:rsidP="00A27AC6">
            <w:pPr>
              <w:ind w:left="0"/>
              <w:jc w:val="right"/>
              <w:rPr>
                <w:rFonts w:ascii="Arial Narrow" w:hAnsi="Arial Narrow"/>
                <w:color w:val="000000" w:themeColor="text1"/>
                <w:sz w:val="16"/>
                <w:szCs w:val="16"/>
                <w:lang w:val="en-PH" w:eastAsia="en-PH"/>
              </w:rPr>
            </w:pPr>
            <w:r w:rsidRPr="009E35ED">
              <w:rPr>
                <w:rFonts w:ascii="Arial Narrow" w:hAnsi="Arial Narrow" w:cs="Arial"/>
                <w:color w:val="000000" w:themeColor="text1"/>
                <w:sz w:val="16"/>
                <w:szCs w:val="16"/>
              </w:rPr>
              <w:t xml:space="preserve">89,547,882 </w:t>
            </w:r>
          </w:p>
        </w:tc>
        <w:tc>
          <w:tcPr>
            <w:tcW w:w="1241" w:type="dxa"/>
            <w:shd w:val="clear" w:color="auto" w:fill="auto"/>
            <w:noWrap/>
            <w:vAlign w:val="center"/>
            <w:hideMark/>
          </w:tcPr>
          <w:p w14:paraId="5340C47E" w14:textId="5E341D2D" w:rsidR="00A27AC6" w:rsidRPr="009E35ED" w:rsidRDefault="00A27AC6" w:rsidP="00A27AC6">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041" w:type="dxa"/>
            <w:shd w:val="clear" w:color="auto" w:fill="auto"/>
            <w:noWrap/>
            <w:vAlign w:val="center"/>
            <w:hideMark/>
          </w:tcPr>
          <w:p w14:paraId="76BEEAE4" w14:textId="10503113" w:rsidR="00A27AC6" w:rsidRPr="009E35ED" w:rsidRDefault="00A27AC6" w:rsidP="00A27AC6">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839" w:type="dxa"/>
            <w:shd w:val="clear" w:color="auto" w:fill="auto"/>
            <w:noWrap/>
            <w:vAlign w:val="bottom"/>
            <w:hideMark/>
          </w:tcPr>
          <w:p w14:paraId="154613DC" w14:textId="23FBC26F" w:rsidR="00A27AC6" w:rsidRPr="009E35ED" w:rsidRDefault="00A27AC6" w:rsidP="00A27AC6">
            <w:pPr>
              <w:ind w:left="0"/>
              <w:jc w:val="right"/>
              <w:rPr>
                <w:rFonts w:ascii="Arial Narrow" w:hAnsi="Arial Narrow"/>
                <w:color w:val="000000" w:themeColor="text1"/>
                <w:sz w:val="16"/>
                <w:szCs w:val="16"/>
                <w:lang w:val="en-PH" w:eastAsia="en-PH"/>
              </w:rPr>
            </w:pPr>
            <w:r w:rsidRPr="009E35ED">
              <w:rPr>
                <w:rFonts w:ascii="Arial Narrow" w:hAnsi="Arial Narrow" w:cs="Arial"/>
                <w:color w:val="000000" w:themeColor="text1"/>
                <w:sz w:val="16"/>
                <w:szCs w:val="16"/>
              </w:rPr>
              <w:t xml:space="preserve">89,547,882 </w:t>
            </w:r>
          </w:p>
        </w:tc>
      </w:tr>
      <w:tr w:rsidR="00997F75" w:rsidRPr="009E35ED" w14:paraId="645C5132" w14:textId="77777777" w:rsidTr="00860ED6">
        <w:trPr>
          <w:trHeight w:val="56"/>
        </w:trPr>
        <w:tc>
          <w:tcPr>
            <w:tcW w:w="532" w:type="dxa"/>
            <w:shd w:val="clear" w:color="auto" w:fill="auto"/>
            <w:noWrap/>
            <w:vAlign w:val="center"/>
            <w:hideMark/>
          </w:tcPr>
          <w:p w14:paraId="5DBCB4C3" w14:textId="77777777" w:rsidR="00A27AC6" w:rsidRPr="009E35ED" w:rsidRDefault="00A27AC6" w:rsidP="00A27AC6">
            <w:pPr>
              <w:ind w:left="0"/>
              <w:jc w:val="right"/>
              <w:rPr>
                <w:rFonts w:ascii="Arial Narrow" w:hAnsi="Arial Narrow"/>
                <w:color w:val="000000" w:themeColor="text1"/>
                <w:sz w:val="16"/>
                <w:szCs w:val="16"/>
                <w:lang w:val="en-PH" w:eastAsia="en-PH"/>
              </w:rPr>
            </w:pPr>
          </w:p>
        </w:tc>
        <w:tc>
          <w:tcPr>
            <w:tcW w:w="3111" w:type="dxa"/>
            <w:gridSpan w:val="3"/>
            <w:shd w:val="clear" w:color="auto" w:fill="auto"/>
            <w:noWrap/>
            <w:vAlign w:val="center"/>
            <w:hideMark/>
          </w:tcPr>
          <w:p w14:paraId="2B6F8285" w14:textId="77777777" w:rsidR="00A27AC6" w:rsidRPr="009E35ED" w:rsidRDefault="00A27AC6" w:rsidP="00A27AC6">
            <w:pPr>
              <w:ind w:left="0"/>
              <w:jc w:val="lef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Losses</w:t>
            </w:r>
          </w:p>
        </w:tc>
        <w:tc>
          <w:tcPr>
            <w:tcW w:w="1070" w:type="dxa"/>
            <w:shd w:val="clear" w:color="auto" w:fill="auto"/>
            <w:noWrap/>
            <w:vAlign w:val="bottom"/>
            <w:hideMark/>
          </w:tcPr>
          <w:p w14:paraId="6FEEEE72" w14:textId="042DAD85" w:rsidR="00A27AC6" w:rsidRPr="009E35ED" w:rsidRDefault="00A27AC6" w:rsidP="005B3C62">
            <w:pPr>
              <w:ind w:left="0"/>
              <w:jc w:val="right"/>
              <w:rPr>
                <w:rFonts w:ascii="Arial Narrow" w:hAnsi="Arial Narrow"/>
                <w:color w:val="000000" w:themeColor="text1"/>
                <w:sz w:val="16"/>
                <w:szCs w:val="16"/>
                <w:lang w:val="en-PH" w:eastAsia="en-PH"/>
              </w:rPr>
            </w:pPr>
            <w:r w:rsidRPr="009E35ED">
              <w:rPr>
                <w:rFonts w:ascii="Arial Narrow" w:hAnsi="Arial Narrow" w:cs="Arial"/>
                <w:color w:val="000000" w:themeColor="text1"/>
                <w:sz w:val="16"/>
                <w:szCs w:val="16"/>
              </w:rPr>
              <w:t>34,692,59</w:t>
            </w:r>
            <w:r w:rsidR="005B3C62">
              <w:rPr>
                <w:rFonts w:ascii="Arial Narrow" w:hAnsi="Arial Narrow" w:cs="Arial"/>
                <w:color w:val="000000" w:themeColor="text1"/>
                <w:sz w:val="16"/>
                <w:szCs w:val="16"/>
              </w:rPr>
              <w:t>2</w:t>
            </w:r>
            <w:r w:rsidRPr="009E35ED">
              <w:rPr>
                <w:rFonts w:ascii="Arial Narrow" w:hAnsi="Arial Narrow" w:cs="Arial"/>
                <w:color w:val="000000" w:themeColor="text1"/>
                <w:sz w:val="16"/>
                <w:szCs w:val="16"/>
              </w:rPr>
              <w:t xml:space="preserve"> </w:t>
            </w:r>
          </w:p>
        </w:tc>
        <w:tc>
          <w:tcPr>
            <w:tcW w:w="1241" w:type="dxa"/>
            <w:shd w:val="clear" w:color="auto" w:fill="auto"/>
            <w:noWrap/>
            <w:vAlign w:val="center"/>
            <w:hideMark/>
          </w:tcPr>
          <w:p w14:paraId="3C3E8C37" w14:textId="525EBC62" w:rsidR="00A27AC6" w:rsidRPr="009E35ED" w:rsidRDefault="00A27AC6" w:rsidP="00A27AC6">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041" w:type="dxa"/>
            <w:shd w:val="clear" w:color="auto" w:fill="auto"/>
            <w:noWrap/>
            <w:vAlign w:val="center"/>
            <w:hideMark/>
          </w:tcPr>
          <w:p w14:paraId="4695FD1C" w14:textId="6A4EF0FB" w:rsidR="00A27AC6" w:rsidRPr="009E35ED" w:rsidRDefault="00A27AC6" w:rsidP="00A27AC6">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839" w:type="dxa"/>
            <w:shd w:val="clear" w:color="auto" w:fill="auto"/>
            <w:noWrap/>
            <w:vAlign w:val="bottom"/>
            <w:hideMark/>
          </w:tcPr>
          <w:p w14:paraId="031C00EE" w14:textId="6766753F" w:rsidR="00A27AC6" w:rsidRPr="009E35ED" w:rsidRDefault="00A27AC6" w:rsidP="005B3C62">
            <w:pPr>
              <w:ind w:left="0"/>
              <w:jc w:val="right"/>
              <w:rPr>
                <w:rFonts w:ascii="Arial Narrow" w:hAnsi="Arial Narrow"/>
                <w:color w:val="000000" w:themeColor="text1"/>
                <w:sz w:val="16"/>
                <w:szCs w:val="16"/>
                <w:lang w:val="en-PH" w:eastAsia="en-PH"/>
              </w:rPr>
            </w:pPr>
            <w:r w:rsidRPr="009E35ED">
              <w:rPr>
                <w:rFonts w:ascii="Arial Narrow" w:hAnsi="Arial Narrow" w:cs="Arial"/>
                <w:color w:val="000000" w:themeColor="text1"/>
                <w:sz w:val="16"/>
                <w:szCs w:val="16"/>
              </w:rPr>
              <w:t>34,692,59</w:t>
            </w:r>
            <w:r w:rsidR="005B3C62">
              <w:rPr>
                <w:rFonts w:ascii="Arial Narrow" w:hAnsi="Arial Narrow" w:cs="Arial"/>
                <w:color w:val="000000" w:themeColor="text1"/>
                <w:sz w:val="16"/>
                <w:szCs w:val="16"/>
              </w:rPr>
              <w:t>2</w:t>
            </w:r>
            <w:r w:rsidRPr="009E35ED">
              <w:rPr>
                <w:rFonts w:ascii="Arial Narrow" w:hAnsi="Arial Narrow" w:cs="Arial"/>
                <w:color w:val="000000" w:themeColor="text1"/>
                <w:sz w:val="16"/>
                <w:szCs w:val="16"/>
              </w:rPr>
              <w:t xml:space="preserve"> </w:t>
            </w:r>
          </w:p>
        </w:tc>
      </w:tr>
      <w:tr w:rsidR="00997F75" w:rsidRPr="009E35ED" w14:paraId="78BA5971" w14:textId="77777777" w:rsidTr="00860ED6">
        <w:trPr>
          <w:trHeight w:val="56"/>
        </w:trPr>
        <w:tc>
          <w:tcPr>
            <w:tcW w:w="532" w:type="dxa"/>
            <w:shd w:val="clear" w:color="auto" w:fill="auto"/>
            <w:noWrap/>
            <w:vAlign w:val="center"/>
            <w:hideMark/>
          </w:tcPr>
          <w:p w14:paraId="44A3E7D9" w14:textId="77777777" w:rsidR="00A27AC6" w:rsidRPr="009E35ED" w:rsidRDefault="00A27AC6" w:rsidP="00A27AC6">
            <w:pPr>
              <w:ind w:left="0"/>
              <w:jc w:val="right"/>
              <w:rPr>
                <w:rFonts w:ascii="Arial Narrow" w:hAnsi="Arial Narrow"/>
                <w:color w:val="000000" w:themeColor="text1"/>
                <w:sz w:val="16"/>
                <w:szCs w:val="16"/>
                <w:lang w:val="en-PH" w:eastAsia="en-PH"/>
              </w:rPr>
            </w:pPr>
          </w:p>
        </w:tc>
        <w:tc>
          <w:tcPr>
            <w:tcW w:w="3111" w:type="dxa"/>
            <w:gridSpan w:val="3"/>
            <w:shd w:val="clear" w:color="auto" w:fill="auto"/>
            <w:noWrap/>
            <w:vAlign w:val="center"/>
            <w:hideMark/>
          </w:tcPr>
          <w:p w14:paraId="5F0243E6" w14:textId="6D4AA1B9" w:rsidR="00A27AC6" w:rsidRPr="009E35ED" w:rsidRDefault="00A27AC6" w:rsidP="00A27AC6">
            <w:pPr>
              <w:ind w:left="0"/>
              <w:jc w:val="lef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 xml:space="preserve">Impairment </w:t>
            </w:r>
            <w:r w:rsidR="006A1323">
              <w:rPr>
                <w:rFonts w:ascii="Arial Narrow" w:hAnsi="Arial Narrow"/>
                <w:color w:val="000000" w:themeColor="text1"/>
                <w:sz w:val="16"/>
                <w:szCs w:val="16"/>
                <w:lang w:val="en-PH" w:eastAsia="en-PH"/>
              </w:rPr>
              <w:t>l</w:t>
            </w:r>
            <w:r w:rsidRPr="009E35ED">
              <w:rPr>
                <w:rFonts w:ascii="Arial Narrow" w:hAnsi="Arial Narrow"/>
                <w:color w:val="000000" w:themeColor="text1"/>
                <w:sz w:val="16"/>
                <w:szCs w:val="16"/>
                <w:lang w:val="en-PH" w:eastAsia="en-PH"/>
              </w:rPr>
              <w:t>oss</w:t>
            </w:r>
          </w:p>
        </w:tc>
        <w:tc>
          <w:tcPr>
            <w:tcW w:w="1070" w:type="dxa"/>
            <w:shd w:val="clear" w:color="auto" w:fill="auto"/>
            <w:noWrap/>
            <w:vAlign w:val="bottom"/>
            <w:hideMark/>
          </w:tcPr>
          <w:p w14:paraId="74F3C71D" w14:textId="61F9895B" w:rsidR="00A27AC6" w:rsidRPr="009E35ED" w:rsidRDefault="00A27AC6" w:rsidP="00A27AC6">
            <w:pPr>
              <w:ind w:left="0"/>
              <w:jc w:val="right"/>
              <w:rPr>
                <w:rFonts w:ascii="Arial Narrow" w:hAnsi="Arial Narrow"/>
                <w:color w:val="000000" w:themeColor="text1"/>
                <w:sz w:val="16"/>
                <w:szCs w:val="16"/>
                <w:lang w:val="en-PH" w:eastAsia="en-PH"/>
              </w:rPr>
            </w:pPr>
            <w:r w:rsidRPr="009E35ED">
              <w:rPr>
                <w:rFonts w:ascii="Arial Narrow" w:hAnsi="Arial Narrow" w:cs="Arial"/>
                <w:color w:val="000000" w:themeColor="text1"/>
                <w:sz w:val="16"/>
                <w:szCs w:val="16"/>
              </w:rPr>
              <w:t xml:space="preserve">764,728,013 </w:t>
            </w:r>
          </w:p>
        </w:tc>
        <w:tc>
          <w:tcPr>
            <w:tcW w:w="1241" w:type="dxa"/>
            <w:shd w:val="clear" w:color="auto" w:fill="auto"/>
            <w:noWrap/>
            <w:vAlign w:val="center"/>
            <w:hideMark/>
          </w:tcPr>
          <w:p w14:paraId="472A8757" w14:textId="717FC07F" w:rsidR="00A27AC6" w:rsidRPr="009E35ED" w:rsidRDefault="00A27AC6" w:rsidP="00A27AC6">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041" w:type="dxa"/>
            <w:shd w:val="clear" w:color="auto" w:fill="auto"/>
            <w:noWrap/>
            <w:vAlign w:val="center"/>
            <w:hideMark/>
          </w:tcPr>
          <w:p w14:paraId="4596EC59" w14:textId="4D08B6E1" w:rsidR="00A27AC6" w:rsidRPr="009E35ED" w:rsidRDefault="00A27AC6" w:rsidP="00A27AC6">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839" w:type="dxa"/>
            <w:shd w:val="clear" w:color="auto" w:fill="auto"/>
            <w:noWrap/>
            <w:vAlign w:val="bottom"/>
            <w:hideMark/>
          </w:tcPr>
          <w:p w14:paraId="49F5E0B5" w14:textId="034C2A3D" w:rsidR="00A27AC6" w:rsidRPr="009E35ED" w:rsidRDefault="00A27AC6" w:rsidP="00A27AC6">
            <w:pPr>
              <w:ind w:left="0"/>
              <w:jc w:val="right"/>
              <w:rPr>
                <w:rFonts w:ascii="Arial Narrow" w:hAnsi="Arial Narrow"/>
                <w:color w:val="000000" w:themeColor="text1"/>
                <w:sz w:val="16"/>
                <w:szCs w:val="16"/>
                <w:lang w:val="en-PH" w:eastAsia="en-PH"/>
              </w:rPr>
            </w:pPr>
            <w:r w:rsidRPr="009E35ED">
              <w:rPr>
                <w:rFonts w:ascii="Arial Narrow" w:hAnsi="Arial Narrow" w:cs="Arial"/>
                <w:color w:val="000000" w:themeColor="text1"/>
                <w:sz w:val="16"/>
                <w:szCs w:val="16"/>
              </w:rPr>
              <w:t xml:space="preserve">764,728,013 </w:t>
            </w:r>
          </w:p>
        </w:tc>
      </w:tr>
      <w:tr w:rsidR="00997F75" w:rsidRPr="009E35ED" w14:paraId="149FC7C9" w14:textId="77777777" w:rsidTr="00860ED6">
        <w:trPr>
          <w:trHeight w:val="300"/>
        </w:trPr>
        <w:tc>
          <w:tcPr>
            <w:tcW w:w="3643" w:type="dxa"/>
            <w:gridSpan w:val="4"/>
            <w:shd w:val="clear" w:color="auto" w:fill="auto"/>
            <w:noWrap/>
            <w:vAlign w:val="center"/>
            <w:hideMark/>
          </w:tcPr>
          <w:p w14:paraId="20062E27" w14:textId="77777777" w:rsidR="00A27AC6" w:rsidRPr="009E35ED" w:rsidRDefault="00A27AC6" w:rsidP="00A27AC6">
            <w:pPr>
              <w:ind w:left="0"/>
              <w:jc w:val="left"/>
              <w:rPr>
                <w:rFonts w:ascii="Arial Narrow" w:hAnsi="Arial Narrow"/>
                <w:b/>
                <w:bCs/>
                <w:color w:val="000000" w:themeColor="text1"/>
                <w:sz w:val="16"/>
                <w:szCs w:val="16"/>
                <w:lang w:val="en-PH" w:eastAsia="en-PH"/>
              </w:rPr>
            </w:pPr>
            <w:r w:rsidRPr="009E35ED">
              <w:rPr>
                <w:rFonts w:ascii="Arial Narrow" w:hAnsi="Arial Narrow"/>
                <w:b/>
                <w:bCs/>
                <w:color w:val="000000" w:themeColor="text1"/>
                <w:sz w:val="18"/>
                <w:szCs w:val="16"/>
                <w:lang w:val="en-PH" w:eastAsia="en-PH"/>
              </w:rPr>
              <w:t>Financial Assistance/Subsidy/Contribution</w:t>
            </w:r>
          </w:p>
        </w:tc>
        <w:tc>
          <w:tcPr>
            <w:tcW w:w="1070" w:type="dxa"/>
            <w:shd w:val="clear" w:color="auto" w:fill="auto"/>
            <w:noWrap/>
            <w:vAlign w:val="bottom"/>
            <w:hideMark/>
          </w:tcPr>
          <w:p w14:paraId="28254970" w14:textId="77777777" w:rsidR="00A27AC6" w:rsidRPr="009E35ED" w:rsidRDefault="00A27AC6" w:rsidP="00A27AC6">
            <w:pPr>
              <w:ind w:left="0"/>
              <w:jc w:val="right"/>
              <w:rPr>
                <w:rFonts w:ascii="Arial Narrow" w:hAnsi="Arial Narrow"/>
                <w:b/>
                <w:bCs/>
                <w:color w:val="000000" w:themeColor="text1"/>
                <w:sz w:val="16"/>
                <w:szCs w:val="16"/>
                <w:lang w:val="en-PH" w:eastAsia="en-PH"/>
              </w:rPr>
            </w:pPr>
          </w:p>
        </w:tc>
        <w:tc>
          <w:tcPr>
            <w:tcW w:w="1241" w:type="dxa"/>
            <w:shd w:val="clear" w:color="auto" w:fill="auto"/>
            <w:noWrap/>
            <w:vAlign w:val="bottom"/>
            <w:hideMark/>
          </w:tcPr>
          <w:p w14:paraId="397F1B2A" w14:textId="77777777" w:rsidR="00A27AC6" w:rsidRPr="009E35ED" w:rsidRDefault="00A27AC6" w:rsidP="00A27AC6">
            <w:pPr>
              <w:ind w:left="0"/>
              <w:jc w:val="right"/>
              <w:rPr>
                <w:color w:val="000000" w:themeColor="text1"/>
                <w:sz w:val="20"/>
                <w:szCs w:val="20"/>
                <w:lang w:val="en-PH" w:eastAsia="en-PH"/>
              </w:rPr>
            </w:pPr>
          </w:p>
        </w:tc>
        <w:tc>
          <w:tcPr>
            <w:tcW w:w="1041" w:type="dxa"/>
            <w:shd w:val="clear" w:color="auto" w:fill="auto"/>
            <w:noWrap/>
            <w:vAlign w:val="bottom"/>
            <w:hideMark/>
          </w:tcPr>
          <w:p w14:paraId="5C41ED0D" w14:textId="77777777" w:rsidR="00A27AC6" w:rsidRPr="009E35ED" w:rsidRDefault="00A27AC6" w:rsidP="00A27AC6">
            <w:pPr>
              <w:ind w:left="0"/>
              <w:jc w:val="right"/>
              <w:rPr>
                <w:color w:val="000000" w:themeColor="text1"/>
                <w:sz w:val="20"/>
                <w:szCs w:val="20"/>
                <w:lang w:val="en-PH" w:eastAsia="en-PH"/>
              </w:rPr>
            </w:pPr>
          </w:p>
        </w:tc>
        <w:tc>
          <w:tcPr>
            <w:tcW w:w="1839" w:type="dxa"/>
            <w:shd w:val="clear" w:color="auto" w:fill="auto"/>
            <w:noWrap/>
            <w:vAlign w:val="bottom"/>
            <w:hideMark/>
          </w:tcPr>
          <w:p w14:paraId="683000E9" w14:textId="77777777" w:rsidR="00A27AC6" w:rsidRPr="009E35ED" w:rsidRDefault="00A27AC6" w:rsidP="00A27AC6">
            <w:pPr>
              <w:ind w:left="0"/>
              <w:jc w:val="right"/>
              <w:rPr>
                <w:color w:val="000000" w:themeColor="text1"/>
                <w:sz w:val="20"/>
                <w:szCs w:val="20"/>
                <w:lang w:val="en-PH" w:eastAsia="en-PH"/>
              </w:rPr>
            </w:pPr>
          </w:p>
        </w:tc>
      </w:tr>
      <w:tr w:rsidR="00B535B6" w:rsidRPr="009E35ED" w14:paraId="595F4831" w14:textId="77777777" w:rsidTr="00860ED6">
        <w:trPr>
          <w:trHeight w:val="56"/>
        </w:trPr>
        <w:tc>
          <w:tcPr>
            <w:tcW w:w="532" w:type="dxa"/>
            <w:shd w:val="clear" w:color="auto" w:fill="auto"/>
            <w:noWrap/>
            <w:vAlign w:val="bottom"/>
            <w:hideMark/>
          </w:tcPr>
          <w:p w14:paraId="50C01507" w14:textId="77777777" w:rsidR="00B535B6" w:rsidRPr="009E35ED" w:rsidRDefault="00B535B6" w:rsidP="00B535B6">
            <w:pPr>
              <w:ind w:left="0"/>
              <w:jc w:val="right"/>
              <w:rPr>
                <w:color w:val="000000" w:themeColor="text1"/>
                <w:sz w:val="20"/>
                <w:szCs w:val="20"/>
                <w:lang w:val="en-PH" w:eastAsia="en-PH"/>
              </w:rPr>
            </w:pPr>
          </w:p>
        </w:tc>
        <w:tc>
          <w:tcPr>
            <w:tcW w:w="3111" w:type="dxa"/>
            <w:gridSpan w:val="3"/>
            <w:shd w:val="clear" w:color="auto" w:fill="auto"/>
            <w:noWrap/>
            <w:vAlign w:val="bottom"/>
            <w:hideMark/>
          </w:tcPr>
          <w:p w14:paraId="73F3916B" w14:textId="77777777" w:rsidR="00B535B6" w:rsidRPr="009E35ED" w:rsidRDefault="00B535B6" w:rsidP="00B535B6">
            <w:pPr>
              <w:ind w:left="0"/>
              <w:jc w:val="lef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Individuals</w:t>
            </w:r>
          </w:p>
        </w:tc>
        <w:tc>
          <w:tcPr>
            <w:tcW w:w="1070" w:type="dxa"/>
            <w:shd w:val="clear" w:color="auto" w:fill="auto"/>
            <w:noWrap/>
            <w:vAlign w:val="bottom"/>
            <w:hideMark/>
          </w:tcPr>
          <w:p w14:paraId="621EBAF1" w14:textId="77777777" w:rsidR="00B535B6" w:rsidRPr="009E35ED" w:rsidRDefault="00B535B6" w:rsidP="00B535B6">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241" w:type="dxa"/>
            <w:shd w:val="clear" w:color="auto" w:fill="auto"/>
            <w:noWrap/>
            <w:vAlign w:val="bottom"/>
            <w:hideMark/>
          </w:tcPr>
          <w:p w14:paraId="4FF6A02B" w14:textId="3B18767B" w:rsidR="00B535B6" w:rsidRPr="009E35ED" w:rsidRDefault="00B535B6" w:rsidP="00B535B6">
            <w:pPr>
              <w:ind w:left="0"/>
              <w:jc w:val="right"/>
              <w:rPr>
                <w:rFonts w:ascii="Arial Narrow" w:hAnsi="Arial Narrow"/>
                <w:color w:val="000000" w:themeColor="text1"/>
                <w:sz w:val="16"/>
                <w:szCs w:val="16"/>
                <w:lang w:val="en-PH" w:eastAsia="en-PH"/>
              </w:rPr>
            </w:pPr>
            <w:r w:rsidRPr="009E35ED">
              <w:rPr>
                <w:rFonts w:ascii="Arial Narrow" w:hAnsi="Arial Narrow" w:cs="Arial"/>
                <w:color w:val="000000" w:themeColor="text1"/>
                <w:sz w:val="16"/>
                <w:szCs w:val="16"/>
              </w:rPr>
              <w:t>2,114,676,465</w:t>
            </w:r>
          </w:p>
        </w:tc>
        <w:tc>
          <w:tcPr>
            <w:tcW w:w="1041" w:type="dxa"/>
            <w:shd w:val="clear" w:color="auto" w:fill="auto"/>
            <w:noWrap/>
            <w:vAlign w:val="bottom"/>
            <w:hideMark/>
          </w:tcPr>
          <w:p w14:paraId="436B6BAF" w14:textId="77777777" w:rsidR="00B535B6" w:rsidRPr="009E35ED" w:rsidRDefault="00B535B6" w:rsidP="00B535B6">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839" w:type="dxa"/>
            <w:shd w:val="clear" w:color="auto" w:fill="auto"/>
            <w:noWrap/>
            <w:vAlign w:val="bottom"/>
            <w:hideMark/>
          </w:tcPr>
          <w:p w14:paraId="0B0EFF28" w14:textId="4DF04673" w:rsidR="00B535B6" w:rsidRPr="009E35ED" w:rsidRDefault="00B535B6" w:rsidP="00B535B6">
            <w:pPr>
              <w:ind w:left="0"/>
              <w:jc w:val="right"/>
              <w:rPr>
                <w:rFonts w:ascii="Arial Narrow" w:hAnsi="Arial Narrow"/>
                <w:color w:val="000000" w:themeColor="text1"/>
                <w:sz w:val="16"/>
                <w:szCs w:val="16"/>
                <w:lang w:val="en-PH" w:eastAsia="en-PH"/>
              </w:rPr>
            </w:pPr>
            <w:r w:rsidRPr="009E35ED">
              <w:rPr>
                <w:rFonts w:ascii="Arial Narrow" w:hAnsi="Arial Narrow" w:cs="Arial"/>
                <w:color w:val="000000" w:themeColor="text1"/>
                <w:sz w:val="16"/>
                <w:szCs w:val="16"/>
              </w:rPr>
              <w:t>2,114,676,465</w:t>
            </w:r>
          </w:p>
        </w:tc>
      </w:tr>
      <w:tr w:rsidR="00B535B6" w:rsidRPr="009E35ED" w14:paraId="498542B8" w14:textId="77777777" w:rsidTr="00860ED6">
        <w:trPr>
          <w:trHeight w:val="90"/>
        </w:trPr>
        <w:tc>
          <w:tcPr>
            <w:tcW w:w="532" w:type="dxa"/>
            <w:shd w:val="clear" w:color="auto" w:fill="auto"/>
            <w:noWrap/>
            <w:vAlign w:val="bottom"/>
            <w:hideMark/>
          </w:tcPr>
          <w:p w14:paraId="37617584" w14:textId="77777777" w:rsidR="00B535B6" w:rsidRPr="009E35ED" w:rsidRDefault="00B535B6" w:rsidP="00B535B6">
            <w:pPr>
              <w:ind w:left="0"/>
              <w:jc w:val="right"/>
              <w:rPr>
                <w:rFonts w:ascii="Arial Narrow" w:hAnsi="Arial Narrow"/>
                <w:color w:val="000000" w:themeColor="text1"/>
                <w:sz w:val="16"/>
                <w:szCs w:val="16"/>
                <w:lang w:val="en-PH" w:eastAsia="en-PH"/>
              </w:rPr>
            </w:pPr>
          </w:p>
        </w:tc>
        <w:tc>
          <w:tcPr>
            <w:tcW w:w="3111" w:type="dxa"/>
            <w:gridSpan w:val="3"/>
            <w:shd w:val="clear" w:color="auto" w:fill="auto"/>
            <w:noWrap/>
            <w:vAlign w:val="bottom"/>
            <w:hideMark/>
          </w:tcPr>
          <w:p w14:paraId="30E60A24" w14:textId="072481E6" w:rsidR="00B535B6" w:rsidRPr="009E35ED" w:rsidRDefault="00B535B6" w:rsidP="00B535B6">
            <w:pPr>
              <w:ind w:left="0"/>
              <w:jc w:val="lef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 xml:space="preserve">National </w:t>
            </w:r>
            <w:r w:rsidR="006A1323">
              <w:rPr>
                <w:rFonts w:ascii="Arial Narrow" w:hAnsi="Arial Narrow"/>
                <w:color w:val="000000" w:themeColor="text1"/>
                <w:sz w:val="16"/>
                <w:szCs w:val="16"/>
                <w:lang w:val="en-PH" w:eastAsia="en-PH"/>
              </w:rPr>
              <w:t>g</w:t>
            </w:r>
            <w:r w:rsidRPr="009E35ED">
              <w:rPr>
                <w:rFonts w:ascii="Arial Narrow" w:hAnsi="Arial Narrow"/>
                <w:color w:val="000000" w:themeColor="text1"/>
                <w:sz w:val="16"/>
                <w:szCs w:val="16"/>
                <w:lang w:val="en-PH" w:eastAsia="en-PH"/>
              </w:rPr>
              <w:t xml:space="preserve">overnment </w:t>
            </w:r>
            <w:r w:rsidR="006A1323">
              <w:rPr>
                <w:rFonts w:ascii="Arial Narrow" w:hAnsi="Arial Narrow"/>
                <w:color w:val="000000" w:themeColor="text1"/>
                <w:sz w:val="16"/>
                <w:szCs w:val="16"/>
                <w:lang w:val="en-PH" w:eastAsia="en-PH"/>
              </w:rPr>
              <w:t>a</w:t>
            </w:r>
            <w:r w:rsidRPr="009E35ED">
              <w:rPr>
                <w:rFonts w:ascii="Arial Narrow" w:hAnsi="Arial Narrow"/>
                <w:color w:val="000000" w:themeColor="text1"/>
                <w:sz w:val="16"/>
                <w:szCs w:val="16"/>
                <w:lang w:val="en-PH" w:eastAsia="en-PH"/>
              </w:rPr>
              <w:t>gencies</w:t>
            </w:r>
          </w:p>
        </w:tc>
        <w:tc>
          <w:tcPr>
            <w:tcW w:w="1070" w:type="dxa"/>
            <w:shd w:val="clear" w:color="auto" w:fill="auto"/>
            <w:noWrap/>
            <w:vAlign w:val="bottom"/>
            <w:hideMark/>
          </w:tcPr>
          <w:p w14:paraId="041FE1F8" w14:textId="77777777" w:rsidR="00B535B6" w:rsidRPr="009E35ED" w:rsidRDefault="00B535B6" w:rsidP="00B535B6">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241" w:type="dxa"/>
            <w:shd w:val="clear" w:color="auto" w:fill="auto"/>
            <w:noWrap/>
            <w:vAlign w:val="bottom"/>
            <w:hideMark/>
          </w:tcPr>
          <w:p w14:paraId="562CA73B" w14:textId="57DD22D1" w:rsidR="00B535B6" w:rsidRPr="009E35ED" w:rsidRDefault="00B535B6" w:rsidP="00B535B6">
            <w:pPr>
              <w:ind w:left="0"/>
              <w:jc w:val="right"/>
              <w:rPr>
                <w:rFonts w:ascii="Arial Narrow" w:hAnsi="Arial Narrow"/>
                <w:color w:val="000000" w:themeColor="text1"/>
                <w:sz w:val="16"/>
                <w:szCs w:val="16"/>
                <w:lang w:val="en-PH" w:eastAsia="en-PH"/>
              </w:rPr>
            </w:pPr>
            <w:r w:rsidRPr="009E35ED">
              <w:rPr>
                <w:rFonts w:ascii="Arial Narrow" w:hAnsi="Arial Narrow" w:cs="Arial"/>
                <w:color w:val="000000" w:themeColor="text1"/>
                <w:sz w:val="16"/>
                <w:szCs w:val="16"/>
              </w:rPr>
              <w:t xml:space="preserve">2,205,178,854 </w:t>
            </w:r>
          </w:p>
        </w:tc>
        <w:tc>
          <w:tcPr>
            <w:tcW w:w="1041" w:type="dxa"/>
            <w:shd w:val="clear" w:color="auto" w:fill="auto"/>
            <w:noWrap/>
            <w:vAlign w:val="bottom"/>
            <w:hideMark/>
          </w:tcPr>
          <w:p w14:paraId="0A186EDC" w14:textId="77777777" w:rsidR="00B535B6" w:rsidRPr="009E35ED" w:rsidRDefault="00B535B6" w:rsidP="00B535B6">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839" w:type="dxa"/>
            <w:shd w:val="clear" w:color="auto" w:fill="auto"/>
            <w:noWrap/>
            <w:vAlign w:val="bottom"/>
            <w:hideMark/>
          </w:tcPr>
          <w:p w14:paraId="66619B07" w14:textId="39C4AA3F" w:rsidR="00B535B6" w:rsidRPr="009E35ED" w:rsidRDefault="00B535B6" w:rsidP="00B535B6">
            <w:pPr>
              <w:ind w:left="0"/>
              <w:jc w:val="right"/>
              <w:rPr>
                <w:rFonts w:ascii="Arial Narrow" w:hAnsi="Arial Narrow"/>
                <w:color w:val="000000" w:themeColor="text1"/>
                <w:sz w:val="16"/>
                <w:szCs w:val="16"/>
                <w:lang w:val="en-PH" w:eastAsia="en-PH"/>
              </w:rPr>
            </w:pPr>
            <w:r w:rsidRPr="009E35ED">
              <w:rPr>
                <w:rFonts w:ascii="Arial Narrow" w:hAnsi="Arial Narrow" w:cs="Arial"/>
                <w:color w:val="000000" w:themeColor="text1"/>
                <w:sz w:val="16"/>
                <w:szCs w:val="16"/>
              </w:rPr>
              <w:t xml:space="preserve">2,205,178,854 </w:t>
            </w:r>
          </w:p>
        </w:tc>
      </w:tr>
      <w:tr w:rsidR="00B535B6" w:rsidRPr="009E35ED" w14:paraId="113D08C3" w14:textId="77777777" w:rsidTr="00860ED6">
        <w:trPr>
          <w:trHeight w:val="56"/>
        </w:trPr>
        <w:tc>
          <w:tcPr>
            <w:tcW w:w="532" w:type="dxa"/>
            <w:shd w:val="clear" w:color="auto" w:fill="auto"/>
            <w:noWrap/>
            <w:vAlign w:val="bottom"/>
            <w:hideMark/>
          </w:tcPr>
          <w:p w14:paraId="185D6B42" w14:textId="77777777" w:rsidR="00B535B6" w:rsidRPr="009E35ED" w:rsidRDefault="00B535B6" w:rsidP="00B535B6">
            <w:pPr>
              <w:ind w:left="0"/>
              <w:jc w:val="right"/>
              <w:rPr>
                <w:rFonts w:ascii="Arial Narrow" w:hAnsi="Arial Narrow"/>
                <w:color w:val="000000" w:themeColor="text1"/>
                <w:sz w:val="16"/>
                <w:szCs w:val="16"/>
                <w:lang w:val="en-PH" w:eastAsia="en-PH"/>
              </w:rPr>
            </w:pPr>
          </w:p>
        </w:tc>
        <w:tc>
          <w:tcPr>
            <w:tcW w:w="3111" w:type="dxa"/>
            <w:gridSpan w:val="3"/>
            <w:shd w:val="clear" w:color="auto" w:fill="auto"/>
            <w:noWrap/>
            <w:vAlign w:val="bottom"/>
            <w:hideMark/>
          </w:tcPr>
          <w:p w14:paraId="52E8715B" w14:textId="4A5082E1" w:rsidR="00B535B6" w:rsidRPr="009E35ED" w:rsidRDefault="00B535B6" w:rsidP="00B535B6">
            <w:pPr>
              <w:ind w:left="0"/>
              <w:jc w:val="lef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 xml:space="preserve">Local </w:t>
            </w:r>
            <w:r w:rsidR="006A1323">
              <w:rPr>
                <w:rFonts w:ascii="Arial Narrow" w:hAnsi="Arial Narrow"/>
                <w:color w:val="000000" w:themeColor="text1"/>
                <w:sz w:val="16"/>
                <w:szCs w:val="16"/>
                <w:lang w:val="en-PH" w:eastAsia="en-PH"/>
              </w:rPr>
              <w:t>g</w:t>
            </w:r>
            <w:r w:rsidRPr="009E35ED">
              <w:rPr>
                <w:rFonts w:ascii="Arial Narrow" w:hAnsi="Arial Narrow"/>
                <w:color w:val="000000" w:themeColor="text1"/>
                <w:sz w:val="16"/>
                <w:szCs w:val="16"/>
                <w:lang w:val="en-PH" w:eastAsia="en-PH"/>
              </w:rPr>
              <w:t xml:space="preserve">overnment </w:t>
            </w:r>
            <w:r w:rsidR="006A1323">
              <w:rPr>
                <w:rFonts w:ascii="Arial Narrow" w:hAnsi="Arial Narrow"/>
                <w:color w:val="000000" w:themeColor="text1"/>
                <w:sz w:val="16"/>
                <w:szCs w:val="16"/>
                <w:lang w:val="en-PH" w:eastAsia="en-PH"/>
              </w:rPr>
              <w:t>u</w:t>
            </w:r>
            <w:r w:rsidRPr="009E35ED">
              <w:rPr>
                <w:rFonts w:ascii="Arial Narrow" w:hAnsi="Arial Narrow"/>
                <w:color w:val="000000" w:themeColor="text1"/>
                <w:sz w:val="16"/>
                <w:szCs w:val="16"/>
                <w:lang w:val="en-PH" w:eastAsia="en-PH"/>
              </w:rPr>
              <w:t>nits</w:t>
            </w:r>
          </w:p>
        </w:tc>
        <w:tc>
          <w:tcPr>
            <w:tcW w:w="1070" w:type="dxa"/>
            <w:shd w:val="clear" w:color="auto" w:fill="auto"/>
            <w:noWrap/>
            <w:vAlign w:val="bottom"/>
            <w:hideMark/>
          </w:tcPr>
          <w:p w14:paraId="3A519A9B" w14:textId="77777777" w:rsidR="00B535B6" w:rsidRPr="009E35ED" w:rsidRDefault="00B535B6" w:rsidP="00B535B6">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241" w:type="dxa"/>
            <w:shd w:val="clear" w:color="auto" w:fill="auto"/>
            <w:noWrap/>
            <w:vAlign w:val="bottom"/>
            <w:hideMark/>
          </w:tcPr>
          <w:p w14:paraId="67A51162" w14:textId="7243B22B" w:rsidR="00B535B6" w:rsidRPr="009E35ED" w:rsidRDefault="00B535B6" w:rsidP="00B535B6">
            <w:pPr>
              <w:ind w:left="0"/>
              <w:jc w:val="right"/>
              <w:rPr>
                <w:rFonts w:ascii="Arial Narrow" w:hAnsi="Arial Narrow"/>
                <w:color w:val="000000" w:themeColor="text1"/>
                <w:sz w:val="16"/>
                <w:szCs w:val="16"/>
                <w:lang w:val="en-PH" w:eastAsia="en-PH"/>
              </w:rPr>
            </w:pPr>
            <w:r w:rsidRPr="009E35ED">
              <w:rPr>
                <w:rFonts w:ascii="Arial Narrow" w:hAnsi="Arial Narrow" w:cs="Arial"/>
                <w:color w:val="000000" w:themeColor="text1"/>
                <w:sz w:val="16"/>
                <w:szCs w:val="16"/>
              </w:rPr>
              <w:t xml:space="preserve">609,486,561 </w:t>
            </w:r>
          </w:p>
        </w:tc>
        <w:tc>
          <w:tcPr>
            <w:tcW w:w="1041" w:type="dxa"/>
            <w:shd w:val="clear" w:color="auto" w:fill="auto"/>
            <w:noWrap/>
            <w:vAlign w:val="bottom"/>
            <w:hideMark/>
          </w:tcPr>
          <w:p w14:paraId="4298DE14" w14:textId="77777777" w:rsidR="00B535B6" w:rsidRPr="009E35ED" w:rsidRDefault="00B535B6" w:rsidP="00B535B6">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839" w:type="dxa"/>
            <w:shd w:val="clear" w:color="auto" w:fill="auto"/>
            <w:noWrap/>
            <w:vAlign w:val="bottom"/>
            <w:hideMark/>
          </w:tcPr>
          <w:p w14:paraId="7D8C7A4E" w14:textId="22B35E0E" w:rsidR="00B535B6" w:rsidRPr="009E35ED" w:rsidRDefault="00B535B6" w:rsidP="00B535B6">
            <w:pPr>
              <w:ind w:left="0"/>
              <w:jc w:val="right"/>
              <w:rPr>
                <w:rFonts w:ascii="Arial Narrow" w:hAnsi="Arial Narrow"/>
                <w:color w:val="000000" w:themeColor="text1"/>
                <w:sz w:val="16"/>
                <w:szCs w:val="16"/>
                <w:lang w:val="en-PH" w:eastAsia="en-PH"/>
              </w:rPr>
            </w:pPr>
            <w:r w:rsidRPr="009E35ED">
              <w:rPr>
                <w:rFonts w:ascii="Arial Narrow" w:hAnsi="Arial Narrow" w:cs="Arial"/>
                <w:color w:val="000000" w:themeColor="text1"/>
                <w:sz w:val="16"/>
                <w:szCs w:val="16"/>
              </w:rPr>
              <w:t xml:space="preserve">609,486,561 </w:t>
            </w:r>
          </w:p>
        </w:tc>
      </w:tr>
      <w:tr w:rsidR="00B535B6" w:rsidRPr="009E35ED" w14:paraId="420A803C" w14:textId="77777777" w:rsidTr="00860ED6">
        <w:trPr>
          <w:trHeight w:val="137"/>
        </w:trPr>
        <w:tc>
          <w:tcPr>
            <w:tcW w:w="532" w:type="dxa"/>
            <w:shd w:val="clear" w:color="auto" w:fill="auto"/>
            <w:noWrap/>
            <w:vAlign w:val="bottom"/>
          </w:tcPr>
          <w:p w14:paraId="5987B6ED" w14:textId="77777777" w:rsidR="00B535B6" w:rsidRPr="009E35ED" w:rsidRDefault="00B535B6" w:rsidP="00B535B6">
            <w:pPr>
              <w:ind w:left="0"/>
              <w:jc w:val="right"/>
              <w:rPr>
                <w:rFonts w:ascii="Arial Narrow" w:hAnsi="Arial Narrow"/>
                <w:color w:val="000000" w:themeColor="text1"/>
                <w:sz w:val="16"/>
                <w:szCs w:val="16"/>
                <w:lang w:val="en-PH" w:eastAsia="en-PH"/>
              </w:rPr>
            </w:pPr>
          </w:p>
        </w:tc>
        <w:tc>
          <w:tcPr>
            <w:tcW w:w="3111" w:type="dxa"/>
            <w:gridSpan w:val="3"/>
            <w:shd w:val="clear" w:color="auto" w:fill="auto"/>
            <w:noWrap/>
            <w:vAlign w:val="bottom"/>
          </w:tcPr>
          <w:p w14:paraId="46818E72" w14:textId="7BCD2DE7" w:rsidR="00B535B6" w:rsidRPr="009E35ED" w:rsidRDefault="00B535B6" w:rsidP="00B535B6">
            <w:pPr>
              <w:ind w:left="0"/>
              <w:jc w:val="lef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Non-</w:t>
            </w:r>
            <w:r w:rsidR="006A1323">
              <w:rPr>
                <w:rFonts w:ascii="Arial Narrow" w:hAnsi="Arial Narrow"/>
                <w:color w:val="000000" w:themeColor="text1"/>
                <w:sz w:val="16"/>
                <w:szCs w:val="16"/>
                <w:lang w:val="en-PH" w:eastAsia="en-PH"/>
              </w:rPr>
              <w:t>g</w:t>
            </w:r>
            <w:r w:rsidRPr="009E35ED">
              <w:rPr>
                <w:rFonts w:ascii="Arial Narrow" w:hAnsi="Arial Narrow"/>
                <w:color w:val="000000" w:themeColor="text1"/>
                <w:sz w:val="16"/>
                <w:szCs w:val="16"/>
                <w:lang w:val="en-PH" w:eastAsia="en-PH"/>
              </w:rPr>
              <w:t xml:space="preserve">overnment </w:t>
            </w:r>
            <w:r w:rsidR="006A1323">
              <w:rPr>
                <w:rFonts w:ascii="Arial Narrow" w:hAnsi="Arial Narrow"/>
                <w:color w:val="000000" w:themeColor="text1"/>
                <w:sz w:val="16"/>
                <w:szCs w:val="16"/>
                <w:lang w:val="en-PH" w:eastAsia="en-PH"/>
              </w:rPr>
              <w:t>o</w:t>
            </w:r>
            <w:r w:rsidRPr="009E35ED">
              <w:rPr>
                <w:rFonts w:ascii="Arial Narrow" w:hAnsi="Arial Narrow"/>
                <w:color w:val="000000" w:themeColor="text1"/>
                <w:sz w:val="16"/>
                <w:szCs w:val="16"/>
                <w:lang w:val="en-PH" w:eastAsia="en-PH"/>
              </w:rPr>
              <w:t xml:space="preserve">rganizations/People's </w:t>
            </w:r>
            <w:r w:rsidR="006A1323">
              <w:rPr>
                <w:rFonts w:ascii="Arial Narrow" w:hAnsi="Arial Narrow"/>
                <w:color w:val="000000" w:themeColor="text1"/>
                <w:sz w:val="16"/>
                <w:szCs w:val="16"/>
                <w:lang w:val="en-PH" w:eastAsia="en-PH"/>
              </w:rPr>
              <w:t>o</w:t>
            </w:r>
            <w:r w:rsidRPr="009E35ED">
              <w:rPr>
                <w:rFonts w:ascii="Arial Narrow" w:hAnsi="Arial Narrow"/>
                <w:color w:val="000000" w:themeColor="text1"/>
                <w:sz w:val="16"/>
                <w:szCs w:val="16"/>
                <w:lang w:val="en-PH" w:eastAsia="en-PH"/>
              </w:rPr>
              <w:t>rganizations</w:t>
            </w:r>
          </w:p>
        </w:tc>
        <w:tc>
          <w:tcPr>
            <w:tcW w:w="1070" w:type="dxa"/>
            <w:shd w:val="clear" w:color="auto" w:fill="auto"/>
            <w:noWrap/>
            <w:vAlign w:val="bottom"/>
          </w:tcPr>
          <w:p w14:paraId="734277EA" w14:textId="77777777" w:rsidR="00B535B6" w:rsidRPr="009E35ED" w:rsidRDefault="00B535B6" w:rsidP="00B535B6">
            <w:pPr>
              <w:ind w:left="0"/>
              <w:jc w:val="right"/>
              <w:rPr>
                <w:rFonts w:ascii="Arial Narrow" w:hAnsi="Arial Narrow"/>
                <w:color w:val="000000" w:themeColor="text1"/>
                <w:sz w:val="16"/>
                <w:szCs w:val="16"/>
                <w:lang w:val="en-PH" w:eastAsia="en-PH"/>
              </w:rPr>
            </w:pPr>
          </w:p>
        </w:tc>
        <w:tc>
          <w:tcPr>
            <w:tcW w:w="1241" w:type="dxa"/>
            <w:shd w:val="clear" w:color="auto" w:fill="auto"/>
            <w:noWrap/>
            <w:vAlign w:val="bottom"/>
          </w:tcPr>
          <w:p w14:paraId="57FF374E" w14:textId="5A13A03D" w:rsidR="00B535B6" w:rsidRPr="009E35ED" w:rsidRDefault="00B535B6" w:rsidP="00B535B6">
            <w:pPr>
              <w:ind w:left="0"/>
              <w:jc w:val="right"/>
              <w:rPr>
                <w:rFonts w:ascii="Arial Narrow" w:hAnsi="Arial Narrow" w:cs="Arial"/>
                <w:color w:val="000000" w:themeColor="text1"/>
                <w:sz w:val="16"/>
                <w:szCs w:val="16"/>
              </w:rPr>
            </w:pPr>
            <w:r w:rsidRPr="009E35ED">
              <w:rPr>
                <w:rFonts w:ascii="Arial Narrow" w:hAnsi="Arial Narrow" w:cs="Arial"/>
                <w:color w:val="000000" w:themeColor="text1"/>
                <w:sz w:val="16"/>
                <w:szCs w:val="16"/>
              </w:rPr>
              <w:t xml:space="preserve">571,280 </w:t>
            </w:r>
          </w:p>
        </w:tc>
        <w:tc>
          <w:tcPr>
            <w:tcW w:w="1041" w:type="dxa"/>
            <w:shd w:val="clear" w:color="auto" w:fill="auto"/>
            <w:noWrap/>
            <w:vAlign w:val="bottom"/>
          </w:tcPr>
          <w:p w14:paraId="74F9895E" w14:textId="77777777" w:rsidR="00B535B6" w:rsidRPr="009E35ED" w:rsidRDefault="00B535B6" w:rsidP="00B535B6">
            <w:pPr>
              <w:ind w:left="0"/>
              <w:jc w:val="right"/>
              <w:rPr>
                <w:rFonts w:ascii="Arial Narrow" w:hAnsi="Arial Narrow"/>
                <w:color w:val="000000" w:themeColor="text1"/>
                <w:sz w:val="16"/>
                <w:szCs w:val="16"/>
                <w:lang w:val="en-PH" w:eastAsia="en-PH"/>
              </w:rPr>
            </w:pPr>
          </w:p>
        </w:tc>
        <w:tc>
          <w:tcPr>
            <w:tcW w:w="1839" w:type="dxa"/>
            <w:shd w:val="clear" w:color="auto" w:fill="auto"/>
            <w:noWrap/>
            <w:vAlign w:val="bottom"/>
          </w:tcPr>
          <w:p w14:paraId="2417D9C7" w14:textId="748010DF" w:rsidR="00B535B6" w:rsidRPr="009E35ED" w:rsidRDefault="00B535B6" w:rsidP="00B535B6">
            <w:pPr>
              <w:ind w:left="0"/>
              <w:jc w:val="right"/>
              <w:rPr>
                <w:rFonts w:ascii="Arial Narrow" w:hAnsi="Arial Narrow"/>
                <w:color w:val="000000" w:themeColor="text1"/>
                <w:sz w:val="16"/>
                <w:szCs w:val="16"/>
                <w:lang w:eastAsia="en-PH"/>
              </w:rPr>
            </w:pPr>
            <w:r w:rsidRPr="009E35ED">
              <w:rPr>
                <w:rFonts w:ascii="Arial Narrow" w:hAnsi="Arial Narrow" w:cs="Arial"/>
                <w:color w:val="000000" w:themeColor="text1"/>
                <w:sz w:val="16"/>
                <w:szCs w:val="16"/>
              </w:rPr>
              <w:t xml:space="preserve">571,280 </w:t>
            </w:r>
          </w:p>
        </w:tc>
      </w:tr>
      <w:tr w:rsidR="00B535B6" w:rsidRPr="009E35ED" w14:paraId="217BB0D5" w14:textId="77777777" w:rsidTr="00860ED6">
        <w:trPr>
          <w:trHeight w:val="56"/>
        </w:trPr>
        <w:tc>
          <w:tcPr>
            <w:tcW w:w="532" w:type="dxa"/>
            <w:shd w:val="clear" w:color="auto" w:fill="auto"/>
            <w:noWrap/>
            <w:vAlign w:val="bottom"/>
            <w:hideMark/>
          </w:tcPr>
          <w:p w14:paraId="503D1843" w14:textId="77777777" w:rsidR="00B535B6" w:rsidRPr="009E35ED" w:rsidRDefault="00B535B6" w:rsidP="00B535B6">
            <w:pPr>
              <w:ind w:left="0"/>
              <w:jc w:val="right"/>
              <w:rPr>
                <w:rFonts w:ascii="Arial Narrow" w:hAnsi="Arial Narrow"/>
                <w:color w:val="000000" w:themeColor="text1"/>
                <w:sz w:val="16"/>
                <w:szCs w:val="16"/>
                <w:lang w:val="en-PH" w:eastAsia="en-PH"/>
              </w:rPr>
            </w:pPr>
          </w:p>
        </w:tc>
        <w:tc>
          <w:tcPr>
            <w:tcW w:w="3111" w:type="dxa"/>
            <w:gridSpan w:val="3"/>
            <w:shd w:val="clear" w:color="auto" w:fill="auto"/>
            <w:noWrap/>
            <w:vAlign w:val="bottom"/>
            <w:hideMark/>
          </w:tcPr>
          <w:p w14:paraId="52D897FB" w14:textId="4A6E9CB0" w:rsidR="00B535B6" w:rsidRPr="009E35ED" w:rsidRDefault="00B535B6" w:rsidP="00B535B6">
            <w:pPr>
              <w:ind w:left="0"/>
              <w:jc w:val="lef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 xml:space="preserve">Other </w:t>
            </w:r>
            <w:r w:rsidR="006A1323">
              <w:rPr>
                <w:rFonts w:ascii="Arial Narrow" w:hAnsi="Arial Narrow"/>
                <w:color w:val="000000" w:themeColor="text1"/>
                <w:sz w:val="16"/>
                <w:szCs w:val="16"/>
                <w:lang w:val="en-PH" w:eastAsia="en-PH"/>
              </w:rPr>
              <w:t>c</w:t>
            </w:r>
            <w:r w:rsidRPr="009E35ED">
              <w:rPr>
                <w:rFonts w:ascii="Arial Narrow" w:hAnsi="Arial Narrow"/>
                <w:color w:val="000000" w:themeColor="text1"/>
                <w:sz w:val="16"/>
                <w:szCs w:val="16"/>
                <w:lang w:val="en-PH" w:eastAsia="en-PH"/>
              </w:rPr>
              <w:t xml:space="preserve">harity </w:t>
            </w:r>
            <w:r w:rsidR="006A1323">
              <w:rPr>
                <w:rFonts w:ascii="Arial Narrow" w:hAnsi="Arial Narrow"/>
                <w:color w:val="000000" w:themeColor="text1"/>
                <w:sz w:val="16"/>
                <w:szCs w:val="16"/>
                <w:lang w:val="en-PH" w:eastAsia="en-PH"/>
              </w:rPr>
              <w:t>e</w:t>
            </w:r>
            <w:r w:rsidRPr="009E35ED">
              <w:rPr>
                <w:rFonts w:ascii="Arial Narrow" w:hAnsi="Arial Narrow"/>
                <w:color w:val="000000" w:themeColor="text1"/>
                <w:sz w:val="16"/>
                <w:szCs w:val="16"/>
                <w:lang w:val="en-PH" w:eastAsia="en-PH"/>
              </w:rPr>
              <w:t>xpenses</w:t>
            </w:r>
          </w:p>
        </w:tc>
        <w:tc>
          <w:tcPr>
            <w:tcW w:w="1070" w:type="dxa"/>
            <w:shd w:val="clear" w:color="auto" w:fill="auto"/>
            <w:noWrap/>
            <w:vAlign w:val="bottom"/>
            <w:hideMark/>
          </w:tcPr>
          <w:p w14:paraId="5A4B69A0" w14:textId="77777777" w:rsidR="00B535B6" w:rsidRPr="009E35ED" w:rsidRDefault="00B535B6" w:rsidP="00B535B6">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241" w:type="dxa"/>
            <w:shd w:val="clear" w:color="auto" w:fill="auto"/>
            <w:noWrap/>
            <w:vAlign w:val="bottom"/>
            <w:hideMark/>
          </w:tcPr>
          <w:p w14:paraId="1A1FF91E" w14:textId="1A3A686F" w:rsidR="00B535B6" w:rsidRPr="009E35ED" w:rsidRDefault="00B535B6" w:rsidP="00B535B6">
            <w:pPr>
              <w:ind w:left="0"/>
              <w:jc w:val="right"/>
              <w:rPr>
                <w:rFonts w:ascii="Arial Narrow" w:hAnsi="Arial Narrow"/>
                <w:color w:val="000000" w:themeColor="text1"/>
                <w:sz w:val="16"/>
                <w:szCs w:val="16"/>
                <w:lang w:val="en-PH" w:eastAsia="en-PH"/>
              </w:rPr>
            </w:pPr>
            <w:r w:rsidRPr="009E35ED">
              <w:rPr>
                <w:rFonts w:ascii="Arial Narrow" w:hAnsi="Arial Narrow" w:cs="Arial"/>
                <w:color w:val="000000" w:themeColor="text1"/>
                <w:sz w:val="16"/>
                <w:szCs w:val="16"/>
              </w:rPr>
              <w:t xml:space="preserve">291,143,383 </w:t>
            </w:r>
          </w:p>
        </w:tc>
        <w:tc>
          <w:tcPr>
            <w:tcW w:w="1041" w:type="dxa"/>
            <w:shd w:val="clear" w:color="auto" w:fill="auto"/>
            <w:noWrap/>
            <w:vAlign w:val="bottom"/>
            <w:hideMark/>
          </w:tcPr>
          <w:p w14:paraId="57A4AD24" w14:textId="77777777" w:rsidR="00B535B6" w:rsidRPr="009E35ED" w:rsidRDefault="00B535B6" w:rsidP="00B535B6">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839" w:type="dxa"/>
            <w:shd w:val="clear" w:color="auto" w:fill="auto"/>
            <w:noWrap/>
            <w:vAlign w:val="bottom"/>
            <w:hideMark/>
          </w:tcPr>
          <w:p w14:paraId="63933596" w14:textId="50B25B70" w:rsidR="00B535B6" w:rsidRPr="009E35ED" w:rsidRDefault="00B535B6" w:rsidP="00B535B6">
            <w:pPr>
              <w:ind w:left="0"/>
              <w:jc w:val="right"/>
              <w:rPr>
                <w:rFonts w:ascii="Arial Narrow" w:hAnsi="Arial Narrow"/>
                <w:color w:val="000000" w:themeColor="text1"/>
                <w:sz w:val="16"/>
                <w:szCs w:val="16"/>
                <w:lang w:val="en-PH" w:eastAsia="en-PH"/>
              </w:rPr>
            </w:pPr>
            <w:r w:rsidRPr="009E35ED">
              <w:rPr>
                <w:rFonts w:ascii="Arial Narrow" w:hAnsi="Arial Narrow" w:cs="Arial"/>
                <w:color w:val="000000" w:themeColor="text1"/>
                <w:sz w:val="16"/>
                <w:szCs w:val="16"/>
              </w:rPr>
              <w:t xml:space="preserve">291,143,383 </w:t>
            </w:r>
          </w:p>
        </w:tc>
      </w:tr>
      <w:tr w:rsidR="00A27AC6" w:rsidRPr="009E35ED" w14:paraId="1E22264F" w14:textId="77777777" w:rsidTr="00860ED6">
        <w:trPr>
          <w:trHeight w:val="315"/>
        </w:trPr>
        <w:tc>
          <w:tcPr>
            <w:tcW w:w="3643" w:type="dxa"/>
            <w:gridSpan w:val="4"/>
            <w:tcBorders>
              <w:top w:val="single" w:sz="4" w:space="0" w:color="auto"/>
              <w:left w:val="nil"/>
              <w:bottom w:val="double" w:sz="6" w:space="0" w:color="auto"/>
              <w:right w:val="nil"/>
            </w:tcBorders>
            <w:shd w:val="clear" w:color="auto" w:fill="auto"/>
            <w:noWrap/>
            <w:vAlign w:val="center"/>
            <w:hideMark/>
          </w:tcPr>
          <w:p w14:paraId="213BA017" w14:textId="77777777" w:rsidR="00A27AC6" w:rsidRPr="009E35ED" w:rsidRDefault="00A27AC6" w:rsidP="00A27AC6">
            <w:pPr>
              <w:ind w:left="0"/>
              <w:jc w:val="left"/>
              <w:rPr>
                <w:rFonts w:ascii="Arial Narrow" w:hAnsi="Arial Narrow"/>
                <w:b/>
                <w:bCs/>
                <w:color w:val="000000" w:themeColor="text1"/>
                <w:sz w:val="16"/>
                <w:szCs w:val="16"/>
                <w:lang w:val="en-PH" w:eastAsia="en-PH"/>
              </w:rPr>
            </w:pPr>
            <w:r w:rsidRPr="009E35ED">
              <w:rPr>
                <w:rFonts w:ascii="Arial Narrow" w:hAnsi="Arial Narrow"/>
                <w:b/>
                <w:bCs/>
                <w:color w:val="000000" w:themeColor="text1"/>
                <w:sz w:val="18"/>
                <w:szCs w:val="16"/>
                <w:lang w:val="en-PH" w:eastAsia="en-PH"/>
              </w:rPr>
              <w:t>Total Operating Expenses</w:t>
            </w:r>
          </w:p>
        </w:tc>
        <w:tc>
          <w:tcPr>
            <w:tcW w:w="1070" w:type="dxa"/>
            <w:tcBorders>
              <w:top w:val="single" w:sz="4" w:space="0" w:color="auto"/>
              <w:left w:val="nil"/>
              <w:bottom w:val="double" w:sz="6" w:space="0" w:color="auto"/>
              <w:right w:val="nil"/>
            </w:tcBorders>
            <w:shd w:val="clear" w:color="auto" w:fill="auto"/>
            <w:noWrap/>
            <w:vAlign w:val="center"/>
            <w:hideMark/>
          </w:tcPr>
          <w:p w14:paraId="07795B7D" w14:textId="2B5262D7" w:rsidR="00A27AC6" w:rsidRPr="009E35ED" w:rsidRDefault="00A27AC6" w:rsidP="00B535B6">
            <w:pPr>
              <w:ind w:left="0"/>
              <w:jc w:val="right"/>
              <w:rPr>
                <w:rFonts w:ascii="Arial Narrow" w:hAnsi="Arial Narrow"/>
                <w:b/>
                <w:bCs/>
                <w:color w:val="000000" w:themeColor="text1"/>
                <w:sz w:val="16"/>
                <w:szCs w:val="16"/>
                <w:lang w:val="en-PH" w:eastAsia="en-PH"/>
              </w:rPr>
            </w:pPr>
            <w:r w:rsidRPr="009E35ED">
              <w:rPr>
                <w:rFonts w:ascii="Arial Narrow" w:hAnsi="Arial Narrow" w:cs="Arial"/>
                <w:b/>
                <w:bCs/>
                <w:color w:val="000000" w:themeColor="text1"/>
                <w:sz w:val="16"/>
                <w:szCs w:val="16"/>
              </w:rPr>
              <w:t xml:space="preserve">                  </w:t>
            </w:r>
            <w:r w:rsidR="00B535B6" w:rsidRPr="009E35ED">
              <w:rPr>
                <w:rFonts w:ascii="Arial Narrow" w:hAnsi="Arial Narrow" w:cs="Arial"/>
                <w:b/>
                <w:bCs/>
                <w:color w:val="000000" w:themeColor="text1"/>
                <w:sz w:val="16"/>
                <w:szCs w:val="16"/>
              </w:rPr>
              <w:t>5,665,820,077</w:t>
            </w:r>
            <w:r w:rsidRPr="009E35ED">
              <w:rPr>
                <w:rFonts w:ascii="Arial Narrow" w:hAnsi="Arial Narrow" w:cs="Arial"/>
                <w:b/>
                <w:bCs/>
                <w:color w:val="000000" w:themeColor="text1"/>
                <w:sz w:val="16"/>
                <w:szCs w:val="16"/>
              </w:rPr>
              <w:t xml:space="preserve"> </w:t>
            </w:r>
          </w:p>
        </w:tc>
        <w:tc>
          <w:tcPr>
            <w:tcW w:w="1241" w:type="dxa"/>
            <w:tcBorders>
              <w:top w:val="single" w:sz="4" w:space="0" w:color="auto"/>
              <w:left w:val="nil"/>
              <w:bottom w:val="double" w:sz="6" w:space="0" w:color="auto"/>
              <w:right w:val="nil"/>
            </w:tcBorders>
            <w:shd w:val="clear" w:color="auto" w:fill="auto"/>
            <w:noWrap/>
            <w:vAlign w:val="center"/>
            <w:hideMark/>
          </w:tcPr>
          <w:p w14:paraId="55B788AD" w14:textId="283BC4BD" w:rsidR="00A27AC6" w:rsidRPr="009E35ED" w:rsidRDefault="00A27AC6" w:rsidP="00B535B6">
            <w:pPr>
              <w:ind w:left="0"/>
              <w:jc w:val="right"/>
              <w:rPr>
                <w:rFonts w:ascii="Arial Narrow" w:hAnsi="Arial Narrow"/>
                <w:b/>
                <w:bCs/>
                <w:color w:val="000000" w:themeColor="text1"/>
                <w:sz w:val="16"/>
                <w:szCs w:val="16"/>
                <w:lang w:val="en-PH" w:eastAsia="en-PH"/>
              </w:rPr>
            </w:pPr>
            <w:r w:rsidRPr="009E35ED">
              <w:rPr>
                <w:rFonts w:ascii="Arial Narrow" w:hAnsi="Arial Narrow" w:cs="Arial"/>
                <w:b/>
                <w:bCs/>
                <w:color w:val="000000" w:themeColor="text1"/>
                <w:sz w:val="16"/>
                <w:szCs w:val="16"/>
              </w:rPr>
              <w:t xml:space="preserve">                </w:t>
            </w:r>
            <w:r w:rsidR="00B535B6" w:rsidRPr="009E35ED">
              <w:rPr>
                <w:rFonts w:ascii="Arial Narrow" w:hAnsi="Arial Narrow" w:cs="Arial"/>
                <w:b/>
                <w:bCs/>
                <w:color w:val="000000" w:themeColor="text1"/>
                <w:sz w:val="16"/>
                <w:szCs w:val="16"/>
              </w:rPr>
              <w:t>18,037,965,691</w:t>
            </w:r>
            <w:r w:rsidRPr="009E35ED">
              <w:rPr>
                <w:rFonts w:ascii="Arial Narrow" w:hAnsi="Arial Narrow" w:cs="Arial"/>
                <w:b/>
                <w:bCs/>
                <w:color w:val="000000" w:themeColor="text1"/>
                <w:sz w:val="16"/>
                <w:szCs w:val="16"/>
              </w:rPr>
              <w:t xml:space="preserve"> </w:t>
            </w:r>
          </w:p>
        </w:tc>
        <w:tc>
          <w:tcPr>
            <w:tcW w:w="1041" w:type="dxa"/>
            <w:tcBorders>
              <w:top w:val="single" w:sz="4" w:space="0" w:color="auto"/>
              <w:left w:val="nil"/>
              <w:bottom w:val="double" w:sz="6" w:space="0" w:color="auto"/>
              <w:right w:val="nil"/>
            </w:tcBorders>
            <w:shd w:val="clear" w:color="auto" w:fill="auto"/>
            <w:noWrap/>
            <w:vAlign w:val="center"/>
            <w:hideMark/>
          </w:tcPr>
          <w:p w14:paraId="7D032C83" w14:textId="757C1893" w:rsidR="00A27AC6" w:rsidRPr="009E35ED" w:rsidRDefault="00A27AC6" w:rsidP="00B535B6">
            <w:pPr>
              <w:ind w:left="0"/>
              <w:jc w:val="right"/>
              <w:rPr>
                <w:rFonts w:ascii="Arial Narrow" w:hAnsi="Arial Narrow"/>
                <w:b/>
                <w:bCs/>
                <w:color w:val="000000" w:themeColor="text1"/>
                <w:sz w:val="16"/>
                <w:szCs w:val="16"/>
                <w:lang w:val="en-PH" w:eastAsia="en-PH"/>
              </w:rPr>
            </w:pPr>
            <w:r w:rsidRPr="009E35ED">
              <w:rPr>
                <w:rFonts w:ascii="Arial Narrow" w:hAnsi="Arial Narrow" w:cs="Arial"/>
                <w:b/>
                <w:bCs/>
                <w:color w:val="000000" w:themeColor="text1"/>
                <w:sz w:val="16"/>
                <w:szCs w:val="16"/>
              </w:rPr>
              <w:t xml:space="preserve">                </w:t>
            </w:r>
            <w:r w:rsidR="00B535B6" w:rsidRPr="009E35ED">
              <w:rPr>
                <w:rFonts w:ascii="Arial Narrow" w:hAnsi="Arial Narrow" w:cs="Arial"/>
                <w:b/>
                <w:bCs/>
                <w:color w:val="000000" w:themeColor="text1"/>
                <w:sz w:val="16"/>
                <w:szCs w:val="16"/>
              </w:rPr>
              <w:t>33,111,521,295</w:t>
            </w:r>
            <w:r w:rsidRPr="009E35ED">
              <w:rPr>
                <w:rFonts w:ascii="Arial Narrow" w:hAnsi="Arial Narrow" w:cs="Arial"/>
                <w:b/>
                <w:bCs/>
                <w:color w:val="000000" w:themeColor="text1"/>
                <w:sz w:val="16"/>
                <w:szCs w:val="16"/>
              </w:rPr>
              <w:t xml:space="preserve"> </w:t>
            </w:r>
          </w:p>
        </w:tc>
        <w:tc>
          <w:tcPr>
            <w:tcW w:w="1839" w:type="dxa"/>
            <w:tcBorders>
              <w:top w:val="single" w:sz="4" w:space="0" w:color="auto"/>
              <w:left w:val="nil"/>
              <w:bottom w:val="double" w:sz="6" w:space="0" w:color="auto"/>
              <w:right w:val="nil"/>
            </w:tcBorders>
            <w:shd w:val="clear" w:color="auto" w:fill="auto"/>
            <w:noWrap/>
            <w:vAlign w:val="center"/>
            <w:hideMark/>
          </w:tcPr>
          <w:p w14:paraId="7DCF8B5B" w14:textId="6C4B2B39" w:rsidR="00A27AC6" w:rsidRPr="009E35ED" w:rsidRDefault="00A27AC6" w:rsidP="00B535B6">
            <w:pPr>
              <w:ind w:left="0"/>
              <w:jc w:val="right"/>
              <w:rPr>
                <w:rFonts w:ascii="Arial Narrow" w:hAnsi="Arial Narrow"/>
                <w:b/>
                <w:bCs/>
                <w:color w:val="000000" w:themeColor="text1"/>
                <w:sz w:val="16"/>
                <w:szCs w:val="16"/>
                <w:lang w:val="en-PH" w:eastAsia="en-PH"/>
              </w:rPr>
            </w:pPr>
            <w:r w:rsidRPr="009E35ED">
              <w:rPr>
                <w:rFonts w:ascii="Arial Narrow" w:hAnsi="Arial Narrow" w:cs="Arial"/>
                <w:b/>
                <w:bCs/>
                <w:color w:val="000000" w:themeColor="text1"/>
                <w:sz w:val="16"/>
                <w:szCs w:val="16"/>
              </w:rPr>
              <w:t xml:space="preserve">                5</w:t>
            </w:r>
            <w:r w:rsidR="00AC76E7" w:rsidRPr="009E35ED">
              <w:rPr>
                <w:rFonts w:ascii="Arial Narrow" w:hAnsi="Arial Narrow" w:cs="Arial"/>
                <w:b/>
                <w:bCs/>
                <w:color w:val="000000" w:themeColor="text1"/>
                <w:sz w:val="16"/>
                <w:szCs w:val="16"/>
              </w:rPr>
              <w:t>6,</w:t>
            </w:r>
            <w:r w:rsidR="00B535B6" w:rsidRPr="009E35ED">
              <w:rPr>
                <w:rFonts w:ascii="Arial Narrow" w:hAnsi="Arial Narrow" w:cs="Arial"/>
                <w:b/>
                <w:bCs/>
                <w:color w:val="000000" w:themeColor="text1"/>
                <w:sz w:val="16"/>
                <w:szCs w:val="16"/>
              </w:rPr>
              <w:t>815</w:t>
            </w:r>
            <w:r w:rsidR="00AC76E7" w:rsidRPr="009E35ED">
              <w:rPr>
                <w:rFonts w:ascii="Arial Narrow" w:hAnsi="Arial Narrow" w:cs="Arial"/>
                <w:b/>
                <w:bCs/>
                <w:color w:val="000000" w:themeColor="text1"/>
                <w:sz w:val="16"/>
                <w:szCs w:val="16"/>
              </w:rPr>
              <w:t>,</w:t>
            </w:r>
            <w:r w:rsidR="00B535B6" w:rsidRPr="009E35ED">
              <w:rPr>
                <w:rFonts w:ascii="Arial Narrow" w:hAnsi="Arial Narrow" w:cs="Arial"/>
                <w:b/>
                <w:bCs/>
                <w:color w:val="000000" w:themeColor="text1"/>
                <w:sz w:val="16"/>
                <w:szCs w:val="16"/>
              </w:rPr>
              <w:t>307</w:t>
            </w:r>
            <w:r w:rsidR="00AC76E7" w:rsidRPr="009E35ED">
              <w:rPr>
                <w:rFonts w:ascii="Arial Narrow" w:hAnsi="Arial Narrow" w:cs="Arial"/>
                <w:b/>
                <w:bCs/>
                <w:color w:val="000000" w:themeColor="text1"/>
                <w:sz w:val="16"/>
                <w:szCs w:val="16"/>
              </w:rPr>
              <w:t>,</w:t>
            </w:r>
            <w:r w:rsidR="00B535B6" w:rsidRPr="009E35ED">
              <w:rPr>
                <w:rFonts w:ascii="Arial Narrow" w:hAnsi="Arial Narrow" w:cs="Arial"/>
                <w:b/>
                <w:bCs/>
                <w:color w:val="000000" w:themeColor="text1"/>
                <w:sz w:val="16"/>
                <w:szCs w:val="16"/>
              </w:rPr>
              <w:t>063</w:t>
            </w:r>
            <w:r w:rsidRPr="009E35ED">
              <w:rPr>
                <w:rFonts w:ascii="Arial Narrow" w:hAnsi="Arial Narrow" w:cs="Arial"/>
                <w:b/>
                <w:bCs/>
                <w:color w:val="000000" w:themeColor="text1"/>
                <w:sz w:val="16"/>
                <w:szCs w:val="16"/>
              </w:rPr>
              <w:t xml:space="preserve"> </w:t>
            </w:r>
          </w:p>
        </w:tc>
      </w:tr>
    </w:tbl>
    <w:p w14:paraId="09504BE3" w14:textId="77777777" w:rsidR="007437A9" w:rsidRPr="009E35ED" w:rsidRDefault="007437A9" w:rsidP="00092E21">
      <w:pPr>
        <w:ind w:left="0"/>
        <w:rPr>
          <w:rFonts w:ascii="Arial" w:hAnsi="Arial" w:cs="Arial"/>
          <w:b/>
          <w:color w:val="000000" w:themeColor="text1"/>
          <w:sz w:val="22"/>
          <w:szCs w:val="22"/>
        </w:rPr>
      </w:pPr>
    </w:p>
    <w:p w14:paraId="2AF93B17" w14:textId="77777777" w:rsidR="003A7B55" w:rsidRDefault="003A7B55" w:rsidP="00495E5D">
      <w:pPr>
        <w:ind w:left="0"/>
        <w:rPr>
          <w:rFonts w:ascii="Arial" w:hAnsi="Arial" w:cs="Arial"/>
          <w:b/>
          <w:color w:val="000000" w:themeColor="text1"/>
          <w:sz w:val="22"/>
          <w:szCs w:val="22"/>
        </w:rPr>
      </w:pPr>
    </w:p>
    <w:p w14:paraId="615AF6A8" w14:textId="1D35909B" w:rsidR="00D03F78" w:rsidRPr="009E35ED" w:rsidRDefault="00495E5D" w:rsidP="00495E5D">
      <w:pPr>
        <w:ind w:left="0"/>
        <w:rPr>
          <w:rFonts w:ascii="Arial" w:hAnsi="Arial" w:cs="Arial"/>
          <w:b/>
          <w:color w:val="000000" w:themeColor="text1"/>
          <w:sz w:val="22"/>
          <w:szCs w:val="22"/>
        </w:rPr>
      </w:pPr>
      <w:r w:rsidRPr="009E35ED">
        <w:rPr>
          <w:rFonts w:ascii="Arial" w:hAnsi="Arial" w:cs="Arial"/>
          <w:b/>
          <w:color w:val="000000" w:themeColor="text1"/>
          <w:sz w:val="22"/>
          <w:szCs w:val="22"/>
        </w:rPr>
        <w:t>2022</w:t>
      </w:r>
      <w:r w:rsidR="00392E90" w:rsidRPr="009E35ED">
        <w:rPr>
          <w:rFonts w:ascii="Arial" w:hAnsi="Arial" w:cs="Arial"/>
          <w:b/>
          <w:color w:val="000000" w:themeColor="text1"/>
          <w:sz w:val="22"/>
          <w:szCs w:val="22"/>
        </w:rPr>
        <w:t xml:space="preserve"> As Restated</w:t>
      </w:r>
    </w:p>
    <w:tbl>
      <w:tblPr>
        <w:tblW w:w="8529" w:type="dxa"/>
        <w:tblLook w:val="04A0" w:firstRow="1" w:lastRow="0" w:firstColumn="1" w:lastColumn="0" w:noHBand="0" w:noVBand="1"/>
      </w:tblPr>
      <w:tblGrid>
        <w:gridCol w:w="567"/>
        <w:gridCol w:w="564"/>
        <w:gridCol w:w="1950"/>
        <w:gridCol w:w="861"/>
        <w:gridCol w:w="1161"/>
        <w:gridCol w:w="1136"/>
        <w:gridCol w:w="1129"/>
        <w:gridCol w:w="1161"/>
      </w:tblGrid>
      <w:tr w:rsidR="00997F75" w:rsidRPr="009E35ED" w14:paraId="3C1EC618" w14:textId="77777777" w:rsidTr="00975CA4">
        <w:trPr>
          <w:trHeight w:val="315"/>
          <w:tblHeader/>
        </w:trPr>
        <w:tc>
          <w:tcPr>
            <w:tcW w:w="1131" w:type="dxa"/>
            <w:gridSpan w:val="2"/>
            <w:tcBorders>
              <w:top w:val="single" w:sz="8" w:space="0" w:color="auto"/>
              <w:left w:val="nil"/>
              <w:bottom w:val="single" w:sz="8" w:space="0" w:color="auto"/>
              <w:right w:val="nil"/>
            </w:tcBorders>
            <w:shd w:val="clear" w:color="auto" w:fill="auto"/>
            <w:noWrap/>
            <w:vAlign w:val="center"/>
            <w:hideMark/>
          </w:tcPr>
          <w:p w14:paraId="4E2FD7A3" w14:textId="77777777" w:rsidR="00D03F78" w:rsidRPr="009E35ED" w:rsidRDefault="00D03F78" w:rsidP="00A27AC6">
            <w:pPr>
              <w:ind w:left="0"/>
              <w:jc w:val="left"/>
              <w:rPr>
                <w:rFonts w:ascii="Arial Narrow" w:hAnsi="Arial Narrow"/>
                <w:b/>
                <w:bCs/>
                <w:color w:val="000000" w:themeColor="text1"/>
                <w:sz w:val="18"/>
                <w:szCs w:val="18"/>
                <w:lang w:val="en-PH" w:eastAsia="en-PH"/>
              </w:rPr>
            </w:pPr>
            <w:r w:rsidRPr="009E35ED">
              <w:rPr>
                <w:rFonts w:ascii="Arial Narrow" w:hAnsi="Arial Narrow"/>
                <w:b/>
                <w:bCs/>
                <w:color w:val="000000" w:themeColor="text1"/>
                <w:sz w:val="18"/>
                <w:szCs w:val="18"/>
                <w:lang w:val="en-PH" w:eastAsia="en-PH"/>
              </w:rPr>
              <w:t> </w:t>
            </w:r>
          </w:p>
        </w:tc>
        <w:tc>
          <w:tcPr>
            <w:tcW w:w="1950" w:type="dxa"/>
            <w:tcBorders>
              <w:top w:val="single" w:sz="8" w:space="0" w:color="auto"/>
              <w:left w:val="nil"/>
              <w:bottom w:val="single" w:sz="8" w:space="0" w:color="auto"/>
              <w:right w:val="nil"/>
            </w:tcBorders>
            <w:shd w:val="clear" w:color="auto" w:fill="auto"/>
            <w:noWrap/>
            <w:vAlign w:val="center"/>
            <w:hideMark/>
          </w:tcPr>
          <w:p w14:paraId="1C7071DE" w14:textId="77777777" w:rsidR="00D03F78" w:rsidRPr="009E35ED" w:rsidRDefault="00D03F78" w:rsidP="00A27AC6">
            <w:pPr>
              <w:ind w:left="0"/>
              <w:jc w:val="left"/>
              <w:rPr>
                <w:rFonts w:ascii="Arial Narrow" w:hAnsi="Arial Narrow"/>
                <w:b/>
                <w:bCs/>
                <w:color w:val="000000" w:themeColor="text1"/>
                <w:sz w:val="18"/>
                <w:szCs w:val="18"/>
                <w:lang w:val="en-PH" w:eastAsia="en-PH"/>
              </w:rPr>
            </w:pPr>
            <w:r w:rsidRPr="009E35ED">
              <w:rPr>
                <w:rFonts w:ascii="Arial Narrow" w:hAnsi="Arial Narrow"/>
                <w:b/>
                <w:bCs/>
                <w:color w:val="000000" w:themeColor="text1"/>
                <w:sz w:val="18"/>
                <w:szCs w:val="18"/>
                <w:lang w:val="en-PH" w:eastAsia="en-PH"/>
              </w:rPr>
              <w:t> </w:t>
            </w:r>
          </w:p>
        </w:tc>
        <w:tc>
          <w:tcPr>
            <w:tcW w:w="861" w:type="dxa"/>
            <w:tcBorders>
              <w:top w:val="single" w:sz="8" w:space="0" w:color="auto"/>
              <w:left w:val="nil"/>
              <w:bottom w:val="single" w:sz="8" w:space="0" w:color="auto"/>
              <w:right w:val="nil"/>
            </w:tcBorders>
            <w:shd w:val="clear" w:color="auto" w:fill="auto"/>
            <w:noWrap/>
            <w:vAlign w:val="center"/>
            <w:hideMark/>
          </w:tcPr>
          <w:p w14:paraId="20CD0979" w14:textId="77777777" w:rsidR="00D03F78" w:rsidRPr="009E35ED" w:rsidRDefault="00D03F78" w:rsidP="00A27AC6">
            <w:pPr>
              <w:ind w:left="0"/>
              <w:jc w:val="left"/>
              <w:rPr>
                <w:rFonts w:ascii="Arial Narrow" w:hAnsi="Arial Narrow"/>
                <w:b/>
                <w:bCs/>
                <w:color w:val="000000" w:themeColor="text1"/>
                <w:sz w:val="18"/>
                <w:szCs w:val="18"/>
                <w:lang w:val="en-PH" w:eastAsia="en-PH"/>
              </w:rPr>
            </w:pPr>
            <w:r w:rsidRPr="009E35ED">
              <w:rPr>
                <w:rFonts w:ascii="Arial Narrow" w:hAnsi="Arial Narrow"/>
                <w:b/>
                <w:bCs/>
                <w:color w:val="000000" w:themeColor="text1"/>
                <w:sz w:val="18"/>
                <w:szCs w:val="18"/>
                <w:lang w:val="en-PH" w:eastAsia="en-PH"/>
              </w:rPr>
              <w:t> </w:t>
            </w:r>
          </w:p>
        </w:tc>
        <w:tc>
          <w:tcPr>
            <w:tcW w:w="1161" w:type="dxa"/>
            <w:tcBorders>
              <w:top w:val="single" w:sz="8" w:space="0" w:color="auto"/>
              <w:left w:val="nil"/>
              <w:bottom w:val="single" w:sz="8" w:space="0" w:color="auto"/>
              <w:right w:val="nil"/>
            </w:tcBorders>
            <w:shd w:val="clear" w:color="auto" w:fill="auto"/>
            <w:noWrap/>
            <w:vAlign w:val="center"/>
            <w:hideMark/>
          </w:tcPr>
          <w:p w14:paraId="74F126CB" w14:textId="77777777" w:rsidR="00D03F78" w:rsidRPr="009E35ED" w:rsidRDefault="00D03F78" w:rsidP="00A27AC6">
            <w:pPr>
              <w:ind w:left="0"/>
              <w:jc w:val="center"/>
              <w:rPr>
                <w:rFonts w:ascii="Arial Narrow" w:hAnsi="Arial Narrow"/>
                <w:b/>
                <w:bCs/>
                <w:color w:val="000000" w:themeColor="text1"/>
                <w:sz w:val="18"/>
                <w:szCs w:val="18"/>
                <w:lang w:val="en-PH" w:eastAsia="en-PH"/>
              </w:rPr>
            </w:pPr>
            <w:r w:rsidRPr="009E35ED">
              <w:rPr>
                <w:rFonts w:ascii="Arial Narrow" w:hAnsi="Arial Narrow"/>
                <w:b/>
                <w:bCs/>
                <w:color w:val="000000" w:themeColor="text1"/>
                <w:sz w:val="18"/>
                <w:szCs w:val="18"/>
                <w:lang w:val="en-PH" w:eastAsia="en-PH"/>
              </w:rPr>
              <w:t>Operating</w:t>
            </w:r>
          </w:p>
        </w:tc>
        <w:tc>
          <w:tcPr>
            <w:tcW w:w="1136" w:type="dxa"/>
            <w:tcBorders>
              <w:top w:val="single" w:sz="8" w:space="0" w:color="auto"/>
              <w:left w:val="nil"/>
              <w:bottom w:val="single" w:sz="8" w:space="0" w:color="auto"/>
              <w:right w:val="nil"/>
            </w:tcBorders>
            <w:shd w:val="clear" w:color="auto" w:fill="auto"/>
            <w:noWrap/>
            <w:vAlign w:val="center"/>
            <w:hideMark/>
          </w:tcPr>
          <w:p w14:paraId="626A30A8" w14:textId="77777777" w:rsidR="00D03F78" w:rsidRPr="009E35ED" w:rsidRDefault="00D03F78" w:rsidP="00A27AC6">
            <w:pPr>
              <w:ind w:left="0"/>
              <w:jc w:val="center"/>
              <w:rPr>
                <w:rFonts w:ascii="Arial Narrow" w:hAnsi="Arial Narrow"/>
                <w:b/>
                <w:bCs/>
                <w:color w:val="000000" w:themeColor="text1"/>
                <w:sz w:val="18"/>
                <w:szCs w:val="18"/>
                <w:lang w:val="en-PH" w:eastAsia="en-PH"/>
              </w:rPr>
            </w:pPr>
            <w:r w:rsidRPr="009E35ED">
              <w:rPr>
                <w:rFonts w:ascii="Arial Narrow" w:hAnsi="Arial Narrow"/>
                <w:b/>
                <w:bCs/>
                <w:color w:val="000000" w:themeColor="text1"/>
                <w:sz w:val="18"/>
                <w:szCs w:val="18"/>
                <w:lang w:val="en-PH" w:eastAsia="en-PH"/>
              </w:rPr>
              <w:t>Charity</w:t>
            </w:r>
          </w:p>
        </w:tc>
        <w:tc>
          <w:tcPr>
            <w:tcW w:w="1129" w:type="dxa"/>
            <w:tcBorders>
              <w:top w:val="single" w:sz="8" w:space="0" w:color="auto"/>
              <w:left w:val="nil"/>
              <w:bottom w:val="single" w:sz="8" w:space="0" w:color="auto"/>
              <w:right w:val="nil"/>
            </w:tcBorders>
            <w:shd w:val="clear" w:color="auto" w:fill="auto"/>
            <w:noWrap/>
            <w:vAlign w:val="center"/>
            <w:hideMark/>
          </w:tcPr>
          <w:p w14:paraId="1ED98110" w14:textId="77777777" w:rsidR="00D03F78" w:rsidRPr="009E35ED" w:rsidRDefault="00D03F78" w:rsidP="00A27AC6">
            <w:pPr>
              <w:ind w:left="0"/>
              <w:jc w:val="center"/>
              <w:rPr>
                <w:rFonts w:ascii="Arial Narrow" w:hAnsi="Arial Narrow"/>
                <w:b/>
                <w:bCs/>
                <w:color w:val="000000" w:themeColor="text1"/>
                <w:sz w:val="18"/>
                <w:szCs w:val="18"/>
                <w:lang w:val="en-PH" w:eastAsia="en-PH"/>
              </w:rPr>
            </w:pPr>
            <w:r w:rsidRPr="009E35ED">
              <w:rPr>
                <w:rFonts w:ascii="Arial Narrow" w:hAnsi="Arial Narrow"/>
                <w:b/>
                <w:bCs/>
                <w:color w:val="000000" w:themeColor="text1"/>
                <w:sz w:val="18"/>
                <w:szCs w:val="18"/>
                <w:lang w:val="en-PH" w:eastAsia="en-PH"/>
              </w:rPr>
              <w:t>Prize</w:t>
            </w:r>
          </w:p>
        </w:tc>
        <w:tc>
          <w:tcPr>
            <w:tcW w:w="1161" w:type="dxa"/>
            <w:tcBorders>
              <w:top w:val="single" w:sz="8" w:space="0" w:color="auto"/>
              <w:left w:val="nil"/>
              <w:bottom w:val="single" w:sz="8" w:space="0" w:color="auto"/>
              <w:right w:val="nil"/>
            </w:tcBorders>
            <w:shd w:val="clear" w:color="auto" w:fill="auto"/>
            <w:noWrap/>
            <w:vAlign w:val="center"/>
            <w:hideMark/>
          </w:tcPr>
          <w:p w14:paraId="19390919" w14:textId="2B49ED15" w:rsidR="00D03F78" w:rsidRPr="009E35ED" w:rsidRDefault="00D03F78" w:rsidP="00A27AC6">
            <w:pPr>
              <w:ind w:left="0"/>
              <w:jc w:val="center"/>
              <w:rPr>
                <w:rFonts w:ascii="Arial Narrow" w:hAnsi="Arial Narrow"/>
                <w:b/>
                <w:bCs/>
                <w:color w:val="000000" w:themeColor="text1"/>
                <w:sz w:val="18"/>
                <w:szCs w:val="18"/>
                <w:lang w:val="en-PH" w:eastAsia="en-PH"/>
              </w:rPr>
            </w:pPr>
            <w:r w:rsidRPr="009E35ED">
              <w:rPr>
                <w:rFonts w:ascii="Arial Narrow" w:hAnsi="Arial Narrow"/>
                <w:b/>
                <w:bCs/>
                <w:color w:val="000000" w:themeColor="text1"/>
                <w:sz w:val="18"/>
                <w:szCs w:val="18"/>
                <w:lang w:val="en-PH" w:eastAsia="en-PH"/>
              </w:rPr>
              <w:t>202</w:t>
            </w:r>
            <w:r w:rsidR="008215E9" w:rsidRPr="009E35ED">
              <w:rPr>
                <w:rFonts w:ascii="Arial Narrow" w:hAnsi="Arial Narrow"/>
                <w:b/>
                <w:bCs/>
                <w:color w:val="000000" w:themeColor="text1"/>
                <w:sz w:val="18"/>
                <w:szCs w:val="18"/>
                <w:lang w:val="en-PH" w:eastAsia="en-PH"/>
              </w:rPr>
              <w:t>2</w:t>
            </w:r>
          </w:p>
        </w:tc>
      </w:tr>
      <w:tr w:rsidR="00997F75" w:rsidRPr="009E35ED" w14:paraId="286F4B69" w14:textId="77777777" w:rsidTr="00EB1F3A">
        <w:trPr>
          <w:trHeight w:val="300"/>
        </w:trPr>
        <w:tc>
          <w:tcPr>
            <w:tcW w:w="3942" w:type="dxa"/>
            <w:gridSpan w:val="4"/>
            <w:tcBorders>
              <w:top w:val="single" w:sz="8" w:space="0" w:color="auto"/>
              <w:left w:val="nil"/>
              <w:right w:val="nil"/>
            </w:tcBorders>
            <w:shd w:val="clear" w:color="auto" w:fill="auto"/>
            <w:noWrap/>
            <w:vAlign w:val="center"/>
            <w:hideMark/>
          </w:tcPr>
          <w:p w14:paraId="03A26189" w14:textId="77777777" w:rsidR="00D03F78" w:rsidRPr="009E35ED" w:rsidRDefault="00D03F78" w:rsidP="00A27AC6">
            <w:pPr>
              <w:ind w:left="0"/>
              <w:jc w:val="left"/>
              <w:rPr>
                <w:rFonts w:ascii="Arial Narrow" w:hAnsi="Arial Narrow"/>
                <w:b/>
                <w:bCs/>
                <w:color w:val="000000" w:themeColor="text1"/>
                <w:sz w:val="8"/>
                <w:szCs w:val="18"/>
                <w:lang w:val="en-PH" w:eastAsia="en-PH"/>
              </w:rPr>
            </w:pPr>
          </w:p>
          <w:p w14:paraId="07847DF2" w14:textId="77777777" w:rsidR="00D03F78" w:rsidRPr="009E35ED" w:rsidRDefault="00D03F78" w:rsidP="00A27AC6">
            <w:pPr>
              <w:ind w:left="0"/>
              <w:jc w:val="left"/>
              <w:rPr>
                <w:rFonts w:ascii="Arial Narrow" w:hAnsi="Arial Narrow"/>
                <w:b/>
                <w:bCs/>
                <w:color w:val="000000" w:themeColor="text1"/>
                <w:sz w:val="18"/>
                <w:szCs w:val="18"/>
                <w:lang w:val="en-PH" w:eastAsia="en-PH"/>
              </w:rPr>
            </w:pPr>
            <w:r w:rsidRPr="009E35ED">
              <w:rPr>
                <w:rFonts w:ascii="Arial Narrow" w:hAnsi="Arial Narrow"/>
                <w:b/>
                <w:bCs/>
                <w:color w:val="000000" w:themeColor="text1"/>
                <w:sz w:val="18"/>
                <w:szCs w:val="18"/>
                <w:lang w:val="en-PH" w:eastAsia="en-PH"/>
              </w:rPr>
              <w:t>Personal Services</w:t>
            </w:r>
          </w:p>
          <w:p w14:paraId="00E050BC" w14:textId="77777777" w:rsidR="00D03F78" w:rsidRPr="009E35ED" w:rsidRDefault="00D03F78" w:rsidP="00A27AC6">
            <w:pPr>
              <w:ind w:left="0"/>
              <w:jc w:val="left"/>
              <w:rPr>
                <w:rFonts w:ascii="Arial Narrow" w:hAnsi="Arial Narrow"/>
                <w:b/>
                <w:bCs/>
                <w:color w:val="000000" w:themeColor="text1"/>
                <w:sz w:val="12"/>
                <w:szCs w:val="18"/>
                <w:lang w:val="en-PH" w:eastAsia="en-PH"/>
              </w:rPr>
            </w:pPr>
          </w:p>
        </w:tc>
        <w:tc>
          <w:tcPr>
            <w:tcW w:w="1161" w:type="dxa"/>
            <w:tcBorders>
              <w:top w:val="nil"/>
              <w:left w:val="nil"/>
              <w:right w:val="nil"/>
            </w:tcBorders>
            <w:shd w:val="clear" w:color="auto" w:fill="auto"/>
            <w:noWrap/>
            <w:vAlign w:val="bottom"/>
            <w:hideMark/>
          </w:tcPr>
          <w:p w14:paraId="3885E908" w14:textId="77777777" w:rsidR="00D03F78" w:rsidRPr="009E35ED" w:rsidRDefault="00D03F78" w:rsidP="00A27AC6">
            <w:pPr>
              <w:ind w:left="0"/>
              <w:jc w:val="left"/>
              <w:rPr>
                <w:rFonts w:ascii="Arial Narrow" w:hAnsi="Arial Narrow"/>
                <w:b/>
                <w:bCs/>
                <w:color w:val="000000" w:themeColor="text1"/>
                <w:sz w:val="18"/>
                <w:szCs w:val="18"/>
                <w:lang w:val="en-PH" w:eastAsia="en-PH"/>
              </w:rPr>
            </w:pPr>
          </w:p>
        </w:tc>
        <w:tc>
          <w:tcPr>
            <w:tcW w:w="1136" w:type="dxa"/>
            <w:tcBorders>
              <w:top w:val="nil"/>
              <w:left w:val="nil"/>
              <w:right w:val="nil"/>
            </w:tcBorders>
            <w:shd w:val="clear" w:color="auto" w:fill="auto"/>
            <w:noWrap/>
            <w:vAlign w:val="bottom"/>
            <w:hideMark/>
          </w:tcPr>
          <w:p w14:paraId="04499C3F" w14:textId="77777777" w:rsidR="00D03F78" w:rsidRPr="009E35ED" w:rsidRDefault="00D03F78" w:rsidP="00A27AC6">
            <w:pPr>
              <w:ind w:left="0"/>
              <w:jc w:val="left"/>
              <w:rPr>
                <w:rFonts w:ascii="Arial Narrow" w:hAnsi="Arial Narrow"/>
                <w:color w:val="000000" w:themeColor="text1"/>
                <w:sz w:val="18"/>
                <w:szCs w:val="18"/>
                <w:lang w:val="en-PH" w:eastAsia="en-PH"/>
              </w:rPr>
            </w:pPr>
          </w:p>
        </w:tc>
        <w:tc>
          <w:tcPr>
            <w:tcW w:w="1129" w:type="dxa"/>
            <w:tcBorders>
              <w:top w:val="nil"/>
              <w:left w:val="nil"/>
              <w:right w:val="nil"/>
            </w:tcBorders>
            <w:shd w:val="clear" w:color="auto" w:fill="auto"/>
            <w:noWrap/>
            <w:vAlign w:val="bottom"/>
            <w:hideMark/>
          </w:tcPr>
          <w:p w14:paraId="16FBCEA4" w14:textId="77777777" w:rsidR="00D03F78" w:rsidRPr="009E35ED" w:rsidRDefault="00D03F78" w:rsidP="00A27AC6">
            <w:pPr>
              <w:ind w:left="0"/>
              <w:jc w:val="left"/>
              <w:rPr>
                <w:rFonts w:ascii="Arial Narrow" w:hAnsi="Arial Narrow"/>
                <w:color w:val="000000" w:themeColor="text1"/>
                <w:sz w:val="18"/>
                <w:szCs w:val="18"/>
                <w:lang w:val="en-PH" w:eastAsia="en-PH"/>
              </w:rPr>
            </w:pPr>
          </w:p>
        </w:tc>
        <w:tc>
          <w:tcPr>
            <w:tcW w:w="1161" w:type="dxa"/>
            <w:tcBorders>
              <w:top w:val="nil"/>
              <w:left w:val="nil"/>
              <w:right w:val="nil"/>
            </w:tcBorders>
            <w:shd w:val="clear" w:color="auto" w:fill="auto"/>
            <w:noWrap/>
            <w:vAlign w:val="bottom"/>
            <w:hideMark/>
          </w:tcPr>
          <w:p w14:paraId="5533346E" w14:textId="77777777" w:rsidR="00D03F78" w:rsidRPr="009E35ED" w:rsidRDefault="00D03F78" w:rsidP="00A27AC6">
            <w:pPr>
              <w:ind w:left="0"/>
              <w:jc w:val="left"/>
              <w:rPr>
                <w:rFonts w:ascii="Arial Narrow" w:hAnsi="Arial Narrow"/>
                <w:color w:val="000000" w:themeColor="text1"/>
                <w:sz w:val="18"/>
                <w:szCs w:val="18"/>
                <w:lang w:val="en-PH" w:eastAsia="en-PH"/>
              </w:rPr>
            </w:pPr>
          </w:p>
        </w:tc>
      </w:tr>
      <w:tr w:rsidR="00997F75" w:rsidRPr="009E35ED" w14:paraId="5D33A190" w14:textId="77777777" w:rsidTr="00EB1F3A">
        <w:trPr>
          <w:trHeight w:val="45"/>
        </w:trPr>
        <w:tc>
          <w:tcPr>
            <w:tcW w:w="3942" w:type="dxa"/>
            <w:gridSpan w:val="4"/>
            <w:shd w:val="clear" w:color="auto" w:fill="auto"/>
            <w:noWrap/>
            <w:vAlign w:val="center"/>
            <w:hideMark/>
          </w:tcPr>
          <w:p w14:paraId="50ACC0C1" w14:textId="107DD72B" w:rsidR="0026478A" w:rsidRPr="009E35ED" w:rsidRDefault="0026478A" w:rsidP="0026478A">
            <w:pPr>
              <w:ind w:left="0"/>
              <w:jc w:val="lef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 xml:space="preserve">Salaries and </w:t>
            </w:r>
            <w:r w:rsidR="006A1323">
              <w:rPr>
                <w:rFonts w:ascii="Arial Narrow" w:hAnsi="Arial Narrow"/>
                <w:color w:val="000000" w:themeColor="text1"/>
                <w:sz w:val="16"/>
                <w:szCs w:val="16"/>
                <w:lang w:val="en-PH" w:eastAsia="en-PH"/>
              </w:rPr>
              <w:t>w</w:t>
            </w:r>
            <w:r w:rsidRPr="009E35ED">
              <w:rPr>
                <w:rFonts w:ascii="Arial Narrow" w:hAnsi="Arial Narrow"/>
                <w:color w:val="000000" w:themeColor="text1"/>
                <w:sz w:val="16"/>
                <w:szCs w:val="16"/>
                <w:lang w:val="en-PH" w:eastAsia="en-PH"/>
              </w:rPr>
              <w:t>ages</w:t>
            </w:r>
          </w:p>
        </w:tc>
        <w:tc>
          <w:tcPr>
            <w:tcW w:w="1161" w:type="dxa"/>
            <w:shd w:val="clear" w:color="auto" w:fill="auto"/>
            <w:noWrap/>
          </w:tcPr>
          <w:p w14:paraId="0E6B7C24" w14:textId="006A4B37" w:rsidR="0026478A" w:rsidRPr="009E35ED" w:rsidRDefault="0026478A" w:rsidP="0026478A">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624,794,218</w:t>
            </w:r>
          </w:p>
        </w:tc>
        <w:tc>
          <w:tcPr>
            <w:tcW w:w="1136" w:type="dxa"/>
            <w:shd w:val="clear" w:color="auto" w:fill="auto"/>
            <w:noWrap/>
            <w:vAlign w:val="center"/>
          </w:tcPr>
          <w:p w14:paraId="4C862441" w14:textId="7F2C85F0" w:rsidR="0026478A" w:rsidRPr="009E35ED" w:rsidRDefault="0026478A" w:rsidP="0026478A">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129" w:type="dxa"/>
            <w:shd w:val="clear" w:color="auto" w:fill="auto"/>
            <w:noWrap/>
            <w:vAlign w:val="center"/>
          </w:tcPr>
          <w:p w14:paraId="5129ADC6" w14:textId="45AC9314" w:rsidR="0026478A" w:rsidRPr="009E35ED" w:rsidRDefault="0026478A" w:rsidP="0026478A">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161" w:type="dxa"/>
            <w:shd w:val="clear" w:color="auto" w:fill="auto"/>
            <w:noWrap/>
          </w:tcPr>
          <w:p w14:paraId="46FC6ECE" w14:textId="0C44EB4D" w:rsidR="0026478A" w:rsidRPr="009E35ED" w:rsidRDefault="0026478A" w:rsidP="0026478A">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624,794,218</w:t>
            </w:r>
          </w:p>
        </w:tc>
      </w:tr>
      <w:tr w:rsidR="00997F75" w:rsidRPr="009E35ED" w14:paraId="2AC3B601" w14:textId="77777777" w:rsidTr="00EB1F3A">
        <w:trPr>
          <w:trHeight w:val="93"/>
        </w:trPr>
        <w:tc>
          <w:tcPr>
            <w:tcW w:w="3942" w:type="dxa"/>
            <w:gridSpan w:val="4"/>
            <w:shd w:val="clear" w:color="auto" w:fill="auto"/>
            <w:noWrap/>
            <w:vAlign w:val="center"/>
            <w:hideMark/>
          </w:tcPr>
          <w:p w14:paraId="20C9EB27" w14:textId="77777777" w:rsidR="0026478A" w:rsidRPr="009E35ED" w:rsidRDefault="0026478A" w:rsidP="0026478A">
            <w:pPr>
              <w:ind w:left="0"/>
              <w:jc w:val="lef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Personnel Economic Relief Allowance (PERA)</w:t>
            </w:r>
          </w:p>
        </w:tc>
        <w:tc>
          <w:tcPr>
            <w:tcW w:w="1161" w:type="dxa"/>
            <w:shd w:val="clear" w:color="auto" w:fill="auto"/>
            <w:noWrap/>
          </w:tcPr>
          <w:p w14:paraId="7D4F08D6" w14:textId="2EA2EE2B" w:rsidR="0026478A" w:rsidRPr="009E35ED" w:rsidRDefault="0026478A" w:rsidP="0026478A">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26,601,341</w:t>
            </w:r>
          </w:p>
        </w:tc>
        <w:tc>
          <w:tcPr>
            <w:tcW w:w="1136" w:type="dxa"/>
            <w:shd w:val="clear" w:color="auto" w:fill="auto"/>
            <w:noWrap/>
            <w:vAlign w:val="center"/>
          </w:tcPr>
          <w:p w14:paraId="5C12F97E" w14:textId="568ECE60" w:rsidR="0026478A" w:rsidRPr="009E35ED" w:rsidRDefault="0026478A" w:rsidP="0026478A">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129" w:type="dxa"/>
            <w:shd w:val="clear" w:color="auto" w:fill="auto"/>
            <w:noWrap/>
            <w:vAlign w:val="center"/>
          </w:tcPr>
          <w:p w14:paraId="5EFA4B6F" w14:textId="3F902AFE" w:rsidR="0026478A" w:rsidRPr="009E35ED" w:rsidRDefault="0026478A" w:rsidP="0026478A">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161" w:type="dxa"/>
            <w:shd w:val="clear" w:color="auto" w:fill="auto"/>
            <w:noWrap/>
          </w:tcPr>
          <w:p w14:paraId="432CDA69" w14:textId="4B03B1CD" w:rsidR="0026478A" w:rsidRPr="009E35ED" w:rsidRDefault="0026478A" w:rsidP="0026478A">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26,601,341</w:t>
            </w:r>
          </w:p>
        </w:tc>
      </w:tr>
      <w:tr w:rsidR="00997F75" w:rsidRPr="009E35ED" w14:paraId="3DE62AC9" w14:textId="77777777" w:rsidTr="00EB1F3A">
        <w:trPr>
          <w:trHeight w:val="70"/>
        </w:trPr>
        <w:tc>
          <w:tcPr>
            <w:tcW w:w="3942" w:type="dxa"/>
            <w:gridSpan w:val="4"/>
            <w:shd w:val="clear" w:color="auto" w:fill="auto"/>
            <w:noWrap/>
            <w:vAlign w:val="center"/>
            <w:hideMark/>
          </w:tcPr>
          <w:p w14:paraId="3129FF42" w14:textId="77777777" w:rsidR="0026478A" w:rsidRPr="009E35ED" w:rsidRDefault="0026478A" w:rsidP="0026478A">
            <w:pPr>
              <w:ind w:left="0"/>
              <w:jc w:val="lef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Representation and Transportation Allowance (RATA)</w:t>
            </w:r>
          </w:p>
        </w:tc>
        <w:tc>
          <w:tcPr>
            <w:tcW w:w="1161" w:type="dxa"/>
            <w:shd w:val="clear" w:color="auto" w:fill="auto"/>
            <w:noWrap/>
          </w:tcPr>
          <w:p w14:paraId="333257FA" w14:textId="2AA534FA" w:rsidR="0026478A" w:rsidRPr="009E35ED" w:rsidRDefault="0026478A" w:rsidP="0026478A">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17,713,842</w:t>
            </w:r>
          </w:p>
        </w:tc>
        <w:tc>
          <w:tcPr>
            <w:tcW w:w="1136" w:type="dxa"/>
            <w:shd w:val="clear" w:color="auto" w:fill="auto"/>
            <w:noWrap/>
            <w:vAlign w:val="center"/>
          </w:tcPr>
          <w:p w14:paraId="2D65D2DC" w14:textId="18CE1E41" w:rsidR="0026478A" w:rsidRPr="009E35ED" w:rsidRDefault="0026478A" w:rsidP="0026478A">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129" w:type="dxa"/>
            <w:shd w:val="clear" w:color="auto" w:fill="auto"/>
            <w:noWrap/>
            <w:vAlign w:val="center"/>
          </w:tcPr>
          <w:p w14:paraId="36570EE0" w14:textId="366B5E22" w:rsidR="0026478A" w:rsidRPr="009E35ED" w:rsidRDefault="0026478A" w:rsidP="0026478A">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161" w:type="dxa"/>
            <w:shd w:val="clear" w:color="auto" w:fill="auto"/>
            <w:noWrap/>
          </w:tcPr>
          <w:p w14:paraId="44E26FC1" w14:textId="67C8F497" w:rsidR="0026478A" w:rsidRPr="009E35ED" w:rsidRDefault="0026478A" w:rsidP="0026478A">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17,713,842</w:t>
            </w:r>
          </w:p>
        </w:tc>
      </w:tr>
      <w:tr w:rsidR="00997F75" w:rsidRPr="009E35ED" w14:paraId="7FA05CD5" w14:textId="77777777" w:rsidTr="00EB1F3A">
        <w:trPr>
          <w:trHeight w:val="45"/>
        </w:trPr>
        <w:tc>
          <w:tcPr>
            <w:tcW w:w="3942" w:type="dxa"/>
            <w:gridSpan w:val="4"/>
            <w:shd w:val="clear" w:color="auto" w:fill="auto"/>
            <w:noWrap/>
            <w:vAlign w:val="center"/>
            <w:hideMark/>
          </w:tcPr>
          <w:p w14:paraId="42043B88" w14:textId="46B44E2F" w:rsidR="0026478A" w:rsidRPr="009E35ED" w:rsidRDefault="0026478A" w:rsidP="0026478A">
            <w:pPr>
              <w:ind w:left="0"/>
              <w:jc w:val="lef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 xml:space="preserve">Clothing/Uniform </w:t>
            </w:r>
            <w:r w:rsidR="006A1323">
              <w:rPr>
                <w:rFonts w:ascii="Arial Narrow" w:hAnsi="Arial Narrow"/>
                <w:color w:val="000000" w:themeColor="text1"/>
                <w:sz w:val="16"/>
                <w:szCs w:val="16"/>
                <w:lang w:val="en-PH" w:eastAsia="en-PH"/>
              </w:rPr>
              <w:t>a</w:t>
            </w:r>
            <w:r w:rsidRPr="009E35ED">
              <w:rPr>
                <w:rFonts w:ascii="Arial Narrow" w:hAnsi="Arial Narrow"/>
                <w:color w:val="000000" w:themeColor="text1"/>
                <w:sz w:val="16"/>
                <w:szCs w:val="16"/>
                <w:lang w:val="en-PH" w:eastAsia="en-PH"/>
              </w:rPr>
              <w:t>llowance</w:t>
            </w:r>
          </w:p>
        </w:tc>
        <w:tc>
          <w:tcPr>
            <w:tcW w:w="1161" w:type="dxa"/>
            <w:shd w:val="clear" w:color="auto" w:fill="auto"/>
            <w:noWrap/>
          </w:tcPr>
          <w:p w14:paraId="376CBA6E" w14:textId="011C350B" w:rsidR="0026478A" w:rsidRPr="009E35ED" w:rsidRDefault="0026478A" w:rsidP="0026478A">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6,666,000</w:t>
            </w:r>
          </w:p>
        </w:tc>
        <w:tc>
          <w:tcPr>
            <w:tcW w:w="1136" w:type="dxa"/>
            <w:shd w:val="clear" w:color="auto" w:fill="auto"/>
            <w:noWrap/>
            <w:vAlign w:val="center"/>
          </w:tcPr>
          <w:p w14:paraId="6138E89F" w14:textId="500712DF" w:rsidR="0026478A" w:rsidRPr="009E35ED" w:rsidRDefault="0026478A" w:rsidP="0026478A">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129" w:type="dxa"/>
            <w:shd w:val="clear" w:color="auto" w:fill="auto"/>
            <w:noWrap/>
            <w:vAlign w:val="center"/>
          </w:tcPr>
          <w:p w14:paraId="5F4113B8" w14:textId="3A6BCAA8" w:rsidR="0026478A" w:rsidRPr="009E35ED" w:rsidRDefault="0026478A" w:rsidP="0026478A">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161" w:type="dxa"/>
            <w:shd w:val="clear" w:color="auto" w:fill="auto"/>
            <w:noWrap/>
          </w:tcPr>
          <w:p w14:paraId="5E9E72A0" w14:textId="235C2D02" w:rsidR="0026478A" w:rsidRPr="009E35ED" w:rsidRDefault="0026478A" w:rsidP="0026478A">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6,666,000</w:t>
            </w:r>
          </w:p>
        </w:tc>
      </w:tr>
      <w:tr w:rsidR="00997F75" w:rsidRPr="009E35ED" w14:paraId="7CCE939C" w14:textId="77777777" w:rsidTr="00EB1F3A">
        <w:trPr>
          <w:trHeight w:val="45"/>
        </w:trPr>
        <w:tc>
          <w:tcPr>
            <w:tcW w:w="3942" w:type="dxa"/>
            <w:gridSpan w:val="4"/>
            <w:shd w:val="clear" w:color="auto" w:fill="auto"/>
            <w:noWrap/>
            <w:vAlign w:val="center"/>
            <w:hideMark/>
          </w:tcPr>
          <w:p w14:paraId="4616491F" w14:textId="0E283872" w:rsidR="0026478A" w:rsidRPr="009E35ED" w:rsidRDefault="0026478A" w:rsidP="0026478A">
            <w:pPr>
              <w:ind w:left="0"/>
              <w:jc w:val="lef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 xml:space="preserve">Subsistence </w:t>
            </w:r>
            <w:r w:rsidR="006A1323">
              <w:rPr>
                <w:rFonts w:ascii="Arial Narrow" w:hAnsi="Arial Narrow"/>
                <w:color w:val="000000" w:themeColor="text1"/>
                <w:sz w:val="16"/>
                <w:szCs w:val="16"/>
                <w:lang w:val="en-PH" w:eastAsia="en-PH"/>
              </w:rPr>
              <w:t>a</w:t>
            </w:r>
            <w:r w:rsidRPr="009E35ED">
              <w:rPr>
                <w:rFonts w:ascii="Arial Narrow" w:hAnsi="Arial Narrow"/>
                <w:color w:val="000000" w:themeColor="text1"/>
                <w:sz w:val="16"/>
                <w:szCs w:val="16"/>
                <w:lang w:val="en-PH" w:eastAsia="en-PH"/>
              </w:rPr>
              <w:t>llowance</w:t>
            </w:r>
          </w:p>
        </w:tc>
        <w:tc>
          <w:tcPr>
            <w:tcW w:w="1161" w:type="dxa"/>
            <w:shd w:val="clear" w:color="auto" w:fill="auto"/>
            <w:noWrap/>
          </w:tcPr>
          <w:p w14:paraId="5FFFF9E9" w14:textId="57437373" w:rsidR="0026478A" w:rsidRPr="009E35ED" w:rsidRDefault="0026478A" w:rsidP="0026478A">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492,800</w:t>
            </w:r>
          </w:p>
        </w:tc>
        <w:tc>
          <w:tcPr>
            <w:tcW w:w="1136" w:type="dxa"/>
            <w:shd w:val="clear" w:color="auto" w:fill="auto"/>
            <w:noWrap/>
            <w:vAlign w:val="center"/>
          </w:tcPr>
          <w:p w14:paraId="7A233CB4" w14:textId="544A5A1C" w:rsidR="0026478A" w:rsidRPr="009E35ED" w:rsidRDefault="0026478A" w:rsidP="0026478A">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129" w:type="dxa"/>
            <w:shd w:val="clear" w:color="auto" w:fill="auto"/>
            <w:noWrap/>
            <w:vAlign w:val="center"/>
          </w:tcPr>
          <w:p w14:paraId="34DCB629" w14:textId="436FBE29" w:rsidR="0026478A" w:rsidRPr="009E35ED" w:rsidRDefault="0026478A" w:rsidP="0026478A">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161" w:type="dxa"/>
            <w:shd w:val="clear" w:color="auto" w:fill="auto"/>
            <w:noWrap/>
          </w:tcPr>
          <w:p w14:paraId="1245049C" w14:textId="22376BA3" w:rsidR="0026478A" w:rsidRPr="009E35ED" w:rsidRDefault="0026478A" w:rsidP="0026478A">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492,800</w:t>
            </w:r>
          </w:p>
        </w:tc>
      </w:tr>
      <w:tr w:rsidR="00997F75" w:rsidRPr="009E35ED" w14:paraId="4462E2F5" w14:textId="77777777" w:rsidTr="00EB1F3A">
        <w:trPr>
          <w:trHeight w:val="45"/>
        </w:trPr>
        <w:tc>
          <w:tcPr>
            <w:tcW w:w="3942" w:type="dxa"/>
            <w:gridSpan w:val="4"/>
            <w:shd w:val="clear" w:color="auto" w:fill="auto"/>
            <w:noWrap/>
            <w:vAlign w:val="center"/>
            <w:hideMark/>
          </w:tcPr>
          <w:p w14:paraId="1C01B7B1" w14:textId="380A18F3" w:rsidR="0026478A" w:rsidRPr="009E35ED" w:rsidRDefault="0026478A" w:rsidP="0026478A">
            <w:pPr>
              <w:ind w:left="0"/>
              <w:jc w:val="lef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 xml:space="preserve">Laundry </w:t>
            </w:r>
            <w:r w:rsidR="006A1323">
              <w:rPr>
                <w:rFonts w:ascii="Arial Narrow" w:hAnsi="Arial Narrow"/>
                <w:color w:val="000000" w:themeColor="text1"/>
                <w:sz w:val="16"/>
                <w:szCs w:val="16"/>
                <w:lang w:val="en-PH" w:eastAsia="en-PH"/>
              </w:rPr>
              <w:t>a</w:t>
            </w:r>
            <w:r w:rsidRPr="009E35ED">
              <w:rPr>
                <w:rFonts w:ascii="Arial Narrow" w:hAnsi="Arial Narrow"/>
                <w:color w:val="000000" w:themeColor="text1"/>
                <w:sz w:val="16"/>
                <w:szCs w:val="16"/>
                <w:lang w:val="en-PH" w:eastAsia="en-PH"/>
              </w:rPr>
              <w:t>llowance</w:t>
            </w:r>
          </w:p>
        </w:tc>
        <w:tc>
          <w:tcPr>
            <w:tcW w:w="1161" w:type="dxa"/>
            <w:shd w:val="clear" w:color="auto" w:fill="auto"/>
            <w:noWrap/>
          </w:tcPr>
          <w:p w14:paraId="08F0CA0F" w14:textId="1226DEF8" w:rsidR="0026478A" w:rsidRPr="009E35ED" w:rsidRDefault="0026478A" w:rsidP="0026478A">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67,200</w:t>
            </w:r>
          </w:p>
        </w:tc>
        <w:tc>
          <w:tcPr>
            <w:tcW w:w="1136" w:type="dxa"/>
            <w:shd w:val="clear" w:color="auto" w:fill="auto"/>
            <w:noWrap/>
            <w:vAlign w:val="center"/>
          </w:tcPr>
          <w:p w14:paraId="1884633D" w14:textId="30DF0A81" w:rsidR="0026478A" w:rsidRPr="009E35ED" w:rsidRDefault="0026478A" w:rsidP="0026478A">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129" w:type="dxa"/>
            <w:shd w:val="clear" w:color="auto" w:fill="auto"/>
            <w:noWrap/>
            <w:vAlign w:val="center"/>
          </w:tcPr>
          <w:p w14:paraId="29DFE112" w14:textId="77A2C802" w:rsidR="0026478A" w:rsidRPr="009E35ED" w:rsidRDefault="0026478A" w:rsidP="0026478A">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161" w:type="dxa"/>
            <w:shd w:val="clear" w:color="auto" w:fill="auto"/>
            <w:noWrap/>
          </w:tcPr>
          <w:p w14:paraId="0CCA3513" w14:textId="432911C0" w:rsidR="0026478A" w:rsidRPr="009E35ED" w:rsidRDefault="0026478A" w:rsidP="0026478A">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67,200</w:t>
            </w:r>
          </w:p>
        </w:tc>
      </w:tr>
      <w:tr w:rsidR="00997F75" w:rsidRPr="009E35ED" w14:paraId="17151334" w14:textId="77777777" w:rsidTr="00EB1F3A">
        <w:trPr>
          <w:trHeight w:val="45"/>
        </w:trPr>
        <w:tc>
          <w:tcPr>
            <w:tcW w:w="3942" w:type="dxa"/>
            <w:gridSpan w:val="4"/>
            <w:shd w:val="clear" w:color="auto" w:fill="auto"/>
            <w:noWrap/>
            <w:vAlign w:val="center"/>
            <w:hideMark/>
          </w:tcPr>
          <w:p w14:paraId="20A9AEAB" w14:textId="766BEA35" w:rsidR="0026478A" w:rsidRPr="009E35ED" w:rsidRDefault="0026478A" w:rsidP="0026478A">
            <w:pPr>
              <w:ind w:left="0"/>
              <w:jc w:val="lef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 xml:space="preserve">Hazard </w:t>
            </w:r>
            <w:r w:rsidR="006A1323">
              <w:rPr>
                <w:rFonts w:ascii="Arial Narrow" w:hAnsi="Arial Narrow"/>
                <w:color w:val="000000" w:themeColor="text1"/>
                <w:sz w:val="16"/>
                <w:szCs w:val="16"/>
                <w:lang w:val="en-PH" w:eastAsia="en-PH"/>
              </w:rPr>
              <w:t>p</w:t>
            </w:r>
            <w:r w:rsidRPr="009E35ED">
              <w:rPr>
                <w:rFonts w:ascii="Arial Narrow" w:hAnsi="Arial Narrow"/>
                <w:color w:val="000000" w:themeColor="text1"/>
                <w:sz w:val="16"/>
                <w:szCs w:val="16"/>
                <w:lang w:val="en-PH" w:eastAsia="en-PH"/>
              </w:rPr>
              <w:t>ay</w:t>
            </w:r>
          </w:p>
        </w:tc>
        <w:tc>
          <w:tcPr>
            <w:tcW w:w="1161" w:type="dxa"/>
            <w:shd w:val="clear" w:color="auto" w:fill="auto"/>
            <w:noWrap/>
          </w:tcPr>
          <w:p w14:paraId="289E8B8C" w14:textId="41C98752" w:rsidR="0026478A" w:rsidRPr="009E35ED" w:rsidRDefault="0026478A" w:rsidP="0026478A">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4,069,586</w:t>
            </w:r>
          </w:p>
        </w:tc>
        <w:tc>
          <w:tcPr>
            <w:tcW w:w="1136" w:type="dxa"/>
            <w:shd w:val="clear" w:color="auto" w:fill="auto"/>
            <w:noWrap/>
            <w:vAlign w:val="center"/>
          </w:tcPr>
          <w:p w14:paraId="655C40E4" w14:textId="3ADFEA11" w:rsidR="0026478A" w:rsidRPr="009E35ED" w:rsidRDefault="0026478A" w:rsidP="0026478A">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129" w:type="dxa"/>
            <w:shd w:val="clear" w:color="auto" w:fill="auto"/>
            <w:noWrap/>
            <w:vAlign w:val="center"/>
          </w:tcPr>
          <w:p w14:paraId="1F324C2A" w14:textId="3B235309" w:rsidR="0026478A" w:rsidRPr="009E35ED" w:rsidRDefault="0026478A" w:rsidP="0026478A">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161" w:type="dxa"/>
            <w:shd w:val="clear" w:color="auto" w:fill="auto"/>
            <w:noWrap/>
          </w:tcPr>
          <w:p w14:paraId="67A098DC" w14:textId="199ABBCF" w:rsidR="0026478A" w:rsidRPr="009E35ED" w:rsidRDefault="0026478A" w:rsidP="0026478A">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4,069,586</w:t>
            </w:r>
          </w:p>
        </w:tc>
      </w:tr>
      <w:tr w:rsidR="00997F75" w:rsidRPr="009E35ED" w14:paraId="0F54FFC1" w14:textId="77777777" w:rsidTr="00EB1F3A">
        <w:trPr>
          <w:trHeight w:val="45"/>
        </w:trPr>
        <w:tc>
          <w:tcPr>
            <w:tcW w:w="3942" w:type="dxa"/>
            <w:gridSpan w:val="4"/>
            <w:shd w:val="clear" w:color="auto" w:fill="auto"/>
            <w:noWrap/>
            <w:vAlign w:val="center"/>
            <w:hideMark/>
          </w:tcPr>
          <w:p w14:paraId="1E8E7F38" w14:textId="2504DB7B" w:rsidR="0026478A" w:rsidRPr="009E35ED" w:rsidRDefault="0026478A" w:rsidP="0026478A">
            <w:pPr>
              <w:ind w:left="0"/>
              <w:jc w:val="lef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 xml:space="preserve">Longevity </w:t>
            </w:r>
            <w:r w:rsidR="00862892">
              <w:rPr>
                <w:rFonts w:ascii="Arial Narrow" w:hAnsi="Arial Narrow"/>
                <w:color w:val="000000" w:themeColor="text1"/>
                <w:sz w:val="16"/>
                <w:szCs w:val="16"/>
                <w:lang w:val="en-PH" w:eastAsia="en-PH"/>
              </w:rPr>
              <w:t>p</w:t>
            </w:r>
            <w:r w:rsidRPr="009E35ED">
              <w:rPr>
                <w:rFonts w:ascii="Arial Narrow" w:hAnsi="Arial Narrow"/>
                <w:color w:val="000000" w:themeColor="text1"/>
                <w:sz w:val="16"/>
                <w:szCs w:val="16"/>
                <w:lang w:val="en-PH" w:eastAsia="en-PH"/>
              </w:rPr>
              <w:t>ay</w:t>
            </w:r>
          </w:p>
        </w:tc>
        <w:tc>
          <w:tcPr>
            <w:tcW w:w="1161" w:type="dxa"/>
            <w:shd w:val="clear" w:color="auto" w:fill="auto"/>
            <w:noWrap/>
          </w:tcPr>
          <w:p w14:paraId="5BB34C34" w14:textId="4D63FF4F" w:rsidR="0026478A" w:rsidRPr="009E35ED" w:rsidRDefault="0026478A" w:rsidP="0026478A">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1,310,834</w:t>
            </w:r>
          </w:p>
        </w:tc>
        <w:tc>
          <w:tcPr>
            <w:tcW w:w="1136" w:type="dxa"/>
            <w:shd w:val="clear" w:color="auto" w:fill="auto"/>
            <w:noWrap/>
            <w:vAlign w:val="center"/>
          </w:tcPr>
          <w:p w14:paraId="087F3DF6" w14:textId="55355756" w:rsidR="0026478A" w:rsidRPr="009E35ED" w:rsidRDefault="0026478A" w:rsidP="0026478A">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129" w:type="dxa"/>
            <w:shd w:val="clear" w:color="auto" w:fill="auto"/>
            <w:noWrap/>
            <w:vAlign w:val="center"/>
          </w:tcPr>
          <w:p w14:paraId="1478BC65" w14:textId="7A645AA0" w:rsidR="0026478A" w:rsidRPr="009E35ED" w:rsidRDefault="0026478A" w:rsidP="0026478A">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161" w:type="dxa"/>
            <w:shd w:val="clear" w:color="auto" w:fill="auto"/>
            <w:noWrap/>
          </w:tcPr>
          <w:p w14:paraId="76E020BE" w14:textId="6023AB7F" w:rsidR="0026478A" w:rsidRPr="009E35ED" w:rsidRDefault="0026478A" w:rsidP="0026478A">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1,310,834</w:t>
            </w:r>
          </w:p>
        </w:tc>
      </w:tr>
      <w:tr w:rsidR="00997F75" w:rsidRPr="009E35ED" w14:paraId="739AAD4C" w14:textId="77777777" w:rsidTr="00EB1F3A">
        <w:trPr>
          <w:trHeight w:val="45"/>
        </w:trPr>
        <w:tc>
          <w:tcPr>
            <w:tcW w:w="3942" w:type="dxa"/>
            <w:gridSpan w:val="4"/>
            <w:shd w:val="clear" w:color="auto" w:fill="auto"/>
            <w:noWrap/>
            <w:vAlign w:val="center"/>
            <w:hideMark/>
          </w:tcPr>
          <w:p w14:paraId="4AE443CA" w14:textId="23BE9799" w:rsidR="0026478A" w:rsidRPr="009E35ED" w:rsidRDefault="0026478A" w:rsidP="0026478A">
            <w:pPr>
              <w:ind w:left="0"/>
              <w:jc w:val="lef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 xml:space="preserve">Overtime and </w:t>
            </w:r>
            <w:r w:rsidR="00862892">
              <w:rPr>
                <w:rFonts w:ascii="Arial Narrow" w:hAnsi="Arial Narrow"/>
                <w:color w:val="000000" w:themeColor="text1"/>
                <w:sz w:val="16"/>
                <w:szCs w:val="16"/>
                <w:lang w:val="en-PH" w:eastAsia="en-PH"/>
              </w:rPr>
              <w:t>n</w:t>
            </w:r>
            <w:r w:rsidRPr="009E35ED">
              <w:rPr>
                <w:rFonts w:ascii="Arial Narrow" w:hAnsi="Arial Narrow"/>
                <w:color w:val="000000" w:themeColor="text1"/>
                <w:sz w:val="16"/>
                <w:szCs w:val="16"/>
                <w:lang w:val="en-PH" w:eastAsia="en-PH"/>
              </w:rPr>
              <w:t xml:space="preserve">ight </w:t>
            </w:r>
            <w:r w:rsidR="00862892">
              <w:rPr>
                <w:rFonts w:ascii="Arial Narrow" w:hAnsi="Arial Narrow"/>
                <w:color w:val="000000" w:themeColor="text1"/>
                <w:sz w:val="16"/>
                <w:szCs w:val="16"/>
                <w:lang w:val="en-PH" w:eastAsia="en-PH"/>
              </w:rPr>
              <w:t>p</w:t>
            </w:r>
            <w:r w:rsidRPr="009E35ED">
              <w:rPr>
                <w:rFonts w:ascii="Arial Narrow" w:hAnsi="Arial Narrow"/>
                <w:color w:val="000000" w:themeColor="text1"/>
                <w:sz w:val="16"/>
                <w:szCs w:val="16"/>
                <w:lang w:val="en-PH" w:eastAsia="en-PH"/>
              </w:rPr>
              <w:t>ay</w:t>
            </w:r>
          </w:p>
        </w:tc>
        <w:tc>
          <w:tcPr>
            <w:tcW w:w="1161" w:type="dxa"/>
            <w:shd w:val="clear" w:color="auto" w:fill="auto"/>
            <w:noWrap/>
          </w:tcPr>
          <w:p w14:paraId="32096A76" w14:textId="6D1459AE" w:rsidR="0026478A" w:rsidRPr="009E35ED" w:rsidRDefault="0026478A" w:rsidP="0026478A">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73,093,479</w:t>
            </w:r>
          </w:p>
        </w:tc>
        <w:tc>
          <w:tcPr>
            <w:tcW w:w="1136" w:type="dxa"/>
            <w:shd w:val="clear" w:color="auto" w:fill="auto"/>
            <w:noWrap/>
            <w:vAlign w:val="center"/>
          </w:tcPr>
          <w:p w14:paraId="2E45EEAF" w14:textId="76F5AAE7" w:rsidR="0026478A" w:rsidRPr="009E35ED" w:rsidRDefault="0026478A" w:rsidP="0026478A">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129" w:type="dxa"/>
            <w:shd w:val="clear" w:color="auto" w:fill="auto"/>
            <w:noWrap/>
            <w:vAlign w:val="center"/>
          </w:tcPr>
          <w:p w14:paraId="4BE283CB" w14:textId="49AA46A5" w:rsidR="0026478A" w:rsidRPr="009E35ED" w:rsidRDefault="0026478A" w:rsidP="0026478A">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161" w:type="dxa"/>
            <w:shd w:val="clear" w:color="auto" w:fill="auto"/>
            <w:noWrap/>
          </w:tcPr>
          <w:p w14:paraId="4BE6E2E1" w14:textId="537702EC" w:rsidR="0026478A" w:rsidRPr="009E35ED" w:rsidRDefault="0026478A" w:rsidP="0026478A">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73,093,479</w:t>
            </w:r>
          </w:p>
        </w:tc>
      </w:tr>
      <w:tr w:rsidR="00997F75" w:rsidRPr="009E35ED" w14:paraId="4AB8249F" w14:textId="77777777" w:rsidTr="00EB1F3A">
        <w:trPr>
          <w:trHeight w:val="45"/>
        </w:trPr>
        <w:tc>
          <w:tcPr>
            <w:tcW w:w="3942" w:type="dxa"/>
            <w:gridSpan w:val="4"/>
            <w:shd w:val="clear" w:color="auto" w:fill="auto"/>
            <w:noWrap/>
            <w:vAlign w:val="center"/>
            <w:hideMark/>
          </w:tcPr>
          <w:p w14:paraId="0FF73B77" w14:textId="32B23E58" w:rsidR="0026478A" w:rsidRPr="009E35ED" w:rsidRDefault="0026478A" w:rsidP="0026478A">
            <w:pPr>
              <w:ind w:left="0"/>
              <w:jc w:val="lef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 xml:space="preserve">Year </w:t>
            </w:r>
            <w:r w:rsidR="00862892">
              <w:rPr>
                <w:rFonts w:ascii="Arial Narrow" w:hAnsi="Arial Narrow"/>
                <w:color w:val="000000" w:themeColor="text1"/>
                <w:sz w:val="16"/>
                <w:szCs w:val="16"/>
                <w:lang w:val="en-PH" w:eastAsia="en-PH"/>
              </w:rPr>
              <w:t>e</w:t>
            </w:r>
            <w:r w:rsidRPr="009E35ED">
              <w:rPr>
                <w:rFonts w:ascii="Arial Narrow" w:hAnsi="Arial Narrow"/>
                <w:color w:val="000000" w:themeColor="text1"/>
                <w:sz w:val="16"/>
                <w:szCs w:val="16"/>
                <w:lang w:val="en-PH" w:eastAsia="en-PH"/>
              </w:rPr>
              <w:t xml:space="preserve">nd </w:t>
            </w:r>
            <w:r w:rsidR="00862892">
              <w:rPr>
                <w:rFonts w:ascii="Arial Narrow" w:hAnsi="Arial Narrow"/>
                <w:color w:val="000000" w:themeColor="text1"/>
                <w:sz w:val="16"/>
                <w:szCs w:val="16"/>
                <w:lang w:val="en-PH" w:eastAsia="en-PH"/>
              </w:rPr>
              <w:t>b</w:t>
            </w:r>
            <w:r w:rsidRPr="009E35ED">
              <w:rPr>
                <w:rFonts w:ascii="Arial Narrow" w:hAnsi="Arial Narrow"/>
                <w:color w:val="000000" w:themeColor="text1"/>
                <w:sz w:val="16"/>
                <w:szCs w:val="16"/>
                <w:lang w:val="en-PH" w:eastAsia="en-PH"/>
              </w:rPr>
              <w:t>onus</w:t>
            </w:r>
          </w:p>
        </w:tc>
        <w:tc>
          <w:tcPr>
            <w:tcW w:w="1161" w:type="dxa"/>
            <w:shd w:val="clear" w:color="auto" w:fill="auto"/>
            <w:noWrap/>
          </w:tcPr>
          <w:p w14:paraId="1AB10BA4" w14:textId="387A6846" w:rsidR="0026478A" w:rsidRPr="009E35ED" w:rsidRDefault="0026478A" w:rsidP="0026478A">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103,765,915</w:t>
            </w:r>
          </w:p>
        </w:tc>
        <w:tc>
          <w:tcPr>
            <w:tcW w:w="1136" w:type="dxa"/>
            <w:shd w:val="clear" w:color="auto" w:fill="auto"/>
            <w:noWrap/>
            <w:vAlign w:val="center"/>
          </w:tcPr>
          <w:p w14:paraId="15184A07" w14:textId="246502FB" w:rsidR="0026478A" w:rsidRPr="009E35ED" w:rsidRDefault="0026478A" w:rsidP="0026478A">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129" w:type="dxa"/>
            <w:shd w:val="clear" w:color="auto" w:fill="auto"/>
            <w:noWrap/>
            <w:vAlign w:val="center"/>
          </w:tcPr>
          <w:p w14:paraId="5FDCB1E7" w14:textId="52302542" w:rsidR="0026478A" w:rsidRPr="009E35ED" w:rsidRDefault="0026478A" w:rsidP="0026478A">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161" w:type="dxa"/>
            <w:shd w:val="clear" w:color="auto" w:fill="auto"/>
            <w:noWrap/>
          </w:tcPr>
          <w:p w14:paraId="30A1D013" w14:textId="17B80522" w:rsidR="0026478A" w:rsidRPr="009E35ED" w:rsidRDefault="0026478A" w:rsidP="0026478A">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103,765,915</w:t>
            </w:r>
          </w:p>
        </w:tc>
      </w:tr>
      <w:tr w:rsidR="00997F75" w:rsidRPr="009E35ED" w14:paraId="344F27CC" w14:textId="77777777" w:rsidTr="00EB1F3A">
        <w:trPr>
          <w:trHeight w:val="45"/>
        </w:trPr>
        <w:tc>
          <w:tcPr>
            <w:tcW w:w="3081" w:type="dxa"/>
            <w:gridSpan w:val="3"/>
            <w:shd w:val="clear" w:color="auto" w:fill="auto"/>
            <w:noWrap/>
            <w:vAlign w:val="center"/>
            <w:hideMark/>
          </w:tcPr>
          <w:p w14:paraId="1561B8B0" w14:textId="7B0E79A0" w:rsidR="0026478A" w:rsidRPr="009E35ED" w:rsidRDefault="0026478A" w:rsidP="0026478A">
            <w:pPr>
              <w:ind w:left="0"/>
              <w:jc w:val="lef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 xml:space="preserve">Cash </w:t>
            </w:r>
            <w:r w:rsidR="00862892">
              <w:rPr>
                <w:rFonts w:ascii="Arial Narrow" w:hAnsi="Arial Narrow"/>
                <w:color w:val="000000" w:themeColor="text1"/>
                <w:sz w:val="16"/>
                <w:szCs w:val="16"/>
                <w:lang w:val="en-PH" w:eastAsia="en-PH"/>
              </w:rPr>
              <w:t>g</w:t>
            </w:r>
            <w:r w:rsidRPr="009E35ED">
              <w:rPr>
                <w:rFonts w:ascii="Arial Narrow" w:hAnsi="Arial Narrow"/>
                <w:color w:val="000000" w:themeColor="text1"/>
                <w:sz w:val="16"/>
                <w:szCs w:val="16"/>
                <w:lang w:val="en-PH" w:eastAsia="en-PH"/>
              </w:rPr>
              <w:t>ift</w:t>
            </w:r>
          </w:p>
        </w:tc>
        <w:tc>
          <w:tcPr>
            <w:tcW w:w="861" w:type="dxa"/>
            <w:shd w:val="clear" w:color="auto" w:fill="auto"/>
            <w:noWrap/>
            <w:hideMark/>
          </w:tcPr>
          <w:p w14:paraId="60F6F201" w14:textId="77777777" w:rsidR="0026478A" w:rsidRPr="009E35ED" w:rsidRDefault="0026478A" w:rsidP="0026478A">
            <w:pPr>
              <w:ind w:left="0"/>
              <w:jc w:val="lef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rPr>
              <w:t xml:space="preserve">  </w:t>
            </w:r>
          </w:p>
        </w:tc>
        <w:tc>
          <w:tcPr>
            <w:tcW w:w="1161" w:type="dxa"/>
            <w:shd w:val="clear" w:color="auto" w:fill="auto"/>
            <w:noWrap/>
            <w:vAlign w:val="center"/>
          </w:tcPr>
          <w:p w14:paraId="7CAF07CC" w14:textId="3E045532" w:rsidR="0026478A" w:rsidRPr="009E35ED" w:rsidRDefault="0026478A" w:rsidP="0026478A">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5,621,750</w:t>
            </w:r>
          </w:p>
        </w:tc>
        <w:tc>
          <w:tcPr>
            <w:tcW w:w="1136" w:type="dxa"/>
            <w:shd w:val="clear" w:color="auto" w:fill="auto"/>
            <w:noWrap/>
            <w:vAlign w:val="center"/>
          </w:tcPr>
          <w:p w14:paraId="61CB0B7A" w14:textId="418FB0E2" w:rsidR="0026478A" w:rsidRPr="009E35ED" w:rsidRDefault="0026478A" w:rsidP="0026478A">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129" w:type="dxa"/>
            <w:shd w:val="clear" w:color="auto" w:fill="auto"/>
            <w:noWrap/>
            <w:vAlign w:val="center"/>
          </w:tcPr>
          <w:p w14:paraId="45843697" w14:textId="6273A3AB" w:rsidR="0026478A" w:rsidRPr="009E35ED" w:rsidRDefault="0026478A" w:rsidP="0026478A">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161" w:type="dxa"/>
            <w:shd w:val="clear" w:color="auto" w:fill="auto"/>
            <w:noWrap/>
            <w:vAlign w:val="center"/>
          </w:tcPr>
          <w:p w14:paraId="7C2F0E93" w14:textId="5C6D0CA4" w:rsidR="0026478A" w:rsidRPr="009E35ED" w:rsidRDefault="0026478A" w:rsidP="0026478A">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5,621,750</w:t>
            </w:r>
          </w:p>
        </w:tc>
      </w:tr>
      <w:tr w:rsidR="00997F75" w:rsidRPr="009E35ED" w14:paraId="208E344C" w14:textId="77777777" w:rsidTr="00EB1F3A">
        <w:trPr>
          <w:trHeight w:val="45"/>
        </w:trPr>
        <w:tc>
          <w:tcPr>
            <w:tcW w:w="3942" w:type="dxa"/>
            <w:gridSpan w:val="4"/>
            <w:shd w:val="clear" w:color="auto" w:fill="auto"/>
            <w:noWrap/>
            <w:vAlign w:val="center"/>
            <w:hideMark/>
          </w:tcPr>
          <w:p w14:paraId="5BB68377" w14:textId="0975D9EB" w:rsidR="0026478A" w:rsidRPr="009E35ED" w:rsidRDefault="0026478A" w:rsidP="0026478A">
            <w:pPr>
              <w:ind w:left="0"/>
              <w:jc w:val="lef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 xml:space="preserve">Other </w:t>
            </w:r>
            <w:r w:rsidR="00862892">
              <w:rPr>
                <w:rFonts w:ascii="Arial Narrow" w:hAnsi="Arial Narrow"/>
                <w:color w:val="000000" w:themeColor="text1"/>
                <w:sz w:val="16"/>
                <w:szCs w:val="16"/>
                <w:lang w:val="en-PH" w:eastAsia="en-PH"/>
              </w:rPr>
              <w:t>b</w:t>
            </w:r>
            <w:r w:rsidRPr="009E35ED">
              <w:rPr>
                <w:rFonts w:ascii="Arial Narrow" w:hAnsi="Arial Narrow"/>
                <w:color w:val="000000" w:themeColor="text1"/>
                <w:sz w:val="16"/>
                <w:szCs w:val="16"/>
                <w:lang w:val="en-PH" w:eastAsia="en-PH"/>
              </w:rPr>
              <w:t xml:space="preserve">onuses and </w:t>
            </w:r>
            <w:r w:rsidR="00862892">
              <w:rPr>
                <w:rFonts w:ascii="Arial Narrow" w:hAnsi="Arial Narrow"/>
                <w:color w:val="000000" w:themeColor="text1"/>
                <w:sz w:val="16"/>
                <w:szCs w:val="16"/>
                <w:lang w:val="en-PH" w:eastAsia="en-PH"/>
              </w:rPr>
              <w:t>a</w:t>
            </w:r>
            <w:r w:rsidRPr="009E35ED">
              <w:rPr>
                <w:rFonts w:ascii="Arial Narrow" w:hAnsi="Arial Narrow"/>
                <w:color w:val="000000" w:themeColor="text1"/>
                <w:sz w:val="16"/>
                <w:szCs w:val="16"/>
                <w:lang w:val="en-PH" w:eastAsia="en-PH"/>
              </w:rPr>
              <w:t>llowances</w:t>
            </w:r>
          </w:p>
        </w:tc>
        <w:tc>
          <w:tcPr>
            <w:tcW w:w="1161" w:type="dxa"/>
            <w:shd w:val="clear" w:color="auto" w:fill="auto"/>
            <w:noWrap/>
          </w:tcPr>
          <w:p w14:paraId="03DE5B94" w14:textId="4C3A5EF0" w:rsidR="0026478A" w:rsidRPr="009E35ED" w:rsidRDefault="0026478A" w:rsidP="0026478A">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54,729,949</w:t>
            </w:r>
          </w:p>
        </w:tc>
        <w:tc>
          <w:tcPr>
            <w:tcW w:w="1136" w:type="dxa"/>
            <w:shd w:val="clear" w:color="auto" w:fill="auto"/>
            <w:noWrap/>
            <w:vAlign w:val="center"/>
          </w:tcPr>
          <w:p w14:paraId="046BED19" w14:textId="4081A9AB" w:rsidR="0026478A" w:rsidRPr="009E35ED" w:rsidRDefault="0026478A" w:rsidP="0026478A">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129" w:type="dxa"/>
            <w:shd w:val="clear" w:color="auto" w:fill="auto"/>
            <w:noWrap/>
            <w:vAlign w:val="center"/>
          </w:tcPr>
          <w:p w14:paraId="3B7391A1" w14:textId="4956CE40" w:rsidR="0026478A" w:rsidRPr="009E35ED" w:rsidRDefault="0026478A" w:rsidP="0026478A">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161" w:type="dxa"/>
            <w:shd w:val="clear" w:color="auto" w:fill="auto"/>
            <w:noWrap/>
          </w:tcPr>
          <w:p w14:paraId="5BA69425" w14:textId="4C11B5C1" w:rsidR="0026478A" w:rsidRPr="009E35ED" w:rsidRDefault="0026478A" w:rsidP="0026478A">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54,729,949</w:t>
            </w:r>
          </w:p>
        </w:tc>
      </w:tr>
      <w:tr w:rsidR="00997F75" w:rsidRPr="009E35ED" w14:paraId="5A91E6FB" w14:textId="77777777" w:rsidTr="00EB1F3A">
        <w:trPr>
          <w:trHeight w:val="45"/>
        </w:trPr>
        <w:tc>
          <w:tcPr>
            <w:tcW w:w="3942" w:type="dxa"/>
            <w:gridSpan w:val="4"/>
            <w:shd w:val="clear" w:color="auto" w:fill="auto"/>
            <w:noWrap/>
            <w:vAlign w:val="center"/>
            <w:hideMark/>
          </w:tcPr>
          <w:p w14:paraId="0A790DD2" w14:textId="07C6C9A3" w:rsidR="0026478A" w:rsidRPr="009E35ED" w:rsidRDefault="0026478A" w:rsidP="0026478A">
            <w:pPr>
              <w:ind w:left="0"/>
              <w:jc w:val="lef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 xml:space="preserve">Retirement and </w:t>
            </w:r>
            <w:r w:rsidR="00862892">
              <w:rPr>
                <w:rFonts w:ascii="Arial Narrow" w:hAnsi="Arial Narrow"/>
                <w:color w:val="000000" w:themeColor="text1"/>
                <w:sz w:val="16"/>
                <w:szCs w:val="16"/>
                <w:lang w:val="en-PH" w:eastAsia="en-PH"/>
              </w:rPr>
              <w:t>l</w:t>
            </w:r>
            <w:r w:rsidRPr="009E35ED">
              <w:rPr>
                <w:rFonts w:ascii="Arial Narrow" w:hAnsi="Arial Narrow"/>
                <w:color w:val="000000" w:themeColor="text1"/>
                <w:sz w:val="16"/>
                <w:szCs w:val="16"/>
                <w:lang w:val="en-PH" w:eastAsia="en-PH"/>
              </w:rPr>
              <w:t xml:space="preserve">ife </w:t>
            </w:r>
            <w:r w:rsidR="00862892">
              <w:rPr>
                <w:rFonts w:ascii="Arial Narrow" w:hAnsi="Arial Narrow"/>
                <w:color w:val="000000" w:themeColor="text1"/>
                <w:sz w:val="16"/>
                <w:szCs w:val="16"/>
                <w:lang w:val="en-PH" w:eastAsia="en-PH"/>
              </w:rPr>
              <w:t>i</w:t>
            </w:r>
            <w:r w:rsidRPr="009E35ED">
              <w:rPr>
                <w:rFonts w:ascii="Arial Narrow" w:hAnsi="Arial Narrow"/>
                <w:color w:val="000000" w:themeColor="text1"/>
                <w:sz w:val="16"/>
                <w:szCs w:val="16"/>
                <w:lang w:val="en-PH" w:eastAsia="en-PH"/>
              </w:rPr>
              <w:t xml:space="preserve">nsurance </w:t>
            </w:r>
            <w:r w:rsidR="00862892">
              <w:rPr>
                <w:rFonts w:ascii="Arial Narrow" w:hAnsi="Arial Narrow"/>
                <w:color w:val="000000" w:themeColor="text1"/>
                <w:sz w:val="16"/>
                <w:szCs w:val="16"/>
                <w:lang w:val="en-PH" w:eastAsia="en-PH"/>
              </w:rPr>
              <w:t>p</w:t>
            </w:r>
            <w:r w:rsidRPr="009E35ED">
              <w:rPr>
                <w:rFonts w:ascii="Arial Narrow" w:hAnsi="Arial Narrow"/>
                <w:color w:val="000000" w:themeColor="text1"/>
                <w:sz w:val="16"/>
                <w:szCs w:val="16"/>
                <w:lang w:val="en-PH" w:eastAsia="en-PH"/>
              </w:rPr>
              <w:t>remiums</w:t>
            </w:r>
          </w:p>
        </w:tc>
        <w:tc>
          <w:tcPr>
            <w:tcW w:w="1161" w:type="dxa"/>
            <w:shd w:val="clear" w:color="auto" w:fill="auto"/>
            <w:noWrap/>
          </w:tcPr>
          <w:p w14:paraId="6113EC55" w14:textId="1D73015B" w:rsidR="0026478A" w:rsidRPr="009E35ED" w:rsidRDefault="0026478A" w:rsidP="0026478A">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78,815,25</w:t>
            </w:r>
            <w:r w:rsidR="0014356C" w:rsidRPr="009E35ED">
              <w:rPr>
                <w:rFonts w:ascii="Arial Narrow" w:hAnsi="Arial Narrow"/>
                <w:color w:val="000000" w:themeColor="text1"/>
                <w:sz w:val="16"/>
                <w:szCs w:val="16"/>
                <w:lang w:val="en-PH" w:eastAsia="en-PH"/>
              </w:rPr>
              <w:t>8</w:t>
            </w:r>
          </w:p>
        </w:tc>
        <w:tc>
          <w:tcPr>
            <w:tcW w:w="1136" w:type="dxa"/>
            <w:shd w:val="clear" w:color="auto" w:fill="auto"/>
            <w:noWrap/>
            <w:vAlign w:val="center"/>
          </w:tcPr>
          <w:p w14:paraId="545E57D0" w14:textId="223351E1" w:rsidR="0026478A" w:rsidRPr="009E35ED" w:rsidRDefault="0026478A" w:rsidP="0026478A">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129" w:type="dxa"/>
            <w:shd w:val="clear" w:color="auto" w:fill="auto"/>
            <w:noWrap/>
            <w:vAlign w:val="center"/>
          </w:tcPr>
          <w:p w14:paraId="425BA5B9" w14:textId="25D8FC68" w:rsidR="0026478A" w:rsidRPr="009E35ED" w:rsidRDefault="0026478A" w:rsidP="0026478A">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161" w:type="dxa"/>
            <w:shd w:val="clear" w:color="auto" w:fill="auto"/>
            <w:noWrap/>
          </w:tcPr>
          <w:p w14:paraId="50F177E8" w14:textId="15D12399" w:rsidR="0026478A" w:rsidRPr="009E35ED" w:rsidRDefault="0026478A" w:rsidP="0026478A">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78,815,25</w:t>
            </w:r>
            <w:r w:rsidR="0014356C" w:rsidRPr="009E35ED">
              <w:rPr>
                <w:rFonts w:ascii="Arial Narrow" w:hAnsi="Arial Narrow"/>
                <w:color w:val="000000" w:themeColor="text1"/>
                <w:sz w:val="16"/>
                <w:szCs w:val="16"/>
                <w:lang w:val="en-PH" w:eastAsia="en-PH"/>
              </w:rPr>
              <w:t>8</w:t>
            </w:r>
          </w:p>
        </w:tc>
      </w:tr>
      <w:tr w:rsidR="00997F75" w:rsidRPr="009E35ED" w14:paraId="779448D8" w14:textId="77777777" w:rsidTr="00EB1F3A">
        <w:trPr>
          <w:trHeight w:val="45"/>
        </w:trPr>
        <w:tc>
          <w:tcPr>
            <w:tcW w:w="3942" w:type="dxa"/>
            <w:gridSpan w:val="4"/>
            <w:shd w:val="clear" w:color="auto" w:fill="auto"/>
            <w:noWrap/>
            <w:vAlign w:val="center"/>
            <w:hideMark/>
          </w:tcPr>
          <w:p w14:paraId="2A571403" w14:textId="703214C1" w:rsidR="0026478A" w:rsidRPr="009E35ED" w:rsidRDefault="0026478A" w:rsidP="0026478A">
            <w:pPr>
              <w:ind w:left="0"/>
              <w:jc w:val="lef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 xml:space="preserve">Pag-Ibig </w:t>
            </w:r>
            <w:r w:rsidR="00862892">
              <w:rPr>
                <w:rFonts w:ascii="Arial Narrow" w:hAnsi="Arial Narrow"/>
                <w:color w:val="000000" w:themeColor="text1"/>
                <w:sz w:val="16"/>
                <w:szCs w:val="16"/>
                <w:lang w:val="en-PH" w:eastAsia="en-PH"/>
              </w:rPr>
              <w:t>c</w:t>
            </w:r>
            <w:r w:rsidRPr="009E35ED">
              <w:rPr>
                <w:rFonts w:ascii="Arial Narrow" w:hAnsi="Arial Narrow"/>
                <w:color w:val="000000" w:themeColor="text1"/>
                <w:sz w:val="16"/>
                <w:szCs w:val="16"/>
                <w:lang w:val="en-PH" w:eastAsia="en-PH"/>
              </w:rPr>
              <w:t>ontributions</w:t>
            </w:r>
          </w:p>
        </w:tc>
        <w:tc>
          <w:tcPr>
            <w:tcW w:w="1161" w:type="dxa"/>
            <w:shd w:val="clear" w:color="auto" w:fill="auto"/>
            <w:noWrap/>
          </w:tcPr>
          <w:p w14:paraId="69A76EFC" w14:textId="5EC9D9E5" w:rsidR="0026478A" w:rsidRPr="009E35ED" w:rsidRDefault="0026478A" w:rsidP="0026478A">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1,403,035</w:t>
            </w:r>
          </w:p>
        </w:tc>
        <w:tc>
          <w:tcPr>
            <w:tcW w:w="1136" w:type="dxa"/>
            <w:shd w:val="clear" w:color="auto" w:fill="auto"/>
            <w:noWrap/>
            <w:vAlign w:val="center"/>
          </w:tcPr>
          <w:p w14:paraId="5759A6B7" w14:textId="1057E931" w:rsidR="0026478A" w:rsidRPr="009E35ED" w:rsidRDefault="0026478A" w:rsidP="0026478A">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129" w:type="dxa"/>
            <w:shd w:val="clear" w:color="auto" w:fill="auto"/>
            <w:noWrap/>
            <w:vAlign w:val="center"/>
          </w:tcPr>
          <w:p w14:paraId="255DAD46" w14:textId="1799B440" w:rsidR="0026478A" w:rsidRPr="009E35ED" w:rsidRDefault="0026478A" w:rsidP="0026478A">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161" w:type="dxa"/>
            <w:shd w:val="clear" w:color="auto" w:fill="auto"/>
            <w:noWrap/>
          </w:tcPr>
          <w:p w14:paraId="15CD1466" w14:textId="058E4005" w:rsidR="0026478A" w:rsidRPr="009E35ED" w:rsidRDefault="0026478A" w:rsidP="0026478A">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1,403,035</w:t>
            </w:r>
          </w:p>
        </w:tc>
      </w:tr>
      <w:tr w:rsidR="00997F75" w:rsidRPr="009E35ED" w14:paraId="1906DDEA" w14:textId="77777777" w:rsidTr="00EB1F3A">
        <w:trPr>
          <w:trHeight w:val="45"/>
        </w:trPr>
        <w:tc>
          <w:tcPr>
            <w:tcW w:w="3942" w:type="dxa"/>
            <w:gridSpan w:val="4"/>
            <w:shd w:val="clear" w:color="auto" w:fill="auto"/>
            <w:noWrap/>
            <w:vAlign w:val="center"/>
            <w:hideMark/>
          </w:tcPr>
          <w:p w14:paraId="0EBB84BA" w14:textId="4C532633" w:rsidR="0026478A" w:rsidRPr="009E35ED" w:rsidRDefault="0026478A" w:rsidP="0026478A">
            <w:pPr>
              <w:ind w:left="0"/>
              <w:jc w:val="lef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 xml:space="preserve">PhilHealth </w:t>
            </w:r>
            <w:r w:rsidR="00862892">
              <w:rPr>
                <w:rFonts w:ascii="Arial Narrow" w:hAnsi="Arial Narrow"/>
                <w:color w:val="000000" w:themeColor="text1"/>
                <w:sz w:val="16"/>
                <w:szCs w:val="16"/>
                <w:lang w:val="en-PH" w:eastAsia="en-PH"/>
              </w:rPr>
              <w:t>c</w:t>
            </w:r>
            <w:r w:rsidRPr="009E35ED">
              <w:rPr>
                <w:rFonts w:ascii="Arial Narrow" w:hAnsi="Arial Narrow"/>
                <w:color w:val="000000" w:themeColor="text1"/>
                <w:sz w:val="16"/>
                <w:szCs w:val="16"/>
                <w:lang w:val="en-PH" w:eastAsia="en-PH"/>
              </w:rPr>
              <w:t>ontributions</w:t>
            </w:r>
          </w:p>
        </w:tc>
        <w:tc>
          <w:tcPr>
            <w:tcW w:w="1161" w:type="dxa"/>
            <w:shd w:val="clear" w:color="auto" w:fill="auto"/>
            <w:noWrap/>
          </w:tcPr>
          <w:p w14:paraId="4ADF8998" w14:textId="4566FE38" w:rsidR="0026478A" w:rsidRPr="009E35ED" w:rsidRDefault="0026478A" w:rsidP="0026478A">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11,184,318</w:t>
            </w:r>
          </w:p>
        </w:tc>
        <w:tc>
          <w:tcPr>
            <w:tcW w:w="1136" w:type="dxa"/>
            <w:shd w:val="clear" w:color="auto" w:fill="auto"/>
            <w:noWrap/>
            <w:vAlign w:val="center"/>
          </w:tcPr>
          <w:p w14:paraId="7CAE64A1" w14:textId="7EA4BE9B" w:rsidR="0026478A" w:rsidRPr="009E35ED" w:rsidRDefault="0026478A" w:rsidP="0026478A">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129" w:type="dxa"/>
            <w:shd w:val="clear" w:color="auto" w:fill="auto"/>
            <w:noWrap/>
            <w:vAlign w:val="center"/>
          </w:tcPr>
          <w:p w14:paraId="49578194" w14:textId="11314BD4" w:rsidR="0026478A" w:rsidRPr="009E35ED" w:rsidRDefault="0026478A" w:rsidP="0026478A">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161" w:type="dxa"/>
            <w:shd w:val="clear" w:color="auto" w:fill="auto"/>
            <w:noWrap/>
          </w:tcPr>
          <w:p w14:paraId="3D12E5CE" w14:textId="3D3AC4AD" w:rsidR="0026478A" w:rsidRPr="009E35ED" w:rsidRDefault="0026478A" w:rsidP="0026478A">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11,184,318</w:t>
            </w:r>
          </w:p>
        </w:tc>
      </w:tr>
      <w:tr w:rsidR="00997F75" w:rsidRPr="009E35ED" w14:paraId="028391E5" w14:textId="77777777" w:rsidTr="00EB1F3A">
        <w:trPr>
          <w:trHeight w:val="45"/>
        </w:trPr>
        <w:tc>
          <w:tcPr>
            <w:tcW w:w="3942" w:type="dxa"/>
            <w:gridSpan w:val="4"/>
            <w:shd w:val="clear" w:color="auto" w:fill="auto"/>
            <w:noWrap/>
            <w:vAlign w:val="center"/>
            <w:hideMark/>
          </w:tcPr>
          <w:p w14:paraId="377C17D3" w14:textId="331129CF" w:rsidR="0026478A" w:rsidRPr="009E35ED" w:rsidRDefault="0026478A" w:rsidP="0026478A">
            <w:pPr>
              <w:ind w:left="0"/>
              <w:jc w:val="lef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 xml:space="preserve">Employees </w:t>
            </w:r>
            <w:r w:rsidR="00862892">
              <w:rPr>
                <w:rFonts w:ascii="Arial Narrow" w:hAnsi="Arial Narrow"/>
                <w:color w:val="000000" w:themeColor="text1"/>
                <w:sz w:val="16"/>
                <w:szCs w:val="16"/>
                <w:lang w:val="en-PH" w:eastAsia="en-PH"/>
              </w:rPr>
              <w:t>c</w:t>
            </w:r>
            <w:r w:rsidRPr="009E35ED">
              <w:rPr>
                <w:rFonts w:ascii="Arial Narrow" w:hAnsi="Arial Narrow"/>
                <w:color w:val="000000" w:themeColor="text1"/>
                <w:sz w:val="16"/>
                <w:szCs w:val="16"/>
                <w:lang w:val="en-PH" w:eastAsia="en-PH"/>
              </w:rPr>
              <w:t xml:space="preserve">ompensation </w:t>
            </w:r>
            <w:r w:rsidR="00862892">
              <w:rPr>
                <w:rFonts w:ascii="Arial Narrow" w:hAnsi="Arial Narrow"/>
                <w:color w:val="000000" w:themeColor="text1"/>
                <w:sz w:val="16"/>
                <w:szCs w:val="16"/>
                <w:lang w:val="en-PH" w:eastAsia="en-PH"/>
              </w:rPr>
              <w:t>i</w:t>
            </w:r>
            <w:r w:rsidRPr="009E35ED">
              <w:rPr>
                <w:rFonts w:ascii="Arial Narrow" w:hAnsi="Arial Narrow"/>
                <w:color w:val="000000" w:themeColor="text1"/>
                <w:sz w:val="16"/>
                <w:szCs w:val="16"/>
                <w:lang w:val="en-PH" w:eastAsia="en-PH"/>
              </w:rPr>
              <w:t xml:space="preserve">nsurance </w:t>
            </w:r>
            <w:r w:rsidR="00862892">
              <w:rPr>
                <w:rFonts w:ascii="Arial Narrow" w:hAnsi="Arial Narrow"/>
                <w:color w:val="000000" w:themeColor="text1"/>
                <w:sz w:val="16"/>
                <w:szCs w:val="16"/>
                <w:lang w:val="en-PH" w:eastAsia="en-PH"/>
              </w:rPr>
              <w:t>p</w:t>
            </w:r>
            <w:r w:rsidRPr="009E35ED">
              <w:rPr>
                <w:rFonts w:ascii="Arial Narrow" w:hAnsi="Arial Narrow"/>
                <w:color w:val="000000" w:themeColor="text1"/>
                <w:sz w:val="16"/>
                <w:szCs w:val="16"/>
                <w:lang w:val="en-PH" w:eastAsia="en-PH"/>
              </w:rPr>
              <w:t>remiums</w:t>
            </w:r>
          </w:p>
        </w:tc>
        <w:tc>
          <w:tcPr>
            <w:tcW w:w="1161" w:type="dxa"/>
            <w:shd w:val="clear" w:color="auto" w:fill="auto"/>
            <w:noWrap/>
          </w:tcPr>
          <w:p w14:paraId="2EAACDE0" w14:textId="0DF97F28" w:rsidR="0026478A" w:rsidRPr="009E35ED" w:rsidRDefault="0026478A" w:rsidP="0026478A">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1,406,48</w:t>
            </w:r>
            <w:r w:rsidR="0014356C" w:rsidRPr="009E35ED">
              <w:rPr>
                <w:rFonts w:ascii="Arial Narrow" w:hAnsi="Arial Narrow"/>
                <w:color w:val="000000" w:themeColor="text1"/>
                <w:sz w:val="16"/>
                <w:szCs w:val="16"/>
                <w:lang w:val="en-PH" w:eastAsia="en-PH"/>
              </w:rPr>
              <w:t>8</w:t>
            </w:r>
          </w:p>
        </w:tc>
        <w:tc>
          <w:tcPr>
            <w:tcW w:w="1136" w:type="dxa"/>
            <w:shd w:val="clear" w:color="auto" w:fill="auto"/>
            <w:noWrap/>
            <w:vAlign w:val="center"/>
          </w:tcPr>
          <w:p w14:paraId="69A8C424" w14:textId="2B36BFE3" w:rsidR="0026478A" w:rsidRPr="009E35ED" w:rsidRDefault="0026478A" w:rsidP="0026478A">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129" w:type="dxa"/>
            <w:shd w:val="clear" w:color="auto" w:fill="auto"/>
            <w:noWrap/>
            <w:vAlign w:val="center"/>
          </w:tcPr>
          <w:p w14:paraId="0A799B02" w14:textId="6E6C1FF5" w:rsidR="0026478A" w:rsidRPr="009E35ED" w:rsidRDefault="0026478A" w:rsidP="0026478A">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161" w:type="dxa"/>
            <w:shd w:val="clear" w:color="auto" w:fill="auto"/>
            <w:noWrap/>
          </w:tcPr>
          <w:p w14:paraId="763C4DDA" w14:textId="335DEDC8" w:rsidR="0026478A" w:rsidRPr="009E35ED" w:rsidRDefault="0026478A" w:rsidP="0026478A">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1,406,48</w:t>
            </w:r>
            <w:r w:rsidR="0014356C" w:rsidRPr="009E35ED">
              <w:rPr>
                <w:rFonts w:ascii="Arial Narrow" w:hAnsi="Arial Narrow"/>
                <w:color w:val="000000" w:themeColor="text1"/>
                <w:sz w:val="16"/>
                <w:szCs w:val="16"/>
                <w:lang w:val="en-PH" w:eastAsia="en-PH"/>
              </w:rPr>
              <w:t>8</w:t>
            </w:r>
          </w:p>
        </w:tc>
      </w:tr>
      <w:tr w:rsidR="00997F75" w:rsidRPr="009E35ED" w14:paraId="4AF9CC92" w14:textId="77777777" w:rsidTr="00EB1F3A">
        <w:trPr>
          <w:trHeight w:val="45"/>
        </w:trPr>
        <w:tc>
          <w:tcPr>
            <w:tcW w:w="3942" w:type="dxa"/>
            <w:gridSpan w:val="4"/>
            <w:shd w:val="clear" w:color="auto" w:fill="auto"/>
            <w:noWrap/>
            <w:vAlign w:val="center"/>
            <w:hideMark/>
          </w:tcPr>
          <w:p w14:paraId="0C80AEAC" w14:textId="75583B4D" w:rsidR="0026478A" w:rsidRPr="009E35ED" w:rsidRDefault="0026478A" w:rsidP="0026478A">
            <w:pPr>
              <w:ind w:left="0"/>
              <w:jc w:val="lef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Provident/</w:t>
            </w:r>
            <w:r w:rsidR="00862892">
              <w:rPr>
                <w:rFonts w:ascii="Arial Narrow" w:hAnsi="Arial Narrow"/>
                <w:color w:val="000000" w:themeColor="text1"/>
                <w:sz w:val="16"/>
                <w:szCs w:val="16"/>
                <w:lang w:val="en-PH" w:eastAsia="en-PH"/>
              </w:rPr>
              <w:t>W</w:t>
            </w:r>
            <w:r w:rsidRPr="009E35ED">
              <w:rPr>
                <w:rFonts w:ascii="Arial Narrow" w:hAnsi="Arial Narrow"/>
                <w:color w:val="000000" w:themeColor="text1"/>
                <w:sz w:val="16"/>
                <w:szCs w:val="16"/>
                <w:lang w:val="en-PH" w:eastAsia="en-PH"/>
              </w:rPr>
              <w:t xml:space="preserve">elfare </w:t>
            </w:r>
            <w:r w:rsidR="00862892">
              <w:rPr>
                <w:rFonts w:ascii="Arial Narrow" w:hAnsi="Arial Narrow"/>
                <w:color w:val="000000" w:themeColor="text1"/>
                <w:sz w:val="16"/>
                <w:szCs w:val="16"/>
                <w:lang w:val="en-PH" w:eastAsia="en-PH"/>
              </w:rPr>
              <w:t>f</w:t>
            </w:r>
            <w:r w:rsidRPr="009E35ED">
              <w:rPr>
                <w:rFonts w:ascii="Arial Narrow" w:hAnsi="Arial Narrow"/>
                <w:color w:val="000000" w:themeColor="text1"/>
                <w:sz w:val="16"/>
                <w:szCs w:val="16"/>
                <w:lang w:val="en-PH" w:eastAsia="en-PH"/>
              </w:rPr>
              <w:t xml:space="preserve">und </w:t>
            </w:r>
            <w:r w:rsidR="00862892">
              <w:rPr>
                <w:rFonts w:ascii="Arial Narrow" w:hAnsi="Arial Narrow"/>
                <w:color w:val="000000" w:themeColor="text1"/>
                <w:sz w:val="16"/>
                <w:szCs w:val="16"/>
                <w:lang w:val="en-PH" w:eastAsia="en-PH"/>
              </w:rPr>
              <w:t>c</w:t>
            </w:r>
            <w:r w:rsidRPr="009E35ED">
              <w:rPr>
                <w:rFonts w:ascii="Arial Narrow" w:hAnsi="Arial Narrow"/>
                <w:color w:val="000000" w:themeColor="text1"/>
                <w:sz w:val="16"/>
                <w:szCs w:val="16"/>
                <w:lang w:val="en-PH" w:eastAsia="en-PH"/>
              </w:rPr>
              <w:t>ontributions</w:t>
            </w:r>
          </w:p>
        </w:tc>
        <w:tc>
          <w:tcPr>
            <w:tcW w:w="1161" w:type="dxa"/>
            <w:shd w:val="clear" w:color="auto" w:fill="auto"/>
            <w:noWrap/>
          </w:tcPr>
          <w:p w14:paraId="3FB9C3F8" w14:textId="3B5055BB" w:rsidR="0026478A" w:rsidRPr="009E35ED" w:rsidRDefault="0026478A" w:rsidP="0026478A">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52,736,21</w:t>
            </w:r>
            <w:r w:rsidR="0014356C" w:rsidRPr="009E35ED">
              <w:rPr>
                <w:rFonts w:ascii="Arial Narrow" w:hAnsi="Arial Narrow"/>
                <w:color w:val="000000" w:themeColor="text1"/>
                <w:sz w:val="16"/>
                <w:szCs w:val="16"/>
                <w:lang w:val="en-PH" w:eastAsia="en-PH"/>
              </w:rPr>
              <w:t>6</w:t>
            </w:r>
          </w:p>
        </w:tc>
        <w:tc>
          <w:tcPr>
            <w:tcW w:w="1136" w:type="dxa"/>
            <w:shd w:val="clear" w:color="auto" w:fill="auto"/>
            <w:noWrap/>
            <w:vAlign w:val="center"/>
          </w:tcPr>
          <w:p w14:paraId="549FD680" w14:textId="4512F88F" w:rsidR="0026478A" w:rsidRPr="009E35ED" w:rsidRDefault="0026478A" w:rsidP="0026478A">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129" w:type="dxa"/>
            <w:shd w:val="clear" w:color="auto" w:fill="auto"/>
            <w:noWrap/>
            <w:vAlign w:val="center"/>
          </w:tcPr>
          <w:p w14:paraId="12F4E01E" w14:textId="03D657DA" w:rsidR="0026478A" w:rsidRPr="009E35ED" w:rsidRDefault="0026478A" w:rsidP="0026478A">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161" w:type="dxa"/>
            <w:shd w:val="clear" w:color="auto" w:fill="auto"/>
            <w:noWrap/>
          </w:tcPr>
          <w:p w14:paraId="57469CCA" w14:textId="49263C0A" w:rsidR="0026478A" w:rsidRPr="009E35ED" w:rsidRDefault="0026478A" w:rsidP="0014356C">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52,736,21</w:t>
            </w:r>
            <w:r w:rsidR="0014356C" w:rsidRPr="009E35ED">
              <w:rPr>
                <w:rFonts w:ascii="Arial Narrow" w:hAnsi="Arial Narrow"/>
                <w:color w:val="000000" w:themeColor="text1"/>
                <w:sz w:val="16"/>
                <w:szCs w:val="16"/>
                <w:lang w:val="en-PH" w:eastAsia="en-PH"/>
              </w:rPr>
              <w:t>6</w:t>
            </w:r>
          </w:p>
        </w:tc>
      </w:tr>
      <w:tr w:rsidR="00997F75" w:rsidRPr="009E35ED" w14:paraId="1EB503CC" w14:textId="77777777" w:rsidTr="00EB1F3A">
        <w:trPr>
          <w:trHeight w:val="45"/>
        </w:trPr>
        <w:tc>
          <w:tcPr>
            <w:tcW w:w="3942" w:type="dxa"/>
            <w:gridSpan w:val="4"/>
            <w:shd w:val="clear" w:color="auto" w:fill="auto"/>
            <w:noWrap/>
            <w:vAlign w:val="center"/>
            <w:hideMark/>
          </w:tcPr>
          <w:p w14:paraId="6C29D90C" w14:textId="614C50BB" w:rsidR="0026478A" w:rsidRPr="009E35ED" w:rsidRDefault="0026478A" w:rsidP="0026478A">
            <w:pPr>
              <w:ind w:left="0"/>
              <w:jc w:val="lef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 xml:space="preserve">Terminal </w:t>
            </w:r>
            <w:r w:rsidR="00862892">
              <w:rPr>
                <w:rFonts w:ascii="Arial Narrow" w:hAnsi="Arial Narrow"/>
                <w:color w:val="000000" w:themeColor="text1"/>
                <w:sz w:val="16"/>
                <w:szCs w:val="16"/>
                <w:lang w:val="en-PH" w:eastAsia="en-PH"/>
              </w:rPr>
              <w:t>l</w:t>
            </w:r>
            <w:r w:rsidRPr="009E35ED">
              <w:rPr>
                <w:rFonts w:ascii="Arial Narrow" w:hAnsi="Arial Narrow"/>
                <w:color w:val="000000" w:themeColor="text1"/>
                <w:sz w:val="16"/>
                <w:szCs w:val="16"/>
                <w:lang w:val="en-PH" w:eastAsia="en-PH"/>
              </w:rPr>
              <w:t xml:space="preserve">eave </w:t>
            </w:r>
            <w:r w:rsidR="00862892">
              <w:rPr>
                <w:rFonts w:ascii="Arial Narrow" w:hAnsi="Arial Narrow"/>
                <w:color w:val="000000" w:themeColor="text1"/>
                <w:sz w:val="16"/>
                <w:szCs w:val="16"/>
                <w:lang w:val="en-PH" w:eastAsia="en-PH"/>
              </w:rPr>
              <w:t>b</w:t>
            </w:r>
            <w:r w:rsidRPr="009E35ED">
              <w:rPr>
                <w:rFonts w:ascii="Arial Narrow" w:hAnsi="Arial Narrow"/>
                <w:color w:val="000000" w:themeColor="text1"/>
                <w:sz w:val="16"/>
                <w:szCs w:val="16"/>
                <w:lang w:val="en-PH" w:eastAsia="en-PH"/>
              </w:rPr>
              <w:t>enefits</w:t>
            </w:r>
          </w:p>
        </w:tc>
        <w:tc>
          <w:tcPr>
            <w:tcW w:w="1161" w:type="dxa"/>
            <w:shd w:val="clear" w:color="auto" w:fill="auto"/>
            <w:noWrap/>
          </w:tcPr>
          <w:p w14:paraId="1C78A3AA" w14:textId="162FCCFE" w:rsidR="0026478A" w:rsidRPr="009E35ED" w:rsidRDefault="0026478A" w:rsidP="0026478A">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20,312,088</w:t>
            </w:r>
          </w:p>
        </w:tc>
        <w:tc>
          <w:tcPr>
            <w:tcW w:w="1136" w:type="dxa"/>
            <w:shd w:val="clear" w:color="auto" w:fill="auto"/>
            <w:noWrap/>
            <w:vAlign w:val="center"/>
          </w:tcPr>
          <w:p w14:paraId="5B2B5F70" w14:textId="50F4E7C3" w:rsidR="0026478A" w:rsidRPr="009E35ED" w:rsidRDefault="0026478A" w:rsidP="0026478A">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129" w:type="dxa"/>
            <w:shd w:val="clear" w:color="auto" w:fill="auto"/>
            <w:noWrap/>
            <w:vAlign w:val="center"/>
          </w:tcPr>
          <w:p w14:paraId="29F92BBF" w14:textId="5E6C0C10" w:rsidR="0026478A" w:rsidRPr="009E35ED" w:rsidRDefault="0026478A" w:rsidP="0026478A">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161" w:type="dxa"/>
            <w:shd w:val="clear" w:color="auto" w:fill="auto"/>
            <w:noWrap/>
          </w:tcPr>
          <w:p w14:paraId="571012FB" w14:textId="2C5F031C" w:rsidR="0026478A" w:rsidRPr="009E35ED" w:rsidRDefault="0026478A" w:rsidP="0026478A">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20,312,088</w:t>
            </w:r>
          </w:p>
        </w:tc>
      </w:tr>
      <w:tr w:rsidR="00997F75" w:rsidRPr="009E35ED" w14:paraId="5672C78C" w14:textId="77777777" w:rsidTr="00EB1F3A">
        <w:trPr>
          <w:trHeight w:val="45"/>
        </w:trPr>
        <w:tc>
          <w:tcPr>
            <w:tcW w:w="3942" w:type="dxa"/>
            <w:gridSpan w:val="4"/>
            <w:shd w:val="clear" w:color="auto" w:fill="auto"/>
            <w:noWrap/>
            <w:vAlign w:val="center"/>
            <w:hideMark/>
          </w:tcPr>
          <w:p w14:paraId="215F7012" w14:textId="47C20FEB" w:rsidR="0026478A" w:rsidRPr="009E35ED" w:rsidRDefault="0026478A" w:rsidP="0026478A">
            <w:pPr>
              <w:ind w:left="0"/>
              <w:jc w:val="lef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 xml:space="preserve">Retirement </w:t>
            </w:r>
            <w:r w:rsidR="00862892">
              <w:rPr>
                <w:rFonts w:ascii="Arial Narrow" w:hAnsi="Arial Narrow"/>
                <w:color w:val="000000" w:themeColor="text1"/>
                <w:sz w:val="16"/>
                <w:szCs w:val="16"/>
                <w:lang w:val="en-PH" w:eastAsia="en-PH"/>
              </w:rPr>
              <w:t>g</w:t>
            </w:r>
            <w:r w:rsidRPr="009E35ED">
              <w:rPr>
                <w:rFonts w:ascii="Arial Narrow" w:hAnsi="Arial Narrow"/>
                <w:color w:val="000000" w:themeColor="text1"/>
                <w:sz w:val="16"/>
                <w:szCs w:val="16"/>
                <w:lang w:val="en-PH" w:eastAsia="en-PH"/>
              </w:rPr>
              <w:t>ratuity</w:t>
            </w:r>
          </w:p>
        </w:tc>
        <w:tc>
          <w:tcPr>
            <w:tcW w:w="1161" w:type="dxa"/>
            <w:shd w:val="clear" w:color="auto" w:fill="auto"/>
            <w:noWrap/>
          </w:tcPr>
          <w:p w14:paraId="655B168A" w14:textId="5BA33C23" w:rsidR="0026478A" w:rsidRPr="009E35ED" w:rsidRDefault="0026478A" w:rsidP="0026478A">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136" w:type="dxa"/>
            <w:shd w:val="clear" w:color="auto" w:fill="auto"/>
            <w:noWrap/>
            <w:vAlign w:val="center"/>
          </w:tcPr>
          <w:p w14:paraId="727C8838" w14:textId="7217B50D" w:rsidR="0026478A" w:rsidRPr="009E35ED" w:rsidRDefault="0026478A" w:rsidP="0026478A">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129" w:type="dxa"/>
            <w:shd w:val="clear" w:color="auto" w:fill="auto"/>
            <w:noWrap/>
            <w:vAlign w:val="center"/>
          </w:tcPr>
          <w:p w14:paraId="2E82AF40" w14:textId="12899B80" w:rsidR="0026478A" w:rsidRPr="009E35ED" w:rsidRDefault="0026478A" w:rsidP="0026478A">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161" w:type="dxa"/>
            <w:shd w:val="clear" w:color="auto" w:fill="auto"/>
            <w:noWrap/>
          </w:tcPr>
          <w:p w14:paraId="6689FB18" w14:textId="54070989" w:rsidR="0026478A" w:rsidRPr="009E35ED" w:rsidRDefault="0026478A" w:rsidP="0026478A">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r>
      <w:tr w:rsidR="00997F75" w:rsidRPr="009E35ED" w14:paraId="65B24D42" w14:textId="77777777" w:rsidTr="00EB1F3A">
        <w:trPr>
          <w:trHeight w:val="45"/>
        </w:trPr>
        <w:tc>
          <w:tcPr>
            <w:tcW w:w="3942" w:type="dxa"/>
            <w:gridSpan w:val="4"/>
            <w:tcBorders>
              <w:bottom w:val="single" w:sz="4" w:space="0" w:color="auto"/>
            </w:tcBorders>
            <w:shd w:val="clear" w:color="auto" w:fill="auto"/>
            <w:noWrap/>
            <w:vAlign w:val="center"/>
            <w:hideMark/>
          </w:tcPr>
          <w:p w14:paraId="0C5E1B0E" w14:textId="69D8706D" w:rsidR="0026478A" w:rsidRPr="009E35ED" w:rsidRDefault="0026478A" w:rsidP="0026478A">
            <w:pPr>
              <w:ind w:left="0"/>
              <w:jc w:val="lef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 xml:space="preserve">Other </w:t>
            </w:r>
            <w:r w:rsidR="00862892">
              <w:rPr>
                <w:rFonts w:ascii="Arial Narrow" w:hAnsi="Arial Narrow"/>
                <w:color w:val="000000" w:themeColor="text1"/>
                <w:sz w:val="16"/>
                <w:szCs w:val="16"/>
                <w:lang w:val="en-PH" w:eastAsia="en-PH"/>
              </w:rPr>
              <w:t>p</w:t>
            </w:r>
            <w:r w:rsidRPr="009E35ED">
              <w:rPr>
                <w:rFonts w:ascii="Arial Narrow" w:hAnsi="Arial Narrow"/>
                <w:color w:val="000000" w:themeColor="text1"/>
                <w:sz w:val="16"/>
                <w:szCs w:val="16"/>
                <w:lang w:val="en-PH" w:eastAsia="en-PH"/>
              </w:rPr>
              <w:t xml:space="preserve">ersonnel </w:t>
            </w:r>
            <w:r w:rsidR="00862892">
              <w:rPr>
                <w:rFonts w:ascii="Arial Narrow" w:hAnsi="Arial Narrow"/>
                <w:color w:val="000000" w:themeColor="text1"/>
                <w:sz w:val="16"/>
                <w:szCs w:val="16"/>
                <w:lang w:val="en-PH" w:eastAsia="en-PH"/>
              </w:rPr>
              <w:t>b</w:t>
            </w:r>
            <w:r w:rsidRPr="009E35ED">
              <w:rPr>
                <w:rFonts w:ascii="Arial Narrow" w:hAnsi="Arial Narrow"/>
                <w:color w:val="000000" w:themeColor="text1"/>
                <w:sz w:val="16"/>
                <w:szCs w:val="16"/>
                <w:lang w:val="en-PH" w:eastAsia="en-PH"/>
              </w:rPr>
              <w:t>enefits</w:t>
            </w:r>
          </w:p>
        </w:tc>
        <w:tc>
          <w:tcPr>
            <w:tcW w:w="1161" w:type="dxa"/>
            <w:tcBorders>
              <w:bottom w:val="single" w:sz="4" w:space="0" w:color="auto"/>
            </w:tcBorders>
            <w:shd w:val="clear" w:color="auto" w:fill="auto"/>
            <w:noWrap/>
          </w:tcPr>
          <w:p w14:paraId="1140AFB8" w14:textId="23809672" w:rsidR="0026478A" w:rsidRPr="009E35ED" w:rsidRDefault="0026478A" w:rsidP="0026478A">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125,000</w:t>
            </w:r>
          </w:p>
        </w:tc>
        <w:tc>
          <w:tcPr>
            <w:tcW w:w="1136" w:type="dxa"/>
            <w:tcBorders>
              <w:bottom w:val="single" w:sz="4" w:space="0" w:color="auto"/>
            </w:tcBorders>
            <w:shd w:val="clear" w:color="auto" w:fill="auto"/>
            <w:noWrap/>
            <w:vAlign w:val="center"/>
          </w:tcPr>
          <w:p w14:paraId="79A1F231" w14:textId="441F4701" w:rsidR="0026478A" w:rsidRPr="009E35ED" w:rsidRDefault="0026478A" w:rsidP="0026478A">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129" w:type="dxa"/>
            <w:tcBorders>
              <w:bottom w:val="single" w:sz="4" w:space="0" w:color="auto"/>
            </w:tcBorders>
            <w:shd w:val="clear" w:color="auto" w:fill="auto"/>
            <w:noWrap/>
            <w:vAlign w:val="center"/>
          </w:tcPr>
          <w:p w14:paraId="54D54586" w14:textId="7EF3D278" w:rsidR="0026478A" w:rsidRPr="009E35ED" w:rsidRDefault="0026478A" w:rsidP="0026478A">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161" w:type="dxa"/>
            <w:tcBorders>
              <w:bottom w:val="single" w:sz="4" w:space="0" w:color="auto"/>
            </w:tcBorders>
            <w:shd w:val="clear" w:color="auto" w:fill="auto"/>
            <w:noWrap/>
          </w:tcPr>
          <w:p w14:paraId="14D90C1C" w14:textId="2D05A7BC" w:rsidR="0026478A" w:rsidRPr="009E35ED" w:rsidRDefault="0026478A" w:rsidP="0026478A">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125,000</w:t>
            </w:r>
          </w:p>
        </w:tc>
      </w:tr>
      <w:tr w:rsidR="00997F75" w:rsidRPr="009E35ED" w14:paraId="58666936" w14:textId="77777777" w:rsidTr="00EB1F3A">
        <w:trPr>
          <w:trHeight w:val="315"/>
        </w:trPr>
        <w:tc>
          <w:tcPr>
            <w:tcW w:w="3942" w:type="dxa"/>
            <w:gridSpan w:val="4"/>
            <w:tcBorders>
              <w:top w:val="single" w:sz="4" w:space="0" w:color="auto"/>
              <w:left w:val="nil"/>
              <w:bottom w:val="double" w:sz="6" w:space="0" w:color="auto"/>
              <w:right w:val="nil"/>
            </w:tcBorders>
            <w:shd w:val="clear" w:color="auto" w:fill="auto"/>
            <w:noWrap/>
            <w:vAlign w:val="center"/>
            <w:hideMark/>
          </w:tcPr>
          <w:p w14:paraId="044ADAEF" w14:textId="77777777" w:rsidR="0026478A" w:rsidRPr="009E35ED" w:rsidRDefault="0026478A" w:rsidP="0026478A">
            <w:pPr>
              <w:ind w:left="0"/>
              <w:jc w:val="left"/>
              <w:rPr>
                <w:rFonts w:ascii="Arial Narrow" w:hAnsi="Arial Narrow"/>
                <w:b/>
                <w:bCs/>
                <w:color w:val="000000" w:themeColor="text1"/>
                <w:sz w:val="18"/>
                <w:szCs w:val="18"/>
                <w:lang w:val="en-PH" w:eastAsia="en-PH"/>
              </w:rPr>
            </w:pPr>
            <w:r w:rsidRPr="009E35ED">
              <w:rPr>
                <w:rFonts w:ascii="Arial Narrow" w:hAnsi="Arial Narrow"/>
                <w:b/>
                <w:bCs/>
                <w:color w:val="000000" w:themeColor="text1"/>
                <w:sz w:val="18"/>
                <w:szCs w:val="18"/>
                <w:lang w:val="en-PH" w:eastAsia="en-PH"/>
              </w:rPr>
              <w:t>Total Personal Services</w:t>
            </w:r>
          </w:p>
        </w:tc>
        <w:tc>
          <w:tcPr>
            <w:tcW w:w="1161" w:type="dxa"/>
            <w:tcBorders>
              <w:top w:val="single" w:sz="4" w:space="0" w:color="auto"/>
              <w:left w:val="nil"/>
              <w:bottom w:val="double" w:sz="6" w:space="0" w:color="auto"/>
              <w:right w:val="nil"/>
            </w:tcBorders>
            <w:shd w:val="clear" w:color="auto" w:fill="auto"/>
            <w:noWrap/>
            <w:vAlign w:val="center"/>
          </w:tcPr>
          <w:p w14:paraId="46BDC343" w14:textId="7858D1E6" w:rsidR="0026478A" w:rsidRPr="009E35ED" w:rsidRDefault="0026478A" w:rsidP="0014356C">
            <w:pPr>
              <w:ind w:left="0"/>
              <w:jc w:val="right"/>
              <w:rPr>
                <w:rFonts w:ascii="Arial Narrow" w:hAnsi="Arial Narrow"/>
                <w:b/>
                <w:bCs/>
                <w:color w:val="000000" w:themeColor="text1"/>
                <w:sz w:val="16"/>
                <w:szCs w:val="16"/>
                <w:lang w:val="en-PH" w:eastAsia="en-PH"/>
              </w:rPr>
            </w:pPr>
            <w:r w:rsidRPr="009E35ED">
              <w:rPr>
                <w:rFonts w:ascii="Arial Narrow" w:hAnsi="Arial Narrow"/>
                <w:b/>
                <w:bCs/>
                <w:color w:val="000000" w:themeColor="text1"/>
                <w:sz w:val="16"/>
                <w:szCs w:val="16"/>
                <w:lang w:val="en-PH" w:eastAsia="en-PH"/>
              </w:rPr>
              <w:t>1,084,909,31</w:t>
            </w:r>
            <w:r w:rsidR="0014356C" w:rsidRPr="009E35ED">
              <w:rPr>
                <w:rFonts w:ascii="Arial Narrow" w:hAnsi="Arial Narrow"/>
                <w:b/>
                <w:bCs/>
                <w:color w:val="000000" w:themeColor="text1"/>
                <w:sz w:val="16"/>
                <w:szCs w:val="16"/>
                <w:lang w:val="en-PH" w:eastAsia="en-PH"/>
              </w:rPr>
              <w:t>7</w:t>
            </w:r>
          </w:p>
        </w:tc>
        <w:tc>
          <w:tcPr>
            <w:tcW w:w="1136" w:type="dxa"/>
            <w:tcBorders>
              <w:top w:val="single" w:sz="4" w:space="0" w:color="auto"/>
              <w:left w:val="nil"/>
              <w:bottom w:val="double" w:sz="6" w:space="0" w:color="auto"/>
              <w:right w:val="nil"/>
            </w:tcBorders>
            <w:shd w:val="clear" w:color="auto" w:fill="auto"/>
            <w:noWrap/>
            <w:vAlign w:val="center"/>
          </w:tcPr>
          <w:p w14:paraId="78F8C345" w14:textId="2B41F7AE" w:rsidR="0026478A" w:rsidRPr="009E35ED" w:rsidRDefault="0026478A" w:rsidP="0026478A">
            <w:pPr>
              <w:ind w:left="0"/>
              <w:jc w:val="right"/>
              <w:rPr>
                <w:rFonts w:ascii="Arial Narrow" w:hAnsi="Arial Narrow"/>
                <w:b/>
                <w:bCs/>
                <w:color w:val="000000" w:themeColor="text1"/>
                <w:sz w:val="16"/>
                <w:szCs w:val="16"/>
                <w:lang w:val="en-PH" w:eastAsia="en-PH"/>
              </w:rPr>
            </w:pPr>
            <w:r w:rsidRPr="009E35ED">
              <w:rPr>
                <w:rFonts w:ascii="Arial Narrow" w:hAnsi="Arial Narrow"/>
                <w:b/>
                <w:bCs/>
                <w:color w:val="000000" w:themeColor="text1"/>
                <w:sz w:val="16"/>
                <w:szCs w:val="16"/>
                <w:lang w:val="en-PH" w:eastAsia="en-PH"/>
              </w:rPr>
              <w:t>-</w:t>
            </w:r>
          </w:p>
        </w:tc>
        <w:tc>
          <w:tcPr>
            <w:tcW w:w="1129" w:type="dxa"/>
            <w:tcBorders>
              <w:top w:val="single" w:sz="4" w:space="0" w:color="auto"/>
              <w:left w:val="nil"/>
              <w:bottom w:val="double" w:sz="6" w:space="0" w:color="auto"/>
              <w:right w:val="nil"/>
            </w:tcBorders>
            <w:shd w:val="clear" w:color="auto" w:fill="auto"/>
            <w:noWrap/>
            <w:vAlign w:val="center"/>
          </w:tcPr>
          <w:p w14:paraId="7A68176A" w14:textId="02C4B821" w:rsidR="0026478A" w:rsidRPr="009E35ED" w:rsidRDefault="0026478A" w:rsidP="0026478A">
            <w:pPr>
              <w:ind w:left="0"/>
              <w:jc w:val="right"/>
              <w:rPr>
                <w:rFonts w:ascii="Arial Narrow" w:hAnsi="Arial Narrow"/>
                <w:b/>
                <w:bCs/>
                <w:color w:val="000000" w:themeColor="text1"/>
                <w:sz w:val="16"/>
                <w:szCs w:val="16"/>
                <w:lang w:val="en-PH" w:eastAsia="en-PH"/>
              </w:rPr>
            </w:pPr>
            <w:r w:rsidRPr="009E35ED">
              <w:rPr>
                <w:rFonts w:ascii="Arial Narrow" w:hAnsi="Arial Narrow"/>
                <w:b/>
                <w:bCs/>
                <w:color w:val="000000" w:themeColor="text1"/>
                <w:sz w:val="16"/>
                <w:szCs w:val="16"/>
                <w:lang w:val="en-PH" w:eastAsia="en-PH"/>
              </w:rPr>
              <w:t>-</w:t>
            </w:r>
          </w:p>
        </w:tc>
        <w:tc>
          <w:tcPr>
            <w:tcW w:w="1161" w:type="dxa"/>
            <w:tcBorders>
              <w:top w:val="single" w:sz="4" w:space="0" w:color="auto"/>
              <w:left w:val="nil"/>
              <w:bottom w:val="double" w:sz="6" w:space="0" w:color="auto"/>
              <w:right w:val="nil"/>
            </w:tcBorders>
            <w:shd w:val="clear" w:color="auto" w:fill="auto"/>
            <w:noWrap/>
            <w:vAlign w:val="center"/>
          </w:tcPr>
          <w:p w14:paraId="06572656" w14:textId="734B2D2C" w:rsidR="0026478A" w:rsidRPr="009E35ED" w:rsidRDefault="0026478A" w:rsidP="0026478A">
            <w:pPr>
              <w:ind w:left="0"/>
              <w:jc w:val="right"/>
              <w:rPr>
                <w:rFonts w:ascii="Arial Narrow" w:hAnsi="Arial Narrow"/>
                <w:b/>
                <w:bCs/>
                <w:color w:val="000000" w:themeColor="text1"/>
                <w:sz w:val="16"/>
                <w:szCs w:val="16"/>
                <w:lang w:val="en-PH" w:eastAsia="en-PH"/>
              </w:rPr>
            </w:pPr>
            <w:r w:rsidRPr="009E35ED">
              <w:rPr>
                <w:rFonts w:ascii="Arial Narrow" w:hAnsi="Arial Narrow"/>
                <w:b/>
                <w:bCs/>
                <w:color w:val="000000" w:themeColor="text1"/>
                <w:sz w:val="16"/>
                <w:szCs w:val="16"/>
                <w:lang w:val="en-PH" w:eastAsia="en-PH"/>
              </w:rPr>
              <w:t>1,084,909,31</w:t>
            </w:r>
            <w:r w:rsidR="0014356C" w:rsidRPr="009E35ED">
              <w:rPr>
                <w:rFonts w:ascii="Arial Narrow" w:hAnsi="Arial Narrow"/>
                <w:b/>
                <w:bCs/>
                <w:color w:val="000000" w:themeColor="text1"/>
                <w:sz w:val="16"/>
                <w:szCs w:val="16"/>
                <w:lang w:val="en-PH" w:eastAsia="en-PH"/>
              </w:rPr>
              <w:t>7</w:t>
            </w:r>
          </w:p>
        </w:tc>
      </w:tr>
      <w:tr w:rsidR="00997F75" w:rsidRPr="009E35ED" w14:paraId="3DB30172" w14:textId="77777777" w:rsidTr="00A27AC6">
        <w:trPr>
          <w:trHeight w:val="315"/>
        </w:trPr>
        <w:tc>
          <w:tcPr>
            <w:tcW w:w="3942" w:type="dxa"/>
            <w:gridSpan w:val="4"/>
            <w:tcBorders>
              <w:top w:val="double" w:sz="6" w:space="0" w:color="auto"/>
              <w:left w:val="nil"/>
              <w:bottom w:val="nil"/>
              <w:right w:val="nil"/>
            </w:tcBorders>
            <w:shd w:val="clear" w:color="auto" w:fill="auto"/>
            <w:noWrap/>
            <w:vAlign w:val="center"/>
            <w:hideMark/>
          </w:tcPr>
          <w:p w14:paraId="6BDF30C1" w14:textId="77777777" w:rsidR="00D03F78" w:rsidRPr="009E35ED" w:rsidRDefault="00D03F78" w:rsidP="00A27AC6">
            <w:pPr>
              <w:ind w:left="0"/>
              <w:jc w:val="left"/>
              <w:rPr>
                <w:rFonts w:ascii="Arial Narrow" w:hAnsi="Arial Narrow"/>
                <w:b/>
                <w:bCs/>
                <w:color w:val="000000" w:themeColor="text1"/>
                <w:sz w:val="16"/>
                <w:szCs w:val="16"/>
                <w:lang w:val="en-PH" w:eastAsia="en-PH"/>
              </w:rPr>
            </w:pPr>
            <w:r w:rsidRPr="009E35ED">
              <w:rPr>
                <w:rFonts w:ascii="Arial Narrow" w:hAnsi="Arial Narrow"/>
                <w:b/>
                <w:bCs/>
                <w:color w:val="000000" w:themeColor="text1"/>
                <w:sz w:val="16"/>
                <w:szCs w:val="16"/>
                <w:lang w:val="en-PH" w:eastAsia="en-PH"/>
              </w:rPr>
              <w:t> </w:t>
            </w:r>
          </w:p>
        </w:tc>
        <w:tc>
          <w:tcPr>
            <w:tcW w:w="1161" w:type="dxa"/>
            <w:vMerge w:val="restart"/>
            <w:tcBorders>
              <w:top w:val="nil"/>
              <w:left w:val="nil"/>
              <w:bottom w:val="nil"/>
              <w:right w:val="nil"/>
            </w:tcBorders>
            <w:shd w:val="clear" w:color="auto" w:fill="auto"/>
            <w:noWrap/>
            <w:vAlign w:val="center"/>
            <w:hideMark/>
          </w:tcPr>
          <w:p w14:paraId="6C5E4AC8" w14:textId="69F0C021" w:rsidR="00D03F78" w:rsidRPr="009E35ED" w:rsidRDefault="00D03F78" w:rsidP="00B90388">
            <w:pPr>
              <w:ind w:left="0"/>
              <w:rPr>
                <w:rFonts w:ascii="Arial Narrow" w:hAnsi="Arial Narrow"/>
                <w:b/>
                <w:bCs/>
                <w:color w:val="000000" w:themeColor="text1"/>
                <w:sz w:val="16"/>
                <w:szCs w:val="16"/>
                <w:lang w:val="en-PH" w:eastAsia="en-PH"/>
              </w:rPr>
            </w:pPr>
          </w:p>
        </w:tc>
        <w:tc>
          <w:tcPr>
            <w:tcW w:w="1136" w:type="dxa"/>
            <w:vMerge w:val="restart"/>
            <w:tcBorders>
              <w:top w:val="nil"/>
              <w:left w:val="nil"/>
              <w:bottom w:val="nil"/>
              <w:right w:val="nil"/>
            </w:tcBorders>
            <w:shd w:val="clear" w:color="auto" w:fill="auto"/>
            <w:noWrap/>
            <w:vAlign w:val="center"/>
            <w:hideMark/>
          </w:tcPr>
          <w:p w14:paraId="7867BF6F" w14:textId="77777777" w:rsidR="00D03F78" w:rsidRPr="009E35ED" w:rsidRDefault="00D03F78" w:rsidP="00B90388">
            <w:pPr>
              <w:ind w:left="0"/>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 </w:t>
            </w:r>
          </w:p>
        </w:tc>
        <w:tc>
          <w:tcPr>
            <w:tcW w:w="1129" w:type="dxa"/>
            <w:vMerge w:val="restart"/>
            <w:tcBorders>
              <w:top w:val="nil"/>
              <w:left w:val="nil"/>
              <w:bottom w:val="nil"/>
              <w:right w:val="nil"/>
            </w:tcBorders>
            <w:shd w:val="clear" w:color="auto" w:fill="auto"/>
            <w:noWrap/>
            <w:vAlign w:val="center"/>
            <w:hideMark/>
          </w:tcPr>
          <w:p w14:paraId="3F27EB01" w14:textId="5407AAFF" w:rsidR="00D03F78" w:rsidRPr="009E35ED" w:rsidRDefault="00D03F78" w:rsidP="00B90388">
            <w:pPr>
              <w:ind w:left="0"/>
              <w:rPr>
                <w:rFonts w:ascii="Arial Narrow" w:hAnsi="Arial Narrow"/>
                <w:color w:val="000000" w:themeColor="text1"/>
                <w:sz w:val="16"/>
                <w:szCs w:val="16"/>
                <w:lang w:val="en-PH" w:eastAsia="en-PH"/>
              </w:rPr>
            </w:pPr>
          </w:p>
        </w:tc>
        <w:tc>
          <w:tcPr>
            <w:tcW w:w="1161" w:type="dxa"/>
            <w:vMerge w:val="restart"/>
            <w:tcBorders>
              <w:top w:val="nil"/>
              <w:left w:val="nil"/>
              <w:bottom w:val="nil"/>
              <w:right w:val="nil"/>
            </w:tcBorders>
            <w:shd w:val="clear" w:color="auto" w:fill="auto"/>
            <w:noWrap/>
            <w:vAlign w:val="center"/>
            <w:hideMark/>
          </w:tcPr>
          <w:p w14:paraId="796F4B91" w14:textId="77777777" w:rsidR="00D03F78" w:rsidRPr="009E35ED" w:rsidRDefault="00D03F78" w:rsidP="00B90388">
            <w:pPr>
              <w:ind w:left="0"/>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 </w:t>
            </w:r>
          </w:p>
        </w:tc>
      </w:tr>
      <w:tr w:rsidR="00997F75" w:rsidRPr="009E35ED" w14:paraId="3B6A553F" w14:textId="77777777" w:rsidTr="00EB1F3A">
        <w:trPr>
          <w:trHeight w:val="300"/>
        </w:trPr>
        <w:tc>
          <w:tcPr>
            <w:tcW w:w="3942" w:type="dxa"/>
            <w:gridSpan w:val="4"/>
            <w:tcBorders>
              <w:top w:val="nil"/>
              <w:left w:val="nil"/>
              <w:right w:val="nil"/>
            </w:tcBorders>
            <w:shd w:val="clear" w:color="auto" w:fill="auto"/>
            <w:noWrap/>
            <w:vAlign w:val="center"/>
            <w:hideMark/>
          </w:tcPr>
          <w:p w14:paraId="174B515A" w14:textId="77777777" w:rsidR="00D03F78" w:rsidRPr="009E35ED" w:rsidRDefault="00D03F78" w:rsidP="00B90388">
            <w:pPr>
              <w:keepNext/>
              <w:keepLines/>
              <w:ind w:left="0"/>
              <w:jc w:val="left"/>
              <w:rPr>
                <w:rFonts w:ascii="Arial Narrow" w:hAnsi="Arial Narrow"/>
                <w:b/>
                <w:bCs/>
                <w:color w:val="000000" w:themeColor="text1"/>
                <w:sz w:val="18"/>
                <w:szCs w:val="18"/>
                <w:lang w:val="en-PH" w:eastAsia="en-PH"/>
              </w:rPr>
            </w:pPr>
            <w:r w:rsidRPr="009E35ED">
              <w:rPr>
                <w:rFonts w:ascii="Arial Narrow" w:hAnsi="Arial Narrow"/>
                <w:b/>
                <w:bCs/>
                <w:color w:val="000000" w:themeColor="text1"/>
                <w:sz w:val="18"/>
                <w:szCs w:val="18"/>
                <w:lang w:val="en-PH" w:eastAsia="en-PH"/>
              </w:rPr>
              <w:t>Maintenance and Other Operating Expenses</w:t>
            </w:r>
          </w:p>
          <w:p w14:paraId="3F7CA27E" w14:textId="77777777" w:rsidR="00D03F78" w:rsidRPr="009E35ED" w:rsidRDefault="00D03F78" w:rsidP="00B90388">
            <w:pPr>
              <w:keepNext/>
              <w:keepLines/>
              <w:ind w:left="0"/>
              <w:jc w:val="left"/>
              <w:rPr>
                <w:rFonts w:ascii="Arial Narrow" w:hAnsi="Arial Narrow"/>
                <w:b/>
                <w:bCs/>
                <w:color w:val="000000" w:themeColor="text1"/>
                <w:sz w:val="16"/>
                <w:szCs w:val="16"/>
                <w:lang w:val="en-PH" w:eastAsia="en-PH"/>
              </w:rPr>
            </w:pPr>
          </w:p>
        </w:tc>
        <w:tc>
          <w:tcPr>
            <w:tcW w:w="1161" w:type="dxa"/>
            <w:vMerge/>
            <w:tcBorders>
              <w:top w:val="nil"/>
              <w:left w:val="nil"/>
              <w:right w:val="nil"/>
            </w:tcBorders>
            <w:vAlign w:val="center"/>
            <w:hideMark/>
          </w:tcPr>
          <w:p w14:paraId="2B72897A" w14:textId="77777777" w:rsidR="00D03F78" w:rsidRPr="009E35ED" w:rsidRDefault="00D03F78" w:rsidP="00B90388">
            <w:pPr>
              <w:keepNext/>
              <w:keepLines/>
              <w:ind w:left="0"/>
              <w:jc w:val="left"/>
              <w:rPr>
                <w:rFonts w:ascii="Arial Narrow" w:hAnsi="Arial Narrow"/>
                <w:b/>
                <w:bCs/>
                <w:color w:val="000000" w:themeColor="text1"/>
                <w:sz w:val="16"/>
                <w:szCs w:val="16"/>
                <w:lang w:val="en-PH" w:eastAsia="en-PH"/>
              </w:rPr>
            </w:pPr>
          </w:p>
        </w:tc>
        <w:tc>
          <w:tcPr>
            <w:tcW w:w="1136" w:type="dxa"/>
            <w:vMerge/>
            <w:tcBorders>
              <w:top w:val="nil"/>
              <w:left w:val="nil"/>
              <w:right w:val="nil"/>
            </w:tcBorders>
            <w:vAlign w:val="center"/>
            <w:hideMark/>
          </w:tcPr>
          <w:p w14:paraId="6410CEA8" w14:textId="77777777" w:rsidR="00D03F78" w:rsidRPr="009E35ED" w:rsidRDefault="00D03F78" w:rsidP="00B90388">
            <w:pPr>
              <w:keepNext/>
              <w:keepLines/>
              <w:ind w:left="0"/>
              <w:jc w:val="left"/>
              <w:rPr>
                <w:rFonts w:ascii="Arial Narrow" w:hAnsi="Arial Narrow"/>
                <w:color w:val="000000" w:themeColor="text1"/>
                <w:sz w:val="16"/>
                <w:szCs w:val="16"/>
                <w:lang w:val="en-PH" w:eastAsia="en-PH"/>
              </w:rPr>
            </w:pPr>
          </w:p>
        </w:tc>
        <w:tc>
          <w:tcPr>
            <w:tcW w:w="1129" w:type="dxa"/>
            <w:vMerge/>
            <w:tcBorders>
              <w:top w:val="nil"/>
              <w:left w:val="nil"/>
              <w:right w:val="nil"/>
            </w:tcBorders>
            <w:vAlign w:val="center"/>
            <w:hideMark/>
          </w:tcPr>
          <w:p w14:paraId="73D4EBDA" w14:textId="77777777" w:rsidR="00D03F78" w:rsidRPr="009E35ED" w:rsidRDefault="00D03F78" w:rsidP="00B90388">
            <w:pPr>
              <w:keepNext/>
              <w:keepLines/>
              <w:ind w:left="0"/>
              <w:jc w:val="left"/>
              <w:rPr>
                <w:rFonts w:ascii="Arial Narrow" w:hAnsi="Arial Narrow"/>
                <w:color w:val="000000" w:themeColor="text1"/>
                <w:sz w:val="16"/>
                <w:szCs w:val="16"/>
                <w:lang w:val="en-PH" w:eastAsia="en-PH"/>
              </w:rPr>
            </w:pPr>
          </w:p>
        </w:tc>
        <w:tc>
          <w:tcPr>
            <w:tcW w:w="1161" w:type="dxa"/>
            <w:vMerge/>
            <w:tcBorders>
              <w:top w:val="nil"/>
              <w:left w:val="nil"/>
              <w:right w:val="nil"/>
            </w:tcBorders>
            <w:vAlign w:val="center"/>
            <w:hideMark/>
          </w:tcPr>
          <w:p w14:paraId="4A690ED1" w14:textId="77777777" w:rsidR="00D03F78" w:rsidRPr="009E35ED" w:rsidRDefault="00D03F78" w:rsidP="00B90388">
            <w:pPr>
              <w:keepNext/>
              <w:keepLines/>
              <w:ind w:left="0"/>
              <w:jc w:val="left"/>
              <w:rPr>
                <w:rFonts w:ascii="Arial Narrow" w:hAnsi="Arial Narrow"/>
                <w:color w:val="000000" w:themeColor="text1"/>
                <w:sz w:val="16"/>
                <w:szCs w:val="16"/>
                <w:lang w:val="en-PH" w:eastAsia="en-PH"/>
              </w:rPr>
            </w:pPr>
          </w:p>
        </w:tc>
      </w:tr>
      <w:tr w:rsidR="00997F75" w:rsidRPr="009E35ED" w14:paraId="2DD62CC0" w14:textId="77777777" w:rsidTr="000F5207">
        <w:trPr>
          <w:trHeight w:val="56"/>
        </w:trPr>
        <w:tc>
          <w:tcPr>
            <w:tcW w:w="3942" w:type="dxa"/>
            <w:gridSpan w:val="4"/>
            <w:shd w:val="clear" w:color="auto" w:fill="auto"/>
            <w:noWrap/>
            <w:vAlign w:val="center"/>
            <w:hideMark/>
          </w:tcPr>
          <w:p w14:paraId="79552C3F" w14:textId="2F5E019B" w:rsidR="000F5207" w:rsidRPr="009E35ED" w:rsidRDefault="000F5207" w:rsidP="00B90388">
            <w:pPr>
              <w:keepNext/>
              <w:keepLines/>
              <w:ind w:left="0"/>
              <w:jc w:val="lef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 xml:space="preserve">Traveling </w:t>
            </w:r>
            <w:r w:rsidR="00862892">
              <w:rPr>
                <w:rFonts w:ascii="Arial Narrow" w:hAnsi="Arial Narrow"/>
                <w:color w:val="000000" w:themeColor="text1"/>
                <w:sz w:val="16"/>
                <w:szCs w:val="16"/>
                <w:lang w:val="en-PH" w:eastAsia="en-PH"/>
              </w:rPr>
              <w:t>e</w:t>
            </w:r>
            <w:r w:rsidRPr="009E35ED">
              <w:rPr>
                <w:rFonts w:ascii="Arial Narrow" w:hAnsi="Arial Narrow"/>
                <w:color w:val="000000" w:themeColor="text1"/>
                <w:sz w:val="16"/>
                <w:szCs w:val="16"/>
                <w:lang w:val="en-PH" w:eastAsia="en-PH"/>
              </w:rPr>
              <w:t>xpenses</w:t>
            </w:r>
          </w:p>
        </w:tc>
        <w:tc>
          <w:tcPr>
            <w:tcW w:w="1161" w:type="dxa"/>
            <w:shd w:val="clear" w:color="auto" w:fill="auto"/>
            <w:noWrap/>
            <w:vAlign w:val="center"/>
          </w:tcPr>
          <w:p w14:paraId="538F6F56" w14:textId="2623F9AD" w:rsidR="000F5207" w:rsidRPr="009E35ED" w:rsidRDefault="000F5207" w:rsidP="00B90388">
            <w:pPr>
              <w:keepNext/>
              <w:keepLines/>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12,</w:t>
            </w:r>
            <w:r w:rsidR="0014356C" w:rsidRPr="009E35ED">
              <w:rPr>
                <w:rFonts w:ascii="Arial Narrow" w:hAnsi="Arial Narrow"/>
                <w:color w:val="000000" w:themeColor="text1"/>
                <w:sz w:val="16"/>
                <w:szCs w:val="16"/>
                <w:lang w:val="en-PH" w:eastAsia="en-PH"/>
              </w:rPr>
              <w:t>489,929</w:t>
            </w:r>
          </w:p>
        </w:tc>
        <w:tc>
          <w:tcPr>
            <w:tcW w:w="1136" w:type="dxa"/>
            <w:shd w:val="clear" w:color="auto" w:fill="auto"/>
            <w:noWrap/>
            <w:vAlign w:val="bottom"/>
          </w:tcPr>
          <w:p w14:paraId="40AF1939" w14:textId="400FC324" w:rsidR="000F5207" w:rsidRPr="009E35ED" w:rsidRDefault="000F5207" w:rsidP="00B90388">
            <w:pPr>
              <w:keepNext/>
              <w:keepLines/>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129" w:type="dxa"/>
            <w:shd w:val="clear" w:color="auto" w:fill="auto"/>
            <w:noWrap/>
            <w:vAlign w:val="bottom"/>
          </w:tcPr>
          <w:p w14:paraId="18677787" w14:textId="467A5410" w:rsidR="000F5207" w:rsidRPr="009E35ED" w:rsidRDefault="000F5207" w:rsidP="00B90388">
            <w:pPr>
              <w:keepNext/>
              <w:keepLines/>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161" w:type="dxa"/>
            <w:shd w:val="clear" w:color="auto" w:fill="auto"/>
            <w:noWrap/>
            <w:vAlign w:val="center"/>
          </w:tcPr>
          <w:p w14:paraId="54612506" w14:textId="6AC5FD1A" w:rsidR="000F5207" w:rsidRPr="009E35ED" w:rsidRDefault="0014356C" w:rsidP="00B90388">
            <w:pPr>
              <w:keepNext/>
              <w:keepLines/>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12,489,929</w:t>
            </w:r>
          </w:p>
        </w:tc>
      </w:tr>
      <w:tr w:rsidR="00997F75" w:rsidRPr="009E35ED" w14:paraId="3991D8AC" w14:textId="77777777" w:rsidTr="000F5207">
        <w:trPr>
          <w:trHeight w:val="56"/>
        </w:trPr>
        <w:tc>
          <w:tcPr>
            <w:tcW w:w="3942" w:type="dxa"/>
            <w:gridSpan w:val="4"/>
            <w:shd w:val="clear" w:color="auto" w:fill="auto"/>
            <w:noWrap/>
            <w:vAlign w:val="center"/>
            <w:hideMark/>
          </w:tcPr>
          <w:p w14:paraId="0C7F85DD" w14:textId="44706263" w:rsidR="000F5207" w:rsidRPr="009E35ED" w:rsidRDefault="000F5207" w:rsidP="00B90388">
            <w:pPr>
              <w:keepNext/>
              <w:keepLines/>
              <w:ind w:left="0"/>
              <w:jc w:val="lef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 xml:space="preserve">Training </w:t>
            </w:r>
            <w:r w:rsidR="00862892">
              <w:rPr>
                <w:rFonts w:ascii="Arial Narrow" w:hAnsi="Arial Narrow"/>
                <w:color w:val="000000" w:themeColor="text1"/>
                <w:sz w:val="16"/>
                <w:szCs w:val="16"/>
                <w:lang w:val="en-PH" w:eastAsia="en-PH"/>
              </w:rPr>
              <w:t>e</w:t>
            </w:r>
            <w:r w:rsidRPr="009E35ED">
              <w:rPr>
                <w:rFonts w:ascii="Arial Narrow" w:hAnsi="Arial Narrow"/>
                <w:color w:val="000000" w:themeColor="text1"/>
                <w:sz w:val="16"/>
                <w:szCs w:val="16"/>
                <w:lang w:val="en-PH" w:eastAsia="en-PH"/>
              </w:rPr>
              <w:t>xpenses</w:t>
            </w:r>
          </w:p>
        </w:tc>
        <w:tc>
          <w:tcPr>
            <w:tcW w:w="1161" w:type="dxa"/>
            <w:shd w:val="clear" w:color="auto" w:fill="auto"/>
            <w:noWrap/>
            <w:vAlign w:val="center"/>
          </w:tcPr>
          <w:p w14:paraId="133F2709" w14:textId="636C529B" w:rsidR="000F5207" w:rsidRPr="009E35ED" w:rsidRDefault="000F5207" w:rsidP="00B90388">
            <w:pPr>
              <w:keepNext/>
              <w:keepLines/>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4,502,918</w:t>
            </w:r>
          </w:p>
        </w:tc>
        <w:tc>
          <w:tcPr>
            <w:tcW w:w="1136" w:type="dxa"/>
            <w:shd w:val="clear" w:color="auto" w:fill="auto"/>
            <w:noWrap/>
            <w:vAlign w:val="bottom"/>
          </w:tcPr>
          <w:p w14:paraId="78C93D23" w14:textId="37BE03A3" w:rsidR="000F5207" w:rsidRPr="009E35ED" w:rsidRDefault="000F5207" w:rsidP="00B90388">
            <w:pPr>
              <w:keepNext/>
              <w:keepLines/>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129" w:type="dxa"/>
            <w:shd w:val="clear" w:color="auto" w:fill="auto"/>
            <w:noWrap/>
            <w:vAlign w:val="bottom"/>
          </w:tcPr>
          <w:p w14:paraId="5B3B62BF" w14:textId="5DF7CFB7" w:rsidR="000F5207" w:rsidRPr="009E35ED" w:rsidRDefault="000F5207" w:rsidP="00B90388">
            <w:pPr>
              <w:keepNext/>
              <w:keepLines/>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161" w:type="dxa"/>
            <w:shd w:val="clear" w:color="auto" w:fill="auto"/>
            <w:noWrap/>
            <w:vAlign w:val="center"/>
          </w:tcPr>
          <w:p w14:paraId="10481D1F" w14:textId="4D670AB3" w:rsidR="000F5207" w:rsidRPr="009E35ED" w:rsidRDefault="000F5207" w:rsidP="00B90388">
            <w:pPr>
              <w:keepNext/>
              <w:keepLines/>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4,502,918</w:t>
            </w:r>
          </w:p>
        </w:tc>
      </w:tr>
      <w:tr w:rsidR="00997F75" w:rsidRPr="009E35ED" w14:paraId="08DDD118" w14:textId="77777777" w:rsidTr="000F5207">
        <w:trPr>
          <w:trHeight w:val="56"/>
        </w:trPr>
        <w:tc>
          <w:tcPr>
            <w:tcW w:w="3942" w:type="dxa"/>
            <w:gridSpan w:val="4"/>
            <w:shd w:val="clear" w:color="auto" w:fill="auto"/>
            <w:noWrap/>
            <w:vAlign w:val="center"/>
            <w:hideMark/>
          </w:tcPr>
          <w:p w14:paraId="2B3210FB" w14:textId="62D0F53F" w:rsidR="000F5207" w:rsidRPr="009E35ED" w:rsidRDefault="000F5207" w:rsidP="00B90388">
            <w:pPr>
              <w:keepNext/>
              <w:keepLines/>
              <w:ind w:left="0"/>
              <w:jc w:val="lef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 xml:space="preserve">Office </w:t>
            </w:r>
            <w:r w:rsidR="00862892">
              <w:rPr>
                <w:rFonts w:ascii="Arial Narrow" w:hAnsi="Arial Narrow"/>
                <w:color w:val="000000" w:themeColor="text1"/>
                <w:sz w:val="16"/>
                <w:szCs w:val="16"/>
                <w:lang w:val="en-PH" w:eastAsia="en-PH"/>
              </w:rPr>
              <w:t>s</w:t>
            </w:r>
            <w:r w:rsidRPr="009E35ED">
              <w:rPr>
                <w:rFonts w:ascii="Arial Narrow" w:hAnsi="Arial Narrow"/>
                <w:color w:val="000000" w:themeColor="text1"/>
                <w:sz w:val="16"/>
                <w:szCs w:val="16"/>
                <w:lang w:val="en-PH" w:eastAsia="en-PH"/>
              </w:rPr>
              <w:t xml:space="preserve">upplies </w:t>
            </w:r>
            <w:r w:rsidR="00862892">
              <w:rPr>
                <w:rFonts w:ascii="Arial Narrow" w:hAnsi="Arial Narrow"/>
                <w:color w:val="000000" w:themeColor="text1"/>
                <w:sz w:val="16"/>
                <w:szCs w:val="16"/>
                <w:lang w:val="en-PH" w:eastAsia="en-PH"/>
              </w:rPr>
              <w:t>e</w:t>
            </w:r>
            <w:r w:rsidRPr="009E35ED">
              <w:rPr>
                <w:rFonts w:ascii="Arial Narrow" w:hAnsi="Arial Narrow"/>
                <w:color w:val="000000" w:themeColor="text1"/>
                <w:sz w:val="16"/>
                <w:szCs w:val="16"/>
                <w:lang w:val="en-PH" w:eastAsia="en-PH"/>
              </w:rPr>
              <w:t>xpenses</w:t>
            </w:r>
          </w:p>
        </w:tc>
        <w:tc>
          <w:tcPr>
            <w:tcW w:w="1161" w:type="dxa"/>
            <w:shd w:val="clear" w:color="auto" w:fill="auto"/>
            <w:noWrap/>
            <w:vAlign w:val="center"/>
          </w:tcPr>
          <w:p w14:paraId="3AC24680" w14:textId="652015C0" w:rsidR="000F5207" w:rsidRPr="009E35ED" w:rsidRDefault="000F5207" w:rsidP="00B90388">
            <w:pPr>
              <w:keepNext/>
              <w:keepLines/>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8,</w:t>
            </w:r>
            <w:r w:rsidR="0014356C" w:rsidRPr="009E35ED">
              <w:rPr>
                <w:rFonts w:ascii="Arial Narrow" w:hAnsi="Arial Narrow"/>
                <w:color w:val="000000" w:themeColor="text1"/>
                <w:sz w:val="16"/>
                <w:szCs w:val="16"/>
                <w:lang w:val="en-PH" w:eastAsia="en-PH"/>
              </w:rPr>
              <w:t>653,252</w:t>
            </w:r>
          </w:p>
        </w:tc>
        <w:tc>
          <w:tcPr>
            <w:tcW w:w="1136" w:type="dxa"/>
            <w:shd w:val="clear" w:color="auto" w:fill="auto"/>
            <w:noWrap/>
            <w:vAlign w:val="bottom"/>
          </w:tcPr>
          <w:p w14:paraId="4A1763C2" w14:textId="0F9E499A" w:rsidR="000F5207" w:rsidRPr="009E35ED" w:rsidRDefault="000F5207" w:rsidP="00B90388">
            <w:pPr>
              <w:keepNext/>
              <w:keepLines/>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129" w:type="dxa"/>
            <w:shd w:val="clear" w:color="auto" w:fill="auto"/>
            <w:noWrap/>
            <w:vAlign w:val="bottom"/>
          </w:tcPr>
          <w:p w14:paraId="7E5AD959" w14:textId="06E87A86" w:rsidR="000F5207" w:rsidRPr="009E35ED" w:rsidRDefault="000F5207" w:rsidP="00B90388">
            <w:pPr>
              <w:keepNext/>
              <w:keepLines/>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161" w:type="dxa"/>
            <w:shd w:val="clear" w:color="auto" w:fill="auto"/>
            <w:noWrap/>
            <w:vAlign w:val="center"/>
          </w:tcPr>
          <w:p w14:paraId="7E511D4B" w14:textId="107F1218" w:rsidR="000F5207" w:rsidRPr="009E35ED" w:rsidRDefault="0014356C" w:rsidP="00B90388">
            <w:pPr>
              <w:keepNext/>
              <w:keepLines/>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8,653,252</w:t>
            </w:r>
          </w:p>
        </w:tc>
      </w:tr>
      <w:tr w:rsidR="00997F75" w:rsidRPr="009E35ED" w14:paraId="081B5E67" w14:textId="77777777" w:rsidTr="000F5207">
        <w:trPr>
          <w:trHeight w:val="56"/>
        </w:trPr>
        <w:tc>
          <w:tcPr>
            <w:tcW w:w="3942" w:type="dxa"/>
            <w:gridSpan w:val="4"/>
            <w:shd w:val="clear" w:color="auto" w:fill="auto"/>
            <w:noWrap/>
            <w:vAlign w:val="center"/>
            <w:hideMark/>
          </w:tcPr>
          <w:p w14:paraId="40AB2929" w14:textId="6BA13D07" w:rsidR="000F5207" w:rsidRPr="009E35ED" w:rsidRDefault="000F5207" w:rsidP="00B90388">
            <w:pPr>
              <w:keepNext/>
              <w:keepLines/>
              <w:ind w:left="0"/>
              <w:jc w:val="lef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 xml:space="preserve">Drugs and </w:t>
            </w:r>
            <w:r w:rsidR="00862892">
              <w:rPr>
                <w:rFonts w:ascii="Arial Narrow" w:hAnsi="Arial Narrow"/>
                <w:color w:val="000000" w:themeColor="text1"/>
                <w:sz w:val="16"/>
                <w:szCs w:val="16"/>
                <w:lang w:val="en-PH" w:eastAsia="en-PH"/>
              </w:rPr>
              <w:t>m</w:t>
            </w:r>
            <w:r w:rsidRPr="009E35ED">
              <w:rPr>
                <w:rFonts w:ascii="Arial Narrow" w:hAnsi="Arial Narrow"/>
                <w:color w:val="000000" w:themeColor="text1"/>
                <w:sz w:val="16"/>
                <w:szCs w:val="16"/>
                <w:lang w:val="en-PH" w:eastAsia="en-PH"/>
              </w:rPr>
              <w:t xml:space="preserve">edicines </w:t>
            </w:r>
            <w:r w:rsidR="00862892">
              <w:rPr>
                <w:rFonts w:ascii="Arial Narrow" w:hAnsi="Arial Narrow"/>
                <w:color w:val="000000" w:themeColor="text1"/>
                <w:sz w:val="16"/>
                <w:szCs w:val="16"/>
                <w:lang w:val="en-PH" w:eastAsia="en-PH"/>
              </w:rPr>
              <w:t>e</w:t>
            </w:r>
            <w:r w:rsidRPr="009E35ED">
              <w:rPr>
                <w:rFonts w:ascii="Arial Narrow" w:hAnsi="Arial Narrow"/>
                <w:color w:val="000000" w:themeColor="text1"/>
                <w:sz w:val="16"/>
                <w:szCs w:val="16"/>
                <w:lang w:val="en-PH" w:eastAsia="en-PH"/>
              </w:rPr>
              <w:t>xpenses</w:t>
            </w:r>
          </w:p>
        </w:tc>
        <w:tc>
          <w:tcPr>
            <w:tcW w:w="1161" w:type="dxa"/>
            <w:shd w:val="clear" w:color="auto" w:fill="auto"/>
            <w:noWrap/>
            <w:vAlign w:val="center"/>
          </w:tcPr>
          <w:p w14:paraId="0156E084" w14:textId="5079EBE8" w:rsidR="000F5207" w:rsidRPr="009E35ED" w:rsidRDefault="000F5207" w:rsidP="00B90388">
            <w:pPr>
              <w:keepNext/>
              <w:keepLines/>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136" w:type="dxa"/>
            <w:shd w:val="clear" w:color="auto" w:fill="auto"/>
            <w:noWrap/>
            <w:vAlign w:val="center"/>
          </w:tcPr>
          <w:p w14:paraId="7CEFDA87" w14:textId="126CF240" w:rsidR="000F5207" w:rsidRPr="009E35ED" w:rsidRDefault="000F5207" w:rsidP="00B90388">
            <w:pPr>
              <w:keepNext/>
              <w:keepLines/>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2,064,550</w:t>
            </w:r>
          </w:p>
        </w:tc>
        <w:tc>
          <w:tcPr>
            <w:tcW w:w="1129" w:type="dxa"/>
            <w:shd w:val="clear" w:color="auto" w:fill="auto"/>
            <w:noWrap/>
            <w:vAlign w:val="bottom"/>
          </w:tcPr>
          <w:p w14:paraId="189F5E30" w14:textId="5A7C8B0A" w:rsidR="000F5207" w:rsidRPr="009E35ED" w:rsidRDefault="000F5207" w:rsidP="00B90388">
            <w:pPr>
              <w:keepNext/>
              <w:keepLines/>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161" w:type="dxa"/>
            <w:shd w:val="clear" w:color="auto" w:fill="auto"/>
            <w:noWrap/>
            <w:vAlign w:val="center"/>
          </w:tcPr>
          <w:p w14:paraId="34ED2118" w14:textId="2BFF3B7B" w:rsidR="000F5207" w:rsidRPr="009E35ED" w:rsidRDefault="000F5207" w:rsidP="00B90388">
            <w:pPr>
              <w:keepNext/>
              <w:keepLines/>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2,064,550</w:t>
            </w:r>
          </w:p>
        </w:tc>
      </w:tr>
      <w:tr w:rsidR="00997F75" w:rsidRPr="009E35ED" w14:paraId="10E039EB" w14:textId="77777777" w:rsidTr="000F5207">
        <w:trPr>
          <w:trHeight w:val="56"/>
        </w:trPr>
        <w:tc>
          <w:tcPr>
            <w:tcW w:w="3942" w:type="dxa"/>
            <w:gridSpan w:val="4"/>
            <w:shd w:val="clear" w:color="auto" w:fill="auto"/>
            <w:noWrap/>
            <w:vAlign w:val="center"/>
            <w:hideMark/>
          </w:tcPr>
          <w:p w14:paraId="1D01503D" w14:textId="1083169B" w:rsidR="000F5207" w:rsidRPr="009E35ED" w:rsidRDefault="000F5207" w:rsidP="00B90388">
            <w:pPr>
              <w:keepNext/>
              <w:keepLines/>
              <w:ind w:left="0"/>
              <w:jc w:val="lef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 xml:space="preserve">Financial </w:t>
            </w:r>
            <w:r w:rsidR="00862892">
              <w:rPr>
                <w:rFonts w:ascii="Arial Narrow" w:hAnsi="Arial Narrow"/>
                <w:color w:val="000000" w:themeColor="text1"/>
                <w:sz w:val="16"/>
                <w:szCs w:val="16"/>
                <w:lang w:val="en-PH" w:eastAsia="en-PH"/>
              </w:rPr>
              <w:t>a</w:t>
            </w:r>
            <w:r w:rsidRPr="009E35ED">
              <w:rPr>
                <w:rFonts w:ascii="Arial Narrow" w:hAnsi="Arial Narrow"/>
                <w:color w:val="000000" w:themeColor="text1"/>
                <w:sz w:val="16"/>
                <w:szCs w:val="16"/>
                <w:lang w:val="en-PH" w:eastAsia="en-PH"/>
              </w:rPr>
              <w:t xml:space="preserve">ssistance for </w:t>
            </w:r>
            <w:r w:rsidR="00862892">
              <w:rPr>
                <w:rFonts w:ascii="Arial Narrow" w:hAnsi="Arial Narrow"/>
                <w:color w:val="000000" w:themeColor="text1"/>
                <w:sz w:val="16"/>
                <w:szCs w:val="16"/>
                <w:lang w:val="en-PH" w:eastAsia="en-PH"/>
              </w:rPr>
              <w:t>m</w:t>
            </w:r>
            <w:r w:rsidRPr="009E35ED">
              <w:rPr>
                <w:rFonts w:ascii="Arial Narrow" w:hAnsi="Arial Narrow"/>
                <w:color w:val="000000" w:themeColor="text1"/>
                <w:sz w:val="16"/>
                <w:szCs w:val="16"/>
                <w:lang w:val="en-PH" w:eastAsia="en-PH"/>
              </w:rPr>
              <w:t>edicine</w:t>
            </w:r>
          </w:p>
        </w:tc>
        <w:tc>
          <w:tcPr>
            <w:tcW w:w="1161" w:type="dxa"/>
            <w:shd w:val="clear" w:color="auto" w:fill="auto"/>
            <w:noWrap/>
            <w:vAlign w:val="center"/>
          </w:tcPr>
          <w:p w14:paraId="566FFE30" w14:textId="656C1D90" w:rsidR="000F5207" w:rsidRPr="009E35ED" w:rsidRDefault="000F5207" w:rsidP="00B90388">
            <w:pPr>
              <w:keepNext/>
              <w:keepLines/>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136" w:type="dxa"/>
            <w:shd w:val="clear" w:color="auto" w:fill="auto"/>
            <w:noWrap/>
            <w:vAlign w:val="center"/>
          </w:tcPr>
          <w:p w14:paraId="217762F6" w14:textId="2D192397" w:rsidR="000F5207" w:rsidRPr="009E35ED" w:rsidRDefault="000F5207" w:rsidP="00B90388">
            <w:pPr>
              <w:keepNext/>
              <w:keepLines/>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8,142,103</w:t>
            </w:r>
          </w:p>
        </w:tc>
        <w:tc>
          <w:tcPr>
            <w:tcW w:w="1129" w:type="dxa"/>
            <w:shd w:val="clear" w:color="auto" w:fill="auto"/>
            <w:noWrap/>
            <w:vAlign w:val="bottom"/>
          </w:tcPr>
          <w:p w14:paraId="7C1C43F1" w14:textId="76EEF34B" w:rsidR="000F5207" w:rsidRPr="009E35ED" w:rsidRDefault="000F5207" w:rsidP="00B90388">
            <w:pPr>
              <w:keepNext/>
              <w:keepLines/>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161" w:type="dxa"/>
            <w:shd w:val="clear" w:color="auto" w:fill="auto"/>
            <w:noWrap/>
            <w:vAlign w:val="center"/>
          </w:tcPr>
          <w:p w14:paraId="636766D1" w14:textId="163702FB" w:rsidR="000F5207" w:rsidRPr="009E35ED" w:rsidRDefault="000F5207" w:rsidP="00B90388">
            <w:pPr>
              <w:keepNext/>
              <w:keepLines/>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8,142,103</w:t>
            </w:r>
          </w:p>
        </w:tc>
      </w:tr>
      <w:tr w:rsidR="00997F75" w:rsidRPr="009E35ED" w14:paraId="29A56CB2" w14:textId="77777777" w:rsidTr="000F5207">
        <w:trPr>
          <w:trHeight w:val="82"/>
        </w:trPr>
        <w:tc>
          <w:tcPr>
            <w:tcW w:w="3942" w:type="dxa"/>
            <w:gridSpan w:val="4"/>
            <w:shd w:val="clear" w:color="auto" w:fill="auto"/>
            <w:noWrap/>
            <w:hideMark/>
          </w:tcPr>
          <w:p w14:paraId="051AA59F" w14:textId="5ED61EBB" w:rsidR="000F5207" w:rsidRPr="009E35ED" w:rsidRDefault="000F5207" w:rsidP="00B90388">
            <w:pPr>
              <w:keepNext/>
              <w:keepLines/>
              <w:ind w:left="0"/>
              <w:jc w:val="lef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 xml:space="preserve">Medical, </w:t>
            </w:r>
            <w:r w:rsidR="00862892">
              <w:rPr>
                <w:rFonts w:ascii="Arial Narrow" w:hAnsi="Arial Narrow"/>
                <w:color w:val="000000" w:themeColor="text1"/>
                <w:sz w:val="16"/>
                <w:szCs w:val="16"/>
                <w:lang w:val="en-PH" w:eastAsia="en-PH"/>
              </w:rPr>
              <w:t>d</w:t>
            </w:r>
            <w:r w:rsidRPr="009E35ED">
              <w:rPr>
                <w:rFonts w:ascii="Arial Narrow" w:hAnsi="Arial Narrow"/>
                <w:color w:val="000000" w:themeColor="text1"/>
                <w:sz w:val="16"/>
                <w:szCs w:val="16"/>
                <w:lang w:val="en-PH" w:eastAsia="en-PH"/>
              </w:rPr>
              <w:t xml:space="preserve">ental and </w:t>
            </w:r>
            <w:r w:rsidR="00862892">
              <w:rPr>
                <w:rFonts w:ascii="Arial Narrow" w:hAnsi="Arial Narrow"/>
                <w:color w:val="000000" w:themeColor="text1"/>
                <w:sz w:val="16"/>
                <w:szCs w:val="16"/>
                <w:lang w:val="en-PH" w:eastAsia="en-PH"/>
              </w:rPr>
              <w:t>l</w:t>
            </w:r>
            <w:r w:rsidRPr="009E35ED">
              <w:rPr>
                <w:rFonts w:ascii="Arial Narrow" w:hAnsi="Arial Narrow"/>
                <w:color w:val="000000" w:themeColor="text1"/>
                <w:sz w:val="16"/>
                <w:szCs w:val="16"/>
                <w:lang w:val="en-PH" w:eastAsia="en-PH"/>
              </w:rPr>
              <w:t xml:space="preserve">aboratory </w:t>
            </w:r>
            <w:r w:rsidR="00862892">
              <w:rPr>
                <w:rFonts w:ascii="Arial Narrow" w:hAnsi="Arial Narrow"/>
                <w:color w:val="000000" w:themeColor="text1"/>
                <w:sz w:val="16"/>
                <w:szCs w:val="16"/>
                <w:lang w:val="en-PH" w:eastAsia="en-PH"/>
              </w:rPr>
              <w:t>s</w:t>
            </w:r>
            <w:r w:rsidRPr="009E35ED">
              <w:rPr>
                <w:rFonts w:ascii="Arial Narrow" w:hAnsi="Arial Narrow"/>
                <w:color w:val="000000" w:themeColor="text1"/>
                <w:sz w:val="16"/>
                <w:szCs w:val="16"/>
                <w:lang w:val="en-PH" w:eastAsia="en-PH"/>
              </w:rPr>
              <w:t xml:space="preserve">upplies </w:t>
            </w:r>
            <w:r w:rsidR="00862892">
              <w:rPr>
                <w:rFonts w:ascii="Arial Narrow" w:hAnsi="Arial Narrow"/>
                <w:color w:val="000000" w:themeColor="text1"/>
                <w:sz w:val="16"/>
                <w:szCs w:val="16"/>
                <w:lang w:val="en-PH" w:eastAsia="en-PH"/>
              </w:rPr>
              <w:t>e</w:t>
            </w:r>
            <w:r w:rsidRPr="009E35ED">
              <w:rPr>
                <w:rFonts w:ascii="Arial Narrow" w:hAnsi="Arial Narrow"/>
                <w:color w:val="000000" w:themeColor="text1"/>
                <w:sz w:val="16"/>
                <w:szCs w:val="16"/>
                <w:lang w:val="en-PH" w:eastAsia="en-PH"/>
              </w:rPr>
              <w:t>xpenses</w:t>
            </w:r>
          </w:p>
        </w:tc>
        <w:tc>
          <w:tcPr>
            <w:tcW w:w="1161" w:type="dxa"/>
            <w:shd w:val="clear" w:color="auto" w:fill="auto"/>
            <w:noWrap/>
            <w:vAlign w:val="center"/>
          </w:tcPr>
          <w:p w14:paraId="6A506F8B" w14:textId="77FEFEC9" w:rsidR="000F5207" w:rsidRPr="009E35ED" w:rsidRDefault="000F5207" w:rsidP="00B90388">
            <w:pPr>
              <w:keepNext/>
              <w:keepLines/>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136" w:type="dxa"/>
            <w:shd w:val="clear" w:color="auto" w:fill="auto"/>
            <w:noWrap/>
            <w:vAlign w:val="center"/>
          </w:tcPr>
          <w:p w14:paraId="2AD41CD6" w14:textId="046ABE31" w:rsidR="000F5207" w:rsidRPr="009E35ED" w:rsidRDefault="000F5207" w:rsidP="00B90388">
            <w:pPr>
              <w:keepNext/>
              <w:keepLines/>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195,376</w:t>
            </w:r>
          </w:p>
        </w:tc>
        <w:tc>
          <w:tcPr>
            <w:tcW w:w="1129" w:type="dxa"/>
            <w:shd w:val="clear" w:color="auto" w:fill="auto"/>
            <w:noWrap/>
            <w:vAlign w:val="bottom"/>
          </w:tcPr>
          <w:p w14:paraId="26630274" w14:textId="47F87D54" w:rsidR="000F5207" w:rsidRPr="009E35ED" w:rsidRDefault="000F5207" w:rsidP="00B90388">
            <w:pPr>
              <w:keepNext/>
              <w:keepLines/>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161" w:type="dxa"/>
            <w:shd w:val="clear" w:color="auto" w:fill="auto"/>
            <w:noWrap/>
            <w:vAlign w:val="center"/>
          </w:tcPr>
          <w:p w14:paraId="3F61E545" w14:textId="7F84CC3C" w:rsidR="000F5207" w:rsidRPr="009E35ED" w:rsidRDefault="000F5207" w:rsidP="00B90388">
            <w:pPr>
              <w:keepNext/>
              <w:keepLines/>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195,376</w:t>
            </w:r>
          </w:p>
        </w:tc>
      </w:tr>
      <w:tr w:rsidR="00997F75" w:rsidRPr="009E35ED" w14:paraId="15BA2E26" w14:textId="77777777" w:rsidTr="000F5207">
        <w:trPr>
          <w:trHeight w:val="56"/>
        </w:trPr>
        <w:tc>
          <w:tcPr>
            <w:tcW w:w="3942" w:type="dxa"/>
            <w:gridSpan w:val="4"/>
            <w:shd w:val="clear" w:color="auto" w:fill="auto"/>
            <w:noWrap/>
            <w:hideMark/>
          </w:tcPr>
          <w:p w14:paraId="4A47C054" w14:textId="6E954DC6" w:rsidR="000F5207" w:rsidRPr="009E35ED" w:rsidRDefault="000F5207" w:rsidP="000F5207">
            <w:pPr>
              <w:ind w:left="0"/>
              <w:jc w:val="lef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 xml:space="preserve">Fuel, </w:t>
            </w:r>
            <w:r w:rsidR="00862892">
              <w:rPr>
                <w:rFonts w:ascii="Arial Narrow" w:hAnsi="Arial Narrow"/>
                <w:color w:val="000000" w:themeColor="text1"/>
                <w:sz w:val="16"/>
                <w:szCs w:val="16"/>
                <w:lang w:val="en-PH" w:eastAsia="en-PH"/>
              </w:rPr>
              <w:t>o</w:t>
            </w:r>
            <w:r w:rsidRPr="009E35ED">
              <w:rPr>
                <w:rFonts w:ascii="Arial Narrow" w:hAnsi="Arial Narrow"/>
                <w:color w:val="000000" w:themeColor="text1"/>
                <w:sz w:val="16"/>
                <w:szCs w:val="16"/>
                <w:lang w:val="en-PH" w:eastAsia="en-PH"/>
              </w:rPr>
              <w:t xml:space="preserve">il and </w:t>
            </w:r>
            <w:r w:rsidR="00862892">
              <w:rPr>
                <w:rFonts w:ascii="Arial Narrow" w:hAnsi="Arial Narrow"/>
                <w:color w:val="000000" w:themeColor="text1"/>
                <w:sz w:val="16"/>
                <w:szCs w:val="16"/>
                <w:lang w:val="en-PH" w:eastAsia="en-PH"/>
              </w:rPr>
              <w:t>l</w:t>
            </w:r>
            <w:r w:rsidRPr="009E35ED">
              <w:rPr>
                <w:rFonts w:ascii="Arial Narrow" w:hAnsi="Arial Narrow"/>
                <w:color w:val="000000" w:themeColor="text1"/>
                <w:sz w:val="16"/>
                <w:szCs w:val="16"/>
                <w:lang w:val="en-PH" w:eastAsia="en-PH"/>
              </w:rPr>
              <w:t xml:space="preserve">ubricants </w:t>
            </w:r>
            <w:r w:rsidR="00862892">
              <w:rPr>
                <w:rFonts w:ascii="Arial Narrow" w:hAnsi="Arial Narrow"/>
                <w:color w:val="000000" w:themeColor="text1"/>
                <w:sz w:val="16"/>
                <w:szCs w:val="16"/>
                <w:lang w:val="en-PH" w:eastAsia="en-PH"/>
              </w:rPr>
              <w:t>e</w:t>
            </w:r>
            <w:r w:rsidRPr="009E35ED">
              <w:rPr>
                <w:rFonts w:ascii="Arial Narrow" w:hAnsi="Arial Narrow"/>
                <w:color w:val="000000" w:themeColor="text1"/>
                <w:sz w:val="16"/>
                <w:szCs w:val="16"/>
                <w:lang w:val="en-PH" w:eastAsia="en-PH"/>
              </w:rPr>
              <w:t>xpenses</w:t>
            </w:r>
          </w:p>
        </w:tc>
        <w:tc>
          <w:tcPr>
            <w:tcW w:w="1161" w:type="dxa"/>
            <w:shd w:val="clear" w:color="auto" w:fill="auto"/>
            <w:noWrap/>
            <w:vAlign w:val="center"/>
          </w:tcPr>
          <w:p w14:paraId="3DAA4449" w14:textId="741838E3" w:rsidR="000F5207" w:rsidRPr="009E35ED" w:rsidRDefault="000F5207" w:rsidP="000F5207">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10,176,56</w:t>
            </w:r>
            <w:r w:rsidR="0014356C" w:rsidRPr="009E35ED">
              <w:rPr>
                <w:rFonts w:ascii="Arial Narrow" w:hAnsi="Arial Narrow"/>
                <w:color w:val="000000" w:themeColor="text1"/>
                <w:sz w:val="16"/>
                <w:szCs w:val="16"/>
                <w:lang w:val="en-PH" w:eastAsia="en-PH"/>
              </w:rPr>
              <w:t>7</w:t>
            </w:r>
          </w:p>
        </w:tc>
        <w:tc>
          <w:tcPr>
            <w:tcW w:w="1136" w:type="dxa"/>
            <w:shd w:val="clear" w:color="auto" w:fill="auto"/>
            <w:noWrap/>
            <w:vAlign w:val="bottom"/>
          </w:tcPr>
          <w:p w14:paraId="480A8254" w14:textId="50367F64" w:rsidR="000F5207" w:rsidRPr="009E35ED" w:rsidRDefault="000F5207" w:rsidP="000F5207">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129" w:type="dxa"/>
            <w:shd w:val="clear" w:color="auto" w:fill="auto"/>
            <w:noWrap/>
            <w:vAlign w:val="bottom"/>
          </w:tcPr>
          <w:p w14:paraId="5636BA3D" w14:textId="39A6B4D5" w:rsidR="000F5207" w:rsidRPr="009E35ED" w:rsidRDefault="000F5207" w:rsidP="000F5207">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161" w:type="dxa"/>
            <w:shd w:val="clear" w:color="auto" w:fill="auto"/>
            <w:noWrap/>
            <w:vAlign w:val="center"/>
          </w:tcPr>
          <w:p w14:paraId="0C939B51" w14:textId="3A7FDAA3" w:rsidR="000F5207" w:rsidRPr="009E35ED" w:rsidRDefault="000F5207" w:rsidP="0014356C">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10,176,56</w:t>
            </w:r>
            <w:r w:rsidR="0014356C" w:rsidRPr="009E35ED">
              <w:rPr>
                <w:rFonts w:ascii="Arial Narrow" w:hAnsi="Arial Narrow"/>
                <w:color w:val="000000" w:themeColor="text1"/>
                <w:sz w:val="16"/>
                <w:szCs w:val="16"/>
                <w:lang w:val="en-PH" w:eastAsia="en-PH"/>
              </w:rPr>
              <w:t>7</w:t>
            </w:r>
          </w:p>
        </w:tc>
      </w:tr>
      <w:tr w:rsidR="00997F75" w:rsidRPr="009E35ED" w14:paraId="0E46D0BB" w14:textId="77777777" w:rsidTr="000F5207">
        <w:trPr>
          <w:trHeight w:val="56"/>
        </w:trPr>
        <w:tc>
          <w:tcPr>
            <w:tcW w:w="3942" w:type="dxa"/>
            <w:gridSpan w:val="4"/>
            <w:shd w:val="clear" w:color="auto" w:fill="auto"/>
            <w:noWrap/>
            <w:hideMark/>
          </w:tcPr>
          <w:p w14:paraId="2289125E" w14:textId="7CF4E5B2" w:rsidR="000F5207" w:rsidRPr="009E35ED" w:rsidRDefault="000F5207" w:rsidP="000F5207">
            <w:pPr>
              <w:ind w:left="0"/>
              <w:jc w:val="lef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 xml:space="preserve">Military </w:t>
            </w:r>
            <w:r w:rsidR="00862892">
              <w:rPr>
                <w:rFonts w:ascii="Arial Narrow" w:hAnsi="Arial Narrow"/>
                <w:color w:val="000000" w:themeColor="text1"/>
                <w:sz w:val="16"/>
                <w:szCs w:val="16"/>
                <w:lang w:val="en-PH" w:eastAsia="en-PH"/>
              </w:rPr>
              <w:t>and</w:t>
            </w:r>
            <w:r w:rsidRPr="009E35ED">
              <w:rPr>
                <w:rFonts w:ascii="Arial Narrow" w:hAnsi="Arial Narrow"/>
                <w:color w:val="000000" w:themeColor="text1"/>
                <w:sz w:val="16"/>
                <w:szCs w:val="16"/>
                <w:lang w:val="en-PH" w:eastAsia="en-PH"/>
              </w:rPr>
              <w:t xml:space="preserve"> </w:t>
            </w:r>
            <w:r w:rsidR="00862892">
              <w:rPr>
                <w:rFonts w:ascii="Arial Narrow" w:hAnsi="Arial Narrow"/>
                <w:color w:val="000000" w:themeColor="text1"/>
                <w:sz w:val="16"/>
                <w:szCs w:val="16"/>
                <w:lang w:val="en-PH" w:eastAsia="en-PH"/>
              </w:rPr>
              <w:t>p</w:t>
            </w:r>
            <w:r w:rsidRPr="009E35ED">
              <w:rPr>
                <w:rFonts w:ascii="Arial Narrow" w:hAnsi="Arial Narrow"/>
                <w:color w:val="000000" w:themeColor="text1"/>
                <w:sz w:val="16"/>
                <w:szCs w:val="16"/>
                <w:lang w:val="en-PH" w:eastAsia="en-PH"/>
              </w:rPr>
              <w:t xml:space="preserve">olice </w:t>
            </w:r>
            <w:r w:rsidR="00862892">
              <w:rPr>
                <w:rFonts w:ascii="Arial Narrow" w:hAnsi="Arial Narrow"/>
                <w:color w:val="000000" w:themeColor="text1"/>
                <w:sz w:val="16"/>
                <w:szCs w:val="16"/>
                <w:lang w:val="en-PH" w:eastAsia="en-PH"/>
              </w:rPr>
              <w:t>s</w:t>
            </w:r>
            <w:r w:rsidRPr="009E35ED">
              <w:rPr>
                <w:rFonts w:ascii="Arial Narrow" w:hAnsi="Arial Narrow"/>
                <w:color w:val="000000" w:themeColor="text1"/>
                <w:sz w:val="16"/>
                <w:szCs w:val="16"/>
                <w:lang w:val="en-PH" w:eastAsia="en-PH"/>
              </w:rPr>
              <w:t xml:space="preserve">upplies </w:t>
            </w:r>
            <w:r w:rsidR="00862892">
              <w:rPr>
                <w:rFonts w:ascii="Arial Narrow" w:hAnsi="Arial Narrow"/>
                <w:color w:val="000000" w:themeColor="text1"/>
                <w:sz w:val="16"/>
                <w:szCs w:val="16"/>
                <w:lang w:val="en-PH" w:eastAsia="en-PH"/>
              </w:rPr>
              <w:t>e</w:t>
            </w:r>
            <w:r w:rsidRPr="009E35ED">
              <w:rPr>
                <w:rFonts w:ascii="Arial Narrow" w:hAnsi="Arial Narrow"/>
                <w:color w:val="000000" w:themeColor="text1"/>
                <w:sz w:val="16"/>
                <w:szCs w:val="16"/>
                <w:lang w:val="en-PH" w:eastAsia="en-PH"/>
              </w:rPr>
              <w:t>xpenses</w:t>
            </w:r>
          </w:p>
        </w:tc>
        <w:tc>
          <w:tcPr>
            <w:tcW w:w="1161" w:type="dxa"/>
            <w:shd w:val="clear" w:color="auto" w:fill="auto"/>
            <w:noWrap/>
            <w:vAlign w:val="center"/>
          </w:tcPr>
          <w:p w14:paraId="7F925A37" w14:textId="6782A763" w:rsidR="000F5207" w:rsidRPr="009E35ED" w:rsidRDefault="000F5207" w:rsidP="000F5207">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136" w:type="dxa"/>
            <w:shd w:val="clear" w:color="auto" w:fill="auto"/>
            <w:noWrap/>
            <w:vAlign w:val="bottom"/>
          </w:tcPr>
          <w:p w14:paraId="2C9BE76B" w14:textId="55C21065" w:rsidR="000F5207" w:rsidRPr="009E35ED" w:rsidRDefault="000F5207" w:rsidP="000F5207">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129" w:type="dxa"/>
            <w:shd w:val="clear" w:color="auto" w:fill="auto"/>
            <w:noWrap/>
            <w:vAlign w:val="bottom"/>
          </w:tcPr>
          <w:p w14:paraId="7409BC06" w14:textId="4B741A02" w:rsidR="000F5207" w:rsidRPr="009E35ED" w:rsidRDefault="000F5207" w:rsidP="000F5207">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161" w:type="dxa"/>
            <w:shd w:val="clear" w:color="auto" w:fill="auto"/>
            <w:noWrap/>
            <w:vAlign w:val="center"/>
          </w:tcPr>
          <w:p w14:paraId="347F2F50" w14:textId="452C0B74" w:rsidR="000F5207" w:rsidRPr="009E35ED" w:rsidRDefault="000F5207" w:rsidP="000F5207">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r>
      <w:tr w:rsidR="00997F75" w:rsidRPr="009E35ED" w14:paraId="3C925C0F" w14:textId="77777777" w:rsidTr="000F5207">
        <w:trPr>
          <w:trHeight w:val="56"/>
        </w:trPr>
        <w:tc>
          <w:tcPr>
            <w:tcW w:w="3942" w:type="dxa"/>
            <w:gridSpan w:val="4"/>
            <w:shd w:val="clear" w:color="auto" w:fill="auto"/>
            <w:noWrap/>
            <w:hideMark/>
          </w:tcPr>
          <w:p w14:paraId="4DC2400B" w14:textId="174DC164" w:rsidR="000F5207" w:rsidRPr="009E35ED" w:rsidRDefault="000F5207" w:rsidP="000F5207">
            <w:pPr>
              <w:ind w:left="0"/>
              <w:jc w:val="lef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 xml:space="preserve">Play/Bet </w:t>
            </w:r>
            <w:r w:rsidR="00862892">
              <w:rPr>
                <w:rFonts w:ascii="Arial Narrow" w:hAnsi="Arial Narrow"/>
                <w:color w:val="000000" w:themeColor="text1"/>
                <w:sz w:val="16"/>
                <w:szCs w:val="16"/>
                <w:lang w:val="en-PH" w:eastAsia="en-PH"/>
              </w:rPr>
              <w:t>s</w:t>
            </w:r>
            <w:r w:rsidRPr="009E35ED">
              <w:rPr>
                <w:rFonts w:ascii="Arial Narrow" w:hAnsi="Arial Narrow"/>
                <w:color w:val="000000" w:themeColor="text1"/>
                <w:sz w:val="16"/>
                <w:szCs w:val="16"/>
                <w:lang w:val="en-PH" w:eastAsia="en-PH"/>
              </w:rPr>
              <w:t xml:space="preserve">lips and </w:t>
            </w:r>
            <w:r w:rsidR="00862892">
              <w:rPr>
                <w:rFonts w:ascii="Arial Narrow" w:hAnsi="Arial Narrow"/>
                <w:color w:val="000000" w:themeColor="text1"/>
                <w:sz w:val="16"/>
                <w:szCs w:val="16"/>
                <w:lang w:val="en-PH" w:eastAsia="en-PH"/>
              </w:rPr>
              <w:t>ther</w:t>
            </w:r>
            <w:r w:rsidRPr="009E35ED">
              <w:rPr>
                <w:rFonts w:ascii="Arial Narrow" w:hAnsi="Arial Narrow"/>
                <w:color w:val="000000" w:themeColor="text1"/>
                <w:sz w:val="16"/>
                <w:szCs w:val="16"/>
                <w:lang w:val="en-PH" w:eastAsia="en-PH"/>
              </w:rPr>
              <w:t xml:space="preserve">mal </w:t>
            </w:r>
            <w:r w:rsidR="00862892">
              <w:rPr>
                <w:rFonts w:ascii="Arial Narrow" w:hAnsi="Arial Narrow"/>
                <w:color w:val="000000" w:themeColor="text1"/>
                <w:sz w:val="16"/>
                <w:szCs w:val="16"/>
                <w:lang w:val="en-PH" w:eastAsia="en-PH"/>
              </w:rPr>
              <w:t>r</w:t>
            </w:r>
            <w:r w:rsidRPr="009E35ED">
              <w:rPr>
                <w:rFonts w:ascii="Arial Narrow" w:hAnsi="Arial Narrow"/>
                <w:color w:val="000000" w:themeColor="text1"/>
                <w:sz w:val="16"/>
                <w:szCs w:val="16"/>
                <w:lang w:val="en-PH" w:eastAsia="en-PH"/>
              </w:rPr>
              <w:t xml:space="preserve">olls </w:t>
            </w:r>
            <w:r w:rsidR="00862892">
              <w:rPr>
                <w:rFonts w:ascii="Arial Narrow" w:hAnsi="Arial Narrow"/>
                <w:color w:val="000000" w:themeColor="text1"/>
                <w:sz w:val="16"/>
                <w:szCs w:val="16"/>
                <w:lang w:val="en-PH" w:eastAsia="en-PH"/>
              </w:rPr>
              <w:t>s</w:t>
            </w:r>
            <w:r w:rsidRPr="009E35ED">
              <w:rPr>
                <w:rFonts w:ascii="Arial Narrow" w:hAnsi="Arial Narrow"/>
                <w:color w:val="000000" w:themeColor="text1"/>
                <w:sz w:val="16"/>
                <w:szCs w:val="16"/>
                <w:lang w:val="en-PH" w:eastAsia="en-PH"/>
              </w:rPr>
              <w:t xml:space="preserve">upplies </w:t>
            </w:r>
            <w:r w:rsidR="00862892">
              <w:rPr>
                <w:rFonts w:ascii="Arial Narrow" w:hAnsi="Arial Narrow"/>
                <w:color w:val="000000" w:themeColor="text1"/>
                <w:sz w:val="16"/>
                <w:szCs w:val="16"/>
                <w:lang w:val="en-PH" w:eastAsia="en-PH"/>
              </w:rPr>
              <w:t>e</w:t>
            </w:r>
            <w:r w:rsidRPr="009E35ED">
              <w:rPr>
                <w:rFonts w:ascii="Arial Narrow" w:hAnsi="Arial Narrow"/>
                <w:color w:val="000000" w:themeColor="text1"/>
                <w:sz w:val="16"/>
                <w:szCs w:val="16"/>
                <w:lang w:val="en-PH" w:eastAsia="en-PH"/>
              </w:rPr>
              <w:t>xpenses</w:t>
            </w:r>
          </w:p>
        </w:tc>
        <w:tc>
          <w:tcPr>
            <w:tcW w:w="1161" w:type="dxa"/>
            <w:shd w:val="clear" w:color="auto" w:fill="auto"/>
            <w:noWrap/>
            <w:vAlign w:val="center"/>
          </w:tcPr>
          <w:p w14:paraId="301FC2FC" w14:textId="33DE9F05" w:rsidR="000F5207" w:rsidRPr="009E35ED" w:rsidRDefault="000F5207" w:rsidP="000F5207">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313,308,668</w:t>
            </w:r>
          </w:p>
        </w:tc>
        <w:tc>
          <w:tcPr>
            <w:tcW w:w="1136" w:type="dxa"/>
            <w:shd w:val="clear" w:color="auto" w:fill="auto"/>
            <w:noWrap/>
            <w:vAlign w:val="bottom"/>
          </w:tcPr>
          <w:p w14:paraId="4D8800FB" w14:textId="10FBD035" w:rsidR="000F5207" w:rsidRPr="009E35ED" w:rsidRDefault="000F5207" w:rsidP="000F5207">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129" w:type="dxa"/>
            <w:shd w:val="clear" w:color="auto" w:fill="auto"/>
            <w:noWrap/>
            <w:vAlign w:val="bottom"/>
          </w:tcPr>
          <w:p w14:paraId="759A894D" w14:textId="40169545" w:rsidR="000F5207" w:rsidRPr="009E35ED" w:rsidRDefault="000F5207" w:rsidP="000F5207">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161" w:type="dxa"/>
            <w:shd w:val="clear" w:color="auto" w:fill="auto"/>
            <w:noWrap/>
            <w:vAlign w:val="center"/>
          </w:tcPr>
          <w:p w14:paraId="4492534C" w14:textId="45C04552" w:rsidR="000F5207" w:rsidRPr="009E35ED" w:rsidRDefault="000F5207" w:rsidP="000F5207">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313,308,668</w:t>
            </w:r>
          </w:p>
        </w:tc>
      </w:tr>
      <w:tr w:rsidR="00997F75" w:rsidRPr="009E35ED" w14:paraId="0267362E" w14:textId="77777777" w:rsidTr="000F5207">
        <w:trPr>
          <w:trHeight w:val="56"/>
        </w:trPr>
        <w:tc>
          <w:tcPr>
            <w:tcW w:w="3942" w:type="dxa"/>
            <w:gridSpan w:val="4"/>
            <w:shd w:val="clear" w:color="auto" w:fill="auto"/>
            <w:noWrap/>
            <w:hideMark/>
          </w:tcPr>
          <w:p w14:paraId="55E26FEF" w14:textId="4342E04E" w:rsidR="000F5207" w:rsidRPr="009E35ED" w:rsidRDefault="000F5207">
            <w:pPr>
              <w:ind w:left="0"/>
              <w:jc w:val="lef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 xml:space="preserve">Electrical </w:t>
            </w:r>
            <w:r w:rsidR="00862892">
              <w:rPr>
                <w:rFonts w:ascii="Arial Narrow" w:hAnsi="Arial Narrow"/>
                <w:color w:val="000000" w:themeColor="text1"/>
                <w:sz w:val="16"/>
                <w:szCs w:val="16"/>
                <w:lang w:val="en-PH" w:eastAsia="en-PH"/>
              </w:rPr>
              <w:t>s</w:t>
            </w:r>
            <w:r w:rsidRPr="009E35ED">
              <w:rPr>
                <w:rFonts w:ascii="Arial Narrow" w:hAnsi="Arial Narrow"/>
                <w:color w:val="000000" w:themeColor="text1"/>
                <w:sz w:val="16"/>
                <w:szCs w:val="16"/>
                <w:lang w:val="en-PH" w:eastAsia="en-PH"/>
              </w:rPr>
              <w:t xml:space="preserve">upplies and </w:t>
            </w:r>
            <w:r w:rsidR="00862892">
              <w:rPr>
                <w:rFonts w:ascii="Arial Narrow" w:hAnsi="Arial Narrow"/>
                <w:color w:val="000000" w:themeColor="text1"/>
                <w:sz w:val="16"/>
                <w:szCs w:val="16"/>
                <w:lang w:val="en-PH" w:eastAsia="en-PH"/>
              </w:rPr>
              <w:t>m</w:t>
            </w:r>
            <w:r w:rsidRPr="009E35ED">
              <w:rPr>
                <w:rFonts w:ascii="Arial Narrow" w:hAnsi="Arial Narrow"/>
                <w:color w:val="000000" w:themeColor="text1"/>
                <w:sz w:val="16"/>
                <w:szCs w:val="16"/>
                <w:lang w:val="en-PH" w:eastAsia="en-PH"/>
              </w:rPr>
              <w:t xml:space="preserve">aterials </w:t>
            </w:r>
            <w:r w:rsidR="00862892">
              <w:rPr>
                <w:rFonts w:ascii="Arial Narrow" w:hAnsi="Arial Narrow"/>
                <w:color w:val="000000" w:themeColor="text1"/>
                <w:sz w:val="16"/>
                <w:szCs w:val="16"/>
                <w:lang w:val="en-PH" w:eastAsia="en-PH"/>
              </w:rPr>
              <w:t>e</w:t>
            </w:r>
            <w:r w:rsidRPr="009E35ED">
              <w:rPr>
                <w:rFonts w:ascii="Arial Narrow" w:hAnsi="Arial Narrow"/>
                <w:color w:val="000000" w:themeColor="text1"/>
                <w:sz w:val="16"/>
                <w:szCs w:val="16"/>
                <w:lang w:val="en-PH" w:eastAsia="en-PH"/>
              </w:rPr>
              <w:t>xpenses</w:t>
            </w:r>
          </w:p>
        </w:tc>
        <w:tc>
          <w:tcPr>
            <w:tcW w:w="1161" w:type="dxa"/>
            <w:shd w:val="clear" w:color="auto" w:fill="auto"/>
            <w:noWrap/>
            <w:vAlign w:val="center"/>
          </w:tcPr>
          <w:p w14:paraId="6AECFE69" w14:textId="18B714CB" w:rsidR="000F5207" w:rsidRPr="009E35ED" w:rsidRDefault="000F5207" w:rsidP="000F5207">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206,103</w:t>
            </w:r>
          </w:p>
        </w:tc>
        <w:tc>
          <w:tcPr>
            <w:tcW w:w="1136" w:type="dxa"/>
            <w:shd w:val="clear" w:color="auto" w:fill="auto"/>
            <w:noWrap/>
            <w:vAlign w:val="bottom"/>
          </w:tcPr>
          <w:p w14:paraId="20E8F323" w14:textId="276F28BE" w:rsidR="000F5207" w:rsidRPr="009E35ED" w:rsidRDefault="000F5207" w:rsidP="000F5207">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129" w:type="dxa"/>
            <w:shd w:val="clear" w:color="auto" w:fill="auto"/>
            <w:noWrap/>
            <w:vAlign w:val="bottom"/>
          </w:tcPr>
          <w:p w14:paraId="23C45C42" w14:textId="3D694A0A" w:rsidR="000F5207" w:rsidRPr="009E35ED" w:rsidRDefault="000F5207" w:rsidP="000F5207">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161" w:type="dxa"/>
            <w:shd w:val="clear" w:color="auto" w:fill="auto"/>
            <w:noWrap/>
            <w:vAlign w:val="center"/>
          </w:tcPr>
          <w:p w14:paraId="3F1421F3" w14:textId="7C302F01" w:rsidR="000F5207" w:rsidRPr="009E35ED" w:rsidRDefault="000F5207" w:rsidP="000F5207">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206,103</w:t>
            </w:r>
          </w:p>
        </w:tc>
      </w:tr>
      <w:tr w:rsidR="00997F75" w:rsidRPr="009E35ED" w14:paraId="4C155BE0" w14:textId="77777777" w:rsidTr="000F5207">
        <w:trPr>
          <w:trHeight w:val="56"/>
        </w:trPr>
        <w:tc>
          <w:tcPr>
            <w:tcW w:w="3942" w:type="dxa"/>
            <w:gridSpan w:val="4"/>
            <w:shd w:val="clear" w:color="auto" w:fill="auto"/>
            <w:noWrap/>
          </w:tcPr>
          <w:p w14:paraId="4C964074" w14:textId="16224C5B" w:rsidR="000F5207" w:rsidRPr="009E35ED" w:rsidRDefault="000F5207" w:rsidP="000F5207">
            <w:pPr>
              <w:ind w:left="0"/>
              <w:jc w:val="lef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Semi-</w:t>
            </w:r>
            <w:r w:rsidR="00862892">
              <w:rPr>
                <w:rFonts w:ascii="Arial Narrow" w:hAnsi="Arial Narrow"/>
                <w:color w:val="000000" w:themeColor="text1"/>
                <w:sz w:val="16"/>
                <w:szCs w:val="16"/>
                <w:lang w:val="en-PH" w:eastAsia="en-PH"/>
              </w:rPr>
              <w:t>e</w:t>
            </w:r>
            <w:r w:rsidRPr="009E35ED">
              <w:rPr>
                <w:rFonts w:ascii="Arial Narrow" w:hAnsi="Arial Narrow"/>
                <w:color w:val="000000" w:themeColor="text1"/>
                <w:sz w:val="16"/>
                <w:szCs w:val="16"/>
                <w:lang w:val="en-PH" w:eastAsia="en-PH"/>
              </w:rPr>
              <w:t xml:space="preserve">xpendable </w:t>
            </w:r>
            <w:r w:rsidR="00862892">
              <w:rPr>
                <w:rFonts w:ascii="Arial Narrow" w:hAnsi="Arial Narrow"/>
                <w:color w:val="000000" w:themeColor="text1"/>
                <w:sz w:val="16"/>
                <w:szCs w:val="16"/>
                <w:lang w:val="en-PH" w:eastAsia="en-PH"/>
              </w:rPr>
              <w:t>f</w:t>
            </w:r>
            <w:r w:rsidRPr="009E35ED">
              <w:rPr>
                <w:rFonts w:ascii="Arial Narrow" w:hAnsi="Arial Narrow"/>
                <w:color w:val="000000" w:themeColor="text1"/>
                <w:sz w:val="16"/>
                <w:szCs w:val="16"/>
                <w:lang w:val="en-PH" w:eastAsia="en-PH"/>
              </w:rPr>
              <w:t xml:space="preserve">urniture, </w:t>
            </w:r>
            <w:r w:rsidR="00862892">
              <w:rPr>
                <w:rFonts w:ascii="Arial Narrow" w:hAnsi="Arial Narrow"/>
                <w:color w:val="000000" w:themeColor="text1"/>
                <w:sz w:val="16"/>
                <w:szCs w:val="16"/>
                <w:lang w:val="en-PH" w:eastAsia="en-PH"/>
              </w:rPr>
              <w:t>f</w:t>
            </w:r>
            <w:r w:rsidRPr="009E35ED">
              <w:rPr>
                <w:rFonts w:ascii="Arial Narrow" w:hAnsi="Arial Narrow"/>
                <w:color w:val="000000" w:themeColor="text1"/>
                <w:sz w:val="16"/>
                <w:szCs w:val="16"/>
                <w:lang w:val="en-PH" w:eastAsia="en-PH"/>
              </w:rPr>
              <w:t xml:space="preserve">ixtures and </w:t>
            </w:r>
            <w:r w:rsidR="00862892">
              <w:rPr>
                <w:rFonts w:ascii="Arial Narrow" w:hAnsi="Arial Narrow"/>
                <w:color w:val="000000" w:themeColor="text1"/>
                <w:sz w:val="16"/>
                <w:szCs w:val="16"/>
                <w:lang w:val="en-PH" w:eastAsia="en-PH"/>
              </w:rPr>
              <w:t>b</w:t>
            </w:r>
            <w:r w:rsidRPr="009E35ED">
              <w:rPr>
                <w:rFonts w:ascii="Arial Narrow" w:hAnsi="Arial Narrow"/>
                <w:color w:val="000000" w:themeColor="text1"/>
                <w:sz w:val="16"/>
                <w:szCs w:val="16"/>
                <w:lang w:val="en-PH" w:eastAsia="en-PH"/>
              </w:rPr>
              <w:t xml:space="preserve">ooks </w:t>
            </w:r>
            <w:r w:rsidR="00862892">
              <w:rPr>
                <w:rFonts w:ascii="Arial Narrow" w:hAnsi="Arial Narrow"/>
                <w:color w:val="000000" w:themeColor="text1"/>
                <w:sz w:val="16"/>
                <w:szCs w:val="16"/>
                <w:lang w:val="en-PH" w:eastAsia="en-PH"/>
              </w:rPr>
              <w:t>e</w:t>
            </w:r>
            <w:r w:rsidRPr="009E35ED">
              <w:rPr>
                <w:rFonts w:ascii="Arial Narrow" w:hAnsi="Arial Narrow"/>
                <w:color w:val="000000" w:themeColor="text1"/>
                <w:sz w:val="16"/>
                <w:szCs w:val="16"/>
                <w:lang w:val="en-PH" w:eastAsia="en-PH"/>
              </w:rPr>
              <w:t>xpenses</w:t>
            </w:r>
          </w:p>
        </w:tc>
        <w:tc>
          <w:tcPr>
            <w:tcW w:w="1161" w:type="dxa"/>
            <w:shd w:val="clear" w:color="auto" w:fill="auto"/>
            <w:noWrap/>
            <w:vAlign w:val="center"/>
          </w:tcPr>
          <w:p w14:paraId="3B336F65" w14:textId="1799AFF1" w:rsidR="000F5207" w:rsidRPr="009E35ED" w:rsidRDefault="000F5207" w:rsidP="000F5207">
            <w:pPr>
              <w:ind w:left="0"/>
              <w:jc w:val="right"/>
              <w:rPr>
                <w:rFonts w:ascii="Arial Narrow" w:hAnsi="Arial Narrow"/>
                <w:color w:val="000000" w:themeColor="text1"/>
                <w:sz w:val="16"/>
                <w:szCs w:val="16"/>
              </w:rPr>
            </w:pPr>
            <w:r w:rsidRPr="009E35ED">
              <w:rPr>
                <w:rFonts w:ascii="Arial Narrow" w:hAnsi="Arial Narrow"/>
                <w:color w:val="000000" w:themeColor="text1"/>
                <w:sz w:val="16"/>
                <w:szCs w:val="16"/>
              </w:rPr>
              <w:t>4,522,480</w:t>
            </w:r>
          </w:p>
        </w:tc>
        <w:tc>
          <w:tcPr>
            <w:tcW w:w="1136" w:type="dxa"/>
            <w:shd w:val="clear" w:color="auto" w:fill="auto"/>
            <w:noWrap/>
            <w:vAlign w:val="bottom"/>
          </w:tcPr>
          <w:p w14:paraId="3F454A96" w14:textId="6E7AD04C" w:rsidR="000F5207" w:rsidRPr="009E35ED" w:rsidRDefault="000F5207" w:rsidP="000F5207">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129" w:type="dxa"/>
            <w:shd w:val="clear" w:color="auto" w:fill="auto"/>
            <w:noWrap/>
            <w:vAlign w:val="bottom"/>
          </w:tcPr>
          <w:p w14:paraId="604B2E9D" w14:textId="0B4A3089" w:rsidR="000F5207" w:rsidRPr="009E35ED" w:rsidRDefault="000F5207" w:rsidP="000F5207">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161" w:type="dxa"/>
            <w:shd w:val="clear" w:color="auto" w:fill="auto"/>
            <w:noWrap/>
            <w:vAlign w:val="center"/>
          </w:tcPr>
          <w:p w14:paraId="3F4819DF" w14:textId="5F883FDC" w:rsidR="000F5207" w:rsidRPr="009E35ED" w:rsidRDefault="000F5207" w:rsidP="000F5207">
            <w:pPr>
              <w:ind w:left="0"/>
              <w:jc w:val="right"/>
              <w:rPr>
                <w:rFonts w:ascii="Arial Narrow" w:hAnsi="Arial Narrow"/>
                <w:color w:val="000000" w:themeColor="text1"/>
                <w:sz w:val="16"/>
                <w:szCs w:val="16"/>
                <w:lang w:eastAsia="en-PH"/>
              </w:rPr>
            </w:pPr>
            <w:r w:rsidRPr="009E35ED">
              <w:rPr>
                <w:rFonts w:ascii="Arial Narrow" w:hAnsi="Arial Narrow"/>
                <w:color w:val="000000" w:themeColor="text1"/>
                <w:sz w:val="16"/>
                <w:szCs w:val="16"/>
              </w:rPr>
              <w:t>4,522,480</w:t>
            </w:r>
          </w:p>
        </w:tc>
      </w:tr>
      <w:tr w:rsidR="00997F75" w:rsidRPr="009E35ED" w14:paraId="545C32B4" w14:textId="77777777" w:rsidTr="000F5207">
        <w:trPr>
          <w:trHeight w:val="109"/>
        </w:trPr>
        <w:tc>
          <w:tcPr>
            <w:tcW w:w="3942" w:type="dxa"/>
            <w:gridSpan w:val="4"/>
            <w:shd w:val="clear" w:color="auto" w:fill="auto"/>
            <w:noWrap/>
            <w:vAlign w:val="center"/>
            <w:hideMark/>
          </w:tcPr>
          <w:p w14:paraId="6A726E60" w14:textId="3B16BB64" w:rsidR="000F5207" w:rsidRPr="009E35ED" w:rsidRDefault="000F5207" w:rsidP="000F5207">
            <w:pPr>
              <w:ind w:left="0"/>
              <w:jc w:val="lef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Semi-</w:t>
            </w:r>
            <w:r w:rsidR="00862892">
              <w:rPr>
                <w:rFonts w:ascii="Arial Narrow" w:hAnsi="Arial Narrow"/>
                <w:color w:val="000000" w:themeColor="text1"/>
                <w:sz w:val="16"/>
                <w:szCs w:val="16"/>
                <w:lang w:val="en-PH" w:eastAsia="en-PH"/>
              </w:rPr>
              <w:t>e</w:t>
            </w:r>
            <w:r w:rsidRPr="009E35ED">
              <w:rPr>
                <w:rFonts w:ascii="Arial Narrow" w:hAnsi="Arial Narrow"/>
                <w:color w:val="000000" w:themeColor="text1"/>
                <w:sz w:val="16"/>
                <w:szCs w:val="16"/>
                <w:lang w:val="en-PH" w:eastAsia="en-PH"/>
              </w:rPr>
              <w:t xml:space="preserve">xpendable </w:t>
            </w:r>
            <w:r w:rsidR="00862892">
              <w:rPr>
                <w:rFonts w:ascii="Arial Narrow" w:hAnsi="Arial Narrow"/>
                <w:color w:val="000000" w:themeColor="text1"/>
                <w:sz w:val="16"/>
                <w:szCs w:val="16"/>
                <w:lang w:val="en-PH" w:eastAsia="en-PH"/>
              </w:rPr>
              <w:t>m</w:t>
            </w:r>
            <w:r w:rsidRPr="009E35ED">
              <w:rPr>
                <w:rFonts w:ascii="Arial Narrow" w:hAnsi="Arial Narrow"/>
                <w:color w:val="000000" w:themeColor="text1"/>
                <w:sz w:val="16"/>
                <w:szCs w:val="16"/>
                <w:lang w:val="en-PH" w:eastAsia="en-PH"/>
              </w:rPr>
              <w:t xml:space="preserve">achinery and </w:t>
            </w:r>
            <w:r w:rsidR="00862892">
              <w:rPr>
                <w:rFonts w:ascii="Arial Narrow" w:hAnsi="Arial Narrow"/>
                <w:color w:val="000000" w:themeColor="text1"/>
                <w:sz w:val="16"/>
                <w:szCs w:val="16"/>
                <w:lang w:val="en-PH" w:eastAsia="en-PH"/>
              </w:rPr>
              <w:t>e</w:t>
            </w:r>
            <w:r w:rsidRPr="009E35ED">
              <w:rPr>
                <w:rFonts w:ascii="Arial Narrow" w:hAnsi="Arial Narrow"/>
                <w:color w:val="000000" w:themeColor="text1"/>
                <w:sz w:val="16"/>
                <w:szCs w:val="16"/>
                <w:lang w:val="en-PH" w:eastAsia="en-PH"/>
              </w:rPr>
              <w:t xml:space="preserve">quipment </w:t>
            </w:r>
            <w:r w:rsidR="00862892">
              <w:rPr>
                <w:rFonts w:ascii="Arial Narrow" w:hAnsi="Arial Narrow"/>
                <w:color w:val="000000" w:themeColor="text1"/>
                <w:sz w:val="16"/>
                <w:szCs w:val="16"/>
                <w:lang w:val="en-PH" w:eastAsia="en-PH"/>
              </w:rPr>
              <w:t>e</w:t>
            </w:r>
            <w:r w:rsidRPr="009E35ED">
              <w:rPr>
                <w:rFonts w:ascii="Arial Narrow" w:hAnsi="Arial Narrow"/>
                <w:color w:val="000000" w:themeColor="text1"/>
                <w:sz w:val="16"/>
                <w:szCs w:val="16"/>
                <w:lang w:val="en-PH" w:eastAsia="en-PH"/>
              </w:rPr>
              <w:t>xpenses</w:t>
            </w:r>
          </w:p>
        </w:tc>
        <w:tc>
          <w:tcPr>
            <w:tcW w:w="1161" w:type="dxa"/>
            <w:shd w:val="clear" w:color="auto" w:fill="auto"/>
            <w:noWrap/>
            <w:vAlign w:val="center"/>
          </w:tcPr>
          <w:p w14:paraId="43013616" w14:textId="1DDDCDAD" w:rsidR="000F5207" w:rsidRPr="009E35ED" w:rsidRDefault="000F5207" w:rsidP="000F5207">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4,846,729</w:t>
            </w:r>
          </w:p>
        </w:tc>
        <w:tc>
          <w:tcPr>
            <w:tcW w:w="1136" w:type="dxa"/>
            <w:shd w:val="clear" w:color="auto" w:fill="auto"/>
            <w:noWrap/>
            <w:vAlign w:val="bottom"/>
          </w:tcPr>
          <w:p w14:paraId="2084C256" w14:textId="7895D430" w:rsidR="000F5207" w:rsidRPr="009E35ED" w:rsidRDefault="000F5207" w:rsidP="000F5207">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129" w:type="dxa"/>
            <w:shd w:val="clear" w:color="auto" w:fill="auto"/>
            <w:noWrap/>
            <w:vAlign w:val="bottom"/>
          </w:tcPr>
          <w:p w14:paraId="202016A4" w14:textId="3834B583" w:rsidR="000F5207" w:rsidRPr="009E35ED" w:rsidRDefault="000F5207" w:rsidP="000F5207">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161" w:type="dxa"/>
            <w:shd w:val="clear" w:color="auto" w:fill="auto"/>
            <w:noWrap/>
            <w:vAlign w:val="center"/>
          </w:tcPr>
          <w:p w14:paraId="0A114A4D" w14:textId="0906B690" w:rsidR="000F5207" w:rsidRPr="009E35ED" w:rsidRDefault="000F5207" w:rsidP="000F5207">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4,846,729</w:t>
            </w:r>
          </w:p>
        </w:tc>
      </w:tr>
      <w:tr w:rsidR="00997F75" w:rsidRPr="009E35ED" w14:paraId="41D27C78" w14:textId="77777777" w:rsidTr="000F5207">
        <w:trPr>
          <w:trHeight w:val="196"/>
        </w:trPr>
        <w:tc>
          <w:tcPr>
            <w:tcW w:w="3942" w:type="dxa"/>
            <w:gridSpan w:val="4"/>
            <w:shd w:val="clear" w:color="auto" w:fill="auto"/>
            <w:noWrap/>
            <w:vAlign w:val="center"/>
            <w:hideMark/>
          </w:tcPr>
          <w:p w14:paraId="70120F36" w14:textId="485D2E79" w:rsidR="000F5207" w:rsidRPr="009E35ED" w:rsidRDefault="000F5207" w:rsidP="000F5207">
            <w:pPr>
              <w:ind w:left="0"/>
              <w:jc w:val="lef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 xml:space="preserve">Accountable </w:t>
            </w:r>
            <w:r w:rsidR="00862892">
              <w:rPr>
                <w:rFonts w:ascii="Arial Narrow" w:hAnsi="Arial Narrow"/>
                <w:color w:val="000000" w:themeColor="text1"/>
                <w:sz w:val="16"/>
                <w:szCs w:val="16"/>
                <w:lang w:val="en-PH" w:eastAsia="en-PH"/>
              </w:rPr>
              <w:t>f</w:t>
            </w:r>
            <w:r w:rsidRPr="009E35ED">
              <w:rPr>
                <w:rFonts w:ascii="Arial Narrow" w:hAnsi="Arial Narrow"/>
                <w:color w:val="000000" w:themeColor="text1"/>
                <w:sz w:val="16"/>
                <w:szCs w:val="16"/>
                <w:lang w:val="en-PH" w:eastAsia="en-PH"/>
              </w:rPr>
              <w:t xml:space="preserve">orms </w:t>
            </w:r>
            <w:r w:rsidR="00862892">
              <w:rPr>
                <w:rFonts w:ascii="Arial Narrow" w:hAnsi="Arial Narrow"/>
                <w:color w:val="000000" w:themeColor="text1"/>
                <w:sz w:val="16"/>
                <w:szCs w:val="16"/>
                <w:lang w:val="en-PH" w:eastAsia="en-PH"/>
              </w:rPr>
              <w:t>e</w:t>
            </w:r>
            <w:r w:rsidRPr="009E35ED">
              <w:rPr>
                <w:rFonts w:ascii="Arial Narrow" w:hAnsi="Arial Narrow"/>
                <w:color w:val="000000" w:themeColor="text1"/>
                <w:sz w:val="16"/>
                <w:szCs w:val="16"/>
                <w:lang w:val="en-PH" w:eastAsia="en-PH"/>
              </w:rPr>
              <w:t>xpenses</w:t>
            </w:r>
          </w:p>
        </w:tc>
        <w:tc>
          <w:tcPr>
            <w:tcW w:w="1161" w:type="dxa"/>
            <w:shd w:val="clear" w:color="auto" w:fill="auto"/>
            <w:noWrap/>
            <w:vAlign w:val="center"/>
          </w:tcPr>
          <w:p w14:paraId="7FDE7310" w14:textId="361515C9" w:rsidR="000F5207" w:rsidRPr="009E35ED" w:rsidRDefault="000F5207" w:rsidP="000F5207">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6,000</w:t>
            </w:r>
          </w:p>
        </w:tc>
        <w:tc>
          <w:tcPr>
            <w:tcW w:w="1136" w:type="dxa"/>
            <w:shd w:val="clear" w:color="auto" w:fill="auto"/>
            <w:noWrap/>
            <w:vAlign w:val="bottom"/>
          </w:tcPr>
          <w:p w14:paraId="13F1351C" w14:textId="26FA3AE3" w:rsidR="000F5207" w:rsidRPr="009E35ED" w:rsidRDefault="000F5207" w:rsidP="000F5207">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129" w:type="dxa"/>
            <w:shd w:val="clear" w:color="auto" w:fill="auto"/>
            <w:noWrap/>
            <w:vAlign w:val="bottom"/>
          </w:tcPr>
          <w:p w14:paraId="278F363C" w14:textId="59242FD7" w:rsidR="000F5207" w:rsidRPr="009E35ED" w:rsidRDefault="000F5207" w:rsidP="000F5207">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161" w:type="dxa"/>
            <w:shd w:val="clear" w:color="auto" w:fill="auto"/>
            <w:noWrap/>
            <w:vAlign w:val="center"/>
          </w:tcPr>
          <w:p w14:paraId="3C206514" w14:textId="61966B68" w:rsidR="000F5207" w:rsidRPr="009E35ED" w:rsidRDefault="000F5207" w:rsidP="000F5207">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6,000</w:t>
            </w:r>
          </w:p>
        </w:tc>
      </w:tr>
      <w:tr w:rsidR="00997F75" w:rsidRPr="009E35ED" w14:paraId="6CDED8C5" w14:textId="77777777" w:rsidTr="000F5207">
        <w:trPr>
          <w:trHeight w:val="56"/>
        </w:trPr>
        <w:tc>
          <w:tcPr>
            <w:tcW w:w="3942" w:type="dxa"/>
            <w:gridSpan w:val="4"/>
            <w:shd w:val="clear" w:color="auto" w:fill="auto"/>
            <w:noWrap/>
            <w:vAlign w:val="center"/>
            <w:hideMark/>
          </w:tcPr>
          <w:p w14:paraId="42FDD705" w14:textId="7004D94C" w:rsidR="000F5207" w:rsidRPr="009E35ED" w:rsidRDefault="000F5207" w:rsidP="000F5207">
            <w:pPr>
              <w:ind w:left="0"/>
              <w:jc w:val="lef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 xml:space="preserve">Other </w:t>
            </w:r>
            <w:r w:rsidR="00862892">
              <w:rPr>
                <w:rFonts w:ascii="Arial Narrow" w:hAnsi="Arial Narrow"/>
                <w:color w:val="000000" w:themeColor="text1"/>
                <w:sz w:val="16"/>
                <w:szCs w:val="16"/>
                <w:lang w:val="en-PH" w:eastAsia="en-PH"/>
              </w:rPr>
              <w:t>s</w:t>
            </w:r>
            <w:r w:rsidRPr="009E35ED">
              <w:rPr>
                <w:rFonts w:ascii="Arial Narrow" w:hAnsi="Arial Narrow"/>
                <w:color w:val="000000" w:themeColor="text1"/>
                <w:sz w:val="16"/>
                <w:szCs w:val="16"/>
                <w:lang w:val="en-PH" w:eastAsia="en-PH"/>
              </w:rPr>
              <w:t xml:space="preserve">upplies and </w:t>
            </w:r>
            <w:r w:rsidR="00862892">
              <w:rPr>
                <w:rFonts w:ascii="Arial Narrow" w:hAnsi="Arial Narrow"/>
                <w:color w:val="000000" w:themeColor="text1"/>
                <w:sz w:val="16"/>
                <w:szCs w:val="16"/>
                <w:lang w:val="en-PH" w:eastAsia="en-PH"/>
              </w:rPr>
              <w:t>m</w:t>
            </w:r>
            <w:r w:rsidRPr="009E35ED">
              <w:rPr>
                <w:rFonts w:ascii="Arial Narrow" w:hAnsi="Arial Narrow"/>
                <w:color w:val="000000" w:themeColor="text1"/>
                <w:sz w:val="16"/>
                <w:szCs w:val="16"/>
                <w:lang w:val="en-PH" w:eastAsia="en-PH"/>
              </w:rPr>
              <w:t xml:space="preserve">aterials </w:t>
            </w:r>
            <w:r w:rsidR="00862892">
              <w:rPr>
                <w:rFonts w:ascii="Arial Narrow" w:hAnsi="Arial Narrow"/>
                <w:color w:val="000000" w:themeColor="text1"/>
                <w:sz w:val="16"/>
                <w:szCs w:val="16"/>
                <w:lang w:val="en-PH" w:eastAsia="en-PH"/>
              </w:rPr>
              <w:t>e</w:t>
            </w:r>
            <w:r w:rsidRPr="009E35ED">
              <w:rPr>
                <w:rFonts w:ascii="Arial Narrow" w:hAnsi="Arial Narrow"/>
                <w:color w:val="000000" w:themeColor="text1"/>
                <w:sz w:val="16"/>
                <w:szCs w:val="16"/>
                <w:lang w:val="en-PH" w:eastAsia="en-PH"/>
              </w:rPr>
              <w:t>xpenses</w:t>
            </w:r>
          </w:p>
        </w:tc>
        <w:tc>
          <w:tcPr>
            <w:tcW w:w="1161" w:type="dxa"/>
            <w:shd w:val="clear" w:color="auto" w:fill="auto"/>
            <w:noWrap/>
            <w:vAlign w:val="center"/>
          </w:tcPr>
          <w:p w14:paraId="1F2EA2FA" w14:textId="42ED05B5" w:rsidR="000F5207" w:rsidRPr="009E35ED" w:rsidRDefault="000F5207" w:rsidP="0014356C">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15,604,36</w:t>
            </w:r>
            <w:r w:rsidR="0014356C" w:rsidRPr="009E35ED">
              <w:rPr>
                <w:rFonts w:ascii="Arial Narrow" w:hAnsi="Arial Narrow"/>
                <w:color w:val="000000" w:themeColor="text1"/>
                <w:sz w:val="16"/>
                <w:szCs w:val="16"/>
                <w:lang w:val="en-PH" w:eastAsia="en-PH"/>
              </w:rPr>
              <w:t>4</w:t>
            </w:r>
          </w:p>
        </w:tc>
        <w:tc>
          <w:tcPr>
            <w:tcW w:w="1136" w:type="dxa"/>
            <w:shd w:val="clear" w:color="auto" w:fill="auto"/>
            <w:noWrap/>
            <w:vAlign w:val="bottom"/>
          </w:tcPr>
          <w:p w14:paraId="5B2F0139" w14:textId="68B1DD45" w:rsidR="000F5207" w:rsidRPr="009E35ED" w:rsidRDefault="000F5207" w:rsidP="000F5207">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129" w:type="dxa"/>
            <w:shd w:val="clear" w:color="auto" w:fill="auto"/>
            <w:noWrap/>
            <w:vAlign w:val="bottom"/>
          </w:tcPr>
          <w:p w14:paraId="354ECE96" w14:textId="5C4C2F5C" w:rsidR="000F5207" w:rsidRPr="009E35ED" w:rsidRDefault="000F5207" w:rsidP="000F5207">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161" w:type="dxa"/>
            <w:shd w:val="clear" w:color="auto" w:fill="auto"/>
            <w:noWrap/>
            <w:vAlign w:val="center"/>
          </w:tcPr>
          <w:p w14:paraId="2B581308" w14:textId="0C100DCD" w:rsidR="000F5207" w:rsidRPr="009E35ED" w:rsidRDefault="000F5207" w:rsidP="000F5207">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15,604,36</w:t>
            </w:r>
            <w:r w:rsidR="0014356C" w:rsidRPr="009E35ED">
              <w:rPr>
                <w:rFonts w:ascii="Arial Narrow" w:hAnsi="Arial Narrow"/>
                <w:color w:val="000000" w:themeColor="text1"/>
                <w:sz w:val="16"/>
                <w:szCs w:val="16"/>
                <w:lang w:val="en-PH" w:eastAsia="en-PH"/>
              </w:rPr>
              <w:t>4</w:t>
            </w:r>
          </w:p>
        </w:tc>
      </w:tr>
      <w:tr w:rsidR="00997F75" w:rsidRPr="009E35ED" w14:paraId="1E7F50D1" w14:textId="77777777" w:rsidTr="000F5207">
        <w:trPr>
          <w:trHeight w:val="56"/>
        </w:trPr>
        <w:tc>
          <w:tcPr>
            <w:tcW w:w="3942" w:type="dxa"/>
            <w:gridSpan w:val="4"/>
            <w:shd w:val="clear" w:color="auto" w:fill="auto"/>
            <w:noWrap/>
            <w:vAlign w:val="center"/>
            <w:hideMark/>
          </w:tcPr>
          <w:p w14:paraId="3C2EE69E" w14:textId="051124E2" w:rsidR="000F5207" w:rsidRPr="009E35ED" w:rsidRDefault="000F5207" w:rsidP="000F5207">
            <w:pPr>
              <w:ind w:left="0"/>
              <w:jc w:val="lef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 xml:space="preserve">Utility </w:t>
            </w:r>
            <w:r w:rsidR="00862892">
              <w:rPr>
                <w:rFonts w:ascii="Arial Narrow" w:hAnsi="Arial Narrow"/>
                <w:color w:val="000000" w:themeColor="text1"/>
                <w:sz w:val="16"/>
                <w:szCs w:val="16"/>
                <w:lang w:val="en-PH" w:eastAsia="en-PH"/>
              </w:rPr>
              <w:t>e</w:t>
            </w:r>
            <w:r w:rsidRPr="009E35ED">
              <w:rPr>
                <w:rFonts w:ascii="Arial Narrow" w:hAnsi="Arial Narrow"/>
                <w:color w:val="000000" w:themeColor="text1"/>
                <w:sz w:val="16"/>
                <w:szCs w:val="16"/>
                <w:lang w:val="en-PH" w:eastAsia="en-PH"/>
              </w:rPr>
              <w:t>xpenses</w:t>
            </w:r>
          </w:p>
        </w:tc>
        <w:tc>
          <w:tcPr>
            <w:tcW w:w="1161" w:type="dxa"/>
            <w:shd w:val="clear" w:color="auto" w:fill="auto"/>
            <w:noWrap/>
            <w:vAlign w:val="center"/>
          </w:tcPr>
          <w:p w14:paraId="6E520859" w14:textId="1D663CB8" w:rsidR="000F5207" w:rsidRPr="009E35ED" w:rsidRDefault="000F5207" w:rsidP="0014356C">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39,10</w:t>
            </w:r>
            <w:r w:rsidR="0014356C" w:rsidRPr="009E35ED">
              <w:rPr>
                <w:rFonts w:ascii="Arial Narrow" w:hAnsi="Arial Narrow"/>
                <w:color w:val="000000" w:themeColor="text1"/>
                <w:sz w:val="16"/>
                <w:szCs w:val="16"/>
                <w:lang w:val="en-PH" w:eastAsia="en-PH"/>
              </w:rPr>
              <w:t>1,608</w:t>
            </w:r>
          </w:p>
        </w:tc>
        <w:tc>
          <w:tcPr>
            <w:tcW w:w="1136" w:type="dxa"/>
            <w:shd w:val="clear" w:color="auto" w:fill="auto"/>
            <w:noWrap/>
            <w:vAlign w:val="bottom"/>
          </w:tcPr>
          <w:p w14:paraId="5C172D13" w14:textId="0A8292DC" w:rsidR="000F5207" w:rsidRPr="009E35ED" w:rsidRDefault="000F5207" w:rsidP="000F5207">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129" w:type="dxa"/>
            <w:shd w:val="clear" w:color="auto" w:fill="auto"/>
            <w:noWrap/>
            <w:vAlign w:val="bottom"/>
          </w:tcPr>
          <w:p w14:paraId="00291DBA" w14:textId="71C1B79B" w:rsidR="000F5207" w:rsidRPr="009E35ED" w:rsidRDefault="000F5207" w:rsidP="000F5207">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161" w:type="dxa"/>
            <w:shd w:val="clear" w:color="auto" w:fill="auto"/>
            <w:noWrap/>
            <w:vAlign w:val="center"/>
          </w:tcPr>
          <w:p w14:paraId="44662AA8" w14:textId="07211F8A" w:rsidR="000F5207" w:rsidRPr="009E35ED" w:rsidRDefault="0014356C" w:rsidP="000F5207">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39,101,608</w:t>
            </w:r>
          </w:p>
        </w:tc>
      </w:tr>
      <w:tr w:rsidR="00997F75" w:rsidRPr="009E35ED" w14:paraId="649DF44D" w14:textId="77777777" w:rsidTr="000F5207">
        <w:trPr>
          <w:trHeight w:val="56"/>
        </w:trPr>
        <w:tc>
          <w:tcPr>
            <w:tcW w:w="3942" w:type="dxa"/>
            <w:gridSpan w:val="4"/>
            <w:shd w:val="clear" w:color="auto" w:fill="auto"/>
            <w:noWrap/>
            <w:vAlign w:val="center"/>
            <w:hideMark/>
          </w:tcPr>
          <w:p w14:paraId="154C255D" w14:textId="7DC0B7B5" w:rsidR="000F5207" w:rsidRPr="009E35ED" w:rsidRDefault="000F5207" w:rsidP="000F5207">
            <w:pPr>
              <w:ind w:left="0"/>
              <w:jc w:val="lef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 xml:space="preserve">Communication </w:t>
            </w:r>
            <w:r w:rsidR="00862892">
              <w:rPr>
                <w:rFonts w:ascii="Arial Narrow" w:hAnsi="Arial Narrow"/>
                <w:color w:val="000000" w:themeColor="text1"/>
                <w:sz w:val="16"/>
                <w:szCs w:val="16"/>
                <w:lang w:val="en-PH" w:eastAsia="en-PH"/>
              </w:rPr>
              <w:t>e</w:t>
            </w:r>
            <w:r w:rsidRPr="009E35ED">
              <w:rPr>
                <w:rFonts w:ascii="Arial Narrow" w:hAnsi="Arial Narrow"/>
                <w:color w:val="000000" w:themeColor="text1"/>
                <w:sz w:val="16"/>
                <w:szCs w:val="16"/>
                <w:lang w:val="en-PH" w:eastAsia="en-PH"/>
              </w:rPr>
              <w:t>xpenses</w:t>
            </w:r>
          </w:p>
        </w:tc>
        <w:tc>
          <w:tcPr>
            <w:tcW w:w="1161" w:type="dxa"/>
            <w:shd w:val="clear" w:color="auto" w:fill="auto"/>
            <w:noWrap/>
            <w:vAlign w:val="center"/>
          </w:tcPr>
          <w:p w14:paraId="2542268C" w14:textId="3EFFC25E" w:rsidR="000F5207" w:rsidRPr="009E35ED" w:rsidRDefault="000F5207" w:rsidP="0014356C">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28,617,50</w:t>
            </w:r>
            <w:r w:rsidR="0014356C" w:rsidRPr="009E35ED">
              <w:rPr>
                <w:rFonts w:ascii="Arial Narrow" w:hAnsi="Arial Narrow"/>
                <w:color w:val="000000" w:themeColor="text1"/>
                <w:sz w:val="16"/>
                <w:szCs w:val="16"/>
                <w:lang w:val="en-PH" w:eastAsia="en-PH"/>
              </w:rPr>
              <w:t>9</w:t>
            </w:r>
          </w:p>
        </w:tc>
        <w:tc>
          <w:tcPr>
            <w:tcW w:w="1136" w:type="dxa"/>
            <w:shd w:val="clear" w:color="auto" w:fill="auto"/>
            <w:noWrap/>
            <w:vAlign w:val="bottom"/>
          </w:tcPr>
          <w:p w14:paraId="75CD8074" w14:textId="4E48BFE3" w:rsidR="000F5207" w:rsidRPr="009E35ED" w:rsidRDefault="000F5207" w:rsidP="000F5207">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129" w:type="dxa"/>
            <w:shd w:val="clear" w:color="auto" w:fill="auto"/>
            <w:noWrap/>
            <w:vAlign w:val="bottom"/>
          </w:tcPr>
          <w:p w14:paraId="67C5D9CD" w14:textId="2FADB7AF" w:rsidR="000F5207" w:rsidRPr="009E35ED" w:rsidRDefault="000F5207" w:rsidP="000F5207">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161" w:type="dxa"/>
            <w:shd w:val="clear" w:color="auto" w:fill="auto"/>
            <w:noWrap/>
            <w:vAlign w:val="center"/>
          </w:tcPr>
          <w:p w14:paraId="2C416A76" w14:textId="1551AA52" w:rsidR="000F5207" w:rsidRPr="009E35ED" w:rsidRDefault="000F5207" w:rsidP="0014356C">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28,617,50</w:t>
            </w:r>
            <w:r w:rsidR="0014356C" w:rsidRPr="009E35ED">
              <w:rPr>
                <w:rFonts w:ascii="Arial Narrow" w:hAnsi="Arial Narrow"/>
                <w:color w:val="000000" w:themeColor="text1"/>
                <w:sz w:val="16"/>
                <w:szCs w:val="16"/>
                <w:lang w:val="en-PH" w:eastAsia="en-PH"/>
              </w:rPr>
              <w:t>9</w:t>
            </w:r>
          </w:p>
        </w:tc>
      </w:tr>
      <w:tr w:rsidR="00997F75" w:rsidRPr="009E35ED" w14:paraId="72C1B5BC" w14:textId="77777777" w:rsidTr="000F5207">
        <w:trPr>
          <w:trHeight w:val="122"/>
        </w:trPr>
        <w:tc>
          <w:tcPr>
            <w:tcW w:w="3942" w:type="dxa"/>
            <w:gridSpan w:val="4"/>
            <w:shd w:val="clear" w:color="auto" w:fill="auto"/>
            <w:noWrap/>
            <w:vAlign w:val="center"/>
            <w:hideMark/>
          </w:tcPr>
          <w:p w14:paraId="1AB21A19" w14:textId="7850EB9D" w:rsidR="000F5207" w:rsidRPr="009E35ED" w:rsidRDefault="000F5207" w:rsidP="000F5207">
            <w:pPr>
              <w:ind w:left="0"/>
              <w:jc w:val="lef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 xml:space="preserve">Extra-ordinary and </w:t>
            </w:r>
            <w:r w:rsidR="00862892">
              <w:rPr>
                <w:rFonts w:ascii="Arial Narrow" w:hAnsi="Arial Narrow"/>
                <w:color w:val="000000" w:themeColor="text1"/>
                <w:sz w:val="16"/>
                <w:szCs w:val="16"/>
                <w:lang w:val="en-PH" w:eastAsia="en-PH"/>
              </w:rPr>
              <w:t>m</w:t>
            </w:r>
            <w:r w:rsidRPr="009E35ED">
              <w:rPr>
                <w:rFonts w:ascii="Arial Narrow" w:hAnsi="Arial Narrow"/>
                <w:color w:val="000000" w:themeColor="text1"/>
                <w:sz w:val="16"/>
                <w:szCs w:val="16"/>
                <w:lang w:val="en-PH" w:eastAsia="en-PH"/>
              </w:rPr>
              <w:t xml:space="preserve">iscellaneous </w:t>
            </w:r>
            <w:r w:rsidR="00862892">
              <w:rPr>
                <w:rFonts w:ascii="Arial Narrow" w:hAnsi="Arial Narrow"/>
                <w:color w:val="000000" w:themeColor="text1"/>
                <w:sz w:val="16"/>
                <w:szCs w:val="16"/>
                <w:lang w:val="en-PH" w:eastAsia="en-PH"/>
              </w:rPr>
              <w:t>e</w:t>
            </w:r>
            <w:r w:rsidRPr="009E35ED">
              <w:rPr>
                <w:rFonts w:ascii="Arial Narrow" w:hAnsi="Arial Narrow"/>
                <w:color w:val="000000" w:themeColor="text1"/>
                <w:sz w:val="16"/>
                <w:szCs w:val="16"/>
                <w:lang w:val="en-PH" w:eastAsia="en-PH"/>
              </w:rPr>
              <w:t>xpenses</w:t>
            </w:r>
          </w:p>
        </w:tc>
        <w:tc>
          <w:tcPr>
            <w:tcW w:w="1161" w:type="dxa"/>
            <w:shd w:val="clear" w:color="auto" w:fill="auto"/>
            <w:noWrap/>
            <w:vAlign w:val="center"/>
          </w:tcPr>
          <w:p w14:paraId="3D9FE8AE" w14:textId="2283F474" w:rsidR="000F5207" w:rsidRPr="009E35ED" w:rsidRDefault="000F5207" w:rsidP="000F5207">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3,242,446</w:t>
            </w:r>
          </w:p>
        </w:tc>
        <w:tc>
          <w:tcPr>
            <w:tcW w:w="1136" w:type="dxa"/>
            <w:shd w:val="clear" w:color="auto" w:fill="auto"/>
            <w:noWrap/>
            <w:vAlign w:val="bottom"/>
          </w:tcPr>
          <w:p w14:paraId="3AAE2C82" w14:textId="57F6499F" w:rsidR="000F5207" w:rsidRPr="009E35ED" w:rsidRDefault="000F5207" w:rsidP="000F5207">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129" w:type="dxa"/>
            <w:shd w:val="clear" w:color="auto" w:fill="auto"/>
            <w:noWrap/>
            <w:vAlign w:val="bottom"/>
          </w:tcPr>
          <w:p w14:paraId="46EE5423" w14:textId="366C9083" w:rsidR="000F5207" w:rsidRPr="009E35ED" w:rsidRDefault="000F5207" w:rsidP="000F5207">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161" w:type="dxa"/>
            <w:shd w:val="clear" w:color="auto" w:fill="auto"/>
            <w:noWrap/>
            <w:vAlign w:val="center"/>
          </w:tcPr>
          <w:p w14:paraId="401EA58C" w14:textId="4E70C749" w:rsidR="000F5207" w:rsidRPr="009E35ED" w:rsidRDefault="000F5207" w:rsidP="000F5207">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3,242,446</w:t>
            </w:r>
          </w:p>
        </w:tc>
      </w:tr>
      <w:tr w:rsidR="00997F75" w:rsidRPr="009E35ED" w14:paraId="49BCBD32" w14:textId="77777777" w:rsidTr="000F5207">
        <w:trPr>
          <w:trHeight w:val="56"/>
        </w:trPr>
        <w:tc>
          <w:tcPr>
            <w:tcW w:w="3942" w:type="dxa"/>
            <w:gridSpan w:val="4"/>
            <w:shd w:val="clear" w:color="auto" w:fill="auto"/>
            <w:noWrap/>
            <w:vAlign w:val="center"/>
            <w:hideMark/>
          </w:tcPr>
          <w:p w14:paraId="0C65F140" w14:textId="536BE88F" w:rsidR="000F5207" w:rsidRPr="009E35ED" w:rsidRDefault="000F5207" w:rsidP="000F5207">
            <w:pPr>
              <w:ind w:left="0"/>
              <w:jc w:val="lef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 xml:space="preserve">Confidential </w:t>
            </w:r>
            <w:r w:rsidR="00862892">
              <w:rPr>
                <w:rFonts w:ascii="Arial Narrow" w:hAnsi="Arial Narrow"/>
                <w:color w:val="000000" w:themeColor="text1"/>
                <w:sz w:val="16"/>
                <w:szCs w:val="16"/>
                <w:lang w:val="en-PH" w:eastAsia="en-PH"/>
              </w:rPr>
              <w:t>e</w:t>
            </w:r>
            <w:r w:rsidRPr="009E35ED">
              <w:rPr>
                <w:rFonts w:ascii="Arial Narrow" w:hAnsi="Arial Narrow"/>
                <w:color w:val="000000" w:themeColor="text1"/>
                <w:sz w:val="16"/>
                <w:szCs w:val="16"/>
                <w:lang w:val="en-PH" w:eastAsia="en-PH"/>
              </w:rPr>
              <w:t>xpenses</w:t>
            </w:r>
          </w:p>
        </w:tc>
        <w:tc>
          <w:tcPr>
            <w:tcW w:w="1161" w:type="dxa"/>
            <w:shd w:val="clear" w:color="auto" w:fill="auto"/>
            <w:noWrap/>
            <w:vAlign w:val="center"/>
          </w:tcPr>
          <w:p w14:paraId="3DE4D2C8" w14:textId="4788F1F4" w:rsidR="000F5207" w:rsidRPr="009E35ED" w:rsidRDefault="000F5207" w:rsidP="000F5207">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60,000,000</w:t>
            </w:r>
          </w:p>
        </w:tc>
        <w:tc>
          <w:tcPr>
            <w:tcW w:w="1136" w:type="dxa"/>
            <w:shd w:val="clear" w:color="auto" w:fill="auto"/>
            <w:noWrap/>
            <w:vAlign w:val="bottom"/>
          </w:tcPr>
          <w:p w14:paraId="0E7714C8" w14:textId="1E7330A8" w:rsidR="000F5207" w:rsidRPr="009E35ED" w:rsidRDefault="000F5207" w:rsidP="000F5207">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129" w:type="dxa"/>
            <w:shd w:val="clear" w:color="auto" w:fill="auto"/>
            <w:noWrap/>
            <w:vAlign w:val="bottom"/>
          </w:tcPr>
          <w:p w14:paraId="0964F322" w14:textId="7DF0C68E" w:rsidR="000F5207" w:rsidRPr="009E35ED" w:rsidRDefault="000F5207" w:rsidP="000F5207">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161" w:type="dxa"/>
            <w:shd w:val="clear" w:color="auto" w:fill="auto"/>
            <w:noWrap/>
            <w:vAlign w:val="center"/>
          </w:tcPr>
          <w:p w14:paraId="00D014DB" w14:textId="579A22FF" w:rsidR="000F5207" w:rsidRPr="009E35ED" w:rsidRDefault="000F5207" w:rsidP="000F5207">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60,000,000</w:t>
            </w:r>
          </w:p>
        </w:tc>
      </w:tr>
      <w:tr w:rsidR="00997F75" w:rsidRPr="009E35ED" w14:paraId="5F99192D" w14:textId="77777777" w:rsidTr="000F5207">
        <w:trPr>
          <w:trHeight w:val="56"/>
        </w:trPr>
        <w:tc>
          <w:tcPr>
            <w:tcW w:w="3942" w:type="dxa"/>
            <w:gridSpan w:val="4"/>
            <w:shd w:val="clear" w:color="auto" w:fill="auto"/>
            <w:noWrap/>
            <w:vAlign w:val="center"/>
            <w:hideMark/>
          </w:tcPr>
          <w:p w14:paraId="68B30460" w14:textId="6DC59FF8" w:rsidR="000F5207" w:rsidRPr="009E35ED" w:rsidRDefault="000F5207" w:rsidP="000F5207">
            <w:pPr>
              <w:ind w:left="0"/>
              <w:jc w:val="lef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 xml:space="preserve">Professional </w:t>
            </w:r>
            <w:r w:rsidR="00862892">
              <w:rPr>
                <w:rFonts w:ascii="Arial Narrow" w:hAnsi="Arial Narrow"/>
                <w:color w:val="000000" w:themeColor="text1"/>
                <w:sz w:val="16"/>
                <w:szCs w:val="16"/>
                <w:lang w:val="en-PH" w:eastAsia="en-PH"/>
              </w:rPr>
              <w:t>s</w:t>
            </w:r>
            <w:r w:rsidRPr="009E35ED">
              <w:rPr>
                <w:rFonts w:ascii="Arial Narrow" w:hAnsi="Arial Narrow"/>
                <w:color w:val="000000" w:themeColor="text1"/>
                <w:sz w:val="16"/>
                <w:szCs w:val="16"/>
                <w:lang w:val="en-PH" w:eastAsia="en-PH"/>
              </w:rPr>
              <w:t>ervices</w:t>
            </w:r>
          </w:p>
        </w:tc>
        <w:tc>
          <w:tcPr>
            <w:tcW w:w="1161" w:type="dxa"/>
            <w:shd w:val="clear" w:color="auto" w:fill="auto"/>
            <w:noWrap/>
            <w:vAlign w:val="center"/>
          </w:tcPr>
          <w:p w14:paraId="36BBBAAE" w14:textId="4485AD24" w:rsidR="000F5207" w:rsidRPr="009E35ED" w:rsidRDefault="000F5207" w:rsidP="000F5207">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93,329,338</w:t>
            </w:r>
          </w:p>
        </w:tc>
        <w:tc>
          <w:tcPr>
            <w:tcW w:w="1136" w:type="dxa"/>
            <w:shd w:val="clear" w:color="auto" w:fill="auto"/>
            <w:noWrap/>
            <w:vAlign w:val="bottom"/>
          </w:tcPr>
          <w:p w14:paraId="5AF57CF3" w14:textId="441E52FB" w:rsidR="000F5207" w:rsidRPr="009E35ED" w:rsidRDefault="000F5207" w:rsidP="000F5207">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129" w:type="dxa"/>
            <w:shd w:val="clear" w:color="auto" w:fill="auto"/>
            <w:noWrap/>
            <w:vAlign w:val="bottom"/>
          </w:tcPr>
          <w:p w14:paraId="16C76B05" w14:textId="18FE350B" w:rsidR="000F5207" w:rsidRPr="009E35ED" w:rsidRDefault="000F5207" w:rsidP="000F5207">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161" w:type="dxa"/>
            <w:shd w:val="clear" w:color="auto" w:fill="auto"/>
            <w:noWrap/>
            <w:vAlign w:val="center"/>
          </w:tcPr>
          <w:p w14:paraId="7B615224" w14:textId="4F3D648E" w:rsidR="000F5207" w:rsidRPr="009E35ED" w:rsidRDefault="000F5207" w:rsidP="000F5207">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93,329,338</w:t>
            </w:r>
          </w:p>
        </w:tc>
      </w:tr>
      <w:tr w:rsidR="00997F75" w:rsidRPr="009E35ED" w14:paraId="13B1B8CA" w14:textId="77777777" w:rsidTr="000F5207">
        <w:trPr>
          <w:trHeight w:val="56"/>
        </w:trPr>
        <w:tc>
          <w:tcPr>
            <w:tcW w:w="3942" w:type="dxa"/>
            <w:gridSpan w:val="4"/>
            <w:shd w:val="clear" w:color="auto" w:fill="auto"/>
            <w:noWrap/>
            <w:vAlign w:val="center"/>
            <w:hideMark/>
          </w:tcPr>
          <w:p w14:paraId="0F67B4FC" w14:textId="5196EE1F" w:rsidR="000F5207" w:rsidRPr="009E35ED" w:rsidRDefault="000F5207" w:rsidP="000F5207">
            <w:pPr>
              <w:ind w:left="0"/>
              <w:jc w:val="lef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 xml:space="preserve">General </w:t>
            </w:r>
            <w:r w:rsidR="00862892">
              <w:rPr>
                <w:rFonts w:ascii="Arial Narrow" w:hAnsi="Arial Narrow"/>
                <w:color w:val="000000" w:themeColor="text1"/>
                <w:sz w:val="16"/>
                <w:szCs w:val="16"/>
                <w:lang w:val="en-PH" w:eastAsia="en-PH"/>
              </w:rPr>
              <w:t>s</w:t>
            </w:r>
            <w:r w:rsidRPr="009E35ED">
              <w:rPr>
                <w:rFonts w:ascii="Arial Narrow" w:hAnsi="Arial Narrow"/>
                <w:color w:val="000000" w:themeColor="text1"/>
                <w:sz w:val="16"/>
                <w:szCs w:val="16"/>
                <w:lang w:val="en-PH" w:eastAsia="en-PH"/>
              </w:rPr>
              <w:t>ervices</w:t>
            </w:r>
          </w:p>
        </w:tc>
        <w:tc>
          <w:tcPr>
            <w:tcW w:w="1161" w:type="dxa"/>
            <w:shd w:val="clear" w:color="auto" w:fill="auto"/>
            <w:noWrap/>
            <w:vAlign w:val="center"/>
          </w:tcPr>
          <w:p w14:paraId="1896CEAA" w14:textId="33ED0F3F" w:rsidR="000F5207" w:rsidRPr="009E35ED" w:rsidRDefault="000F5207" w:rsidP="000F5207">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77,875,646</w:t>
            </w:r>
          </w:p>
        </w:tc>
        <w:tc>
          <w:tcPr>
            <w:tcW w:w="1136" w:type="dxa"/>
            <w:shd w:val="clear" w:color="auto" w:fill="auto"/>
            <w:noWrap/>
            <w:vAlign w:val="bottom"/>
          </w:tcPr>
          <w:p w14:paraId="6C82FC30" w14:textId="5A6238A1" w:rsidR="000F5207" w:rsidRPr="009E35ED" w:rsidRDefault="000F5207" w:rsidP="000F5207">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129" w:type="dxa"/>
            <w:shd w:val="clear" w:color="auto" w:fill="auto"/>
            <w:noWrap/>
            <w:vAlign w:val="bottom"/>
          </w:tcPr>
          <w:p w14:paraId="7811B29F" w14:textId="6B45996C" w:rsidR="000F5207" w:rsidRPr="009E35ED" w:rsidRDefault="000F5207" w:rsidP="000F5207">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161" w:type="dxa"/>
            <w:shd w:val="clear" w:color="auto" w:fill="auto"/>
            <w:noWrap/>
            <w:vAlign w:val="center"/>
          </w:tcPr>
          <w:p w14:paraId="59FE8142" w14:textId="01478637" w:rsidR="000F5207" w:rsidRPr="009E35ED" w:rsidRDefault="000F5207" w:rsidP="000F5207">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77,875,646</w:t>
            </w:r>
          </w:p>
        </w:tc>
      </w:tr>
      <w:tr w:rsidR="00997F75" w:rsidRPr="009E35ED" w14:paraId="30F63471" w14:textId="77777777" w:rsidTr="000F5207">
        <w:trPr>
          <w:trHeight w:val="56"/>
        </w:trPr>
        <w:tc>
          <w:tcPr>
            <w:tcW w:w="3942" w:type="dxa"/>
            <w:gridSpan w:val="4"/>
            <w:shd w:val="clear" w:color="auto" w:fill="auto"/>
            <w:noWrap/>
            <w:vAlign w:val="center"/>
            <w:hideMark/>
          </w:tcPr>
          <w:p w14:paraId="240AE1DF" w14:textId="2639ED03" w:rsidR="000F5207" w:rsidRPr="009E35ED" w:rsidRDefault="000F5207" w:rsidP="000F5207">
            <w:pPr>
              <w:ind w:left="0"/>
              <w:jc w:val="lef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 xml:space="preserve">Repairs and </w:t>
            </w:r>
            <w:r w:rsidR="00862892">
              <w:rPr>
                <w:rFonts w:ascii="Arial Narrow" w:hAnsi="Arial Narrow"/>
                <w:color w:val="000000" w:themeColor="text1"/>
                <w:sz w:val="16"/>
                <w:szCs w:val="16"/>
                <w:lang w:val="en-PH" w:eastAsia="en-PH"/>
              </w:rPr>
              <w:t>m</w:t>
            </w:r>
            <w:r w:rsidRPr="009E35ED">
              <w:rPr>
                <w:rFonts w:ascii="Arial Narrow" w:hAnsi="Arial Narrow"/>
                <w:color w:val="000000" w:themeColor="text1"/>
                <w:sz w:val="16"/>
                <w:szCs w:val="16"/>
                <w:lang w:val="en-PH" w:eastAsia="en-PH"/>
              </w:rPr>
              <w:t>aintenance</w:t>
            </w:r>
          </w:p>
        </w:tc>
        <w:tc>
          <w:tcPr>
            <w:tcW w:w="1161" w:type="dxa"/>
            <w:shd w:val="clear" w:color="auto" w:fill="auto"/>
            <w:noWrap/>
            <w:vAlign w:val="center"/>
          </w:tcPr>
          <w:p w14:paraId="5087DC3C" w14:textId="7930DFC8" w:rsidR="000F5207" w:rsidRPr="009E35ED" w:rsidRDefault="000F5207" w:rsidP="000F5207">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7,174,004</w:t>
            </w:r>
          </w:p>
        </w:tc>
        <w:tc>
          <w:tcPr>
            <w:tcW w:w="1136" w:type="dxa"/>
            <w:shd w:val="clear" w:color="auto" w:fill="auto"/>
            <w:noWrap/>
            <w:vAlign w:val="bottom"/>
          </w:tcPr>
          <w:p w14:paraId="0718DACB" w14:textId="05236357" w:rsidR="000F5207" w:rsidRPr="009E35ED" w:rsidRDefault="000F5207" w:rsidP="000F5207">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129" w:type="dxa"/>
            <w:shd w:val="clear" w:color="auto" w:fill="auto"/>
            <w:noWrap/>
            <w:vAlign w:val="bottom"/>
          </w:tcPr>
          <w:p w14:paraId="5F8E4DEC" w14:textId="681BA770" w:rsidR="000F5207" w:rsidRPr="009E35ED" w:rsidRDefault="000F5207" w:rsidP="000F5207">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161" w:type="dxa"/>
            <w:shd w:val="clear" w:color="auto" w:fill="auto"/>
            <w:noWrap/>
            <w:vAlign w:val="center"/>
          </w:tcPr>
          <w:p w14:paraId="71504F11" w14:textId="2FF48B4D" w:rsidR="000F5207" w:rsidRPr="009E35ED" w:rsidRDefault="000F5207" w:rsidP="000F5207">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7,174,004</w:t>
            </w:r>
          </w:p>
        </w:tc>
      </w:tr>
      <w:tr w:rsidR="00997F75" w:rsidRPr="009E35ED" w14:paraId="5753CC13" w14:textId="77777777" w:rsidTr="00EB1F3A">
        <w:trPr>
          <w:trHeight w:val="56"/>
        </w:trPr>
        <w:tc>
          <w:tcPr>
            <w:tcW w:w="3942" w:type="dxa"/>
            <w:gridSpan w:val="4"/>
            <w:shd w:val="clear" w:color="auto" w:fill="auto"/>
            <w:noWrap/>
            <w:vAlign w:val="center"/>
            <w:hideMark/>
          </w:tcPr>
          <w:p w14:paraId="704690DD" w14:textId="7DFB8418" w:rsidR="00D03F78" w:rsidRPr="009E35ED" w:rsidRDefault="00D03F78" w:rsidP="00A27AC6">
            <w:pPr>
              <w:ind w:left="0"/>
              <w:jc w:val="lef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 xml:space="preserve">Taxes, </w:t>
            </w:r>
            <w:r w:rsidR="00862892">
              <w:rPr>
                <w:rFonts w:ascii="Arial Narrow" w:hAnsi="Arial Narrow"/>
                <w:color w:val="000000" w:themeColor="text1"/>
                <w:sz w:val="16"/>
                <w:szCs w:val="16"/>
                <w:lang w:val="en-PH" w:eastAsia="en-PH"/>
              </w:rPr>
              <w:t>d</w:t>
            </w:r>
            <w:r w:rsidRPr="009E35ED">
              <w:rPr>
                <w:rFonts w:ascii="Arial Narrow" w:hAnsi="Arial Narrow"/>
                <w:color w:val="000000" w:themeColor="text1"/>
                <w:sz w:val="16"/>
                <w:szCs w:val="16"/>
                <w:lang w:val="en-PH" w:eastAsia="en-PH"/>
              </w:rPr>
              <w:t xml:space="preserve">uties and </w:t>
            </w:r>
            <w:r w:rsidR="00862892">
              <w:rPr>
                <w:rFonts w:ascii="Arial Narrow" w:hAnsi="Arial Narrow"/>
                <w:color w:val="000000" w:themeColor="text1"/>
                <w:sz w:val="16"/>
                <w:szCs w:val="16"/>
                <w:lang w:val="en-PH" w:eastAsia="en-PH"/>
              </w:rPr>
              <w:t>l</w:t>
            </w:r>
            <w:r w:rsidRPr="009E35ED">
              <w:rPr>
                <w:rFonts w:ascii="Arial Narrow" w:hAnsi="Arial Narrow"/>
                <w:color w:val="000000" w:themeColor="text1"/>
                <w:sz w:val="16"/>
                <w:szCs w:val="16"/>
                <w:lang w:val="en-PH" w:eastAsia="en-PH"/>
              </w:rPr>
              <w:t>icenses</w:t>
            </w:r>
          </w:p>
        </w:tc>
        <w:tc>
          <w:tcPr>
            <w:tcW w:w="1161" w:type="dxa"/>
            <w:shd w:val="clear" w:color="auto" w:fill="auto"/>
            <w:noWrap/>
            <w:vAlign w:val="center"/>
          </w:tcPr>
          <w:p w14:paraId="5E3068DE" w14:textId="28F43628" w:rsidR="00D03F78" w:rsidRPr="009E35ED" w:rsidRDefault="00CF510D" w:rsidP="000317AE">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220</w:t>
            </w:r>
            <w:r w:rsidR="000317AE" w:rsidRPr="009E35ED">
              <w:rPr>
                <w:rFonts w:ascii="Arial Narrow" w:hAnsi="Arial Narrow"/>
                <w:color w:val="000000" w:themeColor="text1"/>
                <w:sz w:val="16"/>
                <w:szCs w:val="16"/>
                <w:lang w:val="en-PH" w:eastAsia="en-PH"/>
              </w:rPr>
              <w:t>,</w:t>
            </w:r>
            <w:r w:rsidRPr="009E35ED">
              <w:rPr>
                <w:rFonts w:ascii="Arial Narrow" w:hAnsi="Arial Narrow"/>
                <w:color w:val="000000" w:themeColor="text1"/>
                <w:sz w:val="16"/>
                <w:szCs w:val="16"/>
                <w:lang w:val="en-PH" w:eastAsia="en-PH"/>
              </w:rPr>
              <w:t>921</w:t>
            </w:r>
            <w:r w:rsidR="000317AE" w:rsidRPr="009E35ED">
              <w:rPr>
                <w:rFonts w:ascii="Arial Narrow" w:hAnsi="Arial Narrow"/>
                <w:color w:val="000000" w:themeColor="text1"/>
                <w:sz w:val="16"/>
                <w:szCs w:val="16"/>
                <w:lang w:val="en-PH" w:eastAsia="en-PH"/>
              </w:rPr>
              <w:t>,</w:t>
            </w:r>
            <w:r w:rsidRPr="009E35ED">
              <w:rPr>
                <w:rFonts w:ascii="Arial Narrow" w:hAnsi="Arial Narrow"/>
                <w:color w:val="000000" w:themeColor="text1"/>
                <w:sz w:val="16"/>
                <w:szCs w:val="16"/>
                <w:lang w:val="en-PH" w:eastAsia="en-PH"/>
              </w:rPr>
              <w:t>851</w:t>
            </w:r>
          </w:p>
        </w:tc>
        <w:tc>
          <w:tcPr>
            <w:tcW w:w="1136" w:type="dxa"/>
            <w:shd w:val="clear" w:color="auto" w:fill="auto"/>
            <w:noWrap/>
            <w:vAlign w:val="center"/>
          </w:tcPr>
          <w:p w14:paraId="0233ECC9" w14:textId="708F8CDF" w:rsidR="00D03F78" w:rsidRPr="009E35ED" w:rsidRDefault="00CF510D" w:rsidP="000317AE">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200</w:t>
            </w:r>
            <w:r w:rsidR="000317AE" w:rsidRPr="009E35ED">
              <w:rPr>
                <w:rFonts w:ascii="Arial Narrow" w:hAnsi="Arial Narrow"/>
                <w:color w:val="000000" w:themeColor="text1"/>
                <w:sz w:val="16"/>
                <w:szCs w:val="16"/>
                <w:lang w:val="en-PH" w:eastAsia="en-PH"/>
              </w:rPr>
              <w:t>,</w:t>
            </w:r>
            <w:r w:rsidRPr="009E35ED">
              <w:rPr>
                <w:rFonts w:ascii="Arial Narrow" w:hAnsi="Arial Narrow"/>
                <w:color w:val="000000" w:themeColor="text1"/>
                <w:sz w:val="16"/>
                <w:szCs w:val="16"/>
                <w:lang w:val="en-PH" w:eastAsia="en-PH"/>
              </w:rPr>
              <w:t>387</w:t>
            </w:r>
            <w:r w:rsidR="000317AE" w:rsidRPr="009E35ED">
              <w:rPr>
                <w:rFonts w:ascii="Arial Narrow" w:hAnsi="Arial Narrow"/>
                <w:color w:val="000000" w:themeColor="text1"/>
                <w:sz w:val="16"/>
                <w:szCs w:val="16"/>
                <w:lang w:val="en-PH" w:eastAsia="en-PH"/>
              </w:rPr>
              <w:t>,</w:t>
            </w:r>
            <w:r w:rsidRPr="009E35ED">
              <w:rPr>
                <w:rFonts w:ascii="Arial Narrow" w:hAnsi="Arial Narrow"/>
                <w:color w:val="000000" w:themeColor="text1"/>
                <w:sz w:val="16"/>
                <w:szCs w:val="16"/>
                <w:lang w:val="en-PH" w:eastAsia="en-PH"/>
              </w:rPr>
              <w:t>503</w:t>
            </w:r>
          </w:p>
        </w:tc>
        <w:tc>
          <w:tcPr>
            <w:tcW w:w="1129" w:type="dxa"/>
            <w:shd w:val="clear" w:color="auto" w:fill="auto"/>
            <w:noWrap/>
            <w:vAlign w:val="center"/>
          </w:tcPr>
          <w:p w14:paraId="1D0F9039" w14:textId="1FE7E719" w:rsidR="00D03F78" w:rsidRPr="009E35ED" w:rsidRDefault="00CF510D" w:rsidP="000317AE">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499</w:t>
            </w:r>
            <w:r w:rsidR="000317AE" w:rsidRPr="009E35ED">
              <w:rPr>
                <w:rFonts w:ascii="Arial Narrow" w:hAnsi="Arial Narrow"/>
                <w:color w:val="000000" w:themeColor="text1"/>
                <w:sz w:val="16"/>
                <w:szCs w:val="16"/>
                <w:lang w:val="en-PH" w:eastAsia="en-PH"/>
              </w:rPr>
              <w:t>,</w:t>
            </w:r>
            <w:r w:rsidRPr="009E35ED">
              <w:rPr>
                <w:rFonts w:ascii="Arial Narrow" w:hAnsi="Arial Narrow"/>
                <w:color w:val="000000" w:themeColor="text1"/>
                <w:sz w:val="16"/>
                <w:szCs w:val="16"/>
                <w:lang w:val="en-PH" w:eastAsia="en-PH"/>
              </w:rPr>
              <w:t>501</w:t>
            </w:r>
          </w:p>
        </w:tc>
        <w:tc>
          <w:tcPr>
            <w:tcW w:w="1161" w:type="dxa"/>
            <w:shd w:val="clear" w:color="auto" w:fill="auto"/>
            <w:noWrap/>
            <w:vAlign w:val="center"/>
          </w:tcPr>
          <w:p w14:paraId="791C8CD5" w14:textId="794827A5" w:rsidR="00D03F78" w:rsidRPr="009E35ED" w:rsidRDefault="00EB1F3A" w:rsidP="00A27AC6">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421,808,855</w:t>
            </w:r>
          </w:p>
        </w:tc>
      </w:tr>
      <w:tr w:rsidR="00997F75" w:rsidRPr="009E35ED" w14:paraId="52D6E1F8" w14:textId="77777777" w:rsidTr="000F5207">
        <w:trPr>
          <w:trHeight w:val="81"/>
        </w:trPr>
        <w:tc>
          <w:tcPr>
            <w:tcW w:w="3942" w:type="dxa"/>
            <w:gridSpan w:val="4"/>
            <w:shd w:val="clear" w:color="auto" w:fill="auto"/>
            <w:noWrap/>
            <w:vAlign w:val="center"/>
            <w:hideMark/>
          </w:tcPr>
          <w:p w14:paraId="44C8E91E" w14:textId="7BA80312" w:rsidR="000F5207" w:rsidRPr="009E35ED" w:rsidRDefault="000F5207" w:rsidP="000F5207">
            <w:pPr>
              <w:ind w:left="0"/>
              <w:jc w:val="lef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 xml:space="preserve">Fidelity </w:t>
            </w:r>
            <w:r w:rsidR="00862892">
              <w:rPr>
                <w:rFonts w:ascii="Arial Narrow" w:hAnsi="Arial Narrow"/>
                <w:color w:val="000000" w:themeColor="text1"/>
                <w:sz w:val="16"/>
                <w:szCs w:val="16"/>
                <w:lang w:val="en-PH" w:eastAsia="en-PH"/>
              </w:rPr>
              <w:t>b</w:t>
            </w:r>
            <w:r w:rsidRPr="009E35ED">
              <w:rPr>
                <w:rFonts w:ascii="Arial Narrow" w:hAnsi="Arial Narrow"/>
                <w:color w:val="000000" w:themeColor="text1"/>
                <w:sz w:val="16"/>
                <w:szCs w:val="16"/>
                <w:lang w:val="en-PH" w:eastAsia="en-PH"/>
              </w:rPr>
              <w:t xml:space="preserve">ond </w:t>
            </w:r>
            <w:r w:rsidR="00862892">
              <w:rPr>
                <w:rFonts w:ascii="Arial Narrow" w:hAnsi="Arial Narrow"/>
                <w:color w:val="000000" w:themeColor="text1"/>
                <w:sz w:val="16"/>
                <w:szCs w:val="16"/>
                <w:lang w:val="en-PH" w:eastAsia="en-PH"/>
              </w:rPr>
              <w:t>p</w:t>
            </w:r>
            <w:r w:rsidRPr="009E35ED">
              <w:rPr>
                <w:rFonts w:ascii="Arial Narrow" w:hAnsi="Arial Narrow"/>
                <w:color w:val="000000" w:themeColor="text1"/>
                <w:sz w:val="16"/>
                <w:szCs w:val="16"/>
                <w:lang w:val="en-PH" w:eastAsia="en-PH"/>
              </w:rPr>
              <w:t>remiums</w:t>
            </w:r>
          </w:p>
        </w:tc>
        <w:tc>
          <w:tcPr>
            <w:tcW w:w="1161" w:type="dxa"/>
            <w:shd w:val="clear" w:color="auto" w:fill="auto"/>
            <w:noWrap/>
            <w:vAlign w:val="center"/>
          </w:tcPr>
          <w:p w14:paraId="6AA3F32C" w14:textId="4792BE35" w:rsidR="000F5207" w:rsidRPr="009E35ED" w:rsidRDefault="000F5207" w:rsidP="0014356C">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1,096,24</w:t>
            </w:r>
            <w:r w:rsidR="0014356C" w:rsidRPr="009E35ED">
              <w:rPr>
                <w:rFonts w:ascii="Arial Narrow" w:hAnsi="Arial Narrow"/>
                <w:color w:val="000000" w:themeColor="text1"/>
                <w:sz w:val="16"/>
                <w:szCs w:val="16"/>
                <w:lang w:val="en-PH" w:eastAsia="en-PH"/>
              </w:rPr>
              <w:t>7</w:t>
            </w:r>
          </w:p>
        </w:tc>
        <w:tc>
          <w:tcPr>
            <w:tcW w:w="1136" w:type="dxa"/>
            <w:shd w:val="clear" w:color="auto" w:fill="auto"/>
            <w:noWrap/>
            <w:vAlign w:val="bottom"/>
          </w:tcPr>
          <w:p w14:paraId="2EB4BF91" w14:textId="641D34EF" w:rsidR="000F5207" w:rsidRPr="009E35ED" w:rsidRDefault="000F5207" w:rsidP="000F5207">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129" w:type="dxa"/>
            <w:shd w:val="clear" w:color="auto" w:fill="auto"/>
            <w:noWrap/>
            <w:vAlign w:val="bottom"/>
          </w:tcPr>
          <w:p w14:paraId="6725FCAF" w14:textId="4F84AEA9" w:rsidR="000F5207" w:rsidRPr="009E35ED" w:rsidRDefault="000F5207" w:rsidP="000F5207">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161" w:type="dxa"/>
            <w:shd w:val="clear" w:color="auto" w:fill="auto"/>
            <w:noWrap/>
            <w:vAlign w:val="center"/>
          </w:tcPr>
          <w:p w14:paraId="375BABB4" w14:textId="190C7BD8" w:rsidR="000F5207" w:rsidRPr="009E35ED" w:rsidRDefault="000F5207" w:rsidP="0014356C">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1,096,24</w:t>
            </w:r>
            <w:r w:rsidR="0014356C" w:rsidRPr="009E35ED">
              <w:rPr>
                <w:rFonts w:ascii="Arial Narrow" w:hAnsi="Arial Narrow"/>
                <w:color w:val="000000" w:themeColor="text1"/>
                <w:sz w:val="16"/>
                <w:szCs w:val="16"/>
                <w:lang w:val="en-PH" w:eastAsia="en-PH"/>
              </w:rPr>
              <w:t>7</w:t>
            </w:r>
          </w:p>
        </w:tc>
      </w:tr>
      <w:tr w:rsidR="00997F75" w:rsidRPr="009E35ED" w14:paraId="5DF733E1" w14:textId="77777777" w:rsidTr="000F5207">
        <w:trPr>
          <w:trHeight w:val="56"/>
        </w:trPr>
        <w:tc>
          <w:tcPr>
            <w:tcW w:w="3942" w:type="dxa"/>
            <w:gridSpan w:val="4"/>
            <w:shd w:val="clear" w:color="auto" w:fill="auto"/>
            <w:noWrap/>
            <w:vAlign w:val="center"/>
            <w:hideMark/>
          </w:tcPr>
          <w:p w14:paraId="18A7CF2C" w14:textId="778ABC2D" w:rsidR="000F5207" w:rsidRPr="009E35ED" w:rsidRDefault="000F5207" w:rsidP="000F5207">
            <w:pPr>
              <w:ind w:left="0"/>
              <w:jc w:val="lef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 xml:space="preserve">Insurance </w:t>
            </w:r>
            <w:r w:rsidR="00862892">
              <w:rPr>
                <w:rFonts w:ascii="Arial Narrow" w:hAnsi="Arial Narrow"/>
                <w:color w:val="000000" w:themeColor="text1"/>
                <w:sz w:val="16"/>
                <w:szCs w:val="16"/>
                <w:lang w:val="en-PH" w:eastAsia="en-PH"/>
              </w:rPr>
              <w:t>e</w:t>
            </w:r>
            <w:r w:rsidRPr="009E35ED">
              <w:rPr>
                <w:rFonts w:ascii="Arial Narrow" w:hAnsi="Arial Narrow"/>
                <w:color w:val="000000" w:themeColor="text1"/>
                <w:sz w:val="16"/>
                <w:szCs w:val="16"/>
                <w:lang w:val="en-PH" w:eastAsia="en-PH"/>
              </w:rPr>
              <w:t>xpenses</w:t>
            </w:r>
          </w:p>
        </w:tc>
        <w:tc>
          <w:tcPr>
            <w:tcW w:w="1161" w:type="dxa"/>
            <w:shd w:val="clear" w:color="auto" w:fill="auto"/>
            <w:noWrap/>
            <w:vAlign w:val="center"/>
          </w:tcPr>
          <w:p w14:paraId="78C389EC" w14:textId="120FEECE" w:rsidR="000F5207" w:rsidRPr="009E35ED" w:rsidRDefault="000F5207" w:rsidP="0014356C">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8,308,26</w:t>
            </w:r>
            <w:r w:rsidR="0014356C" w:rsidRPr="009E35ED">
              <w:rPr>
                <w:rFonts w:ascii="Arial Narrow" w:hAnsi="Arial Narrow"/>
                <w:color w:val="000000" w:themeColor="text1"/>
                <w:sz w:val="16"/>
                <w:szCs w:val="16"/>
                <w:lang w:val="en-PH" w:eastAsia="en-PH"/>
              </w:rPr>
              <w:t>0</w:t>
            </w:r>
          </w:p>
        </w:tc>
        <w:tc>
          <w:tcPr>
            <w:tcW w:w="1136" w:type="dxa"/>
            <w:shd w:val="clear" w:color="auto" w:fill="auto"/>
            <w:noWrap/>
            <w:vAlign w:val="bottom"/>
          </w:tcPr>
          <w:p w14:paraId="008F12C2" w14:textId="302D6136" w:rsidR="000F5207" w:rsidRPr="009E35ED" w:rsidRDefault="000F5207" w:rsidP="000F5207">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129" w:type="dxa"/>
            <w:shd w:val="clear" w:color="auto" w:fill="auto"/>
            <w:noWrap/>
            <w:vAlign w:val="bottom"/>
          </w:tcPr>
          <w:p w14:paraId="0BCF3EDF" w14:textId="57F729F6" w:rsidR="000F5207" w:rsidRPr="009E35ED" w:rsidRDefault="000F5207" w:rsidP="000F5207">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161" w:type="dxa"/>
            <w:shd w:val="clear" w:color="auto" w:fill="auto"/>
            <w:noWrap/>
            <w:vAlign w:val="center"/>
          </w:tcPr>
          <w:p w14:paraId="28ABB2CD" w14:textId="05370979" w:rsidR="000F5207" w:rsidRPr="009E35ED" w:rsidRDefault="000F5207" w:rsidP="0014356C">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8,308,26</w:t>
            </w:r>
            <w:r w:rsidR="0014356C" w:rsidRPr="009E35ED">
              <w:rPr>
                <w:rFonts w:ascii="Arial Narrow" w:hAnsi="Arial Narrow"/>
                <w:color w:val="000000" w:themeColor="text1"/>
                <w:sz w:val="16"/>
                <w:szCs w:val="16"/>
                <w:lang w:val="en-PH" w:eastAsia="en-PH"/>
              </w:rPr>
              <w:t>0</w:t>
            </w:r>
          </w:p>
        </w:tc>
      </w:tr>
      <w:tr w:rsidR="00997F75" w:rsidRPr="009E35ED" w14:paraId="359A0F00" w14:textId="77777777" w:rsidTr="00EB1F3A">
        <w:trPr>
          <w:trHeight w:val="129"/>
        </w:trPr>
        <w:tc>
          <w:tcPr>
            <w:tcW w:w="3942" w:type="dxa"/>
            <w:gridSpan w:val="4"/>
            <w:shd w:val="clear" w:color="auto" w:fill="auto"/>
            <w:noWrap/>
            <w:vAlign w:val="center"/>
            <w:hideMark/>
          </w:tcPr>
          <w:p w14:paraId="6F8E3948" w14:textId="77777777" w:rsidR="00D03F78" w:rsidRPr="009E35ED" w:rsidRDefault="00D03F78" w:rsidP="00A27AC6">
            <w:pPr>
              <w:ind w:left="0"/>
              <w:jc w:val="lef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Other Maintenance and Operating Expenses</w:t>
            </w:r>
          </w:p>
        </w:tc>
        <w:tc>
          <w:tcPr>
            <w:tcW w:w="1161" w:type="dxa"/>
            <w:vAlign w:val="center"/>
          </w:tcPr>
          <w:p w14:paraId="3E386EF3" w14:textId="77777777" w:rsidR="00D03F78" w:rsidRPr="009E35ED" w:rsidRDefault="00D03F78" w:rsidP="000317AE">
            <w:pPr>
              <w:ind w:left="0"/>
              <w:jc w:val="right"/>
              <w:rPr>
                <w:rFonts w:ascii="Arial Narrow" w:hAnsi="Arial Narrow"/>
                <w:color w:val="000000" w:themeColor="text1"/>
                <w:sz w:val="16"/>
                <w:szCs w:val="16"/>
                <w:lang w:val="en-PH" w:eastAsia="en-PH"/>
              </w:rPr>
            </w:pPr>
          </w:p>
        </w:tc>
        <w:tc>
          <w:tcPr>
            <w:tcW w:w="1136" w:type="dxa"/>
            <w:vAlign w:val="center"/>
          </w:tcPr>
          <w:p w14:paraId="16053A6B" w14:textId="77777777" w:rsidR="00D03F78" w:rsidRPr="009E35ED" w:rsidRDefault="00D03F78" w:rsidP="000317AE">
            <w:pPr>
              <w:ind w:left="0"/>
              <w:jc w:val="right"/>
              <w:rPr>
                <w:rFonts w:ascii="Arial Narrow" w:hAnsi="Arial Narrow"/>
                <w:color w:val="000000" w:themeColor="text1"/>
                <w:sz w:val="16"/>
                <w:szCs w:val="16"/>
                <w:lang w:val="en-PH" w:eastAsia="en-PH"/>
              </w:rPr>
            </w:pPr>
          </w:p>
        </w:tc>
        <w:tc>
          <w:tcPr>
            <w:tcW w:w="1129" w:type="dxa"/>
            <w:vAlign w:val="center"/>
          </w:tcPr>
          <w:p w14:paraId="619EE20D" w14:textId="77777777" w:rsidR="00D03F78" w:rsidRPr="009E35ED" w:rsidRDefault="00D03F78" w:rsidP="000317AE">
            <w:pPr>
              <w:ind w:left="0"/>
              <w:jc w:val="right"/>
              <w:rPr>
                <w:rFonts w:ascii="Arial Narrow" w:hAnsi="Arial Narrow"/>
                <w:color w:val="000000" w:themeColor="text1"/>
                <w:sz w:val="16"/>
                <w:szCs w:val="16"/>
                <w:lang w:val="en-PH" w:eastAsia="en-PH"/>
              </w:rPr>
            </w:pPr>
          </w:p>
        </w:tc>
        <w:tc>
          <w:tcPr>
            <w:tcW w:w="1161" w:type="dxa"/>
            <w:vAlign w:val="center"/>
          </w:tcPr>
          <w:p w14:paraId="2752FBFE" w14:textId="77777777" w:rsidR="00D03F78" w:rsidRPr="009E35ED" w:rsidRDefault="00D03F78" w:rsidP="00A27AC6">
            <w:pPr>
              <w:ind w:left="0"/>
              <w:jc w:val="right"/>
              <w:rPr>
                <w:rFonts w:ascii="Arial Narrow" w:hAnsi="Arial Narrow"/>
                <w:color w:val="000000" w:themeColor="text1"/>
                <w:sz w:val="16"/>
                <w:szCs w:val="16"/>
                <w:lang w:val="en-PH" w:eastAsia="en-PH"/>
              </w:rPr>
            </w:pPr>
          </w:p>
        </w:tc>
      </w:tr>
      <w:tr w:rsidR="00997F75" w:rsidRPr="009E35ED" w14:paraId="78D1ADE7" w14:textId="77777777" w:rsidTr="00EB1F3A">
        <w:trPr>
          <w:trHeight w:val="75"/>
        </w:trPr>
        <w:tc>
          <w:tcPr>
            <w:tcW w:w="567" w:type="dxa"/>
            <w:shd w:val="clear" w:color="auto" w:fill="auto"/>
            <w:noWrap/>
            <w:vAlign w:val="bottom"/>
            <w:hideMark/>
          </w:tcPr>
          <w:p w14:paraId="723E30AA" w14:textId="77777777" w:rsidR="00D03F78" w:rsidRPr="009E35ED" w:rsidRDefault="00D03F78" w:rsidP="00A27AC6">
            <w:pPr>
              <w:ind w:left="0"/>
              <w:jc w:val="left"/>
              <w:rPr>
                <w:rFonts w:ascii="Arial Narrow" w:hAnsi="Arial Narrow"/>
                <w:color w:val="000000" w:themeColor="text1"/>
                <w:sz w:val="16"/>
                <w:szCs w:val="16"/>
                <w:lang w:val="en-PH" w:eastAsia="en-PH"/>
              </w:rPr>
            </w:pPr>
          </w:p>
        </w:tc>
        <w:tc>
          <w:tcPr>
            <w:tcW w:w="3375" w:type="dxa"/>
            <w:gridSpan w:val="3"/>
            <w:shd w:val="clear" w:color="auto" w:fill="auto"/>
            <w:noWrap/>
            <w:vAlign w:val="center"/>
            <w:hideMark/>
          </w:tcPr>
          <w:p w14:paraId="56DDD667" w14:textId="20620741" w:rsidR="00D03F78" w:rsidRPr="009E35ED" w:rsidRDefault="00D03F78" w:rsidP="00A27AC6">
            <w:pPr>
              <w:ind w:left="0"/>
              <w:jc w:val="lef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 xml:space="preserve">Rent </w:t>
            </w:r>
            <w:r w:rsidR="00862892">
              <w:rPr>
                <w:rFonts w:ascii="Arial Narrow" w:hAnsi="Arial Narrow"/>
                <w:color w:val="000000" w:themeColor="text1"/>
                <w:sz w:val="16"/>
                <w:szCs w:val="16"/>
                <w:lang w:val="en-PH" w:eastAsia="en-PH"/>
              </w:rPr>
              <w:t>e</w:t>
            </w:r>
            <w:r w:rsidRPr="009E35ED">
              <w:rPr>
                <w:rFonts w:ascii="Arial Narrow" w:hAnsi="Arial Narrow"/>
                <w:color w:val="000000" w:themeColor="text1"/>
                <w:sz w:val="16"/>
                <w:szCs w:val="16"/>
                <w:lang w:val="en-PH" w:eastAsia="en-PH"/>
              </w:rPr>
              <w:t>xpenses</w:t>
            </w:r>
          </w:p>
        </w:tc>
        <w:tc>
          <w:tcPr>
            <w:tcW w:w="1161" w:type="dxa"/>
            <w:shd w:val="clear" w:color="auto" w:fill="auto"/>
            <w:noWrap/>
            <w:vAlign w:val="bottom"/>
          </w:tcPr>
          <w:p w14:paraId="177715F2" w14:textId="6A8AB45F" w:rsidR="00D03F78" w:rsidRPr="009E35ED" w:rsidRDefault="00CF510D" w:rsidP="000317AE">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324</w:t>
            </w:r>
            <w:r w:rsidR="000317AE" w:rsidRPr="009E35ED">
              <w:rPr>
                <w:rFonts w:ascii="Arial Narrow" w:hAnsi="Arial Narrow"/>
                <w:color w:val="000000" w:themeColor="text1"/>
                <w:sz w:val="16"/>
                <w:szCs w:val="16"/>
                <w:lang w:val="en-PH" w:eastAsia="en-PH"/>
              </w:rPr>
              <w:t>,</w:t>
            </w:r>
            <w:r w:rsidRPr="009E35ED">
              <w:rPr>
                <w:rFonts w:ascii="Arial Narrow" w:hAnsi="Arial Narrow"/>
                <w:color w:val="000000" w:themeColor="text1"/>
                <w:sz w:val="16"/>
                <w:szCs w:val="16"/>
                <w:lang w:val="en-PH" w:eastAsia="en-PH"/>
              </w:rPr>
              <w:t>330</w:t>
            </w:r>
            <w:r w:rsidR="000317AE" w:rsidRPr="009E35ED">
              <w:rPr>
                <w:rFonts w:ascii="Arial Narrow" w:hAnsi="Arial Narrow"/>
                <w:color w:val="000000" w:themeColor="text1"/>
                <w:sz w:val="16"/>
                <w:szCs w:val="16"/>
                <w:lang w:val="en-PH" w:eastAsia="en-PH"/>
              </w:rPr>
              <w:t>,</w:t>
            </w:r>
            <w:r w:rsidRPr="009E35ED">
              <w:rPr>
                <w:rFonts w:ascii="Arial Narrow" w:hAnsi="Arial Narrow"/>
                <w:color w:val="000000" w:themeColor="text1"/>
                <w:sz w:val="16"/>
                <w:szCs w:val="16"/>
                <w:lang w:val="en-PH" w:eastAsia="en-PH"/>
              </w:rPr>
              <w:t>267</w:t>
            </w:r>
          </w:p>
        </w:tc>
        <w:tc>
          <w:tcPr>
            <w:tcW w:w="1136" w:type="dxa"/>
            <w:shd w:val="clear" w:color="auto" w:fill="auto"/>
            <w:noWrap/>
            <w:vAlign w:val="bottom"/>
          </w:tcPr>
          <w:p w14:paraId="4E91A74D" w14:textId="47E90536" w:rsidR="00D03F78" w:rsidRPr="009E35ED" w:rsidRDefault="00CF510D" w:rsidP="000317AE">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562</w:t>
            </w:r>
            <w:r w:rsidR="000317AE" w:rsidRPr="009E35ED">
              <w:rPr>
                <w:rFonts w:ascii="Arial Narrow" w:hAnsi="Arial Narrow"/>
                <w:color w:val="000000" w:themeColor="text1"/>
                <w:sz w:val="16"/>
                <w:szCs w:val="16"/>
                <w:lang w:val="en-PH" w:eastAsia="en-PH"/>
              </w:rPr>
              <w:t>,</w:t>
            </w:r>
            <w:r w:rsidRPr="009E35ED">
              <w:rPr>
                <w:rFonts w:ascii="Arial Narrow" w:hAnsi="Arial Narrow"/>
                <w:color w:val="000000" w:themeColor="text1"/>
                <w:sz w:val="16"/>
                <w:szCs w:val="16"/>
                <w:lang w:val="en-PH" w:eastAsia="en-PH"/>
              </w:rPr>
              <w:t>795</w:t>
            </w:r>
            <w:r w:rsidR="000317AE" w:rsidRPr="009E35ED">
              <w:rPr>
                <w:rFonts w:ascii="Arial Narrow" w:hAnsi="Arial Narrow"/>
                <w:color w:val="000000" w:themeColor="text1"/>
                <w:sz w:val="16"/>
                <w:szCs w:val="16"/>
                <w:lang w:val="en-PH" w:eastAsia="en-PH"/>
              </w:rPr>
              <w:t>,</w:t>
            </w:r>
            <w:r w:rsidRPr="009E35ED">
              <w:rPr>
                <w:rFonts w:ascii="Arial Narrow" w:hAnsi="Arial Narrow"/>
                <w:color w:val="000000" w:themeColor="text1"/>
                <w:sz w:val="16"/>
                <w:szCs w:val="16"/>
                <w:lang w:val="en-PH" w:eastAsia="en-PH"/>
              </w:rPr>
              <w:t>394</w:t>
            </w:r>
          </w:p>
        </w:tc>
        <w:tc>
          <w:tcPr>
            <w:tcW w:w="1129" w:type="dxa"/>
            <w:shd w:val="clear" w:color="auto" w:fill="auto"/>
            <w:noWrap/>
            <w:vAlign w:val="bottom"/>
          </w:tcPr>
          <w:p w14:paraId="44CC0C44" w14:textId="5B62434F" w:rsidR="00D03F78" w:rsidRPr="009E35ED" w:rsidRDefault="00CF510D" w:rsidP="000317AE">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1</w:t>
            </w:r>
            <w:r w:rsidR="000317AE" w:rsidRPr="009E35ED">
              <w:rPr>
                <w:rFonts w:ascii="Arial Narrow" w:hAnsi="Arial Narrow"/>
                <w:color w:val="000000" w:themeColor="text1"/>
                <w:sz w:val="16"/>
                <w:szCs w:val="16"/>
                <w:lang w:val="en-PH" w:eastAsia="en-PH"/>
              </w:rPr>
              <w:t>,</w:t>
            </w:r>
            <w:r w:rsidRPr="009E35ED">
              <w:rPr>
                <w:rFonts w:ascii="Arial Narrow" w:hAnsi="Arial Narrow"/>
                <w:color w:val="000000" w:themeColor="text1"/>
                <w:sz w:val="16"/>
                <w:szCs w:val="16"/>
                <w:lang w:val="en-PH" w:eastAsia="en-PH"/>
              </w:rPr>
              <w:t>031</w:t>
            </w:r>
            <w:r w:rsidR="000317AE" w:rsidRPr="009E35ED">
              <w:rPr>
                <w:rFonts w:ascii="Arial Narrow" w:hAnsi="Arial Narrow"/>
                <w:color w:val="000000" w:themeColor="text1"/>
                <w:sz w:val="16"/>
                <w:szCs w:val="16"/>
                <w:lang w:val="en-PH" w:eastAsia="en-PH"/>
              </w:rPr>
              <w:t>,</w:t>
            </w:r>
            <w:r w:rsidRPr="009E35ED">
              <w:rPr>
                <w:rFonts w:ascii="Arial Narrow" w:hAnsi="Arial Narrow"/>
                <w:color w:val="000000" w:themeColor="text1"/>
                <w:sz w:val="16"/>
                <w:szCs w:val="16"/>
                <w:lang w:val="en-PH" w:eastAsia="en-PH"/>
              </w:rPr>
              <w:t>791</w:t>
            </w:r>
            <w:r w:rsidR="000317AE" w:rsidRPr="009E35ED">
              <w:rPr>
                <w:rFonts w:ascii="Arial Narrow" w:hAnsi="Arial Narrow"/>
                <w:color w:val="000000" w:themeColor="text1"/>
                <w:sz w:val="16"/>
                <w:szCs w:val="16"/>
                <w:lang w:val="en-PH" w:eastAsia="en-PH"/>
              </w:rPr>
              <w:t>,</w:t>
            </w:r>
            <w:r w:rsidRPr="009E35ED">
              <w:rPr>
                <w:rFonts w:ascii="Arial Narrow" w:hAnsi="Arial Narrow"/>
                <w:color w:val="000000" w:themeColor="text1"/>
                <w:sz w:val="16"/>
                <w:szCs w:val="16"/>
                <w:lang w:val="en-PH" w:eastAsia="en-PH"/>
              </w:rPr>
              <w:t>555</w:t>
            </w:r>
          </w:p>
        </w:tc>
        <w:tc>
          <w:tcPr>
            <w:tcW w:w="1161" w:type="dxa"/>
            <w:shd w:val="clear" w:color="auto" w:fill="auto"/>
            <w:noWrap/>
            <w:vAlign w:val="bottom"/>
          </w:tcPr>
          <w:p w14:paraId="62FF57A1" w14:textId="4F4C2175" w:rsidR="00D03F78" w:rsidRPr="009E35ED" w:rsidRDefault="00EB1F3A" w:rsidP="00A27AC6">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1,918,917,216</w:t>
            </w:r>
          </w:p>
        </w:tc>
      </w:tr>
      <w:tr w:rsidR="00997F75" w:rsidRPr="009E35ED" w14:paraId="4B186DE3" w14:textId="77777777" w:rsidTr="00EB1F3A">
        <w:trPr>
          <w:trHeight w:val="56"/>
        </w:trPr>
        <w:tc>
          <w:tcPr>
            <w:tcW w:w="567" w:type="dxa"/>
            <w:shd w:val="clear" w:color="auto" w:fill="auto"/>
            <w:noWrap/>
            <w:vAlign w:val="bottom"/>
            <w:hideMark/>
          </w:tcPr>
          <w:p w14:paraId="1F095EC5" w14:textId="77777777" w:rsidR="000F5207" w:rsidRPr="009E35ED" w:rsidRDefault="000F5207" w:rsidP="000F5207">
            <w:pPr>
              <w:ind w:left="0"/>
              <w:jc w:val="right"/>
              <w:rPr>
                <w:rFonts w:ascii="Arial Narrow" w:hAnsi="Arial Narrow"/>
                <w:color w:val="000000" w:themeColor="text1"/>
                <w:sz w:val="16"/>
                <w:szCs w:val="16"/>
                <w:lang w:val="en-PH" w:eastAsia="en-PH"/>
              </w:rPr>
            </w:pPr>
          </w:p>
        </w:tc>
        <w:tc>
          <w:tcPr>
            <w:tcW w:w="3375" w:type="dxa"/>
            <w:gridSpan w:val="3"/>
            <w:shd w:val="clear" w:color="auto" w:fill="auto"/>
            <w:noWrap/>
            <w:vAlign w:val="center"/>
            <w:hideMark/>
          </w:tcPr>
          <w:p w14:paraId="45857C1D" w14:textId="6BBD1AA8" w:rsidR="000F5207" w:rsidRPr="009E35ED" w:rsidRDefault="000F5207" w:rsidP="000F5207">
            <w:pPr>
              <w:ind w:left="0"/>
              <w:jc w:val="lef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 xml:space="preserve">Advertising </w:t>
            </w:r>
            <w:r w:rsidR="00862892">
              <w:rPr>
                <w:rFonts w:ascii="Arial Narrow" w:hAnsi="Arial Narrow"/>
                <w:color w:val="000000" w:themeColor="text1"/>
                <w:sz w:val="16"/>
                <w:szCs w:val="16"/>
                <w:lang w:val="en-PH" w:eastAsia="en-PH"/>
              </w:rPr>
              <w:t>e</w:t>
            </w:r>
            <w:r w:rsidRPr="009E35ED">
              <w:rPr>
                <w:rFonts w:ascii="Arial Narrow" w:hAnsi="Arial Narrow"/>
                <w:color w:val="000000" w:themeColor="text1"/>
                <w:sz w:val="16"/>
                <w:szCs w:val="16"/>
                <w:lang w:val="en-PH" w:eastAsia="en-PH"/>
              </w:rPr>
              <w:t>xpenses</w:t>
            </w:r>
          </w:p>
        </w:tc>
        <w:tc>
          <w:tcPr>
            <w:tcW w:w="1161" w:type="dxa"/>
            <w:shd w:val="clear" w:color="auto" w:fill="auto"/>
            <w:noWrap/>
            <w:vAlign w:val="bottom"/>
          </w:tcPr>
          <w:p w14:paraId="2CF7487E" w14:textId="435C1F34" w:rsidR="000F5207" w:rsidRPr="009E35ED" w:rsidRDefault="000F5207" w:rsidP="000F5207">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19,041,985</w:t>
            </w:r>
          </w:p>
        </w:tc>
        <w:tc>
          <w:tcPr>
            <w:tcW w:w="1136" w:type="dxa"/>
            <w:shd w:val="clear" w:color="auto" w:fill="auto"/>
            <w:noWrap/>
            <w:vAlign w:val="bottom"/>
          </w:tcPr>
          <w:p w14:paraId="25A4C917" w14:textId="2601F0D3" w:rsidR="000F5207" w:rsidRPr="009E35ED" w:rsidRDefault="000F5207" w:rsidP="000F5207">
            <w:pPr>
              <w:ind w:left="-167"/>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129" w:type="dxa"/>
            <w:shd w:val="clear" w:color="auto" w:fill="auto"/>
            <w:noWrap/>
            <w:vAlign w:val="bottom"/>
          </w:tcPr>
          <w:p w14:paraId="3DC33D7D" w14:textId="2CAAC5BA" w:rsidR="000F5207" w:rsidRPr="009E35ED" w:rsidRDefault="000F5207" w:rsidP="000F5207">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161" w:type="dxa"/>
            <w:shd w:val="clear" w:color="auto" w:fill="auto"/>
            <w:noWrap/>
            <w:vAlign w:val="bottom"/>
          </w:tcPr>
          <w:p w14:paraId="061ABEDA" w14:textId="15A33588" w:rsidR="000F5207" w:rsidRPr="009E35ED" w:rsidRDefault="000F5207" w:rsidP="000F5207">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19,041,985</w:t>
            </w:r>
          </w:p>
        </w:tc>
      </w:tr>
      <w:tr w:rsidR="00997F75" w:rsidRPr="009E35ED" w14:paraId="5F571111" w14:textId="77777777" w:rsidTr="00EB1F3A">
        <w:trPr>
          <w:trHeight w:val="56"/>
        </w:trPr>
        <w:tc>
          <w:tcPr>
            <w:tcW w:w="567" w:type="dxa"/>
            <w:shd w:val="clear" w:color="auto" w:fill="auto"/>
            <w:noWrap/>
            <w:vAlign w:val="bottom"/>
            <w:hideMark/>
          </w:tcPr>
          <w:p w14:paraId="033C7C41" w14:textId="77777777" w:rsidR="000F5207" w:rsidRPr="009E35ED" w:rsidRDefault="000F5207" w:rsidP="000F5207">
            <w:pPr>
              <w:ind w:left="0"/>
              <w:jc w:val="right"/>
              <w:rPr>
                <w:rFonts w:ascii="Arial Narrow" w:hAnsi="Arial Narrow"/>
                <w:color w:val="000000" w:themeColor="text1"/>
                <w:sz w:val="16"/>
                <w:szCs w:val="16"/>
                <w:lang w:val="en-PH" w:eastAsia="en-PH"/>
              </w:rPr>
            </w:pPr>
          </w:p>
        </w:tc>
        <w:tc>
          <w:tcPr>
            <w:tcW w:w="3375" w:type="dxa"/>
            <w:gridSpan w:val="3"/>
            <w:shd w:val="clear" w:color="auto" w:fill="auto"/>
            <w:noWrap/>
            <w:vAlign w:val="center"/>
            <w:hideMark/>
          </w:tcPr>
          <w:p w14:paraId="42777479" w14:textId="50B49B43" w:rsidR="000F5207" w:rsidRPr="009E35ED" w:rsidRDefault="000F5207" w:rsidP="000F5207">
            <w:pPr>
              <w:ind w:left="0"/>
              <w:jc w:val="lef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 xml:space="preserve">Donation </w:t>
            </w:r>
            <w:r w:rsidR="00862892">
              <w:rPr>
                <w:rFonts w:ascii="Arial Narrow" w:hAnsi="Arial Narrow"/>
                <w:color w:val="000000" w:themeColor="text1"/>
                <w:sz w:val="16"/>
                <w:szCs w:val="16"/>
                <w:lang w:val="en-PH" w:eastAsia="en-PH"/>
              </w:rPr>
              <w:t>e</w:t>
            </w:r>
            <w:r w:rsidRPr="009E35ED">
              <w:rPr>
                <w:rFonts w:ascii="Arial Narrow" w:hAnsi="Arial Narrow"/>
                <w:color w:val="000000" w:themeColor="text1"/>
                <w:sz w:val="16"/>
                <w:szCs w:val="16"/>
                <w:lang w:val="en-PH" w:eastAsia="en-PH"/>
              </w:rPr>
              <w:t>xpenses</w:t>
            </w:r>
          </w:p>
        </w:tc>
        <w:tc>
          <w:tcPr>
            <w:tcW w:w="1161" w:type="dxa"/>
            <w:shd w:val="clear" w:color="auto" w:fill="auto"/>
            <w:noWrap/>
            <w:vAlign w:val="bottom"/>
          </w:tcPr>
          <w:p w14:paraId="7BBC1BE6" w14:textId="4716B3AA" w:rsidR="000F5207" w:rsidRPr="009E35ED" w:rsidRDefault="000F5207" w:rsidP="0014356C">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23,143,49</w:t>
            </w:r>
            <w:r w:rsidR="0014356C" w:rsidRPr="009E35ED">
              <w:rPr>
                <w:rFonts w:ascii="Arial Narrow" w:hAnsi="Arial Narrow"/>
                <w:color w:val="000000" w:themeColor="text1"/>
                <w:sz w:val="16"/>
                <w:szCs w:val="16"/>
                <w:lang w:val="en-PH" w:eastAsia="en-PH"/>
              </w:rPr>
              <w:t>4</w:t>
            </w:r>
          </w:p>
        </w:tc>
        <w:tc>
          <w:tcPr>
            <w:tcW w:w="1136" w:type="dxa"/>
            <w:shd w:val="clear" w:color="auto" w:fill="auto"/>
            <w:noWrap/>
            <w:vAlign w:val="bottom"/>
          </w:tcPr>
          <w:p w14:paraId="7A874482" w14:textId="338089EC" w:rsidR="000F5207" w:rsidRPr="009E35ED" w:rsidRDefault="000F5207" w:rsidP="000F5207">
            <w:pPr>
              <w:ind w:left="-167"/>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129" w:type="dxa"/>
            <w:shd w:val="clear" w:color="auto" w:fill="auto"/>
            <w:noWrap/>
            <w:vAlign w:val="bottom"/>
          </w:tcPr>
          <w:p w14:paraId="325C161B" w14:textId="2E702A57" w:rsidR="000F5207" w:rsidRPr="009E35ED" w:rsidRDefault="000F5207" w:rsidP="000F5207">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161" w:type="dxa"/>
            <w:shd w:val="clear" w:color="auto" w:fill="auto"/>
            <w:noWrap/>
            <w:vAlign w:val="bottom"/>
          </w:tcPr>
          <w:p w14:paraId="11C8CC6C" w14:textId="16469800" w:rsidR="000F5207" w:rsidRPr="009E35ED" w:rsidRDefault="000F5207" w:rsidP="000F5207">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23,143,49</w:t>
            </w:r>
            <w:r w:rsidR="00D04277" w:rsidRPr="009E35ED">
              <w:rPr>
                <w:rFonts w:ascii="Arial Narrow" w:hAnsi="Arial Narrow"/>
                <w:color w:val="000000" w:themeColor="text1"/>
                <w:sz w:val="16"/>
                <w:szCs w:val="16"/>
                <w:lang w:val="en-PH" w:eastAsia="en-PH"/>
              </w:rPr>
              <w:t>4</w:t>
            </w:r>
          </w:p>
        </w:tc>
      </w:tr>
      <w:tr w:rsidR="00997F75" w:rsidRPr="009E35ED" w14:paraId="5BADBA7F" w14:textId="77777777" w:rsidTr="00EB1F3A">
        <w:trPr>
          <w:trHeight w:val="56"/>
        </w:trPr>
        <w:tc>
          <w:tcPr>
            <w:tcW w:w="567" w:type="dxa"/>
            <w:shd w:val="clear" w:color="auto" w:fill="auto"/>
            <w:noWrap/>
            <w:vAlign w:val="bottom"/>
            <w:hideMark/>
          </w:tcPr>
          <w:p w14:paraId="2A369E1B" w14:textId="77777777" w:rsidR="000F5207" w:rsidRPr="009E35ED" w:rsidRDefault="000F5207" w:rsidP="000F5207">
            <w:pPr>
              <w:ind w:left="0"/>
              <w:jc w:val="right"/>
              <w:rPr>
                <w:rFonts w:ascii="Arial Narrow" w:hAnsi="Arial Narrow"/>
                <w:color w:val="000000" w:themeColor="text1"/>
                <w:sz w:val="16"/>
                <w:szCs w:val="16"/>
                <w:lang w:val="en-PH" w:eastAsia="en-PH"/>
              </w:rPr>
            </w:pPr>
          </w:p>
        </w:tc>
        <w:tc>
          <w:tcPr>
            <w:tcW w:w="3375" w:type="dxa"/>
            <w:gridSpan w:val="3"/>
            <w:shd w:val="clear" w:color="auto" w:fill="auto"/>
            <w:noWrap/>
            <w:vAlign w:val="center"/>
            <w:hideMark/>
          </w:tcPr>
          <w:p w14:paraId="0C5C3EFD" w14:textId="326AB285" w:rsidR="000F5207" w:rsidRPr="009E35ED" w:rsidRDefault="000F5207" w:rsidP="000F5207">
            <w:pPr>
              <w:ind w:left="0"/>
              <w:jc w:val="lef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 xml:space="preserve">Documentary </w:t>
            </w:r>
            <w:r w:rsidR="00862892">
              <w:rPr>
                <w:rFonts w:ascii="Arial Narrow" w:hAnsi="Arial Narrow"/>
                <w:color w:val="000000" w:themeColor="text1"/>
                <w:sz w:val="16"/>
                <w:szCs w:val="16"/>
                <w:lang w:val="en-PH" w:eastAsia="en-PH"/>
              </w:rPr>
              <w:t>s</w:t>
            </w:r>
            <w:r w:rsidRPr="009E35ED">
              <w:rPr>
                <w:rFonts w:ascii="Arial Narrow" w:hAnsi="Arial Narrow"/>
                <w:color w:val="000000" w:themeColor="text1"/>
                <w:sz w:val="16"/>
                <w:szCs w:val="16"/>
                <w:lang w:val="en-PH" w:eastAsia="en-PH"/>
              </w:rPr>
              <w:t xml:space="preserve">tamps </w:t>
            </w:r>
            <w:r w:rsidR="00862892">
              <w:rPr>
                <w:rFonts w:ascii="Arial Narrow" w:hAnsi="Arial Narrow"/>
                <w:color w:val="000000" w:themeColor="text1"/>
                <w:sz w:val="16"/>
                <w:szCs w:val="16"/>
                <w:lang w:val="en-PH" w:eastAsia="en-PH"/>
              </w:rPr>
              <w:t>e</w:t>
            </w:r>
            <w:r w:rsidRPr="009E35ED">
              <w:rPr>
                <w:rFonts w:ascii="Arial Narrow" w:hAnsi="Arial Narrow"/>
                <w:color w:val="000000" w:themeColor="text1"/>
                <w:sz w:val="16"/>
                <w:szCs w:val="16"/>
                <w:lang w:val="en-PH" w:eastAsia="en-PH"/>
              </w:rPr>
              <w:t>xpenses</w:t>
            </w:r>
          </w:p>
        </w:tc>
        <w:tc>
          <w:tcPr>
            <w:tcW w:w="1161" w:type="dxa"/>
            <w:shd w:val="clear" w:color="auto" w:fill="auto"/>
            <w:noWrap/>
            <w:vAlign w:val="bottom"/>
          </w:tcPr>
          <w:p w14:paraId="49E926D5" w14:textId="70E6886F" w:rsidR="000F5207" w:rsidRPr="009E35ED" w:rsidRDefault="000F5207" w:rsidP="000F5207">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136" w:type="dxa"/>
            <w:shd w:val="clear" w:color="auto" w:fill="auto"/>
            <w:noWrap/>
            <w:vAlign w:val="bottom"/>
          </w:tcPr>
          <w:p w14:paraId="108398B1" w14:textId="2B1CA3F1" w:rsidR="000F5207" w:rsidRPr="009E35ED" w:rsidRDefault="0014356C" w:rsidP="000F5207">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11,482,665,732</w:t>
            </w:r>
          </w:p>
        </w:tc>
        <w:tc>
          <w:tcPr>
            <w:tcW w:w="1129" w:type="dxa"/>
            <w:shd w:val="clear" w:color="auto" w:fill="auto"/>
            <w:noWrap/>
            <w:vAlign w:val="bottom"/>
          </w:tcPr>
          <w:p w14:paraId="23857394" w14:textId="2015272C" w:rsidR="000F5207" w:rsidRPr="009E35ED" w:rsidRDefault="000F5207" w:rsidP="000F5207">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161" w:type="dxa"/>
            <w:shd w:val="clear" w:color="auto" w:fill="auto"/>
            <w:noWrap/>
            <w:vAlign w:val="bottom"/>
          </w:tcPr>
          <w:p w14:paraId="51AFADDC" w14:textId="01B4E9D4" w:rsidR="000F5207" w:rsidRPr="009E35ED" w:rsidRDefault="000F5207" w:rsidP="000F5207">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11,482,665,73</w:t>
            </w:r>
            <w:r w:rsidR="0014356C" w:rsidRPr="009E35ED">
              <w:rPr>
                <w:rFonts w:ascii="Arial Narrow" w:hAnsi="Arial Narrow"/>
                <w:color w:val="000000" w:themeColor="text1"/>
                <w:sz w:val="16"/>
                <w:szCs w:val="16"/>
                <w:lang w:val="en-PH" w:eastAsia="en-PH"/>
              </w:rPr>
              <w:t>2</w:t>
            </w:r>
          </w:p>
        </w:tc>
      </w:tr>
      <w:tr w:rsidR="00997F75" w:rsidRPr="009E35ED" w14:paraId="263D3641" w14:textId="77777777" w:rsidTr="00EB1F3A">
        <w:trPr>
          <w:trHeight w:val="56"/>
        </w:trPr>
        <w:tc>
          <w:tcPr>
            <w:tcW w:w="567" w:type="dxa"/>
            <w:shd w:val="clear" w:color="auto" w:fill="auto"/>
            <w:noWrap/>
            <w:vAlign w:val="bottom"/>
            <w:hideMark/>
          </w:tcPr>
          <w:p w14:paraId="32D8715B" w14:textId="77777777" w:rsidR="000F5207" w:rsidRPr="009E35ED" w:rsidRDefault="000F5207" w:rsidP="000F5207">
            <w:pPr>
              <w:ind w:left="0"/>
              <w:jc w:val="right"/>
              <w:rPr>
                <w:rFonts w:ascii="Arial Narrow" w:hAnsi="Arial Narrow"/>
                <w:color w:val="000000" w:themeColor="text1"/>
                <w:sz w:val="16"/>
                <w:szCs w:val="16"/>
                <w:lang w:val="en-PH" w:eastAsia="en-PH"/>
              </w:rPr>
            </w:pPr>
          </w:p>
        </w:tc>
        <w:tc>
          <w:tcPr>
            <w:tcW w:w="3375" w:type="dxa"/>
            <w:gridSpan w:val="3"/>
            <w:shd w:val="clear" w:color="auto" w:fill="auto"/>
            <w:noWrap/>
            <w:vAlign w:val="center"/>
            <w:hideMark/>
          </w:tcPr>
          <w:p w14:paraId="34817405" w14:textId="7CA77C87" w:rsidR="000F5207" w:rsidRPr="009E35ED" w:rsidRDefault="000F5207" w:rsidP="000F5207">
            <w:pPr>
              <w:ind w:left="0"/>
              <w:jc w:val="lef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 xml:space="preserve">Transportation and </w:t>
            </w:r>
            <w:r w:rsidR="00862892">
              <w:rPr>
                <w:rFonts w:ascii="Arial Narrow" w:hAnsi="Arial Narrow"/>
                <w:color w:val="000000" w:themeColor="text1"/>
                <w:sz w:val="16"/>
                <w:szCs w:val="16"/>
                <w:lang w:val="en-PH" w:eastAsia="en-PH"/>
              </w:rPr>
              <w:t>d</w:t>
            </w:r>
            <w:r w:rsidRPr="009E35ED">
              <w:rPr>
                <w:rFonts w:ascii="Arial Narrow" w:hAnsi="Arial Narrow"/>
                <w:color w:val="000000" w:themeColor="text1"/>
                <w:sz w:val="16"/>
                <w:szCs w:val="16"/>
                <w:lang w:val="en-PH" w:eastAsia="en-PH"/>
              </w:rPr>
              <w:t xml:space="preserve">elivery </w:t>
            </w:r>
            <w:r w:rsidR="00862892">
              <w:rPr>
                <w:rFonts w:ascii="Arial Narrow" w:hAnsi="Arial Narrow"/>
                <w:color w:val="000000" w:themeColor="text1"/>
                <w:sz w:val="16"/>
                <w:szCs w:val="16"/>
                <w:lang w:val="en-PH" w:eastAsia="en-PH"/>
              </w:rPr>
              <w:t>e</w:t>
            </w:r>
            <w:r w:rsidRPr="009E35ED">
              <w:rPr>
                <w:rFonts w:ascii="Arial Narrow" w:hAnsi="Arial Narrow"/>
                <w:color w:val="000000" w:themeColor="text1"/>
                <w:sz w:val="16"/>
                <w:szCs w:val="16"/>
                <w:lang w:val="en-PH" w:eastAsia="en-PH"/>
              </w:rPr>
              <w:t>xpenses</w:t>
            </w:r>
          </w:p>
        </w:tc>
        <w:tc>
          <w:tcPr>
            <w:tcW w:w="1161" w:type="dxa"/>
            <w:shd w:val="clear" w:color="auto" w:fill="auto"/>
            <w:noWrap/>
            <w:vAlign w:val="bottom"/>
          </w:tcPr>
          <w:p w14:paraId="654CB3FD" w14:textId="612F3CDD" w:rsidR="000F5207" w:rsidRPr="009E35ED" w:rsidRDefault="000F5207" w:rsidP="0014356C">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3,376,</w:t>
            </w:r>
            <w:r w:rsidR="0014356C" w:rsidRPr="009E35ED">
              <w:rPr>
                <w:rFonts w:ascii="Arial Narrow" w:hAnsi="Arial Narrow"/>
                <w:color w:val="000000" w:themeColor="text1"/>
                <w:sz w:val="16"/>
                <w:szCs w:val="16"/>
                <w:lang w:val="en-PH" w:eastAsia="en-PH"/>
              </w:rPr>
              <w:t>232</w:t>
            </w:r>
          </w:p>
        </w:tc>
        <w:tc>
          <w:tcPr>
            <w:tcW w:w="1136" w:type="dxa"/>
            <w:shd w:val="clear" w:color="auto" w:fill="auto"/>
            <w:noWrap/>
            <w:vAlign w:val="bottom"/>
          </w:tcPr>
          <w:p w14:paraId="4AA1D863" w14:textId="4B438E86" w:rsidR="000F5207" w:rsidRPr="009E35ED" w:rsidRDefault="000F5207" w:rsidP="000F5207">
            <w:pPr>
              <w:ind w:left="-167"/>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129" w:type="dxa"/>
            <w:shd w:val="clear" w:color="auto" w:fill="auto"/>
            <w:noWrap/>
            <w:vAlign w:val="bottom"/>
          </w:tcPr>
          <w:p w14:paraId="3DF721E3" w14:textId="668C751C" w:rsidR="000F5207" w:rsidRPr="009E35ED" w:rsidRDefault="000F5207" w:rsidP="000F5207">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161" w:type="dxa"/>
            <w:shd w:val="clear" w:color="auto" w:fill="auto"/>
            <w:noWrap/>
            <w:vAlign w:val="bottom"/>
          </w:tcPr>
          <w:p w14:paraId="4CDBC5B9" w14:textId="28721D94" w:rsidR="000F5207" w:rsidRPr="009E35ED" w:rsidRDefault="000F5207" w:rsidP="0014356C">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3,376,</w:t>
            </w:r>
            <w:r w:rsidR="0014356C" w:rsidRPr="009E35ED">
              <w:rPr>
                <w:rFonts w:ascii="Arial Narrow" w:hAnsi="Arial Narrow"/>
                <w:color w:val="000000" w:themeColor="text1"/>
                <w:sz w:val="16"/>
                <w:szCs w:val="16"/>
                <w:lang w:val="en-PH" w:eastAsia="en-PH"/>
              </w:rPr>
              <w:t>232</w:t>
            </w:r>
          </w:p>
        </w:tc>
      </w:tr>
      <w:tr w:rsidR="00997F75" w:rsidRPr="009E35ED" w14:paraId="0CF4FAB5" w14:textId="77777777" w:rsidTr="00EB1F3A">
        <w:trPr>
          <w:trHeight w:val="56"/>
        </w:trPr>
        <w:tc>
          <w:tcPr>
            <w:tcW w:w="567" w:type="dxa"/>
            <w:shd w:val="clear" w:color="auto" w:fill="auto"/>
            <w:noWrap/>
            <w:vAlign w:val="bottom"/>
            <w:hideMark/>
          </w:tcPr>
          <w:p w14:paraId="1557329C" w14:textId="77777777" w:rsidR="000F5207" w:rsidRPr="009E35ED" w:rsidRDefault="000F5207" w:rsidP="000F5207">
            <w:pPr>
              <w:ind w:left="0"/>
              <w:jc w:val="right"/>
              <w:rPr>
                <w:rFonts w:ascii="Arial Narrow" w:hAnsi="Arial Narrow"/>
                <w:color w:val="000000" w:themeColor="text1"/>
                <w:sz w:val="16"/>
                <w:szCs w:val="16"/>
                <w:lang w:val="en-PH" w:eastAsia="en-PH"/>
              </w:rPr>
            </w:pPr>
          </w:p>
        </w:tc>
        <w:tc>
          <w:tcPr>
            <w:tcW w:w="3375" w:type="dxa"/>
            <w:gridSpan w:val="3"/>
            <w:shd w:val="clear" w:color="auto" w:fill="auto"/>
            <w:noWrap/>
            <w:vAlign w:val="center"/>
            <w:hideMark/>
          </w:tcPr>
          <w:p w14:paraId="4D3D39BA" w14:textId="6E8412CE" w:rsidR="000F5207" w:rsidRPr="009E35ED" w:rsidRDefault="000F5207" w:rsidP="000F5207">
            <w:pPr>
              <w:ind w:left="0"/>
              <w:jc w:val="lef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 xml:space="preserve">Printing and </w:t>
            </w:r>
            <w:r w:rsidR="00862892">
              <w:rPr>
                <w:rFonts w:ascii="Arial Narrow" w:hAnsi="Arial Narrow"/>
                <w:color w:val="000000" w:themeColor="text1"/>
                <w:sz w:val="16"/>
                <w:szCs w:val="16"/>
                <w:lang w:val="en-PH" w:eastAsia="en-PH"/>
              </w:rPr>
              <w:t>p</w:t>
            </w:r>
            <w:r w:rsidRPr="009E35ED">
              <w:rPr>
                <w:rFonts w:ascii="Arial Narrow" w:hAnsi="Arial Narrow"/>
                <w:color w:val="000000" w:themeColor="text1"/>
                <w:sz w:val="16"/>
                <w:szCs w:val="16"/>
                <w:lang w:val="en-PH" w:eastAsia="en-PH"/>
              </w:rPr>
              <w:t xml:space="preserve">ublication </w:t>
            </w:r>
            <w:r w:rsidR="00862892">
              <w:rPr>
                <w:rFonts w:ascii="Arial Narrow" w:hAnsi="Arial Narrow"/>
                <w:color w:val="000000" w:themeColor="text1"/>
                <w:sz w:val="16"/>
                <w:szCs w:val="16"/>
                <w:lang w:val="en-PH" w:eastAsia="en-PH"/>
              </w:rPr>
              <w:t>e</w:t>
            </w:r>
            <w:r w:rsidRPr="009E35ED">
              <w:rPr>
                <w:rFonts w:ascii="Arial Narrow" w:hAnsi="Arial Narrow"/>
                <w:color w:val="000000" w:themeColor="text1"/>
                <w:sz w:val="16"/>
                <w:szCs w:val="16"/>
                <w:lang w:val="en-PH" w:eastAsia="en-PH"/>
              </w:rPr>
              <w:t>xpenses</w:t>
            </w:r>
          </w:p>
        </w:tc>
        <w:tc>
          <w:tcPr>
            <w:tcW w:w="1161" w:type="dxa"/>
            <w:shd w:val="clear" w:color="auto" w:fill="auto"/>
            <w:noWrap/>
            <w:vAlign w:val="bottom"/>
          </w:tcPr>
          <w:p w14:paraId="40DC711B" w14:textId="350CB402" w:rsidR="000F5207" w:rsidRPr="009E35ED" w:rsidRDefault="000F5207" w:rsidP="000F5207">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590,114,423</w:t>
            </w:r>
          </w:p>
        </w:tc>
        <w:tc>
          <w:tcPr>
            <w:tcW w:w="1136" w:type="dxa"/>
            <w:shd w:val="clear" w:color="auto" w:fill="auto"/>
            <w:noWrap/>
            <w:vAlign w:val="bottom"/>
          </w:tcPr>
          <w:p w14:paraId="63EBFF29" w14:textId="79BF85DD" w:rsidR="000F5207" w:rsidRPr="009E35ED" w:rsidRDefault="000F5207" w:rsidP="000F5207">
            <w:pPr>
              <w:ind w:left="-167"/>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129" w:type="dxa"/>
            <w:shd w:val="clear" w:color="auto" w:fill="auto"/>
            <w:noWrap/>
            <w:vAlign w:val="bottom"/>
          </w:tcPr>
          <w:p w14:paraId="6FA8A660" w14:textId="3575A0DE" w:rsidR="000F5207" w:rsidRPr="009E35ED" w:rsidRDefault="000F5207" w:rsidP="000F5207">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161" w:type="dxa"/>
            <w:shd w:val="clear" w:color="auto" w:fill="auto"/>
            <w:noWrap/>
            <w:vAlign w:val="bottom"/>
          </w:tcPr>
          <w:p w14:paraId="3403B2F4" w14:textId="0455ADCC" w:rsidR="000F5207" w:rsidRPr="009E35ED" w:rsidRDefault="000F5207" w:rsidP="000F5207">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590,114,423</w:t>
            </w:r>
          </w:p>
        </w:tc>
      </w:tr>
      <w:tr w:rsidR="00997F75" w:rsidRPr="009E35ED" w14:paraId="1ECC72F3" w14:textId="77777777" w:rsidTr="00EB1F3A">
        <w:trPr>
          <w:trHeight w:val="56"/>
        </w:trPr>
        <w:tc>
          <w:tcPr>
            <w:tcW w:w="567" w:type="dxa"/>
            <w:shd w:val="clear" w:color="auto" w:fill="auto"/>
            <w:noWrap/>
            <w:vAlign w:val="bottom"/>
            <w:hideMark/>
          </w:tcPr>
          <w:p w14:paraId="2D42B0D8" w14:textId="77777777" w:rsidR="000F5207" w:rsidRPr="009E35ED" w:rsidRDefault="000F5207" w:rsidP="000F5207">
            <w:pPr>
              <w:ind w:left="0"/>
              <w:jc w:val="right"/>
              <w:rPr>
                <w:rFonts w:ascii="Arial Narrow" w:hAnsi="Arial Narrow"/>
                <w:color w:val="000000" w:themeColor="text1"/>
                <w:sz w:val="16"/>
                <w:szCs w:val="16"/>
                <w:lang w:val="en-PH" w:eastAsia="en-PH"/>
              </w:rPr>
            </w:pPr>
          </w:p>
        </w:tc>
        <w:tc>
          <w:tcPr>
            <w:tcW w:w="3375" w:type="dxa"/>
            <w:gridSpan w:val="3"/>
            <w:shd w:val="clear" w:color="auto" w:fill="auto"/>
            <w:noWrap/>
            <w:vAlign w:val="center"/>
            <w:hideMark/>
          </w:tcPr>
          <w:p w14:paraId="7287260F" w14:textId="5BD25495" w:rsidR="000F5207" w:rsidRPr="009E35ED" w:rsidRDefault="000F5207" w:rsidP="000F5207">
            <w:pPr>
              <w:ind w:left="0"/>
              <w:jc w:val="lef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 xml:space="preserve">Representation </w:t>
            </w:r>
            <w:r w:rsidR="00862892">
              <w:rPr>
                <w:rFonts w:ascii="Arial Narrow" w:hAnsi="Arial Narrow"/>
                <w:color w:val="000000" w:themeColor="text1"/>
                <w:sz w:val="16"/>
                <w:szCs w:val="16"/>
                <w:lang w:val="en-PH" w:eastAsia="en-PH"/>
              </w:rPr>
              <w:t>e</w:t>
            </w:r>
            <w:r w:rsidRPr="009E35ED">
              <w:rPr>
                <w:rFonts w:ascii="Arial Narrow" w:hAnsi="Arial Narrow"/>
                <w:color w:val="000000" w:themeColor="text1"/>
                <w:sz w:val="16"/>
                <w:szCs w:val="16"/>
                <w:lang w:val="en-PH" w:eastAsia="en-PH"/>
              </w:rPr>
              <w:t>xpenses</w:t>
            </w:r>
          </w:p>
        </w:tc>
        <w:tc>
          <w:tcPr>
            <w:tcW w:w="1161" w:type="dxa"/>
            <w:shd w:val="clear" w:color="auto" w:fill="auto"/>
            <w:noWrap/>
            <w:vAlign w:val="bottom"/>
          </w:tcPr>
          <w:p w14:paraId="45CBF440" w14:textId="42BE2E30" w:rsidR="000F5207" w:rsidRPr="009E35ED" w:rsidRDefault="000F5207" w:rsidP="000F5207">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275,913</w:t>
            </w:r>
          </w:p>
        </w:tc>
        <w:tc>
          <w:tcPr>
            <w:tcW w:w="1136" w:type="dxa"/>
            <w:shd w:val="clear" w:color="auto" w:fill="auto"/>
            <w:noWrap/>
            <w:vAlign w:val="bottom"/>
          </w:tcPr>
          <w:p w14:paraId="3C661D2F" w14:textId="437F71A9" w:rsidR="000F5207" w:rsidRPr="009E35ED" w:rsidRDefault="000F5207" w:rsidP="000F5207">
            <w:pPr>
              <w:ind w:left="-167"/>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129" w:type="dxa"/>
            <w:shd w:val="clear" w:color="auto" w:fill="auto"/>
            <w:noWrap/>
            <w:vAlign w:val="bottom"/>
          </w:tcPr>
          <w:p w14:paraId="347A5710" w14:textId="7CA93B7D" w:rsidR="000F5207" w:rsidRPr="009E35ED" w:rsidRDefault="000F5207" w:rsidP="000F5207">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161" w:type="dxa"/>
            <w:shd w:val="clear" w:color="auto" w:fill="auto"/>
            <w:noWrap/>
            <w:vAlign w:val="bottom"/>
          </w:tcPr>
          <w:p w14:paraId="546AC320" w14:textId="65F92AF2" w:rsidR="000F5207" w:rsidRPr="009E35ED" w:rsidRDefault="000F5207" w:rsidP="000F5207">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275,913</w:t>
            </w:r>
          </w:p>
        </w:tc>
      </w:tr>
      <w:tr w:rsidR="00997F75" w:rsidRPr="009E35ED" w14:paraId="0C24A337" w14:textId="77777777" w:rsidTr="00EB1F3A">
        <w:trPr>
          <w:trHeight w:val="56"/>
        </w:trPr>
        <w:tc>
          <w:tcPr>
            <w:tcW w:w="567" w:type="dxa"/>
            <w:shd w:val="clear" w:color="auto" w:fill="auto"/>
            <w:noWrap/>
            <w:vAlign w:val="bottom"/>
            <w:hideMark/>
          </w:tcPr>
          <w:p w14:paraId="2462A354" w14:textId="77777777" w:rsidR="000F5207" w:rsidRPr="009E35ED" w:rsidRDefault="000F5207" w:rsidP="000F5207">
            <w:pPr>
              <w:ind w:left="0"/>
              <w:jc w:val="right"/>
              <w:rPr>
                <w:rFonts w:ascii="Arial Narrow" w:hAnsi="Arial Narrow"/>
                <w:color w:val="000000" w:themeColor="text1"/>
                <w:sz w:val="16"/>
                <w:szCs w:val="16"/>
                <w:lang w:val="en-PH" w:eastAsia="en-PH"/>
              </w:rPr>
            </w:pPr>
          </w:p>
        </w:tc>
        <w:tc>
          <w:tcPr>
            <w:tcW w:w="3375" w:type="dxa"/>
            <w:gridSpan w:val="3"/>
            <w:shd w:val="clear" w:color="auto" w:fill="auto"/>
            <w:noWrap/>
            <w:vAlign w:val="center"/>
            <w:hideMark/>
          </w:tcPr>
          <w:p w14:paraId="77209931" w14:textId="4AB20A88" w:rsidR="000F5207" w:rsidRPr="009E35ED" w:rsidRDefault="000F5207" w:rsidP="000F5207">
            <w:pPr>
              <w:ind w:left="0"/>
              <w:jc w:val="lef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Membership</w:t>
            </w:r>
            <w:r w:rsidR="00862892">
              <w:rPr>
                <w:rFonts w:ascii="Arial Narrow" w:hAnsi="Arial Narrow"/>
                <w:color w:val="000000" w:themeColor="text1"/>
                <w:sz w:val="16"/>
                <w:szCs w:val="16"/>
                <w:lang w:val="en-PH" w:eastAsia="en-PH"/>
              </w:rPr>
              <w:t xml:space="preserve"> d</w:t>
            </w:r>
            <w:r w:rsidRPr="009E35ED">
              <w:rPr>
                <w:rFonts w:ascii="Arial Narrow" w:hAnsi="Arial Narrow"/>
                <w:color w:val="000000" w:themeColor="text1"/>
                <w:sz w:val="16"/>
                <w:szCs w:val="16"/>
                <w:lang w:val="en-PH" w:eastAsia="en-PH"/>
              </w:rPr>
              <w:t xml:space="preserve">ues &amp; </w:t>
            </w:r>
            <w:r w:rsidR="00862892">
              <w:rPr>
                <w:rFonts w:ascii="Arial Narrow" w:hAnsi="Arial Narrow"/>
                <w:color w:val="000000" w:themeColor="text1"/>
                <w:sz w:val="16"/>
                <w:szCs w:val="16"/>
                <w:lang w:val="en-PH" w:eastAsia="en-PH"/>
              </w:rPr>
              <w:t>c</w:t>
            </w:r>
            <w:r w:rsidRPr="009E35ED">
              <w:rPr>
                <w:rFonts w:ascii="Arial Narrow" w:hAnsi="Arial Narrow"/>
                <w:color w:val="000000" w:themeColor="text1"/>
                <w:sz w:val="16"/>
                <w:szCs w:val="16"/>
                <w:lang w:val="en-PH" w:eastAsia="en-PH"/>
              </w:rPr>
              <w:t xml:space="preserve">ontribution to </w:t>
            </w:r>
            <w:r w:rsidR="00862892">
              <w:rPr>
                <w:rFonts w:ascii="Arial Narrow" w:hAnsi="Arial Narrow"/>
                <w:color w:val="000000" w:themeColor="text1"/>
                <w:sz w:val="16"/>
                <w:szCs w:val="16"/>
                <w:lang w:val="en-PH" w:eastAsia="en-PH"/>
              </w:rPr>
              <w:t>o</w:t>
            </w:r>
            <w:r w:rsidRPr="009E35ED">
              <w:rPr>
                <w:rFonts w:ascii="Arial Narrow" w:hAnsi="Arial Narrow"/>
                <w:color w:val="000000" w:themeColor="text1"/>
                <w:sz w:val="16"/>
                <w:szCs w:val="16"/>
                <w:lang w:val="en-PH" w:eastAsia="en-PH"/>
              </w:rPr>
              <w:t>rganization</w:t>
            </w:r>
          </w:p>
        </w:tc>
        <w:tc>
          <w:tcPr>
            <w:tcW w:w="1161" w:type="dxa"/>
            <w:shd w:val="clear" w:color="auto" w:fill="auto"/>
            <w:noWrap/>
            <w:vAlign w:val="bottom"/>
          </w:tcPr>
          <w:p w14:paraId="38A1D82C" w14:textId="360A7044" w:rsidR="000F5207" w:rsidRPr="009E35ED" w:rsidRDefault="000F5207" w:rsidP="000F5207">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393,578</w:t>
            </w:r>
          </w:p>
        </w:tc>
        <w:tc>
          <w:tcPr>
            <w:tcW w:w="1136" w:type="dxa"/>
            <w:shd w:val="clear" w:color="auto" w:fill="auto"/>
            <w:noWrap/>
            <w:vAlign w:val="bottom"/>
          </w:tcPr>
          <w:p w14:paraId="33EEF510" w14:textId="0B383C56" w:rsidR="000F5207" w:rsidRPr="009E35ED" w:rsidRDefault="000F5207" w:rsidP="000F5207">
            <w:pPr>
              <w:ind w:left="-167"/>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129" w:type="dxa"/>
            <w:shd w:val="clear" w:color="auto" w:fill="auto"/>
            <w:noWrap/>
            <w:vAlign w:val="bottom"/>
          </w:tcPr>
          <w:p w14:paraId="713C41EC" w14:textId="035C1842" w:rsidR="000F5207" w:rsidRPr="009E35ED" w:rsidRDefault="000F5207" w:rsidP="000F5207">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161" w:type="dxa"/>
            <w:shd w:val="clear" w:color="auto" w:fill="auto"/>
            <w:noWrap/>
            <w:vAlign w:val="bottom"/>
          </w:tcPr>
          <w:p w14:paraId="2FB9F625" w14:textId="22F17CD4" w:rsidR="000F5207" w:rsidRPr="009E35ED" w:rsidRDefault="000F5207" w:rsidP="000F5207">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393,578</w:t>
            </w:r>
          </w:p>
        </w:tc>
      </w:tr>
      <w:tr w:rsidR="00997F75" w:rsidRPr="009E35ED" w14:paraId="65A32698" w14:textId="77777777" w:rsidTr="00EB1F3A">
        <w:trPr>
          <w:trHeight w:val="83"/>
        </w:trPr>
        <w:tc>
          <w:tcPr>
            <w:tcW w:w="567" w:type="dxa"/>
            <w:shd w:val="clear" w:color="auto" w:fill="auto"/>
            <w:noWrap/>
            <w:vAlign w:val="bottom"/>
            <w:hideMark/>
          </w:tcPr>
          <w:p w14:paraId="74962A2D" w14:textId="77777777" w:rsidR="000F5207" w:rsidRPr="009E35ED" w:rsidRDefault="000F5207" w:rsidP="000F5207">
            <w:pPr>
              <w:ind w:left="0"/>
              <w:jc w:val="right"/>
              <w:rPr>
                <w:rFonts w:ascii="Arial Narrow" w:hAnsi="Arial Narrow"/>
                <w:color w:val="000000" w:themeColor="text1"/>
                <w:sz w:val="16"/>
                <w:szCs w:val="16"/>
                <w:lang w:val="en-PH" w:eastAsia="en-PH"/>
              </w:rPr>
            </w:pPr>
          </w:p>
        </w:tc>
        <w:tc>
          <w:tcPr>
            <w:tcW w:w="3375" w:type="dxa"/>
            <w:gridSpan w:val="3"/>
            <w:shd w:val="clear" w:color="auto" w:fill="auto"/>
            <w:noWrap/>
            <w:vAlign w:val="center"/>
            <w:hideMark/>
          </w:tcPr>
          <w:p w14:paraId="3FDCFF34" w14:textId="2B4AE08B" w:rsidR="000F5207" w:rsidRPr="009E35ED" w:rsidRDefault="000F5207" w:rsidP="000F5207">
            <w:pPr>
              <w:ind w:left="0"/>
              <w:jc w:val="lef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 xml:space="preserve">Subscription </w:t>
            </w:r>
            <w:r w:rsidR="00862892">
              <w:rPr>
                <w:rFonts w:ascii="Arial Narrow" w:hAnsi="Arial Narrow"/>
                <w:color w:val="000000" w:themeColor="text1"/>
                <w:sz w:val="16"/>
                <w:szCs w:val="16"/>
                <w:lang w:val="en-PH" w:eastAsia="en-PH"/>
              </w:rPr>
              <w:t>e</w:t>
            </w:r>
            <w:r w:rsidRPr="009E35ED">
              <w:rPr>
                <w:rFonts w:ascii="Arial Narrow" w:hAnsi="Arial Narrow"/>
                <w:color w:val="000000" w:themeColor="text1"/>
                <w:sz w:val="16"/>
                <w:szCs w:val="16"/>
                <w:lang w:val="en-PH" w:eastAsia="en-PH"/>
              </w:rPr>
              <w:t>xpenses</w:t>
            </w:r>
          </w:p>
        </w:tc>
        <w:tc>
          <w:tcPr>
            <w:tcW w:w="1161" w:type="dxa"/>
            <w:shd w:val="clear" w:color="auto" w:fill="auto"/>
            <w:noWrap/>
            <w:vAlign w:val="bottom"/>
          </w:tcPr>
          <w:p w14:paraId="1C37354D" w14:textId="705DEF73" w:rsidR="000F5207" w:rsidRPr="009E35ED" w:rsidRDefault="000F5207" w:rsidP="000F5207">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136" w:type="dxa"/>
            <w:shd w:val="clear" w:color="auto" w:fill="auto"/>
            <w:noWrap/>
            <w:vAlign w:val="bottom"/>
          </w:tcPr>
          <w:p w14:paraId="0D04826C" w14:textId="53F5DE05" w:rsidR="000F5207" w:rsidRPr="009E35ED" w:rsidRDefault="000F5207" w:rsidP="000F5207">
            <w:pPr>
              <w:ind w:left="-167"/>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129" w:type="dxa"/>
            <w:shd w:val="clear" w:color="auto" w:fill="auto"/>
            <w:noWrap/>
            <w:vAlign w:val="bottom"/>
          </w:tcPr>
          <w:p w14:paraId="010C2C99" w14:textId="7F1B5A8A" w:rsidR="000F5207" w:rsidRPr="009E35ED" w:rsidRDefault="000F5207" w:rsidP="000F5207">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161" w:type="dxa"/>
            <w:shd w:val="clear" w:color="auto" w:fill="auto"/>
            <w:noWrap/>
            <w:vAlign w:val="bottom"/>
          </w:tcPr>
          <w:p w14:paraId="4B17A85F" w14:textId="4237FE48" w:rsidR="000F5207" w:rsidRPr="009E35ED" w:rsidRDefault="000F5207" w:rsidP="000F5207">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r>
      <w:tr w:rsidR="00997F75" w:rsidRPr="009E35ED" w14:paraId="6DD575D5" w14:textId="77777777" w:rsidTr="00EB1F3A">
        <w:trPr>
          <w:trHeight w:val="56"/>
        </w:trPr>
        <w:tc>
          <w:tcPr>
            <w:tcW w:w="567" w:type="dxa"/>
            <w:shd w:val="clear" w:color="auto" w:fill="auto"/>
            <w:noWrap/>
            <w:vAlign w:val="bottom"/>
            <w:hideMark/>
          </w:tcPr>
          <w:p w14:paraId="3F0C719B" w14:textId="77777777" w:rsidR="000F5207" w:rsidRPr="009E35ED" w:rsidRDefault="000F5207" w:rsidP="000F5207">
            <w:pPr>
              <w:ind w:left="0"/>
              <w:jc w:val="right"/>
              <w:rPr>
                <w:rFonts w:ascii="Arial Narrow" w:hAnsi="Arial Narrow"/>
                <w:color w:val="000000" w:themeColor="text1"/>
                <w:sz w:val="16"/>
                <w:szCs w:val="16"/>
                <w:lang w:val="en-PH" w:eastAsia="en-PH"/>
              </w:rPr>
            </w:pPr>
          </w:p>
        </w:tc>
        <w:tc>
          <w:tcPr>
            <w:tcW w:w="3375" w:type="dxa"/>
            <w:gridSpan w:val="3"/>
            <w:shd w:val="clear" w:color="auto" w:fill="auto"/>
            <w:noWrap/>
            <w:vAlign w:val="center"/>
            <w:hideMark/>
          </w:tcPr>
          <w:p w14:paraId="5B6F1FB9" w14:textId="0B878ED5" w:rsidR="000F5207" w:rsidRPr="009E35ED" w:rsidRDefault="000F5207" w:rsidP="000F5207">
            <w:pPr>
              <w:ind w:left="0"/>
              <w:jc w:val="lef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 xml:space="preserve">Directors and </w:t>
            </w:r>
            <w:r w:rsidR="00862892">
              <w:rPr>
                <w:rFonts w:ascii="Arial Narrow" w:hAnsi="Arial Narrow"/>
                <w:color w:val="000000" w:themeColor="text1"/>
                <w:sz w:val="16"/>
                <w:szCs w:val="16"/>
                <w:lang w:val="en-PH" w:eastAsia="en-PH"/>
              </w:rPr>
              <w:t>c</w:t>
            </w:r>
            <w:r w:rsidRPr="009E35ED">
              <w:rPr>
                <w:rFonts w:ascii="Arial Narrow" w:hAnsi="Arial Narrow"/>
                <w:color w:val="000000" w:themeColor="text1"/>
                <w:sz w:val="16"/>
                <w:szCs w:val="16"/>
                <w:lang w:val="en-PH" w:eastAsia="en-PH"/>
              </w:rPr>
              <w:t xml:space="preserve">ommittee </w:t>
            </w:r>
            <w:r w:rsidR="00862892">
              <w:rPr>
                <w:rFonts w:ascii="Arial Narrow" w:hAnsi="Arial Narrow"/>
                <w:color w:val="000000" w:themeColor="text1"/>
                <w:sz w:val="16"/>
                <w:szCs w:val="16"/>
                <w:lang w:val="en-PH" w:eastAsia="en-PH"/>
              </w:rPr>
              <w:t>m</w:t>
            </w:r>
            <w:r w:rsidRPr="009E35ED">
              <w:rPr>
                <w:rFonts w:ascii="Arial Narrow" w:hAnsi="Arial Narrow"/>
                <w:color w:val="000000" w:themeColor="text1"/>
                <w:sz w:val="16"/>
                <w:szCs w:val="16"/>
                <w:lang w:val="en-PH" w:eastAsia="en-PH"/>
              </w:rPr>
              <w:t xml:space="preserve">embers' </w:t>
            </w:r>
            <w:r w:rsidR="00862892">
              <w:rPr>
                <w:rFonts w:ascii="Arial Narrow" w:hAnsi="Arial Narrow"/>
                <w:color w:val="000000" w:themeColor="text1"/>
                <w:sz w:val="16"/>
                <w:szCs w:val="16"/>
                <w:lang w:val="en-PH" w:eastAsia="en-PH"/>
              </w:rPr>
              <w:t>f</w:t>
            </w:r>
            <w:r w:rsidRPr="009E35ED">
              <w:rPr>
                <w:rFonts w:ascii="Arial Narrow" w:hAnsi="Arial Narrow"/>
                <w:color w:val="000000" w:themeColor="text1"/>
                <w:sz w:val="16"/>
                <w:szCs w:val="16"/>
                <w:lang w:val="en-PH" w:eastAsia="en-PH"/>
              </w:rPr>
              <w:t>ees</w:t>
            </w:r>
          </w:p>
        </w:tc>
        <w:tc>
          <w:tcPr>
            <w:tcW w:w="1161" w:type="dxa"/>
            <w:shd w:val="clear" w:color="auto" w:fill="auto"/>
            <w:noWrap/>
            <w:vAlign w:val="bottom"/>
          </w:tcPr>
          <w:p w14:paraId="5120E2EF" w14:textId="66E7D69C" w:rsidR="000F5207" w:rsidRPr="009E35ED" w:rsidRDefault="000F5207" w:rsidP="000F5207">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5,140,520</w:t>
            </w:r>
          </w:p>
        </w:tc>
        <w:tc>
          <w:tcPr>
            <w:tcW w:w="1136" w:type="dxa"/>
            <w:shd w:val="clear" w:color="auto" w:fill="auto"/>
            <w:noWrap/>
            <w:vAlign w:val="bottom"/>
          </w:tcPr>
          <w:p w14:paraId="75AEC5C9" w14:textId="567026EC" w:rsidR="000F5207" w:rsidRPr="009E35ED" w:rsidRDefault="000F5207" w:rsidP="000F5207">
            <w:pPr>
              <w:ind w:left="-167"/>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129" w:type="dxa"/>
            <w:shd w:val="clear" w:color="auto" w:fill="auto"/>
            <w:noWrap/>
            <w:vAlign w:val="bottom"/>
          </w:tcPr>
          <w:p w14:paraId="4CE69D7D" w14:textId="576D53AC" w:rsidR="000F5207" w:rsidRPr="009E35ED" w:rsidRDefault="000F5207" w:rsidP="000F5207">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161" w:type="dxa"/>
            <w:shd w:val="clear" w:color="auto" w:fill="auto"/>
            <w:noWrap/>
            <w:vAlign w:val="bottom"/>
          </w:tcPr>
          <w:p w14:paraId="4634ACC9" w14:textId="254E8E9C" w:rsidR="000F5207" w:rsidRPr="009E35ED" w:rsidRDefault="000F5207" w:rsidP="000F5207">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5,140,520</w:t>
            </w:r>
          </w:p>
        </w:tc>
      </w:tr>
      <w:tr w:rsidR="00997F75" w:rsidRPr="009E35ED" w14:paraId="7DB4B25B" w14:textId="77777777" w:rsidTr="00EB1F3A">
        <w:trPr>
          <w:trHeight w:val="132"/>
        </w:trPr>
        <w:tc>
          <w:tcPr>
            <w:tcW w:w="567" w:type="dxa"/>
            <w:shd w:val="clear" w:color="auto" w:fill="auto"/>
            <w:noWrap/>
            <w:vAlign w:val="bottom"/>
            <w:hideMark/>
          </w:tcPr>
          <w:p w14:paraId="31164BEA" w14:textId="77777777" w:rsidR="000F5207" w:rsidRPr="009E35ED" w:rsidRDefault="000F5207" w:rsidP="000F5207">
            <w:pPr>
              <w:ind w:left="0"/>
              <w:jc w:val="right"/>
              <w:rPr>
                <w:rFonts w:ascii="Arial Narrow" w:hAnsi="Arial Narrow"/>
                <w:color w:val="000000" w:themeColor="text1"/>
                <w:sz w:val="16"/>
                <w:szCs w:val="16"/>
                <w:lang w:val="en-PH" w:eastAsia="en-PH"/>
              </w:rPr>
            </w:pPr>
          </w:p>
        </w:tc>
        <w:tc>
          <w:tcPr>
            <w:tcW w:w="3375" w:type="dxa"/>
            <w:gridSpan w:val="3"/>
            <w:shd w:val="clear" w:color="auto" w:fill="auto"/>
            <w:noWrap/>
            <w:vAlign w:val="center"/>
            <w:hideMark/>
          </w:tcPr>
          <w:p w14:paraId="3F6B1A43" w14:textId="2BD0F61B" w:rsidR="000F5207" w:rsidRPr="009E35ED" w:rsidRDefault="000F5207" w:rsidP="000F5207">
            <w:pPr>
              <w:ind w:left="0"/>
              <w:jc w:val="lef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 xml:space="preserve">Lottery </w:t>
            </w:r>
            <w:r w:rsidR="00862892">
              <w:rPr>
                <w:rFonts w:ascii="Arial Narrow" w:hAnsi="Arial Narrow"/>
                <w:color w:val="000000" w:themeColor="text1"/>
                <w:sz w:val="16"/>
                <w:szCs w:val="16"/>
                <w:lang w:val="en-PH" w:eastAsia="en-PH"/>
              </w:rPr>
              <w:t>d</w:t>
            </w:r>
            <w:r w:rsidRPr="009E35ED">
              <w:rPr>
                <w:rFonts w:ascii="Arial Narrow" w:hAnsi="Arial Narrow"/>
                <w:color w:val="000000" w:themeColor="text1"/>
                <w:sz w:val="16"/>
                <w:szCs w:val="16"/>
                <w:lang w:val="en-PH" w:eastAsia="en-PH"/>
              </w:rPr>
              <w:t xml:space="preserve">raws </w:t>
            </w:r>
            <w:r w:rsidR="00862892">
              <w:rPr>
                <w:rFonts w:ascii="Arial Narrow" w:hAnsi="Arial Narrow"/>
                <w:color w:val="000000" w:themeColor="text1"/>
                <w:sz w:val="16"/>
                <w:szCs w:val="16"/>
                <w:lang w:val="en-PH" w:eastAsia="en-PH"/>
              </w:rPr>
              <w:t>e</w:t>
            </w:r>
            <w:r w:rsidRPr="009E35ED">
              <w:rPr>
                <w:rFonts w:ascii="Arial Narrow" w:hAnsi="Arial Narrow"/>
                <w:color w:val="000000" w:themeColor="text1"/>
                <w:sz w:val="16"/>
                <w:szCs w:val="16"/>
                <w:lang w:val="en-PH" w:eastAsia="en-PH"/>
              </w:rPr>
              <w:t>xpenses</w:t>
            </w:r>
          </w:p>
        </w:tc>
        <w:tc>
          <w:tcPr>
            <w:tcW w:w="1161" w:type="dxa"/>
            <w:shd w:val="clear" w:color="auto" w:fill="auto"/>
            <w:noWrap/>
            <w:vAlign w:val="bottom"/>
          </w:tcPr>
          <w:p w14:paraId="0ADB5668" w14:textId="2099D8B5" w:rsidR="000F5207" w:rsidRPr="009E35ED" w:rsidRDefault="000F5207" w:rsidP="0014356C">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210,724,54</w:t>
            </w:r>
            <w:r w:rsidR="0014356C" w:rsidRPr="009E35ED">
              <w:rPr>
                <w:rFonts w:ascii="Arial Narrow" w:hAnsi="Arial Narrow"/>
                <w:color w:val="000000" w:themeColor="text1"/>
                <w:sz w:val="16"/>
                <w:szCs w:val="16"/>
                <w:lang w:val="en-PH" w:eastAsia="en-PH"/>
              </w:rPr>
              <w:t>1</w:t>
            </w:r>
          </w:p>
        </w:tc>
        <w:tc>
          <w:tcPr>
            <w:tcW w:w="1136" w:type="dxa"/>
            <w:shd w:val="clear" w:color="auto" w:fill="auto"/>
            <w:noWrap/>
            <w:vAlign w:val="bottom"/>
          </w:tcPr>
          <w:p w14:paraId="1B8E93FF" w14:textId="27920474" w:rsidR="000F5207" w:rsidRPr="009E35ED" w:rsidRDefault="000F5207" w:rsidP="000F5207">
            <w:pPr>
              <w:ind w:left="-167"/>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129" w:type="dxa"/>
            <w:shd w:val="clear" w:color="auto" w:fill="auto"/>
            <w:noWrap/>
            <w:vAlign w:val="bottom"/>
          </w:tcPr>
          <w:p w14:paraId="47D06AAA" w14:textId="182FCAEC" w:rsidR="000F5207" w:rsidRPr="009E35ED" w:rsidRDefault="000F5207" w:rsidP="000F5207">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161" w:type="dxa"/>
            <w:shd w:val="clear" w:color="auto" w:fill="auto"/>
            <w:noWrap/>
            <w:vAlign w:val="bottom"/>
          </w:tcPr>
          <w:p w14:paraId="2198CB1C" w14:textId="56AE3094" w:rsidR="000F5207" w:rsidRPr="009E35ED" w:rsidRDefault="000F5207" w:rsidP="000F5207">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210,724,54</w:t>
            </w:r>
            <w:r w:rsidR="00D04277" w:rsidRPr="009E35ED">
              <w:rPr>
                <w:rFonts w:ascii="Arial Narrow" w:hAnsi="Arial Narrow"/>
                <w:color w:val="000000" w:themeColor="text1"/>
                <w:sz w:val="16"/>
                <w:szCs w:val="16"/>
                <w:lang w:val="en-PH" w:eastAsia="en-PH"/>
              </w:rPr>
              <w:t>1</w:t>
            </w:r>
          </w:p>
        </w:tc>
      </w:tr>
      <w:tr w:rsidR="00997F75" w:rsidRPr="009E35ED" w14:paraId="422BC8DC" w14:textId="77777777" w:rsidTr="00EB1F3A">
        <w:trPr>
          <w:trHeight w:val="56"/>
        </w:trPr>
        <w:tc>
          <w:tcPr>
            <w:tcW w:w="567" w:type="dxa"/>
            <w:shd w:val="clear" w:color="auto" w:fill="auto"/>
            <w:noWrap/>
            <w:vAlign w:val="bottom"/>
            <w:hideMark/>
          </w:tcPr>
          <w:p w14:paraId="182B4E50" w14:textId="77777777" w:rsidR="000F5207" w:rsidRPr="009E35ED" w:rsidRDefault="000F5207" w:rsidP="000F5207">
            <w:pPr>
              <w:ind w:left="0"/>
              <w:jc w:val="right"/>
              <w:rPr>
                <w:rFonts w:ascii="Arial Narrow" w:hAnsi="Arial Narrow"/>
                <w:color w:val="000000" w:themeColor="text1"/>
                <w:sz w:val="16"/>
                <w:szCs w:val="16"/>
                <w:lang w:val="en-PH" w:eastAsia="en-PH"/>
              </w:rPr>
            </w:pPr>
          </w:p>
        </w:tc>
        <w:tc>
          <w:tcPr>
            <w:tcW w:w="3375" w:type="dxa"/>
            <w:gridSpan w:val="3"/>
            <w:shd w:val="clear" w:color="auto" w:fill="auto"/>
            <w:noWrap/>
            <w:vAlign w:val="center"/>
            <w:hideMark/>
          </w:tcPr>
          <w:p w14:paraId="50681346" w14:textId="5711D30E" w:rsidR="000F5207" w:rsidRPr="009E35ED" w:rsidRDefault="000F5207" w:rsidP="000F5207">
            <w:pPr>
              <w:ind w:left="0"/>
              <w:jc w:val="lef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 xml:space="preserve">Fees and </w:t>
            </w:r>
            <w:r w:rsidR="00862892">
              <w:rPr>
                <w:rFonts w:ascii="Arial Narrow" w:hAnsi="Arial Narrow"/>
                <w:color w:val="000000" w:themeColor="text1"/>
                <w:sz w:val="16"/>
                <w:szCs w:val="16"/>
                <w:lang w:val="en-PH" w:eastAsia="en-PH"/>
              </w:rPr>
              <w:t>c</w:t>
            </w:r>
            <w:r w:rsidRPr="009E35ED">
              <w:rPr>
                <w:rFonts w:ascii="Arial Narrow" w:hAnsi="Arial Narrow"/>
                <w:color w:val="000000" w:themeColor="text1"/>
                <w:sz w:val="16"/>
                <w:szCs w:val="16"/>
                <w:lang w:val="en-PH" w:eastAsia="en-PH"/>
              </w:rPr>
              <w:t xml:space="preserve">ommission - </w:t>
            </w:r>
            <w:r w:rsidR="00862892">
              <w:rPr>
                <w:rFonts w:ascii="Arial Narrow" w:hAnsi="Arial Narrow"/>
                <w:color w:val="000000" w:themeColor="text1"/>
                <w:sz w:val="16"/>
                <w:szCs w:val="16"/>
                <w:lang w:val="en-PH" w:eastAsia="en-PH"/>
              </w:rPr>
              <w:t>c</w:t>
            </w:r>
            <w:r w:rsidRPr="009E35ED">
              <w:rPr>
                <w:rFonts w:ascii="Arial Narrow" w:hAnsi="Arial Narrow"/>
                <w:color w:val="000000" w:themeColor="text1"/>
                <w:sz w:val="16"/>
                <w:szCs w:val="16"/>
                <w:lang w:val="en-PH" w:eastAsia="en-PH"/>
              </w:rPr>
              <w:t xml:space="preserve">ommission </w:t>
            </w:r>
            <w:r w:rsidR="00862892">
              <w:rPr>
                <w:rFonts w:ascii="Arial Narrow" w:hAnsi="Arial Narrow"/>
                <w:color w:val="000000" w:themeColor="text1"/>
                <w:sz w:val="16"/>
                <w:szCs w:val="16"/>
                <w:lang w:val="en-PH" w:eastAsia="en-PH"/>
              </w:rPr>
              <w:t>e</w:t>
            </w:r>
            <w:r w:rsidRPr="009E35ED">
              <w:rPr>
                <w:rFonts w:ascii="Arial Narrow" w:hAnsi="Arial Narrow"/>
                <w:color w:val="000000" w:themeColor="text1"/>
                <w:sz w:val="16"/>
                <w:szCs w:val="16"/>
                <w:lang w:val="en-PH" w:eastAsia="en-PH"/>
              </w:rPr>
              <w:t>xpenses</w:t>
            </w:r>
          </w:p>
        </w:tc>
        <w:tc>
          <w:tcPr>
            <w:tcW w:w="1161" w:type="dxa"/>
            <w:shd w:val="clear" w:color="auto" w:fill="auto"/>
            <w:noWrap/>
            <w:vAlign w:val="bottom"/>
          </w:tcPr>
          <w:p w14:paraId="43B857D2" w14:textId="1F606791" w:rsidR="000F5207" w:rsidRPr="009E35ED" w:rsidRDefault="000F5207" w:rsidP="000F5207">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136" w:type="dxa"/>
            <w:shd w:val="clear" w:color="auto" w:fill="auto"/>
            <w:noWrap/>
            <w:vAlign w:val="bottom"/>
          </w:tcPr>
          <w:p w14:paraId="120DE2A4" w14:textId="3EDA6E58" w:rsidR="000F5207" w:rsidRPr="009E35ED" w:rsidRDefault="000F5207" w:rsidP="000F5207">
            <w:pPr>
              <w:ind w:left="-167"/>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129" w:type="dxa"/>
            <w:shd w:val="clear" w:color="auto" w:fill="auto"/>
            <w:noWrap/>
            <w:vAlign w:val="bottom"/>
          </w:tcPr>
          <w:p w14:paraId="39BC6EC4" w14:textId="17F1E4F0" w:rsidR="000F5207" w:rsidRPr="009E35ED" w:rsidRDefault="000F5207" w:rsidP="000F5207">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7,514,682,94</w:t>
            </w:r>
            <w:r w:rsidR="0014356C" w:rsidRPr="009E35ED">
              <w:rPr>
                <w:rFonts w:ascii="Arial Narrow" w:hAnsi="Arial Narrow"/>
                <w:color w:val="000000" w:themeColor="text1"/>
                <w:sz w:val="16"/>
                <w:szCs w:val="16"/>
                <w:lang w:val="en-PH" w:eastAsia="en-PH"/>
              </w:rPr>
              <w:t>2</w:t>
            </w:r>
          </w:p>
        </w:tc>
        <w:tc>
          <w:tcPr>
            <w:tcW w:w="1161" w:type="dxa"/>
            <w:shd w:val="clear" w:color="auto" w:fill="auto"/>
            <w:noWrap/>
            <w:vAlign w:val="bottom"/>
          </w:tcPr>
          <w:p w14:paraId="0CF23018" w14:textId="025DF520" w:rsidR="000F5207" w:rsidRPr="009E35ED" w:rsidRDefault="000F5207" w:rsidP="000F5207">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7,514,682,94</w:t>
            </w:r>
            <w:r w:rsidR="0014356C" w:rsidRPr="009E35ED">
              <w:rPr>
                <w:rFonts w:ascii="Arial Narrow" w:hAnsi="Arial Narrow"/>
                <w:color w:val="000000" w:themeColor="text1"/>
                <w:sz w:val="16"/>
                <w:szCs w:val="16"/>
                <w:lang w:val="en-PH" w:eastAsia="en-PH"/>
              </w:rPr>
              <w:t>2</w:t>
            </w:r>
          </w:p>
        </w:tc>
      </w:tr>
      <w:tr w:rsidR="00997F75" w:rsidRPr="009E35ED" w14:paraId="6EF61361" w14:textId="77777777" w:rsidTr="00EB1F3A">
        <w:trPr>
          <w:trHeight w:val="121"/>
        </w:trPr>
        <w:tc>
          <w:tcPr>
            <w:tcW w:w="567" w:type="dxa"/>
            <w:shd w:val="clear" w:color="auto" w:fill="auto"/>
            <w:noWrap/>
            <w:vAlign w:val="bottom"/>
            <w:hideMark/>
          </w:tcPr>
          <w:p w14:paraId="24C565FB" w14:textId="77777777" w:rsidR="000F5207" w:rsidRPr="009E35ED" w:rsidRDefault="000F5207" w:rsidP="000F5207">
            <w:pPr>
              <w:ind w:left="0"/>
              <w:jc w:val="right"/>
              <w:rPr>
                <w:rFonts w:ascii="Arial Narrow" w:hAnsi="Arial Narrow"/>
                <w:color w:val="000000" w:themeColor="text1"/>
                <w:sz w:val="16"/>
                <w:szCs w:val="16"/>
                <w:lang w:val="en-PH" w:eastAsia="en-PH"/>
              </w:rPr>
            </w:pPr>
          </w:p>
        </w:tc>
        <w:tc>
          <w:tcPr>
            <w:tcW w:w="3375" w:type="dxa"/>
            <w:gridSpan w:val="3"/>
            <w:shd w:val="clear" w:color="auto" w:fill="auto"/>
            <w:noWrap/>
            <w:vAlign w:val="center"/>
            <w:hideMark/>
          </w:tcPr>
          <w:p w14:paraId="43E621A7" w14:textId="20246A37" w:rsidR="000F5207" w:rsidRPr="009E35ED" w:rsidRDefault="000F5207" w:rsidP="000F5207">
            <w:pPr>
              <w:ind w:left="0"/>
              <w:jc w:val="lef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 xml:space="preserve">Other </w:t>
            </w:r>
            <w:r w:rsidR="00862892">
              <w:rPr>
                <w:rFonts w:ascii="Arial Narrow" w:hAnsi="Arial Narrow"/>
                <w:color w:val="000000" w:themeColor="text1"/>
                <w:sz w:val="16"/>
                <w:szCs w:val="16"/>
                <w:lang w:val="en-PH" w:eastAsia="en-PH"/>
              </w:rPr>
              <w:t>m</w:t>
            </w:r>
            <w:r w:rsidRPr="009E35ED">
              <w:rPr>
                <w:rFonts w:ascii="Arial Narrow" w:hAnsi="Arial Narrow"/>
                <w:color w:val="000000" w:themeColor="text1"/>
                <w:sz w:val="16"/>
                <w:szCs w:val="16"/>
                <w:lang w:val="en-PH" w:eastAsia="en-PH"/>
              </w:rPr>
              <w:t xml:space="preserve">aintenance and </w:t>
            </w:r>
            <w:r w:rsidR="00862892">
              <w:rPr>
                <w:rFonts w:ascii="Arial Narrow" w:hAnsi="Arial Narrow"/>
                <w:color w:val="000000" w:themeColor="text1"/>
                <w:sz w:val="16"/>
                <w:szCs w:val="16"/>
                <w:lang w:val="en-PH" w:eastAsia="en-PH"/>
              </w:rPr>
              <w:t>o</w:t>
            </w:r>
            <w:r w:rsidRPr="009E35ED">
              <w:rPr>
                <w:rFonts w:ascii="Arial Narrow" w:hAnsi="Arial Narrow"/>
                <w:color w:val="000000" w:themeColor="text1"/>
                <w:sz w:val="16"/>
                <w:szCs w:val="16"/>
                <w:lang w:val="en-PH" w:eastAsia="en-PH"/>
              </w:rPr>
              <w:t xml:space="preserve">perating </w:t>
            </w:r>
            <w:r w:rsidR="00862892">
              <w:rPr>
                <w:rFonts w:ascii="Arial Narrow" w:hAnsi="Arial Narrow"/>
                <w:color w:val="000000" w:themeColor="text1"/>
                <w:sz w:val="16"/>
                <w:szCs w:val="16"/>
                <w:lang w:val="en-PH" w:eastAsia="en-PH"/>
              </w:rPr>
              <w:t>e</w:t>
            </w:r>
            <w:r w:rsidRPr="009E35ED">
              <w:rPr>
                <w:rFonts w:ascii="Arial Narrow" w:hAnsi="Arial Narrow"/>
                <w:color w:val="000000" w:themeColor="text1"/>
                <w:sz w:val="16"/>
                <w:szCs w:val="16"/>
                <w:lang w:val="en-PH" w:eastAsia="en-PH"/>
              </w:rPr>
              <w:t>xpenses</w:t>
            </w:r>
          </w:p>
        </w:tc>
        <w:tc>
          <w:tcPr>
            <w:tcW w:w="1161" w:type="dxa"/>
            <w:shd w:val="clear" w:color="auto" w:fill="auto"/>
            <w:noWrap/>
            <w:vAlign w:val="bottom"/>
          </w:tcPr>
          <w:p w14:paraId="6EA5EAD7" w14:textId="7D0E127A" w:rsidR="000F5207" w:rsidRPr="009E35ED" w:rsidRDefault="0014356C" w:rsidP="000F5207">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278,802,601</w:t>
            </w:r>
          </w:p>
        </w:tc>
        <w:tc>
          <w:tcPr>
            <w:tcW w:w="1136" w:type="dxa"/>
            <w:shd w:val="clear" w:color="auto" w:fill="auto"/>
            <w:noWrap/>
            <w:vAlign w:val="bottom"/>
          </w:tcPr>
          <w:p w14:paraId="6E2F3EE0" w14:textId="510BACD2" w:rsidR="000F5207" w:rsidRPr="009E35ED" w:rsidRDefault="000F5207" w:rsidP="000F5207">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63,062,144</w:t>
            </w:r>
          </w:p>
        </w:tc>
        <w:tc>
          <w:tcPr>
            <w:tcW w:w="1129" w:type="dxa"/>
            <w:shd w:val="clear" w:color="auto" w:fill="auto"/>
            <w:noWrap/>
            <w:vAlign w:val="bottom"/>
          </w:tcPr>
          <w:p w14:paraId="258C127C" w14:textId="056E5406" w:rsidR="000F5207" w:rsidRPr="009E35ED" w:rsidRDefault="000F5207" w:rsidP="000F5207">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161" w:type="dxa"/>
            <w:shd w:val="clear" w:color="auto" w:fill="auto"/>
            <w:noWrap/>
            <w:vAlign w:val="bottom"/>
          </w:tcPr>
          <w:p w14:paraId="09ADE34F" w14:textId="642603FF" w:rsidR="000F5207" w:rsidRPr="009E35ED" w:rsidRDefault="0014356C" w:rsidP="000F5207">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341,864,745</w:t>
            </w:r>
          </w:p>
        </w:tc>
      </w:tr>
      <w:tr w:rsidR="00997F75" w:rsidRPr="009E35ED" w14:paraId="3D40BB0B" w14:textId="77777777" w:rsidTr="00EB1F3A">
        <w:trPr>
          <w:trHeight w:val="56"/>
        </w:trPr>
        <w:tc>
          <w:tcPr>
            <w:tcW w:w="3942" w:type="dxa"/>
            <w:gridSpan w:val="4"/>
            <w:shd w:val="clear" w:color="auto" w:fill="auto"/>
            <w:noWrap/>
            <w:vAlign w:val="bottom"/>
          </w:tcPr>
          <w:p w14:paraId="71526D97" w14:textId="77777777" w:rsidR="000F5207" w:rsidRPr="009E35ED" w:rsidRDefault="000F5207" w:rsidP="000F5207">
            <w:pPr>
              <w:ind w:left="0"/>
              <w:jc w:val="lef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Prize Expenses</w:t>
            </w:r>
          </w:p>
        </w:tc>
        <w:tc>
          <w:tcPr>
            <w:tcW w:w="1161" w:type="dxa"/>
            <w:shd w:val="clear" w:color="auto" w:fill="auto"/>
            <w:noWrap/>
            <w:vAlign w:val="bottom"/>
          </w:tcPr>
          <w:p w14:paraId="024335B7" w14:textId="77777777" w:rsidR="000F5207" w:rsidRPr="009E35ED" w:rsidRDefault="000F5207" w:rsidP="000F5207">
            <w:pPr>
              <w:ind w:left="0"/>
              <w:jc w:val="right"/>
              <w:rPr>
                <w:rFonts w:ascii="Arial Narrow" w:hAnsi="Arial Narrow"/>
                <w:color w:val="000000" w:themeColor="text1"/>
                <w:sz w:val="16"/>
                <w:szCs w:val="16"/>
                <w:lang w:val="en-PH" w:eastAsia="en-PH"/>
              </w:rPr>
            </w:pPr>
          </w:p>
        </w:tc>
        <w:tc>
          <w:tcPr>
            <w:tcW w:w="1136" w:type="dxa"/>
            <w:shd w:val="clear" w:color="auto" w:fill="auto"/>
            <w:noWrap/>
            <w:vAlign w:val="bottom"/>
          </w:tcPr>
          <w:p w14:paraId="67706AB2" w14:textId="77777777" w:rsidR="000F5207" w:rsidRPr="009E35ED" w:rsidRDefault="000F5207" w:rsidP="000F5207">
            <w:pPr>
              <w:ind w:left="0"/>
              <w:jc w:val="right"/>
              <w:rPr>
                <w:rFonts w:ascii="Arial Narrow" w:hAnsi="Arial Narrow"/>
                <w:color w:val="000000" w:themeColor="text1"/>
                <w:sz w:val="16"/>
                <w:szCs w:val="16"/>
                <w:lang w:val="en-PH" w:eastAsia="en-PH"/>
              </w:rPr>
            </w:pPr>
          </w:p>
        </w:tc>
        <w:tc>
          <w:tcPr>
            <w:tcW w:w="1129" w:type="dxa"/>
            <w:shd w:val="clear" w:color="auto" w:fill="auto"/>
            <w:noWrap/>
            <w:vAlign w:val="bottom"/>
          </w:tcPr>
          <w:p w14:paraId="5EBA17DD" w14:textId="77777777" w:rsidR="000F5207" w:rsidRPr="009E35ED" w:rsidRDefault="000F5207" w:rsidP="000F5207">
            <w:pPr>
              <w:ind w:left="0"/>
              <w:jc w:val="right"/>
              <w:rPr>
                <w:rFonts w:ascii="Arial Narrow" w:hAnsi="Arial Narrow"/>
                <w:color w:val="000000" w:themeColor="text1"/>
                <w:sz w:val="16"/>
                <w:szCs w:val="16"/>
                <w:lang w:val="en-PH" w:eastAsia="en-PH"/>
              </w:rPr>
            </w:pPr>
          </w:p>
        </w:tc>
        <w:tc>
          <w:tcPr>
            <w:tcW w:w="1161" w:type="dxa"/>
            <w:shd w:val="clear" w:color="auto" w:fill="auto"/>
            <w:noWrap/>
            <w:vAlign w:val="bottom"/>
          </w:tcPr>
          <w:p w14:paraId="24326B07" w14:textId="77777777" w:rsidR="000F5207" w:rsidRPr="009E35ED" w:rsidRDefault="000F5207" w:rsidP="000F5207">
            <w:pPr>
              <w:ind w:left="0"/>
              <w:jc w:val="right"/>
              <w:rPr>
                <w:rFonts w:ascii="Arial Narrow" w:hAnsi="Arial Narrow"/>
                <w:color w:val="000000" w:themeColor="text1"/>
                <w:sz w:val="16"/>
                <w:szCs w:val="16"/>
                <w:lang w:val="en-PH" w:eastAsia="en-PH"/>
              </w:rPr>
            </w:pPr>
          </w:p>
        </w:tc>
      </w:tr>
      <w:tr w:rsidR="00997F75" w:rsidRPr="009E35ED" w14:paraId="53A38CA1" w14:textId="77777777" w:rsidTr="00EB1F3A">
        <w:trPr>
          <w:trHeight w:val="56"/>
        </w:trPr>
        <w:tc>
          <w:tcPr>
            <w:tcW w:w="567" w:type="dxa"/>
            <w:shd w:val="clear" w:color="auto" w:fill="auto"/>
            <w:noWrap/>
            <w:vAlign w:val="bottom"/>
          </w:tcPr>
          <w:p w14:paraId="7754641E" w14:textId="77777777" w:rsidR="000F5207" w:rsidRPr="009E35ED" w:rsidRDefault="000F5207" w:rsidP="000F5207">
            <w:pPr>
              <w:ind w:left="0"/>
              <w:jc w:val="right"/>
              <w:rPr>
                <w:rFonts w:ascii="Arial Narrow" w:hAnsi="Arial Narrow"/>
                <w:color w:val="000000" w:themeColor="text1"/>
                <w:sz w:val="16"/>
                <w:szCs w:val="16"/>
                <w:lang w:val="en-PH" w:eastAsia="en-PH"/>
              </w:rPr>
            </w:pPr>
          </w:p>
        </w:tc>
        <w:tc>
          <w:tcPr>
            <w:tcW w:w="3375" w:type="dxa"/>
            <w:gridSpan w:val="3"/>
            <w:shd w:val="clear" w:color="auto" w:fill="auto"/>
            <w:noWrap/>
            <w:vAlign w:val="center"/>
          </w:tcPr>
          <w:p w14:paraId="7B91CBE8" w14:textId="300B8F68" w:rsidR="000F5207" w:rsidRPr="009E35ED" w:rsidRDefault="000F5207" w:rsidP="000F5207">
            <w:pPr>
              <w:ind w:left="0"/>
              <w:jc w:val="lef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 xml:space="preserve">Jackpot </w:t>
            </w:r>
            <w:r w:rsidR="00862892">
              <w:rPr>
                <w:rFonts w:ascii="Arial Narrow" w:hAnsi="Arial Narrow"/>
                <w:color w:val="000000" w:themeColor="text1"/>
                <w:sz w:val="16"/>
                <w:szCs w:val="16"/>
                <w:lang w:val="en-PH" w:eastAsia="en-PH"/>
              </w:rPr>
              <w:t>p</w:t>
            </w:r>
            <w:r w:rsidRPr="009E35ED">
              <w:rPr>
                <w:rFonts w:ascii="Arial Narrow" w:hAnsi="Arial Narrow"/>
                <w:color w:val="000000" w:themeColor="text1"/>
                <w:sz w:val="16"/>
                <w:szCs w:val="16"/>
                <w:lang w:val="en-PH" w:eastAsia="en-PH"/>
              </w:rPr>
              <w:t>rizes</w:t>
            </w:r>
          </w:p>
        </w:tc>
        <w:tc>
          <w:tcPr>
            <w:tcW w:w="1161" w:type="dxa"/>
            <w:shd w:val="clear" w:color="auto" w:fill="auto"/>
            <w:noWrap/>
            <w:vAlign w:val="bottom"/>
          </w:tcPr>
          <w:p w14:paraId="23486A9C" w14:textId="3AE70A13" w:rsidR="000F5207" w:rsidRPr="009E35ED" w:rsidRDefault="000F5207" w:rsidP="000F5207">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136" w:type="dxa"/>
            <w:shd w:val="clear" w:color="auto" w:fill="auto"/>
            <w:noWrap/>
            <w:vAlign w:val="bottom"/>
          </w:tcPr>
          <w:p w14:paraId="2C2EA8BB" w14:textId="4C7A41B6" w:rsidR="000F5207" w:rsidRPr="009E35ED" w:rsidRDefault="000F5207" w:rsidP="000F5207">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129" w:type="dxa"/>
            <w:shd w:val="clear" w:color="auto" w:fill="auto"/>
            <w:noWrap/>
            <w:vAlign w:val="bottom"/>
          </w:tcPr>
          <w:p w14:paraId="150BE168" w14:textId="1DB552EA" w:rsidR="000F5207" w:rsidRPr="009E35ED" w:rsidRDefault="000F5207" w:rsidP="000F5207">
            <w:pPr>
              <w:ind w:left="0"/>
              <w:jc w:val="right"/>
              <w:rPr>
                <w:rFonts w:ascii="Arial Narrow" w:hAnsi="Arial Narrow" w:cs="Arial"/>
                <w:color w:val="000000" w:themeColor="text1"/>
                <w:sz w:val="16"/>
                <w:szCs w:val="16"/>
              </w:rPr>
            </w:pPr>
            <w:r w:rsidRPr="009E35ED">
              <w:rPr>
                <w:rFonts w:ascii="Arial Narrow" w:hAnsi="Arial Narrow" w:cs="Arial"/>
                <w:color w:val="000000" w:themeColor="text1"/>
                <w:sz w:val="16"/>
                <w:szCs w:val="16"/>
              </w:rPr>
              <w:t>3,906,980,752</w:t>
            </w:r>
          </w:p>
        </w:tc>
        <w:tc>
          <w:tcPr>
            <w:tcW w:w="1161" w:type="dxa"/>
            <w:shd w:val="clear" w:color="auto" w:fill="auto"/>
            <w:noWrap/>
            <w:vAlign w:val="bottom"/>
          </w:tcPr>
          <w:p w14:paraId="03D31399" w14:textId="77856CCA" w:rsidR="000F5207" w:rsidRPr="009E35ED" w:rsidRDefault="000F5207" w:rsidP="000F5207">
            <w:pPr>
              <w:ind w:left="0"/>
              <w:jc w:val="right"/>
              <w:rPr>
                <w:rFonts w:ascii="Arial Narrow" w:hAnsi="Arial Narrow" w:cs="Arial"/>
                <w:color w:val="000000" w:themeColor="text1"/>
                <w:sz w:val="16"/>
                <w:szCs w:val="16"/>
              </w:rPr>
            </w:pPr>
            <w:r w:rsidRPr="009E35ED">
              <w:rPr>
                <w:rFonts w:ascii="Arial Narrow" w:hAnsi="Arial Narrow" w:cs="Arial"/>
                <w:color w:val="000000" w:themeColor="text1"/>
                <w:sz w:val="16"/>
                <w:szCs w:val="16"/>
              </w:rPr>
              <w:t>3,906,980,752</w:t>
            </w:r>
          </w:p>
        </w:tc>
      </w:tr>
      <w:tr w:rsidR="00997F75" w:rsidRPr="009E35ED" w14:paraId="7E932C18" w14:textId="77777777" w:rsidTr="00EB1F3A">
        <w:trPr>
          <w:trHeight w:val="56"/>
        </w:trPr>
        <w:tc>
          <w:tcPr>
            <w:tcW w:w="567" w:type="dxa"/>
            <w:shd w:val="clear" w:color="auto" w:fill="auto"/>
            <w:noWrap/>
            <w:vAlign w:val="bottom"/>
            <w:hideMark/>
          </w:tcPr>
          <w:p w14:paraId="4456D13B" w14:textId="77777777" w:rsidR="000F5207" w:rsidRPr="009E35ED" w:rsidRDefault="000F5207" w:rsidP="000F5207">
            <w:pPr>
              <w:ind w:left="0"/>
              <w:jc w:val="right"/>
              <w:rPr>
                <w:rFonts w:ascii="Arial Narrow" w:hAnsi="Arial Narrow"/>
                <w:color w:val="000000" w:themeColor="text1"/>
                <w:sz w:val="16"/>
                <w:szCs w:val="16"/>
                <w:lang w:val="en-PH" w:eastAsia="en-PH"/>
              </w:rPr>
            </w:pPr>
          </w:p>
        </w:tc>
        <w:tc>
          <w:tcPr>
            <w:tcW w:w="3375" w:type="dxa"/>
            <w:gridSpan w:val="3"/>
            <w:shd w:val="clear" w:color="auto" w:fill="auto"/>
            <w:noWrap/>
            <w:vAlign w:val="center"/>
            <w:hideMark/>
          </w:tcPr>
          <w:p w14:paraId="51A5AEFB" w14:textId="1CF2DDF5" w:rsidR="000F5207" w:rsidRPr="009E35ED" w:rsidRDefault="000F5207" w:rsidP="000F5207">
            <w:pPr>
              <w:ind w:left="0"/>
              <w:jc w:val="lef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 xml:space="preserve">Low </w:t>
            </w:r>
            <w:r w:rsidR="00862892">
              <w:rPr>
                <w:rFonts w:ascii="Arial Narrow" w:hAnsi="Arial Narrow"/>
                <w:color w:val="000000" w:themeColor="text1"/>
                <w:sz w:val="16"/>
                <w:szCs w:val="16"/>
                <w:lang w:val="en-PH" w:eastAsia="en-PH"/>
              </w:rPr>
              <w:t>t</w:t>
            </w:r>
            <w:r w:rsidRPr="009E35ED">
              <w:rPr>
                <w:rFonts w:ascii="Arial Narrow" w:hAnsi="Arial Narrow"/>
                <w:color w:val="000000" w:themeColor="text1"/>
                <w:sz w:val="16"/>
                <w:szCs w:val="16"/>
                <w:lang w:val="en-PH" w:eastAsia="en-PH"/>
              </w:rPr>
              <w:t xml:space="preserve">ier </w:t>
            </w:r>
            <w:r w:rsidR="00862892">
              <w:rPr>
                <w:rFonts w:ascii="Arial Narrow" w:hAnsi="Arial Narrow"/>
                <w:color w:val="000000" w:themeColor="text1"/>
                <w:sz w:val="16"/>
                <w:szCs w:val="16"/>
                <w:lang w:val="en-PH" w:eastAsia="en-PH"/>
              </w:rPr>
              <w:t>p</w:t>
            </w:r>
            <w:r w:rsidRPr="009E35ED">
              <w:rPr>
                <w:rFonts w:ascii="Arial Narrow" w:hAnsi="Arial Narrow"/>
                <w:color w:val="000000" w:themeColor="text1"/>
                <w:sz w:val="16"/>
                <w:szCs w:val="16"/>
                <w:lang w:val="en-PH" w:eastAsia="en-PH"/>
              </w:rPr>
              <w:t>rizes</w:t>
            </w:r>
          </w:p>
        </w:tc>
        <w:tc>
          <w:tcPr>
            <w:tcW w:w="1161" w:type="dxa"/>
            <w:shd w:val="clear" w:color="auto" w:fill="auto"/>
            <w:noWrap/>
            <w:vAlign w:val="bottom"/>
          </w:tcPr>
          <w:p w14:paraId="5C36B843" w14:textId="0937AF8C" w:rsidR="000F5207" w:rsidRPr="009E35ED" w:rsidRDefault="000F5207" w:rsidP="000F5207">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136" w:type="dxa"/>
            <w:shd w:val="clear" w:color="auto" w:fill="auto"/>
            <w:noWrap/>
            <w:vAlign w:val="bottom"/>
          </w:tcPr>
          <w:p w14:paraId="3A47BD74" w14:textId="38564BD3" w:rsidR="000F5207" w:rsidRPr="009E35ED" w:rsidRDefault="000F5207" w:rsidP="000F5207">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129" w:type="dxa"/>
            <w:shd w:val="clear" w:color="auto" w:fill="auto"/>
            <w:noWrap/>
            <w:vAlign w:val="bottom"/>
          </w:tcPr>
          <w:p w14:paraId="6D3BE02F" w14:textId="1C3EE655" w:rsidR="000F5207" w:rsidRPr="009E35ED" w:rsidRDefault="000F5207" w:rsidP="0014356C">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15,591,</w:t>
            </w:r>
            <w:r w:rsidR="0014356C" w:rsidRPr="009E35ED">
              <w:rPr>
                <w:rFonts w:ascii="Arial Narrow" w:hAnsi="Arial Narrow"/>
                <w:color w:val="000000" w:themeColor="text1"/>
                <w:sz w:val="16"/>
                <w:szCs w:val="16"/>
                <w:lang w:val="en-PH" w:eastAsia="en-PH"/>
              </w:rPr>
              <w:t>630,925</w:t>
            </w:r>
          </w:p>
        </w:tc>
        <w:tc>
          <w:tcPr>
            <w:tcW w:w="1161" w:type="dxa"/>
            <w:shd w:val="clear" w:color="auto" w:fill="auto"/>
            <w:noWrap/>
            <w:vAlign w:val="bottom"/>
          </w:tcPr>
          <w:p w14:paraId="2D144B22" w14:textId="6BAF130E" w:rsidR="000F5207" w:rsidRPr="009E35ED" w:rsidRDefault="0014356C" w:rsidP="000F5207">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15,591,630,925</w:t>
            </w:r>
          </w:p>
        </w:tc>
      </w:tr>
      <w:tr w:rsidR="00997F75" w:rsidRPr="009E35ED" w14:paraId="40F4C3D6" w14:textId="77777777" w:rsidTr="00EB1F3A">
        <w:trPr>
          <w:trHeight w:val="56"/>
        </w:trPr>
        <w:tc>
          <w:tcPr>
            <w:tcW w:w="567" w:type="dxa"/>
            <w:shd w:val="clear" w:color="auto" w:fill="auto"/>
            <w:noWrap/>
            <w:vAlign w:val="bottom"/>
            <w:hideMark/>
          </w:tcPr>
          <w:p w14:paraId="6F0F7F44" w14:textId="77777777" w:rsidR="000F5207" w:rsidRPr="009E35ED" w:rsidRDefault="000F5207" w:rsidP="000F5207">
            <w:pPr>
              <w:ind w:left="0"/>
              <w:jc w:val="right"/>
              <w:rPr>
                <w:rFonts w:ascii="Arial Narrow" w:hAnsi="Arial Narrow"/>
                <w:color w:val="000000" w:themeColor="text1"/>
                <w:sz w:val="16"/>
                <w:szCs w:val="16"/>
                <w:lang w:val="en-PH" w:eastAsia="en-PH"/>
              </w:rPr>
            </w:pPr>
          </w:p>
        </w:tc>
        <w:tc>
          <w:tcPr>
            <w:tcW w:w="3375" w:type="dxa"/>
            <w:gridSpan w:val="3"/>
            <w:shd w:val="clear" w:color="auto" w:fill="auto"/>
            <w:noWrap/>
            <w:vAlign w:val="center"/>
            <w:hideMark/>
          </w:tcPr>
          <w:p w14:paraId="409238EE" w14:textId="3E9B70DA" w:rsidR="000F5207" w:rsidRPr="009E35ED" w:rsidRDefault="000F5207" w:rsidP="000F5207">
            <w:pPr>
              <w:ind w:left="0"/>
              <w:jc w:val="lef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 xml:space="preserve">Winning </w:t>
            </w:r>
            <w:r w:rsidR="00862892">
              <w:rPr>
                <w:rFonts w:ascii="Arial Narrow" w:hAnsi="Arial Narrow"/>
                <w:color w:val="000000" w:themeColor="text1"/>
                <w:sz w:val="16"/>
                <w:szCs w:val="16"/>
                <w:lang w:val="en-PH" w:eastAsia="en-PH"/>
              </w:rPr>
              <w:t>t</w:t>
            </w:r>
            <w:r w:rsidRPr="009E35ED">
              <w:rPr>
                <w:rFonts w:ascii="Arial Narrow" w:hAnsi="Arial Narrow"/>
                <w:color w:val="000000" w:themeColor="text1"/>
                <w:sz w:val="16"/>
                <w:szCs w:val="16"/>
                <w:lang w:val="en-PH" w:eastAsia="en-PH"/>
              </w:rPr>
              <w:t xml:space="preserve">ickets - </w:t>
            </w:r>
            <w:r w:rsidR="00862892">
              <w:rPr>
                <w:rFonts w:ascii="Arial Narrow" w:hAnsi="Arial Narrow"/>
                <w:color w:val="000000" w:themeColor="text1"/>
                <w:sz w:val="16"/>
                <w:szCs w:val="16"/>
                <w:lang w:val="en-PH" w:eastAsia="en-PH"/>
              </w:rPr>
              <w:t>s</w:t>
            </w:r>
            <w:r w:rsidRPr="009E35ED">
              <w:rPr>
                <w:rFonts w:ascii="Arial Narrow" w:hAnsi="Arial Narrow"/>
                <w:color w:val="000000" w:themeColor="text1"/>
                <w:sz w:val="16"/>
                <w:szCs w:val="16"/>
                <w:lang w:val="en-PH" w:eastAsia="en-PH"/>
              </w:rPr>
              <w:t>weepstakes</w:t>
            </w:r>
          </w:p>
        </w:tc>
        <w:tc>
          <w:tcPr>
            <w:tcW w:w="1161" w:type="dxa"/>
            <w:shd w:val="clear" w:color="auto" w:fill="auto"/>
            <w:noWrap/>
            <w:vAlign w:val="bottom"/>
          </w:tcPr>
          <w:p w14:paraId="449EEB96" w14:textId="61A7BFCF" w:rsidR="000F5207" w:rsidRPr="009E35ED" w:rsidRDefault="000F5207" w:rsidP="000F5207">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136" w:type="dxa"/>
            <w:shd w:val="clear" w:color="auto" w:fill="auto"/>
            <w:noWrap/>
            <w:vAlign w:val="bottom"/>
          </w:tcPr>
          <w:p w14:paraId="1FC0AD44" w14:textId="7B764016" w:rsidR="000F5207" w:rsidRPr="009E35ED" w:rsidRDefault="000F5207" w:rsidP="000F5207">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129" w:type="dxa"/>
            <w:shd w:val="clear" w:color="auto" w:fill="auto"/>
            <w:noWrap/>
            <w:vAlign w:val="bottom"/>
          </w:tcPr>
          <w:p w14:paraId="3DC3C007" w14:textId="43DCA186" w:rsidR="000F5207" w:rsidRPr="009E35ED" w:rsidRDefault="000F5207" w:rsidP="000F5207">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161" w:type="dxa"/>
            <w:shd w:val="clear" w:color="auto" w:fill="auto"/>
            <w:noWrap/>
            <w:vAlign w:val="bottom"/>
          </w:tcPr>
          <w:p w14:paraId="19AA9A79" w14:textId="022D6FA5" w:rsidR="000F5207" w:rsidRPr="009E35ED" w:rsidRDefault="000F5207" w:rsidP="000F5207">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r>
      <w:tr w:rsidR="00997F75" w:rsidRPr="009E35ED" w14:paraId="23251E05" w14:textId="77777777" w:rsidTr="00EB1F3A">
        <w:trPr>
          <w:trHeight w:val="56"/>
        </w:trPr>
        <w:tc>
          <w:tcPr>
            <w:tcW w:w="567" w:type="dxa"/>
            <w:shd w:val="clear" w:color="auto" w:fill="auto"/>
            <w:noWrap/>
            <w:vAlign w:val="bottom"/>
            <w:hideMark/>
          </w:tcPr>
          <w:p w14:paraId="0909C535" w14:textId="77777777" w:rsidR="000F5207" w:rsidRPr="009E35ED" w:rsidRDefault="000F5207" w:rsidP="000F5207">
            <w:pPr>
              <w:ind w:left="0"/>
              <w:jc w:val="right"/>
              <w:rPr>
                <w:rFonts w:ascii="Arial Narrow" w:hAnsi="Arial Narrow"/>
                <w:color w:val="000000" w:themeColor="text1"/>
                <w:sz w:val="16"/>
                <w:szCs w:val="16"/>
                <w:lang w:val="en-PH" w:eastAsia="en-PH"/>
              </w:rPr>
            </w:pPr>
          </w:p>
        </w:tc>
        <w:tc>
          <w:tcPr>
            <w:tcW w:w="3375" w:type="dxa"/>
            <w:gridSpan w:val="3"/>
            <w:shd w:val="clear" w:color="auto" w:fill="auto"/>
            <w:noWrap/>
            <w:vAlign w:val="center"/>
            <w:hideMark/>
          </w:tcPr>
          <w:p w14:paraId="56DF3B46" w14:textId="37C55849" w:rsidR="000F5207" w:rsidRPr="009E35ED" w:rsidRDefault="000F5207" w:rsidP="000F5207">
            <w:pPr>
              <w:ind w:left="0"/>
              <w:jc w:val="lef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 xml:space="preserve">5% Prize </w:t>
            </w:r>
            <w:r w:rsidR="00862892">
              <w:rPr>
                <w:rFonts w:ascii="Arial Narrow" w:hAnsi="Arial Narrow"/>
                <w:color w:val="000000" w:themeColor="text1"/>
                <w:sz w:val="16"/>
                <w:szCs w:val="16"/>
                <w:lang w:val="en-PH" w:eastAsia="en-PH"/>
              </w:rPr>
              <w:t>f</w:t>
            </w:r>
            <w:r w:rsidRPr="009E35ED">
              <w:rPr>
                <w:rFonts w:ascii="Arial Narrow" w:hAnsi="Arial Narrow"/>
                <w:color w:val="000000" w:themeColor="text1"/>
                <w:sz w:val="16"/>
                <w:szCs w:val="16"/>
                <w:lang w:val="en-PH" w:eastAsia="en-PH"/>
              </w:rPr>
              <w:t xml:space="preserve">und </w:t>
            </w:r>
            <w:r w:rsidR="00862892">
              <w:rPr>
                <w:rFonts w:ascii="Arial Narrow" w:hAnsi="Arial Narrow"/>
                <w:color w:val="000000" w:themeColor="text1"/>
                <w:sz w:val="16"/>
                <w:szCs w:val="16"/>
                <w:lang w:val="en-PH" w:eastAsia="en-PH"/>
              </w:rPr>
              <w:t>t</w:t>
            </w:r>
            <w:r w:rsidRPr="009E35ED">
              <w:rPr>
                <w:rFonts w:ascii="Arial Narrow" w:hAnsi="Arial Narrow"/>
                <w:color w:val="000000" w:themeColor="text1"/>
                <w:sz w:val="16"/>
                <w:szCs w:val="16"/>
                <w:lang w:val="en-PH" w:eastAsia="en-PH"/>
              </w:rPr>
              <w:t>ax</w:t>
            </w:r>
          </w:p>
        </w:tc>
        <w:tc>
          <w:tcPr>
            <w:tcW w:w="1161" w:type="dxa"/>
            <w:shd w:val="clear" w:color="auto" w:fill="auto"/>
            <w:noWrap/>
            <w:vAlign w:val="bottom"/>
          </w:tcPr>
          <w:p w14:paraId="4CF1CF09" w14:textId="02858EAC" w:rsidR="000F5207" w:rsidRPr="009E35ED" w:rsidRDefault="000F5207" w:rsidP="000F5207">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136" w:type="dxa"/>
            <w:shd w:val="clear" w:color="auto" w:fill="auto"/>
            <w:noWrap/>
            <w:vAlign w:val="bottom"/>
          </w:tcPr>
          <w:p w14:paraId="73A0679B" w14:textId="58BF0791" w:rsidR="000F5207" w:rsidRPr="009E35ED" w:rsidRDefault="000F5207" w:rsidP="000F5207">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129" w:type="dxa"/>
            <w:shd w:val="clear" w:color="auto" w:fill="auto"/>
            <w:noWrap/>
            <w:vAlign w:val="bottom"/>
          </w:tcPr>
          <w:p w14:paraId="6BB38F41" w14:textId="2420B7E1" w:rsidR="000F5207" w:rsidRPr="009E35ED" w:rsidRDefault="000F5207" w:rsidP="000F5207">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161" w:type="dxa"/>
            <w:shd w:val="clear" w:color="auto" w:fill="auto"/>
            <w:noWrap/>
            <w:vAlign w:val="bottom"/>
          </w:tcPr>
          <w:p w14:paraId="628BAAD2" w14:textId="163AE94B" w:rsidR="000F5207" w:rsidRPr="009E35ED" w:rsidRDefault="000F5207" w:rsidP="000F5207">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r>
      <w:tr w:rsidR="00997F75" w:rsidRPr="009E35ED" w14:paraId="3AC62CF7" w14:textId="77777777" w:rsidTr="00EB1F3A">
        <w:trPr>
          <w:trHeight w:val="56"/>
        </w:trPr>
        <w:tc>
          <w:tcPr>
            <w:tcW w:w="567" w:type="dxa"/>
            <w:tcBorders>
              <w:bottom w:val="single" w:sz="4" w:space="0" w:color="auto"/>
            </w:tcBorders>
            <w:shd w:val="clear" w:color="auto" w:fill="auto"/>
            <w:noWrap/>
            <w:vAlign w:val="bottom"/>
            <w:hideMark/>
          </w:tcPr>
          <w:p w14:paraId="61FD7696" w14:textId="77777777" w:rsidR="000F5207" w:rsidRPr="009E35ED" w:rsidRDefault="000F5207" w:rsidP="000F5207">
            <w:pPr>
              <w:ind w:left="0"/>
              <w:jc w:val="right"/>
              <w:rPr>
                <w:rFonts w:ascii="Arial Narrow" w:hAnsi="Arial Narrow"/>
                <w:color w:val="000000" w:themeColor="text1"/>
                <w:sz w:val="16"/>
                <w:szCs w:val="16"/>
                <w:lang w:val="en-PH" w:eastAsia="en-PH"/>
              </w:rPr>
            </w:pPr>
          </w:p>
        </w:tc>
        <w:tc>
          <w:tcPr>
            <w:tcW w:w="3375" w:type="dxa"/>
            <w:gridSpan w:val="3"/>
            <w:tcBorders>
              <w:bottom w:val="single" w:sz="4" w:space="0" w:color="auto"/>
            </w:tcBorders>
            <w:shd w:val="clear" w:color="auto" w:fill="auto"/>
            <w:noWrap/>
            <w:vAlign w:val="center"/>
            <w:hideMark/>
          </w:tcPr>
          <w:p w14:paraId="53BB515A" w14:textId="28D8B579" w:rsidR="000F5207" w:rsidRPr="009E35ED" w:rsidRDefault="000F5207" w:rsidP="000F5207">
            <w:pPr>
              <w:ind w:left="0"/>
              <w:jc w:val="lef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 xml:space="preserve">Seller's </w:t>
            </w:r>
            <w:r w:rsidR="00862892">
              <w:rPr>
                <w:rFonts w:ascii="Arial Narrow" w:hAnsi="Arial Narrow"/>
                <w:color w:val="000000" w:themeColor="text1"/>
                <w:sz w:val="16"/>
                <w:szCs w:val="16"/>
                <w:lang w:val="en-PH" w:eastAsia="en-PH"/>
              </w:rPr>
              <w:t>s</w:t>
            </w:r>
            <w:r w:rsidRPr="009E35ED">
              <w:rPr>
                <w:rFonts w:ascii="Arial Narrow" w:hAnsi="Arial Narrow"/>
                <w:color w:val="000000" w:themeColor="text1"/>
                <w:sz w:val="16"/>
                <w:szCs w:val="16"/>
                <w:lang w:val="en-PH" w:eastAsia="en-PH"/>
              </w:rPr>
              <w:t>hare (Lotto/Keno)</w:t>
            </w:r>
          </w:p>
        </w:tc>
        <w:tc>
          <w:tcPr>
            <w:tcW w:w="1161" w:type="dxa"/>
            <w:tcBorders>
              <w:bottom w:val="single" w:sz="4" w:space="0" w:color="auto"/>
            </w:tcBorders>
            <w:shd w:val="clear" w:color="auto" w:fill="auto"/>
            <w:noWrap/>
            <w:vAlign w:val="bottom"/>
          </w:tcPr>
          <w:p w14:paraId="542CC302" w14:textId="33923087" w:rsidR="000F5207" w:rsidRPr="009E35ED" w:rsidRDefault="000F5207" w:rsidP="000F5207">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136" w:type="dxa"/>
            <w:tcBorders>
              <w:bottom w:val="single" w:sz="4" w:space="0" w:color="auto"/>
            </w:tcBorders>
            <w:shd w:val="clear" w:color="auto" w:fill="auto"/>
            <w:noWrap/>
            <w:vAlign w:val="bottom"/>
          </w:tcPr>
          <w:p w14:paraId="54421159" w14:textId="0A5C7646" w:rsidR="000F5207" w:rsidRPr="009E35ED" w:rsidRDefault="000F5207" w:rsidP="000F5207">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129" w:type="dxa"/>
            <w:tcBorders>
              <w:bottom w:val="single" w:sz="4" w:space="0" w:color="auto"/>
            </w:tcBorders>
            <w:shd w:val="clear" w:color="auto" w:fill="auto"/>
            <w:noWrap/>
            <w:vAlign w:val="bottom"/>
          </w:tcPr>
          <w:p w14:paraId="05A05336" w14:textId="6CDBF7DE" w:rsidR="000F5207" w:rsidRPr="009E35ED" w:rsidRDefault="000F5207" w:rsidP="000F5207">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(157,818)</w:t>
            </w:r>
          </w:p>
        </w:tc>
        <w:tc>
          <w:tcPr>
            <w:tcW w:w="1161" w:type="dxa"/>
            <w:tcBorders>
              <w:bottom w:val="single" w:sz="4" w:space="0" w:color="auto"/>
            </w:tcBorders>
            <w:shd w:val="clear" w:color="auto" w:fill="auto"/>
            <w:noWrap/>
            <w:vAlign w:val="bottom"/>
          </w:tcPr>
          <w:p w14:paraId="72A4E3DB" w14:textId="53816EBC" w:rsidR="000F5207" w:rsidRPr="009E35ED" w:rsidRDefault="000F5207" w:rsidP="000F5207">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(157,818)</w:t>
            </w:r>
          </w:p>
        </w:tc>
      </w:tr>
      <w:tr w:rsidR="00997F75" w:rsidRPr="009E35ED" w14:paraId="568B19FC" w14:textId="77777777" w:rsidTr="00EB1F3A">
        <w:trPr>
          <w:trHeight w:val="315"/>
        </w:trPr>
        <w:tc>
          <w:tcPr>
            <w:tcW w:w="3942" w:type="dxa"/>
            <w:gridSpan w:val="4"/>
            <w:tcBorders>
              <w:top w:val="single" w:sz="4" w:space="0" w:color="auto"/>
              <w:left w:val="nil"/>
              <w:bottom w:val="double" w:sz="6" w:space="0" w:color="auto"/>
              <w:right w:val="nil"/>
            </w:tcBorders>
            <w:shd w:val="clear" w:color="auto" w:fill="auto"/>
            <w:noWrap/>
            <w:vAlign w:val="bottom"/>
            <w:hideMark/>
          </w:tcPr>
          <w:p w14:paraId="5FB7C27D" w14:textId="77777777" w:rsidR="000F5207" w:rsidRPr="009E35ED" w:rsidRDefault="000F5207" w:rsidP="000F5207">
            <w:pPr>
              <w:ind w:left="0"/>
              <w:jc w:val="left"/>
              <w:rPr>
                <w:rFonts w:ascii="Arial Narrow" w:hAnsi="Arial Narrow"/>
                <w:b/>
                <w:bCs/>
                <w:color w:val="000000" w:themeColor="text1"/>
                <w:sz w:val="18"/>
                <w:szCs w:val="18"/>
                <w:lang w:val="en-PH" w:eastAsia="en-PH"/>
              </w:rPr>
            </w:pPr>
            <w:r w:rsidRPr="009E35ED">
              <w:rPr>
                <w:rFonts w:ascii="Arial Narrow" w:hAnsi="Arial Narrow"/>
                <w:b/>
                <w:bCs/>
                <w:color w:val="000000" w:themeColor="text1"/>
                <w:sz w:val="18"/>
                <w:szCs w:val="18"/>
                <w:lang w:val="en-PH" w:eastAsia="en-PH"/>
              </w:rPr>
              <w:t>Total Maintenance and Other Operating Expenses</w:t>
            </w:r>
          </w:p>
        </w:tc>
        <w:tc>
          <w:tcPr>
            <w:tcW w:w="1161" w:type="dxa"/>
            <w:tcBorders>
              <w:top w:val="single" w:sz="4" w:space="0" w:color="auto"/>
              <w:left w:val="nil"/>
              <w:bottom w:val="double" w:sz="6" w:space="0" w:color="auto"/>
              <w:right w:val="nil"/>
            </w:tcBorders>
            <w:shd w:val="clear" w:color="auto" w:fill="auto"/>
            <w:noWrap/>
            <w:vAlign w:val="bottom"/>
          </w:tcPr>
          <w:p w14:paraId="27AD2F8C" w14:textId="61000BA1" w:rsidR="000F5207" w:rsidRPr="009E35ED" w:rsidRDefault="000F5207" w:rsidP="0014356C">
            <w:pPr>
              <w:ind w:left="0"/>
              <w:jc w:val="right"/>
              <w:rPr>
                <w:rFonts w:ascii="Arial Narrow" w:hAnsi="Arial Narrow"/>
                <w:b/>
                <w:bCs/>
                <w:color w:val="000000" w:themeColor="text1"/>
                <w:sz w:val="16"/>
                <w:szCs w:val="16"/>
                <w:lang w:val="en-PH" w:eastAsia="en-PH"/>
              </w:rPr>
            </w:pPr>
            <w:r w:rsidRPr="009E35ED">
              <w:rPr>
                <w:rFonts w:ascii="Arial Narrow" w:hAnsi="Arial Narrow"/>
                <w:b/>
                <w:bCs/>
                <w:color w:val="000000" w:themeColor="text1"/>
                <w:sz w:val="16"/>
                <w:szCs w:val="16"/>
                <w:lang w:val="en-PH" w:eastAsia="en-PH"/>
              </w:rPr>
              <w:t>2,369,</w:t>
            </w:r>
            <w:r w:rsidR="0014356C" w:rsidRPr="009E35ED">
              <w:rPr>
                <w:rFonts w:ascii="Arial Narrow" w:hAnsi="Arial Narrow"/>
                <w:b/>
                <w:bCs/>
                <w:color w:val="000000" w:themeColor="text1"/>
                <w:sz w:val="16"/>
                <w:szCs w:val="16"/>
                <w:lang w:val="en-PH" w:eastAsia="en-PH"/>
              </w:rPr>
              <w:t>327,473</w:t>
            </w:r>
          </w:p>
        </w:tc>
        <w:tc>
          <w:tcPr>
            <w:tcW w:w="1136" w:type="dxa"/>
            <w:tcBorders>
              <w:top w:val="single" w:sz="4" w:space="0" w:color="auto"/>
              <w:left w:val="nil"/>
              <w:bottom w:val="double" w:sz="6" w:space="0" w:color="auto"/>
              <w:right w:val="nil"/>
            </w:tcBorders>
            <w:shd w:val="clear" w:color="auto" w:fill="auto"/>
            <w:noWrap/>
            <w:vAlign w:val="bottom"/>
          </w:tcPr>
          <w:p w14:paraId="3A05C42F" w14:textId="25232875" w:rsidR="000F5207" w:rsidRPr="009E35ED" w:rsidRDefault="000F5207" w:rsidP="000F5207">
            <w:pPr>
              <w:ind w:left="0"/>
              <w:jc w:val="right"/>
              <w:rPr>
                <w:rFonts w:ascii="Arial Narrow" w:hAnsi="Arial Narrow"/>
                <w:b/>
                <w:bCs/>
                <w:color w:val="000000" w:themeColor="text1"/>
                <w:sz w:val="16"/>
                <w:szCs w:val="16"/>
                <w:lang w:val="en-PH" w:eastAsia="en-PH"/>
              </w:rPr>
            </w:pPr>
            <w:r w:rsidRPr="009E35ED">
              <w:rPr>
                <w:rFonts w:ascii="Arial Narrow" w:hAnsi="Arial Narrow"/>
                <w:b/>
                <w:bCs/>
                <w:color w:val="000000" w:themeColor="text1"/>
                <w:sz w:val="16"/>
                <w:szCs w:val="16"/>
                <w:lang w:val="en-PH" w:eastAsia="en-PH"/>
              </w:rPr>
              <w:t>12,319,312,80</w:t>
            </w:r>
            <w:r w:rsidR="0014356C" w:rsidRPr="009E35ED">
              <w:rPr>
                <w:rFonts w:ascii="Arial Narrow" w:hAnsi="Arial Narrow"/>
                <w:b/>
                <w:bCs/>
                <w:color w:val="000000" w:themeColor="text1"/>
                <w:sz w:val="16"/>
                <w:szCs w:val="16"/>
                <w:lang w:val="en-PH" w:eastAsia="en-PH"/>
              </w:rPr>
              <w:t>2</w:t>
            </w:r>
          </w:p>
        </w:tc>
        <w:tc>
          <w:tcPr>
            <w:tcW w:w="1129" w:type="dxa"/>
            <w:tcBorders>
              <w:top w:val="single" w:sz="4" w:space="0" w:color="auto"/>
              <w:left w:val="nil"/>
              <w:bottom w:val="double" w:sz="6" w:space="0" w:color="auto"/>
              <w:right w:val="nil"/>
            </w:tcBorders>
            <w:shd w:val="clear" w:color="auto" w:fill="auto"/>
            <w:noWrap/>
            <w:vAlign w:val="bottom"/>
          </w:tcPr>
          <w:p w14:paraId="0A440D01" w14:textId="0D66FC39" w:rsidR="000F5207" w:rsidRPr="009E35ED" w:rsidRDefault="000F5207" w:rsidP="0014356C">
            <w:pPr>
              <w:ind w:left="0"/>
              <w:jc w:val="right"/>
              <w:rPr>
                <w:rFonts w:ascii="Arial Narrow" w:hAnsi="Arial Narrow"/>
                <w:b/>
                <w:bCs/>
                <w:color w:val="000000" w:themeColor="text1"/>
                <w:sz w:val="16"/>
                <w:szCs w:val="16"/>
                <w:lang w:val="en-PH" w:eastAsia="en-PH"/>
              </w:rPr>
            </w:pPr>
            <w:r w:rsidRPr="009E35ED">
              <w:rPr>
                <w:rFonts w:ascii="Arial Narrow" w:hAnsi="Arial Narrow"/>
                <w:b/>
                <w:bCs/>
                <w:color w:val="000000" w:themeColor="text1"/>
                <w:sz w:val="16"/>
                <w:szCs w:val="16"/>
                <w:lang w:val="en-PH" w:eastAsia="en-PH"/>
              </w:rPr>
              <w:t>28,045,</w:t>
            </w:r>
            <w:r w:rsidR="0014356C" w:rsidRPr="009E35ED">
              <w:rPr>
                <w:rFonts w:ascii="Arial Narrow" w:hAnsi="Arial Narrow"/>
                <w:b/>
                <w:bCs/>
                <w:color w:val="000000" w:themeColor="text1"/>
                <w:sz w:val="16"/>
                <w:szCs w:val="16"/>
                <w:lang w:val="en-PH" w:eastAsia="en-PH"/>
              </w:rPr>
              <w:t>427,857</w:t>
            </w:r>
          </w:p>
        </w:tc>
        <w:tc>
          <w:tcPr>
            <w:tcW w:w="1161" w:type="dxa"/>
            <w:tcBorders>
              <w:top w:val="single" w:sz="4" w:space="0" w:color="auto"/>
              <w:left w:val="nil"/>
              <w:bottom w:val="double" w:sz="6" w:space="0" w:color="auto"/>
              <w:right w:val="nil"/>
            </w:tcBorders>
            <w:shd w:val="clear" w:color="auto" w:fill="auto"/>
            <w:noWrap/>
            <w:vAlign w:val="bottom"/>
          </w:tcPr>
          <w:p w14:paraId="6FB38F3D" w14:textId="745DBA35" w:rsidR="000F5207" w:rsidRPr="009E35ED" w:rsidRDefault="000F5207" w:rsidP="0014356C">
            <w:pPr>
              <w:ind w:left="0"/>
              <w:jc w:val="right"/>
              <w:rPr>
                <w:rFonts w:ascii="Arial Narrow" w:hAnsi="Arial Narrow"/>
                <w:b/>
                <w:bCs/>
                <w:color w:val="000000" w:themeColor="text1"/>
                <w:sz w:val="16"/>
                <w:szCs w:val="16"/>
                <w:lang w:val="en-PH" w:eastAsia="en-PH"/>
              </w:rPr>
            </w:pPr>
            <w:r w:rsidRPr="009E35ED">
              <w:rPr>
                <w:rFonts w:ascii="Arial Narrow" w:hAnsi="Arial Narrow"/>
                <w:b/>
                <w:bCs/>
                <w:color w:val="000000" w:themeColor="text1"/>
                <w:sz w:val="16"/>
                <w:szCs w:val="16"/>
                <w:lang w:val="en-PH" w:eastAsia="en-PH"/>
              </w:rPr>
              <w:t>42,734,</w:t>
            </w:r>
            <w:r w:rsidR="0014356C" w:rsidRPr="009E35ED">
              <w:rPr>
                <w:rFonts w:ascii="Arial Narrow" w:hAnsi="Arial Narrow"/>
                <w:b/>
                <w:bCs/>
                <w:color w:val="000000" w:themeColor="text1"/>
                <w:sz w:val="16"/>
                <w:szCs w:val="16"/>
                <w:lang w:val="en-PH" w:eastAsia="en-PH"/>
              </w:rPr>
              <w:t>068,132</w:t>
            </w:r>
          </w:p>
        </w:tc>
      </w:tr>
      <w:tr w:rsidR="00997F75" w:rsidRPr="009E35ED" w14:paraId="72A91C92" w14:textId="77777777" w:rsidTr="00A27AC6">
        <w:trPr>
          <w:trHeight w:val="315"/>
        </w:trPr>
        <w:tc>
          <w:tcPr>
            <w:tcW w:w="1131" w:type="dxa"/>
            <w:gridSpan w:val="2"/>
            <w:tcBorders>
              <w:top w:val="nil"/>
              <w:left w:val="nil"/>
              <w:right w:val="nil"/>
            </w:tcBorders>
            <w:shd w:val="clear" w:color="auto" w:fill="auto"/>
            <w:noWrap/>
            <w:vAlign w:val="bottom"/>
            <w:hideMark/>
          </w:tcPr>
          <w:p w14:paraId="737FC4CE" w14:textId="77777777" w:rsidR="000F5207" w:rsidRPr="009E35ED" w:rsidRDefault="000F5207" w:rsidP="000F5207">
            <w:pPr>
              <w:ind w:left="0"/>
              <w:jc w:val="right"/>
              <w:rPr>
                <w:rFonts w:ascii="Arial Narrow" w:hAnsi="Arial Narrow"/>
                <w:b/>
                <w:bCs/>
                <w:color w:val="000000" w:themeColor="text1"/>
                <w:sz w:val="16"/>
                <w:szCs w:val="16"/>
                <w:lang w:val="en-PH" w:eastAsia="en-PH"/>
              </w:rPr>
            </w:pPr>
          </w:p>
          <w:p w14:paraId="3170B815" w14:textId="670BEF9D" w:rsidR="000F5207" w:rsidRPr="009E35ED" w:rsidRDefault="000F5207" w:rsidP="00AA29C9">
            <w:pPr>
              <w:ind w:left="0"/>
              <w:rPr>
                <w:rFonts w:ascii="Arial Narrow" w:hAnsi="Arial Narrow"/>
                <w:b/>
                <w:bCs/>
                <w:color w:val="000000" w:themeColor="text1"/>
                <w:sz w:val="16"/>
                <w:szCs w:val="16"/>
                <w:lang w:val="en-PH" w:eastAsia="en-PH"/>
              </w:rPr>
            </w:pPr>
          </w:p>
        </w:tc>
        <w:tc>
          <w:tcPr>
            <w:tcW w:w="1950" w:type="dxa"/>
            <w:tcBorders>
              <w:top w:val="nil"/>
              <w:left w:val="nil"/>
              <w:right w:val="nil"/>
            </w:tcBorders>
            <w:shd w:val="clear" w:color="auto" w:fill="auto"/>
            <w:vAlign w:val="bottom"/>
            <w:hideMark/>
          </w:tcPr>
          <w:p w14:paraId="4C52C7CF" w14:textId="77777777" w:rsidR="000F5207" w:rsidRPr="009E35ED" w:rsidRDefault="000F5207" w:rsidP="000F5207">
            <w:pPr>
              <w:ind w:left="0"/>
              <w:jc w:val="left"/>
              <w:rPr>
                <w:color w:val="000000" w:themeColor="text1"/>
                <w:sz w:val="20"/>
                <w:szCs w:val="20"/>
                <w:lang w:val="en-PH" w:eastAsia="en-PH"/>
              </w:rPr>
            </w:pPr>
          </w:p>
        </w:tc>
        <w:tc>
          <w:tcPr>
            <w:tcW w:w="861" w:type="dxa"/>
            <w:tcBorders>
              <w:top w:val="nil"/>
              <w:left w:val="nil"/>
              <w:right w:val="nil"/>
            </w:tcBorders>
            <w:shd w:val="clear" w:color="auto" w:fill="auto"/>
            <w:vAlign w:val="bottom"/>
            <w:hideMark/>
          </w:tcPr>
          <w:p w14:paraId="1EC8234C" w14:textId="77777777" w:rsidR="000F5207" w:rsidRPr="009E35ED" w:rsidRDefault="000F5207" w:rsidP="000F5207">
            <w:pPr>
              <w:ind w:left="0"/>
              <w:jc w:val="left"/>
              <w:rPr>
                <w:color w:val="000000" w:themeColor="text1"/>
                <w:sz w:val="20"/>
                <w:szCs w:val="20"/>
                <w:lang w:val="en-PH" w:eastAsia="en-PH"/>
              </w:rPr>
            </w:pPr>
          </w:p>
        </w:tc>
        <w:tc>
          <w:tcPr>
            <w:tcW w:w="1161" w:type="dxa"/>
            <w:tcBorders>
              <w:top w:val="nil"/>
              <w:left w:val="nil"/>
              <w:right w:val="nil"/>
            </w:tcBorders>
            <w:shd w:val="clear" w:color="auto" w:fill="auto"/>
            <w:noWrap/>
            <w:vAlign w:val="center"/>
            <w:hideMark/>
          </w:tcPr>
          <w:p w14:paraId="7EFEDEF1" w14:textId="77777777" w:rsidR="000F5207" w:rsidRPr="009E35ED" w:rsidRDefault="000F5207" w:rsidP="000F5207">
            <w:pPr>
              <w:ind w:left="0"/>
              <w:jc w:val="left"/>
              <w:rPr>
                <w:color w:val="000000" w:themeColor="text1"/>
                <w:sz w:val="20"/>
                <w:szCs w:val="20"/>
                <w:lang w:val="en-PH" w:eastAsia="en-PH"/>
              </w:rPr>
            </w:pPr>
          </w:p>
        </w:tc>
        <w:tc>
          <w:tcPr>
            <w:tcW w:w="1136" w:type="dxa"/>
            <w:tcBorders>
              <w:top w:val="nil"/>
              <w:left w:val="nil"/>
              <w:right w:val="nil"/>
            </w:tcBorders>
            <w:shd w:val="clear" w:color="auto" w:fill="auto"/>
            <w:noWrap/>
            <w:vAlign w:val="center"/>
            <w:hideMark/>
          </w:tcPr>
          <w:p w14:paraId="12BBB692" w14:textId="77777777" w:rsidR="000F5207" w:rsidRPr="009E35ED" w:rsidRDefault="000F5207" w:rsidP="000F5207">
            <w:pPr>
              <w:ind w:left="0"/>
              <w:jc w:val="right"/>
              <w:rPr>
                <w:color w:val="000000" w:themeColor="text1"/>
                <w:sz w:val="20"/>
                <w:szCs w:val="20"/>
                <w:lang w:val="en-PH" w:eastAsia="en-PH"/>
              </w:rPr>
            </w:pPr>
          </w:p>
        </w:tc>
        <w:tc>
          <w:tcPr>
            <w:tcW w:w="1129" w:type="dxa"/>
            <w:tcBorders>
              <w:top w:val="nil"/>
              <w:left w:val="nil"/>
              <w:right w:val="nil"/>
            </w:tcBorders>
            <w:shd w:val="clear" w:color="auto" w:fill="auto"/>
            <w:noWrap/>
            <w:vAlign w:val="center"/>
            <w:hideMark/>
          </w:tcPr>
          <w:p w14:paraId="4657AB9F" w14:textId="77777777" w:rsidR="000F5207" w:rsidRPr="009E35ED" w:rsidRDefault="000F5207" w:rsidP="000F5207">
            <w:pPr>
              <w:ind w:left="0"/>
              <w:jc w:val="right"/>
              <w:rPr>
                <w:color w:val="000000" w:themeColor="text1"/>
                <w:sz w:val="20"/>
                <w:szCs w:val="20"/>
                <w:lang w:val="en-PH" w:eastAsia="en-PH"/>
              </w:rPr>
            </w:pPr>
          </w:p>
        </w:tc>
        <w:tc>
          <w:tcPr>
            <w:tcW w:w="1161" w:type="dxa"/>
            <w:tcBorders>
              <w:top w:val="nil"/>
              <w:left w:val="nil"/>
              <w:right w:val="nil"/>
            </w:tcBorders>
            <w:shd w:val="clear" w:color="auto" w:fill="auto"/>
            <w:noWrap/>
            <w:vAlign w:val="center"/>
            <w:hideMark/>
          </w:tcPr>
          <w:p w14:paraId="2C5FCF86" w14:textId="77777777" w:rsidR="000F5207" w:rsidRPr="009E35ED" w:rsidRDefault="000F5207" w:rsidP="000F5207">
            <w:pPr>
              <w:ind w:left="0"/>
              <w:jc w:val="right"/>
              <w:rPr>
                <w:color w:val="000000" w:themeColor="text1"/>
                <w:sz w:val="20"/>
                <w:szCs w:val="20"/>
                <w:lang w:val="en-PH" w:eastAsia="en-PH"/>
              </w:rPr>
            </w:pPr>
          </w:p>
        </w:tc>
      </w:tr>
      <w:tr w:rsidR="00997F75" w:rsidRPr="009E35ED" w14:paraId="7452D409" w14:textId="77777777" w:rsidTr="000F5207">
        <w:trPr>
          <w:trHeight w:val="300"/>
        </w:trPr>
        <w:tc>
          <w:tcPr>
            <w:tcW w:w="3942" w:type="dxa"/>
            <w:gridSpan w:val="4"/>
            <w:shd w:val="clear" w:color="auto" w:fill="auto"/>
            <w:noWrap/>
            <w:vAlign w:val="center"/>
            <w:hideMark/>
          </w:tcPr>
          <w:p w14:paraId="5CBA0586" w14:textId="77777777" w:rsidR="000F5207" w:rsidRPr="009E35ED" w:rsidRDefault="000F5207" w:rsidP="000F5207">
            <w:pPr>
              <w:ind w:left="0"/>
              <w:jc w:val="left"/>
              <w:rPr>
                <w:rFonts w:ascii="Arial Narrow" w:hAnsi="Arial Narrow"/>
                <w:b/>
                <w:bCs/>
                <w:color w:val="000000" w:themeColor="text1"/>
                <w:sz w:val="16"/>
                <w:szCs w:val="16"/>
                <w:lang w:val="en-PH" w:eastAsia="en-PH"/>
              </w:rPr>
            </w:pPr>
            <w:r w:rsidRPr="009E35ED">
              <w:rPr>
                <w:rFonts w:ascii="Arial Narrow" w:hAnsi="Arial Narrow"/>
                <w:b/>
                <w:bCs/>
                <w:color w:val="000000" w:themeColor="text1"/>
                <w:sz w:val="18"/>
                <w:szCs w:val="16"/>
                <w:lang w:val="en-PH" w:eastAsia="en-PH"/>
              </w:rPr>
              <w:t>Financial Expenses</w:t>
            </w:r>
          </w:p>
        </w:tc>
        <w:tc>
          <w:tcPr>
            <w:tcW w:w="1161" w:type="dxa"/>
            <w:shd w:val="clear" w:color="auto" w:fill="auto"/>
            <w:noWrap/>
            <w:vAlign w:val="center"/>
            <w:hideMark/>
          </w:tcPr>
          <w:p w14:paraId="6772C284" w14:textId="77777777" w:rsidR="000F5207" w:rsidRPr="009E35ED" w:rsidRDefault="000F5207" w:rsidP="000F5207">
            <w:pPr>
              <w:ind w:left="0"/>
              <w:jc w:val="left"/>
              <w:rPr>
                <w:rFonts w:ascii="Arial Narrow" w:hAnsi="Arial Narrow"/>
                <w:b/>
                <w:bCs/>
                <w:color w:val="000000" w:themeColor="text1"/>
                <w:sz w:val="16"/>
                <w:szCs w:val="16"/>
                <w:lang w:val="en-PH" w:eastAsia="en-PH"/>
              </w:rPr>
            </w:pPr>
          </w:p>
        </w:tc>
        <w:tc>
          <w:tcPr>
            <w:tcW w:w="1136" w:type="dxa"/>
            <w:shd w:val="clear" w:color="auto" w:fill="auto"/>
            <w:noWrap/>
            <w:vAlign w:val="center"/>
            <w:hideMark/>
          </w:tcPr>
          <w:p w14:paraId="389D1DD1" w14:textId="77777777" w:rsidR="000F5207" w:rsidRPr="009E35ED" w:rsidRDefault="000F5207" w:rsidP="000F5207">
            <w:pPr>
              <w:ind w:left="0"/>
              <w:jc w:val="right"/>
              <w:rPr>
                <w:color w:val="000000" w:themeColor="text1"/>
                <w:sz w:val="20"/>
                <w:szCs w:val="20"/>
                <w:lang w:val="en-PH" w:eastAsia="en-PH"/>
              </w:rPr>
            </w:pPr>
          </w:p>
        </w:tc>
        <w:tc>
          <w:tcPr>
            <w:tcW w:w="1129" w:type="dxa"/>
            <w:shd w:val="clear" w:color="auto" w:fill="auto"/>
            <w:noWrap/>
            <w:vAlign w:val="center"/>
            <w:hideMark/>
          </w:tcPr>
          <w:p w14:paraId="7E8DA8EC" w14:textId="77777777" w:rsidR="000F5207" w:rsidRPr="009E35ED" w:rsidRDefault="000F5207" w:rsidP="000F5207">
            <w:pPr>
              <w:ind w:left="0"/>
              <w:jc w:val="right"/>
              <w:rPr>
                <w:color w:val="000000" w:themeColor="text1"/>
                <w:sz w:val="20"/>
                <w:szCs w:val="20"/>
                <w:lang w:val="en-PH" w:eastAsia="en-PH"/>
              </w:rPr>
            </w:pPr>
          </w:p>
        </w:tc>
        <w:tc>
          <w:tcPr>
            <w:tcW w:w="1161" w:type="dxa"/>
            <w:shd w:val="clear" w:color="auto" w:fill="auto"/>
            <w:noWrap/>
            <w:vAlign w:val="center"/>
            <w:hideMark/>
          </w:tcPr>
          <w:p w14:paraId="1B966950" w14:textId="77777777" w:rsidR="000F5207" w:rsidRPr="009E35ED" w:rsidRDefault="000F5207" w:rsidP="000F5207">
            <w:pPr>
              <w:ind w:left="0"/>
              <w:jc w:val="right"/>
              <w:rPr>
                <w:color w:val="000000" w:themeColor="text1"/>
                <w:sz w:val="20"/>
                <w:szCs w:val="20"/>
                <w:lang w:val="en-PH" w:eastAsia="en-PH"/>
              </w:rPr>
            </w:pPr>
          </w:p>
        </w:tc>
      </w:tr>
      <w:tr w:rsidR="00997F75" w:rsidRPr="009E35ED" w14:paraId="07344B28" w14:textId="77777777" w:rsidTr="000F5207">
        <w:trPr>
          <w:trHeight w:val="106"/>
        </w:trPr>
        <w:tc>
          <w:tcPr>
            <w:tcW w:w="567" w:type="dxa"/>
            <w:shd w:val="clear" w:color="auto" w:fill="auto"/>
            <w:noWrap/>
            <w:vAlign w:val="bottom"/>
            <w:hideMark/>
          </w:tcPr>
          <w:p w14:paraId="289D6365" w14:textId="77777777" w:rsidR="000F5207" w:rsidRPr="009E35ED" w:rsidRDefault="000F5207" w:rsidP="000F5207">
            <w:pPr>
              <w:ind w:left="0"/>
              <w:jc w:val="right"/>
              <w:rPr>
                <w:color w:val="000000" w:themeColor="text1"/>
                <w:sz w:val="20"/>
                <w:szCs w:val="20"/>
                <w:lang w:val="en-PH" w:eastAsia="en-PH"/>
              </w:rPr>
            </w:pPr>
          </w:p>
        </w:tc>
        <w:tc>
          <w:tcPr>
            <w:tcW w:w="3375" w:type="dxa"/>
            <w:gridSpan w:val="3"/>
            <w:shd w:val="clear" w:color="auto" w:fill="auto"/>
            <w:noWrap/>
            <w:vAlign w:val="center"/>
            <w:hideMark/>
          </w:tcPr>
          <w:p w14:paraId="38FAD290" w14:textId="77777777" w:rsidR="000F5207" w:rsidRPr="009E35ED" w:rsidRDefault="000F5207" w:rsidP="000F5207">
            <w:pPr>
              <w:ind w:left="0"/>
              <w:jc w:val="lef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Financial charges</w:t>
            </w:r>
          </w:p>
        </w:tc>
        <w:tc>
          <w:tcPr>
            <w:tcW w:w="1161" w:type="dxa"/>
            <w:shd w:val="clear" w:color="auto" w:fill="auto"/>
            <w:noWrap/>
            <w:vAlign w:val="bottom"/>
          </w:tcPr>
          <w:p w14:paraId="096CB2FC" w14:textId="17C19CFC" w:rsidR="000F5207" w:rsidRPr="009E35ED" w:rsidRDefault="000F5207" w:rsidP="000F5207">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12,452,034</w:t>
            </w:r>
          </w:p>
        </w:tc>
        <w:tc>
          <w:tcPr>
            <w:tcW w:w="1136" w:type="dxa"/>
            <w:shd w:val="clear" w:color="auto" w:fill="auto"/>
            <w:noWrap/>
            <w:vAlign w:val="bottom"/>
          </w:tcPr>
          <w:p w14:paraId="2A1B2AC4" w14:textId="2873D5A4" w:rsidR="000F5207" w:rsidRPr="009E35ED" w:rsidRDefault="000F5207" w:rsidP="000F5207">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329,100</w:t>
            </w:r>
          </w:p>
        </w:tc>
        <w:tc>
          <w:tcPr>
            <w:tcW w:w="1129" w:type="dxa"/>
            <w:shd w:val="clear" w:color="auto" w:fill="auto"/>
            <w:noWrap/>
            <w:vAlign w:val="bottom"/>
          </w:tcPr>
          <w:p w14:paraId="6F446409" w14:textId="331A4DAD" w:rsidR="000F5207" w:rsidRPr="009E35ED" w:rsidRDefault="000F5207" w:rsidP="000F5207">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247,090</w:t>
            </w:r>
          </w:p>
        </w:tc>
        <w:tc>
          <w:tcPr>
            <w:tcW w:w="1161" w:type="dxa"/>
            <w:shd w:val="clear" w:color="auto" w:fill="auto"/>
            <w:noWrap/>
            <w:vAlign w:val="bottom"/>
          </w:tcPr>
          <w:p w14:paraId="2DBEAE5F" w14:textId="0B7F3729" w:rsidR="000F5207" w:rsidRPr="009E35ED" w:rsidRDefault="000F5207" w:rsidP="000F5207">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13,028,224</w:t>
            </w:r>
          </w:p>
        </w:tc>
      </w:tr>
      <w:tr w:rsidR="00997F75" w:rsidRPr="009E35ED" w14:paraId="010054A9" w14:textId="77777777" w:rsidTr="000F5207">
        <w:trPr>
          <w:trHeight w:val="56"/>
        </w:trPr>
        <w:tc>
          <w:tcPr>
            <w:tcW w:w="3942" w:type="dxa"/>
            <w:gridSpan w:val="4"/>
            <w:shd w:val="clear" w:color="auto" w:fill="auto"/>
            <w:noWrap/>
            <w:vAlign w:val="center"/>
            <w:hideMark/>
          </w:tcPr>
          <w:p w14:paraId="7C33EC6F" w14:textId="77777777" w:rsidR="000F5207" w:rsidRPr="009E35ED" w:rsidRDefault="000F5207" w:rsidP="000F5207">
            <w:pPr>
              <w:ind w:left="0"/>
              <w:jc w:val="left"/>
              <w:rPr>
                <w:rFonts w:ascii="Arial Narrow" w:hAnsi="Arial Narrow"/>
                <w:b/>
                <w:bCs/>
                <w:color w:val="000000" w:themeColor="text1"/>
                <w:sz w:val="16"/>
                <w:szCs w:val="16"/>
                <w:lang w:val="en-PH" w:eastAsia="en-PH"/>
              </w:rPr>
            </w:pPr>
            <w:r w:rsidRPr="009E35ED">
              <w:rPr>
                <w:rFonts w:ascii="Arial Narrow" w:hAnsi="Arial Narrow"/>
                <w:b/>
                <w:bCs/>
                <w:color w:val="000000" w:themeColor="text1"/>
                <w:sz w:val="18"/>
                <w:szCs w:val="16"/>
                <w:lang w:val="en-PH" w:eastAsia="en-PH"/>
              </w:rPr>
              <w:t>Non-Cash Expenses</w:t>
            </w:r>
          </w:p>
        </w:tc>
        <w:tc>
          <w:tcPr>
            <w:tcW w:w="1161" w:type="dxa"/>
            <w:shd w:val="clear" w:color="auto" w:fill="auto"/>
            <w:noWrap/>
            <w:vAlign w:val="bottom"/>
          </w:tcPr>
          <w:p w14:paraId="6F025349" w14:textId="77777777" w:rsidR="000F5207" w:rsidRPr="009E35ED" w:rsidRDefault="000F5207" w:rsidP="000F5207">
            <w:pPr>
              <w:ind w:left="0"/>
              <w:jc w:val="right"/>
              <w:rPr>
                <w:rFonts w:ascii="Arial Narrow" w:hAnsi="Arial Narrow"/>
                <w:b/>
                <w:bCs/>
                <w:color w:val="000000" w:themeColor="text1"/>
                <w:sz w:val="16"/>
                <w:szCs w:val="16"/>
                <w:lang w:val="en-PH" w:eastAsia="en-PH"/>
              </w:rPr>
            </w:pPr>
          </w:p>
        </w:tc>
        <w:tc>
          <w:tcPr>
            <w:tcW w:w="1136" w:type="dxa"/>
            <w:shd w:val="clear" w:color="auto" w:fill="auto"/>
            <w:noWrap/>
            <w:vAlign w:val="bottom"/>
          </w:tcPr>
          <w:p w14:paraId="47420630" w14:textId="77777777" w:rsidR="000F5207" w:rsidRPr="009E35ED" w:rsidRDefault="000F5207" w:rsidP="000F5207">
            <w:pPr>
              <w:ind w:left="0"/>
              <w:jc w:val="right"/>
              <w:rPr>
                <w:color w:val="000000" w:themeColor="text1"/>
                <w:sz w:val="20"/>
                <w:szCs w:val="20"/>
                <w:lang w:val="en-PH" w:eastAsia="en-PH"/>
              </w:rPr>
            </w:pPr>
          </w:p>
        </w:tc>
        <w:tc>
          <w:tcPr>
            <w:tcW w:w="1129" w:type="dxa"/>
            <w:shd w:val="clear" w:color="auto" w:fill="auto"/>
            <w:noWrap/>
            <w:vAlign w:val="bottom"/>
          </w:tcPr>
          <w:p w14:paraId="4AF44437" w14:textId="77777777" w:rsidR="000F5207" w:rsidRPr="009E35ED" w:rsidRDefault="000F5207" w:rsidP="000F5207">
            <w:pPr>
              <w:ind w:left="0"/>
              <w:jc w:val="right"/>
              <w:rPr>
                <w:color w:val="000000" w:themeColor="text1"/>
                <w:sz w:val="20"/>
                <w:szCs w:val="20"/>
                <w:lang w:val="en-PH" w:eastAsia="en-PH"/>
              </w:rPr>
            </w:pPr>
          </w:p>
        </w:tc>
        <w:tc>
          <w:tcPr>
            <w:tcW w:w="1161" w:type="dxa"/>
            <w:shd w:val="clear" w:color="auto" w:fill="auto"/>
            <w:noWrap/>
            <w:vAlign w:val="bottom"/>
          </w:tcPr>
          <w:p w14:paraId="17E9D796" w14:textId="77777777" w:rsidR="000F5207" w:rsidRPr="009E35ED" w:rsidRDefault="000F5207" w:rsidP="000F5207">
            <w:pPr>
              <w:ind w:left="0"/>
              <w:jc w:val="right"/>
              <w:rPr>
                <w:color w:val="000000" w:themeColor="text1"/>
                <w:sz w:val="20"/>
                <w:szCs w:val="20"/>
                <w:lang w:val="en-PH" w:eastAsia="en-PH"/>
              </w:rPr>
            </w:pPr>
          </w:p>
        </w:tc>
      </w:tr>
      <w:tr w:rsidR="00997F75" w:rsidRPr="009E35ED" w14:paraId="4917007F" w14:textId="77777777" w:rsidTr="000F5207">
        <w:trPr>
          <w:trHeight w:val="60"/>
        </w:trPr>
        <w:tc>
          <w:tcPr>
            <w:tcW w:w="567" w:type="dxa"/>
            <w:shd w:val="clear" w:color="auto" w:fill="auto"/>
            <w:noWrap/>
            <w:vAlign w:val="bottom"/>
            <w:hideMark/>
          </w:tcPr>
          <w:p w14:paraId="04BC8F98" w14:textId="77777777" w:rsidR="000F5207" w:rsidRPr="009E35ED" w:rsidRDefault="000F5207" w:rsidP="000F5207">
            <w:pPr>
              <w:ind w:left="0"/>
              <w:jc w:val="right"/>
              <w:rPr>
                <w:color w:val="000000" w:themeColor="text1"/>
                <w:sz w:val="20"/>
                <w:szCs w:val="20"/>
                <w:lang w:val="en-PH" w:eastAsia="en-PH"/>
              </w:rPr>
            </w:pPr>
          </w:p>
        </w:tc>
        <w:tc>
          <w:tcPr>
            <w:tcW w:w="3375" w:type="dxa"/>
            <w:gridSpan w:val="3"/>
            <w:shd w:val="clear" w:color="auto" w:fill="auto"/>
            <w:noWrap/>
            <w:vAlign w:val="center"/>
            <w:hideMark/>
          </w:tcPr>
          <w:p w14:paraId="50DD7689" w14:textId="1CB6AB57" w:rsidR="000F5207" w:rsidRPr="009E35ED" w:rsidRDefault="000F5207" w:rsidP="000F5207">
            <w:pPr>
              <w:ind w:left="0"/>
              <w:jc w:val="lef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 xml:space="preserve">Depreciation </w:t>
            </w:r>
            <w:r w:rsidR="00862892">
              <w:rPr>
                <w:rFonts w:ascii="Arial Narrow" w:hAnsi="Arial Narrow"/>
                <w:color w:val="000000" w:themeColor="text1"/>
                <w:sz w:val="16"/>
                <w:szCs w:val="16"/>
                <w:lang w:val="en-PH" w:eastAsia="en-PH"/>
              </w:rPr>
              <w:t>e</w:t>
            </w:r>
            <w:r w:rsidRPr="009E35ED">
              <w:rPr>
                <w:rFonts w:ascii="Arial Narrow" w:hAnsi="Arial Narrow"/>
                <w:color w:val="000000" w:themeColor="text1"/>
                <w:sz w:val="16"/>
                <w:szCs w:val="16"/>
                <w:lang w:val="en-PH" w:eastAsia="en-PH"/>
              </w:rPr>
              <w:t>xpenses</w:t>
            </w:r>
          </w:p>
        </w:tc>
        <w:tc>
          <w:tcPr>
            <w:tcW w:w="1161" w:type="dxa"/>
            <w:shd w:val="clear" w:color="auto" w:fill="auto"/>
            <w:noWrap/>
            <w:vAlign w:val="bottom"/>
          </w:tcPr>
          <w:p w14:paraId="5B195392" w14:textId="25706FE7" w:rsidR="000F5207" w:rsidRPr="009E35ED" w:rsidRDefault="000F5207" w:rsidP="0014356C">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204,164,19</w:t>
            </w:r>
            <w:r w:rsidR="0014356C" w:rsidRPr="009E35ED">
              <w:rPr>
                <w:rFonts w:ascii="Arial Narrow" w:hAnsi="Arial Narrow"/>
                <w:color w:val="000000" w:themeColor="text1"/>
                <w:sz w:val="16"/>
                <w:szCs w:val="16"/>
                <w:lang w:val="en-PH" w:eastAsia="en-PH"/>
              </w:rPr>
              <w:t>7</w:t>
            </w:r>
          </w:p>
        </w:tc>
        <w:tc>
          <w:tcPr>
            <w:tcW w:w="1136" w:type="dxa"/>
            <w:shd w:val="clear" w:color="auto" w:fill="auto"/>
            <w:noWrap/>
            <w:vAlign w:val="bottom"/>
          </w:tcPr>
          <w:p w14:paraId="75A7F4E8" w14:textId="3B0DC14B" w:rsidR="000F5207" w:rsidRPr="009E35ED" w:rsidRDefault="000F5207" w:rsidP="000F5207">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129" w:type="dxa"/>
            <w:shd w:val="clear" w:color="auto" w:fill="auto"/>
            <w:noWrap/>
            <w:vAlign w:val="bottom"/>
          </w:tcPr>
          <w:p w14:paraId="476B6590" w14:textId="3B2F022A" w:rsidR="000F5207" w:rsidRPr="009E35ED" w:rsidRDefault="000F5207" w:rsidP="000F5207">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161" w:type="dxa"/>
            <w:shd w:val="clear" w:color="auto" w:fill="auto"/>
            <w:noWrap/>
            <w:vAlign w:val="bottom"/>
          </w:tcPr>
          <w:p w14:paraId="7E2413C2" w14:textId="1027E5A3" w:rsidR="000F5207" w:rsidRPr="009E35ED" w:rsidRDefault="000F5207" w:rsidP="000F5207">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204,164,19</w:t>
            </w:r>
            <w:r w:rsidR="0014356C" w:rsidRPr="009E35ED">
              <w:rPr>
                <w:rFonts w:ascii="Arial Narrow" w:hAnsi="Arial Narrow"/>
                <w:color w:val="000000" w:themeColor="text1"/>
                <w:sz w:val="16"/>
                <w:szCs w:val="16"/>
                <w:lang w:val="en-PH" w:eastAsia="en-PH"/>
              </w:rPr>
              <w:t>7</w:t>
            </w:r>
          </w:p>
        </w:tc>
      </w:tr>
      <w:tr w:rsidR="00997F75" w:rsidRPr="009E35ED" w14:paraId="499B52FE" w14:textId="77777777" w:rsidTr="000F5207">
        <w:trPr>
          <w:trHeight w:val="88"/>
        </w:trPr>
        <w:tc>
          <w:tcPr>
            <w:tcW w:w="567" w:type="dxa"/>
            <w:shd w:val="clear" w:color="auto" w:fill="auto"/>
            <w:noWrap/>
            <w:vAlign w:val="bottom"/>
            <w:hideMark/>
          </w:tcPr>
          <w:p w14:paraId="127AEE44" w14:textId="77777777" w:rsidR="000F5207" w:rsidRPr="009E35ED" w:rsidRDefault="000F5207" w:rsidP="000F5207">
            <w:pPr>
              <w:ind w:left="0"/>
              <w:jc w:val="right"/>
              <w:rPr>
                <w:rFonts w:ascii="Arial Narrow" w:hAnsi="Arial Narrow"/>
                <w:color w:val="000000" w:themeColor="text1"/>
                <w:sz w:val="16"/>
                <w:szCs w:val="16"/>
                <w:lang w:val="en-PH" w:eastAsia="en-PH"/>
              </w:rPr>
            </w:pPr>
          </w:p>
        </w:tc>
        <w:tc>
          <w:tcPr>
            <w:tcW w:w="3375" w:type="dxa"/>
            <w:gridSpan w:val="3"/>
            <w:shd w:val="clear" w:color="auto" w:fill="auto"/>
            <w:noWrap/>
            <w:vAlign w:val="center"/>
            <w:hideMark/>
          </w:tcPr>
          <w:p w14:paraId="11137049" w14:textId="44CF0485" w:rsidR="000F5207" w:rsidRPr="009E35ED" w:rsidRDefault="000F5207" w:rsidP="000F5207">
            <w:pPr>
              <w:ind w:left="0"/>
              <w:jc w:val="lef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Amortization-</w:t>
            </w:r>
            <w:r w:rsidR="00862892">
              <w:rPr>
                <w:rFonts w:ascii="Arial Narrow" w:hAnsi="Arial Narrow"/>
                <w:color w:val="000000" w:themeColor="text1"/>
                <w:sz w:val="16"/>
                <w:szCs w:val="16"/>
                <w:lang w:val="en-PH" w:eastAsia="en-PH"/>
              </w:rPr>
              <w:t>i</w:t>
            </w:r>
            <w:r w:rsidRPr="009E35ED">
              <w:rPr>
                <w:rFonts w:ascii="Arial Narrow" w:hAnsi="Arial Narrow"/>
                <w:color w:val="000000" w:themeColor="text1"/>
                <w:sz w:val="16"/>
                <w:szCs w:val="16"/>
                <w:lang w:val="en-PH" w:eastAsia="en-PH"/>
              </w:rPr>
              <w:t xml:space="preserve">ntangible </w:t>
            </w:r>
            <w:r w:rsidR="00862892">
              <w:rPr>
                <w:rFonts w:ascii="Arial Narrow" w:hAnsi="Arial Narrow"/>
                <w:color w:val="000000" w:themeColor="text1"/>
                <w:sz w:val="16"/>
                <w:szCs w:val="16"/>
                <w:lang w:val="en-PH" w:eastAsia="en-PH"/>
              </w:rPr>
              <w:t>a</w:t>
            </w:r>
            <w:r w:rsidRPr="009E35ED">
              <w:rPr>
                <w:rFonts w:ascii="Arial Narrow" w:hAnsi="Arial Narrow"/>
                <w:color w:val="000000" w:themeColor="text1"/>
                <w:sz w:val="16"/>
                <w:szCs w:val="16"/>
                <w:lang w:val="en-PH" w:eastAsia="en-PH"/>
              </w:rPr>
              <w:t>ssets</w:t>
            </w:r>
          </w:p>
        </w:tc>
        <w:tc>
          <w:tcPr>
            <w:tcW w:w="1161" w:type="dxa"/>
            <w:shd w:val="clear" w:color="auto" w:fill="auto"/>
            <w:noWrap/>
            <w:vAlign w:val="bottom"/>
          </w:tcPr>
          <w:p w14:paraId="31C7623C" w14:textId="071DA8DB" w:rsidR="000F5207" w:rsidRPr="009E35ED" w:rsidRDefault="000F5207" w:rsidP="000F5207">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94,426,911</w:t>
            </w:r>
          </w:p>
        </w:tc>
        <w:tc>
          <w:tcPr>
            <w:tcW w:w="1136" w:type="dxa"/>
            <w:shd w:val="clear" w:color="auto" w:fill="auto"/>
            <w:noWrap/>
            <w:vAlign w:val="bottom"/>
          </w:tcPr>
          <w:p w14:paraId="491056BD" w14:textId="7BE9A7C2" w:rsidR="000F5207" w:rsidRPr="009E35ED" w:rsidRDefault="000F5207" w:rsidP="000F5207">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129" w:type="dxa"/>
            <w:shd w:val="clear" w:color="auto" w:fill="auto"/>
            <w:noWrap/>
            <w:vAlign w:val="bottom"/>
          </w:tcPr>
          <w:p w14:paraId="12DC5A51" w14:textId="4DD5B117" w:rsidR="000F5207" w:rsidRPr="009E35ED" w:rsidRDefault="000F5207" w:rsidP="000F5207">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161" w:type="dxa"/>
            <w:shd w:val="clear" w:color="auto" w:fill="auto"/>
            <w:noWrap/>
            <w:vAlign w:val="bottom"/>
          </w:tcPr>
          <w:p w14:paraId="2A819E1C" w14:textId="53370A74" w:rsidR="000F5207" w:rsidRPr="009E35ED" w:rsidRDefault="000F5207" w:rsidP="000F5207">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94,426,911</w:t>
            </w:r>
          </w:p>
        </w:tc>
      </w:tr>
      <w:tr w:rsidR="00997F75" w:rsidRPr="009E35ED" w14:paraId="634C3860" w14:textId="77777777" w:rsidTr="000F5207">
        <w:trPr>
          <w:trHeight w:val="56"/>
        </w:trPr>
        <w:tc>
          <w:tcPr>
            <w:tcW w:w="567" w:type="dxa"/>
            <w:shd w:val="clear" w:color="auto" w:fill="auto"/>
            <w:noWrap/>
            <w:vAlign w:val="center"/>
            <w:hideMark/>
          </w:tcPr>
          <w:p w14:paraId="66CBA44D" w14:textId="77777777" w:rsidR="000F5207" w:rsidRPr="009E35ED" w:rsidRDefault="000F5207" w:rsidP="000F5207">
            <w:pPr>
              <w:ind w:left="0"/>
              <w:jc w:val="right"/>
              <w:rPr>
                <w:rFonts w:ascii="Arial Narrow" w:hAnsi="Arial Narrow"/>
                <w:color w:val="000000" w:themeColor="text1"/>
                <w:sz w:val="16"/>
                <w:szCs w:val="16"/>
                <w:lang w:val="en-PH" w:eastAsia="en-PH"/>
              </w:rPr>
            </w:pPr>
          </w:p>
        </w:tc>
        <w:tc>
          <w:tcPr>
            <w:tcW w:w="3375" w:type="dxa"/>
            <w:gridSpan w:val="3"/>
            <w:shd w:val="clear" w:color="auto" w:fill="auto"/>
            <w:noWrap/>
            <w:vAlign w:val="center"/>
            <w:hideMark/>
          </w:tcPr>
          <w:p w14:paraId="2D6B097F" w14:textId="77777777" w:rsidR="000F5207" w:rsidRPr="009E35ED" w:rsidRDefault="000F5207" w:rsidP="000F5207">
            <w:pPr>
              <w:ind w:left="0"/>
              <w:jc w:val="lef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Losses</w:t>
            </w:r>
          </w:p>
        </w:tc>
        <w:tc>
          <w:tcPr>
            <w:tcW w:w="1161" w:type="dxa"/>
            <w:shd w:val="clear" w:color="auto" w:fill="auto"/>
            <w:noWrap/>
            <w:vAlign w:val="bottom"/>
          </w:tcPr>
          <w:p w14:paraId="7E5819B6" w14:textId="225B0316" w:rsidR="000F5207" w:rsidRPr="009E35ED" w:rsidRDefault="000F5207" w:rsidP="000F5207">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21,142,359</w:t>
            </w:r>
          </w:p>
        </w:tc>
        <w:tc>
          <w:tcPr>
            <w:tcW w:w="1136" w:type="dxa"/>
            <w:shd w:val="clear" w:color="auto" w:fill="auto"/>
            <w:noWrap/>
            <w:vAlign w:val="bottom"/>
          </w:tcPr>
          <w:p w14:paraId="14DF4D63" w14:textId="19F7A3B0" w:rsidR="000F5207" w:rsidRPr="009E35ED" w:rsidRDefault="000F5207" w:rsidP="000F5207">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129" w:type="dxa"/>
            <w:shd w:val="clear" w:color="auto" w:fill="auto"/>
            <w:noWrap/>
            <w:vAlign w:val="bottom"/>
          </w:tcPr>
          <w:p w14:paraId="55A88297" w14:textId="4C4F52BB" w:rsidR="000F5207" w:rsidRPr="009E35ED" w:rsidRDefault="000F5207" w:rsidP="000F5207">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161" w:type="dxa"/>
            <w:shd w:val="clear" w:color="auto" w:fill="auto"/>
            <w:noWrap/>
            <w:vAlign w:val="bottom"/>
          </w:tcPr>
          <w:p w14:paraId="3CA6BA77" w14:textId="0198E52D" w:rsidR="000F5207" w:rsidRPr="009E35ED" w:rsidRDefault="000F5207" w:rsidP="000F5207">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21,142,359</w:t>
            </w:r>
          </w:p>
        </w:tc>
      </w:tr>
      <w:tr w:rsidR="00997F75" w:rsidRPr="009E35ED" w14:paraId="75CC8E2B" w14:textId="77777777" w:rsidTr="000F5207">
        <w:trPr>
          <w:trHeight w:val="56"/>
        </w:trPr>
        <w:tc>
          <w:tcPr>
            <w:tcW w:w="567" w:type="dxa"/>
            <w:shd w:val="clear" w:color="auto" w:fill="auto"/>
            <w:noWrap/>
            <w:vAlign w:val="center"/>
            <w:hideMark/>
          </w:tcPr>
          <w:p w14:paraId="7E1BB036" w14:textId="77777777" w:rsidR="000F5207" w:rsidRPr="009E35ED" w:rsidRDefault="000F5207" w:rsidP="000F5207">
            <w:pPr>
              <w:ind w:left="0"/>
              <w:jc w:val="right"/>
              <w:rPr>
                <w:rFonts w:ascii="Arial Narrow" w:hAnsi="Arial Narrow"/>
                <w:color w:val="000000" w:themeColor="text1"/>
                <w:sz w:val="16"/>
                <w:szCs w:val="16"/>
                <w:lang w:val="en-PH" w:eastAsia="en-PH"/>
              </w:rPr>
            </w:pPr>
          </w:p>
        </w:tc>
        <w:tc>
          <w:tcPr>
            <w:tcW w:w="3375" w:type="dxa"/>
            <w:gridSpan w:val="3"/>
            <w:shd w:val="clear" w:color="auto" w:fill="auto"/>
            <w:noWrap/>
            <w:vAlign w:val="center"/>
            <w:hideMark/>
          </w:tcPr>
          <w:p w14:paraId="0743F2B2" w14:textId="54ED4C57" w:rsidR="000F5207" w:rsidRPr="009E35ED" w:rsidRDefault="000F5207" w:rsidP="000F5207">
            <w:pPr>
              <w:ind w:left="0"/>
              <w:jc w:val="lef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 xml:space="preserve">Impairment </w:t>
            </w:r>
            <w:r w:rsidR="00862892">
              <w:rPr>
                <w:rFonts w:ascii="Arial Narrow" w:hAnsi="Arial Narrow"/>
                <w:color w:val="000000" w:themeColor="text1"/>
                <w:sz w:val="16"/>
                <w:szCs w:val="16"/>
                <w:lang w:val="en-PH" w:eastAsia="en-PH"/>
              </w:rPr>
              <w:t>l</w:t>
            </w:r>
            <w:r w:rsidRPr="009E35ED">
              <w:rPr>
                <w:rFonts w:ascii="Arial Narrow" w:hAnsi="Arial Narrow"/>
                <w:color w:val="000000" w:themeColor="text1"/>
                <w:sz w:val="16"/>
                <w:szCs w:val="16"/>
                <w:lang w:val="en-PH" w:eastAsia="en-PH"/>
              </w:rPr>
              <w:t>oss</w:t>
            </w:r>
          </w:p>
        </w:tc>
        <w:tc>
          <w:tcPr>
            <w:tcW w:w="1161" w:type="dxa"/>
            <w:shd w:val="clear" w:color="auto" w:fill="auto"/>
            <w:noWrap/>
            <w:vAlign w:val="bottom"/>
          </w:tcPr>
          <w:p w14:paraId="54C23981" w14:textId="58E93B5E" w:rsidR="000F5207" w:rsidRPr="009E35ED" w:rsidRDefault="000F5207" w:rsidP="0014356C">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1,832,985,1</w:t>
            </w:r>
            <w:r w:rsidR="0014356C" w:rsidRPr="009E35ED">
              <w:rPr>
                <w:rFonts w:ascii="Arial Narrow" w:hAnsi="Arial Narrow"/>
                <w:color w:val="000000" w:themeColor="text1"/>
                <w:sz w:val="16"/>
                <w:szCs w:val="16"/>
                <w:lang w:val="en-PH" w:eastAsia="en-PH"/>
              </w:rPr>
              <w:t>49</w:t>
            </w:r>
          </w:p>
        </w:tc>
        <w:tc>
          <w:tcPr>
            <w:tcW w:w="1136" w:type="dxa"/>
            <w:shd w:val="clear" w:color="auto" w:fill="auto"/>
            <w:noWrap/>
            <w:vAlign w:val="bottom"/>
          </w:tcPr>
          <w:p w14:paraId="3A24F576" w14:textId="1A25A7D4" w:rsidR="000F5207" w:rsidRPr="009E35ED" w:rsidRDefault="000F5207" w:rsidP="000F5207">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129" w:type="dxa"/>
            <w:shd w:val="clear" w:color="auto" w:fill="auto"/>
            <w:noWrap/>
            <w:vAlign w:val="bottom"/>
          </w:tcPr>
          <w:p w14:paraId="36E9836A" w14:textId="31A425F7" w:rsidR="000F5207" w:rsidRPr="009E35ED" w:rsidRDefault="000F5207" w:rsidP="000F5207">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161" w:type="dxa"/>
            <w:shd w:val="clear" w:color="auto" w:fill="auto"/>
            <w:noWrap/>
            <w:vAlign w:val="bottom"/>
          </w:tcPr>
          <w:p w14:paraId="3763414A" w14:textId="626FBD5B" w:rsidR="000F5207" w:rsidRPr="009E35ED" w:rsidRDefault="000F5207" w:rsidP="000F5207">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1,832,985,1</w:t>
            </w:r>
            <w:r w:rsidR="006B3E85" w:rsidRPr="009E35ED">
              <w:rPr>
                <w:rFonts w:ascii="Arial Narrow" w:hAnsi="Arial Narrow"/>
                <w:color w:val="000000" w:themeColor="text1"/>
                <w:sz w:val="16"/>
                <w:szCs w:val="16"/>
                <w:lang w:val="en-PH" w:eastAsia="en-PH"/>
              </w:rPr>
              <w:t>49</w:t>
            </w:r>
          </w:p>
        </w:tc>
      </w:tr>
      <w:tr w:rsidR="00997F75" w:rsidRPr="009E35ED" w14:paraId="4F8CBBBD" w14:textId="77777777" w:rsidTr="000F5207">
        <w:trPr>
          <w:trHeight w:val="300"/>
        </w:trPr>
        <w:tc>
          <w:tcPr>
            <w:tcW w:w="3942" w:type="dxa"/>
            <w:gridSpan w:val="4"/>
            <w:shd w:val="clear" w:color="auto" w:fill="auto"/>
            <w:noWrap/>
            <w:vAlign w:val="center"/>
            <w:hideMark/>
          </w:tcPr>
          <w:p w14:paraId="4377031A" w14:textId="77777777" w:rsidR="000F5207" w:rsidRPr="009E35ED" w:rsidRDefault="000F5207" w:rsidP="000F5207">
            <w:pPr>
              <w:ind w:left="0"/>
              <w:jc w:val="left"/>
              <w:rPr>
                <w:rFonts w:ascii="Arial Narrow" w:hAnsi="Arial Narrow"/>
                <w:b/>
                <w:bCs/>
                <w:color w:val="000000" w:themeColor="text1"/>
                <w:sz w:val="16"/>
                <w:szCs w:val="16"/>
                <w:lang w:val="en-PH" w:eastAsia="en-PH"/>
              </w:rPr>
            </w:pPr>
            <w:r w:rsidRPr="009E35ED">
              <w:rPr>
                <w:rFonts w:ascii="Arial Narrow" w:hAnsi="Arial Narrow"/>
                <w:b/>
                <w:bCs/>
                <w:color w:val="000000" w:themeColor="text1"/>
                <w:sz w:val="18"/>
                <w:szCs w:val="16"/>
                <w:lang w:val="en-PH" w:eastAsia="en-PH"/>
              </w:rPr>
              <w:t>Financial Assistance/Subsidy/Contribution</w:t>
            </w:r>
          </w:p>
        </w:tc>
        <w:tc>
          <w:tcPr>
            <w:tcW w:w="1161" w:type="dxa"/>
            <w:shd w:val="clear" w:color="auto" w:fill="auto"/>
            <w:noWrap/>
            <w:vAlign w:val="bottom"/>
          </w:tcPr>
          <w:p w14:paraId="47BEE379" w14:textId="77777777" w:rsidR="000F5207" w:rsidRPr="009E35ED" w:rsidRDefault="000F5207" w:rsidP="000F5207">
            <w:pPr>
              <w:ind w:left="0"/>
              <w:jc w:val="right"/>
              <w:rPr>
                <w:rFonts w:ascii="Arial Narrow" w:hAnsi="Arial Narrow"/>
                <w:b/>
                <w:bCs/>
                <w:color w:val="000000" w:themeColor="text1"/>
                <w:sz w:val="16"/>
                <w:szCs w:val="16"/>
                <w:lang w:val="en-PH" w:eastAsia="en-PH"/>
              </w:rPr>
            </w:pPr>
          </w:p>
        </w:tc>
        <w:tc>
          <w:tcPr>
            <w:tcW w:w="1136" w:type="dxa"/>
            <w:shd w:val="clear" w:color="auto" w:fill="auto"/>
            <w:noWrap/>
            <w:vAlign w:val="bottom"/>
          </w:tcPr>
          <w:p w14:paraId="0129696F" w14:textId="77777777" w:rsidR="000F5207" w:rsidRPr="009E35ED" w:rsidRDefault="000F5207" w:rsidP="000F5207">
            <w:pPr>
              <w:ind w:left="0"/>
              <w:jc w:val="right"/>
              <w:rPr>
                <w:color w:val="000000" w:themeColor="text1"/>
                <w:sz w:val="20"/>
                <w:szCs w:val="20"/>
                <w:lang w:val="en-PH" w:eastAsia="en-PH"/>
              </w:rPr>
            </w:pPr>
          </w:p>
        </w:tc>
        <w:tc>
          <w:tcPr>
            <w:tcW w:w="1129" w:type="dxa"/>
            <w:shd w:val="clear" w:color="auto" w:fill="auto"/>
            <w:noWrap/>
            <w:vAlign w:val="bottom"/>
          </w:tcPr>
          <w:p w14:paraId="2CBE7DF3" w14:textId="77777777" w:rsidR="000F5207" w:rsidRPr="009E35ED" w:rsidRDefault="000F5207" w:rsidP="000F5207">
            <w:pPr>
              <w:ind w:left="0"/>
              <w:jc w:val="right"/>
              <w:rPr>
                <w:color w:val="000000" w:themeColor="text1"/>
                <w:sz w:val="20"/>
                <w:szCs w:val="20"/>
                <w:lang w:val="en-PH" w:eastAsia="en-PH"/>
              </w:rPr>
            </w:pPr>
          </w:p>
        </w:tc>
        <w:tc>
          <w:tcPr>
            <w:tcW w:w="1161" w:type="dxa"/>
            <w:shd w:val="clear" w:color="auto" w:fill="auto"/>
            <w:noWrap/>
            <w:vAlign w:val="bottom"/>
          </w:tcPr>
          <w:p w14:paraId="22F296B7" w14:textId="77777777" w:rsidR="000F5207" w:rsidRPr="009E35ED" w:rsidRDefault="000F5207" w:rsidP="000F5207">
            <w:pPr>
              <w:ind w:left="0"/>
              <w:jc w:val="right"/>
              <w:rPr>
                <w:color w:val="000000" w:themeColor="text1"/>
                <w:sz w:val="20"/>
                <w:szCs w:val="20"/>
                <w:lang w:val="en-PH" w:eastAsia="en-PH"/>
              </w:rPr>
            </w:pPr>
          </w:p>
        </w:tc>
      </w:tr>
      <w:tr w:rsidR="00997F75" w:rsidRPr="009E35ED" w14:paraId="28A7ED31" w14:textId="77777777" w:rsidTr="000F5207">
        <w:trPr>
          <w:trHeight w:val="56"/>
        </w:trPr>
        <w:tc>
          <w:tcPr>
            <w:tcW w:w="567" w:type="dxa"/>
            <w:shd w:val="clear" w:color="auto" w:fill="auto"/>
            <w:noWrap/>
            <w:vAlign w:val="bottom"/>
            <w:hideMark/>
          </w:tcPr>
          <w:p w14:paraId="650B2E44" w14:textId="77777777" w:rsidR="0014356C" w:rsidRPr="009E35ED" w:rsidRDefault="0014356C" w:rsidP="0014356C">
            <w:pPr>
              <w:ind w:left="0"/>
              <w:jc w:val="right"/>
              <w:rPr>
                <w:color w:val="000000" w:themeColor="text1"/>
                <w:sz w:val="20"/>
                <w:szCs w:val="20"/>
                <w:lang w:val="en-PH" w:eastAsia="en-PH"/>
              </w:rPr>
            </w:pPr>
          </w:p>
        </w:tc>
        <w:tc>
          <w:tcPr>
            <w:tcW w:w="3375" w:type="dxa"/>
            <w:gridSpan w:val="3"/>
            <w:shd w:val="clear" w:color="auto" w:fill="auto"/>
            <w:noWrap/>
            <w:vAlign w:val="bottom"/>
            <w:hideMark/>
          </w:tcPr>
          <w:p w14:paraId="78FADEBC" w14:textId="77777777" w:rsidR="0014356C" w:rsidRPr="009E35ED" w:rsidRDefault="0014356C" w:rsidP="0014356C">
            <w:pPr>
              <w:ind w:left="0"/>
              <w:jc w:val="lef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Individuals</w:t>
            </w:r>
          </w:p>
        </w:tc>
        <w:tc>
          <w:tcPr>
            <w:tcW w:w="1161" w:type="dxa"/>
            <w:shd w:val="clear" w:color="auto" w:fill="auto"/>
            <w:noWrap/>
            <w:vAlign w:val="bottom"/>
          </w:tcPr>
          <w:p w14:paraId="4B3FD20D" w14:textId="33650CF2" w:rsidR="0014356C" w:rsidRPr="009E35ED" w:rsidRDefault="0014356C" w:rsidP="0014356C">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136" w:type="dxa"/>
            <w:shd w:val="clear" w:color="auto" w:fill="auto"/>
            <w:noWrap/>
            <w:vAlign w:val="bottom"/>
          </w:tcPr>
          <w:p w14:paraId="6A6A0B05" w14:textId="0D943F28" w:rsidR="0014356C" w:rsidRPr="009E35ED" w:rsidRDefault="0014356C" w:rsidP="0014356C">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2,150,486,067</w:t>
            </w:r>
          </w:p>
        </w:tc>
        <w:tc>
          <w:tcPr>
            <w:tcW w:w="1129" w:type="dxa"/>
            <w:shd w:val="clear" w:color="auto" w:fill="auto"/>
            <w:noWrap/>
            <w:vAlign w:val="bottom"/>
          </w:tcPr>
          <w:p w14:paraId="0135B7E8" w14:textId="59128D54" w:rsidR="0014356C" w:rsidRPr="009E35ED" w:rsidRDefault="0014356C" w:rsidP="0014356C">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161" w:type="dxa"/>
            <w:shd w:val="clear" w:color="auto" w:fill="auto"/>
            <w:noWrap/>
            <w:vAlign w:val="bottom"/>
          </w:tcPr>
          <w:p w14:paraId="04DCE0C7" w14:textId="33FC5AB9" w:rsidR="0014356C" w:rsidRPr="009E35ED" w:rsidRDefault="0014356C" w:rsidP="0014356C">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2,150,486,067</w:t>
            </w:r>
          </w:p>
        </w:tc>
      </w:tr>
      <w:tr w:rsidR="00997F75" w:rsidRPr="009E35ED" w14:paraId="1A8A046D" w14:textId="77777777" w:rsidTr="000F5207">
        <w:trPr>
          <w:trHeight w:val="90"/>
        </w:trPr>
        <w:tc>
          <w:tcPr>
            <w:tcW w:w="567" w:type="dxa"/>
            <w:shd w:val="clear" w:color="auto" w:fill="auto"/>
            <w:noWrap/>
            <w:vAlign w:val="bottom"/>
            <w:hideMark/>
          </w:tcPr>
          <w:p w14:paraId="4D4326EE" w14:textId="77777777" w:rsidR="0014356C" w:rsidRPr="009E35ED" w:rsidRDefault="0014356C" w:rsidP="0014356C">
            <w:pPr>
              <w:ind w:left="0"/>
              <w:jc w:val="right"/>
              <w:rPr>
                <w:rFonts w:ascii="Arial Narrow" w:hAnsi="Arial Narrow"/>
                <w:color w:val="000000" w:themeColor="text1"/>
                <w:sz w:val="16"/>
                <w:szCs w:val="16"/>
                <w:lang w:val="en-PH" w:eastAsia="en-PH"/>
              </w:rPr>
            </w:pPr>
          </w:p>
        </w:tc>
        <w:tc>
          <w:tcPr>
            <w:tcW w:w="3375" w:type="dxa"/>
            <w:gridSpan w:val="3"/>
            <w:shd w:val="clear" w:color="auto" w:fill="auto"/>
            <w:noWrap/>
            <w:vAlign w:val="bottom"/>
            <w:hideMark/>
          </w:tcPr>
          <w:p w14:paraId="243966DF" w14:textId="5EC3A8A9" w:rsidR="0014356C" w:rsidRPr="009E35ED" w:rsidRDefault="0014356C" w:rsidP="0014356C">
            <w:pPr>
              <w:ind w:left="0"/>
              <w:jc w:val="lef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 xml:space="preserve">National </w:t>
            </w:r>
            <w:r w:rsidR="00862892">
              <w:rPr>
                <w:rFonts w:ascii="Arial Narrow" w:hAnsi="Arial Narrow"/>
                <w:color w:val="000000" w:themeColor="text1"/>
                <w:sz w:val="16"/>
                <w:szCs w:val="16"/>
                <w:lang w:val="en-PH" w:eastAsia="en-PH"/>
              </w:rPr>
              <w:t>g</w:t>
            </w:r>
            <w:r w:rsidRPr="009E35ED">
              <w:rPr>
                <w:rFonts w:ascii="Arial Narrow" w:hAnsi="Arial Narrow"/>
                <w:color w:val="000000" w:themeColor="text1"/>
                <w:sz w:val="16"/>
                <w:szCs w:val="16"/>
                <w:lang w:val="en-PH" w:eastAsia="en-PH"/>
              </w:rPr>
              <w:t xml:space="preserve">overnment </w:t>
            </w:r>
            <w:r w:rsidR="00862892">
              <w:rPr>
                <w:rFonts w:ascii="Arial Narrow" w:hAnsi="Arial Narrow"/>
                <w:color w:val="000000" w:themeColor="text1"/>
                <w:sz w:val="16"/>
                <w:szCs w:val="16"/>
                <w:lang w:val="en-PH" w:eastAsia="en-PH"/>
              </w:rPr>
              <w:t>a</w:t>
            </w:r>
            <w:r w:rsidRPr="009E35ED">
              <w:rPr>
                <w:rFonts w:ascii="Arial Narrow" w:hAnsi="Arial Narrow"/>
                <w:color w:val="000000" w:themeColor="text1"/>
                <w:sz w:val="16"/>
                <w:szCs w:val="16"/>
                <w:lang w:val="en-PH" w:eastAsia="en-PH"/>
              </w:rPr>
              <w:t>gencies</w:t>
            </w:r>
          </w:p>
        </w:tc>
        <w:tc>
          <w:tcPr>
            <w:tcW w:w="1161" w:type="dxa"/>
            <w:shd w:val="clear" w:color="auto" w:fill="auto"/>
            <w:noWrap/>
            <w:vAlign w:val="bottom"/>
          </w:tcPr>
          <w:p w14:paraId="492C321B" w14:textId="46AE7196" w:rsidR="0014356C" w:rsidRPr="009E35ED" w:rsidRDefault="0014356C" w:rsidP="0014356C">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136" w:type="dxa"/>
            <w:shd w:val="clear" w:color="auto" w:fill="auto"/>
            <w:noWrap/>
            <w:vAlign w:val="bottom"/>
          </w:tcPr>
          <w:p w14:paraId="3F8B1F62" w14:textId="2D4F83AF" w:rsidR="0014356C" w:rsidRPr="009E35ED" w:rsidRDefault="0014356C" w:rsidP="0014356C">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2,155,495,689</w:t>
            </w:r>
          </w:p>
        </w:tc>
        <w:tc>
          <w:tcPr>
            <w:tcW w:w="1129" w:type="dxa"/>
            <w:shd w:val="clear" w:color="auto" w:fill="auto"/>
            <w:noWrap/>
            <w:vAlign w:val="bottom"/>
          </w:tcPr>
          <w:p w14:paraId="573FC9D1" w14:textId="37C4C7C7" w:rsidR="0014356C" w:rsidRPr="009E35ED" w:rsidRDefault="0014356C" w:rsidP="0014356C">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161" w:type="dxa"/>
            <w:shd w:val="clear" w:color="auto" w:fill="auto"/>
            <w:noWrap/>
            <w:vAlign w:val="bottom"/>
          </w:tcPr>
          <w:p w14:paraId="452E4140" w14:textId="414FF045" w:rsidR="0014356C" w:rsidRPr="009E35ED" w:rsidRDefault="0014356C" w:rsidP="0014356C">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2,155,495,689</w:t>
            </w:r>
          </w:p>
        </w:tc>
      </w:tr>
      <w:tr w:rsidR="00997F75" w:rsidRPr="009E35ED" w14:paraId="0C885B29" w14:textId="77777777" w:rsidTr="000F5207">
        <w:trPr>
          <w:trHeight w:val="56"/>
        </w:trPr>
        <w:tc>
          <w:tcPr>
            <w:tcW w:w="567" w:type="dxa"/>
            <w:shd w:val="clear" w:color="auto" w:fill="auto"/>
            <w:noWrap/>
            <w:vAlign w:val="bottom"/>
            <w:hideMark/>
          </w:tcPr>
          <w:p w14:paraId="3BD88AB6" w14:textId="77777777" w:rsidR="0014356C" w:rsidRPr="009E35ED" w:rsidRDefault="0014356C" w:rsidP="0014356C">
            <w:pPr>
              <w:ind w:left="0"/>
              <w:jc w:val="right"/>
              <w:rPr>
                <w:rFonts w:ascii="Arial Narrow" w:hAnsi="Arial Narrow"/>
                <w:color w:val="000000" w:themeColor="text1"/>
                <w:sz w:val="16"/>
                <w:szCs w:val="16"/>
                <w:lang w:val="en-PH" w:eastAsia="en-PH"/>
              </w:rPr>
            </w:pPr>
          </w:p>
        </w:tc>
        <w:tc>
          <w:tcPr>
            <w:tcW w:w="3375" w:type="dxa"/>
            <w:gridSpan w:val="3"/>
            <w:shd w:val="clear" w:color="auto" w:fill="auto"/>
            <w:noWrap/>
            <w:vAlign w:val="bottom"/>
            <w:hideMark/>
          </w:tcPr>
          <w:p w14:paraId="7D4E3C09" w14:textId="59EC3B0E" w:rsidR="0014356C" w:rsidRPr="009E35ED" w:rsidRDefault="0014356C" w:rsidP="0014356C">
            <w:pPr>
              <w:ind w:left="0"/>
              <w:jc w:val="lef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 xml:space="preserve">Local </w:t>
            </w:r>
            <w:r w:rsidR="00862892">
              <w:rPr>
                <w:rFonts w:ascii="Arial Narrow" w:hAnsi="Arial Narrow"/>
                <w:color w:val="000000" w:themeColor="text1"/>
                <w:sz w:val="16"/>
                <w:szCs w:val="16"/>
                <w:lang w:val="en-PH" w:eastAsia="en-PH"/>
              </w:rPr>
              <w:t>go</w:t>
            </w:r>
            <w:r w:rsidRPr="009E35ED">
              <w:rPr>
                <w:rFonts w:ascii="Arial Narrow" w:hAnsi="Arial Narrow"/>
                <w:color w:val="000000" w:themeColor="text1"/>
                <w:sz w:val="16"/>
                <w:szCs w:val="16"/>
                <w:lang w:val="en-PH" w:eastAsia="en-PH"/>
              </w:rPr>
              <w:t xml:space="preserve">vernment </w:t>
            </w:r>
            <w:r w:rsidR="00862892">
              <w:rPr>
                <w:rFonts w:ascii="Arial Narrow" w:hAnsi="Arial Narrow"/>
                <w:color w:val="000000" w:themeColor="text1"/>
                <w:sz w:val="16"/>
                <w:szCs w:val="16"/>
                <w:lang w:val="en-PH" w:eastAsia="en-PH"/>
              </w:rPr>
              <w:t>u</w:t>
            </w:r>
            <w:r w:rsidRPr="009E35ED">
              <w:rPr>
                <w:rFonts w:ascii="Arial Narrow" w:hAnsi="Arial Narrow"/>
                <w:color w:val="000000" w:themeColor="text1"/>
                <w:sz w:val="16"/>
                <w:szCs w:val="16"/>
                <w:lang w:val="en-PH" w:eastAsia="en-PH"/>
              </w:rPr>
              <w:t>nits</w:t>
            </w:r>
          </w:p>
        </w:tc>
        <w:tc>
          <w:tcPr>
            <w:tcW w:w="1161" w:type="dxa"/>
            <w:shd w:val="clear" w:color="auto" w:fill="auto"/>
            <w:noWrap/>
            <w:vAlign w:val="bottom"/>
          </w:tcPr>
          <w:p w14:paraId="3D620FE5" w14:textId="2D4860E2" w:rsidR="0014356C" w:rsidRPr="009E35ED" w:rsidRDefault="0014356C" w:rsidP="0014356C">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136" w:type="dxa"/>
            <w:shd w:val="clear" w:color="auto" w:fill="auto"/>
            <w:noWrap/>
            <w:vAlign w:val="bottom"/>
          </w:tcPr>
          <w:p w14:paraId="760889F2" w14:textId="17AD25B6" w:rsidR="0014356C" w:rsidRPr="009E35ED" w:rsidRDefault="0014356C" w:rsidP="0014356C">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1,094,575,743</w:t>
            </w:r>
          </w:p>
        </w:tc>
        <w:tc>
          <w:tcPr>
            <w:tcW w:w="1129" w:type="dxa"/>
            <w:shd w:val="clear" w:color="auto" w:fill="auto"/>
            <w:noWrap/>
            <w:vAlign w:val="bottom"/>
          </w:tcPr>
          <w:p w14:paraId="40A10D3D" w14:textId="1330E53A" w:rsidR="0014356C" w:rsidRPr="009E35ED" w:rsidRDefault="0014356C" w:rsidP="0014356C">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161" w:type="dxa"/>
            <w:shd w:val="clear" w:color="auto" w:fill="auto"/>
            <w:noWrap/>
            <w:vAlign w:val="bottom"/>
          </w:tcPr>
          <w:p w14:paraId="7D85AE9B" w14:textId="3D5F5098" w:rsidR="0014356C" w:rsidRPr="009E35ED" w:rsidRDefault="0014356C" w:rsidP="0014356C">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1,094,575,743</w:t>
            </w:r>
          </w:p>
        </w:tc>
      </w:tr>
      <w:tr w:rsidR="00997F75" w:rsidRPr="009E35ED" w14:paraId="1E0FE0C4" w14:textId="77777777" w:rsidTr="000F5207">
        <w:trPr>
          <w:trHeight w:val="137"/>
        </w:trPr>
        <w:tc>
          <w:tcPr>
            <w:tcW w:w="567" w:type="dxa"/>
            <w:shd w:val="clear" w:color="auto" w:fill="auto"/>
            <w:noWrap/>
            <w:vAlign w:val="bottom"/>
          </w:tcPr>
          <w:p w14:paraId="661DE844" w14:textId="77777777" w:rsidR="0014356C" w:rsidRPr="009E35ED" w:rsidRDefault="0014356C" w:rsidP="0014356C">
            <w:pPr>
              <w:ind w:left="0"/>
              <w:jc w:val="right"/>
              <w:rPr>
                <w:rFonts w:ascii="Arial Narrow" w:hAnsi="Arial Narrow"/>
                <w:color w:val="000000" w:themeColor="text1"/>
                <w:sz w:val="16"/>
                <w:szCs w:val="16"/>
                <w:lang w:val="en-PH" w:eastAsia="en-PH"/>
              </w:rPr>
            </w:pPr>
          </w:p>
        </w:tc>
        <w:tc>
          <w:tcPr>
            <w:tcW w:w="3375" w:type="dxa"/>
            <w:gridSpan w:val="3"/>
            <w:shd w:val="clear" w:color="auto" w:fill="auto"/>
            <w:noWrap/>
            <w:vAlign w:val="bottom"/>
          </w:tcPr>
          <w:p w14:paraId="246477A2" w14:textId="58305C14" w:rsidR="0014356C" w:rsidRPr="009E35ED" w:rsidRDefault="0014356C" w:rsidP="0014356C">
            <w:pPr>
              <w:ind w:left="0"/>
              <w:jc w:val="lef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Non-</w:t>
            </w:r>
            <w:r w:rsidR="00862892">
              <w:rPr>
                <w:rFonts w:ascii="Arial Narrow" w:hAnsi="Arial Narrow"/>
                <w:color w:val="000000" w:themeColor="text1"/>
                <w:sz w:val="16"/>
                <w:szCs w:val="16"/>
                <w:lang w:val="en-PH" w:eastAsia="en-PH"/>
              </w:rPr>
              <w:t>g</w:t>
            </w:r>
            <w:r w:rsidRPr="009E35ED">
              <w:rPr>
                <w:rFonts w:ascii="Arial Narrow" w:hAnsi="Arial Narrow"/>
                <w:color w:val="000000" w:themeColor="text1"/>
                <w:sz w:val="16"/>
                <w:szCs w:val="16"/>
                <w:lang w:val="en-PH" w:eastAsia="en-PH"/>
              </w:rPr>
              <w:t xml:space="preserve">overnment </w:t>
            </w:r>
            <w:r w:rsidR="00862892">
              <w:rPr>
                <w:rFonts w:ascii="Arial Narrow" w:hAnsi="Arial Narrow"/>
                <w:color w:val="000000" w:themeColor="text1"/>
                <w:sz w:val="16"/>
                <w:szCs w:val="16"/>
                <w:lang w:val="en-PH" w:eastAsia="en-PH"/>
              </w:rPr>
              <w:t>o</w:t>
            </w:r>
            <w:r w:rsidRPr="009E35ED">
              <w:rPr>
                <w:rFonts w:ascii="Arial Narrow" w:hAnsi="Arial Narrow"/>
                <w:color w:val="000000" w:themeColor="text1"/>
                <w:sz w:val="16"/>
                <w:szCs w:val="16"/>
                <w:lang w:val="en-PH" w:eastAsia="en-PH"/>
              </w:rPr>
              <w:t xml:space="preserve">rganizations/People's </w:t>
            </w:r>
            <w:r w:rsidR="00862892">
              <w:rPr>
                <w:rFonts w:ascii="Arial Narrow" w:hAnsi="Arial Narrow"/>
                <w:color w:val="000000" w:themeColor="text1"/>
                <w:sz w:val="16"/>
                <w:szCs w:val="16"/>
                <w:lang w:val="en-PH" w:eastAsia="en-PH"/>
              </w:rPr>
              <w:t>o</w:t>
            </w:r>
            <w:r w:rsidRPr="009E35ED">
              <w:rPr>
                <w:rFonts w:ascii="Arial Narrow" w:hAnsi="Arial Narrow"/>
                <w:color w:val="000000" w:themeColor="text1"/>
                <w:sz w:val="16"/>
                <w:szCs w:val="16"/>
                <w:lang w:val="en-PH" w:eastAsia="en-PH"/>
              </w:rPr>
              <w:t>rganizations</w:t>
            </w:r>
          </w:p>
        </w:tc>
        <w:tc>
          <w:tcPr>
            <w:tcW w:w="1161" w:type="dxa"/>
            <w:shd w:val="clear" w:color="auto" w:fill="auto"/>
            <w:noWrap/>
            <w:vAlign w:val="bottom"/>
          </w:tcPr>
          <w:p w14:paraId="3D4E5027" w14:textId="4CB98C54" w:rsidR="0014356C" w:rsidRPr="009E35ED" w:rsidRDefault="0014356C" w:rsidP="0014356C">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136" w:type="dxa"/>
            <w:shd w:val="clear" w:color="auto" w:fill="auto"/>
            <w:noWrap/>
            <w:vAlign w:val="bottom"/>
          </w:tcPr>
          <w:p w14:paraId="0065BAE5" w14:textId="08B398FA" w:rsidR="0014356C" w:rsidRPr="009E35ED" w:rsidRDefault="0014356C" w:rsidP="0014356C">
            <w:pPr>
              <w:ind w:left="0"/>
              <w:jc w:val="right"/>
              <w:rPr>
                <w:rFonts w:ascii="Arial Narrow" w:hAnsi="Arial Narrow" w:cs="Arial"/>
                <w:color w:val="000000" w:themeColor="text1"/>
                <w:sz w:val="16"/>
                <w:szCs w:val="16"/>
              </w:rPr>
            </w:pPr>
            <w:r w:rsidRPr="009E35ED">
              <w:rPr>
                <w:rFonts w:ascii="Arial Narrow" w:hAnsi="Arial Narrow" w:cs="Arial"/>
                <w:color w:val="000000" w:themeColor="text1"/>
                <w:sz w:val="16"/>
                <w:szCs w:val="16"/>
              </w:rPr>
              <w:t>435,586</w:t>
            </w:r>
          </w:p>
        </w:tc>
        <w:tc>
          <w:tcPr>
            <w:tcW w:w="1129" w:type="dxa"/>
            <w:shd w:val="clear" w:color="auto" w:fill="auto"/>
            <w:noWrap/>
            <w:vAlign w:val="bottom"/>
          </w:tcPr>
          <w:p w14:paraId="59BF84AF" w14:textId="55D6A3EE" w:rsidR="0014356C" w:rsidRPr="009E35ED" w:rsidRDefault="0014356C" w:rsidP="0014356C">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161" w:type="dxa"/>
            <w:shd w:val="clear" w:color="auto" w:fill="auto"/>
            <w:noWrap/>
            <w:vAlign w:val="bottom"/>
          </w:tcPr>
          <w:p w14:paraId="23520ED6" w14:textId="7F78D65C" w:rsidR="0014356C" w:rsidRPr="009E35ED" w:rsidRDefault="0014356C" w:rsidP="0014356C">
            <w:pPr>
              <w:ind w:left="0"/>
              <w:jc w:val="right"/>
              <w:rPr>
                <w:rFonts w:ascii="Arial Narrow" w:hAnsi="Arial Narrow"/>
                <w:color w:val="000000" w:themeColor="text1"/>
                <w:sz w:val="16"/>
                <w:szCs w:val="16"/>
                <w:lang w:eastAsia="en-PH"/>
              </w:rPr>
            </w:pPr>
            <w:r w:rsidRPr="009E35ED">
              <w:rPr>
                <w:rFonts w:ascii="Arial Narrow" w:hAnsi="Arial Narrow" w:cs="Arial"/>
                <w:color w:val="000000" w:themeColor="text1"/>
                <w:sz w:val="16"/>
                <w:szCs w:val="16"/>
              </w:rPr>
              <w:t>435,586</w:t>
            </w:r>
          </w:p>
        </w:tc>
      </w:tr>
      <w:tr w:rsidR="00997F75" w:rsidRPr="009E35ED" w14:paraId="7C6B6D61" w14:textId="77777777" w:rsidTr="000F5207">
        <w:trPr>
          <w:trHeight w:val="56"/>
        </w:trPr>
        <w:tc>
          <w:tcPr>
            <w:tcW w:w="567" w:type="dxa"/>
            <w:shd w:val="clear" w:color="auto" w:fill="auto"/>
            <w:noWrap/>
            <w:vAlign w:val="bottom"/>
            <w:hideMark/>
          </w:tcPr>
          <w:p w14:paraId="622E7B72" w14:textId="77777777" w:rsidR="0014356C" w:rsidRPr="009E35ED" w:rsidRDefault="0014356C" w:rsidP="0014356C">
            <w:pPr>
              <w:ind w:left="0"/>
              <w:jc w:val="right"/>
              <w:rPr>
                <w:rFonts w:ascii="Arial Narrow" w:hAnsi="Arial Narrow"/>
                <w:color w:val="000000" w:themeColor="text1"/>
                <w:sz w:val="16"/>
                <w:szCs w:val="16"/>
                <w:lang w:val="en-PH" w:eastAsia="en-PH"/>
              </w:rPr>
            </w:pPr>
          </w:p>
        </w:tc>
        <w:tc>
          <w:tcPr>
            <w:tcW w:w="3375" w:type="dxa"/>
            <w:gridSpan w:val="3"/>
            <w:shd w:val="clear" w:color="auto" w:fill="auto"/>
            <w:noWrap/>
            <w:vAlign w:val="bottom"/>
            <w:hideMark/>
          </w:tcPr>
          <w:p w14:paraId="2C429FC1" w14:textId="5ED8FAE5" w:rsidR="0014356C" w:rsidRPr="009E35ED" w:rsidRDefault="0014356C" w:rsidP="0014356C">
            <w:pPr>
              <w:ind w:left="0"/>
              <w:jc w:val="lef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 xml:space="preserve">Other </w:t>
            </w:r>
            <w:r w:rsidR="00862892">
              <w:rPr>
                <w:rFonts w:ascii="Arial Narrow" w:hAnsi="Arial Narrow"/>
                <w:color w:val="000000" w:themeColor="text1"/>
                <w:sz w:val="16"/>
                <w:szCs w:val="16"/>
                <w:lang w:val="en-PH" w:eastAsia="en-PH"/>
              </w:rPr>
              <w:t>c</w:t>
            </w:r>
            <w:r w:rsidRPr="009E35ED">
              <w:rPr>
                <w:rFonts w:ascii="Arial Narrow" w:hAnsi="Arial Narrow"/>
                <w:color w:val="000000" w:themeColor="text1"/>
                <w:sz w:val="16"/>
                <w:szCs w:val="16"/>
                <w:lang w:val="en-PH" w:eastAsia="en-PH"/>
              </w:rPr>
              <w:t xml:space="preserve">harity </w:t>
            </w:r>
            <w:r w:rsidR="00862892">
              <w:rPr>
                <w:rFonts w:ascii="Arial Narrow" w:hAnsi="Arial Narrow"/>
                <w:color w:val="000000" w:themeColor="text1"/>
                <w:sz w:val="16"/>
                <w:szCs w:val="16"/>
                <w:lang w:val="en-PH" w:eastAsia="en-PH"/>
              </w:rPr>
              <w:t>e</w:t>
            </w:r>
            <w:r w:rsidRPr="009E35ED">
              <w:rPr>
                <w:rFonts w:ascii="Arial Narrow" w:hAnsi="Arial Narrow"/>
                <w:color w:val="000000" w:themeColor="text1"/>
                <w:sz w:val="16"/>
                <w:szCs w:val="16"/>
                <w:lang w:val="en-PH" w:eastAsia="en-PH"/>
              </w:rPr>
              <w:t>xpenses</w:t>
            </w:r>
          </w:p>
        </w:tc>
        <w:tc>
          <w:tcPr>
            <w:tcW w:w="1161" w:type="dxa"/>
            <w:tcBorders>
              <w:bottom w:val="single" w:sz="4" w:space="0" w:color="auto"/>
            </w:tcBorders>
            <w:shd w:val="clear" w:color="auto" w:fill="auto"/>
            <w:noWrap/>
            <w:vAlign w:val="bottom"/>
          </w:tcPr>
          <w:p w14:paraId="12F772B4" w14:textId="05493E46" w:rsidR="0014356C" w:rsidRPr="009E35ED" w:rsidRDefault="0014356C" w:rsidP="0014356C">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136" w:type="dxa"/>
            <w:tcBorders>
              <w:bottom w:val="single" w:sz="4" w:space="0" w:color="auto"/>
            </w:tcBorders>
            <w:shd w:val="clear" w:color="auto" w:fill="auto"/>
            <w:noWrap/>
            <w:vAlign w:val="bottom"/>
          </w:tcPr>
          <w:p w14:paraId="39F810B9" w14:textId="5B0AF4D8" w:rsidR="0014356C" w:rsidRPr="009E35ED" w:rsidRDefault="0014356C" w:rsidP="0014356C">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741,408,495</w:t>
            </w:r>
          </w:p>
        </w:tc>
        <w:tc>
          <w:tcPr>
            <w:tcW w:w="1129" w:type="dxa"/>
            <w:tcBorders>
              <w:bottom w:val="single" w:sz="4" w:space="0" w:color="auto"/>
            </w:tcBorders>
            <w:shd w:val="clear" w:color="auto" w:fill="auto"/>
            <w:noWrap/>
            <w:vAlign w:val="bottom"/>
          </w:tcPr>
          <w:p w14:paraId="7CA65EEC" w14:textId="265BD4B4" w:rsidR="0014356C" w:rsidRPr="009E35ED" w:rsidRDefault="0014356C" w:rsidP="0014356C">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w:t>
            </w:r>
          </w:p>
        </w:tc>
        <w:tc>
          <w:tcPr>
            <w:tcW w:w="1161" w:type="dxa"/>
            <w:tcBorders>
              <w:bottom w:val="single" w:sz="4" w:space="0" w:color="auto"/>
            </w:tcBorders>
            <w:shd w:val="clear" w:color="auto" w:fill="auto"/>
            <w:noWrap/>
            <w:vAlign w:val="bottom"/>
          </w:tcPr>
          <w:p w14:paraId="15947C26" w14:textId="60F33522" w:rsidR="0014356C" w:rsidRPr="009E35ED" w:rsidRDefault="0014356C" w:rsidP="0014356C">
            <w:pPr>
              <w:ind w:left="0"/>
              <w:jc w:val="right"/>
              <w:rPr>
                <w:rFonts w:ascii="Arial Narrow" w:hAnsi="Arial Narrow"/>
                <w:color w:val="000000" w:themeColor="text1"/>
                <w:sz w:val="16"/>
                <w:szCs w:val="16"/>
                <w:lang w:val="en-PH" w:eastAsia="en-PH"/>
              </w:rPr>
            </w:pPr>
            <w:r w:rsidRPr="009E35ED">
              <w:rPr>
                <w:rFonts w:ascii="Arial Narrow" w:hAnsi="Arial Narrow"/>
                <w:color w:val="000000" w:themeColor="text1"/>
                <w:sz w:val="16"/>
                <w:szCs w:val="16"/>
                <w:lang w:val="en-PH" w:eastAsia="en-PH"/>
              </w:rPr>
              <w:t>741,408,495</w:t>
            </w:r>
          </w:p>
        </w:tc>
      </w:tr>
      <w:tr w:rsidR="000F5207" w:rsidRPr="009E35ED" w14:paraId="65CE3EFB" w14:textId="77777777" w:rsidTr="000F5207">
        <w:trPr>
          <w:trHeight w:val="315"/>
        </w:trPr>
        <w:tc>
          <w:tcPr>
            <w:tcW w:w="3942" w:type="dxa"/>
            <w:gridSpan w:val="4"/>
            <w:tcBorders>
              <w:top w:val="single" w:sz="4" w:space="0" w:color="auto"/>
              <w:left w:val="nil"/>
              <w:bottom w:val="double" w:sz="6" w:space="0" w:color="auto"/>
              <w:right w:val="nil"/>
            </w:tcBorders>
            <w:shd w:val="clear" w:color="auto" w:fill="auto"/>
            <w:noWrap/>
            <w:vAlign w:val="center"/>
            <w:hideMark/>
          </w:tcPr>
          <w:p w14:paraId="40502F8E" w14:textId="77777777" w:rsidR="000F5207" w:rsidRPr="009E35ED" w:rsidRDefault="000F5207" w:rsidP="000F5207">
            <w:pPr>
              <w:ind w:left="0"/>
              <w:jc w:val="left"/>
              <w:rPr>
                <w:rFonts w:ascii="Arial Narrow" w:hAnsi="Arial Narrow"/>
                <w:b/>
                <w:bCs/>
                <w:color w:val="000000" w:themeColor="text1"/>
                <w:sz w:val="16"/>
                <w:szCs w:val="16"/>
                <w:lang w:val="en-PH" w:eastAsia="en-PH"/>
              </w:rPr>
            </w:pPr>
            <w:r w:rsidRPr="009E35ED">
              <w:rPr>
                <w:rFonts w:ascii="Arial Narrow" w:hAnsi="Arial Narrow"/>
                <w:b/>
                <w:bCs/>
                <w:color w:val="000000" w:themeColor="text1"/>
                <w:sz w:val="18"/>
                <w:szCs w:val="16"/>
                <w:lang w:val="en-PH" w:eastAsia="en-PH"/>
              </w:rPr>
              <w:t>Total Operating Expenses</w:t>
            </w:r>
          </w:p>
        </w:tc>
        <w:tc>
          <w:tcPr>
            <w:tcW w:w="1161" w:type="dxa"/>
            <w:tcBorders>
              <w:top w:val="single" w:sz="4" w:space="0" w:color="auto"/>
              <w:left w:val="nil"/>
              <w:bottom w:val="double" w:sz="6" w:space="0" w:color="auto"/>
              <w:right w:val="nil"/>
            </w:tcBorders>
            <w:shd w:val="clear" w:color="auto" w:fill="auto"/>
            <w:noWrap/>
            <w:vAlign w:val="center"/>
          </w:tcPr>
          <w:p w14:paraId="5F3D243D" w14:textId="26E3E2C6" w:rsidR="000F5207" w:rsidRPr="009E35ED" w:rsidRDefault="000F5207" w:rsidP="0014356C">
            <w:pPr>
              <w:ind w:left="0"/>
              <w:jc w:val="right"/>
              <w:rPr>
                <w:rFonts w:ascii="Arial Narrow" w:hAnsi="Arial Narrow"/>
                <w:b/>
                <w:bCs/>
                <w:color w:val="000000" w:themeColor="text1"/>
                <w:sz w:val="16"/>
                <w:szCs w:val="16"/>
                <w:lang w:val="en-PH" w:eastAsia="en-PH"/>
              </w:rPr>
            </w:pPr>
            <w:r w:rsidRPr="009E35ED">
              <w:rPr>
                <w:rFonts w:ascii="Arial Narrow" w:hAnsi="Arial Narrow"/>
                <w:b/>
                <w:bCs/>
                <w:color w:val="000000" w:themeColor="text1"/>
                <w:sz w:val="16"/>
                <w:szCs w:val="16"/>
                <w:lang w:val="en-PH" w:eastAsia="en-PH"/>
              </w:rPr>
              <w:t>5,</w:t>
            </w:r>
            <w:r w:rsidR="0014356C" w:rsidRPr="009E35ED">
              <w:rPr>
                <w:rFonts w:ascii="Arial Narrow" w:hAnsi="Arial Narrow"/>
                <w:b/>
                <w:bCs/>
                <w:color w:val="000000" w:themeColor="text1"/>
                <w:sz w:val="16"/>
                <w:szCs w:val="16"/>
                <w:lang w:val="en-PH" w:eastAsia="en-PH"/>
              </w:rPr>
              <w:t>619,407,440</w:t>
            </w:r>
          </w:p>
        </w:tc>
        <w:tc>
          <w:tcPr>
            <w:tcW w:w="1136" w:type="dxa"/>
            <w:tcBorders>
              <w:top w:val="single" w:sz="4" w:space="0" w:color="auto"/>
              <w:left w:val="nil"/>
              <w:bottom w:val="double" w:sz="6" w:space="0" w:color="auto"/>
              <w:right w:val="nil"/>
            </w:tcBorders>
            <w:shd w:val="clear" w:color="auto" w:fill="auto"/>
            <w:noWrap/>
            <w:vAlign w:val="center"/>
          </w:tcPr>
          <w:p w14:paraId="47A42734" w14:textId="1E11DA5C" w:rsidR="000F5207" w:rsidRPr="009E35ED" w:rsidRDefault="000F5207" w:rsidP="0014356C">
            <w:pPr>
              <w:ind w:left="0"/>
              <w:jc w:val="right"/>
              <w:rPr>
                <w:rFonts w:ascii="Arial Narrow" w:hAnsi="Arial Narrow"/>
                <w:b/>
                <w:bCs/>
                <w:color w:val="000000" w:themeColor="text1"/>
                <w:sz w:val="16"/>
                <w:szCs w:val="16"/>
                <w:lang w:val="en-PH" w:eastAsia="en-PH"/>
              </w:rPr>
            </w:pPr>
            <w:r w:rsidRPr="009E35ED">
              <w:rPr>
                <w:rFonts w:ascii="Arial Narrow" w:hAnsi="Arial Narrow"/>
                <w:b/>
                <w:bCs/>
                <w:color w:val="000000" w:themeColor="text1"/>
                <w:sz w:val="16"/>
                <w:szCs w:val="16"/>
                <w:lang w:val="en-PH" w:eastAsia="en-PH"/>
              </w:rPr>
              <w:t>18,</w:t>
            </w:r>
            <w:r w:rsidR="0014356C" w:rsidRPr="009E35ED">
              <w:rPr>
                <w:rFonts w:ascii="Arial Narrow" w:hAnsi="Arial Narrow"/>
                <w:b/>
                <w:bCs/>
                <w:color w:val="000000" w:themeColor="text1"/>
                <w:sz w:val="16"/>
                <w:szCs w:val="16"/>
                <w:lang w:val="en-PH" w:eastAsia="en-PH"/>
              </w:rPr>
              <w:t>462,043,482</w:t>
            </w:r>
          </w:p>
        </w:tc>
        <w:tc>
          <w:tcPr>
            <w:tcW w:w="1129" w:type="dxa"/>
            <w:tcBorders>
              <w:top w:val="single" w:sz="4" w:space="0" w:color="auto"/>
              <w:left w:val="nil"/>
              <w:bottom w:val="double" w:sz="6" w:space="0" w:color="auto"/>
              <w:right w:val="nil"/>
            </w:tcBorders>
            <w:shd w:val="clear" w:color="auto" w:fill="auto"/>
            <w:noWrap/>
            <w:vAlign w:val="center"/>
          </w:tcPr>
          <w:p w14:paraId="7F80D712" w14:textId="3F7F75D4" w:rsidR="000F5207" w:rsidRPr="009E35ED" w:rsidRDefault="000F5207" w:rsidP="0014356C">
            <w:pPr>
              <w:ind w:left="0"/>
              <w:jc w:val="right"/>
              <w:rPr>
                <w:rFonts w:ascii="Arial Narrow" w:hAnsi="Arial Narrow"/>
                <w:b/>
                <w:bCs/>
                <w:color w:val="000000" w:themeColor="text1"/>
                <w:sz w:val="16"/>
                <w:szCs w:val="16"/>
                <w:lang w:val="en-PH" w:eastAsia="en-PH"/>
              </w:rPr>
            </w:pPr>
            <w:r w:rsidRPr="009E35ED">
              <w:rPr>
                <w:rFonts w:ascii="Arial Narrow" w:hAnsi="Arial Narrow"/>
                <w:b/>
                <w:bCs/>
                <w:color w:val="000000" w:themeColor="text1"/>
                <w:sz w:val="16"/>
                <w:szCs w:val="16"/>
                <w:lang w:val="en-PH" w:eastAsia="en-PH"/>
              </w:rPr>
              <w:t>28,045,</w:t>
            </w:r>
            <w:r w:rsidR="0014356C" w:rsidRPr="009E35ED">
              <w:rPr>
                <w:rFonts w:ascii="Arial Narrow" w:hAnsi="Arial Narrow"/>
                <w:b/>
                <w:bCs/>
                <w:color w:val="000000" w:themeColor="text1"/>
                <w:sz w:val="16"/>
                <w:szCs w:val="16"/>
                <w:lang w:val="en-PH" w:eastAsia="en-PH"/>
              </w:rPr>
              <w:t>674,947</w:t>
            </w:r>
          </w:p>
        </w:tc>
        <w:tc>
          <w:tcPr>
            <w:tcW w:w="1161" w:type="dxa"/>
            <w:tcBorders>
              <w:top w:val="single" w:sz="4" w:space="0" w:color="auto"/>
              <w:left w:val="nil"/>
              <w:bottom w:val="double" w:sz="6" w:space="0" w:color="auto"/>
              <w:right w:val="nil"/>
            </w:tcBorders>
            <w:shd w:val="clear" w:color="auto" w:fill="auto"/>
            <w:noWrap/>
            <w:vAlign w:val="center"/>
          </w:tcPr>
          <w:p w14:paraId="0CC7BDEF" w14:textId="770E540C" w:rsidR="000F5207" w:rsidRPr="009E35ED" w:rsidRDefault="0014356C" w:rsidP="0014356C">
            <w:pPr>
              <w:ind w:left="0"/>
              <w:jc w:val="right"/>
              <w:rPr>
                <w:rFonts w:ascii="Arial Narrow" w:hAnsi="Arial Narrow"/>
                <w:b/>
                <w:bCs/>
                <w:color w:val="000000" w:themeColor="text1"/>
                <w:sz w:val="16"/>
                <w:szCs w:val="16"/>
                <w:lang w:val="en-PH" w:eastAsia="en-PH"/>
              </w:rPr>
            </w:pPr>
            <w:r w:rsidRPr="009E35ED">
              <w:rPr>
                <w:rFonts w:ascii="Arial Narrow" w:hAnsi="Arial Narrow"/>
                <w:b/>
                <w:bCs/>
                <w:color w:val="000000" w:themeColor="text1"/>
                <w:sz w:val="16"/>
                <w:szCs w:val="16"/>
                <w:lang w:val="en-PH" w:eastAsia="en-PH"/>
              </w:rPr>
              <w:t>52,127</w:t>
            </w:r>
            <w:r w:rsidR="000F5207" w:rsidRPr="009E35ED">
              <w:rPr>
                <w:rFonts w:ascii="Arial Narrow" w:hAnsi="Arial Narrow"/>
                <w:b/>
                <w:bCs/>
                <w:color w:val="000000" w:themeColor="text1"/>
                <w:sz w:val="16"/>
                <w:szCs w:val="16"/>
                <w:lang w:val="en-PH" w:eastAsia="en-PH"/>
              </w:rPr>
              <w:t>,</w:t>
            </w:r>
            <w:r w:rsidRPr="009E35ED">
              <w:rPr>
                <w:rFonts w:ascii="Arial Narrow" w:hAnsi="Arial Narrow"/>
                <w:b/>
                <w:bCs/>
                <w:color w:val="000000" w:themeColor="text1"/>
                <w:sz w:val="16"/>
                <w:szCs w:val="16"/>
                <w:lang w:val="en-PH" w:eastAsia="en-PH"/>
              </w:rPr>
              <w:t>125</w:t>
            </w:r>
            <w:r w:rsidR="000F5207" w:rsidRPr="009E35ED">
              <w:rPr>
                <w:rFonts w:ascii="Arial Narrow" w:hAnsi="Arial Narrow"/>
                <w:b/>
                <w:bCs/>
                <w:color w:val="000000" w:themeColor="text1"/>
                <w:sz w:val="16"/>
                <w:szCs w:val="16"/>
                <w:lang w:val="en-PH" w:eastAsia="en-PH"/>
              </w:rPr>
              <w:t>,</w:t>
            </w:r>
            <w:r w:rsidRPr="009E35ED">
              <w:rPr>
                <w:rFonts w:ascii="Arial Narrow" w:hAnsi="Arial Narrow"/>
                <w:b/>
                <w:bCs/>
                <w:color w:val="000000" w:themeColor="text1"/>
                <w:sz w:val="16"/>
                <w:szCs w:val="16"/>
                <w:lang w:val="en-PH" w:eastAsia="en-PH"/>
              </w:rPr>
              <w:t>869</w:t>
            </w:r>
          </w:p>
        </w:tc>
      </w:tr>
    </w:tbl>
    <w:p w14:paraId="13420C06" w14:textId="7F313316" w:rsidR="00A30001" w:rsidRDefault="0083441D" w:rsidP="002F0748">
      <w:pPr>
        <w:keepNext/>
        <w:keepLines/>
        <w:ind w:left="0"/>
        <w:rPr>
          <w:rFonts w:ascii="Arial" w:hAnsi="Arial" w:cs="Arial"/>
          <w:color w:val="000000" w:themeColor="text1"/>
          <w:sz w:val="22"/>
          <w:szCs w:val="22"/>
        </w:rPr>
      </w:pPr>
      <w:r w:rsidRPr="009E35ED">
        <w:rPr>
          <w:rFonts w:ascii="Arial" w:hAnsi="Arial" w:cs="Arial"/>
          <w:color w:val="000000" w:themeColor="text1"/>
          <w:sz w:val="22"/>
          <w:szCs w:val="22"/>
        </w:rPr>
        <w:t>In conformity with PAS No. 8, the Expenses are restated as follows:</w:t>
      </w:r>
    </w:p>
    <w:p w14:paraId="1D81C2A3" w14:textId="77777777" w:rsidR="003A7B55" w:rsidRPr="009E35ED" w:rsidRDefault="003A7B55" w:rsidP="002F0748">
      <w:pPr>
        <w:keepNext/>
        <w:keepLines/>
        <w:ind w:left="0"/>
        <w:rPr>
          <w:rFonts w:ascii="Arial" w:hAnsi="Arial" w:cs="Arial"/>
          <w:color w:val="000000" w:themeColor="text1"/>
          <w:sz w:val="22"/>
          <w:szCs w:val="22"/>
        </w:rPr>
      </w:pPr>
    </w:p>
    <w:tbl>
      <w:tblPr>
        <w:tblW w:w="9002" w:type="dxa"/>
        <w:tblLook w:val="04A0" w:firstRow="1" w:lastRow="0" w:firstColumn="1" w:lastColumn="0" w:noHBand="0" w:noVBand="1"/>
      </w:tblPr>
      <w:tblGrid>
        <w:gridCol w:w="7286"/>
        <w:gridCol w:w="1716"/>
      </w:tblGrid>
      <w:tr w:rsidR="00997F75" w:rsidRPr="009E35ED" w14:paraId="6D86F3A6" w14:textId="77777777" w:rsidTr="00B90388">
        <w:trPr>
          <w:trHeight w:val="174"/>
        </w:trPr>
        <w:tc>
          <w:tcPr>
            <w:tcW w:w="7286" w:type="dxa"/>
            <w:tcBorders>
              <w:top w:val="nil"/>
              <w:left w:val="nil"/>
              <w:bottom w:val="nil"/>
              <w:right w:val="nil"/>
            </w:tcBorders>
            <w:shd w:val="clear" w:color="auto" w:fill="auto"/>
            <w:hideMark/>
          </w:tcPr>
          <w:p w14:paraId="6D9E33D0" w14:textId="451E0892" w:rsidR="00AC7B04" w:rsidRPr="009E35ED" w:rsidRDefault="00AC7B04" w:rsidP="00AC7B04">
            <w:pPr>
              <w:ind w:left="0"/>
              <w:jc w:val="left"/>
              <w:rPr>
                <w:rFonts w:ascii="Arial Narrow" w:hAnsi="Arial Narrow" w:cs="Arial"/>
                <w:color w:val="000000" w:themeColor="text1"/>
                <w:sz w:val="20"/>
                <w:szCs w:val="20"/>
                <w:lang w:val="en-PH" w:eastAsia="en-PH"/>
              </w:rPr>
            </w:pPr>
            <w:r w:rsidRPr="009E35ED">
              <w:rPr>
                <w:rFonts w:ascii="Arial Narrow" w:hAnsi="Arial Narrow"/>
                <w:color w:val="000000" w:themeColor="text1"/>
                <w:sz w:val="20"/>
                <w:szCs w:val="20"/>
              </w:rPr>
              <w:t xml:space="preserve">Unrestated </w:t>
            </w:r>
            <w:r w:rsidR="00862892">
              <w:rPr>
                <w:rFonts w:ascii="Arial Narrow" w:hAnsi="Arial Narrow"/>
                <w:color w:val="000000" w:themeColor="text1"/>
                <w:sz w:val="20"/>
                <w:szCs w:val="20"/>
              </w:rPr>
              <w:t>a</w:t>
            </w:r>
            <w:r w:rsidRPr="009E35ED">
              <w:rPr>
                <w:rFonts w:ascii="Arial Narrow" w:hAnsi="Arial Narrow"/>
                <w:color w:val="000000" w:themeColor="text1"/>
                <w:sz w:val="20"/>
                <w:szCs w:val="20"/>
              </w:rPr>
              <w:t>mount as of December 31, 2022</w:t>
            </w:r>
          </w:p>
        </w:tc>
        <w:tc>
          <w:tcPr>
            <w:tcW w:w="1716" w:type="dxa"/>
            <w:tcBorders>
              <w:top w:val="nil"/>
              <w:left w:val="nil"/>
              <w:bottom w:val="nil"/>
              <w:right w:val="nil"/>
            </w:tcBorders>
            <w:shd w:val="clear" w:color="auto" w:fill="auto"/>
            <w:noWrap/>
            <w:hideMark/>
          </w:tcPr>
          <w:p w14:paraId="693691DE" w14:textId="4537DFE3" w:rsidR="00AC7B04" w:rsidRPr="009E35ED" w:rsidRDefault="00AC7B04" w:rsidP="00B90388">
            <w:pPr>
              <w:ind w:left="0"/>
              <w:jc w:val="right"/>
              <w:rPr>
                <w:rFonts w:ascii="Arial Narrow" w:hAnsi="Arial Narrow" w:cs="Arial"/>
                <w:color w:val="000000" w:themeColor="text1"/>
                <w:sz w:val="20"/>
                <w:szCs w:val="20"/>
                <w:lang w:val="en-PH" w:eastAsia="en-PH"/>
              </w:rPr>
            </w:pPr>
            <w:r w:rsidRPr="009E35ED">
              <w:rPr>
                <w:rFonts w:ascii="Arial Narrow" w:hAnsi="Arial Narrow"/>
                <w:color w:val="000000" w:themeColor="text1"/>
                <w:sz w:val="20"/>
                <w:szCs w:val="20"/>
              </w:rPr>
              <w:t xml:space="preserve">624,774,896 </w:t>
            </w:r>
          </w:p>
        </w:tc>
      </w:tr>
      <w:tr w:rsidR="00997F75" w:rsidRPr="009E35ED" w14:paraId="449D898A" w14:textId="77777777" w:rsidTr="00C26DA1">
        <w:trPr>
          <w:trHeight w:val="162"/>
        </w:trPr>
        <w:tc>
          <w:tcPr>
            <w:tcW w:w="7286" w:type="dxa"/>
            <w:tcBorders>
              <w:top w:val="nil"/>
              <w:left w:val="nil"/>
              <w:bottom w:val="nil"/>
              <w:right w:val="nil"/>
            </w:tcBorders>
            <w:shd w:val="clear" w:color="auto" w:fill="auto"/>
            <w:hideMark/>
          </w:tcPr>
          <w:p w14:paraId="6D3E06C3" w14:textId="06F1ABFC" w:rsidR="00AC7B04" w:rsidRPr="009E35ED" w:rsidRDefault="00AC7B04" w:rsidP="00AC7B04">
            <w:pPr>
              <w:ind w:left="0"/>
              <w:jc w:val="left"/>
              <w:rPr>
                <w:rFonts w:ascii="Arial Narrow" w:hAnsi="Arial Narrow" w:cs="Arial"/>
                <w:color w:val="000000" w:themeColor="text1"/>
                <w:sz w:val="20"/>
                <w:szCs w:val="20"/>
                <w:lang w:val="en-PH" w:eastAsia="en-PH"/>
              </w:rPr>
            </w:pPr>
            <w:r w:rsidRPr="009E35ED">
              <w:rPr>
                <w:rFonts w:ascii="Arial Narrow" w:hAnsi="Arial Narrow"/>
                <w:color w:val="000000" w:themeColor="text1"/>
                <w:sz w:val="20"/>
                <w:szCs w:val="20"/>
              </w:rPr>
              <w:t xml:space="preserve">Adjustment/Recording of </w:t>
            </w:r>
            <w:r w:rsidR="00862892">
              <w:rPr>
                <w:rFonts w:ascii="Arial Narrow" w:hAnsi="Arial Narrow"/>
                <w:color w:val="000000" w:themeColor="text1"/>
                <w:sz w:val="20"/>
                <w:szCs w:val="20"/>
              </w:rPr>
              <w:t>s</w:t>
            </w:r>
            <w:r w:rsidRPr="009E35ED">
              <w:rPr>
                <w:rFonts w:ascii="Arial Narrow" w:hAnsi="Arial Narrow"/>
                <w:color w:val="000000" w:themeColor="text1"/>
                <w:sz w:val="20"/>
                <w:szCs w:val="20"/>
              </w:rPr>
              <w:t xml:space="preserve">alaries </w:t>
            </w:r>
            <w:r w:rsidR="00862892">
              <w:rPr>
                <w:rFonts w:ascii="Arial Narrow" w:hAnsi="Arial Narrow"/>
                <w:color w:val="000000" w:themeColor="text1"/>
                <w:sz w:val="20"/>
                <w:szCs w:val="20"/>
              </w:rPr>
              <w:t>a</w:t>
            </w:r>
            <w:r w:rsidRPr="009E35ED">
              <w:rPr>
                <w:rFonts w:ascii="Arial Narrow" w:hAnsi="Arial Narrow"/>
                <w:color w:val="000000" w:themeColor="text1"/>
                <w:sz w:val="20"/>
                <w:szCs w:val="20"/>
              </w:rPr>
              <w:t xml:space="preserve">nd </w:t>
            </w:r>
            <w:r w:rsidR="00862892">
              <w:rPr>
                <w:rFonts w:ascii="Arial Narrow" w:hAnsi="Arial Narrow"/>
                <w:color w:val="000000" w:themeColor="text1"/>
                <w:sz w:val="20"/>
                <w:szCs w:val="20"/>
              </w:rPr>
              <w:t>w</w:t>
            </w:r>
            <w:r w:rsidRPr="009E35ED">
              <w:rPr>
                <w:rFonts w:ascii="Arial Narrow" w:hAnsi="Arial Narrow"/>
                <w:color w:val="000000" w:themeColor="text1"/>
                <w:sz w:val="20"/>
                <w:szCs w:val="20"/>
              </w:rPr>
              <w:t>ages - Regular-Head Office</w:t>
            </w:r>
          </w:p>
        </w:tc>
        <w:tc>
          <w:tcPr>
            <w:tcW w:w="1716" w:type="dxa"/>
            <w:tcBorders>
              <w:top w:val="nil"/>
              <w:left w:val="nil"/>
              <w:bottom w:val="nil"/>
              <w:right w:val="nil"/>
            </w:tcBorders>
            <w:shd w:val="clear" w:color="auto" w:fill="auto"/>
            <w:noWrap/>
            <w:hideMark/>
          </w:tcPr>
          <w:p w14:paraId="7F96508F" w14:textId="711F30ED" w:rsidR="00AC7B04" w:rsidRPr="009E35ED" w:rsidRDefault="00AC7B04" w:rsidP="00AC7B04">
            <w:pPr>
              <w:ind w:left="0"/>
              <w:jc w:val="right"/>
              <w:rPr>
                <w:rFonts w:ascii="Arial Narrow" w:hAnsi="Arial Narrow" w:cs="Arial"/>
                <w:color w:val="000000" w:themeColor="text1"/>
                <w:sz w:val="20"/>
                <w:szCs w:val="20"/>
                <w:lang w:val="en-PH" w:eastAsia="en-PH"/>
              </w:rPr>
            </w:pPr>
            <w:r w:rsidRPr="009E35ED">
              <w:rPr>
                <w:rFonts w:ascii="Arial Narrow" w:hAnsi="Arial Narrow"/>
                <w:color w:val="000000" w:themeColor="text1"/>
                <w:sz w:val="20"/>
                <w:szCs w:val="20"/>
              </w:rPr>
              <w:t xml:space="preserve"> (139,902)</w:t>
            </w:r>
          </w:p>
        </w:tc>
      </w:tr>
      <w:tr w:rsidR="00997F75" w:rsidRPr="009E35ED" w14:paraId="698A3312" w14:textId="77777777" w:rsidTr="00C26DA1">
        <w:trPr>
          <w:trHeight w:val="75"/>
        </w:trPr>
        <w:tc>
          <w:tcPr>
            <w:tcW w:w="7286" w:type="dxa"/>
            <w:tcBorders>
              <w:top w:val="nil"/>
              <w:left w:val="nil"/>
              <w:bottom w:val="nil"/>
              <w:right w:val="nil"/>
            </w:tcBorders>
            <w:shd w:val="clear" w:color="auto" w:fill="auto"/>
            <w:hideMark/>
          </w:tcPr>
          <w:p w14:paraId="6AB25C41" w14:textId="28FAD5D1" w:rsidR="00AC7B04" w:rsidRPr="009E35ED" w:rsidRDefault="00AC7B04" w:rsidP="00AC7B04">
            <w:pPr>
              <w:ind w:left="0"/>
              <w:jc w:val="left"/>
              <w:rPr>
                <w:rFonts w:ascii="Arial Narrow" w:hAnsi="Arial Narrow" w:cs="Arial"/>
                <w:color w:val="000000" w:themeColor="text1"/>
                <w:sz w:val="20"/>
                <w:szCs w:val="20"/>
                <w:lang w:val="en-PH" w:eastAsia="en-PH"/>
              </w:rPr>
            </w:pPr>
            <w:r w:rsidRPr="009E35ED">
              <w:rPr>
                <w:rFonts w:ascii="Arial Narrow" w:hAnsi="Arial Narrow"/>
                <w:color w:val="000000" w:themeColor="text1"/>
                <w:sz w:val="20"/>
                <w:szCs w:val="20"/>
              </w:rPr>
              <w:t xml:space="preserve">Payment of </w:t>
            </w:r>
            <w:r w:rsidR="00862892">
              <w:rPr>
                <w:rFonts w:ascii="Arial Narrow" w:hAnsi="Arial Narrow"/>
                <w:color w:val="000000" w:themeColor="text1"/>
                <w:sz w:val="20"/>
                <w:szCs w:val="20"/>
              </w:rPr>
              <w:t>s</w:t>
            </w:r>
            <w:r w:rsidRPr="009E35ED">
              <w:rPr>
                <w:rFonts w:ascii="Arial Narrow" w:hAnsi="Arial Narrow"/>
                <w:color w:val="000000" w:themeColor="text1"/>
                <w:sz w:val="20"/>
                <w:szCs w:val="20"/>
              </w:rPr>
              <w:t xml:space="preserve">alaries </w:t>
            </w:r>
            <w:r w:rsidR="00862892">
              <w:rPr>
                <w:rFonts w:ascii="Arial Narrow" w:hAnsi="Arial Narrow"/>
                <w:color w:val="000000" w:themeColor="text1"/>
                <w:sz w:val="20"/>
                <w:szCs w:val="20"/>
              </w:rPr>
              <w:t>a</w:t>
            </w:r>
            <w:r w:rsidRPr="009E35ED">
              <w:rPr>
                <w:rFonts w:ascii="Arial Narrow" w:hAnsi="Arial Narrow"/>
                <w:color w:val="000000" w:themeColor="text1"/>
                <w:sz w:val="20"/>
                <w:szCs w:val="20"/>
              </w:rPr>
              <w:t xml:space="preserve">nd </w:t>
            </w:r>
            <w:r w:rsidR="00862892">
              <w:rPr>
                <w:rFonts w:ascii="Arial Narrow" w:hAnsi="Arial Narrow"/>
                <w:color w:val="000000" w:themeColor="text1"/>
                <w:sz w:val="20"/>
                <w:szCs w:val="20"/>
              </w:rPr>
              <w:t>w</w:t>
            </w:r>
            <w:r w:rsidRPr="009E35ED">
              <w:rPr>
                <w:rFonts w:ascii="Arial Narrow" w:hAnsi="Arial Narrow"/>
                <w:color w:val="000000" w:themeColor="text1"/>
                <w:sz w:val="20"/>
                <w:szCs w:val="20"/>
              </w:rPr>
              <w:t>ages - Regular-Head Office</w:t>
            </w:r>
          </w:p>
        </w:tc>
        <w:tc>
          <w:tcPr>
            <w:tcW w:w="1716" w:type="dxa"/>
            <w:tcBorders>
              <w:top w:val="nil"/>
              <w:left w:val="nil"/>
              <w:bottom w:val="nil"/>
              <w:right w:val="nil"/>
            </w:tcBorders>
            <w:shd w:val="clear" w:color="auto" w:fill="auto"/>
            <w:noWrap/>
            <w:hideMark/>
          </w:tcPr>
          <w:p w14:paraId="578A23BF" w14:textId="52F5D111" w:rsidR="00AC7B04" w:rsidRPr="009E35ED" w:rsidRDefault="00AC7B04" w:rsidP="00AC7B04">
            <w:pPr>
              <w:ind w:left="0"/>
              <w:jc w:val="right"/>
              <w:rPr>
                <w:rFonts w:ascii="Arial Narrow" w:hAnsi="Arial Narrow" w:cs="Arial"/>
                <w:color w:val="000000" w:themeColor="text1"/>
                <w:sz w:val="20"/>
                <w:szCs w:val="20"/>
                <w:lang w:val="en-PH" w:eastAsia="en-PH"/>
              </w:rPr>
            </w:pPr>
            <w:r w:rsidRPr="009E35ED">
              <w:rPr>
                <w:rFonts w:ascii="Arial Narrow" w:hAnsi="Arial Narrow"/>
                <w:color w:val="000000" w:themeColor="text1"/>
                <w:sz w:val="20"/>
                <w:szCs w:val="20"/>
              </w:rPr>
              <w:t xml:space="preserve"> 159,224 </w:t>
            </w:r>
          </w:p>
        </w:tc>
      </w:tr>
      <w:tr w:rsidR="00997F75" w:rsidRPr="009E35ED" w14:paraId="50AF6483" w14:textId="77777777" w:rsidTr="00C26DA1">
        <w:trPr>
          <w:trHeight w:val="188"/>
        </w:trPr>
        <w:tc>
          <w:tcPr>
            <w:tcW w:w="7286" w:type="dxa"/>
            <w:tcBorders>
              <w:top w:val="single" w:sz="4" w:space="0" w:color="auto"/>
              <w:left w:val="nil"/>
              <w:bottom w:val="double" w:sz="6" w:space="0" w:color="auto"/>
              <w:right w:val="nil"/>
            </w:tcBorders>
            <w:shd w:val="clear" w:color="auto" w:fill="auto"/>
            <w:hideMark/>
          </w:tcPr>
          <w:p w14:paraId="75D62DD3" w14:textId="1BAD1D71" w:rsidR="00AC7B04" w:rsidRPr="009E35ED" w:rsidRDefault="00AC7B04" w:rsidP="00AC7B04">
            <w:pPr>
              <w:ind w:left="0"/>
              <w:jc w:val="left"/>
              <w:rPr>
                <w:rFonts w:ascii="Arial Narrow" w:hAnsi="Arial Narrow" w:cs="Arial"/>
                <w:b/>
                <w:bCs/>
                <w:color w:val="000000" w:themeColor="text1"/>
                <w:sz w:val="20"/>
                <w:szCs w:val="20"/>
                <w:lang w:val="en-PH" w:eastAsia="en-PH"/>
              </w:rPr>
            </w:pPr>
            <w:r w:rsidRPr="009E35ED">
              <w:rPr>
                <w:rFonts w:ascii="Arial Narrow" w:hAnsi="Arial Narrow"/>
                <w:b/>
                <w:bCs/>
                <w:color w:val="000000" w:themeColor="text1"/>
                <w:sz w:val="20"/>
                <w:szCs w:val="20"/>
              </w:rPr>
              <w:t>Restated Amount as of December 31, 2022 - Salaries and Wages (Operating Fund)</w:t>
            </w:r>
          </w:p>
        </w:tc>
        <w:tc>
          <w:tcPr>
            <w:tcW w:w="1716" w:type="dxa"/>
            <w:tcBorders>
              <w:top w:val="single" w:sz="4" w:space="0" w:color="auto"/>
              <w:left w:val="nil"/>
              <w:bottom w:val="double" w:sz="6" w:space="0" w:color="auto"/>
              <w:right w:val="nil"/>
            </w:tcBorders>
            <w:shd w:val="clear" w:color="auto" w:fill="auto"/>
            <w:noWrap/>
            <w:vAlign w:val="bottom"/>
            <w:hideMark/>
          </w:tcPr>
          <w:p w14:paraId="34A8F442" w14:textId="68E58158" w:rsidR="00AC7B04" w:rsidRPr="009E35ED" w:rsidRDefault="004E4006" w:rsidP="00AC7B04">
            <w:pPr>
              <w:ind w:left="0"/>
              <w:jc w:val="right"/>
              <w:rPr>
                <w:rFonts w:ascii="Arial Narrow" w:hAnsi="Arial Narrow" w:cs="Arial"/>
                <w:b/>
                <w:bCs/>
                <w:color w:val="000000" w:themeColor="text1"/>
                <w:sz w:val="20"/>
                <w:szCs w:val="20"/>
                <w:lang w:val="en-PH" w:eastAsia="en-PH"/>
              </w:rPr>
            </w:pPr>
            <w:r w:rsidRPr="009E35ED">
              <w:rPr>
                <w:rFonts w:ascii="Arial Narrow" w:hAnsi="Arial Narrow"/>
                <w:b/>
                <w:bCs/>
                <w:color w:val="000000" w:themeColor="text1"/>
                <w:sz w:val="20"/>
                <w:szCs w:val="20"/>
              </w:rPr>
              <w:t>624,794,218</w:t>
            </w:r>
          </w:p>
        </w:tc>
      </w:tr>
      <w:tr w:rsidR="00997F75" w:rsidRPr="009E35ED" w14:paraId="5003B40E" w14:textId="77777777" w:rsidTr="00C26DA1">
        <w:trPr>
          <w:trHeight w:val="300"/>
        </w:trPr>
        <w:tc>
          <w:tcPr>
            <w:tcW w:w="7286" w:type="dxa"/>
            <w:tcBorders>
              <w:top w:val="nil"/>
              <w:left w:val="nil"/>
              <w:bottom w:val="nil"/>
              <w:right w:val="nil"/>
            </w:tcBorders>
            <w:shd w:val="clear" w:color="auto" w:fill="auto"/>
            <w:vAlign w:val="bottom"/>
            <w:hideMark/>
          </w:tcPr>
          <w:p w14:paraId="73AFDBF0" w14:textId="77777777" w:rsidR="008F0E57" w:rsidRPr="009E35ED" w:rsidRDefault="008F0E57" w:rsidP="008F0E57">
            <w:pPr>
              <w:ind w:left="0"/>
              <w:jc w:val="left"/>
              <w:rPr>
                <w:rFonts w:ascii="Arial Narrow" w:hAnsi="Arial Narrow" w:cs="Arial"/>
                <w:b/>
                <w:bCs/>
                <w:color w:val="000000" w:themeColor="text1"/>
                <w:sz w:val="20"/>
                <w:szCs w:val="20"/>
                <w:lang w:val="en-PH" w:eastAsia="en-PH"/>
              </w:rPr>
            </w:pPr>
          </w:p>
        </w:tc>
        <w:tc>
          <w:tcPr>
            <w:tcW w:w="1716" w:type="dxa"/>
            <w:tcBorders>
              <w:top w:val="nil"/>
              <w:left w:val="nil"/>
              <w:bottom w:val="nil"/>
              <w:right w:val="nil"/>
            </w:tcBorders>
            <w:shd w:val="clear" w:color="auto" w:fill="auto"/>
            <w:noWrap/>
            <w:vAlign w:val="bottom"/>
            <w:hideMark/>
          </w:tcPr>
          <w:p w14:paraId="3C958B09" w14:textId="77777777" w:rsidR="008F0E57" w:rsidRPr="009E35ED" w:rsidRDefault="008F0E57" w:rsidP="008F0E57">
            <w:pPr>
              <w:ind w:left="0"/>
              <w:jc w:val="right"/>
              <w:rPr>
                <w:rFonts w:ascii="Arial Narrow" w:hAnsi="Arial Narrow"/>
                <w:color w:val="000000" w:themeColor="text1"/>
                <w:sz w:val="20"/>
                <w:szCs w:val="20"/>
                <w:lang w:val="en-PH" w:eastAsia="en-PH"/>
              </w:rPr>
            </w:pPr>
          </w:p>
        </w:tc>
      </w:tr>
      <w:tr w:rsidR="00997F75" w:rsidRPr="009E35ED" w14:paraId="3C39BB6B" w14:textId="77777777" w:rsidTr="00C26DA1">
        <w:trPr>
          <w:trHeight w:val="285"/>
        </w:trPr>
        <w:tc>
          <w:tcPr>
            <w:tcW w:w="7286" w:type="dxa"/>
            <w:tcBorders>
              <w:top w:val="nil"/>
              <w:left w:val="nil"/>
              <w:bottom w:val="nil"/>
              <w:right w:val="nil"/>
            </w:tcBorders>
            <w:shd w:val="clear" w:color="auto" w:fill="auto"/>
            <w:hideMark/>
          </w:tcPr>
          <w:p w14:paraId="391F6A7B" w14:textId="39E97BAF" w:rsidR="00E0496C" w:rsidRPr="009E35ED" w:rsidRDefault="00E0496C" w:rsidP="00E0496C">
            <w:pPr>
              <w:ind w:left="0"/>
              <w:jc w:val="left"/>
              <w:rPr>
                <w:rFonts w:ascii="Arial Narrow" w:hAnsi="Arial Narrow" w:cs="Arial"/>
                <w:color w:val="000000" w:themeColor="text1"/>
                <w:sz w:val="20"/>
                <w:szCs w:val="20"/>
                <w:lang w:val="en-PH" w:eastAsia="en-PH"/>
              </w:rPr>
            </w:pPr>
            <w:r w:rsidRPr="009E35ED">
              <w:rPr>
                <w:rFonts w:ascii="Arial Narrow" w:hAnsi="Arial Narrow"/>
                <w:color w:val="000000" w:themeColor="text1"/>
                <w:sz w:val="20"/>
                <w:szCs w:val="20"/>
              </w:rPr>
              <w:t xml:space="preserve">Unrestated </w:t>
            </w:r>
            <w:r w:rsidR="00862892">
              <w:rPr>
                <w:rFonts w:ascii="Arial Narrow" w:hAnsi="Arial Narrow"/>
                <w:color w:val="000000" w:themeColor="text1"/>
                <w:sz w:val="20"/>
                <w:szCs w:val="20"/>
              </w:rPr>
              <w:t>a</w:t>
            </w:r>
            <w:r w:rsidRPr="009E35ED">
              <w:rPr>
                <w:rFonts w:ascii="Arial Narrow" w:hAnsi="Arial Narrow"/>
                <w:color w:val="000000" w:themeColor="text1"/>
                <w:sz w:val="20"/>
                <w:szCs w:val="20"/>
              </w:rPr>
              <w:t>mount as of December 31, 2022</w:t>
            </w:r>
          </w:p>
        </w:tc>
        <w:tc>
          <w:tcPr>
            <w:tcW w:w="1716" w:type="dxa"/>
            <w:tcBorders>
              <w:top w:val="nil"/>
              <w:left w:val="nil"/>
              <w:bottom w:val="nil"/>
              <w:right w:val="nil"/>
            </w:tcBorders>
            <w:shd w:val="clear" w:color="auto" w:fill="auto"/>
            <w:noWrap/>
            <w:hideMark/>
          </w:tcPr>
          <w:p w14:paraId="0544D205" w14:textId="0C5DA085" w:rsidR="00E0496C" w:rsidRPr="009E35ED" w:rsidRDefault="00E0496C" w:rsidP="00E0496C">
            <w:pPr>
              <w:ind w:left="0"/>
              <w:jc w:val="right"/>
              <w:rPr>
                <w:rFonts w:ascii="Arial Narrow" w:hAnsi="Arial Narrow" w:cs="Arial"/>
                <w:color w:val="000000" w:themeColor="text1"/>
                <w:sz w:val="20"/>
                <w:szCs w:val="20"/>
                <w:lang w:val="en-PH" w:eastAsia="en-PH"/>
              </w:rPr>
            </w:pPr>
            <w:r w:rsidRPr="009E35ED">
              <w:rPr>
                <w:rFonts w:ascii="Arial Narrow" w:hAnsi="Arial Narrow"/>
                <w:color w:val="000000" w:themeColor="text1"/>
                <w:sz w:val="20"/>
                <w:szCs w:val="20"/>
              </w:rPr>
              <w:t xml:space="preserve"> 26,606,250 </w:t>
            </w:r>
          </w:p>
        </w:tc>
      </w:tr>
      <w:tr w:rsidR="00997F75" w:rsidRPr="009E35ED" w14:paraId="558DB0FF" w14:textId="77777777" w:rsidTr="00C26DA1">
        <w:trPr>
          <w:trHeight w:val="75"/>
        </w:trPr>
        <w:tc>
          <w:tcPr>
            <w:tcW w:w="7286" w:type="dxa"/>
            <w:tcBorders>
              <w:top w:val="nil"/>
              <w:left w:val="nil"/>
              <w:bottom w:val="nil"/>
              <w:right w:val="nil"/>
            </w:tcBorders>
            <w:shd w:val="clear" w:color="auto" w:fill="auto"/>
            <w:hideMark/>
          </w:tcPr>
          <w:p w14:paraId="0DD7DB28" w14:textId="52E34695" w:rsidR="00E0496C" w:rsidRPr="009E35ED" w:rsidRDefault="00E0496C" w:rsidP="00E0496C">
            <w:pPr>
              <w:ind w:left="0"/>
              <w:jc w:val="left"/>
              <w:rPr>
                <w:rFonts w:ascii="Arial Narrow" w:hAnsi="Arial Narrow" w:cs="Arial"/>
                <w:color w:val="000000" w:themeColor="text1"/>
                <w:sz w:val="20"/>
                <w:szCs w:val="20"/>
                <w:lang w:val="en-PH" w:eastAsia="en-PH"/>
              </w:rPr>
            </w:pPr>
            <w:r w:rsidRPr="009E35ED">
              <w:rPr>
                <w:rFonts w:ascii="Arial Narrow" w:hAnsi="Arial Narrow"/>
                <w:color w:val="000000" w:themeColor="text1"/>
                <w:sz w:val="20"/>
                <w:szCs w:val="20"/>
              </w:rPr>
              <w:t xml:space="preserve">Adjustment/Recording of </w:t>
            </w:r>
            <w:r w:rsidR="00862892">
              <w:rPr>
                <w:rFonts w:ascii="Arial Narrow" w:hAnsi="Arial Narrow"/>
                <w:color w:val="000000" w:themeColor="text1"/>
                <w:sz w:val="20"/>
                <w:szCs w:val="20"/>
              </w:rPr>
              <w:t>p</w:t>
            </w:r>
            <w:r w:rsidRPr="009E35ED">
              <w:rPr>
                <w:rFonts w:ascii="Arial Narrow" w:hAnsi="Arial Narrow"/>
                <w:color w:val="000000" w:themeColor="text1"/>
                <w:sz w:val="20"/>
                <w:szCs w:val="20"/>
              </w:rPr>
              <w:t xml:space="preserve">ersonnel </w:t>
            </w:r>
            <w:r w:rsidR="00862892">
              <w:rPr>
                <w:rFonts w:ascii="Arial Narrow" w:hAnsi="Arial Narrow"/>
                <w:color w:val="000000" w:themeColor="text1"/>
                <w:sz w:val="20"/>
                <w:szCs w:val="20"/>
              </w:rPr>
              <w:t>e</w:t>
            </w:r>
            <w:r w:rsidRPr="009E35ED">
              <w:rPr>
                <w:rFonts w:ascii="Arial Narrow" w:hAnsi="Arial Narrow"/>
                <w:color w:val="000000" w:themeColor="text1"/>
                <w:sz w:val="20"/>
                <w:szCs w:val="20"/>
              </w:rPr>
              <w:t xml:space="preserve">conomic </w:t>
            </w:r>
            <w:r w:rsidR="00862892">
              <w:rPr>
                <w:rFonts w:ascii="Arial Narrow" w:hAnsi="Arial Narrow"/>
                <w:color w:val="000000" w:themeColor="text1"/>
                <w:sz w:val="20"/>
                <w:szCs w:val="20"/>
              </w:rPr>
              <w:t>r</w:t>
            </w:r>
            <w:r w:rsidRPr="009E35ED">
              <w:rPr>
                <w:rFonts w:ascii="Arial Narrow" w:hAnsi="Arial Narrow"/>
                <w:color w:val="000000" w:themeColor="text1"/>
                <w:sz w:val="20"/>
                <w:szCs w:val="20"/>
              </w:rPr>
              <w:t xml:space="preserve">elief </w:t>
            </w:r>
            <w:r w:rsidR="00862892">
              <w:rPr>
                <w:rFonts w:ascii="Arial Narrow" w:hAnsi="Arial Narrow"/>
                <w:color w:val="000000" w:themeColor="text1"/>
                <w:sz w:val="20"/>
                <w:szCs w:val="20"/>
              </w:rPr>
              <w:t>a</w:t>
            </w:r>
            <w:r w:rsidRPr="009E35ED">
              <w:rPr>
                <w:rFonts w:ascii="Arial Narrow" w:hAnsi="Arial Narrow"/>
                <w:color w:val="000000" w:themeColor="text1"/>
                <w:sz w:val="20"/>
                <w:szCs w:val="20"/>
              </w:rPr>
              <w:t>llowance-Head Office</w:t>
            </w:r>
          </w:p>
        </w:tc>
        <w:tc>
          <w:tcPr>
            <w:tcW w:w="1716" w:type="dxa"/>
            <w:tcBorders>
              <w:top w:val="nil"/>
              <w:left w:val="nil"/>
              <w:bottom w:val="nil"/>
              <w:right w:val="nil"/>
            </w:tcBorders>
            <w:shd w:val="clear" w:color="auto" w:fill="auto"/>
            <w:noWrap/>
            <w:hideMark/>
          </w:tcPr>
          <w:p w14:paraId="2CFF347F" w14:textId="057C98AB" w:rsidR="00E0496C" w:rsidRPr="009E35ED" w:rsidRDefault="00E0496C" w:rsidP="00E0496C">
            <w:pPr>
              <w:ind w:left="0"/>
              <w:jc w:val="right"/>
              <w:rPr>
                <w:rFonts w:ascii="Arial Narrow" w:hAnsi="Arial Narrow" w:cs="Arial"/>
                <w:color w:val="000000" w:themeColor="text1"/>
                <w:sz w:val="20"/>
                <w:szCs w:val="20"/>
                <w:lang w:val="en-PH" w:eastAsia="en-PH"/>
              </w:rPr>
            </w:pPr>
            <w:r w:rsidRPr="009E35ED">
              <w:rPr>
                <w:rFonts w:ascii="Arial Narrow" w:hAnsi="Arial Narrow"/>
                <w:color w:val="000000" w:themeColor="text1"/>
                <w:sz w:val="20"/>
                <w:szCs w:val="20"/>
              </w:rPr>
              <w:t xml:space="preserve"> (2,091)</w:t>
            </w:r>
          </w:p>
        </w:tc>
      </w:tr>
      <w:tr w:rsidR="00997F75" w:rsidRPr="009E35ED" w14:paraId="0E33B0B6" w14:textId="77777777" w:rsidTr="00C26DA1">
        <w:trPr>
          <w:trHeight w:val="75"/>
        </w:trPr>
        <w:tc>
          <w:tcPr>
            <w:tcW w:w="7286" w:type="dxa"/>
            <w:tcBorders>
              <w:top w:val="nil"/>
              <w:left w:val="nil"/>
              <w:bottom w:val="nil"/>
              <w:right w:val="nil"/>
            </w:tcBorders>
            <w:shd w:val="clear" w:color="auto" w:fill="auto"/>
            <w:hideMark/>
          </w:tcPr>
          <w:p w14:paraId="37CBFDB4" w14:textId="621BE1A7" w:rsidR="00E0496C" w:rsidRPr="009E35ED" w:rsidRDefault="00E0496C" w:rsidP="00E0496C">
            <w:pPr>
              <w:ind w:left="0"/>
              <w:jc w:val="left"/>
              <w:rPr>
                <w:rFonts w:ascii="Arial Narrow" w:hAnsi="Arial Narrow" w:cs="Arial"/>
                <w:color w:val="000000" w:themeColor="text1"/>
                <w:sz w:val="20"/>
                <w:szCs w:val="20"/>
                <w:lang w:val="en-PH" w:eastAsia="en-PH"/>
              </w:rPr>
            </w:pPr>
            <w:r w:rsidRPr="009E35ED">
              <w:rPr>
                <w:rFonts w:ascii="Arial Narrow" w:hAnsi="Arial Narrow"/>
                <w:color w:val="000000" w:themeColor="text1"/>
                <w:sz w:val="20"/>
                <w:szCs w:val="20"/>
              </w:rPr>
              <w:t xml:space="preserve">Payment of </w:t>
            </w:r>
            <w:r w:rsidR="00862892">
              <w:rPr>
                <w:rFonts w:ascii="Arial Narrow" w:hAnsi="Arial Narrow"/>
                <w:color w:val="000000" w:themeColor="text1"/>
                <w:sz w:val="20"/>
                <w:szCs w:val="20"/>
              </w:rPr>
              <w:t>p</w:t>
            </w:r>
            <w:r w:rsidRPr="009E35ED">
              <w:rPr>
                <w:rFonts w:ascii="Arial Narrow" w:hAnsi="Arial Narrow"/>
                <w:color w:val="000000" w:themeColor="text1"/>
                <w:sz w:val="20"/>
                <w:szCs w:val="20"/>
              </w:rPr>
              <w:t xml:space="preserve">ersonnel </w:t>
            </w:r>
            <w:r w:rsidR="00862892">
              <w:rPr>
                <w:rFonts w:ascii="Arial Narrow" w:hAnsi="Arial Narrow"/>
                <w:color w:val="000000" w:themeColor="text1"/>
                <w:sz w:val="20"/>
                <w:szCs w:val="20"/>
              </w:rPr>
              <w:t>e</w:t>
            </w:r>
            <w:r w:rsidRPr="009E35ED">
              <w:rPr>
                <w:rFonts w:ascii="Arial Narrow" w:hAnsi="Arial Narrow"/>
                <w:color w:val="000000" w:themeColor="text1"/>
                <w:sz w:val="20"/>
                <w:szCs w:val="20"/>
              </w:rPr>
              <w:t xml:space="preserve">conomic </w:t>
            </w:r>
            <w:r w:rsidR="00862892">
              <w:rPr>
                <w:rFonts w:ascii="Arial Narrow" w:hAnsi="Arial Narrow"/>
                <w:color w:val="000000" w:themeColor="text1"/>
                <w:sz w:val="20"/>
                <w:szCs w:val="20"/>
              </w:rPr>
              <w:t>r</w:t>
            </w:r>
            <w:r w:rsidRPr="009E35ED">
              <w:rPr>
                <w:rFonts w:ascii="Arial Narrow" w:hAnsi="Arial Narrow"/>
                <w:color w:val="000000" w:themeColor="text1"/>
                <w:sz w:val="20"/>
                <w:szCs w:val="20"/>
              </w:rPr>
              <w:t xml:space="preserve">elief </w:t>
            </w:r>
            <w:r w:rsidR="00862892">
              <w:rPr>
                <w:rFonts w:ascii="Arial Narrow" w:hAnsi="Arial Narrow"/>
                <w:color w:val="000000" w:themeColor="text1"/>
                <w:sz w:val="20"/>
                <w:szCs w:val="20"/>
              </w:rPr>
              <w:t>a</w:t>
            </w:r>
            <w:r w:rsidRPr="009E35ED">
              <w:rPr>
                <w:rFonts w:ascii="Arial Narrow" w:hAnsi="Arial Narrow"/>
                <w:color w:val="000000" w:themeColor="text1"/>
                <w:sz w:val="20"/>
                <w:szCs w:val="20"/>
              </w:rPr>
              <w:t>llowance-Head Office</w:t>
            </w:r>
          </w:p>
        </w:tc>
        <w:tc>
          <w:tcPr>
            <w:tcW w:w="1716" w:type="dxa"/>
            <w:tcBorders>
              <w:top w:val="nil"/>
              <w:left w:val="nil"/>
              <w:bottom w:val="nil"/>
              <w:right w:val="nil"/>
            </w:tcBorders>
            <w:shd w:val="clear" w:color="auto" w:fill="auto"/>
            <w:noWrap/>
            <w:hideMark/>
          </w:tcPr>
          <w:p w14:paraId="27D0BEC7" w14:textId="5B28415B" w:rsidR="00E0496C" w:rsidRPr="009E35ED" w:rsidRDefault="00E0496C" w:rsidP="00E0496C">
            <w:pPr>
              <w:ind w:left="0"/>
              <w:jc w:val="right"/>
              <w:rPr>
                <w:rFonts w:ascii="Arial Narrow" w:hAnsi="Arial Narrow" w:cs="Arial"/>
                <w:color w:val="000000" w:themeColor="text1"/>
                <w:sz w:val="20"/>
                <w:szCs w:val="20"/>
                <w:lang w:val="en-PH" w:eastAsia="en-PH"/>
              </w:rPr>
            </w:pPr>
            <w:r w:rsidRPr="009E35ED">
              <w:rPr>
                <w:rFonts w:ascii="Arial Narrow" w:hAnsi="Arial Narrow"/>
                <w:color w:val="000000" w:themeColor="text1"/>
                <w:sz w:val="20"/>
                <w:szCs w:val="20"/>
              </w:rPr>
              <w:t xml:space="preserve"> (2,818)</w:t>
            </w:r>
          </w:p>
        </w:tc>
      </w:tr>
      <w:tr w:rsidR="00997F75" w:rsidRPr="009E35ED" w14:paraId="2BB65290" w14:textId="77777777" w:rsidTr="00C26DA1">
        <w:trPr>
          <w:trHeight w:val="116"/>
        </w:trPr>
        <w:tc>
          <w:tcPr>
            <w:tcW w:w="7286" w:type="dxa"/>
            <w:tcBorders>
              <w:top w:val="single" w:sz="4" w:space="0" w:color="auto"/>
              <w:left w:val="nil"/>
              <w:bottom w:val="double" w:sz="6" w:space="0" w:color="auto"/>
              <w:right w:val="nil"/>
            </w:tcBorders>
            <w:shd w:val="clear" w:color="auto" w:fill="auto"/>
            <w:hideMark/>
          </w:tcPr>
          <w:p w14:paraId="700EF67A" w14:textId="19D0AFC0" w:rsidR="00E0496C" w:rsidRPr="009E35ED" w:rsidRDefault="00E0496C" w:rsidP="00E0496C">
            <w:pPr>
              <w:ind w:left="0"/>
              <w:jc w:val="left"/>
              <w:rPr>
                <w:rFonts w:ascii="Arial Narrow" w:hAnsi="Arial Narrow" w:cs="Arial"/>
                <w:b/>
                <w:bCs/>
                <w:color w:val="000000" w:themeColor="text1"/>
                <w:sz w:val="20"/>
                <w:szCs w:val="20"/>
                <w:lang w:val="en-PH" w:eastAsia="en-PH"/>
              </w:rPr>
            </w:pPr>
            <w:r w:rsidRPr="009E35ED">
              <w:rPr>
                <w:rFonts w:ascii="Arial Narrow" w:hAnsi="Arial Narrow"/>
                <w:b/>
                <w:bCs/>
                <w:color w:val="000000" w:themeColor="text1"/>
                <w:sz w:val="20"/>
                <w:szCs w:val="20"/>
              </w:rPr>
              <w:t>Restated Amount as of December 31, 2022 - PERA (Operating Fund)</w:t>
            </w:r>
          </w:p>
        </w:tc>
        <w:tc>
          <w:tcPr>
            <w:tcW w:w="1716" w:type="dxa"/>
            <w:tcBorders>
              <w:top w:val="single" w:sz="4" w:space="0" w:color="auto"/>
              <w:left w:val="nil"/>
              <w:bottom w:val="double" w:sz="6" w:space="0" w:color="auto"/>
              <w:right w:val="nil"/>
            </w:tcBorders>
            <w:shd w:val="clear" w:color="auto" w:fill="auto"/>
            <w:noWrap/>
            <w:hideMark/>
          </w:tcPr>
          <w:p w14:paraId="0912A7A6" w14:textId="2F0FF8B9" w:rsidR="00E0496C" w:rsidRPr="009E35ED" w:rsidRDefault="00E0496C" w:rsidP="00E0496C">
            <w:pPr>
              <w:ind w:left="0"/>
              <w:jc w:val="right"/>
              <w:rPr>
                <w:rFonts w:ascii="Arial Narrow" w:hAnsi="Arial Narrow" w:cs="Arial"/>
                <w:b/>
                <w:bCs/>
                <w:color w:val="000000" w:themeColor="text1"/>
                <w:sz w:val="20"/>
                <w:szCs w:val="20"/>
                <w:lang w:val="en-PH" w:eastAsia="en-PH"/>
              </w:rPr>
            </w:pPr>
            <w:r w:rsidRPr="009E35ED">
              <w:rPr>
                <w:rFonts w:ascii="Arial Narrow" w:hAnsi="Arial Narrow"/>
                <w:b/>
                <w:bCs/>
                <w:color w:val="000000" w:themeColor="text1"/>
                <w:sz w:val="20"/>
                <w:szCs w:val="20"/>
              </w:rPr>
              <w:t xml:space="preserve"> 26,601,341 </w:t>
            </w:r>
          </w:p>
        </w:tc>
      </w:tr>
      <w:tr w:rsidR="00997F75" w:rsidRPr="009E35ED" w14:paraId="17536B0A" w14:textId="77777777" w:rsidTr="00C26DA1">
        <w:trPr>
          <w:trHeight w:val="300"/>
        </w:trPr>
        <w:tc>
          <w:tcPr>
            <w:tcW w:w="7286" w:type="dxa"/>
            <w:tcBorders>
              <w:top w:val="nil"/>
              <w:left w:val="nil"/>
              <w:bottom w:val="nil"/>
              <w:right w:val="nil"/>
            </w:tcBorders>
            <w:shd w:val="clear" w:color="auto" w:fill="auto"/>
            <w:vAlign w:val="bottom"/>
            <w:hideMark/>
          </w:tcPr>
          <w:p w14:paraId="0C8A2E31" w14:textId="77777777" w:rsidR="008F0E57" w:rsidRPr="009E35ED" w:rsidRDefault="008F0E57" w:rsidP="008F0E57">
            <w:pPr>
              <w:ind w:left="0"/>
              <w:jc w:val="left"/>
              <w:rPr>
                <w:rFonts w:ascii="Arial Narrow" w:hAnsi="Arial Narrow" w:cs="Arial"/>
                <w:b/>
                <w:bCs/>
                <w:color w:val="000000" w:themeColor="text1"/>
                <w:sz w:val="20"/>
                <w:szCs w:val="20"/>
                <w:lang w:val="en-PH" w:eastAsia="en-PH"/>
              </w:rPr>
            </w:pPr>
          </w:p>
        </w:tc>
        <w:tc>
          <w:tcPr>
            <w:tcW w:w="1716" w:type="dxa"/>
            <w:tcBorders>
              <w:top w:val="nil"/>
              <w:left w:val="nil"/>
              <w:bottom w:val="nil"/>
              <w:right w:val="nil"/>
            </w:tcBorders>
            <w:shd w:val="clear" w:color="auto" w:fill="auto"/>
            <w:noWrap/>
            <w:vAlign w:val="bottom"/>
            <w:hideMark/>
          </w:tcPr>
          <w:p w14:paraId="2C1AB30B" w14:textId="77777777" w:rsidR="008F0E57" w:rsidRPr="009E35ED" w:rsidRDefault="008F0E57" w:rsidP="008F0E57">
            <w:pPr>
              <w:ind w:left="0"/>
              <w:jc w:val="right"/>
              <w:rPr>
                <w:rFonts w:ascii="Arial Narrow" w:hAnsi="Arial Narrow"/>
                <w:color w:val="000000" w:themeColor="text1"/>
                <w:sz w:val="20"/>
                <w:szCs w:val="20"/>
                <w:lang w:val="en-PH" w:eastAsia="en-PH"/>
              </w:rPr>
            </w:pPr>
          </w:p>
        </w:tc>
      </w:tr>
      <w:tr w:rsidR="00997F75" w:rsidRPr="009E35ED" w14:paraId="6EEFD2B3" w14:textId="77777777" w:rsidTr="00C26DA1">
        <w:trPr>
          <w:trHeight w:val="285"/>
        </w:trPr>
        <w:tc>
          <w:tcPr>
            <w:tcW w:w="7286" w:type="dxa"/>
            <w:tcBorders>
              <w:top w:val="nil"/>
              <w:left w:val="nil"/>
              <w:bottom w:val="nil"/>
              <w:right w:val="nil"/>
            </w:tcBorders>
            <w:shd w:val="clear" w:color="auto" w:fill="auto"/>
            <w:vAlign w:val="bottom"/>
            <w:hideMark/>
          </w:tcPr>
          <w:p w14:paraId="763E2164" w14:textId="62ACBDE0" w:rsidR="00C55393" w:rsidRPr="009E35ED" w:rsidRDefault="00C55393" w:rsidP="00C55393">
            <w:pPr>
              <w:ind w:left="0"/>
              <w:jc w:val="left"/>
              <w:rPr>
                <w:rFonts w:ascii="Arial Narrow" w:hAnsi="Arial Narrow" w:cs="Arial"/>
                <w:color w:val="000000" w:themeColor="text1"/>
                <w:sz w:val="20"/>
                <w:szCs w:val="20"/>
                <w:lang w:val="en-PH" w:eastAsia="en-PH"/>
              </w:rPr>
            </w:pPr>
            <w:r w:rsidRPr="009E35ED">
              <w:rPr>
                <w:rFonts w:ascii="Arial Narrow" w:hAnsi="Arial Narrow" w:cs="Arial"/>
                <w:color w:val="000000" w:themeColor="text1"/>
                <w:sz w:val="20"/>
                <w:szCs w:val="20"/>
              </w:rPr>
              <w:t xml:space="preserve">Unrestated </w:t>
            </w:r>
            <w:r w:rsidR="00862892">
              <w:rPr>
                <w:rFonts w:ascii="Arial Narrow" w:hAnsi="Arial Narrow" w:cs="Arial"/>
                <w:color w:val="000000" w:themeColor="text1"/>
                <w:sz w:val="20"/>
                <w:szCs w:val="20"/>
              </w:rPr>
              <w:t>a</w:t>
            </w:r>
            <w:r w:rsidRPr="009E35ED">
              <w:rPr>
                <w:rFonts w:ascii="Arial Narrow" w:hAnsi="Arial Narrow" w:cs="Arial"/>
                <w:color w:val="000000" w:themeColor="text1"/>
                <w:sz w:val="20"/>
                <w:szCs w:val="20"/>
              </w:rPr>
              <w:t>mount as of December 31, 2022</w:t>
            </w:r>
          </w:p>
        </w:tc>
        <w:tc>
          <w:tcPr>
            <w:tcW w:w="1716" w:type="dxa"/>
            <w:tcBorders>
              <w:top w:val="nil"/>
              <w:left w:val="nil"/>
              <w:bottom w:val="nil"/>
              <w:right w:val="nil"/>
            </w:tcBorders>
            <w:shd w:val="clear" w:color="auto" w:fill="auto"/>
            <w:noWrap/>
            <w:hideMark/>
          </w:tcPr>
          <w:p w14:paraId="4893F376" w14:textId="601FB048" w:rsidR="00C55393" w:rsidRPr="009E35ED" w:rsidRDefault="00C55393" w:rsidP="00C55393">
            <w:pPr>
              <w:ind w:left="0"/>
              <w:jc w:val="right"/>
              <w:rPr>
                <w:rFonts w:ascii="Arial Narrow" w:hAnsi="Arial Narrow" w:cs="Arial"/>
                <w:color w:val="000000" w:themeColor="text1"/>
                <w:sz w:val="20"/>
                <w:szCs w:val="20"/>
                <w:lang w:val="en-PH" w:eastAsia="en-PH"/>
              </w:rPr>
            </w:pPr>
            <w:r w:rsidRPr="009E35ED">
              <w:rPr>
                <w:rFonts w:ascii="Arial Narrow" w:hAnsi="Arial Narrow"/>
                <w:color w:val="000000" w:themeColor="text1"/>
                <w:sz w:val="20"/>
                <w:szCs w:val="20"/>
              </w:rPr>
              <w:t xml:space="preserve"> 17,722,467 </w:t>
            </w:r>
          </w:p>
        </w:tc>
      </w:tr>
      <w:tr w:rsidR="00997F75" w:rsidRPr="009E35ED" w14:paraId="0D42F9FE" w14:textId="77777777" w:rsidTr="00C26DA1">
        <w:trPr>
          <w:trHeight w:val="75"/>
        </w:trPr>
        <w:tc>
          <w:tcPr>
            <w:tcW w:w="7286" w:type="dxa"/>
            <w:tcBorders>
              <w:top w:val="nil"/>
              <w:left w:val="nil"/>
              <w:bottom w:val="nil"/>
              <w:right w:val="nil"/>
            </w:tcBorders>
            <w:shd w:val="clear" w:color="auto" w:fill="auto"/>
            <w:vAlign w:val="bottom"/>
            <w:hideMark/>
          </w:tcPr>
          <w:p w14:paraId="01731F42" w14:textId="6475E2B5" w:rsidR="00C55393" w:rsidRPr="009E35ED" w:rsidRDefault="00C55393" w:rsidP="00C55393">
            <w:pPr>
              <w:ind w:left="0"/>
              <w:jc w:val="left"/>
              <w:rPr>
                <w:rFonts w:ascii="Arial Narrow" w:hAnsi="Arial Narrow" w:cs="Arial"/>
                <w:color w:val="000000" w:themeColor="text1"/>
                <w:sz w:val="20"/>
                <w:szCs w:val="20"/>
                <w:lang w:val="en-PH" w:eastAsia="en-PH"/>
              </w:rPr>
            </w:pPr>
            <w:r w:rsidRPr="009E35ED">
              <w:rPr>
                <w:rFonts w:ascii="Arial Narrow" w:hAnsi="Arial Narrow" w:cs="Arial"/>
                <w:color w:val="000000" w:themeColor="text1"/>
                <w:sz w:val="20"/>
                <w:szCs w:val="20"/>
              </w:rPr>
              <w:t xml:space="preserve">Adjustment/Recording of </w:t>
            </w:r>
            <w:r w:rsidR="00862892">
              <w:rPr>
                <w:rFonts w:ascii="Arial Narrow" w:hAnsi="Arial Narrow" w:cs="Arial"/>
                <w:color w:val="000000" w:themeColor="text1"/>
                <w:sz w:val="20"/>
                <w:szCs w:val="20"/>
              </w:rPr>
              <w:t>r</w:t>
            </w:r>
            <w:r w:rsidRPr="009E35ED">
              <w:rPr>
                <w:rFonts w:ascii="Arial Narrow" w:hAnsi="Arial Narrow" w:cs="Arial"/>
                <w:color w:val="000000" w:themeColor="text1"/>
                <w:sz w:val="20"/>
                <w:szCs w:val="20"/>
              </w:rPr>
              <w:t xml:space="preserve">epresentation </w:t>
            </w:r>
            <w:r w:rsidR="00862892">
              <w:rPr>
                <w:rFonts w:ascii="Arial Narrow" w:hAnsi="Arial Narrow" w:cs="Arial"/>
                <w:color w:val="000000" w:themeColor="text1"/>
                <w:sz w:val="20"/>
                <w:szCs w:val="20"/>
              </w:rPr>
              <w:t>a</w:t>
            </w:r>
            <w:r w:rsidRPr="009E35ED">
              <w:rPr>
                <w:rFonts w:ascii="Arial Narrow" w:hAnsi="Arial Narrow" w:cs="Arial"/>
                <w:color w:val="000000" w:themeColor="text1"/>
                <w:sz w:val="20"/>
                <w:szCs w:val="20"/>
              </w:rPr>
              <w:t>llowance-Head Office</w:t>
            </w:r>
          </w:p>
        </w:tc>
        <w:tc>
          <w:tcPr>
            <w:tcW w:w="1716" w:type="dxa"/>
            <w:tcBorders>
              <w:top w:val="nil"/>
              <w:left w:val="nil"/>
              <w:bottom w:val="nil"/>
              <w:right w:val="nil"/>
            </w:tcBorders>
            <w:shd w:val="clear" w:color="auto" w:fill="auto"/>
            <w:noWrap/>
            <w:hideMark/>
          </w:tcPr>
          <w:p w14:paraId="3882CEC4" w14:textId="231A0BD2" w:rsidR="00C55393" w:rsidRPr="009E35ED" w:rsidRDefault="00C55393" w:rsidP="00C55393">
            <w:pPr>
              <w:ind w:left="0"/>
              <w:jc w:val="right"/>
              <w:rPr>
                <w:rFonts w:ascii="Arial Narrow" w:hAnsi="Arial Narrow" w:cs="Arial"/>
                <w:color w:val="000000" w:themeColor="text1"/>
                <w:sz w:val="20"/>
                <w:szCs w:val="20"/>
                <w:lang w:val="en-PH" w:eastAsia="en-PH"/>
              </w:rPr>
            </w:pPr>
            <w:r w:rsidRPr="009E35ED">
              <w:rPr>
                <w:rFonts w:ascii="Arial Narrow" w:hAnsi="Arial Narrow"/>
                <w:color w:val="000000" w:themeColor="text1"/>
                <w:sz w:val="20"/>
                <w:szCs w:val="20"/>
              </w:rPr>
              <w:t xml:space="preserve"> (7,500)</w:t>
            </w:r>
          </w:p>
        </w:tc>
      </w:tr>
      <w:tr w:rsidR="00997F75" w:rsidRPr="009E35ED" w14:paraId="2F9F5F1C" w14:textId="77777777" w:rsidTr="00C26DA1">
        <w:trPr>
          <w:trHeight w:val="135"/>
        </w:trPr>
        <w:tc>
          <w:tcPr>
            <w:tcW w:w="7286" w:type="dxa"/>
            <w:tcBorders>
              <w:top w:val="nil"/>
              <w:left w:val="nil"/>
              <w:bottom w:val="nil"/>
              <w:right w:val="nil"/>
            </w:tcBorders>
            <w:shd w:val="clear" w:color="auto" w:fill="auto"/>
            <w:vAlign w:val="bottom"/>
            <w:hideMark/>
          </w:tcPr>
          <w:p w14:paraId="5D7D3A79" w14:textId="734BA33C" w:rsidR="00C55393" w:rsidRPr="009E35ED" w:rsidRDefault="00C55393" w:rsidP="00C55393">
            <w:pPr>
              <w:ind w:left="0"/>
              <w:jc w:val="left"/>
              <w:rPr>
                <w:rFonts w:ascii="Arial Narrow" w:hAnsi="Arial Narrow" w:cs="Arial"/>
                <w:color w:val="000000" w:themeColor="text1"/>
                <w:sz w:val="20"/>
                <w:szCs w:val="20"/>
                <w:lang w:val="en-PH" w:eastAsia="en-PH"/>
              </w:rPr>
            </w:pPr>
            <w:r w:rsidRPr="009E35ED">
              <w:rPr>
                <w:rFonts w:ascii="Arial Narrow" w:hAnsi="Arial Narrow" w:cs="Arial"/>
                <w:color w:val="000000" w:themeColor="text1"/>
                <w:sz w:val="20"/>
                <w:szCs w:val="20"/>
              </w:rPr>
              <w:t xml:space="preserve">Adjustment/Recording of </w:t>
            </w:r>
            <w:r w:rsidR="00862892">
              <w:rPr>
                <w:rFonts w:ascii="Arial Narrow" w:hAnsi="Arial Narrow" w:cs="Arial"/>
                <w:color w:val="000000" w:themeColor="text1"/>
                <w:sz w:val="20"/>
                <w:szCs w:val="20"/>
              </w:rPr>
              <w:t>t</w:t>
            </w:r>
            <w:r w:rsidRPr="009E35ED">
              <w:rPr>
                <w:rFonts w:ascii="Arial Narrow" w:hAnsi="Arial Narrow" w:cs="Arial"/>
                <w:color w:val="000000" w:themeColor="text1"/>
                <w:sz w:val="20"/>
                <w:szCs w:val="20"/>
              </w:rPr>
              <w:t xml:space="preserve">ransportation </w:t>
            </w:r>
            <w:r w:rsidR="00862892">
              <w:rPr>
                <w:rFonts w:ascii="Arial Narrow" w:hAnsi="Arial Narrow" w:cs="Arial"/>
                <w:color w:val="000000" w:themeColor="text1"/>
                <w:sz w:val="20"/>
                <w:szCs w:val="20"/>
              </w:rPr>
              <w:t>a</w:t>
            </w:r>
            <w:r w:rsidRPr="009E35ED">
              <w:rPr>
                <w:rFonts w:ascii="Arial Narrow" w:hAnsi="Arial Narrow" w:cs="Arial"/>
                <w:color w:val="000000" w:themeColor="text1"/>
                <w:sz w:val="20"/>
                <w:szCs w:val="20"/>
              </w:rPr>
              <w:t>llowance-Head Office</w:t>
            </w:r>
          </w:p>
        </w:tc>
        <w:tc>
          <w:tcPr>
            <w:tcW w:w="1716" w:type="dxa"/>
            <w:tcBorders>
              <w:top w:val="nil"/>
              <w:left w:val="nil"/>
              <w:bottom w:val="nil"/>
              <w:right w:val="nil"/>
            </w:tcBorders>
            <w:shd w:val="clear" w:color="auto" w:fill="auto"/>
            <w:noWrap/>
            <w:hideMark/>
          </w:tcPr>
          <w:p w14:paraId="28390C73" w14:textId="07AACD0F" w:rsidR="00C55393" w:rsidRPr="009E35ED" w:rsidRDefault="00C55393" w:rsidP="00C55393">
            <w:pPr>
              <w:ind w:left="0"/>
              <w:jc w:val="right"/>
              <w:rPr>
                <w:rFonts w:ascii="Arial Narrow" w:hAnsi="Arial Narrow" w:cs="Arial"/>
                <w:color w:val="000000" w:themeColor="text1"/>
                <w:sz w:val="20"/>
                <w:szCs w:val="20"/>
                <w:lang w:val="en-PH" w:eastAsia="en-PH"/>
              </w:rPr>
            </w:pPr>
            <w:r w:rsidRPr="009E35ED">
              <w:rPr>
                <w:rFonts w:ascii="Arial Narrow" w:hAnsi="Arial Narrow"/>
                <w:color w:val="000000" w:themeColor="text1"/>
                <w:sz w:val="20"/>
                <w:szCs w:val="20"/>
              </w:rPr>
              <w:t xml:space="preserve"> (1,125)</w:t>
            </w:r>
          </w:p>
        </w:tc>
      </w:tr>
      <w:tr w:rsidR="00997F75" w:rsidRPr="009E35ED" w14:paraId="33A6819B" w14:textId="77777777" w:rsidTr="00C26DA1">
        <w:trPr>
          <w:trHeight w:val="206"/>
        </w:trPr>
        <w:tc>
          <w:tcPr>
            <w:tcW w:w="7286" w:type="dxa"/>
            <w:tcBorders>
              <w:top w:val="single" w:sz="4" w:space="0" w:color="auto"/>
              <w:left w:val="nil"/>
              <w:bottom w:val="double" w:sz="6" w:space="0" w:color="auto"/>
              <w:right w:val="nil"/>
            </w:tcBorders>
            <w:shd w:val="clear" w:color="auto" w:fill="auto"/>
            <w:vAlign w:val="bottom"/>
            <w:hideMark/>
          </w:tcPr>
          <w:p w14:paraId="10108C04" w14:textId="71982A65" w:rsidR="00C55393" w:rsidRPr="009E35ED" w:rsidRDefault="00C55393" w:rsidP="00C55393">
            <w:pPr>
              <w:ind w:left="0"/>
              <w:jc w:val="left"/>
              <w:rPr>
                <w:rFonts w:ascii="Arial Narrow" w:hAnsi="Arial Narrow" w:cs="Arial"/>
                <w:b/>
                <w:bCs/>
                <w:color w:val="000000" w:themeColor="text1"/>
                <w:sz w:val="20"/>
                <w:szCs w:val="20"/>
                <w:lang w:val="en-PH" w:eastAsia="en-PH"/>
              </w:rPr>
            </w:pPr>
            <w:r w:rsidRPr="009E35ED">
              <w:rPr>
                <w:rFonts w:ascii="Arial Narrow" w:hAnsi="Arial Narrow" w:cs="Arial"/>
                <w:b/>
                <w:bCs/>
                <w:color w:val="000000" w:themeColor="text1"/>
                <w:sz w:val="20"/>
                <w:szCs w:val="20"/>
              </w:rPr>
              <w:t>Restated Amount as of December 31, 2022 - Representation Allowance and Transportation Allowance (Operating Fund)</w:t>
            </w:r>
          </w:p>
        </w:tc>
        <w:tc>
          <w:tcPr>
            <w:tcW w:w="1716" w:type="dxa"/>
            <w:tcBorders>
              <w:top w:val="single" w:sz="4" w:space="0" w:color="auto"/>
              <w:left w:val="nil"/>
              <w:bottom w:val="double" w:sz="6" w:space="0" w:color="auto"/>
              <w:right w:val="nil"/>
            </w:tcBorders>
            <w:shd w:val="clear" w:color="auto" w:fill="auto"/>
            <w:noWrap/>
            <w:hideMark/>
          </w:tcPr>
          <w:p w14:paraId="22CA4FB8" w14:textId="77777777" w:rsidR="00D0688D" w:rsidRPr="009E35ED" w:rsidRDefault="00D0688D" w:rsidP="00C55393">
            <w:pPr>
              <w:ind w:left="0"/>
              <w:jc w:val="right"/>
              <w:rPr>
                <w:rFonts w:ascii="Arial Narrow" w:hAnsi="Arial Narrow"/>
                <w:b/>
                <w:bCs/>
                <w:color w:val="000000" w:themeColor="text1"/>
                <w:sz w:val="20"/>
                <w:szCs w:val="20"/>
              </w:rPr>
            </w:pPr>
          </w:p>
          <w:p w14:paraId="65D83CEF" w14:textId="3A9FE2BD" w:rsidR="00C55393" w:rsidRPr="009E35ED" w:rsidRDefault="00C55393" w:rsidP="00C55393">
            <w:pPr>
              <w:ind w:left="0"/>
              <w:jc w:val="right"/>
              <w:rPr>
                <w:rFonts w:ascii="Arial Narrow" w:hAnsi="Arial Narrow" w:cs="Arial"/>
                <w:b/>
                <w:bCs/>
                <w:color w:val="000000" w:themeColor="text1"/>
                <w:sz w:val="20"/>
                <w:szCs w:val="20"/>
                <w:lang w:val="en-PH" w:eastAsia="en-PH"/>
              </w:rPr>
            </w:pPr>
            <w:r w:rsidRPr="009E35ED">
              <w:rPr>
                <w:rFonts w:ascii="Arial Narrow" w:hAnsi="Arial Narrow"/>
                <w:b/>
                <w:bCs/>
                <w:color w:val="000000" w:themeColor="text1"/>
                <w:sz w:val="20"/>
                <w:szCs w:val="20"/>
              </w:rPr>
              <w:t xml:space="preserve"> 17,713,842 </w:t>
            </w:r>
          </w:p>
        </w:tc>
      </w:tr>
      <w:tr w:rsidR="00997F75" w:rsidRPr="009E35ED" w14:paraId="0CC61A87" w14:textId="77777777" w:rsidTr="00C26DA1">
        <w:trPr>
          <w:trHeight w:val="300"/>
        </w:trPr>
        <w:tc>
          <w:tcPr>
            <w:tcW w:w="7286" w:type="dxa"/>
            <w:tcBorders>
              <w:top w:val="nil"/>
              <w:left w:val="nil"/>
              <w:bottom w:val="nil"/>
              <w:right w:val="nil"/>
            </w:tcBorders>
            <w:shd w:val="clear" w:color="auto" w:fill="auto"/>
            <w:vAlign w:val="bottom"/>
            <w:hideMark/>
          </w:tcPr>
          <w:p w14:paraId="15C6D68D" w14:textId="77777777" w:rsidR="008F0E57" w:rsidRPr="009E35ED" w:rsidRDefault="008F0E57" w:rsidP="008F0E57">
            <w:pPr>
              <w:ind w:left="0"/>
              <w:jc w:val="left"/>
              <w:rPr>
                <w:rFonts w:ascii="Arial Narrow" w:hAnsi="Arial Narrow" w:cs="Arial"/>
                <w:b/>
                <w:bCs/>
                <w:color w:val="000000" w:themeColor="text1"/>
                <w:sz w:val="20"/>
                <w:szCs w:val="20"/>
                <w:lang w:val="en-PH" w:eastAsia="en-PH"/>
              </w:rPr>
            </w:pPr>
          </w:p>
        </w:tc>
        <w:tc>
          <w:tcPr>
            <w:tcW w:w="1716" w:type="dxa"/>
            <w:tcBorders>
              <w:top w:val="nil"/>
              <w:left w:val="nil"/>
              <w:bottom w:val="nil"/>
              <w:right w:val="nil"/>
            </w:tcBorders>
            <w:shd w:val="clear" w:color="auto" w:fill="auto"/>
            <w:noWrap/>
            <w:vAlign w:val="bottom"/>
            <w:hideMark/>
          </w:tcPr>
          <w:p w14:paraId="08219E64" w14:textId="77777777" w:rsidR="008F0E57" w:rsidRPr="009E35ED" w:rsidRDefault="008F0E57" w:rsidP="008F0E57">
            <w:pPr>
              <w:ind w:left="0"/>
              <w:jc w:val="right"/>
              <w:rPr>
                <w:rFonts w:ascii="Arial Narrow" w:hAnsi="Arial Narrow"/>
                <w:color w:val="000000" w:themeColor="text1"/>
                <w:sz w:val="20"/>
                <w:szCs w:val="20"/>
                <w:lang w:val="en-PH" w:eastAsia="en-PH"/>
              </w:rPr>
            </w:pPr>
          </w:p>
        </w:tc>
      </w:tr>
      <w:tr w:rsidR="00997F75" w:rsidRPr="009E35ED" w14:paraId="47A65566" w14:textId="77777777" w:rsidTr="00C26DA1">
        <w:trPr>
          <w:trHeight w:val="285"/>
        </w:trPr>
        <w:tc>
          <w:tcPr>
            <w:tcW w:w="7286" w:type="dxa"/>
            <w:tcBorders>
              <w:top w:val="nil"/>
              <w:left w:val="nil"/>
              <w:bottom w:val="nil"/>
              <w:right w:val="nil"/>
            </w:tcBorders>
            <w:shd w:val="clear" w:color="auto" w:fill="auto"/>
            <w:hideMark/>
          </w:tcPr>
          <w:p w14:paraId="26F4695D" w14:textId="37C225F0" w:rsidR="004257D6" w:rsidRPr="009E35ED" w:rsidRDefault="004257D6" w:rsidP="004257D6">
            <w:pPr>
              <w:ind w:left="0"/>
              <w:jc w:val="left"/>
              <w:rPr>
                <w:rFonts w:ascii="Arial Narrow" w:hAnsi="Arial Narrow" w:cs="Arial"/>
                <w:color w:val="000000" w:themeColor="text1"/>
                <w:sz w:val="20"/>
                <w:szCs w:val="20"/>
                <w:lang w:val="en-PH" w:eastAsia="en-PH"/>
              </w:rPr>
            </w:pPr>
            <w:r w:rsidRPr="009E35ED">
              <w:rPr>
                <w:rFonts w:ascii="Arial Narrow" w:hAnsi="Arial Narrow"/>
                <w:color w:val="000000" w:themeColor="text1"/>
                <w:sz w:val="20"/>
                <w:szCs w:val="20"/>
              </w:rPr>
              <w:t xml:space="preserve">Unrestated </w:t>
            </w:r>
            <w:r w:rsidR="00862892">
              <w:rPr>
                <w:rFonts w:ascii="Arial Narrow" w:hAnsi="Arial Narrow"/>
                <w:color w:val="000000" w:themeColor="text1"/>
                <w:sz w:val="20"/>
                <w:szCs w:val="20"/>
              </w:rPr>
              <w:t>a</w:t>
            </w:r>
            <w:r w:rsidRPr="009E35ED">
              <w:rPr>
                <w:rFonts w:ascii="Arial Narrow" w:hAnsi="Arial Narrow"/>
                <w:color w:val="000000" w:themeColor="text1"/>
                <w:sz w:val="20"/>
                <w:szCs w:val="20"/>
              </w:rPr>
              <w:t>mount as of December 31, 2022</w:t>
            </w:r>
          </w:p>
        </w:tc>
        <w:tc>
          <w:tcPr>
            <w:tcW w:w="1716" w:type="dxa"/>
            <w:tcBorders>
              <w:top w:val="nil"/>
              <w:left w:val="nil"/>
              <w:bottom w:val="nil"/>
              <w:right w:val="nil"/>
            </w:tcBorders>
            <w:shd w:val="clear" w:color="auto" w:fill="auto"/>
            <w:noWrap/>
            <w:hideMark/>
          </w:tcPr>
          <w:p w14:paraId="097AD0BB" w14:textId="34F3D72C" w:rsidR="004257D6" w:rsidRPr="009E35ED" w:rsidRDefault="004257D6" w:rsidP="004257D6">
            <w:pPr>
              <w:ind w:left="0"/>
              <w:jc w:val="right"/>
              <w:rPr>
                <w:rFonts w:ascii="Arial Narrow" w:hAnsi="Arial Narrow" w:cs="Arial"/>
                <w:color w:val="000000" w:themeColor="text1"/>
                <w:sz w:val="20"/>
                <w:szCs w:val="20"/>
                <w:lang w:val="en-PH" w:eastAsia="en-PH"/>
              </w:rPr>
            </w:pPr>
            <w:r w:rsidRPr="009E35ED">
              <w:rPr>
                <w:rFonts w:ascii="Arial Narrow" w:hAnsi="Arial Narrow"/>
                <w:color w:val="000000" w:themeColor="text1"/>
                <w:sz w:val="20"/>
                <w:szCs w:val="20"/>
              </w:rPr>
              <w:t xml:space="preserve"> 487,300 </w:t>
            </w:r>
          </w:p>
        </w:tc>
      </w:tr>
      <w:tr w:rsidR="00997F75" w:rsidRPr="009E35ED" w14:paraId="2303D318" w14:textId="77777777" w:rsidTr="00C26DA1">
        <w:trPr>
          <w:trHeight w:val="75"/>
        </w:trPr>
        <w:tc>
          <w:tcPr>
            <w:tcW w:w="7286" w:type="dxa"/>
            <w:tcBorders>
              <w:top w:val="nil"/>
              <w:left w:val="nil"/>
              <w:bottom w:val="nil"/>
              <w:right w:val="nil"/>
            </w:tcBorders>
            <w:shd w:val="clear" w:color="auto" w:fill="auto"/>
            <w:hideMark/>
          </w:tcPr>
          <w:p w14:paraId="5326FE20" w14:textId="742DC597" w:rsidR="004257D6" w:rsidRPr="009E35ED" w:rsidRDefault="004257D6" w:rsidP="004257D6">
            <w:pPr>
              <w:ind w:left="0"/>
              <w:jc w:val="left"/>
              <w:rPr>
                <w:rFonts w:ascii="Arial Narrow" w:hAnsi="Arial Narrow" w:cs="Arial"/>
                <w:color w:val="000000" w:themeColor="text1"/>
                <w:sz w:val="20"/>
                <w:szCs w:val="20"/>
                <w:lang w:val="en-PH" w:eastAsia="en-PH"/>
              </w:rPr>
            </w:pPr>
            <w:r w:rsidRPr="009E35ED">
              <w:rPr>
                <w:rFonts w:ascii="Arial Narrow" w:hAnsi="Arial Narrow"/>
                <w:color w:val="000000" w:themeColor="text1"/>
                <w:sz w:val="20"/>
                <w:szCs w:val="20"/>
              </w:rPr>
              <w:t xml:space="preserve">Adjustment/Recording of </w:t>
            </w:r>
            <w:r w:rsidR="00862892">
              <w:rPr>
                <w:rFonts w:ascii="Arial Narrow" w:hAnsi="Arial Narrow"/>
                <w:color w:val="000000" w:themeColor="text1"/>
                <w:sz w:val="20"/>
                <w:szCs w:val="20"/>
              </w:rPr>
              <w:t>s</w:t>
            </w:r>
            <w:r w:rsidRPr="009E35ED">
              <w:rPr>
                <w:rFonts w:ascii="Arial Narrow" w:hAnsi="Arial Narrow"/>
                <w:color w:val="000000" w:themeColor="text1"/>
                <w:sz w:val="20"/>
                <w:szCs w:val="20"/>
              </w:rPr>
              <w:t xml:space="preserve">ubsistence </w:t>
            </w:r>
            <w:r w:rsidR="00862892">
              <w:rPr>
                <w:rFonts w:ascii="Arial Narrow" w:hAnsi="Arial Narrow"/>
                <w:color w:val="000000" w:themeColor="text1"/>
                <w:sz w:val="20"/>
                <w:szCs w:val="20"/>
              </w:rPr>
              <w:t>a</w:t>
            </w:r>
            <w:r w:rsidRPr="009E35ED">
              <w:rPr>
                <w:rFonts w:ascii="Arial Narrow" w:hAnsi="Arial Narrow"/>
                <w:color w:val="000000" w:themeColor="text1"/>
                <w:sz w:val="20"/>
                <w:szCs w:val="20"/>
              </w:rPr>
              <w:t>llowance-Head Office</w:t>
            </w:r>
          </w:p>
        </w:tc>
        <w:tc>
          <w:tcPr>
            <w:tcW w:w="1716" w:type="dxa"/>
            <w:tcBorders>
              <w:top w:val="nil"/>
              <w:left w:val="nil"/>
              <w:bottom w:val="nil"/>
              <w:right w:val="nil"/>
            </w:tcBorders>
            <w:shd w:val="clear" w:color="auto" w:fill="auto"/>
            <w:noWrap/>
            <w:hideMark/>
          </w:tcPr>
          <w:p w14:paraId="19EFE3D3" w14:textId="5695E7CC" w:rsidR="004257D6" w:rsidRPr="009E35ED" w:rsidRDefault="004257D6" w:rsidP="004257D6">
            <w:pPr>
              <w:ind w:left="0"/>
              <w:jc w:val="right"/>
              <w:rPr>
                <w:rFonts w:ascii="Arial Narrow" w:hAnsi="Arial Narrow" w:cs="Arial"/>
                <w:color w:val="000000" w:themeColor="text1"/>
                <w:sz w:val="20"/>
                <w:szCs w:val="20"/>
                <w:lang w:val="en-PH" w:eastAsia="en-PH"/>
              </w:rPr>
            </w:pPr>
            <w:r w:rsidRPr="009E35ED">
              <w:rPr>
                <w:rFonts w:ascii="Arial Narrow" w:hAnsi="Arial Narrow"/>
                <w:color w:val="000000" w:themeColor="text1"/>
                <w:sz w:val="20"/>
                <w:szCs w:val="20"/>
              </w:rPr>
              <w:t xml:space="preserve"> 5,500 </w:t>
            </w:r>
          </w:p>
        </w:tc>
      </w:tr>
      <w:tr w:rsidR="00997F75" w:rsidRPr="009E35ED" w14:paraId="033A9C37" w14:textId="77777777" w:rsidTr="00C26DA1">
        <w:trPr>
          <w:trHeight w:val="116"/>
        </w:trPr>
        <w:tc>
          <w:tcPr>
            <w:tcW w:w="7286" w:type="dxa"/>
            <w:tcBorders>
              <w:top w:val="single" w:sz="4" w:space="0" w:color="auto"/>
              <w:left w:val="nil"/>
              <w:bottom w:val="double" w:sz="6" w:space="0" w:color="auto"/>
              <w:right w:val="nil"/>
            </w:tcBorders>
            <w:shd w:val="clear" w:color="auto" w:fill="auto"/>
            <w:hideMark/>
          </w:tcPr>
          <w:p w14:paraId="64C61775" w14:textId="04AE67B6" w:rsidR="004257D6" w:rsidRPr="009E35ED" w:rsidRDefault="004257D6" w:rsidP="004257D6">
            <w:pPr>
              <w:ind w:left="0"/>
              <w:jc w:val="left"/>
              <w:rPr>
                <w:rFonts w:ascii="Arial Narrow" w:hAnsi="Arial Narrow" w:cs="Arial"/>
                <w:b/>
                <w:bCs/>
                <w:color w:val="000000" w:themeColor="text1"/>
                <w:sz w:val="20"/>
                <w:szCs w:val="20"/>
                <w:lang w:val="en-PH" w:eastAsia="en-PH"/>
              </w:rPr>
            </w:pPr>
            <w:r w:rsidRPr="009E35ED">
              <w:rPr>
                <w:rFonts w:ascii="Arial Narrow" w:hAnsi="Arial Narrow"/>
                <w:b/>
                <w:bCs/>
                <w:color w:val="000000" w:themeColor="text1"/>
                <w:sz w:val="20"/>
                <w:szCs w:val="20"/>
              </w:rPr>
              <w:t>Restated Amount as of December 31, 2022 - Subsistence Allowance (Operating Fund)</w:t>
            </w:r>
          </w:p>
        </w:tc>
        <w:tc>
          <w:tcPr>
            <w:tcW w:w="1716" w:type="dxa"/>
            <w:tcBorders>
              <w:top w:val="single" w:sz="4" w:space="0" w:color="auto"/>
              <w:left w:val="nil"/>
              <w:bottom w:val="double" w:sz="6" w:space="0" w:color="auto"/>
              <w:right w:val="nil"/>
            </w:tcBorders>
            <w:shd w:val="clear" w:color="auto" w:fill="auto"/>
            <w:noWrap/>
            <w:hideMark/>
          </w:tcPr>
          <w:p w14:paraId="1E7ED83F" w14:textId="1B021FA1" w:rsidR="004257D6" w:rsidRPr="009E35ED" w:rsidRDefault="004257D6">
            <w:pPr>
              <w:ind w:left="0"/>
              <w:jc w:val="right"/>
              <w:rPr>
                <w:rFonts w:ascii="Arial Narrow" w:hAnsi="Arial Narrow" w:cs="Arial"/>
                <w:b/>
                <w:bCs/>
                <w:color w:val="000000" w:themeColor="text1"/>
                <w:sz w:val="20"/>
                <w:szCs w:val="20"/>
                <w:lang w:val="en-PH" w:eastAsia="en-PH"/>
              </w:rPr>
            </w:pPr>
            <w:r w:rsidRPr="009E35ED">
              <w:rPr>
                <w:rFonts w:ascii="Arial Narrow" w:hAnsi="Arial Narrow"/>
                <w:b/>
                <w:bCs/>
                <w:color w:val="000000" w:themeColor="text1"/>
                <w:sz w:val="20"/>
                <w:szCs w:val="20"/>
              </w:rPr>
              <w:t xml:space="preserve">492,800 </w:t>
            </w:r>
          </w:p>
        </w:tc>
      </w:tr>
      <w:tr w:rsidR="00997F75" w:rsidRPr="009E35ED" w14:paraId="66896803" w14:textId="77777777" w:rsidTr="00B90388">
        <w:trPr>
          <w:trHeight w:val="61"/>
        </w:trPr>
        <w:tc>
          <w:tcPr>
            <w:tcW w:w="7286" w:type="dxa"/>
            <w:tcBorders>
              <w:top w:val="nil"/>
              <w:left w:val="nil"/>
              <w:bottom w:val="nil"/>
              <w:right w:val="nil"/>
            </w:tcBorders>
            <w:shd w:val="clear" w:color="auto" w:fill="auto"/>
            <w:vAlign w:val="bottom"/>
            <w:hideMark/>
          </w:tcPr>
          <w:p w14:paraId="7A87ADB6" w14:textId="2B0909BE" w:rsidR="00AA29C9" w:rsidRPr="009E35ED" w:rsidRDefault="00AA29C9" w:rsidP="008F0E57">
            <w:pPr>
              <w:ind w:left="0"/>
              <w:jc w:val="left"/>
              <w:rPr>
                <w:rFonts w:ascii="Arial Narrow" w:hAnsi="Arial Narrow" w:cs="Arial"/>
                <w:b/>
                <w:bCs/>
                <w:color w:val="000000" w:themeColor="text1"/>
                <w:sz w:val="20"/>
                <w:szCs w:val="20"/>
                <w:lang w:val="en-PH" w:eastAsia="en-PH"/>
              </w:rPr>
            </w:pPr>
          </w:p>
        </w:tc>
        <w:tc>
          <w:tcPr>
            <w:tcW w:w="1716" w:type="dxa"/>
            <w:tcBorders>
              <w:top w:val="nil"/>
              <w:left w:val="nil"/>
              <w:bottom w:val="nil"/>
              <w:right w:val="nil"/>
            </w:tcBorders>
            <w:shd w:val="clear" w:color="auto" w:fill="auto"/>
            <w:noWrap/>
            <w:vAlign w:val="bottom"/>
            <w:hideMark/>
          </w:tcPr>
          <w:p w14:paraId="4220271D" w14:textId="77777777" w:rsidR="008F0E57" w:rsidRPr="009E35ED" w:rsidRDefault="008F0E57" w:rsidP="008F0E57">
            <w:pPr>
              <w:ind w:left="0"/>
              <w:jc w:val="right"/>
              <w:rPr>
                <w:rFonts w:ascii="Arial Narrow" w:hAnsi="Arial Narrow"/>
                <w:color w:val="000000" w:themeColor="text1"/>
                <w:sz w:val="20"/>
                <w:szCs w:val="20"/>
                <w:lang w:val="en-PH" w:eastAsia="en-PH"/>
              </w:rPr>
            </w:pPr>
          </w:p>
        </w:tc>
      </w:tr>
      <w:tr w:rsidR="00997F75" w:rsidRPr="009E35ED" w14:paraId="72438B44" w14:textId="77777777" w:rsidTr="00C26DA1">
        <w:trPr>
          <w:trHeight w:val="285"/>
        </w:trPr>
        <w:tc>
          <w:tcPr>
            <w:tcW w:w="7286" w:type="dxa"/>
            <w:tcBorders>
              <w:top w:val="nil"/>
              <w:left w:val="nil"/>
              <w:bottom w:val="nil"/>
              <w:right w:val="nil"/>
            </w:tcBorders>
            <w:shd w:val="clear" w:color="auto" w:fill="auto"/>
            <w:hideMark/>
          </w:tcPr>
          <w:p w14:paraId="40682B2F" w14:textId="3B841B03" w:rsidR="00C532DF" w:rsidRPr="009E35ED" w:rsidRDefault="00C532DF" w:rsidP="00C532DF">
            <w:pPr>
              <w:ind w:left="0"/>
              <w:jc w:val="left"/>
              <w:rPr>
                <w:rFonts w:ascii="Arial Narrow" w:hAnsi="Arial Narrow" w:cs="Arial"/>
                <w:color w:val="000000" w:themeColor="text1"/>
                <w:sz w:val="20"/>
                <w:szCs w:val="20"/>
                <w:lang w:val="en-PH" w:eastAsia="en-PH"/>
              </w:rPr>
            </w:pPr>
            <w:r w:rsidRPr="009E35ED">
              <w:rPr>
                <w:rFonts w:ascii="Arial Narrow" w:hAnsi="Arial Narrow"/>
                <w:color w:val="000000" w:themeColor="text1"/>
                <w:sz w:val="20"/>
                <w:szCs w:val="20"/>
              </w:rPr>
              <w:t xml:space="preserve">Unrestated </w:t>
            </w:r>
            <w:r w:rsidR="00862892">
              <w:rPr>
                <w:rFonts w:ascii="Arial Narrow" w:hAnsi="Arial Narrow"/>
                <w:color w:val="000000" w:themeColor="text1"/>
                <w:sz w:val="20"/>
                <w:szCs w:val="20"/>
              </w:rPr>
              <w:t>a</w:t>
            </w:r>
            <w:r w:rsidRPr="009E35ED">
              <w:rPr>
                <w:rFonts w:ascii="Arial Narrow" w:hAnsi="Arial Narrow"/>
                <w:color w:val="000000" w:themeColor="text1"/>
                <w:sz w:val="20"/>
                <w:szCs w:val="20"/>
              </w:rPr>
              <w:t>mount as of December 31, 2022</w:t>
            </w:r>
          </w:p>
        </w:tc>
        <w:tc>
          <w:tcPr>
            <w:tcW w:w="1716" w:type="dxa"/>
            <w:tcBorders>
              <w:top w:val="nil"/>
              <w:left w:val="nil"/>
              <w:bottom w:val="nil"/>
              <w:right w:val="nil"/>
            </w:tcBorders>
            <w:shd w:val="clear" w:color="auto" w:fill="auto"/>
            <w:noWrap/>
            <w:hideMark/>
          </w:tcPr>
          <w:p w14:paraId="774D79B8" w14:textId="71DF3079" w:rsidR="00C532DF" w:rsidRPr="009E35ED" w:rsidRDefault="00C532DF" w:rsidP="00C532DF">
            <w:pPr>
              <w:ind w:left="0"/>
              <w:jc w:val="right"/>
              <w:rPr>
                <w:rFonts w:ascii="Arial Narrow" w:hAnsi="Arial Narrow" w:cs="Arial"/>
                <w:color w:val="000000" w:themeColor="text1"/>
                <w:sz w:val="20"/>
                <w:szCs w:val="20"/>
                <w:lang w:val="en-PH" w:eastAsia="en-PH"/>
              </w:rPr>
            </w:pPr>
            <w:r w:rsidRPr="009E35ED">
              <w:rPr>
                <w:rFonts w:ascii="Arial Narrow" w:hAnsi="Arial Narrow"/>
                <w:color w:val="000000" w:themeColor="text1"/>
                <w:sz w:val="20"/>
                <w:szCs w:val="20"/>
              </w:rPr>
              <w:t xml:space="preserve"> 66,450 </w:t>
            </w:r>
          </w:p>
        </w:tc>
      </w:tr>
      <w:tr w:rsidR="00997F75" w:rsidRPr="009E35ED" w14:paraId="700D7034" w14:textId="77777777" w:rsidTr="00C26DA1">
        <w:trPr>
          <w:trHeight w:val="75"/>
        </w:trPr>
        <w:tc>
          <w:tcPr>
            <w:tcW w:w="7286" w:type="dxa"/>
            <w:tcBorders>
              <w:top w:val="nil"/>
              <w:left w:val="nil"/>
              <w:bottom w:val="nil"/>
              <w:right w:val="nil"/>
            </w:tcBorders>
            <w:shd w:val="clear" w:color="auto" w:fill="auto"/>
            <w:hideMark/>
          </w:tcPr>
          <w:p w14:paraId="2442A09F" w14:textId="4DA245E7" w:rsidR="00C532DF" w:rsidRPr="009E35ED" w:rsidRDefault="00C532DF" w:rsidP="00C532DF">
            <w:pPr>
              <w:ind w:left="0"/>
              <w:jc w:val="left"/>
              <w:rPr>
                <w:rFonts w:ascii="Arial Narrow" w:hAnsi="Arial Narrow" w:cs="Arial"/>
                <w:color w:val="000000" w:themeColor="text1"/>
                <w:sz w:val="20"/>
                <w:szCs w:val="20"/>
                <w:lang w:val="en-PH" w:eastAsia="en-PH"/>
              </w:rPr>
            </w:pPr>
            <w:r w:rsidRPr="009E35ED">
              <w:rPr>
                <w:rFonts w:ascii="Arial Narrow" w:hAnsi="Arial Narrow"/>
                <w:color w:val="000000" w:themeColor="text1"/>
                <w:sz w:val="20"/>
                <w:szCs w:val="20"/>
              </w:rPr>
              <w:t xml:space="preserve">Adjustment/Recording of </w:t>
            </w:r>
            <w:r w:rsidR="00862892">
              <w:rPr>
                <w:rFonts w:ascii="Arial Narrow" w:hAnsi="Arial Narrow"/>
                <w:color w:val="000000" w:themeColor="text1"/>
                <w:sz w:val="20"/>
                <w:szCs w:val="20"/>
              </w:rPr>
              <w:t>l</w:t>
            </w:r>
            <w:r w:rsidRPr="009E35ED">
              <w:rPr>
                <w:rFonts w:ascii="Arial Narrow" w:hAnsi="Arial Narrow"/>
                <w:color w:val="000000" w:themeColor="text1"/>
                <w:sz w:val="20"/>
                <w:szCs w:val="20"/>
              </w:rPr>
              <w:t xml:space="preserve">aundry </w:t>
            </w:r>
            <w:r w:rsidR="00862892">
              <w:rPr>
                <w:rFonts w:ascii="Arial Narrow" w:hAnsi="Arial Narrow"/>
                <w:color w:val="000000" w:themeColor="text1"/>
                <w:sz w:val="20"/>
                <w:szCs w:val="20"/>
              </w:rPr>
              <w:t>a</w:t>
            </w:r>
            <w:r w:rsidRPr="009E35ED">
              <w:rPr>
                <w:rFonts w:ascii="Arial Narrow" w:hAnsi="Arial Narrow"/>
                <w:color w:val="000000" w:themeColor="text1"/>
                <w:sz w:val="20"/>
                <w:szCs w:val="20"/>
              </w:rPr>
              <w:t>llowance-Head Office</w:t>
            </w:r>
          </w:p>
        </w:tc>
        <w:tc>
          <w:tcPr>
            <w:tcW w:w="1716" w:type="dxa"/>
            <w:tcBorders>
              <w:top w:val="nil"/>
              <w:left w:val="nil"/>
              <w:bottom w:val="nil"/>
              <w:right w:val="nil"/>
            </w:tcBorders>
            <w:shd w:val="clear" w:color="auto" w:fill="auto"/>
            <w:noWrap/>
            <w:hideMark/>
          </w:tcPr>
          <w:p w14:paraId="2B18C369" w14:textId="110FD82F" w:rsidR="00C532DF" w:rsidRPr="009E35ED" w:rsidRDefault="00C532DF" w:rsidP="00C532DF">
            <w:pPr>
              <w:ind w:left="0"/>
              <w:jc w:val="right"/>
              <w:rPr>
                <w:rFonts w:ascii="Arial Narrow" w:hAnsi="Arial Narrow" w:cs="Arial"/>
                <w:color w:val="000000" w:themeColor="text1"/>
                <w:sz w:val="20"/>
                <w:szCs w:val="20"/>
                <w:lang w:val="en-PH" w:eastAsia="en-PH"/>
              </w:rPr>
            </w:pPr>
            <w:r w:rsidRPr="009E35ED">
              <w:rPr>
                <w:rFonts w:ascii="Arial Narrow" w:hAnsi="Arial Narrow"/>
                <w:color w:val="000000" w:themeColor="text1"/>
                <w:sz w:val="20"/>
                <w:szCs w:val="20"/>
              </w:rPr>
              <w:t xml:space="preserve"> 750 </w:t>
            </w:r>
          </w:p>
        </w:tc>
      </w:tr>
      <w:tr w:rsidR="00997F75" w:rsidRPr="009E35ED" w14:paraId="351D951D" w14:textId="77777777" w:rsidTr="00C26DA1">
        <w:trPr>
          <w:trHeight w:val="233"/>
        </w:trPr>
        <w:tc>
          <w:tcPr>
            <w:tcW w:w="7286" w:type="dxa"/>
            <w:tcBorders>
              <w:top w:val="single" w:sz="4" w:space="0" w:color="auto"/>
              <w:left w:val="nil"/>
              <w:bottom w:val="double" w:sz="6" w:space="0" w:color="auto"/>
              <w:right w:val="nil"/>
            </w:tcBorders>
            <w:shd w:val="clear" w:color="auto" w:fill="auto"/>
            <w:hideMark/>
          </w:tcPr>
          <w:p w14:paraId="4E966BA8" w14:textId="01911F70" w:rsidR="00C532DF" w:rsidRPr="009E35ED" w:rsidRDefault="00C532DF" w:rsidP="00C532DF">
            <w:pPr>
              <w:ind w:left="0"/>
              <w:jc w:val="left"/>
              <w:rPr>
                <w:rFonts w:ascii="Arial Narrow" w:hAnsi="Arial Narrow" w:cs="Arial"/>
                <w:b/>
                <w:bCs/>
                <w:color w:val="000000" w:themeColor="text1"/>
                <w:sz w:val="20"/>
                <w:szCs w:val="20"/>
                <w:lang w:val="en-PH" w:eastAsia="en-PH"/>
              </w:rPr>
            </w:pPr>
            <w:r w:rsidRPr="009E35ED">
              <w:rPr>
                <w:rFonts w:ascii="Arial Narrow" w:hAnsi="Arial Narrow"/>
                <w:b/>
                <w:bCs/>
                <w:color w:val="000000" w:themeColor="text1"/>
                <w:sz w:val="20"/>
                <w:szCs w:val="20"/>
              </w:rPr>
              <w:t>Restated Amount as of December 31, 2022 - Laundry Allowance (Operating Fund)</w:t>
            </w:r>
          </w:p>
        </w:tc>
        <w:tc>
          <w:tcPr>
            <w:tcW w:w="1716" w:type="dxa"/>
            <w:tcBorders>
              <w:top w:val="single" w:sz="4" w:space="0" w:color="auto"/>
              <w:left w:val="nil"/>
              <w:bottom w:val="double" w:sz="6" w:space="0" w:color="auto"/>
              <w:right w:val="nil"/>
            </w:tcBorders>
            <w:shd w:val="clear" w:color="auto" w:fill="auto"/>
            <w:noWrap/>
            <w:hideMark/>
          </w:tcPr>
          <w:p w14:paraId="7BACF41A" w14:textId="1DCF8364" w:rsidR="00C532DF" w:rsidRPr="009E35ED" w:rsidRDefault="00C532DF" w:rsidP="00C532DF">
            <w:pPr>
              <w:ind w:left="0"/>
              <w:jc w:val="right"/>
              <w:rPr>
                <w:rFonts w:ascii="Arial Narrow" w:hAnsi="Arial Narrow" w:cs="Arial"/>
                <w:b/>
                <w:bCs/>
                <w:color w:val="000000" w:themeColor="text1"/>
                <w:sz w:val="20"/>
                <w:szCs w:val="20"/>
                <w:lang w:val="en-PH" w:eastAsia="en-PH"/>
              </w:rPr>
            </w:pPr>
            <w:r w:rsidRPr="009E35ED">
              <w:rPr>
                <w:rFonts w:ascii="Arial Narrow" w:hAnsi="Arial Narrow"/>
                <w:b/>
                <w:bCs/>
                <w:color w:val="000000" w:themeColor="text1"/>
                <w:sz w:val="20"/>
                <w:szCs w:val="20"/>
              </w:rPr>
              <w:t xml:space="preserve"> 67,200 </w:t>
            </w:r>
          </w:p>
        </w:tc>
      </w:tr>
      <w:tr w:rsidR="00997F75" w:rsidRPr="009E35ED" w14:paraId="27B88ADE" w14:textId="77777777" w:rsidTr="00B90388">
        <w:trPr>
          <w:trHeight w:val="78"/>
        </w:trPr>
        <w:tc>
          <w:tcPr>
            <w:tcW w:w="7286" w:type="dxa"/>
            <w:tcBorders>
              <w:top w:val="nil"/>
              <w:left w:val="nil"/>
              <w:bottom w:val="nil"/>
              <w:right w:val="nil"/>
            </w:tcBorders>
            <w:shd w:val="clear" w:color="auto" w:fill="auto"/>
            <w:vAlign w:val="bottom"/>
            <w:hideMark/>
          </w:tcPr>
          <w:p w14:paraId="4AEE4330" w14:textId="77777777" w:rsidR="008F0E57" w:rsidRPr="009E35ED" w:rsidRDefault="008F0E57" w:rsidP="008F0E57">
            <w:pPr>
              <w:ind w:left="0"/>
              <w:jc w:val="left"/>
              <w:rPr>
                <w:rFonts w:ascii="Arial Narrow" w:hAnsi="Arial Narrow" w:cs="Arial"/>
                <w:b/>
                <w:bCs/>
                <w:color w:val="000000" w:themeColor="text1"/>
                <w:sz w:val="20"/>
                <w:szCs w:val="20"/>
                <w:lang w:val="en-PH" w:eastAsia="en-PH"/>
              </w:rPr>
            </w:pPr>
          </w:p>
        </w:tc>
        <w:tc>
          <w:tcPr>
            <w:tcW w:w="1716" w:type="dxa"/>
            <w:tcBorders>
              <w:top w:val="nil"/>
              <w:left w:val="nil"/>
              <w:bottom w:val="nil"/>
              <w:right w:val="nil"/>
            </w:tcBorders>
            <w:shd w:val="clear" w:color="auto" w:fill="auto"/>
            <w:noWrap/>
            <w:vAlign w:val="bottom"/>
            <w:hideMark/>
          </w:tcPr>
          <w:p w14:paraId="3194777C" w14:textId="77777777" w:rsidR="008F0E57" w:rsidRPr="009E35ED" w:rsidRDefault="008F0E57" w:rsidP="008F0E57">
            <w:pPr>
              <w:ind w:left="0"/>
              <w:jc w:val="right"/>
              <w:rPr>
                <w:rFonts w:ascii="Arial Narrow" w:hAnsi="Arial Narrow"/>
                <w:color w:val="000000" w:themeColor="text1"/>
                <w:sz w:val="20"/>
                <w:szCs w:val="20"/>
                <w:lang w:val="en-PH" w:eastAsia="en-PH"/>
              </w:rPr>
            </w:pPr>
          </w:p>
        </w:tc>
      </w:tr>
      <w:tr w:rsidR="00997F75" w:rsidRPr="009E35ED" w14:paraId="35909FAC" w14:textId="77777777" w:rsidTr="00C26DA1">
        <w:trPr>
          <w:trHeight w:val="75"/>
        </w:trPr>
        <w:tc>
          <w:tcPr>
            <w:tcW w:w="7286" w:type="dxa"/>
            <w:tcBorders>
              <w:top w:val="nil"/>
              <w:left w:val="nil"/>
              <w:bottom w:val="nil"/>
              <w:right w:val="nil"/>
            </w:tcBorders>
            <w:shd w:val="clear" w:color="auto" w:fill="auto"/>
            <w:hideMark/>
          </w:tcPr>
          <w:p w14:paraId="1837EB22" w14:textId="6560915F" w:rsidR="0089770E" w:rsidRPr="009E35ED" w:rsidRDefault="0089770E" w:rsidP="0089770E">
            <w:pPr>
              <w:ind w:left="0"/>
              <w:jc w:val="left"/>
              <w:rPr>
                <w:rFonts w:ascii="Arial Narrow" w:hAnsi="Arial Narrow" w:cs="Arial"/>
                <w:color w:val="000000" w:themeColor="text1"/>
                <w:sz w:val="20"/>
                <w:szCs w:val="20"/>
                <w:lang w:val="en-PH" w:eastAsia="en-PH"/>
              </w:rPr>
            </w:pPr>
            <w:r w:rsidRPr="009E35ED">
              <w:rPr>
                <w:rFonts w:ascii="Arial Narrow" w:hAnsi="Arial Narrow"/>
                <w:color w:val="000000" w:themeColor="text1"/>
                <w:sz w:val="20"/>
                <w:szCs w:val="20"/>
              </w:rPr>
              <w:t xml:space="preserve">Unrestated </w:t>
            </w:r>
            <w:r w:rsidR="00862892">
              <w:rPr>
                <w:rFonts w:ascii="Arial Narrow" w:hAnsi="Arial Narrow"/>
                <w:color w:val="000000" w:themeColor="text1"/>
                <w:sz w:val="20"/>
                <w:szCs w:val="20"/>
              </w:rPr>
              <w:t>a</w:t>
            </w:r>
            <w:r w:rsidRPr="009E35ED">
              <w:rPr>
                <w:rFonts w:ascii="Arial Narrow" w:hAnsi="Arial Narrow"/>
                <w:color w:val="000000" w:themeColor="text1"/>
                <w:sz w:val="20"/>
                <w:szCs w:val="20"/>
              </w:rPr>
              <w:t>mount as of December 31, 2022</w:t>
            </w:r>
          </w:p>
        </w:tc>
        <w:tc>
          <w:tcPr>
            <w:tcW w:w="1716" w:type="dxa"/>
            <w:tcBorders>
              <w:top w:val="nil"/>
              <w:left w:val="nil"/>
              <w:bottom w:val="nil"/>
              <w:right w:val="nil"/>
            </w:tcBorders>
            <w:shd w:val="clear" w:color="auto" w:fill="auto"/>
            <w:noWrap/>
            <w:hideMark/>
          </w:tcPr>
          <w:p w14:paraId="344426C8" w14:textId="24626BF4" w:rsidR="0089770E" w:rsidRPr="009E35ED" w:rsidRDefault="0089770E" w:rsidP="0089770E">
            <w:pPr>
              <w:ind w:left="0"/>
              <w:jc w:val="right"/>
              <w:rPr>
                <w:rFonts w:ascii="Arial Narrow" w:hAnsi="Arial Narrow" w:cs="Arial"/>
                <w:color w:val="000000" w:themeColor="text1"/>
                <w:sz w:val="20"/>
                <w:szCs w:val="20"/>
                <w:lang w:val="en-PH" w:eastAsia="en-PH"/>
              </w:rPr>
            </w:pPr>
            <w:r w:rsidRPr="009E35ED">
              <w:rPr>
                <w:rFonts w:ascii="Arial Narrow" w:hAnsi="Arial Narrow"/>
                <w:color w:val="000000" w:themeColor="text1"/>
                <w:sz w:val="20"/>
                <w:szCs w:val="20"/>
              </w:rPr>
              <w:t xml:space="preserve"> 3,972,772 </w:t>
            </w:r>
          </w:p>
        </w:tc>
      </w:tr>
      <w:tr w:rsidR="00997F75" w:rsidRPr="009E35ED" w14:paraId="222A7FD2" w14:textId="77777777" w:rsidTr="00C26DA1">
        <w:trPr>
          <w:trHeight w:val="75"/>
        </w:trPr>
        <w:tc>
          <w:tcPr>
            <w:tcW w:w="7286" w:type="dxa"/>
            <w:tcBorders>
              <w:top w:val="nil"/>
              <w:left w:val="nil"/>
              <w:bottom w:val="nil"/>
              <w:right w:val="nil"/>
            </w:tcBorders>
            <w:shd w:val="clear" w:color="auto" w:fill="auto"/>
          </w:tcPr>
          <w:p w14:paraId="1F39E8B0" w14:textId="0FF6B8A0" w:rsidR="0089770E" w:rsidRPr="009E35ED" w:rsidRDefault="0089770E" w:rsidP="0089770E">
            <w:pPr>
              <w:ind w:left="0"/>
              <w:jc w:val="left"/>
              <w:rPr>
                <w:rFonts w:ascii="Arial Narrow" w:hAnsi="Arial Narrow"/>
                <w:color w:val="000000" w:themeColor="text1"/>
                <w:sz w:val="20"/>
                <w:szCs w:val="20"/>
              </w:rPr>
            </w:pPr>
            <w:r w:rsidRPr="009E35ED">
              <w:rPr>
                <w:rFonts w:ascii="Arial Narrow" w:hAnsi="Arial Narrow"/>
                <w:color w:val="000000" w:themeColor="text1"/>
                <w:sz w:val="20"/>
                <w:szCs w:val="20"/>
              </w:rPr>
              <w:t xml:space="preserve">Adjustment/Recording of </w:t>
            </w:r>
            <w:r w:rsidR="00862892">
              <w:rPr>
                <w:rFonts w:ascii="Arial Narrow" w:hAnsi="Arial Narrow"/>
                <w:color w:val="000000" w:themeColor="text1"/>
                <w:sz w:val="20"/>
                <w:szCs w:val="20"/>
              </w:rPr>
              <w:t>h</w:t>
            </w:r>
            <w:r w:rsidRPr="009E35ED">
              <w:rPr>
                <w:rFonts w:ascii="Arial Narrow" w:hAnsi="Arial Narrow"/>
                <w:color w:val="000000" w:themeColor="text1"/>
                <w:sz w:val="20"/>
                <w:szCs w:val="20"/>
              </w:rPr>
              <w:t xml:space="preserve">azard </w:t>
            </w:r>
            <w:r w:rsidR="00862892">
              <w:rPr>
                <w:rFonts w:ascii="Arial Narrow" w:hAnsi="Arial Narrow"/>
                <w:color w:val="000000" w:themeColor="text1"/>
                <w:sz w:val="20"/>
                <w:szCs w:val="20"/>
              </w:rPr>
              <w:t>p</w:t>
            </w:r>
            <w:r w:rsidRPr="009E35ED">
              <w:rPr>
                <w:rFonts w:ascii="Arial Narrow" w:hAnsi="Arial Narrow"/>
                <w:color w:val="000000" w:themeColor="text1"/>
                <w:sz w:val="20"/>
                <w:szCs w:val="20"/>
              </w:rPr>
              <w:t>ay-Head Office</w:t>
            </w:r>
          </w:p>
        </w:tc>
        <w:tc>
          <w:tcPr>
            <w:tcW w:w="1716" w:type="dxa"/>
            <w:tcBorders>
              <w:top w:val="nil"/>
              <w:left w:val="nil"/>
              <w:bottom w:val="nil"/>
              <w:right w:val="nil"/>
            </w:tcBorders>
            <w:shd w:val="clear" w:color="auto" w:fill="auto"/>
            <w:noWrap/>
          </w:tcPr>
          <w:p w14:paraId="0BA05D5D" w14:textId="6ED439BE" w:rsidR="0089770E" w:rsidRPr="009E35ED" w:rsidRDefault="0089770E" w:rsidP="0089770E">
            <w:pPr>
              <w:ind w:left="0"/>
              <w:jc w:val="right"/>
              <w:rPr>
                <w:rFonts w:ascii="Arial Narrow" w:hAnsi="Arial Narrow"/>
                <w:color w:val="000000" w:themeColor="text1"/>
                <w:sz w:val="20"/>
                <w:szCs w:val="20"/>
              </w:rPr>
            </w:pPr>
            <w:r w:rsidRPr="009E35ED">
              <w:rPr>
                <w:rFonts w:ascii="Arial Narrow" w:hAnsi="Arial Narrow"/>
                <w:color w:val="000000" w:themeColor="text1"/>
                <w:sz w:val="20"/>
                <w:szCs w:val="20"/>
              </w:rPr>
              <w:t xml:space="preserve"> 70,556 </w:t>
            </w:r>
          </w:p>
        </w:tc>
      </w:tr>
      <w:tr w:rsidR="00997F75" w:rsidRPr="009E35ED" w14:paraId="77C923D9" w14:textId="77777777" w:rsidTr="00C26DA1">
        <w:trPr>
          <w:trHeight w:val="285"/>
        </w:trPr>
        <w:tc>
          <w:tcPr>
            <w:tcW w:w="7286" w:type="dxa"/>
            <w:tcBorders>
              <w:top w:val="nil"/>
              <w:left w:val="nil"/>
              <w:bottom w:val="nil"/>
              <w:right w:val="nil"/>
            </w:tcBorders>
            <w:shd w:val="clear" w:color="auto" w:fill="auto"/>
            <w:hideMark/>
          </w:tcPr>
          <w:p w14:paraId="084A5B3C" w14:textId="5EAAC283" w:rsidR="0089770E" w:rsidRPr="009E35ED" w:rsidRDefault="0089770E" w:rsidP="0089770E">
            <w:pPr>
              <w:ind w:left="0"/>
              <w:jc w:val="left"/>
              <w:rPr>
                <w:rFonts w:ascii="Arial Narrow" w:hAnsi="Arial Narrow" w:cs="Arial"/>
                <w:color w:val="000000" w:themeColor="text1"/>
                <w:sz w:val="20"/>
                <w:szCs w:val="20"/>
                <w:lang w:val="en-PH" w:eastAsia="en-PH"/>
              </w:rPr>
            </w:pPr>
            <w:r w:rsidRPr="009E35ED">
              <w:rPr>
                <w:rFonts w:ascii="Arial Narrow" w:hAnsi="Arial Narrow"/>
                <w:color w:val="000000" w:themeColor="text1"/>
                <w:sz w:val="20"/>
                <w:szCs w:val="20"/>
              </w:rPr>
              <w:t xml:space="preserve">Payment of </w:t>
            </w:r>
            <w:r w:rsidR="00862892">
              <w:rPr>
                <w:rFonts w:ascii="Arial Narrow" w:hAnsi="Arial Narrow"/>
                <w:color w:val="000000" w:themeColor="text1"/>
                <w:sz w:val="20"/>
                <w:szCs w:val="20"/>
              </w:rPr>
              <w:t>h</w:t>
            </w:r>
            <w:r w:rsidRPr="009E35ED">
              <w:rPr>
                <w:rFonts w:ascii="Arial Narrow" w:hAnsi="Arial Narrow"/>
                <w:color w:val="000000" w:themeColor="text1"/>
                <w:sz w:val="20"/>
                <w:szCs w:val="20"/>
              </w:rPr>
              <w:t xml:space="preserve">azard </w:t>
            </w:r>
            <w:r w:rsidR="00862892">
              <w:rPr>
                <w:rFonts w:ascii="Arial Narrow" w:hAnsi="Arial Narrow"/>
                <w:color w:val="000000" w:themeColor="text1"/>
                <w:sz w:val="20"/>
                <w:szCs w:val="20"/>
              </w:rPr>
              <w:t>p</w:t>
            </w:r>
            <w:r w:rsidRPr="009E35ED">
              <w:rPr>
                <w:rFonts w:ascii="Arial Narrow" w:hAnsi="Arial Narrow"/>
                <w:color w:val="000000" w:themeColor="text1"/>
                <w:sz w:val="20"/>
                <w:szCs w:val="20"/>
              </w:rPr>
              <w:t>ay-Head Office</w:t>
            </w:r>
          </w:p>
        </w:tc>
        <w:tc>
          <w:tcPr>
            <w:tcW w:w="1716" w:type="dxa"/>
            <w:tcBorders>
              <w:top w:val="nil"/>
              <w:left w:val="nil"/>
              <w:bottom w:val="nil"/>
              <w:right w:val="nil"/>
            </w:tcBorders>
            <w:shd w:val="clear" w:color="auto" w:fill="auto"/>
            <w:noWrap/>
            <w:hideMark/>
          </w:tcPr>
          <w:p w14:paraId="279AC6CB" w14:textId="58C43068" w:rsidR="0089770E" w:rsidRPr="009E35ED" w:rsidRDefault="0089770E" w:rsidP="0089770E">
            <w:pPr>
              <w:ind w:left="0"/>
              <w:jc w:val="right"/>
              <w:rPr>
                <w:rFonts w:ascii="Arial Narrow" w:hAnsi="Arial Narrow" w:cs="Arial"/>
                <w:color w:val="000000" w:themeColor="text1"/>
                <w:sz w:val="20"/>
                <w:szCs w:val="20"/>
                <w:lang w:val="en-PH" w:eastAsia="en-PH"/>
              </w:rPr>
            </w:pPr>
            <w:r w:rsidRPr="009E35ED">
              <w:rPr>
                <w:rFonts w:ascii="Arial Narrow" w:hAnsi="Arial Narrow"/>
                <w:color w:val="000000" w:themeColor="text1"/>
                <w:sz w:val="20"/>
                <w:szCs w:val="20"/>
              </w:rPr>
              <w:t xml:space="preserve"> 26,258 </w:t>
            </w:r>
          </w:p>
        </w:tc>
      </w:tr>
      <w:tr w:rsidR="00997F75" w:rsidRPr="009E35ED" w14:paraId="3570A306" w14:textId="77777777" w:rsidTr="00C26DA1">
        <w:trPr>
          <w:trHeight w:val="70"/>
        </w:trPr>
        <w:tc>
          <w:tcPr>
            <w:tcW w:w="7286" w:type="dxa"/>
            <w:tcBorders>
              <w:top w:val="single" w:sz="4" w:space="0" w:color="auto"/>
              <w:left w:val="nil"/>
              <w:bottom w:val="double" w:sz="6" w:space="0" w:color="auto"/>
              <w:right w:val="nil"/>
            </w:tcBorders>
            <w:shd w:val="clear" w:color="auto" w:fill="auto"/>
            <w:hideMark/>
          </w:tcPr>
          <w:p w14:paraId="7A712E52" w14:textId="46D05851" w:rsidR="0089770E" w:rsidRPr="009E35ED" w:rsidRDefault="0089770E" w:rsidP="0089770E">
            <w:pPr>
              <w:ind w:left="0"/>
              <w:jc w:val="left"/>
              <w:rPr>
                <w:rFonts w:ascii="Arial Narrow" w:hAnsi="Arial Narrow" w:cs="Arial"/>
                <w:b/>
                <w:bCs/>
                <w:color w:val="000000" w:themeColor="text1"/>
                <w:sz w:val="20"/>
                <w:szCs w:val="20"/>
                <w:lang w:val="en-PH" w:eastAsia="en-PH"/>
              </w:rPr>
            </w:pPr>
            <w:r w:rsidRPr="009E35ED">
              <w:rPr>
                <w:rFonts w:ascii="Arial Narrow" w:hAnsi="Arial Narrow"/>
                <w:b/>
                <w:bCs/>
                <w:color w:val="000000" w:themeColor="text1"/>
                <w:sz w:val="20"/>
                <w:szCs w:val="20"/>
              </w:rPr>
              <w:t>Restated Amount as of December 31, 2022 - Hazard Pay (Operating Fund)</w:t>
            </w:r>
          </w:p>
        </w:tc>
        <w:tc>
          <w:tcPr>
            <w:tcW w:w="1716" w:type="dxa"/>
            <w:tcBorders>
              <w:top w:val="single" w:sz="4" w:space="0" w:color="auto"/>
              <w:left w:val="nil"/>
              <w:bottom w:val="double" w:sz="6" w:space="0" w:color="auto"/>
              <w:right w:val="nil"/>
            </w:tcBorders>
            <w:shd w:val="clear" w:color="auto" w:fill="auto"/>
            <w:noWrap/>
            <w:hideMark/>
          </w:tcPr>
          <w:p w14:paraId="630AEE9B" w14:textId="0A241DA1" w:rsidR="0089770E" w:rsidRPr="009E35ED" w:rsidRDefault="0089770E" w:rsidP="0089770E">
            <w:pPr>
              <w:ind w:left="0"/>
              <w:jc w:val="right"/>
              <w:rPr>
                <w:rFonts w:ascii="Arial Narrow" w:hAnsi="Arial Narrow" w:cs="Arial"/>
                <w:b/>
                <w:bCs/>
                <w:color w:val="000000" w:themeColor="text1"/>
                <w:sz w:val="20"/>
                <w:szCs w:val="20"/>
                <w:lang w:val="en-PH" w:eastAsia="en-PH"/>
              </w:rPr>
            </w:pPr>
            <w:r w:rsidRPr="009E35ED">
              <w:rPr>
                <w:rFonts w:ascii="Arial Narrow" w:hAnsi="Arial Narrow"/>
                <w:b/>
                <w:bCs/>
                <w:color w:val="000000" w:themeColor="text1"/>
                <w:sz w:val="20"/>
                <w:szCs w:val="20"/>
              </w:rPr>
              <w:t xml:space="preserve"> 4,069,586 </w:t>
            </w:r>
          </w:p>
        </w:tc>
      </w:tr>
      <w:tr w:rsidR="00997F75" w:rsidRPr="009E35ED" w14:paraId="3997A1A9" w14:textId="77777777" w:rsidTr="00C26DA1">
        <w:trPr>
          <w:trHeight w:val="300"/>
        </w:trPr>
        <w:tc>
          <w:tcPr>
            <w:tcW w:w="7286" w:type="dxa"/>
            <w:tcBorders>
              <w:top w:val="nil"/>
              <w:left w:val="nil"/>
              <w:bottom w:val="nil"/>
              <w:right w:val="nil"/>
            </w:tcBorders>
            <w:shd w:val="clear" w:color="auto" w:fill="auto"/>
          </w:tcPr>
          <w:p w14:paraId="3D2AFA8A" w14:textId="10B0C8E7" w:rsidR="0089770E" w:rsidRPr="009E35ED" w:rsidRDefault="0089770E" w:rsidP="0089770E">
            <w:pPr>
              <w:ind w:left="0"/>
              <w:jc w:val="left"/>
              <w:rPr>
                <w:rFonts w:ascii="Arial Narrow" w:hAnsi="Arial Narrow" w:cs="Arial"/>
                <w:b/>
                <w:bCs/>
                <w:color w:val="000000" w:themeColor="text1"/>
                <w:sz w:val="20"/>
                <w:szCs w:val="20"/>
                <w:lang w:val="en-PH" w:eastAsia="en-PH"/>
              </w:rPr>
            </w:pPr>
          </w:p>
        </w:tc>
        <w:tc>
          <w:tcPr>
            <w:tcW w:w="1716" w:type="dxa"/>
            <w:tcBorders>
              <w:top w:val="nil"/>
              <w:left w:val="nil"/>
              <w:bottom w:val="nil"/>
              <w:right w:val="nil"/>
            </w:tcBorders>
            <w:shd w:val="clear" w:color="auto" w:fill="auto"/>
            <w:noWrap/>
            <w:vAlign w:val="bottom"/>
          </w:tcPr>
          <w:p w14:paraId="34DA6669" w14:textId="77777777" w:rsidR="0089770E" w:rsidRPr="009E35ED" w:rsidRDefault="0089770E" w:rsidP="00B90388">
            <w:pPr>
              <w:ind w:left="0"/>
              <w:rPr>
                <w:rFonts w:ascii="Arial Narrow" w:hAnsi="Arial Narrow"/>
                <w:color w:val="000000" w:themeColor="text1"/>
                <w:sz w:val="20"/>
                <w:szCs w:val="20"/>
                <w:lang w:val="en-PH" w:eastAsia="en-PH"/>
              </w:rPr>
            </w:pPr>
          </w:p>
        </w:tc>
      </w:tr>
      <w:tr w:rsidR="00997F75" w:rsidRPr="009E35ED" w14:paraId="00B6993E" w14:textId="77777777" w:rsidTr="00C26DA1">
        <w:trPr>
          <w:trHeight w:val="285"/>
        </w:trPr>
        <w:tc>
          <w:tcPr>
            <w:tcW w:w="7286" w:type="dxa"/>
            <w:tcBorders>
              <w:top w:val="nil"/>
              <w:left w:val="nil"/>
              <w:bottom w:val="nil"/>
              <w:right w:val="nil"/>
            </w:tcBorders>
            <w:shd w:val="clear" w:color="auto" w:fill="auto"/>
            <w:vAlign w:val="bottom"/>
            <w:hideMark/>
          </w:tcPr>
          <w:p w14:paraId="0921B03B" w14:textId="57F516D9" w:rsidR="000706EF" w:rsidRPr="009E35ED" w:rsidRDefault="000706EF" w:rsidP="000706EF">
            <w:pPr>
              <w:ind w:left="0"/>
              <w:jc w:val="left"/>
              <w:rPr>
                <w:rFonts w:ascii="Arial Narrow" w:hAnsi="Arial Narrow" w:cs="Arial"/>
                <w:color w:val="000000" w:themeColor="text1"/>
                <w:sz w:val="20"/>
                <w:szCs w:val="20"/>
                <w:lang w:val="en-PH" w:eastAsia="en-PH"/>
              </w:rPr>
            </w:pPr>
            <w:r w:rsidRPr="009E35ED">
              <w:rPr>
                <w:rFonts w:ascii="Arial Narrow" w:hAnsi="Arial Narrow" w:cs="Arial"/>
                <w:color w:val="000000" w:themeColor="text1"/>
                <w:sz w:val="20"/>
                <w:szCs w:val="20"/>
              </w:rPr>
              <w:t xml:space="preserve">Unrestated </w:t>
            </w:r>
            <w:r w:rsidR="00862892">
              <w:rPr>
                <w:rFonts w:ascii="Arial Narrow" w:hAnsi="Arial Narrow" w:cs="Arial"/>
                <w:color w:val="000000" w:themeColor="text1"/>
                <w:sz w:val="20"/>
                <w:szCs w:val="20"/>
              </w:rPr>
              <w:t>a</w:t>
            </w:r>
            <w:r w:rsidRPr="009E35ED">
              <w:rPr>
                <w:rFonts w:ascii="Arial Narrow" w:hAnsi="Arial Narrow" w:cs="Arial"/>
                <w:color w:val="000000" w:themeColor="text1"/>
                <w:sz w:val="20"/>
                <w:szCs w:val="20"/>
              </w:rPr>
              <w:t>mount as of December 31, 2022</w:t>
            </w:r>
          </w:p>
        </w:tc>
        <w:tc>
          <w:tcPr>
            <w:tcW w:w="1716" w:type="dxa"/>
            <w:tcBorders>
              <w:top w:val="nil"/>
              <w:left w:val="nil"/>
              <w:bottom w:val="nil"/>
              <w:right w:val="nil"/>
            </w:tcBorders>
            <w:shd w:val="clear" w:color="auto" w:fill="auto"/>
            <w:noWrap/>
            <w:hideMark/>
          </w:tcPr>
          <w:p w14:paraId="6C72871F" w14:textId="193EC02F" w:rsidR="000706EF" w:rsidRPr="009E35ED" w:rsidRDefault="000706EF" w:rsidP="000706EF">
            <w:pPr>
              <w:ind w:left="0"/>
              <w:jc w:val="right"/>
              <w:rPr>
                <w:rFonts w:ascii="Arial Narrow" w:hAnsi="Arial Narrow" w:cs="Arial"/>
                <w:color w:val="000000" w:themeColor="text1"/>
                <w:sz w:val="20"/>
                <w:szCs w:val="20"/>
                <w:lang w:val="en-PH" w:eastAsia="en-PH"/>
              </w:rPr>
            </w:pPr>
            <w:r w:rsidRPr="009E35ED">
              <w:rPr>
                <w:rFonts w:ascii="Arial Narrow" w:hAnsi="Arial Narrow"/>
                <w:color w:val="000000" w:themeColor="text1"/>
                <w:sz w:val="20"/>
                <w:szCs w:val="20"/>
              </w:rPr>
              <w:t xml:space="preserve"> 73,233,628 </w:t>
            </w:r>
          </w:p>
        </w:tc>
      </w:tr>
      <w:tr w:rsidR="00997F75" w:rsidRPr="009E35ED" w14:paraId="098DFC80" w14:textId="77777777" w:rsidTr="00C26DA1">
        <w:trPr>
          <w:trHeight w:val="135"/>
        </w:trPr>
        <w:tc>
          <w:tcPr>
            <w:tcW w:w="7286" w:type="dxa"/>
            <w:tcBorders>
              <w:top w:val="nil"/>
              <w:left w:val="nil"/>
              <w:bottom w:val="nil"/>
              <w:right w:val="nil"/>
            </w:tcBorders>
            <w:shd w:val="clear" w:color="auto" w:fill="auto"/>
            <w:vAlign w:val="bottom"/>
            <w:hideMark/>
          </w:tcPr>
          <w:p w14:paraId="78217F11" w14:textId="3F0A05F2" w:rsidR="000706EF" w:rsidRPr="009E35ED" w:rsidRDefault="000706EF" w:rsidP="000706EF">
            <w:pPr>
              <w:ind w:left="0"/>
              <w:jc w:val="left"/>
              <w:rPr>
                <w:rFonts w:ascii="Arial Narrow" w:hAnsi="Arial Narrow" w:cs="Arial"/>
                <w:color w:val="000000" w:themeColor="text1"/>
                <w:sz w:val="20"/>
                <w:szCs w:val="20"/>
                <w:lang w:val="en-PH" w:eastAsia="en-PH"/>
              </w:rPr>
            </w:pPr>
            <w:r w:rsidRPr="009E35ED">
              <w:rPr>
                <w:rFonts w:ascii="Arial Narrow" w:hAnsi="Arial Narrow" w:cs="Arial"/>
                <w:color w:val="000000" w:themeColor="text1"/>
                <w:sz w:val="20"/>
                <w:szCs w:val="20"/>
              </w:rPr>
              <w:t xml:space="preserve">Adjustment/Recording of </w:t>
            </w:r>
            <w:r w:rsidR="00862892">
              <w:rPr>
                <w:rFonts w:ascii="Arial Narrow" w:hAnsi="Arial Narrow" w:cs="Arial"/>
                <w:color w:val="000000" w:themeColor="text1"/>
                <w:sz w:val="20"/>
                <w:szCs w:val="20"/>
              </w:rPr>
              <w:t>o</w:t>
            </w:r>
            <w:r w:rsidRPr="009E35ED">
              <w:rPr>
                <w:rFonts w:ascii="Arial Narrow" w:hAnsi="Arial Narrow" w:cs="Arial"/>
                <w:color w:val="000000" w:themeColor="text1"/>
                <w:sz w:val="20"/>
                <w:szCs w:val="20"/>
              </w:rPr>
              <w:t xml:space="preserve">vertime and </w:t>
            </w:r>
            <w:r w:rsidR="00862892">
              <w:rPr>
                <w:rFonts w:ascii="Arial Narrow" w:hAnsi="Arial Narrow" w:cs="Arial"/>
                <w:color w:val="000000" w:themeColor="text1"/>
                <w:sz w:val="20"/>
                <w:szCs w:val="20"/>
              </w:rPr>
              <w:t>n</w:t>
            </w:r>
            <w:r w:rsidRPr="009E35ED">
              <w:rPr>
                <w:rFonts w:ascii="Arial Narrow" w:hAnsi="Arial Narrow" w:cs="Arial"/>
                <w:color w:val="000000" w:themeColor="text1"/>
                <w:sz w:val="20"/>
                <w:szCs w:val="20"/>
              </w:rPr>
              <w:t xml:space="preserve">ight </w:t>
            </w:r>
            <w:r w:rsidR="00862892">
              <w:rPr>
                <w:rFonts w:ascii="Arial Narrow" w:hAnsi="Arial Narrow" w:cs="Arial"/>
                <w:color w:val="000000" w:themeColor="text1"/>
                <w:sz w:val="20"/>
                <w:szCs w:val="20"/>
              </w:rPr>
              <w:t>p</w:t>
            </w:r>
            <w:r w:rsidRPr="009E35ED">
              <w:rPr>
                <w:rFonts w:ascii="Arial Narrow" w:hAnsi="Arial Narrow" w:cs="Arial"/>
                <w:color w:val="000000" w:themeColor="text1"/>
                <w:sz w:val="20"/>
                <w:szCs w:val="20"/>
              </w:rPr>
              <w:t>ay-</w:t>
            </w:r>
            <w:r w:rsidR="00862892">
              <w:rPr>
                <w:rFonts w:ascii="Arial Narrow" w:hAnsi="Arial Narrow" w:cs="Arial"/>
                <w:color w:val="000000" w:themeColor="text1"/>
                <w:sz w:val="20"/>
                <w:szCs w:val="20"/>
              </w:rPr>
              <w:t>B</w:t>
            </w:r>
            <w:r w:rsidRPr="009E35ED">
              <w:rPr>
                <w:rFonts w:ascii="Arial Narrow" w:hAnsi="Arial Narrow" w:cs="Arial"/>
                <w:color w:val="000000" w:themeColor="text1"/>
                <w:sz w:val="20"/>
                <w:szCs w:val="20"/>
              </w:rPr>
              <w:t>ranches</w:t>
            </w:r>
          </w:p>
        </w:tc>
        <w:tc>
          <w:tcPr>
            <w:tcW w:w="1716" w:type="dxa"/>
            <w:tcBorders>
              <w:top w:val="nil"/>
              <w:left w:val="nil"/>
              <w:bottom w:val="nil"/>
              <w:right w:val="nil"/>
            </w:tcBorders>
            <w:shd w:val="clear" w:color="auto" w:fill="auto"/>
            <w:noWrap/>
            <w:hideMark/>
          </w:tcPr>
          <w:p w14:paraId="38149B13" w14:textId="47CB5EC5" w:rsidR="000706EF" w:rsidRPr="009E35ED" w:rsidRDefault="000706EF" w:rsidP="000706EF">
            <w:pPr>
              <w:ind w:left="0"/>
              <w:jc w:val="right"/>
              <w:rPr>
                <w:rFonts w:ascii="Arial Narrow" w:hAnsi="Arial Narrow" w:cs="Arial"/>
                <w:color w:val="000000" w:themeColor="text1"/>
                <w:sz w:val="20"/>
                <w:szCs w:val="20"/>
                <w:lang w:val="en-PH" w:eastAsia="en-PH"/>
              </w:rPr>
            </w:pPr>
            <w:r w:rsidRPr="009E35ED">
              <w:rPr>
                <w:rFonts w:ascii="Arial Narrow" w:hAnsi="Arial Narrow"/>
                <w:color w:val="000000" w:themeColor="text1"/>
                <w:sz w:val="20"/>
                <w:szCs w:val="20"/>
              </w:rPr>
              <w:t xml:space="preserve"> (140,188)</w:t>
            </w:r>
          </w:p>
        </w:tc>
      </w:tr>
      <w:tr w:rsidR="00997F75" w:rsidRPr="009E35ED" w14:paraId="242508FE" w14:textId="77777777" w:rsidTr="00C26DA1">
        <w:trPr>
          <w:trHeight w:val="81"/>
        </w:trPr>
        <w:tc>
          <w:tcPr>
            <w:tcW w:w="7286" w:type="dxa"/>
            <w:tcBorders>
              <w:top w:val="nil"/>
              <w:left w:val="nil"/>
              <w:bottom w:val="nil"/>
              <w:right w:val="nil"/>
            </w:tcBorders>
            <w:shd w:val="clear" w:color="auto" w:fill="auto"/>
            <w:vAlign w:val="bottom"/>
            <w:hideMark/>
          </w:tcPr>
          <w:p w14:paraId="26BC48FD" w14:textId="49B55C81" w:rsidR="000706EF" w:rsidRPr="009E35ED" w:rsidRDefault="000706EF" w:rsidP="000706EF">
            <w:pPr>
              <w:ind w:left="0"/>
              <w:jc w:val="left"/>
              <w:rPr>
                <w:rFonts w:ascii="Arial Narrow" w:hAnsi="Arial Narrow" w:cs="Arial"/>
                <w:color w:val="000000" w:themeColor="text1"/>
                <w:sz w:val="20"/>
                <w:szCs w:val="20"/>
                <w:lang w:val="en-PH" w:eastAsia="en-PH"/>
              </w:rPr>
            </w:pPr>
            <w:r w:rsidRPr="009E35ED">
              <w:rPr>
                <w:rFonts w:ascii="Arial Narrow" w:hAnsi="Arial Narrow" w:cs="Arial"/>
                <w:color w:val="000000" w:themeColor="text1"/>
                <w:sz w:val="20"/>
                <w:szCs w:val="20"/>
              </w:rPr>
              <w:t xml:space="preserve">Adjustment/Recording of </w:t>
            </w:r>
            <w:r w:rsidR="00862892">
              <w:rPr>
                <w:rFonts w:ascii="Arial Narrow" w:hAnsi="Arial Narrow" w:cs="Arial"/>
                <w:color w:val="000000" w:themeColor="text1"/>
                <w:sz w:val="20"/>
                <w:szCs w:val="20"/>
              </w:rPr>
              <w:t>o</w:t>
            </w:r>
            <w:r w:rsidRPr="009E35ED">
              <w:rPr>
                <w:rFonts w:ascii="Arial Narrow" w:hAnsi="Arial Narrow" w:cs="Arial"/>
                <w:color w:val="000000" w:themeColor="text1"/>
                <w:sz w:val="20"/>
                <w:szCs w:val="20"/>
              </w:rPr>
              <w:t xml:space="preserve">vertime and </w:t>
            </w:r>
            <w:r w:rsidR="00862892">
              <w:rPr>
                <w:rFonts w:ascii="Arial Narrow" w:hAnsi="Arial Narrow" w:cs="Arial"/>
                <w:color w:val="000000" w:themeColor="text1"/>
                <w:sz w:val="20"/>
                <w:szCs w:val="20"/>
              </w:rPr>
              <w:t>n</w:t>
            </w:r>
            <w:r w:rsidRPr="009E35ED">
              <w:rPr>
                <w:rFonts w:ascii="Arial Narrow" w:hAnsi="Arial Narrow" w:cs="Arial"/>
                <w:color w:val="000000" w:themeColor="text1"/>
                <w:sz w:val="20"/>
                <w:szCs w:val="20"/>
              </w:rPr>
              <w:t xml:space="preserve">ight </w:t>
            </w:r>
            <w:r w:rsidR="00862892">
              <w:rPr>
                <w:rFonts w:ascii="Arial Narrow" w:hAnsi="Arial Narrow" w:cs="Arial"/>
                <w:color w:val="000000" w:themeColor="text1"/>
                <w:sz w:val="20"/>
                <w:szCs w:val="20"/>
              </w:rPr>
              <w:t>p</w:t>
            </w:r>
            <w:r w:rsidRPr="009E35ED">
              <w:rPr>
                <w:rFonts w:ascii="Arial Narrow" w:hAnsi="Arial Narrow" w:cs="Arial"/>
                <w:color w:val="000000" w:themeColor="text1"/>
                <w:sz w:val="20"/>
                <w:szCs w:val="20"/>
              </w:rPr>
              <w:t>ay-Head Office</w:t>
            </w:r>
          </w:p>
        </w:tc>
        <w:tc>
          <w:tcPr>
            <w:tcW w:w="1716" w:type="dxa"/>
            <w:tcBorders>
              <w:top w:val="nil"/>
              <w:left w:val="nil"/>
              <w:bottom w:val="nil"/>
              <w:right w:val="nil"/>
            </w:tcBorders>
            <w:shd w:val="clear" w:color="auto" w:fill="auto"/>
            <w:noWrap/>
            <w:hideMark/>
          </w:tcPr>
          <w:p w14:paraId="2048CE74" w14:textId="6A572550" w:rsidR="000706EF" w:rsidRPr="009E35ED" w:rsidRDefault="000706EF" w:rsidP="000706EF">
            <w:pPr>
              <w:ind w:left="0"/>
              <w:jc w:val="right"/>
              <w:rPr>
                <w:rFonts w:ascii="Arial Narrow" w:hAnsi="Arial Narrow" w:cs="Arial"/>
                <w:color w:val="000000" w:themeColor="text1"/>
                <w:sz w:val="20"/>
                <w:szCs w:val="20"/>
                <w:lang w:val="en-PH" w:eastAsia="en-PH"/>
              </w:rPr>
            </w:pPr>
            <w:r w:rsidRPr="009E35ED">
              <w:rPr>
                <w:rFonts w:ascii="Arial Narrow" w:hAnsi="Arial Narrow"/>
                <w:color w:val="000000" w:themeColor="text1"/>
                <w:sz w:val="20"/>
                <w:szCs w:val="20"/>
              </w:rPr>
              <w:t xml:space="preserve"> 39 </w:t>
            </w:r>
          </w:p>
        </w:tc>
      </w:tr>
      <w:tr w:rsidR="00997F75" w:rsidRPr="009E35ED" w14:paraId="0B0E152D" w14:textId="77777777" w:rsidTr="00C26DA1">
        <w:trPr>
          <w:trHeight w:val="134"/>
        </w:trPr>
        <w:tc>
          <w:tcPr>
            <w:tcW w:w="7286" w:type="dxa"/>
            <w:tcBorders>
              <w:top w:val="single" w:sz="4" w:space="0" w:color="auto"/>
              <w:left w:val="nil"/>
              <w:bottom w:val="double" w:sz="6" w:space="0" w:color="auto"/>
              <w:right w:val="nil"/>
            </w:tcBorders>
            <w:shd w:val="clear" w:color="auto" w:fill="auto"/>
            <w:vAlign w:val="bottom"/>
            <w:hideMark/>
          </w:tcPr>
          <w:p w14:paraId="3BD6AB60" w14:textId="019FEE2A" w:rsidR="000706EF" w:rsidRPr="009E35ED" w:rsidRDefault="000706EF" w:rsidP="000706EF">
            <w:pPr>
              <w:ind w:left="0"/>
              <w:jc w:val="left"/>
              <w:rPr>
                <w:rFonts w:ascii="Arial Narrow" w:hAnsi="Arial Narrow" w:cs="Arial"/>
                <w:b/>
                <w:bCs/>
                <w:color w:val="000000" w:themeColor="text1"/>
                <w:sz w:val="20"/>
                <w:szCs w:val="20"/>
                <w:lang w:val="en-PH" w:eastAsia="en-PH"/>
              </w:rPr>
            </w:pPr>
            <w:r w:rsidRPr="009E35ED">
              <w:rPr>
                <w:rFonts w:ascii="Arial Narrow" w:hAnsi="Arial Narrow" w:cs="Arial"/>
                <w:b/>
                <w:bCs/>
                <w:color w:val="000000" w:themeColor="text1"/>
                <w:sz w:val="20"/>
                <w:szCs w:val="20"/>
              </w:rPr>
              <w:t>Restated Amount as of December 31, 2022 - Overtime and Night Pay (Operating Fund)</w:t>
            </w:r>
          </w:p>
        </w:tc>
        <w:tc>
          <w:tcPr>
            <w:tcW w:w="1716" w:type="dxa"/>
            <w:tcBorders>
              <w:top w:val="single" w:sz="4" w:space="0" w:color="auto"/>
              <w:left w:val="nil"/>
              <w:bottom w:val="double" w:sz="6" w:space="0" w:color="auto"/>
              <w:right w:val="nil"/>
            </w:tcBorders>
            <w:shd w:val="clear" w:color="auto" w:fill="auto"/>
            <w:noWrap/>
            <w:hideMark/>
          </w:tcPr>
          <w:p w14:paraId="35795712" w14:textId="4DAA8B57" w:rsidR="000706EF" w:rsidRPr="009E35ED" w:rsidRDefault="000706EF">
            <w:pPr>
              <w:ind w:left="0"/>
              <w:jc w:val="right"/>
              <w:rPr>
                <w:rFonts w:ascii="Arial Narrow" w:hAnsi="Arial Narrow" w:cs="Arial"/>
                <w:b/>
                <w:bCs/>
                <w:color w:val="000000" w:themeColor="text1"/>
                <w:sz w:val="20"/>
                <w:szCs w:val="20"/>
                <w:lang w:val="en-PH" w:eastAsia="en-PH"/>
              </w:rPr>
            </w:pPr>
            <w:r w:rsidRPr="009E35ED">
              <w:rPr>
                <w:rFonts w:ascii="Arial Narrow" w:hAnsi="Arial Narrow"/>
                <w:b/>
                <w:bCs/>
                <w:color w:val="000000" w:themeColor="text1"/>
                <w:sz w:val="20"/>
                <w:szCs w:val="20"/>
              </w:rPr>
              <w:t xml:space="preserve"> 73,093,479 </w:t>
            </w:r>
          </w:p>
        </w:tc>
      </w:tr>
      <w:tr w:rsidR="00997F75" w:rsidRPr="009E35ED" w14:paraId="7BBAA738" w14:textId="77777777" w:rsidTr="00B90388">
        <w:trPr>
          <w:trHeight w:val="17"/>
        </w:trPr>
        <w:tc>
          <w:tcPr>
            <w:tcW w:w="7286" w:type="dxa"/>
            <w:tcBorders>
              <w:top w:val="nil"/>
              <w:left w:val="nil"/>
              <w:bottom w:val="nil"/>
              <w:right w:val="nil"/>
            </w:tcBorders>
            <w:shd w:val="clear" w:color="auto" w:fill="auto"/>
            <w:vAlign w:val="bottom"/>
            <w:hideMark/>
          </w:tcPr>
          <w:p w14:paraId="364F0556" w14:textId="3885E480" w:rsidR="000F5207" w:rsidRPr="009E35ED" w:rsidRDefault="000F5207" w:rsidP="008F0E57">
            <w:pPr>
              <w:ind w:left="0"/>
              <w:jc w:val="left"/>
              <w:rPr>
                <w:rFonts w:ascii="Arial Narrow" w:hAnsi="Arial Narrow" w:cs="Arial"/>
                <w:b/>
                <w:bCs/>
                <w:color w:val="000000" w:themeColor="text1"/>
                <w:sz w:val="20"/>
                <w:szCs w:val="20"/>
                <w:lang w:val="en-PH" w:eastAsia="en-PH"/>
              </w:rPr>
            </w:pPr>
          </w:p>
        </w:tc>
        <w:tc>
          <w:tcPr>
            <w:tcW w:w="1716" w:type="dxa"/>
            <w:tcBorders>
              <w:top w:val="nil"/>
              <w:left w:val="nil"/>
              <w:bottom w:val="nil"/>
              <w:right w:val="nil"/>
            </w:tcBorders>
            <w:shd w:val="clear" w:color="auto" w:fill="auto"/>
            <w:noWrap/>
            <w:vAlign w:val="bottom"/>
            <w:hideMark/>
          </w:tcPr>
          <w:p w14:paraId="108C919B" w14:textId="77777777" w:rsidR="008F0E57" w:rsidRPr="009E35ED" w:rsidRDefault="008F0E57" w:rsidP="008F0E57">
            <w:pPr>
              <w:ind w:left="0"/>
              <w:jc w:val="right"/>
              <w:rPr>
                <w:rFonts w:ascii="Arial Narrow" w:hAnsi="Arial Narrow"/>
                <w:color w:val="000000" w:themeColor="text1"/>
                <w:sz w:val="20"/>
                <w:szCs w:val="20"/>
                <w:lang w:val="en-PH" w:eastAsia="en-PH"/>
              </w:rPr>
            </w:pPr>
          </w:p>
        </w:tc>
      </w:tr>
      <w:tr w:rsidR="00997F75" w:rsidRPr="009E35ED" w14:paraId="2CE64B30" w14:textId="77777777" w:rsidTr="00B90388">
        <w:trPr>
          <w:trHeight w:val="81"/>
        </w:trPr>
        <w:tc>
          <w:tcPr>
            <w:tcW w:w="7286" w:type="dxa"/>
            <w:tcBorders>
              <w:top w:val="nil"/>
              <w:left w:val="nil"/>
              <w:bottom w:val="nil"/>
              <w:right w:val="nil"/>
            </w:tcBorders>
            <w:shd w:val="clear" w:color="auto" w:fill="auto"/>
            <w:hideMark/>
          </w:tcPr>
          <w:p w14:paraId="42AE0D39" w14:textId="22B07794" w:rsidR="000E6ECD" w:rsidRPr="009E35ED" w:rsidRDefault="000E6ECD" w:rsidP="000E6ECD">
            <w:pPr>
              <w:ind w:left="0"/>
              <w:jc w:val="left"/>
              <w:rPr>
                <w:rFonts w:ascii="Arial Narrow" w:hAnsi="Arial Narrow" w:cs="Arial"/>
                <w:color w:val="000000" w:themeColor="text1"/>
                <w:sz w:val="20"/>
                <w:szCs w:val="20"/>
                <w:lang w:val="en-PH" w:eastAsia="en-PH"/>
              </w:rPr>
            </w:pPr>
            <w:r w:rsidRPr="009E35ED">
              <w:rPr>
                <w:rFonts w:ascii="Arial Narrow" w:hAnsi="Arial Narrow"/>
                <w:color w:val="000000" w:themeColor="text1"/>
                <w:sz w:val="20"/>
                <w:szCs w:val="20"/>
              </w:rPr>
              <w:t xml:space="preserve">Unrestated </w:t>
            </w:r>
            <w:r w:rsidR="00862892">
              <w:rPr>
                <w:rFonts w:ascii="Arial Narrow" w:hAnsi="Arial Narrow"/>
                <w:color w:val="000000" w:themeColor="text1"/>
                <w:sz w:val="20"/>
                <w:szCs w:val="20"/>
              </w:rPr>
              <w:t>a</w:t>
            </w:r>
            <w:r w:rsidRPr="009E35ED">
              <w:rPr>
                <w:rFonts w:ascii="Arial Narrow" w:hAnsi="Arial Narrow"/>
                <w:color w:val="000000" w:themeColor="text1"/>
                <w:sz w:val="20"/>
                <w:szCs w:val="20"/>
              </w:rPr>
              <w:t>mount as of December 31, 2022</w:t>
            </w:r>
          </w:p>
        </w:tc>
        <w:tc>
          <w:tcPr>
            <w:tcW w:w="1716" w:type="dxa"/>
            <w:tcBorders>
              <w:top w:val="nil"/>
              <w:left w:val="nil"/>
              <w:bottom w:val="nil"/>
              <w:right w:val="nil"/>
            </w:tcBorders>
            <w:shd w:val="clear" w:color="auto" w:fill="auto"/>
            <w:noWrap/>
            <w:hideMark/>
          </w:tcPr>
          <w:p w14:paraId="2A3E238B" w14:textId="1CDA2C07" w:rsidR="000E6ECD" w:rsidRPr="009E35ED" w:rsidRDefault="000E6ECD" w:rsidP="000E6ECD">
            <w:pPr>
              <w:ind w:left="0"/>
              <w:jc w:val="right"/>
              <w:rPr>
                <w:rFonts w:ascii="Arial Narrow" w:hAnsi="Arial Narrow" w:cs="Arial"/>
                <w:color w:val="000000" w:themeColor="text1"/>
                <w:sz w:val="20"/>
                <w:szCs w:val="20"/>
                <w:lang w:val="en-PH" w:eastAsia="en-PH"/>
              </w:rPr>
            </w:pPr>
            <w:r w:rsidRPr="009E35ED">
              <w:rPr>
                <w:rFonts w:ascii="Arial Narrow" w:hAnsi="Arial Narrow"/>
                <w:color w:val="000000" w:themeColor="text1"/>
                <w:sz w:val="20"/>
                <w:szCs w:val="20"/>
              </w:rPr>
              <w:t xml:space="preserve"> 103,760,441 </w:t>
            </w:r>
          </w:p>
        </w:tc>
      </w:tr>
      <w:tr w:rsidR="00997F75" w:rsidRPr="009E35ED" w14:paraId="44B10F84" w14:textId="77777777" w:rsidTr="00C26DA1">
        <w:trPr>
          <w:trHeight w:val="108"/>
        </w:trPr>
        <w:tc>
          <w:tcPr>
            <w:tcW w:w="7286" w:type="dxa"/>
            <w:tcBorders>
              <w:top w:val="nil"/>
              <w:left w:val="nil"/>
              <w:bottom w:val="nil"/>
              <w:right w:val="nil"/>
            </w:tcBorders>
            <w:shd w:val="clear" w:color="auto" w:fill="auto"/>
            <w:hideMark/>
          </w:tcPr>
          <w:p w14:paraId="19DF330D" w14:textId="719EA78C" w:rsidR="000E6ECD" w:rsidRPr="009E35ED" w:rsidRDefault="000E6ECD" w:rsidP="000E6ECD">
            <w:pPr>
              <w:ind w:left="0"/>
              <w:jc w:val="left"/>
              <w:rPr>
                <w:rFonts w:ascii="Arial Narrow" w:hAnsi="Arial Narrow" w:cs="Arial"/>
                <w:color w:val="000000" w:themeColor="text1"/>
                <w:sz w:val="20"/>
                <w:szCs w:val="20"/>
                <w:lang w:val="en-PH" w:eastAsia="en-PH"/>
              </w:rPr>
            </w:pPr>
            <w:r w:rsidRPr="009E35ED">
              <w:rPr>
                <w:rFonts w:ascii="Arial Narrow" w:hAnsi="Arial Narrow"/>
                <w:color w:val="000000" w:themeColor="text1"/>
                <w:sz w:val="20"/>
                <w:szCs w:val="20"/>
              </w:rPr>
              <w:t xml:space="preserve">Adjustment/Recording of 13th </w:t>
            </w:r>
            <w:r w:rsidR="00862892">
              <w:rPr>
                <w:rFonts w:ascii="Arial Narrow" w:hAnsi="Arial Narrow"/>
                <w:color w:val="000000" w:themeColor="text1"/>
                <w:sz w:val="20"/>
                <w:szCs w:val="20"/>
              </w:rPr>
              <w:t>m</w:t>
            </w:r>
            <w:r w:rsidRPr="009E35ED">
              <w:rPr>
                <w:rFonts w:ascii="Arial Narrow" w:hAnsi="Arial Narrow"/>
                <w:color w:val="000000" w:themeColor="text1"/>
                <w:sz w:val="20"/>
                <w:szCs w:val="20"/>
              </w:rPr>
              <w:t xml:space="preserve">onth </w:t>
            </w:r>
            <w:r w:rsidR="00862892">
              <w:rPr>
                <w:rFonts w:ascii="Arial Narrow" w:hAnsi="Arial Narrow"/>
                <w:color w:val="000000" w:themeColor="text1"/>
                <w:sz w:val="20"/>
                <w:szCs w:val="20"/>
              </w:rPr>
              <w:t>p</w:t>
            </w:r>
            <w:r w:rsidRPr="009E35ED">
              <w:rPr>
                <w:rFonts w:ascii="Arial Narrow" w:hAnsi="Arial Narrow"/>
                <w:color w:val="000000" w:themeColor="text1"/>
                <w:sz w:val="20"/>
                <w:szCs w:val="20"/>
              </w:rPr>
              <w:t>ay-Head Office</w:t>
            </w:r>
          </w:p>
        </w:tc>
        <w:tc>
          <w:tcPr>
            <w:tcW w:w="1716" w:type="dxa"/>
            <w:tcBorders>
              <w:top w:val="nil"/>
              <w:left w:val="nil"/>
              <w:bottom w:val="nil"/>
              <w:right w:val="nil"/>
            </w:tcBorders>
            <w:shd w:val="clear" w:color="auto" w:fill="auto"/>
            <w:noWrap/>
            <w:hideMark/>
          </w:tcPr>
          <w:p w14:paraId="22B63F8F" w14:textId="0854B1FB" w:rsidR="000E6ECD" w:rsidRPr="009E35ED" w:rsidRDefault="000E6ECD" w:rsidP="000E6ECD">
            <w:pPr>
              <w:ind w:left="0"/>
              <w:jc w:val="right"/>
              <w:rPr>
                <w:rFonts w:ascii="Arial Narrow" w:hAnsi="Arial Narrow" w:cs="Arial"/>
                <w:color w:val="000000" w:themeColor="text1"/>
                <w:sz w:val="20"/>
                <w:szCs w:val="20"/>
                <w:lang w:val="en-PH" w:eastAsia="en-PH"/>
              </w:rPr>
            </w:pPr>
            <w:r w:rsidRPr="009E35ED">
              <w:rPr>
                <w:rFonts w:ascii="Arial Narrow" w:hAnsi="Arial Narrow"/>
                <w:color w:val="000000" w:themeColor="text1"/>
                <w:sz w:val="20"/>
                <w:szCs w:val="20"/>
              </w:rPr>
              <w:t xml:space="preserve"> 5,474 </w:t>
            </w:r>
          </w:p>
        </w:tc>
      </w:tr>
      <w:tr w:rsidR="00997F75" w:rsidRPr="009E35ED" w14:paraId="230CD7BE" w14:textId="77777777" w:rsidTr="00C26DA1">
        <w:trPr>
          <w:trHeight w:val="161"/>
        </w:trPr>
        <w:tc>
          <w:tcPr>
            <w:tcW w:w="7286" w:type="dxa"/>
            <w:tcBorders>
              <w:top w:val="single" w:sz="4" w:space="0" w:color="auto"/>
              <w:left w:val="nil"/>
              <w:bottom w:val="double" w:sz="6" w:space="0" w:color="auto"/>
              <w:right w:val="nil"/>
            </w:tcBorders>
            <w:shd w:val="clear" w:color="auto" w:fill="auto"/>
            <w:hideMark/>
          </w:tcPr>
          <w:p w14:paraId="57AD0821" w14:textId="0DA24AF1" w:rsidR="000E6ECD" w:rsidRPr="009E35ED" w:rsidRDefault="000E6ECD" w:rsidP="000E6ECD">
            <w:pPr>
              <w:ind w:left="0"/>
              <w:jc w:val="left"/>
              <w:rPr>
                <w:rFonts w:ascii="Arial Narrow" w:hAnsi="Arial Narrow" w:cs="Arial"/>
                <w:b/>
                <w:bCs/>
                <w:color w:val="000000" w:themeColor="text1"/>
                <w:sz w:val="20"/>
                <w:szCs w:val="20"/>
                <w:lang w:val="en-PH" w:eastAsia="en-PH"/>
              </w:rPr>
            </w:pPr>
            <w:r w:rsidRPr="009E35ED">
              <w:rPr>
                <w:rFonts w:ascii="Arial Narrow" w:hAnsi="Arial Narrow"/>
                <w:b/>
                <w:bCs/>
                <w:color w:val="000000" w:themeColor="text1"/>
                <w:sz w:val="20"/>
                <w:szCs w:val="20"/>
              </w:rPr>
              <w:t>Restated Amount as of December 31, 2022 - Year End Bonus (Operating Fund)</w:t>
            </w:r>
          </w:p>
        </w:tc>
        <w:tc>
          <w:tcPr>
            <w:tcW w:w="1716" w:type="dxa"/>
            <w:tcBorders>
              <w:top w:val="single" w:sz="4" w:space="0" w:color="auto"/>
              <w:left w:val="nil"/>
              <w:bottom w:val="double" w:sz="6" w:space="0" w:color="auto"/>
              <w:right w:val="nil"/>
            </w:tcBorders>
            <w:shd w:val="clear" w:color="auto" w:fill="auto"/>
            <w:noWrap/>
            <w:hideMark/>
          </w:tcPr>
          <w:p w14:paraId="241DB747" w14:textId="16F1919E" w:rsidR="000E6ECD" w:rsidRPr="009E35ED" w:rsidRDefault="000E6ECD" w:rsidP="000E6ECD">
            <w:pPr>
              <w:ind w:left="0"/>
              <w:jc w:val="right"/>
              <w:rPr>
                <w:rFonts w:ascii="Arial Narrow" w:hAnsi="Arial Narrow" w:cs="Arial"/>
                <w:b/>
                <w:bCs/>
                <w:color w:val="000000" w:themeColor="text1"/>
                <w:sz w:val="20"/>
                <w:szCs w:val="20"/>
                <w:lang w:val="en-PH" w:eastAsia="en-PH"/>
              </w:rPr>
            </w:pPr>
            <w:r w:rsidRPr="009E35ED">
              <w:rPr>
                <w:rFonts w:ascii="Arial Narrow" w:hAnsi="Arial Narrow"/>
                <w:b/>
                <w:bCs/>
                <w:color w:val="000000" w:themeColor="text1"/>
                <w:sz w:val="20"/>
                <w:szCs w:val="20"/>
              </w:rPr>
              <w:t xml:space="preserve"> 103,765,915 </w:t>
            </w:r>
          </w:p>
        </w:tc>
      </w:tr>
      <w:tr w:rsidR="00997F75" w:rsidRPr="009E35ED" w14:paraId="05551DC1" w14:textId="77777777" w:rsidTr="00B90388">
        <w:trPr>
          <w:trHeight w:val="17"/>
        </w:trPr>
        <w:tc>
          <w:tcPr>
            <w:tcW w:w="7286" w:type="dxa"/>
            <w:tcBorders>
              <w:top w:val="nil"/>
              <w:left w:val="nil"/>
              <w:bottom w:val="nil"/>
              <w:right w:val="nil"/>
            </w:tcBorders>
            <w:shd w:val="clear" w:color="auto" w:fill="auto"/>
            <w:vAlign w:val="bottom"/>
            <w:hideMark/>
          </w:tcPr>
          <w:p w14:paraId="3EBD494C" w14:textId="77777777" w:rsidR="008F0E57" w:rsidRPr="009E35ED" w:rsidRDefault="008F0E57" w:rsidP="008F0E57">
            <w:pPr>
              <w:ind w:left="0"/>
              <w:jc w:val="left"/>
              <w:rPr>
                <w:rFonts w:ascii="Arial Narrow" w:hAnsi="Arial Narrow" w:cs="Arial"/>
                <w:b/>
                <w:bCs/>
                <w:color w:val="000000" w:themeColor="text1"/>
                <w:sz w:val="20"/>
                <w:szCs w:val="20"/>
                <w:lang w:val="en-PH" w:eastAsia="en-PH"/>
              </w:rPr>
            </w:pPr>
          </w:p>
        </w:tc>
        <w:tc>
          <w:tcPr>
            <w:tcW w:w="1716" w:type="dxa"/>
            <w:tcBorders>
              <w:top w:val="nil"/>
              <w:left w:val="nil"/>
              <w:bottom w:val="nil"/>
              <w:right w:val="nil"/>
            </w:tcBorders>
            <w:shd w:val="clear" w:color="auto" w:fill="auto"/>
            <w:noWrap/>
            <w:vAlign w:val="bottom"/>
            <w:hideMark/>
          </w:tcPr>
          <w:p w14:paraId="7EB1C811" w14:textId="77777777" w:rsidR="008F0E57" w:rsidRPr="009E35ED" w:rsidRDefault="008F0E57" w:rsidP="008F0E57">
            <w:pPr>
              <w:ind w:left="0"/>
              <w:jc w:val="right"/>
              <w:rPr>
                <w:rFonts w:ascii="Arial Narrow" w:hAnsi="Arial Narrow"/>
                <w:color w:val="000000" w:themeColor="text1"/>
                <w:sz w:val="20"/>
                <w:szCs w:val="20"/>
                <w:lang w:val="en-PH" w:eastAsia="en-PH"/>
              </w:rPr>
            </w:pPr>
          </w:p>
        </w:tc>
      </w:tr>
      <w:tr w:rsidR="00997F75" w:rsidRPr="009E35ED" w14:paraId="43F5D626" w14:textId="77777777" w:rsidTr="00860ED6">
        <w:trPr>
          <w:trHeight w:val="103"/>
        </w:trPr>
        <w:tc>
          <w:tcPr>
            <w:tcW w:w="7286" w:type="dxa"/>
            <w:tcBorders>
              <w:top w:val="nil"/>
              <w:left w:val="nil"/>
              <w:bottom w:val="nil"/>
              <w:right w:val="nil"/>
            </w:tcBorders>
            <w:shd w:val="clear" w:color="auto" w:fill="auto"/>
            <w:hideMark/>
          </w:tcPr>
          <w:p w14:paraId="2D63260B" w14:textId="6E8E9101" w:rsidR="001D23F9" w:rsidRPr="009E35ED" w:rsidRDefault="001D23F9" w:rsidP="001D23F9">
            <w:pPr>
              <w:ind w:left="0"/>
              <w:jc w:val="left"/>
              <w:rPr>
                <w:rFonts w:ascii="Arial Narrow" w:hAnsi="Arial Narrow" w:cs="Arial"/>
                <w:color w:val="000000" w:themeColor="text1"/>
                <w:sz w:val="20"/>
                <w:szCs w:val="20"/>
                <w:lang w:val="en-PH" w:eastAsia="en-PH"/>
              </w:rPr>
            </w:pPr>
            <w:r w:rsidRPr="009E35ED">
              <w:rPr>
                <w:rFonts w:ascii="Arial Narrow" w:hAnsi="Arial Narrow"/>
                <w:color w:val="000000" w:themeColor="text1"/>
                <w:sz w:val="20"/>
                <w:szCs w:val="20"/>
              </w:rPr>
              <w:t xml:space="preserve">Unrestated </w:t>
            </w:r>
            <w:r w:rsidR="00C53760">
              <w:rPr>
                <w:rFonts w:ascii="Arial Narrow" w:hAnsi="Arial Narrow"/>
                <w:color w:val="000000" w:themeColor="text1"/>
                <w:sz w:val="20"/>
                <w:szCs w:val="20"/>
              </w:rPr>
              <w:t>a</w:t>
            </w:r>
            <w:r w:rsidRPr="009E35ED">
              <w:rPr>
                <w:rFonts w:ascii="Arial Narrow" w:hAnsi="Arial Narrow"/>
                <w:color w:val="000000" w:themeColor="text1"/>
                <w:sz w:val="20"/>
                <w:szCs w:val="20"/>
              </w:rPr>
              <w:t>mount as of December 31, 2022</w:t>
            </w:r>
          </w:p>
        </w:tc>
        <w:tc>
          <w:tcPr>
            <w:tcW w:w="1716" w:type="dxa"/>
            <w:tcBorders>
              <w:top w:val="nil"/>
              <w:left w:val="nil"/>
              <w:bottom w:val="nil"/>
              <w:right w:val="nil"/>
            </w:tcBorders>
            <w:shd w:val="clear" w:color="auto" w:fill="auto"/>
            <w:noWrap/>
          </w:tcPr>
          <w:p w14:paraId="4FB73EEC" w14:textId="37210433" w:rsidR="001D23F9" w:rsidRPr="009E35ED" w:rsidRDefault="001D23F9" w:rsidP="001D23F9">
            <w:pPr>
              <w:ind w:left="0"/>
              <w:jc w:val="right"/>
              <w:rPr>
                <w:rFonts w:ascii="Arial Narrow" w:hAnsi="Arial Narrow" w:cs="Arial"/>
                <w:color w:val="000000" w:themeColor="text1"/>
                <w:sz w:val="20"/>
                <w:szCs w:val="20"/>
                <w:lang w:val="en-PH" w:eastAsia="en-PH"/>
              </w:rPr>
            </w:pPr>
            <w:r w:rsidRPr="009E35ED">
              <w:rPr>
                <w:rFonts w:ascii="Arial Narrow" w:hAnsi="Arial Narrow"/>
                <w:color w:val="000000" w:themeColor="text1"/>
                <w:sz w:val="20"/>
                <w:szCs w:val="20"/>
              </w:rPr>
              <w:t xml:space="preserve"> 56,472,000 </w:t>
            </w:r>
          </w:p>
        </w:tc>
      </w:tr>
      <w:tr w:rsidR="00997F75" w:rsidRPr="009E35ED" w14:paraId="45DA2963" w14:textId="77777777" w:rsidTr="00C26DA1">
        <w:trPr>
          <w:trHeight w:val="75"/>
        </w:trPr>
        <w:tc>
          <w:tcPr>
            <w:tcW w:w="7286" w:type="dxa"/>
            <w:tcBorders>
              <w:top w:val="nil"/>
              <w:left w:val="nil"/>
              <w:bottom w:val="nil"/>
              <w:right w:val="nil"/>
            </w:tcBorders>
            <w:shd w:val="clear" w:color="auto" w:fill="auto"/>
            <w:hideMark/>
          </w:tcPr>
          <w:p w14:paraId="432EA63E" w14:textId="1F1A43FB" w:rsidR="001D23F9" w:rsidRPr="009E35ED" w:rsidRDefault="001D23F9" w:rsidP="001D23F9">
            <w:pPr>
              <w:ind w:left="0"/>
              <w:jc w:val="left"/>
              <w:rPr>
                <w:rFonts w:ascii="Arial Narrow" w:hAnsi="Arial Narrow" w:cs="Arial"/>
                <w:color w:val="000000" w:themeColor="text1"/>
                <w:sz w:val="20"/>
                <w:szCs w:val="20"/>
                <w:lang w:val="en-PH" w:eastAsia="en-PH"/>
              </w:rPr>
            </w:pPr>
            <w:r w:rsidRPr="009E35ED">
              <w:rPr>
                <w:rFonts w:ascii="Arial Narrow" w:hAnsi="Arial Narrow"/>
                <w:color w:val="000000" w:themeColor="text1"/>
                <w:sz w:val="20"/>
                <w:szCs w:val="20"/>
              </w:rPr>
              <w:t xml:space="preserve">Adjustment/Recording of </w:t>
            </w:r>
            <w:r w:rsidR="00C53760">
              <w:rPr>
                <w:rFonts w:ascii="Arial Narrow" w:hAnsi="Arial Narrow"/>
                <w:color w:val="000000" w:themeColor="text1"/>
                <w:sz w:val="20"/>
                <w:szCs w:val="20"/>
              </w:rPr>
              <w:t>g</w:t>
            </w:r>
            <w:r w:rsidRPr="009E35ED">
              <w:rPr>
                <w:rFonts w:ascii="Arial Narrow" w:hAnsi="Arial Narrow"/>
                <w:color w:val="000000" w:themeColor="text1"/>
                <w:sz w:val="20"/>
                <w:szCs w:val="20"/>
              </w:rPr>
              <w:t xml:space="preserve">rocery </w:t>
            </w:r>
            <w:r w:rsidR="00C53760">
              <w:rPr>
                <w:rFonts w:ascii="Arial Narrow" w:hAnsi="Arial Narrow"/>
                <w:color w:val="000000" w:themeColor="text1"/>
                <w:sz w:val="20"/>
                <w:szCs w:val="20"/>
              </w:rPr>
              <w:t>b</w:t>
            </w:r>
            <w:r w:rsidRPr="009E35ED">
              <w:rPr>
                <w:rFonts w:ascii="Arial Narrow" w:hAnsi="Arial Narrow"/>
                <w:color w:val="000000" w:themeColor="text1"/>
                <w:sz w:val="20"/>
                <w:szCs w:val="20"/>
              </w:rPr>
              <w:t>onus-Head Office</w:t>
            </w:r>
          </w:p>
        </w:tc>
        <w:tc>
          <w:tcPr>
            <w:tcW w:w="1716" w:type="dxa"/>
            <w:tcBorders>
              <w:top w:val="nil"/>
              <w:left w:val="nil"/>
              <w:bottom w:val="nil"/>
              <w:right w:val="nil"/>
            </w:tcBorders>
            <w:shd w:val="clear" w:color="auto" w:fill="auto"/>
            <w:noWrap/>
          </w:tcPr>
          <w:p w14:paraId="6FAC738F" w14:textId="08AAEA21" w:rsidR="001D23F9" w:rsidRPr="009E35ED" w:rsidRDefault="001D23F9" w:rsidP="001D23F9">
            <w:pPr>
              <w:ind w:left="0"/>
              <w:jc w:val="right"/>
              <w:rPr>
                <w:rFonts w:ascii="Arial Narrow" w:hAnsi="Arial Narrow" w:cs="Arial"/>
                <w:color w:val="000000" w:themeColor="text1"/>
                <w:sz w:val="20"/>
                <w:szCs w:val="20"/>
                <w:lang w:val="en-PH" w:eastAsia="en-PH"/>
              </w:rPr>
            </w:pPr>
            <w:r w:rsidRPr="009E35ED">
              <w:rPr>
                <w:rFonts w:ascii="Arial Narrow" w:hAnsi="Arial Narrow"/>
                <w:color w:val="000000" w:themeColor="text1"/>
                <w:sz w:val="20"/>
                <w:szCs w:val="20"/>
              </w:rPr>
              <w:t xml:space="preserve"> (480,000)</w:t>
            </w:r>
          </w:p>
        </w:tc>
      </w:tr>
      <w:tr w:rsidR="00997F75" w:rsidRPr="009E35ED" w14:paraId="26DB6150" w14:textId="77777777" w:rsidTr="00C26DA1">
        <w:trPr>
          <w:trHeight w:val="75"/>
        </w:trPr>
        <w:tc>
          <w:tcPr>
            <w:tcW w:w="7286" w:type="dxa"/>
            <w:tcBorders>
              <w:top w:val="nil"/>
              <w:left w:val="nil"/>
              <w:bottom w:val="nil"/>
              <w:right w:val="nil"/>
            </w:tcBorders>
            <w:shd w:val="clear" w:color="auto" w:fill="auto"/>
            <w:hideMark/>
          </w:tcPr>
          <w:p w14:paraId="5D729F4B" w14:textId="3FEFD53D" w:rsidR="001D23F9" w:rsidRPr="009E35ED" w:rsidRDefault="001D23F9" w:rsidP="001D23F9">
            <w:pPr>
              <w:ind w:left="0"/>
              <w:jc w:val="left"/>
              <w:rPr>
                <w:rFonts w:ascii="Arial Narrow" w:hAnsi="Arial Narrow" w:cs="Arial"/>
                <w:color w:val="000000" w:themeColor="text1"/>
                <w:sz w:val="20"/>
                <w:szCs w:val="20"/>
                <w:lang w:val="en-PH" w:eastAsia="en-PH"/>
              </w:rPr>
            </w:pPr>
            <w:r w:rsidRPr="009E35ED">
              <w:rPr>
                <w:rFonts w:ascii="Arial Narrow" w:hAnsi="Arial Narrow"/>
                <w:color w:val="000000" w:themeColor="text1"/>
                <w:sz w:val="20"/>
                <w:szCs w:val="20"/>
              </w:rPr>
              <w:t xml:space="preserve">Adjustment/Recording of </w:t>
            </w:r>
            <w:r w:rsidR="00C53760">
              <w:rPr>
                <w:rFonts w:ascii="Arial Narrow" w:hAnsi="Arial Narrow"/>
                <w:color w:val="000000" w:themeColor="text1"/>
                <w:sz w:val="20"/>
                <w:szCs w:val="20"/>
              </w:rPr>
              <w:t>r</w:t>
            </w:r>
            <w:r w:rsidRPr="009E35ED">
              <w:rPr>
                <w:rFonts w:ascii="Arial Narrow" w:hAnsi="Arial Narrow"/>
                <w:color w:val="000000" w:themeColor="text1"/>
                <w:sz w:val="20"/>
                <w:szCs w:val="20"/>
              </w:rPr>
              <w:t xml:space="preserve">ice </w:t>
            </w:r>
            <w:r w:rsidR="00C53760">
              <w:rPr>
                <w:rFonts w:ascii="Arial Narrow" w:hAnsi="Arial Narrow"/>
                <w:color w:val="000000" w:themeColor="text1"/>
                <w:sz w:val="20"/>
                <w:szCs w:val="20"/>
              </w:rPr>
              <w:t>a</w:t>
            </w:r>
            <w:r w:rsidRPr="009E35ED">
              <w:rPr>
                <w:rFonts w:ascii="Arial Narrow" w:hAnsi="Arial Narrow"/>
                <w:color w:val="000000" w:themeColor="text1"/>
                <w:sz w:val="20"/>
                <w:szCs w:val="20"/>
              </w:rPr>
              <w:t>llowance-Head Office</w:t>
            </w:r>
          </w:p>
        </w:tc>
        <w:tc>
          <w:tcPr>
            <w:tcW w:w="1716" w:type="dxa"/>
            <w:tcBorders>
              <w:top w:val="nil"/>
              <w:left w:val="nil"/>
              <w:bottom w:val="nil"/>
              <w:right w:val="nil"/>
            </w:tcBorders>
            <w:shd w:val="clear" w:color="auto" w:fill="auto"/>
            <w:noWrap/>
          </w:tcPr>
          <w:p w14:paraId="1155E268" w14:textId="1FE4A00C" w:rsidR="001D23F9" w:rsidRPr="009E35ED" w:rsidRDefault="001D23F9" w:rsidP="001D23F9">
            <w:pPr>
              <w:ind w:left="0"/>
              <w:jc w:val="right"/>
              <w:rPr>
                <w:rFonts w:ascii="Arial Narrow" w:hAnsi="Arial Narrow" w:cs="Arial"/>
                <w:color w:val="000000" w:themeColor="text1"/>
                <w:sz w:val="20"/>
                <w:szCs w:val="20"/>
                <w:lang w:val="en-PH" w:eastAsia="en-PH"/>
              </w:rPr>
            </w:pPr>
            <w:r w:rsidRPr="009E35ED">
              <w:rPr>
                <w:rFonts w:ascii="Arial Narrow" w:hAnsi="Arial Narrow"/>
                <w:color w:val="000000" w:themeColor="text1"/>
                <w:sz w:val="20"/>
                <w:szCs w:val="20"/>
              </w:rPr>
              <w:t xml:space="preserve"> (288,000)</w:t>
            </w:r>
          </w:p>
        </w:tc>
      </w:tr>
      <w:tr w:rsidR="00997F75" w:rsidRPr="009E35ED" w14:paraId="7346B760" w14:textId="77777777" w:rsidTr="00C26DA1">
        <w:trPr>
          <w:trHeight w:val="75"/>
        </w:trPr>
        <w:tc>
          <w:tcPr>
            <w:tcW w:w="7286" w:type="dxa"/>
            <w:tcBorders>
              <w:top w:val="nil"/>
              <w:left w:val="nil"/>
              <w:bottom w:val="nil"/>
              <w:right w:val="nil"/>
            </w:tcBorders>
            <w:shd w:val="clear" w:color="auto" w:fill="auto"/>
          </w:tcPr>
          <w:p w14:paraId="34A3194D" w14:textId="65F101CA" w:rsidR="001D23F9" w:rsidRPr="009E35ED" w:rsidRDefault="001D23F9" w:rsidP="001D23F9">
            <w:pPr>
              <w:ind w:left="0"/>
              <w:jc w:val="left"/>
              <w:rPr>
                <w:rFonts w:ascii="Arial Narrow" w:hAnsi="Arial Narrow" w:cs="Arial"/>
                <w:color w:val="000000" w:themeColor="text1"/>
                <w:sz w:val="20"/>
                <w:szCs w:val="20"/>
                <w:lang w:val="en-PH" w:eastAsia="en-PH"/>
              </w:rPr>
            </w:pPr>
            <w:r w:rsidRPr="009E35ED">
              <w:rPr>
                <w:rFonts w:ascii="Arial Narrow" w:hAnsi="Arial Narrow"/>
                <w:color w:val="000000" w:themeColor="text1"/>
                <w:sz w:val="20"/>
                <w:szCs w:val="20"/>
              </w:rPr>
              <w:t xml:space="preserve">Adjustment/Recording of </w:t>
            </w:r>
            <w:r w:rsidR="00C53760">
              <w:rPr>
                <w:rFonts w:ascii="Arial Narrow" w:hAnsi="Arial Narrow"/>
                <w:color w:val="000000" w:themeColor="text1"/>
                <w:sz w:val="20"/>
                <w:szCs w:val="20"/>
              </w:rPr>
              <w:t>c</w:t>
            </w:r>
            <w:r w:rsidRPr="009E35ED">
              <w:rPr>
                <w:rFonts w:ascii="Arial Narrow" w:hAnsi="Arial Narrow"/>
                <w:color w:val="000000" w:themeColor="text1"/>
                <w:sz w:val="20"/>
                <w:szCs w:val="20"/>
              </w:rPr>
              <w:t xml:space="preserve">hristmas </w:t>
            </w:r>
            <w:r w:rsidR="00C53760">
              <w:rPr>
                <w:rFonts w:ascii="Arial Narrow" w:hAnsi="Arial Narrow"/>
                <w:color w:val="000000" w:themeColor="text1"/>
                <w:sz w:val="20"/>
                <w:szCs w:val="20"/>
              </w:rPr>
              <w:t>b</w:t>
            </w:r>
            <w:r w:rsidRPr="009E35ED">
              <w:rPr>
                <w:rFonts w:ascii="Arial Narrow" w:hAnsi="Arial Narrow"/>
                <w:color w:val="000000" w:themeColor="text1"/>
                <w:sz w:val="20"/>
                <w:szCs w:val="20"/>
              </w:rPr>
              <w:t>onus-Head Office</w:t>
            </w:r>
          </w:p>
        </w:tc>
        <w:tc>
          <w:tcPr>
            <w:tcW w:w="1716" w:type="dxa"/>
            <w:tcBorders>
              <w:top w:val="nil"/>
              <w:left w:val="nil"/>
              <w:bottom w:val="nil"/>
              <w:right w:val="nil"/>
            </w:tcBorders>
            <w:shd w:val="clear" w:color="auto" w:fill="auto"/>
            <w:noWrap/>
          </w:tcPr>
          <w:p w14:paraId="700E6507" w14:textId="20DCBEB5" w:rsidR="001D23F9" w:rsidRPr="009E35ED" w:rsidRDefault="001D23F9" w:rsidP="001D23F9">
            <w:pPr>
              <w:ind w:left="0"/>
              <w:jc w:val="right"/>
              <w:rPr>
                <w:rFonts w:ascii="Arial Narrow" w:hAnsi="Arial Narrow" w:cs="Arial"/>
                <w:color w:val="000000" w:themeColor="text1"/>
                <w:sz w:val="20"/>
                <w:szCs w:val="20"/>
                <w:lang w:val="en-PH" w:eastAsia="en-PH"/>
              </w:rPr>
            </w:pPr>
            <w:r w:rsidRPr="009E35ED">
              <w:rPr>
                <w:rFonts w:ascii="Arial Narrow" w:hAnsi="Arial Narrow"/>
                <w:color w:val="000000" w:themeColor="text1"/>
                <w:sz w:val="20"/>
                <w:szCs w:val="20"/>
              </w:rPr>
              <w:t xml:space="preserve"> (851,330)</w:t>
            </w:r>
          </w:p>
        </w:tc>
      </w:tr>
      <w:tr w:rsidR="00997F75" w:rsidRPr="009E35ED" w14:paraId="1DE0D121" w14:textId="77777777" w:rsidTr="00C26DA1">
        <w:trPr>
          <w:trHeight w:val="75"/>
        </w:trPr>
        <w:tc>
          <w:tcPr>
            <w:tcW w:w="7286" w:type="dxa"/>
            <w:tcBorders>
              <w:top w:val="nil"/>
              <w:left w:val="nil"/>
              <w:bottom w:val="nil"/>
              <w:right w:val="nil"/>
            </w:tcBorders>
            <w:shd w:val="clear" w:color="auto" w:fill="auto"/>
          </w:tcPr>
          <w:p w14:paraId="3EA8085C" w14:textId="4A0E1058" w:rsidR="001D23F9" w:rsidRPr="009E35ED" w:rsidRDefault="001D23F9" w:rsidP="001D23F9">
            <w:pPr>
              <w:ind w:left="0"/>
              <w:jc w:val="left"/>
              <w:rPr>
                <w:rFonts w:ascii="Arial Narrow" w:hAnsi="Arial Narrow" w:cs="Arial"/>
                <w:color w:val="000000" w:themeColor="text1"/>
                <w:sz w:val="20"/>
                <w:szCs w:val="20"/>
                <w:lang w:val="en-PH" w:eastAsia="en-PH"/>
              </w:rPr>
            </w:pPr>
            <w:r w:rsidRPr="009E35ED">
              <w:rPr>
                <w:rFonts w:ascii="Arial Narrow" w:hAnsi="Arial Narrow"/>
                <w:color w:val="000000" w:themeColor="text1"/>
                <w:sz w:val="20"/>
                <w:szCs w:val="20"/>
              </w:rPr>
              <w:t xml:space="preserve">Adjustment/Recording of </w:t>
            </w:r>
            <w:r w:rsidR="00C53760">
              <w:rPr>
                <w:rFonts w:ascii="Arial Narrow" w:hAnsi="Arial Narrow"/>
                <w:color w:val="000000" w:themeColor="text1"/>
                <w:sz w:val="20"/>
                <w:szCs w:val="20"/>
              </w:rPr>
              <w:t>r</w:t>
            </w:r>
            <w:r w:rsidRPr="009E35ED">
              <w:rPr>
                <w:rFonts w:ascii="Arial Narrow" w:hAnsi="Arial Narrow"/>
                <w:color w:val="000000" w:themeColor="text1"/>
                <w:sz w:val="20"/>
                <w:szCs w:val="20"/>
              </w:rPr>
              <w:t xml:space="preserve">evenue </w:t>
            </w:r>
            <w:r w:rsidR="00C53760">
              <w:rPr>
                <w:rFonts w:ascii="Arial Narrow" w:hAnsi="Arial Narrow"/>
                <w:color w:val="000000" w:themeColor="text1"/>
                <w:sz w:val="20"/>
                <w:szCs w:val="20"/>
              </w:rPr>
              <w:t>p</w:t>
            </w:r>
            <w:r w:rsidRPr="009E35ED">
              <w:rPr>
                <w:rFonts w:ascii="Arial Narrow" w:hAnsi="Arial Narrow"/>
                <w:color w:val="000000" w:themeColor="text1"/>
                <w:sz w:val="20"/>
                <w:szCs w:val="20"/>
              </w:rPr>
              <w:t xml:space="preserve">erformance </w:t>
            </w:r>
            <w:r w:rsidR="00C53760">
              <w:rPr>
                <w:rFonts w:ascii="Arial Narrow" w:hAnsi="Arial Narrow"/>
                <w:color w:val="000000" w:themeColor="text1"/>
                <w:sz w:val="20"/>
                <w:szCs w:val="20"/>
              </w:rPr>
              <w:t>i</w:t>
            </w:r>
            <w:r w:rsidRPr="009E35ED">
              <w:rPr>
                <w:rFonts w:ascii="Arial Narrow" w:hAnsi="Arial Narrow"/>
                <w:color w:val="000000" w:themeColor="text1"/>
                <w:sz w:val="20"/>
                <w:szCs w:val="20"/>
              </w:rPr>
              <w:t xml:space="preserve">ncentive </w:t>
            </w:r>
            <w:r w:rsidR="00C53760">
              <w:rPr>
                <w:rFonts w:ascii="Arial Narrow" w:hAnsi="Arial Narrow"/>
                <w:color w:val="000000" w:themeColor="text1"/>
                <w:sz w:val="20"/>
                <w:szCs w:val="20"/>
              </w:rPr>
              <w:t>p</w:t>
            </w:r>
            <w:r w:rsidRPr="009E35ED">
              <w:rPr>
                <w:rFonts w:ascii="Arial Narrow" w:hAnsi="Arial Narrow"/>
                <w:color w:val="000000" w:themeColor="text1"/>
                <w:sz w:val="20"/>
                <w:szCs w:val="20"/>
              </w:rPr>
              <w:t>ay - Head Office</w:t>
            </w:r>
          </w:p>
        </w:tc>
        <w:tc>
          <w:tcPr>
            <w:tcW w:w="1716" w:type="dxa"/>
            <w:tcBorders>
              <w:top w:val="nil"/>
              <w:left w:val="nil"/>
              <w:bottom w:val="nil"/>
              <w:right w:val="nil"/>
            </w:tcBorders>
            <w:shd w:val="clear" w:color="auto" w:fill="auto"/>
            <w:noWrap/>
          </w:tcPr>
          <w:p w14:paraId="4F557E73" w14:textId="4F8CF122" w:rsidR="001D23F9" w:rsidRPr="009E35ED" w:rsidRDefault="001D23F9" w:rsidP="001D23F9">
            <w:pPr>
              <w:ind w:left="0"/>
              <w:jc w:val="right"/>
              <w:rPr>
                <w:rFonts w:ascii="Arial Narrow" w:hAnsi="Arial Narrow" w:cs="Arial"/>
                <w:color w:val="000000" w:themeColor="text1"/>
                <w:sz w:val="20"/>
                <w:szCs w:val="20"/>
                <w:lang w:val="en-PH" w:eastAsia="en-PH"/>
              </w:rPr>
            </w:pPr>
            <w:r w:rsidRPr="009E35ED">
              <w:rPr>
                <w:rFonts w:ascii="Arial Narrow" w:hAnsi="Arial Narrow"/>
                <w:color w:val="000000" w:themeColor="text1"/>
                <w:sz w:val="20"/>
                <w:szCs w:val="20"/>
              </w:rPr>
              <w:t xml:space="preserve"> (80,000)</w:t>
            </w:r>
          </w:p>
        </w:tc>
      </w:tr>
      <w:tr w:rsidR="00997F75" w:rsidRPr="009E35ED" w14:paraId="5358B1FC" w14:textId="77777777" w:rsidTr="00C26DA1">
        <w:trPr>
          <w:trHeight w:val="75"/>
        </w:trPr>
        <w:tc>
          <w:tcPr>
            <w:tcW w:w="7286" w:type="dxa"/>
            <w:tcBorders>
              <w:top w:val="nil"/>
              <w:left w:val="nil"/>
              <w:bottom w:val="nil"/>
              <w:right w:val="nil"/>
            </w:tcBorders>
            <w:shd w:val="clear" w:color="auto" w:fill="auto"/>
          </w:tcPr>
          <w:p w14:paraId="141010DD" w14:textId="499D972E" w:rsidR="001D23F9" w:rsidRPr="009E35ED" w:rsidRDefault="001D23F9" w:rsidP="001D23F9">
            <w:pPr>
              <w:ind w:left="0"/>
              <w:jc w:val="left"/>
              <w:rPr>
                <w:rFonts w:ascii="Arial Narrow" w:hAnsi="Arial Narrow" w:cs="Arial"/>
                <w:color w:val="000000" w:themeColor="text1"/>
                <w:sz w:val="20"/>
                <w:szCs w:val="20"/>
                <w:lang w:val="en-PH" w:eastAsia="en-PH"/>
              </w:rPr>
            </w:pPr>
            <w:r w:rsidRPr="009E35ED">
              <w:rPr>
                <w:rFonts w:ascii="Arial Narrow" w:hAnsi="Arial Narrow"/>
                <w:color w:val="000000" w:themeColor="text1"/>
                <w:sz w:val="20"/>
                <w:szCs w:val="20"/>
              </w:rPr>
              <w:t xml:space="preserve">Adjustment/Recording of </w:t>
            </w:r>
            <w:r w:rsidR="00C53760">
              <w:rPr>
                <w:rFonts w:ascii="Arial Narrow" w:hAnsi="Arial Narrow"/>
                <w:color w:val="000000" w:themeColor="text1"/>
                <w:sz w:val="20"/>
                <w:szCs w:val="20"/>
              </w:rPr>
              <w:t>a</w:t>
            </w:r>
            <w:r w:rsidRPr="009E35ED">
              <w:rPr>
                <w:rFonts w:ascii="Arial Narrow" w:hAnsi="Arial Narrow"/>
                <w:color w:val="000000" w:themeColor="text1"/>
                <w:sz w:val="20"/>
                <w:szCs w:val="20"/>
              </w:rPr>
              <w:t xml:space="preserve">nniversary </w:t>
            </w:r>
            <w:r w:rsidR="00C53760">
              <w:rPr>
                <w:rFonts w:ascii="Arial Narrow" w:hAnsi="Arial Narrow"/>
                <w:color w:val="000000" w:themeColor="text1"/>
                <w:sz w:val="20"/>
                <w:szCs w:val="20"/>
              </w:rPr>
              <w:t>b</w:t>
            </w:r>
            <w:r w:rsidRPr="009E35ED">
              <w:rPr>
                <w:rFonts w:ascii="Arial Narrow" w:hAnsi="Arial Narrow"/>
                <w:color w:val="000000" w:themeColor="text1"/>
                <w:sz w:val="20"/>
                <w:szCs w:val="20"/>
              </w:rPr>
              <w:t>onus-Head Office</w:t>
            </w:r>
          </w:p>
        </w:tc>
        <w:tc>
          <w:tcPr>
            <w:tcW w:w="1716" w:type="dxa"/>
            <w:tcBorders>
              <w:top w:val="nil"/>
              <w:left w:val="nil"/>
              <w:bottom w:val="nil"/>
              <w:right w:val="nil"/>
            </w:tcBorders>
            <w:shd w:val="clear" w:color="auto" w:fill="auto"/>
            <w:noWrap/>
          </w:tcPr>
          <w:p w14:paraId="47639BB1" w14:textId="6D0B74D9" w:rsidR="001D23F9" w:rsidRPr="009E35ED" w:rsidRDefault="001D23F9" w:rsidP="001D23F9">
            <w:pPr>
              <w:ind w:left="0"/>
              <w:jc w:val="right"/>
              <w:rPr>
                <w:rFonts w:ascii="Arial Narrow" w:hAnsi="Arial Narrow" w:cs="Arial"/>
                <w:color w:val="000000" w:themeColor="text1"/>
                <w:sz w:val="20"/>
                <w:szCs w:val="20"/>
                <w:lang w:val="en-PH" w:eastAsia="en-PH"/>
              </w:rPr>
            </w:pPr>
            <w:r w:rsidRPr="009E35ED">
              <w:rPr>
                <w:rFonts w:ascii="Arial Narrow" w:hAnsi="Arial Narrow"/>
                <w:color w:val="000000" w:themeColor="text1"/>
                <w:sz w:val="20"/>
                <w:szCs w:val="20"/>
              </w:rPr>
              <w:t xml:space="preserve"> (56,000)</w:t>
            </w:r>
          </w:p>
        </w:tc>
      </w:tr>
      <w:tr w:rsidR="00997F75" w:rsidRPr="009E35ED" w14:paraId="413B8CA4" w14:textId="77777777" w:rsidTr="00C26DA1">
        <w:trPr>
          <w:trHeight w:val="75"/>
        </w:trPr>
        <w:tc>
          <w:tcPr>
            <w:tcW w:w="7286" w:type="dxa"/>
            <w:tcBorders>
              <w:top w:val="nil"/>
              <w:left w:val="nil"/>
              <w:bottom w:val="nil"/>
              <w:right w:val="nil"/>
            </w:tcBorders>
            <w:shd w:val="clear" w:color="auto" w:fill="auto"/>
          </w:tcPr>
          <w:p w14:paraId="26982699" w14:textId="2B3404BC" w:rsidR="001D23F9" w:rsidRPr="009E35ED" w:rsidRDefault="001D23F9" w:rsidP="001D23F9">
            <w:pPr>
              <w:ind w:left="0"/>
              <w:jc w:val="left"/>
              <w:rPr>
                <w:rFonts w:ascii="Arial Narrow" w:hAnsi="Arial Narrow" w:cs="Arial"/>
                <w:color w:val="000000" w:themeColor="text1"/>
                <w:sz w:val="20"/>
                <w:szCs w:val="20"/>
                <w:lang w:val="en-PH" w:eastAsia="en-PH"/>
              </w:rPr>
            </w:pPr>
            <w:r w:rsidRPr="009E35ED">
              <w:rPr>
                <w:rFonts w:ascii="Arial Narrow" w:hAnsi="Arial Narrow"/>
                <w:color w:val="000000" w:themeColor="text1"/>
                <w:sz w:val="20"/>
                <w:szCs w:val="20"/>
              </w:rPr>
              <w:t xml:space="preserve">Adjustment/Recording of </w:t>
            </w:r>
            <w:r w:rsidR="00C53760">
              <w:rPr>
                <w:rFonts w:ascii="Arial Narrow" w:hAnsi="Arial Narrow"/>
                <w:color w:val="000000" w:themeColor="text1"/>
                <w:sz w:val="20"/>
                <w:szCs w:val="20"/>
              </w:rPr>
              <w:t>c</w:t>
            </w:r>
            <w:r w:rsidRPr="009E35ED">
              <w:rPr>
                <w:rFonts w:ascii="Arial Narrow" w:hAnsi="Arial Narrow"/>
                <w:color w:val="000000" w:themeColor="text1"/>
                <w:sz w:val="20"/>
                <w:szCs w:val="20"/>
              </w:rPr>
              <w:t xml:space="preserve">ollective </w:t>
            </w:r>
            <w:r w:rsidR="00C53760">
              <w:rPr>
                <w:rFonts w:ascii="Arial Narrow" w:hAnsi="Arial Narrow"/>
                <w:color w:val="000000" w:themeColor="text1"/>
                <w:sz w:val="20"/>
                <w:szCs w:val="20"/>
              </w:rPr>
              <w:t>n</w:t>
            </w:r>
            <w:r w:rsidRPr="009E35ED">
              <w:rPr>
                <w:rFonts w:ascii="Arial Narrow" w:hAnsi="Arial Narrow"/>
                <w:color w:val="000000" w:themeColor="text1"/>
                <w:sz w:val="20"/>
                <w:szCs w:val="20"/>
              </w:rPr>
              <w:t xml:space="preserve">egotiation </w:t>
            </w:r>
            <w:r w:rsidR="00C53760">
              <w:rPr>
                <w:rFonts w:ascii="Arial Narrow" w:hAnsi="Arial Narrow"/>
                <w:color w:val="000000" w:themeColor="text1"/>
                <w:sz w:val="20"/>
                <w:szCs w:val="20"/>
              </w:rPr>
              <w:t>a</w:t>
            </w:r>
            <w:r w:rsidRPr="009E35ED">
              <w:rPr>
                <w:rFonts w:ascii="Arial Narrow" w:hAnsi="Arial Narrow"/>
                <w:color w:val="000000" w:themeColor="text1"/>
                <w:sz w:val="20"/>
                <w:szCs w:val="20"/>
              </w:rPr>
              <w:t>greement-Head Office</w:t>
            </w:r>
          </w:p>
        </w:tc>
        <w:tc>
          <w:tcPr>
            <w:tcW w:w="1716" w:type="dxa"/>
            <w:tcBorders>
              <w:top w:val="nil"/>
              <w:left w:val="nil"/>
              <w:bottom w:val="nil"/>
              <w:right w:val="nil"/>
            </w:tcBorders>
            <w:shd w:val="clear" w:color="auto" w:fill="auto"/>
            <w:noWrap/>
          </w:tcPr>
          <w:p w14:paraId="360D8F34" w14:textId="6B8E9E51" w:rsidR="001D23F9" w:rsidRPr="009E35ED" w:rsidRDefault="001D23F9" w:rsidP="001D23F9">
            <w:pPr>
              <w:ind w:left="0"/>
              <w:jc w:val="right"/>
              <w:rPr>
                <w:rFonts w:ascii="Arial Narrow" w:hAnsi="Arial Narrow" w:cs="Arial"/>
                <w:color w:val="000000" w:themeColor="text1"/>
                <w:sz w:val="20"/>
                <w:szCs w:val="20"/>
                <w:lang w:val="en-PH" w:eastAsia="en-PH"/>
              </w:rPr>
            </w:pPr>
            <w:r w:rsidRPr="009E35ED">
              <w:rPr>
                <w:rFonts w:ascii="Arial Narrow" w:hAnsi="Arial Narrow"/>
                <w:color w:val="000000" w:themeColor="text1"/>
                <w:sz w:val="20"/>
                <w:szCs w:val="20"/>
              </w:rPr>
              <w:t xml:space="preserve"> (25,000)</w:t>
            </w:r>
          </w:p>
        </w:tc>
      </w:tr>
      <w:tr w:rsidR="00997F75" w:rsidRPr="009E35ED" w14:paraId="0FA7969F" w14:textId="77777777" w:rsidTr="00C26DA1">
        <w:trPr>
          <w:trHeight w:val="75"/>
        </w:trPr>
        <w:tc>
          <w:tcPr>
            <w:tcW w:w="7286" w:type="dxa"/>
            <w:tcBorders>
              <w:top w:val="nil"/>
              <w:left w:val="nil"/>
              <w:bottom w:val="nil"/>
              <w:right w:val="nil"/>
            </w:tcBorders>
            <w:shd w:val="clear" w:color="auto" w:fill="auto"/>
            <w:hideMark/>
          </w:tcPr>
          <w:p w14:paraId="4930F003" w14:textId="5CF0962C" w:rsidR="001D23F9" w:rsidRPr="009E35ED" w:rsidRDefault="001D23F9" w:rsidP="001D23F9">
            <w:pPr>
              <w:ind w:left="0"/>
              <w:jc w:val="left"/>
              <w:rPr>
                <w:rFonts w:ascii="Arial Narrow" w:hAnsi="Arial Narrow" w:cs="Arial"/>
                <w:color w:val="000000" w:themeColor="text1"/>
                <w:sz w:val="20"/>
                <w:szCs w:val="20"/>
                <w:lang w:val="en-PH" w:eastAsia="en-PH"/>
              </w:rPr>
            </w:pPr>
            <w:r w:rsidRPr="009E35ED">
              <w:rPr>
                <w:rFonts w:ascii="Arial Narrow" w:hAnsi="Arial Narrow"/>
                <w:color w:val="000000" w:themeColor="text1"/>
                <w:sz w:val="20"/>
                <w:szCs w:val="20"/>
              </w:rPr>
              <w:t xml:space="preserve">Adjustment/Recording of </w:t>
            </w:r>
            <w:r w:rsidR="00C53760">
              <w:rPr>
                <w:rFonts w:ascii="Arial Narrow" w:hAnsi="Arial Narrow"/>
                <w:color w:val="000000" w:themeColor="text1"/>
                <w:sz w:val="20"/>
                <w:szCs w:val="20"/>
              </w:rPr>
              <w:t>m</w:t>
            </w:r>
            <w:r w:rsidRPr="009E35ED">
              <w:rPr>
                <w:rFonts w:ascii="Arial Narrow" w:hAnsi="Arial Narrow"/>
                <w:color w:val="000000" w:themeColor="text1"/>
                <w:sz w:val="20"/>
                <w:szCs w:val="20"/>
              </w:rPr>
              <w:t xml:space="preserve">eal </w:t>
            </w:r>
            <w:r w:rsidR="00C53760">
              <w:rPr>
                <w:rFonts w:ascii="Arial Narrow" w:hAnsi="Arial Narrow"/>
                <w:color w:val="000000" w:themeColor="text1"/>
                <w:sz w:val="20"/>
                <w:szCs w:val="20"/>
              </w:rPr>
              <w:t>a</w:t>
            </w:r>
            <w:r w:rsidRPr="009E35ED">
              <w:rPr>
                <w:rFonts w:ascii="Arial Narrow" w:hAnsi="Arial Narrow"/>
                <w:color w:val="000000" w:themeColor="text1"/>
                <w:sz w:val="20"/>
                <w:szCs w:val="20"/>
              </w:rPr>
              <w:t>llowance - Branch</w:t>
            </w:r>
          </w:p>
        </w:tc>
        <w:tc>
          <w:tcPr>
            <w:tcW w:w="1716" w:type="dxa"/>
            <w:tcBorders>
              <w:top w:val="nil"/>
              <w:left w:val="nil"/>
              <w:bottom w:val="nil"/>
              <w:right w:val="nil"/>
            </w:tcBorders>
            <w:shd w:val="clear" w:color="auto" w:fill="auto"/>
            <w:noWrap/>
          </w:tcPr>
          <w:p w14:paraId="75747489" w14:textId="29B87736" w:rsidR="001D23F9" w:rsidRPr="009E35ED" w:rsidRDefault="001D23F9" w:rsidP="00C03EBC">
            <w:pPr>
              <w:ind w:left="0"/>
              <w:jc w:val="right"/>
              <w:rPr>
                <w:rFonts w:ascii="Arial Narrow" w:hAnsi="Arial Narrow" w:cs="Arial"/>
                <w:color w:val="000000" w:themeColor="text1"/>
                <w:sz w:val="20"/>
                <w:szCs w:val="20"/>
                <w:lang w:val="en-PH" w:eastAsia="en-PH"/>
              </w:rPr>
            </w:pPr>
            <w:r w:rsidRPr="009E35ED">
              <w:rPr>
                <w:rFonts w:ascii="Arial Narrow" w:hAnsi="Arial Narrow"/>
                <w:color w:val="000000" w:themeColor="text1"/>
                <w:sz w:val="20"/>
                <w:szCs w:val="20"/>
              </w:rPr>
              <w:t xml:space="preserve"> 38,27</w:t>
            </w:r>
            <w:r w:rsidR="00C03EBC" w:rsidRPr="009E35ED">
              <w:rPr>
                <w:rFonts w:ascii="Arial Narrow" w:hAnsi="Arial Narrow"/>
                <w:color w:val="000000" w:themeColor="text1"/>
                <w:sz w:val="20"/>
                <w:szCs w:val="20"/>
              </w:rPr>
              <w:t>9</w:t>
            </w:r>
            <w:r w:rsidRPr="009E35ED">
              <w:rPr>
                <w:rFonts w:ascii="Arial Narrow" w:hAnsi="Arial Narrow"/>
                <w:color w:val="000000" w:themeColor="text1"/>
                <w:sz w:val="20"/>
                <w:szCs w:val="20"/>
              </w:rPr>
              <w:t xml:space="preserve"> </w:t>
            </w:r>
          </w:p>
        </w:tc>
      </w:tr>
      <w:tr w:rsidR="00997F75" w:rsidRPr="009E35ED" w14:paraId="3DA0A975" w14:textId="77777777" w:rsidTr="00C26DA1">
        <w:trPr>
          <w:trHeight w:val="65"/>
        </w:trPr>
        <w:tc>
          <w:tcPr>
            <w:tcW w:w="7286" w:type="dxa"/>
            <w:tcBorders>
              <w:top w:val="single" w:sz="4" w:space="0" w:color="auto"/>
              <w:left w:val="nil"/>
              <w:bottom w:val="double" w:sz="6" w:space="0" w:color="auto"/>
              <w:right w:val="nil"/>
            </w:tcBorders>
            <w:shd w:val="clear" w:color="auto" w:fill="auto"/>
            <w:hideMark/>
          </w:tcPr>
          <w:p w14:paraId="2B4A0623" w14:textId="476CFCEF" w:rsidR="001D23F9" w:rsidRPr="009E35ED" w:rsidRDefault="001D23F9" w:rsidP="001D23F9">
            <w:pPr>
              <w:ind w:left="0"/>
              <w:jc w:val="left"/>
              <w:rPr>
                <w:rFonts w:ascii="Arial Narrow" w:hAnsi="Arial Narrow" w:cs="Arial"/>
                <w:b/>
                <w:bCs/>
                <w:color w:val="000000" w:themeColor="text1"/>
                <w:sz w:val="20"/>
                <w:szCs w:val="20"/>
                <w:lang w:val="en-PH" w:eastAsia="en-PH"/>
              </w:rPr>
            </w:pPr>
            <w:r w:rsidRPr="009E35ED">
              <w:rPr>
                <w:rFonts w:ascii="Arial Narrow" w:hAnsi="Arial Narrow"/>
                <w:b/>
                <w:bCs/>
                <w:color w:val="000000" w:themeColor="text1"/>
                <w:sz w:val="20"/>
                <w:szCs w:val="20"/>
              </w:rPr>
              <w:t>Restated Amount as of December 31, 2022 - Other Bonuses and Allowances (Operating Fund)</w:t>
            </w:r>
          </w:p>
        </w:tc>
        <w:tc>
          <w:tcPr>
            <w:tcW w:w="1716" w:type="dxa"/>
            <w:tcBorders>
              <w:top w:val="single" w:sz="4" w:space="0" w:color="auto"/>
              <w:left w:val="nil"/>
              <w:bottom w:val="double" w:sz="6" w:space="0" w:color="auto"/>
              <w:right w:val="nil"/>
            </w:tcBorders>
            <w:shd w:val="clear" w:color="auto" w:fill="auto"/>
            <w:noWrap/>
          </w:tcPr>
          <w:p w14:paraId="2E543DBF" w14:textId="77777777" w:rsidR="00D0688D" w:rsidRPr="009E35ED" w:rsidRDefault="00D0688D" w:rsidP="001D23F9">
            <w:pPr>
              <w:ind w:left="0"/>
              <w:jc w:val="right"/>
              <w:rPr>
                <w:rFonts w:ascii="Arial Narrow" w:hAnsi="Arial Narrow"/>
                <w:b/>
                <w:bCs/>
                <w:color w:val="000000" w:themeColor="text1"/>
                <w:sz w:val="20"/>
                <w:szCs w:val="20"/>
              </w:rPr>
            </w:pPr>
          </w:p>
          <w:p w14:paraId="51DA4548" w14:textId="52875EFF" w:rsidR="001D23F9" w:rsidRPr="009E35ED" w:rsidRDefault="001D23F9" w:rsidP="001D23F9">
            <w:pPr>
              <w:ind w:left="0"/>
              <w:jc w:val="right"/>
              <w:rPr>
                <w:rFonts w:ascii="Arial Narrow" w:hAnsi="Arial Narrow" w:cs="Arial"/>
                <w:b/>
                <w:bCs/>
                <w:color w:val="000000" w:themeColor="text1"/>
                <w:sz w:val="20"/>
                <w:szCs w:val="20"/>
                <w:lang w:val="en-PH" w:eastAsia="en-PH"/>
              </w:rPr>
            </w:pPr>
            <w:r w:rsidRPr="009E35ED">
              <w:rPr>
                <w:rFonts w:ascii="Arial Narrow" w:hAnsi="Arial Narrow"/>
                <w:b/>
                <w:bCs/>
                <w:color w:val="000000" w:themeColor="text1"/>
                <w:sz w:val="20"/>
                <w:szCs w:val="20"/>
              </w:rPr>
              <w:t xml:space="preserve"> 54,729,949 </w:t>
            </w:r>
          </w:p>
        </w:tc>
      </w:tr>
      <w:tr w:rsidR="00997F75" w:rsidRPr="009E35ED" w14:paraId="3DFCBD5B" w14:textId="77777777" w:rsidTr="00B90388">
        <w:trPr>
          <w:trHeight w:val="8"/>
        </w:trPr>
        <w:tc>
          <w:tcPr>
            <w:tcW w:w="7286" w:type="dxa"/>
            <w:tcBorders>
              <w:top w:val="nil"/>
              <w:left w:val="nil"/>
              <w:bottom w:val="nil"/>
              <w:right w:val="nil"/>
            </w:tcBorders>
            <w:shd w:val="clear" w:color="auto" w:fill="auto"/>
            <w:vAlign w:val="bottom"/>
          </w:tcPr>
          <w:p w14:paraId="5791C039" w14:textId="101D488C" w:rsidR="007D5CE4" w:rsidRPr="009E35ED" w:rsidRDefault="007D5CE4" w:rsidP="007D5CE4">
            <w:pPr>
              <w:ind w:left="0"/>
              <w:jc w:val="left"/>
              <w:rPr>
                <w:rFonts w:ascii="Arial Narrow" w:hAnsi="Arial Narrow" w:cs="Arial"/>
                <w:b/>
                <w:bCs/>
                <w:color w:val="000000" w:themeColor="text1"/>
                <w:sz w:val="20"/>
                <w:szCs w:val="20"/>
                <w:lang w:val="en-PH" w:eastAsia="en-PH"/>
              </w:rPr>
            </w:pPr>
          </w:p>
        </w:tc>
        <w:tc>
          <w:tcPr>
            <w:tcW w:w="1716" w:type="dxa"/>
            <w:tcBorders>
              <w:top w:val="nil"/>
              <w:left w:val="nil"/>
              <w:bottom w:val="nil"/>
              <w:right w:val="nil"/>
            </w:tcBorders>
            <w:shd w:val="clear" w:color="auto" w:fill="auto"/>
            <w:noWrap/>
            <w:vAlign w:val="bottom"/>
          </w:tcPr>
          <w:p w14:paraId="0D8838EE" w14:textId="592C35EA" w:rsidR="007D5CE4" w:rsidRPr="009E35ED" w:rsidRDefault="007D5CE4" w:rsidP="007D5CE4">
            <w:pPr>
              <w:ind w:left="0"/>
              <w:jc w:val="right"/>
              <w:rPr>
                <w:rFonts w:ascii="Arial Narrow" w:hAnsi="Arial Narrow"/>
                <w:color w:val="000000" w:themeColor="text1"/>
                <w:sz w:val="20"/>
                <w:szCs w:val="20"/>
                <w:lang w:val="en-PH" w:eastAsia="en-PH"/>
              </w:rPr>
            </w:pPr>
          </w:p>
        </w:tc>
      </w:tr>
      <w:tr w:rsidR="00997F75" w:rsidRPr="009E35ED" w14:paraId="75934D5C" w14:textId="77777777" w:rsidTr="00C26DA1">
        <w:trPr>
          <w:trHeight w:val="285"/>
        </w:trPr>
        <w:tc>
          <w:tcPr>
            <w:tcW w:w="7286" w:type="dxa"/>
            <w:tcBorders>
              <w:top w:val="nil"/>
              <w:left w:val="nil"/>
              <w:bottom w:val="nil"/>
              <w:right w:val="nil"/>
            </w:tcBorders>
            <w:shd w:val="clear" w:color="auto" w:fill="auto"/>
            <w:hideMark/>
          </w:tcPr>
          <w:p w14:paraId="23F91D0F" w14:textId="14BE0016" w:rsidR="00684CE2" w:rsidRPr="009E35ED" w:rsidRDefault="00684CE2" w:rsidP="00684CE2">
            <w:pPr>
              <w:ind w:left="0"/>
              <w:jc w:val="left"/>
              <w:rPr>
                <w:rFonts w:ascii="Arial Narrow" w:hAnsi="Arial Narrow" w:cs="Arial"/>
                <w:color w:val="000000" w:themeColor="text1"/>
                <w:sz w:val="20"/>
                <w:szCs w:val="20"/>
                <w:lang w:val="en-PH" w:eastAsia="en-PH"/>
              </w:rPr>
            </w:pPr>
            <w:r w:rsidRPr="009E35ED">
              <w:rPr>
                <w:rFonts w:ascii="Arial Narrow" w:hAnsi="Arial Narrow"/>
                <w:color w:val="000000" w:themeColor="text1"/>
                <w:sz w:val="20"/>
                <w:szCs w:val="20"/>
              </w:rPr>
              <w:t xml:space="preserve">Unrestated </w:t>
            </w:r>
            <w:r w:rsidR="00C53760">
              <w:rPr>
                <w:rFonts w:ascii="Arial Narrow" w:hAnsi="Arial Narrow"/>
                <w:color w:val="000000" w:themeColor="text1"/>
                <w:sz w:val="20"/>
                <w:szCs w:val="20"/>
              </w:rPr>
              <w:t>a</w:t>
            </w:r>
            <w:r w:rsidRPr="009E35ED">
              <w:rPr>
                <w:rFonts w:ascii="Arial Narrow" w:hAnsi="Arial Narrow"/>
                <w:color w:val="000000" w:themeColor="text1"/>
                <w:sz w:val="20"/>
                <w:szCs w:val="20"/>
              </w:rPr>
              <w:t>mount as of December 31, 2022</w:t>
            </w:r>
          </w:p>
        </w:tc>
        <w:tc>
          <w:tcPr>
            <w:tcW w:w="1716" w:type="dxa"/>
            <w:tcBorders>
              <w:top w:val="nil"/>
              <w:left w:val="nil"/>
              <w:bottom w:val="nil"/>
              <w:right w:val="nil"/>
            </w:tcBorders>
            <w:shd w:val="clear" w:color="auto" w:fill="auto"/>
            <w:noWrap/>
            <w:hideMark/>
          </w:tcPr>
          <w:p w14:paraId="26DC897D" w14:textId="6121037E" w:rsidR="00684CE2" w:rsidRPr="009E35ED" w:rsidRDefault="00684CE2" w:rsidP="00684CE2">
            <w:pPr>
              <w:ind w:left="0"/>
              <w:jc w:val="right"/>
              <w:rPr>
                <w:rFonts w:ascii="Arial Narrow" w:hAnsi="Arial Narrow" w:cs="Arial"/>
                <w:color w:val="000000" w:themeColor="text1"/>
                <w:sz w:val="20"/>
                <w:szCs w:val="20"/>
                <w:lang w:val="en-PH" w:eastAsia="en-PH"/>
              </w:rPr>
            </w:pPr>
            <w:r w:rsidRPr="009E35ED">
              <w:rPr>
                <w:rFonts w:ascii="Arial Narrow" w:hAnsi="Arial Narrow"/>
                <w:color w:val="000000" w:themeColor="text1"/>
                <w:sz w:val="20"/>
                <w:szCs w:val="20"/>
              </w:rPr>
              <w:t xml:space="preserve"> 75,130,985 </w:t>
            </w:r>
          </w:p>
        </w:tc>
      </w:tr>
      <w:tr w:rsidR="00997F75" w:rsidRPr="009E35ED" w14:paraId="6C0FDBB7" w14:textId="77777777" w:rsidTr="00C26DA1">
        <w:trPr>
          <w:trHeight w:val="75"/>
        </w:trPr>
        <w:tc>
          <w:tcPr>
            <w:tcW w:w="7286" w:type="dxa"/>
            <w:tcBorders>
              <w:top w:val="nil"/>
              <w:left w:val="nil"/>
              <w:bottom w:val="nil"/>
              <w:right w:val="nil"/>
            </w:tcBorders>
            <w:shd w:val="clear" w:color="auto" w:fill="auto"/>
            <w:hideMark/>
          </w:tcPr>
          <w:p w14:paraId="2F0BB12B" w14:textId="006AA60C" w:rsidR="00684CE2" w:rsidRPr="009E35ED" w:rsidRDefault="00684CE2" w:rsidP="00684CE2">
            <w:pPr>
              <w:ind w:left="0"/>
              <w:jc w:val="left"/>
              <w:rPr>
                <w:rFonts w:ascii="Arial Narrow" w:hAnsi="Arial Narrow" w:cs="Arial"/>
                <w:color w:val="000000" w:themeColor="text1"/>
                <w:sz w:val="20"/>
                <w:szCs w:val="20"/>
                <w:lang w:val="en-PH" w:eastAsia="en-PH"/>
              </w:rPr>
            </w:pPr>
            <w:r w:rsidRPr="009E35ED">
              <w:rPr>
                <w:rFonts w:ascii="Arial Narrow" w:hAnsi="Arial Narrow"/>
                <w:color w:val="000000" w:themeColor="text1"/>
                <w:sz w:val="20"/>
                <w:szCs w:val="20"/>
              </w:rPr>
              <w:t xml:space="preserve">Adjustment/Recording of </w:t>
            </w:r>
            <w:r w:rsidR="00C53760">
              <w:rPr>
                <w:rFonts w:ascii="Arial Narrow" w:hAnsi="Arial Narrow"/>
                <w:color w:val="000000" w:themeColor="text1"/>
                <w:sz w:val="20"/>
                <w:szCs w:val="20"/>
              </w:rPr>
              <w:t>r</w:t>
            </w:r>
            <w:r w:rsidRPr="009E35ED">
              <w:rPr>
                <w:rFonts w:ascii="Arial Narrow" w:hAnsi="Arial Narrow"/>
                <w:color w:val="000000" w:themeColor="text1"/>
                <w:sz w:val="20"/>
                <w:szCs w:val="20"/>
              </w:rPr>
              <w:t xml:space="preserve">etirement </w:t>
            </w:r>
            <w:r w:rsidR="00C53760">
              <w:rPr>
                <w:rFonts w:ascii="Arial Narrow" w:hAnsi="Arial Narrow"/>
                <w:color w:val="000000" w:themeColor="text1"/>
                <w:sz w:val="20"/>
                <w:szCs w:val="20"/>
              </w:rPr>
              <w:t>a</w:t>
            </w:r>
            <w:r w:rsidRPr="009E35ED">
              <w:rPr>
                <w:rFonts w:ascii="Arial Narrow" w:hAnsi="Arial Narrow"/>
                <w:color w:val="000000" w:themeColor="text1"/>
                <w:sz w:val="20"/>
                <w:szCs w:val="20"/>
              </w:rPr>
              <w:t xml:space="preserve">nd </w:t>
            </w:r>
            <w:r w:rsidR="00C53760">
              <w:rPr>
                <w:rFonts w:ascii="Arial Narrow" w:hAnsi="Arial Narrow"/>
                <w:color w:val="000000" w:themeColor="text1"/>
                <w:sz w:val="20"/>
                <w:szCs w:val="20"/>
              </w:rPr>
              <w:t>l</w:t>
            </w:r>
            <w:r w:rsidRPr="009E35ED">
              <w:rPr>
                <w:rFonts w:ascii="Arial Narrow" w:hAnsi="Arial Narrow"/>
                <w:color w:val="000000" w:themeColor="text1"/>
                <w:sz w:val="20"/>
                <w:szCs w:val="20"/>
              </w:rPr>
              <w:t xml:space="preserve">ife </w:t>
            </w:r>
            <w:r w:rsidR="00C53760">
              <w:rPr>
                <w:rFonts w:ascii="Arial Narrow" w:hAnsi="Arial Narrow"/>
                <w:color w:val="000000" w:themeColor="text1"/>
                <w:sz w:val="20"/>
                <w:szCs w:val="20"/>
              </w:rPr>
              <w:t>i</w:t>
            </w:r>
            <w:r w:rsidRPr="009E35ED">
              <w:rPr>
                <w:rFonts w:ascii="Arial Narrow" w:hAnsi="Arial Narrow"/>
                <w:color w:val="000000" w:themeColor="text1"/>
                <w:sz w:val="20"/>
                <w:szCs w:val="20"/>
              </w:rPr>
              <w:t xml:space="preserve">nsurance </w:t>
            </w:r>
            <w:r w:rsidR="00C53760">
              <w:rPr>
                <w:rFonts w:ascii="Arial Narrow" w:hAnsi="Arial Narrow"/>
                <w:color w:val="000000" w:themeColor="text1"/>
                <w:sz w:val="20"/>
                <w:szCs w:val="20"/>
              </w:rPr>
              <w:t>p</w:t>
            </w:r>
            <w:r w:rsidRPr="009E35ED">
              <w:rPr>
                <w:rFonts w:ascii="Arial Narrow" w:hAnsi="Arial Narrow"/>
                <w:color w:val="000000" w:themeColor="text1"/>
                <w:sz w:val="20"/>
                <w:szCs w:val="20"/>
              </w:rPr>
              <w:t>remiums-Head Office</w:t>
            </w:r>
          </w:p>
        </w:tc>
        <w:tc>
          <w:tcPr>
            <w:tcW w:w="1716" w:type="dxa"/>
            <w:tcBorders>
              <w:top w:val="nil"/>
              <w:left w:val="nil"/>
              <w:bottom w:val="nil"/>
              <w:right w:val="nil"/>
            </w:tcBorders>
            <w:shd w:val="clear" w:color="auto" w:fill="auto"/>
            <w:noWrap/>
            <w:hideMark/>
          </w:tcPr>
          <w:p w14:paraId="6E988414" w14:textId="0ACEDFDE" w:rsidR="00684CE2" w:rsidRPr="009E35ED" w:rsidRDefault="00684CE2" w:rsidP="00684CE2">
            <w:pPr>
              <w:ind w:left="0"/>
              <w:jc w:val="right"/>
              <w:rPr>
                <w:rFonts w:ascii="Arial Narrow" w:hAnsi="Arial Narrow" w:cs="Arial"/>
                <w:color w:val="000000" w:themeColor="text1"/>
                <w:sz w:val="20"/>
                <w:szCs w:val="20"/>
                <w:lang w:val="en-PH" w:eastAsia="en-PH"/>
              </w:rPr>
            </w:pPr>
            <w:r w:rsidRPr="009E35ED">
              <w:rPr>
                <w:rFonts w:ascii="Arial Narrow" w:hAnsi="Arial Narrow"/>
                <w:color w:val="000000" w:themeColor="text1"/>
                <w:sz w:val="20"/>
                <w:szCs w:val="20"/>
              </w:rPr>
              <w:t xml:space="preserve"> 3,884,903 </w:t>
            </w:r>
          </w:p>
        </w:tc>
      </w:tr>
      <w:tr w:rsidR="00997F75" w:rsidRPr="009E35ED" w14:paraId="7B499B20" w14:textId="77777777" w:rsidTr="00C26DA1">
        <w:trPr>
          <w:trHeight w:val="75"/>
        </w:trPr>
        <w:tc>
          <w:tcPr>
            <w:tcW w:w="7286" w:type="dxa"/>
            <w:tcBorders>
              <w:top w:val="nil"/>
              <w:left w:val="nil"/>
              <w:bottom w:val="nil"/>
              <w:right w:val="nil"/>
            </w:tcBorders>
            <w:shd w:val="clear" w:color="auto" w:fill="auto"/>
            <w:hideMark/>
          </w:tcPr>
          <w:p w14:paraId="6F03B5FD" w14:textId="3D3851DD" w:rsidR="00684CE2" w:rsidRPr="009E35ED" w:rsidRDefault="00684CE2" w:rsidP="00684CE2">
            <w:pPr>
              <w:ind w:left="0"/>
              <w:jc w:val="left"/>
              <w:rPr>
                <w:rFonts w:ascii="Arial Narrow" w:hAnsi="Arial Narrow" w:cs="Arial"/>
                <w:color w:val="000000" w:themeColor="text1"/>
                <w:sz w:val="20"/>
                <w:szCs w:val="20"/>
                <w:lang w:val="en-PH" w:eastAsia="en-PH"/>
              </w:rPr>
            </w:pPr>
            <w:r w:rsidRPr="009E35ED">
              <w:rPr>
                <w:rFonts w:ascii="Arial Narrow" w:hAnsi="Arial Narrow"/>
                <w:color w:val="000000" w:themeColor="text1"/>
                <w:sz w:val="20"/>
                <w:szCs w:val="20"/>
              </w:rPr>
              <w:t xml:space="preserve">Adjustment/Recording of </w:t>
            </w:r>
            <w:r w:rsidR="00C53760">
              <w:rPr>
                <w:rFonts w:ascii="Arial Narrow" w:hAnsi="Arial Narrow"/>
                <w:color w:val="000000" w:themeColor="text1"/>
                <w:sz w:val="20"/>
                <w:szCs w:val="20"/>
              </w:rPr>
              <w:t>r</w:t>
            </w:r>
            <w:r w:rsidRPr="009E35ED">
              <w:rPr>
                <w:rFonts w:ascii="Arial Narrow" w:hAnsi="Arial Narrow"/>
                <w:color w:val="000000" w:themeColor="text1"/>
                <w:sz w:val="20"/>
                <w:szCs w:val="20"/>
              </w:rPr>
              <w:t xml:space="preserve">etirement </w:t>
            </w:r>
            <w:r w:rsidR="00C53760">
              <w:rPr>
                <w:rFonts w:ascii="Arial Narrow" w:hAnsi="Arial Narrow"/>
                <w:color w:val="000000" w:themeColor="text1"/>
                <w:sz w:val="20"/>
                <w:szCs w:val="20"/>
              </w:rPr>
              <w:t>a</w:t>
            </w:r>
            <w:r w:rsidRPr="009E35ED">
              <w:rPr>
                <w:rFonts w:ascii="Arial Narrow" w:hAnsi="Arial Narrow"/>
                <w:color w:val="000000" w:themeColor="text1"/>
                <w:sz w:val="20"/>
                <w:szCs w:val="20"/>
              </w:rPr>
              <w:t xml:space="preserve">nd </w:t>
            </w:r>
            <w:r w:rsidR="00C53760">
              <w:rPr>
                <w:rFonts w:ascii="Arial Narrow" w:hAnsi="Arial Narrow"/>
                <w:color w:val="000000" w:themeColor="text1"/>
                <w:sz w:val="20"/>
                <w:szCs w:val="20"/>
              </w:rPr>
              <w:t>l</w:t>
            </w:r>
            <w:r w:rsidRPr="009E35ED">
              <w:rPr>
                <w:rFonts w:ascii="Arial Narrow" w:hAnsi="Arial Narrow"/>
                <w:color w:val="000000" w:themeColor="text1"/>
                <w:sz w:val="20"/>
                <w:szCs w:val="20"/>
              </w:rPr>
              <w:t xml:space="preserve">ife </w:t>
            </w:r>
            <w:r w:rsidR="00C53760">
              <w:rPr>
                <w:rFonts w:ascii="Arial Narrow" w:hAnsi="Arial Narrow"/>
                <w:color w:val="000000" w:themeColor="text1"/>
                <w:sz w:val="20"/>
                <w:szCs w:val="20"/>
              </w:rPr>
              <w:t>i</w:t>
            </w:r>
            <w:r w:rsidRPr="009E35ED">
              <w:rPr>
                <w:rFonts w:ascii="Arial Narrow" w:hAnsi="Arial Narrow"/>
                <w:color w:val="000000" w:themeColor="text1"/>
                <w:sz w:val="20"/>
                <w:szCs w:val="20"/>
              </w:rPr>
              <w:t xml:space="preserve">nsurance </w:t>
            </w:r>
            <w:r w:rsidR="00C53760">
              <w:rPr>
                <w:rFonts w:ascii="Arial Narrow" w:hAnsi="Arial Narrow"/>
                <w:color w:val="000000" w:themeColor="text1"/>
                <w:sz w:val="20"/>
                <w:szCs w:val="20"/>
              </w:rPr>
              <w:t>p</w:t>
            </w:r>
            <w:r w:rsidRPr="009E35ED">
              <w:rPr>
                <w:rFonts w:ascii="Arial Narrow" w:hAnsi="Arial Narrow"/>
                <w:color w:val="000000" w:themeColor="text1"/>
                <w:sz w:val="20"/>
                <w:szCs w:val="20"/>
              </w:rPr>
              <w:t>remiums-Branches</w:t>
            </w:r>
          </w:p>
        </w:tc>
        <w:tc>
          <w:tcPr>
            <w:tcW w:w="1716" w:type="dxa"/>
            <w:tcBorders>
              <w:top w:val="nil"/>
              <w:left w:val="nil"/>
              <w:bottom w:val="nil"/>
              <w:right w:val="nil"/>
            </w:tcBorders>
            <w:shd w:val="clear" w:color="auto" w:fill="auto"/>
            <w:noWrap/>
            <w:hideMark/>
          </w:tcPr>
          <w:p w14:paraId="7C69A0C5" w14:textId="62DF7A8C" w:rsidR="00684CE2" w:rsidRPr="009E35ED" w:rsidRDefault="00684CE2" w:rsidP="00C03EBC">
            <w:pPr>
              <w:ind w:left="0"/>
              <w:jc w:val="right"/>
              <w:rPr>
                <w:rFonts w:ascii="Arial Narrow" w:hAnsi="Arial Narrow" w:cs="Arial"/>
                <w:color w:val="000000" w:themeColor="text1"/>
                <w:sz w:val="20"/>
                <w:szCs w:val="20"/>
                <w:lang w:val="en-PH" w:eastAsia="en-PH"/>
              </w:rPr>
            </w:pPr>
            <w:r w:rsidRPr="009E35ED">
              <w:rPr>
                <w:rFonts w:ascii="Arial Narrow" w:hAnsi="Arial Narrow"/>
                <w:color w:val="000000" w:themeColor="text1"/>
                <w:sz w:val="20"/>
                <w:szCs w:val="20"/>
              </w:rPr>
              <w:t xml:space="preserve"> (200,63</w:t>
            </w:r>
            <w:r w:rsidR="00C03EBC" w:rsidRPr="009E35ED">
              <w:rPr>
                <w:rFonts w:ascii="Arial Narrow" w:hAnsi="Arial Narrow"/>
                <w:color w:val="000000" w:themeColor="text1"/>
                <w:sz w:val="20"/>
                <w:szCs w:val="20"/>
              </w:rPr>
              <w:t>0</w:t>
            </w:r>
            <w:r w:rsidRPr="009E35ED">
              <w:rPr>
                <w:rFonts w:ascii="Arial Narrow" w:hAnsi="Arial Narrow"/>
                <w:color w:val="000000" w:themeColor="text1"/>
                <w:sz w:val="20"/>
                <w:szCs w:val="20"/>
              </w:rPr>
              <w:t>)</w:t>
            </w:r>
          </w:p>
        </w:tc>
      </w:tr>
      <w:tr w:rsidR="00997F75" w:rsidRPr="009E35ED" w14:paraId="3F732D6B" w14:textId="77777777" w:rsidTr="00C26DA1">
        <w:trPr>
          <w:trHeight w:val="143"/>
        </w:trPr>
        <w:tc>
          <w:tcPr>
            <w:tcW w:w="7286" w:type="dxa"/>
            <w:tcBorders>
              <w:top w:val="single" w:sz="4" w:space="0" w:color="auto"/>
              <w:left w:val="nil"/>
              <w:bottom w:val="double" w:sz="6" w:space="0" w:color="auto"/>
              <w:right w:val="nil"/>
            </w:tcBorders>
            <w:shd w:val="clear" w:color="auto" w:fill="auto"/>
            <w:hideMark/>
          </w:tcPr>
          <w:p w14:paraId="51D11AAD" w14:textId="43635AA0" w:rsidR="00684CE2" w:rsidRPr="009E35ED" w:rsidRDefault="00684CE2" w:rsidP="00684CE2">
            <w:pPr>
              <w:ind w:left="0"/>
              <w:jc w:val="left"/>
              <w:rPr>
                <w:rFonts w:ascii="Arial Narrow" w:hAnsi="Arial Narrow" w:cs="Arial"/>
                <w:b/>
                <w:bCs/>
                <w:color w:val="000000" w:themeColor="text1"/>
                <w:sz w:val="20"/>
                <w:szCs w:val="20"/>
                <w:lang w:val="en-PH" w:eastAsia="en-PH"/>
              </w:rPr>
            </w:pPr>
            <w:r w:rsidRPr="009E35ED">
              <w:rPr>
                <w:rFonts w:ascii="Arial Narrow" w:hAnsi="Arial Narrow"/>
                <w:b/>
                <w:bCs/>
                <w:color w:val="000000" w:themeColor="text1"/>
                <w:sz w:val="20"/>
                <w:szCs w:val="20"/>
              </w:rPr>
              <w:t>Restated Amount as of December 31, 2022 - Retirement and Life Insurance Premiums (Operating Fund)</w:t>
            </w:r>
          </w:p>
        </w:tc>
        <w:tc>
          <w:tcPr>
            <w:tcW w:w="1716" w:type="dxa"/>
            <w:tcBorders>
              <w:top w:val="single" w:sz="4" w:space="0" w:color="auto"/>
              <w:left w:val="nil"/>
              <w:bottom w:val="double" w:sz="6" w:space="0" w:color="auto"/>
              <w:right w:val="nil"/>
            </w:tcBorders>
            <w:shd w:val="clear" w:color="auto" w:fill="auto"/>
            <w:noWrap/>
            <w:hideMark/>
          </w:tcPr>
          <w:p w14:paraId="31DF840F" w14:textId="77777777" w:rsidR="00D0688D" w:rsidRPr="009E35ED" w:rsidRDefault="00D0688D" w:rsidP="00684CE2">
            <w:pPr>
              <w:ind w:left="0"/>
              <w:jc w:val="right"/>
              <w:rPr>
                <w:rFonts w:ascii="Arial Narrow" w:hAnsi="Arial Narrow"/>
                <w:b/>
                <w:bCs/>
                <w:color w:val="000000" w:themeColor="text1"/>
                <w:sz w:val="20"/>
                <w:szCs w:val="20"/>
              </w:rPr>
            </w:pPr>
          </w:p>
          <w:p w14:paraId="5DF94905" w14:textId="70D18B72" w:rsidR="00684CE2" w:rsidRPr="009E35ED" w:rsidRDefault="00684CE2" w:rsidP="00684CE2">
            <w:pPr>
              <w:ind w:left="0"/>
              <w:jc w:val="right"/>
              <w:rPr>
                <w:rFonts w:ascii="Arial Narrow" w:hAnsi="Arial Narrow" w:cs="Arial"/>
                <w:b/>
                <w:bCs/>
                <w:color w:val="000000" w:themeColor="text1"/>
                <w:sz w:val="20"/>
                <w:szCs w:val="20"/>
                <w:lang w:val="en-PH" w:eastAsia="en-PH"/>
              </w:rPr>
            </w:pPr>
            <w:r w:rsidRPr="009E35ED">
              <w:rPr>
                <w:rFonts w:ascii="Arial Narrow" w:hAnsi="Arial Narrow"/>
                <w:b/>
                <w:bCs/>
                <w:color w:val="000000" w:themeColor="text1"/>
                <w:sz w:val="20"/>
                <w:szCs w:val="20"/>
              </w:rPr>
              <w:t xml:space="preserve"> 78,815,258 </w:t>
            </w:r>
          </w:p>
        </w:tc>
      </w:tr>
      <w:tr w:rsidR="00997F75" w:rsidRPr="009E35ED" w14:paraId="3191CCD4" w14:textId="77777777" w:rsidTr="00C26DA1">
        <w:trPr>
          <w:trHeight w:val="300"/>
        </w:trPr>
        <w:tc>
          <w:tcPr>
            <w:tcW w:w="7286" w:type="dxa"/>
            <w:tcBorders>
              <w:top w:val="nil"/>
              <w:left w:val="nil"/>
              <w:bottom w:val="nil"/>
              <w:right w:val="nil"/>
            </w:tcBorders>
            <w:shd w:val="clear" w:color="auto" w:fill="auto"/>
          </w:tcPr>
          <w:p w14:paraId="40A22B3A" w14:textId="669F76B9" w:rsidR="00684CE2" w:rsidRPr="009E35ED" w:rsidRDefault="00684CE2" w:rsidP="00684CE2">
            <w:pPr>
              <w:ind w:left="0"/>
              <w:jc w:val="left"/>
              <w:rPr>
                <w:rFonts w:ascii="Arial Narrow" w:hAnsi="Arial Narrow" w:cs="Arial"/>
                <w:b/>
                <w:bCs/>
                <w:color w:val="000000" w:themeColor="text1"/>
                <w:sz w:val="20"/>
                <w:szCs w:val="20"/>
                <w:lang w:val="en-PH" w:eastAsia="en-PH"/>
              </w:rPr>
            </w:pPr>
          </w:p>
        </w:tc>
        <w:tc>
          <w:tcPr>
            <w:tcW w:w="1716" w:type="dxa"/>
            <w:tcBorders>
              <w:top w:val="nil"/>
              <w:left w:val="nil"/>
              <w:bottom w:val="nil"/>
              <w:right w:val="nil"/>
            </w:tcBorders>
            <w:shd w:val="clear" w:color="auto" w:fill="auto"/>
            <w:noWrap/>
            <w:vAlign w:val="bottom"/>
          </w:tcPr>
          <w:p w14:paraId="2861233E" w14:textId="77777777" w:rsidR="00684CE2" w:rsidRPr="009E35ED" w:rsidRDefault="00684CE2" w:rsidP="00684CE2">
            <w:pPr>
              <w:ind w:left="0"/>
              <w:jc w:val="right"/>
              <w:rPr>
                <w:rFonts w:ascii="Arial Narrow" w:hAnsi="Arial Narrow"/>
                <w:color w:val="000000" w:themeColor="text1"/>
                <w:sz w:val="20"/>
                <w:szCs w:val="20"/>
                <w:lang w:val="en-PH" w:eastAsia="en-PH"/>
              </w:rPr>
            </w:pPr>
          </w:p>
        </w:tc>
      </w:tr>
      <w:tr w:rsidR="00997F75" w:rsidRPr="009E35ED" w14:paraId="6B396514" w14:textId="77777777" w:rsidTr="00860ED6">
        <w:trPr>
          <w:trHeight w:val="245"/>
        </w:trPr>
        <w:tc>
          <w:tcPr>
            <w:tcW w:w="7286" w:type="dxa"/>
            <w:tcBorders>
              <w:top w:val="nil"/>
              <w:left w:val="nil"/>
              <w:bottom w:val="nil"/>
              <w:right w:val="nil"/>
            </w:tcBorders>
            <w:shd w:val="clear" w:color="auto" w:fill="auto"/>
            <w:hideMark/>
          </w:tcPr>
          <w:p w14:paraId="416BA98C" w14:textId="34A96FC4" w:rsidR="00E93465" w:rsidRPr="009E35ED" w:rsidRDefault="00E93465" w:rsidP="00E93465">
            <w:pPr>
              <w:ind w:left="0"/>
              <w:jc w:val="left"/>
              <w:rPr>
                <w:rFonts w:ascii="Arial Narrow" w:hAnsi="Arial Narrow" w:cs="Arial"/>
                <w:color w:val="000000" w:themeColor="text1"/>
                <w:sz w:val="20"/>
                <w:szCs w:val="20"/>
                <w:lang w:val="en-PH" w:eastAsia="en-PH"/>
              </w:rPr>
            </w:pPr>
            <w:r w:rsidRPr="009E35ED">
              <w:rPr>
                <w:rFonts w:ascii="Arial Narrow" w:hAnsi="Arial Narrow"/>
                <w:color w:val="000000" w:themeColor="text1"/>
                <w:sz w:val="20"/>
                <w:szCs w:val="20"/>
              </w:rPr>
              <w:t xml:space="preserve">Unrestated </w:t>
            </w:r>
            <w:r w:rsidR="00C53760">
              <w:rPr>
                <w:rFonts w:ascii="Arial Narrow" w:hAnsi="Arial Narrow"/>
                <w:color w:val="000000" w:themeColor="text1"/>
                <w:sz w:val="20"/>
                <w:szCs w:val="20"/>
              </w:rPr>
              <w:t>a</w:t>
            </w:r>
            <w:r w:rsidRPr="009E35ED">
              <w:rPr>
                <w:rFonts w:ascii="Arial Narrow" w:hAnsi="Arial Narrow"/>
                <w:color w:val="000000" w:themeColor="text1"/>
                <w:sz w:val="20"/>
                <w:szCs w:val="20"/>
              </w:rPr>
              <w:t>mount as of December 31, 2022</w:t>
            </w:r>
          </w:p>
        </w:tc>
        <w:tc>
          <w:tcPr>
            <w:tcW w:w="1716" w:type="dxa"/>
            <w:tcBorders>
              <w:top w:val="nil"/>
              <w:left w:val="nil"/>
              <w:bottom w:val="nil"/>
              <w:right w:val="nil"/>
            </w:tcBorders>
            <w:shd w:val="clear" w:color="auto" w:fill="auto"/>
            <w:noWrap/>
            <w:hideMark/>
          </w:tcPr>
          <w:p w14:paraId="5A54331A" w14:textId="116E790B" w:rsidR="00E93465" w:rsidRPr="009E35ED" w:rsidRDefault="00E93465" w:rsidP="00E93465">
            <w:pPr>
              <w:ind w:left="0"/>
              <w:jc w:val="right"/>
              <w:rPr>
                <w:rFonts w:ascii="Arial Narrow" w:hAnsi="Arial Narrow" w:cs="Arial"/>
                <w:color w:val="000000" w:themeColor="text1"/>
                <w:sz w:val="20"/>
                <w:szCs w:val="20"/>
                <w:lang w:val="en-PH" w:eastAsia="en-PH"/>
              </w:rPr>
            </w:pPr>
            <w:r w:rsidRPr="009E35ED">
              <w:rPr>
                <w:rFonts w:ascii="Arial Narrow" w:hAnsi="Arial Narrow"/>
                <w:color w:val="000000" w:themeColor="text1"/>
                <w:sz w:val="20"/>
                <w:szCs w:val="20"/>
              </w:rPr>
              <w:t xml:space="preserve"> 1,407,035 </w:t>
            </w:r>
          </w:p>
        </w:tc>
      </w:tr>
      <w:tr w:rsidR="00997F75" w:rsidRPr="009E35ED" w14:paraId="52E7463C" w14:textId="77777777" w:rsidTr="00C26DA1">
        <w:trPr>
          <w:trHeight w:val="75"/>
        </w:trPr>
        <w:tc>
          <w:tcPr>
            <w:tcW w:w="7286" w:type="dxa"/>
            <w:tcBorders>
              <w:top w:val="nil"/>
              <w:left w:val="nil"/>
              <w:bottom w:val="nil"/>
              <w:right w:val="nil"/>
            </w:tcBorders>
            <w:shd w:val="clear" w:color="auto" w:fill="auto"/>
            <w:hideMark/>
          </w:tcPr>
          <w:p w14:paraId="13E79B0B" w14:textId="6231B204" w:rsidR="00E93465" w:rsidRPr="009E35ED" w:rsidRDefault="00E93465" w:rsidP="00E93465">
            <w:pPr>
              <w:ind w:left="0"/>
              <w:jc w:val="left"/>
              <w:rPr>
                <w:rFonts w:ascii="Arial Narrow" w:hAnsi="Arial Narrow" w:cs="Arial"/>
                <w:color w:val="000000" w:themeColor="text1"/>
                <w:sz w:val="20"/>
                <w:szCs w:val="20"/>
                <w:lang w:val="en-PH" w:eastAsia="en-PH"/>
              </w:rPr>
            </w:pPr>
            <w:r w:rsidRPr="009E35ED">
              <w:rPr>
                <w:rFonts w:ascii="Arial Narrow" w:hAnsi="Arial Narrow"/>
                <w:color w:val="000000" w:themeColor="text1"/>
                <w:sz w:val="20"/>
                <w:szCs w:val="20"/>
              </w:rPr>
              <w:t xml:space="preserve">Adjustment/Recording of </w:t>
            </w:r>
            <w:r w:rsidR="00C53760">
              <w:rPr>
                <w:rFonts w:ascii="Arial Narrow" w:hAnsi="Arial Narrow"/>
                <w:color w:val="000000" w:themeColor="text1"/>
                <w:sz w:val="20"/>
                <w:szCs w:val="20"/>
              </w:rPr>
              <w:t>p</w:t>
            </w:r>
            <w:r w:rsidRPr="009E35ED">
              <w:rPr>
                <w:rFonts w:ascii="Arial Narrow" w:hAnsi="Arial Narrow"/>
                <w:color w:val="000000" w:themeColor="text1"/>
                <w:sz w:val="20"/>
                <w:szCs w:val="20"/>
              </w:rPr>
              <w:t>ag-</w:t>
            </w:r>
            <w:r w:rsidR="00C53760">
              <w:rPr>
                <w:rFonts w:ascii="Arial Narrow" w:hAnsi="Arial Narrow"/>
                <w:color w:val="000000" w:themeColor="text1"/>
                <w:sz w:val="20"/>
                <w:szCs w:val="20"/>
              </w:rPr>
              <w:t>i</w:t>
            </w:r>
            <w:r w:rsidRPr="009E35ED">
              <w:rPr>
                <w:rFonts w:ascii="Arial Narrow" w:hAnsi="Arial Narrow"/>
                <w:color w:val="000000" w:themeColor="text1"/>
                <w:sz w:val="20"/>
                <w:szCs w:val="20"/>
              </w:rPr>
              <w:t xml:space="preserve">big </w:t>
            </w:r>
            <w:r w:rsidR="00C53760">
              <w:rPr>
                <w:rFonts w:ascii="Arial Narrow" w:hAnsi="Arial Narrow"/>
                <w:color w:val="000000" w:themeColor="text1"/>
                <w:sz w:val="20"/>
                <w:szCs w:val="20"/>
              </w:rPr>
              <w:t>c</w:t>
            </w:r>
            <w:r w:rsidRPr="009E35ED">
              <w:rPr>
                <w:rFonts w:ascii="Arial Narrow" w:hAnsi="Arial Narrow"/>
                <w:color w:val="000000" w:themeColor="text1"/>
                <w:sz w:val="20"/>
                <w:szCs w:val="20"/>
              </w:rPr>
              <w:t>ontributions-Head Office</w:t>
            </w:r>
          </w:p>
        </w:tc>
        <w:tc>
          <w:tcPr>
            <w:tcW w:w="1716" w:type="dxa"/>
            <w:tcBorders>
              <w:top w:val="nil"/>
              <w:left w:val="nil"/>
              <w:bottom w:val="nil"/>
              <w:right w:val="nil"/>
            </w:tcBorders>
            <w:shd w:val="clear" w:color="auto" w:fill="auto"/>
            <w:noWrap/>
            <w:hideMark/>
          </w:tcPr>
          <w:p w14:paraId="3733A254" w14:textId="08CDE4C6" w:rsidR="00E93465" w:rsidRPr="009E35ED" w:rsidRDefault="00C53760" w:rsidP="00860ED6">
            <w:pPr>
              <w:tabs>
                <w:tab w:val="left" w:pos="1387"/>
              </w:tabs>
              <w:ind w:left="0"/>
              <w:rPr>
                <w:rFonts w:ascii="Arial Narrow" w:hAnsi="Arial Narrow" w:cs="Arial"/>
                <w:color w:val="000000" w:themeColor="text1"/>
                <w:sz w:val="20"/>
                <w:szCs w:val="20"/>
                <w:lang w:val="en-PH" w:eastAsia="en-PH"/>
              </w:rPr>
            </w:pPr>
            <w:r>
              <w:rPr>
                <w:rFonts w:ascii="Arial Narrow" w:hAnsi="Arial Narrow" w:cs="Arial"/>
                <w:color w:val="000000" w:themeColor="text1"/>
                <w:sz w:val="20"/>
                <w:szCs w:val="20"/>
                <w:lang w:val="en-PH" w:eastAsia="en-PH"/>
              </w:rPr>
              <w:tab/>
              <w:t>-</w:t>
            </w:r>
          </w:p>
        </w:tc>
      </w:tr>
      <w:tr w:rsidR="00997F75" w:rsidRPr="009E35ED" w14:paraId="64A4F2B6" w14:textId="77777777" w:rsidTr="00C26DA1">
        <w:trPr>
          <w:trHeight w:val="75"/>
        </w:trPr>
        <w:tc>
          <w:tcPr>
            <w:tcW w:w="7286" w:type="dxa"/>
            <w:tcBorders>
              <w:top w:val="nil"/>
              <w:left w:val="nil"/>
              <w:bottom w:val="nil"/>
              <w:right w:val="nil"/>
            </w:tcBorders>
            <w:shd w:val="clear" w:color="auto" w:fill="auto"/>
            <w:hideMark/>
          </w:tcPr>
          <w:p w14:paraId="72645AB1" w14:textId="1E375216" w:rsidR="00E93465" w:rsidRPr="009E35ED" w:rsidRDefault="00E93465" w:rsidP="00E93465">
            <w:pPr>
              <w:ind w:left="0"/>
              <w:jc w:val="left"/>
              <w:rPr>
                <w:rFonts w:ascii="Arial Narrow" w:hAnsi="Arial Narrow" w:cs="Arial"/>
                <w:color w:val="000000" w:themeColor="text1"/>
                <w:sz w:val="20"/>
                <w:szCs w:val="20"/>
                <w:lang w:val="en-PH" w:eastAsia="en-PH"/>
              </w:rPr>
            </w:pPr>
            <w:r w:rsidRPr="009E35ED">
              <w:rPr>
                <w:rFonts w:ascii="Arial Narrow" w:hAnsi="Arial Narrow"/>
                <w:color w:val="000000" w:themeColor="text1"/>
                <w:sz w:val="20"/>
                <w:szCs w:val="20"/>
              </w:rPr>
              <w:t xml:space="preserve">Adjustment/Recording of </w:t>
            </w:r>
            <w:r w:rsidR="00C53760">
              <w:rPr>
                <w:rFonts w:ascii="Arial Narrow" w:hAnsi="Arial Narrow"/>
                <w:color w:val="000000" w:themeColor="text1"/>
                <w:sz w:val="20"/>
                <w:szCs w:val="20"/>
              </w:rPr>
              <w:t>p</w:t>
            </w:r>
            <w:r w:rsidRPr="009E35ED">
              <w:rPr>
                <w:rFonts w:ascii="Arial Narrow" w:hAnsi="Arial Narrow"/>
                <w:color w:val="000000" w:themeColor="text1"/>
                <w:sz w:val="20"/>
                <w:szCs w:val="20"/>
              </w:rPr>
              <w:t>ag-</w:t>
            </w:r>
            <w:r w:rsidR="00C53760">
              <w:rPr>
                <w:rFonts w:ascii="Arial Narrow" w:hAnsi="Arial Narrow"/>
                <w:color w:val="000000" w:themeColor="text1"/>
                <w:sz w:val="20"/>
                <w:szCs w:val="20"/>
              </w:rPr>
              <w:t>i</w:t>
            </w:r>
            <w:r w:rsidRPr="009E35ED">
              <w:rPr>
                <w:rFonts w:ascii="Arial Narrow" w:hAnsi="Arial Narrow"/>
                <w:color w:val="000000" w:themeColor="text1"/>
                <w:sz w:val="20"/>
                <w:szCs w:val="20"/>
              </w:rPr>
              <w:t xml:space="preserve">big </w:t>
            </w:r>
            <w:r w:rsidR="00C53760">
              <w:rPr>
                <w:rFonts w:ascii="Arial Narrow" w:hAnsi="Arial Narrow"/>
                <w:color w:val="000000" w:themeColor="text1"/>
                <w:sz w:val="20"/>
                <w:szCs w:val="20"/>
              </w:rPr>
              <w:t>c</w:t>
            </w:r>
            <w:r w:rsidRPr="009E35ED">
              <w:rPr>
                <w:rFonts w:ascii="Arial Narrow" w:hAnsi="Arial Narrow"/>
                <w:color w:val="000000" w:themeColor="text1"/>
                <w:sz w:val="20"/>
                <w:szCs w:val="20"/>
              </w:rPr>
              <w:t>ontributions-Branches</w:t>
            </w:r>
          </w:p>
        </w:tc>
        <w:tc>
          <w:tcPr>
            <w:tcW w:w="1716" w:type="dxa"/>
            <w:tcBorders>
              <w:top w:val="nil"/>
              <w:left w:val="nil"/>
              <w:bottom w:val="nil"/>
              <w:right w:val="nil"/>
            </w:tcBorders>
            <w:shd w:val="clear" w:color="auto" w:fill="auto"/>
            <w:noWrap/>
            <w:hideMark/>
          </w:tcPr>
          <w:p w14:paraId="0EF83F66" w14:textId="7BE4A2F4" w:rsidR="00E93465" w:rsidRPr="009E35ED" w:rsidRDefault="00E93465" w:rsidP="00E93465">
            <w:pPr>
              <w:ind w:left="0"/>
              <w:jc w:val="right"/>
              <w:rPr>
                <w:rFonts w:ascii="Arial Narrow" w:hAnsi="Arial Narrow" w:cs="Arial"/>
                <w:color w:val="000000" w:themeColor="text1"/>
                <w:sz w:val="20"/>
                <w:szCs w:val="20"/>
                <w:lang w:val="en-PH" w:eastAsia="en-PH"/>
              </w:rPr>
            </w:pPr>
            <w:r w:rsidRPr="009E35ED">
              <w:rPr>
                <w:rFonts w:ascii="Arial Narrow" w:hAnsi="Arial Narrow"/>
                <w:color w:val="000000" w:themeColor="text1"/>
                <w:sz w:val="20"/>
                <w:szCs w:val="20"/>
              </w:rPr>
              <w:t xml:space="preserve"> (4,000)</w:t>
            </w:r>
          </w:p>
        </w:tc>
      </w:tr>
      <w:tr w:rsidR="00997F75" w:rsidRPr="009E35ED" w14:paraId="05700D2B" w14:textId="77777777" w:rsidTr="00C26DA1">
        <w:trPr>
          <w:trHeight w:val="206"/>
        </w:trPr>
        <w:tc>
          <w:tcPr>
            <w:tcW w:w="7286" w:type="dxa"/>
            <w:tcBorders>
              <w:top w:val="single" w:sz="4" w:space="0" w:color="auto"/>
              <w:left w:val="nil"/>
              <w:bottom w:val="double" w:sz="6" w:space="0" w:color="auto"/>
              <w:right w:val="nil"/>
            </w:tcBorders>
            <w:shd w:val="clear" w:color="auto" w:fill="auto"/>
            <w:hideMark/>
          </w:tcPr>
          <w:p w14:paraId="270014F9" w14:textId="49485FD9" w:rsidR="00E93465" w:rsidRPr="009E35ED" w:rsidRDefault="00E93465" w:rsidP="00E93465">
            <w:pPr>
              <w:ind w:left="0"/>
              <w:jc w:val="left"/>
              <w:rPr>
                <w:rFonts w:ascii="Arial Narrow" w:hAnsi="Arial Narrow" w:cs="Arial"/>
                <w:b/>
                <w:bCs/>
                <w:color w:val="000000" w:themeColor="text1"/>
                <w:sz w:val="20"/>
                <w:szCs w:val="20"/>
                <w:lang w:val="en-PH" w:eastAsia="en-PH"/>
              </w:rPr>
            </w:pPr>
            <w:r w:rsidRPr="009E35ED">
              <w:rPr>
                <w:rFonts w:ascii="Arial Narrow" w:hAnsi="Arial Narrow"/>
                <w:b/>
                <w:bCs/>
                <w:color w:val="000000" w:themeColor="text1"/>
                <w:sz w:val="20"/>
                <w:szCs w:val="20"/>
              </w:rPr>
              <w:t>Restated Amount as of December 31, 2022 - Pag-Ibig Contributions (Operating Fund)</w:t>
            </w:r>
          </w:p>
        </w:tc>
        <w:tc>
          <w:tcPr>
            <w:tcW w:w="1716" w:type="dxa"/>
            <w:tcBorders>
              <w:top w:val="single" w:sz="4" w:space="0" w:color="auto"/>
              <w:left w:val="nil"/>
              <w:bottom w:val="double" w:sz="6" w:space="0" w:color="auto"/>
              <w:right w:val="nil"/>
            </w:tcBorders>
            <w:shd w:val="clear" w:color="auto" w:fill="auto"/>
            <w:noWrap/>
            <w:hideMark/>
          </w:tcPr>
          <w:p w14:paraId="49315AAA" w14:textId="66D9FFCD" w:rsidR="00E93465" w:rsidRPr="009E35ED" w:rsidRDefault="00E93465">
            <w:pPr>
              <w:ind w:left="0"/>
              <w:jc w:val="right"/>
              <w:rPr>
                <w:rFonts w:ascii="Arial Narrow" w:hAnsi="Arial Narrow" w:cs="Arial"/>
                <w:b/>
                <w:bCs/>
                <w:color w:val="000000" w:themeColor="text1"/>
                <w:sz w:val="20"/>
                <w:szCs w:val="20"/>
                <w:lang w:val="en-PH" w:eastAsia="en-PH"/>
              </w:rPr>
            </w:pPr>
            <w:r w:rsidRPr="009E35ED">
              <w:rPr>
                <w:rFonts w:ascii="Arial Narrow" w:hAnsi="Arial Narrow"/>
                <w:b/>
                <w:bCs/>
                <w:color w:val="000000" w:themeColor="text1"/>
                <w:sz w:val="20"/>
                <w:szCs w:val="20"/>
              </w:rPr>
              <w:t xml:space="preserve"> 1,403,035 </w:t>
            </w:r>
          </w:p>
        </w:tc>
      </w:tr>
      <w:tr w:rsidR="00997F75" w:rsidRPr="009E35ED" w14:paraId="0A431DAE" w14:textId="77777777" w:rsidTr="00C26DA1">
        <w:trPr>
          <w:trHeight w:val="285"/>
        </w:trPr>
        <w:tc>
          <w:tcPr>
            <w:tcW w:w="7286" w:type="dxa"/>
            <w:tcBorders>
              <w:top w:val="nil"/>
              <w:left w:val="nil"/>
              <w:bottom w:val="nil"/>
              <w:right w:val="nil"/>
            </w:tcBorders>
            <w:shd w:val="clear" w:color="auto" w:fill="auto"/>
            <w:hideMark/>
          </w:tcPr>
          <w:p w14:paraId="33FC353C" w14:textId="77777777" w:rsidR="00C03EBC" w:rsidRPr="009E35ED" w:rsidRDefault="00C03EBC" w:rsidP="0040704A">
            <w:pPr>
              <w:ind w:left="0"/>
              <w:jc w:val="left"/>
              <w:rPr>
                <w:rFonts w:ascii="Arial Narrow" w:hAnsi="Arial Narrow"/>
                <w:color w:val="000000" w:themeColor="text1"/>
                <w:sz w:val="20"/>
                <w:szCs w:val="20"/>
              </w:rPr>
            </w:pPr>
          </w:p>
          <w:p w14:paraId="181E67F4" w14:textId="4B54E484" w:rsidR="0040704A" w:rsidRPr="009E35ED" w:rsidRDefault="0040704A" w:rsidP="0040704A">
            <w:pPr>
              <w:ind w:left="0"/>
              <w:jc w:val="left"/>
              <w:rPr>
                <w:rFonts w:ascii="Arial Narrow" w:hAnsi="Arial Narrow" w:cs="Arial"/>
                <w:color w:val="000000" w:themeColor="text1"/>
                <w:sz w:val="20"/>
                <w:szCs w:val="20"/>
                <w:lang w:val="en-PH" w:eastAsia="en-PH"/>
              </w:rPr>
            </w:pPr>
            <w:r w:rsidRPr="009E35ED">
              <w:rPr>
                <w:rFonts w:ascii="Arial Narrow" w:hAnsi="Arial Narrow"/>
                <w:color w:val="000000" w:themeColor="text1"/>
                <w:sz w:val="20"/>
                <w:szCs w:val="20"/>
              </w:rPr>
              <w:t xml:space="preserve">Unrestated </w:t>
            </w:r>
            <w:r w:rsidR="00C53760">
              <w:rPr>
                <w:rFonts w:ascii="Arial Narrow" w:hAnsi="Arial Narrow"/>
                <w:color w:val="000000" w:themeColor="text1"/>
                <w:sz w:val="20"/>
                <w:szCs w:val="20"/>
              </w:rPr>
              <w:t>a</w:t>
            </w:r>
            <w:r w:rsidRPr="009E35ED">
              <w:rPr>
                <w:rFonts w:ascii="Arial Narrow" w:hAnsi="Arial Narrow"/>
                <w:color w:val="000000" w:themeColor="text1"/>
                <w:sz w:val="20"/>
                <w:szCs w:val="20"/>
              </w:rPr>
              <w:t>mount as of December 31, 2022</w:t>
            </w:r>
          </w:p>
        </w:tc>
        <w:tc>
          <w:tcPr>
            <w:tcW w:w="1716" w:type="dxa"/>
            <w:tcBorders>
              <w:top w:val="nil"/>
              <w:left w:val="nil"/>
              <w:bottom w:val="nil"/>
              <w:right w:val="nil"/>
            </w:tcBorders>
            <w:shd w:val="clear" w:color="auto" w:fill="auto"/>
            <w:noWrap/>
            <w:hideMark/>
          </w:tcPr>
          <w:p w14:paraId="167A92A5" w14:textId="77777777" w:rsidR="00C03EBC" w:rsidRPr="009E35ED" w:rsidRDefault="0040704A" w:rsidP="0040704A">
            <w:pPr>
              <w:ind w:left="0"/>
              <w:jc w:val="right"/>
              <w:rPr>
                <w:rFonts w:ascii="Arial Narrow" w:hAnsi="Arial Narrow"/>
                <w:color w:val="000000" w:themeColor="text1"/>
                <w:sz w:val="20"/>
                <w:szCs w:val="20"/>
              </w:rPr>
            </w:pPr>
            <w:r w:rsidRPr="009E35ED">
              <w:rPr>
                <w:rFonts w:ascii="Arial Narrow" w:hAnsi="Arial Narrow"/>
                <w:color w:val="000000" w:themeColor="text1"/>
                <w:sz w:val="20"/>
                <w:szCs w:val="20"/>
              </w:rPr>
              <w:t xml:space="preserve"> </w:t>
            </w:r>
          </w:p>
          <w:p w14:paraId="6186C512" w14:textId="38D31FDF" w:rsidR="0040704A" w:rsidRPr="009E35ED" w:rsidRDefault="0040704A" w:rsidP="0040704A">
            <w:pPr>
              <w:ind w:left="0"/>
              <w:jc w:val="right"/>
              <w:rPr>
                <w:rFonts w:ascii="Arial Narrow" w:hAnsi="Arial Narrow" w:cs="Arial"/>
                <w:color w:val="000000" w:themeColor="text1"/>
                <w:sz w:val="20"/>
                <w:szCs w:val="20"/>
                <w:lang w:val="en-PH" w:eastAsia="en-PH"/>
              </w:rPr>
            </w:pPr>
            <w:r w:rsidRPr="009E35ED">
              <w:rPr>
                <w:rFonts w:ascii="Arial Narrow" w:hAnsi="Arial Narrow"/>
                <w:color w:val="000000" w:themeColor="text1"/>
                <w:sz w:val="20"/>
                <w:szCs w:val="20"/>
              </w:rPr>
              <w:t xml:space="preserve">11,195,609 </w:t>
            </w:r>
          </w:p>
        </w:tc>
      </w:tr>
      <w:tr w:rsidR="00997F75" w:rsidRPr="009E35ED" w14:paraId="68669219" w14:textId="77777777" w:rsidTr="00C26DA1">
        <w:trPr>
          <w:trHeight w:val="75"/>
        </w:trPr>
        <w:tc>
          <w:tcPr>
            <w:tcW w:w="7286" w:type="dxa"/>
            <w:tcBorders>
              <w:top w:val="nil"/>
              <w:left w:val="nil"/>
              <w:bottom w:val="nil"/>
              <w:right w:val="nil"/>
            </w:tcBorders>
            <w:shd w:val="clear" w:color="auto" w:fill="auto"/>
            <w:hideMark/>
          </w:tcPr>
          <w:p w14:paraId="2C72CEA6" w14:textId="3DF7A69F" w:rsidR="0040704A" w:rsidRPr="009E35ED" w:rsidRDefault="0040704A" w:rsidP="0040704A">
            <w:pPr>
              <w:ind w:left="0"/>
              <w:jc w:val="left"/>
              <w:rPr>
                <w:rFonts w:ascii="Arial Narrow" w:hAnsi="Arial Narrow" w:cs="Arial"/>
                <w:color w:val="000000" w:themeColor="text1"/>
                <w:sz w:val="20"/>
                <w:szCs w:val="20"/>
                <w:lang w:val="en-PH" w:eastAsia="en-PH"/>
              </w:rPr>
            </w:pPr>
            <w:r w:rsidRPr="009E35ED">
              <w:rPr>
                <w:rFonts w:ascii="Arial Narrow" w:hAnsi="Arial Narrow"/>
                <w:color w:val="000000" w:themeColor="text1"/>
                <w:sz w:val="20"/>
                <w:szCs w:val="20"/>
              </w:rPr>
              <w:t xml:space="preserve">Adjustment/Recording of </w:t>
            </w:r>
            <w:r w:rsidR="00C53760">
              <w:rPr>
                <w:rFonts w:ascii="Arial Narrow" w:hAnsi="Arial Narrow"/>
                <w:color w:val="000000" w:themeColor="text1"/>
                <w:sz w:val="20"/>
                <w:szCs w:val="20"/>
              </w:rPr>
              <w:t>p</w:t>
            </w:r>
            <w:r w:rsidRPr="009E35ED">
              <w:rPr>
                <w:rFonts w:ascii="Arial Narrow" w:hAnsi="Arial Narrow"/>
                <w:color w:val="000000" w:themeColor="text1"/>
                <w:sz w:val="20"/>
                <w:szCs w:val="20"/>
              </w:rPr>
              <w:t xml:space="preserve">hilhealth </w:t>
            </w:r>
            <w:r w:rsidR="00C53760">
              <w:rPr>
                <w:rFonts w:ascii="Arial Narrow" w:hAnsi="Arial Narrow"/>
                <w:color w:val="000000" w:themeColor="text1"/>
                <w:sz w:val="20"/>
                <w:szCs w:val="20"/>
              </w:rPr>
              <w:t>c</w:t>
            </w:r>
            <w:r w:rsidRPr="009E35ED">
              <w:rPr>
                <w:rFonts w:ascii="Arial Narrow" w:hAnsi="Arial Narrow"/>
                <w:color w:val="000000" w:themeColor="text1"/>
                <w:sz w:val="20"/>
                <w:szCs w:val="20"/>
              </w:rPr>
              <w:t>ontributions-Branches</w:t>
            </w:r>
          </w:p>
        </w:tc>
        <w:tc>
          <w:tcPr>
            <w:tcW w:w="1716" w:type="dxa"/>
            <w:tcBorders>
              <w:top w:val="nil"/>
              <w:left w:val="nil"/>
              <w:bottom w:val="nil"/>
              <w:right w:val="nil"/>
            </w:tcBorders>
            <w:shd w:val="clear" w:color="auto" w:fill="auto"/>
            <w:noWrap/>
            <w:hideMark/>
          </w:tcPr>
          <w:p w14:paraId="4B6E7AB7" w14:textId="699696CC" w:rsidR="0040704A" w:rsidRPr="009E35ED" w:rsidRDefault="0040704A" w:rsidP="0040704A">
            <w:pPr>
              <w:ind w:left="0"/>
              <w:jc w:val="right"/>
              <w:rPr>
                <w:rFonts w:ascii="Arial Narrow" w:hAnsi="Arial Narrow" w:cs="Arial"/>
                <w:color w:val="000000" w:themeColor="text1"/>
                <w:sz w:val="20"/>
                <w:szCs w:val="20"/>
                <w:lang w:val="en-PH" w:eastAsia="en-PH"/>
              </w:rPr>
            </w:pPr>
            <w:r w:rsidRPr="009E35ED">
              <w:rPr>
                <w:rFonts w:ascii="Arial Narrow" w:hAnsi="Arial Narrow"/>
                <w:color w:val="000000" w:themeColor="text1"/>
                <w:sz w:val="20"/>
                <w:szCs w:val="20"/>
              </w:rPr>
              <w:t xml:space="preserve"> (11,291)</w:t>
            </w:r>
          </w:p>
        </w:tc>
      </w:tr>
      <w:tr w:rsidR="00997F75" w:rsidRPr="009E35ED" w14:paraId="5906445F" w14:textId="77777777" w:rsidTr="00C26DA1">
        <w:trPr>
          <w:trHeight w:val="161"/>
        </w:trPr>
        <w:tc>
          <w:tcPr>
            <w:tcW w:w="7286" w:type="dxa"/>
            <w:tcBorders>
              <w:top w:val="single" w:sz="4" w:space="0" w:color="auto"/>
              <w:left w:val="nil"/>
              <w:bottom w:val="double" w:sz="6" w:space="0" w:color="auto"/>
              <w:right w:val="nil"/>
            </w:tcBorders>
            <w:shd w:val="clear" w:color="auto" w:fill="auto"/>
            <w:hideMark/>
          </w:tcPr>
          <w:p w14:paraId="41FFBE32" w14:textId="2AB67272" w:rsidR="0040704A" w:rsidRPr="009E35ED" w:rsidRDefault="0040704A" w:rsidP="0040704A">
            <w:pPr>
              <w:ind w:left="0"/>
              <w:jc w:val="left"/>
              <w:rPr>
                <w:rFonts w:ascii="Arial Narrow" w:hAnsi="Arial Narrow" w:cs="Arial"/>
                <w:b/>
                <w:bCs/>
                <w:color w:val="000000" w:themeColor="text1"/>
                <w:sz w:val="20"/>
                <w:szCs w:val="20"/>
                <w:lang w:val="en-PH" w:eastAsia="en-PH"/>
              </w:rPr>
            </w:pPr>
            <w:r w:rsidRPr="009E35ED">
              <w:rPr>
                <w:rFonts w:ascii="Arial Narrow" w:hAnsi="Arial Narrow"/>
                <w:b/>
                <w:bCs/>
                <w:color w:val="000000" w:themeColor="text1"/>
                <w:sz w:val="20"/>
                <w:szCs w:val="20"/>
              </w:rPr>
              <w:t>Restated Amount as of December 31, 2022 - PhilHealth Contributions (Operating Fund)</w:t>
            </w:r>
          </w:p>
        </w:tc>
        <w:tc>
          <w:tcPr>
            <w:tcW w:w="1716" w:type="dxa"/>
            <w:tcBorders>
              <w:top w:val="single" w:sz="4" w:space="0" w:color="auto"/>
              <w:left w:val="nil"/>
              <w:bottom w:val="double" w:sz="6" w:space="0" w:color="auto"/>
              <w:right w:val="nil"/>
            </w:tcBorders>
            <w:shd w:val="clear" w:color="auto" w:fill="auto"/>
            <w:noWrap/>
            <w:hideMark/>
          </w:tcPr>
          <w:p w14:paraId="0B305A56" w14:textId="60C00424" w:rsidR="0040704A" w:rsidRPr="009E35ED" w:rsidRDefault="0040704A">
            <w:pPr>
              <w:ind w:left="0"/>
              <w:jc w:val="right"/>
              <w:rPr>
                <w:rFonts w:ascii="Arial Narrow" w:hAnsi="Arial Narrow" w:cs="Arial"/>
                <w:b/>
                <w:bCs/>
                <w:color w:val="000000" w:themeColor="text1"/>
                <w:sz w:val="20"/>
                <w:szCs w:val="20"/>
                <w:lang w:val="en-PH" w:eastAsia="en-PH"/>
              </w:rPr>
            </w:pPr>
            <w:r w:rsidRPr="009E35ED">
              <w:rPr>
                <w:rFonts w:ascii="Arial Narrow" w:hAnsi="Arial Narrow"/>
                <w:b/>
                <w:bCs/>
                <w:color w:val="000000" w:themeColor="text1"/>
                <w:sz w:val="20"/>
                <w:szCs w:val="20"/>
              </w:rPr>
              <w:t xml:space="preserve">11,184,318 </w:t>
            </w:r>
          </w:p>
        </w:tc>
      </w:tr>
      <w:tr w:rsidR="00997F75" w:rsidRPr="009E35ED" w14:paraId="4C7A3B6F" w14:textId="77777777" w:rsidTr="00C26DA1">
        <w:trPr>
          <w:trHeight w:val="300"/>
        </w:trPr>
        <w:tc>
          <w:tcPr>
            <w:tcW w:w="7286" w:type="dxa"/>
            <w:tcBorders>
              <w:top w:val="nil"/>
              <w:left w:val="nil"/>
              <w:bottom w:val="nil"/>
              <w:right w:val="nil"/>
            </w:tcBorders>
            <w:shd w:val="clear" w:color="auto" w:fill="auto"/>
            <w:vAlign w:val="bottom"/>
            <w:hideMark/>
          </w:tcPr>
          <w:p w14:paraId="6079D404" w14:textId="77777777" w:rsidR="00240956" w:rsidRPr="009E35ED" w:rsidRDefault="00240956" w:rsidP="00240956">
            <w:pPr>
              <w:ind w:left="0"/>
              <w:jc w:val="left"/>
              <w:rPr>
                <w:rFonts w:ascii="Arial Narrow" w:hAnsi="Arial Narrow" w:cs="Arial"/>
                <w:b/>
                <w:bCs/>
                <w:color w:val="000000" w:themeColor="text1"/>
                <w:sz w:val="20"/>
                <w:szCs w:val="20"/>
                <w:lang w:val="en-PH" w:eastAsia="en-PH"/>
              </w:rPr>
            </w:pPr>
          </w:p>
        </w:tc>
        <w:tc>
          <w:tcPr>
            <w:tcW w:w="1716" w:type="dxa"/>
            <w:tcBorders>
              <w:top w:val="nil"/>
              <w:left w:val="nil"/>
              <w:bottom w:val="nil"/>
              <w:right w:val="nil"/>
            </w:tcBorders>
            <w:shd w:val="clear" w:color="auto" w:fill="auto"/>
            <w:noWrap/>
            <w:vAlign w:val="bottom"/>
            <w:hideMark/>
          </w:tcPr>
          <w:p w14:paraId="3CC77FAF" w14:textId="77777777" w:rsidR="00240956" w:rsidRPr="009E35ED" w:rsidRDefault="00240956" w:rsidP="00240956">
            <w:pPr>
              <w:ind w:left="0"/>
              <w:jc w:val="right"/>
              <w:rPr>
                <w:rFonts w:ascii="Arial Narrow" w:hAnsi="Arial Narrow"/>
                <w:color w:val="000000" w:themeColor="text1"/>
                <w:sz w:val="20"/>
                <w:szCs w:val="20"/>
                <w:lang w:val="en-PH" w:eastAsia="en-PH"/>
              </w:rPr>
            </w:pPr>
          </w:p>
        </w:tc>
      </w:tr>
      <w:tr w:rsidR="00997F75" w:rsidRPr="009E35ED" w14:paraId="7D6A1941" w14:textId="77777777" w:rsidTr="00860ED6">
        <w:trPr>
          <w:trHeight w:val="107"/>
        </w:trPr>
        <w:tc>
          <w:tcPr>
            <w:tcW w:w="7286" w:type="dxa"/>
            <w:tcBorders>
              <w:top w:val="nil"/>
              <w:left w:val="nil"/>
              <w:bottom w:val="nil"/>
              <w:right w:val="nil"/>
            </w:tcBorders>
            <w:shd w:val="clear" w:color="auto" w:fill="auto"/>
            <w:hideMark/>
          </w:tcPr>
          <w:p w14:paraId="0846E985" w14:textId="416BC5E0" w:rsidR="00AE6885" w:rsidRPr="009E35ED" w:rsidRDefault="00AE6885" w:rsidP="00AE6885">
            <w:pPr>
              <w:ind w:left="0"/>
              <w:jc w:val="left"/>
              <w:rPr>
                <w:rFonts w:ascii="Arial Narrow" w:hAnsi="Arial Narrow" w:cs="Arial"/>
                <w:color w:val="000000" w:themeColor="text1"/>
                <w:sz w:val="20"/>
                <w:szCs w:val="20"/>
                <w:lang w:val="en-PH" w:eastAsia="en-PH"/>
              </w:rPr>
            </w:pPr>
            <w:r w:rsidRPr="009E35ED">
              <w:rPr>
                <w:rFonts w:ascii="Arial Narrow" w:hAnsi="Arial Narrow"/>
                <w:color w:val="000000" w:themeColor="text1"/>
                <w:sz w:val="20"/>
                <w:szCs w:val="20"/>
              </w:rPr>
              <w:t xml:space="preserve">Unrestated </w:t>
            </w:r>
            <w:r w:rsidR="00C53760">
              <w:rPr>
                <w:rFonts w:ascii="Arial Narrow" w:hAnsi="Arial Narrow"/>
                <w:color w:val="000000" w:themeColor="text1"/>
                <w:sz w:val="20"/>
                <w:szCs w:val="20"/>
              </w:rPr>
              <w:t>a</w:t>
            </w:r>
            <w:r w:rsidRPr="009E35ED">
              <w:rPr>
                <w:rFonts w:ascii="Arial Narrow" w:hAnsi="Arial Narrow"/>
                <w:color w:val="000000" w:themeColor="text1"/>
                <w:sz w:val="20"/>
                <w:szCs w:val="20"/>
              </w:rPr>
              <w:t>mount as of December 31, 2022</w:t>
            </w:r>
          </w:p>
        </w:tc>
        <w:tc>
          <w:tcPr>
            <w:tcW w:w="1716" w:type="dxa"/>
            <w:tcBorders>
              <w:top w:val="nil"/>
              <w:left w:val="nil"/>
              <w:bottom w:val="nil"/>
              <w:right w:val="nil"/>
            </w:tcBorders>
            <w:shd w:val="clear" w:color="auto" w:fill="auto"/>
            <w:noWrap/>
            <w:hideMark/>
          </w:tcPr>
          <w:p w14:paraId="23793EC7" w14:textId="2739C1FB" w:rsidR="00AE6885" w:rsidRPr="009E35ED" w:rsidRDefault="00AE6885" w:rsidP="00AE6885">
            <w:pPr>
              <w:ind w:left="0"/>
              <w:jc w:val="right"/>
              <w:rPr>
                <w:rFonts w:ascii="Arial Narrow" w:hAnsi="Arial Narrow" w:cs="Arial"/>
                <w:color w:val="000000" w:themeColor="text1"/>
                <w:sz w:val="20"/>
                <w:szCs w:val="20"/>
                <w:lang w:val="en-PH" w:eastAsia="en-PH"/>
              </w:rPr>
            </w:pPr>
            <w:r w:rsidRPr="009E35ED">
              <w:rPr>
                <w:rFonts w:ascii="Arial Narrow" w:hAnsi="Arial Narrow"/>
                <w:color w:val="000000" w:themeColor="text1"/>
                <w:sz w:val="20"/>
                <w:szCs w:val="20"/>
              </w:rPr>
              <w:t xml:space="preserve"> 1,415,478 </w:t>
            </w:r>
          </w:p>
        </w:tc>
      </w:tr>
      <w:tr w:rsidR="00997F75" w:rsidRPr="009E35ED" w14:paraId="637E82AF" w14:textId="77777777" w:rsidTr="00C26DA1">
        <w:trPr>
          <w:trHeight w:val="75"/>
        </w:trPr>
        <w:tc>
          <w:tcPr>
            <w:tcW w:w="7286" w:type="dxa"/>
            <w:tcBorders>
              <w:top w:val="nil"/>
              <w:left w:val="nil"/>
              <w:bottom w:val="nil"/>
              <w:right w:val="nil"/>
            </w:tcBorders>
            <w:shd w:val="clear" w:color="auto" w:fill="auto"/>
            <w:hideMark/>
          </w:tcPr>
          <w:p w14:paraId="6A57BEF5" w14:textId="4612C5E9" w:rsidR="00AE6885" w:rsidRPr="009E35ED" w:rsidRDefault="00AE6885" w:rsidP="00AE6885">
            <w:pPr>
              <w:ind w:left="0"/>
              <w:jc w:val="left"/>
              <w:rPr>
                <w:rFonts w:ascii="Arial Narrow" w:hAnsi="Arial Narrow" w:cs="Arial"/>
                <w:color w:val="000000" w:themeColor="text1"/>
                <w:sz w:val="20"/>
                <w:szCs w:val="20"/>
                <w:lang w:val="en-PH" w:eastAsia="en-PH"/>
              </w:rPr>
            </w:pPr>
            <w:r w:rsidRPr="009E35ED">
              <w:rPr>
                <w:rFonts w:ascii="Arial Narrow" w:hAnsi="Arial Narrow"/>
                <w:color w:val="000000" w:themeColor="text1"/>
                <w:sz w:val="20"/>
                <w:szCs w:val="20"/>
              </w:rPr>
              <w:t xml:space="preserve">Adjustment/Recording of </w:t>
            </w:r>
            <w:r w:rsidR="00C53760">
              <w:rPr>
                <w:rFonts w:ascii="Arial Narrow" w:hAnsi="Arial Narrow"/>
                <w:color w:val="000000" w:themeColor="text1"/>
                <w:sz w:val="20"/>
                <w:szCs w:val="20"/>
              </w:rPr>
              <w:t>e</w:t>
            </w:r>
            <w:r w:rsidRPr="009E35ED">
              <w:rPr>
                <w:rFonts w:ascii="Arial Narrow" w:hAnsi="Arial Narrow"/>
                <w:color w:val="000000" w:themeColor="text1"/>
                <w:sz w:val="20"/>
                <w:szCs w:val="20"/>
              </w:rPr>
              <w:t xml:space="preserve">mployees </w:t>
            </w:r>
            <w:r w:rsidR="00C53760">
              <w:rPr>
                <w:rFonts w:ascii="Arial Narrow" w:hAnsi="Arial Narrow"/>
                <w:color w:val="000000" w:themeColor="text1"/>
                <w:sz w:val="20"/>
                <w:szCs w:val="20"/>
              </w:rPr>
              <w:t>c</w:t>
            </w:r>
            <w:r w:rsidRPr="009E35ED">
              <w:rPr>
                <w:rFonts w:ascii="Arial Narrow" w:hAnsi="Arial Narrow"/>
                <w:color w:val="000000" w:themeColor="text1"/>
                <w:sz w:val="20"/>
                <w:szCs w:val="20"/>
              </w:rPr>
              <w:t xml:space="preserve">ompensation </w:t>
            </w:r>
            <w:r w:rsidR="00C53760">
              <w:rPr>
                <w:rFonts w:ascii="Arial Narrow" w:hAnsi="Arial Narrow"/>
                <w:color w:val="000000" w:themeColor="text1"/>
                <w:sz w:val="20"/>
                <w:szCs w:val="20"/>
              </w:rPr>
              <w:t>i</w:t>
            </w:r>
            <w:r w:rsidRPr="009E35ED">
              <w:rPr>
                <w:rFonts w:ascii="Arial Narrow" w:hAnsi="Arial Narrow"/>
                <w:color w:val="000000" w:themeColor="text1"/>
                <w:sz w:val="20"/>
                <w:szCs w:val="20"/>
              </w:rPr>
              <w:t xml:space="preserve">nsurance </w:t>
            </w:r>
            <w:r w:rsidR="00C53760">
              <w:rPr>
                <w:rFonts w:ascii="Arial Narrow" w:hAnsi="Arial Narrow"/>
                <w:color w:val="000000" w:themeColor="text1"/>
                <w:sz w:val="20"/>
                <w:szCs w:val="20"/>
              </w:rPr>
              <w:t>p</w:t>
            </w:r>
            <w:r w:rsidRPr="009E35ED">
              <w:rPr>
                <w:rFonts w:ascii="Arial Narrow" w:hAnsi="Arial Narrow"/>
                <w:color w:val="000000" w:themeColor="text1"/>
                <w:sz w:val="20"/>
                <w:szCs w:val="20"/>
              </w:rPr>
              <w:t>remium-Head Office</w:t>
            </w:r>
          </w:p>
        </w:tc>
        <w:tc>
          <w:tcPr>
            <w:tcW w:w="1716" w:type="dxa"/>
            <w:tcBorders>
              <w:top w:val="nil"/>
              <w:left w:val="nil"/>
              <w:bottom w:val="nil"/>
              <w:right w:val="nil"/>
            </w:tcBorders>
            <w:shd w:val="clear" w:color="auto" w:fill="auto"/>
            <w:noWrap/>
            <w:hideMark/>
          </w:tcPr>
          <w:p w14:paraId="4345B005" w14:textId="63E91524" w:rsidR="00AE6885" w:rsidRPr="009E35ED" w:rsidRDefault="00AE6885" w:rsidP="00AE6885">
            <w:pPr>
              <w:ind w:left="0"/>
              <w:jc w:val="right"/>
              <w:rPr>
                <w:rFonts w:ascii="Arial Narrow" w:hAnsi="Arial Narrow" w:cs="Arial"/>
                <w:color w:val="000000" w:themeColor="text1"/>
                <w:sz w:val="20"/>
                <w:szCs w:val="20"/>
                <w:lang w:val="en-PH" w:eastAsia="en-PH"/>
              </w:rPr>
            </w:pPr>
            <w:r w:rsidRPr="009E35ED">
              <w:rPr>
                <w:rFonts w:ascii="Arial Narrow" w:hAnsi="Arial Narrow"/>
                <w:color w:val="000000" w:themeColor="text1"/>
                <w:sz w:val="20"/>
                <w:szCs w:val="20"/>
              </w:rPr>
              <w:t xml:space="preserve"> 1,600 </w:t>
            </w:r>
          </w:p>
        </w:tc>
      </w:tr>
      <w:tr w:rsidR="00997F75" w:rsidRPr="009E35ED" w14:paraId="45F00906" w14:textId="77777777" w:rsidTr="00C26DA1">
        <w:trPr>
          <w:trHeight w:val="75"/>
        </w:trPr>
        <w:tc>
          <w:tcPr>
            <w:tcW w:w="7286" w:type="dxa"/>
            <w:tcBorders>
              <w:top w:val="nil"/>
              <w:left w:val="nil"/>
              <w:bottom w:val="nil"/>
              <w:right w:val="nil"/>
            </w:tcBorders>
            <w:shd w:val="clear" w:color="auto" w:fill="auto"/>
            <w:hideMark/>
          </w:tcPr>
          <w:p w14:paraId="07686FBC" w14:textId="2E3EAD25" w:rsidR="00AE6885" w:rsidRPr="009E35ED" w:rsidRDefault="00AE6885" w:rsidP="00AE6885">
            <w:pPr>
              <w:ind w:left="0"/>
              <w:jc w:val="left"/>
              <w:rPr>
                <w:rFonts w:ascii="Arial Narrow" w:hAnsi="Arial Narrow" w:cs="Arial"/>
                <w:color w:val="000000" w:themeColor="text1"/>
                <w:sz w:val="20"/>
                <w:szCs w:val="20"/>
                <w:lang w:val="en-PH" w:eastAsia="en-PH"/>
              </w:rPr>
            </w:pPr>
            <w:r w:rsidRPr="009E35ED">
              <w:rPr>
                <w:rFonts w:ascii="Arial Narrow" w:hAnsi="Arial Narrow"/>
                <w:color w:val="000000" w:themeColor="text1"/>
                <w:sz w:val="20"/>
                <w:szCs w:val="20"/>
              </w:rPr>
              <w:t xml:space="preserve">Adjustment/Recording of </w:t>
            </w:r>
            <w:r w:rsidR="00C53760">
              <w:rPr>
                <w:rFonts w:ascii="Arial Narrow" w:hAnsi="Arial Narrow"/>
                <w:color w:val="000000" w:themeColor="text1"/>
                <w:sz w:val="20"/>
                <w:szCs w:val="20"/>
              </w:rPr>
              <w:t>e</w:t>
            </w:r>
            <w:r w:rsidRPr="009E35ED">
              <w:rPr>
                <w:rFonts w:ascii="Arial Narrow" w:hAnsi="Arial Narrow"/>
                <w:color w:val="000000" w:themeColor="text1"/>
                <w:sz w:val="20"/>
                <w:szCs w:val="20"/>
              </w:rPr>
              <w:t xml:space="preserve">mployees </w:t>
            </w:r>
            <w:r w:rsidR="00C53760">
              <w:rPr>
                <w:rFonts w:ascii="Arial Narrow" w:hAnsi="Arial Narrow"/>
                <w:color w:val="000000" w:themeColor="text1"/>
                <w:sz w:val="20"/>
                <w:szCs w:val="20"/>
              </w:rPr>
              <w:t>c</w:t>
            </w:r>
            <w:r w:rsidRPr="009E35ED">
              <w:rPr>
                <w:rFonts w:ascii="Arial Narrow" w:hAnsi="Arial Narrow"/>
                <w:color w:val="000000" w:themeColor="text1"/>
                <w:sz w:val="20"/>
                <w:szCs w:val="20"/>
              </w:rPr>
              <w:t xml:space="preserve">ompensation </w:t>
            </w:r>
            <w:r w:rsidR="00C53760">
              <w:rPr>
                <w:rFonts w:ascii="Arial Narrow" w:hAnsi="Arial Narrow"/>
                <w:color w:val="000000" w:themeColor="text1"/>
                <w:sz w:val="20"/>
                <w:szCs w:val="20"/>
              </w:rPr>
              <w:t>i</w:t>
            </w:r>
            <w:r w:rsidRPr="009E35ED">
              <w:rPr>
                <w:rFonts w:ascii="Arial Narrow" w:hAnsi="Arial Narrow"/>
                <w:color w:val="000000" w:themeColor="text1"/>
                <w:sz w:val="20"/>
                <w:szCs w:val="20"/>
              </w:rPr>
              <w:t xml:space="preserve">nsurance </w:t>
            </w:r>
            <w:r w:rsidR="00C53760">
              <w:rPr>
                <w:rFonts w:ascii="Arial Narrow" w:hAnsi="Arial Narrow"/>
                <w:color w:val="000000" w:themeColor="text1"/>
                <w:sz w:val="20"/>
                <w:szCs w:val="20"/>
              </w:rPr>
              <w:t>p</w:t>
            </w:r>
            <w:r w:rsidRPr="009E35ED">
              <w:rPr>
                <w:rFonts w:ascii="Arial Narrow" w:hAnsi="Arial Narrow"/>
                <w:color w:val="000000" w:themeColor="text1"/>
                <w:sz w:val="20"/>
                <w:szCs w:val="20"/>
              </w:rPr>
              <w:t>remium-Branches</w:t>
            </w:r>
          </w:p>
        </w:tc>
        <w:tc>
          <w:tcPr>
            <w:tcW w:w="1716" w:type="dxa"/>
            <w:tcBorders>
              <w:top w:val="nil"/>
              <w:left w:val="nil"/>
              <w:bottom w:val="nil"/>
              <w:right w:val="nil"/>
            </w:tcBorders>
            <w:shd w:val="clear" w:color="auto" w:fill="auto"/>
            <w:noWrap/>
            <w:hideMark/>
          </w:tcPr>
          <w:p w14:paraId="4C9331F3" w14:textId="5AD9E5C3" w:rsidR="00AE6885" w:rsidRPr="009E35ED" w:rsidRDefault="00AE6885" w:rsidP="00AE6885">
            <w:pPr>
              <w:ind w:left="0"/>
              <w:jc w:val="right"/>
              <w:rPr>
                <w:rFonts w:ascii="Arial Narrow" w:hAnsi="Arial Narrow" w:cs="Arial"/>
                <w:color w:val="000000" w:themeColor="text1"/>
                <w:sz w:val="20"/>
                <w:szCs w:val="20"/>
                <w:lang w:val="en-PH" w:eastAsia="en-PH"/>
              </w:rPr>
            </w:pPr>
            <w:r w:rsidRPr="009E35ED">
              <w:rPr>
                <w:rFonts w:ascii="Arial Narrow" w:hAnsi="Arial Narrow"/>
                <w:color w:val="000000" w:themeColor="text1"/>
                <w:sz w:val="20"/>
                <w:szCs w:val="20"/>
              </w:rPr>
              <w:t xml:space="preserve"> (10,590)</w:t>
            </w:r>
          </w:p>
        </w:tc>
      </w:tr>
      <w:tr w:rsidR="00997F75" w:rsidRPr="009E35ED" w14:paraId="60C52B49" w14:textId="77777777" w:rsidTr="00C26DA1">
        <w:trPr>
          <w:trHeight w:val="71"/>
        </w:trPr>
        <w:tc>
          <w:tcPr>
            <w:tcW w:w="7286" w:type="dxa"/>
            <w:tcBorders>
              <w:top w:val="single" w:sz="4" w:space="0" w:color="auto"/>
              <w:left w:val="nil"/>
              <w:bottom w:val="double" w:sz="6" w:space="0" w:color="auto"/>
              <w:right w:val="nil"/>
            </w:tcBorders>
            <w:shd w:val="clear" w:color="auto" w:fill="auto"/>
            <w:hideMark/>
          </w:tcPr>
          <w:p w14:paraId="24970B8A" w14:textId="40F87E05" w:rsidR="00AE6885" w:rsidRPr="009E35ED" w:rsidRDefault="00AE6885" w:rsidP="00AE6885">
            <w:pPr>
              <w:ind w:left="0"/>
              <w:jc w:val="left"/>
              <w:rPr>
                <w:rFonts w:ascii="Arial Narrow" w:hAnsi="Arial Narrow" w:cs="Arial"/>
                <w:b/>
                <w:bCs/>
                <w:color w:val="000000" w:themeColor="text1"/>
                <w:sz w:val="20"/>
                <w:szCs w:val="20"/>
                <w:lang w:val="en-PH" w:eastAsia="en-PH"/>
              </w:rPr>
            </w:pPr>
            <w:r w:rsidRPr="009E35ED">
              <w:rPr>
                <w:rFonts w:ascii="Arial Narrow" w:hAnsi="Arial Narrow"/>
                <w:b/>
                <w:bCs/>
                <w:color w:val="000000" w:themeColor="text1"/>
                <w:sz w:val="20"/>
                <w:szCs w:val="20"/>
              </w:rPr>
              <w:t>Restated Amount as of December 31, 2022 - Employees Compensation Insurance Premium (Operating Fund)</w:t>
            </w:r>
          </w:p>
        </w:tc>
        <w:tc>
          <w:tcPr>
            <w:tcW w:w="1716" w:type="dxa"/>
            <w:tcBorders>
              <w:top w:val="single" w:sz="4" w:space="0" w:color="auto"/>
              <w:left w:val="nil"/>
              <w:bottom w:val="double" w:sz="6" w:space="0" w:color="auto"/>
              <w:right w:val="nil"/>
            </w:tcBorders>
            <w:shd w:val="clear" w:color="auto" w:fill="auto"/>
            <w:noWrap/>
            <w:hideMark/>
          </w:tcPr>
          <w:p w14:paraId="21618F5B" w14:textId="77777777" w:rsidR="00D0688D" w:rsidRPr="009E35ED" w:rsidRDefault="00D0688D" w:rsidP="00AE6885">
            <w:pPr>
              <w:ind w:left="0"/>
              <w:jc w:val="right"/>
              <w:rPr>
                <w:rFonts w:ascii="Arial Narrow" w:hAnsi="Arial Narrow"/>
                <w:b/>
                <w:bCs/>
                <w:color w:val="000000" w:themeColor="text1"/>
                <w:sz w:val="20"/>
                <w:szCs w:val="20"/>
              </w:rPr>
            </w:pPr>
          </w:p>
          <w:p w14:paraId="51A2773C" w14:textId="68DA7FB1" w:rsidR="00AE6885" w:rsidRPr="009E35ED" w:rsidRDefault="00AE6885" w:rsidP="00AE6885">
            <w:pPr>
              <w:ind w:left="0"/>
              <w:jc w:val="right"/>
              <w:rPr>
                <w:rFonts w:ascii="Arial Narrow" w:hAnsi="Arial Narrow" w:cs="Arial"/>
                <w:b/>
                <w:bCs/>
                <w:color w:val="000000" w:themeColor="text1"/>
                <w:sz w:val="20"/>
                <w:szCs w:val="20"/>
                <w:lang w:val="en-PH" w:eastAsia="en-PH"/>
              </w:rPr>
            </w:pPr>
            <w:r w:rsidRPr="009E35ED">
              <w:rPr>
                <w:rFonts w:ascii="Arial Narrow" w:hAnsi="Arial Narrow"/>
                <w:b/>
                <w:bCs/>
                <w:color w:val="000000" w:themeColor="text1"/>
                <w:sz w:val="20"/>
                <w:szCs w:val="20"/>
              </w:rPr>
              <w:t xml:space="preserve"> 1,406,488 </w:t>
            </w:r>
          </w:p>
        </w:tc>
      </w:tr>
      <w:tr w:rsidR="00997F75" w:rsidRPr="009E35ED" w14:paraId="6E02037E" w14:textId="77777777" w:rsidTr="00C26DA1">
        <w:trPr>
          <w:trHeight w:val="300"/>
        </w:trPr>
        <w:tc>
          <w:tcPr>
            <w:tcW w:w="7286" w:type="dxa"/>
            <w:tcBorders>
              <w:top w:val="nil"/>
              <w:left w:val="nil"/>
              <w:bottom w:val="nil"/>
              <w:right w:val="nil"/>
            </w:tcBorders>
            <w:shd w:val="clear" w:color="auto" w:fill="auto"/>
            <w:vAlign w:val="bottom"/>
            <w:hideMark/>
          </w:tcPr>
          <w:p w14:paraId="071A7E58" w14:textId="77777777" w:rsidR="00240956" w:rsidRPr="009E35ED" w:rsidRDefault="00240956" w:rsidP="00240956">
            <w:pPr>
              <w:ind w:left="0"/>
              <w:jc w:val="left"/>
              <w:rPr>
                <w:rFonts w:ascii="Arial Narrow" w:hAnsi="Arial Narrow" w:cs="Arial"/>
                <w:b/>
                <w:bCs/>
                <w:color w:val="000000" w:themeColor="text1"/>
                <w:sz w:val="20"/>
                <w:szCs w:val="20"/>
                <w:lang w:val="en-PH" w:eastAsia="en-PH"/>
              </w:rPr>
            </w:pPr>
          </w:p>
        </w:tc>
        <w:tc>
          <w:tcPr>
            <w:tcW w:w="1716" w:type="dxa"/>
            <w:tcBorders>
              <w:top w:val="nil"/>
              <w:left w:val="nil"/>
              <w:bottom w:val="nil"/>
              <w:right w:val="nil"/>
            </w:tcBorders>
            <w:shd w:val="clear" w:color="auto" w:fill="auto"/>
            <w:noWrap/>
            <w:vAlign w:val="bottom"/>
            <w:hideMark/>
          </w:tcPr>
          <w:p w14:paraId="1E6D9BE3" w14:textId="77777777" w:rsidR="00240956" w:rsidRPr="009E35ED" w:rsidRDefault="00240956" w:rsidP="00240956">
            <w:pPr>
              <w:ind w:left="0"/>
              <w:jc w:val="right"/>
              <w:rPr>
                <w:rFonts w:ascii="Arial Narrow" w:hAnsi="Arial Narrow"/>
                <w:color w:val="000000" w:themeColor="text1"/>
                <w:sz w:val="20"/>
                <w:szCs w:val="20"/>
                <w:lang w:val="en-PH" w:eastAsia="en-PH"/>
              </w:rPr>
            </w:pPr>
          </w:p>
        </w:tc>
      </w:tr>
      <w:tr w:rsidR="00997F75" w:rsidRPr="009E35ED" w14:paraId="7E903CFA" w14:textId="77777777" w:rsidTr="00860ED6">
        <w:trPr>
          <w:trHeight w:val="157"/>
        </w:trPr>
        <w:tc>
          <w:tcPr>
            <w:tcW w:w="7286" w:type="dxa"/>
            <w:tcBorders>
              <w:top w:val="nil"/>
              <w:left w:val="nil"/>
              <w:bottom w:val="nil"/>
              <w:right w:val="nil"/>
            </w:tcBorders>
            <w:shd w:val="clear" w:color="auto" w:fill="auto"/>
            <w:hideMark/>
          </w:tcPr>
          <w:p w14:paraId="5E4CE32C" w14:textId="35852D93" w:rsidR="00446D8E" w:rsidRPr="009E35ED" w:rsidRDefault="00446D8E" w:rsidP="00446D8E">
            <w:pPr>
              <w:ind w:left="0"/>
              <w:jc w:val="left"/>
              <w:rPr>
                <w:rFonts w:ascii="Arial Narrow" w:hAnsi="Arial Narrow" w:cs="Arial"/>
                <w:color w:val="000000" w:themeColor="text1"/>
                <w:sz w:val="20"/>
                <w:szCs w:val="20"/>
                <w:lang w:val="en-PH" w:eastAsia="en-PH"/>
              </w:rPr>
            </w:pPr>
            <w:r w:rsidRPr="009E35ED">
              <w:rPr>
                <w:rFonts w:ascii="Arial Narrow" w:hAnsi="Arial Narrow"/>
                <w:color w:val="000000" w:themeColor="text1"/>
                <w:sz w:val="20"/>
                <w:szCs w:val="20"/>
              </w:rPr>
              <w:t xml:space="preserve">Unrestated </w:t>
            </w:r>
            <w:r w:rsidR="00C53760">
              <w:rPr>
                <w:rFonts w:ascii="Arial Narrow" w:hAnsi="Arial Narrow"/>
                <w:color w:val="000000" w:themeColor="text1"/>
                <w:sz w:val="20"/>
                <w:szCs w:val="20"/>
              </w:rPr>
              <w:t>a</w:t>
            </w:r>
            <w:r w:rsidRPr="009E35ED">
              <w:rPr>
                <w:rFonts w:ascii="Arial Narrow" w:hAnsi="Arial Narrow"/>
                <w:color w:val="000000" w:themeColor="text1"/>
                <w:sz w:val="20"/>
                <w:szCs w:val="20"/>
              </w:rPr>
              <w:t>mount as of December 31, 2022</w:t>
            </w:r>
          </w:p>
        </w:tc>
        <w:tc>
          <w:tcPr>
            <w:tcW w:w="1716" w:type="dxa"/>
            <w:tcBorders>
              <w:top w:val="nil"/>
              <w:left w:val="nil"/>
              <w:bottom w:val="nil"/>
              <w:right w:val="nil"/>
            </w:tcBorders>
            <w:shd w:val="clear" w:color="auto" w:fill="auto"/>
            <w:noWrap/>
            <w:hideMark/>
          </w:tcPr>
          <w:p w14:paraId="46B3E620" w14:textId="10F744F5" w:rsidR="00446D8E" w:rsidRPr="009E35ED" w:rsidRDefault="00446D8E" w:rsidP="00446D8E">
            <w:pPr>
              <w:ind w:left="0"/>
              <w:jc w:val="right"/>
              <w:rPr>
                <w:rFonts w:ascii="Arial Narrow" w:hAnsi="Arial Narrow" w:cs="Arial"/>
                <w:color w:val="000000" w:themeColor="text1"/>
                <w:sz w:val="20"/>
                <w:szCs w:val="20"/>
                <w:lang w:val="en-PH" w:eastAsia="en-PH"/>
              </w:rPr>
            </w:pPr>
            <w:r w:rsidRPr="009E35ED">
              <w:rPr>
                <w:rFonts w:ascii="Arial Narrow" w:hAnsi="Arial Narrow"/>
                <w:color w:val="000000" w:themeColor="text1"/>
                <w:sz w:val="20"/>
                <w:szCs w:val="20"/>
              </w:rPr>
              <w:t xml:space="preserve"> 20,320,569 </w:t>
            </w:r>
          </w:p>
        </w:tc>
      </w:tr>
      <w:tr w:rsidR="00997F75" w:rsidRPr="009E35ED" w14:paraId="24596190" w14:textId="77777777" w:rsidTr="00C26DA1">
        <w:trPr>
          <w:trHeight w:val="75"/>
        </w:trPr>
        <w:tc>
          <w:tcPr>
            <w:tcW w:w="7286" w:type="dxa"/>
            <w:tcBorders>
              <w:top w:val="nil"/>
              <w:left w:val="nil"/>
              <w:bottom w:val="nil"/>
              <w:right w:val="nil"/>
            </w:tcBorders>
            <w:shd w:val="clear" w:color="auto" w:fill="auto"/>
            <w:hideMark/>
          </w:tcPr>
          <w:p w14:paraId="11F419C2" w14:textId="504DD5CA" w:rsidR="00446D8E" w:rsidRPr="009E35ED" w:rsidRDefault="00446D8E" w:rsidP="00446D8E">
            <w:pPr>
              <w:ind w:left="0"/>
              <w:jc w:val="left"/>
              <w:rPr>
                <w:rFonts w:ascii="Arial Narrow" w:hAnsi="Arial Narrow" w:cs="Arial"/>
                <w:color w:val="000000" w:themeColor="text1"/>
                <w:sz w:val="20"/>
                <w:szCs w:val="20"/>
                <w:lang w:val="en-PH" w:eastAsia="en-PH"/>
              </w:rPr>
            </w:pPr>
            <w:r w:rsidRPr="009E35ED">
              <w:rPr>
                <w:rFonts w:ascii="Arial Narrow" w:hAnsi="Arial Narrow"/>
                <w:color w:val="000000" w:themeColor="text1"/>
                <w:sz w:val="20"/>
                <w:szCs w:val="20"/>
              </w:rPr>
              <w:t xml:space="preserve">Adjustment/Recording of </w:t>
            </w:r>
            <w:r w:rsidR="00C53760">
              <w:rPr>
                <w:rFonts w:ascii="Arial Narrow" w:hAnsi="Arial Narrow"/>
                <w:color w:val="000000" w:themeColor="text1"/>
                <w:sz w:val="20"/>
                <w:szCs w:val="20"/>
              </w:rPr>
              <w:t>t</w:t>
            </w:r>
            <w:r w:rsidRPr="009E35ED">
              <w:rPr>
                <w:rFonts w:ascii="Arial Narrow" w:hAnsi="Arial Narrow"/>
                <w:color w:val="000000" w:themeColor="text1"/>
                <w:sz w:val="20"/>
                <w:szCs w:val="20"/>
              </w:rPr>
              <w:t xml:space="preserve">erminal </w:t>
            </w:r>
            <w:r w:rsidR="00C53760">
              <w:rPr>
                <w:rFonts w:ascii="Arial Narrow" w:hAnsi="Arial Narrow"/>
                <w:color w:val="000000" w:themeColor="text1"/>
                <w:sz w:val="20"/>
                <w:szCs w:val="20"/>
              </w:rPr>
              <w:t>l</w:t>
            </w:r>
            <w:r w:rsidRPr="009E35ED">
              <w:rPr>
                <w:rFonts w:ascii="Arial Narrow" w:hAnsi="Arial Narrow"/>
                <w:color w:val="000000" w:themeColor="text1"/>
                <w:sz w:val="20"/>
                <w:szCs w:val="20"/>
              </w:rPr>
              <w:t xml:space="preserve">eave </w:t>
            </w:r>
            <w:r w:rsidR="00C53760">
              <w:rPr>
                <w:rFonts w:ascii="Arial Narrow" w:hAnsi="Arial Narrow"/>
                <w:color w:val="000000" w:themeColor="text1"/>
                <w:sz w:val="20"/>
                <w:szCs w:val="20"/>
              </w:rPr>
              <w:t>b</w:t>
            </w:r>
            <w:r w:rsidRPr="009E35ED">
              <w:rPr>
                <w:rFonts w:ascii="Arial Narrow" w:hAnsi="Arial Narrow"/>
                <w:color w:val="000000" w:themeColor="text1"/>
                <w:sz w:val="20"/>
                <w:szCs w:val="20"/>
              </w:rPr>
              <w:t>enefit-Head Office</w:t>
            </w:r>
          </w:p>
        </w:tc>
        <w:tc>
          <w:tcPr>
            <w:tcW w:w="1716" w:type="dxa"/>
            <w:tcBorders>
              <w:top w:val="nil"/>
              <w:left w:val="nil"/>
              <w:bottom w:val="nil"/>
              <w:right w:val="nil"/>
            </w:tcBorders>
            <w:shd w:val="clear" w:color="auto" w:fill="auto"/>
            <w:noWrap/>
            <w:hideMark/>
          </w:tcPr>
          <w:p w14:paraId="5C8CE5D1" w14:textId="6CDF4996" w:rsidR="00446D8E" w:rsidRPr="009E35ED" w:rsidRDefault="00446D8E" w:rsidP="00446D8E">
            <w:pPr>
              <w:ind w:left="0"/>
              <w:jc w:val="right"/>
              <w:rPr>
                <w:rFonts w:ascii="Arial Narrow" w:hAnsi="Arial Narrow" w:cs="Arial"/>
                <w:color w:val="000000" w:themeColor="text1"/>
                <w:sz w:val="20"/>
                <w:szCs w:val="20"/>
                <w:lang w:val="en-PH" w:eastAsia="en-PH"/>
              </w:rPr>
            </w:pPr>
            <w:r w:rsidRPr="009E35ED">
              <w:rPr>
                <w:rFonts w:ascii="Arial Narrow" w:hAnsi="Arial Narrow"/>
                <w:color w:val="000000" w:themeColor="text1"/>
                <w:sz w:val="20"/>
                <w:szCs w:val="20"/>
              </w:rPr>
              <w:t xml:space="preserve"> (8,481)</w:t>
            </w:r>
          </w:p>
        </w:tc>
      </w:tr>
      <w:tr w:rsidR="00997F75" w:rsidRPr="009E35ED" w14:paraId="55053868" w14:textId="77777777" w:rsidTr="00C26DA1">
        <w:trPr>
          <w:trHeight w:val="80"/>
        </w:trPr>
        <w:tc>
          <w:tcPr>
            <w:tcW w:w="7286" w:type="dxa"/>
            <w:tcBorders>
              <w:top w:val="single" w:sz="4" w:space="0" w:color="auto"/>
              <w:left w:val="nil"/>
              <w:bottom w:val="double" w:sz="6" w:space="0" w:color="auto"/>
              <w:right w:val="nil"/>
            </w:tcBorders>
            <w:shd w:val="clear" w:color="auto" w:fill="auto"/>
            <w:hideMark/>
          </w:tcPr>
          <w:p w14:paraId="1400949A" w14:textId="0244130F" w:rsidR="00446D8E" w:rsidRPr="009E35ED" w:rsidRDefault="00446D8E" w:rsidP="00446D8E">
            <w:pPr>
              <w:ind w:left="0"/>
              <w:jc w:val="left"/>
              <w:rPr>
                <w:rFonts w:ascii="Arial Narrow" w:hAnsi="Arial Narrow" w:cs="Arial"/>
                <w:b/>
                <w:bCs/>
                <w:color w:val="000000" w:themeColor="text1"/>
                <w:sz w:val="20"/>
                <w:szCs w:val="20"/>
                <w:lang w:val="en-PH" w:eastAsia="en-PH"/>
              </w:rPr>
            </w:pPr>
            <w:r w:rsidRPr="009E35ED">
              <w:rPr>
                <w:rFonts w:ascii="Arial Narrow" w:hAnsi="Arial Narrow"/>
                <w:b/>
                <w:bCs/>
                <w:color w:val="000000" w:themeColor="text1"/>
                <w:sz w:val="20"/>
                <w:szCs w:val="20"/>
              </w:rPr>
              <w:t>Restated Amount as of December 31, 2022 - Terminal Leave Benefit (Operating Fund)</w:t>
            </w:r>
          </w:p>
        </w:tc>
        <w:tc>
          <w:tcPr>
            <w:tcW w:w="1716" w:type="dxa"/>
            <w:tcBorders>
              <w:top w:val="single" w:sz="4" w:space="0" w:color="auto"/>
              <w:left w:val="nil"/>
              <w:bottom w:val="double" w:sz="6" w:space="0" w:color="auto"/>
              <w:right w:val="nil"/>
            </w:tcBorders>
            <w:shd w:val="clear" w:color="auto" w:fill="auto"/>
            <w:noWrap/>
            <w:hideMark/>
          </w:tcPr>
          <w:p w14:paraId="75518FC4" w14:textId="550F8431" w:rsidR="00446D8E" w:rsidRPr="009E35ED" w:rsidRDefault="00446D8E">
            <w:pPr>
              <w:ind w:left="0"/>
              <w:jc w:val="right"/>
              <w:rPr>
                <w:rFonts w:ascii="Arial Narrow" w:hAnsi="Arial Narrow" w:cs="Arial"/>
                <w:b/>
                <w:bCs/>
                <w:color w:val="000000" w:themeColor="text1"/>
                <w:sz w:val="20"/>
                <w:szCs w:val="20"/>
                <w:lang w:val="en-PH" w:eastAsia="en-PH"/>
              </w:rPr>
            </w:pPr>
            <w:r w:rsidRPr="009E35ED">
              <w:rPr>
                <w:rFonts w:ascii="Arial Narrow" w:hAnsi="Arial Narrow"/>
                <w:b/>
                <w:bCs/>
                <w:color w:val="000000" w:themeColor="text1"/>
                <w:sz w:val="20"/>
                <w:szCs w:val="20"/>
              </w:rPr>
              <w:t xml:space="preserve">20,312,088 </w:t>
            </w:r>
          </w:p>
        </w:tc>
      </w:tr>
      <w:tr w:rsidR="00997F75" w:rsidRPr="009E35ED" w14:paraId="7AF06145" w14:textId="77777777" w:rsidTr="00C26DA1">
        <w:trPr>
          <w:trHeight w:val="300"/>
        </w:trPr>
        <w:tc>
          <w:tcPr>
            <w:tcW w:w="7286" w:type="dxa"/>
            <w:tcBorders>
              <w:top w:val="nil"/>
              <w:left w:val="nil"/>
              <w:bottom w:val="nil"/>
              <w:right w:val="nil"/>
            </w:tcBorders>
            <w:shd w:val="clear" w:color="auto" w:fill="auto"/>
            <w:vAlign w:val="bottom"/>
            <w:hideMark/>
          </w:tcPr>
          <w:p w14:paraId="4451BE54" w14:textId="77777777" w:rsidR="00240956" w:rsidRPr="009E35ED" w:rsidRDefault="00240956" w:rsidP="00240956">
            <w:pPr>
              <w:ind w:left="0"/>
              <w:jc w:val="left"/>
              <w:rPr>
                <w:rFonts w:ascii="Arial Narrow" w:hAnsi="Arial Narrow" w:cs="Arial"/>
                <w:b/>
                <w:bCs/>
                <w:color w:val="000000" w:themeColor="text1"/>
                <w:sz w:val="20"/>
                <w:szCs w:val="20"/>
                <w:lang w:val="en-PH" w:eastAsia="en-PH"/>
              </w:rPr>
            </w:pPr>
          </w:p>
        </w:tc>
        <w:tc>
          <w:tcPr>
            <w:tcW w:w="1716" w:type="dxa"/>
            <w:tcBorders>
              <w:top w:val="nil"/>
              <w:left w:val="nil"/>
              <w:bottom w:val="nil"/>
              <w:right w:val="nil"/>
            </w:tcBorders>
            <w:shd w:val="clear" w:color="auto" w:fill="auto"/>
            <w:noWrap/>
            <w:vAlign w:val="bottom"/>
            <w:hideMark/>
          </w:tcPr>
          <w:p w14:paraId="0EFF8079" w14:textId="77777777" w:rsidR="00240956" w:rsidRPr="009E35ED" w:rsidRDefault="00240956" w:rsidP="00240956">
            <w:pPr>
              <w:ind w:left="0"/>
              <w:jc w:val="right"/>
              <w:rPr>
                <w:rFonts w:ascii="Arial Narrow" w:hAnsi="Arial Narrow"/>
                <w:color w:val="000000" w:themeColor="text1"/>
                <w:sz w:val="20"/>
                <w:szCs w:val="20"/>
                <w:lang w:val="en-PH" w:eastAsia="en-PH"/>
              </w:rPr>
            </w:pPr>
          </w:p>
        </w:tc>
      </w:tr>
      <w:tr w:rsidR="00997F75" w:rsidRPr="009E35ED" w14:paraId="27341EE2" w14:textId="77777777" w:rsidTr="00C26DA1">
        <w:trPr>
          <w:trHeight w:val="75"/>
        </w:trPr>
        <w:tc>
          <w:tcPr>
            <w:tcW w:w="7286" w:type="dxa"/>
            <w:tcBorders>
              <w:top w:val="nil"/>
              <w:left w:val="nil"/>
              <w:bottom w:val="nil"/>
              <w:right w:val="nil"/>
            </w:tcBorders>
            <w:shd w:val="clear" w:color="auto" w:fill="auto"/>
            <w:hideMark/>
          </w:tcPr>
          <w:p w14:paraId="72D0808F" w14:textId="4F4F3586" w:rsidR="00763EF5" w:rsidRPr="009E35ED" w:rsidRDefault="00763EF5" w:rsidP="00763EF5">
            <w:pPr>
              <w:ind w:left="0"/>
              <w:jc w:val="left"/>
              <w:rPr>
                <w:rFonts w:ascii="Arial Narrow" w:hAnsi="Arial Narrow" w:cs="Arial"/>
                <w:color w:val="000000" w:themeColor="text1"/>
                <w:sz w:val="20"/>
                <w:szCs w:val="20"/>
                <w:lang w:val="en-PH" w:eastAsia="en-PH"/>
              </w:rPr>
            </w:pPr>
            <w:r w:rsidRPr="009E35ED">
              <w:rPr>
                <w:rFonts w:ascii="Arial Narrow" w:hAnsi="Arial Narrow"/>
                <w:color w:val="000000" w:themeColor="text1"/>
                <w:sz w:val="20"/>
                <w:szCs w:val="20"/>
              </w:rPr>
              <w:t xml:space="preserve">Unrestated </w:t>
            </w:r>
            <w:r w:rsidR="00C53760">
              <w:rPr>
                <w:rFonts w:ascii="Arial Narrow" w:hAnsi="Arial Narrow"/>
                <w:color w:val="000000" w:themeColor="text1"/>
                <w:sz w:val="20"/>
                <w:szCs w:val="20"/>
              </w:rPr>
              <w:t>a</w:t>
            </w:r>
            <w:r w:rsidRPr="009E35ED">
              <w:rPr>
                <w:rFonts w:ascii="Arial Narrow" w:hAnsi="Arial Narrow"/>
                <w:color w:val="000000" w:themeColor="text1"/>
                <w:sz w:val="20"/>
                <w:szCs w:val="20"/>
              </w:rPr>
              <w:t>mount as of December 31, 2022</w:t>
            </w:r>
          </w:p>
        </w:tc>
        <w:tc>
          <w:tcPr>
            <w:tcW w:w="1716" w:type="dxa"/>
            <w:tcBorders>
              <w:top w:val="nil"/>
              <w:left w:val="nil"/>
              <w:bottom w:val="nil"/>
              <w:right w:val="nil"/>
            </w:tcBorders>
            <w:shd w:val="clear" w:color="auto" w:fill="auto"/>
            <w:noWrap/>
            <w:hideMark/>
          </w:tcPr>
          <w:p w14:paraId="43E0EEC0" w14:textId="47DF8A01" w:rsidR="00763EF5" w:rsidRPr="009E35ED" w:rsidRDefault="00763EF5" w:rsidP="00763EF5">
            <w:pPr>
              <w:ind w:left="0"/>
              <w:jc w:val="right"/>
              <w:rPr>
                <w:rFonts w:ascii="Arial Narrow" w:hAnsi="Arial Narrow" w:cs="Arial"/>
                <w:color w:val="000000" w:themeColor="text1"/>
                <w:sz w:val="20"/>
                <w:szCs w:val="20"/>
                <w:lang w:val="en-PH" w:eastAsia="en-PH"/>
              </w:rPr>
            </w:pPr>
            <w:r w:rsidRPr="009E35ED">
              <w:rPr>
                <w:rFonts w:ascii="Arial Narrow" w:hAnsi="Arial Narrow"/>
                <w:color w:val="000000" w:themeColor="text1"/>
                <w:sz w:val="20"/>
                <w:szCs w:val="20"/>
              </w:rPr>
              <w:t xml:space="preserve"> 12,493,798 </w:t>
            </w:r>
          </w:p>
        </w:tc>
      </w:tr>
      <w:tr w:rsidR="00997F75" w:rsidRPr="009E35ED" w14:paraId="437B78B1" w14:textId="77777777" w:rsidTr="00860ED6">
        <w:trPr>
          <w:trHeight w:val="161"/>
        </w:trPr>
        <w:tc>
          <w:tcPr>
            <w:tcW w:w="7286" w:type="dxa"/>
            <w:tcBorders>
              <w:top w:val="nil"/>
              <w:left w:val="nil"/>
              <w:bottom w:val="nil"/>
              <w:right w:val="nil"/>
            </w:tcBorders>
            <w:shd w:val="clear" w:color="auto" w:fill="auto"/>
            <w:hideMark/>
          </w:tcPr>
          <w:p w14:paraId="1591837E" w14:textId="297F82CB" w:rsidR="00763EF5" w:rsidRPr="009E35ED" w:rsidRDefault="00763EF5" w:rsidP="00763EF5">
            <w:pPr>
              <w:ind w:left="0"/>
              <w:jc w:val="left"/>
              <w:rPr>
                <w:rFonts w:ascii="Arial Narrow" w:hAnsi="Arial Narrow" w:cs="Arial"/>
                <w:color w:val="000000" w:themeColor="text1"/>
                <w:sz w:val="20"/>
                <w:szCs w:val="20"/>
                <w:lang w:val="en-PH" w:eastAsia="en-PH"/>
              </w:rPr>
            </w:pPr>
            <w:r w:rsidRPr="009E35ED">
              <w:rPr>
                <w:rFonts w:ascii="Arial Narrow" w:hAnsi="Arial Narrow"/>
                <w:color w:val="000000" w:themeColor="text1"/>
                <w:sz w:val="20"/>
                <w:szCs w:val="20"/>
              </w:rPr>
              <w:t xml:space="preserve">Adjustment/Recording of </w:t>
            </w:r>
            <w:r w:rsidR="00C53760">
              <w:rPr>
                <w:rFonts w:ascii="Arial Narrow" w:hAnsi="Arial Narrow"/>
                <w:color w:val="000000" w:themeColor="text1"/>
                <w:sz w:val="20"/>
                <w:szCs w:val="20"/>
              </w:rPr>
              <w:t>t</w:t>
            </w:r>
            <w:r w:rsidRPr="009E35ED">
              <w:rPr>
                <w:rFonts w:ascii="Arial Narrow" w:hAnsi="Arial Narrow"/>
                <w:color w:val="000000" w:themeColor="text1"/>
                <w:sz w:val="20"/>
                <w:szCs w:val="20"/>
              </w:rPr>
              <w:t xml:space="preserve">ravelling </w:t>
            </w:r>
            <w:r w:rsidR="00C53760">
              <w:rPr>
                <w:rFonts w:ascii="Arial Narrow" w:hAnsi="Arial Narrow"/>
                <w:color w:val="000000" w:themeColor="text1"/>
                <w:sz w:val="20"/>
                <w:szCs w:val="20"/>
              </w:rPr>
              <w:t>e</w:t>
            </w:r>
            <w:r w:rsidRPr="009E35ED">
              <w:rPr>
                <w:rFonts w:ascii="Arial Narrow" w:hAnsi="Arial Narrow"/>
                <w:color w:val="000000" w:themeColor="text1"/>
                <w:sz w:val="20"/>
                <w:szCs w:val="20"/>
              </w:rPr>
              <w:t xml:space="preserve">xpenses - </w:t>
            </w:r>
            <w:r w:rsidR="00C53760">
              <w:rPr>
                <w:rFonts w:ascii="Arial Narrow" w:hAnsi="Arial Narrow"/>
                <w:color w:val="000000" w:themeColor="text1"/>
                <w:sz w:val="20"/>
                <w:szCs w:val="20"/>
              </w:rPr>
              <w:t>l</w:t>
            </w:r>
            <w:r w:rsidRPr="009E35ED">
              <w:rPr>
                <w:rFonts w:ascii="Arial Narrow" w:hAnsi="Arial Narrow"/>
                <w:color w:val="000000" w:themeColor="text1"/>
                <w:sz w:val="20"/>
                <w:szCs w:val="20"/>
              </w:rPr>
              <w:t>ocal - Branch</w:t>
            </w:r>
          </w:p>
        </w:tc>
        <w:tc>
          <w:tcPr>
            <w:tcW w:w="1716" w:type="dxa"/>
            <w:tcBorders>
              <w:top w:val="nil"/>
              <w:left w:val="nil"/>
              <w:bottom w:val="nil"/>
              <w:right w:val="nil"/>
            </w:tcBorders>
            <w:shd w:val="clear" w:color="auto" w:fill="auto"/>
            <w:noWrap/>
            <w:hideMark/>
          </w:tcPr>
          <w:p w14:paraId="0A6E45E1" w14:textId="7E19D433" w:rsidR="00763EF5" w:rsidRPr="009E35ED" w:rsidRDefault="00763EF5" w:rsidP="00C03EBC">
            <w:pPr>
              <w:ind w:left="0"/>
              <w:jc w:val="right"/>
              <w:rPr>
                <w:rFonts w:ascii="Arial Narrow" w:hAnsi="Arial Narrow" w:cs="Arial"/>
                <w:color w:val="000000" w:themeColor="text1"/>
                <w:sz w:val="20"/>
                <w:szCs w:val="20"/>
                <w:lang w:val="en-PH" w:eastAsia="en-PH"/>
              </w:rPr>
            </w:pPr>
            <w:r w:rsidRPr="009E35ED">
              <w:rPr>
                <w:rFonts w:ascii="Arial Narrow" w:hAnsi="Arial Narrow"/>
                <w:color w:val="000000" w:themeColor="text1"/>
                <w:sz w:val="20"/>
                <w:szCs w:val="20"/>
              </w:rPr>
              <w:t xml:space="preserve"> </w:t>
            </w:r>
            <w:r w:rsidR="00C03EBC" w:rsidRPr="009E35ED">
              <w:rPr>
                <w:rFonts w:ascii="Arial Narrow" w:hAnsi="Arial Narrow"/>
                <w:color w:val="000000" w:themeColor="text1"/>
                <w:sz w:val="20"/>
                <w:szCs w:val="20"/>
              </w:rPr>
              <w:t>(991)</w:t>
            </w:r>
            <w:r w:rsidRPr="009E35ED">
              <w:rPr>
                <w:rFonts w:ascii="Arial Narrow" w:hAnsi="Arial Narrow"/>
                <w:color w:val="000000" w:themeColor="text1"/>
                <w:sz w:val="20"/>
                <w:szCs w:val="20"/>
              </w:rPr>
              <w:t xml:space="preserve"> </w:t>
            </w:r>
          </w:p>
        </w:tc>
      </w:tr>
      <w:tr w:rsidR="00997F75" w:rsidRPr="009E35ED" w14:paraId="7AF3E74A" w14:textId="77777777" w:rsidTr="00C26DA1">
        <w:trPr>
          <w:trHeight w:val="75"/>
        </w:trPr>
        <w:tc>
          <w:tcPr>
            <w:tcW w:w="7286" w:type="dxa"/>
            <w:tcBorders>
              <w:top w:val="nil"/>
              <w:left w:val="nil"/>
              <w:bottom w:val="nil"/>
              <w:right w:val="nil"/>
            </w:tcBorders>
            <w:shd w:val="clear" w:color="auto" w:fill="auto"/>
            <w:hideMark/>
          </w:tcPr>
          <w:p w14:paraId="72D201BA" w14:textId="176DA600" w:rsidR="00763EF5" w:rsidRPr="009E35ED" w:rsidRDefault="00763EF5" w:rsidP="00763EF5">
            <w:pPr>
              <w:ind w:left="0"/>
              <w:jc w:val="left"/>
              <w:rPr>
                <w:rFonts w:ascii="Arial Narrow" w:hAnsi="Arial Narrow" w:cs="Arial"/>
                <w:color w:val="000000" w:themeColor="text1"/>
                <w:sz w:val="20"/>
                <w:szCs w:val="20"/>
                <w:lang w:val="en-PH" w:eastAsia="en-PH"/>
              </w:rPr>
            </w:pPr>
            <w:r w:rsidRPr="009E35ED">
              <w:rPr>
                <w:rFonts w:ascii="Arial Narrow" w:hAnsi="Arial Narrow"/>
                <w:color w:val="000000" w:themeColor="text1"/>
                <w:sz w:val="20"/>
                <w:szCs w:val="20"/>
              </w:rPr>
              <w:t xml:space="preserve">Adjustment/Recording of </w:t>
            </w:r>
            <w:r w:rsidR="00C53760">
              <w:rPr>
                <w:rFonts w:ascii="Arial Narrow" w:hAnsi="Arial Narrow"/>
                <w:color w:val="000000" w:themeColor="text1"/>
                <w:sz w:val="20"/>
                <w:szCs w:val="20"/>
              </w:rPr>
              <w:t>t</w:t>
            </w:r>
            <w:r w:rsidRPr="009E35ED">
              <w:rPr>
                <w:rFonts w:ascii="Arial Narrow" w:hAnsi="Arial Narrow"/>
                <w:color w:val="000000" w:themeColor="text1"/>
                <w:sz w:val="20"/>
                <w:szCs w:val="20"/>
              </w:rPr>
              <w:t xml:space="preserve">ravelling </w:t>
            </w:r>
            <w:r w:rsidR="00C53760">
              <w:rPr>
                <w:rFonts w:ascii="Arial Narrow" w:hAnsi="Arial Narrow"/>
                <w:color w:val="000000" w:themeColor="text1"/>
                <w:sz w:val="20"/>
                <w:szCs w:val="20"/>
              </w:rPr>
              <w:t>e</w:t>
            </w:r>
            <w:r w:rsidRPr="009E35ED">
              <w:rPr>
                <w:rFonts w:ascii="Arial Narrow" w:hAnsi="Arial Narrow"/>
                <w:color w:val="000000" w:themeColor="text1"/>
                <w:sz w:val="20"/>
                <w:szCs w:val="20"/>
              </w:rPr>
              <w:t>xpenses - Local - Head Office</w:t>
            </w:r>
          </w:p>
        </w:tc>
        <w:tc>
          <w:tcPr>
            <w:tcW w:w="1716" w:type="dxa"/>
            <w:tcBorders>
              <w:top w:val="nil"/>
              <w:left w:val="nil"/>
              <w:bottom w:val="nil"/>
              <w:right w:val="nil"/>
            </w:tcBorders>
            <w:shd w:val="clear" w:color="auto" w:fill="auto"/>
            <w:noWrap/>
            <w:hideMark/>
          </w:tcPr>
          <w:p w14:paraId="7D993E31" w14:textId="4F0BB3F6" w:rsidR="00763EF5" w:rsidRPr="009E35ED" w:rsidRDefault="00763EF5" w:rsidP="00763EF5">
            <w:pPr>
              <w:ind w:left="0"/>
              <w:jc w:val="right"/>
              <w:rPr>
                <w:rFonts w:ascii="Arial Narrow" w:hAnsi="Arial Narrow" w:cs="Arial"/>
                <w:color w:val="000000" w:themeColor="text1"/>
                <w:sz w:val="20"/>
                <w:szCs w:val="20"/>
                <w:lang w:val="en-PH" w:eastAsia="en-PH"/>
              </w:rPr>
            </w:pPr>
            <w:r w:rsidRPr="009E35ED">
              <w:rPr>
                <w:rFonts w:ascii="Arial Narrow" w:hAnsi="Arial Narrow"/>
                <w:color w:val="000000" w:themeColor="text1"/>
                <w:sz w:val="20"/>
                <w:szCs w:val="20"/>
              </w:rPr>
              <w:t xml:space="preserve"> (2,878)</w:t>
            </w:r>
          </w:p>
        </w:tc>
      </w:tr>
      <w:tr w:rsidR="00997F75" w:rsidRPr="009E35ED" w14:paraId="50747C99" w14:textId="77777777" w:rsidTr="00C26DA1">
        <w:trPr>
          <w:trHeight w:val="65"/>
        </w:trPr>
        <w:tc>
          <w:tcPr>
            <w:tcW w:w="7286" w:type="dxa"/>
            <w:tcBorders>
              <w:top w:val="single" w:sz="4" w:space="0" w:color="auto"/>
              <w:left w:val="nil"/>
              <w:bottom w:val="double" w:sz="6" w:space="0" w:color="auto"/>
              <w:right w:val="nil"/>
            </w:tcBorders>
            <w:shd w:val="clear" w:color="auto" w:fill="auto"/>
            <w:hideMark/>
          </w:tcPr>
          <w:p w14:paraId="79FD0E12" w14:textId="53094506" w:rsidR="00763EF5" w:rsidRPr="009E35ED" w:rsidRDefault="00763EF5" w:rsidP="00763EF5">
            <w:pPr>
              <w:ind w:left="0"/>
              <w:jc w:val="left"/>
              <w:rPr>
                <w:rFonts w:ascii="Arial Narrow" w:hAnsi="Arial Narrow" w:cs="Arial"/>
                <w:b/>
                <w:bCs/>
                <w:color w:val="000000" w:themeColor="text1"/>
                <w:sz w:val="20"/>
                <w:szCs w:val="20"/>
                <w:lang w:val="en-PH" w:eastAsia="en-PH"/>
              </w:rPr>
            </w:pPr>
            <w:r w:rsidRPr="009E35ED">
              <w:rPr>
                <w:rFonts w:ascii="Arial Narrow" w:hAnsi="Arial Narrow"/>
                <w:b/>
                <w:bCs/>
                <w:color w:val="000000" w:themeColor="text1"/>
                <w:sz w:val="20"/>
                <w:szCs w:val="20"/>
              </w:rPr>
              <w:t>Restated Amount as of December 31, 2022 - Traveling Expenses (Operating Fund)</w:t>
            </w:r>
          </w:p>
        </w:tc>
        <w:tc>
          <w:tcPr>
            <w:tcW w:w="1716" w:type="dxa"/>
            <w:tcBorders>
              <w:top w:val="single" w:sz="4" w:space="0" w:color="auto"/>
              <w:left w:val="nil"/>
              <w:bottom w:val="double" w:sz="6" w:space="0" w:color="auto"/>
              <w:right w:val="nil"/>
            </w:tcBorders>
            <w:shd w:val="clear" w:color="auto" w:fill="auto"/>
            <w:noWrap/>
            <w:hideMark/>
          </w:tcPr>
          <w:p w14:paraId="7C11C30B" w14:textId="4177C965" w:rsidR="00763EF5" w:rsidRPr="009E35ED" w:rsidRDefault="00763EF5" w:rsidP="00C03EBC">
            <w:pPr>
              <w:ind w:left="0"/>
              <w:jc w:val="right"/>
              <w:rPr>
                <w:rFonts w:ascii="Arial Narrow" w:hAnsi="Arial Narrow" w:cs="Arial"/>
                <w:b/>
                <w:bCs/>
                <w:color w:val="000000" w:themeColor="text1"/>
                <w:sz w:val="20"/>
                <w:szCs w:val="20"/>
                <w:lang w:val="en-PH" w:eastAsia="en-PH"/>
              </w:rPr>
            </w:pPr>
            <w:r w:rsidRPr="009E35ED">
              <w:rPr>
                <w:rFonts w:ascii="Arial Narrow" w:hAnsi="Arial Narrow"/>
                <w:b/>
                <w:bCs/>
                <w:color w:val="000000" w:themeColor="text1"/>
                <w:sz w:val="20"/>
                <w:szCs w:val="20"/>
              </w:rPr>
              <w:t xml:space="preserve"> 12,</w:t>
            </w:r>
            <w:r w:rsidR="00C03EBC" w:rsidRPr="009E35ED">
              <w:rPr>
                <w:rFonts w:ascii="Arial Narrow" w:hAnsi="Arial Narrow"/>
                <w:b/>
                <w:bCs/>
                <w:color w:val="000000" w:themeColor="text1"/>
                <w:sz w:val="20"/>
                <w:szCs w:val="20"/>
              </w:rPr>
              <w:t>489,929</w:t>
            </w:r>
            <w:r w:rsidRPr="009E35ED">
              <w:rPr>
                <w:rFonts w:ascii="Arial Narrow" w:hAnsi="Arial Narrow"/>
                <w:b/>
                <w:bCs/>
                <w:color w:val="000000" w:themeColor="text1"/>
                <w:sz w:val="20"/>
                <w:szCs w:val="20"/>
              </w:rPr>
              <w:t xml:space="preserve"> </w:t>
            </w:r>
          </w:p>
        </w:tc>
      </w:tr>
      <w:tr w:rsidR="00997F75" w:rsidRPr="009E35ED" w14:paraId="53306DDD" w14:textId="77777777" w:rsidTr="00C26DA1">
        <w:trPr>
          <w:trHeight w:val="300"/>
        </w:trPr>
        <w:tc>
          <w:tcPr>
            <w:tcW w:w="7286" w:type="dxa"/>
            <w:tcBorders>
              <w:top w:val="nil"/>
              <w:left w:val="nil"/>
              <w:bottom w:val="nil"/>
              <w:right w:val="nil"/>
            </w:tcBorders>
            <w:shd w:val="clear" w:color="auto" w:fill="auto"/>
            <w:vAlign w:val="bottom"/>
          </w:tcPr>
          <w:p w14:paraId="1FDCE050" w14:textId="3921BEDF" w:rsidR="000F5207" w:rsidRPr="009E35ED" w:rsidRDefault="000F5207" w:rsidP="006022DC">
            <w:pPr>
              <w:ind w:left="0"/>
              <w:jc w:val="left"/>
              <w:rPr>
                <w:rFonts w:ascii="Arial Narrow" w:hAnsi="Arial Narrow" w:cs="Arial"/>
                <w:b/>
                <w:bCs/>
                <w:color w:val="000000" w:themeColor="text1"/>
                <w:sz w:val="22"/>
                <w:szCs w:val="22"/>
                <w:lang w:val="en-PH" w:eastAsia="en-PH"/>
              </w:rPr>
            </w:pPr>
          </w:p>
        </w:tc>
        <w:tc>
          <w:tcPr>
            <w:tcW w:w="1716" w:type="dxa"/>
            <w:tcBorders>
              <w:top w:val="nil"/>
              <w:left w:val="nil"/>
              <w:bottom w:val="nil"/>
              <w:right w:val="nil"/>
            </w:tcBorders>
            <w:shd w:val="clear" w:color="auto" w:fill="auto"/>
            <w:noWrap/>
            <w:vAlign w:val="bottom"/>
          </w:tcPr>
          <w:p w14:paraId="779611A9" w14:textId="1F7B10D5" w:rsidR="006022DC" w:rsidRPr="009E35ED" w:rsidRDefault="006022DC" w:rsidP="006022DC">
            <w:pPr>
              <w:ind w:left="0"/>
              <w:jc w:val="right"/>
              <w:rPr>
                <w:rFonts w:ascii="Arial Narrow" w:hAnsi="Arial Narrow"/>
                <w:color w:val="000000" w:themeColor="text1"/>
                <w:sz w:val="22"/>
                <w:szCs w:val="22"/>
                <w:lang w:val="en-PH" w:eastAsia="en-PH"/>
              </w:rPr>
            </w:pPr>
          </w:p>
        </w:tc>
      </w:tr>
      <w:tr w:rsidR="00997F75" w:rsidRPr="009E35ED" w14:paraId="3A725DCA" w14:textId="77777777" w:rsidTr="00C26DA1">
        <w:trPr>
          <w:trHeight w:val="285"/>
        </w:trPr>
        <w:tc>
          <w:tcPr>
            <w:tcW w:w="7286" w:type="dxa"/>
            <w:tcBorders>
              <w:top w:val="nil"/>
              <w:left w:val="nil"/>
              <w:bottom w:val="nil"/>
              <w:right w:val="nil"/>
            </w:tcBorders>
            <w:shd w:val="clear" w:color="auto" w:fill="auto"/>
            <w:hideMark/>
          </w:tcPr>
          <w:p w14:paraId="03F39FAA" w14:textId="64861601" w:rsidR="001225CC" w:rsidRPr="009E35ED" w:rsidRDefault="001225CC" w:rsidP="001225CC">
            <w:pPr>
              <w:ind w:left="0"/>
              <w:jc w:val="left"/>
              <w:rPr>
                <w:rFonts w:ascii="Arial Narrow" w:hAnsi="Arial Narrow" w:cs="Arial"/>
                <w:color w:val="000000" w:themeColor="text1"/>
                <w:sz w:val="20"/>
                <w:szCs w:val="20"/>
                <w:lang w:val="en-PH" w:eastAsia="en-PH"/>
              </w:rPr>
            </w:pPr>
            <w:r w:rsidRPr="009E35ED">
              <w:rPr>
                <w:rFonts w:ascii="Arial Narrow" w:hAnsi="Arial Narrow"/>
                <w:color w:val="000000" w:themeColor="text1"/>
                <w:sz w:val="20"/>
                <w:szCs w:val="20"/>
              </w:rPr>
              <w:t xml:space="preserve">Unrestated </w:t>
            </w:r>
            <w:r w:rsidR="00C53760">
              <w:rPr>
                <w:rFonts w:ascii="Arial Narrow" w:hAnsi="Arial Narrow"/>
                <w:color w:val="000000" w:themeColor="text1"/>
                <w:sz w:val="20"/>
                <w:szCs w:val="20"/>
              </w:rPr>
              <w:t>a</w:t>
            </w:r>
            <w:r w:rsidRPr="009E35ED">
              <w:rPr>
                <w:rFonts w:ascii="Arial Narrow" w:hAnsi="Arial Narrow"/>
                <w:color w:val="000000" w:themeColor="text1"/>
                <w:sz w:val="20"/>
                <w:szCs w:val="20"/>
              </w:rPr>
              <w:t>mount as of December 31, 2022</w:t>
            </w:r>
          </w:p>
        </w:tc>
        <w:tc>
          <w:tcPr>
            <w:tcW w:w="1716" w:type="dxa"/>
            <w:tcBorders>
              <w:top w:val="nil"/>
              <w:left w:val="nil"/>
              <w:bottom w:val="nil"/>
              <w:right w:val="nil"/>
            </w:tcBorders>
            <w:shd w:val="clear" w:color="auto" w:fill="auto"/>
            <w:noWrap/>
            <w:hideMark/>
          </w:tcPr>
          <w:p w14:paraId="3440F135" w14:textId="23C15E72" w:rsidR="001225CC" w:rsidRPr="009E35ED" w:rsidRDefault="001225CC" w:rsidP="00C03EBC">
            <w:pPr>
              <w:ind w:left="0"/>
              <w:jc w:val="right"/>
              <w:rPr>
                <w:rFonts w:ascii="Arial Narrow" w:hAnsi="Arial Narrow" w:cs="Arial"/>
                <w:color w:val="000000" w:themeColor="text1"/>
                <w:sz w:val="20"/>
                <w:szCs w:val="20"/>
                <w:lang w:val="en-PH" w:eastAsia="en-PH"/>
              </w:rPr>
            </w:pPr>
            <w:r w:rsidRPr="009E35ED">
              <w:rPr>
                <w:rFonts w:ascii="Arial Narrow" w:hAnsi="Arial Narrow"/>
                <w:color w:val="000000" w:themeColor="text1"/>
                <w:sz w:val="20"/>
                <w:szCs w:val="20"/>
              </w:rPr>
              <w:t xml:space="preserve"> 8,721,24</w:t>
            </w:r>
            <w:r w:rsidR="00C03EBC" w:rsidRPr="009E35ED">
              <w:rPr>
                <w:rFonts w:ascii="Arial Narrow" w:hAnsi="Arial Narrow"/>
                <w:color w:val="000000" w:themeColor="text1"/>
                <w:sz w:val="20"/>
                <w:szCs w:val="20"/>
              </w:rPr>
              <w:t>2</w:t>
            </w:r>
            <w:r w:rsidRPr="009E35ED">
              <w:rPr>
                <w:rFonts w:ascii="Arial Narrow" w:hAnsi="Arial Narrow"/>
                <w:color w:val="000000" w:themeColor="text1"/>
                <w:sz w:val="20"/>
                <w:szCs w:val="20"/>
              </w:rPr>
              <w:t xml:space="preserve"> </w:t>
            </w:r>
          </w:p>
        </w:tc>
      </w:tr>
      <w:tr w:rsidR="00997F75" w:rsidRPr="009E35ED" w14:paraId="37322E54" w14:textId="77777777" w:rsidTr="00C26DA1">
        <w:trPr>
          <w:trHeight w:val="75"/>
        </w:trPr>
        <w:tc>
          <w:tcPr>
            <w:tcW w:w="7286" w:type="dxa"/>
            <w:tcBorders>
              <w:top w:val="nil"/>
              <w:left w:val="nil"/>
              <w:bottom w:val="nil"/>
              <w:right w:val="nil"/>
            </w:tcBorders>
            <w:shd w:val="clear" w:color="auto" w:fill="auto"/>
            <w:hideMark/>
          </w:tcPr>
          <w:p w14:paraId="1FDFD256" w14:textId="752E6A8A" w:rsidR="001225CC" w:rsidRPr="009E35ED" w:rsidRDefault="001225CC" w:rsidP="001225CC">
            <w:pPr>
              <w:ind w:left="0"/>
              <w:jc w:val="left"/>
              <w:rPr>
                <w:rFonts w:ascii="Arial Narrow" w:hAnsi="Arial Narrow" w:cs="Arial"/>
                <w:color w:val="000000" w:themeColor="text1"/>
                <w:sz w:val="20"/>
                <w:szCs w:val="20"/>
                <w:lang w:val="en-PH" w:eastAsia="en-PH"/>
              </w:rPr>
            </w:pPr>
            <w:r w:rsidRPr="009E35ED">
              <w:rPr>
                <w:rFonts w:ascii="Arial Narrow" w:hAnsi="Arial Narrow"/>
                <w:color w:val="000000" w:themeColor="text1"/>
                <w:sz w:val="20"/>
                <w:szCs w:val="20"/>
              </w:rPr>
              <w:t xml:space="preserve">Adjustment/Recording of </w:t>
            </w:r>
            <w:r w:rsidR="00C53760">
              <w:rPr>
                <w:rFonts w:ascii="Arial Narrow" w:hAnsi="Arial Narrow"/>
                <w:color w:val="000000" w:themeColor="text1"/>
                <w:sz w:val="20"/>
                <w:szCs w:val="20"/>
              </w:rPr>
              <w:t>o</w:t>
            </w:r>
            <w:r w:rsidRPr="009E35ED">
              <w:rPr>
                <w:rFonts w:ascii="Arial Narrow" w:hAnsi="Arial Narrow"/>
                <w:color w:val="000000" w:themeColor="text1"/>
                <w:sz w:val="20"/>
                <w:szCs w:val="20"/>
              </w:rPr>
              <w:t xml:space="preserve">ffice </w:t>
            </w:r>
            <w:r w:rsidR="00C53760">
              <w:rPr>
                <w:rFonts w:ascii="Arial Narrow" w:hAnsi="Arial Narrow"/>
                <w:color w:val="000000" w:themeColor="text1"/>
                <w:sz w:val="20"/>
                <w:szCs w:val="20"/>
              </w:rPr>
              <w:t>s</w:t>
            </w:r>
            <w:r w:rsidRPr="009E35ED">
              <w:rPr>
                <w:rFonts w:ascii="Arial Narrow" w:hAnsi="Arial Narrow"/>
                <w:color w:val="000000" w:themeColor="text1"/>
                <w:sz w:val="20"/>
                <w:szCs w:val="20"/>
              </w:rPr>
              <w:t xml:space="preserve">upplies </w:t>
            </w:r>
            <w:r w:rsidR="00C53760">
              <w:rPr>
                <w:rFonts w:ascii="Arial Narrow" w:hAnsi="Arial Narrow"/>
                <w:color w:val="000000" w:themeColor="text1"/>
                <w:sz w:val="20"/>
                <w:szCs w:val="20"/>
              </w:rPr>
              <w:t>e</w:t>
            </w:r>
            <w:r w:rsidRPr="009E35ED">
              <w:rPr>
                <w:rFonts w:ascii="Arial Narrow" w:hAnsi="Arial Narrow"/>
                <w:color w:val="000000" w:themeColor="text1"/>
                <w:sz w:val="20"/>
                <w:szCs w:val="20"/>
              </w:rPr>
              <w:t>xpenses - Branch</w:t>
            </w:r>
          </w:p>
        </w:tc>
        <w:tc>
          <w:tcPr>
            <w:tcW w:w="1716" w:type="dxa"/>
            <w:tcBorders>
              <w:top w:val="nil"/>
              <w:left w:val="nil"/>
              <w:bottom w:val="nil"/>
              <w:right w:val="nil"/>
            </w:tcBorders>
            <w:shd w:val="clear" w:color="auto" w:fill="auto"/>
            <w:noWrap/>
            <w:hideMark/>
          </w:tcPr>
          <w:p w14:paraId="6895001C" w14:textId="0EF49BB1" w:rsidR="001225CC" w:rsidRPr="009E35ED" w:rsidRDefault="001225CC" w:rsidP="00C03EBC">
            <w:pPr>
              <w:ind w:left="0"/>
              <w:jc w:val="right"/>
              <w:rPr>
                <w:rFonts w:ascii="Arial Narrow" w:hAnsi="Arial Narrow" w:cs="Arial"/>
                <w:color w:val="000000" w:themeColor="text1"/>
                <w:sz w:val="20"/>
                <w:szCs w:val="20"/>
                <w:lang w:val="en-PH" w:eastAsia="en-PH"/>
              </w:rPr>
            </w:pPr>
            <w:r w:rsidRPr="009E35ED">
              <w:rPr>
                <w:rFonts w:ascii="Arial Narrow" w:hAnsi="Arial Narrow"/>
                <w:color w:val="000000" w:themeColor="text1"/>
                <w:sz w:val="20"/>
                <w:szCs w:val="20"/>
              </w:rPr>
              <w:t xml:space="preserve"> (</w:t>
            </w:r>
            <w:r w:rsidR="00C03EBC" w:rsidRPr="009E35ED">
              <w:rPr>
                <w:rFonts w:ascii="Arial Narrow" w:hAnsi="Arial Narrow"/>
                <w:color w:val="000000" w:themeColor="text1"/>
                <w:sz w:val="20"/>
                <w:szCs w:val="20"/>
              </w:rPr>
              <w:t>67,990</w:t>
            </w:r>
            <w:r w:rsidRPr="009E35ED">
              <w:rPr>
                <w:rFonts w:ascii="Arial Narrow" w:hAnsi="Arial Narrow"/>
                <w:color w:val="000000" w:themeColor="text1"/>
                <w:sz w:val="20"/>
                <w:szCs w:val="20"/>
              </w:rPr>
              <w:t>)</w:t>
            </w:r>
          </w:p>
        </w:tc>
      </w:tr>
      <w:tr w:rsidR="00997F75" w:rsidRPr="009E35ED" w14:paraId="748A4C86" w14:textId="77777777" w:rsidTr="00C26DA1">
        <w:trPr>
          <w:trHeight w:val="65"/>
        </w:trPr>
        <w:tc>
          <w:tcPr>
            <w:tcW w:w="7286" w:type="dxa"/>
            <w:tcBorders>
              <w:top w:val="single" w:sz="4" w:space="0" w:color="auto"/>
              <w:left w:val="nil"/>
              <w:bottom w:val="double" w:sz="6" w:space="0" w:color="auto"/>
              <w:right w:val="nil"/>
            </w:tcBorders>
            <w:shd w:val="clear" w:color="auto" w:fill="auto"/>
            <w:hideMark/>
          </w:tcPr>
          <w:p w14:paraId="1B282588" w14:textId="1B3F0FF9" w:rsidR="001225CC" w:rsidRPr="009E35ED" w:rsidRDefault="001225CC" w:rsidP="001225CC">
            <w:pPr>
              <w:ind w:left="0"/>
              <w:jc w:val="left"/>
              <w:rPr>
                <w:rFonts w:ascii="Arial Narrow" w:hAnsi="Arial Narrow" w:cs="Arial"/>
                <w:b/>
                <w:bCs/>
                <w:color w:val="000000" w:themeColor="text1"/>
                <w:sz w:val="20"/>
                <w:szCs w:val="20"/>
                <w:lang w:val="en-PH" w:eastAsia="en-PH"/>
              </w:rPr>
            </w:pPr>
            <w:r w:rsidRPr="009E35ED">
              <w:rPr>
                <w:rFonts w:ascii="Arial Narrow" w:hAnsi="Arial Narrow"/>
                <w:b/>
                <w:bCs/>
                <w:color w:val="000000" w:themeColor="text1"/>
                <w:sz w:val="20"/>
                <w:szCs w:val="20"/>
              </w:rPr>
              <w:t>Restated Amount as of December 31, 2022 - Office Supplies Expenses (Operating Fund)</w:t>
            </w:r>
          </w:p>
        </w:tc>
        <w:tc>
          <w:tcPr>
            <w:tcW w:w="1716" w:type="dxa"/>
            <w:tcBorders>
              <w:top w:val="single" w:sz="4" w:space="0" w:color="auto"/>
              <w:left w:val="nil"/>
              <w:bottom w:val="double" w:sz="6" w:space="0" w:color="auto"/>
              <w:right w:val="nil"/>
            </w:tcBorders>
            <w:shd w:val="clear" w:color="auto" w:fill="auto"/>
            <w:noWrap/>
            <w:hideMark/>
          </w:tcPr>
          <w:p w14:paraId="6E34A427" w14:textId="630308DF" w:rsidR="001225CC" w:rsidRPr="009E35ED" w:rsidRDefault="001225CC" w:rsidP="00C03EBC">
            <w:pPr>
              <w:ind w:left="0"/>
              <w:jc w:val="right"/>
              <w:rPr>
                <w:rFonts w:ascii="Arial Narrow" w:hAnsi="Arial Narrow" w:cs="Arial"/>
                <w:b/>
                <w:bCs/>
                <w:color w:val="000000" w:themeColor="text1"/>
                <w:sz w:val="20"/>
                <w:szCs w:val="20"/>
                <w:lang w:val="en-PH" w:eastAsia="en-PH"/>
              </w:rPr>
            </w:pPr>
            <w:r w:rsidRPr="009E35ED">
              <w:rPr>
                <w:rFonts w:ascii="Arial Narrow" w:hAnsi="Arial Narrow"/>
                <w:b/>
                <w:bCs/>
                <w:color w:val="000000" w:themeColor="text1"/>
                <w:sz w:val="20"/>
                <w:szCs w:val="20"/>
              </w:rPr>
              <w:t xml:space="preserve"> 8,65</w:t>
            </w:r>
            <w:r w:rsidR="00C03EBC" w:rsidRPr="009E35ED">
              <w:rPr>
                <w:rFonts w:ascii="Arial Narrow" w:hAnsi="Arial Narrow"/>
                <w:b/>
                <w:bCs/>
                <w:color w:val="000000" w:themeColor="text1"/>
                <w:sz w:val="20"/>
                <w:szCs w:val="20"/>
              </w:rPr>
              <w:t>3,252</w:t>
            </w:r>
            <w:r w:rsidRPr="009E35ED">
              <w:rPr>
                <w:rFonts w:ascii="Arial Narrow" w:hAnsi="Arial Narrow"/>
                <w:b/>
                <w:bCs/>
                <w:color w:val="000000" w:themeColor="text1"/>
                <w:sz w:val="20"/>
                <w:szCs w:val="20"/>
              </w:rPr>
              <w:t xml:space="preserve"> </w:t>
            </w:r>
          </w:p>
        </w:tc>
      </w:tr>
      <w:tr w:rsidR="00997F75" w:rsidRPr="009E35ED" w14:paraId="6AB71F01" w14:textId="77777777" w:rsidTr="00C26DA1">
        <w:trPr>
          <w:trHeight w:val="300"/>
        </w:trPr>
        <w:tc>
          <w:tcPr>
            <w:tcW w:w="7286" w:type="dxa"/>
            <w:tcBorders>
              <w:top w:val="nil"/>
              <w:left w:val="nil"/>
              <w:bottom w:val="nil"/>
              <w:right w:val="nil"/>
            </w:tcBorders>
            <w:shd w:val="clear" w:color="auto" w:fill="auto"/>
            <w:vAlign w:val="bottom"/>
            <w:hideMark/>
          </w:tcPr>
          <w:p w14:paraId="00FF6D90" w14:textId="77777777" w:rsidR="000F5207" w:rsidRPr="009E35ED" w:rsidRDefault="000F5207" w:rsidP="00240956">
            <w:pPr>
              <w:ind w:left="0"/>
              <w:jc w:val="left"/>
              <w:rPr>
                <w:rFonts w:ascii="Arial Narrow" w:hAnsi="Arial Narrow" w:cs="Arial"/>
                <w:b/>
                <w:bCs/>
                <w:color w:val="000000" w:themeColor="text1"/>
                <w:sz w:val="22"/>
                <w:szCs w:val="22"/>
                <w:lang w:val="en-PH" w:eastAsia="en-PH"/>
              </w:rPr>
            </w:pPr>
          </w:p>
          <w:p w14:paraId="78A6A14B" w14:textId="4A1ACB8B" w:rsidR="00975CA4" w:rsidRPr="009E35ED" w:rsidRDefault="00975CA4" w:rsidP="00240956">
            <w:pPr>
              <w:ind w:left="0"/>
              <w:jc w:val="left"/>
              <w:rPr>
                <w:rFonts w:ascii="Arial Narrow" w:hAnsi="Arial Narrow" w:cs="Arial"/>
                <w:b/>
                <w:bCs/>
                <w:color w:val="000000" w:themeColor="text1"/>
                <w:sz w:val="22"/>
                <w:szCs w:val="22"/>
                <w:lang w:val="en-PH" w:eastAsia="en-PH"/>
              </w:rPr>
            </w:pPr>
          </w:p>
        </w:tc>
        <w:tc>
          <w:tcPr>
            <w:tcW w:w="1716" w:type="dxa"/>
            <w:tcBorders>
              <w:top w:val="nil"/>
              <w:left w:val="nil"/>
              <w:bottom w:val="nil"/>
              <w:right w:val="nil"/>
            </w:tcBorders>
            <w:shd w:val="clear" w:color="auto" w:fill="auto"/>
            <w:noWrap/>
            <w:vAlign w:val="bottom"/>
            <w:hideMark/>
          </w:tcPr>
          <w:p w14:paraId="2B86BAC0" w14:textId="77777777" w:rsidR="00240956" w:rsidRPr="009E35ED" w:rsidRDefault="00240956" w:rsidP="00240956">
            <w:pPr>
              <w:ind w:left="0"/>
              <w:jc w:val="right"/>
              <w:rPr>
                <w:rFonts w:ascii="Arial Narrow" w:hAnsi="Arial Narrow"/>
                <w:color w:val="000000" w:themeColor="text1"/>
                <w:sz w:val="22"/>
                <w:szCs w:val="22"/>
                <w:lang w:val="en-PH" w:eastAsia="en-PH"/>
              </w:rPr>
            </w:pPr>
          </w:p>
        </w:tc>
      </w:tr>
      <w:tr w:rsidR="00997F75" w:rsidRPr="009E35ED" w14:paraId="4C067943" w14:textId="77777777" w:rsidTr="00860ED6">
        <w:trPr>
          <w:trHeight w:val="210"/>
        </w:trPr>
        <w:tc>
          <w:tcPr>
            <w:tcW w:w="7286" w:type="dxa"/>
            <w:tcBorders>
              <w:top w:val="nil"/>
              <w:left w:val="nil"/>
              <w:bottom w:val="nil"/>
              <w:right w:val="nil"/>
            </w:tcBorders>
            <w:shd w:val="clear" w:color="auto" w:fill="auto"/>
            <w:hideMark/>
          </w:tcPr>
          <w:p w14:paraId="0E2D5F9A" w14:textId="10BA1C68" w:rsidR="000C3B6D" w:rsidRPr="009E35ED" w:rsidRDefault="000C3B6D" w:rsidP="000C3B6D">
            <w:pPr>
              <w:ind w:left="0"/>
              <w:jc w:val="left"/>
              <w:rPr>
                <w:rFonts w:ascii="Arial Narrow" w:hAnsi="Arial Narrow" w:cs="Arial"/>
                <w:color w:val="000000" w:themeColor="text1"/>
                <w:sz w:val="20"/>
                <w:szCs w:val="20"/>
                <w:lang w:val="en-PH" w:eastAsia="en-PH"/>
              </w:rPr>
            </w:pPr>
            <w:r w:rsidRPr="009E35ED">
              <w:rPr>
                <w:rFonts w:ascii="Arial Narrow" w:hAnsi="Arial Narrow"/>
                <w:color w:val="000000" w:themeColor="text1"/>
                <w:sz w:val="20"/>
                <w:szCs w:val="20"/>
              </w:rPr>
              <w:t xml:space="preserve">Unrestated </w:t>
            </w:r>
            <w:r w:rsidR="00C53760">
              <w:rPr>
                <w:rFonts w:ascii="Arial Narrow" w:hAnsi="Arial Narrow"/>
                <w:color w:val="000000" w:themeColor="text1"/>
                <w:sz w:val="20"/>
                <w:szCs w:val="20"/>
              </w:rPr>
              <w:t>a</w:t>
            </w:r>
            <w:r w:rsidRPr="009E35ED">
              <w:rPr>
                <w:rFonts w:ascii="Arial Narrow" w:hAnsi="Arial Narrow"/>
                <w:color w:val="000000" w:themeColor="text1"/>
                <w:sz w:val="20"/>
                <w:szCs w:val="20"/>
              </w:rPr>
              <w:t>mount as of December 31, 2022</w:t>
            </w:r>
          </w:p>
        </w:tc>
        <w:tc>
          <w:tcPr>
            <w:tcW w:w="1716" w:type="dxa"/>
            <w:tcBorders>
              <w:top w:val="nil"/>
              <w:left w:val="nil"/>
              <w:bottom w:val="nil"/>
              <w:right w:val="nil"/>
            </w:tcBorders>
            <w:shd w:val="clear" w:color="auto" w:fill="auto"/>
            <w:noWrap/>
            <w:hideMark/>
          </w:tcPr>
          <w:p w14:paraId="7DB9628B" w14:textId="3099D8D0" w:rsidR="000C3B6D" w:rsidRPr="009E35ED" w:rsidRDefault="000C3B6D" w:rsidP="000C3B6D">
            <w:pPr>
              <w:ind w:left="0"/>
              <w:jc w:val="right"/>
              <w:rPr>
                <w:rFonts w:ascii="Arial Narrow" w:hAnsi="Arial Narrow" w:cs="Arial"/>
                <w:color w:val="000000" w:themeColor="text1"/>
                <w:sz w:val="20"/>
                <w:szCs w:val="20"/>
                <w:lang w:val="en-PH" w:eastAsia="en-PH"/>
              </w:rPr>
            </w:pPr>
            <w:r w:rsidRPr="009E35ED">
              <w:rPr>
                <w:rFonts w:ascii="Arial Narrow" w:hAnsi="Arial Narrow"/>
                <w:color w:val="000000" w:themeColor="text1"/>
                <w:sz w:val="20"/>
                <w:szCs w:val="20"/>
              </w:rPr>
              <w:t xml:space="preserve"> 10,208,671 </w:t>
            </w:r>
          </w:p>
        </w:tc>
      </w:tr>
      <w:tr w:rsidR="00997F75" w:rsidRPr="009E35ED" w14:paraId="4B5A69B0" w14:textId="77777777" w:rsidTr="00C26DA1">
        <w:trPr>
          <w:trHeight w:val="75"/>
        </w:trPr>
        <w:tc>
          <w:tcPr>
            <w:tcW w:w="7286" w:type="dxa"/>
            <w:tcBorders>
              <w:top w:val="nil"/>
              <w:left w:val="nil"/>
              <w:bottom w:val="nil"/>
              <w:right w:val="nil"/>
            </w:tcBorders>
            <w:shd w:val="clear" w:color="auto" w:fill="auto"/>
            <w:hideMark/>
          </w:tcPr>
          <w:p w14:paraId="2F66E877" w14:textId="120D2F08" w:rsidR="000C3B6D" w:rsidRPr="009E35ED" w:rsidRDefault="000C3B6D" w:rsidP="000C3B6D">
            <w:pPr>
              <w:ind w:left="0"/>
              <w:jc w:val="left"/>
              <w:rPr>
                <w:rFonts w:ascii="Arial Narrow" w:hAnsi="Arial Narrow" w:cs="Arial"/>
                <w:color w:val="000000" w:themeColor="text1"/>
                <w:sz w:val="20"/>
                <w:szCs w:val="20"/>
                <w:lang w:val="en-PH" w:eastAsia="en-PH"/>
              </w:rPr>
            </w:pPr>
            <w:r w:rsidRPr="009E35ED">
              <w:rPr>
                <w:rFonts w:ascii="Arial Narrow" w:hAnsi="Arial Narrow"/>
                <w:color w:val="000000" w:themeColor="text1"/>
                <w:sz w:val="20"/>
                <w:szCs w:val="20"/>
              </w:rPr>
              <w:t xml:space="preserve">Adjustment/Recording of </w:t>
            </w:r>
            <w:r w:rsidR="00C53760">
              <w:rPr>
                <w:rFonts w:ascii="Arial Narrow" w:hAnsi="Arial Narrow"/>
                <w:color w:val="000000" w:themeColor="text1"/>
                <w:sz w:val="20"/>
                <w:szCs w:val="20"/>
              </w:rPr>
              <w:t>f</w:t>
            </w:r>
            <w:r w:rsidRPr="009E35ED">
              <w:rPr>
                <w:rFonts w:ascii="Arial Narrow" w:hAnsi="Arial Narrow"/>
                <w:color w:val="000000" w:themeColor="text1"/>
                <w:sz w:val="20"/>
                <w:szCs w:val="20"/>
              </w:rPr>
              <w:t xml:space="preserve">uel, </w:t>
            </w:r>
            <w:r w:rsidR="00C53760">
              <w:rPr>
                <w:rFonts w:ascii="Arial Narrow" w:hAnsi="Arial Narrow"/>
                <w:color w:val="000000" w:themeColor="text1"/>
                <w:sz w:val="20"/>
                <w:szCs w:val="20"/>
              </w:rPr>
              <w:t>o</w:t>
            </w:r>
            <w:r w:rsidRPr="009E35ED">
              <w:rPr>
                <w:rFonts w:ascii="Arial Narrow" w:hAnsi="Arial Narrow"/>
                <w:color w:val="000000" w:themeColor="text1"/>
                <w:sz w:val="20"/>
                <w:szCs w:val="20"/>
              </w:rPr>
              <w:t xml:space="preserve">il </w:t>
            </w:r>
            <w:r w:rsidR="00C53760">
              <w:rPr>
                <w:rFonts w:ascii="Arial Narrow" w:hAnsi="Arial Narrow"/>
                <w:color w:val="000000" w:themeColor="text1"/>
                <w:sz w:val="20"/>
                <w:szCs w:val="20"/>
              </w:rPr>
              <w:t>a</w:t>
            </w:r>
            <w:r w:rsidRPr="009E35ED">
              <w:rPr>
                <w:rFonts w:ascii="Arial Narrow" w:hAnsi="Arial Narrow"/>
                <w:color w:val="000000" w:themeColor="text1"/>
                <w:sz w:val="20"/>
                <w:szCs w:val="20"/>
              </w:rPr>
              <w:t xml:space="preserve">nd </w:t>
            </w:r>
            <w:r w:rsidR="00C53760">
              <w:rPr>
                <w:rFonts w:ascii="Arial Narrow" w:hAnsi="Arial Narrow"/>
                <w:color w:val="000000" w:themeColor="text1"/>
                <w:sz w:val="20"/>
                <w:szCs w:val="20"/>
              </w:rPr>
              <w:t>l</w:t>
            </w:r>
            <w:r w:rsidRPr="009E35ED">
              <w:rPr>
                <w:rFonts w:ascii="Arial Narrow" w:hAnsi="Arial Narrow"/>
                <w:color w:val="000000" w:themeColor="text1"/>
                <w:sz w:val="20"/>
                <w:szCs w:val="20"/>
              </w:rPr>
              <w:t xml:space="preserve">ubricants </w:t>
            </w:r>
            <w:r w:rsidR="00C53760">
              <w:rPr>
                <w:rFonts w:ascii="Arial Narrow" w:hAnsi="Arial Narrow"/>
                <w:color w:val="000000" w:themeColor="text1"/>
                <w:sz w:val="20"/>
                <w:szCs w:val="20"/>
              </w:rPr>
              <w:t>e</w:t>
            </w:r>
            <w:r w:rsidRPr="009E35ED">
              <w:rPr>
                <w:rFonts w:ascii="Arial Narrow" w:hAnsi="Arial Narrow"/>
                <w:color w:val="000000" w:themeColor="text1"/>
                <w:sz w:val="20"/>
                <w:szCs w:val="20"/>
              </w:rPr>
              <w:t>xpenses - Branch</w:t>
            </w:r>
          </w:p>
        </w:tc>
        <w:tc>
          <w:tcPr>
            <w:tcW w:w="1716" w:type="dxa"/>
            <w:tcBorders>
              <w:top w:val="nil"/>
              <w:left w:val="nil"/>
              <w:bottom w:val="nil"/>
              <w:right w:val="nil"/>
            </w:tcBorders>
            <w:shd w:val="clear" w:color="auto" w:fill="auto"/>
            <w:noWrap/>
            <w:hideMark/>
          </w:tcPr>
          <w:p w14:paraId="19F0F101" w14:textId="6882256F" w:rsidR="000C3B6D" w:rsidRPr="009E35ED" w:rsidRDefault="000C3B6D" w:rsidP="000C3B6D">
            <w:pPr>
              <w:ind w:left="0"/>
              <w:jc w:val="right"/>
              <w:rPr>
                <w:rFonts w:ascii="Arial Narrow" w:hAnsi="Arial Narrow" w:cs="Arial"/>
                <w:color w:val="000000" w:themeColor="text1"/>
                <w:sz w:val="20"/>
                <w:szCs w:val="20"/>
                <w:lang w:val="en-PH" w:eastAsia="en-PH"/>
              </w:rPr>
            </w:pPr>
            <w:r w:rsidRPr="009E35ED">
              <w:rPr>
                <w:rFonts w:ascii="Arial Narrow" w:hAnsi="Arial Narrow"/>
                <w:color w:val="000000" w:themeColor="text1"/>
                <w:sz w:val="20"/>
                <w:szCs w:val="20"/>
              </w:rPr>
              <w:t xml:space="preserve"> (28,080)</w:t>
            </w:r>
          </w:p>
        </w:tc>
      </w:tr>
      <w:tr w:rsidR="00997F75" w:rsidRPr="009E35ED" w14:paraId="259EC047" w14:textId="77777777" w:rsidTr="00C26DA1">
        <w:trPr>
          <w:trHeight w:val="75"/>
        </w:trPr>
        <w:tc>
          <w:tcPr>
            <w:tcW w:w="7286" w:type="dxa"/>
            <w:tcBorders>
              <w:top w:val="nil"/>
              <w:left w:val="nil"/>
              <w:bottom w:val="nil"/>
              <w:right w:val="nil"/>
            </w:tcBorders>
            <w:shd w:val="clear" w:color="auto" w:fill="auto"/>
          </w:tcPr>
          <w:p w14:paraId="05B26F24" w14:textId="1B4096C4" w:rsidR="000C3B6D" w:rsidRPr="009E35ED" w:rsidRDefault="000C3B6D" w:rsidP="000C3B6D">
            <w:pPr>
              <w:ind w:left="0"/>
              <w:jc w:val="left"/>
              <w:rPr>
                <w:rFonts w:ascii="Arial Narrow" w:hAnsi="Arial Narrow"/>
                <w:color w:val="000000" w:themeColor="text1"/>
                <w:sz w:val="20"/>
                <w:szCs w:val="20"/>
              </w:rPr>
            </w:pPr>
            <w:r w:rsidRPr="009E35ED">
              <w:rPr>
                <w:rFonts w:ascii="Arial Narrow" w:hAnsi="Arial Narrow"/>
                <w:color w:val="000000" w:themeColor="text1"/>
                <w:sz w:val="20"/>
                <w:szCs w:val="20"/>
              </w:rPr>
              <w:t xml:space="preserve">Adjustment/Recording of </w:t>
            </w:r>
            <w:r w:rsidR="00C53760">
              <w:rPr>
                <w:rFonts w:ascii="Arial Narrow" w:hAnsi="Arial Narrow"/>
                <w:color w:val="000000" w:themeColor="text1"/>
                <w:sz w:val="20"/>
                <w:szCs w:val="20"/>
              </w:rPr>
              <w:t>f</w:t>
            </w:r>
            <w:r w:rsidRPr="009E35ED">
              <w:rPr>
                <w:rFonts w:ascii="Arial Narrow" w:hAnsi="Arial Narrow"/>
                <w:color w:val="000000" w:themeColor="text1"/>
                <w:sz w:val="20"/>
                <w:szCs w:val="20"/>
              </w:rPr>
              <w:t xml:space="preserve">uel, </w:t>
            </w:r>
            <w:r w:rsidR="00C53760">
              <w:rPr>
                <w:rFonts w:ascii="Arial Narrow" w:hAnsi="Arial Narrow"/>
                <w:color w:val="000000" w:themeColor="text1"/>
                <w:sz w:val="20"/>
                <w:szCs w:val="20"/>
              </w:rPr>
              <w:t>oi</w:t>
            </w:r>
            <w:r w:rsidRPr="009E35ED">
              <w:rPr>
                <w:rFonts w:ascii="Arial Narrow" w:hAnsi="Arial Narrow"/>
                <w:color w:val="000000" w:themeColor="text1"/>
                <w:sz w:val="20"/>
                <w:szCs w:val="20"/>
              </w:rPr>
              <w:t xml:space="preserve">l </w:t>
            </w:r>
            <w:r w:rsidR="00C53760">
              <w:rPr>
                <w:rFonts w:ascii="Arial Narrow" w:hAnsi="Arial Narrow"/>
                <w:color w:val="000000" w:themeColor="text1"/>
                <w:sz w:val="20"/>
                <w:szCs w:val="20"/>
              </w:rPr>
              <w:t>a</w:t>
            </w:r>
            <w:r w:rsidRPr="009E35ED">
              <w:rPr>
                <w:rFonts w:ascii="Arial Narrow" w:hAnsi="Arial Narrow"/>
                <w:color w:val="000000" w:themeColor="text1"/>
                <w:sz w:val="20"/>
                <w:szCs w:val="20"/>
              </w:rPr>
              <w:t xml:space="preserve">nd </w:t>
            </w:r>
            <w:r w:rsidR="00C53760">
              <w:rPr>
                <w:rFonts w:ascii="Arial Narrow" w:hAnsi="Arial Narrow"/>
                <w:color w:val="000000" w:themeColor="text1"/>
                <w:sz w:val="20"/>
                <w:szCs w:val="20"/>
              </w:rPr>
              <w:t>l</w:t>
            </w:r>
            <w:r w:rsidRPr="009E35ED">
              <w:rPr>
                <w:rFonts w:ascii="Arial Narrow" w:hAnsi="Arial Narrow"/>
                <w:color w:val="000000" w:themeColor="text1"/>
                <w:sz w:val="20"/>
                <w:szCs w:val="20"/>
              </w:rPr>
              <w:t xml:space="preserve">ubricants </w:t>
            </w:r>
            <w:r w:rsidR="00C53760">
              <w:rPr>
                <w:rFonts w:ascii="Arial Narrow" w:hAnsi="Arial Narrow"/>
                <w:color w:val="000000" w:themeColor="text1"/>
                <w:sz w:val="20"/>
                <w:szCs w:val="20"/>
              </w:rPr>
              <w:t>e</w:t>
            </w:r>
            <w:r w:rsidRPr="009E35ED">
              <w:rPr>
                <w:rFonts w:ascii="Arial Narrow" w:hAnsi="Arial Narrow"/>
                <w:color w:val="000000" w:themeColor="text1"/>
                <w:sz w:val="20"/>
                <w:szCs w:val="20"/>
              </w:rPr>
              <w:t>xpenses - Head Office</w:t>
            </w:r>
          </w:p>
        </w:tc>
        <w:tc>
          <w:tcPr>
            <w:tcW w:w="1716" w:type="dxa"/>
            <w:tcBorders>
              <w:top w:val="nil"/>
              <w:left w:val="nil"/>
              <w:bottom w:val="nil"/>
              <w:right w:val="nil"/>
            </w:tcBorders>
            <w:shd w:val="clear" w:color="auto" w:fill="auto"/>
            <w:noWrap/>
          </w:tcPr>
          <w:p w14:paraId="295E66E9" w14:textId="48DD6552" w:rsidR="000C3B6D" w:rsidRPr="009E35ED" w:rsidRDefault="000C3B6D" w:rsidP="00C03EBC">
            <w:pPr>
              <w:ind w:left="0"/>
              <w:jc w:val="right"/>
              <w:rPr>
                <w:rFonts w:ascii="Arial Narrow" w:hAnsi="Arial Narrow"/>
                <w:color w:val="000000" w:themeColor="text1"/>
                <w:sz w:val="20"/>
                <w:szCs w:val="20"/>
              </w:rPr>
            </w:pPr>
            <w:r w:rsidRPr="009E35ED">
              <w:rPr>
                <w:rFonts w:ascii="Arial Narrow" w:hAnsi="Arial Narrow"/>
                <w:color w:val="000000" w:themeColor="text1"/>
                <w:sz w:val="20"/>
                <w:szCs w:val="20"/>
              </w:rPr>
              <w:t xml:space="preserve"> 97</w:t>
            </w:r>
            <w:r w:rsidR="00C03EBC" w:rsidRPr="009E35ED">
              <w:rPr>
                <w:rFonts w:ascii="Arial Narrow" w:hAnsi="Arial Narrow"/>
                <w:color w:val="000000" w:themeColor="text1"/>
                <w:sz w:val="20"/>
                <w:szCs w:val="20"/>
              </w:rPr>
              <w:t>6</w:t>
            </w:r>
            <w:r w:rsidRPr="009E35ED">
              <w:rPr>
                <w:rFonts w:ascii="Arial Narrow" w:hAnsi="Arial Narrow"/>
                <w:color w:val="000000" w:themeColor="text1"/>
                <w:sz w:val="20"/>
                <w:szCs w:val="20"/>
              </w:rPr>
              <w:t xml:space="preserve"> </w:t>
            </w:r>
          </w:p>
        </w:tc>
      </w:tr>
      <w:tr w:rsidR="00997F75" w:rsidRPr="009E35ED" w14:paraId="646FA4B9" w14:textId="77777777" w:rsidTr="00C26DA1">
        <w:trPr>
          <w:trHeight w:val="75"/>
        </w:trPr>
        <w:tc>
          <w:tcPr>
            <w:tcW w:w="7286" w:type="dxa"/>
            <w:tcBorders>
              <w:top w:val="nil"/>
              <w:left w:val="nil"/>
              <w:bottom w:val="nil"/>
              <w:right w:val="nil"/>
            </w:tcBorders>
            <w:shd w:val="clear" w:color="auto" w:fill="auto"/>
            <w:hideMark/>
          </w:tcPr>
          <w:p w14:paraId="6CEAA11E" w14:textId="03DF12C3" w:rsidR="000C3B6D" w:rsidRPr="009E35ED" w:rsidRDefault="000C3B6D" w:rsidP="000C3B6D">
            <w:pPr>
              <w:ind w:left="0"/>
              <w:jc w:val="left"/>
              <w:rPr>
                <w:rFonts w:ascii="Arial Narrow" w:hAnsi="Arial Narrow" w:cs="Arial"/>
                <w:color w:val="000000" w:themeColor="text1"/>
                <w:sz w:val="20"/>
                <w:szCs w:val="20"/>
                <w:lang w:val="en-PH" w:eastAsia="en-PH"/>
              </w:rPr>
            </w:pPr>
            <w:r w:rsidRPr="009E35ED">
              <w:rPr>
                <w:rFonts w:ascii="Arial Narrow" w:hAnsi="Arial Narrow"/>
                <w:color w:val="000000" w:themeColor="text1"/>
                <w:sz w:val="20"/>
                <w:szCs w:val="20"/>
              </w:rPr>
              <w:t xml:space="preserve">Payment of </w:t>
            </w:r>
            <w:r w:rsidR="00C53760">
              <w:rPr>
                <w:rFonts w:ascii="Arial Narrow" w:hAnsi="Arial Narrow"/>
                <w:color w:val="000000" w:themeColor="text1"/>
                <w:sz w:val="20"/>
                <w:szCs w:val="20"/>
              </w:rPr>
              <w:t>f</w:t>
            </w:r>
            <w:r w:rsidRPr="009E35ED">
              <w:rPr>
                <w:rFonts w:ascii="Arial Narrow" w:hAnsi="Arial Narrow"/>
                <w:color w:val="000000" w:themeColor="text1"/>
                <w:sz w:val="20"/>
                <w:szCs w:val="20"/>
              </w:rPr>
              <w:t xml:space="preserve">uel, </w:t>
            </w:r>
            <w:r w:rsidR="00C53760">
              <w:rPr>
                <w:rFonts w:ascii="Arial Narrow" w:hAnsi="Arial Narrow"/>
                <w:color w:val="000000" w:themeColor="text1"/>
                <w:sz w:val="20"/>
                <w:szCs w:val="20"/>
              </w:rPr>
              <w:t>o</w:t>
            </w:r>
            <w:r w:rsidRPr="009E35ED">
              <w:rPr>
                <w:rFonts w:ascii="Arial Narrow" w:hAnsi="Arial Narrow"/>
                <w:color w:val="000000" w:themeColor="text1"/>
                <w:sz w:val="20"/>
                <w:szCs w:val="20"/>
              </w:rPr>
              <w:t xml:space="preserve">il </w:t>
            </w:r>
            <w:r w:rsidR="00C53760">
              <w:rPr>
                <w:rFonts w:ascii="Arial Narrow" w:hAnsi="Arial Narrow"/>
                <w:color w:val="000000" w:themeColor="text1"/>
                <w:sz w:val="20"/>
                <w:szCs w:val="20"/>
              </w:rPr>
              <w:t>a</w:t>
            </w:r>
            <w:r w:rsidRPr="009E35ED">
              <w:rPr>
                <w:rFonts w:ascii="Arial Narrow" w:hAnsi="Arial Narrow"/>
                <w:color w:val="000000" w:themeColor="text1"/>
                <w:sz w:val="20"/>
                <w:szCs w:val="20"/>
              </w:rPr>
              <w:t xml:space="preserve">nd </w:t>
            </w:r>
            <w:r w:rsidR="00C53760">
              <w:rPr>
                <w:rFonts w:ascii="Arial Narrow" w:hAnsi="Arial Narrow"/>
                <w:color w:val="000000" w:themeColor="text1"/>
                <w:sz w:val="20"/>
                <w:szCs w:val="20"/>
              </w:rPr>
              <w:t>l</w:t>
            </w:r>
            <w:r w:rsidRPr="009E35ED">
              <w:rPr>
                <w:rFonts w:ascii="Arial Narrow" w:hAnsi="Arial Narrow"/>
                <w:color w:val="000000" w:themeColor="text1"/>
                <w:sz w:val="20"/>
                <w:szCs w:val="20"/>
              </w:rPr>
              <w:t xml:space="preserve">ubricants </w:t>
            </w:r>
            <w:r w:rsidR="00C53760">
              <w:rPr>
                <w:rFonts w:ascii="Arial Narrow" w:hAnsi="Arial Narrow"/>
                <w:color w:val="000000" w:themeColor="text1"/>
                <w:sz w:val="20"/>
                <w:szCs w:val="20"/>
              </w:rPr>
              <w:t>e</w:t>
            </w:r>
            <w:r w:rsidRPr="009E35ED">
              <w:rPr>
                <w:rFonts w:ascii="Arial Narrow" w:hAnsi="Arial Narrow"/>
                <w:color w:val="000000" w:themeColor="text1"/>
                <w:sz w:val="20"/>
                <w:szCs w:val="20"/>
              </w:rPr>
              <w:t>xpenses - Head Office</w:t>
            </w:r>
          </w:p>
        </w:tc>
        <w:tc>
          <w:tcPr>
            <w:tcW w:w="1716" w:type="dxa"/>
            <w:tcBorders>
              <w:top w:val="nil"/>
              <w:left w:val="nil"/>
              <w:bottom w:val="nil"/>
              <w:right w:val="nil"/>
            </w:tcBorders>
            <w:shd w:val="clear" w:color="auto" w:fill="auto"/>
            <w:noWrap/>
            <w:hideMark/>
          </w:tcPr>
          <w:p w14:paraId="0033F5F7" w14:textId="457C6A12" w:rsidR="000C3B6D" w:rsidRPr="009E35ED" w:rsidRDefault="000C3B6D" w:rsidP="000C3B6D">
            <w:pPr>
              <w:ind w:left="0"/>
              <w:jc w:val="right"/>
              <w:rPr>
                <w:rFonts w:ascii="Arial Narrow" w:hAnsi="Arial Narrow" w:cs="Arial"/>
                <w:color w:val="000000" w:themeColor="text1"/>
                <w:sz w:val="20"/>
                <w:szCs w:val="20"/>
                <w:lang w:val="en-PH" w:eastAsia="en-PH"/>
              </w:rPr>
            </w:pPr>
            <w:r w:rsidRPr="009E35ED">
              <w:rPr>
                <w:rFonts w:ascii="Arial Narrow" w:hAnsi="Arial Narrow"/>
                <w:color w:val="000000" w:themeColor="text1"/>
                <w:sz w:val="20"/>
                <w:szCs w:val="20"/>
              </w:rPr>
              <w:t xml:space="preserve"> (5,000)</w:t>
            </w:r>
          </w:p>
        </w:tc>
      </w:tr>
      <w:tr w:rsidR="00997F75" w:rsidRPr="009E35ED" w14:paraId="0C9AAF17" w14:textId="77777777" w:rsidTr="00C26DA1">
        <w:trPr>
          <w:trHeight w:val="65"/>
        </w:trPr>
        <w:tc>
          <w:tcPr>
            <w:tcW w:w="7286" w:type="dxa"/>
            <w:tcBorders>
              <w:top w:val="single" w:sz="4" w:space="0" w:color="auto"/>
              <w:left w:val="nil"/>
              <w:bottom w:val="double" w:sz="6" w:space="0" w:color="auto"/>
              <w:right w:val="nil"/>
            </w:tcBorders>
            <w:shd w:val="clear" w:color="auto" w:fill="auto"/>
            <w:hideMark/>
          </w:tcPr>
          <w:p w14:paraId="2A0F3C8E" w14:textId="6371652A" w:rsidR="000C3B6D" w:rsidRPr="009E35ED" w:rsidRDefault="000C3B6D" w:rsidP="000C3B6D">
            <w:pPr>
              <w:ind w:left="0"/>
              <w:jc w:val="left"/>
              <w:rPr>
                <w:rFonts w:ascii="Arial Narrow" w:hAnsi="Arial Narrow" w:cs="Arial"/>
                <w:b/>
                <w:bCs/>
                <w:color w:val="000000" w:themeColor="text1"/>
                <w:sz w:val="20"/>
                <w:szCs w:val="20"/>
                <w:lang w:val="en-PH" w:eastAsia="en-PH"/>
              </w:rPr>
            </w:pPr>
            <w:r w:rsidRPr="009E35ED">
              <w:rPr>
                <w:rFonts w:ascii="Arial Narrow" w:hAnsi="Arial Narrow"/>
                <w:b/>
                <w:bCs/>
                <w:color w:val="000000" w:themeColor="text1"/>
                <w:sz w:val="20"/>
                <w:szCs w:val="20"/>
              </w:rPr>
              <w:t>Restated Amount as of December 31, 2022 - Fuel, Oil and Lubricants Expenses (Operating Fund)</w:t>
            </w:r>
          </w:p>
        </w:tc>
        <w:tc>
          <w:tcPr>
            <w:tcW w:w="1716" w:type="dxa"/>
            <w:tcBorders>
              <w:top w:val="single" w:sz="4" w:space="0" w:color="auto"/>
              <w:left w:val="nil"/>
              <w:bottom w:val="double" w:sz="6" w:space="0" w:color="auto"/>
              <w:right w:val="nil"/>
            </w:tcBorders>
            <w:shd w:val="clear" w:color="auto" w:fill="auto"/>
            <w:noWrap/>
            <w:hideMark/>
          </w:tcPr>
          <w:p w14:paraId="58D06FF0" w14:textId="77777777" w:rsidR="00D0688D" w:rsidRPr="009E35ED" w:rsidRDefault="00D0688D" w:rsidP="000C3B6D">
            <w:pPr>
              <w:ind w:left="0"/>
              <w:jc w:val="right"/>
              <w:rPr>
                <w:rFonts w:ascii="Arial Narrow" w:hAnsi="Arial Narrow"/>
                <w:b/>
                <w:bCs/>
                <w:color w:val="000000" w:themeColor="text1"/>
                <w:sz w:val="20"/>
                <w:szCs w:val="20"/>
              </w:rPr>
            </w:pPr>
          </w:p>
          <w:p w14:paraId="2592D24E" w14:textId="7CE89954" w:rsidR="000C3B6D" w:rsidRPr="009E35ED" w:rsidRDefault="000C3B6D" w:rsidP="00C03EBC">
            <w:pPr>
              <w:ind w:left="0"/>
              <w:jc w:val="right"/>
              <w:rPr>
                <w:rFonts w:ascii="Arial Narrow" w:hAnsi="Arial Narrow" w:cs="Arial"/>
                <w:b/>
                <w:bCs/>
                <w:color w:val="000000" w:themeColor="text1"/>
                <w:sz w:val="20"/>
                <w:szCs w:val="20"/>
                <w:lang w:val="en-PH" w:eastAsia="en-PH"/>
              </w:rPr>
            </w:pPr>
            <w:r w:rsidRPr="009E35ED">
              <w:rPr>
                <w:rFonts w:ascii="Arial Narrow" w:hAnsi="Arial Narrow"/>
                <w:b/>
                <w:bCs/>
                <w:color w:val="000000" w:themeColor="text1"/>
                <w:sz w:val="20"/>
                <w:szCs w:val="20"/>
              </w:rPr>
              <w:t xml:space="preserve"> 10,176,56</w:t>
            </w:r>
            <w:r w:rsidR="00C03EBC" w:rsidRPr="009E35ED">
              <w:rPr>
                <w:rFonts w:ascii="Arial Narrow" w:hAnsi="Arial Narrow"/>
                <w:b/>
                <w:bCs/>
                <w:color w:val="000000" w:themeColor="text1"/>
                <w:sz w:val="20"/>
                <w:szCs w:val="20"/>
              </w:rPr>
              <w:t>7</w:t>
            </w:r>
            <w:r w:rsidRPr="009E35ED">
              <w:rPr>
                <w:rFonts w:ascii="Arial Narrow" w:hAnsi="Arial Narrow"/>
                <w:b/>
                <w:bCs/>
                <w:color w:val="000000" w:themeColor="text1"/>
                <w:sz w:val="20"/>
                <w:szCs w:val="20"/>
              </w:rPr>
              <w:t xml:space="preserve"> </w:t>
            </w:r>
          </w:p>
        </w:tc>
      </w:tr>
      <w:tr w:rsidR="00997F75" w:rsidRPr="009E35ED" w14:paraId="277E741D" w14:textId="77777777" w:rsidTr="00C26DA1">
        <w:trPr>
          <w:trHeight w:val="300"/>
        </w:trPr>
        <w:tc>
          <w:tcPr>
            <w:tcW w:w="7286" w:type="dxa"/>
            <w:tcBorders>
              <w:top w:val="nil"/>
              <w:left w:val="nil"/>
              <w:bottom w:val="nil"/>
              <w:right w:val="nil"/>
            </w:tcBorders>
            <w:shd w:val="clear" w:color="auto" w:fill="auto"/>
            <w:vAlign w:val="bottom"/>
            <w:hideMark/>
          </w:tcPr>
          <w:p w14:paraId="253BB40A" w14:textId="77777777" w:rsidR="00240956" w:rsidRPr="009E35ED" w:rsidRDefault="00240956" w:rsidP="00240956">
            <w:pPr>
              <w:ind w:left="0"/>
              <w:jc w:val="left"/>
              <w:rPr>
                <w:rFonts w:ascii="Arial Narrow" w:hAnsi="Arial Narrow" w:cs="Arial"/>
                <w:b/>
                <w:bCs/>
                <w:color w:val="000000" w:themeColor="text1"/>
                <w:sz w:val="20"/>
                <w:szCs w:val="20"/>
                <w:lang w:val="en-PH" w:eastAsia="en-PH"/>
              </w:rPr>
            </w:pPr>
          </w:p>
        </w:tc>
        <w:tc>
          <w:tcPr>
            <w:tcW w:w="1716" w:type="dxa"/>
            <w:tcBorders>
              <w:top w:val="nil"/>
              <w:left w:val="nil"/>
              <w:bottom w:val="nil"/>
              <w:right w:val="nil"/>
            </w:tcBorders>
            <w:shd w:val="clear" w:color="auto" w:fill="auto"/>
            <w:noWrap/>
            <w:vAlign w:val="bottom"/>
            <w:hideMark/>
          </w:tcPr>
          <w:p w14:paraId="7E769D53" w14:textId="77777777" w:rsidR="00240956" w:rsidRPr="009E35ED" w:rsidRDefault="00240956" w:rsidP="00240956">
            <w:pPr>
              <w:ind w:left="0"/>
              <w:jc w:val="right"/>
              <w:rPr>
                <w:rFonts w:ascii="Arial Narrow" w:hAnsi="Arial Narrow"/>
                <w:color w:val="000000" w:themeColor="text1"/>
                <w:sz w:val="20"/>
                <w:szCs w:val="20"/>
                <w:lang w:val="en-PH" w:eastAsia="en-PH"/>
              </w:rPr>
            </w:pPr>
          </w:p>
        </w:tc>
      </w:tr>
      <w:tr w:rsidR="00997F75" w:rsidRPr="009E35ED" w14:paraId="3BDE2E13" w14:textId="77777777" w:rsidTr="00860ED6">
        <w:trPr>
          <w:trHeight w:val="177"/>
        </w:trPr>
        <w:tc>
          <w:tcPr>
            <w:tcW w:w="7286" w:type="dxa"/>
            <w:tcBorders>
              <w:top w:val="nil"/>
              <w:left w:val="nil"/>
              <w:bottom w:val="nil"/>
              <w:right w:val="nil"/>
            </w:tcBorders>
            <w:shd w:val="clear" w:color="auto" w:fill="auto"/>
            <w:hideMark/>
          </w:tcPr>
          <w:p w14:paraId="393932DC" w14:textId="1FDF6D1A" w:rsidR="00291515" w:rsidRPr="009E35ED" w:rsidRDefault="00291515" w:rsidP="00291515">
            <w:pPr>
              <w:ind w:left="0"/>
              <w:jc w:val="left"/>
              <w:rPr>
                <w:rFonts w:ascii="Arial Narrow" w:hAnsi="Arial Narrow" w:cs="Arial"/>
                <w:color w:val="000000" w:themeColor="text1"/>
                <w:sz w:val="20"/>
                <w:szCs w:val="20"/>
                <w:lang w:val="en-PH" w:eastAsia="en-PH"/>
              </w:rPr>
            </w:pPr>
            <w:r w:rsidRPr="009E35ED">
              <w:rPr>
                <w:rFonts w:ascii="Arial Narrow" w:hAnsi="Arial Narrow"/>
                <w:color w:val="000000" w:themeColor="text1"/>
                <w:sz w:val="20"/>
                <w:szCs w:val="20"/>
              </w:rPr>
              <w:t xml:space="preserve">Unrestated </w:t>
            </w:r>
            <w:r w:rsidR="00C53760">
              <w:rPr>
                <w:rFonts w:ascii="Arial Narrow" w:hAnsi="Arial Narrow"/>
                <w:color w:val="000000" w:themeColor="text1"/>
                <w:sz w:val="20"/>
                <w:szCs w:val="20"/>
              </w:rPr>
              <w:t>a</w:t>
            </w:r>
            <w:r w:rsidRPr="009E35ED">
              <w:rPr>
                <w:rFonts w:ascii="Arial Narrow" w:hAnsi="Arial Narrow"/>
                <w:color w:val="000000" w:themeColor="text1"/>
                <w:sz w:val="20"/>
                <w:szCs w:val="20"/>
              </w:rPr>
              <w:t>mount as of December 31, 2022</w:t>
            </w:r>
          </w:p>
        </w:tc>
        <w:tc>
          <w:tcPr>
            <w:tcW w:w="1716" w:type="dxa"/>
            <w:tcBorders>
              <w:top w:val="nil"/>
              <w:left w:val="nil"/>
              <w:bottom w:val="nil"/>
              <w:right w:val="nil"/>
            </w:tcBorders>
            <w:shd w:val="clear" w:color="auto" w:fill="auto"/>
            <w:noWrap/>
            <w:hideMark/>
          </w:tcPr>
          <w:p w14:paraId="6260EFD8" w14:textId="469D041A" w:rsidR="00291515" w:rsidRPr="009E35ED" w:rsidRDefault="00291515" w:rsidP="00C03EBC">
            <w:pPr>
              <w:ind w:left="0"/>
              <w:jc w:val="right"/>
              <w:rPr>
                <w:rFonts w:ascii="Arial Narrow" w:hAnsi="Arial Narrow" w:cs="Arial"/>
                <w:color w:val="000000" w:themeColor="text1"/>
                <w:sz w:val="20"/>
                <w:szCs w:val="20"/>
                <w:lang w:val="en-PH" w:eastAsia="en-PH"/>
              </w:rPr>
            </w:pPr>
            <w:r w:rsidRPr="009E35ED">
              <w:rPr>
                <w:rFonts w:ascii="Arial Narrow" w:hAnsi="Arial Narrow"/>
                <w:color w:val="000000" w:themeColor="text1"/>
                <w:sz w:val="20"/>
                <w:szCs w:val="20"/>
              </w:rPr>
              <w:t xml:space="preserve"> </w:t>
            </w:r>
            <w:r w:rsidR="00C03EBC" w:rsidRPr="009E35ED">
              <w:rPr>
                <w:rFonts w:ascii="Arial Narrow" w:hAnsi="Arial Narrow"/>
                <w:color w:val="000000" w:themeColor="text1"/>
                <w:sz w:val="20"/>
                <w:szCs w:val="20"/>
              </w:rPr>
              <w:t>10,956,167</w:t>
            </w:r>
            <w:r w:rsidRPr="009E35ED">
              <w:rPr>
                <w:rFonts w:ascii="Arial Narrow" w:hAnsi="Arial Narrow"/>
                <w:color w:val="000000" w:themeColor="text1"/>
                <w:sz w:val="20"/>
                <w:szCs w:val="20"/>
              </w:rPr>
              <w:t xml:space="preserve"> </w:t>
            </w:r>
          </w:p>
        </w:tc>
      </w:tr>
      <w:tr w:rsidR="00997F75" w:rsidRPr="009E35ED" w14:paraId="7AC78A39" w14:textId="77777777" w:rsidTr="00C26DA1">
        <w:trPr>
          <w:trHeight w:val="75"/>
        </w:trPr>
        <w:tc>
          <w:tcPr>
            <w:tcW w:w="7286" w:type="dxa"/>
            <w:tcBorders>
              <w:top w:val="nil"/>
              <w:left w:val="nil"/>
              <w:bottom w:val="nil"/>
              <w:right w:val="nil"/>
            </w:tcBorders>
            <w:shd w:val="clear" w:color="auto" w:fill="auto"/>
            <w:hideMark/>
          </w:tcPr>
          <w:p w14:paraId="559A6B5D" w14:textId="2D0BD481" w:rsidR="00291515" w:rsidRPr="009E35ED" w:rsidRDefault="00291515" w:rsidP="00291515">
            <w:pPr>
              <w:ind w:left="0"/>
              <w:jc w:val="left"/>
              <w:rPr>
                <w:rFonts w:ascii="Arial Narrow" w:hAnsi="Arial Narrow" w:cs="Arial"/>
                <w:color w:val="000000" w:themeColor="text1"/>
                <w:sz w:val="20"/>
                <w:szCs w:val="20"/>
                <w:lang w:val="en-PH" w:eastAsia="en-PH"/>
              </w:rPr>
            </w:pPr>
            <w:r w:rsidRPr="009E35ED">
              <w:rPr>
                <w:rFonts w:ascii="Arial Narrow" w:hAnsi="Arial Narrow"/>
                <w:color w:val="000000" w:themeColor="text1"/>
                <w:sz w:val="20"/>
                <w:szCs w:val="20"/>
              </w:rPr>
              <w:t xml:space="preserve">Adjustment/Recording of </w:t>
            </w:r>
            <w:r w:rsidR="00C53760">
              <w:rPr>
                <w:rFonts w:ascii="Arial Narrow" w:hAnsi="Arial Narrow"/>
                <w:color w:val="000000" w:themeColor="text1"/>
                <w:sz w:val="20"/>
                <w:szCs w:val="20"/>
              </w:rPr>
              <w:t>s</w:t>
            </w:r>
            <w:r w:rsidRPr="009E35ED">
              <w:rPr>
                <w:rFonts w:ascii="Arial Narrow" w:hAnsi="Arial Narrow"/>
                <w:color w:val="000000" w:themeColor="text1"/>
                <w:sz w:val="20"/>
                <w:szCs w:val="20"/>
              </w:rPr>
              <w:t>emi-</w:t>
            </w:r>
            <w:r w:rsidR="00C53760">
              <w:rPr>
                <w:rFonts w:ascii="Arial Narrow" w:hAnsi="Arial Narrow"/>
                <w:color w:val="000000" w:themeColor="text1"/>
                <w:sz w:val="20"/>
                <w:szCs w:val="20"/>
              </w:rPr>
              <w:t>e</w:t>
            </w:r>
            <w:r w:rsidRPr="009E35ED">
              <w:rPr>
                <w:rFonts w:ascii="Arial Narrow" w:hAnsi="Arial Narrow"/>
                <w:color w:val="000000" w:themeColor="text1"/>
                <w:sz w:val="20"/>
                <w:szCs w:val="20"/>
              </w:rPr>
              <w:t xml:space="preserve">xpendable </w:t>
            </w:r>
            <w:r w:rsidR="00C53760">
              <w:rPr>
                <w:rFonts w:ascii="Arial Narrow" w:hAnsi="Arial Narrow"/>
                <w:color w:val="000000" w:themeColor="text1"/>
                <w:sz w:val="20"/>
                <w:szCs w:val="20"/>
              </w:rPr>
              <w:t>m</w:t>
            </w:r>
            <w:r w:rsidRPr="009E35ED">
              <w:rPr>
                <w:rFonts w:ascii="Arial Narrow" w:hAnsi="Arial Narrow"/>
                <w:color w:val="000000" w:themeColor="text1"/>
                <w:sz w:val="20"/>
                <w:szCs w:val="20"/>
              </w:rPr>
              <w:t xml:space="preserve">achinery and </w:t>
            </w:r>
            <w:r w:rsidR="00C53760">
              <w:rPr>
                <w:rFonts w:ascii="Arial Narrow" w:hAnsi="Arial Narrow"/>
                <w:color w:val="000000" w:themeColor="text1"/>
                <w:sz w:val="20"/>
                <w:szCs w:val="20"/>
              </w:rPr>
              <w:t>e</w:t>
            </w:r>
            <w:r w:rsidRPr="009E35ED">
              <w:rPr>
                <w:rFonts w:ascii="Arial Narrow" w:hAnsi="Arial Narrow"/>
                <w:color w:val="000000" w:themeColor="text1"/>
                <w:sz w:val="20"/>
                <w:szCs w:val="20"/>
              </w:rPr>
              <w:t xml:space="preserve">quipment </w:t>
            </w:r>
            <w:r w:rsidR="00C53760">
              <w:rPr>
                <w:rFonts w:ascii="Arial Narrow" w:hAnsi="Arial Narrow"/>
                <w:color w:val="000000" w:themeColor="text1"/>
                <w:sz w:val="20"/>
                <w:szCs w:val="20"/>
              </w:rPr>
              <w:t>e</w:t>
            </w:r>
            <w:r w:rsidRPr="009E35ED">
              <w:rPr>
                <w:rFonts w:ascii="Arial Narrow" w:hAnsi="Arial Narrow"/>
                <w:color w:val="000000" w:themeColor="text1"/>
                <w:sz w:val="20"/>
                <w:szCs w:val="20"/>
              </w:rPr>
              <w:t>xpenses - Branch</w:t>
            </w:r>
          </w:p>
        </w:tc>
        <w:tc>
          <w:tcPr>
            <w:tcW w:w="1716" w:type="dxa"/>
            <w:tcBorders>
              <w:top w:val="nil"/>
              <w:left w:val="nil"/>
              <w:bottom w:val="nil"/>
              <w:right w:val="nil"/>
            </w:tcBorders>
            <w:shd w:val="clear" w:color="auto" w:fill="auto"/>
            <w:noWrap/>
            <w:hideMark/>
          </w:tcPr>
          <w:p w14:paraId="2015AE2C" w14:textId="2A3D6E04" w:rsidR="00291515" w:rsidRPr="009E35ED" w:rsidRDefault="00291515" w:rsidP="00C03EBC">
            <w:pPr>
              <w:ind w:left="0"/>
              <w:jc w:val="right"/>
              <w:rPr>
                <w:rFonts w:ascii="Arial Narrow" w:hAnsi="Arial Narrow" w:cs="Arial"/>
                <w:color w:val="000000" w:themeColor="text1"/>
                <w:sz w:val="20"/>
                <w:szCs w:val="20"/>
                <w:lang w:val="en-PH" w:eastAsia="en-PH"/>
              </w:rPr>
            </w:pPr>
            <w:r w:rsidRPr="009E35ED">
              <w:rPr>
                <w:rFonts w:ascii="Arial Narrow" w:hAnsi="Arial Narrow"/>
                <w:color w:val="000000" w:themeColor="text1"/>
                <w:sz w:val="20"/>
                <w:szCs w:val="20"/>
              </w:rPr>
              <w:t xml:space="preserve">216,048 </w:t>
            </w:r>
          </w:p>
        </w:tc>
      </w:tr>
      <w:tr w:rsidR="00997F75" w:rsidRPr="009E35ED" w14:paraId="575C7A80" w14:textId="77777777" w:rsidTr="00C26DA1">
        <w:trPr>
          <w:trHeight w:val="126"/>
        </w:trPr>
        <w:tc>
          <w:tcPr>
            <w:tcW w:w="7286" w:type="dxa"/>
            <w:tcBorders>
              <w:top w:val="nil"/>
              <w:left w:val="nil"/>
              <w:bottom w:val="nil"/>
              <w:right w:val="nil"/>
            </w:tcBorders>
            <w:shd w:val="clear" w:color="auto" w:fill="auto"/>
            <w:hideMark/>
          </w:tcPr>
          <w:p w14:paraId="540EAE68" w14:textId="5E05F14D" w:rsidR="00291515" w:rsidRPr="009E35ED" w:rsidRDefault="00291515" w:rsidP="00291515">
            <w:pPr>
              <w:ind w:left="0"/>
              <w:jc w:val="left"/>
              <w:rPr>
                <w:rFonts w:ascii="Arial Narrow" w:hAnsi="Arial Narrow" w:cs="Arial"/>
                <w:color w:val="000000" w:themeColor="text1"/>
                <w:sz w:val="20"/>
                <w:szCs w:val="20"/>
                <w:lang w:val="en-PH" w:eastAsia="en-PH"/>
              </w:rPr>
            </w:pPr>
            <w:r w:rsidRPr="009E35ED">
              <w:rPr>
                <w:rFonts w:ascii="Arial Narrow" w:hAnsi="Arial Narrow"/>
                <w:color w:val="000000" w:themeColor="text1"/>
                <w:sz w:val="20"/>
                <w:szCs w:val="20"/>
              </w:rPr>
              <w:t xml:space="preserve">Adjustment/Recording of </w:t>
            </w:r>
            <w:r w:rsidR="00C53760">
              <w:rPr>
                <w:rFonts w:ascii="Arial Narrow" w:hAnsi="Arial Narrow"/>
                <w:color w:val="000000" w:themeColor="text1"/>
                <w:sz w:val="20"/>
                <w:szCs w:val="20"/>
              </w:rPr>
              <w:t>s</w:t>
            </w:r>
            <w:r w:rsidRPr="009E35ED">
              <w:rPr>
                <w:rFonts w:ascii="Arial Narrow" w:hAnsi="Arial Narrow"/>
                <w:color w:val="000000" w:themeColor="text1"/>
                <w:sz w:val="20"/>
                <w:szCs w:val="20"/>
              </w:rPr>
              <w:t>emi-</w:t>
            </w:r>
            <w:r w:rsidR="00C53760">
              <w:rPr>
                <w:rFonts w:ascii="Arial Narrow" w:hAnsi="Arial Narrow"/>
                <w:color w:val="000000" w:themeColor="text1"/>
                <w:sz w:val="20"/>
                <w:szCs w:val="20"/>
              </w:rPr>
              <w:t>e</w:t>
            </w:r>
            <w:r w:rsidRPr="009E35ED">
              <w:rPr>
                <w:rFonts w:ascii="Arial Narrow" w:hAnsi="Arial Narrow"/>
                <w:color w:val="000000" w:themeColor="text1"/>
                <w:sz w:val="20"/>
                <w:szCs w:val="20"/>
              </w:rPr>
              <w:t xml:space="preserve">xpendable </w:t>
            </w:r>
            <w:r w:rsidR="00C53760">
              <w:rPr>
                <w:rFonts w:ascii="Arial Narrow" w:hAnsi="Arial Narrow"/>
                <w:color w:val="000000" w:themeColor="text1"/>
                <w:sz w:val="20"/>
                <w:szCs w:val="20"/>
              </w:rPr>
              <w:t>m</w:t>
            </w:r>
            <w:r w:rsidRPr="009E35ED">
              <w:rPr>
                <w:rFonts w:ascii="Arial Narrow" w:hAnsi="Arial Narrow"/>
                <w:color w:val="000000" w:themeColor="text1"/>
                <w:sz w:val="20"/>
                <w:szCs w:val="20"/>
              </w:rPr>
              <w:t xml:space="preserve">achinery and </w:t>
            </w:r>
            <w:r w:rsidR="00C53760">
              <w:rPr>
                <w:rFonts w:ascii="Arial Narrow" w:hAnsi="Arial Narrow"/>
                <w:color w:val="000000" w:themeColor="text1"/>
                <w:sz w:val="20"/>
                <w:szCs w:val="20"/>
              </w:rPr>
              <w:t>e</w:t>
            </w:r>
            <w:r w:rsidRPr="009E35ED">
              <w:rPr>
                <w:rFonts w:ascii="Arial Narrow" w:hAnsi="Arial Narrow"/>
                <w:color w:val="000000" w:themeColor="text1"/>
                <w:sz w:val="20"/>
                <w:szCs w:val="20"/>
              </w:rPr>
              <w:t xml:space="preserve">quipment </w:t>
            </w:r>
            <w:r w:rsidR="00C53760">
              <w:rPr>
                <w:rFonts w:ascii="Arial Narrow" w:hAnsi="Arial Narrow"/>
                <w:color w:val="000000" w:themeColor="text1"/>
                <w:sz w:val="20"/>
                <w:szCs w:val="20"/>
              </w:rPr>
              <w:t>e</w:t>
            </w:r>
            <w:r w:rsidRPr="009E35ED">
              <w:rPr>
                <w:rFonts w:ascii="Arial Narrow" w:hAnsi="Arial Narrow"/>
                <w:color w:val="000000" w:themeColor="text1"/>
                <w:sz w:val="20"/>
                <w:szCs w:val="20"/>
              </w:rPr>
              <w:t>xpenses - Head Office</w:t>
            </w:r>
          </w:p>
        </w:tc>
        <w:tc>
          <w:tcPr>
            <w:tcW w:w="1716" w:type="dxa"/>
            <w:tcBorders>
              <w:top w:val="nil"/>
              <w:left w:val="nil"/>
              <w:bottom w:val="nil"/>
              <w:right w:val="nil"/>
            </w:tcBorders>
            <w:shd w:val="clear" w:color="auto" w:fill="auto"/>
            <w:noWrap/>
            <w:hideMark/>
          </w:tcPr>
          <w:p w14:paraId="5245B5CE" w14:textId="26AD78F8" w:rsidR="00291515" w:rsidRPr="009E35ED" w:rsidRDefault="00C03EBC" w:rsidP="00C03EBC">
            <w:pPr>
              <w:ind w:left="0"/>
              <w:jc w:val="right"/>
              <w:rPr>
                <w:rFonts w:ascii="Arial Narrow" w:hAnsi="Arial Narrow" w:cs="Arial"/>
                <w:color w:val="000000" w:themeColor="text1"/>
                <w:sz w:val="20"/>
                <w:szCs w:val="20"/>
                <w:lang w:val="en-PH" w:eastAsia="en-PH"/>
              </w:rPr>
            </w:pPr>
            <w:r w:rsidRPr="009E35ED">
              <w:rPr>
                <w:rFonts w:ascii="Arial Narrow" w:hAnsi="Arial Narrow"/>
                <w:color w:val="000000" w:themeColor="text1"/>
                <w:sz w:val="20"/>
                <w:szCs w:val="20"/>
              </w:rPr>
              <w:t>(6,325,486)</w:t>
            </w:r>
            <w:r w:rsidR="00291515" w:rsidRPr="009E35ED">
              <w:rPr>
                <w:rFonts w:ascii="Arial Narrow" w:hAnsi="Arial Narrow"/>
                <w:color w:val="000000" w:themeColor="text1"/>
                <w:sz w:val="20"/>
                <w:szCs w:val="20"/>
              </w:rPr>
              <w:t xml:space="preserve"> </w:t>
            </w:r>
          </w:p>
        </w:tc>
      </w:tr>
      <w:tr w:rsidR="00997F75" w:rsidRPr="009E35ED" w14:paraId="53E93635" w14:textId="77777777" w:rsidTr="00C26DA1">
        <w:trPr>
          <w:trHeight w:val="179"/>
        </w:trPr>
        <w:tc>
          <w:tcPr>
            <w:tcW w:w="7286" w:type="dxa"/>
            <w:tcBorders>
              <w:top w:val="single" w:sz="4" w:space="0" w:color="auto"/>
              <w:left w:val="nil"/>
              <w:bottom w:val="double" w:sz="6" w:space="0" w:color="auto"/>
              <w:right w:val="nil"/>
            </w:tcBorders>
            <w:shd w:val="clear" w:color="auto" w:fill="auto"/>
            <w:hideMark/>
          </w:tcPr>
          <w:p w14:paraId="11D4521A" w14:textId="131BC3F0" w:rsidR="00291515" w:rsidRPr="009E35ED" w:rsidRDefault="00291515" w:rsidP="00291515">
            <w:pPr>
              <w:ind w:left="0"/>
              <w:jc w:val="left"/>
              <w:rPr>
                <w:rFonts w:ascii="Arial Narrow" w:hAnsi="Arial Narrow" w:cs="Arial"/>
                <w:b/>
                <w:bCs/>
                <w:color w:val="000000" w:themeColor="text1"/>
                <w:sz w:val="20"/>
                <w:szCs w:val="20"/>
                <w:lang w:val="en-PH" w:eastAsia="en-PH"/>
              </w:rPr>
            </w:pPr>
            <w:r w:rsidRPr="009E35ED">
              <w:rPr>
                <w:rFonts w:ascii="Arial Narrow" w:hAnsi="Arial Narrow"/>
                <w:b/>
                <w:bCs/>
                <w:color w:val="000000" w:themeColor="text1"/>
                <w:sz w:val="20"/>
                <w:szCs w:val="20"/>
              </w:rPr>
              <w:t>Restated Amount as of December 31, 2022 - Semi-Expendable Machinery and Equipment Expenses (Operating Fund)</w:t>
            </w:r>
          </w:p>
        </w:tc>
        <w:tc>
          <w:tcPr>
            <w:tcW w:w="1716" w:type="dxa"/>
            <w:tcBorders>
              <w:top w:val="single" w:sz="4" w:space="0" w:color="auto"/>
              <w:left w:val="nil"/>
              <w:bottom w:val="double" w:sz="6" w:space="0" w:color="auto"/>
              <w:right w:val="nil"/>
            </w:tcBorders>
            <w:shd w:val="clear" w:color="auto" w:fill="auto"/>
            <w:noWrap/>
            <w:hideMark/>
          </w:tcPr>
          <w:p w14:paraId="29AEEF1D" w14:textId="77777777" w:rsidR="00D0688D" w:rsidRPr="009E35ED" w:rsidRDefault="00D0688D" w:rsidP="00291515">
            <w:pPr>
              <w:ind w:left="0"/>
              <w:jc w:val="right"/>
              <w:rPr>
                <w:rFonts w:ascii="Arial Narrow" w:hAnsi="Arial Narrow"/>
                <w:b/>
                <w:bCs/>
                <w:color w:val="000000" w:themeColor="text1"/>
                <w:sz w:val="20"/>
                <w:szCs w:val="20"/>
              </w:rPr>
            </w:pPr>
          </w:p>
          <w:p w14:paraId="195E5B81" w14:textId="33C778F3" w:rsidR="00291515" w:rsidRPr="009E35ED" w:rsidRDefault="00291515" w:rsidP="00C03EBC">
            <w:pPr>
              <w:ind w:left="0"/>
              <w:jc w:val="right"/>
              <w:rPr>
                <w:rFonts w:ascii="Arial Narrow" w:hAnsi="Arial Narrow" w:cs="Arial"/>
                <w:b/>
                <w:bCs/>
                <w:color w:val="000000" w:themeColor="text1"/>
                <w:sz w:val="20"/>
                <w:szCs w:val="20"/>
                <w:lang w:val="en-PH" w:eastAsia="en-PH"/>
              </w:rPr>
            </w:pPr>
            <w:r w:rsidRPr="009E35ED">
              <w:rPr>
                <w:rFonts w:ascii="Arial Narrow" w:hAnsi="Arial Narrow"/>
                <w:b/>
                <w:bCs/>
                <w:color w:val="000000" w:themeColor="text1"/>
                <w:sz w:val="20"/>
                <w:szCs w:val="20"/>
              </w:rPr>
              <w:t xml:space="preserve"> </w:t>
            </w:r>
            <w:r w:rsidR="00C03EBC" w:rsidRPr="009E35ED">
              <w:rPr>
                <w:rFonts w:ascii="Arial Narrow" w:hAnsi="Arial Narrow"/>
                <w:b/>
                <w:bCs/>
                <w:color w:val="000000" w:themeColor="text1"/>
                <w:sz w:val="20"/>
                <w:szCs w:val="20"/>
              </w:rPr>
              <w:t>4,846,729</w:t>
            </w:r>
            <w:r w:rsidRPr="009E35ED">
              <w:rPr>
                <w:rFonts w:ascii="Arial Narrow" w:hAnsi="Arial Narrow"/>
                <w:b/>
                <w:bCs/>
                <w:color w:val="000000" w:themeColor="text1"/>
                <w:sz w:val="20"/>
                <w:szCs w:val="20"/>
              </w:rPr>
              <w:t xml:space="preserve"> </w:t>
            </w:r>
          </w:p>
        </w:tc>
      </w:tr>
      <w:tr w:rsidR="00997F75" w:rsidRPr="009E35ED" w14:paraId="24B7C235" w14:textId="77777777" w:rsidTr="00C26DA1">
        <w:trPr>
          <w:trHeight w:val="300"/>
        </w:trPr>
        <w:tc>
          <w:tcPr>
            <w:tcW w:w="7286" w:type="dxa"/>
            <w:tcBorders>
              <w:top w:val="nil"/>
              <w:left w:val="nil"/>
              <w:bottom w:val="nil"/>
              <w:right w:val="nil"/>
            </w:tcBorders>
            <w:shd w:val="clear" w:color="auto" w:fill="auto"/>
            <w:vAlign w:val="bottom"/>
          </w:tcPr>
          <w:p w14:paraId="0A69D60F" w14:textId="77777777" w:rsidR="00364FA9" w:rsidRPr="009E35ED" w:rsidRDefault="00364FA9" w:rsidP="00240956">
            <w:pPr>
              <w:ind w:left="0"/>
              <w:jc w:val="left"/>
              <w:rPr>
                <w:rFonts w:ascii="Arial Narrow" w:hAnsi="Arial Narrow" w:cs="Arial"/>
                <w:b/>
                <w:bCs/>
                <w:color w:val="000000" w:themeColor="text1"/>
                <w:sz w:val="20"/>
                <w:szCs w:val="20"/>
                <w:lang w:val="en-PH" w:eastAsia="en-PH"/>
              </w:rPr>
            </w:pPr>
          </w:p>
        </w:tc>
        <w:tc>
          <w:tcPr>
            <w:tcW w:w="1716" w:type="dxa"/>
            <w:tcBorders>
              <w:top w:val="nil"/>
              <w:left w:val="nil"/>
              <w:bottom w:val="nil"/>
              <w:right w:val="nil"/>
            </w:tcBorders>
            <w:shd w:val="clear" w:color="auto" w:fill="auto"/>
            <w:noWrap/>
            <w:vAlign w:val="bottom"/>
          </w:tcPr>
          <w:p w14:paraId="1945C588" w14:textId="77777777" w:rsidR="00364FA9" w:rsidRPr="009E35ED" w:rsidRDefault="00364FA9" w:rsidP="00240956">
            <w:pPr>
              <w:ind w:left="0"/>
              <w:jc w:val="right"/>
              <w:rPr>
                <w:rFonts w:ascii="Arial Narrow" w:hAnsi="Arial Narrow"/>
                <w:color w:val="000000" w:themeColor="text1"/>
                <w:sz w:val="20"/>
                <w:szCs w:val="20"/>
                <w:lang w:val="en-PH" w:eastAsia="en-PH"/>
              </w:rPr>
            </w:pPr>
          </w:p>
        </w:tc>
      </w:tr>
      <w:tr w:rsidR="00997F75" w:rsidRPr="009E35ED" w14:paraId="375075A9" w14:textId="77777777" w:rsidTr="00C26DA1">
        <w:trPr>
          <w:trHeight w:val="300"/>
        </w:trPr>
        <w:tc>
          <w:tcPr>
            <w:tcW w:w="7286" w:type="dxa"/>
            <w:tcBorders>
              <w:top w:val="nil"/>
              <w:left w:val="nil"/>
              <w:bottom w:val="nil"/>
              <w:right w:val="nil"/>
            </w:tcBorders>
            <w:shd w:val="clear" w:color="auto" w:fill="auto"/>
            <w:vAlign w:val="bottom"/>
          </w:tcPr>
          <w:p w14:paraId="38A22FE4" w14:textId="77777777" w:rsidR="00364FA9" w:rsidRPr="009E35ED" w:rsidRDefault="00364FA9" w:rsidP="00240956">
            <w:pPr>
              <w:ind w:left="0"/>
              <w:jc w:val="left"/>
              <w:rPr>
                <w:rFonts w:ascii="Arial Narrow" w:hAnsi="Arial Narrow" w:cs="Arial"/>
                <w:b/>
                <w:bCs/>
                <w:color w:val="000000" w:themeColor="text1"/>
                <w:sz w:val="20"/>
                <w:szCs w:val="20"/>
                <w:lang w:val="en-PH" w:eastAsia="en-PH"/>
              </w:rPr>
            </w:pPr>
          </w:p>
        </w:tc>
        <w:tc>
          <w:tcPr>
            <w:tcW w:w="1716" w:type="dxa"/>
            <w:tcBorders>
              <w:top w:val="nil"/>
              <w:left w:val="nil"/>
              <w:bottom w:val="nil"/>
              <w:right w:val="nil"/>
            </w:tcBorders>
            <w:shd w:val="clear" w:color="auto" w:fill="auto"/>
            <w:noWrap/>
            <w:vAlign w:val="bottom"/>
          </w:tcPr>
          <w:p w14:paraId="4113FFFD" w14:textId="77777777" w:rsidR="00364FA9" w:rsidRPr="009E35ED" w:rsidRDefault="00364FA9" w:rsidP="00240956">
            <w:pPr>
              <w:ind w:left="0"/>
              <w:jc w:val="right"/>
              <w:rPr>
                <w:rFonts w:ascii="Arial Narrow" w:hAnsi="Arial Narrow"/>
                <w:color w:val="000000" w:themeColor="text1"/>
                <w:sz w:val="20"/>
                <w:szCs w:val="20"/>
                <w:lang w:val="en-PH" w:eastAsia="en-PH"/>
              </w:rPr>
            </w:pPr>
          </w:p>
        </w:tc>
      </w:tr>
      <w:tr w:rsidR="00997F75" w:rsidRPr="009E35ED" w14:paraId="7B9795B3" w14:textId="77777777" w:rsidTr="00860ED6">
        <w:trPr>
          <w:trHeight w:val="204"/>
        </w:trPr>
        <w:tc>
          <w:tcPr>
            <w:tcW w:w="7286" w:type="dxa"/>
            <w:tcBorders>
              <w:top w:val="nil"/>
              <w:left w:val="nil"/>
              <w:bottom w:val="nil"/>
              <w:right w:val="nil"/>
            </w:tcBorders>
            <w:shd w:val="clear" w:color="auto" w:fill="auto"/>
          </w:tcPr>
          <w:p w14:paraId="24BEABB0" w14:textId="25070E09" w:rsidR="00132930" w:rsidRPr="009E35ED" w:rsidRDefault="00132930" w:rsidP="00B90388">
            <w:pPr>
              <w:keepNext/>
              <w:keepLines/>
              <w:ind w:left="0"/>
              <w:jc w:val="left"/>
              <w:rPr>
                <w:rFonts w:ascii="Arial Narrow" w:hAnsi="Arial Narrow" w:cs="Arial"/>
                <w:b/>
                <w:bCs/>
                <w:color w:val="000000" w:themeColor="text1"/>
                <w:sz w:val="20"/>
                <w:szCs w:val="20"/>
                <w:lang w:val="en-PH" w:eastAsia="en-PH"/>
              </w:rPr>
            </w:pPr>
            <w:r w:rsidRPr="009E35ED">
              <w:rPr>
                <w:rFonts w:ascii="Arial Narrow" w:hAnsi="Arial Narrow"/>
                <w:color w:val="000000" w:themeColor="text1"/>
                <w:sz w:val="20"/>
                <w:szCs w:val="20"/>
              </w:rPr>
              <w:t xml:space="preserve">Unrestated </w:t>
            </w:r>
            <w:r w:rsidR="00C53760">
              <w:rPr>
                <w:rFonts w:ascii="Arial Narrow" w:hAnsi="Arial Narrow"/>
                <w:color w:val="000000" w:themeColor="text1"/>
                <w:sz w:val="20"/>
                <w:szCs w:val="20"/>
              </w:rPr>
              <w:t>a</w:t>
            </w:r>
            <w:r w:rsidRPr="009E35ED">
              <w:rPr>
                <w:rFonts w:ascii="Arial Narrow" w:hAnsi="Arial Narrow"/>
                <w:color w:val="000000" w:themeColor="text1"/>
                <w:sz w:val="20"/>
                <w:szCs w:val="20"/>
              </w:rPr>
              <w:t>mount as of December 31, 2022</w:t>
            </w:r>
          </w:p>
        </w:tc>
        <w:tc>
          <w:tcPr>
            <w:tcW w:w="1716" w:type="dxa"/>
            <w:tcBorders>
              <w:top w:val="nil"/>
              <w:left w:val="nil"/>
              <w:bottom w:val="nil"/>
              <w:right w:val="nil"/>
            </w:tcBorders>
            <w:shd w:val="clear" w:color="auto" w:fill="auto"/>
            <w:noWrap/>
          </w:tcPr>
          <w:p w14:paraId="41CD49DE" w14:textId="5AE55017" w:rsidR="00132930" w:rsidRPr="009E35ED" w:rsidRDefault="00132930" w:rsidP="00B90388">
            <w:pPr>
              <w:keepNext/>
              <w:keepLines/>
              <w:ind w:left="0"/>
              <w:jc w:val="right"/>
              <w:rPr>
                <w:rFonts w:ascii="Arial Narrow" w:hAnsi="Arial Narrow"/>
                <w:color w:val="000000" w:themeColor="text1"/>
                <w:sz w:val="20"/>
                <w:szCs w:val="20"/>
                <w:lang w:val="en-PH" w:eastAsia="en-PH"/>
              </w:rPr>
            </w:pPr>
            <w:r w:rsidRPr="009E35ED">
              <w:rPr>
                <w:rFonts w:ascii="Arial Narrow" w:hAnsi="Arial Narrow"/>
                <w:color w:val="000000" w:themeColor="text1"/>
                <w:sz w:val="20"/>
                <w:szCs w:val="20"/>
              </w:rPr>
              <w:t xml:space="preserve"> </w:t>
            </w:r>
            <w:r w:rsidR="00C03EBC" w:rsidRPr="009E35ED">
              <w:rPr>
                <w:rFonts w:ascii="Arial Narrow" w:hAnsi="Arial Narrow"/>
                <w:color w:val="000000" w:themeColor="text1"/>
                <w:sz w:val="20"/>
                <w:szCs w:val="20"/>
              </w:rPr>
              <w:t>4,570,660</w:t>
            </w:r>
          </w:p>
        </w:tc>
      </w:tr>
      <w:tr w:rsidR="00997F75" w:rsidRPr="009E35ED" w14:paraId="75102F79" w14:textId="77777777" w:rsidTr="00860ED6">
        <w:trPr>
          <w:trHeight w:val="263"/>
        </w:trPr>
        <w:tc>
          <w:tcPr>
            <w:tcW w:w="7286" w:type="dxa"/>
            <w:tcBorders>
              <w:top w:val="nil"/>
              <w:left w:val="nil"/>
              <w:right w:val="nil"/>
            </w:tcBorders>
            <w:shd w:val="clear" w:color="auto" w:fill="auto"/>
          </w:tcPr>
          <w:p w14:paraId="0156DBE2" w14:textId="06CB9315" w:rsidR="00132930" w:rsidRPr="009E35ED" w:rsidRDefault="00132930" w:rsidP="00B90388">
            <w:pPr>
              <w:keepNext/>
              <w:keepLines/>
              <w:ind w:left="0"/>
              <w:jc w:val="left"/>
              <w:rPr>
                <w:rFonts w:ascii="Arial Narrow" w:hAnsi="Arial Narrow" w:cs="Arial"/>
                <w:bCs/>
                <w:color w:val="000000" w:themeColor="text1"/>
                <w:sz w:val="20"/>
                <w:szCs w:val="20"/>
                <w:lang w:val="en-PH" w:eastAsia="en-PH"/>
              </w:rPr>
            </w:pPr>
            <w:r w:rsidRPr="009E35ED">
              <w:rPr>
                <w:rFonts w:ascii="Arial Narrow" w:hAnsi="Arial Narrow"/>
                <w:color w:val="000000" w:themeColor="text1"/>
                <w:sz w:val="20"/>
                <w:szCs w:val="20"/>
              </w:rPr>
              <w:t xml:space="preserve">Adjustment/Recording of </w:t>
            </w:r>
            <w:r w:rsidR="00C53760">
              <w:rPr>
                <w:rFonts w:ascii="Arial Narrow" w:hAnsi="Arial Narrow"/>
                <w:bCs/>
                <w:color w:val="000000" w:themeColor="text1"/>
                <w:sz w:val="20"/>
                <w:szCs w:val="20"/>
              </w:rPr>
              <w:t>s</w:t>
            </w:r>
            <w:r w:rsidR="00C03EBC" w:rsidRPr="009E35ED">
              <w:rPr>
                <w:rFonts w:ascii="Arial Narrow" w:hAnsi="Arial Narrow"/>
                <w:bCs/>
                <w:color w:val="000000" w:themeColor="text1"/>
                <w:sz w:val="20"/>
                <w:szCs w:val="20"/>
              </w:rPr>
              <w:t>emi-</w:t>
            </w:r>
            <w:r w:rsidR="00C53760">
              <w:rPr>
                <w:rFonts w:ascii="Arial Narrow" w:hAnsi="Arial Narrow"/>
                <w:bCs/>
                <w:color w:val="000000" w:themeColor="text1"/>
                <w:sz w:val="20"/>
                <w:szCs w:val="20"/>
              </w:rPr>
              <w:t>e</w:t>
            </w:r>
            <w:r w:rsidR="00C03EBC" w:rsidRPr="009E35ED">
              <w:rPr>
                <w:rFonts w:ascii="Arial Narrow" w:hAnsi="Arial Narrow"/>
                <w:bCs/>
                <w:color w:val="000000" w:themeColor="text1"/>
                <w:sz w:val="20"/>
                <w:szCs w:val="20"/>
              </w:rPr>
              <w:t xml:space="preserve">xpendable </w:t>
            </w:r>
            <w:r w:rsidR="00C53760">
              <w:rPr>
                <w:rFonts w:ascii="Arial Narrow" w:hAnsi="Arial Narrow"/>
                <w:bCs/>
                <w:color w:val="000000" w:themeColor="text1"/>
                <w:sz w:val="20"/>
                <w:szCs w:val="20"/>
              </w:rPr>
              <w:t>f</w:t>
            </w:r>
            <w:r w:rsidR="00C03EBC" w:rsidRPr="009E35ED">
              <w:rPr>
                <w:rFonts w:ascii="Arial Narrow" w:hAnsi="Arial Narrow"/>
                <w:bCs/>
                <w:color w:val="000000" w:themeColor="text1"/>
                <w:sz w:val="20"/>
                <w:szCs w:val="20"/>
              </w:rPr>
              <w:t xml:space="preserve">urniture, </w:t>
            </w:r>
            <w:r w:rsidR="00C53760">
              <w:rPr>
                <w:rFonts w:ascii="Arial Narrow" w:hAnsi="Arial Narrow"/>
                <w:bCs/>
                <w:color w:val="000000" w:themeColor="text1"/>
                <w:sz w:val="20"/>
                <w:szCs w:val="20"/>
              </w:rPr>
              <w:t>f</w:t>
            </w:r>
            <w:r w:rsidR="00C03EBC" w:rsidRPr="009E35ED">
              <w:rPr>
                <w:rFonts w:ascii="Arial Narrow" w:hAnsi="Arial Narrow"/>
                <w:bCs/>
                <w:color w:val="000000" w:themeColor="text1"/>
                <w:sz w:val="20"/>
                <w:szCs w:val="20"/>
              </w:rPr>
              <w:t xml:space="preserve">ixtures and </w:t>
            </w:r>
            <w:r w:rsidR="00C53760">
              <w:rPr>
                <w:rFonts w:ascii="Arial Narrow" w:hAnsi="Arial Narrow"/>
                <w:bCs/>
                <w:color w:val="000000" w:themeColor="text1"/>
                <w:sz w:val="20"/>
                <w:szCs w:val="20"/>
              </w:rPr>
              <w:t>b</w:t>
            </w:r>
            <w:r w:rsidR="00C03EBC" w:rsidRPr="009E35ED">
              <w:rPr>
                <w:rFonts w:ascii="Arial Narrow" w:hAnsi="Arial Narrow"/>
                <w:bCs/>
                <w:color w:val="000000" w:themeColor="text1"/>
                <w:sz w:val="20"/>
                <w:szCs w:val="20"/>
              </w:rPr>
              <w:t>ooks</w:t>
            </w:r>
            <w:r w:rsidRPr="009E35ED">
              <w:rPr>
                <w:rFonts w:ascii="Arial Narrow" w:hAnsi="Arial Narrow"/>
                <w:color w:val="000000" w:themeColor="text1"/>
                <w:sz w:val="20"/>
                <w:szCs w:val="20"/>
              </w:rPr>
              <w:t xml:space="preserve"> - Branch</w:t>
            </w:r>
          </w:p>
        </w:tc>
        <w:tc>
          <w:tcPr>
            <w:tcW w:w="1716" w:type="dxa"/>
            <w:tcBorders>
              <w:top w:val="nil"/>
              <w:left w:val="nil"/>
              <w:right w:val="nil"/>
            </w:tcBorders>
            <w:shd w:val="clear" w:color="auto" w:fill="auto"/>
            <w:noWrap/>
          </w:tcPr>
          <w:p w14:paraId="7C3E1748" w14:textId="506C66FE" w:rsidR="00132930" w:rsidRPr="009E35ED" w:rsidRDefault="00132930" w:rsidP="00B90388">
            <w:pPr>
              <w:keepNext/>
              <w:keepLines/>
              <w:ind w:left="0"/>
              <w:jc w:val="right"/>
              <w:rPr>
                <w:rFonts w:ascii="Arial Narrow" w:hAnsi="Arial Narrow"/>
                <w:color w:val="000000" w:themeColor="text1"/>
                <w:sz w:val="20"/>
                <w:szCs w:val="20"/>
                <w:lang w:val="en-PH" w:eastAsia="en-PH"/>
              </w:rPr>
            </w:pPr>
            <w:r w:rsidRPr="009E35ED">
              <w:rPr>
                <w:rFonts w:ascii="Arial Narrow" w:hAnsi="Arial Narrow"/>
                <w:color w:val="000000" w:themeColor="text1"/>
                <w:sz w:val="20"/>
                <w:szCs w:val="20"/>
              </w:rPr>
              <w:t xml:space="preserve"> </w:t>
            </w:r>
            <w:r w:rsidR="00C03EBC" w:rsidRPr="009E35ED">
              <w:rPr>
                <w:rFonts w:ascii="Arial Narrow" w:hAnsi="Arial Narrow"/>
                <w:color w:val="000000" w:themeColor="text1"/>
                <w:sz w:val="20"/>
                <w:szCs w:val="20"/>
              </w:rPr>
              <w:t>(23,947)</w:t>
            </w:r>
            <w:r w:rsidRPr="009E35ED">
              <w:rPr>
                <w:rFonts w:ascii="Arial Narrow" w:hAnsi="Arial Narrow"/>
                <w:color w:val="000000" w:themeColor="text1"/>
                <w:sz w:val="20"/>
                <w:szCs w:val="20"/>
              </w:rPr>
              <w:t xml:space="preserve"> </w:t>
            </w:r>
          </w:p>
        </w:tc>
      </w:tr>
      <w:tr w:rsidR="00997F75" w:rsidRPr="009E35ED" w14:paraId="6B1EB4CD" w14:textId="77777777" w:rsidTr="00BA0486">
        <w:trPr>
          <w:trHeight w:val="300"/>
        </w:trPr>
        <w:tc>
          <w:tcPr>
            <w:tcW w:w="7286" w:type="dxa"/>
            <w:tcBorders>
              <w:top w:val="nil"/>
              <w:left w:val="nil"/>
              <w:bottom w:val="single" w:sz="4" w:space="0" w:color="auto"/>
              <w:right w:val="nil"/>
            </w:tcBorders>
            <w:shd w:val="clear" w:color="auto" w:fill="auto"/>
          </w:tcPr>
          <w:p w14:paraId="08FA262D" w14:textId="06CB188C" w:rsidR="00132930" w:rsidRPr="009E35ED" w:rsidRDefault="00132930" w:rsidP="00B90388">
            <w:pPr>
              <w:keepNext/>
              <w:keepLines/>
              <w:ind w:left="0"/>
              <w:jc w:val="left"/>
              <w:rPr>
                <w:rFonts w:ascii="Arial Narrow" w:hAnsi="Arial Narrow" w:cs="Arial"/>
                <w:bCs/>
                <w:color w:val="000000" w:themeColor="text1"/>
                <w:sz w:val="20"/>
                <w:szCs w:val="20"/>
                <w:lang w:val="en-PH" w:eastAsia="en-PH"/>
              </w:rPr>
            </w:pPr>
            <w:r w:rsidRPr="009E35ED">
              <w:rPr>
                <w:rFonts w:ascii="Arial Narrow" w:hAnsi="Arial Narrow"/>
                <w:color w:val="000000" w:themeColor="text1"/>
                <w:sz w:val="20"/>
                <w:szCs w:val="20"/>
              </w:rPr>
              <w:t xml:space="preserve">Adjustment/Recording of </w:t>
            </w:r>
            <w:r w:rsidR="00C53760">
              <w:rPr>
                <w:rFonts w:ascii="Arial Narrow" w:hAnsi="Arial Narrow"/>
                <w:bCs/>
                <w:color w:val="000000" w:themeColor="text1"/>
                <w:sz w:val="20"/>
                <w:szCs w:val="20"/>
              </w:rPr>
              <w:t>s</w:t>
            </w:r>
            <w:r w:rsidR="00C03EBC" w:rsidRPr="009E35ED">
              <w:rPr>
                <w:rFonts w:ascii="Arial Narrow" w:hAnsi="Arial Narrow"/>
                <w:bCs/>
                <w:color w:val="000000" w:themeColor="text1"/>
                <w:sz w:val="20"/>
                <w:szCs w:val="20"/>
              </w:rPr>
              <w:t>emi-</w:t>
            </w:r>
            <w:r w:rsidR="00C53760">
              <w:rPr>
                <w:rFonts w:ascii="Arial Narrow" w:hAnsi="Arial Narrow"/>
                <w:bCs/>
                <w:color w:val="000000" w:themeColor="text1"/>
                <w:sz w:val="20"/>
                <w:szCs w:val="20"/>
              </w:rPr>
              <w:t>e</w:t>
            </w:r>
            <w:r w:rsidR="00C03EBC" w:rsidRPr="009E35ED">
              <w:rPr>
                <w:rFonts w:ascii="Arial Narrow" w:hAnsi="Arial Narrow"/>
                <w:bCs/>
                <w:color w:val="000000" w:themeColor="text1"/>
                <w:sz w:val="20"/>
                <w:szCs w:val="20"/>
              </w:rPr>
              <w:t xml:space="preserve">xpendable </w:t>
            </w:r>
            <w:r w:rsidR="00C53760">
              <w:rPr>
                <w:rFonts w:ascii="Arial Narrow" w:hAnsi="Arial Narrow"/>
                <w:bCs/>
                <w:color w:val="000000" w:themeColor="text1"/>
                <w:sz w:val="20"/>
                <w:szCs w:val="20"/>
              </w:rPr>
              <w:t>f</w:t>
            </w:r>
            <w:r w:rsidR="00C03EBC" w:rsidRPr="009E35ED">
              <w:rPr>
                <w:rFonts w:ascii="Arial Narrow" w:hAnsi="Arial Narrow"/>
                <w:bCs/>
                <w:color w:val="000000" w:themeColor="text1"/>
                <w:sz w:val="20"/>
                <w:szCs w:val="20"/>
              </w:rPr>
              <w:t xml:space="preserve">urniture, </w:t>
            </w:r>
            <w:r w:rsidR="00C53760">
              <w:rPr>
                <w:rFonts w:ascii="Arial Narrow" w:hAnsi="Arial Narrow"/>
                <w:bCs/>
                <w:color w:val="000000" w:themeColor="text1"/>
                <w:sz w:val="20"/>
                <w:szCs w:val="20"/>
              </w:rPr>
              <w:t>f</w:t>
            </w:r>
            <w:r w:rsidR="00C03EBC" w:rsidRPr="009E35ED">
              <w:rPr>
                <w:rFonts w:ascii="Arial Narrow" w:hAnsi="Arial Narrow"/>
                <w:bCs/>
                <w:color w:val="000000" w:themeColor="text1"/>
                <w:sz w:val="20"/>
                <w:szCs w:val="20"/>
              </w:rPr>
              <w:t xml:space="preserve">ixtures and </w:t>
            </w:r>
            <w:r w:rsidR="00C53760">
              <w:rPr>
                <w:rFonts w:ascii="Arial Narrow" w:hAnsi="Arial Narrow"/>
                <w:bCs/>
                <w:color w:val="000000" w:themeColor="text1"/>
                <w:sz w:val="20"/>
                <w:szCs w:val="20"/>
              </w:rPr>
              <w:t>b</w:t>
            </w:r>
            <w:r w:rsidR="00C03EBC" w:rsidRPr="009E35ED">
              <w:rPr>
                <w:rFonts w:ascii="Arial Narrow" w:hAnsi="Arial Narrow"/>
                <w:bCs/>
                <w:color w:val="000000" w:themeColor="text1"/>
                <w:sz w:val="20"/>
                <w:szCs w:val="20"/>
              </w:rPr>
              <w:t>ooks</w:t>
            </w:r>
            <w:r w:rsidRPr="009E35ED">
              <w:rPr>
                <w:rFonts w:ascii="Arial Narrow" w:hAnsi="Arial Narrow"/>
                <w:color w:val="000000" w:themeColor="text1"/>
                <w:sz w:val="20"/>
                <w:szCs w:val="20"/>
              </w:rPr>
              <w:t xml:space="preserve"> - Head Office</w:t>
            </w:r>
          </w:p>
        </w:tc>
        <w:tc>
          <w:tcPr>
            <w:tcW w:w="1716" w:type="dxa"/>
            <w:tcBorders>
              <w:top w:val="nil"/>
              <w:left w:val="nil"/>
              <w:bottom w:val="single" w:sz="4" w:space="0" w:color="auto"/>
              <w:right w:val="nil"/>
            </w:tcBorders>
            <w:shd w:val="clear" w:color="auto" w:fill="auto"/>
            <w:noWrap/>
          </w:tcPr>
          <w:p w14:paraId="7F975181" w14:textId="22954482" w:rsidR="00132930" w:rsidRPr="009E35ED" w:rsidRDefault="00132930" w:rsidP="00B90388">
            <w:pPr>
              <w:keepNext/>
              <w:keepLines/>
              <w:ind w:left="0"/>
              <w:jc w:val="right"/>
              <w:rPr>
                <w:rFonts w:ascii="Arial Narrow" w:hAnsi="Arial Narrow"/>
                <w:color w:val="000000" w:themeColor="text1"/>
                <w:sz w:val="20"/>
                <w:szCs w:val="20"/>
                <w:lang w:val="en-PH" w:eastAsia="en-PH"/>
              </w:rPr>
            </w:pPr>
            <w:r w:rsidRPr="009E35ED">
              <w:rPr>
                <w:rFonts w:ascii="Arial Narrow" w:hAnsi="Arial Narrow"/>
                <w:color w:val="000000" w:themeColor="text1"/>
                <w:sz w:val="20"/>
                <w:szCs w:val="20"/>
              </w:rPr>
              <w:t xml:space="preserve"> (</w:t>
            </w:r>
            <w:r w:rsidR="00C03EBC" w:rsidRPr="009E35ED">
              <w:rPr>
                <w:rFonts w:ascii="Arial Narrow" w:hAnsi="Arial Narrow"/>
                <w:color w:val="000000" w:themeColor="text1"/>
                <w:sz w:val="20"/>
                <w:szCs w:val="20"/>
              </w:rPr>
              <w:t>24,233</w:t>
            </w:r>
            <w:r w:rsidRPr="009E35ED">
              <w:rPr>
                <w:rFonts w:ascii="Arial Narrow" w:hAnsi="Arial Narrow"/>
                <w:color w:val="000000" w:themeColor="text1"/>
                <w:sz w:val="20"/>
                <w:szCs w:val="20"/>
              </w:rPr>
              <w:t>)</w:t>
            </w:r>
          </w:p>
        </w:tc>
      </w:tr>
      <w:tr w:rsidR="00997F75" w:rsidRPr="009E35ED" w14:paraId="4A338DB2" w14:textId="77777777" w:rsidTr="00BA0486">
        <w:trPr>
          <w:trHeight w:val="300"/>
        </w:trPr>
        <w:tc>
          <w:tcPr>
            <w:tcW w:w="7286" w:type="dxa"/>
            <w:tcBorders>
              <w:top w:val="single" w:sz="4" w:space="0" w:color="auto"/>
              <w:left w:val="nil"/>
              <w:bottom w:val="double" w:sz="4" w:space="0" w:color="auto"/>
              <w:right w:val="nil"/>
            </w:tcBorders>
            <w:shd w:val="clear" w:color="auto" w:fill="auto"/>
          </w:tcPr>
          <w:p w14:paraId="140B0EE4" w14:textId="6B7307C1" w:rsidR="00132930" w:rsidRPr="009E35ED" w:rsidRDefault="00132930" w:rsidP="00B90388">
            <w:pPr>
              <w:keepNext/>
              <w:keepLines/>
              <w:ind w:left="0"/>
              <w:jc w:val="left"/>
              <w:rPr>
                <w:rFonts w:ascii="Arial Narrow" w:hAnsi="Arial Narrow" w:cs="Arial"/>
                <w:b/>
                <w:bCs/>
                <w:color w:val="000000" w:themeColor="text1"/>
                <w:sz w:val="20"/>
                <w:szCs w:val="20"/>
                <w:lang w:val="en-PH" w:eastAsia="en-PH"/>
              </w:rPr>
            </w:pPr>
            <w:r w:rsidRPr="009E35ED">
              <w:rPr>
                <w:rFonts w:ascii="Arial Narrow" w:hAnsi="Arial Narrow"/>
                <w:b/>
                <w:bCs/>
                <w:color w:val="000000" w:themeColor="text1"/>
                <w:sz w:val="20"/>
                <w:szCs w:val="20"/>
              </w:rPr>
              <w:t xml:space="preserve">Restated Amount as of December 31, 2022 - Semi-Expendable </w:t>
            </w:r>
            <w:r w:rsidR="00C03EBC" w:rsidRPr="009E35ED">
              <w:rPr>
                <w:rFonts w:ascii="Arial Narrow" w:hAnsi="Arial Narrow"/>
                <w:b/>
                <w:bCs/>
                <w:color w:val="000000" w:themeColor="text1"/>
                <w:sz w:val="20"/>
                <w:szCs w:val="20"/>
              </w:rPr>
              <w:t xml:space="preserve">Furniture, Fixtures and Books </w:t>
            </w:r>
            <w:r w:rsidRPr="009E35ED">
              <w:rPr>
                <w:rFonts w:ascii="Arial Narrow" w:hAnsi="Arial Narrow"/>
                <w:b/>
                <w:bCs/>
                <w:color w:val="000000" w:themeColor="text1"/>
                <w:sz w:val="20"/>
                <w:szCs w:val="20"/>
              </w:rPr>
              <w:t>(Operating Fund)</w:t>
            </w:r>
          </w:p>
        </w:tc>
        <w:tc>
          <w:tcPr>
            <w:tcW w:w="1716" w:type="dxa"/>
            <w:tcBorders>
              <w:top w:val="single" w:sz="4" w:space="0" w:color="auto"/>
              <w:left w:val="nil"/>
              <w:bottom w:val="double" w:sz="4" w:space="0" w:color="auto"/>
              <w:right w:val="nil"/>
            </w:tcBorders>
            <w:shd w:val="clear" w:color="auto" w:fill="auto"/>
            <w:noWrap/>
          </w:tcPr>
          <w:p w14:paraId="7A8A0CBB" w14:textId="77777777" w:rsidR="00132930" w:rsidRPr="009E35ED" w:rsidRDefault="00132930" w:rsidP="00B90388">
            <w:pPr>
              <w:keepNext/>
              <w:keepLines/>
              <w:ind w:left="0"/>
              <w:jc w:val="right"/>
              <w:rPr>
                <w:rFonts w:ascii="Arial Narrow" w:hAnsi="Arial Narrow"/>
                <w:b/>
                <w:bCs/>
                <w:color w:val="000000" w:themeColor="text1"/>
                <w:sz w:val="20"/>
                <w:szCs w:val="20"/>
              </w:rPr>
            </w:pPr>
            <w:r w:rsidRPr="009E35ED">
              <w:rPr>
                <w:rFonts w:ascii="Arial Narrow" w:hAnsi="Arial Narrow"/>
                <w:b/>
                <w:bCs/>
                <w:color w:val="000000" w:themeColor="text1"/>
                <w:sz w:val="20"/>
                <w:szCs w:val="20"/>
              </w:rPr>
              <w:t xml:space="preserve"> </w:t>
            </w:r>
          </w:p>
          <w:p w14:paraId="07470265" w14:textId="3B39DC31" w:rsidR="00132930" w:rsidRPr="009E35ED" w:rsidRDefault="00132930" w:rsidP="00B90388">
            <w:pPr>
              <w:keepNext/>
              <w:keepLines/>
              <w:ind w:left="0"/>
              <w:jc w:val="right"/>
              <w:rPr>
                <w:rFonts w:ascii="Arial Narrow" w:hAnsi="Arial Narrow"/>
                <w:b/>
                <w:bCs/>
                <w:color w:val="000000" w:themeColor="text1"/>
                <w:sz w:val="20"/>
                <w:szCs w:val="20"/>
                <w:lang w:val="en-PH" w:eastAsia="en-PH"/>
              </w:rPr>
            </w:pPr>
            <w:r w:rsidRPr="009E35ED">
              <w:rPr>
                <w:rFonts w:ascii="Arial Narrow" w:hAnsi="Arial Narrow"/>
                <w:b/>
                <w:bCs/>
                <w:color w:val="000000" w:themeColor="text1"/>
                <w:sz w:val="20"/>
                <w:szCs w:val="20"/>
              </w:rPr>
              <w:t>4,</w:t>
            </w:r>
            <w:r w:rsidR="00C03EBC" w:rsidRPr="009E35ED">
              <w:rPr>
                <w:rFonts w:ascii="Arial Narrow" w:hAnsi="Arial Narrow"/>
                <w:b/>
                <w:bCs/>
                <w:color w:val="000000" w:themeColor="text1"/>
                <w:sz w:val="20"/>
                <w:szCs w:val="20"/>
              </w:rPr>
              <w:t>522,480</w:t>
            </w:r>
            <w:r w:rsidRPr="009E35ED">
              <w:rPr>
                <w:rFonts w:ascii="Arial Narrow" w:hAnsi="Arial Narrow"/>
                <w:b/>
                <w:bCs/>
                <w:color w:val="000000" w:themeColor="text1"/>
                <w:sz w:val="20"/>
                <w:szCs w:val="20"/>
              </w:rPr>
              <w:t xml:space="preserve"> </w:t>
            </w:r>
          </w:p>
        </w:tc>
      </w:tr>
      <w:tr w:rsidR="00997F75" w:rsidRPr="009E35ED" w14:paraId="337CBBD7" w14:textId="77777777" w:rsidTr="0073325C">
        <w:trPr>
          <w:trHeight w:val="300"/>
        </w:trPr>
        <w:tc>
          <w:tcPr>
            <w:tcW w:w="7286" w:type="dxa"/>
            <w:shd w:val="clear" w:color="auto" w:fill="auto"/>
            <w:vAlign w:val="bottom"/>
            <w:hideMark/>
          </w:tcPr>
          <w:p w14:paraId="7E35412D" w14:textId="77777777" w:rsidR="00240956" w:rsidRPr="009E35ED" w:rsidRDefault="00240956" w:rsidP="00240956">
            <w:pPr>
              <w:ind w:left="0"/>
              <w:jc w:val="left"/>
              <w:rPr>
                <w:rFonts w:ascii="Arial Narrow" w:hAnsi="Arial Narrow" w:cs="Arial"/>
                <w:b/>
                <w:bCs/>
                <w:color w:val="000000" w:themeColor="text1"/>
                <w:sz w:val="20"/>
                <w:szCs w:val="20"/>
                <w:lang w:val="en-PH" w:eastAsia="en-PH"/>
              </w:rPr>
            </w:pPr>
          </w:p>
          <w:p w14:paraId="34D180FF" w14:textId="4365C2D0" w:rsidR="00C03EBC" w:rsidRPr="009E35ED" w:rsidRDefault="00C03EBC" w:rsidP="00E8604B">
            <w:pPr>
              <w:ind w:left="0"/>
              <w:jc w:val="left"/>
              <w:rPr>
                <w:rFonts w:ascii="Arial Narrow" w:hAnsi="Arial Narrow" w:cs="Arial"/>
                <w:b/>
                <w:bCs/>
                <w:color w:val="000000" w:themeColor="text1"/>
                <w:sz w:val="20"/>
                <w:szCs w:val="20"/>
                <w:lang w:val="en-PH" w:eastAsia="en-PH"/>
              </w:rPr>
            </w:pPr>
          </w:p>
        </w:tc>
        <w:tc>
          <w:tcPr>
            <w:tcW w:w="1716" w:type="dxa"/>
            <w:shd w:val="clear" w:color="auto" w:fill="auto"/>
            <w:noWrap/>
            <w:vAlign w:val="bottom"/>
            <w:hideMark/>
          </w:tcPr>
          <w:p w14:paraId="644E8622" w14:textId="77777777" w:rsidR="00240956" w:rsidRPr="009E35ED" w:rsidRDefault="00240956" w:rsidP="00240956">
            <w:pPr>
              <w:ind w:left="0"/>
              <w:jc w:val="right"/>
              <w:rPr>
                <w:rFonts w:ascii="Arial Narrow" w:hAnsi="Arial Narrow"/>
                <w:color w:val="000000" w:themeColor="text1"/>
                <w:sz w:val="20"/>
                <w:szCs w:val="20"/>
                <w:lang w:val="en-PH" w:eastAsia="en-PH"/>
              </w:rPr>
            </w:pPr>
          </w:p>
        </w:tc>
      </w:tr>
      <w:tr w:rsidR="00997F75" w:rsidRPr="009E35ED" w14:paraId="4A253F61" w14:textId="77777777" w:rsidTr="00860ED6">
        <w:trPr>
          <w:trHeight w:val="171"/>
        </w:trPr>
        <w:tc>
          <w:tcPr>
            <w:tcW w:w="7286" w:type="dxa"/>
            <w:tcBorders>
              <w:left w:val="nil"/>
              <w:bottom w:val="nil"/>
              <w:right w:val="nil"/>
            </w:tcBorders>
            <w:shd w:val="clear" w:color="auto" w:fill="auto"/>
            <w:hideMark/>
          </w:tcPr>
          <w:p w14:paraId="533EF9C0" w14:textId="38797326" w:rsidR="00FD05D0" w:rsidRPr="009E35ED" w:rsidRDefault="00FD05D0" w:rsidP="00FD05D0">
            <w:pPr>
              <w:ind w:left="0"/>
              <w:jc w:val="left"/>
              <w:rPr>
                <w:rFonts w:ascii="Arial Narrow" w:hAnsi="Arial Narrow" w:cs="Arial"/>
                <w:color w:val="000000" w:themeColor="text1"/>
                <w:sz w:val="20"/>
                <w:szCs w:val="20"/>
                <w:lang w:val="en-PH" w:eastAsia="en-PH"/>
              </w:rPr>
            </w:pPr>
            <w:r w:rsidRPr="009E35ED">
              <w:rPr>
                <w:rFonts w:ascii="Arial Narrow" w:hAnsi="Arial Narrow"/>
                <w:color w:val="000000" w:themeColor="text1"/>
                <w:sz w:val="20"/>
                <w:szCs w:val="20"/>
              </w:rPr>
              <w:t xml:space="preserve">Unrestated </w:t>
            </w:r>
            <w:r w:rsidR="00C53760">
              <w:rPr>
                <w:rFonts w:ascii="Arial Narrow" w:hAnsi="Arial Narrow"/>
                <w:color w:val="000000" w:themeColor="text1"/>
                <w:sz w:val="20"/>
                <w:szCs w:val="20"/>
              </w:rPr>
              <w:t>a</w:t>
            </w:r>
            <w:r w:rsidRPr="009E35ED">
              <w:rPr>
                <w:rFonts w:ascii="Arial Narrow" w:hAnsi="Arial Narrow"/>
                <w:color w:val="000000" w:themeColor="text1"/>
                <w:sz w:val="20"/>
                <w:szCs w:val="20"/>
              </w:rPr>
              <w:t>mount as of December 31, 2022</w:t>
            </w:r>
          </w:p>
        </w:tc>
        <w:tc>
          <w:tcPr>
            <w:tcW w:w="1716" w:type="dxa"/>
            <w:tcBorders>
              <w:left w:val="nil"/>
              <w:bottom w:val="nil"/>
              <w:right w:val="nil"/>
            </w:tcBorders>
            <w:shd w:val="clear" w:color="auto" w:fill="auto"/>
            <w:noWrap/>
            <w:hideMark/>
          </w:tcPr>
          <w:p w14:paraId="32002201" w14:textId="585E1A31" w:rsidR="00FD05D0" w:rsidRPr="009E35ED" w:rsidRDefault="00FD05D0" w:rsidP="00FD05D0">
            <w:pPr>
              <w:ind w:left="0"/>
              <w:jc w:val="right"/>
              <w:rPr>
                <w:rFonts w:ascii="Arial Narrow" w:hAnsi="Arial Narrow" w:cs="Arial"/>
                <w:color w:val="000000" w:themeColor="text1"/>
                <w:sz w:val="20"/>
                <w:szCs w:val="20"/>
                <w:lang w:val="en-PH" w:eastAsia="en-PH"/>
              </w:rPr>
            </w:pPr>
            <w:r w:rsidRPr="009E35ED">
              <w:rPr>
                <w:rFonts w:ascii="Arial Narrow" w:hAnsi="Arial Narrow"/>
                <w:color w:val="000000" w:themeColor="text1"/>
                <w:sz w:val="20"/>
                <w:szCs w:val="20"/>
              </w:rPr>
              <w:t xml:space="preserve"> 4,590,353 </w:t>
            </w:r>
          </w:p>
        </w:tc>
      </w:tr>
      <w:tr w:rsidR="00997F75" w:rsidRPr="009E35ED" w14:paraId="7F855F41" w14:textId="77777777" w:rsidTr="00C26DA1">
        <w:trPr>
          <w:trHeight w:val="285"/>
        </w:trPr>
        <w:tc>
          <w:tcPr>
            <w:tcW w:w="7286" w:type="dxa"/>
            <w:tcBorders>
              <w:top w:val="nil"/>
              <w:left w:val="nil"/>
              <w:bottom w:val="nil"/>
              <w:right w:val="nil"/>
            </w:tcBorders>
            <w:shd w:val="clear" w:color="auto" w:fill="auto"/>
          </w:tcPr>
          <w:p w14:paraId="5CB1FB78" w14:textId="0A3EEE84" w:rsidR="00FD05D0" w:rsidRPr="009E35ED" w:rsidRDefault="00FD05D0" w:rsidP="00FD05D0">
            <w:pPr>
              <w:ind w:left="0"/>
              <w:jc w:val="left"/>
              <w:rPr>
                <w:rFonts w:ascii="Arial Narrow" w:hAnsi="Arial Narrow"/>
                <w:color w:val="000000" w:themeColor="text1"/>
                <w:sz w:val="20"/>
                <w:szCs w:val="20"/>
              </w:rPr>
            </w:pPr>
            <w:r w:rsidRPr="009E35ED">
              <w:rPr>
                <w:rFonts w:ascii="Arial Narrow" w:hAnsi="Arial Narrow"/>
                <w:color w:val="000000" w:themeColor="text1"/>
                <w:sz w:val="20"/>
                <w:szCs w:val="20"/>
              </w:rPr>
              <w:t xml:space="preserve">Adjustment/Recording of </w:t>
            </w:r>
            <w:r w:rsidR="00C53760">
              <w:rPr>
                <w:rFonts w:ascii="Arial Narrow" w:hAnsi="Arial Narrow"/>
                <w:color w:val="000000" w:themeColor="text1"/>
                <w:sz w:val="20"/>
                <w:szCs w:val="20"/>
              </w:rPr>
              <w:t>o</w:t>
            </w:r>
            <w:r w:rsidRPr="009E35ED">
              <w:rPr>
                <w:rFonts w:ascii="Arial Narrow" w:hAnsi="Arial Narrow"/>
                <w:color w:val="000000" w:themeColor="text1"/>
                <w:sz w:val="20"/>
                <w:szCs w:val="20"/>
              </w:rPr>
              <w:t>ther</w:t>
            </w:r>
            <w:r w:rsidR="00C53760">
              <w:rPr>
                <w:rFonts w:ascii="Arial Narrow" w:hAnsi="Arial Narrow"/>
                <w:color w:val="000000" w:themeColor="text1"/>
                <w:sz w:val="20"/>
                <w:szCs w:val="20"/>
              </w:rPr>
              <w:t xml:space="preserve"> s</w:t>
            </w:r>
            <w:r w:rsidRPr="009E35ED">
              <w:rPr>
                <w:rFonts w:ascii="Arial Narrow" w:hAnsi="Arial Narrow"/>
                <w:color w:val="000000" w:themeColor="text1"/>
                <w:sz w:val="20"/>
                <w:szCs w:val="20"/>
              </w:rPr>
              <w:t xml:space="preserve">upplies and </w:t>
            </w:r>
            <w:r w:rsidR="00C53760">
              <w:rPr>
                <w:rFonts w:ascii="Arial Narrow" w:hAnsi="Arial Narrow"/>
                <w:color w:val="000000" w:themeColor="text1"/>
                <w:sz w:val="20"/>
                <w:szCs w:val="20"/>
              </w:rPr>
              <w:t>m</w:t>
            </w:r>
            <w:r w:rsidRPr="009E35ED">
              <w:rPr>
                <w:rFonts w:ascii="Arial Narrow" w:hAnsi="Arial Narrow"/>
                <w:color w:val="000000" w:themeColor="text1"/>
                <w:sz w:val="20"/>
                <w:szCs w:val="20"/>
              </w:rPr>
              <w:t xml:space="preserve">aterials </w:t>
            </w:r>
            <w:r w:rsidR="00C53760">
              <w:rPr>
                <w:rFonts w:ascii="Arial Narrow" w:hAnsi="Arial Narrow"/>
                <w:color w:val="000000" w:themeColor="text1"/>
                <w:sz w:val="20"/>
                <w:szCs w:val="20"/>
              </w:rPr>
              <w:t>e</w:t>
            </w:r>
            <w:r w:rsidRPr="009E35ED">
              <w:rPr>
                <w:rFonts w:ascii="Arial Narrow" w:hAnsi="Arial Narrow"/>
                <w:color w:val="000000" w:themeColor="text1"/>
                <w:sz w:val="20"/>
                <w:szCs w:val="20"/>
              </w:rPr>
              <w:t xml:space="preserve">xpenses - Thermal </w:t>
            </w:r>
            <w:r w:rsidR="00C53760">
              <w:rPr>
                <w:rFonts w:ascii="Arial Narrow" w:hAnsi="Arial Narrow"/>
                <w:color w:val="000000" w:themeColor="text1"/>
                <w:sz w:val="20"/>
                <w:szCs w:val="20"/>
              </w:rPr>
              <w:t>r</w:t>
            </w:r>
            <w:r w:rsidRPr="009E35ED">
              <w:rPr>
                <w:rFonts w:ascii="Arial Narrow" w:hAnsi="Arial Narrow"/>
                <w:color w:val="000000" w:themeColor="text1"/>
                <w:sz w:val="20"/>
                <w:szCs w:val="20"/>
              </w:rPr>
              <w:t xml:space="preserve">olls and </w:t>
            </w:r>
            <w:r w:rsidR="00C53760">
              <w:rPr>
                <w:rFonts w:ascii="Arial Narrow" w:hAnsi="Arial Narrow"/>
                <w:color w:val="000000" w:themeColor="text1"/>
                <w:sz w:val="20"/>
                <w:szCs w:val="20"/>
              </w:rPr>
              <w:t>b</w:t>
            </w:r>
            <w:r w:rsidRPr="009E35ED">
              <w:rPr>
                <w:rFonts w:ascii="Arial Narrow" w:hAnsi="Arial Narrow"/>
                <w:color w:val="000000" w:themeColor="text1"/>
                <w:sz w:val="20"/>
                <w:szCs w:val="20"/>
              </w:rPr>
              <w:t>etslips -Lotto - Head Office</w:t>
            </w:r>
          </w:p>
        </w:tc>
        <w:tc>
          <w:tcPr>
            <w:tcW w:w="1716" w:type="dxa"/>
            <w:tcBorders>
              <w:top w:val="nil"/>
              <w:left w:val="nil"/>
              <w:bottom w:val="nil"/>
              <w:right w:val="nil"/>
            </w:tcBorders>
            <w:shd w:val="clear" w:color="auto" w:fill="auto"/>
            <w:noWrap/>
          </w:tcPr>
          <w:p w14:paraId="0E499AC3" w14:textId="77777777" w:rsidR="004E354C" w:rsidRPr="009E35ED" w:rsidRDefault="004E354C" w:rsidP="00FD05D0">
            <w:pPr>
              <w:ind w:left="0"/>
              <w:jc w:val="right"/>
              <w:rPr>
                <w:rFonts w:ascii="Arial Narrow" w:hAnsi="Arial Narrow"/>
                <w:color w:val="000000" w:themeColor="text1"/>
                <w:sz w:val="20"/>
                <w:szCs w:val="20"/>
              </w:rPr>
            </w:pPr>
          </w:p>
          <w:p w14:paraId="33091C09" w14:textId="0CCDA430" w:rsidR="00FD05D0" w:rsidRPr="009E35ED" w:rsidRDefault="00C03EBC" w:rsidP="00FD05D0">
            <w:pPr>
              <w:ind w:left="0"/>
              <w:jc w:val="right"/>
              <w:rPr>
                <w:rFonts w:ascii="Arial Narrow" w:hAnsi="Arial Narrow"/>
                <w:color w:val="000000" w:themeColor="text1"/>
                <w:sz w:val="20"/>
                <w:szCs w:val="20"/>
              </w:rPr>
            </w:pPr>
            <w:r w:rsidRPr="009E35ED">
              <w:rPr>
                <w:rFonts w:ascii="Arial Narrow" w:hAnsi="Arial Narrow"/>
                <w:color w:val="000000" w:themeColor="text1"/>
                <w:sz w:val="20"/>
                <w:szCs w:val="20"/>
              </w:rPr>
              <w:t xml:space="preserve"> 11,018,016</w:t>
            </w:r>
            <w:r w:rsidR="00FD05D0" w:rsidRPr="009E35ED">
              <w:rPr>
                <w:rFonts w:ascii="Arial Narrow" w:hAnsi="Arial Narrow"/>
                <w:color w:val="000000" w:themeColor="text1"/>
                <w:sz w:val="20"/>
                <w:szCs w:val="20"/>
              </w:rPr>
              <w:t xml:space="preserve"> </w:t>
            </w:r>
          </w:p>
        </w:tc>
      </w:tr>
      <w:tr w:rsidR="00997F75" w:rsidRPr="009E35ED" w14:paraId="34E95D29" w14:textId="77777777" w:rsidTr="00860ED6">
        <w:trPr>
          <w:trHeight w:val="267"/>
        </w:trPr>
        <w:tc>
          <w:tcPr>
            <w:tcW w:w="7286" w:type="dxa"/>
            <w:tcBorders>
              <w:top w:val="nil"/>
              <w:left w:val="nil"/>
              <w:bottom w:val="nil"/>
              <w:right w:val="nil"/>
            </w:tcBorders>
            <w:shd w:val="clear" w:color="auto" w:fill="auto"/>
            <w:hideMark/>
          </w:tcPr>
          <w:p w14:paraId="0035E19F" w14:textId="52C25340" w:rsidR="00FD05D0" w:rsidRPr="009E35ED" w:rsidRDefault="00FD05D0" w:rsidP="00FD05D0">
            <w:pPr>
              <w:ind w:left="0"/>
              <w:jc w:val="left"/>
              <w:rPr>
                <w:rFonts w:ascii="Arial Narrow" w:hAnsi="Arial Narrow" w:cs="Arial"/>
                <w:color w:val="000000" w:themeColor="text1"/>
                <w:sz w:val="20"/>
                <w:szCs w:val="20"/>
                <w:lang w:val="en-PH" w:eastAsia="en-PH"/>
              </w:rPr>
            </w:pPr>
            <w:r w:rsidRPr="009E35ED">
              <w:rPr>
                <w:rFonts w:ascii="Arial Narrow" w:hAnsi="Arial Narrow"/>
                <w:color w:val="000000" w:themeColor="text1"/>
                <w:sz w:val="20"/>
                <w:szCs w:val="20"/>
              </w:rPr>
              <w:t xml:space="preserve">Adjustment/Recording of </w:t>
            </w:r>
            <w:r w:rsidR="00C53760">
              <w:rPr>
                <w:rFonts w:ascii="Arial Narrow" w:hAnsi="Arial Narrow"/>
                <w:color w:val="000000" w:themeColor="text1"/>
                <w:sz w:val="20"/>
                <w:szCs w:val="20"/>
              </w:rPr>
              <w:t>o</w:t>
            </w:r>
            <w:r w:rsidRPr="009E35ED">
              <w:rPr>
                <w:rFonts w:ascii="Arial Narrow" w:hAnsi="Arial Narrow"/>
                <w:color w:val="000000" w:themeColor="text1"/>
                <w:sz w:val="20"/>
                <w:szCs w:val="20"/>
              </w:rPr>
              <w:t xml:space="preserve">ther </w:t>
            </w:r>
            <w:r w:rsidR="00C53760">
              <w:rPr>
                <w:rFonts w:ascii="Arial Narrow" w:hAnsi="Arial Narrow"/>
                <w:color w:val="000000" w:themeColor="text1"/>
                <w:sz w:val="20"/>
                <w:szCs w:val="20"/>
              </w:rPr>
              <w:t>s</w:t>
            </w:r>
            <w:r w:rsidRPr="009E35ED">
              <w:rPr>
                <w:rFonts w:ascii="Arial Narrow" w:hAnsi="Arial Narrow"/>
                <w:color w:val="000000" w:themeColor="text1"/>
                <w:sz w:val="20"/>
                <w:szCs w:val="20"/>
              </w:rPr>
              <w:t xml:space="preserve">upplies and </w:t>
            </w:r>
            <w:r w:rsidR="00C53760">
              <w:rPr>
                <w:rFonts w:ascii="Arial Narrow" w:hAnsi="Arial Narrow"/>
                <w:color w:val="000000" w:themeColor="text1"/>
                <w:sz w:val="20"/>
                <w:szCs w:val="20"/>
              </w:rPr>
              <w:t>m</w:t>
            </w:r>
            <w:r w:rsidRPr="009E35ED">
              <w:rPr>
                <w:rFonts w:ascii="Arial Narrow" w:hAnsi="Arial Narrow"/>
                <w:color w:val="000000" w:themeColor="text1"/>
                <w:sz w:val="20"/>
                <w:szCs w:val="20"/>
              </w:rPr>
              <w:t>ateria</w:t>
            </w:r>
            <w:r w:rsidR="004E354C" w:rsidRPr="009E35ED">
              <w:rPr>
                <w:rFonts w:ascii="Arial Narrow" w:hAnsi="Arial Narrow"/>
                <w:color w:val="000000" w:themeColor="text1"/>
                <w:sz w:val="20"/>
                <w:szCs w:val="20"/>
              </w:rPr>
              <w:t>l</w:t>
            </w:r>
            <w:r w:rsidRPr="009E35ED">
              <w:rPr>
                <w:rFonts w:ascii="Arial Narrow" w:hAnsi="Arial Narrow"/>
                <w:color w:val="000000" w:themeColor="text1"/>
                <w:sz w:val="20"/>
                <w:szCs w:val="20"/>
              </w:rPr>
              <w:t xml:space="preserve">s </w:t>
            </w:r>
            <w:r w:rsidR="00C53760">
              <w:rPr>
                <w:rFonts w:ascii="Arial Narrow" w:hAnsi="Arial Narrow"/>
                <w:color w:val="000000" w:themeColor="text1"/>
                <w:sz w:val="20"/>
                <w:szCs w:val="20"/>
              </w:rPr>
              <w:t>e</w:t>
            </w:r>
            <w:r w:rsidRPr="009E35ED">
              <w:rPr>
                <w:rFonts w:ascii="Arial Narrow" w:hAnsi="Arial Narrow"/>
                <w:color w:val="000000" w:themeColor="text1"/>
                <w:sz w:val="20"/>
                <w:szCs w:val="20"/>
              </w:rPr>
              <w:t xml:space="preserve">xpenses - Janitorial </w:t>
            </w:r>
            <w:r w:rsidR="00C53760">
              <w:rPr>
                <w:rFonts w:ascii="Arial Narrow" w:hAnsi="Arial Narrow"/>
                <w:color w:val="000000" w:themeColor="text1"/>
                <w:sz w:val="20"/>
                <w:szCs w:val="20"/>
              </w:rPr>
              <w:t>s</w:t>
            </w:r>
            <w:r w:rsidRPr="009E35ED">
              <w:rPr>
                <w:rFonts w:ascii="Arial Narrow" w:hAnsi="Arial Narrow"/>
                <w:color w:val="000000" w:themeColor="text1"/>
                <w:sz w:val="20"/>
                <w:szCs w:val="20"/>
              </w:rPr>
              <w:t>upplies -Branch</w:t>
            </w:r>
          </w:p>
        </w:tc>
        <w:tc>
          <w:tcPr>
            <w:tcW w:w="1716" w:type="dxa"/>
            <w:tcBorders>
              <w:top w:val="nil"/>
              <w:left w:val="nil"/>
              <w:bottom w:val="nil"/>
              <w:right w:val="nil"/>
            </w:tcBorders>
            <w:shd w:val="clear" w:color="auto" w:fill="auto"/>
            <w:noWrap/>
            <w:hideMark/>
          </w:tcPr>
          <w:p w14:paraId="2E1D4B95" w14:textId="38C2D3E7" w:rsidR="00FD05D0" w:rsidRPr="009E35ED" w:rsidRDefault="00FD05D0">
            <w:pPr>
              <w:ind w:left="0"/>
              <w:jc w:val="right"/>
              <w:rPr>
                <w:rFonts w:ascii="Arial Narrow" w:hAnsi="Arial Narrow" w:cs="Arial"/>
                <w:color w:val="000000" w:themeColor="text1"/>
                <w:sz w:val="20"/>
                <w:szCs w:val="20"/>
                <w:lang w:val="en-PH" w:eastAsia="en-PH"/>
              </w:rPr>
            </w:pPr>
            <w:r w:rsidRPr="009E35ED">
              <w:rPr>
                <w:rFonts w:ascii="Arial Narrow" w:hAnsi="Arial Narrow"/>
                <w:color w:val="000000" w:themeColor="text1"/>
                <w:sz w:val="20"/>
                <w:szCs w:val="20"/>
              </w:rPr>
              <w:t xml:space="preserve"> (4,005)</w:t>
            </w:r>
          </w:p>
        </w:tc>
      </w:tr>
      <w:tr w:rsidR="00997F75" w:rsidRPr="009E35ED" w14:paraId="292F6CD2" w14:textId="77777777" w:rsidTr="00C26DA1">
        <w:trPr>
          <w:trHeight w:val="224"/>
        </w:trPr>
        <w:tc>
          <w:tcPr>
            <w:tcW w:w="7286" w:type="dxa"/>
            <w:tcBorders>
              <w:top w:val="single" w:sz="4" w:space="0" w:color="auto"/>
              <w:left w:val="nil"/>
              <w:bottom w:val="double" w:sz="6" w:space="0" w:color="auto"/>
              <w:right w:val="nil"/>
            </w:tcBorders>
            <w:shd w:val="clear" w:color="auto" w:fill="auto"/>
            <w:hideMark/>
          </w:tcPr>
          <w:p w14:paraId="77A7C170" w14:textId="198AAC36" w:rsidR="00FD05D0" w:rsidRPr="009E35ED" w:rsidRDefault="00FD05D0" w:rsidP="00FD05D0">
            <w:pPr>
              <w:ind w:left="0"/>
              <w:jc w:val="left"/>
              <w:rPr>
                <w:rFonts w:ascii="Arial Narrow" w:hAnsi="Arial Narrow" w:cs="Arial"/>
                <w:b/>
                <w:bCs/>
                <w:color w:val="000000" w:themeColor="text1"/>
                <w:sz w:val="20"/>
                <w:szCs w:val="20"/>
                <w:lang w:val="en-PH" w:eastAsia="en-PH"/>
              </w:rPr>
            </w:pPr>
            <w:r w:rsidRPr="009E35ED">
              <w:rPr>
                <w:rFonts w:ascii="Arial Narrow" w:hAnsi="Arial Narrow"/>
                <w:b/>
                <w:bCs/>
                <w:color w:val="000000" w:themeColor="text1"/>
                <w:sz w:val="20"/>
                <w:szCs w:val="20"/>
              </w:rPr>
              <w:t>Restated Amount as of December 31, 2022 -  Other Supplies and Materials Expenses (Operating Fund)</w:t>
            </w:r>
          </w:p>
        </w:tc>
        <w:tc>
          <w:tcPr>
            <w:tcW w:w="1716" w:type="dxa"/>
            <w:tcBorders>
              <w:top w:val="single" w:sz="4" w:space="0" w:color="auto"/>
              <w:left w:val="nil"/>
              <w:bottom w:val="double" w:sz="6" w:space="0" w:color="auto"/>
              <w:right w:val="nil"/>
            </w:tcBorders>
            <w:shd w:val="clear" w:color="auto" w:fill="auto"/>
            <w:noWrap/>
            <w:hideMark/>
          </w:tcPr>
          <w:p w14:paraId="50297589" w14:textId="77777777" w:rsidR="004E354C" w:rsidRPr="009E35ED" w:rsidRDefault="004E354C" w:rsidP="00FD05D0">
            <w:pPr>
              <w:ind w:left="0"/>
              <w:jc w:val="right"/>
              <w:rPr>
                <w:rFonts w:ascii="Arial Narrow" w:hAnsi="Arial Narrow"/>
                <w:b/>
                <w:bCs/>
                <w:color w:val="000000" w:themeColor="text1"/>
                <w:sz w:val="20"/>
                <w:szCs w:val="20"/>
              </w:rPr>
            </w:pPr>
          </w:p>
          <w:p w14:paraId="79B4D3D4" w14:textId="40F956CA" w:rsidR="00FD05D0" w:rsidRPr="009E35ED" w:rsidRDefault="00FD05D0" w:rsidP="00C03EBC">
            <w:pPr>
              <w:ind w:left="0"/>
              <w:jc w:val="right"/>
              <w:rPr>
                <w:rFonts w:ascii="Arial Narrow" w:hAnsi="Arial Narrow" w:cs="Arial"/>
                <w:b/>
                <w:bCs/>
                <w:color w:val="000000" w:themeColor="text1"/>
                <w:sz w:val="20"/>
                <w:szCs w:val="20"/>
                <w:lang w:val="en-PH" w:eastAsia="en-PH"/>
              </w:rPr>
            </w:pPr>
            <w:r w:rsidRPr="009E35ED">
              <w:rPr>
                <w:rFonts w:ascii="Arial Narrow" w:hAnsi="Arial Narrow"/>
                <w:b/>
                <w:bCs/>
                <w:color w:val="000000" w:themeColor="text1"/>
                <w:sz w:val="20"/>
                <w:szCs w:val="20"/>
              </w:rPr>
              <w:t xml:space="preserve"> 15,604,36</w:t>
            </w:r>
            <w:r w:rsidR="00C03EBC" w:rsidRPr="009E35ED">
              <w:rPr>
                <w:rFonts w:ascii="Arial Narrow" w:hAnsi="Arial Narrow"/>
                <w:b/>
                <w:bCs/>
                <w:color w:val="000000" w:themeColor="text1"/>
                <w:sz w:val="20"/>
                <w:szCs w:val="20"/>
              </w:rPr>
              <w:t>4</w:t>
            </w:r>
            <w:r w:rsidRPr="009E35ED">
              <w:rPr>
                <w:rFonts w:ascii="Arial Narrow" w:hAnsi="Arial Narrow"/>
                <w:b/>
                <w:bCs/>
                <w:color w:val="000000" w:themeColor="text1"/>
                <w:sz w:val="20"/>
                <w:szCs w:val="20"/>
              </w:rPr>
              <w:t xml:space="preserve"> </w:t>
            </w:r>
          </w:p>
        </w:tc>
      </w:tr>
      <w:tr w:rsidR="00997F75" w:rsidRPr="009E35ED" w14:paraId="0B770436" w14:textId="77777777" w:rsidTr="00C26DA1">
        <w:trPr>
          <w:trHeight w:val="300"/>
        </w:trPr>
        <w:tc>
          <w:tcPr>
            <w:tcW w:w="7286" w:type="dxa"/>
            <w:tcBorders>
              <w:top w:val="nil"/>
              <w:left w:val="nil"/>
              <w:bottom w:val="nil"/>
              <w:right w:val="nil"/>
            </w:tcBorders>
            <w:shd w:val="clear" w:color="auto" w:fill="auto"/>
            <w:vAlign w:val="bottom"/>
            <w:hideMark/>
          </w:tcPr>
          <w:p w14:paraId="154F373B" w14:textId="77777777" w:rsidR="00240956" w:rsidRPr="009E35ED" w:rsidRDefault="00240956" w:rsidP="00240956">
            <w:pPr>
              <w:ind w:left="0"/>
              <w:jc w:val="left"/>
              <w:rPr>
                <w:rFonts w:ascii="Arial Narrow" w:hAnsi="Arial Narrow" w:cs="Arial"/>
                <w:b/>
                <w:bCs/>
                <w:color w:val="000000" w:themeColor="text1"/>
                <w:sz w:val="20"/>
                <w:szCs w:val="20"/>
                <w:lang w:val="en-PH" w:eastAsia="en-PH"/>
              </w:rPr>
            </w:pPr>
          </w:p>
          <w:p w14:paraId="1B6E710F" w14:textId="33E5E356" w:rsidR="0073325C" w:rsidRPr="009E35ED" w:rsidRDefault="0073325C" w:rsidP="00240956">
            <w:pPr>
              <w:ind w:left="0"/>
              <w:jc w:val="left"/>
              <w:rPr>
                <w:rFonts w:ascii="Arial Narrow" w:hAnsi="Arial Narrow" w:cs="Arial"/>
                <w:b/>
                <w:bCs/>
                <w:color w:val="000000" w:themeColor="text1"/>
                <w:sz w:val="20"/>
                <w:szCs w:val="20"/>
                <w:lang w:val="en-PH" w:eastAsia="en-PH"/>
              </w:rPr>
            </w:pPr>
          </w:p>
        </w:tc>
        <w:tc>
          <w:tcPr>
            <w:tcW w:w="1716" w:type="dxa"/>
            <w:tcBorders>
              <w:top w:val="nil"/>
              <w:left w:val="nil"/>
              <w:bottom w:val="nil"/>
              <w:right w:val="nil"/>
            </w:tcBorders>
            <w:shd w:val="clear" w:color="auto" w:fill="auto"/>
            <w:noWrap/>
            <w:vAlign w:val="bottom"/>
            <w:hideMark/>
          </w:tcPr>
          <w:p w14:paraId="76F40BD6" w14:textId="77777777" w:rsidR="00240956" w:rsidRPr="009E35ED" w:rsidRDefault="00240956" w:rsidP="00240956">
            <w:pPr>
              <w:ind w:left="0"/>
              <w:jc w:val="right"/>
              <w:rPr>
                <w:rFonts w:ascii="Arial Narrow" w:hAnsi="Arial Narrow"/>
                <w:color w:val="000000" w:themeColor="text1"/>
                <w:sz w:val="20"/>
                <w:szCs w:val="20"/>
                <w:lang w:val="en-PH" w:eastAsia="en-PH"/>
              </w:rPr>
            </w:pPr>
          </w:p>
        </w:tc>
      </w:tr>
      <w:tr w:rsidR="00997F75" w:rsidRPr="009E35ED" w14:paraId="21CCC7C0" w14:textId="77777777" w:rsidTr="00860ED6">
        <w:trPr>
          <w:trHeight w:val="213"/>
        </w:trPr>
        <w:tc>
          <w:tcPr>
            <w:tcW w:w="7286" w:type="dxa"/>
            <w:tcBorders>
              <w:top w:val="nil"/>
              <w:left w:val="nil"/>
              <w:bottom w:val="nil"/>
              <w:right w:val="nil"/>
            </w:tcBorders>
            <w:shd w:val="clear" w:color="auto" w:fill="auto"/>
            <w:hideMark/>
          </w:tcPr>
          <w:p w14:paraId="6FE93BA5" w14:textId="04009086" w:rsidR="00614E29" w:rsidRPr="009E35ED" w:rsidRDefault="00614E29" w:rsidP="00614E29">
            <w:pPr>
              <w:ind w:left="0"/>
              <w:jc w:val="left"/>
              <w:rPr>
                <w:rFonts w:ascii="Arial Narrow" w:hAnsi="Arial Narrow" w:cs="Arial"/>
                <w:color w:val="000000" w:themeColor="text1"/>
                <w:sz w:val="20"/>
                <w:szCs w:val="20"/>
                <w:lang w:val="en-PH" w:eastAsia="en-PH"/>
              </w:rPr>
            </w:pPr>
            <w:r w:rsidRPr="009E35ED">
              <w:rPr>
                <w:rFonts w:ascii="Arial Narrow" w:hAnsi="Arial Narrow"/>
                <w:color w:val="000000" w:themeColor="text1"/>
                <w:sz w:val="20"/>
                <w:szCs w:val="20"/>
              </w:rPr>
              <w:t xml:space="preserve">Unrestated </w:t>
            </w:r>
            <w:r w:rsidR="00C53760">
              <w:rPr>
                <w:rFonts w:ascii="Arial Narrow" w:hAnsi="Arial Narrow"/>
                <w:color w:val="000000" w:themeColor="text1"/>
                <w:sz w:val="20"/>
                <w:szCs w:val="20"/>
              </w:rPr>
              <w:t>a</w:t>
            </w:r>
            <w:r w:rsidRPr="009E35ED">
              <w:rPr>
                <w:rFonts w:ascii="Arial Narrow" w:hAnsi="Arial Narrow"/>
                <w:color w:val="000000" w:themeColor="text1"/>
                <w:sz w:val="20"/>
                <w:szCs w:val="20"/>
              </w:rPr>
              <w:t>mount as of December 31, 2022</w:t>
            </w:r>
          </w:p>
        </w:tc>
        <w:tc>
          <w:tcPr>
            <w:tcW w:w="1716" w:type="dxa"/>
            <w:tcBorders>
              <w:top w:val="nil"/>
              <w:left w:val="nil"/>
              <w:bottom w:val="nil"/>
              <w:right w:val="nil"/>
            </w:tcBorders>
            <w:shd w:val="clear" w:color="auto" w:fill="auto"/>
            <w:noWrap/>
            <w:hideMark/>
          </w:tcPr>
          <w:p w14:paraId="61A21356" w14:textId="58A56EE5" w:rsidR="00614E29" w:rsidRPr="009E35ED" w:rsidRDefault="00614E29" w:rsidP="00614E29">
            <w:pPr>
              <w:ind w:left="0"/>
              <w:jc w:val="right"/>
              <w:rPr>
                <w:rFonts w:ascii="Arial Narrow" w:hAnsi="Arial Narrow" w:cs="Arial"/>
                <w:color w:val="000000" w:themeColor="text1"/>
                <w:sz w:val="20"/>
                <w:szCs w:val="20"/>
                <w:lang w:val="en-PH" w:eastAsia="en-PH"/>
              </w:rPr>
            </w:pPr>
            <w:r w:rsidRPr="009E35ED">
              <w:rPr>
                <w:rFonts w:ascii="Arial Narrow" w:hAnsi="Arial Narrow"/>
                <w:color w:val="000000" w:themeColor="text1"/>
                <w:sz w:val="20"/>
                <w:szCs w:val="20"/>
              </w:rPr>
              <w:t xml:space="preserve"> 39,277,582 </w:t>
            </w:r>
          </w:p>
        </w:tc>
      </w:tr>
      <w:tr w:rsidR="00997F75" w:rsidRPr="009E35ED" w14:paraId="3A90F887" w14:textId="77777777" w:rsidTr="00C26DA1">
        <w:trPr>
          <w:trHeight w:val="75"/>
        </w:trPr>
        <w:tc>
          <w:tcPr>
            <w:tcW w:w="7286" w:type="dxa"/>
            <w:tcBorders>
              <w:top w:val="nil"/>
              <w:left w:val="nil"/>
              <w:bottom w:val="nil"/>
              <w:right w:val="nil"/>
            </w:tcBorders>
            <w:shd w:val="clear" w:color="auto" w:fill="auto"/>
            <w:hideMark/>
          </w:tcPr>
          <w:p w14:paraId="4817CDBE" w14:textId="54F62AF9" w:rsidR="00614E29" w:rsidRPr="009E35ED" w:rsidRDefault="00614E29" w:rsidP="00614E29">
            <w:pPr>
              <w:ind w:left="0"/>
              <w:jc w:val="left"/>
              <w:rPr>
                <w:rFonts w:ascii="Arial Narrow" w:hAnsi="Arial Narrow" w:cs="Arial"/>
                <w:color w:val="000000" w:themeColor="text1"/>
                <w:sz w:val="20"/>
                <w:szCs w:val="20"/>
                <w:lang w:val="en-PH" w:eastAsia="en-PH"/>
              </w:rPr>
            </w:pPr>
            <w:r w:rsidRPr="009E35ED">
              <w:rPr>
                <w:rFonts w:ascii="Arial Narrow" w:hAnsi="Arial Narrow"/>
                <w:color w:val="000000" w:themeColor="text1"/>
                <w:sz w:val="20"/>
                <w:szCs w:val="20"/>
              </w:rPr>
              <w:t xml:space="preserve">Adjustment/Recording of </w:t>
            </w:r>
            <w:r w:rsidR="00C53760">
              <w:rPr>
                <w:rFonts w:ascii="Arial Narrow" w:hAnsi="Arial Narrow"/>
                <w:color w:val="000000" w:themeColor="text1"/>
                <w:sz w:val="20"/>
                <w:szCs w:val="20"/>
              </w:rPr>
              <w:t>e</w:t>
            </w:r>
            <w:r w:rsidRPr="009E35ED">
              <w:rPr>
                <w:rFonts w:ascii="Arial Narrow" w:hAnsi="Arial Narrow"/>
                <w:color w:val="000000" w:themeColor="text1"/>
                <w:sz w:val="20"/>
                <w:szCs w:val="20"/>
              </w:rPr>
              <w:t xml:space="preserve">lectricity </w:t>
            </w:r>
            <w:r w:rsidR="00C53760">
              <w:rPr>
                <w:rFonts w:ascii="Arial Narrow" w:hAnsi="Arial Narrow"/>
                <w:color w:val="000000" w:themeColor="text1"/>
                <w:sz w:val="20"/>
                <w:szCs w:val="20"/>
              </w:rPr>
              <w:t>e</w:t>
            </w:r>
            <w:r w:rsidRPr="009E35ED">
              <w:rPr>
                <w:rFonts w:ascii="Arial Narrow" w:hAnsi="Arial Narrow"/>
                <w:color w:val="000000" w:themeColor="text1"/>
                <w:sz w:val="20"/>
                <w:szCs w:val="20"/>
              </w:rPr>
              <w:t>xpenses - Branch</w:t>
            </w:r>
          </w:p>
        </w:tc>
        <w:tc>
          <w:tcPr>
            <w:tcW w:w="1716" w:type="dxa"/>
            <w:tcBorders>
              <w:top w:val="nil"/>
              <w:left w:val="nil"/>
              <w:bottom w:val="nil"/>
              <w:right w:val="nil"/>
            </w:tcBorders>
            <w:shd w:val="clear" w:color="auto" w:fill="auto"/>
            <w:noWrap/>
            <w:hideMark/>
          </w:tcPr>
          <w:p w14:paraId="543CC651" w14:textId="4CA89F2D" w:rsidR="00614E29" w:rsidRPr="009E35ED" w:rsidRDefault="00614E29" w:rsidP="00614E29">
            <w:pPr>
              <w:ind w:left="0"/>
              <w:jc w:val="right"/>
              <w:rPr>
                <w:rFonts w:ascii="Arial Narrow" w:hAnsi="Arial Narrow" w:cs="Arial"/>
                <w:color w:val="000000" w:themeColor="text1"/>
                <w:sz w:val="20"/>
                <w:szCs w:val="20"/>
                <w:lang w:val="en-PH" w:eastAsia="en-PH"/>
              </w:rPr>
            </w:pPr>
            <w:r w:rsidRPr="009E35ED">
              <w:rPr>
                <w:rFonts w:ascii="Arial Narrow" w:hAnsi="Arial Narrow"/>
                <w:color w:val="000000" w:themeColor="text1"/>
                <w:sz w:val="20"/>
                <w:szCs w:val="20"/>
              </w:rPr>
              <w:t xml:space="preserve"> (67,930)</w:t>
            </w:r>
          </w:p>
        </w:tc>
      </w:tr>
      <w:tr w:rsidR="00997F75" w:rsidRPr="009E35ED" w14:paraId="139E67D2" w14:textId="77777777" w:rsidTr="00C26DA1">
        <w:trPr>
          <w:trHeight w:val="75"/>
        </w:trPr>
        <w:tc>
          <w:tcPr>
            <w:tcW w:w="7286" w:type="dxa"/>
            <w:tcBorders>
              <w:top w:val="nil"/>
              <w:left w:val="nil"/>
              <w:bottom w:val="nil"/>
              <w:right w:val="nil"/>
            </w:tcBorders>
            <w:shd w:val="clear" w:color="auto" w:fill="auto"/>
            <w:hideMark/>
          </w:tcPr>
          <w:p w14:paraId="669B2A7B" w14:textId="3AECC235" w:rsidR="00614E29" w:rsidRPr="009E35ED" w:rsidRDefault="00614E29" w:rsidP="00614E29">
            <w:pPr>
              <w:ind w:left="0"/>
              <w:jc w:val="left"/>
              <w:rPr>
                <w:rFonts w:ascii="Arial Narrow" w:hAnsi="Arial Narrow" w:cs="Arial"/>
                <w:color w:val="000000" w:themeColor="text1"/>
                <w:sz w:val="20"/>
                <w:szCs w:val="20"/>
                <w:lang w:val="en-PH" w:eastAsia="en-PH"/>
              </w:rPr>
            </w:pPr>
            <w:r w:rsidRPr="009E35ED">
              <w:rPr>
                <w:rFonts w:ascii="Arial Narrow" w:hAnsi="Arial Narrow"/>
                <w:color w:val="000000" w:themeColor="text1"/>
                <w:sz w:val="20"/>
                <w:szCs w:val="20"/>
              </w:rPr>
              <w:t xml:space="preserve">Adjustment/Recording of </w:t>
            </w:r>
            <w:r w:rsidR="00C53760">
              <w:rPr>
                <w:rFonts w:ascii="Arial Narrow" w:hAnsi="Arial Narrow"/>
                <w:color w:val="000000" w:themeColor="text1"/>
                <w:sz w:val="20"/>
                <w:szCs w:val="20"/>
              </w:rPr>
              <w:t>e</w:t>
            </w:r>
            <w:r w:rsidRPr="009E35ED">
              <w:rPr>
                <w:rFonts w:ascii="Arial Narrow" w:hAnsi="Arial Narrow"/>
                <w:color w:val="000000" w:themeColor="text1"/>
                <w:sz w:val="20"/>
                <w:szCs w:val="20"/>
              </w:rPr>
              <w:t xml:space="preserve">lectricity </w:t>
            </w:r>
            <w:r w:rsidR="00C53760">
              <w:rPr>
                <w:rFonts w:ascii="Arial Narrow" w:hAnsi="Arial Narrow"/>
                <w:color w:val="000000" w:themeColor="text1"/>
                <w:sz w:val="20"/>
                <w:szCs w:val="20"/>
              </w:rPr>
              <w:t>e</w:t>
            </w:r>
            <w:r w:rsidRPr="009E35ED">
              <w:rPr>
                <w:rFonts w:ascii="Arial Narrow" w:hAnsi="Arial Narrow"/>
                <w:color w:val="000000" w:themeColor="text1"/>
                <w:sz w:val="20"/>
                <w:szCs w:val="20"/>
              </w:rPr>
              <w:t>xpenses - Head Office</w:t>
            </w:r>
          </w:p>
        </w:tc>
        <w:tc>
          <w:tcPr>
            <w:tcW w:w="1716" w:type="dxa"/>
            <w:tcBorders>
              <w:top w:val="nil"/>
              <w:left w:val="nil"/>
              <w:bottom w:val="nil"/>
              <w:right w:val="nil"/>
            </w:tcBorders>
            <w:shd w:val="clear" w:color="auto" w:fill="auto"/>
            <w:noWrap/>
            <w:hideMark/>
          </w:tcPr>
          <w:p w14:paraId="69B9AFE9" w14:textId="2AEB76B2" w:rsidR="00614E29" w:rsidRPr="009E35ED" w:rsidRDefault="00614E29" w:rsidP="00614E29">
            <w:pPr>
              <w:ind w:left="0"/>
              <w:jc w:val="right"/>
              <w:rPr>
                <w:rFonts w:ascii="Arial Narrow" w:hAnsi="Arial Narrow" w:cs="Arial"/>
                <w:color w:val="000000" w:themeColor="text1"/>
                <w:sz w:val="20"/>
                <w:szCs w:val="20"/>
                <w:lang w:val="en-PH" w:eastAsia="en-PH"/>
              </w:rPr>
            </w:pPr>
            <w:r w:rsidRPr="009E35ED">
              <w:rPr>
                <w:rFonts w:ascii="Arial Narrow" w:hAnsi="Arial Narrow"/>
                <w:color w:val="000000" w:themeColor="text1"/>
                <w:sz w:val="20"/>
                <w:szCs w:val="20"/>
              </w:rPr>
              <w:t xml:space="preserve"> (104,499)</w:t>
            </w:r>
          </w:p>
        </w:tc>
      </w:tr>
      <w:tr w:rsidR="00997F75" w:rsidRPr="009E35ED" w14:paraId="26CE1D3A" w14:textId="77777777" w:rsidTr="00C26DA1">
        <w:trPr>
          <w:trHeight w:val="75"/>
        </w:trPr>
        <w:tc>
          <w:tcPr>
            <w:tcW w:w="7286" w:type="dxa"/>
            <w:tcBorders>
              <w:top w:val="nil"/>
              <w:left w:val="nil"/>
              <w:bottom w:val="nil"/>
              <w:right w:val="nil"/>
            </w:tcBorders>
            <w:shd w:val="clear" w:color="auto" w:fill="auto"/>
            <w:hideMark/>
          </w:tcPr>
          <w:p w14:paraId="3F01A587" w14:textId="5437D9E5" w:rsidR="00614E29" w:rsidRPr="009E35ED" w:rsidRDefault="00614E29" w:rsidP="00614E29">
            <w:pPr>
              <w:ind w:left="0"/>
              <w:jc w:val="left"/>
              <w:rPr>
                <w:rFonts w:ascii="Arial Narrow" w:hAnsi="Arial Narrow" w:cs="Arial"/>
                <w:color w:val="000000" w:themeColor="text1"/>
                <w:sz w:val="20"/>
                <w:szCs w:val="20"/>
                <w:lang w:val="en-PH" w:eastAsia="en-PH"/>
              </w:rPr>
            </w:pPr>
            <w:r w:rsidRPr="009E35ED">
              <w:rPr>
                <w:rFonts w:ascii="Arial Narrow" w:hAnsi="Arial Narrow"/>
                <w:color w:val="000000" w:themeColor="text1"/>
                <w:sz w:val="20"/>
                <w:szCs w:val="20"/>
              </w:rPr>
              <w:t xml:space="preserve">Adjustment/Recording of </w:t>
            </w:r>
            <w:r w:rsidR="00C53760">
              <w:rPr>
                <w:rFonts w:ascii="Arial Narrow" w:hAnsi="Arial Narrow"/>
                <w:color w:val="000000" w:themeColor="text1"/>
                <w:sz w:val="20"/>
                <w:szCs w:val="20"/>
              </w:rPr>
              <w:t>w</w:t>
            </w:r>
            <w:r w:rsidRPr="009E35ED">
              <w:rPr>
                <w:rFonts w:ascii="Arial Narrow" w:hAnsi="Arial Narrow"/>
                <w:color w:val="000000" w:themeColor="text1"/>
                <w:sz w:val="20"/>
                <w:szCs w:val="20"/>
              </w:rPr>
              <w:t xml:space="preserve">ater </w:t>
            </w:r>
            <w:r w:rsidR="00C53760">
              <w:rPr>
                <w:rFonts w:ascii="Arial Narrow" w:hAnsi="Arial Narrow"/>
                <w:color w:val="000000" w:themeColor="text1"/>
                <w:sz w:val="20"/>
                <w:szCs w:val="20"/>
              </w:rPr>
              <w:t>e</w:t>
            </w:r>
            <w:r w:rsidRPr="009E35ED">
              <w:rPr>
                <w:rFonts w:ascii="Arial Narrow" w:hAnsi="Arial Narrow"/>
                <w:color w:val="000000" w:themeColor="text1"/>
                <w:sz w:val="20"/>
                <w:szCs w:val="20"/>
              </w:rPr>
              <w:t>xpenses - Branch</w:t>
            </w:r>
          </w:p>
        </w:tc>
        <w:tc>
          <w:tcPr>
            <w:tcW w:w="1716" w:type="dxa"/>
            <w:tcBorders>
              <w:top w:val="nil"/>
              <w:left w:val="nil"/>
              <w:bottom w:val="nil"/>
              <w:right w:val="nil"/>
            </w:tcBorders>
            <w:shd w:val="clear" w:color="auto" w:fill="auto"/>
            <w:noWrap/>
            <w:hideMark/>
          </w:tcPr>
          <w:p w14:paraId="3D37F566" w14:textId="67597C37" w:rsidR="00614E29" w:rsidRPr="009E35ED" w:rsidRDefault="00614E29" w:rsidP="00C03EBC">
            <w:pPr>
              <w:ind w:left="0"/>
              <w:jc w:val="right"/>
              <w:rPr>
                <w:rFonts w:ascii="Arial Narrow" w:hAnsi="Arial Narrow" w:cs="Arial"/>
                <w:color w:val="000000" w:themeColor="text1"/>
                <w:sz w:val="20"/>
                <w:szCs w:val="20"/>
                <w:lang w:val="en-PH" w:eastAsia="en-PH"/>
              </w:rPr>
            </w:pPr>
            <w:r w:rsidRPr="009E35ED">
              <w:rPr>
                <w:rFonts w:ascii="Arial Narrow" w:hAnsi="Arial Narrow"/>
                <w:color w:val="000000" w:themeColor="text1"/>
                <w:sz w:val="20"/>
                <w:szCs w:val="20"/>
              </w:rPr>
              <w:t xml:space="preserve"> (</w:t>
            </w:r>
            <w:r w:rsidR="00C03EBC" w:rsidRPr="009E35ED">
              <w:rPr>
                <w:rFonts w:ascii="Arial Narrow" w:hAnsi="Arial Narrow"/>
                <w:color w:val="000000" w:themeColor="text1"/>
                <w:sz w:val="20"/>
                <w:szCs w:val="20"/>
              </w:rPr>
              <w:t>3,545</w:t>
            </w:r>
            <w:r w:rsidRPr="009E35ED">
              <w:rPr>
                <w:rFonts w:ascii="Arial Narrow" w:hAnsi="Arial Narrow"/>
                <w:color w:val="000000" w:themeColor="text1"/>
                <w:sz w:val="20"/>
                <w:szCs w:val="20"/>
              </w:rPr>
              <w:t>)</w:t>
            </w:r>
          </w:p>
        </w:tc>
      </w:tr>
      <w:tr w:rsidR="00997F75" w:rsidRPr="009E35ED" w14:paraId="5075F507" w14:textId="77777777" w:rsidTr="00C26DA1">
        <w:trPr>
          <w:trHeight w:val="65"/>
        </w:trPr>
        <w:tc>
          <w:tcPr>
            <w:tcW w:w="7286" w:type="dxa"/>
            <w:tcBorders>
              <w:top w:val="single" w:sz="4" w:space="0" w:color="auto"/>
              <w:left w:val="nil"/>
              <w:bottom w:val="double" w:sz="6" w:space="0" w:color="auto"/>
              <w:right w:val="nil"/>
            </w:tcBorders>
            <w:shd w:val="clear" w:color="auto" w:fill="auto"/>
            <w:hideMark/>
          </w:tcPr>
          <w:p w14:paraId="4C44055F" w14:textId="2B378152" w:rsidR="00614E29" w:rsidRPr="009E35ED" w:rsidRDefault="00614E29" w:rsidP="00614E29">
            <w:pPr>
              <w:ind w:left="0"/>
              <w:jc w:val="left"/>
              <w:rPr>
                <w:rFonts w:ascii="Arial Narrow" w:hAnsi="Arial Narrow" w:cs="Arial"/>
                <w:b/>
                <w:bCs/>
                <w:color w:val="000000" w:themeColor="text1"/>
                <w:sz w:val="20"/>
                <w:szCs w:val="20"/>
                <w:lang w:val="en-PH" w:eastAsia="en-PH"/>
              </w:rPr>
            </w:pPr>
            <w:r w:rsidRPr="009E35ED">
              <w:rPr>
                <w:rFonts w:ascii="Arial Narrow" w:hAnsi="Arial Narrow"/>
                <w:b/>
                <w:bCs/>
                <w:color w:val="000000" w:themeColor="text1"/>
                <w:sz w:val="20"/>
                <w:szCs w:val="20"/>
              </w:rPr>
              <w:t>Restated Amount as of December 31, 2022 - Utility Expenses (Operating Fund)</w:t>
            </w:r>
          </w:p>
        </w:tc>
        <w:tc>
          <w:tcPr>
            <w:tcW w:w="1716" w:type="dxa"/>
            <w:tcBorders>
              <w:top w:val="single" w:sz="4" w:space="0" w:color="auto"/>
              <w:left w:val="nil"/>
              <w:bottom w:val="double" w:sz="6" w:space="0" w:color="auto"/>
              <w:right w:val="nil"/>
            </w:tcBorders>
            <w:shd w:val="clear" w:color="auto" w:fill="auto"/>
            <w:noWrap/>
            <w:hideMark/>
          </w:tcPr>
          <w:p w14:paraId="688EFC67" w14:textId="405E6D92" w:rsidR="00614E29" w:rsidRPr="009E35ED" w:rsidRDefault="00614E29" w:rsidP="00C03EBC">
            <w:pPr>
              <w:ind w:left="0"/>
              <w:jc w:val="right"/>
              <w:rPr>
                <w:rFonts w:ascii="Arial Narrow" w:hAnsi="Arial Narrow" w:cs="Arial"/>
                <w:b/>
                <w:bCs/>
                <w:color w:val="000000" w:themeColor="text1"/>
                <w:sz w:val="20"/>
                <w:szCs w:val="20"/>
                <w:lang w:val="en-PH" w:eastAsia="en-PH"/>
              </w:rPr>
            </w:pPr>
            <w:r w:rsidRPr="009E35ED">
              <w:rPr>
                <w:rFonts w:ascii="Arial Narrow" w:hAnsi="Arial Narrow"/>
                <w:b/>
                <w:bCs/>
                <w:color w:val="000000" w:themeColor="text1"/>
                <w:sz w:val="20"/>
                <w:szCs w:val="20"/>
              </w:rPr>
              <w:t xml:space="preserve"> 39,10</w:t>
            </w:r>
            <w:r w:rsidR="00C03EBC" w:rsidRPr="009E35ED">
              <w:rPr>
                <w:rFonts w:ascii="Arial Narrow" w:hAnsi="Arial Narrow"/>
                <w:b/>
                <w:bCs/>
                <w:color w:val="000000" w:themeColor="text1"/>
                <w:sz w:val="20"/>
                <w:szCs w:val="20"/>
              </w:rPr>
              <w:t>1,608</w:t>
            </w:r>
            <w:r w:rsidRPr="009E35ED">
              <w:rPr>
                <w:rFonts w:ascii="Arial Narrow" w:hAnsi="Arial Narrow"/>
                <w:b/>
                <w:bCs/>
                <w:color w:val="000000" w:themeColor="text1"/>
                <w:sz w:val="20"/>
                <w:szCs w:val="20"/>
              </w:rPr>
              <w:t xml:space="preserve"> </w:t>
            </w:r>
          </w:p>
        </w:tc>
      </w:tr>
      <w:tr w:rsidR="00997F75" w:rsidRPr="009E35ED" w14:paraId="4AE0CBDD" w14:textId="77777777" w:rsidTr="00C26DA1">
        <w:trPr>
          <w:trHeight w:val="300"/>
        </w:trPr>
        <w:tc>
          <w:tcPr>
            <w:tcW w:w="7286" w:type="dxa"/>
            <w:tcBorders>
              <w:top w:val="nil"/>
              <w:left w:val="nil"/>
              <w:bottom w:val="nil"/>
              <w:right w:val="nil"/>
            </w:tcBorders>
            <w:shd w:val="clear" w:color="auto" w:fill="auto"/>
          </w:tcPr>
          <w:p w14:paraId="4738F9B0" w14:textId="3F201859" w:rsidR="00AA29C9" w:rsidRPr="009E35ED" w:rsidRDefault="00AA29C9" w:rsidP="00FD05D0">
            <w:pPr>
              <w:ind w:left="0"/>
              <w:jc w:val="left"/>
              <w:rPr>
                <w:rFonts w:ascii="Arial Narrow" w:hAnsi="Arial Narrow" w:cs="Arial"/>
                <w:b/>
                <w:bCs/>
                <w:color w:val="000000" w:themeColor="text1"/>
                <w:sz w:val="22"/>
                <w:szCs w:val="22"/>
                <w:lang w:val="en-PH" w:eastAsia="en-PH"/>
              </w:rPr>
            </w:pPr>
          </w:p>
          <w:p w14:paraId="5845DFD0" w14:textId="14D19475" w:rsidR="00AA29C9" w:rsidRPr="009E35ED" w:rsidRDefault="00AA29C9" w:rsidP="00FD05D0">
            <w:pPr>
              <w:ind w:left="0"/>
              <w:jc w:val="left"/>
              <w:rPr>
                <w:rFonts w:ascii="Arial Narrow" w:hAnsi="Arial Narrow" w:cs="Arial"/>
                <w:b/>
                <w:bCs/>
                <w:color w:val="000000" w:themeColor="text1"/>
                <w:sz w:val="22"/>
                <w:szCs w:val="22"/>
                <w:lang w:val="en-PH" w:eastAsia="en-PH"/>
              </w:rPr>
            </w:pPr>
          </w:p>
        </w:tc>
        <w:tc>
          <w:tcPr>
            <w:tcW w:w="1716" w:type="dxa"/>
            <w:tcBorders>
              <w:top w:val="nil"/>
              <w:left w:val="nil"/>
              <w:bottom w:val="nil"/>
              <w:right w:val="nil"/>
            </w:tcBorders>
            <w:shd w:val="clear" w:color="auto" w:fill="auto"/>
            <w:noWrap/>
            <w:vAlign w:val="bottom"/>
          </w:tcPr>
          <w:p w14:paraId="0BA81957" w14:textId="77777777" w:rsidR="00FD05D0" w:rsidRPr="009E35ED" w:rsidRDefault="00FD05D0" w:rsidP="00FD05D0">
            <w:pPr>
              <w:ind w:left="0"/>
              <w:jc w:val="right"/>
              <w:rPr>
                <w:rFonts w:ascii="Arial Narrow" w:hAnsi="Arial Narrow"/>
                <w:color w:val="000000" w:themeColor="text1"/>
                <w:sz w:val="22"/>
                <w:szCs w:val="22"/>
                <w:lang w:val="en-PH" w:eastAsia="en-PH"/>
              </w:rPr>
            </w:pPr>
          </w:p>
        </w:tc>
      </w:tr>
      <w:tr w:rsidR="00997F75" w:rsidRPr="009E35ED" w14:paraId="0242BD2F" w14:textId="77777777" w:rsidTr="00860ED6">
        <w:trPr>
          <w:trHeight w:val="209"/>
        </w:trPr>
        <w:tc>
          <w:tcPr>
            <w:tcW w:w="7286" w:type="dxa"/>
            <w:tcBorders>
              <w:top w:val="nil"/>
              <w:left w:val="nil"/>
              <w:bottom w:val="nil"/>
              <w:right w:val="nil"/>
            </w:tcBorders>
            <w:shd w:val="clear" w:color="auto" w:fill="auto"/>
            <w:hideMark/>
          </w:tcPr>
          <w:p w14:paraId="2CF9AC09" w14:textId="7DAEFF5A" w:rsidR="001C6D8C" w:rsidRPr="009E35ED" w:rsidRDefault="001C6D8C" w:rsidP="001C6D8C">
            <w:pPr>
              <w:ind w:left="0"/>
              <w:jc w:val="left"/>
              <w:rPr>
                <w:rFonts w:ascii="Arial Narrow" w:hAnsi="Arial Narrow" w:cs="Arial"/>
                <w:color w:val="000000" w:themeColor="text1"/>
                <w:sz w:val="20"/>
                <w:szCs w:val="20"/>
                <w:lang w:val="en-PH" w:eastAsia="en-PH"/>
              </w:rPr>
            </w:pPr>
            <w:r w:rsidRPr="009E35ED">
              <w:rPr>
                <w:rFonts w:ascii="Arial Narrow" w:hAnsi="Arial Narrow"/>
                <w:color w:val="000000" w:themeColor="text1"/>
                <w:sz w:val="20"/>
                <w:szCs w:val="20"/>
              </w:rPr>
              <w:t xml:space="preserve">Unrestated </w:t>
            </w:r>
            <w:r w:rsidR="009C7FFC">
              <w:rPr>
                <w:rFonts w:ascii="Arial Narrow" w:hAnsi="Arial Narrow"/>
                <w:color w:val="000000" w:themeColor="text1"/>
                <w:sz w:val="20"/>
                <w:szCs w:val="20"/>
              </w:rPr>
              <w:t>a</w:t>
            </w:r>
            <w:r w:rsidRPr="009E35ED">
              <w:rPr>
                <w:rFonts w:ascii="Arial Narrow" w:hAnsi="Arial Narrow"/>
                <w:color w:val="000000" w:themeColor="text1"/>
                <w:sz w:val="20"/>
                <w:szCs w:val="20"/>
              </w:rPr>
              <w:t>mount as of December 31, 2022</w:t>
            </w:r>
          </w:p>
        </w:tc>
        <w:tc>
          <w:tcPr>
            <w:tcW w:w="1716" w:type="dxa"/>
            <w:tcBorders>
              <w:top w:val="nil"/>
              <w:left w:val="nil"/>
              <w:bottom w:val="nil"/>
              <w:right w:val="nil"/>
            </w:tcBorders>
            <w:shd w:val="clear" w:color="auto" w:fill="auto"/>
            <w:noWrap/>
            <w:hideMark/>
          </w:tcPr>
          <w:p w14:paraId="0149AB71" w14:textId="39106F51" w:rsidR="001C6D8C" w:rsidRPr="009E35ED" w:rsidRDefault="001C6D8C" w:rsidP="001C6D8C">
            <w:pPr>
              <w:ind w:left="0"/>
              <w:jc w:val="right"/>
              <w:rPr>
                <w:rFonts w:ascii="Arial Narrow" w:hAnsi="Arial Narrow" w:cs="Arial"/>
                <w:color w:val="000000" w:themeColor="text1"/>
                <w:sz w:val="20"/>
                <w:szCs w:val="20"/>
                <w:lang w:val="en-PH" w:eastAsia="en-PH"/>
              </w:rPr>
            </w:pPr>
            <w:r w:rsidRPr="009E35ED">
              <w:rPr>
                <w:rFonts w:ascii="Arial Narrow" w:hAnsi="Arial Narrow"/>
                <w:color w:val="000000" w:themeColor="text1"/>
                <w:sz w:val="20"/>
                <w:szCs w:val="20"/>
              </w:rPr>
              <w:t xml:space="preserve"> 28,620,304 </w:t>
            </w:r>
          </w:p>
        </w:tc>
      </w:tr>
      <w:tr w:rsidR="00997F75" w:rsidRPr="009E35ED" w14:paraId="232BA1DE" w14:textId="77777777" w:rsidTr="00860ED6">
        <w:trPr>
          <w:trHeight w:val="127"/>
        </w:trPr>
        <w:tc>
          <w:tcPr>
            <w:tcW w:w="7286" w:type="dxa"/>
            <w:tcBorders>
              <w:top w:val="nil"/>
              <w:left w:val="nil"/>
              <w:bottom w:val="nil"/>
              <w:right w:val="nil"/>
            </w:tcBorders>
            <w:shd w:val="clear" w:color="auto" w:fill="auto"/>
          </w:tcPr>
          <w:p w14:paraId="24B33812" w14:textId="1CD564CD" w:rsidR="001C6D8C" w:rsidRPr="009E35ED" w:rsidRDefault="001C6D8C" w:rsidP="001C6D8C">
            <w:pPr>
              <w:ind w:left="0"/>
              <w:jc w:val="left"/>
              <w:rPr>
                <w:rFonts w:ascii="Arial Narrow" w:hAnsi="Arial Narrow"/>
                <w:color w:val="000000" w:themeColor="text1"/>
                <w:sz w:val="20"/>
                <w:szCs w:val="20"/>
              </w:rPr>
            </w:pPr>
            <w:r w:rsidRPr="009E35ED">
              <w:rPr>
                <w:rFonts w:ascii="Arial Narrow" w:hAnsi="Arial Narrow"/>
                <w:color w:val="000000" w:themeColor="text1"/>
                <w:sz w:val="20"/>
                <w:szCs w:val="20"/>
              </w:rPr>
              <w:t xml:space="preserve">Adjustment/Recording of </w:t>
            </w:r>
            <w:r w:rsidR="009C7FFC">
              <w:rPr>
                <w:rFonts w:ascii="Arial Narrow" w:hAnsi="Arial Narrow"/>
                <w:color w:val="000000" w:themeColor="text1"/>
                <w:sz w:val="20"/>
                <w:szCs w:val="20"/>
              </w:rPr>
              <w:t>p</w:t>
            </w:r>
            <w:r w:rsidRPr="009E35ED">
              <w:rPr>
                <w:rFonts w:ascii="Arial Narrow" w:hAnsi="Arial Narrow"/>
                <w:color w:val="000000" w:themeColor="text1"/>
                <w:sz w:val="20"/>
                <w:szCs w:val="20"/>
              </w:rPr>
              <w:t xml:space="preserve">ostage and </w:t>
            </w:r>
            <w:r w:rsidR="009C7FFC">
              <w:rPr>
                <w:rFonts w:ascii="Arial Narrow" w:hAnsi="Arial Narrow"/>
                <w:color w:val="000000" w:themeColor="text1"/>
                <w:sz w:val="20"/>
                <w:szCs w:val="20"/>
              </w:rPr>
              <w:t>c</w:t>
            </w:r>
            <w:r w:rsidRPr="009E35ED">
              <w:rPr>
                <w:rFonts w:ascii="Arial Narrow" w:hAnsi="Arial Narrow"/>
                <w:color w:val="000000" w:themeColor="text1"/>
                <w:sz w:val="20"/>
                <w:szCs w:val="20"/>
              </w:rPr>
              <w:t xml:space="preserve">ourier </w:t>
            </w:r>
            <w:r w:rsidR="009C7FFC">
              <w:rPr>
                <w:rFonts w:ascii="Arial Narrow" w:hAnsi="Arial Narrow"/>
                <w:color w:val="000000" w:themeColor="text1"/>
                <w:sz w:val="20"/>
                <w:szCs w:val="20"/>
              </w:rPr>
              <w:t>s</w:t>
            </w:r>
            <w:r w:rsidRPr="009E35ED">
              <w:rPr>
                <w:rFonts w:ascii="Arial Narrow" w:hAnsi="Arial Narrow"/>
                <w:color w:val="000000" w:themeColor="text1"/>
                <w:sz w:val="20"/>
                <w:szCs w:val="20"/>
              </w:rPr>
              <w:t xml:space="preserve">ervices </w:t>
            </w:r>
            <w:r w:rsidR="009C7FFC">
              <w:rPr>
                <w:rFonts w:ascii="Arial Narrow" w:hAnsi="Arial Narrow"/>
                <w:color w:val="000000" w:themeColor="text1"/>
                <w:sz w:val="20"/>
                <w:szCs w:val="20"/>
              </w:rPr>
              <w:t>e</w:t>
            </w:r>
            <w:r w:rsidRPr="009E35ED">
              <w:rPr>
                <w:rFonts w:ascii="Arial Narrow" w:hAnsi="Arial Narrow"/>
                <w:color w:val="000000" w:themeColor="text1"/>
                <w:sz w:val="20"/>
                <w:szCs w:val="20"/>
              </w:rPr>
              <w:t>xpenses  - Branch</w:t>
            </w:r>
          </w:p>
        </w:tc>
        <w:tc>
          <w:tcPr>
            <w:tcW w:w="1716" w:type="dxa"/>
            <w:tcBorders>
              <w:top w:val="nil"/>
              <w:left w:val="nil"/>
              <w:bottom w:val="nil"/>
              <w:right w:val="nil"/>
            </w:tcBorders>
            <w:shd w:val="clear" w:color="auto" w:fill="auto"/>
            <w:noWrap/>
          </w:tcPr>
          <w:p w14:paraId="0A7AC6DC" w14:textId="468B4AB8" w:rsidR="001C6D8C" w:rsidRPr="009E35ED" w:rsidRDefault="001C6D8C" w:rsidP="001C6D8C">
            <w:pPr>
              <w:ind w:left="0"/>
              <w:jc w:val="right"/>
              <w:rPr>
                <w:rFonts w:ascii="Arial Narrow" w:hAnsi="Arial Narrow"/>
                <w:color w:val="000000" w:themeColor="text1"/>
                <w:sz w:val="20"/>
                <w:szCs w:val="20"/>
              </w:rPr>
            </w:pPr>
            <w:r w:rsidRPr="009E35ED">
              <w:rPr>
                <w:rFonts w:ascii="Arial Narrow" w:hAnsi="Arial Narrow"/>
                <w:color w:val="000000" w:themeColor="text1"/>
                <w:sz w:val="20"/>
                <w:szCs w:val="20"/>
              </w:rPr>
              <w:t xml:space="preserve"> (3,751)</w:t>
            </w:r>
          </w:p>
        </w:tc>
      </w:tr>
      <w:tr w:rsidR="00997F75" w:rsidRPr="009E35ED" w14:paraId="5B7095E9" w14:textId="77777777" w:rsidTr="00860ED6">
        <w:trPr>
          <w:trHeight w:val="173"/>
        </w:trPr>
        <w:tc>
          <w:tcPr>
            <w:tcW w:w="7286" w:type="dxa"/>
            <w:tcBorders>
              <w:top w:val="nil"/>
              <w:left w:val="nil"/>
              <w:bottom w:val="nil"/>
              <w:right w:val="nil"/>
            </w:tcBorders>
            <w:shd w:val="clear" w:color="auto" w:fill="auto"/>
          </w:tcPr>
          <w:p w14:paraId="2252F95B" w14:textId="3BB9356E" w:rsidR="001C6D8C" w:rsidRPr="009E35ED" w:rsidRDefault="001C6D8C" w:rsidP="001C6D8C">
            <w:pPr>
              <w:ind w:left="0"/>
              <w:jc w:val="left"/>
              <w:rPr>
                <w:rFonts w:ascii="Arial Narrow" w:hAnsi="Arial Narrow"/>
                <w:color w:val="000000" w:themeColor="text1"/>
                <w:sz w:val="20"/>
                <w:szCs w:val="20"/>
              </w:rPr>
            </w:pPr>
            <w:r w:rsidRPr="009E35ED">
              <w:rPr>
                <w:rFonts w:ascii="Arial Narrow" w:hAnsi="Arial Narrow"/>
                <w:color w:val="000000" w:themeColor="text1"/>
                <w:sz w:val="20"/>
                <w:szCs w:val="20"/>
              </w:rPr>
              <w:t xml:space="preserve">Payment of </w:t>
            </w:r>
            <w:r w:rsidR="009C7FFC">
              <w:rPr>
                <w:rFonts w:ascii="Arial Narrow" w:hAnsi="Arial Narrow"/>
                <w:color w:val="000000" w:themeColor="text1"/>
                <w:sz w:val="20"/>
                <w:szCs w:val="20"/>
              </w:rPr>
              <w:t>p</w:t>
            </w:r>
            <w:r w:rsidRPr="009E35ED">
              <w:rPr>
                <w:rFonts w:ascii="Arial Narrow" w:hAnsi="Arial Narrow"/>
                <w:color w:val="000000" w:themeColor="text1"/>
                <w:sz w:val="20"/>
                <w:szCs w:val="20"/>
              </w:rPr>
              <w:t xml:space="preserve">ostage and </w:t>
            </w:r>
            <w:r w:rsidR="009C7FFC">
              <w:rPr>
                <w:rFonts w:ascii="Arial Narrow" w:hAnsi="Arial Narrow"/>
                <w:color w:val="000000" w:themeColor="text1"/>
                <w:sz w:val="20"/>
                <w:szCs w:val="20"/>
              </w:rPr>
              <w:t>c</w:t>
            </w:r>
            <w:r w:rsidRPr="009E35ED">
              <w:rPr>
                <w:rFonts w:ascii="Arial Narrow" w:hAnsi="Arial Narrow"/>
                <w:color w:val="000000" w:themeColor="text1"/>
                <w:sz w:val="20"/>
                <w:szCs w:val="20"/>
              </w:rPr>
              <w:t xml:space="preserve">ourier </w:t>
            </w:r>
            <w:r w:rsidR="009C7FFC">
              <w:rPr>
                <w:rFonts w:ascii="Arial Narrow" w:hAnsi="Arial Narrow"/>
                <w:color w:val="000000" w:themeColor="text1"/>
                <w:sz w:val="20"/>
                <w:szCs w:val="20"/>
              </w:rPr>
              <w:t>s</w:t>
            </w:r>
            <w:r w:rsidRPr="009E35ED">
              <w:rPr>
                <w:rFonts w:ascii="Arial Narrow" w:hAnsi="Arial Narrow"/>
                <w:color w:val="000000" w:themeColor="text1"/>
                <w:sz w:val="20"/>
                <w:szCs w:val="20"/>
              </w:rPr>
              <w:t xml:space="preserve">ervices </w:t>
            </w:r>
            <w:r w:rsidR="009C7FFC">
              <w:rPr>
                <w:rFonts w:ascii="Arial Narrow" w:hAnsi="Arial Narrow"/>
                <w:color w:val="000000" w:themeColor="text1"/>
                <w:sz w:val="20"/>
                <w:szCs w:val="20"/>
              </w:rPr>
              <w:t>e</w:t>
            </w:r>
            <w:r w:rsidRPr="009E35ED">
              <w:rPr>
                <w:rFonts w:ascii="Arial Narrow" w:hAnsi="Arial Narrow"/>
                <w:color w:val="000000" w:themeColor="text1"/>
                <w:sz w:val="20"/>
                <w:szCs w:val="20"/>
              </w:rPr>
              <w:t>xpenses  - Branch</w:t>
            </w:r>
          </w:p>
        </w:tc>
        <w:tc>
          <w:tcPr>
            <w:tcW w:w="1716" w:type="dxa"/>
            <w:tcBorders>
              <w:top w:val="nil"/>
              <w:left w:val="nil"/>
              <w:bottom w:val="nil"/>
              <w:right w:val="nil"/>
            </w:tcBorders>
            <w:shd w:val="clear" w:color="auto" w:fill="auto"/>
            <w:noWrap/>
          </w:tcPr>
          <w:p w14:paraId="6434DF8A" w14:textId="68BE5BF1" w:rsidR="001C6D8C" w:rsidRPr="009E35ED" w:rsidRDefault="001C6D8C" w:rsidP="001C6D8C">
            <w:pPr>
              <w:ind w:left="0"/>
              <w:jc w:val="right"/>
              <w:rPr>
                <w:rFonts w:ascii="Arial Narrow" w:hAnsi="Arial Narrow"/>
                <w:color w:val="000000" w:themeColor="text1"/>
                <w:sz w:val="20"/>
                <w:szCs w:val="20"/>
              </w:rPr>
            </w:pPr>
            <w:r w:rsidRPr="009E35ED">
              <w:rPr>
                <w:rFonts w:ascii="Arial Narrow" w:hAnsi="Arial Narrow"/>
                <w:color w:val="000000" w:themeColor="text1"/>
                <w:sz w:val="20"/>
                <w:szCs w:val="20"/>
              </w:rPr>
              <w:t xml:space="preserve"> (775)</w:t>
            </w:r>
          </w:p>
        </w:tc>
      </w:tr>
      <w:tr w:rsidR="00997F75" w:rsidRPr="009E35ED" w14:paraId="5F7C6524" w14:textId="77777777" w:rsidTr="00C26DA1">
        <w:trPr>
          <w:trHeight w:val="285"/>
        </w:trPr>
        <w:tc>
          <w:tcPr>
            <w:tcW w:w="7286" w:type="dxa"/>
            <w:tcBorders>
              <w:top w:val="nil"/>
              <w:left w:val="nil"/>
              <w:bottom w:val="nil"/>
              <w:right w:val="nil"/>
            </w:tcBorders>
            <w:shd w:val="clear" w:color="auto" w:fill="auto"/>
          </w:tcPr>
          <w:p w14:paraId="2BE29C6B" w14:textId="7AC0AADB" w:rsidR="001C6D8C" w:rsidRPr="009E35ED" w:rsidRDefault="001C6D8C" w:rsidP="001C6D8C">
            <w:pPr>
              <w:ind w:left="0"/>
              <w:jc w:val="left"/>
              <w:rPr>
                <w:rFonts w:ascii="Arial Narrow" w:hAnsi="Arial Narrow"/>
                <w:color w:val="000000" w:themeColor="text1"/>
                <w:sz w:val="20"/>
                <w:szCs w:val="20"/>
              </w:rPr>
            </w:pPr>
            <w:r w:rsidRPr="009E35ED">
              <w:rPr>
                <w:rFonts w:ascii="Arial Narrow" w:hAnsi="Arial Narrow"/>
                <w:color w:val="000000" w:themeColor="text1"/>
                <w:sz w:val="20"/>
                <w:szCs w:val="20"/>
              </w:rPr>
              <w:t xml:space="preserve">Adjustment/Recording of </w:t>
            </w:r>
            <w:r w:rsidR="009C7FFC">
              <w:rPr>
                <w:rFonts w:ascii="Arial Narrow" w:hAnsi="Arial Narrow"/>
                <w:color w:val="000000" w:themeColor="text1"/>
                <w:sz w:val="20"/>
                <w:szCs w:val="20"/>
              </w:rPr>
              <w:t>t</w:t>
            </w:r>
            <w:r w:rsidRPr="009E35ED">
              <w:rPr>
                <w:rFonts w:ascii="Arial Narrow" w:hAnsi="Arial Narrow"/>
                <w:color w:val="000000" w:themeColor="text1"/>
                <w:sz w:val="20"/>
                <w:szCs w:val="20"/>
              </w:rPr>
              <w:t xml:space="preserve">elephone </w:t>
            </w:r>
            <w:r w:rsidR="009C7FFC">
              <w:rPr>
                <w:rFonts w:ascii="Arial Narrow" w:hAnsi="Arial Narrow"/>
                <w:color w:val="000000" w:themeColor="text1"/>
                <w:sz w:val="20"/>
                <w:szCs w:val="20"/>
              </w:rPr>
              <w:t>e</w:t>
            </w:r>
            <w:r w:rsidRPr="009E35ED">
              <w:rPr>
                <w:rFonts w:ascii="Arial Narrow" w:hAnsi="Arial Narrow"/>
                <w:color w:val="000000" w:themeColor="text1"/>
                <w:sz w:val="20"/>
                <w:szCs w:val="20"/>
              </w:rPr>
              <w:t>xpenses - Landline - Branch</w:t>
            </w:r>
          </w:p>
        </w:tc>
        <w:tc>
          <w:tcPr>
            <w:tcW w:w="1716" w:type="dxa"/>
            <w:tcBorders>
              <w:top w:val="nil"/>
              <w:left w:val="nil"/>
              <w:bottom w:val="nil"/>
              <w:right w:val="nil"/>
            </w:tcBorders>
            <w:shd w:val="clear" w:color="auto" w:fill="auto"/>
            <w:noWrap/>
          </w:tcPr>
          <w:p w14:paraId="2F976EA4" w14:textId="69DA2A5A" w:rsidR="001C6D8C" w:rsidRPr="009E35ED" w:rsidRDefault="001C6D8C" w:rsidP="001C6D8C">
            <w:pPr>
              <w:ind w:left="0"/>
              <w:jc w:val="right"/>
              <w:rPr>
                <w:rFonts w:ascii="Arial Narrow" w:hAnsi="Arial Narrow"/>
                <w:color w:val="000000" w:themeColor="text1"/>
                <w:sz w:val="20"/>
                <w:szCs w:val="20"/>
              </w:rPr>
            </w:pPr>
            <w:r w:rsidRPr="009E35ED">
              <w:rPr>
                <w:rFonts w:ascii="Arial Narrow" w:hAnsi="Arial Narrow"/>
                <w:color w:val="000000" w:themeColor="text1"/>
                <w:sz w:val="20"/>
                <w:szCs w:val="20"/>
              </w:rPr>
              <w:t xml:space="preserve"> (617)</w:t>
            </w:r>
          </w:p>
        </w:tc>
      </w:tr>
      <w:tr w:rsidR="00997F75" w:rsidRPr="009E35ED" w14:paraId="69A2DE10" w14:textId="77777777" w:rsidTr="00C26DA1">
        <w:trPr>
          <w:trHeight w:val="285"/>
        </w:trPr>
        <w:tc>
          <w:tcPr>
            <w:tcW w:w="7286" w:type="dxa"/>
            <w:tcBorders>
              <w:top w:val="nil"/>
              <w:left w:val="nil"/>
              <w:bottom w:val="nil"/>
              <w:right w:val="nil"/>
            </w:tcBorders>
            <w:shd w:val="clear" w:color="auto" w:fill="auto"/>
          </w:tcPr>
          <w:p w14:paraId="3BF38385" w14:textId="3E03C159" w:rsidR="001C6D8C" w:rsidRPr="009E35ED" w:rsidRDefault="001C6D8C" w:rsidP="001C6D8C">
            <w:pPr>
              <w:ind w:left="0"/>
              <w:jc w:val="left"/>
              <w:rPr>
                <w:rFonts w:ascii="Arial Narrow" w:hAnsi="Arial Narrow"/>
                <w:color w:val="000000" w:themeColor="text1"/>
                <w:sz w:val="20"/>
                <w:szCs w:val="20"/>
              </w:rPr>
            </w:pPr>
            <w:r w:rsidRPr="009E35ED">
              <w:rPr>
                <w:rFonts w:ascii="Arial Narrow" w:hAnsi="Arial Narrow"/>
                <w:color w:val="000000" w:themeColor="text1"/>
                <w:sz w:val="20"/>
                <w:szCs w:val="20"/>
              </w:rPr>
              <w:t xml:space="preserve">Adjustment/Recording of </w:t>
            </w:r>
            <w:r w:rsidR="009C7FFC">
              <w:rPr>
                <w:rFonts w:ascii="Arial Narrow" w:hAnsi="Arial Narrow"/>
                <w:color w:val="000000" w:themeColor="text1"/>
                <w:sz w:val="20"/>
                <w:szCs w:val="20"/>
              </w:rPr>
              <w:t>t</w:t>
            </w:r>
            <w:r w:rsidRPr="009E35ED">
              <w:rPr>
                <w:rFonts w:ascii="Arial Narrow" w:hAnsi="Arial Narrow"/>
                <w:color w:val="000000" w:themeColor="text1"/>
                <w:sz w:val="20"/>
                <w:szCs w:val="20"/>
              </w:rPr>
              <w:t xml:space="preserve">elephone </w:t>
            </w:r>
            <w:r w:rsidR="009C7FFC">
              <w:rPr>
                <w:rFonts w:ascii="Arial Narrow" w:hAnsi="Arial Narrow"/>
                <w:color w:val="000000" w:themeColor="text1"/>
                <w:sz w:val="20"/>
                <w:szCs w:val="20"/>
              </w:rPr>
              <w:t>e</w:t>
            </w:r>
            <w:r w:rsidRPr="009E35ED">
              <w:rPr>
                <w:rFonts w:ascii="Arial Narrow" w:hAnsi="Arial Narrow"/>
                <w:color w:val="000000" w:themeColor="text1"/>
                <w:sz w:val="20"/>
                <w:szCs w:val="20"/>
              </w:rPr>
              <w:t>xpenses - Landline - Head Office</w:t>
            </w:r>
          </w:p>
        </w:tc>
        <w:tc>
          <w:tcPr>
            <w:tcW w:w="1716" w:type="dxa"/>
            <w:tcBorders>
              <w:top w:val="nil"/>
              <w:left w:val="nil"/>
              <w:bottom w:val="nil"/>
              <w:right w:val="nil"/>
            </w:tcBorders>
            <w:shd w:val="clear" w:color="auto" w:fill="auto"/>
            <w:noWrap/>
          </w:tcPr>
          <w:p w14:paraId="080958DD" w14:textId="7197BDEC" w:rsidR="001C6D8C" w:rsidRPr="009E35ED" w:rsidRDefault="001C6D8C" w:rsidP="001C6D8C">
            <w:pPr>
              <w:ind w:left="0"/>
              <w:jc w:val="right"/>
              <w:rPr>
                <w:rFonts w:ascii="Arial Narrow" w:hAnsi="Arial Narrow"/>
                <w:color w:val="000000" w:themeColor="text1"/>
                <w:sz w:val="20"/>
                <w:szCs w:val="20"/>
              </w:rPr>
            </w:pPr>
            <w:r w:rsidRPr="009E35ED">
              <w:rPr>
                <w:rFonts w:ascii="Arial Narrow" w:hAnsi="Arial Narrow"/>
                <w:color w:val="000000" w:themeColor="text1"/>
                <w:sz w:val="20"/>
                <w:szCs w:val="20"/>
              </w:rPr>
              <w:t xml:space="preserve"> 1,982 </w:t>
            </w:r>
          </w:p>
        </w:tc>
      </w:tr>
      <w:tr w:rsidR="00997F75" w:rsidRPr="009E35ED" w14:paraId="2E3FDF29" w14:textId="77777777" w:rsidTr="00C26DA1">
        <w:trPr>
          <w:trHeight w:val="285"/>
        </w:trPr>
        <w:tc>
          <w:tcPr>
            <w:tcW w:w="7286" w:type="dxa"/>
            <w:tcBorders>
              <w:top w:val="nil"/>
              <w:left w:val="nil"/>
              <w:bottom w:val="nil"/>
              <w:right w:val="nil"/>
            </w:tcBorders>
            <w:shd w:val="clear" w:color="auto" w:fill="auto"/>
          </w:tcPr>
          <w:p w14:paraId="2F54EEC5" w14:textId="499F9FC1" w:rsidR="001C6D8C" w:rsidRPr="009E35ED" w:rsidRDefault="001C6D8C" w:rsidP="001C6D8C">
            <w:pPr>
              <w:ind w:left="0"/>
              <w:jc w:val="left"/>
              <w:rPr>
                <w:rFonts w:ascii="Arial Narrow" w:hAnsi="Arial Narrow"/>
                <w:color w:val="000000" w:themeColor="text1"/>
                <w:sz w:val="20"/>
                <w:szCs w:val="20"/>
              </w:rPr>
            </w:pPr>
            <w:r w:rsidRPr="009E35ED">
              <w:rPr>
                <w:rFonts w:ascii="Arial Narrow" w:hAnsi="Arial Narrow"/>
                <w:color w:val="000000" w:themeColor="text1"/>
                <w:sz w:val="20"/>
                <w:szCs w:val="20"/>
              </w:rPr>
              <w:t xml:space="preserve">Adjustment/Recording of </w:t>
            </w:r>
            <w:r w:rsidR="009C7FFC">
              <w:rPr>
                <w:rFonts w:ascii="Arial Narrow" w:hAnsi="Arial Narrow"/>
                <w:color w:val="000000" w:themeColor="text1"/>
                <w:sz w:val="20"/>
                <w:szCs w:val="20"/>
              </w:rPr>
              <w:t>t</w:t>
            </w:r>
            <w:r w:rsidRPr="009E35ED">
              <w:rPr>
                <w:rFonts w:ascii="Arial Narrow" w:hAnsi="Arial Narrow"/>
                <w:color w:val="000000" w:themeColor="text1"/>
                <w:sz w:val="20"/>
                <w:szCs w:val="20"/>
              </w:rPr>
              <w:t xml:space="preserve">elephone </w:t>
            </w:r>
            <w:r w:rsidR="009C7FFC">
              <w:rPr>
                <w:rFonts w:ascii="Arial Narrow" w:hAnsi="Arial Narrow"/>
                <w:color w:val="000000" w:themeColor="text1"/>
                <w:sz w:val="20"/>
                <w:szCs w:val="20"/>
              </w:rPr>
              <w:t>e</w:t>
            </w:r>
            <w:r w:rsidRPr="009E35ED">
              <w:rPr>
                <w:rFonts w:ascii="Arial Narrow" w:hAnsi="Arial Narrow"/>
                <w:color w:val="000000" w:themeColor="text1"/>
                <w:sz w:val="20"/>
                <w:szCs w:val="20"/>
              </w:rPr>
              <w:t>xpenses - Mobile - Branch</w:t>
            </w:r>
          </w:p>
        </w:tc>
        <w:tc>
          <w:tcPr>
            <w:tcW w:w="1716" w:type="dxa"/>
            <w:tcBorders>
              <w:top w:val="nil"/>
              <w:left w:val="nil"/>
              <w:bottom w:val="nil"/>
              <w:right w:val="nil"/>
            </w:tcBorders>
            <w:shd w:val="clear" w:color="auto" w:fill="auto"/>
            <w:noWrap/>
          </w:tcPr>
          <w:p w14:paraId="6858B5B5" w14:textId="655DF0E8" w:rsidR="001C6D8C" w:rsidRPr="009E35ED" w:rsidRDefault="001C6D8C" w:rsidP="001C6D8C">
            <w:pPr>
              <w:ind w:left="0"/>
              <w:jc w:val="right"/>
              <w:rPr>
                <w:rFonts w:ascii="Arial Narrow" w:hAnsi="Arial Narrow"/>
                <w:color w:val="000000" w:themeColor="text1"/>
                <w:sz w:val="20"/>
                <w:szCs w:val="20"/>
              </w:rPr>
            </w:pPr>
            <w:r w:rsidRPr="009E35ED">
              <w:rPr>
                <w:rFonts w:ascii="Arial Narrow" w:hAnsi="Arial Narrow"/>
                <w:color w:val="000000" w:themeColor="text1"/>
                <w:sz w:val="20"/>
                <w:szCs w:val="20"/>
              </w:rPr>
              <w:t xml:space="preserve"> -   </w:t>
            </w:r>
          </w:p>
        </w:tc>
      </w:tr>
      <w:tr w:rsidR="00997F75" w:rsidRPr="009E35ED" w14:paraId="09E6A825" w14:textId="77777777" w:rsidTr="00C26DA1">
        <w:trPr>
          <w:trHeight w:val="285"/>
        </w:trPr>
        <w:tc>
          <w:tcPr>
            <w:tcW w:w="7286" w:type="dxa"/>
            <w:tcBorders>
              <w:top w:val="nil"/>
              <w:left w:val="nil"/>
              <w:bottom w:val="nil"/>
              <w:right w:val="nil"/>
            </w:tcBorders>
            <w:shd w:val="clear" w:color="auto" w:fill="auto"/>
          </w:tcPr>
          <w:p w14:paraId="16431545" w14:textId="753B9FD6" w:rsidR="001C6D8C" w:rsidRPr="009E35ED" w:rsidRDefault="001C6D8C" w:rsidP="001C6D8C">
            <w:pPr>
              <w:ind w:left="0"/>
              <w:jc w:val="left"/>
              <w:rPr>
                <w:rFonts w:ascii="Arial Narrow" w:hAnsi="Arial Narrow"/>
                <w:color w:val="000000" w:themeColor="text1"/>
                <w:sz w:val="20"/>
                <w:szCs w:val="20"/>
              </w:rPr>
            </w:pPr>
            <w:r w:rsidRPr="009E35ED">
              <w:rPr>
                <w:rFonts w:ascii="Arial Narrow" w:hAnsi="Arial Narrow"/>
                <w:color w:val="000000" w:themeColor="text1"/>
                <w:sz w:val="20"/>
                <w:szCs w:val="20"/>
              </w:rPr>
              <w:t xml:space="preserve">Payment of </w:t>
            </w:r>
            <w:r w:rsidR="009C7FFC">
              <w:rPr>
                <w:rFonts w:ascii="Arial Narrow" w:hAnsi="Arial Narrow"/>
                <w:color w:val="000000" w:themeColor="text1"/>
                <w:sz w:val="20"/>
                <w:szCs w:val="20"/>
              </w:rPr>
              <w:t>t</w:t>
            </w:r>
            <w:r w:rsidRPr="009E35ED">
              <w:rPr>
                <w:rFonts w:ascii="Arial Narrow" w:hAnsi="Arial Narrow"/>
                <w:color w:val="000000" w:themeColor="text1"/>
                <w:sz w:val="20"/>
                <w:szCs w:val="20"/>
              </w:rPr>
              <w:t xml:space="preserve">elephone </w:t>
            </w:r>
            <w:r w:rsidR="009C7FFC">
              <w:rPr>
                <w:rFonts w:ascii="Arial Narrow" w:hAnsi="Arial Narrow"/>
                <w:color w:val="000000" w:themeColor="text1"/>
                <w:sz w:val="20"/>
                <w:szCs w:val="20"/>
              </w:rPr>
              <w:t>e</w:t>
            </w:r>
            <w:r w:rsidRPr="009E35ED">
              <w:rPr>
                <w:rFonts w:ascii="Arial Narrow" w:hAnsi="Arial Narrow"/>
                <w:color w:val="000000" w:themeColor="text1"/>
                <w:sz w:val="20"/>
                <w:szCs w:val="20"/>
              </w:rPr>
              <w:t>xpenses - Mobile - Branch</w:t>
            </w:r>
          </w:p>
        </w:tc>
        <w:tc>
          <w:tcPr>
            <w:tcW w:w="1716" w:type="dxa"/>
            <w:tcBorders>
              <w:top w:val="nil"/>
              <w:left w:val="nil"/>
              <w:bottom w:val="nil"/>
              <w:right w:val="nil"/>
            </w:tcBorders>
            <w:shd w:val="clear" w:color="auto" w:fill="auto"/>
            <w:noWrap/>
          </w:tcPr>
          <w:p w14:paraId="2693A9D2" w14:textId="5FEFDCF4" w:rsidR="001C6D8C" w:rsidRPr="009E35ED" w:rsidRDefault="001C6D8C" w:rsidP="001C6D8C">
            <w:pPr>
              <w:ind w:left="0"/>
              <w:jc w:val="right"/>
              <w:rPr>
                <w:rFonts w:ascii="Arial Narrow" w:hAnsi="Arial Narrow"/>
                <w:color w:val="000000" w:themeColor="text1"/>
                <w:sz w:val="20"/>
                <w:szCs w:val="20"/>
              </w:rPr>
            </w:pPr>
            <w:r w:rsidRPr="009E35ED">
              <w:rPr>
                <w:rFonts w:ascii="Arial Narrow" w:hAnsi="Arial Narrow"/>
                <w:color w:val="000000" w:themeColor="text1"/>
                <w:sz w:val="20"/>
                <w:szCs w:val="20"/>
              </w:rPr>
              <w:t xml:space="preserve"> (8,233)</w:t>
            </w:r>
          </w:p>
        </w:tc>
      </w:tr>
      <w:tr w:rsidR="00997F75" w:rsidRPr="009E35ED" w14:paraId="216074A9" w14:textId="77777777" w:rsidTr="00C26DA1">
        <w:trPr>
          <w:trHeight w:val="75"/>
        </w:trPr>
        <w:tc>
          <w:tcPr>
            <w:tcW w:w="7286" w:type="dxa"/>
            <w:tcBorders>
              <w:top w:val="nil"/>
              <w:left w:val="nil"/>
              <w:bottom w:val="nil"/>
              <w:right w:val="nil"/>
            </w:tcBorders>
            <w:shd w:val="clear" w:color="auto" w:fill="auto"/>
            <w:hideMark/>
          </w:tcPr>
          <w:p w14:paraId="55607137" w14:textId="582FE8F0" w:rsidR="001C6D8C" w:rsidRPr="009E35ED" w:rsidRDefault="001C6D8C" w:rsidP="001C6D8C">
            <w:pPr>
              <w:ind w:left="0"/>
              <w:jc w:val="left"/>
              <w:rPr>
                <w:rFonts w:ascii="Arial Narrow" w:hAnsi="Arial Narrow" w:cs="Arial"/>
                <w:color w:val="000000" w:themeColor="text1"/>
                <w:sz w:val="20"/>
                <w:szCs w:val="20"/>
                <w:lang w:val="en-PH" w:eastAsia="en-PH"/>
              </w:rPr>
            </w:pPr>
            <w:r w:rsidRPr="009E35ED">
              <w:rPr>
                <w:rFonts w:ascii="Arial Narrow" w:hAnsi="Arial Narrow"/>
                <w:color w:val="000000" w:themeColor="text1"/>
                <w:sz w:val="20"/>
                <w:szCs w:val="20"/>
              </w:rPr>
              <w:t xml:space="preserve">Adjustment/Recording of </w:t>
            </w:r>
            <w:r w:rsidR="009C7FFC">
              <w:rPr>
                <w:rFonts w:ascii="Arial Narrow" w:hAnsi="Arial Narrow"/>
                <w:color w:val="000000" w:themeColor="text1"/>
                <w:sz w:val="20"/>
                <w:szCs w:val="20"/>
              </w:rPr>
              <w:t>i</w:t>
            </w:r>
            <w:r w:rsidRPr="009E35ED">
              <w:rPr>
                <w:rFonts w:ascii="Arial Narrow" w:hAnsi="Arial Narrow"/>
                <w:color w:val="000000" w:themeColor="text1"/>
                <w:sz w:val="20"/>
                <w:szCs w:val="20"/>
              </w:rPr>
              <w:t xml:space="preserve">nternet </w:t>
            </w:r>
            <w:r w:rsidR="009C7FFC">
              <w:rPr>
                <w:rFonts w:ascii="Arial Narrow" w:hAnsi="Arial Narrow"/>
                <w:color w:val="000000" w:themeColor="text1"/>
                <w:sz w:val="20"/>
                <w:szCs w:val="20"/>
              </w:rPr>
              <w:t>e</w:t>
            </w:r>
            <w:r w:rsidRPr="009E35ED">
              <w:rPr>
                <w:rFonts w:ascii="Arial Narrow" w:hAnsi="Arial Narrow"/>
                <w:color w:val="000000" w:themeColor="text1"/>
                <w:sz w:val="20"/>
                <w:szCs w:val="20"/>
              </w:rPr>
              <w:t>xpenses - Head Office</w:t>
            </w:r>
          </w:p>
        </w:tc>
        <w:tc>
          <w:tcPr>
            <w:tcW w:w="1716" w:type="dxa"/>
            <w:tcBorders>
              <w:top w:val="nil"/>
              <w:left w:val="nil"/>
              <w:bottom w:val="nil"/>
              <w:right w:val="nil"/>
            </w:tcBorders>
            <w:shd w:val="clear" w:color="auto" w:fill="auto"/>
            <w:noWrap/>
            <w:hideMark/>
          </w:tcPr>
          <w:p w14:paraId="6FE438B5" w14:textId="62E12C90" w:rsidR="001C6D8C" w:rsidRPr="009E35ED" w:rsidRDefault="001C6D8C" w:rsidP="001C6D8C">
            <w:pPr>
              <w:ind w:left="0"/>
              <w:jc w:val="right"/>
              <w:rPr>
                <w:rFonts w:ascii="Arial Narrow" w:hAnsi="Arial Narrow" w:cs="Arial"/>
                <w:color w:val="000000" w:themeColor="text1"/>
                <w:sz w:val="20"/>
                <w:szCs w:val="20"/>
                <w:lang w:val="en-PH" w:eastAsia="en-PH"/>
              </w:rPr>
            </w:pPr>
            <w:r w:rsidRPr="009E35ED">
              <w:rPr>
                <w:rFonts w:ascii="Arial Narrow" w:hAnsi="Arial Narrow"/>
                <w:color w:val="000000" w:themeColor="text1"/>
                <w:sz w:val="20"/>
                <w:szCs w:val="20"/>
              </w:rPr>
              <w:t xml:space="preserve"> 8,654 </w:t>
            </w:r>
          </w:p>
        </w:tc>
      </w:tr>
      <w:tr w:rsidR="00997F75" w:rsidRPr="009E35ED" w14:paraId="32ADB338" w14:textId="77777777" w:rsidTr="00C26DA1">
        <w:trPr>
          <w:trHeight w:val="75"/>
        </w:trPr>
        <w:tc>
          <w:tcPr>
            <w:tcW w:w="7286" w:type="dxa"/>
            <w:tcBorders>
              <w:top w:val="nil"/>
              <w:left w:val="nil"/>
              <w:bottom w:val="nil"/>
              <w:right w:val="nil"/>
            </w:tcBorders>
            <w:shd w:val="clear" w:color="auto" w:fill="auto"/>
            <w:hideMark/>
          </w:tcPr>
          <w:p w14:paraId="27C1B295" w14:textId="71EDEE18" w:rsidR="001C6D8C" w:rsidRPr="009E35ED" w:rsidRDefault="001C6D8C" w:rsidP="001C6D8C">
            <w:pPr>
              <w:ind w:left="0"/>
              <w:jc w:val="left"/>
              <w:rPr>
                <w:rFonts w:ascii="Arial Narrow" w:hAnsi="Arial Narrow" w:cs="Arial"/>
                <w:color w:val="000000" w:themeColor="text1"/>
                <w:sz w:val="20"/>
                <w:szCs w:val="20"/>
                <w:lang w:val="en-PH" w:eastAsia="en-PH"/>
              </w:rPr>
            </w:pPr>
            <w:r w:rsidRPr="009E35ED">
              <w:rPr>
                <w:rFonts w:ascii="Arial Narrow" w:hAnsi="Arial Narrow"/>
                <w:color w:val="000000" w:themeColor="text1"/>
                <w:sz w:val="20"/>
                <w:szCs w:val="20"/>
              </w:rPr>
              <w:t xml:space="preserve">Adjustment/Recording of </w:t>
            </w:r>
            <w:r w:rsidR="009C7FFC">
              <w:rPr>
                <w:rFonts w:ascii="Arial Narrow" w:hAnsi="Arial Narrow"/>
                <w:color w:val="000000" w:themeColor="text1"/>
                <w:sz w:val="20"/>
                <w:szCs w:val="20"/>
              </w:rPr>
              <w:t>i</w:t>
            </w:r>
            <w:r w:rsidRPr="009E35ED">
              <w:rPr>
                <w:rFonts w:ascii="Arial Narrow" w:hAnsi="Arial Narrow"/>
                <w:color w:val="000000" w:themeColor="text1"/>
                <w:sz w:val="20"/>
                <w:szCs w:val="20"/>
              </w:rPr>
              <w:t xml:space="preserve">nternet </w:t>
            </w:r>
            <w:r w:rsidR="009C7FFC">
              <w:rPr>
                <w:rFonts w:ascii="Arial Narrow" w:hAnsi="Arial Narrow"/>
                <w:color w:val="000000" w:themeColor="text1"/>
                <w:sz w:val="20"/>
                <w:szCs w:val="20"/>
              </w:rPr>
              <w:t>e</w:t>
            </w:r>
            <w:r w:rsidRPr="009E35ED">
              <w:rPr>
                <w:rFonts w:ascii="Arial Narrow" w:hAnsi="Arial Narrow"/>
                <w:color w:val="000000" w:themeColor="text1"/>
                <w:sz w:val="20"/>
                <w:szCs w:val="20"/>
              </w:rPr>
              <w:t>xpenses - Branch</w:t>
            </w:r>
          </w:p>
        </w:tc>
        <w:tc>
          <w:tcPr>
            <w:tcW w:w="1716" w:type="dxa"/>
            <w:tcBorders>
              <w:top w:val="nil"/>
              <w:left w:val="nil"/>
              <w:bottom w:val="nil"/>
              <w:right w:val="nil"/>
            </w:tcBorders>
            <w:shd w:val="clear" w:color="auto" w:fill="auto"/>
            <w:noWrap/>
            <w:hideMark/>
          </w:tcPr>
          <w:p w14:paraId="4CECC77C" w14:textId="4AD0A211" w:rsidR="001C6D8C" w:rsidRPr="009E35ED" w:rsidRDefault="001C6D8C" w:rsidP="001C6D8C">
            <w:pPr>
              <w:ind w:left="0"/>
              <w:jc w:val="right"/>
              <w:rPr>
                <w:rFonts w:ascii="Arial Narrow" w:hAnsi="Arial Narrow" w:cs="Arial"/>
                <w:color w:val="000000" w:themeColor="text1"/>
                <w:sz w:val="20"/>
                <w:szCs w:val="20"/>
                <w:lang w:val="en-PH" w:eastAsia="en-PH"/>
              </w:rPr>
            </w:pPr>
            <w:r w:rsidRPr="009E35ED">
              <w:rPr>
                <w:rFonts w:ascii="Arial Narrow" w:hAnsi="Arial Narrow"/>
                <w:color w:val="000000" w:themeColor="text1"/>
                <w:sz w:val="20"/>
                <w:szCs w:val="20"/>
              </w:rPr>
              <w:t xml:space="preserve"> (55)</w:t>
            </w:r>
          </w:p>
        </w:tc>
      </w:tr>
      <w:tr w:rsidR="00997F75" w:rsidRPr="009E35ED" w14:paraId="415C52FD" w14:textId="77777777" w:rsidTr="00C26DA1">
        <w:trPr>
          <w:trHeight w:val="305"/>
        </w:trPr>
        <w:tc>
          <w:tcPr>
            <w:tcW w:w="7286" w:type="dxa"/>
            <w:tcBorders>
              <w:top w:val="single" w:sz="4" w:space="0" w:color="auto"/>
              <w:left w:val="nil"/>
              <w:bottom w:val="double" w:sz="6" w:space="0" w:color="auto"/>
              <w:right w:val="nil"/>
            </w:tcBorders>
            <w:shd w:val="clear" w:color="auto" w:fill="auto"/>
            <w:hideMark/>
          </w:tcPr>
          <w:p w14:paraId="4CC136A5" w14:textId="311F047B" w:rsidR="001C6D8C" w:rsidRPr="009E35ED" w:rsidRDefault="001C6D8C" w:rsidP="001C6D8C">
            <w:pPr>
              <w:ind w:left="0"/>
              <w:jc w:val="left"/>
              <w:rPr>
                <w:rFonts w:ascii="Arial Narrow" w:hAnsi="Arial Narrow" w:cs="Arial"/>
                <w:b/>
                <w:bCs/>
                <w:color w:val="000000" w:themeColor="text1"/>
                <w:sz w:val="20"/>
                <w:szCs w:val="20"/>
                <w:lang w:val="en-PH" w:eastAsia="en-PH"/>
              </w:rPr>
            </w:pPr>
            <w:r w:rsidRPr="009E35ED">
              <w:rPr>
                <w:rFonts w:ascii="Arial Narrow" w:hAnsi="Arial Narrow"/>
                <w:b/>
                <w:bCs/>
                <w:color w:val="000000" w:themeColor="text1"/>
                <w:sz w:val="20"/>
                <w:szCs w:val="20"/>
              </w:rPr>
              <w:t>Restated Amount as of December 31, 2022 - Communication Expenses (Operating Fund)</w:t>
            </w:r>
          </w:p>
        </w:tc>
        <w:tc>
          <w:tcPr>
            <w:tcW w:w="1716" w:type="dxa"/>
            <w:tcBorders>
              <w:top w:val="single" w:sz="4" w:space="0" w:color="auto"/>
              <w:left w:val="nil"/>
              <w:bottom w:val="double" w:sz="6" w:space="0" w:color="auto"/>
              <w:right w:val="nil"/>
            </w:tcBorders>
            <w:shd w:val="clear" w:color="auto" w:fill="auto"/>
            <w:noWrap/>
            <w:hideMark/>
          </w:tcPr>
          <w:p w14:paraId="2B5A46D6" w14:textId="6EA62C45" w:rsidR="001C6D8C" w:rsidRPr="009E35ED" w:rsidRDefault="001C6D8C" w:rsidP="00C03EBC">
            <w:pPr>
              <w:ind w:left="0"/>
              <w:jc w:val="right"/>
              <w:rPr>
                <w:rFonts w:ascii="Arial Narrow" w:hAnsi="Arial Narrow" w:cs="Arial"/>
                <w:b/>
                <w:bCs/>
                <w:color w:val="000000" w:themeColor="text1"/>
                <w:sz w:val="20"/>
                <w:szCs w:val="20"/>
                <w:lang w:val="en-PH" w:eastAsia="en-PH"/>
              </w:rPr>
            </w:pPr>
            <w:r w:rsidRPr="009E35ED">
              <w:rPr>
                <w:rFonts w:ascii="Arial Narrow" w:hAnsi="Arial Narrow"/>
                <w:b/>
                <w:bCs/>
                <w:color w:val="000000" w:themeColor="text1"/>
                <w:sz w:val="20"/>
                <w:szCs w:val="20"/>
              </w:rPr>
              <w:t xml:space="preserve"> 28,617,509 </w:t>
            </w:r>
          </w:p>
        </w:tc>
      </w:tr>
      <w:tr w:rsidR="00997F75" w:rsidRPr="009E35ED" w14:paraId="728AD1AA" w14:textId="77777777" w:rsidTr="00C26DA1">
        <w:trPr>
          <w:trHeight w:val="300"/>
        </w:trPr>
        <w:tc>
          <w:tcPr>
            <w:tcW w:w="7286" w:type="dxa"/>
            <w:tcBorders>
              <w:top w:val="nil"/>
              <w:left w:val="nil"/>
              <w:bottom w:val="nil"/>
              <w:right w:val="nil"/>
            </w:tcBorders>
            <w:shd w:val="clear" w:color="auto" w:fill="auto"/>
            <w:vAlign w:val="bottom"/>
            <w:hideMark/>
          </w:tcPr>
          <w:p w14:paraId="0DE8862F" w14:textId="77777777" w:rsidR="00240956" w:rsidRPr="009E35ED" w:rsidRDefault="00240956" w:rsidP="00240956">
            <w:pPr>
              <w:ind w:left="0"/>
              <w:jc w:val="left"/>
              <w:rPr>
                <w:rFonts w:ascii="Arial Narrow" w:hAnsi="Arial Narrow" w:cs="Arial"/>
                <w:b/>
                <w:bCs/>
                <w:color w:val="000000" w:themeColor="text1"/>
                <w:sz w:val="20"/>
                <w:szCs w:val="20"/>
                <w:lang w:val="en-PH" w:eastAsia="en-PH"/>
              </w:rPr>
            </w:pPr>
          </w:p>
        </w:tc>
        <w:tc>
          <w:tcPr>
            <w:tcW w:w="1716" w:type="dxa"/>
            <w:tcBorders>
              <w:top w:val="nil"/>
              <w:left w:val="nil"/>
              <w:bottom w:val="nil"/>
              <w:right w:val="nil"/>
            </w:tcBorders>
            <w:shd w:val="clear" w:color="auto" w:fill="auto"/>
            <w:noWrap/>
            <w:vAlign w:val="bottom"/>
            <w:hideMark/>
          </w:tcPr>
          <w:p w14:paraId="2C707D7C" w14:textId="77777777" w:rsidR="00240956" w:rsidRPr="009E35ED" w:rsidRDefault="00240956" w:rsidP="00240956">
            <w:pPr>
              <w:ind w:left="0"/>
              <w:jc w:val="right"/>
              <w:rPr>
                <w:rFonts w:ascii="Arial Narrow" w:hAnsi="Arial Narrow"/>
                <w:color w:val="000000" w:themeColor="text1"/>
                <w:sz w:val="20"/>
                <w:szCs w:val="20"/>
                <w:lang w:val="en-PH" w:eastAsia="en-PH"/>
              </w:rPr>
            </w:pPr>
          </w:p>
        </w:tc>
      </w:tr>
      <w:tr w:rsidR="00997F75" w:rsidRPr="009E35ED" w14:paraId="0DEAAA14" w14:textId="77777777" w:rsidTr="00C26DA1">
        <w:trPr>
          <w:trHeight w:val="285"/>
        </w:trPr>
        <w:tc>
          <w:tcPr>
            <w:tcW w:w="7286" w:type="dxa"/>
            <w:tcBorders>
              <w:top w:val="nil"/>
              <w:left w:val="nil"/>
              <w:bottom w:val="nil"/>
              <w:right w:val="nil"/>
            </w:tcBorders>
            <w:shd w:val="clear" w:color="auto" w:fill="auto"/>
            <w:hideMark/>
          </w:tcPr>
          <w:p w14:paraId="529A5BDF" w14:textId="4FD414FD" w:rsidR="00F52424" w:rsidRPr="009E35ED" w:rsidRDefault="00F52424" w:rsidP="00F52424">
            <w:pPr>
              <w:ind w:left="0"/>
              <w:jc w:val="left"/>
              <w:rPr>
                <w:rFonts w:ascii="Arial Narrow" w:hAnsi="Arial Narrow" w:cs="Arial"/>
                <w:color w:val="000000" w:themeColor="text1"/>
                <w:sz w:val="20"/>
                <w:szCs w:val="20"/>
                <w:lang w:val="en-PH" w:eastAsia="en-PH"/>
              </w:rPr>
            </w:pPr>
            <w:r w:rsidRPr="009E35ED">
              <w:rPr>
                <w:rFonts w:ascii="Arial Narrow" w:hAnsi="Arial Narrow"/>
                <w:color w:val="000000" w:themeColor="text1"/>
                <w:sz w:val="20"/>
                <w:szCs w:val="20"/>
              </w:rPr>
              <w:t xml:space="preserve">Unrestated </w:t>
            </w:r>
            <w:r w:rsidR="009C7FFC">
              <w:rPr>
                <w:rFonts w:ascii="Arial Narrow" w:hAnsi="Arial Narrow"/>
                <w:color w:val="000000" w:themeColor="text1"/>
                <w:sz w:val="20"/>
                <w:szCs w:val="20"/>
              </w:rPr>
              <w:t>a</w:t>
            </w:r>
            <w:r w:rsidRPr="009E35ED">
              <w:rPr>
                <w:rFonts w:ascii="Arial Narrow" w:hAnsi="Arial Narrow"/>
                <w:color w:val="000000" w:themeColor="text1"/>
                <w:sz w:val="20"/>
                <w:szCs w:val="20"/>
              </w:rPr>
              <w:t>mount as of December 31, 2022</w:t>
            </w:r>
          </w:p>
        </w:tc>
        <w:tc>
          <w:tcPr>
            <w:tcW w:w="1716" w:type="dxa"/>
            <w:tcBorders>
              <w:top w:val="nil"/>
              <w:left w:val="nil"/>
              <w:bottom w:val="nil"/>
              <w:right w:val="nil"/>
            </w:tcBorders>
            <w:shd w:val="clear" w:color="auto" w:fill="auto"/>
            <w:noWrap/>
            <w:hideMark/>
          </w:tcPr>
          <w:p w14:paraId="06C35042" w14:textId="32C45011" w:rsidR="00F52424" w:rsidRPr="009E35ED" w:rsidRDefault="00F52424" w:rsidP="00F52424">
            <w:pPr>
              <w:ind w:left="0"/>
              <w:jc w:val="right"/>
              <w:rPr>
                <w:rFonts w:ascii="Arial Narrow" w:hAnsi="Arial Narrow" w:cs="Arial"/>
                <w:color w:val="000000" w:themeColor="text1"/>
                <w:sz w:val="20"/>
                <w:szCs w:val="20"/>
                <w:lang w:val="en-PH" w:eastAsia="en-PH"/>
              </w:rPr>
            </w:pPr>
            <w:r w:rsidRPr="009E35ED">
              <w:rPr>
                <w:rFonts w:ascii="Arial Narrow" w:hAnsi="Arial Narrow"/>
                <w:color w:val="000000" w:themeColor="text1"/>
                <w:sz w:val="20"/>
                <w:szCs w:val="20"/>
              </w:rPr>
              <w:t xml:space="preserve"> 93,395,303 </w:t>
            </w:r>
          </w:p>
        </w:tc>
      </w:tr>
      <w:tr w:rsidR="00997F75" w:rsidRPr="009E35ED" w14:paraId="0AC308F2" w14:textId="77777777" w:rsidTr="00C26DA1">
        <w:trPr>
          <w:trHeight w:val="285"/>
        </w:trPr>
        <w:tc>
          <w:tcPr>
            <w:tcW w:w="7286" w:type="dxa"/>
            <w:tcBorders>
              <w:top w:val="nil"/>
              <w:left w:val="nil"/>
              <w:bottom w:val="nil"/>
              <w:right w:val="nil"/>
            </w:tcBorders>
            <w:shd w:val="clear" w:color="auto" w:fill="auto"/>
          </w:tcPr>
          <w:p w14:paraId="1AED7341" w14:textId="78A346A1" w:rsidR="00F52424" w:rsidRPr="009E35ED" w:rsidRDefault="00F52424" w:rsidP="00F52424">
            <w:pPr>
              <w:ind w:left="0"/>
              <w:jc w:val="left"/>
              <w:rPr>
                <w:rFonts w:ascii="Arial Narrow" w:hAnsi="Arial Narrow"/>
                <w:color w:val="000000" w:themeColor="text1"/>
                <w:sz w:val="20"/>
                <w:szCs w:val="20"/>
              </w:rPr>
            </w:pPr>
            <w:r w:rsidRPr="009E35ED">
              <w:rPr>
                <w:rFonts w:ascii="Arial Narrow" w:hAnsi="Arial Narrow"/>
                <w:color w:val="000000" w:themeColor="text1"/>
                <w:sz w:val="20"/>
                <w:szCs w:val="20"/>
              </w:rPr>
              <w:t xml:space="preserve">Adjustment/Recording of </w:t>
            </w:r>
            <w:r w:rsidR="009C7FFC">
              <w:rPr>
                <w:rFonts w:ascii="Arial Narrow" w:hAnsi="Arial Narrow"/>
                <w:color w:val="000000" w:themeColor="text1"/>
                <w:sz w:val="20"/>
                <w:szCs w:val="20"/>
              </w:rPr>
              <w:t>a</w:t>
            </w:r>
            <w:r w:rsidRPr="009E35ED">
              <w:rPr>
                <w:rFonts w:ascii="Arial Narrow" w:hAnsi="Arial Narrow"/>
                <w:color w:val="000000" w:themeColor="text1"/>
                <w:sz w:val="20"/>
                <w:szCs w:val="20"/>
              </w:rPr>
              <w:t xml:space="preserve">uditing </w:t>
            </w:r>
            <w:r w:rsidR="009C7FFC">
              <w:rPr>
                <w:rFonts w:ascii="Arial Narrow" w:hAnsi="Arial Narrow"/>
                <w:color w:val="000000" w:themeColor="text1"/>
                <w:sz w:val="20"/>
                <w:szCs w:val="20"/>
              </w:rPr>
              <w:t>s</w:t>
            </w:r>
            <w:r w:rsidRPr="009E35ED">
              <w:rPr>
                <w:rFonts w:ascii="Arial Narrow" w:hAnsi="Arial Narrow"/>
                <w:color w:val="000000" w:themeColor="text1"/>
                <w:sz w:val="20"/>
                <w:szCs w:val="20"/>
              </w:rPr>
              <w:t xml:space="preserve">ervices </w:t>
            </w:r>
            <w:r w:rsidR="009C7FFC">
              <w:rPr>
                <w:rFonts w:ascii="Arial Narrow" w:hAnsi="Arial Narrow"/>
                <w:color w:val="000000" w:themeColor="text1"/>
                <w:sz w:val="20"/>
                <w:szCs w:val="20"/>
              </w:rPr>
              <w:t>e</w:t>
            </w:r>
            <w:r w:rsidRPr="009E35ED">
              <w:rPr>
                <w:rFonts w:ascii="Arial Narrow" w:hAnsi="Arial Narrow"/>
                <w:color w:val="000000" w:themeColor="text1"/>
                <w:sz w:val="20"/>
                <w:szCs w:val="20"/>
              </w:rPr>
              <w:t>xpenses - Branch</w:t>
            </w:r>
          </w:p>
        </w:tc>
        <w:tc>
          <w:tcPr>
            <w:tcW w:w="1716" w:type="dxa"/>
            <w:tcBorders>
              <w:top w:val="nil"/>
              <w:left w:val="nil"/>
              <w:bottom w:val="nil"/>
              <w:right w:val="nil"/>
            </w:tcBorders>
            <w:shd w:val="clear" w:color="auto" w:fill="auto"/>
            <w:noWrap/>
          </w:tcPr>
          <w:p w14:paraId="226B55B0" w14:textId="340D885A" w:rsidR="00F52424" w:rsidRPr="009E35ED" w:rsidRDefault="00F52424" w:rsidP="00F52424">
            <w:pPr>
              <w:ind w:left="0"/>
              <w:jc w:val="right"/>
              <w:rPr>
                <w:rFonts w:ascii="Arial Narrow" w:hAnsi="Arial Narrow"/>
                <w:color w:val="000000" w:themeColor="text1"/>
                <w:sz w:val="20"/>
                <w:szCs w:val="20"/>
              </w:rPr>
            </w:pPr>
            <w:r w:rsidRPr="009E35ED">
              <w:rPr>
                <w:rFonts w:ascii="Arial Narrow" w:hAnsi="Arial Narrow"/>
                <w:color w:val="000000" w:themeColor="text1"/>
                <w:sz w:val="20"/>
                <w:szCs w:val="20"/>
              </w:rPr>
              <w:t xml:space="preserve"> 2,450 </w:t>
            </w:r>
          </w:p>
        </w:tc>
      </w:tr>
      <w:tr w:rsidR="00997F75" w:rsidRPr="009E35ED" w14:paraId="3CD07185" w14:textId="77777777" w:rsidTr="00C26DA1">
        <w:trPr>
          <w:trHeight w:val="285"/>
        </w:trPr>
        <w:tc>
          <w:tcPr>
            <w:tcW w:w="7286" w:type="dxa"/>
            <w:tcBorders>
              <w:top w:val="nil"/>
              <w:left w:val="nil"/>
              <w:bottom w:val="nil"/>
              <w:right w:val="nil"/>
            </w:tcBorders>
            <w:shd w:val="clear" w:color="auto" w:fill="auto"/>
          </w:tcPr>
          <w:p w14:paraId="5B5F96FC" w14:textId="05D509CF" w:rsidR="00F52424" w:rsidRPr="009E35ED" w:rsidRDefault="00F52424" w:rsidP="00F52424">
            <w:pPr>
              <w:ind w:left="0"/>
              <w:jc w:val="left"/>
              <w:rPr>
                <w:rFonts w:ascii="Arial Narrow" w:hAnsi="Arial Narrow" w:cs="Arial"/>
                <w:color w:val="000000" w:themeColor="text1"/>
                <w:sz w:val="20"/>
                <w:szCs w:val="20"/>
                <w:lang w:val="en-PH" w:eastAsia="en-PH"/>
              </w:rPr>
            </w:pPr>
            <w:r w:rsidRPr="009E35ED">
              <w:rPr>
                <w:rFonts w:ascii="Arial Narrow" w:hAnsi="Arial Narrow"/>
                <w:color w:val="000000" w:themeColor="text1"/>
                <w:sz w:val="20"/>
                <w:szCs w:val="20"/>
              </w:rPr>
              <w:t xml:space="preserve">Adjustment/Recording of </w:t>
            </w:r>
            <w:r w:rsidR="009C7FFC">
              <w:rPr>
                <w:rFonts w:ascii="Arial Narrow" w:hAnsi="Arial Narrow"/>
                <w:color w:val="000000" w:themeColor="text1"/>
                <w:sz w:val="20"/>
                <w:szCs w:val="20"/>
              </w:rPr>
              <w:t>a</w:t>
            </w:r>
            <w:r w:rsidRPr="009E35ED">
              <w:rPr>
                <w:rFonts w:ascii="Arial Narrow" w:hAnsi="Arial Narrow"/>
                <w:color w:val="000000" w:themeColor="text1"/>
                <w:sz w:val="20"/>
                <w:szCs w:val="20"/>
              </w:rPr>
              <w:t xml:space="preserve">uditing </w:t>
            </w:r>
            <w:r w:rsidR="009C7FFC">
              <w:rPr>
                <w:rFonts w:ascii="Arial Narrow" w:hAnsi="Arial Narrow"/>
                <w:color w:val="000000" w:themeColor="text1"/>
                <w:sz w:val="20"/>
                <w:szCs w:val="20"/>
              </w:rPr>
              <w:t>s</w:t>
            </w:r>
            <w:r w:rsidRPr="009E35ED">
              <w:rPr>
                <w:rFonts w:ascii="Arial Narrow" w:hAnsi="Arial Narrow"/>
                <w:color w:val="000000" w:themeColor="text1"/>
                <w:sz w:val="20"/>
                <w:szCs w:val="20"/>
              </w:rPr>
              <w:t xml:space="preserve">ervices </w:t>
            </w:r>
            <w:r w:rsidR="009C7FFC">
              <w:rPr>
                <w:rFonts w:ascii="Arial Narrow" w:hAnsi="Arial Narrow"/>
                <w:color w:val="000000" w:themeColor="text1"/>
                <w:sz w:val="20"/>
                <w:szCs w:val="20"/>
              </w:rPr>
              <w:t>e</w:t>
            </w:r>
            <w:r w:rsidRPr="009E35ED">
              <w:rPr>
                <w:rFonts w:ascii="Arial Narrow" w:hAnsi="Arial Narrow"/>
                <w:color w:val="000000" w:themeColor="text1"/>
                <w:sz w:val="20"/>
                <w:szCs w:val="20"/>
              </w:rPr>
              <w:t>xpenses - Head Office</w:t>
            </w:r>
          </w:p>
        </w:tc>
        <w:tc>
          <w:tcPr>
            <w:tcW w:w="1716" w:type="dxa"/>
            <w:tcBorders>
              <w:top w:val="nil"/>
              <w:left w:val="nil"/>
              <w:bottom w:val="nil"/>
              <w:right w:val="nil"/>
            </w:tcBorders>
            <w:shd w:val="clear" w:color="auto" w:fill="auto"/>
            <w:noWrap/>
          </w:tcPr>
          <w:p w14:paraId="7D3030E3" w14:textId="2CB88AE5" w:rsidR="00F52424" w:rsidRPr="009E35ED" w:rsidRDefault="00F52424" w:rsidP="00F52424">
            <w:pPr>
              <w:ind w:left="0"/>
              <w:jc w:val="right"/>
              <w:rPr>
                <w:rFonts w:ascii="Arial Narrow" w:hAnsi="Arial Narrow" w:cs="Arial"/>
                <w:color w:val="000000" w:themeColor="text1"/>
                <w:sz w:val="20"/>
                <w:szCs w:val="20"/>
                <w:lang w:val="en-PH" w:eastAsia="en-PH"/>
              </w:rPr>
            </w:pPr>
            <w:r w:rsidRPr="009E35ED">
              <w:rPr>
                <w:rFonts w:ascii="Arial Narrow" w:hAnsi="Arial Narrow"/>
                <w:color w:val="000000" w:themeColor="text1"/>
                <w:sz w:val="20"/>
                <w:szCs w:val="20"/>
              </w:rPr>
              <w:t xml:space="preserve"> 13,585 </w:t>
            </w:r>
          </w:p>
        </w:tc>
      </w:tr>
      <w:tr w:rsidR="00997F75" w:rsidRPr="009E35ED" w14:paraId="56A017F6" w14:textId="77777777" w:rsidTr="00C26DA1">
        <w:trPr>
          <w:trHeight w:val="75"/>
        </w:trPr>
        <w:tc>
          <w:tcPr>
            <w:tcW w:w="7286" w:type="dxa"/>
            <w:tcBorders>
              <w:top w:val="nil"/>
              <w:left w:val="nil"/>
              <w:bottom w:val="nil"/>
              <w:right w:val="nil"/>
            </w:tcBorders>
            <w:shd w:val="clear" w:color="auto" w:fill="auto"/>
            <w:hideMark/>
          </w:tcPr>
          <w:p w14:paraId="7E8B7A48" w14:textId="27C24434" w:rsidR="00F52424" w:rsidRPr="009E35ED" w:rsidRDefault="00F52424" w:rsidP="00F52424">
            <w:pPr>
              <w:ind w:left="0"/>
              <w:jc w:val="left"/>
              <w:rPr>
                <w:rFonts w:ascii="Arial Narrow" w:hAnsi="Arial Narrow" w:cs="Arial"/>
                <w:color w:val="000000" w:themeColor="text1"/>
                <w:sz w:val="20"/>
                <w:szCs w:val="20"/>
                <w:lang w:val="en-PH" w:eastAsia="en-PH"/>
              </w:rPr>
            </w:pPr>
            <w:r w:rsidRPr="009E35ED">
              <w:rPr>
                <w:rFonts w:ascii="Arial Narrow" w:hAnsi="Arial Narrow"/>
                <w:color w:val="000000" w:themeColor="text1"/>
                <w:sz w:val="20"/>
                <w:szCs w:val="20"/>
              </w:rPr>
              <w:t xml:space="preserve">Adjustment/Recording of </w:t>
            </w:r>
            <w:r w:rsidR="009C7FFC">
              <w:rPr>
                <w:rFonts w:ascii="Arial Narrow" w:hAnsi="Arial Narrow"/>
                <w:color w:val="000000" w:themeColor="text1"/>
                <w:sz w:val="20"/>
                <w:szCs w:val="20"/>
              </w:rPr>
              <w:t>l</w:t>
            </w:r>
            <w:r w:rsidRPr="009E35ED">
              <w:rPr>
                <w:rFonts w:ascii="Arial Narrow" w:hAnsi="Arial Narrow"/>
                <w:color w:val="000000" w:themeColor="text1"/>
                <w:sz w:val="20"/>
                <w:szCs w:val="20"/>
              </w:rPr>
              <w:t xml:space="preserve">egal </w:t>
            </w:r>
            <w:r w:rsidR="009C7FFC">
              <w:rPr>
                <w:rFonts w:ascii="Arial Narrow" w:hAnsi="Arial Narrow"/>
                <w:color w:val="000000" w:themeColor="text1"/>
                <w:sz w:val="20"/>
                <w:szCs w:val="20"/>
              </w:rPr>
              <w:t>s</w:t>
            </w:r>
            <w:r w:rsidRPr="009E35ED">
              <w:rPr>
                <w:rFonts w:ascii="Arial Narrow" w:hAnsi="Arial Narrow"/>
                <w:color w:val="000000" w:themeColor="text1"/>
                <w:sz w:val="20"/>
                <w:szCs w:val="20"/>
              </w:rPr>
              <w:t xml:space="preserve">ervices </w:t>
            </w:r>
            <w:r w:rsidR="009C7FFC">
              <w:rPr>
                <w:rFonts w:ascii="Arial Narrow" w:hAnsi="Arial Narrow"/>
                <w:color w:val="000000" w:themeColor="text1"/>
                <w:sz w:val="20"/>
                <w:szCs w:val="20"/>
              </w:rPr>
              <w:t>e</w:t>
            </w:r>
            <w:r w:rsidRPr="009E35ED">
              <w:rPr>
                <w:rFonts w:ascii="Arial Narrow" w:hAnsi="Arial Narrow"/>
                <w:color w:val="000000" w:themeColor="text1"/>
                <w:sz w:val="20"/>
                <w:szCs w:val="20"/>
              </w:rPr>
              <w:t>xpenses - Branch</w:t>
            </w:r>
          </w:p>
        </w:tc>
        <w:tc>
          <w:tcPr>
            <w:tcW w:w="1716" w:type="dxa"/>
            <w:tcBorders>
              <w:top w:val="nil"/>
              <w:left w:val="nil"/>
              <w:bottom w:val="nil"/>
              <w:right w:val="nil"/>
            </w:tcBorders>
            <w:shd w:val="clear" w:color="auto" w:fill="auto"/>
            <w:noWrap/>
            <w:hideMark/>
          </w:tcPr>
          <w:p w14:paraId="47DF2520" w14:textId="56A3CA04" w:rsidR="00F52424" w:rsidRPr="009E35ED" w:rsidRDefault="00F52424" w:rsidP="00F52424">
            <w:pPr>
              <w:ind w:left="0"/>
              <w:jc w:val="right"/>
              <w:rPr>
                <w:rFonts w:ascii="Arial Narrow" w:hAnsi="Arial Narrow" w:cs="Arial"/>
                <w:color w:val="000000" w:themeColor="text1"/>
                <w:sz w:val="20"/>
                <w:szCs w:val="20"/>
                <w:lang w:val="en-PH" w:eastAsia="en-PH"/>
              </w:rPr>
            </w:pPr>
            <w:r w:rsidRPr="009E35ED">
              <w:rPr>
                <w:rFonts w:ascii="Arial Narrow" w:hAnsi="Arial Narrow"/>
                <w:color w:val="000000" w:themeColor="text1"/>
                <w:sz w:val="20"/>
                <w:szCs w:val="20"/>
              </w:rPr>
              <w:t xml:space="preserve">(1,000) </w:t>
            </w:r>
          </w:p>
        </w:tc>
      </w:tr>
      <w:tr w:rsidR="00997F75" w:rsidRPr="009E35ED" w14:paraId="72E5E7FA" w14:textId="77777777" w:rsidTr="00C26DA1">
        <w:trPr>
          <w:trHeight w:val="75"/>
        </w:trPr>
        <w:tc>
          <w:tcPr>
            <w:tcW w:w="7286" w:type="dxa"/>
            <w:tcBorders>
              <w:top w:val="nil"/>
              <w:left w:val="nil"/>
              <w:bottom w:val="nil"/>
              <w:right w:val="nil"/>
            </w:tcBorders>
            <w:shd w:val="clear" w:color="auto" w:fill="auto"/>
            <w:hideMark/>
          </w:tcPr>
          <w:p w14:paraId="56C42251" w14:textId="724E456D" w:rsidR="00F52424" w:rsidRPr="009E35ED" w:rsidRDefault="00F52424" w:rsidP="00F52424">
            <w:pPr>
              <w:ind w:left="0"/>
              <w:jc w:val="left"/>
              <w:rPr>
                <w:rFonts w:ascii="Arial Narrow" w:hAnsi="Arial Narrow" w:cs="Arial"/>
                <w:color w:val="000000" w:themeColor="text1"/>
                <w:sz w:val="20"/>
                <w:szCs w:val="20"/>
                <w:lang w:val="en-PH" w:eastAsia="en-PH"/>
              </w:rPr>
            </w:pPr>
            <w:r w:rsidRPr="009E35ED">
              <w:rPr>
                <w:rFonts w:ascii="Arial Narrow" w:hAnsi="Arial Narrow"/>
                <w:color w:val="000000" w:themeColor="text1"/>
                <w:sz w:val="20"/>
                <w:szCs w:val="20"/>
              </w:rPr>
              <w:t xml:space="preserve">Adjustment/Recording of </w:t>
            </w:r>
            <w:r w:rsidR="009C7FFC">
              <w:rPr>
                <w:rFonts w:ascii="Arial Narrow" w:hAnsi="Arial Narrow"/>
                <w:color w:val="000000" w:themeColor="text1"/>
                <w:sz w:val="20"/>
                <w:szCs w:val="20"/>
              </w:rPr>
              <w:t>o</w:t>
            </w:r>
            <w:r w:rsidRPr="009E35ED">
              <w:rPr>
                <w:rFonts w:ascii="Arial Narrow" w:hAnsi="Arial Narrow"/>
                <w:color w:val="000000" w:themeColor="text1"/>
                <w:sz w:val="20"/>
                <w:szCs w:val="20"/>
              </w:rPr>
              <w:t xml:space="preserve">ther </w:t>
            </w:r>
            <w:r w:rsidR="009C7FFC">
              <w:rPr>
                <w:rFonts w:ascii="Arial Narrow" w:hAnsi="Arial Narrow"/>
                <w:color w:val="000000" w:themeColor="text1"/>
                <w:sz w:val="20"/>
                <w:szCs w:val="20"/>
              </w:rPr>
              <w:t>p</w:t>
            </w:r>
            <w:r w:rsidRPr="009E35ED">
              <w:rPr>
                <w:rFonts w:ascii="Arial Narrow" w:hAnsi="Arial Narrow"/>
                <w:color w:val="000000" w:themeColor="text1"/>
                <w:sz w:val="20"/>
                <w:szCs w:val="20"/>
              </w:rPr>
              <w:t>rofessional</w:t>
            </w:r>
            <w:r w:rsidR="009C7FFC">
              <w:rPr>
                <w:rFonts w:ascii="Arial Narrow" w:hAnsi="Arial Narrow"/>
                <w:color w:val="000000" w:themeColor="text1"/>
                <w:sz w:val="20"/>
                <w:szCs w:val="20"/>
              </w:rPr>
              <w:t xml:space="preserve"> s</w:t>
            </w:r>
            <w:r w:rsidRPr="009E35ED">
              <w:rPr>
                <w:rFonts w:ascii="Arial Narrow" w:hAnsi="Arial Narrow"/>
                <w:color w:val="000000" w:themeColor="text1"/>
                <w:sz w:val="20"/>
                <w:szCs w:val="20"/>
              </w:rPr>
              <w:t>ervices - Head Office</w:t>
            </w:r>
          </w:p>
        </w:tc>
        <w:tc>
          <w:tcPr>
            <w:tcW w:w="1716" w:type="dxa"/>
            <w:tcBorders>
              <w:top w:val="nil"/>
              <w:left w:val="nil"/>
              <w:bottom w:val="nil"/>
              <w:right w:val="nil"/>
            </w:tcBorders>
            <w:shd w:val="clear" w:color="auto" w:fill="auto"/>
            <w:noWrap/>
            <w:hideMark/>
          </w:tcPr>
          <w:p w14:paraId="3D65511F" w14:textId="1C032546" w:rsidR="00F52424" w:rsidRPr="009E35ED" w:rsidRDefault="00F52424" w:rsidP="00F52424">
            <w:pPr>
              <w:ind w:left="0"/>
              <w:jc w:val="right"/>
              <w:rPr>
                <w:rFonts w:ascii="Arial Narrow" w:hAnsi="Arial Narrow" w:cs="Arial"/>
                <w:color w:val="000000" w:themeColor="text1"/>
                <w:sz w:val="20"/>
                <w:szCs w:val="20"/>
                <w:lang w:val="en-PH" w:eastAsia="en-PH"/>
              </w:rPr>
            </w:pPr>
            <w:r w:rsidRPr="009E35ED">
              <w:rPr>
                <w:rFonts w:ascii="Arial Narrow" w:hAnsi="Arial Narrow"/>
                <w:color w:val="000000" w:themeColor="text1"/>
                <w:sz w:val="20"/>
                <w:szCs w:val="20"/>
              </w:rPr>
              <w:t xml:space="preserve"> (81,000)</w:t>
            </w:r>
          </w:p>
        </w:tc>
      </w:tr>
      <w:tr w:rsidR="00997F75" w:rsidRPr="009E35ED" w14:paraId="512ACCE7" w14:textId="77777777" w:rsidTr="00C26DA1">
        <w:trPr>
          <w:trHeight w:val="98"/>
        </w:trPr>
        <w:tc>
          <w:tcPr>
            <w:tcW w:w="7286" w:type="dxa"/>
            <w:tcBorders>
              <w:top w:val="single" w:sz="4" w:space="0" w:color="auto"/>
              <w:left w:val="nil"/>
              <w:bottom w:val="double" w:sz="6" w:space="0" w:color="auto"/>
              <w:right w:val="nil"/>
            </w:tcBorders>
            <w:shd w:val="clear" w:color="auto" w:fill="auto"/>
            <w:hideMark/>
          </w:tcPr>
          <w:p w14:paraId="79015A3A" w14:textId="5364A201" w:rsidR="00F52424" w:rsidRPr="009E35ED" w:rsidRDefault="00F52424" w:rsidP="00F52424">
            <w:pPr>
              <w:ind w:left="0"/>
              <w:jc w:val="left"/>
              <w:rPr>
                <w:rFonts w:ascii="Arial Narrow" w:hAnsi="Arial Narrow" w:cs="Arial"/>
                <w:b/>
                <w:bCs/>
                <w:color w:val="000000" w:themeColor="text1"/>
                <w:sz w:val="20"/>
                <w:szCs w:val="20"/>
                <w:lang w:val="en-PH" w:eastAsia="en-PH"/>
              </w:rPr>
            </w:pPr>
            <w:r w:rsidRPr="009E35ED">
              <w:rPr>
                <w:rFonts w:ascii="Arial Narrow" w:hAnsi="Arial Narrow"/>
                <w:b/>
                <w:bCs/>
                <w:color w:val="000000" w:themeColor="text1"/>
                <w:sz w:val="20"/>
                <w:szCs w:val="20"/>
              </w:rPr>
              <w:t>Restated Amount as of December 31, 2022 - Professional Services (Operating Fund)</w:t>
            </w:r>
          </w:p>
        </w:tc>
        <w:tc>
          <w:tcPr>
            <w:tcW w:w="1716" w:type="dxa"/>
            <w:tcBorders>
              <w:top w:val="single" w:sz="4" w:space="0" w:color="auto"/>
              <w:left w:val="nil"/>
              <w:bottom w:val="double" w:sz="6" w:space="0" w:color="auto"/>
              <w:right w:val="nil"/>
            </w:tcBorders>
            <w:shd w:val="clear" w:color="auto" w:fill="auto"/>
            <w:noWrap/>
            <w:hideMark/>
          </w:tcPr>
          <w:p w14:paraId="43EF5F60" w14:textId="168EB6D4" w:rsidR="00F52424" w:rsidRPr="009E35ED" w:rsidRDefault="00F52424" w:rsidP="00CA106D">
            <w:pPr>
              <w:ind w:left="0"/>
              <w:jc w:val="right"/>
              <w:rPr>
                <w:rFonts w:ascii="Arial Narrow" w:hAnsi="Arial Narrow" w:cs="Arial"/>
                <w:b/>
                <w:bCs/>
                <w:color w:val="000000" w:themeColor="text1"/>
                <w:sz w:val="20"/>
                <w:szCs w:val="20"/>
                <w:lang w:val="en-PH" w:eastAsia="en-PH"/>
              </w:rPr>
            </w:pPr>
            <w:r w:rsidRPr="009E35ED">
              <w:rPr>
                <w:rFonts w:ascii="Arial Narrow" w:hAnsi="Arial Narrow"/>
                <w:b/>
                <w:bCs/>
                <w:color w:val="000000" w:themeColor="text1"/>
                <w:sz w:val="20"/>
                <w:szCs w:val="20"/>
              </w:rPr>
              <w:t xml:space="preserve"> 93,329,338 </w:t>
            </w:r>
          </w:p>
        </w:tc>
      </w:tr>
      <w:tr w:rsidR="00997F75" w:rsidRPr="009E35ED" w14:paraId="2E1615F0" w14:textId="77777777" w:rsidTr="00C26DA1">
        <w:trPr>
          <w:trHeight w:val="300"/>
        </w:trPr>
        <w:tc>
          <w:tcPr>
            <w:tcW w:w="7286" w:type="dxa"/>
            <w:tcBorders>
              <w:top w:val="nil"/>
              <w:left w:val="nil"/>
              <w:bottom w:val="nil"/>
              <w:right w:val="nil"/>
            </w:tcBorders>
            <w:shd w:val="clear" w:color="auto" w:fill="auto"/>
            <w:vAlign w:val="bottom"/>
            <w:hideMark/>
          </w:tcPr>
          <w:p w14:paraId="72038A63" w14:textId="77777777" w:rsidR="00240956" w:rsidRPr="009E35ED" w:rsidRDefault="00240956" w:rsidP="00240956">
            <w:pPr>
              <w:ind w:left="0"/>
              <w:jc w:val="left"/>
              <w:rPr>
                <w:rFonts w:ascii="Arial Narrow" w:hAnsi="Arial Narrow" w:cs="Arial"/>
                <w:b/>
                <w:bCs/>
                <w:color w:val="000000" w:themeColor="text1"/>
                <w:sz w:val="20"/>
                <w:szCs w:val="20"/>
                <w:lang w:val="en-PH" w:eastAsia="en-PH"/>
              </w:rPr>
            </w:pPr>
          </w:p>
        </w:tc>
        <w:tc>
          <w:tcPr>
            <w:tcW w:w="1716" w:type="dxa"/>
            <w:tcBorders>
              <w:top w:val="nil"/>
              <w:left w:val="nil"/>
              <w:bottom w:val="nil"/>
              <w:right w:val="nil"/>
            </w:tcBorders>
            <w:shd w:val="clear" w:color="auto" w:fill="auto"/>
            <w:noWrap/>
            <w:vAlign w:val="bottom"/>
            <w:hideMark/>
          </w:tcPr>
          <w:p w14:paraId="0CE0FB51" w14:textId="77777777" w:rsidR="00240956" w:rsidRPr="009E35ED" w:rsidRDefault="00240956" w:rsidP="00240956">
            <w:pPr>
              <w:ind w:left="0"/>
              <w:jc w:val="right"/>
              <w:rPr>
                <w:rFonts w:ascii="Arial Narrow" w:hAnsi="Arial Narrow"/>
                <w:color w:val="000000" w:themeColor="text1"/>
                <w:sz w:val="20"/>
                <w:szCs w:val="20"/>
                <w:lang w:val="en-PH" w:eastAsia="en-PH"/>
              </w:rPr>
            </w:pPr>
          </w:p>
        </w:tc>
      </w:tr>
      <w:tr w:rsidR="00997F75" w:rsidRPr="009E35ED" w14:paraId="6467DC81" w14:textId="77777777" w:rsidTr="00C26DA1">
        <w:trPr>
          <w:trHeight w:val="285"/>
        </w:trPr>
        <w:tc>
          <w:tcPr>
            <w:tcW w:w="7286" w:type="dxa"/>
            <w:tcBorders>
              <w:top w:val="nil"/>
              <w:left w:val="nil"/>
              <w:bottom w:val="nil"/>
              <w:right w:val="nil"/>
            </w:tcBorders>
            <w:shd w:val="clear" w:color="auto" w:fill="auto"/>
            <w:hideMark/>
          </w:tcPr>
          <w:p w14:paraId="205464EB" w14:textId="3FCA4BE7" w:rsidR="00EE0C3F" w:rsidRPr="009E35ED" w:rsidRDefault="00EE0C3F" w:rsidP="00EE0C3F">
            <w:pPr>
              <w:ind w:left="0"/>
              <w:jc w:val="left"/>
              <w:rPr>
                <w:rFonts w:ascii="Arial Narrow" w:hAnsi="Arial Narrow" w:cs="Arial"/>
                <w:color w:val="000000" w:themeColor="text1"/>
                <w:sz w:val="20"/>
                <w:szCs w:val="20"/>
                <w:lang w:val="en-PH" w:eastAsia="en-PH"/>
              </w:rPr>
            </w:pPr>
            <w:r w:rsidRPr="009E35ED">
              <w:rPr>
                <w:rFonts w:ascii="Arial Narrow" w:hAnsi="Arial Narrow"/>
                <w:color w:val="000000" w:themeColor="text1"/>
                <w:sz w:val="20"/>
                <w:szCs w:val="20"/>
              </w:rPr>
              <w:t xml:space="preserve">Unrestated </w:t>
            </w:r>
            <w:r w:rsidR="009C7FFC">
              <w:rPr>
                <w:rFonts w:ascii="Arial Narrow" w:hAnsi="Arial Narrow"/>
                <w:color w:val="000000" w:themeColor="text1"/>
                <w:sz w:val="20"/>
                <w:szCs w:val="20"/>
              </w:rPr>
              <w:t>a</w:t>
            </w:r>
            <w:r w:rsidRPr="009E35ED">
              <w:rPr>
                <w:rFonts w:ascii="Arial Narrow" w:hAnsi="Arial Narrow"/>
                <w:color w:val="000000" w:themeColor="text1"/>
                <w:sz w:val="20"/>
                <w:szCs w:val="20"/>
              </w:rPr>
              <w:t>mount as of December 31, 2022</w:t>
            </w:r>
          </w:p>
        </w:tc>
        <w:tc>
          <w:tcPr>
            <w:tcW w:w="1716" w:type="dxa"/>
            <w:tcBorders>
              <w:top w:val="nil"/>
              <w:left w:val="nil"/>
              <w:bottom w:val="nil"/>
              <w:right w:val="nil"/>
            </w:tcBorders>
            <w:shd w:val="clear" w:color="auto" w:fill="auto"/>
            <w:noWrap/>
            <w:hideMark/>
          </w:tcPr>
          <w:p w14:paraId="60B03ED8" w14:textId="295B93E4" w:rsidR="00EE0C3F" w:rsidRPr="009E35ED" w:rsidRDefault="00EE0C3F" w:rsidP="00EE0C3F">
            <w:pPr>
              <w:ind w:left="0"/>
              <w:jc w:val="right"/>
              <w:rPr>
                <w:rFonts w:ascii="Arial Narrow" w:hAnsi="Arial Narrow" w:cs="Arial"/>
                <w:color w:val="000000" w:themeColor="text1"/>
                <w:sz w:val="20"/>
                <w:szCs w:val="20"/>
                <w:lang w:val="en-PH" w:eastAsia="en-PH"/>
              </w:rPr>
            </w:pPr>
            <w:r w:rsidRPr="009E35ED">
              <w:rPr>
                <w:rFonts w:ascii="Arial Narrow" w:hAnsi="Arial Narrow"/>
                <w:color w:val="000000" w:themeColor="text1"/>
                <w:sz w:val="20"/>
                <w:szCs w:val="20"/>
              </w:rPr>
              <w:t xml:space="preserve"> 7,040,226 </w:t>
            </w:r>
          </w:p>
        </w:tc>
      </w:tr>
      <w:tr w:rsidR="00997F75" w:rsidRPr="009E35ED" w14:paraId="5E89B240" w14:textId="77777777" w:rsidTr="00C26DA1">
        <w:trPr>
          <w:trHeight w:val="285"/>
        </w:trPr>
        <w:tc>
          <w:tcPr>
            <w:tcW w:w="7286" w:type="dxa"/>
            <w:tcBorders>
              <w:top w:val="nil"/>
              <w:left w:val="nil"/>
              <w:bottom w:val="nil"/>
              <w:right w:val="nil"/>
            </w:tcBorders>
            <w:shd w:val="clear" w:color="auto" w:fill="auto"/>
          </w:tcPr>
          <w:p w14:paraId="39C48031" w14:textId="5080B197" w:rsidR="00EE0C3F" w:rsidRPr="009E35ED" w:rsidRDefault="00EE0C3F" w:rsidP="00EE0C3F">
            <w:pPr>
              <w:ind w:left="0"/>
              <w:jc w:val="left"/>
              <w:rPr>
                <w:rFonts w:ascii="Arial Narrow" w:hAnsi="Arial Narrow" w:cs="Arial"/>
                <w:color w:val="000000" w:themeColor="text1"/>
                <w:sz w:val="20"/>
                <w:szCs w:val="20"/>
                <w:lang w:val="en-PH" w:eastAsia="en-PH"/>
              </w:rPr>
            </w:pPr>
            <w:r w:rsidRPr="009E35ED">
              <w:rPr>
                <w:rFonts w:ascii="Arial Narrow" w:hAnsi="Arial Narrow"/>
                <w:color w:val="000000" w:themeColor="text1"/>
                <w:sz w:val="20"/>
                <w:szCs w:val="20"/>
              </w:rPr>
              <w:t xml:space="preserve">Adjustment/Recording of </w:t>
            </w:r>
            <w:r w:rsidR="009C7FFC">
              <w:rPr>
                <w:rFonts w:ascii="Arial Narrow" w:hAnsi="Arial Narrow"/>
                <w:color w:val="000000" w:themeColor="text1"/>
                <w:sz w:val="20"/>
                <w:szCs w:val="20"/>
              </w:rPr>
              <w:t>r</w:t>
            </w:r>
            <w:r w:rsidRPr="009E35ED">
              <w:rPr>
                <w:rFonts w:ascii="Arial Narrow" w:hAnsi="Arial Narrow"/>
                <w:color w:val="000000" w:themeColor="text1"/>
                <w:sz w:val="20"/>
                <w:szCs w:val="20"/>
              </w:rPr>
              <w:t xml:space="preserve">epairs &amp; </w:t>
            </w:r>
            <w:r w:rsidR="009C7FFC">
              <w:rPr>
                <w:rFonts w:ascii="Arial Narrow" w:hAnsi="Arial Narrow"/>
                <w:color w:val="000000" w:themeColor="text1"/>
                <w:sz w:val="20"/>
                <w:szCs w:val="20"/>
              </w:rPr>
              <w:t>m</w:t>
            </w:r>
            <w:r w:rsidRPr="009E35ED">
              <w:rPr>
                <w:rFonts w:ascii="Arial Narrow" w:hAnsi="Arial Narrow"/>
                <w:color w:val="000000" w:themeColor="text1"/>
                <w:sz w:val="20"/>
                <w:szCs w:val="20"/>
              </w:rPr>
              <w:t>aintenance-</w:t>
            </w:r>
            <w:r w:rsidR="009C7FFC">
              <w:rPr>
                <w:rFonts w:ascii="Arial Narrow" w:hAnsi="Arial Narrow"/>
                <w:color w:val="000000" w:themeColor="text1"/>
                <w:sz w:val="20"/>
                <w:szCs w:val="20"/>
              </w:rPr>
              <w:t>m</w:t>
            </w:r>
            <w:r w:rsidRPr="009E35ED">
              <w:rPr>
                <w:rFonts w:ascii="Arial Narrow" w:hAnsi="Arial Narrow"/>
                <w:color w:val="000000" w:themeColor="text1"/>
                <w:sz w:val="20"/>
                <w:szCs w:val="20"/>
              </w:rPr>
              <w:t xml:space="preserve">otor </w:t>
            </w:r>
            <w:r w:rsidR="009C7FFC">
              <w:rPr>
                <w:rFonts w:ascii="Arial Narrow" w:hAnsi="Arial Narrow"/>
                <w:color w:val="000000" w:themeColor="text1"/>
                <w:sz w:val="20"/>
                <w:szCs w:val="20"/>
              </w:rPr>
              <w:t>v</w:t>
            </w:r>
            <w:r w:rsidRPr="009E35ED">
              <w:rPr>
                <w:rFonts w:ascii="Arial Narrow" w:hAnsi="Arial Narrow"/>
                <w:color w:val="000000" w:themeColor="text1"/>
                <w:sz w:val="20"/>
                <w:szCs w:val="20"/>
              </w:rPr>
              <w:t>ehicles - Branch</w:t>
            </w:r>
          </w:p>
        </w:tc>
        <w:tc>
          <w:tcPr>
            <w:tcW w:w="1716" w:type="dxa"/>
            <w:tcBorders>
              <w:top w:val="nil"/>
              <w:left w:val="nil"/>
              <w:bottom w:val="nil"/>
              <w:right w:val="nil"/>
            </w:tcBorders>
            <w:shd w:val="clear" w:color="auto" w:fill="auto"/>
            <w:noWrap/>
          </w:tcPr>
          <w:p w14:paraId="4276B1A4" w14:textId="12467DE6" w:rsidR="00EE0C3F" w:rsidRPr="009E35ED" w:rsidRDefault="00EE0C3F" w:rsidP="00EE0C3F">
            <w:pPr>
              <w:ind w:left="0"/>
              <w:jc w:val="right"/>
              <w:rPr>
                <w:rFonts w:ascii="Arial Narrow" w:hAnsi="Arial Narrow" w:cs="Arial"/>
                <w:color w:val="000000" w:themeColor="text1"/>
                <w:sz w:val="20"/>
                <w:szCs w:val="20"/>
                <w:lang w:val="en-PH" w:eastAsia="en-PH"/>
              </w:rPr>
            </w:pPr>
            <w:r w:rsidRPr="009E35ED">
              <w:rPr>
                <w:rFonts w:ascii="Arial Narrow" w:hAnsi="Arial Narrow"/>
                <w:color w:val="000000" w:themeColor="text1"/>
                <w:sz w:val="20"/>
                <w:szCs w:val="20"/>
              </w:rPr>
              <w:t xml:space="preserve"> 71,900.00 </w:t>
            </w:r>
          </w:p>
        </w:tc>
      </w:tr>
      <w:tr w:rsidR="00997F75" w:rsidRPr="009E35ED" w14:paraId="0452157F" w14:textId="77777777" w:rsidTr="00C26DA1">
        <w:trPr>
          <w:trHeight w:val="285"/>
        </w:trPr>
        <w:tc>
          <w:tcPr>
            <w:tcW w:w="7286" w:type="dxa"/>
            <w:tcBorders>
              <w:top w:val="nil"/>
              <w:left w:val="nil"/>
              <w:bottom w:val="nil"/>
              <w:right w:val="nil"/>
            </w:tcBorders>
            <w:shd w:val="clear" w:color="auto" w:fill="auto"/>
          </w:tcPr>
          <w:p w14:paraId="0B52B1D1" w14:textId="3916E1AC" w:rsidR="00EE0C3F" w:rsidRPr="009E35ED" w:rsidRDefault="00EE0C3F" w:rsidP="00EE0C3F">
            <w:pPr>
              <w:ind w:left="0"/>
              <w:jc w:val="left"/>
              <w:rPr>
                <w:rFonts w:ascii="Arial Narrow" w:hAnsi="Arial Narrow" w:cs="Arial"/>
                <w:color w:val="000000" w:themeColor="text1"/>
                <w:sz w:val="20"/>
                <w:szCs w:val="20"/>
                <w:lang w:val="en-PH" w:eastAsia="en-PH"/>
              </w:rPr>
            </w:pPr>
            <w:r w:rsidRPr="009E35ED">
              <w:rPr>
                <w:rFonts w:ascii="Arial Narrow" w:hAnsi="Arial Narrow"/>
                <w:color w:val="000000" w:themeColor="text1"/>
                <w:sz w:val="20"/>
                <w:szCs w:val="20"/>
              </w:rPr>
              <w:t xml:space="preserve">Adjustment/Recording of </w:t>
            </w:r>
            <w:r w:rsidR="009C7FFC">
              <w:rPr>
                <w:rFonts w:ascii="Arial Narrow" w:hAnsi="Arial Narrow"/>
                <w:color w:val="000000" w:themeColor="text1"/>
                <w:sz w:val="20"/>
                <w:szCs w:val="20"/>
              </w:rPr>
              <w:t>r</w:t>
            </w:r>
            <w:r w:rsidRPr="009E35ED">
              <w:rPr>
                <w:rFonts w:ascii="Arial Narrow" w:hAnsi="Arial Narrow"/>
                <w:color w:val="000000" w:themeColor="text1"/>
                <w:sz w:val="20"/>
                <w:szCs w:val="20"/>
              </w:rPr>
              <w:t xml:space="preserve">epairs &amp; </w:t>
            </w:r>
            <w:r w:rsidR="009C7FFC">
              <w:rPr>
                <w:rFonts w:ascii="Arial Narrow" w:hAnsi="Arial Narrow"/>
                <w:color w:val="000000" w:themeColor="text1"/>
                <w:sz w:val="20"/>
                <w:szCs w:val="20"/>
              </w:rPr>
              <w:t>m</w:t>
            </w:r>
            <w:r w:rsidRPr="009E35ED">
              <w:rPr>
                <w:rFonts w:ascii="Arial Narrow" w:hAnsi="Arial Narrow"/>
                <w:color w:val="000000" w:themeColor="text1"/>
                <w:sz w:val="20"/>
                <w:szCs w:val="20"/>
              </w:rPr>
              <w:t>aintenance-</w:t>
            </w:r>
            <w:r w:rsidR="009C7FFC">
              <w:rPr>
                <w:rFonts w:ascii="Arial Narrow" w:hAnsi="Arial Narrow"/>
                <w:color w:val="000000" w:themeColor="text1"/>
                <w:sz w:val="20"/>
                <w:szCs w:val="20"/>
              </w:rPr>
              <w:t>o</w:t>
            </w:r>
            <w:r w:rsidRPr="009E35ED">
              <w:rPr>
                <w:rFonts w:ascii="Arial Narrow" w:hAnsi="Arial Narrow"/>
                <w:color w:val="000000" w:themeColor="text1"/>
                <w:sz w:val="20"/>
                <w:szCs w:val="20"/>
              </w:rPr>
              <w:t xml:space="preserve">ffice </w:t>
            </w:r>
            <w:r w:rsidR="009C7FFC">
              <w:rPr>
                <w:rFonts w:ascii="Arial Narrow" w:hAnsi="Arial Narrow"/>
                <w:color w:val="000000" w:themeColor="text1"/>
                <w:sz w:val="20"/>
                <w:szCs w:val="20"/>
              </w:rPr>
              <w:t>e</w:t>
            </w:r>
            <w:r w:rsidRPr="009E35ED">
              <w:rPr>
                <w:rFonts w:ascii="Arial Narrow" w:hAnsi="Arial Narrow"/>
                <w:color w:val="000000" w:themeColor="text1"/>
                <w:sz w:val="20"/>
                <w:szCs w:val="20"/>
              </w:rPr>
              <w:t>quipment - Branch</w:t>
            </w:r>
          </w:p>
        </w:tc>
        <w:tc>
          <w:tcPr>
            <w:tcW w:w="1716" w:type="dxa"/>
            <w:tcBorders>
              <w:top w:val="nil"/>
              <w:left w:val="nil"/>
              <w:bottom w:val="nil"/>
              <w:right w:val="nil"/>
            </w:tcBorders>
            <w:shd w:val="clear" w:color="auto" w:fill="auto"/>
            <w:noWrap/>
          </w:tcPr>
          <w:p w14:paraId="7E7C5EE9" w14:textId="48FEEDF2" w:rsidR="00EE0C3F" w:rsidRPr="009E35ED" w:rsidRDefault="00EE0C3F" w:rsidP="00EE0C3F">
            <w:pPr>
              <w:ind w:left="0"/>
              <w:jc w:val="right"/>
              <w:rPr>
                <w:rFonts w:ascii="Arial Narrow" w:hAnsi="Arial Narrow" w:cs="Arial"/>
                <w:color w:val="000000" w:themeColor="text1"/>
                <w:sz w:val="20"/>
                <w:szCs w:val="20"/>
                <w:lang w:val="en-PH" w:eastAsia="en-PH"/>
              </w:rPr>
            </w:pPr>
            <w:r w:rsidRPr="009E35ED">
              <w:rPr>
                <w:rFonts w:ascii="Arial Narrow" w:hAnsi="Arial Narrow"/>
                <w:color w:val="000000" w:themeColor="text1"/>
                <w:sz w:val="20"/>
                <w:szCs w:val="20"/>
              </w:rPr>
              <w:t xml:space="preserve"> (2,025)</w:t>
            </w:r>
          </w:p>
        </w:tc>
      </w:tr>
      <w:tr w:rsidR="00997F75" w:rsidRPr="009E35ED" w14:paraId="594A4C35" w14:textId="77777777" w:rsidTr="00BD55FF">
        <w:trPr>
          <w:trHeight w:val="75"/>
        </w:trPr>
        <w:tc>
          <w:tcPr>
            <w:tcW w:w="7286" w:type="dxa"/>
            <w:tcBorders>
              <w:top w:val="nil"/>
              <w:left w:val="nil"/>
              <w:right w:val="nil"/>
            </w:tcBorders>
            <w:shd w:val="clear" w:color="auto" w:fill="auto"/>
            <w:hideMark/>
          </w:tcPr>
          <w:p w14:paraId="1F2B7FE7" w14:textId="709955E7" w:rsidR="00EE0C3F" w:rsidRPr="009E35ED" w:rsidRDefault="00EE0C3F" w:rsidP="00EE0C3F">
            <w:pPr>
              <w:ind w:left="0"/>
              <w:jc w:val="left"/>
              <w:rPr>
                <w:rFonts w:ascii="Arial Narrow" w:hAnsi="Arial Narrow" w:cs="Arial"/>
                <w:color w:val="000000" w:themeColor="text1"/>
                <w:sz w:val="20"/>
                <w:szCs w:val="20"/>
                <w:lang w:val="en-PH" w:eastAsia="en-PH"/>
              </w:rPr>
            </w:pPr>
            <w:r w:rsidRPr="009E35ED">
              <w:rPr>
                <w:rFonts w:ascii="Arial Narrow" w:hAnsi="Arial Narrow"/>
                <w:color w:val="000000" w:themeColor="text1"/>
                <w:sz w:val="20"/>
                <w:szCs w:val="20"/>
              </w:rPr>
              <w:t xml:space="preserve">Adjustment/Recording of </w:t>
            </w:r>
            <w:r w:rsidR="009C7FFC">
              <w:rPr>
                <w:rFonts w:ascii="Arial Narrow" w:hAnsi="Arial Narrow"/>
                <w:color w:val="000000" w:themeColor="text1"/>
                <w:sz w:val="20"/>
                <w:szCs w:val="20"/>
              </w:rPr>
              <w:t>r</w:t>
            </w:r>
            <w:r w:rsidRPr="009E35ED">
              <w:rPr>
                <w:rFonts w:ascii="Arial Narrow" w:hAnsi="Arial Narrow"/>
                <w:color w:val="000000" w:themeColor="text1"/>
                <w:sz w:val="20"/>
                <w:szCs w:val="20"/>
              </w:rPr>
              <w:t xml:space="preserve">epairs &amp; </w:t>
            </w:r>
            <w:r w:rsidR="009C7FFC">
              <w:rPr>
                <w:rFonts w:ascii="Arial Narrow" w:hAnsi="Arial Narrow"/>
                <w:color w:val="000000" w:themeColor="text1"/>
                <w:sz w:val="20"/>
                <w:szCs w:val="20"/>
              </w:rPr>
              <w:t>m</w:t>
            </w:r>
            <w:r w:rsidRPr="009E35ED">
              <w:rPr>
                <w:rFonts w:ascii="Arial Narrow" w:hAnsi="Arial Narrow"/>
                <w:color w:val="000000" w:themeColor="text1"/>
                <w:sz w:val="20"/>
                <w:szCs w:val="20"/>
              </w:rPr>
              <w:t>aintenance-</w:t>
            </w:r>
            <w:r w:rsidR="009C7FFC">
              <w:rPr>
                <w:rFonts w:ascii="Arial Narrow" w:hAnsi="Arial Narrow"/>
                <w:color w:val="000000" w:themeColor="text1"/>
                <w:sz w:val="20"/>
                <w:szCs w:val="20"/>
              </w:rPr>
              <w:t>m</w:t>
            </w:r>
            <w:r w:rsidRPr="009E35ED">
              <w:rPr>
                <w:rFonts w:ascii="Arial Narrow" w:hAnsi="Arial Narrow"/>
                <w:color w:val="000000" w:themeColor="text1"/>
                <w:sz w:val="20"/>
                <w:szCs w:val="20"/>
              </w:rPr>
              <w:t xml:space="preserve">achinery and </w:t>
            </w:r>
            <w:r w:rsidR="009C7FFC">
              <w:rPr>
                <w:rFonts w:ascii="Arial Narrow" w:hAnsi="Arial Narrow"/>
                <w:color w:val="000000" w:themeColor="text1"/>
                <w:sz w:val="20"/>
                <w:szCs w:val="20"/>
              </w:rPr>
              <w:t>e</w:t>
            </w:r>
            <w:r w:rsidRPr="009E35ED">
              <w:rPr>
                <w:rFonts w:ascii="Arial Narrow" w:hAnsi="Arial Narrow"/>
                <w:color w:val="000000" w:themeColor="text1"/>
                <w:sz w:val="20"/>
                <w:szCs w:val="20"/>
              </w:rPr>
              <w:t>quipment-</w:t>
            </w:r>
            <w:r w:rsidR="009C7FFC">
              <w:rPr>
                <w:rFonts w:ascii="Arial Narrow" w:hAnsi="Arial Narrow"/>
                <w:color w:val="000000" w:themeColor="text1"/>
                <w:sz w:val="20"/>
                <w:szCs w:val="20"/>
              </w:rPr>
              <w:t>i</w:t>
            </w:r>
            <w:r w:rsidRPr="009E35ED">
              <w:rPr>
                <w:rFonts w:ascii="Arial Narrow" w:hAnsi="Arial Narrow"/>
                <w:color w:val="000000" w:themeColor="text1"/>
                <w:sz w:val="20"/>
                <w:szCs w:val="20"/>
              </w:rPr>
              <w:t xml:space="preserve">nformation and </w:t>
            </w:r>
            <w:r w:rsidR="009C7FFC">
              <w:rPr>
                <w:rFonts w:ascii="Arial Narrow" w:hAnsi="Arial Narrow"/>
                <w:color w:val="000000" w:themeColor="text1"/>
                <w:sz w:val="20"/>
                <w:szCs w:val="20"/>
              </w:rPr>
              <w:t>c</w:t>
            </w:r>
            <w:r w:rsidRPr="009E35ED">
              <w:rPr>
                <w:rFonts w:ascii="Arial Narrow" w:hAnsi="Arial Narrow"/>
                <w:color w:val="000000" w:themeColor="text1"/>
                <w:sz w:val="20"/>
                <w:szCs w:val="20"/>
              </w:rPr>
              <w:t xml:space="preserve">ommunication </w:t>
            </w:r>
            <w:r w:rsidR="009C7FFC">
              <w:rPr>
                <w:rFonts w:ascii="Arial Narrow" w:hAnsi="Arial Narrow"/>
                <w:color w:val="000000" w:themeColor="text1"/>
                <w:sz w:val="20"/>
                <w:szCs w:val="20"/>
              </w:rPr>
              <w:t>t</w:t>
            </w:r>
            <w:r w:rsidRPr="009E35ED">
              <w:rPr>
                <w:rFonts w:ascii="Arial Narrow" w:hAnsi="Arial Narrow"/>
                <w:color w:val="000000" w:themeColor="text1"/>
                <w:sz w:val="20"/>
                <w:szCs w:val="20"/>
              </w:rPr>
              <w:t xml:space="preserve">echnology </w:t>
            </w:r>
            <w:r w:rsidR="009C7FFC">
              <w:rPr>
                <w:rFonts w:ascii="Arial Narrow" w:hAnsi="Arial Narrow"/>
                <w:color w:val="000000" w:themeColor="text1"/>
                <w:sz w:val="20"/>
                <w:szCs w:val="20"/>
              </w:rPr>
              <w:t>e</w:t>
            </w:r>
            <w:r w:rsidRPr="009E35ED">
              <w:rPr>
                <w:rFonts w:ascii="Arial Narrow" w:hAnsi="Arial Narrow"/>
                <w:color w:val="000000" w:themeColor="text1"/>
                <w:sz w:val="20"/>
                <w:szCs w:val="20"/>
              </w:rPr>
              <w:t>quipment - Branch</w:t>
            </w:r>
          </w:p>
        </w:tc>
        <w:tc>
          <w:tcPr>
            <w:tcW w:w="1716" w:type="dxa"/>
            <w:tcBorders>
              <w:top w:val="nil"/>
              <w:left w:val="nil"/>
              <w:right w:val="nil"/>
            </w:tcBorders>
            <w:shd w:val="clear" w:color="auto" w:fill="auto"/>
            <w:noWrap/>
            <w:hideMark/>
          </w:tcPr>
          <w:p w14:paraId="62D67B6F" w14:textId="50019456" w:rsidR="00EE0C3F" w:rsidRPr="009E35ED" w:rsidRDefault="00EE0C3F" w:rsidP="00EE0C3F">
            <w:pPr>
              <w:ind w:left="0"/>
              <w:jc w:val="right"/>
              <w:rPr>
                <w:rFonts w:ascii="Arial Narrow" w:hAnsi="Arial Narrow" w:cs="Arial"/>
                <w:color w:val="000000" w:themeColor="text1"/>
                <w:sz w:val="20"/>
                <w:szCs w:val="20"/>
                <w:lang w:val="en-PH" w:eastAsia="en-PH"/>
              </w:rPr>
            </w:pPr>
            <w:r w:rsidRPr="009E35ED">
              <w:rPr>
                <w:rFonts w:ascii="Arial Narrow" w:hAnsi="Arial Narrow"/>
                <w:color w:val="000000" w:themeColor="text1"/>
                <w:sz w:val="20"/>
                <w:szCs w:val="20"/>
              </w:rPr>
              <w:t xml:space="preserve"> 2,450.00 </w:t>
            </w:r>
          </w:p>
        </w:tc>
      </w:tr>
      <w:tr w:rsidR="00997F75" w:rsidRPr="009E35ED" w14:paraId="406D0CD7" w14:textId="77777777" w:rsidTr="00BD55FF">
        <w:trPr>
          <w:trHeight w:val="75"/>
        </w:trPr>
        <w:tc>
          <w:tcPr>
            <w:tcW w:w="7286" w:type="dxa"/>
            <w:tcBorders>
              <w:top w:val="nil"/>
              <w:left w:val="nil"/>
              <w:bottom w:val="single" w:sz="4" w:space="0" w:color="auto"/>
              <w:right w:val="nil"/>
            </w:tcBorders>
            <w:shd w:val="clear" w:color="auto" w:fill="auto"/>
            <w:hideMark/>
          </w:tcPr>
          <w:p w14:paraId="125A62E6" w14:textId="28E43C35" w:rsidR="00EE0C3F" w:rsidRPr="009E35ED" w:rsidRDefault="00EE0C3F" w:rsidP="00EE0C3F">
            <w:pPr>
              <w:ind w:left="0"/>
              <w:jc w:val="left"/>
              <w:rPr>
                <w:rFonts w:ascii="Arial Narrow" w:hAnsi="Arial Narrow" w:cs="Arial"/>
                <w:color w:val="000000" w:themeColor="text1"/>
                <w:sz w:val="20"/>
                <w:szCs w:val="20"/>
                <w:lang w:val="en-PH" w:eastAsia="en-PH"/>
              </w:rPr>
            </w:pPr>
            <w:r w:rsidRPr="009E35ED">
              <w:rPr>
                <w:rFonts w:ascii="Arial Narrow" w:hAnsi="Arial Narrow"/>
                <w:color w:val="000000" w:themeColor="text1"/>
                <w:sz w:val="20"/>
                <w:szCs w:val="20"/>
              </w:rPr>
              <w:t xml:space="preserve">Adjustment/Recording of </w:t>
            </w:r>
            <w:r w:rsidR="009C7FFC">
              <w:rPr>
                <w:rFonts w:ascii="Arial Narrow" w:hAnsi="Arial Narrow"/>
                <w:color w:val="000000" w:themeColor="text1"/>
                <w:sz w:val="20"/>
                <w:szCs w:val="20"/>
              </w:rPr>
              <w:t>r</w:t>
            </w:r>
            <w:r w:rsidRPr="009E35ED">
              <w:rPr>
                <w:rFonts w:ascii="Arial Narrow" w:hAnsi="Arial Narrow"/>
                <w:color w:val="000000" w:themeColor="text1"/>
                <w:sz w:val="20"/>
                <w:szCs w:val="20"/>
              </w:rPr>
              <w:t xml:space="preserve">epairs &amp; </w:t>
            </w:r>
            <w:r w:rsidR="009C7FFC">
              <w:rPr>
                <w:rFonts w:ascii="Arial Narrow" w:hAnsi="Arial Narrow"/>
                <w:color w:val="000000" w:themeColor="text1"/>
                <w:sz w:val="20"/>
                <w:szCs w:val="20"/>
              </w:rPr>
              <w:t>m</w:t>
            </w:r>
            <w:r w:rsidRPr="009E35ED">
              <w:rPr>
                <w:rFonts w:ascii="Arial Narrow" w:hAnsi="Arial Narrow"/>
                <w:color w:val="000000" w:themeColor="text1"/>
                <w:sz w:val="20"/>
                <w:szCs w:val="20"/>
              </w:rPr>
              <w:t>aintenance-</w:t>
            </w:r>
            <w:r w:rsidR="009C7FFC">
              <w:rPr>
                <w:rFonts w:ascii="Arial Narrow" w:hAnsi="Arial Narrow"/>
                <w:color w:val="000000" w:themeColor="text1"/>
                <w:sz w:val="20"/>
                <w:szCs w:val="20"/>
              </w:rPr>
              <w:t>l</w:t>
            </w:r>
            <w:r w:rsidRPr="009E35ED">
              <w:rPr>
                <w:rFonts w:ascii="Arial Narrow" w:hAnsi="Arial Narrow"/>
                <w:color w:val="000000" w:themeColor="text1"/>
                <w:sz w:val="20"/>
                <w:szCs w:val="20"/>
              </w:rPr>
              <w:t xml:space="preserve">easehold </w:t>
            </w:r>
            <w:r w:rsidR="009C7FFC">
              <w:rPr>
                <w:rFonts w:ascii="Arial Narrow" w:hAnsi="Arial Narrow"/>
                <w:color w:val="000000" w:themeColor="text1"/>
                <w:sz w:val="20"/>
                <w:szCs w:val="20"/>
              </w:rPr>
              <w:t>i</w:t>
            </w:r>
            <w:r w:rsidRPr="009E35ED">
              <w:rPr>
                <w:rFonts w:ascii="Arial Narrow" w:hAnsi="Arial Narrow"/>
                <w:color w:val="000000" w:themeColor="text1"/>
                <w:sz w:val="20"/>
                <w:szCs w:val="20"/>
              </w:rPr>
              <w:t xml:space="preserve">mprovements, </w:t>
            </w:r>
            <w:r w:rsidR="009C7FFC">
              <w:rPr>
                <w:rFonts w:ascii="Arial Narrow" w:hAnsi="Arial Narrow"/>
                <w:color w:val="000000" w:themeColor="text1"/>
                <w:sz w:val="20"/>
                <w:szCs w:val="20"/>
              </w:rPr>
              <w:t>b</w:t>
            </w:r>
            <w:r w:rsidRPr="009E35ED">
              <w:rPr>
                <w:rFonts w:ascii="Arial Narrow" w:hAnsi="Arial Narrow"/>
                <w:color w:val="000000" w:themeColor="text1"/>
                <w:sz w:val="20"/>
                <w:szCs w:val="20"/>
              </w:rPr>
              <w:t>uildings - Branch</w:t>
            </w:r>
          </w:p>
        </w:tc>
        <w:tc>
          <w:tcPr>
            <w:tcW w:w="1716" w:type="dxa"/>
            <w:tcBorders>
              <w:top w:val="nil"/>
              <w:left w:val="nil"/>
              <w:bottom w:val="single" w:sz="4" w:space="0" w:color="auto"/>
              <w:right w:val="nil"/>
            </w:tcBorders>
            <w:shd w:val="clear" w:color="auto" w:fill="auto"/>
            <w:noWrap/>
            <w:hideMark/>
          </w:tcPr>
          <w:p w14:paraId="3090DCA2" w14:textId="2C0A3F09" w:rsidR="00EE0C3F" w:rsidRPr="009E35ED" w:rsidRDefault="00EE0C3F" w:rsidP="00EE0C3F">
            <w:pPr>
              <w:ind w:left="0"/>
              <w:jc w:val="right"/>
              <w:rPr>
                <w:rFonts w:ascii="Arial Narrow" w:hAnsi="Arial Narrow" w:cs="Arial"/>
                <w:color w:val="000000" w:themeColor="text1"/>
                <w:sz w:val="20"/>
                <w:szCs w:val="20"/>
                <w:lang w:val="en-PH" w:eastAsia="en-PH"/>
              </w:rPr>
            </w:pPr>
            <w:r w:rsidRPr="009E35ED">
              <w:rPr>
                <w:rFonts w:ascii="Arial Narrow" w:hAnsi="Arial Narrow"/>
                <w:color w:val="000000" w:themeColor="text1"/>
                <w:sz w:val="20"/>
                <w:szCs w:val="20"/>
              </w:rPr>
              <w:t xml:space="preserve"> 61,453 </w:t>
            </w:r>
          </w:p>
        </w:tc>
      </w:tr>
      <w:tr w:rsidR="00997F75" w:rsidRPr="009E35ED" w14:paraId="12B46377" w14:textId="77777777" w:rsidTr="00BD55FF">
        <w:trPr>
          <w:trHeight w:val="285"/>
        </w:trPr>
        <w:tc>
          <w:tcPr>
            <w:tcW w:w="7286" w:type="dxa"/>
            <w:tcBorders>
              <w:top w:val="single" w:sz="4" w:space="0" w:color="auto"/>
              <w:left w:val="nil"/>
              <w:bottom w:val="double" w:sz="4" w:space="0" w:color="auto"/>
              <w:right w:val="nil"/>
            </w:tcBorders>
            <w:shd w:val="clear" w:color="auto" w:fill="auto"/>
            <w:hideMark/>
          </w:tcPr>
          <w:p w14:paraId="329273B7" w14:textId="756CEA20" w:rsidR="00EE0C3F" w:rsidRPr="009E35ED" w:rsidRDefault="00EE0C3F" w:rsidP="00EE0C3F">
            <w:pPr>
              <w:ind w:left="0"/>
              <w:jc w:val="left"/>
              <w:rPr>
                <w:rFonts w:ascii="Arial Narrow" w:hAnsi="Arial Narrow" w:cs="Arial"/>
                <w:b/>
                <w:bCs/>
                <w:color w:val="000000" w:themeColor="text1"/>
                <w:sz w:val="20"/>
                <w:szCs w:val="20"/>
                <w:lang w:val="en-PH" w:eastAsia="en-PH"/>
              </w:rPr>
            </w:pPr>
            <w:r w:rsidRPr="009E35ED">
              <w:rPr>
                <w:rFonts w:ascii="Arial Narrow" w:hAnsi="Arial Narrow"/>
                <w:b/>
                <w:bCs/>
                <w:color w:val="000000" w:themeColor="text1"/>
                <w:sz w:val="20"/>
                <w:szCs w:val="20"/>
              </w:rPr>
              <w:t>Restated Amount as of December 31, 2022 - Repairs and Maintenance Expenses (Operating Fund)</w:t>
            </w:r>
          </w:p>
        </w:tc>
        <w:tc>
          <w:tcPr>
            <w:tcW w:w="1716" w:type="dxa"/>
            <w:tcBorders>
              <w:top w:val="single" w:sz="4" w:space="0" w:color="auto"/>
              <w:left w:val="nil"/>
              <w:bottom w:val="double" w:sz="4" w:space="0" w:color="auto"/>
              <w:right w:val="nil"/>
            </w:tcBorders>
            <w:shd w:val="clear" w:color="auto" w:fill="auto"/>
            <w:noWrap/>
            <w:hideMark/>
          </w:tcPr>
          <w:p w14:paraId="4CEB5F13" w14:textId="77777777" w:rsidR="00BD55FF" w:rsidRPr="009E35ED" w:rsidRDefault="00EE0C3F" w:rsidP="00EE0C3F">
            <w:pPr>
              <w:ind w:left="0"/>
              <w:jc w:val="right"/>
              <w:rPr>
                <w:rFonts w:ascii="Arial Narrow" w:hAnsi="Arial Narrow"/>
                <w:b/>
                <w:bCs/>
                <w:color w:val="000000" w:themeColor="text1"/>
                <w:sz w:val="20"/>
                <w:szCs w:val="20"/>
              </w:rPr>
            </w:pPr>
            <w:r w:rsidRPr="009E35ED">
              <w:rPr>
                <w:rFonts w:ascii="Arial Narrow" w:hAnsi="Arial Narrow"/>
                <w:b/>
                <w:bCs/>
                <w:color w:val="000000" w:themeColor="text1"/>
                <w:sz w:val="20"/>
                <w:szCs w:val="20"/>
              </w:rPr>
              <w:t xml:space="preserve"> </w:t>
            </w:r>
          </w:p>
          <w:p w14:paraId="376E04A1" w14:textId="11FA5DC1" w:rsidR="00EE0C3F" w:rsidRPr="009E35ED" w:rsidRDefault="00EE0C3F" w:rsidP="00EE0C3F">
            <w:pPr>
              <w:ind w:left="0"/>
              <w:jc w:val="right"/>
              <w:rPr>
                <w:rFonts w:ascii="Arial Narrow" w:hAnsi="Arial Narrow" w:cs="Arial"/>
                <w:b/>
                <w:bCs/>
                <w:color w:val="000000" w:themeColor="text1"/>
                <w:sz w:val="20"/>
                <w:szCs w:val="20"/>
                <w:lang w:val="en-PH" w:eastAsia="en-PH"/>
              </w:rPr>
            </w:pPr>
            <w:r w:rsidRPr="009E35ED">
              <w:rPr>
                <w:rFonts w:ascii="Arial Narrow" w:hAnsi="Arial Narrow"/>
                <w:b/>
                <w:bCs/>
                <w:color w:val="000000" w:themeColor="text1"/>
                <w:sz w:val="20"/>
                <w:szCs w:val="20"/>
              </w:rPr>
              <w:t xml:space="preserve">7,174,004 </w:t>
            </w:r>
          </w:p>
        </w:tc>
      </w:tr>
      <w:tr w:rsidR="00997F75" w:rsidRPr="009E35ED" w14:paraId="23F9380E" w14:textId="77777777" w:rsidTr="00BD55FF">
        <w:trPr>
          <w:trHeight w:val="300"/>
        </w:trPr>
        <w:tc>
          <w:tcPr>
            <w:tcW w:w="7286" w:type="dxa"/>
            <w:tcBorders>
              <w:top w:val="double" w:sz="4" w:space="0" w:color="auto"/>
              <w:left w:val="nil"/>
              <w:bottom w:val="nil"/>
              <w:right w:val="nil"/>
            </w:tcBorders>
            <w:shd w:val="clear" w:color="auto" w:fill="auto"/>
            <w:vAlign w:val="bottom"/>
            <w:hideMark/>
          </w:tcPr>
          <w:p w14:paraId="116C30C6" w14:textId="77777777" w:rsidR="00240956" w:rsidRPr="009E35ED" w:rsidRDefault="00240956" w:rsidP="00240956">
            <w:pPr>
              <w:ind w:left="0"/>
              <w:jc w:val="left"/>
              <w:rPr>
                <w:rFonts w:ascii="Arial Narrow" w:hAnsi="Arial Narrow" w:cs="Arial"/>
                <w:b/>
                <w:bCs/>
                <w:color w:val="000000" w:themeColor="text1"/>
                <w:sz w:val="20"/>
                <w:szCs w:val="20"/>
                <w:lang w:val="en-PH" w:eastAsia="en-PH"/>
              </w:rPr>
            </w:pPr>
          </w:p>
        </w:tc>
        <w:tc>
          <w:tcPr>
            <w:tcW w:w="1716" w:type="dxa"/>
            <w:tcBorders>
              <w:top w:val="double" w:sz="4" w:space="0" w:color="auto"/>
              <w:left w:val="nil"/>
              <w:bottom w:val="nil"/>
              <w:right w:val="nil"/>
            </w:tcBorders>
            <w:shd w:val="clear" w:color="auto" w:fill="auto"/>
            <w:noWrap/>
            <w:vAlign w:val="bottom"/>
            <w:hideMark/>
          </w:tcPr>
          <w:p w14:paraId="7E97E355" w14:textId="77777777" w:rsidR="00240956" w:rsidRPr="009E35ED" w:rsidRDefault="00240956" w:rsidP="00240956">
            <w:pPr>
              <w:ind w:left="0"/>
              <w:jc w:val="right"/>
              <w:rPr>
                <w:rFonts w:ascii="Arial Narrow" w:hAnsi="Arial Narrow"/>
                <w:color w:val="000000" w:themeColor="text1"/>
                <w:sz w:val="20"/>
                <w:szCs w:val="20"/>
                <w:lang w:val="en-PH" w:eastAsia="en-PH"/>
              </w:rPr>
            </w:pPr>
          </w:p>
        </w:tc>
      </w:tr>
      <w:tr w:rsidR="00997F75" w:rsidRPr="009E35ED" w14:paraId="52D742C2" w14:textId="77777777" w:rsidTr="00C26DA1">
        <w:trPr>
          <w:trHeight w:val="285"/>
        </w:trPr>
        <w:tc>
          <w:tcPr>
            <w:tcW w:w="7286" w:type="dxa"/>
            <w:tcBorders>
              <w:top w:val="nil"/>
              <w:left w:val="nil"/>
              <w:bottom w:val="nil"/>
              <w:right w:val="nil"/>
            </w:tcBorders>
            <w:shd w:val="clear" w:color="auto" w:fill="auto"/>
            <w:hideMark/>
          </w:tcPr>
          <w:p w14:paraId="2AE83473" w14:textId="56E68110" w:rsidR="00994EAE" w:rsidRPr="009E35ED" w:rsidRDefault="00994EAE" w:rsidP="00B90388">
            <w:pPr>
              <w:keepNext/>
              <w:keepLines/>
              <w:ind w:left="0"/>
              <w:jc w:val="left"/>
              <w:rPr>
                <w:rFonts w:ascii="Arial Narrow" w:hAnsi="Arial Narrow" w:cs="Arial"/>
                <w:color w:val="000000" w:themeColor="text1"/>
                <w:sz w:val="20"/>
                <w:szCs w:val="20"/>
                <w:lang w:val="en-PH" w:eastAsia="en-PH"/>
              </w:rPr>
            </w:pPr>
            <w:r w:rsidRPr="009E35ED">
              <w:rPr>
                <w:rFonts w:ascii="Arial Narrow" w:hAnsi="Arial Narrow"/>
                <w:color w:val="000000" w:themeColor="text1"/>
                <w:sz w:val="20"/>
                <w:szCs w:val="20"/>
              </w:rPr>
              <w:t xml:space="preserve">Unrestated </w:t>
            </w:r>
            <w:r w:rsidR="009C7FFC">
              <w:rPr>
                <w:rFonts w:ascii="Arial Narrow" w:hAnsi="Arial Narrow"/>
                <w:color w:val="000000" w:themeColor="text1"/>
                <w:sz w:val="20"/>
                <w:szCs w:val="20"/>
              </w:rPr>
              <w:t>a</w:t>
            </w:r>
            <w:r w:rsidRPr="009E35ED">
              <w:rPr>
                <w:rFonts w:ascii="Arial Narrow" w:hAnsi="Arial Narrow"/>
                <w:color w:val="000000" w:themeColor="text1"/>
                <w:sz w:val="20"/>
                <w:szCs w:val="20"/>
              </w:rPr>
              <w:t>mount as of December 31, 2022</w:t>
            </w:r>
          </w:p>
        </w:tc>
        <w:tc>
          <w:tcPr>
            <w:tcW w:w="1716" w:type="dxa"/>
            <w:tcBorders>
              <w:top w:val="nil"/>
              <w:left w:val="nil"/>
              <w:bottom w:val="nil"/>
              <w:right w:val="nil"/>
            </w:tcBorders>
            <w:shd w:val="clear" w:color="auto" w:fill="auto"/>
            <w:noWrap/>
            <w:hideMark/>
          </w:tcPr>
          <w:p w14:paraId="2930DE92" w14:textId="506908BB" w:rsidR="00994EAE" w:rsidRPr="009E35ED" w:rsidRDefault="00994EAE" w:rsidP="00B90388">
            <w:pPr>
              <w:keepNext/>
              <w:keepLines/>
              <w:ind w:left="0"/>
              <w:jc w:val="right"/>
              <w:rPr>
                <w:rFonts w:ascii="Arial Narrow" w:hAnsi="Arial Narrow" w:cs="Arial"/>
                <w:color w:val="000000" w:themeColor="text1"/>
                <w:sz w:val="20"/>
                <w:szCs w:val="20"/>
                <w:lang w:val="en-PH" w:eastAsia="en-PH"/>
              </w:rPr>
            </w:pPr>
            <w:r w:rsidRPr="009E35ED">
              <w:rPr>
                <w:rFonts w:ascii="Arial Narrow" w:hAnsi="Arial Narrow"/>
                <w:color w:val="000000" w:themeColor="text1"/>
                <w:sz w:val="20"/>
                <w:szCs w:val="20"/>
              </w:rPr>
              <w:t xml:space="preserve"> 15,735,238 </w:t>
            </w:r>
          </w:p>
        </w:tc>
      </w:tr>
      <w:tr w:rsidR="00997F75" w:rsidRPr="009E35ED" w14:paraId="21F584A4" w14:textId="77777777" w:rsidTr="00C26DA1">
        <w:trPr>
          <w:trHeight w:val="285"/>
        </w:trPr>
        <w:tc>
          <w:tcPr>
            <w:tcW w:w="7286" w:type="dxa"/>
            <w:tcBorders>
              <w:top w:val="nil"/>
              <w:left w:val="nil"/>
              <w:bottom w:val="nil"/>
              <w:right w:val="nil"/>
            </w:tcBorders>
            <w:shd w:val="clear" w:color="auto" w:fill="auto"/>
          </w:tcPr>
          <w:p w14:paraId="47C936E3" w14:textId="6BA8FACE" w:rsidR="00994EAE" w:rsidRPr="009E35ED" w:rsidRDefault="00994EAE" w:rsidP="00B90388">
            <w:pPr>
              <w:keepNext/>
              <w:keepLines/>
              <w:ind w:left="0"/>
              <w:jc w:val="left"/>
              <w:rPr>
                <w:rFonts w:ascii="Arial Narrow" w:hAnsi="Arial Narrow"/>
                <w:color w:val="000000" w:themeColor="text1"/>
                <w:sz w:val="20"/>
                <w:szCs w:val="20"/>
              </w:rPr>
            </w:pPr>
            <w:r w:rsidRPr="009E35ED">
              <w:rPr>
                <w:rFonts w:ascii="Arial Narrow" w:hAnsi="Arial Narrow"/>
                <w:color w:val="000000" w:themeColor="text1"/>
                <w:sz w:val="20"/>
                <w:szCs w:val="20"/>
              </w:rPr>
              <w:t xml:space="preserve">Payment of </w:t>
            </w:r>
            <w:r w:rsidR="009C7FFC">
              <w:rPr>
                <w:rFonts w:ascii="Arial Narrow" w:hAnsi="Arial Narrow"/>
                <w:color w:val="000000" w:themeColor="text1"/>
                <w:sz w:val="20"/>
                <w:szCs w:val="20"/>
              </w:rPr>
              <w:t>t</w:t>
            </w:r>
            <w:r w:rsidRPr="009E35ED">
              <w:rPr>
                <w:rFonts w:ascii="Arial Narrow" w:hAnsi="Arial Narrow"/>
                <w:color w:val="000000" w:themeColor="text1"/>
                <w:sz w:val="20"/>
                <w:szCs w:val="20"/>
              </w:rPr>
              <w:t xml:space="preserve">axes, </w:t>
            </w:r>
            <w:r w:rsidR="009C7FFC">
              <w:rPr>
                <w:rFonts w:ascii="Arial Narrow" w:hAnsi="Arial Narrow"/>
                <w:color w:val="000000" w:themeColor="text1"/>
                <w:sz w:val="20"/>
                <w:szCs w:val="20"/>
              </w:rPr>
              <w:t>d</w:t>
            </w:r>
            <w:r w:rsidRPr="009E35ED">
              <w:rPr>
                <w:rFonts w:ascii="Arial Narrow" w:hAnsi="Arial Narrow"/>
                <w:color w:val="000000" w:themeColor="text1"/>
                <w:sz w:val="20"/>
                <w:szCs w:val="20"/>
              </w:rPr>
              <w:t xml:space="preserve">uties </w:t>
            </w:r>
            <w:r w:rsidR="009C7FFC">
              <w:rPr>
                <w:rFonts w:ascii="Arial Narrow" w:hAnsi="Arial Narrow"/>
                <w:color w:val="000000" w:themeColor="text1"/>
                <w:sz w:val="20"/>
                <w:szCs w:val="20"/>
              </w:rPr>
              <w:t>a</w:t>
            </w:r>
            <w:r w:rsidRPr="009E35ED">
              <w:rPr>
                <w:rFonts w:ascii="Arial Narrow" w:hAnsi="Arial Narrow"/>
                <w:color w:val="000000" w:themeColor="text1"/>
                <w:sz w:val="20"/>
                <w:szCs w:val="20"/>
              </w:rPr>
              <w:t xml:space="preserve">nd </w:t>
            </w:r>
            <w:r w:rsidR="009C7FFC">
              <w:rPr>
                <w:rFonts w:ascii="Arial Narrow" w:hAnsi="Arial Narrow"/>
                <w:color w:val="000000" w:themeColor="text1"/>
                <w:sz w:val="20"/>
                <w:szCs w:val="20"/>
              </w:rPr>
              <w:t>f</w:t>
            </w:r>
            <w:r w:rsidRPr="009E35ED">
              <w:rPr>
                <w:rFonts w:ascii="Arial Narrow" w:hAnsi="Arial Narrow"/>
                <w:color w:val="000000" w:themeColor="text1"/>
                <w:sz w:val="20"/>
                <w:szCs w:val="20"/>
              </w:rPr>
              <w:t>ees - Branch</w:t>
            </w:r>
          </w:p>
        </w:tc>
        <w:tc>
          <w:tcPr>
            <w:tcW w:w="1716" w:type="dxa"/>
            <w:tcBorders>
              <w:top w:val="nil"/>
              <w:left w:val="nil"/>
              <w:bottom w:val="nil"/>
              <w:right w:val="nil"/>
            </w:tcBorders>
            <w:shd w:val="clear" w:color="auto" w:fill="auto"/>
            <w:noWrap/>
          </w:tcPr>
          <w:p w14:paraId="0D4B6F32" w14:textId="73765198" w:rsidR="00994EAE" w:rsidRPr="009E35ED" w:rsidRDefault="00294023" w:rsidP="00B90388">
            <w:pPr>
              <w:keepNext/>
              <w:keepLines/>
              <w:ind w:left="0"/>
              <w:jc w:val="right"/>
              <w:rPr>
                <w:rFonts w:ascii="Arial Narrow" w:hAnsi="Arial Narrow"/>
                <w:color w:val="000000" w:themeColor="text1"/>
                <w:sz w:val="20"/>
                <w:szCs w:val="20"/>
              </w:rPr>
            </w:pPr>
            <w:r w:rsidRPr="009E35ED">
              <w:rPr>
                <w:rFonts w:ascii="Arial Narrow" w:hAnsi="Arial Narrow"/>
                <w:color w:val="000000" w:themeColor="text1"/>
                <w:sz w:val="20"/>
                <w:szCs w:val="20"/>
              </w:rPr>
              <w:t>(</w:t>
            </w:r>
            <w:r w:rsidR="00994EAE" w:rsidRPr="009E35ED">
              <w:rPr>
                <w:rFonts w:ascii="Arial Narrow" w:hAnsi="Arial Narrow"/>
                <w:color w:val="000000" w:themeColor="text1"/>
                <w:sz w:val="20"/>
                <w:szCs w:val="20"/>
              </w:rPr>
              <w:t>224</w:t>
            </w:r>
            <w:r w:rsidRPr="009E35ED">
              <w:rPr>
                <w:rFonts w:ascii="Arial Narrow" w:hAnsi="Arial Narrow"/>
                <w:color w:val="000000" w:themeColor="text1"/>
                <w:sz w:val="20"/>
                <w:szCs w:val="20"/>
              </w:rPr>
              <w:t>)</w:t>
            </w:r>
            <w:r w:rsidR="00994EAE" w:rsidRPr="009E35ED">
              <w:rPr>
                <w:rFonts w:ascii="Arial Narrow" w:hAnsi="Arial Narrow"/>
                <w:color w:val="000000" w:themeColor="text1"/>
                <w:sz w:val="20"/>
                <w:szCs w:val="20"/>
              </w:rPr>
              <w:t xml:space="preserve"> </w:t>
            </w:r>
          </w:p>
        </w:tc>
      </w:tr>
      <w:tr w:rsidR="00997F75" w:rsidRPr="009E35ED" w14:paraId="3C893B7E" w14:textId="77777777" w:rsidTr="00C26DA1">
        <w:trPr>
          <w:trHeight w:val="285"/>
        </w:trPr>
        <w:tc>
          <w:tcPr>
            <w:tcW w:w="7286" w:type="dxa"/>
            <w:tcBorders>
              <w:top w:val="nil"/>
              <w:left w:val="nil"/>
              <w:bottom w:val="nil"/>
              <w:right w:val="nil"/>
            </w:tcBorders>
            <w:shd w:val="clear" w:color="auto" w:fill="auto"/>
          </w:tcPr>
          <w:p w14:paraId="0616C48A" w14:textId="193421F6" w:rsidR="00994EAE" w:rsidRPr="009E35ED" w:rsidRDefault="00994EAE" w:rsidP="00B90388">
            <w:pPr>
              <w:keepNext/>
              <w:keepLines/>
              <w:ind w:left="0"/>
              <w:jc w:val="left"/>
              <w:rPr>
                <w:rFonts w:ascii="Arial Narrow" w:hAnsi="Arial Narrow"/>
                <w:color w:val="000000" w:themeColor="text1"/>
                <w:sz w:val="20"/>
                <w:szCs w:val="20"/>
              </w:rPr>
            </w:pPr>
            <w:r w:rsidRPr="009E35ED">
              <w:rPr>
                <w:rFonts w:ascii="Arial Narrow" w:hAnsi="Arial Narrow"/>
                <w:color w:val="000000" w:themeColor="text1"/>
                <w:sz w:val="20"/>
                <w:szCs w:val="20"/>
              </w:rPr>
              <w:t xml:space="preserve">Adjustment/Recording of </w:t>
            </w:r>
            <w:r w:rsidR="009C7FFC">
              <w:rPr>
                <w:rFonts w:ascii="Arial Narrow" w:hAnsi="Arial Narrow"/>
                <w:color w:val="000000" w:themeColor="text1"/>
                <w:sz w:val="20"/>
                <w:szCs w:val="20"/>
              </w:rPr>
              <w:t>t</w:t>
            </w:r>
            <w:r w:rsidRPr="009E35ED">
              <w:rPr>
                <w:rFonts w:ascii="Arial Narrow" w:hAnsi="Arial Narrow"/>
                <w:color w:val="000000" w:themeColor="text1"/>
                <w:sz w:val="20"/>
                <w:szCs w:val="20"/>
              </w:rPr>
              <w:t xml:space="preserve">axes, </w:t>
            </w:r>
            <w:r w:rsidR="009C7FFC">
              <w:rPr>
                <w:rFonts w:ascii="Arial Narrow" w:hAnsi="Arial Narrow"/>
                <w:color w:val="000000" w:themeColor="text1"/>
                <w:sz w:val="20"/>
                <w:szCs w:val="20"/>
              </w:rPr>
              <w:t>d</w:t>
            </w:r>
            <w:r w:rsidRPr="009E35ED">
              <w:rPr>
                <w:rFonts w:ascii="Arial Narrow" w:hAnsi="Arial Narrow"/>
                <w:color w:val="000000" w:themeColor="text1"/>
                <w:sz w:val="20"/>
                <w:szCs w:val="20"/>
              </w:rPr>
              <w:t xml:space="preserve">uties </w:t>
            </w:r>
            <w:r w:rsidR="009C7FFC">
              <w:rPr>
                <w:rFonts w:ascii="Arial Narrow" w:hAnsi="Arial Narrow"/>
                <w:color w:val="000000" w:themeColor="text1"/>
                <w:sz w:val="20"/>
                <w:szCs w:val="20"/>
              </w:rPr>
              <w:t>a</w:t>
            </w:r>
            <w:r w:rsidRPr="009E35ED">
              <w:rPr>
                <w:rFonts w:ascii="Arial Narrow" w:hAnsi="Arial Narrow"/>
                <w:color w:val="000000" w:themeColor="text1"/>
                <w:sz w:val="20"/>
                <w:szCs w:val="20"/>
              </w:rPr>
              <w:t xml:space="preserve">nd </w:t>
            </w:r>
            <w:r w:rsidR="009C7FFC">
              <w:rPr>
                <w:rFonts w:ascii="Arial Narrow" w:hAnsi="Arial Narrow"/>
                <w:color w:val="000000" w:themeColor="text1"/>
                <w:sz w:val="20"/>
                <w:szCs w:val="20"/>
              </w:rPr>
              <w:t>f</w:t>
            </w:r>
            <w:r w:rsidRPr="009E35ED">
              <w:rPr>
                <w:rFonts w:ascii="Arial Narrow" w:hAnsi="Arial Narrow"/>
                <w:color w:val="000000" w:themeColor="text1"/>
                <w:sz w:val="20"/>
                <w:szCs w:val="20"/>
              </w:rPr>
              <w:t>ees - Head Office</w:t>
            </w:r>
          </w:p>
        </w:tc>
        <w:tc>
          <w:tcPr>
            <w:tcW w:w="1716" w:type="dxa"/>
            <w:tcBorders>
              <w:top w:val="nil"/>
              <w:left w:val="nil"/>
              <w:bottom w:val="nil"/>
              <w:right w:val="nil"/>
            </w:tcBorders>
            <w:shd w:val="clear" w:color="auto" w:fill="auto"/>
            <w:noWrap/>
          </w:tcPr>
          <w:p w14:paraId="327E90E4" w14:textId="316ABF58" w:rsidR="00994EAE" w:rsidRPr="009E35ED" w:rsidRDefault="00994EAE" w:rsidP="00B90388">
            <w:pPr>
              <w:keepNext/>
              <w:keepLines/>
              <w:ind w:left="0"/>
              <w:jc w:val="right"/>
              <w:rPr>
                <w:rFonts w:ascii="Arial Narrow" w:hAnsi="Arial Narrow"/>
                <w:color w:val="000000" w:themeColor="text1"/>
                <w:sz w:val="20"/>
                <w:szCs w:val="20"/>
              </w:rPr>
            </w:pPr>
            <w:r w:rsidRPr="009E35ED">
              <w:rPr>
                <w:rFonts w:ascii="Arial Narrow" w:hAnsi="Arial Narrow"/>
                <w:color w:val="000000" w:themeColor="text1"/>
                <w:sz w:val="20"/>
                <w:szCs w:val="20"/>
              </w:rPr>
              <w:t xml:space="preserve"> 202,485,302 </w:t>
            </w:r>
          </w:p>
        </w:tc>
      </w:tr>
      <w:tr w:rsidR="00997F75" w:rsidRPr="009E35ED" w14:paraId="6EF6F568" w14:textId="77777777" w:rsidTr="00C26DA1">
        <w:trPr>
          <w:trHeight w:val="75"/>
        </w:trPr>
        <w:tc>
          <w:tcPr>
            <w:tcW w:w="7286" w:type="dxa"/>
            <w:tcBorders>
              <w:top w:val="nil"/>
              <w:left w:val="nil"/>
              <w:bottom w:val="nil"/>
              <w:right w:val="nil"/>
            </w:tcBorders>
            <w:shd w:val="clear" w:color="auto" w:fill="auto"/>
            <w:hideMark/>
          </w:tcPr>
          <w:p w14:paraId="37B5EFA6" w14:textId="346DCDA1" w:rsidR="00994EAE" w:rsidRPr="009E35ED" w:rsidRDefault="00994EAE" w:rsidP="00B90388">
            <w:pPr>
              <w:keepNext/>
              <w:keepLines/>
              <w:ind w:left="0"/>
              <w:jc w:val="left"/>
              <w:rPr>
                <w:rFonts w:ascii="Arial Narrow" w:hAnsi="Arial Narrow" w:cs="Arial"/>
                <w:color w:val="000000" w:themeColor="text1"/>
                <w:sz w:val="20"/>
                <w:szCs w:val="20"/>
                <w:lang w:val="en-PH" w:eastAsia="en-PH"/>
              </w:rPr>
            </w:pPr>
            <w:r w:rsidRPr="009E35ED">
              <w:rPr>
                <w:rFonts w:ascii="Arial Narrow" w:hAnsi="Arial Narrow"/>
                <w:color w:val="000000" w:themeColor="text1"/>
                <w:sz w:val="20"/>
                <w:szCs w:val="20"/>
              </w:rPr>
              <w:t xml:space="preserve">Payment of </w:t>
            </w:r>
            <w:r w:rsidR="009C7FFC">
              <w:rPr>
                <w:rFonts w:ascii="Arial Narrow" w:hAnsi="Arial Narrow"/>
                <w:color w:val="000000" w:themeColor="text1"/>
                <w:sz w:val="20"/>
                <w:szCs w:val="20"/>
              </w:rPr>
              <w:t>t</w:t>
            </w:r>
            <w:r w:rsidRPr="009E35ED">
              <w:rPr>
                <w:rFonts w:ascii="Arial Narrow" w:hAnsi="Arial Narrow"/>
                <w:color w:val="000000" w:themeColor="text1"/>
                <w:sz w:val="20"/>
                <w:szCs w:val="20"/>
              </w:rPr>
              <w:t xml:space="preserve">axes, </w:t>
            </w:r>
            <w:r w:rsidR="009C7FFC">
              <w:rPr>
                <w:rFonts w:ascii="Arial Narrow" w:hAnsi="Arial Narrow"/>
                <w:color w:val="000000" w:themeColor="text1"/>
                <w:sz w:val="20"/>
                <w:szCs w:val="20"/>
              </w:rPr>
              <w:t>d</w:t>
            </w:r>
            <w:r w:rsidRPr="009E35ED">
              <w:rPr>
                <w:rFonts w:ascii="Arial Narrow" w:hAnsi="Arial Narrow"/>
                <w:color w:val="000000" w:themeColor="text1"/>
                <w:sz w:val="20"/>
                <w:szCs w:val="20"/>
              </w:rPr>
              <w:t xml:space="preserve">uties </w:t>
            </w:r>
            <w:r w:rsidR="009C7FFC">
              <w:rPr>
                <w:rFonts w:ascii="Arial Narrow" w:hAnsi="Arial Narrow"/>
                <w:color w:val="000000" w:themeColor="text1"/>
                <w:sz w:val="20"/>
                <w:szCs w:val="20"/>
              </w:rPr>
              <w:t>a</w:t>
            </w:r>
            <w:r w:rsidRPr="009E35ED">
              <w:rPr>
                <w:rFonts w:ascii="Arial Narrow" w:hAnsi="Arial Narrow"/>
                <w:color w:val="000000" w:themeColor="text1"/>
                <w:sz w:val="20"/>
                <w:szCs w:val="20"/>
              </w:rPr>
              <w:t xml:space="preserve">nd </w:t>
            </w:r>
            <w:r w:rsidR="009C7FFC">
              <w:rPr>
                <w:rFonts w:ascii="Arial Narrow" w:hAnsi="Arial Narrow"/>
                <w:color w:val="000000" w:themeColor="text1"/>
                <w:sz w:val="20"/>
                <w:szCs w:val="20"/>
              </w:rPr>
              <w:t>f</w:t>
            </w:r>
            <w:r w:rsidRPr="009E35ED">
              <w:rPr>
                <w:rFonts w:ascii="Arial Narrow" w:hAnsi="Arial Narrow"/>
                <w:color w:val="000000" w:themeColor="text1"/>
                <w:sz w:val="20"/>
                <w:szCs w:val="20"/>
              </w:rPr>
              <w:t>ees - Head Office</w:t>
            </w:r>
          </w:p>
        </w:tc>
        <w:tc>
          <w:tcPr>
            <w:tcW w:w="1716" w:type="dxa"/>
            <w:tcBorders>
              <w:top w:val="nil"/>
              <w:left w:val="nil"/>
              <w:bottom w:val="nil"/>
              <w:right w:val="nil"/>
            </w:tcBorders>
            <w:shd w:val="clear" w:color="auto" w:fill="auto"/>
            <w:noWrap/>
            <w:hideMark/>
          </w:tcPr>
          <w:p w14:paraId="59B77B03" w14:textId="6C06C72C" w:rsidR="00994EAE" w:rsidRPr="009E35ED" w:rsidRDefault="00994EAE" w:rsidP="00B90388">
            <w:pPr>
              <w:keepNext/>
              <w:keepLines/>
              <w:ind w:left="0"/>
              <w:jc w:val="right"/>
              <w:rPr>
                <w:rFonts w:ascii="Arial Narrow" w:hAnsi="Arial Narrow" w:cs="Arial"/>
                <w:color w:val="000000" w:themeColor="text1"/>
                <w:sz w:val="20"/>
                <w:szCs w:val="20"/>
                <w:lang w:val="en-PH" w:eastAsia="en-PH"/>
              </w:rPr>
            </w:pPr>
            <w:r w:rsidRPr="009E35ED">
              <w:rPr>
                <w:rFonts w:ascii="Arial Narrow" w:hAnsi="Arial Narrow"/>
                <w:color w:val="000000" w:themeColor="text1"/>
                <w:sz w:val="20"/>
                <w:szCs w:val="20"/>
              </w:rPr>
              <w:t xml:space="preserve"> 2,701,535 </w:t>
            </w:r>
          </w:p>
        </w:tc>
      </w:tr>
      <w:tr w:rsidR="00997F75" w:rsidRPr="009E35ED" w14:paraId="240FB57B" w14:textId="77777777" w:rsidTr="00C26DA1">
        <w:trPr>
          <w:trHeight w:val="65"/>
        </w:trPr>
        <w:tc>
          <w:tcPr>
            <w:tcW w:w="7286" w:type="dxa"/>
            <w:tcBorders>
              <w:top w:val="single" w:sz="4" w:space="0" w:color="auto"/>
              <w:left w:val="nil"/>
              <w:bottom w:val="double" w:sz="6" w:space="0" w:color="auto"/>
              <w:right w:val="nil"/>
            </w:tcBorders>
            <w:shd w:val="clear" w:color="auto" w:fill="auto"/>
            <w:hideMark/>
          </w:tcPr>
          <w:p w14:paraId="13319663" w14:textId="449A7CFE" w:rsidR="00994EAE" w:rsidRPr="009E35ED" w:rsidRDefault="00994EAE" w:rsidP="00B90388">
            <w:pPr>
              <w:keepNext/>
              <w:keepLines/>
              <w:ind w:left="0"/>
              <w:jc w:val="left"/>
              <w:rPr>
                <w:rFonts w:ascii="Arial Narrow" w:hAnsi="Arial Narrow" w:cs="Arial"/>
                <w:b/>
                <w:bCs/>
                <w:color w:val="000000" w:themeColor="text1"/>
                <w:sz w:val="20"/>
                <w:szCs w:val="20"/>
                <w:lang w:val="en-PH" w:eastAsia="en-PH"/>
              </w:rPr>
            </w:pPr>
            <w:r w:rsidRPr="009E35ED">
              <w:rPr>
                <w:rFonts w:ascii="Arial Narrow" w:hAnsi="Arial Narrow"/>
                <w:b/>
                <w:bCs/>
                <w:color w:val="000000" w:themeColor="text1"/>
                <w:sz w:val="20"/>
                <w:szCs w:val="20"/>
              </w:rPr>
              <w:t>Restated Amount as of December 31, 2022 - Taxes, Duties and Licenses (Operating Fund)</w:t>
            </w:r>
          </w:p>
        </w:tc>
        <w:tc>
          <w:tcPr>
            <w:tcW w:w="1716" w:type="dxa"/>
            <w:tcBorders>
              <w:top w:val="single" w:sz="4" w:space="0" w:color="auto"/>
              <w:left w:val="nil"/>
              <w:bottom w:val="double" w:sz="6" w:space="0" w:color="auto"/>
              <w:right w:val="nil"/>
            </w:tcBorders>
            <w:shd w:val="clear" w:color="auto" w:fill="auto"/>
            <w:noWrap/>
            <w:hideMark/>
          </w:tcPr>
          <w:p w14:paraId="70631453" w14:textId="737658E0" w:rsidR="00994EAE" w:rsidRPr="009E35ED" w:rsidRDefault="00994EAE" w:rsidP="00B90388">
            <w:pPr>
              <w:keepNext/>
              <w:keepLines/>
              <w:ind w:left="0"/>
              <w:jc w:val="right"/>
              <w:rPr>
                <w:rFonts w:ascii="Arial Narrow" w:hAnsi="Arial Narrow" w:cs="Arial"/>
                <w:b/>
                <w:bCs/>
                <w:color w:val="000000" w:themeColor="text1"/>
                <w:sz w:val="20"/>
                <w:szCs w:val="20"/>
                <w:lang w:val="en-PH" w:eastAsia="en-PH"/>
              </w:rPr>
            </w:pPr>
            <w:r w:rsidRPr="009E35ED">
              <w:rPr>
                <w:rFonts w:ascii="Arial Narrow" w:hAnsi="Arial Narrow"/>
                <w:b/>
                <w:bCs/>
                <w:color w:val="000000" w:themeColor="text1"/>
                <w:sz w:val="20"/>
                <w:szCs w:val="20"/>
              </w:rPr>
              <w:t xml:space="preserve"> 220,921,851 </w:t>
            </w:r>
          </w:p>
        </w:tc>
      </w:tr>
      <w:tr w:rsidR="00997F75" w:rsidRPr="009E35ED" w14:paraId="48696033" w14:textId="77777777" w:rsidTr="00C26DA1">
        <w:trPr>
          <w:trHeight w:val="300"/>
        </w:trPr>
        <w:tc>
          <w:tcPr>
            <w:tcW w:w="7286" w:type="dxa"/>
            <w:tcBorders>
              <w:top w:val="nil"/>
              <w:left w:val="nil"/>
              <w:bottom w:val="nil"/>
              <w:right w:val="nil"/>
            </w:tcBorders>
            <w:shd w:val="clear" w:color="auto" w:fill="auto"/>
            <w:vAlign w:val="bottom"/>
            <w:hideMark/>
          </w:tcPr>
          <w:p w14:paraId="09B1F6F2" w14:textId="045DE15B" w:rsidR="00CA106D" w:rsidRPr="009E35ED" w:rsidRDefault="00CA106D" w:rsidP="00994EAE">
            <w:pPr>
              <w:ind w:left="0"/>
              <w:jc w:val="left"/>
              <w:rPr>
                <w:rFonts w:ascii="Arial Narrow" w:hAnsi="Arial Narrow" w:cs="Arial"/>
                <w:b/>
                <w:bCs/>
                <w:color w:val="000000" w:themeColor="text1"/>
                <w:sz w:val="20"/>
                <w:szCs w:val="20"/>
                <w:lang w:val="en-PH" w:eastAsia="en-PH"/>
              </w:rPr>
            </w:pPr>
          </w:p>
        </w:tc>
        <w:tc>
          <w:tcPr>
            <w:tcW w:w="1716" w:type="dxa"/>
            <w:tcBorders>
              <w:top w:val="nil"/>
              <w:left w:val="nil"/>
              <w:bottom w:val="nil"/>
              <w:right w:val="nil"/>
            </w:tcBorders>
            <w:shd w:val="clear" w:color="auto" w:fill="auto"/>
            <w:noWrap/>
            <w:hideMark/>
          </w:tcPr>
          <w:p w14:paraId="0B5B4B6E" w14:textId="554EA837" w:rsidR="00994EAE" w:rsidRPr="009E35ED" w:rsidRDefault="00994EAE" w:rsidP="00994EAE">
            <w:pPr>
              <w:ind w:left="0"/>
              <w:jc w:val="right"/>
              <w:rPr>
                <w:rFonts w:ascii="Arial Narrow" w:hAnsi="Arial Narrow"/>
                <w:color w:val="000000" w:themeColor="text1"/>
                <w:sz w:val="20"/>
                <w:szCs w:val="20"/>
                <w:lang w:val="en-PH" w:eastAsia="en-PH"/>
              </w:rPr>
            </w:pPr>
            <w:r w:rsidRPr="009E35ED">
              <w:rPr>
                <w:rFonts w:ascii="Arial Narrow" w:hAnsi="Arial Narrow"/>
                <w:color w:val="000000" w:themeColor="text1"/>
                <w:sz w:val="20"/>
                <w:szCs w:val="20"/>
              </w:rPr>
              <w:t xml:space="preserve"> </w:t>
            </w:r>
          </w:p>
        </w:tc>
      </w:tr>
      <w:tr w:rsidR="00997F75" w:rsidRPr="009E35ED" w14:paraId="72305D42" w14:textId="77777777" w:rsidTr="00C26DA1">
        <w:trPr>
          <w:trHeight w:val="75"/>
        </w:trPr>
        <w:tc>
          <w:tcPr>
            <w:tcW w:w="7286" w:type="dxa"/>
            <w:tcBorders>
              <w:top w:val="nil"/>
              <w:left w:val="nil"/>
              <w:bottom w:val="nil"/>
              <w:right w:val="nil"/>
            </w:tcBorders>
            <w:shd w:val="clear" w:color="auto" w:fill="auto"/>
            <w:hideMark/>
          </w:tcPr>
          <w:p w14:paraId="0D9C68EF" w14:textId="1E3C7CD8" w:rsidR="00294023" w:rsidRPr="009E35ED" w:rsidRDefault="00294023" w:rsidP="00294023">
            <w:pPr>
              <w:ind w:left="0"/>
              <w:jc w:val="left"/>
              <w:rPr>
                <w:rFonts w:ascii="Arial Narrow" w:hAnsi="Arial Narrow" w:cs="Arial"/>
                <w:color w:val="000000" w:themeColor="text1"/>
                <w:sz w:val="20"/>
                <w:szCs w:val="20"/>
                <w:lang w:val="en-PH" w:eastAsia="en-PH"/>
              </w:rPr>
            </w:pPr>
            <w:r w:rsidRPr="009E35ED">
              <w:rPr>
                <w:rFonts w:ascii="Arial Narrow" w:hAnsi="Arial Narrow"/>
                <w:color w:val="000000" w:themeColor="text1"/>
                <w:sz w:val="20"/>
                <w:szCs w:val="20"/>
              </w:rPr>
              <w:t xml:space="preserve">Unrestated </w:t>
            </w:r>
            <w:r w:rsidR="009C7FFC">
              <w:rPr>
                <w:rFonts w:ascii="Arial Narrow" w:hAnsi="Arial Narrow"/>
                <w:color w:val="000000" w:themeColor="text1"/>
                <w:sz w:val="20"/>
                <w:szCs w:val="20"/>
              </w:rPr>
              <w:t>a</w:t>
            </w:r>
            <w:r w:rsidRPr="009E35ED">
              <w:rPr>
                <w:rFonts w:ascii="Arial Narrow" w:hAnsi="Arial Narrow"/>
                <w:color w:val="000000" w:themeColor="text1"/>
                <w:sz w:val="20"/>
                <w:szCs w:val="20"/>
              </w:rPr>
              <w:t>mount as of December 31, 2022</w:t>
            </w:r>
          </w:p>
        </w:tc>
        <w:tc>
          <w:tcPr>
            <w:tcW w:w="1716" w:type="dxa"/>
            <w:tcBorders>
              <w:top w:val="nil"/>
              <w:left w:val="nil"/>
              <w:bottom w:val="nil"/>
              <w:right w:val="nil"/>
            </w:tcBorders>
            <w:shd w:val="clear" w:color="auto" w:fill="auto"/>
            <w:noWrap/>
            <w:hideMark/>
          </w:tcPr>
          <w:p w14:paraId="44725B96" w14:textId="123D1CB4" w:rsidR="00294023" w:rsidRPr="009E35ED" w:rsidRDefault="00294023" w:rsidP="00CA106D">
            <w:pPr>
              <w:ind w:left="0"/>
              <w:jc w:val="right"/>
              <w:rPr>
                <w:rFonts w:ascii="Arial Narrow" w:hAnsi="Arial Narrow" w:cs="Arial"/>
                <w:color w:val="000000" w:themeColor="text1"/>
                <w:sz w:val="20"/>
                <w:szCs w:val="20"/>
                <w:lang w:val="en-PH" w:eastAsia="en-PH"/>
              </w:rPr>
            </w:pPr>
            <w:r w:rsidRPr="009E35ED">
              <w:rPr>
                <w:rFonts w:ascii="Arial Narrow" w:hAnsi="Arial Narrow"/>
                <w:color w:val="000000" w:themeColor="text1"/>
                <w:sz w:val="20"/>
                <w:szCs w:val="20"/>
              </w:rPr>
              <w:t xml:space="preserve"> 8,306,40</w:t>
            </w:r>
            <w:r w:rsidR="00CA106D" w:rsidRPr="009E35ED">
              <w:rPr>
                <w:rFonts w:ascii="Arial Narrow" w:hAnsi="Arial Narrow"/>
                <w:color w:val="000000" w:themeColor="text1"/>
                <w:sz w:val="20"/>
                <w:szCs w:val="20"/>
              </w:rPr>
              <w:t>7</w:t>
            </w:r>
            <w:r w:rsidRPr="009E35ED">
              <w:rPr>
                <w:rFonts w:ascii="Arial Narrow" w:hAnsi="Arial Narrow"/>
                <w:color w:val="000000" w:themeColor="text1"/>
                <w:sz w:val="20"/>
                <w:szCs w:val="20"/>
              </w:rPr>
              <w:t xml:space="preserve"> </w:t>
            </w:r>
          </w:p>
        </w:tc>
      </w:tr>
      <w:tr w:rsidR="00997F75" w:rsidRPr="009E35ED" w14:paraId="5836E649" w14:textId="77777777" w:rsidTr="00C26DA1">
        <w:trPr>
          <w:trHeight w:val="75"/>
        </w:trPr>
        <w:tc>
          <w:tcPr>
            <w:tcW w:w="7286" w:type="dxa"/>
            <w:tcBorders>
              <w:top w:val="nil"/>
              <w:left w:val="nil"/>
              <w:bottom w:val="nil"/>
              <w:right w:val="nil"/>
            </w:tcBorders>
            <w:shd w:val="clear" w:color="auto" w:fill="auto"/>
            <w:hideMark/>
          </w:tcPr>
          <w:p w14:paraId="0B2F581C" w14:textId="139B648A" w:rsidR="00294023" w:rsidRPr="009E35ED" w:rsidRDefault="00294023" w:rsidP="00294023">
            <w:pPr>
              <w:ind w:left="0"/>
              <w:jc w:val="left"/>
              <w:rPr>
                <w:rFonts w:ascii="Arial Narrow" w:hAnsi="Arial Narrow" w:cs="Arial"/>
                <w:color w:val="000000" w:themeColor="text1"/>
                <w:sz w:val="20"/>
                <w:szCs w:val="20"/>
                <w:lang w:val="en-PH" w:eastAsia="en-PH"/>
              </w:rPr>
            </w:pPr>
            <w:r w:rsidRPr="009E35ED">
              <w:rPr>
                <w:rFonts w:ascii="Arial Narrow" w:hAnsi="Arial Narrow"/>
                <w:color w:val="000000" w:themeColor="text1"/>
                <w:sz w:val="20"/>
                <w:szCs w:val="20"/>
              </w:rPr>
              <w:t xml:space="preserve">Adjustment/Recording of </w:t>
            </w:r>
            <w:r w:rsidR="009C7FFC">
              <w:rPr>
                <w:rFonts w:ascii="Arial Narrow" w:hAnsi="Arial Narrow"/>
                <w:color w:val="000000" w:themeColor="text1"/>
                <w:sz w:val="20"/>
                <w:szCs w:val="20"/>
              </w:rPr>
              <w:t>i</w:t>
            </w:r>
            <w:r w:rsidRPr="009E35ED">
              <w:rPr>
                <w:rFonts w:ascii="Arial Narrow" w:hAnsi="Arial Narrow"/>
                <w:color w:val="000000" w:themeColor="text1"/>
                <w:sz w:val="20"/>
                <w:szCs w:val="20"/>
              </w:rPr>
              <w:t xml:space="preserve">nsurance </w:t>
            </w:r>
            <w:r w:rsidR="009C7FFC">
              <w:rPr>
                <w:rFonts w:ascii="Arial Narrow" w:hAnsi="Arial Narrow"/>
                <w:color w:val="000000" w:themeColor="text1"/>
                <w:sz w:val="20"/>
                <w:szCs w:val="20"/>
              </w:rPr>
              <w:t>e</w:t>
            </w:r>
            <w:r w:rsidRPr="009E35ED">
              <w:rPr>
                <w:rFonts w:ascii="Arial Narrow" w:hAnsi="Arial Narrow"/>
                <w:color w:val="000000" w:themeColor="text1"/>
                <w:sz w:val="20"/>
                <w:szCs w:val="20"/>
              </w:rPr>
              <w:t>xpense - Branch</w:t>
            </w:r>
          </w:p>
        </w:tc>
        <w:tc>
          <w:tcPr>
            <w:tcW w:w="1716" w:type="dxa"/>
            <w:tcBorders>
              <w:top w:val="nil"/>
              <w:left w:val="nil"/>
              <w:bottom w:val="nil"/>
              <w:right w:val="nil"/>
            </w:tcBorders>
            <w:shd w:val="clear" w:color="auto" w:fill="auto"/>
            <w:noWrap/>
            <w:hideMark/>
          </w:tcPr>
          <w:p w14:paraId="3253E9A3" w14:textId="5E8A61B1" w:rsidR="00294023" w:rsidRPr="009E35ED" w:rsidRDefault="00294023" w:rsidP="00294023">
            <w:pPr>
              <w:ind w:left="0"/>
              <w:jc w:val="right"/>
              <w:rPr>
                <w:rFonts w:ascii="Arial Narrow" w:hAnsi="Arial Narrow" w:cs="Arial"/>
                <w:color w:val="000000" w:themeColor="text1"/>
                <w:sz w:val="20"/>
                <w:szCs w:val="20"/>
                <w:lang w:val="en-PH" w:eastAsia="en-PH"/>
              </w:rPr>
            </w:pPr>
            <w:r w:rsidRPr="009E35ED">
              <w:rPr>
                <w:rFonts w:ascii="Arial Narrow" w:hAnsi="Arial Narrow"/>
                <w:color w:val="000000" w:themeColor="text1"/>
                <w:sz w:val="20"/>
                <w:szCs w:val="20"/>
              </w:rPr>
              <w:t xml:space="preserve"> 1,853 </w:t>
            </w:r>
          </w:p>
        </w:tc>
      </w:tr>
      <w:tr w:rsidR="00997F75" w:rsidRPr="009E35ED" w14:paraId="3140A843" w14:textId="77777777" w:rsidTr="00C26DA1">
        <w:trPr>
          <w:trHeight w:val="65"/>
        </w:trPr>
        <w:tc>
          <w:tcPr>
            <w:tcW w:w="7286" w:type="dxa"/>
            <w:tcBorders>
              <w:top w:val="single" w:sz="4" w:space="0" w:color="auto"/>
              <w:left w:val="nil"/>
              <w:bottom w:val="double" w:sz="6" w:space="0" w:color="auto"/>
              <w:right w:val="nil"/>
            </w:tcBorders>
            <w:shd w:val="clear" w:color="auto" w:fill="auto"/>
            <w:hideMark/>
          </w:tcPr>
          <w:p w14:paraId="4D2D50B7" w14:textId="70FDD2D3" w:rsidR="00294023" w:rsidRPr="009E35ED" w:rsidRDefault="00294023" w:rsidP="00294023">
            <w:pPr>
              <w:ind w:left="0"/>
              <w:jc w:val="left"/>
              <w:rPr>
                <w:rFonts w:ascii="Arial Narrow" w:hAnsi="Arial Narrow" w:cs="Arial"/>
                <w:b/>
                <w:bCs/>
                <w:color w:val="000000" w:themeColor="text1"/>
                <w:sz w:val="20"/>
                <w:szCs w:val="20"/>
                <w:lang w:val="en-PH" w:eastAsia="en-PH"/>
              </w:rPr>
            </w:pPr>
            <w:r w:rsidRPr="009E35ED">
              <w:rPr>
                <w:rFonts w:ascii="Arial Narrow" w:hAnsi="Arial Narrow"/>
                <w:b/>
                <w:bCs/>
                <w:color w:val="000000" w:themeColor="text1"/>
                <w:sz w:val="20"/>
                <w:szCs w:val="20"/>
              </w:rPr>
              <w:t>Restated Amount as of December 31, 2022 - Insurance Expense (Operating Fund)</w:t>
            </w:r>
          </w:p>
        </w:tc>
        <w:tc>
          <w:tcPr>
            <w:tcW w:w="1716" w:type="dxa"/>
            <w:tcBorders>
              <w:top w:val="single" w:sz="4" w:space="0" w:color="auto"/>
              <w:left w:val="nil"/>
              <w:bottom w:val="double" w:sz="6" w:space="0" w:color="auto"/>
              <w:right w:val="nil"/>
            </w:tcBorders>
            <w:shd w:val="clear" w:color="auto" w:fill="auto"/>
            <w:noWrap/>
            <w:hideMark/>
          </w:tcPr>
          <w:p w14:paraId="5E7E6049" w14:textId="4136D1E9" w:rsidR="00294023" w:rsidRPr="009E35ED" w:rsidRDefault="00294023" w:rsidP="00CA106D">
            <w:pPr>
              <w:ind w:left="0"/>
              <w:jc w:val="right"/>
              <w:rPr>
                <w:rFonts w:ascii="Arial Narrow" w:hAnsi="Arial Narrow" w:cs="Arial"/>
                <w:b/>
                <w:bCs/>
                <w:color w:val="000000" w:themeColor="text1"/>
                <w:sz w:val="20"/>
                <w:szCs w:val="20"/>
                <w:lang w:val="en-PH" w:eastAsia="en-PH"/>
              </w:rPr>
            </w:pPr>
            <w:r w:rsidRPr="009E35ED">
              <w:rPr>
                <w:rFonts w:ascii="Arial Narrow" w:hAnsi="Arial Narrow"/>
                <w:b/>
                <w:bCs/>
                <w:color w:val="000000" w:themeColor="text1"/>
                <w:sz w:val="20"/>
                <w:szCs w:val="20"/>
              </w:rPr>
              <w:t xml:space="preserve"> 8,308,26</w:t>
            </w:r>
            <w:r w:rsidR="00CA106D" w:rsidRPr="009E35ED">
              <w:rPr>
                <w:rFonts w:ascii="Arial Narrow" w:hAnsi="Arial Narrow"/>
                <w:b/>
                <w:bCs/>
                <w:color w:val="000000" w:themeColor="text1"/>
                <w:sz w:val="20"/>
                <w:szCs w:val="20"/>
              </w:rPr>
              <w:t>0</w:t>
            </w:r>
            <w:r w:rsidRPr="009E35ED">
              <w:rPr>
                <w:rFonts w:ascii="Arial Narrow" w:hAnsi="Arial Narrow"/>
                <w:b/>
                <w:bCs/>
                <w:color w:val="000000" w:themeColor="text1"/>
                <w:sz w:val="20"/>
                <w:szCs w:val="20"/>
              </w:rPr>
              <w:t xml:space="preserve"> </w:t>
            </w:r>
          </w:p>
        </w:tc>
      </w:tr>
      <w:tr w:rsidR="00997F75" w:rsidRPr="009E35ED" w14:paraId="2F03A9B9" w14:textId="77777777" w:rsidTr="00C26DA1">
        <w:trPr>
          <w:trHeight w:val="300"/>
        </w:trPr>
        <w:tc>
          <w:tcPr>
            <w:tcW w:w="7286" w:type="dxa"/>
            <w:tcBorders>
              <w:top w:val="nil"/>
              <w:left w:val="nil"/>
              <w:bottom w:val="nil"/>
              <w:right w:val="nil"/>
            </w:tcBorders>
            <w:shd w:val="clear" w:color="auto" w:fill="auto"/>
            <w:vAlign w:val="bottom"/>
            <w:hideMark/>
          </w:tcPr>
          <w:p w14:paraId="1883E0B8" w14:textId="77777777" w:rsidR="00240956" w:rsidRPr="009E35ED" w:rsidRDefault="00240956" w:rsidP="00240956">
            <w:pPr>
              <w:ind w:left="0"/>
              <w:jc w:val="left"/>
              <w:rPr>
                <w:rFonts w:ascii="Arial Narrow" w:hAnsi="Arial Narrow" w:cs="Arial"/>
                <w:b/>
                <w:bCs/>
                <w:color w:val="000000" w:themeColor="text1"/>
                <w:sz w:val="20"/>
                <w:szCs w:val="20"/>
                <w:lang w:val="en-PH" w:eastAsia="en-PH"/>
              </w:rPr>
            </w:pPr>
          </w:p>
        </w:tc>
        <w:tc>
          <w:tcPr>
            <w:tcW w:w="1716" w:type="dxa"/>
            <w:tcBorders>
              <w:top w:val="nil"/>
              <w:left w:val="nil"/>
              <w:bottom w:val="nil"/>
              <w:right w:val="nil"/>
            </w:tcBorders>
            <w:shd w:val="clear" w:color="auto" w:fill="auto"/>
            <w:noWrap/>
            <w:vAlign w:val="bottom"/>
            <w:hideMark/>
          </w:tcPr>
          <w:p w14:paraId="1650A62C" w14:textId="77777777" w:rsidR="00240956" w:rsidRPr="009E35ED" w:rsidRDefault="00240956" w:rsidP="00240956">
            <w:pPr>
              <w:ind w:left="0"/>
              <w:jc w:val="right"/>
              <w:rPr>
                <w:rFonts w:ascii="Arial Narrow" w:hAnsi="Arial Narrow"/>
                <w:color w:val="000000" w:themeColor="text1"/>
                <w:sz w:val="20"/>
                <w:szCs w:val="20"/>
                <w:lang w:val="en-PH" w:eastAsia="en-PH"/>
              </w:rPr>
            </w:pPr>
          </w:p>
        </w:tc>
      </w:tr>
      <w:tr w:rsidR="00997F75" w:rsidRPr="009E35ED" w14:paraId="611566E7" w14:textId="77777777" w:rsidTr="00C26DA1">
        <w:trPr>
          <w:trHeight w:val="285"/>
        </w:trPr>
        <w:tc>
          <w:tcPr>
            <w:tcW w:w="7286" w:type="dxa"/>
            <w:tcBorders>
              <w:top w:val="nil"/>
              <w:left w:val="nil"/>
              <w:bottom w:val="nil"/>
              <w:right w:val="nil"/>
            </w:tcBorders>
            <w:shd w:val="clear" w:color="auto" w:fill="auto"/>
            <w:hideMark/>
          </w:tcPr>
          <w:p w14:paraId="3A92D97A" w14:textId="4B6CB2E9" w:rsidR="00596092" w:rsidRPr="009E35ED" w:rsidRDefault="00596092" w:rsidP="00596092">
            <w:pPr>
              <w:ind w:left="0"/>
              <w:jc w:val="left"/>
              <w:rPr>
                <w:rFonts w:ascii="Arial Narrow" w:hAnsi="Arial Narrow" w:cs="Arial"/>
                <w:color w:val="000000" w:themeColor="text1"/>
                <w:sz w:val="20"/>
                <w:szCs w:val="20"/>
                <w:lang w:val="en-PH" w:eastAsia="en-PH"/>
              </w:rPr>
            </w:pPr>
            <w:r w:rsidRPr="009E35ED">
              <w:rPr>
                <w:rFonts w:ascii="Arial Narrow" w:hAnsi="Arial Narrow"/>
                <w:color w:val="000000" w:themeColor="text1"/>
                <w:sz w:val="20"/>
                <w:szCs w:val="20"/>
              </w:rPr>
              <w:t xml:space="preserve">Unrestated </w:t>
            </w:r>
            <w:r w:rsidR="009C7FFC">
              <w:rPr>
                <w:rFonts w:ascii="Arial Narrow" w:hAnsi="Arial Narrow"/>
                <w:color w:val="000000" w:themeColor="text1"/>
                <w:sz w:val="20"/>
                <w:szCs w:val="20"/>
              </w:rPr>
              <w:t>a</w:t>
            </w:r>
            <w:r w:rsidRPr="009E35ED">
              <w:rPr>
                <w:rFonts w:ascii="Arial Narrow" w:hAnsi="Arial Narrow"/>
                <w:color w:val="000000" w:themeColor="text1"/>
                <w:sz w:val="20"/>
                <w:szCs w:val="20"/>
              </w:rPr>
              <w:t>mount as of December 31, 2022</w:t>
            </w:r>
          </w:p>
        </w:tc>
        <w:tc>
          <w:tcPr>
            <w:tcW w:w="1716" w:type="dxa"/>
            <w:tcBorders>
              <w:top w:val="nil"/>
              <w:left w:val="nil"/>
              <w:bottom w:val="nil"/>
              <w:right w:val="nil"/>
            </w:tcBorders>
            <w:shd w:val="clear" w:color="auto" w:fill="auto"/>
            <w:noWrap/>
            <w:hideMark/>
          </w:tcPr>
          <w:p w14:paraId="2EADEACC" w14:textId="1A10A850" w:rsidR="00596092" w:rsidRPr="009E35ED" w:rsidRDefault="00596092" w:rsidP="00596092">
            <w:pPr>
              <w:ind w:left="0"/>
              <w:jc w:val="right"/>
              <w:rPr>
                <w:rFonts w:ascii="Arial Narrow" w:hAnsi="Arial Narrow" w:cs="Arial"/>
                <w:color w:val="000000" w:themeColor="text1"/>
                <w:sz w:val="20"/>
                <w:szCs w:val="20"/>
                <w:lang w:val="en-PH" w:eastAsia="en-PH"/>
              </w:rPr>
            </w:pPr>
            <w:r w:rsidRPr="009E35ED">
              <w:rPr>
                <w:rFonts w:ascii="Arial Narrow" w:hAnsi="Arial Narrow"/>
                <w:color w:val="000000" w:themeColor="text1"/>
                <w:sz w:val="20"/>
                <w:szCs w:val="20"/>
              </w:rPr>
              <w:t xml:space="preserve"> 21,553,612 </w:t>
            </w:r>
          </w:p>
        </w:tc>
      </w:tr>
      <w:tr w:rsidR="00997F75" w:rsidRPr="009E35ED" w14:paraId="46C1C649" w14:textId="77777777" w:rsidTr="00C26DA1">
        <w:trPr>
          <w:trHeight w:val="75"/>
        </w:trPr>
        <w:tc>
          <w:tcPr>
            <w:tcW w:w="7286" w:type="dxa"/>
            <w:tcBorders>
              <w:top w:val="nil"/>
              <w:left w:val="nil"/>
              <w:bottom w:val="nil"/>
              <w:right w:val="nil"/>
            </w:tcBorders>
            <w:shd w:val="clear" w:color="auto" w:fill="auto"/>
            <w:hideMark/>
          </w:tcPr>
          <w:p w14:paraId="0D19A11C" w14:textId="46076059" w:rsidR="00596092" w:rsidRPr="009E35ED" w:rsidRDefault="00596092" w:rsidP="00596092">
            <w:pPr>
              <w:ind w:left="0"/>
              <w:jc w:val="left"/>
              <w:rPr>
                <w:rFonts w:ascii="Arial Narrow" w:hAnsi="Arial Narrow" w:cs="Arial"/>
                <w:color w:val="000000" w:themeColor="text1"/>
                <w:sz w:val="20"/>
                <w:szCs w:val="20"/>
                <w:lang w:val="en-PH" w:eastAsia="en-PH"/>
              </w:rPr>
            </w:pPr>
            <w:r w:rsidRPr="009E35ED">
              <w:rPr>
                <w:rFonts w:ascii="Arial Narrow" w:hAnsi="Arial Narrow"/>
                <w:color w:val="000000" w:themeColor="text1"/>
                <w:sz w:val="20"/>
                <w:szCs w:val="20"/>
              </w:rPr>
              <w:t xml:space="preserve">Adjustment/Recording of </w:t>
            </w:r>
            <w:r w:rsidR="009C7FFC">
              <w:rPr>
                <w:rFonts w:ascii="Arial Narrow" w:hAnsi="Arial Narrow"/>
                <w:color w:val="000000" w:themeColor="text1"/>
                <w:sz w:val="20"/>
                <w:szCs w:val="20"/>
              </w:rPr>
              <w:t>p</w:t>
            </w:r>
            <w:r w:rsidRPr="009E35ED">
              <w:rPr>
                <w:rFonts w:ascii="Arial Narrow" w:hAnsi="Arial Narrow"/>
                <w:color w:val="000000" w:themeColor="text1"/>
                <w:sz w:val="20"/>
                <w:szCs w:val="20"/>
              </w:rPr>
              <w:t xml:space="preserve">rinting and </w:t>
            </w:r>
            <w:r w:rsidR="009C7FFC">
              <w:rPr>
                <w:rFonts w:ascii="Arial Narrow" w:hAnsi="Arial Narrow"/>
                <w:color w:val="000000" w:themeColor="text1"/>
                <w:sz w:val="20"/>
                <w:szCs w:val="20"/>
              </w:rPr>
              <w:t>p</w:t>
            </w:r>
            <w:r w:rsidRPr="009E35ED">
              <w:rPr>
                <w:rFonts w:ascii="Arial Narrow" w:hAnsi="Arial Narrow"/>
                <w:color w:val="000000" w:themeColor="text1"/>
                <w:sz w:val="20"/>
                <w:szCs w:val="20"/>
              </w:rPr>
              <w:t xml:space="preserve">ublication </w:t>
            </w:r>
            <w:r w:rsidR="009C7FFC">
              <w:rPr>
                <w:rFonts w:ascii="Arial Narrow" w:hAnsi="Arial Narrow"/>
                <w:color w:val="000000" w:themeColor="text1"/>
                <w:sz w:val="20"/>
                <w:szCs w:val="20"/>
              </w:rPr>
              <w:t>e</w:t>
            </w:r>
            <w:r w:rsidRPr="009E35ED">
              <w:rPr>
                <w:rFonts w:ascii="Arial Narrow" w:hAnsi="Arial Narrow"/>
                <w:color w:val="000000" w:themeColor="text1"/>
                <w:sz w:val="20"/>
                <w:szCs w:val="20"/>
              </w:rPr>
              <w:t>xpenses - STL - Head Office</w:t>
            </w:r>
          </w:p>
        </w:tc>
        <w:tc>
          <w:tcPr>
            <w:tcW w:w="1716" w:type="dxa"/>
            <w:tcBorders>
              <w:top w:val="nil"/>
              <w:left w:val="nil"/>
              <w:bottom w:val="nil"/>
              <w:right w:val="nil"/>
            </w:tcBorders>
            <w:shd w:val="clear" w:color="auto" w:fill="auto"/>
            <w:noWrap/>
            <w:hideMark/>
          </w:tcPr>
          <w:p w14:paraId="2B4665F2" w14:textId="3CF5A286" w:rsidR="00596092" w:rsidRPr="009E35ED" w:rsidRDefault="00596092" w:rsidP="00596092">
            <w:pPr>
              <w:ind w:left="0"/>
              <w:jc w:val="right"/>
              <w:rPr>
                <w:rFonts w:ascii="Arial Narrow" w:hAnsi="Arial Narrow" w:cs="Arial"/>
                <w:color w:val="000000" w:themeColor="text1"/>
                <w:sz w:val="20"/>
                <w:szCs w:val="20"/>
                <w:lang w:val="en-PH" w:eastAsia="en-PH"/>
              </w:rPr>
            </w:pPr>
            <w:r w:rsidRPr="009E35ED">
              <w:rPr>
                <w:rFonts w:ascii="Arial Narrow" w:hAnsi="Arial Narrow"/>
                <w:color w:val="000000" w:themeColor="text1"/>
                <w:sz w:val="20"/>
                <w:szCs w:val="20"/>
              </w:rPr>
              <w:t xml:space="preserve"> 568,560,811 </w:t>
            </w:r>
          </w:p>
        </w:tc>
      </w:tr>
      <w:tr w:rsidR="00997F75" w:rsidRPr="009E35ED" w14:paraId="21E0A676" w14:textId="77777777" w:rsidTr="00C26DA1">
        <w:trPr>
          <w:trHeight w:val="65"/>
        </w:trPr>
        <w:tc>
          <w:tcPr>
            <w:tcW w:w="7286" w:type="dxa"/>
            <w:tcBorders>
              <w:top w:val="single" w:sz="4" w:space="0" w:color="auto"/>
              <w:left w:val="nil"/>
              <w:bottom w:val="double" w:sz="6" w:space="0" w:color="auto"/>
              <w:right w:val="nil"/>
            </w:tcBorders>
            <w:shd w:val="clear" w:color="auto" w:fill="auto"/>
            <w:hideMark/>
          </w:tcPr>
          <w:p w14:paraId="12E0C267" w14:textId="76EDC645" w:rsidR="00596092" w:rsidRPr="009E35ED" w:rsidRDefault="00596092" w:rsidP="00596092">
            <w:pPr>
              <w:ind w:left="0"/>
              <w:jc w:val="left"/>
              <w:rPr>
                <w:rFonts w:ascii="Arial Narrow" w:hAnsi="Arial Narrow" w:cs="Arial"/>
                <w:b/>
                <w:bCs/>
                <w:color w:val="000000" w:themeColor="text1"/>
                <w:sz w:val="20"/>
                <w:szCs w:val="20"/>
                <w:lang w:val="en-PH" w:eastAsia="en-PH"/>
              </w:rPr>
            </w:pPr>
            <w:r w:rsidRPr="009E35ED">
              <w:rPr>
                <w:rFonts w:ascii="Arial Narrow" w:hAnsi="Arial Narrow"/>
                <w:b/>
                <w:bCs/>
                <w:color w:val="000000" w:themeColor="text1"/>
                <w:sz w:val="20"/>
                <w:szCs w:val="20"/>
              </w:rPr>
              <w:t>Restated Amount as of December 31, 2022 - Printing and Publication Expenses (Operating Fund)</w:t>
            </w:r>
          </w:p>
        </w:tc>
        <w:tc>
          <w:tcPr>
            <w:tcW w:w="1716" w:type="dxa"/>
            <w:tcBorders>
              <w:top w:val="single" w:sz="4" w:space="0" w:color="auto"/>
              <w:left w:val="nil"/>
              <w:bottom w:val="double" w:sz="6" w:space="0" w:color="auto"/>
              <w:right w:val="nil"/>
            </w:tcBorders>
            <w:shd w:val="clear" w:color="auto" w:fill="auto"/>
            <w:noWrap/>
            <w:hideMark/>
          </w:tcPr>
          <w:p w14:paraId="7C61E522" w14:textId="77777777" w:rsidR="006D6C6C" w:rsidRPr="009E35ED" w:rsidRDefault="006D6C6C" w:rsidP="00596092">
            <w:pPr>
              <w:ind w:left="0"/>
              <w:jc w:val="right"/>
              <w:rPr>
                <w:rFonts w:ascii="Arial Narrow" w:hAnsi="Arial Narrow"/>
                <w:b/>
                <w:bCs/>
                <w:color w:val="000000" w:themeColor="text1"/>
                <w:sz w:val="20"/>
                <w:szCs w:val="20"/>
              </w:rPr>
            </w:pPr>
          </w:p>
          <w:p w14:paraId="538EA1C3" w14:textId="26EA0F83" w:rsidR="00596092" w:rsidRPr="009E35ED" w:rsidRDefault="00596092" w:rsidP="00596092">
            <w:pPr>
              <w:ind w:left="0"/>
              <w:jc w:val="right"/>
              <w:rPr>
                <w:rFonts w:ascii="Arial Narrow" w:hAnsi="Arial Narrow" w:cs="Arial"/>
                <w:b/>
                <w:bCs/>
                <w:color w:val="000000" w:themeColor="text1"/>
                <w:sz w:val="20"/>
                <w:szCs w:val="20"/>
                <w:lang w:val="en-PH" w:eastAsia="en-PH"/>
              </w:rPr>
            </w:pPr>
            <w:r w:rsidRPr="009E35ED">
              <w:rPr>
                <w:rFonts w:ascii="Arial Narrow" w:hAnsi="Arial Narrow"/>
                <w:b/>
                <w:bCs/>
                <w:color w:val="000000" w:themeColor="text1"/>
                <w:sz w:val="20"/>
                <w:szCs w:val="20"/>
              </w:rPr>
              <w:t xml:space="preserve"> 590,114,423 </w:t>
            </w:r>
          </w:p>
        </w:tc>
      </w:tr>
      <w:tr w:rsidR="00997F75" w:rsidRPr="009E35ED" w14:paraId="6C10AE23" w14:textId="77777777" w:rsidTr="00C26DA1">
        <w:trPr>
          <w:trHeight w:val="300"/>
        </w:trPr>
        <w:tc>
          <w:tcPr>
            <w:tcW w:w="7286" w:type="dxa"/>
            <w:tcBorders>
              <w:top w:val="nil"/>
              <w:left w:val="nil"/>
              <w:bottom w:val="nil"/>
              <w:right w:val="nil"/>
            </w:tcBorders>
            <w:shd w:val="clear" w:color="auto" w:fill="auto"/>
          </w:tcPr>
          <w:p w14:paraId="6B630DDB" w14:textId="21EE0D80" w:rsidR="0073325C" w:rsidRPr="009E35ED" w:rsidRDefault="0073325C" w:rsidP="00596092">
            <w:pPr>
              <w:ind w:left="0"/>
              <w:jc w:val="left"/>
              <w:rPr>
                <w:rFonts w:ascii="Arial Narrow" w:hAnsi="Arial Narrow"/>
                <w:color w:val="000000" w:themeColor="text1"/>
                <w:sz w:val="22"/>
                <w:szCs w:val="22"/>
              </w:rPr>
            </w:pPr>
          </w:p>
        </w:tc>
        <w:tc>
          <w:tcPr>
            <w:tcW w:w="1716" w:type="dxa"/>
            <w:tcBorders>
              <w:top w:val="nil"/>
              <w:left w:val="nil"/>
              <w:bottom w:val="nil"/>
              <w:right w:val="nil"/>
            </w:tcBorders>
            <w:shd w:val="clear" w:color="auto" w:fill="auto"/>
            <w:noWrap/>
            <w:vAlign w:val="bottom"/>
          </w:tcPr>
          <w:p w14:paraId="521789DC" w14:textId="77777777" w:rsidR="001D5E1C" w:rsidRPr="009E35ED" w:rsidRDefault="001D5E1C" w:rsidP="00596092">
            <w:pPr>
              <w:ind w:left="0"/>
              <w:jc w:val="right"/>
              <w:rPr>
                <w:rFonts w:ascii="Arial Narrow" w:hAnsi="Arial Narrow"/>
                <w:color w:val="000000" w:themeColor="text1"/>
                <w:sz w:val="22"/>
                <w:szCs w:val="22"/>
                <w:lang w:val="en-PH" w:eastAsia="en-PH"/>
              </w:rPr>
            </w:pPr>
          </w:p>
        </w:tc>
      </w:tr>
      <w:tr w:rsidR="00997F75" w:rsidRPr="009E35ED" w14:paraId="658B7F10" w14:textId="77777777" w:rsidTr="00C26DA1">
        <w:trPr>
          <w:trHeight w:val="285"/>
        </w:trPr>
        <w:tc>
          <w:tcPr>
            <w:tcW w:w="7286" w:type="dxa"/>
            <w:tcBorders>
              <w:top w:val="nil"/>
              <w:left w:val="nil"/>
              <w:bottom w:val="nil"/>
              <w:right w:val="nil"/>
            </w:tcBorders>
            <w:shd w:val="clear" w:color="auto" w:fill="auto"/>
            <w:hideMark/>
          </w:tcPr>
          <w:p w14:paraId="1E385DEE" w14:textId="24080DC6" w:rsidR="002F44B2" w:rsidRPr="009E35ED" w:rsidRDefault="002F44B2" w:rsidP="002F44B2">
            <w:pPr>
              <w:ind w:left="0"/>
              <w:jc w:val="left"/>
              <w:rPr>
                <w:rFonts w:ascii="Arial Narrow" w:hAnsi="Arial Narrow" w:cs="Arial"/>
                <w:color w:val="000000" w:themeColor="text1"/>
                <w:sz w:val="20"/>
                <w:szCs w:val="20"/>
                <w:lang w:val="en-PH" w:eastAsia="en-PH"/>
              </w:rPr>
            </w:pPr>
            <w:r w:rsidRPr="009E35ED">
              <w:rPr>
                <w:rFonts w:ascii="Arial Narrow" w:hAnsi="Arial Narrow"/>
                <w:color w:val="000000" w:themeColor="text1"/>
                <w:sz w:val="20"/>
                <w:szCs w:val="20"/>
              </w:rPr>
              <w:t xml:space="preserve">Unrestated </w:t>
            </w:r>
            <w:r w:rsidR="009C7FFC">
              <w:rPr>
                <w:rFonts w:ascii="Arial Narrow" w:hAnsi="Arial Narrow"/>
                <w:color w:val="000000" w:themeColor="text1"/>
                <w:sz w:val="20"/>
                <w:szCs w:val="20"/>
              </w:rPr>
              <w:t>a</w:t>
            </w:r>
            <w:r w:rsidRPr="009E35ED">
              <w:rPr>
                <w:rFonts w:ascii="Arial Narrow" w:hAnsi="Arial Narrow"/>
                <w:color w:val="000000" w:themeColor="text1"/>
                <w:sz w:val="20"/>
                <w:szCs w:val="20"/>
              </w:rPr>
              <w:t>mount as of December 31, 2022</w:t>
            </w:r>
          </w:p>
        </w:tc>
        <w:tc>
          <w:tcPr>
            <w:tcW w:w="1716" w:type="dxa"/>
            <w:tcBorders>
              <w:top w:val="nil"/>
              <w:left w:val="nil"/>
              <w:bottom w:val="nil"/>
              <w:right w:val="nil"/>
            </w:tcBorders>
            <w:shd w:val="clear" w:color="auto" w:fill="auto"/>
            <w:noWrap/>
            <w:hideMark/>
          </w:tcPr>
          <w:p w14:paraId="737834B8" w14:textId="0ED0D316" w:rsidR="002F44B2" w:rsidRPr="009E35ED" w:rsidRDefault="002F44B2" w:rsidP="002F44B2">
            <w:pPr>
              <w:ind w:left="0"/>
              <w:jc w:val="right"/>
              <w:rPr>
                <w:rFonts w:ascii="Arial Narrow" w:hAnsi="Arial Narrow" w:cs="Arial"/>
                <w:color w:val="000000" w:themeColor="text1"/>
                <w:sz w:val="20"/>
                <w:szCs w:val="20"/>
                <w:lang w:val="en-PH" w:eastAsia="en-PH"/>
              </w:rPr>
            </w:pPr>
            <w:r w:rsidRPr="009E35ED">
              <w:rPr>
                <w:rFonts w:ascii="Arial Narrow" w:hAnsi="Arial Narrow"/>
                <w:color w:val="000000" w:themeColor="text1"/>
                <w:sz w:val="20"/>
                <w:szCs w:val="20"/>
              </w:rPr>
              <w:t xml:space="preserve"> 3,399,515 </w:t>
            </w:r>
          </w:p>
        </w:tc>
      </w:tr>
      <w:tr w:rsidR="00997F75" w:rsidRPr="009E35ED" w14:paraId="33B841F4" w14:textId="77777777" w:rsidTr="00C26DA1">
        <w:trPr>
          <w:trHeight w:val="75"/>
        </w:trPr>
        <w:tc>
          <w:tcPr>
            <w:tcW w:w="7286" w:type="dxa"/>
            <w:tcBorders>
              <w:top w:val="nil"/>
              <w:left w:val="nil"/>
              <w:bottom w:val="nil"/>
              <w:right w:val="nil"/>
            </w:tcBorders>
            <w:shd w:val="clear" w:color="auto" w:fill="auto"/>
            <w:hideMark/>
          </w:tcPr>
          <w:p w14:paraId="434F4E22" w14:textId="51B1E5F8" w:rsidR="002F44B2" w:rsidRPr="009E35ED" w:rsidRDefault="002F44B2" w:rsidP="002F44B2">
            <w:pPr>
              <w:ind w:left="0"/>
              <w:jc w:val="left"/>
              <w:rPr>
                <w:rFonts w:ascii="Arial Narrow" w:hAnsi="Arial Narrow" w:cs="Arial"/>
                <w:color w:val="000000" w:themeColor="text1"/>
                <w:sz w:val="20"/>
                <w:szCs w:val="20"/>
                <w:lang w:val="en-PH" w:eastAsia="en-PH"/>
              </w:rPr>
            </w:pPr>
            <w:r w:rsidRPr="009E35ED">
              <w:rPr>
                <w:rFonts w:ascii="Arial Narrow" w:hAnsi="Arial Narrow"/>
                <w:color w:val="000000" w:themeColor="text1"/>
                <w:sz w:val="20"/>
                <w:szCs w:val="20"/>
              </w:rPr>
              <w:t xml:space="preserve">Adjustment/Recording of </w:t>
            </w:r>
            <w:r w:rsidR="009C7FFC">
              <w:rPr>
                <w:rFonts w:ascii="Arial Narrow" w:hAnsi="Arial Narrow"/>
                <w:color w:val="000000" w:themeColor="text1"/>
                <w:sz w:val="20"/>
                <w:szCs w:val="20"/>
              </w:rPr>
              <w:t>t</w:t>
            </w:r>
            <w:r w:rsidRPr="009E35ED">
              <w:rPr>
                <w:rFonts w:ascii="Arial Narrow" w:hAnsi="Arial Narrow"/>
                <w:color w:val="000000" w:themeColor="text1"/>
                <w:sz w:val="20"/>
                <w:szCs w:val="20"/>
              </w:rPr>
              <w:t xml:space="preserve">ransportation and </w:t>
            </w:r>
            <w:r w:rsidR="009C7FFC">
              <w:rPr>
                <w:rFonts w:ascii="Arial Narrow" w:hAnsi="Arial Narrow"/>
                <w:color w:val="000000" w:themeColor="text1"/>
                <w:sz w:val="20"/>
                <w:szCs w:val="20"/>
              </w:rPr>
              <w:t>d</w:t>
            </w:r>
            <w:r w:rsidRPr="009E35ED">
              <w:rPr>
                <w:rFonts w:ascii="Arial Narrow" w:hAnsi="Arial Narrow"/>
                <w:color w:val="000000" w:themeColor="text1"/>
                <w:sz w:val="20"/>
                <w:szCs w:val="20"/>
              </w:rPr>
              <w:t xml:space="preserve">elivery </w:t>
            </w:r>
            <w:r w:rsidR="009C7FFC">
              <w:rPr>
                <w:rFonts w:ascii="Arial Narrow" w:hAnsi="Arial Narrow"/>
                <w:color w:val="000000" w:themeColor="text1"/>
                <w:sz w:val="20"/>
                <w:szCs w:val="20"/>
              </w:rPr>
              <w:t>e</w:t>
            </w:r>
            <w:r w:rsidRPr="009E35ED">
              <w:rPr>
                <w:rFonts w:ascii="Arial Narrow" w:hAnsi="Arial Narrow"/>
                <w:color w:val="000000" w:themeColor="text1"/>
                <w:sz w:val="20"/>
                <w:szCs w:val="20"/>
              </w:rPr>
              <w:t>xpenses - Branches</w:t>
            </w:r>
          </w:p>
        </w:tc>
        <w:tc>
          <w:tcPr>
            <w:tcW w:w="1716" w:type="dxa"/>
            <w:tcBorders>
              <w:top w:val="nil"/>
              <w:left w:val="nil"/>
              <w:bottom w:val="nil"/>
              <w:right w:val="nil"/>
            </w:tcBorders>
            <w:shd w:val="clear" w:color="auto" w:fill="auto"/>
            <w:noWrap/>
            <w:hideMark/>
          </w:tcPr>
          <w:p w14:paraId="5475512E" w14:textId="713552CB" w:rsidR="002F44B2" w:rsidRPr="009E35ED" w:rsidRDefault="002F44B2" w:rsidP="00CA106D">
            <w:pPr>
              <w:ind w:left="0"/>
              <w:jc w:val="right"/>
              <w:rPr>
                <w:rFonts w:ascii="Arial Narrow" w:hAnsi="Arial Narrow" w:cs="Arial"/>
                <w:color w:val="000000" w:themeColor="text1"/>
                <w:sz w:val="20"/>
                <w:szCs w:val="20"/>
                <w:lang w:val="en-PH" w:eastAsia="en-PH"/>
              </w:rPr>
            </w:pPr>
            <w:r w:rsidRPr="009E35ED">
              <w:rPr>
                <w:rFonts w:ascii="Arial Narrow" w:hAnsi="Arial Narrow"/>
                <w:color w:val="000000" w:themeColor="text1"/>
                <w:sz w:val="20"/>
                <w:szCs w:val="20"/>
              </w:rPr>
              <w:t xml:space="preserve"> (23,</w:t>
            </w:r>
            <w:r w:rsidR="00CA106D" w:rsidRPr="009E35ED">
              <w:rPr>
                <w:rFonts w:ascii="Arial Narrow" w:hAnsi="Arial Narrow"/>
                <w:color w:val="000000" w:themeColor="text1"/>
                <w:sz w:val="20"/>
                <w:szCs w:val="20"/>
              </w:rPr>
              <w:t>283</w:t>
            </w:r>
            <w:r w:rsidRPr="009E35ED">
              <w:rPr>
                <w:rFonts w:ascii="Arial Narrow" w:hAnsi="Arial Narrow"/>
                <w:color w:val="000000" w:themeColor="text1"/>
                <w:sz w:val="20"/>
                <w:szCs w:val="20"/>
              </w:rPr>
              <w:t>)</w:t>
            </w:r>
          </w:p>
        </w:tc>
      </w:tr>
      <w:tr w:rsidR="00997F75" w:rsidRPr="009E35ED" w14:paraId="1624E9FC" w14:textId="77777777" w:rsidTr="00C26DA1">
        <w:trPr>
          <w:trHeight w:val="65"/>
        </w:trPr>
        <w:tc>
          <w:tcPr>
            <w:tcW w:w="7286" w:type="dxa"/>
            <w:tcBorders>
              <w:top w:val="single" w:sz="4" w:space="0" w:color="auto"/>
              <w:left w:val="nil"/>
              <w:bottom w:val="double" w:sz="6" w:space="0" w:color="auto"/>
              <w:right w:val="nil"/>
            </w:tcBorders>
            <w:shd w:val="clear" w:color="auto" w:fill="auto"/>
            <w:hideMark/>
          </w:tcPr>
          <w:p w14:paraId="3EC70B3A" w14:textId="4214EC8F" w:rsidR="002F44B2" w:rsidRPr="009E35ED" w:rsidRDefault="002F44B2" w:rsidP="002F44B2">
            <w:pPr>
              <w:ind w:left="0"/>
              <w:jc w:val="left"/>
              <w:rPr>
                <w:rFonts w:ascii="Arial Narrow" w:hAnsi="Arial Narrow" w:cs="Arial"/>
                <w:b/>
                <w:bCs/>
                <w:color w:val="000000" w:themeColor="text1"/>
                <w:sz w:val="20"/>
                <w:szCs w:val="20"/>
                <w:lang w:val="en-PH" w:eastAsia="en-PH"/>
              </w:rPr>
            </w:pPr>
            <w:r w:rsidRPr="009E35ED">
              <w:rPr>
                <w:rFonts w:ascii="Arial Narrow" w:hAnsi="Arial Narrow"/>
                <w:b/>
                <w:bCs/>
                <w:color w:val="000000" w:themeColor="text1"/>
                <w:sz w:val="20"/>
                <w:szCs w:val="20"/>
              </w:rPr>
              <w:t>Restated Amount as of December 31, 2022 - Transportation and Delivery Expenses (Operating Fund)</w:t>
            </w:r>
          </w:p>
        </w:tc>
        <w:tc>
          <w:tcPr>
            <w:tcW w:w="1716" w:type="dxa"/>
            <w:tcBorders>
              <w:top w:val="single" w:sz="4" w:space="0" w:color="auto"/>
              <w:left w:val="nil"/>
              <w:bottom w:val="double" w:sz="6" w:space="0" w:color="auto"/>
              <w:right w:val="nil"/>
            </w:tcBorders>
            <w:shd w:val="clear" w:color="auto" w:fill="auto"/>
            <w:noWrap/>
            <w:hideMark/>
          </w:tcPr>
          <w:p w14:paraId="1C43C64A" w14:textId="77777777" w:rsidR="00CA106D" w:rsidRPr="009E35ED" w:rsidRDefault="00CA106D" w:rsidP="002F44B2">
            <w:pPr>
              <w:ind w:left="0"/>
              <w:jc w:val="right"/>
              <w:rPr>
                <w:rFonts w:ascii="Arial Narrow" w:hAnsi="Arial Narrow"/>
                <w:b/>
                <w:bCs/>
                <w:color w:val="000000" w:themeColor="text1"/>
                <w:sz w:val="20"/>
                <w:szCs w:val="20"/>
              </w:rPr>
            </w:pPr>
          </w:p>
          <w:p w14:paraId="750684E3" w14:textId="5CE5ED43" w:rsidR="002F44B2" w:rsidRPr="009E35ED" w:rsidRDefault="002F44B2" w:rsidP="00CA106D">
            <w:pPr>
              <w:ind w:left="0"/>
              <w:jc w:val="right"/>
              <w:rPr>
                <w:rFonts w:ascii="Arial Narrow" w:hAnsi="Arial Narrow" w:cs="Arial"/>
                <w:b/>
                <w:bCs/>
                <w:color w:val="000000" w:themeColor="text1"/>
                <w:sz w:val="20"/>
                <w:szCs w:val="20"/>
                <w:lang w:val="en-PH" w:eastAsia="en-PH"/>
              </w:rPr>
            </w:pPr>
            <w:r w:rsidRPr="009E35ED">
              <w:rPr>
                <w:rFonts w:ascii="Arial Narrow" w:hAnsi="Arial Narrow"/>
                <w:b/>
                <w:bCs/>
                <w:color w:val="000000" w:themeColor="text1"/>
                <w:sz w:val="20"/>
                <w:szCs w:val="20"/>
              </w:rPr>
              <w:t xml:space="preserve"> 3,376,</w:t>
            </w:r>
            <w:r w:rsidR="00CA106D" w:rsidRPr="009E35ED">
              <w:rPr>
                <w:rFonts w:ascii="Arial Narrow" w:hAnsi="Arial Narrow"/>
                <w:b/>
                <w:bCs/>
                <w:color w:val="000000" w:themeColor="text1"/>
                <w:sz w:val="20"/>
                <w:szCs w:val="20"/>
              </w:rPr>
              <w:t>232</w:t>
            </w:r>
            <w:r w:rsidRPr="009E35ED">
              <w:rPr>
                <w:rFonts w:ascii="Arial Narrow" w:hAnsi="Arial Narrow"/>
                <w:b/>
                <w:bCs/>
                <w:color w:val="000000" w:themeColor="text1"/>
                <w:sz w:val="20"/>
                <w:szCs w:val="20"/>
              </w:rPr>
              <w:t xml:space="preserve"> </w:t>
            </w:r>
          </w:p>
        </w:tc>
      </w:tr>
      <w:tr w:rsidR="00997F75" w:rsidRPr="009E35ED" w14:paraId="07F5B118" w14:textId="77777777" w:rsidTr="00C26DA1">
        <w:trPr>
          <w:trHeight w:val="300"/>
        </w:trPr>
        <w:tc>
          <w:tcPr>
            <w:tcW w:w="7286" w:type="dxa"/>
            <w:tcBorders>
              <w:top w:val="nil"/>
              <w:left w:val="nil"/>
              <w:bottom w:val="nil"/>
              <w:right w:val="nil"/>
            </w:tcBorders>
            <w:shd w:val="clear" w:color="auto" w:fill="auto"/>
            <w:vAlign w:val="bottom"/>
            <w:hideMark/>
          </w:tcPr>
          <w:p w14:paraId="21312338" w14:textId="0027986C" w:rsidR="00AA29C9" w:rsidRPr="009E35ED" w:rsidRDefault="00AA29C9" w:rsidP="00240956">
            <w:pPr>
              <w:ind w:left="0"/>
              <w:jc w:val="left"/>
              <w:rPr>
                <w:rFonts w:ascii="Arial Narrow" w:hAnsi="Arial Narrow" w:cs="Arial"/>
                <w:b/>
                <w:bCs/>
                <w:color w:val="000000" w:themeColor="text1"/>
                <w:sz w:val="20"/>
                <w:szCs w:val="20"/>
                <w:lang w:val="en-PH" w:eastAsia="en-PH"/>
              </w:rPr>
            </w:pPr>
          </w:p>
        </w:tc>
        <w:tc>
          <w:tcPr>
            <w:tcW w:w="1716" w:type="dxa"/>
            <w:tcBorders>
              <w:top w:val="nil"/>
              <w:left w:val="nil"/>
              <w:bottom w:val="nil"/>
              <w:right w:val="nil"/>
            </w:tcBorders>
            <w:shd w:val="clear" w:color="auto" w:fill="auto"/>
            <w:noWrap/>
            <w:vAlign w:val="bottom"/>
            <w:hideMark/>
          </w:tcPr>
          <w:p w14:paraId="7520D76F" w14:textId="77777777" w:rsidR="00240956" w:rsidRPr="009E35ED" w:rsidRDefault="00240956" w:rsidP="00240956">
            <w:pPr>
              <w:ind w:left="0"/>
              <w:jc w:val="right"/>
              <w:rPr>
                <w:rFonts w:ascii="Arial Narrow" w:hAnsi="Arial Narrow"/>
                <w:color w:val="000000" w:themeColor="text1"/>
                <w:sz w:val="20"/>
                <w:szCs w:val="20"/>
                <w:lang w:val="en-PH" w:eastAsia="en-PH"/>
              </w:rPr>
            </w:pPr>
          </w:p>
        </w:tc>
      </w:tr>
      <w:tr w:rsidR="00997F75" w:rsidRPr="009E35ED" w14:paraId="4F1ACF78" w14:textId="77777777" w:rsidTr="00AD3D41">
        <w:trPr>
          <w:trHeight w:val="285"/>
        </w:trPr>
        <w:tc>
          <w:tcPr>
            <w:tcW w:w="7286" w:type="dxa"/>
            <w:tcBorders>
              <w:top w:val="nil"/>
              <w:left w:val="nil"/>
              <w:bottom w:val="nil"/>
              <w:right w:val="nil"/>
            </w:tcBorders>
            <w:shd w:val="clear" w:color="auto" w:fill="auto"/>
            <w:hideMark/>
          </w:tcPr>
          <w:p w14:paraId="77978B41" w14:textId="30D04AD0" w:rsidR="001E4041" w:rsidRPr="009E35ED" w:rsidRDefault="001E4041" w:rsidP="001E4041">
            <w:pPr>
              <w:ind w:left="0"/>
              <w:jc w:val="left"/>
              <w:rPr>
                <w:rFonts w:ascii="Arial Narrow" w:hAnsi="Arial Narrow" w:cs="Arial"/>
                <w:color w:val="000000" w:themeColor="text1"/>
                <w:sz w:val="20"/>
                <w:szCs w:val="20"/>
                <w:lang w:val="en-PH" w:eastAsia="en-PH"/>
              </w:rPr>
            </w:pPr>
            <w:r w:rsidRPr="009E35ED">
              <w:rPr>
                <w:rFonts w:ascii="Arial Narrow" w:hAnsi="Arial Narrow"/>
                <w:color w:val="000000" w:themeColor="text1"/>
                <w:sz w:val="20"/>
                <w:szCs w:val="20"/>
              </w:rPr>
              <w:t xml:space="preserve">Unrestated </w:t>
            </w:r>
            <w:r w:rsidR="009C7FFC">
              <w:rPr>
                <w:rFonts w:ascii="Arial Narrow" w:hAnsi="Arial Narrow"/>
                <w:color w:val="000000" w:themeColor="text1"/>
                <w:sz w:val="20"/>
                <w:szCs w:val="20"/>
              </w:rPr>
              <w:t>a</w:t>
            </w:r>
            <w:r w:rsidRPr="009E35ED">
              <w:rPr>
                <w:rFonts w:ascii="Arial Narrow" w:hAnsi="Arial Narrow"/>
                <w:color w:val="000000" w:themeColor="text1"/>
                <w:sz w:val="20"/>
                <w:szCs w:val="20"/>
              </w:rPr>
              <w:t>mount as of December 31, 2022</w:t>
            </w:r>
          </w:p>
        </w:tc>
        <w:tc>
          <w:tcPr>
            <w:tcW w:w="1716" w:type="dxa"/>
            <w:tcBorders>
              <w:top w:val="nil"/>
              <w:left w:val="nil"/>
              <w:bottom w:val="nil"/>
              <w:right w:val="nil"/>
            </w:tcBorders>
            <w:shd w:val="clear" w:color="auto" w:fill="auto"/>
            <w:noWrap/>
            <w:hideMark/>
          </w:tcPr>
          <w:p w14:paraId="0BC63CE5" w14:textId="2D64188A" w:rsidR="001E4041" w:rsidRPr="009E35ED" w:rsidRDefault="001E4041" w:rsidP="001E4041">
            <w:pPr>
              <w:ind w:left="0"/>
              <w:jc w:val="right"/>
              <w:rPr>
                <w:rFonts w:ascii="Arial Narrow" w:hAnsi="Arial Narrow" w:cs="Arial"/>
                <w:color w:val="000000" w:themeColor="text1"/>
                <w:sz w:val="20"/>
                <w:szCs w:val="20"/>
                <w:lang w:val="en-PH" w:eastAsia="en-PH"/>
              </w:rPr>
            </w:pPr>
            <w:r w:rsidRPr="009E35ED">
              <w:rPr>
                <w:rFonts w:ascii="Arial Narrow" w:hAnsi="Arial Narrow"/>
                <w:color w:val="000000" w:themeColor="text1"/>
                <w:sz w:val="20"/>
                <w:szCs w:val="20"/>
              </w:rPr>
              <w:t xml:space="preserve"> 287,741,577 </w:t>
            </w:r>
          </w:p>
        </w:tc>
      </w:tr>
      <w:tr w:rsidR="00997F75" w:rsidRPr="009E35ED" w14:paraId="01A452EE" w14:textId="77777777" w:rsidTr="00AD3D41">
        <w:trPr>
          <w:trHeight w:val="75"/>
        </w:trPr>
        <w:tc>
          <w:tcPr>
            <w:tcW w:w="7286" w:type="dxa"/>
            <w:tcBorders>
              <w:top w:val="nil"/>
              <w:left w:val="nil"/>
              <w:bottom w:val="nil"/>
              <w:right w:val="nil"/>
            </w:tcBorders>
            <w:shd w:val="clear" w:color="auto" w:fill="auto"/>
            <w:hideMark/>
          </w:tcPr>
          <w:p w14:paraId="4D371F36" w14:textId="3312CAF3" w:rsidR="001E4041" w:rsidRPr="009E35ED" w:rsidRDefault="001E4041" w:rsidP="001E4041">
            <w:pPr>
              <w:ind w:left="0"/>
              <w:jc w:val="left"/>
              <w:rPr>
                <w:rFonts w:ascii="Arial Narrow" w:hAnsi="Arial Narrow" w:cs="Arial"/>
                <w:color w:val="000000" w:themeColor="text1"/>
                <w:sz w:val="20"/>
                <w:szCs w:val="20"/>
                <w:lang w:val="en-PH" w:eastAsia="en-PH"/>
              </w:rPr>
            </w:pPr>
            <w:r w:rsidRPr="009E35ED">
              <w:rPr>
                <w:rFonts w:ascii="Arial Narrow" w:hAnsi="Arial Narrow"/>
                <w:color w:val="000000" w:themeColor="text1"/>
                <w:sz w:val="20"/>
                <w:szCs w:val="20"/>
              </w:rPr>
              <w:t xml:space="preserve">Adjustment/Recording of </w:t>
            </w:r>
            <w:r w:rsidR="009C7FFC">
              <w:rPr>
                <w:rFonts w:ascii="Arial Narrow" w:hAnsi="Arial Narrow"/>
                <w:color w:val="000000" w:themeColor="text1"/>
                <w:sz w:val="20"/>
                <w:szCs w:val="20"/>
              </w:rPr>
              <w:t>r</w:t>
            </w:r>
            <w:r w:rsidRPr="009E35ED">
              <w:rPr>
                <w:rFonts w:ascii="Arial Narrow" w:hAnsi="Arial Narrow"/>
                <w:color w:val="000000" w:themeColor="text1"/>
                <w:sz w:val="20"/>
                <w:szCs w:val="20"/>
              </w:rPr>
              <w:t xml:space="preserve">ent </w:t>
            </w:r>
            <w:r w:rsidR="009C7FFC">
              <w:rPr>
                <w:rFonts w:ascii="Arial Narrow" w:hAnsi="Arial Narrow"/>
                <w:color w:val="000000" w:themeColor="text1"/>
                <w:sz w:val="20"/>
                <w:szCs w:val="20"/>
              </w:rPr>
              <w:t>e</w:t>
            </w:r>
            <w:r w:rsidRPr="009E35ED">
              <w:rPr>
                <w:rFonts w:ascii="Arial Narrow" w:hAnsi="Arial Narrow"/>
                <w:color w:val="000000" w:themeColor="text1"/>
                <w:sz w:val="20"/>
                <w:szCs w:val="20"/>
              </w:rPr>
              <w:t xml:space="preserve">xpenses - </w:t>
            </w:r>
            <w:r w:rsidR="009C7FFC">
              <w:rPr>
                <w:rFonts w:ascii="Arial Narrow" w:hAnsi="Arial Narrow"/>
                <w:color w:val="000000" w:themeColor="text1"/>
                <w:sz w:val="20"/>
                <w:szCs w:val="20"/>
              </w:rPr>
              <w:t>e</w:t>
            </w:r>
            <w:r w:rsidRPr="009E35ED">
              <w:rPr>
                <w:rFonts w:ascii="Arial Narrow" w:hAnsi="Arial Narrow"/>
                <w:color w:val="000000" w:themeColor="text1"/>
                <w:sz w:val="20"/>
                <w:szCs w:val="20"/>
              </w:rPr>
              <w:t xml:space="preserve">quipment </w:t>
            </w:r>
            <w:r w:rsidR="009C7FFC">
              <w:rPr>
                <w:rFonts w:ascii="Arial Narrow" w:hAnsi="Arial Narrow"/>
                <w:color w:val="000000" w:themeColor="text1"/>
                <w:sz w:val="20"/>
                <w:szCs w:val="20"/>
              </w:rPr>
              <w:t>l</w:t>
            </w:r>
            <w:r w:rsidRPr="009E35ED">
              <w:rPr>
                <w:rFonts w:ascii="Arial Narrow" w:hAnsi="Arial Narrow"/>
                <w:color w:val="000000" w:themeColor="text1"/>
                <w:sz w:val="20"/>
                <w:szCs w:val="20"/>
              </w:rPr>
              <w:t xml:space="preserve">ease </w:t>
            </w:r>
            <w:r w:rsidR="009C7FFC">
              <w:rPr>
                <w:rFonts w:ascii="Arial Narrow" w:hAnsi="Arial Narrow"/>
                <w:color w:val="000000" w:themeColor="text1"/>
                <w:sz w:val="20"/>
                <w:szCs w:val="20"/>
              </w:rPr>
              <w:t>a</w:t>
            </w:r>
            <w:r w:rsidRPr="009E35ED">
              <w:rPr>
                <w:rFonts w:ascii="Arial Narrow" w:hAnsi="Arial Narrow"/>
                <w:color w:val="000000" w:themeColor="text1"/>
                <w:sz w:val="20"/>
                <w:szCs w:val="20"/>
              </w:rPr>
              <w:t>greement - KENO</w:t>
            </w:r>
          </w:p>
        </w:tc>
        <w:tc>
          <w:tcPr>
            <w:tcW w:w="1716" w:type="dxa"/>
            <w:tcBorders>
              <w:top w:val="nil"/>
              <w:left w:val="nil"/>
              <w:bottom w:val="nil"/>
              <w:right w:val="nil"/>
            </w:tcBorders>
            <w:shd w:val="clear" w:color="auto" w:fill="auto"/>
            <w:noWrap/>
            <w:hideMark/>
          </w:tcPr>
          <w:p w14:paraId="56B53AF9" w14:textId="5DB3F36D" w:rsidR="001E4041" w:rsidRPr="009E35ED" w:rsidRDefault="001E4041" w:rsidP="001E4041">
            <w:pPr>
              <w:ind w:left="0"/>
              <w:jc w:val="right"/>
              <w:rPr>
                <w:rFonts w:ascii="Arial Narrow" w:hAnsi="Arial Narrow" w:cs="Arial"/>
                <w:color w:val="000000" w:themeColor="text1"/>
                <w:sz w:val="20"/>
                <w:szCs w:val="20"/>
                <w:lang w:val="en-PH" w:eastAsia="en-PH"/>
              </w:rPr>
            </w:pPr>
            <w:r w:rsidRPr="009E35ED">
              <w:rPr>
                <w:rFonts w:ascii="Arial Narrow" w:hAnsi="Arial Narrow"/>
                <w:color w:val="000000" w:themeColor="text1"/>
                <w:sz w:val="20"/>
                <w:szCs w:val="20"/>
              </w:rPr>
              <w:t xml:space="preserve"> 36,595,824 </w:t>
            </w:r>
          </w:p>
        </w:tc>
      </w:tr>
      <w:tr w:rsidR="00997F75" w:rsidRPr="009E35ED" w14:paraId="3F2AA6BB" w14:textId="77777777" w:rsidTr="00AD3D41">
        <w:trPr>
          <w:trHeight w:val="285"/>
        </w:trPr>
        <w:tc>
          <w:tcPr>
            <w:tcW w:w="7286" w:type="dxa"/>
            <w:tcBorders>
              <w:top w:val="nil"/>
              <w:left w:val="nil"/>
              <w:bottom w:val="nil"/>
              <w:right w:val="nil"/>
            </w:tcBorders>
            <w:shd w:val="clear" w:color="auto" w:fill="auto"/>
            <w:hideMark/>
          </w:tcPr>
          <w:p w14:paraId="2D9A9925" w14:textId="6FB2D3B2" w:rsidR="001E4041" w:rsidRPr="009E35ED" w:rsidRDefault="001E4041" w:rsidP="001E4041">
            <w:pPr>
              <w:ind w:left="0"/>
              <w:jc w:val="left"/>
              <w:rPr>
                <w:rFonts w:ascii="Arial Narrow" w:hAnsi="Arial Narrow" w:cs="Arial"/>
                <w:color w:val="000000" w:themeColor="text1"/>
                <w:sz w:val="20"/>
                <w:szCs w:val="20"/>
                <w:lang w:val="en-PH" w:eastAsia="en-PH"/>
              </w:rPr>
            </w:pPr>
            <w:r w:rsidRPr="009E35ED">
              <w:rPr>
                <w:rFonts w:ascii="Arial Narrow" w:hAnsi="Arial Narrow"/>
                <w:color w:val="000000" w:themeColor="text1"/>
                <w:sz w:val="20"/>
                <w:szCs w:val="20"/>
              </w:rPr>
              <w:t xml:space="preserve">Adjustment/Recording of </w:t>
            </w:r>
            <w:r w:rsidR="009C7FFC">
              <w:rPr>
                <w:rFonts w:ascii="Arial Narrow" w:hAnsi="Arial Narrow"/>
                <w:color w:val="000000" w:themeColor="text1"/>
                <w:sz w:val="20"/>
                <w:szCs w:val="20"/>
              </w:rPr>
              <w:t>r</w:t>
            </w:r>
            <w:r w:rsidRPr="009E35ED">
              <w:rPr>
                <w:rFonts w:ascii="Arial Narrow" w:hAnsi="Arial Narrow"/>
                <w:color w:val="000000" w:themeColor="text1"/>
                <w:sz w:val="20"/>
                <w:szCs w:val="20"/>
              </w:rPr>
              <w:t xml:space="preserve">ent </w:t>
            </w:r>
            <w:r w:rsidR="009C7FFC">
              <w:rPr>
                <w:rFonts w:ascii="Arial Narrow" w:hAnsi="Arial Narrow"/>
                <w:color w:val="000000" w:themeColor="text1"/>
                <w:sz w:val="20"/>
                <w:szCs w:val="20"/>
              </w:rPr>
              <w:t>e</w:t>
            </w:r>
            <w:r w:rsidRPr="009E35ED">
              <w:rPr>
                <w:rFonts w:ascii="Arial Narrow" w:hAnsi="Arial Narrow"/>
                <w:color w:val="000000" w:themeColor="text1"/>
                <w:sz w:val="20"/>
                <w:szCs w:val="20"/>
              </w:rPr>
              <w:t xml:space="preserve">xpenses - </w:t>
            </w:r>
            <w:r w:rsidR="009C7FFC">
              <w:rPr>
                <w:rFonts w:ascii="Arial Narrow" w:hAnsi="Arial Narrow"/>
                <w:color w:val="000000" w:themeColor="text1"/>
                <w:sz w:val="20"/>
                <w:szCs w:val="20"/>
              </w:rPr>
              <w:t>c</w:t>
            </w:r>
            <w:r w:rsidRPr="009E35ED">
              <w:rPr>
                <w:rFonts w:ascii="Arial Narrow" w:hAnsi="Arial Narrow"/>
                <w:color w:val="000000" w:themeColor="text1"/>
                <w:sz w:val="20"/>
                <w:szCs w:val="20"/>
              </w:rPr>
              <w:t>opier - Branch</w:t>
            </w:r>
          </w:p>
        </w:tc>
        <w:tc>
          <w:tcPr>
            <w:tcW w:w="1716" w:type="dxa"/>
            <w:tcBorders>
              <w:top w:val="nil"/>
              <w:left w:val="nil"/>
              <w:bottom w:val="nil"/>
              <w:right w:val="nil"/>
            </w:tcBorders>
            <w:shd w:val="clear" w:color="auto" w:fill="auto"/>
            <w:noWrap/>
            <w:hideMark/>
          </w:tcPr>
          <w:p w14:paraId="1EF1D950" w14:textId="05F1DAE0" w:rsidR="001E4041" w:rsidRPr="009E35ED" w:rsidRDefault="001E4041" w:rsidP="001E4041">
            <w:pPr>
              <w:ind w:left="0"/>
              <w:jc w:val="right"/>
              <w:rPr>
                <w:rFonts w:ascii="Arial Narrow" w:hAnsi="Arial Narrow" w:cs="Arial"/>
                <w:color w:val="000000" w:themeColor="text1"/>
                <w:sz w:val="20"/>
                <w:szCs w:val="20"/>
                <w:lang w:val="en-PH" w:eastAsia="en-PH"/>
              </w:rPr>
            </w:pPr>
            <w:r w:rsidRPr="009E35ED">
              <w:rPr>
                <w:rFonts w:ascii="Arial Narrow" w:hAnsi="Arial Narrow"/>
                <w:color w:val="000000" w:themeColor="text1"/>
                <w:sz w:val="20"/>
                <w:szCs w:val="20"/>
              </w:rPr>
              <w:t xml:space="preserve"> (7,134)</w:t>
            </w:r>
          </w:p>
        </w:tc>
      </w:tr>
      <w:tr w:rsidR="00997F75" w:rsidRPr="009E35ED" w14:paraId="08227120" w14:textId="77777777" w:rsidTr="00AD3D41">
        <w:trPr>
          <w:trHeight w:val="80"/>
        </w:trPr>
        <w:tc>
          <w:tcPr>
            <w:tcW w:w="7286" w:type="dxa"/>
            <w:tcBorders>
              <w:top w:val="single" w:sz="4" w:space="0" w:color="auto"/>
              <w:left w:val="nil"/>
              <w:bottom w:val="double" w:sz="6" w:space="0" w:color="auto"/>
              <w:right w:val="nil"/>
            </w:tcBorders>
            <w:shd w:val="clear" w:color="auto" w:fill="auto"/>
            <w:hideMark/>
          </w:tcPr>
          <w:p w14:paraId="624B3783" w14:textId="3D2EF356" w:rsidR="001E4041" w:rsidRPr="009E35ED" w:rsidRDefault="001E4041" w:rsidP="001E4041">
            <w:pPr>
              <w:ind w:left="0"/>
              <w:jc w:val="left"/>
              <w:rPr>
                <w:rFonts w:ascii="Arial Narrow" w:hAnsi="Arial Narrow" w:cs="Arial"/>
                <w:b/>
                <w:bCs/>
                <w:color w:val="000000" w:themeColor="text1"/>
                <w:sz w:val="20"/>
                <w:szCs w:val="20"/>
                <w:lang w:val="en-PH" w:eastAsia="en-PH"/>
              </w:rPr>
            </w:pPr>
            <w:r w:rsidRPr="009E35ED">
              <w:rPr>
                <w:rFonts w:ascii="Arial Narrow" w:hAnsi="Arial Narrow"/>
                <w:b/>
                <w:bCs/>
                <w:color w:val="000000" w:themeColor="text1"/>
                <w:sz w:val="20"/>
                <w:szCs w:val="20"/>
              </w:rPr>
              <w:t>Restated Amount as of December 31, 2022 - Rent Expense (Operating Fund)</w:t>
            </w:r>
          </w:p>
        </w:tc>
        <w:tc>
          <w:tcPr>
            <w:tcW w:w="1716" w:type="dxa"/>
            <w:tcBorders>
              <w:top w:val="single" w:sz="4" w:space="0" w:color="auto"/>
              <w:left w:val="nil"/>
              <w:bottom w:val="double" w:sz="6" w:space="0" w:color="auto"/>
              <w:right w:val="nil"/>
            </w:tcBorders>
            <w:shd w:val="clear" w:color="auto" w:fill="auto"/>
            <w:noWrap/>
            <w:hideMark/>
          </w:tcPr>
          <w:p w14:paraId="7A9D85C9" w14:textId="3AC47A05" w:rsidR="001E4041" w:rsidRPr="009E35ED" w:rsidRDefault="001E4041" w:rsidP="001E4041">
            <w:pPr>
              <w:ind w:left="0"/>
              <w:jc w:val="right"/>
              <w:rPr>
                <w:rFonts w:ascii="Arial Narrow" w:hAnsi="Arial Narrow" w:cs="Arial"/>
                <w:b/>
                <w:bCs/>
                <w:color w:val="000000" w:themeColor="text1"/>
                <w:sz w:val="20"/>
                <w:szCs w:val="20"/>
                <w:lang w:val="en-PH" w:eastAsia="en-PH"/>
              </w:rPr>
            </w:pPr>
            <w:r w:rsidRPr="009E35ED">
              <w:rPr>
                <w:rFonts w:ascii="Arial Narrow" w:hAnsi="Arial Narrow"/>
                <w:b/>
                <w:bCs/>
                <w:color w:val="000000" w:themeColor="text1"/>
                <w:sz w:val="20"/>
                <w:szCs w:val="20"/>
              </w:rPr>
              <w:t xml:space="preserve"> 324,330,267 </w:t>
            </w:r>
          </w:p>
        </w:tc>
      </w:tr>
      <w:tr w:rsidR="00997F75" w:rsidRPr="009E35ED" w14:paraId="275B210A" w14:textId="77777777" w:rsidTr="00C26DA1">
        <w:trPr>
          <w:trHeight w:val="300"/>
        </w:trPr>
        <w:tc>
          <w:tcPr>
            <w:tcW w:w="7286" w:type="dxa"/>
            <w:tcBorders>
              <w:top w:val="nil"/>
              <w:left w:val="nil"/>
              <w:bottom w:val="nil"/>
              <w:right w:val="nil"/>
            </w:tcBorders>
            <w:shd w:val="clear" w:color="auto" w:fill="auto"/>
            <w:vAlign w:val="bottom"/>
            <w:hideMark/>
          </w:tcPr>
          <w:p w14:paraId="2C5A8AE7" w14:textId="77777777" w:rsidR="00240956" w:rsidRPr="009E35ED" w:rsidRDefault="00240956" w:rsidP="00240956">
            <w:pPr>
              <w:ind w:left="0"/>
              <w:jc w:val="left"/>
              <w:rPr>
                <w:rFonts w:ascii="Arial Narrow" w:hAnsi="Arial Narrow" w:cs="Arial"/>
                <w:b/>
                <w:bCs/>
                <w:color w:val="000000" w:themeColor="text1"/>
                <w:sz w:val="20"/>
                <w:szCs w:val="20"/>
                <w:lang w:val="en-PH" w:eastAsia="en-PH"/>
              </w:rPr>
            </w:pPr>
          </w:p>
        </w:tc>
        <w:tc>
          <w:tcPr>
            <w:tcW w:w="1716" w:type="dxa"/>
            <w:tcBorders>
              <w:top w:val="nil"/>
              <w:left w:val="nil"/>
              <w:bottom w:val="nil"/>
              <w:right w:val="nil"/>
            </w:tcBorders>
            <w:shd w:val="clear" w:color="auto" w:fill="auto"/>
            <w:noWrap/>
            <w:vAlign w:val="bottom"/>
            <w:hideMark/>
          </w:tcPr>
          <w:p w14:paraId="288F9530" w14:textId="77777777" w:rsidR="00240956" w:rsidRPr="009E35ED" w:rsidRDefault="00240956" w:rsidP="00240956">
            <w:pPr>
              <w:ind w:left="0"/>
              <w:jc w:val="right"/>
              <w:rPr>
                <w:rFonts w:ascii="Arial Narrow" w:hAnsi="Arial Narrow"/>
                <w:color w:val="000000" w:themeColor="text1"/>
                <w:sz w:val="20"/>
                <w:szCs w:val="20"/>
                <w:lang w:val="en-PH" w:eastAsia="en-PH"/>
              </w:rPr>
            </w:pPr>
          </w:p>
        </w:tc>
      </w:tr>
      <w:tr w:rsidR="00997F75" w:rsidRPr="009E35ED" w14:paraId="395A92A6" w14:textId="77777777" w:rsidTr="00C26DA1">
        <w:trPr>
          <w:trHeight w:val="285"/>
        </w:trPr>
        <w:tc>
          <w:tcPr>
            <w:tcW w:w="7286" w:type="dxa"/>
            <w:tcBorders>
              <w:top w:val="nil"/>
              <w:left w:val="nil"/>
              <w:bottom w:val="nil"/>
              <w:right w:val="nil"/>
            </w:tcBorders>
            <w:shd w:val="clear" w:color="auto" w:fill="auto"/>
            <w:hideMark/>
          </w:tcPr>
          <w:p w14:paraId="6E0F44DC" w14:textId="3A705045" w:rsidR="00E665AA" w:rsidRPr="009E35ED" w:rsidRDefault="00E665AA" w:rsidP="00E665AA">
            <w:pPr>
              <w:ind w:left="0"/>
              <w:jc w:val="left"/>
              <w:rPr>
                <w:rFonts w:ascii="Arial Narrow" w:hAnsi="Arial Narrow" w:cs="Arial"/>
                <w:color w:val="000000" w:themeColor="text1"/>
                <w:sz w:val="20"/>
                <w:szCs w:val="20"/>
                <w:lang w:val="en-PH" w:eastAsia="en-PH"/>
              </w:rPr>
            </w:pPr>
            <w:r w:rsidRPr="009E35ED">
              <w:rPr>
                <w:rFonts w:ascii="Arial Narrow" w:hAnsi="Arial Narrow"/>
                <w:color w:val="000000" w:themeColor="text1"/>
                <w:sz w:val="20"/>
                <w:szCs w:val="20"/>
              </w:rPr>
              <w:t xml:space="preserve">Unrestated </w:t>
            </w:r>
            <w:r w:rsidR="009C7FFC">
              <w:rPr>
                <w:rFonts w:ascii="Arial Narrow" w:hAnsi="Arial Narrow"/>
                <w:color w:val="000000" w:themeColor="text1"/>
                <w:sz w:val="20"/>
                <w:szCs w:val="20"/>
              </w:rPr>
              <w:t>a</w:t>
            </w:r>
            <w:r w:rsidRPr="009E35ED">
              <w:rPr>
                <w:rFonts w:ascii="Arial Narrow" w:hAnsi="Arial Narrow"/>
                <w:color w:val="000000" w:themeColor="text1"/>
                <w:sz w:val="20"/>
                <w:szCs w:val="20"/>
              </w:rPr>
              <w:t>mount as of December 31, 2022</w:t>
            </w:r>
          </w:p>
        </w:tc>
        <w:tc>
          <w:tcPr>
            <w:tcW w:w="1716" w:type="dxa"/>
            <w:tcBorders>
              <w:top w:val="nil"/>
              <w:left w:val="nil"/>
              <w:bottom w:val="nil"/>
              <w:right w:val="nil"/>
            </w:tcBorders>
            <w:shd w:val="clear" w:color="auto" w:fill="auto"/>
            <w:noWrap/>
            <w:hideMark/>
          </w:tcPr>
          <w:p w14:paraId="5AD1B005" w14:textId="3E5FC43B" w:rsidR="00E665AA" w:rsidRPr="009E35ED" w:rsidRDefault="00E665AA" w:rsidP="00E665AA">
            <w:pPr>
              <w:ind w:left="0"/>
              <w:jc w:val="right"/>
              <w:rPr>
                <w:rFonts w:ascii="Arial Narrow" w:hAnsi="Arial Narrow" w:cs="Arial"/>
                <w:color w:val="000000" w:themeColor="text1"/>
                <w:sz w:val="20"/>
                <w:szCs w:val="20"/>
                <w:lang w:val="en-PH" w:eastAsia="en-PH"/>
              </w:rPr>
            </w:pPr>
            <w:r w:rsidRPr="009E35ED">
              <w:rPr>
                <w:rFonts w:ascii="Arial Narrow" w:hAnsi="Arial Narrow"/>
                <w:color w:val="000000" w:themeColor="text1"/>
                <w:sz w:val="20"/>
                <w:szCs w:val="20"/>
              </w:rPr>
              <w:t xml:space="preserve"> 23,202,594 </w:t>
            </w:r>
          </w:p>
        </w:tc>
      </w:tr>
      <w:tr w:rsidR="00997F75" w:rsidRPr="009E35ED" w14:paraId="504F24C1" w14:textId="77777777" w:rsidTr="00C26DA1">
        <w:trPr>
          <w:trHeight w:val="75"/>
        </w:trPr>
        <w:tc>
          <w:tcPr>
            <w:tcW w:w="7286" w:type="dxa"/>
            <w:tcBorders>
              <w:top w:val="nil"/>
              <w:left w:val="nil"/>
              <w:bottom w:val="nil"/>
              <w:right w:val="nil"/>
            </w:tcBorders>
            <w:shd w:val="clear" w:color="auto" w:fill="auto"/>
            <w:hideMark/>
          </w:tcPr>
          <w:p w14:paraId="6A315EF5" w14:textId="6162514C" w:rsidR="00E665AA" w:rsidRPr="009E35ED" w:rsidRDefault="00E665AA" w:rsidP="00E665AA">
            <w:pPr>
              <w:ind w:left="0"/>
              <w:jc w:val="left"/>
              <w:rPr>
                <w:rFonts w:ascii="Arial Narrow" w:hAnsi="Arial Narrow" w:cs="Arial"/>
                <w:color w:val="000000" w:themeColor="text1"/>
                <w:sz w:val="20"/>
                <w:szCs w:val="20"/>
                <w:lang w:val="en-PH" w:eastAsia="en-PH"/>
              </w:rPr>
            </w:pPr>
            <w:r w:rsidRPr="009E35ED">
              <w:rPr>
                <w:rFonts w:ascii="Arial Narrow" w:hAnsi="Arial Narrow"/>
                <w:color w:val="000000" w:themeColor="text1"/>
                <w:sz w:val="20"/>
                <w:szCs w:val="20"/>
              </w:rPr>
              <w:t xml:space="preserve">Adjustment/Recording of </w:t>
            </w:r>
            <w:r w:rsidR="009C7FFC">
              <w:rPr>
                <w:rFonts w:ascii="Arial Narrow" w:hAnsi="Arial Narrow"/>
                <w:color w:val="000000" w:themeColor="text1"/>
                <w:sz w:val="20"/>
                <w:szCs w:val="20"/>
              </w:rPr>
              <w:t>d</w:t>
            </w:r>
            <w:r w:rsidRPr="009E35ED">
              <w:rPr>
                <w:rFonts w:ascii="Arial Narrow" w:hAnsi="Arial Narrow"/>
                <w:color w:val="000000" w:themeColor="text1"/>
                <w:sz w:val="20"/>
                <w:szCs w:val="20"/>
              </w:rPr>
              <w:t xml:space="preserve">onation </w:t>
            </w:r>
            <w:r w:rsidR="009C7FFC">
              <w:rPr>
                <w:rFonts w:ascii="Arial Narrow" w:hAnsi="Arial Narrow"/>
                <w:color w:val="000000" w:themeColor="text1"/>
                <w:sz w:val="20"/>
                <w:szCs w:val="20"/>
              </w:rPr>
              <w:t>e</w:t>
            </w:r>
            <w:r w:rsidRPr="009E35ED">
              <w:rPr>
                <w:rFonts w:ascii="Arial Narrow" w:hAnsi="Arial Narrow"/>
                <w:color w:val="000000" w:themeColor="text1"/>
                <w:sz w:val="20"/>
                <w:szCs w:val="20"/>
              </w:rPr>
              <w:t>xpenses - Head Office</w:t>
            </w:r>
          </w:p>
        </w:tc>
        <w:tc>
          <w:tcPr>
            <w:tcW w:w="1716" w:type="dxa"/>
            <w:tcBorders>
              <w:top w:val="nil"/>
              <w:left w:val="nil"/>
              <w:bottom w:val="nil"/>
              <w:right w:val="nil"/>
            </w:tcBorders>
            <w:shd w:val="clear" w:color="auto" w:fill="auto"/>
            <w:noWrap/>
            <w:hideMark/>
          </w:tcPr>
          <w:p w14:paraId="0314CED3" w14:textId="113DB5F6" w:rsidR="00E665AA" w:rsidRPr="009E35ED" w:rsidRDefault="00E665AA" w:rsidP="00E665AA">
            <w:pPr>
              <w:ind w:left="0"/>
              <w:jc w:val="right"/>
              <w:rPr>
                <w:rFonts w:ascii="Arial Narrow" w:hAnsi="Arial Narrow" w:cs="Arial"/>
                <w:color w:val="000000" w:themeColor="text1"/>
                <w:sz w:val="20"/>
                <w:szCs w:val="20"/>
                <w:lang w:val="en-PH" w:eastAsia="en-PH"/>
              </w:rPr>
            </w:pPr>
            <w:r w:rsidRPr="009E35ED">
              <w:rPr>
                <w:rFonts w:ascii="Arial Narrow" w:hAnsi="Arial Narrow"/>
                <w:color w:val="000000" w:themeColor="text1"/>
                <w:sz w:val="20"/>
                <w:szCs w:val="20"/>
              </w:rPr>
              <w:t xml:space="preserve"> (59,100)</w:t>
            </w:r>
          </w:p>
        </w:tc>
      </w:tr>
      <w:tr w:rsidR="00997F75" w:rsidRPr="009E35ED" w14:paraId="4D4E2B6B" w14:textId="77777777" w:rsidTr="00C26DA1">
        <w:trPr>
          <w:trHeight w:val="65"/>
        </w:trPr>
        <w:tc>
          <w:tcPr>
            <w:tcW w:w="7286" w:type="dxa"/>
            <w:tcBorders>
              <w:top w:val="single" w:sz="4" w:space="0" w:color="auto"/>
              <w:left w:val="nil"/>
              <w:bottom w:val="double" w:sz="6" w:space="0" w:color="auto"/>
              <w:right w:val="nil"/>
            </w:tcBorders>
            <w:shd w:val="clear" w:color="auto" w:fill="auto"/>
            <w:hideMark/>
          </w:tcPr>
          <w:p w14:paraId="0741F17C" w14:textId="74BCC871" w:rsidR="00E665AA" w:rsidRPr="009E35ED" w:rsidRDefault="00E665AA" w:rsidP="00E665AA">
            <w:pPr>
              <w:ind w:left="0"/>
              <w:jc w:val="left"/>
              <w:rPr>
                <w:rFonts w:ascii="Arial Narrow" w:hAnsi="Arial Narrow" w:cs="Arial"/>
                <w:b/>
                <w:bCs/>
                <w:color w:val="000000" w:themeColor="text1"/>
                <w:sz w:val="20"/>
                <w:szCs w:val="20"/>
                <w:lang w:val="en-PH" w:eastAsia="en-PH"/>
              </w:rPr>
            </w:pPr>
            <w:r w:rsidRPr="009E35ED">
              <w:rPr>
                <w:rFonts w:ascii="Arial Narrow" w:hAnsi="Arial Narrow"/>
                <w:b/>
                <w:bCs/>
                <w:color w:val="000000" w:themeColor="text1"/>
                <w:sz w:val="20"/>
                <w:szCs w:val="20"/>
              </w:rPr>
              <w:t>Restated Amount as of December 31, 2022 - Donation Expenses (Operating Fund)</w:t>
            </w:r>
          </w:p>
        </w:tc>
        <w:tc>
          <w:tcPr>
            <w:tcW w:w="1716" w:type="dxa"/>
            <w:tcBorders>
              <w:top w:val="single" w:sz="4" w:space="0" w:color="auto"/>
              <w:left w:val="nil"/>
              <w:bottom w:val="double" w:sz="6" w:space="0" w:color="auto"/>
              <w:right w:val="nil"/>
            </w:tcBorders>
            <w:shd w:val="clear" w:color="auto" w:fill="auto"/>
            <w:noWrap/>
            <w:hideMark/>
          </w:tcPr>
          <w:p w14:paraId="07D9E5B6" w14:textId="7B775391" w:rsidR="00E665AA" w:rsidRPr="009E35ED" w:rsidRDefault="00E665AA" w:rsidP="00E665AA">
            <w:pPr>
              <w:ind w:left="0"/>
              <w:jc w:val="right"/>
              <w:rPr>
                <w:rFonts w:ascii="Arial Narrow" w:hAnsi="Arial Narrow" w:cs="Arial"/>
                <w:b/>
                <w:bCs/>
                <w:color w:val="000000" w:themeColor="text1"/>
                <w:sz w:val="20"/>
                <w:szCs w:val="20"/>
                <w:lang w:val="en-PH" w:eastAsia="en-PH"/>
              </w:rPr>
            </w:pPr>
            <w:r w:rsidRPr="009E35ED">
              <w:rPr>
                <w:rFonts w:ascii="Arial Narrow" w:hAnsi="Arial Narrow"/>
                <w:b/>
                <w:bCs/>
                <w:color w:val="000000" w:themeColor="text1"/>
                <w:sz w:val="20"/>
                <w:szCs w:val="20"/>
              </w:rPr>
              <w:t xml:space="preserve"> 23,143,494 </w:t>
            </w:r>
          </w:p>
        </w:tc>
      </w:tr>
      <w:tr w:rsidR="00997F75" w:rsidRPr="009E35ED" w14:paraId="498A42CD" w14:textId="77777777" w:rsidTr="00C26DA1">
        <w:trPr>
          <w:trHeight w:val="300"/>
        </w:trPr>
        <w:tc>
          <w:tcPr>
            <w:tcW w:w="7286" w:type="dxa"/>
            <w:tcBorders>
              <w:top w:val="nil"/>
              <w:left w:val="nil"/>
              <w:bottom w:val="nil"/>
              <w:right w:val="nil"/>
            </w:tcBorders>
            <w:shd w:val="clear" w:color="auto" w:fill="auto"/>
            <w:vAlign w:val="bottom"/>
            <w:hideMark/>
          </w:tcPr>
          <w:p w14:paraId="4AE47978" w14:textId="77777777" w:rsidR="00240956" w:rsidRPr="009E35ED" w:rsidRDefault="00240956" w:rsidP="00240956">
            <w:pPr>
              <w:ind w:left="0"/>
              <w:jc w:val="left"/>
              <w:rPr>
                <w:rFonts w:ascii="Arial Narrow" w:hAnsi="Arial Narrow" w:cs="Arial"/>
                <w:b/>
                <w:bCs/>
                <w:color w:val="000000" w:themeColor="text1"/>
                <w:sz w:val="20"/>
                <w:szCs w:val="20"/>
                <w:lang w:val="en-PH" w:eastAsia="en-PH"/>
              </w:rPr>
            </w:pPr>
          </w:p>
        </w:tc>
        <w:tc>
          <w:tcPr>
            <w:tcW w:w="1716" w:type="dxa"/>
            <w:tcBorders>
              <w:top w:val="nil"/>
              <w:left w:val="nil"/>
              <w:bottom w:val="nil"/>
              <w:right w:val="nil"/>
            </w:tcBorders>
            <w:shd w:val="clear" w:color="auto" w:fill="auto"/>
            <w:noWrap/>
            <w:vAlign w:val="bottom"/>
            <w:hideMark/>
          </w:tcPr>
          <w:p w14:paraId="3A14C304" w14:textId="77777777" w:rsidR="00240956" w:rsidRPr="009E35ED" w:rsidRDefault="00240956" w:rsidP="00240956">
            <w:pPr>
              <w:ind w:left="0"/>
              <w:jc w:val="right"/>
              <w:rPr>
                <w:rFonts w:ascii="Arial Narrow" w:hAnsi="Arial Narrow"/>
                <w:color w:val="000000" w:themeColor="text1"/>
                <w:sz w:val="20"/>
                <w:szCs w:val="20"/>
                <w:lang w:val="en-PH" w:eastAsia="en-PH"/>
              </w:rPr>
            </w:pPr>
          </w:p>
        </w:tc>
      </w:tr>
      <w:tr w:rsidR="00997F75" w:rsidRPr="009E35ED" w14:paraId="45ECF2CA" w14:textId="77777777" w:rsidTr="00C26DA1">
        <w:trPr>
          <w:trHeight w:val="285"/>
        </w:trPr>
        <w:tc>
          <w:tcPr>
            <w:tcW w:w="7286" w:type="dxa"/>
            <w:tcBorders>
              <w:top w:val="nil"/>
              <w:left w:val="nil"/>
              <w:bottom w:val="nil"/>
              <w:right w:val="nil"/>
            </w:tcBorders>
            <w:shd w:val="clear" w:color="auto" w:fill="auto"/>
            <w:hideMark/>
          </w:tcPr>
          <w:p w14:paraId="58317DD9" w14:textId="13D5AF19" w:rsidR="008B0012" w:rsidRPr="009E35ED" w:rsidRDefault="008B0012" w:rsidP="008B0012">
            <w:pPr>
              <w:ind w:left="0"/>
              <w:jc w:val="left"/>
              <w:rPr>
                <w:rFonts w:ascii="Arial Narrow" w:hAnsi="Arial Narrow" w:cs="Arial"/>
                <w:color w:val="000000" w:themeColor="text1"/>
                <w:sz w:val="20"/>
                <w:szCs w:val="20"/>
                <w:lang w:val="en-PH" w:eastAsia="en-PH"/>
              </w:rPr>
            </w:pPr>
            <w:r w:rsidRPr="009E35ED">
              <w:rPr>
                <w:rFonts w:ascii="Arial Narrow" w:hAnsi="Arial Narrow"/>
                <w:color w:val="000000" w:themeColor="text1"/>
                <w:sz w:val="20"/>
                <w:szCs w:val="20"/>
              </w:rPr>
              <w:t xml:space="preserve">Unrestated </w:t>
            </w:r>
            <w:r w:rsidR="009C7FFC">
              <w:rPr>
                <w:rFonts w:ascii="Arial Narrow" w:hAnsi="Arial Narrow"/>
                <w:color w:val="000000" w:themeColor="text1"/>
                <w:sz w:val="20"/>
                <w:szCs w:val="20"/>
              </w:rPr>
              <w:t>a</w:t>
            </w:r>
            <w:r w:rsidRPr="009E35ED">
              <w:rPr>
                <w:rFonts w:ascii="Arial Narrow" w:hAnsi="Arial Narrow"/>
                <w:color w:val="000000" w:themeColor="text1"/>
                <w:sz w:val="20"/>
                <w:szCs w:val="20"/>
              </w:rPr>
              <w:t>mount as of December 31, 2022</w:t>
            </w:r>
          </w:p>
        </w:tc>
        <w:tc>
          <w:tcPr>
            <w:tcW w:w="1716" w:type="dxa"/>
            <w:tcBorders>
              <w:top w:val="nil"/>
              <w:left w:val="nil"/>
              <w:bottom w:val="nil"/>
              <w:right w:val="nil"/>
            </w:tcBorders>
            <w:shd w:val="clear" w:color="auto" w:fill="auto"/>
            <w:noWrap/>
            <w:hideMark/>
          </w:tcPr>
          <w:p w14:paraId="7DB5E3B1" w14:textId="05BA65C4" w:rsidR="008B0012" w:rsidRPr="009E35ED" w:rsidRDefault="008B0012" w:rsidP="008B0012">
            <w:pPr>
              <w:ind w:left="0"/>
              <w:jc w:val="right"/>
              <w:rPr>
                <w:rFonts w:ascii="Arial Narrow" w:hAnsi="Arial Narrow" w:cs="Arial"/>
                <w:color w:val="000000" w:themeColor="text1"/>
                <w:sz w:val="20"/>
                <w:szCs w:val="20"/>
                <w:lang w:val="en-PH" w:eastAsia="en-PH"/>
              </w:rPr>
            </w:pPr>
            <w:r w:rsidRPr="009E35ED">
              <w:rPr>
                <w:rFonts w:ascii="Arial Narrow" w:hAnsi="Arial Narrow"/>
                <w:color w:val="000000" w:themeColor="text1"/>
                <w:sz w:val="20"/>
                <w:szCs w:val="20"/>
              </w:rPr>
              <w:t xml:space="preserve"> 4,892,520 </w:t>
            </w:r>
          </w:p>
        </w:tc>
      </w:tr>
      <w:tr w:rsidR="00997F75" w:rsidRPr="009E35ED" w14:paraId="4D5E43C1" w14:textId="77777777" w:rsidTr="00C26DA1">
        <w:trPr>
          <w:trHeight w:val="90"/>
        </w:trPr>
        <w:tc>
          <w:tcPr>
            <w:tcW w:w="7286" w:type="dxa"/>
            <w:tcBorders>
              <w:top w:val="nil"/>
              <w:left w:val="nil"/>
              <w:bottom w:val="nil"/>
              <w:right w:val="nil"/>
            </w:tcBorders>
            <w:shd w:val="clear" w:color="auto" w:fill="auto"/>
            <w:hideMark/>
          </w:tcPr>
          <w:p w14:paraId="6595DE3F" w14:textId="28B112B7" w:rsidR="008B0012" w:rsidRPr="009E35ED" w:rsidRDefault="008B0012" w:rsidP="008B0012">
            <w:pPr>
              <w:ind w:left="0"/>
              <w:jc w:val="left"/>
              <w:rPr>
                <w:rFonts w:ascii="Arial Narrow" w:hAnsi="Arial Narrow" w:cs="Arial"/>
                <w:color w:val="000000" w:themeColor="text1"/>
                <w:sz w:val="20"/>
                <w:szCs w:val="20"/>
                <w:lang w:val="en-PH" w:eastAsia="en-PH"/>
              </w:rPr>
            </w:pPr>
            <w:r w:rsidRPr="009E35ED">
              <w:rPr>
                <w:rFonts w:ascii="Arial Narrow" w:hAnsi="Arial Narrow"/>
                <w:color w:val="000000" w:themeColor="text1"/>
                <w:sz w:val="20"/>
                <w:szCs w:val="20"/>
              </w:rPr>
              <w:t xml:space="preserve">Payment of </w:t>
            </w:r>
            <w:r w:rsidR="009C7FFC">
              <w:rPr>
                <w:rFonts w:ascii="Arial Narrow" w:hAnsi="Arial Narrow"/>
                <w:color w:val="000000" w:themeColor="text1"/>
                <w:sz w:val="20"/>
                <w:szCs w:val="20"/>
              </w:rPr>
              <w:t>d</w:t>
            </w:r>
            <w:r w:rsidRPr="009E35ED">
              <w:rPr>
                <w:rFonts w:ascii="Arial Narrow" w:hAnsi="Arial Narrow"/>
                <w:color w:val="000000" w:themeColor="text1"/>
                <w:sz w:val="20"/>
                <w:szCs w:val="20"/>
              </w:rPr>
              <w:t xml:space="preserve">irectors and </w:t>
            </w:r>
            <w:r w:rsidR="009C7FFC">
              <w:rPr>
                <w:rFonts w:ascii="Arial Narrow" w:hAnsi="Arial Narrow"/>
                <w:color w:val="000000" w:themeColor="text1"/>
                <w:sz w:val="20"/>
                <w:szCs w:val="20"/>
              </w:rPr>
              <w:t>c</w:t>
            </w:r>
            <w:r w:rsidRPr="009E35ED">
              <w:rPr>
                <w:rFonts w:ascii="Arial Narrow" w:hAnsi="Arial Narrow"/>
                <w:color w:val="000000" w:themeColor="text1"/>
                <w:sz w:val="20"/>
                <w:szCs w:val="20"/>
              </w:rPr>
              <w:t xml:space="preserve">ommittee </w:t>
            </w:r>
            <w:r w:rsidR="009C7FFC">
              <w:rPr>
                <w:rFonts w:ascii="Arial Narrow" w:hAnsi="Arial Narrow"/>
                <w:color w:val="000000" w:themeColor="text1"/>
                <w:sz w:val="20"/>
                <w:szCs w:val="20"/>
              </w:rPr>
              <w:t>m</w:t>
            </w:r>
            <w:r w:rsidRPr="009E35ED">
              <w:rPr>
                <w:rFonts w:ascii="Arial Narrow" w:hAnsi="Arial Narrow"/>
                <w:color w:val="000000" w:themeColor="text1"/>
                <w:sz w:val="20"/>
                <w:szCs w:val="20"/>
              </w:rPr>
              <w:t xml:space="preserve">embers' </w:t>
            </w:r>
            <w:r w:rsidR="009C7FFC">
              <w:rPr>
                <w:rFonts w:ascii="Arial Narrow" w:hAnsi="Arial Narrow"/>
                <w:color w:val="000000" w:themeColor="text1"/>
                <w:sz w:val="20"/>
                <w:szCs w:val="20"/>
              </w:rPr>
              <w:t>f</w:t>
            </w:r>
            <w:r w:rsidRPr="009E35ED">
              <w:rPr>
                <w:rFonts w:ascii="Arial Narrow" w:hAnsi="Arial Narrow"/>
                <w:color w:val="000000" w:themeColor="text1"/>
                <w:sz w:val="20"/>
                <w:szCs w:val="20"/>
              </w:rPr>
              <w:t>ees - Head Office</w:t>
            </w:r>
          </w:p>
        </w:tc>
        <w:tc>
          <w:tcPr>
            <w:tcW w:w="1716" w:type="dxa"/>
            <w:tcBorders>
              <w:top w:val="nil"/>
              <w:left w:val="nil"/>
              <w:bottom w:val="nil"/>
              <w:right w:val="nil"/>
            </w:tcBorders>
            <w:shd w:val="clear" w:color="auto" w:fill="auto"/>
            <w:noWrap/>
            <w:hideMark/>
          </w:tcPr>
          <w:p w14:paraId="417C01CF" w14:textId="2C5C7A89" w:rsidR="008B0012" w:rsidRPr="009E35ED" w:rsidRDefault="008B0012" w:rsidP="008B0012">
            <w:pPr>
              <w:ind w:left="0"/>
              <w:jc w:val="right"/>
              <w:rPr>
                <w:rFonts w:ascii="Arial Narrow" w:hAnsi="Arial Narrow" w:cs="Arial"/>
                <w:color w:val="000000" w:themeColor="text1"/>
                <w:sz w:val="20"/>
                <w:szCs w:val="20"/>
                <w:lang w:val="en-PH" w:eastAsia="en-PH"/>
              </w:rPr>
            </w:pPr>
            <w:r w:rsidRPr="009E35ED">
              <w:rPr>
                <w:rFonts w:ascii="Arial Narrow" w:hAnsi="Arial Narrow"/>
                <w:color w:val="000000" w:themeColor="text1"/>
                <w:sz w:val="20"/>
                <w:szCs w:val="20"/>
              </w:rPr>
              <w:t xml:space="preserve"> 248,000 </w:t>
            </w:r>
          </w:p>
        </w:tc>
      </w:tr>
      <w:tr w:rsidR="00997F75" w:rsidRPr="009E35ED" w14:paraId="3FDE7CAE" w14:textId="77777777" w:rsidTr="00C26DA1">
        <w:trPr>
          <w:trHeight w:val="65"/>
        </w:trPr>
        <w:tc>
          <w:tcPr>
            <w:tcW w:w="7286" w:type="dxa"/>
            <w:tcBorders>
              <w:top w:val="single" w:sz="4" w:space="0" w:color="auto"/>
              <w:left w:val="nil"/>
              <w:bottom w:val="double" w:sz="6" w:space="0" w:color="auto"/>
              <w:right w:val="nil"/>
            </w:tcBorders>
            <w:shd w:val="clear" w:color="auto" w:fill="auto"/>
            <w:hideMark/>
          </w:tcPr>
          <w:p w14:paraId="345A2FFC" w14:textId="08679A6D" w:rsidR="008B0012" w:rsidRPr="009E35ED" w:rsidRDefault="008B0012" w:rsidP="008B0012">
            <w:pPr>
              <w:ind w:left="0"/>
              <w:jc w:val="left"/>
              <w:rPr>
                <w:rFonts w:ascii="Arial Narrow" w:hAnsi="Arial Narrow" w:cs="Arial"/>
                <w:b/>
                <w:bCs/>
                <w:color w:val="000000" w:themeColor="text1"/>
                <w:sz w:val="20"/>
                <w:szCs w:val="20"/>
                <w:lang w:val="en-PH" w:eastAsia="en-PH"/>
              </w:rPr>
            </w:pPr>
            <w:r w:rsidRPr="009E35ED">
              <w:rPr>
                <w:rFonts w:ascii="Arial Narrow" w:hAnsi="Arial Narrow"/>
                <w:b/>
                <w:bCs/>
                <w:color w:val="000000" w:themeColor="text1"/>
                <w:sz w:val="20"/>
                <w:szCs w:val="20"/>
              </w:rPr>
              <w:t>Restated Amount as of December 31, 2022 - Directors and Committee Members' Fees (Operating Fund)</w:t>
            </w:r>
          </w:p>
        </w:tc>
        <w:tc>
          <w:tcPr>
            <w:tcW w:w="1716" w:type="dxa"/>
            <w:tcBorders>
              <w:top w:val="single" w:sz="4" w:space="0" w:color="auto"/>
              <w:left w:val="nil"/>
              <w:bottom w:val="double" w:sz="6" w:space="0" w:color="auto"/>
              <w:right w:val="nil"/>
            </w:tcBorders>
            <w:shd w:val="clear" w:color="auto" w:fill="auto"/>
            <w:noWrap/>
            <w:hideMark/>
          </w:tcPr>
          <w:p w14:paraId="7A9406A1" w14:textId="77777777" w:rsidR="001E4041" w:rsidRPr="009E35ED" w:rsidRDefault="001E4041" w:rsidP="008B0012">
            <w:pPr>
              <w:ind w:left="0"/>
              <w:jc w:val="right"/>
              <w:rPr>
                <w:rFonts w:ascii="Arial Narrow" w:hAnsi="Arial Narrow"/>
                <w:b/>
                <w:bCs/>
                <w:color w:val="000000" w:themeColor="text1"/>
                <w:sz w:val="20"/>
                <w:szCs w:val="20"/>
              </w:rPr>
            </w:pPr>
          </w:p>
          <w:p w14:paraId="02EFAD78" w14:textId="32E0F141" w:rsidR="008B0012" w:rsidRPr="009E35ED" w:rsidRDefault="008B0012" w:rsidP="008B0012">
            <w:pPr>
              <w:ind w:left="0"/>
              <w:jc w:val="right"/>
              <w:rPr>
                <w:rFonts w:ascii="Arial Narrow" w:hAnsi="Arial Narrow" w:cs="Arial"/>
                <w:b/>
                <w:bCs/>
                <w:color w:val="000000" w:themeColor="text1"/>
                <w:sz w:val="20"/>
                <w:szCs w:val="20"/>
                <w:lang w:val="en-PH" w:eastAsia="en-PH"/>
              </w:rPr>
            </w:pPr>
            <w:r w:rsidRPr="009E35ED">
              <w:rPr>
                <w:rFonts w:ascii="Arial Narrow" w:hAnsi="Arial Narrow"/>
                <w:b/>
                <w:bCs/>
                <w:color w:val="000000" w:themeColor="text1"/>
                <w:sz w:val="20"/>
                <w:szCs w:val="20"/>
              </w:rPr>
              <w:t xml:space="preserve"> 5,140,520 </w:t>
            </w:r>
          </w:p>
        </w:tc>
      </w:tr>
      <w:tr w:rsidR="00997F75" w:rsidRPr="009E35ED" w14:paraId="7CCCCD6D" w14:textId="77777777" w:rsidTr="00C26DA1">
        <w:trPr>
          <w:trHeight w:val="300"/>
        </w:trPr>
        <w:tc>
          <w:tcPr>
            <w:tcW w:w="7286" w:type="dxa"/>
            <w:tcBorders>
              <w:top w:val="nil"/>
              <w:left w:val="nil"/>
              <w:bottom w:val="nil"/>
              <w:right w:val="nil"/>
            </w:tcBorders>
            <w:shd w:val="clear" w:color="auto" w:fill="auto"/>
            <w:vAlign w:val="bottom"/>
            <w:hideMark/>
          </w:tcPr>
          <w:p w14:paraId="5561FFDF" w14:textId="77777777" w:rsidR="00240956" w:rsidRPr="009E35ED" w:rsidRDefault="00240956" w:rsidP="00240956">
            <w:pPr>
              <w:ind w:left="0"/>
              <w:jc w:val="left"/>
              <w:rPr>
                <w:rFonts w:ascii="Arial Narrow" w:hAnsi="Arial Narrow" w:cs="Arial"/>
                <w:b/>
                <w:bCs/>
                <w:color w:val="000000" w:themeColor="text1"/>
                <w:sz w:val="20"/>
                <w:szCs w:val="20"/>
                <w:lang w:val="en-PH" w:eastAsia="en-PH"/>
              </w:rPr>
            </w:pPr>
          </w:p>
        </w:tc>
        <w:tc>
          <w:tcPr>
            <w:tcW w:w="1716" w:type="dxa"/>
            <w:tcBorders>
              <w:top w:val="nil"/>
              <w:left w:val="nil"/>
              <w:bottom w:val="nil"/>
              <w:right w:val="nil"/>
            </w:tcBorders>
            <w:shd w:val="clear" w:color="auto" w:fill="auto"/>
            <w:noWrap/>
            <w:vAlign w:val="bottom"/>
            <w:hideMark/>
          </w:tcPr>
          <w:p w14:paraId="2BA1E4A1" w14:textId="77777777" w:rsidR="00240956" w:rsidRPr="009E35ED" w:rsidRDefault="00240956" w:rsidP="00240956">
            <w:pPr>
              <w:ind w:left="0"/>
              <w:jc w:val="right"/>
              <w:rPr>
                <w:rFonts w:ascii="Arial Narrow" w:hAnsi="Arial Narrow"/>
                <w:color w:val="000000" w:themeColor="text1"/>
                <w:sz w:val="20"/>
                <w:szCs w:val="20"/>
                <w:lang w:val="en-PH" w:eastAsia="en-PH"/>
              </w:rPr>
            </w:pPr>
          </w:p>
        </w:tc>
      </w:tr>
      <w:tr w:rsidR="00997F75" w:rsidRPr="009E35ED" w14:paraId="1F0CE08D" w14:textId="77777777" w:rsidTr="00C26DA1">
        <w:trPr>
          <w:trHeight w:val="285"/>
        </w:trPr>
        <w:tc>
          <w:tcPr>
            <w:tcW w:w="7286" w:type="dxa"/>
            <w:tcBorders>
              <w:top w:val="nil"/>
              <w:left w:val="nil"/>
              <w:bottom w:val="nil"/>
              <w:right w:val="nil"/>
            </w:tcBorders>
            <w:shd w:val="clear" w:color="auto" w:fill="auto"/>
            <w:hideMark/>
          </w:tcPr>
          <w:p w14:paraId="57F1BFBD" w14:textId="2C27AFF4" w:rsidR="008B0012" w:rsidRPr="009E35ED" w:rsidRDefault="008B0012" w:rsidP="008B0012">
            <w:pPr>
              <w:ind w:left="0"/>
              <w:jc w:val="left"/>
              <w:rPr>
                <w:rFonts w:ascii="Arial Narrow" w:hAnsi="Arial Narrow" w:cs="Arial"/>
                <w:color w:val="000000" w:themeColor="text1"/>
                <w:sz w:val="20"/>
                <w:szCs w:val="20"/>
                <w:lang w:val="en-PH" w:eastAsia="en-PH"/>
              </w:rPr>
            </w:pPr>
            <w:r w:rsidRPr="009E35ED">
              <w:rPr>
                <w:rFonts w:ascii="Arial Narrow" w:hAnsi="Arial Narrow"/>
                <w:color w:val="000000" w:themeColor="text1"/>
                <w:sz w:val="20"/>
                <w:szCs w:val="20"/>
              </w:rPr>
              <w:t xml:space="preserve">Unrestated </w:t>
            </w:r>
            <w:r w:rsidR="009C7FFC">
              <w:rPr>
                <w:rFonts w:ascii="Arial Narrow" w:hAnsi="Arial Narrow"/>
                <w:color w:val="000000" w:themeColor="text1"/>
                <w:sz w:val="20"/>
                <w:szCs w:val="20"/>
              </w:rPr>
              <w:t>a</w:t>
            </w:r>
            <w:r w:rsidRPr="009E35ED">
              <w:rPr>
                <w:rFonts w:ascii="Arial Narrow" w:hAnsi="Arial Narrow"/>
                <w:color w:val="000000" w:themeColor="text1"/>
                <w:sz w:val="20"/>
                <w:szCs w:val="20"/>
              </w:rPr>
              <w:t>mount as of December 31, 2022</w:t>
            </w:r>
          </w:p>
        </w:tc>
        <w:tc>
          <w:tcPr>
            <w:tcW w:w="1716" w:type="dxa"/>
            <w:tcBorders>
              <w:top w:val="nil"/>
              <w:left w:val="nil"/>
              <w:bottom w:val="nil"/>
              <w:right w:val="nil"/>
            </w:tcBorders>
            <w:shd w:val="clear" w:color="auto" w:fill="auto"/>
            <w:noWrap/>
            <w:hideMark/>
          </w:tcPr>
          <w:p w14:paraId="70559A49" w14:textId="1E6B79B8" w:rsidR="008B0012" w:rsidRPr="009E35ED" w:rsidRDefault="008B0012" w:rsidP="00CA106D">
            <w:pPr>
              <w:ind w:left="0"/>
              <w:jc w:val="right"/>
              <w:rPr>
                <w:rFonts w:ascii="Arial Narrow" w:hAnsi="Arial Narrow" w:cs="Arial"/>
                <w:color w:val="000000" w:themeColor="text1"/>
                <w:sz w:val="20"/>
                <w:szCs w:val="20"/>
                <w:lang w:val="en-PH" w:eastAsia="en-PH"/>
              </w:rPr>
            </w:pPr>
            <w:r w:rsidRPr="009E35ED">
              <w:rPr>
                <w:rFonts w:ascii="Arial Narrow" w:hAnsi="Arial Narrow"/>
                <w:color w:val="000000" w:themeColor="text1"/>
                <w:sz w:val="20"/>
                <w:szCs w:val="20"/>
              </w:rPr>
              <w:t xml:space="preserve"> 211,111,09</w:t>
            </w:r>
            <w:r w:rsidR="00CA106D" w:rsidRPr="009E35ED">
              <w:rPr>
                <w:rFonts w:ascii="Arial Narrow" w:hAnsi="Arial Narrow"/>
                <w:color w:val="000000" w:themeColor="text1"/>
                <w:sz w:val="20"/>
                <w:szCs w:val="20"/>
              </w:rPr>
              <w:t>3</w:t>
            </w:r>
            <w:r w:rsidRPr="009E35ED">
              <w:rPr>
                <w:rFonts w:ascii="Arial Narrow" w:hAnsi="Arial Narrow"/>
                <w:color w:val="000000" w:themeColor="text1"/>
                <w:sz w:val="20"/>
                <w:szCs w:val="20"/>
              </w:rPr>
              <w:t xml:space="preserve"> </w:t>
            </w:r>
          </w:p>
        </w:tc>
      </w:tr>
      <w:tr w:rsidR="00997F75" w:rsidRPr="009E35ED" w14:paraId="039479E9" w14:textId="77777777" w:rsidTr="00C26DA1">
        <w:trPr>
          <w:trHeight w:val="75"/>
        </w:trPr>
        <w:tc>
          <w:tcPr>
            <w:tcW w:w="7286" w:type="dxa"/>
            <w:tcBorders>
              <w:top w:val="nil"/>
              <w:left w:val="nil"/>
              <w:bottom w:val="nil"/>
              <w:right w:val="nil"/>
            </w:tcBorders>
            <w:shd w:val="clear" w:color="auto" w:fill="auto"/>
            <w:hideMark/>
          </w:tcPr>
          <w:p w14:paraId="7B12116F" w14:textId="657AF03C" w:rsidR="008B0012" w:rsidRPr="009E35ED" w:rsidRDefault="008B0012" w:rsidP="008B0012">
            <w:pPr>
              <w:ind w:left="0"/>
              <w:jc w:val="left"/>
              <w:rPr>
                <w:rFonts w:ascii="Arial Narrow" w:hAnsi="Arial Narrow" w:cs="Arial"/>
                <w:color w:val="000000" w:themeColor="text1"/>
                <w:sz w:val="20"/>
                <w:szCs w:val="20"/>
                <w:lang w:val="en-PH" w:eastAsia="en-PH"/>
              </w:rPr>
            </w:pPr>
            <w:r w:rsidRPr="009E35ED">
              <w:rPr>
                <w:rFonts w:ascii="Arial Narrow" w:hAnsi="Arial Narrow"/>
                <w:color w:val="000000" w:themeColor="text1"/>
                <w:sz w:val="20"/>
                <w:szCs w:val="20"/>
              </w:rPr>
              <w:t xml:space="preserve">Adjustment/Recording of </w:t>
            </w:r>
            <w:r w:rsidR="009C7FFC">
              <w:rPr>
                <w:rFonts w:ascii="Arial Narrow" w:hAnsi="Arial Narrow"/>
                <w:color w:val="000000" w:themeColor="text1"/>
                <w:sz w:val="20"/>
                <w:szCs w:val="20"/>
              </w:rPr>
              <w:t>l</w:t>
            </w:r>
            <w:r w:rsidRPr="009E35ED">
              <w:rPr>
                <w:rFonts w:ascii="Arial Narrow" w:hAnsi="Arial Narrow"/>
                <w:color w:val="000000" w:themeColor="text1"/>
                <w:sz w:val="20"/>
                <w:szCs w:val="20"/>
              </w:rPr>
              <w:t xml:space="preserve">otto </w:t>
            </w:r>
            <w:r w:rsidR="009C7FFC">
              <w:rPr>
                <w:rFonts w:ascii="Arial Narrow" w:hAnsi="Arial Narrow"/>
                <w:color w:val="000000" w:themeColor="text1"/>
                <w:sz w:val="20"/>
                <w:szCs w:val="20"/>
              </w:rPr>
              <w:t>d</w:t>
            </w:r>
            <w:r w:rsidRPr="009E35ED">
              <w:rPr>
                <w:rFonts w:ascii="Arial Narrow" w:hAnsi="Arial Narrow"/>
                <w:color w:val="000000" w:themeColor="text1"/>
                <w:sz w:val="20"/>
                <w:szCs w:val="20"/>
              </w:rPr>
              <w:t xml:space="preserve">raw </w:t>
            </w:r>
            <w:r w:rsidR="009C7FFC">
              <w:rPr>
                <w:rFonts w:ascii="Arial Narrow" w:hAnsi="Arial Narrow"/>
                <w:color w:val="000000" w:themeColor="text1"/>
                <w:sz w:val="20"/>
                <w:szCs w:val="20"/>
              </w:rPr>
              <w:t>a</w:t>
            </w:r>
            <w:r w:rsidRPr="009E35ED">
              <w:rPr>
                <w:rFonts w:ascii="Arial Narrow" w:hAnsi="Arial Narrow"/>
                <w:color w:val="000000" w:themeColor="text1"/>
                <w:sz w:val="20"/>
                <w:szCs w:val="20"/>
              </w:rPr>
              <w:t xml:space="preserve">llowance - </w:t>
            </w:r>
            <w:r w:rsidR="009C7FFC">
              <w:rPr>
                <w:rFonts w:ascii="Arial Narrow" w:hAnsi="Arial Narrow"/>
                <w:color w:val="000000" w:themeColor="text1"/>
                <w:sz w:val="20"/>
                <w:szCs w:val="20"/>
              </w:rPr>
              <w:t>l</w:t>
            </w:r>
            <w:r w:rsidRPr="009E35ED">
              <w:rPr>
                <w:rFonts w:ascii="Arial Narrow" w:hAnsi="Arial Narrow"/>
                <w:color w:val="000000" w:themeColor="text1"/>
                <w:sz w:val="20"/>
                <w:szCs w:val="20"/>
              </w:rPr>
              <w:t>otto-Head Office</w:t>
            </w:r>
          </w:p>
        </w:tc>
        <w:tc>
          <w:tcPr>
            <w:tcW w:w="1716" w:type="dxa"/>
            <w:tcBorders>
              <w:top w:val="nil"/>
              <w:left w:val="nil"/>
              <w:bottom w:val="nil"/>
              <w:right w:val="nil"/>
            </w:tcBorders>
            <w:shd w:val="clear" w:color="auto" w:fill="auto"/>
            <w:noWrap/>
            <w:hideMark/>
          </w:tcPr>
          <w:p w14:paraId="7F33DC39" w14:textId="2B0A7E26" w:rsidR="008B0012" w:rsidRPr="009E35ED" w:rsidRDefault="008B0012" w:rsidP="008B0012">
            <w:pPr>
              <w:ind w:left="0"/>
              <w:jc w:val="right"/>
              <w:rPr>
                <w:rFonts w:ascii="Arial Narrow" w:hAnsi="Arial Narrow" w:cs="Arial"/>
                <w:color w:val="000000" w:themeColor="text1"/>
                <w:sz w:val="20"/>
                <w:szCs w:val="20"/>
                <w:lang w:val="en-PH" w:eastAsia="en-PH"/>
              </w:rPr>
            </w:pPr>
            <w:r w:rsidRPr="009E35ED">
              <w:rPr>
                <w:rFonts w:ascii="Arial Narrow" w:hAnsi="Arial Narrow"/>
                <w:color w:val="000000" w:themeColor="text1"/>
                <w:sz w:val="20"/>
                <w:szCs w:val="20"/>
              </w:rPr>
              <w:t xml:space="preserve"> (386,552)</w:t>
            </w:r>
          </w:p>
        </w:tc>
      </w:tr>
      <w:tr w:rsidR="00997F75" w:rsidRPr="009E35ED" w14:paraId="4537884D" w14:textId="77777777" w:rsidTr="00C26DA1">
        <w:trPr>
          <w:trHeight w:val="65"/>
        </w:trPr>
        <w:tc>
          <w:tcPr>
            <w:tcW w:w="7286" w:type="dxa"/>
            <w:tcBorders>
              <w:top w:val="single" w:sz="4" w:space="0" w:color="auto"/>
              <w:left w:val="nil"/>
              <w:bottom w:val="double" w:sz="6" w:space="0" w:color="auto"/>
              <w:right w:val="nil"/>
            </w:tcBorders>
            <w:shd w:val="clear" w:color="auto" w:fill="auto"/>
            <w:hideMark/>
          </w:tcPr>
          <w:p w14:paraId="72159537" w14:textId="460465D2" w:rsidR="008B0012" w:rsidRPr="009E35ED" w:rsidRDefault="008B0012" w:rsidP="008B0012">
            <w:pPr>
              <w:ind w:left="0"/>
              <w:jc w:val="left"/>
              <w:rPr>
                <w:rFonts w:ascii="Arial Narrow" w:hAnsi="Arial Narrow" w:cs="Arial"/>
                <w:b/>
                <w:bCs/>
                <w:color w:val="000000" w:themeColor="text1"/>
                <w:sz w:val="20"/>
                <w:szCs w:val="20"/>
                <w:lang w:val="en-PH" w:eastAsia="en-PH"/>
              </w:rPr>
            </w:pPr>
            <w:r w:rsidRPr="009E35ED">
              <w:rPr>
                <w:rFonts w:ascii="Arial Narrow" w:hAnsi="Arial Narrow"/>
                <w:b/>
                <w:bCs/>
                <w:color w:val="000000" w:themeColor="text1"/>
                <w:sz w:val="20"/>
                <w:szCs w:val="20"/>
              </w:rPr>
              <w:t>Restated Amount as of December 31, 2022 - Lotto Draw Allowance Expenses (Operating Fund)</w:t>
            </w:r>
          </w:p>
        </w:tc>
        <w:tc>
          <w:tcPr>
            <w:tcW w:w="1716" w:type="dxa"/>
            <w:tcBorders>
              <w:top w:val="single" w:sz="4" w:space="0" w:color="auto"/>
              <w:left w:val="nil"/>
              <w:bottom w:val="double" w:sz="6" w:space="0" w:color="auto"/>
              <w:right w:val="nil"/>
            </w:tcBorders>
            <w:shd w:val="clear" w:color="auto" w:fill="auto"/>
            <w:noWrap/>
            <w:hideMark/>
          </w:tcPr>
          <w:p w14:paraId="78222F77" w14:textId="77777777" w:rsidR="001E4041" w:rsidRPr="009E35ED" w:rsidRDefault="008B0012" w:rsidP="008B0012">
            <w:pPr>
              <w:ind w:left="0"/>
              <w:jc w:val="right"/>
              <w:rPr>
                <w:rFonts w:ascii="Arial Narrow" w:hAnsi="Arial Narrow"/>
                <w:b/>
                <w:bCs/>
                <w:color w:val="000000" w:themeColor="text1"/>
                <w:sz w:val="20"/>
                <w:szCs w:val="20"/>
              </w:rPr>
            </w:pPr>
            <w:r w:rsidRPr="009E35ED">
              <w:rPr>
                <w:rFonts w:ascii="Arial Narrow" w:hAnsi="Arial Narrow"/>
                <w:b/>
                <w:bCs/>
                <w:color w:val="000000" w:themeColor="text1"/>
                <w:sz w:val="20"/>
                <w:szCs w:val="20"/>
              </w:rPr>
              <w:t xml:space="preserve"> </w:t>
            </w:r>
          </w:p>
          <w:p w14:paraId="410A5A50" w14:textId="725DBCCD" w:rsidR="008B0012" w:rsidRPr="009E35ED" w:rsidRDefault="008B0012" w:rsidP="00CA106D">
            <w:pPr>
              <w:ind w:left="0"/>
              <w:jc w:val="right"/>
              <w:rPr>
                <w:rFonts w:ascii="Arial Narrow" w:hAnsi="Arial Narrow" w:cs="Arial"/>
                <w:b/>
                <w:bCs/>
                <w:color w:val="000000" w:themeColor="text1"/>
                <w:sz w:val="20"/>
                <w:szCs w:val="20"/>
                <w:lang w:val="en-PH" w:eastAsia="en-PH"/>
              </w:rPr>
            </w:pPr>
            <w:r w:rsidRPr="009E35ED">
              <w:rPr>
                <w:rFonts w:ascii="Arial Narrow" w:hAnsi="Arial Narrow"/>
                <w:b/>
                <w:bCs/>
                <w:color w:val="000000" w:themeColor="text1"/>
                <w:sz w:val="20"/>
                <w:szCs w:val="20"/>
              </w:rPr>
              <w:t>210,724,54</w:t>
            </w:r>
            <w:r w:rsidR="00CA106D" w:rsidRPr="009E35ED">
              <w:rPr>
                <w:rFonts w:ascii="Arial Narrow" w:hAnsi="Arial Narrow"/>
                <w:b/>
                <w:bCs/>
                <w:color w:val="000000" w:themeColor="text1"/>
                <w:sz w:val="20"/>
                <w:szCs w:val="20"/>
              </w:rPr>
              <w:t>1</w:t>
            </w:r>
            <w:r w:rsidRPr="009E35ED">
              <w:rPr>
                <w:rFonts w:ascii="Arial Narrow" w:hAnsi="Arial Narrow"/>
                <w:b/>
                <w:bCs/>
                <w:color w:val="000000" w:themeColor="text1"/>
                <w:sz w:val="20"/>
                <w:szCs w:val="20"/>
              </w:rPr>
              <w:t xml:space="preserve"> </w:t>
            </w:r>
          </w:p>
        </w:tc>
      </w:tr>
      <w:tr w:rsidR="00997F75" w:rsidRPr="009E35ED" w14:paraId="2339DE91" w14:textId="77777777" w:rsidTr="00C26DA1">
        <w:trPr>
          <w:trHeight w:val="300"/>
        </w:trPr>
        <w:tc>
          <w:tcPr>
            <w:tcW w:w="7286" w:type="dxa"/>
            <w:tcBorders>
              <w:top w:val="nil"/>
              <w:left w:val="nil"/>
              <w:bottom w:val="nil"/>
              <w:right w:val="nil"/>
            </w:tcBorders>
            <w:shd w:val="clear" w:color="auto" w:fill="auto"/>
            <w:vAlign w:val="bottom"/>
          </w:tcPr>
          <w:p w14:paraId="7E74D89F" w14:textId="50740463" w:rsidR="00ED75E7" w:rsidRPr="009E35ED" w:rsidRDefault="00ED75E7" w:rsidP="00ED75E7">
            <w:pPr>
              <w:ind w:left="0"/>
              <w:jc w:val="left"/>
              <w:rPr>
                <w:rFonts w:ascii="Arial Narrow" w:hAnsi="Arial Narrow" w:cs="Arial"/>
                <w:b/>
                <w:bCs/>
                <w:color w:val="000000" w:themeColor="text1"/>
                <w:sz w:val="20"/>
                <w:szCs w:val="20"/>
                <w:lang w:val="en-PH" w:eastAsia="en-PH"/>
              </w:rPr>
            </w:pPr>
          </w:p>
        </w:tc>
        <w:tc>
          <w:tcPr>
            <w:tcW w:w="1716" w:type="dxa"/>
            <w:tcBorders>
              <w:top w:val="nil"/>
              <w:left w:val="nil"/>
              <w:bottom w:val="nil"/>
              <w:right w:val="nil"/>
            </w:tcBorders>
            <w:shd w:val="clear" w:color="auto" w:fill="auto"/>
            <w:noWrap/>
            <w:vAlign w:val="bottom"/>
          </w:tcPr>
          <w:p w14:paraId="63A7461E" w14:textId="6BA5BDEC" w:rsidR="00ED75E7" w:rsidRPr="009E35ED" w:rsidRDefault="00ED75E7" w:rsidP="00ED75E7">
            <w:pPr>
              <w:ind w:left="0"/>
              <w:jc w:val="right"/>
              <w:rPr>
                <w:rFonts w:ascii="Arial Narrow" w:hAnsi="Arial Narrow"/>
                <w:color w:val="000000" w:themeColor="text1"/>
                <w:sz w:val="20"/>
                <w:szCs w:val="20"/>
                <w:lang w:val="en-PH" w:eastAsia="en-PH"/>
              </w:rPr>
            </w:pPr>
          </w:p>
        </w:tc>
      </w:tr>
      <w:tr w:rsidR="00997F75" w:rsidRPr="009E35ED" w14:paraId="6C2465D8" w14:textId="77777777" w:rsidTr="00C26DA1">
        <w:trPr>
          <w:trHeight w:val="285"/>
        </w:trPr>
        <w:tc>
          <w:tcPr>
            <w:tcW w:w="7286" w:type="dxa"/>
            <w:tcBorders>
              <w:top w:val="nil"/>
              <w:left w:val="nil"/>
              <w:bottom w:val="nil"/>
              <w:right w:val="nil"/>
            </w:tcBorders>
            <w:shd w:val="clear" w:color="auto" w:fill="auto"/>
            <w:hideMark/>
          </w:tcPr>
          <w:p w14:paraId="7E1C2934" w14:textId="385F2156" w:rsidR="00080453" w:rsidRPr="009E35ED" w:rsidRDefault="00080453" w:rsidP="00080453">
            <w:pPr>
              <w:ind w:left="0"/>
              <w:jc w:val="left"/>
              <w:rPr>
                <w:rFonts w:ascii="Arial Narrow" w:hAnsi="Arial Narrow" w:cs="Arial"/>
                <w:color w:val="000000" w:themeColor="text1"/>
                <w:sz w:val="20"/>
                <w:szCs w:val="20"/>
                <w:lang w:val="en-PH" w:eastAsia="en-PH"/>
              </w:rPr>
            </w:pPr>
            <w:r w:rsidRPr="009E35ED">
              <w:rPr>
                <w:rFonts w:ascii="Arial Narrow" w:hAnsi="Arial Narrow"/>
                <w:color w:val="000000" w:themeColor="text1"/>
                <w:sz w:val="20"/>
                <w:szCs w:val="20"/>
              </w:rPr>
              <w:t xml:space="preserve">Unrestated </w:t>
            </w:r>
            <w:r w:rsidR="009C7FFC">
              <w:rPr>
                <w:rFonts w:ascii="Arial Narrow" w:hAnsi="Arial Narrow"/>
                <w:color w:val="000000" w:themeColor="text1"/>
                <w:sz w:val="20"/>
                <w:szCs w:val="20"/>
              </w:rPr>
              <w:t>a</w:t>
            </w:r>
            <w:r w:rsidRPr="009E35ED">
              <w:rPr>
                <w:rFonts w:ascii="Arial Narrow" w:hAnsi="Arial Narrow"/>
                <w:color w:val="000000" w:themeColor="text1"/>
                <w:sz w:val="20"/>
                <w:szCs w:val="20"/>
              </w:rPr>
              <w:t>mount as of December 31, 2022</w:t>
            </w:r>
          </w:p>
        </w:tc>
        <w:tc>
          <w:tcPr>
            <w:tcW w:w="1716" w:type="dxa"/>
            <w:tcBorders>
              <w:top w:val="nil"/>
              <w:left w:val="nil"/>
              <w:bottom w:val="nil"/>
              <w:right w:val="nil"/>
            </w:tcBorders>
            <w:shd w:val="clear" w:color="auto" w:fill="auto"/>
            <w:noWrap/>
            <w:hideMark/>
          </w:tcPr>
          <w:p w14:paraId="1965A980" w14:textId="4D7C3F7B" w:rsidR="00080453" w:rsidRPr="009E35ED" w:rsidRDefault="00080453" w:rsidP="00080453">
            <w:pPr>
              <w:ind w:left="0"/>
              <w:jc w:val="right"/>
              <w:rPr>
                <w:rFonts w:ascii="Arial Narrow" w:hAnsi="Arial Narrow" w:cs="Arial"/>
                <w:color w:val="000000" w:themeColor="text1"/>
                <w:sz w:val="20"/>
                <w:szCs w:val="20"/>
                <w:lang w:val="en-PH" w:eastAsia="en-PH"/>
              </w:rPr>
            </w:pPr>
            <w:r w:rsidRPr="009E35ED">
              <w:rPr>
                <w:rFonts w:ascii="Arial Narrow" w:hAnsi="Arial Narrow"/>
                <w:color w:val="000000" w:themeColor="text1"/>
                <w:sz w:val="20"/>
                <w:szCs w:val="20"/>
              </w:rPr>
              <w:t xml:space="preserve"> 270,464,892 </w:t>
            </w:r>
          </w:p>
        </w:tc>
      </w:tr>
      <w:tr w:rsidR="00997F75" w:rsidRPr="009E35ED" w14:paraId="1FA25B27" w14:textId="77777777" w:rsidTr="00C26DA1">
        <w:trPr>
          <w:trHeight w:val="285"/>
        </w:trPr>
        <w:tc>
          <w:tcPr>
            <w:tcW w:w="7286" w:type="dxa"/>
            <w:tcBorders>
              <w:top w:val="nil"/>
              <w:left w:val="nil"/>
              <w:bottom w:val="nil"/>
              <w:right w:val="nil"/>
            </w:tcBorders>
            <w:shd w:val="clear" w:color="auto" w:fill="auto"/>
          </w:tcPr>
          <w:p w14:paraId="5C6E1286" w14:textId="6309C35A" w:rsidR="00080453" w:rsidRPr="009E35ED" w:rsidRDefault="00080453" w:rsidP="00080453">
            <w:pPr>
              <w:ind w:left="0"/>
              <w:jc w:val="left"/>
              <w:rPr>
                <w:rFonts w:ascii="Arial Narrow" w:hAnsi="Arial Narrow"/>
                <w:color w:val="000000" w:themeColor="text1"/>
                <w:sz w:val="20"/>
                <w:szCs w:val="20"/>
              </w:rPr>
            </w:pPr>
            <w:r w:rsidRPr="009E35ED">
              <w:rPr>
                <w:rFonts w:ascii="Arial Narrow" w:hAnsi="Arial Narrow"/>
                <w:color w:val="000000" w:themeColor="text1"/>
                <w:sz w:val="20"/>
                <w:szCs w:val="20"/>
              </w:rPr>
              <w:t xml:space="preserve">Adjustment/Recording of </w:t>
            </w:r>
            <w:r w:rsidR="009C7FFC">
              <w:rPr>
                <w:rFonts w:ascii="Arial Narrow" w:hAnsi="Arial Narrow"/>
                <w:color w:val="000000" w:themeColor="text1"/>
                <w:sz w:val="20"/>
                <w:szCs w:val="20"/>
              </w:rPr>
              <w:t>j</w:t>
            </w:r>
            <w:r w:rsidRPr="009E35ED">
              <w:rPr>
                <w:rFonts w:ascii="Arial Narrow" w:hAnsi="Arial Narrow"/>
                <w:color w:val="000000" w:themeColor="text1"/>
                <w:sz w:val="20"/>
                <w:szCs w:val="20"/>
              </w:rPr>
              <w:t xml:space="preserve">ob </w:t>
            </w:r>
            <w:r w:rsidR="009C7FFC">
              <w:rPr>
                <w:rFonts w:ascii="Arial Narrow" w:hAnsi="Arial Narrow"/>
                <w:color w:val="000000" w:themeColor="text1"/>
                <w:sz w:val="20"/>
                <w:szCs w:val="20"/>
              </w:rPr>
              <w:t>o</w:t>
            </w:r>
            <w:r w:rsidRPr="009E35ED">
              <w:rPr>
                <w:rFonts w:ascii="Arial Narrow" w:hAnsi="Arial Narrow"/>
                <w:color w:val="000000" w:themeColor="text1"/>
                <w:sz w:val="20"/>
                <w:szCs w:val="20"/>
              </w:rPr>
              <w:t>rder - Head Office</w:t>
            </w:r>
          </w:p>
        </w:tc>
        <w:tc>
          <w:tcPr>
            <w:tcW w:w="1716" w:type="dxa"/>
            <w:tcBorders>
              <w:top w:val="nil"/>
              <w:left w:val="nil"/>
              <w:bottom w:val="nil"/>
              <w:right w:val="nil"/>
            </w:tcBorders>
            <w:shd w:val="clear" w:color="auto" w:fill="auto"/>
            <w:noWrap/>
          </w:tcPr>
          <w:p w14:paraId="05C9893B" w14:textId="329C39C3" w:rsidR="00080453" w:rsidRPr="009E35ED" w:rsidRDefault="00080453" w:rsidP="00080453">
            <w:pPr>
              <w:ind w:left="0"/>
              <w:jc w:val="right"/>
              <w:rPr>
                <w:rFonts w:ascii="Arial Narrow" w:hAnsi="Arial Narrow" w:cs="Arial"/>
                <w:color w:val="000000" w:themeColor="text1"/>
                <w:sz w:val="20"/>
                <w:szCs w:val="20"/>
                <w:lang w:val="en-PH" w:eastAsia="en-PH"/>
              </w:rPr>
            </w:pPr>
            <w:r w:rsidRPr="009E35ED">
              <w:rPr>
                <w:rFonts w:ascii="Arial Narrow" w:hAnsi="Arial Narrow"/>
                <w:color w:val="000000" w:themeColor="text1"/>
                <w:sz w:val="20"/>
                <w:szCs w:val="20"/>
              </w:rPr>
              <w:t xml:space="preserve"> 18,273 </w:t>
            </w:r>
          </w:p>
        </w:tc>
      </w:tr>
      <w:tr w:rsidR="00997F75" w:rsidRPr="009E35ED" w14:paraId="04EC7B8B" w14:textId="77777777" w:rsidTr="00C26DA1">
        <w:trPr>
          <w:trHeight w:val="285"/>
        </w:trPr>
        <w:tc>
          <w:tcPr>
            <w:tcW w:w="7286" w:type="dxa"/>
            <w:tcBorders>
              <w:top w:val="nil"/>
              <w:left w:val="nil"/>
              <w:bottom w:val="nil"/>
              <w:right w:val="nil"/>
            </w:tcBorders>
            <w:shd w:val="clear" w:color="auto" w:fill="auto"/>
          </w:tcPr>
          <w:p w14:paraId="60FBCF61" w14:textId="6BBF5FD0" w:rsidR="00080453" w:rsidRPr="009E35ED" w:rsidRDefault="00080453" w:rsidP="00080453">
            <w:pPr>
              <w:ind w:left="0"/>
              <w:jc w:val="left"/>
              <w:rPr>
                <w:rFonts w:ascii="Arial Narrow" w:hAnsi="Arial Narrow"/>
                <w:color w:val="000000" w:themeColor="text1"/>
                <w:sz w:val="20"/>
                <w:szCs w:val="20"/>
              </w:rPr>
            </w:pPr>
            <w:r w:rsidRPr="009E35ED">
              <w:rPr>
                <w:rFonts w:ascii="Arial Narrow" w:hAnsi="Arial Narrow"/>
                <w:color w:val="000000" w:themeColor="text1"/>
                <w:sz w:val="20"/>
                <w:szCs w:val="20"/>
              </w:rPr>
              <w:t xml:space="preserve">Adjustment/Recording of </w:t>
            </w:r>
            <w:r w:rsidR="009C7FFC">
              <w:rPr>
                <w:rFonts w:ascii="Arial Narrow" w:hAnsi="Arial Narrow"/>
                <w:color w:val="000000" w:themeColor="text1"/>
                <w:sz w:val="20"/>
                <w:szCs w:val="20"/>
              </w:rPr>
              <w:t>j</w:t>
            </w:r>
            <w:r w:rsidRPr="009E35ED">
              <w:rPr>
                <w:rFonts w:ascii="Arial Narrow" w:hAnsi="Arial Narrow"/>
                <w:color w:val="000000" w:themeColor="text1"/>
                <w:sz w:val="20"/>
                <w:szCs w:val="20"/>
              </w:rPr>
              <w:t xml:space="preserve">ob </w:t>
            </w:r>
            <w:r w:rsidR="009C7FFC">
              <w:rPr>
                <w:rFonts w:ascii="Arial Narrow" w:hAnsi="Arial Narrow"/>
                <w:color w:val="000000" w:themeColor="text1"/>
                <w:sz w:val="20"/>
                <w:szCs w:val="20"/>
              </w:rPr>
              <w:t>o</w:t>
            </w:r>
            <w:r w:rsidRPr="009E35ED">
              <w:rPr>
                <w:rFonts w:ascii="Arial Narrow" w:hAnsi="Arial Narrow"/>
                <w:color w:val="000000" w:themeColor="text1"/>
                <w:sz w:val="20"/>
                <w:szCs w:val="20"/>
              </w:rPr>
              <w:t xml:space="preserve">rder </w:t>
            </w:r>
            <w:r w:rsidR="009C7FFC">
              <w:rPr>
                <w:rFonts w:ascii="Arial Narrow" w:hAnsi="Arial Narrow"/>
                <w:color w:val="000000" w:themeColor="text1"/>
                <w:sz w:val="20"/>
                <w:szCs w:val="20"/>
              </w:rPr>
              <w:t>–</w:t>
            </w:r>
            <w:r w:rsidRPr="009E35ED">
              <w:rPr>
                <w:rFonts w:ascii="Arial Narrow" w:hAnsi="Arial Narrow"/>
                <w:color w:val="000000" w:themeColor="text1"/>
                <w:sz w:val="20"/>
                <w:szCs w:val="20"/>
              </w:rPr>
              <w:t xml:space="preserve"> Branches</w:t>
            </w:r>
          </w:p>
        </w:tc>
        <w:tc>
          <w:tcPr>
            <w:tcW w:w="1716" w:type="dxa"/>
            <w:tcBorders>
              <w:top w:val="nil"/>
              <w:left w:val="nil"/>
              <w:bottom w:val="nil"/>
              <w:right w:val="nil"/>
            </w:tcBorders>
            <w:shd w:val="clear" w:color="auto" w:fill="auto"/>
            <w:noWrap/>
          </w:tcPr>
          <w:p w14:paraId="374FA151" w14:textId="2E60C3C9" w:rsidR="00080453" w:rsidRPr="009E35ED" w:rsidRDefault="00080453" w:rsidP="00080453">
            <w:pPr>
              <w:ind w:left="0"/>
              <w:jc w:val="right"/>
              <w:rPr>
                <w:rFonts w:ascii="Arial Narrow" w:hAnsi="Arial Narrow" w:cs="Arial"/>
                <w:color w:val="000000" w:themeColor="text1"/>
                <w:sz w:val="20"/>
                <w:szCs w:val="20"/>
                <w:lang w:val="en-PH" w:eastAsia="en-PH"/>
              </w:rPr>
            </w:pPr>
            <w:r w:rsidRPr="009E35ED">
              <w:rPr>
                <w:rFonts w:ascii="Arial Narrow" w:hAnsi="Arial Narrow"/>
                <w:color w:val="000000" w:themeColor="text1"/>
                <w:sz w:val="20"/>
                <w:szCs w:val="20"/>
              </w:rPr>
              <w:t xml:space="preserve"> (14,186)</w:t>
            </w:r>
          </w:p>
        </w:tc>
      </w:tr>
      <w:tr w:rsidR="00997F75" w:rsidRPr="009E35ED" w14:paraId="1E7F1D47" w14:textId="77777777" w:rsidTr="00C26DA1">
        <w:trPr>
          <w:trHeight w:val="285"/>
        </w:trPr>
        <w:tc>
          <w:tcPr>
            <w:tcW w:w="7286" w:type="dxa"/>
            <w:tcBorders>
              <w:top w:val="nil"/>
              <w:left w:val="nil"/>
              <w:bottom w:val="nil"/>
              <w:right w:val="nil"/>
            </w:tcBorders>
            <w:shd w:val="clear" w:color="auto" w:fill="auto"/>
          </w:tcPr>
          <w:p w14:paraId="1E17A3F9" w14:textId="4B97CB67" w:rsidR="00080453" w:rsidRPr="009E35ED" w:rsidRDefault="00080453" w:rsidP="00080453">
            <w:pPr>
              <w:ind w:left="0"/>
              <w:jc w:val="left"/>
              <w:rPr>
                <w:rFonts w:ascii="Arial Narrow" w:hAnsi="Arial Narrow"/>
                <w:color w:val="000000" w:themeColor="text1"/>
                <w:sz w:val="20"/>
                <w:szCs w:val="20"/>
              </w:rPr>
            </w:pPr>
            <w:r w:rsidRPr="009E35ED">
              <w:rPr>
                <w:rFonts w:ascii="Arial Narrow" w:hAnsi="Arial Narrow"/>
                <w:color w:val="000000" w:themeColor="text1"/>
                <w:sz w:val="20"/>
                <w:szCs w:val="20"/>
              </w:rPr>
              <w:t xml:space="preserve">Adjustment/Recording of </w:t>
            </w:r>
            <w:r w:rsidR="009C7FFC">
              <w:rPr>
                <w:rFonts w:ascii="Arial Narrow" w:hAnsi="Arial Narrow"/>
                <w:color w:val="000000" w:themeColor="text1"/>
                <w:sz w:val="20"/>
                <w:szCs w:val="20"/>
              </w:rPr>
              <w:t>c</w:t>
            </w:r>
            <w:r w:rsidRPr="009E35ED">
              <w:rPr>
                <w:rFonts w:ascii="Arial Narrow" w:hAnsi="Arial Narrow"/>
                <w:color w:val="000000" w:themeColor="text1"/>
                <w:sz w:val="20"/>
                <w:szCs w:val="20"/>
              </w:rPr>
              <w:t xml:space="preserve">ontract of </w:t>
            </w:r>
            <w:r w:rsidR="009C7FFC">
              <w:rPr>
                <w:rFonts w:ascii="Arial Narrow" w:hAnsi="Arial Narrow"/>
                <w:color w:val="000000" w:themeColor="text1"/>
                <w:sz w:val="20"/>
                <w:szCs w:val="20"/>
              </w:rPr>
              <w:t>s</w:t>
            </w:r>
            <w:r w:rsidRPr="009E35ED">
              <w:rPr>
                <w:rFonts w:ascii="Arial Narrow" w:hAnsi="Arial Narrow"/>
                <w:color w:val="000000" w:themeColor="text1"/>
                <w:sz w:val="20"/>
                <w:szCs w:val="20"/>
              </w:rPr>
              <w:t>ervice - Head Office</w:t>
            </w:r>
          </w:p>
        </w:tc>
        <w:tc>
          <w:tcPr>
            <w:tcW w:w="1716" w:type="dxa"/>
            <w:tcBorders>
              <w:top w:val="nil"/>
              <w:left w:val="nil"/>
              <w:bottom w:val="nil"/>
              <w:right w:val="nil"/>
            </w:tcBorders>
            <w:shd w:val="clear" w:color="auto" w:fill="auto"/>
            <w:noWrap/>
          </w:tcPr>
          <w:p w14:paraId="0BFA5AEE" w14:textId="5143B69B" w:rsidR="00080453" w:rsidRPr="009E35ED" w:rsidRDefault="00080453" w:rsidP="00080453">
            <w:pPr>
              <w:ind w:left="0"/>
              <w:jc w:val="right"/>
              <w:rPr>
                <w:rFonts w:ascii="Arial Narrow" w:hAnsi="Arial Narrow" w:cs="Arial"/>
                <w:color w:val="000000" w:themeColor="text1"/>
                <w:sz w:val="20"/>
                <w:szCs w:val="20"/>
                <w:lang w:val="en-PH" w:eastAsia="en-PH"/>
              </w:rPr>
            </w:pPr>
            <w:r w:rsidRPr="009E35ED">
              <w:rPr>
                <w:rFonts w:ascii="Arial Narrow" w:hAnsi="Arial Narrow"/>
                <w:color w:val="000000" w:themeColor="text1"/>
                <w:sz w:val="20"/>
                <w:szCs w:val="20"/>
              </w:rPr>
              <w:t xml:space="preserve"> (50,000)</w:t>
            </w:r>
          </w:p>
        </w:tc>
      </w:tr>
      <w:tr w:rsidR="00997F75" w:rsidRPr="009E35ED" w14:paraId="5D8C8B2A" w14:textId="77777777" w:rsidTr="00C26DA1">
        <w:trPr>
          <w:trHeight w:val="285"/>
        </w:trPr>
        <w:tc>
          <w:tcPr>
            <w:tcW w:w="7286" w:type="dxa"/>
            <w:tcBorders>
              <w:top w:val="nil"/>
              <w:left w:val="nil"/>
              <w:bottom w:val="nil"/>
              <w:right w:val="nil"/>
            </w:tcBorders>
            <w:shd w:val="clear" w:color="auto" w:fill="auto"/>
          </w:tcPr>
          <w:p w14:paraId="379FCC08" w14:textId="437166CC" w:rsidR="00080453" w:rsidRPr="009E35ED" w:rsidRDefault="00080453" w:rsidP="00080453">
            <w:pPr>
              <w:ind w:left="0"/>
              <w:jc w:val="left"/>
              <w:rPr>
                <w:rFonts w:ascii="Arial Narrow" w:hAnsi="Arial Narrow"/>
                <w:color w:val="000000" w:themeColor="text1"/>
                <w:sz w:val="20"/>
                <w:szCs w:val="20"/>
              </w:rPr>
            </w:pPr>
            <w:r w:rsidRPr="009E35ED">
              <w:rPr>
                <w:rFonts w:ascii="Arial Narrow" w:hAnsi="Arial Narrow"/>
                <w:color w:val="000000" w:themeColor="text1"/>
                <w:sz w:val="20"/>
                <w:szCs w:val="20"/>
              </w:rPr>
              <w:t xml:space="preserve">Adjustment/Recording of </w:t>
            </w:r>
            <w:r w:rsidR="009C7FFC">
              <w:rPr>
                <w:rFonts w:ascii="Arial Narrow" w:hAnsi="Arial Narrow"/>
                <w:color w:val="000000" w:themeColor="text1"/>
                <w:sz w:val="20"/>
                <w:szCs w:val="20"/>
              </w:rPr>
              <w:t>m</w:t>
            </w:r>
            <w:r w:rsidRPr="009E35ED">
              <w:rPr>
                <w:rFonts w:ascii="Arial Narrow" w:hAnsi="Arial Narrow"/>
                <w:color w:val="000000" w:themeColor="text1"/>
                <w:sz w:val="20"/>
                <w:szCs w:val="20"/>
              </w:rPr>
              <w:t xml:space="preserve">iscellaneous </w:t>
            </w:r>
            <w:r w:rsidR="009C7FFC">
              <w:rPr>
                <w:rFonts w:ascii="Arial Narrow" w:hAnsi="Arial Narrow"/>
                <w:color w:val="000000" w:themeColor="text1"/>
                <w:sz w:val="20"/>
                <w:szCs w:val="20"/>
              </w:rPr>
              <w:t>e</w:t>
            </w:r>
            <w:r w:rsidRPr="009E35ED">
              <w:rPr>
                <w:rFonts w:ascii="Arial Narrow" w:hAnsi="Arial Narrow"/>
                <w:color w:val="000000" w:themeColor="text1"/>
                <w:sz w:val="20"/>
                <w:szCs w:val="20"/>
              </w:rPr>
              <w:t xml:space="preserve">xpenses - Operating </w:t>
            </w:r>
            <w:r w:rsidR="009C7FFC">
              <w:rPr>
                <w:rFonts w:ascii="Arial Narrow" w:hAnsi="Arial Narrow"/>
                <w:color w:val="000000" w:themeColor="text1"/>
                <w:sz w:val="20"/>
                <w:szCs w:val="20"/>
              </w:rPr>
              <w:t>f</w:t>
            </w:r>
            <w:r w:rsidRPr="009E35ED">
              <w:rPr>
                <w:rFonts w:ascii="Arial Narrow" w:hAnsi="Arial Narrow"/>
                <w:color w:val="000000" w:themeColor="text1"/>
                <w:sz w:val="20"/>
                <w:szCs w:val="20"/>
              </w:rPr>
              <w:t>und - Branch</w:t>
            </w:r>
          </w:p>
        </w:tc>
        <w:tc>
          <w:tcPr>
            <w:tcW w:w="1716" w:type="dxa"/>
            <w:tcBorders>
              <w:top w:val="nil"/>
              <w:left w:val="nil"/>
              <w:bottom w:val="nil"/>
              <w:right w:val="nil"/>
            </w:tcBorders>
            <w:shd w:val="clear" w:color="auto" w:fill="auto"/>
            <w:noWrap/>
          </w:tcPr>
          <w:p w14:paraId="08631E42" w14:textId="2DC1482E" w:rsidR="00080453" w:rsidRPr="009E35ED" w:rsidRDefault="00080453" w:rsidP="00080453">
            <w:pPr>
              <w:ind w:left="0"/>
              <w:jc w:val="right"/>
              <w:rPr>
                <w:rFonts w:ascii="Arial Narrow" w:hAnsi="Arial Narrow" w:cs="Arial"/>
                <w:color w:val="000000" w:themeColor="text1"/>
                <w:sz w:val="20"/>
                <w:szCs w:val="20"/>
                <w:lang w:val="en-PH" w:eastAsia="en-PH"/>
              </w:rPr>
            </w:pPr>
            <w:r w:rsidRPr="009E35ED">
              <w:rPr>
                <w:rFonts w:ascii="Arial Narrow" w:hAnsi="Arial Narrow"/>
                <w:color w:val="000000" w:themeColor="text1"/>
                <w:sz w:val="20"/>
                <w:szCs w:val="20"/>
              </w:rPr>
              <w:t xml:space="preserve"> 6,881,959 </w:t>
            </w:r>
          </w:p>
        </w:tc>
      </w:tr>
      <w:tr w:rsidR="00997F75" w:rsidRPr="009E35ED" w14:paraId="513AC1C3" w14:textId="77777777" w:rsidTr="00C26DA1">
        <w:trPr>
          <w:trHeight w:val="75"/>
        </w:trPr>
        <w:tc>
          <w:tcPr>
            <w:tcW w:w="7286" w:type="dxa"/>
            <w:tcBorders>
              <w:top w:val="nil"/>
              <w:left w:val="nil"/>
              <w:bottom w:val="nil"/>
              <w:right w:val="nil"/>
            </w:tcBorders>
            <w:shd w:val="clear" w:color="auto" w:fill="auto"/>
            <w:hideMark/>
          </w:tcPr>
          <w:p w14:paraId="4B640136" w14:textId="7B6F5B52" w:rsidR="00080453" w:rsidRPr="009E35ED" w:rsidRDefault="00080453" w:rsidP="00080453">
            <w:pPr>
              <w:ind w:left="0"/>
              <w:jc w:val="left"/>
              <w:rPr>
                <w:rFonts w:ascii="Arial Narrow" w:hAnsi="Arial Narrow" w:cs="Arial"/>
                <w:color w:val="000000" w:themeColor="text1"/>
                <w:sz w:val="20"/>
                <w:szCs w:val="20"/>
                <w:lang w:val="en-PH" w:eastAsia="en-PH"/>
              </w:rPr>
            </w:pPr>
            <w:r w:rsidRPr="009E35ED">
              <w:rPr>
                <w:rFonts w:ascii="Arial Narrow" w:hAnsi="Arial Narrow"/>
                <w:color w:val="000000" w:themeColor="text1"/>
                <w:sz w:val="20"/>
                <w:szCs w:val="20"/>
              </w:rPr>
              <w:t xml:space="preserve">Adjustment/Recording of </w:t>
            </w:r>
            <w:r w:rsidR="009C7FFC">
              <w:rPr>
                <w:rFonts w:ascii="Arial Narrow" w:hAnsi="Arial Narrow"/>
                <w:color w:val="000000" w:themeColor="text1"/>
                <w:sz w:val="20"/>
                <w:szCs w:val="20"/>
              </w:rPr>
              <w:t>m</w:t>
            </w:r>
            <w:r w:rsidRPr="009E35ED">
              <w:rPr>
                <w:rFonts w:ascii="Arial Narrow" w:hAnsi="Arial Narrow"/>
                <w:color w:val="000000" w:themeColor="text1"/>
                <w:sz w:val="20"/>
                <w:szCs w:val="20"/>
              </w:rPr>
              <w:t xml:space="preserve">iscellaneous </w:t>
            </w:r>
            <w:r w:rsidR="009C7FFC">
              <w:rPr>
                <w:rFonts w:ascii="Arial Narrow" w:hAnsi="Arial Narrow"/>
                <w:color w:val="000000" w:themeColor="text1"/>
                <w:sz w:val="20"/>
                <w:szCs w:val="20"/>
              </w:rPr>
              <w:t>e</w:t>
            </w:r>
            <w:r w:rsidRPr="009E35ED">
              <w:rPr>
                <w:rFonts w:ascii="Arial Narrow" w:hAnsi="Arial Narrow"/>
                <w:color w:val="000000" w:themeColor="text1"/>
                <w:sz w:val="20"/>
                <w:szCs w:val="20"/>
              </w:rPr>
              <w:t xml:space="preserve">xpenses - Operating </w:t>
            </w:r>
            <w:r w:rsidR="009C7FFC">
              <w:rPr>
                <w:rFonts w:ascii="Arial Narrow" w:hAnsi="Arial Narrow"/>
                <w:color w:val="000000" w:themeColor="text1"/>
                <w:sz w:val="20"/>
                <w:szCs w:val="20"/>
              </w:rPr>
              <w:t>f</w:t>
            </w:r>
            <w:r w:rsidRPr="009E35ED">
              <w:rPr>
                <w:rFonts w:ascii="Arial Narrow" w:hAnsi="Arial Narrow"/>
                <w:color w:val="000000" w:themeColor="text1"/>
                <w:sz w:val="20"/>
                <w:szCs w:val="20"/>
              </w:rPr>
              <w:t>und - Head Office</w:t>
            </w:r>
          </w:p>
        </w:tc>
        <w:tc>
          <w:tcPr>
            <w:tcW w:w="1716" w:type="dxa"/>
            <w:tcBorders>
              <w:top w:val="nil"/>
              <w:left w:val="nil"/>
              <w:bottom w:val="nil"/>
              <w:right w:val="nil"/>
            </w:tcBorders>
            <w:shd w:val="clear" w:color="auto" w:fill="auto"/>
            <w:noWrap/>
            <w:hideMark/>
          </w:tcPr>
          <w:p w14:paraId="568F4444" w14:textId="5E71962C" w:rsidR="00080453" w:rsidRPr="009E35ED" w:rsidRDefault="00080453" w:rsidP="00CA106D">
            <w:pPr>
              <w:ind w:left="0"/>
              <w:jc w:val="right"/>
              <w:rPr>
                <w:rFonts w:ascii="Arial Narrow" w:hAnsi="Arial Narrow" w:cs="Arial"/>
                <w:color w:val="000000" w:themeColor="text1"/>
                <w:sz w:val="20"/>
                <w:szCs w:val="20"/>
                <w:lang w:val="en-PH" w:eastAsia="en-PH"/>
              </w:rPr>
            </w:pPr>
            <w:r w:rsidRPr="009E35ED">
              <w:rPr>
                <w:rFonts w:ascii="Arial Narrow" w:hAnsi="Arial Narrow"/>
                <w:color w:val="000000" w:themeColor="text1"/>
                <w:sz w:val="20"/>
                <w:szCs w:val="20"/>
              </w:rPr>
              <w:t xml:space="preserve"> </w:t>
            </w:r>
            <w:r w:rsidR="00CA106D" w:rsidRPr="009E35ED">
              <w:rPr>
                <w:rFonts w:ascii="Arial Narrow" w:hAnsi="Arial Narrow"/>
                <w:color w:val="000000" w:themeColor="text1"/>
                <w:sz w:val="20"/>
                <w:szCs w:val="20"/>
              </w:rPr>
              <w:t>1,501,663</w:t>
            </w:r>
            <w:r w:rsidRPr="009E35ED">
              <w:rPr>
                <w:rFonts w:ascii="Arial Narrow" w:hAnsi="Arial Narrow"/>
                <w:color w:val="000000" w:themeColor="text1"/>
                <w:sz w:val="20"/>
                <w:szCs w:val="20"/>
              </w:rPr>
              <w:t xml:space="preserve"> </w:t>
            </w:r>
          </w:p>
        </w:tc>
      </w:tr>
      <w:tr w:rsidR="00997F75" w:rsidRPr="009E35ED" w14:paraId="6F920508" w14:textId="77777777" w:rsidTr="00C26DA1">
        <w:trPr>
          <w:trHeight w:val="80"/>
        </w:trPr>
        <w:tc>
          <w:tcPr>
            <w:tcW w:w="7286" w:type="dxa"/>
            <w:tcBorders>
              <w:top w:val="single" w:sz="4" w:space="0" w:color="auto"/>
              <w:left w:val="nil"/>
              <w:bottom w:val="double" w:sz="6" w:space="0" w:color="auto"/>
              <w:right w:val="nil"/>
            </w:tcBorders>
            <w:shd w:val="clear" w:color="auto" w:fill="auto"/>
            <w:hideMark/>
          </w:tcPr>
          <w:p w14:paraId="5628469B" w14:textId="53BC1CF7" w:rsidR="00080453" w:rsidRPr="009E35ED" w:rsidRDefault="00080453" w:rsidP="00080453">
            <w:pPr>
              <w:ind w:left="0"/>
              <w:jc w:val="left"/>
              <w:rPr>
                <w:rFonts w:ascii="Arial Narrow" w:hAnsi="Arial Narrow" w:cs="Arial"/>
                <w:b/>
                <w:bCs/>
                <w:color w:val="000000" w:themeColor="text1"/>
                <w:sz w:val="20"/>
                <w:szCs w:val="20"/>
                <w:lang w:val="en-PH" w:eastAsia="en-PH"/>
              </w:rPr>
            </w:pPr>
            <w:r w:rsidRPr="009E35ED">
              <w:rPr>
                <w:rFonts w:ascii="Arial Narrow" w:hAnsi="Arial Narrow"/>
                <w:b/>
                <w:bCs/>
                <w:color w:val="000000" w:themeColor="text1"/>
                <w:sz w:val="20"/>
                <w:szCs w:val="20"/>
              </w:rPr>
              <w:t>Restated Amount as of December 31, 2022 - Other Maintenance and Operating Expenses (Operating Fund)</w:t>
            </w:r>
          </w:p>
        </w:tc>
        <w:tc>
          <w:tcPr>
            <w:tcW w:w="1716" w:type="dxa"/>
            <w:tcBorders>
              <w:top w:val="single" w:sz="4" w:space="0" w:color="auto"/>
              <w:left w:val="nil"/>
              <w:bottom w:val="double" w:sz="6" w:space="0" w:color="auto"/>
              <w:right w:val="nil"/>
            </w:tcBorders>
            <w:shd w:val="clear" w:color="auto" w:fill="auto"/>
            <w:noWrap/>
            <w:hideMark/>
          </w:tcPr>
          <w:p w14:paraId="5EB89F72" w14:textId="77777777" w:rsidR="0068573E" w:rsidRPr="009E35ED" w:rsidRDefault="0068573E" w:rsidP="00080453">
            <w:pPr>
              <w:ind w:left="0"/>
              <w:jc w:val="right"/>
              <w:rPr>
                <w:rFonts w:ascii="Arial Narrow" w:hAnsi="Arial Narrow"/>
                <w:b/>
                <w:bCs/>
                <w:color w:val="000000" w:themeColor="text1"/>
                <w:sz w:val="20"/>
                <w:szCs w:val="20"/>
              </w:rPr>
            </w:pPr>
          </w:p>
          <w:p w14:paraId="6229904F" w14:textId="6E22A1DC" w:rsidR="00080453" w:rsidRPr="009E35ED" w:rsidRDefault="00080453" w:rsidP="00CA106D">
            <w:pPr>
              <w:ind w:left="0"/>
              <w:jc w:val="right"/>
              <w:rPr>
                <w:rFonts w:ascii="Arial Narrow" w:hAnsi="Arial Narrow" w:cs="Arial"/>
                <w:b/>
                <w:bCs/>
                <w:color w:val="000000" w:themeColor="text1"/>
                <w:sz w:val="20"/>
                <w:szCs w:val="20"/>
                <w:lang w:val="en-PH" w:eastAsia="en-PH"/>
              </w:rPr>
            </w:pPr>
            <w:r w:rsidRPr="009E35ED">
              <w:rPr>
                <w:rFonts w:ascii="Arial Narrow" w:hAnsi="Arial Narrow"/>
                <w:b/>
                <w:bCs/>
                <w:color w:val="000000" w:themeColor="text1"/>
                <w:sz w:val="20"/>
                <w:szCs w:val="20"/>
              </w:rPr>
              <w:t xml:space="preserve"> 278,</w:t>
            </w:r>
            <w:r w:rsidR="00CA106D" w:rsidRPr="009E35ED">
              <w:rPr>
                <w:rFonts w:ascii="Arial Narrow" w:hAnsi="Arial Narrow"/>
                <w:b/>
                <w:bCs/>
                <w:color w:val="000000" w:themeColor="text1"/>
                <w:sz w:val="20"/>
                <w:szCs w:val="20"/>
              </w:rPr>
              <w:t>802,601</w:t>
            </w:r>
            <w:r w:rsidRPr="009E35ED">
              <w:rPr>
                <w:rFonts w:ascii="Arial Narrow" w:hAnsi="Arial Narrow"/>
                <w:b/>
                <w:bCs/>
                <w:color w:val="000000" w:themeColor="text1"/>
                <w:sz w:val="20"/>
                <w:szCs w:val="20"/>
              </w:rPr>
              <w:t xml:space="preserve"> </w:t>
            </w:r>
          </w:p>
        </w:tc>
      </w:tr>
      <w:tr w:rsidR="00997F75" w:rsidRPr="009E35ED" w14:paraId="44199A34" w14:textId="77777777" w:rsidTr="00B90388">
        <w:trPr>
          <w:trHeight w:val="8"/>
        </w:trPr>
        <w:tc>
          <w:tcPr>
            <w:tcW w:w="7286" w:type="dxa"/>
            <w:tcBorders>
              <w:top w:val="nil"/>
              <w:left w:val="nil"/>
              <w:bottom w:val="nil"/>
              <w:right w:val="nil"/>
            </w:tcBorders>
            <w:shd w:val="clear" w:color="auto" w:fill="auto"/>
            <w:vAlign w:val="bottom"/>
            <w:hideMark/>
          </w:tcPr>
          <w:p w14:paraId="4FD7F80B" w14:textId="4E905563" w:rsidR="00A552D8" w:rsidRPr="009E35ED" w:rsidRDefault="00A552D8" w:rsidP="00240956">
            <w:pPr>
              <w:ind w:left="0"/>
              <w:jc w:val="left"/>
              <w:rPr>
                <w:rFonts w:ascii="Arial Narrow" w:hAnsi="Arial Narrow" w:cs="Arial"/>
                <w:b/>
                <w:bCs/>
                <w:color w:val="000000" w:themeColor="text1"/>
                <w:sz w:val="20"/>
                <w:szCs w:val="20"/>
                <w:lang w:val="en-PH" w:eastAsia="en-PH"/>
              </w:rPr>
            </w:pPr>
          </w:p>
        </w:tc>
        <w:tc>
          <w:tcPr>
            <w:tcW w:w="1716" w:type="dxa"/>
            <w:tcBorders>
              <w:top w:val="nil"/>
              <w:left w:val="nil"/>
              <w:bottom w:val="nil"/>
              <w:right w:val="nil"/>
            </w:tcBorders>
            <w:shd w:val="clear" w:color="auto" w:fill="auto"/>
            <w:noWrap/>
            <w:vAlign w:val="bottom"/>
            <w:hideMark/>
          </w:tcPr>
          <w:p w14:paraId="2B53ACD1" w14:textId="77777777" w:rsidR="00240956" w:rsidRPr="009E35ED" w:rsidRDefault="00240956" w:rsidP="00240956">
            <w:pPr>
              <w:ind w:left="0"/>
              <w:jc w:val="right"/>
              <w:rPr>
                <w:rFonts w:ascii="Arial Narrow" w:hAnsi="Arial Narrow"/>
                <w:color w:val="000000" w:themeColor="text1"/>
                <w:sz w:val="20"/>
                <w:szCs w:val="20"/>
                <w:lang w:val="en-PH" w:eastAsia="en-PH"/>
              </w:rPr>
            </w:pPr>
          </w:p>
        </w:tc>
      </w:tr>
      <w:tr w:rsidR="00997F75" w:rsidRPr="009E35ED" w14:paraId="5755EDBA" w14:textId="77777777" w:rsidTr="00C26DA1">
        <w:trPr>
          <w:trHeight w:val="285"/>
        </w:trPr>
        <w:tc>
          <w:tcPr>
            <w:tcW w:w="7286" w:type="dxa"/>
            <w:tcBorders>
              <w:top w:val="nil"/>
              <w:left w:val="nil"/>
              <w:bottom w:val="nil"/>
              <w:right w:val="nil"/>
            </w:tcBorders>
            <w:shd w:val="clear" w:color="auto" w:fill="auto"/>
            <w:hideMark/>
          </w:tcPr>
          <w:p w14:paraId="253D9349" w14:textId="7A0F6281" w:rsidR="007A74A2" w:rsidRPr="009E35ED" w:rsidRDefault="007A74A2" w:rsidP="007A74A2">
            <w:pPr>
              <w:ind w:left="0"/>
              <w:jc w:val="left"/>
              <w:rPr>
                <w:rFonts w:ascii="Arial Narrow" w:hAnsi="Arial Narrow" w:cs="Arial"/>
                <w:color w:val="000000" w:themeColor="text1"/>
                <w:sz w:val="20"/>
                <w:szCs w:val="20"/>
                <w:lang w:val="en-PH" w:eastAsia="en-PH"/>
              </w:rPr>
            </w:pPr>
            <w:r w:rsidRPr="009E35ED">
              <w:rPr>
                <w:rFonts w:ascii="Arial Narrow" w:hAnsi="Arial Narrow"/>
                <w:color w:val="000000" w:themeColor="text1"/>
                <w:sz w:val="20"/>
                <w:szCs w:val="20"/>
              </w:rPr>
              <w:t xml:space="preserve">Unrestated </w:t>
            </w:r>
            <w:r w:rsidR="009C7FFC">
              <w:rPr>
                <w:rFonts w:ascii="Arial Narrow" w:hAnsi="Arial Narrow"/>
                <w:color w:val="000000" w:themeColor="text1"/>
                <w:sz w:val="20"/>
                <w:szCs w:val="20"/>
              </w:rPr>
              <w:t>a</w:t>
            </w:r>
            <w:r w:rsidRPr="009E35ED">
              <w:rPr>
                <w:rFonts w:ascii="Arial Narrow" w:hAnsi="Arial Narrow"/>
                <w:color w:val="000000" w:themeColor="text1"/>
                <w:sz w:val="20"/>
                <w:szCs w:val="20"/>
              </w:rPr>
              <w:t>mount as of December 31, 2022</w:t>
            </w:r>
          </w:p>
        </w:tc>
        <w:tc>
          <w:tcPr>
            <w:tcW w:w="1716" w:type="dxa"/>
            <w:tcBorders>
              <w:top w:val="nil"/>
              <w:left w:val="nil"/>
              <w:bottom w:val="nil"/>
              <w:right w:val="nil"/>
            </w:tcBorders>
            <w:shd w:val="clear" w:color="auto" w:fill="auto"/>
            <w:noWrap/>
            <w:hideMark/>
          </w:tcPr>
          <w:p w14:paraId="46481B8E" w14:textId="7E36B639" w:rsidR="007A74A2" w:rsidRPr="009E35ED" w:rsidRDefault="007A74A2" w:rsidP="007A74A2">
            <w:pPr>
              <w:ind w:left="0"/>
              <w:jc w:val="right"/>
              <w:rPr>
                <w:rFonts w:ascii="Arial Narrow" w:hAnsi="Arial Narrow" w:cs="Arial"/>
                <w:color w:val="000000" w:themeColor="text1"/>
                <w:sz w:val="20"/>
                <w:szCs w:val="20"/>
                <w:lang w:val="en-PH" w:eastAsia="en-PH"/>
              </w:rPr>
            </w:pPr>
            <w:r w:rsidRPr="009E35ED">
              <w:rPr>
                <w:rFonts w:ascii="Arial Narrow" w:hAnsi="Arial Narrow"/>
                <w:color w:val="000000" w:themeColor="text1"/>
                <w:sz w:val="20"/>
                <w:szCs w:val="20"/>
              </w:rPr>
              <w:t xml:space="preserve"> 12,491,156 </w:t>
            </w:r>
          </w:p>
        </w:tc>
      </w:tr>
      <w:tr w:rsidR="00997F75" w:rsidRPr="009E35ED" w14:paraId="38F01BF6" w14:textId="77777777" w:rsidTr="00C26DA1">
        <w:trPr>
          <w:trHeight w:val="285"/>
        </w:trPr>
        <w:tc>
          <w:tcPr>
            <w:tcW w:w="7286" w:type="dxa"/>
            <w:tcBorders>
              <w:top w:val="nil"/>
              <w:left w:val="nil"/>
              <w:bottom w:val="nil"/>
              <w:right w:val="nil"/>
            </w:tcBorders>
            <w:shd w:val="clear" w:color="auto" w:fill="auto"/>
          </w:tcPr>
          <w:p w14:paraId="18D5A651" w14:textId="18D9104A" w:rsidR="007A74A2" w:rsidRPr="009E35ED" w:rsidRDefault="007A74A2" w:rsidP="007A74A2">
            <w:pPr>
              <w:ind w:left="0"/>
              <w:jc w:val="left"/>
              <w:rPr>
                <w:rFonts w:ascii="Arial Narrow" w:hAnsi="Arial Narrow" w:cs="Arial"/>
                <w:color w:val="000000" w:themeColor="text1"/>
                <w:sz w:val="20"/>
                <w:szCs w:val="20"/>
                <w:lang w:val="en-PH" w:eastAsia="en-PH"/>
              </w:rPr>
            </w:pPr>
            <w:r w:rsidRPr="009E35ED">
              <w:rPr>
                <w:rFonts w:ascii="Arial Narrow" w:hAnsi="Arial Narrow"/>
                <w:color w:val="000000" w:themeColor="text1"/>
                <w:sz w:val="20"/>
                <w:szCs w:val="20"/>
              </w:rPr>
              <w:t xml:space="preserve">Adjustment/Recording of </w:t>
            </w:r>
            <w:r w:rsidR="009C7FFC">
              <w:rPr>
                <w:rFonts w:ascii="Arial Narrow" w:hAnsi="Arial Narrow"/>
                <w:color w:val="000000" w:themeColor="text1"/>
                <w:sz w:val="20"/>
                <w:szCs w:val="20"/>
              </w:rPr>
              <w:t>i</w:t>
            </w:r>
            <w:r w:rsidRPr="009E35ED">
              <w:rPr>
                <w:rFonts w:ascii="Arial Narrow" w:hAnsi="Arial Narrow"/>
                <w:color w:val="000000" w:themeColor="text1"/>
                <w:sz w:val="20"/>
                <w:szCs w:val="20"/>
              </w:rPr>
              <w:t xml:space="preserve">nterest </w:t>
            </w:r>
            <w:r w:rsidR="009C7FFC">
              <w:rPr>
                <w:rFonts w:ascii="Arial Narrow" w:hAnsi="Arial Narrow"/>
                <w:color w:val="000000" w:themeColor="text1"/>
                <w:sz w:val="20"/>
                <w:szCs w:val="20"/>
              </w:rPr>
              <w:t>e</w:t>
            </w:r>
            <w:r w:rsidRPr="009E35ED">
              <w:rPr>
                <w:rFonts w:ascii="Arial Narrow" w:hAnsi="Arial Narrow"/>
                <w:color w:val="000000" w:themeColor="text1"/>
                <w:sz w:val="20"/>
                <w:szCs w:val="20"/>
              </w:rPr>
              <w:t>xpense-</w:t>
            </w:r>
            <w:r w:rsidR="009C7FFC">
              <w:rPr>
                <w:rFonts w:ascii="Arial Narrow" w:hAnsi="Arial Narrow"/>
                <w:color w:val="000000" w:themeColor="text1"/>
                <w:sz w:val="20"/>
                <w:szCs w:val="20"/>
              </w:rPr>
              <w:t>f</w:t>
            </w:r>
            <w:r w:rsidRPr="009E35ED">
              <w:rPr>
                <w:rFonts w:ascii="Arial Narrow" w:hAnsi="Arial Narrow"/>
                <w:color w:val="000000" w:themeColor="text1"/>
                <w:sz w:val="20"/>
                <w:szCs w:val="20"/>
              </w:rPr>
              <w:t xml:space="preserve">inance </w:t>
            </w:r>
            <w:r w:rsidR="009C7FFC">
              <w:rPr>
                <w:rFonts w:ascii="Arial Narrow" w:hAnsi="Arial Narrow"/>
                <w:color w:val="000000" w:themeColor="text1"/>
                <w:sz w:val="20"/>
                <w:szCs w:val="20"/>
              </w:rPr>
              <w:t>l</w:t>
            </w:r>
            <w:r w:rsidRPr="009E35ED">
              <w:rPr>
                <w:rFonts w:ascii="Arial Narrow" w:hAnsi="Arial Narrow"/>
                <w:color w:val="000000" w:themeColor="text1"/>
                <w:sz w:val="20"/>
                <w:szCs w:val="20"/>
              </w:rPr>
              <w:t xml:space="preserve">ease </w:t>
            </w:r>
            <w:r w:rsidR="009C7FFC">
              <w:rPr>
                <w:rFonts w:ascii="Arial Narrow" w:hAnsi="Arial Narrow"/>
                <w:color w:val="000000" w:themeColor="text1"/>
                <w:sz w:val="20"/>
                <w:szCs w:val="20"/>
              </w:rPr>
              <w:t>p</w:t>
            </w:r>
            <w:r w:rsidRPr="009E35ED">
              <w:rPr>
                <w:rFonts w:ascii="Arial Narrow" w:hAnsi="Arial Narrow"/>
                <w:color w:val="000000" w:themeColor="text1"/>
                <w:sz w:val="20"/>
                <w:szCs w:val="20"/>
              </w:rPr>
              <w:t>ayable - Head Office</w:t>
            </w:r>
          </w:p>
        </w:tc>
        <w:tc>
          <w:tcPr>
            <w:tcW w:w="1716" w:type="dxa"/>
            <w:tcBorders>
              <w:top w:val="nil"/>
              <w:left w:val="nil"/>
              <w:bottom w:val="nil"/>
              <w:right w:val="nil"/>
            </w:tcBorders>
            <w:shd w:val="clear" w:color="auto" w:fill="auto"/>
            <w:noWrap/>
          </w:tcPr>
          <w:p w14:paraId="575A2952" w14:textId="6AC3908C" w:rsidR="007A74A2" w:rsidRPr="009E35ED" w:rsidRDefault="007A74A2" w:rsidP="007A74A2">
            <w:pPr>
              <w:ind w:left="0"/>
              <w:jc w:val="right"/>
              <w:rPr>
                <w:rFonts w:ascii="Arial Narrow" w:hAnsi="Arial Narrow" w:cs="Arial"/>
                <w:color w:val="000000" w:themeColor="text1"/>
                <w:sz w:val="20"/>
                <w:szCs w:val="20"/>
                <w:lang w:val="en-PH" w:eastAsia="en-PH"/>
              </w:rPr>
            </w:pPr>
            <w:r w:rsidRPr="009E35ED">
              <w:rPr>
                <w:rFonts w:ascii="Arial Narrow" w:hAnsi="Arial Narrow"/>
                <w:color w:val="000000" w:themeColor="text1"/>
                <w:sz w:val="20"/>
                <w:szCs w:val="20"/>
              </w:rPr>
              <w:t xml:space="preserve"> (39,122)</w:t>
            </w:r>
          </w:p>
        </w:tc>
      </w:tr>
      <w:tr w:rsidR="00997F75" w:rsidRPr="009E35ED" w14:paraId="62E09E73" w14:textId="77777777" w:rsidTr="00C26DA1">
        <w:trPr>
          <w:trHeight w:val="285"/>
        </w:trPr>
        <w:tc>
          <w:tcPr>
            <w:tcW w:w="7286" w:type="dxa"/>
            <w:tcBorders>
              <w:top w:val="nil"/>
              <w:left w:val="nil"/>
              <w:bottom w:val="nil"/>
              <w:right w:val="nil"/>
            </w:tcBorders>
            <w:shd w:val="clear" w:color="auto" w:fill="auto"/>
          </w:tcPr>
          <w:p w14:paraId="2A3892A5" w14:textId="01AC76B3" w:rsidR="007A74A2" w:rsidRPr="009E35ED" w:rsidRDefault="007A74A2" w:rsidP="007A74A2">
            <w:pPr>
              <w:ind w:left="0"/>
              <w:jc w:val="left"/>
              <w:rPr>
                <w:rFonts w:ascii="Arial Narrow" w:hAnsi="Arial Narrow"/>
                <w:color w:val="000000" w:themeColor="text1"/>
                <w:sz w:val="20"/>
                <w:szCs w:val="20"/>
              </w:rPr>
            </w:pPr>
            <w:r w:rsidRPr="009E35ED">
              <w:rPr>
                <w:rFonts w:ascii="Arial Narrow" w:hAnsi="Arial Narrow"/>
                <w:color w:val="000000" w:themeColor="text1"/>
                <w:sz w:val="20"/>
                <w:szCs w:val="20"/>
              </w:rPr>
              <w:t xml:space="preserve">Adjustment/Recording of </w:t>
            </w:r>
            <w:r w:rsidR="009C7FFC">
              <w:rPr>
                <w:rFonts w:ascii="Arial Narrow" w:hAnsi="Arial Narrow"/>
                <w:color w:val="000000" w:themeColor="text1"/>
                <w:sz w:val="20"/>
                <w:szCs w:val="20"/>
              </w:rPr>
              <w:t>o</w:t>
            </w:r>
            <w:r w:rsidRPr="009E35ED">
              <w:rPr>
                <w:rFonts w:ascii="Arial Narrow" w:hAnsi="Arial Narrow"/>
                <w:color w:val="000000" w:themeColor="text1"/>
                <w:sz w:val="20"/>
                <w:szCs w:val="20"/>
              </w:rPr>
              <w:t xml:space="preserve">ther </w:t>
            </w:r>
            <w:r w:rsidR="009C7FFC">
              <w:rPr>
                <w:rFonts w:ascii="Arial Narrow" w:hAnsi="Arial Narrow"/>
                <w:color w:val="000000" w:themeColor="text1"/>
                <w:sz w:val="20"/>
                <w:szCs w:val="20"/>
              </w:rPr>
              <w:t>f</w:t>
            </w:r>
            <w:r w:rsidRPr="009E35ED">
              <w:rPr>
                <w:rFonts w:ascii="Arial Narrow" w:hAnsi="Arial Narrow"/>
                <w:color w:val="000000" w:themeColor="text1"/>
                <w:sz w:val="20"/>
                <w:szCs w:val="20"/>
              </w:rPr>
              <w:t xml:space="preserve">inancial </w:t>
            </w:r>
            <w:r w:rsidR="009C7FFC">
              <w:rPr>
                <w:rFonts w:ascii="Arial Narrow" w:hAnsi="Arial Narrow"/>
                <w:color w:val="000000" w:themeColor="text1"/>
                <w:sz w:val="20"/>
                <w:szCs w:val="20"/>
              </w:rPr>
              <w:t>c</w:t>
            </w:r>
            <w:r w:rsidRPr="009E35ED">
              <w:rPr>
                <w:rFonts w:ascii="Arial Narrow" w:hAnsi="Arial Narrow"/>
                <w:color w:val="000000" w:themeColor="text1"/>
                <w:sz w:val="20"/>
                <w:szCs w:val="20"/>
              </w:rPr>
              <w:t>harges - Head Office</w:t>
            </w:r>
          </w:p>
        </w:tc>
        <w:tc>
          <w:tcPr>
            <w:tcW w:w="1716" w:type="dxa"/>
            <w:tcBorders>
              <w:top w:val="nil"/>
              <w:left w:val="nil"/>
              <w:bottom w:val="nil"/>
              <w:right w:val="nil"/>
            </w:tcBorders>
            <w:shd w:val="clear" w:color="auto" w:fill="auto"/>
            <w:noWrap/>
          </w:tcPr>
          <w:p w14:paraId="575E9756" w14:textId="6B8D2EF6" w:rsidR="007A74A2" w:rsidRPr="009E35ED" w:rsidRDefault="007A74A2" w:rsidP="007A74A2">
            <w:pPr>
              <w:ind w:left="0"/>
              <w:jc w:val="right"/>
              <w:rPr>
                <w:rFonts w:ascii="Arial Narrow" w:hAnsi="Arial Narrow"/>
                <w:color w:val="000000" w:themeColor="text1"/>
                <w:sz w:val="20"/>
                <w:szCs w:val="20"/>
              </w:rPr>
            </w:pPr>
            <w:r w:rsidRPr="009E35ED">
              <w:rPr>
                <w:rFonts w:ascii="Arial Narrow" w:hAnsi="Arial Narrow"/>
                <w:color w:val="000000" w:themeColor="text1"/>
                <w:sz w:val="20"/>
                <w:szCs w:val="20"/>
              </w:rPr>
              <w:t xml:space="preserve"> (3,000)</w:t>
            </w:r>
          </w:p>
        </w:tc>
      </w:tr>
      <w:tr w:rsidR="00997F75" w:rsidRPr="009E35ED" w14:paraId="7C48ED32" w14:textId="77777777" w:rsidTr="00C26DA1">
        <w:trPr>
          <w:trHeight w:val="75"/>
        </w:trPr>
        <w:tc>
          <w:tcPr>
            <w:tcW w:w="7286" w:type="dxa"/>
            <w:tcBorders>
              <w:top w:val="nil"/>
              <w:left w:val="nil"/>
              <w:bottom w:val="nil"/>
              <w:right w:val="nil"/>
            </w:tcBorders>
            <w:shd w:val="clear" w:color="auto" w:fill="auto"/>
            <w:hideMark/>
          </w:tcPr>
          <w:p w14:paraId="0EBB2968" w14:textId="022BCE75" w:rsidR="007A74A2" w:rsidRPr="009E35ED" w:rsidRDefault="007A74A2" w:rsidP="007A74A2">
            <w:pPr>
              <w:ind w:left="0"/>
              <w:jc w:val="left"/>
              <w:rPr>
                <w:rFonts w:ascii="Arial Narrow" w:hAnsi="Arial Narrow" w:cs="Arial"/>
                <w:color w:val="000000" w:themeColor="text1"/>
                <w:sz w:val="20"/>
                <w:szCs w:val="20"/>
                <w:lang w:val="en-PH" w:eastAsia="en-PH"/>
              </w:rPr>
            </w:pPr>
            <w:r w:rsidRPr="009E35ED">
              <w:rPr>
                <w:rFonts w:ascii="Arial Narrow" w:hAnsi="Arial Narrow"/>
                <w:color w:val="000000" w:themeColor="text1"/>
                <w:sz w:val="20"/>
                <w:szCs w:val="20"/>
              </w:rPr>
              <w:t xml:space="preserve">Adjustment/Recording of </w:t>
            </w:r>
            <w:r w:rsidR="009C7FFC">
              <w:rPr>
                <w:rFonts w:ascii="Arial Narrow" w:hAnsi="Arial Narrow"/>
                <w:color w:val="000000" w:themeColor="text1"/>
                <w:sz w:val="20"/>
                <w:szCs w:val="20"/>
              </w:rPr>
              <w:t>b</w:t>
            </w:r>
            <w:r w:rsidRPr="009E35ED">
              <w:rPr>
                <w:rFonts w:ascii="Arial Narrow" w:hAnsi="Arial Narrow"/>
                <w:color w:val="000000" w:themeColor="text1"/>
                <w:sz w:val="20"/>
                <w:szCs w:val="20"/>
              </w:rPr>
              <w:t xml:space="preserve">ank </w:t>
            </w:r>
            <w:r w:rsidR="009C7FFC">
              <w:rPr>
                <w:rFonts w:ascii="Arial Narrow" w:hAnsi="Arial Narrow"/>
                <w:color w:val="000000" w:themeColor="text1"/>
                <w:sz w:val="20"/>
                <w:szCs w:val="20"/>
              </w:rPr>
              <w:t>c</w:t>
            </w:r>
            <w:r w:rsidRPr="009E35ED">
              <w:rPr>
                <w:rFonts w:ascii="Arial Narrow" w:hAnsi="Arial Narrow"/>
                <w:color w:val="000000" w:themeColor="text1"/>
                <w:sz w:val="20"/>
                <w:szCs w:val="20"/>
              </w:rPr>
              <w:t>harges - Branch</w:t>
            </w:r>
          </w:p>
        </w:tc>
        <w:tc>
          <w:tcPr>
            <w:tcW w:w="1716" w:type="dxa"/>
            <w:tcBorders>
              <w:top w:val="nil"/>
              <w:left w:val="nil"/>
              <w:bottom w:val="nil"/>
              <w:right w:val="nil"/>
            </w:tcBorders>
            <w:shd w:val="clear" w:color="auto" w:fill="auto"/>
            <w:noWrap/>
            <w:hideMark/>
          </w:tcPr>
          <w:p w14:paraId="3D302D5C" w14:textId="5FFA2F83" w:rsidR="007A74A2" w:rsidRPr="009E35ED" w:rsidRDefault="007A74A2" w:rsidP="007A74A2">
            <w:pPr>
              <w:ind w:left="0"/>
              <w:jc w:val="right"/>
              <w:rPr>
                <w:rFonts w:ascii="Arial Narrow" w:hAnsi="Arial Narrow" w:cs="Arial"/>
                <w:color w:val="000000" w:themeColor="text1"/>
                <w:sz w:val="20"/>
                <w:szCs w:val="20"/>
                <w:lang w:val="en-PH" w:eastAsia="en-PH"/>
              </w:rPr>
            </w:pPr>
            <w:r w:rsidRPr="009E35ED">
              <w:rPr>
                <w:rFonts w:ascii="Arial Narrow" w:hAnsi="Arial Narrow"/>
                <w:color w:val="000000" w:themeColor="text1"/>
                <w:sz w:val="20"/>
                <w:szCs w:val="20"/>
              </w:rPr>
              <w:t xml:space="preserve"> 3,000 </w:t>
            </w:r>
          </w:p>
        </w:tc>
      </w:tr>
      <w:tr w:rsidR="00997F75" w:rsidRPr="009E35ED" w14:paraId="40FF6806" w14:textId="77777777" w:rsidTr="00C26DA1">
        <w:trPr>
          <w:trHeight w:val="65"/>
        </w:trPr>
        <w:tc>
          <w:tcPr>
            <w:tcW w:w="7286" w:type="dxa"/>
            <w:tcBorders>
              <w:top w:val="single" w:sz="4" w:space="0" w:color="auto"/>
              <w:left w:val="nil"/>
              <w:bottom w:val="double" w:sz="6" w:space="0" w:color="auto"/>
              <w:right w:val="nil"/>
            </w:tcBorders>
            <w:shd w:val="clear" w:color="auto" w:fill="auto"/>
            <w:hideMark/>
          </w:tcPr>
          <w:p w14:paraId="14C0A202" w14:textId="41B0DED5" w:rsidR="007A74A2" w:rsidRPr="009E35ED" w:rsidRDefault="007A74A2" w:rsidP="007A74A2">
            <w:pPr>
              <w:ind w:left="0"/>
              <w:jc w:val="left"/>
              <w:rPr>
                <w:rFonts w:ascii="Arial Narrow" w:hAnsi="Arial Narrow" w:cs="Arial"/>
                <w:b/>
                <w:bCs/>
                <w:color w:val="000000" w:themeColor="text1"/>
                <w:sz w:val="20"/>
                <w:szCs w:val="20"/>
                <w:lang w:val="en-PH" w:eastAsia="en-PH"/>
              </w:rPr>
            </w:pPr>
            <w:r w:rsidRPr="009E35ED">
              <w:rPr>
                <w:rFonts w:ascii="Arial Narrow" w:hAnsi="Arial Narrow"/>
                <w:b/>
                <w:bCs/>
                <w:color w:val="000000" w:themeColor="text1"/>
                <w:sz w:val="20"/>
                <w:szCs w:val="20"/>
              </w:rPr>
              <w:t>Restated Amount as of December 31, 2022 -  Financial Charges (Operating Fund)</w:t>
            </w:r>
          </w:p>
        </w:tc>
        <w:tc>
          <w:tcPr>
            <w:tcW w:w="1716" w:type="dxa"/>
            <w:tcBorders>
              <w:top w:val="single" w:sz="4" w:space="0" w:color="auto"/>
              <w:left w:val="nil"/>
              <w:bottom w:val="double" w:sz="6" w:space="0" w:color="auto"/>
              <w:right w:val="nil"/>
            </w:tcBorders>
            <w:shd w:val="clear" w:color="auto" w:fill="auto"/>
            <w:noWrap/>
            <w:hideMark/>
          </w:tcPr>
          <w:p w14:paraId="3D13F088" w14:textId="6A8CF546" w:rsidR="007A74A2" w:rsidRPr="009E35ED" w:rsidRDefault="007A74A2" w:rsidP="007A74A2">
            <w:pPr>
              <w:ind w:left="0"/>
              <w:jc w:val="right"/>
              <w:rPr>
                <w:rFonts w:ascii="Arial Narrow" w:hAnsi="Arial Narrow" w:cs="Arial"/>
                <w:b/>
                <w:bCs/>
                <w:color w:val="000000" w:themeColor="text1"/>
                <w:sz w:val="20"/>
                <w:szCs w:val="20"/>
                <w:lang w:val="en-PH" w:eastAsia="en-PH"/>
              </w:rPr>
            </w:pPr>
            <w:r w:rsidRPr="009E35ED">
              <w:rPr>
                <w:rFonts w:ascii="Arial Narrow" w:hAnsi="Arial Narrow"/>
                <w:b/>
                <w:bCs/>
                <w:color w:val="000000" w:themeColor="text1"/>
                <w:sz w:val="20"/>
                <w:szCs w:val="20"/>
              </w:rPr>
              <w:t xml:space="preserve"> 12,452,034 </w:t>
            </w:r>
          </w:p>
        </w:tc>
      </w:tr>
      <w:tr w:rsidR="00997F75" w:rsidRPr="009E35ED" w14:paraId="720F131C" w14:textId="77777777" w:rsidTr="00C26DA1">
        <w:trPr>
          <w:trHeight w:val="300"/>
        </w:trPr>
        <w:tc>
          <w:tcPr>
            <w:tcW w:w="7286" w:type="dxa"/>
            <w:tcBorders>
              <w:top w:val="nil"/>
              <w:left w:val="nil"/>
              <w:bottom w:val="nil"/>
              <w:right w:val="nil"/>
            </w:tcBorders>
            <w:shd w:val="clear" w:color="auto" w:fill="auto"/>
            <w:vAlign w:val="bottom"/>
            <w:hideMark/>
          </w:tcPr>
          <w:p w14:paraId="2146871F" w14:textId="4BF86BE3" w:rsidR="00EF447D" w:rsidRPr="009E35ED" w:rsidRDefault="00EF447D" w:rsidP="00240956">
            <w:pPr>
              <w:ind w:left="0"/>
              <w:jc w:val="left"/>
              <w:rPr>
                <w:rFonts w:ascii="Arial Narrow" w:hAnsi="Arial Narrow" w:cs="Arial"/>
                <w:b/>
                <w:bCs/>
                <w:color w:val="000000" w:themeColor="text1"/>
                <w:sz w:val="20"/>
                <w:szCs w:val="20"/>
                <w:lang w:val="en-PH" w:eastAsia="en-PH"/>
              </w:rPr>
            </w:pPr>
          </w:p>
        </w:tc>
        <w:tc>
          <w:tcPr>
            <w:tcW w:w="1716" w:type="dxa"/>
            <w:tcBorders>
              <w:top w:val="nil"/>
              <w:left w:val="nil"/>
              <w:bottom w:val="nil"/>
              <w:right w:val="nil"/>
            </w:tcBorders>
            <w:shd w:val="clear" w:color="auto" w:fill="auto"/>
            <w:noWrap/>
            <w:vAlign w:val="bottom"/>
            <w:hideMark/>
          </w:tcPr>
          <w:p w14:paraId="29BA7B0B" w14:textId="77777777" w:rsidR="00240956" w:rsidRPr="009E35ED" w:rsidRDefault="00240956" w:rsidP="00240956">
            <w:pPr>
              <w:ind w:left="0"/>
              <w:jc w:val="right"/>
              <w:rPr>
                <w:rFonts w:ascii="Arial Narrow" w:hAnsi="Arial Narrow"/>
                <w:color w:val="000000" w:themeColor="text1"/>
                <w:sz w:val="20"/>
                <w:szCs w:val="20"/>
                <w:lang w:val="en-PH" w:eastAsia="en-PH"/>
              </w:rPr>
            </w:pPr>
          </w:p>
        </w:tc>
      </w:tr>
      <w:tr w:rsidR="00997F75" w:rsidRPr="009E35ED" w14:paraId="4B266AC2" w14:textId="77777777" w:rsidTr="00640739">
        <w:trPr>
          <w:trHeight w:val="285"/>
        </w:trPr>
        <w:tc>
          <w:tcPr>
            <w:tcW w:w="7286" w:type="dxa"/>
            <w:tcBorders>
              <w:top w:val="nil"/>
              <w:left w:val="nil"/>
              <w:bottom w:val="nil"/>
              <w:right w:val="nil"/>
            </w:tcBorders>
            <w:shd w:val="clear" w:color="auto" w:fill="auto"/>
            <w:hideMark/>
          </w:tcPr>
          <w:p w14:paraId="475D0944" w14:textId="659C16FF" w:rsidR="0061662C" w:rsidRPr="009E35ED" w:rsidRDefault="0061662C" w:rsidP="0061662C">
            <w:pPr>
              <w:ind w:left="0"/>
              <w:jc w:val="left"/>
              <w:rPr>
                <w:rFonts w:ascii="Arial Narrow" w:hAnsi="Arial Narrow" w:cs="Arial"/>
                <w:color w:val="000000" w:themeColor="text1"/>
                <w:sz w:val="20"/>
                <w:szCs w:val="20"/>
                <w:lang w:val="en-PH" w:eastAsia="en-PH"/>
              </w:rPr>
            </w:pPr>
            <w:r w:rsidRPr="009E35ED">
              <w:rPr>
                <w:rFonts w:ascii="Arial Narrow" w:hAnsi="Arial Narrow"/>
                <w:color w:val="000000" w:themeColor="text1"/>
                <w:sz w:val="20"/>
                <w:szCs w:val="20"/>
              </w:rPr>
              <w:t xml:space="preserve">Unrestated </w:t>
            </w:r>
            <w:r w:rsidR="009C7FFC">
              <w:rPr>
                <w:rFonts w:ascii="Arial Narrow" w:hAnsi="Arial Narrow"/>
                <w:color w:val="000000" w:themeColor="text1"/>
                <w:sz w:val="20"/>
                <w:szCs w:val="20"/>
              </w:rPr>
              <w:t>a</w:t>
            </w:r>
            <w:r w:rsidRPr="009E35ED">
              <w:rPr>
                <w:rFonts w:ascii="Arial Narrow" w:hAnsi="Arial Narrow"/>
                <w:color w:val="000000" w:themeColor="text1"/>
                <w:sz w:val="20"/>
                <w:szCs w:val="20"/>
              </w:rPr>
              <w:t>mount as of December 31, 2022</w:t>
            </w:r>
          </w:p>
        </w:tc>
        <w:tc>
          <w:tcPr>
            <w:tcW w:w="1716" w:type="dxa"/>
            <w:tcBorders>
              <w:top w:val="nil"/>
              <w:left w:val="nil"/>
              <w:bottom w:val="nil"/>
              <w:right w:val="nil"/>
            </w:tcBorders>
            <w:shd w:val="clear" w:color="auto" w:fill="auto"/>
            <w:noWrap/>
            <w:vAlign w:val="bottom"/>
            <w:hideMark/>
          </w:tcPr>
          <w:p w14:paraId="5739455A" w14:textId="0A43D025" w:rsidR="0061662C" w:rsidRPr="009E35ED" w:rsidRDefault="0061662C" w:rsidP="00640739">
            <w:pPr>
              <w:ind w:left="0"/>
              <w:jc w:val="right"/>
              <w:rPr>
                <w:rFonts w:ascii="Arial Narrow" w:hAnsi="Arial Narrow" w:cs="Arial"/>
                <w:color w:val="000000" w:themeColor="text1"/>
                <w:sz w:val="20"/>
                <w:szCs w:val="20"/>
                <w:lang w:val="en-PH" w:eastAsia="en-PH"/>
              </w:rPr>
            </w:pPr>
            <w:r w:rsidRPr="009E35ED">
              <w:rPr>
                <w:rFonts w:ascii="Arial Narrow" w:hAnsi="Arial Narrow"/>
                <w:color w:val="000000" w:themeColor="text1"/>
                <w:sz w:val="20"/>
                <w:szCs w:val="20"/>
              </w:rPr>
              <w:t xml:space="preserve"> 203,582,736 </w:t>
            </w:r>
          </w:p>
        </w:tc>
      </w:tr>
      <w:tr w:rsidR="00997F75" w:rsidRPr="009E35ED" w14:paraId="103C6A3F" w14:textId="77777777" w:rsidTr="00640739">
        <w:trPr>
          <w:trHeight w:val="285"/>
        </w:trPr>
        <w:tc>
          <w:tcPr>
            <w:tcW w:w="7286" w:type="dxa"/>
            <w:tcBorders>
              <w:top w:val="nil"/>
              <w:left w:val="nil"/>
              <w:bottom w:val="nil"/>
              <w:right w:val="nil"/>
            </w:tcBorders>
            <w:shd w:val="clear" w:color="auto" w:fill="auto"/>
          </w:tcPr>
          <w:p w14:paraId="62FD4222" w14:textId="23D36F4E" w:rsidR="0061662C" w:rsidRPr="009E35ED" w:rsidRDefault="0061662C" w:rsidP="0061662C">
            <w:pPr>
              <w:ind w:left="0"/>
              <w:jc w:val="left"/>
              <w:rPr>
                <w:rFonts w:ascii="Arial Narrow" w:hAnsi="Arial Narrow"/>
                <w:color w:val="000000" w:themeColor="text1"/>
                <w:sz w:val="20"/>
                <w:szCs w:val="20"/>
              </w:rPr>
            </w:pPr>
            <w:r w:rsidRPr="009E35ED">
              <w:rPr>
                <w:rFonts w:ascii="Arial Narrow" w:hAnsi="Arial Narrow"/>
                <w:color w:val="000000" w:themeColor="text1"/>
                <w:sz w:val="20"/>
                <w:szCs w:val="20"/>
              </w:rPr>
              <w:t xml:space="preserve">Adjustment/Recording of </w:t>
            </w:r>
            <w:r w:rsidR="009C7FFC">
              <w:rPr>
                <w:rFonts w:ascii="Arial Narrow" w:hAnsi="Arial Narrow"/>
                <w:color w:val="000000" w:themeColor="text1"/>
                <w:sz w:val="20"/>
                <w:szCs w:val="20"/>
              </w:rPr>
              <w:t>d</w:t>
            </w:r>
            <w:r w:rsidRPr="009E35ED">
              <w:rPr>
                <w:rFonts w:ascii="Arial Narrow" w:hAnsi="Arial Narrow"/>
                <w:color w:val="000000" w:themeColor="text1"/>
                <w:sz w:val="20"/>
                <w:szCs w:val="20"/>
              </w:rPr>
              <w:t xml:space="preserve">epreciation </w:t>
            </w:r>
            <w:r w:rsidR="009C7FFC">
              <w:rPr>
                <w:rFonts w:ascii="Arial Narrow" w:hAnsi="Arial Narrow"/>
                <w:color w:val="000000" w:themeColor="text1"/>
                <w:sz w:val="20"/>
                <w:szCs w:val="20"/>
              </w:rPr>
              <w:t>e</w:t>
            </w:r>
            <w:r w:rsidRPr="009E35ED">
              <w:rPr>
                <w:rFonts w:ascii="Arial Narrow" w:hAnsi="Arial Narrow"/>
                <w:color w:val="000000" w:themeColor="text1"/>
                <w:sz w:val="20"/>
                <w:szCs w:val="20"/>
              </w:rPr>
              <w:t>xpenses-</w:t>
            </w:r>
            <w:r w:rsidR="009C7FFC">
              <w:rPr>
                <w:rFonts w:ascii="Arial Narrow" w:hAnsi="Arial Narrow"/>
                <w:color w:val="000000" w:themeColor="text1"/>
                <w:sz w:val="20"/>
                <w:szCs w:val="20"/>
              </w:rPr>
              <w:t>b</w:t>
            </w:r>
            <w:r w:rsidRPr="009E35ED">
              <w:rPr>
                <w:rFonts w:ascii="Arial Narrow" w:hAnsi="Arial Narrow"/>
                <w:color w:val="000000" w:themeColor="text1"/>
                <w:sz w:val="20"/>
                <w:szCs w:val="20"/>
              </w:rPr>
              <w:t xml:space="preserve">uildings and </w:t>
            </w:r>
            <w:r w:rsidR="009C7FFC">
              <w:rPr>
                <w:rFonts w:ascii="Arial Narrow" w:hAnsi="Arial Narrow"/>
                <w:color w:val="000000" w:themeColor="text1"/>
                <w:sz w:val="20"/>
                <w:szCs w:val="20"/>
              </w:rPr>
              <w:t>o</w:t>
            </w:r>
            <w:r w:rsidRPr="009E35ED">
              <w:rPr>
                <w:rFonts w:ascii="Arial Narrow" w:hAnsi="Arial Narrow"/>
                <w:color w:val="000000" w:themeColor="text1"/>
                <w:sz w:val="20"/>
                <w:szCs w:val="20"/>
              </w:rPr>
              <w:t>ther</w:t>
            </w:r>
            <w:r w:rsidR="009C7FFC">
              <w:rPr>
                <w:rFonts w:ascii="Arial Narrow" w:hAnsi="Arial Narrow"/>
                <w:color w:val="000000" w:themeColor="text1"/>
                <w:sz w:val="20"/>
                <w:szCs w:val="20"/>
              </w:rPr>
              <w:t xml:space="preserve"> s</w:t>
            </w:r>
            <w:r w:rsidRPr="009E35ED">
              <w:rPr>
                <w:rFonts w:ascii="Arial Narrow" w:hAnsi="Arial Narrow"/>
                <w:color w:val="000000" w:themeColor="text1"/>
                <w:sz w:val="20"/>
                <w:szCs w:val="20"/>
              </w:rPr>
              <w:t>tructures-</w:t>
            </w:r>
            <w:r w:rsidR="009C7FFC">
              <w:rPr>
                <w:rFonts w:ascii="Arial Narrow" w:hAnsi="Arial Narrow"/>
                <w:color w:val="000000" w:themeColor="text1"/>
                <w:sz w:val="20"/>
                <w:szCs w:val="20"/>
              </w:rPr>
              <w:t>b</w:t>
            </w:r>
            <w:r w:rsidRPr="009E35ED">
              <w:rPr>
                <w:rFonts w:ascii="Arial Narrow" w:hAnsi="Arial Narrow"/>
                <w:color w:val="000000" w:themeColor="text1"/>
                <w:sz w:val="20"/>
                <w:szCs w:val="20"/>
              </w:rPr>
              <w:t>uilding-Head Office</w:t>
            </w:r>
          </w:p>
        </w:tc>
        <w:tc>
          <w:tcPr>
            <w:tcW w:w="1716" w:type="dxa"/>
            <w:tcBorders>
              <w:top w:val="nil"/>
              <w:left w:val="nil"/>
              <w:bottom w:val="nil"/>
              <w:right w:val="nil"/>
            </w:tcBorders>
            <w:shd w:val="clear" w:color="auto" w:fill="auto"/>
            <w:noWrap/>
            <w:vAlign w:val="bottom"/>
          </w:tcPr>
          <w:p w14:paraId="28DF0E82" w14:textId="78CF7CA4" w:rsidR="0061662C" w:rsidRPr="009E35ED" w:rsidRDefault="0061662C" w:rsidP="00640739">
            <w:pPr>
              <w:ind w:left="0"/>
              <w:jc w:val="right"/>
              <w:rPr>
                <w:rFonts w:ascii="Arial Narrow" w:hAnsi="Arial Narrow"/>
                <w:color w:val="000000" w:themeColor="text1"/>
                <w:sz w:val="20"/>
                <w:szCs w:val="20"/>
              </w:rPr>
            </w:pPr>
            <w:r w:rsidRPr="009E35ED">
              <w:rPr>
                <w:rFonts w:ascii="Arial Narrow" w:hAnsi="Arial Narrow"/>
                <w:color w:val="000000" w:themeColor="text1"/>
                <w:sz w:val="20"/>
                <w:szCs w:val="20"/>
              </w:rPr>
              <w:t xml:space="preserve"> (57,550)</w:t>
            </w:r>
          </w:p>
        </w:tc>
      </w:tr>
      <w:tr w:rsidR="00997F75" w:rsidRPr="009E35ED" w14:paraId="57045636" w14:textId="77777777" w:rsidTr="00640739">
        <w:trPr>
          <w:trHeight w:val="285"/>
        </w:trPr>
        <w:tc>
          <w:tcPr>
            <w:tcW w:w="7286" w:type="dxa"/>
            <w:tcBorders>
              <w:top w:val="nil"/>
              <w:left w:val="nil"/>
              <w:bottom w:val="nil"/>
              <w:right w:val="nil"/>
            </w:tcBorders>
            <w:shd w:val="clear" w:color="auto" w:fill="auto"/>
          </w:tcPr>
          <w:p w14:paraId="7A897C38" w14:textId="0097D171" w:rsidR="0061662C" w:rsidRPr="009E35ED" w:rsidRDefault="0061662C" w:rsidP="0061662C">
            <w:pPr>
              <w:ind w:left="0"/>
              <w:jc w:val="left"/>
              <w:rPr>
                <w:rFonts w:ascii="Arial Narrow" w:hAnsi="Arial Narrow"/>
                <w:color w:val="000000" w:themeColor="text1"/>
                <w:sz w:val="20"/>
                <w:szCs w:val="20"/>
              </w:rPr>
            </w:pPr>
            <w:r w:rsidRPr="009E35ED">
              <w:rPr>
                <w:rFonts w:ascii="Arial Narrow" w:hAnsi="Arial Narrow"/>
                <w:color w:val="000000" w:themeColor="text1"/>
                <w:sz w:val="20"/>
                <w:szCs w:val="20"/>
              </w:rPr>
              <w:t xml:space="preserve">Adjustment/Recording of </w:t>
            </w:r>
            <w:r w:rsidR="009C7FFC">
              <w:rPr>
                <w:rFonts w:ascii="Arial Narrow" w:hAnsi="Arial Narrow"/>
                <w:color w:val="000000" w:themeColor="text1"/>
                <w:sz w:val="20"/>
                <w:szCs w:val="20"/>
              </w:rPr>
              <w:t>d</w:t>
            </w:r>
            <w:r w:rsidRPr="009E35ED">
              <w:rPr>
                <w:rFonts w:ascii="Arial Narrow" w:hAnsi="Arial Narrow"/>
                <w:color w:val="000000" w:themeColor="text1"/>
                <w:sz w:val="20"/>
                <w:szCs w:val="20"/>
              </w:rPr>
              <w:t xml:space="preserve">epreciation </w:t>
            </w:r>
            <w:r w:rsidR="009C7FFC">
              <w:rPr>
                <w:rFonts w:ascii="Arial Narrow" w:hAnsi="Arial Narrow"/>
                <w:color w:val="000000" w:themeColor="text1"/>
                <w:sz w:val="20"/>
                <w:szCs w:val="20"/>
              </w:rPr>
              <w:t>e</w:t>
            </w:r>
            <w:r w:rsidRPr="009E35ED">
              <w:rPr>
                <w:rFonts w:ascii="Arial Narrow" w:hAnsi="Arial Narrow"/>
                <w:color w:val="000000" w:themeColor="text1"/>
                <w:sz w:val="20"/>
                <w:szCs w:val="20"/>
              </w:rPr>
              <w:t xml:space="preserve">xpenses - </w:t>
            </w:r>
            <w:r w:rsidR="009C7FFC">
              <w:rPr>
                <w:rFonts w:ascii="Arial Narrow" w:hAnsi="Arial Narrow"/>
                <w:color w:val="000000" w:themeColor="text1"/>
                <w:sz w:val="20"/>
                <w:szCs w:val="20"/>
              </w:rPr>
              <w:t>M</w:t>
            </w:r>
            <w:r w:rsidRPr="009E35ED">
              <w:rPr>
                <w:rFonts w:ascii="Arial Narrow" w:hAnsi="Arial Narrow"/>
                <w:color w:val="000000" w:themeColor="text1"/>
                <w:sz w:val="20"/>
                <w:szCs w:val="20"/>
              </w:rPr>
              <w:t xml:space="preserve">achinery and </w:t>
            </w:r>
            <w:r w:rsidR="009C7FFC">
              <w:rPr>
                <w:rFonts w:ascii="Arial Narrow" w:hAnsi="Arial Narrow"/>
                <w:color w:val="000000" w:themeColor="text1"/>
                <w:sz w:val="20"/>
                <w:szCs w:val="20"/>
              </w:rPr>
              <w:t>e</w:t>
            </w:r>
            <w:r w:rsidRPr="009E35ED">
              <w:rPr>
                <w:rFonts w:ascii="Arial Narrow" w:hAnsi="Arial Narrow"/>
                <w:color w:val="000000" w:themeColor="text1"/>
                <w:sz w:val="20"/>
                <w:szCs w:val="20"/>
              </w:rPr>
              <w:t xml:space="preserve">quipment - Office </w:t>
            </w:r>
            <w:r w:rsidR="009C7FFC">
              <w:rPr>
                <w:rFonts w:ascii="Arial Narrow" w:hAnsi="Arial Narrow"/>
                <w:color w:val="000000" w:themeColor="text1"/>
                <w:sz w:val="20"/>
                <w:szCs w:val="20"/>
              </w:rPr>
              <w:t>e</w:t>
            </w:r>
            <w:r w:rsidRPr="009E35ED">
              <w:rPr>
                <w:rFonts w:ascii="Arial Narrow" w:hAnsi="Arial Narrow"/>
                <w:color w:val="000000" w:themeColor="text1"/>
                <w:sz w:val="20"/>
                <w:szCs w:val="20"/>
              </w:rPr>
              <w:t>quipment - Head Office</w:t>
            </w:r>
          </w:p>
        </w:tc>
        <w:tc>
          <w:tcPr>
            <w:tcW w:w="1716" w:type="dxa"/>
            <w:tcBorders>
              <w:top w:val="nil"/>
              <w:left w:val="nil"/>
              <w:bottom w:val="nil"/>
              <w:right w:val="nil"/>
            </w:tcBorders>
            <w:shd w:val="clear" w:color="auto" w:fill="auto"/>
            <w:noWrap/>
            <w:vAlign w:val="bottom"/>
          </w:tcPr>
          <w:p w14:paraId="076F61B7" w14:textId="15B93434" w:rsidR="0061662C" w:rsidRPr="009E35ED" w:rsidRDefault="0061662C" w:rsidP="00640739">
            <w:pPr>
              <w:ind w:left="0"/>
              <w:jc w:val="right"/>
              <w:rPr>
                <w:rFonts w:ascii="Arial Narrow" w:hAnsi="Arial Narrow"/>
                <w:color w:val="000000" w:themeColor="text1"/>
                <w:sz w:val="20"/>
                <w:szCs w:val="20"/>
              </w:rPr>
            </w:pPr>
            <w:r w:rsidRPr="009E35ED">
              <w:rPr>
                <w:rFonts w:ascii="Arial Narrow" w:hAnsi="Arial Narrow"/>
                <w:color w:val="000000" w:themeColor="text1"/>
                <w:sz w:val="20"/>
                <w:szCs w:val="20"/>
              </w:rPr>
              <w:t xml:space="preserve"> 2,007,795 </w:t>
            </w:r>
          </w:p>
        </w:tc>
      </w:tr>
      <w:tr w:rsidR="00997F75" w:rsidRPr="009E35ED" w14:paraId="606B327A" w14:textId="77777777" w:rsidTr="00640739">
        <w:trPr>
          <w:trHeight w:val="285"/>
        </w:trPr>
        <w:tc>
          <w:tcPr>
            <w:tcW w:w="7286" w:type="dxa"/>
            <w:tcBorders>
              <w:top w:val="nil"/>
              <w:left w:val="nil"/>
              <w:bottom w:val="nil"/>
              <w:right w:val="nil"/>
            </w:tcBorders>
            <w:shd w:val="clear" w:color="auto" w:fill="auto"/>
          </w:tcPr>
          <w:p w14:paraId="61B97A95" w14:textId="5CF26E83" w:rsidR="0061662C" w:rsidRPr="009E35ED" w:rsidRDefault="0061662C" w:rsidP="0061662C">
            <w:pPr>
              <w:ind w:left="0"/>
              <w:jc w:val="left"/>
              <w:rPr>
                <w:rFonts w:ascii="Arial Narrow" w:hAnsi="Arial Narrow"/>
                <w:color w:val="000000" w:themeColor="text1"/>
                <w:sz w:val="20"/>
                <w:szCs w:val="20"/>
              </w:rPr>
            </w:pPr>
            <w:r w:rsidRPr="009E35ED">
              <w:rPr>
                <w:rFonts w:ascii="Arial Narrow" w:hAnsi="Arial Narrow"/>
                <w:color w:val="000000" w:themeColor="text1"/>
                <w:sz w:val="20"/>
                <w:szCs w:val="20"/>
              </w:rPr>
              <w:t xml:space="preserve">Adjustment/Recording of </w:t>
            </w:r>
            <w:r w:rsidR="009C7FFC">
              <w:rPr>
                <w:rFonts w:ascii="Arial Narrow" w:hAnsi="Arial Narrow"/>
                <w:color w:val="000000" w:themeColor="text1"/>
                <w:sz w:val="20"/>
                <w:szCs w:val="20"/>
              </w:rPr>
              <w:t>d</w:t>
            </w:r>
            <w:r w:rsidRPr="009E35ED">
              <w:rPr>
                <w:rFonts w:ascii="Arial Narrow" w:hAnsi="Arial Narrow"/>
                <w:color w:val="000000" w:themeColor="text1"/>
                <w:sz w:val="20"/>
                <w:szCs w:val="20"/>
              </w:rPr>
              <w:t xml:space="preserve">epreciation </w:t>
            </w:r>
            <w:r w:rsidR="009C7FFC">
              <w:rPr>
                <w:rFonts w:ascii="Arial Narrow" w:hAnsi="Arial Narrow"/>
                <w:color w:val="000000" w:themeColor="text1"/>
                <w:sz w:val="20"/>
                <w:szCs w:val="20"/>
              </w:rPr>
              <w:t>e</w:t>
            </w:r>
            <w:r w:rsidRPr="009E35ED">
              <w:rPr>
                <w:rFonts w:ascii="Arial Narrow" w:hAnsi="Arial Narrow"/>
                <w:color w:val="000000" w:themeColor="text1"/>
                <w:sz w:val="20"/>
                <w:szCs w:val="20"/>
              </w:rPr>
              <w:t xml:space="preserve">xpenses - Machinery and </w:t>
            </w:r>
            <w:r w:rsidR="009C7FFC">
              <w:rPr>
                <w:rFonts w:ascii="Arial Narrow" w:hAnsi="Arial Narrow"/>
                <w:color w:val="000000" w:themeColor="text1"/>
                <w:sz w:val="20"/>
                <w:szCs w:val="20"/>
              </w:rPr>
              <w:t>e</w:t>
            </w:r>
            <w:r w:rsidRPr="009E35ED">
              <w:rPr>
                <w:rFonts w:ascii="Arial Narrow" w:hAnsi="Arial Narrow"/>
                <w:color w:val="000000" w:themeColor="text1"/>
                <w:sz w:val="20"/>
                <w:szCs w:val="20"/>
              </w:rPr>
              <w:t xml:space="preserve">quipment - Office </w:t>
            </w:r>
            <w:r w:rsidR="009C7FFC">
              <w:rPr>
                <w:rFonts w:ascii="Arial Narrow" w:hAnsi="Arial Narrow"/>
                <w:color w:val="000000" w:themeColor="text1"/>
                <w:sz w:val="20"/>
                <w:szCs w:val="20"/>
              </w:rPr>
              <w:t>e</w:t>
            </w:r>
            <w:r w:rsidRPr="009E35ED">
              <w:rPr>
                <w:rFonts w:ascii="Arial Narrow" w:hAnsi="Arial Narrow"/>
                <w:color w:val="000000" w:themeColor="text1"/>
                <w:sz w:val="20"/>
                <w:szCs w:val="20"/>
              </w:rPr>
              <w:t xml:space="preserve">quipment - Branch </w:t>
            </w:r>
          </w:p>
        </w:tc>
        <w:tc>
          <w:tcPr>
            <w:tcW w:w="1716" w:type="dxa"/>
            <w:tcBorders>
              <w:top w:val="nil"/>
              <w:left w:val="nil"/>
              <w:bottom w:val="nil"/>
              <w:right w:val="nil"/>
            </w:tcBorders>
            <w:shd w:val="clear" w:color="auto" w:fill="auto"/>
            <w:noWrap/>
            <w:vAlign w:val="bottom"/>
          </w:tcPr>
          <w:p w14:paraId="23A08717" w14:textId="3140D8D8" w:rsidR="0061662C" w:rsidRPr="009E35ED" w:rsidRDefault="0061662C" w:rsidP="00EF447D">
            <w:pPr>
              <w:ind w:left="0"/>
              <w:jc w:val="right"/>
              <w:rPr>
                <w:rFonts w:ascii="Arial Narrow" w:hAnsi="Arial Narrow"/>
                <w:color w:val="000000" w:themeColor="text1"/>
                <w:sz w:val="20"/>
                <w:szCs w:val="20"/>
              </w:rPr>
            </w:pPr>
            <w:r w:rsidRPr="009E35ED">
              <w:rPr>
                <w:rFonts w:ascii="Arial Narrow" w:hAnsi="Arial Narrow"/>
                <w:color w:val="000000" w:themeColor="text1"/>
                <w:sz w:val="20"/>
                <w:szCs w:val="20"/>
              </w:rPr>
              <w:t xml:space="preserve"> (235,24</w:t>
            </w:r>
            <w:r w:rsidR="00EF447D" w:rsidRPr="009E35ED">
              <w:rPr>
                <w:rFonts w:ascii="Arial Narrow" w:hAnsi="Arial Narrow"/>
                <w:color w:val="000000" w:themeColor="text1"/>
                <w:sz w:val="20"/>
                <w:szCs w:val="20"/>
              </w:rPr>
              <w:t>3</w:t>
            </w:r>
            <w:r w:rsidRPr="009E35ED">
              <w:rPr>
                <w:rFonts w:ascii="Arial Narrow" w:hAnsi="Arial Narrow"/>
                <w:color w:val="000000" w:themeColor="text1"/>
                <w:sz w:val="20"/>
                <w:szCs w:val="20"/>
              </w:rPr>
              <w:t>)</w:t>
            </w:r>
          </w:p>
        </w:tc>
      </w:tr>
      <w:tr w:rsidR="00997F75" w:rsidRPr="009E35ED" w14:paraId="077FF547" w14:textId="77777777" w:rsidTr="00640739">
        <w:trPr>
          <w:trHeight w:val="285"/>
        </w:trPr>
        <w:tc>
          <w:tcPr>
            <w:tcW w:w="7286" w:type="dxa"/>
            <w:tcBorders>
              <w:top w:val="nil"/>
              <w:left w:val="nil"/>
              <w:bottom w:val="nil"/>
              <w:right w:val="nil"/>
            </w:tcBorders>
            <w:shd w:val="clear" w:color="auto" w:fill="auto"/>
          </w:tcPr>
          <w:p w14:paraId="51F31A6E" w14:textId="23DAF2EB" w:rsidR="0061662C" w:rsidRPr="009E35ED" w:rsidRDefault="0061662C" w:rsidP="0061662C">
            <w:pPr>
              <w:ind w:left="0"/>
              <w:jc w:val="left"/>
              <w:rPr>
                <w:rFonts w:ascii="Arial Narrow" w:hAnsi="Arial Narrow"/>
                <w:color w:val="000000" w:themeColor="text1"/>
                <w:sz w:val="20"/>
                <w:szCs w:val="20"/>
              </w:rPr>
            </w:pPr>
            <w:r w:rsidRPr="009E35ED">
              <w:rPr>
                <w:rFonts w:ascii="Arial Narrow" w:hAnsi="Arial Narrow"/>
                <w:color w:val="000000" w:themeColor="text1"/>
                <w:sz w:val="20"/>
                <w:szCs w:val="20"/>
              </w:rPr>
              <w:t xml:space="preserve">Adjustment/Recording of </w:t>
            </w:r>
            <w:r w:rsidR="009C7FFC">
              <w:rPr>
                <w:rFonts w:ascii="Arial Narrow" w:hAnsi="Arial Narrow"/>
                <w:color w:val="000000" w:themeColor="text1"/>
                <w:sz w:val="20"/>
                <w:szCs w:val="20"/>
              </w:rPr>
              <w:t>d</w:t>
            </w:r>
            <w:r w:rsidRPr="009E35ED">
              <w:rPr>
                <w:rFonts w:ascii="Arial Narrow" w:hAnsi="Arial Narrow"/>
                <w:color w:val="000000" w:themeColor="text1"/>
                <w:sz w:val="20"/>
                <w:szCs w:val="20"/>
              </w:rPr>
              <w:t xml:space="preserve">epreciation </w:t>
            </w:r>
            <w:r w:rsidR="009C7FFC">
              <w:rPr>
                <w:rFonts w:ascii="Arial Narrow" w:hAnsi="Arial Narrow"/>
                <w:color w:val="000000" w:themeColor="text1"/>
                <w:sz w:val="20"/>
                <w:szCs w:val="20"/>
              </w:rPr>
              <w:t>e</w:t>
            </w:r>
            <w:r w:rsidRPr="009E35ED">
              <w:rPr>
                <w:rFonts w:ascii="Arial Narrow" w:hAnsi="Arial Narrow"/>
                <w:color w:val="000000" w:themeColor="text1"/>
                <w:sz w:val="20"/>
                <w:szCs w:val="20"/>
              </w:rPr>
              <w:t xml:space="preserve">xpenses - Machinery and </w:t>
            </w:r>
            <w:r w:rsidR="009C7FFC">
              <w:rPr>
                <w:rFonts w:ascii="Arial Narrow" w:hAnsi="Arial Narrow"/>
                <w:color w:val="000000" w:themeColor="text1"/>
                <w:sz w:val="20"/>
                <w:szCs w:val="20"/>
              </w:rPr>
              <w:t>e</w:t>
            </w:r>
            <w:r w:rsidRPr="009E35ED">
              <w:rPr>
                <w:rFonts w:ascii="Arial Narrow" w:hAnsi="Arial Narrow"/>
                <w:color w:val="000000" w:themeColor="text1"/>
                <w:sz w:val="20"/>
                <w:szCs w:val="20"/>
              </w:rPr>
              <w:t xml:space="preserve">quipment - Communication </w:t>
            </w:r>
            <w:r w:rsidR="009C7FFC">
              <w:rPr>
                <w:rFonts w:ascii="Arial Narrow" w:hAnsi="Arial Narrow"/>
                <w:color w:val="000000" w:themeColor="text1"/>
                <w:sz w:val="20"/>
                <w:szCs w:val="20"/>
              </w:rPr>
              <w:t>e</w:t>
            </w:r>
            <w:r w:rsidRPr="009E35ED">
              <w:rPr>
                <w:rFonts w:ascii="Arial Narrow" w:hAnsi="Arial Narrow"/>
                <w:color w:val="000000" w:themeColor="text1"/>
                <w:sz w:val="20"/>
                <w:szCs w:val="20"/>
              </w:rPr>
              <w:t xml:space="preserve">quipment - Branch </w:t>
            </w:r>
          </w:p>
        </w:tc>
        <w:tc>
          <w:tcPr>
            <w:tcW w:w="1716" w:type="dxa"/>
            <w:tcBorders>
              <w:top w:val="nil"/>
              <w:left w:val="nil"/>
              <w:bottom w:val="nil"/>
              <w:right w:val="nil"/>
            </w:tcBorders>
            <w:shd w:val="clear" w:color="auto" w:fill="auto"/>
            <w:noWrap/>
            <w:vAlign w:val="bottom"/>
          </w:tcPr>
          <w:p w14:paraId="7649C7B9" w14:textId="4D6D1078" w:rsidR="0061662C" w:rsidRPr="009E35ED" w:rsidRDefault="0061662C" w:rsidP="00640739">
            <w:pPr>
              <w:ind w:left="0"/>
              <w:jc w:val="right"/>
              <w:rPr>
                <w:rFonts w:ascii="Arial Narrow" w:hAnsi="Arial Narrow"/>
                <w:color w:val="000000" w:themeColor="text1"/>
                <w:sz w:val="20"/>
                <w:szCs w:val="20"/>
              </w:rPr>
            </w:pPr>
            <w:r w:rsidRPr="009E35ED">
              <w:rPr>
                <w:rFonts w:ascii="Arial Narrow" w:hAnsi="Arial Narrow"/>
                <w:color w:val="000000" w:themeColor="text1"/>
                <w:sz w:val="20"/>
                <w:szCs w:val="20"/>
              </w:rPr>
              <w:t xml:space="preserve"> (2,916)</w:t>
            </w:r>
          </w:p>
        </w:tc>
      </w:tr>
      <w:tr w:rsidR="00997F75" w:rsidRPr="009E35ED" w14:paraId="5CD3C524" w14:textId="77777777" w:rsidTr="00640739">
        <w:trPr>
          <w:trHeight w:val="285"/>
        </w:trPr>
        <w:tc>
          <w:tcPr>
            <w:tcW w:w="7286" w:type="dxa"/>
            <w:tcBorders>
              <w:top w:val="nil"/>
              <w:left w:val="nil"/>
              <w:bottom w:val="nil"/>
              <w:right w:val="nil"/>
            </w:tcBorders>
            <w:shd w:val="clear" w:color="auto" w:fill="auto"/>
          </w:tcPr>
          <w:p w14:paraId="211FB4D7" w14:textId="6B7667DD" w:rsidR="0061662C" w:rsidRPr="009E35ED" w:rsidRDefault="0061662C" w:rsidP="0061662C">
            <w:pPr>
              <w:ind w:left="0"/>
              <w:jc w:val="left"/>
              <w:rPr>
                <w:rFonts w:ascii="Arial Narrow" w:hAnsi="Arial Narrow"/>
                <w:color w:val="000000" w:themeColor="text1"/>
                <w:sz w:val="20"/>
                <w:szCs w:val="20"/>
              </w:rPr>
            </w:pPr>
            <w:r w:rsidRPr="009E35ED">
              <w:rPr>
                <w:rFonts w:ascii="Arial Narrow" w:hAnsi="Arial Narrow"/>
                <w:color w:val="000000" w:themeColor="text1"/>
                <w:sz w:val="20"/>
                <w:szCs w:val="20"/>
              </w:rPr>
              <w:t xml:space="preserve">Adjustment/Recording of </w:t>
            </w:r>
            <w:r w:rsidR="009C7FFC">
              <w:rPr>
                <w:rFonts w:ascii="Arial Narrow" w:hAnsi="Arial Narrow"/>
                <w:color w:val="000000" w:themeColor="text1"/>
                <w:sz w:val="20"/>
                <w:szCs w:val="20"/>
              </w:rPr>
              <w:t>d</w:t>
            </w:r>
            <w:r w:rsidRPr="009E35ED">
              <w:rPr>
                <w:rFonts w:ascii="Arial Narrow" w:hAnsi="Arial Narrow"/>
                <w:color w:val="000000" w:themeColor="text1"/>
                <w:sz w:val="20"/>
                <w:szCs w:val="20"/>
              </w:rPr>
              <w:t xml:space="preserve">epreciation </w:t>
            </w:r>
            <w:r w:rsidR="009C7FFC">
              <w:rPr>
                <w:rFonts w:ascii="Arial Narrow" w:hAnsi="Arial Narrow"/>
                <w:color w:val="000000" w:themeColor="text1"/>
                <w:sz w:val="20"/>
                <w:szCs w:val="20"/>
              </w:rPr>
              <w:t>e</w:t>
            </w:r>
            <w:r w:rsidRPr="009E35ED">
              <w:rPr>
                <w:rFonts w:ascii="Arial Narrow" w:hAnsi="Arial Narrow"/>
                <w:color w:val="000000" w:themeColor="text1"/>
                <w:sz w:val="20"/>
                <w:szCs w:val="20"/>
              </w:rPr>
              <w:t xml:space="preserve">xpenses - Machinery and </w:t>
            </w:r>
            <w:r w:rsidR="009C7FFC">
              <w:rPr>
                <w:rFonts w:ascii="Arial Narrow" w:hAnsi="Arial Narrow"/>
                <w:color w:val="000000" w:themeColor="text1"/>
                <w:sz w:val="20"/>
                <w:szCs w:val="20"/>
              </w:rPr>
              <w:t>e</w:t>
            </w:r>
            <w:r w:rsidRPr="009E35ED">
              <w:rPr>
                <w:rFonts w:ascii="Arial Narrow" w:hAnsi="Arial Narrow"/>
                <w:color w:val="000000" w:themeColor="text1"/>
                <w:sz w:val="20"/>
                <w:szCs w:val="20"/>
              </w:rPr>
              <w:t xml:space="preserve">quipment - Communication </w:t>
            </w:r>
            <w:r w:rsidR="009C7FFC">
              <w:rPr>
                <w:rFonts w:ascii="Arial Narrow" w:hAnsi="Arial Narrow"/>
                <w:color w:val="000000" w:themeColor="text1"/>
                <w:sz w:val="20"/>
                <w:szCs w:val="20"/>
              </w:rPr>
              <w:t>e</w:t>
            </w:r>
            <w:r w:rsidRPr="009E35ED">
              <w:rPr>
                <w:rFonts w:ascii="Arial Narrow" w:hAnsi="Arial Narrow"/>
                <w:color w:val="000000" w:themeColor="text1"/>
                <w:sz w:val="20"/>
                <w:szCs w:val="20"/>
              </w:rPr>
              <w:t>quipment - Head Office</w:t>
            </w:r>
          </w:p>
        </w:tc>
        <w:tc>
          <w:tcPr>
            <w:tcW w:w="1716" w:type="dxa"/>
            <w:tcBorders>
              <w:top w:val="nil"/>
              <w:left w:val="nil"/>
              <w:bottom w:val="nil"/>
              <w:right w:val="nil"/>
            </w:tcBorders>
            <w:shd w:val="clear" w:color="auto" w:fill="auto"/>
            <w:noWrap/>
            <w:vAlign w:val="bottom"/>
          </w:tcPr>
          <w:p w14:paraId="58695AF8" w14:textId="23E26FC2" w:rsidR="0061662C" w:rsidRPr="009E35ED" w:rsidRDefault="0061594A" w:rsidP="00640739">
            <w:pPr>
              <w:ind w:left="0"/>
              <w:jc w:val="right"/>
              <w:rPr>
                <w:rFonts w:ascii="Arial Narrow" w:hAnsi="Arial Narrow"/>
                <w:color w:val="000000" w:themeColor="text1"/>
                <w:sz w:val="20"/>
                <w:szCs w:val="20"/>
              </w:rPr>
            </w:pPr>
            <w:r w:rsidRPr="009E35ED">
              <w:rPr>
                <w:rFonts w:ascii="Arial Narrow" w:hAnsi="Arial Narrow"/>
                <w:color w:val="000000" w:themeColor="text1"/>
                <w:sz w:val="20"/>
                <w:szCs w:val="20"/>
              </w:rPr>
              <w:t>(</w:t>
            </w:r>
            <w:r w:rsidR="0061662C" w:rsidRPr="009E35ED">
              <w:rPr>
                <w:rFonts w:ascii="Arial Narrow" w:hAnsi="Arial Narrow"/>
                <w:color w:val="000000" w:themeColor="text1"/>
                <w:sz w:val="20"/>
                <w:szCs w:val="20"/>
              </w:rPr>
              <w:t>84,609</w:t>
            </w:r>
            <w:r w:rsidRPr="009E35ED">
              <w:rPr>
                <w:rFonts w:ascii="Arial Narrow" w:hAnsi="Arial Narrow"/>
                <w:color w:val="000000" w:themeColor="text1"/>
                <w:sz w:val="20"/>
                <w:szCs w:val="20"/>
              </w:rPr>
              <w:t>)</w:t>
            </w:r>
            <w:r w:rsidR="0061662C" w:rsidRPr="009E35ED">
              <w:rPr>
                <w:rFonts w:ascii="Arial Narrow" w:hAnsi="Arial Narrow"/>
                <w:color w:val="000000" w:themeColor="text1"/>
                <w:sz w:val="20"/>
                <w:szCs w:val="20"/>
              </w:rPr>
              <w:t xml:space="preserve"> </w:t>
            </w:r>
          </w:p>
        </w:tc>
      </w:tr>
      <w:tr w:rsidR="00997F75" w:rsidRPr="009E35ED" w14:paraId="021A0CF2" w14:textId="77777777" w:rsidTr="00640739">
        <w:trPr>
          <w:trHeight w:val="285"/>
        </w:trPr>
        <w:tc>
          <w:tcPr>
            <w:tcW w:w="7286" w:type="dxa"/>
            <w:tcBorders>
              <w:top w:val="nil"/>
              <w:left w:val="nil"/>
              <w:bottom w:val="nil"/>
              <w:right w:val="nil"/>
            </w:tcBorders>
            <w:shd w:val="clear" w:color="auto" w:fill="auto"/>
          </w:tcPr>
          <w:p w14:paraId="6505BD73" w14:textId="5D5D96EE" w:rsidR="0061662C" w:rsidRPr="009E35ED" w:rsidRDefault="0061662C" w:rsidP="0061662C">
            <w:pPr>
              <w:ind w:left="0"/>
              <w:jc w:val="left"/>
              <w:rPr>
                <w:rFonts w:ascii="Arial Narrow" w:hAnsi="Arial Narrow"/>
                <w:color w:val="000000" w:themeColor="text1"/>
                <w:sz w:val="20"/>
                <w:szCs w:val="20"/>
              </w:rPr>
            </w:pPr>
            <w:r w:rsidRPr="009E35ED">
              <w:rPr>
                <w:rFonts w:ascii="Arial Narrow" w:hAnsi="Arial Narrow"/>
                <w:color w:val="000000" w:themeColor="text1"/>
                <w:sz w:val="20"/>
                <w:szCs w:val="20"/>
              </w:rPr>
              <w:t xml:space="preserve">Adjustment/Recording of Depreciation </w:t>
            </w:r>
            <w:r w:rsidR="009C7FFC">
              <w:rPr>
                <w:rFonts w:ascii="Arial Narrow" w:hAnsi="Arial Narrow"/>
                <w:color w:val="000000" w:themeColor="text1"/>
                <w:sz w:val="20"/>
                <w:szCs w:val="20"/>
              </w:rPr>
              <w:t>e</w:t>
            </w:r>
            <w:r w:rsidRPr="009E35ED">
              <w:rPr>
                <w:rFonts w:ascii="Arial Narrow" w:hAnsi="Arial Narrow"/>
                <w:color w:val="000000" w:themeColor="text1"/>
                <w:sz w:val="20"/>
                <w:szCs w:val="20"/>
              </w:rPr>
              <w:t xml:space="preserve">xpenses - Lease </w:t>
            </w:r>
            <w:r w:rsidR="009C7FFC">
              <w:rPr>
                <w:rFonts w:ascii="Arial Narrow" w:hAnsi="Arial Narrow"/>
                <w:color w:val="000000" w:themeColor="text1"/>
                <w:sz w:val="20"/>
                <w:szCs w:val="20"/>
              </w:rPr>
              <w:t>a</w:t>
            </w:r>
            <w:r w:rsidRPr="009E35ED">
              <w:rPr>
                <w:rFonts w:ascii="Arial Narrow" w:hAnsi="Arial Narrow"/>
                <w:color w:val="000000" w:themeColor="text1"/>
                <w:sz w:val="20"/>
                <w:szCs w:val="20"/>
              </w:rPr>
              <w:t xml:space="preserve">ssets </w:t>
            </w:r>
            <w:r w:rsidR="009C7FFC">
              <w:rPr>
                <w:rFonts w:ascii="Arial Narrow" w:hAnsi="Arial Narrow"/>
                <w:color w:val="000000" w:themeColor="text1"/>
                <w:sz w:val="20"/>
                <w:szCs w:val="20"/>
              </w:rPr>
              <w:t>i</w:t>
            </w:r>
            <w:r w:rsidRPr="009E35ED">
              <w:rPr>
                <w:rFonts w:ascii="Arial Narrow" w:hAnsi="Arial Narrow"/>
                <w:color w:val="000000" w:themeColor="text1"/>
                <w:sz w:val="20"/>
                <w:szCs w:val="20"/>
              </w:rPr>
              <w:t xml:space="preserve">mprovements, </w:t>
            </w:r>
            <w:r w:rsidR="009C7FFC">
              <w:rPr>
                <w:rFonts w:ascii="Arial Narrow" w:hAnsi="Arial Narrow"/>
                <w:color w:val="000000" w:themeColor="text1"/>
                <w:sz w:val="20"/>
                <w:szCs w:val="20"/>
              </w:rPr>
              <w:t>b</w:t>
            </w:r>
            <w:r w:rsidRPr="009E35ED">
              <w:rPr>
                <w:rFonts w:ascii="Arial Narrow" w:hAnsi="Arial Narrow"/>
                <w:color w:val="000000" w:themeColor="text1"/>
                <w:sz w:val="20"/>
                <w:szCs w:val="20"/>
              </w:rPr>
              <w:t xml:space="preserve">uildings - Branch </w:t>
            </w:r>
          </w:p>
        </w:tc>
        <w:tc>
          <w:tcPr>
            <w:tcW w:w="1716" w:type="dxa"/>
            <w:tcBorders>
              <w:top w:val="nil"/>
              <w:left w:val="nil"/>
              <w:bottom w:val="nil"/>
              <w:right w:val="nil"/>
            </w:tcBorders>
            <w:shd w:val="clear" w:color="auto" w:fill="auto"/>
            <w:noWrap/>
            <w:vAlign w:val="bottom"/>
          </w:tcPr>
          <w:p w14:paraId="2841DF23" w14:textId="71D16327" w:rsidR="0061662C" w:rsidRPr="009E35ED" w:rsidRDefault="0061662C" w:rsidP="00640739">
            <w:pPr>
              <w:ind w:left="0"/>
              <w:jc w:val="right"/>
              <w:rPr>
                <w:rFonts w:ascii="Arial Narrow" w:hAnsi="Arial Narrow"/>
                <w:color w:val="000000" w:themeColor="text1"/>
                <w:sz w:val="20"/>
                <w:szCs w:val="20"/>
              </w:rPr>
            </w:pPr>
            <w:r w:rsidRPr="009E35ED">
              <w:rPr>
                <w:rFonts w:ascii="Arial Narrow" w:hAnsi="Arial Narrow"/>
                <w:color w:val="000000" w:themeColor="text1"/>
                <w:sz w:val="20"/>
                <w:szCs w:val="20"/>
              </w:rPr>
              <w:t xml:space="preserve"> 232,706 </w:t>
            </w:r>
          </w:p>
        </w:tc>
      </w:tr>
      <w:tr w:rsidR="00997F75" w:rsidRPr="009E35ED" w14:paraId="4392204C" w14:textId="77777777" w:rsidTr="00640739">
        <w:trPr>
          <w:trHeight w:val="285"/>
        </w:trPr>
        <w:tc>
          <w:tcPr>
            <w:tcW w:w="7286" w:type="dxa"/>
            <w:tcBorders>
              <w:top w:val="nil"/>
              <w:left w:val="nil"/>
              <w:bottom w:val="nil"/>
              <w:right w:val="nil"/>
            </w:tcBorders>
            <w:shd w:val="clear" w:color="auto" w:fill="auto"/>
          </w:tcPr>
          <w:p w14:paraId="224F5EEB" w14:textId="1533A93F" w:rsidR="0061662C" w:rsidRPr="009E35ED" w:rsidRDefault="0061662C" w:rsidP="0061662C">
            <w:pPr>
              <w:ind w:left="0"/>
              <w:jc w:val="left"/>
              <w:rPr>
                <w:rFonts w:ascii="Arial Narrow" w:hAnsi="Arial Narrow"/>
                <w:color w:val="000000" w:themeColor="text1"/>
                <w:sz w:val="20"/>
                <w:szCs w:val="20"/>
              </w:rPr>
            </w:pPr>
            <w:r w:rsidRPr="009E35ED">
              <w:rPr>
                <w:rFonts w:ascii="Arial Narrow" w:hAnsi="Arial Narrow"/>
                <w:color w:val="000000" w:themeColor="text1"/>
                <w:sz w:val="20"/>
                <w:szCs w:val="20"/>
              </w:rPr>
              <w:t xml:space="preserve">Adjustment/Recording of Depreciation </w:t>
            </w:r>
            <w:r w:rsidR="009C7FFC">
              <w:rPr>
                <w:rFonts w:ascii="Arial Narrow" w:hAnsi="Arial Narrow"/>
                <w:color w:val="000000" w:themeColor="text1"/>
                <w:sz w:val="20"/>
                <w:szCs w:val="20"/>
              </w:rPr>
              <w:t>e</w:t>
            </w:r>
            <w:r w:rsidRPr="009E35ED">
              <w:rPr>
                <w:rFonts w:ascii="Arial Narrow" w:hAnsi="Arial Narrow"/>
                <w:color w:val="000000" w:themeColor="text1"/>
                <w:sz w:val="20"/>
                <w:szCs w:val="20"/>
              </w:rPr>
              <w:t xml:space="preserve">xpenses-Other </w:t>
            </w:r>
            <w:r w:rsidR="009C7FFC">
              <w:rPr>
                <w:rFonts w:ascii="Arial Narrow" w:hAnsi="Arial Narrow"/>
                <w:color w:val="000000" w:themeColor="text1"/>
                <w:sz w:val="20"/>
                <w:szCs w:val="20"/>
              </w:rPr>
              <w:t>p</w:t>
            </w:r>
            <w:r w:rsidRPr="009E35ED">
              <w:rPr>
                <w:rFonts w:ascii="Arial Narrow" w:hAnsi="Arial Narrow"/>
                <w:color w:val="000000" w:themeColor="text1"/>
                <w:sz w:val="20"/>
                <w:szCs w:val="20"/>
              </w:rPr>
              <w:t xml:space="preserve">roperty, </w:t>
            </w:r>
            <w:r w:rsidR="009C7FFC">
              <w:rPr>
                <w:rFonts w:ascii="Arial Narrow" w:hAnsi="Arial Narrow"/>
                <w:color w:val="000000" w:themeColor="text1"/>
                <w:sz w:val="20"/>
                <w:szCs w:val="20"/>
              </w:rPr>
              <w:t>p</w:t>
            </w:r>
            <w:r w:rsidRPr="009E35ED">
              <w:rPr>
                <w:rFonts w:ascii="Arial Narrow" w:hAnsi="Arial Narrow"/>
                <w:color w:val="000000" w:themeColor="text1"/>
                <w:sz w:val="20"/>
                <w:szCs w:val="20"/>
              </w:rPr>
              <w:t xml:space="preserve">lant and </w:t>
            </w:r>
            <w:r w:rsidR="009C7FFC">
              <w:rPr>
                <w:rFonts w:ascii="Arial Narrow" w:hAnsi="Arial Narrow"/>
                <w:color w:val="000000" w:themeColor="text1"/>
                <w:sz w:val="20"/>
                <w:szCs w:val="20"/>
              </w:rPr>
              <w:t>e</w:t>
            </w:r>
            <w:r w:rsidRPr="009E35ED">
              <w:rPr>
                <w:rFonts w:ascii="Arial Narrow" w:hAnsi="Arial Narrow"/>
                <w:color w:val="000000" w:themeColor="text1"/>
                <w:sz w:val="20"/>
                <w:szCs w:val="20"/>
              </w:rPr>
              <w:t>quipment-Others-Branch</w:t>
            </w:r>
          </w:p>
        </w:tc>
        <w:tc>
          <w:tcPr>
            <w:tcW w:w="1716" w:type="dxa"/>
            <w:tcBorders>
              <w:top w:val="nil"/>
              <w:left w:val="nil"/>
              <w:bottom w:val="nil"/>
              <w:right w:val="nil"/>
            </w:tcBorders>
            <w:shd w:val="clear" w:color="auto" w:fill="auto"/>
            <w:noWrap/>
            <w:vAlign w:val="bottom"/>
          </w:tcPr>
          <w:p w14:paraId="59F91471" w14:textId="5887E60B" w:rsidR="0061662C" w:rsidRPr="009E35ED" w:rsidRDefault="0061662C" w:rsidP="00640739">
            <w:pPr>
              <w:ind w:left="0"/>
              <w:jc w:val="right"/>
              <w:rPr>
                <w:rFonts w:ascii="Arial Narrow" w:hAnsi="Arial Narrow"/>
                <w:color w:val="000000" w:themeColor="text1"/>
                <w:sz w:val="20"/>
                <w:szCs w:val="20"/>
              </w:rPr>
            </w:pPr>
            <w:r w:rsidRPr="009E35ED">
              <w:rPr>
                <w:rFonts w:ascii="Arial Narrow" w:hAnsi="Arial Narrow"/>
                <w:color w:val="000000" w:themeColor="text1"/>
                <w:sz w:val="20"/>
                <w:szCs w:val="20"/>
              </w:rPr>
              <w:t xml:space="preserve"> (7,846)</w:t>
            </w:r>
          </w:p>
        </w:tc>
      </w:tr>
      <w:tr w:rsidR="00997F75" w:rsidRPr="009E35ED" w14:paraId="5F740AB4" w14:textId="77777777" w:rsidTr="00640739">
        <w:trPr>
          <w:trHeight w:val="285"/>
        </w:trPr>
        <w:tc>
          <w:tcPr>
            <w:tcW w:w="7286" w:type="dxa"/>
            <w:tcBorders>
              <w:top w:val="nil"/>
              <w:left w:val="nil"/>
              <w:bottom w:val="nil"/>
              <w:right w:val="nil"/>
            </w:tcBorders>
            <w:shd w:val="clear" w:color="auto" w:fill="auto"/>
          </w:tcPr>
          <w:p w14:paraId="063E283F" w14:textId="6DE7E35A" w:rsidR="0061662C" w:rsidRPr="009E35ED" w:rsidRDefault="0061662C" w:rsidP="0061662C">
            <w:pPr>
              <w:ind w:left="0"/>
              <w:jc w:val="left"/>
              <w:rPr>
                <w:rFonts w:ascii="Arial Narrow" w:hAnsi="Arial Narrow"/>
                <w:color w:val="000000" w:themeColor="text1"/>
                <w:sz w:val="20"/>
                <w:szCs w:val="20"/>
              </w:rPr>
            </w:pPr>
            <w:r w:rsidRPr="009E35ED">
              <w:rPr>
                <w:rFonts w:ascii="Arial Narrow" w:hAnsi="Arial Narrow"/>
                <w:color w:val="000000" w:themeColor="text1"/>
                <w:sz w:val="20"/>
                <w:szCs w:val="20"/>
              </w:rPr>
              <w:t xml:space="preserve">Adjustment/Recording of Depreciation </w:t>
            </w:r>
            <w:r w:rsidR="00C6081C">
              <w:rPr>
                <w:rFonts w:ascii="Arial Narrow" w:hAnsi="Arial Narrow"/>
                <w:color w:val="000000" w:themeColor="text1"/>
                <w:sz w:val="20"/>
                <w:szCs w:val="20"/>
              </w:rPr>
              <w:t>e</w:t>
            </w:r>
            <w:r w:rsidRPr="009E35ED">
              <w:rPr>
                <w:rFonts w:ascii="Arial Narrow" w:hAnsi="Arial Narrow"/>
                <w:color w:val="000000" w:themeColor="text1"/>
                <w:sz w:val="20"/>
                <w:szCs w:val="20"/>
              </w:rPr>
              <w:t xml:space="preserve">xpenses - Leased </w:t>
            </w:r>
            <w:r w:rsidR="00C6081C">
              <w:rPr>
                <w:rFonts w:ascii="Arial Narrow" w:hAnsi="Arial Narrow"/>
                <w:color w:val="000000" w:themeColor="text1"/>
                <w:sz w:val="20"/>
                <w:szCs w:val="20"/>
              </w:rPr>
              <w:t>a</w:t>
            </w:r>
            <w:r w:rsidRPr="009E35ED">
              <w:rPr>
                <w:rFonts w:ascii="Arial Narrow" w:hAnsi="Arial Narrow"/>
                <w:color w:val="000000" w:themeColor="text1"/>
                <w:sz w:val="20"/>
                <w:szCs w:val="20"/>
              </w:rPr>
              <w:t xml:space="preserve">ssets, Buildings </w:t>
            </w:r>
            <w:r w:rsidR="00C6081C">
              <w:rPr>
                <w:rFonts w:ascii="Arial Narrow" w:hAnsi="Arial Narrow"/>
                <w:color w:val="000000" w:themeColor="text1"/>
                <w:sz w:val="20"/>
                <w:szCs w:val="20"/>
              </w:rPr>
              <w:t>a</w:t>
            </w:r>
            <w:r w:rsidRPr="009E35ED">
              <w:rPr>
                <w:rFonts w:ascii="Arial Narrow" w:hAnsi="Arial Narrow"/>
                <w:color w:val="000000" w:themeColor="text1"/>
                <w:sz w:val="20"/>
                <w:szCs w:val="20"/>
              </w:rPr>
              <w:t xml:space="preserve">nd Other </w:t>
            </w:r>
            <w:r w:rsidR="00C6081C">
              <w:rPr>
                <w:rFonts w:ascii="Arial Narrow" w:hAnsi="Arial Narrow"/>
                <w:color w:val="000000" w:themeColor="text1"/>
                <w:sz w:val="20"/>
                <w:szCs w:val="20"/>
              </w:rPr>
              <w:t>s</w:t>
            </w:r>
            <w:r w:rsidRPr="009E35ED">
              <w:rPr>
                <w:rFonts w:ascii="Arial Narrow" w:hAnsi="Arial Narrow"/>
                <w:color w:val="000000" w:themeColor="text1"/>
                <w:sz w:val="20"/>
                <w:szCs w:val="20"/>
              </w:rPr>
              <w:t>tructures - Head Office</w:t>
            </w:r>
          </w:p>
        </w:tc>
        <w:tc>
          <w:tcPr>
            <w:tcW w:w="1716" w:type="dxa"/>
            <w:tcBorders>
              <w:top w:val="nil"/>
              <w:left w:val="nil"/>
              <w:bottom w:val="nil"/>
              <w:right w:val="nil"/>
            </w:tcBorders>
            <w:shd w:val="clear" w:color="auto" w:fill="auto"/>
            <w:noWrap/>
            <w:vAlign w:val="bottom"/>
          </w:tcPr>
          <w:p w14:paraId="199AB73B" w14:textId="51A6D843" w:rsidR="0061662C" w:rsidRPr="009E35ED" w:rsidRDefault="0061662C" w:rsidP="00640739">
            <w:pPr>
              <w:ind w:left="0"/>
              <w:jc w:val="right"/>
              <w:rPr>
                <w:rFonts w:ascii="Arial Narrow" w:hAnsi="Arial Narrow"/>
                <w:color w:val="000000" w:themeColor="text1"/>
                <w:sz w:val="20"/>
                <w:szCs w:val="20"/>
              </w:rPr>
            </w:pPr>
            <w:r w:rsidRPr="009E35ED">
              <w:rPr>
                <w:rFonts w:ascii="Arial Narrow" w:hAnsi="Arial Narrow"/>
                <w:color w:val="000000" w:themeColor="text1"/>
                <w:sz w:val="20"/>
                <w:szCs w:val="20"/>
              </w:rPr>
              <w:t xml:space="preserve"> (954,834)</w:t>
            </w:r>
          </w:p>
        </w:tc>
      </w:tr>
      <w:tr w:rsidR="00997F75" w:rsidRPr="009E35ED" w14:paraId="471FD5D3" w14:textId="77777777" w:rsidTr="00640739">
        <w:trPr>
          <w:trHeight w:val="285"/>
        </w:trPr>
        <w:tc>
          <w:tcPr>
            <w:tcW w:w="7286" w:type="dxa"/>
            <w:tcBorders>
              <w:top w:val="nil"/>
              <w:left w:val="nil"/>
              <w:bottom w:val="nil"/>
              <w:right w:val="nil"/>
            </w:tcBorders>
            <w:shd w:val="clear" w:color="auto" w:fill="auto"/>
          </w:tcPr>
          <w:p w14:paraId="3D1F4D28" w14:textId="6A1BD1CC" w:rsidR="0061662C" w:rsidRPr="009E35ED" w:rsidRDefault="0061662C" w:rsidP="0061662C">
            <w:pPr>
              <w:ind w:left="0"/>
              <w:jc w:val="left"/>
              <w:rPr>
                <w:rFonts w:ascii="Arial Narrow" w:hAnsi="Arial Narrow"/>
                <w:color w:val="000000" w:themeColor="text1"/>
                <w:sz w:val="20"/>
                <w:szCs w:val="20"/>
              </w:rPr>
            </w:pPr>
            <w:r w:rsidRPr="009E35ED">
              <w:rPr>
                <w:rFonts w:ascii="Arial Narrow" w:hAnsi="Arial Narrow"/>
                <w:color w:val="000000" w:themeColor="text1"/>
                <w:sz w:val="20"/>
                <w:szCs w:val="20"/>
              </w:rPr>
              <w:t xml:space="preserve">Adjustment/Recording of Depreciation </w:t>
            </w:r>
            <w:r w:rsidR="00C6081C">
              <w:rPr>
                <w:rFonts w:ascii="Arial Narrow" w:hAnsi="Arial Narrow"/>
                <w:color w:val="000000" w:themeColor="text1"/>
                <w:sz w:val="20"/>
                <w:szCs w:val="20"/>
              </w:rPr>
              <w:t>e</w:t>
            </w:r>
            <w:r w:rsidRPr="009E35ED">
              <w:rPr>
                <w:rFonts w:ascii="Arial Narrow" w:hAnsi="Arial Narrow"/>
                <w:color w:val="000000" w:themeColor="text1"/>
                <w:sz w:val="20"/>
                <w:szCs w:val="20"/>
              </w:rPr>
              <w:t xml:space="preserve">xpenses-Furniture, </w:t>
            </w:r>
            <w:r w:rsidR="00C6081C">
              <w:rPr>
                <w:rFonts w:ascii="Arial Narrow" w:hAnsi="Arial Narrow"/>
                <w:color w:val="000000" w:themeColor="text1"/>
                <w:sz w:val="20"/>
                <w:szCs w:val="20"/>
              </w:rPr>
              <w:t>f</w:t>
            </w:r>
            <w:r w:rsidRPr="009E35ED">
              <w:rPr>
                <w:rFonts w:ascii="Arial Narrow" w:hAnsi="Arial Narrow"/>
                <w:color w:val="000000" w:themeColor="text1"/>
                <w:sz w:val="20"/>
                <w:szCs w:val="20"/>
              </w:rPr>
              <w:t xml:space="preserve">ixtures and </w:t>
            </w:r>
            <w:r w:rsidR="00C6081C">
              <w:rPr>
                <w:rFonts w:ascii="Arial Narrow" w:hAnsi="Arial Narrow"/>
                <w:color w:val="000000" w:themeColor="text1"/>
                <w:sz w:val="20"/>
                <w:szCs w:val="20"/>
              </w:rPr>
              <w:t>b</w:t>
            </w:r>
            <w:r w:rsidRPr="009E35ED">
              <w:rPr>
                <w:rFonts w:ascii="Arial Narrow" w:hAnsi="Arial Narrow"/>
                <w:color w:val="000000" w:themeColor="text1"/>
                <w:sz w:val="20"/>
                <w:szCs w:val="20"/>
              </w:rPr>
              <w:t xml:space="preserve">ooks- Furniture and </w:t>
            </w:r>
            <w:r w:rsidR="00C6081C">
              <w:rPr>
                <w:rFonts w:ascii="Arial Narrow" w:hAnsi="Arial Narrow"/>
                <w:color w:val="000000" w:themeColor="text1"/>
                <w:sz w:val="20"/>
                <w:szCs w:val="20"/>
              </w:rPr>
              <w:t>f</w:t>
            </w:r>
            <w:r w:rsidRPr="009E35ED">
              <w:rPr>
                <w:rFonts w:ascii="Arial Narrow" w:hAnsi="Arial Narrow"/>
                <w:color w:val="000000" w:themeColor="text1"/>
                <w:sz w:val="20"/>
                <w:szCs w:val="20"/>
              </w:rPr>
              <w:t>ixtures-Branch</w:t>
            </w:r>
          </w:p>
        </w:tc>
        <w:tc>
          <w:tcPr>
            <w:tcW w:w="1716" w:type="dxa"/>
            <w:tcBorders>
              <w:top w:val="nil"/>
              <w:left w:val="nil"/>
              <w:bottom w:val="nil"/>
              <w:right w:val="nil"/>
            </w:tcBorders>
            <w:shd w:val="clear" w:color="auto" w:fill="auto"/>
            <w:noWrap/>
            <w:vAlign w:val="bottom"/>
          </w:tcPr>
          <w:p w14:paraId="74DFC1EF" w14:textId="4C26C630" w:rsidR="0061662C" w:rsidRPr="009E35ED" w:rsidRDefault="0061662C" w:rsidP="00640739">
            <w:pPr>
              <w:ind w:left="0"/>
              <w:jc w:val="right"/>
              <w:rPr>
                <w:rFonts w:ascii="Arial Narrow" w:hAnsi="Arial Narrow"/>
                <w:color w:val="000000" w:themeColor="text1"/>
                <w:sz w:val="20"/>
                <w:szCs w:val="20"/>
              </w:rPr>
            </w:pPr>
            <w:r w:rsidRPr="009E35ED">
              <w:rPr>
                <w:rFonts w:ascii="Arial Narrow" w:hAnsi="Arial Narrow"/>
                <w:color w:val="000000" w:themeColor="text1"/>
                <w:sz w:val="20"/>
                <w:szCs w:val="20"/>
              </w:rPr>
              <w:t xml:space="preserve"> 31,113 </w:t>
            </w:r>
          </w:p>
        </w:tc>
      </w:tr>
      <w:tr w:rsidR="00997F75" w:rsidRPr="009E35ED" w14:paraId="50BF2495" w14:textId="77777777" w:rsidTr="00640739">
        <w:trPr>
          <w:trHeight w:val="285"/>
        </w:trPr>
        <w:tc>
          <w:tcPr>
            <w:tcW w:w="7286" w:type="dxa"/>
            <w:tcBorders>
              <w:top w:val="nil"/>
              <w:left w:val="nil"/>
              <w:bottom w:val="nil"/>
              <w:right w:val="nil"/>
            </w:tcBorders>
            <w:shd w:val="clear" w:color="auto" w:fill="auto"/>
          </w:tcPr>
          <w:p w14:paraId="02BB99A5" w14:textId="797A478C" w:rsidR="0061662C" w:rsidRPr="009E35ED" w:rsidRDefault="0061662C" w:rsidP="0061662C">
            <w:pPr>
              <w:ind w:left="0"/>
              <w:jc w:val="left"/>
              <w:rPr>
                <w:rFonts w:ascii="Arial Narrow" w:hAnsi="Arial Narrow"/>
                <w:color w:val="000000" w:themeColor="text1"/>
                <w:sz w:val="20"/>
                <w:szCs w:val="20"/>
              </w:rPr>
            </w:pPr>
            <w:r w:rsidRPr="009E35ED">
              <w:rPr>
                <w:rFonts w:ascii="Arial Narrow" w:hAnsi="Arial Narrow"/>
                <w:color w:val="000000" w:themeColor="text1"/>
                <w:sz w:val="20"/>
                <w:szCs w:val="20"/>
              </w:rPr>
              <w:t xml:space="preserve">Adjustment/Recording of Depreciation </w:t>
            </w:r>
            <w:r w:rsidR="00C6081C">
              <w:rPr>
                <w:rFonts w:ascii="Arial Narrow" w:hAnsi="Arial Narrow"/>
                <w:color w:val="000000" w:themeColor="text1"/>
                <w:sz w:val="20"/>
                <w:szCs w:val="20"/>
              </w:rPr>
              <w:t>e</w:t>
            </w:r>
            <w:r w:rsidRPr="009E35ED">
              <w:rPr>
                <w:rFonts w:ascii="Arial Narrow" w:hAnsi="Arial Narrow"/>
                <w:color w:val="000000" w:themeColor="text1"/>
                <w:sz w:val="20"/>
                <w:szCs w:val="20"/>
              </w:rPr>
              <w:t xml:space="preserve">xpenses-Machinery and </w:t>
            </w:r>
            <w:r w:rsidR="00C6081C">
              <w:rPr>
                <w:rFonts w:ascii="Arial Narrow" w:hAnsi="Arial Narrow"/>
                <w:color w:val="000000" w:themeColor="text1"/>
                <w:sz w:val="20"/>
                <w:szCs w:val="20"/>
              </w:rPr>
              <w:t>e</w:t>
            </w:r>
            <w:r w:rsidRPr="009E35ED">
              <w:rPr>
                <w:rFonts w:ascii="Arial Narrow" w:hAnsi="Arial Narrow"/>
                <w:color w:val="000000" w:themeColor="text1"/>
                <w:sz w:val="20"/>
                <w:szCs w:val="20"/>
              </w:rPr>
              <w:t xml:space="preserve">quipment-Information and </w:t>
            </w:r>
            <w:r w:rsidR="00C6081C">
              <w:rPr>
                <w:rFonts w:ascii="Arial Narrow" w:hAnsi="Arial Narrow"/>
                <w:color w:val="000000" w:themeColor="text1"/>
                <w:sz w:val="20"/>
                <w:szCs w:val="20"/>
              </w:rPr>
              <w:t>c</w:t>
            </w:r>
            <w:r w:rsidRPr="009E35ED">
              <w:rPr>
                <w:rFonts w:ascii="Arial Narrow" w:hAnsi="Arial Narrow"/>
                <w:color w:val="000000" w:themeColor="text1"/>
                <w:sz w:val="20"/>
                <w:szCs w:val="20"/>
              </w:rPr>
              <w:t xml:space="preserve">ommunication </w:t>
            </w:r>
            <w:r w:rsidR="00C6081C">
              <w:rPr>
                <w:rFonts w:ascii="Arial Narrow" w:hAnsi="Arial Narrow"/>
                <w:color w:val="000000" w:themeColor="text1"/>
                <w:sz w:val="20"/>
                <w:szCs w:val="20"/>
              </w:rPr>
              <w:t>t</w:t>
            </w:r>
            <w:r w:rsidRPr="009E35ED">
              <w:rPr>
                <w:rFonts w:ascii="Arial Narrow" w:hAnsi="Arial Narrow"/>
                <w:color w:val="000000" w:themeColor="text1"/>
                <w:sz w:val="20"/>
                <w:szCs w:val="20"/>
              </w:rPr>
              <w:t xml:space="preserve">echnology </w:t>
            </w:r>
            <w:r w:rsidR="00C6081C">
              <w:rPr>
                <w:rFonts w:ascii="Arial Narrow" w:hAnsi="Arial Narrow"/>
                <w:color w:val="000000" w:themeColor="text1"/>
                <w:sz w:val="20"/>
                <w:szCs w:val="20"/>
              </w:rPr>
              <w:t>e</w:t>
            </w:r>
            <w:r w:rsidRPr="009E35ED">
              <w:rPr>
                <w:rFonts w:ascii="Arial Narrow" w:hAnsi="Arial Narrow"/>
                <w:color w:val="000000" w:themeColor="text1"/>
                <w:sz w:val="20"/>
                <w:szCs w:val="20"/>
              </w:rPr>
              <w:t>quipment-Head Office</w:t>
            </w:r>
          </w:p>
        </w:tc>
        <w:tc>
          <w:tcPr>
            <w:tcW w:w="1716" w:type="dxa"/>
            <w:tcBorders>
              <w:top w:val="nil"/>
              <w:left w:val="nil"/>
              <w:bottom w:val="nil"/>
              <w:right w:val="nil"/>
            </w:tcBorders>
            <w:shd w:val="clear" w:color="auto" w:fill="auto"/>
            <w:noWrap/>
            <w:vAlign w:val="bottom"/>
          </w:tcPr>
          <w:p w14:paraId="7201F920" w14:textId="6E430D31" w:rsidR="0061662C" w:rsidRPr="009E35ED" w:rsidRDefault="0061662C" w:rsidP="00640739">
            <w:pPr>
              <w:ind w:left="0"/>
              <w:jc w:val="right"/>
              <w:rPr>
                <w:rFonts w:ascii="Arial Narrow" w:hAnsi="Arial Narrow"/>
                <w:color w:val="000000" w:themeColor="text1"/>
                <w:sz w:val="20"/>
                <w:szCs w:val="20"/>
              </w:rPr>
            </w:pPr>
            <w:r w:rsidRPr="009E35ED">
              <w:rPr>
                <w:rFonts w:ascii="Arial Narrow" w:hAnsi="Arial Narrow"/>
                <w:color w:val="000000" w:themeColor="text1"/>
                <w:sz w:val="20"/>
                <w:szCs w:val="20"/>
              </w:rPr>
              <w:t xml:space="preserve"> 84,609 </w:t>
            </w:r>
          </w:p>
        </w:tc>
      </w:tr>
      <w:tr w:rsidR="00997F75" w:rsidRPr="009E35ED" w14:paraId="7EE93DAC" w14:textId="77777777" w:rsidTr="00640739">
        <w:trPr>
          <w:trHeight w:val="285"/>
        </w:trPr>
        <w:tc>
          <w:tcPr>
            <w:tcW w:w="7286" w:type="dxa"/>
            <w:tcBorders>
              <w:top w:val="nil"/>
              <w:left w:val="nil"/>
              <w:bottom w:val="nil"/>
              <w:right w:val="nil"/>
            </w:tcBorders>
            <w:shd w:val="clear" w:color="auto" w:fill="auto"/>
          </w:tcPr>
          <w:p w14:paraId="58B36614" w14:textId="2F0A7565" w:rsidR="0061662C" w:rsidRPr="009E35ED" w:rsidRDefault="0061662C" w:rsidP="0061662C">
            <w:pPr>
              <w:ind w:left="0"/>
              <w:jc w:val="left"/>
              <w:rPr>
                <w:rFonts w:ascii="Arial Narrow" w:hAnsi="Arial Narrow"/>
                <w:color w:val="000000" w:themeColor="text1"/>
                <w:sz w:val="20"/>
                <w:szCs w:val="20"/>
              </w:rPr>
            </w:pPr>
            <w:r w:rsidRPr="009E35ED">
              <w:rPr>
                <w:rFonts w:ascii="Arial Narrow" w:hAnsi="Arial Narrow"/>
                <w:color w:val="000000" w:themeColor="text1"/>
                <w:sz w:val="20"/>
                <w:szCs w:val="20"/>
              </w:rPr>
              <w:t xml:space="preserve">Adjustment/Recording of Depreciation </w:t>
            </w:r>
            <w:r w:rsidR="00C6081C">
              <w:rPr>
                <w:rFonts w:ascii="Arial Narrow" w:hAnsi="Arial Narrow"/>
                <w:color w:val="000000" w:themeColor="text1"/>
                <w:sz w:val="20"/>
                <w:szCs w:val="20"/>
              </w:rPr>
              <w:t>e</w:t>
            </w:r>
            <w:r w:rsidRPr="009E35ED">
              <w:rPr>
                <w:rFonts w:ascii="Arial Narrow" w:hAnsi="Arial Narrow"/>
                <w:color w:val="000000" w:themeColor="text1"/>
                <w:sz w:val="20"/>
                <w:szCs w:val="20"/>
              </w:rPr>
              <w:t xml:space="preserve">xpenses-Machinery and </w:t>
            </w:r>
            <w:r w:rsidR="00C6081C">
              <w:rPr>
                <w:rFonts w:ascii="Arial Narrow" w:hAnsi="Arial Narrow"/>
                <w:color w:val="000000" w:themeColor="text1"/>
                <w:sz w:val="20"/>
                <w:szCs w:val="20"/>
              </w:rPr>
              <w:t>e</w:t>
            </w:r>
            <w:r w:rsidRPr="009E35ED">
              <w:rPr>
                <w:rFonts w:ascii="Arial Narrow" w:hAnsi="Arial Narrow"/>
                <w:color w:val="000000" w:themeColor="text1"/>
                <w:sz w:val="20"/>
                <w:szCs w:val="20"/>
              </w:rPr>
              <w:t xml:space="preserve">quipment-Information and </w:t>
            </w:r>
            <w:r w:rsidR="00C6081C">
              <w:rPr>
                <w:rFonts w:ascii="Arial Narrow" w:hAnsi="Arial Narrow"/>
                <w:color w:val="000000" w:themeColor="text1"/>
                <w:sz w:val="20"/>
                <w:szCs w:val="20"/>
              </w:rPr>
              <w:t>c</w:t>
            </w:r>
            <w:r w:rsidRPr="009E35ED">
              <w:rPr>
                <w:rFonts w:ascii="Arial Narrow" w:hAnsi="Arial Narrow"/>
                <w:color w:val="000000" w:themeColor="text1"/>
                <w:sz w:val="20"/>
                <w:szCs w:val="20"/>
              </w:rPr>
              <w:t xml:space="preserve">ommunication </w:t>
            </w:r>
            <w:r w:rsidR="00C6081C">
              <w:rPr>
                <w:rFonts w:ascii="Arial Narrow" w:hAnsi="Arial Narrow"/>
                <w:color w:val="000000" w:themeColor="text1"/>
                <w:sz w:val="20"/>
                <w:szCs w:val="20"/>
              </w:rPr>
              <w:t>t</w:t>
            </w:r>
            <w:r w:rsidRPr="009E35ED">
              <w:rPr>
                <w:rFonts w:ascii="Arial Narrow" w:hAnsi="Arial Narrow"/>
                <w:color w:val="000000" w:themeColor="text1"/>
                <w:sz w:val="20"/>
                <w:szCs w:val="20"/>
              </w:rPr>
              <w:t xml:space="preserve">echnology </w:t>
            </w:r>
            <w:r w:rsidR="00C6081C">
              <w:rPr>
                <w:rFonts w:ascii="Arial Narrow" w:hAnsi="Arial Narrow"/>
                <w:color w:val="000000" w:themeColor="text1"/>
                <w:sz w:val="20"/>
                <w:szCs w:val="20"/>
              </w:rPr>
              <w:t>e</w:t>
            </w:r>
            <w:r w:rsidRPr="009E35ED">
              <w:rPr>
                <w:rFonts w:ascii="Arial Narrow" w:hAnsi="Arial Narrow"/>
                <w:color w:val="000000" w:themeColor="text1"/>
                <w:sz w:val="20"/>
                <w:szCs w:val="20"/>
              </w:rPr>
              <w:t>quipment-Branch</w:t>
            </w:r>
          </w:p>
        </w:tc>
        <w:tc>
          <w:tcPr>
            <w:tcW w:w="1716" w:type="dxa"/>
            <w:tcBorders>
              <w:top w:val="nil"/>
              <w:left w:val="nil"/>
              <w:bottom w:val="nil"/>
              <w:right w:val="nil"/>
            </w:tcBorders>
            <w:shd w:val="clear" w:color="auto" w:fill="auto"/>
            <w:noWrap/>
            <w:vAlign w:val="bottom"/>
          </w:tcPr>
          <w:p w14:paraId="755FFFE7" w14:textId="3BC2307E" w:rsidR="0061662C" w:rsidRPr="009E35ED" w:rsidRDefault="0061662C" w:rsidP="00640739">
            <w:pPr>
              <w:ind w:left="0"/>
              <w:jc w:val="right"/>
              <w:rPr>
                <w:rFonts w:ascii="Arial Narrow" w:hAnsi="Arial Narrow"/>
                <w:color w:val="000000" w:themeColor="text1"/>
                <w:sz w:val="20"/>
                <w:szCs w:val="20"/>
              </w:rPr>
            </w:pPr>
            <w:r w:rsidRPr="009E35ED">
              <w:rPr>
                <w:rFonts w:ascii="Arial Narrow" w:hAnsi="Arial Narrow"/>
                <w:color w:val="000000" w:themeColor="text1"/>
                <w:sz w:val="20"/>
                <w:szCs w:val="20"/>
              </w:rPr>
              <w:t xml:space="preserve"> (165,252)</w:t>
            </w:r>
          </w:p>
        </w:tc>
      </w:tr>
      <w:tr w:rsidR="00997F75" w:rsidRPr="009E35ED" w14:paraId="2CB416B0" w14:textId="77777777" w:rsidTr="00640739">
        <w:trPr>
          <w:trHeight w:val="285"/>
        </w:trPr>
        <w:tc>
          <w:tcPr>
            <w:tcW w:w="7286" w:type="dxa"/>
            <w:tcBorders>
              <w:top w:val="nil"/>
              <w:left w:val="nil"/>
              <w:bottom w:val="nil"/>
              <w:right w:val="nil"/>
            </w:tcBorders>
            <w:shd w:val="clear" w:color="auto" w:fill="auto"/>
          </w:tcPr>
          <w:p w14:paraId="14707EEA" w14:textId="57599D14" w:rsidR="0061662C" w:rsidRPr="009E35ED" w:rsidRDefault="0061662C" w:rsidP="0061662C">
            <w:pPr>
              <w:ind w:left="0"/>
              <w:jc w:val="left"/>
              <w:rPr>
                <w:rFonts w:ascii="Arial Narrow" w:hAnsi="Arial Narrow"/>
                <w:color w:val="000000" w:themeColor="text1"/>
                <w:sz w:val="20"/>
                <w:szCs w:val="20"/>
              </w:rPr>
            </w:pPr>
            <w:r w:rsidRPr="009E35ED">
              <w:rPr>
                <w:rFonts w:ascii="Arial Narrow" w:hAnsi="Arial Narrow"/>
                <w:color w:val="000000" w:themeColor="text1"/>
                <w:sz w:val="20"/>
                <w:szCs w:val="20"/>
              </w:rPr>
              <w:t xml:space="preserve">Adjustment/Recording of Depreciation </w:t>
            </w:r>
            <w:r w:rsidR="00C6081C">
              <w:rPr>
                <w:rFonts w:ascii="Arial Narrow" w:hAnsi="Arial Narrow"/>
                <w:color w:val="000000" w:themeColor="text1"/>
                <w:sz w:val="20"/>
                <w:szCs w:val="20"/>
              </w:rPr>
              <w:t>e</w:t>
            </w:r>
            <w:r w:rsidRPr="009E35ED">
              <w:rPr>
                <w:rFonts w:ascii="Arial Narrow" w:hAnsi="Arial Narrow"/>
                <w:color w:val="000000" w:themeColor="text1"/>
                <w:sz w:val="20"/>
                <w:szCs w:val="20"/>
              </w:rPr>
              <w:t xml:space="preserve">xpenses-Machinery and </w:t>
            </w:r>
            <w:r w:rsidR="00C6081C">
              <w:rPr>
                <w:rFonts w:ascii="Arial Narrow" w:hAnsi="Arial Narrow"/>
                <w:color w:val="000000" w:themeColor="text1"/>
                <w:sz w:val="20"/>
                <w:szCs w:val="20"/>
              </w:rPr>
              <w:t>e</w:t>
            </w:r>
            <w:r w:rsidRPr="009E35ED">
              <w:rPr>
                <w:rFonts w:ascii="Arial Narrow" w:hAnsi="Arial Narrow"/>
                <w:color w:val="000000" w:themeColor="text1"/>
                <w:sz w:val="20"/>
                <w:szCs w:val="20"/>
              </w:rPr>
              <w:t>quipment-Others-Branch</w:t>
            </w:r>
          </w:p>
        </w:tc>
        <w:tc>
          <w:tcPr>
            <w:tcW w:w="1716" w:type="dxa"/>
            <w:tcBorders>
              <w:top w:val="nil"/>
              <w:left w:val="nil"/>
              <w:bottom w:val="nil"/>
              <w:right w:val="nil"/>
            </w:tcBorders>
            <w:shd w:val="clear" w:color="auto" w:fill="auto"/>
            <w:noWrap/>
            <w:vAlign w:val="bottom"/>
          </w:tcPr>
          <w:p w14:paraId="3AC18264" w14:textId="422A30AB" w:rsidR="0061662C" w:rsidRPr="009E35ED" w:rsidRDefault="0061662C" w:rsidP="00640739">
            <w:pPr>
              <w:ind w:left="0"/>
              <w:jc w:val="right"/>
              <w:rPr>
                <w:rFonts w:ascii="Arial Narrow" w:hAnsi="Arial Narrow"/>
                <w:color w:val="000000" w:themeColor="text1"/>
                <w:sz w:val="20"/>
                <w:szCs w:val="20"/>
              </w:rPr>
            </w:pPr>
            <w:r w:rsidRPr="009E35ED">
              <w:rPr>
                <w:rFonts w:ascii="Arial Narrow" w:hAnsi="Arial Narrow"/>
                <w:color w:val="000000" w:themeColor="text1"/>
                <w:sz w:val="20"/>
                <w:szCs w:val="20"/>
              </w:rPr>
              <w:t xml:space="preserve"> 117,965 </w:t>
            </w:r>
          </w:p>
        </w:tc>
      </w:tr>
      <w:tr w:rsidR="00997F75" w:rsidRPr="009E35ED" w14:paraId="30DEA903" w14:textId="77777777" w:rsidTr="00640739">
        <w:trPr>
          <w:trHeight w:val="285"/>
        </w:trPr>
        <w:tc>
          <w:tcPr>
            <w:tcW w:w="7286" w:type="dxa"/>
            <w:tcBorders>
              <w:top w:val="nil"/>
              <w:left w:val="nil"/>
              <w:bottom w:val="nil"/>
              <w:right w:val="nil"/>
            </w:tcBorders>
            <w:shd w:val="clear" w:color="auto" w:fill="auto"/>
          </w:tcPr>
          <w:p w14:paraId="5261D32D" w14:textId="7C9D6023" w:rsidR="0061662C" w:rsidRPr="009E35ED" w:rsidRDefault="0061662C" w:rsidP="0061662C">
            <w:pPr>
              <w:ind w:left="0"/>
              <w:jc w:val="left"/>
              <w:rPr>
                <w:rFonts w:ascii="Arial Narrow" w:hAnsi="Arial Narrow"/>
                <w:color w:val="000000" w:themeColor="text1"/>
                <w:sz w:val="20"/>
                <w:szCs w:val="20"/>
              </w:rPr>
            </w:pPr>
            <w:r w:rsidRPr="009E35ED">
              <w:rPr>
                <w:rFonts w:ascii="Arial Narrow" w:hAnsi="Arial Narrow"/>
                <w:color w:val="000000" w:themeColor="text1"/>
                <w:sz w:val="20"/>
                <w:szCs w:val="20"/>
              </w:rPr>
              <w:t xml:space="preserve">Adjustment/Recording of Depreciation </w:t>
            </w:r>
            <w:r w:rsidR="00C6081C">
              <w:rPr>
                <w:rFonts w:ascii="Arial Narrow" w:hAnsi="Arial Narrow"/>
                <w:color w:val="000000" w:themeColor="text1"/>
                <w:sz w:val="20"/>
                <w:szCs w:val="20"/>
              </w:rPr>
              <w:t>e</w:t>
            </w:r>
            <w:r w:rsidRPr="009E35ED">
              <w:rPr>
                <w:rFonts w:ascii="Arial Narrow" w:hAnsi="Arial Narrow"/>
                <w:color w:val="000000" w:themeColor="text1"/>
                <w:sz w:val="20"/>
                <w:szCs w:val="20"/>
              </w:rPr>
              <w:t xml:space="preserve">xpenses-Machinery and </w:t>
            </w:r>
            <w:r w:rsidR="00C6081C">
              <w:rPr>
                <w:rFonts w:ascii="Arial Narrow" w:hAnsi="Arial Narrow"/>
                <w:color w:val="000000" w:themeColor="text1"/>
                <w:sz w:val="20"/>
                <w:szCs w:val="20"/>
              </w:rPr>
              <w:t>e</w:t>
            </w:r>
            <w:r w:rsidRPr="009E35ED">
              <w:rPr>
                <w:rFonts w:ascii="Arial Narrow" w:hAnsi="Arial Narrow"/>
                <w:color w:val="000000" w:themeColor="text1"/>
                <w:sz w:val="20"/>
                <w:szCs w:val="20"/>
              </w:rPr>
              <w:t>quipment-Others-Head Office</w:t>
            </w:r>
          </w:p>
        </w:tc>
        <w:tc>
          <w:tcPr>
            <w:tcW w:w="1716" w:type="dxa"/>
            <w:tcBorders>
              <w:top w:val="nil"/>
              <w:left w:val="nil"/>
              <w:bottom w:val="nil"/>
              <w:right w:val="nil"/>
            </w:tcBorders>
            <w:shd w:val="clear" w:color="auto" w:fill="auto"/>
            <w:noWrap/>
            <w:vAlign w:val="bottom"/>
          </w:tcPr>
          <w:p w14:paraId="0DEF500D" w14:textId="15164689" w:rsidR="0061662C" w:rsidRPr="009E35ED" w:rsidRDefault="0061662C" w:rsidP="00640739">
            <w:pPr>
              <w:ind w:left="0"/>
              <w:jc w:val="right"/>
              <w:rPr>
                <w:rFonts w:ascii="Arial Narrow" w:hAnsi="Arial Narrow"/>
                <w:color w:val="000000" w:themeColor="text1"/>
                <w:sz w:val="20"/>
                <w:szCs w:val="20"/>
              </w:rPr>
            </w:pPr>
            <w:r w:rsidRPr="009E35ED">
              <w:rPr>
                <w:rFonts w:ascii="Arial Narrow" w:hAnsi="Arial Narrow"/>
                <w:color w:val="000000" w:themeColor="text1"/>
                <w:sz w:val="20"/>
                <w:szCs w:val="20"/>
              </w:rPr>
              <w:t xml:space="preserve"> (76,380)</w:t>
            </w:r>
          </w:p>
        </w:tc>
      </w:tr>
      <w:tr w:rsidR="00997F75" w:rsidRPr="009E35ED" w14:paraId="0BDD904D" w14:textId="77777777" w:rsidTr="00640739">
        <w:trPr>
          <w:trHeight w:val="285"/>
        </w:trPr>
        <w:tc>
          <w:tcPr>
            <w:tcW w:w="7286" w:type="dxa"/>
            <w:tcBorders>
              <w:top w:val="nil"/>
              <w:left w:val="nil"/>
              <w:bottom w:val="nil"/>
              <w:right w:val="nil"/>
            </w:tcBorders>
            <w:shd w:val="clear" w:color="auto" w:fill="auto"/>
          </w:tcPr>
          <w:p w14:paraId="6F7EDB8A" w14:textId="49AF9AEE" w:rsidR="0061662C" w:rsidRPr="009E35ED" w:rsidRDefault="0061662C" w:rsidP="0061662C">
            <w:pPr>
              <w:ind w:left="0"/>
              <w:jc w:val="left"/>
              <w:rPr>
                <w:rFonts w:ascii="Arial Narrow" w:hAnsi="Arial Narrow"/>
                <w:color w:val="000000" w:themeColor="text1"/>
                <w:sz w:val="20"/>
                <w:szCs w:val="20"/>
              </w:rPr>
            </w:pPr>
            <w:r w:rsidRPr="009E35ED">
              <w:rPr>
                <w:rFonts w:ascii="Arial Narrow" w:hAnsi="Arial Narrow"/>
                <w:color w:val="000000" w:themeColor="text1"/>
                <w:sz w:val="20"/>
                <w:szCs w:val="20"/>
              </w:rPr>
              <w:t>Adjustment/Recording of Depreciation</w:t>
            </w:r>
            <w:r w:rsidR="00C6081C">
              <w:rPr>
                <w:rFonts w:ascii="Arial Narrow" w:hAnsi="Arial Narrow"/>
                <w:color w:val="000000" w:themeColor="text1"/>
                <w:sz w:val="20"/>
                <w:szCs w:val="20"/>
              </w:rPr>
              <w:t xml:space="preserve"> e</w:t>
            </w:r>
            <w:r w:rsidRPr="009E35ED">
              <w:rPr>
                <w:rFonts w:ascii="Arial Narrow" w:hAnsi="Arial Narrow"/>
                <w:color w:val="000000" w:themeColor="text1"/>
                <w:sz w:val="20"/>
                <w:szCs w:val="20"/>
              </w:rPr>
              <w:t xml:space="preserve">xpenses-Machinery and </w:t>
            </w:r>
            <w:r w:rsidR="00C6081C">
              <w:rPr>
                <w:rFonts w:ascii="Arial Narrow" w:hAnsi="Arial Narrow"/>
                <w:color w:val="000000" w:themeColor="text1"/>
                <w:sz w:val="20"/>
                <w:szCs w:val="20"/>
              </w:rPr>
              <w:t>e</w:t>
            </w:r>
            <w:r w:rsidRPr="009E35ED">
              <w:rPr>
                <w:rFonts w:ascii="Arial Narrow" w:hAnsi="Arial Narrow"/>
                <w:color w:val="000000" w:themeColor="text1"/>
                <w:sz w:val="20"/>
                <w:szCs w:val="20"/>
              </w:rPr>
              <w:t xml:space="preserve">quipment-Military, </w:t>
            </w:r>
            <w:r w:rsidR="00C6081C">
              <w:rPr>
                <w:rFonts w:ascii="Arial Narrow" w:hAnsi="Arial Narrow"/>
                <w:color w:val="000000" w:themeColor="text1"/>
                <w:sz w:val="20"/>
                <w:szCs w:val="20"/>
              </w:rPr>
              <w:t>p</w:t>
            </w:r>
            <w:r w:rsidRPr="009E35ED">
              <w:rPr>
                <w:rFonts w:ascii="Arial Narrow" w:hAnsi="Arial Narrow"/>
                <w:color w:val="000000" w:themeColor="text1"/>
                <w:sz w:val="20"/>
                <w:szCs w:val="20"/>
              </w:rPr>
              <w:t xml:space="preserve">olice and </w:t>
            </w:r>
            <w:r w:rsidR="00C6081C">
              <w:rPr>
                <w:rFonts w:ascii="Arial Narrow" w:hAnsi="Arial Narrow"/>
                <w:color w:val="000000" w:themeColor="text1"/>
                <w:sz w:val="20"/>
                <w:szCs w:val="20"/>
              </w:rPr>
              <w:t>s</w:t>
            </w:r>
            <w:r w:rsidRPr="009E35ED">
              <w:rPr>
                <w:rFonts w:ascii="Arial Narrow" w:hAnsi="Arial Narrow"/>
                <w:color w:val="000000" w:themeColor="text1"/>
                <w:sz w:val="20"/>
                <w:szCs w:val="20"/>
              </w:rPr>
              <w:t xml:space="preserve">ecurity  </w:t>
            </w:r>
            <w:r w:rsidR="00C6081C">
              <w:rPr>
                <w:rFonts w:ascii="Arial Narrow" w:hAnsi="Arial Narrow"/>
                <w:color w:val="000000" w:themeColor="text1"/>
                <w:sz w:val="20"/>
                <w:szCs w:val="20"/>
              </w:rPr>
              <w:t>e</w:t>
            </w:r>
            <w:r w:rsidRPr="009E35ED">
              <w:rPr>
                <w:rFonts w:ascii="Arial Narrow" w:hAnsi="Arial Narrow"/>
                <w:color w:val="000000" w:themeColor="text1"/>
                <w:sz w:val="20"/>
                <w:szCs w:val="20"/>
              </w:rPr>
              <w:t>quipment  -Branch</w:t>
            </w:r>
          </w:p>
        </w:tc>
        <w:tc>
          <w:tcPr>
            <w:tcW w:w="1716" w:type="dxa"/>
            <w:tcBorders>
              <w:top w:val="nil"/>
              <w:left w:val="nil"/>
              <w:bottom w:val="nil"/>
              <w:right w:val="nil"/>
            </w:tcBorders>
            <w:shd w:val="clear" w:color="auto" w:fill="auto"/>
            <w:noWrap/>
            <w:vAlign w:val="bottom"/>
          </w:tcPr>
          <w:p w14:paraId="70B932C5" w14:textId="58BED620" w:rsidR="0061662C" w:rsidRPr="009E35ED" w:rsidRDefault="0061662C" w:rsidP="00640739">
            <w:pPr>
              <w:ind w:left="0"/>
              <w:jc w:val="right"/>
              <w:rPr>
                <w:rFonts w:ascii="Arial Narrow" w:hAnsi="Arial Narrow"/>
                <w:color w:val="000000" w:themeColor="text1"/>
                <w:sz w:val="20"/>
                <w:szCs w:val="20"/>
              </w:rPr>
            </w:pPr>
            <w:r w:rsidRPr="009E35ED">
              <w:rPr>
                <w:rFonts w:ascii="Arial Narrow" w:hAnsi="Arial Narrow"/>
                <w:color w:val="000000" w:themeColor="text1"/>
                <w:sz w:val="20"/>
                <w:szCs w:val="20"/>
              </w:rPr>
              <w:t xml:space="preserve"> (620)</w:t>
            </w:r>
          </w:p>
        </w:tc>
      </w:tr>
      <w:tr w:rsidR="00997F75" w:rsidRPr="009E35ED" w14:paraId="39C0359D" w14:textId="77777777" w:rsidTr="00640739">
        <w:trPr>
          <w:trHeight w:val="285"/>
        </w:trPr>
        <w:tc>
          <w:tcPr>
            <w:tcW w:w="7286" w:type="dxa"/>
            <w:tcBorders>
              <w:top w:val="nil"/>
              <w:left w:val="nil"/>
              <w:bottom w:val="nil"/>
              <w:right w:val="nil"/>
            </w:tcBorders>
            <w:shd w:val="clear" w:color="auto" w:fill="auto"/>
          </w:tcPr>
          <w:p w14:paraId="5C3FE434" w14:textId="5D196DAC" w:rsidR="0061662C" w:rsidRPr="009E35ED" w:rsidRDefault="0061662C" w:rsidP="0061662C">
            <w:pPr>
              <w:ind w:left="0"/>
              <w:jc w:val="left"/>
              <w:rPr>
                <w:rFonts w:ascii="Arial Narrow" w:hAnsi="Arial Narrow"/>
                <w:color w:val="000000" w:themeColor="text1"/>
                <w:sz w:val="20"/>
                <w:szCs w:val="20"/>
              </w:rPr>
            </w:pPr>
            <w:r w:rsidRPr="009E35ED">
              <w:rPr>
                <w:rFonts w:ascii="Arial Narrow" w:hAnsi="Arial Narrow"/>
                <w:color w:val="000000" w:themeColor="text1"/>
                <w:sz w:val="20"/>
                <w:szCs w:val="20"/>
              </w:rPr>
              <w:t xml:space="preserve">Adjustment/Recording of Depreciation Expenses-Transportation </w:t>
            </w:r>
            <w:r w:rsidR="00C6081C">
              <w:rPr>
                <w:rFonts w:ascii="Arial Narrow" w:hAnsi="Arial Narrow"/>
                <w:color w:val="000000" w:themeColor="text1"/>
                <w:sz w:val="20"/>
                <w:szCs w:val="20"/>
              </w:rPr>
              <w:t>e</w:t>
            </w:r>
            <w:r w:rsidRPr="009E35ED">
              <w:rPr>
                <w:rFonts w:ascii="Arial Narrow" w:hAnsi="Arial Narrow"/>
                <w:color w:val="000000" w:themeColor="text1"/>
                <w:sz w:val="20"/>
                <w:szCs w:val="20"/>
              </w:rPr>
              <w:t xml:space="preserve">quipment-Motor </w:t>
            </w:r>
            <w:r w:rsidR="00C6081C">
              <w:rPr>
                <w:rFonts w:ascii="Arial Narrow" w:hAnsi="Arial Narrow"/>
                <w:color w:val="000000" w:themeColor="text1"/>
                <w:sz w:val="20"/>
                <w:szCs w:val="20"/>
              </w:rPr>
              <w:t>v</w:t>
            </w:r>
            <w:r w:rsidRPr="009E35ED">
              <w:rPr>
                <w:rFonts w:ascii="Arial Narrow" w:hAnsi="Arial Narrow"/>
                <w:color w:val="000000" w:themeColor="text1"/>
                <w:sz w:val="20"/>
                <w:szCs w:val="20"/>
              </w:rPr>
              <w:t>ehicle-Head Office</w:t>
            </w:r>
          </w:p>
        </w:tc>
        <w:tc>
          <w:tcPr>
            <w:tcW w:w="1716" w:type="dxa"/>
            <w:tcBorders>
              <w:top w:val="nil"/>
              <w:left w:val="nil"/>
              <w:bottom w:val="nil"/>
              <w:right w:val="nil"/>
            </w:tcBorders>
            <w:shd w:val="clear" w:color="auto" w:fill="auto"/>
            <w:noWrap/>
            <w:vAlign w:val="bottom"/>
          </w:tcPr>
          <w:p w14:paraId="1A2287CB" w14:textId="77E01B0B" w:rsidR="0061662C" w:rsidRPr="009E35ED" w:rsidRDefault="0061662C" w:rsidP="00640739">
            <w:pPr>
              <w:ind w:left="0"/>
              <w:jc w:val="right"/>
              <w:rPr>
                <w:rFonts w:ascii="Arial Narrow" w:hAnsi="Arial Narrow"/>
                <w:color w:val="000000" w:themeColor="text1"/>
                <w:sz w:val="20"/>
                <w:szCs w:val="20"/>
              </w:rPr>
            </w:pPr>
            <w:r w:rsidRPr="009E35ED">
              <w:rPr>
                <w:rFonts w:ascii="Arial Narrow" w:hAnsi="Arial Narrow"/>
                <w:color w:val="000000" w:themeColor="text1"/>
                <w:sz w:val="20"/>
                <w:szCs w:val="20"/>
              </w:rPr>
              <w:t xml:space="preserve"> (48,970)</w:t>
            </w:r>
          </w:p>
        </w:tc>
      </w:tr>
      <w:tr w:rsidR="00997F75" w:rsidRPr="009E35ED" w14:paraId="1E8CC1FF" w14:textId="77777777" w:rsidTr="00640739">
        <w:trPr>
          <w:trHeight w:val="75"/>
        </w:trPr>
        <w:tc>
          <w:tcPr>
            <w:tcW w:w="7286" w:type="dxa"/>
            <w:tcBorders>
              <w:top w:val="nil"/>
              <w:left w:val="nil"/>
              <w:bottom w:val="nil"/>
              <w:right w:val="nil"/>
            </w:tcBorders>
            <w:shd w:val="clear" w:color="auto" w:fill="auto"/>
            <w:hideMark/>
          </w:tcPr>
          <w:p w14:paraId="1BDA5EE2" w14:textId="522FEF12" w:rsidR="0061662C" w:rsidRPr="009E35ED" w:rsidRDefault="0061662C" w:rsidP="0061662C">
            <w:pPr>
              <w:ind w:left="0"/>
              <w:jc w:val="left"/>
              <w:rPr>
                <w:rFonts w:ascii="Arial Narrow" w:hAnsi="Arial Narrow" w:cs="Arial"/>
                <w:color w:val="000000" w:themeColor="text1"/>
                <w:sz w:val="20"/>
                <w:szCs w:val="20"/>
                <w:lang w:val="en-PH" w:eastAsia="en-PH"/>
              </w:rPr>
            </w:pPr>
            <w:r w:rsidRPr="009E35ED">
              <w:rPr>
                <w:rFonts w:ascii="Arial Narrow" w:hAnsi="Arial Narrow"/>
                <w:color w:val="000000" w:themeColor="text1"/>
                <w:sz w:val="20"/>
                <w:szCs w:val="20"/>
              </w:rPr>
              <w:t>Adjustment/Recording of Depreciation</w:t>
            </w:r>
            <w:r w:rsidR="00C6081C">
              <w:rPr>
                <w:rFonts w:ascii="Arial Narrow" w:hAnsi="Arial Narrow"/>
                <w:color w:val="000000" w:themeColor="text1"/>
                <w:sz w:val="20"/>
                <w:szCs w:val="20"/>
              </w:rPr>
              <w:t xml:space="preserve"> e</w:t>
            </w:r>
            <w:r w:rsidRPr="009E35ED">
              <w:rPr>
                <w:rFonts w:ascii="Arial Narrow" w:hAnsi="Arial Narrow"/>
                <w:color w:val="000000" w:themeColor="text1"/>
                <w:sz w:val="20"/>
                <w:szCs w:val="20"/>
              </w:rPr>
              <w:t xml:space="preserve">xpenses-Transportation </w:t>
            </w:r>
            <w:r w:rsidR="00C6081C">
              <w:rPr>
                <w:rFonts w:ascii="Arial Narrow" w:hAnsi="Arial Narrow"/>
                <w:color w:val="000000" w:themeColor="text1"/>
                <w:sz w:val="20"/>
                <w:szCs w:val="20"/>
              </w:rPr>
              <w:t>e</w:t>
            </w:r>
            <w:r w:rsidRPr="009E35ED">
              <w:rPr>
                <w:rFonts w:ascii="Arial Narrow" w:hAnsi="Arial Narrow"/>
                <w:color w:val="000000" w:themeColor="text1"/>
                <w:sz w:val="20"/>
                <w:szCs w:val="20"/>
              </w:rPr>
              <w:t xml:space="preserve">quipment-Motor </w:t>
            </w:r>
            <w:r w:rsidR="00C6081C">
              <w:rPr>
                <w:rFonts w:ascii="Arial Narrow" w:hAnsi="Arial Narrow"/>
                <w:color w:val="000000" w:themeColor="text1"/>
                <w:sz w:val="20"/>
                <w:szCs w:val="20"/>
              </w:rPr>
              <w:t>v</w:t>
            </w:r>
            <w:r w:rsidRPr="009E35ED">
              <w:rPr>
                <w:rFonts w:ascii="Arial Narrow" w:hAnsi="Arial Narrow"/>
                <w:color w:val="000000" w:themeColor="text1"/>
                <w:sz w:val="20"/>
                <w:szCs w:val="20"/>
              </w:rPr>
              <w:t>ehicle-Branch</w:t>
            </w:r>
          </w:p>
        </w:tc>
        <w:tc>
          <w:tcPr>
            <w:tcW w:w="1716" w:type="dxa"/>
            <w:tcBorders>
              <w:top w:val="nil"/>
              <w:left w:val="nil"/>
              <w:bottom w:val="nil"/>
              <w:right w:val="nil"/>
            </w:tcBorders>
            <w:shd w:val="clear" w:color="auto" w:fill="auto"/>
            <w:noWrap/>
            <w:vAlign w:val="bottom"/>
            <w:hideMark/>
          </w:tcPr>
          <w:p w14:paraId="2376C5BE" w14:textId="523A0AEE" w:rsidR="0061662C" w:rsidRPr="009E35ED" w:rsidRDefault="0061662C" w:rsidP="00640739">
            <w:pPr>
              <w:ind w:left="0"/>
              <w:jc w:val="right"/>
              <w:rPr>
                <w:rFonts w:ascii="Arial Narrow" w:hAnsi="Arial Narrow" w:cs="Arial"/>
                <w:color w:val="000000" w:themeColor="text1"/>
                <w:sz w:val="20"/>
                <w:szCs w:val="20"/>
                <w:lang w:val="en-PH" w:eastAsia="en-PH"/>
              </w:rPr>
            </w:pPr>
            <w:r w:rsidRPr="009E35ED">
              <w:rPr>
                <w:rFonts w:ascii="Arial Narrow" w:hAnsi="Arial Narrow"/>
                <w:color w:val="000000" w:themeColor="text1"/>
                <w:sz w:val="20"/>
                <w:szCs w:val="20"/>
              </w:rPr>
              <w:t xml:space="preserve"> (258,507)</w:t>
            </w:r>
          </w:p>
        </w:tc>
      </w:tr>
      <w:tr w:rsidR="00997F75" w:rsidRPr="009E35ED" w14:paraId="595BBB44" w14:textId="77777777" w:rsidTr="00640739">
        <w:trPr>
          <w:trHeight w:val="65"/>
        </w:trPr>
        <w:tc>
          <w:tcPr>
            <w:tcW w:w="7286" w:type="dxa"/>
            <w:tcBorders>
              <w:top w:val="single" w:sz="4" w:space="0" w:color="auto"/>
              <w:left w:val="nil"/>
              <w:bottom w:val="double" w:sz="6" w:space="0" w:color="auto"/>
              <w:right w:val="nil"/>
            </w:tcBorders>
            <w:shd w:val="clear" w:color="auto" w:fill="auto"/>
            <w:hideMark/>
          </w:tcPr>
          <w:p w14:paraId="18FB216A" w14:textId="6903249D" w:rsidR="00F560D0" w:rsidRPr="009E35ED" w:rsidRDefault="00F560D0" w:rsidP="00F560D0">
            <w:pPr>
              <w:ind w:left="0"/>
              <w:jc w:val="left"/>
              <w:rPr>
                <w:rFonts w:ascii="Arial Narrow" w:hAnsi="Arial Narrow" w:cs="Arial"/>
                <w:b/>
                <w:bCs/>
                <w:color w:val="000000" w:themeColor="text1"/>
                <w:sz w:val="20"/>
                <w:szCs w:val="20"/>
                <w:lang w:val="en-PH" w:eastAsia="en-PH"/>
              </w:rPr>
            </w:pPr>
            <w:r w:rsidRPr="009E35ED">
              <w:rPr>
                <w:rFonts w:ascii="Arial Narrow" w:hAnsi="Arial Narrow"/>
                <w:b/>
                <w:bCs/>
                <w:color w:val="000000" w:themeColor="text1"/>
                <w:sz w:val="20"/>
                <w:szCs w:val="20"/>
              </w:rPr>
              <w:t>Restated Amount as of December 31, 2022 - Depreciation Expenses (Operating Fund)</w:t>
            </w:r>
          </w:p>
        </w:tc>
        <w:tc>
          <w:tcPr>
            <w:tcW w:w="1716" w:type="dxa"/>
            <w:tcBorders>
              <w:top w:val="single" w:sz="4" w:space="0" w:color="auto"/>
              <w:left w:val="nil"/>
              <w:bottom w:val="double" w:sz="6" w:space="0" w:color="auto"/>
              <w:right w:val="nil"/>
            </w:tcBorders>
            <w:shd w:val="clear" w:color="auto" w:fill="auto"/>
            <w:noWrap/>
            <w:vAlign w:val="bottom"/>
            <w:hideMark/>
          </w:tcPr>
          <w:p w14:paraId="753DA7D0" w14:textId="00A98C3E" w:rsidR="00F560D0" w:rsidRPr="009E35ED" w:rsidRDefault="00CE04E1" w:rsidP="00EF447D">
            <w:pPr>
              <w:ind w:left="0"/>
              <w:jc w:val="right"/>
              <w:rPr>
                <w:rFonts w:ascii="Arial Narrow" w:hAnsi="Arial Narrow" w:cs="Arial"/>
                <w:b/>
                <w:bCs/>
                <w:color w:val="000000" w:themeColor="text1"/>
                <w:sz w:val="20"/>
                <w:szCs w:val="20"/>
                <w:lang w:val="en-PH" w:eastAsia="en-PH"/>
              </w:rPr>
            </w:pPr>
            <w:r w:rsidRPr="009E35ED">
              <w:rPr>
                <w:rFonts w:ascii="Arial Narrow" w:hAnsi="Arial Narrow"/>
                <w:b/>
                <w:bCs/>
                <w:color w:val="000000" w:themeColor="text1"/>
                <w:sz w:val="20"/>
                <w:szCs w:val="20"/>
              </w:rPr>
              <w:t>204,164,197</w:t>
            </w:r>
          </w:p>
        </w:tc>
      </w:tr>
      <w:tr w:rsidR="00997F75" w:rsidRPr="009E35ED" w14:paraId="4DE69303" w14:textId="77777777" w:rsidTr="00C26DA1">
        <w:trPr>
          <w:trHeight w:val="300"/>
        </w:trPr>
        <w:tc>
          <w:tcPr>
            <w:tcW w:w="7286" w:type="dxa"/>
            <w:tcBorders>
              <w:top w:val="nil"/>
              <w:left w:val="nil"/>
              <w:bottom w:val="nil"/>
              <w:right w:val="nil"/>
            </w:tcBorders>
            <w:shd w:val="clear" w:color="auto" w:fill="auto"/>
            <w:vAlign w:val="bottom"/>
            <w:hideMark/>
          </w:tcPr>
          <w:p w14:paraId="2F2BFE57" w14:textId="77777777" w:rsidR="00F560D0" w:rsidRPr="009E35ED" w:rsidRDefault="00F560D0" w:rsidP="00F560D0">
            <w:pPr>
              <w:ind w:left="0"/>
              <w:jc w:val="left"/>
              <w:rPr>
                <w:rFonts w:ascii="Arial Narrow" w:hAnsi="Arial Narrow" w:cs="Arial"/>
                <w:b/>
                <w:bCs/>
                <w:color w:val="000000" w:themeColor="text1"/>
                <w:sz w:val="20"/>
                <w:szCs w:val="20"/>
                <w:lang w:val="en-PH" w:eastAsia="en-PH"/>
              </w:rPr>
            </w:pPr>
          </w:p>
        </w:tc>
        <w:tc>
          <w:tcPr>
            <w:tcW w:w="1716" w:type="dxa"/>
            <w:tcBorders>
              <w:top w:val="nil"/>
              <w:left w:val="nil"/>
              <w:bottom w:val="nil"/>
              <w:right w:val="nil"/>
            </w:tcBorders>
            <w:shd w:val="clear" w:color="auto" w:fill="auto"/>
            <w:noWrap/>
          </w:tcPr>
          <w:p w14:paraId="45C912E4" w14:textId="071A308E" w:rsidR="00F560D0" w:rsidRPr="009E35ED" w:rsidRDefault="00F560D0" w:rsidP="00F560D0">
            <w:pPr>
              <w:ind w:left="0"/>
              <w:jc w:val="right"/>
              <w:rPr>
                <w:rFonts w:ascii="Arial Narrow" w:hAnsi="Arial Narrow"/>
                <w:color w:val="000000" w:themeColor="text1"/>
                <w:sz w:val="20"/>
                <w:szCs w:val="20"/>
                <w:lang w:val="en-PH" w:eastAsia="en-PH"/>
              </w:rPr>
            </w:pPr>
          </w:p>
        </w:tc>
      </w:tr>
      <w:tr w:rsidR="00997F75" w:rsidRPr="009E35ED" w14:paraId="555EC8B3" w14:textId="77777777" w:rsidTr="00B90388">
        <w:trPr>
          <w:trHeight w:val="53"/>
        </w:trPr>
        <w:tc>
          <w:tcPr>
            <w:tcW w:w="7286" w:type="dxa"/>
            <w:tcBorders>
              <w:top w:val="nil"/>
              <w:left w:val="nil"/>
              <w:bottom w:val="nil"/>
              <w:right w:val="nil"/>
            </w:tcBorders>
            <w:shd w:val="clear" w:color="auto" w:fill="auto"/>
            <w:hideMark/>
          </w:tcPr>
          <w:p w14:paraId="21A2C04B" w14:textId="13F35950" w:rsidR="00ED5198" w:rsidRPr="009E35ED" w:rsidRDefault="00ED5198" w:rsidP="00ED5198">
            <w:pPr>
              <w:ind w:left="0"/>
              <w:jc w:val="left"/>
              <w:rPr>
                <w:rFonts w:ascii="Arial Narrow" w:hAnsi="Arial Narrow" w:cs="Arial"/>
                <w:color w:val="000000" w:themeColor="text1"/>
                <w:sz w:val="20"/>
                <w:szCs w:val="20"/>
                <w:lang w:val="en-PH" w:eastAsia="en-PH"/>
              </w:rPr>
            </w:pPr>
            <w:r w:rsidRPr="009E35ED">
              <w:rPr>
                <w:rFonts w:ascii="Arial Narrow" w:hAnsi="Arial Narrow"/>
                <w:color w:val="000000" w:themeColor="text1"/>
                <w:sz w:val="20"/>
                <w:szCs w:val="20"/>
              </w:rPr>
              <w:t xml:space="preserve">Unrestated </w:t>
            </w:r>
            <w:r w:rsidR="00C6081C">
              <w:rPr>
                <w:rFonts w:ascii="Arial Narrow" w:hAnsi="Arial Narrow"/>
                <w:color w:val="000000" w:themeColor="text1"/>
                <w:sz w:val="20"/>
                <w:szCs w:val="20"/>
              </w:rPr>
              <w:t>a</w:t>
            </w:r>
            <w:r w:rsidRPr="009E35ED">
              <w:rPr>
                <w:rFonts w:ascii="Arial Narrow" w:hAnsi="Arial Narrow"/>
                <w:color w:val="000000" w:themeColor="text1"/>
                <w:sz w:val="20"/>
                <w:szCs w:val="20"/>
              </w:rPr>
              <w:t>mount as of December 31, 2022</w:t>
            </w:r>
          </w:p>
        </w:tc>
        <w:tc>
          <w:tcPr>
            <w:tcW w:w="1716" w:type="dxa"/>
            <w:tcBorders>
              <w:top w:val="nil"/>
              <w:left w:val="nil"/>
              <w:bottom w:val="nil"/>
              <w:right w:val="nil"/>
            </w:tcBorders>
            <w:shd w:val="clear" w:color="auto" w:fill="auto"/>
            <w:noWrap/>
            <w:hideMark/>
          </w:tcPr>
          <w:p w14:paraId="7BB7CDCA" w14:textId="79775BE6" w:rsidR="00ED5198" w:rsidRPr="009E35ED" w:rsidRDefault="00ED5198" w:rsidP="00ED5198">
            <w:pPr>
              <w:ind w:left="0"/>
              <w:jc w:val="right"/>
              <w:rPr>
                <w:rFonts w:ascii="Arial Narrow" w:hAnsi="Arial Narrow" w:cs="Arial"/>
                <w:color w:val="000000" w:themeColor="text1"/>
                <w:sz w:val="20"/>
                <w:szCs w:val="20"/>
                <w:lang w:val="en-PH" w:eastAsia="en-PH"/>
              </w:rPr>
            </w:pPr>
            <w:r w:rsidRPr="009E35ED">
              <w:rPr>
                <w:rFonts w:ascii="Arial Narrow" w:hAnsi="Arial Narrow"/>
                <w:color w:val="000000" w:themeColor="text1"/>
                <w:sz w:val="20"/>
                <w:szCs w:val="20"/>
              </w:rPr>
              <w:t xml:space="preserve"> 20,157,033 </w:t>
            </w:r>
          </w:p>
        </w:tc>
      </w:tr>
      <w:tr w:rsidR="00997F75" w:rsidRPr="009E35ED" w14:paraId="01995F90" w14:textId="77777777" w:rsidTr="00C26DA1">
        <w:trPr>
          <w:trHeight w:val="75"/>
        </w:trPr>
        <w:tc>
          <w:tcPr>
            <w:tcW w:w="7286" w:type="dxa"/>
            <w:tcBorders>
              <w:top w:val="nil"/>
              <w:left w:val="nil"/>
              <w:bottom w:val="nil"/>
              <w:right w:val="nil"/>
            </w:tcBorders>
            <w:shd w:val="clear" w:color="auto" w:fill="auto"/>
            <w:hideMark/>
          </w:tcPr>
          <w:p w14:paraId="24867461" w14:textId="576C8BE4" w:rsidR="00ED5198" w:rsidRPr="009E35ED" w:rsidRDefault="00ED5198" w:rsidP="00ED5198">
            <w:pPr>
              <w:ind w:left="0"/>
              <w:jc w:val="left"/>
              <w:rPr>
                <w:rFonts w:ascii="Arial Narrow" w:hAnsi="Arial Narrow" w:cs="Arial"/>
                <w:color w:val="000000" w:themeColor="text1"/>
                <w:sz w:val="20"/>
                <w:szCs w:val="20"/>
                <w:lang w:val="en-PH" w:eastAsia="en-PH"/>
              </w:rPr>
            </w:pPr>
            <w:r w:rsidRPr="009E35ED">
              <w:rPr>
                <w:rFonts w:ascii="Arial Narrow" w:hAnsi="Arial Narrow"/>
                <w:color w:val="000000" w:themeColor="text1"/>
                <w:sz w:val="20"/>
                <w:szCs w:val="20"/>
              </w:rPr>
              <w:t xml:space="preserve">Adjustment/Recording of </w:t>
            </w:r>
            <w:r w:rsidR="00C6081C">
              <w:rPr>
                <w:rFonts w:ascii="Arial Narrow" w:hAnsi="Arial Narrow"/>
                <w:color w:val="000000" w:themeColor="text1"/>
                <w:sz w:val="20"/>
                <w:szCs w:val="20"/>
              </w:rPr>
              <w:t>o</w:t>
            </w:r>
            <w:r w:rsidRPr="009E35ED">
              <w:rPr>
                <w:rFonts w:ascii="Arial Narrow" w:hAnsi="Arial Narrow"/>
                <w:color w:val="000000" w:themeColor="text1"/>
                <w:sz w:val="20"/>
                <w:szCs w:val="20"/>
              </w:rPr>
              <w:t xml:space="preserve">ther </w:t>
            </w:r>
            <w:r w:rsidR="00C6081C">
              <w:rPr>
                <w:rFonts w:ascii="Arial Narrow" w:hAnsi="Arial Narrow"/>
                <w:color w:val="000000" w:themeColor="text1"/>
                <w:sz w:val="20"/>
                <w:szCs w:val="20"/>
              </w:rPr>
              <w:t>l</w:t>
            </w:r>
            <w:r w:rsidRPr="009E35ED">
              <w:rPr>
                <w:rFonts w:ascii="Arial Narrow" w:hAnsi="Arial Narrow"/>
                <w:color w:val="000000" w:themeColor="text1"/>
                <w:sz w:val="20"/>
                <w:szCs w:val="20"/>
              </w:rPr>
              <w:t>osses-Head Office</w:t>
            </w:r>
          </w:p>
        </w:tc>
        <w:tc>
          <w:tcPr>
            <w:tcW w:w="1716" w:type="dxa"/>
            <w:tcBorders>
              <w:top w:val="nil"/>
              <w:left w:val="nil"/>
              <w:bottom w:val="nil"/>
              <w:right w:val="nil"/>
            </w:tcBorders>
            <w:shd w:val="clear" w:color="auto" w:fill="auto"/>
            <w:noWrap/>
            <w:hideMark/>
          </w:tcPr>
          <w:p w14:paraId="552B84FA" w14:textId="6AB51E40" w:rsidR="00ED5198" w:rsidRPr="009E35ED" w:rsidRDefault="00ED5198" w:rsidP="00ED5198">
            <w:pPr>
              <w:ind w:left="0"/>
              <w:jc w:val="right"/>
              <w:rPr>
                <w:rFonts w:ascii="Arial Narrow" w:hAnsi="Arial Narrow" w:cs="Arial"/>
                <w:color w:val="000000" w:themeColor="text1"/>
                <w:sz w:val="20"/>
                <w:szCs w:val="20"/>
                <w:lang w:val="en-PH" w:eastAsia="en-PH"/>
              </w:rPr>
            </w:pPr>
            <w:r w:rsidRPr="009E35ED">
              <w:rPr>
                <w:rFonts w:ascii="Arial Narrow" w:hAnsi="Arial Narrow"/>
                <w:color w:val="000000" w:themeColor="text1"/>
                <w:sz w:val="20"/>
                <w:szCs w:val="20"/>
              </w:rPr>
              <w:t xml:space="preserve"> 985,326 </w:t>
            </w:r>
          </w:p>
        </w:tc>
      </w:tr>
      <w:tr w:rsidR="00997F75" w:rsidRPr="009E35ED" w14:paraId="3F1F1F3C" w14:textId="77777777" w:rsidTr="00C26DA1">
        <w:trPr>
          <w:trHeight w:val="65"/>
        </w:trPr>
        <w:tc>
          <w:tcPr>
            <w:tcW w:w="7286" w:type="dxa"/>
            <w:tcBorders>
              <w:top w:val="single" w:sz="4" w:space="0" w:color="auto"/>
              <w:left w:val="nil"/>
              <w:bottom w:val="double" w:sz="6" w:space="0" w:color="auto"/>
              <w:right w:val="nil"/>
            </w:tcBorders>
            <w:shd w:val="clear" w:color="auto" w:fill="auto"/>
            <w:hideMark/>
          </w:tcPr>
          <w:p w14:paraId="73F3CAA3" w14:textId="639B53C2" w:rsidR="00ED5198" w:rsidRPr="009E35ED" w:rsidRDefault="00ED5198" w:rsidP="00ED5198">
            <w:pPr>
              <w:ind w:left="0"/>
              <w:jc w:val="left"/>
              <w:rPr>
                <w:rFonts w:ascii="Arial Narrow" w:hAnsi="Arial Narrow" w:cs="Arial"/>
                <w:b/>
                <w:bCs/>
                <w:color w:val="000000" w:themeColor="text1"/>
                <w:sz w:val="20"/>
                <w:szCs w:val="20"/>
                <w:lang w:val="en-PH" w:eastAsia="en-PH"/>
              </w:rPr>
            </w:pPr>
            <w:r w:rsidRPr="009E35ED">
              <w:rPr>
                <w:rFonts w:ascii="Arial Narrow" w:hAnsi="Arial Narrow"/>
                <w:b/>
                <w:bCs/>
                <w:color w:val="000000" w:themeColor="text1"/>
                <w:sz w:val="20"/>
                <w:szCs w:val="20"/>
              </w:rPr>
              <w:t>Restated Amount as of December 31, 2022 - Losses (Operating Fund)</w:t>
            </w:r>
          </w:p>
        </w:tc>
        <w:tc>
          <w:tcPr>
            <w:tcW w:w="1716" w:type="dxa"/>
            <w:tcBorders>
              <w:top w:val="single" w:sz="4" w:space="0" w:color="auto"/>
              <w:left w:val="nil"/>
              <w:bottom w:val="double" w:sz="6" w:space="0" w:color="auto"/>
              <w:right w:val="nil"/>
            </w:tcBorders>
            <w:shd w:val="clear" w:color="auto" w:fill="auto"/>
            <w:noWrap/>
            <w:hideMark/>
          </w:tcPr>
          <w:p w14:paraId="6AB1B950" w14:textId="2C62B079" w:rsidR="00ED5198" w:rsidRPr="009E35ED" w:rsidRDefault="00ED5198" w:rsidP="00ED5198">
            <w:pPr>
              <w:ind w:left="0"/>
              <w:jc w:val="right"/>
              <w:rPr>
                <w:rFonts w:ascii="Arial Narrow" w:hAnsi="Arial Narrow" w:cs="Arial"/>
                <w:b/>
                <w:bCs/>
                <w:color w:val="000000" w:themeColor="text1"/>
                <w:sz w:val="20"/>
                <w:szCs w:val="20"/>
                <w:lang w:val="en-PH" w:eastAsia="en-PH"/>
              </w:rPr>
            </w:pPr>
            <w:r w:rsidRPr="009E35ED">
              <w:rPr>
                <w:rFonts w:ascii="Arial Narrow" w:hAnsi="Arial Narrow"/>
                <w:b/>
                <w:bCs/>
                <w:color w:val="000000" w:themeColor="text1"/>
                <w:sz w:val="20"/>
                <w:szCs w:val="20"/>
              </w:rPr>
              <w:t xml:space="preserve"> 21,142,359 </w:t>
            </w:r>
          </w:p>
        </w:tc>
      </w:tr>
      <w:tr w:rsidR="00997F75" w:rsidRPr="009E35ED" w14:paraId="4962C36D" w14:textId="77777777" w:rsidTr="00C26DA1">
        <w:trPr>
          <w:trHeight w:val="300"/>
        </w:trPr>
        <w:tc>
          <w:tcPr>
            <w:tcW w:w="7286" w:type="dxa"/>
            <w:tcBorders>
              <w:top w:val="nil"/>
              <w:left w:val="nil"/>
              <w:bottom w:val="nil"/>
              <w:right w:val="nil"/>
            </w:tcBorders>
            <w:shd w:val="clear" w:color="auto" w:fill="auto"/>
            <w:vAlign w:val="bottom"/>
            <w:hideMark/>
          </w:tcPr>
          <w:p w14:paraId="27FE0D3A" w14:textId="29092472" w:rsidR="00975CA4" w:rsidRPr="009E35ED" w:rsidRDefault="00975CA4" w:rsidP="00240956">
            <w:pPr>
              <w:ind w:left="0"/>
              <w:jc w:val="left"/>
              <w:rPr>
                <w:rFonts w:ascii="Arial Narrow" w:hAnsi="Arial Narrow" w:cs="Arial"/>
                <w:b/>
                <w:bCs/>
                <w:color w:val="000000" w:themeColor="text1"/>
                <w:sz w:val="20"/>
                <w:szCs w:val="20"/>
                <w:lang w:val="en-PH" w:eastAsia="en-PH"/>
              </w:rPr>
            </w:pPr>
          </w:p>
        </w:tc>
        <w:tc>
          <w:tcPr>
            <w:tcW w:w="1716" w:type="dxa"/>
            <w:tcBorders>
              <w:top w:val="nil"/>
              <w:left w:val="nil"/>
              <w:bottom w:val="nil"/>
              <w:right w:val="nil"/>
            </w:tcBorders>
            <w:shd w:val="clear" w:color="auto" w:fill="auto"/>
            <w:noWrap/>
            <w:vAlign w:val="bottom"/>
            <w:hideMark/>
          </w:tcPr>
          <w:p w14:paraId="584E2809" w14:textId="77777777" w:rsidR="00240956" w:rsidRPr="009E35ED" w:rsidRDefault="00240956" w:rsidP="00240956">
            <w:pPr>
              <w:ind w:left="0"/>
              <w:jc w:val="right"/>
              <w:rPr>
                <w:rFonts w:ascii="Arial Narrow" w:hAnsi="Arial Narrow"/>
                <w:color w:val="000000" w:themeColor="text1"/>
                <w:sz w:val="20"/>
                <w:szCs w:val="20"/>
                <w:lang w:val="en-PH" w:eastAsia="en-PH"/>
              </w:rPr>
            </w:pPr>
          </w:p>
        </w:tc>
      </w:tr>
      <w:tr w:rsidR="00997F75" w:rsidRPr="009E35ED" w14:paraId="5D7389A7" w14:textId="77777777" w:rsidTr="00C26DA1">
        <w:trPr>
          <w:trHeight w:val="285"/>
        </w:trPr>
        <w:tc>
          <w:tcPr>
            <w:tcW w:w="7286" w:type="dxa"/>
            <w:tcBorders>
              <w:top w:val="nil"/>
              <w:left w:val="nil"/>
              <w:bottom w:val="nil"/>
              <w:right w:val="nil"/>
            </w:tcBorders>
            <w:shd w:val="clear" w:color="auto" w:fill="auto"/>
            <w:hideMark/>
          </w:tcPr>
          <w:p w14:paraId="6CF0047C" w14:textId="7A3F8011" w:rsidR="006C4797" w:rsidRPr="009E35ED" w:rsidRDefault="006C4797" w:rsidP="006C4797">
            <w:pPr>
              <w:ind w:left="0"/>
              <w:jc w:val="left"/>
              <w:rPr>
                <w:rFonts w:ascii="Arial Narrow" w:hAnsi="Arial Narrow" w:cs="Arial"/>
                <w:color w:val="000000" w:themeColor="text1"/>
                <w:sz w:val="20"/>
                <w:szCs w:val="20"/>
                <w:lang w:val="en-PH" w:eastAsia="en-PH"/>
              </w:rPr>
            </w:pPr>
            <w:r w:rsidRPr="009E35ED">
              <w:rPr>
                <w:rFonts w:ascii="Arial Narrow" w:hAnsi="Arial Narrow"/>
                <w:color w:val="000000" w:themeColor="text1"/>
                <w:sz w:val="20"/>
                <w:szCs w:val="20"/>
              </w:rPr>
              <w:t xml:space="preserve">Unrestated </w:t>
            </w:r>
            <w:r w:rsidR="00C6081C">
              <w:rPr>
                <w:rFonts w:ascii="Arial Narrow" w:hAnsi="Arial Narrow"/>
                <w:color w:val="000000" w:themeColor="text1"/>
                <w:sz w:val="20"/>
                <w:szCs w:val="20"/>
              </w:rPr>
              <w:t>a</w:t>
            </w:r>
            <w:r w:rsidRPr="009E35ED">
              <w:rPr>
                <w:rFonts w:ascii="Arial Narrow" w:hAnsi="Arial Narrow"/>
                <w:color w:val="000000" w:themeColor="text1"/>
                <w:sz w:val="20"/>
                <w:szCs w:val="20"/>
              </w:rPr>
              <w:t>mount as of December 31, 2022</w:t>
            </w:r>
          </w:p>
        </w:tc>
        <w:tc>
          <w:tcPr>
            <w:tcW w:w="1716" w:type="dxa"/>
            <w:tcBorders>
              <w:top w:val="nil"/>
              <w:left w:val="nil"/>
              <w:bottom w:val="nil"/>
              <w:right w:val="nil"/>
            </w:tcBorders>
            <w:shd w:val="clear" w:color="auto" w:fill="auto"/>
            <w:noWrap/>
            <w:hideMark/>
          </w:tcPr>
          <w:p w14:paraId="4EE90BB9" w14:textId="74420D2B" w:rsidR="006C4797" w:rsidRPr="009E35ED" w:rsidRDefault="006C4797" w:rsidP="006C4797">
            <w:pPr>
              <w:ind w:left="0"/>
              <w:jc w:val="right"/>
              <w:rPr>
                <w:rFonts w:ascii="Arial Narrow" w:hAnsi="Arial Narrow" w:cs="Arial"/>
                <w:color w:val="000000" w:themeColor="text1"/>
                <w:sz w:val="20"/>
                <w:szCs w:val="20"/>
                <w:lang w:val="en-PH" w:eastAsia="en-PH"/>
              </w:rPr>
            </w:pPr>
            <w:r w:rsidRPr="009E35ED">
              <w:rPr>
                <w:rFonts w:ascii="Arial Narrow" w:hAnsi="Arial Narrow"/>
                <w:color w:val="000000" w:themeColor="text1"/>
                <w:sz w:val="20"/>
                <w:szCs w:val="20"/>
              </w:rPr>
              <w:t xml:space="preserve"> 7,798,906 </w:t>
            </w:r>
          </w:p>
        </w:tc>
      </w:tr>
      <w:tr w:rsidR="00997F75" w:rsidRPr="009E35ED" w14:paraId="2709A0DC" w14:textId="77777777" w:rsidTr="00C26DA1">
        <w:trPr>
          <w:trHeight w:val="75"/>
        </w:trPr>
        <w:tc>
          <w:tcPr>
            <w:tcW w:w="7286" w:type="dxa"/>
            <w:tcBorders>
              <w:top w:val="nil"/>
              <w:left w:val="nil"/>
              <w:bottom w:val="nil"/>
              <w:right w:val="nil"/>
            </w:tcBorders>
            <w:shd w:val="clear" w:color="auto" w:fill="auto"/>
          </w:tcPr>
          <w:p w14:paraId="417E9401" w14:textId="43F01C06" w:rsidR="006C4797" w:rsidRPr="009E35ED" w:rsidRDefault="006C4797" w:rsidP="006C4797">
            <w:pPr>
              <w:ind w:left="0"/>
              <w:jc w:val="left"/>
              <w:rPr>
                <w:rFonts w:ascii="Arial Narrow" w:hAnsi="Arial Narrow"/>
                <w:color w:val="000000" w:themeColor="text1"/>
                <w:sz w:val="20"/>
                <w:szCs w:val="20"/>
              </w:rPr>
            </w:pPr>
            <w:r w:rsidRPr="009E35ED">
              <w:rPr>
                <w:rFonts w:ascii="Arial Narrow" w:hAnsi="Arial Narrow"/>
                <w:color w:val="000000" w:themeColor="text1"/>
                <w:sz w:val="20"/>
                <w:szCs w:val="20"/>
              </w:rPr>
              <w:t xml:space="preserve">Adjustment/Recording of </w:t>
            </w:r>
            <w:r w:rsidR="00C6081C">
              <w:rPr>
                <w:rFonts w:ascii="Arial Narrow" w:hAnsi="Arial Narrow"/>
                <w:color w:val="000000" w:themeColor="text1"/>
                <w:sz w:val="20"/>
                <w:szCs w:val="20"/>
              </w:rPr>
              <w:t>f</w:t>
            </w:r>
            <w:r w:rsidRPr="009E35ED">
              <w:rPr>
                <w:rFonts w:ascii="Arial Narrow" w:hAnsi="Arial Narrow"/>
                <w:color w:val="000000" w:themeColor="text1"/>
                <w:sz w:val="20"/>
                <w:szCs w:val="20"/>
              </w:rPr>
              <w:t xml:space="preserve">inancial </w:t>
            </w:r>
            <w:r w:rsidR="00C6081C">
              <w:rPr>
                <w:rFonts w:ascii="Arial Narrow" w:hAnsi="Arial Narrow"/>
                <w:color w:val="000000" w:themeColor="text1"/>
                <w:sz w:val="20"/>
                <w:szCs w:val="20"/>
              </w:rPr>
              <w:t>a</w:t>
            </w:r>
            <w:r w:rsidRPr="009E35ED">
              <w:rPr>
                <w:rFonts w:ascii="Arial Narrow" w:hAnsi="Arial Narrow"/>
                <w:color w:val="000000" w:themeColor="text1"/>
                <w:sz w:val="20"/>
                <w:szCs w:val="20"/>
              </w:rPr>
              <w:t xml:space="preserve">ssistance for </w:t>
            </w:r>
            <w:r w:rsidR="00C6081C">
              <w:rPr>
                <w:rFonts w:ascii="Arial Narrow" w:hAnsi="Arial Narrow"/>
                <w:color w:val="000000" w:themeColor="text1"/>
                <w:sz w:val="20"/>
                <w:szCs w:val="20"/>
              </w:rPr>
              <w:t>m</w:t>
            </w:r>
            <w:r w:rsidRPr="009E35ED">
              <w:rPr>
                <w:rFonts w:ascii="Arial Narrow" w:hAnsi="Arial Narrow"/>
                <w:color w:val="000000" w:themeColor="text1"/>
                <w:sz w:val="20"/>
                <w:szCs w:val="20"/>
              </w:rPr>
              <w:t>edicine  - Branch</w:t>
            </w:r>
          </w:p>
        </w:tc>
        <w:tc>
          <w:tcPr>
            <w:tcW w:w="1716" w:type="dxa"/>
            <w:tcBorders>
              <w:top w:val="nil"/>
              <w:left w:val="nil"/>
              <w:bottom w:val="nil"/>
              <w:right w:val="nil"/>
            </w:tcBorders>
            <w:shd w:val="clear" w:color="auto" w:fill="auto"/>
            <w:noWrap/>
          </w:tcPr>
          <w:p w14:paraId="3000BAC3" w14:textId="25001DDD" w:rsidR="006C4797" w:rsidRPr="009E35ED" w:rsidRDefault="006C4797" w:rsidP="006C4797">
            <w:pPr>
              <w:ind w:left="0"/>
              <w:jc w:val="right"/>
              <w:rPr>
                <w:rFonts w:ascii="Arial Narrow" w:hAnsi="Arial Narrow"/>
                <w:color w:val="000000" w:themeColor="text1"/>
                <w:sz w:val="20"/>
                <w:szCs w:val="20"/>
              </w:rPr>
            </w:pPr>
            <w:r w:rsidRPr="009E35ED">
              <w:rPr>
                <w:rFonts w:ascii="Arial Narrow" w:hAnsi="Arial Narrow"/>
                <w:color w:val="000000" w:themeColor="text1"/>
                <w:sz w:val="20"/>
                <w:szCs w:val="20"/>
              </w:rPr>
              <w:t xml:space="preserve"> (20,000)</w:t>
            </w:r>
          </w:p>
        </w:tc>
      </w:tr>
      <w:tr w:rsidR="00997F75" w:rsidRPr="009E35ED" w14:paraId="49F0DA10" w14:textId="77777777" w:rsidTr="00C26DA1">
        <w:trPr>
          <w:trHeight w:val="75"/>
        </w:trPr>
        <w:tc>
          <w:tcPr>
            <w:tcW w:w="7286" w:type="dxa"/>
            <w:tcBorders>
              <w:top w:val="nil"/>
              <w:left w:val="nil"/>
              <w:bottom w:val="nil"/>
              <w:right w:val="nil"/>
            </w:tcBorders>
            <w:shd w:val="clear" w:color="auto" w:fill="auto"/>
            <w:hideMark/>
          </w:tcPr>
          <w:p w14:paraId="6C93252A" w14:textId="5F82CB8C" w:rsidR="006C4797" w:rsidRPr="009E35ED" w:rsidRDefault="006C4797" w:rsidP="006C4797">
            <w:pPr>
              <w:ind w:left="0"/>
              <w:jc w:val="left"/>
              <w:rPr>
                <w:rFonts w:ascii="Arial Narrow" w:hAnsi="Arial Narrow" w:cs="Arial"/>
                <w:color w:val="000000" w:themeColor="text1"/>
                <w:sz w:val="20"/>
                <w:szCs w:val="20"/>
                <w:lang w:val="en-PH" w:eastAsia="en-PH"/>
              </w:rPr>
            </w:pPr>
            <w:r w:rsidRPr="009E35ED">
              <w:rPr>
                <w:rFonts w:ascii="Arial Narrow" w:hAnsi="Arial Narrow"/>
                <w:color w:val="000000" w:themeColor="text1"/>
                <w:sz w:val="20"/>
                <w:szCs w:val="20"/>
              </w:rPr>
              <w:t xml:space="preserve">Adjustment/Recording of </w:t>
            </w:r>
            <w:r w:rsidR="00C6081C">
              <w:rPr>
                <w:rFonts w:ascii="Arial Narrow" w:hAnsi="Arial Narrow"/>
                <w:color w:val="000000" w:themeColor="text1"/>
                <w:sz w:val="20"/>
                <w:szCs w:val="20"/>
              </w:rPr>
              <w:t>f</w:t>
            </w:r>
            <w:r w:rsidRPr="009E35ED">
              <w:rPr>
                <w:rFonts w:ascii="Arial Narrow" w:hAnsi="Arial Narrow"/>
                <w:color w:val="000000" w:themeColor="text1"/>
                <w:sz w:val="20"/>
                <w:szCs w:val="20"/>
              </w:rPr>
              <w:t xml:space="preserve">inancial </w:t>
            </w:r>
            <w:r w:rsidR="00C6081C">
              <w:rPr>
                <w:rFonts w:ascii="Arial Narrow" w:hAnsi="Arial Narrow"/>
                <w:color w:val="000000" w:themeColor="text1"/>
                <w:sz w:val="20"/>
                <w:szCs w:val="20"/>
              </w:rPr>
              <w:t>a</w:t>
            </w:r>
            <w:r w:rsidRPr="009E35ED">
              <w:rPr>
                <w:rFonts w:ascii="Arial Narrow" w:hAnsi="Arial Narrow"/>
                <w:color w:val="000000" w:themeColor="text1"/>
                <w:sz w:val="20"/>
                <w:szCs w:val="20"/>
              </w:rPr>
              <w:t xml:space="preserve">ssistance for </w:t>
            </w:r>
            <w:r w:rsidR="00C6081C">
              <w:rPr>
                <w:rFonts w:ascii="Arial Narrow" w:hAnsi="Arial Narrow"/>
                <w:color w:val="000000" w:themeColor="text1"/>
                <w:sz w:val="20"/>
                <w:szCs w:val="20"/>
              </w:rPr>
              <w:t>m</w:t>
            </w:r>
            <w:r w:rsidRPr="009E35ED">
              <w:rPr>
                <w:rFonts w:ascii="Arial Narrow" w:hAnsi="Arial Narrow"/>
                <w:color w:val="000000" w:themeColor="text1"/>
                <w:sz w:val="20"/>
                <w:szCs w:val="20"/>
              </w:rPr>
              <w:t>edicine  - Head Office</w:t>
            </w:r>
          </w:p>
        </w:tc>
        <w:tc>
          <w:tcPr>
            <w:tcW w:w="1716" w:type="dxa"/>
            <w:tcBorders>
              <w:top w:val="nil"/>
              <w:left w:val="nil"/>
              <w:bottom w:val="nil"/>
              <w:right w:val="nil"/>
            </w:tcBorders>
            <w:shd w:val="clear" w:color="auto" w:fill="auto"/>
            <w:noWrap/>
            <w:hideMark/>
          </w:tcPr>
          <w:p w14:paraId="6405B4AA" w14:textId="0F712434" w:rsidR="006C4797" w:rsidRPr="009E35ED" w:rsidRDefault="006C4797" w:rsidP="006C4797">
            <w:pPr>
              <w:ind w:left="0"/>
              <w:jc w:val="right"/>
              <w:rPr>
                <w:rFonts w:ascii="Arial Narrow" w:hAnsi="Arial Narrow" w:cs="Arial"/>
                <w:color w:val="000000" w:themeColor="text1"/>
                <w:sz w:val="20"/>
                <w:szCs w:val="20"/>
                <w:lang w:val="en-PH" w:eastAsia="en-PH"/>
              </w:rPr>
            </w:pPr>
            <w:r w:rsidRPr="009E35ED">
              <w:rPr>
                <w:rFonts w:ascii="Arial Narrow" w:hAnsi="Arial Narrow"/>
                <w:color w:val="000000" w:themeColor="text1"/>
                <w:sz w:val="20"/>
                <w:szCs w:val="20"/>
              </w:rPr>
              <w:t xml:space="preserve"> 363,197 </w:t>
            </w:r>
          </w:p>
        </w:tc>
      </w:tr>
      <w:tr w:rsidR="00997F75" w:rsidRPr="009E35ED" w14:paraId="438B76DC" w14:textId="77777777" w:rsidTr="00C26DA1">
        <w:trPr>
          <w:trHeight w:val="65"/>
        </w:trPr>
        <w:tc>
          <w:tcPr>
            <w:tcW w:w="7286" w:type="dxa"/>
            <w:tcBorders>
              <w:top w:val="single" w:sz="4" w:space="0" w:color="auto"/>
              <w:left w:val="nil"/>
              <w:bottom w:val="double" w:sz="6" w:space="0" w:color="auto"/>
              <w:right w:val="nil"/>
            </w:tcBorders>
            <w:shd w:val="clear" w:color="auto" w:fill="auto"/>
            <w:hideMark/>
          </w:tcPr>
          <w:p w14:paraId="37EA7EC4" w14:textId="0523FC8E" w:rsidR="006C4797" w:rsidRPr="009E35ED" w:rsidRDefault="006C4797" w:rsidP="006C4797">
            <w:pPr>
              <w:ind w:left="0"/>
              <w:jc w:val="left"/>
              <w:rPr>
                <w:rFonts w:ascii="Arial Narrow" w:hAnsi="Arial Narrow" w:cs="Arial"/>
                <w:b/>
                <w:bCs/>
                <w:color w:val="000000" w:themeColor="text1"/>
                <w:sz w:val="20"/>
                <w:szCs w:val="20"/>
                <w:lang w:val="en-PH" w:eastAsia="en-PH"/>
              </w:rPr>
            </w:pPr>
            <w:r w:rsidRPr="009E35ED">
              <w:rPr>
                <w:rFonts w:ascii="Arial Narrow" w:hAnsi="Arial Narrow"/>
                <w:b/>
                <w:bCs/>
                <w:color w:val="000000" w:themeColor="text1"/>
                <w:sz w:val="20"/>
                <w:szCs w:val="20"/>
              </w:rPr>
              <w:t>Restated Amount as of December 31, 2022 - Financial Assistance for Medicine (Charity Fund)</w:t>
            </w:r>
          </w:p>
        </w:tc>
        <w:tc>
          <w:tcPr>
            <w:tcW w:w="1716" w:type="dxa"/>
            <w:tcBorders>
              <w:top w:val="single" w:sz="4" w:space="0" w:color="auto"/>
              <w:left w:val="nil"/>
              <w:bottom w:val="double" w:sz="6" w:space="0" w:color="auto"/>
              <w:right w:val="nil"/>
            </w:tcBorders>
            <w:shd w:val="clear" w:color="auto" w:fill="auto"/>
            <w:noWrap/>
            <w:hideMark/>
          </w:tcPr>
          <w:p w14:paraId="74731EA2" w14:textId="77777777" w:rsidR="0068573E" w:rsidRPr="009E35ED" w:rsidRDefault="0068573E" w:rsidP="006C4797">
            <w:pPr>
              <w:ind w:left="0"/>
              <w:jc w:val="right"/>
              <w:rPr>
                <w:rFonts w:ascii="Arial Narrow" w:hAnsi="Arial Narrow"/>
                <w:b/>
                <w:bCs/>
                <w:color w:val="000000" w:themeColor="text1"/>
                <w:sz w:val="20"/>
                <w:szCs w:val="20"/>
              </w:rPr>
            </w:pPr>
          </w:p>
          <w:p w14:paraId="3A0DEEB5" w14:textId="2D24B651" w:rsidR="006C4797" w:rsidRPr="009E35ED" w:rsidRDefault="006C4797" w:rsidP="006C4797">
            <w:pPr>
              <w:ind w:left="0"/>
              <w:jc w:val="right"/>
              <w:rPr>
                <w:rFonts w:ascii="Arial Narrow" w:hAnsi="Arial Narrow" w:cs="Arial"/>
                <w:b/>
                <w:bCs/>
                <w:color w:val="000000" w:themeColor="text1"/>
                <w:sz w:val="20"/>
                <w:szCs w:val="20"/>
                <w:lang w:val="en-PH" w:eastAsia="en-PH"/>
              </w:rPr>
            </w:pPr>
            <w:r w:rsidRPr="009E35ED">
              <w:rPr>
                <w:rFonts w:ascii="Arial Narrow" w:hAnsi="Arial Narrow"/>
                <w:b/>
                <w:bCs/>
                <w:color w:val="000000" w:themeColor="text1"/>
                <w:sz w:val="20"/>
                <w:szCs w:val="20"/>
              </w:rPr>
              <w:t xml:space="preserve"> 8,142,103 </w:t>
            </w:r>
          </w:p>
        </w:tc>
      </w:tr>
      <w:tr w:rsidR="00997F75" w:rsidRPr="009E35ED" w14:paraId="71478D3C" w14:textId="77777777" w:rsidTr="00C26DA1">
        <w:trPr>
          <w:trHeight w:val="300"/>
        </w:trPr>
        <w:tc>
          <w:tcPr>
            <w:tcW w:w="7286" w:type="dxa"/>
            <w:tcBorders>
              <w:top w:val="nil"/>
              <w:left w:val="nil"/>
              <w:bottom w:val="nil"/>
              <w:right w:val="nil"/>
            </w:tcBorders>
            <w:shd w:val="clear" w:color="auto" w:fill="auto"/>
            <w:vAlign w:val="bottom"/>
            <w:hideMark/>
          </w:tcPr>
          <w:p w14:paraId="585BBF58" w14:textId="77777777" w:rsidR="00240956" w:rsidRPr="009E35ED" w:rsidRDefault="00240956" w:rsidP="00240956">
            <w:pPr>
              <w:ind w:left="0"/>
              <w:jc w:val="left"/>
              <w:rPr>
                <w:rFonts w:ascii="Arial Narrow" w:hAnsi="Arial Narrow" w:cs="Arial"/>
                <w:b/>
                <w:bCs/>
                <w:color w:val="000000" w:themeColor="text1"/>
                <w:sz w:val="20"/>
                <w:szCs w:val="20"/>
                <w:lang w:val="en-PH" w:eastAsia="en-PH"/>
              </w:rPr>
            </w:pPr>
          </w:p>
        </w:tc>
        <w:tc>
          <w:tcPr>
            <w:tcW w:w="1716" w:type="dxa"/>
            <w:tcBorders>
              <w:top w:val="nil"/>
              <w:left w:val="nil"/>
              <w:bottom w:val="nil"/>
              <w:right w:val="nil"/>
            </w:tcBorders>
            <w:shd w:val="clear" w:color="auto" w:fill="auto"/>
            <w:noWrap/>
            <w:vAlign w:val="bottom"/>
            <w:hideMark/>
          </w:tcPr>
          <w:p w14:paraId="52C8829C" w14:textId="77777777" w:rsidR="00240956" w:rsidRPr="009E35ED" w:rsidRDefault="00240956" w:rsidP="00240956">
            <w:pPr>
              <w:ind w:left="0"/>
              <w:jc w:val="right"/>
              <w:rPr>
                <w:rFonts w:ascii="Arial Narrow" w:hAnsi="Arial Narrow"/>
                <w:color w:val="000000" w:themeColor="text1"/>
                <w:sz w:val="20"/>
                <w:szCs w:val="20"/>
                <w:lang w:val="en-PH" w:eastAsia="en-PH"/>
              </w:rPr>
            </w:pPr>
          </w:p>
        </w:tc>
      </w:tr>
      <w:tr w:rsidR="00997F75" w:rsidRPr="009E35ED" w14:paraId="4BF13D12" w14:textId="77777777" w:rsidTr="00C26DA1">
        <w:trPr>
          <w:trHeight w:val="285"/>
        </w:trPr>
        <w:tc>
          <w:tcPr>
            <w:tcW w:w="7286" w:type="dxa"/>
            <w:tcBorders>
              <w:top w:val="nil"/>
              <w:left w:val="nil"/>
              <w:bottom w:val="nil"/>
              <w:right w:val="nil"/>
            </w:tcBorders>
            <w:shd w:val="clear" w:color="auto" w:fill="auto"/>
            <w:hideMark/>
          </w:tcPr>
          <w:p w14:paraId="61022C95" w14:textId="37C79041" w:rsidR="00AE336B" w:rsidRPr="009E35ED" w:rsidRDefault="00AE336B" w:rsidP="00B90388">
            <w:pPr>
              <w:keepNext/>
              <w:keepLines/>
              <w:ind w:left="0"/>
              <w:jc w:val="left"/>
              <w:rPr>
                <w:rFonts w:ascii="Arial Narrow" w:hAnsi="Arial Narrow" w:cs="Arial"/>
                <w:color w:val="000000" w:themeColor="text1"/>
                <w:sz w:val="20"/>
                <w:szCs w:val="20"/>
                <w:lang w:val="en-PH" w:eastAsia="en-PH"/>
              </w:rPr>
            </w:pPr>
            <w:r w:rsidRPr="009E35ED">
              <w:rPr>
                <w:rFonts w:ascii="Arial Narrow" w:hAnsi="Arial Narrow"/>
                <w:color w:val="000000" w:themeColor="text1"/>
                <w:sz w:val="20"/>
                <w:szCs w:val="20"/>
              </w:rPr>
              <w:t xml:space="preserve">Unrestated </w:t>
            </w:r>
            <w:r w:rsidR="00C6081C">
              <w:rPr>
                <w:rFonts w:ascii="Arial Narrow" w:hAnsi="Arial Narrow"/>
                <w:color w:val="000000" w:themeColor="text1"/>
                <w:sz w:val="20"/>
                <w:szCs w:val="20"/>
              </w:rPr>
              <w:t>a</w:t>
            </w:r>
            <w:r w:rsidRPr="009E35ED">
              <w:rPr>
                <w:rFonts w:ascii="Arial Narrow" w:hAnsi="Arial Narrow"/>
                <w:color w:val="000000" w:themeColor="text1"/>
                <w:sz w:val="20"/>
                <w:szCs w:val="20"/>
              </w:rPr>
              <w:t>mount as of December 31, 2022</w:t>
            </w:r>
          </w:p>
        </w:tc>
        <w:tc>
          <w:tcPr>
            <w:tcW w:w="1716" w:type="dxa"/>
            <w:tcBorders>
              <w:top w:val="nil"/>
              <w:left w:val="nil"/>
              <w:bottom w:val="nil"/>
              <w:right w:val="nil"/>
            </w:tcBorders>
            <w:shd w:val="clear" w:color="auto" w:fill="auto"/>
            <w:noWrap/>
            <w:hideMark/>
          </w:tcPr>
          <w:p w14:paraId="2B753EA6" w14:textId="20803988" w:rsidR="00AE336B" w:rsidRPr="009E35ED" w:rsidRDefault="00AE336B" w:rsidP="00B90388">
            <w:pPr>
              <w:keepNext/>
              <w:keepLines/>
              <w:ind w:left="0"/>
              <w:jc w:val="right"/>
              <w:rPr>
                <w:rFonts w:ascii="Arial Narrow" w:hAnsi="Arial Narrow" w:cs="Arial"/>
                <w:color w:val="000000" w:themeColor="text1"/>
                <w:sz w:val="20"/>
                <w:szCs w:val="20"/>
                <w:lang w:val="en-PH" w:eastAsia="en-PH"/>
              </w:rPr>
            </w:pPr>
            <w:r w:rsidRPr="009E35ED">
              <w:rPr>
                <w:rFonts w:ascii="Arial Narrow" w:hAnsi="Arial Narrow"/>
                <w:color w:val="000000" w:themeColor="text1"/>
                <w:sz w:val="20"/>
                <w:szCs w:val="20"/>
              </w:rPr>
              <w:t xml:space="preserve"> 8,114,073 </w:t>
            </w:r>
          </w:p>
        </w:tc>
      </w:tr>
      <w:tr w:rsidR="00997F75" w:rsidRPr="009E35ED" w14:paraId="7808B293" w14:textId="77777777" w:rsidTr="00C26DA1">
        <w:trPr>
          <w:trHeight w:val="75"/>
        </w:trPr>
        <w:tc>
          <w:tcPr>
            <w:tcW w:w="7286" w:type="dxa"/>
            <w:tcBorders>
              <w:top w:val="nil"/>
              <w:left w:val="nil"/>
              <w:bottom w:val="nil"/>
              <w:right w:val="nil"/>
            </w:tcBorders>
            <w:shd w:val="clear" w:color="auto" w:fill="auto"/>
            <w:hideMark/>
          </w:tcPr>
          <w:p w14:paraId="30761D64" w14:textId="61498CD8" w:rsidR="00AE336B" w:rsidRPr="009E35ED" w:rsidRDefault="00AE336B" w:rsidP="00B90388">
            <w:pPr>
              <w:keepNext/>
              <w:keepLines/>
              <w:ind w:left="0"/>
              <w:jc w:val="left"/>
              <w:rPr>
                <w:rFonts w:ascii="Arial Narrow" w:hAnsi="Arial Narrow" w:cs="Arial"/>
                <w:color w:val="000000" w:themeColor="text1"/>
                <w:sz w:val="20"/>
                <w:szCs w:val="20"/>
                <w:lang w:val="en-PH" w:eastAsia="en-PH"/>
              </w:rPr>
            </w:pPr>
            <w:r w:rsidRPr="009E35ED">
              <w:rPr>
                <w:rFonts w:ascii="Arial Narrow" w:hAnsi="Arial Narrow"/>
                <w:color w:val="000000" w:themeColor="text1"/>
                <w:sz w:val="20"/>
                <w:szCs w:val="20"/>
              </w:rPr>
              <w:t xml:space="preserve">Adjustment/Recording of </w:t>
            </w:r>
            <w:r w:rsidR="00C6081C">
              <w:rPr>
                <w:rFonts w:ascii="Arial Narrow" w:hAnsi="Arial Narrow"/>
                <w:color w:val="000000" w:themeColor="text1"/>
                <w:sz w:val="20"/>
                <w:szCs w:val="20"/>
              </w:rPr>
              <w:t>t</w:t>
            </w:r>
            <w:r w:rsidRPr="009E35ED">
              <w:rPr>
                <w:rFonts w:ascii="Arial Narrow" w:hAnsi="Arial Narrow"/>
                <w:color w:val="000000" w:themeColor="text1"/>
                <w:sz w:val="20"/>
                <w:szCs w:val="20"/>
              </w:rPr>
              <w:t xml:space="preserve">axes, </w:t>
            </w:r>
            <w:r w:rsidR="00C6081C">
              <w:rPr>
                <w:rFonts w:ascii="Arial Narrow" w:hAnsi="Arial Narrow"/>
                <w:color w:val="000000" w:themeColor="text1"/>
                <w:sz w:val="20"/>
                <w:szCs w:val="20"/>
              </w:rPr>
              <w:t>d</w:t>
            </w:r>
            <w:r w:rsidRPr="009E35ED">
              <w:rPr>
                <w:rFonts w:ascii="Arial Narrow" w:hAnsi="Arial Narrow"/>
                <w:color w:val="000000" w:themeColor="text1"/>
                <w:sz w:val="20"/>
                <w:szCs w:val="20"/>
              </w:rPr>
              <w:t xml:space="preserve">uties and </w:t>
            </w:r>
            <w:r w:rsidR="00C6081C">
              <w:rPr>
                <w:rFonts w:ascii="Arial Narrow" w:hAnsi="Arial Narrow"/>
                <w:color w:val="000000" w:themeColor="text1"/>
                <w:sz w:val="20"/>
                <w:szCs w:val="20"/>
              </w:rPr>
              <w:t>l</w:t>
            </w:r>
            <w:r w:rsidRPr="009E35ED">
              <w:rPr>
                <w:rFonts w:ascii="Arial Narrow" w:hAnsi="Arial Narrow"/>
                <w:color w:val="000000" w:themeColor="text1"/>
                <w:sz w:val="20"/>
                <w:szCs w:val="20"/>
              </w:rPr>
              <w:t>icenses - Head Office</w:t>
            </w:r>
          </w:p>
        </w:tc>
        <w:tc>
          <w:tcPr>
            <w:tcW w:w="1716" w:type="dxa"/>
            <w:tcBorders>
              <w:top w:val="nil"/>
              <w:left w:val="nil"/>
              <w:bottom w:val="nil"/>
              <w:right w:val="nil"/>
            </w:tcBorders>
            <w:shd w:val="clear" w:color="auto" w:fill="auto"/>
            <w:noWrap/>
            <w:hideMark/>
          </w:tcPr>
          <w:p w14:paraId="3E52580D" w14:textId="1A2DF840" w:rsidR="00AE336B" w:rsidRPr="009E35ED" w:rsidRDefault="00AE336B" w:rsidP="00B90388">
            <w:pPr>
              <w:keepNext/>
              <w:keepLines/>
              <w:ind w:left="0"/>
              <w:jc w:val="right"/>
              <w:rPr>
                <w:rFonts w:ascii="Arial Narrow" w:hAnsi="Arial Narrow" w:cs="Arial"/>
                <w:color w:val="000000" w:themeColor="text1"/>
                <w:sz w:val="20"/>
                <w:szCs w:val="20"/>
                <w:lang w:val="en-PH" w:eastAsia="en-PH"/>
              </w:rPr>
            </w:pPr>
            <w:r w:rsidRPr="009E35ED">
              <w:rPr>
                <w:rFonts w:ascii="Arial Narrow" w:hAnsi="Arial Narrow"/>
                <w:color w:val="000000" w:themeColor="text1"/>
                <w:sz w:val="20"/>
                <w:szCs w:val="20"/>
              </w:rPr>
              <w:t xml:space="preserve"> 192,273,430 </w:t>
            </w:r>
          </w:p>
        </w:tc>
      </w:tr>
      <w:tr w:rsidR="00997F75" w:rsidRPr="009E35ED" w14:paraId="3314217E" w14:textId="77777777" w:rsidTr="00C26DA1">
        <w:trPr>
          <w:trHeight w:val="107"/>
        </w:trPr>
        <w:tc>
          <w:tcPr>
            <w:tcW w:w="7286" w:type="dxa"/>
            <w:tcBorders>
              <w:top w:val="single" w:sz="4" w:space="0" w:color="auto"/>
              <w:left w:val="nil"/>
              <w:bottom w:val="double" w:sz="6" w:space="0" w:color="auto"/>
              <w:right w:val="nil"/>
            </w:tcBorders>
            <w:shd w:val="clear" w:color="auto" w:fill="auto"/>
            <w:hideMark/>
          </w:tcPr>
          <w:p w14:paraId="00B7B907" w14:textId="6741821C" w:rsidR="00AE336B" w:rsidRPr="009E35ED" w:rsidRDefault="00AE336B" w:rsidP="00B90388">
            <w:pPr>
              <w:keepNext/>
              <w:keepLines/>
              <w:ind w:left="0"/>
              <w:jc w:val="left"/>
              <w:rPr>
                <w:rFonts w:ascii="Arial Narrow" w:hAnsi="Arial Narrow" w:cs="Arial"/>
                <w:b/>
                <w:bCs/>
                <w:color w:val="000000" w:themeColor="text1"/>
                <w:sz w:val="20"/>
                <w:szCs w:val="20"/>
                <w:lang w:val="en-PH" w:eastAsia="en-PH"/>
              </w:rPr>
            </w:pPr>
            <w:r w:rsidRPr="009E35ED">
              <w:rPr>
                <w:rFonts w:ascii="Arial Narrow" w:hAnsi="Arial Narrow"/>
                <w:b/>
                <w:bCs/>
                <w:color w:val="000000" w:themeColor="text1"/>
                <w:sz w:val="20"/>
                <w:szCs w:val="20"/>
              </w:rPr>
              <w:t>Restated Amount as of December 31, 2022 - Taxes, Duties and Licenses (Charity Fund)</w:t>
            </w:r>
          </w:p>
        </w:tc>
        <w:tc>
          <w:tcPr>
            <w:tcW w:w="1716" w:type="dxa"/>
            <w:tcBorders>
              <w:top w:val="single" w:sz="4" w:space="0" w:color="auto"/>
              <w:left w:val="nil"/>
              <w:bottom w:val="double" w:sz="6" w:space="0" w:color="auto"/>
              <w:right w:val="nil"/>
            </w:tcBorders>
            <w:shd w:val="clear" w:color="auto" w:fill="auto"/>
            <w:noWrap/>
            <w:hideMark/>
          </w:tcPr>
          <w:p w14:paraId="2341EC54" w14:textId="5DAD15BB" w:rsidR="00AE336B" w:rsidRPr="009E35ED" w:rsidRDefault="00AE336B" w:rsidP="00B90388">
            <w:pPr>
              <w:keepNext/>
              <w:keepLines/>
              <w:ind w:left="0"/>
              <w:jc w:val="right"/>
              <w:rPr>
                <w:rFonts w:ascii="Arial Narrow" w:hAnsi="Arial Narrow" w:cs="Arial"/>
                <w:b/>
                <w:bCs/>
                <w:color w:val="000000" w:themeColor="text1"/>
                <w:sz w:val="20"/>
                <w:szCs w:val="20"/>
                <w:lang w:val="en-PH" w:eastAsia="en-PH"/>
              </w:rPr>
            </w:pPr>
            <w:r w:rsidRPr="009E35ED">
              <w:rPr>
                <w:rFonts w:ascii="Arial Narrow" w:hAnsi="Arial Narrow"/>
                <w:b/>
                <w:bCs/>
                <w:color w:val="000000" w:themeColor="text1"/>
                <w:sz w:val="20"/>
                <w:szCs w:val="20"/>
              </w:rPr>
              <w:t xml:space="preserve"> 200,387,503 </w:t>
            </w:r>
          </w:p>
        </w:tc>
      </w:tr>
      <w:tr w:rsidR="00997F75" w:rsidRPr="009E35ED" w14:paraId="2C394232" w14:textId="77777777" w:rsidTr="00C26DA1">
        <w:trPr>
          <w:trHeight w:val="300"/>
        </w:trPr>
        <w:tc>
          <w:tcPr>
            <w:tcW w:w="7286" w:type="dxa"/>
            <w:tcBorders>
              <w:top w:val="nil"/>
              <w:left w:val="nil"/>
              <w:bottom w:val="nil"/>
              <w:right w:val="nil"/>
            </w:tcBorders>
            <w:shd w:val="clear" w:color="auto" w:fill="auto"/>
            <w:vAlign w:val="bottom"/>
            <w:hideMark/>
          </w:tcPr>
          <w:p w14:paraId="61896A9E" w14:textId="77777777" w:rsidR="00240956" w:rsidRDefault="00240956" w:rsidP="00240956">
            <w:pPr>
              <w:ind w:left="0"/>
              <w:jc w:val="left"/>
              <w:rPr>
                <w:rFonts w:ascii="Arial Narrow" w:hAnsi="Arial Narrow" w:cs="Arial"/>
                <w:b/>
                <w:bCs/>
                <w:color w:val="000000" w:themeColor="text1"/>
                <w:sz w:val="20"/>
                <w:szCs w:val="20"/>
                <w:lang w:val="en-PH" w:eastAsia="en-PH"/>
              </w:rPr>
            </w:pPr>
          </w:p>
          <w:p w14:paraId="2655AEFC" w14:textId="77777777" w:rsidR="00F10767" w:rsidRPr="009E35ED" w:rsidRDefault="00F10767" w:rsidP="00240956">
            <w:pPr>
              <w:ind w:left="0"/>
              <w:jc w:val="left"/>
              <w:rPr>
                <w:rFonts w:ascii="Arial Narrow" w:hAnsi="Arial Narrow" w:cs="Arial"/>
                <w:b/>
                <w:bCs/>
                <w:color w:val="000000" w:themeColor="text1"/>
                <w:sz w:val="20"/>
                <w:szCs w:val="20"/>
                <w:lang w:val="en-PH" w:eastAsia="en-PH"/>
              </w:rPr>
            </w:pPr>
          </w:p>
        </w:tc>
        <w:tc>
          <w:tcPr>
            <w:tcW w:w="1716" w:type="dxa"/>
            <w:tcBorders>
              <w:top w:val="nil"/>
              <w:left w:val="nil"/>
              <w:bottom w:val="nil"/>
              <w:right w:val="nil"/>
            </w:tcBorders>
            <w:shd w:val="clear" w:color="auto" w:fill="auto"/>
            <w:noWrap/>
            <w:vAlign w:val="bottom"/>
            <w:hideMark/>
          </w:tcPr>
          <w:p w14:paraId="4026D153" w14:textId="77777777" w:rsidR="00240956" w:rsidRPr="009E35ED" w:rsidRDefault="00240956" w:rsidP="00240956">
            <w:pPr>
              <w:ind w:left="0"/>
              <w:jc w:val="right"/>
              <w:rPr>
                <w:rFonts w:ascii="Arial Narrow" w:hAnsi="Arial Narrow"/>
                <w:color w:val="000000" w:themeColor="text1"/>
                <w:sz w:val="20"/>
                <w:szCs w:val="20"/>
                <w:lang w:val="en-PH" w:eastAsia="en-PH"/>
              </w:rPr>
            </w:pPr>
          </w:p>
        </w:tc>
      </w:tr>
      <w:tr w:rsidR="00997F75" w:rsidRPr="009E35ED" w14:paraId="05CFC9D3" w14:textId="77777777" w:rsidTr="00C26DA1">
        <w:trPr>
          <w:trHeight w:val="285"/>
        </w:trPr>
        <w:tc>
          <w:tcPr>
            <w:tcW w:w="7286" w:type="dxa"/>
            <w:tcBorders>
              <w:top w:val="nil"/>
              <w:left w:val="nil"/>
              <w:bottom w:val="nil"/>
              <w:right w:val="nil"/>
            </w:tcBorders>
            <w:shd w:val="clear" w:color="auto" w:fill="auto"/>
            <w:hideMark/>
          </w:tcPr>
          <w:p w14:paraId="2BAD3CA6" w14:textId="542789EA" w:rsidR="00F22CD2" w:rsidRPr="009E35ED" w:rsidRDefault="00F22CD2" w:rsidP="00F22CD2">
            <w:pPr>
              <w:ind w:left="0"/>
              <w:jc w:val="left"/>
              <w:rPr>
                <w:rFonts w:ascii="Arial Narrow" w:hAnsi="Arial Narrow" w:cs="Arial"/>
                <w:color w:val="000000" w:themeColor="text1"/>
                <w:sz w:val="20"/>
                <w:szCs w:val="20"/>
                <w:lang w:val="en-PH" w:eastAsia="en-PH"/>
              </w:rPr>
            </w:pPr>
            <w:r w:rsidRPr="009E35ED">
              <w:rPr>
                <w:rFonts w:ascii="Arial Narrow" w:hAnsi="Arial Narrow"/>
                <w:color w:val="000000" w:themeColor="text1"/>
                <w:sz w:val="20"/>
                <w:szCs w:val="20"/>
              </w:rPr>
              <w:t xml:space="preserve">Unrestated </w:t>
            </w:r>
            <w:r w:rsidR="00C6081C">
              <w:rPr>
                <w:rFonts w:ascii="Arial Narrow" w:hAnsi="Arial Narrow"/>
                <w:color w:val="000000" w:themeColor="text1"/>
                <w:sz w:val="20"/>
                <w:szCs w:val="20"/>
              </w:rPr>
              <w:t>a</w:t>
            </w:r>
            <w:r w:rsidRPr="009E35ED">
              <w:rPr>
                <w:rFonts w:ascii="Arial Narrow" w:hAnsi="Arial Narrow"/>
                <w:color w:val="000000" w:themeColor="text1"/>
                <w:sz w:val="20"/>
                <w:szCs w:val="20"/>
              </w:rPr>
              <w:t>mount as of December 31, 2022</w:t>
            </w:r>
          </w:p>
        </w:tc>
        <w:tc>
          <w:tcPr>
            <w:tcW w:w="1716" w:type="dxa"/>
            <w:tcBorders>
              <w:top w:val="nil"/>
              <w:left w:val="nil"/>
              <w:bottom w:val="nil"/>
              <w:right w:val="nil"/>
            </w:tcBorders>
            <w:shd w:val="clear" w:color="auto" w:fill="auto"/>
            <w:noWrap/>
            <w:hideMark/>
          </w:tcPr>
          <w:p w14:paraId="2FFC86E5" w14:textId="51CFADB8" w:rsidR="00F22CD2" w:rsidRPr="009E35ED" w:rsidRDefault="00F22CD2" w:rsidP="00F22CD2">
            <w:pPr>
              <w:ind w:left="0"/>
              <w:jc w:val="right"/>
              <w:rPr>
                <w:rFonts w:ascii="Arial Narrow" w:hAnsi="Arial Narrow" w:cs="Arial"/>
                <w:color w:val="000000" w:themeColor="text1"/>
                <w:sz w:val="20"/>
                <w:szCs w:val="20"/>
                <w:lang w:val="en-PH" w:eastAsia="en-PH"/>
              </w:rPr>
            </w:pPr>
            <w:r w:rsidRPr="009E35ED">
              <w:rPr>
                <w:rFonts w:ascii="Arial Narrow" w:hAnsi="Arial Narrow"/>
                <w:color w:val="000000" w:themeColor="text1"/>
                <w:sz w:val="20"/>
                <w:szCs w:val="20"/>
              </w:rPr>
              <w:t xml:space="preserve"> 293,100 </w:t>
            </w:r>
          </w:p>
        </w:tc>
      </w:tr>
      <w:tr w:rsidR="00997F75" w:rsidRPr="009E35ED" w14:paraId="1372A470" w14:textId="77777777" w:rsidTr="00C26DA1">
        <w:trPr>
          <w:trHeight w:val="285"/>
        </w:trPr>
        <w:tc>
          <w:tcPr>
            <w:tcW w:w="7286" w:type="dxa"/>
            <w:tcBorders>
              <w:top w:val="nil"/>
              <w:left w:val="nil"/>
              <w:bottom w:val="nil"/>
              <w:right w:val="nil"/>
            </w:tcBorders>
            <w:shd w:val="clear" w:color="auto" w:fill="auto"/>
            <w:hideMark/>
          </w:tcPr>
          <w:p w14:paraId="22CBEE66" w14:textId="12334D00" w:rsidR="00F22CD2" w:rsidRPr="009E35ED" w:rsidRDefault="00F22CD2" w:rsidP="00F22CD2">
            <w:pPr>
              <w:ind w:left="0"/>
              <w:jc w:val="left"/>
              <w:rPr>
                <w:rFonts w:ascii="Arial Narrow" w:hAnsi="Arial Narrow" w:cs="Arial"/>
                <w:color w:val="000000" w:themeColor="text1"/>
                <w:sz w:val="20"/>
                <w:szCs w:val="20"/>
                <w:lang w:val="en-PH" w:eastAsia="en-PH"/>
              </w:rPr>
            </w:pPr>
            <w:r w:rsidRPr="009E35ED">
              <w:rPr>
                <w:rFonts w:ascii="Arial Narrow" w:hAnsi="Arial Narrow"/>
                <w:color w:val="000000" w:themeColor="text1"/>
                <w:sz w:val="20"/>
                <w:szCs w:val="20"/>
              </w:rPr>
              <w:t xml:space="preserve">Adjustment/Recording of </w:t>
            </w:r>
            <w:r w:rsidR="00C6081C">
              <w:rPr>
                <w:rFonts w:ascii="Arial Narrow" w:hAnsi="Arial Narrow"/>
                <w:color w:val="000000" w:themeColor="text1"/>
                <w:sz w:val="20"/>
                <w:szCs w:val="20"/>
              </w:rPr>
              <w:t>b</w:t>
            </w:r>
            <w:r w:rsidRPr="009E35ED">
              <w:rPr>
                <w:rFonts w:ascii="Arial Narrow" w:hAnsi="Arial Narrow"/>
                <w:color w:val="000000" w:themeColor="text1"/>
                <w:sz w:val="20"/>
                <w:szCs w:val="20"/>
              </w:rPr>
              <w:t xml:space="preserve">ank </w:t>
            </w:r>
            <w:r w:rsidR="00C6081C">
              <w:rPr>
                <w:rFonts w:ascii="Arial Narrow" w:hAnsi="Arial Narrow"/>
                <w:color w:val="000000" w:themeColor="text1"/>
                <w:sz w:val="20"/>
                <w:szCs w:val="20"/>
              </w:rPr>
              <w:t>c</w:t>
            </w:r>
            <w:r w:rsidRPr="009E35ED">
              <w:rPr>
                <w:rFonts w:ascii="Arial Narrow" w:hAnsi="Arial Narrow"/>
                <w:color w:val="000000" w:themeColor="text1"/>
                <w:sz w:val="20"/>
                <w:szCs w:val="20"/>
              </w:rPr>
              <w:t>harges-Branch</w:t>
            </w:r>
          </w:p>
        </w:tc>
        <w:tc>
          <w:tcPr>
            <w:tcW w:w="1716" w:type="dxa"/>
            <w:tcBorders>
              <w:top w:val="nil"/>
              <w:left w:val="nil"/>
              <w:bottom w:val="nil"/>
              <w:right w:val="nil"/>
            </w:tcBorders>
            <w:shd w:val="clear" w:color="auto" w:fill="auto"/>
            <w:noWrap/>
            <w:hideMark/>
          </w:tcPr>
          <w:p w14:paraId="0485935A" w14:textId="266FA183" w:rsidR="00F22CD2" w:rsidRPr="009E35ED" w:rsidRDefault="00F22CD2" w:rsidP="00F22CD2">
            <w:pPr>
              <w:ind w:left="0"/>
              <w:jc w:val="right"/>
              <w:rPr>
                <w:rFonts w:ascii="Arial Narrow" w:hAnsi="Arial Narrow" w:cs="Arial"/>
                <w:color w:val="000000" w:themeColor="text1"/>
                <w:sz w:val="20"/>
                <w:szCs w:val="20"/>
                <w:lang w:val="en-PH" w:eastAsia="en-PH"/>
              </w:rPr>
            </w:pPr>
            <w:r w:rsidRPr="009E35ED">
              <w:rPr>
                <w:rFonts w:ascii="Arial Narrow" w:hAnsi="Arial Narrow"/>
                <w:color w:val="000000" w:themeColor="text1"/>
                <w:sz w:val="20"/>
                <w:szCs w:val="20"/>
              </w:rPr>
              <w:t xml:space="preserve"> 36,000 </w:t>
            </w:r>
          </w:p>
        </w:tc>
      </w:tr>
      <w:tr w:rsidR="00997F75" w:rsidRPr="009E35ED" w14:paraId="2E8C035A" w14:textId="77777777" w:rsidTr="00C26DA1">
        <w:trPr>
          <w:trHeight w:val="65"/>
        </w:trPr>
        <w:tc>
          <w:tcPr>
            <w:tcW w:w="7286" w:type="dxa"/>
            <w:tcBorders>
              <w:top w:val="single" w:sz="4" w:space="0" w:color="auto"/>
              <w:left w:val="nil"/>
              <w:bottom w:val="double" w:sz="6" w:space="0" w:color="auto"/>
              <w:right w:val="nil"/>
            </w:tcBorders>
            <w:shd w:val="clear" w:color="auto" w:fill="auto"/>
            <w:hideMark/>
          </w:tcPr>
          <w:p w14:paraId="301B0DC4" w14:textId="44E6B65E" w:rsidR="00F22CD2" w:rsidRPr="009E35ED" w:rsidRDefault="00F22CD2" w:rsidP="00F22CD2">
            <w:pPr>
              <w:ind w:left="0"/>
              <w:jc w:val="left"/>
              <w:rPr>
                <w:rFonts w:ascii="Arial Narrow" w:hAnsi="Arial Narrow" w:cs="Arial"/>
                <w:b/>
                <w:bCs/>
                <w:color w:val="000000" w:themeColor="text1"/>
                <w:sz w:val="20"/>
                <w:szCs w:val="20"/>
                <w:lang w:val="en-PH" w:eastAsia="en-PH"/>
              </w:rPr>
            </w:pPr>
            <w:r w:rsidRPr="009E35ED">
              <w:rPr>
                <w:rFonts w:ascii="Arial Narrow" w:hAnsi="Arial Narrow"/>
                <w:b/>
                <w:bCs/>
                <w:color w:val="000000" w:themeColor="text1"/>
                <w:sz w:val="20"/>
                <w:szCs w:val="20"/>
              </w:rPr>
              <w:t>Restated Amount as of December 31, 2022 - Financial Charges (Charity Fund)</w:t>
            </w:r>
          </w:p>
        </w:tc>
        <w:tc>
          <w:tcPr>
            <w:tcW w:w="1716" w:type="dxa"/>
            <w:tcBorders>
              <w:top w:val="single" w:sz="4" w:space="0" w:color="auto"/>
              <w:left w:val="nil"/>
              <w:bottom w:val="double" w:sz="6" w:space="0" w:color="auto"/>
              <w:right w:val="nil"/>
            </w:tcBorders>
            <w:shd w:val="clear" w:color="auto" w:fill="auto"/>
            <w:noWrap/>
            <w:hideMark/>
          </w:tcPr>
          <w:p w14:paraId="18EBF112" w14:textId="78E6AC5D" w:rsidR="00F22CD2" w:rsidRPr="009E35ED" w:rsidRDefault="00F22CD2" w:rsidP="00F22CD2">
            <w:pPr>
              <w:ind w:left="0"/>
              <w:jc w:val="right"/>
              <w:rPr>
                <w:rFonts w:ascii="Arial Narrow" w:hAnsi="Arial Narrow" w:cs="Arial"/>
                <w:b/>
                <w:bCs/>
                <w:color w:val="000000" w:themeColor="text1"/>
                <w:sz w:val="20"/>
                <w:szCs w:val="20"/>
                <w:lang w:val="en-PH" w:eastAsia="en-PH"/>
              </w:rPr>
            </w:pPr>
            <w:r w:rsidRPr="009E35ED">
              <w:rPr>
                <w:rFonts w:ascii="Arial Narrow" w:hAnsi="Arial Narrow"/>
                <w:b/>
                <w:bCs/>
                <w:color w:val="000000" w:themeColor="text1"/>
                <w:sz w:val="20"/>
                <w:szCs w:val="20"/>
              </w:rPr>
              <w:t xml:space="preserve"> 329,100 </w:t>
            </w:r>
          </w:p>
        </w:tc>
      </w:tr>
      <w:tr w:rsidR="00997F75" w:rsidRPr="009E35ED" w14:paraId="600C66E1" w14:textId="77777777" w:rsidTr="00C26DA1">
        <w:trPr>
          <w:trHeight w:val="300"/>
        </w:trPr>
        <w:tc>
          <w:tcPr>
            <w:tcW w:w="7286" w:type="dxa"/>
            <w:tcBorders>
              <w:top w:val="nil"/>
              <w:left w:val="nil"/>
              <w:bottom w:val="nil"/>
              <w:right w:val="nil"/>
            </w:tcBorders>
            <w:shd w:val="clear" w:color="auto" w:fill="auto"/>
            <w:vAlign w:val="bottom"/>
            <w:hideMark/>
          </w:tcPr>
          <w:p w14:paraId="4E68DF7E" w14:textId="03677683" w:rsidR="00EF447D" w:rsidRPr="009E35ED" w:rsidRDefault="00EF447D" w:rsidP="00240956">
            <w:pPr>
              <w:ind w:left="0"/>
              <w:jc w:val="left"/>
              <w:rPr>
                <w:rFonts w:ascii="Arial Narrow" w:hAnsi="Arial Narrow" w:cs="Arial"/>
                <w:b/>
                <w:bCs/>
                <w:color w:val="000000" w:themeColor="text1"/>
                <w:sz w:val="20"/>
                <w:szCs w:val="20"/>
                <w:lang w:val="en-PH" w:eastAsia="en-PH"/>
              </w:rPr>
            </w:pPr>
          </w:p>
          <w:p w14:paraId="4C6955EE" w14:textId="7DC374E8" w:rsidR="00EF447D" w:rsidRPr="009E35ED" w:rsidRDefault="00EF447D" w:rsidP="00240956">
            <w:pPr>
              <w:ind w:left="0"/>
              <w:jc w:val="left"/>
              <w:rPr>
                <w:rFonts w:ascii="Arial Narrow" w:hAnsi="Arial Narrow" w:cs="Arial"/>
                <w:b/>
                <w:bCs/>
                <w:color w:val="000000" w:themeColor="text1"/>
                <w:sz w:val="20"/>
                <w:szCs w:val="20"/>
                <w:lang w:val="en-PH" w:eastAsia="en-PH"/>
              </w:rPr>
            </w:pPr>
          </w:p>
        </w:tc>
        <w:tc>
          <w:tcPr>
            <w:tcW w:w="1716" w:type="dxa"/>
            <w:tcBorders>
              <w:top w:val="nil"/>
              <w:left w:val="nil"/>
              <w:bottom w:val="nil"/>
              <w:right w:val="nil"/>
            </w:tcBorders>
            <w:shd w:val="clear" w:color="auto" w:fill="auto"/>
            <w:noWrap/>
            <w:vAlign w:val="bottom"/>
            <w:hideMark/>
          </w:tcPr>
          <w:p w14:paraId="00127B2F" w14:textId="77777777" w:rsidR="00240956" w:rsidRPr="009E35ED" w:rsidRDefault="00240956" w:rsidP="00240956">
            <w:pPr>
              <w:ind w:left="0"/>
              <w:jc w:val="right"/>
              <w:rPr>
                <w:rFonts w:ascii="Arial Narrow" w:hAnsi="Arial Narrow"/>
                <w:color w:val="000000" w:themeColor="text1"/>
                <w:sz w:val="20"/>
                <w:szCs w:val="20"/>
                <w:lang w:val="en-PH" w:eastAsia="en-PH"/>
              </w:rPr>
            </w:pPr>
          </w:p>
        </w:tc>
      </w:tr>
      <w:tr w:rsidR="00997F75" w:rsidRPr="009E35ED" w14:paraId="2FBBCDC6" w14:textId="77777777" w:rsidTr="00C26DA1">
        <w:trPr>
          <w:trHeight w:val="285"/>
        </w:trPr>
        <w:tc>
          <w:tcPr>
            <w:tcW w:w="7286" w:type="dxa"/>
            <w:tcBorders>
              <w:top w:val="nil"/>
              <w:left w:val="nil"/>
              <w:bottom w:val="nil"/>
              <w:right w:val="nil"/>
            </w:tcBorders>
            <w:shd w:val="clear" w:color="auto" w:fill="auto"/>
            <w:hideMark/>
          </w:tcPr>
          <w:p w14:paraId="56D3B768" w14:textId="551DA834" w:rsidR="001E287E" w:rsidRPr="009E35ED" w:rsidRDefault="001E287E">
            <w:pPr>
              <w:ind w:left="0"/>
              <w:jc w:val="left"/>
              <w:rPr>
                <w:rFonts w:ascii="Arial Narrow" w:hAnsi="Arial Narrow" w:cs="Arial"/>
                <w:color w:val="000000" w:themeColor="text1"/>
                <w:sz w:val="20"/>
                <w:szCs w:val="20"/>
                <w:lang w:val="en-PH" w:eastAsia="en-PH"/>
              </w:rPr>
            </w:pPr>
            <w:r w:rsidRPr="009E35ED">
              <w:rPr>
                <w:rFonts w:ascii="Arial Narrow" w:hAnsi="Arial Narrow"/>
                <w:color w:val="000000" w:themeColor="text1"/>
                <w:sz w:val="20"/>
                <w:szCs w:val="20"/>
              </w:rPr>
              <w:t xml:space="preserve">Unrestated </w:t>
            </w:r>
            <w:r w:rsidR="00C6081C">
              <w:rPr>
                <w:rFonts w:ascii="Arial Narrow" w:hAnsi="Arial Narrow"/>
                <w:color w:val="000000" w:themeColor="text1"/>
                <w:sz w:val="20"/>
                <w:szCs w:val="20"/>
              </w:rPr>
              <w:t>a</w:t>
            </w:r>
            <w:r w:rsidRPr="009E35ED">
              <w:rPr>
                <w:rFonts w:ascii="Arial Narrow" w:hAnsi="Arial Narrow"/>
                <w:color w:val="000000" w:themeColor="text1"/>
                <w:sz w:val="20"/>
                <w:szCs w:val="20"/>
              </w:rPr>
              <w:t>mount as of December 31, 2022</w:t>
            </w:r>
          </w:p>
        </w:tc>
        <w:tc>
          <w:tcPr>
            <w:tcW w:w="1716" w:type="dxa"/>
            <w:tcBorders>
              <w:top w:val="nil"/>
              <w:left w:val="nil"/>
              <w:bottom w:val="nil"/>
              <w:right w:val="nil"/>
            </w:tcBorders>
            <w:shd w:val="clear" w:color="auto" w:fill="auto"/>
            <w:noWrap/>
            <w:hideMark/>
          </w:tcPr>
          <w:p w14:paraId="132FE6F4" w14:textId="2A4CA77A" w:rsidR="001E287E" w:rsidRPr="009E35ED" w:rsidRDefault="001E287E" w:rsidP="001E287E">
            <w:pPr>
              <w:ind w:left="0"/>
              <w:jc w:val="right"/>
              <w:rPr>
                <w:rFonts w:ascii="Arial Narrow" w:hAnsi="Arial Narrow" w:cs="Arial"/>
                <w:color w:val="000000" w:themeColor="text1"/>
                <w:sz w:val="20"/>
                <w:szCs w:val="20"/>
                <w:lang w:val="en-PH" w:eastAsia="en-PH"/>
              </w:rPr>
            </w:pPr>
            <w:r w:rsidRPr="009E35ED">
              <w:rPr>
                <w:rFonts w:ascii="Arial Narrow" w:hAnsi="Arial Narrow"/>
                <w:color w:val="000000" w:themeColor="text1"/>
                <w:sz w:val="20"/>
                <w:szCs w:val="20"/>
              </w:rPr>
              <w:t xml:space="preserve"> 2,314,443,297 </w:t>
            </w:r>
          </w:p>
        </w:tc>
      </w:tr>
      <w:tr w:rsidR="00997F75" w:rsidRPr="009E35ED" w14:paraId="743D8264" w14:textId="77777777" w:rsidTr="00C26DA1">
        <w:trPr>
          <w:trHeight w:val="75"/>
        </w:trPr>
        <w:tc>
          <w:tcPr>
            <w:tcW w:w="7286" w:type="dxa"/>
            <w:tcBorders>
              <w:top w:val="nil"/>
              <w:left w:val="nil"/>
              <w:bottom w:val="nil"/>
              <w:right w:val="nil"/>
            </w:tcBorders>
            <w:shd w:val="clear" w:color="auto" w:fill="auto"/>
          </w:tcPr>
          <w:p w14:paraId="2391B7CC" w14:textId="15CF76E6" w:rsidR="001E287E" w:rsidRPr="009E35ED" w:rsidRDefault="001E287E" w:rsidP="001E287E">
            <w:pPr>
              <w:ind w:left="0"/>
              <w:jc w:val="left"/>
              <w:rPr>
                <w:rFonts w:ascii="Arial Narrow" w:hAnsi="Arial Narrow"/>
                <w:color w:val="000000" w:themeColor="text1"/>
                <w:sz w:val="20"/>
                <w:szCs w:val="20"/>
              </w:rPr>
            </w:pPr>
            <w:r w:rsidRPr="009E35ED">
              <w:rPr>
                <w:rFonts w:ascii="Arial Narrow" w:hAnsi="Arial Narrow"/>
                <w:color w:val="000000" w:themeColor="text1"/>
                <w:sz w:val="20"/>
                <w:szCs w:val="20"/>
              </w:rPr>
              <w:t xml:space="preserve">Adjustment/Recording of </w:t>
            </w:r>
            <w:r w:rsidR="00C6081C">
              <w:rPr>
                <w:rFonts w:ascii="Arial Narrow" w:hAnsi="Arial Narrow"/>
                <w:color w:val="000000" w:themeColor="text1"/>
                <w:sz w:val="20"/>
                <w:szCs w:val="20"/>
              </w:rPr>
              <w:t>e</w:t>
            </w:r>
            <w:r w:rsidRPr="009E35ED">
              <w:rPr>
                <w:rFonts w:ascii="Arial Narrow" w:hAnsi="Arial Narrow"/>
                <w:color w:val="000000" w:themeColor="text1"/>
                <w:sz w:val="20"/>
                <w:szCs w:val="20"/>
              </w:rPr>
              <w:t xml:space="preserve">ndowment </w:t>
            </w:r>
            <w:r w:rsidR="00C6081C">
              <w:rPr>
                <w:rFonts w:ascii="Arial Narrow" w:hAnsi="Arial Narrow"/>
                <w:color w:val="000000" w:themeColor="text1"/>
                <w:sz w:val="20"/>
                <w:szCs w:val="20"/>
              </w:rPr>
              <w:t>f</w:t>
            </w:r>
            <w:r w:rsidRPr="009E35ED">
              <w:rPr>
                <w:rFonts w:ascii="Arial Narrow" w:hAnsi="Arial Narrow"/>
                <w:color w:val="000000" w:themeColor="text1"/>
                <w:sz w:val="20"/>
                <w:szCs w:val="20"/>
              </w:rPr>
              <w:t xml:space="preserve">und-Branch </w:t>
            </w:r>
          </w:p>
        </w:tc>
        <w:tc>
          <w:tcPr>
            <w:tcW w:w="1716" w:type="dxa"/>
            <w:tcBorders>
              <w:top w:val="nil"/>
              <w:left w:val="nil"/>
              <w:bottom w:val="nil"/>
              <w:right w:val="nil"/>
            </w:tcBorders>
            <w:shd w:val="clear" w:color="auto" w:fill="auto"/>
            <w:noWrap/>
          </w:tcPr>
          <w:p w14:paraId="2844D8CA" w14:textId="59C1C13F" w:rsidR="001E287E" w:rsidRPr="009E35ED" w:rsidRDefault="001E287E" w:rsidP="001E287E">
            <w:pPr>
              <w:ind w:left="0"/>
              <w:jc w:val="right"/>
              <w:rPr>
                <w:rFonts w:ascii="Arial Narrow" w:hAnsi="Arial Narrow"/>
                <w:color w:val="000000" w:themeColor="text1"/>
                <w:sz w:val="20"/>
                <w:szCs w:val="20"/>
              </w:rPr>
            </w:pPr>
            <w:r w:rsidRPr="009E35ED">
              <w:rPr>
                <w:rFonts w:ascii="Arial Narrow" w:hAnsi="Arial Narrow"/>
                <w:color w:val="000000" w:themeColor="text1"/>
                <w:sz w:val="20"/>
                <w:szCs w:val="20"/>
              </w:rPr>
              <w:t xml:space="preserve"> (386,418)</w:t>
            </w:r>
          </w:p>
        </w:tc>
      </w:tr>
      <w:tr w:rsidR="00997F75" w:rsidRPr="009E35ED" w14:paraId="74A19F6B" w14:textId="77777777" w:rsidTr="00C26DA1">
        <w:trPr>
          <w:trHeight w:val="75"/>
        </w:trPr>
        <w:tc>
          <w:tcPr>
            <w:tcW w:w="7286" w:type="dxa"/>
            <w:tcBorders>
              <w:top w:val="nil"/>
              <w:left w:val="nil"/>
              <w:bottom w:val="nil"/>
              <w:right w:val="nil"/>
            </w:tcBorders>
            <w:shd w:val="clear" w:color="auto" w:fill="auto"/>
          </w:tcPr>
          <w:p w14:paraId="76C01B54" w14:textId="50634044" w:rsidR="001E287E" w:rsidRPr="009E35ED" w:rsidRDefault="001E287E" w:rsidP="001E287E">
            <w:pPr>
              <w:ind w:left="0"/>
              <w:jc w:val="left"/>
              <w:rPr>
                <w:rFonts w:ascii="Arial Narrow" w:hAnsi="Arial Narrow"/>
                <w:color w:val="000000" w:themeColor="text1"/>
                <w:sz w:val="20"/>
                <w:szCs w:val="20"/>
              </w:rPr>
            </w:pPr>
            <w:r w:rsidRPr="009E35ED">
              <w:rPr>
                <w:rFonts w:ascii="Arial Narrow" w:hAnsi="Arial Narrow"/>
                <w:color w:val="000000" w:themeColor="text1"/>
                <w:sz w:val="20"/>
                <w:szCs w:val="20"/>
              </w:rPr>
              <w:t xml:space="preserve">Adjustment/Recording of </w:t>
            </w:r>
            <w:r w:rsidR="00C6081C">
              <w:rPr>
                <w:rFonts w:ascii="Arial Narrow" w:hAnsi="Arial Narrow"/>
                <w:color w:val="000000" w:themeColor="text1"/>
                <w:sz w:val="20"/>
                <w:szCs w:val="20"/>
              </w:rPr>
              <w:t>e</w:t>
            </w:r>
            <w:r w:rsidRPr="009E35ED">
              <w:rPr>
                <w:rFonts w:ascii="Arial Narrow" w:hAnsi="Arial Narrow"/>
                <w:color w:val="000000" w:themeColor="text1"/>
                <w:sz w:val="20"/>
                <w:szCs w:val="20"/>
              </w:rPr>
              <w:t xml:space="preserve">ndowment </w:t>
            </w:r>
            <w:r w:rsidR="00C6081C">
              <w:rPr>
                <w:rFonts w:ascii="Arial Narrow" w:hAnsi="Arial Narrow"/>
                <w:color w:val="000000" w:themeColor="text1"/>
                <w:sz w:val="20"/>
                <w:szCs w:val="20"/>
              </w:rPr>
              <w:t>f</w:t>
            </w:r>
            <w:r w:rsidRPr="009E35ED">
              <w:rPr>
                <w:rFonts w:ascii="Arial Narrow" w:hAnsi="Arial Narrow"/>
                <w:color w:val="000000" w:themeColor="text1"/>
                <w:sz w:val="20"/>
                <w:szCs w:val="20"/>
              </w:rPr>
              <w:t>und-Head Office</w:t>
            </w:r>
          </w:p>
        </w:tc>
        <w:tc>
          <w:tcPr>
            <w:tcW w:w="1716" w:type="dxa"/>
            <w:tcBorders>
              <w:top w:val="nil"/>
              <w:left w:val="nil"/>
              <w:bottom w:val="nil"/>
              <w:right w:val="nil"/>
            </w:tcBorders>
            <w:shd w:val="clear" w:color="auto" w:fill="auto"/>
            <w:noWrap/>
          </w:tcPr>
          <w:p w14:paraId="42E56006" w14:textId="791F6420" w:rsidR="001E287E" w:rsidRPr="009E35ED" w:rsidRDefault="001E287E" w:rsidP="001E287E">
            <w:pPr>
              <w:ind w:left="0"/>
              <w:jc w:val="right"/>
              <w:rPr>
                <w:rFonts w:ascii="Arial Narrow" w:hAnsi="Arial Narrow"/>
                <w:color w:val="000000" w:themeColor="text1"/>
                <w:sz w:val="20"/>
                <w:szCs w:val="20"/>
              </w:rPr>
            </w:pPr>
            <w:r w:rsidRPr="009E35ED">
              <w:rPr>
                <w:rFonts w:ascii="Arial Narrow" w:hAnsi="Arial Narrow"/>
                <w:color w:val="000000" w:themeColor="text1"/>
                <w:sz w:val="20"/>
                <w:szCs w:val="20"/>
              </w:rPr>
              <w:t xml:space="preserve"> (93,003,592)</w:t>
            </w:r>
          </w:p>
        </w:tc>
      </w:tr>
      <w:tr w:rsidR="00997F75" w:rsidRPr="009E35ED" w14:paraId="681B81E4" w14:textId="77777777" w:rsidTr="00C26DA1">
        <w:trPr>
          <w:trHeight w:val="75"/>
        </w:trPr>
        <w:tc>
          <w:tcPr>
            <w:tcW w:w="7286" w:type="dxa"/>
            <w:tcBorders>
              <w:top w:val="nil"/>
              <w:left w:val="nil"/>
              <w:bottom w:val="nil"/>
              <w:right w:val="nil"/>
            </w:tcBorders>
            <w:shd w:val="clear" w:color="auto" w:fill="auto"/>
          </w:tcPr>
          <w:p w14:paraId="776DB285" w14:textId="34CBC7C8" w:rsidR="001E287E" w:rsidRPr="009E35ED" w:rsidRDefault="001E287E" w:rsidP="001E287E">
            <w:pPr>
              <w:ind w:left="0"/>
              <w:jc w:val="left"/>
              <w:rPr>
                <w:rFonts w:ascii="Arial Narrow" w:hAnsi="Arial Narrow"/>
                <w:color w:val="000000" w:themeColor="text1"/>
                <w:sz w:val="20"/>
                <w:szCs w:val="20"/>
              </w:rPr>
            </w:pPr>
            <w:r w:rsidRPr="009E35ED">
              <w:rPr>
                <w:rFonts w:ascii="Arial Narrow" w:hAnsi="Arial Narrow"/>
                <w:color w:val="000000" w:themeColor="text1"/>
                <w:sz w:val="20"/>
                <w:szCs w:val="20"/>
              </w:rPr>
              <w:t>Adjustment/Recording of MAP-General-Branch</w:t>
            </w:r>
          </w:p>
        </w:tc>
        <w:tc>
          <w:tcPr>
            <w:tcW w:w="1716" w:type="dxa"/>
            <w:tcBorders>
              <w:top w:val="nil"/>
              <w:left w:val="nil"/>
              <w:bottom w:val="nil"/>
              <w:right w:val="nil"/>
            </w:tcBorders>
            <w:shd w:val="clear" w:color="auto" w:fill="auto"/>
            <w:noWrap/>
          </w:tcPr>
          <w:p w14:paraId="466692D3" w14:textId="313B9759" w:rsidR="001E287E" w:rsidRPr="009E35ED" w:rsidRDefault="001E287E" w:rsidP="00EF447D">
            <w:pPr>
              <w:ind w:left="0"/>
              <w:jc w:val="right"/>
              <w:rPr>
                <w:rFonts w:ascii="Arial Narrow" w:hAnsi="Arial Narrow"/>
                <w:color w:val="000000" w:themeColor="text1"/>
                <w:sz w:val="20"/>
                <w:szCs w:val="20"/>
              </w:rPr>
            </w:pPr>
            <w:r w:rsidRPr="009E35ED">
              <w:rPr>
                <w:rFonts w:ascii="Arial Narrow" w:hAnsi="Arial Narrow"/>
                <w:color w:val="000000" w:themeColor="text1"/>
                <w:sz w:val="20"/>
                <w:szCs w:val="20"/>
              </w:rPr>
              <w:t xml:space="preserve"> (</w:t>
            </w:r>
            <w:r w:rsidR="00EF447D" w:rsidRPr="009E35ED">
              <w:rPr>
                <w:rFonts w:ascii="Arial Narrow" w:hAnsi="Arial Narrow"/>
                <w:color w:val="000000" w:themeColor="text1"/>
                <w:sz w:val="20"/>
                <w:szCs w:val="20"/>
              </w:rPr>
              <w:t>33,712,826</w:t>
            </w:r>
            <w:r w:rsidRPr="009E35ED">
              <w:rPr>
                <w:rFonts w:ascii="Arial Narrow" w:hAnsi="Arial Narrow"/>
                <w:color w:val="000000" w:themeColor="text1"/>
                <w:sz w:val="20"/>
                <w:szCs w:val="20"/>
              </w:rPr>
              <w:t>)</w:t>
            </w:r>
          </w:p>
        </w:tc>
      </w:tr>
      <w:tr w:rsidR="00997F75" w:rsidRPr="009E35ED" w14:paraId="49CA21BF" w14:textId="77777777" w:rsidTr="00C26DA1">
        <w:trPr>
          <w:trHeight w:val="75"/>
        </w:trPr>
        <w:tc>
          <w:tcPr>
            <w:tcW w:w="7286" w:type="dxa"/>
            <w:tcBorders>
              <w:top w:val="nil"/>
              <w:left w:val="nil"/>
              <w:bottom w:val="nil"/>
              <w:right w:val="nil"/>
            </w:tcBorders>
            <w:shd w:val="clear" w:color="auto" w:fill="auto"/>
          </w:tcPr>
          <w:p w14:paraId="5A03E59D" w14:textId="08BC02F9" w:rsidR="001E287E" w:rsidRPr="009E35ED" w:rsidRDefault="001E287E" w:rsidP="001E287E">
            <w:pPr>
              <w:ind w:left="0"/>
              <w:jc w:val="left"/>
              <w:rPr>
                <w:rFonts w:ascii="Arial Narrow" w:hAnsi="Arial Narrow"/>
                <w:color w:val="000000" w:themeColor="text1"/>
                <w:sz w:val="20"/>
                <w:szCs w:val="20"/>
              </w:rPr>
            </w:pPr>
            <w:r w:rsidRPr="009E35ED">
              <w:rPr>
                <w:rFonts w:ascii="Arial Narrow" w:hAnsi="Arial Narrow"/>
                <w:color w:val="000000" w:themeColor="text1"/>
                <w:sz w:val="20"/>
                <w:szCs w:val="20"/>
              </w:rPr>
              <w:t>Adjustment/Recording of MAP-General-Head Office</w:t>
            </w:r>
          </w:p>
        </w:tc>
        <w:tc>
          <w:tcPr>
            <w:tcW w:w="1716" w:type="dxa"/>
            <w:tcBorders>
              <w:top w:val="nil"/>
              <w:left w:val="nil"/>
              <w:bottom w:val="nil"/>
              <w:right w:val="nil"/>
            </w:tcBorders>
            <w:shd w:val="clear" w:color="auto" w:fill="auto"/>
            <w:noWrap/>
          </w:tcPr>
          <w:p w14:paraId="628CACB2" w14:textId="77A3754F" w:rsidR="001E287E" w:rsidRPr="009E35ED" w:rsidRDefault="001E287E" w:rsidP="001E287E">
            <w:pPr>
              <w:ind w:left="0"/>
              <w:jc w:val="right"/>
              <w:rPr>
                <w:rFonts w:ascii="Arial Narrow" w:hAnsi="Arial Narrow"/>
                <w:color w:val="000000" w:themeColor="text1"/>
                <w:sz w:val="20"/>
                <w:szCs w:val="20"/>
              </w:rPr>
            </w:pPr>
            <w:r w:rsidRPr="009E35ED">
              <w:rPr>
                <w:rFonts w:ascii="Arial Narrow" w:hAnsi="Arial Narrow"/>
                <w:color w:val="000000" w:themeColor="text1"/>
                <w:sz w:val="20"/>
                <w:szCs w:val="20"/>
              </w:rPr>
              <w:t xml:space="preserve"> (8,100,665)</w:t>
            </w:r>
          </w:p>
        </w:tc>
      </w:tr>
      <w:tr w:rsidR="00997F75" w:rsidRPr="009E35ED" w14:paraId="14B5B4AD" w14:textId="77777777" w:rsidTr="00C26DA1">
        <w:trPr>
          <w:trHeight w:val="75"/>
        </w:trPr>
        <w:tc>
          <w:tcPr>
            <w:tcW w:w="7286" w:type="dxa"/>
            <w:tcBorders>
              <w:top w:val="nil"/>
              <w:left w:val="nil"/>
              <w:bottom w:val="nil"/>
              <w:right w:val="nil"/>
            </w:tcBorders>
            <w:shd w:val="clear" w:color="auto" w:fill="auto"/>
          </w:tcPr>
          <w:p w14:paraId="6A7D8A9B" w14:textId="2FCAD097" w:rsidR="001E287E" w:rsidRPr="009E35ED" w:rsidRDefault="001E287E" w:rsidP="001E287E">
            <w:pPr>
              <w:ind w:left="0"/>
              <w:jc w:val="left"/>
              <w:rPr>
                <w:rFonts w:ascii="Arial Narrow" w:hAnsi="Arial Narrow"/>
                <w:color w:val="000000" w:themeColor="text1"/>
                <w:sz w:val="20"/>
                <w:szCs w:val="20"/>
              </w:rPr>
            </w:pPr>
            <w:r w:rsidRPr="009E35ED">
              <w:rPr>
                <w:rFonts w:ascii="Arial Narrow" w:hAnsi="Arial Narrow"/>
                <w:color w:val="000000" w:themeColor="text1"/>
                <w:sz w:val="20"/>
                <w:szCs w:val="20"/>
              </w:rPr>
              <w:t>Adjustment/Recording of MAP-Malasakit-Branch</w:t>
            </w:r>
          </w:p>
        </w:tc>
        <w:tc>
          <w:tcPr>
            <w:tcW w:w="1716" w:type="dxa"/>
            <w:tcBorders>
              <w:top w:val="nil"/>
              <w:left w:val="nil"/>
              <w:bottom w:val="nil"/>
              <w:right w:val="nil"/>
            </w:tcBorders>
            <w:shd w:val="clear" w:color="auto" w:fill="auto"/>
            <w:noWrap/>
          </w:tcPr>
          <w:p w14:paraId="6D3B3D90" w14:textId="46B55069" w:rsidR="001E287E" w:rsidRPr="009E35ED" w:rsidRDefault="00EF447D" w:rsidP="00EF447D">
            <w:pPr>
              <w:ind w:left="0"/>
              <w:jc w:val="right"/>
              <w:rPr>
                <w:rFonts w:ascii="Arial Narrow" w:hAnsi="Arial Narrow"/>
                <w:color w:val="000000" w:themeColor="text1"/>
                <w:sz w:val="20"/>
                <w:szCs w:val="20"/>
              </w:rPr>
            </w:pPr>
            <w:r w:rsidRPr="009E35ED">
              <w:rPr>
                <w:rFonts w:ascii="Arial Narrow" w:hAnsi="Arial Narrow"/>
                <w:color w:val="000000" w:themeColor="text1"/>
                <w:sz w:val="20"/>
                <w:szCs w:val="20"/>
              </w:rPr>
              <w:t xml:space="preserve"> 3,275,428</w:t>
            </w:r>
          </w:p>
        </w:tc>
      </w:tr>
      <w:tr w:rsidR="00997F75" w:rsidRPr="009E35ED" w14:paraId="06AE8125" w14:textId="77777777" w:rsidTr="00C26DA1">
        <w:trPr>
          <w:trHeight w:val="75"/>
        </w:trPr>
        <w:tc>
          <w:tcPr>
            <w:tcW w:w="7286" w:type="dxa"/>
            <w:tcBorders>
              <w:top w:val="nil"/>
              <w:left w:val="nil"/>
              <w:bottom w:val="nil"/>
              <w:right w:val="nil"/>
            </w:tcBorders>
            <w:shd w:val="clear" w:color="auto" w:fill="auto"/>
          </w:tcPr>
          <w:p w14:paraId="19E111F7" w14:textId="12B10B4C" w:rsidR="001E287E" w:rsidRPr="009E35ED" w:rsidRDefault="001E287E" w:rsidP="001E287E">
            <w:pPr>
              <w:ind w:left="0"/>
              <w:jc w:val="left"/>
              <w:rPr>
                <w:rFonts w:ascii="Arial Narrow" w:hAnsi="Arial Narrow"/>
                <w:color w:val="000000" w:themeColor="text1"/>
                <w:sz w:val="20"/>
                <w:szCs w:val="20"/>
              </w:rPr>
            </w:pPr>
            <w:r w:rsidRPr="009E35ED">
              <w:rPr>
                <w:rFonts w:ascii="Arial Narrow" w:hAnsi="Arial Narrow"/>
                <w:color w:val="000000" w:themeColor="text1"/>
                <w:sz w:val="20"/>
                <w:szCs w:val="20"/>
              </w:rPr>
              <w:t>Adjustment/Recording of MAP-Malasakit-Head Office</w:t>
            </w:r>
          </w:p>
        </w:tc>
        <w:tc>
          <w:tcPr>
            <w:tcW w:w="1716" w:type="dxa"/>
            <w:tcBorders>
              <w:top w:val="nil"/>
              <w:left w:val="nil"/>
              <w:bottom w:val="nil"/>
              <w:right w:val="nil"/>
            </w:tcBorders>
            <w:shd w:val="clear" w:color="auto" w:fill="auto"/>
            <w:noWrap/>
          </w:tcPr>
          <w:p w14:paraId="6A7ADE49" w14:textId="085845C6" w:rsidR="001E287E" w:rsidRPr="009E35ED" w:rsidRDefault="001E287E" w:rsidP="001E287E">
            <w:pPr>
              <w:ind w:left="0"/>
              <w:jc w:val="right"/>
              <w:rPr>
                <w:rFonts w:ascii="Arial Narrow" w:hAnsi="Arial Narrow"/>
                <w:color w:val="000000" w:themeColor="text1"/>
                <w:sz w:val="20"/>
                <w:szCs w:val="20"/>
              </w:rPr>
            </w:pPr>
            <w:r w:rsidRPr="009E35ED">
              <w:rPr>
                <w:rFonts w:ascii="Arial Narrow" w:hAnsi="Arial Narrow"/>
                <w:color w:val="000000" w:themeColor="text1"/>
                <w:sz w:val="20"/>
                <w:szCs w:val="20"/>
              </w:rPr>
              <w:t xml:space="preserve"> (8,513,799)</w:t>
            </w:r>
          </w:p>
        </w:tc>
      </w:tr>
      <w:tr w:rsidR="00997F75" w:rsidRPr="009E35ED" w14:paraId="0DF77AE5" w14:textId="77777777" w:rsidTr="00C26DA1">
        <w:trPr>
          <w:trHeight w:val="75"/>
        </w:trPr>
        <w:tc>
          <w:tcPr>
            <w:tcW w:w="7286" w:type="dxa"/>
            <w:tcBorders>
              <w:top w:val="nil"/>
              <w:left w:val="nil"/>
              <w:bottom w:val="nil"/>
              <w:right w:val="nil"/>
            </w:tcBorders>
            <w:shd w:val="clear" w:color="auto" w:fill="auto"/>
          </w:tcPr>
          <w:p w14:paraId="6F9D2E1F" w14:textId="2D0B1F4E" w:rsidR="001E287E" w:rsidRPr="009E35ED" w:rsidRDefault="001E287E" w:rsidP="001E287E">
            <w:pPr>
              <w:ind w:left="0"/>
              <w:jc w:val="left"/>
              <w:rPr>
                <w:rFonts w:ascii="Arial Narrow" w:hAnsi="Arial Narrow"/>
                <w:color w:val="000000" w:themeColor="text1"/>
                <w:sz w:val="20"/>
                <w:szCs w:val="20"/>
              </w:rPr>
            </w:pPr>
            <w:r w:rsidRPr="009E35ED">
              <w:rPr>
                <w:rFonts w:ascii="Arial Narrow" w:hAnsi="Arial Narrow"/>
                <w:color w:val="000000" w:themeColor="text1"/>
                <w:sz w:val="20"/>
                <w:szCs w:val="20"/>
              </w:rPr>
              <w:t>Adjustment/Recording of MAP-Expanded-Branch</w:t>
            </w:r>
          </w:p>
        </w:tc>
        <w:tc>
          <w:tcPr>
            <w:tcW w:w="1716" w:type="dxa"/>
            <w:tcBorders>
              <w:top w:val="nil"/>
              <w:left w:val="nil"/>
              <w:bottom w:val="nil"/>
              <w:right w:val="nil"/>
            </w:tcBorders>
            <w:shd w:val="clear" w:color="auto" w:fill="auto"/>
            <w:noWrap/>
          </w:tcPr>
          <w:p w14:paraId="7BFF589D" w14:textId="3D7968D7" w:rsidR="001E287E" w:rsidRPr="009E35ED" w:rsidRDefault="001E287E" w:rsidP="001E287E">
            <w:pPr>
              <w:ind w:left="0"/>
              <w:jc w:val="right"/>
              <w:rPr>
                <w:rFonts w:ascii="Arial Narrow" w:hAnsi="Arial Narrow"/>
                <w:color w:val="000000" w:themeColor="text1"/>
                <w:sz w:val="20"/>
                <w:szCs w:val="20"/>
              </w:rPr>
            </w:pPr>
            <w:r w:rsidRPr="009E35ED">
              <w:rPr>
                <w:rFonts w:ascii="Arial Narrow" w:hAnsi="Arial Narrow"/>
                <w:color w:val="000000" w:themeColor="text1"/>
                <w:sz w:val="20"/>
                <w:szCs w:val="20"/>
              </w:rPr>
              <w:t xml:space="preserve"> (975,215)</w:t>
            </w:r>
          </w:p>
        </w:tc>
      </w:tr>
      <w:tr w:rsidR="00997F75" w:rsidRPr="009E35ED" w14:paraId="61AD9DEC" w14:textId="77777777" w:rsidTr="00C26DA1">
        <w:trPr>
          <w:trHeight w:val="75"/>
        </w:trPr>
        <w:tc>
          <w:tcPr>
            <w:tcW w:w="7286" w:type="dxa"/>
            <w:tcBorders>
              <w:top w:val="nil"/>
              <w:left w:val="nil"/>
              <w:bottom w:val="nil"/>
              <w:right w:val="nil"/>
            </w:tcBorders>
            <w:shd w:val="clear" w:color="auto" w:fill="auto"/>
          </w:tcPr>
          <w:p w14:paraId="6A326068" w14:textId="1EBCABC2" w:rsidR="001E287E" w:rsidRPr="009E35ED" w:rsidRDefault="001E287E" w:rsidP="001E287E">
            <w:pPr>
              <w:ind w:left="0"/>
              <w:jc w:val="left"/>
              <w:rPr>
                <w:rFonts w:ascii="Arial Narrow" w:hAnsi="Arial Narrow"/>
                <w:color w:val="000000" w:themeColor="text1"/>
                <w:sz w:val="20"/>
                <w:szCs w:val="20"/>
              </w:rPr>
            </w:pPr>
            <w:r w:rsidRPr="009E35ED">
              <w:rPr>
                <w:rFonts w:ascii="Arial Narrow" w:hAnsi="Arial Narrow"/>
                <w:color w:val="000000" w:themeColor="text1"/>
                <w:sz w:val="20"/>
                <w:szCs w:val="20"/>
              </w:rPr>
              <w:t>Adjustment/Recording of MAP-Expanded-Head Office</w:t>
            </w:r>
          </w:p>
        </w:tc>
        <w:tc>
          <w:tcPr>
            <w:tcW w:w="1716" w:type="dxa"/>
            <w:tcBorders>
              <w:top w:val="nil"/>
              <w:left w:val="nil"/>
              <w:bottom w:val="nil"/>
              <w:right w:val="nil"/>
            </w:tcBorders>
            <w:shd w:val="clear" w:color="auto" w:fill="auto"/>
            <w:noWrap/>
          </w:tcPr>
          <w:p w14:paraId="29A95EFB" w14:textId="75B7C483" w:rsidR="001E287E" w:rsidRPr="009E35ED" w:rsidRDefault="001E287E" w:rsidP="001E287E">
            <w:pPr>
              <w:ind w:left="0"/>
              <w:jc w:val="right"/>
              <w:rPr>
                <w:rFonts w:ascii="Arial Narrow" w:hAnsi="Arial Narrow"/>
                <w:color w:val="000000" w:themeColor="text1"/>
                <w:sz w:val="20"/>
                <w:szCs w:val="20"/>
              </w:rPr>
            </w:pPr>
            <w:r w:rsidRPr="009E35ED">
              <w:rPr>
                <w:rFonts w:ascii="Arial Narrow" w:hAnsi="Arial Narrow"/>
                <w:color w:val="000000" w:themeColor="text1"/>
                <w:sz w:val="20"/>
                <w:szCs w:val="20"/>
              </w:rPr>
              <w:t xml:space="preserve"> 69,709 </w:t>
            </w:r>
          </w:p>
        </w:tc>
      </w:tr>
      <w:tr w:rsidR="00997F75" w:rsidRPr="009E35ED" w14:paraId="586F9A6D" w14:textId="77777777" w:rsidTr="00C26DA1">
        <w:trPr>
          <w:trHeight w:val="75"/>
        </w:trPr>
        <w:tc>
          <w:tcPr>
            <w:tcW w:w="7286" w:type="dxa"/>
            <w:tcBorders>
              <w:top w:val="nil"/>
              <w:left w:val="nil"/>
              <w:bottom w:val="nil"/>
              <w:right w:val="nil"/>
            </w:tcBorders>
            <w:shd w:val="clear" w:color="auto" w:fill="auto"/>
            <w:hideMark/>
          </w:tcPr>
          <w:p w14:paraId="52D1E212" w14:textId="327262F9" w:rsidR="001E287E" w:rsidRPr="009E35ED" w:rsidRDefault="001E287E" w:rsidP="001E287E">
            <w:pPr>
              <w:ind w:left="0"/>
              <w:jc w:val="left"/>
              <w:rPr>
                <w:rFonts w:ascii="Arial Narrow" w:hAnsi="Arial Narrow" w:cs="Arial"/>
                <w:color w:val="000000" w:themeColor="text1"/>
                <w:sz w:val="20"/>
                <w:szCs w:val="20"/>
                <w:lang w:val="en-PH" w:eastAsia="en-PH"/>
              </w:rPr>
            </w:pPr>
            <w:r w:rsidRPr="009E35ED">
              <w:rPr>
                <w:rFonts w:ascii="Arial Narrow" w:hAnsi="Arial Narrow"/>
                <w:color w:val="000000" w:themeColor="text1"/>
                <w:sz w:val="20"/>
                <w:szCs w:val="20"/>
              </w:rPr>
              <w:t>Adjustment/Recording of IMAP-Branch</w:t>
            </w:r>
          </w:p>
        </w:tc>
        <w:tc>
          <w:tcPr>
            <w:tcW w:w="1716" w:type="dxa"/>
            <w:tcBorders>
              <w:top w:val="nil"/>
              <w:left w:val="nil"/>
              <w:bottom w:val="nil"/>
              <w:right w:val="nil"/>
            </w:tcBorders>
            <w:shd w:val="clear" w:color="auto" w:fill="auto"/>
            <w:noWrap/>
            <w:hideMark/>
          </w:tcPr>
          <w:p w14:paraId="58DAAEC5" w14:textId="21FA0927" w:rsidR="001E287E" w:rsidRPr="009E35ED" w:rsidRDefault="001E287E" w:rsidP="001E287E">
            <w:pPr>
              <w:ind w:left="0"/>
              <w:jc w:val="right"/>
              <w:rPr>
                <w:rFonts w:ascii="Arial Narrow" w:hAnsi="Arial Narrow" w:cs="Arial"/>
                <w:color w:val="000000" w:themeColor="text1"/>
                <w:sz w:val="20"/>
                <w:szCs w:val="20"/>
                <w:lang w:val="en-PH" w:eastAsia="en-PH"/>
              </w:rPr>
            </w:pPr>
            <w:r w:rsidRPr="009E35ED">
              <w:rPr>
                <w:rFonts w:ascii="Arial Narrow" w:hAnsi="Arial Narrow"/>
                <w:color w:val="000000" w:themeColor="text1"/>
                <w:sz w:val="20"/>
                <w:szCs w:val="20"/>
              </w:rPr>
              <w:t xml:space="preserve"> (15,766,029)</w:t>
            </w:r>
          </w:p>
        </w:tc>
      </w:tr>
      <w:tr w:rsidR="00997F75" w:rsidRPr="009E35ED" w14:paraId="34930520" w14:textId="77777777" w:rsidTr="00C26DA1">
        <w:trPr>
          <w:trHeight w:val="75"/>
        </w:trPr>
        <w:tc>
          <w:tcPr>
            <w:tcW w:w="7286" w:type="dxa"/>
            <w:tcBorders>
              <w:top w:val="nil"/>
              <w:left w:val="nil"/>
              <w:bottom w:val="nil"/>
              <w:right w:val="nil"/>
            </w:tcBorders>
            <w:shd w:val="clear" w:color="auto" w:fill="auto"/>
          </w:tcPr>
          <w:p w14:paraId="0BB75DC5" w14:textId="0AA55449" w:rsidR="001E287E" w:rsidRPr="009E35ED" w:rsidRDefault="001E287E" w:rsidP="001E287E">
            <w:pPr>
              <w:ind w:left="0"/>
              <w:jc w:val="left"/>
              <w:rPr>
                <w:rFonts w:ascii="Arial Narrow" w:hAnsi="Arial Narrow" w:cs="Arial"/>
                <w:color w:val="000000" w:themeColor="text1"/>
                <w:sz w:val="20"/>
                <w:szCs w:val="20"/>
                <w:lang w:val="en-PH" w:eastAsia="en-PH"/>
              </w:rPr>
            </w:pPr>
            <w:r w:rsidRPr="009E35ED">
              <w:rPr>
                <w:rFonts w:ascii="Arial Narrow" w:hAnsi="Arial Narrow"/>
                <w:color w:val="000000" w:themeColor="text1"/>
                <w:sz w:val="20"/>
                <w:szCs w:val="20"/>
              </w:rPr>
              <w:t xml:space="preserve">Adjustment/Recording of IMAP-ASAP </w:t>
            </w:r>
            <w:r w:rsidR="00C6081C">
              <w:rPr>
                <w:rFonts w:ascii="Arial Narrow" w:hAnsi="Arial Narrow"/>
                <w:color w:val="000000" w:themeColor="text1"/>
                <w:sz w:val="20"/>
                <w:szCs w:val="20"/>
              </w:rPr>
              <w:t>d</w:t>
            </w:r>
            <w:r w:rsidRPr="009E35ED">
              <w:rPr>
                <w:rFonts w:ascii="Arial Narrow" w:hAnsi="Arial Narrow"/>
                <w:color w:val="000000" w:themeColor="text1"/>
                <w:sz w:val="20"/>
                <w:szCs w:val="20"/>
              </w:rPr>
              <w:t>esk-Head Office</w:t>
            </w:r>
          </w:p>
        </w:tc>
        <w:tc>
          <w:tcPr>
            <w:tcW w:w="1716" w:type="dxa"/>
            <w:tcBorders>
              <w:top w:val="nil"/>
              <w:left w:val="nil"/>
              <w:bottom w:val="nil"/>
              <w:right w:val="nil"/>
            </w:tcBorders>
            <w:shd w:val="clear" w:color="auto" w:fill="auto"/>
            <w:noWrap/>
          </w:tcPr>
          <w:p w14:paraId="14950950" w14:textId="33ACFFBD" w:rsidR="001E287E" w:rsidRPr="009E35ED" w:rsidRDefault="001E287E" w:rsidP="001E287E">
            <w:pPr>
              <w:ind w:left="0"/>
              <w:jc w:val="right"/>
              <w:rPr>
                <w:rFonts w:ascii="Arial Narrow" w:hAnsi="Arial Narrow" w:cs="Arial"/>
                <w:color w:val="000000" w:themeColor="text1"/>
                <w:sz w:val="20"/>
                <w:szCs w:val="20"/>
                <w:lang w:val="en-PH" w:eastAsia="en-PH"/>
              </w:rPr>
            </w:pPr>
            <w:r w:rsidRPr="009E35ED">
              <w:rPr>
                <w:rFonts w:ascii="Arial Narrow" w:hAnsi="Arial Narrow"/>
                <w:color w:val="000000" w:themeColor="text1"/>
                <w:sz w:val="20"/>
                <w:szCs w:val="20"/>
              </w:rPr>
              <w:t xml:space="preserve"> (188,000)</w:t>
            </w:r>
          </w:p>
        </w:tc>
      </w:tr>
      <w:tr w:rsidR="00997F75" w:rsidRPr="009E35ED" w14:paraId="7795D05E" w14:textId="77777777" w:rsidTr="00C26DA1">
        <w:trPr>
          <w:trHeight w:val="75"/>
        </w:trPr>
        <w:tc>
          <w:tcPr>
            <w:tcW w:w="7286" w:type="dxa"/>
            <w:tcBorders>
              <w:top w:val="nil"/>
              <w:left w:val="nil"/>
              <w:bottom w:val="nil"/>
              <w:right w:val="nil"/>
            </w:tcBorders>
            <w:shd w:val="clear" w:color="auto" w:fill="auto"/>
          </w:tcPr>
          <w:p w14:paraId="07948219" w14:textId="039F375C" w:rsidR="001E287E" w:rsidRPr="009E35ED" w:rsidRDefault="001E287E" w:rsidP="001E287E">
            <w:pPr>
              <w:ind w:left="0"/>
              <w:jc w:val="left"/>
              <w:rPr>
                <w:rFonts w:ascii="Arial Narrow" w:hAnsi="Arial Narrow" w:cs="Arial"/>
                <w:color w:val="000000" w:themeColor="text1"/>
                <w:sz w:val="20"/>
                <w:szCs w:val="20"/>
                <w:lang w:val="en-PH" w:eastAsia="en-PH"/>
              </w:rPr>
            </w:pPr>
            <w:r w:rsidRPr="009E35ED">
              <w:rPr>
                <w:rFonts w:ascii="Arial Narrow" w:hAnsi="Arial Narrow"/>
                <w:color w:val="000000" w:themeColor="text1"/>
                <w:sz w:val="20"/>
                <w:szCs w:val="20"/>
              </w:rPr>
              <w:t xml:space="preserve">Adjustment/Recording of IMAP-ASAP </w:t>
            </w:r>
            <w:r w:rsidR="00C6081C">
              <w:rPr>
                <w:rFonts w:ascii="Arial Narrow" w:hAnsi="Arial Narrow"/>
                <w:color w:val="000000" w:themeColor="text1"/>
                <w:sz w:val="20"/>
                <w:szCs w:val="20"/>
              </w:rPr>
              <w:t>d</w:t>
            </w:r>
            <w:r w:rsidRPr="009E35ED">
              <w:rPr>
                <w:rFonts w:ascii="Arial Narrow" w:hAnsi="Arial Narrow"/>
                <w:color w:val="000000" w:themeColor="text1"/>
                <w:sz w:val="20"/>
                <w:szCs w:val="20"/>
              </w:rPr>
              <w:t>esk-Branch</w:t>
            </w:r>
          </w:p>
        </w:tc>
        <w:tc>
          <w:tcPr>
            <w:tcW w:w="1716" w:type="dxa"/>
            <w:tcBorders>
              <w:top w:val="nil"/>
              <w:left w:val="nil"/>
              <w:bottom w:val="nil"/>
              <w:right w:val="nil"/>
            </w:tcBorders>
            <w:shd w:val="clear" w:color="auto" w:fill="auto"/>
            <w:noWrap/>
          </w:tcPr>
          <w:p w14:paraId="674FB313" w14:textId="0BE3B228" w:rsidR="001E287E" w:rsidRPr="009E35ED" w:rsidRDefault="0068573E" w:rsidP="001E287E">
            <w:pPr>
              <w:ind w:left="0"/>
              <w:jc w:val="right"/>
              <w:rPr>
                <w:rFonts w:ascii="Arial Narrow" w:hAnsi="Arial Narrow" w:cs="Arial"/>
                <w:color w:val="000000" w:themeColor="text1"/>
                <w:sz w:val="20"/>
                <w:szCs w:val="20"/>
                <w:lang w:val="en-PH" w:eastAsia="en-PH"/>
              </w:rPr>
            </w:pPr>
            <w:r w:rsidRPr="009E35ED">
              <w:rPr>
                <w:rFonts w:ascii="Arial Narrow" w:hAnsi="Arial Narrow"/>
                <w:color w:val="000000" w:themeColor="text1"/>
                <w:sz w:val="20"/>
                <w:szCs w:val="20"/>
              </w:rPr>
              <w:t>(</w:t>
            </w:r>
            <w:r w:rsidR="001E287E" w:rsidRPr="009E35ED">
              <w:rPr>
                <w:rFonts w:ascii="Arial Narrow" w:hAnsi="Arial Narrow"/>
                <w:color w:val="000000" w:themeColor="text1"/>
                <w:sz w:val="20"/>
                <w:szCs w:val="20"/>
              </w:rPr>
              <w:t>95,000</w:t>
            </w:r>
            <w:r w:rsidRPr="009E35ED">
              <w:rPr>
                <w:rFonts w:ascii="Arial Narrow" w:hAnsi="Arial Narrow"/>
                <w:color w:val="000000" w:themeColor="text1"/>
                <w:sz w:val="20"/>
                <w:szCs w:val="20"/>
              </w:rPr>
              <w:t>)</w:t>
            </w:r>
            <w:r w:rsidR="001E287E" w:rsidRPr="009E35ED">
              <w:rPr>
                <w:rFonts w:ascii="Arial Narrow" w:hAnsi="Arial Narrow"/>
                <w:color w:val="000000" w:themeColor="text1"/>
                <w:sz w:val="20"/>
                <w:szCs w:val="20"/>
              </w:rPr>
              <w:t xml:space="preserve"> </w:t>
            </w:r>
          </w:p>
        </w:tc>
      </w:tr>
      <w:tr w:rsidR="00997F75" w:rsidRPr="009E35ED" w14:paraId="1EC56438" w14:textId="77777777" w:rsidTr="00C26DA1">
        <w:trPr>
          <w:trHeight w:val="75"/>
        </w:trPr>
        <w:tc>
          <w:tcPr>
            <w:tcW w:w="7286" w:type="dxa"/>
            <w:tcBorders>
              <w:top w:val="nil"/>
              <w:left w:val="nil"/>
              <w:bottom w:val="nil"/>
              <w:right w:val="nil"/>
            </w:tcBorders>
            <w:shd w:val="clear" w:color="auto" w:fill="auto"/>
            <w:hideMark/>
          </w:tcPr>
          <w:p w14:paraId="4C841FCA" w14:textId="65B26BE4" w:rsidR="001E287E" w:rsidRPr="009E35ED" w:rsidRDefault="001E287E" w:rsidP="001E287E">
            <w:pPr>
              <w:ind w:left="0"/>
              <w:jc w:val="left"/>
              <w:rPr>
                <w:rFonts w:ascii="Arial Narrow" w:hAnsi="Arial Narrow" w:cs="Arial"/>
                <w:color w:val="000000" w:themeColor="text1"/>
                <w:sz w:val="20"/>
                <w:szCs w:val="20"/>
                <w:lang w:val="en-PH" w:eastAsia="en-PH"/>
              </w:rPr>
            </w:pPr>
            <w:r w:rsidRPr="009E35ED">
              <w:rPr>
                <w:rFonts w:ascii="Arial Narrow" w:hAnsi="Arial Narrow"/>
                <w:color w:val="000000" w:themeColor="text1"/>
                <w:sz w:val="20"/>
                <w:szCs w:val="20"/>
              </w:rPr>
              <w:t>Adjustment/Recording of IMAP-Head Office</w:t>
            </w:r>
          </w:p>
        </w:tc>
        <w:tc>
          <w:tcPr>
            <w:tcW w:w="1716" w:type="dxa"/>
            <w:tcBorders>
              <w:top w:val="nil"/>
              <w:left w:val="nil"/>
              <w:bottom w:val="nil"/>
              <w:right w:val="nil"/>
            </w:tcBorders>
            <w:shd w:val="clear" w:color="auto" w:fill="auto"/>
            <w:noWrap/>
            <w:hideMark/>
          </w:tcPr>
          <w:p w14:paraId="03C45A35" w14:textId="71E84B70" w:rsidR="001E287E" w:rsidRPr="009E35ED" w:rsidRDefault="001E287E" w:rsidP="001E287E">
            <w:pPr>
              <w:ind w:left="0"/>
              <w:jc w:val="right"/>
              <w:rPr>
                <w:rFonts w:ascii="Arial Narrow" w:hAnsi="Arial Narrow" w:cs="Arial"/>
                <w:color w:val="000000" w:themeColor="text1"/>
                <w:sz w:val="20"/>
                <w:szCs w:val="20"/>
                <w:lang w:val="en-PH" w:eastAsia="en-PH"/>
              </w:rPr>
            </w:pPr>
            <w:r w:rsidRPr="009E35ED">
              <w:rPr>
                <w:rFonts w:ascii="Arial Narrow" w:hAnsi="Arial Narrow"/>
                <w:color w:val="000000" w:themeColor="text1"/>
                <w:sz w:val="20"/>
                <w:szCs w:val="20"/>
              </w:rPr>
              <w:t xml:space="preserve"> (6,560,823)</w:t>
            </w:r>
          </w:p>
        </w:tc>
      </w:tr>
      <w:tr w:rsidR="00997F75" w:rsidRPr="009E35ED" w14:paraId="2D9369C0" w14:textId="77777777" w:rsidTr="00C26DA1">
        <w:trPr>
          <w:trHeight w:val="65"/>
        </w:trPr>
        <w:tc>
          <w:tcPr>
            <w:tcW w:w="7286" w:type="dxa"/>
            <w:tcBorders>
              <w:top w:val="single" w:sz="4" w:space="0" w:color="auto"/>
              <w:left w:val="nil"/>
              <w:bottom w:val="double" w:sz="6" w:space="0" w:color="auto"/>
              <w:right w:val="nil"/>
            </w:tcBorders>
            <w:shd w:val="clear" w:color="auto" w:fill="auto"/>
            <w:hideMark/>
          </w:tcPr>
          <w:p w14:paraId="15A27E54" w14:textId="6118188D" w:rsidR="001E287E" w:rsidRPr="009E35ED" w:rsidRDefault="001E287E" w:rsidP="001E287E">
            <w:pPr>
              <w:ind w:left="0"/>
              <w:jc w:val="left"/>
              <w:rPr>
                <w:rFonts w:ascii="Arial Narrow" w:hAnsi="Arial Narrow" w:cs="Arial"/>
                <w:b/>
                <w:bCs/>
                <w:color w:val="000000" w:themeColor="text1"/>
                <w:sz w:val="20"/>
                <w:szCs w:val="20"/>
                <w:lang w:val="en-PH" w:eastAsia="en-PH"/>
              </w:rPr>
            </w:pPr>
            <w:r w:rsidRPr="009E35ED">
              <w:rPr>
                <w:rFonts w:ascii="Arial Narrow" w:hAnsi="Arial Narrow"/>
                <w:b/>
                <w:bCs/>
                <w:color w:val="000000" w:themeColor="text1"/>
                <w:sz w:val="20"/>
                <w:szCs w:val="20"/>
              </w:rPr>
              <w:t>Restated Amount as of December 31, 2022 - Individuals (Charity Fund)</w:t>
            </w:r>
          </w:p>
        </w:tc>
        <w:tc>
          <w:tcPr>
            <w:tcW w:w="1716" w:type="dxa"/>
            <w:tcBorders>
              <w:top w:val="single" w:sz="4" w:space="0" w:color="auto"/>
              <w:left w:val="nil"/>
              <w:bottom w:val="double" w:sz="6" w:space="0" w:color="auto"/>
              <w:right w:val="nil"/>
            </w:tcBorders>
            <w:shd w:val="clear" w:color="auto" w:fill="auto"/>
            <w:noWrap/>
            <w:hideMark/>
          </w:tcPr>
          <w:p w14:paraId="15D52905" w14:textId="47E95782" w:rsidR="001E287E" w:rsidRPr="009E35ED" w:rsidRDefault="00A91768" w:rsidP="00EF447D">
            <w:pPr>
              <w:ind w:left="0"/>
              <w:jc w:val="right"/>
              <w:rPr>
                <w:rFonts w:ascii="Arial Narrow" w:hAnsi="Arial Narrow" w:cs="Arial"/>
                <w:b/>
                <w:bCs/>
                <w:color w:val="000000" w:themeColor="text1"/>
                <w:sz w:val="20"/>
                <w:szCs w:val="20"/>
                <w:lang w:val="en-PH" w:eastAsia="en-PH"/>
              </w:rPr>
            </w:pPr>
            <w:r w:rsidRPr="009E35ED">
              <w:rPr>
                <w:rFonts w:ascii="Arial Narrow" w:hAnsi="Arial Narrow"/>
                <w:b/>
                <w:bCs/>
                <w:color w:val="000000" w:themeColor="text1"/>
                <w:sz w:val="20"/>
                <w:szCs w:val="20"/>
              </w:rPr>
              <w:t>2,1</w:t>
            </w:r>
            <w:r w:rsidR="00EF447D" w:rsidRPr="009E35ED">
              <w:rPr>
                <w:rFonts w:ascii="Arial Narrow" w:hAnsi="Arial Narrow"/>
                <w:b/>
                <w:bCs/>
                <w:color w:val="000000" w:themeColor="text1"/>
                <w:sz w:val="20"/>
                <w:szCs w:val="20"/>
              </w:rPr>
              <w:t>50,486,067</w:t>
            </w:r>
          </w:p>
        </w:tc>
      </w:tr>
      <w:tr w:rsidR="00997F75" w:rsidRPr="009E35ED" w14:paraId="214E8C50" w14:textId="77777777" w:rsidTr="00C26DA1">
        <w:trPr>
          <w:trHeight w:val="300"/>
        </w:trPr>
        <w:tc>
          <w:tcPr>
            <w:tcW w:w="7286" w:type="dxa"/>
            <w:tcBorders>
              <w:top w:val="nil"/>
              <w:left w:val="nil"/>
              <w:bottom w:val="nil"/>
              <w:right w:val="nil"/>
            </w:tcBorders>
            <w:shd w:val="clear" w:color="auto" w:fill="auto"/>
            <w:vAlign w:val="bottom"/>
            <w:hideMark/>
          </w:tcPr>
          <w:p w14:paraId="0B4CC8CA" w14:textId="05FE0BE0" w:rsidR="00AA29C9" w:rsidRPr="009E35ED" w:rsidRDefault="00AA29C9" w:rsidP="00240956">
            <w:pPr>
              <w:ind w:left="0"/>
              <w:jc w:val="left"/>
              <w:rPr>
                <w:rFonts w:ascii="Arial Narrow" w:hAnsi="Arial Narrow" w:cs="Arial"/>
                <w:b/>
                <w:bCs/>
                <w:color w:val="000000" w:themeColor="text1"/>
                <w:sz w:val="20"/>
                <w:szCs w:val="20"/>
                <w:lang w:val="en-PH" w:eastAsia="en-PH"/>
              </w:rPr>
            </w:pPr>
          </w:p>
        </w:tc>
        <w:tc>
          <w:tcPr>
            <w:tcW w:w="1716" w:type="dxa"/>
            <w:tcBorders>
              <w:top w:val="nil"/>
              <w:left w:val="nil"/>
              <w:bottom w:val="nil"/>
              <w:right w:val="nil"/>
            </w:tcBorders>
            <w:shd w:val="clear" w:color="auto" w:fill="auto"/>
            <w:noWrap/>
            <w:vAlign w:val="bottom"/>
            <w:hideMark/>
          </w:tcPr>
          <w:p w14:paraId="1BBF9F4A" w14:textId="77777777" w:rsidR="00240956" w:rsidRPr="009E35ED" w:rsidRDefault="00240956" w:rsidP="00240956">
            <w:pPr>
              <w:ind w:left="0"/>
              <w:jc w:val="right"/>
              <w:rPr>
                <w:rFonts w:ascii="Arial Narrow" w:hAnsi="Arial Narrow"/>
                <w:color w:val="000000" w:themeColor="text1"/>
                <w:sz w:val="20"/>
                <w:szCs w:val="20"/>
                <w:lang w:val="en-PH" w:eastAsia="en-PH"/>
              </w:rPr>
            </w:pPr>
          </w:p>
        </w:tc>
      </w:tr>
      <w:tr w:rsidR="00997F75" w:rsidRPr="009E35ED" w14:paraId="7FCD7B8E" w14:textId="77777777" w:rsidTr="00C26DA1">
        <w:trPr>
          <w:trHeight w:val="285"/>
        </w:trPr>
        <w:tc>
          <w:tcPr>
            <w:tcW w:w="7286" w:type="dxa"/>
            <w:tcBorders>
              <w:top w:val="nil"/>
              <w:left w:val="nil"/>
              <w:bottom w:val="nil"/>
              <w:right w:val="nil"/>
            </w:tcBorders>
            <w:shd w:val="clear" w:color="auto" w:fill="auto"/>
            <w:hideMark/>
          </w:tcPr>
          <w:p w14:paraId="5D6995E7" w14:textId="0E1B78CD" w:rsidR="00903919" w:rsidRPr="009E35ED" w:rsidRDefault="00903919" w:rsidP="00903919">
            <w:pPr>
              <w:ind w:left="0"/>
              <w:jc w:val="left"/>
              <w:rPr>
                <w:rFonts w:ascii="Arial Narrow" w:hAnsi="Arial Narrow" w:cs="Arial"/>
                <w:color w:val="000000" w:themeColor="text1"/>
                <w:sz w:val="20"/>
                <w:szCs w:val="20"/>
                <w:lang w:val="en-PH" w:eastAsia="en-PH"/>
              </w:rPr>
            </w:pPr>
            <w:r w:rsidRPr="009E35ED">
              <w:rPr>
                <w:rFonts w:ascii="Arial Narrow" w:hAnsi="Arial Narrow"/>
                <w:color w:val="000000" w:themeColor="text1"/>
                <w:sz w:val="20"/>
                <w:szCs w:val="20"/>
              </w:rPr>
              <w:t xml:space="preserve">Unrestated </w:t>
            </w:r>
            <w:r w:rsidR="00C6081C">
              <w:rPr>
                <w:rFonts w:ascii="Arial Narrow" w:hAnsi="Arial Narrow"/>
                <w:color w:val="000000" w:themeColor="text1"/>
                <w:sz w:val="20"/>
                <w:szCs w:val="20"/>
              </w:rPr>
              <w:t>a</w:t>
            </w:r>
            <w:r w:rsidRPr="009E35ED">
              <w:rPr>
                <w:rFonts w:ascii="Arial Narrow" w:hAnsi="Arial Narrow"/>
                <w:color w:val="000000" w:themeColor="text1"/>
                <w:sz w:val="20"/>
                <w:szCs w:val="20"/>
              </w:rPr>
              <w:t>mount as of December 31, 2022</w:t>
            </w:r>
          </w:p>
        </w:tc>
        <w:tc>
          <w:tcPr>
            <w:tcW w:w="1716" w:type="dxa"/>
            <w:tcBorders>
              <w:top w:val="nil"/>
              <w:left w:val="nil"/>
              <w:bottom w:val="nil"/>
              <w:right w:val="nil"/>
            </w:tcBorders>
            <w:shd w:val="clear" w:color="auto" w:fill="auto"/>
            <w:noWrap/>
            <w:hideMark/>
          </w:tcPr>
          <w:p w14:paraId="36A8ABA4" w14:textId="5D643E25" w:rsidR="00903919" w:rsidRPr="009E35ED" w:rsidRDefault="00903919" w:rsidP="00903919">
            <w:pPr>
              <w:ind w:left="0"/>
              <w:jc w:val="right"/>
              <w:rPr>
                <w:rFonts w:ascii="Arial Narrow" w:hAnsi="Arial Narrow" w:cs="Arial"/>
                <w:color w:val="000000" w:themeColor="text1"/>
                <w:sz w:val="20"/>
                <w:szCs w:val="20"/>
                <w:lang w:val="en-PH" w:eastAsia="en-PH"/>
              </w:rPr>
            </w:pPr>
            <w:r w:rsidRPr="009E35ED">
              <w:rPr>
                <w:rFonts w:ascii="Arial Narrow" w:hAnsi="Arial Narrow"/>
                <w:color w:val="000000" w:themeColor="text1"/>
                <w:sz w:val="20"/>
                <w:szCs w:val="20"/>
              </w:rPr>
              <w:t xml:space="preserve"> 2,109,254,977 </w:t>
            </w:r>
          </w:p>
        </w:tc>
      </w:tr>
      <w:tr w:rsidR="00997F75" w:rsidRPr="009E35ED" w14:paraId="04486D78" w14:textId="77777777" w:rsidTr="00C26DA1">
        <w:trPr>
          <w:trHeight w:val="75"/>
        </w:trPr>
        <w:tc>
          <w:tcPr>
            <w:tcW w:w="7286" w:type="dxa"/>
            <w:tcBorders>
              <w:top w:val="nil"/>
              <w:left w:val="nil"/>
              <w:bottom w:val="nil"/>
              <w:right w:val="nil"/>
            </w:tcBorders>
            <w:shd w:val="clear" w:color="auto" w:fill="auto"/>
          </w:tcPr>
          <w:p w14:paraId="55505F84" w14:textId="4ED17526" w:rsidR="00903919" w:rsidRPr="009E35ED" w:rsidRDefault="00903919" w:rsidP="00903919">
            <w:pPr>
              <w:ind w:left="0"/>
              <w:jc w:val="left"/>
              <w:rPr>
                <w:rFonts w:ascii="Arial Narrow" w:hAnsi="Arial Narrow"/>
                <w:color w:val="000000" w:themeColor="text1"/>
                <w:sz w:val="20"/>
                <w:szCs w:val="20"/>
              </w:rPr>
            </w:pPr>
            <w:r w:rsidRPr="009E35ED">
              <w:rPr>
                <w:rFonts w:ascii="Arial Narrow" w:hAnsi="Arial Narrow"/>
                <w:color w:val="000000" w:themeColor="text1"/>
                <w:sz w:val="20"/>
                <w:szCs w:val="20"/>
              </w:rPr>
              <w:t xml:space="preserve">Adjustment/Recording of </w:t>
            </w:r>
            <w:r w:rsidR="00C6081C">
              <w:rPr>
                <w:rFonts w:ascii="Arial Narrow" w:hAnsi="Arial Narrow"/>
                <w:color w:val="000000" w:themeColor="text1"/>
                <w:sz w:val="20"/>
                <w:szCs w:val="20"/>
              </w:rPr>
              <w:t>c</w:t>
            </w:r>
            <w:r w:rsidRPr="009E35ED">
              <w:rPr>
                <w:rFonts w:ascii="Arial Narrow" w:hAnsi="Arial Narrow"/>
                <w:color w:val="000000" w:themeColor="text1"/>
                <w:sz w:val="20"/>
                <w:szCs w:val="20"/>
              </w:rPr>
              <w:t xml:space="preserve">ongressional </w:t>
            </w:r>
            <w:r w:rsidR="00C6081C">
              <w:rPr>
                <w:rFonts w:ascii="Arial Narrow" w:hAnsi="Arial Narrow"/>
                <w:color w:val="000000" w:themeColor="text1"/>
                <w:sz w:val="20"/>
                <w:szCs w:val="20"/>
              </w:rPr>
              <w:t>s</w:t>
            </w:r>
            <w:r w:rsidRPr="009E35ED">
              <w:rPr>
                <w:rFonts w:ascii="Arial Narrow" w:hAnsi="Arial Narrow"/>
                <w:color w:val="000000" w:themeColor="text1"/>
                <w:sz w:val="20"/>
                <w:szCs w:val="20"/>
              </w:rPr>
              <w:t>hare-Branches</w:t>
            </w:r>
          </w:p>
        </w:tc>
        <w:tc>
          <w:tcPr>
            <w:tcW w:w="1716" w:type="dxa"/>
            <w:tcBorders>
              <w:top w:val="nil"/>
              <w:left w:val="nil"/>
              <w:bottom w:val="nil"/>
              <w:right w:val="nil"/>
            </w:tcBorders>
            <w:shd w:val="clear" w:color="auto" w:fill="auto"/>
            <w:noWrap/>
          </w:tcPr>
          <w:p w14:paraId="076D39A0" w14:textId="69B0F6D2" w:rsidR="00903919" w:rsidRPr="009E35ED" w:rsidRDefault="00903919" w:rsidP="00903919">
            <w:pPr>
              <w:ind w:left="0"/>
              <w:jc w:val="right"/>
              <w:rPr>
                <w:rFonts w:ascii="Arial Narrow" w:hAnsi="Arial Narrow"/>
                <w:color w:val="000000" w:themeColor="text1"/>
                <w:sz w:val="20"/>
                <w:szCs w:val="20"/>
              </w:rPr>
            </w:pPr>
            <w:r w:rsidRPr="009E35ED">
              <w:rPr>
                <w:rFonts w:ascii="Arial Narrow" w:hAnsi="Arial Narrow"/>
                <w:color w:val="000000" w:themeColor="text1"/>
                <w:sz w:val="20"/>
                <w:szCs w:val="20"/>
              </w:rPr>
              <w:t xml:space="preserve"> (3,759,288)</w:t>
            </w:r>
          </w:p>
        </w:tc>
      </w:tr>
      <w:tr w:rsidR="00997F75" w:rsidRPr="009E35ED" w14:paraId="4505F3F0" w14:textId="77777777" w:rsidTr="00C26DA1">
        <w:trPr>
          <w:trHeight w:val="75"/>
        </w:trPr>
        <w:tc>
          <w:tcPr>
            <w:tcW w:w="7286" w:type="dxa"/>
            <w:tcBorders>
              <w:top w:val="nil"/>
              <w:left w:val="nil"/>
              <w:bottom w:val="nil"/>
              <w:right w:val="nil"/>
            </w:tcBorders>
            <w:shd w:val="clear" w:color="auto" w:fill="auto"/>
            <w:hideMark/>
          </w:tcPr>
          <w:p w14:paraId="0909F3A5" w14:textId="18BF7E0F" w:rsidR="00903919" w:rsidRPr="009E35ED" w:rsidRDefault="00903919" w:rsidP="00903919">
            <w:pPr>
              <w:ind w:left="0"/>
              <w:jc w:val="left"/>
              <w:rPr>
                <w:rFonts w:ascii="Arial Narrow" w:hAnsi="Arial Narrow" w:cs="Arial"/>
                <w:color w:val="000000" w:themeColor="text1"/>
                <w:sz w:val="20"/>
                <w:szCs w:val="20"/>
                <w:lang w:val="en-PH" w:eastAsia="en-PH"/>
              </w:rPr>
            </w:pPr>
            <w:r w:rsidRPr="009E35ED">
              <w:rPr>
                <w:rFonts w:ascii="Arial Narrow" w:hAnsi="Arial Narrow"/>
                <w:color w:val="000000" w:themeColor="text1"/>
                <w:sz w:val="20"/>
                <w:szCs w:val="20"/>
              </w:rPr>
              <w:t>Adjustment/Recording of Commission on Higher Education</w:t>
            </w:r>
          </w:p>
        </w:tc>
        <w:tc>
          <w:tcPr>
            <w:tcW w:w="1716" w:type="dxa"/>
            <w:tcBorders>
              <w:top w:val="nil"/>
              <w:left w:val="nil"/>
              <w:bottom w:val="nil"/>
              <w:right w:val="nil"/>
            </w:tcBorders>
            <w:shd w:val="clear" w:color="auto" w:fill="auto"/>
            <w:noWrap/>
            <w:hideMark/>
          </w:tcPr>
          <w:p w14:paraId="5DD4BA8F" w14:textId="3BF79BDD" w:rsidR="00903919" w:rsidRPr="009E35ED" w:rsidRDefault="00903919" w:rsidP="00903919">
            <w:pPr>
              <w:ind w:left="0"/>
              <w:jc w:val="right"/>
              <w:rPr>
                <w:rFonts w:ascii="Arial Narrow" w:hAnsi="Arial Narrow" w:cs="Arial"/>
                <w:color w:val="000000" w:themeColor="text1"/>
                <w:sz w:val="20"/>
                <w:szCs w:val="20"/>
                <w:lang w:val="en-PH" w:eastAsia="en-PH"/>
              </w:rPr>
            </w:pPr>
            <w:r w:rsidRPr="009E35ED">
              <w:rPr>
                <w:rFonts w:ascii="Arial Narrow" w:hAnsi="Arial Narrow"/>
                <w:color w:val="000000" w:themeColor="text1"/>
                <w:sz w:val="20"/>
                <w:szCs w:val="20"/>
              </w:rPr>
              <w:t xml:space="preserve"> 50,000,000 </w:t>
            </w:r>
          </w:p>
        </w:tc>
      </w:tr>
      <w:tr w:rsidR="00997F75" w:rsidRPr="009E35ED" w14:paraId="139562F5" w14:textId="77777777" w:rsidTr="00C26DA1">
        <w:trPr>
          <w:trHeight w:val="65"/>
        </w:trPr>
        <w:tc>
          <w:tcPr>
            <w:tcW w:w="7286" w:type="dxa"/>
            <w:tcBorders>
              <w:top w:val="single" w:sz="4" w:space="0" w:color="auto"/>
              <w:left w:val="nil"/>
              <w:bottom w:val="double" w:sz="6" w:space="0" w:color="auto"/>
              <w:right w:val="nil"/>
            </w:tcBorders>
            <w:shd w:val="clear" w:color="auto" w:fill="auto"/>
            <w:hideMark/>
          </w:tcPr>
          <w:p w14:paraId="6C40FE64" w14:textId="596727EA" w:rsidR="00903919" w:rsidRPr="009E35ED" w:rsidRDefault="00903919" w:rsidP="00903919">
            <w:pPr>
              <w:ind w:left="0"/>
              <w:jc w:val="left"/>
              <w:rPr>
                <w:rFonts w:ascii="Arial Narrow" w:hAnsi="Arial Narrow" w:cs="Arial"/>
                <w:b/>
                <w:bCs/>
                <w:color w:val="000000" w:themeColor="text1"/>
                <w:sz w:val="20"/>
                <w:szCs w:val="20"/>
                <w:lang w:val="en-PH" w:eastAsia="en-PH"/>
              </w:rPr>
            </w:pPr>
            <w:r w:rsidRPr="009E35ED">
              <w:rPr>
                <w:rFonts w:ascii="Arial Narrow" w:hAnsi="Arial Narrow"/>
                <w:b/>
                <w:bCs/>
                <w:color w:val="000000" w:themeColor="text1"/>
                <w:sz w:val="20"/>
                <w:szCs w:val="20"/>
              </w:rPr>
              <w:t>Restated Amount as of December 31, 2022 - National Government Agencies (Charity Fund)</w:t>
            </w:r>
          </w:p>
        </w:tc>
        <w:tc>
          <w:tcPr>
            <w:tcW w:w="1716" w:type="dxa"/>
            <w:tcBorders>
              <w:top w:val="single" w:sz="4" w:space="0" w:color="auto"/>
              <w:left w:val="nil"/>
              <w:bottom w:val="double" w:sz="6" w:space="0" w:color="auto"/>
              <w:right w:val="nil"/>
            </w:tcBorders>
            <w:shd w:val="clear" w:color="auto" w:fill="auto"/>
            <w:noWrap/>
            <w:hideMark/>
          </w:tcPr>
          <w:p w14:paraId="146C235D" w14:textId="74620D13" w:rsidR="00903919" w:rsidRPr="009E35ED" w:rsidRDefault="00903919" w:rsidP="00EF447D">
            <w:pPr>
              <w:ind w:left="0"/>
              <w:jc w:val="right"/>
              <w:rPr>
                <w:rFonts w:ascii="Arial Narrow" w:hAnsi="Arial Narrow" w:cs="Arial"/>
                <w:b/>
                <w:bCs/>
                <w:color w:val="000000" w:themeColor="text1"/>
                <w:sz w:val="20"/>
                <w:szCs w:val="20"/>
                <w:lang w:val="en-PH" w:eastAsia="en-PH"/>
              </w:rPr>
            </w:pPr>
            <w:r w:rsidRPr="009E35ED">
              <w:rPr>
                <w:rFonts w:ascii="Arial Narrow" w:hAnsi="Arial Narrow"/>
                <w:b/>
                <w:bCs/>
                <w:color w:val="000000" w:themeColor="text1"/>
                <w:sz w:val="20"/>
                <w:szCs w:val="20"/>
              </w:rPr>
              <w:t xml:space="preserve">2,155,495,689 </w:t>
            </w:r>
          </w:p>
        </w:tc>
      </w:tr>
      <w:tr w:rsidR="00997F75" w:rsidRPr="009E35ED" w14:paraId="6E69AE6D" w14:textId="77777777" w:rsidTr="00C26DA1">
        <w:trPr>
          <w:trHeight w:val="300"/>
        </w:trPr>
        <w:tc>
          <w:tcPr>
            <w:tcW w:w="7286" w:type="dxa"/>
            <w:tcBorders>
              <w:top w:val="nil"/>
              <w:left w:val="nil"/>
              <w:bottom w:val="nil"/>
              <w:right w:val="nil"/>
            </w:tcBorders>
            <w:shd w:val="clear" w:color="auto" w:fill="auto"/>
            <w:vAlign w:val="bottom"/>
            <w:hideMark/>
          </w:tcPr>
          <w:p w14:paraId="6501FF02" w14:textId="77777777" w:rsidR="00240956" w:rsidRPr="009E35ED" w:rsidRDefault="00240956" w:rsidP="00240956">
            <w:pPr>
              <w:ind w:left="0"/>
              <w:jc w:val="left"/>
              <w:rPr>
                <w:rFonts w:ascii="Arial Narrow" w:hAnsi="Arial Narrow" w:cs="Arial"/>
                <w:b/>
                <w:bCs/>
                <w:color w:val="000000" w:themeColor="text1"/>
                <w:sz w:val="20"/>
                <w:szCs w:val="20"/>
                <w:lang w:val="en-PH" w:eastAsia="en-PH"/>
              </w:rPr>
            </w:pPr>
          </w:p>
        </w:tc>
        <w:tc>
          <w:tcPr>
            <w:tcW w:w="1716" w:type="dxa"/>
            <w:tcBorders>
              <w:top w:val="nil"/>
              <w:left w:val="nil"/>
              <w:bottom w:val="nil"/>
              <w:right w:val="nil"/>
            </w:tcBorders>
            <w:shd w:val="clear" w:color="auto" w:fill="auto"/>
            <w:noWrap/>
            <w:vAlign w:val="bottom"/>
            <w:hideMark/>
          </w:tcPr>
          <w:p w14:paraId="18A0DDCD" w14:textId="77777777" w:rsidR="00240956" w:rsidRPr="009E35ED" w:rsidRDefault="00240956" w:rsidP="00240956">
            <w:pPr>
              <w:ind w:left="0"/>
              <w:jc w:val="right"/>
              <w:rPr>
                <w:rFonts w:ascii="Arial Narrow" w:hAnsi="Arial Narrow"/>
                <w:color w:val="000000" w:themeColor="text1"/>
                <w:sz w:val="20"/>
                <w:szCs w:val="20"/>
                <w:lang w:val="en-PH" w:eastAsia="en-PH"/>
              </w:rPr>
            </w:pPr>
          </w:p>
        </w:tc>
      </w:tr>
      <w:tr w:rsidR="00997F75" w:rsidRPr="009E35ED" w14:paraId="7CF83A93" w14:textId="77777777" w:rsidTr="00C26DA1">
        <w:trPr>
          <w:trHeight w:val="285"/>
        </w:trPr>
        <w:tc>
          <w:tcPr>
            <w:tcW w:w="7286" w:type="dxa"/>
            <w:tcBorders>
              <w:top w:val="nil"/>
              <w:left w:val="nil"/>
              <w:bottom w:val="nil"/>
              <w:right w:val="nil"/>
            </w:tcBorders>
            <w:shd w:val="clear" w:color="auto" w:fill="auto"/>
            <w:hideMark/>
          </w:tcPr>
          <w:p w14:paraId="05A29CCA" w14:textId="23D977D7" w:rsidR="00E8604B" w:rsidRPr="009E35ED" w:rsidRDefault="00E8604B" w:rsidP="0066510B">
            <w:pPr>
              <w:ind w:left="0"/>
              <w:jc w:val="left"/>
              <w:rPr>
                <w:rFonts w:ascii="Arial Narrow" w:hAnsi="Arial Narrow"/>
                <w:color w:val="000000" w:themeColor="text1"/>
                <w:sz w:val="20"/>
                <w:szCs w:val="20"/>
              </w:rPr>
            </w:pPr>
          </w:p>
          <w:p w14:paraId="67558B33" w14:textId="54880586" w:rsidR="0066510B" w:rsidRPr="009E35ED" w:rsidRDefault="0066510B" w:rsidP="0066510B">
            <w:pPr>
              <w:ind w:left="0"/>
              <w:jc w:val="left"/>
              <w:rPr>
                <w:rFonts w:ascii="Arial Narrow" w:hAnsi="Arial Narrow" w:cs="Arial"/>
                <w:color w:val="000000" w:themeColor="text1"/>
                <w:sz w:val="20"/>
                <w:szCs w:val="20"/>
                <w:lang w:val="en-PH" w:eastAsia="en-PH"/>
              </w:rPr>
            </w:pPr>
            <w:r w:rsidRPr="009E35ED">
              <w:rPr>
                <w:rFonts w:ascii="Arial Narrow" w:hAnsi="Arial Narrow"/>
                <w:color w:val="000000" w:themeColor="text1"/>
                <w:sz w:val="20"/>
                <w:szCs w:val="20"/>
              </w:rPr>
              <w:t xml:space="preserve">Unrestated </w:t>
            </w:r>
            <w:r w:rsidR="00C6081C">
              <w:rPr>
                <w:rFonts w:ascii="Arial Narrow" w:hAnsi="Arial Narrow"/>
                <w:color w:val="000000" w:themeColor="text1"/>
                <w:sz w:val="20"/>
                <w:szCs w:val="20"/>
              </w:rPr>
              <w:t>a</w:t>
            </w:r>
            <w:r w:rsidRPr="009E35ED">
              <w:rPr>
                <w:rFonts w:ascii="Arial Narrow" w:hAnsi="Arial Narrow"/>
                <w:color w:val="000000" w:themeColor="text1"/>
                <w:sz w:val="20"/>
                <w:szCs w:val="20"/>
              </w:rPr>
              <w:t>mount as of December 31, 2022</w:t>
            </w:r>
          </w:p>
        </w:tc>
        <w:tc>
          <w:tcPr>
            <w:tcW w:w="1716" w:type="dxa"/>
            <w:tcBorders>
              <w:top w:val="nil"/>
              <w:left w:val="nil"/>
              <w:bottom w:val="nil"/>
              <w:right w:val="nil"/>
            </w:tcBorders>
            <w:shd w:val="clear" w:color="auto" w:fill="auto"/>
            <w:noWrap/>
            <w:hideMark/>
          </w:tcPr>
          <w:p w14:paraId="57CA0A41" w14:textId="51889E87" w:rsidR="0066510B" w:rsidRPr="009E35ED" w:rsidRDefault="0066510B" w:rsidP="0066510B">
            <w:pPr>
              <w:ind w:left="0"/>
              <w:jc w:val="right"/>
              <w:rPr>
                <w:rFonts w:ascii="Arial Narrow" w:hAnsi="Arial Narrow" w:cs="Arial"/>
                <w:color w:val="000000" w:themeColor="text1"/>
                <w:sz w:val="20"/>
                <w:szCs w:val="20"/>
                <w:lang w:val="en-PH" w:eastAsia="en-PH"/>
              </w:rPr>
            </w:pPr>
            <w:r w:rsidRPr="009E35ED">
              <w:rPr>
                <w:rFonts w:ascii="Arial Narrow" w:hAnsi="Arial Narrow"/>
                <w:color w:val="000000" w:themeColor="text1"/>
                <w:sz w:val="20"/>
                <w:szCs w:val="20"/>
              </w:rPr>
              <w:t xml:space="preserve"> 1,095,504,735 </w:t>
            </w:r>
          </w:p>
        </w:tc>
      </w:tr>
      <w:tr w:rsidR="00997F75" w:rsidRPr="009E35ED" w14:paraId="4980C771" w14:textId="77777777" w:rsidTr="00C26DA1">
        <w:trPr>
          <w:trHeight w:val="75"/>
        </w:trPr>
        <w:tc>
          <w:tcPr>
            <w:tcW w:w="7286" w:type="dxa"/>
            <w:tcBorders>
              <w:top w:val="nil"/>
              <w:left w:val="nil"/>
              <w:bottom w:val="nil"/>
              <w:right w:val="nil"/>
            </w:tcBorders>
            <w:shd w:val="clear" w:color="auto" w:fill="auto"/>
            <w:hideMark/>
          </w:tcPr>
          <w:p w14:paraId="2A3B144E" w14:textId="49ED23D0" w:rsidR="0066510B" w:rsidRPr="009E35ED" w:rsidRDefault="0066510B" w:rsidP="0066510B">
            <w:pPr>
              <w:ind w:left="0"/>
              <w:jc w:val="left"/>
              <w:rPr>
                <w:rFonts w:ascii="Arial Narrow" w:hAnsi="Arial Narrow" w:cs="Arial"/>
                <w:color w:val="000000" w:themeColor="text1"/>
                <w:sz w:val="20"/>
                <w:szCs w:val="20"/>
                <w:lang w:val="en-PH" w:eastAsia="en-PH"/>
              </w:rPr>
            </w:pPr>
            <w:r w:rsidRPr="009E35ED">
              <w:rPr>
                <w:rFonts w:ascii="Arial Narrow" w:hAnsi="Arial Narrow"/>
                <w:color w:val="000000" w:themeColor="text1"/>
                <w:sz w:val="20"/>
                <w:szCs w:val="20"/>
              </w:rPr>
              <w:t xml:space="preserve">Adjustment/Recording of </w:t>
            </w:r>
            <w:r w:rsidR="00C6081C">
              <w:rPr>
                <w:rFonts w:ascii="Arial Narrow" w:hAnsi="Arial Narrow"/>
                <w:color w:val="000000" w:themeColor="text1"/>
                <w:sz w:val="20"/>
                <w:szCs w:val="20"/>
              </w:rPr>
              <w:t>s</w:t>
            </w:r>
            <w:r w:rsidRPr="009E35ED">
              <w:rPr>
                <w:rFonts w:ascii="Arial Narrow" w:hAnsi="Arial Narrow"/>
                <w:color w:val="000000" w:themeColor="text1"/>
                <w:sz w:val="20"/>
                <w:szCs w:val="20"/>
              </w:rPr>
              <w:t xml:space="preserve">hare </w:t>
            </w:r>
            <w:r w:rsidR="00C6081C">
              <w:rPr>
                <w:rFonts w:ascii="Arial Narrow" w:hAnsi="Arial Narrow"/>
                <w:color w:val="000000" w:themeColor="text1"/>
                <w:sz w:val="20"/>
                <w:szCs w:val="20"/>
              </w:rPr>
              <w:t>o</w:t>
            </w:r>
            <w:r w:rsidRPr="009E35ED">
              <w:rPr>
                <w:rFonts w:ascii="Arial Narrow" w:hAnsi="Arial Narrow"/>
                <w:color w:val="000000" w:themeColor="text1"/>
                <w:sz w:val="20"/>
                <w:szCs w:val="20"/>
              </w:rPr>
              <w:t xml:space="preserve">f LGU - Lotto on </w:t>
            </w:r>
            <w:r w:rsidR="00C6081C">
              <w:rPr>
                <w:rFonts w:ascii="Arial Narrow" w:hAnsi="Arial Narrow"/>
                <w:color w:val="000000" w:themeColor="text1"/>
                <w:sz w:val="20"/>
                <w:szCs w:val="20"/>
              </w:rPr>
              <w:t>c</w:t>
            </w:r>
            <w:r w:rsidRPr="009E35ED">
              <w:rPr>
                <w:rFonts w:ascii="Arial Narrow" w:hAnsi="Arial Narrow"/>
                <w:color w:val="000000" w:themeColor="text1"/>
                <w:sz w:val="20"/>
                <w:szCs w:val="20"/>
              </w:rPr>
              <w:t xml:space="preserve">harity </w:t>
            </w:r>
            <w:r w:rsidR="00C6081C">
              <w:rPr>
                <w:rFonts w:ascii="Arial Narrow" w:hAnsi="Arial Narrow"/>
                <w:color w:val="000000" w:themeColor="text1"/>
                <w:sz w:val="20"/>
                <w:szCs w:val="20"/>
              </w:rPr>
              <w:t>f</w:t>
            </w:r>
            <w:r w:rsidRPr="009E35ED">
              <w:rPr>
                <w:rFonts w:ascii="Arial Narrow" w:hAnsi="Arial Narrow"/>
                <w:color w:val="000000" w:themeColor="text1"/>
                <w:sz w:val="20"/>
                <w:szCs w:val="20"/>
              </w:rPr>
              <w:t>und-Head Office</w:t>
            </w:r>
          </w:p>
        </w:tc>
        <w:tc>
          <w:tcPr>
            <w:tcW w:w="1716" w:type="dxa"/>
            <w:tcBorders>
              <w:top w:val="nil"/>
              <w:left w:val="nil"/>
              <w:bottom w:val="nil"/>
              <w:right w:val="nil"/>
            </w:tcBorders>
            <w:shd w:val="clear" w:color="auto" w:fill="auto"/>
            <w:noWrap/>
            <w:hideMark/>
          </w:tcPr>
          <w:p w14:paraId="3786CD5A" w14:textId="21AD866E" w:rsidR="0066510B" w:rsidRPr="009E35ED" w:rsidRDefault="0066510B" w:rsidP="0066510B">
            <w:pPr>
              <w:ind w:left="0"/>
              <w:jc w:val="right"/>
              <w:rPr>
                <w:rFonts w:ascii="Arial Narrow" w:hAnsi="Arial Narrow" w:cs="Arial"/>
                <w:color w:val="000000" w:themeColor="text1"/>
                <w:sz w:val="20"/>
                <w:szCs w:val="20"/>
                <w:lang w:val="en-PH" w:eastAsia="en-PH"/>
              </w:rPr>
            </w:pPr>
            <w:r w:rsidRPr="009E35ED">
              <w:rPr>
                <w:rFonts w:ascii="Arial Narrow" w:hAnsi="Arial Narrow"/>
                <w:color w:val="000000" w:themeColor="text1"/>
                <w:sz w:val="20"/>
                <w:szCs w:val="20"/>
              </w:rPr>
              <w:t xml:space="preserve"> (67,446)</w:t>
            </w:r>
          </w:p>
        </w:tc>
      </w:tr>
      <w:tr w:rsidR="00997F75" w:rsidRPr="009E35ED" w14:paraId="7D8D7B73" w14:textId="77777777" w:rsidTr="00C26DA1">
        <w:trPr>
          <w:trHeight w:val="75"/>
        </w:trPr>
        <w:tc>
          <w:tcPr>
            <w:tcW w:w="7286" w:type="dxa"/>
            <w:tcBorders>
              <w:top w:val="nil"/>
              <w:left w:val="nil"/>
              <w:bottom w:val="nil"/>
              <w:right w:val="nil"/>
            </w:tcBorders>
            <w:shd w:val="clear" w:color="auto" w:fill="auto"/>
            <w:hideMark/>
          </w:tcPr>
          <w:p w14:paraId="6C701A68" w14:textId="767294C3" w:rsidR="0066510B" w:rsidRPr="009E35ED" w:rsidRDefault="0066510B" w:rsidP="0066510B">
            <w:pPr>
              <w:ind w:left="0"/>
              <w:jc w:val="left"/>
              <w:rPr>
                <w:rFonts w:ascii="Arial Narrow" w:hAnsi="Arial Narrow" w:cs="Arial"/>
                <w:color w:val="000000" w:themeColor="text1"/>
                <w:sz w:val="20"/>
                <w:szCs w:val="20"/>
                <w:lang w:val="en-PH" w:eastAsia="en-PH"/>
              </w:rPr>
            </w:pPr>
            <w:r w:rsidRPr="009E35ED">
              <w:rPr>
                <w:rFonts w:ascii="Arial Narrow" w:hAnsi="Arial Narrow"/>
                <w:color w:val="000000" w:themeColor="text1"/>
                <w:sz w:val="20"/>
                <w:szCs w:val="20"/>
              </w:rPr>
              <w:t xml:space="preserve">Adjustment/Recording of </w:t>
            </w:r>
            <w:r w:rsidR="00C6081C">
              <w:rPr>
                <w:rFonts w:ascii="Arial Narrow" w:hAnsi="Arial Narrow"/>
                <w:color w:val="000000" w:themeColor="text1"/>
                <w:sz w:val="20"/>
                <w:szCs w:val="20"/>
              </w:rPr>
              <w:t>s</w:t>
            </w:r>
            <w:r w:rsidRPr="009E35ED">
              <w:rPr>
                <w:rFonts w:ascii="Arial Narrow" w:hAnsi="Arial Narrow"/>
                <w:color w:val="000000" w:themeColor="text1"/>
                <w:sz w:val="20"/>
                <w:szCs w:val="20"/>
              </w:rPr>
              <w:t xml:space="preserve">hare </w:t>
            </w:r>
            <w:r w:rsidR="00C6081C">
              <w:rPr>
                <w:rFonts w:ascii="Arial Narrow" w:hAnsi="Arial Narrow"/>
                <w:color w:val="000000" w:themeColor="text1"/>
                <w:sz w:val="20"/>
                <w:szCs w:val="20"/>
              </w:rPr>
              <w:t>o</w:t>
            </w:r>
            <w:r w:rsidRPr="009E35ED">
              <w:rPr>
                <w:rFonts w:ascii="Arial Narrow" w:hAnsi="Arial Narrow"/>
                <w:color w:val="000000" w:themeColor="text1"/>
                <w:sz w:val="20"/>
                <w:szCs w:val="20"/>
              </w:rPr>
              <w:t xml:space="preserve">f LGU - </w:t>
            </w:r>
            <w:r w:rsidR="00C6081C">
              <w:rPr>
                <w:rFonts w:ascii="Arial Narrow" w:hAnsi="Arial Narrow"/>
                <w:color w:val="000000" w:themeColor="text1"/>
                <w:sz w:val="20"/>
                <w:szCs w:val="20"/>
              </w:rPr>
              <w:t>L</w:t>
            </w:r>
            <w:r w:rsidRPr="009E35ED">
              <w:rPr>
                <w:rFonts w:ascii="Arial Narrow" w:hAnsi="Arial Narrow"/>
                <w:color w:val="000000" w:themeColor="text1"/>
                <w:sz w:val="20"/>
                <w:szCs w:val="20"/>
              </w:rPr>
              <w:t xml:space="preserve">otto on </w:t>
            </w:r>
            <w:r w:rsidR="00C6081C">
              <w:rPr>
                <w:rFonts w:ascii="Arial Narrow" w:hAnsi="Arial Narrow"/>
                <w:color w:val="000000" w:themeColor="text1"/>
                <w:sz w:val="20"/>
                <w:szCs w:val="20"/>
              </w:rPr>
              <w:t>c</w:t>
            </w:r>
            <w:r w:rsidRPr="009E35ED">
              <w:rPr>
                <w:rFonts w:ascii="Arial Narrow" w:hAnsi="Arial Narrow"/>
                <w:color w:val="000000" w:themeColor="text1"/>
                <w:sz w:val="20"/>
                <w:szCs w:val="20"/>
              </w:rPr>
              <w:t xml:space="preserve">harity </w:t>
            </w:r>
            <w:r w:rsidR="00C6081C">
              <w:rPr>
                <w:rFonts w:ascii="Arial Narrow" w:hAnsi="Arial Narrow"/>
                <w:color w:val="000000" w:themeColor="text1"/>
                <w:sz w:val="20"/>
                <w:szCs w:val="20"/>
              </w:rPr>
              <w:t>f</w:t>
            </w:r>
            <w:r w:rsidRPr="009E35ED">
              <w:rPr>
                <w:rFonts w:ascii="Arial Narrow" w:hAnsi="Arial Narrow"/>
                <w:color w:val="000000" w:themeColor="text1"/>
                <w:sz w:val="20"/>
                <w:szCs w:val="20"/>
              </w:rPr>
              <w:t>und-Branch</w:t>
            </w:r>
          </w:p>
        </w:tc>
        <w:tc>
          <w:tcPr>
            <w:tcW w:w="1716" w:type="dxa"/>
            <w:tcBorders>
              <w:top w:val="nil"/>
              <w:left w:val="nil"/>
              <w:bottom w:val="nil"/>
              <w:right w:val="nil"/>
            </w:tcBorders>
            <w:shd w:val="clear" w:color="auto" w:fill="auto"/>
            <w:noWrap/>
            <w:hideMark/>
          </w:tcPr>
          <w:p w14:paraId="23B1F840" w14:textId="55C8F637" w:rsidR="0066510B" w:rsidRPr="009E35ED" w:rsidRDefault="0066510B" w:rsidP="0066510B">
            <w:pPr>
              <w:ind w:left="0"/>
              <w:jc w:val="right"/>
              <w:rPr>
                <w:rFonts w:ascii="Arial Narrow" w:hAnsi="Arial Narrow" w:cs="Arial"/>
                <w:color w:val="000000" w:themeColor="text1"/>
                <w:sz w:val="20"/>
                <w:szCs w:val="20"/>
                <w:lang w:val="en-PH" w:eastAsia="en-PH"/>
              </w:rPr>
            </w:pPr>
            <w:r w:rsidRPr="009E35ED">
              <w:rPr>
                <w:rFonts w:ascii="Arial Narrow" w:hAnsi="Arial Narrow"/>
                <w:color w:val="000000" w:themeColor="text1"/>
                <w:sz w:val="20"/>
                <w:szCs w:val="20"/>
              </w:rPr>
              <w:t xml:space="preserve"> (124,454)</w:t>
            </w:r>
          </w:p>
        </w:tc>
      </w:tr>
      <w:tr w:rsidR="00997F75" w:rsidRPr="009E35ED" w14:paraId="16BEDC26" w14:textId="77777777" w:rsidTr="00C26DA1">
        <w:trPr>
          <w:trHeight w:val="75"/>
        </w:trPr>
        <w:tc>
          <w:tcPr>
            <w:tcW w:w="7286" w:type="dxa"/>
            <w:tcBorders>
              <w:top w:val="nil"/>
              <w:left w:val="nil"/>
              <w:bottom w:val="nil"/>
              <w:right w:val="nil"/>
            </w:tcBorders>
            <w:shd w:val="clear" w:color="auto" w:fill="auto"/>
            <w:hideMark/>
          </w:tcPr>
          <w:p w14:paraId="37C5E091" w14:textId="2654E605" w:rsidR="0066510B" w:rsidRPr="009E35ED" w:rsidRDefault="0066510B" w:rsidP="0066510B">
            <w:pPr>
              <w:ind w:left="0"/>
              <w:jc w:val="left"/>
              <w:rPr>
                <w:rFonts w:ascii="Arial Narrow" w:hAnsi="Arial Narrow" w:cs="Arial"/>
                <w:color w:val="000000" w:themeColor="text1"/>
                <w:sz w:val="20"/>
                <w:szCs w:val="20"/>
                <w:lang w:val="en-PH" w:eastAsia="en-PH"/>
              </w:rPr>
            </w:pPr>
            <w:r w:rsidRPr="009E35ED">
              <w:rPr>
                <w:rFonts w:ascii="Arial Narrow" w:hAnsi="Arial Narrow"/>
                <w:color w:val="000000" w:themeColor="text1"/>
                <w:sz w:val="20"/>
                <w:szCs w:val="20"/>
              </w:rPr>
              <w:t xml:space="preserve">Adjustment/Recording of </w:t>
            </w:r>
            <w:r w:rsidR="00C6081C">
              <w:rPr>
                <w:rFonts w:ascii="Arial Narrow" w:hAnsi="Arial Narrow"/>
                <w:color w:val="000000" w:themeColor="text1"/>
                <w:sz w:val="20"/>
                <w:szCs w:val="20"/>
              </w:rPr>
              <w:t>s</w:t>
            </w:r>
            <w:r w:rsidRPr="009E35ED">
              <w:rPr>
                <w:rFonts w:ascii="Arial Narrow" w:hAnsi="Arial Narrow"/>
                <w:color w:val="000000" w:themeColor="text1"/>
                <w:sz w:val="20"/>
                <w:szCs w:val="20"/>
              </w:rPr>
              <w:t xml:space="preserve">hare </w:t>
            </w:r>
            <w:r w:rsidR="00C6081C">
              <w:rPr>
                <w:rFonts w:ascii="Arial Narrow" w:hAnsi="Arial Narrow"/>
                <w:color w:val="000000" w:themeColor="text1"/>
                <w:sz w:val="20"/>
                <w:szCs w:val="20"/>
              </w:rPr>
              <w:t>o</w:t>
            </w:r>
            <w:r w:rsidRPr="009E35ED">
              <w:rPr>
                <w:rFonts w:ascii="Arial Narrow" w:hAnsi="Arial Narrow"/>
                <w:color w:val="000000" w:themeColor="text1"/>
                <w:sz w:val="20"/>
                <w:szCs w:val="20"/>
              </w:rPr>
              <w:t xml:space="preserve">f </w:t>
            </w:r>
            <w:r w:rsidR="00C6081C">
              <w:rPr>
                <w:rFonts w:ascii="Arial Narrow" w:hAnsi="Arial Narrow"/>
                <w:color w:val="000000" w:themeColor="text1"/>
                <w:sz w:val="20"/>
                <w:szCs w:val="20"/>
              </w:rPr>
              <w:t>m</w:t>
            </w:r>
            <w:r w:rsidRPr="009E35ED">
              <w:rPr>
                <w:rFonts w:ascii="Arial Narrow" w:hAnsi="Arial Narrow"/>
                <w:color w:val="000000" w:themeColor="text1"/>
                <w:sz w:val="20"/>
                <w:szCs w:val="20"/>
              </w:rPr>
              <w:t xml:space="preserve">unicipality on </w:t>
            </w:r>
            <w:r w:rsidR="00C6081C">
              <w:rPr>
                <w:rFonts w:ascii="Arial Narrow" w:hAnsi="Arial Narrow"/>
                <w:color w:val="000000" w:themeColor="text1"/>
                <w:sz w:val="20"/>
                <w:szCs w:val="20"/>
              </w:rPr>
              <w:t>c</w:t>
            </w:r>
            <w:r w:rsidRPr="009E35ED">
              <w:rPr>
                <w:rFonts w:ascii="Arial Narrow" w:hAnsi="Arial Narrow"/>
                <w:color w:val="000000" w:themeColor="text1"/>
                <w:sz w:val="20"/>
                <w:szCs w:val="20"/>
              </w:rPr>
              <w:t xml:space="preserve">harity </w:t>
            </w:r>
            <w:r w:rsidR="00C6081C">
              <w:rPr>
                <w:rFonts w:ascii="Arial Narrow" w:hAnsi="Arial Narrow"/>
                <w:color w:val="000000" w:themeColor="text1"/>
                <w:sz w:val="20"/>
                <w:szCs w:val="20"/>
              </w:rPr>
              <w:t>f</w:t>
            </w:r>
            <w:r w:rsidRPr="009E35ED">
              <w:rPr>
                <w:rFonts w:ascii="Arial Narrow" w:hAnsi="Arial Narrow"/>
                <w:color w:val="000000" w:themeColor="text1"/>
                <w:sz w:val="20"/>
                <w:szCs w:val="20"/>
              </w:rPr>
              <w:t>und-Branch</w:t>
            </w:r>
          </w:p>
        </w:tc>
        <w:tc>
          <w:tcPr>
            <w:tcW w:w="1716" w:type="dxa"/>
            <w:tcBorders>
              <w:top w:val="nil"/>
              <w:left w:val="nil"/>
              <w:bottom w:val="nil"/>
              <w:right w:val="nil"/>
            </w:tcBorders>
            <w:shd w:val="clear" w:color="auto" w:fill="auto"/>
            <w:noWrap/>
            <w:hideMark/>
          </w:tcPr>
          <w:p w14:paraId="3D44E2D5" w14:textId="577CC5DA" w:rsidR="0066510B" w:rsidRPr="009E35ED" w:rsidRDefault="0066510B" w:rsidP="0066510B">
            <w:pPr>
              <w:ind w:left="0"/>
              <w:jc w:val="right"/>
              <w:rPr>
                <w:rFonts w:ascii="Arial Narrow" w:hAnsi="Arial Narrow" w:cs="Arial"/>
                <w:color w:val="000000" w:themeColor="text1"/>
                <w:sz w:val="20"/>
                <w:szCs w:val="20"/>
                <w:lang w:val="en-PH" w:eastAsia="en-PH"/>
              </w:rPr>
            </w:pPr>
            <w:r w:rsidRPr="009E35ED">
              <w:rPr>
                <w:rFonts w:ascii="Arial Narrow" w:hAnsi="Arial Narrow"/>
                <w:color w:val="000000" w:themeColor="text1"/>
                <w:sz w:val="20"/>
                <w:szCs w:val="20"/>
              </w:rPr>
              <w:t xml:space="preserve"> (737,092)</w:t>
            </w:r>
          </w:p>
        </w:tc>
      </w:tr>
      <w:tr w:rsidR="00997F75" w:rsidRPr="009E35ED" w14:paraId="7A3A7F61" w14:textId="77777777" w:rsidTr="00C26DA1">
        <w:trPr>
          <w:trHeight w:val="65"/>
        </w:trPr>
        <w:tc>
          <w:tcPr>
            <w:tcW w:w="7286" w:type="dxa"/>
            <w:tcBorders>
              <w:top w:val="single" w:sz="4" w:space="0" w:color="auto"/>
              <w:left w:val="nil"/>
              <w:bottom w:val="double" w:sz="6" w:space="0" w:color="auto"/>
              <w:right w:val="nil"/>
            </w:tcBorders>
            <w:shd w:val="clear" w:color="auto" w:fill="auto"/>
            <w:hideMark/>
          </w:tcPr>
          <w:p w14:paraId="33105E52" w14:textId="066DAA23" w:rsidR="0066510B" w:rsidRPr="009E35ED" w:rsidRDefault="0066510B" w:rsidP="0066510B">
            <w:pPr>
              <w:ind w:left="0"/>
              <w:jc w:val="left"/>
              <w:rPr>
                <w:rFonts w:ascii="Arial Narrow" w:hAnsi="Arial Narrow" w:cs="Arial"/>
                <w:b/>
                <w:bCs/>
                <w:color w:val="000000" w:themeColor="text1"/>
                <w:sz w:val="20"/>
                <w:szCs w:val="20"/>
                <w:lang w:val="en-PH" w:eastAsia="en-PH"/>
              </w:rPr>
            </w:pPr>
            <w:r w:rsidRPr="009E35ED">
              <w:rPr>
                <w:rFonts w:ascii="Arial Narrow" w:hAnsi="Arial Narrow"/>
                <w:b/>
                <w:bCs/>
                <w:color w:val="000000" w:themeColor="text1"/>
                <w:sz w:val="20"/>
                <w:szCs w:val="20"/>
              </w:rPr>
              <w:t>Restated Amount as of December 31, 2022 - Local Govenrment Units (Charity Fund)</w:t>
            </w:r>
          </w:p>
        </w:tc>
        <w:tc>
          <w:tcPr>
            <w:tcW w:w="1716" w:type="dxa"/>
            <w:tcBorders>
              <w:top w:val="single" w:sz="4" w:space="0" w:color="auto"/>
              <w:left w:val="nil"/>
              <w:bottom w:val="double" w:sz="6" w:space="0" w:color="auto"/>
              <w:right w:val="nil"/>
            </w:tcBorders>
            <w:shd w:val="clear" w:color="auto" w:fill="auto"/>
            <w:noWrap/>
            <w:hideMark/>
          </w:tcPr>
          <w:p w14:paraId="15FF3254" w14:textId="22090FC1" w:rsidR="0066510B" w:rsidRPr="009E35ED" w:rsidRDefault="0066510B">
            <w:pPr>
              <w:ind w:left="0"/>
              <w:jc w:val="right"/>
              <w:rPr>
                <w:rFonts w:ascii="Arial Narrow" w:hAnsi="Arial Narrow" w:cs="Arial"/>
                <w:b/>
                <w:bCs/>
                <w:color w:val="000000" w:themeColor="text1"/>
                <w:sz w:val="20"/>
                <w:szCs w:val="20"/>
                <w:lang w:val="en-PH" w:eastAsia="en-PH"/>
              </w:rPr>
            </w:pPr>
            <w:r w:rsidRPr="009E35ED">
              <w:rPr>
                <w:rFonts w:ascii="Arial Narrow" w:hAnsi="Arial Narrow"/>
                <w:b/>
                <w:bCs/>
                <w:color w:val="000000" w:themeColor="text1"/>
                <w:sz w:val="20"/>
                <w:szCs w:val="20"/>
              </w:rPr>
              <w:t xml:space="preserve"> 1,094,575,743 </w:t>
            </w:r>
          </w:p>
        </w:tc>
      </w:tr>
      <w:tr w:rsidR="00997F75" w:rsidRPr="009E35ED" w14:paraId="5B9F4E1F" w14:textId="77777777" w:rsidTr="00C26DA1">
        <w:trPr>
          <w:trHeight w:val="300"/>
        </w:trPr>
        <w:tc>
          <w:tcPr>
            <w:tcW w:w="7286" w:type="dxa"/>
            <w:tcBorders>
              <w:top w:val="nil"/>
              <w:left w:val="nil"/>
              <w:bottom w:val="nil"/>
              <w:right w:val="nil"/>
            </w:tcBorders>
            <w:shd w:val="clear" w:color="auto" w:fill="auto"/>
            <w:vAlign w:val="bottom"/>
            <w:hideMark/>
          </w:tcPr>
          <w:p w14:paraId="3135954A" w14:textId="77777777" w:rsidR="00240956" w:rsidRPr="009E35ED" w:rsidRDefault="00240956" w:rsidP="00240956">
            <w:pPr>
              <w:ind w:left="0"/>
              <w:jc w:val="left"/>
              <w:rPr>
                <w:rFonts w:ascii="Arial Narrow" w:hAnsi="Arial Narrow" w:cs="Arial"/>
                <w:b/>
                <w:bCs/>
                <w:color w:val="000000" w:themeColor="text1"/>
                <w:sz w:val="20"/>
                <w:szCs w:val="20"/>
                <w:lang w:val="en-PH" w:eastAsia="en-PH"/>
              </w:rPr>
            </w:pPr>
          </w:p>
        </w:tc>
        <w:tc>
          <w:tcPr>
            <w:tcW w:w="1716" w:type="dxa"/>
            <w:tcBorders>
              <w:top w:val="nil"/>
              <w:left w:val="nil"/>
              <w:bottom w:val="nil"/>
              <w:right w:val="nil"/>
            </w:tcBorders>
            <w:shd w:val="clear" w:color="auto" w:fill="auto"/>
            <w:noWrap/>
            <w:vAlign w:val="bottom"/>
            <w:hideMark/>
          </w:tcPr>
          <w:p w14:paraId="6FAD04D5" w14:textId="77777777" w:rsidR="00240956" w:rsidRPr="009E35ED" w:rsidRDefault="00240956" w:rsidP="00240956">
            <w:pPr>
              <w:ind w:left="0"/>
              <w:jc w:val="right"/>
              <w:rPr>
                <w:rFonts w:ascii="Arial Narrow" w:hAnsi="Arial Narrow"/>
                <w:color w:val="000000" w:themeColor="text1"/>
                <w:sz w:val="20"/>
                <w:szCs w:val="20"/>
                <w:lang w:val="en-PH" w:eastAsia="en-PH"/>
              </w:rPr>
            </w:pPr>
          </w:p>
        </w:tc>
      </w:tr>
      <w:tr w:rsidR="00997F75" w:rsidRPr="009E35ED" w14:paraId="7211F5D1" w14:textId="77777777" w:rsidTr="00C26DA1">
        <w:trPr>
          <w:trHeight w:val="285"/>
        </w:trPr>
        <w:tc>
          <w:tcPr>
            <w:tcW w:w="7286" w:type="dxa"/>
            <w:tcBorders>
              <w:top w:val="nil"/>
              <w:left w:val="nil"/>
              <w:bottom w:val="nil"/>
              <w:right w:val="nil"/>
            </w:tcBorders>
            <w:shd w:val="clear" w:color="auto" w:fill="auto"/>
            <w:hideMark/>
          </w:tcPr>
          <w:p w14:paraId="7584C019" w14:textId="50AE32F5" w:rsidR="004C6CAE" w:rsidRPr="009E35ED" w:rsidRDefault="004C6CAE" w:rsidP="004C6CAE">
            <w:pPr>
              <w:ind w:left="0"/>
              <w:jc w:val="left"/>
              <w:rPr>
                <w:rFonts w:ascii="Arial Narrow" w:hAnsi="Arial Narrow" w:cs="Arial"/>
                <w:color w:val="000000" w:themeColor="text1"/>
                <w:sz w:val="20"/>
                <w:szCs w:val="20"/>
                <w:lang w:val="en-PH" w:eastAsia="en-PH"/>
              </w:rPr>
            </w:pPr>
            <w:r w:rsidRPr="009E35ED">
              <w:rPr>
                <w:rFonts w:ascii="Arial Narrow" w:hAnsi="Arial Narrow"/>
                <w:color w:val="000000" w:themeColor="text1"/>
                <w:sz w:val="20"/>
                <w:szCs w:val="20"/>
              </w:rPr>
              <w:t xml:space="preserve">Unrestated </w:t>
            </w:r>
            <w:r w:rsidR="00C6081C">
              <w:rPr>
                <w:rFonts w:ascii="Arial Narrow" w:hAnsi="Arial Narrow"/>
                <w:color w:val="000000" w:themeColor="text1"/>
                <w:sz w:val="20"/>
                <w:szCs w:val="20"/>
              </w:rPr>
              <w:t>a</w:t>
            </w:r>
            <w:r w:rsidRPr="009E35ED">
              <w:rPr>
                <w:rFonts w:ascii="Arial Narrow" w:hAnsi="Arial Narrow"/>
                <w:color w:val="000000" w:themeColor="text1"/>
                <w:sz w:val="20"/>
                <w:szCs w:val="20"/>
              </w:rPr>
              <w:t>mount as of December 31, 2022</w:t>
            </w:r>
          </w:p>
        </w:tc>
        <w:tc>
          <w:tcPr>
            <w:tcW w:w="1716" w:type="dxa"/>
            <w:tcBorders>
              <w:top w:val="nil"/>
              <w:left w:val="nil"/>
              <w:bottom w:val="nil"/>
              <w:right w:val="nil"/>
            </w:tcBorders>
            <w:shd w:val="clear" w:color="auto" w:fill="auto"/>
            <w:noWrap/>
            <w:hideMark/>
          </w:tcPr>
          <w:p w14:paraId="00CA75B3" w14:textId="3357EC62" w:rsidR="004C6CAE" w:rsidRPr="009E35ED" w:rsidRDefault="004C6CAE" w:rsidP="004C6CAE">
            <w:pPr>
              <w:ind w:left="0"/>
              <w:jc w:val="right"/>
              <w:rPr>
                <w:rFonts w:ascii="Arial Narrow" w:hAnsi="Arial Narrow" w:cs="Arial"/>
                <w:color w:val="000000" w:themeColor="text1"/>
                <w:sz w:val="20"/>
                <w:szCs w:val="20"/>
                <w:lang w:val="en-PH" w:eastAsia="en-PH"/>
              </w:rPr>
            </w:pPr>
            <w:r w:rsidRPr="009E35ED">
              <w:rPr>
                <w:rFonts w:ascii="Arial Narrow" w:hAnsi="Arial Narrow"/>
                <w:color w:val="000000" w:themeColor="text1"/>
                <w:sz w:val="20"/>
                <w:szCs w:val="20"/>
              </w:rPr>
              <w:t xml:space="preserve"> 760,814,668 </w:t>
            </w:r>
          </w:p>
        </w:tc>
      </w:tr>
      <w:tr w:rsidR="00997F75" w:rsidRPr="009E35ED" w14:paraId="1C22CE83" w14:textId="77777777" w:rsidTr="00C26DA1">
        <w:trPr>
          <w:trHeight w:val="153"/>
        </w:trPr>
        <w:tc>
          <w:tcPr>
            <w:tcW w:w="7286" w:type="dxa"/>
            <w:tcBorders>
              <w:top w:val="nil"/>
              <w:left w:val="nil"/>
              <w:bottom w:val="nil"/>
              <w:right w:val="nil"/>
            </w:tcBorders>
            <w:shd w:val="clear" w:color="auto" w:fill="auto"/>
          </w:tcPr>
          <w:p w14:paraId="3E0DA9D9" w14:textId="440379D5" w:rsidR="004C6CAE" w:rsidRPr="009E35ED" w:rsidRDefault="004C6CAE" w:rsidP="004C6CAE">
            <w:pPr>
              <w:ind w:left="0"/>
              <w:jc w:val="left"/>
              <w:rPr>
                <w:rFonts w:ascii="Arial Narrow" w:hAnsi="Arial Narrow"/>
                <w:color w:val="000000" w:themeColor="text1"/>
                <w:sz w:val="20"/>
                <w:szCs w:val="20"/>
              </w:rPr>
            </w:pPr>
            <w:r w:rsidRPr="009E35ED">
              <w:rPr>
                <w:rFonts w:ascii="Arial Narrow" w:hAnsi="Arial Narrow"/>
                <w:color w:val="000000" w:themeColor="text1"/>
                <w:sz w:val="20"/>
                <w:szCs w:val="20"/>
              </w:rPr>
              <w:t xml:space="preserve"> Adjustment/Recording </w:t>
            </w:r>
            <w:r w:rsidR="00C6081C">
              <w:rPr>
                <w:rFonts w:ascii="Arial Narrow" w:hAnsi="Arial Narrow"/>
                <w:color w:val="000000" w:themeColor="text1"/>
                <w:sz w:val="20"/>
                <w:szCs w:val="20"/>
              </w:rPr>
              <w:t>o</w:t>
            </w:r>
            <w:r w:rsidRPr="009E35ED">
              <w:rPr>
                <w:rFonts w:ascii="Arial Narrow" w:hAnsi="Arial Narrow"/>
                <w:color w:val="000000" w:themeColor="text1"/>
                <w:sz w:val="20"/>
                <w:szCs w:val="20"/>
              </w:rPr>
              <w:t>f</w:t>
            </w:r>
            <w:r w:rsidR="00C6081C">
              <w:rPr>
                <w:rFonts w:ascii="Arial Narrow" w:hAnsi="Arial Narrow"/>
                <w:color w:val="000000" w:themeColor="text1"/>
                <w:sz w:val="20"/>
                <w:szCs w:val="20"/>
              </w:rPr>
              <w:t xml:space="preserve"> p</w:t>
            </w:r>
            <w:r w:rsidRPr="009E35ED">
              <w:rPr>
                <w:rFonts w:ascii="Arial Narrow" w:hAnsi="Arial Narrow"/>
                <w:color w:val="000000" w:themeColor="text1"/>
                <w:sz w:val="20"/>
                <w:szCs w:val="20"/>
              </w:rPr>
              <w:t xml:space="preserve">urchase </w:t>
            </w:r>
            <w:r w:rsidR="00C6081C">
              <w:rPr>
                <w:rFonts w:ascii="Arial Narrow" w:hAnsi="Arial Narrow"/>
                <w:color w:val="000000" w:themeColor="text1"/>
                <w:sz w:val="20"/>
                <w:szCs w:val="20"/>
              </w:rPr>
              <w:t>of</w:t>
            </w:r>
            <w:r w:rsidRPr="009E35ED">
              <w:rPr>
                <w:rFonts w:ascii="Arial Narrow" w:hAnsi="Arial Narrow"/>
                <w:color w:val="000000" w:themeColor="text1"/>
                <w:sz w:val="20"/>
                <w:szCs w:val="20"/>
              </w:rPr>
              <w:t xml:space="preserve"> </w:t>
            </w:r>
            <w:r w:rsidR="00C6081C">
              <w:rPr>
                <w:rFonts w:ascii="Arial Narrow" w:hAnsi="Arial Narrow"/>
                <w:color w:val="000000" w:themeColor="text1"/>
                <w:sz w:val="20"/>
                <w:szCs w:val="20"/>
              </w:rPr>
              <w:t>M</w:t>
            </w:r>
            <w:r w:rsidRPr="009E35ED">
              <w:rPr>
                <w:rFonts w:ascii="Arial Narrow" w:hAnsi="Arial Narrow"/>
                <w:color w:val="000000" w:themeColor="text1"/>
                <w:sz w:val="20"/>
                <w:szCs w:val="20"/>
              </w:rPr>
              <w:t xml:space="preserve">edical </w:t>
            </w:r>
            <w:r w:rsidR="00C6081C">
              <w:rPr>
                <w:rFonts w:ascii="Arial Narrow" w:hAnsi="Arial Narrow"/>
                <w:color w:val="000000" w:themeColor="text1"/>
                <w:sz w:val="20"/>
                <w:szCs w:val="20"/>
              </w:rPr>
              <w:t>d</w:t>
            </w:r>
            <w:r w:rsidRPr="009E35ED">
              <w:rPr>
                <w:rFonts w:ascii="Arial Narrow" w:hAnsi="Arial Narrow"/>
                <w:color w:val="000000" w:themeColor="text1"/>
                <w:sz w:val="20"/>
                <w:szCs w:val="20"/>
              </w:rPr>
              <w:t xml:space="preserve">ental/Hospital </w:t>
            </w:r>
            <w:r w:rsidR="00C6081C">
              <w:rPr>
                <w:rFonts w:ascii="Arial Narrow" w:hAnsi="Arial Narrow"/>
                <w:color w:val="000000" w:themeColor="text1"/>
                <w:sz w:val="20"/>
                <w:szCs w:val="20"/>
              </w:rPr>
              <w:t>e</w:t>
            </w:r>
            <w:r w:rsidRPr="009E35ED">
              <w:rPr>
                <w:rFonts w:ascii="Arial Narrow" w:hAnsi="Arial Narrow"/>
                <w:color w:val="000000" w:themeColor="text1"/>
                <w:sz w:val="20"/>
                <w:szCs w:val="20"/>
              </w:rPr>
              <w:t xml:space="preserve">quipment </w:t>
            </w:r>
            <w:r w:rsidR="00C6081C">
              <w:rPr>
                <w:rFonts w:ascii="Arial Narrow" w:hAnsi="Arial Narrow"/>
                <w:color w:val="000000" w:themeColor="text1"/>
                <w:sz w:val="20"/>
                <w:szCs w:val="20"/>
              </w:rPr>
              <w:t>a</w:t>
            </w:r>
            <w:r w:rsidRPr="009E35ED">
              <w:rPr>
                <w:rFonts w:ascii="Arial Narrow" w:hAnsi="Arial Narrow"/>
                <w:color w:val="000000" w:themeColor="text1"/>
                <w:sz w:val="20"/>
                <w:szCs w:val="20"/>
              </w:rPr>
              <w:t xml:space="preserve">nd </w:t>
            </w:r>
            <w:r w:rsidR="00C6081C">
              <w:rPr>
                <w:rFonts w:ascii="Arial Narrow" w:hAnsi="Arial Narrow"/>
                <w:color w:val="000000" w:themeColor="text1"/>
                <w:sz w:val="20"/>
                <w:szCs w:val="20"/>
              </w:rPr>
              <w:t>s</w:t>
            </w:r>
            <w:r w:rsidRPr="009E35ED">
              <w:rPr>
                <w:rFonts w:ascii="Arial Narrow" w:hAnsi="Arial Narrow"/>
                <w:color w:val="000000" w:themeColor="text1"/>
                <w:sz w:val="20"/>
                <w:szCs w:val="20"/>
              </w:rPr>
              <w:t xml:space="preserve">upplies-Head Office </w:t>
            </w:r>
          </w:p>
        </w:tc>
        <w:tc>
          <w:tcPr>
            <w:tcW w:w="1716" w:type="dxa"/>
            <w:tcBorders>
              <w:top w:val="nil"/>
              <w:left w:val="nil"/>
              <w:bottom w:val="nil"/>
              <w:right w:val="nil"/>
            </w:tcBorders>
            <w:shd w:val="clear" w:color="auto" w:fill="auto"/>
            <w:noWrap/>
          </w:tcPr>
          <w:p w14:paraId="56672354" w14:textId="77777777" w:rsidR="00035920" w:rsidRPr="009E35ED" w:rsidRDefault="00035920" w:rsidP="004C6CAE">
            <w:pPr>
              <w:ind w:left="0"/>
              <w:jc w:val="right"/>
              <w:rPr>
                <w:rFonts w:ascii="Arial Narrow" w:hAnsi="Arial Narrow"/>
                <w:color w:val="000000" w:themeColor="text1"/>
                <w:sz w:val="20"/>
                <w:szCs w:val="20"/>
              </w:rPr>
            </w:pPr>
          </w:p>
          <w:p w14:paraId="2D39C40C" w14:textId="49016AB3" w:rsidR="004C6CAE" w:rsidRPr="009E35ED" w:rsidRDefault="004C6CAE" w:rsidP="004C6CAE">
            <w:pPr>
              <w:ind w:left="0"/>
              <w:jc w:val="right"/>
              <w:rPr>
                <w:rFonts w:ascii="Arial Narrow" w:hAnsi="Arial Narrow"/>
                <w:color w:val="000000" w:themeColor="text1"/>
                <w:sz w:val="20"/>
                <w:szCs w:val="20"/>
              </w:rPr>
            </w:pPr>
            <w:r w:rsidRPr="009E35ED">
              <w:rPr>
                <w:rFonts w:ascii="Arial Narrow" w:hAnsi="Arial Narrow"/>
                <w:color w:val="000000" w:themeColor="text1"/>
                <w:sz w:val="20"/>
                <w:szCs w:val="20"/>
              </w:rPr>
              <w:t xml:space="preserve"> 117,913,000 </w:t>
            </w:r>
          </w:p>
        </w:tc>
      </w:tr>
      <w:tr w:rsidR="00997F75" w:rsidRPr="009E35ED" w14:paraId="56DB770A" w14:textId="77777777" w:rsidTr="00C26DA1">
        <w:trPr>
          <w:trHeight w:val="153"/>
        </w:trPr>
        <w:tc>
          <w:tcPr>
            <w:tcW w:w="7286" w:type="dxa"/>
            <w:tcBorders>
              <w:top w:val="nil"/>
              <w:left w:val="nil"/>
              <w:bottom w:val="nil"/>
              <w:right w:val="nil"/>
            </w:tcBorders>
            <w:shd w:val="clear" w:color="auto" w:fill="auto"/>
          </w:tcPr>
          <w:p w14:paraId="7E593C5F" w14:textId="5620FEC3" w:rsidR="004C6CAE" w:rsidRPr="009E35ED" w:rsidRDefault="004C6CAE" w:rsidP="004C6CAE">
            <w:pPr>
              <w:ind w:left="0"/>
              <w:jc w:val="left"/>
              <w:rPr>
                <w:rFonts w:ascii="Arial Narrow" w:hAnsi="Arial Narrow"/>
                <w:color w:val="000000" w:themeColor="text1"/>
                <w:sz w:val="20"/>
                <w:szCs w:val="20"/>
              </w:rPr>
            </w:pPr>
            <w:r w:rsidRPr="009E35ED">
              <w:rPr>
                <w:rFonts w:ascii="Arial Narrow" w:hAnsi="Arial Narrow"/>
                <w:color w:val="000000" w:themeColor="text1"/>
                <w:sz w:val="20"/>
                <w:szCs w:val="20"/>
              </w:rPr>
              <w:t xml:space="preserve"> Adjustment/Recording of </w:t>
            </w:r>
            <w:r w:rsidR="00C6081C">
              <w:rPr>
                <w:rFonts w:ascii="Arial Narrow" w:hAnsi="Arial Narrow"/>
                <w:color w:val="000000" w:themeColor="text1"/>
                <w:sz w:val="20"/>
                <w:szCs w:val="20"/>
              </w:rPr>
              <w:t>o</w:t>
            </w:r>
            <w:r w:rsidRPr="009E35ED">
              <w:rPr>
                <w:rFonts w:ascii="Arial Narrow" w:hAnsi="Arial Narrow"/>
                <w:color w:val="000000" w:themeColor="text1"/>
                <w:sz w:val="20"/>
                <w:szCs w:val="20"/>
              </w:rPr>
              <w:t xml:space="preserve">ther </w:t>
            </w:r>
            <w:r w:rsidR="00C6081C">
              <w:rPr>
                <w:rFonts w:ascii="Arial Narrow" w:hAnsi="Arial Narrow"/>
                <w:color w:val="000000" w:themeColor="text1"/>
                <w:sz w:val="20"/>
                <w:szCs w:val="20"/>
              </w:rPr>
              <w:t>c</w:t>
            </w:r>
            <w:r w:rsidRPr="009E35ED">
              <w:rPr>
                <w:rFonts w:ascii="Arial Narrow" w:hAnsi="Arial Narrow"/>
                <w:color w:val="000000" w:themeColor="text1"/>
                <w:sz w:val="20"/>
                <w:szCs w:val="20"/>
              </w:rPr>
              <w:t xml:space="preserve">harity </w:t>
            </w:r>
            <w:r w:rsidR="00C6081C">
              <w:rPr>
                <w:rFonts w:ascii="Arial Narrow" w:hAnsi="Arial Narrow"/>
                <w:color w:val="000000" w:themeColor="text1"/>
                <w:sz w:val="20"/>
                <w:szCs w:val="20"/>
              </w:rPr>
              <w:t>e</w:t>
            </w:r>
            <w:r w:rsidRPr="009E35ED">
              <w:rPr>
                <w:rFonts w:ascii="Arial Narrow" w:hAnsi="Arial Narrow"/>
                <w:color w:val="000000" w:themeColor="text1"/>
                <w:sz w:val="20"/>
                <w:szCs w:val="20"/>
              </w:rPr>
              <w:t>xpenses-</w:t>
            </w:r>
            <w:r w:rsidR="00C6081C">
              <w:rPr>
                <w:rFonts w:ascii="Arial Narrow" w:hAnsi="Arial Narrow"/>
                <w:color w:val="000000" w:themeColor="text1"/>
                <w:sz w:val="20"/>
                <w:szCs w:val="20"/>
              </w:rPr>
              <w:t>c</w:t>
            </w:r>
            <w:r w:rsidRPr="009E35ED">
              <w:rPr>
                <w:rFonts w:ascii="Arial Narrow" w:hAnsi="Arial Narrow"/>
                <w:color w:val="000000" w:themeColor="text1"/>
                <w:sz w:val="20"/>
                <w:szCs w:val="20"/>
              </w:rPr>
              <w:t xml:space="preserve">onstruction/ </w:t>
            </w:r>
            <w:r w:rsidR="00C6081C">
              <w:rPr>
                <w:rFonts w:ascii="Arial Narrow" w:hAnsi="Arial Narrow"/>
                <w:color w:val="000000" w:themeColor="text1"/>
                <w:sz w:val="20"/>
                <w:szCs w:val="20"/>
              </w:rPr>
              <w:t>r</w:t>
            </w:r>
            <w:r w:rsidRPr="009E35ED">
              <w:rPr>
                <w:rFonts w:ascii="Arial Narrow" w:hAnsi="Arial Narrow"/>
                <w:color w:val="000000" w:themeColor="text1"/>
                <w:sz w:val="20"/>
                <w:szCs w:val="20"/>
              </w:rPr>
              <w:t>epair/</w:t>
            </w:r>
            <w:r w:rsidR="00C6081C">
              <w:rPr>
                <w:rFonts w:ascii="Arial Narrow" w:hAnsi="Arial Narrow"/>
                <w:color w:val="000000" w:themeColor="text1"/>
                <w:sz w:val="20"/>
                <w:szCs w:val="20"/>
              </w:rPr>
              <w:t>r</w:t>
            </w:r>
            <w:r w:rsidRPr="009E35ED">
              <w:rPr>
                <w:rFonts w:ascii="Arial Narrow" w:hAnsi="Arial Narrow"/>
                <w:color w:val="000000" w:themeColor="text1"/>
                <w:sz w:val="20"/>
                <w:szCs w:val="20"/>
              </w:rPr>
              <w:t xml:space="preserve">enovation </w:t>
            </w:r>
            <w:r w:rsidR="00C6081C">
              <w:rPr>
                <w:rFonts w:ascii="Arial Narrow" w:hAnsi="Arial Narrow"/>
                <w:color w:val="000000" w:themeColor="text1"/>
                <w:sz w:val="20"/>
                <w:szCs w:val="20"/>
              </w:rPr>
              <w:t>o</w:t>
            </w:r>
            <w:r w:rsidRPr="009E35ED">
              <w:rPr>
                <w:rFonts w:ascii="Arial Narrow" w:hAnsi="Arial Narrow"/>
                <w:color w:val="000000" w:themeColor="text1"/>
                <w:sz w:val="20"/>
                <w:szCs w:val="20"/>
              </w:rPr>
              <w:t xml:space="preserve">f </w:t>
            </w:r>
            <w:r w:rsidR="00C6081C">
              <w:rPr>
                <w:rFonts w:ascii="Arial Narrow" w:hAnsi="Arial Narrow"/>
                <w:color w:val="000000" w:themeColor="text1"/>
                <w:sz w:val="20"/>
                <w:szCs w:val="20"/>
              </w:rPr>
              <w:t>h</w:t>
            </w:r>
            <w:r w:rsidRPr="009E35ED">
              <w:rPr>
                <w:rFonts w:ascii="Arial Narrow" w:hAnsi="Arial Narrow"/>
                <w:color w:val="000000" w:themeColor="text1"/>
                <w:sz w:val="20"/>
                <w:szCs w:val="20"/>
              </w:rPr>
              <w:t xml:space="preserve">ealth </w:t>
            </w:r>
            <w:r w:rsidR="006F24BC">
              <w:rPr>
                <w:rFonts w:ascii="Arial Narrow" w:hAnsi="Arial Narrow"/>
                <w:color w:val="000000" w:themeColor="text1"/>
                <w:sz w:val="20"/>
                <w:szCs w:val="20"/>
              </w:rPr>
              <w:t>f</w:t>
            </w:r>
            <w:r w:rsidRPr="009E35ED">
              <w:rPr>
                <w:rFonts w:ascii="Arial Narrow" w:hAnsi="Arial Narrow"/>
                <w:color w:val="000000" w:themeColor="text1"/>
                <w:sz w:val="20"/>
                <w:szCs w:val="20"/>
              </w:rPr>
              <w:t xml:space="preserve">acilities - Head Office </w:t>
            </w:r>
          </w:p>
        </w:tc>
        <w:tc>
          <w:tcPr>
            <w:tcW w:w="1716" w:type="dxa"/>
            <w:tcBorders>
              <w:top w:val="nil"/>
              <w:left w:val="nil"/>
              <w:bottom w:val="nil"/>
              <w:right w:val="nil"/>
            </w:tcBorders>
            <w:shd w:val="clear" w:color="auto" w:fill="auto"/>
            <w:noWrap/>
          </w:tcPr>
          <w:p w14:paraId="406DFEF9" w14:textId="1D6F8176" w:rsidR="004C6CAE" w:rsidRPr="009E35ED" w:rsidRDefault="00035920" w:rsidP="004C6CAE">
            <w:pPr>
              <w:ind w:left="0"/>
              <w:jc w:val="right"/>
              <w:rPr>
                <w:rFonts w:ascii="Arial Narrow" w:hAnsi="Arial Narrow"/>
                <w:color w:val="000000" w:themeColor="text1"/>
                <w:sz w:val="20"/>
                <w:szCs w:val="20"/>
              </w:rPr>
            </w:pPr>
            <w:r w:rsidRPr="009E35ED">
              <w:rPr>
                <w:rFonts w:ascii="Arial Narrow" w:hAnsi="Arial Narrow"/>
                <w:color w:val="000000" w:themeColor="text1"/>
                <w:sz w:val="20"/>
                <w:szCs w:val="20"/>
              </w:rPr>
              <w:t>(</w:t>
            </w:r>
            <w:r w:rsidR="004C6CAE" w:rsidRPr="009E35ED">
              <w:rPr>
                <w:rFonts w:ascii="Arial Narrow" w:hAnsi="Arial Narrow"/>
                <w:color w:val="000000" w:themeColor="text1"/>
                <w:sz w:val="20"/>
                <w:szCs w:val="20"/>
              </w:rPr>
              <w:t>118,000,000</w:t>
            </w:r>
            <w:r w:rsidRPr="009E35ED">
              <w:rPr>
                <w:rFonts w:ascii="Arial Narrow" w:hAnsi="Arial Narrow"/>
                <w:color w:val="000000" w:themeColor="text1"/>
                <w:sz w:val="20"/>
                <w:szCs w:val="20"/>
              </w:rPr>
              <w:t>)</w:t>
            </w:r>
          </w:p>
        </w:tc>
      </w:tr>
      <w:tr w:rsidR="00997F75" w:rsidRPr="009E35ED" w14:paraId="48BC09D8" w14:textId="77777777" w:rsidTr="00C26DA1">
        <w:trPr>
          <w:trHeight w:val="153"/>
        </w:trPr>
        <w:tc>
          <w:tcPr>
            <w:tcW w:w="7286" w:type="dxa"/>
            <w:tcBorders>
              <w:top w:val="nil"/>
              <w:left w:val="nil"/>
              <w:bottom w:val="nil"/>
              <w:right w:val="nil"/>
            </w:tcBorders>
            <w:shd w:val="clear" w:color="auto" w:fill="auto"/>
          </w:tcPr>
          <w:p w14:paraId="30A3B6B7" w14:textId="56AB1095" w:rsidR="004C6CAE" w:rsidRPr="009E35ED" w:rsidRDefault="004C6CAE" w:rsidP="004C6CAE">
            <w:pPr>
              <w:ind w:left="0"/>
              <w:jc w:val="left"/>
              <w:rPr>
                <w:rFonts w:ascii="Arial Narrow" w:hAnsi="Arial Narrow"/>
                <w:color w:val="000000" w:themeColor="text1"/>
                <w:sz w:val="20"/>
                <w:szCs w:val="20"/>
              </w:rPr>
            </w:pPr>
            <w:r w:rsidRPr="009E35ED">
              <w:rPr>
                <w:rFonts w:ascii="Arial Narrow" w:hAnsi="Arial Narrow"/>
                <w:color w:val="000000" w:themeColor="text1"/>
                <w:sz w:val="20"/>
                <w:szCs w:val="20"/>
              </w:rPr>
              <w:t>Adjustment/Recording of EMAP-Head Office</w:t>
            </w:r>
          </w:p>
        </w:tc>
        <w:tc>
          <w:tcPr>
            <w:tcW w:w="1716" w:type="dxa"/>
            <w:tcBorders>
              <w:top w:val="nil"/>
              <w:left w:val="nil"/>
              <w:bottom w:val="nil"/>
              <w:right w:val="nil"/>
            </w:tcBorders>
            <w:shd w:val="clear" w:color="auto" w:fill="auto"/>
            <w:noWrap/>
          </w:tcPr>
          <w:p w14:paraId="13A5550A" w14:textId="081700CC" w:rsidR="004C6CAE" w:rsidRPr="009E35ED" w:rsidRDefault="004C6CAE" w:rsidP="004C6CAE">
            <w:pPr>
              <w:ind w:left="0"/>
              <w:jc w:val="right"/>
              <w:rPr>
                <w:rFonts w:ascii="Arial Narrow" w:hAnsi="Arial Narrow"/>
                <w:color w:val="000000" w:themeColor="text1"/>
                <w:sz w:val="20"/>
                <w:szCs w:val="20"/>
              </w:rPr>
            </w:pPr>
            <w:r w:rsidRPr="009E35ED">
              <w:rPr>
                <w:rFonts w:ascii="Arial Narrow" w:hAnsi="Arial Narrow"/>
                <w:color w:val="000000" w:themeColor="text1"/>
                <w:sz w:val="20"/>
                <w:szCs w:val="20"/>
              </w:rPr>
              <w:t xml:space="preserve"> 383,464 </w:t>
            </w:r>
          </w:p>
        </w:tc>
      </w:tr>
      <w:tr w:rsidR="00997F75" w:rsidRPr="009E35ED" w14:paraId="50CC945E" w14:textId="77777777" w:rsidTr="00C26DA1">
        <w:trPr>
          <w:trHeight w:val="153"/>
        </w:trPr>
        <w:tc>
          <w:tcPr>
            <w:tcW w:w="7286" w:type="dxa"/>
            <w:tcBorders>
              <w:top w:val="nil"/>
              <w:left w:val="nil"/>
              <w:bottom w:val="nil"/>
              <w:right w:val="nil"/>
            </w:tcBorders>
            <w:shd w:val="clear" w:color="auto" w:fill="auto"/>
          </w:tcPr>
          <w:p w14:paraId="70D2798F" w14:textId="7BA81963" w:rsidR="004C6CAE" w:rsidRPr="009E35ED" w:rsidRDefault="004C6CAE" w:rsidP="004C6CAE">
            <w:pPr>
              <w:ind w:left="0"/>
              <w:jc w:val="left"/>
              <w:rPr>
                <w:rFonts w:ascii="Arial Narrow" w:hAnsi="Arial Narrow"/>
                <w:color w:val="000000" w:themeColor="text1"/>
                <w:sz w:val="20"/>
                <w:szCs w:val="20"/>
              </w:rPr>
            </w:pPr>
            <w:r w:rsidRPr="009E35ED">
              <w:rPr>
                <w:rFonts w:ascii="Arial Narrow" w:hAnsi="Arial Narrow"/>
                <w:color w:val="000000" w:themeColor="text1"/>
                <w:sz w:val="20"/>
                <w:szCs w:val="20"/>
              </w:rPr>
              <w:t>Adjustment/Recording of EMAP-Branches</w:t>
            </w:r>
          </w:p>
        </w:tc>
        <w:tc>
          <w:tcPr>
            <w:tcW w:w="1716" w:type="dxa"/>
            <w:tcBorders>
              <w:top w:val="nil"/>
              <w:left w:val="nil"/>
              <w:bottom w:val="nil"/>
              <w:right w:val="nil"/>
            </w:tcBorders>
            <w:shd w:val="clear" w:color="auto" w:fill="auto"/>
            <w:noWrap/>
          </w:tcPr>
          <w:p w14:paraId="558E57D6" w14:textId="7586529F" w:rsidR="004C6CAE" w:rsidRPr="009E35ED" w:rsidRDefault="004C6CAE" w:rsidP="004C6CAE">
            <w:pPr>
              <w:ind w:left="0"/>
              <w:jc w:val="right"/>
              <w:rPr>
                <w:rFonts w:ascii="Arial Narrow" w:hAnsi="Arial Narrow"/>
                <w:color w:val="000000" w:themeColor="text1"/>
                <w:sz w:val="20"/>
                <w:szCs w:val="20"/>
              </w:rPr>
            </w:pPr>
            <w:r w:rsidRPr="009E35ED">
              <w:rPr>
                <w:rFonts w:ascii="Arial Narrow" w:hAnsi="Arial Narrow"/>
                <w:color w:val="000000" w:themeColor="text1"/>
                <w:sz w:val="20"/>
                <w:szCs w:val="20"/>
              </w:rPr>
              <w:t xml:space="preserve"> (529,365)</w:t>
            </w:r>
          </w:p>
        </w:tc>
      </w:tr>
      <w:tr w:rsidR="00997F75" w:rsidRPr="009E35ED" w14:paraId="7AF8E9D1" w14:textId="77777777" w:rsidTr="00C26DA1">
        <w:trPr>
          <w:trHeight w:val="153"/>
        </w:trPr>
        <w:tc>
          <w:tcPr>
            <w:tcW w:w="7286" w:type="dxa"/>
            <w:tcBorders>
              <w:top w:val="nil"/>
              <w:left w:val="nil"/>
              <w:bottom w:val="nil"/>
              <w:right w:val="nil"/>
            </w:tcBorders>
            <w:shd w:val="clear" w:color="auto" w:fill="auto"/>
          </w:tcPr>
          <w:p w14:paraId="5364BC01" w14:textId="3934D298" w:rsidR="004C6CAE" w:rsidRPr="009E35ED" w:rsidRDefault="004C6CAE" w:rsidP="004C6CAE">
            <w:pPr>
              <w:ind w:left="0"/>
              <w:jc w:val="left"/>
              <w:rPr>
                <w:rFonts w:ascii="Arial Narrow" w:hAnsi="Arial Narrow"/>
                <w:color w:val="000000" w:themeColor="text1"/>
                <w:sz w:val="20"/>
                <w:szCs w:val="20"/>
              </w:rPr>
            </w:pPr>
            <w:r w:rsidRPr="009E35ED">
              <w:rPr>
                <w:rFonts w:ascii="Arial Narrow" w:hAnsi="Arial Narrow"/>
                <w:color w:val="000000" w:themeColor="text1"/>
                <w:sz w:val="20"/>
                <w:szCs w:val="20"/>
              </w:rPr>
              <w:t xml:space="preserve">Adjustment/Recording of </w:t>
            </w:r>
            <w:r w:rsidR="006F24BC">
              <w:rPr>
                <w:rFonts w:ascii="Arial Narrow" w:hAnsi="Arial Narrow"/>
                <w:color w:val="000000" w:themeColor="text1"/>
                <w:sz w:val="20"/>
                <w:szCs w:val="20"/>
              </w:rPr>
              <w:t>r</w:t>
            </w:r>
            <w:r w:rsidRPr="009E35ED">
              <w:rPr>
                <w:rFonts w:ascii="Arial Narrow" w:hAnsi="Arial Narrow"/>
                <w:color w:val="000000" w:themeColor="text1"/>
                <w:sz w:val="20"/>
                <w:szCs w:val="20"/>
              </w:rPr>
              <w:t xml:space="preserve">egular </w:t>
            </w:r>
            <w:r w:rsidR="006F24BC">
              <w:rPr>
                <w:rFonts w:ascii="Arial Narrow" w:hAnsi="Arial Narrow"/>
                <w:color w:val="000000" w:themeColor="text1"/>
                <w:sz w:val="20"/>
                <w:szCs w:val="20"/>
              </w:rPr>
              <w:t>b</w:t>
            </w:r>
            <w:r w:rsidRPr="009E35ED">
              <w:rPr>
                <w:rFonts w:ascii="Arial Narrow" w:hAnsi="Arial Narrow"/>
                <w:color w:val="000000" w:themeColor="text1"/>
                <w:sz w:val="20"/>
                <w:szCs w:val="20"/>
              </w:rPr>
              <w:t>eneficiary-Branches</w:t>
            </w:r>
          </w:p>
        </w:tc>
        <w:tc>
          <w:tcPr>
            <w:tcW w:w="1716" w:type="dxa"/>
            <w:tcBorders>
              <w:top w:val="nil"/>
              <w:left w:val="nil"/>
              <w:bottom w:val="nil"/>
              <w:right w:val="nil"/>
            </w:tcBorders>
            <w:shd w:val="clear" w:color="auto" w:fill="auto"/>
            <w:noWrap/>
          </w:tcPr>
          <w:p w14:paraId="5A8D54BE" w14:textId="5F03C893" w:rsidR="004C6CAE" w:rsidRPr="009E35ED" w:rsidRDefault="00035920" w:rsidP="004C6CAE">
            <w:pPr>
              <w:ind w:left="0"/>
              <w:jc w:val="right"/>
              <w:rPr>
                <w:rFonts w:ascii="Arial Narrow" w:hAnsi="Arial Narrow"/>
                <w:color w:val="000000" w:themeColor="text1"/>
                <w:sz w:val="20"/>
                <w:szCs w:val="20"/>
              </w:rPr>
            </w:pPr>
            <w:r w:rsidRPr="009E35ED">
              <w:rPr>
                <w:rFonts w:ascii="Arial Narrow" w:hAnsi="Arial Narrow"/>
                <w:color w:val="000000" w:themeColor="text1"/>
                <w:sz w:val="20"/>
                <w:szCs w:val="20"/>
              </w:rPr>
              <w:t>(</w:t>
            </w:r>
            <w:r w:rsidR="004C6CAE" w:rsidRPr="009E35ED">
              <w:rPr>
                <w:rFonts w:ascii="Arial Narrow" w:hAnsi="Arial Narrow"/>
                <w:color w:val="000000" w:themeColor="text1"/>
                <w:sz w:val="20"/>
                <w:szCs w:val="20"/>
              </w:rPr>
              <w:t>4,127</w:t>
            </w:r>
            <w:r w:rsidRPr="009E35ED">
              <w:rPr>
                <w:rFonts w:ascii="Arial Narrow" w:hAnsi="Arial Narrow"/>
                <w:color w:val="000000" w:themeColor="text1"/>
                <w:sz w:val="20"/>
                <w:szCs w:val="20"/>
              </w:rPr>
              <w:t>)</w:t>
            </w:r>
            <w:r w:rsidR="004C6CAE" w:rsidRPr="009E35ED">
              <w:rPr>
                <w:rFonts w:ascii="Arial Narrow" w:hAnsi="Arial Narrow"/>
                <w:color w:val="000000" w:themeColor="text1"/>
                <w:sz w:val="20"/>
                <w:szCs w:val="20"/>
              </w:rPr>
              <w:t xml:space="preserve"> </w:t>
            </w:r>
          </w:p>
        </w:tc>
      </w:tr>
      <w:tr w:rsidR="00997F75" w:rsidRPr="009E35ED" w14:paraId="5B7B3916" w14:textId="77777777" w:rsidTr="00C26DA1">
        <w:trPr>
          <w:trHeight w:val="153"/>
        </w:trPr>
        <w:tc>
          <w:tcPr>
            <w:tcW w:w="7286" w:type="dxa"/>
            <w:tcBorders>
              <w:top w:val="nil"/>
              <w:left w:val="nil"/>
              <w:bottom w:val="nil"/>
              <w:right w:val="nil"/>
            </w:tcBorders>
            <w:shd w:val="clear" w:color="auto" w:fill="auto"/>
          </w:tcPr>
          <w:p w14:paraId="3A2EED3D" w14:textId="579D594D" w:rsidR="004C6CAE" w:rsidRPr="009E35ED" w:rsidRDefault="004C6CAE" w:rsidP="004C6CAE">
            <w:pPr>
              <w:ind w:left="0"/>
              <w:jc w:val="left"/>
              <w:rPr>
                <w:rFonts w:ascii="Arial Narrow" w:hAnsi="Arial Narrow"/>
                <w:color w:val="000000" w:themeColor="text1"/>
                <w:sz w:val="20"/>
                <w:szCs w:val="20"/>
              </w:rPr>
            </w:pPr>
            <w:r w:rsidRPr="009E35ED">
              <w:rPr>
                <w:rFonts w:ascii="Arial Narrow" w:hAnsi="Arial Narrow"/>
                <w:color w:val="000000" w:themeColor="text1"/>
                <w:sz w:val="20"/>
                <w:szCs w:val="20"/>
              </w:rPr>
              <w:t xml:space="preserve">Adjustment/Recording of </w:t>
            </w:r>
            <w:r w:rsidR="006F24BC">
              <w:rPr>
                <w:rFonts w:ascii="Arial Narrow" w:hAnsi="Arial Narrow"/>
                <w:color w:val="000000" w:themeColor="text1"/>
                <w:sz w:val="20"/>
                <w:szCs w:val="20"/>
              </w:rPr>
              <w:t>r</w:t>
            </w:r>
            <w:r w:rsidRPr="009E35ED">
              <w:rPr>
                <w:rFonts w:ascii="Arial Narrow" w:hAnsi="Arial Narrow"/>
                <w:color w:val="000000" w:themeColor="text1"/>
                <w:sz w:val="20"/>
                <w:szCs w:val="20"/>
              </w:rPr>
              <w:t xml:space="preserve">egular </w:t>
            </w:r>
            <w:r w:rsidR="006F24BC">
              <w:rPr>
                <w:rFonts w:ascii="Arial Narrow" w:hAnsi="Arial Narrow"/>
                <w:color w:val="000000" w:themeColor="text1"/>
                <w:sz w:val="20"/>
                <w:szCs w:val="20"/>
              </w:rPr>
              <w:t>b</w:t>
            </w:r>
            <w:r w:rsidRPr="009E35ED">
              <w:rPr>
                <w:rFonts w:ascii="Arial Narrow" w:hAnsi="Arial Narrow"/>
                <w:color w:val="000000" w:themeColor="text1"/>
                <w:sz w:val="20"/>
                <w:szCs w:val="20"/>
              </w:rPr>
              <w:t>eneficiary-Head Office</w:t>
            </w:r>
          </w:p>
        </w:tc>
        <w:tc>
          <w:tcPr>
            <w:tcW w:w="1716" w:type="dxa"/>
            <w:tcBorders>
              <w:top w:val="nil"/>
              <w:left w:val="nil"/>
              <w:bottom w:val="nil"/>
              <w:right w:val="nil"/>
            </w:tcBorders>
            <w:shd w:val="clear" w:color="auto" w:fill="auto"/>
            <w:noWrap/>
          </w:tcPr>
          <w:p w14:paraId="35500FCF" w14:textId="62AD5B9B" w:rsidR="004C6CAE" w:rsidRPr="009E35ED" w:rsidRDefault="00035920" w:rsidP="004C6CAE">
            <w:pPr>
              <w:ind w:left="0"/>
              <w:jc w:val="right"/>
              <w:rPr>
                <w:rFonts w:ascii="Arial Narrow" w:hAnsi="Arial Narrow"/>
                <w:color w:val="000000" w:themeColor="text1"/>
                <w:sz w:val="20"/>
                <w:szCs w:val="20"/>
              </w:rPr>
            </w:pPr>
            <w:r w:rsidRPr="009E35ED">
              <w:rPr>
                <w:rFonts w:ascii="Arial Narrow" w:hAnsi="Arial Narrow"/>
                <w:color w:val="000000" w:themeColor="text1"/>
                <w:sz w:val="20"/>
                <w:szCs w:val="20"/>
              </w:rPr>
              <w:t>(</w:t>
            </w:r>
            <w:r w:rsidR="004C6CAE" w:rsidRPr="009E35ED">
              <w:rPr>
                <w:rFonts w:ascii="Arial Narrow" w:hAnsi="Arial Narrow"/>
                <w:color w:val="000000" w:themeColor="text1"/>
                <w:sz w:val="20"/>
                <w:szCs w:val="20"/>
              </w:rPr>
              <w:t>4,344,731</w:t>
            </w:r>
            <w:r w:rsidRPr="009E35ED">
              <w:rPr>
                <w:rFonts w:ascii="Arial Narrow" w:hAnsi="Arial Narrow"/>
                <w:color w:val="000000" w:themeColor="text1"/>
                <w:sz w:val="20"/>
                <w:szCs w:val="20"/>
              </w:rPr>
              <w:t>)</w:t>
            </w:r>
            <w:r w:rsidR="004C6CAE" w:rsidRPr="009E35ED">
              <w:rPr>
                <w:rFonts w:ascii="Arial Narrow" w:hAnsi="Arial Narrow"/>
                <w:color w:val="000000" w:themeColor="text1"/>
                <w:sz w:val="20"/>
                <w:szCs w:val="20"/>
              </w:rPr>
              <w:t xml:space="preserve"> </w:t>
            </w:r>
          </w:p>
        </w:tc>
      </w:tr>
      <w:tr w:rsidR="00997F75" w:rsidRPr="009E35ED" w14:paraId="4ABA37CA" w14:textId="77777777" w:rsidTr="00C26DA1">
        <w:trPr>
          <w:trHeight w:val="153"/>
        </w:trPr>
        <w:tc>
          <w:tcPr>
            <w:tcW w:w="7286" w:type="dxa"/>
            <w:tcBorders>
              <w:top w:val="nil"/>
              <w:left w:val="nil"/>
              <w:bottom w:val="nil"/>
              <w:right w:val="nil"/>
            </w:tcBorders>
            <w:shd w:val="clear" w:color="auto" w:fill="auto"/>
          </w:tcPr>
          <w:p w14:paraId="050C28FE" w14:textId="3D1F213F" w:rsidR="004C6CAE" w:rsidRPr="009E35ED" w:rsidRDefault="004C6CAE" w:rsidP="004C6CAE">
            <w:pPr>
              <w:ind w:left="0"/>
              <w:jc w:val="left"/>
              <w:rPr>
                <w:rFonts w:ascii="Arial Narrow" w:hAnsi="Arial Narrow"/>
                <w:color w:val="000000" w:themeColor="text1"/>
                <w:sz w:val="20"/>
                <w:szCs w:val="20"/>
              </w:rPr>
            </w:pPr>
            <w:r w:rsidRPr="009E35ED">
              <w:rPr>
                <w:rFonts w:ascii="Arial Narrow" w:hAnsi="Arial Narrow"/>
                <w:color w:val="000000" w:themeColor="text1"/>
                <w:sz w:val="20"/>
                <w:szCs w:val="20"/>
              </w:rPr>
              <w:t xml:space="preserve">Adjustment/Recording of </w:t>
            </w:r>
            <w:r w:rsidR="006F24BC">
              <w:rPr>
                <w:rFonts w:ascii="Arial Narrow" w:hAnsi="Arial Narrow"/>
                <w:color w:val="000000" w:themeColor="text1"/>
                <w:sz w:val="20"/>
                <w:szCs w:val="20"/>
              </w:rPr>
              <w:t>a</w:t>
            </w:r>
            <w:r w:rsidRPr="009E35ED">
              <w:rPr>
                <w:rFonts w:ascii="Arial Narrow" w:hAnsi="Arial Narrow"/>
                <w:color w:val="000000" w:themeColor="text1"/>
                <w:sz w:val="20"/>
                <w:szCs w:val="20"/>
              </w:rPr>
              <w:t xml:space="preserve">ids </w:t>
            </w:r>
            <w:r w:rsidR="006F24BC">
              <w:rPr>
                <w:rFonts w:ascii="Arial Narrow" w:hAnsi="Arial Narrow"/>
                <w:color w:val="000000" w:themeColor="text1"/>
                <w:sz w:val="20"/>
                <w:szCs w:val="20"/>
              </w:rPr>
              <w:t>f</w:t>
            </w:r>
            <w:r w:rsidRPr="009E35ED">
              <w:rPr>
                <w:rFonts w:ascii="Arial Narrow" w:hAnsi="Arial Narrow"/>
                <w:color w:val="000000" w:themeColor="text1"/>
                <w:sz w:val="20"/>
                <w:szCs w:val="20"/>
              </w:rPr>
              <w:t xml:space="preserve">or </w:t>
            </w:r>
            <w:r w:rsidR="006F24BC">
              <w:rPr>
                <w:rFonts w:ascii="Arial Narrow" w:hAnsi="Arial Narrow"/>
                <w:color w:val="000000" w:themeColor="text1"/>
                <w:sz w:val="20"/>
                <w:szCs w:val="20"/>
              </w:rPr>
              <w:t>v</w:t>
            </w:r>
            <w:r w:rsidRPr="009E35ED">
              <w:rPr>
                <w:rFonts w:ascii="Arial Narrow" w:hAnsi="Arial Narrow"/>
                <w:color w:val="000000" w:themeColor="text1"/>
                <w:sz w:val="20"/>
                <w:szCs w:val="20"/>
              </w:rPr>
              <w:t xml:space="preserve">ictims </w:t>
            </w:r>
            <w:r w:rsidR="006F24BC">
              <w:rPr>
                <w:rFonts w:ascii="Arial Narrow" w:hAnsi="Arial Narrow"/>
                <w:color w:val="000000" w:themeColor="text1"/>
                <w:sz w:val="20"/>
                <w:szCs w:val="20"/>
              </w:rPr>
              <w:t>o</w:t>
            </w:r>
            <w:r w:rsidRPr="009E35ED">
              <w:rPr>
                <w:rFonts w:ascii="Arial Narrow" w:hAnsi="Arial Narrow"/>
                <w:color w:val="000000" w:themeColor="text1"/>
                <w:sz w:val="20"/>
                <w:szCs w:val="20"/>
              </w:rPr>
              <w:t xml:space="preserve">f </w:t>
            </w:r>
            <w:r w:rsidR="006F24BC">
              <w:rPr>
                <w:rFonts w:ascii="Arial Narrow" w:hAnsi="Arial Narrow"/>
                <w:color w:val="000000" w:themeColor="text1"/>
                <w:sz w:val="20"/>
                <w:szCs w:val="20"/>
              </w:rPr>
              <w:t>na</w:t>
            </w:r>
            <w:r w:rsidRPr="009E35ED">
              <w:rPr>
                <w:rFonts w:ascii="Arial Narrow" w:hAnsi="Arial Narrow"/>
                <w:color w:val="000000" w:themeColor="text1"/>
                <w:sz w:val="20"/>
                <w:szCs w:val="20"/>
              </w:rPr>
              <w:t xml:space="preserve">tional </w:t>
            </w:r>
            <w:r w:rsidR="006F24BC">
              <w:rPr>
                <w:rFonts w:ascii="Arial Narrow" w:hAnsi="Arial Narrow"/>
                <w:color w:val="000000" w:themeColor="text1"/>
                <w:sz w:val="20"/>
                <w:szCs w:val="20"/>
              </w:rPr>
              <w:t>c</w:t>
            </w:r>
            <w:r w:rsidRPr="009E35ED">
              <w:rPr>
                <w:rFonts w:ascii="Arial Narrow" w:hAnsi="Arial Narrow"/>
                <w:color w:val="000000" w:themeColor="text1"/>
                <w:sz w:val="20"/>
                <w:szCs w:val="20"/>
              </w:rPr>
              <w:t>alamities-Head Office</w:t>
            </w:r>
          </w:p>
        </w:tc>
        <w:tc>
          <w:tcPr>
            <w:tcW w:w="1716" w:type="dxa"/>
            <w:tcBorders>
              <w:top w:val="nil"/>
              <w:left w:val="nil"/>
              <w:bottom w:val="nil"/>
              <w:right w:val="nil"/>
            </w:tcBorders>
            <w:shd w:val="clear" w:color="auto" w:fill="auto"/>
            <w:noWrap/>
          </w:tcPr>
          <w:p w14:paraId="3E8D386B" w14:textId="28AA4AD0" w:rsidR="004C6CAE" w:rsidRPr="009E35ED" w:rsidRDefault="004C6CAE" w:rsidP="004C6CAE">
            <w:pPr>
              <w:ind w:left="0"/>
              <w:jc w:val="right"/>
              <w:rPr>
                <w:rFonts w:ascii="Arial Narrow" w:hAnsi="Arial Narrow"/>
                <w:color w:val="000000" w:themeColor="text1"/>
                <w:sz w:val="20"/>
                <w:szCs w:val="20"/>
              </w:rPr>
            </w:pPr>
            <w:r w:rsidRPr="009E35ED">
              <w:rPr>
                <w:rFonts w:ascii="Arial Narrow" w:hAnsi="Arial Narrow"/>
                <w:color w:val="000000" w:themeColor="text1"/>
                <w:sz w:val="20"/>
                <w:szCs w:val="20"/>
              </w:rPr>
              <w:t xml:space="preserve"> (5,696,807)</w:t>
            </w:r>
          </w:p>
        </w:tc>
      </w:tr>
      <w:tr w:rsidR="00997F75" w:rsidRPr="009E35ED" w14:paraId="3510593F" w14:textId="77777777" w:rsidTr="00C26DA1">
        <w:trPr>
          <w:trHeight w:val="153"/>
        </w:trPr>
        <w:tc>
          <w:tcPr>
            <w:tcW w:w="7286" w:type="dxa"/>
            <w:tcBorders>
              <w:top w:val="nil"/>
              <w:left w:val="nil"/>
              <w:bottom w:val="nil"/>
              <w:right w:val="nil"/>
            </w:tcBorders>
            <w:shd w:val="clear" w:color="auto" w:fill="auto"/>
          </w:tcPr>
          <w:p w14:paraId="64FB0ED5" w14:textId="53B73B10" w:rsidR="004C6CAE" w:rsidRPr="009E35ED" w:rsidRDefault="004C6CAE" w:rsidP="004C6CAE">
            <w:pPr>
              <w:ind w:left="0"/>
              <w:jc w:val="left"/>
              <w:rPr>
                <w:rFonts w:ascii="Arial Narrow" w:hAnsi="Arial Narrow"/>
                <w:color w:val="000000" w:themeColor="text1"/>
                <w:sz w:val="20"/>
                <w:szCs w:val="20"/>
              </w:rPr>
            </w:pPr>
            <w:r w:rsidRPr="009E35ED">
              <w:rPr>
                <w:rFonts w:ascii="Arial Narrow" w:hAnsi="Arial Narrow"/>
                <w:color w:val="000000" w:themeColor="text1"/>
                <w:sz w:val="20"/>
                <w:szCs w:val="20"/>
              </w:rPr>
              <w:t xml:space="preserve">Adjustment/Recording of </w:t>
            </w:r>
            <w:r w:rsidR="006F24BC">
              <w:rPr>
                <w:rFonts w:ascii="Arial Narrow" w:hAnsi="Arial Narrow"/>
                <w:color w:val="000000" w:themeColor="text1"/>
                <w:sz w:val="20"/>
                <w:szCs w:val="20"/>
              </w:rPr>
              <w:t>a</w:t>
            </w:r>
            <w:r w:rsidRPr="009E35ED">
              <w:rPr>
                <w:rFonts w:ascii="Arial Narrow" w:hAnsi="Arial Narrow"/>
                <w:color w:val="000000" w:themeColor="text1"/>
                <w:sz w:val="20"/>
                <w:szCs w:val="20"/>
              </w:rPr>
              <w:t>ids</w:t>
            </w:r>
            <w:r w:rsidR="006F24BC">
              <w:rPr>
                <w:rFonts w:ascii="Arial Narrow" w:hAnsi="Arial Narrow"/>
                <w:color w:val="000000" w:themeColor="text1"/>
                <w:sz w:val="20"/>
                <w:szCs w:val="20"/>
              </w:rPr>
              <w:t xml:space="preserve"> f</w:t>
            </w:r>
            <w:r w:rsidRPr="009E35ED">
              <w:rPr>
                <w:rFonts w:ascii="Arial Narrow" w:hAnsi="Arial Narrow"/>
                <w:color w:val="000000" w:themeColor="text1"/>
                <w:sz w:val="20"/>
                <w:szCs w:val="20"/>
              </w:rPr>
              <w:t xml:space="preserve">or </w:t>
            </w:r>
            <w:r w:rsidR="006F24BC">
              <w:rPr>
                <w:rFonts w:ascii="Arial Narrow" w:hAnsi="Arial Narrow"/>
                <w:color w:val="000000" w:themeColor="text1"/>
                <w:sz w:val="20"/>
                <w:szCs w:val="20"/>
              </w:rPr>
              <w:t>v</w:t>
            </w:r>
            <w:r w:rsidRPr="009E35ED">
              <w:rPr>
                <w:rFonts w:ascii="Arial Narrow" w:hAnsi="Arial Narrow"/>
                <w:color w:val="000000" w:themeColor="text1"/>
                <w:sz w:val="20"/>
                <w:szCs w:val="20"/>
              </w:rPr>
              <w:t xml:space="preserve">ictims </w:t>
            </w:r>
            <w:r w:rsidR="006F24BC">
              <w:rPr>
                <w:rFonts w:ascii="Arial Narrow" w:hAnsi="Arial Narrow"/>
                <w:color w:val="000000" w:themeColor="text1"/>
                <w:sz w:val="20"/>
                <w:szCs w:val="20"/>
              </w:rPr>
              <w:t>o</w:t>
            </w:r>
            <w:r w:rsidRPr="009E35ED">
              <w:rPr>
                <w:rFonts w:ascii="Arial Narrow" w:hAnsi="Arial Narrow"/>
                <w:color w:val="000000" w:themeColor="text1"/>
                <w:sz w:val="20"/>
                <w:szCs w:val="20"/>
              </w:rPr>
              <w:t xml:space="preserve">f </w:t>
            </w:r>
            <w:r w:rsidR="006F24BC">
              <w:rPr>
                <w:rFonts w:ascii="Arial Narrow" w:hAnsi="Arial Narrow"/>
                <w:color w:val="000000" w:themeColor="text1"/>
                <w:sz w:val="20"/>
                <w:szCs w:val="20"/>
              </w:rPr>
              <w:t>n</w:t>
            </w:r>
            <w:r w:rsidRPr="009E35ED">
              <w:rPr>
                <w:rFonts w:ascii="Arial Narrow" w:hAnsi="Arial Narrow"/>
                <w:color w:val="000000" w:themeColor="text1"/>
                <w:sz w:val="20"/>
                <w:szCs w:val="20"/>
              </w:rPr>
              <w:t xml:space="preserve">ational </w:t>
            </w:r>
            <w:r w:rsidR="006F24BC">
              <w:rPr>
                <w:rFonts w:ascii="Arial Narrow" w:hAnsi="Arial Narrow"/>
                <w:color w:val="000000" w:themeColor="text1"/>
                <w:sz w:val="20"/>
                <w:szCs w:val="20"/>
              </w:rPr>
              <w:t>c</w:t>
            </w:r>
            <w:r w:rsidRPr="009E35ED">
              <w:rPr>
                <w:rFonts w:ascii="Arial Narrow" w:hAnsi="Arial Narrow"/>
                <w:color w:val="000000" w:themeColor="text1"/>
                <w:sz w:val="20"/>
                <w:szCs w:val="20"/>
              </w:rPr>
              <w:t>alamities-Branch</w:t>
            </w:r>
          </w:p>
        </w:tc>
        <w:tc>
          <w:tcPr>
            <w:tcW w:w="1716" w:type="dxa"/>
            <w:tcBorders>
              <w:top w:val="nil"/>
              <w:left w:val="nil"/>
              <w:bottom w:val="nil"/>
              <w:right w:val="nil"/>
            </w:tcBorders>
            <w:shd w:val="clear" w:color="auto" w:fill="auto"/>
            <w:noWrap/>
          </w:tcPr>
          <w:p w14:paraId="0E74E20A" w14:textId="2804DA5E" w:rsidR="004C6CAE" w:rsidRPr="009E35ED" w:rsidRDefault="004C6CAE" w:rsidP="004C6CAE">
            <w:pPr>
              <w:ind w:left="0"/>
              <w:jc w:val="right"/>
              <w:rPr>
                <w:rFonts w:ascii="Arial Narrow" w:hAnsi="Arial Narrow"/>
                <w:color w:val="000000" w:themeColor="text1"/>
                <w:sz w:val="20"/>
                <w:szCs w:val="20"/>
              </w:rPr>
            </w:pPr>
            <w:r w:rsidRPr="009E35ED">
              <w:rPr>
                <w:rFonts w:ascii="Arial Narrow" w:hAnsi="Arial Narrow"/>
                <w:color w:val="000000" w:themeColor="text1"/>
                <w:sz w:val="20"/>
                <w:szCs w:val="20"/>
              </w:rPr>
              <w:t xml:space="preserve"> (5,149,607)</w:t>
            </w:r>
          </w:p>
        </w:tc>
      </w:tr>
      <w:tr w:rsidR="00997F75" w:rsidRPr="009E35ED" w14:paraId="11C8887D" w14:textId="77777777" w:rsidTr="00C26DA1">
        <w:trPr>
          <w:trHeight w:val="153"/>
        </w:trPr>
        <w:tc>
          <w:tcPr>
            <w:tcW w:w="7286" w:type="dxa"/>
            <w:tcBorders>
              <w:top w:val="nil"/>
              <w:left w:val="nil"/>
              <w:bottom w:val="nil"/>
              <w:right w:val="nil"/>
            </w:tcBorders>
            <w:shd w:val="clear" w:color="auto" w:fill="auto"/>
            <w:hideMark/>
          </w:tcPr>
          <w:p w14:paraId="2772ADB3" w14:textId="223FE9D5" w:rsidR="004C6CAE" w:rsidRPr="009E35ED" w:rsidRDefault="004C6CAE" w:rsidP="004C6CAE">
            <w:pPr>
              <w:ind w:left="0"/>
              <w:jc w:val="left"/>
              <w:rPr>
                <w:rFonts w:ascii="Arial Narrow" w:hAnsi="Arial Narrow"/>
                <w:color w:val="000000" w:themeColor="text1"/>
                <w:sz w:val="20"/>
                <w:szCs w:val="20"/>
                <w:lang w:val="en-PH" w:eastAsia="en-PH"/>
              </w:rPr>
            </w:pPr>
            <w:r w:rsidRPr="009E35ED">
              <w:rPr>
                <w:rFonts w:ascii="Arial Narrow" w:hAnsi="Arial Narrow"/>
                <w:color w:val="000000" w:themeColor="text1"/>
                <w:sz w:val="20"/>
                <w:szCs w:val="20"/>
              </w:rPr>
              <w:t xml:space="preserve">Adjustment/Recording of </w:t>
            </w:r>
            <w:r w:rsidR="006F24BC">
              <w:rPr>
                <w:rFonts w:ascii="Arial Narrow" w:hAnsi="Arial Narrow"/>
                <w:color w:val="000000" w:themeColor="text1"/>
                <w:sz w:val="20"/>
                <w:szCs w:val="20"/>
              </w:rPr>
              <w:t>a</w:t>
            </w:r>
            <w:r w:rsidRPr="009E35ED">
              <w:rPr>
                <w:rFonts w:ascii="Arial Narrow" w:hAnsi="Arial Narrow"/>
                <w:color w:val="000000" w:themeColor="text1"/>
                <w:sz w:val="20"/>
                <w:szCs w:val="20"/>
              </w:rPr>
              <w:t xml:space="preserve">mbulance </w:t>
            </w:r>
            <w:r w:rsidR="006F24BC">
              <w:rPr>
                <w:rFonts w:ascii="Arial Narrow" w:hAnsi="Arial Narrow"/>
                <w:color w:val="000000" w:themeColor="text1"/>
                <w:sz w:val="20"/>
                <w:szCs w:val="20"/>
              </w:rPr>
              <w:t>d</w:t>
            </w:r>
            <w:r w:rsidRPr="009E35ED">
              <w:rPr>
                <w:rFonts w:ascii="Arial Narrow" w:hAnsi="Arial Narrow"/>
                <w:color w:val="000000" w:themeColor="text1"/>
                <w:sz w:val="20"/>
                <w:szCs w:val="20"/>
              </w:rPr>
              <w:t xml:space="preserve">onation </w:t>
            </w:r>
            <w:r w:rsidR="006F24BC">
              <w:rPr>
                <w:rFonts w:ascii="Arial Narrow" w:hAnsi="Arial Narrow"/>
                <w:color w:val="000000" w:themeColor="text1"/>
                <w:sz w:val="20"/>
                <w:szCs w:val="20"/>
              </w:rPr>
              <w:t>p</w:t>
            </w:r>
            <w:r w:rsidRPr="009E35ED">
              <w:rPr>
                <w:rFonts w:ascii="Arial Narrow" w:hAnsi="Arial Narrow"/>
                <w:color w:val="000000" w:themeColor="text1"/>
                <w:sz w:val="20"/>
                <w:szCs w:val="20"/>
              </w:rPr>
              <w:t>rogram-Head Office</w:t>
            </w:r>
          </w:p>
        </w:tc>
        <w:tc>
          <w:tcPr>
            <w:tcW w:w="1716" w:type="dxa"/>
            <w:tcBorders>
              <w:top w:val="nil"/>
              <w:left w:val="nil"/>
              <w:bottom w:val="nil"/>
              <w:right w:val="nil"/>
            </w:tcBorders>
            <w:shd w:val="clear" w:color="auto" w:fill="auto"/>
            <w:noWrap/>
            <w:hideMark/>
          </w:tcPr>
          <w:p w14:paraId="757E8530" w14:textId="4752EC73" w:rsidR="004C6CAE" w:rsidRPr="009E35ED" w:rsidRDefault="00035920" w:rsidP="004C6CAE">
            <w:pPr>
              <w:ind w:left="0"/>
              <w:jc w:val="right"/>
              <w:rPr>
                <w:rFonts w:ascii="Arial Narrow" w:hAnsi="Arial Narrow" w:cs="Arial"/>
                <w:color w:val="000000" w:themeColor="text1"/>
                <w:sz w:val="20"/>
                <w:szCs w:val="20"/>
                <w:lang w:val="en-PH" w:eastAsia="en-PH"/>
              </w:rPr>
            </w:pPr>
            <w:r w:rsidRPr="009E35ED">
              <w:rPr>
                <w:rFonts w:ascii="Arial Narrow" w:hAnsi="Arial Narrow"/>
                <w:color w:val="000000" w:themeColor="text1"/>
                <w:sz w:val="20"/>
                <w:szCs w:val="20"/>
              </w:rPr>
              <w:t>(</w:t>
            </w:r>
            <w:r w:rsidR="004C6CAE" w:rsidRPr="009E35ED">
              <w:rPr>
                <w:rFonts w:ascii="Arial Narrow" w:hAnsi="Arial Narrow"/>
                <w:color w:val="000000" w:themeColor="text1"/>
                <w:sz w:val="20"/>
                <w:szCs w:val="20"/>
              </w:rPr>
              <w:t>3,978,000</w:t>
            </w:r>
            <w:r w:rsidRPr="009E35ED">
              <w:rPr>
                <w:rFonts w:ascii="Arial Narrow" w:hAnsi="Arial Narrow"/>
                <w:color w:val="000000" w:themeColor="text1"/>
                <w:sz w:val="20"/>
                <w:szCs w:val="20"/>
              </w:rPr>
              <w:t>)</w:t>
            </w:r>
            <w:r w:rsidR="004C6CAE" w:rsidRPr="009E35ED">
              <w:rPr>
                <w:rFonts w:ascii="Arial Narrow" w:hAnsi="Arial Narrow"/>
                <w:color w:val="000000" w:themeColor="text1"/>
                <w:sz w:val="20"/>
                <w:szCs w:val="20"/>
              </w:rPr>
              <w:t xml:space="preserve"> </w:t>
            </w:r>
          </w:p>
        </w:tc>
      </w:tr>
      <w:tr w:rsidR="00997F75" w:rsidRPr="009E35ED" w14:paraId="21DAC283" w14:textId="77777777" w:rsidTr="00C26DA1">
        <w:trPr>
          <w:trHeight w:val="65"/>
        </w:trPr>
        <w:tc>
          <w:tcPr>
            <w:tcW w:w="7286" w:type="dxa"/>
            <w:tcBorders>
              <w:top w:val="single" w:sz="4" w:space="0" w:color="auto"/>
              <w:left w:val="nil"/>
              <w:bottom w:val="double" w:sz="6" w:space="0" w:color="auto"/>
              <w:right w:val="nil"/>
            </w:tcBorders>
            <w:shd w:val="clear" w:color="auto" w:fill="auto"/>
            <w:hideMark/>
          </w:tcPr>
          <w:p w14:paraId="5528D53D" w14:textId="7151EFD4" w:rsidR="004C6CAE" w:rsidRPr="009E35ED" w:rsidRDefault="004C6CAE" w:rsidP="004C6CAE">
            <w:pPr>
              <w:ind w:left="0"/>
              <w:jc w:val="left"/>
              <w:rPr>
                <w:rFonts w:ascii="Arial Narrow" w:hAnsi="Arial Narrow" w:cs="Arial"/>
                <w:b/>
                <w:bCs/>
                <w:color w:val="000000" w:themeColor="text1"/>
                <w:sz w:val="20"/>
                <w:szCs w:val="20"/>
                <w:lang w:val="en-PH" w:eastAsia="en-PH"/>
              </w:rPr>
            </w:pPr>
            <w:r w:rsidRPr="009E35ED">
              <w:rPr>
                <w:rFonts w:ascii="Arial Narrow" w:hAnsi="Arial Narrow"/>
                <w:b/>
                <w:bCs/>
                <w:color w:val="000000" w:themeColor="text1"/>
                <w:sz w:val="20"/>
                <w:szCs w:val="20"/>
              </w:rPr>
              <w:t>Restated Amount as of December 31, 2022 - Other Charity Expenses (Charity Fund)</w:t>
            </w:r>
          </w:p>
        </w:tc>
        <w:tc>
          <w:tcPr>
            <w:tcW w:w="1716" w:type="dxa"/>
            <w:tcBorders>
              <w:top w:val="single" w:sz="4" w:space="0" w:color="auto"/>
              <w:left w:val="nil"/>
              <w:bottom w:val="double" w:sz="6" w:space="0" w:color="auto"/>
              <w:right w:val="nil"/>
            </w:tcBorders>
            <w:shd w:val="clear" w:color="auto" w:fill="auto"/>
            <w:noWrap/>
            <w:hideMark/>
          </w:tcPr>
          <w:p w14:paraId="1A8956FC" w14:textId="08FA4CB3" w:rsidR="004C6CAE" w:rsidRPr="009E35ED" w:rsidRDefault="004C6CAE">
            <w:pPr>
              <w:ind w:left="0"/>
              <w:jc w:val="right"/>
              <w:rPr>
                <w:rFonts w:ascii="Arial Narrow" w:hAnsi="Arial Narrow" w:cs="Arial"/>
                <w:b/>
                <w:bCs/>
                <w:color w:val="000000" w:themeColor="text1"/>
                <w:sz w:val="20"/>
                <w:szCs w:val="20"/>
                <w:lang w:val="en-PH" w:eastAsia="en-PH"/>
              </w:rPr>
            </w:pPr>
            <w:r w:rsidRPr="009E35ED">
              <w:rPr>
                <w:rFonts w:ascii="Arial Narrow" w:hAnsi="Arial Narrow"/>
                <w:b/>
                <w:bCs/>
                <w:color w:val="000000" w:themeColor="text1"/>
                <w:sz w:val="20"/>
                <w:szCs w:val="20"/>
              </w:rPr>
              <w:t xml:space="preserve"> </w:t>
            </w:r>
            <w:r w:rsidR="00735261" w:rsidRPr="009E35ED">
              <w:rPr>
                <w:rFonts w:ascii="Arial Narrow" w:hAnsi="Arial Narrow"/>
                <w:b/>
                <w:bCs/>
                <w:color w:val="000000" w:themeColor="text1"/>
                <w:sz w:val="20"/>
                <w:szCs w:val="20"/>
              </w:rPr>
              <w:t>741,408,495</w:t>
            </w:r>
          </w:p>
        </w:tc>
      </w:tr>
      <w:tr w:rsidR="00997F75" w:rsidRPr="009E35ED" w14:paraId="2A79D938" w14:textId="77777777" w:rsidTr="00C26DA1">
        <w:trPr>
          <w:trHeight w:val="300"/>
        </w:trPr>
        <w:tc>
          <w:tcPr>
            <w:tcW w:w="7286" w:type="dxa"/>
            <w:tcBorders>
              <w:top w:val="nil"/>
              <w:left w:val="nil"/>
              <w:bottom w:val="nil"/>
              <w:right w:val="nil"/>
            </w:tcBorders>
            <w:shd w:val="clear" w:color="auto" w:fill="auto"/>
            <w:vAlign w:val="bottom"/>
            <w:hideMark/>
          </w:tcPr>
          <w:p w14:paraId="6064E192" w14:textId="77777777" w:rsidR="00240956" w:rsidRPr="009E35ED" w:rsidRDefault="00240956" w:rsidP="00240956">
            <w:pPr>
              <w:ind w:left="0"/>
              <w:jc w:val="left"/>
              <w:rPr>
                <w:rFonts w:ascii="Arial Narrow" w:hAnsi="Arial Narrow" w:cs="Arial"/>
                <w:b/>
                <w:bCs/>
                <w:color w:val="000000" w:themeColor="text1"/>
                <w:sz w:val="20"/>
                <w:szCs w:val="20"/>
                <w:lang w:val="en-PH" w:eastAsia="en-PH"/>
              </w:rPr>
            </w:pPr>
          </w:p>
        </w:tc>
        <w:tc>
          <w:tcPr>
            <w:tcW w:w="1716" w:type="dxa"/>
            <w:tcBorders>
              <w:top w:val="nil"/>
              <w:left w:val="nil"/>
              <w:bottom w:val="nil"/>
              <w:right w:val="nil"/>
            </w:tcBorders>
            <w:shd w:val="clear" w:color="auto" w:fill="auto"/>
            <w:noWrap/>
            <w:vAlign w:val="bottom"/>
            <w:hideMark/>
          </w:tcPr>
          <w:p w14:paraId="192E90E8" w14:textId="77777777" w:rsidR="00240956" w:rsidRPr="009E35ED" w:rsidRDefault="00240956" w:rsidP="00240956">
            <w:pPr>
              <w:ind w:left="0"/>
              <w:jc w:val="right"/>
              <w:rPr>
                <w:rFonts w:ascii="Arial Narrow" w:hAnsi="Arial Narrow"/>
                <w:color w:val="000000" w:themeColor="text1"/>
                <w:sz w:val="20"/>
                <w:szCs w:val="20"/>
                <w:lang w:val="en-PH" w:eastAsia="en-PH"/>
              </w:rPr>
            </w:pPr>
          </w:p>
        </w:tc>
      </w:tr>
      <w:tr w:rsidR="00997F75" w:rsidRPr="009E35ED" w14:paraId="0BF8B1A3" w14:textId="77777777" w:rsidTr="00AD3D41">
        <w:trPr>
          <w:trHeight w:val="75"/>
        </w:trPr>
        <w:tc>
          <w:tcPr>
            <w:tcW w:w="7286" w:type="dxa"/>
            <w:tcBorders>
              <w:top w:val="nil"/>
              <w:left w:val="nil"/>
              <w:bottom w:val="nil"/>
              <w:right w:val="nil"/>
            </w:tcBorders>
            <w:shd w:val="clear" w:color="auto" w:fill="auto"/>
            <w:hideMark/>
          </w:tcPr>
          <w:p w14:paraId="1F8EF105" w14:textId="055D2AF9" w:rsidR="00C26DA1" w:rsidRPr="009E35ED" w:rsidRDefault="00C26DA1" w:rsidP="00B90388">
            <w:pPr>
              <w:keepNext/>
              <w:keepLines/>
              <w:ind w:left="0"/>
              <w:jc w:val="left"/>
              <w:rPr>
                <w:rFonts w:ascii="Arial Narrow" w:hAnsi="Arial Narrow" w:cs="Arial"/>
                <w:color w:val="000000" w:themeColor="text1"/>
                <w:sz w:val="20"/>
                <w:szCs w:val="20"/>
                <w:lang w:val="en-PH" w:eastAsia="en-PH"/>
              </w:rPr>
            </w:pPr>
            <w:r w:rsidRPr="009E35ED">
              <w:rPr>
                <w:rFonts w:ascii="Arial Narrow" w:hAnsi="Arial Narrow"/>
                <w:color w:val="000000" w:themeColor="text1"/>
                <w:sz w:val="20"/>
                <w:szCs w:val="20"/>
              </w:rPr>
              <w:t xml:space="preserve">Unrestated </w:t>
            </w:r>
            <w:r w:rsidR="006F24BC">
              <w:rPr>
                <w:rFonts w:ascii="Arial Narrow" w:hAnsi="Arial Narrow"/>
                <w:color w:val="000000" w:themeColor="text1"/>
                <w:sz w:val="20"/>
                <w:szCs w:val="20"/>
              </w:rPr>
              <w:t>a</w:t>
            </w:r>
            <w:r w:rsidRPr="009E35ED">
              <w:rPr>
                <w:rFonts w:ascii="Arial Narrow" w:hAnsi="Arial Narrow"/>
                <w:color w:val="000000" w:themeColor="text1"/>
                <w:sz w:val="20"/>
                <w:szCs w:val="20"/>
              </w:rPr>
              <w:t>mount as of December 31, 2022</w:t>
            </w:r>
          </w:p>
        </w:tc>
        <w:tc>
          <w:tcPr>
            <w:tcW w:w="1716" w:type="dxa"/>
            <w:tcBorders>
              <w:top w:val="nil"/>
              <w:left w:val="nil"/>
              <w:bottom w:val="nil"/>
              <w:right w:val="nil"/>
            </w:tcBorders>
            <w:shd w:val="clear" w:color="auto" w:fill="auto"/>
            <w:noWrap/>
            <w:hideMark/>
          </w:tcPr>
          <w:p w14:paraId="49C0FEB8" w14:textId="45D87B22" w:rsidR="00C26DA1" w:rsidRPr="009E35ED" w:rsidRDefault="00C26DA1" w:rsidP="00B90388">
            <w:pPr>
              <w:keepNext/>
              <w:keepLines/>
              <w:ind w:left="0"/>
              <w:jc w:val="right"/>
              <w:rPr>
                <w:rFonts w:ascii="Arial Narrow" w:hAnsi="Arial Narrow" w:cs="Arial"/>
                <w:color w:val="000000" w:themeColor="text1"/>
                <w:sz w:val="20"/>
                <w:szCs w:val="20"/>
                <w:lang w:val="en-PH" w:eastAsia="en-PH"/>
              </w:rPr>
            </w:pPr>
            <w:r w:rsidRPr="009E35ED">
              <w:rPr>
                <w:rFonts w:ascii="Arial Narrow" w:hAnsi="Arial Narrow"/>
                <w:color w:val="000000" w:themeColor="text1"/>
                <w:sz w:val="20"/>
                <w:szCs w:val="20"/>
              </w:rPr>
              <w:t xml:space="preserve"> 499,490 </w:t>
            </w:r>
          </w:p>
        </w:tc>
      </w:tr>
      <w:tr w:rsidR="00997F75" w:rsidRPr="009E35ED" w14:paraId="29B20E2E" w14:textId="77777777" w:rsidTr="00AD3D41">
        <w:trPr>
          <w:trHeight w:val="75"/>
        </w:trPr>
        <w:tc>
          <w:tcPr>
            <w:tcW w:w="7286" w:type="dxa"/>
            <w:tcBorders>
              <w:top w:val="nil"/>
              <w:left w:val="nil"/>
              <w:bottom w:val="nil"/>
              <w:right w:val="nil"/>
            </w:tcBorders>
            <w:shd w:val="clear" w:color="auto" w:fill="auto"/>
            <w:hideMark/>
          </w:tcPr>
          <w:p w14:paraId="5EC3770E" w14:textId="0FDE71B7" w:rsidR="00C26DA1" w:rsidRPr="009E35ED" w:rsidRDefault="00C26DA1" w:rsidP="00B90388">
            <w:pPr>
              <w:keepNext/>
              <w:keepLines/>
              <w:ind w:left="0"/>
              <w:jc w:val="left"/>
              <w:rPr>
                <w:rFonts w:ascii="Arial Narrow" w:hAnsi="Arial Narrow" w:cs="Arial"/>
                <w:color w:val="000000" w:themeColor="text1"/>
                <w:sz w:val="20"/>
                <w:szCs w:val="20"/>
                <w:lang w:val="en-PH" w:eastAsia="en-PH"/>
              </w:rPr>
            </w:pPr>
            <w:r w:rsidRPr="009E35ED">
              <w:rPr>
                <w:rFonts w:ascii="Arial Narrow" w:hAnsi="Arial Narrow"/>
                <w:color w:val="000000" w:themeColor="text1"/>
                <w:sz w:val="20"/>
                <w:szCs w:val="20"/>
              </w:rPr>
              <w:t xml:space="preserve">Adjustment/Recording of </w:t>
            </w:r>
            <w:r w:rsidR="006F24BC">
              <w:rPr>
                <w:rFonts w:ascii="Arial Narrow" w:hAnsi="Arial Narrow"/>
                <w:color w:val="000000" w:themeColor="text1"/>
                <w:sz w:val="20"/>
                <w:szCs w:val="20"/>
              </w:rPr>
              <w:t>t</w:t>
            </w:r>
            <w:r w:rsidRPr="009E35ED">
              <w:rPr>
                <w:rFonts w:ascii="Arial Narrow" w:hAnsi="Arial Narrow"/>
                <w:color w:val="000000" w:themeColor="text1"/>
                <w:sz w:val="20"/>
                <w:szCs w:val="20"/>
              </w:rPr>
              <w:t xml:space="preserve">axes, </w:t>
            </w:r>
            <w:r w:rsidR="006F24BC">
              <w:rPr>
                <w:rFonts w:ascii="Arial Narrow" w:hAnsi="Arial Narrow"/>
                <w:color w:val="000000" w:themeColor="text1"/>
                <w:sz w:val="20"/>
                <w:szCs w:val="20"/>
              </w:rPr>
              <w:t>d</w:t>
            </w:r>
            <w:r w:rsidRPr="009E35ED">
              <w:rPr>
                <w:rFonts w:ascii="Arial Narrow" w:hAnsi="Arial Narrow"/>
                <w:color w:val="000000" w:themeColor="text1"/>
                <w:sz w:val="20"/>
                <w:szCs w:val="20"/>
              </w:rPr>
              <w:t xml:space="preserve">uties </w:t>
            </w:r>
            <w:r w:rsidR="006F24BC">
              <w:rPr>
                <w:rFonts w:ascii="Arial Narrow" w:hAnsi="Arial Narrow"/>
                <w:color w:val="000000" w:themeColor="text1"/>
                <w:sz w:val="20"/>
                <w:szCs w:val="20"/>
              </w:rPr>
              <w:t>a</w:t>
            </w:r>
            <w:r w:rsidRPr="009E35ED">
              <w:rPr>
                <w:rFonts w:ascii="Arial Narrow" w:hAnsi="Arial Narrow"/>
                <w:color w:val="000000" w:themeColor="text1"/>
                <w:sz w:val="20"/>
                <w:szCs w:val="20"/>
              </w:rPr>
              <w:t xml:space="preserve">nd </w:t>
            </w:r>
            <w:r w:rsidR="006F24BC">
              <w:rPr>
                <w:rFonts w:ascii="Arial Narrow" w:hAnsi="Arial Narrow"/>
                <w:color w:val="000000" w:themeColor="text1"/>
                <w:sz w:val="20"/>
                <w:szCs w:val="20"/>
              </w:rPr>
              <w:t>f</w:t>
            </w:r>
            <w:r w:rsidRPr="009E35ED">
              <w:rPr>
                <w:rFonts w:ascii="Arial Narrow" w:hAnsi="Arial Narrow"/>
                <w:color w:val="000000" w:themeColor="text1"/>
                <w:sz w:val="20"/>
                <w:szCs w:val="20"/>
              </w:rPr>
              <w:t>ees - Head Office</w:t>
            </w:r>
          </w:p>
        </w:tc>
        <w:tc>
          <w:tcPr>
            <w:tcW w:w="1716" w:type="dxa"/>
            <w:tcBorders>
              <w:top w:val="nil"/>
              <w:left w:val="nil"/>
              <w:bottom w:val="nil"/>
              <w:right w:val="nil"/>
            </w:tcBorders>
            <w:shd w:val="clear" w:color="auto" w:fill="auto"/>
            <w:noWrap/>
            <w:hideMark/>
          </w:tcPr>
          <w:p w14:paraId="0BBB40CF" w14:textId="2AC49BA5" w:rsidR="00C26DA1" w:rsidRPr="009E35ED" w:rsidRDefault="00C26DA1" w:rsidP="00B90388">
            <w:pPr>
              <w:keepNext/>
              <w:keepLines/>
              <w:ind w:left="0"/>
              <w:jc w:val="right"/>
              <w:rPr>
                <w:rFonts w:ascii="Arial Narrow" w:hAnsi="Arial Narrow" w:cs="Arial"/>
                <w:color w:val="000000" w:themeColor="text1"/>
                <w:sz w:val="20"/>
                <w:szCs w:val="20"/>
                <w:lang w:val="en-PH" w:eastAsia="en-PH"/>
              </w:rPr>
            </w:pPr>
            <w:r w:rsidRPr="009E35ED">
              <w:rPr>
                <w:rFonts w:ascii="Arial Narrow" w:hAnsi="Arial Narrow"/>
                <w:color w:val="000000" w:themeColor="text1"/>
                <w:sz w:val="20"/>
                <w:szCs w:val="20"/>
              </w:rPr>
              <w:t xml:space="preserve"> 11 </w:t>
            </w:r>
          </w:p>
        </w:tc>
      </w:tr>
      <w:tr w:rsidR="00997F75" w:rsidRPr="009E35ED" w14:paraId="7613292C" w14:textId="77777777" w:rsidTr="00AD3D41">
        <w:trPr>
          <w:trHeight w:val="65"/>
        </w:trPr>
        <w:tc>
          <w:tcPr>
            <w:tcW w:w="7286" w:type="dxa"/>
            <w:tcBorders>
              <w:top w:val="single" w:sz="4" w:space="0" w:color="auto"/>
              <w:left w:val="nil"/>
              <w:bottom w:val="double" w:sz="6" w:space="0" w:color="auto"/>
              <w:right w:val="nil"/>
            </w:tcBorders>
            <w:shd w:val="clear" w:color="auto" w:fill="auto"/>
            <w:hideMark/>
          </w:tcPr>
          <w:p w14:paraId="2ED6D168" w14:textId="1716C157" w:rsidR="00C26DA1" w:rsidRPr="009E35ED" w:rsidRDefault="00C26DA1" w:rsidP="00B90388">
            <w:pPr>
              <w:keepNext/>
              <w:keepLines/>
              <w:ind w:left="0"/>
              <w:jc w:val="left"/>
              <w:rPr>
                <w:rFonts w:ascii="Arial Narrow" w:hAnsi="Arial Narrow" w:cs="Arial"/>
                <w:b/>
                <w:bCs/>
                <w:color w:val="000000" w:themeColor="text1"/>
                <w:sz w:val="20"/>
                <w:szCs w:val="20"/>
                <w:lang w:val="en-PH" w:eastAsia="en-PH"/>
              </w:rPr>
            </w:pPr>
            <w:r w:rsidRPr="009E35ED">
              <w:rPr>
                <w:rFonts w:ascii="Arial Narrow" w:hAnsi="Arial Narrow"/>
                <w:b/>
                <w:bCs/>
                <w:color w:val="000000" w:themeColor="text1"/>
                <w:sz w:val="20"/>
                <w:szCs w:val="20"/>
              </w:rPr>
              <w:t>Restated Amount as of December 31, 2022 - Taxes, Duties and Fees (Prize Fund)</w:t>
            </w:r>
          </w:p>
        </w:tc>
        <w:tc>
          <w:tcPr>
            <w:tcW w:w="1716" w:type="dxa"/>
            <w:tcBorders>
              <w:top w:val="single" w:sz="4" w:space="0" w:color="auto"/>
              <w:left w:val="nil"/>
              <w:bottom w:val="double" w:sz="6" w:space="0" w:color="auto"/>
              <w:right w:val="nil"/>
            </w:tcBorders>
            <w:shd w:val="clear" w:color="auto" w:fill="auto"/>
            <w:noWrap/>
            <w:hideMark/>
          </w:tcPr>
          <w:p w14:paraId="022C3C55" w14:textId="039F8C70" w:rsidR="00C26DA1" w:rsidRPr="009E35ED" w:rsidRDefault="00C26DA1" w:rsidP="00B90388">
            <w:pPr>
              <w:keepNext/>
              <w:keepLines/>
              <w:ind w:left="0"/>
              <w:jc w:val="right"/>
              <w:rPr>
                <w:rFonts w:ascii="Arial Narrow" w:hAnsi="Arial Narrow" w:cs="Arial"/>
                <w:b/>
                <w:bCs/>
                <w:color w:val="000000" w:themeColor="text1"/>
                <w:sz w:val="20"/>
                <w:szCs w:val="20"/>
                <w:lang w:val="en-PH" w:eastAsia="en-PH"/>
              </w:rPr>
            </w:pPr>
            <w:r w:rsidRPr="009E35ED">
              <w:rPr>
                <w:rFonts w:ascii="Arial Narrow" w:hAnsi="Arial Narrow"/>
                <w:b/>
                <w:bCs/>
                <w:color w:val="000000" w:themeColor="text1"/>
                <w:sz w:val="20"/>
                <w:szCs w:val="20"/>
              </w:rPr>
              <w:t xml:space="preserve"> 499,501 </w:t>
            </w:r>
          </w:p>
        </w:tc>
      </w:tr>
      <w:tr w:rsidR="00997F75" w:rsidRPr="009E35ED" w14:paraId="65DAA5A3" w14:textId="77777777" w:rsidTr="00C26DA1">
        <w:trPr>
          <w:trHeight w:val="300"/>
        </w:trPr>
        <w:tc>
          <w:tcPr>
            <w:tcW w:w="7286" w:type="dxa"/>
            <w:tcBorders>
              <w:top w:val="nil"/>
              <w:left w:val="nil"/>
              <w:bottom w:val="nil"/>
              <w:right w:val="nil"/>
            </w:tcBorders>
            <w:shd w:val="clear" w:color="auto" w:fill="auto"/>
          </w:tcPr>
          <w:p w14:paraId="581F61D7" w14:textId="0E720A1D" w:rsidR="00C26DA1" w:rsidRPr="009E35ED" w:rsidRDefault="00C26DA1" w:rsidP="00C26DA1">
            <w:pPr>
              <w:ind w:left="0"/>
              <w:jc w:val="left"/>
              <w:rPr>
                <w:rFonts w:ascii="Arial Narrow" w:hAnsi="Arial Narrow" w:cs="Arial"/>
                <w:b/>
                <w:bCs/>
                <w:color w:val="000000" w:themeColor="text1"/>
                <w:sz w:val="20"/>
                <w:szCs w:val="20"/>
                <w:lang w:val="en-PH" w:eastAsia="en-PH"/>
              </w:rPr>
            </w:pPr>
          </w:p>
        </w:tc>
        <w:tc>
          <w:tcPr>
            <w:tcW w:w="1716" w:type="dxa"/>
            <w:tcBorders>
              <w:top w:val="nil"/>
              <w:left w:val="nil"/>
              <w:bottom w:val="nil"/>
              <w:right w:val="nil"/>
            </w:tcBorders>
            <w:shd w:val="clear" w:color="auto" w:fill="auto"/>
            <w:noWrap/>
            <w:vAlign w:val="bottom"/>
          </w:tcPr>
          <w:p w14:paraId="46F95264" w14:textId="77777777" w:rsidR="00C26DA1" w:rsidRPr="009E35ED" w:rsidRDefault="00C26DA1" w:rsidP="00C26DA1">
            <w:pPr>
              <w:ind w:left="0"/>
              <w:jc w:val="right"/>
              <w:rPr>
                <w:rFonts w:ascii="Arial Narrow" w:hAnsi="Arial Narrow"/>
                <w:color w:val="000000" w:themeColor="text1"/>
                <w:sz w:val="20"/>
                <w:szCs w:val="20"/>
                <w:lang w:val="en-PH" w:eastAsia="en-PH"/>
              </w:rPr>
            </w:pPr>
          </w:p>
        </w:tc>
      </w:tr>
      <w:tr w:rsidR="00997F75" w:rsidRPr="009E35ED" w14:paraId="17120215" w14:textId="77777777" w:rsidTr="00AD3D41">
        <w:trPr>
          <w:trHeight w:val="75"/>
        </w:trPr>
        <w:tc>
          <w:tcPr>
            <w:tcW w:w="7286" w:type="dxa"/>
            <w:tcBorders>
              <w:top w:val="nil"/>
              <w:left w:val="nil"/>
              <w:bottom w:val="nil"/>
              <w:right w:val="nil"/>
            </w:tcBorders>
            <w:shd w:val="clear" w:color="auto" w:fill="auto"/>
            <w:hideMark/>
          </w:tcPr>
          <w:p w14:paraId="7451B0EB" w14:textId="63BD2ADB" w:rsidR="00554E38" w:rsidRPr="009E35ED" w:rsidRDefault="00554E38" w:rsidP="00554E38">
            <w:pPr>
              <w:ind w:left="0"/>
              <w:jc w:val="left"/>
              <w:rPr>
                <w:rFonts w:ascii="Arial Narrow" w:hAnsi="Arial Narrow" w:cs="Arial"/>
                <w:color w:val="000000" w:themeColor="text1"/>
                <w:sz w:val="20"/>
                <w:szCs w:val="20"/>
                <w:lang w:val="en-PH" w:eastAsia="en-PH"/>
              </w:rPr>
            </w:pPr>
            <w:r w:rsidRPr="009E35ED">
              <w:rPr>
                <w:rFonts w:ascii="Arial Narrow" w:hAnsi="Arial Narrow"/>
                <w:color w:val="000000" w:themeColor="text1"/>
                <w:sz w:val="20"/>
                <w:szCs w:val="20"/>
              </w:rPr>
              <w:t xml:space="preserve">Unrestated </w:t>
            </w:r>
            <w:r w:rsidR="006F24BC">
              <w:rPr>
                <w:rFonts w:ascii="Arial Narrow" w:hAnsi="Arial Narrow"/>
                <w:color w:val="000000" w:themeColor="text1"/>
                <w:sz w:val="20"/>
                <w:szCs w:val="20"/>
              </w:rPr>
              <w:t>a</w:t>
            </w:r>
            <w:r w:rsidRPr="009E35ED">
              <w:rPr>
                <w:rFonts w:ascii="Arial Narrow" w:hAnsi="Arial Narrow"/>
                <w:color w:val="000000" w:themeColor="text1"/>
                <w:sz w:val="20"/>
                <w:szCs w:val="20"/>
              </w:rPr>
              <w:t>mount as of December 31, 2022</w:t>
            </w:r>
          </w:p>
        </w:tc>
        <w:tc>
          <w:tcPr>
            <w:tcW w:w="1716" w:type="dxa"/>
            <w:tcBorders>
              <w:top w:val="nil"/>
              <w:left w:val="nil"/>
              <w:bottom w:val="nil"/>
              <w:right w:val="nil"/>
            </w:tcBorders>
            <w:shd w:val="clear" w:color="auto" w:fill="auto"/>
            <w:noWrap/>
            <w:hideMark/>
          </w:tcPr>
          <w:p w14:paraId="7CFD28C5" w14:textId="35A87EB9" w:rsidR="00554E38" w:rsidRPr="009E35ED" w:rsidRDefault="00554E38" w:rsidP="00554E38">
            <w:pPr>
              <w:ind w:left="0"/>
              <w:jc w:val="right"/>
              <w:rPr>
                <w:rFonts w:ascii="Arial Narrow" w:hAnsi="Arial Narrow" w:cs="Arial"/>
                <w:color w:val="000000" w:themeColor="text1"/>
                <w:sz w:val="20"/>
                <w:szCs w:val="20"/>
                <w:lang w:val="en-PH" w:eastAsia="en-PH"/>
              </w:rPr>
            </w:pPr>
            <w:r w:rsidRPr="009E35ED">
              <w:rPr>
                <w:rFonts w:ascii="Arial Narrow" w:hAnsi="Arial Narrow"/>
                <w:color w:val="000000" w:themeColor="text1"/>
                <w:sz w:val="20"/>
                <w:szCs w:val="20"/>
              </w:rPr>
              <w:t xml:space="preserve"> 3,916,407,631 </w:t>
            </w:r>
          </w:p>
        </w:tc>
      </w:tr>
      <w:tr w:rsidR="00997F75" w:rsidRPr="009E35ED" w14:paraId="45F2F030" w14:textId="77777777" w:rsidTr="00AD3D41">
        <w:trPr>
          <w:trHeight w:val="75"/>
        </w:trPr>
        <w:tc>
          <w:tcPr>
            <w:tcW w:w="7286" w:type="dxa"/>
            <w:tcBorders>
              <w:top w:val="nil"/>
              <w:left w:val="nil"/>
              <w:bottom w:val="nil"/>
              <w:right w:val="nil"/>
            </w:tcBorders>
            <w:shd w:val="clear" w:color="auto" w:fill="auto"/>
          </w:tcPr>
          <w:p w14:paraId="2F51EDF4" w14:textId="671F9854" w:rsidR="00554E38" w:rsidRPr="009E35ED" w:rsidRDefault="00554E38" w:rsidP="00554E38">
            <w:pPr>
              <w:ind w:left="0"/>
              <w:jc w:val="left"/>
              <w:rPr>
                <w:rFonts w:ascii="Arial Narrow" w:hAnsi="Arial Narrow" w:cs="Arial"/>
                <w:color w:val="000000" w:themeColor="text1"/>
                <w:sz w:val="20"/>
                <w:szCs w:val="20"/>
                <w:lang w:val="en-PH" w:eastAsia="en-PH"/>
              </w:rPr>
            </w:pPr>
            <w:r w:rsidRPr="009E35ED">
              <w:rPr>
                <w:rFonts w:ascii="Arial Narrow" w:hAnsi="Arial Narrow"/>
                <w:color w:val="000000" w:themeColor="text1"/>
                <w:sz w:val="20"/>
                <w:szCs w:val="20"/>
              </w:rPr>
              <w:t xml:space="preserve">Adjustment/Recording of </w:t>
            </w:r>
            <w:r w:rsidR="006F24BC">
              <w:rPr>
                <w:rFonts w:ascii="Arial Narrow" w:hAnsi="Arial Narrow"/>
                <w:color w:val="000000" w:themeColor="text1"/>
                <w:sz w:val="20"/>
                <w:szCs w:val="20"/>
              </w:rPr>
              <w:t>p</w:t>
            </w:r>
            <w:r w:rsidRPr="009E35ED">
              <w:rPr>
                <w:rFonts w:ascii="Arial Narrow" w:hAnsi="Arial Narrow"/>
                <w:color w:val="000000" w:themeColor="text1"/>
                <w:sz w:val="20"/>
                <w:szCs w:val="20"/>
              </w:rPr>
              <w:t>rizes-</w:t>
            </w:r>
            <w:r w:rsidR="006F24BC">
              <w:rPr>
                <w:rFonts w:ascii="Arial Narrow" w:hAnsi="Arial Narrow"/>
                <w:color w:val="000000" w:themeColor="text1"/>
                <w:sz w:val="20"/>
                <w:szCs w:val="20"/>
              </w:rPr>
              <w:t>a</w:t>
            </w:r>
            <w:r w:rsidRPr="009E35ED">
              <w:rPr>
                <w:rFonts w:ascii="Arial Narrow" w:hAnsi="Arial Narrow"/>
                <w:color w:val="000000" w:themeColor="text1"/>
                <w:sz w:val="20"/>
                <w:szCs w:val="20"/>
              </w:rPr>
              <w:t xml:space="preserve">gent's </w:t>
            </w:r>
            <w:r w:rsidR="006F24BC">
              <w:rPr>
                <w:rFonts w:ascii="Arial Narrow" w:hAnsi="Arial Narrow"/>
                <w:color w:val="000000" w:themeColor="text1"/>
                <w:sz w:val="20"/>
                <w:szCs w:val="20"/>
              </w:rPr>
              <w:t>c</w:t>
            </w:r>
            <w:r w:rsidRPr="009E35ED">
              <w:rPr>
                <w:rFonts w:ascii="Arial Narrow" w:hAnsi="Arial Narrow"/>
                <w:color w:val="000000" w:themeColor="text1"/>
                <w:sz w:val="20"/>
                <w:szCs w:val="20"/>
              </w:rPr>
              <w:t xml:space="preserve">ommission on </w:t>
            </w:r>
            <w:r w:rsidR="006F24BC">
              <w:rPr>
                <w:rFonts w:ascii="Arial Narrow" w:hAnsi="Arial Narrow"/>
                <w:color w:val="000000" w:themeColor="text1"/>
                <w:sz w:val="20"/>
                <w:szCs w:val="20"/>
              </w:rPr>
              <w:t>j</w:t>
            </w:r>
            <w:r w:rsidRPr="009E35ED">
              <w:rPr>
                <w:rFonts w:ascii="Arial Narrow" w:hAnsi="Arial Narrow"/>
                <w:color w:val="000000" w:themeColor="text1"/>
                <w:sz w:val="20"/>
                <w:szCs w:val="20"/>
              </w:rPr>
              <w:t>ackpot-</w:t>
            </w:r>
            <w:r w:rsidR="006F24BC">
              <w:rPr>
                <w:rFonts w:ascii="Arial Narrow" w:hAnsi="Arial Narrow"/>
                <w:color w:val="000000" w:themeColor="text1"/>
                <w:sz w:val="20"/>
                <w:szCs w:val="20"/>
              </w:rPr>
              <w:t>l</w:t>
            </w:r>
            <w:r w:rsidRPr="009E35ED">
              <w:rPr>
                <w:rFonts w:ascii="Arial Narrow" w:hAnsi="Arial Narrow"/>
                <w:color w:val="000000" w:themeColor="text1"/>
                <w:sz w:val="20"/>
                <w:szCs w:val="20"/>
              </w:rPr>
              <w:t>otto-Head Office</w:t>
            </w:r>
          </w:p>
        </w:tc>
        <w:tc>
          <w:tcPr>
            <w:tcW w:w="1716" w:type="dxa"/>
            <w:tcBorders>
              <w:top w:val="nil"/>
              <w:left w:val="nil"/>
              <w:bottom w:val="nil"/>
              <w:right w:val="nil"/>
            </w:tcBorders>
            <w:shd w:val="clear" w:color="auto" w:fill="auto"/>
            <w:noWrap/>
          </w:tcPr>
          <w:p w14:paraId="75227517" w14:textId="053A06B1" w:rsidR="00554E38" w:rsidRPr="009E35ED" w:rsidRDefault="00554E38" w:rsidP="00554E38">
            <w:pPr>
              <w:ind w:left="0"/>
              <w:jc w:val="right"/>
              <w:rPr>
                <w:rFonts w:ascii="Arial Narrow" w:hAnsi="Arial Narrow" w:cs="Arial"/>
                <w:color w:val="000000" w:themeColor="text1"/>
                <w:sz w:val="20"/>
                <w:szCs w:val="20"/>
                <w:lang w:val="en-PH" w:eastAsia="en-PH"/>
              </w:rPr>
            </w:pPr>
            <w:r w:rsidRPr="009E35ED">
              <w:rPr>
                <w:rFonts w:ascii="Arial Narrow" w:hAnsi="Arial Narrow"/>
                <w:color w:val="000000" w:themeColor="text1"/>
                <w:sz w:val="20"/>
                <w:szCs w:val="20"/>
              </w:rPr>
              <w:t xml:space="preserve"> (250,000)</w:t>
            </w:r>
          </w:p>
        </w:tc>
      </w:tr>
      <w:tr w:rsidR="00997F75" w:rsidRPr="009E35ED" w14:paraId="5BB4F622" w14:textId="77777777" w:rsidTr="00AD3D41">
        <w:trPr>
          <w:trHeight w:val="75"/>
        </w:trPr>
        <w:tc>
          <w:tcPr>
            <w:tcW w:w="7286" w:type="dxa"/>
            <w:tcBorders>
              <w:top w:val="nil"/>
              <w:left w:val="nil"/>
              <w:bottom w:val="nil"/>
              <w:right w:val="nil"/>
            </w:tcBorders>
            <w:shd w:val="clear" w:color="auto" w:fill="auto"/>
          </w:tcPr>
          <w:p w14:paraId="49697DD3" w14:textId="21584933" w:rsidR="00554E38" w:rsidRPr="009E35ED" w:rsidRDefault="00554E38" w:rsidP="00554E38">
            <w:pPr>
              <w:ind w:left="0"/>
              <w:jc w:val="left"/>
              <w:rPr>
                <w:rFonts w:ascii="Arial Narrow" w:hAnsi="Arial Narrow"/>
                <w:color w:val="000000" w:themeColor="text1"/>
                <w:sz w:val="20"/>
                <w:szCs w:val="20"/>
              </w:rPr>
            </w:pPr>
            <w:r w:rsidRPr="009E35ED">
              <w:rPr>
                <w:rFonts w:ascii="Arial Narrow" w:hAnsi="Arial Narrow"/>
                <w:color w:val="000000" w:themeColor="text1"/>
                <w:sz w:val="20"/>
                <w:szCs w:val="20"/>
              </w:rPr>
              <w:t xml:space="preserve">Adjustment/Recording of </w:t>
            </w:r>
            <w:r w:rsidR="006F24BC">
              <w:rPr>
                <w:rFonts w:ascii="Arial Narrow" w:hAnsi="Arial Narrow"/>
                <w:color w:val="000000" w:themeColor="text1"/>
                <w:sz w:val="20"/>
                <w:szCs w:val="20"/>
              </w:rPr>
              <w:t>p</w:t>
            </w:r>
            <w:r w:rsidRPr="009E35ED">
              <w:rPr>
                <w:rFonts w:ascii="Arial Narrow" w:hAnsi="Arial Narrow"/>
                <w:color w:val="000000" w:themeColor="text1"/>
                <w:sz w:val="20"/>
                <w:szCs w:val="20"/>
              </w:rPr>
              <w:t>rizes-</w:t>
            </w:r>
            <w:r w:rsidR="006F24BC">
              <w:rPr>
                <w:rFonts w:ascii="Arial Narrow" w:hAnsi="Arial Narrow"/>
                <w:color w:val="000000" w:themeColor="text1"/>
                <w:sz w:val="20"/>
                <w:szCs w:val="20"/>
              </w:rPr>
              <w:t>a</w:t>
            </w:r>
            <w:r w:rsidRPr="009E35ED">
              <w:rPr>
                <w:rFonts w:ascii="Arial Narrow" w:hAnsi="Arial Narrow"/>
                <w:color w:val="000000" w:themeColor="text1"/>
                <w:sz w:val="20"/>
                <w:szCs w:val="20"/>
              </w:rPr>
              <w:t xml:space="preserve">gent's </w:t>
            </w:r>
            <w:r w:rsidR="006F24BC">
              <w:rPr>
                <w:rFonts w:ascii="Arial Narrow" w:hAnsi="Arial Narrow"/>
                <w:color w:val="000000" w:themeColor="text1"/>
                <w:sz w:val="20"/>
                <w:szCs w:val="20"/>
              </w:rPr>
              <w:t>c</w:t>
            </w:r>
            <w:r w:rsidRPr="009E35ED">
              <w:rPr>
                <w:rFonts w:ascii="Arial Narrow" w:hAnsi="Arial Narrow"/>
                <w:color w:val="000000" w:themeColor="text1"/>
                <w:sz w:val="20"/>
                <w:szCs w:val="20"/>
              </w:rPr>
              <w:t xml:space="preserve">ommission on </w:t>
            </w:r>
            <w:r w:rsidR="006F24BC">
              <w:rPr>
                <w:rFonts w:ascii="Arial Narrow" w:hAnsi="Arial Narrow"/>
                <w:color w:val="000000" w:themeColor="text1"/>
                <w:sz w:val="20"/>
                <w:szCs w:val="20"/>
              </w:rPr>
              <w:t>j</w:t>
            </w:r>
            <w:r w:rsidRPr="009E35ED">
              <w:rPr>
                <w:rFonts w:ascii="Arial Narrow" w:hAnsi="Arial Narrow"/>
                <w:color w:val="000000" w:themeColor="text1"/>
                <w:sz w:val="20"/>
                <w:szCs w:val="20"/>
              </w:rPr>
              <w:t>ackpot-</w:t>
            </w:r>
            <w:r w:rsidR="006F24BC">
              <w:rPr>
                <w:rFonts w:ascii="Arial Narrow" w:hAnsi="Arial Narrow"/>
                <w:color w:val="000000" w:themeColor="text1"/>
                <w:sz w:val="20"/>
                <w:szCs w:val="20"/>
              </w:rPr>
              <w:t>l</w:t>
            </w:r>
            <w:r w:rsidRPr="009E35ED">
              <w:rPr>
                <w:rFonts w:ascii="Arial Narrow" w:hAnsi="Arial Narrow"/>
                <w:color w:val="000000" w:themeColor="text1"/>
                <w:sz w:val="20"/>
                <w:szCs w:val="20"/>
              </w:rPr>
              <w:t>otto-Branch</w:t>
            </w:r>
          </w:p>
        </w:tc>
        <w:tc>
          <w:tcPr>
            <w:tcW w:w="1716" w:type="dxa"/>
            <w:tcBorders>
              <w:top w:val="nil"/>
              <w:left w:val="nil"/>
              <w:bottom w:val="nil"/>
              <w:right w:val="nil"/>
            </w:tcBorders>
            <w:shd w:val="clear" w:color="auto" w:fill="auto"/>
            <w:noWrap/>
          </w:tcPr>
          <w:p w14:paraId="6F0CDE31" w14:textId="37AEBA04" w:rsidR="00554E38" w:rsidRPr="009E35ED" w:rsidRDefault="00554E38" w:rsidP="00554E38">
            <w:pPr>
              <w:ind w:left="0"/>
              <w:jc w:val="right"/>
              <w:rPr>
                <w:rFonts w:ascii="Arial Narrow" w:hAnsi="Arial Narrow"/>
                <w:color w:val="000000" w:themeColor="text1"/>
                <w:sz w:val="20"/>
                <w:szCs w:val="20"/>
              </w:rPr>
            </w:pPr>
            <w:r w:rsidRPr="009E35ED">
              <w:rPr>
                <w:rFonts w:ascii="Arial Narrow" w:hAnsi="Arial Narrow"/>
                <w:color w:val="000000" w:themeColor="text1"/>
                <w:sz w:val="20"/>
                <w:szCs w:val="20"/>
              </w:rPr>
              <w:t xml:space="preserve"> 1,030,000 </w:t>
            </w:r>
          </w:p>
        </w:tc>
      </w:tr>
      <w:tr w:rsidR="00997F75" w:rsidRPr="009E35ED" w14:paraId="656DF2B4" w14:textId="77777777" w:rsidTr="00AD3D41">
        <w:trPr>
          <w:trHeight w:val="75"/>
        </w:trPr>
        <w:tc>
          <w:tcPr>
            <w:tcW w:w="7286" w:type="dxa"/>
            <w:tcBorders>
              <w:top w:val="nil"/>
              <w:left w:val="nil"/>
              <w:bottom w:val="nil"/>
              <w:right w:val="nil"/>
            </w:tcBorders>
            <w:shd w:val="clear" w:color="auto" w:fill="auto"/>
            <w:hideMark/>
          </w:tcPr>
          <w:p w14:paraId="28E6A47D" w14:textId="36D9C470" w:rsidR="00554E38" w:rsidRPr="009E35ED" w:rsidRDefault="00554E38" w:rsidP="00554E38">
            <w:pPr>
              <w:ind w:left="0"/>
              <w:jc w:val="left"/>
              <w:rPr>
                <w:rFonts w:ascii="Arial Narrow" w:hAnsi="Arial Narrow" w:cs="Arial"/>
                <w:color w:val="000000" w:themeColor="text1"/>
                <w:sz w:val="20"/>
                <w:szCs w:val="20"/>
                <w:lang w:val="en-PH" w:eastAsia="en-PH"/>
              </w:rPr>
            </w:pPr>
            <w:r w:rsidRPr="009E35ED">
              <w:rPr>
                <w:rFonts w:ascii="Arial Narrow" w:hAnsi="Arial Narrow"/>
                <w:color w:val="000000" w:themeColor="text1"/>
                <w:sz w:val="20"/>
                <w:szCs w:val="20"/>
              </w:rPr>
              <w:t xml:space="preserve">Adjustment/Recording of </w:t>
            </w:r>
            <w:r w:rsidR="006F24BC">
              <w:rPr>
                <w:rFonts w:ascii="Arial Narrow" w:hAnsi="Arial Narrow"/>
                <w:color w:val="000000" w:themeColor="text1"/>
                <w:sz w:val="20"/>
                <w:szCs w:val="20"/>
              </w:rPr>
              <w:t>p</w:t>
            </w:r>
            <w:r w:rsidRPr="009E35ED">
              <w:rPr>
                <w:rFonts w:ascii="Arial Narrow" w:hAnsi="Arial Narrow"/>
                <w:color w:val="000000" w:themeColor="text1"/>
                <w:sz w:val="20"/>
                <w:szCs w:val="20"/>
              </w:rPr>
              <w:t>rizes-</w:t>
            </w:r>
            <w:r w:rsidR="006F24BC">
              <w:rPr>
                <w:rFonts w:ascii="Arial Narrow" w:hAnsi="Arial Narrow"/>
                <w:color w:val="000000" w:themeColor="text1"/>
                <w:sz w:val="20"/>
                <w:szCs w:val="20"/>
              </w:rPr>
              <w:t>j</w:t>
            </w:r>
            <w:r w:rsidRPr="009E35ED">
              <w:rPr>
                <w:rFonts w:ascii="Arial Narrow" w:hAnsi="Arial Narrow"/>
                <w:color w:val="000000" w:themeColor="text1"/>
                <w:sz w:val="20"/>
                <w:szCs w:val="20"/>
              </w:rPr>
              <w:t xml:space="preserve">ackpot </w:t>
            </w:r>
            <w:r w:rsidR="006F24BC">
              <w:rPr>
                <w:rFonts w:ascii="Arial Narrow" w:hAnsi="Arial Narrow"/>
                <w:color w:val="000000" w:themeColor="text1"/>
                <w:sz w:val="20"/>
                <w:szCs w:val="20"/>
              </w:rPr>
              <w:t>p</w:t>
            </w:r>
            <w:r w:rsidRPr="009E35ED">
              <w:rPr>
                <w:rFonts w:ascii="Arial Narrow" w:hAnsi="Arial Narrow"/>
                <w:color w:val="000000" w:themeColor="text1"/>
                <w:sz w:val="20"/>
                <w:szCs w:val="20"/>
              </w:rPr>
              <w:t>rize-</w:t>
            </w:r>
            <w:r w:rsidR="006F24BC">
              <w:rPr>
                <w:rFonts w:ascii="Arial Narrow" w:hAnsi="Arial Narrow"/>
                <w:color w:val="000000" w:themeColor="text1"/>
                <w:sz w:val="20"/>
                <w:szCs w:val="20"/>
              </w:rPr>
              <w:t>l</w:t>
            </w:r>
            <w:r w:rsidRPr="009E35ED">
              <w:rPr>
                <w:rFonts w:ascii="Arial Narrow" w:hAnsi="Arial Narrow"/>
                <w:color w:val="000000" w:themeColor="text1"/>
                <w:sz w:val="20"/>
                <w:szCs w:val="20"/>
              </w:rPr>
              <w:t>otto-Head Office</w:t>
            </w:r>
          </w:p>
        </w:tc>
        <w:tc>
          <w:tcPr>
            <w:tcW w:w="1716" w:type="dxa"/>
            <w:tcBorders>
              <w:top w:val="nil"/>
              <w:left w:val="nil"/>
              <w:bottom w:val="nil"/>
              <w:right w:val="nil"/>
            </w:tcBorders>
            <w:shd w:val="clear" w:color="auto" w:fill="auto"/>
            <w:noWrap/>
            <w:hideMark/>
          </w:tcPr>
          <w:p w14:paraId="3341267A" w14:textId="692D7B55" w:rsidR="00554E38" w:rsidRPr="009E35ED" w:rsidRDefault="00554E38" w:rsidP="00554E38">
            <w:pPr>
              <w:ind w:left="0"/>
              <w:jc w:val="right"/>
              <w:rPr>
                <w:rFonts w:ascii="Arial Narrow" w:hAnsi="Arial Narrow" w:cs="Arial"/>
                <w:color w:val="000000" w:themeColor="text1"/>
                <w:sz w:val="20"/>
                <w:szCs w:val="20"/>
                <w:lang w:val="en-PH" w:eastAsia="en-PH"/>
              </w:rPr>
            </w:pPr>
            <w:r w:rsidRPr="009E35ED">
              <w:rPr>
                <w:rFonts w:ascii="Arial Narrow" w:hAnsi="Arial Narrow"/>
                <w:color w:val="000000" w:themeColor="text1"/>
                <w:sz w:val="20"/>
                <w:szCs w:val="20"/>
              </w:rPr>
              <w:t xml:space="preserve"> (10,206,879)</w:t>
            </w:r>
          </w:p>
        </w:tc>
      </w:tr>
      <w:tr w:rsidR="00997F75" w:rsidRPr="009E35ED" w14:paraId="02E09B4D" w14:textId="77777777" w:rsidTr="00AD3D41">
        <w:trPr>
          <w:trHeight w:val="65"/>
        </w:trPr>
        <w:tc>
          <w:tcPr>
            <w:tcW w:w="7286" w:type="dxa"/>
            <w:tcBorders>
              <w:top w:val="single" w:sz="4" w:space="0" w:color="auto"/>
              <w:left w:val="nil"/>
              <w:bottom w:val="double" w:sz="6" w:space="0" w:color="auto"/>
              <w:right w:val="nil"/>
            </w:tcBorders>
            <w:shd w:val="clear" w:color="auto" w:fill="auto"/>
            <w:hideMark/>
          </w:tcPr>
          <w:p w14:paraId="4604E22B" w14:textId="08D00466" w:rsidR="00554E38" w:rsidRPr="009E35ED" w:rsidRDefault="00554E38" w:rsidP="00554E38">
            <w:pPr>
              <w:ind w:left="0"/>
              <w:jc w:val="left"/>
              <w:rPr>
                <w:rFonts w:ascii="Arial Narrow" w:hAnsi="Arial Narrow" w:cs="Arial"/>
                <w:b/>
                <w:bCs/>
                <w:color w:val="000000" w:themeColor="text1"/>
                <w:sz w:val="20"/>
                <w:szCs w:val="20"/>
                <w:lang w:val="en-PH" w:eastAsia="en-PH"/>
              </w:rPr>
            </w:pPr>
            <w:r w:rsidRPr="009E35ED">
              <w:rPr>
                <w:rFonts w:ascii="Arial Narrow" w:hAnsi="Arial Narrow"/>
                <w:b/>
                <w:bCs/>
                <w:color w:val="000000" w:themeColor="text1"/>
                <w:sz w:val="20"/>
                <w:szCs w:val="20"/>
              </w:rPr>
              <w:t>Restated Amount as of December 31, 2022 - Jackpot Prizes (Prize Fund)</w:t>
            </w:r>
          </w:p>
        </w:tc>
        <w:tc>
          <w:tcPr>
            <w:tcW w:w="1716" w:type="dxa"/>
            <w:tcBorders>
              <w:top w:val="single" w:sz="4" w:space="0" w:color="auto"/>
              <w:left w:val="nil"/>
              <w:bottom w:val="double" w:sz="6" w:space="0" w:color="auto"/>
              <w:right w:val="nil"/>
            </w:tcBorders>
            <w:shd w:val="clear" w:color="auto" w:fill="auto"/>
            <w:noWrap/>
            <w:hideMark/>
          </w:tcPr>
          <w:p w14:paraId="44657259" w14:textId="319D8314" w:rsidR="00554E38" w:rsidRPr="009E35ED" w:rsidRDefault="00554E38" w:rsidP="00554E38">
            <w:pPr>
              <w:ind w:left="0"/>
              <w:jc w:val="right"/>
              <w:rPr>
                <w:rFonts w:ascii="Arial Narrow" w:hAnsi="Arial Narrow" w:cs="Arial"/>
                <w:b/>
                <w:bCs/>
                <w:color w:val="000000" w:themeColor="text1"/>
                <w:sz w:val="20"/>
                <w:szCs w:val="20"/>
                <w:lang w:val="en-PH" w:eastAsia="en-PH"/>
              </w:rPr>
            </w:pPr>
            <w:r w:rsidRPr="009E35ED">
              <w:rPr>
                <w:rFonts w:ascii="Arial Narrow" w:hAnsi="Arial Narrow"/>
                <w:b/>
                <w:bCs/>
                <w:color w:val="000000" w:themeColor="text1"/>
                <w:sz w:val="20"/>
                <w:szCs w:val="20"/>
              </w:rPr>
              <w:t xml:space="preserve"> 3,906,980,752 </w:t>
            </w:r>
          </w:p>
        </w:tc>
      </w:tr>
      <w:tr w:rsidR="00997F75" w:rsidRPr="009E35ED" w14:paraId="30BF6895" w14:textId="77777777" w:rsidTr="00C26DA1">
        <w:trPr>
          <w:trHeight w:val="300"/>
        </w:trPr>
        <w:tc>
          <w:tcPr>
            <w:tcW w:w="7286" w:type="dxa"/>
            <w:tcBorders>
              <w:top w:val="nil"/>
              <w:left w:val="nil"/>
              <w:bottom w:val="nil"/>
              <w:right w:val="nil"/>
            </w:tcBorders>
            <w:shd w:val="clear" w:color="auto" w:fill="auto"/>
            <w:vAlign w:val="bottom"/>
            <w:hideMark/>
          </w:tcPr>
          <w:p w14:paraId="7DB279B6" w14:textId="77777777" w:rsidR="00240956" w:rsidRPr="009E35ED" w:rsidRDefault="00240956" w:rsidP="00240956">
            <w:pPr>
              <w:ind w:left="0"/>
              <w:jc w:val="left"/>
              <w:rPr>
                <w:rFonts w:ascii="Arial Narrow" w:hAnsi="Arial Narrow" w:cs="Arial"/>
                <w:b/>
                <w:bCs/>
                <w:color w:val="000000" w:themeColor="text1"/>
                <w:sz w:val="20"/>
                <w:szCs w:val="20"/>
                <w:lang w:val="en-PH" w:eastAsia="en-PH"/>
              </w:rPr>
            </w:pPr>
          </w:p>
        </w:tc>
        <w:tc>
          <w:tcPr>
            <w:tcW w:w="1716" w:type="dxa"/>
            <w:tcBorders>
              <w:top w:val="nil"/>
              <w:left w:val="nil"/>
              <w:bottom w:val="nil"/>
              <w:right w:val="nil"/>
            </w:tcBorders>
            <w:shd w:val="clear" w:color="auto" w:fill="auto"/>
            <w:noWrap/>
            <w:vAlign w:val="bottom"/>
            <w:hideMark/>
          </w:tcPr>
          <w:p w14:paraId="42F449C8" w14:textId="77777777" w:rsidR="00240956" w:rsidRPr="009E35ED" w:rsidRDefault="00240956" w:rsidP="00240956">
            <w:pPr>
              <w:ind w:left="0"/>
              <w:jc w:val="right"/>
              <w:rPr>
                <w:rFonts w:ascii="Arial Narrow" w:hAnsi="Arial Narrow"/>
                <w:color w:val="000000" w:themeColor="text1"/>
                <w:sz w:val="20"/>
                <w:szCs w:val="20"/>
                <w:lang w:val="en-PH" w:eastAsia="en-PH"/>
              </w:rPr>
            </w:pPr>
          </w:p>
        </w:tc>
      </w:tr>
      <w:tr w:rsidR="00997F75" w:rsidRPr="009E35ED" w14:paraId="49075CE5" w14:textId="77777777" w:rsidTr="00AD3D41">
        <w:trPr>
          <w:trHeight w:val="285"/>
        </w:trPr>
        <w:tc>
          <w:tcPr>
            <w:tcW w:w="7286" w:type="dxa"/>
            <w:tcBorders>
              <w:top w:val="nil"/>
              <w:left w:val="nil"/>
              <w:bottom w:val="nil"/>
              <w:right w:val="nil"/>
            </w:tcBorders>
            <w:shd w:val="clear" w:color="auto" w:fill="auto"/>
            <w:hideMark/>
          </w:tcPr>
          <w:p w14:paraId="2002E3ED" w14:textId="5B51C24B" w:rsidR="00D358C5" w:rsidRPr="009E35ED" w:rsidRDefault="00D358C5" w:rsidP="00D358C5">
            <w:pPr>
              <w:ind w:left="0"/>
              <w:jc w:val="left"/>
              <w:rPr>
                <w:rFonts w:ascii="Arial Narrow" w:hAnsi="Arial Narrow" w:cs="Arial"/>
                <w:color w:val="000000" w:themeColor="text1"/>
                <w:sz w:val="20"/>
                <w:szCs w:val="20"/>
                <w:lang w:val="en-PH" w:eastAsia="en-PH"/>
              </w:rPr>
            </w:pPr>
            <w:r w:rsidRPr="009E35ED">
              <w:rPr>
                <w:rFonts w:ascii="Arial Narrow" w:hAnsi="Arial Narrow"/>
                <w:color w:val="000000" w:themeColor="text1"/>
                <w:sz w:val="20"/>
                <w:szCs w:val="20"/>
              </w:rPr>
              <w:t xml:space="preserve">Unrestated </w:t>
            </w:r>
            <w:r w:rsidR="006F24BC">
              <w:rPr>
                <w:rFonts w:ascii="Arial Narrow" w:hAnsi="Arial Narrow"/>
                <w:color w:val="000000" w:themeColor="text1"/>
                <w:sz w:val="20"/>
                <w:szCs w:val="20"/>
              </w:rPr>
              <w:t>a</w:t>
            </w:r>
            <w:r w:rsidRPr="009E35ED">
              <w:rPr>
                <w:rFonts w:ascii="Arial Narrow" w:hAnsi="Arial Narrow"/>
                <w:color w:val="000000" w:themeColor="text1"/>
                <w:sz w:val="20"/>
                <w:szCs w:val="20"/>
              </w:rPr>
              <w:t>mount as of December 31, 2022</w:t>
            </w:r>
          </w:p>
        </w:tc>
        <w:tc>
          <w:tcPr>
            <w:tcW w:w="1716" w:type="dxa"/>
            <w:tcBorders>
              <w:top w:val="nil"/>
              <w:left w:val="nil"/>
              <w:bottom w:val="nil"/>
              <w:right w:val="nil"/>
            </w:tcBorders>
            <w:shd w:val="clear" w:color="auto" w:fill="auto"/>
            <w:noWrap/>
            <w:hideMark/>
          </w:tcPr>
          <w:p w14:paraId="29EECBA6" w14:textId="43204183" w:rsidR="00D358C5" w:rsidRPr="009E35ED" w:rsidRDefault="00D358C5" w:rsidP="00D358C5">
            <w:pPr>
              <w:ind w:left="0"/>
              <w:jc w:val="right"/>
              <w:rPr>
                <w:rFonts w:ascii="Arial Narrow" w:hAnsi="Arial Narrow" w:cs="Arial"/>
                <w:color w:val="000000" w:themeColor="text1"/>
                <w:sz w:val="20"/>
                <w:szCs w:val="20"/>
                <w:lang w:val="en-PH" w:eastAsia="en-PH"/>
              </w:rPr>
            </w:pPr>
            <w:r w:rsidRPr="009E35ED">
              <w:rPr>
                <w:rFonts w:ascii="Arial Narrow" w:hAnsi="Arial Narrow"/>
                <w:color w:val="000000" w:themeColor="text1"/>
                <w:sz w:val="20"/>
                <w:szCs w:val="20"/>
              </w:rPr>
              <w:t xml:space="preserve"> 16,489,739,830 </w:t>
            </w:r>
          </w:p>
        </w:tc>
      </w:tr>
      <w:tr w:rsidR="00997F75" w:rsidRPr="009E35ED" w14:paraId="541464E1" w14:textId="77777777" w:rsidTr="00AD3D41">
        <w:trPr>
          <w:trHeight w:val="75"/>
        </w:trPr>
        <w:tc>
          <w:tcPr>
            <w:tcW w:w="7286" w:type="dxa"/>
            <w:tcBorders>
              <w:top w:val="nil"/>
              <w:left w:val="nil"/>
              <w:bottom w:val="nil"/>
              <w:right w:val="nil"/>
            </w:tcBorders>
            <w:shd w:val="clear" w:color="auto" w:fill="auto"/>
            <w:hideMark/>
          </w:tcPr>
          <w:p w14:paraId="3A83A2DF" w14:textId="3C92233F" w:rsidR="00D358C5" w:rsidRPr="009E35ED" w:rsidRDefault="00D358C5" w:rsidP="00D358C5">
            <w:pPr>
              <w:ind w:left="0"/>
              <w:jc w:val="left"/>
              <w:rPr>
                <w:rFonts w:ascii="Arial Narrow" w:hAnsi="Arial Narrow" w:cs="Arial"/>
                <w:color w:val="000000" w:themeColor="text1"/>
                <w:sz w:val="20"/>
                <w:szCs w:val="20"/>
                <w:lang w:val="en-PH" w:eastAsia="en-PH"/>
              </w:rPr>
            </w:pPr>
            <w:r w:rsidRPr="009E35ED">
              <w:rPr>
                <w:rFonts w:ascii="Arial Narrow" w:hAnsi="Arial Narrow"/>
                <w:color w:val="000000" w:themeColor="text1"/>
                <w:sz w:val="20"/>
                <w:szCs w:val="20"/>
              </w:rPr>
              <w:t xml:space="preserve">Adjustment/Recording of </w:t>
            </w:r>
            <w:r w:rsidR="006F24BC">
              <w:rPr>
                <w:rFonts w:ascii="Arial Narrow" w:hAnsi="Arial Narrow"/>
                <w:color w:val="000000" w:themeColor="text1"/>
                <w:sz w:val="20"/>
                <w:szCs w:val="20"/>
              </w:rPr>
              <w:t>p</w:t>
            </w:r>
            <w:r w:rsidRPr="009E35ED">
              <w:rPr>
                <w:rFonts w:ascii="Arial Narrow" w:hAnsi="Arial Narrow"/>
                <w:color w:val="000000" w:themeColor="text1"/>
                <w:sz w:val="20"/>
                <w:szCs w:val="20"/>
              </w:rPr>
              <w:t>rizes-</w:t>
            </w:r>
            <w:r w:rsidR="006F24BC">
              <w:rPr>
                <w:rFonts w:ascii="Arial Narrow" w:hAnsi="Arial Narrow"/>
                <w:color w:val="000000" w:themeColor="text1"/>
                <w:sz w:val="20"/>
                <w:szCs w:val="20"/>
              </w:rPr>
              <w:t>l</w:t>
            </w:r>
            <w:r w:rsidRPr="009E35ED">
              <w:rPr>
                <w:rFonts w:ascii="Arial Narrow" w:hAnsi="Arial Narrow"/>
                <w:color w:val="000000" w:themeColor="text1"/>
                <w:sz w:val="20"/>
                <w:szCs w:val="20"/>
              </w:rPr>
              <w:t xml:space="preserve">ower </w:t>
            </w:r>
            <w:r w:rsidR="006F24BC">
              <w:rPr>
                <w:rFonts w:ascii="Arial Narrow" w:hAnsi="Arial Narrow"/>
                <w:color w:val="000000" w:themeColor="text1"/>
                <w:sz w:val="20"/>
                <w:szCs w:val="20"/>
              </w:rPr>
              <w:t>p</w:t>
            </w:r>
            <w:r w:rsidRPr="009E35ED">
              <w:rPr>
                <w:rFonts w:ascii="Arial Narrow" w:hAnsi="Arial Narrow"/>
                <w:color w:val="000000" w:themeColor="text1"/>
                <w:sz w:val="20"/>
                <w:szCs w:val="20"/>
              </w:rPr>
              <w:t xml:space="preserve">rize </w:t>
            </w:r>
            <w:r w:rsidR="006F24BC">
              <w:rPr>
                <w:rFonts w:ascii="Arial Narrow" w:hAnsi="Arial Narrow"/>
                <w:color w:val="000000" w:themeColor="text1"/>
                <w:sz w:val="20"/>
                <w:szCs w:val="20"/>
              </w:rPr>
              <w:t>a</w:t>
            </w:r>
            <w:r w:rsidRPr="009E35ED">
              <w:rPr>
                <w:rFonts w:ascii="Arial Narrow" w:hAnsi="Arial Narrow"/>
                <w:color w:val="000000" w:themeColor="text1"/>
                <w:sz w:val="20"/>
                <w:szCs w:val="20"/>
              </w:rPr>
              <w:t>bove 10,000-</w:t>
            </w:r>
            <w:r w:rsidR="006F24BC">
              <w:rPr>
                <w:rFonts w:ascii="Arial Narrow" w:hAnsi="Arial Narrow"/>
                <w:color w:val="000000" w:themeColor="text1"/>
                <w:sz w:val="20"/>
                <w:szCs w:val="20"/>
              </w:rPr>
              <w:t>l</w:t>
            </w:r>
            <w:r w:rsidRPr="009E35ED">
              <w:rPr>
                <w:rFonts w:ascii="Arial Narrow" w:hAnsi="Arial Narrow"/>
                <w:color w:val="000000" w:themeColor="text1"/>
                <w:sz w:val="20"/>
                <w:szCs w:val="20"/>
              </w:rPr>
              <w:t>otto-Branch</w:t>
            </w:r>
          </w:p>
        </w:tc>
        <w:tc>
          <w:tcPr>
            <w:tcW w:w="1716" w:type="dxa"/>
            <w:tcBorders>
              <w:top w:val="nil"/>
              <w:left w:val="nil"/>
              <w:bottom w:val="nil"/>
              <w:right w:val="nil"/>
            </w:tcBorders>
            <w:shd w:val="clear" w:color="auto" w:fill="auto"/>
            <w:noWrap/>
            <w:hideMark/>
          </w:tcPr>
          <w:p w14:paraId="670C0B24" w14:textId="4C67BB07" w:rsidR="00D358C5" w:rsidRPr="009E35ED" w:rsidRDefault="00D358C5" w:rsidP="00D358C5">
            <w:pPr>
              <w:ind w:left="0"/>
              <w:jc w:val="right"/>
              <w:rPr>
                <w:rFonts w:ascii="Arial Narrow" w:hAnsi="Arial Narrow" w:cs="Arial"/>
                <w:color w:val="000000" w:themeColor="text1"/>
                <w:sz w:val="20"/>
                <w:szCs w:val="20"/>
                <w:lang w:val="en-PH" w:eastAsia="en-PH"/>
              </w:rPr>
            </w:pPr>
            <w:r w:rsidRPr="009E35ED">
              <w:rPr>
                <w:rFonts w:ascii="Arial Narrow" w:hAnsi="Arial Narrow"/>
                <w:color w:val="000000" w:themeColor="text1"/>
                <w:sz w:val="20"/>
                <w:szCs w:val="20"/>
              </w:rPr>
              <w:t xml:space="preserve"> (761,526)</w:t>
            </w:r>
          </w:p>
        </w:tc>
      </w:tr>
      <w:tr w:rsidR="00997F75" w:rsidRPr="009E35ED" w14:paraId="0AA5F2A2" w14:textId="77777777" w:rsidTr="00AD3D41">
        <w:trPr>
          <w:trHeight w:val="75"/>
        </w:trPr>
        <w:tc>
          <w:tcPr>
            <w:tcW w:w="7286" w:type="dxa"/>
            <w:tcBorders>
              <w:top w:val="nil"/>
              <w:left w:val="nil"/>
              <w:bottom w:val="nil"/>
              <w:right w:val="nil"/>
            </w:tcBorders>
            <w:shd w:val="clear" w:color="auto" w:fill="auto"/>
            <w:hideMark/>
          </w:tcPr>
          <w:p w14:paraId="2D6EEECC" w14:textId="4D5F01BA" w:rsidR="00D358C5" w:rsidRPr="009E35ED" w:rsidRDefault="00D358C5" w:rsidP="00D358C5">
            <w:pPr>
              <w:ind w:left="0"/>
              <w:jc w:val="left"/>
              <w:rPr>
                <w:rFonts w:ascii="Arial Narrow" w:hAnsi="Arial Narrow" w:cs="Arial"/>
                <w:color w:val="000000" w:themeColor="text1"/>
                <w:sz w:val="20"/>
                <w:szCs w:val="20"/>
                <w:lang w:val="en-PH" w:eastAsia="en-PH"/>
              </w:rPr>
            </w:pPr>
            <w:r w:rsidRPr="009E35ED">
              <w:rPr>
                <w:rFonts w:ascii="Arial Narrow" w:hAnsi="Arial Narrow"/>
                <w:color w:val="000000" w:themeColor="text1"/>
                <w:sz w:val="20"/>
                <w:szCs w:val="20"/>
              </w:rPr>
              <w:t xml:space="preserve">Adjustment/Recording of </w:t>
            </w:r>
            <w:r w:rsidR="006F24BC">
              <w:rPr>
                <w:rFonts w:ascii="Arial Narrow" w:hAnsi="Arial Narrow"/>
                <w:color w:val="000000" w:themeColor="text1"/>
                <w:sz w:val="20"/>
                <w:szCs w:val="20"/>
              </w:rPr>
              <w:t>p</w:t>
            </w:r>
            <w:r w:rsidR="006F24BC" w:rsidRPr="009E35ED">
              <w:rPr>
                <w:rFonts w:ascii="Arial Narrow" w:hAnsi="Arial Narrow"/>
                <w:color w:val="000000" w:themeColor="text1"/>
                <w:sz w:val="20"/>
                <w:szCs w:val="20"/>
              </w:rPr>
              <w:t>rizes-</w:t>
            </w:r>
            <w:r w:rsidR="006F24BC">
              <w:rPr>
                <w:rFonts w:ascii="Arial Narrow" w:hAnsi="Arial Narrow"/>
                <w:color w:val="000000" w:themeColor="text1"/>
                <w:sz w:val="20"/>
                <w:szCs w:val="20"/>
              </w:rPr>
              <w:t>l</w:t>
            </w:r>
            <w:r w:rsidR="006F24BC" w:rsidRPr="009E35ED">
              <w:rPr>
                <w:rFonts w:ascii="Arial Narrow" w:hAnsi="Arial Narrow"/>
                <w:color w:val="000000" w:themeColor="text1"/>
                <w:sz w:val="20"/>
                <w:szCs w:val="20"/>
              </w:rPr>
              <w:t xml:space="preserve">ower </w:t>
            </w:r>
            <w:r w:rsidR="006F24BC">
              <w:rPr>
                <w:rFonts w:ascii="Arial Narrow" w:hAnsi="Arial Narrow"/>
                <w:color w:val="000000" w:themeColor="text1"/>
                <w:sz w:val="20"/>
                <w:szCs w:val="20"/>
              </w:rPr>
              <w:t>p</w:t>
            </w:r>
            <w:r w:rsidR="006F24BC" w:rsidRPr="009E35ED">
              <w:rPr>
                <w:rFonts w:ascii="Arial Narrow" w:hAnsi="Arial Narrow"/>
                <w:color w:val="000000" w:themeColor="text1"/>
                <w:sz w:val="20"/>
                <w:szCs w:val="20"/>
              </w:rPr>
              <w:t xml:space="preserve">rize </w:t>
            </w:r>
            <w:r w:rsidR="006F24BC">
              <w:rPr>
                <w:rFonts w:ascii="Arial Narrow" w:hAnsi="Arial Narrow"/>
                <w:color w:val="000000" w:themeColor="text1"/>
                <w:sz w:val="20"/>
                <w:szCs w:val="20"/>
              </w:rPr>
              <w:t>a</w:t>
            </w:r>
            <w:r w:rsidR="006F24BC" w:rsidRPr="009E35ED">
              <w:rPr>
                <w:rFonts w:ascii="Arial Narrow" w:hAnsi="Arial Narrow"/>
                <w:color w:val="000000" w:themeColor="text1"/>
                <w:sz w:val="20"/>
                <w:szCs w:val="20"/>
              </w:rPr>
              <w:t>bove 10,000-</w:t>
            </w:r>
            <w:r w:rsidR="006F24BC">
              <w:rPr>
                <w:rFonts w:ascii="Arial Narrow" w:hAnsi="Arial Narrow"/>
                <w:color w:val="000000" w:themeColor="text1"/>
                <w:sz w:val="20"/>
                <w:szCs w:val="20"/>
              </w:rPr>
              <w:t>l</w:t>
            </w:r>
            <w:r w:rsidR="006F24BC" w:rsidRPr="009E35ED">
              <w:rPr>
                <w:rFonts w:ascii="Arial Narrow" w:hAnsi="Arial Narrow"/>
                <w:color w:val="000000" w:themeColor="text1"/>
                <w:sz w:val="20"/>
                <w:szCs w:val="20"/>
              </w:rPr>
              <w:t>otto</w:t>
            </w:r>
            <w:r w:rsidR="006F24BC" w:rsidRPr="009E35ED" w:rsidDel="006F24BC">
              <w:rPr>
                <w:rFonts w:ascii="Arial Narrow" w:hAnsi="Arial Narrow"/>
                <w:color w:val="000000" w:themeColor="text1"/>
                <w:sz w:val="20"/>
                <w:szCs w:val="20"/>
              </w:rPr>
              <w:t xml:space="preserve"> </w:t>
            </w:r>
            <w:r w:rsidRPr="009E35ED">
              <w:rPr>
                <w:rFonts w:ascii="Arial Narrow" w:hAnsi="Arial Narrow"/>
                <w:color w:val="000000" w:themeColor="text1"/>
                <w:sz w:val="20"/>
                <w:szCs w:val="20"/>
              </w:rPr>
              <w:t>-Head Office</w:t>
            </w:r>
          </w:p>
        </w:tc>
        <w:tc>
          <w:tcPr>
            <w:tcW w:w="1716" w:type="dxa"/>
            <w:tcBorders>
              <w:top w:val="nil"/>
              <w:left w:val="nil"/>
              <w:bottom w:val="nil"/>
              <w:right w:val="nil"/>
            </w:tcBorders>
            <w:shd w:val="clear" w:color="auto" w:fill="auto"/>
            <w:noWrap/>
            <w:hideMark/>
          </w:tcPr>
          <w:p w14:paraId="13CBC089" w14:textId="17D55661" w:rsidR="00D358C5" w:rsidRPr="009E35ED" w:rsidRDefault="00D358C5" w:rsidP="00D358C5">
            <w:pPr>
              <w:ind w:left="0"/>
              <w:jc w:val="right"/>
              <w:rPr>
                <w:rFonts w:ascii="Arial Narrow" w:hAnsi="Arial Narrow" w:cs="Arial"/>
                <w:color w:val="000000" w:themeColor="text1"/>
                <w:sz w:val="20"/>
                <w:szCs w:val="20"/>
                <w:lang w:val="en-PH" w:eastAsia="en-PH"/>
              </w:rPr>
            </w:pPr>
            <w:r w:rsidRPr="009E35ED">
              <w:rPr>
                <w:rFonts w:ascii="Arial Narrow" w:hAnsi="Arial Narrow"/>
                <w:color w:val="000000" w:themeColor="text1"/>
                <w:sz w:val="20"/>
                <w:szCs w:val="20"/>
              </w:rPr>
              <w:t xml:space="preserve"> (886,480,472)</w:t>
            </w:r>
          </w:p>
        </w:tc>
      </w:tr>
      <w:tr w:rsidR="00997F75" w:rsidRPr="009E35ED" w14:paraId="6E16C7FF" w14:textId="77777777" w:rsidTr="00AD3D41">
        <w:trPr>
          <w:trHeight w:val="75"/>
        </w:trPr>
        <w:tc>
          <w:tcPr>
            <w:tcW w:w="7286" w:type="dxa"/>
            <w:tcBorders>
              <w:top w:val="nil"/>
              <w:left w:val="nil"/>
              <w:bottom w:val="nil"/>
              <w:right w:val="nil"/>
            </w:tcBorders>
            <w:shd w:val="clear" w:color="auto" w:fill="auto"/>
          </w:tcPr>
          <w:p w14:paraId="0BE4AE5E" w14:textId="257939EA" w:rsidR="00D358C5" w:rsidRPr="009E35ED" w:rsidRDefault="00D358C5" w:rsidP="00D358C5">
            <w:pPr>
              <w:ind w:left="0"/>
              <w:jc w:val="left"/>
              <w:rPr>
                <w:rFonts w:ascii="Arial Narrow" w:hAnsi="Arial Narrow"/>
                <w:color w:val="000000" w:themeColor="text1"/>
                <w:sz w:val="20"/>
                <w:szCs w:val="20"/>
              </w:rPr>
            </w:pPr>
            <w:r w:rsidRPr="009E35ED">
              <w:rPr>
                <w:rFonts w:ascii="Arial Narrow" w:hAnsi="Arial Narrow"/>
                <w:color w:val="000000" w:themeColor="text1"/>
                <w:sz w:val="20"/>
                <w:szCs w:val="20"/>
              </w:rPr>
              <w:t xml:space="preserve">Adjustment/Recording of </w:t>
            </w:r>
            <w:r w:rsidR="002B6B33">
              <w:rPr>
                <w:rFonts w:ascii="Arial Narrow" w:hAnsi="Arial Narrow"/>
                <w:color w:val="000000" w:themeColor="text1"/>
                <w:sz w:val="20"/>
                <w:szCs w:val="20"/>
              </w:rPr>
              <w:t>p</w:t>
            </w:r>
            <w:r w:rsidR="002B6B33" w:rsidRPr="009E35ED">
              <w:rPr>
                <w:rFonts w:ascii="Arial Narrow" w:hAnsi="Arial Narrow"/>
                <w:color w:val="000000" w:themeColor="text1"/>
                <w:sz w:val="20"/>
                <w:szCs w:val="20"/>
              </w:rPr>
              <w:t>rizes-</w:t>
            </w:r>
            <w:r w:rsidR="002B6B33">
              <w:rPr>
                <w:rFonts w:ascii="Arial Narrow" w:hAnsi="Arial Narrow"/>
                <w:color w:val="000000" w:themeColor="text1"/>
                <w:sz w:val="20"/>
                <w:szCs w:val="20"/>
              </w:rPr>
              <w:t>l</w:t>
            </w:r>
            <w:r w:rsidR="002B6B33" w:rsidRPr="009E35ED">
              <w:rPr>
                <w:rFonts w:ascii="Arial Narrow" w:hAnsi="Arial Narrow"/>
                <w:color w:val="000000" w:themeColor="text1"/>
                <w:sz w:val="20"/>
                <w:szCs w:val="20"/>
              </w:rPr>
              <w:t xml:space="preserve">ower </w:t>
            </w:r>
            <w:r w:rsidR="002B6B33">
              <w:rPr>
                <w:rFonts w:ascii="Arial Narrow" w:hAnsi="Arial Narrow"/>
                <w:color w:val="000000" w:themeColor="text1"/>
                <w:sz w:val="20"/>
                <w:szCs w:val="20"/>
              </w:rPr>
              <w:t>p</w:t>
            </w:r>
            <w:r w:rsidR="002B6B33" w:rsidRPr="009E35ED">
              <w:rPr>
                <w:rFonts w:ascii="Arial Narrow" w:hAnsi="Arial Narrow"/>
                <w:color w:val="000000" w:themeColor="text1"/>
                <w:sz w:val="20"/>
                <w:szCs w:val="20"/>
              </w:rPr>
              <w:t xml:space="preserve">rize </w:t>
            </w:r>
            <w:r w:rsidR="002B6B33">
              <w:rPr>
                <w:rFonts w:ascii="Arial Narrow" w:hAnsi="Arial Narrow"/>
                <w:color w:val="000000" w:themeColor="text1"/>
                <w:sz w:val="20"/>
                <w:szCs w:val="20"/>
              </w:rPr>
              <w:t>a</w:t>
            </w:r>
            <w:r w:rsidR="002B6B33" w:rsidRPr="009E35ED">
              <w:rPr>
                <w:rFonts w:ascii="Arial Narrow" w:hAnsi="Arial Narrow"/>
                <w:color w:val="000000" w:themeColor="text1"/>
                <w:sz w:val="20"/>
                <w:szCs w:val="20"/>
              </w:rPr>
              <w:t>bove 10,000-</w:t>
            </w:r>
            <w:r w:rsidR="002B6B33">
              <w:rPr>
                <w:rFonts w:ascii="Arial Narrow" w:hAnsi="Arial Narrow"/>
                <w:color w:val="000000" w:themeColor="text1"/>
                <w:sz w:val="20"/>
                <w:szCs w:val="20"/>
              </w:rPr>
              <w:t>l</w:t>
            </w:r>
            <w:r w:rsidR="002B6B33" w:rsidRPr="009E35ED">
              <w:rPr>
                <w:rFonts w:ascii="Arial Narrow" w:hAnsi="Arial Narrow"/>
                <w:color w:val="000000" w:themeColor="text1"/>
                <w:sz w:val="20"/>
                <w:szCs w:val="20"/>
              </w:rPr>
              <w:t>otto</w:t>
            </w:r>
            <w:r w:rsidR="002B6B33" w:rsidRPr="009E35ED" w:rsidDel="002B6B33">
              <w:rPr>
                <w:rFonts w:ascii="Arial Narrow" w:hAnsi="Arial Narrow"/>
                <w:color w:val="000000" w:themeColor="text1"/>
                <w:sz w:val="20"/>
                <w:szCs w:val="20"/>
              </w:rPr>
              <w:t xml:space="preserve"> </w:t>
            </w:r>
            <w:r w:rsidRPr="009E35ED">
              <w:rPr>
                <w:rFonts w:ascii="Arial Narrow" w:hAnsi="Arial Narrow"/>
                <w:color w:val="000000" w:themeColor="text1"/>
                <w:sz w:val="20"/>
                <w:szCs w:val="20"/>
              </w:rPr>
              <w:t>-</w:t>
            </w:r>
            <w:r w:rsidR="002B6B33">
              <w:rPr>
                <w:rFonts w:ascii="Arial Narrow" w:hAnsi="Arial Narrow"/>
                <w:color w:val="000000" w:themeColor="text1"/>
                <w:sz w:val="20"/>
                <w:szCs w:val="20"/>
              </w:rPr>
              <w:t>k</w:t>
            </w:r>
            <w:r w:rsidRPr="009E35ED">
              <w:rPr>
                <w:rFonts w:ascii="Arial Narrow" w:hAnsi="Arial Narrow"/>
                <w:color w:val="000000" w:themeColor="text1"/>
                <w:sz w:val="20"/>
                <w:szCs w:val="20"/>
              </w:rPr>
              <w:t>eno-Head Office</w:t>
            </w:r>
          </w:p>
        </w:tc>
        <w:tc>
          <w:tcPr>
            <w:tcW w:w="1716" w:type="dxa"/>
            <w:tcBorders>
              <w:top w:val="nil"/>
              <w:left w:val="nil"/>
              <w:bottom w:val="nil"/>
              <w:right w:val="nil"/>
            </w:tcBorders>
            <w:shd w:val="clear" w:color="auto" w:fill="auto"/>
            <w:noWrap/>
          </w:tcPr>
          <w:p w14:paraId="5F02161A" w14:textId="6E5F7EC2" w:rsidR="00D358C5" w:rsidRPr="009E35ED" w:rsidRDefault="00D358C5" w:rsidP="00D358C5">
            <w:pPr>
              <w:ind w:left="0"/>
              <w:jc w:val="right"/>
              <w:rPr>
                <w:rFonts w:ascii="Arial Narrow" w:hAnsi="Arial Narrow"/>
                <w:color w:val="000000" w:themeColor="text1"/>
                <w:sz w:val="20"/>
                <w:szCs w:val="20"/>
              </w:rPr>
            </w:pPr>
            <w:r w:rsidRPr="009E35ED">
              <w:rPr>
                <w:rFonts w:ascii="Arial Narrow" w:hAnsi="Arial Narrow"/>
                <w:color w:val="000000" w:themeColor="text1"/>
                <w:sz w:val="20"/>
                <w:szCs w:val="20"/>
              </w:rPr>
              <w:t xml:space="preserve"> 12,062,633 </w:t>
            </w:r>
          </w:p>
        </w:tc>
      </w:tr>
      <w:tr w:rsidR="00997F75" w:rsidRPr="009E35ED" w14:paraId="2A422F9E" w14:textId="77777777" w:rsidTr="00AD3D41">
        <w:trPr>
          <w:trHeight w:val="75"/>
        </w:trPr>
        <w:tc>
          <w:tcPr>
            <w:tcW w:w="7286" w:type="dxa"/>
            <w:tcBorders>
              <w:top w:val="nil"/>
              <w:left w:val="nil"/>
              <w:bottom w:val="nil"/>
              <w:right w:val="nil"/>
            </w:tcBorders>
            <w:shd w:val="clear" w:color="auto" w:fill="auto"/>
          </w:tcPr>
          <w:p w14:paraId="37DE7AE7" w14:textId="08D68D8E" w:rsidR="00D358C5" w:rsidRPr="009E35ED" w:rsidRDefault="00D358C5">
            <w:pPr>
              <w:ind w:left="0"/>
              <w:jc w:val="left"/>
              <w:rPr>
                <w:rFonts w:ascii="Arial Narrow" w:hAnsi="Arial Narrow" w:cs="Arial"/>
                <w:color w:val="000000" w:themeColor="text1"/>
                <w:sz w:val="20"/>
                <w:szCs w:val="20"/>
                <w:lang w:val="en-PH" w:eastAsia="en-PH"/>
              </w:rPr>
            </w:pPr>
            <w:r w:rsidRPr="009E35ED">
              <w:rPr>
                <w:rFonts w:ascii="Arial Narrow" w:hAnsi="Arial Narrow"/>
                <w:color w:val="000000" w:themeColor="text1"/>
                <w:sz w:val="20"/>
                <w:szCs w:val="20"/>
              </w:rPr>
              <w:t xml:space="preserve">Adjustment/Recording of </w:t>
            </w:r>
            <w:r w:rsidR="002B6B33">
              <w:rPr>
                <w:rFonts w:ascii="Arial Narrow" w:hAnsi="Arial Narrow"/>
                <w:color w:val="000000" w:themeColor="text1"/>
                <w:sz w:val="20"/>
                <w:szCs w:val="20"/>
              </w:rPr>
              <w:t>p</w:t>
            </w:r>
            <w:r w:rsidR="002B6B33" w:rsidRPr="009E35ED">
              <w:rPr>
                <w:rFonts w:ascii="Arial Narrow" w:hAnsi="Arial Narrow"/>
                <w:color w:val="000000" w:themeColor="text1"/>
                <w:sz w:val="20"/>
                <w:szCs w:val="20"/>
              </w:rPr>
              <w:t>rizes-</w:t>
            </w:r>
            <w:r w:rsidR="002B6B33">
              <w:rPr>
                <w:rFonts w:ascii="Arial Narrow" w:hAnsi="Arial Narrow"/>
                <w:color w:val="000000" w:themeColor="text1"/>
                <w:sz w:val="20"/>
                <w:szCs w:val="20"/>
              </w:rPr>
              <w:t>l</w:t>
            </w:r>
            <w:r w:rsidR="002B6B33" w:rsidRPr="009E35ED">
              <w:rPr>
                <w:rFonts w:ascii="Arial Narrow" w:hAnsi="Arial Narrow"/>
                <w:color w:val="000000" w:themeColor="text1"/>
                <w:sz w:val="20"/>
                <w:szCs w:val="20"/>
              </w:rPr>
              <w:t xml:space="preserve">ower </w:t>
            </w:r>
            <w:r w:rsidR="002B6B33">
              <w:rPr>
                <w:rFonts w:ascii="Arial Narrow" w:hAnsi="Arial Narrow"/>
                <w:color w:val="000000" w:themeColor="text1"/>
                <w:sz w:val="20"/>
                <w:szCs w:val="20"/>
              </w:rPr>
              <w:t>p</w:t>
            </w:r>
            <w:r w:rsidR="002B6B33" w:rsidRPr="009E35ED">
              <w:rPr>
                <w:rFonts w:ascii="Arial Narrow" w:hAnsi="Arial Narrow"/>
                <w:color w:val="000000" w:themeColor="text1"/>
                <w:sz w:val="20"/>
                <w:szCs w:val="20"/>
              </w:rPr>
              <w:t xml:space="preserve">rize </w:t>
            </w:r>
            <w:r w:rsidR="002B6B33">
              <w:rPr>
                <w:rFonts w:ascii="Arial Narrow" w:hAnsi="Arial Narrow"/>
                <w:color w:val="000000" w:themeColor="text1"/>
                <w:sz w:val="20"/>
                <w:szCs w:val="20"/>
              </w:rPr>
              <w:t>a</w:t>
            </w:r>
            <w:r w:rsidR="002B6B33" w:rsidRPr="009E35ED">
              <w:rPr>
                <w:rFonts w:ascii="Arial Narrow" w:hAnsi="Arial Narrow"/>
                <w:color w:val="000000" w:themeColor="text1"/>
                <w:sz w:val="20"/>
                <w:szCs w:val="20"/>
              </w:rPr>
              <w:t>bove 10,000-</w:t>
            </w:r>
            <w:r w:rsidR="002B6B33">
              <w:rPr>
                <w:rFonts w:ascii="Arial Narrow" w:hAnsi="Arial Narrow"/>
                <w:color w:val="000000" w:themeColor="text1"/>
                <w:sz w:val="20"/>
                <w:szCs w:val="20"/>
              </w:rPr>
              <w:t>l</w:t>
            </w:r>
            <w:r w:rsidR="002B6B33" w:rsidRPr="009E35ED">
              <w:rPr>
                <w:rFonts w:ascii="Arial Narrow" w:hAnsi="Arial Narrow"/>
                <w:color w:val="000000" w:themeColor="text1"/>
                <w:sz w:val="20"/>
                <w:szCs w:val="20"/>
              </w:rPr>
              <w:t>otto</w:t>
            </w:r>
            <w:r w:rsidR="002B6B33" w:rsidRPr="009E35ED" w:rsidDel="002B6B33">
              <w:rPr>
                <w:rFonts w:ascii="Arial Narrow" w:hAnsi="Arial Narrow"/>
                <w:color w:val="000000" w:themeColor="text1"/>
                <w:sz w:val="20"/>
                <w:szCs w:val="20"/>
              </w:rPr>
              <w:t xml:space="preserve"> </w:t>
            </w:r>
            <w:r w:rsidRPr="009E35ED">
              <w:rPr>
                <w:rFonts w:ascii="Arial Narrow" w:hAnsi="Arial Narrow"/>
                <w:color w:val="000000" w:themeColor="text1"/>
                <w:sz w:val="20"/>
                <w:szCs w:val="20"/>
              </w:rPr>
              <w:t>-</w:t>
            </w:r>
            <w:r w:rsidR="002B6B33">
              <w:rPr>
                <w:rFonts w:ascii="Arial Narrow" w:hAnsi="Arial Narrow"/>
                <w:color w:val="000000" w:themeColor="text1"/>
                <w:sz w:val="20"/>
                <w:szCs w:val="20"/>
              </w:rPr>
              <w:t>s</w:t>
            </w:r>
            <w:r w:rsidRPr="009E35ED">
              <w:rPr>
                <w:rFonts w:ascii="Arial Narrow" w:hAnsi="Arial Narrow"/>
                <w:color w:val="000000" w:themeColor="text1"/>
                <w:sz w:val="20"/>
                <w:szCs w:val="20"/>
              </w:rPr>
              <w:t>weepstakes-Head Office</w:t>
            </w:r>
          </w:p>
        </w:tc>
        <w:tc>
          <w:tcPr>
            <w:tcW w:w="1716" w:type="dxa"/>
            <w:tcBorders>
              <w:top w:val="nil"/>
              <w:left w:val="nil"/>
              <w:bottom w:val="nil"/>
              <w:right w:val="nil"/>
            </w:tcBorders>
            <w:shd w:val="clear" w:color="auto" w:fill="auto"/>
            <w:noWrap/>
          </w:tcPr>
          <w:p w14:paraId="6D1DC602" w14:textId="60C857A7" w:rsidR="00D358C5" w:rsidRPr="009E35ED" w:rsidRDefault="00D358C5" w:rsidP="00D358C5">
            <w:pPr>
              <w:ind w:left="0"/>
              <w:jc w:val="right"/>
              <w:rPr>
                <w:rFonts w:ascii="Arial Narrow" w:hAnsi="Arial Narrow" w:cs="Arial"/>
                <w:color w:val="000000" w:themeColor="text1"/>
                <w:sz w:val="20"/>
                <w:szCs w:val="20"/>
                <w:lang w:val="en-PH" w:eastAsia="en-PH"/>
              </w:rPr>
            </w:pPr>
            <w:r w:rsidRPr="009E35ED">
              <w:rPr>
                <w:rFonts w:ascii="Arial Narrow" w:hAnsi="Arial Narrow"/>
                <w:color w:val="000000" w:themeColor="text1"/>
                <w:sz w:val="20"/>
                <w:szCs w:val="20"/>
              </w:rPr>
              <w:t xml:space="preserve"> (156,000)</w:t>
            </w:r>
          </w:p>
        </w:tc>
      </w:tr>
      <w:tr w:rsidR="00997F75" w:rsidRPr="009E35ED" w14:paraId="2FA903A2" w14:textId="77777777" w:rsidTr="00AD3D41">
        <w:trPr>
          <w:trHeight w:val="75"/>
        </w:trPr>
        <w:tc>
          <w:tcPr>
            <w:tcW w:w="7286" w:type="dxa"/>
            <w:tcBorders>
              <w:top w:val="nil"/>
              <w:left w:val="nil"/>
              <w:bottom w:val="nil"/>
              <w:right w:val="nil"/>
            </w:tcBorders>
            <w:shd w:val="clear" w:color="auto" w:fill="auto"/>
          </w:tcPr>
          <w:p w14:paraId="482981A9" w14:textId="27069C7F" w:rsidR="00D358C5" w:rsidRPr="009E35ED" w:rsidRDefault="00D358C5" w:rsidP="00D358C5">
            <w:pPr>
              <w:ind w:left="0"/>
              <w:jc w:val="left"/>
              <w:rPr>
                <w:rFonts w:ascii="Arial Narrow" w:hAnsi="Arial Narrow" w:cs="Arial"/>
                <w:color w:val="000000" w:themeColor="text1"/>
                <w:sz w:val="20"/>
                <w:szCs w:val="20"/>
                <w:lang w:val="en-PH" w:eastAsia="en-PH"/>
              </w:rPr>
            </w:pPr>
            <w:r w:rsidRPr="009E35ED">
              <w:rPr>
                <w:rFonts w:ascii="Arial Narrow" w:hAnsi="Arial Narrow"/>
                <w:color w:val="000000" w:themeColor="text1"/>
                <w:sz w:val="20"/>
                <w:szCs w:val="20"/>
              </w:rPr>
              <w:t xml:space="preserve">Adjustment/Recording of </w:t>
            </w:r>
            <w:r w:rsidR="002B6B33">
              <w:rPr>
                <w:rFonts w:ascii="Arial Narrow" w:hAnsi="Arial Narrow"/>
                <w:color w:val="000000" w:themeColor="text1"/>
                <w:sz w:val="20"/>
                <w:szCs w:val="20"/>
              </w:rPr>
              <w:t>p</w:t>
            </w:r>
            <w:r w:rsidRPr="009E35ED">
              <w:rPr>
                <w:rFonts w:ascii="Arial Narrow" w:hAnsi="Arial Narrow"/>
                <w:color w:val="000000" w:themeColor="text1"/>
                <w:sz w:val="20"/>
                <w:szCs w:val="20"/>
              </w:rPr>
              <w:t>rizes-</w:t>
            </w:r>
            <w:r w:rsidR="002B6B33">
              <w:rPr>
                <w:rFonts w:ascii="Arial Narrow" w:hAnsi="Arial Narrow"/>
                <w:color w:val="000000" w:themeColor="text1"/>
                <w:sz w:val="20"/>
                <w:szCs w:val="20"/>
              </w:rPr>
              <w:t>l</w:t>
            </w:r>
            <w:r w:rsidRPr="009E35ED">
              <w:rPr>
                <w:rFonts w:ascii="Arial Narrow" w:hAnsi="Arial Narrow"/>
                <w:color w:val="000000" w:themeColor="text1"/>
                <w:sz w:val="20"/>
                <w:szCs w:val="20"/>
              </w:rPr>
              <w:t xml:space="preserve">ower </w:t>
            </w:r>
            <w:r w:rsidR="002B6B33">
              <w:rPr>
                <w:rFonts w:ascii="Arial Narrow" w:hAnsi="Arial Narrow"/>
                <w:color w:val="000000" w:themeColor="text1"/>
                <w:sz w:val="20"/>
                <w:szCs w:val="20"/>
              </w:rPr>
              <w:t>p</w:t>
            </w:r>
            <w:r w:rsidRPr="009E35ED">
              <w:rPr>
                <w:rFonts w:ascii="Arial Narrow" w:hAnsi="Arial Narrow"/>
                <w:color w:val="000000" w:themeColor="text1"/>
                <w:sz w:val="20"/>
                <w:szCs w:val="20"/>
              </w:rPr>
              <w:t xml:space="preserve">rize 10,000 and </w:t>
            </w:r>
            <w:r w:rsidR="002B6B33">
              <w:rPr>
                <w:rFonts w:ascii="Arial Narrow" w:hAnsi="Arial Narrow"/>
                <w:color w:val="000000" w:themeColor="text1"/>
                <w:sz w:val="20"/>
                <w:szCs w:val="20"/>
              </w:rPr>
              <w:t>b</w:t>
            </w:r>
            <w:r w:rsidRPr="009E35ED">
              <w:rPr>
                <w:rFonts w:ascii="Arial Narrow" w:hAnsi="Arial Narrow"/>
                <w:color w:val="000000" w:themeColor="text1"/>
                <w:sz w:val="20"/>
                <w:szCs w:val="20"/>
              </w:rPr>
              <w:t>elow-</w:t>
            </w:r>
            <w:r w:rsidR="002B6B33">
              <w:rPr>
                <w:rFonts w:ascii="Arial Narrow" w:hAnsi="Arial Narrow"/>
                <w:color w:val="000000" w:themeColor="text1"/>
                <w:sz w:val="20"/>
                <w:szCs w:val="20"/>
              </w:rPr>
              <w:t>s</w:t>
            </w:r>
            <w:r w:rsidRPr="009E35ED">
              <w:rPr>
                <w:rFonts w:ascii="Arial Narrow" w:hAnsi="Arial Narrow"/>
                <w:color w:val="000000" w:themeColor="text1"/>
                <w:sz w:val="20"/>
                <w:szCs w:val="20"/>
              </w:rPr>
              <w:t>weepstakes-Head Office</w:t>
            </w:r>
          </w:p>
        </w:tc>
        <w:tc>
          <w:tcPr>
            <w:tcW w:w="1716" w:type="dxa"/>
            <w:tcBorders>
              <w:top w:val="nil"/>
              <w:left w:val="nil"/>
              <w:bottom w:val="nil"/>
              <w:right w:val="nil"/>
            </w:tcBorders>
            <w:shd w:val="clear" w:color="auto" w:fill="auto"/>
            <w:noWrap/>
          </w:tcPr>
          <w:p w14:paraId="7B60123F" w14:textId="66F48D06" w:rsidR="00D358C5" w:rsidRPr="009E35ED" w:rsidRDefault="00D358C5" w:rsidP="00D358C5">
            <w:pPr>
              <w:ind w:left="0"/>
              <w:jc w:val="right"/>
              <w:rPr>
                <w:rFonts w:ascii="Arial Narrow" w:hAnsi="Arial Narrow" w:cs="Arial"/>
                <w:color w:val="000000" w:themeColor="text1"/>
                <w:sz w:val="20"/>
                <w:szCs w:val="20"/>
                <w:lang w:val="en-PH" w:eastAsia="en-PH"/>
              </w:rPr>
            </w:pPr>
            <w:r w:rsidRPr="009E35ED">
              <w:rPr>
                <w:rFonts w:ascii="Arial Narrow" w:hAnsi="Arial Narrow"/>
                <w:color w:val="000000" w:themeColor="text1"/>
                <w:sz w:val="20"/>
                <w:szCs w:val="20"/>
              </w:rPr>
              <w:t xml:space="preserve"> (3,818)</w:t>
            </w:r>
          </w:p>
        </w:tc>
      </w:tr>
      <w:tr w:rsidR="00997F75" w:rsidRPr="009E35ED" w14:paraId="36DB3C0F" w14:textId="77777777" w:rsidTr="00AD3D41">
        <w:trPr>
          <w:trHeight w:val="75"/>
        </w:trPr>
        <w:tc>
          <w:tcPr>
            <w:tcW w:w="7286" w:type="dxa"/>
            <w:tcBorders>
              <w:top w:val="nil"/>
              <w:left w:val="nil"/>
              <w:bottom w:val="nil"/>
              <w:right w:val="nil"/>
            </w:tcBorders>
            <w:shd w:val="clear" w:color="auto" w:fill="auto"/>
          </w:tcPr>
          <w:p w14:paraId="01FD245D" w14:textId="1A8F413C" w:rsidR="00D358C5" w:rsidRPr="009E35ED" w:rsidRDefault="00D358C5" w:rsidP="00D358C5">
            <w:pPr>
              <w:ind w:left="0"/>
              <w:jc w:val="left"/>
              <w:rPr>
                <w:rFonts w:ascii="Arial Narrow" w:hAnsi="Arial Narrow" w:cs="Arial"/>
                <w:color w:val="000000" w:themeColor="text1"/>
                <w:sz w:val="20"/>
                <w:szCs w:val="20"/>
                <w:lang w:val="en-PH" w:eastAsia="en-PH"/>
              </w:rPr>
            </w:pPr>
            <w:r w:rsidRPr="009E35ED">
              <w:rPr>
                <w:rFonts w:ascii="Arial Narrow" w:hAnsi="Arial Narrow"/>
                <w:color w:val="000000" w:themeColor="text1"/>
                <w:sz w:val="20"/>
                <w:szCs w:val="20"/>
              </w:rPr>
              <w:t xml:space="preserve">Adjustment/Recording of </w:t>
            </w:r>
            <w:r w:rsidR="002B6B33">
              <w:rPr>
                <w:rFonts w:ascii="Arial Narrow" w:hAnsi="Arial Narrow"/>
                <w:color w:val="000000" w:themeColor="text1"/>
                <w:sz w:val="20"/>
                <w:szCs w:val="20"/>
              </w:rPr>
              <w:t>p</w:t>
            </w:r>
            <w:r w:rsidR="002B6B33" w:rsidRPr="009E35ED">
              <w:rPr>
                <w:rFonts w:ascii="Arial Narrow" w:hAnsi="Arial Narrow"/>
                <w:color w:val="000000" w:themeColor="text1"/>
                <w:sz w:val="20"/>
                <w:szCs w:val="20"/>
              </w:rPr>
              <w:t>rizes-</w:t>
            </w:r>
            <w:r w:rsidR="002B6B33">
              <w:rPr>
                <w:rFonts w:ascii="Arial Narrow" w:hAnsi="Arial Narrow"/>
                <w:color w:val="000000" w:themeColor="text1"/>
                <w:sz w:val="20"/>
                <w:szCs w:val="20"/>
              </w:rPr>
              <w:t>l</w:t>
            </w:r>
            <w:r w:rsidR="002B6B33" w:rsidRPr="009E35ED">
              <w:rPr>
                <w:rFonts w:ascii="Arial Narrow" w:hAnsi="Arial Narrow"/>
                <w:color w:val="000000" w:themeColor="text1"/>
                <w:sz w:val="20"/>
                <w:szCs w:val="20"/>
              </w:rPr>
              <w:t xml:space="preserve">ower </w:t>
            </w:r>
            <w:r w:rsidR="002B6B33">
              <w:rPr>
                <w:rFonts w:ascii="Arial Narrow" w:hAnsi="Arial Narrow"/>
                <w:color w:val="000000" w:themeColor="text1"/>
                <w:sz w:val="20"/>
                <w:szCs w:val="20"/>
              </w:rPr>
              <w:t>p</w:t>
            </w:r>
            <w:r w:rsidR="002B6B33" w:rsidRPr="009E35ED">
              <w:rPr>
                <w:rFonts w:ascii="Arial Narrow" w:hAnsi="Arial Narrow"/>
                <w:color w:val="000000" w:themeColor="text1"/>
                <w:sz w:val="20"/>
                <w:szCs w:val="20"/>
              </w:rPr>
              <w:t xml:space="preserve">rize 10,000 and </w:t>
            </w:r>
            <w:r w:rsidR="002B6B33">
              <w:rPr>
                <w:rFonts w:ascii="Arial Narrow" w:hAnsi="Arial Narrow"/>
                <w:color w:val="000000" w:themeColor="text1"/>
                <w:sz w:val="20"/>
                <w:szCs w:val="20"/>
              </w:rPr>
              <w:t>b</w:t>
            </w:r>
            <w:r w:rsidR="002B6B33" w:rsidRPr="009E35ED">
              <w:rPr>
                <w:rFonts w:ascii="Arial Narrow" w:hAnsi="Arial Narrow"/>
                <w:color w:val="000000" w:themeColor="text1"/>
                <w:sz w:val="20"/>
                <w:szCs w:val="20"/>
              </w:rPr>
              <w:t>elow</w:t>
            </w:r>
            <w:r w:rsidR="002B6B33" w:rsidRPr="009E35ED" w:rsidDel="002B6B33">
              <w:rPr>
                <w:rFonts w:ascii="Arial Narrow" w:hAnsi="Arial Narrow"/>
                <w:color w:val="000000" w:themeColor="text1"/>
                <w:sz w:val="20"/>
                <w:szCs w:val="20"/>
              </w:rPr>
              <w:t xml:space="preserve"> </w:t>
            </w:r>
            <w:r w:rsidRPr="009E35ED">
              <w:rPr>
                <w:rFonts w:ascii="Arial Narrow" w:hAnsi="Arial Narrow"/>
                <w:color w:val="000000" w:themeColor="text1"/>
                <w:sz w:val="20"/>
                <w:szCs w:val="20"/>
              </w:rPr>
              <w:t>-</w:t>
            </w:r>
            <w:r w:rsidR="002B6B33">
              <w:rPr>
                <w:rFonts w:ascii="Arial Narrow" w:hAnsi="Arial Narrow"/>
                <w:color w:val="000000" w:themeColor="text1"/>
                <w:sz w:val="20"/>
                <w:szCs w:val="20"/>
              </w:rPr>
              <w:t>l</w:t>
            </w:r>
            <w:r w:rsidRPr="009E35ED">
              <w:rPr>
                <w:rFonts w:ascii="Arial Narrow" w:hAnsi="Arial Narrow"/>
                <w:color w:val="000000" w:themeColor="text1"/>
                <w:sz w:val="20"/>
                <w:szCs w:val="20"/>
              </w:rPr>
              <w:t>otto-Branch</w:t>
            </w:r>
          </w:p>
        </w:tc>
        <w:tc>
          <w:tcPr>
            <w:tcW w:w="1716" w:type="dxa"/>
            <w:tcBorders>
              <w:top w:val="nil"/>
              <w:left w:val="nil"/>
              <w:bottom w:val="nil"/>
              <w:right w:val="nil"/>
            </w:tcBorders>
            <w:shd w:val="clear" w:color="auto" w:fill="auto"/>
            <w:noWrap/>
          </w:tcPr>
          <w:p w14:paraId="6768B456" w14:textId="124E47ED" w:rsidR="00D358C5" w:rsidRPr="009E35ED" w:rsidRDefault="00D358C5" w:rsidP="00D358C5">
            <w:pPr>
              <w:ind w:left="0"/>
              <w:jc w:val="right"/>
              <w:rPr>
                <w:rFonts w:ascii="Arial Narrow" w:hAnsi="Arial Narrow" w:cs="Arial"/>
                <w:color w:val="000000" w:themeColor="text1"/>
                <w:sz w:val="20"/>
                <w:szCs w:val="20"/>
                <w:lang w:val="en-PH" w:eastAsia="en-PH"/>
              </w:rPr>
            </w:pPr>
            <w:r w:rsidRPr="009E35ED">
              <w:rPr>
                <w:rFonts w:ascii="Arial Narrow" w:hAnsi="Arial Narrow"/>
                <w:color w:val="000000" w:themeColor="text1"/>
                <w:sz w:val="20"/>
                <w:szCs w:val="20"/>
              </w:rPr>
              <w:t xml:space="preserve"> (71,875)</w:t>
            </w:r>
          </w:p>
        </w:tc>
      </w:tr>
      <w:tr w:rsidR="00997F75" w:rsidRPr="009E35ED" w14:paraId="03946FA4" w14:textId="77777777" w:rsidTr="00AD3D41">
        <w:trPr>
          <w:trHeight w:val="75"/>
        </w:trPr>
        <w:tc>
          <w:tcPr>
            <w:tcW w:w="7286" w:type="dxa"/>
            <w:tcBorders>
              <w:top w:val="nil"/>
              <w:left w:val="nil"/>
              <w:bottom w:val="nil"/>
              <w:right w:val="nil"/>
            </w:tcBorders>
            <w:shd w:val="clear" w:color="auto" w:fill="auto"/>
            <w:hideMark/>
          </w:tcPr>
          <w:p w14:paraId="0F0C06B3" w14:textId="4B27F1E3" w:rsidR="00D358C5" w:rsidRPr="009E35ED" w:rsidRDefault="00D358C5" w:rsidP="00D358C5">
            <w:pPr>
              <w:ind w:left="0"/>
              <w:jc w:val="left"/>
              <w:rPr>
                <w:rFonts w:ascii="Arial Narrow" w:hAnsi="Arial Narrow" w:cs="Arial"/>
                <w:color w:val="000000" w:themeColor="text1"/>
                <w:sz w:val="20"/>
                <w:szCs w:val="20"/>
                <w:lang w:val="en-PH" w:eastAsia="en-PH"/>
              </w:rPr>
            </w:pPr>
            <w:r w:rsidRPr="009E35ED">
              <w:rPr>
                <w:rFonts w:ascii="Arial Narrow" w:hAnsi="Arial Narrow"/>
                <w:color w:val="000000" w:themeColor="text1"/>
                <w:sz w:val="20"/>
                <w:szCs w:val="20"/>
              </w:rPr>
              <w:t xml:space="preserve">Adjustment/Recording of </w:t>
            </w:r>
            <w:r w:rsidR="002B6B33">
              <w:rPr>
                <w:rFonts w:ascii="Arial Narrow" w:hAnsi="Arial Narrow"/>
                <w:color w:val="000000" w:themeColor="text1"/>
                <w:sz w:val="20"/>
                <w:szCs w:val="20"/>
              </w:rPr>
              <w:t>p</w:t>
            </w:r>
            <w:r w:rsidR="002B6B33" w:rsidRPr="009E35ED">
              <w:rPr>
                <w:rFonts w:ascii="Arial Narrow" w:hAnsi="Arial Narrow"/>
                <w:color w:val="000000" w:themeColor="text1"/>
                <w:sz w:val="20"/>
                <w:szCs w:val="20"/>
              </w:rPr>
              <w:t>rizes-</w:t>
            </w:r>
            <w:r w:rsidR="002B6B33">
              <w:rPr>
                <w:rFonts w:ascii="Arial Narrow" w:hAnsi="Arial Narrow"/>
                <w:color w:val="000000" w:themeColor="text1"/>
                <w:sz w:val="20"/>
                <w:szCs w:val="20"/>
              </w:rPr>
              <w:t>l</w:t>
            </w:r>
            <w:r w:rsidR="002B6B33" w:rsidRPr="009E35ED">
              <w:rPr>
                <w:rFonts w:ascii="Arial Narrow" w:hAnsi="Arial Narrow"/>
                <w:color w:val="000000" w:themeColor="text1"/>
                <w:sz w:val="20"/>
                <w:szCs w:val="20"/>
              </w:rPr>
              <w:t xml:space="preserve">ower </w:t>
            </w:r>
            <w:r w:rsidR="002B6B33">
              <w:rPr>
                <w:rFonts w:ascii="Arial Narrow" w:hAnsi="Arial Narrow"/>
                <w:color w:val="000000" w:themeColor="text1"/>
                <w:sz w:val="20"/>
                <w:szCs w:val="20"/>
              </w:rPr>
              <w:t>p</w:t>
            </w:r>
            <w:r w:rsidR="002B6B33" w:rsidRPr="009E35ED">
              <w:rPr>
                <w:rFonts w:ascii="Arial Narrow" w:hAnsi="Arial Narrow"/>
                <w:color w:val="000000" w:themeColor="text1"/>
                <w:sz w:val="20"/>
                <w:szCs w:val="20"/>
              </w:rPr>
              <w:t xml:space="preserve">rize 10,000 and </w:t>
            </w:r>
            <w:r w:rsidR="002B6B33">
              <w:rPr>
                <w:rFonts w:ascii="Arial Narrow" w:hAnsi="Arial Narrow"/>
                <w:color w:val="000000" w:themeColor="text1"/>
                <w:sz w:val="20"/>
                <w:szCs w:val="20"/>
              </w:rPr>
              <w:t>b</w:t>
            </w:r>
            <w:r w:rsidR="002B6B33" w:rsidRPr="009E35ED">
              <w:rPr>
                <w:rFonts w:ascii="Arial Narrow" w:hAnsi="Arial Narrow"/>
                <w:color w:val="000000" w:themeColor="text1"/>
                <w:sz w:val="20"/>
                <w:szCs w:val="20"/>
              </w:rPr>
              <w:t>elow</w:t>
            </w:r>
            <w:r w:rsidR="002B6B33" w:rsidRPr="009E35ED" w:rsidDel="002B6B33">
              <w:rPr>
                <w:rFonts w:ascii="Arial Narrow" w:hAnsi="Arial Narrow"/>
                <w:color w:val="000000" w:themeColor="text1"/>
                <w:sz w:val="20"/>
                <w:szCs w:val="20"/>
              </w:rPr>
              <w:t xml:space="preserve"> </w:t>
            </w:r>
            <w:r w:rsidRPr="009E35ED">
              <w:rPr>
                <w:rFonts w:ascii="Arial Narrow" w:hAnsi="Arial Narrow"/>
                <w:color w:val="000000" w:themeColor="text1"/>
                <w:sz w:val="20"/>
                <w:szCs w:val="20"/>
              </w:rPr>
              <w:t>-</w:t>
            </w:r>
            <w:r w:rsidR="002B6B33">
              <w:rPr>
                <w:rFonts w:ascii="Arial Narrow" w:hAnsi="Arial Narrow"/>
                <w:color w:val="000000" w:themeColor="text1"/>
                <w:sz w:val="20"/>
                <w:szCs w:val="20"/>
              </w:rPr>
              <w:t>l</w:t>
            </w:r>
            <w:r w:rsidRPr="009E35ED">
              <w:rPr>
                <w:rFonts w:ascii="Arial Narrow" w:hAnsi="Arial Narrow"/>
                <w:color w:val="000000" w:themeColor="text1"/>
                <w:sz w:val="20"/>
                <w:szCs w:val="20"/>
              </w:rPr>
              <w:t>otto-Head Office</w:t>
            </w:r>
          </w:p>
        </w:tc>
        <w:tc>
          <w:tcPr>
            <w:tcW w:w="1716" w:type="dxa"/>
            <w:tcBorders>
              <w:top w:val="nil"/>
              <w:left w:val="nil"/>
              <w:bottom w:val="nil"/>
              <w:right w:val="nil"/>
            </w:tcBorders>
            <w:shd w:val="clear" w:color="auto" w:fill="auto"/>
            <w:noWrap/>
            <w:hideMark/>
          </w:tcPr>
          <w:p w14:paraId="5B69C416" w14:textId="649F4662" w:rsidR="00D358C5" w:rsidRPr="009E35ED" w:rsidRDefault="00D358C5" w:rsidP="00EF447D">
            <w:pPr>
              <w:ind w:left="0"/>
              <w:jc w:val="right"/>
              <w:rPr>
                <w:rFonts w:ascii="Arial Narrow" w:hAnsi="Arial Narrow" w:cs="Arial"/>
                <w:color w:val="000000" w:themeColor="text1"/>
                <w:sz w:val="20"/>
                <w:szCs w:val="20"/>
                <w:lang w:val="en-PH" w:eastAsia="en-PH"/>
              </w:rPr>
            </w:pPr>
            <w:r w:rsidRPr="009E35ED">
              <w:rPr>
                <w:rFonts w:ascii="Arial Narrow" w:hAnsi="Arial Narrow"/>
                <w:color w:val="000000" w:themeColor="text1"/>
                <w:sz w:val="20"/>
                <w:szCs w:val="20"/>
              </w:rPr>
              <w:t xml:space="preserve"> (22,697,84</w:t>
            </w:r>
            <w:r w:rsidR="00EF447D" w:rsidRPr="009E35ED">
              <w:rPr>
                <w:rFonts w:ascii="Arial Narrow" w:hAnsi="Arial Narrow"/>
                <w:color w:val="000000" w:themeColor="text1"/>
                <w:sz w:val="20"/>
                <w:szCs w:val="20"/>
              </w:rPr>
              <w:t>7</w:t>
            </w:r>
            <w:r w:rsidRPr="009E35ED">
              <w:rPr>
                <w:rFonts w:ascii="Arial Narrow" w:hAnsi="Arial Narrow"/>
                <w:color w:val="000000" w:themeColor="text1"/>
                <w:sz w:val="20"/>
                <w:szCs w:val="20"/>
              </w:rPr>
              <w:t>)</w:t>
            </w:r>
          </w:p>
        </w:tc>
      </w:tr>
      <w:tr w:rsidR="00997F75" w:rsidRPr="009E35ED" w14:paraId="01460BF0" w14:textId="77777777" w:rsidTr="00AD3D41">
        <w:trPr>
          <w:trHeight w:val="65"/>
        </w:trPr>
        <w:tc>
          <w:tcPr>
            <w:tcW w:w="7286" w:type="dxa"/>
            <w:tcBorders>
              <w:top w:val="single" w:sz="4" w:space="0" w:color="auto"/>
              <w:left w:val="nil"/>
              <w:bottom w:val="double" w:sz="6" w:space="0" w:color="auto"/>
              <w:right w:val="nil"/>
            </w:tcBorders>
            <w:shd w:val="clear" w:color="auto" w:fill="auto"/>
            <w:hideMark/>
          </w:tcPr>
          <w:p w14:paraId="0FBE9E8F" w14:textId="74084C00" w:rsidR="00D358C5" w:rsidRPr="009E35ED" w:rsidRDefault="00D358C5" w:rsidP="00D358C5">
            <w:pPr>
              <w:ind w:left="0"/>
              <w:jc w:val="left"/>
              <w:rPr>
                <w:rFonts w:ascii="Arial Narrow" w:hAnsi="Arial Narrow" w:cs="Arial"/>
                <w:b/>
                <w:bCs/>
                <w:color w:val="000000" w:themeColor="text1"/>
                <w:sz w:val="20"/>
                <w:szCs w:val="20"/>
                <w:lang w:val="en-PH" w:eastAsia="en-PH"/>
              </w:rPr>
            </w:pPr>
            <w:r w:rsidRPr="009E35ED">
              <w:rPr>
                <w:rFonts w:ascii="Arial Narrow" w:hAnsi="Arial Narrow"/>
                <w:b/>
                <w:bCs/>
                <w:color w:val="000000" w:themeColor="text1"/>
                <w:sz w:val="20"/>
                <w:szCs w:val="20"/>
              </w:rPr>
              <w:t>Restated Amount as of December 31, 2022 - Low Tier Prizes (Prize Fund)</w:t>
            </w:r>
          </w:p>
        </w:tc>
        <w:tc>
          <w:tcPr>
            <w:tcW w:w="1716" w:type="dxa"/>
            <w:tcBorders>
              <w:top w:val="single" w:sz="4" w:space="0" w:color="auto"/>
              <w:left w:val="nil"/>
              <w:bottom w:val="double" w:sz="6" w:space="0" w:color="auto"/>
              <w:right w:val="nil"/>
            </w:tcBorders>
            <w:shd w:val="clear" w:color="auto" w:fill="auto"/>
            <w:noWrap/>
            <w:hideMark/>
          </w:tcPr>
          <w:p w14:paraId="1ED58B19" w14:textId="0424A02B" w:rsidR="00D358C5" w:rsidRPr="009E35ED" w:rsidRDefault="00D358C5" w:rsidP="00EF447D">
            <w:pPr>
              <w:ind w:left="0"/>
              <w:jc w:val="right"/>
              <w:rPr>
                <w:rFonts w:ascii="Arial Narrow" w:hAnsi="Arial Narrow" w:cs="Arial"/>
                <w:b/>
                <w:bCs/>
                <w:color w:val="000000" w:themeColor="text1"/>
                <w:sz w:val="20"/>
                <w:szCs w:val="20"/>
                <w:lang w:val="en-PH" w:eastAsia="en-PH"/>
              </w:rPr>
            </w:pPr>
            <w:r w:rsidRPr="009E35ED">
              <w:rPr>
                <w:rFonts w:ascii="Arial Narrow" w:hAnsi="Arial Narrow"/>
                <w:b/>
                <w:bCs/>
                <w:color w:val="000000" w:themeColor="text1"/>
                <w:sz w:val="20"/>
                <w:szCs w:val="20"/>
              </w:rPr>
              <w:t xml:space="preserve"> </w:t>
            </w:r>
            <w:r w:rsidR="00F67C87" w:rsidRPr="009E35ED">
              <w:rPr>
                <w:rFonts w:ascii="Arial Narrow" w:hAnsi="Arial Narrow"/>
                <w:b/>
                <w:bCs/>
                <w:color w:val="000000" w:themeColor="text1"/>
                <w:sz w:val="20"/>
                <w:szCs w:val="20"/>
              </w:rPr>
              <w:t xml:space="preserve"> 15,591,</w:t>
            </w:r>
            <w:r w:rsidR="00EF447D" w:rsidRPr="009E35ED">
              <w:rPr>
                <w:rFonts w:ascii="Arial Narrow" w:hAnsi="Arial Narrow"/>
                <w:b/>
                <w:bCs/>
                <w:color w:val="000000" w:themeColor="text1"/>
                <w:sz w:val="20"/>
                <w:szCs w:val="20"/>
              </w:rPr>
              <w:t>630,925</w:t>
            </w:r>
          </w:p>
        </w:tc>
      </w:tr>
      <w:tr w:rsidR="00997F75" w:rsidRPr="009E35ED" w14:paraId="4555E6AE" w14:textId="77777777" w:rsidTr="00C26DA1">
        <w:trPr>
          <w:trHeight w:val="300"/>
        </w:trPr>
        <w:tc>
          <w:tcPr>
            <w:tcW w:w="7286" w:type="dxa"/>
            <w:tcBorders>
              <w:top w:val="nil"/>
              <w:left w:val="nil"/>
              <w:bottom w:val="nil"/>
              <w:right w:val="nil"/>
            </w:tcBorders>
            <w:shd w:val="clear" w:color="auto" w:fill="auto"/>
            <w:vAlign w:val="bottom"/>
            <w:hideMark/>
          </w:tcPr>
          <w:p w14:paraId="41CA7970" w14:textId="77777777" w:rsidR="00240956" w:rsidRPr="009E35ED" w:rsidRDefault="00240956" w:rsidP="00240956">
            <w:pPr>
              <w:ind w:left="0"/>
              <w:jc w:val="left"/>
              <w:rPr>
                <w:rFonts w:ascii="Arial Narrow" w:hAnsi="Arial Narrow" w:cs="Arial"/>
                <w:b/>
                <w:bCs/>
                <w:color w:val="000000" w:themeColor="text1"/>
                <w:sz w:val="20"/>
                <w:szCs w:val="20"/>
                <w:lang w:val="en-PH" w:eastAsia="en-PH"/>
              </w:rPr>
            </w:pPr>
          </w:p>
        </w:tc>
        <w:tc>
          <w:tcPr>
            <w:tcW w:w="1716" w:type="dxa"/>
            <w:tcBorders>
              <w:top w:val="nil"/>
              <w:left w:val="nil"/>
              <w:bottom w:val="nil"/>
              <w:right w:val="nil"/>
            </w:tcBorders>
            <w:shd w:val="clear" w:color="auto" w:fill="auto"/>
            <w:noWrap/>
            <w:vAlign w:val="bottom"/>
            <w:hideMark/>
          </w:tcPr>
          <w:p w14:paraId="0FA19821" w14:textId="77777777" w:rsidR="00240956" w:rsidRPr="009E35ED" w:rsidRDefault="00240956" w:rsidP="00240956">
            <w:pPr>
              <w:ind w:left="0"/>
              <w:jc w:val="right"/>
              <w:rPr>
                <w:rFonts w:ascii="Arial Narrow" w:hAnsi="Arial Narrow"/>
                <w:color w:val="000000" w:themeColor="text1"/>
                <w:sz w:val="20"/>
                <w:szCs w:val="20"/>
                <w:lang w:val="en-PH" w:eastAsia="en-PH"/>
              </w:rPr>
            </w:pPr>
          </w:p>
        </w:tc>
      </w:tr>
      <w:tr w:rsidR="00997F75" w:rsidRPr="009E35ED" w14:paraId="789F0FDD" w14:textId="77777777" w:rsidTr="00AD3D41">
        <w:trPr>
          <w:trHeight w:val="285"/>
        </w:trPr>
        <w:tc>
          <w:tcPr>
            <w:tcW w:w="7286" w:type="dxa"/>
            <w:tcBorders>
              <w:top w:val="nil"/>
              <w:left w:val="nil"/>
              <w:bottom w:val="nil"/>
              <w:right w:val="nil"/>
            </w:tcBorders>
            <w:shd w:val="clear" w:color="auto" w:fill="auto"/>
            <w:hideMark/>
          </w:tcPr>
          <w:p w14:paraId="0B7F8000" w14:textId="56777C89" w:rsidR="00DD3D72" w:rsidRPr="009E35ED" w:rsidRDefault="00DD3D72" w:rsidP="00DD3D72">
            <w:pPr>
              <w:ind w:left="0"/>
              <w:jc w:val="left"/>
              <w:rPr>
                <w:rFonts w:ascii="Arial Narrow" w:hAnsi="Arial Narrow" w:cs="Arial"/>
                <w:color w:val="000000" w:themeColor="text1"/>
                <w:sz w:val="20"/>
                <w:szCs w:val="20"/>
                <w:lang w:val="en-PH" w:eastAsia="en-PH"/>
              </w:rPr>
            </w:pPr>
            <w:r w:rsidRPr="009E35ED">
              <w:rPr>
                <w:rFonts w:ascii="Arial Narrow" w:hAnsi="Arial Narrow"/>
                <w:color w:val="000000" w:themeColor="text1"/>
                <w:sz w:val="20"/>
                <w:szCs w:val="20"/>
              </w:rPr>
              <w:t xml:space="preserve">Unrestated </w:t>
            </w:r>
            <w:r w:rsidR="002B6B33">
              <w:rPr>
                <w:rFonts w:ascii="Arial Narrow" w:hAnsi="Arial Narrow"/>
                <w:color w:val="000000" w:themeColor="text1"/>
                <w:sz w:val="20"/>
                <w:szCs w:val="20"/>
              </w:rPr>
              <w:t>a</w:t>
            </w:r>
            <w:r w:rsidRPr="009E35ED">
              <w:rPr>
                <w:rFonts w:ascii="Arial Narrow" w:hAnsi="Arial Narrow"/>
                <w:color w:val="000000" w:themeColor="text1"/>
                <w:sz w:val="20"/>
                <w:szCs w:val="20"/>
              </w:rPr>
              <w:t>mount as of December 31, 2022</w:t>
            </w:r>
          </w:p>
        </w:tc>
        <w:tc>
          <w:tcPr>
            <w:tcW w:w="1716" w:type="dxa"/>
            <w:tcBorders>
              <w:top w:val="nil"/>
              <w:left w:val="nil"/>
              <w:bottom w:val="nil"/>
              <w:right w:val="nil"/>
            </w:tcBorders>
            <w:shd w:val="clear" w:color="auto" w:fill="auto"/>
            <w:noWrap/>
            <w:hideMark/>
          </w:tcPr>
          <w:p w14:paraId="355E2ADC" w14:textId="249813A9" w:rsidR="00DD3D72" w:rsidRPr="009E35ED" w:rsidRDefault="00DD3D72" w:rsidP="00DD3D72">
            <w:pPr>
              <w:ind w:left="0"/>
              <w:jc w:val="right"/>
              <w:rPr>
                <w:rFonts w:ascii="Arial Narrow" w:hAnsi="Arial Narrow" w:cs="Arial"/>
                <w:color w:val="000000" w:themeColor="text1"/>
                <w:sz w:val="20"/>
                <w:szCs w:val="20"/>
                <w:lang w:val="en-PH" w:eastAsia="en-PH"/>
              </w:rPr>
            </w:pPr>
            <w:r w:rsidRPr="009E35ED">
              <w:rPr>
                <w:rFonts w:ascii="Arial Narrow" w:hAnsi="Arial Narrow"/>
                <w:color w:val="000000" w:themeColor="text1"/>
                <w:sz w:val="20"/>
                <w:szCs w:val="20"/>
              </w:rPr>
              <w:t xml:space="preserve"> -   </w:t>
            </w:r>
          </w:p>
        </w:tc>
      </w:tr>
      <w:tr w:rsidR="00997F75" w:rsidRPr="009E35ED" w14:paraId="3AF76B9B" w14:textId="77777777" w:rsidTr="00AD3D41">
        <w:trPr>
          <w:trHeight w:val="75"/>
        </w:trPr>
        <w:tc>
          <w:tcPr>
            <w:tcW w:w="7286" w:type="dxa"/>
            <w:tcBorders>
              <w:top w:val="nil"/>
              <w:left w:val="nil"/>
              <w:bottom w:val="nil"/>
              <w:right w:val="nil"/>
            </w:tcBorders>
            <w:shd w:val="clear" w:color="auto" w:fill="auto"/>
            <w:hideMark/>
          </w:tcPr>
          <w:p w14:paraId="0930783E" w14:textId="1940CA40" w:rsidR="00DD3D72" w:rsidRPr="009E35ED" w:rsidRDefault="00DD3D72" w:rsidP="00DD3D72">
            <w:pPr>
              <w:ind w:left="0"/>
              <w:jc w:val="left"/>
              <w:rPr>
                <w:rFonts w:ascii="Arial Narrow" w:hAnsi="Arial Narrow" w:cs="Arial"/>
                <w:color w:val="000000" w:themeColor="text1"/>
                <w:sz w:val="20"/>
                <w:szCs w:val="20"/>
                <w:lang w:val="en-PH" w:eastAsia="en-PH"/>
              </w:rPr>
            </w:pPr>
            <w:r w:rsidRPr="009E35ED">
              <w:rPr>
                <w:rFonts w:ascii="Arial Narrow" w:hAnsi="Arial Narrow"/>
                <w:color w:val="000000" w:themeColor="text1"/>
                <w:sz w:val="20"/>
                <w:szCs w:val="20"/>
              </w:rPr>
              <w:t>Adjustment/Recording</w:t>
            </w:r>
            <w:r w:rsidR="002B6B33">
              <w:rPr>
                <w:rFonts w:ascii="Arial Narrow" w:hAnsi="Arial Narrow"/>
                <w:color w:val="000000" w:themeColor="text1"/>
                <w:sz w:val="20"/>
                <w:szCs w:val="20"/>
              </w:rPr>
              <w:t xml:space="preserve"> o</w:t>
            </w:r>
            <w:r w:rsidRPr="009E35ED">
              <w:rPr>
                <w:rFonts w:ascii="Arial Narrow" w:hAnsi="Arial Narrow"/>
                <w:color w:val="000000" w:themeColor="text1"/>
                <w:sz w:val="20"/>
                <w:szCs w:val="20"/>
              </w:rPr>
              <w:t xml:space="preserve">f </w:t>
            </w:r>
            <w:r w:rsidR="002B6B33">
              <w:rPr>
                <w:rFonts w:ascii="Arial Narrow" w:hAnsi="Arial Narrow"/>
                <w:color w:val="000000" w:themeColor="text1"/>
                <w:sz w:val="20"/>
                <w:szCs w:val="20"/>
              </w:rPr>
              <w:t>s</w:t>
            </w:r>
            <w:r w:rsidRPr="009E35ED">
              <w:rPr>
                <w:rFonts w:ascii="Arial Narrow" w:hAnsi="Arial Narrow"/>
                <w:color w:val="000000" w:themeColor="text1"/>
                <w:sz w:val="20"/>
                <w:szCs w:val="20"/>
              </w:rPr>
              <w:t xml:space="preserve">eller's </w:t>
            </w:r>
            <w:r w:rsidR="002B6B33">
              <w:rPr>
                <w:rFonts w:ascii="Arial Narrow" w:hAnsi="Arial Narrow"/>
                <w:color w:val="000000" w:themeColor="text1"/>
                <w:sz w:val="20"/>
                <w:szCs w:val="20"/>
              </w:rPr>
              <w:t>p</w:t>
            </w:r>
            <w:r w:rsidRPr="009E35ED">
              <w:rPr>
                <w:rFonts w:ascii="Arial Narrow" w:hAnsi="Arial Narrow"/>
                <w:color w:val="000000" w:themeColor="text1"/>
                <w:sz w:val="20"/>
                <w:szCs w:val="20"/>
              </w:rPr>
              <w:t>rize-</w:t>
            </w:r>
            <w:r w:rsidR="002B6B33">
              <w:rPr>
                <w:rFonts w:ascii="Arial Narrow" w:hAnsi="Arial Narrow"/>
                <w:color w:val="000000" w:themeColor="text1"/>
                <w:sz w:val="20"/>
                <w:szCs w:val="20"/>
              </w:rPr>
              <w:t>s</w:t>
            </w:r>
            <w:r w:rsidRPr="009E35ED">
              <w:rPr>
                <w:rFonts w:ascii="Arial Narrow" w:hAnsi="Arial Narrow"/>
                <w:color w:val="000000" w:themeColor="text1"/>
                <w:sz w:val="20"/>
                <w:szCs w:val="20"/>
              </w:rPr>
              <w:t>weepstakes</w:t>
            </w:r>
          </w:p>
        </w:tc>
        <w:tc>
          <w:tcPr>
            <w:tcW w:w="1716" w:type="dxa"/>
            <w:tcBorders>
              <w:top w:val="nil"/>
              <w:left w:val="nil"/>
              <w:bottom w:val="nil"/>
              <w:right w:val="nil"/>
            </w:tcBorders>
            <w:shd w:val="clear" w:color="auto" w:fill="auto"/>
            <w:noWrap/>
            <w:hideMark/>
          </w:tcPr>
          <w:p w14:paraId="238185D1" w14:textId="4F60E6DE" w:rsidR="00DD3D72" w:rsidRPr="009E35ED" w:rsidRDefault="00DD3D72" w:rsidP="00DD3D72">
            <w:pPr>
              <w:ind w:left="0"/>
              <w:jc w:val="right"/>
              <w:rPr>
                <w:rFonts w:ascii="Arial Narrow" w:hAnsi="Arial Narrow" w:cs="Arial"/>
                <w:color w:val="000000" w:themeColor="text1"/>
                <w:sz w:val="20"/>
                <w:szCs w:val="20"/>
                <w:lang w:val="en-PH" w:eastAsia="en-PH"/>
              </w:rPr>
            </w:pPr>
            <w:r w:rsidRPr="009E35ED">
              <w:rPr>
                <w:rFonts w:ascii="Arial Narrow" w:hAnsi="Arial Narrow"/>
                <w:color w:val="000000" w:themeColor="text1"/>
                <w:sz w:val="20"/>
                <w:szCs w:val="20"/>
              </w:rPr>
              <w:t xml:space="preserve"> (157,818)</w:t>
            </w:r>
          </w:p>
        </w:tc>
      </w:tr>
      <w:tr w:rsidR="00997F75" w:rsidRPr="009E35ED" w14:paraId="68C40CFE" w14:textId="77777777" w:rsidTr="00AD3D41">
        <w:trPr>
          <w:trHeight w:val="65"/>
        </w:trPr>
        <w:tc>
          <w:tcPr>
            <w:tcW w:w="7286" w:type="dxa"/>
            <w:tcBorders>
              <w:top w:val="single" w:sz="4" w:space="0" w:color="auto"/>
              <w:left w:val="nil"/>
              <w:bottom w:val="double" w:sz="6" w:space="0" w:color="auto"/>
              <w:right w:val="nil"/>
            </w:tcBorders>
            <w:shd w:val="clear" w:color="auto" w:fill="auto"/>
            <w:hideMark/>
          </w:tcPr>
          <w:p w14:paraId="40E7FA7E" w14:textId="3B74313B" w:rsidR="00DD3D72" w:rsidRPr="009E35ED" w:rsidRDefault="00DD3D72" w:rsidP="00DD3D72">
            <w:pPr>
              <w:ind w:left="0"/>
              <w:jc w:val="left"/>
              <w:rPr>
                <w:rFonts w:ascii="Arial Narrow" w:hAnsi="Arial Narrow" w:cs="Arial"/>
                <w:b/>
                <w:bCs/>
                <w:color w:val="000000" w:themeColor="text1"/>
                <w:sz w:val="20"/>
                <w:szCs w:val="20"/>
                <w:lang w:val="en-PH" w:eastAsia="en-PH"/>
              </w:rPr>
            </w:pPr>
            <w:r w:rsidRPr="009E35ED">
              <w:rPr>
                <w:rFonts w:ascii="Arial Narrow" w:hAnsi="Arial Narrow"/>
                <w:b/>
                <w:bCs/>
                <w:color w:val="000000" w:themeColor="text1"/>
                <w:sz w:val="20"/>
                <w:szCs w:val="20"/>
              </w:rPr>
              <w:t>Restated Amount as of December 31, 2022 - Seller's Prize (Prize Fund)</w:t>
            </w:r>
          </w:p>
        </w:tc>
        <w:tc>
          <w:tcPr>
            <w:tcW w:w="1716" w:type="dxa"/>
            <w:tcBorders>
              <w:top w:val="single" w:sz="4" w:space="0" w:color="auto"/>
              <w:left w:val="nil"/>
              <w:bottom w:val="double" w:sz="6" w:space="0" w:color="auto"/>
              <w:right w:val="nil"/>
            </w:tcBorders>
            <w:shd w:val="clear" w:color="auto" w:fill="auto"/>
            <w:noWrap/>
            <w:hideMark/>
          </w:tcPr>
          <w:p w14:paraId="1E817DCE" w14:textId="4ACC825B" w:rsidR="00DD3D72" w:rsidRPr="009E35ED" w:rsidRDefault="00DD3D72" w:rsidP="00DD3D72">
            <w:pPr>
              <w:ind w:left="0"/>
              <w:jc w:val="right"/>
              <w:rPr>
                <w:rFonts w:ascii="Arial Narrow" w:hAnsi="Arial Narrow" w:cs="Arial"/>
                <w:b/>
                <w:bCs/>
                <w:color w:val="000000" w:themeColor="text1"/>
                <w:sz w:val="20"/>
                <w:szCs w:val="20"/>
                <w:lang w:val="en-PH" w:eastAsia="en-PH"/>
              </w:rPr>
            </w:pPr>
            <w:r w:rsidRPr="009E35ED">
              <w:rPr>
                <w:rFonts w:ascii="Arial Narrow" w:hAnsi="Arial Narrow"/>
                <w:b/>
                <w:bCs/>
                <w:color w:val="000000" w:themeColor="text1"/>
                <w:sz w:val="20"/>
                <w:szCs w:val="20"/>
              </w:rPr>
              <w:t xml:space="preserve"> (157,818)</w:t>
            </w:r>
          </w:p>
        </w:tc>
      </w:tr>
      <w:tr w:rsidR="00997F75" w:rsidRPr="009E35ED" w14:paraId="6BA19403" w14:textId="77777777" w:rsidTr="00C26DA1">
        <w:trPr>
          <w:trHeight w:val="300"/>
        </w:trPr>
        <w:tc>
          <w:tcPr>
            <w:tcW w:w="7286" w:type="dxa"/>
            <w:tcBorders>
              <w:top w:val="nil"/>
              <w:left w:val="nil"/>
              <w:bottom w:val="nil"/>
              <w:right w:val="nil"/>
            </w:tcBorders>
            <w:shd w:val="clear" w:color="auto" w:fill="auto"/>
            <w:vAlign w:val="bottom"/>
            <w:hideMark/>
          </w:tcPr>
          <w:p w14:paraId="44335F37" w14:textId="77777777" w:rsidR="00240956" w:rsidRPr="009E35ED" w:rsidRDefault="00240956" w:rsidP="00240956">
            <w:pPr>
              <w:ind w:left="0"/>
              <w:jc w:val="left"/>
              <w:rPr>
                <w:rFonts w:ascii="Arial Narrow" w:hAnsi="Arial Narrow" w:cs="Arial"/>
                <w:b/>
                <w:bCs/>
                <w:color w:val="000000" w:themeColor="text1"/>
                <w:sz w:val="18"/>
                <w:szCs w:val="18"/>
                <w:lang w:val="en-PH" w:eastAsia="en-PH"/>
              </w:rPr>
            </w:pPr>
          </w:p>
        </w:tc>
        <w:tc>
          <w:tcPr>
            <w:tcW w:w="1716" w:type="dxa"/>
            <w:tcBorders>
              <w:top w:val="nil"/>
              <w:left w:val="nil"/>
              <w:bottom w:val="nil"/>
              <w:right w:val="nil"/>
            </w:tcBorders>
            <w:shd w:val="clear" w:color="auto" w:fill="auto"/>
            <w:noWrap/>
            <w:vAlign w:val="bottom"/>
            <w:hideMark/>
          </w:tcPr>
          <w:p w14:paraId="01D88CE3" w14:textId="77777777" w:rsidR="00240956" w:rsidRPr="009E35ED" w:rsidRDefault="00240956" w:rsidP="00240956">
            <w:pPr>
              <w:ind w:left="0"/>
              <w:jc w:val="right"/>
              <w:rPr>
                <w:rFonts w:ascii="Arial Narrow" w:hAnsi="Arial Narrow"/>
                <w:color w:val="000000" w:themeColor="text1"/>
                <w:sz w:val="18"/>
                <w:szCs w:val="18"/>
                <w:lang w:val="en-PH" w:eastAsia="en-PH"/>
              </w:rPr>
            </w:pPr>
          </w:p>
        </w:tc>
      </w:tr>
    </w:tbl>
    <w:p w14:paraId="48C0811D" w14:textId="6C8BA3B5" w:rsidR="005669E8" w:rsidRPr="009E35ED" w:rsidRDefault="005669E8" w:rsidP="005669E8">
      <w:pPr>
        <w:ind w:left="0" w:right="-34"/>
        <w:rPr>
          <w:rFonts w:ascii="Arial" w:hAnsi="Arial" w:cs="Arial"/>
          <w:i/>
          <w:color w:val="000000" w:themeColor="text1"/>
          <w:sz w:val="22"/>
          <w:szCs w:val="22"/>
        </w:rPr>
      </w:pPr>
      <w:r w:rsidRPr="009E35ED">
        <w:rPr>
          <w:rFonts w:ascii="Arial" w:hAnsi="Arial" w:cs="Arial"/>
          <w:i/>
          <w:color w:val="000000" w:themeColor="text1"/>
          <w:sz w:val="22"/>
          <w:szCs w:val="22"/>
        </w:rPr>
        <w:t>Increases in Jackpot Prizes</w:t>
      </w:r>
    </w:p>
    <w:p w14:paraId="5A8CAFDB" w14:textId="77777777" w:rsidR="005669E8" w:rsidRPr="009E35ED" w:rsidRDefault="005669E8" w:rsidP="005669E8">
      <w:pPr>
        <w:ind w:left="0" w:right="-34"/>
        <w:rPr>
          <w:rFonts w:ascii="Arial" w:hAnsi="Arial" w:cs="Arial"/>
          <w:color w:val="000000" w:themeColor="text1"/>
          <w:sz w:val="22"/>
          <w:szCs w:val="22"/>
        </w:rPr>
      </w:pPr>
    </w:p>
    <w:p w14:paraId="0CE43093" w14:textId="5EEB4F3D" w:rsidR="005669E8" w:rsidRPr="009E35ED" w:rsidRDefault="005669E8" w:rsidP="005669E8">
      <w:pPr>
        <w:ind w:left="0" w:right="-34"/>
        <w:rPr>
          <w:rFonts w:ascii="Arial" w:hAnsi="Arial" w:cs="Arial"/>
          <w:color w:val="000000" w:themeColor="text1"/>
          <w:sz w:val="22"/>
          <w:szCs w:val="22"/>
        </w:rPr>
      </w:pPr>
      <w:r w:rsidRPr="009E35ED">
        <w:rPr>
          <w:rFonts w:ascii="Arial" w:hAnsi="Arial" w:cs="Arial"/>
          <w:color w:val="000000" w:themeColor="text1"/>
          <w:sz w:val="22"/>
          <w:szCs w:val="22"/>
        </w:rPr>
        <w:t>On October 30, 2023, in line with PCSO’s 89</w:t>
      </w:r>
      <w:r w:rsidRPr="009E35ED">
        <w:rPr>
          <w:rFonts w:ascii="Arial" w:hAnsi="Arial" w:cs="Arial"/>
          <w:color w:val="000000" w:themeColor="text1"/>
          <w:sz w:val="22"/>
          <w:szCs w:val="22"/>
          <w:vertAlign w:val="superscript"/>
        </w:rPr>
        <w:t>th</w:t>
      </w:r>
      <w:r w:rsidRPr="009E35ED">
        <w:rPr>
          <w:rFonts w:ascii="Arial" w:hAnsi="Arial" w:cs="Arial"/>
          <w:color w:val="000000" w:themeColor="text1"/>
          <w:sz w:val="22"/>
          <w:szCs w:val="22"/>
        </w:rPr>
        <w:t xml:space="preserve"> founding anniversary, PCSO Board of Directors on its 18</w:t>
      </w:r>
      <w:r w:rsidRPr="009E35ED">
        <w:rPr>
          <w:rFonts w:ascii="Arial" w:hAnsi="Arial" w:cs="Arial"/>
          <w:color w:val="000000" w:themeColor="text1"/>
          <w:sz w:val="22"/>
          <w:szCs w:val="22"/>
          <w:vertAlign w:val="superscript"/>
        </w:rPr>
        <w:t>th</w:t>
      </w:r>
      <w:r w:rsidRPr="009E35ED">
        <w:rPr>
          <w:rFonts w:ascii="Arial" w:hAnsi="Arial" w:cs="Arial"/>
          <w:color w:val="000000" w:themeColor="text1"/>
          <w:sz w:val="22"/>
          <w:szCs w:val="22"/>
        </w:rPr>
        <w:t xml:space="preserve"> Regular Board Meeting has approved the increase of the minimum jackpot prize of all national jackpot bearing games to </w:t>
      </w:r>
      <w:r w:rsidR="00F10767">
        <w:rPr>
          <w:rFonts w:ascii="Arial" w:hAnsi="Arial" w:cs="Arial"/>
          <w:color w:val="000000" w:themeColor="text1"/>
          <w:sz w:val="22"/>
          <w:szCs w:val="22"/>
        </w:rPr>
        <w:t>P</w:t>
      </w:r>
      <w:r w:rsidRPr="009E35ED">
        <w:rPr>
          <w:rFonts w:ascii="Arial" w:hAnsi="Arial" w:cs="Arial"/>
          <w:color w:val="000000" w:themeColor="text1"/>
          <w:sz w:val="22"/>
          <w:szCs w:val="22"/>
        </w:rPr>
        <w:t>89 million, net of Agent’s Prize commission, starting October 30, 2023, under B</w:t>
      </w:r>
      <w:r w:rsidR="002B6B33">
        <w:rPr>
          <w:rFonts w:ascii="Arial" w:hAnsi="Arial" w:cs="Arial"/>
          <w:color w:val="000000" w:themeColor="text1"/>
          <w:sz w:val="22"/>
          <w:szCs w:val="22"/>
        </w:rPr>
        <w:t>R</w:t>
      </w:r>
      <w:r w:rsidRPr="009E35ED">
        <w:rPr>
          <w:rFonts w:ascii="Arial" w:hAnsi="Arial" w:cs="Arial"/>
          <w:color w:val="000000" w:themeColor="text1"/>
          <w:sz w:val="22"/>
          <w:szCs w:val="22"/>
        </w:rPr>
        <w:t xml:space="preserve"> No. 262, Series of 2023. Further, the jackpot of the said lottery games shall revert to its original minimum jackpot prize once the jackpot has been won.</w:t>
      </w:r>
    </w:p>
    <w:p w14:paraId="2928276F" w14:textId="77777777" w:rsidR="005669E8" w:rsidRPr="009E35ED" w:rsidRDefault="005669E8" w:rsidP="005669E8">
      <w:pPr>
        <w:ind w:left="0" w:right="-34"/>
        <w:rPr>
          <w:rFonts w:ascii="Arial" w:hAnsi="Arial" w:cs="Arial"/>
          <w:color w:val="000000" w:themeColor="text1"/>
          <w:sz w:val="22"/>
          <w:szCs w:val="22"/>
        </w:rPr>
      </w:pPr>
    </w:p>
    <w:p w14:paraId="047D915D" w14:textId="0B94ECD9" w:rsidR="005669E8" w:rsidRPr="009E35ED" w:rsidRDefault="005669E8" w:rsidP="005669E8">
      <w:pPr>
        <w:ind w:left="0" w:right="-34"/>
        <w:rPr>
          <w:rFonts w:ascii="Arial" w:hAnsi="Arial" w:cs="Arial"/>
          <w:color w:val="000000" w:themeColor="text1"/>
          <w:sz w:val="22"/>
          <w:szCs w:val="22"/>
        </w:rPr>
      </w:pPr>
      <w:r w:rsidRPr="009E35ED">
        <w:rPr>
          <w:rFonts w:ascii="Arial" w:hAnsi="Arial" w:cs="Arial"/>
          <w:color w:val="000000" w:themeColor="text1"/>
          <w:sz w:val="22"/>
          <w:szCs w:val="22"/>
        </w:rPr>
        <w:t>Furthermore, PCSO Board of Directors has also approved the 2023 PCSO Holiday Jackpot Promo or Paskong Handog Pakabog on December 13, 2023, under B</w:t>
      </w:r>
      <w:r w:rsidR="002B6B33">
        <w:rPr>
          <w:rFonts w:ascii="Arial" w:hAnsi="Arial" w:cs="Arial"/>
          <w:color w:val="000000" w:themeColor="text1"/>
          <w:sz w:val="22"/>
          <w:szCs w:val="22"/>
        </w:rPr>
        <w:t>R</w:t>
      </w:r>
      <w:r w:rsidRPr="009E35ED">
        <w:rPr>
          <w:rFonts w:ascii="Arial" w:hAnsi="Arial" w:cs="Arial"/>
          <w:color w:val="000000" w:themeColor="text1"/>
          <w:sz w:val="22"/>
          <w:szCs w:val="22"/>
        </w:rPr>
        <w:t xml:space="preserve"> No. 316, Series of 2023. The Board approved the increase of the minimum jackpot prize, net </w:t>
      </w:r>
      <w:r w:rsidR="003A7B55" w:rsidRPr="009E35ED">
        <w:rPr>
          <w:rFonts w:ascii="Arial" w:hAnsi="Arial" w:cs="Arial"/>
          <w:color w:val="000000" w:themeColor="text1"/>
          <w:sz w:val="22"/>
          <w:szCs w:val="22"/>
        </w:rPr>
        <w:t>of Agent’s</w:t>
      </w:r>
      <w:r w:rsidRPr="009E35ED">
        <w:rPr>
          <w:rFonts w:ascii="Arial" w:hAnsi="Arial" w:cs="Arial"/>
          <w:color w:val="000000" w:themeColor="text1"/>
          <w:sz w:val="22"/>
          <w:szCs w:val="22"/>
        </w:rPr>
        <w:t xml:space="preserve"> Prize Commission of Grand Lotto 6/55 and Ultra Lotto 6/58 to </w:t>
      </w:r>
      <w:r w:rsidR="00F10767">
        <w:rPr>
          <w:rFonts w:ascii="Arial" w:hAnsi="Arial" w:cs="Arial"/>
          <w:color w:val="000000" w:themeColor="text1"/>
          <w:sz w:val="22"/>
          <w:szCs w:val="22"/>
        </w:rPr>
        <w:t>P</w:t>
      </w:r>
      <w:r w:rsidRPr="009E35ED">
        <w:rPr>
          <w:rFonts w:ascii="Arial" w:hAnsi="Arial" w:cs="Arial"/>
          <w:color w:val="000000" w:themeColor="text1"/>
          <w:sz w:val="22"/>
          <w:szCs w:val="22"/>
        </w:rPr>
        <w:t xml:space="preserve">500 million pesos starting on 16 December 2023, </w:t>
      </w:r>
      <w:r w:rsidR="00F10767">
        <w:rPr>
          <w:rFonts w:ascii="Arial" w:hAnsi="Arial" w:cs="Arial"/>
          <w:color w:val="000000" w:themeColor="text1"/>
          <w:sz w:val="22"/>
          <w:szCs w:val="22"/>
        </w:rPr>
        <w:t>P</w:t>
      </w:r>
      <w:r w:rsidRPr="009E35ED">
        <w:rPr>
          <w:rFonts w:ascii="Arial" w:hAnsi="Arial" w:cs="Arial"/>
          <w:color w:val="000000" w:themeColor="text1"/>
          <w:sz w:val="22"/>
          <w:szCs w:val="22"/>
        </w:rPr>
        <w:t xml:space="preserve">100 million for Lotto 6/42 and Mega Lotto 6/45 on 30 December 2023, and </w:t>
      </w:r>
      <w:r w:rsidR="00F10767">
        <w:rPr>
          <w:rFonts w:ascii="Arial" w:hAnsi="Arial" w:cs="Arial"/>
          <w:color w:val="000000" w:themeColor="text1"/>
          <w:sz w:val="22"/>
          <w:szCs w:val="22"/>
        </w:rPr>
        <w:t>P</w:t>
      </w:r>
      <w:r w:rsidRPr="009E35ED">
        <w:rPr>
          <w:rFonts w:ascii="Arial" w:hAnsi="Arial" w:cs="Arial"/>
          <w:color w:val="000000" w:themeColor="text1"/>
          <w:sz w:val="22"/>
          <w:szCs w:val="22"/>
        </w:rPr>
        <w:t xml:space="preserve">500 million for Super Lotto 6/49 on 30 December 2023. The jackpot of the lottery games shall revert to their original minimum jackpot prizes once the jackpot has been won. </w:t>
      </w:r>
    </w:p>
    <w:p w14:paraId="513270AB" w14:textId="62435600" w:rsidR="005669E8" w:rsidRPr="009E35ED" w:rsidRDefault="005669E8" w:rsidP="005669E8">
      <w:pPr>
        <w:ind w:left="0"/>
        <w:rPr>
          <w:rFonts w:ascii="Arial" w:hAnsi="Arial" w:cs="Arial"/>
          <w:b/>
          <w:color w:val="000000" w:themeColor="text1"/>
          <w:sz w:val="22"/>
          <w:szCs w:val="22"/>
        </w:rPr>
      </w:pPr>
    </w:p>
    <w:p w14:paraId="6DF4573D" w14:textId="2FBDB5BD" w:rsidR="005669E8" w:rsidRPr="009E35ED" w:rsidRDefault="001713C2" w:rsidP="00CF6F6D">
      <w:pPr>
        <w:pStyle w:val="bodycopyindent"/>
        <w:spacing w:before="0" w:line="240" w:lineRule="auto"/>
        <w:ind w:left="0"/>
        <w:jc w:val="both"/>
        <w:rPr>
          <w:i/>
          <w:color w:val="000000" w:themeColor="text1"/>
          <w:sz w:val="22"/>
          <w:szCs w:val="22"/>
        </w:rPr>
      </w:pPr>
      <w:r w:rsidRPr="009E35ED">
        <w:rPr>
          <w:i/>
          <w:color w:val="000000" w:themeColor="text1"/>
          <w:sz w:val="22"/>
          <w:szCs w:val="22"/>
        </w:rPr>
        <w:t xml:space="preserve">5% </w:t>
      </w:r>
      <w:r w:rsidR="005669E8" w:rsidRPr="009E35ED">
        <w:rPr>
          <w:i/>
          <w:color w:val="000000" w:themeColor="text1"/>
          <w:sz w:val="22"/>
          <w:szCs w:val="22"/>
        </w:rPr>
        <w:t>Prize Fund Tax</w:t>
      </w:r>
    </w:p>
    <w:p w14:paraId="5BA2BAC6" w14:textId="77777777" w:rsidR="005669E8" w:rsidRPr="009E35ED" w:rsidRDefault="005669E8" w:rsidP="00CF6F6D">
      <w:pPr>
        <w:pStyle w:val="bodycopyindent"/>
        <w:spacing w:before="0" w:line="240" w:lineRule="auto"/>
        <w:ind w:left="0"/>
        <w:jc w:val="both"/>
        <w:rPr>
          <w:color w:val="000000" w:themeColor="text1"/>
          <w:sz w:val="22"/>
          <w:szCs w:val="22"/>
        </w:rPr>
      </w:pPr>
    </w:p>
    <w:p w14:paraId="71717C7C" w14:textId="32A7E732" w:rsidR="00CF6F6D" w:rsidRPr="009E35ED" w:rsidRDefault="002674AF" w:rsidP="00CF6F6D">
      <w:pPr>
        <w:pStyle w:val="bodycopyindent"/>
        <w:spacing w:before="0" w:line="240" w:lineRule="auto"/>
        <w:ind w:left="0"/>
        <w:jc w:val="both"/>
        <w:rPr>
          <w:color w:val="000000" w:themeColor="text1"/>
          <w:sz w:val="22"/>
          <w:szCs w:val="22"/>
        </w:rPr>
      </w:pPr>
      <w:r w:rsidRPr="009E35ED">
        <w:rPr>
          <w:color w:val="000000" w:themeColor="text1"/>
          <w:sz w:val="22"/>
          <w:szCs w:val="22"/>
        </w:rPr>
        <w:t>On May</w:t>
      </w:r>
      <w:r w:rsidR="00344372">
        <w:rPr>
          <w:color w:val="000000" w:themeColor="text1"/>
          <w:sz w:val="22"/>
          <w:szCs w:val="22"/>
        </w:rPr>
        <w:t xml:space="preserve"> 12,</w:t>
      </w:r>
      <w:r w:rsidRPr="009E35ED">
        <w:rPr>
          <w:color w:val="000000" w:themeColor="text1"/>
          <w:sz w:val="22"/>
          <w:szCs w:val="22"/>
        </w:rPr>
        <w:t xml:space="preserve"> 2022, </w:t>
      </w:r>
      <w:r w:rsidR="002B6B33">
        <w:rPr>
          <w:color w:val="000000" w:themeColor="text1"/>
          <w:sz w:val="22"/>
          <w:szCs w:val="22"/>
        </w:rPr>
        <w:t xml:space="preserve">the </w:t>
      </w:r>
      <w:r w:rsidR="00CF6F6D" w:rsidRPr="009E35ED">
        <w:rPr>
          <w:color w:val="000000" w:themeColor="text1"/>
          <w:sz w:val="22"/>
          <w:szCs w:val="22"/>
        </w:rPr>
        <w:t>PCSO received a letter from the Department of Finance dated  May</w:t>
      </w:r>
      <w:r w:rsidR="00344372">
        <w:rPr>
          <w:color w:val="000000" w:themeColor="text1"/>
          <w:sz w:val="22"/>
          <w:szCs w:val="22"/>
        </w:rPr>
        <w:t xml:space="preserve"> 11,</w:t>
      </w:r>
      <w:r w:rsidR="00CF6F6D" w:rsidRPr="009E35ED">
        <w:rPr>
          <w:color w:val="000000" w:themeColor="text1"/>
          <w:sz w:val="22"/>
          <w:szCs w:val="22"/>
        </w:rPr>
        <w:t xml:space="preserve"> 2022 under DOF Opinion No. 007.2022, which indicates their comments on PCSO’s proposal to include in the Passive Income and Financial Intermediaries Taxation (PIFITA) Bill or Package 4 of the Comprehensive </w:t>
      </w:r>
      <w:r w:rsidR="005669E8" w:rsidRPr="009E35ED">
        <w:rPr>
          <w:color w:val="000000" w:themeColor="text1"/>
          <w:sz w:val="22"/>
          <w:szCs w:val="22"/>
        </w:rPr>
        <w:t>T</w:t>
      </w:r>
      <w:r w:rsidR="00CF6F6D" w:rsidRPr="009E35ED">
        <w:rPr>
          <w:color w:val="000000" w:themeColor="text1"/>
          <w:sz w:val="22"/>
          <w:szCs w:val="22"/>
        </w:rPr>
        <w:t xml:space="preserve">ax Reform Program (CTRP) provisions repealing the five percent (5%) tax on Prize </w:t>
      </w:r>
      <w:r w:rsidR="002B6B33">
        <w:rPr>
          <w:color w:val="000000" w:themeColor="text1"/>
          <w:sz w:val="22"/>
          <w:szCs w:val="22"/>
        </w:rPr>
        <w:t>f</w:t>
      </w:r>
      <w:r w:rsidR="00CF6F6D" w:rsidRPr="009E35ED">
        <w:rPr>
          <w:color w:val="000000" w:themeColor="text1"/>
          <w:sz w:val="22"/>
          <w:szCs w:val="22"/>
        </w:rPr>
        <w:t xml:space="preserve">und, stating that the Prize </w:t>
      </w:r>
      <w:r w:rsidR="002B6B33">
        <w:rPr>
          <w:color w:val="000000" w:themeColor="text1"/>
          <w:sz w:val="22"/>
          <w:szCs w:val="22"/>
        </w:rPr>
        <w:t>f</w:t>
      </w:r>
      <w:r w:rsidR="00CF6F6D" w:rsidRPr="009E35ED">
        <w:rPr>
          <w:color w:val="000000" w:themeColor="text1"/>
          <w:sz w:val="22"/>
          <w:szCs w:val="22"/>
        </w:rPr>
        <w:t xml:space="preserve">und </w:t>
      </w:r>
      <w:r w:rsidR="002B6B33">
        <w:rPr>
          <w:color w:val="000000" w:themeColor="text1"/>
          <w:sz w:val="22"/>
          <w:szCs w:val="22"/>
        </w:rPr>
        <w:t>t</w:t>
      </w:r>
      <w:r w:rsidR="00CF6F6D" w:rsidRPr="009E35ED">
        <w:rPr>
          <w:color w:val="000000" w:themeColor="text1"/>
          <w:sz w:val="22"/>
          <w:szCs w:val="22"/>
        </w:rPr>
        <w:t xml:space="preserve">ax has already been repealed explicitly under Section 86 of </w:t>
      </w:r>
      <w:r w:rsidR="006178CB">
        <w:rPr>
          <w:color w:val="000000" w:themeColor="text1"/>
          <w:sz w:val="22"/>
          <w:szCs w:val="22"/>
        </w:rPr>
        <w:t>RA</w:t>
      </w:r>
      <w:r w:rsidR="00CF6F6D" w:rsidRPr="009E35ED">
        <w:rPr>
          <w:color w:val="000000" w:themeColor="text1"/>
          <w:sz w:val="22"/>
          <w:szCs w:val="22"/>
        </w:rPr>
        <w:t xml:space="preserve"> No. 10963 or the TRAIN Law. TRAIN Law repeals this tax as all winnings from Philippine Charity Sweepstakes and Lotto except those amounting to </w:t>
      </w:r>
      <w:r w:rsidR="00F10767">
        <w:rPr>
          <w:color w:val="000000" w:themeColor="text1"/>
          <w:sz w:val="22"/>
          <w:szCs w:val="22"/>
        </w:rPr>
        <w:t>P</w:t>
      </w:r>
      <w:r w:rsidR="00CF6F6D" w:rsidRPr="009E35ED">
        <w:rPr>
          <w:color w:val="000000" w:themeColor="text1"/>
          <w:sz w:val="22"/>
          <w:szCs w:val="22"/>
        </w:rPr>
        <w:t>10,000.00 and below, shall be subject to twenty percent (20%) final tax under NIRC’s chapter on income tax.</w:t>
      </w:r>
    </w:p>
    <w:p w14:paraId="29C19AF5" w14:textId="77777777" w:rsidR="00CF6F6D" w:rsidRPr="009E35ED" w:rsidRDefault="00CF6F6D" w:rsidP="00CF6F6D">
      <w:pPr>
        <w:pStyle w:val="bodycopyindent"/>
        <w:spacing w:before="0" w:line="240" w:lineRule="auto"/>
        <w:ind w:left="0"/>
        <w:jc w:val="both"/>
        <w:rPr>
          <w:color w:val="000000" w:themeColor="text1"/>
          <w:sz w:val="22"/>
          <w:szCs w:val="22"/>
        </w:rPr>
      </w:pPr>
    </w:p>
    <w:p w14:paraId="036270DD" w14:textId="6B4EEB17" w:rsidR="00CF6F6D" w:rsidRPr="009E35ED" w:rsidRDefault="00CF6F6D" w:rsidP="00CF6F6D">
      <w:pPr>
        <w:pStyle w:val="bodycopyindent"/>
        <w:spacing w:before="0" w:line="240" w:lineRule="auto"/>
        <w:ind w:left="0"/>
        <w:jc w:val="both"/>
        <w:rPr>
          <w:color w:val="000000" w:themeColor="text1"/>
          <w:sz w:val="22"/>
          <w:szCs w:val="22"/>
        </w:rPr>
      </w:pPr>
      <w:r w:rsidRPr="009E35ED">
        <w:rPr>
          <w:color w:val="000000" w:themeColor="text1"/>
          <w:sz w:val="22"/>
          <w:szCs w:val="22"/>
        </w:rPr>
        <w:t>PCSO Management sent two letters to the BIR dated March</w:t>
      </w:r>
      <w:r w:rsidR="00344372">
        <w:rPr>
          <w:color w:val="000000" w:themeColor="text1"/>
          <w:sz w:val="22"/>
          <w:szCs w:val="22"/>
        </w:rPr>
        <w:t xml:space="preserve"> 01,</w:t>
      </w:r>
      <w:r w:rsidRPr="009E35ED">
        <w:rPr>
          <w:color w:val="000000" w:themeColor="text1"/>
          <w:sz w:val="22"/>
          <w:szCs w:val="22"/>
        </w:rPr>
        <w:t xml:space="preserve"> 2022 </w:t>
      </w:r>
      <w:r w:rsidR="003A7B55" w:rsidRPr="009E35ED">
        <w:rPr>
          <w:color w:val="000000" w:themeColor="text1"/>
          <w:sz w:val="22"/>
          <w:szCs w:val="22"/>
        </w:rPr>
        <w:t>and June</w:t>
      </w:r>
      <w:r w:rsidR="00344372">
        <w:rPr>
          <w:color w:val="000000" w:themeColor="text1"/>
          <w:sz w:val="22"/>
          <w:szCs w:val="22"/>
        </w:rPr>
        <w:t xml:space="preserve"> 15,</w:t>
      </w:r>
      <w:r w:rsidRPr="009E35ED">
        <w:rPr>
          <w:color w:val="000000" w:themeColor="text1"/>
          <w:sz w:val="22"/>
          <w:szCs w:val="22"/>
        </w:rPr>
        <w:t xml:space="preserve"> 2022 transmitting DOF’s comments on PCSO’s proposal and applied for tax credit or tax refund for remittances made from January 2018 to December 2021. </w:t>
      </w:r>
    </w:p>
    <w:p w14:paraId="7290892D" w14:textId="77777777" w:rsidR="00CF6F6D" w:rsidRPr="009E35ED" w:rsidRDefault="00CF6F6D" w:rsidP="00CF6F6D">
      <w:pPr>
        <w:pStyle w:val="bodycopyindent"/>
        <w:spacing w:before="0" w:line="240" w:lineRule="auto"/>
        <w:ind w:left="0"/>
        <w:jc w:val="both"/>
        <w:rPr>
          <w:color w:val="000000" w:themeColor="text1"/>
          <w:sz w:val="22"/>
          <w:szCs w:val="22"/>
        </w:rPr>
      </w:pPr>
    </w:p>
    <w:p w14:paraId="6D935AE5" w14:textId="625CEA7D" w:rsidR="00FF50FD" w:rsidRPr="009E35ED" w:rsidRDefault="00CF6F6D" w:rsidP="00CF6F6D">
      <w:pPr>
        <w:ind w:left="0"/>
        <w:rPr>
          <w:rFonts w:ascii="Arial" w:hAnsi="Arial" w:cs="Arial"/>
          <w:color w:val="000000" w:themeColor="text1"/>
          <w:sz w:val="22"/>
          <w:szCs w:val="22"/>
        </w:rPr>
      </w:pPr>
      <w:r w:rsidRPr="009E35ED">
        <w:rPr>
          <w:rFonts w:ascii="Arial" w:hAnsi="Arial" w:cs="Arial"/>
          <w:color w:val="000000" w:themeColor="text1"/>
          <w:sz w:val="22"/>
          <w:szCs w:val="22"/>
        </w:rPr>
        <w:t xml:space="preserve">The BIR responded on the said letters </w:t>
      </w:r>
      <w:r w:rsidR="00D01A6F" w:rsidRPr="009E35ED">
        <w:rPr>
          <w:rFonts w:ascii="Arial" w:hAnsi="Arial" w:cs="Arial"/>
          <w:color w:val="000000" w:themeColor="text1"/>
          <w:sz w:val="22"/>
          <w:szCs w:val="22"/>
        </w:rPr>
        <w:t>on January</w:t>
      </w:r>
      <w:r w:rsidR="00344372">
        <w:rPr>
          <w:rFonts w:ascii="Arial" w:hAnsi="Arial" w:cs="Arial"/>
          <w:color w:val="000000" w:themeColor="text1"/>
          <w:sz w:val="22"/>
          <w:szCs w:val="22"/>
        </w:rPr>
        <w:t xml:space="preserve"> 24,</w:t>
      </w:r>
      <w:r w:rsidRPr="009E35ED">
        <w:rPr>
          <w:rFonts w:ascii="Arial" w:hAnsi="Arial" w:cs="Arial"/>
          <w:color w:val="000000" w:themeColor="text1"/>
          <w:sz w:val="22"/>
          <w:szCs w:val="22"/>
        </w:rPr>
        <w:t xml:space="preserve"> 2023 and recommended filing of application for tax credit or refund on the years applicable, pursuant to Section 229 of the NIRC of 1997 for the processing and issuance of the requested tax credit certificate or refund, whichever is applicable.</w:t>
      </w:r>
    </w:p>
    <w:p w14:paraId="61813B8A" w14:textId="54B6FCAE" w:rsidR="00B535B6" w:rsidRPr="009E35ED" w:rsidRDefault="00B535B6" w:rsidP="00803F8C">
      <w:pPr>
        <w:ind w:left="0"/>
        <w:rPr>
          <w:rFonts w:ascii="Arial" w:hAnsi="Arial" w:cs="Arial"/>
          <w:b/>
          <w:color w:val="000000" w:themeColor="text1"/>
          <w:sz w:val="22"/>
          <w:szCs w:val="22"/>
        </w:rPr>
      </w:pPr>
    </w:p>
    <w:p w14:paraId="3ACB4684" w14:textId="77777777" w:rsidR="00B535B6" w:rsidRPr="009E35ED" w:rsidRDefault="00B535B6" w:rsidP="00803F8C">
      <w:pPr>
        <w:ind w:left="0"/>
        <w:rPr>
          <w:rFonts w:ascii="Arial" w:hAnsi="Arial" w:cs="Arial"/>
          <w:b/>
          <w:color w:val="000000" w:themeColor="text1"/>
          <w:sz w:val="22"/>
          <w:szCs w:val="22"/>
        </w:rPr>
      </w:pPr>
    </w:p>
    <w:p w14:paraId="75800954" w14:textId="77777777" w:rsidR="00DE60A9" w:rsidRPr="009E35ED" w:rsidRDefault="00DE60A9" w:rsidP="001C371F">
      <w:pPr>
        <w:pStyle w:val="ListParagraph"/>
        <w:numPr>
          <w:ilvl w:val="0"/>
          <w:numId w:val="28"/>
        </w:numPr>
        <w:ind w:hanging="720"/>
        <w:rPr>
          <w:rFonts w:ascii="Arial" w:hAnsi="Arial" w:cs="Arial"/>
          <w:b/>
          <w:color w:val="000000" w:themeColor="text1"/>
          <w:sz w:val="22"/>
          <w:szCs w:val="22"/>
        </w:rPr>
      </w:pPr>
      <w:r w:rsidRPr="009E35ED">
        <w:rPr>
          <w:rFonts w:ascii="Arial" w:hAnsi="Arial" w:cs="Arial"/>
          <w:b/>
          <w:color w:val="000000" w:themeColor="text1"/>
          <w:sz w:val="22"/>
          <w:szCs w:val="22"/>
        </w:rPr>
        <w:t>LEASE AGREEMENTS</w:t>
      </w:r>
    </w:p>
    <w:p w14:paraId="4133F92D" w14:textId="77777777" w:rsidR="00421600" w:rsidRPr="009E35ED" w:rsidRDefault="00421600" w:rsidP="00803F8C">
      <w:pPr>
        <w:ind w:left="0"/>
        <w:rPr>
          <w:rFonts w:ascii="Arial" w:hAnsi="Arial" w:cs="Arial"/>
          <w:b/>
          <w:color w:val="000000" w:themeColor="text1"/>
          <w:sz w:val="22"/>
          <w:szCs w:val="22"/>
        </w:rPr>
      </w:pPr>
    </w:p>
    <w:p w14:paraId="3AE1C1D6" w14:textId="55FC22F1" w:rsidR="00DE60A9" w:rsidRPr="009E35ED" w:rsidRDefault="00DE60A9" w:rsidP="00803F8C">
      <w:pPr>
        <w:ind w:left="0"/>
        <w:rPr>
          <w:rFonts w:ascii="Arial" w:eastAsia="Calibri" w:hAnsi="Arial" w:cs="Arial"/>
          <w:i/>
          <w:color w:val="000000" w:themeColor="text1"/>
          <w:sz w:val="22"/>
          <w:szCs w:val="22"/>
        </w:rPr>
      </w:pPr>
      <w:r w:rsidRPr="009E35ED">
        <w:rPr>
          <w:rFonts w:ascii="Arial" w:eastAsia="Calibri" w:hAnsi="Arial" w:cs="Arial"/>
          <w:i/>
          <w:color w:val="000000" w:themeColor="text1"/>
          <w:sz w:val="22"/>
          <w:szCs w:val="22"/>
        </w:rPr>
        <w:t>PCSO as a lessee</w:t>
      </w:r>
    </w:p>
    <w:p w14:paraId="01D5FD1F" w14:textId="77777777" w:rsidR="00DE60A9" w:rsidRPr="009E35ED" w:rsidRDefault="00DE60A9" w:rsidP="00803F8C">
      <w:pPr>
        <w:ind w:left="0"/>
        <w:rPr>
          <w:rFonts w:ascii="Arial" w:eastAsia="Calibri" w:hAnsi="Arial" w:cs="Arial"/>
          <w:b/>
          <w:color w:val="000000" w:themeColor="text1"/>
          <w:sz w:val="22"/>
          <w:szCs w:val="22"/>
        </w:rPr>
      </w:pPr>
    </w:p>
    <w:p w14:paraId="095C4197" w14:textId="77777777" w:rsidR="000B161F" w:rsidRPr="009E35ED" w:rsidRDefault="000B161F" w:rsidP="00803F8C">
      <w:pPr>
        <w:ind w:left="0"/>
        <w:rPr>
          <w:rFonts w:ascii="Arial" w:eastAsia="Calibri" w:hAnsi="Arial" w:cs="Arial"/>
          <w:b/>
          <w:color w:val="000000" w:themeColor="text1"/>
          <w:sz w:val="22"/>
          <w:szCs w:val="22"/>
        </w:rPr>
      </w:pPr>
      <w:r w:rsidRPr="009E35ED">
        <w:rPr>
          <w:rFonts w:ascii="Arial" w:eastAsia="Calibri" w:hAnsi="Arial" w:cs="Arial"/>
          <w:b/>
          <w:color w:val="000000" w:themeColor="text1"/>
          <w:sz w:val="22"/>
          <w:szCs w:val="22"/>
        </w:rPr>
        <w:t>Variable lease payments based on sales</w:t>
      </w:r>
    </w:p>
    <w:p w14:paraId="334D0198" w14:textId="77777777" w:rsidR="000B161F" w:rsidRPr="009E35ED" w:rsidRDefault="000B161F" w:rsidP="00803F8C">
      <w:pPr>
        <w:ind w:left="0"/>
        <w:rPr>
          <w:rFonts w:ascii="Arial" w:eastAsia="Calibri" w:hAnsi="Arial" w:cs="Arial"/>
          <w:b/>
          <w:color w:val="000000" w:themeColor="text1"/>
          <w:sz w:val="22"/>
          <w:szCs w:val="22"/>
        </w:rPr>
      </w:pPr>
    </w:p>
    <w:p w14:paraId="6746F6C7" w14:textId="1077C6E7" w:rsidR="00F76DD2" w:rsidRPr="009E35ED" w:rsidRDefault="0093014E" w:rsidP="00803F8C">
      <w:pPr>
        <w:ind w:left="0"/>
        <w:rPr>
          <w:rFonts w:ascii="Arial" w:eastAsia="Calibri" w:hAnsi="Arial" w:cs="Arial"/>
          <w:color w:val="000000" w:themeColor="text1"/>
          <w:sz w:val="22"/>
          <w:szCs w:val="22"/>
        </w:rPr>
      </w:pPr>
      <w:r>
        <w:rPr>
          <w:rFonts w:ascii="Arial" w:eastAsia="Calibri" w:hAnsi="Arial" w:cs="Arial"/>
          <w:color w:val="000000" w:themeColor="text1"/>
          <w:sz w:val="22"/>
          <w:szCs w:val="22"/>
        </w:rPr>
        <w:t xml:space="preserve">The </w:t>
      </w:r>
      <w:r w:rsidR="00DE60A9" w:rsidRPr="009E35ED">
        <w:rPr>
          <w:rFonts w:ascii="Arial" w:eastAsia="Calibri" w:hAnsi="Arial" w:cs="Arial"/>
          <w:color w:val="000000" w:themeColor="text1"/>
          <w:sz w:val="22"/>
          <w:szCs w:val="22"/>
        </w:rPr>
        <w:t>PCSO entered into equipment lease agreement with Philippine Gaming Management Corporation (PGMC), Pacific Online and Systems Corporation</w:t>
      </w:r>
      <w:r w:rsidR="00CA2B5B" w:rsidRPr="009E35ED">
        <w:rPr>
          <w:rFonts w:ascii="Arial" w:eastAsia="Calibri" w:hAnsi="Arial" w:cs="Arial"/>
          <w:color w:val="000000" w:themeColor="text1"/>
          <w:sz w:val="22"/>
          <w:szCs w:val="22"/>
        </w:rPr>
        <w:t xml:space="preserve"> (POSC)</w:t>
      </w:r>
      <w:r w:rsidR="00DE60A9" w:rsidRPr="009E35ED">
        <w:rPr>
          <w:rFonts w:ascii="Arial" w:eastAsia="Calibri" w:hAnsi="Arial" w:cs="Arial"/>
          <w:color w:val="000000" w:themeColor="text1"/>
          <w:sz w:val="22"/>
          <w:szCs w:val="22"/>
        </w:rPr>
        <w:t xml:space="preserve"> and Total Gaming Technologies, Inc. </w:t>
      </w:r>
      <w:r w:rsidR="008B6045" w:rsidRPr="009E35ED">
        <w:rPr>
          <w:rFonts w:ascii="Arial" w:eastAsia="Calibri" w:hAnsi="Arial" w:cs="Arial"/>
          <w:color w:val="000000" w:themeColor="text1"/>
          <w:sz w:val="22"/>
          <w:szCs w:val="22"/>
        </w:rPr>
        <w:t xml:space="preserve">(TGTI) </w:t>
      </w:r>
      <w:r w:rsidR="00DE60A9" w:rsidRPr="009E35ED">
        <w:rPr>
          <w:rFonts w:ascii="Arial" w:eastAsia="Calibri" w:hAnsi="Arial" w:cs="Arial"/>
          <w:color w:val="000000" w:themeColor="text1"/>
          <w:sz w:val="22"/>
          <w:szCs w:val="22"/>
        </w:rPr>
        <w:t xml:space="preserve">as lessee covering the on-line lottery equipment and accessories for PCSO’s on-line lottery operation nationwide. </w:t>
      </w:r>
    </w:p>
    <w:p w14:paraId="780783D2" w14:textId="70DDA816" w:rsidR="00F76DD2" w:rsidRPr="009E35ED" w:rsidRDefault="00F76DD2" w:rsidP="00803F8C">
      <w:pPr>
        <w:ind w:left="0"/>
        <w:rPr>
          <w:rFonts w:ascii="Arial" w:eastAsia="Calibri" w:hAnsi="Arial" w:cs="Arial"/>
          <w:color w:val="000000" w:themeColor="text1"/>
          <w:sz w:val="22"/>
          <w:szCs w:val="22"/>
        </w:rPr>
      </w:pPr>
    </w:p>
    <w:p w14:paraId="1799B753" w14:textId="5DA51FD0" w:rsidR="008B6045" w:rsidRPr="009E35ED" w:rsidRDefault="008B6045" w:rsidP="00803F8C">
      <w:pPr>
        <w:ind w:left="0"/>
        <w:rPr>
          <w:rFonts w:ascii="Arial" w:hAnsi="Arial" w:cs="Arial"/>
          <w:color w:val="000000" w:themeColor="text1"/>
          <w:sz w:val="22"/>
          <w:szCs w:val="22"/>
          <w:shd w:val="clear" w:color="auto" w:fill="FFFFFF"/>
        </w:rPr>
      </w:pPr>
      <w:r w:rsidRPr="009E35ED">
        <w:rPr>
          <w:rFonts w:ascii="Arial" w:hAnsi="Arial" w:cs="Arial"/>
          <w:color w:val="000000" w:themeColor="text1"/>
          <w:sz w:val="22"/>
          <w:szCs w:val="22"/>
          <w:shd w:val="clear" w:color="auto" w:fill="FFFFFF"/>
        </w:rPr>
        <w:t>On June</w:t>
      </w:r>
      <w:r w:rsidR="00344372">
        <w:rPr>
          <w:rFonts w:ascii="Arial" w:hAnsi="Arial" w:cs="Arial"/>
          <w:color w:val="000000" w:themeColor="text1"/>
          <w:sz w:val="22"/>
          <w:szCs w:val="22"/>
          <w:shd w:val="clear" w:color="auto" w:fill="FFFFFF"/>
        </w:rPr>
        <w:t xml:space="preserve"> 03,</w:t>
      </w:r>
      <w:r w:rsidRPr="009E35ED">
        <w:rPr>
          <w:rFonts w:ascii="Arial" w:hAnsi="Arial" w:cs="Arial"/>
          <w:color w:val="000000" w:themeColor="text1"/>
          <w:sz w:val="22"/>
          <w:szCs w:val="22"/>
          <w:shd w:val="clear" w:color="auto" w:fill="FFFFFF"/>
        </w:rPr>
        <w:t xml:space="preserve"> 2022, </w:t>
      </w:r>
      <w:r w:rsidR="0093014E">
        <w:rPr>
          <w:rFonts w:ascii="Arial" w:hAnsi="Arial" w:cs="Arial"/>
          <w:color w:val="000000" w:themeColor="text1"/>
          <w:sz w:val="22"/>
          <w:szCs w:val="22"/>
          <w:shd w:val="clear" w:color="auto" w:fill="FFFFFF"/>
        </w:rPr>
        <w:t>th</w:t>
      </w:r>
      <w:r w:rsidRPr="009E35ED">
        <w:rPr>
          <w:rFonts w:ascii="Arial" w:hAnsi="Arial" w:cs="Arial"/>
          <w:color w:val="000000" w:themeColor="text1"/>
          <w:sz w:val="22"/>
          <w:szCs w:val="22"/>
          <w:shd w:val="clear" w:color="auto" w:fill="FFFFFF"/>
        </w:rPr>
        <w:t xml:space="preserve">e Board of Directors, in its resolution under BR No. 0087, </w:t>
      </w:r>
      <w:r w:rsidR="0093014E">
        <w:rPr>
          <w:rFonts w:ascii="Arial" w:hAnsi="Arial" w:cs="Arial"/>
          <w:color w:val="000000" w:themeColor="text1"/>
          <w:sz w:val="22"/>
          <w:szCs w:val="22"/>
          <w:shd w:val="clear" w:color="auto" w:fill="FFFFFF"/>
        </w:rPr>
        <w:t>s</w:t>
      </w:r>
      <w:r w:rsidRPr="009E35ED">
        <w:rPr>
          <w:rFonts w:ascii="Arial" w:hAnsi="Arial" w:cs="Arial"/>
          <w:color w:val="000000" w:themeColor="text1"/>
          <w:sz w:val="22"/>
          <w:szCs w:val="22"/>
          <w:shd w:val="clear" w:color="auto" w:fill="FFFFFF"/>
        </w:rPr>
        <w:t xml:space="preserve">eries of 2022, approved the request for the adjustment of the delivery periods prescribed in the Milestone of </w:t>
      </w:r>
      <w:r w:rsidR="0093014E">
        <w:rPr>
          <w:rFonts w:ascii="Arial" w:hAnsi="Arial" w:cs="Arial"/>
          <w:color w:val="000000" w:themeColor="text1"/>
          <w:sz w:val="22"/>
          <w:szCs w:val="22"/>
          <w:shd w:val="clear" w:color="auto" w:fill="FFFFFF"/>
        </w:rPr>
        <w:t xml:space="preserve">the </w:t>
      </w:r>
      <w:r w:rsidRPr="009E35ED">
        <w:rPr>
          <w:rFonts w:ascii="Arial" w:hAnsi="Arial" w:cs="Arial"/>
          <w:color w:val="000000" w:themeColor="text1"/>
          <w:sz w:val="22"/>
          <w:szCs w:val="22"/>
          <w:shd w:val="clear" w:color="auto" w:fill="FFFFFF"/>
        </w:rPr>
        <w:t>PLS, and the commencement period of its commercial operations, from 14 months to 22 months after the issuance of the Notice to Proceed (NTP). The NTP was signed last December</w:t>
      </w:r>
      <w:r w:rsidR="00344372">
        <w:rPr>
          <w:rFonts w:ascii="Arial" w:hAnsi="Arial" w:cs="Arial"/>
          <w:color w:val="000000" w:themeColor="text1"/>
          <w:sz w:val="22"/>
          <w:szCs w:val="22"/>
          <w:shd w:val="clear" w:color="auto" w:fill="FFFFFF"/>
        </w:rPr>
        <w:t xml:space="preserve"> 07,</w:t>
      </w:r>
      <w:r w:rsidRPr="009E35ED">
        <w:rPr>
          <w:rFonts w:ascii="Arial" w:hAnsi="Arial" w:cs="Arial"/>
          <w:color w:val="000000" w:themeColor="text1"/>
          <w:sz w:val="22"/>
          <w:szCs w:val="22"/>
          <w:shd w:val="clear" w:color="auto" w:fill="FFFFFF"/>
        </w:rPr>
        <w:t xml:space="preserve"> 2021.</w:t>
      </w:r>
    </w:p>
    <w:p w14:paraId="365A419E" w14:textId="77777777" w:rsidR="008B6045" w:rsidRPr="009E35ED" w:rsidRDefault="008B6045" w:rsidP="00803F8C">
      <w:pPr>
        <w:ind w:left="0"/>
        <w:rPr>
          <w:rFonts w:ascii="Arial" w:hAnsi="Arial" w:cs="Arial"/>
          <w:color w:val="000000" w:themeColor="text1"/>
          <w:sz w:val="22"/>
          <w:szCs w:val="22"/>
          <w:shd w:val="clear" w:color="auto" w:fill="FFFFFF"/>
        </w:rPr>
      </w:pPr>
    </w:p>
    <w:p w14:paraId="6A4B3657" w14:textId="148B3022" w:rsidR="008B6045" w:rsidRPr="009E35ED" w:rsidRDefault="008B6045" w:rsidP="00803F8C">
      <w:pPr>
        <w:ind w:left="0"/>
        <w:rPr>
          <w:rFonts w:ascii="Arial" w:hAnsi="Arial" w:cs="Arial"/>
          <w:color w:val="000000" w:themeColor="text1"/>
          <w:sz w:val="22"/>
          <w:szCs w:val="22"/>
          <w:shd w:val="clear" w:color="auto" w:fill="FFFFFF"/>
        </w:rPr>
      </w:pPr>
      <w:r w:rsidRPr="009E35ED">
        <w:rPr>
          <w:rFonts w:ascii="Arial" w:hAnsi="Arial" w:cs="Arial"/>
          <w:color w:val="000000" w:themeColor="text1"/>
          <w:sz w:val="22"/>
          <w:szCs w:val="22"/>
          <w:shd w:val="clear" w:color="auto" w:fill="FFFFFF"/>
        </w:rPr>
        <w:t xml:space="preserve">Further, </w:t>
      </w:r>
      <w:r w:rsidR="00F1160F" w:rsidRPr="009E35ED">
        <w:rPr>
          <w:rFonts w:ascii="Arial" w:hAnsi="Arial" w:cs="Arial"/>
          <w:color w:val="000000" w:themeColor="text1"/>
          <w:sz w:val="22"/>
          <w:szCs w:val="22"/>
          <w:shd w:val="clear" w:color="auto" w:fill="FFFFFF"/>
        </w:rPr>
        <w:t>o</w:t>
      </w:r>
      <w:r w:rsidRPr="009E35ED">
        <w:rPr>
          <w:rFonts w:ascii="Arial" w:hAnsi="Arial" w:cs="Arial"/>
          <w:color w:val="000000" w:themeColor="text1"/>
          <w:sz w:val="22"/>
          <w:szCs w:val="22"/>
          <w:shd w:val="clear" w:color="auto" w:fill="FFFFFF"/>
        </w:rPr>
        <w:t>n July</w:t>
      </w:r>
      <w:r w:rsidR="00344372">
        <w:rPr>
          <w:rFonts w:ascii="Arial" w:hAnsi="Arial" w:cs="Arial"/>
          <w:color w:val="000000" w:themeColor="text1"/>
          <w:sz w:val="22"/>
          <w:szCs w:val="22"/>
          <w:shd w:val="clear" w:color="auto" w:fill="FFFFFF"/>
        </w:rPr>
        <w:t xml:space="preserve"> 28,</w:t>
      </w:r>
      <w:r w:rsidRPr="009E35ED">
        <w:rPr>
          <w:rFonts w:ascii="Arial" w:hAnsi="Arial" w:cs="Arial"/>
          <w:color w:val="000000" w:themeColor="text1"/>
          <w:sz w:val="22"/>
          <w:szCs w:val="22"/>
          <w:shd w:val="clear" w:color="auto" w:fill="FFFFFF"/>
        </w:rPr>
        <w:t xml:space="preserve"> 2022, PCSO Board of Directors approved the following under BR No. M-0002, </w:t>
      </w:r>
      <w:r w:rsidR="0093014E">
        <w:rPr>
          <w:rFonts w:ascii="Arial" w:hAnsi="Arial" w:cs="Arial"/>
          <w:color w:val="000000" w:themeColor="text1"/>
          <w:sz w:val="22"/>
          <w:szCs w:val="22"/>
          <w:shd w:val="clear" w:color="auto" w:fill="FFFFFF"/>
        </w:rPr>
        <w:t>s</w:t>
      </w:r>
      <w:r w:rsidRPr="009E35ED">
        <w:rPr>
          <w:rFonts w:ascii="Arial" w:hAnsi="Arial" w:cs="Arial"/>
          <w:color w:val="000000" w:themeColor="text1"/>
          <w:sz w:val="22"/>
          <w:szCs w:val="22"/>
          <w:shd w:val="clear" w:color="auto" w:fill="FFFFFF"/>
        </w:rPr>
        <w:t>eries of 2022:</w:t>
      </w:r>
    </w:p>
    <w:p w14:paraId="559DB42A" w14:textId="77777777" w:rsidR="004F12F9" w:rsidRPr="009E35ED" w:rsidRDefault="004F12F9" w:rsidP="00803F8C">
      <w:pPr>
        <w:ind w:left="0"/>
        <w:rPr>
          <w:rFonts w:ascii="Arial" w:hAnsi="Arial" w:cs="Arial"/>
          <w:color w:val="000000" w:themeColor="text1"/>
          <w:sz w:val="22"/>
          <w:szCs w:val="22"/>
          <w:shd w:val="clear" w:color="auto" w:fill="FFFFFF"/>
        </w:rPr>
      </w:pPr>
    </w:p>
    <w:p w14:paraId="789FC134" w14:textId="49F694BF" w:rsidR="00B30D0B" w:rsidRPr="009E35ED" w:rsidRDefault="00B30D0B" w:rsidP="00397E5C">
      <w:pPr>
        <w:pStyle w:val="ListParagraph"/>
        <w:numPr>
          <w:ilvl w:val="0"/>
          <w:numId w:val="36"/>
        </w:numPr>
        <w:ind w:left="720"/>
        <w:rPr>
          <w:rFonts w:ascii="Arial" w:hAnsi="Arial" w:cs="Arial"/>
          <w:color w:val="000000" w:themeColor="text1"/>
          <w:sz w:val="22"/>
          <w:szCs w:val="22"/>
          <w:shd w:val="clear" w:color="auto" w:fill="FFFFFF"/>
        </w:rPr>
      </w:pPr>
      <w:r w:rsidRPr="009E35ED">
        <w:rPr>
          <w:rFonts w:ascii="Arial" w:hAnsi="Arial" w:cs="Arial"/>
          <w:color w:val="000000" w:themeColor="text1"/>
          <w:sz w:val="22"/>
          <w:szCs w:val="22"/>
          <w:shd w:val="clear" w:color="auto" w:fill="FFFFFF"/>
        </w:rPr>
        <w:t>The Extension of the ELA with POSC and PGMC on a month-to-month basis for three (3) months;</w:t>
      </w:r>
    </w:p>
    <w:p w14:paraId="38E1E728" w14:textId="77777777" w:rsidR="00B30D0B" w:rsidRPr="009E35ED" w:rsidRDefault="00B30D0B" w:rsidP="00397E5C">
      <w:pPr>
        <w:pStyle w:val="ListParagraph"/>
        <w:numPr>
          <w:ilvl w:val="0"/>
          <w:numId w:val="36"/>
        </w:numPr>
        <w:ind w:left="720"/>
        <w:rPr>
          <w:rFonts w:ascii="Arial" w:hAnsi="Arial" w:cs="Arial"/>
          <w:color w:val="000000" w:themeColor="text1"/>
          <w:sz w:val="22"/>
          <w:szCs w:val="22"/>
          <w:shd w:val="clear" w:color="auto" w:fill="FFFFFF"/>
        </w:rPr>
      </w:pPr>
      <w:r w:rsidRPr="009E35ED">
        <w:rPr>
          <w:rFonts w:ascii="Arial" w:hAnsi="Arial" w:cs="Arial"/>
          <w:color w:val="000000" w:themeColor="text1"/>
          <w:sz w:val="22"/>
          <w:szCs w:val="22"/>
          <w:shd w:val="clear" w:color="auto" w:fill="FFFFFF"/>
        </w:rPr>
        <w:t>Retention of the existing monthly rate at six percent (6%); and</w:t>
      </w:r>
    </w:p>
    <w:p w14:paraId="4AE6563F" w14:textId="4EB6038F" w:rsidR="00B30D0B" w:rsidRPr="009E35ED" w:rsidRDefault="00B30D0B" w:rsidP="00397E5C">
      <w:pPr>
        <w:pStyle w:val="ListParagraph"/>
        <w:numPr>
          <w:ilvl w:val="0"/>
          <w:numId w:val="36"/>
        </w:numPr>
        <w:ind w:left="720"/>
        <w:rPr>
          <w:rFonts w:ascii="Arial" w:hAnsi="Arial" w:cs="Arial"/>
          <w:color w:val="000000" w:themeColor="text1"/>
          <w:sz w:val="22"/>
          <w:szCs w:val="22"/>
          <w:shd w:val="clear" w:color="auto" w:fill="FFFFFF"/>
        </w:rPr>
      </w:pPr>
      <w:r w:rsidRPr="009E35ED">
        <w:rPr>
          <w:rFonts w:ascii="Arial" w:hAnsi="Arial" w:cs="Arial"/>
          <w:color w:val="000000" w:themeColor="text1"/>
          <w:sz w:val="22"/>
          <w:szCs w:val="22"/>
          <w:shd w:val="clear" w:color="auto" w:fill="FFFFFF"/>
        </w:rPr>
        <w:t>Authorization given to the General Manager to sign, for and on behalf of</w:t>
      </w:r>
      <w:r w:rsidR="0093014E">
        <w:rPr>
          <w:rFonts w:ascii="Arial" w:hAnsi="Arial" w:cs="Arial"/>
          <w:color w:val="000000" w:themeColor="text1"/>
          <w:sz w:val="22"/>
          <w:szCs w:val="22"/>
          <w:shd w:val="clear" w:color="auto" w:fill="FFFFFF"/>
        </w:rPr>
        <w:t xml:space="preserve"> the</w:t>
      </w:r>
      <w:r w:rsidRPr="009E35ED">
        <w:rPr>
          <w:rFonts w:ascii="Arial" w:hAnsi="Arial" w:cs="Arial"/>
          <w:color w:val="000000" w:themeColor="text1"/>
          <w:sz w:val="22"/>
          <w:szCs w:val="22"/>
          <w:shd w:val="clear" w:color="auto" w:fill="FFFFFF"/>
        </w:rPr>
        <w:t xml:space="preserve"> PCSO, the agreements/contracts and other pertinent documents necessary to implement the extension.</w:t>
      </w:r>
    </w:p>
    <w:p w14:paraId="6918F6C2" w14:textId="77777777" w:rsidR="00B30D0B" w:rsidRPr="009E35ED" w:rsidRDefault="00B30D0B" w:rsidP="00033C0B">
      <w:pPr>
        <w:ind w:left="0"/>
        <w:rPr>
          <w:rFonts w:ascii="Arial" w:hAnsi="Arial" w:cs="Arial"/>
          <w:color w:val="000000" w:themeColor="text1"/>
          <w:sz w:val="22"/>
          <w:szCs w:val="22"/>
          <w:shd w:val="clear" w:color="auto" w:fill="FFFFFF"/>
        </w:rPr>
      </w:pPr>
    </w:p>
    <w:p w14:paraId="58D5B20D" w14:textId="71894503" w:rsidR="00AC4B78" w:rsidRPr="009E35ED" w:rsidRDefault="00B30D0B" w:rsidP="00803F8C">
      <w:pPr>
        <w:ind w:left="0"/>
        <w:rPr>
          <w:rFonts w:eastAsia="Calibri"/>
          <w:color w:val="000000" w:themeColor="text1"/>
        </w:rPr>
      </w:pPr>
      <w:r w:rsidRPr="009E35ED">
        <w:rPr>
          <w:rFonts w:ascii="Arial" w:hAnsi="Arial" w:cs="Arial"/>
          <w:color w:val="000000" w:themeColor="text1"/>
          <w:sz w:val="22"/>
          <w:szCs w:val="22"/>
          <w:shd w:val="clear" w:color="auto" w:fill="FFFFFF"/>
        </w:rPr>
        <w:t xml:space="preserve">Furthermore, pursuant to the Supplemental Equipment Lease Agreement, </w:t>
      </w:r>
      <w:r w:rsidR="0093014E">
        <w:rPr>
          <w:rFonts w:ascii="Arial" w:hAnsi="Arial" w:cs="Arial"/>
          <w:color w:val="000000" w:themeColor="text1"/>
          <w:sz w:val="22"/>
          <w:szCs w:val="22"/>
          <w:shd w:val="clear" w:color="auto" w:fill="FFFFFF"/>
        </w:rPr>
        <w:t xml:space="preserve">the </w:t>
      </w:r>
      <w:r w:rsidRPr="009E35ED">
        <w:rPr>
          <w:rFonts w:ascii="Arial" w:hAnsi="Arial" w:cs="Arial"/>
          <w:color w:val="000000" w:themeColor="text1"/>
          <w:sz w:val="22"/>
          <w:szCs w:val="22"/>
          <w:shd w:val="clear" w:color="auto" w:fill="FFFFFF"/>
        </w:rPr>
        <w:t xml:space="preserve">PCSO entered into </w:t>
      </w:r>
      <w:r w:rsidR="00033C0B" w:rsidRPr="009E35ED">
        <w:rPr>
          <w:rFonts w:ascii="Arial" w:hAnsi="Arial" w:cs="Arial"/>
          <w:color w:val="000000" w:themeColor="text1"/>
          <w:sz w:val="22"/>
          <w:szCs w:val="22"/>
          <w:shd w:val="clear" w:color="auto" w:fill="FFFFFF"/>
        </w:rPr>
        <w:t>a</w:t>
      </w:r>
      <w:r w:rsidRPr="009E35ED">
        <w:rPr>
          <w:rFonts w:ascii="Arial" w:hAnsi="Arial" w:cs="Arial"/>
          <w:color w:val="000000" w:themeColor="text1"/>
          <w:sz w:val="22"/>
          <w:szCs w:val="22"/>
          <w:shd w:val="clear" w:color="auto" w:fill="FFFFFF"/>
        </w:rPr>
        <w:t xml:space="preserve"> Cash Bond Agreement with</w:t>
      </w:r>
      <w:r w:rsidR="0093014E">
        <w:rPr>
          <w:rFonts w:ascii="Arial" w:hAnsi="Arial" w:cs="Arial"/>
          <w:color w:val="000000" w:themeColor="text1"/>
          <w:sz w:val="22"/>
          <w:szCs w:val="22"/>
          <w:shd w:val="clear" w:color="auto" w:fill="FFFFFF"/>
        </w:rPr>
        <w:t xml:space="preserve"> the </w:t>
      </w:r>
      <w:r w:rsidRPr="009E35ED">
        <w:rPr>
          <w:rFonts w:ascii="Arial" w:hAnsi="Arial" w:cs="Arial"/>
          <w:color w:val="000000" w:themeColor="text1"/>
          <w:sz w:val="22"/>
          <w:szCs w:val="22"/>
          <w:shd w:val="clear" w:color="auto" w:fill="FFFFFF"/>
        </w:rPr>
        <w:t xml:space="preserve">POSC and </w:t>
      </w:r>
      <w:r w:rsidR="0093014E">
        <w:rPr>
          <w:rFonts w:ascii="Arial" w:hAnsi="Arial" w:cs="Arial"/>
          <w:color w:val="000000" w:themeColor="text1"/>
          <w:sz w:val="22"/>
          <w:szCs w:val="22"/>
          <w:shd w:val="clear" w:color="auto" w:fill="FFFFFF"/>
        </w:rPr>
        <w:t>the PGMC</w:t>
      </w:r>
      <w:r w:rsidRPr="009E35ED">
        <w:rPr>
          <w:rFonts w:ascii="Arial" w:hAnsi="Arial" w:cs="Arial"/>
          <w:color w:val="000000" w:themeColor="text1"/>
          <w:sz w:val="22"/>
          <w:szCs w:val="22"/>
          <w:shd w:val="clear" w:color="auto" w:fill="FFFFFF"/>
        </w:rPr>
        <w:t xml:space="preserve"> dated September</w:t>
      </w:r>
      <w:r w:rsidR="00344372">
        <w:rPr>
          <w:rFonts w:ascii="Arial" w:hAnsi="Arial" w:cs="Arial"/>
          <w:color w:val="000000" w:themeColor="text1"/>
          <w:sz w:val="22"/>
          <w:szCs w:val="22"/>
          <w:shd w:val="clear" w:color="auto" w:fill="FFFFFF"/>
        </w:rPr>
        <w:t xml:space="preserve"> 12,</w:t>
      </w:r>
      <w:r w:rsidRPr="009E35ED">
        <w:rPr>
          <w:rFonts w:ascii="Arial" w:hAnsi="Arial" w:cs="Arial"/>
          <w:color w:val="000000" w:themeColor="text1"/>
          <w:sz w:val="22"/>
          <w:szCs w:val="22"/>
          <w:shd w:val="clear" w:color="auto" w:fill="FFFFFF"/>
        </w:rPr>
        <w:t xml:space="preserve"> 2022, signed by PCSO General Manager Melquiades Robles, POSC President and Chief Executive Officer Jackson T. Ongsip, and PGMC President Paulino S. Soo. </w:t>
      </w:r>
      <w:r w:rsidR="00E8604B" w:rsidRPr="009E35ED">
        <w:rPr>
          <w:rFonts w:ascii="Arial" w:hAnsi="Arial" w:cs="Arial"/>
          <w:color w:val="000000" w:themeColor="text1"/>
          <w:sz w:val="22"/>
          <w:szCs w:val="22"/>
          <w:shd w:val="clear" w:color="auto" w:fill="FFFFFF"/>
        </w:rPr>
        <w:t>This was expired on October 7, 2023.</w:t>
      </w:r>
    </w:p>
    <w:p w14:paraId="6E8D2374" w14:textId="77777777" w:rsidR="00975CA4" w:rsidRPr="009E35ED" w:rsidRDefault="00975CA4" w:rsidP="00803F8C">
      <w:pPr>
        <w:ind w:left="0"/>
        <w:rPr>
          <w:rFonts w:ascii="Arial" w:eastAsia="Calibri" w:hAnsi="Arial" w:cs="Arial"/>
          <w:b/>
          <w:color w:val="000000" w:themeColor="text1"/>
          <w:sz w:val="22"/>
          <w:szCs w:val="22"/>
        </w:rPr>
      </w:pPr>
    </w:p>
    <w:p w14:paraId="549FE171" w14:textId="2AFE0832" w:rsidR="000B161F" w:rsidRPr="009E35ED" w:rsidRDefault="000B161F" w:rsidP="00B90388">
      <w:pPr>
        <w:keepNext/>
        <w:keepLines/>
        <w:ind w:left="0"/>
        <w:rPr>
          <w:rFonts w:ascii="Arial" w:eastAsia="Calibri" w:hAnsi="Arial" w:cs="Arial"/>
          <w:b/>
          <w:color w:val="000000" w:themeColor="text1"/>
          <w:sz w:val="22"/>
          <w:szCs w:val="22"/>
        </w:rPr>
      </w:pPr>
      <w:r w:rsidRPr="009E35ED">
        <w:rPr>
          <w:rFonts w:ascii="Arial" w:eastAsia="Calibri" w:hAnsi="Arial" w:cs="Arial"/>
          <w:b/>
          <w:color w:val="000000" w:themeColor="text1"/>
          <w:sz w:val="22"/>
          <w:szCs w:val="22"/>
        </w:rPr>
        <w:t>Right-of-use Assets</w:t>
      </w:r>
    </w:p>
    <w:p w14:paraId="149888A1" w14:textId="77777777" w:rsidR="000B161F" w:rsidRPr="009E35ED" w:rsidRDefault="000B161F" w:rsidP="00B90388">
      <w:pPr>
        <w:keepNext/>
        <w:keepLines/>
        <w:ind w:left="0"/>
        <w:rPr>
          <w:rFonts w:ascii="Arial" w:eastAsia="Calibri" w:hAnsi="Arial" w:cs="Arial"/>
          <w:b/>
          <w:color w:val="000000" w:themeColor="text1"/>
          <w:sz w:val="22"/>
          <w:szCs w:val="22"/>
        </w:rPr>
      </w:pPr>
    </w:p>
    <w:p w14:paraId="3ABE38BE" w14:textId="20F223C4" w:rsidR="006E34FF" w:rsidRPr="009E35ED" w:rsidRDefault="0093014E" w:rsidP="00B90388">
      <w:pPr>
        <w:keepNext/>
        <w:keepLines/>
        <w:ind w:left="0"/>
        <w:rPr>
          <w:rFonts w:ascii="Arial" w:eastAsia="Calibri" w:hAnsi="Arial" w:cs="Arial"/>
          <w:color w:val="000000" w:themeColor="text1"/>
          <w:sz w:val="22"/>
          <w:szCs w:val="22"/>
        </w:rPr>
      </w:pPr>
      <w:r>
        <w:rPr>
          <w:rFonts w:ascii="Arial" w:eastAsia="Calibri" w:hAnsi="Arial" w:cs="Arial"/>
          <w:color w:val="000000" w:themeColor="text1"/>
          <w:sz w:val="22"/>
          <w:szCs w:val="22"/>
        </w:rPr>
        <w:t xml:space="preserve">The </w:t>
      </w:r>
      <w:r w:rsidR="00DE60A9" w:rsidRPr="009E35ED">
        <w:rPr>
          <w:rFonts w:ascii="Arial" w:eastAsia="Calibri" w:hAnsi="Arial" w:cs="Arial"/>
          <w:color w:val="000000" w:themeColor="text1"/>
          <w:sz w:val="22"/>
          <w:szCs w:val="22"/>
        </w:rPr>
        <w:t xml:space="preserve">PCSO entered into lease agreement with the following companies for PCSO’s Main Office and the PCSO has determined that all significant risks and rewards of ownership of this property remain with the lessor. </w:t>
      </w:r>
    </w:p>
    <w:p w14:paraId="2E93A9F7" w14:textId="77777777" w:rsidR="00840343" w:rsidRPr="009E35ED" w:rsidRDefault="00840343" w:rsidP="00803F8C">
      <w:pPr>
        <w:ind w:left="0"/>
        <w:rPr>
          <w:rFonts w:ascii="Arial" w:eastAsia="Calibri" w:hAnsi="Arial" w:cs="Arial"/>
          <w:color w:val="000000" w:themeColor="text1"/>
          <w:sz w:val="22"/>
          <w:szCs w:val="22"/>
        </w:rPr>
      </w:pPr>
    </w:p>
    <w:p w14:paraId="71EC3382" w14:textId="72068AFC" w:rsidR="000B161F" w:rsidRPr="009E35ED" w:rsidRDefault="00375A22" w:rsidP="00803F8C">
      <w:pPr>
        <w:ind w:left="0"/>
        <w:rPr>
          <w:rFonts w:ascii="Arial" w:eastAsia="Calibri" w:hAnsi="Arial" w:cs="Arial"/>
          <w:color w:val="000000" w:themeColor="text1"/>
          <w:sz w:val="22"/>
          <w:szCs w:val="22"/>
        </w:rPr>
      </w:pPr>
      <w:r w:rsidRPr="009E35ED">
        <w:rPr>
          <w:rFonts w:ascii="Arial" w:eastAsia="Calibri" w:hAnsi="Arial" w:cs="Arial"/>
          <w:color w:val="000000" w:themeColor="text1"/>
          <w:sz w:val="22"/>
          <w:szCs w:val="22"/>
        </w:rPr>
        <w:t>The PCSO shall pay the lessor the total amount of rental and with an escalation rate of 5% per annum.</w:t>
      </w:r>
    </w:p>
    <w:p w14:paraId="000EDB43" w14:textId="6876F99C" w:rsidR="0095092B" w:rsidRPr="009E35ED" w:rsidRDefault="0095092B" w:rsidP="00803F8C">
      <w:pPr>
        <w:ind w:left="0"/>
        <w:rPr>
          <w:rFonts w:ascii="Arial" w:eastAsia="Calibri" w:hAnsi="Arial" w:cs="Arial"/>
          <w:color w:val="000000" w:themeColor="text1"/>
          <w:sz w:val="22"/>
          <w:szCs w:val="22"/>
        </w:rPr>
      </w:pPr>
    </w:p>
    <w:p w14:paraId="0F9805D3" w14:textId="0D83D1F7" w:rsidR="00AA685E" w:rsidRPr="009E35ED" w:rsidRDefault="00AA685E" w:rsidP="00AA685E">
      <w:pPr>
        <w:ind w:left="0"/>
        <w:rPr>
          <w:rFonts w:ascii="Arial" w:hAnsi="Arial" w:cs="Arial"/>
          <w:color w:val="000000" w:themeColor="text1"/>
          <w:sz w:val="22"/>
          <w:szCs w:val="22"/>
        </w:rPr>
      </w:pPr>
      <w:r w:rsidRPr="009E35ED">
        <w:rPr>
          <w:rFonts w:ascii="Arial" w:hAnsi="Arial" w:cs="Arial"/>
          <w:color w:val="000000" w:themeColor="text1"/>
          <w:sz w:val="22"/>
          <w:szCs w:val="22"/>
        </w:rPr>
        <w:t>On October</w:t>
      </w:r>
      <w:r w:rsidR="00344372">
        <w:rPr>
          <w:rFonts w:ascii="Arial" w:hAnsi="Arial" w:cs="Arial"/>
          <w:color w:val="000000" w:themeColor="text1"/>
          <w:sz w:val="22"/>
          <w:szCs w:val="22"/>
        </w:rPr>
        <w:t xml:space="preserve"> 28,</w:t>
      </w:r>
      <w:r w:rsidRPr="009E35ED">
        <w:rPr>
          <w:rFonts w:ascii="Arial" w:hAnsi="Arial" w:cs="Arial"/>
          <w:color w:val="000000" w:themeColor="text1"/>
          <w:sz w:val="22"/>
          <w:szCs w:val="22"/>
        </w:rPr>
        <w:t xml:space="preserve"> 2021, the PCSO executed a Supplemental Lease Contract (Annex D) with </w:t>
      </w:r>
      <w:r w:rsidR="001713C2" w:rsidRPr="009E35ED">
        <w:rPr>
          <w:rFonts w:ascii="Arial" w:hAnsi="Arial" w:cs="Arial"/>
          <w:color w:val="000000" w:themeColor="text1"/>
          <w:sz w:val="22"/>
          <w:szCs w:val="22"/>
        </w:rPr>
        <w:t>Joint Venture Sun Plaza Development Corporation, AP Securities Incorporated, and Conservatory Shaw Plaza Incorporated (</w:t>
      </w:r>
      <w:r w:rsidRPr="009E35ED">
        <w:rPr>
          <w:rFonts w:ascii="Arial" w:hAnsi="Arial" w:cs="Arial"/>
          <w:color w:val="000000" w:themeColor="text1"/>
          <w:sz w:val="22"/>
          <w:szCs w:val="22"/>
        </w:rPr>
        <w:t>JV SPDC-APSI-CSPI</w:t>
      </w:r>
      <w:r w:rsidR="001713C2" w:rsidRPr="009E35ED">
        <w:rPr>
          <w:rFonts w:ascii="Arial" w:hAnsi="Arial" w:cs="Arial"/>
          <w:color w:val="000000" w:themeColor="text1"/>
          <w:sz w:val="22"/>
          <w:szCs w:val="22"/>
        </w:rPr>
        <w:t>)</w:t>
      </w:r>
      <w:r w:rsidRPr="009E35ED">
        <w:rPr>
          <w:rFonts w:ascii="Arial" w:hAnsi="Arial" w:cs="Arial"/>
          <w:color w:val="000000" w:themeColor="text1"/>
          <w:sz w:val="22"/>
          <w:szCs w:val="22"/>
        </w:rPr>
        <w:t xml:space="preserve"> for the lease of the 2</w:t>
      </w:r>
      <w:r w:rsidRPr="009E35ED">
        <w:rPr>
          <w:rFonts w:ascii="Arial" w:hAnsi="Arial" w:cs="Arial"/>
          <w:color w:val="000000" w:themeColor="text1"/>
          <w:sz w:val="22"/>
          <w:szCs w:val="22"/>
          <w:vertAlign w:val="superscript"/>
        </w:rPr>
        <w:t>nd</w:t>
      </w:r>
      <w:r w:rsidRPr="009E35ED">
        <w:rPr>
          <w:rFonts w:ascii="Arial" w:hAnsi="Arial" w:cs="Arial"/>
          <w:color w:val="000000" w:themeColor="text1"/>
          <w:sz w:val="22"/>
          <w:szCs w:val="22"/>
        </w:rPr>
        <w:t xml:space="preserve"> Floor Shaw Plaza One and Two Buildings, with a total leasable office space of 1,275 square meters of office spaces, including 17 parking slots. The Supplemental Lease Contract commenced </w:t>
      </w:r>
      <w:r w:rsidR="005B3C62" w:rsidRPr="009E35ED">
        <w:rPr>
          <w:rFonts w:ascii="Arial" w:hAnsi="Arial" w:cs="Arial"/>
          <w:color w:val="000000" w:themeColor="text1"/>
          <w:sz w:val="22"/>
          <w:szCs w:val="22"/>
        </w:rPr>
        <w:t>on November</w:t>
      </w:r>
      <w:r w:rsidR="00344372">
        <w:rPr>
          <w:rFonts w:ascii="Arial" w:hAnsi="Arial" w:cs="Arial"/>
          <w:color w:val="000000" w:themeColor="text1"/>
          <w:sz w:val="22"/>
          <w:szCs w:val="22"/>
        </w:rPr>
        <w:t xml:space="preserve"> 01,</w:t>
      </w:r>
      <w:r w:rsidRPr="009E35ED">
        <w:rPr>
          <w:rFonts w:ascii="Arial" w:hAnsi="Arial" w:cs="Arial"/>
          <w:color w:val="000000" w:themeColor="text1"/>
          <w:sz w:val="22"/>
          <w:szCs w:val="22"/>
        </w:rPr>
        <w:t xml:space="preserve"> 2021 </w:t>
      </w:r>
      <w:r w:rsidR="0093014E" w:rsidRPr="009E35ED">
        <w:rPr>
          <w:rFonts w:ascii="Arial" w:hAnsi="Arial" w:cs="Arial"/>
          <w:color w:val="000000" w:themeColor="text1"/>
          <w:sz w:val="22"/>
          <w:szCs w:val="22"/>
        </w:rPr>
        <w:t>until December</w:t>
      </w:r>
      <w:r w:rsidRPr="009E35ED">
        <w:rPr>
          <w:rFonts w:ascii="Arial" w:hAnsi="Arial" w:cs="Arial"/>
          <w:color w:val="000000" w:themeColor="text1"/>
          <w:sz w:val="22"/>
          <w:szCs w:val="22"/>
        </w:rPr>
        <w:t xml:space="preserve"> </w:t>
      </w:r>
      <w:r w:rsidR="00344372">
        <w:rPr>
          <w:rFonts w:ascii="Arial" w:hAnsi="Arial" w:cs="Arial"/>
          <w:color w:val="000000" w:themeColor="text1"/>
          <w:sz w:val="22"/>
          <w:szCs w:val="22"/>
        </w:rPr>
        <w:t xml:space="preserve">31, </w:t>
      </w:r>
      <w:r w:rsidRPr="009E35ED">
        <w:rPr>
          <w:rFonts w:ascii="Arial" w:hAnsi="Arial" w:cs="Arial"/>
          <w:color w:val="000000" w:themeColor="text1"/>
          <w:sz w:val="22"/>
          <w:szCs w:val="22"/>
        </w:rPr>
        <w:t xml:space="preserve">2023 to coincide with the expiration of the Renewal of Lease Contract for the total contract price of </w:t>
      </w:r>
      <w:r w:rsidR="00F10767">
        <w:rPr>
          <w:rFonts w:ascii="Arial" w:hAnsi="Arial" w:cs="Arial"/>
          <w:color w:val="000000" w:themeColor="text1"/>
          <w:sz w:val="22"/>
          <w:szCs w:val="22"/>
        </w:rPr>
        <w:t>P</w:t>
      </w:r>
      <w:r w:rsidRPr="009E35ED">
        <w:rPr>
          <w:rFonts w:ascii="Arial" w:hAnsi="Arial" w:cs="Arial"/>
          <w:color w:val="000000" w:themeColor="text1"/>
          <w:sz w:val="22"/>
          <w:szCs w:val="22"/>
        </w:rPr>
        <w:t>44,625,036.14, inclusive of VAT.</w:t>
      </w:r>
    </w:p>
    <w:p w14:paraId="685E43BF" w14:textId="77777777" w:rsidR="00AA685E" w:rsidRPr="009E35ED" w:rsidRDefault="00AA685E" w:rsidP="0095092B">
      <w:pPr>
        <w:ind w:left="0"/>
        <w:rPr>
          <w:rFonts w:ascii="Arial" w:hAnsi="Arial" w:cs="Arial"/>
          <w:color w:val="000000" w:themeColor="text1"/>
          <w:sz w:val="22"/>
          <w:szCs w:val="22"/>
        </w:rPr>
      </w:pPr>
    </w:p>
    <w:p w14:paraId="29E5422B" w14:textId="719BF839" w:rsidR="00AA685E" w:rsidRPr="009E35ED" w:rsidRDefault="00E41697" w:rsidP="0095092B">
      <w:pPr>
        <w:ind w:left="0"/>
        <w:rPr>
          <w:rFonts w:ascii="Arial" w:hAnsi="Arial" w:cs="Arial"/>
          <w:color w:val="000000" w:themeColor="text1"/>
          <w:sz w:val="22"/>
          <w:szCs w:val="22"/>
        </w:rPr>
      </w:pPr>
      <w:r w:rsidRPr="009E35ED">
        <w:rPr>
          <w:rFonts w:ascii="Arial" w:hAnsi="Arial" w:cs="Arial"/>
          <w:color w:val="000000" w:themeColor="text1"/>
          <w:sz w:val="22"/>
          <w:szCs w:val="22"/>
        </w:rPr>
        <w:t xml:space="preserve">The General Services Department (GSD) determined that there </w:t>
      </w:r>
      <w:r w:rsidR="00E17FF0" w:rsidRPr="009E35ED">
        <w:rPr>
          <w:rFonts w:ascii="Arial" w:hAnsi="Arial" w:cs="Arial"/>
          <w:color w:val="000000" w:themeColor="text1"/>
          <w:sz w:val="22"/>
          <w:szCs w:val="22"/>
        </w:rPr>
        <w:t>wa</w:t>
      </w:r>
      <w:r w:rsidRPr="009E35ED">
        <w:rPr>
          <w:rFonts w:ascii="Arial" w:hAnsi="Arial" w:cs="Arial"/>
          <w:color w:val="000000" w:themeColor="text1"/>
          <w:sz w:val="22"/>
          <w:szCs w:val="22"/>
        </w:rPr>
        <w:t>s a need to lease out additional office spaces to address the overcrowding issues and the inadequate working and waiting area of personnel and clients, and to comply with the Department of Trade and Industry (DTI) and Department of Labor and Employment (DOLE) issued Joint Memorandum Circular (JMC) No. 20-04-A series of 2020, in relation to DTI and DOLE Supplemental Guidelines on Workplace Prevention and Control on Covid-19, which strictly required the observance of minimum public health standards in all workplaces including physical distancing</w:t>
      </w:r>
    </w:p>
    <w:p w14:paraId="13BB5BFA" w14:textId="5025A7C4" w:rsidR="00773FE2" w:rsidRPr="009E35ED" w:rsidRDefault="00773FE2" w:rsidP="006B398D">
      <w:pPr>
        <w:ind w:left="0"/>
        <w:rPr>
          <w:rFonts w:ascii="Arial" w:hAnsi="Arial" w:cs="Arial"/>
          <w:color w:val="000000" w:themeColor="text1"/>
          <w:sz w:val="22"/>
          <w:szCs w:val="22"/>
        </w:rPr>
      </w:pPr>
    </w:p>
    <w:p w14:paraId="3479D012" w14:textId="374CD16D" w:rsidR="00E41697" w:rsidRPr="009E35ED" w:rsidRDefault="00773FE2" w:rsidP="006B398D">
      <w:pPr>
        <w:ind w:left="0"/>
        <w:rPr>
          <w:rFonts w:ascii="Arial" w:hAnsi="Arial" w:cs="Arial"/>
          <w:color w:val="000000" w:themeColor="text1"/>
          <w:sz w:val="22"/>
          <w:szCs w:val="22"/>
        </w:rPr>
      </w:pPr>
      <w:r w:rsidRPr="009E35ED">
        <w:rPr>
          <w:rFonts w:ascii="Arial" w:hAnsi="Arial" w:cs="Arial"/>
          <w:color w:val="000000" w:themeColor="text1"/>
          <w:sz w:val="22"/>
          <w:szCs w:val="22"/>
        </w:rPr>
        <w:t>On September</w:t>
      </w:r>
      <w:r w:rsidR="00344372">
        <w:rPr>
          <w:rFonts w:ascii="Arial" w:hAnsi="Arial" w:cs="Arial"/>
          <w:color w:val="000000" w:themeColor="text1"/>
          <w:sz w:val="22"/>
          <w:szCs w:val="22"/>
        </w:rPr>
        <w:t xml:space="preserve"> 20,</w:t>
      </w:r>
      <w:r w:rsidRPr="009E35ED">
        <w:rPr>
          <w:rFonts w:ascii="Arial" w:hAnsi="Arial" w:cs="Arial"/>
          <w:color w:val="000000" w:themeColor="text1"/>
          <w:sz w:val="22"/>
          <w:szCs w:val="22"/>
        </w:rPr>
        <w:t xml:space="preserve"> 2022, the </w:t>
      </w:r>
      <w:r w:rsidR="00B66598">
        <w:rPr>
          <w:rFonts w:ascii="Arial" w:hAnsi="Arial" w:cs="Arial"/>
          <w:color w:val="000000" w:themeColor="text1"/>
          <w:sz w:val="22"/>
          <w:szCs w:val="22"/>
        </w:rPr>
        <w:t>b</w:t>
      </w:r>
      <w:r w:rsidR="0093014E">
        <w:rPr>
          <w:rFonts w:ascii="Arial" w:hAnsi="Arial" w:cs="Arial"/>
          <w:color w:val="000000" w:themeColor="text1"/>
          <w:sz w:val="22"/>
          <w:szCs w:val="22"/>
        </w:rPr>
        <w:t xml:space="preserve">ids and </w:t>
      </w:r>
      <w:r w:rsidR="00B66598">
        <w:rPr>
          <w:rFonts w:ascii="Arial" w:hAnsi="Arial" w:cs="Arial"/>
          <w:color w:val="000000" w:themeColor="text1"/>
          <w:sz w:val="22"/>
          <w:szCs w:val="22"/>
        </w:rPr>
        <w:t>a</w:t>
      </w:r>
      <w:r w:rsidR="0093014E">
        <w:rPr>
          <w:rFonts w:ascii="Arial" w:hAnsi="Arial" w:cs="Arial"/>
          <w:color w:val="000000" w:themeColor="text1"/>
          <w:sz w:val="22"/>
          <w:szCs w:val="22"/>
        </w:rPr>
        <w:t xml:space="preserve">wards </w:t>
      </w:r>
      <w:r w:rsidR="00B66598">
        <w:rPr>
          <w:rFonts w:ascii="Arial" w:hAnsi="Arial" w:cs="Arial"/>
          <w:color w:val="000000" w:themeColor="text1"/>
          <w:sz w:val="22"/>
          <w:szCs w:val="22"/>
        </w:rPr>
        <w:t>c</w:t>
      </w:r>
      <w:r w:rsidR="0093014E">
        <w:rPr>
          <w:rFonts w:ascii="Arial" w:hAnsi="Arial" w:cs="Arial"/>
          <w:color w:val="000000" w:themeColor="text1"/>
          <w:sz w:val="22"/>
          <w:szCs w:val="22"/>
        </w:rPr>
        <w:t>ommittee (</w:t>
      </w:r>
      <w:r w:rsidRPr="009E35ED">
        <w:rPr>
          <w:rFonts w:ascii="Arial" w:hAnsi="Arial" w:cs="Arial"/>
          <w:color w:val="000000" w:themeColor="text1"/>
          <w:sz w:val="22"/>
          <w:szCs w:val="22"/>
        </w:rPr>
        <w:t>BAC</w:t>
      </w:r>
      <w:r w:rsidR="0093014E">
        <w:rPr>
          <w:rFonts w:ascii="Arial" w:hAnsi="Arial" w:cs="Arial"/>
          <w:color w:val="000000" w:themeColor="text1"/>
          <w:sz w:val="22"/>
          <w:szCs w:val="22"/>
        </w:rPr>
        <w:t>)</w:t>
      </w:r>
      <w:r w:rsidRPr="009E35ED">
        <w:rPr>
          <w:rFonts w:ascii="Arial" w:hAnsi="Arial" w:cs="Arial"/>
          <w:color w:val="000000" w:themeColor="text1"/>
          <w:sz w:val="22"/>
          <w:szCs w:val="22"/>
        </w:rPr>
        <w:t xml:space="preserve">, thru its resolution No. 103, </w:t>
      </w:r>
      <w:r w:rsidR="00B66598">
        <w:rPr>
          <w:rFonts w:ascii="Arial" w:hAnsi="Arial" w:cs="Arial"/>
          <w:color w:val="000000" w:themeColor="text1"/>
          <w:sz w:val="22"/>
          <w:szCs w:val="22"/>
        </w:rPr>
        <w:t>s</w:t>
      </w:r>
      <w:r w:rsidRPr="009E35ED">
        <w:rPr>
          <w:rFonts w:ascii="Arial" w:hAnsi="Arial" w:cs="Arial"/>
          <w:color w:val="000000" w:themeColor="text1"/>
          <w:sz w:val="22"/>
          <w:szCs w:val="22"/>
        </w:rPr>
        <w:t xml:space="preserve">eries of 2022, recommended to PCSO Board the </w:t>
      </w:r>
      <w:r w:rsidR="00E41697" w:rsidRPr="009E35ED">
        <w:rPr>
          <w:rFonts w:ascii="Arial" w:hAnsi="Arial" w:cs="Arial"/>
          <w:color w:val="000000" w:themeColor="text1"/>
          <w:sz w:val="22"/>
          <w:szCs w:val="22"/>
        </w:rPr>
        <w:t xml:space="preserve">procurement of the lease of </w:t>
      </w:r>
      <w:r w:rsidRPr="009E35ED">
        <w:rPr>
          <w:rFonts w:ascii="Arial" w:hAnsi="Arial" w:cs="Arial"/>
          <w:color w:val="000000" w:themeColor="text1"/>
          <w:sz w:val="22"/>
          <w:szCs w:val="22"/>
        </w:rPr>
        <w:t xml:space="preserve">additional office space </w:t>
      </w:r>
      <w:r w:rsidR="00E41697" w:rsidRPr="009E35ED">
        <w:rPr>
          <w:rFonts w:ascii="Arial" w:hAnsi="Arial" w:cs="Arial"/>
          <w:color w:val="000000" w:themeColor="text1"/>
          <w:sz w:val="22"/>
          <w:szCs w:val="22"/>
        </w:rPr>
        <w:t>(</w:t>
      </w:r>
      <w:r w:rsidRPr="009E35ED">
        <w:rPr>
          <w:rFonts w:ascii="Arial" w:hAnsi="Arial" w:cs="Arial"/>
          <w:color w:val="000000" w:themeColor="text1"/>
          <w:sz w:val="22"/>
          <w:szCs w:val="22"/>
        </w:rPr>
        <w:t>4</w:t>
      </w:r>
      <w:r w:rsidRPr="009E35ED">
        <w:rPr>
          <w:rFonts w:ascii="Arial" w:hAnsi="Arial" w:cs="Arial"/>
          <w:color w:val="000000" w:themeColor="text1"/>
          <w:sz w:val="22"/>
          <w:szCs w:val="22"/>
          <w:vertAlign w:val="superscript"/>
        </w:rPr>
        <w:t>th</w:t>
      </w:r>
      <w:r w:rsidRPr="009E35ED">
        <w:rPr>
          <w:rFonts w:ascii="Arial" w:hAnsi="Arial" w:cs="Arial"/>
          <w:color w:val="000000" w:themeColor="text1"/>
          <w:sz w:val="22"/>
          <w:szCs w:val="22"/>
        </w:rPr>
        <w:t xml:space="preserve"> Floor Executive Lounge of Sun Plaza Building</w:t>
      </w:r>
      <w:r w:rsidR="00E41697" w:rsidRPr="009E35ED">
        <w:rPr>
          <w:rFonts w:ascii="Arial" w:hAnsi="Arial" w:cs="Arial"/>
          <w:color w:val="000000" w:themeColor="text1"/>
          <w:sz w:val="22"/>
          <w:szCs w:val="22"/>
        </w:rPr>
        <w:t>)</w:t>
      </w:r>
      <w:r w:rsidRPr="009E35ED">
        <w:rPr>
          <w:rFonts w:ascii="Arial" w:hAnsi="Arial" w:cs="Arial"/>
          <w:color w:val="000000" w:themeColor="text1"/>
          <w:sz w:val="22"/>
          <w:szCs w:val="22"/>
        </w:rPr>
        <w:t xml:space="preserve"> effective </w:t>
      </w:r>
      <w:r w:rsidR="00D01A6F" w:rsidRPr="009E35ED">
        <w:rPr>
          <w:rFonts w:ascii="Arial" w:hAnsi="Arial" w:cs="Arial"/>
          <w:color w:val="000000" w:themeColor="text1"/>
          <w:sz w:val="22"/>
          <w:szCs w:val="22"/>
        </w:rPr>
        <w:t>on October</w:t>
      </w:r>
      <w:r w:rsidR="00344372">
        <w:rPr>
          <w:rFonts w:ascii="Arial" w:hAnsi="Arial" w:cs="Arial"/>
          <w:color w:val="000000" w:themeColor="text1"/>
          <w:sz w:val="22"/>
          <w:szCs w:val="22"/>
        </w:rPr>
        <w:t xml:space="preserve"> 01,</w:t>
      </w:r>
      <w:r w:rsidRPr="009E35ED">
        <w:rPr>
          <w:rFonts w:ascii="Arial" w:hAnsi="Arial" w:cs="Arial"/>
          <w:color w:val="000000" w:themeColor="text1"/>
          <w:sz w:val="22"/>
          <w:szCs w:val="22"/>
        </w:rPr>
        <w:t xml:space="preserve"> 2022 </w:t>
      </w:r>
      <w:r w:rsidR="0026699B" w:rsidRPr="009E35ED">
        <w:rPr>
          <w:rFonts w:ascii="Arial" w:hAnsi="Arial" w:cs="Arial"/>
          <w:color w:val="000000" w:themeColor="text1"/>
          <w:sz w:val="22"/>
          <w:szCs w:val="22"/>
        </w:rPr>
        <w:t>until December</w:t>
      </w:r>
      <w:r w:rsidR="00344372">
        <w:rPr>
          <w:rFonts w:ascii="Arial" w:hAnsi="Arial" w:cs="Arial"/>
          <w:color w:val="000000" w:themeColor="text1"/>
          <w:sz w:val="22"/>
          <w:szCs w:val="22"/>
        </w:rPr>
        <w:t xml:space="preserve"> 31,</w:t>
      </w:r>
      <w:r w:rsidRPr="009E35ED">
        <w:rPr>
          <w:rFonts w:ascii="Arial" w:hAnsi="Arial" w:cs="Arial"/>
          <w:color w:val="000000" w:themeColor="text1"/>
          <w:sz w:val="22"/>
          <w:szCs w:val="22"/>
        </w:rPr>
        <w:t xml:space="preserve"> 2023</w:t>
      </w:r>
      <w:r w:rsidR="00E41697" w:rsidRPr="009E35ED">
        <w:rPr>
          <w:rFonts w:ascii="Arial" w:hAnsi="Arial" w:cs="Arial"/>
          <w:color w:val="000000" w:themeColor="text1"/>
          <w:sz w:val="22"/>
          <w:szCs w:val="22"/>
        </w:rPr>
        <w:t xml:space="preserve"> under the terms and conditions, including the rental rate stated in the contract</w:t>
      </w:r>
      <w:r w:rsidRPr="009E35ED">
        <w:rPr>
          <w:rFonts w:ascii="Arial" w:hAnsi="Arial" w:cs="Arial"/>
          <w:color w:val="000000" w:themeColor="text1"/>
          <w:sz w:val="22"/>
          <w:szCs w:val="22"/>
        </w:rPr>
        <w:t xml:space="preserve">. </w:t>
      </w:r>
    </w:p>
    <w:p w14:paraId="77DD7008" w14:textId="77777777" w:rsidR="00E41697" w:rsidRPr="009E35ED" w:rsidRDefault="00E41697" w:rsidP="006B398D">
      <w:pPr>
        <w:ind w:left="0"/>
        <w:rPr>
          <w:rFonts w:ascii="Arial" w:hAnsi="Arial" w:cs="Arial"/>
          <w:color w:val="000000" w:themeColor="text1"/>
          <w:sz w:val="22"/>
          <w:szCs w:val="22"/>
        </w:rPr>
      </w:pPr>
    </w:p>
    <w:p w14:paraId="06E32FFF" w14:textId="7C966BA6" w:rsidR="001B0596" w:rsidRPr="009E35ED" w:rsidRDefault="00E41697" w:rsidP="006B398D">
      <w:pPr>
        <w:ind w:left="0"/>
        <w:rPr>
          <w:rFonts w:ascii="Arial" w:hAnsi="Arial" w:cs="Arial"/>
          <w:color w:val="000000" w:themeColor="text1"/>
          <w:sz w:val="22"/>
          <w:szCs w:val="22"/>
        </w:rPr>
      </w:pPr>
      <w:r w:rsidRPr="009E35ED">
        <w:rPr>
          <w:rFonts w:ascii="Arial" w:hAnsi="Arial" w:cs="Arial"/>
          <w:color w:val="000000" w:themeColor="text1"/>
          <w:sz w:val="22"/>
          <w:szCs w:val="22"/>
        </w:rPr>
        <w:t>On October</w:t>
      </w:r>
      <w:r w:rsidR="00344372">
        <w:rPr>
          <w:rFonts w:ascii="Arial" w:hAnsi="Arial" w:cs="Arial"/>
          <w:color w:val="000000" w:themeColor="text1"/>
          <w:sz w:val="22"/>
          <w:szCs w:val="22"/>
        </w:rPr>
        <w:t xml:space="preserve"> 12,</w:t>
      </w:r>
      <w:r w:rsidRPr="009E35ED">
        <w:rPr>
          <w:rFonts w:ascii="Arial" w:hAnsi="Arial" w:cs="Arial"/>
          <w:color w:val="000000" w:themeColor="text1"/>
          <w:sz w:val="22"/>
          <w:szCs w:val="22"/>
        </w:rPr>
        <w:t xml:space="preserve"> 2022, </w:t>
      </w:r>
      <w:r w:rsidR="00773FE2" w:rsidRPr="009E35ED">
        <w:rPr>
          <w:rFonts w:ascii="Arial" w:hAnsi="Arial" w:cs="Arial"/>
          <w:color w:val="000000" w:themeColor="text1"/>
          <w:sz w:val="22"/>
          <w:szCs w:val="22"/>
        </w:rPr>
        <w:t>PCSO Board approved BAC recommendation pursuant to H</w:t>
      </w:r>
      <w:r w:rsidR="00B66598">
        <w:rPr>
          <w:rFonts w:ascii="Arial" w:hAnsi="Arial" w:cs="Arial"/>
          <w:color w:val="000000" w:themeColor="text1"/>
          <w:sz w:val="22"/>
          <w:szCs w:val="22"/>
        </w:rPr>
        <w:t xml:space="preserve">ead of </w:t>
      </w:r>
      <w:r w:rsidR="00773FE2" w:rsidRPr="009E35ED">
        <w:rPr>
          <w:rFonts w:ascii="Arial" w:hAnsi="Arial" w:cs="Arial"/>
          <w:color w:val="000000" w:themeColor="text1"/>
          <w:sz w:val="22"/>
          <w:szCs w:val="22"/>
        </w:rPr>
        <w:t>P</w:t>
      </w:r>
      <w:r w:rsidR="00B66598">
        <w:rPr>
          <w:rFonts w:ascii="Arial" w:hAnsi="Arial" w:cs="Arial"/>
          <w:color w:val="000000" w:themeColor="text1"/>
          <w:sz w:val="22"/>
          <w:szCs w:val="22"/>
        </w:rPr>
        <w:t xml:space="preserve">rocuring </w:t>
      </w:r>
      <w:r w:rsidR="00773FE2" w:rsidRPr="009E35ED">
        <w:rPr>
          <w:rFonts w:ascii="Arial" w:hAnsi="Arial" w:cs="Arial"/>
          <w:color w:val="000000" w:themeColor="text1"/>
          <w:sz w:val="22"/>
          <w:szCs w:val="22"/>
        </w:rPr>
        <w:t>E</w:t>
      </w:r>
      <w:r w:rsidR="00B66598">
        <w:rPr>
          <w:rFonts w:ascii="Arial" w:hAnsi="Arial" w:cs="Arial"/>
          <w:color w:val="000000" w:themeColor="text1"/>
          <w:sz w:val="22"/>
          <w:szCs w:val="22"/>
        </w:rPr>
        <w:t>ntity</w:t>
      </w:r>
      <w:r w:rsidR="00773FE2" w:rsidRPr="009E35ED">
        <w:rPr>
          <w:rFonts w:ascii="Arial" w:hAnsi="Arial" w:cs="Arial"/>
          <w:color w:val="000000" w:themeColor="text1"/>
          <w:sz w:val="22"/>
          <w:szCs w:val="22"/>
        </w:rPr>
        <w:t xml:space="preserve"> Resolution No. M-003, Series of 2022, </w:t>
      </w:r>
      <w:r w:rsidR="00E17FF0" w:rsidRPr="009E35ED">
        <w:rPr>
          <w:rFonts w:ascii="Arial" w:hAnsi="Arial" w:cs="Arial"/>
          <w:color w:val="000000" w:themeColor="text1"/>
          <w:sz w:val="22"/>
          <w:szCs w:val="22"/>
        </w:rPr>
        <w:t>hence, the</w:t>
      </w:r>
      <w:r w:rsidR="000C2DD6" w:rsidRPr="009E35ED">
        <w:rPr>
          <w:rFonts w:ascii="Arial" w:hAnsi="Arial" w:cs="Arial"/>
          <w:color w:val="000000" w:themeColor="text1"/>
          <w:sz w:val="22"/>
          <w:szCs w:val="22"/>
        </w:rPr>
        <w:t xml:space="preserve"> parties executed the </w:t>
      </w:r>
      <w:r w:rsidR="00773FE2" w:rsidRPr="009E35ED">
        <w:rPr>
          <w:rFonts w:ascii="Arial" w:hAnsi="Arial" w:cs="Arial"/>
          <w:color w:val="000000" w:themeColor="text1"/>
          <w:sz w:val="22"/>
          <w:szCs w:val="22"/>
        </w:rPr>
        <w:t xml:space="preserve">Supplemental Lease Contract </w:t>
      </w:r>
      <w:r w:rsidR="000C2DD6" w:rsidRPr="009E35ED">
        <w:rPr>
          <w:rFonts w:ascii="Arial" w:hAnsi="Arial" w:cs="Arial"/>
          <w:color w:val="000000" w:themeColor="text1"/>
          <w:sz w:val="22"/>
          <w:szCs w:val="22"/>
        </w:rPr>
        <w:t>for the Lease of the 4</w:t>
      </w:r>
      <w:r w:rsidR="000C2DD6" w:rsidRPr="009E35ED">
        <w:rPr>
          <w:rFonts w:ascii="Arial" w:hAnsi="Arial" w:cs="Arial"/>
          <w:color w:val="000000" w:themeColor="text1"/>
          <w:sz w:val="22"/>
          <w:szCs w:val="22"/>
          <w:vertAlign w:val="superscript"/>
        </w:rPr>
        <w:t>th</w:t>
      </w:r>
      <w:r w:rsidR="000C2DD6" w:rsidRPr="009E35ED">
        <w:rPr>
          <w:rFonts w:ascii="Arial" w:hAnsi="Arial" w:cs="Arial"/>
          <w:color w:val="000000" w:themeColor="text1"/>
          <w:sz w:val="22"/>
          <w:szCs w:val="22"/>
        </w:rPr>
        <w:t xml:space="preserve"> Floor Executive Lounge of the Sun Plaza Building</w:t>
      </w:r>
      <w:r w:rsidR="00773FE2" w:rsidRPr="009E35ED">
        <w:rPr>
          <w:rFonts w:ascii="Arial" w:hAnsi="Arial" w:cs="Arial"/>
          <w:color w:val="000000" w:themeColor="text1"/>
          <w:sz w:val="22"/>
          <w:szCs w:val="22"/>
        </w:rPr>
        <w:t>.</w:t>
      </w:r>
    </w:p>
    <w:p w14:paraId="599846EA" w14:textId="77777777" w:rsidR="00F552E5" w:rsidRPr="009E35ED" w:rsidRDefault="00F552E5" w:rsidP="006B398D">
      <w:pPr>
        <w:ind w:left="0"/>
        <w:rPr>
          <w:rFonts w:ascii="Arial" w:hAnsi="Arial" w:cs="Arial"/>
          <w:color w:val="000000" w:themeColor="text1"/>
          <w:sz w:val="22"/>
          <w:szCs w:val="22"/>
        </w:rPr>
      </w:pPr>
    </w:p>
    <w:p w14:paraId="6DEFD244" w14:textId="7B7F316E" w:rsidR="00773FE2" w:rsidRPr="009E35ED" w:rsidRDefault="001B0596" w:rsidP="006B398D">
      <w:pPr>
        <w:ind w:left="0"/>
        <w:rPr>
          <w:rFonts w:ascii="Arial" w:hAnsi="Arial" w:cs="Arial"/>
          <w:color w:val="000000" w:themeColor="text1"/>
          <w:sz w:val="22"/>
          <w:szCs w:val="22"/>
        </w:rPr>
      </w:pPr>
      <w:r w:rsidRPr="009E35ED">
        <w:rPr>
          <w:rFonts w:ascii="Arial" w:hAnsi="Arial" w:cs="Arial"/>
          <w:color w:val="000000" w:themeColor="text1"/>
          <w:sz w:val="22"/>
          <w:szCs w:val="22"/>
        </w:rPr>
        <w:t>Advance rentals equivalent to three (3) months rental was paid, and shall be applied to the last three (3) months of the Supplemental Lease Contract. Aside from the advance deposit, a security deposit equivalent to three (3) months rental were also paid by the agency.</w:t>
      </w:r>
    </w:p>
    <w:p w14:paraId="08182045" w14:textId="77777777" w:rsidR="00973A63" w:rsidRPr="009E35ED" w:rsidRDefault="00973A63" w:rsidP="00803F8C">
      <w:pPr>
        <w:ind w:left="0"/>
        <w:rPr>
          <w:rFonts w:ascii="Arial" w:hAnsi="Arial" w:cs="Arial"/>
          <w:color w:val="000000" w:themeColor="text1"/>
          <w:sz w:val="22"/>
          <w:szCs w:val="22"/>
        </w:rPr>
      </w:pPr>
    </w:p>
    <w:p w14:paraId="6DAEA284" w14:textId="308EFA65" w:rsidR="00E731A2" w:rsidRPr="009E35ED" w:rsidRDefault="00474508" w:rsidP="0027176C">
      <w:pPr>
        <w:ind w:left="0"/>
        <w:rPr>
          <w:rFonts w:ascii="Arial" w:hAnsi="Arial" w:cs="Arial"/>
          <w:color w:val="000000" w:themeColor="text1"/>
          <w:sz w:val="22"/>
          <w:szCs w:val="22"/>
        </w:rPr>
      </w:pPr>
      <w:r w:rsidRPr="009E35ED">
        <w:rPr>
          <w:rFonts w:ascii="Arial" w:hAnsi="Arial" w:cs="Arial"/>
          <w:color w:val="000000" w:themeColor="text1"/>
          <w:sz w:val="22"/>
          <w:szCs w:val="22"/>
        </w:rPr>
        <w:t>On November</w:t>
      </w:r>
      <w:r w:rsidR="00344372">
        <w:rPr>
          <w:rFonts w:ascii="Arial" w:hAnsi="Arial" w:cs="Arial"/>
          <w:color w:val="000000" w:themeColor="text1"/>
          <w:sz w:val="22"/>
          <w:szCs w:val="22"/>
        </w:rPr>
        <w:t xml:space="preserve"> 30,</w:t>
      </w:r>
      <w:r w:rsidRPr="009E35ED">
        <w:rPr>
          <w:rFonts w:ascii="Arial" w:hAnsi="Arial" w:cs="Arial"/>
          <w:color w:val="000000" w:themeColor="text1"/>
          <w:sz w:val="22"/>
          <w:szCs w:val="22"/>
        </w:rPr>
        <w:t xml:space="preserve"> 2023, </w:t>
      </w:r>
      <w:r w:rsidR="00183FB1" w:rsidRPr="009E35ED">
        <w:rPr>
          <w:rFonts w:ascii="Arial" w:hAnsi="Arial" w:cs="Arial"/>
          <w:color w:val="000000" w:themeColor="text1"/>
          <w:sz w:val="22"/>
          <w:szCs w:val="22"/>
        </w:rPr>
        <w:t xml:space="preserve">the GSD </w:t>
      </w:r>
      <w:r w:rsidR="00FB209C" w:rsidRPr="009E35ED">
        <w:rPr>
          <w:rFonts w:ascii="Arial" w:hAnsi="Arial" w:cs="Arial"/>
          <w:color w:val="000000" w:themeColor="text1"/>
          <w:sz w:val="22"/>
          <w:szCs w:val="22"/>
        </w:rPr>
        <w:t xml:space="preserve">sent a request to PCSO Bids and Awards Committee </w:t>
      </w:r>
      <w:r w:rsidR="00734B81" w:rsidRPr="009E35ED">
        <w:rPr>
          <w:rFonts w:ascii="Arial" w:hAnsi="Arial" w:cs="Arial"/>
          <w:color w:val="000000" w:themeColor="text1"/>
          <w:sz w:val="22"/>
          <w:szCs w:val="22"/>
        </w:rPr>
        <w:t xml:space="preserve">for the Negotiated Procurement for the Lease of Office Space </w:t>
      </w:r>
      <w:r w:rsidR="002727CA" w:rsidRPr="009E35ED">
        <w:rPr>
          <w:rFonts w:ascii="Arial" w:hAnsi="Arial" w:cs="Arial"/>
          <w:color w:val="000000" w:themeColor="text1"/>
          <w:sz w:val="22"/>
          <w:szCs w:val="22"/>
        </w:rPr>
        <w:t>for PCSO Main Office for three years</w:t>
      </w:r>
      <w:r w:rsidR="000E5809" w:rsidRPr="009E35ED">
        <w:rPr>
          <w:rFonts w:ascii="Arial" w:hAnsi="Arial" w:cs="Arial"/>
          <w:color w:val="000000" w:themeColor="text1"/>
          <w:sz w:val="22"/>
          <w:szCs w:val="22"/>
        </w:rPr>
        <w:t xml:space="preserve"> since the existi</w:t>
      </w:r>
      <w:r w:rsidR="000A07C8" w:rsidRPr="009E35ED">
        <w:rPr>
          <w:rFonts w:ascii="Arial" w:hAnsi="Arial" w:cs="Arial"/>
          <w:color w:val="000000" w:themeColor="text1"/>
          <w:sz w:val="22"/>
          <w:szCs w:val="22"/>
        </w:rPr>
        <w:t>n</w:t>
      </w:r>
      <w:r w:rsidR="000E5809" w:rsidRPr="009E35ED">
        <w:rPr>
          <w:rFonts w:ascii="Arial" w:hAnsi="Arial" w:cs="Arial"/>
          <w:color w:val="000000" w:themeColor="text1"/>
          <w:sz w:val="22"/>
          <w:szCs w:val="22"/>
        </w:rPr>
        <w:t xml:space="preserve">g lease agreements will expire </w:t>
      </w:r>
      <w:r w:rsidR="00D01A6F" w:rsidRPr="009E35ED">
        <w:rPr>
          <w:rFonts w:ascii="Arial" w:hAnsi="Arial" w:cs="Arial"/>
          <w:color w:val="000000" w:themeColor="text1"/>
          <w:sz w:val="22"/>
          <w:szCs w:val="22"/>
        </w:rPr>
        <w:t>on December</w:t>
      </w:r>
      <w:r w:rsidR="00344372">
        <w:rPr>
          <w:rFonts w:ascii="Arial" w:hAnsi="Arial" w:cs="Arial"/>
          <w:color w:val="000000" w:themeColor="text1"/>
          <w:sz w:val="22"/>
          <w:szCs w:val="22"/>
        </w:rPr>
        <w:t xml:space="preserve"> 31,</w:t>
      </w:r>
      <w:r w:rsidR="000E5809" w:rsidRPr="009E35ED">
        <w:rPr>
          <w:rFonts w:ascii="Arial" w:hAnsi="Arial" w:cs="Arial"/>
          <w:color w:val="000000" w:themeColor="text1"/>
          <w:sz w:val="22"/>
          <w:szCs w:val="22"/>
        </w:rPr>
        <w:t xml:space="preserve"> 2023.</w:t>
      </w:r>
    </w:p>
    <w:p w14:paraId="39BE44AE" w14:textId="77777777" w:rsidR="000A07C8" w:rsidRPr="009E35ED" w:rsidRDefault="000A07C8" w:rsidP="0027176C">
      <w:pPr>
        <w:ind w:left="0"/>
        <w:rPr>
          <w:rFonts w:ascii="Arial" w:hAnsi="Arial" w:cs="Arial"/>
          <w:color w:val="000000" w:themeColor="text1"/>
          <w:sz w:val="22"/>
          <w:szCs w:val="22"/>
        </w:rPr>
      </w:pPr>
    </w:p>
    <w:p w14:paraId="4754BFC9" w14:textId="11D91DD3" w:rsidR="000A07C8" w:rsidRPr="009E35ED" w:rsidRDefault="000A07C8" w:rsidP="00B90388">
      <w:pPr>
        <w:keepNext/>
        <w:keepLines/>
        <w:ind w:left="0"/>
        <w:rPr>
          <w:rFonts w:ascii="Arial" w:hAnsi="Arial" w:cs="Arial"/>
          <w:color w:val="000000" w:themeColor="text1"/>
          <w:sz w:val="22"/>
          <w:szCs w:val="22"/>
        </w:rPr>
      </w:pPr>
      <w:r w:rsidRPr="009E35ED">
        <w:rPr>
          <w:rFonts w:ascii="Arial" w:hAnsi="Arial" w:cs="Arial"/>
          <w:color w:val="000000" w:themeColor="text1"/>
          <w:sz w:val="22"/>
          <w:szCs w:val="22"/>
        </w:rPr>
        <w:t>BAC adop</w:t>
      </w:r>
      <w:r w:rsidR="00277D74" w:rsidRPr="009E35ED">
        <w:rPr>
          <w:rFonts w:ascii="Arial" w:hAnsi="Arial" w:cs="Arial"/>
          <w:color w:val="000000" w:themeColor="text1"/>
          <w:sz w:val="22"/>
          <w:szCs w:val="22"/>
        </w:rPr>
        <w:t>ted the recommendation of the T</w:t>
      </w:r>
      <w:r w:rsidR="00B66598">
        <w:rPr>
          <w:rFonts w:ascii="Arial" w:hAnsi="Arial" w:cs="Arial"/>
          <w:color w:val="000000" w:themeColor="text1"/>
          <w:sz w:val="22"/>
          <w:szCs w:val="22"/>
        </w:rPr>
        <w:t xml:space="preserve">echnical </w:t>
      </w:r>
      <w:r w:rsidR="00277D74" w:rsidRPr="009E35ED">
        <w:rPr>
          <w:rFonts w:ascii="Arial" w:hAnsi="Arial" w:cs="Arial"/>
          <w:color w:val="000000" w:themeColor="text1"/>
          <w:sz w:val="22"/>
          <w:szCs w:val="22"/>
        </w:rPr>
        <w:t>W</w:t>
      </w:r>
      <w:r w:rsidR="00B66598">
        <w:rPr>
          <w:rFonts w:ascii="Arial" w:hAnsi="Arial" w:cs="Arial"/>
          <w:color w:val="000000" w:themeColor="text1"/>
          <w:sz w:val="22"/>
          <w:szCs w:val="22"/>
        </w:rPr>
        <w:t xml:space="preserve">orking </w:t>
      </w:r>
      <w:r w:rsidR="00277D74" w:rsidRPr="009E35ED">
        <w:rPr>
          <w:rFonts w:ascii="Arial" w:hAnsi="Arial" w:cs="Arial"/>
          <w:color w:val="000000" w:themeColor="text1"/>
          <w:sz w:val="22"/>
          <w:szCs w:val="22"/>
        </w:rPr>
        <w:t>G</w:t>
      </w:r>
      <w:r w:rsidR="00B66598">
        <w:rPr>
          <w:rFonts w:ascii="Arial" w:hAnsi="Arial" w:cs="Arial"/>
          <w:color w:val="000000" w:themeColor="text1"/>
          <w:sz w:val="22"/>
          <w:szCs w:val="22"/>
        </w:rPr>
        <w:t>roup</w:t>
      </w:r>
      <w:r w:rsidR="00277D74" w:rsidRPr="009E35ED">
        <w:rPr>
          <w:rFonts w:ascii="Arial" w:hAnsi="Arial" w:cs="Arial"/>
          <w:color w:val="000000" w:themeColor="text1"/>
          <w:sz w:val="22"/>
          <w:szCs w:val="22"/>
        </w:rPr>
        <w:t xml:space="preserve"> in its Resolution</w:t>
      </w:r>
      <w:r w:rsidR="002F0469" w:rsidRPr="009E35ED">
        <w:rPr>
          <w:rFonts w:ascii="Arial" w:hAnsi="Arial" w:cs="Arial"/>
          <w:color w:val="000000" w:themeColor="text1"/>
          <w:sz w:val="22"/>
          <w:szCs w:val="22"/>
        </w:rPr>
        <w:t xml:space="preserve"> No. 806, </w:t>
      </w:r>
      <w:r w:rsidR="00B66598">
        <w:rPr>
          <w:rFonts w:ascii="Arial" w:hAnsi="Arial" w:cs="Arial"/>
          <w:color w:val="000000" w:themeColor="text1"/>
          <w:sz w:val="22"/>
          <w:szCs w:val="22"/>
        </w:rPr>
        <w:t>s</w:t>
      </w:r>
      <w:r w:rsidR="002F0469" w:rsidRPr="009E35ED">
        <w:rPr>
          <w:rFonts w:ascii="Arial" w:hAnsi="Arial" w:cs="Arial"/>
          <w:color w:val="000000" w:themeColor="text1"/>
          <w:sz w:val="22"/>
          <w:szCs w:val="22"/>
        </w:rPr>
        <w:t>eries of 2023</w:t>
      </w:r>
      <w:r w:rsidR="009A242A" w:rsidRPr="009E35ED">
        <w:rPr>
          <w:rFonts w:ascii="Arial" w:hAnsi="Arial" w:cs="Arial"/>
          <w:color w:val="000000" w:themeColor="text1"/>
          <w:sz w:val="22"/>
          <w:szCs w:val="22"/>
        </w:rPr>
        <w:t xml:space="preserve">, and recommended to the Board of Directors the award of the </w:t>
      </w:r>
      <w:r w:rsidR="004B1650" w:rsidRPr="009E35ED">
        <w:rPr>
          <w:rFonts w:ascii="Arial" w:hAnsi="Arial" w:cs="Arial"/>
          <w:color w:val="000000" w:themeColor="text1"/>
          <w:sz w:val="22"/>
          <w:szCs w:val="22"/>
        </w:rPr>
        <w:t xml:space="preserve">Contract for the Negotiated </w:t>
      </w:r>
      <w:r w:rsidR="00FF712B" w:rsidRPr="009E35ED">
        <w:rPr>
          <w:rFonts w:ascii="Arial" w:hAnsi="Arial" w:cs="Arial"/>
          <w:color w:val="000000" w:themeColor="text1"/>
          <w:sz w:val="22"/>
          <w:szCs w:val="22"/>
        </w:rPr>
        <w:t>P</w:t>
      </w:r>
      <w:r w:rsidR="004B1650" w:rsidRPr="009E35ED">
        <w:rPr>
          <w:rFonts w:ascii="Arial" w:hAnsi="Arial" w:cs="Arial"/>
          <w:color w:val="000000" w:themeColor="text1"/>
          <w:sz w:val="22"/>
          <w:szCs w:val="22"/>
        </w:rPr>
        <w:t>rocurement</w:t>
      </w:r>
      <w:r w:rsidR="002909AA" w:rsidRPr="009E35ED">
        <w:rPr>
          <w:rFonts w:ascii="Arial" w:hAnsi="Arial" w:cs="Arial"/>
          <w:color w:val="000000" w:themeColor="text1"/>
          <w:sz w:val="22"/>
          <w:szCs w:val="22"/>
        </w:rPr>
        <w:t xml:space="preserve"> of Lease </w:t>
      </w:r>
      <w:r w:rsidR="00FD3A15" w:rsidRPr="009E35ED">
        <w:rPr>
          <w:rFonts w:ascii="Arial" w:hAnsi="Arial" w:cs="Arial"/>
          <w:color w:val="000000" w:themeColor="text1"/>
          <w:sz w:val="22"/>
          <w:szCs w:val="22"/>
        </w:rPr>
        <w:t>of Office Space for PCSO Main Office</w:t>
      </w:r>
      <w:r w:rsidR="00BE7110" w:rsidRPr="009E35ED">
        <w:rPr>
          <w:rFonts w:ascii="Arial" w:hAnsi="Arial" w:cs="Arial"/>
          <w:color w:val="000000" w:themeColor="text1"/>
          <w:sz w:val="22"/>
          <w:szCs w:val="22"/>
        </w:rPr>
        <w:t xml:space="preserve"> for three (3) years through Alternative Procurement </w:t>
      </w:r>
      <w:r w:rsidR="00481E7A" w:rsidRPr="009E35ED">
        <w:rPr>
          <w:rFonts w:ascii="Arial" w:hAnsi="Arial" w:cs="Arial"/>
          <w:color w:val="000000" w:themeColor="text1"/>
          <w:sz w:val="22"/>
          <w:szCs w:val="22"/>
        </w:rPr>
        <w:t>M</w:t>
      </w:r>
      <w:r w:rsidR="00BE7110" w:rsidRPr="009E35ED">
        <w:rPr>
          <w:rFonts w:ascii="Arial" w:hAnsi="Arial" w:cs="Arial"/>
          <w:color w:val="000000" w:themeColor="text1"/>
          <w:sz w:val="22"/>
          <w:szCs w:val="22"/>
        </w:rPr>
        <w:t>ethod</w:t>
      </w:r>
      <w:r w:rsidR="00FD3A15" w:rsidRPr="009E35ED">
        <w:rPr>
          <w:rFonts w:ascii="Arial" w:hAnsi="Arial" w:cs="Arial"/>
          <w:color w:val="000000" w:themeColor="text1"/>
          <w:sz w:val="22"/>
          <w:szCs w:val="22"/>
        </w:rPr>
        <w:t xml:space="preserve"> </w:t>
      </w:r>
      <w:r w:rsidR="00481E7A" w:rsidRPr="009E35ED">
        <w:rPr>
          <w:rFonts w:ascii="Arial" w:hAnsi="Arial" w:cs="Arial"/>
          <w:color w:val="000000" w:themeColor="text1"/>
          <w:sz w:val="22"/>
          <w:szCs w:val="22"/>
        </w:rPr>
        <w:t>of Procurement</w:t>
      </w:r>
      <w:r w:rsidR="00BA6259" w:rsidRPr="009E35ED">
        <w:rPr>
          <w:rFonts w:ascii="Arial" w:hAnsi="Arial" w:cs="Arial"/>
          <w:color w:val="000000" w:themeColor="text1"/>
          <w:sz w:val="22"/>
          <w:szCs w:val="22"/>
        </w:rPr>
        <w:t>-Negotiated Procurement</w:t>
      </w:r>
      <w:r w:rsidR="00BD7DF3" w:rsidRPr="009E35ED">
        <w:rPr>
          <w:rFonts w:ascii="Arial" w:hAnsi="Arial" w:cs="Arial"/>
          <w:color w:val="000000" w:themeColor="text1"/>
          <w:sz w:val="22"/>
          <w:szCs w:val="22"/>
        </w:rPr>
        <w:t xml:space="preserve"> in the amount of </w:t>
      </w:r>
      <w:r w:rsidR="00F10767">
        <w:rPr>
          <w:rFonts w:ascii="Arial" w:hAnsi="Arial" w:cs="Arial"/>
          <w:color w:val="000000" w:themeColor="text1"/>
          <w:sz w:val="22"/>
          <w:szCs w:val="22"/>
        </w:rPr>
        <w:t>P</w:t>
      </w:r>
      <w:r w:rsidR="00BD7DF3" w:rsidRPr="009E35ED">
        <w:rPr>
          <w:rFonts w:ascii="Arial" w:hAnsi="Arial" w:cs="Arial"/>
          <w:color w:val="000000" w:themeColor="text1"/>
          <w:sz w:val="22"/>
          <w:szCs w:val="22"/>
        </w:rPr>
        <w:t>539,203,277.72</w:t>
      </w:r>
      <w:r w:rsidR="00DD7096" w:rsidRPr="009E35ED">
        <w:rPr>
          <w:rFonts w:ascii="Arial" w:hAnsi="Arial" w:cs="Arial"/>
          <w:color w:val="000000" w:themeColor="text1"/>
          <w:sz w:val="22"/>
          <w:szCs w:val="22"/>
        </w:rPr>
        <w:t>, inclusive of VAT</w:t>
      </w:r>
      <w:r w:rsidR="00B978BE" w:rsidRPr="009E35ED">
        <w:rPr>
          <w:rFonts w:ascii="Arial" w:hAnsi="Arial" w:cs="Arial"/>
          <w:color w:val="000000" w:themeColor="text1"/>
          <w:sz w:val="22"/>
          <w:szCs w:val="22"/>
        </w:rPr>
        <w:t xml:space="preserve"> and Association Dues</w:t>
      </w:r>
      <w:r w:rsidR="000E7DE2" w:rsidRPr="009E35ED">
        <w:rPr>
          <w:rFonts w:ascii="Arial" w:hAnsi="Arial" w:cs="Arial"/>
          <w:color w:val="000000" w:themeColor="text1"/>
          <w:sz w:val="22"/>
          <w:szCs w:val="22"/>
        </w:rPr>
        <w:t>,</w:t>
      </w:r>
      <w:r w:rsidR="00B978BE" w:rsidRPr="009E35ED">
        <w:rPr>
          <w:rFonts w:ascii="Arial" w:hAnsi="Arial" w:cs="Arial"/>
          <w:color w:val="000000" w:themeColor="text1"/>
          <w:sz w:val="22"/>
          <w:szCs w:val="22"/>
        </w:rPr>
        <w:t xml:space="preserve"> </w:t>
      </w:r>
      <w:r w:rsidR="000E7DE2" w:rsidRPr="009E35ED">
        <w:rPr>
          <w:rFonts w:ascii="Arial" w:hAnsi="Arial" w:cs="Arial"/>
          <w:color w:val="000000" w:themeColor="text1"/>
          <w:sz w:val="22"/>
          <w:szCs w:val="22"/>
        </w:rPr>
        <w:t xml:space="preserve">and with an Escalation Rate of </w:t>
      </w:r>
      <w:r w:rsidR="003567EC" w:rsidRPr="009E35ED">
        <w:rPr>
          <w:rFonts w:ascii="Arial" w:hAnsi="Arial" w:cs="Arial"/>
          <w:color w:val="000000" w:themeColor="text1"/>
          <w:sz w:val="22"/>
          <w:szCs w:val="22"/>
        </w:rPr>
        <w:t xml:space="preserve">five percent (5%) per annum </w:t>
      </w:r>
      <w:r w:rsidR="007714EE" w:rsidRPr="009E35ED">
        <w:rPr>
          <w:rFonts w:ascii="Arial" w:hAnsi="Arial" w:cs="Arial"/>
          <w:color w:val="000000" w:themeColor="text1"/>
          <w:sz w:val="22"/>
          <w:szCs w:val="22"/>
        </w:rPr>
        <w:t>to JV Sun Plaza</w:t>
      </w:r>
      <w:r w:rsidR="00F92B5B" w:rsidRPr="009E35ED">
        <w:rPr>
          <w:rFonts w:ascii="Arial" w:hAnsi="Arial" w:cs="Arial"/>
          <w:color w:val="000000" w:themeColor="text1"/>
          <w:sz w:val="22"/>
          <w:szCs w:val="22"/>
        </w:rPr>
        <w:t xml:space="preserve"> </w:t>
      </w:r>
      <w:r w:rsidR="007714EE" w:rsidRPr="009E35ED">
        <w:rPr>
          <w:rFonts w:ascii="Arial" w:hAnsi="Arial" w:cs="Arial"/>
          <w:color w:val="000000" w:themeColor="text1"/>
          <w:sz w:val="22"/>
          <w:szCs w:val="22"/>
        </w:rPr>
        <w:t>for being legally</w:t>
      </w:r>
      <w:r w:rsidR="004225C7" w:rsidRPr="009E35ED">
        <w:rPr>
          <w:rFonts w:ascii="Arial" w:hAnsi="Arial" w:cs="Arial"/>
          <w:color w:val="000000" w:themeColor="text1"/>
          <w:sz w:val="22"/>
          <w:szCs w:val="22"/>
        </w:rPr>
        <w:t>, technically and financially capable</w:t>
      </w:r>
      <w:r w:rsidR="00056834" w:rsidRPr="009E35ED">
        <w:rPr>
          <w:rFonts w:ascii="Arial" w:hAnsi="Arial" w:cs="Arial"/>
          <w:color w:val="000000" w:themeColor="text1"/>
          <w:sz w:val="22"/>
          <w:szCs w:val="22"/>
        </w:rPr>
        <w:t xml:space="preserve">, its compliance with the Technical Specification of the </w:t>
      </w:r>
      <w:r w:rsidR="00F92B5B" w:rsidRPr="009E35ED">
        <w:rPr>
          <w:rFonts w:ascii="Arial" w:hAnsi="Arial" w:cs="Arial"/>
          <w:color w:val="000000" w:themeColor="text1"/>
          <w:sz w:val="22"/>
          <w:szCs w:val="22"/>
        </w:rPr>
        <w:t>p</w:t>
      </w:r>
      <w:r w:rsidR="00056834" w:rsidRPr="009E35ED">
        <w:rPr>
          <w:rFonts w:ascii="Arial" w:hAnsi="Arial" w:cs="Arial"/>
          <w:color w:val="000000" w:themeColor="text1"/>
          <w:sz w:val="22"/>
          <w:szCs w:val="22"/>
        </w:rPr>
        <w:t>roject</w:t>
      </w:r>
      <w:r w:rsidR="007A7E9C" w:rsidRPr="009E35ED">
        <w:rPr>
          <w:rFonts w:ascii="Arial" w:hAnsi="Arial" w:cs="Arial"/>
          <w:color w:val="000000" w:themeColor="text1"/>
          <w:sz w:val="22"/>
          <w:szCs w:val="22"/>
        </w:rPr>
        <w:t>, and reasonableness of its price offer</w:t>
      </w:r>
      <w:r w:rsidR="00B012DB" w:rsidRPr="009E35ED">
        <w:rPr>
          <w:rFonts w:ascii="Arial" w:hAnsi="Arial" w:cs="Arial"/>
          <w:color w:val="000000" w:themeColor="text1"/>
          <w:sz w:val="22"/>
          <w:szCs w:val="22"/>
        </w:rPr>
        <w:t xml:space="preserve">, in which </w:t>
      </w:r>
      <w:r w:rsidR="003A34F9" w:rsidRPr="009E35ED">
        <w:rPr>
          <w:rFonts w:ascii="Arial" w:hAnsi="Arial" w:cs="Arial"/>
          <w:color w:val="000000" w:themeColor="text1"/>
          <w:sz w:val="22"/>
          <w:szCs w:val="22"/>
        </w:rPr>
        <w:t xml:space="preserve">PCSO Board of Directors approved the same in its Resolution No. </w:t>
      </w:r>
      <w:r w:rsidR="00811EB9" w:rsidRPr="009E35ED">
        <w:rPr>
          <w:rFonts w:ascii="Arial" w:hAnsi="Arial" w:cs="Arial"/>
          <w:color w:val="000000" w:themeColor="text1"/>
          <w:sz w:val="22"/>
          <w:szCs w:val="22"/>
        </w:rPr>
        <w:t xml:space="preserve">328, </w:t>
      </w:r>
      <w:r w:rsidR="00B66598">
        <w:rPr>
          <w:rFonts w:ascii="Arial" w:hAnsi="Arial" w:cs="Arial"/>
          <w:color w:val="000000" w:themeColor="text1"/>
          <w:sz w:val="22"/>
          <w:szCs w:val="22"/>
        </w:rPr>
        <w:t>s</w:t>
      </w:r>
      <w:r w:rsidR="00811EB9" w:rsidRPr="009E35ED">
        <w:rPr>
          <w:rFonts w:ascii="Arial" w:hAnsi="Arial" w:cs="Arial"/>
          <w:color w:val="000000" w:themeColor="text1"/>
          <w:sz w:val="22"/>
          <w:szCs w:val="22"/>
        </w:rPr>
        <w:t>eries of 2023.</w:t>
      </w:r>
      <w:r w:rsidR="00FD3A15" w:rsidRPr="009E35ED">
        <w:rPr>
          <w:rFonts w:ascii="Arial" w:hAnsi="Arial" w:cs="Arial"/>
          <w:color w:val="000000" w:themeColor="text1"/>
          <w:sz w:val="22"/>
          <w:szCs w:val="22"/>
        </w:rPr>
        <w:t xml:space="preserve"> </w:t>
      </w:r>
      <w:r w:rsidR="004B1650" w:rsidRPr="009E35ED">
        <w:rPr>
          <w:rFonts w:ascii="Arial" w:hAnsi="Arial" w:cs="Arial"/>
          <w:color w:val="000000" w:themeColor="text1"/>
          <w:sz w:val="22"/>
          <w:szCs w:val="22"/>
        </w:rPr>
        <w:t xml:space="preserve"> </w:t>
      </w:r>
      <w:r w:rsidR="00277D74" w:rsidRPr="009E35ED">
        <w:rPr>
          <w:rFonts w:ascii="Arial" w:hAnsi="Arial" w:cs="Arial"/>
          <w:color w:val="000000" w:themeColor="text1"/>
          <w:sz w:val="22"/>
          <w:szCs w:val="22"/>
        </w:rPr>
        <w:t xml:space="preserve"> </w:t>
      </w:r>
    </w:p>
    <w:p w14:paraId="3B2983E3" w14:textId="77777777" w:rsidR="00E731A2" w:rsidRPr="009E35ED" w:rsidRDefault="00E731A2" w:rsidP="0027176C">
      <w:pPr>
        <w:ind w:left="0"/>
        <w:rPr>
          <w:rFonts w:ascii="Arial" w:hAnsi="Arial" w:cs="Arial"/>
          <w:color w:val="000000" w:themeColor="text1"/>
          <w:sz w:val="22"/>
          <w:szCs w:val="22"/>
        </w:rPr>
      </w:pPr>
    </w:p>
    <w:p w14:paraId="43290820" w14:textId="02DBA8C3" w:rsidR="00E731A2" w:rsidRPr="009E35ED" w:rsidRDefault="00912C95" w:rsidP="0027176C">
      <w:pPr>
        <w:ind w:left="0"/>
        <w:rPr>
          <w:rFonts w:ascii="Arial" w:hAnsi="Arial" w:cs="Arial"/>
          <w:color w:val="000000" w:themeColor="text1"/>
          <w:sz w:val="22"/>
          <w:szCs w:val="22"/>
        </w:rPr>
      </w:pPr>
      <w:r w:rsidRPr="009E35ED">
        <w:rPr>
          <w:rFonts w:ascii="Arial" w:hAnsi="Arial" w:cs="Arial"/>
          <w:color w:val="000000" w:themeColor="text1"/>
          <w:sz w:val="22"/>
          <w:szCs w:val="22"/>
        </w:rPr>
        <w:t xml:space="preserve">The Lease contract covers </w:t>
      </w:r>
      <w:r w:rsidR="006F328D" w:rsidRPr="009E35ED">
        <w:rPr>
          <w:rFonts w:ascii="Arial" w:hAnsi="Arial" w:cs="Arial"/>
          <w:color w:val="000000" w:themeColor="text1"/>
          <w:sz w:val="22"/>
          <w:szCs w:val="22"/>
        </w:rPr>
        <w:t>a total leasable space of 10,6</w:t>
      </w:r>
      <w:r w:rsidR="00D01A6F">
        <w:rPr>
          <w:rFonts w:ascii="Arial" w:hAnsi="Arial" w:cs="Arial"/>
          <w:color w:val="000000" w:themeColor="text1"/>
          <w:sz w:val="22"/>
          <w:szCs w:val="22"/>
        </w:rPr>
        <w:t>79.99</w:t>
      </w:r>
      <w:r w:rsidR="006F328D" w:rsidRPr="009E35ED">
        <w:rPr>
          <w:rFonts w:ascii="Arial" w:hAnsi="Arial" w:cs="Arial"/>
          <w:color w:val="000000" w:themeColor="text1"/>
          <w:sz w:val="22"/>
          <w:szCs w:val="22"/>
        </w:rPr>
        <w:t xml:space="preserve"> square</w:t>
      </w:r>
      <w:r w:rsidR="00F707A5" w:rsidRPr="009E35ED">
        <w:rPr>
          <w:rFonts w:ascii="Arial" w:hAnsi="Arial" w:cs="Arial"/>
          <w:color w:val="000000" w:themeColor="text1"/>
          <w:sz w:val="22"/>
          <w:szCs w:val="22"/>
        </w:rPr>
        <w:t xml:space="preserve"> meters of office </w:t>
      </w:r>
      <w:r w:rsidR="00F10767" w:rsidRPr="009E35ED">
        <w:rPr>
          <w:rFonts w:ascii="Arial" w:hAnsi="Arial" w:cs="Arial"/>
          <w:color w:val="000000" w:themeColor="text1"/>
          <w:sz w:val="22"/>
          <w:szCs w:val="22"/>
        </w:rPr>
        <w:t>space on</w:t>
      </w:r>
      <w:r w:rsidR="00A1031C" w:rsidRPr="009E35ED">
        <w:rPr>
          <w:rFonts w:ascii="Arial" w:hAnsi="Arial" w:cs="Arial"/>
          <w:color w:val="000000" w:themeColor="text1"/>
          <w:sz w:val="22"/>
          <w:szCs w:val="22"/>
        </w:rPr>
        <w:t xml:space="preserve"> a</w:t>
      </w:r>
      <w:r w:rsidR="00376709" w:rsidRPr="009E35ED">
        <w:rPr>
          <w:rFonts w:ascii="Arial" w:hAnsi="Arial" w:cs="Arial"/>
          <w:color w:val="000000" w:themeColor="text1"/>
          <w:sz w:val="22"/>
          <w:szCs w:val="22"/>
        </w:rPr>
        <w:t xml:space="preserve"> three (3) year lease ter</w:t>
      </w:r>
      <w:r w:rsidR="00E312BF" w:rsidRPr="009E35ED">
        <w:rPr>
          <w:rFonts w:ascii="Arial" w:hAnsi="Arial" w:cs="Arial"/>
          <w:color w:val="000000" w:themeColor="text1"/>
          <w:sz w:val="22"/>
          <w:szCs w:val="22"/>
        </w:rPr>
        <w:t>m</w:t>
      </w:r>
      <w:r w:rsidR="004A0BC9" w:rsidRPr="009E35ED">
        <w:rPr>
          <w:rFonts w:ascii="Arial" w:hAnsi="Arial" w:cs="Arial"/>
          <w:color w:val="000000" w:themeColor="text1"/>
          <w:sz w:val="22"/>
          <w:szCs w:val="22"/>
        </w:rPr>
        <w:t xml:space="preserve"> that will </w:t>
      </w:r>
      <w:r w:rsidR="00A1031C" w:rsidRPr="009E35ED">
        <w:rPr>
          <w:rFonts w:ascii="Arial" w:hAnsi="Arial" w:cs="Arial"/>
          <w:color w:val="000000" w:themeColor="text1"/>
          <w:sz w:val="22"/>
          <w:szCs w:val="22"/>
        </w:rPr>
        <w:t xml:space="preserve">commence on </w:t>
      </w:r>
      <w:r w:rsidR="00E81DED" w:rsidRPr="009E35ED">
        <w:rPr>
          <w:rFonts w:ascii="Arial" w:hAnsi="Arial" w:cs="Arial"/>
          <w:color w:val="000000" w:themeColor="text1"/>
          <w:sz w:val="22"/>
          <w:szCs w:val="22"/>
        </w:rPr>
        <w:t>January</w:t>
      </w:r>
      <w:r w:rsidR="00344372">
        <w:rPr>
          <w:rFonts w:ascii="Arial" w:hAnsi="Arial" w:cs="Arial"/>
          <w:color w:val="000000" w:themeColor="text1"/>
          <w:sz w:val="22"/>
          <w:szCs w:val="22"/>
        </w:rPr>
        <w:t xml:space="preserve"> 01,</w:t>
      </w:r>
      <w:r w:rsidR="00E81DED" w:rsidRPr="009E35ED">
        <w:rPr>
          <w:rFonts w:ascii="Arial" w:hAnsi="Arial" w:cs="Arial"/>
          <w:color w:val="000000" w:themeColor="text1"/>
          <w:sz w:val="22"/>
          <w:szCs w:val="22"/>
        </w:rPr>
        <w:t xml:space="preserve"> 2024 </w:t>
      </w:r>
      <w:r w:rsidR="00D01A6F" w:rsidRPr="009E35ED">
        <w:rPr>
          <w:rFonts w:ascii="Arial" w:hAnsi="Arial" w:cs="Arial"/>
          <w:color w:val="000000" w:themeColor="text1"/>
          <w:sz w:val="22"/>
          <w:szCs w:val="22"/>
        </w:rPr>
        <w:t>to December</w:t>
      </w:r>
      <w:r w:rsidR="00344372">
        <w:rPr>
          <w:rFonts w:ascii="Arial" w:hAnsi="Arial" w:cs="Arial"/>
          <w:color w:val="000000" w:themeColor="text1"/>
          <w:sz w:val="22"/>
          <w:szCs w:val="22"/>
        </w:rPr>
        <w:t xml:space="preserve"> 31,</w:t>
      </w:r>
      <w:r w:rsidR="00E81DED" w:rsidRPr="009E35ED">
        <w:rPr>
          <w:rFonts w:ascii="Arial" w:hAnsi="Arial" w:cs="Arial"/>
          <w:color w:val="000000" w:themeColor="text1"/>
          <w:sz w:val="22"/>
          <w:szCs w:val="22"/>
        </w:rPr>
        <w:t xml:space="preserve"> 2026</w:t>
      </w:r>
      <w:r w:rsidR="004A0BC9" w:rsidRPr="009E35ED">
        <w:rPr>
          <w:rFonts w:ascii="Arial" w:hAnsi="Arial" w:cs="Arial"/>
          <w:color w:val="000000" w:themeColor="text1"/>
          <w:sz w:val="22"/>
          <w:szCs w:val="22"/>
        </w:rPr>
        <w:t xml:space="preserve"> </w:t>
      </w:r>
      <w:r w:rsidR="00F10767" w:rsidRPr="009E35ED">
        <w:rPr>
          <w:rFonts w:ascii="Arial" w:hAnsi="Arial" w:cs="Arial"/>
          <w:color w:val="000000" w:themeColor="text1"/>
          <w:sz w:val="22"/>
          <w:szCs w:val="22"/>
        </w:rPr>
        <w:t>on:</w:t>
      </w:r>
    </w:p>
    <w:p w14:paraId="31C11154" w14:textId="77777777" w:rsidR="009B0E0E" w:rsidRPr="009E35ED" w:rsidRDefault="009B0E0E" w:rsidP="0027176C">
      <w:pPr>
        <w:ind w:left="0"/>
        <w:rPr>
          <w:rFonts w:ascii="Arial" w:hAnsi="Arial" w:cs="Arial"/>
          <w:color w:val="000000" w:themeColor="text1"/>
          <w:sz w:val="22"/>
          <w:szCs w:val="22"/>
        </w:rPr>
      </w:pPr>
    </w:p>
    <w:tbl>
      <w:tblPr>
        <w:tblStyle w:val="TableGrid"/>
        <w:tblW w:w="0" w:type="auto"/>
        <w:tblInd w:w="704" w:type="dxa"/>
        <w:tblLook w:val="04A0" w:firstRow="1" w:lastRow="0" w:firstColumn="1" w:lastColumn="0" w:noHBand="0" w:noVBand="1"/>
      </w:tblPr>
      <w:tblGrid>
        <w:gridCol w:w="4820"/>
        <w:gridCol w:w="2126"/>
      </w:tblGrid>
      <w:tr w:rsidR="00997F75" w:rsidRPr="009E35ED" w14:paraId="6C967DA1" w14:textId="77777777" w:rsidTr="00975CA4">
        <w:trPr>
          <w:tblHeader/>
        </w:trPr>
        <w:tc>
          <w:tcPr>
            <w:tcW w:w="4820" w:type="dxa"/>
          </w:tcPr>
          <w:p w14:paraId="03D1C5EA" w14:textId="0E980B42" w:rsidR="009B0E0E" w:rsidRPr="009E35ED" w:rsidRDefault="009B0E0E" w:rsidP="009B0E0E">
            <w:pPr>
              <w:ind w:left="0"/>
              <w:jc w:val="center"/>
              <w:rPr>
                <w:rFonts w:ascii="Arial" w:hAnsi="Arial" w:cs="Arial"/>
                <w:b/>
                <w:bCs/>
                <w:color w:val="000000" w:themeColor="text1"/>
                <w:sz w:val="22"/>
                <w:szCs w:val="22"/>
              </w:rPr>
            </w:pPr>
            <w:r w:rsidRPr="009E35ED">
              <w:rPr>
                <w:rFonts w:ascii="Arial" w:hAnsi="Arial" w:cs="Arial"/>
                <w:b/>
                <w:bCs/>
                <w:color w:val="000000" w:themeColor="text1"/>
                <w:sz w:val="22"/>
                <w:szCs w:val="22"/>
              </w:rPr>
              <w:t>Leased Premises</w:t>
            </w:r>
          </w:p>
        </w:tc>
        <w:tc>
          <w:tcPr>
            <w:tcW w:w="2126" w:type="dxa"/>
          </w:tcPr>
          <w:p w14:paraId="21A25B55" w14:textId="244B4D00" w:rsidR="009B0E0E" w:rsidRPr="009E35ED" w:rsidRDefault="009B0E0E" w:rsidP="009B0E0E">
            <w:pPr>
              <w:ind w:left="0"/>
              <w:jc w:val="center"/>
              <w:rPr>
                <w:rFonts w:ascii="Arial" w:hAnsi="Arial" w:cs="Arial"/>
                <w:b/>
                <w:bCs/>
                <w:color w:val="000000" w:themeColor="text1"/>
                <w:sz w:val="22"/>
                <w:szCs w:val="22"/>
              </w:rPr>
            </w:pPr>
            <w:r w:rsidRPr="009E35ED">
              <w:rPr>
                <w:rFonts w:ascii="Arial" w:hAnsi="Arial" w:cs="Arial"/>
                <w:b/>
                <w:bCs/>
                <w:color w:val="000000" w:themeColor="text1"/>
                <w:sz w:val="22"/>
                <w:szCs w:val="22"/>
              </w:rPr>
              <w:t>Floor Are</w:t>
            </w:r>
            <w:r w:rsidR="00FB31B6" w:rsidRPr="009E35ED">
              <w:rPr>
                <w:rFonts w:ascii="Arial" w:hAnsi="Arial" w:cs="Arial"/>
                <w:b/>
                <w:bCs/>
                <w:color w:val="000000" w:themeColor="text1"/>
                <w:sz w:val="22"/>
                <w:szCs w:val="22"/>
              </w:rPr>
              <w:t>a</w:t>
            </w:r>
            <w:r w:rsidRPr="009E35ED">
              <w:rPr>
                <w:rFonts w:ascii="Arial" w:hAnsi="Arial" w:cs="Arial"/>
                <w:b/>
                <w:bCs/>
                <w:color w:val="000000" w:themeColor="text1"/>
                <w:sz w:val="22"/>
                <w:szCs w:val="22"/>
              </w:rPr>
              <w:t xml:space="preserve"> (sq.m.)</w:t>
            </w:r>
          </w:p>
        </w:tc>
      </w:tr>
      <w:tr w:rsidR="00997F75" w:rsidRPr="009E35ED" w14:paraId="7F4CB04F" w14:textId="77777777" w:rsidTr="00AD3D41">
        <w:tc>
          <w:tcPr>
            <w:tcW w:w="6946" w:type="dxa"/>
            <w:gridSpan w:val="2"/>
          </w:tcPr>
          <w:p w14:paraId="296769A5" w14:textId="7BC08CB7" w:rsidR="00FA0F29" w:rsidRPr="009E35ED" w:rsidRDefault="00FA0F29" w:rsidP="00FA0F29">
            <w:pPr>
              <w:ind w:left="0"/>
              <w:jc w:val="left"/>
              <w:rPr>
                <w:rFonts w:ascii="Arial" w:hAnsi="Arial" w:cs="Arial"/>
                <w:b/>
                <w:bCs/>
                <w:color w:val="000000" w:themeColor="text1"/>
                <w:sz w:val="22"/>
                <w:szCs w:val="22"/>
              </w:rPr>
            </w:pPr>
            <w:r w:rsidRPr="009E35ED">
              <w:rPr>
                <w:rFonts w:ascii="Arial" w:hAnsi="Arial" w:cs="Arial"/>
                <w:b/>
                <w:bCs/>
                <w:color w:val="000000" w:themeColor="text1"/>
                <w:sz w:val="22"/>
                <w:szCs w:val="22"/>
              </w:rPr>
              <w:t>Sun Plaza Building</w:t>
            </w:r>
          </w:p>
        </w:tc>
      </w:tr>
      <w:tr w:rsidR="00997F75" w:rsidRPr="009E35ED" w14:paraId="78C57B95" w14:textId="77777777" w:rsidTr="009B0E0E">
        <w:tc>
          <w:tcPr>
            <w:tcW w:w="4820" w:type="dxa"/>
          </w:tcPr>
          <w:p w14:paraId="645E7AB4" w14:textId="0234275B" w:rsidR="009B0E0E" w:rsidRPr="009E35ED" w:rsidRDefault="00060B0F" w:rsidP="0027176C">
            <w:pPr>
              <w:ind w:left="0"/>
              <w:rPr>
                <w:rFonts w:ascii="Arial" w:hAnsi="Arial" w:cs="Arial"/>
                <w:color w:val="000000" w:themeColor="text1"/>
                <w:sz w:val="22"/>
                <w:szCs w:val="22"/>
              </w:rPr>
            </w:pPr>
            <w:r w:rsidRPr="009E35ED">
              <w:rPr>
                <w:rFonts w:ascii="Arial" w:hAnsi="Arial" w:cs="Arial"/>
                <w:color w:val="000000" w:themeColor="text1"/>
                <w:sz w:val="22"/>
                <w:szCs w:val="22"/>
              </w:rPr>
              <w:t>1</w:t>
            </w:r>
            <w:r w:rsidRPr="009E35ED">
              <w:rPr>
                <w:rFonts w:ascii="Arial" w:hAnsi="Arial" w:cs="Arial"/>
                <w:color w:val="000000" w:themeColor="text1"/>
                <w:sz w:val="22"/>
                <w:szCs w:val="22"/>
                <w:vertAlign w:val="superscript"/>
              </w:rPr>
              <w:t>st</w:t>
            </w:r>
            <w:r w:rsidRPr="009E35ED">
              <w:rPr>
                <w:rFonts w:ascii="Arial" w:hAnsi="Arial" w:cs="Arial"/>
                <w:color w:val="000000" w:themeColor="text1"/>
                <w:sz w:val="22"/>
                <w:szCs w:val="22"/>
              </w:rPr>
              <w:t xml:space="preserve"> Floor + MEZZ</w:t>
            </w:r>
          </w:p>
        </w:tc>
        <w:tc>
          <w:tcPr>
            <w:tcW w:w="2126" w:type="dxa"/>
          </w:tcPr>
          <w:p w14:paraId="179636EA" w14:textId="21386B34" w:rsidR="009B0E0E" w:rsidRPr="009E35ED" w:rsidRDefault="00060B0F" w:rsidP="00060B0F">
            <w:pPr>
              <w:ind w:left="0"/>
              <w:jc w:val="right"/>
              <w:rPr>
                <w:rFonts w:ascii="Arial" w:hAnsi="Arial" w:cs="Arial"/>
                <w:color w:val="000000" w:themeColor="text1"/>
                <w:sz w:val="22"/>
                <w:szCs w:val="22"/>
              </w:rPr>
            </w:pPr>
            <w:r w:rsidRPr="009E35ED">
              <w:rPr>
                <w:rFonts w:ascii="Arial" w:hAnsi="Arial" w:cs="Arial"/>
                <w:color w:val="000000" w:themeColor="text1"/>
                <w:sz w:val="22"/>
                <w:szCs w:val="22"/>
              </w:rPr>
              <w:t>97.00</w:t>
            </w:r>
          </w:p>
        </w:tc>
      </w:tr>
      <w:tr w:rsidR="00997F75" w:rsidRPr="009E35ED" w14:paraId="340CDBD2" w14:textId="77777777" w:rsidTr="009B0E0E">
        <w:tc>
          <w:tcPr>
            <w:tcW w:w="4820" w:type="dxa"/>
          </w:tcPr>
          <w:p w14:paraId="4B22F565" w14:textId="0B0C2A27" w:rsidR="009B0E0E" w:rsidRPr="009E35ED" w:rsidRDefault="00060B0F" w:rsidP="0027176C">
            <w:pPr>
              <w:ind w:left="0"/>
              <w:rPr>
                <w:rFonts w:ascii="Arial" w:hAnsi="Arial" w:cs="Arial"/>
                <w:color w:val="000000" w:themeColor="text1"/>
                <w:sz w:val="22"/>
                <w:szCs w:val="22"/>
              </w:rPr>
            </w:pPr>
            <w:r w:rsidRPr="009E35ED">
              <w:rPr>
                <w:rFonts w:ascii="Arial" w:hAnsi="Arial" w:cs="Arial"/>
                <w:color w:val="000000" w:themeColor="text1"/>
                <w:sz w:val="22"/>
                <w:szCs w:val="22"/>
              </w:rPr>
              <w:t>2</w:t>
            </w:r>
            <w:r w:rsidRPr="009E35ED">
              <w:rPr>
                <w:rFonts w:ascii="Arial" w:hAnsi="Arial" w:cs="Arial"/>
                <w:color w:val="000000" w:themeColor="text1"/>
                <w:sz w:val="22"/>
                <w:szCs w:val="22"/>
                <w:vertAlign w:val="superscript"/>
              </w:rPr>
              <w:t>nd</w:t>
            </w:r>
            <w:r w:rsidRPr="009E35ED">
              <w:rPr>
                <w:rFonts w:ascii="Arial" w:hAnsi="Arial" w:cs="Arial"/>
                <w:color w:val="000000" w:themeColor="text1"/>
                <w:sz w:val="22"/>
                <w:szCs w:val="22"/>
              </w:rPr>
              <w:t xml:space="preserve"> Floor</w:t>
            </w:r>
          </w:p>
        </w:tc>
        <w:tc>
          <w:tcPr>
            <w:tcW w:w="2126" w:type="dxa"/>
          </w:tcPr>
          <w:p w14:paraId="172CFDAF" w14:textId="3FC32F4C" w:rsidR="009B0E0E" w:rsidRPr="009E35ED" w:rsidRDefault="005B3C62" w:rsidP="00060B0F">
            <w:pPr>
              <w:ind w:left="0"/>
              <w:jc w:val="right"/>
              <w:rPr>
                <w:rFonts w:ascii="Arial" w:hAnsi="Arial" w:cs="Arial"/>
                <w:color w:val="000000" w:themeColor="text1"/>
                <w:sz w:val="22"/>
                <w:szCs w:val="22"/>
              </w:rPr>
            </w:pPr>
            <w:r>
              <w:rPr>
                <w:rFonts w:ascii="Arial" w:hAnsi="Arial" w:cs="Arial"/>
                <w:color w:val="000000" w:themeColor="text1"/>
                <w:sz w:val="22"/>
                <w:szCs w:val="22"/>
              </w:rPr>
              <w:t>831.73</w:t>
            </w:r>
          </w:p>
        </w:tc>
      </w:tr>
      <w:tr w:rsidR="00997F75" w:rsidRPr="009E35ED" w14:paraId="6852B19D" w14:textId="77777777" w:rsidTr="009B0E0E">
        <w:tc>
          <w:tcPr>
            <w:tcW w:w="4820" w:type="dxa"/>
          </w:tcPr>
          <w:p w14:paraId="6C59D86F" w14:textId="216772A5" w:rsidR="009B0E0E" w:rsidRPr="009E35ED" w:rsidRDefault="00FA0F29" w:rsidP="0027176C">
            <w:pPr>
              <w:ind w:left="0"/>
              <w:rPr>
                <w:rFonts w:ascii="Arial" w:hAnsi="Arial" w:cs="Arial"/>
                <w:color w:val="000000" w:themeColor="text1"/>
                <w:sz w:val="22"/>
                <w:szCs w:val="22"/>
              </w:rPr>
            </w:pPr>
            <w:r w:rsidRPr="009E35ED">
              <w:rPr>
                <w:rFonts w:ascii="Arial" w:hAnsi="Arial" w:cs="Arial"/>
                <w:color w:val="000000" w:themeColor="text1"/>
                <w:sz w:val="22"/>
                <w:szCs w:val="22"/>
              </w:rPr>
              <w:t>3</w:t>
            </w:r>
            <w:r w:rsidRPr="009E35ED">
              <w:rPr>
                <w:rFonts w:ascii="Arial" w:hAnsi="Arial" w:cs="Arial"/>
                <w:color w:val="000000" w:themeColor="text1"/>
                <w:sz w:val="22"/>
                <w:szCs w:val="22"/>
                <w:vertAlign w:val="superscript"/>
              </w:rPr>
              <w:t>rd</w:t>
            </w:r>
            <w:r w:rsidRPr="009E35ED">
              <w:rPr>
                <w:rFonts w:ascii="Arial" w:hAnsi="Arial" w:cs="Arial"/>
                <w:color w:val="000000" w:themeColor="text1"/>
                <w:sz w:val="22"/>
                <w:szCs w:val="22"/>
              </w:rPr>
              <w:t xml:space="preserve"> Floor</w:t>
            </w:r>
          </w:p>
        </w:tc>
        <w:tc>
          <w:tcPr>
            <w:tcW w:w="2126" w:type="dxa"/>
          </w:tcPr>
          <w:p w14:paraId="4DD10FA9" w14:textId="081663B2" w:rsidR="0001130F" w:rsidRPr="009E35ED" w:rsidRDefault="0001130F" w:rsidP="0001130F">
            <w:pPr>
              <w:ind w:left="0"/>
              <w:jc w:val="right"/>
              <w:rPr>
                <w:rFonts w:ascii="Arial" w:hAnsi="Arial" w:cs="Arial"/>
                <w:color w:val="000000" w:themeColor="text1"/>
                <w:sz w:val="22"/>
                <w:szCs w:val="22"/>
              </w:rPr>
            </w:pPr>
            <w:r w:rsidRPr="009E35ED">
              <w:rPr>
                <w:rFonts w:ascii="Arial" w:hAnsi="Arial" w:cs="Arial"/>
                <w:color w:val="000000" w:themeColor="text1"/>
                <w:sz w:val="22"/>
                <w:szCs w:val="22"/>
              </w:rPr>
              <w:t>831.00</w:t>
            </w:r>
          </w:p>
        </w:tc>
      </w:tr>
      <w:tr w:rsidR="00997F75" w:rsidRPr="009E35ED" w14:paraId="4B95EBD0" w14:textId="77777777" w:rsidTr="009B0E0E">
        <w:tc>
          <w:tcPr>
            <w:tcW w:w="4820" w:type="dxa"/>
          </w:tcPr>
          <w:p w14:paraId="4774D177" w14:textId="3636FFF2" w:rsidR="009B0E0E" w:rsidRPr="009E35ED" w:rsidRDefault="00FA0F29" w:rsidP="0027176C">
            <w:pPr>
              <w:ind w:left="0"/>
              <w:rPr>
                <w:rFonts w:ascii="Arial" w:hAnsi="Arial" w:cs="Arial"/>
                <w:color w:val="000000" w:themeColor="text1"/>
                <w:sz w:val="22"/>
                <w:szCs w:val="22"/>
              </w:rPr>
            </w:pPr>
            <w:r w:rsidRPr="009E35ED">
              <w:rPr>
                <w:rFonts w:ascii="Arial" w:hAnsi="Arial" w:cs="Arial"/>
                <w:color w:val="000000" w:themeColor="text1"/>
                <w:sz w:val="22"/>
                <w:szCs w:val="22"/>
              </w:rPr>
              <w:t>4</w:t>
            </w:r>
            <w:r w:rsidRPr="009E35ED">
              <w:rPr>
                <w:rFonts w:ascii="Arial" w:hAnsi="Arial" w:cs="Arial"/>
                <w:color w:val="000000" w:themeColor="text1"/>
                <w:sz w:val="22"/>
                <w:szCs w:val="22"/>
                <w:vertAlign w:val="superscript"/>
              </w:rPr>
              <w:t>th</w:t>
            </w:r>
            <w:r w:rsidRPr="009E35ED">
              <w:rPr>
                <w:rFonts w:ascii="Arial" w:hAnsi="Arial" w:cs="Arial"/>
                <w:color w:val="000000" w:themeColor="text1"/>
                <w:sz w:val="22"/>
                <w:szCs w:val="22"/>
              </w:rPr>
              <w:t xml:space="preserve"> Floor</w:t>
            </w:r>
          </w:p>
        </w:tc>
        <w:tc>
          <w:tcPr>
            <w:tcW w:w="2126" w:type="dxa"/>
          </w:tcPr>
          <w:p w14:paraId="67949E9D" w14:textId="3DFA4C1A" w:rsidR="009B0E0E" w:rsidRPr="009E35ED" w:rsidRDefault="005B3C62" w:rsidP="00060B0F">
            <w:pPr>
              <w:ind w:left="0"/>
              <w:jc w:val="right"/>
              <w:rPr>
                <w:rFonts w:ascii="Arial" w:hAnsi="Arial" w:cs="Arial"/>
                <w:color w:val="000000" w:themeColor="text1"/>
                <w:sz w:val="22"/>
                <w:szCs w:val="22"/>
              </w:rPr>
            </w:pPr>
            <w:r>
              <w:rPr>
                <w:rFonts w:ascii="Arial" w:hAnsi="Arial" w:cs="Arial"/>
                <w:color w:val="000000" w:themeColor="text1"/>
                <w:sz w:val="22"/>
                <w:szCs w:val="22"/>
              </w:rPr>
              <w:t>833.76</w:t>
            </w:r>
          </w:p>
        </w:tc>
      </w:tr>
      <w:tr w:rsidR="00997F75" w:rsidRPr="009E35ED" w14:paraId="180F91F1" w14:textId="77777777" w:rsidTr="009B0E0E">
        <w:tc>
          <w:tcPr>
            <w:tcW w:w="4820" w:type="dxa"/>
          </w:tcPr>
          <w:p w14:paraId="5184714A" w14:textId="0216041B" w:rsidR="009B0E0E" w:rsidRPr="009E35ED" w:rsidRDefault="00FA0F29" w:rsidP="0027176C">
            <w:pPr>
              <w:ind w:left="0"/>
              <w:rPr>
                <w:rFonts w:ascii="Arial" w:hAnsi="Arial" w:cs="Arial"/>
                <w:color w:val="000000" w:themeColor="text1"/>
                <w:sz w:val="22"/>
                <w:szCs w:val="22"/>
              </w:rPr>
            </w:pPr>
            <w:r w:rsidRPr="009E35ED">
              <w:rPr>
                <w:rFonts w:ascii="Arial" w:hAnsi="Arial" w:cs="Arial"/>
                <w:color w:val="000000" w:themeColor="text1"/>
                <w:sz w:val="22"/>
                <w:szCs w:val="22"/>
              </w:rPr>
              <w:t>9</w:t>
            </w:r>
            <w:r w:rsidRPr="009E35ED">
              <w:rPr>
                <w:rFonts w:ascii="Arial" w:hAnsi="Arial" w:cs="Arial"/>
                <w:color w:val="000000" w:themeColor="text1"/>
                <w:sz w:val="22"/>
                <w:szCs w:val="22"/>
                <w:vertAlign w:val="superscript"/>
              </w:rPr>
              <w:t>th</w:t>
            </w:r>
            <w:r w:rsidRPr="009E35ED">
              <w:rPr>
                <w:rFonts w:ascii="Arial" w:hAnsi="Arial" w:cs="Arial"/>
                <w:color w:val="000000" w:themeColor="text1"/>
                <w:sz w:val="22"/>
                <w:szCs w:val="22"/>
              </w:rPr>
              <w:t xml:space="preserve"> Floor</w:t>
            </w:r>
          </w:p>
        </w:tc>
        <w:tc>
          <w:tcPr>
            <w:tcW w:w="2126" w:type="dxa"/>
          </w:tcPr>
          <w:p w14:paraId="60FAFED8" w14:textId="71904A4C" w:rsidR="009B0E0E" w:rsidRPr="009E35ED" w:rsidRDefault="0001130F" w:rsidP="00060B0F">
            <w:pPr>
              <w:ind w:left="0"/>
              <w:jc w:val="right"/>
              <w:rPr>
                <w:rFonts w:ascii="Arial" w:hAnsi="Arial" w:cs="Arial"/>
                <w:color w:val="000000" w:themeColor="text1"/>
                <w:sz w:val="22"/>
                <w:szCs w:val="22"/>
              </w:rPr>
            </w:pPr>
            <w:r w:rsidRPr="009E35ED">
              <w:rPr>
                <w:rFonts w:ascii="Arial" w:hAnsi="Arial" w:cs="Arial"/>
                <w:color w:val="000000" w:themeColor="text1"/>
                <w:sz w:val="22"/>
                <w:szCs w:val="22"/>
              </w:rPr>
              <w:t>831.00</w:t>
            </w:r>
          </w:p>
        </w:tc>
      </w:tr>
      <w:tr w:rsidR="00997F75" w:rsidRPr="009E35ED" w14:paraId="185F8045" w14:textId="77777777" w:rsidTr="009B0E0E">
        <w:tc>
          <w:tcPr>
            <w:tcW w:w="4820" w:type="dxa"/>
          </w:tcPr>
          <w:p w14:paraId="285E8C7D" w14:textId="112C7052" w:rsidR="009B0E0E" w:rsidRPr="009E35ED" w:rsidRDefault="0001130F" w:rsidP="0027176C">
            <w:pPr>
              <w:ind w:left="0"/>
              <w:rPr>
                <w:rFonts w:ascii="Arial" w:hAnsi="Arial" w:cs="Arial"/>
                <w:color w:val="000000" w:themeColor="text1"/>
                <w:sz w:val="22"/>
                <w:szCs w:val="22"/>
              </w:rPr>
            </w:pPr>
            <w:r w:rsidRPr="009E35ED">
              <w:rPr>
                <w:rFonts w:ascii="Arial" w:hAnsi="Arial" w:cs="Arial"/>
                <w:color w:val="000000" w:themeColor="text1"/>
                <w:sz w:val="22"/>
                <w:szCs w:val="22"/>
              </w:rPr>
              <w:t>10</w:t>
            </w:r>
            <w:r w:rsidRPr="009E35ED">
              <w:rPr>
                <w:rFonts w:ascii="Arial" w:hAnsi="Arial" w:cs="Arial"/>
                <w:color w:val="000000" w:themeColor="text1"/>
                <w:sz w:val="22"/>
                <w:szCs w:val="22"/>
                <w:vertAlign w:val="superscript"/>
              </w:rPr>
              <w:t>th</w:t>
            </w:r>
            <w:r w:rsidRPr="009E35ED">
              <w:rPr>
                <w:rFonts w:ascii="Arial" w:hAnsi="Arial" w:cs="Arial"/>
                <w:color w:val="000000" w:themeColor="text1"/>
                <w:sz w:val="22"/>
                <w:szCs w:val="22"/>
              </w:rPr>
              <w:t xml:space="preserve"> Floor</w:t>
            </w:r>
          </w:p>
        </w:tc>
        <w:tc>
          <w:tcPr>
            <w:tcW w:w="2126" w:type="dxa"/>
          </w:tcPr>
          <w:p w14:paraId="4E406B41" w14:textId="3E57998B" w:rsidR="009B0E0E" w:rsidRPr="009E35ED" w:rsidRDefault="002635C0" w:rsidP="00060B0F">
            <w:pPr>
              <w:ind w:left="0"/>
              <w:jc w:val="right"/>
              <w:rPr>
                <w:rFonts w:ascii="Arial" w:hAnsi="Arial" w:cs="Arial"/>
                <w:color w:val="000000" w:themeColor="text1"/>
                <w:sz w:val="22"/>
                <w:szCs w:val="22"/>
              </w:rPr>
            </w:pPr>
            <w:r w:rsidRPr="009E35ED">
              <w:rPr>
                <w:rFonts w:ascii="Arial" w:hAnsi="Arial" w:cs="Arial"/>
                <w:color w:val="000000" w:themeColor="text1"/>
                <w:sz w:val="22"/>
                <w:szCs w:val="22"/>
              </w:rPr>
              <w:t>831.50</w:t>
            </w:r>
          </w:p>
        </w:tc>
      </w:tr>
      <w:tr w:rsidR="00997F75" w:rsidRPr="009E35ED" w14:paraId="263E366E" w14:textId="77777777" w:rsidTr="009B0E0E">
        <w:tc>
          <w:tcPr>
            <w:tcW w:w="4820" w:type="dxa"/>
          </w:tcPr>
          <w:p w14:paraId="22C8A0DF" w14:textId="5E96AF8A" w:rsidR="009B0E0E" w:rsidRPr="009E35ED" w:rsidRDefault="0001130F" w:rsidP="0027176C">
            <w:pPr>
              <w:ind w:left="0"/>
              <w:rPr>
                <w:rFonts w:ascii="Arial" w:hAnsi="Arial" w:cs="Arial"/>
                <w:color w:val="000000" w:themeColor="text1"/>
                <w:sz w:val="22"/>
                <w:szCs w:val="22"/>
              </w:rPr>
            </w:pPr>
            <w:r w:rsidRPr="009E35ED">
              <w:rPr>
                <w:rFonts w:ascii="Arial" w:hAnsi="Arial" w:cs="Arial"/>
                <w:color w:val="000000" w:themeColor="text1"/>
                <w:sz w:val="22"/>
                <w:szCs w:val="22"/>
              </w:rPr>
              <w:t>11</w:t>
            </w:r>
            <w:r w:rsidRPr="009E35ED">
              <w:rPr>
                <w:rFonts w:ascii="Arial" w:hAnsi="Arial" w:cs="Arial"/>
                <w:color w:val="000000" w:themeColor="text1"/>
                <w:sz w:val="22"/>
                <w:szCs w:val="22"/>
                <w:vertAlign w:val="superscript"/>
              </w:rPr>
              <w:t>th</w:t>
            </w:r>
            <w:r w:rsidRPr="009E35ED">
              <w:rPr>
                <w:rFonts w:ascii="Arial" w:hAnsi="Arial" w:cs="Arial"/>
                <w:color w:val="000000" w:themeColor="text1"/>
                <w:sz w:val="22"/>
                <w:szCs w:val="22"/>
              </w:rPr>
              <w:t xml:space="preserve"> Floor</w:t>
            </w:r>
          </w:p>
        </w:tc>
        <w:tc>
          <w:tcPr>
            <w:tcW w:w="2126" w:type="dxa"/>
          </w:tcPr>
          <w:p w14:paraId="05D061A2" w14:textId="53A6E2C8" w:rsidR="009B0E0E" w:rsidRPr="009E35ED" w:rsidRDefault="002635C0" w:rsidP="00060B0F">
            <w:pPr>
              <w:ind w:left="0"/>
              <w:jc w:val="right"/>
              <w:rPr>
                <w:rFonts w:ascii="Arial" w:hAnsi="Arial" w:cs="Arial"/>
                <w:color w:val="000000" w:themeColor="text1"/>
                <w:sz w:val="22"/>
                <w:szCs w:val="22"/>
              </w:rPr>
            </w:pPr>
            <w:r w:rsidRPr="009E35ED">
              <w:rPr>
                <w:rFonts w:ascii="Arial" w:hAnsi="Arial" w:cs="Arial"/>
                <w:color w:val="000000" w:themeColor="text1"/>
                <w:sz w:val="22"/>
                <w:szCs w:val="22"/>
              </w:rPr>
              <w:t>831.00</w:t>
            </w:r>
          </w:p>
        </w:tc>
      </w:tr>
      <w:tr w:rsidR="00997F75" w:rsidRPr="009E35ED" w14:paraId="13462DD0" w14:textId="77777777" w:rsidTr="00AD3D41">
        <w:tc>
          <w:tcPr>
            <w:tcW w:w="6946" w:type="dxa"/>
            <w:gridSpan w:val="2"/>
          </w:tcPr>
          <w:p w14:paraId="0BE60B24" w14:textId="62EA70D3" w:rsidR="00F22B15" w:rsidRPr="009E35ED" w:rsidRDefault="00CE302D" w:rsidP="00F22B15">
            <w:pPr>
              <w:ind w:left="0"/>
              <w:jc w:val="left"/>
              <w:rPr>
                <w:rFonts w:ascii="Arial" w:hAnsi="Arial" w:cs="Arial"/>
                <w:b/>
                <w:bCs/>
                <w:color w:val="000000" w:themeColor="text1"/>
                <w:sz w:val="22"/>
                <w:szCs w:val="22"/>
              </w:rPr>
            </w:pPr>
            <w:r w:rsidRPr="009E35ED">
              <w:rPr>
                <w:rFonts w:ascii="Arial" w:hAnsi="Arial" w:cs="Arial"/>
                <w:b/>
                <w:bCs/>
                <w:color w:val="000000" w:themeColor="text1"/>
                <w:sz w:val="22"/>
                <w:szCs w:val="22"/>
              </w:rPr>
              <w:t>Conservatory Shaw Plaza Building</w:t>
            </w:r>
          </w:p>
        </w:tc>
      </w:tr>
      <w:tr w:rsidR="00997F75" w:rsidRPr="009E35ED" w14:paraId="4DA7D145" w14:textId="77777777" w:rsidTr="009B0E0E">
        <w:tc>
          <w:tcPr>
            <w:tcW w:w="4820" w:type="dxa"/>
          </w:tcPr>
          <w:p w14:paraId="5D7EE586" w14:textId="14ED3EA9" w:rsidR="00F22B15" w:rsidRPr="009E35ED" w:rsidRDefault="00CE302D" w:rsidP="0027176C">
            <w:pPr>
              <w:ind w:left="0"/>
              <w:rPr>
                <w:rFonts w:ascii="Arial" w:hAnsi="Arial" w:cs="Arial"/>
                <w:color w:val="000000" w:themeColor="text1"/>
                <w:sz w:val="22"/>
                <w:szCs w:val="22"/>
              </w:rPr>
            </w:pPr>
            <w:r w:rsidRPr="009E35ED">
              <w:rPr>
                <w:rFonts w:ascii="Arial" w:hAnsi="Arial" w:cs="Arial"/>
                <w:color w:val="000000" w:themeColor="text1"/>
                <w:sz w:val="22"/>
                <w:szCs w:val="22"/>
              </w:rPr>
              <w:t>1</w:t>
            </w:r>
            <w:r w:rsidRPr="009E35ED">
              <w:rPr>
                <w:rFonts w:ascii="Arial" w:hAnsi="Arial" w:cs="Arial"/>
                <w:color w:val="000000" w:themeColor="text1"/>
                <w:sz w:val="22"/>
                <w:szCs w:val="22"/>
                <w:vertAlign w:val="superscript"/>
              </w:rPr>
              <w:t>st</w:t>
            </w:r>
            <w:r w:rsidRPr="009E35ED">
              <w:rPr>
                <w:rFonts w:ascii="Arial" w:hAnsi="Arial" w:cs="Arial"/>
                <w:color w:val="000000" w:themeColor="text1"/>
                <w:sz w:val="22"/>
                <w:szCs w:val="22"/>
              </w:rPr>
              <w:t xml:space="preserve"> Floor</w:t>
            </w:r>
          </w:p>
        </w:tc>
        <w:tc>
          <w:tcPr>
            <w:tcW w:w="2126" w:type="dxa"/>
          </w:tcPr>
          <w:p w14:paraId="683829C8" w14:textId="16E3C8ED" w:rsidR="00F22B15" w:rsidRPr="009E35ED" w:rsidRDefault="003073CB" w:rsidP="00060B0F">
            <w:pPr>
              <w:ind w:left="0"/>
              <w:jc w:val="right"/>
              <w:rPr>
                <w:rFonts w:ascii="Arial" w:hAnsi="Arial" w:cs="Arial"/>
                <w:color w:val="000000" w:themeColor="text1"/>
                <w:sz w:val="22"/>
                <w:szCs w:val="22"/>
              </w:rPr>
            </w:pPr>
            <w:r w:rsidRPr="009E35ED">
              <w:rPr>
                <w:rFonts w:ascii="Arial" w:hAnsi="Arial" w:cs="Arial"/>
                <w:color w:val="000000" w:themeColor="text1"/>
                <w:sz w:val="22"/>
                <w:szCs w:val="22"/>
              </w:rPr>
              <w:t>2,190.00</w:t>
            </w:r>
          </w:p>
        </w:tc>
      </w:tr>
      <w:tr w:rsidR="00997F75" w:rsidRPr="009E35ED" w14:paraId="2D1E0166" w14:textId="77777777" w:rsidTr="009B0E0E">
        <w:tc>
          <w:tcPr>
            <w:tcW w:w="4820" w:type="dxa"/>
          </w:tcPr>
          <w:p w14:paraId="0207CED6" w14:textId="5F563DF0" w:rsidR="00F22B15" w:rsidRPr="009E35ED" w:rsidRDefault="004759A0" w:rsidP="0027176C">
            <w:pPr>
              <w:ind w:left="0"/>
              <w:rPr>
                <w:rFonts w:ascii="Arial" w:hAnsi="Arial" w:cs="Arial"/>
                <w:color w:val="000000" w:themeColor="text1"/>
                <w:sz w:val="22"/>
                <w:szCs w:val="22"/>
              </w:rPr>
            </w:pPr>
            <w:r w:rsidRPr="009E35ED">
              <w:rPr>
                <w:rFonts w:ascii="Arial" w:hAnsi="Arial" w:cs="Arial"/>
                <w:color w:val="000000" w:themeColor="text1"/>
                <w:sz w:val="22"/>
                <w:szCs w:val="22"/>
              </w:rPr>
              <w:t>2</w:t>
            </w:r>
            <w:r w:rsidRPr="009E35ED">
              <w:rPr>
                <w:rFonts w:ascii="Arial" w:hAnsi="Arial" w:cs="Arial"/>
                <w:color w:val="000000" w:themeColor="text1"/>
                <w:sz w:val="22"/>
                <w:szCs w:val="22"/>
                <w:vertAlign w:val="superscript"/>
              </w:rPr>
              <w:t>nd</w:t>
            </w:r>
            <w:r w:rsidRPr="009E35ED">
              <w:rPr>
                <w:rFonts w:ascii="Arial" w:hAnsi="Arial" w:cs="Arial"/>
                <w:color w:val="000000" w:themeColor="text1"/>
                <w:sz w:val="22"/>
                <w:szCs w:val="22"/>
              </w:rPr>
              <w:t xml:space="preserve"> Floor</w:t>
            </w:r>
          </w:p>
        </w:tc>
        <w:tc>
          <w:tcPr>
            <w:tcW w:w="2126" w:type="dxa"/>
          </w:tcPr>
          <w:p w14:paraId="00969D52" w14:textId="64039A02" w:rsidR="00F22B15" w:rsidRPr="009E35ED" w:rsidRDefault="003073CB" w:rsidP="00060B0F">
            <w:pPr>
              <w:ind w:left="0"/>
              <w:jc w:val="right"/>
              <w:rPr>
                <w:rFonts w:ascii="Arial" w:hAnsi="Arial" w:cs="Arial"/>
                <w:color w:val="000000" w:themeColor="text1"/>
                <w:sz w:val="22"/>
                <w:szCs w:val="22"/>
              </w:rPr>
            </w:pPr>
            <w:r w:rsidRPr="009E35ED">
              <w:rPr>
                <w:rFonts w:ascii="Arial" w:hAnsi="Arial" w:cs="Arial"/>
                <w:color w:val="000000" w:themeColor="text1"/>
                <w:sz w:val="22"/>
                <w:szCs w:val="22"/>
              </w:rPr>
              <w:t>1,190.00</w:t>
            </w:r>
          </w:p>
        </w:tc>
      </w:tr>
      <w:tr w:rsidR="00997F75" w:rsidRPr="009E35ED" w14:paraId="59C09C83" w14:textId="77777777" w:rsidTr="009B0E0E">
        <w:tc>
          <w:tcPr>
            <w:tcW w:w="4820" w:type="dxa"/>
          </w:tcPr>
          <w:p w14:paraId="6626ED7A" w14:textId="49AB3462" w:rsidR="00F22B15" w:rsidRPr="009E35ED" w:rsidRDefault="004759A0" w:rsidP="0027176C">
            <w:pPr>
              <w:ind w:left="0"/>
              <w:rPr>
                <w:rFonts w:ascii="Arial" w:hAnsi="Arial" w:cs="Arial"/>
                <w:color w:val="000000" w:themeColor="text1"/>
                <w:sz w:val="22"/>
                <w:szCs w:val="22"/>
              </w:rPr>
            </w:pPr>
            <w:r w:rsidRPr="009E35ED">
              <w:rPr>
                <w:rFonts w:ascii="Arial" w:hAnsi="Arial" w:cs="Arial"/>
                <w:color w:val="000000" w:themeColor="text1"/>
                <w:sz w:val="22"/>
                <w:szCs w:val="22"/>
              </w:rPr>
              <w:t>3</w:t>
            </w:r>
            <w:r w:rsidRPr="009E35ED">
              <w:rPr>
                <w:rFonts w:ascii="Arial" w:hAnsi="Arial" w:cs="Arial"/>
                <w:color w:val="000000" w:themeColor="text1"/>
                <w:sz w:val="22"/>
                <w:szCs w:val="22"/>
                <w:vertAlign w:val="superscript"/>
              </w:rPr>
              <w:t>rd</w:t>
            </w:r>
            <w:r w:rsidRPr="009E35ED">
              <w:rPr>
                <w:rFonts w:ascii="Arial" w:hAnsi="Arial" w:cs="Arial"/>
                <w:color w:val="000000" w:themeColor="text1"/>
                <w:sz w:val="22"/>
                <w:szCs w:val="22"/>
              </w:rPr>
              <w:t xml:space="preserve"> Floor</w:t>
            </w:r>
          </w:p>
        </w:tc>
        <w:tc>
          <w:tcPr>
            <w:tcW w:w="2126" w:type="dxa"/>
          </w:tcPr>
          <w:p w14:paraId="7E714067" w14:textId="1B68D474" w:rsidR="00F22B15" w:rsidRPr="009E35ED" w:rsidRDefault="003073CB" w:rsidP="00060B0F">
            <w:pPr>
              <w:ind w:left="0"/>
              <w:jc w:val="right"/>
              <w:rPr>
                <w:rFonts w:ascii="Arial" w:hAnsi="Arial" w:cs="Arial"/>
                <w:color w:val="000000" w:themeColor="text1"/>
                <w:sz w:val="22"/>
                <w:szCs w:val="22"/>
              </w:rPr>
            </w:pPr>
            <w:r w:rsidRPr="009E35ED">
              <w:rPr>
                <w:rFonts w:ascii="Arial" w:hAnsi="Arial" w:cs="Arial"/>
                <w:color w:val="000000" w:themeColor="text1"/>
                <w:sz w:val="22"/>
                <w:szCs w:val="22"/>
              </w:rPr>
              <w:t>938.00</w:t>
            </w:r>
          </w:p>
        </w:tc>
      </w:tr>
      <w:tr w:rsidR="00997F75" w:rsidRPr="009E35ED" w14:paraId="14ECAA10" w14:textId="77777777" w:rsidTr="00AD3D41">
        <w:tc>
          <w:tcPr>
            <w:tcW w:w="6946" w:type="dxa"/>
            <w:gridSpan w:val="2"/>
          </w:tcPr>
          <w:p w14:paraId="7E762169" w14:textId="108D8E37" w:rsidR="003073CB" w:rsidRPr="009E35ED" w:rsidRDefault="003073CB" w:rsidP="003073CB">
            <w:pPr>
              <w:ind w:left="0"/>
              <w:jc w:val="left"/>
              <w:rPr>
                <w:rFonts w:ascii="Arial" w:hAnsi="Arial" w:cs="Arial"/>
                <w:b/>
                <w:bCs/>
                <w:color w:val="000000" w:themeColor="text1"/>
                <w:sz w:val="22"/>
                <w:szCs w:val="22"/>
              </w:rPr>
            </w:pPr>
            <w:r w:rsidRPr="009E35ED">
              <w:rPr>
                <w:rFonts w:ascii="Arial" w:hAnsi="Arial" w:cs="Arial"/>
                <w:b/>
                <w:bCs/>
                <w:color w:val="000000" w:themeColor="text1"/>
                <w:sz w:val="22"/>
                <w:szCs w:val="22"/>
              </w:rPr>
              <w:t>Shaw Plaza Buildings I &amp; II</w:t>
            </w:r>
          </w:p>
        </w:tc>
      </w:tr>
      <w:tr w:rsidR="00997F75" w:rsidRPr="009E35ED" w14:paraId="7D426EDA" w14:textId="77777777" w:rsidTr="009B0E0E">
        <w:tc>
          <w:tcPr>
            <w:tcW w:w="4820" w:type="dxa"/>
          </w:tcPr>
          <w:p w14:paraId="6D6BE2DD" w14:textId="689C1FF4" w:rsidR="00F22B15" w:rsidRPr="009E35ED" w:rsidRDefault="003073CB" w:rsidP="0027176C">
            <w:pPr>
              <w:ind w:left="0"/>
              <w:rPr>
                <w:rFonts w:ascii="Arial" w:hAnsi="Arial" w:cs="Arial"/>
                <w:color w:val="000000" w:themeColor="text1"/>
                <w:sz w:val="22"/>
                <w:szCs w:val="22"/>
              </w:rPr>
            </w:pPr>
            <w:r w:rsidRPr="009E35ED">
              <w:rPr>
                <w:rFonts w:ascii="Arial" w:hAnsi="Arial" w:cs="Arial"/>
                <w:color w:val="000000" w:themeColor="text1"/>
                <w:sz w:val="22"/>
                <w:szCs w:val="22"/>
              </w:rPr>
              <w:t>2</w:t>
            </w:r>
            <w:r w:rsidRPr="009E35ED">
              <w:rPr>
                <w:rFonts w:ascii="Arial" w:hAnsi="Arial" w:cs="Arial"/>
                <w:color w:val="000000" w:themeColor="text1"/>
                <w:sz w:val="22"/>
                <w:szCs w:val="22"/>
                <w:vertAlign w:val="superscript"/>
              </w:rPr>
              <w:t>nd</w:t>
            </w:r>
            <w:r w:rsidRPr="009E35ED">
              <w:rPr>
                <w:rFonts w:ascii="Arial" w:hAnsi="Arial" w:cs="Arial"/>
                <w:color w:val="000000" w:themeColor="text1"/>
                <w:sz w:val="22"/>
                <w:szCs w:val="22"/>
              </w:rPr>
              <w:t xml:space="preserve"> Floor</w:t>
            </w:r>
          </w:p>
        </w:tc>
        <w:tc>
          <w:tcPr>
            <w:tcW w:w="2126" w:type="dxa"/>
          </w:tcPr>
          <w:p w14:paraId="5EEB2049" w14:textId="12F17D13" w:rsidR="00F22B15" w:rsidRPr="009E35ED" w:rsidRDefault="00FB31B6" w:rsidP="00060B0F">
            <w:pPr>
              <w:ind w:left="0"/>
              <w:jc w:val="right"/>
              <w:rPr>
                <w:rFonts w:ascii="Arial" w:hAnsi="Arial" w:cs="Arial"/>
                <w:color w:val="000000" w:themeColor="text1"/>
                <w:sz w:val="22"/>
                <w:szCs w:val="22"/>
              </w:rPr>
            </w:pPr>
            <w:r w:rsidRPr="009E35ED">
              <w:rPr>
                <w:rFonts w:ascii="Arial" w:hAnsi="Arial" w:cs="Arial"/>
                <w:color w:val="000000" w:themeColor="text1"/>
                <w:sz w:val="22"/>
                <w:szCs w:val="22"/>
              </w:rPr>
              <w:t>1,275.00</w:t>
            </w:r>
          </w:p>
        </w:tc>
      </w:tr>
      <w:tr w:rsidR="00BD0E40" w:rsidRPr="009E35ED" w14:paraId="2D52B503" w14:textId="77777777" w:rsidTr="009B0E0E">
        <w:tc>
          <w:tcPr>
            <w:tcW w:w="4820" w:type="dxa"/>
          </w:tcPr>
          <w:p w14:paraId="6B4DBB61" w14:textId="016BE39D" w:rsidR="00FB31B6" w:rsidRPr="009E35ED" w:rsidRDefault="00FB31B6" w:rsidP="00FB31B6">
            <w:pPr>
              <w:ind w:left="0"/>
              <w:jc w:val="center"/>
              <w:rPr>
                <w:rFonts w:ascii="Arial" w:hAnsi="Arial" w:cs="Arial"/>
                <w:b/>
                <w:bCs/>
                <w:color w:val="000000" w:themeColor="text1"/>
                <w:sz w:val="22"/>
                <w:szCs w:val="22"/>
              </w:rPr>
            </w:pPr>
            <w:r w:rsidRPr="009E35ED">
              <w:rPr>
                <w:rFonts w:ascii="Arial" w:hAnsi="Arial" w:cs="Arial"/>
                <w:b/>
                <w:bCs/>
                <w:color w:val="000000" w:themeColor="text1"/>
                <w:sz w:val="22"/>
                <w:szCs w:val="22"/>
              </w:rPr>
              <w:t>TOTAL</w:t>
            </w:r>
          </w:p>
        </w:tc>
        <w:tc>
          <w:tcPr>
            <w:tcW w:w="2126" w:type="dxa"/>
          </w:tcPr>
          <w:p w14:paraId="201A559A" w14:textId="159BA083" w:rsidR="00F22B15" w:rsidRPr="009E35ED" w:rsidRDefault="00FB31B6" w:rsidP="005B3C62">
            <w:pPr>
              <w:ind w:left="0"/>
              <w:jc w:val="right"/>
              <w:rPr>
                <w:rFonts w:ascii="Arial" w:hAnsi="Arial" w:cs="Arial"/>
                <w:b/>
                <w:bCs/>
                <w:color w:val="000000" w:themeColor="text1"/>
                <w:sz w:val="22"/>
                <w:szCs w:val="22"/>
              </w:rPr>
            </w:pPr>
            <w:r w:rsidRPr="009E35ED">
              <w:rPr>
                <w:rFonts w:ascii="Arial" w:hAnsi="Arial" w:cs="Arial"/>
                <w:b/>
                <w:bCs/>
                <w:color w:val="000000" w:themeColor="text1"/>
                <w:sz w:val="22"/>
                <w:szCs w:val="22"/>
              </w:rPr>
              <w:t>10,6</w:t>
            </w:r>
            <w:r w:rsidR="005B3C62">
              <w:rPr>
                <w:rFonts w:ascii="Arial" w:hAnsi="Arial" w:cs="Arial"/>
                <w:b/>
                <w:bCs/>
                <w:color w:val="000000" w:themeColor="text1"/>
                <w:sz w:val="22"/>
                <w:szCs w:val="22"/>
              </w:rPr>
              <w:t>79</w:t>
            </w:r>
            <w:r w:rsidRPr="009E35ED">
              <w:rPr>
                <w:rFonts w:ascii="Arial" w:hAnsi="Arial" w:cs="Arial"/>
                <w:b/>
                <w:bCs/>
                <w:color w:val="000000" w:themeColor="text1"/>
                <w:sz w:val="22"/>
                <w:szCs w:val="22"/>
              </w:rPr>
              <w:t>.</w:t>
            </w:r>
            <w:r w:rsidR="005B3C62">
              <w:rPr>
                <w:rFonts w:ascii="Arial" w:hAnsi="Arial" w:cs="Arial"/>
                <w:b/>
                <w:bCs/>
                <w:color w:val="000000" w:themeColor="text1"/>
                <w:sz w:val="22"/>
                <w:szCs w:val="22"/>
              </w:rPr>
              <w:t>99</w:t>
            </w:r>
          </w:p>
        </w:tc>
      </w:tr>
    </w:tbl>
    <w:p w14:paraId="018ECF95" w14:textId="77777777" w:rsidR="009B0E0E" w:rsidRPr="009E35ED" w:rsidRDefault="009B0E0E" w:rsidP="0027176C">
      <w:pPr>
        <w:ind w:left="0"/>
        <w:rPr>
          <w:rFonts w:ascii="Arial" w:hAnsi="Arial" w:cs="Arial"/>
          <w:color w:val="000000" w:themeColor="text1"/>
          <w:sz w:val="22"/>
          <w:szCs w:val="22"/>
        </w:rPr>
      </w:pPr>
    </w:p>
    <w:p w14:paraId="70BFA756" w14:textId="77777777" w:rsidR="004547A6" w:rsidRPr="009E35ED" w:rsidRDefault="004547A6" w:rsidP="0027176C">
      <w:pPr>
        <w:ind w:left="0"/>
        <w:rPr>
          <w:rFonts w:ascii="Arial" w:hAnsi="Arial" w:cs="Arial"/>
          <w:color w:val="000000" w:themeColor="text1"/>
          <w:sz w:val="22"/>
          <w:szCs w:val="22"/>
        </w:rPr>
      </w:pPr>
    </w:p>
    <w:p w14:paraId="7C464857" w14:textId="74E8CCF1" w:rsidR="00991BDF" w:rsidRPr="009E35ED" w:rsidRDefault="0094285A" w:rsidP="0027176C">
      <w:pPr>
        <w:ind w:left="0"/>
        <w:rPr>
          <w:rFonts w:ascii="Arial" w:hAnsi="Arial" w:cs="Arial"/>
          <w:color w:val="000000" w:themeColor="text1"/>
          <w:sz w:val="22"/>
          <w:szCs w:val="22"/>
        </w:rPr>
      </w:pPr>
      <w:r w:rsidRPr="009E35ED">
        <w:rPr>
          <w:rFonts w:ascii="Arial" w:hAnsi="Arial" w:cs="Arial"/>
          <w:color w:val="000000" w:themeColor="text1"/>
          <w:sz w:val="22"/>
          <w:szCs w:val="22"/>
        </w:rPr>
        <w:t xml:space="preserve">On </w:t>
      </w:r>
      <w:r w:rsidR="00317837" w:rsidRPr="009E35ED">
        <w:rPr>
          <w:rFonts w:ascii="Arial" w:hAnsi="Arial" w:cs="Arial"/>
          <w:color w:val="000000" w:themeColor="text1"/>
          <w:sz w:val="22"/>
          <w:szCs w:val="22"/>
        </w:rPr>
        <w:t>March</w:t>
      </w:r>
      <w:r w:rsidR="00344372">
        <w:rPr>
          <w:rFonts w:ascii="Arial" w:hAnsi="Arial" w:cs="Arial"/>
          <w:color w:val="000000" w:themeColor="text1"/>
          <w:sz w:val="22"/>
          <w:szCs w:val="22"/>
        </w:rPr>
        <w:t xml:space="preserve"> 22,</w:t>
      </w:r>
      <w:r w:rsidR="00317837" w:rsidRPr="009E35ED">
        <w:rPr>
          <w:rFonts w:ascii="Arial" w:hAnsi="Arial" w:cs="Arial"/>
          <w:color w:val="000000" w:themeColor="text1"/>
          <w:sz w:val="22"/>
          <w:szCs w:val="22"/>
        </w:rPr>
        <w:t xml:space="preserve"> 2023, PCSO Board of Directors approved </w:t>
      </w:r>
      <w:r w:rsidR="007F652C" w:rsidRPr="009E35ED">
        <w:rPr>
          <w:rFonts w:ascii="Arial" w:hAnsi="Arial" w:cs="Arial"/>
          <w:color w:val="000000" w:themeColor="text1"/>
          <w:sz w:val="22"/>
          <w:szCs w:val="22"/>
        </w:rPr>
        <w:t xml:space="preserve">the Relocation of San Marcelino </w:t>
      </w:r>
      <w:r w:rsidR="00641C35" w:rsidRPr="009E35ED">
        <w:rPr>
          <w:rFonts w:ascii="Arial" w:hAnsi="Arial" w:cs="Arial"/>
          <w:color w:val="000000" w:themeColor="text1"/>
          <w:sz w:val="22"/>
          <w:szCs w:val="22"/>
        </w:rPr>
        <w:t>Extension Office</w:t>
      </w:r>
      <w:r w:rsidR="00B464C6" w:rsidRPr="009E35ED">
        <w:rPr>
          <w:rFonts w:ascii="Arial" w:hAnsi="Arial" w:cs="Arial"/>
          <w:color w:val="000000" w:themeColor="text1"/>
          <w:sz w:val="22"/>
          <w:szCs w:val="22"/>
        </w:rPr>
        <w:t xml:space="preserve"> and facilitate the transfer to a temporary location </w:t>
      </w:r>
      <w:r w:rsidR="00036262" w:rsidRPr="009E35ED">
        <w:rPr>
          <w:rFonts w:ascii="Arial" w:hAnsi="Arial" w:cs="Arial"/>
          <w:color w:val="000000" w:themeColor="text1"/>
          <w:sz w:val="22"/>
          <w:szCs w:val="22"/>
        </w:rPr>
        <w:t xml:space="preserve">through the lease of a warehouse </w:t>
      </w:r>
      <w:r w:rsidR="00351688" w:rsidRPr="009E35ED">
        <w:rPr>
          <w:rFonts w:ascii="Arial" w:hAnsi="Arial" w:cs="Arial"/>
          <w:color w:val="000000" w:themeColor="text1"/>
          <w:sz w:val="22"/>
          <w:szCs w:val="22"/>
        </w:rPr>
        <w:t>in accordance with the specified technical requirements</w:t>
      </w:r>
      <w:r w:rsidR="00C17F41" w:rsidRPr="009E35ED">
        <w:rPr>
          <w:rFonts w:ascii="Arial" w:hAnsi="Arial" w:cs="Arial"/>
          <w:color w:val="000000" w:themeColor="text1"/>
          <w:sz w:val="22"/>
          <w:szCs w:val="22"/>
        </w:rPr>
        <w:t xml:space="preserve"> under </w:t>
      </w:r>
      <w:r w:rsidR="0069714E" w:rsidRPr="009E35ED">
        <w:rPr>
          <w:rFonts w:ascii="Arial" w:hAnsi="Arial" w:cs="Arial"/>
          <w:color w:val="000000" w:themeColor="text1"/>
          <w:sz w:val="22"/>
          <w:szCs w:val="22"/>
        </w:rPr>
        <w:t xml:space="preserve">Resolution No. 080, </w:t>
      </w:r>
      <w:r w:rsidR="00353010">
        <w:rPr>
          <w:rFonts w:ascii="Arial" w:hAnsi="Arial" w:cs="Arial"/>
          <w:color w:val="000000" w:themeColor="text1"/>
          <w:sz w:val="22"/>
          <w:szCs w:val="22"/>
        </w:rPr>
        <w:t>s</w:t>
      </w:r>
      <w:r w:rsidR="0069714E" w:rsidRPr="009E35ED">
        <w:rPr>
          <w:rFonts w:ascii="Arial" w:hAnsi="Arial" w:cs="Arial"/>
          <w:color w:val="000000" w:themeColor="text1"/>
          <w:sz w:val="22"/>
          <w:szCs w:val="22"/>
        </w:rPr>
        <w:t>eries of 2023.</w:t>
      </w:r>
      <w:r w:rsidR="00DA622C" w:rsidRPr="009E35ED">
        <w:rPr>
          <w:rFonts w:ascii="Arial" w:hAnsi="Arial" w:cs="Arial"/>
          <w:color w:val="000000" w:themeColor="text1"/>
          <w:sz w:val="22"/>
          <w:szCs w:val="22"/>
        </w:rPr>
        <w:t xml:space="preserve"> </w:t>
      </w:r>
    </w:p>
    <w:p w14:paraId="007E563E" w14:textId="77777777" w:rsidR="00991BDF" w:rsidRPr="009E35ED" w:rsidRDefault="00991BDF" w:rsidP="0027176C">
      <w:pPr>
        <w:ind w:left="0"/>
        <w:rPr>
          <w:rFonts w:ascii="Arial" w:hAnsi="Arial" w:cs="Arial"/>
          <w:color w:val="000000" w:themeColor="text1"/>
          <w:sz w:val="22"/>
          <w:szCs w:val="22"/>
        </w:rPr>
      </w:pPr>
    </w:p>
    <w:p w14:paraId="6F0D26BC" w14:textId="220B2633" w:rsidR="00581876" w:rsidRPr="009E35ED" w:rsidRDefault="00353010" w:rsidP="0027176C">
      <w:pPr>
        <w:ind w:left="0"/>
        <w:rPr>
          <w:rFonts w:ascii="Arial" w:hAnsi="Arial" w:cs="Arial"/>
          <w:color w:val="000000" w:themeColor="text1"/>
          <w:sz w:val="22"/>
          <w:szCs w:val="22"/>
        </w:rPr>
      </w:pPr>
      <w:r>
        <w:rPr>
          <w:rFonts w:ascii="Arial" w:hAnsi="Arial" w:cs="Arial"/>
          <w:color w:val="000000" w:themeColor="text1"/>
          <w:sz w:val="22"/>
          <w:szCs w:val="22"/>
        </w:rPr>
        <w:t xml:space="preserve">The </w:t>
      </w:r>
      <w:r w:rsidR="00DA622C" w:rsidRPr="009E35ED">
        <w:rPr>
          <w:rFonts w:ascii="Arial" w:hAnsi="Arial" w:cs="Arial"/>
          <w:color w:val="000000" w:themeColor="text1"/>
          <w:sz w:val="22"/>
          <w:szCs w:val="22"/>
        </w:rPr>
        <w:t xml:space="preserve">PCSO entered </w:t>
      </w:r>
      <w:r w:rsidR="00024A10" w:rsidRPr="009E35ED">
        <w:rPr>
          <w:rFonts w:ascii="Arial" w:hAnsi="Arial" w:cs="Arial"/>
          <w:color w:val="000000" w:themeColor="text1"/>
          <w:sz w:val="22"/>
          <w:szCs w:val="22"/>
        </w:rPr>
        <w:t xml:space="preserve">a Contract of Lease </w:t>
      </w:r>
      <w:r w:rsidR="00991BDF" w:rsidRPr="009E35ED">
        <w:rPr>
          <w:rFonts w:ascii="Arial" w:hAnsi="Arial" w:cs="Arial"/>
          <w:color w:val="000000" w:themeColor="text1"/>
          <w:sz w:val="22"/>
          <w:szCs w:val="22"/>
        </w:rPr>
        <w:t xml:space="preserve">with </w:t>
      </w:r>
      <w:r w:rsidR="007F1DA5" w:rsidRPr="009E35ED">
        <w:rPr>
          <w:rFonts w:ascii="Arial" w:hAnsi="Arial" w:cs="Arial"/>
          <w:color w:val="000000" w:themeColor="text1"/>
          <w:sz w:val="22"/>
          <w:szCs w:val="22"/>
        </w:rPr>
        <w:t xml:space="preserve">the Government Service Insurance System (GSIS) </w:t>
      </w:r>
      <w:r w:rsidR="00024A10" w:rsidRPr="009E35ED">
        <w:rPr>
          <w:rFonts w:ascii="Arial" w:hAnsi="Arial" w:cs="Arial"/>
          <w:color w:val="000000" w:themeColor="text1"/>
          <w:sz w:val="22"/>
          <w:szCs w:val="22"/>
        </w:rPr>
        <w:t>on October</w:t>
      </w:r>
      <w:r w:rsidR="00344372">
        <w:rPr>
          <w:rFonts w:ascii="Arial" w:hAnsi="Arial" w:cs="Arial"/>
          <w:color w:val="000000" w:themeColor="text1"/>
          <w:sz w:val="22"/>
          <w:szCs w:val="22"/>
        </w:rPr>
        <w:t xml:space="preserve"> 26,</w:t>
      </w:r>
      <w:r w:rsidR="007F1DA5" w:rsidRPr="009E35ED">
        <w:rPr>
          <w:rFonts w:ascii="Arial" w:hAnsi="Arial" w:cs="Arial"/>
          <w:color w:val="000000" w:themeColor="text1"/>
          <w:sz w:val="22"/>
          <w:szCs w:val="22"/>
        </w:rPr>
        <w:t xml:space="preserve"> 2023</w:t>
      </w:r>
      <w:r w:rsidR="000A4F6B" w:rsidRPr="009E35ED">
        <w:rPr>
          <w:rFonts w:ascii="Arial" w:hAnsi="Arial" w:cs="Arial"/>
          <w:color w:val="000000" w:themeColor="text1"/>
          <w:sz w:val="22"/>
          <w:szCs w:val="22"/>
        </w:rPr>
        <w:t xml:space="preserve"> on its property located at </w:t>
      </w:r>
      <w:r w:rsidR="00F66470" w:rsidRPr="009E35ED">
        <w:rPr>
          <w:rFonts w:ascii="Arial" w:hAnsi="Arial" w:cs="Arial"/>
          <w:color w:val="000000" w:themeColor="text1"/>
          <w:sz w:val="22"/>
          <w:szCs w:val="22"/>
        </w:rPr>
        <w:t>461 Amang Rodriguez Avenue, Manggahan, Pasig City</w:t>
      </w:r>
      <w:r w:rsidR="00275343" w:rsidRPr="009E35ED">
        <w:rPr>
          <w:rFonts w:ascii="Arial" w:hAnsi="Arial" w:cs="Arial"/>
          <w:color w:val="000000" w:themeColor="text1"/>
          <w:sz w:val="22"/>
          <w:szCs w:val="22"/>
        </w:rPr>
        <w:t>, known as the Pasig Central Business Park</w:t>
      </w:r>
      <w:r w:rsidR="00F45873" w:rsidRPr="009E35ED">
        <w:rPr>
          <w:rFonts w:ascii="Arial" w:hAnsi="Arial" w:cs="Arial"/>
          <w:color w:val="000000" w:themeColor="text1"/>
          <w:sz w:val="22"/>
          <w:szCs w:val="22"/>
        </w:rPr>
        <w:t xml:space="preserve"> (PCBP)</w:t>
      </w:r>
      <w:r w:rsidR="00C51C1B" w:rsidRPr="009E35ED">
        <w:rPr>
          <w:rFonts w:ascii="Arial" w:hAnsi="Arial" w:cs="Arial"/>
          <w:color w:val="000000" w:themeColor="text1"/>
          <w:sz w:val="22"/>
          <w:szCs w:val="22"/>
        </w:rPr>
        <w:t xml:space="preserve"> Warehouse Office Complex</w:t>
      </w:r>
      <w:r w:rsidR="003C71FB" w:rsidRPr="009E35ED">
        <w:rPr>
          <w:rFonts w:ascii="Arial" w:hAnsi="Arial" w:cs="Arial"/>
          <w:color w:val="000000" w:themeColor="text1"/>
          <w:sz w:val="22"/>
          <w:szCs w:val="22"/>
        </w:rPr>
        <w:t>, specifically Units 109, 110 and 111 with an approximate area of 4,14</w:t>
      </w:r>
      <w:r w:rsidR="001E403E" w:rsidRPr="009E35ED">
        <w:rPr>
          <w:rFonts w:ascii="Arial" w:hAnsi="Arial" w:cs="Arial"/>
          <w:color w:val="000000" w:themeColor="text1"/>
          <w:sz w:val="22"/>
          <w:szCs w:val="22"/>
        </w:rPr>
        <w:t>0 sqm. The lease term shall be for a period of</w:t>
      </w:r>
      <w:r w:rsidR="00AA3F4E" w:rsidRPr="009E35ED">
        <w:rPr>
          <w:rFonts w:ascii="Arial" w:hAnsi="Arial" w:cs="Arial"/>
          <w:color w:val="000000" w:themeColor="text1"/>
          <w:sz w:val="22"/>
          <w:szCs w:val="22"/>
        </w:rPr>
        <w:t xml:space="preserve"> three (3) years which commenced on </w:t>
      </w:r>
      <w:r w:rsidR="000418C5" w:rsidRPr="009E35ED">
        <w:rPr>
          <w:rFonts w:ascii="Arial" w:hAnsi="Arial" w:cs="Arial"/>
          <w:color w:val="000000" w:themeColor="text1"/>
          <w:sz w:val="22"/>
          <w:szCs w:val="22"/>
        </w:rPr>
        <w:t>July</w:t>
      </w:r>
      <w:r w:rsidR="00344372">
        <w:rPr>
          <w:rFonts w:ascii="Arial" w:hAnsi="Arial" w:cs="Arial"/>
          <w:color w:val="000000" w:themeColor="text1"/>
          <w:sz w:val="22"/>
          <w:szCs w:val="22"/>
        </w:rPr>
        <w:t xml:space="preserve"> 18,</w:t>
      </w:r>
      <w:r w:rsidR="000418C5" w:rsidRPr="009E35ED">
        <w:rPr>
          <w:rFonts w:ascii="Arial" w:hAnsi="Arial" w:cs="Arial"/>
          <w:color w:val="000000" w:themeColor="text1"/>
          <w:sz w:val="22"/>
          <w:szCs w:val="22"/>
        </w:rPr>
        <w:t xml:space="preserve"> 2023 and to end </w:t>
      </w:r>
      <w:r w:rsidR="00D01A6F" w:rsidRPr="009E35ED">
        <w:rPr>
          <w:rFonts w:ascii="Arial" w:hAnsi="Arial" w:cs="Arial"/>
          <w:color w:val="000000" w:themeColor="text1"/>
          <w:sz w:val="22"/>
          <w:szCs w:val="22"/>
        </w:rPr>
        <w:t>on July</w:t>
      </w:r>
      <w:r w:rsidR="00344372">
        <w:rPr>
          <w:rFonts w:ascii="Arial" w:hAnsi="Arial" w:cs="Arial"/>
          <w:color w:val="000000" w:themeColor="text1"/>
          <w:sz w:val="22"/>
          <w:szCs w:val="22"/>
        </w:rPr>
        <w:t xml:space="preserve"> 17,</w:t>
      </w:r>
      <w:r w:rsidR="000418C5" w:rsidRPr="009E35ED">
        <w:rPr>
          <w:rFonts w:ascii="Arial" w:hAnsi="Arial" w:cs="Arial"/>
          <w:color w:val="000000" w:themeColor="text1"/>
          <w:sz w:val="22"/>
          <w:szCs w:val="22"/>
        </w:rPr>
        <w:t xml:space="preserve"> 2026</w:t>
      </w:r>
      <w:r w:rsidR="00282953" w:rsidRPr="009E35ED">
        <w:rPr>
          <w:rFonts w:ascii="Arial" w:hAnsi="Arial" w:cs="Arial"/>
          <w:color w:val="000000" w:themeColor="text1"/>
          <w:sz w:val="22"/>
          <w:szCs w:val="22"/>
        </w:rPr>
        <w:t xml:space="preserve"> </w:t>
      </w:r>
      <w:r w:rsidR="00C83710" w:rsidRPr="009E35ED">
        <w:rPr>
          <w:rFonts w:ascii="Arial" w:hAnsi="Arial" w:cs="Arial"/>
          <w:color w:val="000000" w:themeColor="text1"/>
          <w:sz w:val="22"/>
          <w:szCs w:val="22"/>
        </w:rPr>
        <w:t xml:space="preserve">in the amount of </w:t>
      </w:r>
      <w:r w:rsidR="00F10767">
        <w:rPr>
          <w:rFonts w:ascii="Arial" w:hAnsi="Arial" w:cs="Arial"/>
          <w:color w:val="000000" w:themeColor="text1"/>
          <w:sz w:val="22"/>
          <w:szCs w:val="22"/>
        </w:rPr>
        <w:t>P</w:t>
      </w:r>
      <w:r w:rsidR="003B78A9" w:rsidRPr="009E35ED">
        <w:rPr>
          <w:rFonts w:ascii="Arial" w:hAnsi="Arial" w:cs="Arial"/>
          <w:color w:val="000000" w:themeColor="text1"/>
          <w:sz w:val="22"/>
          <w:szCs w:val="22"/>
        </w:rPr>
        <w:t>57,779,906.64</w:t>
      </w:r>
      <w:r w:rsidR="00C83710" w:rsidRPr="009E35ED">
        <w:rPr>
          <w:rFonts w:ascii="Arial" w:hAnsi="Arial" w:cs="Arial"/>
          <w:color w:val="000000" w:themeColor="text1"/>
          <w:sz w:val="22"/>
          <w:szCs w:val="22"/>
        </w:rPr>
        <w:t xml:space="preserve"> with an escalation</w:t>
      </w:r>
      <w:r w:rsidR="00BD0E40" w:rsidRPr="009E35ED">
        <w:rPr>
          <w:rFonts w:ascii="Arial" w:hAnsi="Arial" w:cs="Arial"/>
          <w:color w:val="000000" w:themeColor="text1"/>
          <w:sz w:val="22"/>
          <w:szCs w:val="22"/>
        </w:rPr>
        <w:t xml:space="preserve"> rate of 7.5% per annum.</w:t>
      </w:r>
      <w:r w:rsidR="00F66470" w:rsidRPr="009E35ED">
        <w:rPr>
          <w:rFonts w:ascii="Arial" w:hAnsi="Arial" w:cs="Arial"/>
          <w:color w:val="000000" w:themeColor="text1"/>
          <w:sz w:val="22"/>
          <w:szCs w:val="22"/>
        </w:rPr>
        <w:t xml:space="preserve"> </w:t>
      </w:r>
      <w:r w:rsidR="00024A10" w:rsidRPr="009E35ED">
        <w:rPr>
          <w:rFonts w:ascii="Arial" w:hAnsi="Arial" w:cs="Arial"/>
          <w:color w:val="000000" w:themeColor="text1"/>
          <w:sz w:val="22"/>
          <w:szCs w:val="22"/>
        </w:rPr>
        <w:t xml:space="preserve">  </w:t>
      </w:r>
      <w:r w:rsidR="00641C35" w:rsidRPr="009E35ED">
        <w:rPr>
          <w:rFonts w:ascii="Arial" w:hAnsi="Arial" w:cs="Arial"/>
          <w:color w:val="000000" w:themeColor="text1"/>
          <w:sz w:val="22"/>
          <w:szCs w:val="22"/>
        </w:rPr>
        <w:t xml:space="preserve"> </w:t>
      </w:r>
    </w:p>
    <w:p w14:paraId="039B1B85" w14:textId="62F41D8C" w:rsidR="00315869" w:rsidRPr="003423F1" w:rsidRDefault="00315869" w:rsidP="0027176C">
      <w:pPr>
        <w:ind w:left="0"/>
        <w:rPr>
          <w:rFonts w:ascii="Arial" w:hAnsi="Arial" w:cs="Arial"/>
          <w:color w:val="000000" w:themeColor="text1"/>
          <w:sz w:val="16"/>
          <w:szCs w:val="16"/>
        </w:rPr>
      </w:pPr>
    </w:p>
    <w:p w14:paraId="4A1E7E71" w14:textId="48832CB0" w:rsidR="00315869" w:rsidRPr="009E35ED" w:rsidRDefault="00315869" w:rsidP="0027176C">
      <w:pPr>
        <w:ind w:left="0"/>
        <w:rPr>
          <w:rFonts w:ascii="Arial" w:hAnsi="Arial" w:cs="Arial"/>
          <w:color w:val="000000" w:themeColor="text1"/>
          <w:sz w:val="22"/>
          <w:szCs w:val="22"/>
        </w:rPr>
      </w:pPr>
      <w:r w:rsidRPr="009E35ED">
        <w:rPr>
          <w:rFonts w:ascii="Arial" w:eastAsia="Calibri" w:hAnsi="Arial" w:cs="Arial"/>
          <w:color w:val="000000" w:themeColor="text1"/>
          <w:sz w:val="22"/>
          <w:szCs w:val="22"/>
        </w:rPr>
        <w:t>In addition,</w:t>
      </w:r>
      <w:r w:rsidRPr="009E35ED">
        <w:rPr>
          <w:rFonts w:ascii="Arial" w:eastAsia="Calibri" w:hAnsi="Arial" w:cs="Arial"/>
          <w:b/>
          <w:color w:val="000000" w:themeColor="text1"/>
          <w:sz w:val="22"/>
          <w:szCs w:val="22"/>
        </w:rPr>
        <w:t xml:space="preserve"> </w:t>
      </w:r>
      <w:r w:rsidRPr="009E35ED">
        <w:rPr>
          <w:rFonts w:ascii="Arial" w:hAnsi="Arial" w:cs="Arial"/>
          <w:color w:val="000000" w:themeColor="text1"/>
          <w:sz w:val="22"/>
          <w:szCs w:val="22"/>
        </w:rPr>
        <w:t>the Agency has executed a Five (5) Years Lease Contract with JV PGMC-ILTS-POSC on December</w:t>
      </w:r>
      <w:r w:rsidR="00344372">
        <w:rPr>
          <w:rFonts w:ascii="Arial" w:hAnsi="Arial" w:cs="Arial"/>
          <w:color w:val="000000" w:themeColor="text1"/>
          <w:sz w:val="22"/>
          <w:szCs w:val="22"/>
        </w:rPr>
        <w:t xml:space="preserve"> 21,</w:t>
      </w:r>
      <w:r w:rsidRPr="009E35ED">
        <w:rPr>
          <w:rFonts w:ascii="Arial" w:hAnsi="Arial" w:cs="Arial"/>
          <w:color w:val="000000" w:themeColor="text1"/>
          <w:sz w:val="22"/>
          <w:szCs w:val="22"/>
        </w:rPr>
        <w:t xml:space="preserve"> 2021 for the Customized PCSO Lottery System with a contract price of </w:t>
      </w:r>
      <w:r w:rsidR="00F10767">
        <w:rPr>
          <w:rFonts w:ascii="Arial" w:hAnsi="Arial" w:cs="Arial"/>
          <w:color w:val="000000" w:themeColor="text1"/>
          <w:sz w:val="22"/>
          <w:szCs w:val="22"/>
        </w:rPr>
        <w:t>P</w:t>
      </w:r>
      <w:r w:rsidRPr="009E35ED">
        <w:rPr>
          <w:rFonts w:ascii="Arial" w:hAnsi="Arial" w:cs="Arial"/>
          <w:color w:val="000000" w:themeColor="text1"/>
          <w:sz w:val="22"/>
          <w:szCs w:val="22"/>
        </w:rPr>
        <w:t>5,800,000,000 which was implemented on October 1, 2023.</w:t>
      </w:r>
    </w:p>
    <w:p w14:paraId="55CFD451" w14:textId="77777777" w:rsidR="00581876" w:rsidRPr="009E35ED" w:rsidRDefault="00581876" w:rsidP="0027176C">
      <w:pPr>
        <w:ind w:left="0"/>
        <w:rPr>
          <w:rFonts w:ascii="Arial" w:hAnsi="Arial" w:cs="Arial"/>
          <w:color w:val="000000" w:themeColor="text1"/>
          <w:sz w:val="22"/>
          <w:szCs w:val="22"/>
        </w:rPr>
      </w:pPr>
    </w:p>
    <w:p w14:paraId="4573E67C" w14:textId="3C610DDA" w:rsidR="0027176C" w:rsidRPr="009E35ED" w:rsidRDefault="00C6254F" w:rsidP="0027176C">
      <w:pPr>
        <w:ind w:left="0"/>
        <w:rPr>
          <w:rFonts w:ascii="Arial" w:hAnsi="Arial" w:cs="Arial"/>
          <w:color w:val="000000" w:themeColor="text1"/>
          <w:sz w:val="22"/>
          <w:szCs w:val="22"/>
        </w:rPr>
      </w:pPr>
      <w:r w:rsidRPr="009E35ED">
        <w:rPr>
          <w:rFonts w:ascii="Arial" w:hAnsi="Arial" w:cs="Arial"/>
          <w:color w:val="000000" w:themeColor="text1"/>
          <w:sz w:val="22"/>
          <w:szCs w:val="22"/>
        </w:rPr>
        <w:t xml:space="preserve">The </w:t>
      </w:r>
      <w:r w:rsidR="00002FB9" w:rsidRPr="009E35ED">
        <w:rPr>
          <w:rFonts w:ascii="Arial" w:hAnsi="Arial" w:cs="Arial"/>
          <w:color w:val="000000" w:themeColor="text1"/>
          <w:sz w:val="22"/>
          <w:szCs w:val="22"/>
        </w:rPr>
        <w:t xml:space="preserve">amount of principal and interest that comprise of each rental payments </w:t>
      </w:r>
      <w:r w:rsidR="00315869" w:rsidRPr="009E35ED">
        <w:rPr>
          <w:rFonts w:ascii="Arial" w:hAnsi="Arial" w:cs="Arial"/>
          <w:color w:val="000000" w:themeColor="text1"/>
          <w:sz w:val="22"/>
          <w:szCs w:val="22"/>
        </w:rPr>
        <w:t xml:space="preserve">of leases </w:t>
      </w:r>
      <w:r w:rsidR="00002FB9" w:rsidRPr="009E35ED">
        <w:rPr>
          <w:rFonts w:ascii="Arial" w:hAnsi="Arial" w:cs="Arial"/>
          <w:color w:val="000000" w:themeColor="text1"/>
          <w:sz w:val="22"/>
          <w:szCs w:val="22"/>
        </w:rPr>
        <w:t xml:space="preserve">were shown in the amortization table below: </w:t>
      </w:r>
    </w:p>
    <w:p w14:paraId="4BD45CDE" w14:textId="77777777" w:rsidR="003B7C44" w:rsidRPr="003423F1" w:rsidRDefault="003B7C44" w:rsidP="0027176C">
      <w:pPr>
        <w:ind w:left="0"/>
        <w:rPr>
          <w:rFonts w:ascii="Arial" w:hAnsi="Arial" w:cs="Arial"/>
          <w:color w:val="000000" w:themeColor="text1"/>
          <w:sz w:val="16"/>
          <w:szCs w:val="16"/>
        </w:rPr>
      </w:pPr>
    </w:p>
    <w:p w14:paraId="48F30847" w14:textId="39AEB59E" w:rsidR="003B7C44" w:rsidRPr="009E35ED" w:rsidRDefault="003B7C44" w:rsidP="0093552B">
      <w:pPr>
        <w:shd w:val="clear" w:color="auto" w:fill="FFFFFF" w:themeFill="background1"/>
        <w:ind w:left="0"/>
        <w:rPr>
          <w:rFonts w:ascii="Arial" w:hAnsi="Arial" w:cs="Arial"/>
          <w:b/>
          <w:color w:val="000000" w:themeColor="text1"/>
          <w:sz w:val="22"/>
          <w:szCs w:val="22"/>
        </w:rPr>
      </w:pPr>
      <w:r w:rsidRPr="009E35ED">
        <w:rPr>
          <w:rFonts w:ascii="Arial" w:hAnsi="Arial" w:cs="Arial"/>
          <w:b/>
          <w:color w:val="000000" w:themeColor="text1"/>
          <w:sz w:val="22"/>
          <w:szCs w:val="22"/>
        </w:rPr>
        <w:t>Conservatory Shaw Plaza, Sun P</w:t>
      </w:r>
      <w:r w:rsidR="0093552B" w:rsidRPr="009E35ED">
        <w:rPr>
          <w:rFonts w:ascii="Arial" w:hAnsi="Arial" w:cs="Arial"/>
          <w:b/>
          <w:color w:val="000000" w:themeColor="text1"/>
          <w:sz w:val="22"/>
          <w:szCs w:val="22"/>
        </w:rPr>
        <w:t>laza Building and AP Securities</w:t>
      </w:r>
    </w:p>
    <w:tbl>
      <w:tblPr>
        <w:tblW w:w="8604" w:type="dxa"/>
        <w:tblLook w:val="04A0" w:firstRow="1" w:lastRow="0" w:firstColumn="1" w:lastColumn="0" w:noHBand="0" w:noVBand="1"/>
      </w:tblPr>
      <w:tblGrid>
        <w:gridCol w:w="1800"/>
        <w:gridCol w:w="2697"/>
        <w:gridCol w:w="1923"/>
        <w:gridCol w:w="2184"/>
      </w:tblGrid>
      <w:tr w:rsidR="00997F75" w:rsidRPr="009E35ED" w14:paraId="785F1001" w14:textId="77777777" w:rsidTr="0093552B">
        <w:trPr>
          <w:trHeight w:val="404"/>
        </w:trPr>
        <w:tc>
          <w:tcPr>
            <w:tcW w:w="1800" w:type="dxa"/>
            <w:tcBorders>
              <w:top w:val="single" w:sz="4" w:space="0" w:color="auto"/>
              <w:left w:val="nil"/>
              <w:bottom w:val="single" w:sz="4" w:space="0" w:color="auto"/>
              <w:right w:val="nil"/>
            </w:tcBorders>
            <w:shd w:val="clear" w:color="auto" w:fill="auto"/>
            <w:noWrap/>
            <w:vAlign w:val="center"/>
            <w:hideMark/>
          </w:tcPr>
          <w:p w14:paraId="2E915EBD" w14:textId="77777777" w:rsidR="003B7C44" w:rsidRPr="009E35ED" w:rsidRDefault="003B7C44" w:rsidP="0093552B">
            <w:pPr>
              <w:shd w:val="clear" w:color="auto" w:fill="FFFFFF" w:themeFill="background1"/>
              <w:ind w:left="0"/>
              <w:jc w:val="center"/>
              <w:rPr>
                <w:rFonts w:ascii="Arial Narrow" w:hAnsi="Arial Narrow" w:cs="Calibri"/>
                <w:b/>
                <w:bCs/>
                <w:color w:val="000000" w:themeColor="text1"/>
                <w:sz w:val="20"/>
                <w:szCs w:val="20"/>
              </w:rPr>
            </w:pPr>
            <w:r w:rsidRPr="009E35ED">
              <w:rPr>
                <w:rFonts w:ascii="Arial Narrow" w:hAnsi="Arial Narrow" w:cs="Calibri"/>
                <w:b/>
                <w:bCs/>
                <w:color w:val="000000" w:themeColor="text1"/>
                <w:sz w:val="20"/>
                <w:szCs w:val="20"/>
              </w:rPr>
              <w:t>PERIOD</w:t>
            </w:r>
          </w:p>
        </w:tc>
        <w:tc>
          <w:tcPr>
            <w:tcW w:w="2697" w:type="dxa"/>
            <w:tcBorders>
              <w:top w:val="single" w:sz="4" w:space="0" w:color="auto"/>
              <w:left w:val="nil"/>
              <w:bottom w:val="single" w:sz="4" w:space="0" w:color="auto"/>
              <w:right w:val="nil"/>
            </w:tcBorders>
            <w:shd w:val="clear" w:color="auto" w:fill="auto"/>
            <w:noWrap/>
            <w:vAlign w:val="center"/>
            <w:hideMark/>
          </w:tcPr>
          <w:p w14:paraId="19EC556D" w14:textId="77777777" w:rsidR="003B7C44" w:rsidRPr="009E35ED" w:rsidRDefault="003B7C44" w:rsidP="0093552B">
            <w:pPr>
              <w:shd w:val="clear" w:color="auto" w:fill="FFFFFF" w:themeFill="background1"/>
              <w:ind w:left="0"/>
              <w:jc w:val="center"/>
              <w:rPr>
                <w:rFonts w:ascii="Arial Narrow" w:hAnsi="Arial Narrow" w:cs="Calibri"/>
                <w:b/>
                <w:bCs/>
                <w:color w:val="000000" w:themeColor="text1"/>
                <w:sz w:val="20"/>
                <w:szCs w:val="20"/>
              </w:rPr>
            </w:pPr>
            <w:r w:rsidRPr="009E35ED">
              <w:rPr>
                <w:rFonts w:ascii="Arial Narrow" w:hAnsi="Arial Narrow" w:cs="Calibri"/>
                <w:b/>
                <w:bCs/>
                <w:color w:val="000000" w:themeColor="text1"/>
                <w:sz w:val="20"/>
                <w:szCs w:val="20"/>
              </w:rPr>
              <w:t>OPENING BALANCE</w:t>
            </w:r>
          </w:p>
        </w:tc>
        <w:tc>
          <w:tcPr>
            <w:tcW w:w="1923" w:type="dxa"/>
            <w:tcBorders>
              <w:top w:val="single" w:sz="4" w:space="0" w:color="auto"/>
              <w:left w:val="nil"/>
              <w:bottom w:val="single" w:sz="4" w:space="0" w:color="auto"/>
              <w:right w:val="nil"/>
            </w:tcBorders>
            <w:shd w:val="clear" w:color="auto" w:fill="auto"/>
            <w:noWrap/>
            <w:vAlign w:val="center"/>
            <w:hideMark/>
          </w:tcPr>
          <w:p w14:paraId="1A95E521" w14:textId="77777777" w:rsidR="003B7C44" w:rsidRPr="009E35ED" w:rsidRDefault="003B7C44" w:rsidP="0093552B">
            <w:pPr>
              <w:shd w:val="clear" w:color="auto" w:fill="FFFFFF" w:themeFill="background1"/>
              <w:ind w:left="0"/>
              <w:jc w:val="center"/>
              <w:rPr>
                <w:rFonts w:ascii="Arial Narrow" w:hAnsi="Arial Narrow" w:cs="Calibri"/>
                <w:b/>
                <w:bCs/>
                <w:color w:val="000000" w:themeColor="text1"/>
                <w:sz w:val="20"/>
                <w:szCs w:val="20"/>
              </w:rPr>
            </w:pPr>
            <w:r w:rsidRPr="009E35ED">
              <w:rPr>
                <w:rFonts w:ascii="Arial Narrow" w:hAnsi="Arial Narrow" w:cs="Calibri"/>
                <w:b/>
                <w:bCs/>
                <w:color w:val="000000" w:themeColor="text1"/>
                <w:sz w:val="20"/>
                <w:szCs w:val="20"/>
              </w:rPr>
              <w:t>INTEREST EXPENSE</w:t>
            </w:r>
          </w:p>
        </w:tc>
        <w:tc>
          <w:tcPr>
            <w:tcW w:w="2184" w:type="dxa"/>
            <w:tcBorders>
              <w:top w:val="single" w:sz="4" w:space="0" w:color="auto"/>
              <w:left w:val="nil"/>
              <w:bottom w:val="single" w:sz="4" w:space="0" w:color="auto"/>
              <w:right w:val="nil"/>
            </w:tcBorders>
            <w:shd w:val="clear" w:color="auto" w:fill="auto"/>
            <w:noWrap/>
            <w:vAlign w:val="center"/>
            <w:hideMark/>
          </w:tcPr>
          <w:p w14:paraId="0383F51D" w14:textId="77777777" w:rsidR="003B7C44" w:rsidRPr="009E35ED" w:rsidRDefault="003B7C44" w:rsidP="0093552B">
            <w:pPr>
              <w:shd w:val="clear" w:color="auto" w:fill="FFFFFF" w:themeFill="background1"/>
              <w:ind w:left="0"/>
              <w:jc w:val="center"/>
              <w:rPr>
                <w:rFonts w:ascii="Arial Narrow" w:hAnsi="Arial Narrow" w:cs="Calibri"/>
                <w:b/>
                <w:bCs/>
                <w:color w:val="000000" w:themeColor="text1"/>
                <w:sz w:val="20"/>
                <w:szCs w:val="20"/>
              </w:rPr>
            </w:pPr>
            <w:r w:rsidRPr="009E35ED">
              <w:rPr>
                <w:rFonts w:ascii="Arial Narrow" w:hAnsi="Arial Narrow" w:cs="Calibri"/>
                <w:b/>
                <w:bCs/>
                <w:color w:val="000000" w:themeColor="text1"/>
                <w:sz w:val="20"/>
                <w:szCs w:val="20"/>
              </w:rPr>
              <w:t>PRINCIPAL PAYMENT</w:t>
            </w:r>
          </w:p>
        </w:tc>
      </w:tr>
      <w:tr w:rsidR="00997F75" w:rsidRPr="009E35ED" w14:paraId="7ACCB355" w14:textId="77777777" w:rsidTr="0093552B">
        <w:trPr>
          <w:trHeight w:val="260"/>
        </w:trPr>
        <w:tc>
          <w:tcPr>
            <w:tcW w:w="1800" w:type="dxa"/>
            <w:tcBorders>
              <w:top w:val="nil"/>
              <w:left w:val="nil"/>
              <w:bottom w:val="nil"/>
              <w:right w:val="nil"/>
            </w:tcBorders>
            <w:shd w:val="clear" w:color="auto" w:fill="auto"/>
            <w:noWrap/>
            <w:vAlign w:val="bottom"/>
            <w:hideMark/>
          </w:tcPr>
          <w:p w14:paraId="71F5F896" w14:textId="74A11B46" w:rsidR="00FA59EA" w:rsidRPr="009E35ED" w:rsidRDefault="00FA59EA" w:rsidP="0093552B">
            <w:pPr>
              <w:shd w:val="clear" w:color="auto" w:fill="FFFFFF" w:themeFill="background1"/>
              <w:ind w:left="0"/>
              <w:jc w:val="center"/>
              <w:rPr>
                <w:rFonts w:ascii="Arial Narrow" w:hAnsi="Arial Narrow" w:cs="Calibri"/>
                <w:color w:val="000000" w:themeColor="text1"/>
                <w:sz w:val="22"/>
                <w:szCs w:val="22"/>
              </w:rPr>
            </w:pPr>
            <w:r w:rsidRPr="009E35ED">
              <w:rPr>
                <w:rFonts w:ascii="Arial Narrow" w:hAnsi="Arial Narrow" w:cs="Calibri"/>
                <w:color w:val="000000" w:themeColor="text1"/>
                <w:sz w:val="22"/>
                <w:szCs w:val="22"/>
              </w:rPr>
              <w:t>01-Jan-23</w:t>
            </w:r>
          </w:p>
        </w:tc>
        <w:tc>
          <w:tcPr>
            <w:tcW w:w="2697" w:type="dxa"/>
            <w:tcBorders>
              <w:top w:val="nil"/>
              <w:left w:val="nil"/>
              <w:bottom w:val="nil"/>
              <w:right w:val="nil"/>
            </w:tcBorders>
            <w:shd w:val="clear" w:color="auto" w:fill="auto"/>
            <w:noWrap/>
            <w:hideMark/>
          </w:tcPr>
          <w:p w14:paraId="044E8702" w14:textId="77777777" w:rsidR="00FA59EA" w:rsidRPr="009E35ED" w:rsidRDefault="00FA59EA" w:rsidP="0093552B">
            <w:pPr>
              <w:shd w:val="clear" w:color="auto" w:fill="FFFFFF" w:themeFill="background1"/>
              <w:ind w:left="0"/>
              <w:jc w:val="center"/>
              <w:rPr>
                <w:rFonts w:ascii="Arial Narrow" w:hAnsi="Arial Narrow" w:cs="Calibri"/>
                <w:color w:val="000000" w:themeColor="text1"/>
                <w:sz w:val="22"/>
                <w:szCs w:val="22"/>
              </w:rPr>
            </w:pPr>
            <w:r w:rsidRPr="009E35ED">
              <w:rPr>
                <w:rFonts w:ascii="Arial Narrow" w:hAnsi="Arial Narrow"/>
                <w:color w:val="000000" w:themeColor="text1"/>
                <w:sz w:val="22"/>
                <w:szCs w:val="22"/>
              </w:rPr>
              <w:t>237,333,307.72</w:t>
            </w:r>
          </w:p>
        </w:tc>
        <w:tc>
          <w:tcPr>
            <w:tcW w:w="1923" w:type="dxa"/>
            <w:tcBorders>
              <w:top w:val="nil"/>
              <w:left w:val="nil"/>
              <w:bottom w:val="nil"/>
              <w:right w:val="nil"/>
            </w:tcBorders>
            <w:shd w:val="clear" w:color="auto" w:fill="auto"/>
            <w:noWrap/>
            <w:hideMark/>
          </w:tcPr>
          <w:p w14:paraId="539E1C96" w14:textId="77777777" w:rsidR="00FA59EA" w:rsidRPr="009E35ED" w:rsidRDefault="00FA59EA" w:rsidP="0093552B">
            <w:pPr>
              <w:shd w:val="clear" w:color="auto" w:fill="FFFFFF" w:themeFill="background1"/>
              <w:ind w:left="0"/>
              <w:jc w:val="center"/>
              <w:rPr>
                <w:rFonts w:ascii="Arial Narrow" w:hAnsi="Arial Narrow" w:cs="Calibri"/>
                <w:color w:val="000000" w:themeColor="text1"/>
                <w:sz w:val="22"/>
                <w:szCs w:val="22"/>
              </w:rPr>
            </w:pPr>
            <w:r w:rsidRPr="009E35ED">
              <w:rPr>
                <w:rFonts w:ascii="Arial Narrow" w:hAnsi="Arial Narrow"/>
                <w:color w:val="000000" w:themeColor="text1"/>
                <w:sz w:val="22"/>
                <w:szCs w:val="22"/>
              </w:rPr>
              <w:t>592,769.93</w:t>
            </w:r>
          </w:p>
        </w:tc>
        <w:tc>
          <w:tcPr>
            <w:tcW w:w="2184" w:type="dxa"/>
            <w:tcBorders>
              <w:top w:val="nil"/>
              <w:left w:val="nil"/>
              <w:bottom w:val="nil"/>
              <w:right w:val="nil"/>
            </w:tcBorders>
            <w:shd w:val="clear" w:color="auto" w:fill="auto"/>
            <w:noWrap/>
            <w:hideMark/>
          </w:tcPr>
          <w:p w14:paraId="73BB7D8E" w14:textId="77777777" w:rsidR="00FA59EA" w:rsidRPr="009E35ED" w:rsidRDefault="00FA59EA" w:rsidP="0093552B">
            <w:pPr>
              <w:shd w:val="clear" w:color="auto" w:fill="FFFFFF" w:themeFill="background1"/>
              <w:ind w:left="0"/>
              <w:jc w:val="center"/>
              <w:rPr>
                <w:rFonts w:ascii="Arial Narrow" w:hAnsi="Arial Narrow" w:cs="Calibri"/>
                <w:color w:val="000000" w:themeColor="text1"/>
                <w:sz w:val="22"/>
                <w:szCs w:val="22"/>
              </w:rPr>
            </w:pPr>
            <w:r w:rsidRPr="009E35ED">
              <w:rPr>
                <w:rFonts w:ascii="Arial Narrow" w:hAnsi="Arial Narrow"/>
                <w:color w:val="000000" w:themeColor="text1"/>
                <w:sz w:val="22"/>
                <w:szCs w:val="22"/>
              </w:rPr>
              <w:t>11,308,901.62</w:t>
            </w:r>
          </w:p>
        </w:tc>
      </w:tr>
      <w:tr w:rsidR="00997F75" w:rsidRPr="009E35ED" w14:paraId="797E0266" w14:textId="77777777" w:rsidTr="0093552B">
        <w:trPr>
          <w:trHeight w:val="90"/>
        </w:trPr>
        <w:tc>
          <w:tcPr>
            <w:tcW w:w="1800" w:type="dxa"/>
            <w:tcBorders>
              <w:top w:val="nil"/>
              <w:left w:val="nil"/>
              <w:bottom w:val="nil"/>
              <w:right w:val="nil"/>
            </w:tcBorders>
            <w:shd w:val="clear" w:color="auto" w:fill="auto"/>
            <w:noWrap/>
            <w:vAlign w:val="bottom"/>
            <w:hideMark/>
          </w:tcPr>
          <w:p w14:paraId="1A08C2BC" w14:textId="18D0C75B" w:rsidR="00FA59EA" w:rsidRPr="009E35ED" w:rsidRDefault="00FA59EA" w:rsidP="0093552B">
            <w:pPr>
              <w:shd w:val="clear" w:color="auto" w:fill="FFFFFF" w:themeFill="background1"/>
              <w:ind w:left="0"/>
              <w:jc w:val="center"/>
              <w:rPr>
                <w:rFonts w:ascii="Arial Narrow" w:hAnsi="Arial Narrow" w:cs="Calibri"/>
                <w:color w:val="000000" w:themeColor="text1"/>
                <w:sz w:val="22"/>
                <w:szCs w:val="22"/>
              </w:rPr>
            </w:pPr>
            <w:r w:rsidRPr="009E35ED">
              <w:rPr>
                <w:rFonts w:ascii="Arial Narrow" w:hAnsi="Arial Narrow" w:cs="Calibri"/>
                <w:color w:val="000000" w:themeColor="text1"/>
                <w:sz w:val="22"/>
                <w:szCs w:val="22"/>
              </w:rPr>
              <w:t>01-Feb-23</w:t>
            </w:r>
          </w:p>
        </w:tc>
        <w:tc>
          <w:tcPr>
            <w:tcW w:w="2697" w:type="dxa"/>
            <w:tcBorders>
              <w:top w:val="nil"/>
              <w:left w:val="nil"/>
              <w:bottom w:val="nil"/>
              <w:right w:val="nil"/>
            </w:tcBorders>
            <w:shd w:val="clear" w:color="auto" w:fill="auto"/>
            <w:noWrap/>
            <w:hideMark/>
          </w:tcPr>
          <w:p w14:paraId="5D236DB4" w14:textId="77777777" w:rsidR="00FA59EA" w:rsidRPr="009E35ED" w:rsidRDefault="00FA59EA" w:rsidP="0093552B">
            <w:pPr>
              <w:shd w:val="clear" w:color="auto" w:fill="FFFFFF" w:themeFill="background1"/>
              <w:ind w:left="0"/>
              <w:jc w:val="center"/>
              <w:rPr>
                <w:rFonts w:ascii="Arial Narrow" w:hAnsi="Arial Narrow" w:cs="Calibri"/>
                <w:color w:val="000000" w:themeColor="text1"/>
                <w:sz w:val="22"/>
                <w:szCs w:val="22"/>
              </w:rPr>
            </w:pPr>
            <w:r w:rsidRPr="009E35ED">
              <w:rPr>
                <w:rFonts w:ascii="Arial Narrow" w:hAnsi="Arial Narrow"/>
                <w:color w:val="000000" w:themeColor="text1"/>
                <w:sz w:val="22"/>
                <w:szCs w:val="22"/>
              </w:rPr>
              <w:t>225,997,445.36</w:t>
            </w:r>
          </w:p>
        </w:tc>
        <w:tc>
          <w:tcPr>
            <w:tcW w:w="1923" w:type="dxa"/>
            <w:tcBorders>
              <w:top w:val="nil"/>
              <w:left w:val="nil"/>
              <w:bottom w:val="nil"/>
              <w:right w:val="nil"/>
            </w:tcBorders>
            <w:shd w:val="clear" w:color="auto" w:fill="auto"/>
            <w:noWrap/>
            <w:hideMark/>
          </w:tcPr>
          <w:p w14:paraId="33347034" w14:textId="77777777" w:rsidR="00FA59EA" w:rsidRPr="009E35ED" w:rsidRDefault="00FA59EA" w:rsidP="0093552B">
            <w:pPr>
              <w:shd w:val="clear" w:color="auto" w:fill="FFFFFF" w:themeFill="background1"/>
              <w:ind w:left="0"/>
              <w:jc w:val="center"/>
              <w:rPr>
                <w:rFonts w:ascii="Arial Narrow" w:hAnsi="Arial Narrow" w:cs="Calibri"/>
                <w:color w:val="000000" w:themeColor="text1"/>
                <w:sz w:val="22"/>
                <w:szCs w:val="22"/>
              </w:rPr>
            </w:pPr>
            <w:r w:rsidRPr="009E35ED">
              <w:rPr>
                <w:rFonts w:ascii="Arial Narrow" w:hAnsi="Arial Narrow"/>
                <w:color w:val="000000" w:themeColor="text1"/>
                <w:sz w:val="22"/>
                <w:szCs w:val="22"/>
              </w:rPr>
              <w:t>565,809.20</w:t>
            </w:r>
          </w:p>
        </w:tc>
        <w:tc>
          <w:tcPr>
            <w:tcW w:w="2184" w:type="dxa"/>
            <w:tcBorders>
              <w:top w:val="nil"/>
              <w:left w:val="nil"/>
              <w:bottom w:val="nil"/>
              <w:right w:val="nil"/>
            </w:tcBorders>
            <w:shd w:val="clear" w:color="auto" w:fill="auto"/>
            <w:noWrap/>
            <w:hideMark/>
          </w:tcPr>
          <w:p w14:paraId="7DC13E3F" w14:textId="77777777" w:rsidR="00FA59EA" w:rsidRPr="009E35ED" w:rsidRDefault="00FA59EA" w:rsidP="0093552B">
            <w:pPr>
              <w:shd w:val="clear" w:color="auto" w:fill="FFFFFF" w:themeFill="background1"/>
              <w:ind w:left="0"/>
              <w:jc w:val="center"/>
              <w:rPr>
                <w:rFonts w:ascii="Arial Narrow" w:hAnsi="Arial Narrow" w:cs="Calibri"/>
                <w:color w:val="000000" w:themeColor="text1"/>
                <w:sz w:val="22"/>
                <w:szCs w:val="22"/>
              </w:rPr>
            </w:pPr>
            <w:r w:rsidRPr="009E35ED">
              <w:rPr>
                <w:rFonts w:ascii="Arial Narrow" w:hAnsi="Arial Narrow"/>
                <w:color w:val="000000" w:themeColor="text1"/>
                <w:sz w:val="22"/>
                <w:szCs w:val="22"/>
              </w:rPr>
              <w:t>11,335,862.35</w:t>
            </w:r>
          </w:p>
        </w:tc>
      </w:tr>
      <w:tr w:rsidR="00997F75" w:rsidRPr="009E35ED" w14:paraId="54367900" w14:textId="77777777" w:rsidTr="0093552B">
        <w:trPr>
          <w:trHeight w:val="225"/>
        </w:trPr>
        <w:tc>
          <w:tcPr>
            <w:tcW w:w="1800" w:type="dxa"/>
            <w:tcBorders>
              <w:top w:val="nil"/>
              <w:left w:val="nil"/>
              <w:bottom w:val="nil"/>
              <w:right w:val="nil"/>
            </w:tcBorders>
            <w:shd w:val="clear" w:color="auto" w:fill="auto"/>
            <w:noWrap/>
            <w:vAlign w:val="bottom"/>
            <w:hideMark/>
          </w:tcPr>
          <w:p w14:paraId="722F0BA5" w14:textId="75F4636D" w:rsidR="00FA59EA" w:rsidRPr="009E35ED" w:rsidRDefault="00FA59EA" w:rsidP="0093552B">
            <w:pPr>
              <w:shd w:val="clear" w:color="auto" w:fill="FFFFFF" w:themeFill="background1"/>
              <w:ind w:left="0"/>
              <w:jc w:val="center"/>
              <w:rPr>
                <w:rFonts w:ascii="Arial Narrow" w:hAnsi="Arial Narrow" w:cs="Calibri"/>
                <w:color w:val="000000" w:themeColor="text1"/>
                <w:sz w:val="22"/>
                <w:szCs w:val="22"/>
              </w:rPr>
            </w:pPr>
            <w:r w:rsidRPr="009E35ED">
              <w:rPr>
                <w:rFonts w:ascii="Arial Narrow" w:hAnsi="Arial Narrow" w:cs="Calibri"/>
                <w:color w:val="000000" w:themeColor="text1"/>
                <w:sz w:val="22"/>
                <w:szCs w:val="22"/>
              </w:rPr>
              <w:t>01-Mar-23</w:t>
            </w:r>
          </w:p>
        </w:tc>
        <w:tc>
          <w:tcPr>
            <w:tcW w:w="2697" w:type="dxa"/>
            <w:tcBorders>
              <w:top w:val="nil"/>
              <w:left w:val="nil"/>
              <w:bottom w:val="nil"/>
              <w:right w:val="nil"/>
            </w:tcBorders>
            <w:shd w:val="clear" w:color="auto" w:fill="auto"/>
            <w:noWrap/>
            <w:hideMark/>
          </w:tcPr>
          <w:p w14:paraId="11DEBE3E" w14:textId="77777777" w:rsidR="00FA59EA" w:rsidRPr="009E35ED" w:rsidRDefault="00FA59EA" w:rsidP="0093552B">
            <w:pPr>
              <w:shd w:val="clear" w:color="auto" w:fill="FFFFFF" w:themeFill="background1"/>
              <w:ind w:left="0"/>
              <w:jc w:val="center"/>
              <w:rPr>
                <w:rFonts w:ascii="Arial Narrow" w:hAnsi="Arial Narrow" w:cs="Calibri"/>
                <w:color w:val="000000" w:themeColor="text1"/>
                <w:sz w:val="22"/>
                <w:szCs w:val="22"/>
              </w:rPr>
            </w:pPr>
            <w:r w:rsidRPr="009E35ED">
              <w:rPr>
                <w:rFonts w:ascii="Arial Narrow" w:hAnsi="Arial Narrow"/>
                <w:color w:val="000000" w:themeColor="text1"/>
                <w:sz w:val="22"/>
                <w:szCs w:val="22"/>
              </w:rPr>
              <w:t>214,634,558.00</w:t>
            </w:r>
          </w:p>
        </w:tc>
        <w:tc>
          <w:tcPr>
            <w:tcW w:w="1923" w:type="dxa"/>
            <w:tcBorders>
              <w:top w:val="nil"/>
              <w:left w:val="nil"/>
              <w:bottom w:val="nil"/>
              <w:right w:val="nil"/>
            </w:tcBorders>
            <w:shd w:val="clear" w:color="auto" w:fill="auto"/>
            <w:noWrap/>
            <w:hideMark/>
          </w:tcPr>
          <w:p w14:paraId="29350965" w14:textId="77777777" w:rsidR="00FA59EA" w:rsidRPr="009E35ED" w:rsidRDefault="00FA59EA" w:rsidP="0093552B">
            <w:pPr>
              <w:shd w:val="clear" w:color="auto" w:fill="FFFFFF" w:themeFill="background1"/>
              <w:ind w:left="0"/>
              <w:jc w:val="center"/>
              <w:rPr>
                <w:rFonts w:ascii="Arial Narrow" w:hAnsi="Arial Narrow" w:cs="Calibri"/>
                <w:color w:val="000000" w:themeColor="text1"/>
                <w:sz w:val="22"/>
                <w:szCs w:val="22"/>
              </w:rPr>
            </w:pPr>
            <w:r w:rsidRPr="009E35ED">
              <w:rPr>
                <w:rFonts w:ascii="Arial Narrow" w:hAnsi="Arial Narrow"/>
                <w:color w:val="000000" w:themeColor="text1"/>
                <w:sz w:val="22"/>
                <w:szCs w:val="22"/>
              </w:rPr>
              <w:t>538,784.19</w:t>
            </w:r>
          </w:p>
        </w:tc>
        <w:tc>
          <w:tcPr>
            <w:tcW w:w="2184" w:type="dxa"/>
            <w:tcBorders>
              <w:top w:val="nil"/>
              <w:left w:val="nil"/>
              <w:bottom w:val="nil"/>
              <w:right w:val="nil"/>
            </w:tcBorders>
            <w:shd w:val="clear" w:color="auto" w:fill="auto"/>
            <w:noWrap/>
            <w:hideMark/>
          </w:tcPr>
          <w:p w14:paraId="72B63C5C" w14:textId="77777777" w:rsidR="00FA59EA" w:rsidRPr="009E35ED" w:rsidRDefault="00FA59EA" w:rsidP="0093552B">
            <w:pPr>
              <w:shd w:val="clear" w:color="auto" w:fill="FFFFFF" w:themeFill="background1"/>
              <w:ind w:left="0"/>
              <w:jc w:val="center"/>
              <w:rPr>
                <w:rFonts w:ascii="Arial Narrow" w:hAnsi="Arial Narrow" w:cs="Calibri"/>
                <w:color w:val="000000" w:themeColor="text1"/>
                <w:sz w:val="22"/>
                <w:szCs w:val="22"/>
              </w:rPr>
            </w:pPr>
            <w:r w:rsidRPr="009E35ED">
              <w:rPr>
                <w:rFonts w:ascii="Arial Narrow" w:hAnsi="Arial Narrow"/>
                <w:color w:val="000000" w:themeColor="text1"/>
                <w:sz w:val="22"/>
                <w:szCs w:val="22"/>
              </w:rPr>
              <w:t>11,362,887.36</w:t>
            </w:r>
          </w:p>
        </w:tc>
      </w:tr>
      <w:tr w:rsidR="00997F75" w:rsidRPr="009E35ED" w14:paraId="3A91DB2F" w14:textId="77777777" w:rsidTr="0093552B">
        <w:trPr>
          <w:trHeight w:val="83"/>
        </w:trPr>
        <w:tc>
          <w:tcPr>
            <w:tcW w:w="1800" w:type="dxa"/>
            <w:tcBorders>
              <w:top w:val="nil"/>
              <w:left w:val="nil"/>
              <w:bottom w:val="nil"/>
              <w:right w:val="nil"/>
            </w:tcBorders>
            <w:shd w:val="clear" w:color="auto" w:fill="auto"/>
            <w:noWrap/>
            <w:vAlign w:val="bottom"/>
            <w:hideMark/>
          </w:tcPr>
          <w:p w14:paraId="48CCDE46" w14:textId="378C7915" w:rsidR="00FA59EA" w:rsidRPr="009E35ED" w:rsidRDefault="00FA59EA" w:rsidP="0093552B">
            <w:pPr>
              <w:shd w:val="clear" w:color="auto" w:fill="FFFFFF" w:themeFill="background1"/>
              <w:ind w:left="0"/>
              <w:jc w:val="center"/>
              <w:rPr>
                <w:rFonts w:ascii="Arial Narrow" w:hAnsi="Arial Narrow" w:cs="Calibri"/>
                <w:color w:val="000000" w:themeColor="text1"/>
                <w:sz w:val="22"/>
                <w:szCs w:val="22"/>
              </w:rPr>
            </w:pPr>
            <w:r w:rsidRPr="009E35ED">
              <w:rPr>
                <w:rFonts w:ascii="Arial Narrow" w:hAnsi="Arial Narrow" w:cs="Calibri"/>
                <w:color w:val="000000" w:themeColor="text1"/>
                <w:sz w:val="22"/>
                <w:szCs w:val="22"/>
              </w:rPr>
              <w:t>01-Apr-23</w:t>
            </w:r>
          </w:p>
        </w:tc>
        <w:tc>
          <w:tcPr>
            <w:tcW w:w="2697" w:type="dxa"/>
            <w:tcBorders>
              <w:top w:val="nil"/>
              <w:left w:val="nil"/>
              <w:bottom w:val="nil"/>
              <w:right w:val="nil"/>
            </w:tcBorders>
            <w:shd w:val="clear" w:color="auto" w:fill="auto"/>
            <w:noWrap/>
            <w:hideMark/>
          </w:tcPr>
          <w:p w14:paraId="76780522" w14:textId="77777777" w:rsidR="00FA59EA" w:rsidRPr="009E35ED" w:rsidRDefault="00FA59EA" w:rsidP="0093552B">
            <w:pPr>
              <w:shd w:val="clear" w:color="auto" w:fill="FFFFFF" w:themeFill="background1"/>
              <w:ind w:left="0"/>
              <w:jc w:val="center"/>
              <w:rPr>
                <w:rFonts w:ascii="Arial Narrow" w:hAnsi="Arial Narrow" w:cs="Calibri"/>
                <w:color w:val="000000" w:themeColor="text1"/>
                <w:sz w:val="22"/>
                <w:szCs w:val="22"/>
              </w:rPr>
            </w:pPr>
            <w:r w:rsidRPr="009E35ED">
              <w:rPr>
                <w:rFonts w:ascii="Arial Narrow" w:hAnsi="Arial Narrow"/>
                <w:color w:val="000000" w:themeColor="text1"/>
                <w:sz w:val="22"/>
                <w:szCs w:val="22"/>
              </w:rPr>
              <w:t>203,244,581.20</w:t>
            </w:r>
          </w:p>
        </w:tc>
        <w:tc>
          <w:tcPr>
            <w:tcW w:w="1923" w:type="dxa"/>
            <w:tcBorders>
              <w:top w:val="nil"/>
              <w:left w:val="nil"/>
              <w:bottom w:val="nil"/>
              <w:right w:val="nil"/>
            </w:tcBorders>
            <w:shd w:val="clear" w:color="auto" w:fill="auto"/>
            <w:noWrap/>
            <w:hideMark/>
          </w:tcPr>
          <w:p w14:paraId="7569E428" w14:textId="77777777" w:rsidR="00FA59EA" w:rsidRPr="009E35ED" w:rsidRDefault="00FA59EA" w:rsidP="0093552B">
            <w:pPr>
              <w:shd w:val="clear" w:color="auto" w:fill="FFFFFF" w:themeFill="background1"/>
              <w:ind w:left="0"/>
              <w:jc w:val="center"/>
              <w:rPr>
                <w:rFonts w:ascii="Arial Narrow" w:hAnsi="Arial Narrow" w:cs="Calibri"/>
                <w:color w:val="000000" w:themeColor="text1"/>
                <w:sz w:val="22"/>
                <w:szCs w:val="22"/>
              </w:rPr>
            </w:pPr>
            <w:r w:rsidRPr="009E35ED">
              <w:rPr>
                <w:rFonts w:ascii="Arial Narrow" w:hAnsi="Arial Narrow"/>
                <w:color w:val="000000" w:themeColor="text1"/>
                <w:sz w:val="22"/>
                <w:szCs w:val="22"/>
              </w:rPr>
              <w:t>511,694.75</w:t>
            </w:r>
          </w:p>
        </w:tc>
        <w:tc>
          <w:tcPr>
            <w:tcW w:w="2184" w:type="dxa"/>
            <w:tcBorders>
              <w:top w:val="nil"/>
              <w:left w:val="nil"/>
              <w:bottom w:val="nil"/>
              <w:right w:val="nil"/>
            </w:tcBorders>
            <w:shd w:val="clear" w:color="auto" w:fill="auto"/>
            <w:noWrap/>
            <w:hideMark/>
          </w:tcPr>
          <w:p w14:paraId="7A62C7A4" w14:textId="77777777" w:rsidR="00FA59EA" w:rsidRPr="009E35ED" w:rsidRDefault="00FA59EA" w:rsidP="0093552B">
            <w:pPr>
              <w:shd w:val="clear" w:color="auto" w:fill="FFFFFF" w:themeFill="background1"/>
              <w:ind w:left="0"/>
              <w:jc w:val="center"/>
              <w:rPr>
                <w:rFonts w:ascii="Arial Narrow" w:hAnsi="Arial Narrow" w:cs="Calibri"/>
                <w:color w:val="000000" w:themeColor="text1"/>
                <w:sz w:val="22"/>
                <w:szCs w:val="22"/>
              </w:rPr>
            </w:pPr>
            <w:r w:rsidRPr="009E35ED">
              <w:rPr>
                <w:rFonts w:ascii="Arial Narrow" w:hAnsi="Arial Narrow"/>
                <w:color w:val="000000" w:themeColor="text1"/>
                <w:sz w:val="22"/>
                <w:szCs w:val="22"/>
              </w:rPr>
              <w:t>11,389,976.80</w:t>
            </w:r>
          </w:p>
        </w:tc>
      </w:tr>
      <w:tr w:rsidR="00997F75" w:rsidRPr="009E35ED" w14:paraId="5D693FE4" w14:textId="77777777" w:rsidTr="0093552B">
        <w:trPr>
          <w:trHeight w:val="126"/>
        </w:trPr>
        <w:tc>
          <w:tcPr>
            <w:tcW w:w="1800" w:type="dxa"/>
            <w:tcBorders>
              <w:top w:val="nil"/>
              <w:left w:val="nil"/>
              <w:bottom w:val="nil"/>
              <w:right w:val="nil"/>
            </w:tcBorders>
            <w:shd w:val="clear" w:color="auto" w:fill="auto"/>
            <w:noWrap/>
            <w:vAlign w:val="bottom"/>
            <w:hideMark/>
          </w:tcPr>
          <w:p w14:paraId="0892769D" w14:textId="6A348815" w:rsidR="00FA59EA" w:rsidRPr="009E35ED" w:rsidRDefault="00FA59EA" w:rsidP="0093552B">
            <w:pPr>
              <w:shd w:val="clear" w:color="auto" w:fill="FFFFFF" w:themeFill="background1"/>
              <w:ind w:left="0"/>
              <w:jc w:val="center"/>
              <w:rPr>
                <w:rFonts w:ascii="Arial Narrow" w:hAnsi="Arial Narrow" w:cs="Calibri"/>
                <w:color w:val="000000" w:themeColor="text1"/>
                <w:sz w:val="22"/>
                <w:szCs w:val="22"/>
              </w:rPr>
            </w:pPr>
            <w:r w:rsidRPr="009E35ED">
              <w:rPr>
                <w:rFonts w:ascii="Arial Narrow" w:hAnsi="Arial Narrow" w:cs="Calibri"/>
                <w:color w:val="000000" w:themeColor="text1"/>
                <w:sz w:val="22"/>
                <w:szCs w:val="22"/>
              </w:rPr>
              <w:t>01-May-23</w:t>
            </w:r>
          </w:p>
        </w:tc>
        <w:tc>
          <w:tcPr>
            <w:tcW w:w="2697" w:type="dxa"/>
            <w:tcBorders>
              <w:top w:val="nil"/>
              <w:left w:val="nil"/>
              <w:bottom w:val="nil"/>
              <w:right w:val="nil"/>
            </w:tcBorders>
            <w:shd w:val="clear" w:color="auto" w:fill="auto"/>
            <w:noWrap/>
            <w:hideMark/>
          </w:tcPr>
          <w:p w14:paraId="75DD2505" w14:textId="77777777" w:rsidR="00FA59EA" w:rsidRPr="009E35ED" w:rsidRDefault="00FA59EA" w:rsidP="0093552B">
            <w:pPr>
              <w:shd w:val="clear" w:color="auto" w:fill="FFFFFF" w:themeFill="background1"/>
              <w:ind w:left="0"/>
              <w:jc w:val="center"/>
              <w:rPr>
                <w:rFonts w:ascii="Arial Narrow" w:hAnsi="Arial Narrow" w:cs="Calibri"/>
                <w:color w:val="000000" w:themeColor="text1"/>
                <w:sz w:val="22"/>
                <w:szCs w:val="22"/>
              </w:rPr>
            </w:pPr>
            <w:r w:rsidRPr="009E35ED">
              <w:rPr>
                <w:rFonts w:ascii="Arial Narrow" w:hAnsi="Arial Narrow"/>
                <w:color w:val="000000" w:themeColor="text1"/>
                <w:sz w:val="22"/>
                <w:szCs w:val="22"/>
              </w:rPr>
              <w:t>191,827,450.38</w:t>
            </w:r>
          </w:p>
        </w:tc>
        <w:tc>
          <w:tcPr>
            <w:tcW w:w="1923" w:type="dxa"/>
            <w:tcBorders>
              <w:top w:val="nil"/>
              <w:left w:val="nil"/>
              <w:bottom w:val="nil"/>
              <w:right w:val="nil"/>
            </w:tcBorders>
            <w:shd w:val="clear" w:color="auto" w:fill="auto"/>
            <w:noWrap/>
            <w:hideMark/>
          </w:tcPr>
          <w:p w14:paraId="3FE235AA" w14:textId="77777777" w:rsidR="00FA59EA" w:rsidRPr="009E35ED" w:rsidRDefault="00FA59EA" w:rsidP="0093552B">
            <w:pPr>
              <w:shd w:val="clear" w:color="auto" w:fill="FFFFFF" w:themeFill="background1"/>
              <w:ind w:left="0"/>
              <w:jc w:val="center"/>
              <w:rPr>
                <w:rFonts w:ascii="Arial Narrow" w:hAnsi="Arial Narrow" w:cs="Calibri"/>
                <w:color w:val="000000" w:themeColor="text1"/>
                <w:sz w:val="22"/>
                <w:szCs w:val="22"/>
              </w:rPr>
            </w:pPr>
            <w:r w:rsidRPr="009E35ED">
              <w:rPr>
                <w:rFonts w:ascii="Arial Narrow" w:hAnsi="Arial Narrow"/>
                <w:color w:val="000000" w:themeColor="text1"/>
                <w:sz w:val="22"/>
                <w:szCs w:val="22"/>
              </w:rPr>
              <w:t>484,540.73</w:t>
            </w:r>
          </w:p>
        </w:tc>
        <w:tc>
          <w:tcPr>
            <w:tcW w:w="2184" w:type="dxa"/>
            <w:tcBorders>
              <w:top w:val="nil"/>
              <w:left w:val="nil"/>
              <w:bottom w:val="nil"/>
              <w:right w:val="nil"/>
            </w:tcBorders>
            <w:shd w:val="clear" w:color="auto" w:fill="auto"/>
            <w:noWrap/>
            <w:hideMark/>
          </w:tcPr>
          <w:p w14:paraId="6431968B" w14:textId="77777777" w:rsidR="00FA59EA" w:rsidRPr="009E35ED" w:rsidRDefault="00FA59EA" w:rsidP="0093552B">
            <w:pPr>
              <w:shd w:val="clear" w:color="auto" w:fill="FFFFFF" w:themeFill="background1"/>
              <w:ind w:left="0"/>
              <w:jc w:val="center"/>
              <w:rPr>
                <w:rFonts w:ascii="Arial Narrow" w:hAnsi="Arial Narrow" w:cs="Calibri"/>
                <w:color w:val="000000" w:themeColor="text1"/>
                <w:sz w:val="22"/>
                <w:szCs w:val="22"/>
              </w:rPr>
            </w:pPr>
            <w:r w:rsidRPr="009E35ED">
              <w:rPr>
                <w:rFonts w:ascii="Arial Narrow" w:hAnsi="Arial Narrow"/>
                <w:color w:val="000000" w:themeColor="text1"/>
                <w:sz w:val="22"/>
                <w:szCs w:val="22"/>
              </w:rPr>
              <w:t>11,417,130.82</w:t>
            </w:r>
          </w:p>
        </w:tc>
      </w:tr>
      <w:tr w:rsidR="00997F75" w:rsidRPr="009E35ED" w14:paraId="5CFF7634" w14:textId="77777777" w:rsidTr="0093552B">
        <w:trPr>
          <w:trHeight w:val="243"/>
        </w:trPr>
        <w:tc>
          <w:tcPr>
            <w:tcW w:w="1800" w:type="dxa"/>
            <w:tcBorders>
              <w:top w:val="nil"/>
              <w:left w:val="nil"/>
              <w:bottom w:val="nil"/>
              <w:right w:val="nil"/>
            </w:tcBorders>
            <w:shd w:val="clear" w:color="auto" w:fill="auto"/>
            <w:noWrap/>
            <w:vAlign w:val="bottom"/>
            <w:hideMark/>
          </w:tcPr>
          <w:p w14:paraId="29C4EF29" w14:textId="75830056" w:rsidR="00FA59EA" w:rsidRPr="009E35ED" w:rsidRDefault="00FA59EA" w:rsidP="0093552B">
            <w:pPr>
              <w:shd w:val="clear" w:color="auto" w:fill="FFFFFF" w:themeFill="background1"/>
              <w:ind w:left="0"/>
              <w:jc w:val="center"/>
              <w:rPr>
                <w:rFonts w:ascii="Arial Narrow" w:hAnsi="Arial Narrow" w:cs="Calibri"/>
                <w:color w:val="000000" w:themeColor="text1"/>
                <w:sz w:val="22"/>
                <w:szCs w:val="22"/>
              </w:rPr>
            </w:pPr>
            <w:r w:rsidRPr="009E35ED">
              <w:rPr>
                <w:rFonts w:ascii="Arial Narrow" w:hAnsi="Arial Narrow" w:cs="Calibri"/>
                <w:color w:val="000000" w:themeColor="text1"/>
                <w:sz w:val="22"/>
                <w:szCs w:val="22"/>
              </w:rPr>
              <w:t>01-Jun-23</w:t>
            </w:r>
          </w:p>
        </w:tc>
        <w:tc>
          <w:tcPr>
            <w:tcW w:w="2697" w:type="dxa"/>
            <w:tcBorders>
              <w:top w:val="nil"/>
              <w:left w:val="nil"/>
              <w:bottom w:val="nil"/>
              <w:right w:val="nil"/>
            </w:tcBorders>
            <w:shd w:val="clear" w:color="auto" w:fill="auto"/>
            <w:noWrap/>
            <w:hideMark/>
          </w:tcPr>
          <w:p w14:paraId="0317CFDD" w14:textId="77777777" w:rsidR="00FA59EA" w:rsidRPr="009E35ED" w:rsidRDefault="00FA59EA" w:rsidP="0093552B">
            <w:pPr>
              <w:shd w:val="clear" w:color="auto" w:fill="FFFFFF" w:themeFill="background1"/>
              <w:ind w:left="0"/>
              <w:jc w:val="center"/>
              <w:rPr>
                <w:rFonts w:ascii="Arial Narrow" w:hAnsi="Arial Narrow" w:cs="Calibri"/>
                <w:color w:val="000000" w:themeColor="text1"/>
                <w:sz w:val="22"/>
                <w:szCs w:val="22"/>
              </w:rPr>
            </w:pPr>
            <w:r w:rsidRPr="009E35ED">
              <w:rPr>
                <w:rFonts w:ascii="Arial Narrow" w:hAnsi="Arial Narrow"/>
                <w:color w:val="000000" w:themeColor="text1"/>
                <w:sz w:val="22"/>
                <w:szCs w:val="22"/>
              </w:rPr>
              <w:t>180,383,100.80</w:t>
            </w:r>
          </w:p>
        </w:tc>
        <w:tc>
          <w:tcPr>
            <w:tcW w:w="1923" w:type="dxa"/>
            <w:tcBorders>
              <w:top w:val="nil"/>
              <w:left w:val="nil"/>
              <w:bottom w:val="nil"/>
              <w:right w:val="nil"/>
            </w:tcBorders>
            <w:shd w:val="clear" w:color="auto" w:fill="auto"/>
            <w:noWrap/>
            <w:hideMark/>
          </w:tcPr>
          <w:p w14:paraId="438E0E34" w14:textId="77777777" w:rsidR="00FA59EA" w:rsidRPr="009E35ED" w:rsidRDefault="00FA59EA" w:rsidP="0093552B">
            <w:pPr>
              <w:shd w:val="clear" w:color="auto" w:fill="FFFFFF" w:themeFill="background1"/>
              <w:ind w:left="0"/>
              <w:jc w:val="center"/>
              <w:rPr>
                <w:rFonts w:ascii="Arial Narrow" w:hAnsi="Arial Narrow" w:cs="Calibri"/>
                <w:color w:val="000000" w:themeColor="text1"/>
                <w:sz w:val="22"/>
                <w:szCs w:val="22"/>
              </w:rPr>
            </w:pPr>
            <w:r w:rsidRPr="009E35ED">
              <w:rPr>
                <w:rFonts w:ascii="Arial Narrow" w:hAnsi="Arial Narrow"/>
                <w:color w:val="000000" w:themeColor="text1"/>
                <w:sz w:val="22"/>
                <w:szCs w:val="22"/>
              </w:rPr>
              <w:t>457,321.97</w:t>
            </w:r>
          </w:p>
        </w:tc>
        <w:tc>
          <w:tcPr>
            <w:tcW w:w="2184" w:type="dxa"/>
            <w:tcBorders>
              <w:top w:val="nil"/>
              <w:left w:val="nil"/>
              <w:bottom w:val="nil"/>
              <w:right w:val="nil"/>
            </w:tcBorders>
            <w:shd w:val="clear" w:color="auto" w:fill="auto"/>
            <w:noWrap/>
            <w:hideMark/>
          </w:tcPr>
          <w:p w14:paraId="3BC3AE38" w14:textId="77777777" w:rsidR="00FA59EA" w:rsidRPr="009E35ED" w:rsidRDefault="00FA59EA" w:rsidP="0093552B">
            <w:pPr>
              <w:shd w:val="clear" w:color="auto" w:fill="FFFFFF" w:themeFill="background1"/>
              <w:ind w:left="0"/>
              <w:jc w:val="center"/>
              <w:rPr>
                <w:rFonts w:ascii="Arial Narrow" w:hAnsi="Arial Narrow" w:cs="Calibri"/>
                <w:color w:val="000000" w:themeColor="text1"/>
                <w:sz w:val="22"/>
                <w:szCs w:val="22"/>
              </w:rPr>
            </w:pPr>
            <w:r w:rsidRPr="009E35ED">
              <w:rPr>
                <w:rFonts w:ascii="Arial Narrow" w:hAnsi="Arial Narrow"/>
                <w:color w:val="000000" w:themeColor="text1"/>
                <w:sz w:val="22"/>
                <w:szCs w:val="22"/>
              </w:rPr>
              <w:t>11,444,349.58</w:t>
            </w:r>
          </w:p>
        </w:tc>
      </w:tr>
      <w:tr w:rsidR="00997F75" w:rsidRPr="009E35ED" w14:paraId="18E816FE" w14:textId="77777777" w:rsidTr="0093552B">
        <w:trPr>
          <w:trHeight w:val="171"/>
        </w:trPr>
        <w:tc>
          <w:tcPr>
            <w:tcW w:w="1800" w:type="dxa"/>
            <w:tcBorders>
              <w:top w:val="nil"/>
              <w:left w:val="nil"/>
              <w:bottom w:val="nil"/>
              <w:right w:val="nil"/>
            </w:tcBorders>
            <w:shd w:val="clear" w:color="auto" w:fill="auto"/>
            <w:noWrap/>
            <w:vAlign w:val="bottom"/>
            <w:hideMark/>
          </w:tcPr>
          <w:p w14:paraId="4F669D41" w14:textId="46BED667" w:rsidR="00FA59EA" w:rsidRPr="009E35ED" w:rsidRDefault="00FA59EA" w:rsidP="0093552B">
            <w:pPr>
              <w:shd w:val="clear" w:color="auto" w:fill="FFFFFF" w:themeFill="background1"/>
              <w:ind w:left="0"/>
              <w:jc w:val="center"/>
              <w:rPr>
                <w:rFonts w:ascii="Arial Narrow" w:hAnsi="Arial Narrow" w:cs="Calibri"/>
                <w:color w:val="000000" w:themeColor="text1"/>
                <w:sz w:val="22"/>
                <w:szCs w:val="22"/>
              </w:rPr>
            </w:pPr>
            <w:r w:rsidRPr="009E35ED">
              <w:rPr>
                <w:rFonts w:ascii="Arial Narrow" w:hAnsi="Arial Narrow" w:cs="Calibri"/>
                <w:color w:val="000000" w:themeColor="text1"/>
                <w:sz w:val="22"/>
                <w:szCs w:val="22"/>
              </w:rPr>
              <w:t>01-Jul-23</w:t>
            </w:r>
          </w:p>
        </w:tc>
        <w:tc>
          <w:tcPr>
            <w:tcW w:w="2697" w:type="dxa"/>
            <w:tcBorders>
              <w:top w:val="nil"/>
              <w:left w:val="nil"/>
              <w:bottom w:val="nil"/>
              <w:right w:val="nil"/>
            </w:tcBorders>
            <w:shd w:val="clear" w:color="auto" w:fill="auto"/>
            <w:noWrap/>
            <w:hideMark/>
          </w:tcPr>
          <w:p w14:paraId="2EABA3D3" w14:textId="77777777" w:rsidR="00FA59EA" w:rsidRPr="009E35ED" w:rsidRDefault="00FA59EA" w:rsidP="0093552B">
            <w:pPr>
              <w:shd w:val="clear" w:color="auto" w:fill="FFFFFF" w:themeFill="background1"/>
              <w:ind w:left="0"/>
              <w:jc w:val="center"/>
              <w:rPr>
                <w:rFonts w:ascii="Arial Narrow" w:hAnsi="Arial Narrow" w:cs="Calibri"/>
                <w:color w:val="000000" w:themeColor="text1"/>
                <w:sz w:val="22"/>
                <w:szCs w:val="22"/>
              </w:rPr>
            </w:pPr>
            <w:r w:rsidRPr="009E35ED">
              <w:rPr>
                <w:rFonts w:ascii="Arial Narrow" w:hAnsi="Arial Narrow"/>
                <w:color w:val="000000" w:themeColor="text1"/>
                <w:sz w:val="22"/>
                <w:szCs w:val="22"/>
              </w:rPr>
              <w:t>168,911,467.57</w:t>
            </w:r>
          </w:p>
        </w:tc>
        <w:tc>
          <w:tcPr>
            <w:tcW w:w="1923" w:type="dxa"/>
            <w:tcBorders>
              <w:top w:val="nil"/>
              <w:left w:val="nil"/>
              <w:bottom w:val="nil"/>
              <w:right w:val="nil"/>
            </w:tcBorders>
            <w:shd w:val="clear" w:color="auto" w:fill="auto"/>
            <w:noWrap/>
            <w:hideMark/>
          </w:tcPr>
          <w:p w14:paraId="09B8ADFF" w14:textId="77777777" w:rsidR="00FA59EA" w:rsidRPr="009E35ED" w:rsidRDefault="00FA59EA" w:rsidP="0093552B">
            <w:pPr>
              <w:shd w:val="clear" w:color="auto" w:fill="FFFFFF" w:themeFill="background1"/>
              <w:ind w:left="0"/>
              <w:jc w:val="center"/>
              <w:rPr>
                <w:rFonts w:ascii="Arial Narrow" w:hAnsi="Arial Narrow" w:cs="Calibri"/>
                <w:color w:val="000000" w:themeColor="text1"/>
                <w:sz w:val="22"/>
                <w:szCs w:val="22"/>
              </w:rPr>
            </w:pPr>
            <w:r w:rsidRPr="009E35ED">
              <w:rPr>
                <w:rFonts w:ascii="Arial Narrow" w:hAnsi="Arial Narrow"/>
                <w:color w:val="000000" w:themeColor="text1"/>
                <w:sz w:val="22"/>
                <w:szCs w:val="22"/>
              </w:rPr>
              <w:t>430,038.32</w:t>
            </w:r>
          </w:p>
        </w:tc>
        <w:tc>
          <w:tcPr>
            <w:tcW w:w="2184" w:type="dxa"/>
            <w:tcBorders>
              <w:top w:val="nil"/>
              <w:left w:val="nil"/>
              <w:bottom w:val="nil"/>
              <w:right w:val="nil"/>
            </w:tcBorders>
            <w:shd w:val="clear" w:color="auto" w:fill="auto"/>
            <w:noWrap/>
            <w:hideMark/>
          </w:tcPr>
          <w:p w14:paraId="0CF7C909" w14:textId="77777777" w:rsidR="00FA59EA" w:rsidRPr="009E35ED" w:rsidRDefault="00FA59EA" w:rsidP="0093552B">
            <w:pPr>
              <w:shd w:val="clear" w:color="auto" w:fill="FFFFFF" w:themeFill="background1"/>
              <w:ind w:left="0"/>
              <w:jc w:val="center"/>
              <w:rPr>
                <w:rFonts w:ascii="Arial Narrow" w:hAnsi="Arial Narrow" w:cs="Calibri"/>
                <w:color w:val="000000" w:themeColor="text1"/>
                <w:sz w:val="22"/>
                <w:szCs w:val="22"/>
              </w:rPr>
            </w:pPr>
            <w:r w:rsidRPr="009E35ED">
              <w:rPr>
                <w:rFonts w:ascii="Arial Narrow" w:hAnsi="Arial Narrow"/>
                <w:color w:val="000000" w:themeColor="text1"/>
                <w:sz w:val="22"/>
                <w:szCs w:val="22"/>
              </w:rPr>
              <w:t>11,471,633.23</w:t>
            </w:r>
          </w:p>
        </w:tc>
      </w:tr>
      <w:tr w:rsidR="00997F75" w:rsidRPr="009E35ED" w14:paraId="3404F248" w14:textId="77777777" w:rsidTr="0093552B">
        <w:trPr>
          <w:trHeight w:val="83"/>
        </w:trPr>
        <w:tc>
          <w:tcPr>
            <w:tcW w:w="1800" w:type="dxa"/>
            <w:tcBorders>
              <w:top w:val="nil"/>
              <w:left w:val="nil"/>
              <w:bottom w:val="nil"/>
              <w:right w:val="nil"/>
            </w:tcBorders>
            <w:shd w:val="clear" w:color="auto" w:fill="auto"/>
            <w:noWrap/>
            <w:vAlign w:val="bottom"/>
            <w:hideMark/>
          </w:tcPr>
          <w:p w14:paraId="1AC6D502" w14:textId="3F71F2E2" w:rsidR="00FA59EA" w:rsidRPr="009E35ED" w:rsidRDefault="00FA59EA" w:rsidP="0093552B">
            <w:pPr>
              <w:shd w:val="clear" w:color="auto" w:fill="FFFFFF" w:themeFill="background1"/>
              <w:ind w:left="0"/>
              <w:jc w:val="center"/>
              <w:rPr>
                <w:rFonts w:ascii="Arial Narrow" w:hAnsi="Arial Narrow" w:cs="Calibri"/>
                <w:color w:val="000000" w:themeColor="text1"/>
                <w:sz w:val="22"/>
                <w:szCs w:val="22"/>
              </w:rPr>
            </w:pPr>
            <w:r w:rsidRPr="009E35ED">
              <w:rPr>
                <w:rFonts w:ascii="Arial Narrow" w:hAnsi="Arial Narrow" w:cs="Calibri"/>
                <w:color w:val="000000" w:themeColor="text1"/>
                <w:sz w:val="22"/>
                <w:szCs w:val="22"/>
              </w:rPr>
              <w:t>01-Aug-23</w:t>
            </w:r>
          </w:p>
        </w:tc>
        <w:tc>
          <w:tcPr>
            <w:tcW w:w="2697" w:type="dxa"/>
            <w:tcBorders>
              <w:top w:val="nil"/>
              <w:left w:val="nil"/>
              <w:bottom w:val="nil"/>
              <w:right w:val="nil"/>
            </w:tcBorders>
            <w:shd w:val="clear" w:color="auto" w:fill="auto"/>
            <w:noWrap/>
            <w:hideMark/>
          </w:tcPr>
          <w:p w14:paraId="58E6732F" w14:textId="77777777" w:rsidR="00FA59EA" w:rsidRPr="009E35ED" w:rsidRDefault="00FA59EA" w:rsidP="0093552B">
            <w:pPr>
              <w:shd w:val="clear" w:color="auto" w:fill="FFFFFF" w:themeFill="background1"/>
              <w:ind w:left="0"/>
              <w:jc w:val="center"/>
              <w:rPr>
                <w:rFonts w:ascii="Arial Narrow" w:hAnsi="Arial Narrow" w:cs="Calibri"/>
                <w:color w:val="000000" w:themeColor="text1"/>
                <w:sz w:val="22"/>
                <w:szCs w:val="22"/>
              </w:rPr>
            </w:pPr>
            <w:r w:rsidRPr="009E35ED">
              <w:rPr>
                <w:rFonts w:ascii="Arial Narrow" w:hAnsi="Arial Narrow"/>
                <w:color w:val="000000" w:themeColor="text1"/>
                <w:sz w:val="22"/>
                <w:szCs w:val="22"/>
              </w:rPr>
              <w:t>157,412,485.65</w:t>
            </w:r>
          </w:p>
        </w:tc>
        <w:tc>
          <w:tcPr>
            <w:tcW w:w="1923" w:type="dxa"/>
            <w:tcBorders>
              <w:top w:val="nil"/>
              <w:left w:val="nil"/>
              <w:bottom w:val="nil"/>
              <w:right w:val="nil"/>
            </w:tcBorders>
            <w:shd w:val="clear" w:color="auto" w:fill="auto"/>
            <w:noWrap/>
            <w:hideMark/>
          </w:tcPr>
          <w:p w14:paraId="1BDDBA87" w14:textId="77777777" w:rsidR="00FA59EA" w:rsidRPr="009E35ED" w:rsidRDefault="00FA59EA" w:rsidP="0093552B">
            <w:pPr>
              <w:shd w:val="clear" w:color="auto" w:fill="FFFFFF" w:themeFill="background1"/>
              <w:ind w:left="0"/>
              <w:jc w:val="center"/>
              <w:rPr>
                <w:rFonts w:ascii="Arial Narrow" w:hAnsi="Arial Narrow" w:cs="Calibri"/>
                <w:color w:val="000000" w:themeColor="text1"/>
                <w:sz w:val="22"/>
                <w:szCs w:val="22"/>
              </w:rPr>
            </w:pPr>
            <w:r w:rsidRPr="009E35ED">
              <w:rPr>
                <w:rFonts w:ascii="Arial Narrow" w:hAnsi="Arial Narrow"/>
                <w:color w:val="000000" w:themeColor="text1"/>
                <w:sz w:val="22"/>
                <w:szCs w:val="22"/>
              </w:rPr>
              <w:t>402,689.63</w:t>
            </w:r>
          </w:p>
        </w:tc>
        <w:tc>
          <w:tcPr>
            <w:tcW w:w="2184" w:type="dxa"/>
            <w:tcBorders>
              <w:top w:val="nil"/>
              <w:left w:val="nil"/>
              <w:bottom w:val="nil"/>
              <w:right w:val="nil"/>
            </w:tcBorders>
            <w:shd w:val="clear" w:color="auto" w:fill="auto"/>
            <w:noWrap/>
            <w:hideMark/>
          </w:tcPr>
          <w:p w14:paraId="24498877" w14:textId="77777777" w:rsidR="00FA59EA" w:rsidRPr="009E35ED" w:rsidRDefault="00FA59EA" w:rsidP="0093552B">
            <w:pPr>
              <w:shd w:val="clear" w:color="auto" w:fill="FFFFFF" w:themeFill="background1"/>
              <w:ind w:left="0"/>
              <w:jc w:val="center"/>
              <w:rPr>
                <w:rFonts w:ascii="Arial Narrow" w:hAnsi="Arial Narrow" w:cs="Calibri"/>
                <w:color w:val="000000" w:themeColor="text1"/>
                <w:sz w:val="22"/>
                <w:szCs w:val="22"/>
              </w:rPr>
            </w:pPr>
            <w:r w:rsidRPr="009E35ED">
              <w:rPr>
                <w:rFonts w:ascii="Arial Narrow" w:hAnsi="Arial Narrow"/>
                <w:color w:val="000000" w:themeColor="text1"/>
                <w:sz w:val="22"/>
                <w:szCs w:val="22"/>
              </w:rPr>
              <w:t>11,498,981.92</w:t>
            </w:r>
          </w:p>
        </w:tc>
      </w:tr>
      <w:tr w:rsidR="00997F75" w:rsidRPr="009E35ED" w14:paraId="2720157B" w14:textId="77777777" w:rsidTr="0093552B">
        <w:trPr>
          <w:trHeight w:val="83"/>
        </w:trPr>
        <w:tc>
          <w:tcPr>
            <w:tcW w:w="1800" w:type="dxa"/>
            <w:tcBorders>
              <w:top w:val="nil"/>
              <w:left w:val="nil"/>
              <w:bottom w:val="nil"/>
              <w:right w:val="nil"/>
            </w:tcBorders>
            <w:shd w:val="clear" w:color="auto" w:fill="auto"/>
            <w:noWrap/>
            <w:vAlign w:val="bottom"/>
            <w:hideMark/>
          </w:tcPr>
          <w:p w14:paraId="3CCF7EB6" w14:textId="693AC34C" w:rsidR="00FA59EA" w:rsidRPr="009E35ED" w:rsidRDefault="00FA59EA" w:rsidP="0093552B">
            <w:pPr>
              <w:shd w:val="clear" w:color="auto" w:fill="FFFFFF" w:themeFill="background1"/>
              <w:ind w:left="0"/>
              <w:jc w:val="center"/>
              <w:rPr>
                <w:rFonts w:ascii="Arial Narrow" w:hAnsi="Arial Narrow" w:cs="Calibri"/>
                <w:color w:val="000000" w:themeColor="text1"/>
                <w:sz w:val="22"/>
                <w:szCs w:val="22"/>
              </w:rPr>
            </w:pPr>
            <w:r w:rsidRPr="009E35ED">
              <w:rPr>
                <w:rFonts w:ascii="Arial Narrow" w:hAnsi="Arial Narrow" w:cs="Calibri"/>
                <w:color w:val="000000" w:themeColor="text1"/>
                <w:sz w:val="22"/>
                <w:szCs w:val="22"/>
              </w:rPr>
              <w:t>01-Sep-23</w:t>
            </w:r>
          </w:p>
        </w:tc>
        <w:tc>
          <w:tcPr>
            <w:tcW w:w="2697" w:type="dxa"/>
            <w:tcBorders>
              <w:top w:val="nil"/>
              <w:left w:val="nil"/>
              <w:bottom w:val="nil"/>
              <w:right w:val="nil"/>
            </w:tcBorders>
            <w:shd w:val="clear" w:color="auto" w:fill="auto"/>
            <w:noWrap/>
            <w:hideMark/>
          </w:tcPr>
          <w:p w14:paraId="7F3CDBB0" w14:textId="77777777" w:rsidR="00FA59EA" w:rsidRPr="009E35ED" w:rsidRDefault="00FA59EA" w:rsidP="0093552B">
            <w:pPr>
              <w:shd w:val="clear" w:color="auto" w:fill="FFFFFF" w:themeFill="background1"/>
              <w:ind w:left="0"/>
              <w:jc w:val="center"/>
              <w:rPr>
                <w:rFonts w:ascii="Arial Narrow" w:hAnsi="Arial Narrow" w:cs="Calibri"/>
                <w:color w:val="000000" w:themeColor="text1"/>
                <w:sz w:val="22"/>
                <w:szCs w:val="22"/>
              </w:rPr>
            </w:pPr>
            <w:r w:rsidRPr="009E35ED">
              <w:rPr>
                <w:rFonts w:ascii="Arial Narrow" w:hAnsi="Arial Narrow"/>
                <w:color w:val="000000" w:themeColor="text1"/>
                <w:sz w:val="22"/>
                <w:szCs w:val="22"/>
              </w:rPr>
              <w:t>145,886,089.84</w:t>
            </w:r>
          </w:p>
        </w:tc>
        <w:tc>
          <w:tcPr>
            <w:tcW w:w="1923" w:type="dxa"/>
            <w:tcBorders>
              <w:top w:val="nil"/>
              <w:left w:val="nil"/>
              <w:bottom w:val="nil"/>
              <w:right w:val="nil"/>
            </w:tcBorders>
            <w:shd w:val="clear" w:color="auto" w:fill="auto"/>
            <w:noWrap/>
            <w:hideMark/>
          </w:tcPr>
          <w:p w14:paraId="5CC4EB64" w14:textId="77777777" w:rsidR="00FA59EA" w:rsidRPr="009E35ED" w:rsidRDefault="00FA59EA" w:rsidP="0093552B">
            <w:pPr>
              <w:shd w:val="clear" w:color="auto" w:fill="FFFFFF" w:themeFill="background1"/>
              <w:ind w:left="0"/>
              <w:jc w:val="center"/>
              <w:rPr>
                <w:rFonts w:ascii="Arial Narrow" w:hAnsi="Arial Narrow" w:cs="Calibri"/>
                <w:color w:val="000000" w:themeColor="text1"/>
                <w:sz w:val="22"/>
                <w:szCs w:val="22"/>
              </w:rPr>
            </w:pPr>
            <w:r w:rsidRPr="009E35ED">
              <w:rPr>
                <w:rFonts w:ascii="Arial Narrow" w:hAnsi="Arial Narrow"/>
                <w:color w:val="000000" w:themeColor="text1"/>
                <w:sz w:val="22"/>
                <w:szCs w:val="22"/>
              </w:rPr>
              <w:t>375,275.74</w:t>
            </w:r>
          </w:p>
        </w:tc>
        <w:tc>
          <w:tcPr>
            <w:tcW w:w="2184" w:type="dxa"/>
            <w:tcBorders>
              <w:top w:val="nil"/>
              <w:left w:val="nil"/>
              <w:bottom w:val="nil"/>
              <w:right w:val="nil"/>
            </w:tcBorders>
            <w:shd w:val="clear" w:color="auto" w:fill="auto"/>
            <w:noWrap/>
            <w:hideMark/>
          </w:tcPr>
          <w:p w14:paraId="0987504B" w14:textId="77777777" w:rsidR="00FA59EA" w:rsidRPr="009E35ED" w:rsidRDefault="00FA59EA" w:rsidP="0093552B">
            <w:pPr>
              <w:shd w:val="clear" w:color="auto" w:fill="FFFFFF" w:themeFill="background1"/>
              <w:ind w:left="0"/>
              <w:jc w:val="center"/>
              <w:rPr>
                <w:rFonts w:ascii="Arial Narrow" w:hAnsi="Arial Narrow" w:cs="Calibri"/>
                <w:color w:val="000000" w:themeColor="text1"/>
                <w:sz w:val="22"/>
                <w:szCs w:val="22"/>
              </w:rPr>
            </w:pPr>
            <w:r w:rsidRPr="009E35ED">
              <w:rPr>
                <w:rFonts w:ascii="Arial Narrow" w:hAnsi="Arial Narrow"/>
                <w:color w:val="000000" w:themeColor="text1"/>
                <w:sz w:val="22"/>
                <w:szCs w:val="22"/>
              </w:rPr>
              <w:t>11,526,395.81</w:t>
            </w:r>
          </w:p>
        </w:tc>
      </w:tr>
      <w:tr w:rsidR="003B7C44" w:rsidRPr="009E35ED" w14:paraId="2869C77B" w14:textId="77777777" w:rsidTr="0093552B">
        <w:trPr>
          <w:trHeight w:val="189"/>
        </w:trPr>
        <w:tc>
          <w:tcPr>
            <w:tcW w:w="1800" w:type="dxa"/>
            <w:tcBorders>
              <w:top w:val="nil"/>
              <w:left w:val="nil"/>
              <w:bottom w:val="nil"/>
              <w:right w:val="nil"/>
            </w:tcBorders>
            <w:shd w:val="clear" w:color="auto" w:fill="auto"/>
            <w:noWrap/>
            <w:vAlign w:val="bottom"/>
          </w:tcPr>
          <w:p w14:paraId="3CC9A62D" w14:textId="41E9C1DF" w:rsidR="003B7C44" w:rsidRPr="009E35ED" w:rsidRDefault="003B7C44" w:rsidP="0093552B">
            <w:pPr>
              <w:shd w:val="clear" w:color="auto" w:fill="FFFFFF" w:themeFill="background1"/>
              <w:ind w:left="0"/>
              <w:jc w:val="center"/>
              <w:rPr>
                <w:rFonts w:ascii="Arial Narrow" w:hAnsi="Arial Narrow" w:cs="Calibri"/>
                <w:color w:val="000000" w:themeColor="text1"/>
                <w:sz w:val="22"/>
                <w:szCs w:val="22"/>
              </w:rPr>
            </w:pPr>
          </w:p>
        </w:tc>
        <w:tc>
          <w:tcPr>
            <w:tcW w:w="2697" w:type="dxa"/>
            <w:tcBorders>
              <w:top w:val="nil"/>
              <w:left w:val="nil"/>
              <w:bottom w:val="nil"/>
              <w:right w:val="nil"/>
            </w:tcBorders>
            <w:shd w:val="clear" w:color="auto" w:fill="auto"/>
            <w:noWrap/>
          </w:tcPr>
          <w:p w14:paraId="1EF8DF25" w14:textId="5EBE3450" w:rsidR="003B7C44" w:rsidRPr="009E35ED" w:rsidRDefault="003B7C44" w:rsidP="0093552B">
            <w:pPr>
              <w:shd w:val="clear" w:color="auto" w:fill="FFFFFF" w:themeFill="background1"/>
              <w:ind w:left="0"/>
              <w:jc w:val="center"/>
              <w:rPr>
                <w:rFonts w:ascii="Arial Narrow" w:hAnsi="Arial Narrow" w:cs="Calibri"/>
                <w:color w:val="000000" w:themeColor="text1"/>
                <w:sz w:val="22"/>
                <w:szCs w:val="22"/>
              </w:rPr>
            </w:pPr>
          </w:p>
        </w:tc>
        <w:tc>
          <w:tcPr>
            <w:tcW w:w="1923" w:type="dxa"/>
            <w:tcBorders>
              <w:top w:val="nil"/>
              <w:left w:val="nil"/>
              <w:bottom w:val="nil"/>
              <w:right w:val="nil"/>
            </w:tcBorders>
            <w:shd w:val="clear" w:color="auto" w:fill="auto"/>
            <w:noWrap/>
          </w:tcPr>
          <w:p w14:paraId="4C955D44" w14:textId="6247275E" w:rsidR="003B7C44" w:rsidRPr="009E35ED" w:rsidRDefault="003B7C44" w:rsidP="0093552B">
            <w:pPr>
              <w:shd w:val="clear" w:color="auto" w:fill="FFFFFF" w:themeFill="background1"/>
              <w:ind w:left="0"/>
              <w:jc w:val="center"/>
              <w:rPr>
                <w:rFonts w:ascii="Arial Narrow" w:hAnsi="Arial Narrow" w:cs="Calibri"/>
                <w:color w:val="000000" w:themeColor="text1"/>
                <w:sz w:val="22"/>
                <w:szCs w:val="22"/>
              </w:rPr>
            </w:pPr>
          </w:p>
        </w:tc>
        <w:tc>
          <w:tcPr>
            <w:tcW w:w="2184" w:type="dxa"/>
            <w:tcBorders>
              <w:top w:val="nil"/>
              <w:left w:val="nil"/>
              <w:bottom w:val="nil"/>
              <w:right w:val="nil"/>
            </w:tcBorders>
            <w:shd w:val="clear" w:color="auto" w:fill="auto"/>
            <w:noWrap/>
          </w:tcPr>
          <w:p w14:paraId="1927D6D7" w14:textId="4E9C6E7A" w:rsidR="003B7C44" w:rsidRPr="009E35ED" w:rsidRDefault="003B7C44" w:rsidP="0093552B">
            <w:pPr>
              <w:shd w:val="clear" w:color="auto" w:fill="FFFFFF" w:themeFill="background1"/>
              <w:ind w:left="0"/>
              <w:jc w:val="center"/>
              <w:rPr>
                <w:rFonts w:ascii="Arial Narrow" w:hAnsi="Arial Narrow" w:cs="Calibri"/>
                <w:color w:val="000000" w:themeColor="text1"/>
                <w:sz w:val="22"/>
                <w:szCs w:val="22"/>
              </w:rPr>
            </w:pPr>
          </w:p>
        </w:tc>
      </w:tr>
    </w:tbl>
    <w:p w14:paraId="5AB62782" w14:textId="77777777" w:rsidR="003B7C44" w:rsidRPr="009E35ED" w:rsidRDefault="003B7C44" w:rsidP="0093552B">
      <w:pPr>
        <w:shd w:val="clear" w:color="auto" w:fill="FFFFFF" w:themeFill="background1"/>
        <w:ind w:left="0"/>
        <w:rPr>
          <w:rFonts w:ascii="Arial" w:hAnsi="Arial" w:cs="Arial"/>
          <w:b/>
          <w:color w:val="000000" w:themeColor="text1"/>
          <w:sz w:val="22"/>
          <w:szCs w:val="22"/>
        </w:rPr>
      </w:pPr>
    </w:p>
    <w:p w14:paraId="7D167732" w14:textId="64F8295C" w:rsidR="003B7C44" w:rsidRPr="009E35ED" w:rsidRDefault="002A1A7B" w:rsidP="0093552B">
      <w:pPr>
        <w:shd w:val="clear" w:color="auto" w:fill="FFFFFF" w:themeFill="background1"/>
        <w:ind w:left="0"/>
        <w:rPr>
          <w:rFonts w:ascii="Arial" w:hAnsi="Arial" w:cs="Arial"/>
          <w:b/>
          <w:bCs/>
          <w:color w:val="000000" w:themeColor="text1"/>
          <w:sz w:val="22"/>
          <w:szCs w:val="22"/>
        </w:rPr>
      </w:pPr>
      <w:r w:rsidRPr="009E35ED">
        <w:rPr>
          <w:rFonts w:ascii="Arial" w:hAnsi="Arial" w:cs="Arial"/>
          <w:b/>
          <w:bCs/>
          <w:color w:val="000000" w:themeColor="text1"/>
          <w:sz w:val="22"/>
          <w:szCs w:val="22"/>
        </w:rPr>
        <w:t>PCBP Warehouse Office Complex</w:t>
      </w:r>
    </w:p>
    <w:tbl>
      <w:tblPr>
        <w:tblW w:w="8604" w:type="dxa"/>
        <w:tblLook w:val="04A0" w:firstRow="1" w:lastRow="0" w:firstColumn="1" w:lastColumn="0" w:noHBand="0" w:noVBand="1"/>
      </w:tblPr>
      <w:tblGrid>
        <w:gridCol w:w="1800"/>
        <w:gridCol w:w="2697"/>
        <w:gridCol w:w="1923"/>
        <w:gridCol w:w="2184"/>
      </w:tblGrid>
      <w:tr w:rsidR="00997F75" w:rsidRPr="009E35ED" w14:paraId="23AE2580" w14:textId="77777777" w:rsidTr="005133D5">
        <w:trPr>
          <w:trHeight w:val="404"/>
        </w:trPr>
        <w:tc>
          <w:tcPr>
            <w:tcW w:w="1800" w:type="dxa"/>
            <w:tcBorders>
              <w:top w:val="single" w:sz="4" w:space="0" w:color="auto"/>
              <w:left w:val="nil"/>
              <w:bottom w:val="single" w:sz="4" w:space="0" w:color="auto"/>
              <w:right w:val="nil"/>
            </w:tcBorders>
            <w:shd w:val="clear" w:color="auto" w:fill="auto"/>
            <w:noWrap/>
            <w:vAlign w:val="center"/>
            <w:hideMark/>
          </w:tcPr>
          <w:p w14:paraId="61E7BE3C" w14:textId="77777777" w:rsidR="003B7C44" w:rsidRPr="009E35ED" w:rsidRDefault="003B7C44" w:rsidP="0093552B">
            <w:pPr>
              <w:shd w:val="clear" w:color="auto" w:fill="FFFFFF" w:themeFill="background1"/>
              <w:ind w:left="0"/>
              <w:jc w:val="center"/>
              <w:rPr>
                <w:rFonts w:ascii="Arial Narrow" w:hAnsi="Arial Narrow" w:cs="Calibri"/>
                <w:b/>
                <w:bCs/>
                <w:color w:val="000000" w:themeColor="text1"/>
                <w:sz w:val="20"/>
                <w:szCs w:val="20"/>
              </w:rPr>
            </w:pPr>
            <w:r w:rsidRPr="009E35ED">
              <w:rPr>
                <w:rFonts w:ascii="Arial Narrow" w:hAnsi="Arial Narrow" w:cs="Calibri"/>
                <w:b/>
                <w:bCs/>
                <w:color w:val="000000" w:themeColor="text1"/>
                <w:sz w:val="20"/>
                <w:szCs w:val="20"/>
              </w:rPr>
              <w:t>PERIOD</w:t>
            </w:r>
          </w:p>
        </w:tc>
        <w:tc>
          <w:tcPr>
            <w:tcW w:w="2697" w:type="dxa"/>
            <w:tcBorders>
              <w:top w:val="single" w:sz="4" w:space="0" w:color="auto"/>
              <w:left w:val="nil"/>
              <w:bottom w:val="single" w:sz="4" w:space="0" w:color="auto"/>
              <w:right w:val="nil"/>
            </w:tcBorders>
            <w:shd w:val="clear" w:color="auto" w:fill="auto"/>
            <w:noWrap/>
            <w:vAlign w:val="center"/>
            <w:hideMark/>
          </w:tcPr>
          <w:p w14:paraId="1279F46B" w14:textId="77777777" w:rsidR="003B7C44" w:rsidRPr="009E35ED" w:rsidRDefault="003B7C44" w:rsidP="0093552B">
            <w:pPr>
              <w:shd w:val="clear" w:color="auto" w:fill="FFFFFF" w:themeFill="background1"/>
              <w:ind w:left="0"/>
              <w:jc w:val="center"/>
              <w:rPr>
                <w:rFonts w:ascii="Arial Narrow" w:hAnsi="Arial Narrow" w:cs="Calibri"/>
                <w:b/>
                <w:bCs/>
                <w:color w:val="000000" w:themeColor="text1"/>
                <w:sz w:val="20"/>
                <w:szCs w:val="20"/>
              </w:rPr>
            </w:pPr>
            <w:r w:rsidRPr="009E35ED">
              <w:rPr>
                <w:rFonts w:ascii="Arial Narrow" w:hAnsi="Arial Narrow" w:cs="Calibri"/>
                <w:b/>
                <w:bCs/>
                <w:color w:val="000000" w:themeColor="text1"/>
                <w:sz w:val="20"/>
                <w:szCs w:val="20"/>
              </w:rPr>
              <w:t>OPENING BALANCE</w:t>
            </w:r>
          </w:p>
        </w:tc>
        <w:tc>
          <w:tcPr>
            <w:tcW w:w="1923" w:type="dxa"/>
            <w:tcBorders>
              <w:top w:val="single" w:sz="4" w:space="0" w:color="auto"/>
              <w:left w:val="nil"/>
              <w:bottom w:val="single" w:sz="4" w:space="0" w:color="auto"/>
              <w:right w:val="nil"/>
            </w:tcBorders>
            <w:shd w:val="clear" w:color="auto" w:fill="auto"/>
            <w:noWrap/>
            <w:vAlign w:val="center"/>
            <w:hideMark/>
          </w:tcPr>
          <w:p w14:paraId="6BA26092" w14:textId="77777777" w:rsidR="003B7C44" w:rsidRPr="009E35ED" w:rsidRDefault="003B7C44" w:rsidP="0093552B">
            <w:pPr>
              <w:shd w:val="clear" w:color="auto" w:fill="FFFFFF" w:themeFill="background1"/>
              <w:ind w:left="0"/>
              <w:jc w:val="center"/>
              <w:rPr>
                <w:rFonts w:ascii="Arial Narrow" w:hAnsi="Arial Narrow" w:cs="Calibri"/>
                <w:b/>
                <w:bCs/>
                <w:color w:val="000000" w:themeColor="text1"/>
                <w:sz w:val="20"/>
                <w:szCs w:val="20"/>
              </w:rPr>
            </w:pPr>
            <w:r w:rsidRPr="009E35ED">
              <w:rPr>
                <w:rFonts w:ascii="Arial Narrow" w:hAnsi="Arial Narrow" w:cs="Calibri"/>
                <w:b/>
                <w:bCs/>
                <w:color w:val="000000" w:themeColor="text1"/>
                <w:sz w:val="20"/>
                <w:szCs w:val="20"/>
              </w:rPr>
              <w:t>INTEREST EXPENSE</w:t>
            </w:r>
          </w:p>
        </w:tc>
        <w:tc>
          <w:tcPr>
            <w:tcW w:w="2184" w:type="dxa"/>
            <w:tcBorders>
              <w:top w:val="single" w:sz="4" w:space="0" w:color="auto"/>
              <w:left w:val="nil"/>
              <w:bottom w:val="single" w:sz="4" w:space="0" w:color="auto"/>
              <w:right w:val="nil"/>
            </w:tcBorders>
            <w:shd w:val="clear" w:color="auto" w:fill="auto"/>
            <w:noWrap/>
            <w:vAlign w:val="center"/>
            <w:hideMark/>
          </w:tcPr>
          <w:p w14:paraId="4F5FA79E" w14:textId="77777777" w:rsidR="003B7C44" w:rsidRPr="009E35ED" w:rsidRDefault="003B7C44" w:rsidP="0093552B">
            <w:pPr>
              <w:shd w:val="clear" w:color="auto" w:fill="FFFFFF" w:themeFill="background1"/>
              <w:ind w:left="0"/>
              <w:jc w:val="center"/>
              <w:rPr>
                <w:rFonts w:ascii="Arial Narrow" w:hAnsi="Arial Narrow" w:cs="Calibri"/>
                <w:b/>
                <w:bCs/>
                <w:color w:val="000000" w:themeColor="text1"/>
                <w:sz w:val="20"/>
                <w:szCs w:val="20"/>
              </w:rPr>
            </w:pPr>
            <w:r w:rsidRPr="009E35ED">
              <w:rPr>
                <w:rFonts w:ascii="Arial Narrow" w:hAnsi="Arial Narrow" w:cs="Calibri"/>
                <w:b/>
                <w:bCs/>
                <w:color w:val="000000" w:themeColor="text1"/>
                <w:sz w:val="20"/>
                <w:szCs w:val="20"/>
              </w:rPr>
              <w:t>PRINCIPAL PAYMENT</w:t>
            </w:r>
          </w:p>
        </w:tc>
      </w:tr>
      <w:tr w:rsidR="00997F75" w:rsidRPr="009E35ED" w14:paraId="4F593F46" w14:textId="77777777" w:rsidTr="00CF27F8">
        <w:trPr>
          <w:trHeight w:val="260"/>
        </w:trPr>
        <w:tc>
          <w:tcPr>
            <w:tcW w:w="1800" w:type="dxa"/>
            <w:tcBorders>
              <w:top w:val="nil"/>
              <w:left w:val="nil"/>
              <w:bottom w:val="nil"/>
              <w:right w:val="nil"/>
            </w:tcBorders>
            <w:shd w:val="clear" w:color="auto" w:fill="auto"/>
            <w:noWrap/>
            <w:hideMark/>
          </w:tcPr>
          <w:p w14:paraId="6AE175D1" w14:textId="3F4C766D" w:rsidR="00CF27F8" w:rsidRPr="009E35ED" w:rsidRDefault="00CF27F8" w:rsidP="0093552B">
            <w:pPr>
              <w:shd w:val="clear" w:color="auto" w:fill="FFFFFF" w:themeFill="background1"/>
              <w:ind w:left="0"/>
              <w:jc w:val="center"/>
              <w:rPr>
                <w:rFonts w:ascii="Arial Narrow" w:hAnsi="Arial Narrow" w:cs="Calibri"/>
                <w:color w:val="000000" w:themeColor="text1"/>
                <w:sz w:val="22"/>
                <w:szCs w:val="22"/>
              </w:rPr>
            </w:pPr>
            <w:r w:rsidRPr="009E35ED">
              <w:rPr>
                <w:rFonts w:ascii="Arial Narrow" w:hAnsi="Arial Narrow" w:cs="Calibri"/>
                <w:color w:val="000000" w:themeColor="text1"/>
                <w:sz w:val="22"/>
                <w:szCs w:val="22"/>
              </w:rPr>
              <w:t>18-Jul-23</w:t>
            </w:r>
          </w:p>
        </w:tc>
        <w:tc>
          <w:tcPr>
            <w:tcW w:w="2697" w:type="dxa"/>
            <w:tcBorders>
              <w:top w:val="nil"/>
              <w:left w:val="nil"/>
              <w:bottom w:val="nil"/>
              <w:right w:val="nil"/>
            </w:tcBorders>
            <w:shd w:val="clear" w:color="auto" w:fill="auto"/>
            <w:noWrap/>
            <w:hideMark/>
          </w:tcPr>
          <w:p w14:paraId="6671B65B" w14:textId="39BA0A5F" w:rsidR="00CF27F8" w:rsidRPr="009E35ED" w:rsidRDefault="00CF27F8" w:rsidP="0093552B">
            <w:pPr>
              <w:shd w:val="clear" w:color="auto" w:fill="FFFFFF" w:themeFill="background1"/>
              <w:ind w:left="0"/>
              <w:jc w:val="right"/>
              <w:rPr>
                <w:rFonts w:ascii="Arial Narrow" w:hAnsi="Arial Narrow" w:cs="Calibri"/>
                <w:color w:val="000000" w:themeColor="text1"/>
                <w:sz w:val="22"/>
                <w:szCs w:val="22"/>
              </w:rPr>
            </w:pPr>
            <w:r w:rsidRPr="009E35ED">
              <w:rPr>
                <w:rFonts w:ascii="Arial Narrow" w:hAnsi="Arial Narrow" w:cs="Calibri"/>
                <w:color w:val="000000" w:themeColor="text1"/>
                <w:sz w:val="22"/>
                <w:szCs w:val="22"/>
              </w:rPr>
              <w:t xml:space="preserve">           48,364,598.98 </w:t>
            </w:r>
          </w:p>
        </w:tc>
        <w:tc>
          <w:tcPr>
            <w:tcW w:w="1923" w:type="dxa"/>
            <w:tcBorders>
              <w:top w:val="nil"/>
              <w:left w:val="nil"/>
              <w:bottom w:val="nil"/>
              <w:right w:val="nil"/>
            </w:tcBorders>
            <w:shd w:val="clear" w:color="auto" w:fill="auto"/>
            <w:noWrap/>
            <w:hideMark/>
          </w:tcPr>
          <w:p w14:paraId="336D9C66" w14:textId="285006D9" w:rsidR="00CF27F8" w:rsidRPr="009E35ED" w:rsidRDefault="00CF27F8" w:rsidP="0093552B">
            <w:pPr>
              <w:shd w:val="clear" w:color="auto" w:fill="FFFFFF" w:themeFill="background1"/>
              <w:ind w:left="0"/>
              <w:rPr>
                <w:rFonts w:ascii="Arial Narrow" w:hAnsi="Arial Narrow" w:cs="Calibri"/>
                <w:color w:val="000000" w:themeColor="text1"/>
                <w:sz w:val="22"/>
                <w:szCs w:val="22"/>
              </w:rPr>
            </w:pPr>
          </w:p>
        </w:tc>
        <w:tc>
          <w:tcPr>
            <w:tcW w:w="2184" w:type="dxa"/>
            <w:tcBorders>
              <w:top w:val="nil"/>
              <w:left w:val="nil"/>
              <w:bottom w:val="nil"/>
              <w:right w:val="nil"/>
            </w:tcBorders>
            <w:shd w:val="clear" w:color="auto" w:fill="auto"/>
            <w:noWrap/>
            <w:hideMark/>
          </w:tcPr>
          <w:p w14:paraId="0F15B8A5" w14:textId="7CA91416" w:rsidR="00CF27F8" w:rsidRPr="009E35ED" w:rsidRDefault="00CF27F8" w:rsidP="0093552B">
            <w:pPr>
              <w:shd w:val="clear" w:color="auto" w:fill="FFFFFF" w:themeFill="background1"/>
              <w:ind w:left="0"/>
              <w:jc w:val="right"/>
              <w:rPr>
                <w:rFonts w:ascii="Arial Narrow" w:hAnsi="Arial Narrow" w:cs="Calibri"/>
                <w:color w:val="000000" w:themeColor="text1"/>
                <w:sz w:val="22"/>
                <w:szCs w:val="22"/>
              </w:rPr>
            </w:pPr>
          </w:p>
        </w:tc>
      </w:tr>
      <w:tr w:rsidR="00997F75" w:rsidRPr="009E35ED" w14:paraId="0AF45EBD" w14:textId="77777777" w:rsidTr="00CF27F8">
        <w:trPr>
          <w:trHeight w:val="90"/>
        </w:trPr>
        <w:tc>
          <w:tcPr>
            <w:tcW w:w="1800" w:type="dxa"/>
            <w:tcBorders>
              <w:top w:val="nil"/>
              <w:left w:val="nil"/>
              <w:bottom w:val="nil"/>
              <w:right w:val="nil"/>
            </w:tcBorders>
            <w:shd w:val="clear" w:color="auto" w:fill="auto"/>
            <w:noWrap/>
            <w:hideMark/>
          </w:tcPr>
          <w:p w14:paraId="2DDD3626" w14:textId="7BBE1D80" w:rsidR="00CF27F8" w:rsidRPr="009E35ED" w:rsidRDefault="00CF27F8" w:rsidP="0093552B">
            <w:pPr>
              <w:shd w:val="clear" w:color="auto" w:fill="FFFFFF" w:themeFill="background1"/>
              <w:ind w:left="0"/>
              <w:jc w:val="center"/>
              <w:rPr>
                <w:rFonts w:ascii="Arial Narrow" w:hAnsi="Arial Narrow" w:cs="Calibri"/>
                <w:color w:val="000000" w:themeColor="text1"/>
                <w:sz w:val="22"/>
                <w:szCs w:val="22"/>
              </w:rPr>
            </w:pPr>
            <w:r w:rsidRPr="009E35ED">
              <w:rPr>
                <w:rFonts w:ascii="Arial Narrow" w:hAnsi="Arial Narrow" w:cs="Calibri"/>
                <w:color w:val="000000" w:themeColor="text1"/>
                <w:sz w:val="22"/>
                <w:szCs w:val="22"/>
              </w:rPr>
              <w:t>18-Aug-23</w:t>
            </w:r>
          </w:p>
        </w:tc>
        <w:tc>
          <w:tcPr>
            <w:tcW w:w="2697" w:type="dxa"/>
            <w:tcBorders>
              <w:top w:val="nil"/>
              <w:left w:val="nil"/>
              <w:bottom w:val="nil"/>
              <w:right w:val="nil"/>
            </w:tcBorders>
            <w:shd w:val="clear" w:color="auto" w:fill="auto"/>
            <w:noWrap/>
            <w:hideMark/>
          </w:tcPr>
          <w:p w14:paraId="1A7321DB" w14:textId="18844A95" w:rsidR="00CF27F8" w:rsidRPr="009E35ED" w:rsidRDefault="00CF27F8" w:rsidP="0093552B">
            <w:pPr>
              <w:shd w:val="clear" w:color="auto" w:fill="FFFFFF" w:themeFill="background1"/>
              <w:ind w:left="0"/>
              <w:jc w:val="right"/>
              <w:rPr>
                <w:rFonts w:ascii="Arial Narrow" w:hAnsi="Arial Narrow" w:cs="Calibri"/>
                <w:color w:val="000000" w:themeColor="text1"/>
                <w:sz w:val="22"/>
                <w:szCs w:val="22"/>
              </w:rPr>
            </w:pPr>
            <w:r w:rsidRPr="009E35ED">
              <w:rPr>
                <w:rFonts w:ascii="Arial Narrow" w:hAnsi="Arial Narrow" w:cs="Calibri"/>
                <w:color w:val="000000" w:themeColor="text1"/>
                <w:sz w:val="22"/>
                <w:szCs w:val="22"/>
              </w:rPr>
              <w:t xml:space="preserve">           46,874,192.36 </w:t>
            </w:r>
          </w:p>
        </w:tc>
        <w:tc>
          <w:tcPr>
            <w:tcW w:w="1923" w:type="dxa"/>
            <w:tcBorders>
              <w:top w:val="nil"/>
              <w:left w:val="nil"/>
              <w:bottom w:val="nil"/>
              <w:right w:val="nil"/>
            </w:tcBorders>
            <w:shd w:val="clear" w:color="auto" w:fill="auto"/>
            <w:noWrap/>
            <w:hideMark/>
          </w:tcPr>
          <w:p w14:paraId="4DE67E10" w14:textId="21237F09" w:rsidR="00CF27F8" w:rsidRPr="009E35ED" w:rsidRDefault="00CF27F8" w:rsidP="0093552B">
            <w:pPr>
              <w:shd w:val="clear" w:color="auto" w:fill="FFFFFF" w:themeFill="background1"/>
              <w:ind w:left="0"/>
              <w:rPr>
                <w:rFonts w:ascii="Arial Narrow" w:hAnsi="Arial Narrow" w:cs="Calibri"/>
                <w:color w:val="000000" w:themeColor="text1"/>
                <w:sz w:val="22"/>
                <w:szCs w:val="22"/>
              </w:rPr>
            </w:pPr>
          </w:p>
        </w:tc>
        <w:tc>
          <w:tcPr>
            <w:tcW w:w="2184" w:type="dxa"/>
            <w:tcBorders>
              <w:top w:val="nil"/>
              <w:left w:val="nil"/>
              <w:bottom w:val="nil"/>
              <w:right w:val="nil"/>
            </w:tcBorders>
            <w:shd w:val="clear" w:color="auto" w:fill="auto"/>
            <w:noWrap/>
            <w:hideMark/>
          </w:tcPr>
          <w:p w14:paraId="1E7F0BCC" w14:textId="7B1D47DF" w:rsidR="00CF27F8" w:rsidRPr="009E35ED" w:rsidRDefault="00CF27F8" w:rsidP="0093552B">
            <w:pPr>
              <w:shd w:val="clear" w:color="auto" w:fill="FFFFFF" w:themeFill="background1"/>
              <w:ind w:left="0"/>
              <w:jc w:val="right"/>
              <w:rPr>
                <w:rFonts w:ascii="Arial Narrow" w:hAnsi="Arial Narrow" w:cs="Calibri"/>
                <w:color w:val="000000" w:themeColor="text1"/>
                <w:sz w:val="22"/>
                <w:szCs w:val="22"/>
              </w:rPr>
            </w:pPr>
            <w:r w:rsidRPr="009E35ED">
              <w:rPr>
                <w:rFonts w:ascii="Arial Narrow" w:hAnsi="Arial Narrow" w:cs="Calibri"/>
                <w:color w:val="000000" w:themeColor="text1"/>
                <w:sz w:val="22"/>
                <w:szCs w:val="22"/>
              </w:rPr>
              <w:t xml:space="preserve">                 1,490,406.62 </w:t>
            </w:r>
          </w:p>
        </w:tc>
      </w:tr>
      <w:tr w:rsidR="00997F75" w:rsidRPr="009E35ED" w14:paraId="4B3AD238" w14:textId="77777777" w:rsidTr="00CF27F8">
        <w:trPr>
          <w:trHeight w:val="225"/>
        </w:trPr>
        <w:tc>
          <w:tcPr>
            <w:tcW w:w="1800" w:type="dxa"/>
            <w:tcBorders>
              <w:top w:val="nil"/>
              <w:left w:val="nil"/>
              <w:bottom w:val="nil"/>
              <w:right w:val="nil"/>
            </w:tcBorders>
            <w:shd w:val="clear" w:color="auto" w:fill="auto"/>
            <w:noWrap/>
            <w:hideMark/>
          </w:tcPr>
          <w:p w14:paraId="5BE33307" w14:textId="6268D100" w:rsidR="00CF27F8" w:rsidRPr="009E35ED" w:rsidRDefault="00CF27F8" w:rsidP="0093552B">
            <w:pPr>
              <w:shd w:val="clear" w:color="auto" w:fill="FFFFFF" w:themeFill="background1"/>
              <w:ind w:left="0"/>
              <w:jc w:val="center"/>
              <w:rPr>
                <w:rFonts w:ascii="Arial Narrow" w:hAnsi="Arial Narrow" w:cs="Calibri"/>
                <w:color w:val="000000" w:themeColor="text1"/>
                <w:sz w:val="22"/>
                <w:szCs w:val="22"/>
              </w:rPr>
            </w:pPr>
            <w:r w:rsidRPr="009E35ED">
              <w:rPr>
                <w:rFonts w:ascii="Arial Narrow" w:hAnsi="Arial Narrow" w:cs="Calibri"/>
                <w:color w:val="000000" w:themeColor="text1"/>
                <w:sz w:val="22"/>
                <w:szCs w:val="22"/>
              </w:rPr>
              <w:t>18-Sep-23</w:t>
            </w:r>
          </w:p>
        </w:tc>
        <w:tc>
          <w:tcPr>
            <w:tcW w:w="2697" w:type="dxa"/>
            <w:tcBorders>
              <w:top w:val="nil"/>
              <w:left w:val="nil"/>
              <w:bottom w:val="nil"/>
              <w:right w:val="nil"/>
            </w:tcBorders>
            <w:shd w:val="clear" w:color="auto" w:fill="auto"/>
            <w:noWrap/>
            <w:hideMark/>
          </w:tcPr>
          <w:p w14:paraId="3629807D" w14:textId="4AC96C95" w:rsidR="00CF27F8" w:rsidRPr="009E35ED" w:rsidRDefault="00CF27F8" w:rsidP="0093552B">
            <w:pPr>
              <w:shd w:val="clear" w:color="auto" w:fill="FFFFFF" w:themeFill="background1"/>
              <w:ind w:left="0"/>
              <w:jc w:val="right"/>
              <w:rPr>
                <w:rFonts w:ascii="Arial Narrow" w:hAnsi="Arial Narrow" w:cs="Calibri"/>
                <w:color w:val="000000" w:themeColor="text1"/>
                <w:sz w:val="22"/>
                <w:szCs w:val="22"/>
              </w:rPr>
            </w:pPr>
            <w:r w:rsidRPr="009E35ED">
              <w:rPr>
                <w:rFonts w:ascii="Arial Narrow" w:hAnsi="Arial Narrow" w:cs="Calibri"/>
                <w:color w:val="000000" w:themeColor="text1"/>
                <w:sz w:val="22"/>
                <w:szCs w:val="22"/>
              </w:rPr>
              <w:t xml:space="preserve">           45,626,828.43 </w:t>
            </w:r>
          </w:p>
        </w:tc>
        <w:tc>
          <w:tcPr>
            <w:tcW w:w="1923" w:type="dxa"/>
            <w:tcBorders>
              <w:top w:val="nil"/>
              <w:left w:val="nil"/>
              <w:bottom w:val="nil"/>
              <w:right w:val="nil"/>
            </w:tcBorders>
            <w:shd w:val="clear" w:color="auto" w:fill="auto"/>
            <w:noWrap/>
            <w:hideMark/>
          </w:tcPr>
          <w:p w14:paraId="7133194B" w14:textId="5B41B27D" w:rsidR="00CF27F8" w:rsidRPr="009E35ED" w:rsidRDefault="00CF27F8" w:rsidP="0093552B">
            <w:pPr>
              <w:shd w:val="clear" w:color="auto" w:fill="FFFFFF" w:themeFill="background1"/>
              <w:ind w:left="0"/>
              <w:rPr>
                <w:rFonts w:ascii="Arial Narrow" w:hAnsi="Arial Narrow" w:cs="Calibri"/>
                <w:color w:val="000000" w:themeColor="text1"/>
                <w:sz w:val="22"/>
                <w:szCs w:val="22"/>
              </w:rPr>
            </w:pPr>
            <w:r w:rsidRPr="009E35ED">
              <w:rPr>
                <w:rFonts w:ascii="Arial Narrow" w:hAnsi="Arial Narrow" w:cs="Calibri"/>
                <w:color w:val="000000" w:themeColor="text1"/>
                <w:sz w:val="22"/>
                <w:szCs w:val="22"/>
              </w:rPr>
              <w:t xml:space="preserve">                243,042.69 </w:t>
            </w:r>
          </w:p>
        </w:tc>
        <w:tc>
          <w:tcPr>
            <w:tcW w:w="2184" w:type="dxa"/>
            <w:tcBorders>
              <w:top w:val="nil"/>
              <w:left w:val="nil"/>
              <w:bottom w:val="nil"/>
              <w:right w:val="nil"/>
            </w:tcBorders>
            <w:shd w:val="clear" w:color="auto" w:fill="auto"/>
            <w:noWrap/>
            <w:hideMark/>
          </w:tcPr>
          <w:p w14:paraId="505E42F0" w14:textId="1EB1B3F0" w:rsidR="00CF27F8" w:rsidRPr="009E35ED" w:rsidRDefault="00CF27F8" w:rsidP="0093552B">
            <w:pPr>
              <w:shd w:val="clear" w:color="auto" w:fill="FFFFFF" w:themeFill="background1"/>
              <w:ind w:left="0"/>
              <w:jc w:val="right"/>
              <w:rPr>
                <w:rFonts w:ascii="Arial Narrow" w:hAnsi="Arial Narrow" w:cs="Calibri"/>
                <w:color w:val="000000" w:themeColor="text1"/>
                <w:sz w:val="22"/>
                <w:szCs w:val="22"/>
              </w:rPr>
            </w:pPr>
            <w:r w:rsidRPr="009E35ED">
              <w:rPr>
                <w:rFonts w:ascii="Arial Narrow" w:hAnsi="Arial Narrow" w:cs="Calibri"/>
                <w:color w:val="000000" w:themeColor="text1"/>
                <w:sz w:val="22"/>
                <w:szCs w:val="22"/>
              </w:rPr>
              <w:t xml:space="preserve">                 1,247,363.93 </w:t>
            </w:r>
          </w:p>
        </w:tc>
      </w:tr>
      <w:tr w:rsidR="00997F75" w:rsidRPr="009E35ED" w14:paraId="1BFE2582" w14:textId="77777777" w:rsidTr="00CF27F8">
        <w:trPr>
          <w:trHeight w:val="83"/>
        </w:trPr>
        <w:tc>
          <w:tcPr>
            <w:tcW w:w="1800" w:type="dxa"/>
            <w:tcBorders>
              <w:top w:val="nil"/>
              <w:left w:val="nil"/>
              <w:bottom w:val="nil"/>
              <w:right w:val="nil"/>
            </w:tcBorders>
            <w:shd w:val="clear" w:color="auto" w:fill="auto"/>
            <w:noWrap/>
            <w:hideMark/>
          </w:tcPr>
          <w:p w14:paraId="2A9F90CD" w14:textId="6DC38AF9" w:rsidR="00CF27F8" w:rsidRPr="009E35ED" w:rsidRDefault="00CF27F8" w:rsidP="0093552B">
            <w:pPr>
              <w:shd w:val="clear" w:color="auto" w:fill="FFFFFF" w:themeFill="background1"/>
              <w:ind w:left="0"/>
              <w:jc w:val="center"/>
              <w:rPr>
                <w:rFonts w:ascii="Arial Narrow" w:hAnsi="Arial Narrow" w:cs="Calibri"/>
                <w:color w:val="000000" w:themeColor="text1"/>
                <w:sz w:val="22"/>
                <w:szCs w:val="22"/>
              </w:rPr>
            </w:pPr>
            <w:r w:rsidRPr="009E35ED">
              <w:rPr>
                <w:rFonts w:ascii="Arial Narrow" w:hAnsi="Arial Narrow" w:cs="Calibri"/>
                <w:color w:val="000000" w:themeColor="text1"/>
                <w:sz w:val="22"/>
                <w:szCs w:val="22"/>
              </w:rPr>
              <w:t>18-Oct-23</w:t>
            </w:r>
          </w:p>
        </w:tc>
        <w:tc>
          <w:tcPr>
            <w:tcW w:w="2697" w:type="dxa"/>
            <w:tcBorders>
              <w:top w:val="nil"/>
              <w:left w:val="nil"/>
              <w:bottom w:val="nil"/>
              <w:right w:val="nil"/>
            </w:tcBorders>
            <w:shd w:val="clear" w:color="auto" w:fill="auto"/>
            <w:noWrap/>
            <w:hideMark/>
          </w:tcPr>
          <w:p w14:paraId="4682D5E0" w14:textId="32778A86" w:rsidR="00CF27F8" w:rsidRPr="009E35ED" w:rsidRDefault="00CF27F8" w:rsidP="0093552B">
            <w:pPr>
              <w:shd w:val="clear" w:color="auto" w:fill="FFFFFF" w:themeFill="background1"/>
              <w:ind w:left="0"/>
              <w:jc w:val="right"/>
              <w:rPr>
                <w:rFonts w:ascii="Arial Narrow" w:hAnsi="Arial Narrow" w:cs="Calibri"/>
                <w:color w:val="000000" w:themeColor="text1"/>
                <w:sz w:val="22"/>
                <w:szCs w:val="22"/>
              </w:rPr>
            </w:pPr>
            <w:r w:rsidRPr="009E35ED">
              <w:rPr>
                <w:rFonts w:ascii="Arial Narrow" w:hAnsi="Arial Narrow" w:cs="Calibri"/>
                <w:color w:val="000000" w:themeColor="text1"/>
                <w:sz w:val="22"/>
                <w:szCs w:val="22"/>
              </w:rPr>
              <w:t xml:space="preserve">           44,372,996.91 </w:t>
            </w:r>
          </w:p>
        </w:tc>
        <w:tc>
          <w:tcPr>
            <w:tcW w:w="1923" w:type="dxa"/>
            <w:tcBorders>
              <w:top w:val="nil"/>
              <w:left w:val="nil"/>
              <w:bottom w:val="nil"/>
              <w:right w:val="nil"/>
            </w:tcBorders>
            <w:shd w:val="clear" w:color="auto" w:fill="auto"/>
            <w:noWrap/>
            <w:hideMark/>
          </w:tcPr>
          <w:p w14:paraId="2453BE34" w14:textId="4A126F89" w:rsidR="00CF27F8" w:rsidRPr="009E35ED" w:rsidRDefault="00CF27F8" w:rsidP="0093552B">
            <w:pPr>
              <w:shd w:val="clear" w:color="auto" w:fill="FFFFFF" w:themeFill="background1"/>
              <w:ind w:left="0"/>
              <w:jc w:val="right"/>
              <w:rPr>
                <w:rFonts w:ascii="Arial Narrow" w:hAnsi="Arial Narrow" w:cs="Calibri"/>
                <w:color w:val="000000" w:themeColor="text1"/>
                <w:sz w:val="22"/>
                <w:szCs w:val="22"/>
              </w:rPr>
            </w:pPr>
            <w:r w:rsidRPr="009E35ED">
              <w:rPr>
                <w:rFonts w:ascii="Arial Narrow" w:hAnsi="Arial Narrow" w:cs="Calibri"/>
                <w:color w:val="000000" w:themeColor="text1"/>
                <w:sz w:val="22"/>
                <w:szCs w:val="22"/>
              </w:rPr>
              <w:t xml:space="preserve">236,575.11 </w:t>
            </w:r>
          </w:p>
        </w:tc>
        <w:tc>
          <w:tcPr>
            <w:tcW w:w="2184" w:type="dxa"/>
            <w:tcBorders>
              <w:top w:val="nil"/>
              <w:left w:val="nil"/>
              <w:bottom w:val="nil"/>
              <w:right w:val="nil"/>
            </w:tcBorders>
            <w:shd w:val="clear" w:color="auto" w:fill="auto"/>
            <w:noWrap/>
            <w:hideMark/>
          </w:tcPr>
          <w:p w14:paraId="3BB4A3D6" w14:textId="0E9CA2D6" w:rsidR="00CF27F8" w:rsidRPr="009E35ED" w:rsidRDefault="00CF27F8" w:rsidP="0093552B">
            <w:pPr>
              <w:shd w:val="clear" w:color="auto" w:fill="FFFFFF" w:themeFill="background1"/>
              <w:ind w:left="0"/>
              <w:jc w:val="right"/>
              <w:rPr>
                <w:rFonts w:ascii="Arial Narrow" w:hAnsi="Arial Narrow" w:cs="Calibri"/>
                <w:color w:val="000000" w:themeColor="text1"/>
                <w:sz w:val="22"/>
                <w:szCs w:val="22"/>
              </w:rPr>
            </w:pPr>
            <w:r w:rsidRPr="009E35ED">
              <w:rPr>
                <w:rFonts w:ascii="Arial Narrow" w:hAnsi="Arial Narrow" w:cs="Calibri"/>
                <w:color w:val="000000" w:themeColor="text1"/>
                <w:sz w:val="22"/>
                <w:szCs w:val="22"/>
              </w:rPr>
              <w:t xml:space="preserve">                 1,253,831.51 </w:t>
            </w:r>
          </w:p>
        </w:tc>
      </w:tr>
      <w:tr w:rsidR="00997F75" w:rsidRPr="009E35ED" w14:paraId="46E4762B" w14:textId="77777777" w:rsidTr="00CF27F8">
        <w:trPr>
          <w:trHeight w:val="126"/>
        </w:trPr>
        <w:tc>
          <w:tcPr>
            <w:tcW w:w="1800" w:type="dxa"/>
            <w:tcBorders>
              <w:top w:val="nil"/>
              <w:left w:val="nil"/>
              <w:bottom w:val="nil"/>
              <w:right w:val="nil"/>
            </w:tcBorders>
            <w:shd w:val="clear" w:color="auto" w:fill="auto"/>
            <w:noWrap/>
            <w:hideMark/>
          </w:tcPr>
          <w:p w14:paraId="7FF19AC1" w14:textId="71FF19DF" w:rsidR="00CF27F8" w:rsidRPr="009E35ED" w:rsidRDefault="00CF27F8" w:rsidP="0093552B">
            <w:pPr>
              <w:shd w:val="clear" w:color="auto" w:fill="FFFFFF" w:themeFill="background1"/>
              <w:ind w:left="0"/>
              <w:jc w:val="center"/>
              <w:rPr>
                <w:rFonts w:ascii="Arial Narrow" w:hAnsi="Arial Narrow" w:cs="Calibri"/>
                <w:color w:val="000000" w:themeColor="text1"/>
                <w:sz w:val="22"/>
                <w:szCs w:val="22"/>
              </w:rPr>
            </w:pPr>
            <w:r w:rsidRPr="009E35ED">
              <w:rPr>
                <w:rFonts w:ascii="Arial Narrow" w:hAnsi="Arial Narrow" w:cs="Calibri"/>
                <w:color w:val="000000" w:themeColor="text1"/>
                <w:sz w:val="22"/>
                <w:szCs w:val="22"/>
              </w:rPr>
              <w:t>18-Nov-23</w:t>
            </w:r>
          </w:p>
        </w:tc>
        <w:tc>
          <w:tcPr>
            <w:tcW w:w="2697" w:type="dxa"/>
            <w:tcBorders>
              <w:top w:val="nil"/>
              <w:left w:val="nil"/>
              <w:bottom w:val="nil"/>
              <w:right w:val="nil"/>
            </w:tcBorders>
            <w:shd w:val="clear" w:color="auto" w:fill="auto"/>
            <w:noWrap/>
            <w:hideMark/>
          </w:tcPr>
          <w:p w14:paraId="72CAD698" w14:textId="2D59F052" w:rsidR="00CF27F8" w:rsidRPr="009E35ED" w:rsidRDefault="00CF27F8" w:rsidP="0093552B">
            <w:pPr>
              <w:shd w:val="clear" w:color="auto" w:fill="FFFFFF" w:themeFill="background1"/>
              <w:ind w:left="0"/>
              <w:jc w:val="right"/>
              <w:rPr>
                <w:rFonts w:ascii="Arial Narrow" w:hAnsi="Arial Narrow" w:cs="Calibri"/>
                <w:color w:val="000000" w:themeColor="text1"/>
                <w:sz w:val="22"/>
                <w:szCs w:val="22"/>
              </w:rPr>
            </w:pPr>
            <w:r w:rsidRPr="009E35ED">
              <w:rPr>
                <w:rFonts w:ascii="Arial Narrow" w:hAnsi="Arial Narrow" w:cs="Calibri"/>
                <w:color w:val="000000" w:themeColor="text1"/>
                <w:sz w:val="22"/>
                <w:szCs w:val="22"/>
              </w:rPr>
              <w:t xml:space="preserve">           43,112,664.28 </w:t>
            </w:r>
          </w:p>
        </w:tc>
        <w:tc>
          <w:tcPr>
            <w:tcW w:w="1923" w:type="dxa"/>
            <w:tcBorders>
              <w:top w:val="nil"/>
              <w:left w:val="nil"/>
              <w:bottom w:val="nil"/>
              <w:right w:val="nil"/>
            </w:tcBorders>
            <w:shd w:val="clear" w:color="auto" w:fill="auto"/>
            <w:noWrap/>
            <w:hideMark/>
          </w:tcPr>
          <w:p w14:paraId="6A97886A" w14:textId="0ACBF96E" w:rsidR="00CF27F8" w:rsidRPr="009E35ED" w:rsidRDefault="00CF27F8" w:rsidP="0093552B">
            <w:pPr>
              <w:shd w:val="clear" w:color="auto" w:fill="FFFFFF" w:themeFill="background1"/>
              <w:ind w:left="0"/>
              <w:jc w:val="right"/>
              <w:rPr>
                <w:rFonts w:ascii="Arial Narrow" w:hAnsi="Arial Narrow" w:cs="Calibri"/>
                <w:color w:val="000000" w:themeColor="text1"/>
                <w:sz w:val="22"/>
                <w:szCs w:val="22"/>
              </w:rPr>
            </w:pPr>
            <w:r w:rsidRPr="009E35ED">
              <w:rPr>
                <w:rFonts w:ascii="Arial Narrow" w:hAnsi="Arial Narrow" w:cs="Calibri"/>
                <w:color w:val="000000" w:themeColor="text1"/>
                <w:sz w:val="22"/>
                <w:szCs w:val="22"/>
              </w:rPr>
              <w:t xml:space="preserve">              230,073.99 </w:t>
            </w:r>
          </w:p>
        </w:tc>
        <w:tc>
          <w:tcPr>
            <w:tcW w:w="2184" w:type="dxa"/>
            <w:tcBorders>
              <w:top w:val="nil"/>
              <w:left w:val="nil"/>
              <w:bottom w:val="nil"/>
              <w:right w:val="nil"/>
            </w:tcBorders>
            <w:shd w:val="clear" w:color="auto" w:fill="auto"/>
            <w:noWrap/>
            <w:hideMark/>
          </w:tcPr>
          <w:p w14:paraId="52594CCF" w14:textId="1A73D5C9" w:rsidR="00CF27F8" w:rsidRPr="009E35ED" w:rsidRDefault="00CF27F8" w:rsidP="0093552B">
            <w:pPr>
              <w:shd w:val="clear" w:color="auto" w:fill="FFFFFF" w:themeFill="background1"/>
              <w:ind w:left="0"/>
              <w:jc w:val="right"/>
              <w:rPr>
                <w:rFonts w:ascii="Arial Narrow" w:hAnsi="Arial Narrow" w:cs="Calibri"/>
                <w:color w:val="000000" w:themeColor="text1"/>
                <w:sz w:val="22"/>
                <w:szCs w:val="22"/>
              </w:rPr>
            </w:pPr>
            <w:r w:rsidRPr="009E35ED">
              <w:rPr>
                <w:rFonts w:ascii="Arial Narrow" w:hAnsi="Arial Narrow" w:cs="Calibri"/>
                <w:color w:val="000000" w:themeColor="text1"/>
                <w:sz w:val="22"/>
                <w:szCs w:val="22"/>
              </w:rPr>
              <w:t xml:space="preserve">                 1,260,332.63 </w:t>
            </w:r>
          </w:p>
        </w:tc>
      </w:tr>
      <w:tr w:rsidR="00CF27F8" w:rsidRPr="009E35ED" w14:paraId="12123859" w14:textId="77777777" w:rsidTr="00CF27F8">
        <w:trPr>
          <w:trHeight w:val="243"/>
        </w:trPr>
        <w:tc>
          <w:tcPr>
            <w:tcW w:w="1800" w:type="dxa"/>
            <w:tcBorders>
              <w:top w:val="nil"/>
              <w:left w:val="nil"/>
              <w:bottom w:val="nil"/>
              <w:right w:val="nil"/>
            </w:tcBorders>
            <w:shd w:val="clear" w:color="auto" w:fill="auto"/>
            <w:noWrap/>
            <w:hideMark/>
          </w:tcPr>
          <w:p w14:paraId="459628B6" w14:textId="59F5E4DD" w:rsidR="00CF27F8" w:rsidRPr="009E35ED" w:rsidRDefault="00CF27F8" w:rsidP="0093552B">
            <w:pPr>
              <w:shd w:val="clear" w:color="auto" w:fill="FFFFFF" w:themeFill="background1"/>
              <w:ind w:left="0"/>
              <w:jc w:val="center"/>
              <w:rPr>
                <w:rFonts w:ascii="Arial Narrow" w:hAnsi="Arial Narrow" w:cs="Calibri"/>
                <w:color w:val="000000" w:themeColor="text1"/>
                <w:sz w:val="22"/>
                <w:szCs w:val="22"/>
              </w:rPr>
            </w:pPr>
            <w:r w:rsidRPr="009E35ED">
              <w:rPr>
                <w:rFonts w:ascii="Arial Narrow" w:hAnsi="Arial Narrow" w:cs="Calibri"/>
                <w:color w:val="000000" w:themeColor="text1"/>
                <w:sz w:val="22"/>
                <w:szCs w:val="22"/>
              </w:rPr>
              <w:t>18-Dec-23</w:t>
            </w:r>
          </w:p>
        </w:tc>
        <w:tc>
          <w:tcPr>
            <w:tcW w:w="2697" w:type="dxa"/>
            <w:tcBorders>
              <w:top w:val="nil"/>
              <w:left w:val="nil"/>
              <w:bottom w:val="nil"/>
              <w:right w:val="nil"/>
            </w:tcBorders>
            <w:shd w:val="clear" w:color="auto" w:fill="auto"/>
            <w:noWrap/>
            <w:hideMark/>
          </w:tcPr>
          <w:p w14:paraId="2CA4A6D5" w14:textId="3F602382" w:rsidR="00CF27F8" w:rsidRPr="009E35ED" w:rsidRDefault="00CF27F8" w:rsidP="0093552B">
            <w:pPr>
              <w:shd w:val="clear" w:color="auto" w:fill="FFFFFF" w:themeFill="background1"/>
              <w:ind w:left="0"/>
              <w:jc w:val="right"/>
              <w:rPr>
                <w:rFonts w:ascii="Arial Narrow" w:hAnsi="Arial Narrow" w:cs="Calibri"/>
                <w:color w:val="000000" w:themeColor="text1"/>
                <w:sz w:val="22"/>
                <w:szCs w:val="22"/>
              </w:rPr>
            </w:pPr>
            <w:r w:rsidRPr="009E35ED">
              <w:rPr>
                <w:rFonts w:ascii="Arial Narrow" w:hAnsi="Arial Narrow" w:cs="Calibri"/>
                <w:color w:val="000000" w:themeColor="text1"/>
                <w:sz w:val="22"/>
                <w:szCs w:val="22"/>
              </w:rPr>
              <w:t xml:space="preserve">           41,845,796.82 </w:t>
            </w:r>
          </w:p>
        </w:tc>
        <w:tc>
          <w:tcPr>
            <w:tcW w:w="1923" w:type="dxa"/>
            <w:tcBorders>
              <w:top w:val="nil"/>
              <w:left w:val="nil"/>
              <w:bottom w:val="nil"/>
              <w:right w:val="nil"/>
            </w:tcBorders>
            <w:shd w:val="clear" w:color="auto" w:fill="auto"/>
            <w:noWrap/>
            <w:hideMark/>
          </w:tcPr>
          <w:p w14:paraId="43A1159E" w14:textId="2DC9DA10" w:rsidR="00CF27F8" w:rsidRPr="009E35ED" w:rsidRDefault="00CF27F8" w:rsidP="0093552B">
            <w:pPr>
              <w:shd w:val="clear" w:color="auto" w:fill="FFFFFF" w:themeFill="background1"/>
              <w:ind w:left="0"/>
              <w:jc w:val="right"/>
              <w:rPr>
                <w:rFonts w:ascii="Arial Narrow" w:hAnsi="Arial Narrow" w:cs="Calibri"/>
                <w:color w:val="000000" w:themeColor="text1"/>
                <w:sz w:val="22"/>
                <w:szCs w:val="22"/>
              </w:rPr>
            </w:pPr>
            <w:r w:rsidRPr="009E35ED">
              <w:rPr>
                <w:rFonts w:ascii="Arial Narrow" w:hAnsi="Arial Narrow" w:cs="Calibri"/>
                <w:color w:val="000000" w:themeColor="text1"/>
                <w:sz w:val="22"/>
                <w:szCs w:val="22"/>
              </w:rPr>
              <w:t xml:space="preserve">               223,539.16 </w:t>
            </w:r>
          </w:p>
        </w:tc>
        <w:tc>
          <w:tcPr>
            <w:tcW w:w="2184" w:type="dxa"/>
            <w:tcBorders>
              <w:top w:val="nil"/>
              <w:left w:val="nil"/>
              <w:bottom w:val="nil"/>
              <w:right w:val="nil"/>
            </w:tcBorders>
            <w:shd w:val="clear" w:color="auto" w:fill="auto"/>
            <w:noWrap/>
            <w:hideMark/>
          </w:tcPr>
          <w:p w14:paraId="15C718E1" w14:textId="0ACAECC4" w:rsidR="00CF27F8" w:rsidRPr="009E35ED" w:rsidRDefault="00CF27F8" w:rsidP="0093552B">
            <w:pPr>
              <w:shd w:val="clear" w:color="auto" w:fill="FFFFFF" w:themeFill="background1"/>
              <w:ind w:left="0"/>
              <w:jc w:val="right"/>
              <w:rPr>
                <w:rFonts w:ascii="Arial Narrow" w:hAnsi="Arial Narrow" w:cs="Calibri"/>
                <w:color w:val="000000" w:themeColor="text1"/>
                <w:sz w:val="22"/>
                <w:szCs w:val="22"/>
              </w:rPr>
            </w:pPr>
            <w:r w:rsidRPr="009E35ED">
              <w:rPr>
                <w:rFonts w:ascii="Arial Narrow" w:hAnsi="Arial Narrow" w:cs="Calibri"/>
                <w:color w:val="000000" w:themeColor="text1"/>
                <w:sz w:val="22"/>
                <w:szCs w:val="22"/>
              </w:rPr>
              <w:t xml:space="preserve">                 1,266,867.46 </w:t>
            </w:r>
          </w:p>
        </w:tc>
      </w:tr>
    </w:tbl>
    <w:p w14:paraId="5F052608" w14:textId="49603C5C" w:rsidR="00315869" w:rsidRPr="009E35ED" w:rsidRDefault="00315869" w:rsidP="00315869">
      <w:pPr>
        <w:ind w:left="0"/>
        <w:rPr>
          <w:rFonts w:ascii="Arial" w:eastAsia="Calibri" w:hAnsi="Arial" w:cs="Arial"/>
          <w:color w:val="000000" w:themeColor="text1"/>
          <w:sz w:val="22"/>
          <w:szCs w:val="22"/>
        </w:rPr>
      </w:pPr>
    </w:p>
    <w:p w14:paraId="605FA9A4" w14:textId="38BC1388" w:rsidR="00315869" w:rsidRPr="009E35ED" w:rsidRDefault="00315869" w:rsidP="00315869">
      <w:pPr>
        <w:ind w:left="0"/>
        <w:rPr>
          <w:rFonts w:ascii="Arial" w:eastAsia="Calibri" w:hAnsi="Arial" w:cs="Arial"/>
          <w:b/>
          <w:color w:val="000000" w:themeColor="text1"/>
          <w:sz w:val="22"/>
          <w:szCs w:val="22"/>
        </w:rPr>
      </w:pPr>
      <w:r w:rsidRPr="009E35ED">
        <w:rPr>
          <w:rFonts w:ascii="Arial" w:eastAsia="Calibri" w:hAnsi="Arial" w:cs="Arial"/>
          <w:b/>
          <w:color w:val="000000" w:themeColor="text1"/>
          <w:sz w:val="22"/>
          <w:szCs w:val="22"/>
        </w:rPr>
        <w:t>Philippine Lottery System (PLS)</w:t>
      </w:r>
    </w:p>
    <w:tbl>
      <w:tblPr>
        <w:tblW w:w="8604" w:type="dxa"/>
        <w:tblLook w:val="04A0" w:firstRow="1" w:lastRow="0" w:firstColumn="1" w:lastColumn="0" w:noHBand="0" w:noVBand="1"/>
      </w:tblPr>
      <w:tblGrid>
        <w:gridCol w:w="1800"/>
        <w:gridCol w:w="2697"/>
        <w:gridCol w:w="1923"/>
        <w:gridCol w:w="2184"/>
      </w:tblGrid>
      <w:tr w:rsidR="00997F75" w:rsidRPr="009E35ED" w14:paraId="47B88430" w14:textId="77777777" w:rsidTr="00315869">
        <w:trPr>
          <w:trHeight w:val="404"/>
        </w:trPr>
        <w:tc>
          <w:tcPr>
            <w:tcW w:w="1800" w:type="dxa"/>
            <w:tcBorders>
              <w:top w:val="single" w:sz="4" w:space="0" w:color="auto"/>
              <w:left w:val="nil"/>
              <w:bottom w:val="single" w:sz="4" w:space="0" w:color="auto"/>
              <w:right w:val="nil"/>
            </w:tcBorders>
            <w:shd w:val="clear" w:color="auto" w:fill="auto"/>
            <w:noWrap/>
            <w:vAlign w:val="center"/>
            <w:hideMark/>
          </w:tcPr>
          <w:p w14:paraId="55463F4E" w14:textId="77777777" w:rsidR="00315869" w:rsidRPr="009E35ED" w:rsidRDefault="00315869" w:rsidP="00315869">
            <w:pPr>
              <w:shd w:val="clear" w:color="auto" w:fill="FFFFFF" w:themeFill="background1"/>
              <w:ind w:left="0"/>
              <w:jc w:val="center"/>
              <w:rPr>
                <w:rFonts w:ascii="Arial Narrow" w:hAnsi="Arial Narrow" w:cs="Calibri"/>
                <w:b/>
                <w:bCs/>
                <w:color w:val="000000" w:themeColor="text1"/>
                <w:sz w:val="20"/>
                <w:szCs w:val="20"/>
              </w:rPr>
            </w:pPr>
            <w:r w:rsidRPr="009E35ED">
              <w:rPr>
                <w:rFonts w:ascii="Arial Narrow" w:hAnsi="Arial Narrow" w:cs="Calibri"/>
                <w:b/>
                <w:bCs/>
                <w:color w:val="000000" w:themeColor="text1"/>
                <w:sz w:val="20"/>
                <w:szCs w:val="20"/>
              </w:rPr>
              <w:t>PERIOD</w:t>
            </w:r>
          </w:p>
        </w:tc>
        <w:tc>
          <w:tcPr>
            <w:tcW w:w="2697" w:type="dxa"/>
            <w:tcBorders>
              <w:top w:val="single" w:sz="4" w:space="0" w:color="auto"/>
              <w:left w:val="nil"/>
              <w:bottom w:val="single" w:sz="4" w:space="0" w:color="auto"/>
              <w:right w:val="nil"/>
            </w:tcBorders>
            <w:shd w:val="clear" w:color="auto" w:fill="auto"/>
            <w:noWrap/>
            <w:vAlign w:val="center"/>
            <w:hideMark/>
          </w:tcPr>
          <w:p w14:paraId="02F77007" w14:textId="77777777" w:rsidR="00315869" w:rsidRPr="009E35ED" w:rsidRDefault="00315869" w:rsidP="00315869">
            <w:pPr>
              <w:shd w:val="clear" w:color="auto" w:fill="FFFFFF" w:themeFill="background1"/>
              <w:ind w:left="0"/>
              <w:jc w:val="center"/>
              <w:rPr>
                <w:rFonts w:ascii="Arial Narrow" w:hAnsi="Arial Narrow" w:cs="Calibri"/>
                <w:b/>
                <w:bCs/>
                <w:color w:val="000000" w:themeColor="text1"/>
                <w:sz w:val="20"/>
                <w:szCs w:val="20"/>
              </w:rPr>
            </w:pPr>
            <w:r w:rsidRPr="009E35ED">
              <w:rPr>
                <w:rFonts w:ascii="Arial Narrow" w:hAnsi="Arial Narrow" w:cs="Calibri"/>
                <w:b/>
                <w:bCs/>
                <w:color w:val="000000" w:themeColor="text1"/>
                <w:sz w:val="20"/>
                <w:szCs w:val="20"/>
              </w:rPr>
              <w:t>OPENING BALANCE</w:t>
            </w:r>
          </w:p>
        </w:tc>
        <w:tc>
          <w:tcPr>
            <w:tcW w:w="1923" w:type="dxa"/>
            <w:tcBorders>
              <w:top w:val="single" w:sz="4" w:space="0" w:color="auto"/>
              <w:left w:val="nil"/>
              <w:bottom w:val="single" w:sz="4" w:space="0" w:color="auto"/>
              <w:right w:val="nil"/>
            </w:tcBorders>
            <w:shd w:val="clear" w:color="auto" w:fill="auto"/>
            <w:noWrap/>
            <w:vAlign w:val="center"/>
            <w:hideMark/>
          </w:tcPr>
          <w:p w14:paraId="6991641A" w14:textId="77777777" w:rsidR="00315869" w:rsidRPr="009E35ED" w:rsidRDefault="00315869" w:rsidP="00315869">
            <w:pPr>
              <w:shd w:val="clear" w:color="auto" w:fill="FFFFFF" w:themeFill="background1"/>
              <w:ind w:left="0"/>
              <w:jc w:val="center"/>
              <w:rPr>
                <w:rFonts w:ascii="Arial Narrow" w:hAnsi="Arial Narrow" w:cs="Calibri"/>
                <w:b/>
                <w:bCs/>
                <w:color w:val="000000" w:themeColor="text1"/>
                <w:sz w:val="20"/>
                <w:szCs w:val="20"/>
              </w:rPr>
            </w:pPr>
            <w:r w:rsidRPr="009E35ED">
              <w:rPr>
                <w:rFonts w:ascii="Arial Narrow" w:hAnsi="Arial Narrow" w:cs="Calibri"/>
                <w:b/>
                <w:bCs/>
                <w:color w:val="000000" w:themeColor="text1"/>
                <w:sz w:val="20"/>
                <w:szCs w:val="20"/>
              </w:rPr>
              <w:t>INTEREST EXPENSE</w:t>
            </w:r>
          </w:p>
        </w:tc>
        <w:tc>
          <w:tcPr>
            <w:tcW w:w="2184" w:type="dxa"/>
            <w:tcBorders>
              <w:top w:val="single" w:sz="4" w:space="0" w:color="auto"/>
              <w:left w:val="nil"/>
              <w:bottom w:val="single" w:sz="4" w:space="0" w:color="auto"/>
              <w:right w:val="nil"/>
            </w:tcBorders>
            <w:shd w:val="clear" w:color="auto" w:fill="auto"/>
            <w:noWrap/>
            <w:vAlign w:val="center"/>
            <w:hideMark/>
          </w:tcPr>
          <w:p w14:paraId="09BA360F" w14:textId="77777777" w:rsidR="00315869" w:rsidRPr="009E35ED" w:rsidRDefault="00315869" w:rsidP="00315869">
            <w:pPr>
              <w:shd w:val="clear" w:color="auto" w:fill="FFFFFF" w:themeFill="background1"/>
              <w:ind w:left="0"/>
              <w:jc w:val="center"/>
              <w:rPr>
                <w:rFonts w:ascii="Arial Narrow" w:hAnsi="Arial Narrow" w:cs="Calibri"/>
                <w:b/>
                <w:bCs/>
                <w:color w:val="000000" w:themeColor="text1"/>
                <w:sz w:val="20"/>
                <w:szCs w:val="20"/>
              </w:rPr>
            </w:pPr>
            <w:r w:rsidRPr="009E35ED">
              <w:rPr>
                <w:rFonts w:ascii="Arial Narrow" w:hAnsi="Arial Narrow" w:cs="Calibri"/>
                <w:b/>
                <w:bCs/>
                <w:color w:val="000000" w:themeColor="text1"/>
                <w:sz w:val="20"/>
                <w:szCs w:val="20"/>
              </w:rPr>
              <w:t>PRINCIPAL PAYMENT</w:t>
            </w:r>
          </w:p>
        </w:tc>
      </w:tr>
      <w:tr w:rsidR="00997F75" w:rsidRPr="009E35ED" w14:paraId="67DB7E0F" w14:textId="77777777" w:rsidTr="00315869">
        <w:trPr>
          <w:trHeight w:val="260"/>
        </w:trPr>
        <w:tc>
          <w:tcPr>
            <w:tcW w:w="1800" w:type="dxa"/>
            <w:tcBorders>
              <w:top w:val="nil"/>
              <w:left w:val="nil"/>
              <w:bottom w:val="nil"/>
              <w:right w:val="nil"/>
            </w:tcBorders>
            <w:shd w:val="clear" w:color="auto" w:fill="auto"/>
            <w:noWrap/>
            <w:hideMark/>
          </w:tcPr>
          <w:p w14:paraId="0CB3FBC2" w14:textId="6322D40C" w:rsidR="00315869" w:rsidRPr="009E35ED" w:rsidRDefault="00315869" w:rsidP="00315869">
            <w:pPr>
              <w:shd w:val="clear" w:color="auto" w:fill="FFFFFF" w:themeFill="background1"/>
              <w:ind w:left="0"/>
              <w:jc w:val="center"/>
              <w:rPr>
                <w:rFonts w:ascii="Arial Narrow" w:hAnsi="Arial Narrow" w:cs="Calibri"/>
                <w:color w:val="000000" w:themeColor="text1"/>
                <w:sz w:val="22"/>
                <w:szCs w:val="22"/>
              </w:rPr>
            </w:pPr>
            <w:r w:rsidRPr="009E35ED">
              <w:rPr>
                <w:rFonts w:ascii="Arial Narrow" w:hAnsi="Arial Narrow" w:cs="Calibri"/>
                <w:color w:val="000000" w:themeColor="text1"/>
                <w:sz w:val="22"/>
                <w:szCs w:val="22"/>
              </w:rPr>
              <w:t>01-Oct-23</w:t>
            </w:r>
          </w:p>
        </w:tc>
        <w:tc>
          <w:tcPr>
            <w:tcW w:w="2697" w:type="dxa"/>
            <w:tcBorders>
              <w:top w:val="nil"/>
              <w:left w:val="nil"/>
              <w:bottom w:val="nil"/>
              <w:right w:val="nil"/>
            </w:tcBorders>
            <w:shd w:val="clear" w:color="auto" w:fill="auto"/>
            <w:noWrap/>
            <w:hideMark/>
          </w:tcPr>
          <w:p w14:paraId="6FCDFE8A" w14:textId="111A5A96" w:rsidR="00315869" w:rsidRPr="009E35ED" w:rsidRDefault="00315869" w:rsidP="00315869">
            <w:pPr>
              <w:shd w:val="clear" w:color="auto" w:fill="FFFFFF" w:themeFill="background1"/>
              <w:ind w:left="0"/>
              <w:jc w:val="right"/>
              <w:rPr>
                <w:rFonts w:ascii="Arial Narrow" w:hAnsi="Arial Narrow" w:cs="Calibri"/>
                <w:color w:val="000000" w:themeColor="text1"/>
                <w:sz w:val="22"/>
                <w:szCs w:val="22"/>
              </w:rPr>
            </w:pPr>
            <w:r w:rsidRPr="009E35ED">
              <w:rPr>
                <w:rFonts w:ascii="Arial Narrow" w:hAnsi="Arial Narrow" w:cs="Calibri"/>
                <w:color w:val="000000" w:themeColor="text1"/>
                <w:sz w:val="22"/>
                <w:szCs w:val="22"/>
              </w:rPr>
              <w:t xml:space="preserve">           4,995,306,254.86 </w:t>
            </w:r>
          </w:p>
        </w:tc>
        <w:tc>
          <w:tcPr>
            <w:tcW w:w="1923" w:type="dxa"/>
            <w:tcBorders>
              <w:top w:val="nil"/>
              <w:left w:val="nil"/>
              <w:bottom w:val="nil"/>
              <w:right w:val="nil"/>
            </w:tcBorders>
            <w:shd w:val="clear" w:color="auto" w:fill="auto"/>
            <w:noWrap/>
            <w:hideMark/>
          </w:tcPr>
          <w:p w14:paraId="4CAAF5C2" w14:textId="77777777" w:rsidR="00315869" w:rsidRPr="009E35ED" w:rsidRDefault="00315869" w:rsidP="00315869">
            <w:pPr>
              <w:shd w:val="clear" w:color="auto" w:fill="FFFFFF" w:themeFill="background1"/>
              <w:ind w:left="0"/>
              <w:rPr>
                <w:rFonts w:ascii="Arial Narrow" w:hAnsi="Arial Narrow" w:cs="Calibri"/>
                <w:color w:val="000000" w:themeColor="text1"/>
                <w:sz w:val="22"/>
                <w:szCs w:val="22"/>
              </w:rPr>
            </w:pPr>
          </w:p>
        </w:tc>
        <w:tc>
          <w:tcPr>
            <w:tcW w:w="2184" w:type="dxa"/>
            <w:tcBorders>
              <w:top w:val="nil"/>
              <w:left w:val="nil"/>
              <w:bottom w:val="nil"/>
              <w:right w:val="nil"/>
            </w:tcBorders>
            <w:shd w:val="clear" w:color="auto" w:fill="auto"/>
            <w:noWrap/>
            <w:hideMark/>
          </w:tcPr>
          <w:p w14:paraId="55A2F69B" w14:textId="77777777" w:rsidR="00315869" w:rsidRPr="009E35ED" w:rsidRDefault="00315869" w:rsidP="00315869">
            <w:pPr>
              <w:shd w:val="clear" w:color="auto" w:fill="FFFFFF" w:themeFill="background1"/>
              <w:ind w:left="0"/>
              <w:jc w:val="right"/>
              <w:rPr>
                <w:rFonts w:ascii="Arial Narrow" w:hAnsi="Arial Narrow" w:cs="Calibri"/>
                <w:color w:val="000000" w:themeColor="text1"/>
                <w:sz w:val="22"/>
                <w:szCs w:val="22"/>
              </w:rPr>
            </w:pPr>
          </w:p>
        </w:tc>
      </w:tr>
      <w:tr w:rsidR="00997F75" w:rsidRPr="009E35ED" w14:paraId="5EB0184F" w14:textId="77777777" w:rsidTr="00315869">
        <w:trPr>
          <w:trHeight w:val="90"/>
        </w:trPr>
        <w:tc>
          <w:tcPr>
            <w:tcW w:w="1800" w:type="dxa"/>
            <w:tcBorders>
              <w:top w:val="nil"/>
              <w:left w:val="nil"/>
              <w:bottom w:val="nil"/>
              <w:right w:val="nil"/>
            </w:tcBorders>
            <w:shd w:val="clear" w:color="auto" w:fill="auto"/>
            <w:noWrap/>
          </w:tcPr>
          <w:p w14:paraId="6A7FF8E9" w14:textId="3D2696A5" w:rsidR="00315869" w:rsidRPr="009E35ED" w:rsidRDefault="00315869" w:rsidP="00315869">
            <w:pPr>
              <w:shd w:val="clear" w:color="auto" w:fill="FFFFFF" w:themeFill="background1"/>
              <w:ind w:left="0"/>
              <w:jc w:val="center"/>
              <w:rPr>
                <w:rFonts w:ascii="Arial Narrow" w:hAnsi="Arial Narrow" w:cs="Calibri"/>
                <w:color w:val="000000" w:themeColor="text1"/>
                <w:sz w:val="22"/>
                <w:szCs w:val="22"/>
              </w:rPr>
            </w:pPr>
            <w:r w:rsidRPr="009E35ED">
              <w:rPr>
                <w:rFonts w:ascii="Arial Narrow" w:hAnsi="Arial Narrow" w:cs="Calibri"/>
                <w:color w:val="000000" w:themeColor="text1"/>
                <w:sz w:val="22"/>
                <w:szCs w:val="22"/>
              </w:rPr>
              <w:t>31-Oct-23</w:t>
            </w:r>
          </w:p>
        </w:tc>
        <w:tc>
          <w:tcPr>
            <w:tcW w:w="2697" w:type="dxa"/>
            <w:tcBorders>
              <w:top w:val="nil"/>
              <w:left w:val="nil"/>
              <w:bottom w:val="nil"/>
              <w:right w:val="nil"/>
            </w:tcBorders>
            <w:shd w:val="clear" w:color="auto" w:fill="auto"/>
            <w:noWrap/>
            <w:hideMark/>
          </w:tcPr>
          <w:p w14:paraId="4A7CFF53" w14:textId="455C5FD6" w:rsidR="00315869" w:rsidRPr="009E35ED" w:rsidRDefault="00315869" w:rsidP="00315869">
            <w:pPr>
              <w:shd w:val="clear" w:color="auto" w:fill="FFFFFF" w:themeFill="background1"/>
              <w:ind w:left="0"/>
              <w:jc w:val="right"/>
              <w:rPr>
                <w:rFonts w:ascii="Arial Narrow" w:hAnsi="Arial Narrow" w:cs="Calibri"/>
                <w:color w:val="000000" w:themeColor="text1"/>
                <w:sz w:val="22"/>
                <w:szCs w:val="22"/>
              </w:rPr>
            </w:pPr>
            <w:r w:rsidRPr="009E35ED">
              <w:rPr>
                <w:rFonts w:ascii="Arial Narrow" w:hAnsi="Arial Narrow" w:cs="Calibri"/>
                <w:color w:val="000000" w:themeColor="text1"/>
                <w:sz w:val="22"/>
                <w:szCs w:val="22"/>
              </w:rPr>
              <w:t xml:space="preserve">           4,923,783,462.23 </w:t>
            </w:r>
          </w:p>
        </w:tc>
        <w:tc>
          <w:tcPr>
            <w:tcW w:w="1923" w:type="dxa"/>
            <w:tcBorders>
              <w:top w:val="nil"/>
              <w:left w:val="nil"/>
              <w:bottom w:val="nil"/>
              <w:right w:val="nil"/>
            </w:tcBorders>
            <w:shd w:val="clear" w:color="auto" w:fill="auto"/>
            <w:noWrap/>
            <w:hideMark/>
          </w:tcPr>
          <w:p w14:paraId="385BF695" w14:textId="5BD614A5" w:rsidR="00315869" w:rsidRPr="009E35ED" w:rsidRDefault="00315869" w:rsidP="00315869">
            <w:pPr>
              <w:shd w:val="clear" w:color="auto" w:fill="FFFFFF" w:themeFill="background1"/>
              <w:ind w:left="0"/>
              <w:jc w:val="right"/>
              <w:rPr>
                <w:rFonts w:ascii="Arial Narrow" w:hAnsi="Arial Narrow" w:cs="Calibri"/>
                <w:color w:val="000000" w:themeColor="text1"/>
                <w:sz w:val="22"/>
                <w:szCs w:val="22"/>
              </w:rPr>
            </w:pPr>
            <w:r w:rsidRPr="009E35ED">
              <w:rPr>
                <w:rFonts w:ascii="Arial Narrow" w:hAnsi="Arial Narrow" w:cs="Calibri"/>
                <w:color w:val="000000" w:themeColor="text1"/>
                <w:sz w:val="22"/>
                <w:szCs w:val="22"/>
              </w:rPr>
              <w:t>25,143,874.03</w:t>
            </w:r>
          </w:p>
        </w:tc>
        <w:tc>
          <w:tcPr>
            <w:tcW w:w="2184" w:type="dxa"/>
            <w:tcBorders>
              <w:top w:val="nil"/>
              <w:left w:val="nil"/>
              <w:bottom w:val="nil"/>
              <w:right w:val="nil"/>
            </w:tcBorders>
            <w:shd w:val="clear" w:color="auto" w:fill="auto"/>
            <w:noWrap/>
          </w:tcPr>
          <w:p w14:paraId="3B0F8D64" w14:textId="716B9590" w:rsidR="00315869" w:rsidRPr="009E35ED" w:rsidRDefault="00315869" w:rsidP="00315869">
            <w:pPr>
              <w:shd w:val="clear" w:color="auto" w:fill="FFFFFF" w:themeFill="background1"/>
              <w:ind w:left="0"/>
              <w:jc w:val="right"/>
              <w:rPr>
                <w:rFonts w:ascii="Arial Narrow" w:hAnsi="Arial Narrow" w:cs="Calibri"/>
                <w:color w:val="000000" w:themeColor="text1"/>
                <w:sz w:val="22"/>
                <w:szCs w:val="22"/>
              </w:rPr>
            </w:pPr>
            <w:r w:rsidRPr="009E35ED">
              <w:rPr>
                <w:rFonts w:ascii="Arial Narrow" w:hAnsi="Arial Narrow" w:cs="Calibri"/>
                <w:color w:val="000000" w:themeColor="text1"/>
                <w:sz w:val="22"/>
                <w:szCs w:val="22"/>
              </w:rPr>
              <w:t>71,522,792.63</w:t>
            </w:r>
          </w:p>
        </w:tc>
      </w:tr>
      <w:tr w:rsidR="00997F75" w:rsidRPr="009E35ED" w14:paraId="0C737667" w14:textId="77777777" w:rsidTr="00315869">
        <w:trPr>
          <w:trHeight w:val="225"/>
        </w:trPr>
        <w:tc>
          <w:tcPr>
            <w:tcW w:w="1800" w:type="dxa"/>
            <w:tcBorders>
              <w:top w:val="nil"/>
              <w:left w:val="nil"/>
              <w:bottom w:val="nil"/>
              <w:right w:val="nil"/>
            </w:tcBorders>
            <w:shd w:val="clear" w:color="auto" w:fill="auto"/>
            <w:noWrap/>
          </w:tcPr>
          <w:p w14:paraId="24A16684" w14:textId="734C639F" w:rsidR="00315869" w:rsidRPr="009E35ED" w:rsidRDefault="00315869" w:rsidP="00315869">
            <w:pPr>
              <w:shd w:val="clear" w:color="auto" w:fill="FFFFFF" w:themeFill="background1"/>
              <w:ind w:left="0"/>
              <w:jc w:val="center"/>
              <w:rPr>
                <w:rFonts w:ascii="Arial Narrow" w:hAnsi="Arial Narrow" w:cs="Calibri"/>
                <w:color w:val="000000" w:themeColor="text1"/>
                <w:sz w:val="22"/>
                <w:szCs w:val="22"/>
              </w:rPr>
            </w:pPr>
            <w:r w:rsidRPr="009E35ED">
              <w:rPr>
                <w:rFonts w:ascii="Arial Narrow" w:hAnsi="Arial Narrow" w:cs="Calibri"/>
                <w:color w:val="000000" w:themeColor="text1"/>
                <w:sz w:val="22"/>
                <w:szCs w:val="22"/>
              </w:rPr>
              <w:t>30-Nov-23</w:t>
            </w:r>
          </w:p>
        </w:tc>
        <w:tc>
          <w:tcPr>
            <w:tcW w:w="2697" w:type="dxa"/>
            <w:tcBorders>
              <w:top w:val="nil"/>
              <w:left w:val="nil"/>
              <w:bottom w:val="nil"/>
              <w:right w:val="nil"/>
            </w:tcBorders>
            <w:shd w:val="clear" w:color="auto" w:fill="auto"/>
            <w:noWrap/>
            <w:hideMark/>
          </w:tcPr>
          <w:p w14:paraId="5EE6AB4B" w14:textId="496D2D50" w:rsidR="00315869" w:rsidRPr="009E35ED" w:rsidRDefault="00315869" w:rsidP="00315869">
            <w:pPr>
              <w:shd w:val="clear" w:color="auto" w:fill="FFFFFF" w:themeFill="background1"/>
              <w:ind w:left="0"/>
              <w:jc w:val="right"/>
              <w:rPr>
                <w:rFonts w:ascii="Arial Narrow" w:hAnsi="Arial Narrow" w:cs="Calibri"/>
                <w:color w:val="000000" w:themeColor="text1"/>
                <w:sz w:val="22"/>
                <w:szCs w:val="22"/>
              </w:rPr>
            </w:pPr>
            <w:r w:rsidRPr="009E35ED">
              <w:rPr>
                <w:rFonts w:ascii="Arial Narrow" w:hAnsi="Arial Narrow" w:cs="Calibri"/>
                <w:color w:val="000000" w:themeColor="text1"/>
                <w:sz w:val="22"/>
                <w:szCs w:val="22"/>
              </w:rPr>
              <w:t xml:space="preserve">           4,851,900,659.62 </w:t>
            </w:r>
          </w:p>
        </w:tc>
        <w:tc>
          <w:tcPr>
            <w:tcW w:w="1923" w:type="dxa"/>
            <w:tcBorders>
              <w:top w:val="nil"/>
              <w:left w:val="nil"/>
              <w:bottom w:val="nil"/>
              <w:right w:val="nil"/>
            </w:tcBorders>
            <w:shd w:val="clear" w:color="auto" w:fill="auto"/>
            <w:noWrap/>
          </w:tcPr>
          <w:p w14:paraId="5246582D" w14:textId="0C05D8B1" w:rsidR="00315869" w:rsidRPr="009E35ED" w:rsidRDefault="00315869" w:rsidP="00315869">
            <w:pPr>
              <w:shd w:val="clear" w:color="auto" w:fill="FFFFFF" w:themeFill="background1"/>
              <w:ind w:left="0"/>
              <w:jc w:val="right"/>
              <w:rPr>
                <w:rFonts w:ascii="Arial Narrow" w:hAnsi="Arial Narrow" w:cs="Calibri"/>
                <w:color w:val="000000" w:themeColor="text1"/>
                <w:sz w:val="22"/>
                <w:szCs w:val="22"/>
              </w:rPr>
            </w:pPr>
            <w:r w:rsidRPr="009E35ED">
              <w:rPr>
                <w:rFonts w:ascii="Arial Narrow" w:hAnsi="Arial Narrow" w:cs="Calibri"/>
                <w:color w:val="000000" w:themeColor="text1"/>
                <w:sz w:val="22"/>
                <w:szCs w:val="22"/>
              </w:rPr>
              <w:t>24,783,864.06</w:t>
            </w:r>
          </w:p>
        </w:tc>
        <w:tc>
          <w:tcPr>
            <w:tcW w:w="2184" w:type="dxa"/>
            <w:tcBorders>
              <w:top w:val="nil"/>
              <w:left w:val="nil"/>
              <w:bottom w:val="nil"/>
              <w:right w:val="nil"/>
            </w:tcBorders>
            <w:shd w:val="clear" w:color="auto" w:fill="auto"/>
            <w:noWrap/>
          </w:tcPr>
          <w:p w14:paraId="6FB1A0D1" w14:textId="6C6CD7DE" w:rsidR="00315869" w:rsidRPr="009E35ED" w:rsidRDefault="00315869" w:rsidP="00315869">
            <w:pPr>
              <w:shd w:val="clear" w:color="auto" w:fill="FFFFFF" w:themeFill="background1"/>
              <w:ind w:left="0"/>
              <w:jc w:val="right"/>
              <w:rPr>
                <w:rFonts w:ascii="Arial Narrow" w:hAnsi="Arial Narrow" w:cs="Calibri"/>
                <w:color w:val="000000" w:themeColor="text1"/>
                <w:sz w:val="22"/>
                <w:szCs w:val="22"/>
              </w:rPr>
            </w:pPr>
            <w:r w:rsidRPr="009E35ED">
              <w:rPr>
                <w:rFonts w:ascii="Arial Narrow" w:hAnsi="Arial Narrow" w:cs="Calibri"/>
                <w:color w:val="000000" w:themeColor="text1"/>
                <w:sz w:val="22"/>
                <w:szCs w:val="22"/>
              </w:rPr>
              <w:t>71,882,802.61</w:t>
            </w:r>
          </w:p>
        </w:tc>
      </w:tr>
      <w:tr w:rsidR="00315869" w:rsidRPr="009E35ED" w14:paraId="3E3FBF39" w14:textId="77777777" w:rsidTr="00315869">
        <w:trPr>
          <w:trHeight w:val="83"/>
        </w:trPr>
        <w:tc>
          <w:tcPr>
            <w:tcW w:w="1800" w:type="dxa"/>
            <w:tcBorders>
              <w:top w:val="nil"/>
              <w:left w:val="nil"/>
              <w:bottom w:val="nil"/>
              <w:right w:val="nil"/>
            </w:tcBorders>
            <w:shd w:val="clear" w:color="auto" w:fill="auto"/>
            <w:noWrap/>
          </w:tcPr>
          <w:p w14:paraId="4492064A" w14:textId="16EC6F79" w:rsidR="00315869" w:rsidRPr="009E35ED" w:rsidRDefault="00315869" w:rsidP="00315869">
            <w:pPr>
              <w:shd w:val="clear" w:color="auto" w:fill="FFFFFF" w:themeFill="background1"/>
              <w:ind w:left="0"/>
              <w:jc w:val="center"/>
              <w:rPr>
                <w:rFonts w:ascii="Arial Narrow" w:hAnsi="Arial Narrow" w:cs="Calibri"/>
                <w:color w:val="000000" w:themeColor="text1"/>
                <w:sz w:val="22"/>
                <w:szCs w:val="22"/>
              </w:rPr>
            </w:pPr>
            <w:r w:rsidRPr="009E35ED">
              <w:rPr>
                <w:rFonts w:ascii="Arial Narrow" w:hAnsi="Arial Narrow" w:cs="Calibri"/>
                <w:color w:val="000000" w:themeColor="text1"/>
                <w:sz w:val="22"/>
                <w:szCs w:val="22"/>
              </w:rPr>
              <w:t>31-Dec-23</w:t>
            </w:r>
          </w:p>
        </w:tc>
        <w:tc>
          <w:tcPr>
            <w:tcW w:w="2697" w:type="dxa"/>
            <w:tcBorders>
              <w:top w:val="nil"/>
              <w:left w:val="nil"/>
              <w:bottom w:val="nil"/>
              <w:right w:val="nil"/>
            </w:tcBorders>
            <w:shd w:val="clear" w:color="auto" w:fill="auto"/>
            <w:noWrap/>
            <w:hideMark/>
          </w:tcPr>
          <w:p w14:paraId="3108198E" w14:textId="3D2A9CC4" w:rsidR="00315869" w:rsidRPr="009E35ED" w:rsidRDefault="00315869" w:rsidP="00315869">
            <w:pPr>
              <w:shd w:val="clear" w:color="auto" w:fill="FFFFFF" w:themeFill="background1"/>
              <w:ind w:left="0"/>
              <w:jc w:val="right"/>
              <w:rPr>
                <w:rFonts w:ascii="Arial Narrow" w:hAnsi="Arial Narrow" w:cs="Calibri"/>
                <w:color w:val="000000" w:themeColor="text1"/>
                <w:sz w:val="22"/>
                <w:szCs w:val="22"/>
              </w:rPr>
            </w:pPr>
            <w:r w:rsidRPr="009E35ED">
              <w:rPr>
                <w:rFonts w:ascii="Arial Narrow" w:hAnsi="Arial Narrow" w:cs="Calibri"/>
                <w:color w:val="000000" w:themeColor="text1"/>
                <w:sz w:val="22"/>
                <w:szCs w:val="22"/>
              </w:rPr>
              <w:t xml:space="preserve">           4,779,656,034.92 </w:t>
            </w:r>
          </w:p>
        </w:tc>
        <w:tc>
          <w:tcPr>
            <w:tcW w:w="1923" w:type="dxa"/>
            <w:tcBorders>
              <w:top w:val="nil"/>
              <w:left w:val="nil"/>
              <w:bottom w:val="nil"/>
              <w:right w:val="nil"/>
            </w:tcBorders>
            <w:shd w:val="clear" w:color="auto" w:fill="auto"/>
            <w:noWrap/>
          </w:tcPr>
          <w:p w14:paraId="1EC919CE" w14:textId="152D6578" w:rsidR="00315869" w:rsidRPr="009E35ED" w:rsidRDefault="00315869" w:rsidP="00315869">
            <w:pPr>
              <w:shd w:val="clear" w:color="auto" w:fill="FFFFFF" w:themeFill="background1"/>
              <w:ind w:left="0"/>
              <w:jc w:val="right"/>
              <w:rPr>
                <w:rFonts w:ascii="Arial Narrow" w:hAnsi="Arial Narrow" w:cs="Calibri"/>
                <w:color w:val="000000" w:themeColor="text1"/>
                <w:sz w:val="22"/>
                <w:szCs w:val="22"/>
              </w:rPr>
            </w:pPr>
            <w:r w:rsidRPr="009E35ED">
              <w:rPr>
                <w:rFonts w:ascii="Arial Narrow" w:hAnsi="Arial Narrow" w:cs="Calibri"/>
                <w:color w:val="000000" w:themeColor="text1"/>
                <w:sz w:val="22"/>
                <w:szCs w:val="22"/>
              </w:rPr>
              <w:t>24,422,041.97</w:t>
            </w:r>
          </w:p>
        </w:tc>
        <w:tc>
          <w:tcPr>
            <w:tcW w:w="2184" w:type="dxa"/>
            <w:tcBorders>
              <w:top w:val="nil"/>
              <w:left w:val="nil"/>
              <w:bottom w:val="nil"/>
              <w:right w:val="nil"/>
            </w:tcBorders>
            <w:shd w:val="clear" w:color="auto" w:fill="auto"/>
            <w:noWrap/>
          </w:tcPr>
          <w:p w14:paraId="23EFB6AD" w14:textId="3226ED27" w:rsidR="00315869" w:rsidRPr="009E35ED" w:rsidRDefault="00315869" w:rsidP="00315869">
            <w:pPr>
              <w:shd w:val="clear" w:color="auto" w:fill="FFFFFF" w:themeFill="background1"/>
              <w:ind w:left="0"/>
              <w:jc w:val="right"/>
              <w:rPr>
                <w:rFonts w:ascii="Arial Narrow" w:hAnsi="Arial Narrow" w:cs="Calibri"/>
                <w:color w:val="000000" w:themeColor="text1"/>
                <w:sz w:val="22"/>
                <w:szCs w:val="22"/>
              </w:rPr>
            </w:pPr>
            <w:r w:rsidRPr="009E35ED">
              <w:rPr>
                <w:rFonts w:ascii="Arial Narrow" w:hAnsi="Arial Narrow" w:cs="Calibri"/>
                <w:color w:val="000000" w:themeColor="text1"/>
                <w:sz w:val="22"/>
                <w:szCs w:val="22"/>
              </w:rPr>
              <w:t>72,244,624.70</w:t>
            </w:r>
          </w:p>
        </w:tc>
      </w:tr>
    </w:tbl>
    <w:p w14:paraId="683E07CE" w14:textId="4CAC0C35" w:rsidR="00315869" w:rsidRPr="009E35ED" w:rsidRDefault="00315869" w:rsidP="00585874">
      <w:pPr>
        <w:ind w:left="0"/>
        <w:rPr>
          <w:rFonts w:ascii="Arial" w:eastAsia="Calibri" w:hAnsi="Arial" w:cs="Arial"/>
          <w:b/>
          <w:color w:val="000000" w:themeColor="text1"/>
          <w:sz w:val="22"/>
          <w:szCs w:val="22"/>
        </w:rPr>
      </w:pPr>
    </w:p>
    <w:p w14:paraId="7F5D3C72" w14:textId="77777777" w:rsidR="0019624B" w:rsidRPr="009E35ED" w:rsidRDefault="0019624B" w:rsidP="00585874">
      <w:pPr>
        <w:ind w:left="0"/>
        <w:rPr>
          <w:rFonts w:ascii="Arial" w:eastAsia="Calibri" w:hAnsi="Arial" w:cs="Arial"/>
          <w:b/>
          <w:color w:val="000000" w:themeColor="text1"/>
          <w:sz w:val="22"/>
          <w:szCs w:val="22"/>
        </w:rPr>
      </w:pPr>
    </w:p>
    <w:p w14:paraId="0E2594C7" w14:textId="2998DC09" w:rsidR="00585874" w:rsidRPr="009E35ED" w:rsidRDefault="006773CC" w:rsidP="00585874">
      <w:pPr>
        <w:ind w:left="0"/>
        <w:rPr>
          <w:rFonts w:ascii="Arial" w:eastAsia="Calibri" w:hAnsi="Arial" w:cs="Arial"/>
          <w:b/>
          <w:color w:val="000000" w:themeColor="text1"/>
          <w:sz w:val="22"/>
          <w:szCs w:val="22"/>
        </w:rPr>
      </w:pPr>
      <w:r w:rsidRPr="009E35ED">
        <w:rPr>
          <w:rFonts w:ascii="Arial" w:eastAsia="Calibri" w:hAnsi="Arial" w:cs="Arial"/>
          <w:b/>
          <w:color w:val="000000" w:themeColor="text1"/>
          <w:sz w:val="22"/>
          <w:szCs w:val="22"/>
        </w:rPr>
        <w:t>L</w:t>
      </w:r>
      <w:r w:rsidR="00585874" w:rsidRPr="009E35ED">
        <w:rPr>
          <w:rFonts w:ascii="Arial" w:eastAsia="Calibri" w:hAnsi="Arial" w:cs="Arial"/>
          <w:b/>
          <w:color w:val="000000" w:themeColor="text1"/>
          <w:sz w:val="22"/>
          <w:szCs w:val="22"/>
        </w:rPr>
        <w:t>ease payments recognized as expense</w:t>
      </w:r>
    </w:p>
    <w:p w14:paraId="3DC54925" w14:textId="5DA3DAC3" w:rsidR="00585874" w:rsidRPr="009E35ED" w:rsidRDefault="00585874" w:rsidP="00803F8C">
      <w:pPr>
        <w:ind w:left="0"/>
        <w:rPr>
          <w:rFonts w:ascii="Arial" w:hAnsi="Arial" w:cs="Arial"/>
          <w:color w:val="000000" w:themeColor="text1"/>
          <w:sz w:val="22"/>
          <w:szCs w:val="22"/>
        </w:rPr>
      </w:pPr>
    </w:p>
    <w:p w14:paraId="5716C2E7" w14:textId="000C0DA8" w:rsidR="00050586" w:rsidRPr="009E35ED" w:rsidRDefault="00353010" w:rsidP="00803F8C">
      <w:pPr>
        <w:ind w:left="0"/>
        <w:rPr>
          <w:rFonts w:ascii="Arial" w:hAnsi="Arial" w:cs="Arial"/>
          <w:color w:val="000000" w:themeColor="text1"/>
          <w:sz w:val="22"/>
          <w:szCs w:val="22"/>
        </w:rPr>
      </w:pPr>
      <w:r>
        <w:rPr>
          <w:rFonts w:ascii="Arial" w:hAnsi="Arial" w:cs="Arial"/>
          <w:color w:val="000000" w:themeColor="text1"/>
          <w:sz w:val="22"/>
          <w:szCs w:val="22"/>
        </w:rPr>
        <w:t xml:space="preserve">The </w:t>
      </w:r>
      <w:r w:rsidR="006552F5" w:rsidRPr="009E35ED">
        <w:rPr>
          <w:rFonts w:ascii="Arial" w:hAnsi="Arial" w:cs="Arial"/>
          <w:color w:val="000000" w:themeColor="text1"/>
          <w:sz w:val="22"/>
          <w:szCs w:val="22"/>
        </w:rPr>
        <w:t>GSD determined</w:t>
      </w:r>
      <w:r>
        <w:rPr>
          <w:rFonts w:ascii="Arial" w:hAnsi="Arial" w:cs="Arial"/>
          <w:color w:val="000000" w:themeColor="text1"/>
          <w:sz w:val="22"/>
          <w:szCs w:val="22"/>
        </w:rPr>
        <w:t xml:space="preserve"> that the</w:t>
      </w:r>
      <w:r w:rsidR="006552F5" w:rsidRPr="009E35ED">
        <w:rPr>
          <w:rFonts w:ascii="Arial" w:hAnsi="Arial" w:cs="Arial"/>
          <w:color w:val="000000" w:themeColor="text1"/>
          <w:sz w:val="22"/>
          <w:szCs w:val="22"/>
        </w:rPr>
        <w:t xml:space="preserve"> PCSO is in need of leasable warehouse space for its gaming/lottery supplies and properties to be used by its Assets and Supply Management Department (ASMD). </w:t>
      </w:r>
      <w:r>
        <w:rPr>
          <w:rFonts w:ascii="Arial" w:hAnsi="Arial" w:cs="Arial"/>
          <w:color w:val="000000" w:themeColor="text1"/>
          <w:sz w:val="22"/>
          <w:szCs w:val="22"/>
        </w:rPr>
        <w:t xml:space="preserve">The </w:t>
      </w:r>
      <w:r w:rsidR="00050586" w:rsidRPr="009E35ED">
        <w:rPr>
          <w:rFonts w:ascii="Arial" w:hAnsi="Arial" w:cs="Arial"/>
          <w:color w:val="000000" w:themeColor="text1"/>
          <w:sz w:val="22"/>
          <w:szCs w:val="22"/>
        </w:rPr>
        <w:t>GSD conducted</w:t>
      </w:r>
      <w:r w:rsidR="006552F5" w:rsidRPr="009E35ED">
        <w:rPr>
          <w:rFonts w:ascii="Arial" w:hAnsi="Arial" w:cs="Arial"/>
          <w:color w:val="000000" w:themeColor="text1"/>
          <w:sz w:val="22"/>
          <w:szCs w:val="22"/>
        </w:rPr>
        <w:t xml:space="preserve"> a cost-benefit analysis and after taking into consideration all the requirement</w:t>
      </w:r>
      <w:r w:rsidR="00050586" w:rsidRPr="009E35ED">
        <w:rPr>
          <w:rFonts w:ascii="Arial" w:hAnsi="Arial" w:cs="Arial"/>
          <w:color w:val="000000" w:themeColor="text1"/>
          <w:sz w:val="22"/>
          <w:szCs w:val="22"/>
        </w:rPr>
        <w:t xml:space="preserve">s, the </w:t>
      </w:r>
      <w:r>
        <w:rPr>
          <w:rFonts w:ascii="Arial" w:hAnsi="Arial" w:cs="Arial"/>
          <w:color w:val="000000" w:themeColor="text1"/>
          <w:sz w:val="22"/>
          <w:szCs w:val="22"/>
        </w:rPr>
        <w:t>Philippine Postal Corporation (</w:t>
      </w:r>
      <w:r w:rsidR="00050586" w:rsidRPr="009E35ED">
        <w:rPr>
          <w:rFonts w:ascii="Arial" w:hAnsi="Arial" w:cs="Arial"/>
          <w:color w:val="000000" w:themeColor="text1"/>
          <w:sz w:val="22"/>
          <w:szCs w:val="22"/>
        </w:rPr>
        <w:t>PHLPOST</w:t>
      </w:r>
      <w:r>
        <w:rPr>
          <w:rFonts w:ascii="Arial" w:hAnsi="Arial" w:cs="Arial"/>
          <w:color w:val="000000" w:themeColor="text1"/>
          <w:sz w:val="22"/>
          <w:szCs w:val="22"/>
        </w:rPr>
        <w:t>)</w:t>
      </w:r>
      <w:r w:rsidR="00050586" w:rsidRPr="009E35ED">
        <w:rPr>
          <w:rFonts w:ascii="Arial" w:hAnsi="Arial" w:cs="Arial"/>
          <w:color w:val="000000" w:themeColor="text1"/>
          <w:sz w:val="22"/>
          <w:szCs w:val="22"/>
        </w:rPr>
        <w:t xml:space="preserve"> meet the requirements of </w:t>
      </w:r>
      <w:r>
        <w:rPr>
          <w:rFonts w:ascii="Arial" w:hAnsi="Arial" w:cs="Arial"/>
          <w:color w:val="000000" w:themeColor="text1"/>
          <w:sz w:val="22"/>
          <w:szCs w:val="22"/>
        </w:rPr>
        <w:t xml:space="preserve">the </w:t>
      </w:r>
      <w:r w:rsidR="00050586" w:rsidRPr="009E35ED">
        <w:rPr>
          <w:rFonts w:ascii="Arial" w:hAnsi="Arial" w:cs="Arial"/>
          <w:color w:val="000000" w:themeColor="text1"/>
          <w:sz w:val="22"/>
          <w:szCs w:val="22"/>
        </w:rPr>
        <w:t xml:space="preserve">PCSO. In a letter dated </w:t>
      </w:r>
      <w:r w:rsidR="000C2DD6" w:rsidRPr="009E35ED">
        <w:rPr>
          <w:rFonts w:ascii="Arial" w:hAnsi="Arial" w:cs="Arial"/>
          <w:color w:val="000000" w:themeColor="text1"/>
          <w:sz w:val="22"/>
          <w:szCs w:val="22"/>
        </w:rPr>
        <w:t>March</w:t>
      </w:r>
      <w:r w:rsidR="00344372">
        <w:rPr>
          <w:rFonts w:ascii="Arial" w:hAnsi="Arial" w:cs="Arial"/>
          <w:color w:val="000000" w:themeColor="text1"/>
          <w:sz w:val="22"/>
          <w:szCs w:val="22"/>
        </w:rPr>
        <w:t xml:space="preserve"> 23,</w:t>
      </w:r>
      <w:r w:rsidR="000C2DD6" w:rsidRPr="009E35ED">
        <w:rPr>
          <w:rFonts w:ascii="Arial" w:hAnsi="Arial" w:cs="Arial"/>
          <w:color w:val="000000" w:themeColor="text1"/>
          <w:sz w:val="22"/>
          <w:szCs w:val="22"/>
        </w:rPr>
        <w:t xml:space="preserve"> 2022</w:t>
      </w:r>
      <w:r w:rsidR="00050586" w:rsidRPr="009E35ED">
        <w:rPr>
          <w:rFonts w:ascii="Arial" w:hAnsi="Arial" w:cs="Arial"/>
          <w:color w:val="000000" w:themeColor="text1"/>
          <w:sz w:val="22"/>
          <w:szCs w:val="22"/>
        </w:rPr>
        <w:t xml:space="preserve">, PHLPOST offered </w:t>
      </w:r>
      <w:r w:rsidR="000C2DD6" w:rsidRPr="009E35ED">
        <w:rPr>
          <w:rFonts w:ascii="Arial" w:hAnsi="Arial" w:cs="Arial"/>
          <w:color w:val="000000" w:themeColor="text1"/>
          <w:sz w:val="22"/>
          <w:szCs w:val="22"/>
        </w:rPr>
        <w:t xml:space="preserve">the same </w:t>
      </w:r>
      <w:r w:rsidR="00050586" w:rsidRPr="009E35ED">
        <w:rPr>
          <w:rFonts w:ascii="Arial" w:hAnsi="Arial" w:cs="Arial"/>
          <w:color w:val="000000" w:themeColor="text1"/>
          <w:sz w:val="22"/>
          <w:szCs w:val="22"/>
        </w:rPr>
        <w:t>warehouse/storage facility located at 2</w:t>
      </w:r>
      <w:r w:rsidR="00050586" w:rsidRPr="009E35ED">
        <w:rPr>
          <w:rFonts w:ascii="Arial" w:hAnsi="Arial" w:cs="Arial"/>
          <w:color w:val="000000" w:themeColor="text1"/>
          <w:sz w:val="22"/>
          <w:szCs w:val="22"/>
          <w:vertAlign w:val="superscript"/>
        </w:rPr>
        <w:t>nd</w:t>
      </w:r>
      <w:r w:rsidR="00050586" w:rsidRPr="009E35ED">
        <w:rPr>
          <w:rFonts w:ascii="Arial" w:hAnsi="Arial" w:cs="Arial"/>
          <w:color w:val="000000" w:themeColor="text1"/>
          <w:sz w:val="22"/>
          <w:szCs w:val="22"/>
        </w:rPr>
        <w:t xml:space="preserve"> St., Bonifacio Drive, Port Area, Manila with an area of 845 sqm.</w:t>
      </w:r>
    </w:p>
    <w:p w14:paraId="57EB8DD4" w14:textId="160AE7AA" w:rsidR="00050586" w:rsidRPr="009E35ED" w:rsidRDefault="00050586" w:rsidP="00803F8C">
      <w:pPr>
        <w:ind w:left="0"/>
        <w:rPr>
          <w:rFonts w:ascii="Arial" w:hAnsi="Arial" w:cs="Arial"/>
          <w:color w:val="000000" w:themeColor="text1"/>
          <w:sz w:val="22"/>
          <w:szCs w:val="22"/>
        </w:rPr>
      </w:pPr>
    </w:p>
    <w:p w14:paraId="18B9B078" w14:textId="545CAC9E" w:rsidR="00050586" w:rsidRPr="009E35ED" w:rsidRDefault="000C2DD6" w:rsidP="00803F8C">
      <w:pPr>
        <w:ind w:left="0"/>
        <w:rPr>
          <w:rFonts w:ascii="Arial" w:hAnsi="Arial" w:cs="Arial"/>
          <w:color w:val="000000" w:themeColor="text1"/>
          <w:sz w:val="22"/>
          <w:szCs w:val="22"/>
        </w:rPr>
      </w:pPr>
      <w:r w:rsidRPr="009E35ED">
        <w:rPr>
          <w:rFonts w:ascii="Arial" w:hAnsi="Arial" w:cs="Arial"/>
          <w:color w:val="000000" w:themeColor="text1"/>
          <w:sz w:val="22"/>
          <w:szCs w:val="22"/>
        </w:rPr>
        <w:t>On May</w:t>
      </w:r>
      <w:r w:rsidR="00344372">
        <w:rPr>
          <w:rFonts w:ascii="Arial" w:hAnsi="Arial" w:cs="Arial"/>
          <w:color w:val="000000" w:themeColor="text1"/>
          <w:sz w:val="22"/>
          <w:szCs w:val="22"/>
        </w:rPr>
        <w:t xml:space="preserve"> 11,</w:t>
      </w:r>
      <w:r w:rsidRPr="009E35ED">
        <w:rPr>
          <w:rFonts w:ascii="Arial" w:hAnsi="Arial" w:cs="Arial"/>
          <w:color w:val="000000" w:themeColor="text1"/>
          <w:sz w:val="22"/>
          <w:szCs w:val="22"/>
        </w:rPr>
        <w:t xml:space="preserve"> 2022, PCSO Board thru HOPE Resolution No. 008, </w:t>
      </w:r>
      <w:r w:rsidR="00353010">
        <w:rPr>
          <w:rFonts w:ascii="Arial" w:hAnsi="Arial" w:cs="Arial"/>
          <w:color w:val="000000" w:themeColor="text1"/>
          <w:sz w:val="22"/>
          <w:szCs w:val="22"/>
        </w:rPr>
        <w:t>s</w:t>
      </w:r>
      <w:r w:rsidRPr="009E35ED">
        <w:rPr>
          <w:rFonts w:ascii="Arial" w:hAnsi="Arial" w:cs="Arial"/>
          <w:color w:val="000000" w:themeColor="text1"/>
          <w:sz w:val="22"/>
          <w:szCs w:val="22"/>
        </w:rPr>
        <w:t xml:space="preserve">eries of 2022, approved the recommendation of BAC for the renewal of the lease contract, in accordance with RA </w:t>
      </w:r>
      <w:r w:rsidR="00525497">
        <w:rPr>
          <w:rFonts w:ascii="Arial" w:hAnsi="Arial" w:cs="Arial"/>
          <w:color w:val="000000" w:themeColor="text1"/>
          <w:sz w:val="22"/>
          <w:szCs w:val="22"/>
        </w:rPr>
        <w:t xml:space="preserve">No. </w:t>
      </w:r>
      <w:r w:rsidRPr="009E35ED">
        <w:rPr>
          <w:rFonts w:ascii="Arial" w:hAnsi="Arial" w:cs="Arial"/>
          <w:color w:val="000000" w:themeColor="text1"/>
          <w:sz w:val="22"/>
          <w:szCs w:val="22"/>
        </w:rPr>
        <w:t xml:space="preserve">9184 and other applicable and existing laws, rules and regulations on the matter. </w:t>
      </w:r>
    </w:p>
    <w:p w14:paraId="45FB8EC2" w14:textId="766A0C43" w:rsidR="00050586" w:rsidRPr="009E35ED" w:rsidRDefault="00050586" w:rsidP="00803F8C">
      <w:pPr>
        <w:ind w:left="0"/>
        <w:rPr>
          <w:rFonts w:ascii="Arial" w:hAnsi="Arial" w:cs="Arial"/>
          <w:color w:val="000000" w:themeColor="text1"/>
          <w:sz w:val="22"/>
          <w:szCs w:val="22"/>
        </w:rPr>
      </w:pPr>
    </w:p>
    <w:p w14:paraId="5D655096" w14:textId="42E57A01" w:rsidR="00050586" w:rsidRPr="009E35ED" w:rsidRDefault="00050586" w:rsidP="00803F8C">
      <w:pPr>
        <w:ind w:left="0"/>
        <w:rPr>
          <w:rFonts w:ascii="Arial" w:hAnsi="Arial" w:cs="Arial"/>
          <w:color w:val="000000" w:themeColor="text1"/>
          <w:sz w:val="22"/>
          <w:szCs w:val="22"/>
        </w:rPr>
      </w:pPr>
      <w:r w:rsidRPr="009E35ED">
        <w:rPr>
          <w:rFonts w:ascii="Arial" w:hAnsi="Arial" w:cs="Arial"/>
          <w:color w:val="000000" w:themeColor="text1"/>
          <w:sz w:val="22"/>
          <w:szCs w:val="22"/>
        </w:rPr>
        <w:t xml:space="preserve">Since the contract only have one (1) year term, the PCSO </w:t>
      </w:r>
      <w:r w:rsidR="009A1344" w:rsidRPr="009E35ED">
        <w:rPr>
          <w:rFonts w:ascii="Arial" w:hAnsi="Arial" w:cs="Arial"/>
          <w:color w:val="000000" w:themeColor="text1"/>
          <w:sz w:val="22"/>
          <w:szCs w:val="22"/>
        </w:rPr>
        <w:t xml:space="preserve">recognized it as expensed in the income statement on a straight-line basis over the lease term. </w:t>
      </w:r>
    </w:p>
    <w:p w14:paraId="1CD330E3" w14:textId="77777777" w:rsidR="006E34FF" w:rsidRPr="009E35ED" w:rsidRDefault="00741ACF" w:rsidP="001C371F">
      <w:pPr>
        <w:pStyle w:val="ListParagraph"/>
        <w:numPr>
          <w:ilvl w:val="0"/>
          <w:numId w:val="28"/>
        </w:numPr>
        <w:ind w:hanging="720"/>
        <w:rPr>
          <w:rFonts w:ascii="Arial" w:hAnsi="Arial" w:cs="Arial"/>
          <w:b/>
          <w:color w:val="000000" w:themeColor="text1"/>
          <w:sz w:val="22"/>
          <w:szCs w:val="22"/>
        </w:rPr>
      </w:pPr>
      <w:r w:rsidRPr="009E35ED">
        <w:rPr>
          <w:rFonts w:ascii="Arial" w:hAnsi="Arial" w:cs="Arial"/>
          <w:b/>
          <w:color w:val="000000" w:themeColor="text1"/>
          <w:sz w:val="22"/>
          <w:szCs w:val="22"/>
        </w:rPr>
        <w:t xml:space="preserve">SUPPLEMENTARY INFORMATION REQUIRED BY THE BUREAU OF INTERNAL REVENUE </w:t>
      </w:r>
      <w:r w:rsidR="007C4123" w:rsidRPr="009E35ED">
        <w:rPr>
          <w:rFonts w:ascii="Arial" w:hAnsi="Arial" w:cs="Arial"/>
          <w:b/>
          <w:color w:val="000000" w:themeColor="text1"/>
          <w:sz w:val="22"/>
          <w:szCs w:val="22"/>
        </w:rPr>
        <w:t>UNDER REVENUE</w:t>
      </w:r>
      <w:r w:rsidRPr="009E35ED">
        <w:rPr>
          <w:rFonts w:ascii="Arial" w:hAnsi="Arial" w:cs="Arial"/>
          <w:b/>
          <w:color w:val="000000" w:themeColor="text1"/>
          <w:sz w:val="22"/>
          <w:szCs w:val="22"/>
        </w:rPr>
        <w:t xml:space="preserve"> REGULATION NO. 15-2010 AND 19-2011</w:t>
      </w:r>
    </w:p>
    <w:p w14:paraId="6D072B89" w14:textId="77777777" w:rsidR="006E34FF" w:rsidRPr="009E35ED" w:rsidRDefault="006E34FF" w:rsidP="00803F8C">
      <w:pPr>
        <w:ind w:left="0"/>
        <w:rPr>
          <w:rFonts w:ascii="Arial" w:hAnsi="Arial" w:cs="Arial"/>
          <w:color w:val="000000" w:themeColor="text1"/>
          <w:sz w:val="22"/>
          <w:szCs w:val="22"/>
        </w:rPr>
      </w:pPr>
    </w:p>
    <w:p w14:paraId="471E1404" w14:textId="77777777" w:rsidR="00741ACF" w:rsidRPr="009E35ED" w:rsidRDefault="00741ACF" w:rsidP="00803F8C">
      <w:pPr>
        <w:ind w:left="0"/>
        <w:rPr>
          <w:rFonts w:ascii="Arial" w:hAnsi="Arial" w:cs="Arial"/>
          <w:color w:val="000000" w:themeColor="text1"/>
          <w:sz w:val="22"/>
          <w:szCs w:val="22"/>
        </w:rPr>
      </w:pPr>
      <w:r w:rsidRPr="009E35ED">
        <w:rPr>
          <w:rFonts w:ascii="Arial" w:hAnsi="Arial" w:cs="Arial"/>
          <w:color w:val="000000" w:themeColor="text1"/>
          <w:sz w:val="22"/>
          <w:szCs w:val="22"/>
        </w:rPr>
        <w:t>The following information are presented for purposes of filing with the BIR and are not a required part of the basic financial statement:</w:t>
      </w:r>
    </w:p>
    <w:p w14:paraId="5A0E5E36" w14:textId="77777777" w:rsidR="002679ED" w:rsidRDefault="002679ED" w:rsidP="00803F8C">
      <w:pPr>
        <w:ind w:left="0"/>
        <w:rPr>
          <w:rFonts w:ascii="Arial" w:hAnsi="Arial" w:cs="Arial"/>
          <w:b/>
          <w:color w:val="000000" w:themeColor="text1"/>
          <w:sz w:val="22"/>
          <w:szCs w:val="22"/>
        </w:rPr>
      </w:pPr>
    </w:p>
    <w:p w14:paraId="647D14C8" w14:textId="42B6072C" w:rsidR="00741ACF" w:rsidRPr="009E35ED" w:rsidRDefault="00741ACF" w:rsidP="00803F8C">
      <w:pPr>
        <w:ind w:left="0"/>
        <w:rPr>
          <w:rFonts w:ascii="Arial" w:hAnsi="Arial" w:cs="Arial"/>
          <w:b/>
          <w:color w:val="000000" w:themeColor="text1"/>
          <w:sz w:val="22"/>
          <w:szCs w:val="22"/>
        </w:rPr>
      </w:pPr>
      <w:r w:rsidRPr="009E35ED">
        <w:rPr>
          <w:rFonts w:ascii="Arial" w:hAnsi="Arial" w:cs="Arial"/>
          <w:b/>
          <w:color w:val="000000" w:themeColor="text1"/>
          <w:sz w:val="22"/>
          <w:szCs w:val="22"/>
        </w:rPr>
        <w:t>Revenue Regulation 15-2010</w:t>
      </w:r>
    </w:p>
    <w:p w14:paraId="2D9316F2" w14:textId="77777777" w:rsidR="00741ACF" w:rsidRPr="009E35ED" w:rsidRDefault="00741ACF" w:rsidP="00803F8C">
      <w:pPr>
        <w:ind w:left="0"/>
        <w:rPr>
          <w:rFonts w:ascii="Arial" w:hAnsi="Arial" w:cs="Arial"/>
          <w:color w:val="000000" w:themeColor="text1"/>
          <w:sz w:val="22"/>
          <w:szCs w:val="22"/>
        </w:rPr>
      </w:pPr>
    </w:p>
    <w:p w14:paraId="7EE41707" w14:textId="77777777" w:rsidR="00741ACF" w:rsidRPr="009E35ED" w:rsidRDefault="00741ACF" w:rsidP="001C371F">
      <w:pPr>
        <w:pStyle w:val="ListParagraph"/>
        <w:numPr>
          <w:ilvl w:val="0"/>
          <w:numId w:val="24"/>
        </w:numPr>
        <w:ind w:left="0"/>
        <w:rPr>
          <w:rFonts w:ascii="Arial" w:hAnsi="Arial" w:cs="Arial"/>
          <w:b/>
          <w:i/>
          <w:vanish/>
          <w:color w:val="000000" w:themeColor="text1"/>
          <w:sz w:val="22"/>
          <w:szCs w:val="22"/>
        </w:rPr>
      </w:pPr>
    </w:p>
    <w:p w14:paraId="0F5474F0" w14:textId="1BD0494E" w:rsidR="005A4F12" w:rsidRPr="009E35ED" w:rsidRDefault="00741ACF" w:rsidP="00803F8C">
      <w:pPr>
        <w:ind w:left="0"/>
        <w:rPr>
          <w:rFonts w:ascii="Arial" w:hAnsi="Arial" w:cs="Arial"/>
          <w:color w:val="000000" w:themeColor="text1"/>
          <w:sz w:val="22"/>
          <w:szCs w:val="22"/>
          <w:u w:val="single"/>
        </w:rPr>
      </w:pPr>
      <w:r w:rsidRPr="009E35ED">
        <w:rPr>
          <w:rFonts w:ascii="Arial" w:hAnsi="Arial" w:cs="Arial"/>
          <w:color w:val="000000" w:themeColor="text1"/>
          <w:sz w:val="22"/>
          <w:szCs w:val="22"/>
          <w:u w:val="single"/>
        </w:rPr>
        <w:t>Withholding Taxes for 20</w:t>
      </w:r>
      <w:r w:rsidR="00B046A0" w:rsidRPr="009E35ED">
        <w:rPr>
          <w:rFonts w:ascii="Arial" w:hAnsi="Arial" w:cs="Arial"/>
          <w:color w:val="000000" w:themeColor="text1"/>
          <w:sz w:val="22"/>
          <w:szCs w:val="22"/>
          <w:u w:val="single"/>
        </w:rPr>
        <w:t>2</w:t>
      </w:r>
      <w:r w:rsidR="009F04A8" w:rsidRPr="009E35ED">
        <w:rPr>
          <w:rFonts w:ascii="Arial" w:hAnsi="Arial" w:cs="Arial"/>
          <w:color w:val="000000" w:themeColor="text1"/>
          <w:sz w:val="22"/>
          <w:szCs w:val="22"/>
          <w:u w:val="single"/>
        </w:rPr>
        <w:t>3</w:t>
      </w:r>
    </w:p>
    <w:p w14:paraId="3616C560" w14:textId="77777777" w:rsidR="00741ACF" w:rsidRPr="009E35ED" w:rsidRDefault="00741ACF" w:rsidP="00803F8C">
      <w:pPr>
        <w:ind w:left="0"/>
        <w:rPr>
          <w:rFonts w:ascii="Arial" w:hAnsi="Arial" w:cs="Arial"/>
          <w:color w:val="000000" w:themeColor="text1"/>
          <w:sz w:val="22"/>
          <w:szCs w:val="22"/>
        </w:rPr>
      </w:pPr>
    </w:p>
    <w:p w14:paraId="229EB178" w14:textId="77777777" w:rsidR="00741ACF" w:rsidRPr="009E35ED" w:rsidRDefault="00741ACF" w:rsidP="00803F8C">
      <w:pPr>
        <w:ind w:left="0"/>
        <w:rPr>
          <w:rFonts w:ascii="Arial" w:hAnsi="Arial" w:cs="Arial"/>
          <w:color w:val="000000" w:themeColor="text1"/>
          <w:sz w:val="22"/>
          <w:szCs w:val="22"/>
        </w:rPr>
      </w:pPr>
      <w:r w:rsidRPr="009E35ED">
        <w:rPr>
          <w:rFonts w:ascii="Arial" w:hAnsi="Arial" w:cs="Arial"/>
          <w:color w:val="000000" w:themeColor="text1"/>
          <w:sz w:val="22"/>
          <w:szCs w:val="22"/>
        </w:rPr>
        <w:t>Withholding taxes paid and accrued during the year is as follows:</w:t>
      </w:r>
    </w:p>
    <w:p w14:paraId="6EBB6694" w14:textId="47532B18" w:rsidR="00082C48" w:rsidRPr="009E35ED" w:rsidRDefault="00082C48" w:rsidP="00803F8C">
      <w:pPr>
        <w:ind w:left="0"/>
        <w:rPr>
          <w:rFonts w:ascii="Arial" w:hAnsi="Arial" w:cs="Arial"/>
          <w:color w:val="000000" w:themeColor="text1"/>
          <w:sz w:val="22"/>
          <w:szCs w:val="22"/>
        </w:rPr>
      </w:pPr>
    </w:p>
    <w:tbl>
      <w:tblPr>
        <w:tblStyle w:val="TableGrid"/>
        <w:tblW w:w="8640" w:type="dxa"/>
        <w:tblBorders>
          <w:left w:val="none" w:sz="0" w:space="0" w:color="auto"/>
          <w:bottom w:val="double" w:sz="4" w:space="0" w:color="auto"/>
          <w:right w:val="none" w:sz="0" w:space="0" w:color="auto"/>
          <w:insideH w:val="none" w:sz="0" w:space="0" w:color="auto"/>
          <w:insideV w:val="none" w:sz="0" w:space="0" w:color="auto"/>
        </w:tblBorders>
        <w:tblLook w:val="04A0" w:firstRow="1" w:lastRow="0" w:firstColumn="1" w:lastColumn="0" w:noHBand="0" w:noVBand="1"/>
      </w:tblPr>
      <w:tblGrid>
        <w:gridCol w:w="4752"/>
        <w:gridCol w:w="3888"/>
      </w:tblGrid>
      <w:tr w:rsidR="00997F75" w:rsidRPr="009E35ED" w14:paraId="343F2391" w14:textId="77777777" w:rsidTr="00082C48">
        <w:trPr>
          <w:trHeight w:hRule="exact" w:val="259"/>
        </w:trPr>
        <w:tc>
          <w:tcPr>
            <w:tcW w:w="4752" w:type="dxa"/>
            <w:tcBorders>
              <w:top w:val="single" w:sz="4" w:space="0" w:color="auto"/>
              <w:bottom w:val="single" w:sz="4" w:space="0" w:color="auto"/>
            </w:tcBorders>
            <w:vAlign w:val="bottom"/>
          </w:tcPr>
          <w:p w14:paraId="6B3B3BC6" w14:textId="77777777" w:rsidR="007E3721" w:rsidRPr="009E35ED" w:rsidRDefault="007E3721" w:rsidP="00803F8C">
            <w:pPr>
              <w:pStyle w:val="ListParagraph"/>
              <w:ind w:left="0" w:right="-108" w:hanging="108"/>
              <w:rPr>
                <w:rFonts w:ascii="Arial Narrow" w:hAnsi="Arial Narrow" w:cs="Arial"/>
                <w:color w:val="000000" w:themeColor="text1"/>
                <w:sz w:val="22"/>
                <w:szCs w:val="22"/>
              </w:rPr>
            </w:pPr>
          </w:p>
          <w:p w14:paraId="5A711BBB" w14:textId="77777777" w:rsidR="007E3721" w:rsidRPr="009E35ED" w:rsidRDefault="007E3721" w:rsidP="00803F8C">
            <w:pPr>
              <w:pStyle w:val="ListParagraph"/>
              <w:ind w:left="0" w:right="-108" w:hanging="108"/>
              <w:rPr>
                <w:rFonts w:ascii="Arial Narrow" w:hAnsi="Arial Narrow" w:cs="Arial"/>
                <w:color w:val="000000" w:themeColor="text1"/>
                <w:sz w:val="22"/>
                <w:szCs w:val="22"/>
              </w:rPr>
            </w:pPr>
          </w:p>
        </w:tc>
        <w:tc>
          <w:tcPr>
            <w:tcW w:w="3888" w:type="dxa"/>
            <w:tcBorders>
              <w:top w:val="single" w:sz="4" w:space="0" w:color="auto"/>
              <w:bottom w:val="single" w:sz="4" w:space="0" w:color="auto"/>
            </w:tcBorders>
            <w:vAlign w:val="bottom"/>
          </w:tcPr>
          <w:p w14:paraId="4041B810" w14:textId="77777777" w:rsidR="007E3721" w:rsidRPr="009E35ED" w:rsidRDefault="007E3721" w:rsidP="00803F8C">
            <w:pPr>
              <w:pStyle w:val="ListParagraph"/>
              <w:ind w:left="-108" w:right="-108"/>
              <w:jc w:val="right"/>
              <w:rPr>
                <w:rFonts w:ascii="Arial Narrow" w:hAnsi="Arial Narrow" w:cs="Arial"/>
                <w:b/>
                <w:bCs/>
                <w:color w:val="000000" w:themeColor="text1"/>
                <w:sz w:val="22"/>
                <w:szCs w:val="22"/>
              </w:rPr>
            </w:pPr>
            <w:r w:rsidRPr="009E35ED">
              <w:rPr>
                <w:rFonts w:ascii="Arial Narrow" w:hAnsi="Arial Narrow" w:cs="Arial"/>
                <w:b/>
                <w:bCs/>
                <w:color w:val="000000" w:themeColor="text1"/>
                <w:sz w:val="22"/>
                <w:szCs w:val="22"/>
              </w:rPr>
              <w:t>Amount</w:t>
            </w:r>
          </w:p>
        </w:tc>
      </w:tr>
      <w:tr w:rsidR="00997F75" w:rsidRPr="009E35ED" w14:paraId="04EDFA1B" w14:textId="77777777" w:rsidTr="00082C48">
        <w:trPr>
          <w:trHeight w:hRule="exact" w:val="259"/>
        </w:trPr>
        <w:tc>
          <w:tcPr>
            <w:tcW w:w="4752" w:type="dxa"/>
            <w:tcBorders>
              <w:top w:val="single" w:sz="4" w:space="0" w:color="auto"/>
              <w:bottom w:val="nil"/>
            </w:tcBorders>
            <w:vAlign w:val="bottom"/>
          </w:tcPr>
          <w:p w14:paraId="75443EC6" w14:textId="77777777" w:rsidR="00741ACF" w:rsidRPr="009E35ED" w:rsidRDefault="00741ACF" w:rsidP="007E3721">
            <w:pPr>
              <w:pStyle w:val="ListParagraph"/>
              <w:ind w:left="-130" w:right="-108" w:firstLine="22"/>
              <w:rPr>
                <w:rFonts w:ascii="Arial Narrow" w:hAnsi="Arial Narrow" w:cs="Arial"/>
                <w:color w:val="000000" w:themeColor="text1"/>
                <w:sz w:val="22"/>
                <w:szCs w:val="22"/>
              </w:rPr>
            </w:pPr>
            <w:r w:rsidRPr="009E35ED">
              <w:rPr>
                <w:rFonts w:ascii="Arial Narrow" w:hAnsi="Arial Narrow" w:cs="Arial"/>
                <w:color w:val="000000" w:themeColor="text1"/>
                <w:sz w:val="22"/>
                <w:szCs w:val="22"/>
              </w:rPr>
              <w:t>Withholding tax on compensation</w:t>
            </w:r>
          </w:p>
        </w:tc>
        <w:tc>
          <w:tcPr>
            <w:tcW w:w="3888" w:type="dxa"/>
            <w:tcBorders>
              <w:top w:val="single" w:sz="4" w:space="0" w:color="auto"/>
              <w:bottom w:val="nil"/>
            </w:tcBorders>
            <w:vAlign w:val="bottom"/>
          </w:tcPr>
          <w:p w14:paraId="56292E9C" w14:textId="725B401B" w:rsidR="00741ACF" w:rsidRPr="009E35ED" w:rsidRDefault="006615CB" w:rsidP="006C06F7">
            <w:pPr>
              <w:pStyle w:val="ListParagraph"/>
              <w:ind w:left="-108" w:right="-108"/>
              <w:jc w:val="right"/>
              <w:rPr>
                <w:rFonts w:ascii="Arial Narrow" w:hAnsi="Arial Narrow" w:cs="Arial"/>
                <w:color w:val="000000" w:themeColor="text1"/>
                <w:sz w:val="22"/>
                <w:szCs w:val="22"/>
              </w:rPr>
            </w:pPr>
            <w:r w:rsidRPr="009E35ED">
              <w:rPr>
                <w:rFonts w:ascii="Arial Narrow" w:hAnsi="Arial Narrow" w:cs="Arial"/>
                <w:color w:val="000000" w:themeColor="text1"/>
                <w:sz w:val="22"/>
                <w:szCs w:val="22"/>
              </w:rPr>
              <w:t>172,069,90</w:t>
            </w:r>
            <w:r w:rsidR="00AA7F52" w:rsidRPr="009E35ED">
              <w:rPr>
                <w:rFonts w:ascii="Arial Narrow" w:hAnsi="Arial Narrow" w:cs="Arial"/>
                <w:color w:val="000000" w:themeColor="text1"/>
                <w:sz w:val="22"/>
                <w:szCs w:val="22"/>
              </w:rPr>
              <w:t>1</w:t>
            </w:r>
          </w:p>
        </w:tc>
      </w:tr>
      <w:tr w:rsidR="00997F75" w:rsidRPr="009E35ED" w14:paraId="58DA601D" w14:textId="77777777" w:rsidTr="00C72E68">
        <w:trPr>
          <w:trHeight w:hRule="exact" w:val="259"/>
        </w:trPr>
        <w:tc>
          <w:tcPr>
            <w:tcW w:w="4752" w:type="dxa"/>
            <w:tcBorders>
              <w:top w:val="nil"/>
              <w:bottom w:val="single" w:sz="4" w:space="0" w:color="auto"/>
            </w:tcBorders>
            <w:vAlign w:val="bottom"/>
          </w:tcPr>
          <w:p w14:paraId="38A092B5" w14:textId="77777777" w:rsidR="00741ACF" w:rsidRPr="009E35ED" w:rsidRDefault="00741ACF" w:rsidP="00803F8C">
            <w:pPr>
              <w:pStyle w:val="ListParagraph"/>
              <w:ind w:left="0" w:right="-108" w:hanging="108"/>
              <w:rPr>
                <w:rFonts w:ascii="Arial Narrow" w:hAnsi="Arial Narrow" w:cs="Arial"/>
                <w:color w:val="000000" w:themeColor="text1"/>
                <w:sz w:val="22"/>
                <w:szCs w:val="22"/>
              </w:rPr>
            </w:pPr>
            <w:r w:rsidRPr="009E35ED">
              <w:rPr>
                <w:rFonts w:ascii="Arial Narrow" w:hAnsi="Arial Narrow" w:cs="Arial"/>
                <w:color w:val="000000" w:themeColor="text1"/>
                <w:sz w:val="22"/>
                <w:szCs w:val="22"/>
              </w:rPr>
              <w:t>Withholding tax at source (expanded)</w:t>
            </w:r>
          </w:p>
        </w:tc>
        <w:tc>
          <w:tcPr>
            <w:tcW w:w="3888" w:type="dxa"/>
            <w:tcBorders>
              <w:top w:val="nil"/>
              <w:bottom w:val="single" w:sz="4" w:space="0" w:color="auto"/>
            </w:tcBorders>
            <w:vAlign w:val="bottom"/>
          </w:tcPr>
          <w:p w14:paraId="45711148" w14:textId="5BD2B01D" w:rsidR="00E31C26" w:rsidRPr="009E35ED" w:rsidRDefault="00E31C26" w:rsidP="00136ED7">
            <w:pPr>
              <w:ind w:right="-116"/>
              <w:jc w:val="right"/>
              <w:rPr>
                <w:rFonts w:ascii="Arial Narrow" w:hAnsi="Arial Narrow"/>
                <w:color w:val="000000" w:themeColor="text1"/>
                <w:sz w:val="22"/>
                <w:szCs w:val="22"/>
              </w:rPr>
            </w:pPr>
            <w:r w:rsidRPr="009E35ED">
              <w:rPr>
                <w:rFonts w:ascii="Arial Narrow" w:hAnsi="Arial Narrow"/>
                <w:color w:val="000000" w:themeColor="text1"/>
                <w:sz w:val="22"/>
                <w:szCs w:val="22"/>
              </w:rPr>
              <w:t xml:space="preserve">                      </w:t>
            </w:r>
            <w:r w:rsidR="00136ED7" w:rsidRPr="009E35ED">
              <w:rPr>
                <w:rFonts w:ascii="Arial Narrow" w:hAnsi="Arial Narrow"/>
                <w:color w:val="000000" w:themeColor="text1"/>
                <w:sz w:val="22"/>
                <w:szCs w:val="22"/>
              </w:rPr>
              <w:t xml:space="preserve">  </w:t>
            </w:r>
            <w:r w:rsidRPr="009E35ED">
              <w:rPr>
                <w:rFonts w:ascii="Arial Narrow" w:hAnsi="Arial Narrow"/>
                <w:color w:val="000000" w:themeColor="text1"/>
                <w:sz w:val="22"/>
                <w:szCs w:val="22"/>
              </w:rPr>
              <w:t xml:space="preserve"> 1,016,807,39</w:t>
            </w:r>
            <w:r w:rsidR="00AA7F52" w:rsidRPr="009E35ED">
              <w:rPr>
                <w:rFonts w:ascii="Arial Narrow" w:hAnsi="Arial Narrow"/>
                <w:color w:val="000000" w:themeColor="text1"/>
                <w:sz w:val="22"/>
                <w:szCs w:val="22"/>
              </w:rPr>
              <w:t>6</w:t>
            </w:r>
          </w:p>
          <w:p w14:paraId="03290CBD" w14:textId="46929012" w:rsidR="00741ACF" w:rsidRPr="009E35ED" w:rsidRDefault="00741ACF" w:rsidP="002A1665">
            <w:pPr>
              <w:pStyle w:val="ListParagraph"/>
              <w:ind w:left="-108" w:right="-108"/>
              <w:jc w:val="right"/>
              <w:rPr>
                <w:rFonts w:ascii="Arial Narrow" w:hAnsi="Arial Narrow" w:cs="Arial"/>
                <w:color w:val="000000" w:themeColor="text1"/>
                <w:sz w:val="22"/>
                <w:szCs w:val="22"/>
              </w:rPr>
            </w:pPr>
          </w:p>
        </w:tc>
      </w:tr>
      <w:tr w:rsidR="00EA47F9" w:rsidRPr="009E35ED" w14:paraId="605B811B" w14:textId="77777777" w:rsidTr="00C72E68">
        <w:trPr>
          <w:trHeight w:hRule="exact" w:val="259"/>
        </w:trPr>
        <w:tc>
          <w:tcPr>
            <w:tcW w:w="4752" w:type="dxa"/>
            <w:tcBorders>
              <w:top w:val="single" w:sz="4" w:space="0" w:color="auto"/>
              <w:bottom w:val="double" w:sz="4" w:space="0" w:color="auto"/>
            </w:tcBorders>
          </w:tcPr>
          <w:p w14:paraId="4CA60DE1" w14:textId="77777777" w:rsidR="00741ACF" w:rsidRPr="009E35ED" w:rsidRDefault="007E3721" w:rsidP="00803F8C">
            <w:pPr>
              <w:pStyle w:val="ListParagraph"/>
              <w:ind w:left="0" w:right="-108" w:hanging="108"/>
              <w:rPr>
                <w:rFonts w:ascii="Arial Narrow" w:hAnsi="Arial Narrow" w:cs="Arial"/>
                <w:b/>
                <w:bCs/>
                <w:color w:val="000000" w:themeColor="text1"/>
                <w:sz w:val="22"/>
                <w:szCs w:val="22"/>
              </w:rPr>
            </w:pPr>
            <w:r w:rsidRPr="009E35ED">
              <w:rPr>
                <w:rFonts w:ascii="Arial Narrow" w:hAnsi="Arial Narrow" w:cs="Arial"/>
                <w:b/>
                <w:bCs/>
                <w:color w:val="000000" w:themeColor="text1"/>
                <w:sz w:val="22"/>
                <w:szCs w:val="22"/>
              </w:rPr>
              <w:t>Total</w:t>
            </w:r>
          </w:p>
        </w:tc>
        <w:tc>
          <w:tcPr>
            <w:tcW w:w="3888" w:type="dxa"/>
            <w:tcBorders>
              <w:top w:val="single" w:sz="4" w:space="0" w:color="auto"/>
              <w:bottom w:val="double" w:sz="4" w:space="0" w:color="auto"/>
            </w:tcBorders>
            <w:vAlign w:val="bottom"/>
          </w:tcPr>
          <w:p w14:paraId="196F5D50" w14:textId="755B896D" w:rsidR="00741ACF" w:rsidRPr="009E35ED" w:rsidRDefault="000024E2" w:rsidP="006C06F7">
            <w:pPr>
              <w:pStyle w:val="ListParagraph"/>
              <w:ind w:left="-108" w:right="-108"/>
              <w:jc w:val="right"/>
              <w:rPr>
                <w:rFonts w:ascii="Arial Narrow" w:hAnsi="Arial Narrow" w:cs="Arial"/>
                <w:b/>
                <w:bCs/>
                <w:color w:val="000000" w:themeColor="text1"/>
                <w:sz w:val="22"/>
                <w:szCs w:val="22"/>
              </w:rPr>
            </w:pPr>
            <w:r w:rsidRPr="009E35ED">
              <w:rPr>
                <w:rFonts w:ascii="Arial Narrow" w:hAnsi="Arial Narrow" w:cs="Arial"/>
                <w:b/>
                <w:bCs/>
                <w:color w:val="000000" w:themeColor="text1"/>
                <w:sz w:val="22"/>
                <w:szCs w:val="22"/>
              </w:rPr>
              <w:t>1,188,877,29</w:t>
            </w:r>
            <w:r w:rsidR="00AA7F52" w:rsidRPr="009E35ED">
              <w:rPr>
                <w:rFonts w:ascii="Arial Narrow" w:hAnsi="Arial Narrow" w:cs="Arial"/>
                <w:b/>
                <w:bCs/>
                <w:color w:val="000000" w:themeColor="text1"/>
                <w:sz w:val="22"/>
                <w:szCs w:val="22"/>
              </w:rPr>
              <w:t>7</w:t>
            </w:r>
          </w:p>
        </w:tc>
      </w:tr>
    </w:tbl>
    <w:p w14:paraId="1DDBE730" w14:textId="20BBB3B0" w:rsidR="00975CA4" w:rsidRPr="009E35ED" w:rsidRDefault="00975CA4" w:rsidP="00803F8C">
      <w:pPr>
        <w:ind w:left="0"/>
        <w:rPr>
          <w:rFonts w:ascii="Arial" w:hAnsi="Arial" w:cs="Arial"/>
          <w:color w:val="000000" w:themeColor="text1"/>
          <w:sz w:val="22"/>
          <w:szCs w:val="22"/>
          <w:u w:val="single"/>
        </w:rPr>
      </w:pPr>
    </w:p>
    <w:p w14:paraId="681FA32E" w14:textId="6CABE01C" w:rsidR="00741ACF" w:rsidRPr="009E35ED" w:rsidRDefault="00741ACF" w:rsidP="00803F8C">
      <w:pPr>
        <w:ind w:left="0"/>
        <w:rPr>
          <w:rFonts w:ascii="Arial" w:hAnsi="Arial" w:cs="Arial"/>
          <w:color w:val="000000" w:themeColor="text1"/>
          <w:sz w:val="22"/>
          <w:szCs w:val="22"/>
          <w:u w:val="single"/>
        </w:rPr>
      </w:pPr>
      <w:r w:rsidRPr="009E35ED">
        <w:rPr>
          <w:rFonts w:ascii="Arial" w:hAnsi="Arial" w:cs="Arial"/>
          <w:color w:val="000000" w:themeColor="text1"/>
          <w:sz w:val="22"/>
          <w:szCs w:val="22"/>
          <w:u w:val="single"/>
        </w:rPr>
        <w:t>Other Taxes and Licenses for 20</w:t>
      </w:r>
      <w:r w:rsidR="00B046A0" w:rsidRPr="009E35ED">
        <w:rPr>
          <w:rFonts w:ascii="Arial" w:hAnsi="Arial" w:cs="Arial"/>
          <w:color w:val="000000" w:themeColor="text1"/>
          <w:sz w:val="22"/>
          <w:szCs w:val="22"/>
          <w:u w:val="single"/>
        </w:rPr>
        <w:t>2</w:t>
      </w:r>
      <w:r w:rsidR="009F04A8" w:rsidRPr="009E35ED">
        <w:rPr>
          <w:rFonts w:ascii="Arial" w:hAnsi="Arial" w:cs="Arial"/>
          <w:color w:val="000000" w:themeColor="text1"/>
          <w:sz w:val="22"/>
          <w:szCs w:val="22"/>
          <w:u w:val="single"/>
        </w:rPr>
        <w:t>3</w:t>
      </w:r>
    </w:p>
    <w:p w14:paraId="20C40FC7" w14:textId="77777777" w:rsidR="00741ACF" w:rsidRPr="009E35ED" w:rsidRDefault="00741ACF" w:rsidP="00803F8C">
      <w:pPr>
        <w:rPr>
          <w:rFonts w:ascii="Arial" w:hAnsi="Arial" w:cs="Arial"/>
          <w:color w:val="000000" w:themeColor="text1"/>
          <w:sz w:val="22"/>
          <w:szCs w:val="22"/>
          <w:u w:val="single"/>
        </w:rPr>
      </w:pPr>
    </w:p>
    <w:p w14:paraId="1C9E06A2" w14:textId="0256FF7F" w:rsidR="00A11E63" w:rsidRPr="009E35ED" w:rsidRDefault="00741ACF" w:rsidP="00803F8C">
      <w:pPr>
        <w:pStyle w:val="ListParagraph"/>
        <w:ind w:left="1800" w:hanging="1800"/>
        <w:rPr>
          <w:rFonts w:ascii="Arial" w:hAnsi="Arial" w:cs="Arial"/>
          <w:color w:val="000000" w:themeColor="text1"/>
          <w:sz w:val="22"/>
          <w:szCs w:val="22"/>
        </w:rPr>
      </w:pPr>
      <w:r w:rsidRPr="009E35ED">
        <w:rPr>
          <w:rFonts w:ascii="Arial" w:hAnsi="Arial" w:cs="Arial"/>
          <w:color w:val="000000" w:themeColor="text1"/>
          <w:sz w:val="22"/>
          <w:szCs w:val="22"/>
        </w:rPr>
        <w:t>Details of PCSO’s documentary stamp tax paid or accrued are as follows:</w:t>
      </w:r>
    </w:p>
    <w:p w14:paraId="7571374F" w14:textId="77777777" w:rsidR="00741ACF" w:rsidRPr="009E35ED" w:rsidRDefault="00741ACF" w:rsidP="00803F8C">
      <w:pPr>
        <w:pStyle w:val="ListParagraph"/>
        <w:ind w:left="1800" w:hanging="1800"/>
        <w:jc w:val="right"/>
        <w:rPr>
          <w:rFonts w:ascii="Arial" w:hAnsi="Arial" w:cs="Arial"/>
          <w:color w:val="000000" w:themeColor="text1"/>
          <w:sz w:val="22"/>
          <w:szCs w:val="22"/>
        </w:rPr>
      </w:pPr>
    </w:p>
    <w:tbl>
      <w:tblPr>
        <w:tblStyle w:val="TableGrid"/>
        <w:tblW w:w="8640" w:type="dxa"/>
        <w:tblBorders>
          <w:left w:val="none" w:sz="0" w:space="0" w:color="auto"/>
          <w:bottom w:val="double" w:sz="4" w:space="0" w:color="auto"/>
          <w:right w:val="none" w:sz="0" w:space="0" w:color="auto"/>
          <w:insideH w:val="none" w:sz="0" w:space="0" w:color="auto"/>
          <w:insideV w:val="none" w:sz="0" w:space="0" w:color="auto"/>
        </w:tblBorders>
        <w:tblLook w:val="04A0" w:firstRow="1" w:lastRow="0" w:firstColumn="1" w:lastColumn="0" w:noHBand="0" w:noVBand="1"/>
      </w:tblPr>
      <w:tblGrid>
        <w:gridCol w:w="4860"/>
        <w:gridCol w:w="3780"/>
      </w:tblGrid>
      <w:tr w:rsidR="00997F75" w:rsidRPr="009E35ED" w14:paraId="49C50D89" w14:textId="77777777" w:rsidTr="00C72E68">
        <w:trPr>
          <w:trHeight w:hRule="exact" w:val="267"/>
        </w:trPr>
        <w:tc>
          <w:tcPr>
            <w:tcW w:w="4860" w:type="dxa"/>
            <w:tcBorders>
              <w:top w:val="single" w:sz="4" w:space="0" w:color="auto"/>
              <w:bottom w:val="single" w:sz="4" w:space="0" w:color="auto"/>
            </w:tcBorders>
            <w:vAlign w:val="bottom"/>
          </w:tcPr>
          <w:p w14:paraId="1363D653" w14:textId="77777777" w:rsidR="00572AF6" w:rsidRPr="009E35ED" w:rsidRDefault="007E3721" w:rsidP="00C72E68">
            <w:pPr>
              <w:pStyle w:val="ListParagraph"/>
              <w:ind w:left="-130" w:right="-108"/>
              <w:jc w:val="left"/>
              <w:rPr>
                <w:rFonts w:ascii="Arial Narrow" w:hAnsi="Arial Narrow" w:cs="Arial"/>
                <w:b/>
                <w:color w:val="000000" w:themeColor="text1"/>
                <w:sz w:val="22"/>
                <w:szCs w:val="22"/>
              </w:rPr>
            </w:pPr>
            <w:r w:rsidRPr="009E35ED">
              <w:rPr>
                <w:rFonts w:ascii="Arial Narrow" w:hAnsi="Arial Narrow" w:cs="Arial"/>
                <w:b/>
                <w:color w:val="000000" w:themeColor="text1"/>
                <w:sz w:val="22"/>
                <w:szCs w:val="22"/>
              </w:rPr>
              <w:t>Tax Type</w:t>
            </w:r>
          </w:p>
        </w:tc>
        <w:tc>
          <w:tcPr>
            <w:tcW w:w="3780" w:type="dxa"/>
            <w:tcBorders>
              <w:top w:val="single" w:sz="4" w:space="0" w:color="auto"/>
              <w:bottom w:val="single" w:sz="4" w:space="0" w:color="auto"/>
            </w:tcBorders>
            <w:vAlign w:val="bottom"/>
          </w:tcPr>
          <w:p w14:paraId="7821F51B" w14:textId="77777777" w:rsidR="00572AF6" w:rsidRPr="009E35ED" w:rsidRDefault="00741ACF" w:rsidP="00803F8C">
            <w:pPr>
              <w:pStyle w:val="ListParagraph"/>
              <w:ind w:left="-108" w:right="-108"/>
              <w:jc w:val="right"/>
              <w:rPr>
                <w:rFonts w:ascii="Arial Narrow" w:hAnsi="Arial Narrow" w:cs="Arial"/>
                <w:b/>
                <w:color w:val="000000" w:themeColor="text1"/>
                <w:sz w:val="22"/>
                <w:szCs w:val="22"/>
              </w:rPr>
            </w:pPr>
            <w:r w:rsidRPr="009E35ED">
              <w:rPr>
                <w:rFonts w:ascii="Arial Narrow" w:hAnsi="Arial Narrow" w:cs="Arial"/>
                <w:b/>
                <w:color w:val="000000" w:themeColor="text1"/>
                <w:sz w:val="22"/>
                <w:szCs w:val="22"/>
              </w:rPr>
              <w:t>A</w:t>
            </w:r>
            <w:r w:rsidR="007E3721" w:rsidRPr="009E35ED">
              <w:rPr>
                <w:rFonts w:ascii="Arial Narrow" w:hAnsi="Arial Narrow" w:cs="Arial"/>
                <w:b/>
                <w:color w:val="000000" w:themeColor="text1"/>
                <w:sz w:val="22"/>
                <w:szCs w:val="22"/>
              </w:rPr>
              <w:t>mount</w:t>
            </w:r>
          </w:p>
        </w:tc>
      </w:tr>
      <w:tr w:rsidR="00997F75" w:rsidRPr="009E35ED" w14:paraId="0A4CD9DD" w14:textId="77777777" w:rsidTr="00C72E68">
        <w:trPr>
          <w:trHeight w:hRule="exact" w:val="267"/>
        </w:trPr>
        <w:tc>
          <w:tcPr>
            <w:tcW w:w="4860" w:type="dxa"/>
            <w:tcBorders>
              <w:top w:val="single" w:sz="4" w:space="0" w:color="auto"/>
              <w:bottom w:val="nil"/>
            </w:tcBorders>
            <w:vAlign w:val="bottom"/>
          </w:tcPr>
          <w:p w14:paraId="27A51D02" w14:textId="5E94534C" w:rsidR="00741ACF" w:rsidRPr="009E35ED" w:rsidRDefault="00741ACF" w:rsidP="00803F8C">
            <w:pPr>
              <w:pStyle w:val="ListParagraph"/>
              <w:ind w:left="0" w:right="-108" w:hanging="108"/>
              <w:rPr>
                <w:rFonts w:ascii="Arial Narrow" w:hAnsi="Arial Narrow" w:cs="Arial"/>
                <w:color w:val="000000" w:themeColor="text1"/>
                <w:sz w:val="22"/>
                <w:szCs w:val="22"/>
              </w:rPr>
            </w:pPr>
            <w:r w:rsidRPr="009E35ED">
              <w:rPr>
                <w:rFonts w:ascii="Arial Narrow" w:hAnsi="Arial Narrow" w:cs="Arial"/>
                <w:color w:val="000000" w:themeColor="text1"/>
                <w:sz w:val="22"/>
                <w:szCs w:val="22"/>
                <w:lang w:val="en-PH" w:eastAsia="en-PH"/>
              </w:rPr>
              <w:t xml:space="preserve">Final </w:t>
            </w:r>
            <w:r w:rsidR="00353010">
              <w:rPr>
                <w:rFonts w:ascii="Arial Narrow" w:hAnsi="Arial Narrow" w:cs="Arial"/>
                <w:color w:val="000000" w:themeColor="text1"/>
                <w:sz w:val="22"/>
                <w:szCs w:val="22"/>
                <w:lang w:val="en-PH" w:eastAsia="en-PH"/>
              </w:rPr>
              <w:t>t</w:t>
            </w:r>
            <w:r w:rsidRPr="009E35ED">
              <w:rPr>
                <w:rFonts w:ascii="Arial Narrow" w:hAnsi="Arial Narrow" w:cs="Arial"/>
                <w:color w:val="000000" w:themeColor="text1"/>
                <w:sz w:val="22"/>
                <w:szCs w:val="22"/>
                <w:lang w:val="en-PH" w:eastAsia="en-PH"/>
              </w:rPr>
              <w:t>ax</w:t>
            </w:r>
          </w:p>
        </w:tc>
        <w:tc>
          <w:tcPr>
            <w:tcW w:w="3780" w:type="dxa"/>
            <w:tcBorders>
              <w:top w:val="single" w:sz="4" w:space="0" w:color="auto"/>
              <w:bottom w:val="nil"/>
            </w:tcBorders>
            <w:vAlign w:val="bottom"/>
          </w:tcPr>
          <w:p w14:paraId="0456A036" w14:textId="6A4171F9" w:rsidR="00741ACF" w:rsidRPr="009E35ED" w:rsidRDefault="005C4451" w:rsidP="006C06F7">
            <w:pPr>
              <w:pStyle w:val="ListParagraph"/>
              <w:ind w:left="-108" w:right="-108"/>
              <w:jc w:val="right"/>
              <w:rPr>
                <w:rFonts w:ascii="Arial Narrow" w:hAnsi="Arial Narrow" w:cs="Arial"/>
                <w:color w:val="000000" w:themeColor="text1"/>
                <w:sz w:val="22"/>
                <w:szCs w:val="22"/>
              </w:rPr>
            </w:pPr>
            <w:r w:rsidRPr="009E35ED">
              <w:rPr>
                <w:rFonts w:ascii="Arial Narrow" w:hAnsi="Arial Narrow" w:cs="Arial"/>
                <w:color w:val="000000" w:themeColor="text1"/>
                <w:sz w:val="22"/>
                <w:szCs w:val="22"/>
              </w:rPr>
              <w:t>1,175,644,969</w:t>
            </w:r>
          </w:p>
        </w:tc>
      </w:tr>
      <w:tr w:rsidR="00997F75" w:rsidRPr="009E35ED" w14:paraId="0F908470" w14:textId="77777777" w:rsidTr="00C72E68">
        <w:trPr>
          <w:trHeight w:hRule="exact" w:val="267"/>
        </w:trPr>
        <w:tc>
          <w:tcPr>
            <w:tcW w:w="4860" w:type="dxa"/>
            <w:tcBorders>
              <w:bottom w:val="nil"/>
            </w:tcBorders>
            <w:vAlign w:val="bottom"/>
          </w:tcPr>
          <w:p w14:paraId="414EA723" w14:textId="7B4C723C" w:rsidR="00741ACF" w:rsidRPr="009E35ED" w:rsidRDefault="00741ACF" w:rsidP="00803F8C">
            <w:pPr>
              <w:pStyle w:val="ListParagraph"/>
              <w:ind w:left="0" w:right="-108" w:hanging="108"/>
              <w:rPr>
                <w:rFonts w:ascii="Arial Narrow" w:hAnsi="Arial Narrow" w:cs="Arial"/>
                <w:color w:val="000000" w:themeColor="text1"/>
                <w:sz w:val="22"/>
                <w:szCs w:val="22"/>
              </w:rPr>
            </w:pPr>
            <w:r w:rsidRPr="009E35ED">
              <w:rPr>
                <w:rFonts w:ascii="Arial Narrow" w:hAnsi="Arial Narrow" w:cs="Arial"/>
                <w:color w:val="000000" w:themeColor="text1"/>
                <w:sz w:val="22"/>
                <w:szCs w:val="22"/>
                <w:lang w:val="en-PH" w:eastAsia="en-PH"/>
              </w:rPr>
              <w:t xml:space="preserve">Final VAT </w:t>
            </w:r>
            <w:r w:rsidR="00353010">
              <w:rPr>
                <w:rFonts w:ascii="Arial Narrow" w:hAnsi="Arial Narrow" w:cs="Arial"/>
                <w:color w:val="000000" w:themeColor="text1"/>
                <w:sz w:val="22"/>
                <w:szCs w:val="22"/>
                <w:lang w:val="en-PH" w:eastAsia="en-PH"/>
              </w:rPr>
              <w:t>w</w:t>
            </w:r>
            <w:r w:rsidRPr="009E35ED">
              <w:rPr>
                <w:rFonts w:ascii="Arial Narrow" w:hAnsi="Arial Narrow" w:cs="Arial"/>
                <w:color w:val="000000" w:themeColor="text1"/>
                <w:sz w:val="22"/>
                <w:szCs w:val="22"/>
                <w:lang w:val="en-PH" w:eastAsia="en-PH"/>
              </w:rPr>
              <w:t>ithheld</w:t>
            </w:r>
          </w:p>
        </w:tc>
        <w:tc>
          <w:tcPr>
            <w:tcW w:w="3780" w:type="dxa"/>
            <w:tcBorders>
              <w:bottom w:val="nil"/>
            </w:tcBorders>
            <w:vAlign w:val="bottom"/>
          </w:tcPr>
          <w:p w14:paraId="016EB7DF" w14:textId="7E2ACFF2" w:rsidR="00741ACF" w:rsidRPr="009E35ED" w:rsidRDefault="00753E8A" w:rsidP="00B046A0">
            <w:pPr>
              <w:pStyle w:val="ListParagraph"/>
              <w:ind w:left="-108" w:right="-108"/>
              <w:jc w:val="right"/>
              <w:rPr>
                <w:rFonts w:ascii="Arial Narrow" w:hAnsi="Arial Narrow" w:cs="Arial"/>
                <w:color w:val="000000" w:themeColor="text1"/>
                <w:sz w:val="22"/>
                <w:szCs w:val="22"/>
              </w:rPr>
            </w:pPr>
            <w:r w:rsidRPr="009E35ED">
              <w:rPr>
                <w:rFonts w:ascii="Arial Narrow" w:hAnsi="Arial Narrow" w:cs="Arial"/>
                <w:color w:val="000000" w:themeColor="text1"/>
                <w:sz w:val="22"/>
                <w:szCs w:val="22"/>
              </w:rPr>
              <w:t>471,021,66</w:t>
            </w:r>
            <w:r w:rsidR="00AA7F52" w:rsidRPr="009E35ED">
              <w:rPr>
                <w:rFonts w:ascii="Arial Narrow" w:hAnsi="Arial Narrow" w:cs="Arial"/>
                <w:color w:val="000000" w:themeColor="text1"/>
                <w:sz w:val="22"/>
                <w:szCs w:val="22"/>
              </w:rPr>
              <w:t>8</w:t>
            </w:r>
          </w:p>
        </w:tc>
      </w:tr>
      <w:tr w:rsidR="00997F75" w:rsidRPr="009E35ED" w14:paraId="5CE6162C" w14:textId="77777777" w:rsidTr="00C72E68">
        <w:trPr>
          <w:trHeight w:hRule="exact" w:val="267"/>
        </w:trPr>
        <w:tc>
          <w:tcPr>
            <w:tcW w:w="4860" w:type="dxa"/>
            <w:tcBorders>
              <w:bottom w:val="nil"/>
            </w:tcBorders>
            <w:vAlign w:val="bottom"/>
          </w:tcPr>
          <w:p w14:paraId="3635666D" w14:textId="01D3E66D" w:rsidR="00741ACF" w:rsidRPr="009E35ED" w:rsidRDefault="00741ACF" w:rsidP="00803F8C">
            <w:pPr>
              <w:pStyle w:val="ListParagraph"/>
              <w:ind w:left="0" w:right="-108" w:hanging="108"/>
              <w:rPr>
                <w:rFonts w:ascii="Arial Narrow" w:hAnsi="Arial Narrow" w:cs="Arial"/>
                <w:color w:val="000000" w:themeColor="text1"/>
                <w:sz w:val="22"/>
                <w:szCs w:val="22"/>
              </w:rPr>
            </w:pPr>
            <w:r w:rsidRPr="009E35ED">
              <w:rPr>
                <w:rFonts w:ascii="Arial Narrow" w:hAnsi="Arial Narrow" w:cs="Arial"/>
                <w:color w:val="000000" w:themeColor="text1"/>
                <w:sz w:val="22"/>
                <w:szCs w:val="22"/>
                <w:lang w:val="en-PH" w:eastAsia="en-PH"/>
              </w:rPr>
              <w:t xml:space="preserve">Documentary </w:t>
            </w:r>
            <w:r w:rsidR="00353010">
              <w:rPr>
                <w:rFonts w:ascii="Arial Narrow" w:hAnsi="Arial Narrow" w:cs="Arial"/>
                <w:color w:val="000000" w:themeColor="text1"/>
                <w:sz w:val="22"/>
                <w:szCs w:val="22"/>
                <w:lang w:val="en-PH" w:eastAsia="en-PH"/>
              </w:rPr>
              <w:t>s</w:t>
            </w:r>
            <w:r w:rsidRPr="009E35ED">
              <w:rPr>
                <w:rFonts w:ascii="Arial Narrow" w:hAnsi="Arial Narrow" w:cs="Arial"/>
                <w:color w:val="000000" w:themeColor="text1"/>
                <w:sz w:val="22"/>
                <w:szCs w:val="22"/>
                <w:lang w:val="en-PH" w:eastAsia="en-PH"/>
              </w:rPr>
              <w:t xml:space="preserve">tamp </w:t>
            </w:r>
            <w:r w:rsidR="00353010">
              <w:rPr>
                <w:rFonts w:ascii="Arial Narrow" w:hAnsi="Arial Narrow" w:cs="Arial"/>
                <w:color w:val="000000" w:themeColor="text1"/>
                <w:sz w:val="22"/>
                <w:szCs w:val="22"/>
                <w:lang w:val="en-PH" w:eastAsia="en-PH"/>
              </w:rPr>
              <w:t>t</w:t>
            </w:r>
            <w:r w:rsidRPr="009E35ED">
              <w:rPr>
                <w:rFonts w:ascii="Arial Narrow" w:hAnsi="Arial Narrow" w:cs="Arial"/>
                <w:color w:val="000000" w:themeColor="text1"/>
                <w:sz w:val="22"/>
                <w:szCs w:val="22"/>
                <w:lang w:val="en-PH" w:eastAsia="en-PH"/>
              </w:rPr>
              <w:t>ax</w:t>
            </w:r>
          </w:p>
        </w:tc>
        <w:tc>
          <w:tcPr>
            <w:tcW w:w="3780" w:type="dxa"/>
            <w:tcBorders>
              <w:bottom w:val="nil"/>
            </w:tcBorders>
            <w:vAlign w:val="bottom"/>
          </w:tcPr>
          <w:p w14:paraId="39A7293F" w14:textId="684202D9" w:rsidR="00741ACF" w:rsidRPr="009E35ED" w:rsidRDefault="00753E8A" w:rsidP="002A1665">
            <w:pPr>
              <w:pStyle w:val="ListParagraph"/>
              <w:ind w:left="-108" w:right="-108"/>
              <w:jc w:val="right"/>
              <w:rPr>
                <w:rFonts w:ascii="Arial Narrow" w:hAnsi="Arial Narrow" w:cs="Arial"/>
                <w:color w:val="000000" w:themeColor="text1"/>
                <w:sz w:val="22"/>
                <w:szCs w:val="22"/>
              </w:rPr>
            </w:pPr>
            <w:r w:rsidRPr="009E35ED">
              <w:rPr>
                <w:rFonts w:ascii="Arial Narrow" w:hAnsi="Arial Narrow" w:cs="Arial"/>
                <w:color w:val="000000" w:themeColor="text1"/>
                <w:sz w:val="22"/>
                <w:szCs w:val="22"/>
              </w:rPr>
              <w:t>12,294,990,30</w:t>
            </w:r>
            <w:r w:rsidR="00AA7F52" w:rsidRPr="009E35ED">
              <w:rPr>
                <w:rFonts w:ascii="Arial Narrow" w:hAnsi="Arial Narrow" w:cs="Arial"/>
                <w:color w:val="000000" w:themeColor="text1"/>
                <w:sz w:val="22"/>
                <w:szCs w:val="22"/>
              </w:rPr>
              <w:t>5</w:t>
            </w:r>
          </w:p>
        </w:tc>
      </w:tr>
      <w:tr w:rsidR="00997F75" w:rsidRPr="009E35ED" w14:paraId="259CA518" w14:textId="77777777" w:rsidTr="00C72E68">
        <w:trPr>
          <w:trHeight w:hRule="exact" w:val="267"/>
        </w:trPr>
        <w:tc>
          <w:tcPr>
            <w:tcW w:w="4860" w:type="dxa"/>
            <w:tcBorders>
              <w:bottom w:val="nil"/>
            </w:tcBorders>
            <w:vAlign w:val="bottom"/>
          </w:tcPr>
          <w:p w14:paraId="01ED9059" w14:textId="15B22BBF" w:rsidR="00741ACF" w:rsidRPr="009E35ED" w:rsidRDefault="00741ACF" w:rsidP="00803F8C">
            <w:pPr>
              <w:pStyle w:val="ListParagraph"/>
              <w:ind w:left="0" w:right="-108" w:hanging="108"/>
              <w:rPr>
                <w:rFonts w:ascii="Arial Narrow" w:hAnsi="Arial Narrow" w:cs="Arial"/>
                <w:color w:val="000000" w:themeColor="text1"/>
                <w:sz w:val="22"/>
                <w:szCs w:val="22"/>
              </w:rPr>
            </w:pPr>
            <w:r w:rsidRPr="009E35ED">
              <w:rPr>
                <w:rFonts w:ascii="Arial Narrow" w:hAnsi="Arial Narrow" w:cs="Arial"/>
                <w:color w:val="000000" w:themeColor="text1"/>
                <w:sz w:val="22"/>
                <w:szCs w:val="22"/>
                <w:lang w:val="en-PH" w:eastAsia="en-PH"/>
              </w:rPr>
              <w:t xml:space="preserve">Fringe </w:t>
            </w:r>
            <w:r w:rsidR="00353010">
              <w:rPr>
                <w:rFonts w:ascii="Arial Narrow" w:hAnsi="Arial Narrow" w:cs="Arial"/>
                <w:color w:val="000000" w:themeColor="text1"/>
                <w:sz w:val="22"/>
                <w:szCs w:val="22"/>
                <w:lang w:val="en-PH" w:eastAsia="en-PH"/>
              </w:rPr>
              <w:t>b</w:t>
            </w:r>
            <w:r w:rsidRPr="009E35ED">
              <w:rPr>
                <w:rFonts w:ascii="Arial Narrow" w:hAnsi="Arial Narrow" w:cs="Arial"/>
                <w:color w:val="000000" w:themeColor="text1"/>
                <w:sz w:val="22"/>
                <w:szCs w:val="22"/>
                <w:lang w:val="en-PH" w:eastAsia="en-PH"/>
              </w:rPr>
              <w:t>enefit</w:t>
            </w:r>
            <w:r w:rsidR="00353010">
              <w:rPr>
                <w:rFonts w:ascii="Arial Narrow" w:hAnsi="Arial Narrow" w:cs="Arial"/>
                <w:color w:val="000000" w:themeColor="text1"/>
                <w:sz w:val="22"/>
                <w:szCs w:val="22"/>
                <w:lang w:val="en-PH" w:eastAsia="en-PH"/>
              </w:rPr>
              <w:t xml:space="preserve"> t</w:t>
            </w:r>
            <w:r w:rsidRPr="009E35ED">
              <w:rPr>
                <w:rFonts w:ascii="Arial Narrow" w:hAnsi="Arial Narrow" w:cs="Arial"/>
                <w:color w:val="000000" w:themeColor="text1"/>
                <w:sz w:val="22"/>
                <w:szCs w:val="22"/>
                <w:lang w:val="en-PH" w:eastAsia="en-PH"/>
              </w:rPr>
              <w:t>ax</w:t>
            </w:r>
          </w:p>
        </w:tc>
        <w:tc>
          <w:tcPr>
            <w:tcW w:w="3780" w:type="dxa"/>
            <w:tcBorders>
              <w:bottom w:val="nil"/>
            </w:tcBorders>
            <w:vAlign w:val="bottom"/>
          </w:tcPr>
          <w:p w14:paraId="11C74B33" w14:textId="3BF3468A" w:rsidR="00741ACF" w:rsidRPr="009E35ED" w:rsidRDefault="006615CB" w:rsidP="00803F8C">
            <w:pPr>
              <w:pStyle w:val="ListParagraph"/>
              <w:ind w:left="-108" w:right="-108"/>
              <w:jc w:val="right"/>
              <w:rPr>
                <w:rFonts w:ascii="Arial Narrow" w:hAnsi="Arial Narrow" w:cs="Arial"/>
                <w:color w:val="000000" w:themeColor="text1"/>
                <w:sz w:val="22"/>
                <w:szCs w:val="22"/>
              </w:rPr>
            </w:pPr>
            <w:r w:rsidRPr="009E35ED">
              <w:rPr>
                <w:rFonts w:ascii="Arial Narrow" w:hAnsi="Arial Narrow" w:cs="Arial"/>
                <w:color w:val="000000" w:themeColor="text1"/>
                <w:sz w:val="22"/>
                <w:szCs w:val="22"/>
              </w:rPr>
              <w:t xml:space="preserve">-   </w:t>
            </w:r>
          </w:p>
        </w:tc>
      </w:tr>
      <w:tr w:rsidR="00997F75" w:rsidRPr="009E35ED" w14:paraId="1483D92D" w14:textId="77777777" w:rsidTr="00C72E68">
        <w:trPr>
          <w:trHeight w:hRule="exact" w:val="243"/>
        </w:trPr>
        <w:tc>
          <w:tcPr>
            <w:tcW w:w="4860" w:type="dxa"/>
            <w:tcBorders>
              <w:top w:val="nil"/>
              <w:bottom w:val="single" w:sz="4" w:space="0" w:color="auto"/>
            </w:tcBorders>
            <w:vAlign w:val="bottom"/>
          </w:tcPr>
          <w:p w14:paraId="057651BB" w14:textId="42B1E073" w:rsidR="00741ACF" w:rsidRPr="009E35ED" w:rsidRDefault="00741ACF" w:rsidP="00803F8C">
            <w:pPr>
              <w:pStyle w:val="ListParagraph"/>
              <w:ind w:left="0" w:right="-108" w:hanging="108"/>
              <w:rPr>
                <w:rFonts w:ascii="Arial Narrow" w:hAnsi="Arial Narrow" w:cs="Arial"/>
                <w:color w:val="000000" w:themeColor="text1"/>
                <w:sz w:val="22"/>
                <w:szCs w:val="22"/>
              </w:rPr>
            </w:pPr>
            <w:r w:rsidRPr="009E35ED">
              <w:rPr>
                <w:rFonts w:ascii="Arial Narrow" w:hAnsi="Arial Narrow" w:cs="Arial"/>
                <w:color w:val="000000" w:themeColor="text1"/>
                <w:sz w:val="22"/>
                <w:szCs w:val="22"/>
                <w:lang w:val="en-PH" w:eastAsia="en-PH"/>
              </w:rPr>
              <w:t xml:space="preserve">Corporate </w:t>
            </w:r>
            <w:r w:rsidR="00353010">
              <w:rPr>
                <w:rFonts w:ascii="Arial Narrow" w:hAnsi="Arial Narrow" w:cs="Arial"/>
                <w:color w:val="000000" w:themeColor="text1"/>
                <w:sz w:val="22"/>
                <w:szCs w:val="22"/>
                <w:lang w:val="en-PH" w:eastAsia="en-PH"/>
              </w:rPr>
              <w:t>i</w:t>
            </w:r>
            <w:r w:rsidRPr="009E35ED">
              <w:rPr>
                <w:rFonts w:ascii="Arial Narrow" w:hAnsi="Arial Narrow" w:cs="Arial"/>
                <w:color w:val="000000" w:themeColor="text1"/>
                <w:sz w:val="22"/>
                <w:szCs w:val="22"/>
                <w:lang w:val="en-PH" w:eastAsia="en-PH"/>
              </w:rPr>
              <w:t xml:space="preserve">ncome </w:t>
            </w:r>
            <w:r w:rsidR="00353010">
              <w:rPr>
                <w:rFonts w:ascii="Arial Narrow" w:hAnsi="Arial Narrow" w:cs="Arial"/>
                <w:color w:val="000000" w:themeColor="text1"/>
                <w:sz w:val="22"/>
                <w:szCs w:val="22"/>
                <w:lang w:val="en-PH" w:eastAsia="en-PH"/>
              </w:rPr>
              <w:t>t</w:t>
            </w:r>
            <w:r w:rsidRPr="009E35ED">
              <w:rPr>
                <w:rFonts w:ascii="Arial Narrow" w:hAnsi="Arial Narrow" w:cs="Arial"/>
                <w:color w:val="000000" w:themeColor="text1"/>
                <w:sz w:val="22"/>
                <w:szCs w:val="22"/>
                <w:lang w:val="en-PH" w:eastAsia="en-PH"/>
              </w:rPr>
              <w:t>ax</w:t>
            </w:r>
          </w:p>
        </w:tc>
        <w:tc>
          <w:tcPr>
            <w:tcW w:w="3780" w:type="dxa"/>
            <w:tcBorders>
              <w:top w:val="nil"/>
              <w:bottom w:val="single" w:sz="4" w:space="0" w:color="auto"/>
            </w:tcBorders>
            <w:vAlign w:val="bottom"/>
          </w:tcPr>
          <w:p w14:paraId="272A1567" w14:textId="3E60257C" w:rsidR="00741ACF" w:rsidRPr="009E35ED" w:rsidRDefault="00136ED7" w:rsidP="002A1665">
            <w:pPr>
              <w:pStyle w:val="ListParagraph"/>
              <w:ind w:left="-108" w:right="-108"/>
              <w:jc w:val="right"/>
              <w:rPr>
                <w:rFonts w:ascii="Arial Narrow" w:hAnsi="Arial Narrow" w:cs="Arial"/>
                <w:color w:val="000000" w:themeColor="text1"/>
                <w:sz w:val="22"/>
                <w:szCs w:val="22"/>
              </w:rPr>
            </w:pPr>
            <w:r w:rsidRPr="009E35ED">
              <w:rPr>
                <w:rFonts w:ascii="Arial Narrow" w:hAnsi="Arial Narrow" w:cs="Arial"/>
                <w:color w:val="000000" w:themeColor="text1"/>
                <w:sz w:val="22"/>
                <w:szCs w:val="22"/>
              </w:rPr>
              <w:t>2,388,634,553</w:t>
            </w:r>
          </w:p>
        </w:tc>
      </w:tr>
      <w:tr w:rsidR="00741ACF" w:rsidRPr="009E35ED" w14:paraId="0832F0AA" w14:textId="77777777" w:rsidTr="00C72E68">
        <w:trPr>
          <w:trHeight w:hRule="exact" w:val="267"/>
        </w:trPr>
        <w:tc>
          <w:tcPr>
            <w:tcW w:w="4860" w:type="dxa"/>
            <w:tcBorders>
              <w:top w:val="single" w:sz="4" w:space="0" w:color="auto"/>
              <w:bottom w:val="double" w:sz="4" w:space="0" w:color="auto"/>
            </w:tcBorders>
          </w:tcPr>
          <w:p w14:paraId="212F5523" w14:textId="77777777" w:rsidR="00741ACF" w:rsidRPr="009E35ED" w:rsidRDefault="007E3721" w:rsidP="00803F8C">
            <w:pPr>
              <w:pStyle w:val="ListParagraph"/>
              <w:ind w:left="0" w:right="-108" w:hanging="108"/>
              <w:rPr>
                <w:rFonts w:ascii="Arial Narrow" w:hAnsi="Arial Narrow" w:cs="Arial"/>
                <w:b/>
                <w:bCs/>
                <w:color w:val="000000" w:themeColor="text1"/>
                <w:sz w:val="22"/>
                <w:szCs w:val="22"/>
              </w:rPr>
            </w:pPr>
            <w:r w:rsidRPr="009E35ED">
              <w:rPr>
                <w:rFonts w:ascii="Arial Narrow" w:hAnsi="Arial Narrow" w:cs="Arial"/>
                <w:b/>
                <w:bCs/>
                <w:color w:val="000000" w:themeColor="text1"/>
                <w:sz w:val="22"/>
                <w:szCs w:val="22"/>
              </w:rPr>
              <w:t>Total</w:t>
            </w:r>
          </w:p>
        </w:tc>
        <w:tc>
          <w:tcPr>
            <w:tcW w:w="3780" w:type="dxa"/>
            <w:tcBorders>
              <w:top w:val="single" w:sz="4" w:space="0" w:color="auto"/>
              <w:bottom w:val="double" w:sz="4" w:space="0" w:color="auto"/>
            </w:tcBorders>
            <w:vAlign w:val="bottom"/>
          </w:tcPr>
          <w:p w14:paraId="2FE1E5A0" w14:textId="2FDE5796" w:rsidR="00741ACF" w:rsidRPr="009E35ED" w:rsidRDefault="00625BD7" w:rsidP="006C06F7">
            <w:pPr>
              <w:pStyle w:val="ListParagraph"/>
              <w:ind w:left="-108" w:right="-108"/>
              <w:jc w:val="right"/>
              <w:rPr>
                <w:rFonts w:ascii="Arial Narrow" w:hAnsi="Arial Narrow" w:cs="Arial"/>
                <w:b/>
                <w:bCs/>
                <w:color w:val="000000" w:themeColor="text1"/>
                <w:sz w:val="22"/>
                <w:szCs w:val="22"/>
              </w:rPr>
            </w:pPr>
            <w:r w:rsidRPr="009E35ED">
              <w:rPr>
                <w:rFonts w:ascii="Arial Narrow" w:hAnsi="Arial Narrow" w:cs="Arial"/>
                <w:b/>
                <w:bCs/>
                <w:color w:val="000000" w:themeColor="text1"/>
                <w:sz w:val="22"/>
                <w:szCs w:val="22"/>
              </w:rPr>
              <w:t>16,330,291,49</w:t>
            </w:r>
            <w:r w:rsidR="00AA7F52" w:rsidRPr="009E35ED">
              <w:rPr>
                <w:rFonts w:ascii="Arial Narrow" w:hAnsi="Arial Narrow" w:cs="Arial"/>
                <w:b/>
                <w:bCs/>
                <w:color w:val="000000" w:themeColor="text1"/>
                <w:sz w:val="22"/>
                <w:szCs w:val="22"/>
              </w:rPr>
              <w:t>5</w:t>
            </w:r>
          </w:p>
        </w:tc>
      </w:tr>
    </w:tbl>
    <w:p w14:paraId="37AE4FD0" w14:textId="1A3D84A3" w:rsidR="00E24400" w:rsidRPr="009E35ED" w:rsidRDefault="00E24400" w:rsidP="00803F8C">
      <w:pPr>
        <w:pStyle w:val="ListParagraph"/>
        <w:ind w:left="1800" w:hanging="1800"/>
        <w:rPr>
          <w:rFonts w:ascii="Arial" w:hAnsi="Arial" w:cs="Arial"/>
          <w:color w:val="000000" w:themeColor="text1"/>
          <w:sz w:val="22"/>
          <w:szCs w:val="22"/>
        </w:rPr>
      </w:pPr>
    </w:p>
    <w:p w14:paraId="46B139B7" w14:textId="77777777" w:rsidR="00E24400" w:rsidRPr="009E35ED" w:rsidRDefault="00E24400" w:rsidP="00803F8C">
      <w:pPr>
        <w:pStyle w:val="ListParagraph"/>
        <w:ind w:left="1800" w:hanging="1800"/>
        <w:rPr>
          <w:rFonts w:ascii="Arial" w:hAnsi="Arial" w:cs="Arial"/>
          <w:color w:val="000000" w:themeColor="text1"/>
          <w:sz w:val="22"/>
          <w:szCs w:val="22"/>
        </w:rPr>
      </w:pPr>
    </w:p>
    <w:p w14:paraId="08D9657A" w14:textId="6621F4F0" w:rsidR="006E34FF" w:rsidRPr="009E35ED" w:rsidRDefault="006E34FF" w:rsidP="00AF7918">
      <w:pPr>
        <w:pStyle w:val="ListParagraph"/>
        <w:numPr>
          <w:ilvl w:val="0"/>
          <w:numId w:val="28"/>
        </w:numPr>
        <w:ind w:hanging="720"/>
        <w:rPr>
          <w:rFonts w:ascii="Arial" w:hAnsi="Arial" w:cs="Arial"/>
          <w:b/>
          <w:color w:val="000000" w:themeColor="text1"/>
          <w:sz w:val="22"/>
          <w:szCs w:val="22"/>
        </w:rPr>
      </w:pPr>
      <w:r w:rsidRPr="009E35ED">
        <w:rPr>
          <w:rFonts w:ascii="Arial" w:hAnsi="Arial" w:cs="Arial"/>
          <w:b/>
          <w:color w:val="000000" w:themeColor="text1"/>
          <w:sz w:val="22"/>
          <w:szCs w:val="22"/>
        </w:rPr>
        <w:t>RELATED PARTY TRANSACTIO</w:t>
      </w:r>
      <w:r w:rsidR="00AF7918" w:rsidRPr="009E35ED">
        <w:rPr>
          <w:rFonts w:ascii="Arial" w:hAnsi="Arial" w:cs="Arial"/>
          <w:b/>
          <w:color w:val="000000" w:themeColor="text1"/>
          <w:sz w:val="22"/>
          <w:szCs w:val="22"/>
        </w:rPr>
        <w:t>N</w:t>
      </w:r>
      <w:r w:rsidRPr="009E35ED">
        <w:rPr>
          <w:rFonts w:ascii="Arial" w:hAnsi="Arial" w:cs="Arial"/>
          <w:b/>
          <w:color w:val="000000" w:themeColor="text1"/>
          <w:sz w:val="22"/>
          <w:szCs w:val="22"/>
        </w:rPr>
        <w:t>S</w:t>
      </w:r>
    </w:p>
    <w:p w14:paraId="1716C05B" w14:textId="77777777" w:rsidR="00741ACF" w:rsidRPr="009E35ED" w:rsidRDefault="00741ACF" w:rsidP="00803F8C">
      <w:pPr>
        <w:ind w:left="0"/>
        <w:rPr>
          <w:rFonts w:ascii="Arial" w:hAnsi="Arial" w:cs="Arial"/>
          <w:b/>
          <w:color w:val="000000" w:themeColor="text1"/>
          <w:sz w:val="22"/>
          <w:szCs w:val="22"/>
        </w:rPr>
      </w:pPr>
    </w:p>
    <w:p w14:paraId="5EDE1E07" w14:textId="2D235486" w:rsidR="006E34FF" w:rsidRPr="009E35ED" w:rsidRDefault="006E34FF" w:rsidP="00803F8C">
      <w:pPr>
        <w:ind w:left="0"/>
        <w:rPr>
          <w:rFonts w:ascii="Arial" w:hAnsi="Arial" w:cs="Arial"/>
          <w:color w:val="000000" w:themeColor="text1"/>
          <w:sz w:val="22"/>
          <w:szCs w:val="22"/>
        </w:rPr>
      </w:pPr>
      <w:r w:rsidRPr="009E35ED">
        <w:rPr>
          <w:rFonts w:ascii="Arial" w:hAnsi="Arial" w:cs="Arial"/>
          <w:color w:val="000000" w:themeColor="text1"/>
          <w:sz w:val="22"/>
          <w:szCs w:val="22"/>
        </w:rPr>
        <w:t xml:space="preserve">The </w:t>
      </w:r>
      <w:r w:rsidR="0051373D" w:rsidRPr="009E35ED">
        <w:rPr>
          <w:rFonts w:ascii="Arial" w:hAnsi="Arial" w:cs="Arial"/>
          <w:color w:val="000000" w:themeColor="text1"/>
          <w:sz w:val="22"/>
          <w:szCs w:val="22"/>
        </w:rPr>
        <w:t>Agency</w:t>
      </w:r>
      <w:r w:rsidRPr="009E35ED">
        <w:rPr>
          <w:rFonts w:ascii="Arial" w:hAnsi="Arial" w:cs="Arial"/>
          <w:color w:val="000000" w:themeColor="text1"/>
          <w:sz w:val="22"/>
          <w:szCs w:val="22"/>
        </w:rPr>
        <w:t xml:space="preserve">’s related parties include </w:t>
      </w:r>
      <w:r w:rsidR="00741ACF" w:rsidRPr="009E35ED">
        <w:rPr>
          <w:rFonts w:ascii="Arial" w:hAnsi="Arial" w:cs="Arial"/>
          <w:color w:val="000000" w:themeColor="text1"/>
          <w:sz w:val="22"/>
          <w:szCs w:val="22"/>
        </w:rPr>
        <w:t>the</w:t>
      </w:r>
      <w:r w:rsidRPr="009E35ED">
        <w:rPr>
          <w:rFonts w:ascii="Arial" w:hAnsi="Arial" w:cs="Arial"/>
          <w:color w:val="000000" w:themeColor="text1"/>
          <w:sz w:val="22"/>
          <w:szCs w:val="22"/>
        </w:rPr>
        <w:t xml:space="preserve"> </w:t>
      </w:r>
      <w:r w:rsidR="0051373D" w:rsidRPr="009E35ED">
        <w:rPr>
          <w:rFonts w:ascii="Arial" w:hAnsi="Arial" w:cs="Arial"/>
          <w:color w:val="000000" w:themeColor="text1"/>
          <w:sz w:val="22"/>
          <w:szCs w:val="22"/>
        </w:rPr>
        <w:t>Agency</w:t>
      </w:r>
      <w:r w:rsidRPr="009E35ED">
        <w:rPr>
          <w:rFonts w:ascii="Arial" w:hAnsi="Arial" w:cs="Arial"/>
          <w:color w:val="000000" w:themeColor="text1"/>
          <w:sz w:val="22"/>
          <w:szCs w:val="22"/>
        </w:rPr>
        <w:t>’s key management</w:t>
      </w:r>
      <w:r w:rsidR="00741ACF" w:rsidRPr="009E35ED">
        <w:rPr>
          <w:rFonts w:ascii="Arial" w:hAnsi="Arial" w:cs="Arial"/>
          <w:color w:val="000000" w:themeColor="text1"/>
          <w:sz w:val="22"/>
          <w:szCs w:val="22"/>
        </w:rPr>
        <w:t xml:space="preserve"> personnel</w:t>
      </w:r>
      <w:r w:rsidRPr="009E35ED">
        <w:rPr>
          <w:rFonts w:ascii="Arial" w:hAnsi="Arial" w:cs="Arial"/>
          <w:color w:val="000000" w:themeColor="text1"/>
          <w:sz w:val="22"/>
          <w:szCs w:val="22"/>
        </w:rPr>
        <w:t xml:space="preserve"> </w:t>
      </w:r>
      <w:r w:rsidR="002B1485" w:rsidRPr="009E35ED">
        <w:rPr>
          <w:rFonts w:ascii="Arial" w:hAnsi="Arial" w:cs="Arial"/>
          <w:color w:val="000000" w:themeColor="text1"/>
          <w:sz w:val="22"/>
          <w:szCs w:val="22"/>
        </w:rPr>
        <w:t>as</w:t>
      </w:r>
      <w:r w:rsidRPr="009E35ED">
        <w:rPr>
          <w:rFonts w:ascii="Arial" w:hAnsi="Arial" w:cs="Arial"/>
          <w:color w:val="000000" w:themeColor="text1"/>
          <w:sz w:val="22"/>
          <w:szCs w:val="22"/>
        </w:rPr>
        <w:t xml:space="preserve"> described below.</w:t>
      </w:r>
    </w:p>
    <w:p w14:paraId="0A32CA83" w14:textId="77777777" w:rsidR="00A5090B" w:rsidRPr="009E35ED" w:rsidRDefault="00A5090B" w:rsidP="00803F8C">
      <w:pPr>
        <w:ind w:left="1080" w:hanging="1080"/>
        <w:rPr>
          <w:rFonts w:ascii="Arial" w:hAnsi="Arial" w:cs="Arial"/>
          <w:color w:val="000000" w:themeColor="text1"/>
          <w:sz w:val="22"/>
          <w:szCs w:val="22"/>
        </w:rPr>
      </w:pPr>
    </w:p>
    <w:p w14:paraId="598FC081" w14:textId="0B20AA82" w:rsidR="006E34FF" w:rsidRPr="009E35ED" w:rsidRDefault="006E34FF" w:rsidP="00803F8C">
      <w:pPr>
        <w:ind w:left="0"/>
        <w:rPr>
          <w:rFonts w:ascii="Arial" w:hAnsi="Arial" w:cs="Arial"/>
          <w:b/>
          <w:color w:val="000000" w:themeColor="text1"/>
          <w:sz w:val="22"/>
          <w:szCs w:val="22"/>
        </w:rPr>
      </w:pPr>
      <w:r w:rsidRPr="009E35ED">
        <w:rPr>
          <w:rFonts w:ascii="Arial" w:hAnsi="Arial" w:cs="Arial"/>
          <w:b/>
          <w:color w:val="000000" w:themeColor="text1"/>
          <w:sz w:val="22"/>
          <w:szCs w:val="22"/>
        </w:rPr>
        <w:t xml:space="preserve">Compensation of Key Management Personnel of the </w:t>
      </w:r>
      <w:r w:rsidR="0051373D" w:rsidRPr="009E35ED">
        <w:rPr>
          <w:rFonts w:ascii="Arial" w:hAnsi="Arial" w:cs="Arial"/>
          <w:b/>
          <w:color w:val="000000" w:themeColor="text1"/>
          <w:sz w:val="22"/>
          <w:szCs w:val="22"/>
        </w:rPr>
        <w:t>Agency</w:t>
      </w:r>
    </w:p>
    <w:p w14:paraId="7AD9088D" w14:textId="77777777" w:rsidR="006E34FF" w:rsidRPr="009E35ED" w:rsidRDefault="006E34FF" w:rsidP="00803F8C">
      <w:pPr>
        <w:ind w:left="720"/>
        <w:rPr>
          <w:rFonts w:ascii="Arial" w:hAnsi="Arial" w:cs="Arial"/>
          <w:color w:val="000000" w:themeColor="text1"/>
          <w:sz w:val="22"/>
          <w:szCs w:val="22"/>
        </w:rPr>
      </w:pPr>
    </w:p>
    <w:p w14:paraId="7329F471" w14:textId="5E00EAAB" w:rsidR="006E34FF" w:rsidRPr="009E35ED" w:rsidRDefault="006E34FF" w:rsidP="00803F8C">
      <w:pPr>
        <w:ind w:left="0"/>
        <w:rPr>
          <w:rFonts w:ascii="Arial" w:hAnsi="Arial" w:cs="Arial"/>
          <w:color w:val="000000" w:themeColor="text1"/>
          <w:sz w:val="22"/>
          <w:szCs w:val="22"/>
        </w:rPr>
      </w:pPr>
      <w:r w:rsidRPr="009E35ED">
        <w:rPr>
          <w:rFonts w:ascii="Arial" w:hAnsi="Arial" w:cs="Arial"/>
          <w:color w:val="000000" w:themeColor="text1"/>
          <w:sz w:val="22"/>
          <w:szCs w:val="22"/>
        </w:rPr>
        <w:t>The compensation of key management personnel included in the Administrative Expenses in the Statement of Comprehensive Income</w:t>
      </w:r>
      <w:r w:rsidR="00E26E93" w:rsidRPr="009E35ED">
        <w:rPr>
          <w:rFonts w:ascii="Arial" w:hAnsi="Arial" w:cs="Arial"/>
          <w:color w:val="000000" w:themeColor="text1"/>
          <w:sz w:val="22"/>
          <w:szCs w:val="22"/>
        </w:rPr>
        <w:t xml:space="preserve"> </w:t>
      </w:r>
      <w:r w:rsidRPr="009E35ED">
        <w:rPr>
          <w:rFonts w:ascii="Arial" w:hAnsi="Arial" w:cs="Arial"/>
          <w:color w:val="000000" w:themeColor="text1"/>
          <w:sz w:val="22"/>
          <w:szCs w:val="22"/>
        </w:rPr>
        <w:t>amounted</w:t>
      </w:r>
      <w:r w:rsidR="00E26E93" w:rsidRPr="009E35ED">
        <w:rPr>
          <w:rFonts w:ascii="Arial" w:hAnsi="Arial" w:cs="Arial"/>
          <w:color w:val="000000" w:themeColor="text1"/>
          <w:sz w:val="22"/>
          <w:szCs w:val="22"/>
        </w:rPr>
        <w:t xml:space="preserve"> </w:t>
      </w:r>
      <w:r w:rsidRPr="009E35ED">
        <w:rPr>
          <w:rFonts w:ascii="Arial" w:hAnsi="Arial" w:cs="Arial"/>
          <w:color w:val="000000" w:themeColor="text1"/>
          <w:sz w:val="22"/>
          <w:szCs w:val="22"/>
        </w:rPr>
        <w:t>to</w:t>
      </w:r>
      <w:r w:rsidR="00E26E93" w:rsidRPr="009E35ED">
        <w:rPr>
          <w:rFonts w:ascii="Arial" w:hAnsi="Arial" w:cs="Arial"/>
          <w:color w:val="000000" w:themeColor="text1"/>
          <w:sz w:val="22"/>
          <w:szCs w:val="22"/>
        </w:rPr>
        <w:t xml:space="preserve"> </w:t>
      </w:r>
      <w:r w:rsidR="00F10767">
        <w:rPr>
          <w:rFonts w:ascii="Arial" w:hAnsi="Arial" w:cs="Arial"/>
          <w:color w:val="000000" w:themeColor="text1"/>
          <w:sz w:val="22"/>
          <w:szCs w:val="22"/>
        </w:rPr>
        <w:t>P</w:t>
      </w:r>
      <w:r w:rsidR="00F2772D" w:rsidRPr="009E35ED">
        <w:rPr>
          <w:rFonts w:ascii="Arial" w:hAnsi="Arial" w:cs="Arial"/>
          <w:color w:val="000000" w:themeColor="text1"/>
          <w:sz w:val="22"/>
          <w:szCs w:val="22"/>
        </w:rPr>
        <w:t>8,576,600</w:t>
      </w:r>
      <w:r w:rsidR="00B77FE7" w:rsidRPr="009E35ED">
        <w:rPr>
          <w:rFonts w:ascii="Arial" w:hAnsi="Arial" w:cs="Arial"/>
          <w:color w:val="000000" w:themeColor="text1"/>
          <w:sz w:val="22"/>
          <w:szCs w:val="22"/>
        </w:rPr>
        <w:t xml:space="preserve"> </w:t>
      </w:r>
      <w:r w:rsidR="002A1665" w:rsidRPr="009E35ED">
        <w:rPr>
          <w:rFonts w:ascii="Arial" w:hAnsi="Arial" w:cs="Arial"/>
          <w:color w:val="000000" w:themeColor="text1"/>
          <w:sz w:val="22"/>
          <w:szCs w:val="22"/>
        </w:rPr>
        <w:t xml:space="preserve">and </w:t>
      </w:r>
      <w:r w:rsidR="00F10767">
        <w:rPr>
          <w:rFonts w:ascii="Arial" w:hAnsi="Arial" w:cs="Arial"/>
          <w:color w:val="000000" w:themeColor="text1"/>
          <w:sz w:val="22"/>
          <w:szCs w:val="22"/>
        </w:rPr>
        <w:t>P</w:t>
      </w:r>
      <w:r w:rsidR="008E3920" w:rsidRPr="009E35ED">
        <w:rPr>
          <w:rFonts w:ascii="Arial" w:hAnsi="Arial" w:cs="Arial"/>
          <w:color w:val="000000" w:themeColor="text1"/>
          <w:sz w:val="22"/>
          <w:szCs w:val="22"/>
        </w:rPr>
        <w:t>4,021,855</w:t>
      </w:r>
      <w:r w:rsidR="0093552B" w:rsidRPr="009E35ED">
        <w:rPr>
          <w:rFonts w:ascii="Arial" w:hAnsi="Arial" w:cs="Arial"/>
          <w:color w:val="000000" w:themeColor="text1"/>
          <w:sz w:val="22"/>
          <w:szCs w:val="22"/>
        </w:rPr>
        <w:t xml:space="preserve"> </w:t>
      </w:r>
      <w:r w:rsidR="009B7F7E" w:rsidRPr="009E35ED">
        <w:rPr>
          <w:rFonts w:ascii="Arial" w:hAnsi="Arial" w:cs="Arial"/>
          <w:color w:val="000000" w:themeColor="text1"/>
          <w:sz w:val="22"/>
          <w:szCs w:val="22"/>
        </w:rPr>
        <w:t>for</w:t>
      </w:r>
      <w:r w:rsidRPr="009E35ED">
        <w:rPr>
          <w:rFonts w:ascii="Arial" w:hAnsi="Arial" w:cs="Arial"/>
          <w:color w:val="000000" w:themeColor="text1"/>
          <w:sz w:val="22"/>
          <w:szCs w:val="22"/>
        </w:rPr>
        <w:t xml:space="preserve"> the years 20</w:t>
      </w:r>
      <w:r w:rsidR="00B77FE7" w:rsidRPr="009E35ED">
        <w:rPr>
          <w:rFonts w:ascii="Arial" w:hAnsi="Arial" w:cs="Arial"/>
          <w:color w:val="000000" w:themeColor="text1"/>
          <w:sz w:val="22"/>
          <w:szCs w:val="22"/>
        </w:rPr>
        <w:t>2</w:t>
      </w:r>
      <w:r w:rsidR="008E3920" w:rsidRPr="009E35ED">
        <w:rPr>
          <w:rFonts w:ascii="Arial" w:hAnsi="Arial" w:cs="Arial"/>
          <w:color w:val="000000" w:themeColor="text1"/>
          <w:sz w:val="22"/>
          <w:szCs w:val="22"/>
        </w:rPr>
        <w:t>3</w:t>
      </w:r>
      <w:r w:rsidR="00B77FE7" w:rsidRPr="009E35ED">
        <w:rPr>
          <w:rFonts w:ascii="Arial" w:hAnsi="Arial" w:cs="Arial"/>
          <w:color w:val="000000" w:themeColor="text1"/>
          <w:sz w:val="22"/>
          <w:szCs w:val="22"/>
        </w:rPr>
        <w:t xml:space="preserve"> and 202</w:t>
      </w:r>
      <w:r w:rsidR="008E3920" w:rsidRPr="009E35ED">
        <w:rPr>
          <w:rFonts w:ascii="Arial" w:hAnsi="Arial" w:cs="Arial"/>
          <w:color w:val="000000" w:themeColor="text1"/>
          <w:sz w:val="22"/>
          <w:szCs w:val="22"/>
        </w:rPr>
        <w:t>2</w:t>
      </w:r>
      <w:r w:rsidRPr="009E35ED">
        <w:rPr>
          <w:rFonts w:ascii="Arial" w:hAnsi="Arial" w:cs="Arial"/>
          <w:color w:val="000000" w:themeColor="text1"/>
          <w:sz w:val="22"/>
          <w:szCs w:val="22"/>
        </w:rPr>
        <w:t>, respectively, as short-term employee benefits.</w:t>
      </w:r>
    </w:p>
    <w:p w14:paraId="2B93908F" w14:textId="77777777" w:rsidR="006E34FF" w:rsidRPr="009E35ED" w:rsidRDefault="006E34FF" w:rsidP="00803F8C">
      <w:pPr>
        <w:ind w:left="0"/>
        <w:rPr>
          <w:rFonts w:ascii="Arial" w:hAnsi="Arial" w:cs="Arial"/>
          <w:color w:val="000000" w:themeColor="text1"/>
          <w:sz w:val="22"/>
          <w:szCs w:val="22"/>
        </w:rPr>
      </w:pPr>
    </w:p>
    <w:p w14:paraId="571D7B04" w14:textId="77777777" w:rsidR="006E34FF" w:rsidRPr="009E35ED" w:rsidRDefault="006E34FF" w:rsidP="00803F8C">
      <w:pPr>
        <w:ind w:left="0"/>
        <w:rPr>
          <w:rFonts w:ascii="Arial" w:hAnsi="Arial" w:cs="Arial"/>
          <w:color w:val="000000" w:themeColor="text1"/>
          <w:sz w:val="22"/>
          <w:szCs w:val="22"/>
        </w:rPr>
      </w:pPr>
      <w:r w:rsidRPr="009E35ED">
        <w:rPr>
          <w:rFonts w:ascii="Arial" w:hAnsi="Arial" w:cs="Arial"/>
          <w:color w:val="000000" w:themeColor="text1"/>
          <w:sz w:val="22"/>
          <w:szCs w:val="22"/>
        </w:rPr>
        <w:t>Short-term employee benefits include annual salaries, allowances, honoraria, and other non-monetary benefits.</w:t>
      </w:r>
    </w:p>
    <w:p w14:paraId="6E74664A" w14:textId="20B3632E" w:rsidR="00AA29C9" w:rsidRPr="009E35ED" w:rsidRDefault="00AA29C9" w:rsidP="00803F8C">
      <w:pPr>
        <w:ind w:left="0"/>
        <w:rPr>
          <w:rFonts w:ascii="Arial" w:hAnsi="Arial" w:cs="Arial"/>
          <w:color w:val="000000" w:themeColor="text1"/>
          <w:sz w:val="22"/>
          <w:szCs w:val="22"/>
        </w:rPr>
      </w:pPr>
    </w:p>
    <w:p w14:paraId="36B46B70" w14:textId="77777777" w:rsidR="00E8604B" w:rsidRPr="009E35ED" w:rsidRDefault="00E8604B" w:rsidP="00803F8C">
      <w:pPr>
        <w:ind w:left="0"/>
        <w:rPr>
          <w:rFonts w:ascii="Arial" w:hAnsi="Arial" w:cs="Arial"/>
          <w:color w:val="000000" w:themeColor="text1"/>
          <w:sz w:val="22"/>
          <w:szCs w:val="22"/>
        </w:rPr>
      </w:pPr>
    </w:p>
    <w:p w14:paraId="048C72EC" w14:textId="77777777" w:rsidR="006E34FF" w:rsidRPr="009E35ED" w:rsidRDefault="002B1485" w:rsidP="002F0748">
      <w:pPr>
        <w:pStyle w:val="ListParagraph"/>
        <w:keepNext/>
        <w:keepLines/>
        <w:numPr>
          <w:ilvl w:val="0"/>
          <w:numId w:val="28"/>
        </w:numPr>
        <w:ind w:hanging="720"/>
        <w:rPr>
          <w:rFonts w:ascii="Arial" w:hAnsi="Arial" w:cs="Arial"/>
          <w:b/>
          <w:color w:val="000000" w:themeColor="text1"/>
          <w:sz w:val="22"/>
          <w:szCs w:val="22"/>
        </w:rPr>
      </w:pPr>
      <w:r w:rsidRPr="009E35ED">
        <w:rPr>
          <w:rFonts w:ascii="Arial" w:hAnsi="Arial" w:cs="Arial"/>
          <w:b/>
          <w:color w:val="000000" w:themeColor="text1"/>
          <w:sz w:val="22"/>
          <w:szCs w:val="22"/>
        </w:rPr>
        <w:t xml:space="preserve">PENDING </w:t>
      </w:r>
      <w:r w:rsidR="006E34FF" w:rsidRPr="009E35ED">
        <w:rPr>
          <w:rFonts w:ascii="Arial" w:hAnsi="Arial" w:cs="Arial"/>
          <w:b/>
          <w:color w:val="000000" w:themeColor="text1"/>
          <w:sz w:val="22"/>
          <w:szCs w:val="22"/>
        </w:rPr>
        <w:t>LEGAL CASES</w:t>
      </w:r>
    </w:p>
    <w:p w14:paraId="1B2176F1" w14:textId="77777777" w:rsidR="002B1485" w:rsidRPr="009E35ED" w:rsidRDefault="002B1485" w:rsidP="002F0748">
      <w:pPr>
        <w:keepNext/>
        <w:keepLines/>
        <w:ind w:left="0"/>
        <w:rPr>
          <w:rFonts w:ascii="Arial" w:hAnsi="Arial" w:cs="Arial"/>
          <w:b/>
          <w:color w:val="000000" w:themeColor="text1"/>
          <w:sz w:val="22"/>
          <w:szCs w:val="22"/>
        </w:rPr>
      </w:pPr>
    </w:p>
    <w:p w14:paraId="6DDCBFA8" w14:textId="3CFC716C" w:rsidR="002B1485" w:rsidRPr="009E35ED" w:rsidRDefault="009B7F7E" w:rsidP="00803F8C">
      <w:pPr>
        <w:ind w:left="0"/>
        <w:rPr>
          <w:rFonts w:ascii="Arial" w:hAnsi="Arial" w:cs="Arial"/>
          <w:bCs/>
          <w:color w:val="000000" w:themeColor="text1"/>
          <w:sz w:val="22"/>
          <w:szCs w:val="22"/>
          <w:lang w:eastAsia="ar-SA"/>
        </w:rPr>
      </w:pPr>
      <w:r w:rsidRPr="009E35ED">
        <w:rPr>
          <w:rFonts w:ascii="Arial" w:hAnsi="Arial" w:cs="Arial"/>
          <w:bCs/>
          <w:color w:val="000000" w:themeColor="text1"/>
          <w:sz w:val="22"/>
          <w:szCs w:val="22"/>
          <w:lang w:eastAsia="ar-SA"/>
        </w:rPr>
        <w:t>Presently, there are 55</w:t>
      </w:r>
      <w:r w:rsidR="002B1485" w:rsidRPr="009E35ED">
        <w:rPr>
          <w:rFonts w:ascii="Arial" w:hAnsi="Arial" w:cs="Arial"/>
          <w:bCs/>
          <w:color w:val="000000" w:themeColor="text1"/>
          <w:sz w:val="22"/>
          <w:szCs w:val="22"/>
          <w:lang w:eastAsia="ar-SA"/>
        </w:rPr>
        <w:t xml:space="preserve"> pending cases at</w:t>
      </w:r>
      <w:r w:rsidR="00353010">
        <w:rPr>
          <w:rFonts w:ascii="Arial" w:hAnsi="Arial" w:cs="Arial"/>
          <w:bCs/>
          <w:color w:val="000000" w:themeColor="text1"/>
          <w:sz w:val="22"/>
          <w:szCs w:val="22"/>
          <w:lang w:eastAsia="ar-SA"/>
        </w:rPr>
        <w:t xml:space="preserve"> </w:t>
      </w:r>
      <w:r w:rsidR="002B1485" w:rsidRPr="009E35ED">
        <w:rPr>
          <w:rFonts w:ascii="Arial" w:hAnsi="Arial" w:cs="Arial"/>
          <w:bCs/>
          <w:color w:val="000000" w:themeColor="text1"/>
          <w:sz w:val="22"/>
          <w:szCs w:val="22"/>
          <w:lang w:eastAsia="ar-SA"/>
        </w:rPr>
        <w:t>PCSO Legal Department related to lotto, sweepstakes and other gaming operations. These are categorized into civil, criminal and other cases against erring sweepstakes and lotto agents.</w:t>
      </w:r>
    </w:p>
    <w:p w14:paraId="48B19481" w14:textId="007B8022" w:rsidR="002B1485" w:rsidRPr="009E35ED" w:rsidRDefault="002B1485" w:rsidP="00803F8C">
      <w:pPr>
        <w:ind w:left="0"/>
        <w:rPr>
          <w:rFonts w:ascii="Arial" w:hAnsi="Arial" w:cs="Arial"/>
          <w:bCs/>
          <w:color w:val="000000" w:themeColor="text1"/>
          <w:sz w:val="22"/>
          <w:szCs w:val="22"/>
          <w:lang w:eastAsia="ar-SA"/>
        </w:rPr>
      </w:pPr>
    </w:p>
    <w:tbl>
      <w:tblPr>
        <w:tblW w:w="8748" w:type="dxa"/>
        <w:tblLook w:val="04A0" w:firstRow="1" w:lastRow="0" w:firstColumn="1" w:lastColumn="0" w:noHBand="0" w:noVBand="1"/>
      </w:tblPr>
      <w:tblGrid>
        <w:gridCol w:w="278"/>
        <w:gridCol w:w="320"/>
        <w:gridCol w:w="4500"/>
        <w:gridCol w:w="980"/>
        <w:gridCol w:w="2670"/>
      </w:tblGrid>
      <w:tr w:rsidR="00997F75" w:rsidRPr="009E35ED" w14:paraId="3125A6E9" w14:textId="77777777" w:rsidTr="00A552D8">
        <w:trPr>
          <w:trHeight w:val="701"/>
        </w:trPr>
        <w:tc>
          <w:tcPr>
            <w:tcW w:w="278" w:type="dxa"/>
            <w:tcBorders>
              <w:top w:val="single" w:sz="4" w:space="0" w:color="auto"/>
              <w:bottom w:val="single" w:sz="4" w:space="0" w:color="auto"/>
            </w:tcBorders>
            <w:shd w:val="clear" w:color="auto" w:fill="auto"/>
            <w:vAlign w:val="center"/>
            <w:hideMark/>
          </w:tcPr>
          <w:p w14:paraId="5F9AF818" w14:textId="77777777" w:rsidR="002B1485" w:rsidRPr="009E35ED" w:rsidRDefault="002B1485" w:rsidP="00803F8C">
            <w:pPr>
              <w:ind w:left="0"/>
              <w:jc w:val="center"/>
              <w:rPr>
                <w:rFonts w:ascii="Arial Narrow" w:hAnsi="Arial Narrow" w:cs="Arial"/>
                <w:b/>
                <w:bCs/>
                <w:color w:val="000000" w:themeColor="text1"/>
                <w:sz w:val="22"/>
                <w:szCs w:val="22"/>
                <w:lang w:val="en-PH" w:eastAsia="en-PH"/>
              </w:rPr>
            </w:pPr>
            <w:r w:rsidRPr="009E35ED">
              <w:rPr>
                <w:rFonts w:ascii="Arial Narrow" w:hAnsi="Arial Narrow" w:cs="Arial"/>
                <w:b/>
                <w:bCs/>
                <w:color w:val="000000" w:themeColor="text1"/>
                <w:sz w:val="22"/>
                <w:szCs w:val="22"/>
                <w:lang w:val="en-PH" w:eastAsia="en-PH"/>
              </w:rPr>
              <w:t> </w:t>
            </w:r>
          </w:p>
        </w:tc>
        <w:tc>
          <w:tcPr>
            <w:tcW w:w="320" w:type="dxa"/>
            <w:tcBorders>
              <w:top w:val="single" w:sz="4" w:space="0" w:color="auto"/>
              <w:bottom w:val="single" w:sz="4" w:space="0" w:color="auto"/>
            </w:tcBorders>
            <w:shd w:val="clear" w:color="auto" w:fill="auto"/>
            <w:vAlign w:val="center"/>
            <w:hideMark/>
          </w:tcPr>
          <w:p w14:paraId="572CABC0" w14:textId="77777777" w:rsidR="002B1485" w:rsidRPr="009E35ED" w:rsidRDefault="002B1485" w:rsidP="00803F8C">
            <w:pPr>
              <w:ind w:left="0"/>
              <w:jc w:val="center"/>
              <w:rPr>
                <w:rFonts w:ascii="Arial Narrow" w:hAnsi="Arial Narrow" w:cs="Arial"/>
                <w:b/>
                <w:bCs/>
                <w:color w:val="000000" w:themeColor="text1"/>
                <w:sz w:val="22"/>
                <w:szCs w:val="22"/>
                <w:lang w:val="en-PH" w:eastAsia="en-PH"/>
              </w:rPr>
            </w:pPr>
            <w:r w:rsidRPr="009E35ED">
              <w:rPr>
                <w:rFonts w:ascii="Arial Narrow" w:hAnsi="Arial Narrow" w:cs="Arial"/>
                <w:b/>
                <w:bCs/>
                <w:color w:val="000000" w:themeColor="text1"/>
                <w:sz w:val="22"/>
                <w:szCs w:val="22"/>
                <w:lang w:val="en-PH" w:eastAsia="en-PH"/>
              </w:rPr>
              <w:t> </w:t>
            </w:r>
          </w:p>
        </w:tc>
        <w:tc>
          <w:tcPr>
            <w:tcW w:w="4500" w:type="dxa"/>
            <w:tcBorders>
              <w:top w:val="single" w:sz="4" w:space="0" w:color="auto"/>
              <w:bottom w:val="single" w:sz="4" w:space="0" w:color="auto"/>
            </w:tcBorders>
            <w:shd w:val="clear" w:color="auto" w:fill="auto"/>
            <w:vAlign w:val="center"/>
            <w:hideMark/>
          </w:tcPr>
          <w:p w14:paraId="67C5C854" w14:textId="77777777" w:rsidR="002B1485" w:rsidRPr="009E35ED" w:rsidRDefault="002B1485" w:rsidP="00803F8C">
            <w:pPr>
              <w:ind w:left="0"/>
              <w:jc w:val="center"/>
              <w:rPr>
                <w:rFonts w:ascii="Arial Narrow" w:hAnsi="Arial Narrow" w:cs="Arial"/>
                <w:b/>
                <w:bCs/>
                <w:color w:val="000000" w:themeColor="text1"/>
                <w:sz w:val="22"/>
                <w:szCs w:val="22"/>
                <w:lang w:val="en-PH" w:eastAsia="en-PH"/>
              </w:rPr>
            </w:pPr>
          </w:p>
        </w:tc>
        <w:tc>
          <w:tcPr>
            <w:tcW w:w="980" w:type="dxa"/>
            <w:tcBorders>
              <w:top w:val="single" w:sz="4" w:space="0" w:color="auto"/>
              <w:bottom w:val="single" w:sz="4" w:space="0" w:color="auto"/>
            </w:tcBorders>
            <w:shd w:val="clear" w:color="auto" w:fill="auto"/>
            <w:vAlign w:val="center"/>
            <w:hideMark/>
          </w:tcPr>
          <w:p w14:paraId="29A327B7" w14:textId="77777777" w:rsidR="002B1485" w:rsidRPr="009E35ED" w:rsidRDefault="002B1485" w:rsidP="00803F8C">
            <w:pPr>
              <w:ind w:left="0"/>
              <w:jc w:val="center"/>
              <w:rPr>
                <w:rFonts w:ascii="Arial Narrow" w:hAnsi="Arial Narrow" w:cs="Arial"/>
                <w:b/>
                <w:bCs/>
                <w:color w:val="000000" w:themeColor="text1"/>
                <w:sz w:val="22"/>
                <w:szCs w:val="22"/>
                <w:lang w:val="en-PH" w:eastAsia="en-PH"/>
              </w:rPr>
            </w:pPr>
            <w:r w:rsidRPr="009E35ED">
              <w:rPr>
                <w:rFonts w:ascii="Arial Narrow" w:hAnsi="Arial Narrow" w:cs="Arial"/>
                <w:b/>
                <w:bCs/>
                <w:color w:val="000000" w:themeColor="text1"/>
                <w:sz w:val="22"/>
                <w:szCs w:val="22"/>
                <w:lang w:val="en-PH" w:eastAsia="en-PH"/>
              </w:rPr>
              <w:t>No. of Cases</w:t>
            </w:r>
          </w:p>
        </w:tc>
        <w:tc>
          <w:tcPr>
            <w:tcW w:w="2670" w:type="dxa"/>
            <w:tcBorders>
              <w:top w:val="single" w:sz="4" w:space="0" w:color="auto"/>
              <w:bottom w:val="single" w:sz="4" w:space="0" w:color="auto"/>
            </w:tcBorders>
            <w:shd w:val="clear" w:color="auto" w:fill="auto"/>
            <w:vAlign w:val="center"/>
            <w:hideMark/>
          </w:tcPr>
          <w:p w14:paraId="73377237" w14:textId="77777777" w:rsidR="002B1485" w:rsidRPr="009E35ED" w:rsidRDefault="002B1485" w:rsidP="00803F8C">
            <w:pPr>
              <w:ind w:left="0"/>
              <w:jc w:val="center"/>
              <w:rPr>
                <w:rFonts w:ascii="Arial Narrow" w:hAnsi="Arial Narrow" w:cs="Arial"/>
                <w:b/>
                <w:bCs/>
                <w:color w:val="000000" w:themeColor="text1"/>
                <w:sz w:val="22"/>
                <w:szCs w:val="22"/>
                <w:lang w:val="en-PH" w:eastAsia="en-PH"/>
              </w:rPr>
            </w:pPr>
            <w:r w:rsidRPr="009E35ED">
              <w:rPr>
                <w:rFonts w:ascii="Arial Narrow" w:hAnsi="Arial Narrow" w:cs="Arial"/>
                <w:b/>
                <w:bCs/>
                <w:color w:val="000000" w:themeColor="text1"/>
                <w:sz w:val="22"/>
                <w:szCs w:val="22"/>
                <w:lang w:val="en-PH" w:eastAsia="en-PH"/>
              </w:rPr>
              <w:t xml:space="preserve"> Total Amount </w:t>
            </w:r>
            <w:r w:rsidRPr="009E35ED">
              <w:rPr>
                <w:rFonts w:ascii="Arial Narrow" w:hAnsi="Arial Narrow" w:cs="Arial"/>
                <w:b/>
                <w:bCs/>
                <w:color w:val="000000" w:themeColor="text1"/>
                <w:sz w:val="22"/>
                <w:szCs w:val="22"/>
                <w:lang w:val="en-PH" w:eastAsia="en-PH"/>
              </w:rPr>
              <w:br/>
              <w:t>(Principal/</w:t>
            </w:r>
            <w:r w:rsidRPr="009E35ED">
              <w:rPr>
                <w:rFonts w:ascii="Arial Narrow" w:hAnsi="Arial Narrow" w:cs="Arial"/>
                <w:b/>
                <w:bCs/>
                <w:color w:val="000000" w:themeColor="text1"/>
                <w:sz w:val="22"/>
                <w:szCs w:val="22"/>
                <w:lang w:val="en-PH" w:eastAsia="en-PH"/>
              </w:rPr>
              <w:br/>
              <w:t xml:space="preserve">Interest/MRR) </w:t>
            </w:r>
          </w:p>
        </w:tc>
      </w:tr>
      <w:tr w:rsidR="00997F75" w:rsidRPr="009E35ED" w14:paraId="0207D935" w14:textId="77777777" w:rsidTr="00A552D8">
        <w:trPr>
          <w:trHeight w:val="255"/>
        </w:trPr>
        <w:tc>
          <w:tcPr>
            <w:tcW w:w="5098" w:type="dxa"/>
            <w:gridSpan w:val="3"/>
            <w:tcBorders>
              <w:top w:val="single" w:sz="4" w:space="0" w:color="auto"/>
            </w:tcBorders>
            <w:shd w:val="clear" w:color="auto" w:fill="auto"/>
            <w:noWrap/>
            <w:vAlign w:val="bottom"/>
            <w:hideMark/>
          </w:tcPr>
          <w:p w14:paraId="0C810719" w14:textId="77777777" w:rsidR="002B1485" w:rsidRPr="009E35ED" w:rsidRDefault="002B1485" w:rsidP="00803F8C">
            <w:pPr>
              <w:ind w:left="0"/>
              <w:rPr>
                <w:rFonts w:ascii="Arial Narrow" w:hAnsi="Arial Narrow" w:cs="Arial"/>
                <w:color w:val="000000" w:themeColor="text1"/>
                <w:sz w:val="22"/>
                <w:szCs w:val="22"/>
                <w:lang w:val="en-PH" w:eastAsia="en-PH"/>
              </w:rPr>
            </w:pPr>
            <w:r w:rsidRPr="009E35ED">
              <w:rPr>
                <w:rFonts w:ascii="Arial Narrow" w:hAnsi="Arial Narrow" w:cs="Arial"/>
                <w:color w:val="000000" w:themeColor="text1"/>
                <w:sz w:val="22"/>
                <w:szCs w:val="22"/>
                <w:lang w:val="en-PH" w:eastAsia="en-PH"/>
              </w:rPr>
              <w:t>I. Criminal Cases</w:t>
            </w:r>
          </w:p>
        </w:tc>
        <w:tc>
          <w:tcPr>
            <w:tcW w:w="980" w:type="dxa"/>
            <w:tcBorders>
              <w:top w:val="single" w:sz="4" w:space="0" w:color="auto"/>
            </w:tcBorders>
            <w:shd w:val="clear" w:color="auto" w:fill="auto"/>
            <w:noWrap/>
            <w:vAlign w:val="bottom"/>
            <w:hideMark/>
          </w:tcPr>
          <w:p w14:paraId="4CFA0460" w14:textId="77777777" w:rsidR="002B1485" w:rsidRPr="009E35ED" w:rsidRDefault="002B1485" w:rsidP="00803F8C">
            <w:pPr>
              <w:ind w:left="0"/>
              <w:jc w:val="center"/>
              <w:rPr>
                <w:rFonts w:ascii="Arial Narrow" w:hAnsi="Arial Narrow" w:cs="Arial"/>
                <w:color w:val="000000" w:themeColor="text1"/>
                <w:sz w:val="22"/>
                <w:szCs w:val="22"/>
                <w:lang w:val="en-PH" w:eastAsia="en-PH"/>
              </w:rPr>
            </w:pPr>
            <w:r w:rsidRPr="009E35ED">
              <w:rPr>
                <w:rFonts w:ascii="Arial Narrow" w:hAnsi="Arial Narrow" w:cs="Arial"/>
                <w:color w:val="000000" w:themeColor="text1"/>
                <w:sz w:val="22"/>
                <w:szCs w:val="22"/>
                <w:lang w:val="en-PH" w:eastAsia="en-PH"/>
              </w:rPr>
              <w:t> </w:t>
            </w:r>
          </w:p>
        </w:tc>
        <w:tc>
          <w:tcPr>
            <w:tcW w:w="2670" w:type="dxa"/>
            <w:tcBorders>
              <w:top w:val="single" w:sz="4" w:space="0" w:color="auto"/>
            </w:tcBorders>
            <w:shd w:val="clear" w:color="auto" w:fill="auto"/>
            <w:noWrap/>
            <w:vAlign w:val="bottom"/>
            <w:hideMark/>
          </w:tcPr>
          <w:p w14:paraId="2E86BCDB" w14:textId="77777777" w:rsidR="002B1485" w:rsidRPr="009E35ED" w:rsidRDefault="002B1485" w:rsidP="00803F8C">
            <w:pPr>
              <w:ind w:left="0"/>
              <w:rPr>
                <w:rFonts w:ascii="Arial Narrow" w:hAnsi="Arial Narrow" w:cs="Arial"/>
                <w:color w:val="000000" w:themeColor="text1"/>
                <w:sz w:val="22"/>
                <w:szCs w:val="22"/>
                <w:lang w:val="en-PH" w:eastAsia="en-PH"/>
              </w:rPr>
            </w:pPr>
            <w:r w:rsidRPr="009E35ED">
              <w:rPr>
                <w:rFonts w:ascii="Arial Narrow" w:hAnsi="Arial Narrow" w:cs="Arial"/>
                <w:color w:val="000000" w:themeColor="text1"/>
                <w:sz w:val="22"/>
                <w:szCs w:val="22"/>
                <w:lang w:val="en-PH" w:eastAsia="en-PH"/>
              </w:rPr>
              <w:t> </w:t>
            </w:r>
          </w:p>
        </w:tc>
      </w:tr>
      <w:tr w:rsidR="00997F75" w:rsidRPr="009E35ED" w14:paraId="644F9EFA" w14:textId="77777777" w:rsidTr="00A552D8">
        <w:trPr>
          <w:trHeight w:val="255"/>
        </w:trPr>
        <w:tc>
          <w:tcPr>
            <w:tcW w:w="278" w:type="dxa"/>
            <w:shd w:val="clear" w:color="auto" w:fill="auto"/>
            <w:noWrap/>
            <w:vAlign w:val="bottom"/>
            <w:hideMark/>
          </w:tcPr>
          <w:p w14:paraId="022469D9" w14:textId="77777777" w:rsidR="002B1485" w:rsidRPr="009E35ED" w:rsidRDefault="002B1485" w:rsidP="00803F8C">
            <w:pPr>
              <w:ind w:left="0"/>
              <w:rPr>
                <w:rFonts w:ascii="Arial Narrow" w:hAnsi="Arial Narrow" w:cs="Arial"/>
                <w:color w:val="000000" w:themeColor="text1"/>
                <w:sz w:val="22"/>
                <w:szCs w:val="22"/>
                <w:lang w:val="en-PH" w:eastAsia="en-PH"/>
              </w:rPr>
            </w:pPr>
            <w:r w:rsidRPr="009E35ED">
              <w:rPr>
                <w:rFonts w:ascii="Arial Narrow" w:hAnsi="Arial Narrow" w:cs="Arial"/>
                <w:color w:val="000000" w:themeColor="text1"/>
                <w:sz w:val="22"/>
                <w:szCs w:val="22"/>
                <w:lang w:val="en-PH" w:eastAsia="en-PH"/>
              </w:rPr>
              <w:t> </w:t>
            </w:r>
          </w:p>
        </w:tc>
        <w:tc>
          <w:tcPr>
            <w:tcW w:w="4820" w:type="dxa"/>
            <w:gridSpan w:val="2"/>
            <w:shd w:val="clear" w:color="auto" w:fill="auto"/>
            <w:noWrap/>
            <w:vAlign w:val="bottom"/>
            <w:hideMark/>
          </w:tcPr>
          <w:p w14:paraId="49FD6806" w14:textId="77777777" w:rsidR="002B1485" w:rsidRPr="009E35ED" w:rsidRDefault="002B1485" w:rsidP="00803F8C">
            <w:pPr>
              <w:ind w:left="0"/>
              <w:rPr>
                <w:rFonts w:ascii="Arial Narrow" w:hAnsi="Arial Narrow" w:cs="Arial"/>
                <w:color w:val="000000" w:themeColor="text1"/>
                <w:sz w:val="22"/>
                <w:szCs w:val="22"/>
                <w:lang w:val="en-PH" w:eastAsia="en-PH"/>
              </w:rPr>
            </w:pPr>
            <w:r w:rsidRPr="009E35ED">
              <w:rPr>
                <w:rFonts w:ascii="Arial Narrow" w:hAnsi="Arial Narrow" w:cs="Arial"/>
                <w:color w:val="000000" w:themeColor="text1"/>
                <w:sz w:val="22"/>
                <w:szCs w:val="22"/>
                <w:lang w:val="en-PH" w:eastAsia="en-PH"/>
              </w:rPr>
              <w:t>A. Sweepstakes Defaulted Accounts</w:t>
            </w:r>
          </w:p>
        </w:tc>
        <w:tc>
          <w:tcPr>
            <w:tcW w:w="980" w:type="dxa"/>
            <w:shd w:val="clear" w:color="auto" w:fill="auto"/>
            <w:noWrap/>
            <w:vAlign w:val="bottom"/>
            <w:hideMark/>
          </w:tcPr>
          <w:p w14:paraId="198C95E1" w14:textId="77777777" w:rsidR="002B1485" w:rsidRPr="009E35ED" w:rsidRDefault="002B1485" w:rsidP="00803F8C">
            <w:pPr>
              <w:ind w:left="0"/>
              <w:jc w:val="center"/>
              <w:rPr>
                <w:rFonts w:ascii="Arial Narrow" w:hAnsi="Arial Narrow" w:cs="Arial"/>
                <w:color w:val="000000" w:themeColor="text1"/>
                <w:sz w:val="22"/>
                <w:szCs w:val="22"/>
                <w:lang w:val="en-PH" w:eastAsia="en-PH"/>
              </w:rPr>
            </w:pPr>
            <w:r w:rsidRPr="009E35ED">
              <w:rPr>
                <w:rFonts w:ascii="Arial Narrow" w:hAnsi="Arial Narrow" w:cs="Arial"/>
                <w:color w:val="000000" w:themeColor="text1"/>
                <w:sz w:val="22"/>
                <w:szCs w:val="22"/>
                <w:lang w:val="en-PH" w:eastAsia="en-PH"/>
              </w:rPr>
              <w:t> </w:t>
            </w:r>
          </w:p>
        </w:tc>
        <w:tc>
          <w:tcPr>
            <w:tcW w:w="2670" w:type="dxa"/>
            <w:shd w:val="clear" w:color="auto" w:fill="auto"/>
            <w:noWrap/>
            <w:vAlign w:val="bottom"/>
            <w:hideMark/>
          </w:tcPr>
          <w:p w14:paraId="415E938F" w14:textId="77777777" w:rsidR="002B1485" w:rsidRPr="009E35ED" w:rsidRDefault="002B1485" w:rsidP="00803F8C">
            <w:pPr>
              <w:ind w:left="0"/>
              <w:rPr>
                <w:rFonts w:ascii="Arial Narrow" w:hAnsi="Arial Narrow" w:cs="Arial"/>
                <w:color w:val="000000" w:themeColor="text1"/>
                <w:sz w:val="22"/>
                <w:szCs w:val="22"/>
                <w:lang w:val="en-PH" w:eastAsia="en-PH"/>
              </w:rPr>
            </w:pPr>
            <w:r w:rsidRPr="009E35ED">
              <w:rPr>
                <w:rFonts w:ascii="Arial Narrow" w:hAnsi="Arial Narrow" w:cs="Arial"/>
                <w:color w:val="000000" w:themeColor="text1"/>
                <w:sz w:val="22"/>
                <w:szCs w:val="22"/>
                <w:lang w:val="en-PH" w:eastAsia="en-PH"/>
              </w:rPr>
              <w:t> </w:t>
            </w:r>
          </w:p>
        </w:tc>
      </w:tr>
      <w:tr w:rsidR="00997F75" w:rsidRPr="009E35ED" w14:paraId="0A76D963" w14:textId="77777777" w:rsidTr="00A552D8">
        <w:trPr>
          <w:trHeight w:val="255"/>
        </w:trPr>
        <w:tc>
          <w:tcPr>
            <w:tcW w:w="278" w:type="dxa"/>
            <w:shd w:val="clear" w:color="auto" w:fill="auto"/>
            <w:noWrap/>
            <w:vAlign w:val="bottom"/>
            <w:hideMark/>
          </w:tcPr>
          <w:p w14:paraId="5D92C857" w14:textId="77777777" w:rsidR="002B1485" w:rsidRPr="009E35ED" w:rsidRDefault="002B1485" w:rsidP="00803F8C">
            <w:pPr>
              <w:ind w:left="0"/>
              <w:rPr>
                <w:rFonts w:ascii="Arial Narrow" w:hAnsi="Arial Narrow" w:cs="Arial"/>
                <w:color w:val="000000" w:themeColor="text1"/>
                <w:sz w:val="22"/>
                <w:szCs w:val="22"/>
                <w:lang w:val="en-PH" w:eastAsia="en-PH"/>
              </w:rPr>
            </w:pPr>
            <w:r w:rsidRPr="009E35ED">
              <w:rPr>
                <w:rFonts w:ascii="Arial Narrow" w:hAnsi="Arial Narrow" w:cs="Arial"/>
                <w:color w:val="000000" w:themeColor="text1"/>
                <w:sz w:val="22"/>
                <w:szCs w:val="22"/>
                <w:lang w:val="en-PH" w:eastAsia="en-PH"/>
              </w:rPr>
              <w:t> </w:t>
            </w:r>
          </w:p>
        </w:tc>
        <w:tc>
          <w:tcPr>
            <w:tcW w:w="320" w:type="dxa"/>
            <w:shd w:val="clear" w:color="auto" w:fill="auto"/>
            <w:noWrap/>
            <w:vAlign w:val="bottom"/>
            <w:hideMark/>
          </w:tcPr>
          <w:p w14:paraId="631CA48B" w14:textId="77777777" w:rsidR="002B1485" w:rsidRPr="009E35ED" w:rsidRDefault="002B1485" w:rsidP="00803F8C">
            <w:pPr>
              <w:ind w:left="0"/>
              <w:rPr>
                <w:rFonts w:ascii="Arial Narrow" w:hAnsi="Arial Narrow" w:cs="Arial"/>
                <w:color w:val="000000" w:themeColor="text1"/>
                <w:sz w:val="22"/>
                <w:szCs w:val="22"/>
                <w:lang w:val="en-PH" w:eastAsia="en-PH"/>
              </w:rPr>
            </w:pPr>
          </w:p>
        </w:tc>
        <w:tc>
          <w:tcPr>
            <w:tcW w:w="4500" w:type="dxa"/>
            <w:shd w:val="clear" w:color="auto" w:fill="auto"/>
            <w:noWrap/>
            <w:vAlign w:val="bottom"/>
            <w:hideMark/>
          </w:tcPr>
          <w:p w14:paraId="5CE15AC3" w14:textId="3B980750" w:rsidR="002B1485" w:rsidRPr="009E35ED" w:rsidRDefault="002B1485" w:rsidP="00803F8C">
            <w:pPr>
              <w:ind w:left="0"/>
              <w:rPr>
                <w:rFonts w:ascii="Arial Narrow" w:hAnsi="Arial Narrow" w:cs="Arial"/>
                <w:color w:val="000000" w:themeColor="text1"/>
                <w:sz w:val="22"/>
                <w:szCs w:val="22"/>
                <w:lang w:val="en-PH" w:eastAsia="en-PH"/>
              </w:rPr>
            </w:pPr>
            <w:r w:rsidRPr="009E35ED">
              <w:rPr>
                <w:rFonts w:ascii="Arial Narrow" w:hAnsi="Arial Narrow" w:cs="Arial"/>
                <w:color w:val="000000" w:themeColor="text1"/>
                <w:sz w:val="22"/>
                <w:szCs w:val="22"/>
                <w:lang w:val="en-PH" w:eastAsia="en-PH"/>
              </w:rPr>
              <w:t xml:space="preserve">Provincial </w:t>
            </w:r>
            <w:r w:rsidR="00353010">
              <w:rPr>
                <w:rFonts w:ascii="Arial Narrow" w:hAnsi="Arial Narrow" w:cs="Arial"/>
                <w:color w:val="000000" w:themeColor="text1"/>
                <w:sz w:val="22"/>
                <w:szCs w:val="22"/>
                <w:lang w:val="en-PH" w:eastAsia="en-PH"/>
              </w:rPr>
              <w:t>d</w:t>
            </w:r>
            <w:r w:rsidRPr="009E35ED">
              <w:rPr>
                <w:rFonts w:ascii="Arial Narrow" w:hAnsi="Arial Narrow" w:cs="Arial"/>
                <w:color w:val="000000" w:themeColor="text1"/>
                <w:sz w:val="22"/>
                <w:szCs w:val="22"/>
                <w:lang w:val="en-PH" w:eastAsia="en-PH"/>
              </w:rPr>
              <w:t>istributors</w:t>
            </w:r>
          </w:p>
        </w:tc>
        <w:tc>
          <w:tcPr>
            <w:tcW w:w="980" w:type="dxa"/>
            <w:shd w:val="clear" w:color="auto" w:fill="auto"/>
            <w:noWrap/>
            <w:vAlign w:val="bottom"/>
            <w:hideMark/>
          </w:tcPr>
          <w:p w14:paraId="4C63C4C1" w14:textId="77777777" w:rsidR="002B1485" w:rsidRPr="009E35ED" w:rsidRDefault="002B1485" w:rsidP="00803F8C">
            <w:pPr>
              <w:ind w:left="0"/>
              <w:jc w:val="center"/>
              <w:rPr>
                <w:rFonts w:ascii="Arial Narrow" w:hAnsi="Arial Narrow" w:cs="Arial"/>
                <w:color w:val="000000" w:themeColor="text1"/>
                <w:sz w:val="22"/>
                <w:szCs w:val="22"/>
                <w:lang w:val="en-PH" w:eastAsia="en-PH"/>
              </w:rPr>
            </w:pPr>
            <w:r w:rsidRPr="009E35ED">
              <w:rPr>
                <w:rFonts w:ascii="Arial Narrow" w:hAnsi="Arial Narrow" w:cs="Arial"/>
                <w:color w:val="000000" w:themeColor="text1"/>
                <w:sz w:val="22"/>
                <w:szCs w:val="22"/>
                <w:lang w:val="en-PH" w:eastAsia="en-PH"/>
              </w:rPr>
              <w:t>2</w:t>
            </w:r>
          </w:p>
        </w:tc>
        <w:tc>
          <w:tcPr>
            <w:tcW w:w="2670" w:type="dxa"/>
            <w:shd w:val="clear" w:color="auto" w:fill="auto"/>
            <w:noWrap/>
            <w:vAlign w:val="bottom"/>
            <w:hideMark/>
          </w:tcPr>
          <w:p w14:paraId="2A7FF8C1" w14:textId="013E932F" w:rsidR="002B1485" w:rsidRPr="009E35ED" w:rsidRDefault="002B1485" w:rsidP="0096758A">
            <w:pPr>
              <w:ind w:left="0" w:right="-109"/>
              <w:jc w:val="right"/>
              <w:rPr>
                <w:rFonts w:ascii="Arial Narrow" w:hAnsi="Arial Narrow" w:cs="Arial"/>
                <w:color w:val="000000" w:themeColor="text1"/>
                <w:sz w:val="22"/>
                <w:szCs w:val="22"/>
                <w:lang w:val="en-PH" w:eastAsia="en-PH"/>
              </w:rPr>
            </w:pPr>
            <w:r w:rsidRPr="009E35ED">
              <w:rPr>
                <w:rFonts w:ascii="Arial Narrow" w:hAnsi="Arial Narrow" w:cs="Arial"/>
                <w:color w:val="000000" w:themeColor="text1"/>
                <w:sz w:val="22"/>
                <w:szCs w:val="22"/>
                <w:lang w:val="en-PH" w:eastAsia="en-PH"/>
              </w:rPr>
              <w:t xml:space="preserve">        5,799,486 </w:t>
            </w:r>
          </w:p>
        </w:tc>
      </w:tr>
      <w:tr w:rsidR="00997F75" w:rsidRPr="009E35ED" w14:paraId="319CEB66" w14:textId="77777777" w:rsidTr="00A552D8">
        <w:trPr>
          <w:trHeight w:val="255"/>
        </w:trPr>
        <w:tc>
          <w:tcPr>
            <w:tcW w:w="278" w:type="dxa"/>
            <w:shd w:val="clear" w:color="auto" w:fill="auto"/>
            <w:noWrap/>
            <w:vAlign w:val="bottom"/>
            <w:hideMark/>
          </w:tcPr>
          <w:p w14:paraId="0C7E5334" w14:textId="77777777" w:rsidR="002B1485" w:rsidRPr="009E35ED" w:rsidRDefault="002B1485" w:rsidP="00803F8C">
            <w:pPr>
              <w:ind w:left="0"/>
              <w:rPr>
                <w:rFonts w:ascii="Arial Narrow" w:hAnsi="Arial Narrow" w:cs="Arial"/>
                <w:color w:val="000000" w:themeColor="text1"/>
                <w:sz w:val="22"/>
                <w:szCs w:val="22"/>
                <w:lang w:val="en-PH" w:eastAsia="en-PH"/>
              </w:rPr>
            </w:pPr>
            <w:r w:rsidRPr="009E35ED">
              <w:rPr>
                <w:rFonts w:ascii="Arial Narrow" w:hAnsi="Arial Narrow" w:cs="Arial"/>
                <w:color w:val="000000" w:themeColor="text1"/>
                <w:sz w:val="22"/>
                <w:szCs w:val="22"/>
                <w:lang w:val="en-PH" w:eastAsia="en-PH"/>
              </w:rPr>
              <w:t> </w:t>
            </w:r>
          </w:p>
        </w:tc>
        <w:tc>
          <w:tcPr>
            <w:tcW w:w="320" w:type="dxa"/>
            <w:shd w:val="clear" w:color="auto" w:fill="auto"/>
            <w:noWrap/>
            <w:vAlign w:val="bottom"/>
            <w:hideMark/>
          </w:tcPr>
          <w:p w14:paraId="654ABA1F" w14:textId="77777777" w:rsidR="002B1485" w:rsidRPr="009E35ED" w:rsidRDefault="002B1485" w:rsidP="00803F8C">
            <w:pPr>
              <w:ind w:left="0"/>
              <w:rPr>
                <w:rFonts w:ascii="Arial Narrow" w:hAnsi="Arial Narrow" w:cs="Arial"/>
                <w:color w:val="000000" w:themeColor="text1"/>
                <w:sz w:val="22"/>
                <w:szCs w:val="22"/>
                <w:lang w:val="en-PH" w:eastAsia="en-PH"/>
              </w:rPr>
            </w:pPr>
          </w:p>
        </w:tc>
        <w:tc>
          <w:tcPr>
            <w:tcW w:w="4500" w:type="dxa"/>
            <w:shd w:val="clear" w:color="auto" w:fill="auto"/>
            <w:noWrap/>
            <w:vAlign w:val="bottom"/>
            <w:hideMark/>
          </w:tcPr>
          <w:p w14:paraId="7ED314FE" w14:textId="525D620D" w:rsidR="002B1485" w:rsidRPr="009E35ED" w:rsidRDefault="002B1485" w:rsidP="00803F8C">
            <w:pPr>
              <w:ind w:left="0"/>
              <w:rPr>
                <w:rFonts w:ascii="Arial Narrow" w:hAnsi="Arial Narrow" w:cs="Arial"/>
                <w:color w:val="000000" w:themeColor="text1"/>
                <w:sz w:val="22"/>
                <w:szCs w:val="22"/>
                <w:lang w:val="en-PH" w:eastAsia="en-PH"/>
              </w:rPr>
            </w:pPr>
            <w:r w:rsidRPr="009E35ED">
              <w:rPr>
                <w:rFonts w:ascii="Arial Narrow" w:hAnsi="Arial Narrow" w:cs="Arial"/>
                <w:color w:val="000000" w:themeColor="text1"/>
                <w:sz w:val="22"/>
                <w:szCs w:val="22"/>
                <w:lang w:val="en-PH" w:eastAsia="en-PH"/>
              </w:rPr>
              <w:t xml:space="preserve">Sales </w:t>
            </w:r>
            <w:r w:rsidR="00353010">
              <w:rPr>
                <w:rFonts w:ascii="Arial Narrow" w:hAnsi="Arial Narrow" w:cs="Arial"/>
                <w:color w:val="000000" w:themeColor="text1"/>
                <w:sz w:val="22"/>
                <w:szCs w:val="22"/>
                <w:lang w:val="en-PH" w:eastAsia="en-PH"/>
              </w:rPr>
              <w:t>r</w:t>
            </w:r>
            <w:r w:rsidRPr="009E35ED">
              <w:rPr>
                <w:rFonts w:ascii="Arial Narrow" w:hAnsi="Arial Narrow" w:cs="Arial"/>
                <w:color w:val="000000" w:themeColor="text1"/>
                <w:sz w:val="22"/>
                <w:szCs w:val="22"/>
                <w:lang w:val="en-PH" w:eastAsia="en-PH"/>
              </w:rPr>
              <w:t>epresentatives</w:t>
            </w:r>
          </w:p>
        </w:tc>
        <w:tc>
          <w:tcPr>
            <w:tcW w:w="980" w:type="dxa"/>
            <w:shd w:val="clear" w:color="auto" w:fill="auto"/>
            <w:noWrap/>
            <w:vAlign w:val="bottom"/>
            <w:hideMark/>
          </w:tcPr>
          <w:p w14:paraId="02D95D65" w14:textId="77777777" w:rsidR="002B1485" w:rsidRPr="009E35ED" w:rsidRDefault="002B1485" w:rsidP="00803F8C">
            <w:pPr>
              <w:ind w:left="0"/>
              <w:jc w:val="center"/>
              <w:rPr>
                <w:rFonts w:ascii="Arial Narrow" w:hAnsi="Arial Narrow" w:cs="Arial"/>
                <w:color w:val="000000" w:themeColor="text1"/>
                <w:sz w:val="22"/>
                <w:szCs w:val="22"/>
                <w:lang w:val="en-PH" w:eastAsia="en-PH"/>
              </w:rPr>
            </w:pPr>
            <w:r w:rsidRPr="009E35ED">
              <w:rPr>
                <w:rFonts w:ascii="Arial Narrow" w:hAnsi="Arial Narrow" w:cs="Arial"/>
                <w:color w:val="000000" w:themeColor="text1"/>
                <w:sz w:val="22"/>
                <w:szCs w:val="22"/>
                <w:lang w:val="en-PH" w:eastAsia="en-PH"/>
              </w:rPr>
              <w:t>3</w:t>
            </w:r>
          </w:p>
        </w:tc>
        <w:tc>
          <w:tcPr>
            <w:tcW w:w="2670" w:type="dxa"/>
            <w:shd w:val="clear" w:color="auto" w:fill="auto"/>
            <w:noWrap/>
            <w:vAlign w:val="bottom"/>
            <w:hideMark/>
          </w:tcPr>
          <w:p w14:paraId="67E0AEC0" w14:textId="6F414FDB" w:rsidR="002B1485" w:rsidRPr="009E35ED" w:rsidRDefault="002B1485" w:rsidP="0096758A">
            <w:pPr>
              <w:ind w:left="0" w:right="-109"/>
              <w:jc w:val="right"/>
              <w:rPr>
                <w:rFonts w:ascii="Arial Narrow" w:hAnsi="Arial Narrow" w:cs="Arial"/>
                <w:color w:val="000000" w:themeColor="text1"/>
                <w:sz w:val="22"/>
                <w:szCs w:val="22"/>
                <w:lang w:val="en-PH" w:eastAsia="en-PH"/>
              </w:rPr>
            </w:pPr>
            <w:r w:rsidRPr="009E35ED">
              <w:rPr>
                <w:rFonts w:ascii="Arial Narrow" w:hAnsi="Arial Narrow" w:cs="Arial"/>
                <w:color w:val="000000" w:themeColor="text1"/>
                <w:sz w:val="22"/>
                <w:szCs w:val="22"/>
                <w:lang w:val="en-PH" w:eastAsia="en-PH"/>
              </w:rPr>
              <w:t xml:space="preserve">        5,603,76</w:t>
            </w:r>
            <w:r w:rsidR="0096758A" w:rsidRPr="009E35ED">
              <w:rPr>
                <w:rFonts w:ascii="Arial Narrow" w:hAnsi="Arial Narrow" w:cs="Arial"/>
                <w:color w:val="000000" w:themeColor="text1"/>
                <w:sz w:val="22"/>
                <w:szCs w:val="22"/>
                <w:lang w:val="en-PH" w:eastAsia="en-PH"/>
              </w:rPr>
              <w:t>8</w:t>
            </w:r>
            <w:r w:rsidRPr="009E35ED">
              <w:rPr>
                <w:rFonts w:ascii="Arial Narrow" w:hAnsi="Arial Narrow" w:cs="Arial"/>
                <w:color w:val="000000" w:themeColor="text1"/>
                <w:sz w:val="22"/>
                <w:szCs w:val="22"/>
                <w:lang w:val="en-PH" w:eastAsia="en-PH"/>
              </w:rPr>
              <w:t xml:space="preserve"> </w:t>
            </w:r>
          </w:p>
        </w:tc>
      </w:tr>
      <w:tr w:rsidR="00997F75" w:rsidRPr="009E35ED" w14:paraId="7BAC4D28" w14:textId="77777777" w:rsidTr="00A552D8">
        <w:trPr>
          <w:trHeight w:val="255"/>
        </w:trPr>
        <w:tc>
          <w:tcPr>
            <w:tcW w:w="278" w:type="dxa"/>
            <w:shd w:val="clear" w:color="auto" w:fill="auto"/>
            <w:noWrap/>
            <w:vAlign w:val="bottom"/>
            <w:hideMark/>
          </w:tcPr>
          <w:p w14:paraId="6BFF64E5" w14:textId="77777777" w:rsidR="002B1485" w:rsidRPr="009E35ED" w:rsidRDefault="002B1485" w:rsidP="00803F8C">
            <w:pPr>
              <w:ind w:left="0"/>
              <w:rPr>
                <w:rFonts w:ascii="Arial Narrow" w:hAnsi="Arial Narrow" w:cs="Arial"/>
                <w:color w:val="000000" w:themeColor="text1"/>
                <w:sz w:val="22"/>
                <w:szCs w:val="22"/>
                <w:lang w:val="en-PH" w:eastAsia="en-PH"/>
              </w:rPr>
            </w:pPr>
            <w:r w:rsidRPr="009E35ED">
              <w:rPr>
                <w:rFonts w:ascii="Arial Narrow" w:hAnsi="Arial Narrow" w:cs="Arial"/>
                <w:color w:val="000000" w:themeColor="text1"/>
                <w:sz w:val="22"/>
                <w:szCs w:val="22"/>
                <w:lang w:val="en-PH" w:eastAsia="en-PH"/>
              </w:rPr>
              <w:t> </w:t>
            </w:r>
          </w:p>
        </w:tc>
        <w:tc>
          <w:tcPr>
            <w:tcW w:w="320" w:type="dxa"/>
            <w:shd w:val="clear" w:color="auto" w:fill="auto"/>
            <w:noWrap/>
            <w:vAlign w:val="bottom"/>
            <w:hideMark/>
          </w:tcPr>
          <w:p w14:paraId="3FCE91EA" w14:textId="77777777" w:rsidR="002B1485" w:rsidRPr="009E35ED" w:rsidRDefault="002B1485" w:rsidP="00803F8C">
            <w:pPr>
              <w:ind w:left="0"/>
              <w:rPr>
                <w:rFonts w:ascii="Arial Narrow" w:hAnsi="Arial Narrow" w:cs="Arial"/>
                <w:color w:val="000000" w:themeColor="text1"/>
                <w:sz w:val="22"/>
                <w:szCs w:val="22"/>
                <w:lang w:val="en-PH" w:eastAsia="en-PH"/>
              </w:rPr>
            </w:pPr>
          </w:p>
        </w:tc>
        <w:tc>
          <w:tcPr>
            <w:tcW w:w="4500" w:type="dxa"/>
            <w:shd w:val="clear" w:color="auto" w:fill="auto"/>
            <w:noWrap/>
            <w:vAlign w:val="bottom"/>
            <w:hideMark/>
          </w:tcPr>
          <w:p w14:paraId="72C0870F" w14:textId="63876C54" w:rsidR="002B1485" w:rsidRPr="009E35ED" w:rsidRDefault="002B1485" w:rsidP="00803F8C">
            <w:pPr>
              <w:ind w:left="0"/>
              <w:rPr>
                <w:rFonts w:ascii="Arial Narrow" w:hAnsi="Arial Narrow" w:cs="Arial"/>
                <w:color w:val="000000" w:themeColor="text1"/>
                <w:sz w:val="22"/>
                <w:szCs w:val="22"/>
                <w:lang w:val="en-PH" w:eastAsia="en-PH"/>
              </w:rPr>
            </w:pPr>
            <w:r w:rsidRPr="009E35ED">
              <w:rPr>
                <w:rFonts w:ascii="Arial Narrow" w:hAnsi="Arial Narrow" w:cs="Arial"/>
                <w:color w:val="000000" w:themeColor="text1"/>
                <w:sz w:val="22"/>
                <w:szCs w:val="22"/>
                <w:lang w:val="en-PH" w:eastAsia="en-PH"/>
              </w:rPr>
              <w:t xml:space="preserve">Authorized </w:t>
            </w:r>
            <w:r w:rsidR="00353010">
              <w:rPr>
                <w:rFonts w:ascii="Arial Narrow" w:hAnsi="Arial Narrow" w:cs="Arial"/>
                <w:color w:val="000000" w:themeColor="text1"/>
                <w:sz w:val="22"/>
                <w:szCs w:val="22"/>
                <w:lang w:val="en-PH" w:eastAsia="en-PH"/>
              </w:rPr>
              <w:t>a</w:t>
            </w:r>
            <w:r w:rsidRPr="009E35ED">
              <w:rPr>
                <w:rFonts w:ascii="Arial Narrow" w:hAnsi="Arial Narrow" w:cs="Arial"/>
                <w:color w:val="000000" w:themeColor="text1"/>
                <w:sz w:val="22"/>
                <w:szCs w:val="22"/>
                <w:lang w:val="en-PH" w:eastAsia="en-PH"/>
              </w:rPr>
              <w:t>gents</w:t>
            </w:r>
          </w:p>
        </w:tc>
        <w:tc>
          <w:tcPr>
            <w:tcW w:w="980" w:type="dxa"/>
            <w:shd w:val="clear" w:color="auto" w:fill="auto"/>
            <w:noWrap/>
            <w:vAlign w:val="bottom"/>
            <w:hideMark/>
          </w:tcPr>
          <w:p w14:paraId="5F0A4E79" w14:textId="77777777" w:rsidR="002B1485" w:rsidRPr="009E35ED" w:rsidRDefault="002B1485" w:rsidP="00803F8C">
            <w:pPr>
              <w:ind w:left="0"/>
              <w:jc w:val="center"/>
              <w:rPr>
                <w:rFonts w:ascii="Arial Narrow" w:hAnsi="Arial Narrow" w:cs="Arial"/>
                <w:color w:val="000000" w:themeColor="text1"/>
                <w:sz w:val="22"/>
                <w:szCs w:val="22"/>
                <w:lang w:val="en-PH" w:eastAsia="en-PH"/>
              </w:rPr>
            </w:pPr>
            <w:r w:rsidRPr="009E35ED">
              <w:rPr>
                <w:rFonts w:ascii="Arial Narrow" w:hAnsi="Arial Narrow" w:cs="Arial"/>
                <w:color w:val="000000" w:themeColor="text1"/>
                <w:sz w:val="22"/>
                <w:szCs w:val="22"/>
                <w:lang w:val="en-PH" w:eastAsia="en-PH"/>
              </w:rPr>
              <w:t>3</w:t>
            </w:r>
          </w:p>
        </w:tc>
        <w:tc>
          <w:tcPr>
            <w:tcW w:w="2670" w:type="dxa"/>
            <w:shd w:val="clear" w:color="auto" w:fill="auto"/>
            <w:noWrap/>
            <w:vAlign w:val="bottom"/>
            <w:hideMark/>
          </w:tcPr>
          <w:p w14:paraId="297153E5" w14:textId="0DA9B6D0" w:rsidR="002B1485" w:rsidRPr="009E35ED" w:rsidRDefault="002B1485" w:rsidP="0096758A">
            <w:pPr>
              <w:ind w:left="0" w:right="-109"/>
              <w:jc w:val="right"/>
              <w:rPr>
                <w:rFonts w:ascii="Arial Narrow" w:hAnsi="Arial Narrow" w:cs="Arial"/>
                <w:color w:val="000000" w:themeColor="text1"/>
                <w:sz w:val="22"/>
                <w:szCs w:val="22"/>
                <w:lang w:val="en-PH" w:eastAsia="en-PH"/>
              </w:rPr>
            </w:pPr>
            <w:r w:rsidRPr="009E35ED">
              <w:rPr>
                <w:rFonts w:ascii="Arial Narrow" w:hAnsi="Arial Narrow" w:cs="Arial"/>
                <w:color w:val="000000" w:themeColor="text1"/>
                <w:sz w:val="22"/>
                <w:szCs w:val="22"/>
                <w:lang w:val="en-PH" w:eastAsia="en-PH"/>
              </w:rPr>
              <w:t xml:space="preserve">4,140,000 </w:t>
            </w:r>
          </w:p>
        </w:tc>
      </w:tr>
      <w:tr w:rsidR="00997F75" w:rsidRPr="009E35ED" w14:paraId="06D1985C" w14:textId="77777777" w:rsidTr="00A552D8">
        <w:trPr>
          <w:trHeight w:val="255"/>
        </w:trPr>
        <w:tc>
          <w:tcPr>
            <w:tcW w:w="278" w:type="dxa"/>
            <w:tcBorders>
              <w:bottom w:val="single" w:sz="4" w:space="0" w:color="auto"/>
            </w:tcBorders>
            <w:shd w:val="clear" w:color="auto" w:fill="auto"/>
            <w:noWrap/>
            <w:vAlign w:val="bottom"/>
            <w:hideMark/>
          </w:tcPr>
          <w:p w14:paraId="1C18F6FD" w14:textId="77777777" w:rsidR="002B1485" w:rsidRPr="009E35ED" w:rsidRDefault="002B1485" w:rsidP="00803F8C">
            <w:pPr>
              <w:ind w:left="0"/>
              <w:rPr>
                <w:rFonts w:ascii="Arial Narrow" w:hAnsi="Arial Narrow" w:cs="Arial"/>
                <w:color w:val="000000" w:themeColor="text1"/>
                <w:sz w:val="22"/>
                <w:szCs w:val="22"/>
                <w:lang w:val="en-PH" w:eastAsia="en-PH"/>
              </w:rPr>
            </w:pPr>
            <w:r w:rsidRPr="009E35ED">
              <w:rPr>
                <w:rFonts w:ascii="Arial Narrow" w:hAnsi="Arial Narrow" w:cs="Arial"/>
                <w:color w:val="000000" w:themeColor="text1"/>
                <w:sz w:val="22"/>
                <w:szCs w:val="22"/>
                <w:lang w:val="en-PH" w:eastAsia="en-PH"/>
              </w:rPr>
              <w:t> </w:t>
            </w:r>
          </w:p>
        </w:tc>
        <w:tc>
          <w:tcPr>
            <w:tcW w:w="320" w:type="dxa"/>
            <w:tcBorders>
              <w:bottom w:val="single" w:sz="4" w:space="0" w:color="auto"/>
            </w:tcBorders>
            <w:shd w:val="clear" w:color="auto" w:fill="auto"/>
            <w:noWrap/>
            <w:vAlign w:val="bottom"/>
            <w:hideMark/>
          </w:tcPr>
          <w:p w14:paraId="04C7FA57" w14:textId="77777777" w:rsidR="002B1485" w:rsidRPr="009E35ED" w:rsidRDefault="002B1485" w:rsidP="00803F8C">
            <w:pPr>
              <w:ind w:left="0"/>
              <w:rPr>
                <w:rFonts w:ascii="Arial Narrow" w:hAnsi="Arial Narrow" w:cs="Arial"/>
                <w:color w:val="000000" w:themeColor="text1"/>
                <w:sz w:val="22"/>
                <w:szCs w:val="22"/>
                <w:lang w:val="en-PH" w:eastAsia="en-PH"/>
              </w:rPr>
            </w:pPr>
          </w:p>
        </w:tc>
        <w:tc>
          <w:tcPr>
            <w:tcW w:w="4500" w:type="dxa"/>
            <w:tcBorders>
              <w:bottom w:val="single" w:sz="4" w:space="0" w:color="auto"/>
            </w:tcBorders>
            <w:shd w:val="clear" w:color="auto" w:fill="auto"/>
            <w:noWrap/>
            <w:vAlign w:val="bottom"/>
            <w:hideMark/>
          </w:tcPr>
          <w:p w14:paraId="06DB9873" w14:textId="5D53CA06" w:rsidR="002B1485" w:rsidRPr="009E35ED" w:rsidRDefault="002B1485" w:rsidP="00803F8C">
            <w:pPr>
              <w:ind w:left="0"/>
              <w:rPr>
                <w:rFonts w:ascii="Arial Narrow" w:hAnsi="Arial Narrow" w:cs="Arial"/>
                <w:color w:val="000000" w:themeColor="text1"/>
                <w:sz w:val="22"/>
                <w:szCs w:val="22"/>
                <w:lang w:val="en-PH" w:eastAsia="en-PH"/>
              </w:rPr>
            </w:pPr>
            <w:r w:rsidRPr="009E35ED">
              <w:rPr>
                <w:rFonts w:ascii="Arial Narrow" w:hAnsi="Arial Narrow" w:cs="Arial"/>
                <w:color w:val="000000" w:themeColor="text1"/>
                <w:sz w:val="22"/>
                <w:szCs w:val="22"/>
                <w:lang w:val="en-PH" w:eastAsia="en-PH"/>
              </w:rPr>
              <w:t xml:space="preserve">Sales </w:t>
            </w:r>
            <w:r w:rsidR="00353010">
              <w:rPr>
                <w:rFonts w:ascii="Arial Narrow" w:hAnsi="Arial Narrow" w:cs="Arial"/>
                <w:color w:val="000000" w:themeColor="text1"/>
                <w:sz w:val="22"/>
                <w:szCs w:val="22"/>
                <w:lang w:val="en-PH" w:eastAsia="en-PH"/>
              </w:rPr>
              <w:t>m</w:t>
            </w:r>
            <w:r w:rsidRPr="009E35ED">
              <w:rPr>
                <w:rFonts w:ascii="Arial Narrow" w:hAnsi="Arial Narrow" w:cs="Arial"/>
                <w:color w:val="000000" w:themeColor="text1"/>
                <w:sz w:val="22"/>
                <w:szCs w:val="22"/>
                <w:lang w:val="en-PH" w:eastAsia="en-PH"/>
              </w:rPr>
              <w:t>anager</w:t>
            </w:r>
          </w:p>
        </w:tc>
        <w:tc>
          <w:tcPr>
            <w:tcW w:w="980" w:type="dxa"/>
            <w:tcBorders>
              <w:bottom w:val="single" w:sz="4" w:space="0" w:color="auto"/>
            </w:tcBorders>
            <w:shd w:val="clear" w:color="auto" w:fill="auto"/>
            <w:noWrap/>
            <w:vAlign w:val="bottom"/>
            <w:hideMark/>
          </w:tcPr>
          <w:p w14:paraId="31743A23" w14:textId="77777777" w:rsidR="002B1485" w:rsidRPr="009E35ED" w:rsidRDefault="002B1485" w:rsidP="00803F8C">
            <w:pPr>
              <w:ind w:left="0"/>
              <w:jc w:val="center"/>
              <w:rPr>
                <w:rFonts w:ascii="Arial Narrow" w:hAnsi="Arial Narrow" w:cs="Arial"/>
                <w:color w:val="000000" w:themeColor="text1"/>
                <w:sz w:val="22"/>
                <w:szCs w:val="22"/>
                <w:lang w:val="en-PH" w:eastAsia="en-PH"/>
              </w:rPr>
            </w:pPr>
            <w:r w:rsidRPr="009E35ED">
              <w:rPr>
                <w:rFonts w:ascii="Arial Narrow" w:hAnsi="Arial Narrow" w:cs="Arial"/>
                <w:color w:val="000000" w:themeColor="text1"/>
                <w:sz w:val="22"/>
                <w:szCs w:val="22"/>
                <w:lang w:val="en-PH" w:eastAsia="en-PH"/>
              </w:rPr>
              <w:t>1</w:t>
            </w:r>
          </w:p>
        </w:tc>
        <w:tc>
          <w:tcPr>
            <w:tcW w:w="2670" w:type="dxa"/>
            <w:tcBorders>
              <w:bottom w:val="single" w:sz="4" w:space="0" w:color="auto"/>
            </w:tcBorders>
            <w:shd w:val="clear" w:color="auto" w:fill="auto"/>
            <w:noWrap/>
            <w:vAlign w:val="bottom"/>
            <w:hideMark/>
          </w:tcPr>
          <w:p w14:paraId="52E719B2" w14:textId="59A47A91" w:rsidR="002B1485" w:rsidRPr="009E35ED" w:rsidRDefault="002B1485" w:rsidP="0096758A">
            <w:pPr>
              <w:ind w:left="0" w:right="-109"/>
              <w:jc w:val="right"/>
              <w:rPr>
                <w:rFonts w:ascii="Arial Narrow" w:hAnsi="Arial Narrow" w:cs="Arial"/>
                <w:color w:val="000000" w:themeColor="text1"/>
                <w:sz w:val="22"/>
                <w:szCs w:val="22"/>
                <w:lang w:val="en-PH" w:eastAsia="en-PH"/>
              </w:rPr>
            </w:pPr>
            <w:r w:rsidRPr="009E35ED">
              <w:rPr>
                <w:rFonts w:ascii="Arial Narrow" w:hAnsi="Arial Narrow" w:cs="Arial"/>
                <w:color w:val="000000" w:themeColor="text1"/>
                <w:sz w:val="22"/>
                <w:szCs w:val="22"/>
                <w:lang w:val="en-PH" w:eastAsia="en-PH"/>
              </w:rPr>
              <w:t xml:space="preserve">             15,319 </w:t>
            </w:r>
          </w:p>
        </w:tc>
      </w:tr>
      <w:tr w:rsidR="00997F75" w:rsidRPr="009E35ED" w14:paraId="0941815C" w14:textId="77777777" w:rsidTr="00A552D8">
        <w:trPr>
          <w:trHeight w:val="255"/>
        </w:trPr>
        <w:tc>
          <w:tcPr>
            <w:tcW w:w="278" w:type="dxa"/>
            <w:tcBorders>
              <w:top w:val="single" w:sz="4" w:space="0" w:color="auto"/>
              <w:bottom w:val="single" w:sz="4" w:space="0" w:color="auto"/>
            </w:tcBorders>
            <w:shd w:val="clear" w:color="auto" w:fill="auto"/>
            <w:noWrap/>
            <w:vAlign w:val="bottom"/>
            <w:hideMark/>
          </w:tcPr>
          <w:p w14:paraId="31CEBAF8" w14:textId="77777777" w:rsidR="002B1485" w:rsidRPr="009E35ED" w:rsidRDefault="002B1485" w:rsidP="00803F8C">
            <w:pPr>
              <w:ind w:left="0"/>
              <w:rPr>
                <w:rFonts w:ascii="Arial Narrow" w:hAnsi="Arial Narrow" w:cs="Arial"/>
                <w:color w:val="000000" w:themeColor="text1"/>
                <w:sz w:val="22"/>
                <w:szCs w:val="22"/>
                <w:lang w:val="en-PH" w:eastAsia="en-PH"/>
              </w:rPr>
            </w:pPr>
            <w:r w:rsidRPr="009E35ED">
              <w:rPr>
                <w:rFonts w:ascii="Arial Narrow" w:hAnsi="Arial Narrow" w:cs="Arial"/>
                <w:color w:val="000000" w:themeColor="text1"/>
                <w:sz w:val="22"/>
                <w:szCs w:val="22"/>
                <w:lang w:val="en-PH" w:eastAsia="en-PH"/>
              </w:rPr>
              <w:t> </w:t>
            </w:r>
          </w:p>
        </w:tc>
        <w:tc>
          <w:tcPr>
            <w:tcW w:w="320" w:type="dxa"/>
            <w:tcBorders>
              <w:top w:val="single" w:sz="4" w:space="0" w:color="auto"/>
              <w:bottom w:val="single" w:sz="4" w:space="0" w:color="auto"/>
            </w:tcBorders>
            <w:shd w:val="clear" w:color="auto" w:fill="auto"/>
            <w:noWrap/>
            <w:vAlign w:val="bottom"/>
            <w:hideMark/>
          </w:tcPr>
          <w:p w14:paraId="62E782C0" w14:textId="77777777" w:rsidR="002B1485" w:rsidRPr="009E35ED" w:rsidRDefault="002B1485" w:rsidP="00803F8C">
            <w:pPr>
              <w:ind w:left="0"/>
              <w:rPr>
                <w:rFonts w:ascii="Arial Narrow" w:hAnsi="Arial Narrow" w:cs="Arial"/>
                <w:color w:val="000000" w:themeColor="text1"/>
                <w:sz w:val="22"/>
                <w:szCs w:val="22"/>
                <w:lang w:val="en-PH" w:eastAsia="en-PH"/>
              </w:rPr>
            </w:pPr>
          </w:p>
        </w:tc>
        <w:tc>
          <w:tcPr>
            <w:tcW w:w="4500" w:type="dxa"/>
            <w:tcBorders>
              <w:top w:val="single" w:sz="4" w:space="0" w:color="auto"/>
              <w:bottom w:val="single" w:sz="4" w:space="0" w:color="auto"/>
            </w:tcBorders>
            <w:shd w:val="clear" w:color="auto" w:fill="auto"/>
            <w:noWrap/>
            <w:vAlign w:val="bottom"/>
            <w:hideMark/>
          </w:tcPr>
          <w:p w14:paraId="668FE49A" w14:textId="77777777" w:rsidR="002B1485" w:rsidRPr="009E35ED" w:rsidRDefault="002B1485" w:rsidP="006F3404">
            <w:pPr>
              <w:ind w:left="0"/>
              <w:jc w:val="left"/>
              <w:rPr>
                <w:rFonts w:ascii="Arial Narrow" w:hAnsi="Arial Narrow" w:cs="Arial"/>
                <w:color w:val="000000" w:themeColor="text1"/>
                <w:sz w:val="22"/>
                <w:szCs w:val="22"/>
                <w:lang w:val="en-PH" w:eastAsia="en-PH"/>
              </w:rPr>
            </w:pPr>
            <w:r w:rsidRPr="009E35ED">
              <w:rPr>
                <w:rFonts w:ascii="Arial Narrow" w:hAnsi="Arial Narrow" w:cs="Arial"/>
                <w:color w:val="000000" w:themeColor="text1"/>
                <w:sz w:val="22"/>
                <w:szCs w:val="22"/>
                <w:lang w:val="en-PH" w:eastAsia="en-PH"/>
              </w:rPr>
              <w:t>Sub-total</w:t>
            </w:r>
          </w:p>
        </w:tc>
        <w:tc>
          <w:tcPr>
            <w:tcW w:w="980" w:type="dxa"/>
            <w:tcBorders>
              <w:top w:val="single" w:sz="4" w:space="0" w:color="auto"/>
              <w:bottom w:val="single" w:sz="4" w:space="0" w:color="auto"/>
            </w:tcBorders>
            <w:shd w:val="clear" w:color="auto" w:fill="auto"/>
            <w:noWrap/>
            <w:vAlign w:val="bottom"/>
            <w:hideMark/>
          </w:tcPr>
          <w:p w14:paraId="3941D484" w14:textId="77777777" w:rsidR="002B1485" w:rsidRPr="009E35ED" w:rsidRDefault="00C6254F" w:rsidP="00803F8C">
            <w:pPr>
              <w:ind w:left="0"/>
              <w:jc w:val="center"/>
              <w:rPr>
                <w:rFonts w:ascii="Arial Narrow" w:hAnsi="Arial Narrow" w:cs="Arial"/>
                <w:color w:val="000000" w:themeColor="text1"/>
                <w:sz w:val="22"/>
                <w:szCs w:val="22"/>
                <w:lang w:val="en-PH" w:eastAsia="en-PH"/>
              </w:rPr>
            </w:pPr>
            <w:r w:rsidRPr="009E35ED">
              <w:rPr>
                <w:rFonts w:ascii="Arial Narrow" w:hAnsi="Arial Narrow" w:cs="Arial"/>
                <w:color w:val="000000" w:themeColor="text1"/>
                <w:sz w:val="22"/>
                <w:szCs w:val="22"/>
                <w:lang w:val="en-PH" w:eastAsia="en-PH"/>
              </w:rPr>
              <w:fldChar w:fldCharType="begin"/>
            </w:r>
            <w:r w:rsidR="006F3404" w:rsidRPr="009E35ED">
              <w:rPr>
                <w:rFonts w:ascii="Arial Narrow" w:hAnsi="Arial Narrow" w:cs="Arial"/>
                <w:color w:val="000000" w:themeColor="text1"/>
                <w:sz w:val="22"/>
                <w:szCs w:val="22"/>
                <w:lang w:val="en-PH" w:eastAsia="en-PH"/>
              </w:rPr>
              <w:instrText xml:space="preserve"> =SUM(ABOVE) </w:instrText>
            </w:r>
            <w:r w:rsidRPr="009E35ED">
              <w:rPr>
                <w:rFonts w:ascii="Arial Narrow" w:hAnsi="Arial Narrow" w:cs="Arial"/>
                <w:color w:val="000000" w:themeColor="text1"/>
                <w:sz w:val="22"/>
                <w:szCs w:val="22"/>
                <w:lang w:val="en-PH" w:eastAsia="en-PH"/>
              </w:rPr>
              <w:fldChar w:fldCharType="separate"/>
            </w:r>
            <w:r w:rsidR="006F3404" w:rsidRPr="009E35ED">
              <w:rPr>
                <w:rFonts w:ascii="Arial Narrow" w:hAnsi="Arial Narrow" w:cs="Arial"/>
                <w:noProof/>
                <w:color w:val="000000" w:themeColor="text1"/>
                <w:sz w:val="22"/>
                <w:szCs w:val="22"/>
                <w:lang w:val="en-PH" w:eastAsia="en-PH"/>
              </w:rPr>
              <w:t>9</w:t>
            </w:r>
            <w:r w:rsidRPr="009E35ED">
              <w:rPr>
                <w:rFonts w:ascii="Arial Narrow" w:hAnsi="Arial Narrow" w:cs="Arial"/>
                <w:color w:val="000000" w:themeColor="text1"/>
                <w:sz w:val="22"/>
                <w:szCs w:val="22"/>
                <w:lang w:val="en-PH" w:eastAsia="en-PH"/>
              </w:rPr>
              <w:fldChar w:fldCharType="end"/>
            </w:r>
          </w:p>
        </w:tc>
        <w:tc>
          <w:tcPr>
            <w:tcW w:w="2670" w:type="dxa"/>
            <w:tcBorders>
              <w:top w:val="single" w:sz="4" w:space="0" w:color="auto"/>
              <w:bottom w:val="single" w:sz="4" w:space="0" w:color="auto"/>
            </w:tcBorders>
            <w:shd w:val="clear" w:color="auto" w:fill="auto"/>
            <w:noWrap/>
            <w:vAlign w:val="bottom"/>
            <w:hideMark/>
          </w:tcPr>
          <w:p w14:paraId="2D82AD5D" w14:textId="397416DE" w:rsidR="002B1485" w:rsidRPr="009E35ED" w:rsidRDefault="00C6254F" w:rsidP="0096758A">
            <w:pPr>
              <w:ind w:left="0" w:right="-109"/>
              <w:jc w:val="right"/>
              <w:rPr>
                <w:rFonts w:ascii="Arial Narrow" w:hAnsi="Arial Narrow" w:cs="Arial"/>
                <w:color w:val="000000" w:themeColor="text1"/>
                <w:sz w:val="22"/>
                <w:szCs w:val="22"/>
                <w:lang w:val="en-PH" w:eastAsia="en-PH"/>
              </w:rPr>
            </w:pPr>
            <w:r w:rsidRPr="009E35ED">
              <w:rPr>
                <w:rFonts w:ascii="Arial Narrow" w:hAnsi="Arial Narrow" w:cs="Arial"/>
                <w:color w:val="000000" w:themeColor="text1"/>
                <w:sz w:val="22"/>
                <w:szCs w:val="22"/>
                <w:lang w:val="en-PH" w:eastAsia="en-PH"/>
              </w:rPr>
              <w:fldChar w:fldCharType="begin"/>
            </w:r>
            <w:r w:rsidR="006F3404" w:rsidRPr="009E35ED">
              <w:rPr>
                <w:rFonts w:ascii="Arial Narrow" w:hAnsi="Arial Narrow" w:cs="Arial"/>
                <w:color w:val="000000" w:themeColor="text1"/>
                <w:sz w:val="22"/>
                <w:szCs w:val="22"/>
                <w:lang w:val="en-PH" w:eastAsia="en-PH"/>
              </w:rPr>
              <w:instrText xml:space="preserve"> =SUM(ABOVE) </w:instrText>
            </w:r>
            <w:r w:rsidRPr="009E35ED">
              <w:rPr>
                <w:rFonts w:ascii="Arial Narrow" w:hAnsi="Arial Narrow" w:cs="Arial"/>
                <w:color w:val="000000" w:themeColor="text1"/>
                <w:sz w:val="22"/>
                <w:szCs w:val="22"/>
                <w:lang w:val="en-PH" w:eastAsia="en-PH"/>
              </w:rPr>
              <w:fldChar w:fldCharType="separate"/>
            </w:r>
            <w:r w:rsidR="006F3404" w:rsidRPr="009E35ED">
              <w:rPr>
                <w:rFonts w:ascii="Arial Narrow" w:hAnsi="Arial Narrow" w:cs="Arial"/>
                <w:noProof/>
                <w:color w:val="000000" w:themeColor="text1"/>
                <w:sz w:val="22"/>
                <w:szCs w:val="22"/>
                <w:lang w:val="en-PH" w:eastAsia="en-PH"/>
              </w:rPr>
              <w:t>15,558,573</w:t>
            </w:r>
            <w:r w:rsidRPr="009E35ED">
              <w:rPr>
                <w:rFonts w:ascii="Arial Narrow" w:hAnsi="Arial Narrow" w:cs="Arial"/>
                <w:color w:val="000000" w:themeColor="text1"/>
                <w:sz w:val="22"/>
                <w:szCs w:val="22"/>
                <w:lang w:val="en-PH" w:eastAsia="en-PH"/>
              </w:rPr>
              <w:fldChar w:fldCharType="end"/>
            </w:r>
          </w:p>
        </w:tc>
      </w:tr>
      <w:tr w:rsidR="00997F75" w:rsidRPr="009E35ED" w14:paraId="39F0F8AC" w14:textId="77777777" w:rsidTr="00A552D8">
        <w:trPr>
          <w:trHeight w:val="255"/>
        </w:trPr>
        <w:tc>
          <w:tcPr>
            <w:tcW w:w="278" w:type="dxa"/>
            <w:tcBorders>
              <w:top w:val="single" w:sz="4" w:space="0" w:color="auto"/>
            </w:tcBorders>
            <w:shd w:val="clear" w:color="auto" w:fill="auto"/>
            <w:noWrap/>
            <w:vAlign w:val="bottom"/>
            <w:hideMark/>
          </w:tcPr>
          <w:p w14:paraId="310C5F38" w14:textId="77777777" w:rsidR="002B1485" w:rsidRPr="009E35ED" w:rsidRDefault="002B1485" w:rsidP="00803F8C">
            <w:pPr>
              <w:ind w:left="0"/>
              <w:rPr>
                <w:rFonts w:ascii="Arial Narrow" w:hAnsi="Arial Narrow" w:cs="Arial"/>
                <w:color w:val="000000" w:themeColor="text1"/>
                <w:sz w:val="22"/>
                <w:szCs w:val="22"/>
                <w:lang w:val="en-PH" w:eastAsia="en-PH"/>
              </w:rPr>
            </w:pPr>
            <w:r w:rsidRPr="009E35ED">
              <w:rPr>
                <w:rFonts w:ascii="Arial Narrow" w:hAnsi="Arial Narrow" w:cs="Arial"/>
                <w:color w:val="000000" w:themeColor="text1"/>
                <w:sz w:val="22"/>
                <w:szCs w:val="22"/>
                <w:lang w:val="en-PH" w:eastAsia="en-PH"/>
              </w:rPr>
              <w:t> </w:t>
            </w:r>
          </w:p>
        </w:tc>
        <w:tc>
          <w:tcPr>
            <w:tcW w:w="4820" w:type="dxa"/>
            <w:gridSpan w:val="2"/>
            <w:tcBorders>
              <w:top w:val="single" w:sz="4" w:space="0" w:color="auto"/>
            </w:tcBorders>
            <w:shd w:val="clear" w:color="auto" w:fill="auto"/>
            <w:noWrap/>
            <w:vAlign w:val="bottom"/>
            <w:hideMark/>
          </w:tcPr>
          <w:p w14:paraId="42ADB50B" w14:textId="77777777" w:rsidR="002B1485" w:rsidRPr="009E35ED" w:rsidRDefault="002B1485" w:rsidP="00803F8C">
            <w:pPr>
              <w:ind w:left="0"/>
              <w:rPr>
                <w:rFonts w:ascii="Arial Narrow" w:hAnsi="Arial Narrow" w:cs="Arial"/>
                <w:color w:val="000000" w:themeColor="text1"/>
                <w:sz w:val="22"/>
                <w:szCs w:val="22"/>
                <w:lang w:val="en-PH" w:eastAsia="en-PH"/>
              </w:rPr>
            </w:pPr>
            <w:r w:rsidRPr="009E35ED">
              <w:rPr>
                <w:rFonts w:ascii="Arial Narrow" w:hAnsi="Arial Narrow" w:cs="Arial"/>
                <w:color w:val="000000" w:themeColor="text1"/>
                <w:sz w:val="22"/>
                <w:szCs w:val="22"/>
                <w:lang w:val="en-PH" w:eastAsia="en-PH"/>
              </w:rPr>
              <w:t>B. Lotto Defaulted Accounts</w:t>
            </w:r>
          </w:p>
        </w:tc>
        <w:tc>
          <w:tcPr>
            <w:tcW w:w="980" w:type="dxa"/>
            <w:tcBorders>
              <w:top w:val="single" w:sz="4" w:space="0" w:color="auto"/>
            </w:tcBorders>
            <w:shd w:val="clear" w:color="auto" w:fill="auto"/>
            <w:noWrap/>
            <w:vAlign w:val="bottom"/>
            <w:hideMark/>
          </w:tcPr>
          <w:p w14:paraId="1D074EB3" w14:textId="77777777" w:rsidR="002B1485" w:rsidRPr="009E35ED" w:rsidRDefault="002B1485" w:rsidP="00803F8C">
            <w:pPr>
              <w:ind w:left="0"/>
              <w:jc w:val="center"/>
              <w:rPr>
                <w:rFonts w:ascii="Arial Narrow" w:hAnsi="Arial Narrow" w:cs="Arial"/>
                <w:color w:val="000000" w:themeColor="text1"/>
                <w:sz w:val="22"/>
                <w:szCs w:val="22"/>
                <w:lang w:val="en-PH" w:eastAsia="en-PH"/>
              </w:rPr>
            </w:pPr>
            <w:r w:rsidRPr="009E35ED">
              <w:rPr>
                <w:rFonts w:ascii="Arial Narrow" w:hAnsi="Arial Narrow" w:cs="Arial"/>
                <w:color w:val="000000" w:themeColor="text1"/>
                <w:sz w:val="22"/>
                <w:szCs w:val="22"/>
                <w:lang w:val="en-PH" w:eastAsia="en-PH"/>
              </w:rPr>
              <w:t> </w:t>
            </w:r>
          </w:p>
        </w:tc>
        <w:tc>
          <w:tcPr>
            <w:tcW w:w="2670" w:type="dxa"/>
            <w:tcBorders>
              <w:top w:val="single" w:sz="4" w:space="0" w:color="auto"/>
            </w:tcBorders>
            <w:shd w:val="clear" w:color="auto" w:fill="auto"/>
            <w:noWrap/>
            <w:vAlign w:val="bottom"/>
            <w:hideMark/>
          </w:tcPr>
          <w:p w14:paraId="3C62EB7D" w14:textId="77777777" w:rsidR="002B1485" w:rsidRPr="009E35ED" w:rsidRDefault="002B1485" w:rsidP="00803F8C">
            <w:pPr>
              <w:ind w:left="0" w:right="-109"/>
              <w:jc w:val="right"/>
              <w:rPr>
                <w:rFonts w:ascii="Arial Narrow" w:hAnsi="Arial Narrow" w:cs="Arial"/>
                <w:color w:val="000000" w:themeColor="text1"/>
                <w:sz w:val="22"/>
                <w:szCs w:val="22"/>
                <w:lang w:val="en-PH" w:eastAsia="en-PH"/>
              </w:rPr>
            </w:pPr>
            <w:r w:rsidRPr="009E35ED">
              <w:rPr>
                <w:rFonts w:ascii="Arial Narrow" w:hAnsi="Arial Narrow" w:cs="Arial"/>
                <w:color w:val="000000" w:themeColor="text1"/>
                <w:sz w:val="22"/>
                <w:szCs w:val="22"/>
                <w:lang w:val="en-PH" w:eastAsia="en-PH"/>
              </w:rPr>
              <w:t> </w:t>
            </w:r>
          </w:p>
        </w:tc>
      </w:tr>
      <w:tr w:rsidR="00997F75" w:rsidRPr="009E35ED" w14:paraId="5DD72B9B" w14:textId="77777777" w:rsidTr="00A552D8">
        <w:trPr>
          <w:trHeight w:val="255"/>
        </w:trPr>
        <w:tc>
          <w:tcPr>
            <w:tcW w:w="278" w:type="dxa"/>
            <w:shd w:val="clear" w:color="auto" w:fill="auto"/>
            <w:noWrap/>
            <w:vAlign w:val="bottom"/>
            <w:hideMark/>
          </w:tcPr>
          <w:p w14:paraId="6C80A54A" w14:textId="77777777" w:rsidR="002B1485" w:rsidRPr="009E35ED" w:rsidRDefault="002B1485" w:rsidP="00803F8C">
            <w:pPr>
              <w:ind w:left="0"/>
              <w:rPr>
                <w:rFonts w:ascii="Arial Narrow" w:hAnsi="Arial Narrow" w:cs="Arial"/>
                <w:color w:val="000000" w:themeColor="text1"/>
                <w:sz w:val="22"/>
                <w:szCs w:val="22"/>
                <w:lang w:val="en-PH" w:eastAsia="en-PH"/>
              </w:rPr>
            </w:pPr>
            <w:r w:rsidRPr="009E35ED">
              <w:rPr>
                <w:rFonts w:ascii="Arial Narrow" w:hAnsi="Arial Narrow" w:cs="Arial"/>
                <w:color w:val="000000" w:themeColor="text1"/>
                <w:sz w:val="22"/>
                <w:szCs w:val="22"/>
                <w:lang w:val="en-PH" w:eastAsia="en-PH"/>
              </w:rPr>
              <w:t> </w:t>
            </w:r>
          </w:p>
        </w:tc>
        <w:tc>
          <w:tcPr>
            <w:tcW w:w="320" w:type="dxa"/>
            <w:shd w:val="clear" w:color="auto" w:fill="auto"/>
            <w:noWrap/>
            <w:vAlign w:val="bottom"/>
            <w:hideMark/>
          </w:tcPr>
          <w:p w14:paraId="1E51FAAD" w14:textId="77777777" w:rsidR="002B1485" w:rsidRPr="009E35ED" w:rsidRDefault="002B1485" w:rsidP="00803F8C">
            <w:pPr>
              <w:ind w:left="0"/>
              <w:rPr>
                <w:rFonts w:ascii="Arial Narrow" w:hAnsi="Arial Narrow" w:cs="Arial"/>
                <w:color w:val="000000" w:themeColor="text1"/>
                <w:sz w:val="22"/>
                <w:szCs w:val="22"/>
                <w:lang w:val="en-PH" w:eastAsia="en-PH"/>
              </w:rPr>
            </w:pPr>
          </w:p>
        </w:tc>
        <w:tc>
          <w:tcPr>
            <w:tcW w:w="4500" w:type="dxa"/>
            <w:shd w:val="clear" w:color="auto" w:fill="auto"/>
            <w:noWrap/>
            <w:vAlign w:val="bottom"/>
            <w:hideMark/>
          </w:tcPr>
          <w:p w14:paraId="4A0A7CD0" w14:textId="77777777" w:rsidR="002B1485" w:rsidRPr="009E35ED" w:rsidRDefault="002B1485" w:rsidP="00803F8C">
            <w:pPr>
              <w:ind w:left="0"/>
              <w:rPr>
                <w:rFonts w:ascii="Arial Narrow" w:hAnsi="Arial Narrow" w:cs="Arial"/>
                <w:color w:val="000000" w:themeColor="text1"/>
                <w:sz w:val="22"/>
                <w:szCs w:val="22"/>
                <w:lang w:val="en-PH" w:eastAsia="en-PH"/>
              </w:rPr>
            </w:pPr>
            <w:r w:rsidRPr="009E35ED">
              <w:rPr>
                <w:rFonts w:ascii="Arial Narrow" w:hAnsi="Arial Narrow" w:cs="Arial"/>
                <w:color w:val="000000" w:themeColor="text1"/>
                <w:sz w:val="22"/>
                <w:szCs w:val="22"/>
                <w:lang w:val="en-PH" w:eastAsia="en-PH"/>
              </w:rPr>
              <w:t>National Capital Region (NCR) Department</w:t>
            </w:r>
          </w:p>
        </w:tc>
        <w:tc>
          <w:tcPr>
            <w:tcW w:w="980" w:type="dxa"/>
            <w:shd w:val="clear" w:color="auto" w:fill="auto"/>
            <w:noWrap/>
            <w:vAlign w:val="bottom"/>
            <w:hideMark/>
          </w:tcPr>
          <w:p w14:paraId="0F6319B9" w14:textId="228EB9FC" w:rsidR="002B1485" w:rsidRPr="009E35ED" w:rsidRDefault="008C6A0C" w:rsidP="00803F8C">
            <w:pPr>
              <w:ind w:left="0"/>
              <w:jc w:val="center"/>
              <w:rPr>
                <w:rFonts w:ascii="Arial Narrow" w:hAnsi="Arial Narrow" w:cs="Arial"/>
                <w:color w:val="000000" w:themeColor="text1"/>
                <w:sz w:val="22"/>
                <w:szCs w:val="22"/>
                <w:lang w:val="en-PH" w:eastAsia="en-PH"/>
              </w:rPr>
            </w:pPr>
            <w:r w:rsidRPr="009E35ED">
              <w:rPr>
                <w:rFonts w:ascii="Arial Narrow" w:hAnsi="Arial Narrow" w:cs="Arial"/>
                <w:color w:val="000000" w:themeColor="text1"/>
                <w:sz w:val="22"/>
                <w:szCs w:val="22"/>
                <w:lang w:val="en-PH" w:eastAsia="en-PH"/>
              </w:rPr>
              <w:t>18</w:t>
            </w:r>
          </w:p>
        </w:tc>
        <w:tc>
          <w:tcPr>
            <w:tcW w:w="2670" w:type="dxa"/>
            <w:shd w:val="clear" w:color="auto" w:fill="auto"/>
            <w:noWrap/>
            <w:vAlign w:val="bottom"/>
            <w:hideMark/>
          </w:tcPr>
          <w:p w14:paraId="67DE7FBC" w14:textId="09A9FDA5" w:rsidR="002B1485" w:rsidRPr="009E35ED" w:rsidRDefault="008C6A0C" w:rsidP="0096758A">
            <w:pPr>
              <w:ind w:left="0" w:right="-109"/>
              <w:jc w:val="right"/>
              <w:rPr>
                <w:rFonts w:ascii="Arial Narrow" w:hAnsi="Arial Narrow" w:cs="Arial"/>
                <w:color w:val="000000" w:themeColor="text1"/>
                <w:sz w:val="22"/>
                <w:szCs w:val="22"/>
                <w:lang w:val="en-PH" w:eastAsia="en-PH"/>
              </w:rPr>
            </w:pPr>
            <w:r w:rsidRPr="009E35ED">
              <w:rPr>
                <w:rFonts w:ascii="Arial Narrow" w:hAnsi="Arial Narrow" w:cs="Arial"/>
                <w:color w:val="000000" w:themeColor="text1"/>
                <w:sz w:val="22"/>
                <w:szCs w:val="22"/>
                <w:lang w:val="en-PH" w:eastAsia="en-PH"/>
              </w:rPr>
              <w:t>68</w:t>
            </w:r>
            <w:r w:rsidR="006F3404" w:rsidRPr="009E35ED">
              <w:rPr>
                <w:rFonts w:ascii="Arial Narrow" w:hAnsi="Arial Narrow" w:cs="Arial"/>
                <w:color w:val="000000" w:themeColor="text1"/>
                <w:sz w:val="22"/>
                <w:szCs w:val="22"/>
                <w:lang w:val="en-PH" w:eastAsia="en-PH"/>
              </w:rPr>
              <w:t>,</w:t>
            </w:r>
            <w:r w:rsidRPr="009E35ED">
              <w:rPr>
                <w:rFonts w:ascii="Arial Narrow" w:hAnsi="Arial Narrow" w:cs="Arial"/>
                <w:color w:val="000000" w:themeColor="text1"/>
                <w:sz w:val="22"/>
                <w:szCs w:val="22"/>
                <w:lang w:val="en-PH" w:eastAsia="en-PH"/>
              </w:rPr>
              <w:t>257</w:t>
            </w:r>
            <w:r w:rsidR="006F3404" w:rsidRPr="009E35ED">
              <w:rPr>
                <w:rFonts w:ascii="Arial Narrow" w:hAnsi="Arial Narrow" w:cs="Arial"/>
                <w:color w:val="000000" w:themeColor="text1"/>
                <w:sz w:val="22"/>
                <w:szCs w:val="22"/>
                <w:lang w:val="en-PH" w:eastAsia="en-PH"/>
              </w:rPr>
              <w:t>,</w:t>
            </w:r>
            <w:r w:rsidRPr="009E35ED">
              <w:rPr>
                <w:rFonts w:ascii="Arial Narrow" w:hAnsi="Arial Narrow" w:cs="Arial"/>
                <w:color w:val="000000" w:themeColor="text1"/>
                <w:sz w:val="22"/>
                <w:szCs w:val="22"/>
                <w:lang w:val="en-PH" w:eastAsia="en-PH"/>
              </w:rPr>
              <w:t>883</w:t>
            </w:r>
            <w:r w:rsidR="002B1485" w:rsidRPr="009E35ED">
              <w:rPr>
                <w:rFonts w:ascii="Arial Narrow" w:hAnsi="Arial Narrow" w:cs="Arial"/>
                <w:color w:val="000000" w:themeColor="text1"/>
                <w:sz w:val="22"/>
                <w:szCs w:val="22"/>
                <w:lang w:val="en-PH" w:eastAsia="en-PH"/>
              </w:rPr>
              <w:t xml:space="preserve"> </w:t>
            </w:r>
          </w:p>
        </w:tc>
      </w:tr>
      <w:tr w:rsidR="00997F75" w:rsidRPr="009E35ED" w14:paraId="3664ABA7" w14:textId="77777777" w:rsidTr="00A552D8">
        <w:trPr>
          <w:trHeight w:val="255"/>
        </w:trPr>
        <w:tc>
          <w:tcPr>
            <w:tcW w:w="278" w:type="dxa"/>
            <w:shd w:val="clear" w:color="auto" w:fill="auto"/>
            <w:noWrap/>
            <w:vAlign w:val="bottom"/>
            <w:hideMark/>
          </w:tcPr>
          <w:p w14:paraId="22B0D11F" w14:textId="77777777" w:rsidR="002B1485" w:rsidRPr="009E35ED" w:rsidRDefault="002B1485" w:rsidP="00803F8C">
            <w:pPr>
              <w:ind w:left="0"/>
              <w:rPr>
                <w:rFonts w:ascii="Arial Narrow" w:hAnsi="Arial Narrow" w:cs="Arial"/>
                <w:color w:val="000000" w:themeColor="text1"/>
                <w:sz w:val="22"/>
                <w:szCs w:val="22"/>
                <w:lang w:val="en-PH" w:eastAsia="en-PH"/>
              </w:rPr>
            </w:pPr>
            <w:r w:rsidRPr="009E35ED">
              <w:rPr>
                <w:rFonts w:ascii="Arial Narrow" w:hAnsi="Arial Narrow" w:cs="Arial"/>
                <w:color w:val="000000" w:themeColor="text1"/>
                <w:sz w:val="22"/>
                <w:szCs w:val="22"/>
                <w:lang w:val="en-PH" w:eastAsia="en-PH"/>
              </w:rPr>
              <w:t> </w:t>
            </w:r>
          </w:p>
        </w:tc>
        <w:tc>
          <w:tcPr>
            <w:tcW w:w="320" w:type="dxa"/>
            <w:shd w:val="clear" w:color="auto" w:fill="auto"/>
            <w:noWrap/>
            <w:vAlign w:val="bottom"/>
            <w:hideMark/>
          </w:tcPr>
          <w:p w14:paraId="745356BE" w14:textId="77777777" w:rsidR="002B1485" w:rsidRPr="009E35ED" w:rsidRDefault="002B1485" w:rsidP="00803F8C">
            <w:pPr>
              <w:ind w:left="0"/>
              <w:rPr>
                <w:rFonts w:ascii="Arial Narrow" w:hAnsi="Arial Narrow" w:cs="Arial"/>
                <w:color w:val="000000" w:themeColor="text1"/>
                <w:sz w:val="22"/>
                <w:szCs w:val="22"/>
                <w:lang w:val="en-PH" w:eastAsia="en-PH"/>
              </w:rPr>
            </w:pPr>
          </w:p>
        </w:tc>
        <w:tc>
          <w:tcPr>
            <w:tcW w:w="4500" w:type="dxa"/>
            <w:shd w:val="clear" w:color="auto" w:fill="auto"/>
            <w:noWrap/>
            <w:vAlign w:val="bottom"/>
            <w:hideMark/>
          </w:tcPr>
          <w:p w14:paraId="3C33B7FA" w14:textId="77777777" w:rsidR="002B1485" w:rsidRPr="009E35ED" w:rsidRDefault="002B1485" w:rsidP="00803F8C">
            <w:pPr>
              <w:ind w:left="0"/>
              <w:rPr>
                <w:rFonts w:ascii="Arial Narrow" w:hAnsi="Arial Narrow" w:cs="Arial"/>
                <w:color w:val="000000" w:themeColor="text1"/>
                <w:sz w:val="22"/>
                <w:szCs w:val="22"/>
                <w:lang w:val="en-PH" w:eastAsia="en-PH"/>
              </w:rPr>
            </w:pPr>
            <w:r w:rsidRPr="009E35ED">
              <w:rPr>
                <w:rFonts w:ascii="Arial Narrow" w:hAnsi="Arial Narrow" w:cs="Arial"/>
                <w:color w:val="000000" w:themeColor="text1"/>
                <w:sz w:val="22"/>
                <w:szCs w:val="22"/>
                <w:lang w:val="en-PH" w:eastAsia="en-PH"/>
              </w:rPr>
              <w:t>Northern and Central Luzon (NCL) Department</w:t>
            </w:r>
          </w:p>
        </w:tc>
        <w:tc>
          <w:tcPr>
            <w:tcW w:w="980" w:type="dxa"/>
            <w:shd w:val="clear" w:color="auto" w:fill="auto"/>
            <w:noWrap/>
            <w:vAlign w:val="bottom"/>
            <w:hideMark/>
          </w:tcPr>
          <w:p w14:paraId="2725BC87" w14:textId="77777777" w:rsidR="002B1485" w:rsidRPr="009E35ED" w:rsidRDefault="002B1485" w:rsidP="00803F8C">
            <w:pPr>
              <w:ind w:left="0"/>
              <w:jc w:val="center"/>
              <w:rPr>
                <w:rFonts w:ascii="Arial Narrow" w:hAnsi="Arial Narrow" w:cs="Arial"/>
                <w:color w:val="000000" w:themeColor="text1"/>
                <w:sz w:val="22"/>
                <w:szCs w:val="22"/>
                <w:lang w:val="en-PH" w:eastAsia="en-PH"/>
              </w:rPr>
            </w:pPr>
            <w:r w:rsidRPr="009E35ED">
              <w:rPr>
                <w:rFonts w:ascii="Arial Narrow" w:hAnsi="Arial Narrow" w:cs="Arial"/>
                <w:color w:val="000000" w:themeColor="text1"/>
                <w:sz w:val="22"/>
                <w:szCs w:val="22"/>
                <w:lang w:val="en-PH" w:eastAsia="en-PH"/>
              </w:rPr>
              <w:t>2</w:t>
            </w:r>
          </w:p>
        </w:tc>
        <w:tc>
          <w:tcPr>
            <w:tcW w:w="2670" w:type="dxa"/>
            <w:shd w:val="clear" w:color="auto" w:fill="auto"/>
            <w:noWrap/>
            <w:vAlign w:val="bottom"/>
            <w:hideMark/>
          </w:tcPr>
          <w:p w14:paraId="6DBE3E30" w14:textId="2EF35A43" w:rsidR="002B1485" w:rsidRPr="009E35ED" w:rsidRDefault="002B1485" w:rsidP="0096758A">
            <w:pPr>
              <w:ind w:left="0" w:right="-109"/>
              <w:jc w:val="right"/>
              <w:rPr>
                <w:rFonts w:ascii="Arial Narrow" w:hAnsi="Arial Narrow" w:cs="Arial"/>
                <w:color w:val="000000" w:themeColor="text1"/>
                <w:sz w:val="22"/>
                <w:szCs w:val="22"/>
                <w:lang w:val="en-PH" w:eastAsia="en-PH"/>
              </w:rPr>
            </w:pPr>
            <w:r w:rsidRPr="009E35ED">
              <w:rPr>
                <w:rFonts w:ascii="Arial Narrow" w:hAnsi="Arial Narrow" w:cs="Arial"/>
                <w:color w:val="000000" w:themeColor="text1"/>
                <w:sz w:val="22"/>
                <w:szCs w:val="22"/>
                <w:lang w:val="en-PH" w:eastAsia="en-PH"/>
              </w:rPr>
              <w:t xml:space="preserve">        5,349,52</w:t>
            </w:r>
            <w:r w:rsidR="0096758A" w:rsidRPr="009E35ED">
              <w:rPr>
                <w:rFonts w:ascii="Arial Narrow" w:hAnsi="Arial Narrow" w:cs="Arial"/>
                <w:color w:val="000000" w:themeColor="text1"/>
                <w:sz w:val="22"/>
                <w:szCs w:val="22"/>
                <w:lang w:val="en-PH" w:eastAsia="en-PH"/>
              </w:rPr>
              <w:t>5</w:t>
            </w:r>
            <w:r w:rsidRPr="009E35ED">
              <w:rPr>
                <w:rFonts w:ascii="Arial Narrow" w:hAnsi="Arial Narrow" w:cs="Arial"/>
                <w:color w:val="000000" w:themeColor="text1"/>
                <w:sz w:val="22"/>
                <w:szCs w:val="22"/>
                <w:lang w:val="en-PH" w:eastAsia="en-PH"/>
              </w:rPr>
              <w:t xml:space="preserve"> </w:t>
            </w:r>
          </w:p>
        </w:tc>
      </w:tr>
      <w:tr w:rsidR="00997F75" w:rsidRPr="009E35ED" w14:paraId="44806FD2" w14:textId="77777777" w:rsidTr="00A552D8">
        <w:trPr>
          <w:trHeight w:val="255"/>
        </w:trPr>
        <w:tc>
          <w:tcPr>
            <w:tcW w:w="278" w:type="dxa"/>
            <w:tcBorders>
              <w:bottom w:val="single" w:sz="4" w:space="0" w:color="auto"/>
            </w:tcBorders>
            <w:shd w:val="clear" w:color="auto" w:fill="auto"/>
            <w:noWrap/>
            <w:vAlign w:val="bottom"/>
            <w:hideMark/>
          </w:tcPr>
          <w:p w14:paraId="4F19F504" w14:textId="77777777" w:rsidR="002B1485" w:rsidRPr="009E35ED" w:rsidRDefault="002B1485" w:rsidP="00803F8C">
            <w:pPr>
              <w:ind w:left="0"/>
              <w:rPr>
                <w:rFonts w:ascii="Arial Narrow" w:hAnsi="Arial Narrow" w:cs="Arial"/>
                <w:color w:val="000000" w:themeColor="text1"/>
                <w:sz w:val="22"/>
                <w:szCs w:val="22"/>
                <w:lang w:val="en-PH" w:eastAsia="en-PH"/>
              </w:rPr>
            </w:pPr>
            <w:r w:rsidRPr="009E35ED">
              <w:rPr>
                <w:rFonts w:ascii="Arial Narrow" w:hAnsi="Arial Narrow" w:cs="Arial"/>
                <w:color w:val="000000" w:themeColor="text1"/>
                <w:sz w:val="22"/>
                <w:szCs w:val="22"/>
                <w:lang w:val="en-PH" w:eastAsia="en-PH"/>
              </w:rPr>
              <w:t> </w:t>
            </w:r>
          </w:p>
        </w:tc>
        <w:tc>
          <w:tcPr>
            <w:tcW w:w="320" w:type="dxa"/>
            <w:tcBorders>
              <w:bottom w:val="single" w:sz="4" w:space="0" w:color="auto"/>
            </w:tcBorders>
            <w:shd w:val="clear" w:color="auto" w:fill="auto"/>
            <w:noWrap/>
            <w:vAlign w:val="bottom"/>
            <w:hideMark/>
          </w:tcPr>
          <w:p w14:paraId="31D98201" w14:textId="77777777" w:rsidR="002B1485" w:rsidRPr="009E35ED" w:rsidRDefault="002B1485" w:rsidP="00803F8C">
            <w:pPr>
              <w:ind w:left="0"/>
              <w:rPr>
                <w:rFonts w:ascii="Arial Narrow" w:hAnsi="Arial Narrow" w:cs="Arial"/>
                <w:color w:val="000000" w:themeColor="text1"/>
                <w:sz w:val="22"/>
                <w:szCs w:val="22"/>
                <w:lang w:val="en-PH" w:eastAsia="en-PH"/>
              </w:rPr>
            </w:pPr>
          </w:p>
        </w:tc>
        <w:tc>
          <w:tcPr>
            <w:tcW w:w="4500" w:type="dxa"/>
            <w:tcBorders>
              <w:bottom w:val="single" w:sz="4" w:space="0" w:color="auto"/>
            </w:tcBorders>
            <w:shd w:val="clear" w:color="auto" w:fill="auto"/>
            <w:noWrap/>
            <w:vAlign w:val="bottom"/>
            <w:hideMark/>
          </w:tcPr>
          <w:p w14:paraId="005D3B41" w14:textId="77777777" w:rsidR="002B1485" w:rsidRPr="009E35ED" w:rsidRDefault="002B1485" w:rsidP="00803F8C">
            <w:pPr>
              <w:ind w:left="0"/>
              <w:rPr>
                <w:rFonts w:ascii="Arial Narrow" w:hAnsi="Arial Narrow" w:cs="Arial"/>
                <w:color w:val="000000" w:themeColor="text1"/>
                <w:sz w:val="22"/>
                <w:szCs w:val="22"/>
                <w:lang w:val="en-PH" w:eastAsia="en-PH"/>
              </w:rPr>
            </w:pPr>
            <w:r w:rsidRPr="009E35ED">
              <w:rPr>
                <w:rFonts w:ascii="Arial Narrow" w:hAnsi="Arial Narrow" w:cs="Arial"/>
                <w:color w:val="000000" w:themeColor="text1"/>
                <w:sz w:val="22"/>
                <w:szCs w:val="22"/>
                <w:lang w:val="en-PH" w:eastAsia="en-PH"/>
              </w:rPr>
              <w:t>Visayas and Mindanao Department</w:t>
            </w:r>
          </w:p>
        </w:tc>
        <w:tc>
          <w:tcPr>
            <w:tcW w:w="980" w:type="dxa"/>
            <w:tcBorders>
              <w:bottom w:val="single" w:sz="4" w:space="0" w:color="auto"/>
            </w:tcBorders>
            <w:shd w:val="clear" w:color="auto" w:fill="auto"/>
            <w:noWrap/>
            <w:vAlign w:val="bottom"/>
            <w:hideMark/>
          </w:tcPr>
          <w:p w14:paraId="13B6ECC1" w14:textId="3484469C" w:rsidR="002B1485" w:rsidRPr="009E35ED" w:rsidRDefault="008C6A0C" w:rsidP="00803F8C">
            <w:pPr>
              <w:ind w:left="0"/>
              <w:jc w:val="center"/>
              <w:rPr>
                <w:rFonts w:ascii="Arial Narrow" w:hAnsi="Arial Narrow" w:cs="Arial"/>
                <w:color w:val="000000" w:themeColor="text1"/>
                <w:sz w:val="22"/>
                <w:szCs w:val="22"/>
                <w:lang w:val="en-PH" w:eastAsia="en-PH"/>
              </w:rPr>
            </w:pPr>
            <w:r w:rsidRPr="009E35ED">
              <w:rPr>
                <w:rFonts w:ascii="Arial Narrow" w:hAnsi="Arial Narrow" w:cs="Arial"/>
                <w:color w:val="000000" w:themeColor="text1"/>
                <w:sz w:val="22"/>
                <w:szCs w:val="22"/>
                <w:lang w:val="en-PH" w:eastAsia="en-PH"/>
              </w:rPr>
              <w:t>8</w:t>
            </w:r>
          </w:p>
        </w:tc>
        <w:tc>
          <w:tcPr>
            <w:tcW w:w="2670" w:type="dxa"/>
            <w:tcBorders>
              <w:bottom w:val="single" w:sz="4" w:space="0" w:color="auto"/>
            </w:tcBorders>
            <w:shd w:val="clear" w:color="auto" w:fill="auto"/>
            <w:noWrap/>
            <w:vAlign w:val="bottom"/>
            <w:hideMark/>
          </w:tcPr>
          <w:p w14:paraId="6BA56E2C" w14:textId="54FFFB4C" w:rsidR="002B1485" w:rsidRPr="009E35ED" w:rsidRDefault="008C6A0C" w:rsidP="0096758A">
            <w:pPr>
              <w:ind w:left="0" w:right="-109"/>
              <w:jc w:val="right"/>
              <w:rPr>
                <w:rFonts w:ascii="Arial Narrow" w:hAnsi="Arial Narrow" w:cs="Arial"/>
                <w:color w:val="000000" w:themeColor="text1"/>
                <w:sz w:val="22"/>
                <w:szCs w:val="22"/>
                <w:lang w:val="en-PH" w:eastAsia="en-PH"/>
              </w:rPr>
            </w:pPr>
            <w:r w:rsidRPr="009E35ED">
              <w:rPr>
                <w:rFonts w:ascii="Arial Narrow" w:hAnsi="Arial Narrow" w:cs="Arial"/>
                <w:color w:val="000000" w:themeColor="text1"/>
                <w:sz w:val="22"/>
                <w:szCs w:val="22"/>
                <w:lang w:val="en-PH" w:eastAsia="en-PH"/>
              </w:rPr>
              <w:t xml:space="preserve">      11</w:t>
            </w:r>
            <w:r w:rsidR="002B1485" w:rsidRPr="009E35ED">
              <w:rPr>
                <w:rFonts w:ascii="Arial Narrow" w:hAnsi="Arial Narrow" w:cs="Arial"/>
                <w:color w:val="000000" w:themeColor="text1"/>
                <w:sz w:val="22"/>
                <w:szCs w:val="22"/>
                <w:lang w:val="en-PH" w:eastAsia="en-PH"/>
              </w:rPr>
              <w:t>,</w:t>
            </w:r>
            <w:r w:rsidRPr="009E35ED">
              <w:rPr>
                <w:rFonts w:ascii="Arial Narrow" w:hAnsi="Arial Narrow" w:cs="Arial"/>
                <w:color w:val="000000" w:themeColor="text1"/>
                <w:sz w:val="22"/>
                <w:szCs w:val="22"/>
                <w:lang w:val="en-PH" w:eastAsia="en-PH"/>
              </w:rPr>
              <w:t>255</w:t>
            </w:r>
            <w:r w:rsidR="002B1485" w:rsidRPr="009E35ED">
              <w:rPr>
                <w:rFonts w:ascii="Arial Narrow" w:hAnsi="Arial Narrow" w:cs="Arial"/>
                <w:color w:val="000000" w:themeColor="text1"/>
                <w:sz w:val="22"/>
                <w:szCs w:val="22"/>
                <w:lang w:val="en-PH" w:eastAsia="en-PH"/>
              </w:rPr>
              <w:t>,</w:t>
            </w:r>
            <w:r w:rsidRPr="009E35ED">
              <w:rPr>
                <w:rFonts w:ascii="Arial Narrow" w:hAnsi="Arial Narrow" w:cs="Arial"/>
                <w:color w:val="000000" w:themeColor="text1"/>
                <w:sz w:val="22"/>
                <w:szCs w:val="22"/>
                <w:lang w:val="en-PH" w:eastAsia="en-PH"/>
              </w:rPr>
              <w:t>14</w:t>
            </w:r>
            <w:r w:rsidR="0096758A" w:rsidRPr="009E35ED">
              <w:rPr>
                <w:rFonts w:ascii="Arial Narrow" w:hAnsi="Arial Narrow" w:cs="Arial"/>
                <w:color w:val="000000" w:themeColor="text1"/>
                <w:sz w:val="22"/>
                <w:szCs w:val="22"/>
                <w:lang w:val="en-PH" w:eastAsia="en-PH"/>
              </w:rPr>
              <w:t>8</w:t>
            </w:r>
            <w:r w:rsidR="002B1485" w:rsidRPr="009E35ED">
              <w:rPr>
                <w:rFonts w:ascii="Arial Narrow" w:hAnsi="Arial Narrow" w:cs="Arial"/>
                <w:color w:val="000000" w:themeColor="text1"/>
                <w:sz w:val="22"/>
                <w:szCs w:val="22"/>
                <w:lang w:val="en-PH" w:eastAsia="en-PH"/>
              </w:rPr>
              <w:t xml:space="preserve"> </w:t>
            </w:r>
          </w:p>
        </w:tc>
      </w:tr>
      <w:tr w:rsidR="00997F75" w:rsidRPr="009E35ED" w14:paraId="2104F9DE" w14:textId="77777777" w:rsidTr="00A552D8">
        <w:trPr>
          <w:trHeight w:val="255"/>
        </w:trPr>
        <w:tc>
          <w:tcPr>
            <w:tcW w:w="278" w:type="dxa"/>
            <w:tcBorders>
              <w:top w:val="single" w:sz="4" w:space="0" w:color="auto"/>
              <w:bottom w:val="single" w:sz="4" w:space="0" w:color="auto"/>
            </w:tcBorders>
            <w:shd w:val="clear" w:color="auto" w:fill="auto"/>
            <w:noWrap/>
            <w:vAlign w:val="bottom"/>
            <w:hideMark/>
          </w:tcPr>
          <w:p w14:paraId="0E4EB59E" w14:textId="77777777" w:rsidR="002B1485" w:rsidRPr="009E35ED" w:rsidRDefault="002B1485" w:rsidP="00803F8C">
            <w:pPr>
              <w:ind w:left="0"/>
              <w:rPr>
                <w:rFonts w:ascii="Arial Narrow" w:hAnsi="Arial Narrow" w:cs="Arial"/>
                <w:color w:val="000000" w:themeColor="text1"/>
                <w:sz w:val="22"/>
                <w:szCs w:val="22"/>
                <w:lang w:val="en-PH" w:eastAsia="en-PH"/>
              </w:rPr>
            </w:pPr>
            <w:r w:rsidRPr="009E35ED">
              <w:rPr>
                <w:rFonts w:ascii="Arial Narrow" w:hAnsi="Arial Narrow" w:cs="Arial"/>
                <w:color w:val="000000" w:themeColor="text1"/>
                <w:sz w:val="22"/>
                <w:szCs w:val="22"/>
                <w:lang w:val="en-PH" w:eastAsia="en-PH"/>
              </w:rPr>
              <w:t> </w:t>
            </w:r>
          </w:p>
        </w:tc>
        <w:tc>
          <w:tcPr>
            <w:tcW w:w="320" w:type="dxa"/>
            <w:tcBorders>
              <w:top w:val="single" w:sz="4" w:space="0" w:color="auto"/>
              <w:bottom w:val="single" w:sz="4" w:space="0" w:color="auto"/>
            </w:tcBorders>
            <w:shd w:val="clear" w:color="auto" w:fill="auto"/>
            <w:noWrap/>
            <w:vAlign w:val="bottom"/>
            <w:hideMark/>
          </w:tcPr>
          <w:p w14:paraId="7C9A1834" w14:textId="77777777" w:rsidR="002B1485" w:rsidRPr="009E35ED" w:rsidRDefault="002B1485" w:rsidP="00803F8C">
            <w:pPr>
              <w:ind w:left="0"/>
              <w:rPr>
                <w:rFonts w:ascii="Arial Narrow" w:hAnsi="Arial Narrow" w:cs="Arial"/>
                <w:color w:val="000000" w:themeColor="text1"/>
                <w:sz w:val="22"/>
                <w:szCs w:val="22"/>
                <w:lang w:val="en-PH" w:eastAsia="en-PH"/>
              </w:rPr>
            </w:pPr>
          </w:p>
        </w:tc>
        <w:tc>
          <w:tcPr>
            <w:tcW w:w="4500" w:type="dxa"/>
            <w:tcBorders>
              <w:top w:val="single" w:sz="4" w:space="0" w:color="auto"/>
              <w:bottom w:val="single" w:sz="4" w:space="0" w:color="auto"/>
            </w:tcBorders>
            <w:shd w:val="clear" w:color="auto" w:fill="auto"/>
            <w:noWrap/>
            <w:vAlign w:val="bottom"/>
            <w:hideMark/>
          </w:tcPr>
          <w:p w14:paraId="3E9F90BB" w14:textId="77777777" w:rsidR="002B1485" w:rsidRPr="009E35ED" w:rsidRDefault="002B1485" w:rsidP="006F3404">
            <w:pPr>
              <w:ind w:left="0"/>
              <w:jc w:val="left"/>
              <w:rPr>
                <w:rFonts w:ascii="Arial Narrow" w:hAnsi="Arial Narrow" w:cs="Arial"/>
                <w:color w:val="000000" w:themeColor="text1"/>
                <w:sz w:val="22"/>
                <w:szCs w:val="22"/>
                <w:lang w:val="en-PH" w:eastAsia="en-PH"/>
              </w:rPr>
            </w:pPr>
            <w:r w:rsidRPr="009E35ED">
              <w:rPr>
                <w:rFonts w:ascii="Arial Narrow" w:hAnsi="Arial Narrow" w:cs="Arial"/>
                <w:color w:val="000000" w:themeColor="text1"/>
                <w:sz w:val="22"/>
                <w:szCs w:val="22"/>
                <w:lang w:val="en-PH" w:eastAsia="en-PH"/>
              </w:rPr>
              <w:t>Sub-total</w:t>
            </w:r>
          </w:p>
        </w:tc>
        <w:tc>
          <w:tcPr>
            <w:tcW w:w="980" w:type="dxa"/>
            <w:tcBorders>
              <w:top w:val="single" w:sz="4" w:space="0" w:color="auto"/>
              <w:bottom w:val="single" w:sz="4" w:space="0" w:color="auto"/>
            </w:tcBorders>
            <w:shd w:val="clear" w:color="auto" w:fill="auto"/>
            <w:noWrap/>
            <w:vAlign w:val="bottom"/>
            <w:hideMark/>
          </w:tcPr>
          <w:p w14:paraId="0A8029EF" w14:textId="6BD055A7" w:rsidR="002B1485" w:rsidRPr="009E35ED" w:rsidRDefault="00BD089E" w:rsidP="00803F8C">
            <w:pPr>
              <w:ind w:left="0"/>
              <w:jc w:val="center"/>
              <w:rPr>
                <w:rFonts w:ascii="Arial Narrow" w:hAnsi="Arial Narrow" w:cs="Arial"/>
                <w:color w:val="000000" w:themeColor="text1"/>
                <w:sz w:val="22"/>
                <w:szCs w:val="22"/>
                <w:lang w:val="en-PH" w:eastAsia="en-PH"/>
              </w:rPr>
            </w:pPr>
            <w:r w:rsidRPr="009E35ED">
              <w:rPr>
                <w:rFonts w:ascii="Arial Narrow" w:hAnsi="Arial Narrow" w:cs="Arial"/>
                <w:color w:val="000000" w:themeColor="text1"/>
                <w:sz w:val="22"/>
                <w:szCs w:val="22"/>
                <w:lang w:val="en-PH" w:eastAsia="en-PH"/>
              </w:rPr>
              <w:t>8</w:t>
            </w:r>
          </w:p>
        </w:tc>
        <w:tc>
          <w:tcPr>
            <w:tcW w:w="2670" w:type="dxa"/>
            <w:tcBorders>
              <w:top w:val="single" w:sz="4" w:space="0" w:color="auto"/>
              <w:bottom w:val="single" w:sz="4" w:space="0" w:color="auto"/>
            </w:tcBorders>
            <w:shd w:val="clear" w:color="auto" w:fill="auto"/>
            <w:noWrap/>
            <w:vAlign w:val="bottom"/>
            <w:hideMark/>
          </w:tcPr>
          <w:p w14:paraId="71D55AB0" w14:textId="049FC3FB" w:rsidR="002B1485" w:rsidRPr="009E35ED" w:rsidRDefault="00C6254F" w:rsidP="0096758A">
            <w:pPr>
              <w:ind w:left="0" w:right="-109"/>
              <w:jc w:val="right"/>
              <w:rPr>
                <w:rFonts w:ascii="Arial Narrow" w:hAnsi="Arial Narrow" w:cs="Arial"/>
                <w:color w:val="000000" w:themeColor="text1"/>
                <w:sz w:val="22"/>
                <w:szCs w:val="22"/>
                <w:lang w:val="en-PH" w:eastAsia="en-PH"/>
              </w:rPr>
            </w:pPr>
            <w:r w:rsidRPr="009E35ED">
              <w:rPr>
                <w:rFonts w:ascii="Arial Narrow" w:hAnsi="Arial Narrow" w:cs="Arial"/>
                <w:color w:val="000000" w:themeColor="text1"/>
                <w:sz w:val="22"/>
                <w:szCs w:val="22"/>
                <w:lang w:val="en-PH" w:eastAsia="en-PH"/>
              </w:rPr>
              <w:fldChar w:fldCharType="begin"/>
            </w:r>
            <w:r w:rsidR="006F3404" w:rsidRPr="009E35ED">
              <w:rPr>
                <w:rFonts w:ascii="Arial Narrow" w:hAnsi="Arial Narrow" w:cs="Arial"/>
                <w:color w:val="000000" w:themeColor="text1"/>
                <w:sz w:val="22"/>
                <w:szCs w:val="22"/>
                <w:lang w:val="en-PH" w:eastAsia="en-PH"/>
              </w:rPr>
              <w:instrText xml:space="preserve"> =SUM(ABOVE) </w:instrText>
            </w:r>
            <w:r w:rsidRPr="009E35ED">
              <w:rPr>
                <w:rFonts w:ascii="Arial Narrow" w:hAnsi="Arial Narrow" w:cs="Arial"/>
                <w:color w:val="000000" w:themeColor="text1"/>
                <w:sz w:val="22"/>
                <w:szCs w:val="22"/>
                <w:lang w:val="en-PH" w:eastAsia="en-PH"/>
              </w:rPr>
              <w:fldChar w:fldCharType="separate"/>
            </w:r>
            <w:r w:rsidR="00254D23" w:rsidRPr="009E35ED">
              <w:rPr>
                <w:rFonts w:ascii="Arial Narrow" w:hAnsi="Arial Narrow" w:cs="Arial"/>
                <w:noProof/>
                <w:color w:val="000000" w:themeColor="text1"/>
                <w:sz w:val="22"/>
                <w:szCs w:val="22"/>
                <w:lang w:val="en-PH" w:eastAsia="en-PH"/>
              </w:rPr>
              <w:t>84,862</w:t>
            </w:r>
            <w:r w:rsidR="006F3404" w:rsidRPr="009E35ED">
              <w:rPr>
                <w:rFonts w:ascii="Arial Narrow" w:hAnsi="Arial Narrow" w:cs="Arial"/>
                <w:noProof/>
                <w:color w:val="000000" w:themeColor="text1"/>
                <w:sz w:val="22"/>
                <w:szCs w:val="22"/>
                <w:lang w:val="en-PH" w:eastAsia="en-PH"/>
              </w:rPr>
              <w:t>,5</w:t>
            </w:r>
            <w:r w:rsidR="00254D23" w:rsidRPr="009E35ED">
              <w:rPr>
                <w:rFonts w:ascii="Arial Narrow" w:hAnsi="Arial Narrow" w:cs="Arial"/>
                <w:noProof/>
                <w:color w:val="000000" w:themeColor="text1"/>
                <w:sz w:val="22"/>
                <w:szCs w:val="22"/>
                <w:lang w:val="en-PH" w:eastAsia="en-PH"/>
              </w:rPr>
              <w:t>56</w:t>
            </w:r>
            <w:r w:rsidRPr="009E35ED">
              <w:rPr>
                <w:rFonts w:ascii="Arial Narrow" w:hAnsi="Arial Narrow" w:cs="Arial"/>
                <w:color w:val="000000" w:themeColor="text1"/>
                <w:sz w:val="22"/>
                <w:szCs w:val="22"/>
                <w:lang w:val="en-PH" w:eastAsia="en-PH"/>
              </w:rPr>
              <w:fldChar w:fldCharType="end"/>
            </w:r>
            <w:r w:rsidR="002B1485" w:rsidRPr="009E35ED">
              <w:rPr>
                <w:rFonts w:ascii="Arial Narrow" w:hAnsi="Arial Narrow" w:cs="Arial"/>
                <w:color w:val="000000" w:themeColor="text1"/>
                <w:sz w:val="22"/>
                <w:szCs w:val="22"/>
                <w:lang w:val="en-PH" w:eastAsia="en-PH"/>
              </w:rPr>
              <w:t xml:space="preserve">     </w:t>
            </w:r>
          </w:p>
        </w:tc>
      </w:tr>
      <w:tr w:rsidR="00997F75" w:rsidRPr="009E35ED" w14:paraId="060C5A05" w14:textId="77777777" w:rsidTr="00A552D8">
        <w:trPr>
          <w:trHeight w:val="255"/>
        </w:trPr>
        <w:tc>
          <w:tcPr>
            <w:tcW w:w="278" w:type="dxa"/>
            <w:tcBorders>
              <w:top w:val="single" w:sz="4" w:space="0" w:color="auto"/>
              <w:bottom w:val="single" w:sz="4" w:space="0" w:color="auto"/>
            </w:tcBorders>
            <w:shd w:val="clear" w:color="auto" w:fill="auto"/>
            <w:noWrap/>
            <w:vAlign w:val="bottom"/>
            <w:hideMark/>
          </w:tcPr>
          <w:p w14:paraId="56F26ABA" w14:textId="77777777" w:rsidR="006F3404" w:rsidRPr="009E35ED" w:rsidRDefault="006F3404" w:rsidP="00803F8C">
            <w:pPr>
              <w:ind w:left="0"/>
              <w:rPr>
                <w:rFonts w:ascii="Arial Narrow" w:hAnsi="Arial Narrow" w:cs="Arial"/>
                <w:color w:val="000000" w:themeColor="text1"/>
                <w:sz w:val="22"/>
                <w:szCs w:val="22"/>
                <w:lang w:val="en-PH" w:eastAsia="en-PH"/>
              </w:rPr>
            </w:pPr>
            <w:r w:rsidRPr="009E35ED">
              <w:rPr>
                <w:rFonts w:ascii="Arial Narrow" w:hAnsi="Arial Narrow" w:cs="Arial"/>
                <w:color w:val="000000" w:themeColor="text1"/>
                <w:sz w:val="22"/>
                <w:szCs w:val="22"/>
                <w:lang w:val="en-PH" w:eastAsia="en-PH"/>
              </w:rPr>
              <w:t> </w:t>
            </w:r>
          </w:p>
        </w:tc>
        <w:tc>
          <w:tcPr>
            <w:tcW w:w="4820" w:type="dxa"/>
            <w:gridSpan w:val="2"/>
            <w:tcBorders>
              <w:top w:val="single" w:sz="4" w:space="0" w:color="auto"/>
              <w:bottom w:val="single" w:sz="4" w:space="0" w:color="auto"/>
            </w:tcBorders>
            <w:shd w:val="clear" w:color="auto" w:fill="auto"/>
            <w:noWrap/>
            <w:vAlign w:val="bottom"/>
            <w:hideMark/>
          </w:tcPr>
          <w:p w14:paraId="2CF53A70" w14:textId="77777777" w:rsidR="006F3404" w:rsidRPr="009E35ED" w:rsidRDefault="006F3404" w:rsidP="006F3404">
            <w:pPr>
              <w:ind w:left="0"/>
              <w:jc w:val="left"/>
              <w:rPr>
                <w:rFonts w:ascii="Arial Narrow" w:hAnsi="Arial Narrow" w:cs="Arial"/>
                <w:color w:val="000000" w:themeColor="text1"/>
                <w:sz w:val="22"/>
                <w:szCs w:val="22"/>
                <w:lang w:val="en-PH" w:eastAsia="en-PH"/>
              </w:rPr>
            </w:pPr>
            <w:r w:rsidRPr="009E35ED">
              <w:rPr>
                <w:rFonts w:ascii="Arial Narrow" w:hAnsi="Arial Narrow" w:cs="Arial"/>
                <w:color w:val="000000" w:themeColor="text1"/>
                <w:sz w:val="22"/>
                <w:szCs w:val="22"/>
                <w:lang w:val="en-PH" w:eastAsia="en-PH"/>
              </w:rPr>
              <w:t>Total</w:t>
            </w:r>
          </w:p>
        </w:tc>
        <w:tc>
          <w:tcPr>
            <w:tcW w:w="980" w:type="dxa"/>
            <w:tcBorders>
              <w:top w:val="single" w:sz="4" w:space="0" w:color="auto"/>
              <w:bottom w:val="single" w:sz="4" w:space="0" w:color="auto"/>
            </w:tcBorders>
            <w:shd w:val="clear" w:color="auto" w:fill="auto"/>
            <w:noWrap/>
            <w:vAlign w:val="bottom"/>
            <w:hideMark/>
          </w:tcPr>
          <w:p w14:paraId="56CF9E7F" w14:textId="237036AC" w:rsidR="006F3404" w:rsidRPr="009E35ED" w:rsidRDefault="00BD089E" w:rsidP="00803F8C">
            <w:pPr>
              <w:ind w:left="0"/>
              <w:jc w:val="center"/>
              <w:rPr>
                <w:rFonts w:ascii="Arial Narrow" w:hAnsi="Arial Narrow" w:cs="Arial"/>
                <w:color w:val="000000" w:themeColor="text1"/>
                <w:sz w:val="22"/>
                <w:szCs w:val="22"/>
                <w:lang w:val="en-PH" w:eastAsia="en-PH"/>
              </w:rPr>
            </w:pPr>
            <w:r w:rsidRPr="009E35ED">
              <w:rPr>
                <w:rFonts w:ascii="Arial Narrow" w:hAnsi="Arial Narrow" w:cs="Arial"/>
                <w:color w:val="000000" w:themeColor="text1"/>
                <w:sz w:val="22"/>
                <w:szCs w:val="22"/>
                <w:lang w:val="en-PH" w:eastAsia="en-PH"/>
              </w:rPr>
              <w:t>37</w:t>
            </w:r>
          </w:p>
        </w:tc>
        <w:tc>
          <w:tcPr>
            <w:tcW w:w="2670" w:type="dxa"/>
            <w:tcBorders>
              <w:top w:val="single" w:sz="4" w:space="0" w:color="auto"/>
              <w:bottom w:val="single" w:sz="4" w:space="0" w:color="auto"/>
            </w:tcBorders>
            <w:shd w:val="clear" w:color="auto" w:fill="auto"/>
            <w:noWrap/>
            <w:vAlign w:val="bottom"/>
            <w:hideMark/>
          </w:tcPr>
          <w:p w14:paraId="760056BC" w14:textId="7F407DCD" w:rsidR="006F3404" w:rsidRPr="009E35ED" w:rsidRDefault="006F3404" w:rsidP="0096758A">
            <w:pPr>
              <w:ind w:left="0" w:right="-109"/>
              <w:jc w:val="right"/>
              <w:rPr>
                <w:rFonts w:ascii="Arial Narrow" w:hAnsi="Arial Narrow" w:cs="Arial"/>
                <w:color w:val="000000" w:themeColor="text1"/>
                <w:sz w:val="22"/>
                <w:szCs w:val="22"/>
                <w:lang w:val="en-PH" w:eastAsia="en-PH"/>
              </w:rPr>
            </w:pPr>
            <w:r w:rsidRPr="009E35ED">
              <w:rPr>
                <w:rFonts w:ascii="Arial Narrow" w:hAnsi="Arial Narrow" w:cs="Arial"/>
                <w:color w:val="000000" w:themeColor="text1"/>
                <w:sz w:val="22"/>
                <w:szCs w:val="22"/>
                <w:lang w:val="en-PH" w:eastAsia="en-PH"/>
              </w:rPr>
              <w:t xml:space="preserve">      </w:t>
            </w:r>
            <w:r w:rsidR="00412F63" w:rsidRPr="009E35ED">
              <w:rPr>
                <w:rFonts w:ascii="Arial Narrow" w:hAnsi="Arial Narrow" w:cs="Arial"/>
                <w:color w:val="000000" w:themeColor="text1"/>
                <w:sz w:val="22"/>
                <w:szCs w:val="22"/>
                <w:lang w:val="en-PH" w:eastAsia="en-PH"/>
              </w:rPr>
              <w:t>100,421</w:t>
            </w:r>
            <w:r w:rsidRPr="009E35ED">
              <w:rPr>
                <w:rFonts w:ascii="Arial Narrow" w:hAnsi="Arial Narrow" w:cs="Arial"/>
                <w:color w:val="000000" w:themeColor="text1"/>
                <w:sz w:val="22"/>
                <w:szCs w:val="22"/>
                <w:lang w:val="en-PH" w:eastAsia="en-PH"/>
              </w:rPr>
              <w:t>,</w:t>
            </w:r>
            <w:r w:rsidR="00412F63" w:rsidRPr="009E35ED">
              <w:rPr>
                <w:rFonts w:ascii="Arial Narrow" w:hAnsi="Arial Narrow" w:cs="Arial"/>
                <w:color w:val="000000" w:themeColor="text1"/>
                <w:sz w:val="22"/>
                <w:szCs w:val="22"/>
                <w:lang w:val="en-PH" w:eastAsia="en-PH"/>
              </w:rPr>
              <w:t>129</w:t>
            </w:r>
          </w:p>
        </w:tc>
      </w:tr>
      <w:tr w:rsidR="00997F75" w:rsidRPr="009E35ED" w14:paraId="7063FC4B" w14:textId="77777777" w:rsidTr="00A552D8">
        <w:trPr>
          <w:trHeight w:val="255"/>
        </w:trPr>
        <w:tc>
          <w:tcPr>
            <w:tcW w:w="5098" w:type="dxa"/>
            <w:gridSpan w:val="3"/>
            <w:tcBorders>
              <w:top w:val="single" w:sz="4" w:space="0" w:color="auto"/>
            </w:tcBorders>
            <w:shd w:val="clear" w:color="auto" w:fill="auto"/>
            <w:noWrap/>
            <w:vAlign w:val="bottom"/>
            <w:hideMark/>
          </w:tcPr>
          <w:p w14:paraId="22E61EB3" w14:textId="77777777" w:rsidR="002B1485" w:rsidRPr="009E35ED" w:rsidRDefault="002B1485" w:rsidP="00803F8C">
            <w:pPr>
              <w:ind w:left="0"/>
              <w:rPr>
                <w:rFonts w:ascii="Arial Narrow" w:hAnsi="Arial Narrow" w:cs="Arial"/>
                <w:color w:val="000000" w:themeColor="text1"/>
                <w:sz w:val="22"/>
                <w:szCs w:val="22"/>
                <w:lang w:val="en-PH" w:eastAsia="en-PH"/>
              </w:rPr>
            </w:pPr>
            <w:r w:rsidRPr="009E35ED">
              <w:rPr>
                <w:rFonts w:ascii="Arial Narrow" w:hAnsi="Arial Narrow" w:cs="Arial"/>
                <w:color w:val="000000" w:themeColor="text1"/>
                <w:sz w:val="22"/>
                <w:szCs w:val="22"/>
                <w:lang w:val="en-PH" w:eastAsia="en-PH"/>
              </w:rPr>
              <w:t>II. Civil Cases</w:t>
            </w:r>
          </w:p>
        </w:tc>
        <w:tc>
          <w:tcPr>
            <w:tcW w:w="980" w:type="dxa"/>
            <w:tcBorders>
              <w:top w:val="single" w:sz="4" w:space="0" w:color="auto"/>
            </w:tcBorders>
            <w:shd w:val="clear" w:color="auto" w:fill="auto"/>
            <w:noWrap/>
            <w:vAlign w:val="bottom"/>
            <w:hideMark/>
          </w:tcPr>
          <w:p w14:paraId="71348B4C" w14:textId="77777777" w:rsidR="002B1485" w:rsidRPr="009E35ED" w:rsidRDefault="002B1485" w:rsidP="00803F8C">
            <w:pPr>
              <w:ind w:left="0"/>
              <w:jc w:val="center"/>
              <w:rPr>
                <w:rFonts w:ascii="Arial Narrow" w:hAnsi="Arial Narrow" w:cs="Arial"/>
                <w:color w:val="000000" w:themeColor="text1"/>
                <w:sz w:val="22"/>
                <w:szCs w:val="22"/>
                <w:lang w:val="en-PH" w:eastAsia="en-PH"/>
              </w:rPr>
            </w:pPr>
            <w:r w:rsidRPr="009E35ED">
              <w:rPr>
                <w:rFonts w:ascii="Arial Narrow" w:hAnsi="Arial Narrow" w:cs="Arial"/>
                <w:color w:val="000000" w:themeColor="text1"/>
                <w:sz w:val="22"/>
                <w:szCs w:val="22"/>
                <w:lang w:val="en-PH" w:eastAsia="en-PH"/>
              </w:rPr>
              <w:t> </w:t>
            </w:r>
          </w:p>
        </w:tc>
        <w:tc>
          <w:tcPr>
            <w:tcW w:w="2670" w:type="dxa"/>
            <w:tcBorders>
              <w:top w:val="single" w:sz="4" w:space="0" w:color="auto"/>
            </w:tcBorders>
            <w:shd w:val="clear" w:color="auto" w:fill="auto"/>
            <w:noWrap/>
            <w:vAlign w:val="bottom"/>
            <w:hideMark/>
          </w:tcPr>
          <w:p w14:paraId="07D0CD63" w14:textId="77777777" w:rsidR="002B1485" w:rsidRPr="009E35ED" w:rsidRDefault="002B1485" w:rsidP="00803F8C">
            <w:pPr>
              <w:ind w:left="0" w:right="-109"/>
              <w:jc w:val="right"/>
              <w:rPr>
                <w:rFonts w:ascii="Arial Narrow" w:hAnsi="Arial Narrow" w:cs="Arial"/>
                <w:color w:val="000000" w:themeColor="text1"/>
                <w:sz w:val="22"/>
                <w:szCs w:val="22"/>
                <w:lang w:val="en-PH" w:eastAsia="en-PH"/>
              </w:rPr>
            </w:pPr>
            <w:r w:rsidRPr="009E35ED">
              <w:rPr>
                <w:rFonts w:ascii="Arial Narrow" w:hAnsi="Arial Narrow" w:cs="Arial"/>
                <w:color w:val="000000" w:themeColor="text1"/>
                <w:sz w:val="22"/>
                <w:szCs w:val="22"/>
                <w:lang w:val="en-PH" w:eastAsia="en-PH"/>
              </w:rPr>
              <w:t> </w:t>
            </w:r>
          </w:p>
        </w:tc>
      </w:tr>
      <w:tr w:rsidR="00997F75" w:rsidRPr="009E35ED" w14:paraId="04C9C54B" w14:textId="77777777" w:rsidTr="00A552D8">
        <w:trPr>
          <w:trHeight w:val="255"/>
        </w:trPr>
        <w:tc>
          <w:tcPr>
            <w:tcW w:w="278" w:type="dxa"/>
            <w:shd w:val="clear" w:color="auto" w:fill="auto"/>
            <w:noWrap/>
            <w:vAlign w:val="bottom"/>
            <w:hideMark/>
          </w:tcPr>
          <w:p w14:paraId="46D2C554" w14:textId="77777777" w:rsidR="002B1485" w:rsidRPr="009E35ED" w:rsidRDefault="002B1485" w:rsidP="00803F8C">
            <w:pPr>
              <w:ind w:left="0"/>
              <w:rPr>
                <w:rFonts w:ascii="Arial Narrow" w:hAnsi="Arial Narrow" w:cs="Arial"/>
                <w:color w:val="000000" w:themeColor="text1"/>
                <w:sz w:val="22"/>
                <w:szCs w:val="22"/>
                <w:lang w:val="en-PH" w:eastAsia="en-PH"/>
              </w:rPr>
            </w:pPr>
            <w:r w:rsidRPr="009E35ED">
              <w:rPr>
                <w:rFonts w:ascii="Arial Narrow" w:hAnsi="Arial Narrow" w:cs="Arial"/>
                <w:color w:val="000000" w:themeColor="text1"/>
                <w:sz w:val="22"/>
                <w:szCs w:val="22"/>
                <w:lang w:val="en-PH" w:eastAsia="en-PH"/>
              </w:rPr>
              <w:t> </w:t>
            </w:r>
          </w:p>
        </w:tc>
        <w:tc>
          <w:tcPr>
            <w:tcW w:w="4820" w:type="dxa"/>
            <w:gridSpan w:val="2"/>
            <w:shd w:val="clear" w:color="auto" w:fill="auto"/>
            <w:noWrap/>
            <w:vAlign w:val="bottom"/>
            <w:hideMark/>
          </w:tcPr>
          <w:p w14:paraId="1EE8F990" w14:textId="77777777" w:rsidR="002B1485" w:rsidRPr="009E35ED" w:rsidRDefault="002B1485" w:rsidP="00803F8C">
            <w:pPr>
              <w:ind w:left="0"/>
              <w:rPr>
                <w:rFonts w:ascii="Arial Narrow" w:hAnsi="Arial Narrow" w:cs="Arial"/>
                <w:color w:val="000000" w:themeColor="text1"/>
                <w:sz w:val="22"/>
                <w:szCs w:val="22"/>
                <w:lang w:val="en-PH" w:eastAsia="en-PH"/>
              </w:rPr>
            </w:pPr>
            <w:r w:rsidRPr="009E35ED">
              <w:rPr>
                <w:rFonts w:ascii="Arial Narrow" w:hAnsi="Arial Narrow" w:cs="Arial"/>
                <w:color w:val="000000" w:themeColor="text1"/>
                <w:sz w:val="22"/>
                <w:szCs w:val="22"/>
                <w:lang w:val="en-PH" w:eastAsia="en-PH"/>
              </w:rPr>
              <w:t>A. Sweepstakes Defaulted Accounts</w:t>
            </w:r>
          </w:p>
        </w:tc>
        <w:tc>
          <w:tcPr>
            <w:tcW w:w="980" w:type="dxa"/>
            <w:shd w:val="clear" w:color="auto" w:fill="auto"/>
            <w:noWrap/>
            <w:vAlign w:val="bottom"/>
            <w:hideMark/>
          </w:tcPr>
          <w:p w14:paraId="6ABADF2E" w14:textId="77777777" w:rsidR="002B1485" w:rsidRPr="009E35ED" w:rsidRDefault="002B1485" w:rsidP="00803F8C">
            <w:pPr>
              <w:ind w:left="0"/>
              <w:jc w:val="center"/>
              <w:rPr>
                <w:rFonts w:ascii="Arial Narrow" w:hAnsi="Arial Narrow" w:cs="Arial"/>
                <w:color w:val="000000" w:themeColor="text1"/>
                <w:sz w:val="22"/>
                <w:szCs w:val="22"/>
                <w:lang w:val="en-PH" w:eastAsia="en-PH"/>
              </w:rPr>
            </w:pPr>
            <w:r w:rsidRPr="009E35ED">
              <w:rPr>
                <w:rFonts w:ascii="Arial Narrow" w:hAnsi="Arial Narrow" w:cs="Arial"/>
                <w:color w:val="000000" w:themeColor="text1"/>
                <w:sz w:val="22"/>
                <w:szCs w:val="22"/>
                <w:lang w:val="en-PH" w:eastAsia="en-PH"/>
              </w:rPr>
              <w:t> </w:t>
            </w:r>
          </w:p>
        </w:tc>
        <w:tc>
          <w:tcPr>
            <w:tcW w:w="2670" w:type="dxa"/>
            <w:shd w:val="clear" w:color="auto" w:fill="auto"/>
            <w:noWrap/>
            <w:vAlign w:val="bottom"/>
            <w:hideMark/>
          </w:tcPr>
          <w:p w14:paraId="1E10C7B2" w14:textId="77777777" w:rsidR="002B1485" w:rsidRPr="009E35ED" w:rsidRDefault="002B1485" w:rsidP="00803F8C">
            <w:pPr>
              <w:ind w:left="0" w:right="-109"/>
              <w:jc w:val="right"/>
              <w:rPr>
                <w:rFonts w:ascii="Arial Narrow" w:hAnsi="Arial Narrow" w:cs="Arial"/>
                <w:color w:val="000000" w:themeColor="text1"/>
                <w:sz w:val="22"/>
                <w:szCs w:val="22"/>
                <w:lang w:val="en-PH" w:eastAsia="en-PH"/>
              </w:rPr>
            </w:pPr>
            <w:r w:rsidRPr="009E35ED">
              <w:rPr>
                <w:rFonts w:ascii="Arial Narrow" w:hAnsi="Arial Narrow" w:cs="Arial"/>
                <w:color w:val="000000" w:themeColor="text1"/>
                <w:sz w:val="22"/>
                <w:szCs w:val="22"/>
                <w:lang w:val="en-PH" w:eastAsia="en-PH"/>
              </w:rPr>
              <w:t> </w:t>
            </w:r>
          </w:p>
        </w:tc>
      </w:tr>
      <w:tr w:rsidR="00997F75" w:rsidRPr="009E35ED" w14:paraId="638FF4AA" w14:textId="77777777" w:rsidTr="00A552D8">
        <w:trPr>
          <w:trHeight w:val="255"/>
        </w:trPr>
        <w:tc>
          <w:tcPr>
            <w:tcW w:w="278" w:type="dxa"/>
            <w:shd w:val="clear" w:color="auto" w:fill="auto"/>
            <w:noWrap/>
            <w:vAlign w:val="bottom"/>
            <w:hideMark/>
          </w:tcPr>
          <w:p w14:paraId="4BA2889D" w14:textId="77777777" w:rsidR="002B1485" w:rsidRPr="009E35ED" w:rsidRDefault="002B1485" w:rsidP="00803F8C">
            <w:pPr>
              <w:ind w:left="0"/>
              <w:rPr>
                <w:rFonts w:ascii="Arial Narrow" w:hAnsi="Arial Narrow" w:cs="Arial"/>
                <w:color w:val="000000" w:themeColor="text1"/>
                <w:sz w:val="22"/>
                <w:szCs w:val="22"/>
                <w:lang w:val="en-PH" w:eastAsia="en-PH"/>
              </w:rPr>
            </w:pPr>
            <w:r w:rsidRPr="009E35ED">
              <w:rPr>
                <w:rFonts w:ascii="Arial Narrow" w:hAnsi="Arial Narrow" w:cs="Arial"/>
                <w:color w:val="000000" w:themeColor="text1"/>
                <w:sz w:val="22"/>
                <w:szCs w:val="22"/>
                <w:lang w:val="en-PH" w:eastAsia="en-PH"/>
              </w:rPr>
              <w:t> </w:t>
            </w:r>
          </w:p>
        </w:tc>
        <w:tc>
          <w:tcPr>
            <w:tcW w:w="320" w:type="dxa"/>
            <w:shd w:val="clear" w:color="auto" w:fill="auto"/>
            <w:noWrap/>
            <w:vAlign w:val="bottom"/>
            <w:hideMark/>
          </w:tcPr>
          <w:p w14:paraId="355FDBFB" w14:textId="77777777" w:rsidR="002B1485" w:rsidRPr="009E35ED" w:rsidRDefault="002B1485" w:rsidP="00803F8C">
            <w:pPr>
              <w:ind w:left="0"/>
              <w:rPr>
                <w:rFonts w:ascii="Arial Narrow" w:hAnsi="Arial Narrow" w:cs="Arial"/>
                <w:color w:val="000000" w:themeColor="text1"/>
                <w:sz w:val="22"/>
                <w:szCs w:val="22"/>
                <w:lang w:val="en-PH" w:eastAsia="en-PH"/>
              </w:rPr>
            </w:pPr>
          </w:p>
        </w:tc>
        <w:tc>
          <w:tcPr>
            <w:tcW w:w="4500" w:type="dxa"/>
            <w:shd w:val="clear" w:color="auto" w:fill="auto"/>
            <w:noWrap/>
            <w:vAlign w:val="bottom"/>
            <w:hideMark/>
          </w:tcPr>
          <w:p w14:paraId="39870A12" w14:textId="727A3D84" w:rsidR="002B1485" w:rsidRPr="009E35ED" w:rsidRDefault="002B1485" w:rsidP="00803F8C">
            <w:pPr>
              <w:ind w:left="0"/>
              <w:rPr>
                <w:rFonts w:ascii="Arial Narrow" w:hAnsi="Arial Narrow" w:cs="Arial"/>
                <w:color w:val="000000" w:themeColor="text1"/>
                <w:sz w:val="22"/>
                <w:szCs w:val="22"/>
                <w:lang w:val="en-PH" w:eastAsia="en-PH"/>
              </w:rPr>
            </w:pPr>
            <w:r w:rsidRPr="009E35ED">
              <w:rPr>
                <w:rFonts w:ascii="Arial Narrow" w:hAnsi="Arial Narrow" w:cs="Arial"/>
                <w:color w:val="000000" w:themeColor="text1"/>
                <w:sz w:val="22"/>
                <w:szCs w:val="22"/>
                <w:lang w:val="en-PH" w:eastAsia="en-PH"/>
              </w:rPr>
              <w:t xml:space="preserve">Provincial </w:t>
            </w:r>
            <w:r w:rsidR="00353010">
              <w:rPr>
                <w:rFonts w:ascii="Arial Narrow" w:hAnsi="Arial Narrow" w:cs="Arial"/>
                <w:color w:val="000000" w:themeColor="text1"/>
                <w:sz w:val="22"/>
                <w:szCs w:val="22"/>
                <w:lang w:val="en-PH" w:eastAsia="en-PH"/>
              </w:rPr>
              <w:t>d</w:t>
            </w:r>
            <w:r w:rsidRPr="009E35ED">
              <w:rPr>
                <w:rFonts w:ascii="Arial Narrow" w:hAnsi="Arial Narrow" w:cs="Arial"/>
                <w:color w:val="000000" w:themeColor="text1"/>
                <w:sz w:val="22"/>
                <w:szCs w:val="22"/>
                <w:lang w:val="en-PH" w:eastAsia="en-PH"/>
              </w:rPr>
              <w:t>istributors</w:t>
            </w:r>
          </w:p>
        </w:tc>
        <w:tc>
          <w:tcPr>
            <w:tcW w:w="980" w:type="dxa"/>
            <w:shd w:val="clear" w:color="auto" w:fill="auto"/>
            <w:noWrap/>
            <w:vAlign w:val="bottom"/>
            <w:hideMark/>
          </w:tcPr>
          <w:p w14:paraId="0C9A1EDF" w14:textId="081D68EA" w:rsidR="002B1485" w:rsidRPr="009E35ED" w:rsidRDefault="00EA295F" w:rsidP="00803F8C">
            <w:pPr>
              <w:ind w:left="0"/>
              <w:jc w:val="center"/>
              <w:rPr>
                <w:rFonts w:ascii="Arial Narrow" w:hAnsi="Arial Narrow" w:cs="Arial"/>
                <w:color w:val="000000" w:themeColor="text1"/>
                <w:sz w:val="22"/>
                <w:szCs w:val="22"/>
                <w:lang w:val="en-PH" w:eastAsia="en-PH"/>
              </w:rPr>
            </w:pPr>
            <w:r w:rsidRPr="009E35ED">
              <w:rPr>
                <w:rFonts w:ascii="Arial Narrow" w:hAnsi="Arial Narrow" w:cs="Arial"/>
                <w:color w:val="000000" w:themeColor="text1"/>
                <w:sz w:val="22"/>
                <w:szCs w:val="22"/>
                <w:lang w:val="en-PH" w:eastAsia="en-PH"/>
              </w:rPr>
              <w:t>12</w:t>
            </w:r>
          </w:p>
        </w:tc>
        <w:tc>
          <w:tcPr>
            <w:tcW w:w="2670" w:type="dxa"/>
            <w:shd w:val="clear" w:color="auto" w:fill="auto"/>
            <w:noWrap/>
            <w:vAlign w:val="bottom"/>
            <w:hideMark/>
          </w:tcPr>
          <w:p w14:paraId="0F9F0BAF" w14:textId="4589C0A6" w:rsidR="002B1485" w:rsidRPr="009E35ED" w:rsidRDefault="002B1485" w:rsidP="00EA295F">
            <w:pPr>
              <w:ind w:left="0" w:right="-109"/>
              <w:jc w:val="right"/>
              <w:rPr>
                <w:rFonts w:ascii="Arial Narrow" w:hAnsi="Arial Narrow" w:cs="Arial"/>
                <w:color w:val="000000" w:themeColor="text1"/>
                <w:sz w:val="22"/>
                <w:szCs w:val="22"/>
                <w:lang w:val="en-PH" w:eastAsia="en-PH"/>
              </w:rPr>
            </w:pPr>
            <w:r w:rsidRPr="009E35ED">
              <w:rPr>
                <w:rFonts w:ascii="Arial Narrow" w:hAnsi="Arial Narrow" w:cs="Arial"/>
                <w:color w:val="000000" w:themeColor="text1"/>
                <w:sz w:val="22"/>
                <w:szCs w:val="22"/>
                <w:lang w:val="en-PH" w:eastAsia="en-PH"/>
              </w:rPr>
              <w:t xml:space="preserve">        </w:t>
            </w:r>
            <w:r w:rsidR="00EA295F" w:rsidRPr="009E35ED">
              <w:rPr>
                <w:rFonts w:ascii="Arial Narrow" w:hAnsi="Arial Narrow" w:cs="Arial"/>
                <w:color w:val="000000" w:themeColor="text1"/>
                <w:sz w:val="22"/>
                <w:szCs w:val="22"/>
                <w:lang w:val="en-PH" w:eastAsia="en-PH"/>
              </w:rPr>
              <w:t>28</w:t>
            </w:r>
            <w:r w:rsidRPr="009E35ED">
              <w:rPr>
                <w:rFonts w:ascii="Arial Narrow" w:hAnsi="Arial Narrow" w:cs="Arial"/>
                <w:color w:val="000000" w:themeColor="text1"/>
                <w:sz w:val="22"/>
                <w:szCs w:val="22"/>
                <w:lang w:val="en-PH" w:eastAsia="en-PH"/>
              </w:rPr>
              <w:t>,</w:t>
            </w:r>
            <w:r w:rsidR="00EA295F" w:rsidRPr="009E35ED">
              <w:rPr>
                <w:rFonts w:ascii="Arial Narrow" w:hAnsi="Arial Narrow" w:cs="Arial"/>
                <w:color w:val="000000" w:themeColor="text1"/>
                <w:sz w:val="22"/>
                <w:szCs w:val="22"/>
                <w:lang w:val="en-PH" w:eastAsia="en-PH"/>
              </w:rPr>
              <w:t>867</w:t>
            </w:r>
            <w:r w:rsidRPr="009E35ED">
              <w:rPr>
                <w:rFonts w:ascii="Arial Narrow" w:hAnsi="Arial Narrow" w:cs="Arial"/>
                <w:color w:val="000000" w:themeColor="text1"/>
                <w:sz w:val="22"/>
                <w:szCs w:val="22"/>
                <w:lang w:val="en-PH" w:eastAsia="en-PH"/>
              </w:rPr>
              <w:t>,</w:t>
            </w:r>
            <w:r w:rsidR="00EA295F" w:rsidRPr="009E35ED">
              <w:rPr>
                <w:rFonts w:ascii="Arial Narrow" w:hAnsi="Arial Narrow" w:cs="Arial"/>
                <w:color w:val="000000" w:themeColor="text1"/>
                <w:sz w:val="22"/>
                <w:szCs w:val="22"/>
                <w:lang w:val="en-PH" w:eastAsia="en-PH"/>
              </w:rPr>
              <w:t>026</w:t>
            </w:r>
            <w:r w:rsidRPr="009E35ED">
              <w:rPr>
                <w:rFonts w:ascii="Arial Narrow" w:hAnsi="Arial Narrow" w:cs="Arial"/>
                <w:color w:val="000000" w:themeColor="text1"/>
                <w:sz w:val="22"/>
                <w:szCs w:val="22"/>
                <w:lang w:val="en-PH" w:eastAsia="en-PH"/>
              </w:rPr>
              <w:t>.</w:t>
            </w:r>
            <w:r w:rsidR="00EA295F" w:rsidRPr="009E35ED">
              <w:rPr>
                <w:rFonts w:ascii="Arial Narrow" w:hAnsi="Arial Narrow" w:cs="Arial"/>
                <w:color w:val="000000" w:themeColor="text1"/>
                <w:sz w:val="22"/>
                <w:szCs w:val="22"/>
                <w:lang w:val="en-PH" w:eastAsia="en-PH"/>
              </w:rPr>
              <w:t>71</w:t>
            </w:r>
            <w:r w:rsidRPr="009E35ED">
              <w:rPr>
                <w:rFonts w:ascii="Arial Narrow" w:hAnsi="Arial Narrow" w:cs="Arial"/>
                <w:color w:val="000000" w:themeColor="text1"/>
                <w:sz w:val="22"/>
                <w:szCs w:val="22"/>
                <w:lang w:val="en-PH" w:eastAsia="en-PH"/>
              </w:rPr>
              <w:t xml:space="preserve"> </w:t>
            </w:r>
          </w:p>
        </w:tc>
      </w:tr>
      <w:tr w:rsidR="00997F75" w:rsidRPr="009E35ED" w14:paraId="1DBEF748" w14:textId="77777777" w:rsidTr="00A552D8">
        <w:trPr>
          <w:trHeight w:val="255"/>
        </w:trPr>
        <w:tc>
          <w:tcPr>
            <w:tcW w:w="278" w:type="dxa"/>
            <w:tcBorders>
              <w:bottom w:val="single" w:sz="4" w:space="0" w:color="auto"/>
            </w:tcBorders>
            <w:shd w:val="clear" w:color="auto" w:fill="auto"/>
            <w:noWrap/>
            <w:vAlign w:val="bottom"/>
            <w:hideMark/>
          </w:tcPr>
          <w:p w14:paraId="24AA1186" w14:textId="77777777" w:rsidR="002B1485" w:rsidRPr="009E35ED" w:rsidRDefault="002B1485" w:rsidP="00803F8C">
            <w:pPr>
              <w:ind w:left="0"/>
              <w:rPr>
                <w:rFonts w:ascii="Arial Narrow" w:hAnsi="Arial Narrow" w:cs="Arial"/>
                <w:color w:val="000000" w:themeColor="text1"/>
                <w:sz w:val="22"/>
                <w:szCs w:val="22"/>
                <w:lang w:val="en-PH" w:eastAsia="en-PH"/>
              </w:rPr>
            </w:pPr>
            <w:r w:rsidRPr="009E35ED">
              <w:rPr>
                <w:rFonts w:ascii="Arial Narrow" w:hAnsi="Arial Narrow" w:cs="Arial"/>
                <w:color w:val="000000" w:themeColor="text1"/>
                <w:sz w:val="22"/>
                <w:szCs w:val="22"/>
                <w:lang w:val="en-PH" w:eastAsia="en-PH"/>
              </w:rPr>
              <w:t> </w:t>
            </w:r>
          </w:p>
        </w:tc>
        <w:tc>
          <w:tcPr>
            <w:tcW w:w="320" w:type="dxa"/>
            <w:tcBorders>
              <w:bottom w:val="single" w:sz="4" w:space="0" w:color="auto"/>
            </w:tcBorders>
            <w:shd w:val="clear" w:color="auto" w:fill="auto"/>
            <w:noWrap/>
            <w:vAlign w:val="bottom"/>
            <w:hideMark/>
          </w:tcPr>
          <w:p w14:paraId="2B6F0D82" w14:textId="77777777" w:rsidR="002B1485" w:rsidRPr="009E35ED" w:rsidRDefault="002B1485" w:rsidP="00803F8C">
            <w:pPr>
              <w:ind w:left="0"/>
              <w:rPr>
                <w:rFonts w:ascii="Arial Narrow" w:hAnsi="Arial Narrow" w:cs="Arial"/>
                <w:color w:val="000000" w:themeColor="text1"/>
                <w:sz w:val="22"/>
                <w:szCs w:val="22"/>
                <w:lang w:val="en-PH" w:eastAsia="en-PH"/>
              </w:rPr>
            </w:pPr>
          </w:p>
        </w:tc>
        <w:tc>
          <w:tcPr>
            <w:tcW w:w="4500" w:type="dxa"/>
            <w:tcBorders>
              <w:bottom w:val="single" w:sz="4" w:space="0" w:color="auto"/>
            </w:tcBorders>
            <w:shd w:val="clear" w:color="auto" w:fill="auto"/>
            <w:noWrap/>
            <w:vAlign w:val="bottom"/>
            <w:hideMark/>
          </w:tcPr>
          <w:p w14:paraId="5E66072C" w14:textId="5696DC06" w:rsidR="002B1485" w:rsidRPr="009E35ED" w:rsidRDefault="002B1485" w:rsidP="00803F8C">
            <w:pPr>
              <w:ind w:left="0"/>
              <w:rPr>
                <w:rFonts w:ascii="Arial Narrow" w:hAnsi="Arial Narrow" w:cs="Arial"/>
                <w:color w:val="000000" w:themeColor="text1"/>
                <w:sz w:val="22"/>
                <w:szCs w:val="22"/>
                <w:lang w:val="en-PH" w:eastAsia="en-PH"/>
              </w:rPr>
            </w:pPr>
            <w:r w:rsidRPr="009E35ED">
              <w:rPr>
                <w:rFonts w:ascii="Arial Narrow" w:hAnsi="Arial Narrow" w:cs="Arial"/>
                <w:color w:val="000000" w:themeColor="text1"/>
                <w:sz w:val="22"/>
                <w:szCs w:val="22"/>
                <w:lang w:val="en-PH" w:eastAsia="en-PH"/>
              </w:rPr>
              <w:t xml:space="preserve">Sales </w:t>
            </w:r>
            <w:r w:rsidR="00353010">
              <w:rPr>
                <w:rFonts w:ascii="Arial Narrow" w:hAnsi="Arial Narrow" w:cs="Arial"/>
                <w:color w:val="000000" w:themeColor="text1"/>
                <w:sz w:val="22"/>
                <w:szCs w:val="22"/>
                <w:lang w:val="en-PH" w:eastAsia="en-PH"/>
              </w:rPr>
              <w:t>s</w:t>
            </w:r>
            <w:r w:rsidRPr="009E35ED">
              <w:rPr>
                <w:rFonts w:ascii="Arial Narrow" w:hAnsi="Arial Narrow" w:cs="Arial"/>
                <w:color w:val="000000" w:themeColor="text1"/>
                <w:sz w:val="22"/>
                <w:szCs w:val="22"/>
                <w:lang w:val="en-PH" w:eastAsia="en-PH"/>
              </w:rPr>
              <w:t>upervisors</w:t>
            </w:r>
          </w:p>
        </w:tc>
        <w:tc>
          <w:tcPr>
            <w:tcW w:w="980" w:type="dxa"/>
            <w:tcBorders>
              <w:bottom w:val="single" w:sz="4" w:space="0" w:color="auto"/>
            </w:tcBorders>
            <w:shd w:val="clear" w:color="auto" w:fill="auto"/>
            <w:noWrap/>
            <w:vAlign w:val="bottom"/>
            <w:hideMark/>
          </w:tcPr>
          <w:p w14:paraId="0B2DFFC0" w14:textId="320DC32F" w:rsidR="002B1485" w:rsidRPr="009E35ED" w:rsidRDefault="00BD66DF" w:rsidP="00803F8C">
            <w:pPr>
              <w:ind w:left="0"/>
              <w:jc w:val="center"/>
              <w:rPr>
                <w:rFonts w:ascii="Arial Narrow" w:hAnsi="Arial Narrow" w:cs="Arial"/>
                <w:color w:val="000000" w:themeColor="text1"/>
                <w:sz w:val="22"/>
                <w:szCs w:val="22"/>
                <w:lang w:val="en-PH" w:eastAsia="en-PH"/>
              </w:rPr>
            </w:pPr>
            <w:r w:rsidRPr="009E35ED">
              <w:rPr>
                <w:rFonts w:ascii="Arial Narrow" w:hAnsi="Arial Narrow" w:cs="Arial"/>
                <w:color w:val="000000" w:themeColor="text1"/>
                <w:sz w:val="22"/>
                <w:szCs w:val="22"/>
                <w:lang w:val="en-PH" w:eastAsia="en-PH"/>
              </w:rPr>
              <w:t>3</w:t>
            </w:r>
          </w:p>
        </w:tc>
        <w:tc>
          <w:tcPr>
            <w:tcW w:w="2670" w:type="dxa"/>
            <w:tcBorders>
              <w:bottom w:val="single" w:sz="4" w:space="0" w:color="auto"/>
            </w:tcBorders>
            <w:shd w:val="clear" w:color="auto" w:fill="auto"/>
            <w:noWrap/>
            <w:vAlign w:val="bottom"/>
            <w:hideMark/>
          </w:tcPr>
          <w:p w14:paraId="7EB91747" w14:textId="3348A7AB" w:rsidR="002B1485" w:rsidRPr="009E35ED" w:rsidRDefault="002B1485" w:rsidP="00412F63">
            <w:pPr>
              <w:ind w:left="0" w:right="-109"/>
              <w:jc w:val="right"/>
              <w:rPr>
                <w:rFonts w:ascii="Arial Narrow" w:hAnsi="Arial Narrow" w:cs="Arial"/>
                <w:color w:val="000000" w:themeColor="text1"/>
                <w:sz w:val="22"/>
                <w:szCs w:val="22"/>
                <w:lang w:val="en-PH" w:eastAsia="en-PH"/>
              </w:rPr>
            </w:pPr>
            <w:r w:rsidRPr="009E35ED">
              <w:rPr>
                <w:rFonts w:ascii="Arial Narrow" w:hAnsi="Arial Narrow" w:cs="Arial"/>
                <w:color w:val="000000" w:themeColor="text1"/>
                <w:sz w:val="22"/>
                <w:szCs w:val="22"/>
                <w:lang w:val="en-PH" w:eastAsia="en-PH"/>
              </w:rPr>
              <w:t xml:space="preserve">          </w:t>
            </w:r>
            <w:r w:rsidR="00412F63" w:rsidRPr="009E35ED">
              <w:rPr>
                <w:rFonts w:ascii="Arial Narrow" w:hAnsi="Arial Narrow" w:cs="Arial"/>
                <w:color w:val="000000" w:themeColor="text1"/>
                <w:sz w:val="22"/>
                <w:szCs w:val="22"/>
                <w:lang w:val="en-PH" w:eastAsia="en-PH"/>
              </w:rPr>
              <w:t>1,076</w:t>
            </w:r>
            <w:r w:rsidRPr="009E35ED">
              <w:rPr>
                <w:rFonts w:ascii="Arial Narrow" w:hAnsi="Arial Narrow" w:cs="Arial"/>
                <w:color w:val="000000" w:themeColor="text1"/>
                <w:sz w:val="22"/>
                <w:szCs w:val="22"/>
                <w:lang w:val="en-PH" w:eastAsia="en-PH"/>
              </w:rPr>
              <w:t>,</w:t>
            </w:r>
            <w:r w:rsidR="00412F63" w:rsidRPr="009E35ED">
              <w:rPr>
                <w:rFonts w:ascii="Arial Narrow" w:hAnsi="Arial Narrow" w:cs="Arial"/>
                <w:color w:val="000000" w:themeColor="text1"/>
                <w:sz w:val="22"/>
                <w:szCs w:val="22"/>
                <w:lang w:val="en-PH" w:eastAsia="en-PH"/>
              </w:rPr>
              <w:t>694</w:t>
            </w:r>
            <w:r w:rsidRPr="009E35ED">
              <w:rPr>
                <w:rFonts w:ascii="Arial Narrow" w:hAnsi="Arial Narrow" w:cs="Arial"/>
                <w:color w:val="000000" w:themeColor="text1"/>
                <w:sz w:val="22"/>
                <w:szCs w:val="22"/>
                <w:lang w:val="en-PH" w:eastAsia="en-PH"/>
              </w:rPr>
              <w:t>.</w:t>
            </w:r>
            <w:r w:rsidR="00412F63" w:rsidRPr="009E35ED">
              <w:rPr>
                <w:rFonts w:ascii="Arial Narrow" w:hAnsi="Arial Narrow" w:cs="Arial"/>
                <w:color w:val="000000" w:themeColor="text1"/>
                <w:sz w:val="22"/>
                <w:szCs w:val="22"/>
                <w:lang w:val="en-PH" w:eastAsia="en-PH"/>
              </w:rPr>
              <w:t>24</w:t>
            </w:r>
            <w:r w:rsidRPr="009E35ED">
              <w:rPr>
                <w:rFonts w:ascii="Arial Narrow" w:hAnsi="Arial Narrow" w:cs="Arial"/>
                <w:color w:val="000000" w:themeColor="text1"/>
                <w:sz w:val="22"/>
                <w:szCs w:val="22"/>
                <w:lang w:val="en-PH" w:eastAsia="en-PH"/>
              </w:rPr>
              <w:t xml:space="preserve"> </w:t>
            </w:r>
          </w:p>
        </w:tc>
      </w:tr>
      <w:tr w:rsidR="00997F75" w:rsidRPr="009E35ED" w14:paraId="6BCACF3D" w14:textId="77777777" w:rsidTr="00A552D8">
        <w:trPr>
          <w:trHeight w:val="255"/>
        </w:trPr>
        <w:tc>
          <w:tcPr>
            <w:tcW w:w="278" w:type="dxa"/>
            <w:tcBorders>
              <w:top w:val="single" w:sz="4" w:space="0" w:color="auto"/>
              <w:bottom w:val="single" w:sz="4" w:space="0" w:color="auto"/>
            </w:tcBorders>
            <w:shd w:val="clear" w:color="auto" w:fill="auto"/>
            <w:noWrap/>
            <w:vAlign w:val="bottom"/>
            <w:hideMark/>
          </w:tcPr>
          <w:p w14:paraId="42213BA1" w14:textId="77777777" w:rsidR="002B1485" w:rsidRPr="009E35ED" w:rsidRDefault="002B1485" w:rsidP="00803F8C">
            <w:pPr>
              <w:ind w:left="0"/>
              <w:rPr>
                <w:rFonts w:ascii="Arial Narrow" w:hAnsi="Arial Narrow" w:cs="Arial"/>
                <w:color w:val="000000" w:themeColor="text1"/>
                <w:sz w:val="22"/>
                <w:szCs w:val="22"/>
                <w:lang w:val="en-PH" w:eastAsia="en-PH"/>
              </w:rPr>
            </w:pPr>
            <w:r w:rsidRPr="009E35ED">
              <w:rPr>
                <w:rFonts w:ascii="Arial Narrow" w:hAnsi="Arial Narrow" w:cs="Arial"/>
                <w:color w:val="000000" w:themeColor="text1"/>
                <w:sz w:val="22"/>
                <w:szCs w:val="22"/>
                <w:lang w:val="en-PH" w:eastAsia="en-PH"/>
              </w:rPr>
              <w:t> </w:t>
            </w:r>
          </w:p>
        </w:tc>
        <w:tc>
          <w:tcPr>
            <w:tcW w:w="320" w:type="dxa"/>
            <w:tcBorders>
              <w:top w:val="single" w:sz="4" w:space="0" w:color="auto"/>
              <w:bottom w:val="single" w:sz="4" w:space="0" w:color="auto"/>
            </w:tcBorders>
            <w:shd w:val="clear" w:color="auto" w:fill="auto"/>
            <w:noWrap/>
            <w:vAlign w:val="bottom"/>
            <w:hideMark/>
          </w:tcPr>
          <w:p w14:paraId="0FF96B5B" w14:textId="77777777" w:rsidR="002B1485" w:rsidRPr="009E35ED" w:rsidRDefault="002B1485" w:rsidP="00803F8C">
            <w:pPr>
              <w:ind w:left="0"/>
              <w:rPr>
                <w:rFonts w:ascii="Arial Narrow" w:hAnsi="Arial Narrow" w:cs="Arial"/>
                <w:color w:val="000000" w:themeColor="text1"/>
                <w:sz w:val="22"/>
                <w:szCs w:val="22"/>
                <w:lang w:val="en-PH" w:eastAsia="en-PH"/>
              </w:rPr>
            </w:pPr>
          </w:p>
        </w:tc>
        <w:tc>
          <w:tcPr>
            <w:tcW w:w="4500" w:type="dxa"/>
            <w:tcBorders>
              <w:top w:val="single" w:sz="4" w:space="0" w:color="auto"/>
              <w:bottom w:val="single" w:sz="4" w:space="0" w:color="auto"/>
            </w:tcBorders>
            <w:shd w:val="clear" w:color="auto" w:fill="auto"/>
            <w:noWrap/>
            <w:vAlign w:val="bottom"/>
            <w:hideMark/>
          </w:tcPr>
          <w:p w14:paraId="6E9829B1" w14:textId="77777777" w:rsidR="002B1485" w:rsidRPr="009E35ED" w:rsidRDefault="002B1485" w:rsidP="006F3404">
            <w:pPr>
              <w:ind w:left="0"/>
              <w:jc w:val="left"/>
              <w:rPr>
                <w:rFonts w:ascii="Arial Narrow" w:hAnsi="Arial Narrow" w:cs="Arial"/>
                <w:color w:val="000000" w:themeColor="text1"/>
                <w:sz w:val="22"/>
                <w:szCs w:val="22"/>
                <w:lang w:val="en-PH" w:eastAsia="en-PH"/>
              </w:rPr>
            </w:pPr>
            <w:r w:rsidRPr="009E35ED">
              <w:rPr>
                <w:rFonts w:ascii="Arial Narrow" w:hAnsi="Arial Narrow" w:cs="Arial"/>
                <w:color w:val="000000" w:themeColor="text1"/>
                <w:sz w:val="22"/>
                <w:szCs w:val="22"/>
                <w:lang w:val="en-PH" w:eastAsia="en-PH"/>
              </w:rPr>
              <w:t>Sub-total</w:t>
            </w:r>
          </w:p>
        </w:tc>
        <w:tc>
          <w:tcPr>
            <w:tcW w:w="980" w:type="dxa"/>
            <w:tcBorders>
              <w:top w:val="single" w:sz="4" w:space="0" w:color="auto"/>
              <w:bottom w:val="single" w:sz="4" w:space="0" w:color="auto"/>
            </w:tcBorders>
            <w:shd w:val="clear" w:color="auto" w:fill="auto"/>
            <w:noWrap/>
            <w:vAlign w:val="bottom"/>
            <w:hideMark/>
          </w:tcPr>
          <w:p w14:paraId="5E846EE0" w14:textId="2BAA5F80" w:rsidR="002B1485" w:rsidRPr="009E35ED" w:rsidRDefault="00412F63" w:rsidP="00803F8C">
            <w:pPr>
              <w:ind w:left="0"/>
              <w:jc w:val="center"/>
              <w:rPr>
                <w:rFonts w:ascii="Arial Narrow" w:hAnsi="Arial Narrow" w:cs="Arial"/>
                <w:color w:val="000000" w:themeColor="text1"/>
                <w:sz w:val="22"/>
                <w:szCs w:val="22"/>
                <w:lang w:val="en-PH" w:eastAsia="en-PH"/>
              </w:rPr>
            </w:pPr>
            <w:r w:rsidRPr="009E35ED">
              <w:rPr>
                <w:rFonts w:ascii="Arial Narrow" w:hAnsi="Arial Narrow" w:cs="Arial"/>
                <w:color w:val="000000" w:themeColor="text1"/>
                <w:sz w:val="22"/>
                <w:szCs w:val="22"/>
                <w:lang w:val="en-PH" w:eastAsia="en-PH"/>
              </w:rPr>
              <w:t>15</w:t>
            </w:r>
          </w:p>
        </w:tc>
        <w:tc>
          <w:tcPr>
            <w:tcW w:w="2670" w:type="dxa"/>
            <w:tcBorders>
              <w:top w:val="single" w:sz="4" w:space="0" w:color="auto"/>
              <w:bottom w:val="single" w:sz="4" w:space="0" w:color="auto"/>
            </w:tcBorders>
            <w:shd w:val="clear" w:color="auto" w:fill="auto"/>
            <w:noWrap/>
            <w:vAlign w:val="bottom"/>
            <w:hideMark/>
          </w:tcPr>
          <w:p w14:paraId="199E5FB8" w14:textId="3C062565" w:rsidR="002B1485" w:rsidRPr="009E35ED" w:rsidRDefault="00C6254F" w:rsidP="0096758A">
            <w:pPr>
              <w:ind w:left="0" w:right="-109"/>
              <w:jc w:val="right"/>
              <w:rPr>
                <w:rFonts w:ascii="Arial Narrow" w:hAnsi="Arial Narrow" w:cs="Arial"/>
                <w:color w:val="000000" w:themeColor="text1"/>
                <w:sz w:val="22"/>
                <w:szCs w:val="22"/>
                <w:lang w:val="en-PH" w:eastAsia="en-PH"/>
              </w:rPr>
            </w:pPr>
            <w:r w:rsidRPr="009E35ED">
              <w:rPr>
                <w:rFonts w:ascii="Arial Narrow" w:hAnsi="Arial Narrow" w:cs="Arial"/>
                <w:color w:val="000000" w:themeColor="text1"/>
                <w:sz w:val="22"/>
                <w:szCs w:val="22"/>
                <w:lang w:val="en-PH" w:eastAsia="en-PH"/>
              </w:rPr>
              <w:fldChar w:fldCharType="begin"/>
            </w:r>
            <w:r w:rsidR="006F3404" w:rsidRPr="009E35ED">
              <w:rPr>
                <w:rFonts w:ascii="Arial Narrow" w:hAnsi="Arial Narrow" w:cs="Arial"/>
                <w:color w:val="000000" w:themeColor="text1"/>
                <w:sz w:val="22"/>
                <w:szCs w:val="22"/>
                <w:lang w:val="en-PH" w:eastAsia="en-PH"/>
              </w:rPr>
              <w:instrText xml:space="preserve"> =SUM(ABOVE) </w:instrText>
            </w:r>
            <w:r w:rsidRPr="009E35ED">
              <w:rPr>
                <w:rFonts w:ascii="Arial Narrow" w:hAnsi="Arial Narrow" w:cs="Arial"/>
                <w:color w:val="000000" w:themeColor="text1"/>
                <w:sz w:val="22"/>
                <w:szCs w:val="22"/>
                <w:lang w:val="en-PH" w:eastAsia="en-PH"/>
              </w:rPr>
              <w:fldChar w:fldCharType="separate"/>
            </w:r>
            <w:r w:rsidR="00412F63" w:rsidRPr="009E35ED">
              <w:rPr>
                <w:rFonts w:ascii="Arial Narrow" w:hAnsi="Arial Narrow" w:cs="Arial"/>
                <w:noProof/>
                <w:color w:val="000000" w:themeColor="text1"/>
                <w:sz w:val="22"/>
                <w:szCs w:val="22"/>
                <w:lang w:val="en-PH" w:eastAsia="en-PH"/>
              </w:rPr>
              <w:t>29</w:t>
            </w:r>
            <w:r w:rsidR="006F3404" w:rsidRPr="009E35ED">
              <w:rPr>
                <w:rFonts w:ascii="Arial Narrow" w:hAnsi="Arial Narrow" w:cs="Arial"/>
                <w:noProof/>
                <w:color w:val="000000" w:themeColor="text1"/>
                <w:sz w:val="22"/>
                <w:szCs w:val="22"/>
                <w:lang w:val="en-PH" w:eastAsia="en-PH"/>
              </w:rPr>
              <w:t>,</w:t>
            </w:r>
            <w:r w:rsidR="00412F63" w:rsidRPr="009E35ED">
              <w:rPr>
                <w:rFonts w:ascii="Arial Narrow" w:hAnsi="Arial Narrow" w:cs="Arial"/>
                <w:noProof/>
                <w:color w:val="000000" w:themeColor="text1"/>
                <w:sz w:val="22"/>
                <w:szCs w:val="22"/>
                <w:lang w:val="en-PH" w:eastAsia="en-PH"/>
              </w:rPr>
              <w:t>943</w:t>
            </w:r>
            <w:r w:rsidR="006F3404" w:rsidRPr="009E35ED">
              <w:rPr>
                <w:rFonts w:ascii="Arial Narrow" w:hAnsi="Arial Narrow" w:cs="Arial"/>
                <w:noProof/>
                <w:color w:val="000000" w:themeColor="text1"/>
                <w:sz w:val="22"/>
                <w:szCs w:val="22"/>
                <w:lang w:val="en-PH" w:eastAsia="en-PH"/>
              </w:rPr>
              <w:t>,</w:t>
            </w:r>
            <w:r w:rsidR="00412F63" w:rsidRPr="009E35ED">
              <w:rPr>
                <w:rFonts w:ascii="Arial Narrow" w:hAnsi="Arial Narrow" w:cs="Arial"/>
                <w:noProof/>
                <w:color w:val="000000" w:themeColor="text1"/>
                <w:sz w:val="22"/>
                <w:szCs w:val="22"/>
                <w:lang w:val="en-PH" w:eastAsia="en-PH"/>
              </w:rPr>
              <w:t>72</w:t>
            </w:r>
            <w:r w:rsidRPr="009E35ED">
              <w:rPr>
                <w:rFonts w:ascii="Arial Narrow" w:hAnsi="Arial Narrow" w:cs="Arial"/>
                <w:color w:val="000000" w:themeColor="text1"/>
                <w:sz w:val="22"/>
                <w:szCs w:val="22"/>
                <w:lang w:val="en-PH" w:eastAsia="en-PH"/>
              </w:rPr>
              <w:fldChar w:fldCharType="end"/>
            </w:r>
            <w:r w:rsidR="0096758A" w:rsidRPr="009E35ED">
              <w:rPr>
                <w:rFonts w:ascii="Arial Narrow" w:hAnsi="Arial Narrow" w:cs="Arial"/>
                <w:color w:val="000000" w:themeColor="text1"/>
                <w:sz w:val="22"/>
                <w:szCs w:val="22"/>
                <w:lang w:val="en-PH" w:eastAsia="en-PH"/>
              </w:rPr>
              <w:t>1</w:t>
            </w:r>
          </w:p>
        </w:tc>
      </w:tr>
      <w:tr w:rsidR="00997F75" w:rsidRPr="009E35ED" w14:paraId="168783BC" w14:textId="77777777" w:rsidTr="00A552D8">
        <w:trPr>
          <w:trHeight w:val="255"/>
        </w:trPr>
        <w:tc>
          <w:tcPr>
            <w:tcW w:w="278" w:type="dxa"/>
            <w:tcBorders>
              <w:top w:val="single" w:sz="4" w:space="0" w:color="auto"/>
            </w:tcBorders>
            <w:shd w:val="clear" w:color="auto" w:fill="auto"/>
            <w:noWrap/>
            <w:vAlign w:val="bottom"/>
            <w:hideMark/>
          </w:tcPr>
          <w:p w14:paraId="5E7D363E" w14:textId="77777777" w:rsidR="002B1485" w:rsidRPr="009E35ED" w:rsidRDefault="002B1485" w:rsidP="00803F8C">
            <w:pPr>
              <w:ind w:left="0"/>
              <w:rPr>
                <w:rFonts w:ascii="Arial Narrow" w:hAnsi="Arial Narrow" w:cs="Arial"/>
                <w:color w:val="000000" w:themeColor="text1"/>
                <w:sz w:val="22"/>
                <w:szCs w:val="22"/>
                <w:lang w:val="en-PH" w:eastAsia="en-PH"/>
              </w:rPr>
            </w:pPr>
            <w:r w:rsidRPr="009E35ED">
              <w:rPr>
                <w:rFonts w:ascii="Arial Narrow" w:hAnsi="Arial Narrow" w:cs="Arial"/>
                <w:color w:val="000000" w:themeColor="text1"/>
                <w:sz w:val="22"/>
                <w:szCs w:val="22"/>
                <w:lang w:val="en-PH" w:eastAsia="en-PH"/>
              </w:rPr>
              <w:t> </w:t>
            </w:r>
          </w:p>
        </w:tc>
        <w:tc>
          <w:tcPr>
            <w:tcW w:w="4820" w:type="dxa"/>
            <w:gridSpan w:val="2"/>
            <w:tcBorders>
              <w:top w:val="single" w:sz="4" w:space="0" w:color="auto"/>
            </w:tcBorders>
            <w:shd w:val="clear" w:color="auto" w:fill="auto"/>
            <w:noWrap/>
            <w:vAlign w:val="bottom"/>
            <w:hideMark/>
          </w:tcPr>
          <w:p w14:paraId="0496D5B3" w14:textId="77777777" w:rsidR="002B1485" w:rsidRPr="009E35ED" w:rsidRDefault="002B1485" w:rsidP="00803F8C">
            <w:pPr>
              <w:ind w:left="0"/>
              <w:rPr>
                <w:rFonts w:ascii="Arial Narrow" w:hAnsi="Arial Narrow" w:cs="Arial"/>
                <w:color w:val="000000" w:themeColor="text1"/>
                <w:sz w:val="22"/>
                <w:szCs w:val="22"/>
                <w:lang w:val="en-PH" w:eastAsia="en-PH"/>
              </w:rPr>
            </w:pPr>
            <w:r w:rsidRPr="009E35ED">
              <w:rPr>
                <w:rFonts w:ascii="Arial Narrow" w:hAnsi="Arial Narrow" w:cs="Arial"/>
                <w:color w:val="000000" w:themeColor="text1"/>
                <w:sz w:val="22"/>
                <w:szCs w:val="22"/>
                <w:lang w:val="en-PH" w:eastAsia="en-PH"/>
              </w:rPr>
              <w:t>B. Lotto Defaulted Accounts</w:t>
            </w:r>
          </w:p>
        </w:tc>
        <w:tc>
          <w:tcPr>
            <w:tcW w:w="980" w:type="dxa"/>
            <w:tcBorders>
              <w:top w:val="single" w:sz="4" w:space="0" w:color="auto"/>
            </w:tcBorders>
            <w:shd w:val="clear" w:color="auto" w:fill="auto"/>
            <w:noWrap/>
            <w:vAlign w:val="bottom"/>
            <w:hideMark/>
          </w:tcPr>
          <w:p w14:paraId="2990DA18" w14:textId="77777777" w:rsidR="002B1485" w:rsidRPr="009E35ED" w:rsidRDefault="002B1485" w:rsidP="00803F8C">
            <w:pPr>
              <w:ind w:left="0"/>
              <w:jc w:val="center"/>
              <w:rPr>
                <w:rFonts w:ascii="Arial Narrow" w:hAnsi="Arial Narrow" w:cs="Arial"/>
                <w:color w:val="000000" w:themeColor="text1"/>
                <w:sz w:val="22"/>
                <w:szCs w:val="22"/>
                <w:lang w:val="en-PH" w:eastAsia="en-PH"/>
              </w:rPr>
            </w:pPr>
            <w:r w:rsidRPr="009E35ED">
              <w:rPr>
                <w:rFonts w:ascii="Arial Narrow" w:hAnsi="Arial Narrow" w:cs="Arial"/>
                <w:color w:val="000000" w:themeColor="text1"/>
                <w:sz w:val="22"/>
                <w:szCs w:val="22"/>
                <w:lang w:val="en-PH" w:eastAsia="en-PH"/>
              </w:rPr>
              <w:t> </w:t>
            </w:r>
          </w:p>
        </w:tc>
        <w:tc>
          <w:tcPr>
            <w:tcW w:w="2670" w:type="dxa"/>
            <w:tcBorders>
              <w:top w:val="single" w:sz="4" w:space="0" w:color="auto"/>
            </w:tcBorders>
            <w:shd w:val="clear" w:color="auto" w:fill="auto"/>
            <w:noWrap/>
            <w:vAlign w:val="bottom"/>
            <w:hideMark/>
          </w:tcPr>
          <w:p w14:paraId="350B88AF" w14:textId="77777777" w:rsidR="002B1485" w:rsidRPr="009E35ED" w:rsidRDefault="002B1485" w:rsidP="00803F8C">
            <w:pPr>
              <w:ind w:left="0" w:right="-109"/>
              <w:jc w:val="right"/>
              <w:rPr>
                <w:rFonts w:ascii="Arial Narrow" w:hAnsi="Arial Narrow" w:cs="Arial"/>
                <w:color w:val="000000" w:themeColor="text1"/>
                <w:sz w:val="22"/>
                <w:szCs w:val="22"/>
                <w:lang w:val="en-PH" w:eastAsia="en-PH"/>
              </w:rPr>
            </w:pPr>
            <w:r w:rsidRPr="009E35ED">
              <w:rPr>
                <w:rFonts w:ascii="Arial Narrow" w:hAnsi="Arial Narrow" w:cs="Arial"/>
                <w:color w:val="000000" w:themeColor="text1"/>
                <w:sz w:val="22"/>
                <w:szCs w:val="22"/>
                <w:lang w:val="en-PH" w:eastAsia="en-PH"/>
              </w:rPr>
              <w:t> </w:t>
            </w:r>
          </w:p>
        </w:tc>
      </w:tr>
      <w:tr w:rsidR="00997F75" w:rsidRPr="009E35ED" w14:paraId="6AD7FF09" w14:textId="77777777" w:rsidTr="00A552D8">
        <w:trPr>
          <w:trHeight w:val="255"/>
        </w:trPr>
        <w:tc>
          <w:tcPr>
            <w:tcW w:w="278" w:type="dxa"/>
            <w:tcBorders>
              <w:bottom w:val="single" w:sz="4" w:space="0" w:color="auto"/>
            </w:tcBorders>
            <w:shd w:val="clear" w:color="auto" w:fill="auto"/>
            <w:noWrap/>
            <w:vAlign w:val="bottom"/>
            <w:hideMark/>
          </w:tcPr>
          <w:p w14:paraId="67D574D3" w14:textId="77777777" w:rsidR="002B1485" w:rsidRPr="009E35ED" w:rsidRDefault="002B1485" w:rsidP="00803F8C">
            <w:pPr>
              <w:ind w:left="0"/>
              <w:rPr>
                <w:rFonts w:ascii="Arial Narrow" w:hAnsi="Arial Narrow" w:cs="Arial"/>
                <w:color w:val="000000" w:themeColor="text1"/>
                <w:sz w:val="22"/>
                <w:szCs w:val="22"/>
                <w:lang w:val="en-PH" w:eastAsia="en-PH"/>
              </w:rPr>
            </w:pPr>
            <w:r w:rsidRPr="009E35ED">
              <w:rPr>
                <w:rFonts w:ascii="Arial Narrow" w:hAnsi="Arial Narrow" w:cs="Arial"/>
                <w:color w:val="000000" w:themeColor="text1"/>
                <w:sz w:val="22"/>
                <w:szCs w:val="22"/>
                <w:lang w:val="en-PH" w:eastAsia="en-PH"/>
              </w:rPr>
              <w:t> </w:t>
            </w:r>
          </w:p>
        </w:tc>
        <w:tc>
          <w:tcPr>
            <w:tcW w:w="320" w:type="dxa"/>
            <w:tcBorders>
              <w:bottom w:val="single" w:sz="4" w:space="0" w:color="auto"/>
            </w:tcBorders>
            <w:shd w:val="clear" w:color="auto" w:fill="auto"/>
            <w:noWrap/>
            <w:vAlign w:val="bottom"/>
            <w:hideMark/>
          </w:tcPr>
          <w:p w14:paraId="02EF9EF8" w14:textId="77777777" w:rsidR="002B1485" w:rsidRPr="009E35ED" w:rsidRDefault="002B1485" w:rsidP="00803F8C">
            <w:pPr>
              <w:ind w:left="0"/>
              <w:rPr>
                <w:rFonts w:ascii="Arial Narrow" w:hAnsi="Arial Narrow" w:cs="Arial"/>
                <w:color w:val="000000" w:themeColor="text1"/>
                <w:sz w:val="22"/>
                <w:szCs w:val="22"/>
                <w:lang w:val="en-PH" w:eastAsia="en-PH"/>
              </w:rPr>
            </w:pPr>
          </w:p>
        </w:tc>
        <w:tc>
          <w:tcPr>
            <w:tcW w:w="4500" w:type="dxa"/>
            <w:tcBorders>
              <w:bottom w:val="single" w:sz="4" w:space="0" w:color="auto"/>
            </w:tcBorders>
            <w:shd w:val="clear" w:color="auto" w:fill="auto"/>
            <w:noWrap/>
            <w:vAlign w:val="bottom"/>
            <w:hideMark/>
          </w:tcPr>
          <w:p w14:paraId="3DB23B2E" w14:textId="77777777" w:rsidR="002B1485" w:rsidRPr="009E35ED" w:rsidRDefault="002B1485" w:rsidP="00803F8C">
            <w:pPr>
              <w:ind w:left="0"/>
              <w:rPr>
                <w:rFonts w:ascii="Arial Narrow" w:hAnsi="Arial Narrow" w:cs="Arial"/>
                <w:color w:val="000000" w:themeColor="text1"/>
                <w:sz w:val="22"/>
                <w:szCs w:val="22"/>
                <w:lang w:val="en-PH" w:eastAsia="en-PH"/>
              </w:rPr>
            </w:pPr>
            <w:r w:rsidRPr="009E35ED">
              <w:rPr>
                <w:rFonts w:ascii="Arial Narrow" w:hAnsi="Arial Narrow" w:cs="Arial"/>
                <w:color w:val="000000" w:themeColor="text1"/>
                <w:sz w:val="22"/>
                <w:szCs w:val="22"/>
                <w:lang w:val="en-PH" w:eastAsia="en-PH"/>
              </w:rPr>
              <w:t>National Capital Region (NCR)</w:t>
            </w:r>
          </w:p>
        </w:tc>
        <w:tc>
          <w:tcPr>
            <w:tcW w:w="980" w:type="dxa"/>
            <w:tcBorders>
              <w:bottom w:val="single" w:sz="4" w:space="0" w:color="auto"/>
            </w:tcBorders>
            <w:shd w:val="clear" w:color="auto" w:fill="auto"/>
            <w:noWrap/>
            <w:vAlign w:val="bottom"/>
            <w:hideMark/>
          </w:tcPr>
          <w:p w14:paraId="79951832" w14:textId="20D3A097" w:rsidR="001C4FF7" w:rsidRPr="009E35ED" w:rsidRDefault="002B1485" w:rsidP="008C6A0C">
            <w:pPr>
              <w:ind w:left="0"/>
              <w:jc w:val="center"/>
              <w:rPr>
                <w:rFonts w:ascii="Arial Narrow" w:hAnsi="Arial Narrow" w:cs="Arial"/>
                <w:color w:val="000000" w:themeColor="text1"/>
                <w:sz w:val="22"/>
                <w:szCs w:val="22"/>
                <w:lang w:val="en-PH" w:eastAsia="en-PH"/>
              </w:rPr>
            </w:pPr>
            <w:r w:rsidRPr="009E35ED">
              <w:rPr>
                <w:rFonts w:ascii="Arial Narrow" w:hAnsi="Arial Narrow" w:cs="Arial"/>
                <w:color w:val="000000" w:themeColor="text1"/>
                <w:sz w:val="22"/>
                <w:szCs w:val="22"/>
                <w:lang w:val="en-PH" w:eastAsia="en-PH"/>
              </w:rPr>
              <w:t>3</w:t>
            </w:r>
          </w:p>
        </w:tc>
        <w:tc>
          <w:tcPr>
            <w:tcW w:w="2670" w:type="dxa"/>
            <w:tcBorders>
              <w:bottom w:val="single" w:sz="4" w:space="0" w:color="auto"/>
            </w:tcBorders>
            <w:shd w:val="clear" w:color="auto" w:fill="auto"/>
            <w:noWrap/>
            <w:vAlign w:val="bottom"/>
            <w:hideMark/>
          </w:tcPr>
          <w:p w14:paraId="67CE27C1" w14:textId="1075BCF5" w:rsidR="002B1485" w:rsidRPr="009E35ED" w:rsidRDefault="002B1485" w:rsidP="0096758A">
            <w:pPr>
              <w:ind w:left="0" w:right="-109"/>
              <w:jc w:val="right"/>
              <w:rPr>
                <w:rFonts w:ascii="Arial Narrow" w:hAnsi="Arial Narrow" w:cs="Arial"/>
                <w:color w:val="000000" w:themeColor="text1"/>
                <w:sz w:val="22"/>
                <w:szCs w:val="22"/>
                <w:lang w:val="en-PH" w:eastAsia="en-PH"/>
              </w:rPr>
            </w:pPr>
            <w:r w:rsidRPr="009E35ED">
              <w:rPr>
                <w:rFonts w:ascii="Arial Narrow" w:hAnsi="Arial Narrow" w:cs="Arial"/>
                <w:color w:val="000000" w:themeColor="text1"/>
                <w:sz w:val="22"/>
                <w:szCs w:val="22"/>
                <w:lang w:val="en-PH" w:eastAsia="en-PH"/>
              </w:rPr>
              <w:t xml:space="preserve">        </w:t>
            </w:r>
            <w:r w:rsidR="008C6A0C" w:rsidRPr="009E35ED">
              <w:rPr>
                <w:rFonts w:ascii="Arial Narrow" w:hAnsi="Arial Narrow" w:cs="Arial"/>
                <w:color w:val="000000" w:themeColor="text1"/>
                <w:sz w:val="22"/>
                <w:szCs w:val="22"/>
                <w:lang w:val="en-PH" w:eastAsia="en-PH"/>
              </w:rPr>
              <w:t>6</w:t>
            </w:r>
            <w:r w:rsidRPr="009E35ED">
              <w:rPr>
                <w:rFonts w:ascii="Arial Narrow" w:hAnsi="Arial Narrow" w:cs="Arial"/>
                <w:color w:val="000000" w:themeColor="text1"/>
                <w:sz w:val="22"/>
                <w:szCs w:val="22"/>
                <w:lang w:val="en-PH" w:eastAsia="en-PH"/>
              </w:rPr>
              <w:t>,</w:t>
            </w:r>
            <w:r w:rsidR="008C6A0C" w:rsidRPr="009E35ED">
              <w:rPr>
                <w:rFonts w:ascii="Arial Narrow" w:hAnsi="Arial Narrow" w:cs="Arial"/>
                <w:color w:val="000000" w:themeColor="text1"/>
                <w:sz w:val="22"/>
                <w:szCs w:val="22"/>
                <w:lang w:val="en-PH" w:eastAsia="en-PH"/>
              </w:rPr>
              <w:t>398</w:t>
            </w:r>
            <w:r w:rsidRPr="009E35ED">
              <w:rPr>
                <w:rFonts w:ascii="Arial Narrow" w:hAnsi="Arial Narrow" w:cs="Arial"/>
                <w:color w:val="000000" w:themeColor="text1"/>
                <w:sz w:val="22"/>
                <w:szCs w:val="22"/>
                <w:lang w:val="en-PH" w:eastAsia="en-PH"/>
              </w:rPr>
              <w:t>,</w:t>
            </w:r>
            <w:r w:rsidR="008C6A0C" w:rsidRPr="009E35ED">
              <w:rPr>
                <w:rFonts w:ascii="Arial Narrow" w:hAnsi="Arial Narrow" w:cs="Arial"/>
                <w:color w:val="000000" w:themeColor="text1"/>
                <w:sz w:val="22"/>
                <w:szCs w:val="22"/>
                <w:lang w:val="en-PH" w:eastAsia="en-PH"/>
              </w:rPr>
              <w:t>42</w:t>
            </w:r>
            <w:r w:rsidR="0096758A" w:rsidRPr="009E35ED">
              <w:rPr>
                <w:rFonts w:ascii="Arial Narrow" w:hAnsi="Arial Narrow" w:cs="Arial"/>
                <w:color w:val="000000" w:themeColor="text1"/>
                <w:sz w:val="22"/>
                <w:szCs w:val="22"/>
                <w:lang w:val="en-PH" w:eastAsia="en-PH"/>
              </w:rPr>
              <w:t>5</w:t>
            </w:r>
            <w:r w:rsidRPr="009E35ED">
              <w:rPr>
                <w:rFonts w:ascii="Arial Narrow" w:hAnsi="Arial Narrow" w:cs="Arial"/>
                <w:color w:val="000000" w:themeColor="text1"/>
                <w:sz w:val="22"/>
                <w:szCs w:val="22"/>
                <w:lang w:val="en-PH" w:eastAsia="en-PH"/>
              </w:rPr>
              <w:t xml:space="preserve"> </w:t>
            </w:r>
          </w:p>
        </w:tc>
      </w:tr>
      <w:tr w:rsidR="00997F75" w:rsidRPr="009E35ED" w14:paraId="213EEC21" w14:textId="77777777" w:rsidTr="00A552D8">
        <w:trPr>
          <w:trHeight w:val="255"/>
        </w:trPr>
        <w:tc>
          <w:tcPr>
            <w:tcW w:w="278" w:type="dxa"/>
            <w:tcBorders>
              <w:top w:val="single" w:sz="4" w:space="0" w:color="auto"/>
              <w:bottom w:val="single" w:sz="4" w:space="0" w:color="auto"/>
            </w:tcBorders>
            <w:shd w:val="clear" w:color="auto" w:fill="auto"/>
            <w:noWrap/>
            <w:vAlign w:val="bottom"/>
            <w:hideMark/>
          </w:tcPr>
          <w:p w14:paraId="7B5FF9FF" w14:textId="77777777" w:rsidR="002B1485" w:rsidRPr="009E35ED" w:rsidRDefault="002B1485" w:rsidP="00803F8C">
            <w:pPr>
              <w:ind w:left="0"/>
              <w:rPr>
                <w:rFonts w:ascii="Arial Narrow" w:hAnsi="Arial Narrow" w:cs="Arial"/>
                <w:color w:val="000000" w:themeColor="text1"/>
                <w:sz w:val="22"/>
                <w:szCs w:val="22"/>
                <w:lang w:val="en-PH" w:eastAsia="en-PH"/>
              </w:rPr>
            </w:pPr>
            <w:r w:rsidRPr="009E35ED">
              <w:rPr>
                <w:rFonts w:ascii="Arial Narrow" w:hAnsi="Arial Narrow" w:cs="Arial"/>
                <w:color w:val="000000" w:themeColor="text1"/>
                <w:sz w:val="22"/>
                <w:szCs w:val="22"/>
                <w:lang w:val="en-PH" w:eastAsia="en-PH"/>
              </w:rPr>
              <w:t> </w:t>
            </w:r>
          </w:p>
        </w:tc>
        <w:tc>
          <w:tcPr>
            <w:tcW w:w="320" w:type="dxa"/>
            <w:tcBorders>
              <w:top w:val="single" w:sz="4" w:space="0" w:color="auto"/>
              <w:bottom w:val="single" w:sz="4" w:space="0" w:color="auto"/>
            </w:tcBorders>
            <w:shd w:val="clear" w:color="auto" w:fill="auto"/>
            <w:noWrap/>
            <w:vAlign w:val="bottom"/>
            <w:hideMark/>
          </w:tcPr>
          <w:p w14:paraId="2C06A40C" w14:textId="77777777" w:rsidR="002B1485" w:rsidRPr="009E35ED" w:rsidRDefault="002B1485" w:rsidP="00803F8C">
            <w:pPr>
              <w:ind w:left="0"/>
              <w:rPr>
                <w:rFonts w:ascii="Arial Narrow" w:hAnsi="Arial Narrow" w:cs="Arial"/>
                <w:color w:val="000000" w:themeColor="text1"/>
                <w:sz w:val="22"/>
                <w:szCs w:val="22"/>
                <w:lang w:val="en-PH" w:eastAsia="en-PH"/>
              </w:rPr>
            </w:pPr>
          </w:p>
        </w:tc>
        <w:tc>
          <w:tcPr>
            <w:tcW w:w="4500" w:type="dxa"/>
            <w:tcBorders>
              <w:top w:val="single" w:sz="4" w:space="0" w:color="auto"/>
              <w:bottom w:val="single" w:sz="4" w:space="0" w:color="auto"/>
            </w:tcBorders>
            <w:shd w:val="clear" w:color="auto" w:fill="auto"/>
            <w:noWrap/>
            <w:vAlign w:val="bottom"/>
            <w:hideMark/>
          </w:tcPr>
          <w:p w14:paraId="15D0364E" w14:textId="77777777" w:rsidR="002B1485" w:rsidRPr="009E35ED" w:rsidRDefault="002B1485" w:rsidP="006F3404">
            <w:pPr>
              <w:ind w:left="0"/>
              <w:jc w:val="left"/>
              <w:rPr>
                <w:rFonts w:ascii="Arial Narrow" w:hAnsi="Arial Narrow" w:cs="Arial"/>
                <w:color w:val="000000" w:themeColor="text1"/>
                <w:sz w:val="22"/>
                <w:szCs w:val="22"/>
                <w:lang w:val="en-PH" w:eastAsia="en-PH"/>
              </w:rPr>
            </w:pPr>
            <w:r w:rsidRPr="009E35ED">
              <w:rPr>
                <w:rFonts w:ascii="Arial Narrow" w:hAnsi="Arial Narrow" w:cs="Arial"/>
                <w:color w:val="000000" w:themeColor="text1"/>
                <w:sz w:val="22"/>
                <w:szCs w:val="22"/>
                <w:lang w:val="en-PH" w:eastAsia="en-PH"/>
              </w:rPr>
              <w:t>Sub-total</w:t>
            </w:r>
          </w:p>
        </w:tc>
        <w:tc>
          <w:tcPr>
            <w:tcW w:w="980" w:type="dxa"/>
            <w:tcBorders>
              <w:top w:val="single" w:sz="4" w:space="0" w:color="auto"/>
              <w:bottom w:val="single" w:sz="4" w:space="0" w:color="auto"/>
            </w:tcBorders>
            <w:shd w:val="clear" w:color="auto" w:fill="auto"/>
            <w:noWrap/>
            <w:vAlign w:val="bottom"/>
            <w:hideMark/>
          </w:tcPr>
          <w:p w14:paraId="6FC00EEC" w14:textId="77777777" w:rsidR="002B1485" w:rsidRPr="009E35ED" w:rsidRDefault="002B1485" w:rsidP="00803F8C">
            <w:pPr>
              <w:ind w:left="0"/>
              <w:jc w:val="center"/>
              <w:rPr>
                <w:rFonts w:ascii="Arial Narrow" w:hAnsi="Arial Narrow" w:cs="Arial"/>
                <w:color w:val="000000" w:themeColor="text1"/>
                <w:sz w:val="22"/>
                <w:szCs w:val="22"/>
                <w:lang w:val="en-PH" w:eastAsia="en-PH"/>
              </w:rPr>
            </w:pPr>
            <w:r w:rsidRPr="009E35ED">
              <w:rPr>
                <w:rFonts w:ascii="Arial Narrow" w:hAnsi="Arial Narrow" w:cs="Arial"/>
                <w:color w:val="000000" w:themeColor="text1"/>
                <w:sz w:val="22"/>
                <w:szCs w:val="22"/>
                <w:lang w:val="en-PH" w:eastAsia="en-PH"/>
              </w:rPr>
              <w:t>3</w:t>
            </w:r>
          </w:p>
        </w:tc>
        <w:tc>
          <w:tcPr>
            <w:tcW w:w="2670" w:type="dxa"/>
            <w:tcBorders>
              <w:top w:val="single" w:sz="4" w:space="0" w:color="auto"/>
              <w:bottom w:val="single" w:sz="4" w:space="0" w:color="auto"/>
            </w:tcBorders>
            <w:shd w:val="clear" w:color="auto" w:fill="auto"/>
            <w:noWrap/>
            <w:vAlign w:val="bottom"/>
            <w:hideMark/>
          </w:tcPr>
          <w:p w14:paraId="3609639A" w14:textId="5BE45148" w:rsidR="002B1485" w:rsidRPr="009E35ED" w:rsidRDefault="002B1485" w:rsidP="0096758A">
            <w:pPr>
              <w:ind w:left="0" w:right="-109"/>
              <w:jc w:val="right"/>
              <w:rPr>
                <w:rFonts w:ascii="Arial Narrow" w:hAnsi="Arial Narrow" w:cs="Arial"/>
                <w:color w:val="000000" w:themeColor="text1"/>
                <w:sz w:val="22"/>
                <w:szCs w:val="22"/>
                <w:lang w:val="en-PH" w:eastAsia="en-PH"/>
              </w:rPr>
            </w:pPr>
            <w:r w:rsidRPr="009E35ED">
              <w:rPr>
                <w:rFonts w:ascii="Arial Narrow" w:hAnsi="Arial Narrow" w:cs="Arial"/>
                <w:color w:val="000000" w:themeColor="text1"/>
                <w:sz w:val="22"/>
                <w:szCs w:val="22"/>
                <w:lang w:val="en-PH" w:eastAsia="en-PH"/>
              </w:rPr>
              <w:t xml:space="preserve">        6,398,42</w:t>
            </w:r>
            <w:r w:rsidR="0096758A" w:rsidRPr="009E35ED">
              <w:rPr>
                <w:rFonts w:ascii="Arial Narrow" w:hAnsi="Arial Narrow" w:cs="Arial"/>
                <w:color w:val="000000" w:themeColor="text1"/>
                <w:sz w:val="22"/>
                <w:szCs w:val="22"/>
                <w:lang w:val="en-PH" w:eastAsia="en-PH"/>
              </w:rPr>
              <w:t>5</w:t>
            </w:r>
            <w:r w:rsidRPr="009E35ED">
              <w:rPr>
                <w:rFonts w:ascii="Arial Narrow" w:hAnsi="Arial Narrow" w:cs="Arial"/>
                <w:color w:val="000000" w:themeColor="text1"/>
                <w:sz w:val="22"/>
                <w:szCs w:val="22"/>
                <w:lang w:val="en-PH" w:eastAsia="en-PH"/>
              </w:rPr>
              <w:t xml:space="preserve"> </w:t>
            </w:r>
          </w:p>
        </w:tc>
      </w:tr>
      <w:tr w:rsidR="00997F75" w:rsidRPr="009E35ED" w14:paraId="155CFBEC" w14:textId="77777777" w:rsidTr="00A552D8">
        <w:trPr>
          <w:trHeight w:val="255"/>
        </w:trPr>
        <w:tc>
          <w:tcPr>
            <w:tcW w:w="278" w:type="dxa"/>
            <w:tcBorders>
              <w:top w:val="single" w:sz="4" w:space="0" w:color="auto"/>
              <w:bottom w:val="single" w:sz="4" w:space="0" w:color="auto"/>
            </w:tcBorders>
            <w:shd w:val="clear" w:color="auto" w:fill="auto"/>
            <w:noWrap/>
            <w:vAlign w:val="bottom"/>
            <w:hideMark/>
          </w:tcPr>
          <w:p w14:paraId="05F57805" w14:textId="77777777" w:rsidR="006F3404" w:rsidRPr="009E35ED" w:rsidRDefault="006F3404" w:rsidP="00803F8C">
            <w:pPr>
              <w:ind w:left="0"/>
              <w:rPr>
                <w:rFonts w:ascii="Arial Narrow" w:hAnsi="Arial Narrow" w:cs="Arial"/>
                <w:color w:val="000000" w:themeColor="text1"/>
                <w:sz w:val="22"/>
                <w:szCs w:val="22"/>
                <w:lang w:val="en-PH" w:eastAsia="en-PH"/>
              </w:rPr>
            </w:pPr>
            <w:r w:rsidRPr="009E35ED">
              <w:rPr>
                <w:rFonts w:ascii="Arial Narrow" w:hAnsi="Arial Narrow" w:cs="Arial"/>
                <w:color w:val="000000" w:themeColor="text1"/>
                <w:sz w:val="22"/>
                <w:szCs w:val="22"/>
                <w:lang w:val="en-PH" w:eastAsia="en-PH"/>
              </w:rPr>
              <w:t> </w:t>
            </w:r>
          </w:p>
        </w:tc>
        <w:tc>
          <w:tcPr>
            <w:tcW w:w="4820" w:type="dxa"/>
            <w:gridSpan w:val="2"/>
            <w:tcBorders>
              <w:top w:val="single" w:sz="4" w:space="0" w:color="auto"/>
              <w:bottom w:val="single" w:sz="4" w:space="0" w:color="auto"/>
            </w:tcBorders>
            <w:shd w:val="clear" w:color="auto" w:fill="auto"/>
            <w:noWrap/>
            <w:vAlign w:val="bottom"/>
            <w:hideMark/>
          </w:tcPr>
          <w:p w14:paraId="350A1CFA" w14:textId="77777777" w:rsidR="006F3404" w:rsidRPr="009E35ED" w:rsidRDefault="006F3404" w:rsidP="006F3404">
            <w:pPr>
              <w:ind w:left="0"/>
              <w:jc w:val="left"/>
              <w:rPr>
                <w:rFonts w:ascii="Arial Narrow" w:hAnsi="Arial Narrow" w:cs="Arial"/>
                <w:color w:val="000000" w:themeColor="text1"/>
                <w:sz w:val="22"/>
                <w:szCs w:val="22"/>
                <w:lang w:val="en-PH" w:eastAsia="en-PH"/>
              </w:rPr>
            </w:pPr>
            <w:r w:rsidRPr="009E35ED">
              <w:rPr>
                <w:rFonts w:ascii="Arial Narrow" w:hAnsi="Arial Narrow" w:cs="Arial"/>
                <w:color w:val="000000" w:themeColor="text1"/>
                <w:sz w:val="22"/>
                <w:szCs w:val="22"/>
                <w:lang w:val="en-PH" w:eastAsia="en-PH"/>
              </w:rPr>
              <w:t>Total</w:t>
            </w:r>
          </w:p>
        </w:tc>
        <w:tc>
          <w:tcPr>
            <w:tcW w:w="980" w:type="dxa"/>
            <w:tcBorders>
              <w:top w:val="single" w:sz="4" w:space="0" w:color="auto"/>
              <w:bottom w:val="single" w:sz="4" w:space="0" w:color="auto"/>
            </w:tcBorders>
            <w:shd w:val="clear" w:color="auto" w:fill="auto"/>
            <w:noWrap/>
            <w:vAlign w:val="bottom"/>
            <w:hideMark/>
          </w:tcPr>
          <w:p w14:paraId="60066F65" w14:textId="5DE97C45" w:rsidR="006F3404" w:rsidRPr="009E35ED" w:rsidRDefault="00BD089E" w:rsidP="00803F8C">
            <w:pPr>
              <w:ind w:left="0"/>
              <w:jc w:val="center"/>
              <w:rPr>
                <w:rFonts w:ascii="Arial Narrow" w:hAnsi="Arial Narrow" w:cs="Arial"/>
                <w:color w:val="000000" w:themeColor="text1"/>
                <w:sz w:val="22"/>
                <w:szCs w:val="22"/>
                <w:lang w:val="en-PH" w:eastAsia="en-PH"/>
              </w:rPr>
            </w:pPr>
            <w:r w:rsidRPr="009E35ED">
              <w:rPr>
                <w:rFonts w:ascii="Arial Narrow" w:hAnsi="Arial Narrow" w:cs="Arial"/>
                <w:color w:val="000000" w:themeColor="text1"/>
                <w:sz w:val="22"/>
                <w:szCs w:val="22"/>
                <w:lang w:val="en-PH" w:eastAsia="en-PH"/>
              </w:rPr>
              <w:t>18</w:t>
            </w:r>
          </w:p>
        </w:tc>
        <w:tc>
          <w:tcPr>
            <w:tcW w:w="2670" w:type="dxa"/>
            <w:tcBorders>
              <w:top w:val="single" w:sz="4" w:space="0" w:color="auto"/>
              <w:bottom w:val="single" w:sz="4" w:space="0" w:color="auto"/>
            </w:tcBorders>
            <w:shd w:val="clear" w:color="auto" w:fill="auto"/>
            <w:noWrap/>
            <w:vAlign w:val="bottom"/>
            <w:hideMark/>
          </w:tcPr>
          <w:p w14:paraId="71EC67F4" w14:textId="7658A3E4" w:rsidR="006F3404" w:rsidRPr="009E35ED" w:rsidRDefault="00412F63" w:rsidP="0096758A">
            <w:pPr>
              <w:ind w:left="0" w:right="-109"/>
              <w:jc w:val="right"/>
              <w:rPr>
                <w:rFonts w:ascii="Arial Narrow" w:hAnsi="Arial Narrow" w:cs="Arial"/>
                <w:color w:val="000000" w:themeColor="text1"/>
                <w:sz w:val="22"/>
                <w:szCs w:val="22"/>
                <w:lang w:val="en-PH" w:eastAsia="en-PH"/>
              </w:rPr>
            </w:pPr>
            <w:r w:rsidRPr="009E35ED">
              <w:rPr>
                <w:rFonts w:ascii="Arial Narrow" w:hAnsi="Arial Narrow" w:cs="Arial"/>
                <w:color w:val="000000" w:themeColor="text1"/>
                <w:sz w:val="22"/>
                <w:szCs w:val="22"/>
                <w:lang w:val="en-PH" w:eastAsia="en-PH"/>
              </w:rPr>
              <w:t>36</w:t>
            </w:r>
            <w:r w:rsidR="006F3404" w:rsidRPr="009E35ED">
              <w:rPr>
                <w:rFonts w:ascii="Arial Narrow" w:hAnsi="Arial Narrow" w:cs="Arial"/>
                <w:color w:val="000000" w:themeColor="text1"/>
                <w:sz w:val="22"/>
                <w:szCs w:val="22"/>
                <w:lang w:val="en-PH" w:eastAsia="en-PH"/>
              </w:rPr>
              <w:t>,</w:t>
            </w:r>
            <w:r w:rsidRPr="009E35ED">
              <w:rPr>
                <w:rFonts w:ascii="Arial Narrow" w:hAnsi="Arial Narrow" w:cs="Arial"/>
                <w:color w:val="000000" w:themeColor="text1"/>
                <w:sz w:val="22"/>
                <w:szCs w:val="22"/>
                <w:lang w:val="en-PH" w:eastAsia="en-PH"/>
              </w:rPr>
              <w:t>342</w:t>
            </w:r>
            <w:r w:rsidR="006F3404" w:rsidRPr="009E35ED">
              <w:rPr>
                <w:rFonts w:ascii="Arial Narrow" w:hAnsi="Arial Narrow" w:cs="Arial"/>
                <w:color w:val="000000" w:themeColor="text1"/>
                <w:sz w:val="22"/>
                <w:szCs w:val="22"/>
                <w:lang w:val="en-PH" w:eastAsia="en-PH"/>
              </w:rPr>
              <w:t>,</w:t>
            </w:r>
            <w:r w:rsidRPr="009E35ED">
              <w:rPr>
                <w:rFonts w:ascii="Arial Narrow" w:hAnsi="Arial Narrow" w:cs="Arial"/>
                <w:color w:val="000000" w:themeColor="text1"/>
                <w:sz w:val="22"/>
                <w:szCs w:val="22"/>
                <w:lang w:val="en-PH" w:eastAsia="en-PH"/>
              </w:rPr>
              <w:t>1</w:t>
            </w:r>
            <w:r w:rsidR="006F3404" w:rsidRPr="009E35ED">
              <w:rPr>
                <w:rFonts w:ascii="Arial Narrow" w:hAnsi="Arial Narrow" w:cs="Arial"/>
                <w:color w:val="000000" w:themeColor="text1"/>
                <w:sz w:val="22"/>
                <w:szCs w:val="22"/>
                <w:lang w:val="en-PH" w:eastAsia="en-PH"/>
              </w:rPr>
              <w:t>4</w:t>
            </w:r>
            <w:r w:rsidR="0096758A" w:rsidRPr="009E35ED">
              <w:rPr>
                <w:rFonts w:ascii="Arial Narrow" w:hAnsi="Arial Narrow" w:cs="Arial"/>
                <w:color w:val="000000" w:themeColor="text1"/>
                <w:sz w:val="22"/>
                <w:szCs w:val="22"/>
                <w:lang w:val="en-PH" w:eastAsia="en-PH"/>
              </w:rPr>
              <w:t>6</w:t>
            </w:r>
            <w:r w:rsidR="006F3404" w:rsidRPr="009E35ED">
              <w:rPr>
                <w:rFonts w:ascii="Arial Narrow" w:hAnsi="Arial Narrow" w:cs="Arial"/>
                <w:color w:val="000000" w:themeColor="text1"/>
                <w:sz w:val="22"/>
                <w:szCs w:val="22"/>
                <w:lang w:val="en-PH" w:eastAsia="en-PH"/>
              </w:rPr>
              <w:t xml:space="preserve"> </w:t>
            </w:r>
          </w:p>
        </w:tc>
      </w:tr>
      <w:tr w:rsidR="00997F75" w:rsidRPr="009E35ED" w14:paraId="2832A96A" w14:textId="77777777" w:rsidTr="00A552D8">
        <w:trPr>
          <w:trHeight w:val="270"/>
        </w:trPr>
        <w:tc>
          <w:tcPr>
            <w:tcW w:w="5098" w:type="dxa"/>
            <w:gridSpan w:val="3"/>
            <w:tcBorders>
              <w:top w:val="single" w:sz="4" w:space="0" w:color="auto"/>
              <w:bottom w:val="double" w:sz="4" w:space="0" w:color="auto"/>
            </w:tcBorders>
            <w:shd w:val="clear" w:color="auto" w:fill="auto"/>
            <w:noWrap/>
            <w:vAlign w:val="bottom"/>
            <w:hideMark/>
          </w:tcPr>
          <w:p w14:paraId="2B393F03" w14:textId="77777777" w:rsidR="006F3404" w:rsidRPr="009E35ED" w:rsidRDefault="006F3404" w:rsidP="006F3404">
            <w:pPr>
              <w:ind w:left="0"/>
              <w:rPr>
                <w:rFonts w:ascii="Arial Narrow" w:hAnsi="Arial Narrow" w:cs="Arial"/>
                <w:b/>
                <w:bCs/>
                <w:color w:val="000000" w:themeColor="text1"/>
                <w:sz w:val="22"/>
                <w:szCs w:val="22"/>
                <w:lang w:val="en-PH" w:eastAsia="en-PH"/>
              </w:rPr>
            </w:pPr>
            <w:r w:rsidRPr="009E35ED">
              <w:rPr>
                <w:rFonts w:ascii="Arial Narrow" w:hAnsi="Arial Narrow" w:cs="Arial"/>
                <w:b/>
                <w:bCs/>
                <w:color w:val="000000" w:themeColor="text1"/>
                <w:sz w:val="22"/>
                <w:szCs w:val="22"/>
                <w:lang w:val="en-PH" w:eastAsia="en-PH"/>
              </w:rPr>
              <w:t> Grand Total</w:t>
            </w:r>
          </w:p>
        </w:tc>
        <w:tc>
          <w:tcPr>
            <w:tcW w:w="980" w:type="dxa"/>
            <w:tcBorders>
              <w:top w:val="single" w:sz="4" w:space="0" w:color="auto"/>
              <w:bottom w:val="double" w:sz="4" w:space="0" w:color="auto"/>
            </w:tcBorders>
            <w:shd w:val="clear" w:color="auto" w:fill="auto"/>
            <w:noWrap/>
            <w:vAlign w:val="bottom"/>
            <w:hideMark/>
          </w:tcPr>
          <w:p w14:paraId="4E332B5C" w14:textId="1430C97A" w:rsidR="006F3404" w:rsidRPr="009E35ED" w:rsidRDefault="00BD089E" w:rsidP="00803F8C">
            <w:pPr>
              <w:ind w:left="0"/>
              <w:jc w:val="center"/>
              <w:rPr>
                <w:rFonts w:ascii="Arial Narrow" w:hAnsi="Arial Narrow" w:cs="Arial"/>
                <w:b/>
                <w:bCs/>
                <w:color w:val="000000" w:themeColor="text1"/>
                <w:sz w:val="22"/>
                <w:szCs w:val="22"/>
                <w:lang w:val="en-PH" w:eastAsia="en-PH"/>
              </w:rPr>
            </w:pPr>
            <w:r w:rsidRPr="009E35ED">
              <w:rPr>
                <w:rFonts w:ascii="Arial Narrow" w:hAnsi="Arial Narrow" w:cs="Arial"/>
                <w:b/>
                <w:bCs/>
                <w:color w:val="000000" w:themeColor="text1"/>
                <w:sz w:val="22"/>
                <w:szCs w:val="22"/>
                <w:lang w:val="en-PH" w:eastAsia="en-PH"/>
              </w:rPr>
              <w:t>55</w:t>
            </w:r>
          </w:p>
        </w:tc>
        <w:tc>
          <w:tcPr>
            <w:tcW w:w="2670" w:type="dxa"/>
            <w:tcBorders>
              <w:top w:val="single" w:sz="4" w:space="0" w:color="auto"/>
              <w:bottom w:val="double" w:sz="4" w:space="0" w:color="auto"/>
            </w:tcBorders>
            <w:shd w:val="clear" w:color="auto" w:fill="auto"/>
            <w:noWrap/>
            <w:vAlign w:val="bottom"/>
            <w:hideMark/>
          </w:tcPr>
          <w:p w14:paraId="1C133706" w14:textId="166FCB0F" w:rsidR="006F3404" w:rsidRPr="009E35ED" w:rsidRDefault="006F3404" w:rsidP="0096758A">
            <w:pPr>
              <w:ind w:left="0" w:right="-109"/>
              <w:jc w:val="right"/>
              <w:rPr>
                <w:rFonts w:ascii="Arial Narrow" w:hAnsi="Arial Narrow" w:cs="Arial"/>
                <w:b/>
                <w:bCs/>
                <w:color w:val="000000" w:themeColor="text1"/>
                <w:sz w:val="22"/>
                <w:szCs w:val="22"/>
                <w:lang w:val="en-PH" w:eastAsia="en-PH"/>
              </w:rPr>
            </w:pPr>
            <w:r w:rsidRPr="009E35ED">
              <w:rPr>
                <w:rFonts w:ascii="Arial Narrow" w:hAnsi="Arial Narrow" w:cs="Arial"/>
                <w:b/>
                <w:bCs/>
                <w:color w:val="000000" w:themeColor="text1"/>
                <w:sz w:val="22"/>
                <w:szCs w:val="22"/>
                <w:lang w:val="en-PH" w:eastAsia="en-PH"/>
              </w:rPr>
              <w:t xml:space="preserve">      </w:t>
            </w:r>
            <w:r w:rsidR="00BD089E" w:rsidRPr="009E35ED">
              <w:rPr>
                <w:rFonts w:ascii="Arial Narrow" w:hAnsi="Arial Narrow" w:cs="Arial"/>
                <w:b/>
                <w:bCs/>
                <w:color w:val="000000" w:themeColor="text1"/>
                <w:sz w:val="22"/>
                <w:szCs w:val="22"/>
                <w:lang w:val="en-PH" w:eastAsia="en-PH"/>
              </w:rPr>
              <w:t>136,76</w:t>
            </w:r>
            <w:r w:rsidRPr="009E35ED">
              <w:rPr>
                <w:rFonts w:ascii="Arial Narrow" w:hAnsi="Arial Narrow" w:cs="Arial"/>
                <w:b/>
                <w:bCs/>
                <w:color w:val="000000" w:themeColor="text1"/>
                <w:sz w:val="22"/>
                <w:szCs w:val="22"/>
                <w:lang w:val="en-PH" w:eastAsia="en-PH"/>
              </w:rPr>
              <w:t>3,</w:t>
            </w:r>
            <w:r w:rsidR="00BD089E" w:rsidRPr="009E35ED">
              <w:rPr>
                <w:rFonts w:ascii="Arial Narrow" w:hAnsi="Arial Narrow" w:cs="Arial"/>
                <w:b/>
                <w:bCs/>
                <w:color w:val="000000" w:themeColor="text1"/>
                <w:sz w:val="22"/>
                <w:szCs w:val="22"/>
                <w:lang w:val="en-PH" w:eastAsia="en-PH"/>
              </w:rPr>
              <w:t>275</w:t>
            </w:r>
            <w:r w:rsidRPr="009E35ED">
              <w:rPr>
                <w:rFonts w:ascii="Arial Narrow" w:hAnsi="Arial Narrow" w:cs="Arial"/>
                <w:b/>
                <w:bCs/>
                <w:color w:val="000000" w:themeColor="text1"/>
                <w:sz w:val="22"/>
                <w:szCs w:val="22"/>
                <w:lang w:val="en-PH" w:eastAsia="en-PH"/>
              </w:rPr>
              <w:t xml:space="preserve"> </w:t>
            </w:r>
          </w:p>
        </w:tc>
      </w:tr>
      <w:tr w:rsidR="00997F75" w:rsidRPr="009E35ED" w14:paraId="11137456" w14:textId="77777777" w:rsidTr="00A552D8">
        <w:trPr>
          <w:trHeight w:val="255"/>
        </w:trPr>
        <w:tc>
          <w:tcPr>
            <w:tcW w:w="5098" w:type="dxa"/>
            <w:gridSpan w:val="3"/>
            <w:shd w:val="clear" w:color="auto" w:fill="auto"/>
            <w:noWrap/>
            <w:vAlign w:val="bottom"/>
            <w:hideMark/>
          </w:tcPr>
          <w:p w14:paraId="37067700" w14:textId="77777777" w:rsidR="005D3EDD" w:rsidRPr="009E35ED" w:rsidRDefault="005D3EDD" w:rsidP="00803F8C">
            <w:pPr>
              <w:ind w:left="0"/>
              <w:rPr>
                <w:rFonts w:ascii="Arial Narrow" w:hAnsi="Arial Narrow" w:cs="Arial"/>
                <w:color w:val="000000" w:themeColor="text1"/>
                <w:sz w:val="22"/>
                <w:szCs w:val="22"/>
                <w:lang w:val="en-PH" w:eastAsia="en-PH"/>
              </w:rPr>
            </w:pPr>
          </w:p>
          <w:p w14:paraId="35EC52E3" w14:textId="3B556D4F" w:rsidR="002B1485" w:rsidRPr="009E35ED" w:rsidRDefault="002B1485" w:rsidP="00803F8C">
            <w:pPr>
              <w:ind w:left="0"/>
              <w:rPr>
                <w:rFonts w:ascii="Arial Narrow" w:hAnsi="Arial Narrow" w:cs="Arial"/>
                <w:color w:val="000000" w:themeColor="text1"/>
                <w:sz w:val="22"/>
                <w:szCs w:val="22"/>
                <w:lang w:val="en-PH" w:eastAsia="en-PH"/>
              </w:rPr>
            </w:pPr>
            <w:r w:rsidRPr="009E35ED">
              <w:rPr>
                <w:rFonts w:ascii="Arial Narrow" w:hAnsi="Arial Narrow" w:cs="Arial"/>
                <w:color w:val="000000" w:themeColor="text1"/>
                <w:sz w:val="22"/>
                <w:szCs w:val="22"/>
                <w:lang w:val="en-PH" w:eastAsia="en-PH"/>
              </w:rPr>
              <w:t>Other Cases</w:t>
            </w:r>
          </w:p>
        </w:tc>
        <w:tc>
          <w:tcPr>
            <w:tcW w:w="980" w:type="dxa"/>
            <w:shd w:val="clear" w:color="auto" w:fill="auto"/>
            <w:noWrap/>
            <w:vAlign w:val="bottom"/>
            <w:hideMark/>
          </w:tcPr>
          <w:p w14:paraId="4634A827" w14:textId="77777777" w:rsidR="002B1485" w:rsidRPr="009E35ED" w:rsidRDefault="002B1485" w:rsidP="00803F8C">
            <w:pPr>
              <w:ind w:left="0"/>
              <w:rPr>
                <w:rFonts w:ascii="Arial Narrow" w:hAnsi="Arial Narrow" w:cs="Arial"/>
                <w:color w:val="000000" w:themeColor="text1"/>
                <w:sz w:val="22"/>
                <w:szCs w:val="22"/>
                <w:lang w:val="en-PH" w:eastAsia="en-PH"/>
              </w:rPr>
            </w:pPr>
          </w:p>
        </w:tc>
        <w:tc>
          <w:tcPr>
            <w:tcW w:w="2670" w:type="dxa"/>
            <w:shd w:val="clear" w:color="auto" w:fill="auto"/>
            <w:noWrap/>
            <w:vAlign w:val="bottom"/>
            <w:hideMark/>
          </w:tcPr>
          <w:p w14:paraId="6D23CA44" w14:textId="77777777" w:rsidR="002B1485" w:rsidRPr="009E35ED" w:rsidRDefault="002B1485" w:rsidP="00803F8C">
            <w:pPr>
              <w:ind w:left="0"/>
              <w:rPr>
                <w:rFonts w:ascii="Arial Narrow" w:hAnsi="Arial Narrow" w:cs="Arial"/>
                <w:color w:val="000000" w:themeColor="text1"/>
                <w:sz w:val="22"/>
                <w:szCs w:val="22"/>
                <w:lang w:val="en-PH" w:eastAsia="en-PH"/>
              </w:rPr>
            </w:pPr>
            <w:r w:rsidRPr="009E35ED">
              <w:rPr>
                <w:rFonts w:ascii="Arial Narrow" w:hAnsi="Arial Narrow" w:cs="Arial"/>
                <w:color w:val="000000" w:themeColor="text1"/>
                <w:sz w:val="22"/>
                <w:szCs w:val="22"/>
                <w:lang w:val="en-PH" w:eastAsia="en-PH"/>
              </w:rPr>
              <w:t> </w:t>
            </w:r>
          </w:p>
        </w:tc>
      </w:tr>
      <w:tr w:rsidR="00997F75" w:rsidRPr="009E35ED" w14:paraId="71B38B53" w14:textId="77777777" w:rsidTr="00A552D8">
        <w:trPr>
          <w:trHeight w:val="255"/>
        </w:trPr>
        <w:tc>
          <w:tcPr>
            <w:tcW w:w="278" w:type="dxa"/>
            <w:shd w:val="clear" w:color="auto" w:fill="auto"/>
            <w:noWrap/>
            <w:vAlign w:val="bottom"/>
            <w:hideMark/>
          </w:tcPr>
          <w:p w14:paraId="3262D4CB" w14:textId="77777777" w:rsidR="002B1485" w:rsidRPr="009E35ED" w:rsidRDefault="002B1485" w:rsidP="00803F8C">
            <w:pPr>
              <w:ind w:left="0"/>
              <w:rPr>
                <w:rFonts w:ascii="Arial Narrow" w:hAnsi="Arial Narrow" w:cs="Arial"/>
                <w:color w:val="000000" w:themeColor="text1"/>
                <w:sz w:val="22"/>
                <w:szCs w:val="22"/>
                <w:lang w:val="en-PH" w:eastAsia="en-PH"/>
              </w:rPr>
            </w:pPr>
            <w:r w:rsidRPr="009E35ED">
              <w:rPr>
                <w:rFonts w:ascii="Arial Narrow" w:hAnsi="Arial Narrow" w:cs="Arial"/>
                <w:color w:val="000000" w:themeColor="text1"/>
                <w:sz w:val="22"/>
                <w:szCs w:val="22"/>
                <w:lang w:val="en-PH" w:eastAsia="en-PH"/>
              </w:rPr>
              <w:t> </w:t>
            </w:r>
          </w:p>
        </w:tc>
        <w:tc>
          <w:tcPr>
            <w:tcW w:w="4820" w:type="dxa"/>
            <w:gridSpan w:val="2"/>
            <w:shd w:val="clear" w:color="auto" w:fill="auto"/>
            <w:noWrap/>
            <w:vAlign w:val="bottom"/>
            <w:hideMark/>
          </w:tcPr>
          <w:p w14:paraId="148A4983" w14:textId="77777777" w:rsidR="002B1485" w:rsidRPr="009E35ED" w:rsidRDefault="002B1485" w:rsidP="00803F8C">
            <w:pPr>
              <w:ind w:left="0"/>
              <w:rPr>
                <w:rFonts w:ascii="Arial Narrow" w:hAnsi="Arial Narrow" w:cs="Arial"/>
                <w:color w:val="000000" w:themeColor="text1"/>
                <w:sz w:val="22"/>
                <w:szCs w:val="22"/>
                <w:lang w:val="en-PH" w:eastAsia="en-PH"/>
              </w:rPr>
            </w:pPr>
            <w:r w:rsidRPr="009E35ED">
              <w:rPr>
                <w:rFonts w:ascii="Arial Narrow" w:hAnsi="Arial Narrow" w:cs="Arial"/>
                <w:color w:val="000000" w:themeColor="text1"/>
                <w:sz w:val="22"/>
                <w:szCs w:val="22"/>
                <w:lang w:val="en-PH" w:eastAsia="en-PH"/>
              </w:rPr>
              <w:t>A. TMA Group of Companies Pty. Ltd.</w:t>
            </w:r>
          </w:p>
        </w:tc>
        <w:tc>
          <w:tcPr>
            <w:tcW w:w="980" w:type="dxa"/>
            <w:shd w:val="clear" w:color="auto" w:fill="auto"/>
            <w:noWrap/>
            <w:vAlign w:val="bottom"/>
            <w:hideMark/>
          </w:tcPr>
          <w:p w14:paraId="1832F14C" w14:textId="77777777" w:rsidR="002B1485" w:rsidRPr="009E35ED" w:rsidRDefault="002B1485" w:rsidP="00803F8C">
            <w:pPr>
              <w:ind w:left="0"/>
              <w:rPr>
                <w:rFonts w:ascii="Arial Narrow" w:hAnsi="Arial Narrow" w:cs="Arial"/>
                <w:color w:val="000000" w:themeColor="text1"/>
                <w:sz w:val="22"/>
                <w:szCs w:val="22"/>
                <w:lang w:val="en-PH" w:eastAsia="en-PH"/>
              </w:rPr>
            </w:pPr>
          </w:p>
        </w:tc>
        <w:tc>
          <w:tcPr>
            <w:tcW w:w="2670" w:type="dxa"/>
            <w:shd w:val="clear" w:color="auto" w:fill="auto"/>
            <w:noWrap/>
            <w:vAlign w:val="bottom"/>
            <w:hideMark/>
          </w:tcPr>
          <w:p w14:paraId="755FA7C1" w14:textId="77777777" w:rsidR="002B1485" w:rsidRPr="009E35ED" w:rsidRDefault="002B1485" w:rsidP="00803F8C">
            <w:pPr>
              <w:ind w:left="0"/>
              <w:rPr>
                <w:rFonts w:ascii="Arial Narrow" w:hAnsi="Arial Narrow" w:cs="Arial"/>
                <w:color w:val="000000" w:themeColor="text1"/>
                <w:sz w:val="22"/>
                <w:szCs w:val="22"/>
                <w:lang w:val="en-PH" w:eastAsia="en-PH"/>
              </w:rPr>
            </w:pPr>
            <w:r w:rsidRPr="009E35ED">
              <w:rPr>
                <w:rFonts w:ascii="Arial Narrow" w:hAnsi="Arial Narrow" w:cs="Arial"/>
                <w:color w:val="000000" w:themeColor="text1"/>
                <w:sz w:val="22"/>
                <w:szCs w:val="22"/>
                <w:lang w:val="en-PH" w:eastAsia="en-PH"/>
              </w:rPr>
              <w:t> </w:t>
            </w:r>
          </w:p>
        </w:tc>
      </w:tr>
      <w:tr w:rsidR="00997F75" w:rsidRPr="009E35ED" w14:paraId="37CFDD89" w14:textId="77777777" w:rsidTr="00A552D8">
        <w:trPr>
          <w:trHeight w:val="255"/>
        </w:trPr>
        <w:tc>
          <w:tcPr>
            <w:tcW w:w="278" w:type="dxa"/>
            <w:shd w:val="clear" w:color="auto" w:fill="auto"/>
            <w:noWrap/>
            <w:vAlign w:val="bottom"/>
            <w:hideMark/>
          </w:tcPr>
          <w:p w14:paraId="0FF4E4DE" w14:textId="77777777" w:rsidR="002B1485" w:rsidRPr="009E35ED" w:rsidRDefault="002B1485" w:rsidP="00803F8C">
            <w:pPr>
              <w:ind w:left="0"/>
              <w:rPr>
                <w:rFonts w:ascii="Arial Narrow" w:hAnsi="Arial Narrow" w:cs="Arial"/>
                <w:color w:val="000000" w:themeColor="text1"/>
                <w:sz w:val="22"/>
                <w:szCs w:val="22"/>
                <w:lang w:val="en-PH" w:eastAsia="en-PH"/>
              </w:rPr>
            </w:pPr>
            <w:r w:rsidRPr="009E35ED">
              <w:rPr>
                <w:rFonts w:ascii="Arial Narrow" w:hAnsi="Arial Narrow" w:cs="Arial"/>
                <w:color w:val="000000" w:themeColor="text1"/>
                <w:sz w:val="22"/>
                <w:szCs w:val="22"/>
                <w:lang w:val="en-PH" w:eastAsia="en-PH"/>
              </w:rPr>
              <w:t> </w:t>
            </w:r>
          </w:p>
        </w:tc>
        <w:tc>
          <w:tcPr>
            <w:tcW w:w="4820" w:type="dxa"/>
            <w:gridSpan w:val="2"/>
            <w:shd w:val="clear" w:color="auto" w:fill="auto"/>
            <w:noWrap/>
            <w:vAlign w:val="bottom"/>
            <w:hideMark/>
          </w:tcPr>
          <w:p w14:paraId="40FCD9E9" w14:textId="77777777" w:rsidR="002B1485" w:rsidRPr="009E35ED" w:rsidRDefault="002B1485" w:rsidP="00803F8C">
            <w:pPr>
              <w:ind w:left="0"/>
              <w:rPr>
                <w:rFonts w:ascii="Arial Narrow" w:hAnsi="Arial Narrow" w:cs="Arial"/>
                <w:color w:val="000000" w:themeColor="text1"/>
                <w:sz w:val="22"/>
                <w:szCs w:val="22"/>
                <w:lang w:val="en-PH" w:eastAsia="en-PH"/>
              </w:rPr>
            </w:pPr>
            <w:r w:rsidRPr="009E35ED">
              <w:rPr>
                <w:rFonts w:ascii="Arial Narrow" w:hAnsi="Arial Narrow" w:cs="Arial"/>
                <w:color w:val="000000" w:themeColor="text1"/>
                <w:sz w:val="22"/>
                <w:szCs w:val="22"/>
                <w:lang w:val="en-PH" w:eastAsia="en-PH"/>
              </w:rPr>
              <w:t>B. Philippine Gaming and Management Corporation</w:t>
            </w:r>
          </w:p>
        </w:tc>
        <w:tc>
          <w:tcPr>
            <w:tcW w:w="980" w:type="dxa"/>
            <w:shd w:val="clear" w:color="auto" w:fill="auto"/>
            <w:noWrap/>
            <w:vAlign w:val="bottom"/>
            <w:hideMark/>
          </w:tcPr>
          <w:p w14:paraId="3F40A180" w14:textId="77777777" w:rsidR="002B1485" w:rsidRPr="009E35ED" w:rsidRDefault="002B1485" w:rsidP="00803F8C">
            <w:pPr>
              <w:ind w:left="0"/>
              <w:rPr>
                <w:rFonts w:ascii="Arial Narrow" w:hAnsi="Arial Narrow" w:cs="Arial"/>
                <w:color w:val="000000" w:themeColor="text1"/>
                <w:sz w:val="22"/>
                <w:szCs w:val="22"/>
                <w:lang w:val="en-PH" w:eastAsia="en-PH"/>
              </w:rPr>
            </w:pPr>
          </w:p>
        </w:tc>
        <w:tc>
          <w:tcPr>
            <w:tcW w:w="2670" w:type="dxa"/>
            <w:shd w:val="clear" w:color="auto" w:fill="auto"/>
            <w:noWrap/>
            <w:vAlign w:val="bottom"/>
            <w:hideMark/>
          </w:tcPr>
          <w:p w14:paraId="2D808DE2" w14:textId="77777777" w:rsidR="002B1485" w:rsidRPr="009E35ED" w:rsidRDefault="002B1485" w:rsidP="00803F8C">
            <w:pPr>
              <w:ind w:left="0"/>
              <w:rPr>
                <w:rFonts w:ascii="Arial Narrow" w:hAnsi="Arial Narrow" w:cs="Arial"/>
                <w:color w:val="000000" w:themeColor="text1"/>
                <w:sz w:val="22"/>
                <w:szCs w:val="22"/>
                <w:lang w:val="en-PH" w:eastAsia="en-PH"/>
              </w:rPr>
            </w:pPr>
            <w:r w:rsidRPr="009E35ED">
              <w:rPr>
                <w:rFonts w:ascii="Arial Narrow" w:hAnsi="Arial Narrow" w:cs="Arial"/>
                <w:color w:val="000000" w:themeColor="text1"/>
                <w:sz w:val="22"/>
                <w:szCs w:val="22"/>
                <w:lang w:val="en-PH" w:eastAsia="en-PH"/>
              </w:rPr>
              <w:t> </w:t>
            </w:r>
          </w:p>
        </w:tc>
      </w:tr>
      <w:tr w:rsidR="00997F75" w:rsidRPr="009E35ED" w14:paraId="73274F59" w14:textId="77777777" w:rsidTr="00A552D8">
        <w:trPr>
          <w:trHeight w:val="255"/>
        </w:trPr>
        <w:tc>
          <w:tcPr>
            <w:tcW w:w="278" w:type="dxa"/>
            <w:shd w:val="clear" w:color="auto" w:fill="auto"/>
            <w:noWrap/>
            <w:vAlign w:val="bottom"/>
            <w:hideMark/>
          </w:tcPr>
          <w:p w14:paraId="3C72A0B8" w14:textId="77777777" w:rsidR="002B1485" w:rsidRPr="009E35ED" w:rsidRDefault="002B1485" w:rsidP="00803F8C">
            <w:pPr>
              <w:ind w:left="0"/>
              <w:rPr>
                <w:rFonts w:ascii="Arial Narrow" w:hAnsi="Arial Narrow" w:cs="Arial"/>
                <w:color w:val="000000" w:themeColor="text1"/>
                <w:sz w:val="22"/>
                <w:szCs w:val="22"/>
                <w:lang w:val="en-PH" w:eastAsia="en-PH"/>
              </w:rPr>
            </w:pPr>
            <w:r w:rsidRPr="009E35ED">
              <w:rPr>
                <w:rFonts w:ascii="Arial Narrow" w:hAnsi="Arial Narrow" w:cs="Arial"/>
                <w:color w:val="000000" w:themeColor="text1"/>
                <w:sz w:val="22"/>
                <w:szCs w:val="22"/>
                <w:lang w:val="en-PH" w:eastAsia="en-PH"/>
              </w:rPr>
              <w:t> </w:t>
            </w:r>
          </w:p>
        </w:tc>
        <w:tc>
          <w:tcPr>
            <w:tcW w:w="4820" w:type="dxa"/>
            <w:gridSpan w:val="2"/>
            <w:shd w:val="clear" w:color="auto" w:fill="auto"/>
            <w:noWrap/>
            <w:vAlign w:val="bottom"/>
            <w:hideMark/>
          </w:tcPr>
          <w:p w14:paraId="148C856B" w14:textId="77777777" w:rsidR="002B1485" w:rsidRPr="009E35ED" w:rsidRDefault="002B1485" w:rsidP="00803F8C">
            <w:pPr>
              <w:ind w:left="0"/>
              <w:rPr>
                <w:rFonts w:ascii="Arial Narrow" w:hAnsi="Arial Narrow" w:cs="Arial"/>
                <w:color w:val="000000" w:themeColor="text1"/>
                <w:sz w:val="22"/>
                <w:szCs w:val="22"/>
                <w:lang w:val="en-PH" w:eastAsia="en-PH"/>
              </w:rPr>
            </w:pPr>
            <w:r w:rsidRPr="009E35ED">
              <w:rPr>
                <w:rFonts w:ascii="Arial Narrow" w:hAnsi="Arial Narrow" w:cs="Arial"/>
                <w:color w:val="000000" w:themeColor="text1"/>
                <w:sz w:val="22"/>
                <w:szCs w:val="22"/>
                <w:lang w:val="en-PH" w:eastAsia="en-PH"/>
              </w:rPr>
              <w:t>C. DFNN Inc.</w:t>
            </w:r>
          </w:p>
        </w:tc>
        <w:tc>
          <w:tcPr>
            <w:tcW w:w="980" w:type="dxa"/>
            <w:shd w:val="clear" w:color="auto" w:fill="auto"/>
            <w:noWrap/>
            <w:vAlign w:val="bottom"/>
            <w:hideMark/>
          </w:tcPr>
          <w:p w14:paraId="6DE713CA" w14:textId="77777777" w:rsidR="002B1485" w:rsidRPr="009E35ED" w:rsidRDefault="002B1485" w:rsidP="00803F8C">
            <w:pPr>
              <w:ind w:left="0"/>
              <w:rPr>
                <w:rFonts w:ascii="Arial Narrow" w:hAnsi="Arial Narrow" w:cs="Arial"/>
                <w:color w:val="000000" w:themeColor="text1"/>
                <w:sz w:val="22"/>
                <w:szCs w:val="22"/>
                <w:lang w:val="en-PH" w:eastAsia="en-PH"/>
              </w:rPr>
            </w:pPr>
          </w:p>
        </w:tc>
        <w:tc>
          <w:tcPr>
            <w:tcW w:w="2670" w:type="dxa"/>
            <w:shd w:val="clear" w:color="auto" w:fill="auto"/>
            <w:noWrap/>
            <w:vAlign w:val="bottom"/>
            <w:hideMark/>
          </w:tcPr>
          <w:p w14:paraId="54EF15E2" w14:textId="77777777" w:rsidR="002B1485" w:rsidRPr="009E35ED" w:rsidRDefault="002B1485" w:rsidP="00803F8C">
            <w:pPr>
              <w:ind w:left="0"/>
              <w:rPr>
                <w:rFonts w:ascii="Arial Narrow" w:hAnsi="Arial Narrow" w:cs="Arial"/>
                <w:color w:val="000000" w:themeColor="text1"/>
                <w:sz w:val="22"/>
                <w:szCs w:val="22"/>
                <w:lang w:val="en-PH" w:eastAsia="en-PH"/>
              </w:rPr>
            </w:pPr>
            <w:r w:rsidRPr="009E35ED">
              <w:rPr>
                <w:rFonts w:ascii="Arial Narrow" w:hAnsi="Arial Narrow" w:cs="Arial"/>
                <w:color w:val="000000" w:themeColor="text1"/>
                <w:sz w:val="22"/>
                <w:szCs w:val="22"/>
                <w:lang w:val="en-PH" w:eastAsia="en-PH"/>
              </w:rPr>
              <w:t> </w:t>
            </w:r>
          </w:p>
        </w:tc>
      </w:tr>
      <w:tr w:rsidR="00EA47F9" w:rsidRPr="009E35ED" w14:paraId="565F747F" w14:textId="77777777" w:rsidTr="00A552D8">
        <w:trPr>
          <w:trHeight w:val="270"/>
        </w:trPr>
        <w:tc>
          <w:tcPr>
            <w:tcW w:w="278" w:type="dxa"/>
            <w:shd w:val="clear" w:color="auto" w:fill="auto"/>
            <w:noWrap/>
            <w:vAlign w:val="bottom"/>
            <w:hideMark/>
          </w:tcPr>
          <w:p w14:paraId="461BF7C7" w14:textId="77777777" w:rsidR="002B1485" w:rsidRPr="009E35ED" w:rsidRDefault="002B1485" w:rsidP="00803F8C">
            <w:pPr>
              <w:ind w:left="0"/>
              <w:rPr>
                <w:rFonts w:ascii="Arial Narrow" w:hAnsi="Arial Narrow" w:cs="Arial"/>
                <w:color w:val="000000" w:themeColor="text1"/>
                <w:sz w:val="22"/>
                <w:szCs w:val="22"/>
                <w:lang w:val="en-PH" w:eastAsia="en-PH"/>
              </w:rPr>
            </w:pPr>
            <w:r w:rsidRPr="009E35ED">
              <w:rPr>
                <w:rFonts w:ascii="Arial Narrow" w:hAnsi="Arial Narrow" w:cs="Arial"/>
                <w:color w:val="000000" w:themeColor="text1"/>
                <w:sz w:val="22"/>
                <w:szCs w:val="22"/>
                <w:lang w:val="en-PH" w:eastAsia="en-PH"/>
              </w:rPr>
              <w:t> </w:t>
            </w:r>
          </w:p>
        </w:tc>
        <w:tc>
          <w:tcPr>
            <w:tcW w:w="4820" w:type="dxa"/>
            <w:gridSpan w:val="2"/>
            <w:shd w:val="clear" w:color="auto" w:fill="auto"/>
            <w:noWrap/>
            <w:vAlign w:val="bottom"/>
            <w:hideMark/>
          </w:tcPr>
          <w:p w14:paraId="39FD5D3E" w14:textId="77777777" w:rsidR="002B1485" w:rsidRPr="009E35ED" w:rsidRDefault="002B1485" w:rsidP="00803F8C">
            <w:pPr>
              <w:ind w:left="0"/>
              <w:rPr>
                <w:rFonts w:ascii="Arial Narrow" w:hAnsi="Arial Narrow" w:cs="Arial"/>
                <w:color w:val="000000" w:themeColor="text1"/>
                <w:sz w:val="22"/>
                <w:szCs w:val="22"/>
                <w:lang w:val="en-PH" w:eastAsia="en-PH"/>
              </w:rPr>
            </w:pPr>
            <w:r w:rsidRPr="009E35ED">
              <w:rPr>
                <w:rFonts w:ascii="Arial Narrow" w:hAnsi="Arial Narrow" w:cs="Arial"/>
                <w:color w:val="000000" w:themeColor="text1"/>
                <w:sz w:val="22"/>
                <w:szCs w:val="22"/>
                <w:lang w:val="en-PH" w:eastAsia="en-PH"/>
              </w:rPr>
              <w:t>D. Globaltech Mobile Online Corporation</w:t>
            </w:r>
          </w:p>
        </w:tc>
        <w:tc>
          <w:tcPr>
            <w:tcW w:w="980" w:type="dxa"/>
            <w:shd w:val="clear" w:color="auto" w:fill="auto"/>
            <w:noWrap/>
            <w:vAlign w:val="bottom"/>
            <w:hideMark/>
          </w:tcPr>
          <w:p w14:paraId="47EEE618" w14:textId="77777777" w:rsidR="002B1485" w:rsidRPr="009E35ED" w:rsidRDefault="002B1485" w:rsidP="00803F8C">
            <w:pPr>
              <w:ind w:left="0"/>
              <w:jc w:val="center"/>
              <w:rPr>
                <w:rFonts w:ascii="Arial Narrow" w:hAnsi="Arial Narrow" w:cs="Arial"/>
                <w:color w:val="000000" w:themeColor="text1"/>
                <w:sz w:val="22"/>
                <w:szCs w:val="22"/>
                <w:lang w:val="en-PH" w:eastAsia="en-PH"/>
              </w:rPr>
            </w:pPr>
            <w:r w:rsidRPr="009E35ED">
              <w:rPr>
                <w:rFonts w:ascii="Arial Narrow" w:hAnsi="Arial Narrow" w:cs="Arial"/>
                <w:color w:val="000000" w:themeColor="text1"/>
                <w:sz w:val="22"/>
                <w:szCs w:val="22"/>
                <w:lang w:val="en-PH" w:eastAsia="en-PH"/>
              </w:rPr>
              <w:t> </w:t>
            </w:r>
          </w:p>
        </w:tc>
        <w:tc>
          <w:tcPr>
            <w:tcW w:w="2670" w:type="dxa"/>
            <w:shd w:val="clear" w:color="auto" w:fill="auto"/>
            <w:noWrap/>
            <w:vAlign w:val="bottom"/>
            <w:hideMark/>
          </w:tcPr>
          <w:p w14:paraId="32FE0701" w14:textId="77777777" w:rsidR="002B1485" w:rsidRPr="009E35ED" w:rsidRDefault="002B1485" w:rsidP="00803F8C">
            <w:pPr>
              <w:ind w:left="0"/>
              <w:rPr>
                <w:rFonts w:ascii="Arial Narrow" w:hAnsi="Arial Narrow" w:cs="Arial"/>
                <w:color w:val="000000" w:themeColor="text1"/>
                <w:sz w:val="22"/>
                <w:szCs w:val="22"/>
                <w:lang w:val="en-PH" w:eastAsia="en-PH"/>
              </w:rPr>
            </w:pPr>
            <w:r w:rsidRPr="009E35ED">
              <w:rPr>
                <w:rFonts w:ascii="Arial Narrow" w:hAnsi="Arial Narrow" w:cs="Arial"/>
                <w:color w:val="000000" w:themeColor="text1"/>
                <w:sz w:val="22"/>
                <w:szCs w:val="22"/>
                <w:lang w:val="en-PH" w:eastAsia="en-PH"/>
              </w:rPr>
              <w:t> </w:t>
            </w:r>
          </w:p>
        </w:tc>
      </w:tr>
    </w:tbl>
    <w:p w14:paraId="3E285379" w14:textId="290D8C4B" w:rsidR="002679ED" w:rsidRPr="009E35ED" w:rsidRDefault="002679ED" w:rsidP="00803F8C">
      <w:pPr>
        <w:ind w:left="0"/>
        <w:rPr>
          <w:rFonts w:ascii="Arial" w:hAnsi="Arial" w:cs="Arial"/>
          <w:b/>
          <w:color w:val="000000" w:themeColor="text1"/>
          <w:sz w:val="22"/>
          <w:szCs w:val="22"/>
        </w:rPr>
      </w:pPr>
    </w:p>
    <w:p w14:paraId="11338E85" w14:textId="687D4C38" w:rsidR="00440055" w:rsidRPr="009E35ED" w:rsidRDefault="00F411EB" w:rsidP="002F0748">
      <w:pPr>
        <w:keepNext/>
        <w:keepLines/>
        <w:ind w:left="0"/>
        <w:rPr>
          <w:rFonts w:ascii="Arial" w:hAnsi="Arial" w:cs="Arial"/>
          <w:b/>
          <w:color w:val="000000" w:themeColor="text1"/>
          <w:sz w:val="22"/>
          <w:szCs w:val="22"/>
        </w:rPr>
      </w:pPr>
      <w:r w:rsidRPr="009E35ED">
        <w:rPr>
          <w:rFonts w:ascii="Arial" w:hAnsi="Arial" w:cs="Arial"/>
          <w:b/>
          <w:color w:val="000000" w:themeColor="text1"/>
          <w:sz w:val="22"/>
          <w:szCs w:val="22"/>
        </w:rPr>
        <w:t>Status of Small Tow</w:t>
      </w:r>
      <w:r w:rsidR="00353010">
        <w:rPr>
          <w:rFonts w:ascii="Arial" w:hAnsi="Arial" w:cs="Arial"/>
          <w:b/>
          <w:color w:val="000000" w:themeColor="text1"/>
          <w:sz w:val="22"/>
          <w:szCs w:val="22"/>
        </w:rPr>
        <w:t>n</w:t>
      </w:r>
      <w:r w:rsidRPr="009E35ED">
        <w:rPr>
          <w:rFonts w:ascii="Arial" w:hAnsi="Arial" w:cs="Arial"/>
          <w:b/>
          <w:color w:val="000000" w:themeColor="text1"/>
          <w:sz w:val="22"/>
          <w:szCs w:val="22"/>
        </w:rPr>
        <w:t xml:space="preserve"> Lottery (STL)-Authorized Agent Corporations (AAC</w:t>
      </w:r>
      <w:r w:rsidR="00B36930" w:rsidRPr="009E35ED">
        <w:rPr>
          <w:rFonts w:ascii="Arial" w:hAnsi="Arial" w:cs="Arial"/>
          <w:b/>
          <w:color w:val="000000" w:themeColor="text1"/>
          <w:sz w:val="22"/>
          <w:szCs w:val="22"/>
        </w:rPr>
        <w:t>s) Case Updates</w:t>
      </w:r>
    </w:p>
    <w:p w14:paraId="35D521F1" w14:textId="77777777" w:rsidR="00A04FF2" w:rsidRPr="009E35ED" w:rsidRDefault="00A04FF2" w:rsidP="002F0748">
      <w:pPr>
        <w:keepNext/>
        <w:keepLines/>
        <w:ind w:left="0"/>
        <w:rPr>
          <w:rFonts w:ascii="Arial" w:hAnsi="Arial" w:cs="Arial"/>
          <w:b/>
          <w:color w:val="000000" w:themeColor="text1"/>
          <w:sz w:val="22"/>
          <w:szCs w:val="22"/>
        </w:rPr>
      </w:pPr>
    </w:p>
    <w:tbl>
      <w:tblPr>
        <w:tblStyle w:val="TableGrid"/>
        <w:tblW w:w="9214" w:type="dxa"/>
        <w:tblInd w:w="-714" w:type="dxa"/>
        <w:tblLook w:val="04A0" w:firstRow="1" w:lastRow="0" w:firstColumn="1" w:lastColumn="0" w:noHBand="0" w:noVBand="1"/>
      </w:tblPr>
      <w:tblGrid>
        <w:gridCol w:w="1894"/>
        <w:gridCol w:w="1301"/>
        <w:gridCol w:w="1508"/>
        <w:gridCol w:w="1523"/>
        <w:gridCol w:w="2988"/>
      </w:tblGrid>
      <w:tr w:rsidR="00997F75" w:rsidRPr="009E35ED" w14:paraId="3ACCC4ED" w14:textId="77777777" w:rsidTr="00975CA4">
        <w:trPr>
          <w:trHeight w:val="610"/>
          <w:tblHeader/>
        </w:trPr>
        <w:tc>
          <w:tcPr>
            <w:tcW w:w="0" w:type="auto"/>
            <w:hideMark/>
          </w:tcPr>
          <w:p w14:paraId="4A30BDE2" w14:textId="77777777" w:rsidR="00AF7FD6" w:rsidRPr="009E35ED" w:rsidRDefault="00AF7FD6" w:rsidP="00A04FF2">
            <w:pPr>
              <w:spacing w:after="160" w:line="259" w:lineRule="auto"/>
              <w:ind w:left="0"/>
              <w:jc w:val="center"/>
              <w:rPr>
                <w:rFonts w:ascii="Arial Narrow" w:hAnsi="Arial Narrow" w:cs="Arial"/>
                <w:color w:val="000000" w:themeColor="text1"/>
                <w:sz w:val="22"/>
                <w:szCs w:val="22"/>
              </w:rPr>
            </w:pPr>
            <w:r w:rsidRPr="009E35ED">
              <w:rPr>
                <w:rFonts w:ascii="Arial Narrow" w:hAnsi="Arial Narrow" w:cs="Arial"/>
                <w:b/>
                <w:bCs/>
                <w:color w:val="000000" w:themeColor="text1"/>
                <w:sz w:val="22"/>
                <w:szCs w:val="22"/>
              </w:rPr>
              <w:t>Case Title/Docket No./Court</w:t>
            </w:r>
          </w:p>
        </w:tc>
        <w:tc>
          <w:tcPr>
            <w:tcW w:w="0" w:type="auto"/>
            <w:hideMark/>
          </w:tcPr>
          <w:p w14:paraId="4AF1758C" w14:textId="77777777" w:rsidR="00AF7FD6" w:rsidRPr="009E35ED" w:rsidRDefault="00AF7FD6" w:rsidP="00A04FF2">
            <w:pPr>
              <w:spacing w:after="160" w:line="259" w:lineRule="auto"/>
              <w:ind w:left="-44"/>
              <w:jc w:val="center"/>
              <w:rPr>
                <w:rFonts w:ascii="Arial Narrow" w:hAnsi="Arial Narrow" w:cs="Arial"/>
                <w:color w:val="000000" w:themeColor="text1"/>
                <w:sz w:val="22"/>
                <w:szCs w:val="22"/>
              </w:rPr>
            </w:pPr>
            <w:r w:rsidRPr="009E35ED">
              <w:rPr>
                <w:rFonts w:ascii="Arial Narrow" w:hAnsi="Arial Narrow" w:cs="Arial"/>
                <w:b/>
                <w:bCs/>
                <w:color w:val="000000" w:themeColor="text1"/>
                <w:sz w:val="22"/>
                <w:szCs w:val="22"/>
                <w:lang w:val="en-PH"/>
              </w:rPr>
              <w:t>STL AAC/ Area of Operation</w:t>
            </w:r>
          </w:p>
        </w:tc>
        <w:tc>
          <w:tcPr>
            <w:tcW w:w="0" w:type="auto"/>
            <w:hideMark/>
          </w:tcPr>
          <w:p w14:paraId="2C374BA9" w14:textId="77777777" w:rsidR="00AF7FD6" w:rsidRPr="009E35ED" w:rsidRDefault="00AF7FD6" w:rsidP="00A04FF2">
            <w:pPr>
              <w:spacing w:after="160" w:line="259" w:lineRule="auto"/>
              <w:ind w:left="-18"/>
              <w:jc w:val="center"/>
              <w:rPr>
                <w:rFonts w:ascii="Arial Narrow" w:hAnsi="Arial Narrow" w:cs="Arial"/>
                <w:color w:val="000000" w:themeColor="text1"/>
                <w:sz w:val="22"/>
                <w:szCs w:val="22"/>
              </w:rPr>
            </w:pPr>
            <w:r w:rsidRPr="009E35ED">
              <w:rPr>
                <w:rFonts w:ascii="Arial Narrow" w:hAnsi="Arial Narrow" w:cs="Arial"/>
                <w:b/>
                <w:bCs/>
                <w:color w:val="000000" w:themeColor="text1"/>
                <w:sz w:val="22"/>
                <w:szCs w:val="22"/>
              </w:rPr>
              <w:t>Nature of Complaint</w:t>
            </w:r>
          </w:p>
        </w:tc>
        <w:tc>
          <w:tcPr>
            <w:tcW w:w="0" w:type="auto"/>
            <w:hideMark/>
          </w:tcPr>
          <w:p w14:paraId="605E5707" w14:textId="77777777" w:rsidR="00AF7FD6" w:rsidRPr="009E35ED" w:rsidRDefault="00AF7FD6" w:rsidP="00A04FF2">
            <w:pPr>
              <w:spacing w:after="160" w:line="259" w:lineRule="auto"/>
              <w:ind w:left="-46"/>
              <w:jc w:val="center"/>
              <w:rPr>
                <w:rFonts w:ascii="Arial Narrow" w:hAnsi="Arial Narrow" w:cs="Arial"/>
                <w:color w:val="000000" w:themeColor="text1"/>
                <w:sz w:val="22"/>
                <w:szCs w:val="22"/>
              </w:rPr>
            </w:pPr>
            <w:r w:rsidRPr="009E35ED">
              <w:rPr>
                <w:rFonts w:ascii="Arial Narrow" w:hAnsi="Arial Narrow" w:cs="Arial"/>
                <w:b/>
                <w:bCs/>
                <w:color w:val="000000" w:themeColor="text1"/>
                <w:sz w:val="22"/>
                <w:szCs w:val="22"/>
              </w:rPr>
              <w:t>Issue</w:t>
            </w:r>
          </w:p>
        </w:tc>
        <w:tc>
          <w:tcPr>
            <w:tcW w:w="2988" w:type="dxa"/>
            <w:hideMark/>
          </w:tcPr>
          <w:p w14:paraId="1E3D9012" w14:textId="77777777" w:rsidR="00AF7FD6" w:rsidRPr="009E35ED" w:rsidRDefault="00AF7FD6" w:rsidP="00A04FF2">
            <w:pPr>
              <w:spacing w:after="160" w:line="259" w:lineRule="auto"/>
              <w:ind w:left="0"/>
              <w:jc w:val="center"/>
              <w:rPr>
                <w:rFonts w:ascii="Arial Narrow" w:hAnsi="Arial Narrow" w:cs="Arial"/>
                <w:color w:val="000000" w:themeColor="text1"/>
                <w:sz w:val="22"/>
                <w:szCs w:val="22"/>
              </w:rPr>
            </w:pPr>
            <w:r w:rsidRPr="009E35ED">
              <w:rPr>
                <w:rFonts w:ascii="Arial Narrow" w:hAnsi="Arial Narrow" w:cs="Arial"/>
                <w:b/>
                <w:bCs/>
                <w:color w:val="000000" w:themeColor="text1"/>
                <w:sz w:val="22"/>
                <w:szCs w:val="22"/>
                <w:lang w:val="en-PH"/>
              </w:rPr>
              <w:t>Status</w:t>
            </w:r>
          </w:p>
        </w:tc>
      </w:tr>
      <w:tr w:rsidR="00997F75" w:rsidRPr="009E35ED" w14:paraId="092D873D" w14:textId="77777777" w:rsidTr="00AF7FD6">
        <w:trPr>
          <w:trHeight w:val="4526"/>
        </w:trPr>
        <w:tc>
          <w:tcPr>
            <w:tcW w:w="0" w:type="auto"/>
            <w:hideMark/>
          </w:tcPr>
          <w:p w14:paraId="3CA8BA42" w14:textId="31C83B95" w:rsidR="00AF7FD6" w:rsidRPr="009E35ED" w:rsidRDefault="00AF7FD6" w:rsidP="00AF7FD6">
            <w:pPr>
              <w:pStyle w:val="ListParagraph"/>
              <w:numPr>
                <w:ilvl w:val="2"/>
                <w:numId w:val="8"/>
              </w:numPr>
              <w:spacing w:after="160" w:line="259" w:lineRule="auto"/>
              <w:ind w:left="316"/>
              <w:rPr>
                <w:rFonts w:ascii="Arial Narrow" w:hAnsi="Arial Narrow" w:cs="Arial"/>
                <w:color w:val="000000" w:themeColor="text1"/>
                <w:sz w:val="22"/>
                <w:szCs w:val="22"/>
              </w:rPr>
            </w:pPr>
            <w:r w:rsidRPr="009E35ED">
              <w:rPr>
                <w:rFonts w:ascii="Arial Narrow" w:hAnsi="Arial Narrow" w:cs="Arial"/>
                <w:color w:val="000000" w:themeColor="text1"/>
                <w:sz w:val="22"/>
                <w:szCs w:val="22"/>
              </w:rPr>
              <w:t xml:space="preserve">Level Up Gaming Corporation vs. PCSO </w:t>
            </w:r>
          </w:p>
          <w:p w14:paraId="2FFE4208" w14:textId="77777777" w:rsidR="00AF7FD6" w:rsidRPr="009E35ED" w:rsidRDefault="00AF7FD6" w:rsidP="00A04FF2">
            <w:pPr>
              <w:spacing w:after="160" w:line="259" w:lineRule="auto"/>
              <w:ind w:left="316"/>
              <w:rPr>
                <w:rFonts w:ascii="Arial Narrow" w:hAnsi="Arial Narrow" w:cs="Arial"/>
                <w:color w:val="000000" w:themeColor="text1"/>
                <w:sz w:val="22"/>
                <w:szCs w:val="22"/>
              </w:rPr>
            </w:pPr>
            <w:r w:rsidRPr="009E35ED">
              <w:rPr>
                <w:rFonts w:ascii="Arial Narrow" w:hAnsi="Arial Narrow" w:cs="Arial"/>
                <w:color w:val="000000" w:themeColor="text1"/>
                <w:sz w:val="22"/>
                <w:szCs w:val="22"/>
              </w:rPr>
              <w:t>(Civil Case No. R-MND-18-01246-CV) Regional Trial Court of Mandaluyong City, Branch 278</w:t>
            </w:r>
          </w:p>
        </w:tc>
        <w:tc>
          <w:tcPr>
            <w:tcW w:w="0" w:type="auto"/>
            <w:hideMark/>
          </w:tcPr>
          <w:p w14:paraId="4837EE65" w14:textId="77777777" w:rsidR="00AF7FD6" w:rsidRPr="009E35ED" w:rsidRDefault="00AF7FD6" w:rsidP="00A04FF2">
            <w:pPr>
              <w:spacing w:after="160" w:line="259" w:lineRule="auto"/>
              <w:ind w:left="-44"/>
              <w:rPr>
                <w:rFonts w:ascii="Arial Narrow" w:hAnsi="Arial Narrow" w:cs="Arial"/>
                <w:color w:val="000000" w:themeColor="text1"/>
                <w:sz w:val="22"/>
                <w:szCs w:val="22"/>
              </w:rPr>
            </w:pPr>
            <w:r w:rsidRPr="009E35ED">
              <w:rPr>
                <w:rFonts w:ascii="Arial Narrow" w:hAnsi="Arial Narrow" w:cs="Arial"/>
                <w:color w:val="000000" w:themeColor="text1"/>
                <w:sz w:val="22"/>
                <w:szCs w:val="22"/>
                <w:lang w:val="en-PH"/>
              </w:rPr>
              <w:t>Level Up Gaming Corporation – Province of Cavite</w:t>
            </w:r>
          </w:p>
        </w:tc>
        <w:tc>
          <w:tcPr>
            <w:tcW w:w="0" w:type="auto"/>
            <w:hideMark/>
          </w:tcPr>
          <w:p w14:paraId="24C16917" w14:textId="77777777" w:rsidR="00AF7FD6" w:rsidRPr="009E35ED" w:rsidRDefault="00AF7FD6" w:rsidP="00A04FF2">
            <w:pPr>
              <w:spacing w:after="160" w:line="259" w:lineRule="auto"/>
              <w:ind w:left="-18"/>
              <w:rPr>
                <w:rFonts w:ascii="Arial Narrow" w:hAnsi="Arial Narrow" w:cs="Arial"/>
                <w:color w:val="000000" w:themeColor="text1"/>
                <w:sz w:val="22"/>
                <w:szCs w:val="22"/>
              </w:rPr>
            </w:pPr>
            <w:r w:rsidRPr="009E35ED">
              <w:rPr>
                <w:rFonts w:ascii="Arial Narrow" w:hAnsi="Arial Narrow" w:cs="Arial"/>
                <w:color w:val="000000" w:themeColor="text1"/>
                <w:sz w:val="22"/>
                <w:szCs w:val="22"/>
              </w:rPr>
              <w:t>Petition for Injunction with ex parte application for Issuance of Status Quo Ante Order, Temporary Restraining Order (TRO) and Writ of Preliminary Injunction (WPI).</w:t>
            </w:r>
          </w:p>
        </w:tc>
        <w:tc>
          <w:tcPr>
            <w:tcW w:w="0" w:type="auto"/>
            <w:hideMark/>
          </w:tcPr>
          <w:p w14:paraId="2AE96D60" w14:textId="11E7B936" w:rsidR="00AF7FD6" w:rsidRPr="009E35ED" w:rsidRDefault="00AF7FD6" w:rsidP="00A04FF2">
            <w:pPr>
              <w:spacing w:after="160" w:line="259" w:lineRule="auto"/>
              <w:ind w:left="-46"/>
              <w:rPr>
                <w:rFonts w:ascii="Arial Narrow" w:hAnsi="Arial Narrow" w:cs="Arial"/>
                <w:color w:val="000000" w:themeColor="text1"/>
                <w:sz w:val="22"/>
                <w:szCs w:val="22"/>
              </w:rPr>
            </w:pPr>
            <w:r w:rsidRPr="009E35ED">
              <w:rPr>
                <w:rFonts w:ascii="Arial Narrow" w:hAnsi="Arial Narrow" w:cs="Arial"/>
                <w:color w:val="000000" w:themeColor="text1"/>
                <w:sz w:val="22"/>
                <w:szCs w:val="22"/>
              </w:rPr>
              <w:t>The propriety of the termination of Level Up’s authority for failure to remit and pay</w:t>
            </w:r>
            <w:r w:rsidR="00353010">
              <w:rPr>
                <w:rFonts w:ascii="Arial Narrow" w:hAnsi="Arial Narrow" w:cs="Arial"/>
                <w:color w:val="000000" w:themeColor="text1"/>
                <w:sz w:val="22"/>
                <w:szCs w:val="22"/>
              </w:rPr>
              <w:t xml:space="preserve"> the</w:t>
            </w:r>
            <w:r w:rsidRPr="009E35ED">
              <w:rPr>
                <w:rFonts w:ascii="Arial Narrow" w:hAnsi="Arial Narrow" w:cs="Arial"/>
                <w:color w:val="000000" w:themeColor="text1"/>
                <w:sz w:val="22"/>
                <w:szCs w:val="22"/>
              </w:rPr>
              <w:t xml:space="preserve"> PMRR as it requested a re-computation of </w:t>
            </w:r>
            <w:r w:rsidR="00353010">
              <w:rPr>
                <w:rFonts w:ascii="Arial Narrow" w:hAnsi="Arial Narrow" w:cs="Arial"/>
                <w:color w:val="000000" w:themeColor="text1"/>
                <w:sz w:val="22"/>
                <w:szCs w:val="22"/>
              </w:rPr>
              <w:t xml:space="preserve">the </w:t>
            </w:r>
            <w:r w:rsidRPr="009E35ED">
              <w:rPr>
                <w:rFonts w:ascii="Arial Narrow" w:hAnsi="Arial Narrow" w:cs="Arial"/>
                <w:color w:val="000000" w:themeColor="text1"/>
                <w:sz w:val="22"/>
                <w:szCs w:val="22"/>
              </w:rPr>
              <w:t>PMRR and that the matter be referred to Arbitration.</w:t>
            </w:r>
          </w:p>
        </w:tc>
        <w:tc>
          <w:tcPr>
            <w:tcW w:w="2988" w:type="dxa"/>
            <w:hideMark/>
          </w:tcPr>
          <w:p w14:paraId="5815C36E" w14:textId="7EA25EE8" w:rsidR="00AF7FD6" w:rsidRPr="009E35ED" w:rsidRDefault="00AF7FD6" w:rsidP="00A04FF2">
            <w:pPr>
              <w:spacing w:after="160" w:line="259" w:lineRule="auto"/>
              <w:ind w:left="0"/>
              <w:rPr>
                <w:rFonts w:ascii="Arial Narrow" w:hAnsi="Arial Narrow" w:cs="Arial"/>
                <w:color w:val="000000" w:themeColor="text1"/>
                <w:sz w:val="22"/>
                <w:szCs w:val="22"/>
                <w:lang w:val="en-PH"/>
              </w:rPr>
            </w:pPr>
            <w:r w:rsidRPr="009E35ED">
              <w:rPr>
                <w:rFonts w:ascii="Arial Narrow" w:hAnsi="Arial Narrow" w:cs="Arial"/>
                <w:color w:val="000000" w:themeColor="text1"/>
                <w:sz w:val="22"/>
                <w:szCs w:val="22"/>
                <w:lang w:val="en-PH"/>
              </w:rPr>
              <w:t>The RTC – Mandaluyong Br. 278 issued a Decision dated 02 February 2023 dismissing the complaint filed by Level Up against</w:t>
            </w:r>
            <w:r w:rsidR="00353010">
              <w:rPr>
                <w:rFonts w:ascii="Arial Narrow" w:hAnsi="Arial Narrow" w:cs="Arial"/>
                <w:color w:val="000000" w:themeColor="text1"/>
                <w:sz w:val="22"/>
                <w:szCs w:val="22"/>
                <w:lang w:val="en-PH"/>
              </w:rPr>
              <w:t xml:space="preserve"> the</w:t>
            </w:r>
            <w:r w:rsidRPr="009E35ED">
              <w:rPr>
                <w:rFonts w:ascii="Arial Narrow" w:hAnsi="Arial Narrow" w:cs="Arial"/>
                <w:color w:val="000000" w:themeColor="text1"/>
                <w:sz w:val="22"/>
                <w:szCs w:val="22"/>
                <w:lang w:val="en-PH"/>
              </w:rPr>
              <w:t xml:space="preserve"> PCSO but awarding liquidated damages in the form of Cash Bond. The Partial Motion of Reconsideration filed by</w:t>
            </w:r>
            <w:r w:rsidR="00353010">
              <w:rPr>
                <w:rFonts w:ascii="Arial Narrow" w:hAnsi="Arial Narrow" w:cs="Arial"/>
                <w:color w:val="000000" w:themeColor="text1"/>
                <w:sz w:val="22"/>
                <w:szCs w:val="22"/>
                <w:lang w:val="en-PH"/>
              </w:rPr>
              <w:t xml:space="preserve"> the</w:t>
            </w:r>
            <w:r w:rsidRPr="009E35ED">
              <w:rPr>
                <w:rFonts w:ascii="Arial Narrow" w:hAnsi="Arial Narrow" w:cs="Arial"/>
                <w:color w:val="000000" w:themeColor="text1"/>
                <w:sz w:val="22"/>
                <w:szCs w:val="22"/>
                <w:lang w:val="en-PH"/>
              </w:rPr>
              <w:t xml:space="preserve"> PCSO was denied. </w:t>
            </w:r>
          </w:p>
          <w:p w14:paraId="55F73EB5" w14:textId="77777777" w:rsidR="00AF7FD6" w:rsidRPr="009E35ED" w:rsidRDefault="00AF7FD6" w:rsidP="00A04FF2">
            <w:pPr>
              <w:spacing w:after="160" w:line="259" w:lineRule="auto"/>
              <w:ind w:left="0"/>
              <w:rPr>
                <w:rFonts w:ascii="Arial Narrow" w:hAnsi="Arial Narrow" w:cs="Arial"/>
                <w:color w:val="000000" w:themeColor="text1"/>
                <w:sz w:val="22"/>
                <w:szCs w:val="22"/>
                <w:lang w:val="en-PH"/>
              </w:rPr>
            </w:pPr>
            <w:r w:rsidRPr="009E35ED">
              <w:rPr>
                <w:rFonts w:ascii="Arial Narrow" w:hAnsi="Arial Narrow" w:cs="Arial"/>
                <w:color w:val="000000" w:themeColor="text1"/>
                <w:sz w:val="22"/>
                <w:szCs w:val="22"/>
                <w:lang w:val="en-PH"/>
              </w:rPr>
              <w:t>The case was elevated to the Supreme Court (Petition for Review on Certiorari under Rule 45 dated 15 September 2023) to assail the RTC Decision for the payment of shortfall amounting to 195,225,461.59.</w:t>
            </w:r>
          </w:p>
        </w:tc>
      </w:tr>
      <w:tr w:rsidR="00997F75" w:rsidRPr="009E35ED" w14:paraId="6A7CA425" w14:textId="77777777" w:rsidTr="00AF7FD6">
        <w:trPr>
          <w:trHeight w:val="1792"/>
        </w:trPr>
        <w:tc>
          <w:tcPr>
            <w:tcW w:w="0" w:type="auto"/>
            <w:hideMark/>
          </w:tcPr>
          <w:p w14:paraId="3C372411" w14:textId="64A8B465" w:rsidR="00AF7FD6" w:rsidRPr="009E35ED" w:rsidRDefault="00AF7FD6" w:rsidP="00AF7FD6">
            <w:pPr>
              <w:pStyle w:val="ListParagraph"/>
              <w:numPr>
                <w:ilvl w:val="2"/>
                <w:numId w:val="8"/>
              </w:numPr>
              <w:spacing w:after="160" w:line="259" w:lineRule="auto"/>
              <w:ind w:left="316"/>
              <w:rPr>
                <w:rFonts w:ascii="Arial Narrow" w:hAnsi="Arial Narrow" w:cs="Arial"/>
                <w:color w:val="000000" w:themeColor="text1"/>
                <w:sz w:val="22"/>
                <w:szCs w:val="22"/>
              </w:rPr>
            </w:pPr>
            <w:r w:rsidRPr="009E35ED">
              <w:rPr>
                <w:rFonts w:ascii="Arial Narrow" w:hAnsi="Arial Narrow" w:cs="Arial"/>
                <w:color w:val="000000" w:themeColor="text1"/>
                <w:sz w:val="22"/>
                <w:szCs w:val="22"/>
              </w:rPr>
              <w:t>Saturn Gaming N’ Amusement Corporation vs. PCSO</w:t>
            </w:r>
          </w:p>
          <w:p w14:paraId="2A6F6E41" w14:textId="77777777" w:rsidR="00AF7FD6" w:rsidRPr="009E35ED" w:rsidRDefault="00AF7FD6" w:rsidP="00AF7FD6">
            <w:pPr>
              <w:spacing w:after="160" w:line="259" w:lineRule="auto"/>
              <w:ind w:left="316"/>
              <w:rPr>
                <w:rFonts w:ascii="Arial Narrow" w:hAnsi="Arial Narrow" w:cs="Arial"/>
                <w:color w:val="000000" w:themeColor="text1"/>
                <w:sz w:val="22"/>
                <w:szCs w:val="22"/>
              </w:rPr>
            </w:pPr>
            <w:r w:rsidRPr="009E35ED">
              <w:rPr>
                <w:rFonts w:ascii="Arial Narrow" w:hAnsi="Arial Narrow" w:cs="Arial"/>
                <w:color w:val="000000" w:themeColor="text1"/>
                <w:sz w:val="22"/>
                <w:szCs w:val="22"/>
              </w:rPr>
              <w:t>(Civil Case No. R-MND-23-00378-SC)</w:t>
            </w:r>
          </w:p>
        </w:tc>
        <w:tc>
          <w:tcPr>
            <w:tcW w:w="0" w:type="auto"/>
            <w:hideMark/>
          </w:tcPr>
          <w:p w14:paraId="0FE5716F" w14:textId="77777777" w:rsidR="00AF7FD6" w:rsidRPr="009E35ED" w:rsidRDefault="00AF7FD6" w:rsidP="00A04FF2">
            <w:pPr>
              <w:spacing w:after="160" w:line="259" w:lineRule="auto"/>
              <w:ind w:left="-44"/>
              <w:rPr>
                <w:rFonts w:ascii="Arial Narrow" w:hAnsi="Arial Narrow" w:cs="Arial"/>
                <w:color w:val="000000" w:themeColor="text1"/>
                <w:sz w:val="22"/>
                <w:szCs w:val="22"/>
                <w:lang w:val="en-PH"/>
              </w:rPr>
            </w:pPr>
            <w:r w:rsidRPr="009E35ED">
              <w:rPr>
                <w:rFonts w:ascii="Arial Narrow" w:hAnsi="Arial Narrow" w:cs="Arial"/>
                <w:color w:val="000000" w:themeColor="text1"/>
                <w:sz w:val="22"/>
                <w:szCs w:val="22"/>
                <w:lang w:val="en-PH"/>
              </w:rPr>
              <w:t>Saturn Gaming N’ Amusement Corporation – Province of Cebu, (except Metro Cebu, Cebu City, Mandaue City and Lapu-lapu City) and in the Province of Southern Leyte.</w:t>
            </w:r>
          </w:p>
        </w:tc>
        <w:tc>
          <w:tcPr>
            <w:tcW w:w="0" w:type="auto"/>
            <w:hideMark/>
          </w:tcPr>
          <w:p w14:paraId="703D5D2D" w14:textId="77777777" w:rsidR="00AF7FD6" w:rsidRPr="009E35ED" w:rsidRDefault="00AF7FD6" w:rsidP="00A04FF2">
            <w:pPr>
              <w:spacing w:after="160" w:line="259" w:lineRule="auto"/>
              <w:ind w:left="-18"/>
              <w:rPr>
                <w:rFonts w:ascii="Arial Narrow" w:hAnsi="Arial Narrow" w:cs="Arial"/>
                <w:color w:val="000000" w:themeColor="text1"/>
                <w:sz w:val="22"/>
                <w:szCs w:val="22"/>
              </w:rPr>
            </w:pPr>
            <w:r w:rsidRPr="009E35ED">
              <w:rPr>
                <w:rFonts w:ascii="Arial Narrow" w:hAnsi="Arial Narrow" w:cs="Arial"/>
                <w:color w:val="000000" w:themeColor="text1"/>
                <w:sz w:val="22"/>
                <w:szCs w:val="22"/>
              </w:rPr>
              <w:t>Petition for Certiorari Prohibition with prayer for Preliminary Injunction and Temporary Restraining Order with Damages and Attorney’s Fees</w:t>
            </w:r>
          </w:p>
        </w:tc>
        <w:tc>
          <w:tcPr>
            <w:tcW w:w="0" w:type="auto"/>
            <w:hideMark/>
          </w:tcPr>
          <w:p w14:paraId="7D2C8DD7" w14:textId="41C54A2B" w:rsidR="00AF7FD6" w:rsidRPr="009E35ED" w:rsidRDefault="00AF7FD6" w:rsidP="00A04FF2">
            <w:pPr>
              <w:spacing w:after="160" w:line="259" w:lineRule="auto"/>
              <w:ind w:left="-46"/>
              <w:rPr>
                <w:rFonts w:ascii="Arial Narrow" w:hAnsi="Arial Narrow" w:cs="Arial"/>
                <w:color w:val="000000" w:themeColor="text1"/>
                <w:sz w:val="22"/>
                <w:szCs w:val="22"/>
              </w:rPr>
            </w:pPr>
            <w:r w:rsidRPr="009E35ED">
              <w:rPr>
                <w:rFonts w:ascii="Arial Narrow" w:hAnsi="Arial Narrow" w:cs="Arial"/>
                <w:color w:val="000000" w:themeColor="text1"/>
                <w:sz w:val="22"/>
                <w:szCs w:val="22"/>
              </w:rPr>
              <w:t xml:space="preserve">Propriety of the termination by </w:t>
            </w:r>
            <w:r w:rsidR="00353010">
              <w:rPr>
                <w:rFonts w:ascii="Arial Narrow" w:hAnsi="Arial Narrow" w:cs="Arial"/>
                <w:color w:val="000000" w:themeColor="text1"/>
                <w:sz w:val="22"/>
                <w:szCs w:val="22"/>
              </w:rPr>
              <w:t xml:space="preserve">the </w:t>
            </w:r>
            <w:r w:rsidRPr="009E35ED">
              <w:rPr>
                <w:rFonts w:ascii="Arial Narrow" w:hAnsi="Arial Narrow" w:cs="Arial"/>
                <w:color w:val="000000" w:themeColor="text1"/>
                <w:sz w:val="22"/>
                <w:szCs w:val="22"/>
              </w:rPr>
              <w:t xml:space="preserve">PCSO of Saturn’s Agency Agreement to operate </w:t>
            </w:r>
            <w:r w:rsidR="00D15689">
              <w:rPr>
                <w:rFonts w:ascii="Arial Narrow" w:hAnsi="Arial Narrow" w:cs="Arial"/>
                <w:color w:val="000000" w:themeColor="text1"/>
                <w:sz w:val="22"/>
                <w:szCs w:val="22"/>
              </w:rPr>
              <w:t xml:space="preserve">the </w:t>
            </w:r>
            <w:r w:rsidRPr="009E35ED">
              <w:rPr>
                <w:rFonts w:ascii="Arial Narrow" w:hAnsi="Arial Narrow" w:cs="Arial"/>
                <w:color w:val="000000" w:themeColor="text1"/>
                <w:sz w:val="22"/>
                <w:szCs w:val="22"/>
              </w:rPr>
              <w:t>STL in Cebu Province (excluding Metro Cebu) and in Southern Leyte.</w:t>
            </w:r>
          </w:p>
        </w:tc>
        <w:tc>
          <w:tcPr>
            <w:tcW w:w="2988" w:type="dxa"/>
            <w:hideMark/>
          </w:tcPr>
          <w:p w14:paraId="314A731B" w14:textId="77777777" w:rsidR="00AF7FD6" w:rsidRPr="009E35ED" w:rsidRDefault="00AF7FD6" w:rsidP="00A04FF2">
            <w:pPr>
              <w:spacing w:after="160" w:line="259" w:lineRule="auto"/>
              <w:ind w:left="0"/>
              <w:rPr>
                <w:rFonts w:ascii="Arial Narrow" w:hAnsi="Arial Narrow" w:cs="Arial"/>
                <w:color w:val="000000" w:themeColor="text1"/>
                <w:sz w:val="22"/>
                <w:szCs w:val="22"/>
                <w:lang w:val="en-PH"/>
              </w:rPr>
            </w:pPr>
            <w:r w:rsidRPr="009E35ED">
              <w:rPr>
                <w:rFonts w:ascii="Arial Narrow" w:hAnsi="Arial Narrow" w:cs="Arial"/>
                <w:color w:val="000000" w:themeColor="text1"/>
                <w:sz w:val="22"/>
                <w:szCs w:val="22"/>
                <w:lang w:val="en-PH"/>
              </w:rPr>
              <w:t xml:space="preserve">The RTC-Mandaluyong, Branch 209 denied Saturn’s Omnibus Motion for Reconsideration for the issuance of the WPI.  </w:t>
            </w:r>
          </w:p>
          <w:p w14:paraId="102EB258" w14:textId="77777777" w:rsidR="00AF7FD6" w:rsidRPr="009E35ED" w:rsidRDefault="00AF7FD6" w:rsidP="00A04FF2">
            <w:pPr>
              <w:spacing w:after="160" w:line="259" w:lineRule="auto"/>
              <w:ind w:left="0"/>
              <w:rPr>
                <w:rFonts w:ascii="Arial Narrow" w:hAnsi="Arial Narrow" w:cs="Arial"/>
                <w:color w:val="000000" w:themeColor="text1"/>
                <w:sz w:val="22"/>
                <w:szCs w:val="22"/>
                <w:lang w:val="en-PH"/>
              </w:rPr>
            </w:pPr>
            <w:r w:rsidRPr="009E35ED">
              <w:rPr>
                <w:rFonts w:ascii="Arial Narrow" w:hAnsi="Arial Narrow" w:cs="Arial"/>
                <w:color w:val="000000" w:themeColor="text1"/>
                <w:sz w:val="22"/>
                <w:szCs w:val="22"/>
                <w:lang w:val="en-PH"/>
              </w:rPr>
              <w:t>Case is pending.</w:t>
            </w:r>
          </w:p>
        </w:tc>
      </w:tr>
      <w:tr w:rsidR="00997F75" w:rsidRPr="009E35ED" w14:paraId="1D781964" w14:textId="77777777" w:rsidTr="00AF7FD6">
        <w:trPr>
          <w:trHeight w:val="1792"/>
        </w:trPr>
        <w:tc>
          <w:tcPr>
            <w:tcW w:w="0" w:type="auto"/>
            <w:hideMark/>
          </w:tcPr>
          <w:p w14:paraId="2D721A41" w14:textId="4EAAD42B" w:rsidR="00AF7FD6" w:rsidRPr="009E35ED" w:rsidRDefault="00AF7FD6" w:rsidP="00AF7FD6">
            <w:pPr>
              <w:pStyle w:val="ListParagraph"/>
              <w:numPr>
                <w:ilvl w:val="2"/>
                <w:numId w:val="8"/>
              </w:numPr>
              <w:spacing w:after="160" w:line="259" w:lineRule="auto"/>
              <w:ind w:left="316"/>
              <w:rPr>
                <w:rFonts w:ascii="Arial Narrow" w:hAnsi="Arial Narrow" w:cs="Arial"/>
                <w:color w:val="000000" w:themeColor="text1"/>
                <w:sz w:val="22"/>
                <w:szCs w:val="22"/>
              </w:rPr>
            </w:pPr>
            <w:r w:rsidRPr="009E35ED">
              <w:rPr>
                <w:rFonts w:ascii="Arial Narrow" w:hAnsi="Arial Narrow" w:cs="Arial"/>
                <w:color w:val="000000" w:themeColor="text1"/>
                <w:sz w:val="22"/>
                <w:szCs w:val="22"/>
              </w:rPr>
              <w:t xml:space="preserve">Saturn Gaming N’ Amusement Corporation, as represented by its General and Administrative Manager, Andrea M. Alzate vs. PCSO General </w:t>
            </w:r>
            <w:r w:rsidR="0026699B" w:rsidRPr="009E35ED">
              <w:rPr>
                <w:rFonts w:ascii="Arial Narrow" w:hAnsi="Arial Narrow" w:cs="Arial"/>
                <w:color w:val="000000" w:themeColor="text1"/>
                <w:sz w:val="22"/>
                <w:szCs w:val="22"/>
              </w:rPr>
              <w:t>Manager Melquiades</w:t>
            </w:r>
            <w:r w:rsidRPr="009E35ED">
              <w:rPr>
                <w:rFonts w:ascii="Arial Narrow" w:hAnsi="Arial Narrow" w:cs="Arial"/>
                <w:color w:val="000000" w:themeColor="text1"/>
                <w:sz w:val="22"/>
                <w:szCs w:val="22"/>
              </w:rPr>
              <w:t xml:space="preserve"> A. Robles; and, the PCSO Branch Operations Sector Assistant General </w:t>
            </w:r>
            <w:r w:rsidR="004B6ADA" w:rsidRPr="009E35ED">
              <w:rPr>
                <w:rFonts w:ascii="Arial Narrow" w:hAnsi="Arial Narrow" w:cs="Arial"/>
                <w:color w:val="000000" w:themeColor="text1"/>
                <w:sz w:val="22"/>
                <w:szCs w:val="22"/>
              </w:rPr>
              <w:t>Manager Remeliza</w:t>
            </w:r>
            <w:r w:rsidRPr="009E35ED">
              <w:rPr>
                <w:rFonts w:ascii="Arial Narrow" w:hAnsi="Arial Narrow" w:cs="Arial"/>
                <w:color w:val="000000" w:themeColor="text1"/>
                <w:sz w:val="22"/>
                <w:szCs w:val="22"/>
              </w:rPr>
              <w:t xml:space="preserve"> Jovita M. Gabuyo</w:t>
            </w:r>
          </w:p>
          <w:p w14:paraId="1C8B8F94" w14:textId="78A18F41" w:rsidR="00AF7FD6" w:rsidRPr="009E35ED" w:rsidRDefault="00AF7FD6" w:rsidP="00AF7FD6">
            <w:pPr>
              <w:spacing w:after="160" w:line="259" w:lineRule="auto"/>
              <w:ind w:left="316"/>
              <w:rPr>
                <w:rFonts w:ascii="Arial Narrow" w:hAnsi="Arial Narrow" w:cs="Arial"/>
                <w:color w:val="000000" w:themeColor="text1"/>
                <w:sz w:val="22"/>
                <w:szCs w:val="22"/>
              </w:rPr>
            </w:pPr>
            <w:r w:rsidRPr="009E35ED">
              <w:rPr>
                <w:rFonts w:ascii="Arial Narrow" w:hAnsi="Arial Narrow" w:cs="Arial"/>
                <w:color w:val="000000" w:themeColor="text1"/>
                <w:sz w:val="22"/>
                <w:szCs w:val="22"/>
              </w:rPr>
              <w:t> Office of the Ombudsman, Quezon City</w:t>
            </w:r>
          </w:p>
        </w:tc>
        <w:tc>
          <w:tcPr>
            <w:tcW w:w="0" w:type="auto"/>
            <w:hideMark/>
          </w:tcPr>
          <w:p w14:paraId="310FD032" w14:textId="77777777" w:rsidR="00AF7FD6" w:rsidRPr="009E35ED" w:rsidRDefault="00AF7FD6" w:rsidP="00A04FF2">
            <w:pPr>
              <w:spacing w:after="160" w:line="259" w:lineRule="auto"/>
              <w:ind w:left="-44"/>
              <w:rPr>
                <w:rFonts w:ascii="Arial Narrow" w:hAnsi="Arial Narrow" w:cs="Arial"/>
                <w:color w:val="000000" w:themeColor="text1"/>
                <w:sz w:val="22"/>
                <w:szCs w:val="22"/>
                <w:lang w:val="en-PH"/>
              </w:rPr>
            </w:pPr>
            <w:r w:rsidRPr="009E35ED">
              <w:rPr>
                <w:rFonts w:ascii="Arial Narrow" w:hAnsi="Arial Narrow" w:cs="Arial"/>
                <w:color w:val="000000" w:themeColor="text1"/>
                <w:sz w:val="22"/>
                <w:szCs w:val="22"/>
                <w:lang w:val="en-PH"/>
              </w:rPr>
              <w:t>-</w:t>
            </w:r>
          </w:p>
        </w:tc>
        <w:tc>
          <w:tcPr>
            <w:tcW w:w="0" w:type="auto"/>
            <w:hideMark/>
          </w:tcPr>
          <w:p w14:paraId="46B2E72E" w14:textId="7DACA7FB" w:rsidR="00AF7FD6" w:rsidRPr="009E35ED" w:rsidRDefault="00AF7FD6" w:rsidP="00A04FF2">
            <w:pPr>
              <w:spacing w:after="160" w:line="259" w:lineRule="auto"/>
              <w:ind w:left="-18"/>
              <w:rPr>
                <w:rFonts w:ascii="Arial Narrow" w:hAnsi="Arial Narrow" w:cs="Arial"/>
                <w:color w:val="000000" w:themeColor="text1"/>
                <w:sz w:val="22"/>
                <w:szCs w:val="22"/>
              </w:rPr>
            </w:pPr>
            <w:r w:rsidRPr="009E35ED">
              <w:rPr>
                <w:rFonts w:ascii="Arial Narrow" w:hAnsi="Arial Narrow" w:cs="Arial"/>
                <w:color w:val="000000" w:themeColor="text1"/>
                <w:sz w:val="22"/>
                <w:szCs w:val="22"/>
              </w:rPr>
              <w:t>Violation of the Anti-Graft and Corrupt Practices Act or RA No. 3019, specifically Section 3(e) in connection with  Section 4(b) thereof; and, for Grave Misconduct and Serious Dishonesty</w:t>
            </w:r>
          </w:p>
        </w:tc>
        <w:tc>
          <w:tcPr>
            <w:tcW w:w="0" w:type="auto"/>
            <w:hideMark/>
          </w:tcPr>
          <w:p w14:paraId="585BA175" w14:textId="77777777" w:rsidR="00AF7FD6" w:rsidRPr="009E35ED" w:rsidRDefault="00AF7FD6" w:rsidP="00A04FF2">
            <w:pPr>
              <w:spacing w:after="160" w:line="259" w:lineRule="auto"/>
              <w:ind w:left="-46"/>
              <w:rPr>
                <w:rFonts w:ascii="Arial Narrow" w:hAnsi="Arial Narrow" w:cs="Arial"/>
                <w:color w:val="000000" w:themeColor="text1"/>
                <w:sz w:val="22"/>
                <w:szCs w:val="22"/>
              </w:rPr>
            </w:pPr>
            <w:r w:rsidRPr="009E35ED">
              <w:rPr>
                <w:rFonts w:ascii="Arial Narrow" w:hAnsi="Arial Narrow" w:cs="Arial"/>
                <w:color w:val="000000" w:themeColor="text1"/>
                <w:sz w:val="22"/>
                <w:szCs w:val="22"/>
              </w:rPr>
              <w:t>-</w:t>
            </w:r>
          </w:p>
        </w:tc>
        <w:tc>
          <w:tcPr>
            <w:tcW w:w="2988" w:type="dxa"/>
            <w:hideMark/>
          </w:tcPr>
          <w:p w14:paraId="4E4DE5DC" w14:textId="77777777" w:rsidR="00AF7FD6" w:rsidRPr="009E35ED" w:rsidRDefault="00AF7FD6" w:rsidP="00A04FF2">
            <w:pPr>
              <w:spacing w:after="160" w:line="259" w:lineRule="auto"/>
              <w:ind w:left="0"/>
              <w:rPr>
                <w:rFonts w:ascii="Arial Narrow" w:hAnsi="Arial Narrow" w:cs="Arial"/>
                <w:color w:val="000000" w:themeColor="text1"/>
                <w:sz w:val="22"/>
                <w:szCs w:val="22"/>
                <w:lang w:val="en-PH"/>
              </w:rPr>
            </w:pPr>
            <w:r w:rsidRPr="009E35ED">
              <w:rPr>
                <w:rFonts w:ascii="Arial Narrow" w:hAnsi="Arial Narrow" w:cs="Arial"/>
                <w:color w:val="000000" w:themeColor="text1"/>
                <w:sz w:val="22"/>
                <w:szCs w:val="22"/>
              </w:rPr>
              <w:t xml:space="preserve">OMB Joint Resolution dated 07 September 2023 for the case </w:t>
            </w:r>
            <w:r w:rsidRPr="009E35ED">
              <w:rPr>
                <w:rFonts w:ascii="Arial Narrow" w:hAnsi="Arial Narrow" w:cs="Arial"/>
                <w:bCs/>
                <w:iCs/>
                <w:color w:val="000000" w:themeColor="text1"/>
                <w:sz w:val="22"/>
                <w:szCs w:val="22"/>
              </w:rPr>
              <w:t xml:space="preserve">entitled “Saturn Gaming N’ Amusement Corporation v. PCSO, et.al (Saturn) docketed as OMB-C-C-JUL-23-0083 and OMB-C-A-JUL-23-0087 </w:t>
            </w:r>
            <w:r w:rsidRPr="009E35ED">
              <w:rPr>
                <w:rFonts w:ascii="Arial Narrow" w:hAnsi="Arial Narrow" w:cs="Arial"/>
                <w:color w:val="000000" w:themeColor="text1"/>
                <w:sz w:val="22"/>
                <w:szCs w:val="22"/>
              </w:rPr>
              <w:t>dismissing the criminal and administrative complaints against respondents.</w:t>
            </w:r>
          </w:p>
        </w:tc>
      </w:tr>
      <w:tr w:rsidR="00997F75" w:rsidRPr="009E35ED" w14:paraId="42E884D5" w14:textId="77777777" w:rsidTr="00AF7FD6">
        <w:trPr>
          <w:trHeight w:val="1792"/>
        </w:trPr>
        <w:tc>
          <w:tcPr>
            <w:tcW w:w="0" w:type="auto"/>
            <w:hideMark/>
          </w:tcPr>
          <w:p w14:paraId="08A699F7" w14:textId="292D73F2" w:rsidR="00AF7FD6" w:rsidRPr="009E35ED" w:rsidRDefault="00AF7FD6" w:rsidP="00AF7FD6">
            <w:pPr>
              <w:pStyle w:val="ListParagraph"/>
              <w:numPr>
                <w:ilvl w:val="2"/>
                <w:numId w:val="8"/>
              </w:numPr>
              <w:spacing w:after="160" w:line="259" w:lineRule="auto"/>
              <w:ind w:left="316"/>
              <w:rPr>
                <w:rFonts w:ascii="Arial Narrow" w:hAnsi="Arial Narrow" w:cs="Arial"/>
                <w:color w:val="000000" w:themeColor="text1"/>
                <w:sz w:val="22"/>
                <w:szCs w:val="22"/>
              </w:rPr>
            </w:pPr>
            <w:r w:rsidRPr="009E35ED">
              <w:rPr>
                <w:rFonts w:ascii="Arial Narrow" w:hAnsi="Arial Narrow" w:cs="Arial"/>
                <w:color w:val="000000" w:themeColor="text1"/>
                <w:sz w:val="22"/>
                <w:szCs w:val="22"/>
              </w:rPr>
              <w:t xml:space="preserve">Melquiades A. Robles, in his capacity as General Manager of </w:t>
            </w:r>
            <w:r w:rsidR="00D15689">
              <w:rPr>
                <w:rFonts w:ascii="Arial Narrow" w:hAnsi="Arial Narrow" w:cs="Arial"/>
                <w:color w:val="000000" w:themeColor="text1"/>
                <w:sz w:val="22"/>
                <w:szCs w:val="22"/>
              </w:rPr>
              <w:t xml:space="preserve">the </w:t>
            </w:r>
            <w:r w:rsidRPr="009E35ED">
              <w:rPr>
                <w:rFonts w:ascii="Arial Narrow" w:hAnsi="Arial Narrow" w:cs="Arial"/>
                <w:color w:val="000000" w:themeColor="text1"/>
                <w:sz w:val="22"/>
                <w:szCs w:val="22"/>
              </w:rPr>
              <w:t xml:space="preserve">PCSO vs. Presiding Judge Aileen N. Saquing-Agacita, Regional Trial Court, Branch 213, Mandaluyong City </w:t>
            </w:r>
          </w:p>
          <w:p w14:paraId="7A6D3EA4" w14:textId="77777777" w:rsidR="00AF7FD6" w:rsidRPr="009E35ED" w:rsidRDefault="00AF7FD6" w:rsidP="00AF7FD6">
            <w:pPr>
              <w:spacing w:after="160" w:line="259" w:lineRule="auto"/>
              <w:ind w:left="316"/>
              <w:rPr>
                <w:rFonts w:ascii="Arial Narrow" w:hAnsi="Arial Narrow" w:cs="Arial"/>
                <w:color w:val="000000" w:themeColor="text1"/>
                <w:sz w:val="22"/>
                <w:szCs w:val="22"/>
              </w:rPr>
            </w:pPr>
            <w:r w:rsidRPr="009E35ED">
              <w:rPr>
                <w:rFonts w:ascii="Arial Narrow" w:hAnsi="Arial Narrow" w:cs="Arial"/>
                <w:color w:val="000000" w:themeColor="text1"/>
                <w:sz w:val="22"/>
                <w:szCs w:val="22"/>
              </w:rPr>
              <w:t xml:space="preserve">(JIB FPI No. 23-297-RTJ) </w:t>
            </w:r>
          </w:p>
          <w:p w14:paraId="4C091655" w14:textId="77777777" w:rsidR="00AF7FD6" w:rsidRPr="009E35ED" w:rsidRDefault="00AF7FD6" w:rsidP="00AF7FD6">
            <w:pPr>
              <w:spacing w:after="160" w:line="259" w:lineRule="auto"/>
              <w:ind w:left="316"/>
              <w:rPr>
                <w:rFonts w:ascii="Arial Narrow" w:hAnsi="Arial Narrow" w:cs="Arial"/>
                <w:color w:val="000000" w:themeColor="text1"/>
                <w:sz w:val="22"/>
                <w:szCs w:val="22"/>
              </w:rPr>
            </w:pPr>
            <w:r w:rsidRPr="009E35ED">
              <w:rPr>
                <w:rFonts w:ascii="Arial Narrow" w:hAnsi="Arial Narrow" w:cs="Arial"/>
                <w:color w:val="000000" w:themeColor="text1"/>
                <w:sz w:val="22"/>
                <w:szCs w:val="22"/>
              </w:rPr>
              <w:t>Supreme Court Judicial Integrity Board, Manila</w:t>
            </w:r>
          </w:p>
        </w:tc>
        <w:tc>
          <w:tcPr>
            <w:tcW w:w="0" w:type="auto"/>
            <w:hideMark/>
          </w:tcPr>
          <w:p w14:paraId="13AAA55B" w14:textId="77777777" w:rsidR="00AF7FD6" w:rsidRPr="009E35ED" w:rsidRDefault="00AF7FD6" w:rsidP="00A04FF2">
            <w:pPr>
              <w:spacing w:after="160" w:line="259" w:lineRule="auto"/>
              <w:ind w:left="-44"/>
              <w:rPr>
                <w:rFonts w:ascii="Arial Narrow" w:hAnsi="Arial Narrow" w:cs="Arial"/>
                <w:color w:val="000000" w:themeColor="text1"/>
                <w:sz w:val="22"/>
                <w:szCs w:val="22"/>
                <w:lang w:val="en-PH"/>
              </w:rPr>
            </w:pPr>
            <w:r w:rsidRPr="009E35ED">
              <w:rPr>
                <w:rFonts w:ascii="Arial Narrow" w:hAnsi="Arial Narrow" w:cs="Arial"/>
                <w:color w:val="000000" w:themeColor="text1"/>
                <w:sz w:val="22"/>
                <w:szCs w:val="22"/>
                <w:lang w:val="en-PH"/>
              </w:rPr>
              <w:t>-</w:t>
            </w:r>
          </w:p>
        </w:tc>
        <w:tc>
          <w:tcPr>
            <w:tcW w:w="0" w:type="auto"/>
            <w:hideMark/>
          </w:tcPr>
          <w:p w14:paraId="14964BCF" w14:textId="77777777" w:rsidR="00AF7FD6" w:rsidRPr="009E35ED" w:rsidRDefault="00AF7FD6" w:rsidP="00A04FF2">
            <w:pPr>
              <w:spacing w:after="160" w:line="259" w:lineRule="auto"/>
              <w:ind w:left="-18"/>
              <w:rPr>
                <w:rFonts w:ascii="Arial Narrow" w:hAnsi="Arial Narrow" w:cs="Arial"/>
                <w:color w:val="000000" w:themeColor="text1"/>
                <w:sz w:val="22"/>
                <w:szCs w:val="22"/>
              </w:rPr>
            </w:pPr>
            <w:r w:rsidRPr="009E35ED">
              <w:rPr>
                <w:rFonts w:ascii="Arial Narrow" w:hAnsi="Arial Narrow" w:cs="Arial"/>
                <w:color w:val="000000" w:themeColor="text1"/>
                <w:sz w:val="22"/>
                <w:szCs w:val="22"/>
              </w:rPr>
              <w:t>Violation of Canon 1, Section 1, and Canon 3, Section 2 of the Code of Professional Responsibility and Accountability.</w:t>
            </w:r>
          </w:p>
        </w:tc>
        <w:tc>
          <w:tcPr>
            <w:tcW w:w="0" w:type="auto"/>
            <w:hideMark/>
          </w:tcPr>
          <w:p w14:paraId="64E6FD11" w14:textId="77777777" w:rsidR="00AF7FD6" w:rsidRPr="009E35ED" w:rsidRDefault="00AF7FD6" w:rsidP="00A04FF2">
            <w:pPr>
              <w:spacing w:after="160" w:line="259" w:lineRule="auto"/>
              <w:ind w:left="-46"/>
              <w:rPr>
                <w:rFonts w:ascii="Arial Narrow" w:hAnsi="Arial Narrow" w:cs="Arial"/>
                <w:color w:val="000000" w:themeColor="text1"/>
                <w:sz w:val="22"/>
                <w:szCs w:val="22"/>
              </w:rPr>
            </w:pPr>
            <w:r w:rsidRPr="009E35ED">
              <w:rPr>
                <w:rFonts w:ascii="Arial Narrow" w:hAnsi="Arial Narrow" w:cs="Arial"/>
                <w:color w:val="000000" w:themeColor="text1"/>
                <w:sz w:val="22"/>
                <w:szCs w:val="22"/>
              </w:rPr>
              <w:t>-</w:t>
            </w:r>
          </w:p>
        </w:tc>
        <w:tc>
          <w:tcPr>
            <w:tcW w:w="2988" w:type="dxa"/>
            <w:hideMark/>
          </w:tcPr>
          <w:p w14:paraId="0C877036" w14:textId="77777777" w:rsidR="00AF7FD6" w:rsidRPr="009E35ED" w:rsidRDefault="00AF7FD6" w:rsidP="00A04FF2">
            <w:pPr>
              <w:spacing w:after="160" w:line="259" w:lineRule="auto"/>
              <w:ind w:left="0"/>
              <w:rPr>
                <w:rFonts w:ascii="Arial Narrow" w:hAnsi="Arial Narrow" w:cs="Arial"/>
                <w:color w:val="000000" w:themeColor="text1"/>
                <w:sz w:val="22"/>
                <w:szCs w:val="22"/>
                <w:lang w:val="en-PH"/>
              </w:rPr>
            </w:pPr>
            <w:r w:rsidRPr="009E35ED">
              <w:rPr>
                <w:rFonts w:ascii="Arial Narrow" w:hAnsi="Arial Narrow" w:cs="Arial"/>
                <w:color w:val="000000" w:themeColor="text1"/>
                <w:sz w:val="22"/>
                <w:szCs w:val="22"/>
                <w:lang w:val="en-PH"/>
              </w:rPr>
              <w:t xml:space="preserve">Judge Agacita filed her Answer. Pending Resolution before the Judicial Integrity Board (JIB). </w:t>
            </w:r>
          </w:p>
        </w:tc>
      </w:tr>
      <w:tr w:rsidR="00997F75" w:rsidRPr="009E35ED" w14:paraId="0773455B" w14:textId="77777777" w:rsidTr="00AF7FD6">
        <w:trPr>
          <w:trHeight w:val="1792"/>
        </w:trPr>
        <w:tc>
          <w:tcPr>
            <w:tcW w:w="0" w:type="auto"/>
            <w:hideMark/>
          </w:tcPr>
          <w:p w14:paraId="4FE7B081" w14:textId="729FFB4F" w:rsidR="00AF7FD6" w:rsidRPr="009E35ED" w:rsidRDefault="00AF7FD6" w:rsidP="00AF7FD6">
            <w:pPr>
              <w:pStyle w:val="ListParagraph"/>
              <w:numPr>
                <w:ilvl w:val="2"/>
                <w:numId w:val="8"/>
              </w:numPr>
              <w:spacing w:after="160" w:line="259" w:lineRule="auto"/>
              <w:ind w:left="316"/>
              <w:rPr>
                <w:rFonts w:ascii="Arial Narrow" w:hAnsi="Arial Narrow" w:cs="Arial"/>
                <w:color w:val="000000" w:themeColor="text1"/>
                <w:sz w:val="22"/>
                <w:szCs w:val="22"/>
              </w:rPr>
            </w:pPr>
            <w:r w:rsidRPr="009E35ED">
              <w:rPr>
                <w:rFonts w:ascii="Arial Narrow" w:hAnsi="Arial Narrow" w:cs="Arial"/>
                <w:color w:val="000000" w:themeColor="text1"/>
                <w:sz w:val="22"/>
                <w:szCs w:val="22"/>
              </w:rPr>
              <w:t xml:space="preserve">Bright Star Lottery and Gaming Corporation vs. PCSO </w:t>
            </w:r>
          </w:p>
          <w:p w14:paraId="066B1D82" w14:textId="77777777" w:rsidR="00AF7FD6" w:rsidRPr="009E35ED" w:rsidRDefault="00AF7FD6" w:rsidP="00AF7FD6">
            <w:pPr>
              <w:spacing w:after="160" w:line="259" w:lineRule="auto"/>
              <w:ind w:left="316"/>
              <w:rPr>
                <w:rFonts w:ascii="Arial Narrow" w:hAnsi="Arial Narrow" w:cs="Arial"/>
                <w:color w:val="000000" w:themeColor="text1"/>
                <w:sz w:val="22"/>
                <w:szCs w:val="22"/>
              </w:rPr>
            </w:pPr>
            <w:r w:rsidRPr="009E35ED">
              <w:rPr>
                <w:rFonts w:ascii="Arial Narrow" w:hAnsi="Arial Narrow" w:cs="Arial"/>
                <w:color w:val="000000" w:themeColor="text1"/>
                <w:sz w:val="22"/>
                <w:szCs w:val="22"/>
              </w:rPr>
              <w:t>(Civil Case No. R-MND-20-01555-C)</w:t>
            </w:r>
          </w:p>
          <w:p w14:paraId="5657B321" w14:textId="77777777" w:rsidR="00AF7FD6" w:rsidRPr="009E35ED" w:rsidRDefault="00AF7FD6" w:rsidP="00AF7FD6">
            <w:pPr>
              <w:spacing w:after="160" w:line="259" w:lineRule="auto"/>
              <w:ind w:left="316"/>
              <w:rPr>
                <w:rFonts w:ascii="Arial Narrow" w:hAnsi="Arial Narrow" w:cs="Arial"/>
                <w:color w:val="000000" w:themeColor="text1"/>
                <w:sz w:val="22"/>
                <w:szCs w:val="22"/>
              </w:rPr>
            </w:pPr>
            <w:r w:rsidRPr="009E35ED">
              <w:rPr>
                <w:rFonts w:ascii="Arial Narrow" w:hAnsi="Arial Narrow" w:cs="Arial"/>
                <w:color w:val="000000" w:themeColor="text1"/>
                <w:sz w:val="22"/>
                <w:szCs w:val="22"/>
              </w:rPr>
              <w:t>RTC Mandaluyong City, Branch 211.</w:t>
            </w:r>
          </w:p>
        </w:tc>
        <w:tc>
          <w:tcPr>
            <w:tcW w:w="0" w:type="auto"/>
            <w:hideMark/>
          </w:tcPr>
          <w:p w14:paraId="7D7FEDF3" w14:textId="77777777" w:rsidR="00AF7FD6" w:rsidRPr="009E35ED" w:rsidRDefault="00AF7FD6" w:rsidP="00A04FF2">
            <w:pPr>
              <w:spacing w:after="160" w:line="259" w:lineRule="auto"/>
              <w:ind w:left="-44"/>
              <w:rPr>
                <w:rFonts w:ascii="Arial Narrow" w:hAnsi="Arial Narrow" w:cs="Arial"/>
                <w:color w:val="000000" w:themeColor="text1"/>
                <w:sz w:val="22"/>
                <w:szCs w:val="22"/>
                <w:lang w:val="en-PH"/>
              </w:rPr>
            </w:pPr>
            <w:r w:rsidRPr="009E35ED">
              <w:rPr>
                <w:rFonts w:ascii="Arial Narrow" w:hAnsi="Arial Narrow" w:cs="Arial"/>
                <w:color w:val="000000" w:themeColor="text1"/>
                <w:sz w:val="22"/>
                <w:szCs w:val="22"/>
                <w:lang w:val="en-PH"/>
              </w:rPr>
              <w:t>Bright Star  Lottery and Gaming Corporation – Oriental Mindoro</w:t>
            </w:r>
          </w:p>
        </w:tc>
        <w:tc>
          <w:tcPr>
            <w:tcW w:w="0" w:type="auto"/>
            <w:hideMark/>
          </w:tcPr>
          <w:p w14:paraId="2FD871DF" w14:textId="77777777" w:rsidR="00AF7FD6" w:rsidRPr="009E35ED" w:rsidRDefault="00AF7FD6" w:rsidP="00A04FF2">
            <w:pPr>
              <w:spacing w:after="160" w:line="259" w:lineRule="auto"/>
              <w:ind w:left="-18"/>
              <w:rPr>
                <w:rFonts w:ascii="Arial Narrow" w:hAnsi="Arial Narrow" w:cs="Arial"/>
                <w:color w:val="000000" w:themeColor="text1"/>
                <w:sz w:val="22"/>
                <w:szCs w:val="22"/>
              </w:rPr>
            </w:pPr>
            <w:r w:rsidRPr="009E35ED">
              <w:rPr>
                <w:rFonts w:ascii="Arial Narrow" w:hAnsi="Arial Narrow" w:cs="Arial"/>
                <w:color w:val="000000" w:themeColor="text1"/>
                <w:sz w:val="22"/>
                <w:szCs w:val="22"/>
              </w:rPr>
              <w:t>Complaint for Sum of Money and Damages with Prayer for Issuance of a Writ of Preliminary Mandatory Injunction (WPMI).</w:t>
            </w:r>
          </w:p>
        </w:tc>
        <w:tc>
          <w:tcPr>
            <w:tcW w:w="0" w:type="auto"/>
            <w:hideMark/>
          </w:tcPr>
          <w:p w14:paraId="1D9555C0" w14:textId="414A7AB0" w:rsidR="00AF7FD6" w:rsidRPr="009E35ED" w:rsidRDefault="00AF7FD6" w:rsidP="00A04FF2">
            <w:pPr>
              <w:spacing w:after="160" w:line="259" w:lineRule="auto"/>
              <w:ind w:left="-46"/>
              <w:rPr>
                <w:rFonts w:ascii="Arial Narrow" w:hAnsi="Arial Narrow" w:cs="Arial"/>
                <w:color w:val="000000" w:themeColor="text1"/>
                <w:sz w:val="22"/>
                <w:szCs w:val="22"/>
              </w:rPr>
            </w:pPr>
            <w:r w:rsidRPr="009E35ED">
              <w:rPr>
                <w:rFonts w:ascii="Arial Narrow" w:hAnsi="Arial Narrow" w:cs="Arial"/>
                <w:color w:val="000000" w:themeColor="text1"/>
                <w:sz w:val="22"/>
                <w:szCs w:val="22"/>
              </w:rPr>
              <w:t xml:space="preserve">Bright Star assailed the alleged overpayment of their past shortfall and prayed for the Issuance of </w:t>
            </w:r>
            <w:r w:rsidR="00D15689">
              <w:rPr>
                <w:rFonts w:ascii="Arial Narrow" w:hAnsi="Arial Narrow" w:cs="Arial"/>
                <w:color w:val="000000" w:themeColor="text1"/>
                <w:sz w:val="22"/>
                <w:szCs w:val="22"/>
              </w:rPr>
              <w:t xml:space="preserve">the </w:t>
            </w:r>
            <w:r w:rsidRPr="009E35ED">
              <w:rPr>
                <w:rFonts w:ascii="Arial Narrow" w:hAnsi="Arial Narrow" w:cs="Arial"/>
                <w:color w:val="000000" w:themeColor="text1"/>
                <w:sz w:val="22"/>
                <w:szCs w:val="22"/>
              </w:rPr>
              <w:t>WPMI for</w:t>
            </w:r>
            <w:r w:rsidR="00D15689">
              <w:rPr>
                <w:rFonts w:ascii="Arial Narrow" w:hAnsi="Arial Narrow" w:cs="Arial"/>
                <w:color w:val="000000" w:themeColor="text1"/>
                <w:sz w:val="22"/>
                <w:szCs w:val="22"/>
              </w:rPr>
              <w:t xml:space="preserve"> the</w:t>
            </w:r>
            <w:r w:rsidRPr="009E35ED">
              <w:rPr>
                <w:rFonts w:ascii="Arial Narrow" w:hAnsi="Arial Narrow" w:cs="Arial"/>
                <w:color w:val="000000" w:themeColor="text1"/>
                <w:sz w:val="22"/>
                <w:szCs w:val="22"/>
              </w:rPr>
              <w:t xml:space="preserve"> PCSO to execute with Bright Star the STL Agency Agreement for three (3) years.</w:t>
            </w:r>
          </w:p>
        </w:tc>
        <w:tc>
          <w:tcPr>
            <w:tcW w:w="2988" w:type="dxa"/>
            <w:hideMark/>
          </w:tcPr>
          <w:p w14:paraId="05076325" w14:textId="77777777" w:rsidR="00AF7FD6" w:rsidRPr="009E35ED" w:rsidRDefault="00AF7FD6" w:rsidP="00A04FF2">
            <w:pPr>
              <w:spacing w:after="160" w:line="259" w:lineRule="auto"/>
              <w:ind w:left="0"/>
              <w:rPr>
                <w:rFonts w:ascii="Arial Narrow" w:hAnsi="Arial Narrow" w:cs="Arial"/>
                <w:color w:val="000000" w:themeColor="text1"/>
                <w:sz w:val="22"/>
                <w:szCs w:val="22"/>
                <w:lang w:val="en-PH"/>
              </w:rPr>
            </w:pPr>
            <w:r w:rsidRPr="009E35ED">
              <w:rPr>
                <w:rFonts w:ascii="Arial Narrow" w:hAnsi="Arial Narrow" w:cs="Arial"/>
                <w:color w:val="000000" w:themeColor="text1"/>
                <w:sz w:val="22"/>
                <w:szCs w:val="22"/>
                <w:lang w:val="en-PH"/>
              </w:rPr>
              <w:t>Pre-trial proceeding is held in abeyance pending the Motion for Substitution filed by Bright Star’s counsel.  Next hearing is set on 30 January 2024.</w:t>
            </w:r>
          </w:p>
        </w:tc>
      </w:tr>
      <w:tr w:rsidR="00997F75" w:rsidRPr="009E35ED" w14:paraId="1DFBC56A" w14:textId="77777777" w:rsidTr="00AF7FD6">
        <w:trPr>
          <w:trHeight w:val="6653"/>
        </w:trPr>
        <w:tc>
          <w:tcPr>
            <w:tcW w:w="0" w:type="auto"/>
            <w:hideMark/>
          </w:tcPr>
          <w:p w14:paraId="4C1696DD" w14:textId="4E9F2B93" w:rsidR="00AF7FD6" w:rsidRPr="009E35ED" w:rsidRDefault="00AF7FD6" w:rsidP="00AF7FD6">
            <w:pPr>
              <w:pStyle w:val="ListParagraph"/>
              <w:numPr>
                <w:ilvl w:val="2"/>
                <w:numId w:val="8"/>
              </w:numPr>
              <w:spacing w:after="160" w:line="259" w:lineRule="auto"/>
              <w:ind w:left="316"/>
              <w:rPr>
                <w:rFonts w:ascii="Arial Narrow" w:hAnsi="Arial Narrow" w:cs="Arial"/>
                <w:color w:val="000000" w:themeColor="text1"/>
                <w:sz w:val="22"/>
                <w:szCs w:val="22"/>
              </w:rPr>
            </w:pPr>
            <w:r w:rsidRPr="009E35ED">
              <w:rPr>
                <w:rFonts w:ascii="Arial Narrow" w:hAnsi="Arial Narrow" w:cs="Arial"/>
                <w:color w:val="000000" w:themeColor="text1"/>
                <w:sz w:val="22"/>
                <w:szCs w:val="22"/>
              </w:rPr>
              <w:t xml:space="preserve">DJL1 Gaming Corporation vs. PCSO </w:t>
            </w:r>
          </w:p>
          <w:p w14:paraId="19A66B0A" w14:textId="77777777" w:rsidR="00AF7FD6" w:rsidRPr="009E35ED" w:rsidRDefault="00AF7FD6" w:rsidP="00AF7FD6">
            <w:pPr>
              <w:spacing w:after="160" w:line="259" w:lineRule="auto"/>
              <w:ind w:left="316"/>
              <w:rPr>
                <w:rFonts w:ascii="Arial Narrow" w:hAnsi="Arial Narrow" w:cs="Arial"/>
                <w:color w:val="000000" w:themeColor="text1"/>
                <w:sz w:val="22"/>
                <w:szCs w:val="22"/>
              </w:rPr>
            </w:pPr>
            <w:r w:rsidRPr="009E35ED">
              <w:rPr>
                <w:rFonts w:ascii="Arial Narrow" w:hAnsi="Arial Narrow" w:cs="Arial"/>
                <w:color w:val="000000" w:themeColor="text1"/>
                <w:sz w:val="22"/>
                <w:szCs w:val="22"/>
              </w:rPr>
              <w:t>(Case No. R-MND-21-01907-CV)</w:t>
            </w:r>
          </w:p>
          <w:p w14:paraId="20650E70" w14:textId="77777777" w:rsidR="00AF7FD6" w:rsidRPr="009E35ED" w:rsidRDefault="00AF7FD6" w:rsidP="00AF7FD6">
            <w:pPr>
              <w:spacing w:after="160" w:line="259" w:lineRule="auto"/>
              <w:ind w:left="316"/>
              <w:rPr>
                <w:rFonts w:ascii="Arial Narrow" w:hAnsi="Arial Narrow" w:cs="Arial"/>
                <w:color w:val="000000" w:themeColor="text1"/>
                <w:sz w:val="22"/>
                <w:szCs w:val="22"/>
              </w:rPr>
            </w:pPr>
            <w:r w:rsidRPr="009E35ED">
              <w:rPr>
                <w:rFonts w:ascii="Arial Narrow" w:hAnsi="Arial Narrow" w:cs="Arial"/>
                <w:color w:val="000000" w:themeColor="text1"/>
                <w:sz w:val="22"/>
                <w:szCs w:val="22"/>
              </w:rPr>
              <w:t>RTC Mandaluyong City, Branch 209</w:t>
            </w:r>
          </w:p>
        </w:tc>
        <w:tc>
          <w:tcPr>
            <w:tcW w:w="0" w:type="auto"/>
            <w:hideMark/>
          </w:tcPr>
          <w:p w14:paraId="5FE7B42E" w14:textId="77777777" w:rsidR="00AF7FD6" w:rsidRPr="009E35ED" w:rsidRDefault="00AF7FD6" w:rsidP="00A04FF2">
            <w:pPr>
              <w:spacing w:after="160" w:line="259" w:lineRule="auto"/>
              <w:ind w:left="-44"/>
              <w:rPr>
                <w:rFonts w:ascii="Arial Narrow" w:hAnsi="Arial Narrow" w:cs="Arial"/>
                <w:color w:val="000000" w:themeColor="text1"/>
                <w:sz w:val="22"/>
                <w:szCs w:val="22"/>
                <w:lang w:val="en-PH"/>
              </w:rPr>
            </w:pPr>
            <w:r w:rsidRPr="009E35ED">
              <w:rPr>
                <w:rFonts w:ascii="Arial Narrow" w:hAnsi="Arial Narrow" w:cs="Arial"/>
                <w:color w:val="000000" w:themeColor="text1"/>
                <w:sz w:val="22"/>
                <w:szCs w:val="22"/>
                <w:lang w:val="en-PH"/>
              </w:rPr>
              <w:t xml:space="preserve">DJL1 Gaming Corporation – Zamboanga City </w:t>
            </w:r>
          </w:p>
        </w:tc>
        <w:tc>
          <w:tcPr>
            <w:tcW w:w="0" w:type="auto"/>
            <w:hideMark/>
          </w:tcPr>
          <w:p w14:paraId="56F82C37" w14:textId="77777777" w:rsidR="00AF7FD6" w:rsidRPr="009E35ED" w:rsidRDefault="00AF7FD6" w:rsidP="00A04FF2">
            <w:pPr>
              <w:spacing w:after="160" w:line="259" w:lineRule="auto"/>
              <w:ind w:left="-18"/>
              <w:rPr>
                <w:rFonts w:ascii="Arial Narrow" w:hAnsi="Arial Narrow" w:cs="Arial"/>
                <w:color w:val="000000" w:themeColor="text1"/>
                <w:sz w:val="22"/>
                <w:szCs w:val="22"/>
              </w:rPr>
            </w:pPr>
            <w:r w:rsidRPr="009E35ED">
              <w:rPr>
                <w:rFonts w:ascii="Arial Narrow" w:hAnsi="Arial Narrow" w:cs="Arial"/>
                <w:color w:val="000000" w:themeColor="text1"/>
                <w:sz w:val="22"/>
                <w:szCs w:val="22"/>
              </w:rPr>
              <w:t>Petition for Injunction with application for Temporary Restraining Order and Urgent Prayer for the Issuance of an Ex-Parte Executive TRO effective for seventy-two (72) hours.</w:t>
            </w:r>
          </w:p>
        </w:tc>
        <w:tc>
          <w:tcPr>
            <w:tcW w:w="0" w:type="auto"/>
            <w:hideMark/>
          </w:tcPr>
          <w:p w14:paraId="69D82279" w14:textId="749B18B9" w:rsidR="00AF7FD6" w:rsidRPr="009E35ED" w:rsidRDefault="00AF7FD6" w:rsidP="00A04FF2">
            <w:pPr>
              <w:spacing w:after="160" w:line="259" w:lineRule="auto"/>
              <w:ind w:left="-46"/>
              <w:rPr>
                <w:rFonts w:ascii="Arial Narrow" w:hAnsi="Arial Narrow" w:cs="Arial"/>
                <w:color w:val="000000" w:themeColor="text1"/>
                <w:sz w:val="22"/>
                <w:szCs w:val="22"/>
              </w:rPr>
            </w:pPr>
            <w:r w:rsidRPr="009E35ED">
              <w:rPr>
                <w:rFonts w:ascii="Arial Narrow" w:hAnsi="Arial Narrow" w:cs="Arial"/>
                <w:color w:val="000000" w:themeColor="text1"/>
                <w:sz w:val="22"/>
                <w:szCs w:val="22"/>
              </w:rPr>
              <w:t>DJL-1 seeks to enjoin</w:t>
            </w:r>
            <w:r w:rsidR="00D15689">
              <w:rPr>
                <w:rFonts w:ascii="Arial Narrow" w:hAnsi="Arial Narrow" w:cs="Arial"/>
                <w:color w:val="000000" w:themeColor="text1"/>
                <w:sz w:val="22"/>
                <w:szCs w:val="22"/>
              </w:rPr>
              <w:t xml:space="preserve"> the</w:t>
            </w:r>
            <w:r w:rsidRPr="009E35ED">
              <w:rPr>
                <w:rFonts w:ascii="Arial Narrow" w:hAnsi="Arial Narrow" w:cs="Arial"/>
                <w:color w:val="000000" w:themeColor="text1"/>
                <w:sz w:val="22"/>
                <w:szCs w:val="22"/>
              </w:rPr>
              <w:t xml:space="preserve"> PCSO from opening the area of STL operation in the Province of Zamboanga City and offering for bidding, and/or awarding the same to a qualified bidder, pending referral and resolution of the pending issues between the parties to Arbitration in accordance with the Arbitral Clause in the Agency Agreement executed between </w:t>
            </w:r>
            <w:r w:rsidR="00D15689">
              <w:rPr>
                <w:rFonts w:ascii="Arial Narrow" w:hAnsi="Arial Narrow" w:cs="Arial"/>
                <w:color w:val="000000" w:themeColor="text1"/>
                <w:sz w:val="22"/>
                <w:szCs w:val="22"/>
              </w:rPr>
              <w:t xml:space="preserve">the </w:t>
            </w:r>
            <w:r w:rsidRPr="009E35ED">
              <w:rPr>
                <w:rFonts w:ascii="Arial Narrow" w:hAnsi="Arial Narrow" w:cs="Arial"/>
                <w:color w:val="000000" w:themeColor="text1"/>
                <w:sz w:val="22"/>
                <w:szCs w:val="22"/>
              </w:rPr>
              <w:t xml:space="preserve">PCSO and </w:t>
            </w:r>
            <w:r w:rsidR="00D15689">
              <w:rPr>
                <w:rFonts w:ascii="Arial Narrow" w:hAnsi="Arial Narrow" w:cs="Arial"/>
                <w:color w:val="000000" w:themeColor="text1"/>
                <w:sz w:val="22"/>
                <w:szCs w:val="22"/>
              </w:rPr>
              <w:t xml:space="preserve">the </w:t>
            </w:r>
            <w:r w:rsidRPr="009E35ED">
              <w:rPr>
                <w:rFonts w:ascii="Arial Narrow" w:hAnsi="Arial Narrow" w:cs="Arial"/>
                <w:color w:val="000000" w:themeColor="text1"/>
                <w:sz w:val="22"/>
                <w:szCs w:val="22"/>
              </w:rPr>
              <w:t>DJL-1.</w:t>
            </w:r>
          </w:p>
        </w:tc>
        <w:tc>
          <w:tcPr>
            <w:tcW w:w="2988" w:type="dxa"/>
            <w:hideMark/>
          </w:tcPr>
          <w:p w14:paraId="23AF7A83" w14:textId="77777777" w:rsidR="00AF7FD6" w:rsidRPr="009E35ED" w:rsidRDefault="00AF7FD6" w:rsidP="00A04FF2">
            <w:pPr>
              <w:spacing w:after="160" w:line="259" w:lineRule="auto"/>
              <w:ind w:left="0"/>
              <w:rPr>
                <w:rFonts w:ascii="Arial Narrow" w:hAnsi="Arial Narrow" w:cs="Arial"/>
                <w:color w:val="000000" w:themeColor="text1"/>
                <w:sz w:val="22"/>
                <w:szCs w:val="22"/>
                <w:lang w:val="en-PH"/>
              </w:rPr>
            </w:pPr>
            <w:r w:rsidRPr="009E35ED">
              <w:rPr>
                <w:rFonts w:ascii="Arial Narrow" w:hAnsi="Arial Narrow" w:cs="Arial"/>
                <w:color w:val="000000" w:themeColor="text1"/>
                <w:sz w:val="22"/>
                <w:szCs w:val="22"/>
                <w:lang w:val="en-PH"/>
              </w:rPr>
              <w:t xml:space="preserve">DJL-1’s Motion for Reconsideration on the Decision of RTC-Mandaluyong Branch 209 is pending Resolution.  </w:t>
            </w:r>
          </w:p>
        </w:tc>
      </w:tr>
      <w:tr w:rsidR="00997F75" w:rsidRPr="009E35ED" w14:paraId="3B667C85" w14:textId="77777777" w:rsidTr="00AF7FD6">
        <w:trPr>
          <w:trHeight w:val="1792"/>
        </w:trPr>
        <w:tc>
          <w:tcPr>
            <w:tcW w:w="0" w:type="auto"/>
            <w:hideMark/>
          </w:tcPr>
          <w:p w14:paraId="1AD6CBF1" w14:textId="7FB9937F" w:rsidR="00AF7FD6" w:rsidRPr="009E35ED" w:rsidRDefault="00AF7FD6" w:rsidP="00AF7FD6">
            <w:pPr>
              <w:pStyle w:val="ListParagraph"/>
              <w:numPr>
                <w:ilvl w:val="2"/>
                <w:numId w:val="8"/>
              </w:numPr>
              <w:spacing w:after="160" w:line="259" w:lineRule="auto"/>
              <w:ind w:left="316"/>
              <w:rPr>
                <w:rFonts w:ascii="Arial Narrow" w:hAnsi="Arial Narrow" w:cs="Arial"/>
                <w:color w:val="000000" w:themeColor="text1"/>
                <w:sz w:val="22"/>
                <w:szCs w:val="22"/>
              </w:rPr>
            </w:pPr>
            <w:r w:rsidRPr="009E35ED">
              <w:rPr>
                <w:rFonts w:ascii="Arial Narrow" w:hAnsi="Arial Narrow" w:cs="Arial"/>
                <w:color w:val="000000" w:themeColor="text1"/>
                <w:sz w:val="22"/>
                <w:szCs w:val="22"/>
              </w:rPr>
              <w:t xml:space="preserve">Bet &amp; Win Gaming Corporation vs. PCSO </w:t>
            </w:r>
          </w:p>
          <w:p w14:paraId="3D5AA90E" w14:textId="77777777" w:rsidR="00AF7FD6" w:rsidRPr="009E35ED" w:rsidRDefault="00AF7FD6" w:rsidP="00AF7FD6">
            <w:pPr>
              <w:spacing w:after="160" w:line="259" w:lineRule="auto"/>
              <w:ind w:left="316"/>
              <w:rPr>
                <w:rFonts w:ascii="Arial Narrow" w:hAnsi="Arial Narrow" w:cs="Arial"/>
                <w:color w:val="000000" w:themeColor="text1"/>
                <w:sz w:val="22"/>
                <w:szCs w:val="22"/>
              </w:rPr>
            </w:pPr>
            <w:r w:rsidRPr="009E35ED">
              <w:rPr>
                <w:rFonts w:ascii="Arial Narrow" w:hAnsi="Arial Narrow" w:cs="Arial"/>
                <w:color w:val="000000" w:themeColor="text1"/>
                <w:sz w:val="22"/>
                <w:szCs w:val="22"/>
              </w:rPr>
              <w:t>(Case No. R-MND-23-00682-SC</w:t>
            </w:r>
          </w:p>
          <w:p w14:paraId="5A144305" w14:textId="77777777" w:rsidR="00AF7FD6" w:rsidRPr="009E35ED" w:rsidRDefault="00AF7FD6" w:rsidP="00AF7FD6">
            <w:pPr>
              <w:spacing w:after="160" w:line="259" w:lineRule="auto"/>
              <w:ind w:left="316"/>
              <w:rPr>
                <w:rFonts w:ascii="Arial Narrow" w:hAnsi="Arial Narrow" w:cs="Arial"/>
                <w:color w:val="000000" w:themeColor="text1"/>
                <w:sz w:val="22"/>
                <w:szCs w:val="22"/>
              </w:rPr>
            </w:pPr>
            <w:r w:rsidRPr="009E35ED">
              <w:rPr>
                <w:rFonts w:ascii="Arial Narrow" w:hAnsi="Arial Narrow" w:cs="Arial"/>
                <w:color w:val="000000" w:themeColor="text1"/>
                <w:sz w:val="22"/>
                <w:szCs w:val="22"/>
              </w:rPr>
              <w:t>Regional Trial Court of  Mandaluyong City, Branch 209</w:t>
            </w:r>
          </w:p>
        </w:tc>
        <w:tc>
          <w:tcPr>
            <w:tcW w:w="0" w:type="auto"/>
            <w:hideMark/>
          </w:tcPr>
          <w:p w14:paraId="565BF4DA" w14:textId="77777777" w:rsidR="00AF7FD6" w:rsidRPr="009E35ED" w:rsidRDefault="00AF7FD6" w:rsidP="00A04FF2">
            <w:pPr>
              <w:spacing w:after="160" w:line="259" w:lineRule="auto"/>
              <w:ind w:left="-44"/>
              <w:rPr>
                <w:rFonts w:ascii="Arial Narrow" w:hAnsi="Arial Narrow" w:cs="Arial"/>
                <w:color w:val="000000" w:themeColor="text1"/>
                <w:sz w:val="22"/>
                <w:szCs w:val="22"/>
                <w:lang w:val="en-PH"/>
              </w:rPr>
            </w:pPr>
            <w:r w:rsidRPr="009E35ED">
              <w:rPr>
                <w:rFonts w:ascii="Arial Narrow" w:hAnsi="Arial Narrow" w:cs="Arial"/>
                <w:color w:val="000000" w:themeColor="text1"/>
                <w:sz w:val="22"/>
                <w:szCs w:val="22"/>
                <w:lang w:val="en-PH"/>
              </w:rPr>
              <w:t>Bet &amp; Win Gaming Corporation - Oriental Mindoro</w:t>
            </w:r>
          </w:p>
        </w:tc>
        <w:tc>
          <w:tcPr>
            <w:tcW w:w="0" w:type="auto"/>
            <w:hideMark/>
          </w:tcPr>
          <w:p w14:paraId="20CD2777" w14:textId="77777777" w:rsidR="00AF7FD6" w:rsidRPr="009E35ED" w:rsidRDefault="00AF7FD6" w:rsidP="00A04FF2">
            <w:pPr>
              <w:spacing w:after="160" w:line="259" w:lineRule="auto"/>
              <w:ind w:left="-18"/>
              <w:rPr>
                <w:rFonts w:ascii="Arial Narrow" w:hAnsi="Arial Narrow" w:cs="Arial"/>
                <w:color w:val="000000" w:themeColor="text1"/>
                <w:sz w:val="22"/>
                <w:szCs w:val="22"/>
              </w:rPr>
            </w:pPr>
            <w:r w:rsidRPr="009E35ED">
              <w:rPr>
                <w:rFonts w:ascii="Arial Narrow" w:hAnsi="Arial Narrow" w:cs="Arial"/>
                <w:color w:val="000000" w:themeColor="text1"/>
                <w:sz w:val="22"/>
                <w:szCs w:val="22"/>
              </w:rPr>
              <w:t>Petition for Certiorari and Prohibition with Petition for issuance of Status Quo Ante Order and/or TRO and/or WPI</w:t>
            </w:r>
          </w:p>
        </w:tc>
        <w:tc>
          <w:tcPr>
            <w:tcW w:w="0" w:type="auto"/>
            <w:hideMark/>
          </w:tcPr>
          <w:p w14:paraId="796FB2A7" w14:textId="2FD45D77" w:rsidR="00AF7FD6" w:rsidRPr="009E35ED" w:rsidRDefault="00AF7FD6" w:rsidP="00A04FF2">
            <w:pPr>
              <w:spacing w:after="160" w:line="259" w:lineRule="auto"/>
              <w:ind w:left="-46"/>
              <w:rPr>
                <w:rFonts w:ascii="Arial Narrow" w:hAnsi="Arial Narrow" w:cs="Arial"/>
                <w:color w:val="000000" w:themeColor="text1"/>
                <w:sz w:val="22"/>
                <w:szCs w:val="22"/>
              </w:rPr>
            </w:pPr>
            <w:r w:rsidRPr="009E35ED">
              <w:rPr>
                <w:rFonts w:ascii="Arial Narrow" w:hAnsi="Arial Narrow" w:cs="Arial"/>
                <w:color w:val="000000" w:themeColor="text1"/>
                <w:sz w:val="22"/>
                <w:szCs w:val="22"/>
              </w:rPr>
              <w:t xml:space="preserve">Propriety of revocation and termination by </w:t>
            </w:r>
            <w:r w:rsidR="00D15689">
              <w:rPr>
                <w:rFonts w:ascii="Arial Narrow" w:hAnsi="Arial Narrow" w:cs="Arial"/>
                <w:color w:val="000000" w:themeColor="text1"/>
                <w:sz w:val="22"/>
                <w:szCs w:val="22"/>
              </w:rPr>
              <w:t xml:space="preserve">the </w:t>
            </w:r>
            <w:r w:rsidRPr="009E35ED">
              <w:rPr>
                <w:rFonts w:ascii="Arial Narrow" w:hAnsi="Arial Narrow" w:cs="Arial"/>
                <w:color w:val="000000" w:themeColor="text1"/>
                <w:sz w:val="22"/>
                <w:szCs w:val="22"/>
              </w:rPr>
              <w:t>PCSO of Bet &amp; Win Authority to Operate</w:t>
            </w:r>
            <w:r w:rsidR="00D15689">
              <w:rPr>
                <w:rFonts w:ascii="Arial Narrow" w:hAnsi="Arial Narrow" w:cs="Arial"/>
                <w:color w:val="000000" w:themeColor="text1"/>
                <w:sz w:val="22"/>
                <w:szCs w:val="22"/>
              </w:rPr>
              <w:t xml:space="preserve"> the</w:t>
            </w:r>
            <w:r w:rsidRPr="009E35ED">
              <w:rPr>
                <w:rFonts w:ascii="Arial Narrow" w:hAnsi="Arial Narrow" w:cs="Arial"/>
                <w:color w:val="000000" w:themeColor="text1"/>
                <w:sz w:val="22"/>
                <w:szCs w:val="22"/>
              </w:rPr>
              <w:t xml:space="preserve"> STL in the Province of Oriental Mindoro.</w:t>
            </w:r>
          </w:p>
        </w:tc>
        <w:tc>
          <w:tcPr>
            <w:tcW w:w="2988" w:type="dxa"/>
            <w:hideMark/>
          </w:tcPr>
          <w:p w14:paraId="4D25BA3C" w14:textId="77777777" w:rsidR="00AF7FD6" w:rsidRPr="009E35ED" w:rsidRDefault="00AF7FD6" w:rsidP="00A04FF2">
            <w:pPr>
              <w:spacing w:after="160" w:line="259" w:lineRule="auto"/>
              <w:ind w:left="0"/>
              <w:rPr>
                <w:rFonts w:ascii="Arial Narrow" w:hAnsi="Arial Narrow" w:cs="Arial"/>
                <w:color w:val="000000" w:themeColor="text1"/>
                <w:sz w:val="22"/>
                <w:szCs w:val="22"/>
                <w:lang w:val="en-PH"/>
              </w:rPr>
            </w:pPr>
            <w:r w:rsidRPr="009E35ED">
              <w:rPr>
                <w:rFonts w:ascii="Arial Narrow" w:hAnsi="Arial Narrow" w:cs="Arial"/>
                <w:color w:val="000000" w:themeColor="text1"/>
                <w:sz w:val="22"/>
                <w:szCs w:val="22"/>
                <w:lang w:val="en-PH"/>
              </w:rPr>
              <w:t xml:space="preserve">RTC – Mandaluyong Branch 209 denied Bet &amp; Win Gaming Corporation’s TRO, SQA Order, and/or WPI. Pending decision on the Petition for Certiorari and Prohibition. </w:t>
            </w:r>
          </w:p>
        </w:tc>
      </w:tr>
      <w:tr w:rsidR="00997F75" w:rsidRPr="009E35ED" w14:paraId="6017D070" w14:textId="77777777" w:rsidTr="00AF7FD6">
        <w:trPr>
          <w:trHeight w:val="1792"/>
        </w:trPr>
        <w:tc>
          <w:tcPr>
            <w:tcW w:w="0" w:type="auto"/>
            <w:hideMark/>
          </w:tcPr>
          <w:p w14:paraId="2228114E" w14:textId="3EBB76D4" w:rsidR="00AF7FD6" w:rsidRPr="009E35ED" w:rsidRDefault="00AF7FD6" w:rsidP="00AF7FD6">
            <w:pPr>
              <w:pStyle w:val="ListParagraph"/>
              <w:numPr>
                <w:ilvl w:val="2"/>
                <w:numId w:val="8"/>
              </w:numPr>
              <w:spacing w:after="160" w:line="259" w:lineRule="auto"/>
              <w:ind w:left="316"/>
              <w:rPr>
                <w:rFonts w:ascii="Arial Narrow" w:hAnsi="Arial Narrow" w:cs="Arial"/>
                <w:color w:val="000000" w:themeColor="text1"/>
                <w:sz w:val="22"/>
                <w:szCs w:val="22"/>
              </w:rPr>
            </w:pPr>
            <w:r w:rsidRPr="009E35ED">
              <w:rPr>
                <w:rFonts w:ascii="Arial Narrow" w:hAnsi="Arial Narrow" w:cs="Arial"/>
                <w:color w:val="000000" w:themeColor="text1"/>
                <w:sz w:val="22"/>
                <w:szCs w:val="22"/>
              </w:rPr>
              <w:t xml:space="preserve">Diamond Millennium Corporation vs. Melquiades A. Robles (in his capacity as the General Manager of </w:t>
            </w:r>
            <w:r w:rsidR="00D15689">
              <w:rPr>
                <w:rFonts w:ascii="Arial Narrow" w:hAnsi="Arial Narrow" w:cs="Arial"/>
                <w:color w:val="000000" w:themeColor="text1"/>
                <w:sz w:val="22"/>
                <w:szCs w:val="22"/>
              </w:rPr>
              <w:t xml:space="preserve">the </w:t>
            </w:r>
            <w:r w:rsidRPr="009E35ED">
              <w:rPr>
                <w:rFonts w:ascii="Arial Narrow" w:hAnsi="Arial Narrow" w:cs="Arial"/>
                <w:color w:val="000000" w:themeColor="text1"/>
                <w:sz w:val="22"/>
                <w:szCs w:val="22"/>
              </w:rPr>
              <w:t>PCSO), Remeliza M. Gabuyo (In her capacity as the AGM of the PCSO), Divina M. Salvacion (in her capacity as OIC Branch Manager of PCSO Misamis Oriental) and the PCSO</w:t>
            </w:r>
          </w:p>
          <w:p w14:paraId="762C96E1" w14:textId="77777777" w:rsidR="00AF7FD6" w:rsidRPr="009E35ED" w:rsidRDefault="00AF7FD6" w:rsidP="00AF7FD6">
            <w:pPr>
              <w:spacing w:after="160" w:line="259" w:lineRule="auto"/>
              <w:ind w:left="316"/>
              <w:rPr>
                <w:rFonts w:ascii="Arial Narrow" w:hAnsi="Arial Narrow" w:cs="Arial"/>
                <w:color w:val="000000" w:themeColor="text1"/>
                <w:sz w:val="22"/>
                <w:szCs w:val="22"/>
              </w:rPr>
            </w:pPr>
            <w:r w:rsidRPr="009E35ED">
              <w:rPr>
                <w:rFonts w:ascii="Arial Narrow" w:hAnsi="Arial Narrow" w:cs="Arial"/>
                <w:color w:val="000000" w:themeColor="text1"/>
                <w:sz w:val="22"/>
                <w:szCs w:val="22"/>
              </w:rPr>
              <w:t>(CA-G.R. SP No. 11557-MIN) Court of Appeals Cagayan de Oro City</w:t>
            </w:r>
          </w:p>
        </w:tc>
        <w:tc>
          <w:tcPr>
            <w:tcW w:w="0" w:type="auto"/>
            <w:hideMark/>
          </w:tcPr>
          <w:p w14:paraId="27A522C3" w14:textId="77777777" w:rsidR="00AF7FD6" w:rsidRPr="009E35ED" w:rsidRDefault="00AF7FD6" w:rsidP="00A04FF2">
            <w:pPr>
              <w:spacing w:after="160" w:line="259" w:lineRule="auto"/>
              <w:ind w:left="-44"/>
              <w:rPr>
                <w:rFonts w:ascii="Arial Narrow" w:hAnsi="Arial Narrow" w:cs="Arial"/>
                <w:color w:val="000000" w:themeColor="text1"/>
                <w:sz w:val="22"/>
                <w:szCs w:val="22"/>
                <w:lang w:val="en-PH"/>
              </w:rPr>
            </w:pPr>
            <w:r w:rsidRPr="009E35ED">
              <w:rPr>
                <w:rFonts w:ascii="Arial Narrow" w:hAnsi="Arial Narrow" w:cs="Arial"/>
                <w:color w:val="000000" w:themeColor="text1"/>
                <w:sz w:val="22"/>
                <w:szCs w:val="22"/>
                <w:lang w:val="en-PH"/>
              </w:rPr>
              <w:t>Diamond Millenium Corporation -  Cagayan de Oro City and Misamis Oriental</w:t>
            </w:r>
          </w:p>
        </w:tc>
        <w:tc>
          <w:tcPr>
            <w:tcW w:w="0" w:type="auto"/>
            <w:hideMark/>
          </w:tcPr>
          <w:p w14:paraId="05335169" w14:textId="77777777" w:rsidR="00AF7FD6" w:rsidRPr="009E35ED" w:rsidRDefault="00AF7FD6" w:rsidP="00A04FF2">
            <w:pPr>
              <w:spacing w:after="160" w:line="259" w:lineRule="auto"/>
              <w:ind w:left="-18"/>
              <w:rPr>
                <w:rFonts w:ascii="Arial Narrow" w:hAnsi="Arial Narrow" w:cs="Arial"/>
                <w:color w:val="000000" w:themeColor="text1"/>
                <w:sz w:val="22"/>
                <w:szCs w:val="22"/>
              </w:rPr>
            </w:pPr>
            <w:r w:rsidRPr="009E35ED">
              <w:rPr>
                <w:rFonts w:ascii="Arial Narrow" w:hAnsi="Arial Narrow" w:cs="Arial"/>
                <w:color w:val="000000" w:themeColor="text1"/>
                <w:sz w:val="22"/>
                <w:szCs w:val="22"/>
              </w:rPr>
              <w:t>Petition for Certiorari and Prohibition under Rule 65</w:t>
            </w:r>
          </w:p>
        </w:tc>
        <w:tc>
          <w:tcPr>
            <w:tcW w:w="0" w:type="auto"/>
            <w:hideMark/>
          </w:tcPr>
          <w:p w14:paraId="1CC6CFF6" w14:textId="14FE165C" w:rsidR="00AF7FD6" w:rsidRPr="009E35ED" w:rsidRDefault="00AF7FD6" w:rsidP="00A04FF2">
            <w:pPr>
              <w:spacing w:after="160" w:line="259" w:lineRule="auto"/>
              <w:ind w:left="-46"/>
              <w:rPr>
                <w:rFonts w:ascii="Arial Narrow" w:hAnsi="Arial Narrow" w:cs="Arial"/>
                <w:color w:val="000000" w:themeColor="text1"/>
                <w:sz w:val="22"/>
                <w:szCs w:val="22"/>
              </w:rPr>
            </w:pPr>
            <w:r w:rsidRPr="009E35ED">
              <w:rPr>
                <w:rFonts w:ascii="Arial Narrow" w:hAnsi="Arial Narrow" w:cs="Arial"/>
                <w:color w:val="000000" w:themeColor="text1"/>
                <w:sz w:val="22"/>
                <w:szCs w:val="22"/>
              </w:rPr>
              <w:t xml:space="preserve">Propriety of the termination by </w:t>
            </w:r>
            <w:r w:rsidR="00D15689">
              <w:rPr>
                <w:rFonts w:ascii="Arial Narrow" w:hAnsi="Arial Narrow" w:cs="Arial"/>
                <w:color w:val="000000" w:themeColor="text1"/>
                <w:sz w:val="22"/>
                <w:szCs w:val="22"/>
              </w:rPr>
              <w:t xml:space="preserve">the </w:t>
            </w:r>
            <w:r w:rsidRPr="009E35ED">
              <w:rPr>
                <w:rFonts w:ascii="Arial Narrow" w:hAnsi="Arial Narrow" w:cs="Arial"/>
                <w:color w:val="000000" w:themeColor="text1"/>
                <w:sz w:val="22"/>
                <w:szCs w:val="22"/>
              </w:rPr>
              <w:t>PCSO of Diamond Millennium’s Agency Agreement and Authority to Operate</w:t>
            </w:r>
          </w:p>
        </w:tc>
        <w:tc>
          <w:tcPr>
            <w:tcW w:w="2988" w:type="dxa"/>
            <w:hideMark/>
          </w:tcPr>
          <w:p w14:paraId="1224C74B" w14:textId="77777777" w:rsidR="00AF7FD6" w:rsidRPr="009E35ED" w:rsidRDefault="00AF7FD6" w:rsidP="00A04FF2">
            <w:pPr>
              <w:spacing w:after="160" w:line="259" w:lineRule="auto"/>
              <w:ind w:left="0"/>
              <w:rPr>
                <w:rFonts w:ascii="Arial Narrow" w:hAnsi="Arial Narrow" w:cs="Arial"/>
                <w:color w:val="000000" w:themeColor="text1"/>
                <w:sz w:val="22"/>
                <w:szCs w:val="22"/>
                <w:lang w:val="en-PH"/>
              </w:rPr>
            </w:pPr>
            <w:r w:rsidRPr="009E35ED">
              <w:rPr>
                <w:rFonts w:ascii="Arial Narrow" w:hAnsi="Arial Narrow" w:cs="Arial"/>
                <w:color w:val="000000" w:themeColor="text1"/>
                <w:sz w:val="22"/>
                <w:szCs w:val="22"/>
                <w:lang w:val="en-PH"/>
              </w:rPr>
              <w:t xml:space="preserve">The Court of Appeals (CA) issued Resolution dated 13 October 2023 which denied the issuance of the Writ of Preliminary Injunction in favor of Diamond. </w:t>
            </w:r>
          </w:p>
          <w:p w14:paraId="27FE4132" w14:textId="63B54217" w:rsidR="00AF7FD6" w:rsidRPr="009E35ED" w:rsidRDefault="00AF7FD6" w:rsidP="00A04FF2">
            <w:pPr>
              <w:spacing w:after="160" w:line="259" w:lineRule="auto"/>
              <w:ind w:left="0"/>
              <w:rPr>
                <w:rFonts w:ascii="Arial Narrow" w:hAnsi="Arial Narrow" w:cs="Arial"/>
                <w:color w:val="000000" w:themeColor="text1"/>
                <w:sz w:val="22"/>
                <w:szCs w:val="22"/>
                <w:lang w:val="en-PH"/>
              </w:rPr>
            </w:pPr>
            <w:r w:rsidRPr="009E35ED">
              <w:rPr>
                <w:rFonts w:ascii="Arial Narrow" w:hAnsi="Arial Narrow" w:cs="Arial"/>
                <w:color w:val="000000" w:themeColor="text1"/>
                <w:sz w:val="22"/>
                <w:szCs w:val="22"/>
                <w:lang w:val="en-PH"/>
              </w:rPr>
              <w:t>On 03 November 2023, Diamond filed before the Supreme Court (SC) a Petition for Certiorari assailing CA Resolution dated 13 October 2023.</w:t>
            </w:r>
          </w:p>
        </w:tc>
      </w:tr>
      <w:tr w:rsidR="00997F75" w:rsidRPr="009E35ED" w14:paraId="7916C629" w14:textId="77777777" w:rsidTr="00AF7FD6">
        <w:trPr>
          <w:trHeight w:val="4176"/>
        </w:trPr>
        <w:tc>
          <w:tcPr>
            <w:tcW w:w="0" w:type="auto"/>
            <w:hideMark/>
          </w:tcPr>
          <w:p w14:paraId="130ACD05" w14:textId="3FDEC015" w:rsidR="00AF7FD6" w:rsidRPr="009E35ED" w:rsidRDefault="00AF7FD6" w:rsidP="00AF7FD6">
            <w:pPr>
              <w:pStyle w:val="ListParagraph"/>
              <w:numPr>
                <w:ilvl w:val="2"/>
                <w:numId w:val="8"/>
              </w:numPr>
              <w:spacing w:after="160" w:line="259" w:lineRule="auto"/>
              <w:ind w:left="316"/>
              <w:rPr>
                <w:rFonts w:ascii="Arial Narrow" w:hAnsi="Arial Narrow" w:cs="Arial"/>
                <w:color w:val="000000" w:themeColor="text1"/>
                <w:sz w:val="22"/>
                <w:szCs w:val="22"/>
              </w:rPr>
            </w:pPr>
            <w:r w:rsidRPr="009E35ED">
              <w:rPr>
                <w:rFonts w:ascii="Arial Narrow" w:hAnsi="Arial Narrow" w:cs="Arial"/>
                <w:color w:val="000000" w:themeColor="text1"/>
                <w:sz w:val="22"/>
                <w:szCs w:val="22"/>
              </w:rPr>
              <w:t>Philippine Charity Sweepstakes Office, represented by its General Manager Royina M. Garma vs. City of Naga, represented by Mayor Nelson S. Legacion</w:t>
            </w:r>
          </w:p>
          <w:p w14:paraId="2067E9AC" w14:textId="77777777" w:rsidR="00AF7FD6" w:rsidRPr="009E35ED" w:rsidRDefault="00AF7FD6" w:rsidP="00AF7FD6">
            <w:pPr>
              <w:spacing w:after="160" w:line="259" w:lineRule="auto"/>
              <w:ind w:left="316"/>
              <w:rPr>
                <w:rFonts w:ascii="Arial Narrow" w:hAnsi="Arial Narrow" w:cs="Arial"/>
                <w:color w:val="000000" w:themeColor="text1"/>
                <w:sz w:val="22"/>
                <w:szCs w:val="22"/>
              </w:rPr>
            </w:pPr>
            <w:r w:rsidRPr="009E35ED">
              <w:rPr>
                <w:rFonts w:ascii="Arial Narrow" w:hAnsi="Arial Narrow" w:cs="Arial"/>
                <w:color w:val="000000" w:themeColor="text1"/>
                <w:sz w:val="22"/>
                <w:szCs w:val="22"/>
              </w:rPr>
              <w:t xml:space="preserve">GR. No. 256120 </w:t>
            </w:r>
          </w:p>
          <w:p w14:paraId="4D7C2F72" w14:textId="3BB55A93" w:rsidR="00AF7FD6" w:rsidRPr="009E35ED" w:rsidRDefault="00D15689" w:rsidP="00AF7FD6">
            <w:pPr>
              <w:spacing w:after="160" w:line="259" w:lineRule="auto"/>
              <w:ind w:left="316"/>
              <w:rPr>
                <w:rFonts w:ascii="Arial Narrow" w:hAnsi="Arial Narrow" w:cs="Arial"/>
                <w:color w:val="000000" w:themeColor="text1"/>
                <w:sz w:val="22"/>
                <w:szCs w:val="22"/>
              </w:rPr>
            </w:pPr>
            <w:r>
              <w:rPr>
                <w:rFonts w:ascii="Arial Narrow" w:hAnsi="Arial Narrow" w:cs="Arial"/>
                <w:color w:val="000000" w:themeColor="text1"/>
                <w:sz w:val="22"/>
                <w:szCs w:val="22"/>
              </w:rPr>
              <w:t>SC</w:t>
            </w:r>
            <w:r w:rsidR="00AF7FD6" w:rsidRPr="009E35ED">
              <w:rPr>
                <w:rFonts w:ascii="Arial Narrow" w:hAnsi="Arial Narrow" w:cs="Arial"/>
                <w:color w:val="000000" w:themeColor="text1"/>
                <w:sz w:val="22"/>
                <w:szCs w:val="22"/>
              </w:rPr>
              <w:t>,  Third Division</w:t>
            </w:r>
          </w:p>
        </w:tc>
        <w:tc>
          <w:tcPr>
            <w:tcW w:w="0" w:type="auto"/>
            <w:hideMark/>
          </w:tcPr>
          <w:p w14:paraId="3034F897" w14:textId="77777777" w:rsidR="00AF7FD6" w:rsidRPr="009E35ED" w:rsidRDefault="00AF7FD6" w:rsidP="00A04FF2">
            <w:pPr>
              <w:spacing w:after="160" w:line="259" w:lineRule="auto"/>
              <w:ind w:left="-44"/>
              <w:rPr>
                <w:rFonts w:ascii="Arial Narrow" w:hAnsi="Arial Narrow" w:cs="Arial"/>
                <w:color w:val="000000" w:themeColor="text1"/>
                <w:sz w:val="22"/>
                <w:szCs w:val="22"/>
                <w:lang w:val="en-PH"/>
              </w:rPr>
            </w:pPr>
            <w:r w:rsidRPr="009E35ED">
              <w:rPr>
                <w:rFonts w:ascii="Arial Narrow" w:hAnsi="Arial Narrow" w:cs="Arial"/>
                <w:color w:val="000000" w:themeColor="text1"/>
                <w:sz w:val="22"/>
                <w:szCs w:val="22"/>
                <w:lang w:val="en-PH"/>
              </w:rPr>
              <w:t>Evenchance Gaming Corporation – Camarines Sur</w:t>
            </w:r>
          </w:p>
        </w:tc>
        <w:tc>
          <w:tcPr>
            <w:tcW w:w="0" w:type="auto"/>
            <w:hideMark/>
          </w:tcPr>
          <w:p w14:paraId="7B3179F7" w14:textId="77777777" w:rsidR="00AF7FD6" w:rsidRPr="009E35ED" w:rsidRDefault="00AF7FD6" w:rsidP="00A04FF2">
            <w:pPr>
              <w:spacing w:after="160" w:line="259" w:lineRule="auto"/>
              <w:ind w:left="-18"/>
              <w:rPr>
                <w:rFonts w:ascii="Arial Narrow" w:hAnsi="Arial Narrow" w:cs="Arial"/>
                <w:color w:val="000000" w:themeColor="text1"/>
                <w:sz w:val="22"/>
                <w:szCs w:val="22"/>
              </w:rPr>
            </w:pPr>
            <w:r w:rsidRPr="009E35ED">
              <w:rPr>
                <w:rFonts w:ascii="Arial Narrow" w:hAnsi="Arial Narrow" w:cs="Arial"/>
                <w:color w:val="000000" w:themeColor="text1"/>
                <w:sz w:val="22"/>
                <w:szCs w:val="22"/>
              </w:rPr>
              <w:t>Petition for Review on Certiorari with Prayer for the issuance of  for Temporary Restraining Order and/or Writ of Preliminary Injunction</w:t>
            </w:r>
          </w:p>
        </w:tc>
        <w:tc>
          <w:tcPr>
            <w:tcW w:w="0" w:type="auto"/>
            <w:hideMark/>
          </w:tcPr>
          <w:p w14:paraId="3420F304" w14:textId="101A1665" w:rsidR="00AF7FD6" w:rsidRPr="009E35ED" w:rsidRDefault="00AF7FD6">
            <w:pPr>
              <w:spacing w:after="160" w:line="259" w:lineRule="auto"/>
              <w:ind w:left="-46"/>
              <w:rPr>
                <w:rFonts w:ascii="Arial Narrow" w:hAnsi="Arial Narrow" w:cs="Arial"/>
                <w:color w:val="000000" w:themeColor="text1"/>
                <w:sz w:val="22"/>
                <w:szCs w:val="22"/>
              </w:rPr>
            </w:pPr>
            <w:r w:rsidRPr="009E35ED">
              <w:rPr>
                <w:rFonts w:ascii="Arial Narrow" w:hAnsi="Arial Narrow" w:cs="Arial"/>
                <w:color w:val="000000" w:themeColor="text1"/>
                <w:sz w:val="22"/>
                <w:szCs w:val="22"/>
              </w:rPr>
              <w:t>To assail the Decision dated 13 August 2020 and Order dated 16 October 2020 issued by RTC Naga, which ordered</w:t>
            </w:r>
            <w:r w:rsidR="00D15689">
              <w:rPr>
                <w:rFonts w:ascii="Arial Narrow" w:hAnsi="Arial Narrow" w:cs="Arial"/>
                <w:color w:val="000000" w:themeColor="text1"/>
                <w:sz w:val="22"/>
                <w:szCs w:val="22"/>
              </w:rPr>
              <w:t xml:space="preserve"> the</w:t>
            </w:r>
            <w:r w:rsidRPr="009E35ED">
              <w:rPr>
                <w:rFonts w:ascii="Arial Narrow" w:hAnsi="Arial Narrow" w:cs="Arial"/>
                <w:color w:val="000000" w:themeColor="text1"/>
                <w:sz w:val="22"/>
                <w:szCs w:val="22"/>
              </w:rPr>
              <w:t xml:space="preserve"> PCSO to immediately cease and desist from continuing STL operations in Naga City.</w:t>
            </w:r>
          </w:p>
        </w:tc>
        <w:tc>
          <w:tcPr>
            <w:tcW w:w="2988" w:type="dxa"/>
            <w:hideMark/>
          </w:tcPr>
          <w:p w14:paraId="6F17A4B6" w14:textId="77777777" w:rsidR="00AF7FD6" w:rsidRPr="009E35ED" w:rsidRDefault="00AF7FD6" w:rsidP="00A04FF2">
            <w:pPr>
              <w:spacing w:after="160" w:line="259" w:lineRule="auto"/>
              <w:ind w:left="0"/>
              <w:rPr>
                <w:rFonts w:ascii="Arial Narrow" w:hAnsi="Arial Narrow" w:cs="Arial"/>
                <w:color w:val="000000" w:themeColor="text1"/>
                <w:sz w:val="22"/>
                <w:szCs w:val="22"/>
                <w:lang w:val="en-PH"/>
              </w:rPr>
            </w:pPr>
            <w:r w:rsidRPr="009E35ED">
              <w:rPr>
                <w:rFonts w:ascii="Arial Narrow" w:hAnsi="Arial Narrow" w:cs="Arial"/>
                <w:color w:val="000000" w:themeColor="text1"/>
                <w:sz w:val="22"/>
                <w:szCs w:val="22"/>
                <w:lang w:val="en-PH"/>
              </w:rPr>
              <w:t xml:space="preserve">Pending resolution. </w:t>
            </w:r>
          </w:p>
        </w:tc>
      </w:tr>
      <w:tr w:rsidR="00997F75" w:rsidRPr="009E35ED" w14:paraId="721E2748" w14:textId="77777777" w:rsidTr="00AF7FD6">
        <w:trPr>
          <w:trHeight w:val="1792"/>
        </w:trPr>
        <w:tc>
          <w:tcPr>
            <w:tcW w:w="0" w:type="auto"/>
            <w:hideMark/>
          </w:tcPr>
          <w:p w14:paraId="652AFC7C" w14:textId="39FD3CE0" w:rsidR="00AF7FD6" w:rsidRPr="009E35ED" w:rsidRDefault="00AF7FD6" w:rsidP="00AF7FD6">
            <w:pPr>
              <w:pStyle w:val="ListParagraph"/>
              <w:numPr>
                <w:ilvl w:val="2"/>
                <w:numId w:val="8"/>
              </w:numPr>
              <w:spacing w:after="160" w:line="259" w:lineRule="auto"/>
              <w:ind w:left="316"/>
              <w:rPr>
                <w:rFonts w:ascii="Arial Narrow" w:hAnsi="Arial Narrow" w:cs="Arial"/>
                <w:color w:val="000000" w:themeColor="text1"/>
                <w:sz w:val="22"/>
                <w:szCs w:val="22"/>
              </w:rPr>
            </w:pPr>
            <w:r w:rsidRPr="009E35ED">
              <w:rPr>
                <w:rFonts w:ascii="Arial Narrow" w:hAnsi="Arial Narrow" w:cs="Arial"/>
                <w:color w:val="000000" w:themeColor="text1"/>
                <w:sz w:val="22"/>
                <w:szCs w:val="22"/>
              </w:rPr>
              <w:t>Roll Over Gaming Corporation vs. PCSO</w:t>
            </w:r>
          </w:p>
          <w:p w14:paraId="3D24FC63" w14:textId="77777777" w:rsidR="00AF7FD6" w:rsidRPr="009E35ED" w:rsidRDefault="00AF7FD6" w:rsidP="00AF7FD6">
            <w:pPr>
              <w:spacing w:after="160" w:line="259" w:lineRule="auto"/>
              <w:ind w:left="316"/>
              <w:rPr>
                <w:rFonts w:ascii="Arial Narrow" w:hAnsi="Arial Narrow" w:cs="Arial"/>
                <w:color w:val="000000" w:themeColor="text1"/>
                <w:sz w:val="22"/>
                <w:szCs w:val="22"/>
              </w:rPr>
            </w:pPr>
            <w:r w:rsidRPr="009E35ED">
              <w:rPr>
                <w:rFonts w:ascii="Arial Narrow" w:hAnsi="Arial Narrow" w:cs="Arial"/>
                <w:color w:val="000000" w:themeColor="text1"/>
                <w:sz w:val="22"/>
                <w:szCs w:val="22"/>
              </w:rPr>
              <w:t>(CIVIL CASE No. R-MND-18-02215-SC)</w:t>
            </w:r>
          </w:p>
        </w:tc>
        <w:tc>
          <w:tcPr>
            <w:tcW w:w="0" w:type="auto"/>
            <w:hideMark/>
          </w:tcPr>
          <w:p w14:paraId="4EF3258D" w14:textId="77777777" w:rsidR="00AF7FD6" w:rsidRPr="009E35ED" w:rsidRDefault="00AF7FD6" w:rsidP="00A04FF2">
            <w:pPr>
              <w:spacing w:after="160" w:line="259" w:lineRule="auto"/>
              <w:ind w:left="-44"/>
              <w:rPr>
                <w:rFonts w:ascii="Arial Narrow" w:hAnsi="Arial Narrow" w:cs="Arial"/>
                <w:color w:val="000000" w:themeColor="text1"/>
                <w:sz w:val="22"/>
                <w:szCs w:val="22"/>
                <w:lang w:val="en-PH"/>
              </w:rPr>
            </w:pPr>
            <w:r w:rsidRPr="009E35ED">
              <w:rPr>
                <w:rFonts w:ascii="Arial Narrow" w:hAnsi="Arial Narrow" w:cs="Arial"/>
                <w:color w:val="000000" w:themeColor="text1"/>
                <w:sz w:val="22"/>
                <w:szCs w:val="22"/>
                <w:lang w:val="en-PH"/>
              </w:rPr>
              <w:t>Roll Over Gaming Corporation – NCR Northern District</w:t>
            </w:r>
          </w:p>
        </w:tc>
        <w:tc>
          <w:tcPr>
            <w:tcW w:w="0" w:type="auto"/>
            <w:hideMark/>
          </w:tcPr>
          <w:p w14:paraId="60F465EA" w14:textId="77777777" w:rsidR="00AF7FD6" w:rsidRPr="009E35ED" w:rsidRDefault="00AF7FD6" w:rsidP="00A04FF2">
            <w:pPr>
              <w:spacing w:after="160" w:line="259" w:lineRule="auto"/>
              <w:ind w:left="-18"/>
              <w:rPr>
                <w:rFonts w:ascii="Arial Narrow" w:hAnsi="Arial Narrow" w:cs="Arial"/>
                <w:color w:val="000000" w:themeColor="text1"/>
                <w:sz w:val="22"/>
                <w:szCs w:val="22"/>
              </w:rPr>
            </w:pPr>
            <w:r w:rsidRPr="009E35ED">
              <w:rPr>
                <w:rFonts w:ascii="Arial Narrow" w:hAnsi="Arial Narrow" w:cs="Arial"/>
                <w:color w:val="000000" w:themeColor="text1"/>
                <w:sz w:val="22"/>
                <w:szCs w:val="22"/>
              </w:rPr>
              <w:t>Petition for Certiorari and Prohibition with Prayer for Temporary Restraining order and Writ of Preliminary Injunction.</w:t>
            </w:r>
          </w:p>
        </w:tc>
        <w:tc>
          <w:tcPr>
            <w:tcW w:w="0" w:type="auto"/>
            <w:hideMark/>
          </w:tcPr>
          <w:p w14:paraId="1AF6BE17" w14:textId="59C704A7" w:rsidR="00AF7FD6" w:rsidRPr="009E35ED" w:rsidRDefault="00AF7FD6" w:rsidP="00A04FF2">
            <w:pPr>
              <w:spacing w:after="160" w:line="259" w:lineRule="auto"/>
              <w:ind w:left="-46"/>
              <w:rPr>
                <w:rFonts w:ascii="Arial Narrow" w:hAnsi="Arial Narrow" w:cs="Arial"/>
                <w:color w:val="000000" w:themeColor="text1"/>
                <w:sz w:val="22"/>
                <w:szCs w:val="22"/>
              </w:rPr>
            </w:pPr>
            <w:r w:rsidRPr="009E35ED">
              <w:rPr>
                <w:rFonts w:ascii="Arial Narrow" w:hAnsi="Arial Narrow" w:cs="Arial"/>
                <w:color w:val="000000" w:themeColor="text1"/>
                <w:sz w:val="22"/>
                <w:szCs w:val="22"/>
              </w:rPr>
              <w:t>The propriety of the termination of ROGC’s authority for failure to remit and pay</w:t>
            </w:r>
            <w:r w:rsidR="00D15689">
              <w:rPr>
                <w:rFonts w:ascii="Arial Narrow" w:hAnsi="Arial Narrow" w:cs="Arial"/>
                <w:color w:val="000000" w:themeColor="text1"/>
                <w:sz w:val="22"/>
                <w:szCs w:val="22"/>
              </w:rPr>
              <w:t xml:space="preserve"> the</w:t>
            </w:r>
            <w:r w:rsidRPr="009E35ED">
              <w:rPr>
                <w:rFonts w:ascii="Arial Narrow" w:hAnsi="Arial Narrow" w:cs="Arial"/>
                <w:color w:val="000000" w:themeColor="text1"/>
                <w:sz w:val="22"/>
                <w:szCs w:val="22"/>
              </w:rPr>
              <w:t xml:space="preserve"> PMRR.</w:t>
            </w:r>
          </w:p>
        </w:tc>
        <w:tc>
          <w:tcPr>
            <w:tcW w:w="2988" w:type="dxa"/>
            <w:hideMark/>
          </w:tcPr>
          <w:p w14:paraId="06E74A68" w14:textId="400E58DE" w:rsidR="00AF7FD6" w:rsidRPr="009E35ED" w:rsidRDefault="00AF7FD6" w:rsidP="00A04FF2">
            <w:pPr>
              <w:spacing w:after="160" w:line="259" w:lineRule="auto"/>
              <w:ind w:left="0"/>
              <w:rPr>
                <w:rFonts w:ascii="Arial Narrow" w:hAnsi="Arial Narrow" w:cs="Arial"/>
                <w:color w:val="000000" w:themeColor="text1"/>
                <w:sz w:val="22"/>
                <w:szCs w:val="22"/>
                <w:lang w:val="en-PH"/>
              </w:rPr>
            </w:pPr>
            <w:r w:rsidRPr="009E35ED">
              <w:rPr>
                <w:rFonts w:ascii="Arial Narrow" w:hAnsi="Arial Narrow" w:cs="Arial"/>
                <w:color w:val="000000" w:themeColor="text1"/>
                <w:sz w:val="22"/>
                <w:szCs w:val="22"/>
                <w:lang w:val="en-PH"/>
              </w:rPr>
              <w:t xml:space="preserve">The case is pending trial for ROGC’s shortfall amounting to </w:t>
            </w:r>
            <w:r w:rsidR="00F10767">
              <w:rPr>
                <w:rFonts w:ascii="Arial Narrow" w:hAnsi="Arial Narrow" w:cs="Arial"/>
                <w:color w:val="000000" w:themeColor="text1"/>
                <w:sz w:val="22"/>
                <w:szCs w:val="22"/>
                <w:lang w:val="en-PH"/>
              </w:rPr>
              <w:t>P</w:t>
            </w:r>
            <w:r w:rsidRPr="009E35ED">
              <w:rPr>
                <w:rFonts w:ascii="Arial Narrow" w:hAnsi="Arial Narrow" w:cs="Arial"/>
                <w:color w:val="000000" w:themeColor="text1"/>
                <w:sz w:val="22"/>
                <w:szCs w:val="22"/>
                <w:lang w:val="en-PH"/>
              </w:rPr>
              <w:t>212,657,143.31 before RTC of Mandaluyong, Br. 209. Hearing is set on 27 February 2024.</w:t>
            </w:r>
          </w:p>
        </w:tc>
      </w:tr>
    </w:tbl>
    <w:p w14:paraId="43489B45" w14:textId="4BE87BCA" w:rsidR="0093552B" w:rsidRPr="009E35ED" w:rsidRDefault="0093552B" w:rsidP="003B37BB">
      <w:pPr>
        <w:ind w:left="0"/>
        <w:rPr>
          <w:rFonts w:ascii="Arial Narrow" w:hAnsi="Arial Narrow" w:cs="Arial"/>
          <w:b/>
          <w:bCs/>
          <w:color w:val="000000" w:themeColor="text1"/>
        </w:rPr>
      </w:pPr>
    </w:p>
    <w:p w14:paraId="711E5190" w14:textId="32A0D0FA" w:rsidR="00A04FF2" w:rsidRPr="009E35ED" w:rsidRDefault="00A04FF2" w:rsidP="003B37BB">
      <w:pPr>
        <w:ind w:left="0"/>
        <w:rPr>
          <w:rFonts w:ascii="Arial Narrow" w:hAnsi="Arial Narrow" w:cs="Arial"/>
          <w:b/>
          <w:bCs/>
          <w:color w:val="000000" w:themeColor="text1"/>
        </w:rPr>
      </w:pPr>
      <w:r w:rsidRPr="009E35ED">
        <w:rPr>
          <w:rFonts w:ascii="Arial Narrow" w:hAnsi="Arial Narrow" w:cs="Arial"/>
          <w:b/>
          <w:bCs/>
          <w:color w:val="000000" w:themeColor="text1"/>
        </w:rPr>
        <w:t>STL AACs with pending Arbitration</w:t>
      </w:r>
    </w:p>
    <w:p w14:paraId="399DCA38" w14:textId="77777777" w:rsidR="003B37BB" w:rsidRPr="009E35ED" w:rsidRDefault="003B37BB" w:rsidP="003B37BB">
      <w:pPr>
        <w:ind w:left="0"/>
        <w:rPr>
          <w:rFonts w:ascii="Arial Narrow" w:hAnsi="Arial Narrow" w:cs="Arial"/>
          <w:color w:val="000000" w:themeColor="text1"/>
        </w:rPr>
      </w:pPr>
    </w:p>
    <w:tbl>
      <w:tblPr>
        <w:tblStyle w:val="TableGrid"/>
        <w:tblW w:w="5355" w:type="pct"/>
        <w:tblInd w:w="-714" w:type="dxa"/>
        <w:tblLook w:val="04A0" w:firstRow="1" w:lastRow="0" w:firstColumn="1" w:lastColumn="0" w:noHBand="0" w:noVBand="1"/>
      </w:tblPr>
      <w:tblGrid>
        <w:gridCol w:w="2639"/>
        <w:gridCol w:w="1838"/>
        <w:gridCol w:w="2252"/>
        <w:gridCol w:w="2514"/>
      </w:tblGrid>
      <w:tr w:rsidR="00997F75" w:rsidRPr="009E35ED" w14:paraId="1F4ED5CE" w14:textId="77777777" w:rsidTr="00AF7FD6">
        <w:trPr>
          <w:trHeight w:val="620"/>
        </w:trPr>
        <w:tc>
          <w:tcPr>
            <w:tcW w:w="1427" w:type="pct"/>
            <w:hideMark/>
          </w:tcPr>
          <w:p w14:paraId="369700EA" w14:textId="77777777" w:rsidR="00AF7FD6" w:rsidRPr="009E35ED" w:rsidRDefault="00AF7FD6" w:rsidP="003B37BB">
            <w:pPr>
              <w:spacing w:after="160" w:line="259" w:lineRule="auto"/>
              <w:ind w:left="0"/>
              <w:rPr>
                <w:rFonts w:ascii="Arial Narrow" w:hAnsi="Arial Narrow" w:cs="Arial"/>
                <w:color w:val="000000" w:themeColor="text1"/>
                <w:sz w:val="22"/>
                <w:szCs w:val="22"/>
              </w:rPr>
            </w:pPr>
            <w:r w:rsidRPr="009E35ED">
              <w:rPr>
                <w:rFonts w:ascii="Arial Narrow" w:hAnsi="Arial Narrow" w:cs="Arial"/>
                <w:b/>
                <w:bCs/>
                <w:color w:val="000000" w:themeColor="text1"/>
                <w:sz w:val="22"/>
                <w:szCs w:val="22"/>
              </w:rPr>
              <w:t>Case Title</w:t>
            </w:r>
          </w:p>
        </w:tc>
        <w:tc>
          <w:tcPr>
            <w:tcW w:w="994" w:type="pct"/>
            <w:hideMark/>
          </w:tcPr>
          <w:p w14:paraId="5A0AEF44" w14:textId="77777777" w:rsidR="00AF7FD6" w:rsidRPr="009E35ED" w:rsidRDefault="00AF7FD6" w:rsidP="003B37BB">
            <w:pPr>
              <w:spacing w:after="160" w:line="259" w:lineRule="auto"/>
              <w:ind w:left="0"/>
              <w:rPr>
                <w:rFonts w:ascii="Arial Narrow" w:hAnsi="Arial Narrow" w:cs="Arial"/>
                <w:color w:val="000000" w:themeColor="text1"/>
                <w:sz w:val="22"/>
                <w:szCs w:val="22"/>
              </w:rPr>
            </w:pPr>
            <w:r w:rsidRPr="009E35ED">
              <w:rPr>
                <w:rFonts w:ascii="Arial Narrow" w:hAnsi="Arial Narrow" w:cs="Arial"/>
                <w:b/>
                <w:bCs/>
                <w:color w:val="000000" w:themeColor="text1"/>
                <w:sz w:val="22"/>
                <w:szCs w:val="22"/>
                <w:lang w:val="en-PH"/>
              </w:rPr>
              <w:t>STL AAC/ Area of Operation</w:t>
            </w:r>
          </w:p>
        </w:tc>
        <w:tc>
          <w:tcPr>
            <w:tcW w:w="1218" w:type="pct"/>
            <w:hideMark/>
          </w:tcPr>
          <w:p w14:paraId="7089F0DF" w14:textId="5BC95F84" w:rsidR="00AF7FD6" w:rsidRPr="009E35ED" w:rsidRDefault="00AF7FD6" w:rsidP="003B37BB">
            <w:pPr>
              <w:spacing w:after="160" w:line="259" w:lineRule="auto"/>
              <w:ind w:left="0"/>
              <w:rPr>
                <w:rFonts w:ascii="Arial Narrow" w:hAnsi="Arial Narrow" w:cs="Arial"/>
                <w:color w:val="000000" w:themeColor="text1"/>
                <w:sz w:val="22"/>
                <w:szCs w:val="22"/>
              </w:rPr>
            </w:pPr>
            <w:r w:rsidRPr="009E35ED">
              <w:rPr>
                <w:rFonts w:ascii="Arial Narrow" w:hAnsi="Arial Narrow" w:cs="Arial"/>
                <w:b/>
                <w:bCs/>
                <w:color w:val="000000" w:themeColor="text1"/>
                <w:sz w:val="22"/>
                <w:szCs w:val="22"/>
                <w:lang w:val="en-PH"/>
              </w:rPr>
              <w:t>PMRR Sales Shortfall</w:t>
            </w:r>
            <w:r w:rsidRPr="009E35ED">
              <w:rPr>
                <w:rFonts w:ascii="Arial Narrow" w:hAnsi="Arial Narrow" w:cs="Arial"/>
                <w:color w:val="000000" w:themeColor="text1"/>
                <w:sz w:val="22"/>
                <w:szCs w:val="22"/>
              </w:rPr>
              <w:t xml:space="preserve"> </w:t>
            </w:r>
            <w:r w:rsidRPr="009E35ED">
              <w:rPr>
                <w:rFonts w:ascii="Arial Narrow" w:hAnsi="Arial Narrow" w:cs="Arial"/>
                <w:b/>
                <w:bCs/>
                <w:color w:val="000000" w:themeColor="text1"/>
                <w:sz w:val="22"/>
                <w:szCs w:val="22"/>
                <w:lang w:val="en-PH"/>
              </w:rPr>
              <w:t>(</w:t>
            </w:r>
            <w:r w:rsidR="00F10767">
              <w:rPr>
                <w:rFonts w:ascii="Arial Narrow" w:hAnsi="Arial Narrow" w:cs="Arial"/>
                <w:b/>
                <w:bCs/>
                <w:color w:val="000000" w:themeColor="text1"/>
                <w:sz w:val="22"/>
                <w:szCs w:val="22"/>
                <w:lang w:val="en-PH"/>
              </w:rPr>
              <w:t>P</w:t>
            </w:r>
            <w:r w:rsidRPr="009E35ED">
              <w:rPr>
                <w:rFonts w:ascii="Arial Narrow" w:hAnsi="Arial Narrow" w:cs="Arial"/>
                <w:b/>
                <w:bCs/>
                <w:color w:val="000000" w:themeColor="text1"/>
                <w:sz w:val="22"/>
                <w:szCs w:val="22"/>
                <w:lang w:val="en-PH"/>
              </w:rPr>
              <w:t>)</w:t>
            </w:r>
          </w:p>
        </w:tc>
        <w:tc>
          <w:tcPr>
            <w:tcW w:w="1360" w:type="pct"/>
            <w:hideMark/>
          </w:tcPr>
          <w:p w14:paraId="76EA8DCD" w14:textId="77777777" w:rsidR="00AF7FD6" w:rsidRPr="009E35ED" w:rsidRDefault="00AF7FD6" w:rsidP="003B37BB">
            <w:pPr>
              <w:spacing w:after="160" w:line="259" w:lineRule="auto"/>
              <w:ind w:left="0"/>
              <w:rPr>
                <w:rFonts w:ascii="Arial Narrow" w:hAnsi="Arial Narrow" w:cs="Arial"/>
                <w:color w:val="000000" w:themeColor="text1"/>
                <w:sz w:val="22"/>
                <w:szCs w:val="22"/>
              </w:rPr>
            </w:pPr>
            <w:r w:rsidRPr="009E35ED">
              <w:rPr>
                <w:rFonts w:ascii="Arial Narrow" w:hAnsi="Arial Narrow" w:cs="Arial"/>
                <w:b/>
                <w:bCs/>
                <w:color w:val="000000" w:themeColor="text1"/>
                <w:sz w:val="22"/>
                <w:szCs w:val="22"/>
                <w:lang w:val="en-PH"/>
              </w:rPr>
              <w:t>Status</w:t>
            </w:r>
          </w:p>
        </w:tc>
      </w:tr>
      <w:tr w:rsidR="00997F75" w:rsidRPr="009E35ED" w14:paraId="38053B97" w14:textId="77777777" w:rsidTr="00AF7FD6">
        <w:trPr>
          <w:trHeight w:val="620"/>
        </w:trPr>
        <w:tc>
          <w:tcPr>
            <w:tcW w:w="1427" w:type="pct"/>
            <w:hideMark/>
          </w:tcPr>
          <w:p w14:paraId="26010740" w14:textId="185DBFD9" w:rsidR="00AF7FD6" w:rsidRPr="009E35ED" w:rsidRDefault="00AF7FD6">
            <w:pPr>
              <w:spacing w:after="160" w:line="259" w:lineRule="auto"/>
              <w:ind w:left="0"/>
              <w:rPr>
                <w:rFonts w:ascii="Arial Narrow" w:hAnsi="Arial Narrow" w:cs="Arial"/>
                <w:color w:val="000000" w:themeColor="text1"/>
                <w:sz w:val="22"/>
                <w:szCs w:val="22"/>
              </w:rPr>
            </w:pPr>
            <w:r w:rsidRPr="009E35ED">
              <w:rPr>
                <w:rFonts w:ascii="Arial Narrow" w:hAnsi="Arial Narrow" w:cs="Arial"/>
                <w:color w:val="000000" w:themeColor="text1"/>
                <w:sz w:val="22"/>
                <w:szCs w:val="22"/>
              </w:rPr>
              <w:t xml:space="preserve">In The Matter Of Arbitration Under The </w:t>
            </w:r>
            <w:r w:rsidR="00D15689">
              <w:rPr>
                <w:rFonts w:ascii="Arial Narrow" w:hAnsi="Arial Narrow" w:cs="Arial"/>
                <w:color w:val="000000" w:themeColor="text1"/>
                <w:sz w:val="22"/>
                <w:szCs w:val="22"/>
              </w:rPr>
              <w:t>STL</w:t>
            </w:r>
            <w:r w:rsidRPr="009E35ED">
              <w:rPr>
                <w:rFonts w:ascii="Arial Narrow" w:hAnsi="Arial Narrow" w:cs="Arial"/>
                <w:color w:val="000000" w:themeColor="text1"/>
                <w:sz w:val="22"/>
                <w:szCs w:val="22"/>
              </w:rPr>
              <w:t xml:space="preserve"> Agency Agreement's Other Terms And Conditions For The Conduct </w:t>
            </w:r>
            <w:r w:rsidR="00D15689">
              <w:rPr>
                <w:rFonts w:ascii="Arial Narrow" w:hAnsi="Arial Narrow" w:cs="Arial"/>
                <w:color w:val="000000" w:themeColor="text1"/>
                <w:sz w:val="22"/>
                <w:szCs w:val="22"/>
              </w:rPr>
              <w:t>o</w:t>
            </w:r>
            <w:r w:rsidRPr="009E35ED">
              <w:rPr>
                <w:rFonts w:ascii="Arial Narrow" w:hAnsi="Arial Narrow" w:cs="Arial"/>
                <w:color w:val="000000" w:themeColor="text1"/>
                <w:sz w:val="22"/>
                <w:szCs w:val="22"/>
              </w:rPr>
              <w:t xml:space="preserve">f </w:t>
            </w:r>
            <w:r w:rsidR="00D15689">
              <w:rPr>
                <w:rFonts w:ascii="Arial Narrow" w:hAnsi="Arial Narrow" w:cs="Arial"/>
                <w:color w:val="000000" w:themeColor="text1"/>
                <w:sz w:val="22"/>
                <w:szCs w:val="22"/>
              </w:rPr>
              <w:t>STL</w:t>
            </w:r>
            <w:r w:rsidRPr="009E35ED">
              <w:rPr>
                <w:rFonts w:ascii="Arial Narrow" w:hAnsi="Arial Narrow" w:cs="Arial"/>
                <w:color w:val="000000" w:themeColor="text1"/>
                <w:sz w:val="22"/>
                <w:szCs w:val="22"/>
              </w:rPr>
              <w:t xml:space="preserve"> In Cagayan Province</w:t>
            </w:r>
          </w:p>
        </w:tc>
        <w:tc>
          <w:tcPr>
            <w:tcW w:w="994" w:type="pct"/>
            <w:hideMark/>
          </w:tcPr>
          <w:p w14:paraId="107FFA72" w14:textId="77777777" w:rsidR="00AF7FD6" w:rsidRPr="009E35ED" w:rsidRDefault="00AF7FD6" w:rsidP="003B37BB">
            <w:pPr>
              <w:spacing w:after="160" w:line="259" w:lineRule="auto"/>
              <w:ind w:left="0"/>
              <w:rPr>
                <w:rFonts w:ascii="Arial Narrow" w:hAnsi="Arial Narrow" w:cs="Arial"/>
                <w:color w:val="000000" w:themeColor="text1"/>
                <w:sz w:val="22"/>
                <w:szCs w:val="22"/>
              </w:rPr>
            </w:pPr>
            <w:r w:rsidRPr="009E35ED">
              <w:rPr>
                <w:rFonts w:ascii="Arial Narrow" w:hAnsi="Arial Narrow" w:cs="Arial"/>
                <w:color w:val="000000" w:themeColor="text1"/>
                <w:sz w:val="22"/>
                <w:szCs w:val="22"/>
                <w:lang w:val="en-PH"/>
              </w:rPr>
              <w:t>Charity Games of Chance Corporation – Cagayan Province</w:t>
            </w:r>
          </w:p>
        </w:tc>
        <w:tc>
          <w:tcPr>
            <w:tcW w:w="1218" w:type="pct"/>
            <w:hideMark/>
          </w:tcPr>
          <w:p w14:paraId="18B792E0" w14:textId="77777777" w:rsidR="00AF7FD6" w:rsidRPr="009E35ED" w:rsidRDefault="00AF7FD6" w:rsidP="003B37BB">
            <w:pPr>
              <w:spacing w:after="160" w:line="259" w:lineRule="auto"/>
              <w:ind w:left="0"/>
              <w:rPr>
                <w:rFonts w:ascii="Arial Narrow" w:hAnsi="Arial Narrow" w:cs="Arial"/>
                <w:color w:val="000000" w:themeColor="text1"/>
                <w:sz w:val="22"/>
                <w:szCs w:val="22"/>
              </w:rPr>
            </w:pPr>
            <w:r w:rsidRPr="009E35ED">
              <w:rPr>
                <w:rFonts w:ascii="Arial Narrow" w:hAnsi="Arial Narrow" w:cs="Arial"/>
                <w:color w:val="000000" w:themeColor="text1"/>
                <w:sz w:val="22"/>
                <w:szCs w:val="22"/>
                <w:lang w:val="en-PH"/>
              </w:rPr>
              <w:t>915,134,017.70</w:t>
            </w:r>
          </w:p>
        </w:tc>
        <w:tc>
          <w:tcPr>
            <w:tcW w:w="1360" w:type="pct"/>
            <w:hideMark/>
          </w:tcPr>
          <w:p w14:paraId="558A5C56" w14:textId="77777777" w:rsidR="00AF7FD6" w:rsidRPr="009E35ED" w:rsidRDefault="00AF7FD6" w:rsidP="003B37BB">
            <w:pPr>
              <w:spacing w:after="160" w:line="259" w:lineRule="auto"/>
              <w:ind w:left="0"/>
              <w:rPr>
                <w:rFonts w:ascii="Arial Narrow" w:hAnsi="Arial Narrow" w:cs="Arial"/>
                <w:color w:val="000000" w:themeColor="text1"/>
                <w:sz w:val="22"/>
                <w:szCs w:val="22"/>
              </w:rPr>
            </w:pPr>
            <w:r w:rsidRPr="009E35ED">
              <w:rPr>
                <w:rFonts w:ascii="Arial Narrow" w:hAnsi="Arial Narrow" w:cs="Arial"/>
                <w:color w:val="000000" w:themeColor="text1"/>
                <w:sz w:val="22"/>
                <w:szCs w:val="22"/>
                <w:lang w:val="en-PH"/>
              </w:rPr>
              <w:t>On 03 November 2023, the Office of the Government Corporate Counsel (OGCC) served to CGCC the Notice to Arbitrate dated 23 October 2023.</w:t>
            </w:r>
          </w:p>
        </w:tc>
      </w:tr>
    </w:tbl>
    <w:p w14:paraId="2CAAD026" w14:textId="77777777" w:rsidR="00440055" w:rsidRPr="009E35ED" w:rsidRDefault="00440055" w:rsidP="00803F8C">
      <w:pPr>
        <w:ind w:left="0"/>
        <w:rPr>
          <w:rFonts w:ascii="Arial" w:hAnsi="Arial" w:cs="Arial"/>
          <w:b/>
          <w:color w:val="000000" w:themeColor="text1"/>
          <w:sz w:val="22"/>
          <w:szCs w:val="22"/>
        </w:rPr>
      </w:pPr>
    </w:p>
    <w:p w14:paraId="0F6AD808" w14:textId="77777777" w:rsidR="00440055" w:rsidRDefault="00440055" w:rsidP="00803F8C">
      <w:pPr>
        <w:ind w:left="0"/>
        <w:rPr>
          <w:rFonts w:ascii="Arial" w:hAnsi="Arial" w:cs="Arial"/>
          <w:b/>
          <w:color w:val="000000" w:themeColor="text1"/>
          <w:sz w:val="22"/>
          <w:szCs w:val="22"/>
        </w:rPr>
      </w:pPr>
    </w:p>
    <w:p w14:paraId="5AE8C067" w14:textId="77777777" w:rsidR="00F10767" w:rsidRDefault="00F10767" w:rsidP="00803F8C">
      <w:pPr>
        <w:ind w:left="0"/>
        <w:rPr>
          <w:rFonts w:ascii="Arial" w:hAnsi="Arial" w:cs="Arial"/>
          <w:b/>
          <w:color w:val="000000" w:themeColor="text1"/>
          <w:sz w:val="22"/>
          <w:szCs w:val="22"/>
        </w:rPr>
      </w:pPr>
    </w:p>
    <w:p w14:paraId="2E2A152C" w14:textId="77777777" w:rsidR="00F10767" w:rsidRDefault="00F10767" w:rsidP="00803F8C">
      <w:pPr>
        <w:ind w:left="0"/>
        <w:rPr>
          <w:rFonts w:ascii="Arial" w:hAnsi="Arial" w:cs="Arial"/>
          <w:b/>
          <w:color w:val="000000" w:themeColor="text1"/>
          <w:sz w:val="22"/>
          <w:szCs w:val="22"/>
        </w:rPr>
      </w:pPr>
    </w:p>
    <w:p w14:paraId="1F7B0617" w14:textId="77777777" w:rsidR="00F10767" w:rsidRPr="009E35ED" w:rsidRDefault="00F10767" w:rsidP="00803F8C">
      <w:pPr>
        <w:ind w:left="0"/>
        <w:rPr>
          <w:rFonts w:ascii="Arial" w:hAnsi="Arial" w:cs="Arial"/>
          <w:b/>
          <w:color w:val="000000" w:themeColor="text1"/>
          <w:sz w:val="22"/>
          <w:szCs w:val="22"/>
        </w:rPr>
      </w:pPr>
    </w:p>
    <w:p w14:paraId="00E594C1" w14:textId="30001D25" w:rsidR="002B1485" w:rsidRPr="009E35ED" w:rsidRDefault="002B1485" w:rsidP="00803F8C">
      <w:pPr>
        <w:ind w:left="0"/>
        <w:rPr>
          <w:rFonts w:ascii="Arial" w:hAnsi="Arial" w:cs="Arial"/>
          <w:b/>
          <w:color w:val="000000" w:themeColor="text1"/>
          <w:sz w:val="22"/>
          <w:szCs w:val="22"/>
        </w:rPr>
      </w:pPr>
      <w:r w:rsidRPr="009E35ED">
        <w:rPr>
          <w:rFonts w:ascii="Arial" w:hAnsi="Arial" w:cs="Arial"/>
          <w:b/>
          <w:color w:val="000000" w:themeColor="text1"/>
          <w:sz w:val="22"/>
          <w:szCs w:val="22"/>
        </w:rPr>
        <w:t>Status Report of PCSO Cases</w:t>
      </w:r>
    </w:p>
    <w:p w14:paraId="0288513C" w14:textId="77777777" w:rsidR="002B1485" w:rsidRPr="009E35ED" w:rsidRDefault="002B1485" w:rsidP="00147B4E">
      <w:pPr>
        <w:tabs>
          <w:tab w:val="left" w:pos="8640"/>
        </w:tabs>
        <w:ind w:left="0"/>
        <w:rPr>
          <w:rFonts w:ascii="Arial" w:hAnsi="Arial" w:cs="Arial"/>
          <w:b/>
          <w:color w:val="000000" w:themeColor="text1"/>
          <w:sz w:val="22"/>
          <w:szCs w:val="22"/>
        </w:rPr>
      </w:pPr>
    </w:p>
    <w:tbl>
      <w:tblPr>
        <w:tblW w:w="5415"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9"/>
        <w:gridCol w:w="2140"/>
        <w:gridCol w:w="1654"/>
        <w:gridCol w:w="3333"/>
      </w:tblGrid>
      <w:tr w:rsidR="00997F75" w:rsidRPr="009E35ED" w14:paraId="17080A2E" w14:textId="77777777" w:rsidTr="00AF7FD6">
        <w:trPr>
          <w:tblHeader/>
        </w:trPr>
        <w:tc>
          <w:tcPr>
            <w:tcW w:w="1187" w:type="pct"/>
            <w:shd w:val="clear" w:color="auto" w:fill="auto"/>
          </w:tcPr>
          <w:p w14:paraId="04907C10" w14:textId="77777777" w:rsidR="00BD4D7C" w:rsidRPr="009E35ED" w:rsidRDefault="00BD4D7C" w:rsidP="00BD4D7C">
            <w:pPr>
              <w:ind w:left="29"/>
              <w:jc w:val="center"/>
              <w:rPr>
                <w:rFonts w:ascii="Arial Narrow" w:hAnsi="Arial Narrow" w:cs="Arial"/>
                <w:b/>
                <w:color w:val="000000" w:themeColor="text1"/>
                <w:sz w:val="22"/>
                <w:szCs w:val="22"/>
              </w:rPr>
            </w:pPr>
            <w:r w:rsidRPr="009E35ED">
              <w:rPr>
                <w:rFonts w:ascii="Arial Narrow" w:hAnsi="Arial Narrow" w:cs="Arial"/>
                <w:b/>
                <w:color w:val="000000" w:themeColor="text1"/>
                <w:sz w:val="22"/>
                <w:szCs w:val="22"/>
              </w:rPr>
              <w:t>Service Provider</w:t>
            </w:r>
          </w:p>
        </w:tc>
        <w:tc>
          <w:tcPr>
            <w:tcW w:w="1145" w:type="pct"/>
            <w:shd w:val="clear" w:color="auto" w:fill="auto"/>
          </w:tcPr>
          <w:p w14:paraId="35F426CA" w14:textId="77777777" w:rsidR="00BD4D7C" w:rsidRPr="009E35ED" w:rsidRDefault="00BD4D7C" w:rsidP="00BD4D7C">
            <w:pPr>
              <w:ind w:left="0"/>
              <w:jc w:val="center"/>
              <w:rPr>
                <w:rFonts w:ascii="Arial Narrow" w:hAnsi="Arial Narrow" w:cs="Arial"/>
                <w:b/>
                <w:color w:val="000000" w:themeColor="text1"/>
                <w:sz w:val="22"/>
                <w:szCs w:val="22"/>
              </w:rPr>
            </w:pPr>
            <w:r w:rsidRPr="009E35ED">
              <w:rPr>
                <w:rFonts w:ascii="Arial Narrow" w:hAnsi="Arial Narrow" w:cs="Arial"/>
                <w:b/>
                <w:color w:val="000000" w:themeColor="text1"/>
                <w:sz w:val="22"/>
                <w:szCs w:val="22"/>
              </w:rPr>
              <w:t>Case Title</w:t>
            </w:r>
          </w:p>
        </w:tc>
        <w:tc>
          <w:tcPr>
            <w:tcW w:w="885" w:type="pct"/>
            <w:shd w:val="clear" w:color="auto" w:fill="auto"/>
          </w:tcPr>
          <w:p w14:paraId="7280D6F7" w14:textId="77777777" w:rsidR="00BD4D7C" w:rsidRPr="009E35ED" w:rsidRDefault="00BD4D7C" w:rsidP="00BD4D7C">
            <w:pPr>
              <w:ind w:left="0"/>
              <w:jc w:val="center"/>
              <w:rPr>
                <w:rFonts w:ascii="Arial Narrow" w:hAnsi="Arial Narrow" w:cs="Arial"/>
                <w:b/>
                <w:color w:val="000000" w:themeColor="text1"/>
                <w:sz w:val="22"/>
                <w:szCs w:val="22"/>
              </w:rPr>
            </w:pPr>
            <w:r w:rsidRPr="009E35ED">
              <w:rPr>
                <w:rFonts w:ascii="Arial Narrow" w:hAnsi="Arial Narrow" w:cs="Arial"/>
                <w:b/>
                <w:color w:val="000000" w:themeColor="text1"/>
                <w:sz w:val="22"/>
                <w:szCs w:val="22"/>
              </w:rPr>
              <w:t>Nature</w:t>
            </w:r>
          </w:p>
        </w:tc>
        <w:tc>
          <w:tcPr>
            <w:tcW w:w="1783" w:type="pct"/>
            <w:shd w:val="clear" w:color="auto" w:fill="auto"/>
          </w:tcPr>
          <w:p w14:paraId="53C3BBCA" w14:textId="77777777" w:rsidR="00BD4D7C" w:rsidRPr="009E35ED" w:rsidRDefault="00BD4D7C" w:rsidP="00BD4D7C">
            <w:pPr>
              <w:ind w:left="-6"/>
              <w:jc w:val="center"/>
              <w:rPr>
                <w:rFonts w:ascii="Arial Narrow" w:hAnsi="Arial Narrow" w:cs="Arial"/>
                <w:b/>
                <w:color w:val="000000" w:themeColor="text1"/>
                <w:sz w:val="22"/>
                <w:szCs w:val="22"/>
              </w:rPr>
            </w:pPr>
            <w:r w:rsidRPr="009E35ED">
              <w:rPr>
                <w:rFonts w:ascii="Arial Narrow" w:hAnsi="Arial Narrow" w:cs="Arial"/>
                <w:b/>
                <w:color w:val="000000" w:themeColor="text1"/>
                <w:sz w:val="22"/>
                <w:szCs w:val="22"/>
              </w:rPr>
              <w:t>Status</w:t>
            </w:r>
          </w:p>
        </w:tc>
      </w:tr>
      <w:tr w:rsidR="00997F75" w:rsidRPr="009E35ED" w14:paraId="71047A2F" w14:textId="77777777" w:rsidTr="00AF7FD6">
        <w:trPr>
          <w:trHeight w:val="375"/>
        </w:trPr>
        <w:tc>
          <w:tcPr>
            <w:tcW w:w="1187" w:type="pct"/>
            <w:vMerge w:val="restart"/>
            <w:shd w:val="clear" w:color="auto" w:fill="auto"/>
          </w:tcPr>
          <w:p w14:paraId="2A7B395D" w14:textId="77777777" w:rsidR="00BD4D7C" w:rsidRPr="009E35ED" w:rsidRDefault="00BD4D7C" w:rsidP="00BD4D7C">
            <w:pPr>
              <w:ind w:left="29"/>
              <w:jc w:val="center"/>
              <w:rPr>
                <w:rFonts w:ascii="Arial Narrow" w:hAnsi="Arial Narrow" w:cs="Arial"/>
                <w:b/>
                <w:color w:val="000000" w:themeColor="text1"/>
                <w:sz w:val="22"/>
                <w:szCs w:val="22"/>
              </w:rPr>
            </w:pPr>
            <w:r w:rsidRPr="009E35ED">
              <w:rPr>
                <w:rFonts w:ascii="Arial Narrow" w:hAnsi="Arial Narrow" w:cs="Arial"/>
                <w:b/>
                <w:color w:val="000000" w:themeColor="text1"/>
                <w:sz w:val="22"/>
                <w:szCs w:val="22"/>
              </w:rPr>
              <w:t>TMA</w:t>
            </w:r>
          </w:p>
          <w:p w14:paraId="54547688" w14:textId="77777777" w:rsidR="00BD4D7C" w:rsidRPr="009E35ED" w:rsidRDefault="00BD4D7C" w:rsidP="00BD4D7C">
            <w:pPr>
              <w:ind w:left="29"/>
              <w:jc w:val="center"/>
              <w:rPr>
                <w:rFonts w:ascii="Arial Narrow" w:hAnsi="Arial Narrow" w:cs="Arial"/>
                <w:b/>
                <w:color w:val="000000" w:themeColor="text1"/>
                <w:sz w:val="22"/>
                <w:szCs w:val="22"/>
              </w:rPr>
            </w:pPr>
          </w:p>
        </w:tc>
        <w:tc>
          <w:tcPr>
            <w:tcW w:w="1145" w:type="pct"/>
            <w:shd w:val="clear" w:color="auto" w:fill="auto"/>
          </w:tcPr>
          <w:p w14:paraId="47541FC4" w14:textId="77777777" w:rsidR="00BD4D7C" w:rsidRPr="009E35ED" w:rsidRDefault="00BD4D7C" w:rsidP="00BD4D7C">
            <w:pPr>
              <w:ind w:left="0"/>
              <w:rPr>
                <w:rFonts w:ascii="Arial Narrow" w:hAnsi="Arial Narrow" w:cs="Arial"/>
                <w:color w:val="000000" w:themeColor="text1"/>
                <w:sz w:val="22"/>
                <w:szCs w:val="22"/>
              </w:rPr>
            </w:pPr>
            <w:r w:rsidRPr="009E35ED">
              <w:rPr>
                <w:rFonts w:ascii="Arial Narrow" w:hAnsi="Arial Narrow" w:cs="Arial"/>
                <w:color w:val="000000" w:themeColor="text1"/>
                <w:sz w:val="22"/>
                <w:szCs w:val="22"/>
              </w:rPr>
              <w:t>(1) TMA Group of Companies Pty. Ltd., et al vs. PCSO, Chairman Margarita P. Juico, et al. (Civil Case No. 11-310, RTC-Makati City, Branch 66)</w:t>
            </w:r>
          </w:p>
        </w:tc>
        <w:tc>
          <w:tcPr>
            <w:tcW w:w="885" w:type="pct"/>
            <w:shd w:val="clear" w:color="auto" w:fill="auto"/>
          </w:tcPr>
          <w:p w14:paraId="01536C50" w14:textId="163A6872" w:rsidR="00BD4D7C" w:rsidRPr="009E35ED" w:rsidRDefault="00BD4D7C" w:rsidP="00BD4D7C">
            <w:pPr>
              <w:ind w:left="0"/>
              <w:rPr>
                <w:rFonts w:ascii="Arial Narrow" w:hAnsi="Arial Narrow" w:cs="Arial"/>
                <w:color w:val="000000" w:themeColor="text1"/>
                <w:sz w:val="22"/>
                <w:szCs w:val="22"/>
              </w:rPr>
            </w:pPr>
            <w:r w:rsidRPr="009E35ED">
              <w:rPr>
                <w:rFonts w:ascii="Arial Narrow" w:hAnsi="Arial Narrow" w:cs="Arial"/>
                <w:color w:val="000000" w:themeColor="text1"/>
                <w:sz w:val="22"/>
                <w:szCs w:val="22"/>
              </w:rPr>
              <w:t xml:space="preserve">Specific Performance and Mandatory Prohibitory Injunction with Prayer for </w:t>
            </w:r>
            <w:r w:rsidR="00D15689">
              <w:rPr>
                <w:rFonts w:ascii="Arial Narrow" w:hAnsi="Arial Narrow" w:cs="Arial"/>
                <w:color w:val="000000" w:themeColor="text1"/>
                <w:sz w:val="22"/>
                <w:szCs w:val="22"/>
              </w:rPr>
              <w:t xml:space="preserve">the </w:t>
            </w:r>
            <w:r w:rsidRPr="009E35ED">
              <w:rPr>
                <w:rFonts w:ascii="Arial Narrow" w:hAnsi="Arial Narrow" w:cs="Arial"/>
                <w:color w:val="000000" w:themeColor="text1"/>
                <w:sz w:val="22"/>
                <w:szCs w:val="22"/>
              </w:rPr>
              <w:t>TRO and/or Preliminary Injunction</w:t>
            </w:r>
          </w:p>
        </w:tc>
        <w:tc>
          <w:tcPr>
            <w:tcW w:w="1783" w:type="pct"/>
            <w:shd w:val="clear" w:color="auto" w:fill="auto"/>
          </w:tcPr>
          <w:p w14:paraId="786EDED3" w14:textId="77777777" w:rsidR="00BD4D7C" w:rsidRPr="009E35ED" w:rsidRDefault="00BD4D7C" w:rsidP="00BD4D7C">
            <w:pPr>
              <w:ind w:left="-6"/>
              <w:rPr>
                <w:rFonts w:ascii="Arial Narrow" w:hAnsi="Arial Narrow" w:cs="Arial"/>
                <w:color w:val="000000" w:themeColor="text1"/>
                <w:sz w:val="22"/>
                <w:szCs w:val="22"/>
              </w:rPr>
            </w:pPr>
            <w:r w:rsidRPr="009E35ED">
              <w:rPr>
                <w:rFonts w:ascii="Arial Narrow" w:hAnsi="Arial Narrow" w:cs="Arial"/>
                <w:color w:val="000000" w:themeColor="text1"/>
                <w:sz w:val="22"/>
                <w:szCs w:val="22"/>
              </w:rPr>
              <w:t>Decision dated 05 December 2017.</w:t>
            </w:r>
          </w:p>
          <w:p w14:paraId="50673379" w14:textId="77777777" w:rsidR="00BD4D7C" w:rsidRPr="009E35ED" w:rsidRDefault="00BD4D7C" w:rsidP="00BD4D7C">
            <w:pPr>
              <w:ind w:left="-6"/>
              <w:rPr>
                <w:rFonts w:ascii="Arial Narrow" w:hAnsi="Arial Narrow" w:cs="Arial"/>
                <w:color w:val="000000" w:themeColor="text1"/>
                <w:sz w:val="22"/>
                <w:szCs w:val="22"/>
              </w:rPr>
            </w:pPr>
            <w:r w:rsidRPr="009E35ED">
              <w:rPr>
                <w:rFonts w:ascii="Arial Narrow" w:hAnsi="Arial Narrow" w:cs="Arial"/>
                <w:color w:val="000000" w:themeColor="text1"/>
                <w:sz w:val="22"/>
                <w:szCs w:val="22"/>
              </w:rPr>
              <w:t>Order of Execution dated 18 January 2018 and 13 February 2018.</w:t>
            </w:r>
          </w:p>
          <w:p w14:paraId="73A3B525" w14:textId="77777777" w:rsidR="00BD4D7C" w:rsidRPr="009E35ED" w:rsidRDefault="00BD4D7C" w:rsidP="00BD4D7C">
            <w:pPr>
              <w:ind w:left="-6"/>
              <w:rPr>
                <w:rFonts w:ascii="Arial Narrow" w:hAnsi="Arial Narrow" w:cs="Arial"/>
                <w:color w:val="000000" w:themeColor="text1"/>
                <w:sz w:val="22"/>
                <w:szCs w:val="22"/>
              </w:rPr>
            </w:pPr>
          </w:p>
          <w:p w14:paraId="222E80DA" w14:textId="6AF0DF77" w:rsidR="00BD4D7C" w:rsidRPr="009E35ED" w:rsidRDefault="00BD4D7C" w:rsidP="00BD4D7C">
            <w:pPr>
              <w:ind w:left="-6"/>
              <w:rPr>
                <w:rFonts w:ascii="Arial Narrow" w:hAnsi="Arial Narrow" w:cs="Arial"/>
                <w:color w:val="000000" w:themeColor="text1"/>
                <w:sz w:val="22"/>
                <w:szCs w:val="22"/>
              </w:rPr>
            </w:pPr>
            <w:r w:rsidRPr="009E35ED">
              <w:rPr>
                <w:rFonts w:ascii="Arial Narrow" w:hAnsi="Arial Narrow" w:cs="Arial"/>
                <w:color w:val="000000" w:themeColor="text1"/>
                <w:sz w:val="22"/>
                <w:szCs w:val="22"/>
              </w:rPr>
              <w:t xml:space="preserve">Garnishment of </w:t>
            </w:r>
            <w:r w:rsidR="00F10767">
              <w:rPr>
                <w:rFonts w:ascii="Arial Narrow" w:hAnsi="Arial Narrow" w:cs="Arial"/>
                <w:color w:val="000000" w:themeColor="text1"/>
                <w:sz w:val="22"/>
                <w:szCs w:val="22"/>
              </w:rPr>
              <w:t>P</w:t>
            </w:r>
            <w:r w:rsidRPr="009E35ED">
              <w:rPr>
                <w:rFonts w:ascii="Arial Narrow" w:hAnsi="Arial Narrow" w:cs="Arial"/>
                <w:color w:val="000000" w:themeColor="text1"/>
                <w:sz w:val="22"/>
                <w:szCs w:val="22"/>
              </w:rPr>
              <w:t xml:space="preserve"> 707,223,555.41.</w:t>
            </w:r>
          </w:p>
          <w:p w14:paraId="6D11E124" w14:textId="6786881F" w:rsidR="00BD4D7C" w:rsidRPr="009E35ED" w:rsidRDefault="00D15689" w:rsidP="00BD4D7C">
            <w:pPr>
              <w:ind w:left="-6"/>
              <w:rPr>
                <w:rFonts w:ascii="Arial Narrow" w:hAnsi="Arial Narrow" w:cs="Arial"/>
                <w:color w:val="000000" w:themeColor="text1"/>
                <w:sz w:val="22"/>
                <w:szCs w:val="22"/>
              </w:rPr>
            </w:pPr>
            <w:r>
              <w:rPr>
                <w:rFonts w:ascii="Arial Narrow" w:hAnsi="Arial Narrow" w:cs="Arial"/>
                <w:color w:val="000000" w:themeColor="text1"/>
                <w:sz w:val="22"/>
                <w:szCs w:val="22"/>
              </w:rPr>
              <w:t xml:space="preserve">the </w:t>
            </w:r>
            <w:r w:rsidR="00BD4D7C" w:rsidRPr="009E35ED">
              <w:rPr>
                <w:rFonts w:ascii="Arial Narrow" w:hAnsi="Arial Narrow" w:cs="Arial"/>
                <w:color w:val="000000" w:themeColor="text1"/>
                <w:sz w:val="22"/>
                <w:szCs w:val="22"/>
              </w:rPr>
              <w:t xml:space="preserve">PCSO filed a Notice of Appeal as of December 2017  </w:t>
            </w:r>
          </w:p>
          <w:p w14:paraId="194066EC" w14:textId="77777777" w:rsidR="00EF2BD1" w:rsidRPr="009E35ED" w:rsidRDefault="00EF2BD1" w:rsidP="00BD4D7C">
            <w:pPr>
              <w:ind w:left="-6"/>
              <w:rPr>
                <w:rFonts w:ascii="Arial Narrow" w:hAnsi="Arial Narrow" w:cs="Arial"/>
                <w:color w:val="000000" w:themeColor="text1"/>
                <w:sz w:val="22"/>
                <w:szCs w:val="22"/>
              </w:rPr>
            </w:pPr>
          </w:p>
          <w:p w14:paraId="61F719E3" w14:textId="5F95AD24" w:rsidR="00BD4D7C" w:rsidRPr="009E35ED" w:rsidRDefault="00D15689" w:rsidP="00BD4D7C">
            <w:pPr>
              <w:ind w:left="-6"/>
              <w:rPr>
                <w:rFonts w:ascii="Arial Narrow" w:hAnsi="Arial Narrow" w:cs="Arial"/>
                <w:color w:val="000000" w:themeColor="text1"/>
                <w:sz w:val="22"/>
                <w:szCs w:val="22"/>
              </w:rPr>
            </w:pPr>
            <w:r>
              <w:rPr>
                <w:rFonts w:ascii="Arial Narrow" w:hAnsi="Arial Narrow" w:cs="Arial"/>
                <w:color w:val="000000" w:themeColor="text1"/>
                <w:sz w:val="22"/>
                <w:szCs w:val="22"/>
              </w:rPr>
              <w:t xml:space="preserve">The </w:t>
            </w:r>
            <w:r w:rsidR="00BD4D7C" w:rsidRPr="009E35ED">
              <w:rPr>
                <w:rFonts w:ascii="Arial Narrow" w:hAnsi="Arial Narrow" w:cs="Arial"/>
                <w:color w:val="000000" w:themeColor="text1"/>
                <w:sz w:val="22"/>
                <w:szCs w:val="22"/>
              </w:rPr>
              <w:t xml:space="preserve">PCSO filed an </w:t>
            </w:r>
            <w:r w:rsidR="00BD4D7C" w:rsidRPr="009E35ED">
              <w:rPr>
                <w:rFonts w:ascii="Arial Narrow" w:hAnsi="Arial Narrow" w:cs="Arial"/>
                <w:i/>
                <w:color w:val="000000" w:themeColor="text1"/>
                <w:sz w:val="22"/>
                <w:szCs w:val="22"/>
              </w:rPr>
              <w:t xml:space="preserve">Ex-Parte Motion for Restitution of the Garnished amount of </w:t>
            </w:r>
            <w:r w:rsidR="00F10767">
              <w:rPr>
                <w:rFonts w:ascii="Arial Narrow" w:hAnsi="Arial Narrow" w:cs="Arial"/>
                <w:bCs/>
                <w:i/>
                <w:color w:val="000000" w:themeColor="text1"/>
                <w:sz w:val="22"/>
                <w:szCs w:val="22"/>
              </w:rPr>
              <w:t>P</w:t>
            </w:r>
            <w:r w:rsidR="00BD4D7C" w:rsidRPr="009E35ED">
              <w:rPr>
                <w:rFonts w:ascii="Arial Narrow" w:hAnsi="Arial Narrow" w:cs="Arial"/>
                <w:i/>
                <w:color w:val="000000" w:themeColor="text1"/>
                <w:sz w:val="22"/>
                <w:szCs w:val="22"/>
              </w:rPr>
              <w:t>707,223,555.44 (</w:t>
            </w:r>
            <w:r w:rsidR="00BD4D7C" w:rsidRPr="009E35ED">
              <w:rPr>
                <w:rFonts w:ascii="Arial Narrow" w:hAnsi="Arial Narrow" w:cs="Arial"/>
                <w:color w:val="000000" w:themeColor="text1"/>
                <w:sz w:val="22"/>
                <w:szCs w:val="22"/>
              </w:rPr>
              <w:t>to</w:t>
            </w:r>
            <w:r>
              <w:rPr>
                <w:rFonts w:ascii="Arial Narrow" w:hAnsi="Arial Narrow" w:cs="Arial"/>
                <w:color w:val="000000" w:themeColor="text1"/>
                <w:sz w:val="22"/>
                <w:szCs w:val="22"/>
              </w:rPr>
              <w:t xml:space="preserve"> the</w:t>
            </w:r>
            <w:r w:rsidR="00BD4D7C" w:rsidRPr="009E35ED">
              <w:rPr>
                <w:rFonts w:ascii="Arial Narrow" w:hAnsi="Arial Narrow" w:cs="Arial"/>
                <w:color w:val="000000" w:themeColor="text1"/>
                <w:sz w:val="22"/>
                <w:szCs w:val="22"/>
              </w:rPr>
              <w:t xml:space="preserve"> PCSO) in relation to the 28 August 2019 </w:t>
            </w:r>
            <w:r>
              <w:rPr>
                <w:rFonts w:ascii="Arial Narrow" w:hAnsi="Arial Narrow" w:cs="Arial"/>
                <w:color w:val="000000" w:themeColor="text1"/>
                <w:sz w:val="22"/>
                <w:szCs w:val="22"/>
              </w:rPr>
              <w:t xml:space="preserve">SC </w:t>
            </w:r>
            <w:r w:rsidR="00BD4D7C" w:rsidRPr="009E35ED">
              <w:rPr>
                <w:rFonts w:ascii="Arial Narrow" w:hAnsi="Arial Narrow" w:cs="Arial"/>
                <w:color w:val="000000" w:themeColor="text1"/>
                <w:sz w:val="22"/>
                <w:szCs w:val="22"/>
              </w:rPr>
              <w:t>Decision.</w:t>
            </w:r>
          </w:p>
          <w:p w14:paraId="1AEE7E40" w14:textId="77777777" w:rsidR="00EF2BD1" w:rsidRPr="009E35ED" w:rsidRDefault="00EF2BD1" w:rsidP="00BD4D7C">
            <w:pPr>
              <w:ind w:left="-6"/>
              <w:rPr>
                <w:rFonts w:ascii="Arial Narrow" w:hAnsi="Arial Narrow" w:cs="Arial"/>
                <w:color w:val="000000" w:themeColor="text1"/>
                <w:sz w:val="22"/>
                <w:szCs w:val="22"/>
              </w:rPr>
            </w:pPr>
          </w:p>
          <w:p w14:paraId="17EB4864" w14:textId="0DE76A0D" w:rsidR="00DD7450" w:rsidRPr="009E35ED" w:rsidRDefault="00BD4D7C" w:rsidP="00DD7450">
            <w:pPr>
              <w:ind w:left="-6"/>
              <w:rPr>
                <w:rFonts w:ascii="Arial Narrow" w:hAnsi="Arial Narrow" w:cs="Arial"/>
                <w:color w:val="000000" w:themeColor="text1"/>
                <w:sz w:val="22"/>
                <w:szCs w:val="22"/>
              </w:rPr>
            </w:pPr>
            <w:r w:rsidRPr="009E35ED">
              <w:rPr>
                <w:rFonts w:ascii="Arial Narrow" w:hAnsi="Arial Narrow" w:cs="Arial"/>
                <w:color w:val="000000" w:themeColor="text1"/>
                <w:sz w:val="22"/>
                <w:szCs w:val="22"/>
              </w:rPr>
              <w:t xml:space="preserve">Pending execution and recovery of the full </w:t>
            </w:r>
            <w:r w:rsidR="00F10767">
              <w:rPr>
                <w:rFonts w:ascii="Arial Narrow" w:hAnsi="Arial Narrow" w:cs="Arial"/>
                <w:color w:val="000000" w:themeColor="text1"/>
                <w:sz w:val="22"/>
                <w:szCs w:val="22"/>
              </w:rPr>
              <w:t>P</w:t>
            </w:r>
            <w:r w:rsidRPr="009E35ED">
              <w:rPr>
                <w:rFonts w:ascii="Arial Narrow" w:hAnsi="Arial Narrow" w:cs="Arial"/>
                <w:color w:val="000000" w:themeColor="text1"/>
                <w:sz w:val="22"/>
                <w:szCs w:val="22"/>
              </w:rPr>
              <w:t xml:space="preserve"> 707,223,555.44</w:t>
            </w:r>
          </w:p>
          <w:p w14:paraId="44D582F9" w14:textId="77777777" w:rsidR="00DD7450" w:rsidRPr="009E35ED" w:rsidRDefault="00DD7450" w:rsidP="00DD7450">
            <w:pPr>
              <w:ind w:left="-6"/>
              <w:rPr>
                <w:rFonts w:ascii="Arial Narrow" w:hAnsi="Arial Narrow" w:cs="Arial"/>
                <w:color w:val="000000" w:themeColor="text1"/>
                <w:sz w:val="22"/>
                <w:szCs w:val="22"/>
              </w:rPr>
            </w:pPr>
          </w:p>
          <w:p w14:paraId="721A2B85" w14:textId="7649BAD5" w:rsidR="00BD4D7C" w:rsidRPr="009E35ED" w:rsidRDefault="00BD4D7C" w:rsidP="00DD7450">
            <w:pPr>
              <w:ind w:left="0"/>
              <w:rPr>
                <w:rFonts w:ascii="Arial Narrow" w:hAnsi="Arial Narrow" w:cs="Arial"/>
                <w:i/>
                <w:color w:val="000000" w:themeColor="text1"/>
                <w:sz w:val="22"/>
                <w:szCs w:val="22"/>
              </w:rPr>
            </w:pPr>
            <w:r w:rsidRPr="009E35ED">
              <w:rPr>
                <w:rFonts w:ascii="Arial Narrow" w:hAnsi="Arial Narrow" w:cs="Arial"/>
                <w:color w:val="000000" w:themeColor="text1"/>
                <w:sz w:val="22"/>
                <w:szCs w:val="22"/>
              </w:rPr>
              <w:t xml:space="preserve">Amount collected is </w:t>
            </w:r>
            <w:r w:rsidR="00F10767">
              <w:rPr>
                <w:rFonts w:ascii="Arial Narrow" w:hAnsi="Arial Narrow" w:cs="Arial"/>
                <w:color w:val="000000" w:themeColor="text1"/>
                <w:sz w:val="22"/>
                <w:szCs w:val="22"/>
              </w:rPr>
              <w:t>P</w:t>
            </w:r>
            <w:r w:rsidRPr="009E35ED">
              <w:rPr>
                <w:rFonts w:ascii="Arial Narrow" w:hAnsi="Arial Narrow" w:cs="Arial"/>
                <w:color w:val="000000" w:themeColor="text1"/>
                <w:sz w:val="22"/>
                <w:szCs w:val="22"/>
              </w:rPr>
              <w:t xml:space="preserve"> 56,939,107.39</w:t>
            </w:r>
          </w:p>
        </w:tc>
      </w:tr>
      <w:tr w:rsidR="00997F75" w:rsidRPr="009E35ED" w14:paraId="2E775CA9" w14:textId="77777777" w:rsidTr="00AF7FD6">
        <w:tc>
          <w:tcPr>
            <w:tcW w:w="1187" w:type="pct"/>
            <w:vMerge/>
            <w:shd w:val="clear" w:color="auto" w:fill="auto"/>
          </w:tcPr>
          <w:p w14:paraId="53D05A6E" w14:textId="77777777" w:rsidR="00BD4D7C" w:rsidRPr="009E35ED" w:rsidRDefault="00BD4D7C" w:rsidP="00BD4D7C">
            <w:pPr>
              <w:ind w:left="29"/>
              <w:rPr>
                <w:rFonts w:ascii="Arial Narrow" w:hAnsi="Arial Narrow" w:cs="Arial"/>
                <w:b/>
                <w:color w:val="000000" w:themeColor="text1"/>
                <w:sz w:val="22"/>
                <w:szCs w:val="22"/>
              </w:rPr>
            </w:pPr>
          </w:p>
        </w:tc>
        <w:tc>
          <w:tcPr>
            <w:tcW w:w="1145" w:type="pct"/>
            <w:shd w:val="clear" w:color="auto" w:fill="auto"/>
          </w:tcPr>
          <w:p w14:paraId="7B2A0373" w14:textId="77777777" w:rsidR="00BD4D7C" w:rsidRPr="009E35ED" w:rsidRDefault="00BD4D7C" w:rsidP="00BD4D7C">
            <w:pPr>
              <w:ind w:left="0"/>
              <w:rPr>
                <w:rFonts w:ascii="Arial Narrow" w:hAnsi="Arial Narrow" w:cs="Arial"/>
                <w:color w:val="000000" w:themeColor="text1"/>
                <w:sz w:val="22"/>
                <w:szCs w:val="22"/>
              </w:rPr>
            </w:pPr>
            <w:r w:rsidRPr="009E35ED">
              <w:rPr>
                <w:rFonts w:ascii="Arial Narrow" w:hAnsi="Arial Narrow" w:cs="Arial"/>
                <w:color w:val="000000" w:themeColor="text1"/>
                <w:sz w:val="22"/>
                <w:szCs w:val="22"/>
              </w:rPr>
              <w:t>(2) TMA Group of Companies Pty. Ltd. vs. PCSO, Dirs. Joaquin, Mamba, Nantes &amp; Tolentino (Special Civil Case No. 11-569, RTC-Makati City, Branch 66)</w:t>
            </w:r>
          </w:p>
        </w:tc>
        <w:tc>
          <w:tcPr>
            <w:tcW w:w="885" w:type="pct"/>
            <w:shd w:val="clear" w:color="auto" w:fill="auto"/>
          </w:tcPr>
          <w:p w14:paraId="15D35CA6" w14:textId="77777777" w:rsidR="00BD4D7C" w:rsidRPr="009E35ED" w:rsidRDefault="00BD4D7C" w:rsidP="00BD4D7C">
            <w:pPr>
              <w:ind w:left="0"/>
              <w:rPr>
                <w:rFonts w:ascii="Arial Narrow" w:hAnsi="Arial Narrow" w:cs="Arial"/>
                <w:color w:val="000000" w:themeColor="text1"/>
                <w:sz w:val="22"/>
                <w:szCs w:val="22"/>
              </w:rPr>
            </w:pPr>
            <w:r w:rsidRPr="009E35ED">
              <w:rPr>
                <w:rFonts w:ascii="Arial Narrow" w:hAnsi="Arial Narrow" w:cs="Arial"/>
                <w:color w:val="000000" w:themeColor="text1"/>
                <w:sz w:val="22"/>
                <w:szCs w:val="22"/>
              </w:rPr>
              <w:t>Indirect contempt</w:t>
            </w:r>
          </w:p>
        </w:tc>
        <w:tc>
          <w:tcPr>
            <w:tcW w:w="1783" w:type="pct"/>
            <w:shd w:val="clear" w:color="auto" w:fill="auto"/>
          </w:tcPr>
          <w:p w14:paraId="6896082C" w14:textId="77777777" w:rsidR="00BD4D7C" w:rsidRPr="009E35ED" w:rsidRDefault="00BD4D7C" w:rsidP="00BD4D7C">
            <w:pPr>
              <w:ind w:left="-6"/>
              <w:rPr>
                <w:rFonts w:ascii="Arial Narrow" w:hAnsi="Arial Narrow" w:cs="Arial"/>
                <w:color w:val="000000" w:themeColor="text1"/>
                <w:sz w:val="22"/>
                <w:szCs w:val="22"/>
              </w:rPr>
            </w:pPr>
            <w:r w:rsidRPr="009E35ED">
              <w:rPr>
                <w:rFonts w:ascii="Arial Narrow" w:hAnsi="Arial Narrow" w:cs="Arial"/>
                <w:color w:val="000000" w:themeColor="text1"/>
                <w:sz w:val="22"/>
                <w:szCs w:val="22"/>
              </w:rPr>
              <w:t>Awaiting Order resetting the hearing on Plaintiff’s initial presentation of evidence.</w:t>
            </w:r>
          </w:p>
          <w:p w14:paraId="5EC45ED8" w14:textId="77777777" w:rsidR="00BD4D7C" w:rsidRPr="009E35ED" w:rsidRDefault="00BD4D7C" w:rsidP="00BD4D7C">
            <w:pPr>
              <w:ind w:left="-6"/>
              <w:rPr>
                <w:rFonts w:ascii="Arial Narrow" w:hAnsi="Arial Narrow" w:cs="Arial"/>
                <w:color w:val="000000" w:themeColor="text1"/>
                <w:sz w:val="22"/>
                <w:szCs w:val="22"/>
              </w:rPr>
            </w:pPr>
          </w:p>
        </w:tc>
      </w:tr>
      <w:tr w:rsidR="00997F75" w:rsidRPr="009E35ED" w14:paraId="776E20AE" w14:textId="77777777" w:rsidTr="00AF7FD6">
        <w:tc>
          <w:tcPr>
            <w:tcW w:w="1187" w:type="pct"/>
            <w:vMerge/>
            <w:shd w:val="clear" w:color="auto" w:fill="auto"/>
          </w:tcPr>
          <w:p w14:paraId="342A9138" w14:textId="77777777" w:rsidR="00BD4D7C" w:rsidRPr="009E35ED" w:rsidRDefault="00BD4D7C" w:rsidP="00BD4D7C">
            <w:pPr>
              <w:ind w:left="29"/>
              <w:jc w:val="center"/>
              <w:rPr>
                <w:rFonts w:ascii="Arial Narrow" w:hAnsi="Arial Narrow" w:cs="Arial"/>
                <w:b/>
                <w:color w:val="000000" w:themeColor="text1"/>
                <w:sz w:val="22"/>
                <w:szCs w:val="22"/>
              </w:rPr>
            </w:pPr>
          </w:p>
        </w:tc>
        <w:tc>
          <w:tcPr>
            <w:tcW w:w="1145" w:type="pct"/>
            <w:shd w:val="clear" w:color="auto" w:fill="auto"/>
          </w:tcPr>
          <w:p w14:paraId="6011D24E" w14:textId="77777777" w:rsidR="00BD4D7C" w:rsidRPr="009E35ED" w:rsidRDefault="00BD4D7C" w:rsidP="00BD4D7C">
            <w:pPr>
              <w:ind w:left="0"/>
              <w:rPr>
                <w:rFonts w:ascii="Arial Narrow" w:hAnsi="Arial Narrow" w:cs="Arial"/>
                <w:color w:val="000000" w:themeColor="text1"/>
                <w:sz w:val="22"/>
                <w:szCs w:val="22"/>
              </w:rPr>
            </w:pPr>
            <w:r w:rsidRPr="009E35ED">
              <w:rPr>
                <w:rFonts w:ascii="Arial Narrow" w:hAnsi="Arial Narrow" w:cs="Arial"/>
                <w:color w:val="000000" w:themeColor="text1"/>
                <w:sz w:val="22"/>
                <w:szCs w:val="22"/>
              </w:rPr>
              <w:t>(3) PCSO et. al vs. RTC et al. and PCSO vs. Honorable Judge Villarosa (CA-GR SP 148828 and 156017)</w:t>
            </w:r>
          </w:p>
        </w:tc>
        <w:tc>
          <w:tcPr>
            <w:tcW w:w="885" w:type="pct"/>
            <w:shd w:val="clear" w:color="auto" w:fill="auto"/>
          </w:tcPr>
          <w:p w14:paraId="26BDE6AF" w14:textId="77777777" w:rsidR="00BD4D7C" w:rsidRPr="009E35ED" w:rsidRDefault="00BD4D7C" w:rsidP="00BD4D7C">
            <w:pPr>
              <w:ind w:left="0"/>
              <w:rPr>
                <w:rFonts w:ascii="Arial Narrow" w:hAnsi="Arial Narrow" w:cs="Arial"/>
                <w:color w:val="000000" w:themeColor="text1"/>
                <w:sz w:val="22"/>
                <w:szCs w:val="22"/>
              </w:rPr>
            </w:pPr>
            <w:r w:rsidRPr="009E35ED">
              <w:rPr>
                <w:rFonts w:ascii="Arial Narrow" w:hAnsi="Arial Narrow" w:cs="Arial"/>
                <w:color w:val="000000" w:themeColor="text1"/>
                <w:sz w:val="22"/>
                <w:szCs w:val="22"/>
              </w:rPr>
              <w:t>Petition for Certiorari</w:t>
            </w:r>
          </w:p>
          <w:p w14:paraId="5E479413" w14:textId="77777777" w:rsidR="00BD4D7C" w:rsidRPr="009E35ED" w:rsidRDefault="00BD4D7C" w:rsidP="00BD4D7C">
            <w:pPr>
              <w:ind w:left="0"/>
              <w:rPr>
                <w:rFonts w:ascii="Arial Narrow" w:hAnsi="Arial Narrow" w:cs="Arial"/>
                <w:color w:val="000000" w:themeColor="text1"/>
                <w:sz w:val="22"/>
                <w:szCs w:val="22"/>
              </w:rPr>
            </w:pPr>
            <w:r w:rsidRPr="009E35ED">
              <w:rPr>
                <w:rFonts w:ascii="Arial Narrow" w:hAnsi="Arial Narrow" w:cs="Arial"/>
                <w:color w:val="000000" w:themeColor="text1"/>
                <w:sz w:val="22"/>
                <w:szCs w:val="22"/>
              </w:rPr>
              <w:t>Petition for Mandamus</w:t>
            </w:r>
          </w:p>
        </w:tc>
        <w:tc>
          <w:tcPr>
            <w:tcW w:w="1783" w:type="pct"/>
            <w:shd w:val="clear" w:color="auto" w:fill="auto"/>
          </w:tcPr>
          <w:p w14:paraId="7B088832" w14:textId="77777777" w:rsidR="00BD4D7C" w:rsidRPr="009E35ED" w:rsidRDefault="00BD4D7C" w:rsidP="00BD4D7C">
            <w:pPr>
              <w:ind w:left="-6"/>
              <w:rPr>
                <w:rFonts w:ascii="Arial Narrow" w:hAnsi="Arial Narrow" w:cs="Arial"/>
                <w:color w:val="000000" w:themeColor="text1"/>
                <w:sz w:val="22"/>
                <w:szCs w:val="22"/>
              </w:rPr>
            </w:pPr>
            <w:r w:rsidRPr="009E35ED">
              <w:rPr>
                <w:rFonts w:ascii="Arial Narrow" w:hAnsi="Arial Narrow" w:cs="Arial"/>
                <w:color w:val="000000" w:themeColor="text1"/>
                <w:sz w:val="22"/>
                <w:szCs w:val="22"/>
              </w:rPr>
              <w:t xml:space="preserve"> Decision dated 14 December 2020, stating thus:</w:t>
            </w:r>
          </w:p>
          <w:p w14:paraId="06B23F85" w14:textId="77777777" w:rsidR="00661058" w:rsidRPr="009E35ED" w:rsidRDefault="00661058" w:rsidP="00BD4D7C">
            <w:pPr>
              <w:ind w:left="-6"/>
              <w:rPr>
                <w:rFonts w:ascii="Arial Narrow" w:hAnsi="Arial Narrow" w:cs="Arial"/>
                <w:color w:val="000000" w:themeColor="text1"/>
                <w:sz w:val="22"/>
                <w:szCs w:val="22"/>
              </w:rPr>
            </w:pPr>
          </w:p>
          <w:p w14:paraId="115DEA91" w14:textId="77777777" w:rsidR="00BD4D7C" w:rsidRPr="009E35ED" w:rsidRDefault="00BD4D7C" w:rsidP="00BD4D7C">
            <w:pPr>
              <w:ind w:left="-6"/>
              <w:rPr>
                <w:rFonts w:ascii="Arial Narrow" w:hAnsi="Arial Narrow" w:cs="Arial"/>
                <w:color w:val="000000" w:themeColor="text1"/>
                <w:sz w:val="22"/>
                <w:szCs w:val="22"/>
              </w:rPr>
            </w:pPr>
            <w:r w:rsidRPr="009E35ED">
              <w:rPr>
                <w:rFonts w:ascii="Arial Narrow" w:hAnsi="Arial Narrow" w:cs="Arial"/>
                <w:color w:val="000000" w:themeColor="text1"/>
                <w:sz w:val="22"/>
                <w:szCs w:val="22"/>
              </w:rPr>
              <w:t xml:space="preserve">“WHEREFORE, the Petition for Certiorari in CA-G.R. SP No. 148828 is GRANTED. The Orders dated 18 May 2016 and the 20 September 2016 are ANNULLED and SET ASIDE, and are declared VOID AND OF NO FORCE AND EFFECT. The Petition for Certiorari in CA-G.R. SP No. 156017 is likewise GRANTED. The Order dated 21 March 2018 is ANNULLED and SET ASIDE, and is declared VOID AND OF NO FORCE AND EFFECT. 111 Rollo, CA-G.R. SP Nos. 148828 (Volume II), RTC Order dated 11 March 2019, Annex C [to the Comment/Opposition (To Private Respondents' 06 February Urgent Omnibus Motion), pp. 683-684. 112 Id., at p. 684. </w:t>
            </w:r>
          </w:p>
          <w:p w14:paraId="028A6CCF" w14:textId="77777777" w:rsidR="00C34BF4" w:rsidRPr="009E35ED" w:rsidRDefault="00C34BF4" w:rsidP="00BD4D7C">
            <w:pPr>
              <w:ind w:left="-6"/>
              <w:rPr>
                <w:rFonts w:ascii="Arial Narrow" w:hAnsi="Arial Narrow" w:cs="Arial"/>
                <w:color w:val="000000" w:themeColor="text1"/>
                <w:sz w:val="22"/>
                <w:szCs w:val="22"/>
              </w:rPr>
            </w:pPr>
          </w:p>
          <w:p w14:paraId="5AFC6EA7" w14:textId="0CE68509" w:rsidR="00BD4D7C" w:rsidRPr="009E35ED" w:rsidRDefault="00BD4D7C" w:rsidP="00BD4D7C">
            <w:pPr>
              <w:ind w:left="-6"/>
              <w:rPr>
                <w:rFonts w:ascii="Arial Narrow" w:hAnsi="Arial Narrow" w:cs="Arial"/>
                <w:color w:val="000000" w:themeColor="text1"/>
                <w:sz w:val="22"/>
                <w:szCs w:val="22"/>
              </w:rPr>
            </w:pPr>
            <w:r w:rsidRPr="009E35ED">
              <w:rPr>
                <w:rFonts w:ascii="Arial Narrow" w:hAnsi="Arial Narrow" w:cs="Arial"/>
                <w:color w:val="000000" w:themeColor="text1"/>
                <w:sz w:val="22"/>
                <w:szCs w:val="22"/>
              </w:rPr>
              <w:t>The Petition for Mandamus in CA-G.R. SP No. 156017 is DISMISSED for mootness.</w:t>
            </w:r>
          </w:p>
          <w:p w14:paraId="3D784EDD" w14:textId="77777777" w:rsidR="00C34BF4" w:rsidRPr="009E35ED" w:rsidRDefault="00C34BF4" w:rsidP="00BD4D7C">
            <w:pPr>
              <w:ind w:left="-6"/>
              <w:rPr>
                <w:rFonts w:ascii="Arial Narrow" w:hAnsi="Arial Narrow" w:cs="Arial"/>
                <w:color w:val="000000" w:themeColor="text1"/>
                <w:sz w:val="22"/>
                <w:szCs w:val="22"/>
              </w:rPr>
            </w:pPr>
          </w:p>
          <w:p w14:paraId="212DDC6E" w14:textId="137D0011" w:rsidR="00BD4D7C" w:rsidRPr="009E35ED" w:rsidRDefault="00BD4D7C" w:rsidP="00BD4D7C">
            <w:pPr>
              <w:ind w:left="-6"/>
              <w:rPr>
                <w:rFonts w:ascii="Arial Narrow" w:hAnsi="Arial Narrow" w:cs="Arial"/>
                <w:color w:val="000000" w:themeColor="text1"/>
                <w:sz w:val="22"/>
                <w:szCs w:val="22"/>
              </w:rPr>
            </w:pPr>
            <w:r w:rsidRPr="009E35ED">
              <w:rPr>
                <w:rFonts w:ascii="Arial Narrow" w:hAnsi="Arial Narrow" w:cs="Arial"/>
                <w:color w:val="000000" w:themeColor="text1"/>
                <w:sz w:val="22"/>
                <w:szCs w:val="22"/>
              </w:rPr>
              <w:t>Resolution dated 12 November 2021, which denied TMA’s Motion for Reconsideration.</w:t>
            </w:r>
          </w:p>
        </w:tc>
      </w:tr>
      <w:tr w:rsidR="00997F75" w:rsidRPr="009E35ED" w14:paraId="3C0681B2" w14:textId="77777777" w:rsidTr="00AF7FD6">
        <w:tc>
          <w:tcPr>
            <w:tcW w:w="1187" w:type="pct"/>
            <w:shd w:val="clear" w:color="auto" w:fill="auto"/>
          </w:tcPr>
          <w:p w14:paraId="56E8A04E" w14:textId="77777777" w:rsidR="00BD4D7C" w:rsidRPr="009E35ED" w:rsidRDefault="00BD4D7C" w:rsidP="00BD4D7C">
            <w:pPr>
              <w:ind w:left="29"/>
              <w:rPr>
                <w:rFonts w:ascii="Arial Narrow" w:hAnsi="Arial Narrow" w:cs="Arial"/>
                <w:b/>
                <w:color w:val="000000" w:themeColor="text1"/>
                <w:sz w:val="22"/>
                <w:szCs w:val="22"/>
              </w:rPr>
            </w:pPr>
          </w:p>
        </w:tc>
        <w:tc>
          <w:tcPr>
            <w:tcW w:w="1145" w:type="pct"/>
            <w:shd w:val="clear" w:color="auto" w:fill="auto"/>
          </w:tcPr>
          <w:p w14:paraId="355ABC29" w14:textId="77777777" w:rsidR="00BD4D7C" w:rsidRPr="009E35ED" w:rsidRDefault="00BD4D7C" w:rsidP="00BD4D7C">
            <w:pPr>
              <w:ind w:left="0"/>
              <w:rPr>
                <w:rFonts w:ascii="Arial Narrow" w:hAnsi="Arial Narrow" w:cs="Arial"/>
                <w:color w:val="000000" w:themeColor="text1"/>
                <w:sz w:val="22"/>
                <w:szCs w:val="22"/>
              </w:rPr>
            </w:pPr>
            <w:r w:rsidRPr="009E35ED">
              <w:rPr>
                <w:rFonts w:ascii="Arial Narrow" w:hAnsi="Arial Narrow" w:cs="Arial"/>
                <w:color w:val="000000" w:themeColor="text1"/>
                <w:sz w:val="22"/>
                <w:szCs w:val="22"/>
              </w:rPr>
              <w:t>(4) PCSO vs. Hon. Judge Joselito Villarosa (G.R. No. 236888)</w:t>
            </w:r>
          </w:p>
        </w:tc>
        <w:tc>
          <w:tcPr>
            <w:tcW w:w="885" w:type="pct"/>
            <w:shd w:val="clear" w:color="auto" w:fill="auto"/>
          </w:tcPr>
          <w:p w14:paraId="74F132FA" w14:textId="77777777" w:rsidR="00BD4D7C" w:rsidRPr="009E35ED" w:rsidRDefault="00BD4D7C" w:rsidP="00BD4D7C">
            <w:pPr>
              <w:ind w:left="0"/>
              <w:rPr>
                <w:rFonts w:ascii="Arial Narrow" w:hAnsi="Arial Narrow" w:cs="Arial"/>
                <w:color w:val="000000" w:themeColor="text1"/>
                <w:sz w:val="22"/>
                <w:szCs w:val="22"/>
              </w:rPr>
            </w:pPr>
            <w:r w:rsidRPr="009E35ED">
              <w:rPr>
                <w:rFonts w:ascii="Arial Narrow" w:hAnsi="Arial Narrow" w:cs="Arial"/>
                <w:color w:val="000000" w:themeColor="text1"/>
                <w:sz w:val="22"/>
                <w:szCs w:val="22"/>
              </w:rPr>
              <w:t>Petition for Certiorari</w:t>
            </w:r>
          </w:p>
        </w:tc>
        <w:tc>
          <w:tcPr>
            <w:tcW w:w="1783" w:type="pct"/>
            <w:shd w:val="clear" w:color="auto" w:fill="auto"/>
          </w:tcPr>
          <w:p w14:paraId="643DA8F7" w14:textId="58747BB2" w:rsidR="00BD4D7C" w:rsidRPr="009E35ED" w:rsidRDefault="00BD4D7C" w:rsidP="00BD4D7C">
            <w:pPr>
              <w:ind w:left="-6"/>
              <w:rPr>
                <w:rFonts w:ascii="Arial Narrow" w:hAnsi="Arial Narrow" w:cs="Arial"/>
                <w:color w:val="000000" w:themeColor="text1"/>
                <w:sz w:val="22"/>
                <w:szCs w:val="22"/>
              </w:rPr>
            </w:pPr>
            <w:r w:rsidRPr="009E35ED">
              <w:rPr>
                <w:rFonts w:ascii="Arial Narrow" w:hAnsi="Arial Narrow" w:cs="Arial"/>
                <w:color w:val="000000" w:themeColor="text1"/>
                <w:sz w:val="22"/>
                <w:szCs w:val="22"/>
              </w:rPr>
              <w:t xml:space="preserve">Consolidated with the two other SC petitions (G.R. No. 212143 and G.R. No. </w:t>
            </w:r>
            <w:r w:rsidR="0026699B" w:rsidRPr="009E35ED">
              <w:rPr>
                <w:rFonts w:ascii="Arial Narrow" w:hAnsi="Arial Narrow" w:cs="Arial"/>
                <w:color w:val="000000" w:themeColor="text1"/>
                <w:sz w:val="22"/>
                <w:szCs w:val="22"/>
              </w:rPr>
              <w:t>225457)</w:t>
            </w:r>
          </w:p>
          <w:p w14:paraId="47482F94" w14:textId="77777777" w:rsidR="00057801" w:rsidRPr="009E35ED" w:rsidRDefault="00057801" w:rsidP="00BD4D7C">
            <w:pPr>
              <w:ind w:left="-6"/>
              <w:rPr>
                <w:rFonts w:ascii="Arial Narrow" w:hAnsi="Arial Narrow" w:cs="Arial"/>
                <w:color w:val="000000" w:themeColor="text1"/>
                <w:sz w:val="22"/>
                <w:szCs w:val="22"/>
              </w:rPr>
            </w:pPr>
          </w:p>
          <w:p w14:paraId="2C87E738" w14:textId="1A945331" w:rsidR="00BD4D7C" w:rsidRPr="009E35ED" w:rsidRDefault="00BD4D7C" w:rsidP="00BD4D7C">
            <w:pPr>
              <w:ind w:left="-6"/>
              <w:rPr>
                <w:rFonts w:ascii="Arial Narrow" w:hAnsi="Arial Narrow" w:cs="Arial"/>
                <w:color w:val="000000" w:themeColor="text1"/>
                <w:sz w:val="22"/>
                <w:szCs w:val="22"/>
              </w:rPr>
            </w:pPr>
            <w:r w:rsidRPr="009E35ED">
              <w:rPr>
                <w:rFonts w:ascii="Arial Narrow" w:hAnsi="Arial Narrow" w:cs="Arial"/>
                <w:color w:val="000000" w:themeColor="text1"/>
                <w:sz w:val="22"/>
                <w:szCs w:val="22"/>
              </w:rPr>
              <w:t>Decision dated 28 August 2019:</w:t>
            </w:r>
          </w:p>
          <w:p w14:paraId="7EB48D8D" w14:textId="77777777" w:rsidR="00057801" w:rsidRPr="009E35ED" w:rsidRDefault="00057801" w:rsidP="00BD4D7C">
            <w:pPr>
              <w:shd w:val="clear" w:color="auto" w:fill="FFFFFF"/>
              <w:ind w:left="-6"/>
              <w:rPr>
                <w:rFonts w:ascii="Arial Narrow" w:hAnsi="Arial Narrow" w:cs="Arial"/>
                <w:color w:val="000000" w:themeColor="text1"/>
                <w:sz w:val="22"/>
                <w:szCs w:val="22"/>
              </w:rPr>
            </w:pPr>
          </w:p>
          <w:p w14:paraId="74BE20DD" w14:textId="3756241F" w:rsidR="00BD4D7C" w:rsidRPr="009E35ED" w:rsidRDefault="00BD4D7C" w:rsidP="00BD4D7C">
            <w:pPr>
              <w:shd w:val="clear" w:color="auto" w:fill="FFFFFF"/>
              <w:ind w:left="-6"/>
              <w:rPr>
                <w:rFonts w:ascii="Arial Narrow" w:hAnsi="Arial Narrow" w:cs="Arial"/>
                <w:color w:val="000000" w:themeColor="text1"/>
                <w:sz w:val="22"/>
                <w:szCs w:val="22"/>
              </w:rPr>
            </w:pPr>
            <w:r w:rsidRPr="009E35ED">
              <w:rPr>
                <w:rFonts w:ascii="Arial Narrow" w:hAnsi="Arial Narrow" w:cs="Arial"/>
                <w:color w:val="000000" w:themeColor="text1"/>
                <w:sz w:val="22"/>
                <w:szCs w:val="22"/>
              </w:rPr>
              <w:t xml:space="preserve">WHEREFORE, the Court rules as follows: </w:t>
            </w:r>
          </w:p>
          <w:p w14:paraId="3CFFB01A" w14:textId="77777777" w:rsidR="00BD4D7C" w:rsidRPr="009E35ED" w:rsidRDefault="00BD4D7C" w:rsidP="00BD4D7C">
            <w:pPr>
              <w:shd w:val="clear" w:color="auto" w:fill="FFFFFF"/>
              <w:ind w:left="-6"/>
              <w:rPr>
                <w:rFonts w:ascii="Arial Narrow" w:hAnsi="Arial Narrow" w:cs="Arial"/>
                <w:color w:val="000000" w:themeColor="text1"/>
                <w:sz w:val="22"/>
                <w:szCs w:val="22"/>
              </w:rPr>
            </w:pPr>
          </w:p>
          <w:p w14:paraId="3813ABFD" w14:textId="77777777" w:rsidR="00BD4D7C" w:rsidRPr="009E35ED" w:rsidRDefault="00BD4D7C" w:rsidP="00BD4D7C">
            <w:pPr>
              <w:shd w:val="clear" w:color="auto" w:fill="FFFFFF"/>
              <w:ind w:left="-6"/>
              <w:rPr>
                <w:rFonts w:ascii="Arial Narrow" w:hAnsi="Arial Narrow" w:cs="Arial"/>
                <w:color w:val="000000" w:themeColor="text1"/>
                <w:sz w:val="22"/>
                <w:szCs w:val="22"/>
              </w:rPr>
            </w:pPr>
            <w:r w:rsidRPr="009E35ED">
              <w:rPr>
                <w:rFonts w:ascii="Arial Narrow" w:hAnsi="Arial Narrow" w:cs="Arial"/>
                <w:color w:val="000000" w:themeColor="text1"/>
                <w:sz w:val="22"/>
                <w:szCs w:val="22"/>
              </w:rPr>
              <w:t xml:space="preserve">(1) In G.R. No. 212143, the Petition for Review on Certiorari is GRANTED. The Court of Appeals' Decision dated March 27, 2014 in CA-G.R. SP No. 132655, is REVERSED and SETASIDE. The Orders dated May 13, 2011, September 4, 2013 and November 6, 2013 of the Regional Trial </w:t>
            </w:r>
          </w:p>
          <w:p w14:paraId="65B9DAE1" w14:textId="77777777" w:rsidR="00BD4D7C" w:rsidRPr="009E35ED" w:rsidRDefault="00BD4D7C" w:rsidP="00BD4D7C">
            <w:pPr>
              <w:shd w:val="clear" w:color="auto" w:fill="FFFFFF"/>
              <w:ind w:left="-6"/>
              <w:rPr>
                <w:rFonts w:ascii="Arial Narrow" w:hAnsi="Arial Narrow" w:cs="Arial"/>
                <w:color w:val="000000" w:themeColor="text1"/>
                <w:sz w:val="22"/>
                <w:szCs w:val="22"/>
              </w:rPr>
            </w:pPr>
            <w:r w:rsidRPr="009E35ED">
              <w:rPr>
                <w:rFonts w:ascii="Arial Narrow" w:hAnsi="Arial Narrow" w:cs="Arial"/>
                <w:color w:val="000000" w:themeColor="text1"/>
                <w:sz w:val="22"/>
                <w:szCs w:val="22"/>
              </w:rPr>
              <w:t xml:space="preserve">Court of Makati City, Branch 59, in Civil Case No. 11-310 are DECLARED VOID AND OF NO FORCE AND EFFECT; </w:t>
            </w:r>
          </w:p>
          <w:p w14:paraId="260EDF01" w14:textId="77777777" w:rsidR="00BD4D7C" w:rsidRPr="009E35ED" w:rsidRDefault="00BD4D7C" w:rsidP="00BD4D7C">
            <w:pPr>
              <w:shd w:val="clear" w:color="auto" w:fill="FFFFFF"/>
              <w:ind w:left="-6"/>
              <w:rPr>
                <w:rFonts w:ascii="Arial Narrow" w:hAnsi="Arial Narrow" w:cs="Arial"/>
                <w:color w:val="000000" w:themeColor="text1"/>
                <w:sz w:val="22"/>
                <w:szCs w:val="22"/>
              </w:rPr>
            </w:pPr>
          </w:p>
          <w:p w14:paraId="238DE71B" w14:textId="07BA50DB" w:rsidR="00BD4D7C" w:rsidRPr="009E35ED" w:rsidRDefault="00BD4D7C" w:rsidP="00BD4D7C">
            <w:pPr>
              <w:shd w:val="clear" w:color="auto" w:fill="FFFFFF"/>
              <w:ind w:left="-6"/>
              <w:rPr>
                <w:rFonts w:ascii="Arial Narrow" w:hAnsi="Arial Narrow" w:cs="Arial"/>
                <w:color w:val="000000" w:themeColor="text1"/>
                <w:sz w:val="22"/>
                <w:szCs w:val="22"/>
              </w:rPr>
            </w:pPr>
            <w:r w:rsidRPr="009E35ED">
              <w:rPr>
                <w:rFonts w:ascii="Arial Narrow" w:hAnsi="Arial Narrow" w:cs="Arial"/>
                <w:color w:val="000000" w:themeColor="text1"/>
                <w:sz w:val="22"/>
                <w:szCs w:val="22"/>
              </w:rPr>
              <w:t xml:space="preserve">(2) In G.R. No. 225457, the Petition for Review on Certiorari is GRANTED. The Court of Appeals' Decision dated February 4, 2016 and Resolution dated June 27, 2016 are REVERSED and SET ASIDE. The Orders dated June 11, 2014 and August 12, 2014 of the Regional Trial Court of Makati City, Branch 133 in Civil Case No. 11-310 are </w:t>
            </w:r>
            <w:r w:rsidR="0026699B" w:rsidRPr="009E35ED">
              <w:rPr>
                <w:rFonts w:ascii="Arial Narrow" w:hAnsi="Arial Narrow" w:cs="Arial"/>
                <w:color w:val="000000" w:themeColor="text1"/>
                <w:sz w:val="22"/>
                <w:szCs w:val="22"/>
              </w:rPr>
              <w:t>DECLARED VOID</w:t>
            </w:r>
            <w:r w:rsidRPr="009E35ED">
              <w:rPr>
                <w:rFonts w:ascii="Arial Narrow" w:hAnsi="Arial Narrow" w:cs="Arial"/>
                <w:color w:val="000000" w:themeColor="text1"/>
                <w:sz w:val="22"/>
                <w:szCs w:val="22"/>
              </w:rPr>
              <w:t xml:space="preserve"> AND OF NO FORCE AND EFFECT; and </w:t>
            </w:r>
          </w:p>
          <w:p w14:paraId="15E7C410" w14:textId="77777777" w:rsidR="00BD4D7C" w:rsidRPr="009E35ED" w:rsidRDefault="00BD4D7C" w:rsidP="00BD4D7C">
            <w:pPr>
              <w:shd w:val="clear" w:color="auto" w:fill="FFFFFF"/>
              <w:ind w:left="-6"/>
              <w:rPr>
                <w:rFonts w:ascii="Arial Narrow" w:hAnsi="Arial Narrow" w:cs="Arial"/>
                <w:color w:val="000000" w:themeColor="text1"/>
                <w:sz w:val="22"/>
                <w:szCs w:val="22"/>
              </w:rPr>
            </w:pPr>
          </w:p>
          <w:p w14:paraId="775957B3" w14:textId="77777777" w:rsidR="00BD4D7C" w:rsidRPr="009E35ED" w:rsidRDefault="00BD4D7C" w:rsidP="00BD4D7C">
            <w:pPr>
              <w:shd w:val="clear" w:color="auto" w:fill="FFFFFF"/>
              <w:ind w:left="-6"/>
              <w:rPr>
                <w:rFonts w:ascii="Arial Narrow" w:hAnsi="Arial Narrow" w:cs="Arial"/>
                <w:color w:val="000000" w:themeColor="text1"/>
                <w:sz w:val="22"/>
                <w:szCs w:val="22"/>
              </w:rPr>
            </w:pPr>
            <w:r w:rsidRPr="009E35ED">
              <w:rPr>
                <w:rFonts w:ascii="Arial Narrow" w:hAnsi="Arial Narrow" w:cs="Arial"/>
                <w:color w:val="000000" w:themeColor="text1"/>
                <w:sz w:val="22"/>
                <w:szCs w:val="22"/>
              </w:rPr>
              <w:t xml:space="preserve">(3) In G.R. No. 236888, the Petition for Certiorari is GRANTED. The Order dated January 18, 2018 of the Regional Trial Court of Makati City, Branch 66 in Civil Case No. 11-310 is ANNULLED and SET ASIDE. </w:t>
            </w:r>
          </w:p>
          <w:p w14:paraId="39866F94" w14:textId="77777777" w:rsidR="00BD4D7C" w:rsidRPr="009E35ED" w:rsidRDefault="00BD4D7C" w:rsidP="00BD4D7C">
            <w:pPr>
              <w:shd w:val="clear" w:color="auto" w:fill="FFFFFF"/>
              <w:ind w:left="-6"/>
              <w:rPr>
                <w:rFonts w:ascii="Arial Narrow" w:hAnsi="Arial Narrow" w:cs="Arial"/>
                <w:color w:val="000000" w:themeColor="text1"/>
                <w:sz w:val="22"/>
                <w:szCs w:val="22"/>
              </w:rPr>
            </w:pPr>
          </w:p>
          <w:p w14:paraId="75735CD9" w14:textId="0A9A4B7E" w:rsidR="00BD4D7C" w:rsidRPr="009E35ED" w:rsidRDefault="00BD4D7C" w:rsidP="00BD4D7C">
            <w:pPr>
              <w:shd w:val="clear" w:color="auto" w:fill="FFFFFF"/>
              <w:ind w:left="-6"/>
              <w:rPr>
                <w:rFonts w:ascii="Arial Narrow" w:hAnsi="Arial Narrow" w:cs="Arial"/>
                <w:color w:val="000000" w:themeColor="text1"/>
                <w:sz w:val="22"/>
                <w:szCs w:val="22"/>
              </w:rPr>
            </w:pPr>
            <w:r w:rsidRPr="009E35ED">
              <w:rPr>
                <w:rFonts w:ascii="Arial Narrow" w:hAnsi="Arial Narrow" w:cs="Arial"/>
                <w:color w:val="000000" w:themeColor="text1"/>
                <w:sz w:val="22"/>
                <w:szCs w:val="22"/>
              </w:rPr>
              <w:t xml:space="preserve">(4) TMA Group of Companies Pty Ltd. (now known as TMA Australia Pty Ltd.), and TMA Group Philippines, Inc., are ORDERED to RETURN the amount of </w:t>
            </w:r>
            <w:r w:rsidR="00F10767">
              <w:rPr>
                <w:rFonts w:ascii="Arial Narrow" w:hAnsi="Arial Narrow" w:cs="Arial"/>
                <w:color w:val="000000" w:themeColor="text1"/>
                <w:sz w:val="22"/>
                <w:szCs w:val="22"/>
              </w:rPr>
              <w:t>P</w:t>
            </w:r>
            <w:r w:rsidRPr="009E35ED">
              <w:rPr>
                <w:rFonts w:ascii="Arial Narrow" w:hAnsi="Arial Narrow" w:cs="Arial"/>
                <w:color w:val="000000" w:themeColor="text1"/>
                <w:sz w:val="22"/>
                <w:szCs w:val="22"/>
              </w:rPr>
              <w:t xml:space="preserve">707,223,555.44 representing the amount garnished under the Order </w:t>
            </w:r>
            <w:r w:rsidR="004B6ADA" w:rsidRPr="009E35ED">
              <w:rPr>
                <w:rFonts w:ascii="Arial Narrow" w:hAnsi="Arial Narrow" w:cs="Arial"/>
                <w:color w:val="000000" w:themeColor="text1"/>
                <w:sz w:val="22"/>
                <w:szCs w:val="22"/>
              </w:rPr>
              <w:t>dated January</w:t>
            </w:r>
            <w:r w:rsidRPr="009E35ED">
              <w:rPr>
                <w:rFonts w:ascii="Arial Narrow" w:hAnsi="Arial Narrow" w:cs="Arial"/>
                <w:color w:val="000000" w:themeColor="text1"/>
                <w:sz w:val="22"/>
                <w:szCs w:val="22"/>
              </w:rPr>
              <w:t xml:space="preserve"> 18, 2018 of the Regional Trial Court ofMakati City, Branch 66 in Civil Case No. 11-310. </w:t>
            </w:r>
          </w:p>
          <w:p w14:paraId="65BDFA19" w14:textId="77777777" w:rsidR="00BD4D7C" w:rsidRPr="009E35ED" w:rsidRDefault="00BD4D7C" w:rsidP="00BD4D7C">
            <w:pPr>
              <w:shd w:val="clear" w:color="auto" w:fill="FFFFFF"/>
              <w:ind w:left="-6"/>
              <w:rPr>
                <w:rFonts w:ascii="Arial Narrow" w:hAnsi="Arial Narrow" w:cs="Arial"/>
                <w:color w:val="000000" w:themeColor="text1"/>
                <w:sz w:val="22"/>
                <w:szCs w:val="22"/>
              </w:rPr>
            </w:pPr>
          </w:p>
          <w:p w14:paraId="4430884B" w14:textId="77777777" w:rsidR="00BD4D7C" w:rsidRPr="009E35ED" w:rsidRDefault="00BD4D7C" w:rsidP="00BD4D7C">
            <w:pPr>
              <w:shd w:val="clear" w:color="auto" w:fill="FFFFFF"/>
              <w:ind w:left="-6"/>
              <w:rPr>
                <w:rFonts w:ascii="Arial Narrow" w:hAnsi="Arial Narrow" w:cs="Arial"/>
                <w:color w:val="000000" w:themeColor="text1"/>
                <w:sz w:val="22"/>
                <w:szCs w:val="22"/>
              </w:rPr>
            </w:pPr>
            <w:r w:rsidRPr="009E35ED">
              <w:rPr>
                <w:rFonts w:ascii="Arial Narrow" w:hAnsi="Arial Narrow" w:cs="Arial"/>
                <w:color w:val="000000" w:themeColor="text1"/>
                <w:sz w:val="22"/>
                <w:szCs w:val="22"/>
              </w:rPr>
              <w:t xml:space="preserve">SO ORDERED. </w:t>
            </w:r>
          </w:p>
          <w:p w14:paraId="14E97EB7" w14:textId="77777777" w:rsidR="00BD4D7C" w:rsidRPr="009E35ED" w:rsidRDefault="00BD4D7C" w:rsidP="00BD4D7C">
            <w:pPr>
              <w:shd w:val="clear" w:color="auto" w:fill="FFFFFF"/>
              <w:ind w:left="-6"/>
              <w:rPr>
                <w:rFonts w:ascii="Arial Narrow" w:hAnsi="Arial Narrow" w:cs="Arial"/>
                <w:color w:val="000000" w:themeColor="text1"/>
                <w:sz w:val="22"/>
                <w:szCs w:val="22"/>
              </w:rPr>
            </w:pPr>
            <w:r w:rsidRPr="009E35ED">
              <w:rPr>
                <w:rFonts w:ascii="Arial Narrow" w:hAnsi="Arial Narrow" w:cs="Arial"/>
                <w:color w:val="000000" w:themeColor="text1"/>
                <w:sz w:val="22"/>
                <w:szCs w:val="22"/>
              </w:rPr>
              <w:t xml:space="preserve"> </w:t>
            </w:r>
          </w:p>
          <w:p w14:paraId="5CAEE14F" w14:textId="77777777" w:rsidR="00BD4D7C" w:rsidRPr="009E35ED" w:rsidRDefault="00BD4D7C" w:rsidP="00BD4D7C">
            <w:pPr>
              <w:shd w:val="clear" w:color="auto" w:fill="FFFFFF"/>
              <w:ind w:left="-6"/>
              <w:rPr>
                <w:rFonts w:ascii="Arial Narrow" w:hAnsi="Arial Narrow" w:cs="Arial"/>
                <w:color w:val="000000" w:themeColor="text1"/>
                <w:sz w:val="22"/>
                <w:szCs w:val="22"/>
              </w:rPr>
            </w:pPr>
            <w:r w:rsidRPr="009E35ED">
              <w:rPr>
                <w:rFonts w:ascii="Arial Narrow" w:hAnsi="Arial Narrow" w:cs="Arial"/>
                <w:color w:val="000000" w:themeColor="text1"/>
                <w:sz w:val="22"/>
                <w:szCs w:val="22"/>
              </w:rPr>
              <w:t>SC issued an Entry of Judgment dated 26 February 2021</w:t>
            </w:r>
          </w:p>
        </w:tc>
      </w:tr>
      <w:tr w:rsidR="00997F75" w:rsidRPr="009E35ED" w14:paraId="7A663C91" w14:textId="77777777" w:rsidTr="00AF7FD6">
        <w:tc>
          <w:tcPr>
            <w:tcW w:w="1187" w:type="pct"/>
            <w:vMerge w:val="restart"/>
            <w:shd w:val="clear" w:color="auto" w:fill="auto"/>
          </w:tcPr>
          <w:p w14:paraId="60AA5604" w14:textId="77777777" w:rsidR="00BD4D7C" w:rsidRPr="009E35ED" w:rsidRDefault="00BD4D7C" w:rsidP="00BD4D7C">
            <w:pPr>
              <w:ind w:left="29"/>
              <w:jc w:val="center"/>
              <w:rPr>
                <w:rFonts w:ascii="Arial Narrow" w:hAnsi="Arial Narrow" w:cs="Arial"/>
                <w:b/>
                <w:color w:val="000000" w:themeColor="text1"/>
                <w:sz w:val="22"/>
                <w:szCs w:val="22"/>
              </w:rPr>
            </w:pPr>
          </w:p>
        </w:tc>
        <w:tc>
          <w:tcPr>
            <w:tcW w:w="1145" w:type="pct"/>
            <w:shd w:val="clear" w:color="auto" w:fill="auto"/>
          </w:tcPr>
          <w:p w14:paraId="01B2B4D1" w14:textId="77777777" w:rsidR="00BD4D7C" w:rsidRPr="009E35ED" w:rsidRDefault="00BD4D7C" w:rsidP="00BD4D7C">
            <w:pPr>
              <w:ind w:left="0"/>
              <w:rPr>
                <w:rFonts w:ascii="Arial Narrow" w:hAnsi="Arial Narrow" w:cs="Arial"/>
                <w:color w:val="000000" w:themeColor="text1"/>
                <w:sz w:val="22"/>
                <w:szCs w:val="22"/>
              </w:rPr>
            </w:pPr>
            <w:r w:rsidRPr="009E35ED">
              <w:rPr>
                <w:rFonts w:ascii="Arial Narrow" w:hAnsi="Arial Narrow" w:cs="Arial"/>
                <w:color w:val="000000" w:themeColor="text1"/>
                <w:sz w:val="22"/>
                <w:szCs w:val="22"/>
              </w:rPr>
              <w:t>(5) Verified Complaint against Judge Villarosa</w:t>
            </w:r>
          </w:p>
          <w:p w14:paraId="3FCF75D7" w14:textId="77777777" w:rsidR="00BD4D7C" w:rsidRPr="009E35ED" w:rsidRDefault="00BD4D7C" w:rsidP="00BD4D7C">
            <w:pPr>
              <w:ind w:left="0"/>
              <w:rPr>
                <w:rFonts w:ascii="Arial Narrow" w:hAnsi="Arial Narrow" w:cs="Arial"/>
                <w:color w:val="000000" w:themeColor="text1"/>
                <w:sz w:val="22"/>
                <w:szCs w:val="22"/>
              </w:rPr>
            </w:pPr>
            <w:r w:rsidRPr="009E35ED">
              <w:rPr>
                <w:rFonts w:ascii="Arial Narrow" w:hAnsi="Arial Narrow" w:cs="Arial"/>
                <w:color w:val="000000" w:themeColor="text1"/>
                <w:sz w:val="22"/>
                <w:szCs w:val="22"/>
              </w:rPr>
              <w:t>Supplemental Complaint</w:t>
            </w:r>
          </w:p>
        </w:tc>
        <w:tc>
          <w:tcPr>
            <w:tcW w:w="885" w:type="pct"/>
            <w:shd w:val="clear" w:color="auto" w:fill="auto"/>
          </w:tcPr>
          <w:p w14:paraId="14E890A1" w14:textId="77777777" w:rsidR="00BD4D7C" w:rsidRPr="009E35ED" w:rsidRDefault="00BD4D7C" w:rsidP="00BD4D7C">
            <w:pPr>
              <w:ind w:left="0"/>
              <w:rPr>
                <w:rFonts w:ascii="Arial Narrow" w:hAnsi="Arial Narrow" w:cs="Arial"/>
                <w:color w:val="000000" w:themeColor="text1"/>
                <w:sz w:val="22"/>
                <w:szCs w:val="22"/>
              </w:rPr>
            </w:pPr>
            <w:r w:rsidRPr="009E35ED">
              <w:rPr>
                <w:rFonts w:ascii="Arial Narrow" w:hAnsi="Arial Narrow" w:cs="Arial"/>
                <w:color w:val="000000" w:themeColor="text1"/>
                <w:sz w:val="22"/>
                <w:szCs w:val="22"/>
              </w:rPr>
              <w:t>Admin before the JIB</w:t>
            </w:r>
          </w:p>
        </w:tc>
        <w:tc>
          <w:tcPr>
            <w:tcW w:w="1783" w:type="pct"/>
            <w:shd w:val="clear" w:color="auto" w:fill="auto"/>
          </w:tcPr>
          <w:p w14:paraId="39011A99" w14:textId="77777777" w:rsidR="00BD4D7C" w:rsidRPr="009E35ED" w:rsidRDefault="00BD4D7C" w:rsidP="00BD4D7C">
            <w:pPr>
              <w:ind w:left="-6"/>
              <w:rPr>
                <w:rFonts w:ascii="Arial Narrow" w:hAnsi="Arial Narrow" w:cs="Arial"/>
                <w:color w:val="000000" w:themeColor="text1"/>
                <w:sz w:val="22"/>
                <w:szCs w:val="22"/>
              </w:rPr>
            </w:pPr>
            <w:r w:rsidRPr="009E35ED">
              <w:rPr>
                <w:rFonts w:ascii="Arial Narrow" w:hAnsi="Arial Narrow" w:cs="Arial"/>
                <w:color w:val="000000" w:themeColor="text1"/>
                <w:sz w:val="22"/>
                <w:szCs w:val="22"/>
              </w:rPr>
              <w:t>Judge Villarosa was required to submit Comment on the Verified Complaint</w:t>
            </w:r>
          </w:p>
        </w:tc>
      </w:tr>
      <w:tr w:rsidR="00997F75" w:rsidRPr="009E35ED" w14:paraId="3FD36398" w14:textId="77777777" w:rsidTr="00AF7FD6">
        <w:tc>
          <w:tcPr>
            <w:tcW w:w="1187" w:type="pct"/>
            <w:vMerge/>
            <w:shd w:val="clear" w:color="auto" w:fill="auto"/>
          </w:tcPr>
          <w:p w14:paraId="3F2E707A" w14:textId="77777777" w:rsidR="00BD4D7C" w:rsidRPr="009E35ED" w:rsidRDefault="00BD4D7C" w:rsidP="00BD4D7C">
            <w:pPr>
              <w:ind w:left="29"/>
              <w:jc w:val="center"/>
              <w:rPr>
                <w:rFonts w:ascii="Arial Narrow" w:hAnsi="Arial Narrow" w:cs="Arial"/>
                <w:b/>
                <w:color w:val="000000" w:themeColor="text1"/>
                <w:sz w:val="22"/>
                <w:szCs w:val="22"/>
              </w:rPr>
            </w:pPr>
          </w:p>
        </w:tc>
        <w:tc>
          <w:tcPr>
            <w:tcW w:w="1145" w:type="pct"/>
            <w:shd w:val="clear" w:color="auto" w:fill="auto"/>
          </w:tcPr>
          <w:p w14:paraId="739DBE13" w14:textId="77777777" w:rsidR="00BD4D7C" w:rsidRPr="009E35ED" w:rsidRDefault="00BD4D7C" w:rsidP="00BD4D7C">
            <w:pPr>
              <w:ind w:left="0"/>
              <w:rPr>
                <w:rFonts w:ascii="Arial Narrow" w:hAnsi="Arial Narrow" w:cs="Arial"/>
                <w:color w:val="000000" w:themeColor="text1"/>
                <w:sz w:val="22"/>
                <w:szCs w:val="22"/>
              </w:rPr>
            </w:pPr>
            <w:r w:rsidRPr="009E35ED">
              <w:rPr>
                <w:rFonts w:ascii="Arial Narrow" w:hAnsi="Arial Narrow" w:cs="Arial"/>
                <w:color w:val="000000" w:themeColor="text1"/>
                <w:sz w:val="22"/>
                <w:szCs w:val="22"/>
              </w:rPr>
              <w:t>(6) TMA Australia Pty Ltd. &amp; TMA Group Philippines, Inc, v. Philippine Charity Sweepstakes Office</w:t>
            </w:r>
          </w:p>
          <w:p w14:paraId="0591E33B" w14:textId="77777777" w:rsidR="00BD4D7C" w:rsidRPr="009E35ED" w:rsidRDefault="00BD4D7C" w:rsidP="00BD4D7C">
            <w:pPr>
              <w:ind w:left="0"/>
              <w:rPr>
                <w:rFonts w:ascii="Arial Narrow" w:hAnsi="Arial Narrow" w:cs="Arial"/>
                <w:color w:val="000000" w:themeColor="text1"/>
                <w:sz w:val="22"/>
                <w:szCs w:val="22"/>
              </w:rPr>
            </w:pPr>
            <w:r w:rsidRPr="009E35ED">
              <w:rPr>
                <w:rFonts w:ascii="Arial Narrow" w:hAnsi="Arial Narrow" w:cs="Arial"/>
                <w:color w:val="000000" w:themeColor="text1"/>
                <w:sz w:val="22"/>
                <w:szCs w:val="22"/>
              </w:rPr>
              <w:t>R-MKT-19-02461-SC</w:t>
            </w:r>
          </w:p>
        </w:tc>
        <w:tc>
          <w:tcPr>
            <w:tcW w:w="885" w:type="pct"/>
            <w:shd w:val="clear" w:color="auto" w:fill="auto"/>
          </w:tcPr>
          <w:p w14:paraId="48C6F984" w14:textId="77777777" w:rsidR="00BD4D7C" w:rsidRPr="009E35ED" w:rsidRDefault="00BD4D7C" w:rsidP="00BD4D7C">
            <w:pPr>
              <w:ind w:left="0"/>
              <w:rPr>
                <w:rFonts w:ascii="Arial Narrow" w:hAnsi="Arial Narrow" w:cs="Arial"/>
                <w:color w:val="000000" w:themeColor="text1"/>
                <w:sz w:val="22"/>
                <w:szCs w:val="22"/>
              </w:rPr>
            </w:pPr>
            <w:r w:rsidRPr="009E35ED">
              <w:rPr>
                <w:rFonts w:ascii="Arial Narrow" w:hAnsi="Arial Narrow" w:cs="Arial"/>
                <w:color w:val="000000" w:themeColor="text1"/>
                <w:sz w:val="22"/>
                <w:szCs w:val="22"/>
              </w:rPr>
              <w:t>Indirect Contempt</w:t>
            </w:r>
          </w:p>
        </w:tc>
        <w:tc>
          <w:tcPr>
            <w:tcW w:w="1783" w:type="pct"/>
            <w:shd w:val="clear" w:color="auto" w:fill="auto"/>
          </w:tcPr>
          <w:p w14:paraId="145F27CE" w14:textId="77777777" w:rsidR="00BD4D7C" w:rsidRPr="009E35ED" w:rsidRDefault="00BD4D7C" w:rsidP="00BD4D7C">
            <w:pPr>
              <w:ind w:left="-6"/>
              <w:rPr>
                <w:rFonts w:ascii="Arial Narrow" w:hAnsi="Arial Narrow" w:cs="Arial"/>
                <w:color w:val="000000" w:themeColor="text1"/>
                <w:sz w:val="22"/>
                <w:szCs w:val="22"/>
              </w:rPr>
            </w:pPr>
            <w:r w:rsidRPr="009E35ED">
              <w:rPr>
                <w:rFonts w:ascii="Arial Narrow" w:hAnsi="Arial Narrow" w:cs="Arial"/>
                <w:color w:val="000000" w:themeColor="text1"/>
                <w:sz w:val="22"/>
                <w:szCs w:val="22"/>
              </w:rPr>
              <w:t xml:space="preserve">Comment/Opposition filed on 8 August 2019 </w:t>
            </w:r>
          </w:p>
          <w:p w14:paraId="0441A262" w14:textId="77777777" w:rsidR="00057801" w:rsidRPr="009E35ED" w:rsidRDefault="00057801" w:rsidP="00BD4D7C">
            <w:pPr>
              <w:ind w:left="-6"/>
              <w:rPr>
                <w:rFonts w:ascii="Arial Narrow" w:hAnsi="Arial Narrow" w:cs="Arial"/>
                <w:color w:val="000000" w:themeColor="text1"/>
                <w:sz w:val="22"/>
                <w:szCs w:val="22"/>
              </w:rPr>
            </w:pPr>
          </w:p>
          <w:p w14:paraId="2186BE10" w14:textId="2E45A660" w:rsidR="00BD4D7C" w:rsidRPr="009E35ED" w:rsidRDefault="00D15689" w:rsidP="00BD4D7C">
            <w:pPr>
              <w:ind w:left="-6"/>
              <w:rPr>
                <w:rFonts w:ascii="Arial Narrow" w:hAnsi="Arial Narrow" w:cs="Arial"/>
                <w:color w:val="000000" w:themeColor="text1"/>
                <w:sz w:val="22"/>
                <w:szCs w:val="22"/>
              </w:rPr>
            </w:pPr>
            <w:r>
              <w:rPr>
                <w:rFonts w:ascii="Arial Narrow" w:hAnsi="Arial Narrow" w:cs="Arial"/>
                <w:color w:val="000000" w:themeColor="text1"/>
                <w:sz w:val="22"/>
                <w:szCs w:val="22"/>
              </w:rPr>
              <w:t xml:space="preserve">The </w:t>
            </w:r>
            <w:r w:rsidR="00BD4D7C" w:rsidRPr="009E35ED">
              <w:rPr>
                <w:rFonts w:ascii="Arial Narrow" w:hAnsi="Arial Narrow" w:cs="Arial"/>
                <w:color w:val="000000" w:themeColor="text1"/>
                <w:sz w:val="22"/>
                <w:szCs w:val="22"/>
              </w:rPr>
              <w:t>TMA filed Request for Admission of Documents</w:t>
            </w:r>
          </w:p>
          <w:p w14:paraId="2EB47B7E" w14:textId="77777777" w:rsidR="00057801" w:rsidRPr="009E35ED" w:rsidRDefault="00057801" w:rsidP="00BD4D7C">
            <w:pPr>
              <w:ind w:left="-6"/>
              <w:rPr>
                <w:rFonts w:ascii="Arial Narrow" w:hAnsi="Arial Narrow" w:cs="Arial"/>
                <w:color w:val="000000" w:themeColor="text1"/>
                <w:sz w:val="22"/>
                <w:szCs w:val="22"/>
              </w:rPr>
            </w:pPr>
          </w:p>
          <w:p w14:paraId="49363671" w14:textId="0C201898" w:rsidR="00BD4D7C" w:rsidRPr="009E35ED" w:rsidRDefault="00D15689">
            <w:pPr>
              <w:ind w:left="-6"/>
              <w:rPr>
                <w:rFonts w:ascii="Arial Narrow" w:hAnsi="Arial Narrow" w:cs="Arial"/>
                <w:color w:val="000000" w:themeColor="text1"/>
                <w:sz w:val="22"/>
                <w:szCs w:val="22"/>
              </w:rPr>
            </w:pPr>
            <w:r>
              <w:rPr>
                <w:rFonts w:ascii="Arial Narrow" w:hAnsi="Arial Narrow" w:cs="Arial"/>
                <w:color w:val="000000" w:themeColor="text1"/>
                <w:sz w:val="22"/>
                <w:szCs w:val="22"/>
              </w:rPr>
              <w:t xml:space="preserve">The </w:t>
            </w:r>
            <w:r w:rsidR="00BD4D7C" w:rsidRPr="009E35ED">
              <w:rPr>
                <w:rFonts w:ascii="Arial Narrow" w:hAnsi="Arial Narrow" w:cs="Arial"/>
                <w:color w:val="000000" w:themeColor="text1"/>
                <w:sz w:val="22"/>
                <w:szCs w:val="22"/>
              </w:rPr>
              <w:t xml:space="preserve">PCSO filed a Manifestation before the court of the 28 August 2019 </w:t>
            </w:r>
            <w:r>
              <w:rPr>
                <w:rFonts w:ascii="Arial Narrow" w:hAnsi="Arial Narrow" w:cs="Arial"/>
                <w:color w:val="000000" w:themeColor="text1"/>
                <w:sz w:val="22"/>
                <w:szCs w:val="22"/>
              </w:rPr>
              <w:t>SC</w:t>
            </w:r>
            <w:r w:rsidR="00BD4D7C" w:rsidRPr="009E35ED">
              <w:rPr>
                <w:rFonts w:ascii="Arial Narrow" w:hAnsi="Arial Narrow" w:cs="Arial"/>
                <w:color w:val="000000" w:themeColor="text1"/>
                <w:sz w:val="22"/>
                <w:szCs w:val="22"/>
              </w:rPr>
              <w:t xml:space="preserve"> Decision </w:t>
            </w:r>
          </w:p>
        </w:tc>
      </w:tr>
      <w:tr w:rsidR="00997F75" w:rsidRPr="009E35ED" w14:paraId="27F44DB8" w14:textId="77777777" w:rsidTr="00AF7FD6">
        <w:tc>
          <w:tcPr>
            <w:tcW w:w="1187" w:type="pct"/>
            <w:vMerge/>
            <w:shd w:val="clear" w:color="auto" w:fill="auto"/>
          </w:tcPr>
          <w:p w14:paraId="2BA09031" w14:textId="77777777" w:rsidR="00BD4D7C" w:rsidRPr="009E35ED" w:rsidRDefault="00BD4D7C" w:rsidP="00BD4D7C">
            <w:pPr>
              <w:ind w:left="29"/>
              <w:jc w:val="center"/>
              <w:rPr>
                <w:rFonts w:ascii="Arial Narrow" w:hAnsi="Arial Narrow" w:cs="Arial"/>
                <w:b/>
                <w:color w:val="000000" w:themeColor="text1"/>
                <w:sz w:val="22"/>
                <w:szCs w:val="22"/>
              </w:rPr>
            </w:pPr>
          </w:p>
        </w:tc>
        <w:tc>
          <w:tcPr>
            <w:tcW w:w="1145" w:type="pct"/>
            <w:shd w:val="clear" w:color="auto" w:fill="auto"/>
          </w:tcPr>
          <w:p w14:paraId="49C876B3" w14:textId="77777777" w:rsidR="00BD4D7C" w:rsidRPr="009E35ED" w:rsidRDefault="00BD4D7C" w:rsidP="00BD4D7C">
            <w:pPr>
              <w:ind w:left="0"/>
              <w:rPr>
                <w:rFonts w:ascii="Arial Narrow" w:hAnsi="Arial Narrow" w:cs="Arial"/>
                <w:color w:val="000000" w:themeColor="text1"/>
                <w:sz w:val="22"/>
                <w:szCs w:val="22"/>
              </w:rPr>
            </w:pPr>
            <w:r w:rsidRPr="009E35ED">
              <w:rPr>
                <w:rFonts w:ascii="Arial Narrow" w:hAnsi="Arial Narrow" w:cs="Arial"/>
                <w:color w:val="000000" w:themeColor="text1"/>
                <w:sz w:val="22"/>
                <w:szCs w:val="22"/>
              </w:rPr>
              <w:t>(7) Verified Complaint against Judge Winlove Dumayas</w:t>
            </w:r>
          </w:p>
        </w:tc>
        <w:tc>
          <w:tcPr>
            <w:tcW w:w="885" w:type="pct"/>
            <w:shd w:val="clear" w:color="auto" w:fill="auto"/>
          </w:tcPr>
          <w:p w14:paraId="2A7E9522" w14:textId="77777777" w:rsidR="00BD4D7C" w:rsidRPr="009E35ED" w:rsidRDefault="00BD4D7C" w:rsidP="00BD4D7C">
            <w:pPr>
              <w:ind w:left="0"/>
              <w:rPr>
                <w:rFonts w:ascii="Arial Narrow" w:hAnsi="Arial Narrow" w:cs="Arial"/>
                <w:color w:val="000000" w:themeColor="text1"/>
                <w:sz w:val="22"/>
                <w:szCs w:val="22"/>
              </w:rPr>
            </w:pPr>
            <w:r w:rsidRPr="009E35ED">
              <w:rPr>
                <w:rFonts w:ascii="Arial Narrow" w:hAnsi="Arial Narrow" w:cs="Arial"/>
                <w:color w:val="000000" w:themeColor="text1"/>
                <w:sz w:val="22"/>
                <w:szCs w:val="22"/>
              </w:rPr>
              <w:t>Admin before the OCA</w:t>
            </w:r>
          </w:p>
        </w:tc>
        <w:tc>
          <w:tcPr>
            <w:tcW w:w="1783" w:type="pct"/>
            <w:shd w:val="clear" w:color="auto" w:fill="auto"/>
          </w:tcPr>
          <w:p w14:paraId="552C069A" w14:textId="77777777" w:rsidR="00BD4D7C" w:rsidRPr="009E35ED" w:rsidRDefault="00BD4D7C" w:rsidP="00BD4D7C">
            <w:pPr>
              <w:ind w:left="-6"/>
              <w:rPr>
                <w:rFonts w:ascii="Arial Narrow" w:hAnsi="Arial Narrow" w:cs="Arial"/>
                <w:color w:val="000000" w:themeColor="text1"/>
                <w:sz w:val="22"/>
                <w:szCs w:val="22"/>
              </w:rPr>
            </w:pPr>
            <w:r w:rsidRPr="009E35ED">
              <w:rPr>
                <w:rFonts w:ascii="Arial Narrow" w:hAnsi="Arial Narrow" w:cs="Arial"/>
                <w:color w:val="000000" w:themeColor="text1"/>
                <w:sz w:val="22"/>
                <w:szCs w:val="22"/>
              </w:rPr>
              <w:t>Pending before the OCA</w:t>
            </w:r>
          </w:p>
          <w:p w14:paraId="15062634" w14:textId="77777777" w:rsidR="00BD4D7C" w:rsidRPr="009E35ED" w:rsidRDefault="00BD4D7C" w:rsidP="00BD4D7C">
            <w:pPr>
              <w:ind w:left="-6"/>
              <w:rPr>
                <w:rFonts w:ascii="Arial Narrow" w:hAnsi="Arial Narrow" w:cs="Arial"/>
                <w:color w:val="000000" w:themeColor="text1"/>
                <w:sz w:val="22"/>
                <w:szCs w:val="22"/>
              </w:rPr>
            </w:pPr>
          </w:p>
        </w:tc>
      </w:tr>
      <w:tr w:rsidR="00997F75" w:rsidRPr="009E35ED" w14:paraId="6FC01980" w14:textId="77777777" w:rsidTr="00AF7FD6">
        <w:tc>
          <w:tcPr>
            <w:tcW w:w="1187" w:type="pct"/>
            <w:vMerge/>
            <w:shd w:val="clear" w:color="auto" w:fill="auto"/>
          </w:tcPr>
          <w:p w14:paraId="6256417E" w14:textId="77777777" w:rsidR="00BD4D7C" w:rsidRPr="009E35ED" w:rsidRDefault="00BD4D7C" w:rsidP="00BD4D7C">
            <w:pPr>
              <w:ind w:left="29"/>
              <w:jc w:val="center"/>
              <w:rPr>
                <w:rFonts w:ascii="Arial Narrow" w:hAnsi="Arial Narrow" w:cs="Arial"/>
                <w:b/>
                <w:color w:val="000000" w:themeColor="text1"/>
                <w:sz w:val="22"/>
                <w:szCs w:val="22"/>
              </w:rPr>
            </w:pPr>
          </w:p>
        </w:tc>
        <w:tc>
          <w:tcPr>
            <w:tcW w:w="1145" w:type="pct"/>
            <w:shd w:val="clear" w:color="auto" w:fill="auto"/>
          </w:tcPr>
          <w:p w14:paraId="221B5AB6" w14:textId="77777777" w:rsidR="00BD4D7C" w:rsidRPr="009E35ED" w:rsidRDefault="00BD4D7C" w:rsidP="00BD4D7C">
            <w:pPr>
              <w:ind w:left="0"/>
              <w:rPr>
                <w:rFonts w:ascii="Arial Narrow" w:hAnsi="Arial Narrow" w:cs="Arial"/>
                <w:color w:val="000000" w:themeColor="text1"/>
                <w:sz w:val="22"/>
                <w:szCs w:val="22"/>
              </w:rPr>
            </w:pPr>
            <w:r w:rsidRPr="009E35ED">
              <w:rPr>
                <w:rFonts w:ascii="Arial Narrow" w:hAnsi="Arial Narrow" w:cs="Arial"/>
                <w:color w:val="000000" w:themeColor="text1"/>
                <w:sz w:val="22"/>
                <w:szCs w:val="22"/>
              </w:rPr>
              <w:t xml:space="preserve">(8) TMA Group of Companies Pty. Ltd. (Now Known as TMA Australia Pty. Ltd.) and TMA Group Philippines, Inc., </w:t>
            </w:r>
            <w:r w:rsidRPr="009E35ED">
              <w:rPr>
                <w:rFonts w:ascii="Arial Narrow" w:hAnsi="Arial Narrow" w:cs="Arial"/>
                <w:i/>
                <w:color w:val="000000" w:themeColor="text1"/>
                <w:sz w:val="22"/>
                <w:szCs w:val="22"/>
              </w:rPr>
              <w:t>Plaintiffs-Appellees</w:t>
            </w:r>
            <w:r w:rsidRPr="009E35ED">
              <w:rPr>
                <w:rFonts w:ascii="Arial Narrow" w:hAnsi="Arial Narrow" w:cs="Arial"/>
                <w:color w:val="000000" w:themeColor="text1"/>
                <w:sz w:val="22"/>
                <w:szCs w:val="22"/>
              </w:rPr>
              <w:t xml:space="preserve"> vs. Philippine Chairty Sweepstakes Office, Margarita P. Juico, Ma. Aleta Tolentino, Mabel V. Mamba, Francisco G. Joaquin III, Betty B. Nantes, and Jose Ferdinand M. Rojas II </w:t>
            </w:r>
          </w:p>
          <w:p w14:paraId="0E73CD17" w14:textId="77777777" w:rsidR="00BD4D7C" w:rsidRPr="009E35ED" w:rsidRDefault="00BD4D7C" w:rsidP="00BD4D7C">
            <w:pPr>
              <w:ind w:left="0"/>
              <w:rPr>
                <w:rFonts w:ascii="Arial Narrow" w:hAnsi="Arial Narrow" w:cs="Arial"/>
                <w:color w:val="000000" w:themeColor="text1"/>
                <w:sz w:val="22"/>
                <w:szCs w:val="22"/>
              </w:rPr>
            </w:pPr>
            <w:r w:rsidRPr="009E35ED">
              <w:rPr>
                <w:rFonts w:ascii="Arial Narrow" w:hAnsi="Arial Narrow" w:cs="Arial"/>
                <w:color w:val="000000" w:themeColor="text1"/>
                <w:sz w:val="22"/>
                <w:szCs w:val="22"/>
              </w:rPr>
              <w:t>CA-G.R. CV No. 112683</w:t>
            </w:r>
          </w:p>
        </w:tc>
        <w:tc>
          <w:tcPr>
            <w:tcW w:w="885" w:type="pct"/>
            <w:shd w:val="clear" w:color="auto" w:fill="auto"/>
          </w:tcPr>
          <w:p w14:paraId="0B8F9E16" w14:textId="77777777" w:rsidR="00BD4D7C" w:rsidRPr="009E35ED" w:rsidRDefault="00BD4D7C" w:rsidP="00BD4D7C">
            <w:pPr>
              <w:ind w:left="0"/>
              <w:rPr>
                <w:rFonts w:ascii="Arial Narrow" w:hAnsi="Arial Narrow" w:cs="Arial"/>
                <w:color w:val="000000" w:themeColor="text1"/>
                <w:sz w:val="22"/>
                <w:szCs w:val="22"/>
              </w:rPr>
            </w:pPr>
            <w:r w:rsidRPr="009E35ED">
              <w:rPr>
                <w:rFonts w:ascii="Arial Narrow" w:hAnsi="Arial Narrow" w:cs="Arial"/>
                <w:color w:val="000000" w:themeColor="text1"/>
                <w:sz w:val="22"/>
                <w:szCs w:val="22"/>
              </w:rPr>
              <w:t>Appeal</w:t>
            </w:r>
          </w:p>
        </w:tc>
        <w:tc>
          <w:tcPr>
            <w:tcW w:w="1783" w:type="pct"/>
            <w:shd w:val="clear" w:color="auto" w:fill="auto"/>
          </w:tcPr>
          <w:p w14:paraId="1FB06459" w14:textId="3A4D3C4C" w:rsidR="00BD4D7C" w:rsidRPr="009E35ED" w:rsidRDefault="00D15689" w:rsidP="00BD4D7C">
            <w:pPr>
              <w:ind w:left="-6"/>
              <w:rPr>
                <w:rFonts w:ascii="Arial Narrow" w:hAnsi="Arial Narrow" w:cs="Arial"/>
                <w:color w:val="000000" w:themeColor="text1"/>
                <w:sz w:val="22"/>
                <w:szCs w:val="22"/>
              </w:rPr>
            </w:pPr>
            <w:r>
              <w:rPr>
                <w:rFonts w:ascii="Arial Narrow" w:hAnsi="Arial Narrow" w:cs="Arial"/>
                <w:color w:val="000000" w:themeColor="text1"/>
                <w:sz w:val="22"/>
                <w:szCs w:val="22"/>
              </w:rPr>
              <w:t xml:space="preserve">The </w:t>
            </w:r>
            <w:r w:rsidR="00BD4D7C" w:rsidRPr="009E35ED">
              <w:rPr>
                <w:rFonts w:ascii="Arial Narrow" w:hAnsi="Arial Narrow" w:cs="Arial"/>
                <w:color w:val="000000" w:themeColor="text1"/>
                <w:sz w:val="22"/>
                <w:szCs w:val="22"/>
              </w:rPr>
              <w:t>PCSO has submitted its Appellant’s Brief dated 1 August 2019.</w:t>
            </w:r>
          </w:p>
          <w:p w14:paraId="56C94A8E" w14:textId="77777777" w:rsidR="00057801" w:rsidRPr="009E35ED" w:rsidRDefault="00057801" w:rsidP="00BD4D7C">
            <w:pPr>
              <w:ind w:left="-6"/>
              <w:rPr>
                <w:rFonts w:ascii="Arial Narrow" w:hAnsi="Arial Narrow" w:cs="Arial"/>
                <w:color w:val="000000" w:themeColor="text1"/>
                <w:sz w:val="22"/>
                <w:szCs w:val="22"/>
              </w:rPr>
            </w:pPr>
          </w:p>
          <w:p w14:paraId="4D066034" w14:textId="5F4E81C5" w:rsidR="00BD4D7C" w:rsidRPr="009E35ED" w:rsidRDefault="00D15689" w:rsidP="00BD4D7C">
            <w:pPr>
              <w:ind w:left="-6"/>
              <w:rPr>
                <w:rFonts w:ascii="Arial Narrow" w:hAnsi="Arial Narrow" w:cs="Arial"/>
                <w:color w:val="000000" w:themeColor="text1"/>
                <w:sz w:val="22"/>
                <w:szCs w:val="22"/>
              </w:rPr>
            </w:pPr>
            <w:r>
              <w:rPr>
                <w:rFonts w:ascii="Arial Narrow" w:hAnsi="Arial Narrow" w:cs="Arial"/>
                <w:color w:val="000000" w:themeColor="text1"/>
                <w:sz w:val="22"/>
                <w:szCs w:val="22"/>
              </w:rPr>
              <w:t xml:space="preserve">The </w:t>
            </w:r>
            <w:r w:rsidR="00BD4D7C" w:rsidRPr="009E35ED">
              <w:rPr>
                <w:rFonts w:ascii="Arial Narrow" w:hAnsi="Arial Narrow" w:cs="Arial"/>
                <w:color w:val="000000" w:themeColor="text1"/>
                <w:sz w:val="22"/>
                <w:szCs w:val="22"/>
              </w:rPr>
              <w:t>TMA submitted Consolidated Appellees’ Brief</w:t>
            </w:r>
          </w:p>
          <w:p w14:paraId="08A59BBD" w14:textId="77777777" w:rsidR="00BD4D7C" w:rsidRPr="009E35ED" w:rsidRDefault="00BD4D7C" w:rsidP="00BD4D7C">
            <w:pPr>
              <w:ind w:left="-6"/>
              <w:rPr>
                <w:rFonts w:ascii="Arial Narrow" w:hAnsi="Arial Narrow" w:cs="Arial"/>
                <w:color w:val="000000" w:themeColor="text1"/>
                <w:sz w:val="22"/>
                <w:szCs w:val="22"/>
              </w:rPr>
            </w:pPr>
          </w:p>
          <w:p w14:paraId="545443E7" w14:textId="77777777" w:rsidR="00BD4D7C" w:rsidRPr="009E35ED" w:rsidRDefault="00BD4D7C" w:rsidP="00BD4D7C">
            <w:pPr>
              <w:ind w:left="-6"/>
              <w:rPr>
                <w:rFonts w:ascii="Arial Narrow" w:hAnsi="Arial Narrow" w:cs="Arial"/>
                <w:color w:val="000000" w:themeColor="text1"/>
                <w:sz w:val="22"/>
                <w:szCs w:val="22"/>
              </w:rPr>
            </w:pPr>
            <w:r w:rsidRPr="009E35ED">
              <w:rPr>
                <w:rFonts w:ascii="Arial Narrow" w:hAnsi="Arial Narrow" w:cs="Arial"/>
                <w:color w:val="000000" w:themeColor="text1"/>
                <w:sz w:val="22"/>
                <w:szCs w:val="22"/>
              </w:rPr>
              <w:t>Pending resolution.</w:t>
            </w:r>
          </w:p>
          <w:p w14:paraId="3FBDCF22" w14:textId="77777777" w:rsidR="00BD4D7C" w:rsidRPr="009E35ED" w:rsidRDefault="00BD4D7C" w:rsidP="00BD4D7C">
            <w:pPr>
              <w:ind w:left="-6"/>
              <w:rPr>
                <w:rFonts w:ascii="Arial Narrow" w:hAnsi="Arial Narrow" w:cs="Arial"/>
                <w:color w:val="000000" w:themeColor="text1"/>
                <w:sz w:val="22"/>
                <w:szCs w:val="22"/>
              </w:rPr>
            </w:pPr>
            <w:r w:rsidRPr="009E35ED">
              <w:rPr>
                <w:rFonts w:ascii="Arial Narrow" w:hAnsi="Arial Narrow" w:cs="Arial"/>
                <w:color w:val="000000" w:themeColor="text1"/>
                <w:sz w:val="22"/>
                <w:szCs w:val="22"/>
              </w:rPr>
              <w:t xml:space="preserve"> </w:t>
            </w:r>
          </w:p>
        </w:tc>
      </w:tr>
      <w:tr w:rsidR="00997F75" w:rsidRPr="009E35ED" w14:paraId="5D1BA6D3" w14:textId="77777777" w:rsidTr="00AF7FD6">
        <w:tc>
          <w:tcPr>
            <w:tcW w:w="1187" w:type="pct"/>
            <w:vMerge w:val="restart"/>
            <w:shd w:val="clear" w:color="auto" w:fill="auto"/>
          </w:tcPr>
          <w:p w14:paraId="379F2EA6" w14:textId="77777777" w:rsidR="00BD4D7C" w:rsidRPr="009E35ED" w:rsidRDefault="00BD4D7C" w:rsidP="00BD4D7C">
            <w:pPr>
              <w:ind w:left="29"/>
              <w:jc w:val="center"/>
              <w:rPr>
                <w:rFonts w:ascii="Arial Narrow" w:hAnsi="Arial Narrow" w:cs="Arial"/>
                <w:b/>
                <w:color w:val="000000" w:themeColor="text1"/>
                <w:sz w:val="22"/>
                <w:szCs w:val="22"/>
              </w:rPr>
            </w:pPr>
          </w:p>
          <w:p w14:paraId="70CD668D" w14:textId="5A06CA21" w:rsidR="00BD4D7C" w:rsidRPr="009E35ED" w:rsidRDefault="00F10767" w:rsidP="00BD4D7C">
            <w:pPr>
              <w:ind w:left="29"/>
              <w:rPr>
                <w:rFonts w:ascii="Arial Narrow" w:hAnsi="Arial Narrow" w:cs="Arial"/>
                <w:b/>
                <w:color w:val="000000" w:themeColor="text1"/>
                <w:sz w:val="22"/>
                <w:szCs w:val="22"/>
              </w:rPr>
            </w:pPr>
            <w:r>
              <w:rPr>
                <w:rFonts w:ascii="Arial Narrow" w:hAnsi="Arial Narrow" w:cs="Arial"/>
                <w:b/>
                <w:color w:val="000000" w:themeColor="text1"/>
                <w:sz w:val="22"/>
                <w:szCs w:val="22"/>
              </w:rPr>
              <w:t xml:space="preserve">            </w:t>
            </w:r>
          </w:p>
          <w:p w14:paraId="12E41DAC" w14:textId="77777777" w:rsidR="00BD4D7C" w:rsidRPr="009E35ED" w:rsidRDefault="00BD4D7C" w:rsidP="00BD4D7C">
            <w:pPr>
              <w:ind w:left="29"/>
              <w:jc w:val="center"/>
              <w:rPr>
                <w:rFonts w:ascii="Arial Narrow" w:hAnsi="Arial Narrow" w:cs="Arial"/>
                <w:b/>
                <w:color w:val="000000" w:themeColor="text1"/>
                <w:sz w:val="22"/>
                <w:szCs w:val="22"/>
              </w:rPr>
            </w:pPr>
            <w:r w:rsidRPr="009E35ED">
              <w:rPr>
                <w:rFonts w:ascii="Arial Narrow" w:hAnsi="Arial Narrow" w:cs="Arial"/>
                <w:b/>
                <w:color w:val="000000" w:themeColor="text1"/>
                <w:sz w:val="22"/>
                <w:szCs w:val="22"/>
              </w:rPr>
              <w:t>PGMC</w:t>
            </w:r>
          </w:p>
        </w:tc>
        <w:tc>
          <w:tcPr>
            <w:tcW w:w="1145" w:type="pct"/>
            <w:shd w:val="clear" w:color="auto" w:fill="auto"/>
          </w:tcPr>
          <w:p w14:paraId="5452F912" w14:textId="77777777" w:rsidR="00BD4D7C" w:rsidRPr="009E35ED" w:rsidRDefault="00BD4D7C" w:rsidP="00BD4D7C">
            <w:pPr>
              <w:ind w:left="0"/>
              <w:rPr>
                <w:rFonts w:ascii="Arial Narrow" w:hAnsi="Arial Narrow" w:cs="Arial"/>
                <w:color w:val="000000" w:themeColor="text1"/>
                <w:sz w:val="22"/>
                <w:szCs w:val="22"/>
              </w:rPr>
            </w:pPr>
            <w:r w:rsidRPr="009E35ED">
              <w:rPr>
                <w:rFonts w:ascii="Arial Narrow" w:hAnsi="Arial Narrow" w:cs="Arial"/>
                <w:color w:val="000000" w:themeColor="text1"/>
                <w:sz w:val="22"/>
                <w:szCs w:val="22"/>
              </w:rPr>
              <w:t>(1) Consolidated cases: Philippine Gaming Management Corporation vs. PCSO, et al.  (Civil Case No. 12530 and Civil Case No. 12-011, RTC-Makati City, Branch 143)</w:t>
            </w:r>
          </w:p>
        </w:tc>
        <w:tc>
          <w:tcPr>
            <w:tcW w:w="885" w:type="pct"/>
            <w:shd w:val="clear" w:color="auto" w:fill="auto"/>
          </w:tcPr>
          <w:p w14:paraId="0E29FA1D" w14:textId="211D1A19" w:rsidR="00BD4D7C" w:rsidRPr="009E35ED" w:rsidRDefault="00BD4D7C" w:rsidP="00BD4D7C">
            <w:pPr>
              <w:ind w:left="0"/>
              <w:rPr>
                <w:rFonts w:ascii="Arial Narrow" w:hAnsi="Arial Narrow" w:cs="Arial"/>
                <w:color w:val="000000" w:themeColor="text1"/>
                <w:sz w:val="22"/>
                <w:szCs w:val="22"/>
              </w:rPr>
            </w:pPr>
            <w:r w:rsidRPr="009E35ED">
              <w:rPr>
                <w:rFonts w:ascii="Arial Narrow" w:hAnsi="Arial Narrow" w:cs="Arial"/>
                <w:color w:val="000000" w:themeColor="text1"/>
                <w:sz w:val="22"/>
                <w:szCs w:val="22"/>
              </w:rPr>
              <w:t xml:space="preserve">Indirect contempt with application for </w:t>
            </w:r>
            <w:r w:rsidR="00D15689">
              <w:rPr>
                <w:rFonts w:ascii="Arial Narrow" w:hAnsi="Arial Narrow" w:cs="Arial"/>
                <w:color w:val="000000" w:themeColor="text1"/>
                <w:sz w:val="22"/>
                <w:szCs w:val="22"/>
              </w:rPr>
              <w:t xml:space="preserve">the </w:t>
            </w:r>
            <w:r w:rsidRPr="009E35ED">
              <w:rPr>
                <w:rFonts w:ascii="Arial Narrow" w:hAnsi="Arial Narrow" w:cs="Arial"/>
                <w:color w:val="000000" w:themeColor="text1"/>
                <w:sz w:val="22"/>
                <w:szCs w:val="22"/>
              </w:rPr>
              <w:t>TRO and/or Preliminary Injunction</w:t>
            </w:r>
          </w:p>
        </w:tc>
        <w:tc>
          <w:tcPr>
            <w:tcW w:w="1783" w:type="pct"/>
            <w:shd w:val="clear" w:color="auto" w:fill="auto"/>
          </w:tcPr>
          <w:p w14:paraId="7B6CE474" w14:textId="77777777" w:rsidR="00BD4D7C" w:rsidRPr="009E35ED" w:rsidRDefault="00BD4D7C" w:rsidP="00BD4D7C">
            <w:pPr>
              <w:ind w:left="-6"/>
              <w:rPr>
                <w:rFonts w:ascii="Arial Narrow" w:hAnsi="Arial Narrow" w:cs="Arial"/>
                <w:color w:val="000000" w:themeColor="text1"/>
                <w:sz w:val="22"/>
                <w:szCs w:val="22"/>
              </w:rPr>
            </w:pPr>
            <w:r w:rsidRPr="009E35ED">
              <w:rPr>
                <w:rFonts w:ascii="Arial Narrow" w:hAnsi="Arial Narrow" w:cs="Arial"/>
                <w:color w:val="000000" w:themeColor="text1"/>
                <w:sz w:val="22"/>
                <w:szCs w:val="22"/>
              </w:rPr>
              <w:t>Confirmed Arbitral Award dated May 25, 2018</w:t>
            </w:r>
          </w:p>
          <w:p w14:paraId="014F0DA6" w14:textId="77777777" w:rsidR="00057801" w:rsidRPr="009E35ED" w:rsidRDefault="00057801" w:rsidP="00BD4D7C">
            <w:pPr>
              <w:ind w:left="-6"/>
              <w:rPr>
                <w:rFonts w:ascii="Arial Narrow" w:hAnsi="Arial Narrow" w:cs="Arial"/>
                <w:color w:val="000000" w:themeColor="text1"/>
                <w:sz w:val="22"/>
                <w:szCs w:val="22"/>
              </w:rPr>
            </w:pPr>
          </w:p>
          <w:p w14:paraId="1B851FA4" w14:textId="465C42E1" w:rsidR="00BD4D7C" w:rsidRPr="009E35ED" w:rsidRDefault="00BD4D7C" w:rsidP="00BD4D7C">
            <w:pPr>
              <w:ind w:left="-6"/>
              <w:rPr>
                <w:rFonts w:ascii="Arial Narrow" w:hAnsi="Arial Narrow" w:cs="Arial"/>
                <w:color w:val="000000" w:themeColor="text1"/>
                <w:sz w:val="22"/>
                <w:szCs w:val="22"/>
              </w:rPr>
            </w:pPr>
            <w:r w:rsidRPr="009E35ED">
              <w:rPr>
                <w:rFonts w:ascii="Arial Narrow" w:hAnsi="Arial Narrow" w:cs="Arial"/>
                <w:color w:val="000000" w:themeColor="text1"/>
                <w:sz w:val="22"/>
                <w:szCs w:val="22"/>
              </w:rPr>
              <w:t>Hearing is on PCSO’s claim for damages arising from the WPI bond issued in 2018 that resulted in the cancellation of NOLS Procurement.</w:t>
            </w:r>
          </w:p>
        </w:tc>
      </w:tr>
      <w:tr w:rsidR="00997F75" w:rsidRPr="009E35ED" w14:paraId="4625680A" w14:textId="77777777" w:rsidTr="00AF7FD6">
        <w:tc>
          <w:tcPr>
            <w:tcW w:w="1187" w:type="pct"/>
            <w:vMerge/>
            <w:shd w:val="clear" w:color="auto" w:fill="auto"/>
          </w:tcPr>
          <w:p w14:paraId="08DBDB1A" w14:textId="77777777" w:rsidR="00BD4D7C" w:rsidRPr="009E35ED" w:rsidRDefault="00BD4D7C" w:rsidP="00BD4D7C">
            <w:pPr>
              <w:ind w:left="29"/>
              <w:jc w:val="center"/>
              <w:rPr>
                <w:rFonts w:ascii="Arial Narrow" w:hAnsi="Arial Narrow" w:cs="Arial"/>
                <w:b/>
                <w:color w:val="000000" w:themeColor="text1"/>
                <w:sz w:val="22"/>
                <w:szCs w:val="22"/>
              </w:rPr>
            </w:pPr>
          </w:p>
        </w:tc>
        <w:tc>
          <w:tcPr>
            <w:tcW w:w="1145" w:type="pct"/>
            <w:shd w:val="clear" w:color="auto" w:fill="auto"/>
          </w:tcPr>
          <w:p w14:paraId="75711DE1" w14:textId="77777777" w:rsidR="00BD4D7C" w:rsidRPr="009E35ED" w:rsidRDefault="00BD4D7C" w:rsidP="00BD4D7C">
            <w:pPr>
              <w:ind w:left="0"/>
              <w:rPr>
                <w:rFonts w:ascii="Arial Narrow" w:hAnsi="Arial Narrow" w:cs="Arial"/>
                <w:color w:val="000000" w:themeColor="text1"/>
                <w:sz w:val="22"/>
                <w:szCs w:val="22"/>
              </w:rPr>
            </w:pPr>
            <w:r w:rsidRPr="009E35ED">
              <w:rPr>
                <w:rFonts w:ascii="Arial Narrow" w:hAnsi="Arial Narrow" w:cs="Arial"/>
                <w:color w:val="000000" w:themeColor="text1"/>
                <w:sz w:val="22"/>
                <w:szCs w:val="22"/>
              </w:rPr>
              <w:t>(3) PGMC vs. Hon. Judge Andres B. Soriano and PCSO (CA-GR No. 167307)</w:t>
            </w:r>
          </w:p>
        </w:tc>
        <w:tc>
          <w:tcPr>
            <w:tcW w:w="885" w:type="pct"/>
            <w:shd w:val="clear" w:color="auto" w:fill="auto"/>
          </w:tcPr>
          <w:p w14:paraId="0F942BBD" w14:textId="77777777" w:rsidR="00BD4D7C" w:rsidRPr="009E35ED" w:rsidRDefault="00BD4D7C" w:rsidP="00BD4D7C">
            <w:pPr>
              <w:ind w:left="0"/>
              <w:rPr>
                <w:rFonts w:ascii="Arial Narrow" w:hAnsi="Arial Narrow" w:cs="Arial"/>
                <w:color w:val="000000" w:themeColor="text1"/>
                <w:sz w:val="22"/>
                <w:szCs w:val="22"/>
              </w:rPr>
            </w:pPr>
            <w:r w:rsidRPr="009E35ED">
              <w:rPr>
                <w:rFonts w:ascii="Arial Narrow" w:hAnsi="Arial Narrow" w:cs="Arial"/>
                <w:color w:val="000000" w:themeColor="text1"/>
                <w:sz w:val="22"/>
                <w:szCs w:val="22"/>
              </w:rPr>
              <w:t>Petition for Certiorari</w:t>
            </w:r>
          </w:p>
        </w:tc>
        <w:tc>
          <w:tcPr>
            <w:tcW w:w="1783" w:type="pct"/>
            <w:shd w:val="clear" w:color="auto" w:fill="auto"/>
          </w:tcPr>
          <w:p w14:paraId="425EB3D2" w14:textId="5604B530" w:rsidR="00BD4D7C" w:rsidRPr="009E35ED" w:rsidRDefault="00BD4D7C" w:rsidP="00BD4D7C">
            <w:pPr>
              <w:pStyle w:val="ListParagraph"/>
              <w:kinsoku w:val="0"/>
              <w:overflowPunct w:val="0"/>
              <w:ind w:left="-6" w:right="-86"/>
              <w:textAlignment w:val="baseline"/>
              <w:rPr>
                <w:rFonts w:ascii="Arial Narrow" w:hAnsi="Arial Narrow" w:cs="Arial"/>
                <w:color w:val="000000" w:themeColor="text1"/>
                <w:sz w:val="22"/>
                <w:szCs w:val="22"/>
              </w:rPr>
            </w:pPr>
            <w:r w:rsidRPr="009E35ED">
              <w:rPr>
                <w:rFonts w:ascii="Arial Narrow" w:hAnsi="Arial Narrow" w:cs="Arial"/>
                <w:color w:val="000000" w:themeColor="text1"/>
                <w:sz w:val="22"/>
                <w:szCs w:val="22"/>
              </w:rPr>
              <w:t xml:space="preserve">Pending Resolution. The CA directed </w:t>
            </w:r>
            <w:r w:rsidR="00D15689">
              <w:rPr>
                <w:rFonts w:ascii="Arial Narrow" w:hAnsi="Arial Narrow" w:cs="Arial"/>
                <w:color w:val="000000" w:themeColor="text1"/>
                <w:sz w:val="22"/>
                <w:szCs w:val="22"/>
              </w:rPr>
              <w:t xml:space="preserve">the </w:t>
            </w:r>
            <w:r w:rsidRPr="009E35ED">
              <w:rPr>
                <w:rFonts w:ascii="Arial Narrow" w:hAnsi="Arial Narrow" w:cs="Arial"/>
                <w:color w:val="000000" w:themeColor="text1"/>
                <w:sz w:val="22"/>
                <w:szCs w:val="22"/>
              </w:rPr>
              <w:t>PGMC to submit several documents.</w:t>
            </w:r>
          </w:p>
        </w:tc>
      </w:tr>
      <w:tr w:rsidR="00997F75" w:rsidRPr="009E35ED" w14:paraId="287682D1" w14:textId="77777777" w:rsidTr="00AF7FD6">
        <w:tc>
          <w:tcPr>
            <w:tcW w:w="1187" w:type="pct"/>
            <w:vMerge w:val="restart"/>
            <w:shd w:val="clear" w:color="auto" w:fill="auto"/>
          </w:tcPr>
          <w:p w14:paraId="24151EED" w14:textId="51852F40" w:rsidR="00BD4D7C" w:rsidRPr="009E35ED" w:rsidRDefault="00BD4D7C" w:rsidP="00BD4D7C">
            <w:pPr>
              <w:ind w:left="29"/>
              <w:jc w:val="center"/>
              <w:rPr>
                <w:rFonts w:ascii="Arial Narrow" w:hAnsi="Arial Narrow" w:cs="Arial"/>
                <w:b/>
                <w:color w:val="000000" w:themeColor="text1"/>
                <w:sz w:val="22"/>
                <w:szCs w:val="22"/>
              </w:rPr>
            </w:pPr>
          </w:p>
          <w:p w14:paraId="59503506" w14:textId="77777777" w:rsidR="00BD4D7C" w:rsidRPr="009E35ED" w:rsidRDefault="00BD4D7C" w:rsidP="00BD4D7C">
            <w:pPr>
              <w:ind w:left="29"/>
              <w:jc w:val="center"/>
              <w:rPr>
                <w:rFonts w:ascii="Arial Narrow" w:hAnsi="Arial Narrow" w:cs="Arial"/>
                <w:b/>
                <w:color w:val="000000" w:themeColor="text1"/>
                <w:sz w:val="22"/>
                <w:szCs w:val="22"/>
              </w:rPr>
            </w:pPr>
            <w:r w:rsidRPr="009E35ED">
              <w:rPr>
                <w:rFonts w:ascii="Arial Narrow" w:hAnsi="Arial Narrow" w:cs="Arial"/>
                <w:b/>
                <w:color w:val="000000" w:themeColor="text1"/>
                <w:sz w:val="22"/>
                <w:szCs w:val="22"/>
              </w:rPr>
              <w:t>DFNN</w:t>
            </w:r>
          </w:p>
        </w:tc>
        <w:tc>
          <w:tcPr>
            <w:tcW w:w="1145" w:type="pct"/>
            <w:shd w:val="clear" w:color="auto" w:fill="auto"/>
          </w:tcPr>
          <w:p w14:paraId="750F1998" w14:textId="77777777" w:rsidR="00BD4D7C" w:rsidRPr="009E35ED" w:rsidRDefault="00BD4D7C" w:rsidP="00BD4D7C">
            <w:pPr>
              <w:ind w:left="0"/>
              <w:rPr>
                <w:rFonts w:ascii="Arial Narrow" w:hAnsi="Arial Narrow" w:cs="Arial"/>
                <w:color w:val="000000" w:themeColor="text1"/>
                <w:sz w:val="22"/>
                <w:szCs w:val="22"/>
              </w:rPr>
            </w:pPr>
            <w:r w:rsidRPr="009E35ED">
              <w:rPr>
                <w:rFonts w:ascii="Arial Narrow" w:hAnsi="Arial Narrow" w:cs="Arial"/>
                <w:color w:val="000000" w:themeColor="text1"/>
                <w:sz w:val="22"/>
                <w:szCs w:val="22"/>
              </w:rPr>
              <w:t>(1)PCSO vs. DFNN Inc. (DFNNI) (G.R. No. 234193)</w:t>
            </w:r>
          </w:p>
        </w:tc>
        <w:tc>
          <w:tcPr>
            <w:tcW w:w="885" w:type="pct"/>
            <w:shd w:val="clear" w:color="auto" w:fill="auto"/>
          </w:tcPr>
          <w:p w14:paraId="5F55C411" w14:textId="77777777" w:rsidR="00BD4D7C" w:rsidRPr="009E35ED" w:rsidRDefault="00BD4D7C" w:rsidP="00BD4D7C">
            <w:pPr>
              <w:ind w:left="0"/>
              <w:rPr>
                <w:rFonts w:ascii="Arial Narrow" w:hAnsi="Arial Narrow" w:cs="Arial"/>
                <w:color w:val="000000" w:themeColor="text1"/>
                <w:sz w:val="22"/>
                <w:szCs w:val="22"/>
              </w:rPr>
            </w:pPr>
            <w:r w:rsidRPr="009E35ED">
              <w:rPr>
                <w:rFonts w:ascii="Arial Narrow" w:hAnsi="Arial Narrow" w:cs="Arial"/>
                <w:color w:val="000000" w:themeColor="text1"/>
                <w:sz w:val="22"/>
                <w:szCs w:val="22"/>
              </w:rPr>
              <w:t>Petition for Review on Certiorari  before the Supreme Court</w:t>
            </w:r>
          </w:p>
        </w:tc>
        <w:tc>
          <w:tcPr>
            <w:tcW w:w="1783" w:type="pct"/>
            <w:shd w:val="clear" w:color="auto" w:fill="auto"/>
          </w:tcPr>
          <w:p w14:paraId="784FB715" w14:textId="7DDD1D03" w:rsidR="00BD4D7C" w:rsidRPr="009E35ED" w:rsidRDefault="00BD4D7C" w:rsidP="00BD4D7C">
            <w:pPr>
              <w:pStyle w:val="ListParagraph"/>
              <w:tabs>
                <w:tab w:val="left" w:pos="1080"/>
              </w:tabs>
              <w:ind w:left="-6"/>
              <w:rPr>
                <w:rFonts w:ascii="Arial Narrow" w:hAnsi="Arial Narrow" w:cs="Arial"/>
                <w:color w:val="000000" w:themeColor="text1"/>
                <w:sz w:val="22"/>
                <w:szCs w:val="22"/>
              </w:rPr>
            </w:pPr>
            <w:r w:rsidRPr="009E35ED">
              <w:rPr>
                <w:rFonts w:ascii="Arial Narrow" w:hAnsi="Arial Narrow" w:cs="Arial"/>
                <w:color w:val="000000" w:themeColor="text1"/>
                <w:sz w:val="22"/>
                <w:szCs w:val="22"/>
              </w:rPr>
              <w:t xml:space="preserve">The </w:t>
            </w:r>
            <w:r w:rsidR="00D15689">
              <w:rPr>
                <w:rFonts w:ascii="Arial Narrow" w:hAnsi="Arial Narrow" w:cs="Arial"/>
                <w:color w:val="000000" w:themeColor="text1"/>
                <w:sz w:val="22"/>
                <w:szCs w:val="22"/>
              </w:rPr>
              <w:t>SC</w:t>
            </w:r>
            <w:r w:rsidRPr="009E35ED">
              <w:rPr>
                <w:rFonts w:ascii="Arial Narrow" w:hAnsi="Arial Narrow" w:cs="Arial"/>
                <w:color w:val="000000" w:themeColor="text1"/>
                <w:sz w:val="22"/>
                <w:szCs w:val="22"/>
              </w:rPr>
              <w:t xml:space="preserve"> issued a Decision dated 30 June 2021, which reversed and set aside the Court of Appeals and RTC Makati.</w:t>
            </w:r>
          </w:p>
          <w:p w14:paraId="252FAAF3" w14:textId="77777777" w:rsidR="00BD4D7C" w:rsidRPr="009E35ED" w:rsidRDefault="00BD4D7C" w:rsidP="00BD4D7C">
            <w:pPr>
              <w:pStyle w:val="ListParagraph"/>
              <w:tabs>
                <w:tab w:val="left" w:pos="1080"/>
              </w:tabs>
              <w:ind w:left="-6"/>
              <w:rPr>
                <w:rFonts w:ascii="Arial Narrow" w:hAnsi="Arial Narrow" w:cs="Arial"/>
                <w:color w:val="000000" w:themeColor="text1"/>
                <w:sz w:val="22"/>
                <w:szCs w:val="22"/>
              </w:rPr>
            </w:pPr>
          </w:p>
          <w:p w14:paraId="30BDEBBE" w14:textId="26AEF4E0" w:rsidR="00BD4D7C" w:rsidRPr="009E35ED" w:rsidRDefault="00BD4D7C" w:rsidP="00BD4D7C">
            <w:pPr>
              <w:pStyle w:val="ListParagraph"/>
              <w:tabs>
                <w:tab w:val="left" w:pos="1080"/>
              </w:tabs>
              <w:ind w:left="-6"/>
              <w:rPr>
                <w:rFonts w:ascii="Arial Narrow" w:hAnsi="Arial Narrow" w:cs="Arial"/>
                <w:color w:val="000000" w:themeColor="text1"/>
                <w:sz w:val="22"/>
                <w:szCs w:val="22"/>
              </w:rPr>
            </w:pPr>
            <w:r w:rsidRPr="009E35ED">
              <w:rPr>
                <w:rFonts w:ascii="Arial Narrow" w:hAnsi="Arial Narrow" w:cs="Arial"/>
                <w:color w:val="000000" w:themeColor="text1"/>
                <w:sz w:val="22"/>
                <w:szCs w:val="22"/>
              </w:rPr>
              <w:t xml:space="preserve">In effect, </w:t>
            </w:r>
            <w:r w:rsidR="00D15689">
              <w:rPr>
                <w:rFonts w:ascii="Arial Narrow" w:hAnsi="Arial Narrow" w:cs="Arial"/>
                <w:color w:val="000000" w:themeColor="text1"/>
                <w:sz w:val="22"/>
                <w:szCs w:val="22"/>
              </w:rPr>
              <w:t xml:space="preserve">the </w:t>
            </w:r>
            <w:r w:rsidRPr="009E35ED">
              <w:rPr>
                <w:rFonts w:ascii="Arial Narrow" w:hAnsi="Arial Narrow" w:cs="Arial"/>
                <w:color w:val="000000" w:themeColor="text1"/>
                <w:sz w:val="22"/>
                <w:szCs w:val="22"/>
              </w:rPr>
              <w:t xml:space="preserve">PCSO was able to reinstate the arbitral award of </w:t>
            </w:r>
            <w:r w:rsidR="00F10767">
              <w:rPr>
                <w:rFonts w:ascii="Arial Narrow" w:hAnsi="Arial Narrow" w:cs="Arial"/>
                <w:color w:val="000000" w:themeColor="text1"/>
                <w:sz w:val="22"/>
                <w:szCs w:val="22"/>
              </w:rPr>
              <w:t>P</w:t>
            </w:r>
            <w:r w:rsidRPr="009E35ED">
              <w:rPr>
                <w:rFonts w:ascii="Arial Narrow" w:hAnsi="Arial Narrow" w:cs="Arial"/>
                <w:color w:val="000000" w:themeColor="text1"/>
                <w:sz w:val="22"/>
                <w:szCs w:val="22"/>
              </w:rPr>
              <w:t xml:space="preserve">27 Million Pesos liquidated damages awarded to </w:t>
            </w:r>
            <w:r w:rsidR="00D15689">
              <w:rPr>
                <w:rFonts w:ascii="Arial Narrow" w:hAnsi="Arial Narrow" w:cs="Arial"/>
                <w:color w:val="000000" w:themeColor="text1"/>
                <w:sz w:val="22"/>
                <w:szCs w:val="22"/>
              </w:rPr>
              <w:t xml:space="preserve">the </w:t>
            </w:r>
            <w:r w:rsidRPr="009E35ED">
              <w:rPr>
                <w:rFonts w:ascii="Arial Narrow" w:hAnsi="Arial Narrow" w:cs="Arial"/>
                <w:color w:val="000000" w:themeColor="text1"/>
                <w:sz w:val="22"/>
                <w:szCs w:val="22"/>
              </w:rPr>
              <w:t xml:space="preserve">DFNN Inc. by the Arbitration Panel from the </w:t>
            </w:r>
            <w:r w:rsidR="00F10767">
              <w:rPr>
                <w:rFonts w:ascii="Arial Narrow" w:hAnsi="Arial Narrow" w:cs="Arial"/>
                <w:color w:val="000000" w:themeColor="text1"/>
                <w:sz w:val="22"/>
                <w:szCs w:val="22"/>
              </w:rPr>
              <w:t>P</w:t>
            </w:r>
            <w:r w:rsidRPr="009E35ED">
              <w:rPr>
                <w:rFonts w:ascii="Arial Narrow" w:hAnsi="Arial Narrow" w:cs="Arial"/>
                <w:color w:val="000000" w:themeColor="text1"/>
                <w:sz w:val="22"/>
                <w:szCs w:val="22"/>
              </w:rPr>
              <w:t>310 Million Pesos plus interest erroneously awarded by RTC Makati and the Court of Appeals.</w:t>
            </w:r>
          </w:p>
          <w:p w14:paraId="0109AC19" w14:textId="77777777" w:rsidR="00BD4D7C" w:rsidRPr="009E35ED" w:rsidRDefault="00BD4D7C" w:rsidP="00BD4D7C">
            <w:pPr>
              <w:pStyle w:val="ListParagraph"/>
              <w:tabs>
                <w:tab w:val="left" w:pos="1080"/>
              </w:tabs>
              <w:ind w:left="-6"/>
              <w:rPr>
                <w:rFonts w:ascii="Arial Narrow" w:hAnsi="Arial Narrow" w:cs="Arial"/>
                <w:color w:val="000000" w:themeColor="text1"/>
                <w:sz w:val="22"/>
                <w:szCs w:val="22"/>
              </w:rPr>
            </w:pPr>
          </w:p>
          <w:p w14:paraId="6B1BE6EA" w14:textId="18E40B38" w:rsidR="00BD4D7C" w:rsidRPr="009E35ED" w:rsidRDefault="00D15689" w:rsidP="00BD4D7C">
            <w:pPr>
              <w:pStyle w:val="ListParagraph"/>
              <w:tabs>
                <w:tab w:val="left" w:pos="1080"/>
              </w:tabs>
              <w:ind w:left="-6"/>
              <w:rPr>
                <w:rFonts w:ascii="Arial Narrow" w:hAnsi="Arial Narrow" w:cs="Arial"/>
                <w:color w:val="000000" w:themeColor="text1"/>
                <w:sz w:val="22"/>
                <w:szCs w:val="22"/>
              </w:rPr>
            </w:pPr>
            <w:r>
              <w:rPr>
                <w:rFonts w:ascii="Arial Narrow" w:hAnsi="Arial Narrow" w:cs="Arial"/>
                <w:color w:val="000000" w:themeColor="text1"/>
                <w:sz w:val="22"/>
                <w:szCs w:val="22"/>
              </w:rPr>
              <w:t xml:space="preserve">The </w:t>
            </w:r>
            <w:r w:rsidR="00BD4D7C" w:rsidRPr="009E35ED">
              <w:rPr>
                <w:rFonts w:ascii="Arial Narrow" w:hAnsi="Arial Narrow" w:cs="Arial"/>
                <w:color w:val="000000" w:themeColor="text1"/>
                <w:sz w:val="22"/>
                <w:szCs w:val="22"/>
              </w:rPr>
              <w:t>DFNN filed an MR</w:t>
            </w:r>
          </w:p>
        </w:tc>
      </w:tr>
      <w:tr w:rsidR="00997F75" w:rsidRPr="009E35ED" w14:paraId="7585F50F" w14:textId="77777777" w:rsidTr="00AF7FD6">
        <w:tc>
          <w:tcPr>
            <w:tcW w:w="1187" w:type="pct"/>
            <w:vMerge/>
            <w:shd w:val="clear" w:color="auto" w:fill="auto"/>
          </w:tcPr>
          <w:p w14:paraId="658548D7" w14:textId="77777777" w:rsidR="00BD4D7C" w:rsidRPr="009E35ED" w:rsidRDefault="00BD4D7C" w:rsidP="00BD4D7C">
            <w:pPr>
              <w:ind w:left="29"/>
              <w:jc w:val="center"/>
              <w:rPr>
                <w:rFonts w:ascii="Arial Narrow" w:hAnsi="Arial Narrow" w:cs="Arial"/>
                <w:b/>
                <w:color w:val="000000" w:themeColor="text1"/>
                <w:sz w:val="22"/>
                <w:szCs w:val="22"/>
              </w:rPr>
            </w:pPr>
          </w:p>
        </w:tc>
        <w:tc>
          <w:tcPr>
            <w:tcW w:w="1145" w:type="pct"/>
            <w:shd w:val="clear" w:color="auto" w:fill="auto"/>
          </w:tcPr>
          <w:p w14:paraId="454853CB" w14:textId="77777777" w:rsidR="00BD4D7C" w:rsidRPr="009E35ED" w:rsidRDefault="00BD4D7C" w:rsidP="00BD4D7C">
            <w:pPr>
              <w:ind w:left="0"/>
              <w:rPr>
                <w:rFonts w:ascii="Arial Narrow" w:hAnsi="Arial Narrow" w:cs="Arial"/>
                <w:color w:val="000000" w:themeColor="text1"/>
                <w:sz w:val="22"/>
                <w:szCs w:val="22"/>
              </w:rPr>
            </w:pPr>
            <w:r w:rsidRPr="009E35ED">
              <w:rPr>
                <w:rFonts w:ascii="Arial Narrow" w:hAnsi="Arial Narrow" w:cs="Arial"/>
                <w:color w:val="000000" w:themeColor="text1"/>
                <w:sz w:val="22"/>
                <w:szCs w:val="22"/>
              </w:rPr>
              <w:t>(5) COA Claim DFNN</w:t>
            </w:r>
          </w:p>
        </w:tc>
        <w:tc>
          <w:tcPr>
            <w:tcW w:w="885" w:type="pct"/>
            <w:shd w:val="clear" w:color="auto" w:fill="auto"/>
          </w:tcPr>
          <w:p w14:paraId="02C37DF9" w14:textId="77777777" w:rsidR="00BD4D7C" w:rsidRPr="009E35ED" w:rsidRDefault="00BD4D7C" w:rsidP="00BD4D7C">
            <w:pPr>
              <w:ind w:left="0"/>
              <w:rPr>
                <w:rFonts w:ascii="Arial Narrow" w:hAnsi="Arial Narrow" w:cs="Arial"/>
                <w:color w:val="000000" w:themeColor="text1"/>
                <w:sz w:val="22"/>
                <w:szCs w:val="22"/>
              </w:rPr>
            </w:pPr>
            <w:r w:rsidRPr="009E35ED">
              <w:rPr>
                <w:rFonts w:ascii="Arial Narrow" w:hAnsi="Arial Narrow" w:cs="Arial"/>
                <w:color w:val="000000" w:themeColor="text1"/>
                <w:sz w:val="22"/>
                <w:szCs w:val="22"/>
              </w:rPr>
              <w:t>Money Claim</w:t>
            </w:r>
          </w:p>
        </w:tc>
        <w:tc>
          <w:tcPr>
            <w:tcW w:w="1783" w:type="pct"/>
            <w:shd w:val="clear" w:color="auto" w:fill="auto"/>
          </w:tcPr>
          <w:p w14:paraId="20C46A2A" w14:textId="2E39A198" w:rsidR="00BD4D7C" w:rsidRPr="009E35ED" w:rsidRDefault="00BD4D7C" w:rsidP="00BD4D7C">
            <w:pPr>
              <w:ind w:left="-6"/>
              <w:rPr>
                <w:rFonts w:ascii="Arial Narrow" w:hAnsi="Arial Narrow" w:cs="Arial"/>
                <w:color w:val="000000" w:themeColor="text1"/>
                <w:sz w:val="22"/>
                <w:szCs w:val="22"/>
              </w:rPr>
            </w:pPr>
            <w:r w:rsidRPr="009E35ED">
              <w:rPr>
                <w:rFonts w:ascii="Arial Narrow" w:hAnsi="Arial Narrow" w:cs="Arial"/>
                <w:color w:val="000000" w:themeColor="text1"/>
                <w:sz w:val="22"/>
                <w:szCs w:val="22"/>
              </w:rPr>
              <w:t xml:space="preserve">Filed by </w:t>
            </w:r>
            <w:r w:rsidR="00D15689">
              <w:rPr>
                <w:rFonts w:ascii="Arial Narrow" w:hAnsi="Arial Narrow" w:cs="Arial"/>
                <w:color w:val="000000" w:themeColor="text1"/>
                <w:sz w:val="22"/>
                <w:szCs w:val="22"/>
              </w:rPr>
              <w:t xml:space="preserve">the </w:t>
            </w:r>
            <w:r w:rsidRPr="009E35ED">
              <w:rPr>
                <w:rFonts w:ascii="Arial Narrow" w:hAnsi="Arial Narrow" w:cs="Arial"/>
                <w:color w:val="000000" w:themeColor="text1"/>
                <w:sz w:val="22"/>
                <w:szCs w:val="22"/>
              </w:rPr>
              <w:t>DFNN on 23 January 2017.</w:t>
            </w:r>
          </w:p>
          <w:p w14:paraId="2A298349" w14:textId="0A13A2A9" w:rsidR="00BD4D7C" w:rsidRPr="009E35ED" w:rsidRDefault="00D15689" w:rsidP="00BD4D7C">
            <w:pPr>
              <w:ind w:left="-6"/>
              <w:rPr>
                <w:rFonts w:ascii="Arial Narrow" w:hAnsi="Arial Narrow" w:cs="Arial"/>
                <w:color w:val="000000" w:themeColor="text1"/>
                <w:sz w:val="22"/>
                <w:szCs w:val="22"/>
              </w:rPr>
            </w:pPr>
            <w:r>
              <w:rPr>
                <w:rFonts w:ascii="Arial Narrow" w:hAnsi="Arial Narrow" w:cs="Arial"/>
                <w:color w:val="000000" w:themeColor="text1"/>
                <w:sz w:val="22"/>
                <w:szCs w:val="22"/>
              </w:rPr>
              <w:t xml:space="preserve">The </w:t>
            </w:r>
            <w:r w:rsidR="00BD4D7C" w:rsidRPr="009E35ED">
              <w:rPr>
                <w:rFonts w:ascii="Arial Narrow" w:hAnsi="Arial Narrow" w:cs="Arial"/>
                <w:color w:val="000000" w:themeColor="text1"/>
                <w:sz w:val="22"/>
                <w:szCs w:val="22"/>
              </w:rPr>
              <w:t>PCSO already filed the Answer on 1 March 2017.</w:t>
            </w:r>
          </w:p>
          <w:p w14:paraId="1FFD57F8" w14:textId="77777777" w:rsidR="00057801" w:rsidRPr="009E35ED" w:rsidRDefault="00057801" w:rsidP="00BD4D7C">
            <w:pPr>
              <w:ind w:left="-6"/>
              <w:rPr>
                <w:rFonts w:ascii="Arial Narrow" w:hAnsi="Arial Narrow" w:cs="Arial"/>
                <w:color w:val="000000" w:themeColor="text1"/>
                <w:sz w:val="22"/>
                <w:szCs w:val="22"/>
              </w:rPr>
            </w:pPr>
          </w:p>
          <w:p w14:paraId="159E5094" w14:textId="50CB3D59" w:rsidR="00BD4D7C" w:rsidRPr="009E35ED" w:rsidRDefault="00BD4D7C" w:rsidP="00BD4D7C">
            <w:pPr>
              <w:ind w:left="-6"/>
              <w:rPr>
                <w:rFonts w:ascii="Arial Narrow" w:hAnsi="Arial Narrow" w:cs="Arial"/>
                <w:color w:val="000000" w:themeColor="text1"/>
                <w:sz w:val="22"/>
                <w:szCs w:val="22"/>
              </w:rPr>
            </w:pPr>
            <w:r w:rsidRPr="009E35ED">
              <w:rPr>
                <w:rFonts w:ascii="Arial Narrow" w:hAnsi="Arial Narrow" w:cs="Arial"/>
                <w:color w:val="000000" w:themeColor="text1"/>
                <w:sz w:val="22"/>
                <w:szCs w:val="22"/>
              </w:rPr>
              <w:t>PCSO is awaiting the COA’s Decision</w:t>
            </w:r>
          </w:p>
        </w:tc>
      </w:tr>
      <w:tr w:rsidR="00997F75" w:rsidRPr="009E35ED" w14:paraId="015AB5B2" w14:textId="77777777" w:rsidTr="00AF7FD6">
        <w:tc>
          <w:tcPr>
            <w:tcW w:w="1187" w:type="pct"/>
            <w:shd w:val="clear" w:color="auto" w:fill="auto"/>
          </w:tcPr>
          <w:p w14:paraId="2F17429A" w14:textId="77777777" w:rsidR="00BD4D7C" w:rsidRPr="009E35ED" w:rsidRDefault="00BD4D7C" w:rsidP="00BD4D7C">
            <w:pPr>
              <w:ind w:left="29"/>
              <w:jc w:val="center"/>
              <w:rPr>
                <w:rFonts w:ascii="Arial Narrow" w:hAnsi="Arial Narrow" w:cs="Arial"/>
                <w:b/>
                <w:color w:val="000000" w:themeColor="text1"/>
                <w:sz w:val="22"/>
                <w:szCs w:val="22"/>
              </w:rPr>
            </w:pPr>
          </w:p>
          <w:p w14:paraId="2A62D50E" w14:textId="7D728D3A" w:rsidR="00BD4D7C" w:rsidRPr="009E35ED" w:rsidRDefault="00BD4D7C" w:rsidP="00BD4D7C">
            <w:pPr>
              <w:ind w:left="29"/>
              <w:jc w:val="center"/>
              <w:rPr>
                <w:rFonts w:ascii="Arial Narrow" w:hAnsi="Arial Narrow" w:cs="Arial"/>
                <w:b/>
                <w:color w:val="000000" w:themeColor="text1"/>
                <w:sz w:val="22"/>
                <w:szCs w:val="22"/>
              </w:rPr>
            </w:pPr>
          </w:p>
          <w:p w14:paraId="2C943C06" w14:textId="77777777" w:rsidR="00BD4D7C" w:rsidRPr="009E35ED" w:rsidRDefault="00BD4D7C" w:rsidP="00BD4D7C">
            <w:pPr>
              <w:ind w:left="29"/>
              <w:jc w:val="center"/>
              <w:rPr>
                <w:rFonts w:ascii="Arial Narrow" w:hAnsi="Arial Narrow" w:cs="Arial"/>
                <w:b/>
                <w:color w:val="000000" w:themeColor="text1"/>
                <w:sz w:val="22"/>
                <w:szCs w:val="22"/>
              </w:rPr>
            </w:pPr>
            <w:r w:rsidRPr="009E35ED">
              <w:rPr>
                <w:rFonts w:ascii="Arial Narrow" w:hAnsi="Arial Narrow" w:cs="Arial"/>
                <w:b/>
                <w:color w:val="000000" w:themeColor="text1"/>
                <w:sz w:val="22"/>
                <w:szCs w:val="22"/>
              </w:rPr>
              <w:t>GLOBALTECH</w:t>
            </w:r>
          </w:p>
        </w:tc>
        <w:tc>
          <w:tcPr>
            <w:tcW w:w="1145" w:type="pct"/>
            <w:shd w:val="clear" w:color="auto" w:fill="auto"/>
          </w:tcPr>
          <w:p w14:paraId="4DCF8606" w14:textId="77777777" w:rsidR="00BD4D7C" w:rsidRPr="009E35ED" w:rsidRDefault="00BD4D7C" w:rsidP="00BD4D7C">
            <w:pPr>
              <w:ind w:left="0"/>
              <w:rPr>
                <w:rFonts w:ascii="Arial Narrow" w:hAnsi="Arial Narrow" w:cs="Arial"/>
                <w:color w:val="000000" w:themeColor="text1"/>
                <w:sz w:val="22"/>
                <w:szCs w:val="22"/>
              </w:rPr>
            </w:pPr>
          </w:p>
          <w:p w14:paraId="2D5577D6" w14:textId="20F507B9" w:rsidR="00BD4D7C" w:rsidRPr="009E35ED" w:rsidRDefault="00BD4D7C" w:rsidP="00BD4D7C">
            <w:pPr>
              <w:ind w:left="0"/>
              <w:rPr>
                <w:rFonts w:ascii="Arial Narrow" w:hAnsi="Arial Narrow" w:cs="Arial"/>
                <w:color w:val="000000" w:themeColor="text1"/>
                <w:sz w:val="22"/>
                <w:szCs w:val="22"/>
              </w:rPr>
            </w:pPr>
            <w:r w:rsidRPr="009E35ED">
              <w:rPr>
                <w:rFonts w:ascii="Arial Narrow" w:hAnsi="Arial Narrow" w:cs="Arial"/>
                <w:color w:val="000000" w:themeColor="text1"/>
                <w:sz w:val="22"/>
                <w:szCs w:val="22"/>
              </w:rPr>
              <w:t xml:space="preserve">(1) GLOBALTECH MOBILE ONLINE CORPORATION VS. </w:t>
            </w:r>
            <w:r w:rsidR="00D15689" w:rsidRPr="009E35ED">
              <w:rPr>
                <w:rFonts w:ascii="Arial Narrow" w:hAnsi="Arial Narrow" w:cs="Arial"/>
                <w:color w:val="000000" w:themeColor="text1"/>
                <w:sz w:val="22"/>
                <w:szCs w:val="22"/>
              </w:rPr>
              <w:t>PCSO (</w:t>
            </w:r>
            <w:r w:rsidRPr="009E35ED">
              <w:rPr>
                <w:rFonts w:ascii="Arial Narrow" w:hAnsi="Arial Narrow" w:cs="Arial"/>
                <w:color w:val="000000" w:themeColor="text1"/>
                <w:sz w:val="22"/>
                <w:szCs w:val="22"/>
              </w:rPr>
              <w:t>R-PSG-23-00918-SP)</w:t>
            </w:r>
          </w:p>
          <w:p w14:paraId="42E3168C" w14:textId="77777777" w:rsidR="00BD4D7C" w:rsidRPr="009E35ED" w:rsidRDefault="00BD4D7C" w:rsidP="00BD4D7C">
            <w:pPr>
              <w:ind w:left="0"/>
              <w:rPr>
                <w:rFonts w:ascii="Arial Narrow" w:hAnsi="Arial Narrow" w:cs="Arial"/>
                <w:color w:val="000000" w:themeColor="text1"/>
                <w:sz w:val="22"/>
                <w:szCs w:val="22"/>
              </w:rPr>
            </w:pPr>
          </w:p>
        </w:tc>
        <w:tc>
          <w:tcPr>
            <w:tcW w:w="885" w:type="pct"/>
            <w:shd w:val="clear" w:color="auto" w:fill="auto"/>
          </w:tcPr>
          <w:p w14:paraId="1CE4CF7B" w14:textId="77777777" w:rsidR="00BD4D7C" w:rsidRPr="009E35ED" w:rsidRDefault="00BD4D7C" w:rsidP="00BD4D7C">
            <w:pPr>
              <w:ind w:left="0"/>
              <w:rPr>
                <w:rFonts w:ascii="Arial Narrow" w:hAnsi="Arial Narrow" w:cs="Arial"/>
                <w:color w:val="000000" w:themeColor="text1"/>
                <w:sz w:val="22"/>
                <w:szCs w:val="22"/>
              </w:rPr>
            </w:pPr>
          </w:p>
          <w:p w14:paraId="10F85443" w14:textId="77777777" w:rsidR="00BD4D7C" w:rsidRPr="009E35ED" w:rsidRDefault="00BD4D7C" w:rsidP="00BD4D7C">
            <w:pPr>
              <w:ind w:left="0"/>
              <w:rPr>
                <w:rFonts w:ascii="Arial Narrow" w:hAnsi="Arial Narrow" w:cs="Arial"/>
                <w:b/>
                <w:color w:val="000000" w:themeColor="text1"/>
                <w:sz w:val="22"/>
                <w:szCs w:val="22"/>
              </w:rPr>
            </w:pPr>
            <w:r w:rsidRPr="009E35ED">
              <w:rPr>
                <w:rFonts w:ascii="Arial Narrow" w:hAnsi="Arial Narrow" w:cs="Arial"/>
                <w:color w:val="000000" w:themeColor="text1"/>
                <w:sz w:val="22"/>
                <w:szCs w:val="22"/>
              </w:rPr>
              <w:t>PETITION TO VACATE ARBITRAL AWARD</w:t>
            </w:r>
          </w:p>
        </w:tc>
        <w:tc>
          <w:tcPr>
            <w:tcW w:w="1783" w:type="pct"/>
            <w:shd w:val="clear" w:color="auto" w:fill="auto"/>
          </w:tcPr>
          <w:p w14:paraId="21C5591F" w14:textId="77777777" w:rsidR="00BD4D7C" w:rsidRPr="009E35ED" w:rsidRDefault="00BD4D7C" w:rsidP="00BD4D7C">
            <w:pPr>
              <w:ind w:left="-6"/>
              <w:rPr>
                <w:rFonts w:ascii="Arial Narrow" w:hAnsi="Arial Narrow" w:cs="Arial"/>
                <w:color w:val="000000" w:themeColor="text1"/>
                <w:sz w:val="22"/>
                <w:szCs w:val="22"/>
              </w:rPr>
            </w:pPr>
          </w:p>
          <w:p w14:paraId="2AF8B861" w14:textId="1A13350F" w:rsidR="00BD4D7C" w:rsidRPr="009E35ED" w:rsidRDefault="00D15689" w:rsidP="00BD4D7C">
            <w:pPr>
              <w:ind w:left="-6"/>
              <w:rPr>
                <w:rFonts w:ascii="Arial Narrow" w:hAnsi="Arial Narrow" w:cs="Arial"/>
                <w:color w:val="000000" w:themeColor="text1"/>
                <w:sz w:val="22"/>
                <w:szCs w:val="22"/>
              </w:rPr>
            </w:pPr>
            <w:r>
              <w:rPr>
                <w:rFonts w:ascii="Arial Narrow" w:hAnsi="Arial Narrow" w:cs="Arial"/>
                <w:color w:val="000000" w:themeColor="text1"/>
                <w:sz w:val="22"/>
                <w:szCs w:val="22"/>
              </w:rPr>
              <w:t xml:space="preserve">The </w:t>
            </w:r>
            <w:r w:rsidR="00BD4D7C" w:rsidRPr="009E35ED">
              <w:rPr>
                <w:rFonts w:ascii="Arial Narrow" w:hAnsi="Arial Narrow" w:cs="Arial"/>
                <w:color w:val="000000" w:themeColor="text1"/>
                <w:sz w:val="22"/>
                <w:szCs w:val="22"/>
              </w:rPr>
              <w:t>PCSO filed Petition to Confirm Arbitral Award with Opposition to Petition to Vacate last 13 May 2023.</w:t>
            </w:r>
          </w:p>
          <w:p w14:paraId="22C62AF8" w14:textId="73360F95" w:rsidR="00BD4D7C" w:rsidRPr="009E35ED" w:rsidRDefault="00BD4D7C" w:rsidP="00BD4D7C">
            <w:pPr>
              <w:ind w:left="-6"/>
              <w:rPr>
                <w:rFonts w:ascii="Arial Narrow" w:hAnsi="Arial Narrow" w:cs="Arial"/>
                <w:color w:val="000000" w:themeColor="text1"/>
                <w:sz w:val="22"/>
                <w:szCs w:val="22"/>
              </w:rPr>
            </w:pPr>
            <w:r w:rsidRPr="009E35ED">
              <w:rPr>
                <w:rFonts w:ascii="Arial Narrow" w:hAnsi="Arial Narrow" w:cs="Arial"/>
                <w:color w:val="000000" w:themeColor="text1"/>
                <w:sz w:val="22"/>
                <w:szCs w:val="22"/>
              </w:rPr>
              <w:t>Branch 166 of RTC-Pasig City issued an Order requiring petitioner to file its Comment to PCSO’s Petition.</w:t>
            </w:r>
          </w:p>
          <w:p w14:paraId="276B3BBF" w14:textId="77777777" w:rsidR="00BD4D7C" w:rsidRPr="009E35ED" w:rsidRDefault="00BD4D7C" w:rsidP="00BD4D7C">
            <w:pPr>
              <w:ind w:left="-6"/>
              <w:rPr>
                <w:rFonts w:ascii="Arial Narrow" w:hAnsi="Arial Narrow" w:cs="Arial"/>
                <w:color w:val="000000" w:themeColor="text1"/>
                <w:sz w:val="22"/>
                <w:szCs w:val="22"/>
              </w:rPr>
            </w:pPr>
          </w:p>
          <w:p w14:paraId="57DFC515" w14:textId="11BC9856" w:rsidR="00BD4D7C" w:rsidRPr="009E35ED" w:rsidRDefault="00BD4D7C" w:rsidP="00BD4D7C">
            <w:pPr>
              <w:ind w:left="-6"/>
              <w:rPr>
                <w:rFonts w:ascii="Arial Narrow" w:hAnsi="Arial Narrow" w:cs="Arial"/>
                <w:color w:val="000000" w:themeColor="text1"/>
                <w:sz w:val="22"/>
                <w:szCs w:val="22"/>
              </w:rPr>
            </w:pPr>
            <w:r w:rsidRPr="009E35ED">
              <w:rPr>
                <w:rFonts w:ascii="Arial Narrow" w:hAnsi="Arial Narrow" w:cs="Arial"/>
                <w:color w:val="000000" w:themeColor="text1"/>
                <w:sz w:val="22"/>
                <w:szCs w:val="22"/>
              </w:rPr>
              <w:t xml:space="preserve">Decision dated 19 July 2023 denying and dismissing Globaltech’s petition and affirming and confirming in its </w:t>
            </w:r>
            <w:r w:rsidR="00375358" w:rsidRPr="009E35ED">
              <w:rPr>
                <w:rFonts w:ascii="Arial Narrow" w:hAnsi="Arial Narrow" w:cs="Arial"/>
                <w:color w:val="000000" w:themeColor="text1"/>
                <w:sz w:val="22"/>
                <w:szCs w:val="22"/>
              </w:rPr>
              <w:t>entire</w:t>
            </w:r>
            <w:r w:rsidRPr="009E35ED">
              <w:rPr>
                <w:rFonts w:ascii="Arial Narrow" w:hAnsi="Arial Narrow" w:cs="Arial"/>
                <w:color w:val="000000" w:themeColor="text1"/>
                <w:sz w:val="22"/>
                <w:szCs w:val="22"/>
              </w:rPr>
              <w:t xml:space="preserve"> the Final Arbitral Award and ordering its enforcement.</w:t>
            </w:r>
          </w:p>
          <w:p w14:paraId="7565B15C" w14:textId="77777777" w:rsidR="00057801" w:rsidRPr="009E35ED" w:rsidRDefault="00057801" w:rsidP="00BD4D7C">
            <w:pPr>
              <w:ind w:left="-6"/>
              <w:rPr>
                <w:rFonts w:ascii="Arial Narrow" w:hAnsi="Arial Narrow" w:cs="Arial"/>
                <w:color w:val="000000" w:themeColor="text1"/>
                <w:sz w:val="22"/>
                <w:szCs w:val="22"/>
              </w:rPr>
            </w:pPr>
          </w:p>
          <w:p w14:paraId="3E98A765" w14:textId="55248741" w:rsidR="00BD4D7C" w:rsidRPr="009E35ED" w:rsidRDefault="00BD4D7C" w:rsidP="00BD4D7C">
            <w:pPr>
              <w:ind w:left="-6"/>
              <w:rPr>
                <w:rFonts w:ascii="Arial Narrow" w:hAnsi="Arial Narrow" w:cs="Arial"/>
                <w:color w:val="000000" w:themeColor="text1"/>
                <w:sz w:val="22"/>
                <w:szCs w:val="22"/>
              </w:rPr>
            </w:pPr>
            <w:r w:rsidRPr="009E35ED">
              <w:rPr>
                <w:rFonts w:ascii="Arial Narrow" w:hAnsi="Arial Narrow" w:cs="Arial"/>
                <w:color w:val="000000" w:themeColor="text1"/>
                <w:sz w:val="22"/>
                <w:szCs w:val="22"/>
              </w:rPr>
              <w:t>Motion for Reconsideration of Globaltech was denied. Elevated to the SC.</w:t>
            </w:r>
          </w:p>
        </w:tc>
      </w:tr>
      <w:tr w:rsidR="00997F75" w:rsidRPr="009E35ED" w14:paraId="361D3119" w14:textId="77777777" w:rsidTr="00AF7FD6">
        <w:tc>
          <w:tcPr>
            <w:tcW w:w="1187" w:type="pct"/>
            <w:shd w:val="clear" w:color="auto" w:fill="auto"/>
          </w:tcPr>
          <w:p w14:paraId="0FF925A4" w14:textId="77777777" w:rsidR="00BD4D7C" w:rsidRPr="009E35ED" w:rsidRDefault="00BD4D7C" w:rsidP="00BD4D7C">
            <w:pPr>
              <w:ind w:left="29"/>
              <w:jc w:val="center"/>
              <w:rPr>
                <w:rFonts w:ascii="Arial Narrow" w:hAnsi="Arial Narrow" w:cs="Arial"/>
                <w:b/>
                <w:color w:val="000000" w:themeColor="text1"/>
                <w:sz w:val="22"/>
                <w:szCs w:val="22"/>
              </w:rPr>
            </w:pPr>
          </w:p>
          <w:p w14:paraId="6425ABFD" w14:textId="77777777" w:rsidR="00BD4D7C" w:rsidRPr="009E35ED" w:rsidRDefault="00BD4D7C" w:rsidP="00BD4D7C">
            <w:pPr>
              <w:ind w:left="29"/>
              <w:jc w:val="center"/>
              <w:rPr>
                <w:rFonts w:ascii="Arial Narrow" w:hAnsi="Arial Narrow" w:cs="Arial"/>
                <w:b/>
                <w:color w:val="000000" w:themeColor="text1"/>
                <w:sz w:val="22"/>
                <w:szCs w:val="22"/>
              </w:rPr>
            </w:pPr>
          </w:p>
        </w:tc>
        <w:tc>
          <w:tcPr>
            <w:tcW w:w="1145" w:type="pct"/>
            <w:shd w:val="clear" w:color="auto" w:fill="auto"/>
          </w:tcPr>
          <w:p w14:paraId="14440315" w14:textId="77777777" w:rsidR="00BD4D7C" w:rsidRPr="009E35ED" w:rsidRDefault="00BD4D7C" w:rsidP="00BD4D7C">
            <w:pPr>
              <w:ind w:left="0"/>
              <w:rPr>
                <w:rFonts w:ascii="Arial Narrow" w:hAnsi="Arial Narrow" w:cs="Arial"/>
                <w:color w:val="000000" w:themeColor="text1"/>
                <w:sz w:val="22"/>
                <w:szCs w:val="22"/>
              </w:rPr>
            </w:pPr>
            <w:r w:rsidRPr="009E35ED">
              <w:rPr>
                <w:rFonts w:ascii="Arial Narrow" w:hAnsi="Arial Narrow" w:cs="Arial"/>
                <w:color w:val="000000" w:themeColor="text1"/>
                <w:sz w:val="22"/>
                <w:szCs w:val="22"/>
              </w:rPr>
              <w:t xml:space="preserve">(2) Remeliza Gabuyo vs. Jose Aguiling, et al. (directors and officers of Globaltech Mobile Online Corp.)  </w:t>
            </w:r>
          </w:p>
          <w:p w14:paraId="103709A9" w14:textId="77777777" w:rsidR="00BD4D7C" w:rsidRPr="009E35ED" w:rsidRDefault="00BD4D7C" w:rsidP="00BD4D7C">
            <w:pPr>
              <w:ind w:left="0"/>
              <w:rPr>
                <w:rFonts w:ascii="Arial Narrow" w:hAnsi="Arial Narrow" w:cs="Arial"/>
                <w:color w:val="000000" w:themeColor="text1"/>
                <w:sz w:val="22"/>
                <w:szCs w:val="22"/>
              </w:rPr>
            </w:pPr>
            <w:r w:rsidRPr="009E35ED">
              <w:rPr>
                <w:rFonts w:ascii="Arial Narrow" w:hAnsi="Arial Narrow" w:cs="Arial"/>
                <w:color w:val="000000" w:themeColor="text1"/>
                <w:sz w:val="22"/>
                <w:szCs w:val="22"/>
              </w:rPr>
              <w:t>NPS IS No. XV-06-INV-16G-02511</w:t>
            </w:r>
          </w:p>
        </w:tc>
        <w:tc>
          <w:tcPr>
            <w:tcW w:w="885" w:type="pct"/>
            <w:shd w:val="clear" w:color="auto" w:fill="auto"/>
          </w:tcPr>
          <w:p w14:paraId="2A7A4162" w14:textId="77777777" w:rsidR="00BD4D7C" w:rsidRPr="009E35ED" w:rsidRDefault="00BD4D7C" w:rsidP="00BD4D7C">
            <w:pPr>
              <w:ind w:left="0"/>
              <w:rPr>
                <w:rFonts w:ascii="Arial Narrow" w:hAnsi="Arial Narrow" w:cs="Arial"/>
                <w:color w:val="000000" w:themeColor="text1"/>
                <w:sz w:val="22"/>
                <w:szCs w:val="22"/>
              </w:rPr>
            </w:pPr>
            <w:r w:rsidRPr="009E35ED">
              <w:rPr>
                <w:rFonts w:ascii="Arial Narrow" w:hAnsi="Arial Narrow" w:cs="Arial"/>
                <w:color w:val="000000" w:themeColor="text1"/>
                <w:sz w:val="22"/>
                <w:szCs w:val="22"/>
              </w:rPr>
              <w:t>Criminal Complaint  for estafa</w:t>
            </w:r>
          </w:p>
        </w:tc>
        <w:tc>
          <w:tcPr>
            <w:tcW w:w="1783" w:type="pct"/>
            <w:shd w:val="clear" w:color="auto" w:fill="auto"/>
          </w:tcPr>
          <w:p w14:paraId="2F2B0DCA" w14:textId="77777777" w:rsidR="00BD4D7C" w:rsidRPr="009E35ED" w:rsidRDefault="00BD4D7C" w:rsidP="00BD4D7C">
            <w:pPr>
              <w:ind w:left="-6"/>
              <w:rPr>
                <w:rFonts w:ascii="Arial Narrow" w:hAnsi="Arial Narrow" w:cs="Arial"/>
                <w:color w:val="000000" w:themeColor="text1"/>
                <w:sz w:val="22"/>
                <w:szCs w:val="22"/>
              </w:rPr>
            </w:pPr>
            <w:r w:rsidRPr="009E35ED">
              <w:rPr>
                <w:rFonts w:ascii="Arial Narrow" w:hAnsi="Arial Narrow" w:cs="Arial"/>
                <w:color w:val="000000" w:themeColor="text1"/>
                <w:sz w:val="22"/>
                <w:szCs w:val="22"/>
              </w:rPr>
              <w:t>PCSO’s Motion for Reconsideration of dismissal of the criminal complaint (25 January 2017) was denied by the Office of the City Prosecutor.</w:t>
            </w:r>
          </w:p>
          <w:p w14:paraId="2786C5A2" w14:textId="77777777" w:rsidR="005F608A" w:rsidRPr="009E35ED" w:rsidRDefault="005F608A" w:rsidP="00BD4D7C">
            <w:pPr>
              <w:ind w:left="-6"/>
              <w:rPr>
                <w:rFonts w:ascii="Arial Narrow" w:hAnsi="Arial Narrow" w:cs="Arial"/>
                <w:color w:val="000000" w:themeColor="text1"/>
                <w:sz w:val="22"/>
                <w:szCs w:val="22"/>
              </w:rPr>
            </w:pPr>
          </w:p>
          <w:p w14:paraId="21BCD946" w14:textId="68C9F9F3" w:rsidR="00BD4D7C" w:rsidRPr="009E35ED" w:rsidRDefault="00BD4D7C" w:rsidP="00BD4D7C">
            <w:pPr>
              <w:ind w:left="-6"/>
              <w:rPr>
                <w:rFonts w:ascii="Arial Narrow" w:hAnsi="Arial Narrow" w:cs="Arial"/>
                <w:color w:val="000000" w:themeColor="text1"/>
                <w:sz w:val="22"/>
                <w:szCs w:val="22"/>
              </w:rPr>
            </w:pPr>
            <w:r w:rsidRPr="009E35ED">
              <w:rPr>
                <w:rFonts w:ascii="Arial Narrow" w:hAnsi="Arial Narrow" w:cs="Arial"/>
                <w:color w:val="000000" w:themeColor="text1"/>
                <w:sz w:val="22"/>
                <w:szCs w:val="22"/>
              </w:rPr>
              <w:t>Petition for Review was filed before the DOJ</w:t>
            </w:r>
          </w:p>
          <w:p w14:paraId="78981F2B" w14:textId="77777777" w:rsidR="005F608A" w:rsidRPr="009E35ED" w:rsidRDefault="005F608A" w:rsidP="00BD4D7C">
            <w:pPr>
              <w:ind w:left="-6"/>
              <w:rPr>
                <w:rFonts w:ascii="Arial Narrow" w:hAnsi="Arial Narrow" w:cs="Arial"/>
                <w:color w:val="000000" w:themeColor="text1"/>
                <w:sz w:val="22"/>
                <w:szCs w:val="22"/>
              </w:rPr>
            </w:pPr>
          </w:p>
          <w:p w14:paraId="64E81291" w14:textId="28FD56AA" w:rsidR="00BD4D7C" w:rsidRPr="009E35ED" w:rsidRDefault="00BD4D7C" w:rsidP="00BD4D7C">
            <w:pPr>
              <w:ind w:left="-6"/>
              <w:rPr>
                <w:rFonts w:ascii="Arial Narrow" w:hAnsi="Arial Narrow" w:cs="Arial"/>
                <w:color w:val="000000" w:themeColor="text1"/>
                <w:sz w:val="22"/>
                <w:szCs w:val="22"/>
              </w:rPr>
            </w:pPr>
            <w:r w:rsidRPr="009E35ED">
              <w:rPr>
                <w:rFonts w:ascii="Arial Narrow" w:hAnsi="Arial Narrow" w:cs="Arial"/>
                <w:color w:val="000000" w:themeColor="text1"/>
                <w:sz w:val="22"/>
                <w:szCs w:val="22"/>
              </w:rPr>
              <w:t xml:space="preserve">On 14 June 2021, </w:t>
            </w:r>
            <w:r w:rsidR="00D15689">
              <w:rPr>
                <w:rFonts w:ascii="Arial Narrow" w:hAnsi="Arial Narrow" w:cs="Arial"/>
                <w:color w:val="000000" w:themeColor="text1"/>
                <w:sz w:val="22"/>
                <w:szCs w:val="22"/>
              </w:rPr>
              <w:t xml:space="preserve">the </w:t>
            </w:r>
            <w:r w:rsidRPr="009E35ED">
              <w:rPr>
                <w:rFonts w:ascii="Arial Narrow" w:hAnsi="Arial Narrow" w:cs="Arial"/>
                <w:color w:val="000000" w:themeColor="text1"/>
                <w:sz w:val="22"/>
                <w:szCs w:val="22"/>
              </w:rPr>
              <w:t>DOJ issued a  Resolution denying PCSO’s Petition for Review and affirming the Resolutions of the Office of the Prosecutor of Mandaluyong dismissing the complaint for Estafa against the respondents.</w:t>
            </w:r>
          </w:p>
        </w:tc>
      </w:tr>
      <w:tr w:rsidR="00997F75" w:rsidRPr="009E35ED" w14:paraId="6AEB68BF" w14:textId="77777777" w:rsidTr="00AF7FD6">
        <w:tc>
          <w:tcPr>
            <w:tcW w:w="1187" w:type="pct"/>
            <w:vMerge w:val="restart"/>
            <w:shd w:val="clear" w:color="auto" w:fill="auto"/>
          </w:tcPr>
          <w:p w14:paraId="18F15F8E" w14:textId="77777777" w:rsidR="00BD4D7C" w:rsidRPr="009E35ED" w:rsidRDefault="00BD4D7C" w:rsidP="00BD4D7C">
            <w:pPr>
              <w:ind w:left="29"/>
              <w:jc w:val="center"/>
              <w:rPr>
                <w:rFonts w:ascii="Arial Narrow" w:hAnsi="Arial Narrow" w:cs="Arial"/>
                <w:b/>
                <w:color w:val="000000" w:themeColor="text1"/>
                <w:sz w:val="22"/>
                <w:szCs w:val="22"/>
              </w:rPr>
            </w:pPr>
          </w:p>
        </w:tc>
        <w:tc>
          <w:tcPr>
            <w:tcW w:w="1145" w:type="pct"/>
            <w:shd w:val="clear" w:color="auto" w:fill="auto"/>
          </w:tcPr>
          <w:p w14:paraId="7EEB8B65" w14:textId="77777777" w:rsidR="00BD4D7C" w:rsidRPr="009E35ED" w:rsidRDefault="00BD4D7C" w:rsidP="00BD4D7C">
            <w:pPr>
              <w:ind w:left="0"/>
              <w:rPr>
                <w:rFonts w:ascii="Arial Narrow" w:hAnsi="Arial Narrow" w:cs="Arial"/>
                <w:color w:val="000000" w:themeColor="text1"/>
                <w:sz w:val="22"/>
                <w:szCs w:val="22"/>
              </w:rPr>
            </w:pPr>
            <w:r w:rsidRPr="009E35ED">
              <w:rPr>
                <w:rFonts w:ascii="Arial Narrow" w:hAnsi="Arial Narrow" w:cs="Arial"/>
                <w:color w:val="000000" w:themeColor="text1"/>
                <w:sz w:val="22"/>
                <w:szCs w:val="22"/>
              </w:rPr>
              <w:t>(3) Global Mobile Corporation vs. PNP, Dagupan Pangasinan</w:t>
            </w:r>
          </w:p>
          <w:p w14:paraId="2D4FA677" w14:textId="77777777" w:rsidR="00BD4D7C" w:rsidRPr="009E35ED" w:rsidRDefault="00BD4D7C" w:rsidP="00BD4D7C">
            <w:pPr>
              <w:ind w:left="0"/>
              <w:rPr>
                <w:rFonts w:ascii="Arial Narrow" w:hAnsi="Arial Narrow" w:cs="Arial"/>
                <w:color w:val="000000" w:themeColor="text1"/>
                <w:sz w:val="22"/>
                <w:szCs w:val="22"/>
              </w:rPr>
            </w:pPr>
          </w:p>
          <w:p w14:paraId="63B1F7F9" w14:textId="77777777" w:rsidR="00BD4D7C" w:rsidRPr="009E35ED" w:rsidRDefault="00BD4D7C" w:rsidP="00BD4D7C">
            <w:pPr>
              <w:ind w:left="0"/>
              <w:rPr>
                <w:rFonts w:ascii="Arial Narrow" w:hAnsi="Arial Narrow" w:cs="Arial"/>
                <w:color w:val="000000" w:themeColor="text1"/>
                <w:sz w:val="22"/>
                <w:szCs w:val="22"/>
              </w:rPr>
            </w:pPr>
            <w:r w:rsidRPr="009E35ED">
              <w:rPr>
                <w:rFonts w:ascii="Arial Narrow" w:hAnsi="Arial Narrow" w:cs="Arial"/>
                <w:color w:val="000000" w:themeColor="text1"/>
                <w:sz w:val="22"/>
                <w:szCs w:val="22"/>
              </w:rPr>
              <w:t>Civil Case No. 2018-0001-D</w:t>
            </w:r>
          </w:p>
        </w:tc>
        <w:tc>
          <w:tcPr>
            <w:tcW w:w="885" w:type="pct"/>
            <w:shd w:val="clear" w:color="auto" w:fill="auto"/>
          </w:tcPr>
          <w:p w14:paraId="3D82F601" w14:textId="58F101B6" w:rsidR="00BD4D7C" w:rsidRPr="009E35ED" w:rsidRDefault="00BD4D7C" w:rsidP="00BD4D7C">
            <w:pPr>
              <w:ind w:left="0"/>
              <w:rPr>
                <w:rFonts w:ascii="Arial Narrow" w:hAnsi="Arial Narrow" w:cs="Arial"/>
                <w:color w:val="000000" w:themeColor="text1"/>
                <w:sz w:val="22"/>
                <w:szCs w:val="22"/>
              </w:rPr>
            </w:pPr>
            <w:r w:rsidRPr="009E35ED">
              <w:rPr>
                <w:rFonts w:ascii="Arial Narrow" w:hAnsi="Arial Narrow" w:cs="Arial"/>
                <w:color w:val="000000" w:themeColor="text1"/>
                <w:sz w:val="22"/>
                <w:szCs w:val="22"/>
              </w:rPr>
              <w:t>Injunction and damages with prayer for</w:t>
            </w:r>
            <w:r w:rsidR="00D15689">
              <w:rPr>
                <w:rFonts w:ascii="Arial Narrow" w:hAnsi="Arial Narrow" w:cs="Arial"/>
                <w:color w:val="000000" w:themeColor="text1"/>
                <w:sz w:val="22"/>
                <w:szCs w:val="22"/>
              </w:rPr>
              <w:t xml:space="preserve"> the</w:t>
            </w:r>
            <w:r w:rsidRPr="009E35ED">
              <w:rPr>
                <w:rFonts w:ascii="Arial Narrow" w:hAnsi="Arial Narrow" w:cs="Arial"/>
                <w:color w:val="000000" w:themeColor="text1"/>
                <w:sz w:val="22"/>
                <w:szCs w:val="22"/>
              </w:rPr>
              <w:t xml:space="preserve"> TRO and</w:t>
            </w:r>
            <w:r w:rsidR="00D15689">
              <w:rPr>
                <w:rFonts w:ascii="Arial Narrow" w:hAnsi="Arial Narrow" w:cs="Arial"/>
                <w:color w:val="000000" w:themeColor="text1"/>
                <w:sz w:val="22"/>
                <w:szCs w:val="22"/>
              </w:rPr>
              <w:t xml:space="preserve"> the</w:t>
            </w:r>
            <w:r w:rsidRPr="009E35ED">
              <w:rPr>
                <w:rFonts w:ascii="Arial Narrow" w:hAnsi="Arial Narrow" w:cs="Arial"/>
                <w:color w:val="000000" w:themeColor="text1"/>
                <w:sz w:val="22"/>
                <w:szCs w:val="22"/>
              </w:rPr>
              <w:t xml:space="preserve"> WPI  </w:t>
            </w:r>
          </w:p>
        </w:tc>
        <w:tc>
          <w:tcPr>
            <w:tcW w:w="1783" w:type="pct"/>
            <w:shd w:val="clear" w:color="auto" w:fill="auto"/>
          </w:tcPr>
          <w:p w14:paraId="64246971" w14:textId="77777777" w:rsidR="00BD4D7C" w:rsidRPr="009E35ED" w:rsidRDefault="00BD4D7C" w:rsidP="00BD4D7C">
            <w:pPr>
              <w:ind w:left="-6"/>
              <w:rPr>
                <w:rFonts w:ascii="Arial Narrow" w:hAnsi="Arial Narrow" w:cs="Arial"/>
                <w:color w:val="000000" w:themeColor="text1"/>
                <w:sz w:val="22"/>
                <w:szCs w:val="22"/>
              </w:rPr>
            </w:pPr>
            <w:r w:rsidRPr="009E35ED">
              <w:rPr>
                <w:rFonts w:ascii="Arial Narrow" w:hAnsi="Arial Narrow" w:cs="Arial"/>
                <w:color w:val="000000" w:themeColor="text1"/>
                <w:sz w:val="22"/>
                <w:szCs w:val="22"/>
              </w:rPr>
              <w:t xml:space="preserve">Fourth TRO hearing dated 23 March 2018 </w:t>
            </w:r>
          </w:p>
          <w:p w14:paraId="6F7900E2" w14:textId="77777777" w:rsidR="005F608A" w:rsidRPr="009E35ED" w:rsidRDefault="005F608A" w:rsidP="00BD4D7C">
            <w:pPr>
              <w:ind w:left="-6"/>
              <w:rPr>
                <w:rFonts w:ascii="Arial Narrow" w:hAnsi="Arial Narrow" w:cs="Arial"/>
                <w:color w:val="000000" w:themeColor="text1"/>
                <w:sz w:val="22"/>
                <w:szCs w:val="22"/>
              </w:rPr>
            </w:pPr>
          </w:p>
          <w:p w14:paraId="63EDEF29" w14:textId="22A8DEB7" w:rsidR="00BD4D7C" w:rsidRPr="009E35ED" w:rsidRDefault="00D15689" w:rsidP="00BD4D7C">
            <w:pPr>
              <w:ind w:left="-6"/>
              <w:rPr>
                <w:rFonts w:ascii="Arial Narrow" w:hAnsi="Arial Narrow" w:cs="Arial"/>
                <w:color w:val="000000" w:themeColor="text1"/>
                <w:sz w:val="22"/>
                <w:szCs w:val="22"/>
              </w:rPr>
            </w:pPr>
            <w:r>
              <w:rPr>
                <w:rFonts w:ascii="Arial Narrow" w:hAnsi="Arial Narrow" w:cs="Arial"/>
                <w:color w:val="000000" w:themeColor="text1"/>
                <w:sz w:val="22"/>
                <w:szCs w:val="22"/>
              </w:rPr>
              <w:t xml:space="preserve">The </w:t>
            </w:r>
            <w:r w:rsidR="00BD4D7C" w:rsidRPr="009E35ED">
              <w:rPr>
                <w:rFonts w:ascii="Arial Narrow" w:hAnsi="Arial Narrow" w:cs="Arial"/>
                <w:color w:val="000000" w:themeColor="text1"/>
                <w:sz w:val="22"/>
                <w:szCs w:val="22"/>
              </w:rPr>
              <w:t>TRO application of Globaltech.</w:t>
            </w:r>
          </w:p>
          <w:p w14:paraId="4BCC1FCE" w14:textId="77777777" w:rsidR="005F608A" w:rsidRPr="009E35ED" w:rsidRDefault="005F608A" w:rsidP="00BD4D7C">
            <w:pPr>
              <w:ind w:left="-6"/>
              <w:rPr>
                <w:rFonts w:ascii="Arial Narrow" w:hAnsi="Arial Narrow" w:cs="Arial"/>
                <w:color w:val="000000" w:themeColor="text1"/>
                <w:sz w:val="22"/>
                <w:szCs w:val="22"/>
              </w:rPr>
            </w:pPr>
          </w:p>
          <w:p w14:paraId="39FCF34D" w14:textId="3C284D23" w:rsidR="00BD4D7C" w:rsidRPr="009E35ED" w:rsidRDefault="00D15689" w:rsidP="00BD4D7C">
            <w:pPr>
              <w:ind w:left="-6"/>
              <w:rPr>
                <w:rFonts w:ascii="Arial Narrow" w:hAnsi="Arial Narrow" w:cs="Arial"/>
                <w:color w:val="000000" w:themeColor="text1"/>
                <w:sz w:val="22"/>
                <w:szCs w:val="22"/>
              </w:rPr>
            </w:pPr>
            <w:r>
              <w:rPr>
                <w:rFonts w:ascii="Arial Narrow" w:hAnsi="Arial Narrow" w:cs="Arial"/>
                <w:color w:val="000000" w:themeColor="text1"/>
                <w:sz w:val="22"/>
                <w:szCs w:val="22"/>
              </w:rPr>
              <w:t xml:space="preserve">The </w:t>
            </w:r>
            <w:r w:rsidR="00BD4D7C" w:rsidRPr="009E35ED">
              <w:rPr>
                <w:rFonts w:ascii="Arial Narrow" w:hAnsi="Arial Narrow" w:cs="Arial"/>
                <w:color w:val="000000" w:themeColor="text1"/>
                <w:sz w:val="22"/>
                <w:szCs w:val="22"/>
              </w:rPr>
              <w:t xml:space="preserve">PCSO filed Answer and Comment to </w:t>
            </w:r>
            <w:r>
              <w:rPr>
                <w:rFonts w:ascii="Arial Narrow" w:hAnsi="Arial Narrow" w:cs="Arial"/>
                <w:color w:val="000000" w:themeColor="text1"/>
                <w:sz w:val="22"/>
                <w:szCs w:val="22"/>
              </w:rPr>
              <w:t xml:space="preserve">the </w:t>
            </w:r>
            <w:r w:rsidR="00BD4D7C" w:rsidRPr="009E35ED">
              <w:rPr>
                <w:rFonts w:ascii="Arial Narrow" w:hAnsi="Arial Narrow" w:cs="Arial"/>
                <w:color w:val="000000" w:themeColor="text1"/>
                <w:sz w:val="22"/>
                <w:szCs w:val="22"/>
              </w:rPr>
              <w:t>TRO.</w:t>
            </w:r>
          </w:p>
          <w:p w14:paraId="5031F9FE" w14:textId="77777777" w:rsidR="005F608A" w:rsidRPr="009E35ED" w:rsidRDefault="005F608A" w:rsidP="00BD4D7C">
            <w:pPr>
              <w:ind w:left="-6"/>
              <w:rPr>
                <w:rFonts w:ascii="Arial Narrow" w:hAnsi="Arial Narrow" w:cs="Arial"/>
                <w:color w:val="000000" w:themeColor="text1"/>
                <w:sz w:val="22"/>
                <w:szCs w:val="22"/>
              </w:rPr>
            </w:pPr>
          </w:p>
          <w:p w14:paraId="380EB108" w14:textId="70ED06FD" w:rsidR="00BD4D7C" w:rsidRPr="009E35ED" w:rsidRDefault="00BD4D7C" w:rsidP="00BD4D7C">
            <w:pPr>
              <w:ind w:left="-6"/>
              <w:rPr>
                <w:rFonts w:ascii="Arial Narrow" w:hAnsi="Arial Narrow" w:cs="Arial"/>
                <w:color w:val="000000" w:themeColor="text1"/>
                <w:sz w:val="22"/>
                <w:szCs w:val="22"/>
              </w:rPr>
            </w:pPr>
            <w:r w:rsidRPr="009E35ED">
              <w:rPr>
                <w:rFonts w:ascii="Arial Narrow" w:hAnsi="Arial Narrow" w:cs="Arial"/>
                <w:color w:val="000000" w:themeColor="text1"/>
                <w:sz w:val="22"/>
                <w:szCs w:val="22"/>
              </w:rPr>
              <w:t>Denied TRO - 23 March 2018</w:t>
            </w:r>
          </w:p>
          <w:p w14:paraId="2D0A7C78" w14:textId="77777777" w:rsidR="005F608A" w:rsidRPr="009E35ED" w:rsidRDefault="005F608A" w:rsidP="00BD4D7C">
            <w:pPr>
              <w:ind w:left="-6"/>
              <w:rPr>
                <w:rFonts w:ascii="Arial Narrow" w:hAnsi="Arial Narrow" w:cs="Arial"/>
                <w:color w:val="000000" w:themeColor="text1"/>
                <w:sz w:val="22"/>
                <w:szCs w:val="22"/>
              </w:rPr>
            </w:pPr>
          </w:p>
          <w:p w14:paraId="26AA5481" w14:textId="28505646" w:rsidR="00BD4D7C" w:rsidRPr="009E35ED" w:rsidRDefault="00BD4D7C" w:rsidP="00BD4D7C">
            <w:pPr>
              <w:ind w:left="-6"/>
              <w:rPr>
                <w:rFonts w:ascii="Arial Narrow" w:hAnsi="Arial Narrow" w:cs="Arial"/>
                <w:color w:val="000000" w:themeColor="text1"/>
                <w:sz w:val="22"/>
                <w:szCs w:val="22"/>
              </w:rPr>
            </w:pPr>
            <w:r w:rsidRPr="009E35ED">
              <w:rPr>
                <w:rFonts w:ascii="Arial Narrow" w:hAnsi="Arial Narrow" w:cs="Arial"/>
                <w:color w:val="000000" w:themeColor="text1"/>
                <w:sz w:val="22"/>
                <w:szCs w:val="22"/>
              </w:rPr>
              <w:t>Hearing on 20 September 2018</w:t>
            </w:r>
          </w:p>
          <w:p w14:paraId="2ABF8DFA" w14:textId="77777777" w:rsidR="003C7DA0" w:rsidRPr="009E35ED" w:rsidRDefault="003C7DA0" w:rsidP="00BD4D7C">
            <w:pPr>
              <w:ind w:left="-6"/>
              <w:rPr>
                <w:rFonts w:ascii="Arial Narrow" w:hAnsi="Arial Narrow" w:cs="Arial"/>
                <w:color w:val="000000" w:themeColor="text1"/>
                <w:sz w:val="22"/>
                <w:szCs w:val="22"/>
              </w:rPr>
            </w:pPr>
          </w:p>
          <w:p w14:paraId="6F788F1C" w14:textId="25F107A8" w:rsidR="00BD4D7C" w:rsidRPr="009E35ED" w:rsidRDefault="00BD4D7C" w:rsidP="00BD4D7C">
            <w:pPr>
              <w:ind w:left="-6"/>
              <w:rPr>
                <w:rFonts w:ascii="Arial Narrow" w:hAnsi="Arial Narrow" w:cs="Arial"/>
                <w:color w:val="000000" w:themeColor="text1"/>
                <w:sz w:val="22"/>
                <w:szCs w:val="22"/>
              </w:rPr>
            </w:pPr>
            <w:r w:rsidRPr="009E35ED">
              <w:rPr>
                <w:rFonts w:ascii="Arial Narrow" w:hAnsi="Arial Narrow" w:cs="Arial"/>
                <w:color w:val="000000" w:themeColor="text1"/>
                <w:sz w:val="22"/>
                <w:szCs w:val="22"/>
              </w:rPr>
              <w:t>MR on Denied TRO is Denied - Order dated dated 17 September 2018</w:t>
            </w:r>
          </w:p>
          <w:p w14:paraId="1F0335A7" w14:textId="77777777" w:rsidR="003C7DA0" w:rsidRPr="009E35ED" w:rsidRDefault="003C7DA0" w:rsidP="00BD4D7C">
            <w:pPr>
              <w:ind w:left="-6"/>
              <w:rPr>
                <w:rFonts w:ascii="Arial Narrow" w:hAnsi="Arial Narrow" w:cs="Arial"/>
                <w:color w:val="000000" w:themeColor="text1"/>
                <w:sz w:val="22"/>
                <w:szCs w:val="22"/>
              </w:rPr>
            </w:pPr>
          </w:p>
          <w:p w14:paraId="332D4637" w14:textId="56746DD7" w:rsidR="00BD4D7C" w:rsidRPr="009E35ED" w:rsidRDefault="00BD4D7C" w:rsidP="003C7DA0">
            <w:pPr>
              <w:ind w:left="-6"/>
              <w:rPr>
                <w:rFonts w:ascii="Arial Narrow" w:hAnsi="Arial Narrow" w:cs="Arial"/>
                <w:color w:val="000000" w:themeColor="text1"/>
                <w:sz w:val="22"/>
                <w:szCs w:val="22"/>
              </w:rPr>
            </w:pPr>
            <w:r w:rsidRPr="009E35ED">
              <w:rPr>
                <w:rFonts w:ascii="Arial Narrow" w:hAnsi="Arial Narrow" w:cs="Arial"/>
                <w:color w:val="000000" w:themeColor="text1"/>
                <w:sz w:val="22"/>
                <w:szCs w:val="22"/>
              </w:rPr>
              <w:t>Pending</w:t>
            </w:r>
          </w:p>
        </w:tc>
      </w:tr>
      <w:tr w:rsidR="00997F75" w:rsidRPr="009E35ED" w14:paraId="2C3105B0" w14:textId="77777777" w:rsidTr="00AF7FD6">
        <w:tc>
          <w:tcPr>
            <w:tcW w:w="1187" w:type="pct"/>
            <w:vMerge/>
            <w:shd w:val="clear" w:color="auto" w:fill="auto"/>
          </w:tcPr>
          <w:p w14:paraId="641E4D23" w14:textId="77777777" w:rsidR="00BD4D7C" w:rsidRPr="009E35ED" w:rsidRDefault="00BD4D7C" w:rsidP="00BD4D7C">
            <w:pPr>
              <w:ind w:left="29"/>
              <w:jc w:val="center"/>
              <w:rPr>
                <w:rFonts w:ascii="Arial Narrow" w:hAnsi="Arial Narrow" w:cs="Arial"/>
                <w:b/>
                <w:color w:val="000000" w:themeColor="text1"/>
                <w:sz w:val="22"/>
                <w:szCs w:val="22"/>
              </w:rPr>
            </w:pPr>
          </w:p>
        </w:tc>
        <w:tc>
          <w:tcPr>
            <w:tcW w:w="1145" w:type="pct"/>
            <w:shd w:val="clear" w:color="auto" w:fill="auto"/>
          </w:tcPr>
          <w:p w14:paraId="79822B53" w14:textId="77777777" w:rsidR="00BD4D7C" w:rsidRPr="009E35ED" w:rsidRDefault="00BD4D7C" w:rsidP="00BD4D7C">
            <w:pPr>
              <w:ind w:left="0"/>
              <w:rPr>
                <w:rFonts w:ascii="Arial Narrow" w:hAnsi="Arial Narrow" w:cs="Arial"/>
                <w:color w:val="000000" w:themeColor="text1"/>
                <w:sz w:val="22"/>
                <w:szCs w:val="22"/>
              </w:rPr>
            </w:pPr>
            <w:r w:rsidRPr="009E35ED">
              <w:rPr>
                <w:rFonts w:ascii="Arial Narrow" w:hAnsi="Arial Narrow" w:cs="Arial"/>
                <w:color w:val="000000" w:themeColor="text1"/>
                <w:sz w:val="22"/>
                <w:szCs w:val="22"/>
              </w:rPr>
              <w:t>(4) Globaltech v. PO3 Reynold Luspo, et al. (for Damages) docketed as Civil Case No. 2018-757 before the Regional Trial Court, Branch 39 of Cagayan de Oro</w:t>
            </w:r>
          </w:p>
        </w:tc>
        <w:tc>
          <w:tcPr>
            <w:tcW w:w="885" w:type="pct"/>
            <w:shd w:val="clear" w:color="auto" w:fill="auto"/>
          </w:tcPr>
          <w:p w14:paraId="11C519C6" w14:textId="77777777" w:rsidR="00BD4D7C" w:rsidRPr="009E35ED" w:rsidRDefault="00BD4D7C" w:rsidP="00BD4D7C">
            <w:pPr>
              <w:ind w:left="0"/>
              <w:rPr>
                <w:rFonts w:ascii="Arial Narrow" w:hAnsi="Arial Narrow" w:cs="Arial"/>
                <w:color w:val="000000" w:themeColor="text1"/>
                <w:sz w:val="22"/>
                <w:szCs w:val="22"/>
              </w:rPr>
            </w:pPr>
          </w:p>
        </w:tc>
        <w:tc>
          <w:tcPr>
            <w:tcW w:w="1783" w:type="pct"/>
            <w:shd w:val="clear" w:color="auto" w:fill="auto"/>
          </w:tcPr>
          <w:p w14:paraId="517A75E7" w14:textId="77777777" w:rsidR="00BD4D7C" w:rsidRPr="009E35ED" w:rsidRDefault="00BD4D7C" w:rsidP="00BD4D7C">
            <w:pPr>
              <w:ind w:left="-6"/>
              <w:rPr>
                <w:rFonts w:ascii="Arial Narrow" w:hAnsi="Arial Narrow" w:cs="Arial"/>
                <w:color w:val="000000" w:themeColor="text1"/>
                <w:sz w:val="22"/>
                <w:szCs w:val="22"/>
              </w:rPr>
            </w:pPr>
            <w:r w:rsidRPr="009E35ED">
              <w:rPr>
                <w:rFonts w:ascii="Arial Narrow" w:hAnsi="Arial Narrow" w:cs="Arial"/>
                <w:color w:val="000000" w:themeColor="text1"/>
                <w:sz w:val="22"/>
                <w:szCs w:val="22"/>
              </w:rPr>
              <w:t xml:space="preserve">PCSO Motion for Intervention </w:t>
            </w:r>
          </w:p>
          <w:p w14:paraId="551F5F91" w14:textId="77777777" w:rsidR="003C7DA0" w:rsidRPr="009E35ED" w:rsidRDefault="003C7DA0" w:rsidP="00BD4D7C">
            <w:pPr>
              <w:ind w:left="-6"/>
              <w:rPr>
                <w:rFonts w:ascii="Arial Narrow" w:hAnsi="Arial Narrow" w:cs="Arial"/>
                <w:color w:val="000000" w:themeColor="text1"/>
                <w:sz w:val="22"/>
                <w:szCs w:val="22"/>
              </w:rPr>
            </w:pPr>
          </w:p>
          <w:p w14:paraId="620A08DD" w14:textId="2C9B371C" w:rsidR="00BD4D7C" w:rsidRPr="009E35ED" w:rsidRDefault="00BD4D7C" w:rsidP="00BD4D7C">
            <w:pPr>
              <w:ind w:left="-6"/>
              <w:rPr>
                <w:rFonts w:ascii="Arial Narrow" w:hAnsi="Arial Narrow" w:cs="Arial"/>
                <w:color w:val="000000" w:themeColor="text1"/>
                <w:sz w:val="22"/>
                <w:szCs w:val="22"/>
              </w:rPr>
            </w:pPr>
            <w:r w:rsidRPr="009E35ED">
              <w:rPr>
                <w:rFonts w:ascii="Arial Narrow" w:hAnsi="Arial Narrow" w:cs="Arial"/>
                <w:color w:val="000000" w:themeColor="text1"/>
                <w:sz w:val="22"/>
                <w:szCs w:val="22"/>
              </w:rPr>
              <w:t>The RTC admitted PCSO’s intervention. In addition,</w:t>
            </w:r>
            <w:r w:rsidR="00D15689">
              <w:rPr>
                <w:rFonts w:ascii="Arial Narrow" w:hAnsi="Arial Narrow" w:cs="Arial"/>
                <w:color w:val="000000" w:themeColor="text1"/>
                <w:sz w:val="22"/>
                <w:szCs w:val="22"/>
              </w:rPr>
              <w:t xml:space="preserve"> the</w:t>
            </w:r>
            <w:r w:rsidRPr="009E35ED">
              <w:rPr>
                <w:rFonts w:ascii="Arial Narrow" w:hAnsi="Arial Narrow" w:cs="Arial"/>
                <w:color w:val="000000" w:themeColor="text1"/>
                <w:sz w:val="22"/>
                <w:szCs w:val="22"/>
              </w:rPr>
              <w:t xml:space="preserve"> PCSO filed a Comment/Opposition against Globaltech’s Motion to Archive the case pending negotiations with the police officers and the defendants. PCSO’s position is that the negotiation, if these is one, is illegal and the case should be dismissed for lack of cause of action.</w:t>
            </w:r>
          </w:p>
          <w:p w14:paraId="7BB16EFD" w14:textId="77777777" w:rsidR="003C7DA0" w:rsidRPr="009E35ED" w:rsidRDefault="003C7DA0" w:rsidP="00BD4D7C">
            <w:pPr>
              <w:ind w:left="-6"/>
              <w:rPr>
                <w:rFonts w:ascii="Arial Narrow" w:hAnsi="Arial Narrow" w:cs="Arial"/>
                <w:color w:val="000000" w:themeColor="text1"/>
                <w:sz w:val="22"/>
                <w:szCs w:val="22"/>
              </w:rPr>
            </w:pPr>
          </w:p>
          <w:p w14:paraId="36030058" w14:textId="2FA22D52" w:rsidR="00BD4D7C" w:rsidRPr="009E35ED" w:rsidRDefault="00BD4D7C" w:rsidP="00BD4D7C">
            <w:pPr>
              <w:ind w:left="-6"/>
              <w:rPr>
                <w:rFonts w:ascii="Arial Narrow" w:hAnsi="Arial Narrow" w:cs="Arial"/>
                <w:color w:val="000000" w:themeColor="text1"/>
                <w:sz w:val="22"/>
                <w:szCs w:val="22"/>
              </w:rPr>
            </w:pPr>
            <w:r w:rsidRPr="009E35ED">
              <w:rPr>
                <w:rFonts w:ascii="Arial Narrow" w:hAnsi="Arial Narrow" w:cs="Arial"/>
                <w:color w:val="000000" w:themeColor="text1"/>
                <w:sz w:val="22"/>
                <w:szCs w:val="22"/>
              </w:rPr>
              <w:t>Pending.</w:t>
            </w:r>
          </w:p>
        </w:tc>
      </w:tr>
      <w:tr w:rsidR="00997F75" w:rsidRPr="009E35ED" w14:paraId="7FFB78C7" w14:textId="77777777" w:rsidTr="00AF7FD6">
        <w:tc>
          <w:tcPr>
            <w:tcW w:w="1187" w:type="pct"/>
            <w:vMerge/>
            <w:shd w:val="clear" w:color="auto" w:fill="auto"/>
          </w:tcPr>
          <w:p w14:paraId="6FB402FB" w14:textId="77777777" w:rsidR="00BD4D7C" w:rsidRPr="009E35ED" w:rsidRDefault="00BD4D7C" w:rsidP="00BD4D7C">
            <w:pPr>
              <w:ind w:left="29"/>
              <w:jc w:val="center"/>
              <w:rPr>
                <w:rFonts w:ascii="Arial Narrow" w:hAnsi="Arial Narrow" w:cs="Arial"/>
                <w:b/>
                <w:color w:val="000000" w:themeColor="text1"/>
                <w:sz w:val="22"/>
                <w:szCs w:val="22"/>
              </w:rPr>
            </w:pPr>
          </w:p>
        </w:tc>
        <w:tc>
          <w:tcPr>
            <w:tcW w:w="1145" w:type="pct"/>
            <w:shd w:val="clear" w:color="auto" w:fill="auto"/>
          </w:tcPr>
          <w:p w14:paraId="67E3536A" w14:textId="0B2CC641" w:rsidR="00BD4D7C" w:rsidRPr="009E35ED" w:rsidRDefault="00BD4D7C" w:rsidP="00BD4D7C">
            <w:pPr>
              <w:ind w:left="0"/>
              <w:rPr>
                <w:rFonts w:ascii="Arial Narrow" w:hAnsi="Arial Narrow" w:cs="Arial"/>
                <w:color w:val="000000" w:themeColor="text1"/>
                <w:sz w:val="22"/>
                <w:szCs w:val="22"/>
              </w:rPr>
            </w:pPr>
            <w:r w:rsidRPr="009E35ED">
              <w:rPr>
                <w:rFonts w:ascii="Arial Narrow" w:hAnsi="Arial Narrow" w:cs="Arial"/>
                <w:color w:val="000000" w:themeColor="text1"/>
                <w:sz w:val="22"/>
                <w:szCs w:val="22"/>
              </w:rPr>
              <w:t xml:space="preserve">(5) Globaltech v. Saturn Gaming N’ Amusement Corp., Atty. Dante Gierran and Atty, Antonio Pagatpat, NBI (for </w:t>
            </w:r>
            <w:r w:rsidR="00375358" w:rsidRPr="009E35ED">
              <w:rPr>
                <w:rFonts w:ascii="Arial Narrow" w:hAnsi="Arial Narrow" w:cs="Arial"/>
                <w:color w:val="000000" w:themeColor="text1"/>
                <w:sz w:val="22"/>
                <w:szCs w:val="22"/>
              </w:rPr>
              <w:t>Damages) as</w:t>
            </w:r>
            <w:r w:rsidRPr="009E35ED">
              <w:rPr>
                <w:rFonts w:ascii="Arial Narrow" w:hAnsi="Arial Narrow" w:cs="Arial"/>
                <w:color w:val="000000" w:themeColor="text1"/>
                <w:sz w:val="22"/>
                <w:szCs w:val="22"/>
              </w:rPr>
              <w:t xml:space="preserve"> Civil Case Man-8009 before the Regional Trial Court, Branch 88 of Mandaue City </w:t>
            </w:r>
          </w:p>
          <w:p w14:paraId="1703E9A5" w14:textId="77777777" w:rsidR="00BD4D7C" w:rsidRPr="009E35ED" w:rsidRDefault="00BD4D7C" w:rsidP="00BD4D7C">
            <w:pPr>
              <w:ind w:left="0"/>
              <w:rPr>
                <w:rFonts w:ascii="Arial Narrow" w:hAnsi="Arial Narrow" w:cs="Arial"/>
                <w:color w:val="000000" w:themeColor="text1"/>
                <w:sz w:val="22"/>
                <w:szCs w:val="22"/>
              </w:rPr>
            </w:pPr>
          </w:p>
        </w:tc>
        <w:tc>
          <w:tcPr>
            <w:tcW w:w="885" w:type="pct"/>
            <w:shd w:val="clear" w:color="auto" w:fill="auto"/>
          </w:tcPr>
          <w:p w14:paraId="0C271425" w14:textId="77777777" w:rsidR="00BD4D7C" w:rsidRPr="009E35ED" w:rsidRDefault="00BD4D7C" w:rsidP="00BD4D7C">
            <w:pPr>
              <w:ind w:left="0"/>
              <w:rPr>
                <w:rFonts w:ascii="Arial Narrow" w:hAnsi="Arial Narrow" w:cs="Arial"/>
                <w:color w:val="000000" w:themeColor="text1"/>
                <w:sz w:val="22"/>
                <w:szCs w:val="22"/>
              </w:rPr>
            </w:pPr>
          </w:p>
        </w:tc>
        <w:tc>
          <w:tcPr>
            <w:tcW w:w="1783" w:type="pct"/>
            <w:shd w:val="clear" w:color="auto" w:fill="auto"/>
          </w:tcPr>
          <w:p w14:paraId="523C8191" w14:textId="77777777" w:rsidR="00BD4D7C" w:rsidRPr="009E35ED" w:rsidRDefault="00BD4D7C" w:rsidP="00BD4D7C">
            <w:pPr>
              <w:ind w:left="-6"/>
              <w:rPr>
                <w:rFonts w:ascii="Arial Narrow" w:hAnsi="Arial Narrow" w:cs="Arial"/>
                <w:color w:val="000000" w:themeColor="text1"/>
                <w:sz w:val="22"/>
                <w:szCs w:val="22"/>
              </w:rPr>
            </w:pPr>
            <w:r w:rsidRPr="009E35ED">
              <w:rPr>
                <w:rFonts w:ascii="Arial Narrow" w:hAnsi="Arial Narrow" w:cs="Arial"/>
                <w:color w:val="000000" w:themeColor="text1"/>
                <w:sz w:val="22"/>
                <w:szCs w:val="22"/>
              </w:rPr>
              <w:t xml:space="preserve">PCSO Motion for Intervention. </w:t>
            </w:r>
          </w:p>
          <w:p w14:paraId="55ED0115" w14:textId="77777777" w:rsidR="003C7DA0" w:rsidRPr="009E35ED" w:rsidRDefault="003C7DA0" w:rsidP="00BD4D7C">
            <w:pPr>
              <w:ind w:left="-6"/>
              <w:rPr>
                <w:rFonts w:ascii="Arial Narrow" w:hAnsi="Arial Narrow" w:cs="Arial"/>
                <w:color w:val="000000" w:themeColor="text1"/>
                <w:sz w:val="22"/>
                <w:szCs w:val="22"/>
              </w:rPr>
            </w:pPr>
          </w:p>
          <w:p w14:paraId="7643855E" w14:textId="4BA6B7FB" w:rsidR="00BD4D7C" w:rsidRPr="009E35ED" w:rsidRDefault="00BD4D7C" w:rsidP="00BD4D7C">
            <w:pPr>
              <w:ind w:left="-6"/>
              <w:rPr>
                <w:rFonts w:ascii="Arial Narrow" w:hAnsi="Arial Narrow" w:cs="Arial"/>
                <w:color w:val="000000" w:themeColor="text1"/>
                <w:sz w:val="22"/>
                <w:szCs w:val="22"/>
              </w:rPr>
            </w:pPr>
            <w:r w:rsidRPr="009E35ED">
              <w:rPr>
                <w:rFonts w:ascii="Arial Narrow" w:hAnsi="Arial Narrow" w:cs="Arial"/>
                <w:color w:val="000000" w:themeColor="text1"/>
                <w:sz w:val="22"/>
                <w:szCs w:val="22"/>
              </w:rPr>
              <w:t>PCSO’s motion for intervention with attached Answer-in-Intervention is pending resolution. The RTC required Globaltech to file Comment.  The NBI has also filed its Answer.</w:t>
            </w:r>
          </w:p>
          <w:p w14:paraId="0150259D" w14:textId="77777777" w:rsidR="003C7DA0" w:rsidRPr="009E35ED" w:rsidRDefault="003C7DA0" w:rsidP="00BD4D7C">
            <w:pPr>
              <w:ind w:left="-6"/>
              <w:rPr>
                <w:rFonts w:ascii="Arial Narrow" w:hAnsi="Arial Narrow" w:cs="Arial"/>
                <w:color w:val="000000" w:themeColor="text1"/>
                <w:sz w:val="22"/>
                <w:szCs w:val="22"/>
              </w:rPr>
            </w:pPr>
          </w:p>
          <w:p w14:paraId="1760645B" w14:textId="004F67DC" w:rsidR="00BD4D7C" w:rsidRPr="009E35ED" w:rsidRDefault="00BD4D7C" w:rsidP="00BD4D7C">
            <w:pPr>
              <w:ind w:left="-6"/>
              <w:rPr>
                <w:rFonts w:ascii="Arial Narrow" w:hAnsi="Arial Narrow" w:cs="Arial"/>
                <w:color w:val="000000" w:themeColor="text1"/>
                <w:sz w:val="22"/>
                <w:szCs w:val="22"/>
              </w:rPr>
            </w:pPr>
            <w:r w:rsidRPr="009E35ED">
              <w:rPr>
                <w:rFonts w:ascii="Arial Narrow" w:hAnsi="Arial Narrow" w:cs="Arial"/>
                <w:color w:val="000000" w:themeColor="text1"/>
                <w:sz w:val="22"/>
                <w:szCs w:val="22"/>
              </w:rPr>
              <w:t>The RTC denied the Motion for Intervention and Motion for Reconsideration filed by the PCSO.</w:t>
            </w:r>
          </w:p>
          <w:p w14:paraId="242F7724" w14:textId="77777777" w:rsidR="003C7DA0" w:rsidRPr="009E35ED" w:rsidRDefault="003C7DA0" w:rsidP="00BD4D7C">
            <w:pPr>
              <w:ind w:left="-6"/>
              <w:rPr>
                <w:rFonts w:ascii="Arial Narrow" w:hAnsi="Arial Narrow" w:cs="Arial"/>
                <w:color w:val="000000" w:themeColor="text1"/>
                <w:sz w:val="22"/>
                <w:szCs w:val="22"/>
              </w:rPr>
            </w:pPr>
          </w:p>
          <w:p w14:paraId="67F6BE9D" w14:textId="16A057BF" w:rsidR="00BD4D7C" w:rsidRPr="009E35ED" w:rsidRDefault="00BD4D7C" w:rsidP="00BD4D7C">
            <w:pPr>
              <w:ind w:left="-6"/>
              <w:rPr>
                <w:rFonts w:ascii="Arial Narrow" w:hAnsi="Arial Narrow" w:cs="Arial"/>
                <w:color w:val="000000" w:themeColor="text1"/>
                <w:sz w:val="22"/>
                <w:szCs w:val="22"/>
              </w:rPr>
            </w:pPr>
            <w:r w:rsidRPr="009E35ED">
              <w:rPr>
                <w:rFonts w:ascii="Arial Narrow" w:hAnsi="Arial Narrow" w:cs="Arial"/>
                <w:color w:val="000000" w:themeColor="text1"/>
                <w:sz w:val="22"/>
                <w:szCs w:val="22"/>
              </w:rPr>
              <w:t xml:space="preserve">The matter was elevated to the CA which dismissed PCSO’s petition. Subsequently, OGCC opined that any petition before the SC is already moot and academic since the authority of Saturn Gaming has been terminated. Likewise, PCSO’s motion for intervention is moot and academic as </w:t>
            </w:r>
            <w:r w:rsidR="00D15689">
              <w:rPr>
                <w:rFonts w:ascii="Arial Narrow" w:hAnsi="Arial Narrow" w:cs="Arial"/>
                <w:color w:val="000000" w:themeColor="text1"/>
                <w:sz w:val="22"/>
                <w:szCs w:val="22"/>
              </w:rPr>
              <w:t xml:space="preserve">The </w:t>
            </w:r>
            <w:r w:rsidRPr="009E35ED">
              <w:rPr>
                <w:rFonts w:ascii="Arial Narrow" w:hAnsi="Arial Narrow" w:cs="Arial"/>
                <w:color w:val="000000" w:themeColor="text1"/>
                <w:sz w:val="22"/>
                <w:szCs w:val="22"/>
              </w:rPr>
              <w:t>RTC has already dismissed the case.</w:t>
            </w:r>
          </w:p>
        </w:tc>
      </w:tr>
      <w:tr w:rsidR="00997F75" w:rsidRPr="009E35ED" w14:paraId="571518E7" w14:textId="77777777" w:rsidTr="00AF7FD6">
        <w:tc>
          <w:tcPr>
            <w:tcW w:w="1187" w:type="pct"/>
            <w:shd w:val="clear" w:color="auto" w:fill="auto"/>
          </w:tcPr>
          <w:p w14:paraId="6D557223" w14:textId="77777777" w:rsidR="00BD4D7C" w:rsidRPr="009E35ED" w:rsidRDefault="00BD4D7C" w:rsidP="00BD4D7C">
            <w:pPr>
              <w:ind w:left="29"/>
              <w:jc w:val="center"/>
              <w:rPr>
                <w:rFonts w:ascii="Arial Narrow" w:hAnsi="Arial Narrow" w:cs="Arial"/>
                <w:b/>
                <w:color w:val="000000" w:themeColor="text1"/>
                <w:sz w:val="22"/>
                <w:szCs w:val="22"/>
              </w:rPr>
            </w:pPr>
          </w:p>
        </w:tc>
        <w:tc>
          <w:tcPr>
            <w:tcW w:w="1145" w:type="pct"/>
            <w:shd w:val="clear" w:color="auto" w:fill="auto"/>
          </w:tcPr>
          <w:p w14:paraId="02088EB2" w14:textId="77777777" w:rsidR="00BD4D7C" w:rsidRPr="009E35ED" w:rsidRDefault="00BD4D7C" w:rsidP="00BD4D7C">
            <w:pPr>
              <w:ind w:left="0"/>
              <w:rPr>
                <w:rFonts w:ascii="Arial Narrow" w:hAnsi="Arial Narrow" w:cs="Arial"/>
                <w:color w:val="000000" w:themeColor="text1"/>
                <w:sz w:val="22"/>
                <w:szCs w:val="22"/>
              </w:rPr>
            </w:pPr>
            <w:r w:rsidRPr="009E35ED">
              <w:rPr>
                <w:rFonts w:ascii="Arial Narrow" w:hAnsi="Arial Narrow" w:cs="Arial"/>
                <w:color w:val="000000" w:themeColor="text1"/>
                <w:sz w:val="22"/>
                <w:szCs w:val="22"/>
              </w:rPr>
              <w:t>(7) GLOBALTECH MOBILE ONLINE CORPORATION VS. HEHERSON PAMBID DOCKETED AS R-PSG-20-02547-SC INDIRECT CONTEMPT</w:t>
            </w:r>
          </w:p>
        </w:tc>
        <w:tc>
          <w:tcPr>
            <w:tcW w:w="885" w:type="pct"/>
            <w:shd w:val="clear" w:color="auto" w:fill="auto"/>
          </w:tcPr>
          <w:p w14:paraId="1D56FE62" w14:textId="77777777" w:rsidR="00BD4D7C" w:rsidRPr="009E35ED" w:rsidRDefault="00BD4D7C" w:rsidP="00BD4D7C">
            <w:pPr>
              <w:ind w:left="0"/>
              <w:rPr>
                <w:rFonts w:ascii="Arial Narrow" w:hAnsi="Arial Narrow" w:cs="Arial"/>
                <w:b/>
                <w:color w:val="000000" w:themeColor="text1"/>
                <w:sz w:val="22"/>
                <w:szCs w:val="22"/>
              </w:rPr>
            </w:pPr>
            <w:r w:rsidRPr="009E35ED">
              <w:rPr>
                <w:rFonts w:ascii="Arial Narrow" w:hAnsi="Arial Narrow" w:cs="Arial"/>
                <w:b/>
                <w:color w:val="000000" w:themeColor="text1"/>
                <w:sz w:val="22"/>
                <w:szCs w:val="22"/>
              </w:rPr>
              <w:t>INDIRECT CONTEMPT</w:t>
            </w:r>
          </w:p>
        </w:tc>
        <w:tc>
          <w:tcPr>
            <w:tcW w:w="1783" w:type="pct"/>
            <w:shd w:val="clear" w:color="auto" w:fill="auto"/>
          </w:tcPr>
          <w:p w14:paraId="2D69C687" w14:textId="77777777" w:rsidR="00BD4D7C" w:rsidRPr="009E35ED" w:rsidRDefault="00BD4D7C" w:rsidP="00BD4D7C">
            <w:pPr>
              <w:ind w:left="-6"/>
              <w:rPr>
                <w:rFonts w:ascii="Arial Narrow" w:hAnsi="Arial Narrow" w:cs="Arial"/>
                <w:color w:val="000000" w:themeColor="text1"/>
                <w:sz w:val="22"/>
                <w:szCs w:val="22"/>
              </w:rPr>
            </w:pPr>
            <w:r w:rsidRPr="009E35ED">
              <w:rPr>
                <w:rFonts w:ascii="Arial Narrow" w:hAnsi="Arial Narrow" w:cs="Arial"/>
                <w:color w:val="000000" w:themeColor="text1"/>
                <w:sz w:val="22"/>
                <w:szCs w:val="22"/>
              </w:rPr>
              <w:t>Mr. Pambid filed a Comment in August 2021.</w:t>
            </w:r>
          </w:p>
          <w:p w14:paraId="4DF1FA1D" w14:textId="77777777" w:rsidR="00BD4D7C" w:rsidRPr="009E35ED" w:rsidRDefault="00BD4D7C" w:rsidP="00BD4D7C">
            <w:pPr>
              <w:ind w:left="-6"/>
              <w:rPr>
                <w:rFonts w:ascii="Arial Narrow" w:hAnsi="Arial Narrow" w:cs="Arial"/>
                <w:color w:val="000000" w:themeColor="text1"/>
                <w:sz w:val="22"/>
                <w:szCs w:val="22"/>
              </w:rPr>
            </w:pPr>
            <w:r w:rsidRPr="009E35ED">
              <w:rPr>
                <w:rFonts w:ascii="Arial Narrow" w:hAnsi="Arial Narrow" w:cs="Arial"/>
                <w:color w:val="000000" w:themeColor="text1"/>
                <w:sz w:val="22"/>
                <w:szCs w:val="22"/>
              </w:rPr>
              <w:t>Pending.</w:t>
            </w:r>
          </w:p>
        </w:tc>
      </w:tr>
    </w:tbl>
    <w:p w14:paraId="5F69451C" w14:textId="77777777" w:rsidR="00BD4D7C" w:rsidRPr="009E35ED" w:rsidRDefault="00BD4D7C" w:rsidP="00BD4D7C">
      <w:pPr>
        <w:rPr>
          <w:rFonts w:cs="Arial"/>
          <w:b/>
          <w:color w:val="000000" w:themeColor="text1"/>
        </w:rPr>
      </w:pPr>
      <w:r w:rsidRPr="009E35ED">
        <w:rPr>
          <w:rFonts w:cs="Arial"/>
          <w:b/>
          <w:color w:val="000000" w:themeColor="text1"/>
        </w:rPr>
        <w:t xml:space="preserve"> </w:t>
      </w:r>
    </w:p>
    <w:p w14:paraId="78130D34" w14:textId="77777777" w:rsidR="005D3EDD" w:rsidRPr="009E35ED" w:rsidRDefault="005D3EDD" w:rsidP="00803F8C">
      <w:pPr>
        <w:ind w:left="0"/>
        <w:rPr>
          <w:rFonts w:ascii="Arial" w:hAnsi="Arial" w:cs="Arial"/>
          <w:b/>
          <w:color w:val="000000" w:themeColor="text1"/>
          <w:sz w:val="22"/>
          <w:szCs w:val="22"/>
        </w:rPr>
      </w:pPr>
    </w:p>
    <w:p w14:paraId="08E9B9CF" w14:textId="77777777" w:rsidR="005064DA" w:rsidRPr="009E35ED" w:rsidRDefault="005064DA" w:rsidP="00803F8C">
      <w:pPr>
        <w:ind w:left="0"/>
        <w:rPr>
          <w:rFonts w:ascii="Arial" w:hAnsi="Arial" w:cs="Arial"/>
          <w:b/>
          <w:color w:val="000000" w:themeColor="text1"/>
          <w:sz w:val="22"/>
          <w:szCs w:val="22"/>
        </w:rPr>
      </w:pPr>
    </w:p>
    <w:p w14:paraId="2E041A98" w14:textId="77777777" w:rsidR="002B1485" w:rsidRPr="009E35ED" w:rsidRDefault="002B1485" w:rsidP="001C371F">
      <w:pPr>
        <w:pStyle w:val="ListParagraph"/>
        <w:numPr>
          <w:ilvl w:val="0"/>
          <w:numId w:val="28"/>
        </w:numPr>
        <w:ind w:hanging="720"/>
        <w:rPr>
          <w:rFonts w:ascii="Arial" w:hAnsi="Arial" w:cs="Arial"/>
          <w:b/>
          <w:color w:val="000000" w:themeColor="text1"/>
          <w:sz w:val="22"/>
          <w:szCs w:val="22"/>
        </w:rPr>
      </w:pPr>
      <w:r w:rsidRPr="009E35ED">
        <w:rPr>
          <w:rFonts w:ascii="Arial" w:hAnsi="Arial" w:cs="Arial"/>
          <w:b/>
          <w:color w:val="000000" w:themeColor="text1"/>
          <w:sz w:val="22"/>
          <w:szCs w:val="22"/>
        </w:rPr>
        <w:t>DIVIDENDS PAYABLE</w:t>
      </w:r>
    </w:p>
    <w:p w14:paraId="6E7D0F89" w14:textId="77777777" w:rsidR="002B1485" w:rsidRPr="009E35ED" w:rsidRDefault="002B1485" w:rsidP="00803F8C">
      <w:pPr>
        <w:ind w:left="0"/>
        <w:rPr>
          <w:rFonts w:ascii="Arial" w:hAnsi="Arial" w:cs="Arial"/>
          <w:b/>
          <w:color w:val="000000" w:themeColor="text1"/>
          <w:sz w:val="22"/>
          <w:szCs w:val="22"/>
        </w:rPr>
      </w:pPr>
    </w:p>
    <w:p w14:paraId="4EC9DE33" w14:textId="435F2B79" w:rsidR="002B1485" w:rsidRPr="009E35ED" w:rsidRDefault="002B1485" w:rsidP="00803F8C">
      <w:pPr>
        <w:suppressAutoHyphens/>
        <w:ind w:left="0"/>
        <w:rPr>
          <w:rFonts w:ascii="Arial" w:hAnsi="Arial" w:cs="Arial"/>
          <w:bCs/>
          <w:color w:val="000000" w:themeColor="text1"/>
          <w:sz w:val="22"/>
          <w:szCs w:val="22"/>
          <w:lang w:eastAsia="ar-SA"/>
        </w:rPr>
      </w:pPr>
      <w:r w:rsidRPr="009E35ED">
        <w:rPr>
          <w:rFonts w:ascii="Arial" w:hAnsi="Arial" w:cs="Arial"/>
          <w:bCs/>
          <w:color w:val="000000" w:themeColor="text1"/>
          <w:sz w:val="22"/>
          <w:szCs w:val="22"/>
          <w:lang w:eastAsia="ar-SA"/>
        </w:rPr>
        <w:t>Section 3 of RA No. 7656 dated November 9, 1993 and its RIRR require Government Owned and/or Controlled Corporations (GOCC) to declare and remit at least fifty percent (50%) of their annual earnings as dividends to the National Government.</w:t>
      </w:r>
    </w:p>
    <w:p w14:paraId="315E25DE" w14:textId="77777777" w:rsidR="002B1485" w:rsidRPr="009E35ED" w:rsidRDefault="002B1485" w:rsidP="00803F8C">
      <w:pPr>
        <w:suppressAutoHyphens/>
        <w:rPr>
          <w:rFonts w:ascii="Arial" w:hAnsi="Arial" w:cs="Arial"/>
          <w:bCs/>
          <w:color w:val="000000" w:themeColor="text1"/>
          <w:sz w:val="22"/>
          <w:szCs w:val="22"/>
          <w:lang w:eastAsia="ar-SA"/>
        </w:rPr>
      </w:pPr>
    </w:p>
    <w:p w14:paraId="03DF793D" w14:textId="35139AA6" w:rsidR="002B1485" w:rsidRPr="009E35ED" w:rsidRDefault="002B1485" w:rsidP="00803F8C">
      <w:pPr>
        <w:suppressAutoHyphens/>
        <w:ind w:left="0"/>
        <w:rPr>
          <w:rFonts w:ascii="Arial" w:hAnsi="Arial" w:cs="Arial"/>
          <w:bCs/>
          <w:color w:val="000000" w:themeColor="text1"/>
          <w:sz w:val="22"/>
          <w:szCs w:val="22"/>
          <w:lang w:eastAsia="ar-SA"/>
        </w:rPr>
      </w:pPr>
      <w:r w:rsidRPr="009E35ED">
        <w:rPr>
          <w:rFonts w:ascii="Arial" w:hAnsi="Arial" w:cs="Arial"/>
          <w:bCs/>
          <w:color w:val="000000" w:themeColor="text1"/>
          <w:sz w:val="22"/>
          <w:szCs w:val="22"/>
          <w:lang w:eastAsia="ar-SA"/>
        </w:rPr>
        <w:t xml:space="preserve">The Commission on Audit (COA) issued audit observations pertaining to PCSO’s non-payment of dividends for CYs 2012, 2013 and 2014 in the total amount of P4,034,319,731. However, due to the provision in RA No. 1169, otherwise known as the “PCSO Charter”, </w:t>
      </w:r>
      <w:r w:rsidR="00D15689">
        <w:rPr>
          <w:rFonts w:ascii="Arial" w:hAnsi="Arial" w:cs="Arial"/>
          <w:bCs/>
          <w:color w:val="000000" w:themeColor="text1"/>
          <w:sz w:val="22"/>
          <w:szCs w:val="22"/>
          <w:lang w:eastAsia="ar-SA"/>
        </w:rPr>
        <w:t xml:space="preserve">the </w:t>
      </w:r>
      <w:r w:rsidRPr="009E35ED">
        <w:rPr>
          <w:rFonts w:ascii="Arial" w:hAnsi="Arial" w:cs="Arial"/>
          <w:bCs/>
          <w:color w:val="000000" w:themeColor="text1"/>
          <w:sz w:val="22"/>
          <w:szCs w:val="22"/>
          <w:lang w:eastAsia="ar-SA"/>
        </w:rPr>
        <w:t xml:space="preserve">PCSO is mandated that all balances of any funds shall regularly revert to and form part of the Charity </w:t>
      </w:r>
      <w:r w:rsidR="00D15689">
        <w:rPr>
          <w:rFonts w:ascii="Arial" w:hAnsi="Arial" w:cs="Arial"/>
          <w:bCs/>
          <w:color w:val="000000" w:themeColor="text1"/>
          <w:sz w:val="22"/>
          <w:szCs w:val="22"/>
          <w:lang w:eastAsia="ar-SA"/>
        </w:rPr>
        <w:t>f</w:t>
      </w:r>
      <w:r w:rsidRPr="009E35ED">
        <w:rPr>
          <w:rFonts w:ascii="Arial" w:hAnsi="Arial" w:cs="Arial"/>
          <w:bCs/>
          <w:color w:val="000000" w:themeColor="text1"/>
          <w:sz w:val="22"/>
          <w:szCs w:val="22"/>
          <w:lang w:eastAsia="ar-SA"/>
        </w:rPr>
        <w:t>und, thus, there is nothing left to be declared and remitted as dividend. This matter has been referred to the DOF.</w:t>
      </w:r>
    </w:p>
    <w:p w14:paraId="2F3AC67E" w14:textId="77777777" w:rsidR="002B1485" w:rsidRPr="009E35ED" w:rsidRDefault="002B1485" w:rsidP="00803F8C">
      <w:pPr>
        <w:suppressAutoHyphens/>
        <w:rPr>
          <w:rFonts w:ascii="Arial" w:hAnsi="Arial" w:cs="Arial"/>
          <w:bCs/>
          <w:color w:val="000000" w:themeColor="text1"/>
          <w:sz w:val="22"/>
          <w:szCs w:val="22"/>
          <w:lang w:eastAsia="ar-SA"/>
        </w:rPr>
      </w:pPr>
    </w:p>
    <w:p w14:paraId="7CDDA57D" w14:textId="4C20960A" w:rsidR="002B1485" w:rsidRPr="009E35ED" w:rsidRDefault="002B1485" w:rsidP="00803F8C">
      <w:pPr>
        <w:suppressAutoHyphens/>
        <w:ind w:left="0"/>
        <w:rPr>
          <w:rFonts w:ascii="Arial" w:hAnsi="Arial" w:cs="Arial"/>
          <w:bCs/>
          <w:color w:val="000000" w:themeColor="text1"/>
          <w:sz w:val="22"/>
          <w:szCs w:val="22"/>
          <w:lang w:eastAsia="ar-SA"/>
        </w:rPr>
      </w:pPr>
      <w:r w:rsidRPr="009E35ED">
        <w:rPr>
          <w:rFonts w:ascii="Arial" w:hAnsi="Arial" w:cs="Arial"/>
          <w:bCs/>
          <w:color w:val="000000" w:themeColor="text1"/>
          <w:sz w:val="22"/>
          <w:szCs w:val="22"/>
          <w:lang w:eastAsia="ar-SA"/>
        </w:rPr>
        <w:t>On March</w:t>
      </w:r>
      <w:r w:rsidR="00344372">
        <w:rPr>
          <w:rFonts w:ascii="Arial" w:hAnsi="Arial" w:cs="Arial"/>
          <w:bCs/>
          <w:color w:val="000000" w:themeColor="text1"/>
          <w:sz w:val="22"/>
          <w:szCs w:val="22"/>
          <w:lang w:eastAsia="ar-SA"/>
        </w:rPr>
        <w:t xml:space="preserve"> 16,</w:t>
      </w:r>
      <w:r w:rsidRPr="009E35ED">
        <w:rPr>
          <w:rFonts w:ascii="Arial" w:hAnsi="Arial" w:cs="Arial"/>
          <w:bCs/>
          <w:color w:val="000000" w:themeColor="text1"/>
          <w:sz w:val="22"/>
          <w:szCs w:val="22"/>
          <w:lang w:eastAsia="ar-SA"/>
        </w:rPr>
        <w:t xml:space="preserve"> 2016, the D</w:t>
      </w:r>
      <w:r w:rsidR="00A216FE">
        <w:rPr>
          <w:rFonts w:ascii="Arial" w:hAnsi="Arial" w:cs="Arial"/>
          <w:bCs/>
          <w:color w:val="000000" w:themeColor="text1"/>
          <w:sz w:val="22"/>
          <w:szCs w:val="22"/>
          <w:lang w:eastAsia="ar-SA"/>
        </w:rPr>
        <w:t>O</w:t>
      </w:r>
      <w:r w:rsidRPr="009E35ED">
        <w:rPr>
          <w:rFonts w:ascii="Arial" w:hAnsi="Arial" w:cs="Arial"/>
          <w:bCs/>
          <w:color w:val="000000" w:themeColor="text1"/>
          <w:sz w:val="22"/>
          <w:szCs w:val="22"/>
          <w:lang w:eastAsia="ar-SA"/>
        </w:rPr>
        <w:t xml:space="preserve">F clarified PCSO’s exemption from RA No. 7656 in its reply to the COA inquiry regarding the applicability of </w:t>
      </w:r>
      <w:r w:rsidR="00380F78">
        <w:rPr>
          <w:rFonts w:ascii="Arial" w:hAnsi="Arial" w:cs="Arial"/>
          <w:bCs/>
          <w:color w:val="000000" w:themeColor="text1"/>
          <w:sz w:val="22"/>
          <w:szCs w:val="22"/>
          <w:lang w:eastAsia="ar-SA"/>
        </w:rPr>
        <w:t>t</w:t>
      </w:r>
      <w:r w:rsidRPr="009E35ED">
        <w:rPr>
          <w:rFonts w:ascii="Arial" w:hAnsi="Arial" w:cs="Arial"/>
          <w:bCs/>
          <w:color w:val="000000" w:themeColor="text1"/>
          <w:sz w:val="22"/>
          <w:szCs w:val="22"/>
          <w:lang w:eastAsia="ar-SA"/>
        </w:rPr>
        <w:t xml:space="preserve">he Dividends Law to </w:t>
      </w:r>
      <w:r w:rsidR="00380F78">
        <w:rPr>
          <w:rFonts w:ascii="Arial" w:hAnsi="Arial" w:cs="Arial"/>
          <w:bCs/>
          <w:color w:val="000000" w:themeColor="text1"/>
          <w:sz w:val="22"/>
          <w:szCs w:val="22"/>
          <w:lang w:eastAsia="ar-SA"/>
        </w:rPr>
        <w:t xml:space="preserve">the </w:t>
      </w:r>
      <w:r w:rsidRPr="009E35ED">
        <w:rPr>
          <w:rFonts w:ascii="Arial" w:hAnsi="Arial" w:cs="Arial"/>
          <w:bCs/>
          <w:color w:val="000000" w:themeColor="text1"/>
          <w:sz w:val="22"/>
          <w:szCs w:val="22"/>
          <w:lang w:eastAsia="ar-SA"/>
        </w:rPr>
        <w:t>PCSO.</w:t>
      </w:r>
    </w:p>
    <w:p w14:paraId="5E22A4D2" w14:textId="77777777" w:rsidR="002B1485" w:rsidRPr="009E35ED" w:rsidRDefault="002B1485" w:rsidP="00803F8C">
      <w:pPr>
        <w:suppressAutoHyphens/>
        <w:rPr>
          <w:rFonts w:ascii="Arial" w:hAnsi="Arial" w:cs="Arial"/>
          <w:bCs/>
          <w:color w:val="000000" w:themeColor="text1"/>
          <w:sz w:val="22"/>
          <w:szCs w:val="22"/>
          <w:lang w:eastAsia="ar-SA"/>
        </w:rPr>
      </w:pPr>
    </w:p>
    <w:p w14:paraId="7219E23B" w14:textId="580B8E0D" w:rsidR="002B1485" w:rsidRPr="009E35ED" w:rsidRDefault="002B1485" w:rsidP="00803F8C">
      <w:pPr>
        <w:suppressAutoHyphens/>
        <w:ind w:left="0"/>
        <w:rPr>
          <w:rFonts w:ascii="Arial" w:hAnsi="Arial" w:cs="Arial"/>
          <w:bCs/>
          <w:color w:val="000000" w:themeColor="text1"/>
          <w:sz w:val="22"/>
          <w:szCs w:val="22"/>
          <w:lang w:eastAsia="ar-SA"/>
        </w:rPr>
      </w:pPr>
      <w:r w:rsidRPr="009E35ED">
        <w:rPr>
          <w:rFonts w:ascii="Arial" w:hAnsi="Arial" w:cs="Arial"/>
          <w:bCs/>
          <w:color w:val="000000" w:themeColor="text1"/>
          <w:sz w:val="22"/>
          <w:szCs w:val="22"/>
          <w:lang w:eastAsia="ar-SA"/>
        </w:rPr>
        <w:t>The D</w:t>
      </w:r>
      <w:r w:rsidR="00380F78">
        <w:rPr>
          <w:rFonts w:ascii="Arial" w:hAnsi="Arial" w:cs="Arial"/>
          <w:bCs/>
          <w:color w:val="000000" w:themeColor="text1"/>
          <w:sz w:val="22"/>
          <w:szCs w:val="22"/>
          <w:lang w:eastAsia="ar-SA"/>
        </w:rPr>
        <w:t>OF</w:t>
      </w:r>
      <w:r w:rsidRPr="009E35ED">
        <w:rPr>
          <w:rFonts w:ascii="Arial" w:hAnsi="Arial" w:cs="Arial"/>
          <w:bCs/>
          <w:color w:val="000000" w:themeColor="text1"/>
          <w:sz w:val="22"/>
          <w:szCs w:val="22"/>
          <w:lang w:eastAsia="ar-SA"/>
        </w:rPr>
        <w:t xml:space="preserve"> confirms that</w:t>
      </w:r>
      <w:r w:rsidR="00380F78">
        <w:rPr>
          <w:rFonts w:ascii="Arial" w:hAnsi="Arial" w:cs="Arial"/>
          <w:bCs/>
          <w:color w:val="000000" w:themeColor="text1"/>
          <w:sz w:val="22"/>
          <w:szCs w:val="22"/>
          <w:lang w:eastAsia="ar-SA"/>
        </w:rPr>
        <w:t xml:space="preserve"> the</w:t>
      </w:r>
      <w:r w:rsidRPr="009E35ED">
        <w:rPr>
          <w:rFonts w:ascii="Arial" w:hAnsi="Arial" w:cs="Arial"/>
          <w:bCs/>
          <w:color w:val="000000" w:themeColor="text1"/>
          <w:sz w:val="22"/>
          <w:szCs w:val="22"/>
          <w:lang w:eastAsia="ar-SA"/>
        </w:rPr>
        <w:t xml:space="preserve"> PCSO is not exempt f</w:t>
      </w:r>
      <w:r w:rsidR="00380F78">
        <w:rPr>
          <w:rFonts w:ascii="Arial" w:hAnsi="Arial" w:cs="Arial"/>
          <w:bCs/>
          <w:color w:val="000000" w:themeColor="text1"/>
          <w:sz w:val="22"/>
          <w:szCs w:val="22"/>
          <w:lang w:eastAsia="ar-SA"/>
        </w:rPr>
        <w:t>rom</w:t>
      </w:r>
      <w:r w:rsidRPr="009E35ED">
        <w:rPr>
          <w:rFonts w:ascii="Arial" w:hAnsi="Arial" w:cs="Arial"/>
          <w:bCs/>
          <w:color w:val="000000" w:themeColor="text1"/>
          <w:sz w:val="22"/>
          <w:szCs w:val="22"/>
          <w:lang w:eastAsia="ar-SA"/>
        </w:rPr>
        <w:t xml:space="preserve"> RA</w:t>
      </w:r>
      <w:r w:rsidR="00D728B7">
        <w:rPr>
          <w:rFonts w:ascii="Arial" w:hAnsi="Arial" w:cs="Arial"/>
          <w:bCs/>
          <w:color w:val="000000" w:themeColor="text1"/>
          <w:sz w:val="22"/>
          <w:szCs w:val="22"/>
          <w:lang w:eastAsia="ar-SA"/>
        </w:rPr>
        <w:t xml:space="preserve"> No.</w:t>
      </w:r>
      <w:r w:rsidRPr="009E35ED">
        <w:rPr>
          <w:rFonts w:ascii="Arial" w:hAnsi="Arial" w:cs="Arial"/>
          <w:bCs/>
          <w:color w:val="000000" w:themeColor="text1"/>
          <w:sz w:val="22"/>
          <w:szCs w:val="22"/>
          <w:lang w:eastAsia="ar-SA"/>
        </w:rPr>
        <w:t xml:space="preserve"> 7656, however, DOF recognizes that PCSO’s Charter RA No</w:t>
      </w:r>
      <w:r w:rsidR="00380F78">
        <w:rPr>
          <w:rFonts w:ascii="Arial" w:hAnsi="Arial" w:cs="Arial"/>
          <w:bCs/>
          <w:color w:val="000000" w:themeColor="text1"/>
          <w:sz w:val="22"/>
          <w:szCs w:val="22"/>
          <w:lang w:eastAsia="ar-SA"/>
        </w:rPr>
        <w:t>.</w:t>
      </w:r>
      <w:r w:rsidRPr="009E35ED">
        <w:rPr>
          <w:rFonts w:ascii="Arial" w:hAnsi="Arial" w:cs="Arial"/>
          <w:bCs/>
          <w:color w:val="000000" w:themeColor="text1"/>
          <w:sz w:val="22"/>
          <w:szCs w:val="22"/>
          <w:lang w:eastAsia="ar-SA"/>
        </w:rPr>
        <w:t xml:space="preserve"> 1169 mandate all balance of any funds to revert to and form part of the Charity </w:t>
      </w:r>
      <w:r w:rsidR="00380F78">
        <w:rPr>
          <w:rFonts w:ascii="Arial" w:hAnsi="Arial" w:cs="Arial"/>
          <w:bCs/>
          <w:color w:val="000000" w:themeColor="text1"/>
          <w:sz w:val="22"/>
          <w:szCs w:val="22"/>
          <w:lang w:eastAsia="ar-SA"/>
        </w:rPr>
        <w:t>f</w:t>
      </w:r>
      <w:r w:rsidRPr="009E35ED">
        <w:rPr>
          <w:rFonts w:ascii="Arial" w:hAnsi="Arial" w:cs="Arial"/>
          <w:bCs/>
          <w:color w:val="000000" w:themeColor="text1"/>
          <w:sz w:val="22"/>
          <w:szCs w:val="22"/>
          <w:lang w:eastAsia="ar-SA"/>
        </w:rPr>
        <w:t>und.</w:t>
      </w:r>
    </w:p>
    <w:p w14:paraId="6608D862" w14:textId="77777777" w:rsidR="002B1485" w:rsidRPr="009E35ED" w:rsidRDefault="002B1485" w:rsidP="00803F8C">
      <w:pPr>
        <w:suppressAutoHyphens/>
        <w:rPr>
          <w:rFonts w:ascii="Arial" w:hAnsi="Arial" w:cs="Arial"/>
          <w:bCs/>
          <w:color w:val="000000" w:themeColor="text1"/>
          <w:sz w:val="22"/>
          <w:szCs w:val="22"/>
          <w:lang w:eastAsia="ar-SA"/>
        </w:rPr>
      </w:pPr>
    </w:p>
    <w:p w14:paraId="7C62179E" w14:textId="0F27854C" w:rsidR="002B1485" w:rsidRPr="009E35ED" w:rsidRDefault="002B1485" w:rsidP="00803F8C">
      <w:pPr>
        <w:suppressAutoHyphens/>
        <w:ind w:left="0"/>
        <w:rPr>
          <w:rFonts w:ascii="Arial" w:hAnsi="Arial" w:cs="Arial"/>
          <w:bCs/>
          <w:color w:val="000000" w:themeColor="text1"/>
          <w:sz w:val="22"/>
          <w:szCs w:val="22"/>
          <w:lang w:eastAsia="ar-SA"/>
        </w:rPr>
      </w:pPr>
      <w:r w:rsidRPr="009E35ED">
        <w:rPr>
          <w:rFonts w:ascii="Arial" w:hAnsi="Arial" w:cs="Arial"/>
          <w:bCs/>
          <w:color w:val="000000" w:themeColor="text1"/>
          <w:sz w:val="22"/>
          <w:szCs w:val="22"/>
          <w:lang w:eastAsia="ar-SA"/>
        </w:rPr>
        <w:t xml:space="preserve">Likewise, </w:t>
      </w:r>
      <w:r w:rsidR="00380F78">
        <w:rPr>
          <w:rFonts w:ascii="Arial" w:hAnsi="Arial" w:cs="Arial"/>
          <w:bCs/>
          <w:color w:val="000000" w:themeColor="text1"/>
          <w:sz w:val="22"/>
          <w:szCs w:val="22"/>
          <w:lang w:eastAsia="ar-SA"/>
        </w:rPr>
        <w:t xml:space="preserve">the </w:t>
      </w:r>
      <w:r w:rsidRPr="009E35ED">
        <w:rPr>
          <w:rFonts w:ascii="Arial" w:hAnsi="Arial" w:cs="Arial"/>
          <w:bCs/>
          <w:color w:val="000000" w:themeColor="text1"/>
          <w:sz w:val="22"/>
          <w:szCs w:val="22"/>
          <w:lang w:eastAsia="ar-SA"/>
        </w:rPr>
        <w:t>DOF, through its then Asst. Secretary and Officer-in-Charge of the Corporate Affairs Group and the Privatization and Office of Special Concerns shared that “DOF, PCSO and Governance Commission for Government-Owned and/or Controlled Corporations on August</w:t>
      </w:r>
      <w:r w:rsidR="00344372">
        <w:rPr>
          <w:rFonts w:ascii="Arial" w:hAnsi="Arial" w:cs="Arial"/>
          <w:bCs/>
          <w:color w:val="000000" w:themeColor="text1"/>
          <w:sz w:val="22"/>
          <w:szCs w:val="22"/>
          <w:lang w:eastAsia="ar-SA"/>
        </w:rPr>
        <w:t xml:space="preserve"> 25,</w:t>
      </w:r>
      <w:r w:rsidRPr="009E35ED">
        <w:rPr>
          <w:rFonts w:ascii="Arial" w:hAnsi="Arial" w:cs="Arial"/>
          <w:bCs/>
          <w:color w:val="000000" w:themeColor="text1"/>
          <w:sz w:val="22"/>
          <w:szCs w:val="22"/>
          <w:lang w:eastAsia="ar-SA"/>
        </w:rPr>
        <w:t xml:space="preserve"> 2015, it was agreed that </w:t>
      </w:r>
      <w:r w:rsidR="00380F78">
        <w:rPr>
          <w:rFonts w:ascii="Arial" w:hAnsi="Arial" w:cs="Arial"/>
          <w:bCs/>
          <w:color w:val="000000" w:themeColor="text1"/>
          <w:sz w:val="22"/>
          <w:szCs w:val="22"/>
          <w:lang w:eastAsia="ar-SA"/>
        </w:rPr>
        <w:t xml:space="preserve">the </w:t>
      </w:r>
      <w:r w:rsidRPr="009E35ED">
        <w:rPr>
          <w:rFonts w:ascii="Arial" w:hAnsi="Arial" w:cs="Arial"/>
          <w:bCs/>
          <w:color w:val="000000" w:themeColor="text1"/>
          <w:sz w:val="22"/>
          <w:szCs w:val="22"/>
          <w:lang w:eastAsia="ar-SA"/>
        </w:rPr>
        <w:t>PCSO will have to revert all accumulated surplus to the Charity Fund in compliance with its Charter; then, DOF shall further reassess PCSO’s outstanding dividend due, if any.”</w:t>
      </w:r>
    </w:p>
    <w:p w14:paraId="5A30F771" w14:textId="77777777" w:rsidR="002B1485" w:rsidRPr="009E35ED" w:rsidRDefault="002B1485" w:rsidP="00803F8C">
      <w:pPr>
        <w:suppressAutoHyphens/>
        <w:rPr>
          <w:rFonts w:ascii="Arial" w:hAnsi="Arial" w:cs="Arial"/>
          <w:bCs/>
          <w:color w:val="000000" w:themeColor="text1"/>
          <w:sz w:val="22"/>
          <w:szCs w:val="22"/>
          <w:lang w:eastAsia="ar-SA"/>
        </w:rPr>
      </w:pPr>
    </w:p>
    <w:p w14:paraId="23918B62" w14:textId="3D317A4B" w:rsidR="002B1485" w:rsidRPr="009E35ED" w:rsidRDefault="00380F78" w:rsidP="00803F8C">
      <w:pPr>
        <w:suppressAutoHyphens/>
        <w:ind w:left="0"/>
        <w:rPr>
          <w:rFonts w:ascii="Arial" w:hAnsi="Arial" w:cs="Arial"/>
          <w:bCs/>
          <w:color w:val="000000" w:themeColor="text1"/>
          <w:sz w:val="22"/>
          <w:szCs w:val="22"/>
          <w:lang w:eastAsia="ar-SA"/>
        </w:rPr>
      </w:pPr>
      <w:r>
        <w:rPr>
          <w:rFonts w:ascii="Arial" w:hAnsi="Arial" w:cs="Arial"/>
          <w:bCs/>
          <w:color w:val="000000" w:themeColor="text1"/>
          <w:sz w:val="22"/>
          <w:szCs w:val="22"/>
          <w:lang w:eastAsia="ar-SA"/>
        </w:rPr>
        <w:t xml:space="preserve">The </w:t>
      </w:r>
      <w:r w:rsidR="002B1485" w:rsidRPr="009E35ED">
        <w:rPr>
          <w:rFonts w:ascii="Arial" w:hAnsi="Arial" w:cs="Arial"/>
          <w:bCs/>
          <w:color w:val="000000" w:themeColor="text1"/>
          <w:sz w:val="22"/>
          <w:szCs w:val="22"/>
          <w:lang w:eastAsia="ar-SA"/>
        </w:rPr>
        <w:t xml:space="preserve">DOF also recognize that </w:t>
      </w:r>
      <w:r>
        <w:rPr>
          <w:rFonts w:ascii="Arial" w:hAnsi="Arial" w:cs="Arial"/>
          <w:bCs/>
          <w:color w:val="000000" w:themeColor="text1"/>
          <w:sz w:val="22"/>
          <w:szCs w:val="22"/>
          <w:lang w:eastAsia="ar-SA"/>
        </w:rPr>
        <w:t xml:space="preserve">the </w:t>
      </w:r>
      <w:r w:rsidR="002B1485" w:rsidRPr="009E35ED">
        <w:rPr>
          <w:rFonts w:ascii="Arial" w:hAnsi="Arial" w:cs="Arial"/>
          <w:bCs/>
          <w:color w:val="000000" w:themeColor="text1"/>
          <w:sz w:val="22"/>
          <w:szCs w:val="22"/>
          <w:lang w:eastAsia="ar-SA"/>
        </w:rPr>
        <w:t xml:space="preserve">PCSO does not have any outstanding dividends due covering prior years until 2014, since unutilized Operating </w:t>
      </w:r>
      <w:r>
        <w:rPr>
          <w:rFonts w:ascii="Arial" w:hAnsi="Arial" w:cs="Arial"/>
          <w:bCs/>
          <w:color w:val="000000" w:themeColor="text1"/>
          <w:sz w:val="22"/>
          <w:szCs w:val="22"/>
          <w:lang w:eastAsia="ar-SA"/>
        </w:rPr>
        <w:t>f</w:t>
      </w:r>
      <w:r w:rsidR="002B1485" w:rsidRPr="009E35ED">
        <w:rPr>
          <w:rFonts w:ascii="Arial" w:hAnsi="Arial" w:cs="Arial"/>
          <w:bCs/>
          <w:color w:val="000000" w:themeColor="text1"/>
          <w:sz w:val="22"/>
          <w:szCs w:val="22"/>
          <w:lang w:eastAsia="ar-SA"/>
        </w:rPr>
        <w:t xml:space="preserve">und was transferred to the Charity </w:t>
      </w:r>
      <w:r>
        <w:rPr>
          <w:rFonts w:ascii="Arial" w:hAnsi="Arial" w:cs="Arial"/>
          <w:bCs/>
          <w:color w:val="000000" w:themeColor="text1"/>
          <w:sz w:val="22"/>
          <w:szCs w:val="22"/>
          <w:lang w:eastAsia="ar-SA"/>
        </w:rPr>
        <w:t>f</w:t>
      </w:r>
      <w:r w:rsidR="002B1485" w:rsidRPr="009E35ED">
        <w:rPr>
          <w:rFonts w:ascii="Arial" w:hAnsi="Arial" w:cs="Arial"/>
          <w:bCs/>
          <w:color w:val="000000" w:themeColor="text1"/>
          <w:sz w:val="22"/>
          <w:szCs w:val="22"/>
          <w:lang w:eastAsia="ar-SA"/>
        </w:rPr>
        <w:t>und.</w:t>
      </w:r>
    </w:p>
    <w:p w14:paraId="219D0692" w14:textId="77777777" w:rsidR="002B1485" w:rsidRPr="009E35ED" w:rsidRDefault="002B1485" w:rsidP="00803F8C">
      <w:pPr>
        <w:suppressAutoHyphens/>
        <w:rPr>
          <w:rFonts w:ascii="Arial" w:hAnsi="Arial" w:cs="Arial"/>
          <w:bCs/>
          <w:color w:val="000000" w:themeColor="text1"/>
          <w:sz w:val="22"/>
          <w:szCs w:val="22"/>
          <w:lang w:eastAsia="ar-SA"/>
        </w:rPr>
      </w:pPr>
    </w:p>
    <w:p w14:paraId="2011CBF5" w14:textId="7D93E7D6" w:rsidR="002B1485" w:rsidRPr="009E35ED" w:rsidRDefault="002B1485" w:rsidP="00803F8C">
      <w:pPr>
        <w:suppressAutoHyphens/>
        <w:ind w:left="0"/>
        <w:rPr>
          <w:rFonts w:ascii="Arial" w:hAnsi="Arial" w:cs="Arial"/>
          <w:bCs/>
          <w:color w:val="000000" w:themeColor="text1"/>
          <w:sz w:val="22"/>
          <w:szCs w:val="22"/>
          <w:lang w:eastAsia="ar-SA"/>
        </w:rPr>
      </w:pPr>
      <w:r w:rsidRPr="009E35ED">
        <w:rPr>
          <w:rFonts w:ascii="Arial" w:hAnsi="Arial" w:cs="Arial"/>
          <w:bCs/>
          <w:color w:val="000000" w:themeColor="text1"/>
          <w:sz w:val="22"/>
          <w:szCs w:val="22"/>
          <w:lang w:eastAsia="ar-SA"/>
        </w:rPr>
        <w:t xml:space="preserve">On December 20, 2016, the OGCC rendered an opinion on the applicability of the Dividends Law to </w:t>
      </w:r>
      <w:r w:rsidR="00380F78">
        <w:rPr>
          <w:rFonts w:ascii="Arial" w:hAnsi="Arial" w:cs="Arial"/>
          <w:bCs/>
          <w:color w:val="000000" w:themeColor="text1"/>
          <w:sz w:val="22"/>
          <w:szCs w:val="22"/>
          <w:lang w:eastAsia="ar-SA"/>
        </w:rPr>
        <w:t xml:space="preserve">the </w:t>
      </w:r>
      <w:r w:rsidRPr="009E35ED">
        <w:rPr>
          <w:rFonts w:ascii="Arial" w:hAnsi="Arial" w:cs="Arial"/>
          <w:bCs/>
          <w:color w:val="000000" w:themeColor="text1"/>
          <w:sz w:val="22"/>
          <w:szCs w:val="22"/>
          <w:lang w:eastAsia="ar-SA"/>
        </w:rPr>
        <w:t>PCSO.  The OGCC is of the opinion that since PCSO’s earnings has already been allocated, the remittance of 50% of its income to the National Treasury is a violation of PCSO’s mandate.</w:t>
      </w:r>
      <w:r w:rsidR="00380F78">
        <w:rPr>
          <w:rFonts w:ascii="Arial" w:hAnsi="Arial" w:cs="Arial"/>
          <w:bCs/>
          <w:color w:val="000000" w:themeColor="text1"/>
          <w:sz w:val="22"/>
          <w:szCs w:val="22"/>
          <w:lang w:eastAsia="ar-SA"/>
        </w:rPr>
        <w:t xml:space="preserve"> The</w:t>
      </w:r>
      <w:r w:rsidRPr="009E35ED">
        <w:rPr>
          <w:rFonts w:ascii="Arial" w:hAnsi="Arial" w:cs="Arial"/>
          <w:bCs/>
          <w:color w:val="000000" w:themeColor="text1"/>
          <w:sz w:val="22"/>
          <w:szCs w:val="22"/>
          <w:lang w:eastAsia="ar-SA"/>
        </w:rPr>
        <w:t xml:space="preserve"> OGCC mentioned that “while PCSO cannot remit dividends to the National Government, it is the public at large that in a way reaps the benefits through the vital public service that they render, funding individual and institutional assistance, as well as special programs”. It was further recommended that any deviation from PCSO’s Charter should have corresponding amendment to the mandate of the law creating it.</w:t>
      </w:r>
    </w:p>
    <w:p w14:paraId="65CA4354" w14:textId="77777777" w:rsidR="002B1485" w:rsidRPr="009E35ED" w:rsidRDefault="002B1485" w:rsidP="00803F8C">
      <w:pPr>
        <w:suppressAutoHyphens/>
        <w:rPr>
          <w:rFonts w:ascii="Arial" w:hAnsi="Arial" w:cs="Arial"/>
          <w:bCs/>
          <w:color w:val="000000" w:themeColor="text1"/>
          <w:sz w:val="22"/>
          <w:szCs w:val="22"/>
          <w:lang w:eastAsia="ar-SA"/>
        </w:rPr>
      </w:pPr>
    </w:p>
    <w:p w14:paraId="1B85D8BE" w14:textId="2E2D7320" w:rsidR="002B1485" w:rsidRPr="009E35ED" w:rsidRDefault="002B1485" w:rsidP="00803F8C">
      <w:pPr>
        <w:suppressAutoHyphens/>
        <w:ind w:left="0"/>
        <w:rPr>
          <w:rFonts w:ascii="Arial" w:hAnsi="Arial" w:cs="Arial"/>
          <w:bCs/>
          <w:color w:val="000000" w:themeColor="text1"/>
          <w:sz w:val="22"/>
          <w:szCs w:val="22"/>
          <w:lang w:eastAsia="ar-SA"/>
        </w:rPr>
      </w:pPr>
      <w:r w:rsidRPr="009E35ED">
        <w:rPr>
          <w:rFonts w:ascii="Arial" w:hAnsi="Arial" w:cs="Arial"/>
          <w:bCs/>
          <w:color w:val="000000" w:themeColor="text1"/>
          <w:sz w:val="22"/>
          <w:szCs w:val="22"/>
          <w:lang w:eastAsia="ar-SA"/>
        </w:rPr>
        <w:t xml:space="preserve">In the </w:t>
      </w:r>
      <w:r w:rsidR="00380F78">
        <w:rPr>
          <w:rFonts w:ascii="Arial" w:hAnsi="Arial" w:cs="Arial"/>
          <w:bCs/>
          <w:color w:val="000000" w:themeColor="text1"/>
          <w:sz w:val="22"/>
          <w:szCs w:val="22"/>
          <w:lang w:eastAsia="ar-SA"/>
        </w:rPr>
        <w:t>DOF</w:t>
      </w:r>
      <w:r w:rsidRPr="009E35ED">
        <w:rPr>
          <w:rFonts w:ascii="Arial" w:hAnsi="Arial" w:cs="Arial"/>
          <w:bCs/>
          <w:color w:val="000000" w:themeColor="text1"/>
          <w:sz w:val="22"/>
          <w:szCs w:val="22"/>
          <w:lang w:eastAsia="ar-SA"/>
        </w:rPr>
        <w:t xml:space="preserve"> letter dated May 18, 2017, it was specified that</w:t>
      </w:r>
      <w:r w:rsidR="00380F78">
        <w:rPr>
          <w:rFonts w:ascii="Arial" w:hAnsi="Arial" w:cs="Arial"/>
          <w:bCs/>
          <w:color w:val="000000" w:themeColor="text1"/>
          <w:sz w:val="22"/>
          <w:szCs w:val="22"/>
          <w:lang w:eastAsia="ar-SA"/>
        </w:rPr>
        <w:t xml:space="preserve"> the</w:t>
      </w:r>
      <w:r w:rsidRPr="009E35ED">
        <w:rPr>
          <w:rFonts w:ascii="Arial" w:hAnsi="Arial" w:cs="Arial"/>
          <w:bCs/>
          <w:color w:val="000000" w:themeColor="text1"/>
          <w:sz w:val="22"/>
          <w:szCs w:val="22"/>
          <w:lang w:eastAsia="ar-SA"/>
        </w:rPr>
        <w:t xml:space="preserve"> PCSO has an outstanding dividend due to </w:t>
      </w:r>
      <w:r w:rsidR="00380F78">
        <w:rPr>
          <w:rFonts w:ascii="Arial" w:hAnsi="Arial" w:cs="Arial"/>
          <w:bCs/>
          <w:color w:val="000000" w:themeColor="text1"/>
          <w:sz w:val="22"/>
          <w:szCs w:val="22"/>
          <w:lang w:eastAsia="ar-SA"/>
        </w:rPr>
        <w:t xml:space="preserve">the </w:t>
      </w:r>
      <w:r w:rsidRPr="009E35ED">
        <w:rPr>
          <w:rFonts w:ascii="Arial" w:hAnsi="Arial" w:cs="Arial"/>
          <w:bCs/>
          <w:color w:val="000000" w:themeColor="text1"/>
          <w:sz w:val="22"/>
          <w:szCs w:val="22"/>
          <w:lang w:eastAsia="ar-SA"/>
        </w:rPr>
        <w:t xml:space="preserve">National Government in the amount of P4,034.32 </w:t>
      </w:r>
      <w:r w:rsidR="00E30CF5" w:rsidRPr="009E35ED">
        <w:rPr>
          <w:rFonts w:ascii="Arial" w:hAnsi="Arial" w:cs="Arial"/>
          <w:bCs/>
          <w:color w:val="000000" w:themeColor="text1"/>
          <w:sz w:val="22"/>
          <w:szCs w:val="22"/>
          <w:lang w:eastAsia="ar-SA"/>
        </w:rPr>
        <w:t>m</w:t>
      </w:r>
      <w:r w:rsidRPr="009E35ED">
        <w:rPr>
          <w:rFonts w:ascii="Arial" w:hAnsi="Arial" w:cs="Arial"/>
          <w:bCs/>
          <w:color w:val="000000" w:themeColor="text1"/>
          <w:sz w:val="22"/>
          <w:szCs w:val="22"/>
          <w:lang w:eastAsia="ar-SA"/>
        </w:rPr>
        <w:t xml:space="preserve">illion for FY 2012 </w:t>
      </w:r>
      <w:r w:rsidR="00E30CF5" w:rsidRPr="009E35ED">
        <w:rPr>
          <w:rFonts w:ascii="Arial" w:hAnsi="Arial" w:cs="Arial"/>
          <w:bCs/>
          <w:color w:val="000000" w:themeColor="text1"/>
          <w:sz w:val="22"/>
          <w:szCs w:val="22"/>
          <w:lang w:eastAsia="ar-SA"/>
        </w:rPr>
        <w:t>to</w:t>
      </w:r>
      <w:r w:rsidRPr="009E35ED">
        <w:rPr>
          <w:rFonts w:ascii="Arial" w:hAnsi="Arial" w:cs="Arial"/>
          <w:bCs/>
          <w:color w:val="000000" w:themeColor="text1"/>
          <w:sz w:val="22"/>
          <w:szCs w:val="22"/>
          <w:lang w:eastAsia="ar-SA"/>
        </w:rPr>
        <w:t xml:space="preserve"> 2014 and P1,202.50 </w:t>
      </w:r>
      <w:r w:rsidR="00E30CF5" w:rsidRPr="009E35ED">
        <w:rPr>
          <w:rFonts w:ascii="Arial" w:hAnsi="Arial" w:cs="Arial"/>
          <w:bCs/>
          <w:color w:val="000000" w:themeColor="text1"/>
          <w:sz w:val="22"/>
          <w:szCs w:val="22"/>
          <w:lang w:eastAsia="ar-SA"/>
        </w:rPr>
        <w:t>m</w:t>
      </w:r>
      <w:r w:rsidRPr="009E35ED">
        <w:rPr>
          <w:rFonts w:ascii="Arial" w:hAnsi="Arial" w:cs="Arial"/>
          <w:bCs/>
          <w:color w:val="000000" w:themeColor="text1"/>
          <w:sz w:val="22"/>
          <w:szCs w:val="22"/>
          <w:lang w:eastAsia="ar-SA"/>
        </w:rPr>
        <w:t xml:space="preserve">illion for </w:t>
      </w:r>
      <w:r w:rsidR="00380F78">
        <w:rPr>
          <w:rFonts w:ascii="Arial" w:hAnsi="Arial" w:cs="Arial"/>
          <w:bCs/>
          <w:color w:val="000000" w:themeColor="text1"/>
          <w:sz w:val="22"/>
          <w:szCs w:val="22"/>
          <w:lang w:eastAsia="ar-SA"/>
        </w:rPr>
        <w:t>Fiscal Year (</w:t>
      </w:r>
      <w:r w:rsidRPr="009E35ED">
        <w:rPr>
          <w:rFonts w:ascii="Arial" w:hAnsi="Arial" w:cs="Arial"/>
          <w:bCs/>
          <w:color w:val="000000" w:themeColor="text1"/>
          <w:sz w:val="22"/>
          <w:szCs w:val="22"/>
          <w:lang w:eastAsia="ar-SA"/>
        </w:rPr>
        <w:t>FY</w:t>
      </w:r>
      <w:r w:rsidR="00380F78">
        <w:rPr>
          <w:rFonts w:ascii="Arial" w:hAnsi="Arial" w:cs="Arial"/>
          <w:bCs/>
          <w:color w:val="000000" w:themeColor="text1"/>
          <w:sz w:val="22"/>
          <w:szCs w:val="22"/>
          <w:lang w:eastAsia="ar-SA"/>
        </w:rPr>
        <w:t>)</w:t>
      </w:r>
      <w:r w:rsidRPr="009E35ED">
        <w:rPr>
          <w:rFonts w:ascii="Arial" w:hAnsi="Arial" w:cs="Arial"/>
          <w:bCs/>
          <w:color w:val="000000" w:themeColor="text1"/>
          <w:sz w:val="22"/>
          <w:szCs w:val="22"/>
          <w:lang w:eastAsia="ar-SA"/>
        </w:rPr>
        <w:t xml:space="preserve"> 2016 or a total of P5,236.82 </w:t>
      </w:r>
      <w:r w:rsidR="00E30CF5" w:rsidRPr="009E35ED">
        <w:rPr>
          <w:rFonts w:ascii="Arial" w:hAnsi="Arial" w:cs="Arial"/>
          <w:bCs/>
          <w:color w:val="000000" w:themeColor="text1"/>
          <w:sz w:val="22"/>
          <w:szCs w:val="22"/>
          <w:lang w:eastAsia="ar-SA"/>
        </w:rPr>
        <w:t>m</w:t>
      </w:r>
      <w:r w:rsidRPr="009E35ED">
        <w:rPr>
          <w:rFonts w:ascii="Arial" w:hAnsi="Arial" w:cs="Arial"/>
          <w:bCs/>
          <w:color w:val="000000" w:themeColor="text1"/>
          <w:sz w:val="22"/>
          <w:szCs w:val="22"/>
          <w:lang w:eastAsia="ar-SA"/>
        </w:rPr>
        <w:t>illion.</w:t>
      </w:r>
    </w:p>
    <w:p w14:paraId="78D8A1B9" w14:textId="77777777" w:rsidR="002B1485" w:rsidRPr="009E35ED" w:rsidRDefault="002B1485" w:rsidP="00803F8C">
      <w:pPr>
        <w:suppressAutoHyphens/>
        <w:rPr>
          <w:rFonts w:ascii="Arial" w:hAnsi="Arial" w:cs="Arial"/>
          <w:bCs/>
          <w:color w:val="000000" w:themeColor="text1"/>
          <w:sz w:val="22"/>
          <w:szCs w:val="22"/>
          <w:lang w:eastAsia="ar-SA"/>
        </w:rPr>
      </w:pPr>
    </w:p>
    <w:p w14:paraId="29C138F5" w14:textId="181F85CA" w:rsidR="002B1485" w:rsidRPr="009E35ED" w:rsidRDefault="002B1485" w:rsidP="00803F8C">
      <w:pPr>
        <w:suppressAutoHyphens/>
        <w:ind w:left="0"/>
        <w:rPr>
          <w:rFonts w:ascii="Arial" w:hAnsi="Arial" w:cs="Arial"/>
          <w:bCs/>
          <w:color w:val="000000" w:themeColor="text1"/>
          <w:sz w:val="22"/>
          <w:szCs w:val="22"/>
          <w:lang w:eastAsia="ar-SA"/>
        </w:rPr>
      </w:pPr>
      <w:r w:rsidRPr="009E35ED">
        <w:rPr>
          <w:rFonts w:ascii="Arial" w:hAnsi="Arial" w:cs="Arial"/>
          <w:bCs/>
          <w:color w:val="000000" w:themeColor="text1"/>
          <w:sz w:val="22"/>
          <w:szCs w:val="22"/>
          <w:lang w:eastAsia="ar-SA"/>
        </w:rPr>
        <w:t xml:space="preserve">On January 17, 2018, COA Legal Services Sector, rendered an Opinion on the nature and extent of the obligation of the PCSO relative to the declaration and remittance of dividends to the National Government under RA No. 7656 and its Implementing Rules and Regulations. </w:t>
      </w:r>
    </w:p>
    <w:p w14:paraId="74B2E77E" w14:textId="77777777" w:rsidR="002B1485" w:rsidRPr="009E35ED" w:rsidRDefault="002B1485" w:rsidP="00803F8C">
      <w:pPr>
        <w:suppressAutoHyphens/>
        <w:rPr>
          <w:rFonts w:ascii="Arial" w:hAnsi="Arial" w:cs="Arial"/>
          <w:bCs/>
          <w:color w:val="000000" w:themeColor="text1"/>
          <w:sz w:val="22"/>
          <w:szCs w:val="22"/>
          <w:lang w:eastAsia="ar-SA"/>
        </w:rPr>
      </w:pPr>
    </w:p>
    <w:p w14:paraId="0E67BA79" w14:textId="4E9FAF1B" w:rsidR="002B1485" w:rsidRPr="009E35ED" w:rsidRDefault="002B1485" w:rsidP="00803F8C">
      <w:pPr>
        <w:suppressAutoHyphens/>
        <w:ind w:left="0"/>
        <w:rPr>
          <w:rFonts w:ascii="Arial" w:hAnsi="Arial" w:cs="Arial"/>
          <w:bCs/>
          <w:color w:val="000000" w:themeColor="text1"/>
          <w:sz w:val="22"/>
          <w:szCs w:val="22"/>
          <w:lang w:eastAsia="ar-SA"/>
        </w:rPr>
      </w:pPr>
      <w:r w:rsidRPr="009E35ED">
        <w:rPr>
          <w:rFonts w:ascii="Arial" w:hAnsi="Arial" w:cs="Arial"/>
          <w:bCs/>
          <w:color w:val="000000" w:themeColor="text1"/>
          <w:sz w:val="22"/>
          <w:szCs w:val="22"/>
          <w:lang w:eastAsia="ar-SA"/>
        </w:rPr>
        <w:t>COA Legal Affairs Office is of the position that “Section 3 of RA</w:t>
      </w:r>
      <w:r w:rsidR="00D728B7">
        <w:rPr>
          <w:rFonts w:ascii="Arial" w:hAnsi="Arial" w:cs="Arial"/>
          <w:bCs/>
          <w:color w:val="000000" w:themeColor="text1"/>
          <w:sz w:val="22"/>
          <w:szCs w:val="22"/>
          <w:lang w:eastAsia="ar-SA"/>
        </w:rPr>
        <w:t xml:space="preserve"> No.</w:t>
      </w:r>
      <w:r w:rsidRPr="009E35ED">
        <w:rPr>
          <w:rFonts w:ascii="Arial" w:hAnsi="Arial" w:cs="Arial"/>
          <w:bCs/>
          <w:color w:val="000000" w:themeColor="text1"/>
          <w:sz w:val="22"/>
          <w:szCs w:val="22"/>
          <w:lang w:eastAsia="ar-SA"/>
        </w:rPr>
        <w:t xml:space="preserve"> 7656 provides that all </w:t>
      </w:r>
      <w:r w:rsidR="00380F78">
        <w:rPr>
          <w:rFonts w:ascii="Arial" w:hAnsi="Arial" w:cs="Arial"/>
          <w:bCs/>
          <w:color w:val="000000" w:themeColor="text1"/>
          <w:sz w:val="22"/>
          <w:szCs w:val="22"/>
          <w:lang w:eastAsia="ar-SA"/>
        </w:rPr>
        <w:t xml:space="preserve">the </w:t>
      </w:r>
      <w:r w:rsidRPr="009E35ED">
        <w:rPr>
          <w:rFonts w:ascii="Arial" w:hAnsi="Arial" w:cs="Arial"/>
          <w:bCs/>
          <w:color w:val="000000" w:themeColor="text1"/>
          <w:sz w:val="22"/>
          <w:szCs w:val="22"/>
          <w:lang w:eastAsia="ar-SA"/>
        </w:rPr>
        <w:t xml:space="preserve">GOCCs shall declare and remit at least 50% of their annual earnings as cash stock or property dividends to the National Government while Section 6(D) of RA No. 1169 provides that all balances of any funds in the PCSO shall revert to and form part of the Charity Fund.” It further stated that “the provisions should be interpreted in a way that they can be harmonized in accordance with the rules on statutory construction.  Thus, the interpretation that any balance from the Operating </w:t>
      </w:r>
      <w:r w:rsidR="00380F78">
        <w:rPr>
          <w:rFonts w:ascii="Arial" w:hAnsi="Arial" w:cs="Arial"/>
          <w:bCs/>
          <w:color w:val="000000" w:themeColor="text1"/>
          <w:sz w:val="22"/>
          <w:szCs w:val="22"/>
          <w:lang w:eastAsia="ar-SA"/>
        </w:rPr>
        <w:t>f</w:t>
      </w:r>
      <w:r w:rsidRPr="009E35ED">
        <w:rPr>
          <w:rFonts w:ascii="Arial" w:hAnsi="Arial" w:cs="Arial"/>
          <w:bCs/>
          <w:color w:val="000000" w:themeColor="text1"/>
          <w:sz w:val="22"/>
          <w:szCs w:val="22"/>
          <w:lang w:eastAsia="ar-SA"/>
        </w:rPr>
        <w:t xml:space="preserve">und will be reverted to Charity </w:t>
      </w:r>
      <w:r w:rsidR="00380F78">
        <w:rPr>
          <w:rFonts w:ascii="Arial" w:hAnsi="Arial" w:cs="Arial"/>
          <w:bCs/>
          <w:color w:val="000000" w:themeColor="text1"/>
          <w:sz w:val="22"/>
          <w:szCs w:val="22"/>
          <w:lang w:eastAsia="ar-SA"/>
        </w:rPr>
        <w:t>f</w:t>
      </w:r>
      <w:r w:rsidRPr="009E35ED">
        <w:rPr>
          <w:rFonts w:ascii="Arial" w:hAnsi="Arial" w:cs="Arial"/>
          <w:bCs/>
          <w:color w:val="000000" w:themeColor="text1"/>
          <w:sz w:val="22"/>
          <w:szCs w:val="22"/>
          <w:lang w:eastAsia="ar-SA"/>
        </w:rPr>
        <w:t>und only after the declaration and remittance of the required dividends under RA No. 7656, is more in accord with the purposes and intents of the two laws.”</w:t>
      </w:r>
    </w:p>
    <w:p w14:paraId="3C696470" w14:textId="77777777" w:rsidR="002B1485" w:rsidRPr="009E35ED" w:rsidRDefault="002B1485" w:rsidP="00803F8C">
      <w:pPr>
        <w:suppressAutoHyphens/>
        <w:rPr>
          <w:rFonts w:ascii="Arial" w:hAnsi="Arial" w:cs="Arial"/>
          <w:bCs/>
          <w:color w:val="000000" w:themeColor="text1"/>
          <w:sz w:val="22"/>
          <w:szCs w:val="22"/>
          <w:lang w:eastAsia="ar-SA"/>
        </w:rPr>
      </w:pPr>
    </w:p>
    <w:p w14:paraId="323EE42C" w14:textId="6CCB3876" w:rsidR="002B1485" w:rsidRPr="009E35ED" w:rsidRDefault="002B1485" w:rsidP="00803F8C">
      <w:pPr>
        <w:suppressAutoHyphens/>
        <w:ind w:left="0"/>
        <w:rPr>
          <w:rFonts w:ascii="Arial" w:hAnsi="Arial" w:cs="Arial"/>
          <w:bCs/>
          <w:color w:val="000000" w:themeColor="text1"/>
          <w:sz w:val="22"/>
          <w:szCs w:val="22"/>
          <w:lang w:eastAsia="ar-SA"/>
        </w:rPr>
      </w:pPr>
      <w:r w:rsidRPr="009E35ED">
        <w:rPr>
          <w:rFonts w:ascii="Arial" w:hAnsi="Arial" w:cs="Arial"/>
          <w:bCs/>
          <w:color w:val="000000" w:themeColor="text1"/>
          <w:sz w:val="22"/>
          <w:szCs w:val="22"/>
          <w:lang w:eastAsia="ar-SA"/>
        </w:rPr>
        <w:t>COA – Legal Affairs Office concluded that pending the approval of the President exempting the PCSO from the unpaid dividends, the provision of RA No. 7656 on the remittance of dividends should be applied in conjunction with PCSO’s Charter.</w:t>
      </w:r>
    </w:p>
    <w:p w14:paraId="31C42A67" w14:textId="77777777" w:rsidR="002B1485" w:rsidRPr="009E35ED" w:rsidRDefault="002B1485" w:rsidP="00803F8C">
      <w:pPr>
        <w:suppressAutoHyphens/>
        <w:rPr>
          <w:rFonts w:ascii="Arial" w:hAnsi="Arial" w:cs="Arial"/>
          <w:bCs/>
          <w:color w:val="000000" w:themeColor="text1"/>
          <w:sz w:val="22"/>
          <w:szCs w:val="22"/>
          <w:lang w:eastAsia="ar-SA"/>
        </w:rPr>
      </w:pPr>
    </w:p>
    <w:p w14:paraId="4D9B70A8" w14:textId="0BF3F4B0" w:rsidR="002B1485" w:rsidRPr="009E35ED" w:rsidRDefault="002B1485" w:rsidP="00803F8C">
      <w:pPr>
        <w:suppressAutoHyphens/>
        <w:ind w:left="0"/>
        <w:rPr>
          <w:rFonts w:ascii="Arial" w:hAnsi="Arial" w:cs="Arial"/>
          <w:color w:val="000000" w:themeColor="text1"/>
          <w:sz w:val="22"/>
          <w:szCs w:val="22"/>
        </w:rPr>
      </w:pPr>
      <w:r w:rsidRPr="009E35ED">
        <w:rPr>
          <w:rFonts w:ascii="Arial" w:hAnsi="Arial" w:cs="Arial"/>
          <w:bCs/>
          <w:color w:val="000000" w:themeColor="text1"/>
          <w:sz w:val="22"/>
          <w:szCs w:val="22"/>
          <w:lang w:eastAsia="ar-SA"/>
        </w:rPr>
        <w:t xml:space="preserve">In May 2018, </w:t>
      </w:r>
      <w:r w:rsidR="00380F78">
        <w:rPr>
          <w:rFonts w:ascii="Arial" w:hAnsi="Arial" w:cs="Arial"/>
          <w:bCs/>
          <w:color w:val="000000" w:themeColor="text1"/>
          <w:sz w:val="22"/>
          <w:szCs w:val="22"/>
          <w:lang w:eastAsia="ar-SA"/>
        </w:rPr>
        <w:t xml:space="preserve">the </w:t>
      </w:r>
      <w:r w:rsidRPr="009E35ED">
        <w:rPr>
          <w:rFonts w:ascii="Arial" w:hAnsi="Arial" w:cs="Arial"/>
          <w:bCs/>
          <w:color w:val="000000" w:themeColor="text1"/>
          <w:sz w:val="22"/>
          <w:szCs w:val="22"/>
          <w:lang w:eastAsia="ar-SA"/>
        </w:rPr>
        <w:t xml:space="preserve">PCSO remitted </w:t>
      </w:r>
      <w:r w:rsidR="00F10767">
        <w:rPr>
          <w:rFonts w:ascii="Arial" w:hAnsi="Arial" w:cs="Arial"/>
          <w:color w:val="000000" w:themeColor="text1"/>
          <w:sz w:val="22"/>
          <w:szCs w:val="22"/>
        </w:rPr>
        <w:t>P</w:t>
      </w:r>
      <w:r w:rsidRPr="009E35ED">
        <w:rPr>
          <w:rFonts w:ascii="Arial" w:hAnsi="Arial" w:cs="Arial"/>
          <w:color w:val="000000" w:themeColor="text1"/>
          <w:sz w:val="22"/>
          <w:szCs w:val="22"/>
        </w:rPr>
        <w:t>2,535,289,114.49 to the Bureau of Treasury</w:t>
      </w:r>
      <w:r w:rsidR="00380F78">
        <w:rPr>
          <w:rFonts w:ascii="Arial" w:hAnsi="Arial" w:cs="Arial"/>
          <w:color w:val="000000" w:themeColor="text1"/>
          <w:sz w:val="22"/>
          <w:szCs w:val="22"/>
        </w:rPr>
        <w:t xml:space="preserve"> (BTR)</w:t>
      </w:r>
      <w:r w:rsidRPr="009E35ED">
        <w:rPr>
          <w:rFonts w:ascii="Arial" w:hAnsi="Arial" w:cs="Arial"/>
          <w:color w:val="000000" w:themeColor="text1"/>
          <w:sz w:val="22"/>
          <w:szCs w:val="22"/>
        </w:rPr>
        <w:t>, representing the Dividend due for CY 2017.</w:t>
      </w:r>
    </w:p>
    <w:p w14:paraId="5F3DC28F" w14:textId="77777777" w:rsidR="002B1485" w:rsidRPr="009E35ED" w:rsidRDefault="002B1485" w:rsidP="00803F8C">
      <w:pPr>
        <w:suppressAutoHyphens/>
        <w:rPr>
          <w:rFonts w:ascii="Arial" w:hAnsi="Arial" w:cs="Arial"/>
          <w:color w:val="000000" w:themeColor="text1"/>
          <w:sz w:val="22"/>
          <w:szCs w:val="22"/>
        </w:rPr>
      </w:pPr>
    </w:p>
    <w:p w14:paraId="5F5DC682" w14:textId="523EC79B" w:rsidR="00D03B10" w:rsidRPr="009E35ED" w:rsidRDefault="002B1485" w:rsidP="00B90388">
      <w:pPr>
        <w:keepNext/>
        <w:keepLines/>
        <w:suppressAutoHyphens/>
        <w:ind w:left="0"/>
        <w:rPr>
          <w:rFonts w:ascii="Arial" w:hAnsi="Arial" w:cs="Arial"/>
          <w:color w:val="000000" w:themeColor="text1"/>
          <w:sz w:val="22"/>
          <w:szCs w:val="22"/>
        </w:rPr>
      </w:pPr>
      <w:r w:rsidRPr="009E35ED">
        <w:rPr>
          <w:rFonts w:ascii="Arial" w:hAnsi="Arial" w:cs="Arial"/>
          <w:color w:val="000000" w:themeColor="text1"/>
          <w:sz w:val="22"/>
          <w:szCs w:val="22"/>
        </w:rPr>
        <w:t>As of December</w:t>
      </w:r>
      <w:r w:rsidR="00344372">
        <w:rPr>
          <w:rFonts w:ascii="Arial" w:hAnsi="Arial" w:cs="Arial"/>
          <w:color w:val="000000" w:themeColor="text1"/>
          <w:sz w:val="22"/>
          <w:szCs w:val="22"/>
        </w:rPr>
        <w:t xml:space="preserve"> 31,</w:t>
      </w:r>
      <w:r w:rsidRPr="009E35ED">
        <w:rPr>
          <w:rFonts w:ascii="Arial" w:hAnsi="Arial" w:cs="Arial"/>
          <w:color w:val="000000" w:themeColor="text1"/>
          <w:sz w:val="22"/>
          <w:szCs w:val="22"/>
        </w:rPr>
        <w:t xml:space="preserve"> 20</w:t>
      </w:r>
      <w:r w:rsidR="00F10767">
        <w:rPr>
          <w:rFonts w:ascii="Arial" w:hAnsi="Arial" w:cs="Arial"/>
          <w:color w:val="000000" w:themeColor="text1"/>
          <w:sz w:val="22"/>
          <w:szCs w:val="22"/>
        </w:rPr>
        <w:t>23</w:t>
      </w:r>
      <w:r w:rsidRPr="009E35ED">
        <w:rPr>
          <w:rFonts w:ascii="Arial" w:hAnsi="Arial" w:cs="Arial"/>
          <w:color w:val="000000" w:themeColor="text1"/>
          <w:sz w:val="22"/>
          <w:szCs w:val="22"/>
        </w:rPr>
        <w:t xml:space="preserve">, the PCSO is still negotiating with the </w:t>
      </w:r>
      <w:r w:rsidR="00380F78">
        <w:rPr>
          <w:rFonts w:ascii="Arial" w:hAnsi="Arial" w:cs="Arial"/>
          <w:color w:val="000000" w:themeColor="text1"/>
          <w:sz w:val="22"/>
          <w:szCs w:val="22"/>
        </w:rPr>
        <w:t>DOF</w:t>
      </w:r>
      <w:r w:rsidRPr="009E35ED">
        <w:rPr>
          <w:rFonts w:ascii="Arial" w:hAnsi="Arial" w:cs="Arial"/>
          <w:color w:val="000000" w:themeColor="text1"/>
          <w:sz w:val="22"/>
          <w:szCs w:val="22"/>
        </w:rPr>
        <w:t xml:space="preserve"> if indeed the PCS</w:t>
      </w:r>
      <w:r w:rsidR="00F10767">
        <w:rPr>
          <w:rFonts w:ascii="Arial" w:hAnsi="Arial" w:cs="Arial"/>
          <w:color w:val="000000" w:themeColor="text1"/>
          <w:sz w:val="22"/>
          <w:szCs w:val="22"/>
        </w:rPr>
        <w:t>O would be required to remit P</w:t>
      </w:r>
      <w:r w:rsidRPr="009E35ED">
        <w:rPr>
          <w:rFonts w:ascii="Arial" w:hAnsi="Arial" w:cs="Arial"/>
          <w:color w:val="000000" w:themeColor="text1"/>
          <w:sz w:val="22"/>
          <w:szCs w:val="22"/>
        </w:rPr>
        <w:t xml:space="preserve">8.422 </w:t>
      </w:r>
      <w:r w:rsidR="00852C09" w:rsidRPr="009E35ED">
        <w:rPr>
          <w:rFonts w:ascii="Arial" w:hAnsi="Arial" w:cs="Arial"/>
          <w:color w:val="000000" w:themeColor="text1"/>
          <w:sz w:val="22"/>
          <w:szCs w:val="22"/>
        </w:rPr>
        <w:t>b</w:t>
      </w:r>
      <w:r w:rsidRPr="009E35ED">
        <w:rPr>
          <w:rFonts w:ascii="Arial" w:hAnsi="Arial" w:cs="Arial"/>
          <w:color w:val="000000" w:themeColor="text1"/>
          <w:sz w:val="22"/>
          <w:szCs w:val="22"/>
        </w:rPr>
        <w:t xml:space="preserve">illion for CYs 1994 to 2016. PCSO is in close contact with the Corporate Affairs Group of the </w:t>
      </w:r>
      <w:r w:rsidR="00380F78">
        <w:rPr>
          <w:rFonts w:ascii="Arial" w:hAnsi="Arial" w:cs="Arial"/>
          <w:color w:val="000000" w:themeColor="text1"/>
          <w:sz w:val="22"/>
          <w:szCs w:val="22"/>
        </w:rPr>
        <w:t>DOF</w:t>
      </w:r>
      <w:r w:rsidRPr="009E35ED">
        <w:rPr>
          <w:rFonts w:ascii="Arial" w:hAnsi="Arial" w:cs="Arial"/>
          <w:color w:val="000000" w:themeColor="text1"/>
          <w:sz w:val="22"/>
          <w:szCs w:val="22"/>
        </w:rPr>
        <w:t xml:space="preserve">, </w:t>
      </w:r>
      <w:r w:rsidR="00852C09" w:rsidRPr="009E35ED">
        <w:rPr>
          <w:rFonts w:ascii="Arial" w:hAnsi="Arial" w:cs="Arial"/>
          <w:color w:val="000000" w:themeColor="text1"/>
          <w:sz w:val="22"/>
          <w:szCs w:val="22"/>
        </w:rPr>
        <w:t>on</w:t>
      </w:r>
      <w:r w:rsidRPr="009E35ED">
        <w:rPr>
          <w:rFonts w:ascii="Arial" w:hAnsi="Arial" w:cs="Arial"/>
          <w:color w:val="000000" w:themeColor="text1"/>
          <w:sz w:val="22"/>
          <w:szCs w:val="22"/>
        </w:rPr>
        <w:t xml:space="preserve"> the proposed settlement of arrears in Dividends.</w:t>
      </w:r>
    </w:p>
    <w:p w14:paraId="06240DFE" w14:textId="6827FEF4" w:rsidR="00CE27DC" w:rsidRPr="009E35ED" w:rsidRDefault="00CE27DC" w:rsidP="00852C09">
      <w:pPr>
        <w:suppressAutoHyphens/>
        <w:ind w:left="0"/>
        <w:rPr>
          <w:rFonts w:ascii="Arial" w:hAnsi="Arial" w:cs="Arial"/>
          <w:color w:val="000000" w:themeColor="text1"/>
          <w:sz w:val="22"/>
          <w:szCs w:val="22"/>
        </w:rPr>
      </w:pPr>
    </w:p>
    <w:p w14:paraId="616CCE73" w14:textId="0CC68E9F" w:rsidR="00A63381" w:rsidRPr="009E35ED" w:rsidRDefault="00380F78" w:rsidP="00852C09">
      <w:pPr>
        <w:suppressAutoHyphens/>
        <w:ind w:left="0"/>
        <w:rPr>
          <w:rFonts w:ascii="Arial" w:hAnsi="Arial" w:cs="Arial"/>
          <w:color w:val="000000" w:themeColor="text1"/>
          <w:sz w:val="22"/>
          <w:szCs w:val="22"/>
        </w:rPr>
      </w:pPr>
      <w:r>
        <w:rPr>
          <w:rFonts w:ascii="Arial" w:hAnsi="Arial" w:cs="Arial"/>
          <w:color w:val="000000" w:themeColor="text1"/>
          <w:sz w:val="22"/>
          <w:szCs w:val="22"/>
        </w:rPr>
        <w:t xml:space="preserve">The </w:t>
      </w:r>
      <w:r w:rsidR="00A63381" w:rsidRPr="009E35ED">
        <w:rPr>
          <w:rFonts w:ascii="Arial" w:hAnsi="Arial" w:cs="Arial"/>
          <w:color w:val="000000" w:themeColor="text1"/>
          <w:sz w:val="22"/>
          <w:szCs w:val="22"/>
        </w:rPr>
        <w:t xml:space="preserve">PCSO paid </w:t>
      </w:r>
      <w:r w:rsidR="002921B0" w:rsidRPr="009E35ED">
        <w:rPr>
          <w:rFonts w:ascii="Arial" w:hAnsi="Arial" w:cs="Arial"/>
          <w:color w:val="000000" w:themeColor="text1"/>
          <w:sz w:val="22"/>
          <w:szCs w:val="22"/>
        </w:rPr>
        <w:t>an additional dividend for CY</w:t>
      </w:r>
      <w:r>
        <w:rPr>
          <w:rFonts w:ascii="Arial" w:hAnsi="Arial" w:cs="Arial"/>
          <w:color w:val="000000" w:themeColor="text1"/>
          <w:sz w:val="22"/>
          <w:szCs w:val="22"/>
        </w:rPr>
        <w:t xml:space="preserve"> </w:t>
      </w:r>
      <w:r w:rsidR="002921B0" w:rsidRPr="009E35ED">
        <w:rPr>
          <w:rFonts w:ascii="Arial" w:hAnsi="Arial" w:cs="Arial"/>
          <w:color w:val="000000" w:themeColor="text1"/>
          <w:sz w:val="22"/>
          <w:szCs w:val="22"/>
        </w:rPr>
        <w:t>2018 on January 27,</w:t>
      </w:r>
      <w:r w:rsidR="00E03826" w:rsidRPr="009E35ED">
        <w:rPr>
          <w:rFonts w:ascii="Arial" w:hAnsi="Arial" w:cs="Arial"/>
          <w:color w:val="000000" w:themeColor="text1"/>
          <w:sz w:val="22"/>
          <w:szCs w:val="22"/>
        </w:rPr>
        <w:t xml:space="preserve"> </w:t>
      </w:r>
      <w:r w:rsidR="002921B0" w:rsidRPr="009E35ED">
        <w:rPr>
          <w:rFonts w:ascii="Arial" w:hAnsi="Arial" w:cs="Arial"/>
          <w:color w:val="000000" w:themeColor="text1"/>
          <w:sz w:val="22"/>
          <w:szCs w:val="22"/>
        </w:rPr>
        <w:t xml:space="preserve">2020 amounting to P49,110,582.59 to </w:t>
      </w:r>
      <w:r w:rsidR="006B1C63" w:rsidRPr="009E35ED">
        <w:rPr>
          <w:rFonts w:ascii="Arial" w:hAnsi="Arial" w:cs="Arial"/>
          <w:color w:val="000000" w:themeColor="text1"/>
          <w:sz w:val="22"/>
          <w:szCs w:val="22"/>
        </w:rPr>
        <w:t xml:space="preserve">the </w:t>
      </w:r>
      <w:r w:rsidR="002921B0" w:rsidRPr="009E35ED">
        <w:rPr>
          <w:rFonts w:ascii="Arial" w:hAnsi="Arial" w:cs="Arial"/>
          <w:color w:val="000000" w:themeColor="text1"/>
          <w:sz w:val="22"/>
          <w:szCs w:val="22"/>
        </w:rPr>
        <w:t xml:space="preserve">BTr. </w:t>
      </w:r>
    </w:p>
    <w:p w14:paraId="0DEA732C" w14:textId="77777777" w:rsidR="002921B0" w:rsidRPr="009E35ED" w:rsidRDefault="002921B0" w:rsidP="00852C09">
      <w:pPr>
        <w:suppressAutoHyphens/>
        <w:ind w:left="0"/>
        <w:rPr>
          <w:rFonts w:ascii="Arial" w:hAnsi="Arial" w:cs="Arial"/>
          <w:color w:val="000000" w:themeColor="text1"/>
          <w:sz w:val="22"/>
          <w:szCs w:val="22"/>
        </w:rPr>
      </w:pPr>
    </w:p>
    <w:p w14:paraId="3769BFB3" w14:textId="4D7C63A5" w:rsidR="00A93EA2" w:rsidRPr="009E35ED" w:rsidRDefault="00E05837" w:rsidP="00196FF4">
      <w:pPr>
        <w:suppressAutoHyphens/>
        <w:ind w:left="0"/>
        <w:rPr>
          <w:rFonts w:ascii="Arial" w:hAnsi="Arial" w:cs="Arial"/>
          <w:color w:val="000000" w:themeColor="text1"/>
          <w:sz w:val="22"/>
          <w:szCs w:val="22"/>
        </w:rPr>
      </w:pPr>
      <w:r w:rsidRPr="009E35ED">
        <w:rPr>
          <w:rFonts w:ascii="Arial" w:hAnsi="Arial" w:cs="Arial"/>
          <w:color w:val="000000" w:themeColor="text1"/>
          <w:sz w:val="22"/>
          <w:szCs w:val="22"/>
        </w:rPr>
        <w:t>On April 7, 202</w:t>
      </w:r>
      <w:r w:rsidR="00BA4D56" w:rsidRPr="009E35ED">
        <w:rPr>
          <w:rFonts w:ascii="Arial" w:hAnsi="Arial" w:cs="Arial"/>
          <w:color w:val="000000" w:themeColor="text1"/>
          <w:sz w:val="22"/>
          <w:szCs w:val="22"/>
        </w:rPr>
        <w:t>0</w:t>
      </w:r>
      <w:r w:rsidRPr="009E35ED">
        <w:rPr>
          <w:rFonts w:ascii="Arial" w:hAnsi="Arial" w:cs="Arial"/>
          <w:color w:val="000000" w:themeColor="text1"/>
          <w:sz w:val="22"/>
          <w:szCs w:val="22"/>
        </w:rPr>
        <w:t xml:space="preserve">, the PCSO remitted Two Billion Two Hundred Nineteen Million Eight Hundred Sixteen Thousand Six Hundred </w:t>
      </w:r>
      <w:r w:rsidR="0093552B" w:rsidRPr="009E35ED">
        <w:rPr>
          <w:rFonts w:ascii="Arial" w:hAnsi="Arial" w:cs="Arial"/>
          <w:color w:val="000000" w:themeColor="text1"/>
          <w:sz w:val="22"/>
          <w:szCs w:val="22"/>
        </w:rPr>
        <w:t>Forty-Eight</w:t>
      </w:r>
      <w:r w:rsidRPr="009E35ED">
        <w:rPr>
          <w:rFonts w:ascii="Arial" w:hAnsi="Arial" w:cs="Arial"/>
          <w:color w:val="000000" w:themeColor="text1"/>
          <w:sz w:val="22"/>
          <w:szCs w:val="22"/>
        </w:rPr>
        <w:t xml:space="preserve"> and 06/100 (</w:t>
      </w:r>
      <w:r w:rsidR="00F10767">
        <w:rPr>
          <w:rFonts w:ascii="Arial" w:hAnsi="Arial" w:cs="Arial"/>
          <w:color w:val="000000" w:themeColor="text1"/>
          <w:sz w:val="22"/>
          <w:szCs w:val="22"/>
        </w:rPr>
        <w:t>P</w:t>
      </w:r>
      <w:r w:rsidRPr="009E35ED">
        <w:rPr>
          <w:rFonts w:ascii="Arial" w:hAnsi="Arial" w:cs="Arial"/>
          <w:color w:val="000000" w:themeColor="text1"/>
          <w:sz w:val="22"/>
          <w:szCs w:val="22"/>
        </w:rPr>
        <w:t>2,219,816,648.06) to the BTr</w:t>
      </w:r>
      <w:r w:rsidR="00033030" w:rsidRPr="009E35ED">
        <w:rPr>
          <w:rFonts w:ascii="Arial" w:hAnsi="Arial" w:cs="Arial"/>
          <w:color w:val="000000" w:themeColor="text1"/>
          <w:sz w:val="22"/>
          <w:szCs w:val="22"/>
        </w:rPr>
        <w:t xml:space="preserve"> as payment for its 2019 Dividend Payable.</w:t>
      </w:r>
    </w:p>
    <w:p w14:paraId="50AC86B5" w14:textId="77777777" w:rsidR="00A93EA2" w:rsidRPr="009E35ED" w:rsidRDefault="00A93EA2" w:rsidP="00196FF4">
      <w:pPr>
        <w:suppressAutoHyphens/>
        <w:ind w:left="0"/>
        <w:rPr>
          <w:rFonts w:ascii="Arial" w:hAnsi="Arial" w:cs="Arial"/>
          <w:color w:val="000000" w:themeColor="text1"/>
          <w:sz w:val="22"/>
          <w:szCs w:val="22"/>
        </w:rPr>
      </w:pPr>
    </w:p>
    <w:p w14:paraId="2E032393" w14:textId="487AB0F2" w:rsidR="006B1C63" w:rsidRPr="009E35ED" w:rsidRDefault="006B1C63" w:rsidP="006B1C63">
      <w:pPr>
        <w:suppressAutoHyphens/>
        <w:ind w:left="0"/>
        <w:rPr>
          <w:rFonts w:ascii="Arial" w:hAnsi="Arial" w:cs="Arial"/>
          <w:color w:val="000000" w:themeColor="text1"/>
          <w:sz w:val="22"/>
          <w:szCs w:val="22"/>
        </w:rPr>
      </w:pPr>
      <w:r w:rsidRPr="009E35ED">
        <w:rPr>
          <w:rFonts w:ascii="Arial" w:hAnsi="Arial" w:cs="Arial"/>
          <w:color w:val="000000" w:themeColor="text1"/>
          <w:sz w:val="22"/>
          <w:szCs w:val="22"/>
        </w:rPr>
        <w:t xml:space="preserve">On April 8, 2021, the PCSO received a letter from the DOF requesting to remit the </w:t>
      </w:r>
      <w:r w:rsidR="00F10767">
        <w:rPr>
          <w:rFonts w:ascii="Arial" w:hAnsi="Arial" w:cs="Arial"/>
          <w:color w:val="000000" w:themeColor="text1"/>
          <w:sz w:val="22"/>
          <w:szCs w:val="22"/>
        </w:rPr>
        <w:t>P</w:t>
      </w:r>
      <w:r w:rsidRPr="009E35ED">
        <w:rPr>
          <w:rFonts w:ascii="Arial" w:hAnsi="Arial" w:cs="Arial"/>
          <w:color w:val="000000" w:themeColor="text1"/>
          <w:sz w:val="22"/>
          <w:szCs w:val="22"/>
        </w:rPr>
        <w:t xml:space="preserve">1,000,000,000.00 as additional dividends from the 2019 net earnings due to </w:t>
      </w:r>
      <w:r w:rsidR="007F6E0A" w:rsidRPr="009E35ED">
        <w:rPr>
          <w:rFonts w:ascii="Arial" w:hAnsi="Arial" w:cs="Arial"/>
          <w:color w:val="000000" w:themeColor="text1"/>
          <w:sz w:val="22"/>
          <w:szCs w:val="22"/>
        </w:rPr>
        <w:t xml:space="preserve">the </w:t>
      </w:r>
      <w:r w:rsidRPr="009E35ED">
        <w:rPr>
          <w:rFonts w:ascii="Arial" w:hAnsi="Arial" w:cs="Arial"/>
          <w:color w:val="000000" w:themeColor="text1"/>
          <w:sz w:val="22"/>
          <w:szCs w:val="22"/>
        </w:rPr>
        <w:t xml:space="preserve">urgent need </w:t>
      </w:r>
      <w:r w:rsidR="007F6E0A" w:rsidRPr="009E35ED">
        <w:rPr>
          <w:rFonts w:ascii="Arial" w:hAnsi="Arial" w:cs="Arial"/>
          <w:color w:val="000000" w:themeColor="text1"/>
          <w:sz w:val="22"/>
          <w:szCs w:val="22"/>
        </w:rPr>
        <w:t>of funding</w:t>
      </w:r>
      <w:r w:rsidRPr="009E35ED">
        <w:rPr>
          <w:rFonts w:ascii="Arial" w:hAnsi="Arial" w:cs="Arial"/>
          <w:color w:val="000000" w:themeColor="text1"/>
          <w:sz w:val="22"/>
          <w:szCs w:val="22"/>
        </w:rPr>
        <w:t xml:space="preserve"> the various health and economic measures</w:t>
      </w:r>
      <w:r w:rsidR="007F6E0A" w:rsidRPr="009E35ED">
        <w:rPr>
          <w:rFonts w:ascii="Arial" w:hAnsi="Arial" w:cs="Arial"/>
          <w:color w:val="000000" w:themeColor="text1"/>
          <w:sz w:val="22"/>
          <w:szCs w:val="22"/>
        </w:rPr>
        <w:t xml:space="preserve"> of the government</w:t>
      </w:r>
      <w:r w:rsidRPr="009E35ED">
        <w:rPr>
          <w:rFonts w:ascii="Arial" w:hAnsi="Arial" w:cs="Arial"/>
          <w:color w:val="000000" w:themeColor="text1"/>
          <w:sz w:val="22"/>
          <w:szCs w:val="22"/>
        </w:rPr>
        <w:t xml:space="preserve"> to mitigate the impact of COVID 19</w:t>
      </w:r>
      <w:r w:rsidR="007F6E0A" w:rsidRPr="009E35ED">
        <w:rPr>
          <w:rFonts w:ascii="Arial" w:hAnsi="Arial" w:cs="Arial"/>
          <w:color w:val="000000" w:themeColor="text1"/>
          <w:sz w:val="22"/>
          <w:szCs w:val="22"/>
        </w:rPr>
        <w:t xml:space="preserve"> pandemic</w:t>
      </w:r>
      <w:r w:rsidRPr="009E35ED">
        <w:rPr>
          <w:rFonts w:ascii="Arial" w:hAnsi="Arial" w:cs="Arial"/>
          <w:color w:val="000000" w:themeColor="text1"/>
          <w:sz w:val="22"/>
          <w:szCs w:val="22"/>
        </w:rPr>
        <w:t xml:space="preserve">. On April 28, 2021, </w:t>
      </w:r>
      <w:r w:rsidR="00380F78">
        <w:rPr>
          <w:rFonts w:ascii="Arial" w:hAnsi="Arial" w:cs="Arial"/>
          <w:color w:val="000000" w:themeColor="text1"/>
          <w:sz w:val="22"/>
          <w:szCs w:val="22"/>
        </w:rPr>
        <w:t xml:space="preserve">the </w:t>
      </w:r>
      <w:r w:rsidRPr="009E35ED">
        <w:rPr>
          <w:rFonts w:ascii="Arial" w:hAnsi="Arial" w:cs="Arial"/>
          <w:color w:val="000000" w:themeColor="text1"/>
          <w:sz w:val="22"/>
          <w:szCs w:val="22"/>
        </w:rPr>
        <w:t xml:space="preserve">PCSO thru BR No. 0072 s. 2021, approved the request of </w:t>
      </w:r>
      <w:r w:rsidR="007F6E0A" w:rsidRPr="009E35ED">
        <w:rPr>
          <w:rFonts w:ascii="Arial" w:hAnsi="Arial" w:cs="Arial"/>
          <w:color w:val="000000" w:themeColor="text1"/>
          <w:sz w:val="22"/>
          <w:szCs w:val="22"/>
        </w:rPr>
        <w:t xml:space="preserve">the </w:t>
      </w:r>
      <w:r w:rsidRPr="009E35ED">
        <w:rPr>
          <w:rFonts w:ascii="Arial" w:hAnsi="Arial" w:cs="Arial"/>
          <w:color w:val="000000" w:themeColor="text1"/>
          <w:sz w:val="22"/>
          <w:szCs w:val="22"/>
        </w:rPr>
        <w:t xml:space="preserve">DOF for the additional dividend remittance from 2019 earnings that shall be culled from the Charity </w:t>
      </w:r>
      <w:r w:rsidR="00380F78">
        <w:rPr>
          <w:rFonts w:ascii="Arial" w:hAnsi="Arial" w:cs="Arial"/>
          <w:color w:val="000000" w:themeColor="text1"/>
          <w:sz w:val="22"/>
          <w:szCs w:val="22"/>
        </w:rPr>
        <w:t>f</w:t>
      </w:r>
      <w:r w:rsidRPr="009E35ED">
        <w:rPr>
          <w:rFonts w:ascii="Arial" w:hAnsi="Arial" w:cs="Arial"/>
          <w:color w:val="000000" w:themeColor="text1"/>
          <w:sz w:val="22"/>
          <w:szCs w:val="22"/>
        </w:rPr>
        <w:t>und</w:t>
      </w:r>
      <w:r w:rsidR="007F6E0A" w:rsidRPr="009E35ED">
        <w:rPr>
          <w:rFonts w:ascii="Arial" w:hAnsi="Arial" w:cs="Arial"/>
          <w:color w:val="000000" w:themeColor="text1"/>
          <w:sz w:val="22"/>
          <w:szCs w:val="22"/>
        </w:rPr>
        <w:t>,</w:t>
      </w:r>
      <w:r w:rsidRPr="009E35ED">
        <w:rPr>
          <w:rFonts w:ascii="Arial" w:hAnsi="Arial" w:cs="Arial"/>
          <w:color w:val="000000" w:themeColor="text1"/>
          <w:sz w:val="22"/>
          <w:szCs w:val="22"/>
        </w:rPr>
        <w:t xml:space="preserve"> and subject </w:t>
      </w:r>
      <w:r w:rsidR="007F6E0A" w:rsidRPr="009E35ED">
        <w:rPr>
          <w:rFonts w:ascii="Arial" w:hAnsi="Arial" w:cs="Arial"/>
          <w:color w:val="000000" w:themeColor="text1"/>
          <w:sz w:val="22"/>
          <w:szCs w:val="22"/>
        </w:rPr>
        <w:t xml:space="preserve">to </w:t>
      </w:r>
      <w:r w:rsidRPr="009E35ED">
        <w:rPr>
          <w:rFonts w:ascii="Arial" w:hAnsi="Arial" w:cs="Arial"/>
          <w:color w:val="000000" w:themeColor="text1"/>
          <w:sz w:val="22"/>
          <w:szCs w:val="22"/>
        </w:rPr>
        <w:t>the approval of the Office of the President. On September 14, 2021, the PCSO received the memorandum from the Office of the President approv</w:t>
      </w:r>
      <w:r w:rsidR="007F6E0A" w:rsidRPr="009E35ED">
        <w:rPr>
          <w:rFonts w:ascii="Arial" w:hAnsi="Arial" w:cs="Arial"/>
          <w:color w:val="000000" w:themeColor="text1"/>
          <w:sz w:val="22"/>
          <w:szCs w:val="22"/>
        </w:rPr>
        <w:t>ing</w:t>
      </w:r>
      <w:r w:rsidRPr="009E35ED">
        <w:rPr>
          <w:rFonts w:ascii="Arial" w:hAnsi="Arial" w:cs="Arial"/>
          <w:color w:val="000000" w:themeColor="text1"/>
          <w:sz w:val="22"/>
          <w:szCs w:val="22"/>
        </w:rPr>
        <w:t xml:space="preserve"> the remittance of </w:t>
      </w:r>
      <w:r w:rsidR="007F6E0A" w:rsidRPr="009E35ED">
        <w:rPr>
          <w:rFonts w:ascii="Arial" w:hAnsi="Arial" w:cs="Arial"/>
          <w:color w:val="000000" w:themeColor="text1"/>
          <w:sz w:val="22"/>
          <w:szCs w:val="22"/>
        </w:rPr>
        <w:t xml:space="preserve">the </w:t>
      </w:r>
      <w:r w:rsidR="00F10767">
        <w:rPr>
          <w:rFonts w:ascii="Arial" w:hAnsi="Arial" w:cs="Arial"/>
          <w:color w:val="000000" w:themeColor="text1"/>
          <w:sz w:val="22"/>
          <w:szCs w:val="22"/>
        </w:rPr>
        <w:t>P</w:t>
      </w:r>
      <w:r w:rsidRPr="009E35ED">
        <w:rPr>
          <w:rFonts w:ascii="Arial" w:hAnsi="Arial" w:cs="Arial"/>
          <w:color w:val="000000" w:themeColor="text1"/>
          <w:sz w:val="22"/>
          <w:szCs w:val="22"/>
        </w:rPr>
        <w:t>1,000,000,000.00</w:t>
      </w:r>
      <w:r w:rsidR="00380F78">
        <w:rPr>
          <w:rFonts w:ascii="Arial" w:hAnsi="Arial" w:cs="Arial"/>
          <w:color w:val="000000" w:themeColor="text1"/>
          <w:sz w:val="22"/>
          <w:szCs w:val="22"/>
        </w:rPr>
        <w:t xml:space="preserve"> </w:t>
      </w:r>
      <w:r w:rsidRPr="009E35ED">
        <w:rPr>
          <w:rFonts w:ascii="Arial" w:hAnsi="Arial" w:cs="Arial"/>
          <w:color w:val="000000" w:themeColor="text1"/>
          <w:sz w:val="22"/>
          <w:szCs w:val="22"/>
        </w:rPr>
        <w:t xml:space="preserve">that will be charged </w:t>
      </w:r>
      <w:r w:rsidR="007F6E0A" w:rsidRPr="009E35ED">
        <w:rPr>
          <w:rFonts w:ascii="Arial" w:hAnsi="Arial" w:cs="Arial"/>
          <w:color w:val="000000" w:themeColor="text1"/>
          <w:sz w:val="22"/>
          <w:szCs w:val="22"/>
        </w:rPr>
        <w:t xml:space="preserve">from </w:t>
      </w:r>
      <w:r w:rsidRPr="009E35ED">
        <w:rPr>
          <w:rFonts w:ascii="Arial" w:hAnsi="Arial" w:cs="Arial"/>
          <w:color w:val="000000" w:themeColor="text1"/>
          <w:sz w:val="22"/>
          <w:szCs w:val="22"/>
        </w:rPr>
        <w:t xml:space="preserve">PCSO Charity </w:t>
      </w:r>
      <w:r w:rsidR="00380F78">
        <w:rPr>
          <w:rFonts w:ascii="Arial" w:hAnsi="Arial" w:cs="Arial"/>
          <w:color w:val="000000" w:themeColor="text1"/>
          <w:sz w:val="22"/>
          <w:szCs w:val="22"/>
        </w:rPr>
        <w:t>f</w:t>
      </w:r>
      <w:r w:rsidRPr="009E35ED">
        <w:rPr>
          <w:rFonts w:ascii="Arial" w:hAnsi="Arial" w:cs="Arial"/>
          <w:color w:val="000000" w:themeColor="text1"/>
          <w:sz w:val="22"/>
          <w:szCs w:val="22"/>
        </w:rPr>
        <w:t xml:space="preserve">und. Hence, on October 11, 2021, the PCSO remitted </w:t>
      </w:r>
      <w:r w:rsidR="00F10767">
        <w:rPr>
          <w:rFonts w:ascii="Arial" w:hAnsi="Arial" w:cs="Arial"/>
          <w:color w:val="000000" w:themeColor="text1"/>
          <w:sz w:val="22"/>
          <w:szCs w:val="22"/>
        </w:rPr>
        <w:t>P</w:t>
      </w:r>
      <w:r w:rsidRPr="009E35ED">
        <w:rPr>
          <w:rFonts w:ascii="Arial" w:hAnsi="Arial" w:cs="Arial"/>
          <w:color w:val="000000" w:themeColor="text1"/>
          <w:sz w:val="22"/>
          <w:szCs w:val="22"/>
        </w:rPr>
        <w:t>1,000,000,000.00 to the BTr.</w:t>
      </w:r>
    </w:p>
    <w:p w14:paraId="497895B2" w14:textId="77777777" w:rsidR="006B1C63" w:rsidRPr="009E35ED" w:rsidRDefault="006B1C63" w:rsidP="006B1C63">
      <w:pPr>
        <w:suppressAutoHyphens/>
        <w:ind w:left="0"/>
        <w:rPr>
          <w:rFonts w:ascii="Arial" w:hAnsi="Arial" w:cs="Arial"/>
          <w:color w:val="000000" w:themeColor="text1"/>
          <w:sz w:val="22"/>
          <w:szCs w:val="22"/>
        </w:rPr>
      </w:pPr>
    </w:p>
    <w:p w14:paraId="32139898" w14:textId="1DFF12F6" w:rsidR="006B1C63" w:rsidRPr="009E35ED" w:rsidRDefault="006B1C63" w:rsidP="006B1C63">
      <w:pPr>
        <w:suppressAutoHyphens/>
        <w:ind w:left="0"/>
        <w:rPr>
          <w:rFonts w:ascii="Arial" w:hAnsi="Arial" w:cs="Arial"/>
          <w:color w:val="000000" w:themeColor="text1"/>
          <w:sz w:val="22"/>
          <w:szCs w:val="22"/>
        </w:rPr>
      </w:pPr>
      <w:r w:rsidRPr="009E35ED">
        <w:rPr>
          <w:rFonts w:ascii="Arial" w:hAnsi="Arial" w:cs="Arial"/>
          <w:color w:val="000000" w:themeColor="text1"/>
          <w:sz w:val="22"/>
          <w:szCs w:val="22"/>
        </w:rPr>
        <w:t xml:space="preserve">Also on the same year, </w:t>
      </w:r>
      <w:r w:rsidR="00162D2C">
        <w:rPr>
          <w:rFonts w:ascii="Arial" w:hAnsi="Arial" w:cs="Arial"/>
          <w:color w:val="000000" w:themeColor="text1"/>
          <w:sz w:val="22"/>
          <w:szCs w:val="22"/>
        </w:rPr>
        <w:t xml:space="preserve">the </w:t>
      </w:r>
      <w:r w:rsidRPr="009E35ED">
        <w:rPr>
          <w:rFonts w:ascii="Arial" w:hAnsi="Arial" w:cs="Arial"/>
          <w:color w:val="000000" w:themeColor="text1"/>
          <w:sz w:val="22"/>
          <w:szCs w:val="22"/>
        </w:rPr>
        <w:t xml:space="preserve">PCSO remitted </w:t>
      </w:r>
      <w:r w:rsidR="00F10767">
        <w:rPr>
          <w:rFonts w:ascii="Arial" w:hAnsi="Arial" w:cs="Arial"/>
          <w:color w:val="000000" w:themeColor="text1"/>
          <w:sz w:val="22"/>
          <w:szCs w:val="22"/>
        </w:rPr>
        <w:t>P</w:t>
      </w:r>
      <w:r w:rsidRPr="009E35ED">
        <w:rPr>
          <w:rFonts w:ascii="Arial" w:hAnsi="Arial" w:cs="Arial"/>
          <w:color w:val="000000" w:themeColor="text1"/>
          <w:sz w:val="22"/>
          <w:szCs w:val="22"/>
        </w:rPr>
        <w:t xml:space="preserve">244,213,375.34 to the BTr as payment for its 2020 Dividend Payable on May 28, 2021 and recognized the 2021 provision amounting to </w:t>
      </w:r>
      <w:r w:rsidR="00F10767">
        <w:rPr>
          <w:rFonts w:ascii="Arial" w:hAnsi="Arial" w:cs="Arial"/>
          <w:color w:val="000000" w:themeColor="text1"/>
          <w:sz w:val="22"/>
          <w:szCs w:val="22"/>
        </w:rPr>
        <w:t>P</w:t>
      </w:r>
      <w:r w:rsidRPr="009E35ED">
        <w:rPr>
          <w:rFonts w:ascii="Arial" w:hAnsi="Arial" w:cs="Arial"/>
          <w:color w:val="000000" w:themeColor="text1"/>
          <w:sz w:val="22"/>
          <w:szCs w:val="22"/>
        </w:rPr>
        <w:t>1,579,679,455.85 on December 31, 2021.</w:t>
      </w:r>
    </w:p>
    <w:p w14:paraId="34D1CB46" w14:textId="77777777" w:rsidR="006B1C63" w:rsidRPr="009E35ED" w:rsidRDefault="006B1C63" w:rsidP="006B1C63">
      <w:pPr>
        <w:suppressAutoHyphens/>
        <w:ind w:left="0"/>
        <w:rPr>
          <w:rFonts w:ascii="Arial" w:hAnsi="Arial" w:cs="Arial"/>
          <w:color w:val="000000" w:themeColor="text1"/>
          <w:sz w:val="22"/>
          <w:szCs w:val="22"/>
        </w:rPr>
      </w:pPr>
    </w:p>
    <w:p w14:paraId="6F6FFDEA" w14:textId="72B7DD4C" w:rsidR="006B1C63" w:rsidRPr="009E35ED" w:rsidRDefault="006B1C63" w:rsidP="006B1C63">
      <w:pPr>
        <w:suppressAutoHyphens/>
        <w:ind w:left="0"/>
        <w:rPr>
          <w:rFonts w:ascii="Arial" w:hAnsi="Arial" w:cs="Arial"/>
          <w:color w:val="000000" w:themeColor="text1"/>
          <w:sz w:val="22"/>
          <w:szCs w:val="22"/>
        </w:rPr>
      </w:pPr>
      <w:r w:rsidRPr="009E35ED">
        <w:rPr>
          <w:rFonts w:ascii="Arial" w:hAnsi="Arial" w:cs="Arial"/>
          <w:color w:val="000000" w:themeColor="text1"/>
          <w:sz w:val="22"/>
          <w:szCs w:val="22"/>
        </w:rPr>
        <w:t xml:space="preserve">On May 13, 2022, </w:t>
      </w:r>
      <w:r w:rsidR="00162D2C">
        <w:rPr>
          <w:rFonts w:ascii="Arial" w:hAnsi="Arial" w:cs="Arial"/>
          <w:color w:val="000000" w:themeColor="text1"/>
          <w:sz w:val="22"/>
          <w:szCs w:val="22"/>
        </w:rPr>
        <w:t xml:space="preserve">the </w:t>
      </w:r>
      <w:r w:rsidRPr="009E35ED">
        <w:rPr>
          <w:rFonts w:ascii="Arial" w:hAnsi="Arial" w:cs="Arial"/>
          <w:color w:val="000000" w:themeColor="text1"/>
          <w:sz w:val="22"/>
          <w:szCs w:val="22"/>
        </w:rPr>
        <w:t xml:space="preserve">PCSO remitted </w:t>
      </w:r>
      <w:r w:rsidR="00F10767">
        <w:rPr>
          <w:rFonts w:ascii="Arial" w:hAnsi="Arial" w:cs="Arial"/>
          <w:color w:val="000000" w:themeColor="text1"/>
          <w:sz w:val="22"/>
          <w:szCs w:val="22"/>
        </w:rPr>
        <w:t>P</w:t>
      </w:r>
      <w:r w:rsidRPr="009E35ED">
        <w:rPr>
          <w:rFonts w:ascii="Arial" w:hAnsi="Arial" w:cs="Arial"/>
          <w:color w:val="000000" w:themeColor="text1"/>
          <w:sz w:val="22"/>
          <w:szCs w:val="22"/>
        </w:rPr>
        <w:t xml:space="preserve">1,568,102,894.25 to the BTr as payment for 2021 Dividend Payable. </w:t>
      </w:r>
      <w:r w:rsidR="007F6E0A" w:rsidRPr="009E35ED">
        <w:rPr>
          <w:rFonts w:ascii="Arial" w:hAnsi="Arial" w:cs="Arial"/>
          <w:color w:val="000000" w:themeColor="text1"/>
          <w:sz w:val="22"/>
          <w:szCs w:val="22"/>
        </w:rPr>
        <w:t xml:space="preserve">Further, </w:t>
      </w:r>
      <w:r w:rsidR="00162D2C">
        <w:rPr>
          <w:rFonts w:ascii="Arial" w:hAnsi="Arial" w:cs="Arial"/>
          <w:color w:val="000000" w:themeColor="text1"/>
          <w:sz w:val="22"/>
          <w:szCs w:val="22"/>
        </w:rPr>
        <w:t xml:space="preserve">the </w:t>
      </w:r>
      <w:r w:rsidRPr="009E35ED">
        <w:rPr>
          <w:rFonts w:ascii="Arial" w:hAnsi="Arial" w:cs="Arial"/>
          <w:color w:val="000000" w:themeColor="text1"/>
          <w:sz w:val="22"/>
          <w:szCs w:val="22"/>
        </w:rPr>
        <w:t xml:space="preserve">PCSO </w:t>
      </w:r>
      <w:r w:rsidR="007F6E0A" w:rsidRPr="009E35ED">
        <w:rPr>
          <w:rFonts w:ascii="Arial" w:hAnsi="Arial" w:cs="Arial"/>
          <w:color w:val="000000" w:themeColor="text1"/>
          <w:sz w:val="22"/>
          <w:szCs w:val="22"/>
        </w:rPr>
        <w:t xml:space="preserve">also </w:t>
      </w:r>
      <w:r w:rsidRPr="009E35ED">
        <w:rPr>
          <w:rFonts w:ascii="Arial" w:hAnsi="Arial" w:cs="Arial"/>
          <w:color w:val="000000" w:themeColor="text1"/>
          <w:sz w:val="22"/>
          <w:szCs w:val="22"/>
        </w:rPr>
        <w:t xml:space="preserve">recognized the 2022 provision </w:t>
      </w:r>
      <w:r w:rsidR="007F6E0A" w:rsidRPr="009E35ED">
        <w:rPr>
          <w:rFonts w:ascii="Arial" w:hAnsi="Arial" w:cs="Arial"/>
          <w:color w:val="000000" w:themeColor="text1"/>
          <w:sz w:val="22"/>
          <w:szCs w:val="22"/>
        </w:rPr>
        <w:t xml:space="preserve">for dividends </w:t>
      </w:r>
      <w:r w:rsidRPr="009E35ED">
        <w:rPr>
          <w:rFonts w:ascii="Arial" w:hAnsi="Arial" w:cs="Arial"/>
          <w:color w:val="000000" w:themeColor="text1"/>
          <w:sz w:val="22"/>
          <w:szCs w:val="22"/>
        </w:rPr>
        <w:t xml:space="preserve">amounting to </w:t>
      </w:r>
      <w:r w:rsidR="00F10767">
        <w:rPr>
          <w:rFonts w:ascii="Arial" w:hAnsi="Arial" w:cs="Arial"/>
          <w:color w:val="000000" w:themeColor="text1"/>
          <w:sz w:val="22"/>
          <w:szCs w:val="22"/>
        </w:rPr>
        <w:t>P</w:t>
      </w:r>
      <w:r w:rsidRPr="009E35ED">
        <w:rPr>
          <w:rFonts w:ascii="Arial" w:hAnsi="Arial" w:cs="Arial"/>
          <w:color w:val="000000" w:themeColor="text1"/>
          <w:sz w:val="22"/>
          <w:szCs w:val="22"/>
        </w:rPr>
        <w:t>2,</w:t>
      </w:r>
      <w:r w:rsidR="007C6FD7" w:rsidRPr="009E35ED">
        <w:rPr>
          <w:rFonts w:ascii="Arial" w:hAnsi="Arial" w:cs="Arial"/>
          <w:color w:val="000000" w:themeColor="text1"/>
          <w:sz w:val="22"/>
          <w:szCs w:val="22"/>
        </w:rPr>
        <w:t>800</w:t>
      </w:r>
      <w:r w:rsidRPr="009E35ED">
        <w:rPr>
          <w:rFonts w:ascii="Arial" w:hAnsi="Arial" w:cs="Arial"/>
          <w:color w:val="000000" w:themeColor="text1"/>
          <w:sz w:val="22"/>
          <w:szCs w:val="22"/>
        </w:rPr>
        <w:t>,</w:t>
      </w:r>
      <w:r w:rsidR="007C6FD7" w:rsidRPr="009E35ED">
        <w:rPr>
          <w:rFonts w:ascii="Arial" w:hAnsi="Arial" w:cs="Arial"/>
          <w:color w:val="000000" w:themeColor="text1"/>
          <w:sz w:val="22"/>
          <w:szCs w:val="22"/>
        </w:rPr>
        <w:t>011</w:t>
      </w:r>
      <w:r w:rsidRPr="009E35ED">
        <w:rPr>
          <w:rFonts w:ascii="Arial" w:hAnsi="Arial" w:cs="Arial"/>
          <w:color w:val="000000" w:themeColor="text1"/>
          <w:sz w:val="22"/>
          <w:szCs w:val="22"/>
        </w:rPr>
        <w:t>,</w:t>
      </w:r>
      <w:r w:rsidR="007C6FD7" w:rsidRPr="009E35ED">
        <w:rPr>
          <w:rFonts w:ascii="Arial" w:hAnsi="Arial" w:cs="Arial"/>
          <w:color w:val="000000" w:themeColor="text1"/>
          <w:sz w:val="22"/>
          <w:szCs w:val="22"/>
        </w:rPr>
        <w:t>218</w:t>
      </w:r>
      <w:r w:rsidRPr="009E35ED">
        <w:rPr>
          <w:rFonts w:ascii="Arial" w:hAnsi="Arial" w:cs="Arial"/>
          <w:color w:val="000000" w:themeColor="text1"/>
          <w:sz w:val="22"/>
          <w:szCs w:val="22"/>
        </w:rPr>
        <w:t>.</w:t>
      </w:r>
      <w:r w:rsidR="007C6FD7" w:rsidRPr="009E35ED">
        <w:rPr>
          <w:rFonts w:ascii="Arial" w:hAnsi="Arial" w:cs="Arial"/>
          <w:color w:val="000000" w:themeColor="text1"/>
          <w:sz w:val="22"/>
          <w:szCs w:val="22"/>
        </w:rPr>
        <w:t>16</w:t>
      </w:r>
      <w:r w:rsidRPr="009E35ED">
        <w:rPr>
          <w:rFonts w:ascii="Arial" w:hAnsi="Arial" w:cs="Arial"/>
          <w:color w:val="000000" w:themeColor="text1"/>
          <w:sz w:val="22"/>
          <w:szCs w:val="22"/>
        </w:rPr>
        <w:t xml:space="preserve"> on December 31, 2022.</w:t>
      </w:r>
    </w:p>
    <w:p w14:paraId="78874893" w14:textId="77777777" w:rsidR="009A3BA0" w:rsidRPr="009E35ED" w:rsidRDefault="009A3BA0" w:rsidP="006B1C63">
      <w:pPr>
        <w:suppressAutoHyphens/>
        <w:ind w:left="0"/>
        <w:rPr>
          <w:rFonts w:ascii="Arial" w:hAnsi="Arial" w:cs="Arial"/>
          <w:color w:val="000000" w:themeColor="text1"/>
          <w:sz w:val="22"/>
          <w:szCs w:val="22"/>
        </w:rPr>
      </w:pPr>
    </w:p>
    <w:p w14:paraId="64BA19E1" w14:textId="27ABA636" w:rsidR="009A3BA0" w:rsidRPr="00997F75" w:rsidRDefault="00EB0471" w:rsidP="006B1C63">
      <w:pPr>
        <w:suppressAutoHyphens/>
        <w:ind w:left="0"/>
        <w:rPr>
          <w:rFonts w:ascii="Arial" w:hAnsi="Arial" w:cs="Arial"/>
          <w:color w:val="000000" w:themeColor="text1"/>
          <w:sz w:val="22"/>
          <w:szCs w:val="22"/>
        </w:rPr>
      </w:pPr>
      <w:r w:rsidRPr="009E35ED">
        <w:rPr>
          <w:rFonts w:ascii="Arial" w:hAnsi="Arial" w:cs="Arial"/>
          <w:color w:val="000000" w:themeColor="text1"/>
          <w:sz w:val="22"/>
          <w:szCs w:val="22"/>
        </w:rPr>
        <w:t xml:space="preserve">On May </w:t>
      </w:r>
      <w:r w:rsidR="00554B11" w:rsidRPr="009E35ED">
        <w:rPr>
          <w:rFonts w:ascii="Arial" w:hAnsi="Arial" w:cs="Arial"/>
          <w:color w:val="000000" w:themeColor="text1"/>
          <w:sz w:val="22"/>
          <w:szCs w:val="22"/>
        </w:rPr>
        <w:t xml:space="preserve">15, 2023, </w:t>
      </w:r>
      <w:r w:rsidR="00102705">
        <w:rPr>
          <w:rFonts w:ascii="Arial" w:hAnsi="Arial" w:cs="Arial"/>
          <w:color w:val="000000" w:themeColor="text1"/>
          <w:sz w:val="22"/>
          <w:szCs w:val="22"/>
        </w:rPr>
        <w:t xml:space="preserve">the </w:t>
      </w:r>
      <w:r w:rsidR="00554B11" w:rsidRPr="009E35ED">
        <w:rPr>
          <w:rFonts w:ascii="Arial" w:hAnsi="Arial" w:cs="Arial"/>
          <w:color w:val="000000" w:themeColor="text1"/>
          <w:sz w:val="22"/>
          <w:szCs w:val="22"/>
        </w:rPr>
        <w:t xml:space="preserve">PCSO remitted </w:t>
      </w:r>
      <w:r w:rsidR="00F10767">
        <w:rPr>
          <w:rFonts w:ascii="Arial" w:hAnsi="Arial" w:cs="Arial"/>
          <w:color w:val="000000" w:themeColor="text1"/>
          <w:sz w:val="22"/>
          <w:szCs w:val="22"/>
        </w:rPr>
        <w:t>P</w:t>
      </w:r>
      <w:r w:rsidR="00E22326" w:rsidRPr="009E35ED">
        <w:rPr>
          <w:rFonts w:ascii="Arial" w:hAnsi="Arial" w:cs="Arial"/>
          <w:color w:val="000000" w:themeColor="text1"/>
          <w:sz w:val="22"/>
          <w:szCs w:val="22"/>
        </w:rPr>
        <w:t>2,665,</w:t>
      </w:r>
      <w:r w:rsidR="00EF7F08" w:rsidRPr="009E35ED">
        <w:rPr>
          <w:rFonts w:ascii="Arial" w:hAnsi="Arial" w:cs="Arial"/>
          <w:color w:val="000000" w:themeColor="text1"/>
          <w:sz w:val="22"/>
          <w:szCs w:val="22"/>
        </w:rPr>
        <w:t>781,213.78</w:t>
      </w:r>
      <w:r w:rsidR="006C3119" w:rsidRPr="009E35ED">
        <w:rPr>
          <w:rFonts w:ascii="Arial" w:hAnsi="Arial" w:cs="Arial"/>
          <w:color w:val="000000" w:themeColor="text1"/>
          <w:sz w:val="22"/>
          <w:szCs w:val="22"/>
        </w:rPr>
        <w:t xml:space="preserve"> to the BTr as payment for 2022</w:t>
      </w:r>
      <w:r w:rsidR="00951940" w:rsidRPr="009E35ED">
        <w:rPr>
          <w:rFonts w:ascii="Arial" w:hAnsi="Arial" w:cs="Arial"/>
          <w:color w:val="000000" w:themeColor="text1"/>
          <w:sz w:val="22"/>
          <w:szCs w:val="22"/>
        </w:rPr>
        <w:t xml:space="preserve"> Dividends Payable. Further, </w:t>
      </w:r>
      <w:r w:rsidR="00102705">
        <w:rPr>
          <w:rFonts w:ascii="Arial" w:hAnsi="Arial" w:cs="Arial"/>
          <w:color w:val="000000" w:themeColor="text1"/>
          <w:sz w:val="22"/>
          <w:szCs w:val="22"/>
        </w:rPr>
        <w:t xml:space="preserve">the </w:t>
      </w:r>
      <w:r w:rsidR="00951940" w:rsidRPr="009E35ED">
        <w:rPr>
          <w:rFonts w:ascii="Arial" w:hAnsi="Arial" w:cs="Arial"/>
          <w:color w:val="000000" w:themeColor="text1"/>
          <w:sz w:val="22"/>
          <w:szCs w:val="22"/>
        </w:rPr>
        <w:t xml:space="preserve">PCSO </w:t>
      </w:r>
      <w:r w:rsidR="0093552B" w:rsidRPr="009E35ED">
        <w:rPr>
          <w:rFonts w:ascii="Arial" w:hAnsi="Arial" w:cs="Arial"/>
          <w:color w:val="000000" w:themeColor="text1"/>
          <w:sz w:val="22"/>
          <w:szCs w:val="22"/>
        </w:rPr>
        <w:t>has also</w:t>
      </w:r>
      <w:r w:rsidR="00951940" w:rsidRPr="009E35ED">
        <w:rPr>
          <w:rFonts w:ascii="Arial" w:hAnsi="Arial" w:cs="Arial"/>
          <w:color w:val="000000" w:themeColor="text1"/>
          <w:sz w:val="22"/>
          <w:szCs w:val="22"/>
        </w:rPr>
        <w:t xml:space="preserve"> recognized the 2023 provision </w:t>
      </w:r>
      <w:r w:rsidR="00AD676D" w:rsidRPr="009E35ED">
        <w:rPr>
          <w:rFonts w:ascii="Arial" w:hAnsi="Arial" w:cs="Arial"/>
          <w:color w:val="000000" w:themeColor="text1"/>
          <w:sz w:val="22"/>
          <w:szCs w:val="22"/>
        </w:rPr>
        <w:t xml:space="preserve">for dividends amounting to </w:t>
      </w:r>
      <w:r w:rsidR="00F10767">
        <w:rPr>
          <w:rFonts w:ascii="Arial" w:hAnsi="Arial" w:cs="Arial"/>
          <w:color w:val="000000" w:themeColor="text1"/>
          <w:sz w:val="22"/>
          <w:szCs w:val="22"/>
        </w:rPr>
        <w:t>P</w:t>
      </w:r>
      <w:r w:rsidR="003A7330" w:rsidRPr="009E35ED">
        <w:rPr>
          <w:rFonts w:ascii="Arial" w:hAnsi="Arial" w:cs="Arial"/>
          <w:color w:val="000000" w:themeColor="text1"/>
          <w:sz w:val="22"/>
          <w:szCs w:val="22"/>
        </w:rPr>
        <w:t>2,</w:t>
      </w:r>
      <w:r w:rsidR="00CD5221" w:rsidRPr="009E35ED">
        <w:rPr>
          <w:rFonts w:ascii="Arial" w:hAnsi="Arial" w:cs="Arial"/>
          <w:color w:val="000000" w:themeColor="text1"/>
          <w:sz w:val="22"/>
          <w:szCs w:val="22"/>
        </w:rPr>
        <w:t>539</w:t>
      </w:r>
      <w:r w:rsidR="003A7330" w:rsidRPr="009E35ED">
        <w:rPr>
          <w:rFonts w:ascii="Arial" w:hAnsi="Arial" w:cs="Arial"/>
          <w:color w:val="000000" w:themeColor="text1"/>
          <w:sz w:val="22"/>
          <w:szCs w:val="22"/>
        </w:rPr>
        <w:t>,</w:t>
      </w:r>
      <w:r w:rsidR="00CD5221" w:rsidRPr="009E35ED">
        <w:rPr>
          <w:rFonts w:ascii="Arial" w:hAnsi="Arial" w:cs="Arial"/>
          <w:color w:val="000000" w:themeColor="text1"/>
          <w:sz w:val="22"/>
          <w:szCs w:val="22"/>
        </w:rPr>
        <w:t>400</w:t>
      </w:r>
      <w:r w:rsidR="003A7330" w:rsidRPr="009E35ED">
        <w:rPr>
          <w:rFonts w:ascii="Arial" w:hAnsi="Arial" w:cs="Arial"/>
          <w:color w:val="000000" w:themeColor="text1"/>
          <w:sz w:val="22"/>
          <w:szCs w:val="22"/>
        </w:rPr>
        <w:t>,</w:t>
      </w:r>
      <w:r w:rsidR="00CD5221" w:rsidRPr="009E35ED">
        <w:rPr>
          <w:rFonts w:ascii="Arial" w:hAnsi="Arial" w:cs="Arial"/>
          <w:color w:val="000000" w:themeColor="text1"/>
          <w:sz w:val="22"/>
          <w:szCs w:val="22"/>
        </w:rPr>
        <w:t>299</w:t>
      </w:r>
      <w:r w:rsidR="003A7330" w:rsidRPr="009E35ED">
        <w:rPr>
          <w:rFonts w:ascii="Arial" w:hAnsi="Arial" w:cs="Arial"/>
          <w:color w:val="000000" w:themeColor="text1"/>
          <w:sz w:val="22"/>
          <w:szCs w:val="22"/>
        </w:rPr>
        <w:t>.</w:t>
      </w:r>
      <w:r w:rsidR="00CD5221" w:rsidRPr="009E35ED">
        <w:rPr>
          <w:rFonts w:ascii="Arial" w:hAnsi="Arial" w:cs="Arial"/>
          <w:color w:val="000000" w:themeColor="text1"/>
          <w:sz w:val="22"/>
          <w:szCs w:val="22"/>
        </w:rPr>
        <w:t>33</w:t>
      </w:r>
      <w:r w:rsidR="00584AD8" w:rsidRPr="009E35ED">
        <w:rPr>
          <w:rFonts w:ascii="Arial" w:hAnsi="Arial" w:cs="Arial"/>
          <w:color w:val="000000" w:themeColor="text1"/>
          <w:sz w:val="22"/>
          <w:szCs w:val="22"/>
        </w:rPr>
        <w:t xml:space="preserve"> </w:t>
      </w:r>
      <w:r w:rsidR="003A7330" w:rsidRPr="009E35ED">
        <w:rPr>
          <w:rFonts w:ascii="Arial" w:hAnsi="Arial" w:cs="Arial"/>
          <w:color w:val="000000" w:themeColor="text1"/>
          <w:sz w:val="22"/>
          <w:szCs w:val="22"/>
        </w:rPr>
        <w:t>on December 2023.</w:t>
      </w:r>
    </w:p>
    <w:p w14:paraId="366CF0C5" w14:textId="77777777" w:rsidR="006B1C63" w:rsidRPr="00997F75" w:rsidRDefault="006B1C63" w:rsidP="006B1C63">
      <w:pPr>
        <w:suppressAutoHyphens/>
        <w:ind w:left="0"/>
        <w:rPr>
          <w:rFonts w:ascii="Arial" w:hAnsi="Arial" w:cs="Arial"/>
          <w:color w:val="000000" w:themeColor="text1"/>
          <w:sz w:val="22"/>
          <w:szCs w:val="22"/>
        </w:rPr>
      </w:pPr>
    </w:p>
    <w:p w14:paraId="1ACCC672" w14:textId="4DB5B55B" w:rsidR="00CE27DC" w:rsidRPr="00997F75" w:rsidRDefault="00CE27DC">
      <w:pPr>
        <w:suppressAutoHyphens/>
        <w:ind w:left="0"/>
        <w:rPr>
          <w:rFonts w:ascii="Arial" w:hAnsi="Arial" w:cs="Arial"/>
          <w:b/>
          <w:color w:val="000000" w:themeColor="text1"/>
        </w:rPr>
      </w:pPr>
    </w:p>
    <w:p w14:paraId="0B37EDDF" w14:textId="77777777" w:rsidR="00AB08E6" w:rsidRPr="00997F75" w:rsidRDefault="00AB08E6">
      <w:pPr>
        <w:suppressAutoHyphens/>
        <w:ind w:left="0"/>
        <w:rPr>
          <w:rFonts w:ascii="Arial" w:hAnsi="Arial" w:cs="Arial"/>
          <w:b/>
          <w:color w:val="000000" w:themeColor="text1"/>
        </w:rPr>
      </w:pPr>
    </w:p>
    <w:sectPr w:rsidR="00AB08E6" w:rsidRPr="00997F75" w:rsidSect="00666630">
      <w:footerReference w:type="even" r:id="rId8"/>
      <w:footerReference w:type="default" r:id="rId9"/>
      <w:type w:val="continuous"/>
      <w:pgSz w:w="12240" w:h="15840" w:code="1"/>
      <w:pgMar w:top="1440" w:right="1440" w:bottom="1440" w:left="1440" w:header="720" w:footer="720" w:gutter="720"/>
      <w:pgNumType w:start="1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79EA64D5" w16cex:dateUtc="2024-02-26T08:2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A9CD1F2" w16cid:durableId="2A313894"/>
  <w16cid:commentId w16cid:paraId="7A4FE94B" w16cid:durableId="2A313B07"/>
  <w16cid:commentId w16cid:paraId="776AF740" w16cid:durableId="2A314403"/>
  <w16cid:commentId w16cid:paraId="12EC7496" w16cid:durableId="2A368169"/>
  <w16cid:commentId w16cid:paraId="1E8172B1" w16cid:durableId="2A3681BC"/>
  <w16cid:commentId w16cid:paraId="7CE2D742" w16cid:durableId="2A3148FF"/>
  <w16cid:commentId w16cid:paraId="5F41A1B9" w16cid:durableId="2A315763"/>
  <w16cid:commentId w16cid:paraId="5A5401DF" w16cid:durableId="2A315855"/>
  <w16cid:commentId w16cid:paraId="42F9ED67" w16cid:durableId="2A363568"/>
  <w16cid:commentId w16cid:paraId="103C2F1F" w16cid:durableId="2A363578"/>
  <w16cid:commentId w16cid:paraId="2D951C91" w16cid:durableId="2A364A95"/>
  <w16cid:commentId w16cid:paraId="0BA2F9D5" w16cid:durableId="2A3644C3"/>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FF485B" w14:textId="77777777" w:rsidR="00636DB9" w:rsidRDefault="00636DB9">
      <w:r>
        <w:separator/>
      </w:r>
    </w:p>
  </w:endnote>
  <w:endnote w:type="continuationSeparator" w:id="0">
    <w:p w14:paraId="614F8E6D" w14:textId="77777777" w:rsidR="00636DB9" w:rsidRDefault="00636D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auto"/>
    <w:notTrueType/>
    <w:pitch w:val="variable"/>
    <w:sig w:usb0="00000001" w:usb1="08080000" w:usb2="00000010" w:usb3="00000000" w:csb0="00100000" w:csb1="00000000"/>
  </w:font>
  <w:font w:name="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66D46E" w14:textId="77777777" w:rsidR="003C0D93" w:rsidRDefault="003C0D93" w:rsidP="00BD0B3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40</w:t>
    </w:r>
    <w:r>
      <w:rPr>
        <w:rStyle w:val="PageNumber"/>
      </w:rPr>
      <w:fldChar w:fldCharType="end"/>
    </w:r>
  </w:p>
  <w:p w14:paraId="25F02C52" w14:textId="77777777" w:rsidR="003C0D93" w:rsidRDefault="003C0D93" w:rsidP="00BD0B3B">
    <w:pPr>
      <w:pStyle w:val="Footer"/>
      <w:ind w:right="360"/>
    </w:pPr>
  </w:p>
  <w:p w14:paraId="09E10DA6" w14:textId="77777777" w:rsidR="003C0D93" w:rsidRDefault="003C0D93"/>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22"/>
        <w:szCs w:val="22"/>
      </w:rPr>
      <w:id w:val="-825817679"/>
      <w:docPartObj>
        <w:docPartGallery w:val="Page Numbers (Bottom of Page)"/>
        <w:docPartUnique/>
      </w:docPartObj>
    </w:sdtPr>
    <w:sdtEndPr>
      <w:rPr>
        <w:noProof/>
        <w:sz w:val="20"/>
        <w:szCs w:val="20"/>
      </w:rPr>
    </w:sdtEndPr>
    <w:sdtContent>
      <w:p w14:paraId="280BF987" w14:textId="295096E2" w:rsidR="003C0D93" w:rsidRPr="009F5AF3" w:rsidRDefault="003C0D93">
        <w:pPr>
          <w:pStyle w:val="Footer"/>
          <w:jc w:val="right"/>
          <w:rPr>
            <w:rFonts w:ascii="Arial" w:hAnsi="Arial" w:cs="Arial"/>
            <w:sz w:val="20"/>
            <w:szCs w:val="20"/>
          </w:rPr>
        </w:pPr>
        <w:r w:rsidRPr="009F5AF3">
          <w:rPr>
            <w:rFonts w:ascii="Arial" w:hAnsi="Arial" w:cs="Arial"/>
            <w:sz w:val="20"/>
            <w:szCs w:val="20"/>
          </w:rPr>
          <w:fldChar w:fldCharType="begin"/>
        </w:r>
        <w:r w:rsidRPr="009F5AF3">
          <w:rPr>
            <w:rFonts w:ascii="Arial" w:hAnsi="Arial" w:cs="Arial"/>
            <w:sz w:val="20"/>
            <w:szCs w:val="20"/>
          </w:rPr>
          <w:instrText xml:space="preserve"> PAGE   \* MERGEFORMAT </w:instrText>
        </w:r>
        <w:r w:rsidRPr="009F5AF3">
          <w:rPr>
            <w:rFonts w:ascii="Arial" w:hAnsi="Arial" w:cs="Arial"/>
            <w:sz w:val="20"/>
            <w:szCs w:val="20"/>
          </w:rPr>
          <w:fldChar w:fldCharType="separate"/>
        </w:r>
        <w:r w:rsidR="004D38E1">
          <w:rPr>
            <w:rFonts w:ascii="Arial" w:hAnsi="Arial" w:cs="Arial"/>
            <w:noProof/>
            <w:sz w:val="20"/>
            <w:szCs w:val="20"/>
          </w:rPr>
          <w:t>10</w:t>
        </w:r>
        <w:r w:rsidRPr="009F5AF3">
          <w:rPr>
            <w:rFonts w:ascii="Arial" w:hAnsi="Arial" w:cs="Arial"/>
            <w:noProof/>
            <w:sz w:val="20"/>
            <w:szCs w:val="20"/>
          </w:rPr>
          <w:fldChar w:fldCharType="end"/>
        </w:r>
      </w:p>
    </w:sdtContent>
  </w:sdt>
  <w:p w14:paraId="6E707114" w14:textId="77777777" w:rsidR="003C0D93" w:rsidRDefault="003C0D93" w:rsidP="006E448F">
    <w:pPr>
      <w:pStyle w:val="Footer"/>
      <w:tabs>
        <w:tab w:val="left" w:pos="3285"/>
      </w:tabs>
      <w:ind w:right="360"/>
    </w:pPr>
  </w:p>
  <w:p w14:paraId="6AAEFF94" w14:textId="77777777" w:rsidR="003C0D93" w:rsidRDefault="003C0D93"/>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FCC9A4" w14:textId="77777777" w:rsidR="00636DB9" w:rsidRDefault="00636DB9">
      <w:r>
        <w:separator/>
      </w:r>
    </w:p>
  </w:footnote>
  <w:footnote w:type="continuationSeparator" w:id="0">
    <w:p w14:paraId="00949DA3" w14:textId="77777777" w:rsidR="00636DB9" w:rsidRDefault="00636DB9">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2D4017"/>
    <w:multiLevelType w:val="hybridMultilevel"/>
    <w:tmpl w:val="DADE30B0"/>
    <w:lvl w:ilvl="0" w:tplc="C8981A4A">
      <w:start w:val="4"/>
      <w:numFmt w:val="decimal"/>
      <w:lvlText w:val="%1."/>
      <w:lvlJc w:val="left"/>
      <w:pPr>
        <w:ind w:left="720" w:hanging="360"/>
      </w:pPr>
      <w:rPr>
        <w:rFonts w:hint="default"/>
        <w:b/>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 w15:restartNumberingAfterBreak="0">
    <w:nsid w:val="075457D3"/>
    <w:multiLevelType w:val="hybridMultilevel"/>
    <w:tmpl w:val="1682D8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636194"/>
    <w:multiLevelType w:val="multilevel"/>
    <w:tmpl w:val="8D1E63F6"/>
    <w:lvl w:ilvl="0">
      <w:start w:val="26"/>
      <w:numFmt w:val="decimal"/>
      <w:pStyle w:val="Style2"/>
      <w:lvlText w:val="%1."/>
      <w:lvlJc w:val="left"/>
      <w:pPr>
        <w:ind w:left="284" w:hanging="284"/>
      </w:pPr>
      <w:rPr>
        <w:rFonts w:hint="default"/>
        <w:sz w:val="22"/>
      </w:rPr>
    </w:lvl>
    <w:lvl w:ilvl="1">
      <w:start w:val="1"/>
      <w:numFmt w:val="decimal"/>
      <w:lvlRestart w:val="0"/>
      <w:lvlText w:val="%1.%2."/>
      <w:lvlJc w:val="left"/>
      <w:pPr>
        <w:ind w:left="1021" w:hanging="737"/>
      </w:pPr>
      <w:rPr>
        <w:rFonts w:hint="default"/>
      </w:rPr>
    </w:lvl>
    <w:lvl w:ilvl="2">
      <w:start w:val="1"/>
      <w:numFmt w:val="lowerLetter"/>
      <w:lvlText w:val="%3."/>
      <w:lvlJc w:val="left"/>
      <w:pPr>
        <w:ind w:left="852" w:hanging="284"/>
      </w:pPr>
      <w:rPr>
        <w:rFonts w:hint="default"/>
      </w:rPr>
    </w:lvl>
    <w:lvl w:ilvl="3">
      <w:start w:val="1"/>
      <w:numFmt w:val="lowerRoman"/>
      <w:lvlText w:val="%4."/>
      <w:lvlJc w:val="right"/>
      <w:pPr>
        <w:ind w:left="1136" w:hanging="284"/>
      </w:pPr>
      <w:rPr>
        <w:rFonts w:hint="default"/>
      </w:rPr>
    </w:lvl>
    <w:lvl w:ilvl="4">
      <w:start w:val="1"/>
      <w:numFmt w:val="lowerLetter"/>
      <w:lvlText w:val="%5."/>
      <w:lvlJc w:val="left"/>
      <w:pPr>
        <w:ind w:left="1420" w:hanging="284"/>
      </w:pPr>
      <w:rPr>
        <w:rFonts w:hint="default"/>
      </w:rPr>
    </w:lvl>
    <w:lvl w:ilvl="5">
      <w:start w:val="1"/>
      <w:numFmt w:val="decimal"/>
      <w:lvlText w:val="%1.%2.%3.%4.%5.%6."/>
      <w:lvlJc w:val="left"/>
      <w:pPr>
        <w:ind w:left="1704" w:hanging="284"/>
      </w:pPr>
      <w:rPr>
        <w:rFonts w:hint="default"/>
      </w:rPr>
    </w:lvl>
    <w:lvl w:ilvl="6">
      <w:start w:val="1"/>
      <w:numFmt w:val="lowerRoman"/>
      <w:lvlText w:val="%7)"/>
      <w:lvlJc w:val="left"/>
      <w:pPr>
        <w:ind w:left="1988" w:hanging="284"/>
      </w:pPr>
      <w:rPr>
        <w:rFonts w:hint="default"/>
      </w:rPr>
    </w:lvl>
    <w:lvl w:ilvl="7">
      <w:start w:val="1"/>
      <w:numFmt w:val="decimal"/>
      <w:lvlText w:val="%1.%2.%3.%4.%5.%6.%7.%8."/>
      <w:lvlJc w:val="left"/>
      <w:pPr>
        <w:ind w:left="2272" w:hanging="284"/>
      </w:pPr>
      <w:rPr>
        <w:rFonts w:hint="default"/>
      </w:rPr>
    </w:lvl>
    <w:lvl w:ilvl="8">
      <w:start w:val="1"/>
      <w:numFmt w:val="decimal"/>
      <w:lvlText w:val="%1.%2.%3.%4.%5.%6.%7.%8.%9."/>
      <w:lvlJc w:val="left"/>
      <w:pPr>
        <w:ind w:left="2556" w:hanging="284"/>
      </w:pPr>
      <w:rPr>
        <w:rFonts w:hint="default"/>
      </w:rPr>
    </w:lvl>
  </w:abstractNum>
  <w:abstractNum w:abstractNumId="3" w15:restartNumberingAfterBreak="0">
    <w:nsid w:val="0979122C"/>
    <w:multiLevelType w:val="hybridMultilevel"/>
    <w:tmpl w:val="68DA0002"/>
    <w:lvl w:ilvl="0" w:tplc="AAC83530">
      <w:start w:val="5"/>
      <w:numFmt w:val="decimal"/>
      <w:lvlText w:val="%1."/>
      <w:lvlJc w:val="left"/>
      <w:pPr>
        <w:ind w:left="450" w:hanging="360"/>
      </w:pPr>
      <w:rPr>
        <w:rFonts w:hint="default"/>
        <w:b/>
        <w:i w:val="0"/>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4" w15:restartNumberingAfterBreak="0">
    <w:nsid w:val="0CCD420D"/>
    <w:multiLevelType w:val="hybridMultilevel"/>
    <w:tmpl w:val="1D489E06"/>
    <w:lvl w:ilvl="0" w:tplc="AB74044C">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15:restartNumberingAfterBreak="0">
    <w:nsid w:val="1295034C"/>
    <w:multiLevelType w:val="hybridMultilevel"/>
    <w:tmpl w:val="896ED3C8"/>
    <w:lvl w:ilvl="0" w:tplc="8B5E1CCE">
      <w:start w:val="8"/>
      <w:numFmt w:val="decimal"/>
      <w:lvlText w:val="%1."/>
      <w:lvlJc w:val="left"/>
      <w:pPr>
        <w:ind w:left="7873" w:hanging="360"/>
      </w:pPr>
      <w:rPr>
        <w:rFonts w:hint="default"/>
        <w:b/>
      </w:rPr>
    </w:lvl>
    <w:lvl w:ilvl="1" w:tplc="34090019" w:tentative="1">
      <w:start w:val="1"/>
      <w:numFmt w:val="lowerLetter"/>
      <w:lvlText w:val="%2."/>
      <w:lvlJc w:val="left"/>
      <w:pPr>
        <w:ind w:left="8203" w:hanging="360"/>
      </w:pPr>
    </w:lvl>
    <w:lvl w:ilvl="2" w:tplc="3409001B" w:tentative="1">
      <w:start w:val="1"/>
      <w:numFmt w:val="lowerRoman"/>
      <w:lvlText w:val="%3."/>
      <w:lvlJc w:val="right"/>
      <w:pPr>
        <w:ind w:left="8923" w:hanging="180"/>
      </w:pPr>
    </w:lvl>
    <w:lvl w:ilvl="3" w:tplc="3409000F" w:tentative="1">
      <w:start w:val="1"/>
      <w:numFmt w:val="decimal"/>
      <w:lvlText w:val="%4."/>
      <w:lvlJc w:val="left"/>
      <w:pPr>
        <w:ind w:left="9643" w:hanging="360"/>
      </w:pPr>
    </w:lvl>
    <w:lvl w:ilvl="4" w:tplc="34090019" w:tentative="1">
      <w:start w:val="1"/>
      <w:numFmt w:val="lowerLetter"/>
      <w:lvlText w:val="%5."/>
      <w:lvlJc w:val="left"/>
      <w:pPr>
        <w:ind w:left="10363" w:hanging="360"/>
      </w:pPr>
    </w:lvl>
    <w:lvl w:ilvl="5" w:tplc="3409001B" w:tentative="1">
      <w:start w:val="1"/>
      <w:numFmt w:val="lowerRoman"/>
      <w:lvlText w:val="%6."/>
      <w:lvlJc w:val="right"/>
      <w:pPr>
        <w:ind w:left="11083" w:hanging="180"/>
      </w:pPr>
    </w:lvl>
    <w:lvl w:ilvl="6" w:tplc="3409000F" w:tentative="1">
      <w:start w:val="1"/>
      <w:numFmt w:val="decimal"/>
      <w:lvlText w:val="%7."/>
      <w:lvlJc w:val="left"/>
      <w:pPr>
        <w:ind w:left="11803" w:hanging="360"/>
      </w:pPr>
    </w:lvl>
    <w:lvl w:ilvl="7" w:tplc="34090019" w:tentative="1">
      <w:start w:val="1"/>
      <w:numFmt w:val="lowerLetter"/>
      <w:lvlText w:val="%8."/>
      <w:lvlJc w:val="left"/>
      <w:pPr>
        <w:ind w:left="12523" w:hanging="360"/>
      </w:pPr>
    </w:lvl>
    <w:lvl w:ilvl="8" w:tplc="3409001B" w:tentative="1">
      <w:start w:val="1"/>
      <w:numFmt w:val="lowerRoman"/>
      <w:lvlText w:val="%9."/>
      <w:lvlJc w:val="right"/>
      <w:pPr>
        <w:ind w:left="13243" w:hanging="180"/>
      </w:pPr>
    </w:lvl>
  </w:abstractNum>
  <w:abstractNum w:abstractNumId="6" w15:restartNumberingAfterBreak="0">
    <w:nsid w:val="1E696BBB"/>
    <w:multiLevelType w:val="hybridMultilevel"/>
    <w:tmpl w:val="7670247E"/>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7" w15:restartNumberingAfterBreak="0">
    <w:nsid w:val="23510DFF"/>
    <w:multiLevelType w:val="multilevel"/>
    <w:tmpl w:val="7FB6FB90"/>
    <w:lvl w:ilvl="0">
      <w:start w:val="1"/>
      <w:numFmt w:val="none"/>
      <w:lvlText w:val="2."/>
      <w:lvlJc w:val="left"/>
      <w:pPr>
        <w:ind w:left="1800" w:hanging="360"/>
      </w:pPr>
      <w:rPr>
        <w:rFonts w:hint="default"/>
        <w:b/>
        <w:sz w:val="24"/>
        <w:szCs w:val="24"/>
      </w:rPr>
    </w:lvl>
    <w:lvl w:ilvl="1">
      <w:start w:val="2"/>
      <w:numFmt w:val="decimalZero"/>
      <w:isLgl/>
      <w:lvlText w:val="%1.%2."/>
      <w:lvlJc w:val="left"/>
      <w:pPr>
        <w:ind w:left="2502" w:hanging="720"/>
      </w:pPr>
      <w:rPr>
        <w:rFonts w:hint="default"/>
      </w:rPr>
    </w:lvl>
    <w:lvl w:ilvl="2">
      <w:start w:val="2"/>
      <w:numFmt w:val="decimal"/>
      <w:lvlText w:val="3.%3"/>
      <w:lvlJc w:val="left"/>
      <w:pPr>
        <w:ind w:left="2844" w:hanging="720"/>
      </w:pPr>
      <w:rPr>
        <w:rFonts w:hint="default"/>
        <w:b w:val="0"/>
        <w:i w:val="0"/>
      </w:rPr>
    </w:lvl>
    <w:lvl w:ilvl="3">
      <w:start w:val="1"/>
      <w:numFmt w:val="decimal"/>
      <w:isLgl/>
      <w:lvlText w:val="%1.%2.%3.%4."/>
      <w:lvlJc w:val="left"/>
      <w:pPr>
        <w:ind w:left="3546" w:hanging="1080"/>
      </w:pPr>
      <w:rPr>
        <w:rFonts w:hint="default"/>
      </w:rPr>
    </w:lvl>
    <w:lvl w:ilvl="4">
      <w:start w:val="1"/>
      <w:numFmt w:val="decimal"/>
      <w:isLgl/>
      <w:lvlText w:val="%1.%2.%3.%4.%5."/>
      <w:lvlJc w:val="left"/>
      <w:pPr>
        <w:ind w:left="3888" w:hanging="1080"/>
      </w:pPr>
      <w:rPr>
        <w:rFonts w:hint="default"/>
      </w:rPr>
    </w:lvl>
    <w:lvl w:ilvl="5">
      <w:start w:val="1"/>
      <w:numFmt w:val="decimal"/>
      <w:isLgl/>
      <w:lvlText w:val="%1.%2.%3.%4.%5.%6."/>
      <w:lvlJc w:val="left"/>
      <w:pPr>
        <w:ind w:left="4590" w:hanging="1440"/>
      </w:pPr>
      <w:rPr>
        <w:rFonts w:hint="default"/>
      </w:rPr>
    </w:lvl>
    <w:lvl w:ilvl="6">
      <w:start w:val="1"/>
      <w:numFmt w:val="decimal"/>
      <w:isLgl/>
      <w:lvlText w:val="%1.%2.%3.%4.%5.%6.%7."/>
      <w:lvlJc w:val="left"/>
      <w:pPr>
        <w:ind w:left="4932" w:hanging="1440"/>
      </w:pPr>
      <w:rPr>
        <w:rFonts w:hint="default"/>
      </w:rPr>
    </w:lvl>
    <w:lvl w:ilvl="7">
      <w:start w:val="1"/>
      <w:numFmt w:val="decimal"/>
      <w:isLgl/>
      <w:lvlText w:val="%1.%2.%3.%4.%5.%6.%7.%8."/>
      <w:lvlJc w:val="left"/>
      <w:pPr>
        <w:ind w:left="5634" w:hanging="1800"/>
      </w:pPr>
      <w:rPr>
        <w:rFonts w:hint="default"/>
      </w:rPr>
    </w:lvl>
    <w:lvl w:ilvl="8">
      <w:start w:val="1"/>
      <w:numFmt w:val="decimal"/>
      <w:isLgl/>
      <w:lvlText w:val="%1.%2.%3.%4.%5.%6.%7.%8.%9."/>
      <w:lvlJc w:val="left"/>
      <w:pPr>
        <w:ind w:left="5976" w:hanging="1800"/>
      </w:pPr>
      <w:rPr>
        <w:rFonts w:hint="default"/>
      </w:rPr>
    </w:lvl>
  </w:abstractNum>
  <w:abstractNum w:abstractNumId="8" w15:restartNumberingAfterBreak="0">
    <w:nsid w:val="25264DF1"/>
    <w:multiLevelType w:val="hybridMultilevel"/>
    <w:tmpl w:val="9E664F36"/>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9" w15:restartNumberingAfterBreak="0">
    <w:nsid w:val="26264698"/>
    <w:multiLevelType w:val="hybridMultilevel"/>
    <w:tmpl w:val="ECCE3E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B187A4C"/>
    <w:multiLevelType w:val="hybridMultilevel"/>
    <w:tmpl w:val="FBA80602"/>
    <w:lvl w:ilvl="0" w:tplc="34090001">
      <w:start w:val="1"/>
      <w:numFmt w:val="bullet"/>
      <w:lvlText w:val=""/>
      <w:lvlJc w:val="left"/>
      <w:pPr>
        <w:ind w:left="1080" w:hanging="360"/>
      </w:pPr>
      <w:rPr>
        <w:rFonts w:ascii="Symbol" w:hAnsi="Symbol" w:hint="default"/>
      </w:rPr>
    </w:lvl>
    <w:lvl w:ilvl="1" w:tplc="EF7AD700">
      <w:numFmt w:val="bullet"/>
      <w:lvlText w:val="•"/>
      <w:lvlJc w:val="left"/>
      <w:pPr>
        <w:ind w:left="1800" w:hanging="360"/>
      </w:pPr>
      <w:rPr>
        <w:rFonts w:ascii="Calibri" w:eastAsiaTheme="minorEastAsia" w:hAnsi="Calibri" w:cs="Times New Roman" w:hint="default"/>
      </w:rPr>
    </w:lvl>
    <w:lvl w:ilvl="2" w:tplc="34090005" w:tentative="1">
      <w:start w:val="1"/>
      <w:numFmt w:val="bullet"/>
      <w:lvlText w:val=""/>
      <w:lvlJc w:val="left"/>
      <w:pPr>
        <w:ind w:left="2520" w:hanging="360"/>
      </w:pPr>
      <w:rPr>
        <w:rFonts w:ascii="Wingdings" w:hAnsi="Wingdings" w:hint="default"/>
      </w:rPr>
    </w:lvl>
    <w:lvl w:ilvl="3" w:tplc="34090001" w:tentative="1">
      <w:start w:val="1"/>
      <w:numFmt w:val="bullet"/>
      <w:lvlText w:val=""/>
      <w:lvlJc w:val="left"/>
      <w:pPr>
        <w:ind w:left="3240" w:hanging="360"/>
      </w:pPr>
      <w:rPr>
        <w:rFonts w:ascii="Symbol" w:hAnsi="Symbol" w:hint="default"/>
      </w:rPr>
    </w:lvl>
    <w:lvl w:ilvl="4" w:tplc="34090003" w:tentative="1">
      <w:start w:val="1"/>
      <w:numFmt w:val="bullet"/>
      <w:lvlText w:val="o"/>
      <w:lvlJc w:val="left"/>
      <w:pPr>
        <w:ind w:left="3960" w:hanging="360"/>
      </w:pPr>
      <w:rPr>
        <w:rFonts w:ascii="Courier New" w:hAnsi="Courier New" w:cs="Courier New" w:hint="default"/>
      </w:rPr>
    </w:lvl>
    <w:lvl w:ilvl="5" w:tplc="34090005" w:tentative="1">
      <w:start w:val="1"/>
      <w:numFmt w:val="bullet"/>
      <w:lvlText w:val=""/>
      <w:lvlJc w:val="left"/>
      <w:pPr>
        <w:ind w:left="4680" w:hanging="360"/>
      </w:pPr>
      <w:rPr>
        <w:rFonts w:ascii="Wingdings" w:hAnsi="Wingdings" w:hint="default"/>
      </w:rPr>
    </w:lvl>
    <w:lvl w:ilvl="6" w:tplc="34090001" w:tentative="1">
      <w:start w:val="1"/>
      <w:numFmt w:val="bullet"/>
      <w:lvlText w:val=""/>
      <w:lvlJc w:val="left"/>
      <w:pPr>
        <w:ind w:left="5400" w:hanging="360"/>
      </w:pPr>
      <w:rPr>
        <w:rFonts w:ascii="Symbol" w:hAnsi="Symbol" w:hint="default"/>
      </w:rPr>
    </w:lvl>
    <w:lvl w:ilvl="7" w:tplc="34090003" w:tentative="1">
      <w:start w:val="1"/>
      <w:numFmt w:val="bullet"/>
      <w:lvlText w:val="o"/>
      <w:lvlJc w:val="left"/>
      <w:pPr>
        <w:ind w:left="6120" w:hanging="360"/>
      </w:pPr>
      <w:rPr>
        <w:rFonts w:ascii="Courier New" w:hAnsi="Courier New" w:cs="Courier New" w:hint="default"/>
      </w:rPr>
    </w:lvl>
    <w:lvl w:ilvl="8" w:tplc="34090005" w:tentative="1">
      <w:start w:val="1"/>
      <w:numFmt w:val="bullet"/>
      <w:lvlText w:val=""/>
      <w:lvlJc w:val="left"/>
      <w:pPr>
        <w:ind w:left="6840" w:hanging="360"/>
      </w:pPr>
      <w:rPr>
        <w:rFonts w:ascii="Wingdings" w:hAnsi="Wingdings" w:hint="default"/>
      </w:rPr>
    </w:lvl>
  </w:abstractNum>
  <w:abstractNum w:abstractNumId="11" w15:restartNumberingAfterBreak="0">
    <w:nsid w:val="2BB8746D"/>
    <w:multiLevelType w:val="hybridMultilevel"/>
    <w:tmpl w:val="6D524FB2"/>
    <w:lvl w:ilvl="0" w:tplc="6E1E14E8">
      <w:start w:val="1"/>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D5E2D56"/>
    <w:multiLevelType w:val="hybridMultilevel"/>
    <w:tmpl w:val="EEAE265A"/>
    <w:lvl w:ilvl="0" w:tplc="8F6825CE">
      <w:start w:val="3"/>
      <w:numFmt w:val="upperLetter"/>
      <w:lvlText w:val="%1."/>
      <w:lvlJc w:val="left"/>
      <w:pPr>
        <w:ind w:left="405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E426623"/>
    <w:multiLevelType w:val="hybridMultilevel"/>
    <w:tmpl w:val="4C18BF04"/>
    <w:lvl w:ilvl="0" w:tplc="65EC7B36">
      <w:start w:val="2"/>
      <w:numFmt w:val="lowerLetter"/>
      <w:lvlText w:val="%1."/>
      <w:lvlJc w:val="left"/>
      <w:pPr>
        <w:ind w:left="126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4" w15:restartNumberingAfterBreak="0">
    <w:nsid w:val="30206BEF"/>
    <w:multiLevelType w:val="hybridMultilevel"/>
    <w:tmpl w:val="1CCAF104"/>
    <w:lvl w:ilvl="0" w:tplc="34090001">
      <w:start w:val="1"/>
      <w:numFmt w:val="bullet"/>
      <w:lvlText w:val=""/>
      <w:lvlJc w:val="left"/>
      <w:pPr>
        <w:ind w:left="1440" w:hanging="360"/>
      </w:pPr>
      <w:rPr>
        <w:rFonts w:ascii="Symbol" w:hAnsi="Symbol" w:hint="default"/>
      </w:rPr>
    </w:lvl>
    <w:lvl w:ilvl="1" w:tplc="34090003" w:tentative="1">
      <w:start w:val="1"/>
      <w:numFmt w:val="bullet"/>
      <w:lvlText w:val="o"/>
      <w:lvlJc w:val="left"/>
      <w:pPr>
        <w:ind w:left="2160" w:hanging="360"/>
      </w:pPr>
      <w:rPr>
        <w:rFonts w:ascii="Courier New" w:hAnsi="Courier New" w:cs="Courier New" w:hint="default"/>
      </w:rPr>
    </w:lvl>
    <w:lvl w:ilvl="2" w:tplc="34090005">
      <w:start w:val="1"/>
      <w:numFmt w:val="bullet"/>
      <w:lvlText w:val=""/>
      <w:lvlJc w:val="left"/>
      <w:pPr>
        <w:ind w:left="2880" w:hanging="360"/>
      </w:pPr>
      <w:rPr>
        <w:rFonts w:ascii="Wingdings" w:hAnsi="Wingdings" w:hint="default"/>
      </w:rPr>
    </w:lvl>
    <w:lvl w:ilvl="3" w:tplc="34090001" w:tentative="1">
      <w:start w:val="1"/>
      <w:numFmt w:val="bullet"/>
      <w:lvlText w:val=""/>
      <w:lvlJc w:val="left"/>
      <w:pPr>
        <w:ind w:left="3600" w:hanging="360"/>
      </w:pPr>
      <w:rPr>
        <w:rFonts w:ascii="Symbol" w:hAnsi="Symbol" w:hint="default"/>
      </w:rPr>
    </w:lvl>
    <w:lvl w:ilvl="4" w:tplc="34090003" w:tentative="1">
      <w:start w:val="1"/>
      <w:numFmt w:val="bullet"/>
      <w:lvlText w:val="o"/>
      <w:lvlJc w:val="left"/>
      <w:pPr>
        <w:ind w:left="4320" w:hanging="360"/>
      </w:pPr>
      <w:rPr>
        <w:rFonts w:ascii="Courier New" w:hAnsi="Courier New" w:cs="Courier New" w:hint="default"/>
      </w:rPr>
    </w:lvl>
    <w:lvl w:ilvl="5" w:tplc="34090005" w:tentative="1">
      <w:start w:val="1"/>
      <w:numFmt w:val="bullet"/>
      <w:lvlText w:val=""/>
      <w:lvlJc w:val="left"/>
      <w:pPr>
        <w:ind w:left="5040" w:hanging="360"/>
      </w:pPr>
      <w:rPr>
        <w:rFonts w:ascii="Wingdings" w:hAnsi="Wingdings" w:hint="default"/>
      </w:rPr>
    </w:lvl>
    <w:lvl w:ilvl="6" w:tplc="34090001" w:tentative="1">
      <w:start w:val="1"/>
      <w:numFmt w:val="bullet"/>
      <w:lvlText w:val=""/>
      <w:lvlJc w:val="left"/>
      <w:pPr>
        <w:ind w:left="5760" w:hanging="360"/>
      </w:pPr>
      <w:rPr>
        <w:rFonts w:ascii="Symbol" w:hAnsi="Symbol" w:hint="default"/>
      </w:rPr>
    </w:lvl>
    <w:lvl w:ilvl="7" w:tplc="34090003" w:tentative="1">
      <w:start w:val="1"/>
      <w:numFmt w:val="bullet"/>
      <w:lvlText w:val="o"/>
      <w:lvlJc w:val="left"/>
      <w:pPr>
        <w:ind w:left="6480" w:hanging="360"/>
      </w:pPr>
      <w:rPr>
        <w:rFonts w:ascii="Courier New" w:hAnsi="Courier New" w:cs="Courier New" w:hint="default"/>
      </w:rPr>
    </w:lvl>
    <w:lvl w:ilvl="8" w:tplc="34090005" w:tentative="1">
      <w:start w:val="1"/>
      <w:numFmt w:val="bullet"/>
      <w:lvlText w:val=""/>
      <w:lvlJc w:val="left"/>
      <w:pPr>
        <w:ind w:left="7200" w:hanging="360"/>
      </w:pPr>
      <w:rPr>
        <w:rFonts w:ascii="Wingdings" w:hAnsi="Wingdings" w:hint="default"/>
      </w:rPr>
    </w:lvl>
  </w:abstractNum>
  <w:abstractNum w:abstractNumId="15" w15:restartNumberingAfterBreak="0">
    <w:nsid w:val="305B53F0"/>
    <w:multiLevelType w:val="hybridMultilevel"/>
    <w:tmpl w:val="A66885BE"/>
    <w:lvl w:ilvl="0" w:tplc="BF7A3644">
      <w:start w:val="5"/>
      <w:numFmt w:val="upperLetter"/>
      <w:lvlText w:val="%1."/>
      <w:lvlJc w:val="left"/>
      <w:pPr>
        <w:ind w:left="5130" w:hanging="360"/>
      </w:pPr>
      <w:rPr>
        <w:rFonts w:hint="default"/>
        <w:b/>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6" w15:restartNumberingAfterBreak="0">
    <w:nsid w:val="349859DE"/>
    <w:multiLevelType w:val="hybridMultilevel"/>
    <w:tmpl w:val="35CAFB90"/>
    <w:lvl w:ilvl="0" w:tplc="E3387A18">
      <w:start w:val="1"/>
      <w:numFmt w:val="upperLetter"/>
      <w:lvlText w:val="%1."/>
      <w:lvlJc w:val="left"/>
      <w:pPr>
        <w:ind w:left="4050" w:hanging="360"/>
      </w:pPr>
      <w:rPr>
        <w:rFonts w:hint="default"/>
        <w:b/>
      </w:rPr>
    </w:lvl>
    <w:lvl w:ilvl="1" w:tplc="34090019" w:tentative="1">
      <w:start w:val="1"/>
      <w:numFmt w:val="lowerLetter"/>
      <w:lvlText w:val="%2."/>
      <w:lvlJc w:val="left"/>
      <w:pPr>
        <w:ind w:left="1530" w:hanging="360"/>
      </w:pPr>
    </w:lvl>
    <w:lvl w:ilvl="2" w:tplc="3409001B" w:tentative="1">
      <w:start w:val="1"/>
      <w:numFmt w:val="lowerRoman"/>
      <w:lvlText w:val="%3."/>
      <w:lvlJc w:val="right"/>
      <w:pPr>
        <w:ind w:left="2250" w:hanging="180"/>
      </w:pPr>
    </w:lvl>
    <w:lvl w:ilvl="3" w:tplc="3409000F" w:tentative="1">
      <w:start w:val="1"/>
      <w:numFmt w:val="decimal"/>
      <w:lvlText w:val="%4."/>
      <w:lvlJc w:val="left"/>
      <w:pPr>
        <w:ind w:left="2970" w:hanging="360"/>
      </w:pPr>
    </w:lvl>
    <w:lvl w:ilvl="4" w:tplc="34090019" w:tentative="1">
      <w:start w:val="1"/>
      <w:numFmt w:val="lowerLetter"/>
      <w:lvlText w:val="%5."/>
      <w:lvlJc w:val="left"/>
      <w:pPr>
        <w:ind w:left="3690" w:hanging="360"/>
      </w:pPr>
    </w:lvl>
    <w:lvl w:ilvl="5" w:tplc="3409001B" w:tentative="1">
      <w:start w:val="1"/>
      <w:numFmt w:val="lowerRoman"/>
      <w:lvlText w:val="%6."/>
      <w:lvlJc w:val="right"/>
      <w:pPr>
        <w:ind w:left="4410" w:hanging="180"/>
      </w:pPr>
    </w:lvl>
    <w:lvl w:ilvl="6" w:tplc="3409000F" w:tentative="1">
      <w:start w:val="1"/>
      <w:numFmt w:val="decimal"/>
      <w:lvlText w:val="%7."/>
      <w:lvlJc w:val="left"/>
      <w:pPr>
        <w:ind w:left="5130" w:hanging="360"/>
      </w:pPr>
    </w:lvl>
    <w:lvl w:ilvl="7" w:tplc="34090019" w:tentative="1">
      <w:start w:val="1"/>
      <w:numFmt w:val="lowerLetter"/>
      <w:lvlText w:val="%8."/>
      <w:lvlJc w:val="left"/>
      <w:pPr>
        <w:ind w:left="5850" w:hanging="360"/>
      </w:pPr>
    </w:lvl>
    <w:lvl w:ilvl="8" w:tplc="3409001B" w:tentative="1">
      <w:start w:val="1"/>
      <w:numFmt w:val="lowerRoman"/>
      <w:lvlText w:val="%9."/>
      <w:lvlJc w:val="right"/>
      <w:pPr>
        <w:ind w:left="6570" w:hanging="180"/>
      </w:pPr>
    </w:lvl>
  </w:abstractNum>
  <w:abstractNum w:abstractNumId="17" w15:restartNumberingAfterBreak="0">
    <w:nsid w:val="366571D5"/>
    <w:multiLevelType w:val="hybridMultilevel"/>
    <w:tmpl w:val="4A6ECD0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377130AC"/>
    <w:multiLevelType w:val="multilevel"/>
    <w:tmpl w:val="5616E892"/>
    <w:lvl w:ilvl="0">
      <w:start w:val="24"/>
      <w:numFmt w:val="none"/>
      <w:lvlText w:val="22."/>
      <w:lvlJc w:val="left"/>
      <w:pPr>
        <w:ind w:left="420" w:hanging="420"/>
      </w:pPr>
      <w:rPr>
        <w:rFonts w:hint="default"/>
      </w:rPr>
    </w:lvl>
    <w:lvl w:ilvl="1">
      <w:start w:val="1"/>
      <w:numFmt w:val="decimal"/>
      <w:suff w:val="space"/>
      <w:lvlText w:val="%122.%2"/>
      <w:lvlJc w:val="left"/>
      <w:pPr>
        <w:ind w:left="780" w:hanging="420"/>
      </w:pPr>
      <w:rPr>
        <w:rFonts w:hint="default"/>
        <w:b/>
      </w:rPr>
    </w:lvl>
    <w:lvl w:ilvl="2">
      <w:start w:val="1"/>
      <w:numFmt w:val="upperLetter"/>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3A297B35"/>
    <w:multiLevelType w:val="hybridMultilevel"/>
    <w:tmpl w:val="3796D54E"/>
    <w:lvl w:ilvl="0" w:tplc="34090019">
      <w:start w:val="1"/>
      <w:numFmt w:val="lowerLetter"/>
      <w:lvlText w:val="%1."/>
      <w:lvlJc w:val="left"/>
      <w:pPr>
        <w:ind w:left="1080" w:hanging="360"/>
      </w:pPr>
      <w:rPr>
        <w:rFonts w:hint="default"/>
      </w:rPr>
    </w:lvl>
    <w:lvl w:ilvl="1" w:tplc="34090019" w:tentative="1">
      <w:start w:val="1"/>
      <w:numFmt w:val="lowerLetter"/>
      <w:lvlText w:val="%2."/>
      <w:lvlJc w:val="left"/>
      <w:pPr>
        <w:ind w:left="1800" w:hanging="360"/>
      </w:pPr>
    </w:lvl>
    <w:lvl w:ilvl="2" w:tplc="3409001B" w:tentative="1">
      <w:start w:val="1"/>
      <w:numFmt w:val="lowerRoman"/>
      <w:lvlText w:val="%3."/>
      <w:lvlJc w:val="right"/>
      <w:pPr>
        <w:ind w:left="2520" w:hanging="180"/>
      </w:pPr>
    </w:lvl>
    <w:lvl w:ilvl="3" w:tplc="3409000F" w:tentative="1">
      <w:start w:val="1"/>
      <w:numFmt w:val="decimal"/>
      <w:lvlText w:val="%4."/>
      <w:lvlJc w:val="left"/>
      <w:pPr>
        <w:ind w:left="3240" w:hanging="360"/>
      </w:pPr>
    </w:lvl>
    <w:lvl w:ilvl="4" w:tplc="34090019" w:tentative="1">
      <w:start w:val="1"/>
      <w:numFmt w:val="lowerLetter"/>
      <w:lvlText w:val="%5."/>
      <w:lvlJc w:val="left"/>
      <w:pPr>
        <w:ind w:left="3960" w:hanging="360"/>
      </w:pPr>
    </w:lvl>
    <w:lvl w:ilvl="5" w:tplc="3409001B" w:tentative="1">
      <w:start w:val="1"/>
      <w:numFmt w:val="lowerRoman"/>
      <w:lvlText w:val="%6."/>
      <w:lvlJc w:val="right"/>
      <w:pPr>
        <w:ind w:left="4680" w:hanging="180"/>
      </w:pPr>
    </w:lvl>
    <w:lvl w:ilvl="6" w:tplc="3409000F" w:tentative="1">
      <w:start w:val="1"/>
      <w:numFmt w:val="decimal"/>
      <w:lvlText w:val="%7."/>
      <w:lvlJc w:val="left"/>
      <w:pPr>
        <w:ind w:left="5400" w:hanging="360"/>
      </w:pPr>
    </w:lvl>
    <w:lvl w:ilvl="7" w:tplc="34090019" w:tentative="1">
      <w:start w:val="1"/>
      <w:numFmt w:val="lowerLetter"/>
      <w:lvlText w:val="%8."/>
      <w:lvlJc w:val="left"/>
      <w:pPr>
        <w:ind w:left="6120" w:hanging="360"/>
      </w:pPr>
    </w:lvl>
    <w:lvl w:ilvl="8" w:tplc="3409001B" w:tentative="1">
      <w:start w:val="1"/>
      <w:numFmt w:val="lowerRoman"/>
      <w:lvlText w:val="%9."/>
      <w:lvlJc w:val="right"/>
      <w:pPr>
        <w:ind w:left="6840" w:hanging="180"/>
      </w:pPr>
    </w:lvl>
  </w:abstractNum>
  <w:abstractNum w:abstractNumId="20" w15:restartNumberingAfterBreak="0">
    <w:nsid w:val="45837D64"/>
    <w:multiLevelType w:val="hybridMultilevel"/>
    <w:tmpl w:val="07A45FD6"/>
    <w:lvl w:ilvl="0" w:tplc="34090001">
      <w:start w:val="1"/>
      <w:numFmt w:val="bullet"/>
      <w:lvlText w:val=""/>
      <w:lvlJc w:val="left"/>
      <w:pPr>
        <w:ind w:left="1080" w:hanging="360"/>
      </w:pPr>
      <w:rPr>
        <w:rFonts w:ascii="Symbol" w:hAnsi="Symbol" w:hint="default"/>
      </w:rPr>
    </w:lvl>
    <w:lvl w:ilvl="1" w:tplc="34090003" w:tentative="1">
      <w:start w:val="1"/>
      <w:numFmt w:val="bullet"/>
      <w:lvlText w:val="o"/>
      <w:lvlJc w:val="left"/>
      <w:pPr>
        <w:ind w:left="1800" w:hanging="360"/>
      </w:pPr>
      <w:rPr>
        <w:rFonts w:ascii="Courier New" w:hAnsi="Courier New" w:cs="Courier New" w:hint="default"/>
      </w:rPr>
    </w:lvl>
    <w:lvl w:ilvl="2" w:tplc="34090005" w:tentative="1">
      <w:start w:val="1"/>
      <w:numFmt w:val="bullet"/>
      <w:lvlText w:val=""/>
      <w:lvlJc w:val="left"/>
      <w:pPr>
        <w:ind w:left="2520" w:hanging="360"/>
      </w:pPr>
      <w:rPr>
        <w:rFonts w:ascii="Wingdings" w:hAnsi="Wingdings" w:hint="default"/>
      </w:rPr>
    </w:lvl>
    <w:lvl w:ilvl="3" w:tplc="34090001" w:tentative="1">
      <w:start w:val="1"/>
      <w:numFmt w:val="bullet"/>
      <w:lvlText w:val=""/>
      <w:lvlJc w:val="left"/>
      <w:pPr>
        <w:ind w:left="3240" w:hanging="360"/>
      </w:pPr>
      <w:rPr>
        <w:rFonts w:ascii="Symbol" w:hAnsi="Symbol" w:hint="default"/>
      </w:rPr>
    </w:lvl>
    <w:lvl w:ilvl="4" w:tplc="34090003" w:tentative="1">
      <w:start w:val="1"/>
      <w:numFmt w:val="bullet"/>
      <w:lvlText w:val="o"/>
      <w:lvlJc w:val="left"/>
      <w:pPr>
        <w:ind w:left="3960" w:hanging="360"/>
      </w:pPr>
      <w:rPr>
        <w:rFonts w:ascii="Courier New" w:hAnsi="Courier New" w:cs="Courier New" w:hint="default"/>
      </w:rPr>
    </w:lvl>
    <w:lvl w:ilvl="5" w:tplc="34090005" w:tentative="1">
      <w:start w:val="1"/>
      <w:numFmt w:val="bullet"/>
      <w:lvlText w:val=""/>
      <w:lvlJc w:val="left"/>
      <w:pPr>
        <w:ind w:left="4680" w:hanging="360"/>
      </w:pPr>
      <w:rPr>
        <w:rFonts w:ascii="Wingdings" w:hAnsi="Wingdings" w:hint="default"/>
      </w:rPr>
    </w:lvl>
    <w:lvl w:ilvl="6" w:tplc="34090001" w:tentative="1">
      <w:start w:val="1"/>
      <w:numFmt w:val="bullet"/>
      <w:lvlText w:val=""/>
      <w:lvlJc w:val="left"/>
      <w:pPr>
        <w:ind w:left="5400" w:hanging="360"/>
      </w:pPr>
      <w:rPr>
        <w:rFonts w:ascii="Symbol" w:hAnsi="Symbol" w:hint="default"/>
      </w:rPr>
    </w:lvl>
    <w:lvl w:ilvl="7" w:tplc="34090003" w:tentative="1">
      <w:start w:val="1"/>
      <w:numFmt w:val="bullet"/>
      <w:lvlText w:val="o"/>
      <w:lvlJc w:val="left"/>
      <w:pPr>
        <w:ind w:left="6120" w:hanging="360"/>
      </w:pPr>
      <w:rPr>
        <w:rFonts w:ascii="Courier New" w:hAnsi="Courier New" w:cs="Courier New" w:hint="default"/>
      </w:rPr>
    </w:lvl>
    <w:lvl w:ilvl="8" w:tplc="34090005" w:tentative="1">
      <w:start w:val="1"/>
      <w:numFmt w:val="bullet"/>
      <w:lvlText w:val=""/>
      <w:lvlJc w:val="left"/>
      <w:pPr>
        <w:ind w:left="6840" w:hanging="360"/>
      </w:pPr>
      <w:rPr>
        <w:rFonts w:ascii="Wingdings" w:hAnsi="Wingdings" w:hint="default"/>
      </w:rPr>
    </w:lvl>
  </w:abstractNum>
  <w:abstractNum w:abstractNumId="21" w15:restartNumberingAfterBreak="0">
    <w:nsid w:val="48411DC4"/>
    <w:multiLevelType w:val="hybridMultilevel"/>
    <w:tmpl w:val="743ED7BC"/>
    <w:lvl w:ilvl="0" w:tplc="B4026712">
      <w:start w:val="3"/>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2" w15:restartNumberingAfterBreak="0">
    <w:nsid w:val="48854857"/>
    <w:multiLevelType w:val="hybridMultilevel"/>
    <w:tmpl w:val="433A605C"/>
    <w:lvl w:ilvl="0" w:tplc="24088CAE">
      <w:start w:val="1"/>
      <w:numFmt w:val="decimal"/>
      <w:lvlText w:val="3.%1"/>
      <w:lvlJc w:val="left"/>
      <w:pPr>
        <w:ind w:left="720" w:hanging="360"/>
      </w:pPr>
      <w:rPr>
        <w:rFonts w:hint="default"/>
        <w:b/>
      </w:rPr>
    </w:lvl>
    <w:lvl w:ilvl="1" w:tplc="34090019">
      <w:start w:val="1"/>
      <w:numFmt w:val="lowerLetter"/>
      <w:lvlText w:val="%2."/>
      <w:lvlJc w:val="left"/>
      <w:pPr>
        <w:ind w:left="1440" w:hanging="360"/>
      </w:pPr>
    </w:lvl>
    <w:lvl w:ilvl="2" w:tplc="307C8E76">
      <w:start w:val="1"/>
      <w:numFmt w:val="decimal"/>
      <w:lvlText w:val="%3."/>
      <w:lvlJc w:val="left"/>
      <w:pPr>
        <w:ind w:left="2340" w:hanging="360"/>
      </w:pPr>
      <w:rPr>
        <w:rFonts w:hint="default"/>
        <w:b/>
      </w:r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3" w15:restartNumberingAfterBreak="0">
    <w:nsid w:val="4F257C13"/>
    <w:multiLevelType w:val="hybridMultilevel"/>
    <w:tmpl w:val="90D4B3EC"/>
    <w:lvl w:ilvl="0" w:tplc="34090001">
      <w:start w:val="1"/>
      <w:numFmt w:val="bullet"/>
      <w:lvlText w:val=""/>
      <w:lvlJc w:val="left"/>
      <w:pPr>
        <w:ind w:left="1710" w:hanging="360"/>
      </w:pPr>
      <w:rPr>
        <w:rFonts w:ascii="Symbol" w:hAnsi="Symbol" w:hint="default"/>
      </w:rPr>
    </w:lvl>
    <w:lvl w:ilvl="1" w:tplc="34090003" w:tentative="1">
      <w:start w:val="1"/>
      <w:numFmt w:val="bullet"/>
      <w:lvlText w:val="o"/>
      <w:lvlJc w:val="left"/>
      <w:pPr>
        <w:ind w:left="2430" w:hanging="360"/>
      </w:pPr>
      <w:rPr>
        <w:rFonts w:ascii="Courier New" w:hAnsi="Courier New" w:cs="Courier New" w:hint="default"/>
      </w:rPr>
    </w:lvl>
    <w:lvl w:ilvl="2" w:tplc="34090005" w:tentative="1">
      <w:start w:val="1"/>
      <w:numFmt w:val="bullet"/>
      <w:lvlText w:val=""/>
      <w:lvlJc w:val="left"/>
      <w:pPr>
        <w:ind w:left="3150" w:hanging="360"/>
      </w:pPr>
      <w:rPr>
        <w:rFonts w:ascii="Wingdings" w:hAnsi="Wingdings" w:hint="default"/>
      </w:rPr>
    </w:lvl>
    <w:lvl w:ilvl="3" w:tplc="34090001" w:tentative="1">
      <w:start w:val="1"/>
      <w:numFmt w:val="bullet"/>
      <w:lvlText w:val=""/>
      <w:lvlJc w:val="left"/>
      <w:pPr>
        <w:ind w:left="3870" w:hanging="360"/>
      </w:pPr>
      <w:rPr>
        <w:rFonts w:ascii="Symbol" w:hAnsi="Symbol" w:hint="default"/>
      </w:rPr>
    </w:lvl>
    <w:lvl w:ilvl="4" w:tplc="34090003" w:tentative="1">
      <w:start w:val="1"/>
      <w:numFmt w:val="bullet"/>
      <w:lvlText w:val="o"/>
      <w:lvlJc w:val="left"/>
      <w:pPr>
        <w:ind w:left="4590" w:hanging="360"/>
      </w:pPr>
      <w:rPr>
        <w:rFonts w:ascii="Courier New" w:hAnsi="Courier New" w:cs="Courier New" w:hint="default"/>
      </w:rPr>
    </w:lvl>
    <w:lvl w:ilvl="5" w:tplc="34090005" w:tentative="1">
      <w:start w:val="1"/>
      <w:numFmt w:val="bullet"/>
      <w:lvlText w:val=""/>
      <w:lvlJc w:val="left"/>
      <w:pPr>
        <w:ind w:left="5310" w:hanging="360"/>
      </w:pPr>
      <w:rPr>
        <w:rFonts w:ascii="Wingdings" w:hAnsi="Wingdings" w:hint="default"/>
      </w:rPr>
    </w:lvl>
    <w:lvl w:ilvl="6" w:tplc="34090001" w:tentative="1">
      <w:start w:val="1"/>
      <w:numFmt w:val="bullet"/>
      <w:lvlText w:val=""/>
      <w:lvlJc w:val="left"/>
      <w:pPr>
        <w:ind w:left="6030" w:hanging="360"/>
      </w:pPr>
      <w:rPr>
        <w:rFonts w:ascii="Symbol" w:hAnsi="Symbol" w:hint="default"/>
      </w:rPr>
    </w:lvl>
    <w:lvl w:ilvl="7" w:tplc="34090003" w:tentative="1">
      <w:start w:val="1"/>
      <w:numFmt w:val="bullet"/>
      <w:lvlText w:val="o"/>
      <w:lvlJc w:val="left"/>
      <w:pPr>
        <w:ind w:left="6750" w:hanging="360"/>
      </w:pPr>
      <w:rPr>
        <w:rFonts w:ascii="Courier New" w:hAnsi="Courier New" w:cs="Courier New" w:hint="default"/>
      </w:rPr>
    </w:lvl>
    <w:lvl w:ilvl="8" w:tplc="34090005" w:tentative="1">
      <w:start w:val="1"/>
      <w:numFmt w:val="bullet"/>
      <w:lvlText w:val=""/>
      <w:lvlJc w:val="left"/>
      <w:pPr>
        <w:ind w:left="7470" w:hanging="360"/>
      </w:pPr>
      <w:rPr>
        <w:rFonts w:ascii="Wingdings" w:hAnsi="Wingdings" w:hint="default"/>
      </w:rPr>
    </w:lvl>
  </w:abstractNum>
  <w:abstractNum w:abstractNumId="24" w15:restartNumberingAfterBreak="0">
    <w:nsid w:val="5152045D"/>
    <w:multiLevelType w:val="hybridMultilevel"/>
    <w:tmpl w:val="40624946"/>
    <w:lvl w:ilvl="0" w:tplc="34090001">
      <w:start w:val="1"/>
      <w:numFmt w:val="bullet"/>
      <w:lvlText w:val=""/>
      <w:lvlJc w:val="left"/>
      <w:pPr>
        <w:ind w:left="1710" w:hanging="360"/>
      </w:pPr>
      <w:rPr>
        <w:rFonts w:ascii="Symbol" w:hAnsi="Symbol" w:hint="default"/>
      </w:rPr>
    </w:lvl>
    <w:lvl w:ilvl="1" w:tplc="34090003" w:tentative="1">
      <w:start w:val="1"/>
      <w:numFmt w:val="bullet"/>
      <w:lvlText w:val="o"/>
      <w:lvlJc w:val="left"/>
      <w:pPr>
        <w:ind w:left="2430" w:hanging="360"/>
      </w:pPr>
      <w:rPr>
        <w:rFonts w:ascii="Courier New" w:hAnsi="Courier New" w:cs="Courier New" w:hint="default"/>
      </w:rPr>
    </w:lvl>
    <w:lvl w:ilvl="2" w:tplc="34090005" w:tentative="1">
      <w:start w:val="1"/>
      <w:numFmt w:val="bullet"/>
      <w:lvlText w:val=""/>
      <w:lvlJc w:val="left"/>
      <w:pPr>
        <w:ind w:left="3150" w:hanging="360"/>
      </w:pPr>
      <w:rPr>
        <w:rFonts w:ascii="Wingdings" w:hAnsi="Wingdings" w:hint="default"/>
      </w:rPr>
    </w:lvl>
    <w:lvl w:ilvl="3" w:tplc="34090001" w:tentative="1">
      <w:start w:val="1"/>
      <w:numFmt w:val="bullet"/>
      <w:lvlText w:val=""/>
      <w:lvlJc w:val="left"/>
      <w:pPr>
        <w:ind w:left="3870" w:hanging="360"/>
      </w:pPr>
      <w:rPr>
        <w:rFonts w:ascii="Symbol" w:hAnsi="Symbol" w:hint="default"/>
      </w:rPr>
    </w:lvl>
    <w:lvl w:ilvl="4" w:tplc="34090003" w:tentative="1">
      <w:start w:val="1"/>
      <w:numFmt w:val="bullet"/>
      <w:lvlText w:val="o"/>
      <w:lvlJc w:val="left"/>
      <w:pPr>
        <w:ind w:left="4590" w:hanging="360"/>
      </w:pPr>
      <w:rPr>
        <w:rFonts w:ascii="Courier New" w:hAnsi="Courier New" w:cs="Courier New" w:hint="default"/>
      </w:rPr>
    </w:lvl>
    <w:lvl w:ilvl="5" w:tplc="34090005" w:tentative="1">
      <w:start w:val="1"/>
      <w:numFmt w:val="bullet"/>
      <w:lvlText w:val=""/>
      <w:lvlJc w:val="left"/>
      <w:pPr>
        <w:ind w:left="5310" w:hanging="360"/>
      </w:pPr>
      <w:rPr>
        <w:rFonts w:ascii="Wingdings" w:hAnsi="Wingdings" w:hint="default"/>
      </w:rPr>
    </w:lvl>
    <w:lvl w:ilvl="6" w:tplc="34090001" w:tentative="1">
      <w:start w:val="1"/>
      <w:numFmt w:val="bullet"/>
      <w:lvlText w:val=""/>
      <w:lvlJc w:val="left"/>
      <w:pPr>
        <w:ind w:left="6030" w:hanging="360"/>
      </w:pPr>
      <w:rPr>
        <w:rFonts w:ascii="Symbol" w:hAnsi="Symbol" w:hint="default"/>
      </w:rPr>
    </w:lvl>
    <w:lvl w:ilvl="7" w:tplc="34090003" w:tentative="1">
      <w:start w:val="1"/>
      <w:numFmt w:val="bullet"/>
      <w:lvlText w:val="o"/>
      <w:lvlJc w:val="left"/>
      <w:pPr>
        <w:ind w:left="6750" w:hanging="360"/>
      </w:pPr>
      <w:rPr>
        <w:rFonts w:ascii="Courier New" w:hAnsi="Courier New" w:cs="Courier New" w:hint="default"/>
      </w:rPr>
    </w:lvl>
    <w:lvl w:ilvl="8" w:tplc="34090005" w:tentative="1">
      <w:start w:val="1"/>
      <w:numFmt w:val="bullet"/>
      <w:lvlText w:val=""/>
      <w:lvlJc w:val="left"/>
      <w:pPr>
        <w:ind w:left="7470" w:hanging="360"/>
      </w:pPr>
      <w:rPr>
        <w:rFonts w:ascii="Wingdings" w:hAnsi="Wingdings" w:hint="default"/>
      </w:rPr>
    </w:lvl>
  </w:abstractNum>
  <w:abstractNum w:abstractNumId="25" w15:restartNumberingAfterBreak="0">
    <w:nsid w:val="53BD4059"/>
    <w:multiLevelType w:val="hybridMultilevel"/>
    <w:tmpl w:val="8878CBB6"/>
    <w:lvl w:ilvl="0" w:tplc="20FCE66E">
      <w:start w:val="1"/>
      <w:numFmt w:val="lowerLetter"/>
      <w:lvlText w:val="%1."/>
      <w:lvlJc w:val="left"/>
      <w:pPr>
        <w:ind w:left="630" w:hanging="360"/>
      </w:pPr>
      <w:rPr>
        <w:rFonts w:hint="default"/>
      </w:rPr>
    </w:lvl>
    <w:lvl w:ilvl="1" w:tplc="34090019" w:tentative="1">
      <w:start w:val="1"/>
      <w:numFmt w:val="lowerLetter"/>
      <w:lvlText w:val="%2."/>
      <w:lvlJc w:val="left"/>
      <w:pPr>
        <w:ind w:left="1350" w:hanging="360"/>
      </w:pPr>
    </w:lvl>
    <w:lvl w:ilvl="2" w:tplc="3409001B" w:tentative="1">
      <w:start w:val="1"/>
      <w:numFmt w:val="lowerRoman"/>
      <w:lvlText w:val="%3."/>
      <w:lvlJc w:val="right"/>
      <w:pPr>
        <w:ind w:left="2070" w:hanging="180"/>
      </w:pPr>
    </w:lvl>
    <w:lvl w:ilvl="3" w:tplc="3409000F" w:tentative="1">
      <w:start w:val="1"/>
      <w:numFmt w:val="decimal"/>
      <w:lvlText w:val="%4."/>
      <w:lvlJc w:val="left"/>
      <w:pPr>
        <w:ind w:left="2790" w:hanging="360"/>
      </w:pPr>
    </w:lvl>
    <w:lvl w:ilvl="4" w:tplc="34090019" w:tentative="1">
      <w:start w:val="1"/>
      <w:numFmt w:val="lowerLetter"/>
      <w:lvlText w:val="%5."/>
      <w:lvlJc w:val="left"/>
      <w:pPr>
        <w:ind w:left="3510" w:hanging="360"/>
      </w:pPr>
    </w:lvl>
    <w:lvl w:ilvl="5" w:tplc="3409001B" w:tentative="1">
      <w:start w:val="1"/>
      <w:numFmt w:val="lowerRoman"/>
      <w:lvlText w:val="%6."/>
      <w:lvlJc w:val="right"/>
      <w:pPr>
        <w:ind w:left="4230" w:hanging="180"/>
      </w:pPr>
    </w:lvl>
    <w:lvl w:ilvl="6" w:tplc="3409000F" w:tentative="1">
      <w:start w:val="1"/>
      <w:numFmt w:val="decimal"/>
      <w:lvlText w:val="%7."/>
      <w:lvlJc w:val="left"/>
      <w:pPr>
        <w:ind w:left="4950" w:hanging="360"/>
      </w:pPr>
    </w:lvl>
    <w:lvl w:ilvl="7" w:tplc="34090019" w:tentative="1">
      <w:start w:val="1"/>
      <w:numFmt w:val="lowerLetter"/>
      <w:lvlText w:val="%8."/>
      <w:lvlJc w:val="left"/>
      <w:pPr>
        <w:ind w:left="5670" w:hanging="360"/>
      </w:pPr>
    </w:lvl>
    <w:lvl w:ilvl="8" w:tplc="3409001B" w:tentative="1">
      <w:start w:val="1"/>
      <w:numFmt w:val="lowerRoman"/>
      <w:lvlText w:val="%9."/>
      <w:lvlJc w:val="right"/>
      <w:pPr>
        <w:ind w:left="6390" w:hanging="180"/>
      </w:pPr>
    </w:lvl>
  </w:abstractNum>
  <w:abstractNum w:abstractNumId="26" w15:restartNumberingAfterBreak="0">
    <w:nsid w:val="571B6D5C"/>
    <w:multiLevelType w:val="multilevel"/>
    <w:tmpl w:val="E8B4E60A"/>
    <w:lvl w:ilvl="0">
      <w:start w:val="17"/>
      <w:numFmt w:val="decimal"/>
      <w:lvlText w:val="%1."/>
      <w:lvlJc w:val="left"/>
      <w:pPr>
        <w:ind w:left="720" w:hanging="360"/>
      </w:pPr>
      <w:rPr>
        <w:rFonts w:hint="default"/>
        <w:b/>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59BA70AD"/>
    <w:multiLevelType w:val="multilevel"/>
    <w:tmpl w:val="C1740D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5C41735B"/>
    <w:multiLevelType w:val="hybridMultilevel"/>
    <w:tmpl w:val="9388345A"/>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29" w15:restartNumberingAfterBreak="0">
    <w:nsid w:val="5FAA4770"/>
    <w:multiLevelType w:val="hybridMultilevel"/>
    <w:tmpl w:val="BF884250"/>
    <w:lvl w:ilvl="0" w:tplc="3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61874240"/>
    <w:multiLevelType w:val="hybridMultilevel"/>
    <w:tmpl w:val="34D66544"/>
    <w:lvl w:ilvl="0" w:tplc="40FC8FA2">
      <w:start w:val="1"/>
      <w:numFmt w:val="decimal"/>
      <w:lvlText w:val="%1."/>
      <w:lvlJc w:val="left"/>
      <w:pPr>
        <w:ind w:left="720" w:hanging="360"/>
      </w:pPr>
      <w:rPr>
        <w:b/>
      </w:rPr>
    </w:lvl>
    <w:lvl w:ilvl="1" w:tplc="34090019">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31" w15:restartNumberingAfterBreak="0">
    <w:nsid w:val="66E124BD"/>
    <w:multiLevelType w:val="hybridMultilevel"/>
    <w:tmpl w:val="F50A0E3E"/>
    <w:lvl w:ilvl="0" w:tplc="34090001">
      <w:start w:val="1"/>
      <w:numFmt w:val="bullet"/>
      <w:lvlText w:val=""/>
      <w:lvlJc w:val="left"/>
      <w:pPr>
        <w:ind w:left="1440" w:hanging="360"/>
      </w:pPr>
      <w:rPr>
        <w:rFonts w:ascii="Symbol" w:hAnsi="Symbol" w:hint="default"/>
      </w:rPr>
    </w:lvl>
    <w:lvl w:ilvl="1" w:tplc="34090003" w:tentative="1">
      <w:start w:val="1"/>
      <w:numFmt w:val="bullet"/>
      <w:lvlText w:val="o"/>
      <w:lvlJc w:val="left"/>
      <w:pPr>
        <w:ind w:left="2160" w:hanging="360"/>
      </w:pPr>
      <w:rPr>
        <w:rFonts w:ascii="Courier New" w:hAnsi="Courier New" w:cs="Courier New" w:hint="default"/>
      </w:rPr>
    </w:lvl>
    <w:lvl w:ilvl="2" w:tplc="34090005">
      <w:start w:val="1"/>
      <w:numFmt w:val="bullet"/>
      <w:lvlText w:val=""/>
      <w:lvlJc w:val="left"/>
      <w:pPr>
        <w:ind w:left="2880" w:hanging="360"/>
      </w:pPr>
      <w:rPr>
        <w:rFonts w:ascii="Wingdings" w:hAnsi="Wingdings" w:hint="default"/>
      </w:rPr>
    </w:lvl>
    <w:lvl w:ilvl="3" w:tplc="34090001" w:tentative="1">
      <w:start w:val="1"/>
      <w:numFmt w:val="bullet"/>
      <w:lvlText w:val=""/>
      <w:lvlJc w:val="left"/>
      <w:pPr>
        <w:ind w:left="3600" w:hanging="360"/>
      </w:pPr>
      <w:rPr>
        <w:rFonts w:ascii="Symbol" w:hAnsi="Symbol" w:hint="default"/>
      </w:rPr>
    </w:lvl>
    <w:lvl w:ilvl="4" w:tplc="34090003" w:tentative="1">
      <w:start w:val="1"/>
      <w:numFmt w:val="bullet"/>
      <w:lvlText w:val="o"/>
      <w:lvlJc w:val="left"/>
      <w:pPr>
        <w:ind w:left="4320" w:hanging="360"/>
      </w:pPr>
      <w:rPr>
        <w:rFonts w:ascii="Courier New" w:hAnsi="Courier New" w:cs="Courier New" w:hint="default"/>
      </w:rPr>
    </w:lvl>
    <w:lvl w:ilvl="5" w:tplc="34090005" w:tentative="1">
      <w:start w:val="1"/>
      <w:numFmt w:val="bullet"/>
      <w:lvlText w:val=""/>
      <w:lvlJc w:val="left"/>
      <w:pPr>
        <w:ind w:left="5040" w:hanging="360"/>
      </w:pPr>
      <w:rPr>
        <w:rFonts w:ascii="Wingdings" w:hAnsi="Wingdings" w:hint="default"/>
      </w:rPr>
    </w:lvl>
    <w:lvl w:ilvl="6" w:tplc="34090001" w:tentative="1">
      <w:start w:val="1"/>
      <w:numFmt w:val="bullet"/>
      <w:lvlText w:val=""/>
      <w:lvlJc w:val="left"/>
      <w:pPr>
        <w:ind w:left="5760" w:hanging="360"/>
      </w:pPr>
      <w:rPr>
        <w:rFonts w:ascii="Symbol" w:hAnsi="Symbol" w:hint="default"/>
      </w:rPr>
    </w:lvl>
    <w:lvl w:ilvl="7" w:tplc="34090003" w:tentative="1">
      <w:start w:val="1"/>
      <w:numFmt w:val="bullet"/>
      <w:lvlText w:val="o"/>
      <w:lvlJc w:val="left"/>
      <w:pPr>
        <w:ind w:left="6480" w:hanging="360"/>
      </w:pPr>
      <w:rPr>
        <w:rFonts w:ascii="Courier New" w:hAnsi="Courier New" w:cs="Courier New" w:hint="default"/>
      </w:rPr>
    </w:lvl>
    <w:lvl w:ilvl="8" w:tplc="34090005" w:tentative="1">
      <w:start w:val="1"/>
      <w:numFmt w:val="bullet"/>
      <w:lvlText w:val=""/>
      <w:lvlJc w:val="left"/>
      <w:pPr>
        <w:ind w:left="7200" w:hanging="360"/>
      </w:pPr>
      <w:rPr>
        <w:rFonts w:ascii="Wingdings" w:hAnsi="Wingdings" w:hint="default"/>
      </w:rPr>
    </w:lvl>
  </w:abstractNum>
  <w:abstractNum w:abstractNumId="32" w15:restartNumberingAfterBreak="0">
    <w:nsid w:val="66F46A68"/>
    <w:multiLevelType w:val="hybridMultilevel"/>
    <w:tmpl w:val="B8005AAA"/>
    <w:lvl w:ilvl="0" w:tplc="34090001">
      <w:start w:val="1"/>
      <w:numFmt w:val="bullet"/>
      <w:lvlText w:val=""/>
      <w:lvlJc w:val="left"/>
      <w:pPr>
        <w:ind w:left="1080" w:hanging="360"/>
      </w:pPr>
      <w:rPr>
        <w:rFonts w:ascii="Symbol" w:hAnsi="Symbol" w:hint="default"/>
      </w:rPr>
    </w:lvl>
    <w:lvl w:ilvl="1" w:tplc="34090003" w:tentative="1">
      <w:start w:val="1"/>
      <w:numFmt w:val="bullet"/>
      <w:lvlText w:val="o"/>
      <w:lvlJc w:val="left"/>
      <w:pPr>
        <w:ind w:left="1800" w:hanging="360"/>
      </w:pPr>
      <w:rPr>
        <w:rFonts w:ascii="Courier New" w:hAnsi="Courier New" w:cs="Courier New" w:hint="default"/>
      </w:rPr>
    </w:lvl>
    <w:lvl w:ilvl="2" w:tplc="34090005" w:tentative="1">
      <w:start w:val="1"/>
      <w:numFmt w:val="bullet"/>
      <w:lvlText w:val=""/>
      <w:lvlJc w:val="left"/>
      <w:pPr>
        <w:ind w:left="2520" w:hanging="360"/>
      </w:pPr>
      <w:rPr>
        <w:rFonts w:ascii="Wingdings" w:hAnsi="Wingdings" w:hint="default"/>
      </w:rPr>
    </w:lvl>
    <w:lvl w:ilvl="3" w:tplc="34090001" w:tentative="1">
      <w:start w:val="1"/>
      <w:numFmt w:val="bullet"/>
      <w:lvlText w:val=""/>
      <w:lvlJc w:val="left"/>
      <w:pPr>
        <w:ind w:left="3240" w:hanging="360"/>
      </w:pPr>
      <w:rPr>
        <w:rFonts w:ascii="Symbol" w:hAnsi="Symbol" w:hint="default"/>
      </w:rPr>
    </w:lvl>
    <w:lvl w:ilvl="4" w:tplc="34090003" w:tentative="1">
      <w:start w:val="1"/>
      <w:numFmt w:val="bullet"/>
      <w:lvlText w:val="o"/>
      <w:lvlJc w:val="left"/>
      <w:pPr>
        <w:ind w:left="3960" w:hanging="360"/>
      </w:pPr>
      <w:rPr>
        <w:rFonts w:ascii="Courier New" w:hAnsi="Courier New" w:cs="Courier New" w:hint="default"/>
      </w:rPr>
    </w:lvl>
    <w:lvl w:ilvl="5" w:tplc="34090005" w:tentative="1">
      <w:start w:val="1"/>
      <w:numFmt w:val="bullet"/>
      <w:lvlText w:val=""/>
      <w:lvlJc w:val="left"/>
      <w:pPr>
        <w:ind w:left="4680" w:hanging="360"/>
      </w:pPr>
      <w:rPr>
        <w:rFonts w:ascii="Wingdings" w:hAnsi="Wingdings" w:hint="default"/>
      </w:rPr>
    </w:lvl>
    <w:lvl w:ilvl="6" w:tplc="34090001" w:tentative="1">
      <w:start w:val="1"/>
      <w:numFmt w:val="bullet"/>
      <w:lvlText w:val=""/>
      <w:lvlJc w:val="left"/>
      <w:pPr>
        <w:ind w:left="5400" w:hanging="360"/>
      </w:pPr>
      <w:rPr>
        <w:rFonts w:ascii="Symbol" w:hAnsi="Symbol" w:hint="default"/>
      </w:rPr>
    </w:lvl>
    <w:lvl w:ilvl="7" w:tplc="34090003" w:tentative="1">
      <w:start w:val="1"/>
      <w:numFmt w:val="bullet"/>
      <w:lvlText w:val="o"/>
      <w:lvlJc w:val="left"/>
      <w:pPr>
        <w:ind w:left="6120" w:hanging="360"/>
      </w:pPr>
      <w:rPr>
        <w:rFonts w:ascii="Courier New" w:hAnsi="Courier New" w:cs="Courier New" w:hint="default"/>
      </w:rPr>
    </w:lvl>
    <w:lvl w:ilvl="8" w:tplc="34090005" w:tentative="1">
      <w:start w:val="1"/>
      <w:numFmt w:val="bullet"/>
      <w:lvlText w:val=""/>
      <w:lvlJc w:val="left"/>
      <w:pPr>
        <w:ind w:left="6840" w:hanging="360"/>
      </w:pPr>
      <w:rPr>
        <w:rFonts w:ascii="Wingdings" w:hAnsi="Wingdings" w:hint="default"/>
      </w:rPr>
    </w:lvl>
  </w:abstractNum>
  <w:abstractNum w:abstractNumId="33" w15:restartNumberingAfterBreak="0">
    <w:nsid w:val="68DA4EE7"/>
    <w:multiLevelType w:val="hybridMultilevel"/>
    <w:tmpl w:val="47CA9BE0"/>
    <w:lvl w:ilvl="0" w:tplc="DD5A87CA">
      <w:start w:val="1"/>
      <w:numFmt w:val="decimal"/>
      <w:lvlText w:val="4.%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34" w15:restartNumberingAfterBreak="0">
    <w:nsid w:val="6AFC1F16"/>
    <w:multiLevelType w:val="hybridMultilevel"/>
    <w:tmpl w:val="773E17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E5346DC"/>
    <w:multiLevelType w:val="hybridMultilevel"/>
    <w:tmpl w:val="E2ECF3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110534E"/>
    <w:multiLevelType w:val="hybridMultilevel"/>
    <w:tmpl w:val="60F89E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4C92593"/>
    <w:multiLevelType w:val="hybridMultilevel"/>
    <w:tmpl w:val="93F242B8"/>
    <w:lvl w:ilvl="0" w:tplc="EE34DDF6">
      <w:start w:val="1"/>
      <w:numFmt w:val="decimal"/>
      <w:lvlText w:val="2.%1"/>
      <w:lvlJc w:val="left"/>
      <w:pPr>
        <w:ind w:left="720" w:hanging="360"/>
      </w:pPr>
      <w:rPr>
        <w:rFonts w:hint="default"/>
        <w:b/>
        <w:bCs/>
        <w:i w:val="0"/>
      </w:rPr>
    </w:lvl>
    <w:lvl w:ilvl="1" w:tplc="34090019">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38" w15:restartNumberingAfterBreak="0">
    <w:nsid w:val="7A0560B0"/>
    <w:multiLevelType w:val="hybridMultilevel"/>
    <w:tmpl w:val="F75E9444"/>
    <w:lvl w:ilvl="0" w:tplc="34090019">
      <w:start w:val="1"/>
      <w:numFmt w:val="lowerLetter"/>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39" w15:restartNumberingAfterBreak="0">
    <w:nsid w:val="7C1868E9"/>
    <w:multiLevelType w:val="hybridMultilevel"/>
    <w:tmpl w:val="6292F9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E1B2DEB"/>
    <w:multiLevelType w:val="multilevel"/>
    <w:tmpl w:val="45EE4D2A"/>
    <w:lvl w:ilvl="0">
      <w:start w:val="12"/>
      <w:numFmt w:val="decimal"/>
      <w:lvlText w:val="%1."/>
      <w:lvlJc w:val="left"/>
      <w:pPr>
        <w:ind w:left="720" w:hanging="360"/>
      </w:pPr>
      <w:rPr>
        <w:rFonts w:hint="default"/>
        <w:b/>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30"/>
  </w:num>
  <w:num w:numId="2">
    <w:abstractNumId w:val="7"/>
  </w:num>
  <w:num w:numId="3">
    <w:abstractNumId w:val="37"/>
  </w:num>
  <w:num w:numId="4">
    <w:abstractNumId w:val="21"/>
  </w:num>
  <w:num w:numId="5">
    <w:abstractNumId w:val="24"/>
  </w:num>
  <w:num w:numId="6">
    <w:abstractNumId w:val="23"/>
  </w:num>
  <w:num w:numId="7">
    <w:abstractNumId w:val="0"/>
  </w:num>
  <w:num w:numId="8">
    <w:abstractNumId w:val="22"/>
  </w:num>
  <w:num w:numId="9">
    <w:abstractNumId w:val="33"/>
  </w:num>
  <w:num w:numId="10">
    <w:abstractNumId w:val="13"/>
  </w:num>
  <w:num w:numId="11">
    <w:abstractNumId w:val="28"/>
  </w:num>
  <w:num w:numId="12">
    <w:abstractNumId w:val="3"/>
  </w:num>
  <w:num w:numId="13">
    <w:abstractNumId w:val="5"/>
  </w:num>
  <w:num w:numId="14">
    <w:abstractNumId w:val="25"/>
  </w:num>
  <w:num w:numId="15">
    <w:abstractNumId w:val="16"/>
  </w:num>
  <w:num w:numId="16">
    <w:abstractNumId w:val="1"/>
  </w:num>
  <w:num w:numId="17">
    <w:abstractNumId w:val="32"/>
  </w:num>
  <w:num w:numId="18">
    <w:abstractNumId w:val="20"/>
  </w:num>
  <w:num w:numId="19">
    <w:abstractNumId w:val="10"/>
  </w:num>
  <w:num w:numId="20">
    <w:abstractNumId w:val="8"/>
  </w:num>
  <w:num w:numId="21">
    <w:abstractNumId w:val="9"/>
  </w:num>
  <w:num w:numId="22">
    <w:abstractNumId w:val="34"/>
  </w:num>
  <w:num w:numId="23">
    <w:abstractNumId w:val="4"/>
  </w:num>
  <w:num w:numId="24">
    <w:abstractNumId w:val="18"/>
  </w:num>
  <w:num w:numId="25">
    <w:abstractNumId w:val="2"/>
  </w:num>
  <w:num w:numId="26">
    <w:abstractNumId w:val="40"/>
  </w:num>
  <w:num w:numId="27">
    <w:abstractNumId w:val="39"/>
  </w:num>
  <w:num w:numId="28">
    <w:abstractNumId w:val="26"/>
  </w:num>
  <w:num w:numId="29">
    <w:abstractNumId w:val="15"/>
  </w:num>
  <w:num w:numId="30">
    <w:abstractNumId w:val="6"/>
  </w:num>
  <w:num w:numId="31">
    <w:abstractNumId w:val="29"/>
  </w:num>
  <w:num w:numId="32">
    <w:abstractNumId w:val="19"/>
  </w:num>
  <w:num w:numId="33">
    <w:abstractNumId w:val="36"/>
  </w:num>
  <w:num w:numId="34">
    <w:abstractNumId w:val="35"/>
  </w:num>
  <w:num w:numId="35">
    <w:abstractNumId w:val="11"/>
  </w:num>
  <w:num w:numId="36">
    <w:abstractNumId w:val="17"/>
  </w:num>
  <w:num w:numId="37">
    <w:abstractNumId w:val="38"/>
  </w:num>
  <w:num w:numId="38">
    <w:abstractNumId w:val="27"/>
  </w:num>
  <w:num w:numId="39">
    <w:abstractNumId w:val="14"/>
  </w:num>
  <w:num w:numId="40">
    <w:abstractNumId w:val="31"/>
  </w:num>
  <w:num w:numId="41">
    <w:abstractNumId w:val="12"/>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gXxkvna2+3SCoiyLX7yGDBwOU+FIX0dIkuZWIbSkhxC2uIcn/HZSu10OYNn3enX9D/DjtPQ9uWd7U7zgSW4ypQ==" w:salt="b3TGk1hkImJp9pRNFW6TVw=="/>
  <w:defaultTabStop w:val="720"/>
  <w:drawingGridHorizontalSpacing w:val="12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0B3B"/>
    <w:rsid w:val="00000465"/>
    <w:rsid w:val="00000522"/>
    <w:rsid w:val="00000CFE"/>
    <w:rsid w:val="0000129A"/>
    <w:rsid w:val="000012D6"/>
    <w:rsid w:val="000013CD"/>
    <w:rsid w:val="00001682"/>
    <w:rsid w:val="00001CDA"/>
    <w:rsid w:val="000024A7"/>
    <w:rsid w:val="000024E2"/>
    <w:rsid w:val="000024EE"/>
    <w:rsid w:val="00002991"/>
    <w:rsid w:val="00002EF0"/>
    <w:rsid w:val="00002FB9"/>
    <w:rsid w:val="000035F6"/>
    <w:rsid w:val="0000378A"/>
    <w:rsid w:val="00003C3B"/>
    <w:rsid w:val="0000493A"/>
    <w:rsid w:val="00004B86"/>
    <w:rsid w:val="00004F0B"/>
    <w:rsid w:val="000051F7"/>
    <w:rsid w:val="00005871"/>
    <w:rsid w:val="000058A7"/>
    <w:rsid w:val="0000590D"/>
    <w:rsid w:val="00005B0D"/>
    <w:rsid w:val="000060C2"/>
    <w:rsid w:val="00006432"/>
    <w:rsid w:val="00006448"/>
    <w:rsid w:val="00006882"/>
    <w:rsid w:val="00006E00"/>
    <w:rsid w:val="000071BB"/>
    <w:rsid w:val="000077A9"/>
    <w:rsid w:val="00007C3D"/>
    <w:rsid w:val="00007C91"/>
    <w:rsid w:val="00007D25"/>
    <w:rsid w:val="000103FA"/>
    <w:rsid w:val="00010594"/>
    <w:rsid w:val="000106ED"/>
    <w:rsid w:val="0001130F"/>
    <w:rsid w:val="00011A54"/>
    <w:rsid w:val="00011C84"/>
    <w:rsid w:val="00011D63"/>
    <w:rsid w:val="00011EE0"/>
    <w:rsid w:val="00011F6F"/>
    <w:rsid w:val="000126CD"/>
    <w:rsid w:val="000126E4"/>
    <w:rsid w:val="00012A78"/>
    <w:rsid w:val="00012BDA"/>
    <w:rsid w:val="0001335D"/>
    <w:rsid w:val="00013461"/>
    <w:rsid w:val="000141BE"/>
    <w:rsid w:val="0001424B"/>
    <w:rsid w:val="00014C1A"/>
    <w:rsid w:val="00015503"/>
    <w:rsid w:val="00015774"/>
    <w:rsid w:val="00015830"/>
    <w:rsid w:val="00015DDC"/>
    <w:rsid w:val="00016203"/>
    <w:rsid w:val="000165CA"/>
    <w:rsid w:val="000165FE"/>
    <w:rsid w:val="000169D1"/>
    <w:rsid w:val="000170AA"/>
    <w:rsid w:val="00017312"/>
    <w:rsid w:val="00017A56"/>
    <w:rsid w:val="00017C66"/>
    <w:rsid w:val="00017D82"/>
    <w:rsid w:val="0002008C"/>
    <w:rsid w:val="0002049E"/>
    <w:rsid w:val="000205D5"/>
    <w:rsid w:val="000208D0"/>
    <w:rsid w:val="000209EF"/>
    <w:rsid w:val="00020AB6"/>
    <w:rsid w:val="00020D01"/>
    <w:rsid w:val="000210C9"/>
    <w:rsid w:val="0002161E"/>
    <w:rsid w:val="00021C4D"/>
    <w:rsid w:val="0002209E"/>
    <w:rsid w:val="00022313"/>
    <w:rsid w:val="00022340"/>
    <w:rsid w:val="000233CF"/>
    <w:rsid w:val="00023523"/>
    <w:rsid w:val="0002381C"/>
    <w:rsid w:val="00023949"/>
    <w:rsid w:val="00023FF4"/>
    <w:rsid w:val="000246CE"/>
    <w:rsid w:val="000247C8"/>
    <w:rsid w:val="00024A10"/>
    <w:rsid w:val="00024C8C"/>
    <w:rsid w:val="0002503E"/>
    <w:rsid w:val="000250B4"/>
    <w:rsid w:val="00025247"/>
    <w:rsid w:val="00025735"/>
    <w:rsid w:val="00026021"/>
    <w:rsid w:val="00026174"/>
    <w:rsid w:val="000261A9"/>
    <w:rsid w:val="0002661B"/>
    <w:rsid w:val="00026ECB"/>
    <w:rsid w:val="00026F4E"/>
    <w:rsid w:val="00026FCC"/>
    <w:rsid w:val="0002703D"/>
    <w:rsid w:val="0002743C"/>
    <w:rsid w:val="00027453"/>
    <w:rsid w:val="000277FA"/>
    <w:rsid w:val="00027ED0"/>
    <w:rsid w:val="00027EFA"/>
    <w:rsid w:val="00027F6B"/>
    <w:rsid w:val="0003047C"/>
    <w:rsid w:val="000305C2"/>
    <w:rsid w:val="000307FE"/>
    <w:rsid w:val="00031663"/>
    <w:rsid w:val="000317AE"/>
    <w:rsid w:val="000327AE"/>
    <w:rsid w:val="00032C01"/>
    <w:rsid w:val="00032FB6"/>
    <w:rsid w:val="00033030"/>
    <w:rsid w:val="00033B2D"/>
    <w:rsid w:val="00033C0B"/>
    <w:rsid w:val="0003426A"/>
    <w:rsid w:val="00034796"/>
    <w:rsid w:val="00034946"/>
    <w:rsid w:val="00034A0C"/>
    <w:rsid w:val="00035119"/>
    <w:rsid w:val="000356DD"/>
    <w:rsid w:val="00035920"/>
    <w:rsid w:val="000359DA"/>
    <w:rsid w:val="00035DEC"/>
    <w:rsid w:val="00035EC3"/>
    <w:rsid w:val="00036262"/>
    <w:rsid w:val="0003639C"/>
    <w:rsid w:val="0003688B"/>
    <w:rsid w:val="00036A3E"/>
    <w:rsid w:val="00036AAD"/>
    <w:rsid w:val="00037462"/>
    <w:rsid w:val="0003776F"/>
    <w:rsid w:val="0003782F"/>
    <w:rsid w:val="00037E6D"/>
    <w:rsid w:val="000405CD"/>
    <w:rsid w:val="00040A16"/>
    <w:rsid w:val="00040A5A"/>
    <w:rsid w:val="00040BA8"/>
    <w:rsid w:val="000410ED"/>
    <w:rsid w:val="00041827"/>
    <w:rsid w:val="000418C5"/>
    <w:rsid w:val="00041BA5"/>
    <w:rsid w:val="00041C40"/>
    <w:rsid w:val="00041DEF"/>
    <w:rsid w:val="00041FAD"/>
    <w:rsid w:val="000421A2"/>
    <w:rsid w:val="00042678"/>
    <w:rsid w:val="0004312E"/>
    <w:rsid w:val="00043279"/>
    <w:rsid w:val="0004348D"/>
    <w:rsid w:val="000435E1"/>
    <w:rsid w:val="000435F9"/>
    <w:rsid w:val="000436CD"/>
    <w:rsid w:val="000438E7"/>
    <w:rsid w:val="00043A0F"/>
    <w:rsid w:val="00043D23"/>
    <w:rsid w:val="000442F9"/>
    <w:rsid w:val="00044425"/>
    <w:rsid w:val="00044567"/>
    <w:rsid w:val="0004492F"/>
    <w:rsid w:val="00044EC1"/>
    <w:rsid w:val="00044EE5"/>
    <w:rsid w:val="00045142"/>
    <w:rsid w:val="0004566D"/>
    <w:rsid w:val="00046232"/>
    <w:rsid w:val="000467AC"/>
    <w:rsid w:val="00047060"/>
    <w:rsid w:val="000503E9"/>
    <w:rsid w:val="00050586"/>
    <w:rsid w:val="00050BAE"/>
    <w:rsid w:val="00050CB2"/>
    <w:rsid w:val="00050EB5"/>
    <w:rsid w:val="00050FE9"/>
    <w:rsid w:val="00051314"/>
    <w:rsid w:val="00051345"/>
    <w:rsid w:val="00051EE2"/>
    <w:rsid w:val="0005239D"/>
    <w:rsid w:val="000525B5"/>
    <w:rsid w:val="000528F6"/>
    <w:rsid w:val="00052BCD"/>
    <w:rsid w:val="000538A7"/>
    <w:rsid w:val="00053DEE"/>
    <w:rsid w:val="0005445E"/>
    <w:rsid w:val="000544F3"/>
    <w:rsid w:val="000549F9"/>
    <w:rsid w:val="00054D95"/>
    <w:rsid w:val="000551A0"/>
    <w:rsid w:val="00055781"/>
    <w:rsid w:val="00055C4F"/>
    <w:rsid w:val="00055CDC"/>
    <w:rsid w:val="00055D57"/>
    <w:rsid w:val="00056488"/>
    <w:rsid w:val="0005669D"/>
    <w:rsid w:val="0005674C"/>
    <w:rsid w:val="00056834"/>
    <w:rsid w:val="00056FF6"/>
    <w:rsid w:val="0005706A"/>
    <w:rsid w:val="000574E5"/>
    <w:rsid w:val="000574F5"/>
    <w:rsid w:val="000576BD"/>
    <w:rsid w:val="00057801"/>
    <w:rsid w:val="00057AEA"/>
    <w:rsid w:val="00057E57"/>
    <w:rsid w:val="000600BB"/>
    <w:rsid w:val="00060B0F"/>
    <w:rsid w:val="000611B0"/>
    <w:rsid w:val="000611DD"/>
    <w:rsid w:val="000613BF"/>
    <w:rsid w:val="0006141B"/>
    <w:rsid w:val="000615F1"/>
    <w:rsid w:val="00061833"/>
    <w:rsid w:val="00061A06"/>
    <w:rsid w:val="00061A85"/>
    <w:rsid w:val="00061BFD"/>
    <w:rsid w:val="00062254"/>
    <w:rsid w:val="00062763"/>
    <w:rsid w:val="00062D73"/>
    <w:rsid w:val="000634B4"/>
    <w:rsid w:val="00063B2E"/>
    <w:rsid w:val="00063DB4"/>
    <w:rsid w:val="00063FCD"/>
    <w:rsid w:val="00063FFA"/>
    <w:rsid w:val="000640F5"/>
    <w:rsid w:val="000641D8"/>
    <w:rsid w:val="0006424E"/>
    <w:rsid w:val="000642EA"/>
    <w:rsid w:val="00064FF1"/>
    <w:rsid w:val="00065717"/>
    <w:rsid w:val="00065A80"/>
    <w:rsid w:val="00066286"/>
    <w:rsid w:val="000666E3"/>
    <w:rsid w:val="00066BC2"/>
    <w:rsid w:val="00067A0E"/>
    <w:rsid w:val="00067B9A"/>
    <w:rsid w:val="00070140"/>
    <w:rsid w:val="000706EF"/>
    <w:rsid w:val="00070AA2"/>
    <w:rsid w:val="00071396"/>
    <w:rsid w:val="0007161D"/>
    <w:rsid w:val="00071D4D"/>
    <w:rsid w:val="00073843"/>
    <w:rsid w:val="00073F58"/>
    <w:rsid w:val="0007423F"/>
    <w:rsid w:val="00074309"/>
    <w:rsid w:val="00074334"/>
    <w:rsid w:val="0007441F"/>
    <w:rsid w:val="00074683"/>
    <w:rsid w:val="00074939"/>
    <w:rsid w:val="00074C20"/>
    <w:rsid w:val="0007516B"/>
    <w:rsid w:val="0007532D"/>
    <w:rsid w:val="00075350"/>
    <w:rsid w:val="00075563"/>
    <w:rsid w:val="000755F7"/>
    <w:rsid w:val="00076210"/>
    <w:rsid w:val="000764CF"/>
    <w:rsid w:val="00076D82"/>
    <w:rsid w:val="00076F27"/>
    <w:rsid w:val="000772C0"/>
    <w:rsid w:val="00077932"/>
    <w:rsid w:val="00077D9A"/>
    <w:rsid w:val="0008029C"/>
    <w:rsid w:val="000803EA"/>
    <w:rsid w:val="00080453"/>
    <w:rsid w:val="000812C3"/>
    <w:rsid w:val="00081811"/>
    <w:rsid w:val="00081A38"/>
    <w:rsid w:val="00081D8F"/>
    <w:rsid w:val="000823F0"/>
    <w:rsid w:val="00082C48"/>
    <w:rsid w:val="00082C8D"/>
    <w:rsid w:val="00082E71"/>
    <w:rsid w:val="00083523"/>
    <w:rsid w:val="00083BFD"/>
    <w:rsid w:val="0008413A"/>
    <w:rsid w:val="0008418E"/>
    <w:rsid w:val="000843B4"/>
    <w:rsid w:val="00084A60"/>
    <w:rsid w:val="00084BBD"/>
    <w:rsid w:val="00084C77"/>
    <w:rsid w:val="00085161"/>
    <w:rsid w:val="000855D3"/>
    <w:rsid w:val="00086B99"/>
    <w:rsid w:val="00086F47"/>
    <w:rsid w:val="000905CE"/>
    <w:rsid w:val="00090ABF"/>
    <w:rsid w:val="00090D46"/>
    <w:rsid w:val="000911E5"/>
    <w:rsid w:val="0009178A"/>
    <w:rsid w:val="0009181E"/>
    <w:rsid w:val="0009184B"/>
    <w:rsid w:val="00091A55"/>
    <w:rsid w:val="00091E52"/>
    <w:rsid w:val="0009222F"/>
    <w:rsid w:val="00092471"/>
    <w:rsid w:val="00092A9F"/>
    <w:rsid w:val="00092C10"/>
    <w:rsid w:val="00092CC4"/>
    <w:rsid w:val="00092E21"/>
    <w:rsid w:val="00092F57"/>
    <w:rsid w:val="0009357F"/>
    <w:rsid w:val="00093685"/>
    <w:rsid w:val="00093A92"/>
    <w:rsid w:val="00093B1A"/>
    <w:rsid w:val="0009413D"/>
    <w:rsid w:val="00094225"/>
    <w:rsid w:val="0009537E"/>
    <w:rsid w:val="000954E0"/>
    <w:rsid w:val="00095BF7"/>
    <w:rsid w:val="000964D8"/>
    <w:rsid w:val="00096BBC"/>
    <w:rsid w:val="00096E71"/>
    <w:rsid w:val="000974EC"/>
    <w:rsid w:val="000977A6"/>
    <w:rsid w:val="00097B76"/>
    <w:rsid w:val="000A07C8"/>
    <w:rsid w:val="000A0A6E"/>
    <w:rsid w:val="000A0AFF"/>
    <w:rsid w:val="000A0BF7"/>
    <w:rsid w:val="000A0FA7"/>
    <w:rsid w:val="000A1278"/>
    <w:rsid w:val="000A1D30"/>
    <w:rsid w:val="000A22A4"/>
    <w:rsid w:val="000A231E"/>
    <w:rsid w:val="000A2488"/>
    <w:rsid w:val="000A276D"/>
    <w:rsid w:val="000A2D13"/>
    <w:rsid w:val="000A34B7"/>
    <w:rsid w:val="000A3B71"/>
    <w:rsid w:val="000A3F37"/>
    <w:rsid w:val="000A4987"/>
    <w:rsid w:val="000A4E26"/>
    <w:rsid w:val="000A4F6B"/>
    <w:rsid w:val="000A54DC"/>
    <w:rsid w:val="000A5D49"/>
    <w:rsid w:val="000A5EDB"/>
    <w:rsid w:val="000A6296"/>
    <w:rsid w:val="000A62AB"/>
    <w:rsid w:val="000A6BA4"/>
    <w:rsid w:val="000A6BE5"/>
    <w:rsid w:val="000A6D1A"/>
    <w:rsid w:val="000A6D1C"/>
    <w:rsid w:val="000A7269"/>
    <w:rsid w:val="000A7B3E"/>
    <w:rsid w:val="000A7DF6"/>
    <w:rsid w:val="000B0AEE"/>
    <w:rsid w:val="000B136A"/>
    <w:rsid w:val="000B161F"/>
    <w:rsid w:val="000B1683"/>
    <w:rsid w:val="000B238F"/>
    <w:rsid w:val="000B23DB"/>
    <w:rsid w:val="000B2941"/>
    <w:rsid w:val="000B2971"/>
    <w:rsid w:val="000B2C28"/>
    <w:rsid w:val="000B3782"/>
    <w:rsid w:val="000B3F04"/>
    <w:rsid w:val="000B43A8"/>
    <w:rsid w:val="000B4A8D"/>
    <w:rsid w:val="000B5298"/>
    <w:rsid w:val="000B550D"/>
    <w:rsid w:val="000B5534"/>
    <w:rsid w:val="000B55A1"/>
    <w:rsid w:val="000B5EAF"/>
    <w:rsid w:val="000B651D"/>
    <w:rsid w:val="000B6C45"/>
    <w:rsid w:val="000B70C6"/>
    <w:rsid w:val="000B71C8"/>
    <w:rsid w:val="000B76C9"/>
    <w:rsid w:val="000B76F4"/>
    <w:rsid w:val="000C0198"/>
    <w:rsid w:val="000C0734"/>
    <w:rsid w:val="000C0838"/>
    <w:rsid w:val="000C0FC5"/>
    <w:rsid w:val="000C13F8"/>
    <w:rsid w:val="000C15EE"/>
    <w:rsid w:val="000C1DA5"/>
    <w:rsid w:val="000C1E52"/>
    <w:rsid w:val="000C2033"/>
    <w:rsid w:val="000C2707"/>
    <w:rsid w:val="000C27F5"/>
    <w:rsid w:val="000C2CAC"/>
    <w:rsid w:val="000C2DD6"/>
    <w:rsid w:val="000C37ED"/>
    <w:rsid w:val="000C3B6D"/>
    <w:rsid w:val="000C533E"/>
    <w:rsid w:val="000C582D"/>
    <w:rsid w:val="000C5999"/>
    <w:rsid w:val="000C5EED"/>
    <w:rsid w:val="000C6582"/>
    <w:rsid w:val="000C6642"/>
    <w:rsid w:val="000C7592"/>
    <w:rsid w:val="000C7965"/>
    <w:rsid w:val="000C7AE7"/>
    <w:rsid w:val="000C7CEC"/>
    <w:rsid w:val="000C7DD1"/>
    <w:rsid w:val="000D0063"/>
    <w:rsid w:val="000D01EA"/>
    <w:rsid w:val="000D0405"/>
    <w:rsid w:val="000D0593"/>
    <w:rsid w:val="000D077C"/>
    <w:rsid w:val="000D0A27"/>
    <w:rsid w:val="000D0D34"/>
    <w:rsid w:val="000D0D59"/>
    <w:rsid w:val="000D1C34"/>
    <w:rsid w:val="000D1E7B"/>
    <w:rsid w:val="000D22E0"/>
    <w:rsid w:val="000D2373"/>
    <w:rsid w:val="000D2856"/>
    <w:rsid w:val="000D2940"/>
    <w:rsid w:val="000D2943"/>
    <w:rsid w:val="000D2A20"/>
    <w:rsid w:val="000D2E88"/>
    <w:rsid w:val="000D30BE"/>
    <w:rsid w:val="000D37D5"/>
    <w:rsid w:val="000D40E8"/>
    <w:rsid w:val="000D4E3C"/>
    <w:rsid w:val="000D51BD"/>
    <w:rsid w:val="000D56E8"/>
    <w:rsid w:val="000D58AB"/>
    <w:rsid w:val="000D5964"/>
    <w:rsid w:val="000D5973"/>
    <w:rsid w:val="000D5A50"/>
    <w:rsid w:val="000D6031"/>
    <w:rsid w:val="000D6B0C"/>
    <w:rsid w:val="000D6B4E"/>
    <w:rsid w:val="000D709D"/>
    <w:rsid w:val="000D71D0"/>
    <w:rsid w:val="000D74E7"/>
    <w:rsid w:val="000D7705"/>
    <w:rsid w:val="000D7826"/>
    <w:rsid w:val="000D7E35"/>
    <w:rsid w:val="000E0922"/>
    <w:rsid w:val="000E0AE0"/>
    <w:rsid w:val="000E0E7F"/>
    <w:rsid w:val="000E1477"/>
    <w:rsid w:val="000E149C"/>
    <w:rsid w:val="000E1B80"/>
    <w:rsid w:val="000E1E24"/>
    <w:rsid w:val="000E231F"/>
    <w:rsid w:val="000E277E"/>
    <w:rsid w:val="000E2C29"/>
    <w:rsid w:val="000E2FBD"/>
    <w:rsid w:val="000E30F8"/>
    <w:rsid w:val="000E317B"/>
    <w:rsid w:val="000E335D"/>
    <w:rsid w:val="000E381F"/>
    <w:rsid w:val="000E3A3B"/>
    <w:rsid w:val="000E3C84"/>
    <w:rsid w:val="000E423B"/>
    <w:rsid w:val="000E498F"/>
    <w:rsid w:val="000E4AF5"/>
    <w:rsid w:val="000E5786"/>
    <w:rsid w:val="000E5809"/>
    <w:rsid w:val="000E5897"/>
    <w:rsid w:val="000E5F17"/>
    <w:rsid w:val="000E65A2"/>
    <w:rsid w:val="000E66D0"/>
    <w:rsid w:val="000E69E5"/>
    <w:rsid w:val="000E6AB1"/>
    <w:rsid w:val="000E6C37"/>
    <w:rsid w:val="000E6E8A"/>
    <w:rsid w:val="000E6ECD"/>
    <w:rsid w:val="000E6F0B"/>
    <w:rsid w:val="000E6FE4"/>
    <w:rsid w:val="000E71C8"/>
    <w:rsid w:val="000E7445"/>
    <w:rsid w:val="000E7B4A"/>
    <w:rsid w:val="000E7DE2"/>
    <w:rsid w:val="000E7EAB"/>
    <w:rsid w:val="000F01B5"/>
    <w:rsid w:val="000F0290"/>
    <w:rsid w:val="000F0336"/>
    <w:rsid w:val="000F0755"/>
    <w:rsid w:val="000F0946"/>
    <w:rsid w:val="000F0B1D"/>
    <w:rsid w:val="000F0C9C"/>
    <w:rsid w:val="000F1744"/>
    <w:rsid w:val="000F1797"/>
    <w:rsid w:val="000F17AB"/>
    <w:rsid w:val="000F19B1"/>
    <w:rsid w:val="000F2391"/>
    <w:rsid w:val="000F259A"/>
    <w:rsid w:val="000F3368"/>
    <w:rsid w:val="000F371C"/>
    <w:rsid w:val="000F37A0"/>
    <w:rsid w:val="000F3B6F"/>
    <w:rsid w:val="000F446B"/>
    <w:rsid w:val="000F4519"/>
    <w:rsid w:val="000F4B18"/>
    <w:rsid w:val="000F4B57"/>
    <w:rsid w:val="000F4B95"/>
    <w:rsid w:val="000F4BE3"/>
    <w:rsid w:val="000F4E18"/>
    <w:rsid w:val="000F5125"/>
    <w:rsid w:val="000F5207"/>
    <w:rsid w:val="000F52E9"/>
    <w:rsid w:val="000F568D"/>
    <w:rsid w:val="000F5C84"/>
    <w:rsid w:val="000F731B"/>
    <w:rsid w:val="000F735E"/>
    <w:rsid w:val="000F7366"/>
    <w:rsid w:val="000F73B1"/>
    <w:rsid w:val="000F77E2"/>
    <w:rsid w:val="000F7EDC"/>
    <w:rsid w:val="0010007A"/>
    <w:rsid w:val="001000A6"/>
    <w:rsid w:val="001000F8"/>
    <w:rsid w:val="0010013C"/>
    <w:rsid w:val="001002B1"/>
    <w:rsid w:val="001003DA"/>
    <w:rsid w:val="0010066A"/>
    <w:rsid w:val="00100F2F"/>
    <w:rsid w:val="00101193"/>
    <w:rsid w:val="00101B38"/>
    <w:rsid w:val="00101C69"/>
    <w:rsid w:val="00101C80"/>
    <w:rsid w:val="00101CFB"/>
    <w:rsid w:val="001020D5"/>
    <w:rsid w:val="00102386"/>
    <w:rsid w:val="00102612"/>
    <w:rsid w:val="00102705"/>
    <w:rsid w:val="001027AE"/>
    <w:rsid w:val="00102AA1"/>
    <w:rsid w:val="00103454"/>
    <w:rsid w:val="001039F6"/>
    <w:rsid w:val="00103FBB"/>
    <w:rsid w:val="00104306"/>
    <w:rsid w:val="00104366"/>
    <w:rsid w:val="001043BC"/>
    <w:rsid w:val="00104CC8"/>
    <w:rsid w:val="00104EEA"/>
    <w:rsid w:val="00104F1E"/>
    <w:rsid w:val="0010596A"/>
    <w:rsid w:val="00106010"/>
    <w:rsid w:val="00106105"/>
    <w:rsid w:val="001065DB"/>
    <w:rsid w:val="00106A89"/>
    <w:rsid w:val="00106E41"/>
    <w:rsid w:val="00106F19"/>
    <w:rsid w:val="00107094"/>
    <w:rsid w:val="00107604"/>
    <w:rsid w:val="0010781A"/>
    <w:rsid w:val="00107E2D"/>
    <w:rsid w:val="0011018A"/>
    <w:rsid w:val="001106A6"/>
    <w:rsid w:val="00111592"/>
    <w:rsid w:val="00111785"/>
    <w:rsid w:val="001123BB"/>
    <w:rsid w:val="00112892"/>
    <w:rsid w:val="00112B5D"/>
    <w:rsid w:val="00112BA5"/>
    <w:rsid w:val="00112D4D"/>
    <w:rsid w:val="00112F79"/>
    <w:rsid w:val="001131C9"/>
    <w:rsid w:val="001133BF"/>
    <w:rsid w:val="001136F7"/>
    <w:rsid w:val="00113915"/>
    <w:rsid w:val="00113B1E"/>
    <w:rsid w:val="0011439B"/>
    <w:rsid w:val="001145B4"/>
    <w:rsid w:val="00114875"/>
    <w:rsid w:val="00114BD9"/>
    <w:rsid w:val="00114FE8"/>
    <w:rsid w:val="00115184"/>
    <w:rsid w:val="001155E9"/>
    <w:rsid w:val="001155FC"/>
    <w:rsid w:val="001162A1"/>
    <w:rsid w:val="0011681F"/>
    <w:rsid w:val="00116B37"/>
    <w:rsid w:val="00116B4E"/>
    <w:rsid w:val="00116DB7"/>
    <w:rsid w:val="0011744E"/>
    <w:rsid w:val="00117A04"/>
    <w:rsid w:val="00117C8D"/>
    <w:rsid w:val="00117D5D"/>
    <w:rsid w:val="00117E08"/>
    <w:rsid w:val="00120C92"/>
    <w:rsid w:val="001212DF"/>
    <w:rsid w:val="00121A2C"/>
    <w:rsid w:val="0012244B"/>
    <w:rsid w:val="00122498"/>
    <w:rsid w:val="001225CC"/>
    <w:rsid w:val="0012265E"/>
    <w:rsid w:val="001226E1"/>
    <w:rsid w:val="00122C15"/>
    <w:rsid w:val="00122E91"/>
    <w:rsid w:val="00123444"/>
    <w:rsid w:val="0012397E"/>
    <w:rsid w:val="00123DC8"/>
    <w:rsid w:val="001242CF"/>
    <w:rsid w:val="001243E1"/>
    <w:rsid w:val="00124C3E"/>
    <w:rsid w:val="00124E69"/>
    <w:rsid w:val="001252DE"/>
    <w:rsid w:val="001254EA"/>
    <w:rsid w:val="00125F85"/>
    <w:rsid w:val="00125FEF"/>
    <w:rsid w:val="001263C5"/>
    <w:rsid w:val="00126483"/>
    <w:rsid w:val="001265D1"/>
    <w:rsid w:val="001267DB"/>
    <w:rsid w:val="00126865"/>
    <w:rsid w:val="001270D8"/>
    <w:rsid w:val="00127B12"/>
    <w:rsid w:val="00127E39"/>
    <w:rsid w:val="00127E98"/>
    <w:rsid w:val="00130649"/>
    <w:rsid w:val="0013075C"/>
    <w:rsid w:val="00130AFB"/>
    <w:rsid w:val="00130BBA"/>
    <w:rsid w:val="00130CC1"/>
    <w:rsid w:val="00130E16"/>
    <w:rsid w:val="00130EE9"/>
    <w:rsid w:val="001318BF"/>
    <w:rsid w:val="0013197D"/>
    <w:rsid w:val="001323F9"/>
    <w:rsid w:val="0013242B"/>
    <w:rsid w:val="00132685"/>
    <w:rsid w:val="00132930"/>
    <w:rsid w:val="00132C81"/>
    <w:rsid w:val="00132DBF"/>
    <w:rsid w:val="00134079"/>
    <w:rsid w:val="00134828"/>
    <w:rsid w:val="00134938"/>
    <w:rsid w:val="00134AA4"/>
    <w:rsid w:val="00134D97"/>
    <w:rsid w:val="00135670"/>
    <w:rsid w:val="00135841"/>
    <w:rsid w:val="001359B8"/>
    <w:rsid w:val="00135FBB"/>
    <w:rsid w:val="001368CA"/>
    <w:rsid w:val="00136ED7"/>
    <w:rsid w:val="001371E0"/>
    <w:rsid w:val="0013747F"/>
    <w:rsid w:val="00137884"/>
    <w:rsid w:val="00137CD9"/>
    <w:rsid w:val="00137CFA"/>
    <w:rsid w:val="001413D6"/>
    <w:rsid w:val="00141760"/>
    <w:rsid w:val="001417BF"/>
    <w:rsid w:val="0014193F"/>
    <w:rsid w:val="00142017"/>
    <w:rsid w:val="0014233E"/>
    <w:rsid w:val="0014294F"/>
    <w:rsid w:val="00142AA2"/>
    <w:rsid w:val="00142F79"/>
    <w:rsid w:val="00143203"/>
    <w:rsid w:val="0014350B"/>
    <w:rsid w:val="0014356C"/>
    <w:rsid w:val="00143938"/>
    <w:rsid w:val="0014394B"/>
    <w:rsid w:val="0014400D"/>
    <w:rsid w:val="001442F2"/>
    <w:rsid w:val="001444EA"/>
    <w:rsid w:val="0014490C"/>
    <w:rsid w:val="00145351"/>
    <w:rsid w:val="00145801"/>
    <w:rsid w:val="00145A38"/>
    <w:rsid w:val="00145BFC"/>
    <w:rsid w:val="00145EBD"/>
    <w:rsid w:val="00145FCE"/>
    <w:rsid w:val="00146172"/>
    <w:rsid w:val="001463DB"/>
    <w:rsid w:val="00146586"/>
    <w:rsid w:val="00146A0D"/>
    <w:rsid w:val="00146E6B"/>
    <w:rsid w:val="00146F77"/>
    <w:rsid w:val="001471AB"/>
    <w:rsid w:val="001475E8"/>
    <w:rsid w:val="001478BA"/>
    <w:rsid w:val="00147B4E"/>
    <w:rsid w:val="00150161"/>
    <w:rsid w:val="00150361"/>
    <w:rsid w:val="0015049C"/>
    <w:rsid w:val="00150B65"/>
    <w:rsid w:val="001515C1"/>
    <w:rsid w:val="0015194E"/>
    <w:rsid w:val="00151D07"/>
    <w:rsid w:val="00152329"/>
    <w:rsid w:val="0015284F"/>
    <w:rsid w:val="001533B3"/>
    <w:rsid w:val="0015393C"/>
    <w:rsid w:val="00153B82"/>
    <w:rsid w:val="00153EE3"/>
    <w:rsid w:val="001542D1"/>
    <w:rsid w:val="001542D5"/>
    <w:rsid w:val="0015460D"/>
    <w:rsid w:val="00154764"/>
    <w:rsid w:val="00154C36"/>
    <w:rsid w:val="00154EA2"/>
    <w:rsid w:val="00155D77"/>
    <w:rsid w:val="00156299"/>
    <w:rsid w:val="0015656B"/>
    <w:rsid w:val="001565C1"/>
    <w:rsid w:val="001568D8"/>
    <w:rsid w:val="001568F1"/>
    <w:rsid w:val="00156905"/>
    <w:rsid w:val="00156979"/>
    <w:rsid w:val="00156BC1"/>
    <w:rsid w:val="0015728F"/>
    <w:rsid w:val="001572FF"/>
    <w:rsid w:val="0015736F"/>
    <w:rsid w:val="00157EE0"/>
    <w:rsid w:val="00160BFE"/>
    <w:rsid w:val="00161165"/>
    <w:rsid w:val="001613EF"/>
    <w:rsid w:val="0016184E"/>
    <w:rsid w:val="0016201A"/>
    <w:rsid w:val="0016262D"/>
    <w:rsid w:val="00162741"/>
    <w:rsid w:val="00162CBA"/>
    <w:rsid w:val="00162D2C"/>
    <w:rsid w:val="00162E4A"/>
    <w:rsid w:val="00163376"/>
    <w:rsid w:val="0016421B"/>
    <w:rsid w:val="00164393"/>
    <w:rsid w:val="00164427"/>
    <w:rsid w:val="00164648"/>
    <w:rsid w:val="00164F67"/>
    <w:rsid w:val="001657A2"/>
    <w:rsid w:val="00165836"/>
    <w:rsid w:val="00165EDE"/>
    <w:rsid w:val="00165EE2"/>
    <w:rsid w:val="001663C4"/>
    <w:rsid w:val="00166491"/>
    <w:rsid w:val="001667DE"/>
    <w:rsid w:val="001669C6"/>
    <w:rsid w:val="00166CB5"/>
    <w:rsid w:val="00166F1B"/>
    <w:rsid w:val="0016700C"/>
    <w:rsid w:val="0016721D"/>
    <w:rsid w:val="0016764A"/>
    <w:rsid w:val="001677DF"/>
    <w:rsid w:val="00167CB4"/>
    <w:rsid w:val="00167DFB"/>
    <w:rsid w:val="00167FB0"/>
    <w:rsid w:val="00170008"/>
    <w:rsid w:val="001703E8"/>
    <w:rsid w:val="001704FE"/>
    <w:rsid w:val="00170767"/>
    <w:rsid w:val="00170987"/>
    <w:rsid w:val="00170A57"/>
    <w:rsid w:val="00170BED"/>
    <w:rsid w:val="00170C48"/>
    <w:rsid w:val="001713C2"/>
    <w:rsid w:val="0017182D"/>
    <w:rsid w:val="00171B52"/>
    <w:rsid w:val="00171EC4"/>
    <w:rsid w:val="00171EFD"/>
    <w:rsid w:val="0017241E"/>
    <w:rsid w:val="00172458"/>
    <w:rsid w:val="001726E2"/>
    <w:rsid w:val="00172926"/>
    <w:rsid w:val="001736D1"/>
    <w:rsid w:val="00173A96"/>
    <w:rsid w:val="00173CEC"/>
    <w:rsid w:val="00173ECA"/>
    <w:rsid w:val="00174740"/>
    <w:rsid w:val="00174805"/>
    <w:rsid w:val="00174B67"/>
    <w:rsid w:val="0017506B"/>
    <w:rsid w:val="00175263"/>
    <w:rsid w:val="001754CD"/>
    <w:rsid w:val="00175CCC"/>
    <w:rsid w:val="00175F06"/>
    <w:rsid w:val="001760FE"/>
    <w:rsid w:val="00177294"/>
    <w:rsid w:val="001779F4"/>
    <w:rsid w:val="00177BBE"/>
    <w:rsid w:val="00177F2B"/>
    <w:rsid w:val="001804CC"/>
    <w:rsid w:val="00180EA6"/>
    <w:rsid w:val="00181680"/>
    <w:rsid w:val="00181BEC"/>
    <w:rsid w:val="00182144"/>
    <w:rsid w:val="00182A2B"/>
    <w:rsid w:val="00182BC4"/>
    <w:rsid w:val="00182C1A"/>
    <w:rsid w:val="00183458"/>
    <w:rsid w:val="0018391A"/>
    <w:rsid w:val="00183DB5"/>
    <w:rsid w:val="00183F7D"/>
    <w:rsid w:val="00183FB1"/>
    <w:rsid w:val="00184732"/>
    <w:rsid w:val="00185009"/>
    <w:rsid w:val="00185318"/>
    <w:rsid w:val="00185566"/>
    <w:rsid w:val="001855ED"/>
    <w:rsid w:val="001855FB"/>
    <w:rsid w:val="001857FB"/>
    <w:rsid w:val="00185805"/>
    <w:rsid w:val="00185DCA"/>
    <w:rsid w:val="00185EC5"/>
    <w:rsid w:val="00185F81"/>
    <w:rsid w:val="0018636F"/>
    <w:rsid w:val="0018658E"/>
    <w:rsid w:val="00186E26"/>
    <w:rsid w:val="0018748D"/>
    <w:rsid w:val="00187564"/>
    <w:rsid w:val="00187713"/>
    <w:rsid w:val="00187AB5"/>
    <w:rsid w:val="0019000C"/>
    <w:rsid w:val="0019036C"/>
    <w:rsid w:val="001906FD"/>
    <w:rsid w:val="001910D1"/>
    <w:rsid w:val="00191361"/>
    <w:rsid w:val="001913E6"/>
    <w:rsid w:val="00191AA4"/>
    <w:rsid w:val="00191C7C"/>
    <w:rsid w:val="00191ED1"/>
    <w:rsid w:val="00191F19"/>
    <w:rsid w:val="00192145"/>
    <w:rsid w:val="0019267C"/>
    <w:rsid w:val="00192E41"/>
    <w:rsid w:val="00192F3B"/>
    <w:rsid w:val="00194343"/>
    <w:rsid w:val="00194CCF"/>
    <w:rsid w:val="00194F74"/>
    <w:rsid w:val="00195547"/>
    <w:rsid w:val="00195630"/>
    <w:rsid w:val="001959DA"/>
    <w:rsid w:val="00195AF4"/>
    <w:rsid w:val="00195C22"/>
    <w:rsid w:val="00195E90"/>
    <w:rsid w:val="00195F9C"/>
    <w:rsid w:val="00196145"/>
    <w:rsid w:val="0019624B"/>
    <w:rsid w:val="00196817"/>
    <w:rsid w:val="00196FF4"/>
    <w:rsid w:val="001970A8"/>
    <w:rsid w:val="00197130"/>
    <w:rsid w:val="0019733B"/>
    <w:rsid w:val="001974E1"/>
    <w:rsid w:val="001979AA"/>
    <w:rsid w:val="001A0B4C"/>
    <w:rsid w:val="001A0F0B"/>
    <w:rsid w:val="001A125B"/>
    <w:rsid w:val="001A1A0E"/>
    <w:rsid w:val="001A1B44"/>
    <w:rsid w:val="001A1D88"/>
    <w:rsid w:val="001A2908"/>
    <w:rsid w:val="001A298C"/>
    <w:rsid w:val="001A2BBD"/>
    <w:rsid w:val="001A3030"/>
    <w:rsid w:val="001A3070"/>
    <w:rsid w:val="001A3287"/>
    <w:rsid w:val="001A34A9"/>
    <w:rsid w:val="001A3BD2"/>
    <w:rsid w:val="001A3E7D"/>
    <w:rsid w:val="001A43CF"/>
    <w:rsid w:val="001A6782"/>
    <w:rsid w:val="001A6D4E"/>
    <w:rsid w:val="001A7351"/>
    <w:rsid w:val="001A74AA"/>
    <w:rsid w:val="001A7DC0"/>
    <w:rsid w:val="001A7DDD"/>
    <w:rsid w:val="001A7DF2"/>
    <w:rsid w:val="001B0335"/>
    <w:rsid w:val="001B0596"/>
    <w:rsid w:val="001B0619"/>
    <w:rsid w:val="001B1165"/>
    <w:rsid w:val="001B1914"/>
    <w:rsid w:val="001B1AC4"/>
    <w:rsid w:val="001B2573"/>
    <w:rsid w:val="001B2966"/>
    <w:rsid w:val="001B2E3E"/>
    <w:rsid w:val="001B2E68"/>
    <w:rsid w:val="001B3086"/>
    <w:rsid w:val="001B3278"/>
    <w:rsid w:val="001B34F8"/>
    <w:rsid w:val="001B3806"/>
    <w:rsid w:val="001B3888"/>
    <w:rsid w:val="001B4062"/>
    <w:rsid w:val="001B41C9"/>
    <w:rsid w:val="001B4275"/>
    <w:rsid w:val="001B4BF8"/>
    <w:rsid w:val="001B4F91"/>
    <w:rsid w:val="001B5486"/>
    <w:rsid w:val="001B594B"/>
    <w:rsid w:val="001B5A52"/>
    <w:rsid w:val="001B5C7E"/>
    <w:rsid w:val="001B5D91"/>
    <w:rsid w:val="001B60CA"/>
    <w:rsid w:val="001B615A"/>
    <w:rsid w:val="001B6161"/>
    <w:rsid w:val="001B64DD"/>
    <w:rsid w:val="001B660B"/>
    <w:rsid w:val="001B73CA"/>
    <w:rsid w:val="001B78E2"/>
    <w:rsid w:val="001B7C42"/>
    <w:rsid w:val="001B7E5A"/>
    <w:rsid w:val="001B7F2A"/>
    <w:rsid w:val="001C1251"/>
    <w:rsid w:val="001C13E1"/>
    <w:rsid w:val="001C16C3"/>
    <w:rsid w:val="001C1C44"/>
    <w:rsid w:val="001C2255"/>
    <w:rsid w:val="001C225B"/>
    <w:rsid w:val="001C22CB"/>
    <w:rsid w:val="001C23BB"/>
    <w:rsid w:val="001C251C"/>
    <w:rsid w:val="001C262B"/>
    <w:rsid w:val="001C2834"/>
    <w:rsid w:val="001C2E08"/>
    <w:rsid w:val="001C371F"/>
    <w:rsid w:val="001C38D6"/>
    <w:rsid w:val="001C3A49"/>
    <w:rsid w:val="001C3B29"/>
    <w:rsid w:val="001C3C4E"/>
    <w:rsid w:val="001C42C3"/>
    <w:rsid w:val="001C4A1A"/>
    <w:rsid w:val="001C4FF7"/>
    <w:rsid w:val="001C551E"/>
    <w:rsid w:val="001C5930"/>
    <w:rsid w:val="001C5A3D"/>
    <w:rsid w:val="001C5C56"/>
    <w:rsid w:val="001C5E7C"/>
    <w:rsid w:val="001C613D"/>
    <w:rsid w:val="001C64CB"/>
    <w:rsid w:val="001C64EF"/>
    <w:rsid w:val="001C6872"/>
    <w:rsid w:val="001C6BB9"/>
    <w:rsid w:val="001C6D8C"/>
    <w:rsid w:val="001C75A2"/>
    <w:rsid w:val="001C7E06"/>
    <w:rsid w:val="001D0C64"/>
    <w:rsid w:val="001D0FA8"/>
    <w:rsid w:val="001D1046"/>
    <w:rsid w:val="001D1A59"/>
    <w:rsid w:val="001D1A93"/>
    <w:rsid w:val="001D1D8D"/>
    <w:rsid w:val="001D1FE1"/>
    <w:rsid w:val="001D21DE"/>
    <w:rsid w:val="001D2369"/>
    <w:rsid w:val="001D23F9"/>
    <w:rsid w:val="001D26AE"/>
    <w:rsid w:val="001D2B9A"/>
    <w:rsid w:val="001D32A7"/>
    <w:rsid w:val="001D3F66"/>
    <w:rsid w:val="001D4A0C"/>
    <w:rsid w:val="001D4A37"/>
    <w:rsid w:val="001D4F51"/>
    <w:rsid w:val="001D4F53"/>
    <w:rsid w:val="001D514D"/>
    <w:rsid w:val="001D5454"/>
    <w:rsid w:val="001D5801"/>
    <w:rsid w:val="001D5A9F"/>
    <w:rsid w:val="001D5E1C"/>
    <w:rsid w:val="001D5FE7"/>
    <w:rsid w:val="001D61B9"/>
    <w:rsid w:val="001D6305"/>
    <w:rsid w:val="001D68E0"/>
    <w:rsid w:val="001D6D9D"/>
    <w:rsid w:val="001D6E71"/>
    <w:rsid w:val="001D7286"/>
    <w:rsid w:val="001D78B8"/>
    <w:rsid w:val="001D798C"/>
    <w:rsid w:val="001D7A79"/>
    <w:rsid w:val="001D7E32"/>
    <w:rsid w:val="001E00AF"/>
    <w:rsid w:val="001E05AE"/>
    <w:rsid w:val="001E1341"/>
    <w:rsid w:val="001E1A05"/>
    <w:rsid w:val="001E1F70"/>
    <w:rsid w:val="001E287E"/>
    <w:rsid w:val="001E2AD7"/>
    <w:rsid w:val="001E2FAF"/>
    <w:rsid w:val="001E3464"/>
    <w:rsid w:val="001E3530"/>
    <w:rsid w:val="001E36C7"/>
    <w:rsid w:val="001E3B91"/>
    <w:rsid w:val="001E403E"/>
    <w:rsid w:val="001E4041"/>
    <w:rsid w:val="001E4161"/>
    <w:rsid w:val="001E4CD8"/>
    <w:rsid w:val="001E501A"/>
    <w:rsid w:val="001E519B"/>
    <w:rsid w:val="001E5746"/>
    <w:rsid w:val="001E5759"/>
    <w:rsid w:val="001E57AC"/>
    <w:rsid w:val="001E585C"/>
    <w:rsid w:val="001E61D0"/>
    <w:rsid w:val="001E69DC"/>
    <w:rsid w:val="001E6B9A"/>
    <w:rsid w:val="001E7378"/>
    <w:rsid w:val="001E7572"/>
    <w:rsid w:val="001E781A"/>
    <w:rsid w:val="001F0034"/>
    <w:rsid w:val="001F071F"/>
    <w:rsid w:val="001F0ADB"/>
    <w:rsid w:val="001F0DC1"/>
    <w:rsid w:val="001F118A"/>
    <w:rsid w:val="001F13C9"/>
    <w:rsid w:val="001F18D5"/>
    <w:rsid w:val="001F1A42"/>
    <w:rsid w:val="001F2A77"/>
    <w:rsid w:val="001F2E6F"/>
    <w:rsid w:val="001F393E"/>
    <w:rsid w:val="001F399C"/>
    <w:rsid w:val="001F3EE5"/>
    <w:rsid w:val="001F3FB2"/>
    <w:rsid w:val="001F43FF"/>
    <w:rsid w:val="001F4BA7"/>
    <w:rsid w:val="001F4D19"/>
    <w:rsid w:val="001F4E3C"/>
    <w:rsid w:val="001F520C"/>
    <w:rsid w:val="001F5378"/>
    <w:rsid w:val="001F564B"/>
    <w:rsid w:val="001F57D4"/>
    <w:rsid w:val="001F5CAB"/>
    <w:rsid w:val="001F5E40"/>
    <w:rsid w:val="001F5E58"/>
    <w:rsid w:val="001F5F24"/>
    <w:rsid w:val="001F69F0"/>
    <w:rsid w:val="001F6C1C"/>
    <w:rsid w:val="001F6E00"/>
    <w:rsid w:val="001F7160"/>
    <w:rsid w:val="001F749B"/>
    <w:rsid w:val="002001AF"/>
    <w:rsid w:val="002002E9"/>
    <w:rsid w:val="00200797"/>
    <w:rsid w:val="00200E92"/>
    <w:rsid w:val="00201205"/>
    <w:rsid w:val="002012AD"/>
    <w:rsid w:val="00201830"/>
    <w:rsid w:val="002019D0"/>
    <w:rsid w:val="00201DDC"/>
    <w:rsid w:val="002027EB"/>
    <w:rsid w:val="00202869"/>
    <w:rsid w:val="00202C1D"/>
    <w:rsid w:val="0020354E"/>
    <w:rsid w:val="002040A8"/>
    <w:rsid w:val="00204B88"/>
    <w:rsid w:val="00204CED"/>
    <w:rsid w:val="00204FCA"/>
    <w:rsid w:val="002053D1"/>
    <w:rsid w:val="002057AB"/>
    <w:rsid w:val="00206482"/>
    <w:rsid w:val="00206578"/>
    <w:rsid w:val="00206ABD"/>
    <w:rsid w:val="00207381"/>
    <w:rsid w:val="00207558"/>
    <w:rsid w:val="00207657"/>
    <w:rsid w:val="00207693"/>
    <w:rsid w:val="002077C7"/>
    <w:rsid w:val="00207848"/>
    <w:rsid w:val="00207B93"/>
    <w:rsid w:val="00207CA7"/>
    <w:rsid w:val="00207FED"/>
    <w:rsid w:val="002100E0"/>
    <w:rsid w:val="00210529"/>
    <w:rsid w:val="002105BE"/>
    <w:rsid w:val="00211168"/>
    <w:rsid w:val="0021126D"/>
    <w:rsid w:val="00211420"/>
    <w:rsid w:val="0021154D"/>
    <w:rsid w:val="00211764"/>
    <w:rsid w:val="002117B9"/>
    <w:rsid w:val="002119CA"/>
    <w:rsid w:val="00211CFD"/>
    <w:rsid w:val="002122D0"/>
    <w:rsid w:val="00212954"/>
    <w:rsid w:val="00212F89"/>
    <w:rsid w:val="002133E5"/>
    <w:rsid w:val="0021422C"/>
    <w:rsid w:val="00214427"/>
    <w:rsid w:val="00214A64"/>
    <w:rsid w:val="00214A78"/>
    <w:rsid w:val="00214ADF"/>
    <w:rsid w:val="002151EB"/>
    <w:rsid w:val="002153B7"/>
    <w:rsid w:val="002163F4"/>
    <w:rsid w:val="00216E17"/>
    <w:rsid w:val="00217070"/>
    <w:rsid w:val="0022000D"/>
    <w:rsid w:val="00220336"/>
    <w:rsid w:val="002206C8"/>
    <w:rsid w:val="00220869"/>
    <w:rsid w:val="0022099F"/>
    <w:rsid w:val="00220DEF"/>
    <w:rsid w:val="00220F18"/>
    <w:rsid w:val="00221004"/>
    <w:rsid w:val="00221253"/>
    <w:rsid w:val="002212CA"/>
    <w:rsid w:val="00221611"/>
    <w:rsid w:val="002219E9"/>
    <w:rsid w:val="00221E48"/>
    <w:rsid w:val="00221F05"/>
    <w:rsid w:val="00222A4D"/>
    <w:rsid w:val="00222EA3"/>
    <w:rsid w:val="00222EC7"/>
    <w:rsid w:val="0022342C"/>
    <w:rsid w:val="00223A81"/>
    <w:rsid w:val="002240C6"/>
    <w:rsid w:val="00224210"/>
    <w:rsid w:val="00224D2B"/>
    <w:rsid w:val="00225162"/>
    <w:rsid w:val="00225A5C"/>
    <w:rsid w:val="002262A3"/>
    <w:rsid w:val="002267F6"/>
    <w:rsid w:val="00226CF2"/>
    <w:rsid w:val="00226D95"/>
    <w:rsid w:val="00226DB0"/>
    <w:rsid w:val="00226F49"/>
    <w:rsid w:val="0022734A"/>
    <w:rsid w:val="00227687"/>
    <w:rsid w:val="00227721"/>
    <w:rsid w:val="00227A4D"/>
    <w:rsid w:val="00227E9A"/>
    <w:rsid w:val="00230889"/>
    <w:rsid w:val="00230C5B"/>
    <w:rsid w:val="00230F2E"/>
    <w:rsid w:val="0023104A"/>
    <w:rsid w:val="002312F7"/>
    <w:rsid w:val="002316A0"/>
    <w:rsid w:val="00231ABF"/>
    <w:rsid w:val="00231DAB"/>
    <w:rsid w:val="00232422"/>
    <w:rsid w:val="00232C6C"/>
    <w:rsid w:val="002330A5"/>
    <w:rsid w:val="00233236"/>
    <w:rsid w:val="00233277"/>
    <w:rsid w:val="002332E5"/>
    <w:rsid w:val="002333CE"/>
    <w:rsid w:val="002334B0"/>
    <w:rsid w:val="00233CA3"/>
    <w:rsid w:val="002356C1"/>
    <w:rsid w:val="0023615C"/>
    <w:rsid w:val="00236C8B"/>
    <w:rsid w:val="00237338"/>
    <w:rsid w:val="002374C5"/>
    <w:rsid w:val="00237588"/>
    <w:rsid w:val="00237672"/>
    <w:rsid w:val="00237677"/>
    <w:rsid w:val="00237873"/>
    <w:rsid w:val="00240368"/>
    <w:rsid w:val="0024043F"/>
    <w:rsid w:val="0024079A"/>
    <w:rsid w:val="00240956"/>
    <w:rsid w:val="002411C9"/>
    <w:rsid w:val="00241279"/>
    <w:rsid w:val="00241D29"/>
    <w:rsid w:val="00242A4B"/>
    <w:rsid w:val="00242B4B"/>
    <w:rsid w:val="00242BE4"/>
    <w:rsid w:val="00242C31"/>
    <w:rsid w:val="00242FE6"/>
    <w:rsid w:val="00243605"/>
    <w:rsid w:val="002437E3"/>
    <w:rsid w:val="00243D2C"/>
    <w:rsid w:val="00243FA2"/>
    <w:rsid w:val="00243FFC"/>
    <w:rsid w:val="00244370"/>
    <w:rsid w:val="002459E4"/>
    <w:rsid w:val="002463E8"/>
    <w:rsid w:val="002463FD"/>
    <w:rsid w:val="002464F4"/>
    <w:rsid w:val="0024653F"/>
    <w:rsid w:val="002469CA"/>
    <w:rsid w:val="00246A47"/>
    <w:rsid w:val="00246B0F"/>
    <w:rsid w:val="00247299"/>
    <w:rsid w:val="002475F6"/>
    <w:rsid w:val="002478B2"/>
    <w:rsid w:val="00247D8D"/>
    <w:rsid w:val="00247DC9"/>
    <w:rsid w:val="00247FC2"/>
    <w:rsid w:val="00250373"/>
    <w:rsid w:val="002506A4"/>
    <w:rsid w:val="002507EC"/>
    <w:rsid w:val="00251622"/>
    <w:rsid w:val="002516D0"/>
    <w:rsid w:val="002516EB"/>
    <w:rsid w:val="00251A72"/>
    <w:rsid w:val="00251E39"/>
    <w:rsid w:val="00251FF3"/>
    <w:rsid w:val="00253192"/>
    <w:rsid w:val="002537B1"/>
    <w:rsid w:val="002539DE"/>
    <w:rsid w:val="00253B97"/>
    <w:rsid w:val="00254654"/>
    <w:rsid w:val="002549A4"/>
    <w:rsid w:val="00254D23"/>
    <w:rsid w:val="002553E2"/>
    <w:rsid w:val="0025552B"/>
    <w:rsid w:val="00255BC9"/>
    <w:rsid w:val="0025604C"/>
    <w:rsid w:val="00256066"/>
    <w:rsid w:val="002562C5"/>
    <w:rsid w:val="00256461"/>
    <w:rsid w:val="00256A60"/>
    <w:rsid w:val="00256B14"/>
    <w:rsid w:val="00256B50"/>
    <w:rsid w:val="0025768B"/>
    <w:rsid w:val="00257A77"/>
    <w:rsid w:val="00257C8B"/>
    <w:rsid w:val="0026041E"/>
    <w:rsid w:val="00260AB0"/>
    <w:rsid w:val="0026122D"/>
    <w:rsid w:val="00261947"/>
    <w:rsid w:val="00261A3A"/>
    <w:rsid w:val="00261BDE"/>
    <w:rsid w:val="002621D8"/>
    <w:rsid w:val="002622DD"/>
    <w:rsid w:val="002624BD"/>
    <w:rsid w:val="002629EC"/>
    <w:rsid w:val="00262B34"/>
    <w:rsid w:val="00262E89"/>
    <w:rsid w:val="002635C0"/>
    <w:rsid w:val="00263896"/>
    <w:rsid w:val="0026396A"/>
    <w:rsid w:val="00263A71"/>
    <w:rsid w:val="002642A4"/>
    <w:rsid w:val="002644BE"/>
    <w:rsid w:val="002645C6"/>
    <w:rsid w:val="0026478A"/>
    <w:rsid w:val="00264A90"/>
    <w:rsid w:val="00264DCE"/>
    <w:rsid w:val="00264EE3"/>
    <w:rsid w:val="0026508C"/>
    <w:rsid w:val="002654CB"/>
    <w:rsid w:val="00265516"/>
    <w:rsid w:val="00265B2C"/>
    <w:rsid w:val="00266165"/>
    <w:rsid w:val="00266346"/>
    <w:rsid w:val="0026661C"/>
    <w:rsid w:val="0026699B"/>
    <w:rsid w:val="00266D25"/>
    <w:rsid w:val="00266DF3"/>
    <w:rsid w:val="002671B7"/>
    <w:rsid w:val="002674AF"/>
    <w:rsid w:val="00267514"/>
    <w:rsid w:val="00267539"/>
    <w:rsid w:val="002679ED"/>
    <w:rsid w:val="00267A12"/>
    <w:rsid w:val="00267E0D"/>
    <w:rsid w:val="00270CD9"/>
    <w:rsid w:val="00270EA4"/>
    <w:rsid w:val="00270FCE"/>
    <w:rsid w:val="0027132F"/>
    <w:rsid w:val="0027176C"/>
    <w:rsid w:val="00271C6A"/>
    <w:rsid w:val="00271EE5"/>
    <w:rsid w:val="00272592"/>
    <w:rsid w:val="002725A6"/>
    <w:rsid w:val="002727CA"/>
    <w:rsid w:val="00272E02"/>
    <w:rsid w:val="00272E39"/>
    <w:rsid w:val="00273366"/>
    <w:rsid w:val="002734E5"/>
    <w:rsid w:val="00273AD8"/>
    <w:rsid w:val="00273E4D"/>
    <w:rsid w:val="002743C9"/>
    <w:rsid w:val="002743D1"/>
    <w:rsid w:val="00274449"/>
    <w:rsid w:val="0027457F"/>
    <w:rsid w:val="0027461D"/>
    <w:rsid w:val="00274848"/>
    <w:rsid w:val="00275343"/>
    <w:rsid w:val="00275483"/>
    <w:rsid w:val="002754FE"/>
    <w:rsid w:val="00275E36"/>
    <w:rsid w:val="002761C4"/>
    <w:rsid w:val="00276507"/>
    <w:rsid w:val="00276969"/>
    <w:rsid w:val="00276A3B"/>
    <w:rsid w:val="00276B01"/>
    <w:rsid w:val="0027761E"/>
    <w:rsid w:val="00277D74"/>
    <w:rsid w:val="00281606"/>
    <w:rsid w:val="00281B12"/>
    <w:rsid w:val="00281BD1"/>
    <w:rsid w:val="00281E5E"/>
    <w:rsid w:val="00281FA4"/>
    <w:rsid w:val="00282106"/>
    <w:rsid w:val="00282124"/>
    <w:rsid w:val="00282146"/>
    <w:rsid w:val="002821B2"/>
    <w:rsid w:val="002822D5"/>
    <w:rsid w:val="00282953"/>
    <w:rsid w:val="00282A20"/>
    <w:rsid w:val="00282A8C"/>
    <w:rsid w:val="00282A96"/>
    <w:rsid w:val="00282F40"/>
    <w:rsid w:val="002834D2"/>
    <w:rsid w:val="00283532"/>
    <w:rsid w:val="002836D9"/>
    <w:rsid w:val="002839F5"/>
    <w:rsid w:val="00283AF9"/>
    <w:rsid w:val="00283F06"/>
    <w:rsid w:val="002841BB"/>
    <w:rsid w:val="00284395"/>
    <w:rsid w:val="00284BF9"/>
    <w:rsid w:val="00285017"/>
    <w:rsid w:val="00285472"/>
    <w:rsid w:val="0028634C"/>
    <w:rsid w:val="00286C5F"/>
    <w:rsid w:val="00286CF4"/>
    <w:rsid w:val="002873FB"/>
    <w:rsid w:val="00287488"/>
    <w:rsid w:val="00287C8C"/>
    <w:rsid w:val="00287E96"/>
    <w:rsid w:val="00287EAB"/>
    <w:rsid w:val="00287EEB"/>
    <w:rsid w:val="0029002E"/>
    <w:rsid w:val="0029026B"/>
    <w:rsid w:val="0029076A"/>
    <w:rsid w:val="002909AA"/>
    <w:rsid w:val="00290B3B"/>
    <w:rsid w:val="00291515"/>
    <w:rsid w:val="00291614"/>
    <w:rsid w:val="00291D7A"/>
    <w:rsid w:val="00291F45"/>
    <w:rsid w:val="002921B0"/>
    <w:rsid w:val="002921DB"/>
    <w:rsid w:val="0029246E"/>
    <w:rsid w:val="00292574"/>
    <w:rsid w:val="0029272B"/>
    <w:rsid w:val="00292957"/>
    <w:rsid w:val="00292B06"/>
    <w:rsid w:val="00292D09"/>
    <w:rsid w:val="00292D29"/>
    <w:rsid w:val="002930EE"/>
    <w:rsid w:val="002934B8"/>
    <w:rsid w:val="00293E58"/>
    <w:rsid w:val="00294023"/>
    <w:rsid w:val="00294129"/>
    <w:rsid w:val="002942E7"/>
    <w:rsid w:val="00294370"/>
    <w:rsid w:val="00294BBE"/>
    <w:rsid w:val="00294BD9"/>
    <w:rsid w:val="00294DFD"/>
    <w:rsid w:val="00295304"/>
    <w:rsid w:val="00295C9E"/>
    <w:rsid w:val="00295D3F"/>
    <w:rsid w:val="00296057"/>
    <w:rsid w:val="00296159"/>
    <w:rsid w:val="002966FE"/>
    <w:rsid w:val="002969DB"/>
    <w:rsid w:val="00296A1C"/>
    <w:rsid w:val="00296B6B"/>
    <w:rsid w:val="00296F46"/>
    <w:rsid w:val="00297394"/>
    <w:rsid w:val="00297A40"/>
    <w:rsid w:val="002A0289"/>
    <w:rsid w:val="002A08C6"/>
    <w:rsid w:val="002A09F8"/>
    <w:rsid w:val="002A0D02"/>
    <w:rsid w:val="002A0F0C"/>
    <w:rsid w:val="002A0F17"/>
    <w:rsid w:val="002A150F"/>
    <w:rsid w:val="002A15B9"/>
    <w:rsid w:val="002A1665"/>
    <w:rsid w:val="002A1A7B"/>
    <w:rsid w:val="002A1CDE"/>
    <w:rsid w:val="002A2344"/>
    <w:rsid w:val="002A2CC8"/>
    <w:rsid w:val="002A303A"/>
    <w:rsid w:val="002A3095"/>
    <w:rsid w:val="002A3567"/>
    <w:rsid w:val="002A3680"/>
    <w:rsid w:val="002A37BC"/>
    <w:rsid w:val="002A37D9"/>
    <w:rsid w:val="002A397C"/>
    <w:rsid w:val="002A3A28"/>
    <w:rsid w:val="002A4106"/>
    <w:rsid w:val="002A4375"/>
    <w:rsid w:val="002A43B5"/>
    <w:rsid w:val="002A4D22"/>
    <w:rsid w:val="002A4FBC"/>
    <w:rsid w:val="002A50DA"/>
    <w:rsid w:val="002A5C35"/>
    <w:rsid w:val="002A5E0B"/>
    <w:rsid w:val="002A64EA"/>
    <w:rsid w:val="002A6F09"/>
    <w:rsid w:val="002A758B"/>
    <w:rsid w:val="002A79A8"/>
    <w:rsid w:val="002A7F53"/>
    <w:rsid w:val="002B02E5"/>
    <w:rsid w:val="002B0BC9"/>
    <w:rsid w:val="002B0D18"/>
    <w:rsid w:val="002B1043"/>
    <w:rsid w:val="002B10F4"/>
    <w:rsid w:val="002B1283"/>
    <w:rsid w:val="002B145A"/>
    <w:rsid w:val="002B1485"/>
    <w:rsid w:val="002B1AA8"/>
    <w:rsid w:val="002B1C9E"/>
    <w:rsid w:val="002B211D"/>
    <w:rsid w:val="002B2798"/>
    <w:rsid w:val="002B2835"/>
    <w:rsid w:val="002B3712"/>
    <w:rsid w:val="002B3DDC"/>
    <w:rsid w:val="002B4648"/>
    <w:rsid w:val="002B46D1"/>
    <w:rsid w:val="002B4999"/>
    <w:rsid w:val="002B49F0"/>
    <w:rsid w:val="002B4DE7"/>
    <w:rsid w:val="002B5131"/>
    <w:rsid w:val="002B519C"/>
    <w:rsid w:val="002B5357"/>
    <w:rsid w:val="002B53A3"/>
    <w:rsid w:val="002B5916"/>
    <w:rsid w:val="002B5B69"/>
    <w:rsid w:val="002B5C58"/>
    <w:rsid w:val="002B680F"/>
    <w:rsid w:val="002B6988"/>
    <w:rsid w:val="002B6B33"/>
    <w:rsid w:val="002B721D"/>
    <w:rsid w:val="002B7388"/>
    <w:rsid w:val="002B78AA"/>
    <w:rsid w:val="002B79E8"/>
    <w:rsid w:val="002C0021"/>
    <w:rsid w:val="002C0F2F"/>
    <w:rsid w:val="002C105C"/>
    <w:rsid w:val="002C10C4"/>
    <w:rsid w:val="002C1521"/>
    <w:rsid w:val="002C1A92"/>
    <w:rsid w:val="002C1BDC"/>
    <w:rsid w:val="002C1F84"/>
    <w:rsid w:val="002C2218"/>
    <w:rsid w:val="002C28FA"/>
    <w:rsid w:val="002C2D0A"/>
    <w:rsid w:val="002C34B4"/>
    <w:rsid w:val="002C3789"/>
    <w:rsid w:val="002C39A7"/>
    <w:rsid w:val="002C3FEF"/>
    <w:rsid w:val="002C4180"/>
    <w:rsid w:val="002C4402"/>
    <w:rsid w:val="002C494B"/>
    <w:rsid w:val="002C4ACD"/>
    <w:rsid w:val="002C4D10"/>
    <w:rsid w:val="002C4E7C"/>
    <w:rsid w:val="002C4F4C"/>
    <w:rsid w:val="002C5173"/>
    <w:rsid w:val="002C589D"/>
    <w:rsid w:val="002C5F6B"/>
    <w:rsid w:val="002C6023"/>
    <w:rsid w:val="002C6034"/>
    <w:rsid w:val="002C607B"/>
    <w:rsid w:val="002C616B"/>
    <w:rsid w:val="002C6172"/>
    <w:rsid w:val="002C6795"/>
    <w:rsid w:val="002C6B0A"/>
    <w:rsid w:val="002C6D33"/>
    <w:rsid w:val="002C6D8B"/>
    <w:rsid w:val="002C7423"/>
    <w:rsid w:val="002C744F"/>
    <w:rsid w:val="002C765B"/>
    <w:rsid w:val="002C7CC3"/>
    <w:rsid w:val="002C7DDB"/>
    <w:rsid w:val="002D003C"/>
    <w:rsid w:val="002D00A1"/>
    <w:rsid w:val="002D0203"/>
    <w:rsid w:val="002D0523"/>
    <w:rsid w:val="002D0F5A"/>
    <w:rsid w:val="002D1013"/>
    <w:rsid w:val="002D121E"/>
    <w:rsid w:val="002D1346"/>
    <w:rsid w:val="002D13C6"/>
    <w:rsid w:val="002D156A"/>
    <w:rsid w:val="002D1885"/>
    <w:rsid w:val="002D1DA4"/>
    <w:rsid w:val="002D268E"/>
    <w:rsid w:val="002D26DE"/>
    <w:rsid w:val="002D2B41"/>
    <w:rsid w:val="002D323B"/>
    <w:rsid w:val="002D37EC"/>
    <w:rsid w:val="002D37F6"/>
    <w:rsid w:val="002D3D0B"/>
    <w:rsid w:val="002D4915"/>
    <w:rsid w:val="002D509C"/>
    <w:rsid w:val="002D54F5"/>
    <w:rsid w:val="002D62EE"/>
    <w:rsid w:val="002D6430"/>
    <w:rsid w:val="002D6BEE"/>
    <w:rsid w:val="002D6C72"/>
    <w:rsid w:val="002D741C"/>
    <w:rsid w:val="002E0C5A"/>
    <w:rsid w:val="002E15BD"/>
    <w:rsid w:val="002E1793"/>
    <w:rsid w:val="002E1EB2"/>
    <w:rsid w:val="002E2B57"/>
    <w:rsid w:val="002E3018"/>
    <w:rsid w:val="002E3CE8"/>
    <w:rsid w:val="002E4098"/>
    <w:rsid w:val="002E4122"/>
    <w:rsid w:val="002E4224"/>
    <w:rsid w:val="002E462E"/>
    <w:rsid w:val="002E465A"/>
    <w:rsid w:val="002E46A0"/>
    <w:rsid w:val="002E4B25"/>
    <w:rsid w:val="002E4C1F"/>
    <w:rsid w:val="002E50EA"/>
    <w:rsid w:val="002E5556"/>
    <w:rsid w:val="002E5AA0"/>
    <w:rsid w:val="002E5B56"/>
    <w:rsid w:val="002E5DAC"/>
    <w:rsid w:val="002E5EFA"/>
    <w:rsid w:val="002E6233"/>
    <w:rsid w:val="002E6918"/>
    <w:rsid w:val="002E6A20"/>
    <w:rsid w:val="002E6CDD"/>
    <w:rsid w:val="002E6DEC"/>
    <w:rsid w:val="002E7473"/>
    <w:rsid w:val="002E7C27"/>
    <w:rsid w:val="002E7E2F"/>
    <w:rsid w:val="002E7F84"/>
    <w:rsid w:val="002F0469"/>
    <w:rsid w:val="002F056F"/>
    <w:rsid w:val="002F0748"/>
    <w:rsid w:val="002F0A71"/>
    <w:rsid w:val="002F0C5E"/>
    <w:rsid w:val="002F0F0F"/>
    <w:rsid w:val="002F11DB"/>
    <w:rsid w:val="002F121D"/>
    <w:rsid w:val="002F1C8E"/>
    <w:rsid w:val="002F1E7F"/>
    <w:rsid w:val="002F2454"/>
    <w:rsid w:val="002F3245"/>
    <w:rsid w:val="002F365F"/>
    <w:rsid w:val="002F4052"/>
    <w:rsid w:val="002F4124"/>
    <w:rsid w:val="002F44B2"/>
    <w:rsid w:val="002F4F80"/>
    <w:rsid w:val="002F4FAD"/>
    <w:rsid w:val="002F53FA"/>
    <w:rsid w:val="002F5DD7"/>
    <w:rsid w:val="002F63C7"/>
    <w:rsid w:val="002F7566"/>
    <w:rsid w:val="002F7A52"/>
    <w:rsid w:val="002F7D0D"/>
    <w:rsid w:val="003002A3"/>
    <w:rsid w:val="00300328"/>
    <w:rsid w:val="0030113B"/>
    <w:rsid w:val="0030157A"/>
    <w:rsid w:val="003015B4"/>
    <w:rsid w:val="0030170D"/>
    <w:rsid w:val="00301BA3"/>
    <w:rsid w:val="00302079"/>
    <w:rsid w:val="00302171"/>
    <w:rsid w:val="00302290"/>
    <w:rsid w:val="0030272F"/>
    <w:rsid w:val="003029C8"/>
    <w:rsid w:val="00302B9E"/>
    <w:rsid w:val="0030309B"/>
    <w:rsid w:val="0030322A"/>
    <w:rsid w:val="00303765"/>
    <w:rsid w:val="0030383B"/>
    <w:rsid w:val="00303BB7"/>
    <w:rsid w:val="00303E3C"/>
    <w:rsid w:val="003044D3"/>
    <w:rsid w:val="00304B34"/>
    <w:rsid w:val="00304CF0"/>
    <w:rsid w:val="00304D17"/>
    <w:rsid w:val="003058FE"/>
    <w:rsid w:val="00305AEA"/>
    <w:rsid w:val="00305C3A"/>
    <w:rsid w:val="00305F63"/>
    <w:rsid w:val="003061B8"/>
    <w:rsid w:val="00306CEE"/>
    <w:rsid w:val="00306D47"/>
    <w:rsid w:val="003072AF"/>
    <w:rsid w:val="003073CB"/>
    <w:rsid w:val="00307B3F"/>
    <w:rsid w:val="00307C2D"/>
    <w:rsid w:val="0031018D"/>
    <w:rsid w:val="00310370"/>
    <w:rsid w:val="00310735"/>
    <w:rsid w:val="00310AF4"/>
    <w:rsid w:val="0031159B"/>
    <w:rsid w:val="003119B5"/>
    <w:rsid w:val="00311B69"/>
    <w:rsid w:val="003127EA"/>
    <w:rsid w:val="003131D5"/>
    <w:rsid w:val="00313235"/>
    <w:rsid w:val="0031325E"/>
    <w:rsid w:val="0031351D"/>
    <w:rsid w:val="00313EF5"/>
    <w:rsid w:val="00313F19"/>
    <w:rsid w:val="0031414B"/>
    <w:rsid w:val="003141A2"/>
    <w:rsid w:val="003146BF"/>
    <w:rsid w:val="00314844"/>
    <w:rsid w:val="0031499B"/>
    <w:rsid w:val="00314DBD"/>
    <w:rsid w:val="00314FCB"/>
    <w:rsid w:val="00315069"/>
    <w:rsid w:val="003151F6"/>
    <w:rsid w:val="003156C2"/>
    <w:rsid w:val="00315869"/>
    <w:rsid w:val="003158E0"/>
    <w:rsid w:val="00315B1F"/>
    <w:rsid w:val="00315B87"/>
    <w:rsid w:val="00315BF9"/>
    <w:rsid w:val="00315EAA"/>
    <w:rsid w:val="0031617E"/>
    <w:rsid w:val="00316CFB"/>
    <w:rsid w:val="00317613"/>
    <w:rsid w:val="00317837"/>
    <w:rsid w:val="00317C69"/>
    <w:rsid w:val="00317CD1"/>
    <w:rsid w:val="00317F1E"/>
    <w:rsid w:val="00320696"/>
    <w:rsid w:val="00320924"/>
    <w:rsid w:val="00321435"/>
    <w:rsid w:val="003218A5"/>
    <w:rsid w:val="00321C10"/>
    <w:rsid w:val="00321D0D"/>
    <w:rsid w:val="00322618"/>
    <w:rsid w:val="0032270F"/>
    <w:rsid w:val="003229AC"/>
    <w:rsid w:val="00322D34"/>
    <w:rsid w:val="003230DC"/>
    <w:rsid w:val="00323221"/>
    <w:rsid w:val="00323CD1"/>
    <w:rsid w:val="00323EBA"/>
    <w:rsid w:val="00323FDC"/>
    <w:rsid w:val="0032404F"/>
    <w:rsid w:val="003240F3"/>
    <w:rsid w:val="00324113"/>
    <w:rsid w:val="00324341"/>
    <w:rsid w:val="003247CF"/>
    <w:rsid w:val="003248FB"/>
    <w:rsid w:val="00325291"/>
    <w:rsid w:val="00325809"/>
    <w:rsid w:val="00326115"/>
    <w:rsid w:val="0032612F"/>
    <w:rsid w:val="003277A9"/>
    <w:rsid w:val="00327B51"/>
    <w:rsid w:val="00327D27"/>
    <w:rsid w:val="00327E1A"/>
    <w:rsid w:val="0033024D"/>
    <w:rsid w:val="003302A9"/>
    <w:rsid w:val="0033032B"/>
    <w:rsid w:val="00330906"/>
    <w:rsid w:val="00330C36"/>
    <w:rsid w:val="00330C9E"/>
    <w:rsid w:val="003310A7"/>
    <w:rsid w:val="003314E4"/>
    <w:rsid w:val="003314F0"/>
    <w:rsid w:val="003315F1"/>
    <w:rsid w:val="003316C6"/>
    <w:rsid w:val="00331C3E"/>
    <w:rsid w:val="003322A7"/>
    <w:rsid w:val="00332AA9"/>
    <w:rsid w:val="00332F06"/>
    <w:rsid w:val="0033319E"/>
    <w:rsid w:val="00333409"/>
    <w:rsid w:val="00333A08"/>
    <w:rsid w:val="003340FF"/>
    <w:rsid w:val="003343CB"/>
    <w:rsid w:val="00334A99"/>
    <w:rsid w:val="00334E6A"/>
    <w:rsid w:val="00335102"/>
    <w:rsid w:val="00335112"/>
    <w:rsid w:val="00335C3C"/>
    <w:rsid w:val="0033643A"/>
    <w:rsid w:val="003368E8"/>
    <w:rsid w:val="003369BA"/>
    <w:rsid w:val="00336FD2"/>
    <w:rsid w:val="00337915"/>
    <w:rsid w:val="00337BD4"/>
    <w:rsid w:val="00337CF5"/>
    <w:rsid w:val="003402F3"/>
    <w:rsid w:val="0034082A"/>
    <w:rsid w:val="00340EBE"/>
    <w:rsid w:val="0034105C"/>
    <w:rsid w:val="00341063"/>
    <w:rsid w:val="00341BF0"/>
    <w:rsid w:val="00341E1A"/>
    <w:rsid w:val="0034203A"/>
    <w:rsid w:val="003423F1"/>
    <w:rsid w:val="00342B54"/>
    <w:rsid w:val="00342DED"/>
    <w:rsid w:val="003432EF"/>
    <w:rsid w:val="00344372"/>
    <w:rsid w:val="0034443C"/>
    <w:rsid w:val="003444A0"/>
    <w:rsid w:val="00345225"/>
    <w:rsid w:val="00345736"/>
    <w:rsid w:val="00345E71"/>
    <w:rsid w:val="00345F61"/>
    <w:rsid w:val="0034621D"/>
    <w:rsid w:val="0034658F"/>
    <w:rsid w:val="00346965"/>
    <w:rsid w:val="00346D96"/>
    <w:rsid w:val="00347166"/>
    <w:rsid w:val="003477A6"/>
    <w:rsid w:val="00347A7F"/>
    <w:rsid w:val="00347B06"/>
    <w:rsid w:val="00347F40"/>
    <w:rsid w:val="0035030A"/>
    <w:rsid w:val="00351688"/>
    <w:rsid w:val="00351F88"/>
    <w:rsid w:val="00352174"/>
    <w:rsid w:val="00352715"/>
    <w:rsid w:val="00352D05"/>
    <w:rsid w:val="00353010"/>
    <w:rsid w:val="00353609"/>
    <w:rsid w:val="00353D09"/>
    <w:rsid w:val="003541F6"/>
    <w:rsid w:val="0035436D"/>
    <w:rsid w:val="00354768"/>
    <w:rsid w:val="00354825"/>
    <w:rsid w:val="00354949"/>
    <w:rsid w:val="00355AFB"/>
    <w:rsid w:val="0035637B"/>
    <w:rsid w:val="003567EC"/>
    <w:rsid w:val="003571C5"/>
    <w:rsid w:val="0035786B"/>
    <w:rsid w:val="003579D4"/>
    <w:rsid w:val="00357D17"/>
    <w:rsid w:val="00357D25"/>
    <w:rsid w:val="003603FC"/>
    <w:rsid w:val="00360600"/>
    <w:rsid w:val="00360633"/>
    <w:rsid w:val="00360F1B"/>
    <w:rsid w:val="0036145E"/>
    <w:rsid w:val="003614D4"/>
    <w:rsid w:val="00361CD2"/>
    <w:rsid w:val="0036250E"/>
    <w:rsid w:val="00362B5A"/>
    <w:rsid w:val="00362BE7"/>
    <w:rsid w:val="003630AE"/>
    <w:rsid w:val="00363149"/>
    <w:rsid w:val="00363CD0"/>
    <w:rsid w:val="00363FEF"/>
    <w:rsid w:val="00364150"/>
    <w:rsid w:val="0036476E"/>
    <w:rsid w:val="003649DF"/>
    <w:rsid w:val="00364A50"/>
    <w:rsid w:val="00364ADC"/>
    <w:rsid w:val="00364E2F"/>
    <w:rsid w:val="00364FA9"/>
    <w:rsid w:val="0036526F"/>
    <w:rsid w:val="00365A31"/>
    <w:rsid w:val="00365B4D"/>
    <w:rsid w:val="00365F83"/>
    <w:rsid w:val="00365FE8"/>
    <w:rsid w:val="003663A3"/>
    <w:rsid w:val="0036646C"/>
    <w:rsid w:val="00366506"/>
    <w:rsid w:val="00366889"/>
    <w:rsid w:val="00366B19"/>
    <w:rsid w:val="00367990"/>
    <w:rsid w:val="003679B9"/>
    <w:rsid w:val="00367CE1"/>
    <w:rsid w:val="00367F71"/>
    <w:rsid w:val="00367F8C"/>
    <w:rsid w:val="003708DA"/>
    <w:rsid w:val="00370950"/>
    <w:rsid w:val="00370BF3"/>
    <w:rsid w:val="00371116"/>
    <w:rsid w:val="003717E4"/>
    <w:rsid w:val="00371CF4"/>
    <w:rsid w:val="00371E6E"/>
    <w:rsid w:val="00372116"/>
    <w:rsid w:val="00372470"/>
    <w:rsid w:val="003728B0"/>
    <w:rsid w:val="00372D47"/>
    <w:rsid w:val="0037316D"/>
    <w:rsid w:val="00373193"/>
    <w:rsid w:val="0037344D"/>
    <w:rsid w:val="00374004"/>
    <w:rsid w:val="003746DB"/>
    <w:rsid w:val="00374787"/>
    <w:rsid w:val="00374C96"/>
    <w:rsid w:val="00374E66"/>
    <w:rsid w:val="00374E6E"/>
    <w:rsid w:val="003751E7"/>
    <w:rsid w:val="00375358"/>
    <w:rsid w:val="003753B6"/>
    <w:rsid w:val="0037559C"/>
    <w:rsid w:val="00375A22"/>
    <w:rsid w:val="00375D49"/>
    <w:rsid w:val="00376071"/>
    <w:rsid w:val="0037614F"/>
    <w:rsid w:val="003765D5"/>
    <w:rsid w:val="00376709"/>
    <w:rsid w:val="00376808"/>
    <w:rsid w:val="00376923"/>
    <w:rsid w:val="00376CD7"/>
    <w:rsid w:val="00376D02"/>
    <w:rsid w:val="00377621"/>
    <w:rsid w:val="00377724"/>
    <w:rsid w:val="0038068F"/>
    <w:rsid w:val="00380803"/>
    <w:rsid w:val="00380854"/>
    <w:rsid w:val="00380943"/>
    <w:rsid w:val="00380F78"/>
    <w:rsid w:val="0038121B"/>
    <w:rsid w:val="003813B3"/>
    <w:rsid w:val="00381A9F"/>
    <w:rsid w:val="00381CF7"/>
    <w:rsid w:val="00381FB6"/>
    <w:rsid w:val="003825F6"/>
    <w:rsid w:val="0038284A"/>
    <w:rsid w:val="00382AA4"/>
    <w:rsid w:val="00382DCD"/>
    <w:rsid w:val="0038340C"/>
    <w:rsid w:val="00383629"/>
    <w:rsid w:val="00383635"/>
    <w:rsid w:val="00383897"/>
    <w:rsid w:val="003841A5"/>
    <w:rsid w:val="0038423E"/>
    <w:rsid w:val="0038426B"/>
    <w:rsid w:val="00384B46"/>
    <w:rsid w:val="00384D7C"/>
    <w:rsid w:val="00384DDD"/>
    <w:rsid w:val="00384ECF"/>
    <w:rsid w:val="00384F01"/>
    <w:rsid w:val="0038505C"/>
    <w:rsid w:val="003850DE"/>
    <w:rsid w:val="00385AED"/>
    <w:rsid w:val="00385B01"/>
    <w:rsid w:val="00385E43"/>
    <w:rsid w:val="00386174"/>
    <w:rsid w:val="003861C2"/>
    <w:rsid w:val="0038684F"/>
    <w:rsid w:val="00386978"/>
    <w:rsid w:val="00386A58"/>
    <w:rsid w:val="003876BB"/>
    <w:rsid w:val="00387759"/>
    <w:rsid w:val="00387A2F"/>
    <w:rsid w:val="003901E7"/>
    <w:rsid w:val="003902D5"/>
    <w:rsid w:val="003908E6"/>
    <w:rsid w:val="00390C25"/>
    <w:rsid w:val="00390E2C"/>
    <w:rsid w:val="0039112C"/>
    <w:rsid w:val="00391294"/>
    <w:rsid w:val="00391919"/>
    <w:rsid w:val="00392B25"/>
    <w:rsid w:val="00392B31"/>
    <w:rsid w:val="00392CF4"/>
    <w:rsid w:val="00392E90"/>
    <w:rsid w:val="00393656"/>
    <w:rsid w:val="00393936"/>
    <w:rsid w:val="00393D14"/>
    <w:rsid w:val="00393F9C"/>
    <w:rsid w:val="00394DAB"/>
    <w:rsid w:val="00395693"/>
    <w:rsid w:val="0039569B"/>
    <w:rsid w:val="003957E5"/>
    <w:rsid w:val="00395C26"/>
    <w:rsid w:val="00395C51"/>
    <w:rsid w:val="00396348"/>
    <w:rsid w:val="0039648D"/>
    <w:rsid w:val="00396B4C"/>
    <w:rsid w:val="00397495"/>
    <w:rsid w:val="00397E5C"/>
    <w:rsid w:val="00397FA1"/>
    <w:rsid w:val="003A000D"/>
    <w:rsid w:val="003A024E"/>
    <w:rsid w:val="003A04D6"/>
    <w:rsid w:val="003A0A56"/>
    <w:rsid w:val="003A0EF3"/>
    <w:rsid w:val="003A1675"/>
    <w:rsid w:val="003A1799"/>
    <w:rsid w:val="003A1933"/>
    <w:rsid w:val="003A1BD5"/>
    <w:rsid w:val="003A1D0E"/>
    <w:rsid w:val="003A2C3A"/>
    <w:rsid w:val="003A31A5"/>
    <w:rsid w:val="003A34C3"/>
    <w:rsid w:val="003A34F9"/>
    <w:rsid w:val="003A3A13"/>
    <w:rsid w:val="003A40E0"/>
    <w:rsid w:val="003A4116"/>
    <w:rsid w:val="003A44C9"/>
    <w:rsid w:val="003A49B6"/>
    <w:rsid w:val="003A4A29"/>
    <w:rsid w:val="003A4A65"/>
    <w:rsid w:val="003A5428"/>
    <w:rsid w:val="003A5476"/>
    <w:rsid w:val="003A54E1"/>
    <w:rsid w:val="003A58F1"/>
    <w:rsid w:val="003A5BE3"/>
    <w:rsid w:val="003A6432"/>
    <w:rsid w:val="003A6816"/>
    <w:rsid w:val="003A6C52"/>
    <w:rsid w:val="003A6D48"/>
    <w:rsid w:val="003A6F28"/>
    <w:rsid w:val="003A7330"/>
    <w:rsid w:val="003A7B55"/>
    <w:rsid w:val="003A7C74"/>
    <w:rsid w:val="003B02ED"/>
    <w:rsid w:val="003B04BF"/>
    <w:rsid w:val="003B0E10"/>
    <w:rsid w:val="003B0E1B"/>
    <w:rsid w:val="003B160C"/>
    <w:rsid w:val="003B19DA"/>
    <w:rsid w:val="003B1EE6"/>
    <w:rsid w:val="003B2A1A"/>
    <w:rsid w:val="003B2ABF"/>
    <w:rsid w:val="003B2FE2"/>
    <w:rsid w:val="003B37BB"/>
    <w:rsid w:val="003B37F4"/>
    <w:rsid w:val="003B426F"/>
    <w:rsid w:val="003B4391"/>
    <w:rsid w:val="003B478D"/>
    <w:rsid w:val="003B4D23"/>
    <w:rsid w:val="003B4D64"/>
    <w:rsid w:val="003B56CC"/>
    <w:rsid w:val="003B58E8"/>
    <w:rsid w:val="003B5B5C"/>
    <w:rsid w:val="003B5E8A"/>
    <w:rsid w:val="003B5EB9"/>
    <w:rsid w:val="003B69B9"/>
    <w:rsid w:val="003B701D"/>
    <w:rsid w:val="003B71C6"/>
    <w:rsid w:val="003B75DB"/>
    <w:rsid w:val="003B76B5"/>
    <w:rsid w:val="003B78A9"/>
    <w:rsid w:val="003B79CD"/>
    <w:rsid w:val="003B7BC0"/>
    <w:rsid w:val="003B7C44"/>
    <w:rsid w:val="003C0023"/>
    <w:rsid w:val="003C0628"/>
    <w:rsid w:val="003C0C4E"/>
    <w:rsid w:val="003C0D46"/>
    <w:rsid w:val="003C0D93"/>
    <w:rsid w:val="003C0E09"/>
    <w:rsid w:val="003C0EC3"/>
    <w:rsid w:val="003C0FC3"/>
    <w:rsid w:val="003C1391"/>
    <w:rsid w:val="003C1865"/>
    <w:rsid w:val="003C189F"/>
    <w:rsid w:val="003C1BE6"/>
    <w:rsid w:val="003C2074"/>
    <w:rsid w:val="003C251D"/>
    <w:rsid w:val="003C2644"/>
    <w:rsid w:val="003C2DA0"/>
    <w:rsid w:val="003C306C"/>
    <w:rsid w:val="003C3110"/>
    <w:rsid w:val="003C3338"/>
    <w:rsid w:val="003C363F"/>
    <w:rsid w:val="003C365B"/>
    <w:rsid w:val="003C3AA3"/>
    <w:rsid w:val="003C3B36"/>
    <w:rsid w:val="003C3C22"/>
    <w:rsid w:val="003C4365"/>
    <w:rsid w:val="003C469E"/>
    <w:rsid w:val="003C46AA"/>
    <w:rsid w:val="003C47A3"/>
    <w:rsid w:val="003C47A7"/>
    <w:rsid w:val="003C4B50"/>
    <w:rsid w:val="003C4DBC"/>
    <w:rsid w:val="003C5182"/>
    <w:rsid w:val="003C5A80"/>
    <w:rsid w:val="003C678A"/>
    <w:rsid w:val="003C67C3"/>
    <w:rsid w:val="003C71D6"/>
    <w:rsid w:val="003C71FB"/>
    <w:rsid w:val="003C73B0"/>
    <w:rsid w:val="003C7710"/>
    <w:rsid w:val="003C77A6"/>
    <w:rsid w:val="003C7DA0"/>
    <w:rsid w:val="003D0350"/>
    <w:rsid w:val="003D06EA"/>
    <w:rsid w:val="003D0915"/>
    <w:rsid w:val="003D0E02"/>
    <w:rsid w:val="003D0E7E"/>
    <w:rsid w:val="003D1485"/>
    <w:rsid w:val="003D197D"/>
    <w:rsid w:val="003D1E7A"/>
    <w:rsid w:val="003D1F4F"/>
    <w:rsid w:val="003D1FCE"/>
    <w:rsid w:val="003D2139"/>
    <w:rsid w:val="003D21FF"/>
    <w:rsid w:val="003D2320"/>
    <w:rsid w:val="003D3A5F"/>
    <w:rsid w:val="003D4495"/>
    <w:rsid w:val="003D4ABC"/>
    <w:rsid w:val="003D4DBD"/>
    <w:rsid w:val="003D4EA0"/>
    <w:rsid w:val="003D4F4E"/>
    <w:rsid w:val="003D54EF"/>
    <w:rsid w:val="003D5597"/>
    <w:rsid w:val="003D559E"/>
    <w:rsid w:val="003D5932"/>
    <w:rsid w:val="003D6035"/>
    <w:rsid w:val="003D6080"/>
    <w:rsid w:val="003D6BD4"/>
    <w:rsid w:val="003D6C9C"/>
    <w:rsid w:val="003D74C2"/>
    <w:rsid w:val="003D7B0B"/>
    <w:rsid w:val="003D7E01"/>
    <w:rsid w:val="003E0457"/>
    <w:rsid w:val="003E06A1"/>
    <w:rsid w:val="003E0F09"/>
    <w:rsid w:val="003E132C"/>
    <w:rsid w:val="003E1DAE"/>
    <w:rsid w:val="003E218B"/>
    <w:rsid w:val="003E218F"/>
    <w:rsid w:val="003E2812"/>
    <w:rsid w:val="003E2969"/>
    <w:rsid w:val="003E2A74"/>
    <w:rsid w:val="003E2CC9"/>
    <w:rsid w:val="003E30BA"/>
    <w:rsid w:val="003E3A4D"/>
    <w:rsid w:val="003E4175"/>
    <w:rsid w:val="003E4598"/>
    <w:rsid w:val="003E4931"/>
    <w:rsid w:val="003E49C4"/>
    <w:rsid w:val="003E4A32"/>
    <w:rsid w:val="003E5342"/>
    <w:rsid w:val="003E56DB"/>
    <w:rsid w:val="003E64D3"/>
    <w:rsid w:val="003E6517"/>
    <w:rsid w:val="003E6A7A"/>
    <w:rsid w:val="003E6D56"/>
    <w:rsid w:val="003E6F2C"/>
    <w:rsid w:val="003E73B5"/>
    <w:rsid w:val="003E7F89"/>
    <w:rsid w:val="003F0396"/>
    <w:rsid w:val="003F0664"/>
    <w:rsid w:val="003F0737"/>
    <w:rsid w:val="003F0A17"/>
    <w:rsid w:val="003F0B61"/>
    <w:rsid w:val="003F1240"/>
    <w:rsid w:val="003F1873"/>
    <w:rsid w:val="003F2147"/>
    <w:rsid w:val="003F282E"/>
    <w:rsid w:val="003F290C"/>
    <w:rsid w:val="003F2923"/>
    <w:rsid w:val="003F30F4"/>
    <w:rsid w:val="003F32C4"/>
    <w:rsid w:val="003F3315"/>
    <w:rsid w:val="003F361E"/>
    <w:rsid w:val="003F3765"/>
    <w:rsid w:val="003F394E"/>
    <w:rsid w:val="003F4AF2"/>
    <w:rsid w:val="003F4BFF"/>
    <w:rsid w:val="003F4D5A"/>
    <w:rsid w:val="003F4DB7"/>
    <w:rsid w:val="003F4F9C"/>
    <w:rsid w:val="003F5498"/>
    <w:rsid w:val="003F591D"/>
    <w:rsid w:val="003F6162"/>
    <w:rsid w:val="003F6504"/>
    <w:rsid w:val="003F6531"/>
    <w:rsid w:val="003F665E"/>
    <w:rsid w:val="003F6D34"/>
    <w:rsid w:val="003F6DB9"/>
    <w:rsid w:val="003F6DEE"/>
    <w:rsid w:val="003F6EF6"/>
    <w:rsid w:val="003F75CC"/>
    <w:rsid w:val="003F7640"/>
    <w:rsid w:val="003F7E79"/>
    <w:rsid w:val="003F7F3F"/>
    <w:rsid w:val="004009A0"/>
    <w:rsid w:val="00400AFE"/>
    <w:rsid w:val="00400CFC"/>
    <w:rsid w:val="00400F0E"/>
    <w:rsid w:val="00400F79"/>
    <w:rsid w:val="00400FDB"/>
    <w:rsid w:val="00401210"/>
    <w:rsid w:val="00401E76"/>
    <w:rsid w:val="00402254"/>
    <w:rsid w:val="004024DC"/>
    <w:rsid w:val="00402756"/>
    <w:rsid w:val="0040288E"/>
    <w:rsid w:val="004028CE"/>
    <w:rsid w:val="00402B9E"/>
    <w:rsid w:val="00402EF8"/>
    <w:rsid w:val="00403D76"/>
    <w:rsid w:val="00403E78"/>
    <w:rsid w:val="00403F94"/>
    <w:rsid w:val="004041FB"/>
    <w:rsid w:val="0040429C"/>
    <w:rsid w:val="00404708"/>
    <w:rsid w:val="00404B5A"/>
    <w:rsid w:val="00405078"/>
    <w:rsid w:val="0040562D"/>
    <w:rsid w:val="0040593C"/>
    <w:rsid w:val="00405CCC"/>
    <w:rsid w:val="00405DCC"/>
    <w:rsid w:val="00406356"/>
    <w:rsid w:val="00406443"/>
    <w:rsid w:val="00406555"/>
    <w:rsid w:val="004065EA"/>
    <w:rsid w:val="00406661"/>
    <w:rsid w:val="004067B5"/>
    <w:rsid w:val="00406DEC"/>
    <w:rsid w:val="00406F8F"/>
    <w:rsid w:val="0040704A"/>
    <w:rsid w:val="0040714F"/>
    <w:rsid w:val="004071B6"/>
    <w:rsid w:val="0040736A"/>
    <w:rsid w:val="00410632"/>
    <w:rsid w:val="00410B0A"/>
    <w:rsid w:val="0041154C"/>
    <w:rsid w:val="0041216F"/>
    <w:rsid w:val="004127EE"/>
    <w:rsid w:val="00412A7D"/>
    <w:rsid w:val="00412E86"/>
    <w:rsid w:val="00412F63"/>
    <w:rsid w:val="00413028"/>
    <w:rsid w:val="004134CF"/>
    <w:rsid w:val="00413A04"/>
    <w:rsid w:val="00413C2E"/>
    <w:rsid w:val="00413F67"/>
    <w:rsid w:val="004140B8"/>
    <w:rsid w:val="0041418E"/>
    <w:rsid w:val="004145E0"/>
    <w:rsid w:val="004148FA"/>
    <w:rsid w:val="00414F60"/>
    <w:rsid w:val="00415025"/>
    <w:rsid w:val="004152DE"/>
    <w:rsid w:val="0041530D"/>
    <w:rsid w:val="00415C99"/>
    <w:rsid w:val="00415CD8"/>
    <w:rsid w:val="00416481"/>
    <w:rsid w:val="00416A6F"/>
    <w:rsid w:val="00416D06"/>
    <w:rsid w:val="00416DE8"/>
    <w:rsid w:val="00417307"/>
    <w:rsid w:val="0041772A"/>
    <w:rsid w:val="004201D2"/>
    <w:rsid w:val="004202CB"/>
    <w:rsid w:val="004203C3"/>
    <w:rsid w:val="0042040E"/>
    <w:rsid w:val="00420B3E"/>
    <w:rsid w:val="00421153"/>
    <w:rsid w:val="00421600"/>
    <w:rsid w:val="00421853"/>
    <w:rsid w:val="00421EED"/>
    <w:rsid w:val="00421EFF"/>
    <w:rsid w:val="004220A2"/>
    <w:rsid w:val="004225C7"/>
    <w:rsid w:val="004227A6"/>
    <w:rsid w:val="00422B1A"/>
    <w:rsid w:val="00422BC7"/>
    <w:rsid w:val="00423017"/>
    <w:rsid w:val="004236FC"/>
    <w:rsid w:val="00423F9B"/>
    <w:rsid w:val="00423FE8"/>
    <w:rsid w:val="00424A1C"/>
    <w:rsid w:val="00424AAA"/>
    <w:rsid w:val="004256F7"/>
    <w:rsid w:val="004257D6"/>
    <w:rsid w:val="00425A55"/>
    <w:rsid w:val="00426331"/>
    <w:rsid w:val="004270B5"/>
    <w:rsid w:val="004274C1"/>
    <w:rsid w:val="00427717"/>
    <w:rsid w:val="00427792"/>
    <w:rsid w:val="00430E92"/>
    <w:rsid w:val="004314A6"/>
    <w:rsid w:val="00432046"/>
    <w:rsid w:val="004321DB"/>
    <w:rsid w:val="004325DD"/>
    <w:rsid w:val="0043265D"/>
    <w:rsid w:val="004329B8"/>
    <w:rsid w:val="00432B30"/>
    <w:rsid w:val="004336ED"/>
    <w:rsid w:val="00434005"/>
    <w:rsid w:val="004345D7"/>
    <w:rsid w:val="00434CD5"/>
    <w:rsid w:val="00434CD6"/>
    <w:rsid w:val="00435996"/>
    <w:rsid w:val="004364C8"/>
    <w:rsid w:val="00437836"/>
    <w:rsid w:val="00437BDC"/>
    <w:rsid w:val="00440055"/>
    <w:rsid w:val="0044032E"/>
    <w:rsid w:val="004405D3"/>
    <w:rsid w:val="00440727"/>
    <w:rsid w:val="00440EDE"/>
    <w:rsid w:val="0044172A"/>
    <w:rsid w:val="00441B2B"/>
    <w:rsid w:val="00441DDF"/>
    <w:rsid w:val="004423F8"/>
    <w:rsid w:val="0044242C"/>
    <w:rsid w:val="00442511"/>
    <w:rsid w:val="00442A36"/>
    <w:rsid w:val="00442C15"/>
    <w:rsid w:val="00442DBD"/>
    <w:rsid w:val="00442E2E"/>
    <w:rsid w:val="004434EE"/>
    <w:rsid w:val="0044352C"/>
    <w:rsid w:val="00443AAD"/>
    <w:rsid w:val="00443E17"/>
    <w:rsid w:val="00444907"/>
    <w:rsid w:val="00445532"/>
    <w:rsid w:val="00445CD0"/>
    <w:rsid w:val="00446263"/>
    <w:rsid w:val="00446953"/>
    <w:rsid w:val="00446A71"/>
    <w:rsid w:val="00446C03"/>
    <w:rsid w:val="00446C6A"/>
    <w:rsid w:val="00446CBB"/>
    <w:rsid w:val="00446D3D"/>
    <w:rsid w:val="00446D8E"/>
    <w:rsid w:val="00447135"/>
    <w:rsid w:val="00447562"/>
    <w:rsid w:val="00447B6D"/>
    <w:rsid w:val="004500E5"/>
    <w:rsid w:val="00450186"/>
    <w:rsid w:val="00450CB9"/>
    <w:rsid w:val="004523ED"/>
    <w:rsid w:val="00452421"/>
    <w:rsid w:val="0045344E"/>
    <w:rsid w:val="00453701"/>
    <w:rsid w:val="0045425F"/>
    <w:rsid w:val="004543FC"/>
    <w:rsid w:val="00454504"/>
    <w:rsid w:val="004547A6"/>
    <w:rsid w:val="004547E0"/>
    <w:rsid w:val="0045482E"/>
    <w:rsid w:val="00454851"/>
    <w:rsid w:val="00454975"/>
    <w:rsid w:val="00454EBD"/>
    <w:rsid w:val="004551DB"/>
    <w:rsid w:val="0045535A"/>
    <w:rsid w:val="0045538E"/>
    <w:rsid w:val="00455536"/>
    <w:rsid w:val="00455C48"/>
    <w:rsid w:val="00455F0E"/>
    <w:rsid w:val="004564C0"/>
    <w:rsid w:val="0045664F"/>
    <w:rsid w:val="0045666C"/>
    <w:rsid w:val="00456709"/>
    <w:rsid w:val="0045693D"/>
    <w:rsid w:val="004569B4"/>
    <w:rsid w:val="00456AD1"/>
    <w:rsid w:val="00456B7C"/>
    <w:rsid w:val="0045732B"/>
    <w:rsid w:val="004574F7"/>
    <w:rsid w:val="00457A1A"/>
    <w:rsid w:val="00457BB9"/>
    <w:rsid w:val="004609A1"/>
    <w:rsid w:val="004609E8"/>
    <w:rsid w:val="00460A59"/>
    <w:rsid w:val="00460F85"/>
    <w:rsid w:val="0046106D"/>
    <w:rsid w:val="00461099"/>
    <w:rsid w:val="004612BD"/>
    <w:rsid w:val="00461355"/>
    <w:rsid w:val="00461802"/>
    <w:rsid w:val="004618A4"/>
    <w:rsid w:val="00462119"/>
    <w:rsid w:val="00462BAC"/>
    <w:rsid w:val="00462E41"/>
    <w:rsid w:val="0046376E"/>
    <w:rsid w:val="004637E2"/>
    <w:rsid w:val="00463817"/>
    <w:rsid w:val="00463CE1"/>
    <w:rsid w:val="00463D59"/>
    <w:rsid w:val="00463F50"/>
    <w:rsid w:val="0046404D"/>
    <w:rsid w:val="004641D2"/>
    <w:rsid w:val="00464509"/>
    <w:rsid w:val="00464C5A"/>
    <w:rsid w:val="00464FD1"/>
    <w:rsid w:val="004655BE"/>
    <w:rsid w:val="00465756"/>
    <w:rsid w:val="00465979"/>
    <w:rsid w:val="00466B8C"/>
    <w:rsid w:val="00466B99"/>
    <w:rsid w:val="00466CE5"/>
    <w:rsid w:val="00466FDA"/>
    <w:rsid w:val="00467227"/>
    <w:rsid w:val="00467DD1"/>
    <w:rsid w:val="00470570"/>
    <w:rsid w:val="004706E9"/>
    <w:rsid w:val="0047080D"/>
    <w:rsid w:val="004716EF"/>
    <w:rsid w:val="004718C8"/>
    <w:rsid w:val="00471A5C"/>
    <w:rsid w:val="00471B33"/>
    <w:rsid w:val="00471FCA"/>
    <w:rsid w:val="0047213C"/>
    <w:rsid w:val="0047263C"/>
    <w:rsid w:val="004730F7"/>
    <w:rsid w:val="00473182"/>
    <w:rsid w:val="00473480"/>
    <w:rsid w:val="00473594"/>
    <w:rsid w:val="004737D5"/>
    <w:rsid w:val="004738FE"/>
    <w:rsid w:val="00473C67"/>
    <w:rsid w:val="00473E98"/>
    <w:rsid w:val="00473FA6"/>
    <w:rsid w:val="0047407F"/>
    <w:rsid w:val="0047430A"/>
    <w:rsid w:val="00474508"/>
    <w:rsid w:val="004747D4"/>
    <w:rsid w:val="00474960"/>
    <w:rsid w:val="0047499B"/>
    <w:rsid w:val="0047541C"/>
    <w:rsid w:val="00475723"/>
    <w:rsid w:val="00475757"/>
    <w:rsid w:val="00475880"/>
    <w:rsid w:val="004759A0"/>
    <w:rsid w:val="004766D7"/>
    <w:rsid w:val="00476FE1"/>
    <w:rsid w:val="00477219"/>
    <w:rsid w:val="00480009"/>
    <w:rsid w:val="0048014A"/>
    <w:rsid w:val="0048078B"/>
    <w:rsid w:val="004811FF"/>
    <w:rsid w:val="00481C14"/>
    <w:rsid w:val="00481E7A"/>
    <w:rsid w:val="00482344"/>
    <w:rsid w:val="00482702"/>
    <w:rsid w:val="00482BFC"/>
    <w:rsid w:val="00482E9A"/>
    <w:rsid w:val="004831B9"/>
    <w:rsid w:val="004836A5"/>
    <w:rsid w:val="00483F9C"/>
    <w:rsid w:val="0048488C"/>
    <w:rsid w:val="00484BDE"/>
    <w:rsid w:val="00484DC2"/>
    <w:rsid w:val="004851A0"/>
    <w:rsid w:val="004855A1"/>
    <w:rsid w:val="00485A04"/>
    <w:rsid w:val="00485B37"/>
    <w:rsid w:val="00486612"/>
    <w:rsid w:val="00486B77"/>
    <w:rsid w:val="00487178"/>
    <w:rsid w:val="004876E8"/>
    <w:rsid w:val="00487A87"/>
    <w:rsid w:val="0049027C"/>
    <w:rsid w:val="00490C33"/>
    <w:rsid w:val="00491574"/>
    <w:rsid w:val="00491F0E"/>
    <w:rsid w:val="00491F26"/>
    <w:rsid w:val="00492CB0"/>
    <w:rsid w:val="00492F5B"/>
    <w:rsid w:val="00493248"/>
    <w:rsid w:val="004933C7"/>
    <w:rsid w:val="004939B6"/>
    <w:rsid w:val="00493C3E"/>
    <w:rsid w:val="00493C71"/>
    <w:rsid w:val="00493F67"/>
    <w:rsid w:val="00494D02"/>
    <w:rsid w:val="004958BE"/>
    <w:rsid w:val="00495E5D"/>
    <w:rsid w:val="0049616F"/>
    <w:rsid w:val="00496298"/>
    <w:rsid w:val="004963F2"/>
    <w:rsid w:val="004965AF"/>
    <w:rsid w:val="0049693E"/>
    <w:rsid w:val="00496989"/>
    <w:rsid w:val="00497205"/>
    <w:rsid w:val="004A0202"/>
    <w:rsid w:val="004A03F5"/>
    <w:rsid w:val="004A05B3"/>
    <w:rsid w:val="004A0AF6"/>
    <w:rsid w:val="004A0BC9"/>
    <w:rsid w:val="004A115B"/>
    <w:rsid w:val="004A14D1"/>
    <w:rsid w:val="004A150E"/>
    <w:rsid w:val="004A2228"/>
    <w:rsid w:val="004A2A0C"/>
    <w:rsid w:val="004A2A57"/>
    <w:rsid w:val="004A2B1B"/>
    <w:rsid w:val="004A2F11"/>
    <w:rsid w:val="004A3952"/>
    <w:rsid w:val="004A39BE"/>
    <w:rsid w:val="004A3C3C"/>
    <w:rsid w:val="004A3FF3"/>
    <w:rsid w:val="004A4F19"/>
    <w:rsid w:val="004A50FD"/>
    <w:rsid w:val="004A57D0"/>
    <w:rsid w:val="004A5BE4"/>
    <w:rsid w:val="004A670B"/>
    <w:rsid w:val="004A6789"/>
    <w:rsid w:val="004A6C73"/>
    <w:rsid w:val="004A79E6"/>
    <w:rsid w:val="004A7E40"/>
    <w:rsid w:val="004A7FCB"/>
    <w:rsid w:val="004B0B68"/>
    <w:rsid w:val="004B0D12"/>
    <w:rsid w:val="004B0F18"/>
    <w:rsid w:val="004B1650"/>
    <w:rsid w:val="004B1E17"/>
    <w:rsid w:val="004B1EEF"/>
    <w:rsid w:val="004B233E"/>
    <w:rsid w:val="004B2530"/>
    <w:rsid w:val="004B2899"/>
    <w:rsid w:val="004B2D4D"/>
    <w:rsid w:val="004B32EC"/>
    <w:rsid w:val="004B33B8"/>
    <w:rsid w:val="004B34AE"/>
    <w:rsid w:val="004B34C1"/>
    <w:rsid w:val="004B355A"/>
    <w:rsid w:val="004B366D"/>
    <w:rsid w:val="004B3AF8"/>
    <w:rsid w:val="004B3BFE"/>
    <w:rsid w:val="004B4403"/>
    <w:rsid w:val="004B54D6"/>
    <w:rsid w:val="004B54E6"/>
    <w:rsid w:val="004B553A"/>
    <w:rsid w:val="004B5E0C"/>
    <w:rsid w:val="004B5E7C"/>
    <w:rsid w:val="004B5F4D"/>
    <w:rsid w:val="004B5FE0"/>
    <w:rsid w:val="004B60C9"/>
    <w:rsid w:val="004B619C"/>
    <w:rsid w:val="004B6ADA"/>
    <w:rsid w:val="004B6DB5"/>
    <w:rsid w:val="004B765F"/>
    <w:rsid w:val="004B787E"/>
    <w:rsid w:val="004B78A3"/>
    <w:rsid w:val="004B7A64"/>
    <w:rsid w:val="004C0069"/>
    <w:rsid w:val="004C0140"/>
    <w:rsid w:val="004C024E"/>
    <w:rsid w:val="004C0B28"/>
    <w:rsid w:val="004C0C78"/>
    <w:rsid w:val="004C1402"/>
    <w:rsid w:val="004C1597"/>
    <w:rsid w:val="004C16DC"/>
    <w:rsid w:val="004C17BB"/>
    <w:rsid w:val="004C197D"/>
    <w:rsid w:val="004C2576"/>
    <w:rsid w:val="004C2644"/>
    <w:rsid w:val="004C29A9"/>
    <w:rsid w:val="004C2CFC"/>
    <w:rsid w:val="004C3006"/>
    <w:rsid w:val="004C30B4"/>
    <w:rsid w:val="004C30E1"/>
    <w:rsid w:val="004C3115"/>
    <w:rsid w:val="004C33A2"/>
    <w:rsid w:val="004C34C9"/>
    <w:rsid w:val="004C3505"/>
    <w:rsid w:val="004C3818"/>
    <w:rsid w:val="004C381C"/>
    <w:rsid w:val="004C38AA"/>
    <w:rsid w:val="004C3BDE"/>
    <w:rsid w:val="004C416A"/>
    <w:rsid w:val="004C4255"/>
    <w:rsid w:val="004C4C50"/>
    <w:rsid w:val="004C5AEC"/>
    <w:rsid w:val="004C5BF5"/>
    <w:rsid w:val="004C5CA6"/>
    <w:rsid w:val="004C5F44"/>
    <w:rsid w:val="004C6053"/>
    <w:rsid w:val="004C61FF"/>
    <w:rsid w:val="004C63CD"/>
    <w:rsid w:val="004C6733"/>
    <w:rsid w:val="004C67D4"/>
    <w:rsid w:val="004C6CAE"/>
    <w:rsid w:val="004C6EAB"/>
    <w:rsid w:val="004C72FA"/>
    <w:rsid w:val="004D04DE"/>
    <w:rsid w:val="004D0763"/>
    <w:rsid w:val="004D0849"/>
    <w:rsid w:val="004D08B1"/>
    <w:rsid w:val="004D091B"/>
    <w:rsid w:val="004D1403"/>
    <w:rsid w:val="004D14D3"/>
    <w:rsid w:val="004D1F70"/>
    <w:rsid w:val="004D21A0"/>
    <w:rsid w:val="004D289A"/>
    <w:rsid w:val="004D2B67"/>
    <w:rsid w:val="004D338A"/>
    <w:rsid w:val="004D38E1"/>
    <w:rsid w:val="004D3B43"/>
    <w:rsid w:val="004D3C94"/>
    <w:rsid w:val="004D3E3B"/>
    <w:rsid w:val="004D4C1A"/>
    <w:rsid w:val="004D543D"/>
    <w:rsid w:val="004D54BA"/>
    <w:rsid w:val="004D5DF7"/>
    <w:rsid w:val="004D5EC8"/>
    <w:rsid w:val="004D5FAB"/>
    <w:rsid w:val="004D6305"/>
    <w:rsid w:val="004D6431"/>
    <w:rsid w:val="004D66E8"/>
    <w:rsid w:val="004D67CB"/>
    <w:rsid w:val="004D68A1"/>
    <w:rsid w:val="004D6C13"/>
    <w:rsid w:val="004D710F"/>
    <w:rsid w:val="004D77C2"/>
    <w:rsid w:val="004D7986"/>
    <w:rsid w:val="004D7E36"/>
    <w:rsid w:val="004E08F4"/>
    <w:rsid w:val="004E094D"/>
    <w:rsid w:val="004E0C07"/>
    <w:rsid w:val="004E0D6E"/>
    <w:rsid w:val="004E111A"/>
    <w:rsid w:val="004E1271"/>
    <w:rsid w:val="004E1CC2"/>
    <w:rsid w:val="004E1EE5"/>
    <w:rsid w:val="004E2038"/>
    <w:rsid w:val="004E2166"/>
    <w:rsid w:val="004E2471"/>
    <w:rsid w:val="004E30AC"/>
    <w:rsid w:val="004E3305"/>
    <w:rsid w:val="004E337F"/>
    <w:rsid w:val="004E354C"/>
    <w:rsid w:val="004E3878"/>
    <w:rsid w:val="004E39D4"/>
    <w:rsid w:val="004E3A70"/>
    <w:rsid w:val="004E4006"/>
    <w:rsid w:val="004E4344"/>
    <w:rsid w:val="004E4689"/>
    <w:rsid w:val="004E4CC9"/>
    <w:rsid w:val="004E4D03"/>
    <w:rsid w:val="004E4D5D"/>
    <w:rsid w:val="004E4D65"/>
    <w:rsid w:val="004E5485"/>
    <w:rsid w:val="004E5612"/>
    <w:rsid w:val="004E591B"/>
    <w:rsid w:val="004E5A85"/>
    <w:rsid w:val="004E5DCF"/>
    <w:rsid w:val="004E5EB6"/>
    <w:rsid w:val="004E60C4"/>
    <w:rsid w:val="004E649B"/>
    <w:rsid w:val="004E66F0"/>
    <w:rsid w:val="004E692A"/>
    <w:rsid w:val="004E6D31"/>
    <w:rsid w:val="004E6DFC"/>
    <w:rsid w:val="004E700F"/>
    <w:rsid w:val="004E7A08"/>
    <w:rsid w:val="004F0BD9"/>
    <w:rsid w:val="004F12F9"/>
    <w:rsid w:val="004F248C"/>
    <w:rsid w:val="004F24C0"/>
    <w:rsid w:val="004F2DCB"/>
    <w:rsid w:val="004F33FC"/>
    <w:rsid w:val="004F34F2"/>
    <w:rsid w:val="004F3D69"/>
    <w:rsid w:val="004F400C"/>
    <w:rsid w:val="004F45BC"/>
    <w:rsid w:val="004F4B39"/>
    <w:rsid w:val="004F5494"/>
    <w:rsid w:val="004F5A17"/>
    <w:rsid w:val="004F6097"/>
    <w:rsid w:val="004F689D"/>
    <w:rsid w:val="004F6AD9"/>
    <w:rsid w:val="004F6C36"/>
    <w:rsid w:val="004F7680"/>
    <w:rsid w:val="004F77AC"/>
    <w:rsid w:val="004F78F8"/>
    <w:rsid w:val="004F7F3E"/>
    <w:rsid w:val="0050027B"/>
    <w:rsid w:val="0050059C"/>
    <w:rsid w:val="005007B4"/>
    <w:rsid w:val="00500A0B"/>
    <w:rsid w:val="00500B7F"/>
    <w:rsid w:val="0050164C"/>
    <w:rsid w:val="00501A56"/>
    <w:rsid w:val="00501B9C"/>
    <w:rsid w:val="00502434"/>
    <w:rsid w:val="005024D2"/>
    <w:rsid w:val="0050283B"/>
    <w:rsid w:val="00502E1D"/>
    <w:rsid w:val="00502E7D"/>
    <w:rsid w:val="0050322B"/>
    <w:rsid w:val="005032DE"/>
    <w:rsid w:val="00503692"/>
    <w:rsid w:val="00503E5C"/>
    <w:rsid w:val="00503FF2"/>
    <w:rsid w:val="0050471D"/>
    <w:rsid w:val="00504A29"/>
    <w:rsid w:val="0050514D"/>
    <w:rsid w:val="00505725"/>
    <w:rsid w:val="00505787"/>
    <w:rsid w:val="005063CC"/>
    <w:rsid w:val="005063F6"/>
    <w:rsid w:val="005064DA"/>
    <w:rsid w:val="00506EEC"/>
    <w:rsid w:val="00507C14"/>
    <w:rsid w:val="0051102C"/>
    <w:rsid w:val="005112F9"/>
    <w:rsid w:val="00511CA0"/>
    <w:rsid w:val="0051228B"/>
    <w:rsid w:val="00512414"/>
    <w:rsid w:val="00512864"/>
    <w:rsid w:val="00512E1D"/>
    <w:rsid w:val="005133C2"/>
    <w:rsid w:val="005133D5"/>
    <w:rsid w:val="00513402"/>
    <w:rsid w:val="0051373D"/>
    <w:rsid w:val="00513A70"/>
    <w:rsid w:val="00513ED1"/>
    <w:rsid w:val="00514111"/>
    <w:rsid w:val="0051478C"/>
    <w:rsid w:val="00514CB4"/>
    <w:rsid w:val="00514F63"/>
    <w:rsid w:val="005151C8"/>
    <w:rsid w:val="00515981"/>
    <w:rsid w:val="00515AE6"/>
    <w:rsid w:val="00515B87"/>
    <w:rsid w:val="00515C69"/>
    <w:rsid w:val="00516323"/>
    <w:rsid w:val="00516659"/>
    <w:rsid w:val="005167B3"/>
    <w:rsid w:val="00516DCF"/>
    <w:rsid w:val="00517368"/>
    <w:rsid w:val="00517913"/>
    <w:rsid w:val="00517C83"/>
    <w:rsid w:val="00517D3B"/>
    <w:rsid w:val="00520156"/>
    <w:rsid w:val="00520264"/>
    <w:rsid w:val="005202F3"/>
    <w:rsid w:val="00520499"/>
    <w:rsid w:val="0052094F"/>
    <w:rsid w:val="00520BD4"/>
    <w:rsid w:val="00520FCF"/>
    <w:rsid w:val="00521A4F"/>
    <w:rsid w:val="0052210E"/>
    <w:rsid w:val="005223D3"/>
    <w:rsid w:val="00522873"/>
    <w:rsid w:val="0052289E"/>
    <w:rsid w:val="0052333F"/>
    <w:rsid w:val="00523958"/>
    <w:rsid w:val="00523DE0"/>
    <w:rsid w:val="00524282"/>
    <w:rsid w:val="00524750"/>
    <w:rsid w:val="0052477D"/>
    <w:rsid w:val="00525497"/>
    <w:rsid w:val="00525540"/>
    <w:rsid w:val="00525575"/>
    <w:rsid w:val="00526257"/>
    <w:rsid w:val="00526916"/>
    <w:rsid w:val="00526B98"/>
    <w:rsid w:val="00526F10"/>
    <w:rsid w:val="00527694"/>
    <w:rsid w:val="00527761"/>
    <w:rsid w:val="00527935"/>
    <w:rsid w:val="00527A17"/>
    <w:rsid w:val="00527E59"/>
    <w:rsid w:val="00527E79"/>
    <w:rsid w:val="00530200"/>
    <w:rsid w:val="00530509"/>
    <w:rsid w:val="00531786"/>
    <w:rsid w:val="00531A9A"/>
    <w:rsid w:val="00531BA9"/>
    <w:rsid w:val="00531F8C"/>
    <w:rsid w:val="00531F9F"/>
    <w:rsid w:val="00532136"/>
    <w:rsid w:val="00532148"/>
    <w:rsid w:val="00532741"/>
    <w:rsid w:val="0053282E"/>
    <w:rsid w:val="00532AF7"/>
    <w:rsid w:val="0053439D"/>
    <w:rsid w:val="0053466E"/>
    <w:rsid w:val="00534CDB"/>
    <w:rsid w:val="00534EEB"/>
    <w:rsid w:val="00534F51"/>
    <w:rsid w:val="00535170"/>
    <w:rsid w:val="00535D3F"/>
    <w:rsid w:val="00535EE1"/>
    <w:rsid w:val="0053661D"/>
    <w:rsid w:val="00536962"/>
    <w:rsid w:val="00536A2F"/>
    <w:rsid w:val="00536CCC"/>
    <w:rsid w:val="0053702B"/>
    <w:rsid w:val="00537694"/>
    <w:rsid w:val="00537B15"/>
    <w:rsid w:val="00537FAF"/>
    <w:rsid w:val="00540366"/>
    <w:rsid w:val="00540FD7"/>
    <w:rsid w:val="00541201"/>
    <w:rsid w:val="0054133E"/>
    <w:rsid w:val="00541A3D"/>
    <w:rsid w:val="00541D7A"/>
    <w:rsid w:val="00541D86"/>
    <w:rsid w:val="00541F3E"/>
    <w:rsid w:val="00542147"/>
    <w:rsid w:val="005426EF"/>
    <w:rsid w:val="00542B12"/>
    <w:rsid w:val="00542BC2"/>
    <w:rsid w:val="00542C75"/>
    <w:rsid w:val="00542F78"/>
    <w:rsid w:val="005435DD"/>
    <w:rsid w:val="005437B2"/>
    <w:rsid w:val="00543AE9"/>
    <w:rsid w:val="00544658"/>
    <w:rsid w:val="00545175"/>
    <w:rsid w:val="00545790"/>
    <w:rsid w:val="00545C1E"/>
    <w:rsid w:val="00546215"/>
    <w:rsid w:val="005464D3"/>
    <w:rsid w:val="0054675F"/>
    <w:rsid w:val="00546B82"/>
    <w:rsid w:val="00546B94"/>
    <w:rsid w:val="00546BE8"/>
    <w:rsid w:val="00546E32"/>
    <w:rsid w:val="00547043"/>
    <w:rsid w:val="0054758C"/>
    <w:rsid w:val="00550599"/>
    <w:rsid w:val="00550A8B"/>
    <w:rsid w:val="00550BD1"/>
    <w:rsid w:val="005510B7"/>
    <w:rsid w:val="005512DC"/>
    <w:rsid w:val="00551739"/>
    <w:rsid w:val="00551940"/>
    <w:rsid w:val="00551ACD"/>
    <w:rsid w:val="0055238A"/>
    <w:rsid w:val="00552620"/>
    <w:rsid w:val="0055262D"/>
    <w:rsid w:val="00552978"/>
    <w:rsid w:val="00552CAF"/>
    <w:rsid w:val="005531C1"/>
    <w:rsid w:val="00553CD5"/>
    <w:rsid w:val="00553D97"/>
    <w:rsid w:val="00553EAB"/>
    <w:rsid w:val="00553F71"/>
    <w:rsid w:val="00554708"/>
    <w:rsid w:val="00554B11"/>
    <w:rsid w:val="00554E38"/>
    <w:rsid w:val="00555859"/>
    <w:rsid w:val="00555A30"/>
    <w:rsid w:val="00556481"/>
    <w:rsid w:val="005564FE"/>
    <w:rsid w:val="00556C49"/>
    <w:rsid w:val="00556D4F"/>
    <w:rsid w:val="0055701F"/>
    <w:rsid w:val="0055757A"/>
    <w:rsid w:val="005578CC"/>
    <w:rsid w:val="0056007B"/>
    <w:rsid w:val="005600E9"/>
    <w:rsid w:val="00560BD0"/>
    <w:rsid w:val="00560BE4"/>
    <w:rsid w:val="00560CEF"/>
    <w:rsid w:val="00561261"/>
    <w:rsid w:val="00561625"/>
    <w:rsid w:val="005619C8"/>
    <w:rsid w:val="00561ACB"/>
    <w:rsid w:val="00562133"/>
    <w:rsid w:val="00562393"/>
    <w:rsid w:val="00562752"/>
    <w:rsid w:val="00562A5D"/>
    <w:rsid w:val="00562BC2"/>
    <w:rsid w:val="00563596"/>
    <w:rsid w:val="00563829"/>
    <w:rsid w:val="0056383D"/>
    <w:rsid w:val="00563D40"/>
    <w:rsid w:val="00563DE1"/>
    <w:rsid w:val="00564410"/>
    <w:rsid w:val="00564453"/>
    <w:rsid w:val="005645B2"/>
    <w:rsid w:val="0056497A"/>
    <w:rsid w:val="00564CC3"/>
    <w:rsid w:val="00564E8D"/>
    <w:rsid w:val="00564F11"/>
    <w:rsid w:val="00565076"/>
    <w:rsid w:val="005655E2"/>
    <w:rsid w:val="00565657"/>
    <w:rsid w:val="00565D62"/>
    <w:rsid w:val="00565ED1"/>
    <w:rsid w:val="005669E8"/>
    <w:rsid w:val="00566C63"/>
    <w:rsid w:val="005676FF"/>
    <w:rsid w:val="00567849"/>
    <w:rsid w:val="00567954"/>
    <w:rsid w:val="00570BD6"/>
    <w:rsid w:val="00570CF8"/>
    <w:rsid w:val="0057124E"/>
    <w:rsid w:val="005712AD"/>
    <w:rsid w:val="00571621"/>
    <w:rsid w:val="0057180F"/>
    <w:rsid w:val="0057199C"/>
    <w:rsid w:val="005719F4"/>
    <w:rsid w:val="00572AF6"/>
    <w:rsid w:val="00573315"/>
    <w:rsid w:val="00573496"/>
    <w:rsid w:val="00573665"/>
    <w:rsid w:val="00574329"/>
    <w:rsid w:val="005743A3"/>
    <w:rsid w:val="0057473B"/>
    <w:rsid w:val="00574FD0"/>
    <w:rsid w:val="00575306"/>
    <w:rsid w:val="0057531D"/>
    <w:rsid w:val="0057545D"/>
    <w:rsid w:val="005755AB"/>
    <w:rsid w:val="00575DCA"/>
    <w:rsid w:val="00576888"/>
    <w:rsid w:val="005769AD"/>
    <w:rsid w:val="00576E0A"/>
    <w:rsid w:val="00577154"/>
    <w:rsid w:val="005778A5"/>
    <w:rsid w:val="00580EB8"/>
    <w:rsid w:val="005815BC"/>
    <w:rsid w:val="00581876"/>
    <w:rsid w:val="00581B30"/>
    <w:rsid w:val="00582344"/>
    <w:rsid w:val="005829F6"/>
    <w:rsid w:val="00582C29"/>
    <w:rsid w:val="00582DFE"/>
    <w:rsid w:val="00582E1F"/>
    <w:rsid w:val="00582E6F"/>
    <w:rsid w:val="005846C5"/>
    <w:rsid w:val="00584762"/>
    <w:rsid w:val="005848CE"/>
    <w:rsid w:val="00584AD8"/>
    <w:rsid w:val="00584DD9"/>
    <w:rsid w:val="00585678"/>
    <w:rsid w:val="00585689"/>
    <w:rsid w:val="00585874"/>
    <w:rsid w:val="00585ACA"/>
    <w:rsid w:val="0058771C"/>
    <w:rsid w:val="00587F83"/>
    <w:rsid w:val="00590204"/>
    <w:rsid w:val="005909EC"/>
    <w:rsid w:val="005912FD"/>
    <w:rsid w:val="00591544"/>
    <w:rsid w:val="00591799"/>
    <w:rsid w:val="00591B89"/>
    <w:rsid w:val="00591C81"/>
    <w:rsid w:val="005923B5"/>
    <w:rsid w:val="00592E3B"/>
    <w:rsid w:val="005931BF"/>
    <w:rsid w:val="00593227"/>
    <w:rsid w:val="00593254"/>
    <w:rsid w:val="0059344E"/>
    <w:rsid w:val="005936A0"/>
    <w:rsid w:val="0059385A"/>
    <w:rsid w:val="00593CC6"/>
    <w:rsid w:val="0059420D"/>
    <w:rsid w:val="00594B3D"/>
    <w:rsid w:val="00594C07"/>
    <w:rsid w:val="00594D30"/>
    <w:rsid w:val="00594D68"/>
    <w:rsid w:val="00594EB4"/>
    <w:rsid w:val="0059504A"/>
    <w:rsid w:val="005950BB"/>
    <w:rsid w:val="0059541F"/>
    <w:rsid w:val="00595D52"/>
    <w:rsid w:val="00595DF2"/>
    <w:rsid w:val="00595F18"/>
    <w:rsid w:val="00595F65"/>
    <w:rsid w:val="00596092"/>
    <w:rsid w:val="005960D0"/>
    <w:rsid w:val="005960D7"/>
    <w:rsid w:val="00596519"/>
    <w:rsid w:val="00596D73"/>
    <w:rsid w:val="00596E93"/>
    <w:rsid w:val="00596EC6"/>
    <w:rsid w:val="0059720C"/>
    <w:rsid w:val="00597650"/>
    <w:rsid w:val="00597A25"/>
    <w:rsid w:val="00597CE9"/>
    <w:rsid w:val="00597E68"/>
    <w:rsid w:val="00597FD0"/>
    <w:rsid w:val="005A01E1"/>
    <w:rsid w:val="005A04C6"/>
    <w:rsid w:val="005A0878"/>
    <w:rsid w:val="005A0902"/>
    <w:rsid w:val="005A0ECA"/>
    <w:rsid w:val="005A118E"/>
    <w:rsid w:val="005A1BCC"/>
    <w:rsid w:val="005A1E29"/>
    <w:rsid w:val="005A1EF8"/>
    <w:rsid w:val="005A20C6"/>
    <w:rsid w:val="005A23FF"/>
    <w:rsid w:val="005A2641"/>
    <w:rsid w:val="005A27A5"/>
    <w:rsid w:val="005A27D7"/>
    <w:rsid w:val="005A2871"/>
    <w:rsid w:val="005A2A81"/>
    <w:rsid w:val="005A3449"/>
    <w:rsid w:val="005A345A"/>
    <w:rsid w:val="005A39A3"/>
    <w:rsid w:val="005A454A"/>
    <w:rsid w:val="005A492B"/>
    <w:rsid w:val="005A49CA"/>
    <w:rsid w:val="005A4A92"/>
    <w:rsid w:val="005A4D48"/>
    <w:rsid w:val="005A4F12"/>
    <w:rsid w:val="005A6272"/>
    <w:rsid w:val="005A641F"/>
    <w:rsid w:val="005A66F2"/>
    <w:rsid w:val="005A7097"/>
    <w:rsid w:val="005A72F0"/>
    <w:rsid w:val="005A7329"/>
    <w:rsid w:val="005A75A5"/>
    <w:rsid w:val="005A7845"/>
    <w:rsid w:val="005A7881"/>
    <w:rsid w:val="005A78B4"/>
    <w:rsid w:val="005A7A22"/>
    <w:rsid w:val="005B018C"/>
    <w:rsid w:val="005B084D"/>
    <w:rsid w:val="005B0C13"/>
    <w:rsid w:val="005B14A4"/>
    <w:rsid w:val="005B177E"/>
    <w:rsid w:val="005B1959"/>
    <w:rsid w:val="005B1E28"/>
    <w:rsid w:val="005B1F64"/>
    <w:rsid w:val="005B2144"/>
    <w:rsid w:val="005B2449"/>
    <w:rsid w:val="005B2453"/>
    <w:rsid w:val="005B26C4"/>
    <w:rsid w:val="005B2A25"/>
    <w:rsid w:val="005B2ECF"/>
    <w:rsid w:val="005B2FBD"/>
    <w:rsid w:val="005B3C62"/>
    <w:rsid w:val="005B47A1"/>
    <w:rsid w:val="005B4B98"/>
    <w:rsid w:val="005B5F35"/>
    <w:rsid w:val="005B633B"/>
    <w:rsid w:val="005B660E"/>
    <w:rsid w:val="005B674C"/>
    <w:rsid w:val="005B6B0F"/>
    <w:rsid w:val="005B7BA8"/>
    <w:rsid w:val="005B7C4A"/>
    <w:rsid w:val="005C00DD"/>
    <w:rsid w:val="005C01F0"/>
    <w:rsid w:val="005C04AA"/>
    <w:rsid w:val="005C141E"/>
    <w:rsid w:val="005C15D1"/>
    <w:rsid w:val="005C1BD1"/>
    <w:rsid w:val="005C212A"/>
    <w:rsid w:val="005C2247"/>
    <w:rsid w:val="005C229D"/>
    <w:rsid w:val="005C25CD"/>
    <w:rsid w:val="005C28FE"/>
    <w:rsid w:val="005C2A16"/>
    <w:rsid w:val="005C3D08"/>
    <w:rsid w:val="005C3FA9"/>
    <w:rsid w:val="005C40B0"/>
    <w:rsid w:val="005C4451"/>
    <w:rsid w:val="005C4559"/>
    <w:rsid w:val="005C4796"/>
    <w:rsid w:val="005C4902"/>
    <w:rsid w:val="005C4E4F"/>
    <w:rsid w:val="005C4F3D"/>
    <w:rsid w:val="005C5048"/>
    <w:rsid w:val="005C5063"/>
    <w:rsid w:val="005C5156"/>
    <w:rsid w:val="005C5174"/>
    <w:rsid w:val="005C5218"/>
    <w:rsid w:val="005C58E1"/>
    <w:rsid w:val="005C5B1F"/>
    <w:rsid w:val="005C6038"/>
    <w:rsid w:val="005C68F3"/>
    <w:rsid w:val="005C6A21"/>
    <w:rsid w:val="005C6C1E"/>
    <w:rsid w:val="005C74E0"/>
    <w:rsid w:val="005C78C8"/>
    <w:rsid w:val="005C7D9C"/>
    <w:rsid w:val="005D03CD"/>
    <w:rsid w:val="005D0C5E"/>
    <w:rsid w:val="005D0F83"/>
    <w:rsid w:val="005D15BC"/>
    <w:rsid w:val="005D2D46"/>
    <w:rsid w:val="005D2E02"/>
    <w:rsid w:val="005D3346"/>
    <w:rsid w:val="005D34C5"/>
    <w:rsid w:val="005D36B5"/>
    <w:rsid w:val="005D3EDD"/>
    <w:rsid w:val="005D4600"/>
    <w:rsid w:val="005D49C8"/>
    <w:rsid w:val="005D4B68"/>
    <w:rsid w:val="005D5307"/>
    <w:rsid w:val="005D53F9"/>
    <w:rsid w:val="005D5533"/>
    <w:rsid w:val="005D56E1"/>
    <w:rsid w:val="005D5AEA"/>
    <w:rsid w:val="005D5CAA"/>
    <w:rsid w:val="005D5FE1"/>
    <w:rsid w:val="005D60E5"/>
    <w:rsid w:val="005D6749"/>
    <w:rsid w:val="005D6817"/>
    <w:rsid w:val="005D6A29"/>
    <w:rsid w:val="005D71ED"/>
    <w:rsid w:val="005D7501"/>
    <w:rsid w:val="005D792F"/>
    <w:rsid w:val="005D79F9"/>
    <w:rsid w:val="005D7A26"/>
    <w:rsid w:val="005D7B65"/>
    <w:rsid w:val="005D7C1C"/>
    <w:rsid w:val="005D7E8A"/>
    <w:rsid w:val="005E00AE"/>
    <w:rsid w:val="005E05E9"/>
    <w:rsid w:val="005E0867"/>
    <w:rsid w:val="005E096F"/>
    <w:rsid w:val="005E0B4C"/>
    <w:rsid w:val="005E0C8C"/>
    <w:rsid w:val="005E0EEC"/>
    <w:rsid w:val="005E11BD"/>
    <w:rsid w:val="005E13ED"/>
    <w:rsid w:val="005E19D1"/>
    <w:rsid w:val="005E1C18"/>
    <w:rsid w:val="005E21B1"/>
    <w:rsid w:val="005E290D"/>
    <w:rsid w:val="005E2989"/>
    <w:rsid w:val="005E3294"/>
    <w:rsid w:val="005E3E1A"/>
    <w:rsid w:val="005E3E37"/>
    <w:rsid w:val="005E44D5"/>
    <w:rsid w:val="005E45D0"/>
    <w:rsid w:val="005E480E"/>
    <w:rsid w:val="005E4D89"/>
    <w:rsid w:val="005E4F3F"/>
    <w:rsid w:val="005E5333"/>
    <w:rsid w:val="005E5A48"/>
    <w:rsid w:val="005E5ACF"/>
    <w:rsid w:val="005E6016"/>
    <w:rsid w:val="005E640E"/>
    <w:rsid w:val="005E6E32"/>
    <w:rsid w:val="005E715E"/>
    <w:rsid w:val="005E7C24"/>
    <w:rsid w:val="005F0024"/>
    <w:rsid w:val="005F0282"/>
    <w:rsid w:val="005F02E8"/>
    <w:rsid w:val="005F0563"/>
    <w:rsid w:val="005F08CB"/>
    <w:rsid w:val="005F0968"/>
    <w:rsid w:val="005F0AAC"/>
    <w:rsid w:val="005F14D7"/>
    <w:rsid w:val="005F1C3F"/>
    <w:rsid w:val="005F1D1F"/>
    <w:rsid w:val="005F28C6"/>
    <w:rsid w:val="005F335A"/>
    <w:rsid w:val="005F363A"/>
    <w:rsid w:val="005F3685"/>
    <w:rsid w:val="005F3801"/>
    <w:rsid w:val="005F3828"/>
    <w:rsid w:val="005F3A01"/>
    <w:rsid w:val="005F3AAD"/>
    <w:rsid w:val="005F40EC"/>
    <w:rsid w:val="005F4451"/>
    <w:rsid w:val="005F4CCA"/>
    <w:rsid w:val="005F4F86"/>
    <w:rsid w:val="005F52CC"/>
    <w:rsid w:val="005F59A5"/>
    <w:rsid w:val="005F5A92"/>
    <w:rsid w:val="005F5B30"/>
    <w:rsid w:val="005F5D54"/>
    <w:rsid w:val="005F5E48"/>
    <w:rsid w:val="005F604A"/>
    <w:rsid w:val="005F608A"/>
    <w:rsid w:val="005F628F"/>
    <w:rsid w:val="005F748A"/>
    <w:rsid w:val="005F758C"/>
    <w:rsid w:val="005F75B5"/>
    <w:rsid w:val="005F77CC"/>
    <w:rsid w:val="005F7F06"/>
    <w:rsid w:val="00600F74"/>
    <w:rsid w:val="0060135C"/>
    <w:rsid w:val="00602008"/>
    <w:rsid w:val="00602059"/>
    <w:rsid w:val="0060213F"/>
    <w:rsid w:val="006022DC"/>
    <w:rsid w:val="006032B3"/>
    <w:rsid w:val="0060395B"/>
    <w:rsid w:val="006041C4"/>
    <w:rsid w:val="00604255"/>
    <w:rsid w:val="006042C4"/>
    <w:rsid w:val="0060483A"/>
    <w:rsid w:val="0060501D"/>
    <w:rsid w:val="0060533D"/>
    <w:rsid w:val="006053A2"/>
    <w:rsid w:val="00605604"/>
    <w:rsid w:val="00605959"/>
    <w:rsid w:val="00605A27"/>
    <w:rsid w:val="0060604D"/>
    <w:rsid w:val="00606082"/>
    <w:rsid w:val="00606658"/>
    <w:rsid w:val="006069BB"/>
    <w:rsid w:val="00606A7B"/>
    <w:rsid w:val="00606BBD"/>
    <w:rsid w:val="0061018A"/>
    <w:rsid w:val="006102D6"/>
    <w:rsid w:val="00610A53"/>
    <w:rsid w:val="00610C8A"/>
    <w:rsid w:val="00610E9A"/>
    <w:rsid w:val="00610FE1"/>
    <w:rsid w:val="00611172"/>
    <w:rsid w:val="00611631"/>
    <w:rsid w:val="0061181D"/>
    <w:rsid w:val="0061184B"/>
    <w:rsid w:val="00611BCC"/>
    <w:rsid w:val="00611C7B"/>
    <w:rsid w:val="00612180"/>
    <w:rsid w:val="006126AF"/>
    <w:rsid w:val="0061270B"/>
    <w:rsid w:val="0061286B"/>
    <w:rsid w:val="00613319"/>
    <w:rsid w:val="00613699"/>
    <w:rsid w:val="0061371A"/>
    <w:rsid w:val="00613730"/>
    <w:rsid w:val="00613A18"/>
    <w:rsid w:val="00613CD5"/>
    <w:rsid w:val="00613E15"/>
    <w:rsid w:val="006140FB"/>
    <w:rsid w:val="00614DF2"/>
    <w:rsid w:val="00614E29"/>
    <w:rsid w:val="00615490"/>
    <w:rsid w:val="006155DB"/>
    <w:rsid w:val="006156C4"/>
    <w:rsid w:val="0061594A"/>
    <w:rsid w:val="00615D82"/>
    <w:rsid w:val="00616254"/>
    <w:rsid w:val="0061662C"/>
    <w:rsid w:val="00616718"/>
    <w:rsid w:val="00616923"/>
    <w:rsid w:val="0061696C"/>
    <w:rsid w:val="006169C1"/>
    <w:rsid w:val="00616A21"/>
    <w:rsid w:val="00616E3C"/>
    <w:rsid w:val="0061707F"/>
    <w:rsid w:val="006176A9"/>
    <w:rsid w:val="00617817"/>
    <w:rsid w:val="006178CB"/>
    <w:rsid w:val="006179B9"/>
    <w:rsid w:val="00620913"/>
    <w:rsid w:val="006219C9"/>
    <w:rsid w:val="00621B8B"/>
    <w:rsid w:val="00621F1D"/>
    <w:rsid w:val="00622017"/>
    <w:rsid w:val="00622335"/>
    <w:rsid w:val="00622B6D"/>
    <w:rsid w:val="00622D48"/>
    <w:rsid w:val="00623151"/>
    <w:rsid w:val="00623D99"/>
    <w:rsid w:val="00623ED4"/>
    <w:rsid w:val="00624117"/>
    <w:rsid w:val="00624910"/>
    <w:rsid w:val="00625552"/>
    <w:rsid w:val="00625BD7"/>
    <w:rsid w:val="00625CBE"/>
    <w:rsid w:val="00625E68"/>
    <w:rsid w:val="00625F4C"/>
    <w:rsid w:val="0062646B"/>
    <w:rsid w:val="006265AC"/>
    <w:rsid w:val="00626F45"/>
    <w:rsid w:val="00627E2B"/>
    <w:rsid w:val="00627E5A"/>
    <w:rsid w:val="00630894"/>
    <w:rsid w:val="00630D25"/>
    <w:rsid w:val="00630D61"/>
    <w:rsid w:val="0063101A"/>
    <w:rsid w:val="00631080"/>
    <w:rsid w:val="006313AF"/>
    <w:rsid w:val="006314CE"/>
    <w:rsid w:val="006318C7"/>
    <w:rsid w:val="00631E1D"/>
    <w:rsid w:val="00631E74"/>
    <w:rsid w:val="00631F3F"/>
    <w:rsid w:val="00631F82"/>
    <w:rsid w:val="0063241C"/>
    <w:rsid w:val="0063264B"/>
    <w:rsid w:val="00632AD1"/>
    <w:rsid w:val="00632DFC"/>
    <w:rsid w:val="00633222"/>
    <w:rsid w:val="00633BC0"/>
    <w:rsid w:val="00634001"/>
    <w:rsid w:val="006342CB"/>
    <w:rsid w:val="0063450F"/>
    <w:rsid w:val="006346C9"/>
    <w:rsid w:val="00634ABF"/>
    <w:rsid w:val="006353A1"/>
    <w:rsid w:val="00635667"/>
    <w:rsid w:val="0063578D"/>
    <w:rsid w:val="00635D0E"/>
    <w:rsid w:val="006367FA"/>
    <w:rsid w:val="00636923"/>
    <w:rsid w:val="00636A99"/>
    <w:rsid w:val="00636B5B"/>
    <w:rsid w:val="00636CAB"/>
    <w:rsid w:val="00636DB9"/>
    <w:rsid w:val="00636FC4"/>
    <w:rsid w:val="00637152"/>
    <w:rsid w:val="00640001"/>
    <w:rsid w:val="00640739"/>
    <w:rsid w:val="00640DAF"/>
    <w:rsid w:val="0064151C"/>
    <w:rsid w:val="006417A4"/>
    <w:rsid w:val="006419D5"/>
    <w:rsid w:val="00641C35"/>
    <w:rsid w:val="00641C8E"/>
    <w:rsid w:val="0064227E"/>
    <w:rsid w:val="0064265D"/>
    <w:rsid w:val="00642DE7"/>
    <w:rsid w:val="00643611"/>
    <w:rsid w:val="00643874"/>
    <w:rsid w:val="00643D3F"/>
    <w:rsid w:val="0064405D"/>
    <w:rsid w:val="00644749"/>
    <w:rsid w:val="00644A18"/>
    <w:rsid w:val="006452CC"/>
    <w:rsid w:val="00645423"/>
    <w:rsid w:val="00645741"/>
    <w:rsid w:val="00645B4F"/>
    <w:rsid w:val="006469BE"/>
    <w:rsid w:val="00646BC5"/>
    <w:rsid w:val="00646FF2"/>
    <w:rsid w:val="00647016"/>
    <w:rsid w:val="00647304"/>
    <w:rsid w:val="0064782A"/>
    <w:rsid w:val="00647A8E"/>
    <w:rsid w:val="00647B00"/>
    <w:rsid w:val="00647BD2"/>
    <w:rsid w:val="00647BF5"/>
    <w:rsid w:val="00647C1F"/>
    <w:rsid w:val="006501C0"/>
    <w:rsid w:val="006501DF"/>
    <w:rsid w:val="00650347"/>
    <w:rsid w:val="0065076B"/>
    <w:rsid w:val="006507AF"/>
    <w:rsid w:val="006508ED"/>
    <w:rsid w:val="0065163E"/>
    <w:rsid w:val="00651EAF"/>
    <w:rsid w:val="006526E0"/>
    <w:rsid w:val="00652779"/>
    <w:rsid w:val="006531D9"/>
    <w:rsid w:val="00653270"/>
    <w:rsid w:val="006534C4"/>
    <w:rsid w:val="006535CF"/>
    <w:rsid w:val="006542B3"/>
    <w:rsid w:val="00654A9B"/>
    <w:rsid w:val="00654C94"/>
    <w:rsid w:val="0065515F"/>
    <w:rsid w:val="006552F5"/>
    <w:rsid w:val="00655872"/>
    <w:rsid w:val="00655B81"/>
    <w:rsid w:val="00655FC9"/>
    <w:rsid w:val="0065639D"/>
    <w:rsid w:val="00656D35"/>
    <w:rsid w:val="00656D49"/>
    <w:rsid w:val="00657176"/>
    <w:rsid w:val="0065749B"/>
    <w:rsid w:val="00657885"/>
    <w:rsid w:val="00657A84"/>
    <w:rsid w:val="00657E10"/>
    <w:rsid w:val="00661058"/>
    <w:rsid w:val="006615CB"/>
    <w:rsid w:val="00661BF9"/>
    <w:rsid w:val="006620DF"/>
    <w:rsid w:val="00662525"/>
    <w:rsid w:val="00662BF2"/>
    <w:rsid w:val="00662CD1"/>
    <w:rsid w:val="00662DF9"/>
    <w:rsid w:val="00662FA0"/>
    <w:rsid w:val="0066322E"/>
    <w:rsid w:val="006639B4"/>
    <w:rsid w:val="00664002"/>
    <w:rsid w:val="0066413D"/>
    <w:rsid w:val="006641E6"/>
    <w:rsid w:val="00664A26"/>
    <w:rsid w:val="00664D87"/>
    <w:rsid w:val="00664DB1"/>
    <w:rsid w:val="0066505B"/>
    <w:rsid w:val="0066510B"/>
    <w:rsid w:val="0066516F"/>
    <w:rsid w:val="00665712"/>
    <w:rsid w:val="006660BC"/>
    <w:rsid w:val="00666630"/>
    <w:rsid w:val="00666835"/>
    <w:rsid w:val="00666B3E"/>
    <w:rsid w:val="00666DFC"/>
    <w:rsid w:val="006670ED"/>
    <w:rsid w:val="0066750D"/>
    <w:rsid w:val="00667756"/>
    <w:rsid w:val="0066796D"/>
    <w:rsid w:val="00670114"/>
    <w:rsid w:val="006704B8"/>
    <w:rsid w:val="006705EB"/>
    <w:rsid w:val="0067094B"/>
    <w:rsid w:val="00670E74"/>
    <w:rsid w:val="006712F7"/>
    <w:rsid w:val="00672159"/>
    <w:rsid w:val="0067225C"/>
    <w:rsid w:val="0067251D"/>
    <w:rsid w:val="00672A45"/>
    <w:rsid w:val="00672A60"/>
    <w:rsid w:val="00672AA9"/>
    <w:rsid w:val="006737F1"/>
    <w:rsid w:val="00673971"/>
    <w:rsid w:val="00673AA4"/>
    <w:rsid w:val="006751CA"/>
    <w:rsid w:val="00675683"/>
    <w:rsid w:val="00675993"/>
    <w:rsid w:val="00675D83"/>
    <w:rsid w:val="006761E8"/>
    <w:rsid w:val="006773CC"/>
    <w:rsid w:val="0067777F"/>
    <w:rsid w:val="00677792"/>
    <w:rsid w:val="006778D1"/>
    <w:rsid w:val="0068085D"/>
    <w:rsid w:val="00680913"/>
    <w:rsid w:val="00680A8E"/>
    <w:rsid w:val="00680B52"/>
    <w:rsid w:val="00680C7D"/>
    <w:rsid w:val="00680D68"/>
    <w:rsid w:val="00680E86"/>
    <w:rsid w:val="00680FEC"/>
    <w:rsid w:val="00681067"/>
    <w:rsid w:val="00681CB1"/>
    <w:rsid w:val="00681EE7"/>
    <w:rsid w:val="00682016"/>
    <w:rsid w:val="0068208A"/>
    <w:rsid w:val="006825B3"/>
    <w:rsid w:val="006826BF"/>
    <w:rsid w:val="006831D8"/>
    <w:rsid w:val="00683234"/>
    <w:rsid w:val="0068329C"/>
    <w:rsid w:val="006835AB"/>
    <w:rsid w:val="006835D9"/>
    <w:rsid w:val="00683611"/>
    <w:rsid w:val="006842C0"/>
    <w:rsid w:val="006842F1"/>
    <w:rsid w:val="006843A3"/>
    <w:rsid w:val="006845EB"/>
    <w:rsid w:val="006848A1"/>
    <w:rsid w:val="00684CE2"/>
    <w:rsid w:val="006850A0"/>
    <w:rsid w:val="006851D5"/>
    <w:rsid w:val="0068573E"/>
    <w:rsid w:val="006858F7"/>
    <w:rsid w:val="00685AA2"/>
    <w:rsid w:val="006861BD"/>
    <w:rsid w:val="00686337"/>
    <w:rsid w:val="0068657F"/>
    <w:rsid w:val="00686963"/>
    <w:rsid w:val="00686A3C"/>
    <w:rsid w:val="00686C49"/>
    <w:rsid w:val="006875D7"/>
    <w:rsid w:val="006901EF"/>
    <w:rsid w:val="00690532"/>
    <w:rsid w:val="006905EE"/>
    <w:rsid w:val="006919D1"/>
    <w:rsid w:val="00691A0A"/>
    <w:rsid w:val="00691D7D"/>
    <w:rsid w:val="00691E91"/>
    <w:rsid w:val="00691FB5"/>
    <w:rsid w:val="006921CF"/>
    <w:rsid w:val="00692680"/>
    <w:rsid w:val="006927AC"/>
    <w:rsid w:val="00692939"/>
    <w:rsid w:val="00692AD2"/>
    <w:rsid w:val="0069323C"/>
    <w:rsid w:val="0069392D"/>
    <w:rsid w:val="00693A0E"/>
    <w:rsid w:val="00693A3D"/>
    <w:rsid w:val="00695562"/>
    <w:rsid w:val="00695718"/>
    <w:rsid w:val="0069576B"/>
    <w:rsid w:val="00695AE4"/>
    <w:rsid w:val="006960FB"/>
    <w:rsid w:val="00696278"/>
    <w:rsid w:val="006967AF"/>
    <w:rsid w:val="0069714A"/>
    <w:rsid w:val="0069714E"/>
    <w:rsid w:val="006971C6"/>
    <w:rsid w:val="00697813"/>
    <w:rsid w:val="006979AA"/>
    <w:rsid w:val="00697A85"/>
    <w:rsid w:val="006A0AC7"/>
    <w:rsid w:val="006A1323"/>
    <w:rsid w:val="006A19F7"/>
    <w:rsid w:val="006A1A5D"/>
    <w:rsid w:val="006A239C"/>
    <w:rsid w:val="006A2A69"/>
    <w:rsid w:val="006A2A6F"/>
    <w:rsid w:val="006A2E67"/>
    <w:rsid w:val="006A4272"/>
    <w:rsid w:val="006A42E6"/>
    <w:rsid w:val="006A4599"/>
    <w:rsid w:val="006A48DE"/>
    <w:rsid w:val="006A49F7"/>
    <w:rsid w:val="006A4AF4"/>
    <w:rsid w:val="006A5745"/>
    <w:rsid w:val="006A5AD4"/>
    <w:rsid w:val="006A5CE0"/>
    <w:rsid w:val="006A5D21"/>
    <w:rsid w:val="006A5E21"/>
    <w:rsid w:val="006A609D"/>
    <w:rsid w:val="006A6393"/>
    <w:rsid w:val="006A66E9"/>
    <w:rsid w:val="006A7335"/>
    <w:rsid w:val="006A7589"/>
    <w:rsid w:val="006A7840"/>
    <w:rsid w:val="006A7B68"/>
    <w:rsid w:val="006A7E02"/>
    <w:rsid w:val="006B0423"/>
    <w:rsid w:val="006B0A9C"/>
    <w:rsid w:val="006B0AD5"/>
    <w:rsid w:val="006B0F90"/>
    <w:rsid w:val="006B1613"/>
    <w:rsid w:val="006B16DD"/>
    <w:rsid w:val="006B1BE5"/>
    <w:rsid w:val="006B1C63"/>
    <w:rsid w:val="006B1FB1"/>
    <w:rsid w:val="006B20F2"/>
    <w:rsid w:val="006B2AE9"/>
    <w:rsid w:val="006B2F58"/>
    <w:rsid w:val="006B3590"/>
    <w:rsid w:val="006B370A"/>
    <w:rsid w:val="006B398D"/>
    <w:rsid w:val="006B3AE7"/>
    <w:rsid w:val="006B3B89"/>
    <w:rsid w:val="006B3C65"/>
    <w:rsid w:val="006B3E85"/>
    <w:rsid w:val="006B4D35"/>
    <w:rsid w:val="006B4DA1"/>
    <w:rsid w:val="006B4E8D"/>
    <w:rsid w:val="006B5275"/>
    <w:rsid w:val="006B5458"/>
    <w:rsid w:val="006B54A5"/>
    <w:rsid w:val="006B5548"/>
    <w:rsid w:val="006B5C70"/>
    <w:rsid w:val="006B5EC0"/>
    <w:rsid w:val="006B600F"/>
    <w:rsid w:val="006B6557"/>
    <w:rsid w:val="006B6D95"/>
    <w:rsid w:val="006B783D"/>
    <w:rsid w:val="006B7C18"/>
    <w:rsid w:val="006B7D15"/>
    <w:rsid w:val="006C0453"/>
    <w:rsid w:val="006C06F7"/>
    <w:rsid w:val="006C0772"/>
    <w:rsid w:val="006C0E2C"/>
    <w:rsid w:val="006C1425"/>
    <w:rsid w:val="006C16A2"/>
    <w:rsid w:val="006C19EB"/>
    <w:rsid w:val="006C1B33"/>
    <w:rsid w:val="006C200E"/>
    <w:rsid w:val="006C2168"/>
    <w:rsid w:val="006C2490"/>
    <w:rsid w:val="006C24D8"/>
    <w:rsid w:val="006C25FE"/>
    <w:rsid w:val="006C2B85"/>
    <w:rsid w:val="006C3119"/>
    <w:rsid w:val="006C3414"/>
    <w:rsid w:val="006C376A"/>
    <w:rsid w:val="006C39A6"/>
    <w:rsid w:val="006C3B9C"/>
    <w:rsid w:val="006C3C36"/>
    <w:rsid w:val="006C3F28"/>
    <w:rsid w:val="006C451A"/>
    <w:rsid w:val="006C452A"/>
    <w:rsid w:val="006C4552"/>
    <w:rsid w:val="006C4797"/>
    <w:rsid w:val="006C4D6E"/>
    <w:rsid w:val="006C560D"/>
    <w:rsid w:val="006C5B75"/>
    <w:rsid w:val="006C5E83"/>
    <w:rsid w:val="006C6280"/>
    <w:rsid w:val="006C63B8"/>
    <w:rsid w:val="006C64CB"/>
    <w:rsid w:val="006C7367"/>
    <w:rsid w:val="006C7599"/>
    <w:rsid w:val="006C75AA"/>
    <w:rsid w:val="006C7C24"/>
    <w:rsid w:val="006C7DC2"/>
    <w:rsid w:val="006C7F08"/>
    <w:rsid w:val="006D05C3"/>
    <w:rsid w:val="006D09FD"/>
    <w:rsid w:val="006D0CEB"/>
    <w:rsid w:val="006D0F50"/>
    <w:rsid w:val="006D11FD"/>
    <w:rsid w:val="006D15AC"/>
    <w:rsid w:val="006D175B"/>
    <w:rsid w:val="006D22A6"/>
    <w:rsid w:val="006D2B17"/>
    <w:rsid w:val="006D2E41"/>
    <w:rsid w:val="006D2E44"/>
    <w:rsid w:val="006D2F1B"/>
    <w:rsid w:val="006D3508"/>
    <w:rsid w:val="006D36BD"/>
    <w:rsid w:val="006D37B2"/>
    <w:rsid w:val="006D4605"/>
    <w:rsid w:val="006D46C0"/>
    <w:rsid w:val="006D4C94"/>
    <w:rsid w:val="006D5105"/>
    <w:rsid w:val="006D584D"/>
    <w:rsid w:val="006D585A"/>
    <w:rsid w:val="006D58A2"/>
    <w:rsid w:val="006D58A4"/>
    <w:rsid w:val="006D59E3"/>
    <w:rsid w:val="006D5CF1"/>
    <w:rsid w:val="006D5D81"/>
    <w:rsid w:val="006D619E"/>
    <w:rsid w:val="006D651E"/>
    <w:rsid w:val="006D65E4"/>
    <w:rsid w:val="006D6778"/>
    <w:rsid w:val="006D6C6C"/>
    <w:rsid w:val="006D6E48"/>
    <w:rsid w:val="006D6F14"/>
    <w:rsid w:val="006D70FE"/>
    <w:rsid w:val="006D7520"/>
    <w:rsid w:val="006D7796"/>
    <w:rsid w:val="006D7B5C"/>
    <w:rsid w:val="006E07EE"/>
    <w:rsid w:val="006E1564"/>
    <w:rsid w:val="006E1571"/>
    <w:rsid w:val="006E1989"/>
    <w:rsid w:val="006E1E22"/>
    <w:rsid w:val="006E1E80"/>
    <w:rsid w:val="006E1EB7"/>
    <w:rsid w:val="006E2118"/>
    <w:rsid w:val="006E225B"/>
    <w:rsid w:val="006E34FF"/>
    <w:rsid w:val="006E3977"/>
    <w:rsid w:val="006E3A8A"/>
    <w:rsid w:val="006E3C5E"/>
    <w:rsid w:val="006E417B"/>
    <w:rsid w:val="006E4421"/>
    <w:rsid w:val="006E4432"/>
    <w:rsid w:val="006E448F"/>
    <w:rsid w:val="006E468D"/>
    <w:rsid w:val="006E471C"/>
    <w:rsid w:val="006E4C9F"/>
    <w:rsid w:val="006E4E9A"/>
    <w:rsid w:val="006E523B"/>
    <w:rsid w:val="006E561F"/>
    <w:rsid w:val="006E59AC"/>
    <w:rsid w:val="006E5AC4"/>
    <w:rsid w:val="006E5CAF"/>
    <w:rsid w:val="006E63A7"/>
    <w:rsid w:val="006E6BAC"/>
    <w:rsid w:val="006E6DAC"/>
    <w:rsid w:val="006E6E2F"/>
    <w:rsid w:val="006E6FA5"/>
    <w:rsid w:val="006E783C"/>
    <w:rsid w:val="006E7A95"/>
    <w:rsid w:val="006F0434"/>
    <w:rsid w:val="006F149F"/>
    <w:rsid w:val="006F191F"/>
    <w:rsid w:val="006F19A3"/>
    <w:rsid w:val="006F2133"/>
    <w:rsid w:val="006F24B2"/>
    <w:rsid w:val="006F24BC"/>
    <w:rsid w:val="006F255F"/>
    <w:rsid w:val="006F26E9"/>
    <w:rsid w:val="006F27F0"/>
    <w:rsid w:val="006F31F5"/>
    <w:rsid w:val="006F328D"/>
    <w:rsid w:val="006F3379"/>
    <w:rsid w:val="006F3404"/>
    <w:rsid w:val="006F3A6B"/>
    <w:rsid w:val="006F3E82"/>
    <w:rsid w:val="006F3F5C"/>
    <w:rsid w:val="006F42B6"/>
    <w:rsid w:val="006F44E0"/>
    <w:rsid w:val="006F4D34"/>
    <w:rsid w:val="006F4F3D"/>
    <w:rsid w:val="006F5001"/>
    <w:rsid w:val="006F589B"/>
    <w:rsid w:val="006F590E"/>
    <w:rsid w:val="006F65C3"/>
    <w:rsid w:val="006F6A8A"/>
    <w:rsid w:val="006F6E11"/>
    <w:rsid w:val="006F6FC6"/>
    <w:rsid w:val="006F72FA"/>
    <w:rsid w:val="006F7581"/>
    <w:rsid w:val="006F76A2"/>
    <w:rsid w:val="006F7979"/>
    <w:rsid w:val="007005F8"/>
    <w:rsid w:val="0070092B"/>
    <w:rsid w:val="0070110E"/>
    <w:rsid w:val="00701943"/>
    <w:rsid w:val="0070206D"/>
    <w:rsid w:val="00702114"/>
    <w:rsid w:val="00702225"/>
    <w:rsid w:val="00702401"/>
    <w:rsid w:val="00702753"/>
    <w:rsid w:val="00702E46"/>
    <w:rsid w:val="00702F1C"/>
    <w:rsid w:val="00702F69"/>
    <w:rsid w:val="00703139"/>
    <w:rsid w:val="00703331"/>
    <w:rsid w:val="007037B3"/>
    <w:rsid w:val="00703857"/>
    <w:rsid w:val="00703DB5"/>
    <w:rsid w:val="007040EA"/>
    <w:rsid w:val="00704149"/>
    <w:rsid w:val="00704208"/>
    <w:rsid w:val="00704B80"/>
    <w:rsid w:val="007058BF"/>
    <w:rsid w:val="00705D59"/>
    <w:rsid w:val="0070619E"/>
    <w:rsid w:val="00706436"/>
    <w:rsid w:val="0070664A"/>
    <w:rsid w:val="00706716"/>
    <w:rsid w:val="00706A6D"/>
    <w:rsid w:val="00706AFA"/>
    <w:rsid w:val="00706D8E"/>
    <w:rsid w:val="00706EDC"/>
    <w:rsid w:val="007073FC"/>
    <w:rsid w:val="00707974"/>
    <w:rsid w:val="00707AD5"/>
    <w:rsid w:val="00707FAD"/>
    <w:rsid w:val="00710F22"/>
    <w:rsid w:val="00711600"/>
    <w:rsid w:val="00711772"/>
    <w:rsid w:val="007118A2"/>
    <w:rsid w:val="0071234C"/>
    <w:rsid w:val="00712385"/>
    <w:rsid w:val="007128B3"/>
    <w:rsid w:val="0071295C"/>
    <w:rsid w:val="00712AE6"/>
    <w:rsid w:val="00712E8F"/>
    <w:rsid w:val="007130E9"/>
    <w:rsid w:val="0071329F"/>
    <w:rsid w:val="00713575"/>
    <w:rsid w:val="007139D9"/>
    <w:rsid w:val="007139E9"/>
    <w:rsid w:val="0071403C"/>
    <w:rsid w:val="0071467E"/>
    <w:rsid w:val="007149C7"/>
    <w:rsid w:val="00715003"/>
    <w:rsid w:val="007152A2"/>
    <w:rsid w:val="007152FF"/>
    <w:rsid w:val="0071561C"/>
    <w:rsid w:val="0071569E"/>
    <w:rsid w:val="007157C3"/>
    <w:rsid w:val="00715C65"/>
    <w:rsid w:val="00716158"/>
    <w:rsid w:val="0071689A"/>
    <w:rsid w:val="007168D7"/>
    <w:rsid w:val="00716ABE"/>
    <w:rsid w:val="00716F15"/>
    <w:rsid w:val="00716F7B"/>
    <w:rsid w:val="00716F80"/>
    <w:rsid w:val="0071705B"/>
    <w:rsid w:val="00717469"/>
    <w:rsid w:val="0071794B"/>
    <w:rsid w:val="00717982"/>
    <w:rsid w:val="0072004D"/>
    <w:rsid w:val="00720179"/>
    <w:rsid w:val="007202F0"/>
    <w:rsid w:val="0072068F"/>
    <w:rsid w:val="0072092B"/>
    <w:rsid w:val="00720C61"/>
    <w:rsid w:val="0072101F"/>
    <w:rsid w:val="00721A34"/>
    <w:rsid w:val="00721A96"/>
    <w:rsid w:val="00721C41"/>
    <w:rsid w:val="00721FB8"/>
    <w:rsid w:val="007220E6"/>
    <w:rsid w:val="00722A27"/>
    <w:rsid w:val="007231F1"/>
    <w:rsid w:val="0072332B"/>
    <w:rsid w:val="007233F6"/>
    <w:rsid w:val="00723912"/>
    <w:rsid w:val="00723961"/>
    <w:rsid w:val="007241C6"/>
    <w:rsid w:val="007243C9"/>
    <w:rsid w:val="007244DC"/>
    <w:rsid w:val="00724D35"/>
    <w:rsid w:val="007250CB"/>
    <w:rsid w:val="00725696"/>
    <w:rsid w:val="00725CF7"/>
    <w:rsid w:val="00725E69"/>
    <w:rsid w:val="00726818"/>
    <w:rsid w:val="0072715C"/>
    <w:rsid w:val="00727822"/>
    <w:rsid w:val="00727E21"/>
    <w:rsid w:val="00730041"/>
    <w:rsid w:val="0073082B"/>
    <w:rsid w:val="007308AA"/>
    <w:rsid w:val="00730C35"/>
    <w:rsid w:val="00730CB0"/>
    <w:rsid w:val="00730DC6"/>
    <w:rsid w:val="00730E6C"/>
    <w:rsid w:val="0073130F"/>
    <w:rsid w:val="0073200B"/>
    <w:rsid w:val="00732434"/>
    <w:rsid w:val="00732D18"/>
    <w:rsid w:val="0073325C"/>
    <w:rsid w:val="00733760"/>
    <w:rsid w:val="00733BC7"/>
    <w:rsid w:val="00733CBC"/>
    <w:rsid w:val="00733EA0"/>
    <w:rsid w:val="00733F0D"/>
    <w:rsid w:val="00733F51"/>
    <w:rsid w:val="00734328"/>
    <w:rsid w:val="00734936"/>
    <w:rsid w:val="00734AEB"/>
    <w:rsid w:val="00734B81"/>
    <w:rsid w:val="00735261"/>
    <w:rsid w:val="0073556A"/>
    <w:rsid w:val="0073593C"/>
    <w:rsid w:val="0073595C"/>
    <w:rsid w:val="00735AED"/>
    <w:rsid w:val="00735B6D"/>
    <w:rsid w:val="00735DEE"/>
    <w:rsid w:val="00736050"/>
    <w:rsid w:val="0073624F"/>
    <w:rsid w:val="007365E1"/>
    <w:rsid w:val="007368C2"/>
    <w:rsid w:val="00736C28"/>
    <w:rsid w:val="00736CB5"/>
    <w:rsid w:val="00736CE1"/>
    <w:rsid w:val="007375D8"/>
    <w:rsid w:val="00737AD0"/>
    <w:rsid w:val="00737B06"/>
    <w:rsid w:val="007400A2"/>
    <w:rsid w:val="00740543"/>
    <w:rsid w:val="0074103E"/>
    <w:rsid w:val="007413C7"/>
    <w:rsid w:val="00741474"/>
    <w:rsid w:val="0074150D"/>
    <w:rsid w:val="00741544"/>
    <w:rsid w:val="00741ACF"/>
    <w:rsid w:val="00741CA1"/>
    <w:rsid w:val="00741FAE"/>
    <w:rsid w:val="007425D1"/>
    <w:rsid w:val="0074303E"/>
    <w:rsid w:val="0074337C"/>
    <w:rsid w:val="007437A9"/>
    <w:rsid w:val="00743C41"/>
    <w:rsid w:val="007442B3"/>
    <w:rsid w:val="007446B3"/>
    <w:rsid w:val="007455C8"/>
    <w:rsid w:val="007457B7"/>
    <w:rsid w:val="007457BF"/>
    <w:rsid w:val="00745CBE"/>
    <w:rsid w:val="00746145"/>
    <w:rsid w:val="0074690C"/>
    <w:rsid w:val="00746C33"/>
    <w:rsid w:val="007475B7"/>
    <w:rsid w:val="00747912"/>
    <w:rsid w:val="00747954"/>
    <w:rsid w:val="0075065C"/>
    <w:rsid w:val="007507DD"/>
    <w:rsid w:val="00750DCA"/>
    <w:rsid w:val="00750EF7"/>
    <w:rsid w:val="00751190"/>
    <w:rsid w:val="00751732"/>
    <w:rsid w:val="00752080"/>
    <w:rsid w:val="00752195"/>
    <w:rsid w:val="007528B1"/>
    <w:rsid w:val="00752A52"/>
    <w:rsid w:val="00752B2C"/>
    <w:rsid w:val="00753571"/>
    <w:rsid w:val="00753585"/>
    <w:rsid w:val="00753CBC"/>
    <w:rsid w:val="00753E8A"/>
    <w:rsid w:val="00753F17"/>
    <w:rsid w:val="00753FA4"/>
    <w:rsid w:val="00754AF2"/>
    <w:rsid w:val="00754E56"/>
    <w:rsid w:val="00754FEA"/>
    <w:rsid w:val="0075570E"/>
    <w:rsid w:val="00755BEB"/>
    <w:rsid w:val="00755D86"/>
    <w:rsid w:val="00756291"/>
    <w:rsid w:val="0075630B"/>
    <w:rsid w:val="00756A7A"/>
    <w:rsid w:val="00756F2D"/>
    <w:rsid w:val="00756F42"/>
    <w:rsid w:val="00757284"/>
    <w:rsid w:val="0075736C"/>
    <w:rsid w:val="00757567"/>
    <w:rsid w:val="00757998"/>
    <w:rsid w:val="00757B10"/>
    <w:rsid w:val="00757C9A"/>
    <w:rsid w:val="00757DE7"/>
    <w:rsid w:val="007604E2"/>
    <w:rsid w:val="00760900"/>
    <w:rsid w:val="00760DA9"/>
    <w:rsid w:val="0076116E"/>
    <w:rsid w:val="0076123D"/>
    <w:rsid w:val="007612FB"/>
    <w:rsid w:val="0076196A"/>
    <w:rsid w:val="00761A09"/>
    <w:rsid w:val="00761B39"/>
    <w:rsid w:val="00761C3B"/>
    <w:rsid w:val="007623D3"/>
    <w:rsid w:val="007623DA"/>
    <w:rsid w:val="00762C38"/>
    <w:rsid w:val="007635AF"/>
    <w:rsid w:val="00763EF5"/>
    <w:rsid w:val="007641A8"/>
    <w:rsid w:val="00764300"/>
    <w:rsid w:val="0076451E"/>
    <w:rsid w:val="007646FD"/>
    <w:rsid w:val="00764871"/>
    <w:rsid w:val="00764E93"/>
    <w:rsid w:val="0076592C"/>
    <w:rsid w:val="00765DD7"/>
    <w:rsid w:val="007669D5"/>
    <w:rsid w:val="00766B38"/>
    <w:rsid w:val="00766D62"/>
    <w:rsid w:val="00767168"/>
    <w:rsid w:val="00767354"/>
    <w:rsid w:val="00767367"/>
    <w:rsid w:val="007675BF"/>
    <w:rsid w:val="00767A78"/>
    <w:rsid w:val="00767E0C"/>
    <w:rsid w:val="00767E6C"/>
    <w:rsid w:val="007706CC"/>
    <w:rsid w:val="00770C0A"/>
    <w:rsid w:val="00771077"/>
    <w:rsid w:val="007714EE"/>
    <w:rsid w:val="007723D6"/>
    <w:rsid w:val="007726E8"/>
    <w:rsid w:val="00772B11"/>
    <w:rsid w:val="00772DB2"/>
    <w:rsid w:val="00772F28"/>
    <w:rsid w:val="007730E9"/>
    <w:rsid w:val="00773250"/>
    <w:rsid w:val="00773350"/>
    <w:rsid w:val="00773A7F"/>
    <w:rsid w:val="00773F9E"/>
    <w:rsid w:val="00773FBF"/>
    <w:rsid w:val="00773FE2"/>
    <w:rsid w:val="007748F0"/>
    <w:rsid w:val="00774986"/>
    <w:rsid w:val="00774DAA"/>
    <w:rsid w:val="007752FD"/>
    <w:rsid w:val="00776869"/>
    <w:rsid w:val="007772DF"/>
    <w:rsid w:val="007772E3"/>
    <w:rsid w:val="00777486"/>
    <w:rsid w:val="00777AE0"/>
    <w:rsid w:val="00777FC8"/>
    <w:rsid w:val="00780101"/>
    <w:rsid w:val="00780363"/>
    <w:rsid w:val="0078036E"/>
    <w:rsid w:val="00780764"/>
    <w:rsid w:val="00780785"/>
    <w:rsid w:val="00780A26"/>
    <w:rsid w:val="007815D4"/>
    <w:rsid w:val="00781B00"/>
    <w:rsid w:val="00781C56"/>
    <w:rsid w:val="00781CEA"/>
    <w:rsid w:val="00781FA6"/>
    <w:rsid w:val="007821D5"/>
    <w:rsid w:val="007828CD"/>
    <w:rsid w:val="0078294B"/>
    <w:rsid w:val="007836E3"/>
    <w:rsid w:val="00783CAD"/>
    <w:rsid w:val="00783CCF"/>
    <w:rsid w:val="00783E0F"/>
    <w:rsid w:val="007848FC"/>
    <w:rsid w:val="00785531"/>
    <w:rsid w:val="0078581F"/>
    <w:rsid w:val="00786521"/>
    <w:rsid w:val="007867DB"/>
    <w:rsid w:val="007876DD"/>
    <w:rsid w:val="00790275"/>
    <w:rsid w:val="00790575"/>
    <w:rsid w:val="0079079A"/>
    <w:rsid w:val="00790906"/>
    <w:rsid w:val="0079091E"/>
    <w:rsid w:val="0079097F"/>
    <w:rsid w:val="0079151A"/>
    <w:rsid w:val="00791763"/>
    <w:rsid w:val="00791FC5"/>
    <w:rsid w:val="00791FCF"/>
    <w:rsid w:val="00792071"/>
    <w:rsid w:val="0079208A"/>
    <w:rsid w:val="00792238"/>
    <w:rsid w:val="00792525"/>
    <w:rsid w:val="0079256B"/>
    <w:rsid w:val="00792897"/>
    <w:rsid w:val="00792B34"/>
    <w:rsid w:val="00792ED4"/>
    <w:rsid w:val="00793005"/>
    <w:rsid w:val="0079308A"/>
    <w:rsid w:val="00794770"/>
    <w:rsid w:val="007948AB"/>
    <w:rsid w:val="00794AA8"/>
    <w:rsid w:val="00794DB6"/>
    <w:rsid w:val="00795080"/>
    <w:rsid w:val="00795120"/>
    <w:rsid w:val="00795287"/>
    <w:rsid w:val="00795645"/>
    <w:rsid w:val="00795F58"/>
    <w:rsid w:val="00795F76"/>
    <w:rsid w:val="00795F78"/>
    <w:rsid w:val="007963A7"/>
    <w:rsid w:val="0079652A"/>
    <w:rsid w:val="007967EE"/>
    <w:rsid w:val="00796875"/>
    <w:rsid w:val="00796938"/>
    <w:rsid w:val="00796D65"/>
    <w:rsid w:val="00796ECE"/>
    <w:rsid w:val="007970DD"/>
    <w:rsid w:val="0079754A"/>
    <w:rsid w:val="00797B77"/>
    <w:rsid w:val="007A021E"/>
    <w:rsid w:val="007A03B9"/>
    <w:rsid w:val="007A0685"/>
    <w:rsid w:val="007A109E"/>
    <w:rsid w:val="007A161A"/>
    <w:rsid w:val="007A1872"/>
    <w:rsid w:val="007A1963"/>
    <w:rsid w:val="007A19DC"/>
    <w:rsid w:val="007A1F42"/>
    <w:rsid w:val="007A1F68"/>
    <w:rsid w:val="007A2061"/>
    <w:rsid w:val="007A2127"/>
    <w:rsid w:val="007A276C"/>
    <w:rsid w:val="007A2840"/>
    <w:rsid w:val="007A2F9C"/>
    <w:rsid w:val="007A3A1B"/>
    <w:rsid w:val="007A4250"/>
    <w:rsid w:val="007A4345"/>
    <w:rsid w:val="007A440C"/>
    <w:rsid w:val="007A469A"/>
    <w:rsid w:val="007A47FA"/>
    <w:rsid w:val="007A4944"/>
    <w:rsid w:val="007A4970"/>
    <w:rsid w:val="007A49F5"/>
    <w:rsid w:val="007A4AFB"/>
    <w:rsid w:val="007A4B9D"/>
    <w:rsid w:val="007A4D77"/>
    <w:rsid w:val="007A4E0C"/>
    <w:rsid w:val="007A5417"/>
    <w:rsid w:val="007A6118"/>
    <w:rsid w:val="007A615A"/>
    <w:rsid w:val="007A6455"/>
    <w:rsid w:val="007A6692"/>
    <w:rsid w:val="007A678F"/>
    <w:rsid w:val="007A69D9"/>
    <w:rsid w:val="007A7241"/>
    <w:rsid w:val="007A72E9"/>
    <w:rsid w:val="007A74A2"/>
    <w:rsid w:val="007A7B4E"/>
    <w:rsid w:val="007A7BCF"/>
    <w:rsid w:val="007A7C63"/>
    <w:rsid w:val="007A7E9C"/>
    <w:rsid w:val="007A7EEC"/>
    <w:rsid w:val="007A7F4C"/>
    <w:rsid w:val="007B0312"/>
    <w:rsid w:val="007B045A"/>
    <w:rsid w:val="007B0551"/>
    <w:rsid w:val="007B0ABF"/>
    <w:rsid w:val="007B0DCC"/>
    <w:rsid w:val="007B0F95"/>
    <w:rsid w:val="007B1633"/>
    <w:rsid w:val="007B164E"/>
    <w:rsid w:val="007B167B"/>
    <w:rsid w:val="007B192C"/>
    <w:rsid w:val="007B1B6F"/>
    <w:rsid w:val="007B220B"/>
    <w:rsid w:val="007B2784"/>
    <w:rsid w:val="007B2C0F"/>
    <w:rsid w:val="007B325C"/>
    <w:rsid w:val="007B3C86"/>
    <w:rsid w:val="007B4283"/>
    <w:rsid w:val="007B4480"/>
    <w:rsid w:val="007B4923"/>
    <w:rsid w:val="007B4A04"/>
    <w:rsid w:val="007B5670"/>
    <w:rsid w:val="007B56A3"/>
    <w:rsid w:val="007B5858"/>
    <w:rsid w:val="007B590A"/>
    <w:rsid w:val="007B61DA"/>
    <w:rsid w:val="007B697C"/>
    <w:rsid w:val="007B69CE"/>
    <w:rsid w:val="007B6AE7"/>
    <w:rsid w:val="007B6F77"/>
    <w:rsid w:val="007B7640"/>
    <w:rsid w:val="007C01EB"/>
    <w:rsid w:val="007C03B6"/>
    <w:rsid w:val="007C0512"/>
    <w:rsid w:val="007C09F7"/>
    <w:rsid w:val="007C0B31"/>
    <w:rsid w:val="007C0C1B"/>
    <w:rsid w:val="007C0CF6"/>
    <w:rsid w:val="007C1824"/>
    <w:rsid w:val="007C1E85"/>
    <w:rsid w:val="007C20D8"/>
    <w:rsid w:val="007C2182"/>
    <w:rsid w:val="007C24E0"/>
    <w:rsid w:val="007C28F3"/>
    <w:rsid w:val="007C2F49"/>
    <w:rsid w:val="007C4123"/>
    <w:rsid w:val="007C449B"/>
    <w:rsid w:val="007C495C"/>
    <w:rsid w:val="007C4CC5"/>
    <w:rsid w:val="007C4F6F"/>
    <w:rsid w:val="007C5C59"/>
    <w:rsid w:val="007C5FE7"/>
    <w:rsid w:val="007C677C"/>
    <w:rsid w:val="007C6D29"/>
    <w:rsid w:val="007C6EC3"/>
    <w:rsid w:val="007C6F93"/>
    <w:rsid w:val="007C6FD7"/>
    <w:rsid w:val="007C7065"/>
    <w:rsid w:val="007C7157"/>
    <w:rsid w:val="007C7735"/>
    <w:rsid w:val="007C7B44"/>
    <w:rsid w:val="007C7D1E"/>
    <w:rsid w:val="007D0043"/>
    <w:rsid w:val="007D0942"/>
    <w:rsid w:val="007D0A79"/>
    <w:rsid w:val="007D148D"/>
    <w:rsid w:val="007D16AD"/>
    <w:rsid w:val="007D1700"/>
    <w:rsid w:val="007D1877"/>
    <w:rsid w:val="007D1E11"/>
    <w:rsid w:val="007D1F60"/>
    <w:rsid w:val="007D1F8A"/>
    <w:rsid w:val="007D264F"/>
    <w:rsid w:val="007D28C0"/>
    <w:rsid w:val="007D29D3"/>
    <w:rsid w:val="007D2BD9"/>
    <w:rsid w:val="007D32BE"/>
    <w:rsid w:val="007D3C15"/>
    <w:rsid w:val="007D4031"/>
    <w:rsid w:val="007D4479"/>
    <w:rsid w:val="007D44A7"/>
    <w:rsid w:val="007D484B"/>
    <w:rsid w:val="007D487C"/>
    <w:rsid w:val="007D49EB"/>
    <w:rsid w:val="007D4CD6"/>
    <w:rsid w:val="007D4D4E"/>
    <w:rsid w:val="007D4E2A"/>
    <w:rsid w:val="007D5712"/>
    <w:rsid w:val="007D57D0"/>
    <w:rsid w:val="007D5987"/>
    <w:rsid w:val="007D5A49"/>
    <w:rsid w:val="007D5CE4"/>
    <w:rsid w:val="007D5FA4"/>
    <w:rsid w:val="007D61EE"/>
    <w:rsid w:val="007D6209"/>
    <w:rsid w:val="007D6219"/>
    <w:rsid w:val="007D6342"/>
    <w:rsid w:val="007D661E"/>
    <w:rsid w:val="007D66B7"/>
    <w:rsid w:val="007D681A"/>
    <w:rsid w:val="007D7062"/>
    <w:rsid w:val="007D70F4"/>
    <w:rsid w:val="007D757E"/>
    <w:rsid w:val="007D76D0"/>
    <w:rsid w:val="007D78D1"/>
    <w:rsid w:val="007D7A80"/>
    <w:rsid w:val="007D7D67"/>
    <w:rsid w:val="007E0159"/>
    <w:rsid w:val="007E03E2"/>
    <w:rsid w:val="007E0B6F"/>
    <w:rsid w:val="007E0E7F"/>
    <w:rsid w:val="007E12AD"/>
    <w:rsid w:val="007E12F7"/>
    <w:rsid w:val="007E17C2"/>
    <w:rsid w:val="007E180F"/>
    <w:rsid w:val="007E1B40"/>
    <w:rsid w:val="007E1FA4"/>
    <w:rsid w:val="007E2653"/>
    <w:rsid w:val="007E29B4"/>
    <w:rsid w:val="007E2DDE"/>
    <w:rsid w:val="007E3721"/>
    <w:rsid w:val="007E3832"/>
    <w:rsid w:val="007E3C7E"/>
    <w:rsid w:val="007E409A"/>
    <w:rsid w:val="007E43EB"/>
    <w:rsid w:val="007E49A4"/>
    <w:rsid w:val="007E56F1"/>
    <w:rsid w:val="007E5BBB"/>
    <w:rsid w:val="007E6040"/>
    <w:rsid w:val="007E6259"/>
    <w:rsid w:val="007E633B"/>
    <w:rsid w:val="007E6514"/>
    <w:rsid w:val="007E6FA5"/>
    <w:rsid w:val="007E6FD2"/>
    <w:rsid w:val="007E79BE"/>
    <w:rsid w:val="007E7EAE"/>
    <w:rsid w:val="007F0031"/>
    <w:rsid w:val="007F09F0"/>
    <w:rsid w:val="007F140B"/>
    <w:rsid w:val="007F14A7"/>
    <w:rsid w:val="007F17D8"/>
    <w:rsid w:val="007F1800"/>
    <w:rsid w:val="007F1A14"/>
    <w:rsid w:val="007F1C22"/>
    <w:rsid w:val="007F1DA5"/>
    <w:rsid w:val="007F2642"/>
    <w:rsid w:val="007F2C50"/>
    <w:rsid w:val="007F40EF"/>
    <w:rsid w:val="007F41B8"/>
    <w:rsid w:val="007F437E"/>
    <w:rsid w:val="007F494A"/>
    <w:rsid w:val="007F49DA"/>
    <w:rsid w:val="007F4C72"/>
    <w:rsid w:val="007F58ED"/>
    <w:rsid w:val="007F64E8"/>
    <w:rsid w:val="007F652C"/>
    <w:rsid w:val="007F6540"/>
    <w:rsid w:val="007F6CDA"/>
    <w:rsid w:val="007F6E0A"/>
    <w:rsid w:val="007F6E6A"/>
    <w:rsid w:val="007F72A3"/>
    <w:rsid w:val="007F7373"/>
    <w:rsid w:val="007F7549"/>
    <w:rsid w:val="0080094C"/>
    <w:rsid w:val="00800AEF"/>
    <w:rsid w:val="00800F35"/>
    <w:rsid w:val="0080165B"/>
    <w:rsid w:val="00801BF7"/>
    <w:rsid w:val="00801E8E"/>
    <w:rsid w:val="00801FCE"/>
    <w:rsid w:val="008028BF"/>
    <w:rsid w:val="008028EE"/>
    <w:rsid w:val="00802BBF"/>
    <w:rsid w:val="00802C6E"/>
    <w:rsid w:val="00802F4F"/>
    <w:rsid w:val="008032D7"/>
    <w:rsid w:val="0080337D"/>
    <w:rsid w:val="008033A5"/>
    <w:rsid w:val="008038BC"/>
    <w:rsid w:val="00803EDD"/>
    <w:rsid w:val="00803F8C"/>
    <w:rsid w:val="00804498"/>
    <w:rsid w:val="00804DCD"/>
    <w:rsid w:val="0080552D"/>
    <w:rsid w:val="008059EA"/>
    <w:rsid w:val="00805DD7"/>
    <w:rsid w:val="00805E6B"/>
    <w:rsid w:val="00805F44"/>
    <w:rsid w:val="00806087"/>
    <w:rsid w:val="00807041"/>
    <w:rsid w:val="00807972"/>
    <w:rsid w:val="00810283"/>
    <w:rsid w:val="008104C8"/>
    <w:rsid w:val="0081070D"/>
    <w:rsid w:val="00810B4D"/>
    <w:rsid w:val="00810E7D"/>
    <w:rsid w:val="0081113A"/>
    <w:rsid w:val="0081114D"/>
    <w:rsid w:val="0081156B"/>
    <w:rsid w:val="00811E05"/>
    <w:rsid w:val="00811EB9"/>
    <w:rsid w:val="00811F2A"/>
    <w:rsid w:val="0081235C"/>
    <w:rsid w:val="008125BD"/>
    <w:rsid w:val="00812CDC"/>
    <w:rsid w:val="008131BE"/>
    <w:rsid w:val="00813703"/>
    <w:rsid w:val="00814862"/>
    <w:rsid w:val="00814FAD"/>
    <w:rsid w:val="0081506B"/>
    <w:rsid w:val="00815242"/>
    <w:rsid w:val="00815B6F"/>
    <w:rsid w:val="00816637"/>
    <w:rsid w:val="0081667F"/>
    <w:rsid w:val="00816854"/>
    <w:rsid w:val="008177B1"/>
    <w:rsid w:val="00817AEB"/>
    <w:rsid w:val="00817E5E"/>
    <w:rsid w:val="00817EB9"/>
    <w:rsid w:val="00817EFA"/>
    <w:rsid w:val="00820067"/>
    <w:rsid w:val="008200C7"/>
    <w:rsid w:val="008208D3"/>
    <w:rsid w:val="00820B3E"/>
    <w:rsid w:val="00820C35"/>
    <w:rsid w:val="00820DC4"/>
    <w:rsid w:val="008213E5"/>
    <w:rsid w:val="008214F2"/>
    <w:rsid w:val="008215E9"/>
    <w:rsid w:val="00822031"/>
    <w:rsid w:val="0082207D"/>
    <w:rsid w:val="00822915"/>
    <w:rsid w:val="008238EC"/>
    <w:rsid w:val="00823EDF"/>
    <w:rsid w:val="00823F20"/>
    <w:rsid w:val="008245F5"/>
    <w:rsid w:val="008246E7"/>
    <w:rsid w:val="008247DA"/>
    <w:rsid w:val="00824FA9"/>
    <w:rsid w:val="00825556"/>
    <w:rsid w:val="008255FB"/>
    <w:rsid w:val="0082645A"/>
    <w:rsid w:val="0082658C"/>
    <w:rsid w:val="00826F99"/>
    <w:rsid w:val="008270DB"/>
    <w:rsid w:val="008277AE"/>
    <w:rsid w:val="00827EF5"/>
    <w:rsid w:val="0083010F"/>
    <w:rsid w:val="00830284"/>
    <w:rsid w:val="00830A6E"/>
    <w:rsid w:val="00830C51"/>
    <w:rsid w:val="00830D70"/>
    <w:rsid w:val="00830F51"/>
    <w:rsid w:val="008311C3"/>
    <w:rsid w:val="0083124A"/>
    <w:rsid w:val="0083197E"/>
    <w:rsid w:val="00831BB2"/>
    <w:rsid w:val="00832033"/>
    <w:rsid w:val="00832069"/>
    <w:rsid w:val="0083235C"/>
    <w:rsid w:val="00832699"/>
    <w:rsid w:val="008327CF"/>
    <w:rsid w:val="0083309B"/>
    <w:rsid w:val="00833418"/>
    <w:rsid w:val="00833446"/>
    <w:rsid w:val="008335E4"/>
    <w:rsid w:val="00833910"/>
    <w:rsid w:val="00833F99"/>
    <w:rsid w:val="00834297"/>
    <w:rsid w:val="008342A4"/>
    <w:rsid w:val="0083441D"/>
    <w:rsid w:val="008344A7"/>
    <w:rsid w:val="008351DF"/>
    <w:rsid w:val="008358E0"/>
    <w:rsid w:val="00835AF5"/>
    <w:rsid w:val="00835DC8"/>
    <w:rsid w:val="008366C6"/>
    <w:rsid w:val="00836717"/>
    <w:rsid w:val="00836989"/>
    <w:rsid w:val="008373EF"/>
    <w:rsid w:val="008379B0"/>
    <w:rsid w:val="008379C7"/>
    <w:rsid w:val="00837A39"/>
    <w:rsid w:val="00837BE5"/>
    <w:rsid w:val="00837C4C"/>
    <w:rsid w:val="00840343"/>
    <w:rsid w:val="0084039D"/>
    <w:rsid w:val="0084089C"/>
    <w:rsid w:val="00840A99"/>
    <w:rsid w:val="00840BAC"/>
    <w:rsid w:val="0084102B"/>
    <w:rsid w:val="008415DC"/>
    <w:rsid w:val="0084174E"/>
    <w:rsid w:val="00842E85"/>
    <w:rsid w:val="008433E7"/>
    <w:rsid w:val="008436CC"/>
    <w:rsid w:val="00843CAF"/>
    <w:rsid w:val="00843FB4"/>
    <w:rsid w:val="00844915"/>
    <w:rsid w:val="00844A4E"/>
    <w:rsid w:val="00844C79"/>
    <w:rsid w:val="00844CA7"/>
    <w:rsid w:val="00845142"/>
    <w:rsid w:val="0084540C"/>
    <w:rsid w:val="008457A7"/>
    <w:rsid w:val="00845FF5"/>
    <w:rsid w:val="00845FF9"/>
    <w:rsid w:val="008463CE"/>
    <w:rsid w:val="00846D20"/>
    <w:rsid w:val="00846F17"/>
    <w:rsid w:val="00847A56"/>
    <w:rsid w:val="0085009E"/>
    <w:rsid w:val="008500CF"/>
    <w:rsid w:val="00850237"/>
    <w:rsid w:val="008506BF"/>
    <w:rsid w:val="00850DA6"/>
    <w:rsid w:val="008511AC"/>
    <w:rsid w:val="0085123A"/>
    <w:rsid w:val="00851390"/>
    <w:rsid w:val="00851581"/>
    <w:rsid w:val="008519EF"/>
    <w:rsid w:val="00852064"/>
    <w:rsid w:val="00852C09"/>
    <w:rsid w:val="008532B1"/>
    <w:rsid w:val="00853513"/>
    <w:rsid w:val="00855DCA"/>
    <w:rsid w:val="0085615A"/>
    <w:rsid w:val="00856851"/>
    <w:rsid w:val="00856BB0"/>
    <w:rsid w:val="00857414"/>
    <w:rsid w:val="008574C9"/>
    <w:rsid w:val="00860E10"/>
    <w:rsid w:val="00860ED6"/>
    <w:rsid w:val="00861125"/>
    <w:rsid w:val="00861771"/>
    <w:rsid w:val="00861A1D"/>
    <w:rsid w:val="00861D94"/>
    <w:rsid w:val="00861F90"/>
    <w:rsid w:val="0086210C"/>
    <w:rsid w:val="008621A0"/>
    <w:rsid w:val="00862892"/>
    <w:rsid w:val="008628BF"/>
    <w:rsid w:val="00863B6E"/>
    <w:rsid w:val="00863C62"/>
    <w:rsid w:val="0086404C"/>
    <w:rsid w:val="008645D7"/>
    <w:rsid w:val="00864699"/>
    <w:rsid w:val="0086485F"/>
    <w:rsid w:val="00864C11"/>
    <w:rsid w:val="0086501A"/>
    <w:rsid w:val="008652F8"/>
    <w:rsid w:val="00865664"/>
    <w:rsid w:val="00865C14"/>
    <w:rsid w:val="00865EB7"/>
    <w:rsid w:val="00866835"/>
    <w:rsid w:val="00866D76"/>
    <w:rsid w:val="00866D80"/>
    <w:rsid w:val="00866F16"/>
    <w:rsid w:val="0086708A"/>
    <w:rsid w:val="008674BE"/>
    <w:rsid w:val="00867698"/>
    <w:rsid w:val="008676D7"/>
    <w:rsid w:val="00867938"/>
    <w:rsid w:val="00867BA5"/>
    <w:rsid w:val="00870372"/>
    <w:rsid w:val="00870391"/>
    <w:rsid w:val="008704C7"/>
    <w:rsid w:val="00870D1A"/>
    <w:rsid w:val="00870D7E"/>
    <w:rsid w:val="00870E60"/>
    <w:rsid w:val="00870E6F"/>
    <w:rsid w:val="00871507"/>
    <w:rsid w:val="008719C1"/>
    <w:rsid w:val="00871C9F"/>
    <w:rsid w:val="008721BE"/>
    <w:rsid w:val="008723B7"/>
    <w:rsid w:val="0087273C"/>
    <w:rsid w:val="00872ADF"/>
    <w:rsid w:val="00872D8A"/>
    <w:rsid w:val="00872EB7"/>
    <w:rsid w:val="00873018"/>
    <w:rsid w:val="008731C3"/>
    <w:rsid w:val="008733D9"/>
    <w:rsid w:val="00873547"/>
    <w:rsid w:val="0087363F"/>
    <w:rsid w:val="008736B2"/>
    <w:rsid w:val="008744E8"/>
    <w:rsid w:val="0087488E"/>
    <w:rsid w:val="00874992"/>
    <w:rsid w:val="00875461"/>
    <w:rsid w:val="008759DD"/>
    <w:rsid w:val="00875B9F"/>
    <w:rsid w:val="00875CED"/>
    <w:rsid w:val="0087631B"/>
    <w:rsid w:val="008764D1"/>
    <w:rsid w:val="00876C53"/>
    <w:rsid w:val="00876D42"/>
    <w:rsid w:val="00876E1B"/>
    <w:rsid w:val="00876E5C"/>
    <w:rsid w:val="008770D1"/>
    <w:rsid w:val="008777C5"/>
    <w:rsid w:val="00880134"/>
    <w:rsid w:val="00880156"/>
    <w:rsid w:val="00880582"/>
    <w:rsid w:val="008811EA"/>
    <w:rsid w:val="00881860"/>
    <w:rsid w:val="0088195E"/>
    <w:rsid w:val="00882158"/>
    <w:rsid w:val="008821F5"/>
    <w:rsid w:val="008822FF"/>
    <w:rsid w:val="0088300C"/>
    <w:rsid w:val="00883496"/>
    <w:rsid w:val="0088393B"/>
    <w:rsid w:val="00883B3E"/>
    <w:rsid w:val="00884204"/>
    <w:rsid w:val="008844C7"/>
    <w:rsid w:val="008846A7"/>
    <w:rsid w:val="00884906"/>
    <w:rsid w:val="00884958"/>
    <w:rsid w:val="008849BD"/>
    <w:rsid w:val="00884C9E"/>
    <w:rsid w:val="00884DD4"/>
    <w:rsid w:val="00885537"/>
    <w:rsid w:val="00885911"/>
    <w:rsid w:val="00885958"/>
    <w:rsid w:val="00886204"/>
    <w:rsid w:val="008862A6"/>
    <w:rsid w:val="00886670"/>
    <w:rsid w:val="008867C0"/>
    <w:rsid w:val="0088693A"/>
    <w:rsid w:val="00886D91"/>
    <w:rsid w:val="00886EE4"/>
    <w:rsid w:val="00887367"/>
    <w:rsid w:val="00887753"/>
    <w:rsid w:val="00887755"/>
    <w:rsid w:val="0089027D"/>
    <w:rsid w:val="00890F15"/>
    <w:rsid w:val="00890FD7"/>
    <w:rsid w:val="008912AB"/>
    <w:rsid w:val="008915EA"/>
    <w:rsid w:val="0089191D"/>
    <w:rsid w:val="008919BE"/>
    <w:rsid w:val="00891C6B"/>
    <w:rsid w:val="00891FE0"/>
    <w:rsid w:val="00892248"/>
    <w:rsid w:val="008924EB"/>
    <w:rsid w:val="00892E8A"/>
    <w:rsid w:val="00893C00"/>
    <w:rsid w:val="00893D91"/>
    <w:rsid w:val="0089434F"/>
    <w:rsid w:val="00894614"/>
    <w:rsid w:val="00894770"/>
    <w:rsid w:val="00894E23"/>
    <w:rsid w:val="008951BC"/>
    <w:rsid w:val="008954E2"/>
    <w:rsid w:val="008955A5"/>
    <w:rsid w:val="008956FF"/>
    <w:rsid w:val="00895888"/>
    <w:rsid w:val="00895A4B"/>
    <w:rsid w:val="008962FE"/>
    <w:rsid w:val="008966FC"/>
    <w:rsid w:val="00896DBB"/>
    <w:rsid w:val="00896F5A"/>
    <w:rsid w:val="008972CA"/>
    <w:rsid w:val="0089770E"/>
    <w:rsid w:val="008977DC"/>
    <w:rsid w:val="00897ABD"/>
    <w:rsid w:val="00897BA3"/>
    <w:rsid w:val="008A043F"/>
    <w:rsid w:val="008A055E"/>
    <w:rsid w:val="008A06F4"/>
    <w:rsid w:val="008A07D1"/>
    <w:rsid w:val="008A08C7"/>
    <w:rsid w:val="008A1164"/>
    <w:rsid w:val="008A16D2"/>
    <w:rsid w:val="008A199D"/>
    <w:rsid w:val="008A1B2F"/>
    <w:rsid w:val="008A2316"/>
    <w:rsid w:val="008A276F"/>
    <w:rsid w:val="008A27A4"/>
    <w:rsid w:val="008A27A8"/>
    <w:rsid w:val="008A2C48"/>
    <w:rsid w:val="008A2EF5"/>
    <w:rsid w:val="008A3D7A"/>
    <w:rsid w:val="008A3FFA"/>
    <w:rsid w:val="008A419E"/>
    <w:rsid w:val="008A41F5"/>
    <w:rsid w:val="008A436C"/>
    <w:rsid w:val="008A508F"/>
    <w:rsid w:val="008A52E7"/>
    <w:rsid w:val="008A53D4"/>
    <w:rsid w:val="008A5465"/>
    <w:rsid w:val="008A54F1"/>
    <w:rsid w:val="008A565F"/>
    <w:rsid w:val="008A576F"/>
    <w:rsid w:val="008A6F70"/>
    <w:rsid w:val="008A765C"/>
    <w:rsid w:val="008A78E3"/>
    <w:rsid w:val="008A7F16"/>
    <w:rsid w:val="008B0012"/>
    <w:rsid w:val="008B0242"/>
    <w:rsid w:val="008B02DD"/>
    <w:rsid w:val="008B0681"/>
    <w:rsid w:val="008B08BD"/>
    <w:rsid w:val="008B0969"/>
    <w:rsid w:val="008B0C67"/>
    <w:rsid w:val="008B182E"/>
    <w:rsid w:val="008B1874"/>
    <w:rsid w:val="008B1C63"/>
    <w:rsid w:val="008B210A"/>
    <w:rsid w:val="008B2505"/>
    <w:rsid w:val="008B2E57"/>
    <w:rsid w:val="008B33D5"/>
    <w:rsid w:val="008B3459"/>
    <w:rsid w:val="008B348A"/>
    <w:rsid w:val="008B3ED6"/>
    <w:rsid w:val="008B410F"/>
    <w:rsid w:val="008B4311"/>
    <w:rsid w:val="008B4370"/>
    <w:rsid w:val="008B44A2"/>
    <w:rsid w:val="008B4822"/>
    <w:rsid w:val="008B49EF"/>
    <w:rsid w:val="008B4D4D"/>
    <w:rsid w:val="008B5A94"/>
    <w:rsid w:val="008B5FE2"/>
    <w:rsid w:val="008B6045"/>
    <w:rsid w:val="008B6371"/>
    <w:rsid w:val="008B63CA"/>
    <w:rsid w:val="008B6749"/>
    <w:rsid w:val="008B6A3F"/>
    <w:rsid w:val="008B72C6"/>
    <w:rsid w:val="008B7461"/>
    <w:rsid w:val="008B7F19"/>
    <w:rsid w:val="008C0077"/>
    <w:rsid w:val="008C01DE"/>
    <w:rsid w:val="008C0319"/>
    <w:rsid w:val="008C064C"/>
    <w:rsid w:val="008C0946"/>
    <w:rsid w:val="008C12CA"/>
    <w:rsid w:val="008C17FE"/>
    <w:rsid w:val="008C2315"/>
    <w:rsid w:val="008C2392"/>
    <w:rsid w:val="008C25B3"/>
    <w:rsid w:val="008C2869"/>
    <w:rsid w:val="008C2C9B"/>
    <w:rsid w:val="008C2E72"/>
    <w:rsid w:val="008C2F70"/>
    <w:rsid w:val="008C35AD"/>
    <w:rsid w:val="008C369A"/>
    <w:rsid w:val="008C3A9F"/>
    <w:rsid w:val="008C3C5A"/>
    <w:rsid w:val="008C3D8D"/>
    <w:rsid w:val="008C3FBF"/>
    <w:rsid w:val="008C425D"/>
    <w:rsid w:val="008C454C"/>
    <w:rsid w:val="008C46DC"/>
    <w:rsid w:val="008C48DA"/>
    <w:rsid w:val="008C4A2C"/>
    <w:rsid w:val="008C4BBD"/>
    <w:rsid w:val="008C4D15"/>
    <w:rsid w:val="008C4FDC"/>
    <w:rsid w:val="008C5C23"/>
    <w:rsid w:val="008C5C91"/>
    <w:rsid w:val="008C5F6B"/>
    <w:rsid w:val="008C609D"/>
    <w:rsid w:val="008C61D3"/>
    <w:rsid w:val="008C6279"/>
    <w:rsid w:val="008C66AB"/>
    <w:rsid w:val="008C67D2"/>
    <w:rsid w:val="008C69D6"/>
    <w:rsid w:val="008C6A0C"/>
    <w:rsid w:val="008C6F82"/>
    <w:rsid w:val="008C7004"/>
    <w:rsid w:val="008C7A57"/>
    <w:rsid w:val="008C7FA0"/>
    <w:rsid w:val="008C7FDF"/>
    <w:rsid w:val="008D0130"/>
    <w:rsid w:val="008D0200"/>
    <w:rsid w:val="008D03F8"/>
    <w:rsid w:val="008D0616"/>
    <w:rsid w:val="008D08EC"/>
    <w:rsid w:val="008D0A41"/>
    <w:rsid w:val="008D1138"/>
    <w:rsid w:val="008D12B3"/>
    <w:rsid w:val="008D1597"/>
    <w:rsid w:val="008D17BC"/>
    <w:rsid w:val="008D1891"/>
    <w:rsid w:val="008D1D2D"/>
    <w:rsid w:val="008D2753"/>
    <w:rsid w:val="008D3039"/>
    <w:rsid w:val="008D3458"/>
    <w:rsid w:val="008D3558"/>
    <w:rsid w:val="008D3AFE"/>
    <w:rsid w:val="008D41FA"/>
    <w:rsid w:val="008D4DAB"/>
    <w:rsid w:val="008D5321"/>
    <w:rsid w:val="008D5611"/>
    <w:rsid w:val="008D58F8"/>
    <w:rsid w:val="008D6208"/>
    <w:rsid w:val="008D63DF"/>
    <w:rsid w:val="008D6AE7"/>
    <w:rsid w:val="008D6BF5"/>
    <w:rsid w:val="008D6C64"/>
    <w:rsid w:val="008D74F3"/>
    <w:rsid w:val="008D78E9"/>
    <w:rsid w:val="008D79FA"/>
    <w:rsid w:val="008D7AE0"/>
    <w:rsid w:val="008D7C25"/>
    <w:rsid w:val="008E048D"/>
    <w:rsid w:val="008E0D2A"/>
    <w:rsid w:val="008E0F17"/>
    <w:rsid w:val="008E194D"/>
    <w:rsid w:val="008E1E7C"/>
    <w:rsid w:val="008E1F50"/>
    <w:rsid w:val="008E2048"/>
    <w:rsid w:val="008E20A2"/>
    <w:rsid w:val="008E2281"/>
    <w:rsid w:val="008E2375"/>
    <w:rsid w:val="008E2586"/>
    <w:rsid w:val="008E2662"/>
    <w:rsid w:val="008E28F2"/>
    <w:rsid w:val="008E2B0A"/>
    <w:rsid w:val="008E2C42"/>
    <w:rsid w:val="008E3132"/>
    <w:rsid w:val="008E36E3"/>
    <w:rsid w:val="008E372B"/>
    <w:rsid w:val="008E37D2"/>
    <w:rsid w:val="008E3920"/>
    <w:rsid w:val="008E3A1A"/>
    <w:rsid w:val="008E3B8F"/>
    <w:rsid w:val="008E3B91"/>
    <w:rsid w:val="008E3C35"/>
    <w:rsid w:val="008E3C52"/>
    <w:rsid w:val="008E3D38"/>
    <w:rsid w:val="008E4B9C"/>
    <w:rsid w:val="008E4EE9"/>
    <w:rsid w:val="008E50F6"/>
    <w:rsid w:val="008E5D17"/>
    <w:rsid w:val="008E5F72"/>
    <w:rsid w:val="008E61E8"/>
    <w:rsid w:val="008E7123"/>
    <w:rsid w:val="008E76E1"/>
    <w:rsid w:val="008E7B61"/>
    <w:rsid w:val="008E7C4C"/>
    <w:rsid w:val="008E7F68"/>
    <w:rsid w:val="008E7FF3"/>
    <w:rsid w:val="008F0533"/>
    <w:rsid w:val="008F05F7"/>
    <w:rsid w:val="008F07CB"/>
    <w:rsid w:val="008F08D7"/>
    <w:rsid w:val="008F09F2"/>
    <w:rsid w:val="008F0BD4"/>
    <w:rsid w:val="008F0E45"/>
    <w:rsid w:val="008F0E57"/>
    <w:rsid w:val="008F13FA"/>
    <w:rsid w:val="008F152E"/>
    <w:rsid w:val="008F17A7"/>
    <w:rsid w:val="008F1922"/>
    <w:rsid w:val="008F1E22"/>
    <w:rsid w:val="008F2440"/>
    <w:rsid w:val="008F2531"/>
    <w:rsid w:val="008F2948"/>
    <w:rsid w:val="008F2D82"/>
    <w:rsid w:val="008F3153"/>
    <w:rsid w:val="008F32B0"/>
    <w:rsid w:val="008F39B6"/>
    <w:rsid w:val="008F3AF6"/>
    <w:rsid w:val="008F3AFB"/>
    <w:rsid w:val="008F3DDD"/>
    <w:rsid w:val="008F4347"/>
    <w:rsid w:val="008F4437"/>
    <w:rsid w:val="008F4915"/>
    <w:rsid w:val="008F4C57"/>
    <w:rsid w:val="008F4DD5"/>
    <w:rsid w:val="008F5279"/>
    <w:rsid w:val="008F5359"/>
    <w:rsid w:val="008F5521"/>
    <w:rsid w:val="008F5542"/>
    <w:rsid w:val="008F5AE7"/>
    <w:rsid w:val="008F6451"/>
    <w:rsid w:val="008F6B62"/>
    <w:rsid w:val="008F6EBE"/>
    <w:rsid w:val="008F74AB"/>
    <w:rsid w:val="008F74C2"/>
    <w:rsid w:val="008F7596"/>
    <w:rsid w:val="008F7ACA"/>
    <w:rsid w:val="008F7B54"/>
    <w:rsid w:val="008F7E2F"/>
    <w:rsid w:val="0090091D"/>
    <w:rsid w:val="00902173"/>
    <w:rsid w:val="009023DE"/>
    <w:rsid w:val="00902402"/>
    <w:rsid w:val="009026F7"/>
    <w:rsid w:val="00902E1C"/>
    <w:rsid w:val="00902F73"/>
    <w:rsid w:val="00903102"/>
    <w:rsid w:val="00903384"/>
    <w:rsid w:val="0090379C"/>
    <w:rsid w:val="009038A2"/>
    <w:rsid w:val="009038A3"/>
    <w:rsid w:val="00903919"/>
    <w:rsid w:val="00903B75"/>
    <w:rsid w:val="00903DDA"/>
    <w:rsid w:val="00903FEC"/>
    <w:rsid w:val="0090458B"/>
    <w:rsid w:val="009046AE"/>
    <w:rsid w:val="00904B26"/>
    <w:rsid w:val="00904D6D"/>
    <w:rsid w:val="00904DD8"/>
    <w:rsid w:val="00904F25"/>
    <w:rsid w:val="00905836"/>
    <w:rsid w:val="009062B5"/>
    <w:rsid w:val="009062C1"/>
    <w:rsid w:val="00906BDF"/>
    <w:rsid w:val="00906E1D"/>
    <w:rsid w:val="009074F6"/>
    <w:rsid w:val="00907E1B"/>
    <w:rsid w:val="0091013B"/>
    <w:rsid w:val="00910299"/>
    <w:rsid w:val="00910506"/>
    <w:rsid w:val="009105DA"/>
    <w:rsid w:val="0091089D"/>
    <w:rsid w:val="0091161F"/>
    <w:rsid w:val="009117E9"/>
    <w:rsid w:val="00911931"/>
    <w:rsid w:val="0091198E"/>
    <w:rsid w:val="00911A20"/>
    <w:rsid w:val="009122D2"/>
    <w:rsid w:val="0091249A"/>
    <w:rsid w:val="0091295A"/>
    <w:rsid w:val="00912A4F"/>
    <w:rsid w:val="00912C95"/>
    <w:rsid w:val="00913246"/>
    <w:rsid w:val="0091377A"/>
    <w:rsid w:val="00913791"/>
    <w:rsid w:val="009142A7"/>
    <w:rsid w:val="00914345"/>
    <w:rsid w:val="00914924"/>
    <w:rsid w:val="00914A9E"/>
    <w:rsid w:val="00914C23"/>
    <w:rsid w:val="00914DF6"/>
    <w:rsid w:val="00915767"/>
    <w:rsid w:val="0091576B"/>
    <w:rsid w:val="009158F5"/>
    <w:rsid w:val="00915A6B"/>
    <w:rsid w:val="00915D61"/>
    <w:rsid w:val="00916420"/>
    <w:rsid w:val="00916B5D"/>
    <w:rsid w:val="0091773B"/>
    <w:rsid w:val="00917BF0"/>
    <w:rsid w:val="00917F97"/>
    <w:rsid w:val="00917FDE"/>
    <w:rsid w:val="00917FFE"/>
    <w:rsid w:val="009205F1"/>
    <w:rsid w:val="00920BAD"/>
    <w:rsid w:val="009214C3"/>
    <w:rsid w:val="009218CC"/>
    <w:rsid w:val="00921AAF"/>
    <w:rsid w:val="00923451"/>
    <w:rsid w:val="00923AB2"/>
    <w:rsid w:val="00923C70"/>
    <w:rsid w:val="00923D6E"/>
    <w:rsid w:val="00924169"/>
    <w:rsid w:val="00924230"/>
    <w:rsid w:val="009242E4"/>
    <w:rsid w:val="00924346"/>
    <w:rsid w:val="0092434B"/>
    <w:rsid w:val="00924750"/>
    <w:rsid w:val="00924980"/>
    <w:rsid w:val="00924A55"/>
    <w:rsid w:val="00924CAD"/>
    <w:rsid w:val="00924D21"/>
    <w:rsid w:val="009255CA"/>
    <w:rsid w:val="00925E37"/>
    <w:rsid w:val="00925F30"/>
    <w:rsid w:val="00926414"/>
    <w:rsid w:val="0092641E"/>
    <w:rsid w:val="00926FD6"/>
    <w:rsid w:val="00927ECA"/>
    <w:rsid w:val="0093003B"/>
    <w:rsid w:val="0093014E"/>
    <w:rsid w:val="00930296"/>
    <w:rsid w:val="00930880"/>
    <w:rsid w:val="00930BC7"/>
    <w:rsid w:val="00930E32"/>
    <w:rsid w:val="009314E1"/>
    <w:rsid w:val="0093177D"/>
    <w:rsid w:val="0093189F"/>
    <w:rsid w:val="00931D54"/>
    <w:rsid w:val="00931E63"/>
    <w:rsid w:val="00931F72"/>
    <w:rsid w:val="00931FC0"/>
    <w:rsid w:val="00932317"/>
    <w:rsid w:val="00932C25"/>
    <w:rsid w:val="00932CBB"/>
    <w:rsid w:val="00933084"/>
    <w:rsid w:val="009331B2"/>
    <w:rsid w:val="009331C7"/>
    <w:rsid w:val="00933469"/>
    <w:rsid w:val="00933BF7"/>
    <w:rsid w:val="00933C23"/>
    <w:rsid w:val="00934AB9"/>
    <w:rsid w:val="00934C4E"/>
    <w:rsid w:val="00934D99"/>
    <w:rsid w:val="0093552B"/>
    <w:rsid w:val="00935804"/>
    <w:rsid w:val="0093593C"/>
    <w:rsid w:val="00935C86"/>
    <w:rsid w:val="00935F8A"/>
    <w:rsid w:val="0093625C"/>
    <w:rsid w:val="009363BE"/>
    <w:rsid w:val="0093672E"/>
    <w:rsid w:val="00936775"/>
    <w:rsid w:val="009377BA"/>
    <w:rsid w:val="009379E3"/>
    <w:rsid w:val="00937DDF"/>
    <w:rsid w:val="0094094E"/>
    <w:rsid w:val="009410C2"/>
    <w:rsid w:val="00941A9E"/>
    <w:rsid w:val="00941D56"/>
    <w:rsid w:val="0094285A"/>
    <w:rsid w:val="00942B0E"/>
    <w:rsid w:val="00942C3A"/>
    <w:rsid w:val="0094392A"/>
    <w:rsid w:val="00943CFE"/>
    <w:rsid w:val="00944492"/>
    <w:rsid w:val="00944E44"/>
    <w:rsid w:val="0094514D"/>
    <w:rsid w:val="0094523C"/>
    <w:rsid w:val="00945365"/>
    <w:rsid w:val="0094580B"/>
    <w:rsid w:val="00945A40"/>
    <w:rsid w:val="00945BCF"/>
    <w:rsid w:val="0094621B"/>
    <w:rsid w:val="00946252"/>
    <w:rsid w:val="00946A9F"/>
    <w:rsid w:val="00946F1F"/>
    <w:rsid w:val="0094715B"/>
    <w:rsid w:val="0094718C"/>
    <w:rsid w:val="009471A3"/>
    <w:rsid w:val="009471A8"/>
    <w:rsid w:val="0094753A"/>
    <w:rsid w:val="0094775C"/>
    <w:rsid w:val="00947B4C"/>
    <w:rsid w:val="00947F07"/>
    <w:rsid w:val="00947FA2"/>
    <w:rsid w:val="0095092B"/>
    <w:rsid w:val="00950B5E"/>
    <w:rsid w:val="00950DCA"/>
    <w:rsid w:val="00950E6A"/>
    <w:rsid w:val="00950EED"/>
    <w:rsid w:val="00951940"/>
    <w:rsid w:val="00951C6A"/>
    <w:rsid w:val="00952234"/>
    <w:rsid w:val="0095296A"/>
    <w:rsid w:val="00952ABB"/>
    <w:rsid w:val="00952FED"/>
    <w:rsid w:val="009530BE"/>
    <w:rsid w:val="0095324A"/>
    <w:rsid w:val="00953419"/>
    <w:rsid w:val="009537A4"/>
    <w:rsid w:val="00953910"/>
    <w:rsid w:val="0095425A"/>
    <w:rsid w:val="009544D6"/>
    <w:rsid w:val="00954561"/>
    <w:rsid w:val="009547FF"/>
    <w:rsid w:val="00955163"/>
    <w:rsid w:val="009552DA"/>
    <w:rsid w:val="009553E5"/>
    <w:rsid w:val="009555BF"/>
    <w:rsid w:val="009559B3"/>
    <w:rsid w:val="00955B07"/>
    <w:rsid w:val="00955C27"/>
    <w:rsid w:val="00955FA9"/>
    <w:rsid w:val="009567A1"/>
    <w:rsid w:val="00956822"/>
    <w:rsid w:val="00956D26"/>
    <w:rsid w:val="00956F4A"/>
    <w:rsid w:val="009570EC"/>
    <w:rsid w:val="009579C4"/>
    <w:rsid w:val="00957DBB"/>
    <w:rsid w:val="00957EBA"/>
    <w:rsid w:val="00957F84"/>
    <w:rsid w:val="0096024E"/>
    <w:rsid w:val="00960648"/>
    <w:rsid w:val="009609A5"/>
    <w:rsid w:val="00960BE4"/>
    <w:rsid w:val="00961405"/>
    <w:rsid w:val="00961799"/>
    <w:rsid w:val="00961B19"/>
    <w:rsid w:val="00961E27"/>
    <w:rsid w:val="009621E8"/>
    <w:rsid w:val="00962671"/>
    <w:rsid w:val="00962A95"/>
    <w:rsid w:val="00962BEF"/>
    <w:rsid w:val="00962F09"/>
    <w:rsid w:val="00962F96"/>
    <w:rsid w:val="00963703"/>
    <w:rsid w:val="009639B5"/>
    <w:rsid w:val="00963CDE"/>
    <w:rsid w:val="00963DFF"/>
    <w:rsid w:val="00964479"/>
    <w:rsid w:val="00964878"/>
    <w:rsid w:val="00964E4D"/>
    <w:rsid w:val="0096537E"/>
    <w:rsid w:val="00965579"/>
    <w:rsid w:val="009656DD"/>
    <w:rsid w:val="00965812"/>
    <w:rsid w:val="00965989"/>
    <w:rsid w:val="0096618E"/>
    <w:rsid w:val="009667BB"/>
    <w:rsid w:val="009667CF"/>
    <w:rsid w:val="009667DC"/>
    <w:rsid w:val="009668B6"/>
    <w:rsid w:val="00966BDA"/>
    <w:rsid w:val="009671B7"/>
    <w:rsid w:val="0096758A"/>
    <w:rsid w:val="00967710"/>
    <w:rsid w:val="00967720"/>
    <w:rsid w:val="009678AE"/>
    <w:rsid w:val="00967E77"/>
    <w:rsid w:val="00967E99"/>
    <w:rsid w:val="009706D7"/>
    <w:rsid w:val="00972187"/>
    <w:rsid w:val="00972539"/>
    <w:rsid w:val="0097274F"/>
    <w:rsid w:val="009727A9"/>
    <w:rsid w:val="00972F90"/>
    <w:rsid w:val="00973001"/>
    <w:rsid w:val="009731D0"/>
    <w:rsid w:val="00973425"/>
    <w:rsid w:val="00973690"/>
    <w:rsid w:val="00973A63"/>
    <w:rsid w:val="00973B45"/>
    <w:rsid w:val="009745AD"/>
    <w:rsid w:val="0097485E"/>
    <w:rsid w:val="009748AC"/>
    <w:rsid w:val="00974B74"/>
    <w:rsid w:val="00974EC9"/>
    <w:rsid w:val="0097552F"/>
    <w:rsid w:val="00975B62"/>
    <w:rsid w:val="00975CA4"/>
    <w:rsid w:val="00975CAB"/>
    <w:rsid w:val="009761CB"/>
    <w:rsid w:val="00976A2E"/>
    <w:rsid w:val="00976E15"/>
    <w:rsid w:val="00976F4E"/>
    <w:rsid w:val="00977111"/>
    <w:rsid w:val="009774D4"/>
    <w:rsid w:val="0097794C"/>
    <w:rsid w:val="00977ABE"/>
    <w:rsid w:val="00977F56"/>
    <w:rsid w:val="00980555"/>
    <w:rsid w:val="0098069A"/>
    <w:rsid w:val="00980AB2"/>
    <w:rsid w:val="0098138C"/>
    <w:rsid w:val="00981967"/>
    <w:rsid w:val="00981A2C"/>
    <w:rsid w:val="00982029"/>
    <w:rsid w:val="0098250E"/>
    <w:rsid w:val="0098253B"/>
    <w:rsid w:val="00982F1A"/>
    <w:rsid w:val="009830D6"/>
    <w:rsid w:val="00983113"/>
    <w:rsid w:val="00983243"/>
    <w:rsid w:val="009839D5"/>
    <w:rsid w:val="00983C80"/>
    <w:rsid w:val="00984576"/>
    <w:rsid w:val="00984D49"/>
    <w:rsid w:val="0098501D"/>
    <w:rsid w:val="00985065"/>
    <w:rsid w:val="009856FC"/>
    <w:rsid w:val="009857D4"/>
    <w:rsid w:val="00985C66"/>
    <w:rsid w:val="00985E84"/>
    <w:rsid w:val="009861B4"/>
    <w:rsid w:val="00986AA2"/>
    <w:rsid w:val="00986B52"/>
    <w:rsid w:val="00986BE3"/>
    <w:rsid w:val="00986C18"/>
    <w:rsid w:val="00986F56"/>
    <w:rsid w:val="00987122"/>
    <w:rsid w:val="0098713C"/>
    <w:rsid w:val="009873DE"/>
    <w:rsid w:val="00987562"/>
    <w:rsid w:val="0098760F"/>
    <w:rsid w:val="00987A24"/>
    <w:rsid w:val="00987CF7"/>
    <w:rsid w:val="00987E72"/>
    <w:rsid w:val="0099000C"/>
    <w:rsid w:val="00990100"/>
    <w:rsid w:val="00990E1E"/>
    <w:rsid w:val="00991054"/>
    <w:rsid w:val="009914F0"/>
    <w:rsid w:val="00991910"/>
    <w:rsid w:val="00991BDF"/>
    <w:rsid w:val="009920C0"/>
    <w:rsid w:val="009923FF"/>
    <w:rsid w:val="00992C17"/>
    <w:rsid w:val="00993089"/>
    <w:rsid w:val="009937DE"/>
    <w:rsid w:val="00993F55"/>
    <w:rsid w:val="00994276"/>
    <w:rsid w:val="0099498B"/>
    <w:rsid w:val="00994AB5"/>
    <w:rsid w:val="00994EAE"/>
    <w:rsid w:val="00994F67"/>
    <w:rsid w:val="0099513B"/>
    <w:rsid w:val="00995288"/>
    <w:rsid w:val="00995310"/>
    <w:rsid w:val="0099541B"/>
    <w:rsid w:val="00995921"/>
    <w:rsid w:val="009961C5"/>
    <w:rsid w:val="0099678A"/>
    <w:rsid w:val="009967DA"/>
    <w:rsid w:val="00996B3C"/>
    <w:rsid w:val="00997000"/>
    <w:rsid w:val="00997251"/>
    <w:rsid w:val="00997544"/>
    <w:rsid w:val="0099780E"/>
    <w:rsid w:val="00997F75"/>
    <w:rsid w:val="00997FA0"/>
    <w:rsid w:val="009A1344"/>
    <w:rsid w:val="009A13BC"/>
    <w:rsid w:val="009A19D6"/>
    <w:rsid w:val="009A1C32"/>
    <w:rsid w:val="009A20CA"/>
    <w:rsid w:val="009A242A"/>
    <w:rsid w:val="009A2538"/>
    <w:rsid w:val="009A2B11"/>
    <w:rsid w:val="009A324B"/>
    <w:rsid w:val="009A3A01"/>
    <w:rsid w:val="009A3BA0"/>
    <w:rsid w:val="009A3C4F"/>
    <w:rsid w:val="009A3D8C"/>
    <w:rsid w:val="009A4775"/>
    <w:rsid w:val="009A48E8"/>
    <w:rsid w:val="009A490F"/>
    <w:rsid w:val="009A52D9"/>
    <w:rsid w:val="009A631B"/>
    <w:rsid w:val="009A70B1"/>
    <w:rsid w:val="009A716C"/>
    <w:rsid w:val="009A725E"/>
    <w:rsid w:val="009A7827"/>
    <w:rsid w:val="009A79AE"/>
    <w:rsid w:val="009A7CB4"/>
    <w:rsid w:val="009A7E86"/>
    <w:rsid w:val="009B037D"/>
    <w:rsid w:val="009B05A8"/>
    <w:rsid w:val="009B060E"/>
    <w:rsid w:val="009B0917"/>
    <w:rsid w:val="009B0D2A"/>
    <w:rsid w:val="009B0E0E"/>
    <w:rsid w:val="009B1202"/>
    <w:rsid w:val="009B1DF5"/>
    <w:rsid w:val="009B1E53"/>
    <w:rsid w:val="009B263B"/>
    <w:rsid w:val="009B2741"/>
    <w:rsid w:val="009B285B"/>
    <w:rsid w:val="009B33BC"/>
    <w:rsid w:val="009B3AC5"/>
    <w:rsid w:val="009B50BB"/>
    <w:rsid w:val="009B5122"/>
    <w:rsid w:val="009B52E2"/>
    <w:rsid w:val="009B56DC"/>
    <w:rsid w:val="009B595C"/>
    <w:rsid w:val="009B5C2D"/>
    <w:rsid w:val="009B658E"/>
    <w:rsid w:val="009B66CF"/>
    <w:rsid w:val="009B67C6"/>
    <w:rsid w:val="009B7014"/>
    <w:rsid w:val="009B7411"/>
    <w:rsid w:val="009B751E"/>
    <w:rsid w:val="009B764D"/>
    <w:rsid w:val="009B7931"/>
    <w:rsid w:val="009B7B5D"/>
    <w:rsid w:val="009B7D7C"/>
    <w:rsid w:val="009B7DC5"/>
    <w:rsid w:val="009B7F59"/>
    <w:rsid w:val="009B7F5A"/>
    <w:rsid w:val="009B7F7E"/>
    <w:rsid w:val="009C036D"/>
    <w:rsid w:val="009C06D7"/>
    <w:rsid w:val="009C0979"/>
    <w:rsid w:val="009C0FD4"/>
    <w:rsid w:val="009C13B2"/>
    <w:rsid w:val="009C18A4"/>
    <w:rsid w:val="009C19C7"/>
    <w:rsid w:val="009C1ED8"/>
    <w:rsid w:val="009C1FDF"/>
    <w:rsid w:val="009C1FFE"/>
    <w:rsid w:val="009C39FA"/>
    <w:rsid w:val="009C3AB3"/>
    <w:rsid w:val="009C3E1D"/>
    <w:rsid w:val="009C3EEB"/>
    <w:rsid w:val="009C3F62"/>
    <w:rsid w:val="009C417A"/>
    <w:rsid w:val="009C4C5F"/>
    <w:rsid w:val="009C5003"/>
    <w:rsid w:val="009C5C25"/>
    <w:rsid w:val="009C5D09"/>
    <w:rsid w:val="009C5E1B"/>
    <w:rsid w:val="009C65FD"/>
    <w:rsid w:val="009C66A2"/>
    <w:rsid w:val="009C69B7"/>
    <w:rsid w:val="009C6AE2"/>
    <w:rsid w:val="009C6D45"/>
    <w:rsid w:val="009C6D99"/>
    <w:rsid w:val="009C7FFC"/>
    <w:rsid w:val="009D068D"/>
    <w:rsid w:val="009D0D83"/>
    <w:rsid w:val="009D1A73"/>
    <w:rsid w:val="009D206A"/>
    <w:rsid w:val="009D23D3"/>
    <w:rsid w:val="009D2B87"/>
    <w:rsid w:val="009D2DA6"/>
    <w:rsid w:val="009D46FE"/>
    <w:rsid w:val="009D4968"/>
    <w:rsid w:val="009D49AB"/>
    <w:rsid w:val="009D4A9A"/>
    <w:rsid w:val="009D50E1"/>
    <w:rsid w:val="009D5908"/>
    <w:rsid w:val="009D5C63"/>
    <w:rsid w:val="009D5E3E"/>
    <w:rsid w:val="009D5FBB"/>
    <w:rsid w:val="009D6468"/>
    <w:rsid w:val="009D660D"/>
    <w:rsid w:val="009D6745"/>
    <w:rsid w:val="009D697B"/>
    <w:rsid w:val="009D6B94"/>
    <w:rsid w:val="009D76D7"/>
    <w:rsid w:val="009D7990"/>
    <w:rsid w:val="009D7C01"/>
    <w:rsid w:val="009D7C5C"/>
    <w:rsid w:val="009D7EEF"/>
    <w:rsid w:val="009E04B7"/>
    <w:rsid w:val="009E096C"/>
    <w:rsid w:val="009E0C12"/>
    <w:rsid w:val="009E0C1B"/>
    <w:rsid w:val="009E0FD1"/>
    <w:rsid w:val="009E128F"/>
    <w:rsid w:val="009E13A0"/>
    <w:rsid w:val="009E19CE"/>
    <w:rsid w:val="009E1C7F"/>
    <w:rsid w:val="009E1DBA"/>
    <w:rsid w:val="009E1DFF"/>
    <w:rsid w:val="009E220A"/>
    <w:rsid w:val="009E2490"/>
    <w:rsid w:val="009E2921"/>
    <w:rsid w:val="009E295A"/>
    <w:rsid w:val="009E2D51"/>
    <w:rsid w:val="009E30B1"/>
    <w:rsid w:val="009E3384"/>
    <w:rsid w:val="009E35ED"/>
    <w:rsid w:val="009E3604"/>
    <w:rsid w:val="009E3C4D"/>
    <w:rsid w:val="009E3D6C"/>
    <w:rsid w:val="009E3E87"/>
    <w:rsid w:val="009E4529"/>
    <w:rsid w:val="009E48FD"/>
    <w:rsid w:val="009E4B2C"/>
    <w:rsid w:val="009E55CE"/>
    <w:rsid w:val="009E5701"/>
    <w:rsid w:val="009E5ED0"/>
    <w:rsid w:val="009E7174"/>
    <w:rsid w:val="009E7EDC"/>
    <w:rsid w:val="009F04A8"/>
    <w:rsid w:val="009F0663"/>
    <w:rsid w:val="009F0EEB"/>
    <w:rsid w:val="009F144A"/>
    <w:rsid w:val="009F1553"/>
    <w:rsid w:val="009F16C8"/>
    <w:rsid w:val="009F27BA"/>
    <w:rsid w:val="009F2A5A"/>
    <w:rsid w:val="009F2B8B"/>
    <w:rsid w:val="009F2C8D"/>
    <w:rsid w:val="009F39B4"/>
    <w:rsid w:val="009F480B"/>
    <w:rsid w:val="009F4C64"/>
    <w:rsid w:val="009F5AF3"/>
    <w:rsid w:val="009F61D0"/>
    <w:rsid w:val="009F654A"/>
    <w:rsid w:val="009F6602"/>
    <w:rsid w:val="009F6B3D"/>
    <w:rsid w:val="009F7182"/>
    <w:rsid w:val="009F71B9"/>
    <w:rsid w:val="009F739F"/>
    <w:rsid w:val="009F73A0"/>
    <w:rsid w:val="009F78AF"/>
    <w:rsid w:val="009F7A77"/>
    <w:rsid w:val="009F7A9C"/>
    <w:rsid w:val="00A00431"/>
    <w:rsid w:val="00A004FC"/>
    <w:rsid w:val="00A00C82"/>
    <w:rsid w:val="00A00CAD"/>
    <w:rsid w:val="00A01241"/>
    <w:rsid w:val="00A01AAA"/>
    <w:rsid w:val="00A01CD9"/>
    <w:rsid w:val="00A01EC3"/>
    <w:rsid w:val="00A02546"/>
    <w:rsid w:val="00A02574"/>
    <w:rsid w:val="00A02A6C"/>
    <w:rsid w:val="00A02C39"/>
    <w:rsid w:val="00A02EB0"/>
    <w:rsid w:val="00A031F2"/>
    <w:rsid w:val="00A040FE"/>
    <w:rsid w:val="00A041DE"/>
    <w:rsid w:val="00A04628"/>
    <w:rsid w:val="00A046FD"/>
    <w:rsid w:val="00A04B67"/>
    <w:rsid w:val="00A04C28"/>
    <w:rsid w:val="00A04D1D"/>
    <w:rsid w:val="00A04F74"/>
    <w:rsid w:val="00A04FF2"/>
    <w:rsid w:val="00A05008"/>
    <w:rsid w:val="00A056D2"/>
    <w:rsid w:val="00A0718A"/>
    <w:rsid w:val="00A073AA"/>
    <w:rsid w:val="00A1031C"/>
    <w:rsid w:val="00A10A1B"/>
    <w:rsid w:val="00A10D36"/>
    <w:rsid w:val="00A10D53"/>
    <w:rsid w:val="00A11327"/>
    <w:rsid w:val="00A1169F"/>
    <w:rsid w:val="00A11713"/>
    <w:rsid w:val="00A1177C"/>
    <w:rsid w:val="00A11E63"/>
    <w:rsid w:val="00A12416"/>
    <w:rsid w:val="00A12502"/>
    <w:rsid w:val="00A1250E"/>
    <w:rsid w:val="00A128E4"/>
    <w:rsid w:val="00A1327E"/>
    <w:rsid w:val="00A13689"/>
    <w:rsid w:val="00A142A4"/>
    <w:rsid w:val="00A14B91"/>
    <w:rsid w:val="00A14E41"/>
    <w:rsid w:val="00A152BE"/>
    <w:rsid w:val="00A1561A"/>
    <w:rsid w:val="00A15E4C"/>
    <w:rsid w:val="00A15E54"/>
    <w:rsid w:val="00A16A09"/>
    <w:rsid w:val="00A16C36"/>
    <w:rsid w:val="00A16E82"/>
    <w:rsid w:val="00A175F2"/>
    <w:rsid w:val="00A17636"/>
    <w:rsid w:val="00A1784E"/>
    <w:rsid w:val="00A17B45"/>
    <w:rsid w:val="00A17CD2"/>
    <w:rsid w:val="00A17CFB"/>
    <w:rsid w:val="00A17E77"/>
    <w:rsid w:val="00A20319"/>
    <w:rsid w:val="00A20616"/>
    <w:rsid w:val="00A20951"/>
    <w:rsid w:val="00A20AA6"/>
    <w:rsid w:val="00A2104E"/>
    <w:rsid w:val="00A21372"/>
    <w:rsid w:val="00A216FE"/>
    <w:rsid w:val="00A21809"/>
    <w:rsid w:val="00A21957"/>
    <w:rsid w:val="00A21DBE"/>
    <w:rsid w:val="00A21E78"/>
    <w:rsid w:val="00A2217F"/>
    <w:rsid w:val="00A2298B"/>
    <w:rsid w:val="00A22EB6"/>
    <w:rsid w:val="00A23A1D"/>
    <w:rsid w:val="00A23B0F"/>
    <w:rsid w:val="00A2416B"/>
    <w:rsid w:val="00A242C5"/>
    <w:rsid w:val="00A24326"/>
    <w:rsid w:val="00A245CE"/>
    <w:rsid w:val="00A2475D"/>
    <w:rsid w:val="00A247E6"/>
    <w:rsid w:val="00A248BA"/>
    <w:rsid w:val="00A2543C"/>
    <w:rsid w:val="00A25B25"/>
    <w:rsid w:val="00A26395"/>
    <w:rsid w:val="00A26581"/>
    <w:rsid w:val="00A266B6"/>
    <w:rsid w:val="00A268B8"/>
    <w:rsid w:val="00A26A8F"/>
    <w:rsid w:val="00A27183"/>
    <w:rsid w:val="00A272B5"/>
    <w:rsid w:val="00A2753F"/>
    <w:rsid w:val="00A27A0D"/>
    <w:rsid w:val="00A27AC6"/>
    <w:rsid w:val="00A27CC1"/>
    <w:rsid w:val="00A27FBF"/>
    <w:rsid w:val="00A30001"/>
    <w:rsid w:val="00A30279"/>
    <w:rsid w:val="00A303BA"/>
    <w:rsid w:val="00A31445"/>
    <w:rsid w:val="00A31C45"/>
    <w:rsid w:val="00A31C5A"/>
    <w:rsid w:val="00A31C96"/>
    <w:rsid w:val="00A31EFB"/>
    <w:rsid w:val="00A31F13"/>
    <w:rsid w:val="00A31F80"/>
    <w:rsid w:val="00A32347"/>
    <w:rsid w:val="00A3239B"/>
    <w:rsid w:val="00A327B2"/>
    <w:rsid w:val="00A3320C"/>
    <w:rsid w:val="00A333F4"/>
    <w:rsid w:val="00A33D18"/>
    <w:rsid w:val="00A33E26"/>
    <w:rsid w:val="00A347D3"/>
    <w:rsid w:val="00A349F7"/>
    <w:rsid w:val="00A34C4B"/>
    <w:rsid w:val="00A35136"/>
    <w:rsid w:val="00A351FF"/>
    <w:rsid w:val="00A35426"/>
    <w:rsid w:val="00A3556E"/>
    <w:rsid w:val="00A3573C"/>
    <w:rsid w:val="00A358B2"/>
    <w:rsid w:val="00A35ABD"/>
    <w:rsid w:val="00A35EE8"/>
    <w:rsid w:val="00A36129"/>
    <w:rsid w:val="00A36844"/>
    <w:rsid w:val="00A36EF9"/>
    <w:rsid w:val="00A370A1"/>
    <w:rsid w:val="00A400F2"/>
    <w:rsid w:val="00A4039D"/>
    <w:rsid w:val="00A40508"/>
    <w:rsid w:val="00A406E9"/>
    <w:rsid w:val="00A408A1"/>
    <w:rsid w:val="00A40B58"/>
    <w:rsid w:val="00A40C46"/>
    <w:rsid w:val="00A41091"/>
    <w:rsid w:val="00A4117E"/>
    <w:rsid w:val="00A41324"/>
    <w:rsid w:val="00A41CE7"/>
    <w:rsid w:val="00A41F7C"/>
    <w:rsid w:val="00A42D10"/>
    <w:rsid w:val="00A42D3B"/>
    <w:rsid w:val="00A42E75"/>
    <w:rsid w:val="00A43236"/>
    <w:rsid w:val="00A432BC"/>
    <w:rsid w:val="00A43822"/>
    <w:rsid w:val="00A43B1F"/>
    <w:rsid w:val="00A43D1D"/>
    <w:rsid w:val="00A43DAD"/>
    <w:rsid w:val="00A43FEB"/>
    <w:rsid w:val="00A44578"/>
    <w:rsid w:val="00A4476C"/>
    <w:rsid w:val="00A4495B"/>
    <w:rsid w:val="00A44AAC"/>
    <w:rsid w:val="00A44C84"/>
    <w:rsid w:val="00A44F36"/>
    <w:rsid w:val="00A45306"/>
    <w:rsid w:val="00A45ECA"/>
    <w:rsid w:val="00A462B2"/>
    <w:rsid w:val="00A46E71"/>
    <w:rsid w:val="00A47168"/>
    <w:rsid w:val="00A4738F"/>
    <w:rsid w:val="00A476A6"/>
    <w:rsid w:val="00A479FD"/>
    <w:rsid w:val="00A47F4C"/>
    <w:rsid w:val="00A5035A"/>
    <w:rsid w:val="00A506ED"/>
    <w:rsid w:val="00A5090B"/>
    <w:rsid w:val="00A50C77"/>
    <w:rsid w:val="00A50CE4"/>
    <w:rsid w:val="00A50F09"/>
    <w:rsid w:val="00A5123E"/>
    <w:rsid w:val="00A51E02"/>
    <w:rsid w:val="00A52148"/>
    <w:rsid w:val="00A5240F"/>
    <w:rsid w:val="00A52573"/>
    <w:rsid w:val="00A52A87"/>
    <w:rsid w:val="00A52D68"/>
    <w:rsid w:val="00A52F26"/>
    <w:rsid w:val="00A537D7"/>
    <w:rsid w:val="00A5394D"/>
    <w:rsid w:val="00A53C96"/>
    <w:rsid w:val="00A5405C"/>
    <w:rsid w:val="00A5432F"/>
    <w:rsid w:val="00A54800"/>
    <w:rsid w:val="00A54C1E"/>
    <w:rsid w:val="00A54CE4"/>
    <w:rsid w:val="00A54FF2"/>
    <w:rsid w:val="00A55187"/>
    <w:rsid w:val="00A552D8"/>
    <w:rsid w:val="00A5599C"/>
    <w:rsid w:val="00A55A89"/>
    <w:rsid w:val="00A55CAD"/>
    <w:rsid w:val="00A55E38"/>
    <w:rsid w:val="00A563FA"/>
    <w:rsid w:val="00A566AE"/>
    <w:rsid w:val="00A57190"/>
    <w:rsid w:val="00A577B7"/>
    <w:rsid w:val="00A577DC"/>
    <w:rsid w:val="00A57A51"/>
    <w:rsid w:val="00A57AD1"/>
    <w:rsid w:val="00A57C49"/>
    <w:rsid w:val="00A60D77"/>
    <w:rsid w:val="00A60FD5"/>
    <w:rsid w:val="00A6193F"/>
    <w:rsid w:val="00A619D4"/>
    <w:rsid w:val="00A61D13"/>
    <w:rsid w:val="00A61F6B"/>
    <w:rsid w:val="00A6268F"/>
    <w:rsid w:val="00A62B03"/>
    <w:rsid w:val="00A631A0"/>
    <w:rsid w:val="00A63381"/>
    <w:rsid w:val="00A64037"/>
    <w:rsid w:val="00A641F1"/>
    <w:rsid w:val="00A64998"/>
    <w:rsid w:val="00A64F3B"/>
    <w:rsid w:val="00A65102"/>
    <w:rsid w:val="00A654B6"/>
    <w:rsid w:val="00A655C1"/>
    <w:rsid w:val="00A6582B"/>
    <w:rsid w:val="00A65996"/>
    <w:rsid w:val="00A65A32"/>
    <w:rsid w:val="00A65C2A"/>
    <w:rsid w:val="00A65E0D"/>
    <w:rsid w:val="00A664C5"/>
    <w:rsid w:val="00A6714E"/>
    <w:rsid w:val="00A6739E"/>
    <w:rsid w:val="00A67FB9"/>
    <w:rsid w:val="00A70B91"/>
    <w:rsid w:val="00A70C07"/>
    <w:rsid w:val="00A70D92"/>
    <w:rsid w:val="00A70D97"/>
    <w:rsid w:val="00A7170B"/>
    <w:rsid w:val="00A718EB"/>
    <w:rsid w:val="00A71BA7"/>
    <w:rsid w:val="00A71D24"/>
    <w:rsid w:val="00A72734"/>
    <w:rsid w:val="00A7309A"/>
    <w:rsid w:val="00A73413"/>
    <w:rsid w:val="00A73A15"/>
    <w:rsid w:val="00A73BB6"/>
    <w:rsid w:val="00A73C5B"/>
    <w:rsid w:val="00A73DF0"/>
    <w:rsid w:val="00A73DFF"/>
    <w:rsid w:val="00A74235"/>
    <w:rsid w:val="00A7441A"/>
    <w:rsid w:val="00A7526C"/>
    <w:rsid w:val="00A75C6C"/>
    <w:rsid w:val="00A7604B"/>
    <w:rsid w:val="00A76691"/>
    <w:rsid w:val="00A77201"/>
    <w:rsid w:val="00A772F7"/>
    <w:rsid w:val="00A7732D"/>
    <w:rsid w:val="00A774DD"/>
    <w:rsid w:val="00A776F8"/>
    <w:rsid w:val="00A778E3"/>
    <w:rsid w:val="00A779D7"/>
    <w:rsid w:val="00A77C31"/>
    <w:rsid w:val="00A77D4A"/>
    <w:rsid w:val="00A804E8"/>
    <w:rsid w:val="00A80752"/>
    <w:rsid w:val="00A8093E"/>
    <w:rsid w:val="00A812E6"/>
    <w:rsid w:val="00A81A35"/>
    <w:rsid w:val="00A8290A"/>
    <w:rsid w:val="00A8295E"/>
    <w:rsid w:val="00A82AEB"/>
    <w:rsid w:val="00A82BEE"/>
    <w:rsid w:val="00A82EBC"/>
    <w:rsid w:val="00A8303B"/>
    <w:rsid w:val="00A83139"/>
    <w:rsid w:val="00A833C6"/>
    <w:rsid w:val="00A837CA"/>
    <w:rsid w:val="00A83858"/>
    <w:rsid w:val="00A846BE"/>
    <w:rsid w:val="00A84798"/>
    <w:rsid w:val="00A84F2C"/>
    <w:rsid w:val="00A85258"/>
    <w:rsid w:val="00A8553B"/>
    <w:rsid w:val="00A85597"/>
    <w:rsid w:val="00A85602"/>
    <w:rsid w:val="00A85ADD"/>
    <w:rsid w:val="00A85C1A"/>
    <w:rsid w:val="00A86203"/>
    <w:rsid w:val="00A862FA"/>
    <w:rsid w:val="00A87199"/>
    <w:rsid w:val="00A874A2"/>
    <w:rsid w:val="00A9086D"/>
    <w:rsid w:val="00A9095C"/>
    <w:rsid w:val="00A90A9C"/>
    <w:rsid w:val="00A90CF8"/>
    <w:rsid w:val="00A90F80"/>
    <w:rsid w:val="00A91696"/>
    <w:rsid w:val="00A91768"/>
    <w:rsid w:val="00A91B24"/>
    <w:rsid w:val="00A91E76"/>
    <w:rsid w:val="00A920B2"/>
    <w:rsid w:val="00A923A7"/>
    <w:rsid w:val="00A92573"/>
    <w:rsid w:val="00A927FD"/>
    <w:rsid w:val="00A92CE3"/>
    <w:rsid w:val="00A92DF3"/>
    <w:rsid w:val="00A92E91"/>
    <w:rsid w:val="00A92EF1"/>
    <w:rsid w:val="00A935E3"/>
    <w:rsid w:val="00A93788"/>
    <w:rsid w:val="00A93A28"/>
    <w:rsid w:val="00A93AAF"/>
    <w:rsid w:val="00A93D23"/>
    <w:rsid w:val="00A93EA2"/>
    <w:rsid w:val="00A946A9"/>
    <w:rsid w:val="00A9476E"/>
    <w:rsid w:val="00A949CC"/>
    <w:rsid w:val="00A94A7E"/>
    <w:rsid w:val="00A94CC8"/>
    <w:rsid w:val="00A94D0D"/>
    <w:rsid w:val="00A94EDE"/>
    <w:rsid w:val="00A95248"/>
    <w:rsid w:val="00A956FF"/>
    <w:rsid w:val="00A95E69"/>
    <w:rsid w:val="00A95FF7"/>
    <w:rsid w:val="00A96B0A"/>
    <w:rsid w:val="00A96B45"/>
    <w:rsid w:val="00A96F12"/>
    <w:rsid w:val="00A96F27"/>
    <w:rsid w:val="00A9708E"/>
    <w:rsid w:val="00A9731E"/>
    <w:rsid w:val="00A973FD"/>
    <w:rsid w:val="00A97D11"/>
    <w:rsid w:val="00A97EE7"/>
    <w:rsid w:val="00A97EF5"/>
    <w:rsid w:val="00A97F69"/>
    <w:rsid w:val="00AA04A0"/>
    <w:rsid w:val="00AA059C"/>
    <w:rsid w:val="00AA0C81"/>
    <w:rsid w:val="00AA0E43"/>
    <w:rsid w:val="00AA1BD0"/>
    <w:rsid w:val="00AA21E4"/>
    <w:rsid w:val="00AA2398"/>
    <w:rsid w:val="00AA23E9"/>
    <w:rsid w:val="00AA2490"/>
    <w:rsid w:val="00AA29C9"/>
    <w:rsid w:val="00AA2C09"/>
    <w:rsid w:val="00AA31AB"/>
    <w:rsid w:val="00AA3546"/>
    <w:rsid w:val="00AA3ABB"/>
    <w:rsid w:val="00AA3F4E"/>
    <w:rsid w:val="00AA4028"/>
    <w:rsid w:val="00AA429F"/>
    <w:rsid w:val="00AA4367"/>
    <w:rsid w:val="00AA4DA1"/>
    <w:rsid w:val="00AA5E6C"/>
    <w:rsid w:val="00AA5EBD"/>
    <w:rsid w:val="00AA5EC2"/>
    <w:rsid w:val="00AA61E4"/>
    <w:rsid w:val="00AA64A4"/>
    <w:rsid w:val="00AA685E"/>
    <w:rsid w:val="00AA6FCB"/>
    <w:rsid w:val="00AA7EDE"/>
    <w:rsid w:val="00AA7F52"/>
    <w:rsid w:val="00AB0180"/>
    <w:rsid w:val="00AB06BC"/>
    <w:rsid w:val="00AB084B"/>
    <w:rsid w:val="00AB08E6"/>
    <w:rsid w:val="00AB0B57"/>
    <w:rsid w:val="00AB0E29"/>
    <w:rsid w:val="00AB11C6"/>
    <w:rsid w:val="00AB15FC"/>
    <w:rsid w:val="00AB1EF1"/>
    <w:rsid w:val="00AB1F6A"/>
    <w:rsid w:val="00AB27F8"/>
    <w:rsid w:val="00AB283A"/>
    <w:rsid w:val="00AB2A1F"/>
    <w:rsid w:val="00AB2D3F"/>
    <w:rsid w:val="00AB2FC0"/>
    <w:rsid w:val="00AB3172"/>
    <w:rsid w:val="00AB3502"/>
    <w:rsid w:val="00AB353B"/>
    <w:rsid w:val="00AB3C13"/>
    <w:rsid w:val="00AB3F81"/>
    <w:rsid w:val="00AB4023"/>
    <w:rsid w:val="00AB41A7"/>
    <w:rsid w:val="00AB454E"/>
    <w:rsid w:val="00AB4767"/>
    <w:rsid w:val="00AB48E8"/>
    <w:rsid w:val="00AB4AD2"/>
    <w:rsid w:val="00AB4B3B"/>
    <w:rsid w:val="00AB4CAE"/>
    <w:rsid w:val="00AB4ED2"/>
    <w:rsid w:val="00AB5AF2"/>
    <w:rsid w:val="00AB6503"/>
    <w:rsid w:val="00AB6E35"/>
    <w:rsid w:val="00AB7347"/>
    <w:rsid w:val="00AB7ABB"/>
    <w:rsid w:val="00AB7FA2"/>
    <w:rsid w:val="00AC006B"/>
    <w:rsid w:val="00AC024A"/>
    <w:rsid w:val="00AC0578"/>
    <w:rsid w:val="00AC0C70"/>
    <w:rsid w:val="00AC104B"/>
    <w:rsid w:val="00AC1B5D"/>
    <w:rsid w:val="00AC1D3B"/>
    <w:rsid w:val="00AC1FCE"/>
    <w:rsid w:val="00AC21B0"/>
    <w:rsid w:val="00AC2625"/>
    <w:rsid w:val="00AC2917"/>
    <w:rsid w:val="00AC2EAC"/>
    <w:rsid w:val="00AC3124"/>
    <w:rsid w:val="00AC3271"/>
    <w:rsid w:val="00AC35AD"/>
    <w:rsid w:val="00AC3721"/>
    <w:rsid w:val="00AC3766"/>
    <w:rsid w:val="00AC3AD9"/>
    <w:rsid w:val="00AC3B68"/>
    <w:rsid w:val="00AC3C2B"/>
    <w:rsid w:val="00AC4624"/>
    <w:rsid w:val="00AC47A1"/>
    <w:rsid w:val="00AC4A14"/>
    <w:rsid w:val="00AC4B78"/>
    <w:rsid w:val="00AC4D54"/>
    <w:rsid w:val="00AC510D"/>
    <w:rsid w:val="00AC571C"/>
    <w:rsid w:val="00AC5DEC"/>
    <w:rsid w:val="00AC5E56"/>
    <w:rsid w:val="00AC5EB5"/>
    <w:rsid w:val="00AC5F81"/>
    <w:rsid w:val="00AC5F9B"/>
    <w:rsid w:val="00AC612E"/>
    <w:rsid w:val="00AC636C"/>
    <w:rsid w:val="00AC658B"/>
    <w:rsid w:val="00AC6736"/>
    <w:rsid w:val="00AC76E7"/>
    <w:rsid w:val="00AC774F"/>
    <w:rsid w:val="00AC7864"/>
    <w:rsid w:val="00AC7B04"/>
    <w:rsid w:val="00AC7B18"/>
    <w:rsid w:val="00AC7B25"/>
    <w:rsid w:val="00AC7E52"/>
    <w:rsid w:val="00AD04B5"/>
    <w:rsid w:val="00AD05C0"/>
    <w:rsid w:val="00AD06FB"/>
    <w:rsid w:val="00AD0920"/>
    <w:rsid w:val="00AD0B0E"/>
    <w:rsid w:val="00AD16EA"/>
    <w:rsid w:val="00AD1794"/>
    <w:rsid w:val="00AD1DFC"/>
    <w:rsid w:val="00AD284A"/>
    <w:rsid w:val="00AD284C"/>
    <w:rsid w:val="00AD2B64"/>
    <w:rsid w:val="00AD2CAB"/>
    <w:rsid w:val="00AD3580"/>
    <w:rsid w:val="00AD3648"/>
    <w:rsid w:val="00AD3D41"/>
    <w:rsid w:val="00AD3E29"/>
    <w:rsid w:val="00AD3E5A"/>
    <w:rsid w:val="00AD3EBE"/>
    <w:rsid w:val="00AD410E"/>
    <w:rsid w:val="00AD4317"/>
    <w:rsid w:val="00AD4AE2"/>
    <w:rsid w:val="00AD4C01"/>
    <w:rsid w:val="00AD5113"/>
    <w:rsid w:val="00AD530C"/>
    <w:rsid w:val="00AD53E8"/>
    <w:rsid w:val="00AD587E"/>
    <w:rsid w:val="00AD5C16"/>
    <w:rsid w:val="00AD5C71"/>
    <w:rsid w:val="00AD5FB9"/>
    <w:rsid w:val="00AD645B"/>
    <w:rsid w:val="00AD676D"/>
    <w:rsid w:val="00AD72AE"/>
    <w:rsid w:val="00AD780C"/>
    <w:rsid w:val="00AD78B3"/>
    <w:rsid w:val="00AD7F46"/>
    <w:rsid w:val="00AD7FB0"/>
    <w:rsid w:val="00AE0580"/>
    <w:rsid w:val="00AE0A98"/>
    <w:rsid w:val="00AE0B7E"/>
    <w:rsid w:val="00AE0C35"/>
    <w:rsid w:val="00AE0EA6"/>
    <w:rsid w:val="00AE14C0"/>
    <w:rsid w:val="00AE14C3"/>
    <w:rsid w:val="00AE159D"/>
    <w:rsid w:val="00AE19C7"/>
    <w:rsid w:val="00AE24B4"/>
    <w:rsid w:val="00AE24F4"/>
    <w:rsid w:val="00AE2E55"/>
    <w:rsid w:val="00AE30A2"/>
    <w:rsid w:val="00AE3120"/>
    <w:rsid w:val="00AE336B"/>
    <w:rsid w:val="00AE3384"/>
    <w:rsid w:val="00AE34F7"/>
    <w:rsid w:val="00AE36BD"/>
    <w:rsid w:val="00AE3BA1"/>
    <w:rsid w:val="00AE3EDA"/>
    <w:rsid w:val="00AE4B52"/>
    <w:rsid w:val="00AE5281"/>
    <w:rsid w:val="00AE5B1C"/>
    <w:rsid w:val="00AE5BAB"/>
    <w:rsid w:val="00AE5CB7"/>
    <w:rsid w:val="00AE5ECA"/>
    <w:rsid w:val="00AE5F01"/>
    <w:rsid w:val="00AE6885"/>
    <w:rsid w:val="00AE6B73"/>
    <w:rsid w:val="00AE6EF0"/>
    <w:rsid w:val="00AE7209"/>
    <w:rsid w:val="00AE7555"/>
    <w:rsid w:val="00AE7713"/>
    <w:rsid w:val="00AE773A"/>
    <w:rsid w:val="00AE7C4C"/>
    <w:rsid w:val="00AE7D0D"/>
    <w:rsid w:val="00AE7FB0"/>
    <w:rsid w:val="00AF0158"/>
    <w:rsid w:val="00AF07EA"/>
    <w:rsid w:val="00AF0DA1"/>
    <w:rsid w:val="00AF1604"/>
    <w:rsid w:val="00AF1771"/>
    <w:rsid w:val="00AF195F"/>
    <w:rsid w:val="00AF19E4"/>
    <w:rsid w:val="00AF1B7E"/>
    <w:rsid w:val="00AF1C04"/>
    <w:rsid w:val="00AF2903"/>
    <w:rsid w:val="00AF2B4A"/>
    <w:rsid w:val="00AF2CF1"/>
    <w:rsid w:val="00AF33E4"/>
    <w:rsid w:val="00AF378A"/>
    <w:rsid w:val="00AF37B1"/>
    <w:rsid w:val="00AF3EEB"/>
    <w:rsid w:val="00AF40F3"/>
    <w:rsid w:val="00AF412D"/>
    <w:rsid w:val="00AF4477"/>
    <w:rsid w:val="00AF4937"/>
    <w:rsid w:val="00AF4A0F"/>
    <w:rsid w:val="00AF4A19"/>
    <w:rsid w:val="00AF4EAD"/>
    <w:rsid w:val="00AF50F6"/>
    <w:rsid w:val="00AF5531"/>
    <w:rsid w:val="00AF554F"/>
    <w:rsid w:val="00AF5634"/>
    <w:rsid w:val="00AF57F2"/>
    <w:rsid w:val="00AF5A15"/>
    <w:rsid w:val="00AF5F0E"/>
    <w:rsid w:val="00AF68BB"/>
    <w:rsid w:val="00AF72ED"/>
    <w:rsid w:val="00AF7918"/>
    <w:rsid w:val="00AF79FF"/>
    <w:rsid w:val="00AF7C95"/>
    <w:rsid w:val="00AF7FD6"/>
    <w:rsid w:val="00B004A1"/>
    <w:rsid w:val="00B005A9"/>
    <w:rsid w:val="00B006A3"/>
    <w:rsid w:val="00B0081A"/>
    <w:rsid w:val="00B012DB"/>
    <w:rsid w:val="00B0219E"/>
    <w:rsid w:val="00B0280B"/>
    <w:rsid w:val="00B02D87"/>
    <w:rsid w:val="00B0354A"/>
    <w:rsid w:val="00B0356C"/>
    <w:rsid w:val="00B039A6"/>
    <w:rsid w:val="00B04330"/>
    <w:rsid w:val="00B04446"/>
    <w:rsid w:val="00B045AE"/>
    <w:rsid w:val="00B046A0"/>
    <w:rsid w:val="00B0482E"/>
    <w:rsid w:val="00B04ABA"/>
    <w:rsid w:val="00B05016"/>
    <w:rsid w:val="00B0540D"/>
    <w:rsid w:val="00B056ED"/>
    <w:rsid w:val="00B05A32"/>
    <w:rsid w:val="00B05AF9"/>
    <w:rsid w:val="00B061F3"/>
    <w:rsid w:val="00B0684E"/>
    <w:rsid w:val="00B069ED"/>
    <w:rsid w:val="00B06A45"/>
    <w:rsid w:val="00B06A84"/>
    <w:rsid w:val="00B06E49"/>
    <w:rsid w:val="00B06E8E"/>
    <w:rsid w:val="00B06F09"/>
    <w:rsid w:val="00B0736D"/>
    <w:rsid w:val="00B07518"/>
    <w:rsid w:val="00B07A9A"/>
    <w:rsid w:val="00B07C53"/>
    <w:rsid w:val="00B07EB8"/>
    <w:rsid w:val="00B10B61"/>
    <w:rsid w:val="00B1170E"/>
    <w:rsid w:val="00B134E8"/>
    <w:rsid w:val="00B13601"/>
    <w:rsid w:val="00B138FE"/>
    <w:rsid w:val="00B13AC6"/>
    <w:rsid w:val="00B13FD7"/>
    <w:rsid w:val="00B1492D"/>
    <w:rsid w:val="00B14B74"/>
    <w:rsid w:val="00B14CF2"/>
    <w:rsid w:val="00B14E4F"/>
    <w:rsid w:val="00B156FF"/>
    <w:rsid w:val="00B15C74"/>
    <w:rsid w:val="00B15CF3"/>
    <w:rsid w:val="00B1626D"/>
    <w:rsid w:val="00B16383"/>
    <w:rsid w:val="00B167D1"/>
    <w:rsid w:val="00B16EF8"/>
    <w:rsid w:val="00B16F4A"/>
    <w:rsid w:val="00B17014"/>
    <w:rsid w:val="00B1716B"/>
    <w:rsid w:val="00B171F9"/>
    <w:rsid w:val="00B1734D"/>
    <w:rsid w:val="00B17762"/>
    <w:rsid w:val="00B17BFB"/>
    <w:rsid w:val="00B17CA0"/>
    <w:rsid w:val="00B17CC8"/>
    <w:rsid w:val="00B2008C"/>
    <w:rsid w:val="00B20735"/>
    <w:rsid w:val="00B209C2"/>
    <w:rsid w:val="00B20B3A"/>
    <w:rsid w:val="00B20DF7"/>
    <w:rsid w:val="00B21204"/>
    <w:rsid w:val="00B215CF"/>
    <w:rsid w:val="00B217B5"/>
    <w:rsid w:val="00B21A29"/>
    <w:rsid w:val="00B21BC9"/>
    <w:rsid w:val="00B21DBB"/>
    <w:rsid w:val="00B21E2F"/>
    <w:rsid w:val="00B21ED3"/>
    <w:rsid w:val="00B232B3"/>
    <w:rsid w:val="00B235C2"/>
    <w:rsid w:val="00B2438B"/>
    <w:rsid w:val="00B245AB"/>
    <w:rsid w:val="00B24801"/>
    <w:rsid w:val="00B24BED"/>
    <w:rsid w:val="00B2518D"/>
    <w:rsid w:val="00B2560B"/>
    <w:rsid w:val="00B25B67"/>
    <w:rsid w:val="00B26367"/>
    <w:rsid w:val="00B26CD6"/>
    <w:rsid w:val="00B26D11"/>
    <w:rsid w:val="00B27164"/>
    <w:rsid w:val="00B27590"/>
    <w:rsid w:val="00B30376"/>
    <w:rsid w:val="00B30A4A"/>
    <w:rsid w:val="00B30D0B"/>
    <w:rsid w:val="00B30D3A"/>
    <w:rsid w:val="00B30DE8"/>
    <w:rsid w:val="00B31E02"/>
    <w:rsid w:val="00B31EE4"/>
    <w:rsid w:val="00B3204F"/>
    <w:rsid w:val="00B322F2"/>
    <w:rsid w:val="00B32492"/>
    <w:rsid w:val="00B3264E"/>
    <w:rsid w:val="00B32C5C"/>
    <w:rsid w:val="00B330D5"/>
    <w:rsid w:val="00B331FC"/>
    <w:rsid w:val="00B33C38"/>
    <w:rsid w:val="00B347B4"/>
    <w:rsid w:val="00B34E20"/>
    <w:rsid w:val="00B352F0"/>
    <w:rsid w:val="00B353A6"/>
    <w:rsid w:val="00B353C2"/>
    <w:rsid w:val="00B3547A"/>
    <w:rsid w:val="00B3579A"/>
    <w:rsid w:val="00B357AD"/>
    <w:rsid w:val="00B35826"/>
    <w:rsid w:val="00B3603A"/>
    <w:rsid w:val="00B36930"/>
    <w:rsid w:val="00B36970"/>
    <w:rsid w:val="00B37338"/>
    <w:rsid w:val="00B37A35"/>
    <w:rsid w:val="00B37C0A"/>
    <w:rsid w:val="00B4009A"/>
    <w:rsid w:val="00B408E8"/>
    <w:rsid w:val="00B40F6B"/>
    <w:rsid w:val="00B4110F"/>
    <w:rsid w:val="00B413FE"/>
    <w:rsid w:val="00B41436"/>
    <w:rsid w:val="00B41640"/>
    <w:rsid w:val="00B4165D"/>
    <w:rsid w:val="00B41A45"/>
    <w:rsid w:val="00B41AA0"/>
    <w:rsid w:val="00B41C3D"/>
    <w:rsid w:val="00B41CFB"/>
    <w:rsid w:val="00B422B1"/>
    <w:rsid w:val="00B4298C"/>
    <w:rsid w:val="00B42A12"/>
    <w:rsid w:val="00B42E3E"/>
    <w:rsid w:val="00B43596"/>
    <w:rsid w:val="00B43634"/>
    <w:rsid w:val="00B43865"/>
    <w:rsid w:val="00B43E69"/>
    <w:rsid w:val="00B4414B"/>
    <w:rsid w:val="00B4417A"/>
    <w:rsid w:val="00B44927"/>
    <w:rsid w:val="00B44B8A"/>
    <w:rsid w:val="00B44FD1"/>
    <w:rsid w:val="00B45C87"/>
    <w:rsid w:val="00B463E4"/>
    <w:rsid w:val="00B464C6"/>
    <w:rsid w:val="00B46699"/>
    <w:rsid w:val="00B469FA"/>
    <w:rsid w:val="00B46CBC"/>
    <w:rsid w:val="00B46E94"/>
    <w:rsid w:val="00B47669"/>
    <w:rsid w:val="00B50BD3"/>
    <w:rsid w:val="00B50D05"/>
    <w:rsid w:val="00B516DE"/>
    <w:rsid w:val="00B5184A"/>
    <w:rsid w:val="00B51F27"/>
    <w:rsid w:val="00B51F8D"/>
    <w:rsid w:val="00B5299D"/>
    <w:rsid w:val="00B531B9"/>
    <w:rsid w:val="00B53389"/>
    <w:rsid w:val="00B535B6"/>
    <w:rsid w:val="00B5380E"/>
    <w:rsid w:val="00B53811"/>
    <w:rsid w:val="00B539D3"/>
    <w:rsid w:val="00B540EE"/>
    <w:rsid w:val="00B54159"/>
    <w:rsid w:val="00B54756"/>
    <w:rsid w:val="00B54C70"/>
    <w:rsid w:val="00B55BF6"/>
    <w:rsid w:val="00B5638F"/>
    <w:rsid w:val="00B56550"/>
    <w:rsid w:val="00B572B8"/>
    <w:rsid w:val="00B576CE"/>
    <w:rsid w:val="00B5782B"/>
    <w:rsid w:val="00B57E34"/>
    <w:rsid w:val="00B57E48"/>
    <w:rsid w:val="00B602EC"/>
    <w:rsid w:val="00B60425"/>
    <w:rsid w:val="00B6063C"/>
    <w:rsid w:val="00B60A14"/>
    <w:rsid w:val="00B60D8E"/>
    <w:rsid w:val="00B61370"/>
    <w:rsid w:val="00B614E5"/>
    <w:rsid w:val="00B61BAE"/>
    <w:rsid w:val="00B6239E"/>
    <w:rsid w:val="00B628CA"/>
    <w:rsid w:val="00B62F81"/>
    <w:rsid w:val="00B634A0"/>
    <w:rsid w:val="00B638DE"/>
    <w:rsid w:val="00B63BFF"/>
    <w:rsid w:val="00B63D26"/>
    <w:rsid w:val="00B64227"/>
    <w:rsid w:val="00B6430C"/>
    <w:rsid w:val="00B64475"/>
    <w:rsid w:val="00B64F03"/>
    <w:rsid w:val="00B652DB"/>
    <w:rsid w:val="00B65879"/>
    <w:rsid w:val="00B6593D"/>
    <w:rsid w:val="00B65D95"/>
    <w:rsid w:val="00B65DC1"/>
    <w:rsid w:val="00B6623F"/>
    <w:rsid w:val="00B662E9"/>
    <w:rsid w:val="00B66598"/>
    <w:rsid w:val="00B66908"/>
    <w:rsid w:val="00B6691A"/>
    <w:rsid w:val="00B669AD"/>
    <w:rsid w:val="00B67450"/>
    <w:rsid w:val="00B703D3"/>
    <w:rsid w:val="00B7053C"/>
    <w:rsid w:val="00B706CE"/>
    <w:rsid w:val="00B70BB7"/>
    <w:rsid w:val="00B71AE3"/>
    <w:rsid w:val="00B72290"/>
    <w:rsid w:val="00B724A4"/>
    <w:rsid w:val="00B727B8"/>
    <w:rsid w:val="00B72DFA"/>
    <w:rsid w:val="00B72E0D"/>
    <w:rsid w:val="00B735BA"/>
    <w:rsid w:val="00B73A94"/>
    <w:rsid w:val="00B73A95"/>
    <w:rsid w:val="00B73E6F"/>
    <w:rsid w:val="00B740C8"/>
    <w:rsid w:val="00B745D9"/>
    <w:rsid w:val="00B7533E"/>
    <w:rsid w:val="00B753E7"/>
    <w:rsid w:val="00B76155"/>
    <w:rsid w:val="00B764AC"/>
    <w:rsid w:val="00B76574"/>
    <w:rsid w:val="00B77165"/>
    <w:rsid w:val="00B772C0"/>
    <w:rsid w:val="00B773CE"/>
    <w:rsid w:val="00B775B9"/>
    <w:rsid w:val="00B77A25"/>
    <w:rsid w:val="00B77CED"/>
    <w:rsid w:val="00B77D10"/>
    <w:rsid w:val="00B77FE7"/>
    <w:rsid w:val="00B8005E"/>
    <w:rsid w:val="00B80165"/>
    <w:rsid w:val="00B805B9"/>
    <w:rsid w:val="00B80650"/>
    <w:rsid w:val="00B80866"/>
    <w:rsid w:val="00B80EBE"/>
    <w:rsid w:val="00B81147"/>
    <w:rsid w:val="00B81450"/>
    <w:rsid w:val="00B81BF4"/>
    <w:rsid w:val="00B81D23"/>
    <w:rsid w:val="00B82060"/>
    <w:rsid w:val="00B820B7"/>
    <w:rsid w:val="00B8251A"/>
    <w:rsid w:val="00B8295E"/>
    <w:rsid w:val="00B8297B"/>
    <w:rsid w:val="00B83596"/>
    <w:rsid w:val="00B837D6"/>
    <w:rsid w:val="00B83DF4"/>
    <w:rsid w:val="00B84320"/>
    <w:rsid w:val="00B846EC"/>
    <w:rsid w:val="00B8487D"/>
    <w:rsid w:val="00B848D4"/>
    <w:rsid w:val="00B8493B"/>
    <w:rsid w:val="00B84947"/>
    <w:rsid w:val="00B8499C"/>
    <w:rsid w:val="00B8511E"/>
    <w:rsid w:val="00B852FA"/>
    <w:rsid w:val="00B85351"/>
    <w:rsid w:val="00B85D41"/>
    <w:rsid w:val="00B85FBF"/>
    <w:rsid w:val="00B860E3"/>
    <w:rsid w:val="00B8610D"/>
    <w:rsid w:val="00B863DA"/>
    <w:rsid w:val="00B8645E"/>
    <w:rsid w:val="00B8675E"/>
    <w:rsid w:val="00B867C7"/>
    <w:rsid w:val="00B868BD"/>
    <w:rsid w:val="00B86C5F"/>
    <w:rsid w:val="00B86DA3"/>
    <w:rsid w:val="00B86F6E"/>
    <w:rsid w:val="00B87316"/>
    <w:rsid w:val="00B8759C"/>
    <w:rsid w:val="00B87639"/>
    <w:rsid w:val="00B8795D"/>
    <w:rsid w:val="00B87D0D"/>
    <w:rsid w:val="00B900AC"/>
    <w:rsid w:val="00B900F9"/>
    <w:rsid w:val="00B90388"/>
    <w:rsid w:val="00B91B0F"/>
    <w:rsid w:val="00B92BA2"/>
    <w:rsid w:val="00B934FD"/>
    <w:rsid w:val="00B93682"/>
    <w:rsid w:val="00B939EF"/>
    <w:rsid w:val="00B93B79"/>
    <w:rsid w:val="00B946C9"/>
    <w:rsid w:val="00B94ABA"/>
    <w:rsid w:val="00B94B1F"/>
    <w:rsid w:val="00B94D05"/>
    <w:rsid w:val="00B95055"/>
    <w:rsid w:val="00B9544B"/>
    <w:rsid w:val="00B95966"/>
    <w:rsid w:val="00B95DA6"/>
    <w:rsid w:val="00B965F2"/>
    <w:rsid w:val="00B9685D"/>
    <w:rsid w:val="00B96E51"/>
    <w:rsid w:val="00B9720C"/>
    <w:rsid w:val="00B9731E"/>
    <w:rsid w:val="00B973F3"/>
    <w:rsid w:val="00B978BE"/>
    <w:rsid w:val="00B978D4"/>
    <w:rsid w:val="00B97997"/>
    <w:rsid w:val="00BA02DB"/>
    <w:rsid w:val="00BA0486"/>
    <w:rsid w:val="00BA071A"/>
    <w:rsid w:val="00BA0A5A"/>
    <w:rsid w:val="00BA10EF"/>
    <w:rsid w:val="00BA1570"/>
    <w:rsid w:val="00BA1C13"/>
    <w:rsid w:val="00BA218A"/>
    <w:rsid w:val="00BA2402"/>
    <w:rsid w:val="00BA25C2"/>
    <w:rsid w:val="00BA2E11"/>
    <w:rsid w:val="00BA301F"/>
    <w:rsid w:val="00BA32FF"/>
    <w:rsid w:val="00BA3486"/>
    <w:rsid w:val="00BA34F3"/>
    <w:rsid w:val="00BA380C"/>
    <w:rsid w:val="00BA3E40"/>
    <w:rsid w:val="00BA41C5"/>
    <w:rsid w:val="00BA45D5"/>
    <w:rsid w:val="00BA4800"/>
    <w:rsid w:val="00BA4A1E"/>
    <w:rsid w:val="00BA4AD5"/>
    <w:rsid w:val="00BA4CEB"/>
    <w:rsid w:val="00BA4D56"/>
    <w:rsid w:val="00BA4E2B"/>
    <w:rsid w:val="00BA4FA9"/>
    <w:rsid w:val="00BA5106"/>
    <w:rsid w:val="00BA602A"/>
    <w:rsid w:val="00BA6259"/>
    <w:rsid w:val="00BA6657"/>
    <w:rsid w:val="00BA6673"/>
    <w:rsid w:val="00BA6784"/>
    <w:rsid w:val="00BA6A18"/>
    <w:rsid w:val="00BA6A84"/>
    <w:rsid w:val="00BA6B8C"/>
    <w:rsid w:val="00BA6B9F"/>
    <w:rsid w:val="00BA6BC8"/>
    <w:rsid w:val="00BA768A"/>
    <w:rsid w:val="00BA7BA9"/>
    <w:rsid w:val="00BB02B0"/>
    <w:rsid w:val="00BB0389"/>
    <w:rsid w:val="00BB0BF6"/>
    <w:rsid w:val="00BB100E"/>
    <w:rsid w:val="00BB12A0"/>
    <w:rsid w:val="00BB12F3"/>
    <w:rsid w:val="00BB1520"/>
    <w:rsid w:val="00BB1B09"/>
    <w:rsid w:val="00BB1F8A"/>
    <w:rsid w:val="00BB218D"/>
    <w:rsid w:val="00BB24DF"/>
    <w:rsid w:val="00BB2814"/>
    <w:rsid w:val="00BB2D35"/>
    <w:rsid w:val="00BB2DD0"/>
    <w:rsid w:val="00BB2DEB"/>
    <w:rsid w:val="00BB2FB6"/>
    <w:rsid w:val="00BB3665"/>
    <w:rsid w:val="00BB38CD"/>
    <w:rsid w:val="00BB3CF3"/>
    <w:rsid w:val="00BB4129"/>
    <w:rsid w:val="00BB4339"/>
    <w:rsid w:val="00BB4C8E"/>
    <w:rsid w:val="00BB4F0F"/>
    <w:rsid w:val="00BB5095"/>
    <w:rsid w:val="00BB5974"/>
    <w:rsid w:val="00BB5A01"/>
    <w:rsid w:val="00BB606C"/>
    <w:rsid w:val="00BB65ED"/>
    <w:rsid w:val="00BB6782"/>
    <w:rsid w:val="00BB7FB7"/>
    <w:rsid w:val="00BC02A8"/>
    <w:rsid w:val="00BC0343"/>
    <w:rsid w:val="00BC042A"/>
    <w:rsid w:val="00BC04FD"/>
    <w:rsid w:val="00BC0887"/>
    <w:rsid w:val="00BC14C6"/>
    <w:rsid w:val="00BC206E"/>
    <w:rsid w:val="00BC271F"/>
    <w:rsid w:val="00BC2746"/>
    <w:rsid w:val="00BC28BE"/>
    <w:rsid w:val="00BC2B45"/>
    <w:rsid w:val="00BC2EEE"/>
    <w:rsid w:val="00BC3A2C"/>
    <w:rsid w:val="00BC3B28"/>
    <w:rsid w:val="00BC4055"/>
    <w:rsid w:val="00BC4145"/>
    <w:rsid w:val="00BC4372"/>
    <w:rsid w:val="00BC478C"/>
    <w:rsid w:val="00BC50AC"/>
    <w:rsid w:val="00BC565A"/>
    <w:rsid w:val="00BC598F"/>
    <w:rsid w:val="00BC6316"/>
    <w:rsid w:val="00BC64F7"/>
    <w:rsid w:val="00BC74EA"/>
    <w:rsid w:val="00BC784B"/>
    <w:rsid w:val="00BC784E"/>
    <w:rsid w:val="00BD03C5"/>
    <w:rsid w:val="00BD0699"/>
    <w:rsid w:val="00BD089E"/>
    <w:rsid w:val="00BD0958"/>
    <w:rsid w:val="00BD0B3B"/>
    <w:rsid w:val="00BD0E40"/>
    <w:rsid w:val="00BD1656"/>
    <w:rsid w:val="00BD1796"/>
    <w:rsid w:val="00BD1887"/>
    <w:rsid w:val="00BD1A31"/>
    <w:rsid w:val="00BD2A7D"/>
    <w:rsid w:val="00BD2CDF"/>
    <w:rsid w:val="00BD2D54"/>
    <w:rsid w:val="00BD2E73"/>
    <w:rsid w:val="00BD3091"/>
    <w:rsid w:val="00BD3312"/>
    <w:rsid w:val="00BD3FB0"/>
    <w:rsid w:val="00BD4161"/>
    <w:rsid w:val="00BD487D"/>
    <w:rsid w:val="00BD4D29"/>
    <w:rsid w:val="00BD4D7C"/>
    <w:rsid w:val="00BD5596"/>
    <w:rsid w:val="00BD55FF"/>
    <w:rsid w:val="00BD57E2"/>
    <w:rsid w:val="00BD5A2D"/>
    <w:rsid w:val="00BD5E28"/>
    <w:rsid w:val="00BD5F5F"/>
    <w:rsid w:val="00BD6255"/>
    <w:rsid w:val="00BD633E"/>
    <w:rsid w:val="00BD6522"/>
    <w:rsid w:val="00BD6542"/>
    <w:rsid w:val="00BD6635"/>
    <w:rsid w:val="00BD66DF"/>
    <w:rsid w:val="00BD6D7B"/>
    <w:rsid w:val="00BD6F9B"/>
    <w:rsid w:val="00BD778F"/>
    <w:rsid w:val="00BD7DF3"/>
    <w:rsid w:val="00BE013D"/>
    <w:rsid w:val="00BE0AA4"/>
    <w:rsid w:val="00BE0D06"/>
    <w:rsid w:val="00BE127C"/>
    <w:rsid w:val="00BE1662"/>
    <w:rsid w:val="00BE1714"/>
    <w:rsid w:val="00BE1C9D"/>
    <w:rsid w:val="00BE1E12"/>
    <w:rsid w:val="00BE1F4E"/>
    <w:rsid w:val="00BE1FD0"/>
    <w:rsid w:val="00BE2049"/>
    <w:rsid w:val="00BE2693"/>
    <w:rsid w:val="00BE34C9"/>
    <w:rsid w:val="00BE35BC"/>
    <w:rsid w:val="00BE3A68"/>
    <w:rsid w:val="00BE3B2C"/>
    <w:rsid w:val="00BE3DAF"/>
    <w:rsid w:val="00BE4111"/>
    <w:rsid w:val="00BE50B0"/>
    <w:rsid w:val="00BE51A5"/>
    <w:rsid w:val="00BE5901"/>
    <w:rsid w:val="00BE5910"/>
    <w:rsid w:val="00BE5A49"/>
    <w:rsid w:val="00BE5D21"/>
    <w:rsid w:val="00BE6359"/>
    <w:rsid w:val="00BE6B69"/>
    <w:rsid w:val="00BE7110"/>
    <w:rsid w:val="00BE7269"/>
    <w:rsid w:val="00BE7836"/>
    <w:rsid w:val="00BE79BB"/>
    <w:rsid w:val="00BF0057"/>
    <w:rsid w:val="00BF02FE"/>
    <w:rsid w:val="00BF052F"/>
    <w:rsid w:val="00BF0B86"/>
    <w:rsid w:val="00BF0CB0"/>
    <w:rsid w:val="00BF0F06"/>
    <w:rsid w:val="00BF10B5"/>
    <w:rsid w:val="00BF18DC"/>
    <w:rsid w:val="00BF1A27"/>
    <w:rsid w:val="00BF1E0A"/>
    <w:rsid w:val="00BF286D"/>
    <w:rsid w:val="00BF2F49"/>
    <w:rsid w:val="00BF3287"/>
    <w:rsid w:val="00BF3300"/>
    <w:rsid w:val="00BF3312"/>
    <w:rsid w:val="00BF3948"/>
    <w:rsid w:val="00BF4257"/>
    <w:rsid w:val="00BF4476"/>
    <w:rsid w:val="00BF4910"/>
    <w:rsid w:val="00BF4CC2"/>
    <w:rsid w:val="00BF4D0C"/>
    <w:rsid w:val="00BF4EF1"/>
    <w:rsid w:val="00BF527A"/>
    <w:rsid w:val="00BF5EF4"/>
    <w:rsid w:val="00BF656A"/>
    <w:rsid w:val="00BF670D"/>
    <w:rsid w:val="00BF6C41"/>
    <w:rsid w:val="00BF724F"/>
    <w:rsid w:val="00BF72B9"/>
    <w:rsid w:val="00BF786F"/>
    <w:rsid w:val="00C000F5"/>
    <w:rsid w:val="00C0059B"/>
    <w:rsid w:val="00C012A7"/>
    <w:rsid w:val="00C01E89"/>
    <w:rsid w:val="00C01EF2"/>
    <w:rsid w:val="00C02049"/>
    <w:rsid w:val="00C02303"/>
    <w:rsid w:val="00C02448"/>
    <w:rsid w:val="00C025E5"/>
    <w:rsid w:val="00C02C76"/>
    <w:rsid w:val="00C02D38"/>
    <w:rsid w:val="00C0347C"/>
    <w:rsid w:val="00C037E6"/>
    <w:rsid w:val="00C038ED"/>
    <w:rsid w:val="00C03DB7"/>
    <w:rsid w:val="00C03EBC"/>
    <w:rsid w:val="00C0432A"/>
    <w:rsid w:val="00C04377"/>
    <w:rsid w:val="00C043C5"/>
    <w:rsid w:val="00C049D2"/>
    <w:rsid w:val="00C04D70"/>
    <w:rsid w:val="00C04D76"/>
    <w:rsid w:val="00C04E66"/>
    <w:rsid w:val="00C058FE"/>
    <w:rsid w:val="00C05AEC"/>
    <w:rsid w:val="00C06708"/>
    <w:rsid w:val="00C06DC4"/>
    <w:rsid w:val="00C06EBE"/>
    <w:rsid w:val="00C0711B"/>
    <w:rsid w:val="00C076F5"/>
    <w:rsid w:val="00C07948"/>
    <w:rsid w:val="00C102BF"/>
    <w:rsid w:val="00C107EA"/>
    <w:rsid w:val="00C108D0"/>
    <w:rsid w:val="00C10AA0"/>
    <w:rsid w:val="00C10E05"/>
    <w:rsid w:val="00C1100E"/>
    <w:rsid w:val="00C11A14"/>
    <w:rsid w:val="00C12086"/>
    <w:rsid w:val="00C1214E"/>
    <w:rsid w:val="00C12202"/>
    <w:rsid w:val="00C122D7"/>
    <w:rsid w:val="00C127F0"/>
    <w:rsid w:val="00C12AB0"/>
    <w:rsid w:val="00C13085"/>
    <w:rsid w:val="00C1391C"/>
    <w:rsid w:val="00C1405A"/>
    <w:rsid w:val="00C14E24"/>
    <w:rsid w:val="00C1501E"/>
    <w:rsid w:val="00C15AA7"/>
    <w:rsid w:val="00C15AD1"/>
    <w:rsid w:val="00C15C13"/>
    <w:rsid w:val="00C15CF1"/>
    <w:rsid w:val="00C16389"/>
    <w:rsid w:val="00C16667"/>
    <w:rsid w:val="00C16BCA"/>
    <w:rsid w:val="00C17269"/>
    <w:rsid w:val="00C1748C"/>
    <w:rsid w:val="00C175ED"/>
    <w:rsid w:val="00C177EE"/>
    <w:rsid w:val="00C178E1"/>
    <w:rsid w:val="00C17F41"/>
    <w:rsid w:val="00C200A3"/>
    <w:rsid w:val="00C201E9"/>
    <w:rsid w:val="00C2023F"/>
    <w:rsid w:val="00C2059B"/>
    <w:rsid w:val="00C20CF0"/>
    <w:rsid w:val="00C219A1"/>
    <w:rsid w:val="00C21CF4"/>
    <w:rsid w:val="00C21E50"/>
    <w:rsid w:val="00C21EBD"/>
    <w:rsid w:val="00C22076"/>
    <w:rsid w:val="00C222DD"/>
    <w:rsid w:val="00C22953"/>
    <w:rsid w:val="00C22C41"/>
    <w:rsid w:val="00C22D86"/>
    <w:rsid w:val="00C23164"/>
    <w:rsid w:val="00C2333B"/>
    <w:rsid w:val="00C239AD"/>
    <w:rsid w:val="00C23F2E"/>
    <w:rsid w:val="00C2420F"/>
    <w:rsid w:val="00C243EA"/>
    <w:rsid w:val="00C24541"/>
    <w:rsid w:val="00C24600"/>
    <w:rsid w:val="00C24E68"/>
    <w:rsid w:val="00C250D2"/>
    <w:rsid w:val="00C25C59"/>
    <w:rsid w:val="00C25EA8"/>
    <w:rsid w:val="00C25F45"/>
    <w:rsid w:val="00C262B9"/>
    <w:rsid w:val="00C26AB6"/>
    <w:rsid w:val="00C26AFF"/>
    <w:rsid w:val="00C26BD5"/>
    <w:rsid w:val="00C26DA1"/>
    <w:rsid w:val="00C26DCC"/>
    <w:rsid w:val="00C2789F"/>
    <w:rsid w:val="00C27C71"/>
    <w:rsid w:val="00C30076"/>
    <w:rsid w:val="00C3019D"/>
    <w:rsid w:val="00C30B57"/>
    <w:rsid w:val="00C30C55"/>
    <w:rsid w:val="00C30D20"/>
    <w:rsid w:val="00C30FFA"/>
    <w:rsid w:val="00C31003"/>
    <w:rsid w:val="00C312DF"/>
    <w:rsid w:val="00C313A7"/>
    <w:rsid w:val="00C31520"/>
    <w:rsid w:val="00C31937"/>
    <w:rsid w:val="00C31D3C"/>
    <w:rsid w:val="00C32032"/>
    <w:rsid w:val="00C320F5"/>
    <w:rsid w:val="00C32A1D"/>
    <w:rsid w:val="00C32BF6"/>
    <w:rsid w:val="00C333F0"/>
    <w:rsid w:val="00C338F2"/>
    <w:rsid w:val="00C33EC0"/>
    <w:rsid w:val="00C33EC3"/>
    <w:rsid w:val="00C340B4"/>
    <w:rsid w:val="00C34B36"/>
    <w:rsid w:val="00C34BF4"/>
    <w:rsid w:val="00C34D3D"/>
    <w:rsid w:val="00C355E1"/>
    <w:rsid w:val="00C3586E"/>
    <w:rsid w:val="00C35A3E"/>
    <w:rsid w:val="00C35A43"/>
    <w:rsid w:val="00C35ADD"/>
    <w:rsid w:val="00C35D7A"/>
    <w:rsid w:val="00C3689C"/>
    <w:rsid w:val="00C36C98"/>
    <w:rsid w:val="00C36EB7"/>
    <w:rsid w:val="00C3722B"/>
    <w:rsid w:val="00C376A1"/>
    <w:rsid w:val="00C37993"/>
    <w:rsid w:val="00C37ED9"/>
    <w:rsid w:val="00C37F8D"/>
    <w:rsid w:val="00C40063"/>
    <w:rsid w:val="00C4023C"/>
    <w:rsid w:val="00C403A5"/>
    <w:rsid w:val="00C40433"/>
    <w:rsid w:val="00C40904"/>
    <w:rsid w:val="00C40DF8"/>
    <w:rsid w:val="00C40F99"/>
    <w:rsid w:val="00C41107"/>
    <w:rsid w:val="00C415C6"/>
    <w:rsid w:val="00C41C2F"/>
    <w:rsid w:val="00C41E0A"/>
    <w:rsid w:val="00C42202"/>
    <w:rsid w:val="00C425EB"/>
    <w:rsid w:val="00C42A48"/>
    <w:rsid w:val="00C43375"/>
    <w:rsid w:val="00C43B3F"/>
    <w:rsid w:val="00C43C5C"/>
    <w:rsid w:val="00C440E9"/>
    <w:rsid w:val="00C44349"/>
    <w:rsid w:val="00C4435E"/>
    <w:rsid w:val="00C44379"/>
    <w:rsid w:val="00C44B97"/>
    <w:rsid w:val="00C44BAB"/>
    <w:rsid w:val="00C4509C"/>
    <w:rsid w:val="00C460F7"/>
    <w:rsid w:val="00C464D2"/>
    <w:rsid w:val="00C467C3"/>
    <w:rsid w:val="00C46A8D"/>
    <w:rsid w:val="00C46D94"/>
    <w:rsid w:val="00C4708F"/>
    <w:rsid w:val="00C4743F"/>
    <w:rsid w:val="00C47AFA"/>
    <w:rsid w:val="00C47D82"/>
    <w:rsid w:val="00C47EDA"/>
    <w:rsid w:val="00C50AD6"/>
    <w:rsid w:val="00C50B81"/>
    <w:rsid w:val="00C50D9C"/>
    <w:rsid w:val="00C515B0"/>
    <w:rsid w:val="00C51C1B"/>
    <w:rsid w:val="00C51FC7"/>
    <w:rsid w:val="00C52153"/>
    <w:rsid w:val="00C528AF"/>
    <w:rsid w:val="00C52A6C"/>
    <w:rsid w:val="00C52F0F"/>
    <w:rsid w:val="00C52F5D"/>
    <w:rsid w:val="00C52FC4"/>
    <w:rsid w:val="00C5322B"/>
    <w:rsid w:val="00C532DF"/>
    <w:rsid w:val="00C533C8"/>
    <w:rsid w:val="00C53703"/>
    <w:rsid w:val="00C53760"/>
    <w:rsid w:val="00C53A82"/>
    <w:rsid w:val="00C53CF7"/>
    <w:rsid w:val="00C53D26"/>
    <w:rsid w:val="00C540D1"/>
    <w:rsid w:val="00C541A2"/>
    <w:rsid w:val="00C543AD"/>
    <w:rsid w:val="00C54537"/>
    <w:rsid w:val="00C54745"/>
    <w:rsid w:val="00C54900"/>
    <w:rsid w:val="00C54A2B"/>
    <w:rsid w:val="00C54B99"/>
    <w:rsid w:val="00C54D73"/>
    <w:rsid w:val="00C54DA8"/>
    <w:rsid w:val="00C5505E"/>
    <w:rsid w:val="00C55315"/>
    <w:rsid w:val="00C55393"/>
    <w:rsid w:val="00C55BA8"/>
    <w:rsid w:val="00C55D25"/>
    <w:rsid w:val="00C56137"/>
    <w:rsid w:val="00C56A1E"/>
    <w:rsid w:val="00C56AF4"/>
    <w:rsid w:val="00C5773F"/>
    <w:rsid w:val="00C57979"/>
    <w:rsid w:val="00C57A4B"/>
    <w:rsid w:val="00C57BC9"/>
    <w:rsid w:val="00C60017"/>
    <w:rsid w:val="00C60103"/>
    <w:rsid w:val="00C60315"/>
    <w:rsid w:val="00C6081C"/>
    <w:rsid w:val="00C6099D"/>
    <w:rsid w:val="00C617CD"/>
    <w:rsid w:val="00C61AF3"/>
    <w:rsid w:val="00C6254F"/>
    <w:rsid w:val="00C629A8"/>
    <w:rsid w:val="00C637B6"/>
    <w:rsid w:val="00C63882"/>
    <w:rsid w:val="00C63CBB"/>
    <w:rsid w:val="00C63E10"/>
    <w:rsid w:val="00C63ECB"/>
    <w:rsid w:val="00C6400F"/>
    <w:rsid w:val="00C64C86"/>
    <w:rsid w:val="00C64E76"/>
    <w:rsid w:val="00C6513F"/>
    <w:rsid w:val="00C662D0"/>
    <w:rsid w:val="00C6642F"/>
    <w:rsid w:val="00C665B2"/>
    <w:rsid w:val="00C6718B"/>
    <w:rsid w:val="00C67B39"/>
    <w:rsid w:val="00C67D69"/>
    <w:rsid w:val="00C70214"/>
    <w:rsid w:val="00C7039F"/>
    <w:rsid w:val="00C704F7"/>
    <w:rsid w:val="00C70BFE"/>
    <w:rsid w:val="00C70D0F"/>
    <w:rsid w:val="00C714AD"/>
    <w:rsid w:val="00C71604"/>
    <w:rsid w:val="00C71B8C"/>
    <w:rsid w:val="00C7246F"/>
    <w:rsid w:val="00C726C6"/>
    <w:rsid w:val="00C72A82"/>
    <w:rsid w:val="00C72E68"/>
    <w:rsid w:val="00C7309A"/>
    <w:rsid w:val="00C734F9"/>
    <w:rsid w:val="00C73C5E"/>
    <w:rsid w:val="00C73F92"/>
    <w:rsid w:val="00C742DF"/>
    <w:rsid w:val="00C751BA"/>
    <w:rsid w:val="00C75397"/>
    <w:rsid w:val="00C756F8"/>
    <w:rsid w:val="00C757A3"/>
    <w:rsid w:val="00C75885"/>
    <w:rsid w:val="00C75A2E"/>
    <w:rsid w:val="00C75AFA"/>
    <w:rsid w:val="00C7634F"/>
    <w:rsid w:val="00C76581"/>
    <w:rsid w:val="00C765B3"/>
    <w:rsid w:val="00C765D5"/>
    <w:rsid w:val="00C7699D"/>
    <w:rsid w:val="00C76EAB"/>
    <w:rsid w:val="00C7750C"/>
    <w:rsid w:val="00C80632"/>
    <w:rsid w:val="00C80AD4"/>
    <w:rsid w:val="00C81A4D"/>
    <w:rsid w:val="00C81E9C"/>
    <w:rsid w:val="00C82160"/>
    <w:rsid w:val="00C821A1"/>
    <w:rsid w:val="00C82498"/>
    <w:rsid w:val="00C82E6B"/>
    <w:rsid w:val="00C83167"/>
    <w:rsid w:val="00C83222"/>
    <w:rsid w:val="00C83710"/>
    <w:rsid w:val="00C83760"/>
    <w:rsid w:val="00C83797"/>
    <w:rsid w:val="00C83810"/>
    <w:rsid w:val="00C84854"/>
    <w:rsid w:val="00C848C9"/>
    <w:rsid w:val="00C85031"/>
    <w:rsid w:val="00C850B8"/>
    <w:rsid w:val="00C85529"/>
    <w:rsid w:val="00C8624D"/>
    <w:rsid w:val="00C86588"/>
    <w:rsid w:val="00C869B9"/>
    <w:rsid w:val="00C86EF7"/>
    <w:rsid w:val="00C872E5"/>
    <w:rsid w:val="00C873C8"/>
    <w:rsid w:val="00C87647"/>
    <w:rsid w:val="00C87653"/>
    <w:rsid w:val="00C87672"/>
    <w:rsid w:val="00C8788A"/>
    <w:rsid w:val="00C87B50"/>
    <w:rsid w:val="00C90755"/>
    <w:rsid w:val="00C908E3"/>
    <w:rsid w:val="00C90E47"/>
    <w:rsid w:val="00C90E8D"/>
    <w:rsid w:val="00C90EAD"/>
    <w:rsid w:val="00C90F76"/>
    <w:rsid w:val="00C9100D"/>
    <w:rsid w:val="00C910D4"/>
    <w:rsid w:val="00C912FD"/>
    <w:rsid w:val="00C9180D"/>
    <w:rsid w:val="00C918CE"/>
    <w:rsid w:val="00C91D08"/>
    <w:rsid w:val="00C92077"/>
    <w:rsid w:val="00C92299"/>
    <w:rsid w:val="00C931DD"/>
    <w:rsid w:val="00C94C5B"/>
    <w:rsid w:val="00C94FE3"/>
    <w:rsid w:val="00C95189"/>
    <w:rsid w:val="00C95546"/>
    <w:rsid w:val="00C95740"/>
    <w:rsid w:val="00C95913"/>
    <w:rsid w:val="00C95C30"/>
    <w:rsid w:val="00C95DF7"/>
    <w:rsid w:val="00C961C8"/>
    <w:rsid w:val="00C9620E"/>
    <w:rsid w:val="00C96E73"/>
    <w:rsid w:val="00C97483"/>
    <w:rsid w:val="00C97E3C"/>
    <w:rsid w:val="00C97FDC"/>
    <w:rsid w:val="00CA0462"/>
    <w:rsid w:val="00CA0678"/>
    <w:rsid w:val="00CA0E8D"/>
    <w:rsid w:val="00CA106D"/>
    <w:rsid w:val="00CA10B3"/>
    <w:rsid w:val="00CA1293"/>
    <w:rsid w:val="00CA1D6B"/>
    <w:rsid w:val="00CA2B5B"/>
    <w:rsid w:val="00CA2E44"/>
    <w:rsid w:val="00CA2F73"/>
    <w:rsid w:val="00CA3190"/>
    <w:rsid w:val="00CA31B4"/>
    <w:rsid w:val="00CA32AC"/>
    <w:rsid w:val="00CA34FC"/>
    <w:rsid w:val="00CA38B5"/>
    <w:rsid w:val="00CA3D41"/>
    <w:rsid w:val="00CA4161"/>
    <w:rsid w:val="00CA48F6"/>
    <w:rsid w:val="00CA4B55"/>
    <w:rsid w:val="00CA4D0D"/>
    <w:rsid w:val="00CA4F8E"/>
    <w:rsid w:val="00CA53C9"/>
    <w:rsid w:val="00CA5861"/>
    <w:rsid w:val="00CA588D"/>
    <w:rsid w:val="00CA5BCB"/>
    <w:rsid w:val="00CA5BFE"/>
    <w:rsid w:val="00CA5E5F"/>
    <w:rsid w:val="00CA5FAC"/>
    <w:rsid w:val="00CA6040"/>
    <w:rsid w:val="00CA6052"/>
    <w:rsid w:val="00CA6566"/>
    <w:rsid w:val="00CA68BB"/>
    <w:rsid w:val="00CA6B26"/>
    <w:rsid w:val="00CA6C91"/>
    <w:rsid w:val="00CA6E98"/>
    <w:rsid w:val="00CA6E9A"/>
    <w:rsid w:val="00CA6F50"/>
    <w:rsid w:val="00CA70C8"/>
    <w:rsid w:val="00CA7BC6"/>
    <w:rsid w:val="00CA7D17"/>
    <w:rsid w:val="00CB0125"/>
    <w:rsid w:val="00CB07B4"/>
    <w:rsid w:val="00CB0A7D"/>
    <w:rsid w:val="00CB0ACD"/>
    <w:rsid w:val="00CB0E07"/>
    <w:rsid w:val="00CB141C"/>
    <w:rsid w:val="00CB1861"/>
    <w:rsid w:val="00CB1E5A"/>
    <w:rsid w:val="00CB1F0D"/>
    <w:rsid w:val="00CB22E7"/>
    <w:rsid w:val="00CB27D7"/>
    <w:rsid w:val="00CB2FA7"/>
    <w:rsid w:val="00CB30EA"/>
    <w:rsid w:val="00CB31D2"/>
    <w:rsid w:val="00CB3F78"/>
    <w:rsid w:val="00CB49B6"/>
    <w:rsid w:val="00CB4F20"/>
    <w:rsid w:val="00CB52A6"/>
    <w:rsid w:val="00CB54BB"/>
    <w:rsid w:val="00CB5806"/>
    <w:rsid w:val="00CB580A"/>
    <w:rsid w:val="00CB58F0"/>
    <w:rsid w:val="00CB599B"/>
    <w:rsid w:val="00CB61B8"/>
    <w:rsid w:val="00CB624B"/>
    <w:rsid w:val="00CB73D9"/>
    <w:rsid w:val="00CB7674"/>
    <w:rsid w:val="00CB7C66"/>
    <w:rsid w:val="00CB7D7E"/>
    <w:rsid w:val="00CC044E"/>
    <w:rsid w:val="00CC054F"/>
    <w:rsid w:val="00CC08EC"/>
    <w:rsid w:val="00CC0B78"/>
    <w:rsid w:val="00CC13E8"/>
    <w:rsid w:val="00CC150C"/>
    <w:rsid w:val="00CC16C0"/>
    <w:rsid w:val="00CC16CA"/>
    <w:rsid w:val="00CC1BA6"/>
    <w:rsid w:val="00CC1F33"/>
    <w:rsid w:val="00CC2082"/>
    <w:rsid w:val="00CC2DEE"/>
    <w:rsid w:val="00CC2F98"/>
    <w:rsid w:val="00CC3131"/>
    <w:rsid w:val="00CC318C"/>
    <w:rsid w:val="00CC3377"/>
    <w:rsid w:val="00CC341B"/>
    <w:rsid w:val="00CC3A03"/>
    <w:rsid w:val="00CC3A39"/>
    <w:rsid w:val="00CC3A47"/>
    <w:rsid w:val="00CC407F"/>
    <w:rsid w:val="00CC461D"/>
    <w:rsid w:val="00CC4771"/>
    <w:rsid w:val="00CC4D72"/>
    <w:rsid w:val="00CC4E00"/>
    <w:rsid w:val="00CC5EC0"/>
    <w:rsid w:val="00CC6ACC"/>
    <w:rsid w:val="00CC6BB0"/>
    <w:rsid w:val="00CC6C48"/>
    <w:rsid w:val="00CC703E"/>
    <w:rsid w:val="00CC768F"/>
    <w:rsid w:val="00CC7DE9"/>
    <w:rsid w:val="00CD0214"/>
    <w:rsid w:val="00CD0251"/>
    <w:rsid w:val="00CD07AA"/>
    <w:rsid w:val="00CD0C47"/>
    <w:rsid w:val="00CD135D"/>
    <w:rsid w:val="00CD1627"/>
    <w:rsid w:val="00CD18BA"/>
    <w:rsid w:val="00CD199B"/>
    <w:rsid w:val="00CD2042"/>
    <w:rsid w:val="00CD2373"/>
    <w:rsid w:val="00CD23E8"/>
    <w:rsid w:val="00CD2844"/>
    <w:rsid w:val="00CD2C64"/>
    <w:rsid w:val="00CD2DB0"/>
    <w:rsid w:val="00CD30B8"/>
    <w:rsid w:val="00CD3C8D"/>
    <w:rsid w:val="00CD3E9D"/>
    <w:rsid w:val="00CD41B9"/>
    <w:rsid w:val="00CD4294"/>
    <w:rsid w:val="00CD478F"/>
    <w:rsid w:val="00CD4A0B"/>
    <w:rsid w:val="00CD5221"/>
    <w:rsid w:val="00CD5EA6"/>
    <w:rsid w:val="00CD610A"/>
    <w:rsid w:val="00CD6740"/>
    <w:rsid w:val="00CD68CB"/>
    <w:rsid w:val="00CD6C66"/>
    <w:rsid w:val="00CD74C5"/>
    <w:rsid w:val="00CD7CA1"/>
    <w:rsid w:val="00CE013A"/>
    <w:rsid w:val="00CE0359"/>
    <w:rsid w:val="00CE04E1"/>
    <w:rsid w:val="00CE07D7"/>
    <w:rsid w:val="00CE0C28"/>
    <w:rsid w:val="00CE1081"/>
    <w:rsid w:val="00CE11B5"/>
    <w:rsid w:val="00CE1E5C"/>
    <w:rsid w:val="00CE2093"/>
    <w:rsid w:val="00CE23F5"/>
    <w:rsid w:val="00CE251D"/>
    <w:rsid w:val="00CE27DC"/>
    <w:rsid w:val="00CE29B0"/>
    <w:rsid w:val="00CE29EE"/>
    <w:rsid w:val="00CE2B36"/>
    <w:rsid w:val="00CE2B94"/>
    <w:rsid w:val="00CE2EC6"/>
    <w:rsid w:val="00CE302D"/>
    <w:rsid w:val="00CE3261"/>
    <w:rsid w:val="00CE38A3"/>
    <w:rsid w:val="00CE3D64"/>
    <w:rsid w:val="00CE4525"/>
    <w:rsid w:val="00CE4551"/>
    <w:rsid w:val="00CE485A"/>
    <w:rsid w:val="00CE4B4C"/>
    <w:rsid w:val="00CE5373"/>
    <w:rsid w:val="00CE54B9"/>
    <w:rsid w:val="00CE5762"/>
    <w:rsid w:val="00CE5DF7"/>
    <w:rsid w:val="00CE5E48"/>
    <w:rsid w:val="00CE6281"/>
    <w:rsid w:val="00CE6585"/>
    <w:rsid w:val="00CE6697"/>
    <w:rsid w:val="00CE6B3E"/>
    <w:rsid w:val="00CE6BCF"/>
    <w:rsid w:val="00CE6D47"/>
    <w:rsid w:val="00CE71E4"/>
    <w:rsid w:val="00CE74A9"/>
    <w:rsid w:val="00CE7560"/>
    <w:rsid w:val="00CE7B1B"/>
    <w:rsid w:val="00CE7E44"/>
    <w:rsid w:val="00CF0573"/>
    <w:rsid w:val="00CF067C"/>
    <w:rsid w:val="00CF06D3"/>
    <w:rsid w:val="00CF12F1"/>
    <w:rsid w:val="00CF13A4"/>
    <w:rsid w:val="00CF1763"/>
    <w:rsid w:val="00CF1779"/>
    <w:rsid w:val="00CF1820"/>
    <w:rsid w:val="00CF1A8D"/>
    <w:rsid w:val="00CF1F7B"/>
    <w:rsid w:val="00CF2078"/>
    <w:rsid w:val="00CF27F6"/>
    <w:rsid w:val="00CF27F8"/>
    <w:rsid w:val="00CF2F71"/>
    <w:rsid w:val="00CF3028"/>
    <w:rsid w:val="00CF303A"/>
    <w:rsid w:val="00CF36A8"/>
    <w:rsid w:val="00CF39FF"/>
    <w:rsid w:val="00CF3C2D"/>
    <w:rsid w:val="00CF47EE"/>
    <w:rsid w:val="00CF49C9"/>
    <w:rsid w:val="00CF49FA"/>
    <w:rsid w:val="00CF4E20"/>
    <w:rsid w:val="00CF510D"/>
    <w:rsid w:val="00CF55D1"/>
    <w:rsid w:val="00CF5D90"/>
    <w:rsid w:val="00CF60EB"/>
    <w:rsid w:val="00CF6370"/>
    <w:rsid w:val="00CF6663"/>
    <w:rsid w:val="00CF6842"/>
    <w:rsid w:val="00CF6F6D"/>
    <w:rsid w:val="00CF7561"/>
    <w:rsid w:val="00CF7A53"/>
    <w:rsid w:val="00CF7B1A"/>
    <w:rsid w:val="00CF7B1D"/>
    <w:rsid w:val="00D00EF4"/>
    <w:rsid w:val="00D01046"/>
    <w:rsid w:val="00D01459"/>
    <w:rsid w:val="00D01932"/>
    <w:rsid w:val="00D019A0"/>
    <w:rsid w:val="00D01A6F"/>
    <w:rsid w:val="00D01AB3"/>
    <w:rsid w:val="00D01CE9"/>
    <w:rsid w:val="00D01E80"/>
    <w:rsid w:val="00D01F85"/>
    <w:rsid w:val="00D02357"/>
    <w:rsid w:val="00D024EA"/>
    <w:rsid w:val="00D02920"/>
    <w:rsid w:val="00D02A59"/>
    <w:rsid w:val="00D030FC"/>
    <w:rsid w:val="00D035DA"/>
    <w:rsid w:val="00D03760"/>
    <w:rsid w:val="00D03B10"/>
    <w:rsid w:val="00D03F78"/>
    <w:rsid w:val="00D04277"/>
    <w:rsid w:val="00D043CC"/>
    <w:rsid w:val="00D0467D"/>
    <w:rsid w:val="00D051FB"/>
    <w:rsid w:val="00D0553B"/>
    <w:rsid w:val="00D05B0B"/>
    <w:rsid w:val="00D05D22"/>
    <w:rsid w:val="00D05FD4"/>
    <w:rsid w:val="00D062BB"/>
    <w:rsid w:val="00D06396"/>
    <w:rsid w:val="00D0688D"/>
    <w:rsid w:val="00D06910"/>
    <w:rsid w:val="00D06CEC"/>
    <w:rsid w:val="00D07146"/>
    <w:rsid w:val="00D0721B"/>
    <w:rsid w:val="00D07B14"/>
    <w:rsid w:val="00D10CC2"/>
    <w:rsid w:val="00D11681"/>
    <w:rsid w:val="00D116E5"/>
    <w:rsid w:val="00D127EF"/>
    <w:rsid w:val="00D12AC8"/>
    <w:rsid w:val="00D12F37"/>
    <w:rsid w:val="00D13612"/>
    <w:rsid w:val="00D13BD7"/>
    <w:rsid w:val="00D13C50"/>
    <w:rsid w:val="00D13DFF"/>
    <w:rsid w:val="00D13E40"/>
    <w:rsid w:val="00D13EB1"/>
    <w:rsid w:val="00D141F5"/>
    <w:rsid w:val="00D14309"/>
    <w:rsid w:val="00D14484"/>
    <w:rsid w:val="00D14974"/>
    <w:rsid w:val="00D14E2F"/>
    <w:rsid w:val="00D15139"/>
    <w:rsid w:val="00D154FB"/>
    <w:rsid w:val="00D155D6"/>
    <w:rsid w:val="00D15689"/>
    <w:rsid w:val="00D161FB"/>
    <w:rsid w:val="00D163C8"/>
    <w:rsid w:val="00D166B8"/>
    <w:rsid w:val="00D16787"/>
    <w:rsid w:val="00D16928"/>
    <w:rsid w:val="00D16F27"/>
    <w:rsid w:val="00D172EA"/>
    <w:rsid w:val="00D17392"/>
    <w:rsid w:val="00D17673"/>
    <w:rsid w:val="00D17A43"/>
    <w:rsid w:val="00D17ACB"/>
    <w:rsid w:val="00D17B58"/>
    <w:rsid w:val="00D2010C"/>
    <w:rsid w:val="00D20705"/>
    <w:rsid w:val="00D20777"/>
    <w:rsid w:val="00D2091E"/>
    <w:rsid w:val="00D2110D"/>
    <w:rsid w:val="00D21270"/>
    <w:rsid w:val="00D2206D"/>
    <w:rsid w:val="00D2258D"/>
    <w:rsid w:val="00D2259C"/>
    <w:rsid w:val="00D22A79"/>
    <w:rsid w:val="00D22EB5"/>
    <w:rsid w:val="00D23213"/>
    <w:rsid w:val="00D2323E"/>
    <w:rsid w:val="00D23447"/>
    <w:rsid w:val="00D236E1"/>
    <w:rsid w:val="00D2451B"/>
    <w:rsid w:val="00D24BC9"/>
    <w:rsid w:val="00D25077"/>
    <w:rsid w:val="00D2515F"/>
    <w:rsid w:val="00D252F3"/>
    <w:rsid w:val="00D25EC8"/>
    <w:rsid w:val="00D264CF"/>
    <w:rsid w:val="00D26805"/>
    <w:rsid w:val="00D26E2E"/>
    <w:rsid w:val="00D27568"/>
    <w:rsid w:val="00D27C72"/>
    <w:rsid w:val="00D309C6"/>
    <w:rsid w:val="00D30BCA"/>
    <w:rsid w:val="00D30E58"/>
    <w:rsid w:val="00D311FF"/>
    <w:rsid w:val="00D316DE"/>
    <w:rsid w:val="00D31711"/>
    <w:rsid w:val="00D31AD0"/>
    <w:rsid w:val="00D31B17"/>
    <w:rsid w:val="00D3233F"/>
    <w:rsid w:val="00D326E3"/>
    <w:rsid w:val="00D32958"/>
    <w:rsid w:val="00D32A2F"/>
    <w:rsid w:val="00D32B82"/>
    <w:rsid w:val="00D336C4"/>
    <w:rsid w:val="00D33A2E"/>
    <w:rsid w:val="00D33BFB"/>
    <w:rsid w:val="00D342D6"/>
    <w:rsid w:val="00D34400"/>
    <w:rsid w:val="00D34B15"/>
    <w:rsid w:val="00D34C14"/>
    <w:rsid w:val="00D34EA7"/>
    <w:rsid w:val="00D3546D"/>
    <w:rsid w:val="00D355A2"/>
    <w:rsid w:val="00D358C5"/>
    <w:rsid w:val="00D35A09"/>
    <w:rsid w:val="00D35EA7"/>
    <w:rsid w:val="00D35F5C"/>
    <w:rsid w:val="00D363B6"/>
    <w:rsid w:val="00D3669A"/>
    <w:rsid w:val="00D371CA"/>
    <w:rsid w:val="00D374E9"/>
    <w:rsid w:val="00D37574"/>
    <w:rsid w:val="00D377B7"/>
    <w:rsid w:val="00D37979"/>
    <w:rsid w:val="00D37EA8"/>
    <w:rsid w:val="00D37FC9"/>
    <w:rsid w:val="00D4021D"/>
    <w:rsid w:val="00D4035E"/>
    <w:rsid w:val="00D40418"/>
    <w:rsid w:val="00D40488"/>
    <w:rsid w:val="00D4080B"/>
    <w:rsid w:val="00D40F0B"/>
    <w:rsid w:val="00D412A7"/>
    <w:rsid w:val="00D4194D"/>
    <w:rsid w:val="00D4197C"/>
    <w:rsid w:val="00D41B90"/>
    <w:rsid w:val="00D41D38"/>
    <w:rsid w:val="00D41E71"/>
    <w:rsid w:val="00D4251B"/>
    <w:rsid w:val="00D428AF"/>
    <w:rsid w:val="00D428CF"/>
    <w:rsid w:val="00D42CA9"/>
    <w:rsid w:val="00D42E75"/>
    <w:rsid w:val="00D43146"/>
    <w:rsid w:val="00D43328"/>
    <w:rsid w:val="00D4339A"/>
    <w:rsid w:val="00D435E3"/>
    <w:rsid w:val="00D4363E"/>
    <w:rsid w:val="00D43892"/>
    <w:rsid w:val="00D4395F"/>
    <w:rsid w:val="00D43C31"/>
    <w:rsid w:val="00D4445F"/>
    <w:rsid w:val="00D44E52"/>
    <w:rsid w:val="00D45499"/>
    <w:rsid w:val="00D45EB7"/>
    <w:rsid w:val="00D462A3"/>
    <w:rsid w:val="00D4660D"/>
    <w:rsid w:val="00D46A5B"/>
    <w:rsid w:val="00D46C7B"/>
    <w:rsid w:val="00D46DD3"/>
    <w:rsid w:val="00D46FC8"/>
    <w:rsid w:val="00D47141"/>
    <w:rsid w:val="00D479A6"/>
    <w:rsid w:val="00D47BB4"/>
    <w:rsid w:val="00D501BC"/>
    <w:rsid w:val="00D50441"/>
    <w:rsid w:val="00D50534"/>
    <w:rsid w:val="00D5071F"/>
    <w:rsid w:val="00D50E39"/>
    <w:rsid w:val="00D51477"/>
    <w:rsid w:val="00D51D76"/>
    <w:rsid w:val="00D51F60"/>
    <w:rsid w:val="00D52492"/>
    <w:rsid w:val="00D52C8D"/>
    <w:rsid w:val="00D53233"/>
    <w:rsid w:val="00D53402"/>
    <w:rsid w:val="00D534D9"/>
    <w:rsid w:val="00D53781"/>
    <w:rsid w:val="00D5474C"/>
    <w:rsid w:val="00D5478A"/>
    <w:rsid w:val="00D547C0"/>
    <w:rsid w:val="00D549BC"/>
    <w:rsid w:val="00D54C24"/>
    <w:rsid w:val="00D54C6F"/>
    <w:rsid w:val="00D54E88"/>
    <w:rsid w:val="00D5551C"/>
    <w:rsid w:val="00D55A20"/>
    <w:rsid w:val="00D55AAA"/>
    <w:rsid w:val="00D55F50"/>
    <w:rsid w:val="00D568C0"/>
    <w:rsid w:val="00D56BF6"/>
    <w:rsid w:val="00D56D71"/>
    <w:rsid w:val="00D56DD4"/>
    <w:rsid w:val="00D56EAE"/>
    <w:rsid w:val="00D57BC5"/>
    <w:rsid w:val="00D57DC7"/>
    <w:rsid w:val="00D6007B"/>
    <w:rsid w:val="00D60184"/>
    <w:rsid w:val="00D605ED"/>
    <w:rsid w:val="00D60B2A"/>
    <w:rsid w:val="00D60BEE"/>
    <w:rsid w:val="00D60E15"/>
    <w:rsid w:val="00D61366"/>
    <w:rsid w:val="00D618CF"/>
    <w:rsid w:val="00D61C31"/>
    <w:rsid w:val="00D61C67"/>
    <w:rsid w:val="00D61DBF"/>
    <w:rsid w:val="00D61E31"/>
    <w:rsid w:val="00D620A8"/>
    <w:rsid w:val="00D62235"/>
    <w:rsid w:val="00D627C2"/>
    <w:rsid w:val="00D62AB0"/>
    <w:rsid w:val="00D62C7C"/>
    <w:rsid w:val="00D62F1A"/>
    <w:rsid w:val="00D64651"/>
    <w:rsid w:val="00D64A00"/>
    <w:rsid w:val="00D65599"/>
    <w:rsid w:val="00D66565"/>
    <w:rsid w:val="00D666CA"/>
    <w:rsid w:val="00D66C1D"/>
    <w:rsid w:val="00D66C93"/>
    <w:rsid w:val="00D66DA7"/>
    <w:rsid w:val="00D678D4"/>
    <w:rsid w:val="00D67A47"/>
    <w:rsid w:val="00D67D20"/>
    <w:rsid w:val="00D702E2"/>
    <w:rsid w:val="00D70540"/>
    <w:rsid w:val="00D70AD7"/>
    <w:rsid w:val="00D7132F"/>
    <w:rsid w:val="00D714BB"/>
    <w:rsid w:val="00D71533"/>
    <w:rsid w:val="00D71538"/>
    <w:rsid w:val="00D71E70"/>
    <w:rsid w:val="00D72030"/>
    <w:rsid w:val="00D7210F"/>
    <w:rsid w:val="00D72156"/>
    <w:rsid w:val="00D7276D"/>
    <w:rsid w:val="00D727C9"/>
    <w:rsid w:val="00D727F3"/>
    <w:rsid w:val="00D728B7"/>
    <w:rsid w:val="00D73DDA"/>
    <w:rsid w:val="00D7410B"/>
    <w:rsid w:val="00D74333"/>
    <w:rsid w:val="00D74580"/>
    <w:rsid w:val="00D747CD"/>
    <w:rsid w:val="00D74C7B"/>
    <w:rsid w:val="00D74EE0"/>
    <w:rsid w:val="00D751C3"/>
    <w:rsid w:val="00D751F7"/>
    <w:rsid w:val="00D755CA"/>
    <w:rsid w:val="00D75AFE"/>
    <w:rsid w:val="00D75C35"/>
    <w:rsid w:val="00D7673B"/>
    <w:rsid w:val="00D76740"/>
    <w:rsid w:val="00D76978"/>
    <w:rsid w:val="00D76C75"/>
    <w:rsid w:val="00D772AC"/>
    <w:rsid w:val="00D772CF"/>
    <w:rsid w:val="00D773E6"/>
    <w:rsid w:val="00D77838"/>
    <w:rsid w:val="00D7786E"/>
    <w:rsid w:val="00D77906"/>
    <w:rsid w:val="00D77E0C"/>
    <w:rsid w:val="00D77F13"/>
    <w:rsid w:val="00D808DA"/>
    <w:rsid w:val="00D80A8A"/>
    <w:rsid w:val="00D80CE7"/>
    <w:rsid w:val="00D81675"/>
    <w:rsid w:val="00D81A0A"/>
    <w:rsid w:val="00D81B07"/>
    <w:rsid w:val="00D81BA6"/>
    <w:rsid w:val="00D81C82"/>
    <w:rsid w:val="00D82256"/>
    <w:rsid w:val="00D82E07"/>
    <w:rsid w:val="00D831EE"/>
    <w:rsid w:val="00D832BB"/>
    <w:rsid w:val="00D833C7"/>
    <w:rsid w:val="00D83560"/>
    <w:rsid w:val="00D83790"/>
    <w:rsid w:val="00D83AD8"/>
    <w:rsid w:val="00D84350"/>
    <w:rsid w:val="00D8454F"/>
    <w:rsid w:val="00D84B08"/>
    <w:rsid w:val="00D84CA6"/>
    <w:rsid w:val="00D84F76"/>
    <w:rsid w:val="00D84F9E"/>
    <w:rsid w:val="00D85025"/>
    <w:rsid w:val="00D85B0E"/>
    <w:rsid w:val="00D8603D"/>
    <w:rsid w:val="00D860E4"/>
    <w:rsid w:val="00D8638F"/>
    <w:rsid w:val="00D8675A"/>
    <w:rsid w:val="00D868A9"/>
    <w:rsid w:val="00D869E4"/>
    <w:rsid w:val="00D86A42"/>
    <w:rsid w:val="00D86C9D"/>
    <w:rsid w:val="00D86CEA"/>
    <w:rsid w:val="00D87098"/>
    <w:rsid w:val="00D8720B"/>
    <w:rsid w:val="00D87A04"/>
    <w:rsid w:val="00D90131"/>
    <w:rsid w:val="00D9037A"/>
    <w:rsid w:val="00D907F5"/>
    <w:rsid w:val="00D9097D"/>
    <w:rsid w:val="00D90C50"/>
    <w:rsid w:val="00D90D54"/>
    <w:rsid w:val="00D91012"/>
    <w:rsid w:val="00D911AB"/>
    <w:rsid w:val="00D913C8"/>
    <w:rsid w:val="00D916A3"/>
    <w:rsid w:val="00D92041"/>
    <w:rsid w:val="00D923C1"/>
    <w:rsid w:val="00D92ABF"/>
    <w:rsid w:val="00D92F09"/>
    <w:rsid w:val="00D931FB"/>
    <w:rsid w:val="00D9348E"/>
    <w:rsid w:val="00D93E15"/>
    <w:rsid w:val="00D94109"/>
    <w:rsid w:val="00D94FAD"/>
    <w:rsid w:val="00D9578F"/>
    <w:rsid w:val="00D95840"/>
    <w:rsid w:val="00D95BC8"/>
    <w:rsid w:val="00D95BFE"/>
    <w:rsid w:val="00D95D11"/>
    <w:rsid w:val="00D95D92"/>
    <w:rsid w:val="00D962E2"/>
    <w:rsid w:val="00D963B4"/>
    <w:rsid w:val="00D968EE"/>
    <w:rsid w:val="00D96B8F"/>
    <w:rsid w:val="00D9719F"/>
    <w:rsid w:val="00D97617"/>
    <w:rsid w:val="00D97684"/>
    <w:rsid w:val="00D977C0"/>
    <w:rsid w:val="00D97F9F"/>
    <w:rsid w:val="00DA0B48"/>
    <w:rsid w:val="00DA133F"/>
    <w:rsid w:val="00DA143E"/>
    <w:rsid w:val="00DA18FA"/>
    <w:rsid w:val="00DA1A01"/>
    <w:rsid w:val="00DA1B63"/>
    <w:rsid w:val="00DA1B71"/>
    <w:rsid w:val="00DA25C6"/>
    <w:rsid w:val="00DA2837"/>
    <w:rsid w:val="00DA2C23"/>
    <w:rsid w:val="00DA3F89"/>
    <w:rsid w:val="00DA4AB3"/>
    <w:rsid w:val="00DA50F9"/>
    <w:rsid w:val="00DA54A9"/>
    <w:rsid w:val="00DA56AE"/>
    <w:rsid w:val="00DA586B"/>
    <w:rsid w:val="00DA5AD4"/>
    <w:rsid w:val="00DA60B3"/>
    <w:rsid w:val="00DA622C"/>
    <w:rsid w:val="00DA64F6"/>
    <w:rsid w:val="00DA6D07"/>
    <w:rsid w:val="00DA7130"/>
    <w:rsid w:val="00DA7139"/>
    <w:rsid w:val="00DA7223"/>
    <w:rsid w:val="00DA7292"/>
    <w:rsid w:val="00DA7839"/>
    <w:rsid w:val="00DA7A09"/>
    <w:rsid w:val="00DA7EE8"/>
    <w:rsid w:val="00DB0F2C"/>
    <w:rsid w:val="00DB0F6A"/>
    <w:rsid w:val="00DB1579"/>
    <w:rsid w:val="00DB192F"/>
    <w:rsid w:val="00DB1B7C"/>
    <w:rsid w:val="00DB2995"/>
    <w:rsid w:val="00DB2F41"/>
    <w:rsid w:val="00DB33BE"/>
    <w:rsid w:val="00DB3556"/>
    <w:rsid w:val="00DB37A2"/>
    <w:rsid w:val="00DB387D"/>
    <w:rsid w:val="00DB3B84"/>
    <w:rsid w:val="00DB4030"/>
    <w:rsid w:val="00DB40C9"/>
    <w:rsid w:val="00DB42EF"/>
    <w:rsid w:val="00DB461D"/>
    <w:rsid w:val="00DB4881"/>
    <w:rsid w:val="00DB4E78"/>
    <w:rsid w:val="00DB55C3"/>
    <w:rsid w:val="00DB59F6"/>
    <w:rsid w:val="00DB5C36"/>
    <w:rsid w:val="00DB5FC3"/>
    <w:rsid w:val="00DB6877"/>
    <w:rsid w:val="00DB6A9A"/>
    <w:rsid w:val="00DB6EE0"/>
    <w:rsid w:val="00DB72EB"/>
    <w:rsid w:val="00DC09D2"/>
    <w:rsid w:val="00DC10B4"/>
    <w:rsid w:val="00DC126F"/>
    <w:rsid w:val="00DC1677"/>
    <w:rsid w:val="00DC1A64"/>
    <w:rsid w:val="00DC1BE1"/>
    <w:rsid w:val="00DC1C26"/>
    <w:rsid w:val="00DC1C98"/>
    <w:rsid w:val="00DC20F1"/>
    <w:rsid w:val="00DC286A"/>
    <w:rsid w:val="00DC2B8D"/>
    <w:rsid w:val="00DC2CB4"/>
    <w:rsid w:val="00DC2F5C"/>
    <w:rsid w:val="00DC3444"/>
    <w:rsid w:val="00DC34BC"/>
    <w:rsid w:val="00DC3A99"/>
    <w:rsid w:val="00DC3E6C"/>
    <w:rsid w:val="00DC3E91"/>
    <w:rsid w:val="00DC3F9F"/>
    <w:rsid w:val="00DC42E4"/>
    <w:rsid w:val="00DC4C43"/>
    <w:rsid w:val="00DC506C"/>
    <w:rsid w:val="00DC5435"/>
    <w:rsid w:val="00DC5A46"/>
    <w:rsid w:val="00DC5B26"/>
    <w:rsid w:val="00DC6074"/>
    <w:rsid w:val="00DC63BD"/>
    <w:rsid w:val="00DC673F"/>
    <w:rsid w:val="00DC6887"/>
    <w:rsid w:val="00DC6BD4"/>
    <w:rsid w:val="00DC6DFF"/>
    <w:rsid w:val="00DC72B9"/>
    <w:rsid w:val="00DC7FCA"/>
    <w:rsid w:val="00DD0780"/>
    <w:rsid w:val="00DD0B79"/>
    <w:rsid w:val="00DD0E66"/>
    <w:rsid w:val="00DD0F31"/>
    <w:rsid w:val="00DD0F90"/>
    <w:rsid w:val="00DD1CA7"/>
    <w:rsid w:val="00DD232A"/>
    <w:rsid w:val="00DD2375"/>
    <w:rsid w:val="00DD2508"/>
    <w:rsid w:val="00DD258B"/>
    <w:rsid w:val="00DD25E1"/>
    <w:rsid w:val="00DD2F29"/>
    <w:rsid w:val="00DD31C1"/>
    <w:rsid w:val="00DD33A4"/>
    <w:rsid w:val="00DD3D72"/>
    <w:rsid w:val="00DD4DF6"/>
    <w:rsid w:val="00DD6613"/>
    <w:rsid w:val="00DD68A6"/>
    <w:rsid w:val="00DD6A4D"/>
    <w:rsid w:val="00DD6A80"/>
    <w:rsid w:val="00DD6A98"/>
    <w:rsid w:val="00DD6C03"/>
    <w:rsid w:val="00DD6F96"/>
    <w:rsid w:val="00DD7022"/>
    <w:rsid w:val="00DD7096"/>
    <w:rsid w:val="00DD7450"/>
    <w:rsid w:val="00DD7650"/>
    <w:rsid w:val="00DD76BE"/>
    <w:rsid w:val="00DD7B03"/>
    <w:rsid w:val="00DE0656"/>
    <w:rsid w:val="00DE0F1C"/>
    <w:rsid w:val="00DE113F"/>
    <w:rsid w:val="00DE1541"/>
    <w:rsid w:val="00DE15FD"/>
    <w:rsid w:val="00DE1622"/>
    <w:rsid w:val="00DE1845"/>
    <w:rsid w:val="00DE1BA8"/>
    <w:rsid w:val="00DE1C72"/>
    <w:rsid w:val="00DE1D2B"/>
    <w:rsid w:val="00DE1FFC"/>
    <w:rsid w:val="00DE228B"/>
    <w:rsid w:val="00DE2901"/>
    <w:rsid w:val="00DE2ABA"/>
    <w:rsid w:val="00DE3590"/>
    <w:rsid w:val="00DE3C94"/>
    <w:rsid w:val="00DE3D43"/>
    <w:rsid w:val="00DE4988"/>
    <w:rsid w:val="00DE4E96"/>
    <w:rsid w:val="00DE52C2"/>
    <w:rsid w:val="00DE550C"/>
    <w:rsid w:val="00DE572F"/>
    <w:rsid w:val="00DE5993"/>
    <w:rsid w:val="00DE5C6F"/>
    <w:rsid w:val="00DE5E7B"/>
    <w:rsid w:val="00DE5F30"/>
    <w:rsid w:val="00DE60A9"/>
    <w:rsid w:val="00DE655F"/>
    <w:rsid w:val="00DE6585"/>
    <w:rsid w:val="00DE70E2"/>
    <w:rsid w:val="00DE751F"/>
    <w:rsid w:val="00DE755C"/>
    <w:rsid w:val="00DE7BDB"/>
    <w:rsid w:val="00DF0583"/>
    <w:rsid w:val="00DF0A00"/>
    <w:rsid w:val="00DF0A0A"/>
    <w:rsid w:val="00DF1329"/>
    <w:rsid w:val="00DF1559"/>
    <w:rsid w:val="00DF1788"/>
    <w:rsid w:val="00DF1892"/>
    <w:rsid w:val="00DF2409"/>
    <w:rsid w:val="00DF2604"/>
    <w:rsid w:val="00DF265A"/>
    <w:rsid w:val="00DF26BA"/>
    <w:rsid w:val="00DF2A19"/>
    <w:rsid w:val="00DF2D9E"/>
    <w:rsid w:val="00DF3829"/>
    <w:rsid w:val="00DF3845"/>
    <w:rsid w:val="00DF3867"/>
    <w:rsid w:val="00DF3CEE"/>
    <w:rsid w:val="00DF4573"/>
    <w:rsid w:val="00DF45DE"/>
    <w:rsid w:val="00DF4871"/>
    <w:rsid w:val="00DF4A2E"/>
    <w:rsid w:val="00DF4F76"/>
    <w:rsid w:val="00DF52AE"/>
    <w:rsid w:val="00DF58A3"/>
    <w:rsid w:val="00DF59BB"/>
    <w:rsid w:val="00DF59F6"/>
    <w:rsid w:val="00DF5BE6"/>
    <w:rsid w:val="00DF64AA"/>
    <w:rsid w:val="00DF6686"/>
    <w:rsid w:val="00DF6CD8"/>
    <w:rsid w:val="00DF73F7"/>
    <w:rsid w:val="00DF7F26"/>
    <w:rsid w:val="00E00091"/>
    <w:rsid w:val="00E004AE"/>
    <w:rsid w:val="00E005F6"/>
    <w:rsid w:val="00E00820"/>
    <w:rsid w:val="00E00A22"/>
    <w:rsid w:val="00E012BF"/>
    <w:rsid w:val="00E013D5"/>
    <w:rsid w:val="00E01750"/>
    <w:rsid w:val="00E01A82"/>
    <w:rsid w:val="00E01B06"/>
    <w:rsid w:val="00E01B3F"/>
    <w:rsid w:val="00E0227F"/>
    <w:rsid w:val="00E022B7"/>
    <w:rsid w:val="00E0267F"/>
    <w:rsid w:val="00E0306F"/>
    <w:rsid w:val="00E03491"/>
    <w:rsid w:val="00E03494"/>
    <w:rsid w:val="00E035FD"/>
    <w:rsid w:val="00E03826"/>
    <w:rsid w:val="00E038A5"/>
    <w:rsid w:val="00E04255"/>
    <w:rsid w:val="00E045DB"/>
    <w:rsid w:val="00E04890"/>
    <w:rsid w:val="00E0496C"/>
    <w:rsid w:val="00E05246"/>
    <w:rsid w:val="00E057E6"/>
    <w:rsid w:val="00E05837"/>
    <w:rsid w:val="00E06038"/>
    <w:rsid w:val="00E06458"/>
    <w:rsid w:val="00E067B7"/>
    <w:rsid w:val="00E06D09"/>
    <w:rsid w:val="00E07035"/>
    <w:rsid w:val="00E074FE"/>
    <w:rsid w:val="00E077FE"/>
    <w:rsid w:val="00E07C5C"/>
    <w:rsid w:val="00E10554"/>
    <w:rsid w:val="00E10656"/>
    <w:rsid w:val="00E106BF"/>
    <w:rsid w:val="00E10A1B"/>
    <w:rsid w:val="00E10BA8"/>
    <w:rsid w:val="00E113F8"/>
    <w:rsid w:val="00E115AE"/>
    <w:rsid w:val="00E118C9"/>
    <w:rsid w:val="00E1231C"/>
    <w:rsid w:val="00E12475"/>
    <w:rsid w:val="00E12D6D"/>
    <w:rsid w:val="00E13F5B"/>
    <w:rsid w:val="00E14226"/>
    <w:rsid w:val="00E148A7"/>
    <w:rsid w:val="00E14BE0"/>
    <w:rsid w:val="00E14C06"/>
    <w:rsid w:val="00E14CBB"/>
    <w:rsid w:val="00E14D3E"/>
    <w:rsid w:val="00E14E59"/>
    <w:rsid w:val="00E154AA"/>
    <w:rsid w:val="00E1575E"/>
    <w:rsid w:val="00E157F6"/>
    <w:rsid w:val="00E15A26"/>
    <w:rsid w:val="00E15B48"/>
    <w:rsid w:val="00E15C2C"/>
    <w:rsid w:val="00E15F61"/>
    <w:rsid w:val="00E16068"/>
    <w:rsid w:val="00E164EB"/>
    <w:rsid w:val="00E165BE"/>
    <w:rsid w:val="00E167E1"/>
    <w:rsid w:val="00E16920"/>
    <w:rsid w:val="00E16B47"/>
    <w:rsid w:val="00E16F84"/>
    <w:rsid w:val="00E171DF"/>
    <w:rsid w:val="00E1724A"/>
    <w:rsid w:val="00E172E7"/>
    <w:rsid w:val="00E1734F"/>
    <w:rsid w:val="00E17403"/>
    <w:rsid w:val="00E17724"/>
    <w:rsid w:val="00E1799E"/>
    <w:rsid w:val="00E17C53"/>
    <w:rsid w:val="00E17FF0"/>
    <w:rsid w:val="00E201CF"/>
    <w:rsid w:val="00E20357"/>
    <w:rsid w:val="00E20475"/>
    <w:rsid w:val="00E206A3"/>
    <w:rsid w:val="00E20B99"/>
    <w:rsid w:val="00E210E9"/>
    <w:rsid w:val="00E215CC"/>
    <w:rsid w:val="00E2161A"/>
    <w:rsid w:val="00E22326"/>
    <w:rsid w:val="00E22379"/>
    <w:rsid w:val="00E227A3"/>
    <w:rsid w:val="00E228A7"/>
    <w:rsid w:val="00E229F7"/>
    <w:rsid w:val="00E22DC2"/>
    <w:rsid w:val="00E23323"/>
    <w:rsid w:val="00E23ABB"/>
    <w:rsid w:val="00E23B46"/>
    <w:rsid w:val="00E241CD"/>
    <w:rsid w:val="00E24400"/>
    <w:rsid w:val="00E248E8"/>
    <w:rsid w:val="00E24D40"/>
    <w:rsid w:val="00E24DAE"/>
    <w:rsid w:val="00E24DF6"/>
    <w:rsid w:val="00E2526C"/>
    <w:rsid w:val="00E254EE"/>
    <w:rsid w:val="00E25DCE"/>
    <w:rsid w:val="00E2601B"/>
    <w:rsid w:val="00E2608D"/>
    <w:rsid w:val="00E263D4"/>
    <w:rsid w:val="00E26BBA"/>
    <w:rsid w:val="00E26BF0"/>
    <w:rsid w:val="00E26E93"/>
    <w:rsid w:val="00E26FC6"/>
    <w:rsid w:val="00E2710A"/>
    <w:rsid w:val="00E27727"/>
    <w:rsid w:val="00E27733"/>
    <w:rsid w:val="00E30309"/>
    <w:rsid w:val="00E3054A"/>
    <w:rsid w:val="00E3063D"/>
    <w:rsid w:val="00E30CF5"/>
    <w:rsid w:val="00E312BF"/>
    <w:rsid w:val="00E313C4"/>
    <w:rsid w:val="00E316D9"/>
    <w:rsid w:val="00E319A0"/>
    <w:rsid w:val="00E31C26"/>
    <w:rsid w:val="00E31F05"/>
    <w:rsid w:val="00E31F24"/>
    <w:rsid w:val="00E323F5"/>
    <w:rsid w:val="00E327B5"/>
    <w:rsid w:val="00E32ADD"/>
    <w:rsid w:val="00E33189"/>
    <w:rsid w:val="00E33196"/>
    <w:rsid w:val="00E33484"/>
    <w:rsid w:val="00E33F19"/>
    <w:rsid w:val="00E3412A"/>
    <w:rsid w:val="00E34351"/>
    <w:rsid w:val="00E344DE"/>
    <w:rsid w:val="00E349C5"/>
    <w:rsid w:val="00E34A7F"/>
    <w:rsid w:val="00E35015"/>
    <w:rsid w:val="00E35075"/>
    <w:rsid w:val="00E35225"/>
    <w:rsid w:val="00E3545A"/>
    <w:rsid w:val="00E35BED"/>
    <w:rsid w:val="00E35C8C"/>
    <w:rsid w:val="00E3637F"/>
    <w:rsid w:val="00E364A3"/>
    <w:rsid w:val="00E366CB"/>
    <w:rsid w:val="00E36C03"/>
    <w:rsid w:val="00E37468"/>
    <w:rsid w:val="00E374F0"/>
    <w:rsid w:val="00E3781F"/>
    <w:rsid w:val="00E40025"/>
    <w:rsid w:val="00E40484"/>
    <w:rsid w:val="00E404FD"/>
    <w:rsid w:val="00E40612"/>
    <w:rsid w:val="00E41697"/>
    <w:rsid w:val="00E416ED"/>
    <w:rsid w:val="00E416F3"/>
    <w:rsid w:val="00E418C9"/>
    <w:rsid w:val="00E419CB"/>
    <w:rsid w:val="00E41E59"/>
    <w:rsid w:val="00E41F20"/>
    <w:rsid w:val="00E42096"/>
    <w:rsid w:val="00E4260E"/>
    <w:rsid w:val="00E427E7"/>
    <w:rsid w:val="00E42AD9"/>
    <w:rsid w:val="00E42BB6"/>
    <w:rsid w:val="00E42DA0"/>
    <w:rsid w:val="00E43595"/>
    <w:rsid w:val="00E4382B"/>
    <w:rsid w:val="00E43869"/>
    <w:rsid w:val="00E43A11"/>
    <w:rsid w:val="00E43DE0"/>
    <w:rsid w:val="00E43E3D"/>
    <w:rsid w:val="00E450A2"/>
    <w:rsid w:val="00E456E5"/>
    <w:rsid w:val="00E45790"/>
    <w:rsid w:val="00E45791"/>
    <w:rsid w:val="00E457D4"/>
    <w:rsid w:val="00E45E3B"/>
    <w:rsid w:val="00E45E73"/>
    <w:rsid w:val="00E45EF1"/>
    <w:rsid w:val="00E46013"/>
    <w:rsid w:val="00E461CA"/>
    <w:rsid w:val="00E46253"/>
    <w:rsid w:val="00E46542"/>
    <w:rsid w:val="00E46C6B"/>
    <w:rsid w:val="00E46DC7"/>
    <w:rsid w:val="00E471EB"/>
    <w:rsid w:val="00E47643"/>
    <w:rsid w:val="00E4771E"/>
    <w:rsid w:val="00E478B5"/>
    <w:rsid w:val="00E47D43"/>
    <w:rsid w:val="00E51028"/>
    <w:rsid w:val="00E51137"/>
    <w:rsid w:val="00E5145D"/>
    <w:rsid w:val="00E51860"/>
    <w:rsid w:val="00E51A97"/>
    <w:rsid w:val="00E51ECE"/>
    <w:rsid w:val="00E52230"/>
    <w:rsid w:val="00E5262D"/>
    <w:rsid w:val="00E526FD"/>
    <w:rsid w:val="00E52836"/>
    <w:rsid w:val="00E5302D"/>
    <w:rsid w:val="00E538ED"/>
    <w:rsid w:val="00E53A42"/>
    <w:rsid w:val="00E53CD3"/>
    <w:rsid w:val="00E5408C"/>
    <w:rsid w:val="00E54401"/>
    <w:rsid w:val="00E54B3A"/>
    <w:rsid w:val="00E55571"/>
    <w:rsid w:val="00E55CED"/>
    <w:rsid w:val="00E55E0F"/>
    <w:rsid w:val="00E562B4"/>
    <w:rsid w:val="00E56989"/>
    <w:rsid w:val="00E56A33"/>
    <w:rsid w:val="00E570EA"/>
    <w:rsid w:val="00E57AAE"/>
    <w:rsid w:val="00E60AF0"/>
    <w:rsid w:val="00E60CEA"/>
    <w:rsid w:val="00E60E15"/>
    <w:rsid w:val="00E60FB0"/>
    <w:rsid w:val="00E61014"/>
    <w:rsid w:val="00E61164"/>
    <w:rsid w:val="00E61488"/>
    <w:rsid w:val="00E61D78"/>
    <w:rsid w:val="00E61F72"/>
    <w:rsid w:val="00E61FF8"/>
    <w:rsid w:val="00E62150"/>
    <w:rsid w:val="00E621BB"/>
    <w:rsid w:val="00E62286"/>
    <w:rsid w:val="00E627A6"/>
    <w:rsid w:val="00E62C2B"/>
    <w:rsid w:val="00E62D27"/>
    <w:rsid w:val="00E63089"/>
    <w:rsid w:val="00E637B9"/>
    <w:rsid w:val="00E63920"/>
    <w:rsid w:val="00E63A0E"/>
    <w:rsid w:val="00E63B8C"/>
    <w:rsid w:val="00E63F2A"/>
    <w:rsid w:val="00E641B5"/>
    <w:rsid w:val="00E643E7"/>
    <w:rsid w:val="00E6492E"/>
    <w:rsid w:val="00E64E1B"/>
    <w:rsid w:val="00E64F7E"/>
    <w:rsid w:val="00E6509B"/>
    <w:rsid w:val="00E652DD"/>
    <w:rsid w:val="00E65AA6"/>
    <w:rsid w:val="00E65D81"/>
    <w:rsid w:val="00E65DEC"/>
    <w:rsid w:val="00E65FA9"/>
    <w:rsid w:val="00E66499"/>
    <w:rsid w:val="00E665AA"/>
    <w:rsid w:val="00E66747"/>
    <w:rsid w:val="00E66B37"/>
    <w:rsid w:val="00E66C52"/>
    <w:rsid w:val="00E67BD5"/>
    <w:rsid w:val="00E70281"/>
    <w:rsid w:val="00E70701"/>
    <w:rsid w:val="00E70DAB"/>
    <w:rsid w:val="00E70F01"/>
    <w:rsid w:val="00E710A0"/>
    <w:rsid w:val="00E710F5"/>
    <w:rsid w:val="00E714F3"/>
    <w:rsid w:val="00E716FF"/>
    <w:rsid w:val="00E7197D"/>
    <w:rsid w:val="00E71FFA"/>
    <w:rsid w:val="00E72831"/>
    <w:rsid w:val="00E72AFD"/>
    <w:rsid w:val="00E731A2"/>
    <w:rsid w:val="00E732DD"/>
    <w:rsid w:val="00E73881"/>
    <w:rsid w:val="00E73F79"/>
    <w:rsid w:val="00E741BF"/>
    <w:rsid w:val="00E74312"/>
    <w:rsid w:val="00E747C2"/>
    <w:rsid w:val="00E747EC"/>
    <w:rsid w:val="00E749BC"/>
    <w:rsid w:val="00E75602"/>
    <w:rsid w:val="00E75B6B"/>
    <w:rsid w:val="00E76607"/>
    <w:rsid w:val="00E76801"/>
    <w:rsid w:val="00E76DFC"/>
    <w:rsid w:val="00E76F28"/>
    <w:rsid w:val="00E807CC"/>
    <w:rsid w:val="00E808D3"/>
    <w:rsid w:val="00E812BF"/>
    <w:rsid w:val="00E8142D"/>
    <w:rsid w:val="00E81DED"/>
    <w:rsid w:val="00E81E45"/>
    <w:rsid w:val="00E81E9D"/>
    <w:rsid w:val="00E822AC"/>
    <w:rsid w:val="00E82353"/>
    <w:rsid w:val="00E82782"/>
    <w:rsid w:val="00E82BC0"/>
    <w:rsid w:val="00E83353"/>
    <w:rsid w:val="00E83763"/>
    <w:rsid w:val="00E839BD"/>
    <w:rsid w:val="00E83E1C"/>
    <w:rsid w:val="00E83ED7"/>
    <w:rsid w:val="00E84064"/>
    <w:rsid w:val="00E840A9"/>
    <w:rsid w:val="00E842E1"/>
    <w:rsid w:val="00E84A85"/>
    <w:rsid w:val="00E84DAB"/>
    <w:rsid w:val="00E84E33"/>
    <w:rsid w:val="00E8577C"/>
    <w:rsid w:val="00E85CCE"/>
    <w:rsid w:val="00E8604B"/>
    <w:rsid w:val="00E862F1"/>
    <w:rsid w:val="00E86873"/>
    <w:rsid w:val="00E86B26"/>
    <w:rsid w:val="00E86F8D"/>
    <w:rsid w:val="00E875D2"/>
    <w:rsid w:val="00E87770"/>
    <w:rsid w:val="00E87959"/>
    <w:rsid w:val="00E87C9C"/>
    <w:rsid w:val="00E87EBA"/>
    <w:rsid w:val="00E904DB"/>
    <w:rsid w:val="00E904EF"/>
    <w:rsid w:val="00E9081B"/>
    <w:rsid w:val="00E90E76"/>
    <w:rsid w:val="00E90EDC"/>
    <w:rsid w:val="00E910C1"/>
    <w:rsid w:val="00E91813"/>
    <w:rsid w:val="00E91CFD"/>
    <w:rsid w:val="00E92125"/>
    <w:rsid w:val="00E92C77"/>
    <w:rsid w:val="00E92EA9"/>
    <w:rsid w:val="00E92F78"/>
    <w:rsid w:val="00E93465"/>
    <w:rsid w:val="00E939AD"/>
    <w:rsid w:val="00E93AE8"/>
    <w:rsid w:val="00E94EDE"/>
    <w:rsid w:val="00E94FFF"/>
    <w:rsid w:val="00E95044"/>
    <w:rsid w:val="00E95082"/>
    <w:rsid w:val="00E95C71"/>
    <w:rsid w:val="00E95C8C"/>
    <w:rsid w:val="00E961E2"/>
    <w:rsid w:val="00E96496"/>
    <w:rsid w:val="00E9657B"/>
    <w:rsid w:val="00E96F31"/>
    <w:rsid w:val="00E976A7"/>
    <w:rsid w:val="00E976CB"/>
    <w:rsid w:val="00E97810"/>
    <w:rsid w:val="00E97908"/>
    <w:rsid w:val="00E97C7E"/>
    <w:rsid w:val="00E97EB6"/>
    <w:rsid w:val="00EA018F"/>
    <w:rsid w:val="00EA073D"/>
    <w:rsid w:val="00EA0779"/>
    <w:rsid w:val="00EA12C1"/>
    <w:rsid w:val="00EA134B"/>
    <w:rsid w:val="00EA156B"/>
    <w:rsid w:val="00EA166F"/>
    <w:rsid w:val="00EA2216"/>
    <w:rsid w:val="00EA22BF"/>
    <w:rsid w:val="00EA2546"/>
    <w:rsid w:val="00EA261D"/>
    <w:rsid w:val="00EA28FE"/>
    <w:rsid w:val="00EA295F"/>
    <w:rsid w:val="00EA29F0"/>
    <w:rsid w:val="00EA2B5D"/>
    <w:rsid w:val="00EA2D6B"/>
    <w:rsid w:val="00EA2E40"/>
    <w:rsid w:val="00EA3881"/>
    <w:rsid w:val="00EA3E28"/>
    <w:rsid w:val="00EA47F9"/>
    <w:rsid w:val="00EA501F"/>
    <w:rsid w:val="00EA510B"/>
    <w:rsid w:val="00EA52F5"/>
    <w:rsid w:val="00EA5400"/>
    <w:rsid w:val="00EA5420"/>
    <w:rsid w:val="00EA5B55"/>
    <w:rsid w:val="00EA61FD"/>
    <w:rsid w:val="00EA672B"/>
    <w:rsid w:val="00EA6A67"/>
    <w:rsid w:val="00EB0299"/>
    <w:rsid w:val="00EB035D"/>
    <w:rsid w:val="00EB0471"/>
    <w:rsid w:val="00EB1491"/>
    <w:rsid w:val="00EB1863"/>
    <w:rsid w:val="00EB19C5"/>
    <w:rsid w:val="00EB1F3A"/>
    <w:rsid w:val="00EB31F0"/>
    <w:rsid w:val="00EB3246"/>
    <w:rsid w:val="00EB3325"/>
    <w:rsid w:val="00EB3390"/>
    <w:rsid w:val="00EB33CD"/>
    <w:rsid w:val="00EB39BE"/>
    <w:rsid w:val="00EB3BB9"/>
    <w:rsid w:val="00EB3F62"/>
    <w:rsid w:val="00EB41DA"/>
    <w:rsid w:val="00EB46BA"/>
    <w:rsid w:val="00EB4FCD"/>
    <w:rsid w:val="00EB52C0"/>
    <w:rsid w:val="00EB5A86"/>
    <w:rsid w:val="00EB603C"/>
    <w:rsid w:val="00EB63FF"/>
    <w:rsid w:val="00EB6917"/>
    <w:rsid w:val="00EB75B1"/>
    <w:rsid w:val="00EB7748"/>
    <w:rsid w:val="00EB7CA3"/>
    <w:rsid w:val="00EC0001"/>
    <w:rsid w:val="00EC025D"/>
    <w:rsid w:val="00EC052F"/>
    <w:rsid w:val="00EC0C29"/>
    <w:rsid w:val="00EC0FD6"/>
    <w:rsid w:val="00EC1247"/>
    <w:rsid w:val="00EC1289"/>
    <w:rsid w:val="00EC134C"/>
    <w:rsid w:val="00EC142E"/>
    <w:rsid w:val="00EC17E2"/>
    <w:rsid w:val="00EC1C82"/>
    <w:rsid w:val="00EC1D85"/>
    <w:rsid w:val="00EC27C9"/>
    <w:rsid w:val="00EC285F"/>
    <w:rsid w:val="00EC295B"/>
    <w:rsid w:val="00EC2A5F"/>
    <w:rsid w:val="00EC2D3B"/>
    <w:rsid w:val="00EC2D8C"/>
    <w:rsid w:val="00EC31EC"/>
    <w:rsid w:val="00EC3847"/>
    <w:rsid w:val="00EC3931"/>
    <w:rsid w:val="00EC399A"/>
    <w:rsid w:val="00EC3AEC"/>
    <w:rsid w:val="00EC3E57"/>
    <w:rsid w:val="00EC4073"/>
    <w:rsid w:val="00EC4203"/>
    <w:rsid w:val="00EC43FE"/>
    <w:rsid w:val="00EC4BF3"/>
    <w:rsid w:val="00EC4DE6"/>
    <w:rsid w:val="00EC4F28"/>
    <w:rsid w:val="00EC5015"/>
    <w:rsid w:val="00EC53AC"/>
    <w:rsid w:val="00EC59BC"/>
    <w:rsid w:val="00EC5B36"/>
    <w:rsid w:val="00EC5B80"/>
    <w:rsid w:val="00EC6212"/>
    <w:rsid w:val="00EC6666"/>
    <w:rsid w:val="00EC6782"/>
    <w:rsid w:val="00EC6CB8"/>
    <w:rsid w:val="00EC733E"/>
    <w:rsid w:val="00ED02A7"/>
    <w:rsid w:val="00ED1286"/>
    <w:rsid w:val="00ED14D4"/>
    <w:rsid w:val="00ED14FB"/>
    <w:rsid w:val="00ED1A65"/>
    <w:rsid w:val="00ED1C11"/>
    <w:rsid w:val="00ED2035"/>
    <w:rsid w:val="00ED219B"/>
    <w:rsid w:val="00ED232B"/>
    <w:rsid w:val="00ED240A"/>
    <w:rsid w:val="00ED29F0"/>
    <w:rsid w:val="00ED2E8E"/>
    <w:rsid w:val="00ED376F"/>
    <w:rsid w:val="00ED385C"/>
    <w:rsid w:val="00ED3F16"/>
    <w:rsid w:val="00ED4166"/>
    <w:rsid w:val="00ED421D"/>
    <w:rsid w:val="00ED4350"/>
    <w:rsid w:val="00ED487C"/>
    <w:rsid w:val="00ED4A6A"/>
    <w:rsid w:val="00ED4C8D"/>
    <w:rsid w:val="00ED4D20"/>
    <w:rsid w:val="00ED4EE1"/>
    <w:rsid w:val="00ED5198"/>
    <w:rsid w:val="00ED5220"/>
    <w:rsid w:val="00ED5556"/>
    <w:rsid w:val="00ED657D"/>
    <w:rsid w:val="00ED68A6"/>
    <w:rsid w:val="00ED6F43"/>
    <w:rsid w:val="00ED7275"/>
    <w:rsid w:val="00ED75E7"/>
    <w:rsid w:val="00ED7B45"/>
    <w:rsid w:val="00EE02D1"/>
    <w:rsid w:val="00EE0486"/>
    <w:rsid w:val="00EE0C3F"/>
    <w:rsid w:val="00EE11E3"/>
    <w:rsid w:val="00EE12FE"/>
    <w:rsid w:val="00EE156C"/>
    <w:rsid w:val="00EE16C9"/>
    <w:rsid w:val="00EE1C1D"/>
    <w:rsid w:val="00EE1C38"/>
    <w:rsid w:val="00EE2B6E"/>
    <w:rsid w:val="00EE30A7"/>
    <w:rsid w:val="00EE3B7A"/>
    <w:rsid w:val="00EE4254"/>
    <w:rsid w:val="00EE4FD4"/>
    <w:rsid w:val="00EE56A4"/>
    <w:rsid w:val="00EE56DC"/>
    <w:rsid w:val="00EE6417"/>
    <w:rsid w:val="00EE6C6E"/>
    <w:rsid w:val="00EE7361"/>
    <w:rsid w:val="00EE74B0"/>
    <w:rsid w:val="00EF015D"/>
    <w:rsid w:val="00EF03DA"/>
    <w:rsid w:val="00EF06FB"/>
    <w:rsid w:val="00EF07EA"/>
    <w:rsid w:val="00EF0A38"/>
    <w:rsid w:val="00EF126A"/>
    <w:rsid w:val="00EF1403"/>
    <w:rsid w:val="00EF1839"/>
    <w:rsid w:val="00EF1879"/>
    <w:rsid w:val="00EF1ADF"/>
    <w:rsid w:val="00EF1E7B"/>
    <w:rsid w:val="00EF1FBE"/>
    <w:rsid w:val="00EF2128"/>
    <w:rsid w:val="00EF2BD1"/>
    <w:rsid w:val="00EF403E"/>
    <w:rsid w:val="00EF447D"/>
    <w:rsid w:val="00EF4A86"/>
    <w:rsid w:val="00EF52B5"/>
    <w:rsid w:val="00EF6114"/>
    <w:rsid w:val="00EF624B"/>
    <w:rsid w:val="00EF6470"/>
    <w:rsid w:val="00EF6547"/>
    <w:rsid w:val="00EF6571"/>
    <w:rsid w:val="00EF6883"/>
    <w:rsid w:val="00EF6C31"/>
    <w:rsid w:val="00EF6EAD"/>
    <w:rsid w:val="00EF75FB"/>
    <w:rsid w:val="00EF7E0B"/>
    <w:rsid w:val="00EF7F08"/>
    <w:rsid w:val="00F00DF5"/>
    <w:rsid w:val="00F0106F"/>
    <w:rsid w:val="00F01BF7"/>
    <w:rsid w:val="00F01F14"/>
    <w:rsid w:val="00F02108"/>
    <w:rsid w:val="00F0273B"/>
    <w:rsid w:val="00F028B9"/>
    <w:rsid w:val="00F028F8"/>
    <w:rsid w:val="00F02FB5"/>
    <w:rsid w:val="00F033D9"/>
    <w:rsid w:val="00F03436"/>
    <w:rsid w:val="00F040B4"/>
    <w:rsid w:val="00F048A2"/>
    <w:rsid w:val="00F050C8"/>
    <w:rsid w:val="00F05815"/>
    <w:rsid w:val="00F05ED3"/>
    <w:rsid w:val="00F061EE"/>
    <w:rsid w:val="00F06553"/>
    <w:rsid w:val="00F067E2"/>
    <w:rsid w:val="00F06B19"/>
    <w:rsid w:val="00F06FB3"/>
    <w:rsid w:val="00F077EF"/>
    <w:rsid w:val="00F07AD7"/>
    <w:rsid w:val="00F07BC8"/>
    <w:rsid w:val="00F07BF1"/>
    <w:rsid w:val="00F07C56"/>
    <w:rsid w:val="00F07E97"/>
    <w:rsid w:val="00F102AD"/>
    <w:rsid w:val="00F10767"/>
    <w:rsid w:val="00F10A13"/>
    <w:rsid w:val="00F1160F"/>
    <w:rsid w:val="00F118A8"/>
    <w:rsid w:val="00F122BF"/>
    <w:rsid w:val="00F12A08"/>
    <w:rsid w:val="00F139BE"/>
    <w:rsid w:val="00F13A78"/>
    <w:rsid w:val="00F14684"/>
    <w:rsid w:val="00F147C6"/>
    <w:rsid w:val="00F1495B"/>
    <w:rsid w:val="00F14DF3"/>
    <w:rsid w:val="00F14F62"/>
    <w:rsid w:val="00F15185"/>
    <w:rsid w:val="00F15512"/>
    <w:rsid w:val="00F1584E"/>
    <w:rsid w:val="00F15BEA"/>
    <w:rsid w:val="00F15CC0"/>
    <w:rsid w:val="00F15DCF"/>
    <w:rsid w:val="00F15ED8"/>
    <w:rsid w:val="00F16075"/>
    <w:rsid w:val="00F16654"/>
    <w:rsid w:val="00F166AA"/>
    <w:rsid w:val="00F1672E"/>
    <w:rsid w:val="00F17314"/>
    <w:rsid w:val="00F17598"/>
    <w:rsid w:val="00F17A20"/>
    <w:rsid w:val="00F17C33"/>
    <w:rsid w:val="00F2019F"/>
    <w:rsid w:val="00F202D7"/>
    <w:rsid w:val="00F20692"/>
    <w:rsid w:val="00F20E6B"/>
    <w:rsid w:val="00F20E81"/>
    <w:rsid w:val="00F21A3C"/>
    <w:rsid w:val="00F21B58"/>
    <w:rsid w:val="00F21B99"/>
    <w:rsid w:val="00F21FCA"/>
    <w:rsid w:val="00F2214F"/>
    <w:rsid w:val="00F222FD"/>
    <w:rsid w:val="00F22564"/>
    <w:rsid w:val="00F22653"/>
    <w:rsid w:val="00F22B15"/>
    <w:rsid w:val="00F22CD2"/>
    <w:rsid w:val="00F22FEF"/>
    <w:rsid w:val="00F23815"/>
    <w:rsid w:val="00F23923"/>
    <w:rsid w:val="00F23ACC"/>
    <w:rsid w:val="00F23B84"/>
    <w:rsid w:val="00F23DF0"/>
    <w:rsid w:val="00F24549"/>
    <w:rsid w:val="00F2463B"/>
    <w:rsid w:val="00F24957"/>
    <w:rsid w:val="00F24B2F"/>
    <w:rsid w:val="00F24BAF"/>
    <w:rsid w:val="00F251F9"/>
    <w:rsid w:val="00F2520B"/>
    <w:rsid w:val="00F255AB"/>
    <w:rsid w:val="00F255EE"/>
    <w:rsid w:val="00F25C8E"/>
    <w:rsid w:val="00F266DB"/>
    <w:rsid w:val="00F26E2E"/>
    <w:rsid w:val="00F271CD"/>
    <w:rsid w:val="00F272CB"/>
    <w:rsid w:val="00F2772D"/>
    <w:rsid w:val="00F278EB"/>
    <w:rsid w:val="00F27E2D"/>
    <w:rsid w:val="00F30752"/>
    <w:rsid w:val="00F30794"/>
    <w:rsid w:val="00F30BFC"/>
    <w:rsid w:val="00F30E62"/>
    <w:rsid w:val="00F3100F"/>
    <w:rsid w:val="00F312A0"/>
    <w:rsid w:val="00F31356"/>
    <w:rsid w:val="00F3155C"/>
    <w:rsid w:val="00F316D9"/>
    <w:rsid w:val="00F31F35"/>
    <w:rsid w:val="00F3218C"/>
    <w:rsid w:val="00F32582"/>
    <w:rsid w:val="00F325B1"/>
    <w:rsid w:val="00F32753"/>
    <w:rsid w:val="00F329C4"/>
    <w:rsid w:val="00F32B54"/>
    <w:rsid w:val="00F32F5C"/>
    <w:rsid w:val="00F33392"/>
    <w:rsid w:val="00F33411"/>
    <w:rsid w:val="00F3375D"/>
    <w:rsid w:val="00F33B24"/>
    <w:rsid w:val="00F33D4E"/>
    <w:rsid w:val="00F343BA"/>
    <w:rsid w:val="00F3475E"/>
    <w:rsid w:val="00F353BB"/>
    <w:rsid w:val="00F353E4"/>
    <w:rsid w:val="00F359E2"/>
    <w:rsid w:val="00F35B96"/>
    <w:rsid w:val="00F35BB9"/>
    <w:rsid w:val="00F362A9"/>
    <w:rsid w:val="00F365EF"/>
    <w:rsid w:val="00F365F1"/>
    <w:rsid w:val="00F36620"/>
    <w:rsid w:val="00F36F87"/>
    <w:rsid w:val="00F372AB"/>
    <w:rsid w:val="00F37760"/>
    <w:rsid w:val="00F37EC8"/>
    <w:rsid w:val="00F37ED5"/>
    <w:rsid w:val="00F40036"/>
    <w:rsid w:val="00F40216"/>
    <w:rsid w:val="00F4048B"/>
    <w:rsid w:val="00F4065F"/>
    <w:rsid w:val="00F40973"/>
    <w:rsid w:val="00F411EB"/>
    <w:rsid w:val="00F419D9"/>
    <w:rsid w:val="00F428D9"/>
    <w:rsid w:val="00F42C3E"/>
    <w:rsid w:val="00F42F3C"/>
    <w:rsid w:val="00F43014"/>
    <w:rsid w:val="00F43747"/>
    <w:rsid w:val="00F43978"/>
    <w:rsid w:val="00F44038"/>
    <w:rsid w:val="00F44138"/>
    <w:rsid w:val="00F4454D"/>
    <w:rsid w:val="00F45873"/>
    <w:rsid w:val="00F46840"/>
    <w:rsid w:val="00F46B97"/>
    <w:rsid w:val="00F46BC6"/>
    <w:rsid w:val="00F46C02"/>
    <w:rsid w:val="00F46C3A"/>
    <w:rsid w:val="00F46D53"/>
    <w:rsid w:val="00F46E12"/>
    <w:rsid w:val="00F46F40"/>
    <w:rsid w:val="00F4747B"/>
    <w:rsid w:val="00F4779F"/>
    <w:rsid w:val="00F504CC"/>
    <w:rsid w:val="00F51926"/>
    <w:rsid w:val="00F51979"/>
    <w:rsid w:val="00F51B24"/>
    <w:rsid w:val="00F51BF3"/>
    <w:rsid w:val="00F51D47"/>
    <w:rsid w:val="00F51D8B"/>
    <w:rsid w:val="00F521C6"/>
    <w:rsid w:val="00F52300"/>
    <w:rsid w:val="00F52424"/>
    <w:rsid w:val="00F5259C"/>
    <w:rsid w:val="00F529DB"/>
    <w:rsid w:val="00F52A23"/>
    <w:rsid w:val="00F52A6B"/>
    <w:rsid w:val="00F52C55"/>
    <w:rsid w:val="00F53062"/>
    <w:rsid w:val="00F536FA"/>
    <w:rsid w:val="00F53895"/>
    <w:rsid w:val="00F53EF3"/>
    <w:rsid w:val="00F54135"/>
    <w:rsid w:val="00F54F46"/>
    <w:rsid w:val="00F552E5"/>
    <w:rsid w:val="00F553EA"/>
    <w:rsid w:val="00F55811"/>
    <w:rsid w:val="00F559AC"/>
    <w:rsid w:val="00F55DF2"/>
    <w:rsid w:val="00F55FE8"/>
    <w:rsid w:val="00F560D0"/>
    <w:rsid w:val="00F562A5"/>
    <w:rsid w:val="00F5697D"/>
    <w:rsid w:val="00F57BD2"/>
    <w:rsid w:val="00F57F8D"/>
    <w:rsid w:val="00F60220"/>
    <w:rsid w:val="00F60334"/>
    <w:rsid w:val="00F604CC"/>
    <w:rsid w:val="00F60825"/>
    <w:rsid w:val="00F60FC9"/>
    <w:rsid w:val="00F61119"/>
    <w:rsid w:val="00F61322"/>
    <w:rsid w:val="00F61513"/>
    <w:rsid w:val="00F6162D"/>
    <w:rsid w:val="00F6182B"/>
    <w:rsid w:val="00F61A7A"/>
    <w:rsid w:val="00F61AC9"/>
    <w:rsid w:val="00F62265"/>
    <w:rsid w:val="00F6235F"/>
    <w:rsid w:val="00F62D28"/>
    <w:rsid w:val="00F62E57"/>
    <w:rsid w:val="00F63318"/>
    <w:rsid w:val="00F63716"/>
    <w:rsid w:val="00F63869"/>
    <w:rsid w:val="00F63F12"/>
    <w:rsid w:val="00F64125"/>
    <w:rsid w:val="00F641A8"/>
    <w:rsid w:val="00F6458C"/>
    <w:rsid w:val="00F64723"/>
    <w:rsid w:val="00F64E77"/>
    <w:rsid w:val="00F651A1"/>
    <w:rsid w:val="00F655F1"/>
    <w:rsid w:val="00F6564E"/>
    <w:rsid w:val="00F6581F"/>
    <w:rsid w:val="00F65854"/>
    <w:rsid w:val="00F65918"/>
    <w:rsid w:val="00F65C41"/>
    <w:rsid w:val="00F65CB3"/>
    <w:rsid w:val="00F65E83"/>
    <w:rsid w:val="00F6616C"/>
    <w:rsid w:val="00F66470"/>
    <w:rsid w:val="00F664FB"/>
    <w:rsid w:val="00F666C7"/>
    <w:rsid w:val="00F668D6"/>
    <w:rsid w:val="00F673F7"/>
    <w:rsid w:val="00F674DE"/>
    <w:rsid w:val="00F679C0"/>
    <w:rsid w:val="00F67AC9"/>
    <w:rsid w:val="00F67C87"/>
    <w:rsid w:val="00F67DCE"/>
    <w:rsid w:val="00F7063D"/>
    <w:rsid w:val="00F706BD"/>
    <w:rsid w:val="00F707A5"/>
    <w:rsid w:val="00F707B1"/>
    <w:rsid w:val="00F710A1"/>
    <w:rsid w:val="00F71982"/>
    <w:rsid w:val="00F719D5"/>
    <w:rsid w:val="00F71AF0"/>
    <w:rsid w:val="00F72D1A"/>
    <w:rsid w:val="00F732EF"/>
    <w:rsid w:val="00F735C4"/>
    <w:rsid w:val="00F73716"/>
    <w:rsid w:val="00F7390A"/>
    <w:rsid w:val="00F73974"/>
    <w:rsid w:val="00F73987"/>
    <w:rsid w:val="00F73B3C"/>
    <w:rsid w:val="00F748BE"/>
    <w:rsid w:val="00F7498F"/>
    <w:rsid w:val="00F74B8F"/>
    <w:rsid w:val="00F74C2F"/>
    <w:rsid w:val="00F750DC"/>
    <w:rsid w:val="00F7553F"/>
    <w:rsid w:val="00F755A2"/>
    <w:rsid w:val="00F758F6"/>
    <w:rsid w:val="00F75B0C"/>
    <w:rsid w:val="00F7663B"/>
    <w:rsid w:val="00F76878"/>
    <w:rsid w:val="00F76B97"/>
    <w:rsid w:val="00F76DD2"/>
    <w:rsid w:val="00F76EBC"/>
    <w:rsid w:val="00F771C1"/>
    <w:rsid w:val="00F7741A"/>
    <w:rsid w:val="00F776FF"/>
    <w:rsid w:val="00F77AB8"/>
    <w:rsid w:val="00F77BAF"/>
    <w:rsid w:val="00F77E37"/>
    <w:rsid w:val="00F77E64"/>
    <w:rsid w:val="00F80303"/>
    <w:rsid w:val="00F80FFF"/>
    <w:rsid w:val="00F81006"/>
    <w:rsid w:val="00F8107B"/>
    <w:rsid w:val="00F812B5"/>
    <w:rsid w:val="00F82153"/>
    <w:rsid w:val="00F82582"/>
    <w:rsid w:val="00F83267"/>
    <w:rsid w:val="00F83499"/>
    <w:rsid w:val="00F837CC"/>
    <w:rsid w:val="00F83A31"/>
    <w:rsid w:val="00F83D0C"/>
    <w:rsid w:val="00F83D58"/>
    <w:rsid w:val="00F83FB0"/>
    <w:rsid w:val="00F842D8"/>
    <w:rsid w:val="00F84423"/>
    <w:rsid w:val="00F848F5"/>
    <w:rsid w:val="00F84C7D"/>
    <w:rsid w:val="00F84D70"/>
    <w:rsid w:val="00F85075"/>
    <w:rsid w:val="00F85414"/>
    <w:rsid w:val="00F85756"/>
    <w:rsid w:val="00F858D2"/>
    <w:rsid w:val="00F858F3"/>
    <w:rsid w:val="00F85955"/>
    <w:rsid w:val="00F85C31"/>
    <w:rsid w:val="00F86144"/>
    <w:rsid w:val="00F861D6"/>
    <w:rsid w:val="00F874AB"/>
    <w:rsid w:val="00F877D9"/>
    <w:rsid w:val="00F87B21"/>
    <w:rsid w:val="00F907E8"/>
    <w:rsid w:val="00F90A3A"/>
    <w:rsid w:val="00F9111F"/>
    <w:rsid w:val="00F918FE"/>
    <w:rsid w:val="00F91B75"/>
    <w:rsid w:val="00F92B5B"/>
    <w:rsid w:val="00F9380D"/>
    <w:rsid w:val="00F93D8C"/>
    <w:rsid w:val="00F93E90"/>
    <w:rsid w:val="00F93FBC"/>
    <w:rsid w:val="00F94296"/>
    <w:rsid w:val="00F9447D"/>
    <w:rsid w:val="00F94656"/>
    <w:rsid w:val="00F94819"/>
    <w:rsid w:val="00F94866"/>
    <w:rsid w:val="00F94B71"/>
    <w:rsid w:val="00F94B79"/>
    <w:rsid w:val="00F94CF6"/>
    <w:rsid w:val="00F94F16"/>
    <w:rsid w:val="00F94F3A"/>
    <w:rsid w:val="00F950B0"/>
    <w:rsid w:val="00F95270"/>
    <w:rsid w:val="00F9528F"/>
    <w:rsid w:val="00F9564F"/>
    <w:rsid w:val="00F95D7D"/>
    <w:rsid w:val="00F962E5"/>
    <w:rsid w:val="00F9648A"/>
    <w:rsid w:val="00F96793"/>
    <w:rsid w:val="00F96B6F"/>
    <w:rsid w:val="00F96C1D"/>
    <w:rsid w:val="00F96D37"/>
    <w:rsid w:val="00F97825"/>
    <w:rsid w:val="00F9789D"/>
    <w:rsid w:val="00FA0363"/>
    <w:rsid w:val="00FA0852"/>
    <w:rsid w:val="00FA0E6F"/>
    <w:rsid w:val="00FA0F29"/>
    <w:rsid w:val="00FA1002"/>
    <w:rsid w:val="00FA1555"/>
    <w:rsid w:val="00FA1877"/>
    <w:rsid w:val="00FA1880"/>
    <w:rsid w:val="00FA18A5"/>
    <w:rsid w:val="00FA1CA7"/>
    <w:rsid w:val="00FA2965"/>
    <w:rsid w:val="00FA29F0"/>
    <w:rsid w:val="00FA2A9B"/>
    <w:rsid w:val="00FA2BA8"/>
    <w:rsid w:val="00FA352F"/>
    <w:rsid w:val="00FA3987"/>
    <w:rsid w:val="00FA3BE4"/>
    <w:rsid w:val="00FA3D1B"/>
    <w:rsid w:val="00FA4401"/>
    <w:rsid w:val="00FA47B4"/>
    <w:rsid w:val="00FA4BE0"/>
    <w:rsid w:val="00FA5501"/>
    <w:rsid w:val="00FA560E"/>
    <w:rsid w:val="00FA59EA"/>
    <w:rsid w:val="00FA6608"/>
    <w:rsid w:val="00FA674A"/>
    <w:rsid w:val="00FA688B"/>
    <w:rsid w:val="00FA70E4"/>
    <w:rsid w:val="00FA71B5"/>
    <w:rsid w:val="00FA7408"/>
    <w:rsid w:val="00FA74E4"/>
    <w:rsid w:val="00FA7811"/>
    <w:rsid w:val="00FA7EE4"/>
    <w:rsid w:val="00FB00F3"/>
    <w:rsid w:val="00FB0391"/>
    <w:rsid w:val="00FB059A"/>
    <w:rsid w:val="00FB0FD6"/>
    <w:rsid w:val="00FB190F"/>
    <w:rsid w:val="00FB1C34"/>
    <w:rsid w:val="00FB2038"/>
    <w:rsid w:val="00FB209C"/>
    <w:rsid w:val="00FB20EE"/>
    <w:rsid w:val="00FB2466"/>
    <w:rsid w:val="00FB290B"/>
    <w:rsid w:val="00FB31B6"/>
    <w:rsid w:val="00FB32A9"/>
    <w:rsid w:val="00FB36DB"/>
    <w:rsid w:val="00FB3B6D"/>
    <w:rsid w:val="00FB489A"/>
    <w:rsid w:val="00FB4ECA"/>
    <w:rsid w:val="00FB504C"/>
    <w:rsid w:val="00FB5056"/>
    <w:rsid w:val="00FB5A65"/>
    <w:rsid w:val="00FB659F"/>
    <w:rsid w:val="00FB66DB"/>
    <w:rsid w:val="00FB685A"/>
    <w:rsid w:val="00FB6CF5"/>
    <w:rsid w:val="00FB7588"/>
    <w:rsid w:val="00FB77E8"/>
    <w:rsid w:val="00FC0098"/>
    <w:rsid w:val="00FC07FB"/>
    <w:rsid w:val="00FC1404"/>
    <w:rsid w:val="00FC1678"/>
    <w:rsid w:val="00FC17DE"/>
    <w:rsid w:val="00FC20C5"/>
    <w:rsid w:val="00FC24D6"/>
    <w:rsid w:val="00FC259D"/>
    <w:rsid w:val="00FC28B3"/>
    <w:rsid w:val="00FC29D2"/>
    <w:rsid w:val="00FC2A38"/>
    <w:rsid w:val="00FC2EF2"/>
    <w:rsid w:val="00FC380F"/>
    <w:rsid w:val="00FC3A6E"/>
    <w:rsid w:val="00FC3B0A"/>
    <w:rsid w:val="00FC3C9E"/>
    <w:rsid w:val="00FC42F8"/>
    <w:rsid w:val="00FC44EB"/>
    <w:rsid w:val="00FC476F"/>
    <w:rsid w:val="00FC49B7"/>
    <w:rsid w:val="00FC503A"/>
    <w:rsid w:val="00FC57C2"/>
    <w:rsid w:val="00FC585F"/>
    <w:rsid w:val="00FC5D79"/>
    <w:rsid w:val="00FC5FEA"/>
    <w:rsid w:val="00FC6572"/>
    <w:rsid w:val="00FC67A4"/>
    <w:rsid w:val="00FC697C"/>
    <w:rsid w:val="00FC6D24"/>
    <w:rsid w:val="00FC6E7F"/>
    <w:rsid w:val="00FC7247"/>
    <w:rsid w:val="00FD02BD"/>
    <w:rsid w:val="00FD05D0"/>
    <w:rsid w:val="00FD0CD5"/>
    <w:rsid w:val="00FD0FA9"/>
    <w:rsid w:val="00FD1770"/>
    <w:rsid w:val="00FD1AFF"/>
    <w:rsid w:val="00FD2277"/>
    <w:rsid w:val="00FD2839"/>
    <w:rsid w:val="00FD372E"/>
    <w:rsid w:val="00FD380C"/>
    <w:rsid w:val="00FD3811"/>
    <w:rsid w:val="00FD3A15"/>
    <w:rsid w:val="00FD3CBF"/>
    <w:rsid w:val="00FD4556"/>
    <w:rsid w:val="00FD461E"/>
    <w:rsid w:val="00FD4E74"/>
    <w:rsid w:val="00FD5154"/>
    <w:rsid w:val="00FD54B1"/>
    <w:rsid w:val="00FD5870"/>
    <w:rsid w:val="00FD5CF5"/>
    <w:rsid w:val="00FD5E73"/>
    <w:rsid w:val="00FD5EFD"/>
    <w:rsid w:val="00FD63D8"/>
    <w:rsid w:val="00FD64B7"/>
    <w:rsid w:val="00FD6BE0"/>
    <w:rsid w:val="00FD6C43"/>
    <w:rsid w:val="00FD744D"/>
    <w:rsid w:val="00FE026C"/>
    <w:rsid w:val="00FE0459"/>
    <w:rsid w:val="00FE04EF"/>
    <w:rsid w:val="00FE05F9"/>
    <w:rsid w:val="00FE080F"/>
    <w:rsid w:val="00FE08A1"/>
    <w:rsid w:val="00FE0D37"/>
    <w:rsid w:val="00FE1292"/>
    <w:rsid w:val="00FE1E49"/>
    <w:rsid w:val="00FE210F"/>
    <w:rsid w:val="00FE2390"/>
    <w:rsid w:val="00FE2891"/>
    <w:rsid w:val="00FE2FBF"/>
    <w:rsid w:val="00FE31B7"/>
    <w:rsid w:val="00FE33FA"/>
    <w:rsid w:val="00FE37DA"/>
    <w:rsid w:val="00FE404E"/>
    <w:rsid w:val="00FE4141"/>
    <w:rsid w:val="00FE43FF"/>
    <w:rsid w:val="00FE461B"/>
    <w:rsid w:val="00FE4813"/>
    <w:rsid w:val="00FE494D"/>
    <w:rsid w:val="00FE50F5"/>
    <w:rsid w:val="00FE53E7"/>
    <w:rsid w:val="00FE5493"/>
    <w:rsid w:val="00FE56A5"/>
    <w:rsid w:val="00FE5A79"/>
    <w:rsid w:val="00FE612C"/>
    <w:rsid w:val="00FE650C"/>
    <w:rsid w:val="00FE6C15"/>
    <w:rsid w:val="00FE6CDC"/>
    <w:rsid w:val="00FE6EE2"/>
    <w:rsid w:val="00FE6F0F"/>
    <w:rsid w:val="00FE7218"/>
    <w:rsid w:val="00FE7506"/>
    <w:rsid w:val="00FE7B0E"/>
    <w:rsid w:val="00FF0362"/>
    <w:rsid w:val="00FF04E8"/>
    <w:rsid w:val="00FF0557"/>
    <w:rsid w:val="00FF06D9"/>
    <w:rsid w:val="00FF0A21"/>
    <w:rsid w:val="00FF0DEC"/>
    <w:rsid w:val="00FF11C4"/>
    <w:rsid w:val="00FF1213"/>
    <w:rsid w:val="00FF1307"/>
    <w:rsid w:val="00FF1AE3"/>
    <w:rsid w:val="00FF1B3E"/>
    <w:rsid w:val="00FF1C3D"/>
    <w:rsid w:val="00FF2800"/>
    <w:rsid w:val="00FF299B"/>
    <w:rsid w:val="00FF29D3"/>
    <w:rsid w:val="00FF2BC1"/>
    <w:rsid w:val="00FF441D"/>
    <w:rsid w:val="00FF4940"/>
    <w:rsid w:val="00FF4DF4"/>
    <w:rsid w:val="00FF50FD"/>
    <w:rsid w:val="00FF547F"/>
    <w:rsid w:val="00FF54F7"/>
    <w:rsid w:val="00FF564F"/>
    <w:rsid w:val="00FF56C1"/>
    <w:rsid w:val="00FF5A66"/>
    <w:rsid w:val="00FF6134"/>
    <w:rsid w:val="00FF62A1"/>
    <w:rsid w:val="00FF64DA"/>
    <w:rsid w:val="00FF64E3"/>
    <w:rsid w:val="00FF689B"/>
    <w:rsid w:val="00FF6C70"/>
    <w:rsid w:val="00FF712B"/>
    <w:rsid w:val="00FF7148"/>
    <w:rsid w:val="00FF78EB"/>
    <w:rsid w:val="00FF7AE2"/>
  </w:rsids>
  <m:mathPr>
    <m:mathFont m:val="Cambria Math"/>
    <m:brkBin m:val="before"/>
    <m:brkBinSub m:val="--"/>
    <m:smallFrac/>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417D6167"/>
  <w15:docId w15:val="{D36120FC-87FE-4164-909B-76FF7A3196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pPr>
        <w:ind w:left="360"/>
        <w:jc w:val="both"/>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nhideWhenUsed="1" w:qFormat="1"/>
    <w:lsdException w:name="toc 3" w:semiHidden="1"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4AA4"/>
    <w:rPr>
      <w:sz w:val="24"/>
      <w:szCs w:val="24"/>
    </w:rPr>
  </w:style>
  <w:style w:type="paragraph" w:styleId="Heading1">
    <w:name w:val="heading 1"/>
    <w:basedOn w:val="Normal"/>
    <w:next w:val="Normal"/>
    <w:link w:val="Heading1Char"/>
    <w:qFormat/>
    <w:rsid w:val="00BD0B3B"/>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qFormat/>
    <w:rsid w:val="006E34FF"/>
    <w:pPr>
      <w:keepNext/>
      <w:ind w:left="0"/>
      <w:jc w:val="left"/>
      <w:outlineLvl w:val="1"/>
    </w:pPr>
    <w:rPr>
      <w:b/>
      <w:bCs/>
    </w:rPr>
  </w:style>
  <w:style w:type="paragraph" w:styleId="Heading3">
    <w:name w:val="heading 3"/>
    <w:basedOn w:val="Normal"/>
    <w:next w:val="Normal"/>
    <w:link w:val="Heading3Char"/>
    <w:qFormat/>
    <w:rsid w:val="006E34FF"/>
    <w:pPr>
      <w:keepNext/>
      <w:jc w:val="left"/>
      <w:outlineLvl w:val="2"/>
    </w:pPr>
  </w:style>
  <w:style w:type="paragraph" w:styleId="Heading4">
    <w:name w:val="heading 4"/>
    <w:basedOn w:val="Normal"/>
    <w:next w:val="Normal"/>
    <w:link w:val="Heading4Char"/>
    <w:qFormat/>
    <w:rsid w:val="006E34FF"/>
    <w:pPr>
      <w:keepNext/>
      <w:ind w:left="0"/>
      <w:jc w:val="left"/>
      <w:outlineLvl w:val="3"/>
    </w:pPr>
  </w:style>
  <w:style w:type="paragraph" w:styleId="Heading5">
    <w:name w:val="heading 5"/>
    <w:basedOn w:val="Normal"/>
    <w:next w:val="Normal"/>
    <w:link w:val="Heading5Char"/>
    <w:qFormat/>
    <w:rsid w:val="006E34FF"/>
    <w:pPr>
      <w:keepNext/>
      <w:ind w:firstLine="360"/>
      <w:jc w:val="left"/>
      <w:outlineLvl w:val="4"/>
    </w:pPr>
  </w:style>
  <w:style w:type="paragraph" w:styleId="Heading6">
    <w:name w:val="heading 6"/>
    <w:basedOn w:val="Normal"/>
    <w:next w:val="Normal"/>
    <w:link w:val="Heading6Char"/>
    <w:qFormat/>
    <w:rsid w:val="006E34FF"/>
    <w:pPr>
      <w:keepNext/>
      <w:ind w:left="270" w:hanging="270"/>
      <w:jc w:val="left"/>
      <w:outlineLvl w:val="5"/>
    </w:pPr>
  </w:style>
  <w:style w:type="paragraph" w:styleId="Heading7">
    <w:name w:val="heading 7"/>
    <w:basedOn w:val="Normal"/>
    <w:next w:val="Normal"/>
    <w:link w:val="Heading7Char"/>
    <w:qFormat/>
    <w:rsid w:val="006E34FF"/>
    <w:pPr>
      <w:keepNext/>
      <w:ind w:left="270"/>
      <w:jc w:val="left"/>
      <w:outlineLvl w:val="6"/>
    </w:pPr>
  </w:style>
  <w:style w:type="paragraph" w:styleId="Heading8">
    <w:name w:val="heading 8"/>
    <w:basedOn w:val="Normal"/>
    <w:next w:val="Normal"/>
    <w:link w:val="Heading8Char"/>
    <w:qFormat/>
    <w:rsid w:val="006E34FF"/>
    <w:pPr>
      <w:keepNext/>
      <w:ind w:left="720" w:hanging="360"/>
      <w:jc w:val="left"/>
      <w:outlineLvl w:val="7"/>
    </w:pPr>
  </w:style>
  <w:style w:type="paragraph" w:styleId="Heading9">
    <w:name w:val="heading 9"/>
    <w:basedOn w:val="Normal"/>
    <w:next w:val="Normal"/>
    <w:link w:val="Heading9Char"/>
    <w:qFormat/>
    <w:rsid w:val="006E34FF"/>
    <w:pPr>
      <w:keepNext/>
      <w:ind w:left="90"/>
      <w:jc w:val="left"/>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D0B3B"/>
    <w:rPr>
      <w:rFonts w:ascii="Cambria" w:hAnsi="Cambria"/>
      <w:b/>
      <w:bCs/>
      <w:kern w:val="32"/>
      <w:sz w:val="32"/>
      <w:szCs w:val="32"/>
      <w:lang w:val="en-US" w:eastAsia="en-US" w:bidi="ar-SA"/>
    </w:rPr>
  </w:style>
  <w:style w:type="paragraph" w:styleId="BodyTextIndent2">
    <w:name w:val="Body Text Indent 2"/>
    <w:basedOn w:val="Normal"/>
    <w:link w:val="BodyTextIndent2Char"/>
    <w:rsid w:val="00BD0B3B"/>
    <w:pPr>
      <w:ind w:left="720"/>
    </w:pPr>
    <w:rPr>
      <w:rFonts w:ascii="Arial" w:hAnsi="Arial"/>
      <w:sz w:val="22"/>
      <w:szCs w:val="20"/>
    </w:rPr>
  </w:style>
  <w:style w:type="character" w:customStyle="1" w:styleId="BodyTextIndent2Char">
    <w:name w:val="Body Text Indent 2 Char"/>
    <w:basedOn w:val="DefaultParagraphFont"/>
    <w:link w:val="BodyTextIndent2"/>
    <w:rsid w:val="00BD0B3B"/>
    <w:rPr>
      <w:rFonts w:ascii="Arial" w:hAnsi="Arial"/>
      <w:sz w:val="22"/>
      <w:lang w:val="en-US" w:eastAsia="en-US" w:bidi="ar-SA"/>
    </w:rPr>
  </w:style>
  <w:style w:type="paragraph" w:styleId="Footer">
    <w:name w:val="footer"/>
    <w:basedOn w:val="Normal"/>
    <w:link w:val="FooterChar"/>
    <w:uiPriority w:val="99"/>
    <w:rsid w:val="00BD0B3B"/>
    <w:pPr>
      <w:tabs>
        <w:tab w:val="center" w:pos="4320"/>
        <w:tab w:val="right" w:pos="8640"/>
      </w:tabs>
    </w:pPr>
  </w:style>
  <w:style w:type="character" w:customStyle="1" w:styleId="FooterChar">
    <w:name w:val="Footer Char"/>
    <w:basedOn w:val="DefaultParagraphFont"/>
    <w:link w:val="Footer"/>
    <w:uiPriority w:val="99"/>
    <w:rsid w:val="00BD0B3B"/>
    <w:rPr>
      <w:sz w:val="24"/>
      <w:szCs w:val="24"/>
      <w:lang w:val="en-US" w:eastAsia="en-US" w:bidi="ar-SA"/>
    </w:rPr>
  </w:style>
  <w:style w:type="character" w:styleId="PageNumber">
    <w:name w:val="page number"/>
    <w:basedOn w:val="DefaultParagraphFont"/>
    <w:rsid w:val="00BD0B3B"/>
  </w:style>
  <w:style w:type="table" w:styleId="TableGrid">
    <w:name w:val="Table Grid"/>
    <w:basedOn w:val="TableNormal"/>
    <w:uiPriority w:val="39"/>
    <w:rsid w:val="00BD0B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BD0B3B"/>
    <w:rPr>
      <w:rFonts w:ascii="Tahoma" w:hAnsi="Tahoma" w:cs="Tahoma"/>
      <w:sz w:val="16"/>
      <w:szCs w:val="16"/>
    </w:rPr>
  </w:style>
  <w:style w:type="character" w:customStyle="1" w:styleId="BalloonTextChar">
    <w:name w:val="Balloon Text Char"/>
    <w:basedOn w:val="DefaultParagraphFont"/>
    <w:link w:val="BalloonText"/>
    <w:rsid w:val="00BD0B3B"/>
    <w:rPr>
      <w:rFonts w:ascii="Tahoma" w:hAnsi="Tahoma" w:cs="Tahoma"/>
      <w:sz w:val="16"/>
      <w:szCs w:val="16"/>
      <w:lang w:val="en-US" w:eastAsia="en-US" w:bidi="ar-SA"/>
    </w:rPr>
  </w:style>
  <w:style w:type="paragraph" w:styleId="Revision">
    <w:name w:val="Revision"/>
    <w:hidden/>
    <w:uiPriority w:val="99"/>
    <w:semiHidden/>
    <w:rsid w:val="00BD0B3B"/>
    <w:rPr>
      <w:sz w:val="24"/>
      <w:szCs w:val="24"/>
    </w:rPr>
  </w:style>
  <w:style w:type="paragraph" w:styleId="ListParagraph">
    <w:name w:val="List Paragraph"/>
    <w:basedOn w:val="Normal"/>
    <w:link w:val="ListParagraphChar"/>
    <w:uiPriority w:val="34"/>
    <w:qFormat/>
    <w:rsid w:val="00BD0B3B"/>
    <w:pPr>
      <w:ind w:left="720"/>
    </w:pPr>
  </w:style>
  <w:style w:type="paragraph" w:styleId="Header">
    <w:name w:val="header"/>
    <w:basedOn w:val="Normal"/>
    <w:link w:val="HeaderChar"/>
    <w:rsid w:val="00BD0B3B"/>
    <w:pPr>
      <w:tabs>
        <w:tab w:val="center" w:pos="4680"/>
        <w:tab w:val="right" w:pos="9360"/>
      </w:tabs>
    </w:pPr>
  </w:style>
  <w:style w:type="character" w:customStyle="1" w:styleId="HeaderChar">
    <w:name w:val="Header Char"/>
    <w:basedOn w:val="DefaultParagraphFont"/>
    <w:link w:val="Header"/>
    <w:rsid w:val="00BD0B3B"/>
    <w:rPr>
      <w:sz w:val="24"/>
      <w:szCs w:val="24"/>
      <w:lang w:val="en-US" w:eastAsia="en-US" w:bidi="ar-SA"/>
    </w:rPr>
  </w:style>
  <w:style w:type="paragraph" w:styleId="NormalWeb">
    <w:name w:val="Normal (Web)"/>
    <w:basedOn w:val="Normal"/>
    <w:uiPriority w:val="99"/>
    <w:unhideWhenUsed/>
    <w:rsid w:val="00BD0B3B"/>
    <w:pPr>
      <w:spacing w:before="100" w:beforeAutospacing="1" w:after="100" w:afterAutospacing="1"/>
    </w:pPr>
  </w:style>
  <w:style w:type="paragraph" w:styleId="TOCHeading">
    <w:name w:val="TOC Heading"/>
    <w:basedOn w:val="Heading1"/>
    <w:next w:val="Normal"/>
    <w:qFormat/>
    <w:rsid w:val="00BD0B3B"/>
    <w:pPr>
      <w:keepLines/>
      <w:spacing w:before="480" w:after="0" w:line="276" w:lineRule="auto"/>
      <w:outlineLvl w:val="9"/>
    </w:pPr>
    <w:rPr>
      <w:color w:val="365F91"/>
      <w:kern w:val="0"/>
      <w:sz w:val="28"/>
      <w:szCs w:val="28"/>
    </w:rPr>
  </w:style>
  <w:style w:type="paragraph" w:styleId="TOC2">
    <w:name w:val="toc 2"/>
    <w:basedOn w:val="Normal"/>
    <w:next w:val="Normal"/>
    <w:autoRedefine/>
    <w:unhideWhenUsed/>
    <w:qFormat/>
    <w:rsid w:val="00BD0B3B"/>
    <w:pPr>
      <w:spacing w:after="100" w:line="276" w:lineRule="auto"/>
      <w:ind w:left="220"/>
    </w:pPr>
    <w:rPr>
      <w:rFonts w:ascii="Calibri" w:hAnsi="Calibri"/>
      <w:sz w:val="22"/>
      <w:szCs w:val="22"/>
    </w:rPr>
  </w:style>
  <w:style w:type="paragraph" w:styleId="TOC1">
    <w:name w:val="toc 1"/>
    <w:basedOn w:val="Normal"/>
    <w:next w:val="Normal"/>
    <w:autoRedefine/>
    <w:unhideWhenUsed/>
    <w:qFormat/>
    <w:rsid w:val="00BD0B3B"/>
    <w:pPr>
      <w:spacing w:after="100" w:line="276" w:lineRule="auto"/>
    </w:pPr>
    <w:rPr>
      <w:rFonts w:ascii="Calibri" w:hAnsi="Calibri"/>
      <w:sz w:val="22"/>
      <w:szCs w:val="22"/>
    </w:rPr>
  </w:style>
  <w:style w:type="paragraph" w:styleId="TOC3">
    <w:name w:val="toc 3"/>
    <w:basedOn w:val="Normal"/>
    <w:next w:val="Normal"/>
    <w:autoRedefine/>
    <w:unhideWhenUsed/>
    <w:qFormat/>
    <w:rsid w:val="00BD0B3B"/>
    <w:pPr>
      <w:spacing w:after="100" w:line="276" w:lineRule="auto"/>
      <w:ind w:left="440"/>
    </w:pPr>
    <w:rPr>
      <w:rFonts w:ascii="Calibri" w:hAnsi="Calibri"/>
      <w:sz w:val="22"/>
      <w:szCs w:val="22"/>
    </w:rPr>
  </w:style>
  <w:style w:type="character" w:styleId="Hyperlink">
    <w:name w:val="Hyperlink"/>
    <w:basedOn w:val="DefaultParagraphFont"/>
    <w:uiPriority w:val="99"/>
    <w:unhideWhenUsed/>
    <w:rsid w:val="009314E1"/>
    <w:rPr>
      <w:color w:val="0000FF"/>
      <w:u w:val="single"/>
    </w:rPr>
  </w:style>
  <w:style w:type="paragraph" w:styleId="NoSpacing">
    <w:name w:val="No Spacing"/>
    <w:link w:val="NoSpacingChar"/>
    <w:uiPriority w:val="1"/>
    <w:qFormat/>
    <w:rsid w:val="0088693A"/>
    <w:rPr>
      <w:rFonts w:ascii="Calibri" w:eastAsia="Calibri" w:hAnsi="Calibri"/>
      <w:sz w:val="22"/>
      <w:szCs w:val="22"/>
    </w:rPr>
  </w:style>
  <w:style w:type="character" w:styleId="CommentReference">
    <w:name w:val="annotation reference"/>
    <w:basedOn w:val="DefaultParagraphFont"/>
    <w:uiPriority w:val="99"/>
    <w:rsid w:val="00282F40"/>
    <w:rPr>
      <w:sz w:val="16"/>
      <w:szCs w:val="16"/>
    </w:rPr>
  </w:style>
  <w:style w:type="paragraph" w:styleId="CommentText">
    <w:name w:val="annotation text"/>
    <w:basedOn w:val="Normal"/>
    <w:link w:val="CommentTextChar"/>
    <w:uiPriority w:val="99"/>
    <w:rsid w:val="00282F40"/>
    <w:rPr>
      <w:sz w:val="20"/>
      <w:szCs w:val="20"/>
    </w:rPr>
  </w:style>
  <w:style w:type="character" w:customStyle="1" w:styleId="CommentTextChar">
    <w:name w:val="Comment Text Char"/>
    <w:basedOn w:val="DefaultParagraphFont"/>
    <w:link w:val="CommentText"/>
    <w:uiPriority w:val="99"/>
    <w:rsid w:val="00282F40"/>
  </w:style>
  <w:style w:type="paragraph" w:styleId="CommentSubject">
    <w:name w:val="annotation subject"/>
    <w:basedOn w:val="CommentText"/>
    <w:next w:val="CommentText"/>
    <w:link w:val="CommentSubjectChar"/>
    <w:rsid w:val="00282F40"/>
    <w:rPr>
      <w:b/>
      <w:bCs/>
    </w:rPr>
  </w:style>
  <w:style w:type="character" w:customStyle="1" w:styleId="CommentSubjectChar">
    <w:name w:val="Comment Subject Char"/>
    <w:basedOn w:val="CommentTextChar"/>
    <w:link w:val="CommentSubject"/>
    <w:rsid w:val="00282F40"/>
    <w:rPr>
      <w:b/>
      <w:bCs/>
    </w:rPr>
  </w:style>
  <w:style w:type="character" w:customStyle="1" w:styleId="Heading2Char">
    <w:name w:val="Heading 2 Char"/>
    <w:basedOn w:val="DefaultParagraphFont"/>
    <w:link w:val="Heading2"/>
    <w:rsid w:val="006E34FF"/>
    <w:rPr>
      <w:b/>
      <w:bCs/>
      <w:sz w:val="24"/>
      <w:szCs w:val="24"/>
    </w:rPr>
  </w:style>
  <w:style w:type="character" w:customStyle="1" w:styleId="Heading3Char">
    <w:name w:val="Heading 3 Char"/>
    <w:basedOn w:val="DefaultParagraphFont"/>
    <w:link w:val="Heading3"/>
    <w:rsid w:val="006E34FF"/>
    <w:rPr>
      <w:sz w:val="24"/>
      <w:szCs w:val="24"/>
    </w:rPr>
  </w:style>
  <w:style w:type="character" w:customStyle="1" w:styleId="Heading4Char">
    <w:name w:val="Heading 4 Char"/>
    <w:basedOn w:val="DefaultParagraphFont"/>
    <w:link w:val="Heading4"/>
    <w:rsid w:val="006E34FF"/>
    <w:rPr>
      <w:sz w:val="24"/>
      <w:szCs w:val="24"/>
    </w:rPr>
  </w:style>
  <w:style w:type="character" w:customStyle="1" w:styleId="Heading5Char">
    <w:name w:val="Heading 5 Char"/>
    <w:basedOn w:val="DefaultParagraphFont"/>
    <w:link w:val="Heading5"/>
    <w:rsid w:val="006E34FF"/>
    <w:rPr>
      <w:sz w:val="24"/>
      <w:szCs w:val="24"/>
    </w:rPr>
  </w:style>
  <w:style w:type="character" w:customStyle="1" w:styleId="Heading6Char">
    <w:name w:val="Heading 6 Char"/>
    <w:basedOn w:val="DefaultParagraphFont"/>
    <w:link w:val="Heading6"/>
    <w:rsid w:val="006E34FF"/>
    <w:rPr>
      <w:sz w:val="24"/>
      <w:szCs w:val="24"/>
    </w:rPr>
  </w:style>
  <w:style w:type="character" w:customStyle="1" w:styleId="Heading7Char">
    <w:name w:val="Heading 7 Char"/>
    <w:basedOn w:val="DefaultParagraphFont"/>
    <w:link w:val="Heading7"/>
    <w:rsid w:val="006E34FF"/>
    <w:rPr>
      <w:sz w:val="24"/>
      <w:szCs w:val="24"/>
    </w:rPr>
  </w:style>
  <w:style w:type="character" w:customStyle="1" w:styleId="Heading8Char">
    <w:name w:val="Heading 8 Char"/>
    <w:basedOn w:val="DefaultParagraphFont"/>
    <w:link w:val="Heading8"/>
    <w:rsid w:val="006E34FF"/>
    <w:rPr>
      <w:sz w:val="24"/>
      <w:szCs w:val="24"/>
    </w:rPr>
  </w:style>
  <w:style w:type="character" w:customStyle="1" w:styleId="Heading9Char">
    <w:name w:val="Heading 9 Char"/>
    <w:basedOn w:val="DefaultParagraphFont"/>
    <w:link w:val="Heading9"/>
    <w:rsid w:val="006E34FF"/>
    <w:rPr>
      <w:sz w:val="24"/>
      <w:szCs w:val="24"/>
    </w:rPr>
  </w:style>
  <w:style w:type="numbering" w:customStyle="1" w:styleId="NoList1">
    <w:name w:val="No List1"/>
    <w:next w:val="NoList"/>
    <w:semiHidden/>
    <w:rsid w:val="006E34FF"/>
  </w:style>
  <w:style w:type="paragraph" w:styleId="BodyTextIndent">
    <w:name w:val="Body Text Indent"/>
    <w:basedOn w:val="Normal"/>
    <w:link w:val="BodyTextIndentChar"/>
    <w:rsid w:val="006E34FF"/>
    <w:pPr>
      <w:ind w:left="1080" w:hanging="360"/>
      <w:jc w:val="left"/>
    </w:pPr>
  </w:style>
  <w:style w:type="character" w:customStyle="1" w:styleId="BodyTextIndentChar">
    <w:name w:val="Body Text Indent Char"/>
    <w:basedOn w:val="DefaultParagraphFont"/>
    <w:link w:val="BodyTextIndent"/>
    <w:rsid w:val="006E34FF"/>
    <w:rPr>
      <w:sz w:val="24"/>
      <w:szCs w:val="24"/>
    </w:rPr>
  </w:style>
  <w:style w:type="paragraph" w:styleId="BodyTextIndent3">
    <w:name w:val="Body Text Indent 3"/>
    <w:basedOn w:val="Normal"/>
    <w:link w:val="BodyTextIndent3Char"/>
    <w:rsid w:val="006E34FF"/>
    <w:pPr>
      <w:ind w:firstLine="360"/>
      <w:jc w:val="left"/>
    </w:pPr>
  </w:style>
  <w:style w:type="character" w:customStyle="1" w:styleId="BodyTextIndent3Char">
    <w:name w:val="Body Text Indent 3 Char"/>
    <w:basedOn w:val="DefaultParagraphFont"/>
    <w:link w:val="BodyTextIndent3"/>
    <w:rsid w:val="006E34FF"/>
    <w:rPr>
      <w:sz w:val="24"/>
      <w:szCs w:val="24"/>
    </w:rPr>
  </w:style>
  <w:style w:type="paragraph" w:styleId="BodyText">
    <w:name w:val="Body Text"/>
    <w:basedOn w:val="Normal"/>
    <w:link w:val="BodyTextChar"/>
    <w:rsid w:val="006E34FF"/>
    <w:pPr>
      <w:ind w:left="0"/>
    </w:pPr>
  </w:style>
  <w:style w:type="character" w:customStyle="1" w:styleId="BodyTextChar">
    <w:name w:val="Body Text Char"/>
    <w:basedOn w:val="DefaultParagraphFont"/>
    <w:link w:val="BodyText"/>
    <w:rsid w:val="006E34FF"/>
    <w:rPr>
      <w:sz w:val="24"/>
      <w:szCs w:val="24"/>
    </w:rPr>
  </w:style>
  <w:style w:type="paragraph" w:styleId="BodyText2">
    <w:name w:val="Body Text 2"/>
    <w:basedOn w:val="Normal"/>
    <w:link w:val="BodyText2Char"/>
    <w:rsid w:val="006E34FF"/>
    <w:pPr>
      <w:ind w:left="0"/>
      <w:jc w:val="left"/>
    </w:pPr>
  </w:style>
  <w:style w:type="character" w:customStyle="1" w:styleId="BodyText2Char">
    <w:name w:val="Body Text 2 Char"/>
    <w:basedOn w:val="DefaultParagraphFont"/>
    <w:link w:val="BodyText2"/>
    <w:rsid w:val="006E34FF"/>
    <w:rPr>
      <w:sz w:val="24"/>
      <w:szCs w:val="24"/>
    </w:rPr>
  </w:style>
  <w:style w:type="paragraph" w:styleId="BodyText3">
    <w:name w:val="Body Text 3"/>
    <w:basedOn w:val="Normal"/>
    <w:link w:val="BodyText3Char"/>
    <w:rsid w:val="006E34FF"/>
    <w:pPr>
      <w:ind w:left="0"/>
    </w:pPr>
    <w:rPr>
      <w:i/>
      <w:iCs/>
    </w:rPr>
  </w:style>
  <w:style w:type="character" w:customStyle="1" w:styleId="BodyText3Char">
    <w:name w:val="Body Text 3 Char"/>
    <w:basedOn w:val="DefaultParagraphFont"/>
    <w:link w:val="BodyText3"/>
    <w:rsid w:val="006E34FF"/>
    <w:rPr>
      <w:i/>
      <w:iCs/>
      <w:sz w:val="24"/>
      <w:szCs w:val="24"/>
    </w:rPr>
  </w:style>
  <w:style w:type="paragraph" w:styleId="BlockText">
    <w:name w:val="Block Text"/>
    <w:basedOn w:val="Normal"/>
    <w:rsid w:val="006E34FF"/>
    <w:pPr>
      <w:ind w:left="1290" w:right="720"/>
    </w:pPr>
  </w:style>
  <w:style w:type="paragraph" w:styleId="Caption">
    <w:name w:val="caption"/>
    <w:basedOn w:val="Normal"/>
    <w:next w:val="Normal"/>
    <w:qFormat/>
    <w:rsid w:val="006E34FF"/>
    <w:pPr>
      <w:ind w:left="0"/>
    </w:pPr>
    <w:rPr>
      <w:rFonts w:ascii="Arial" w:hAnsi="Arial"/>
      <w:b/>
      <w:bCs/>
      <w:sz w:val="22"/>
      <w:szCs w:val="20"/>
    </w:rPr>
  </w:style>
  <w:style w:type="table" w:customStyle="1" w:styleId="TableGrid1">
    <w:name w:val="Table Grid1"/>
    <w:basedOn w:val="TableNormal"/>
    <w:next w:val="TableGrid"/>
    <w:uiPriority w:val="59"/>
    <w:rsid w:val="006E34FF"/>
    <w:pPr>
      <w:ind w:left="0"/>
      <w:jc w:val="left"/>
    </w:pPr>
    <w:rPr>
      <w:lang w:val="en-PH" w:eastAsia="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
    <w:name w:val="t"/>
    <w:basedOn w:val="DefaultParagraphFont"/>
    <w:rsid w:val="006E34FF"/>
  </w:style>
  <w:style w:type="character" w:customStyle="1" w:styleId="ListParagraphChar">
    <w:name w:val="List Paragraph Char"/>
    <w:link w:val="ListParagraph"/>
    <w:uiPriority w:val="34"/>
    <w:locked/>
    <w:rsid w:val="00647BF5"/>
    <w:rPr>
      <w:sz w:val="24"/>
      <w:szCs w:val="24"/>
    </w:rPr>
  </w:style>
  <w:style w:type="paragraph" w:customStyle="1" w:styleId="Default">
    <w:name w:val="Default"/>
    <w:rsid w:val="00A358B2"/>
    <w:pPr>
      <w:autoSpaceDE w:val="0"/>
      <w:autoSpaceDN w:val="0"/>
      <w:adjustRightInd w:val="0"/>
      <w:ind w:left="0"/>
      <w:jc w:val="left"/>
    </w:pPr>
    <w:rPr>
      <w:rFonts w:ascii="Arial" w:hAnsi="Arial" w:cs="Arial"/>
      <w:color w:val="000000"/>
      <w:sz w:val="24"/>
      <w:szCs w:val="24"/>
      <w:lang w:val="en-PH"/>
    </w:rPr>
  </w:style>
  <w:style w:type="paragraph" w:customStyle="1" w:styleId="bodycopyindent">
    <w:name w:val="body copy indent"/>
    <w:basedOn w:val="Normal"/>
    <w:rsid w:val="00957EBA"/>
    <w:pPr>
      <w:spacing w:before="20" w:line="210" w:lineRule="exact"/>
      <w:ind w:left="510"/>
      <w:jc w:val="left"/>
    </w:pPr>
    <w:rPr>
      <w:rFonts w:ascii="Arial" w:eastAsia="PMingLiU" w:hAnsi="Arial" w:cs="Arial"/>
      <w:color w:val="000000"/>
      <w:sz w:val="17"/>
      <w:szCs w:val="17"/>
      <w:lang w:val="en-AU"/>
    </w:rPr>
  </w:style>
  <w:style w:type="paragraph" w:customStyle="1" w:styleId="a-Right-Col-Reg">
    <w:name w:val="a-Right-Col-Reg"/>
    <w:basedOn w:val="Normal"/>
    <w:rsid w:val="009117E9"/>
    <w:pPr>
      <w:spacing w:after="60" w:line="240" w:lineRule="atLeast"/>
      <w:ind w:left="0"/>
      <w:jc w:val="left"/>
    </w:pPr>
    <w:rPr>
      <w:rFonts w:ascii="Arial" w:hAnsi="Arial"/>
      <w:sz w:val="16"/>
      <w:szCs w:val="16"/>
      <w:lang w:val="en-GB"/>
    </w:rPr>
  </w:style>
  <w:style w:type="paragraph" w:customStyle="1" w:styleId="Bodycopy">
    <w:name w:val="Body copy"/>
    <w:rsid w:val="009117E9"/>
    <w:pPr>
      <w:spacing w:before="20" w:line="210" w:lineRule="exact"/>
      <w:ind w:left="0"/>
      <w:jc w:val="left"/>
    </w:pPr>
    <w:rPr>
      <w:rFonts w:ascii="Arial" w:eastAsia="PMingLiU" w:hAnsi="Arial" w:cs="Arial"/>
      <w:color w:val="000000"/>
      <w:sz w:val="17"/>
      <w:szCs w:val="17"/>
    </w:rPr>
  </w:style>
  <w:style w:type="paragraph" w:customStyle="1" w:styleId="yiv9264845530ydpd831b659yiv5687725187ydp386160f2msonormal">
    <w:name w:val="yiv9264845530ydpd831b659yiv5687725187ydp386160f2msonormal"/>
    <w:basedOn w:val="Normal"/>
    <w:rsid w:val="009117E9"/>
    <w:pPr>
      <w:spacing w:before="100" w:beforeAutospacing="1" w:after="100" w:afterAutospacing="1"/>
      <w:ind w:left="0"/>
      <w:jc w:val="left"/>
    </w:pPr>
    <w:rPr>
      <w:lang w:val="en-PH" w:eastAsia="en-PH"/>
    </w:rPr>
  </w:style>
  <w:style w:type="paragraph" w:styleId="EndnoteText">
    <w:name w:val="endnote text"/>
    <w:basedOn w:val="Normal"/>
    <w:link w:val="EndnoteTextChar"/>
    <w:uiPriority w:val="99"/>
    <w:rsid w:val="00E60CEA"/>
    <w:pPr>
      <w:spacing w:after="260" w:line="240" w:lineRule="atLeast"/>
      <w:ind w:left="0"/>
      <w:jc w:val="left"/>
    </w:pPr>
    <w:rPr>
      <w:rFonts w:ascii="Arial" w:hAnsi="Arial"/>
      <w:sz w:val="20"/>
      <w:szCs w:val="20"/>
      <w:lang w:val="en-GB"/>
    </w:rPr>
  </w:style>
  <w:style w:type="character" w:customStyle="1" w:styleId="EndnoteTextChar">
    <w:name w:val="Endnote Text Char"/>
    <w:basedOn w:val="DefaultParagraphFont"/>
    <w:link w:val="EndnoteText"/>
    <w:uiPriority w:val="99"/>
    <w:rsid w:val="00E60CEA"/>
    <w:rPr>
      <w:rFonts w:ascii="Arial" w:hAnsi="Arial"/>
      <w:lang w:val="en-GB"/>
    </w:rPr>
  </w:style>
  <w:style w:type="character" w:customStyle="1" w:styleId="NoSpacingChar">
    <w:name w:val="No Spacing Char"/>
    <w:link w:val="NoSpacing"/>
    <w:uiPriority w:val="1"/>
    <w:rsid w:val="00740543"/>
    <w:rPr>
      <w:rFonts w:ascii="Calibri" w:eastAsia="Calibri" w:hAnsi="Calibri"/>
      <w:sz w:val="22"/>
      <w:szCs w:val="22"/>
    </w:rPr>
  </w:style>
  <w:style w:type="paragraph" w:customStyle="1" w:styleId="Style2">
    <w:name w:val="Style2"/>
    <w:basedOn w:val="ListParagraph"/>
    <w:qFormat/>
    <w:rsid w:val="008B348A"/>
    <w:pPr>
      <w:numPr>
        <w:numId w:val="25"/>
      </w:numPr>
      <w:spacing w:after="160" w:line="259" w:lineRule="auto"/>
      <w:contextualSpacing/>
    </w:pPr>
    <w:rPr>
      <w:rFonts w:ascii="Garamond" w:eastAsiaTheme="minorEastAsia" w:hAnsi="Garamond" w:cstheme="minorBidi"/>
      <w:b/>
      <w:lang w:val="en-PH"/>
    </w:rPr>
  </w:style>
  <w:style w:type="character" w:styleId="FollowedHyperlink">
    <w:name w:val="FollowedHyperlink"/>
    <w:basedOn w:val="DefaultParagraphFont"/>
    <w:uiPriority w:val="99"/>
    <w:semiHidden/>
    <w:unhideWhenUsed/>
    <w:rsid w:val="008F0E57"/>
    <w:rPr>
      <w:color w:val="954F72"/>
      <w:u w:val="single"/>
    </w:rPr>
  </w:style>
  <w:style w:type="paragraph" w:customStyle="1" w:styleId="msonormal0">
    <w:name w:val="msonormal"/>
    <w:basedOn w:val="Normal"/>
    <w:rsid w:val="008F0E57"/>
    <w:pPr>
      <w:spacing w:before="100" w:beforeAutospacing="1" w:after="100" w:afterAutospacing="1"/>
      <w:ind w:left="0"/>
      <w:jc w:val="left"/>
    </w:pPr>
    <w:rPr>
      <w:lang w:val="en-PH" w:eastAsia="en-PH"/>
    </w:rPr>
  </w:style>
  <w:style w:type="paragraph" w:customStyle="1" w:styleId="xl95">
    <w:name w:val="xl95"/>
    <w:basedOn w:val="Normal"/>
    <w:rsid w:val="008F0E57"/>
    <w:pPr>
      <w:spacing w:before="100" w:beforeAutospacing="1" w:after="100" w:afterAutospacing="1"/>
      <w:ind w:left="0"/>
      <w:jc w:val="left"/>
    </w:pPr>
    <w:rPr>
      <w:rFonts w:ascii="Arial" w:hAnsi="Arial" w:cs="Arial"/>
      <w:sz w:val="22"/>
      <w:szCs w:val="22"/>
      <w:lang w:val="en-PH" w:eastAsia="en-PH"/>
    </w:rPr>
  </w:style>
  <w:style w:type="paragraph" w:customStyle="1" w:styleId="xl96">
    <w:name w:val="xl96"/>
    <w:basedOn w:val="Normal"/>
    <w:rsid w:val="008F0E57"/>
    <w:pPr>
      <w:spacing w:before="100" w:beforeAutospacing="1" w:after="100" w:afterAutospacing="1"/>
      <w:ind w:left="0"/>
      <w:jc w:val="left"/>
    </w:pPr>
    <w:rPr>
      <w:rFonts w:ascii="Arial" w:hAnsi="Arial" w:cs="Arial"/>
      <w:lang w:val="en-PH" w:eastAsia="en-PH"/>
    </w:rPr>
  </w:style>
  <w:style w:type="paragraph" w:customStyle="1" w:styleId="xl97">
    <w:name w:val="xl97"/>
    <w:basedOn w:val="Normal"/>
    <w:rsid w:val="008F0E57"/>
    <w:pPr>
      <w:spacing w:before="100" w:beforeAutospacing="1" w:after="100" w:afterAutospacing="1"/>
      <w:ind w:left="0"/>
      <w:jc w:val="left"/>
    </w:pPr>
    <w:rPr>
      <w:rFonts w:ascii="Arial" w:hAnsi="Arial" w:cs="Arial"/>
      <w:sz w:val="22"/>
      <w:szCs w:val="22"/>
      <w:lang w:val="en-PH" w:eastAsia="en-PH"/>
    </w:rPr>
  </w:style>
  <w:style w:type="paragraph" w:customStyle="1" w:styleId="xl98">
    <w:name w:val="xl98"/>
    <w:basedOn w:val="Normal"/>
    <w:rsid w:val="008F0E57"/>
    <w:pPr>
      <w:spacing w:before="100" w:beforeAutospacing="1" w:after="100" w:afterAutospacing="1"/>
      <w:ind w:left="0"/>
      <w:jc w:val="left"/>
    </w:pPr>
    <w:rPr>
      <w:rFonts w:ascii="Arial" w:hAnsi="Arial" w:cs="Arial"/>
      <w:sz w:val="22"/>
      <w:szCs w:val="22"/>
      <w:lang w:val="en-PH" w:eastAsia="en-PH"/>
    </w:rPr>
  </w:style>
  <w:style w:type="paragraph" w:customStyle="1" w:styleId="xl99">
    <w:name w:val="xl99"/>
    <w:basedOn w:val="Normal"/>
    <w:rsid w:val="008F0E57"/>
    <w:pPr>
      <w:spacing w:before="100" w:beforeAutospacing="1" w:after="100" w:afterAutospacing="1"/>
      <w:ind w:left="0"/>
      <w:jc w:val="left"/>
    </w:pPr>
    <w:rPr>
      <w:rFonts w:ascii="Arial" w:hAnsi="Arial" w:cs="Arial"/>
      <w:lang w:val="en-PH" w:eastAsia="en-PH"/>
    </w:rPr>
  </w:style>
  <w:style w:type="paragraph" w:customStyle="1" w:styleId="xl100">
    <w:name w:val="xl100"/>
    <w:basedOn w:val="Normal"/>
    <w:rsid w:val="008F0E57"/>
    <w:pPr>
      <w:spacing w:before="100" w:beforeAutospacing="1" w:after="100" w:afterAutospacing="1"/>
      <w:ind w:left="0"/>
      <w:jc w:val="right"/>
    </w:pPr>
    <w:rPr>
      <w:rFonts w:ascii="Arial" w:hAnsi="Arial" w:cs="Arial"/>
      <w:sz w:val="22"/>
      <w:szCs w:val="22"/>
      <w:lang w:val="en-PH" w:eastAsia="en-PH"/>
    </w:rPr>
  </w:style>
  <w:style w:type="paragraph" w:customStyle="1" w:styleId="xl101">
    <w:name w:val="xl101"/>
    <w:basedOn w:val="Normal"/>
    <w:rsid w:val="008F0E57"/>
    <w:pPr>
      <w:spacing w:before="100" w:beforeAutospacing="1" w:after="100" w:afterAutospacing="1"/>
      <w:ind w:left="0"/>
      <w:jc w:val="left"/>
    </w:pPr>
    <w:rPr>
      <w:rFonts w:ascii="Arial" w:hAnsi="Arial" w:cs="Arial"/>
      <w:lang w:val="en-PH" w:eastAsia="en-PH"/>
    </w:rPr>
  </w:style>
  <w:style w:type="paragraph" w:customStyle="1" w:styleId="xl102">
    <w:name w:val="xl102"/>
    <w:basedOn w:val="Normal"/>
    <w:rsid w:val="008F0E57"/>
    <w:pPr>
      <w:pBdr>
        <w:top w:val="single" w:sz="4" w:space="0" w:color="auto"/>
        <w:bottom w:val="double" w:sz="6" w:space="0" w:color="auto"/>
      </w:pBdr>
      <w:spacing w:before="100" w:beforeAutospacing="1" w:after="100" w:afterAutospacing="1"/>
      <w:ind w:left="0"/>
      <w:jc w:val="left"/>
    </w:pPr>
    <w:rPr>
      <w:rFonts w:ascii="Arial" w:hAnsi="Arial" w:cs="Arial"/>
      <w:b/>
      <w:bCs/>
      <w:lang w:val="en-PH" w:eastAsia="en-PH"/>
    </w:rPr>
  </w:style>
  <w:style w:type="paragraph" w:customStyle="1" w:styleId="xl103">
    <w:name w:val="xl103"/>
    <w:basedOn w:val="Normal"/>
    <w:rsid w:val="008F0E57"/>
    <w:pPr>
      <w:pBdr>
        <w:top w:val="single" w:sz="4" w:space="0" w:color="auto"/>
        <w:bottom w:val="double" w:sz="6" w:space="0" w:color="auto"/>
      </w:pBdr>
      <w:spacing w:before="100" w:beforeAutospacing="1" w:after="100" w:afterAutospacing="1"/>
      <w:ind w:left="0"/>
      <w:jc w:val="left"/>
    </w:pPr>
    <w:rPr>
      <w:rFonts w:ascii="Arial" w:hAnsi="Arial" w:cs="Arial"/>
      <w:b/>
      <w:bCs/>
      <w:lang w:val="en-PH" w:eastAsia="en-PH"/>
    </w:rPr>
  </w:style>
  <w:style w:type="paragraph" w:customStyle="1" w:styleId="xl104">
    <w:name w:val="xl104"/>
    <w:basedOn w:val="Normal"/>
    <w:rsid w:val="008F0E57"/>
    <w:pPr>
      <w:spacing w:before="100" w:beforeAutospacing="1" w:after="100" w:afterAutospacing="1"/>
      <w:ind w:left="0"/>
      <w:jc w:val="left"/>
    </w:pPr>
    <w:rPr>
      <w:rFonts w:ascii="Arial" w:hAnsi="Arial" w:cs="Arial"/>
      <w:lang w:val="en-PH" w:eastAsia="en-PH"/>
    </w:rPr>
  </w:style>
  <w:style w:type="paragraph" w:customStyle="1" w:styleId="xl105">
    <w:name w:val="xl105"/>
    <w:basedOn w:val="Normal"/>
    <w:rsid w:val="008F0E57"/>
    <w:pPr>
      <w:spacing w:before="100" w:beforeAutospacing="1" w:after="100" w:afterAutospacing="1"/>
      <w:ind w:left="0"/>
      <w:jc w:val="left"/>
    </w:pPr>
    <w:rPr>
      <w:rFonts w:ascii="Arial" w:hAnsi="Arial" w:cs="Arial"/>
      <w:b/>
      <w:bCs/>
      <w:lang w:val="en-PH" w:eastAsia="en-PH"/>
    </w:rPr>
  </w:style>
  <w:style w:type="paragraph" w:customStyle="1" w:styleId="xl106">
    <w:name w:val="xl106"/>
    <w:basedOn w:val="Normal"/>
    <w:rsid w:val="008F0E57"/>
    <w:pPr>
      <w:spacing w:before="100" w:beforeAutospacing="1" w:after="100" w:afterAutospacing="1"/>
      <w:ind w:left="0"/>
      <w:jc w:val="left"/>
    </w:pPr>
    <w:rPr>
      <w:rFonts w:ascii="Arial" w:hAnsi="Arial" w:cs="Arial"/>
      <w:lang w:val="en-PH" w:eastAsia="en-PH"/>
    </w:rPr>
  </w:style>
  <w:style w:type="paragraph" w:customStyle="1" w:styleId="xl107">
    <w:name w:val="xl107"/>
    <w:basedOn w:val="Normal"/>
    <w:rsid w:val="008F0E57"/>
    <w:pPr>
      <w:spacing w:before="100" w:beforeAutospacing="1" w:after="100" w:afterAutospacing="1"/>
      <w:ind w:left="0"/>
      <w:jc w:val="left"/>
    </w:pPr>
    <w:rPr>
      <w:rFonts w:ascii="Arial" w:hAnsi="Arial" w:cs="Arial"/>
      <w:lang w:val="en-PH" w:eastAsia="en-PH"/>
    </w:rPr>
  </w:style>
  <w:style w:type="paragraph" w:customStyle="1" w:styleId="xl108">
    <w:name w:val="xl108"/>
    <w:basedOn w:val="Normal"/>
    <w:rsid w:val="008F0E57"/>
    <w:pPr>
      <w:pBdr>
        <w:top w:val="single" w:sz="4" w:space="0" w:color="auto"/>
        <w:bottom w:val="double" w:sz="6" w:space="0" w:color="auto"/>
      </w:pBdr>
      <w:spacing w:before="100" w:beforeAutospacing="1" w:after="100" w:afterAutospacing="1"/>
      <w:ind w:left="0"/>
      <w:jc w:val="left"/>
    </w:pPr>
    <w:rPr>
      <w:rFonts w:ascii="Arial" w:hAnsi="Arial" w:cs="Arial"/>
      <w:b/>
      <w:bCs/>
      <w:lang w:val="en-PH" w:eastAsia="en-PH"/>
    </w:rPr>
  </w:style>
  <w:style w:type="paragraph" w:customStyle="1" w:styleId="xl109">
    <w:name w:val="xl109"/>
    <w:basedOn w:val="Normal"/>
    <w:rsid w:val="008F0E57"/>
    <w:pPr>
      <w:spacing w:before="100" w:beforeAutospacing="1" w:after="100" w:afterAutospacing="1"/>
      <w:ind w:left="0"/>
      <w:jc w:val="left"/>
    </w:pPr>
    <w:rPr>
      <w:rFonts w:ascii="Arial" w:hAnsi="Arial" w:cs="Arial"/>
      <w:lang w:val="en-PH" w:eastAsia="en-PH"/>
    </w:rPr>
  </w:style>
  <w:style w:type="paragraph" w:customStyle="1" w:styleId="xl110">
    <w:name w:val="xl110"/>
    <w:basedOn w:val="Normal"/>
    <w:rsid w:val="008F0E57"/>
    <w:pPr>
      <w:pBdr>
        <w:top w:val="single" w:sz="4" w:space="0" w:color="auto"/>
        <w:bottom w:val="double" w:sz="6" w:space="0" w:color="auto"/>
      </w:pBdr>
      <w:spacing w:before="100" w:beforeAutospacing="1" w:after="100" w:afterAutospacing="1"/>
      <w:ind w:left="0"/>
      <w:jc w:val="left"/>
    </w:pPr>
    <w:rPr>
      <w:rFonts w:ascii="Arial" w:hAnsi="Arial" w:cs="Arial"/>
      <w:b/>
      <w:bCs/>
      <w:lang w:val="en-PH" w:eastAsia="en-PH"/>
    </w:rPr>
  </w:style>
  <w:style w:type="paragraph" w:customStyle="1" w:styleId="xl111">
    <w:name w:val="xl111"/>
    <w:basedOn w:val="Normal"/>
    <w:rsid w:val="008F0E57"/>
    <w:pPr>
      <w:spacing w:before="100" w:beforeAutospacing="1" w:after="100" w:afterAutospacing="1"/>
      <w:ind w:left="0"/>
      <w:jc w:val="left"/>
    </w:pPr>
    <w:rPr>
      <w:rFonts w:ascii="Arial" w:hAnsi="Arial" w:cs="Arial"/>
      <w:sz w:val="22"/>
      <w:szCs w:val="22"/>
      <w:lang w:val="en-PH" w:eastAsia="en-PH"/>
    </w:rPr>
  </w:style>
  <w:style w:type="paragraph" w:customStyle="1" w:styleId="xl112">
    <w:name w:val="xl112"/>
    <w:basedOn w:val="Normal"/>
    <w:rsid w:val="008F0E57"/>
    <w:pPr>
      <w:spacing w:before="100" w:beforeAutospacing="1" w:after="100" w:afterAutospacing="1"/>
      <w:ind w:left="0"/>
      <w:jc w:val="left"/>
    </w:pPr>
    <w:rPr>
      <w:rFonts w:ascii="Arial" w:hAnsi="Arial" w:cs="Arial"/>
      <w:b/>
      <w:bCs/>
      <w:lang w:val="en-PH" w:eastAsia="en-PH"/>
    </w:rPr>
  </w:style>
  <w:style w:type="paragraph" w:customStyle="1" w:styleId="xl113">
    <w:name w:val="xl113"/>
    <w:basedOn w:val="Normal"/>
    <w:rsid w:val="008F0E57"/>
    <w:pPr>
      <w:spacing w:before="100" w:beforeAutospacing="1" w:after="100" w:afterAutospacing="1"/>
      <w:ind w:left="0"/>
      <w:jc w:val="left"/>
    </w:pPr>
    <w:rPr>
      <w:lang w:val="en-PH" w:eastAsia="en-PH"/>
    </w:rPr>
  </w:style>
  <w:style w:type="paragraph" w:customStyle="1" w:styleId="xl114">
    <w:name w:val="xl114"/>
    <w:basedOn w:val="Normal"/>
    <w:rsid w:val="008F0E57"/>
    <w:pPr>
      <w:pBdr>
        <w:top w:val="single" w:sz="4" w:space="0" w:color="auto"/>
        <w:bottom w:val="double" w:sz="6" w:space="0" w:color="auto"/>
      </w:pBdr>
      <w:spacing w:before="100" w:beforeAutospacing="1" w:after="100" w:afterAutospacing="1"/>
      <w:ind w:left="0"/>
      <w:jc w:val="left"/>
    </w:pPr>
    <w:rPr>
      <w:rFonts w:ascii="Arial" w:hAnsi="Arial" w:cs="Arial"/>
      <w:b/>
      <w:bCs/>
      <w:lang w:val="en-PH" w:eastAsia="en-PH"/>
    </w:rPr>
  </w:style>
  <w:style w:type="character" w:customStyle="1" w:styleId="cf01">
    <w:name w:val="cf01"/>
    <w:basedOn w:val="DefaultParagraphFont"/>
    <w:rsid w:val="00986F56"/>
    <w:rPr>
      <w:rFonts w:ascii="Segoe UI" w:hAnsi="Segoe UI" w:cs="Segoe UI" w:hint="default"/>
      <w:sz w:val="18"/>
      <w:szCs w:val="18"/>
    </w:rPr>
  </w:style>
  <w:style w:type="paragraph" w:customStyle="1" w:styleId="pf0">
    <w:name w:val="pf0"/>
    <w:basedOn w:val="Normal"/>
    <w:rsid w:val="00986F56"/>
    <w:pPr>
      <w:spacing w:before="100" w:beforeAutospacing="1" w:after="100" w:afterAutospacing="1"/>
      <w:ind w:left="0"/>
      <w:jc w:val="left"/>
    </w:pPr>
    <w:rPr>
      <w:lang w:val="en-PH" w:eastAsia="en-PH"/>
    </w:rPr>
  </w:style>
  <w:style w:type="paragraph" w:customStyle="1" w:styleId="has-medium-font-size">
    <w:name w:val="has-medium-font-size"/>
    <w:basedOn w:val="Normal"/>
    <w:rsid w:val="007A49F5"/>
    <w:pPr>
      <w:spacing w:before="100" w:beforeAutospacing="1" w:after="100" w:afterAutospacing="1"/>
      <w:ind w:left="0"/>
      <w:jc w:val="left"/>
    </w:pPr>
    <w:rPr>
      <w:lang w:val="en-PH" w:eastAsia="en-PH"/>
    </w:rPr>
  </w:style>
  <w:style w:type="character" w:styleId="Strong">
    <w:name w:val="Strong"/>
    <w:basedOn w:val="DefaultParagraphFont"/>
    <w:uiPriority w:val="22"/>
    <w:qFormat/>
    <w:rsid w:val="007A49F5"/>
    <w:rPr>
      <w:b/>
      <w:bCs/>
    </w:rPr>
  </w:style>
  <w:style w:type="character" w:styleId="Emphasis">
    <w:name w:val="Emphasis"/>
    <w:basedOn w:val="DefaultParagraphFont"/>
    <w:uiPriority w:val="20"/>
    <w:qFormat/>
    <w:rsid w:val="007A49F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38952">
      <w:bodyDiv w:val="1"/>
      <w:marLeft w:val="0"/>
      <w:marRight w:val="0"/>
      <w:marTop w:val="0"/>
      <w:marBottom w:val="0"/>
      <w:divBdr>
        <w:top w:val="none" w:sz="0" w:space="0" w:color="auto"/>
        <w:left w:val="none" w:sz="0" w:space="0" w:color="auto"/>
        <w:bottom w:val="none" w:sz="0" w:space="0" w:color="auto"/>
        <w:right w:val="none" w:sz="0" w:space="0" w:color="auto"/>
      </w:divBdr>
    </w:div>
    <w:div w:id="6906556">
      <w:bodyDiv w:val="1"/>
      <w:marLeft w:val="0"/>
      <w:marRight w:val="0"/>
      <w:marTop w:val="0"/>
      <w:marBottom w:val="0"/>
      <w:divBdr>
        <w:top w:val="none" w:sz="0" w:space="0" w:color="auto"/>
        <w:left w:val="none" w:sz="0" w:space="0" w:color="auto"/>
        <w:bottom w:val="none" w:sz="0" w:space="0" w:color="auto"/>
        <w:right w:val="none" w:sz="0" w:space="0" w:color="auto"/>
      </w:divBdr>
    </w:div>
    <w:div w:id="17119880">
      <w:bodyDiv w:val="1"/>
      <w:marLeft w:val="0"/>
      <w:marRight w:val="0"/>
      <w:marTop w:val="0"/>
      <w:marBottom w:val="0"/>
      <w:divBdr>
        <w:top w:val="none" w:sz="0" w:space="0" w:color="auto"/>
        <w:left w:val="none" w:sz="0" w:space="0" w:color="auto"/>
        <w:bottom w:val="none" w:sz="0" w:space="0" w:color="auto"/>
        <w:right w:val="none" w:sz="0" w:space="0" w:color="auto"/>
      </w:divBdr>
    </w:div>
    <w:div w:id="17389359">
      <w:bodyDiv w:val="1"/>
      <w:marLeft w:val="0"/>
      <w:marRight w:val="0"/>
      <w:marTop w:val="0"/>
      <w:marBottom w:val="0"/>
      <w:divBdr>
        <w:top w:val="none" w:sz="0" w:space="0" w:color="auto"/>
        <w:left w:val="none" w:sz="0" w:space="0" w:color="auto"/>
        <w:bottom w:val="none" w:sz="0" w:space="0" w:color="auto"/>
        <w:right w:val="none" w:sz="0" w:space="0" w:color="auto"/>
      </w:divBdr>
    </w:div>
    <w:div w:id="42602481">
      <w:bodyDiv w:val="1"/>
      <w:marLeft w:val="0"/>
      <w:marRight w:val="0"/>
      <w:marTop w:val="0"/>
      <w:marBottom w:val="0"/>
      <w:divBdr>
        <w:top w:val="none" w:sz="0" w:space="0" w:color="auto"/>
        <w:left w:val="none" w:sz="0" w:space="0" w:color="auto"/>
        <w:bottom w:val="none" w:sz="0" w:space="0" w:color="auto"/>
        <w:right w:val="none" w:sz="0" w:space="0" w:color="auto"/>
      </w:divBdr>
    </w:div>
    <w:div w:id="51659017">
      <w:bodyDiv w:val="1"/>
      <w:marLeft w:val="0"/>
      <w:marRight w:val="0"/>
      <w:marTop w:val="0"/>
      <w:marBottom w:val="0"/>
      <w:divBdr>
        <w:top w:val="none" w:sz="0" w:space="0" w:color="auto"/>
        <w:left w:val="none" w:sz="0" w:space="0" w:color="auto"/>
        <w:bottom w:val="none" w:sz="0" w:space="0" w:color="auto"/>
        <w:right w:val="none" w:sz="0" w:space="0" w:color="auto"/>
      </w:divBdr>
    </w:div>
    <w:div w:id="54358555">
      <w:bodyDiv w:val="1"/>
      <w:marLeft w:val="0"/>
      <w:marRight w:val="0"/>
      <w:marTop w:val="0"/>
      <w:marBottom w:val="0"/>
      <w:divBdr>
        <w:top w:val="none" w:sz="0" w:space="0" w:color="auto"/>
        <w:left w:val="none" w:sz="0" w:space="0" w:color="auto"/>
        <w:bottom w:val="none" w:sz="0" w:space="0" w:color="auto"/>
        <w:right w:val="none" w:sz="0" w:space="0" w:color="auto"/>
      </w:divBdr>
    </w:div>
    <w:div w:id="56629600">
      <w:bodyDiv w:val="1"/>
      <w:marLeft w:val="0"/>
      <w:marRight w:val="0"/>
      <w:marTop w:val="0"/>
      <w:marBottom w:val="0"/>
      <w:divBdr>
        <w:top w:val="none" w:sz="0" w:space="0" w:color="auto"/>
        <w:left w:val="none" w:sz="0" w:space="0" w:color="auto"/>
        <w:bottom w:val="none" w:sz="0" w:space="0" w:color="auto"/>
        <w:right w:val="none" w:sz="0" w:space="0" w:color="auto"/>
      </w:divBdr>
    </w:div>
    <w:div w:id="57747108">
      <w:bodyDiv w:val="1"/>
      <w:marLeft w:val="0"/>
      <w:marRight w:val="0"/>
      <w:marTop w:val="0"/>
      <w:marBottom w:val="0"/>
      <w:divBdr>
        <w:top w:val="none" w:sz="0" w:space="0" w:color="auto"/>
        <w:left w:val="none" w:sz="0" w:space="0" w:color="auto"/>
        <w:bottom w:val="none" w:sz="0" w:space="0" w:color="auto"/>
        <w:right w:val="none" w:sz="0" w:space="0" w:color="auto"/>
      </w:divBdr>
    </w:div>
    <w:div w:id="71516203">
      <w:bodyDiv w:val="1"/>
      <w:marLeft w:val="0"/>
      <w:marRight w:val="0"/>
      <w:marTop w:val="0"/>
      <w:marBottom w:val="0"/>
      <w:divBdr>
        <w:top w:val="none" w:sz="0" w:space="0" w:color="auto"/>
        <w:left w:val="none" w:sz="0" w:space="0" w:color="auto"/>
        <w:bottom w:val="none" w:sz="0" w:space="0" w:color="auto"/>
        <w:right w:val="none" w:sz="0" w:space="0" w:color="auto"/>
      </w:divBdr>
    </w:div>
    <w:div w:id="74085432">
      <w:bodyDiv w:val="1"/>
      <w:marLeft w:val="0"/>
      <w:marRight w:val="0"/>
      <w:marTop w:val="0"/>
      <w:marBottom w:val="0"/>
      <w:divBdr>
        <w:top w:val="none" w:sz="0" w:space="0" w:color="auto"/>
        <w:left w:val="none" w:sz="0" w:space="0" w:color="auto"/>
        <w:bottom w:val="none" w:sz="0" w:space="0" w:color="auto"/>
        <w:right w:val="none" w:sz="0" w:space="0" w:color="auto"/>
      </w:divBdr>
    </w:div>
    <w:div w:id="82530378">
      <w:bodyDiv w:val="1"/>
      <w:marLeft w:val="0"/>
      <w:marRight w:val="0"/>
      <w:marTop w:val="0"/>
      <w:marBottom w:val="0"/>
      <w:divBdr>
        <w:top w:val="none" w:sz="0" w:space="0" w:color="auto"/>
        <w:left w:val="none" w:sz="0" w:space="0" w:color="auto"/>
        <w:bottom w:val="none" w:sz="0" w:space="0" w:color="auto"/>
        <w:right w:val="none" w:sz="0" w:space="0" w:color="auto"/>
      </w:divBdr>
    </w:div>
    <w:div w:id="82803924">
      <w:bodyDiv w:val="1"/>
      <w:marLeft w:val="0"/>
      <w:marRight w:val="0"/>
      <w:marTop w:val="0"/>
      <w:marBottom w:val="0"/>
      <w:divBdr>
        <w:top w:val="none" w:sz="0" w:space="0" w:color="auto"/>
        <w:left w:val="none" w:sz="0" w:space="0" w:color="auto"/>
        <w:bottom w:val="none" w:sz="0" w:space="0" w:color="auto"/>
        <w:right w:val="none" w:sz="0" w:space="0" w:color="auto"/>
      </w:divBdr>
    </w:div>
    <w:div w:id="89274910">
      <w:bodyDiv w:val="1"/>
      <w:marLeft w:val="0"/>
      <w:marRight w:val="0"/>
      <w:marTop w:val="0"/>
      <w:marBottom w:val="0"/>
      <w:divBdr>
        <w:top w:val="none" w:sz="0" w:space="0" w:color="auto"/>
        <w:left w:val="none" w:sz="0" w:space="0" w:color="auto"/>
        <w:bottom w:val="none" w:sz="0" w:space="0" w:color="auto"/>
        <w:right w:val="none" w:sz="0" w:space="0" w:color="auto"/>
      </w:divBdr>
    </w:div>
    <w:div w:id="100031208">
      <w:bodyDiv w:val="1"/>
      <w:marLeft w:val="0"/>
      <w:marRight w:val="0"/>
      <w:marTop w:val="0"/>
      <w:marBottom w:val="0"/>
      <w:divBdr>
        <w:top w:val="none" w:sz="0" w:space="0" w:color="auto"/>
        <w:left w:val="none" w:sz="0" w:space="0" w:color="auto"/>
        <w:bottom w:val="none" w:sz="0" w:space="0" w:color="auto"/>
        <w:right w:val="none" w:sz="0" w:space="0" w:color="auto"/>
      </w:divBdr>
    </w:div>
    <w:div w:id="103578292">
      <w:bodyDiv w:val="1"/>
      <w:marLeft w:val="0"/>
      <w:marRight w:val="0"/>
      <w:marTop w:val="0"/>
      <w:marBottom w:val="0"/>
      <w:divBdr>
        <w:top w:val="none" w:sz="0" w:space="0" w:color="auto"/>
        <w:left w:val="none" w:sz="0" w:space="0" w:color="auto"/>
        <w:bottom w:val="none" w:sz="0" w:space="0" w:color="auto"/>
        <w:right w:val="none" w:sz="0" w:space="0" w:color="auto"/>
      </w:divBdr>
    </w:div>
    <w:div w:id="105007739">
      <w:bodyDiv w:val="1"/>
      <w:marLeft w:val="0"/>
      <w:marRight w:val="0"/>
      <w:marTop w:val="0"/>
      <w:marBottom w:val="0"/>
      <w:divBdr>
        <w:top w:val="none" w:sz="0" w:space="0" w:color="auto"/>
        <w:left w:val="none" w:sz="0" w:space="0" w:color="auto"/>
        <w:bottom w:val="none" w:sz="0" w:space="0" w:color="auto"/>
        <w:right w:val="none" w:sz="0" w:space="0" w:color="auto"/>
      </w:divBdr>
    </w:div>
    <w:div w:id="106628500">
      <w:bodyDiv w:val="1"/>
      <w:marLeft w:val="0"/>
      <w:marRight w:val="0"/>
      <w:marTop w:val="0"/>
      <w:marBottom w:val="0"/>
      <w:divBdr>
        <w:top w:val="none" w:sz="0" w:space="0" w:color="auto"/>
        <w:left w:val="none" w:sz="0" w:space="0" w:color="auto"/>
        <w:bottom w:val="none" w:sz="0" w:space="0" w:color="auto"/>
        <w:right w:val="none" w:sz="0" w:space="0" w:color="auto"/>
      </w:divBdr>
    </w:div>
    <w:div w:id="122311474">
      <w:bodyDiv w:val="1"/>
      <w:marLeft w:val="0"/>
      <w:marRight w:val="0"/>
      <w:marTop w:val="0"/>
      <w:marBottom w:val="0"/>
      <w:divBdr>
        <w:top w:val="none" w:sz="0" w:space="0" w:color="auto"/>
        <w:left w:val="none" w:sz="0" w:space="0" w:color="auto"/>
        <w:bottom w:val="none" w:sz="0" w:space="0" w:color="auto"/>
        <w:right w:val="none" w:sz="0" w:space="0" w:color="auto"/>
      </w:divBdr>
    </w:div>
    <w:div w:id="123430272">
      <w:bodyDiv w:val="1"/>
      <w:marLeft w:val="0"/>
      <w:marRight w:val="0"/>
      <w:marTop w:val="0"/>
      <w:marBottom w:val="0"/>
      <w:divBdr>
        <w:top w:val="none" w:sz="0" w:space="0" w:color="auto"/>
        <w:left w:val="none" w:sz="0" w:space="0" w:color="auto"/>
        <w:bottom w:val="none" w:sz="0" w:space="0" w:color="auto"/>
        <w:right w:val="none" w:sz="0" w:space="0" w:color="auto"/>
      </w:divBdr>
    </w:div>
    <w:div w:id="128283338">
      <w:bodyDiv w:val="1"/>
      <w:marLeft w:val="0"/>
      <w:marRight w:val="0"/>
      <w:marTop w:val="0"/>
      <w:marBottom w:val="0"/>
      <w:divBdr>
        <w:top w:val="none" w:sz="0" w:space="0" w:color="auto"/>
        <w:left w:val="none" w:sz="0" w:space="0" w:color="auto"/>
        <w:bottom w:val="none" w:sz="0" w:space="0" w:color="auto"/>
        <w:right w:val="none" w:sz="0" w:space="0" w:color="auto"/>
      </w:divBdr>
    </w:div>
    <w:div w:id="132527640">
      <w:bodyDiv w:val="1"/>
      <w:marLeft w:val="0"/>
      <w:marRight w:val="0"/>
      <w:marTop w:val="0"/>
      <w:marBottom w:val="0"/>
      <w:divBdr>
        <w:top w:val="none" w:sz="0" w:space="0" w:color="auto"/>
        <w:left w:val="none" w:sz="0" w:space="0" w:color="auto"/>
        <w:bottom w:val="none" w:sz="0" w:space="0" w:color="auto"/>
        <w:right w:val="none" w:sz="0" w:space="0" w:color="auto"/>
      </w:divBdr>
    </w:div>
    <w:div w:id="148788536">
      <w:bodyDiv w:val="1"/>
      <w:marLeft w:val="0"/>
      <w:marRight w:val="0"/>
      <w:marTop w:val="0"/>
      <w:marBottom w:val="0"/>
      <w:divBdr>
        <w:top w:val="none" w:sz="0" w:space="0" w:color="auto"/>
        <w:left w:val="none" w:sz="0" w:space="0" w:color="auto"/>
        <w:bottom w:val="none" w:sz="0" w:space="0" w:color="auto"/>
        <w:right w:val="none" w:sz="0" w:space="0" w:color="auto"/>
      </w:divBdr>
    </w:div>
    <w:div w:id="149446948">
      <w:bodyDiv w:val="1"/>
      <w:marLeft w:val="0"/>
      <w:marRight w:val="0"/>
      <w:marTop w:val="0"/>
      <w:marBottom w:val="0"/>
      <w:divBdr>
        <w:top w:val="none" w:sz="0" w:space="0" w:color="auto"/>
        <w:left w:val="none" w:sz="0" w:space="0" w:color="auto"/>
        <w:bottom w:val="none" w:sz="0" w:space="0" w:color="auto"/>
        <w:right w:val="none" w:sz="0" w:space="0" w:color="auto"/>
      </w:divBdr>
    </w:div>
    <w:div w:id="155607645">
      <w:bodyDiv w:val="1"/>
      <w:marLeft w:val="0"/>
      <w:marRight w:val="0"/>
      <w:marTop w:val="0"/>
      <w:marBottom w:val="0"/>
      <w:divBdr>
        <w:top w:val="none" w:sz="0" w:space="0" w:color="auto"/>
        <w:left w:val="none" w:sz="0" w:space="0" w:color="auto"/>
        <w:bottom w:val="none" w:sz="0" w:space="0" w:color="auto"/>
        <w:right w:val="none" w:sz="0" w:space="0" w:color="auto"/>
      </w:divBdr>
    </w:div>
    <w:div w:id="159586458">
      <w:bodyDiv w:val="1"/>
      <w:marLeft w:val="0"/>
      <w:marRight w:val="0"/>
      <w:marTop w:val="0"/>
      <w:marBottom w:val="0"/>
      <w:divBdr>
        <w:top w:val="none" w:sz="0" w:space="0" w:color="auto"/>
        <w:left w:val="none" w:sz="0" w:space="0" w:color="auto"/>
        <w:bottom w:val="none" w:sz="0" w:space="0" w:color="auto"/>
        <w:right w:val="none" w:sz="0" w:space="0" w:color="auto"/>
      </w:divBdr>
    </w:div>
    <w:div w:id="169607752">
      <w:bodyDiv w:val="1"/>
      <w:marLeft w:val="0"/>
      <w:marRight w:val="0"/>
      <w:marTop w:val="0"/>
      <w:marBottom w:val="0"/>
      <w:divBdr>
        <w:top w:val="none" w:sz="0" w:space="0" w:color="auto"/>
        <w:left w:val="none" w:sz="0" w:space="0" w:color="auto"/>
        <w:bottom w:val="none" w:sz="0" w:space="0" w:color="auto"/>
        <w:right w:val="none" w:sz="0" w:space="0" w:color="auto"/>
      </w:divBdr>
    </w:div>
    <w:div w:id="170143809">
      <w:bodyDiv w:val="1"/>
      <w:marLeft w:val="0"/>
      <w:marRight w:val="0"/>
      <w:marTop w:val="0"/>
      <w:marBottom w:val="0"/>
      <w:divBdr>
        <w:top w:val="none" w:sz="0" w:space="0" w:color="auto"/>
        <w:left w:val="none" w:sz="0" w:space="0" w:color="auto"/>
        <w:bottom w:val="none" w:sz="0" w:space="0" w:color="auto"/>
        <w:right w:val="none" w:sz="0" w:space="0" w:color="auto"/>
      </w:divBdr>
    </w:div>
    <w:div w:id="171383774">
      <w:bodyDiv w:val="1"/>
      <w:marLeft w:val="0"/>
      <w:marRight w:val="0"/>
      <w:marTop w:val="0"/>
      <w:marBottom w:val="0"/>
      <w:divBdr>
        <w:top w:val="none" w:sz="0" w:space="0" w:color="auto"/>
        <w:left w:val="none" w:sz="0" w:space="0" w:color="auto"/>
        <w:bottom w:val="none" w:sz="0" w:space="0" w:color="auto"/>
        <w:right w:val="none" w:sz="0" w:space="0" w:color="auto"/>
      </w:divBdr>
    </w:div>
    <w:div w:id="177089227">
      <w:bodyDiv w:val="1"/>
      <w:marLeft w:val="0"/>
      <w:marRight w:val="0"/>
      <w:marTop w:val="0"/>
      <w:marBottom w:val="0"/>
      <w:divBdr>
        <w:top w:val="none" w:sz="0" w:space="0" w:color="auto"/>
        <w:left w:val="none" w:sz="0" w:space="0" w:color="auto"/>
        <w:bottom w:val="none" w:sz="0" w:space="0" w:color="auto"/>
        <w:right w:val="none" w:sz="0" w:space="0" w:color="auto"/>
      </w:divBdr>
    </w:div>
    <w:div w:id="187839925">
      <w:bodyDiv w:val="1"/>
      <w:marLeft w:val="0"/>
      <w:marRight w:val="0"/>
      <w:marTop w:val="0"/>
      <w:marBottom w:val="0"/>
      <w:divBdr>
        <w:top w:val="none" w:sz="0" w:space="0" w:color="auto"/>
        <w:left w:val="none" w:sz="0" w:space="0" w:color="auto"/>
        <w:bottom w:val="none" w:sz="0" w:space="0" w:color="auto"/>
        <w:right w:val="none" w:sz="0" w:space="0" w:color="auto"/>
      </w:divBdr>
    </w:div>
    <w:div w:id="201476237">
      <w:bodyDiv w:val="1"/>
      <w:marLeft w:val="0"/>
      <w:marRight w:val="0"/>
      <w:marTop w:val="0"/>
      <w:marBottom w:val="0"/>
      <w:divBdr>
        <w:top w:val="none" w:sz="0" w:space="0" w:color="auto"/>
        <w:left w:val="none" w:sz="0" w:space="0" w:color="auto"/>
        <w:bottom w:val="none" w:sz="0" w:space="0" w:color="auto"/>
        <w:right w:val="none" w:sz="0" w:space="0" w:color="auto"/>
      </w:divBdr>
    </w:div>
    <w:div w:id="226261724">
      <w:bodyDiv w:val="1"/>
      <w:marLeft w:val="0"/>
      <w:marRight w:val="0"/>
      <w:marTop w:val="0"/>
      <w:marBottom w:val="0"/>
      <w:divBdr>
        <w:top w:val="none" w:sz="0" w:space="0" w:color="auto"/>
        <w:left w:val="none" w:sz="0" w:space="0" w:color="auto"/>
        <w:bottom w:val="none" w:sz="0" w:space="0" w:color="auto"/>
        <w:right w:val="none" w:sz="0" w:space="0" w:color="auto"/>
      </w:divBdr>
    </w:div>
    <w:div w:id="232396099">
      <w:bodyDiv w:val="1"/>
      <w:marLeft w:val="0"/>
      <w:marRight w:val="0"/>
      <w:marTop w:val="0"/>
      <w:marBottom w:val="0"/>
      <w:divBdr>
        <w:top w:val="none" w:sz="0" w:space="0" w:color="auto"/>
        <w:left w:val="none" w:sz="0" w:space="0" w:color="auto"/>
        <w:bottom w:val="none" w:sz="0" w:space="0" w:color="auto"/>
        <w:right w:val="none" w:sz="0" w:space="0" w:color="auto"/>
      </w:divBdr>
    </w:div>
    <w:div w:id="245767469">
      <w:bodyDiv w:val="1"/>
      <w:marLeft w:val="0"/>
      <w:marRight w:val="0"/>
      <w:marTop w:val="0"/>
      <w:marBottom w:val="0"/>
      <w:divBdr>
        <w:top w:val="none" w:sz="0" w:space="0" w:color="auto"/>
        <w:left w:val="none" w:sz="0" w:space="0" w:color="auto"/>
        <w:bottom w:val="none" w:sz="0" w:space="0" w:color="auto"/>
        <w:right w:val="none" w:sz="0" w:space="0" w:color="auto"/>
      </w:divBdr>
    </w:div>
    <w:div w:id="245962476">
      <w:bodyDiv w:val="1"/>
      <w:marLeft w:val="0"/>
      <w:marRight w:val="0"/>
      <w:marTop w:val="0"/>
      <w:marBottom w:val="0"/>
      <w:divBdr>
        <w:top w:val="none" w:sz="0" w:space="0" w:color="auto"/>
        <w:left w:val="none" w:sz="0" w:space="0" w:color="auto"/>
        <w:bottom w:val="none" w:sz="0" w:space="0" w:color="auto"/>
        <w:right w:val="none" w:sz="0" w:space="0" w:color="auto"/>
      </w:divBdr>
    </w:div>
    <w:div w:id="248274643">
      <w:bodyDiv w:val="1"/>
      <w:marLeft w:val="0"/>
      <w:marRight w:val="0"/>
      <w:marTop w:val="0"/>
      <w:marBottom w:val="0"/>
      <w:divBdr>
        <w:top w:val="none" w:sz="0" w:space="0" w:color="auto"/>
        <w:left w:val="none" w:sz="0" w:space="0" w:color="auto"/>
        <w:bottom w:val="none" w:sz="0" w:space="0" w:color="auto"/>
        <w:right w:val="none" w:sz="0" w:space="0" w:color="auto"/>
      </w:divBdr>
    </w:div>
    <w:div w:id="260572462">
      <w:bodyDiv w:val="1"/>
      <w:marLeft w:val="0"/>
      <w:marRight w:val="0"/>
      <w:marTop w:val="0"/>
      <w:marBottom w:val="0"/>
      <w:divBdr>
        <w:top w:val="none" w:sz="0" w:space="0" w:color="auto"/>
        <w:left w:val="none" w:sz="0" w:space="0" w:color="auto"/>
        <w:bottom w:val="none" w:sz="0" w:space="0" w:color="auto"/>
        <w:right w:val="none" w:sz="0" w:space="0" w:color="auto"/>
      </w:divBdr>
    </w:div>
    <w:div w:id="273446223">
      <w:bodyDiv w:val="1"/>
      <w:marLeft w:val="0"/>
      <w:marRight w:val="0"/>
      <w:marTop w:val="0"/>
      <w:marBottom w:val="0"/>
      <w:divBdr>
        <w:top w:val="none" w:sz="0" w:space="0" w:color="auto"/>
        <w:left w:val="none" w:sz="0" w:space="0" w:color="auto"/>
        <w:bottom w:val="none" w:sz="0" w:space="0" w:color="auto"/>
        <w:right w:val="none" w:sz="0" w:space="0" w:color="auto"/>
      </w:divBdr>
    </w:div>
    <w:div w:id="283535442">
      <w:bodyDiv w:val="1"/>
      <w:marLeft w:val="0"/>
      <w:marRight w:val="0"/>
      <w:marTop w:val="0"/>
      <w:marBottom w:val="0"/>
      <w:divBdr>
        <w:top w:val="none" w:sz="0" w:space="0" w:color="auto"/>
        <w:left w:val="none" w:sz="0" w:space="0" w:color="auto"/>
        <w:bottom w:val="none" w:sz="0" w:space="0" w:color="auto"/>
        <w:right w:val="none" w:sz="0" w:space="0" w:color="auto"/>
      </w:divBdr>
    </w:div>
    <w:div w:id="283779760">
      <w:bodyDiv w:val="1"/>
      <w:marLeft w:val="0"/>
      <w:marRight w:val="0"/>
      <w:marTop w:val="0"/>
      <w:marBottom w:val="0"/>
      <w:divBdr>
        <w:top w:val="none" w:sz="0" w:space="0" w:color="auto"/>
        <w:left w:val="none" w:sz="0" w:space="0" w:color="auto"/>
        <w:bottom w:val="none" w:sz="0" w:space="0" w:color="auto"/>
        <w:right w:val="none" w:sz="0" w:space="0" w:color="auto"/>
      </w:divBdr>
    </w:div>
    <w:div w:id="298808395">
      <w:bodyDiv w:val="1"/>
      <w:marLeft w:val="0"/>
      <w:marRight w:val="0"/>
      <w:marTop w:val="0"/>
      <w:marBottom w:val="0"/>
      <w:divBdr>
        <w:top w:val="none" w:sz="0" w:space="0" w:color="auto"/>
        <w:left w:val="none" w:sz="0" w:space="0" w:color="auto"/>
        <w:bottom w:val="none" w:sz="0" w:space="0" w:color="auto"/>
        <w:right w:val="none" w:sz="0" w:space="0" w:color="auto"/>
      </w:divBdr>
    </w:div>
    <w:div w:id="300770378">
      <w:bodyDiv w:val="1"/>
      <w:marLeft w:val="0"/>
      <w:marRight w:val="0"/>
      <w:marTop w:val="0"/>
      <w:marBottom w:val="0"/>
      <w:divBdr>
        <w:top w:val="none" w:sz="0" w:space="0" w:color="auto"/>
        <w:left w:val="none" w:sz="0" w:space="0" w:color="auto"/>
        <w:bottom w:val="none" w:sz="0" w:space="0" w:color="auto"/>
        <w:right w:val="none" w:sz="0" w:space="0" w:color="auto"/>
      </w:divBdr>
    </w:div>
    <w:div w:id="302125571">
      <w:bodyDiv w:val="1"/>
      <w:marLeft w:val="0"/>
      <w:marRight w:val="0"/>
      <w:marTop w:val="0"/>
      <w:marBottom w:val="0"/>
      <w:divBdr>
        <w:top w:val="none" w:sz="0" w:space="0" w:color="auto"/>
        <w:left w:val="none" w:sz="0" w:space="0" w:color="auto"/>
        <w:bottom w:val="none" w:sz="0" w:space="0" w:color="auto"/>
        <w:right w:val="none" w:sz="0" w:space="0" w:color="auto"/>
      </w:divBdr>
    </w:div>
    <w:div w:id="305085930">
      <w:bodyDiv w:val="1"/>
      <w:marLeft w:val="0"/>
      <w:marRight w:val="0"/>
      <w:marTop w:val="0"/>
      <w:marBottom w:val="0"/>
      <w:divBdr>
        <w:top w:val="none" w:sz="0" w:space="0" w:color="auto"/>
        <w:left w:val="none" w:sz="0" w:space="0" w:color="auto"/>
        <w:bottom w:val="none" w:sz="0" w:space="0" w:color="auto"/>
        <w:right w:val="none" w:sz="0" w:space="0" w:color="auto"/>
      </w:divBdr>
    </w:div>
    <w:div w:id="324479575">
      <w:bodyDiv w:val="1"/>
      <w:marLeft w:val="0"/>
      <w:marRight w:val="0"/>
      <w:marTop w:val="0"/>
      <w:marBottom w:val="0"/>
      <w:divBdr>
        <w:top w:val="none" w:sz="0" w:space="0" w:color="auto"/>
        <w:left w:val="none" w:sz="0" w:space="0" w:color="auto"/>
        <w:bottom w:val="none" w:sz="0" w:space="0" w:color="auto"/>
        <w:right w:val="none" w:sz="0" w:space="0" w:color="auto"/>
      </w:divBdr>
    </w:div>
    <w:div w:id="335114690">
      <w:bodyDiv w:val="1"/>
      <w:marLeft w:val="0"/>
      <w:marRight w:val="0"/>
      <w:marTop w:val="0"/>
      <w:marBottom w:val="0"/>
      <w:divBdr>
        <w:top w:val="none" w:sz="0" w:space="0" w:color="auto"/>
        <w:left w:val="none" w:sz="0" w:space="0" w:color="auto"/>
        <w:bottom w:val="none" w:sz="0" w:space="0" w:color="auto"/>
        <w:right w:val="none" w:sz="0" w:space="0" w:color="auto"/>
      </w:divBdr>
    </w:div>
    <w:div w:id="351493514">
      <w:bodyDiv w:val="1"/>
      <w:marLeft w:val="0"/>
      <w:marRight w:val="0"/>
      <w:marTop w:val="0"/>
      <w:marBottom w:val="0"/>
      <w:divBdr>
        <w:top w:val="none" w:sz="0" w:space="0" w:color="auto"/>
        <w:left w:val="none" w:sz="0" w:space="0" w:color="auto"/>
        <w:bottom w:val="none" w:sz="0" w:space="0" w:color="auto"/>
        <w:right w:val="none" w:sz="0" w:space="0" w:color="auto"/>
      </w:divBdr>
    </w:div>
    <w:div w:id="355237355">
      <w:bodyDiv w:val="1"/>
      <w:marLeft w:val="0"/>
      <w:marRight w:val="0"/>
      <w:marTop w:val="0"/>
      <w:marBottom w:val="0"/>
      <w:divBdr>
        <w:top w:val="none" w:sz="0" w:space="0" w:color="auto"/>
        <w:left w:val="none" w:sz="0" w:space="0" w:color="auto"/>
        <w:bottom w:val="none" w:sz="0" w:space="0" w:color="auto"/>
        <w:right w:val="none" w:sz="0" w:space="0" w:color="auto"/>
      </w:divBdr>
    </w:div>
    <w:div w:id="366177460">
      <w:bodyDiv w:val="1"/>
      <w:marLeft w:val="0"/>
      <w:marRight w:val="0"/>
      <w:marTop w:val="0"/>
      <w:marBottom w:val="0"/>
      <w:divBdr>
        <w:top w:val="none" w:sz="0" w:space="0" w:color="auto"/>
        <w:left w:val="none" w:sz="0" w:space="0" w:color="auto"/>
        <w:bottom w:val="none" w:sz="0" w:space="0" w:color="auto"/>
        <w:right w:val="none" w:sz="0" w:space="0" w:color="auto"/>
      </w:divBdr>
    </w:div>
    <w:div w:id="367336667">
      <w:bodyDiv w:val="1"/>
      <w:marLeft w:val="0"/>
      <w:marRight w:val="0"/>
      <w:marTop w:val="0"/>
      <w:marBottom w:val="0"/>
      <w:divBdr>
        <w:top w:val="none" w:sz="0" w:space="0" w:color="auto"/>
        <w:left w:val="none" w:sz="0" w:space="0" w:color="auto"/>
        <w:bottom w:val="none" w:sz="0" w:space="0" w:color="auto"/>
        <w:right w:val="none" w:sz="0" w:space="0" w:color="auto"/>
      </w:divBdr>
    </w:div>
    <w:div w:id="373508601">
      <w:bodyDiv w:val="1"/>
      <w:marLeft w:val="0"/>
      <w:marRight w:val="0"/>
      <w:marTop w:val="0"/>
      <w:marBottom w:val="0"/>
      <w:divBdr>
        <w:top w:val="none" w:sz="0" w:space="0" w:color="auto"/>
        <w:left w:val="none" w:sz="0" w:space="0" w:color="auto"/>
        <w:bottom w:val="none" w:sz="0" w:space="0" w:color="auto"/>
        <w:right w:val="none" w:sz="0" w:space="0" w:color="auto"/>
      </w:divBdr>
    </w:div>
    <w:div w:id="392199940">
      <w:bodyDiv w:val="1"/>
      <w:marLeft w:val="0"/>
      <w:marRight w:val="0"/>
      <w:marTop w:val="0"/>
      <w:marBottom w:val="0"/>
      <w:divBdr>
        <w:top w:val="none" w:sz="0" w:space="0" w:color="auto"/>
        <w:left w:val="none" w:sz="0" w:space="0" w:color="auto"/>
        <w:bottom w:val="none" w:sz="0" w:space="0" w:color="auto"/>
        <w:right w:val="none" w:sz="0" w:space="0" w:color="auto"/>
      </w:divBdr>
    </w:div>
    <w:div w:id="394937690">
      <w:bodyDiv w:val="1"/>
      <w:marLeft w:val="0"/>
      <w:marRight w:val="0"/>
      <w:marTop w:val="0"/>
      <w:marBottom w:val="0"/>
      <w:divBdr>
        <w:top w:val="none" w:sz="0" w:space="0" w:color="auto"/>
        <w:left w:val="none" w:sz="0" w:space="0" w:color="auto"/>
        <w:bottom w:val="none" w:sz="0" w:space="0" w:color="auto"/>
        <w:right w:val="none" w:sz="0" w:space="0" w:color="auto"/>
      </w:divBdr>
    </w:div>
    <w:div w:id="407964112">
      <w:bodyDiv w:val="1"/>
      <w:marLeft w:val="0"/>
      <w:marRight w:val="0"/>
      <w:marTop w:val="0"/>
      <w:marBottom w:val="0"/>
      <w:divBdr>
        <w:top w:val="none" w:sz="0" w:space="0" w:color="auto"/>
        <w:left w:val="none" w:sz="0" w:space="0" w:color="auto"/>
        <w:bottom w:val="none" w:sz="0" w:space="0" w:color="auto"/>
        <w:right w:val="none" w:sz="0" w:space="0" w:color="auto"/>
      </w:divBdr>
    </w:div>
    <w:div w:id="409540259">
      <w:bodyDiv w:val="1"/>
      <w:marLeft w:val="0"/>
      <w:marRight w:val="0"/>
      <w:marTop w:val="0"/>
      <w:marBottom w:val="0"/>
      <w:divBdr>
        <w:top w:val="none" w:sz="0" w:space="0" w:color="auto"/>
        <w:left w:val="none" w:sz="0" w:space="0" w:color="auto"/>
        <w:bottom w:val="none" w:sz="0" w:space="0" w:color="auto"/>
        <w:right w:val="none" w:sz="0" w:space="0" w:color="auto"/>
      </w:divBdr>
    </w:div>
    <w:div w:id="415443002">
      <w:bodyDiv w:val="1"/>
      <w:marLeft w:val="0"/>
      <w:marRight w:val="0"/>
      <w:marTop w:val="0"/>
      <w:marBottom w:val="0"/>
      <w:divBdr>
        <w:top w:val="none" w:sz="0" w:space="0" w:color="auto"/>
        <w:left w:val="none" w:sz="0" w:space="0" w:color="auto"/>
        <w:bottom w:val="none" w:sz="0" w:space="0" w:color="auto"/>
        <w:right w:val="none" w:sz="0" w:space="0" w:color="auto"/>
      </w:divBdr>
    </w:div>
    <w:div w:id="415636246">
      <w:bodyDiv w:val="1"/>
      <w:marLeft w:val="0"/>
      <w:marRight w:val="0"/>
      <w:marTop w:val="0"/>
      <w:marBottom w:val="0"/>
      <w:divBdr>
        <w:top w:val="none" w:sz="0" w:space="0" w:color="auto"/>
        <w:left w:val="none" w:sz="0" w:space="0" w:color="auto"/>
        <w:bottom w:val="none" w:sz="0" w:space="0" w:color="auto"/>
        <w:right w:val="none" w:sz="0" w:space="0" w:color="auto"/>
      </w:divBdr>
    </w:div>
    <w:div w:id="419910045">
      <w:bodyDiv w:val="1"/>
      <w:marLeft w:val="0"/>
      <w:marRight w:val="0"/>
      <w:marTop w:val="0"/>
      <w:marBottom w:val="0"/>
      <w:divBdr>
        <w:top w:val="none" w:sz="0" w:space="0" w:color="auto"/>
        <w:left w:val="none" w:sz="0" w:space="0" w:color="auto"/>
        <w:bottom w:val="none" w:sz="0" w:space="0" w:color="auto"/>
        <w:right w:val="none" w:sz="0" w:space="0" w:color="auto"/>
      </w:divBdr>
    </w:div>
    <w:div w:id="425614671">
      <w:bodyDiv w:val="1"/>
      <w:marLeft w:val="0"/>
      <w:marRight w:val="0"/>
      <w:marTop w:val="0"/>
      <w:marBottom w:val="0"/>
      <w:divBdr>
        <w:top w:val="none" w:sz="0" w:space="0" w:color="auto"/>
        <w:left w:val="none" w:sz="0" w:space="0" w:color="auto"/>
        <w:bottom w:val="none" w:sz="0" w:space="0" w:color="auto"/>
        <w:right w:val="none" w:sz="0" w:space="0" w:color="auto"/>
      </w:divBdr>
    </w:div>
    <w:div w:id="429813259">
      <w:bodyDiv w:val="1"/>
      <w:marLeft w:val="0"/>
      <w:marRight w:val="0"/>
      <w:marTop w:val="0"/>
      <w:marBottom w:val="0"/>
      <w:divBdr>
        <w:top w:val="none" w:sz="0" w:space="0" w:color="auto"/>
        <w:left w:val="none" w:sz="0" w:space="0" w:color="auto"/>
        <w:bottom w:val="none" w:sz="0" w:space="0" w:color="auto"/>
        <w:right w:val="none" w:sz="0" w:space="0" w:color="auto"/>
      </w:divBdr>
    </w:div>
    <w:div w:id="435517348">
      <w:bodyDiv w:val="1"/>
      <w:marLeft w:val="0"/>
      <w:marRight w:val="0"/>
      <w:marTop w:val="0"/>
      <w:marBottom w:val="0"/>
      <w:divBdr>
        <w:top w:val="none" w:sz="0" w:space="0" w:color="auto"/>
        <w:left w:val="none" w:sz="0" w:space="0" w:color="auto"/>
        <w:bottom w:val="none" w:sz="0" w:space="0" w:color="auto"/>
        <w:right w:val="none" w:sz="0" w:space="0" w:color="auto"/>
      </w:divBdr>
    </w:div>
    <w:div w:id="436099642">
      <w:bodyDiv w:val="1"/>
      <w:marLeft w:val="0"/>
      <w:marRight w:val="0"/>
      <w:marTop w:val="0"/>
      <w:marBottom w:val="0"/>
      <w:divBdr>
        <w:top w:val="none" w:sz="0" w:space="0" w:color="auto"/>
        <w:left w:val="none" w:sz="0" w:space="0" w:color="auto"/>
        <w:bottom w:val="none" w:sz="0" w:space="0" w:color="auto"/>
        <w:right w:val="none" w:sz="0" w:space="0" w:color="auto"/>
      </w:divBdr>
    </w:div>
    <w:div w:id="442651354">
      <w:bodyDiv w:val="1"/>
      <w:marLeft w:val="0"/>
      <w:marRight w:val="0"/>
      <w:marTop w:val="0"/>
      <w:marBottom w:val="0"/>
      <w:divBdr>
        <w:top w:val="none" w:sz="0" w:space="0" w:color="auto"/>
        <w:left w:val="none" w:sz="0" w:space="0" w:color="auto"/>
        <w:bottom w:val="none" w:sz="0" w:space="0" w:color="auto"/>
        <w:right w:val="none" w:sz="0" w:space="0" w:color="auto"/>
      </w:divBdr>
    </w:div>
    <w:div w:id="445386844">
      <w:bodyDiv w:val="1"/>
      <w:marLeft w:val="0"/>
      <w:marRight w:val="0"/>
      <w:marTop w:val="0"/>
      <w:marBottom w:val="0"/>
      <w:divBdr>
        <w:top w:val="none" w:sz="0" w:space="0" w:color="auto"/>
        <w:left w:val="none" w:sz="0" w:space="0" w:color="auto"/>
        <w:bottom w:val="none" w:sz="0" w:space="0" w:color="auto"/>
        <w:right w:val="none" w:sz="0" w:space="0" w:color="auto"/>
      </w:divBdr>
    </w:div>
    <w:div w:id="451633310">
      <w:bodyDiv w:val="1"/>
      <w:marLeft w:val="0"/>
      <w:marRight w:val="0"/>
      <w:marTop w:val="0"/>
      <w:marBottom w:val="0"/>
      <w:divBdr>
        <w:top w:val="none" w:sz="0" w:space="0" w:color="auto"/>
        <w:left w:val="none" w:sz="0" w:space="0" w:color="auto"/>
        <w:bottom w:val="none" w:sz="0" w:space="0" w:color="auto"/>
        <w:right w:val="none" w:sz="0" w:space="0" w:color="auto"/>
      </w:divBdr>
    </w:div>
    <w:div w:id="466554743">
      <w:bodyDiv w:val="1"/>
      <w:marLeft w:val="0"/>
      <w:marRight w:val="0"/>
      <w:marTop w:val="0"/>
      <w:marBottom w:val="0"/>
      <w:divBdr>
        <w:top w:val="none" w:sz="0" w:space="0" w:color="auto"/>
        <w:left w:val="none" w:sz="0" w:space="0" w:color="auto"/>
        <w:bottom w:val="none" w:sz="0" w:space="0" w:color="auto"/>
        <w:right w:val="none" w:sz="0" w:space="0" w:color="auto"/>
      </w:divBdr>
    </w:div>
    <w:div w:id="471411298">
      <w:bodyDiv w:val="1"/>
      <w:marLeft w:val="0"/>
      <w:marRight w:val="0"/>
      <w:marTop w:val="0"/>
      <w:marBottom w:val="0"/>
      <w:divBdr>
        <w:top w:val="none" w:sz="0" w:space="0" w:color="auto"/>
        <w:left w:val="none" w:sz="0" w:space="0" w:color="auto"/>
        <w:bottom w:val="none" w:sz="0" w:space="0" w:color="auto"/>
        <w:right w:val="none" w:sz="0" w:space="0" w:color="auto"/>
      </w:divBdr>
    </w:div>
    <w:div w:id="482428053">
      <w:bodyDiv w:val="1"/>
      <w:marLeft w:val="0"/>
      <w:marRight w:val="0"/>
      <w:marTop w:val="0"/>
      <w:marBottom w:val="0"/>
      <w:divBdr>
        <w:top w:val="none" w:sz="0" w:space="0" w:color="auto"/>
        <w:left w:val="none" w:sz="0" w:space="0" w:color="auto"/>
        <w:bottom w:val="none" w:sz="0" w:space="0" w:color="auto"/>
        <w:right w:val="none" w:sz="0" w:space="0" w:color="auto"/>
      </w:divBdr>
    </w:div>
    <w:div w:id="497158284">
      <w:bodyDiv w:val="1"/>
      <w:marLeft w:val="0"/>
      <w:marRight w:val="0"/>
      <w:marTop w:val="0"/>
      <w:marBottom w:val="0"/>
      <w:divBdr>
        <w:top w:val="none" w:sz="0" w:space="0" w:color="auto"/>
        <w:left w:val="none" w:sz="0" w:space="0" w:color="auto"/>
        <w:bottom w:val="none" w:sz="0" w:space="0" w:color="auto"/>
        <w:right w:val="none" w:sz="0" w:space="0" w:color="auto"/>
      </w:divBdr>
    </w:div>
    <w:div w:id="502821597">
      <w:bodyDiv w:val="1"/>
      <w:marLeft w:val="0"/>
      <w:marRight w:val="0"/>
      <w:marTop w:val="0"/>
      <w:marBottom w:val="0"/>
      <w:divBdr>
        <w:top w:val="none" w:sz="0" w:space="0" w:color="auto"/>
        <w:left w:val="none" w:sz="0" w:space="0" w:color="auto"/>
        <w:bottom w:val="none" w:sz="0" w:space="0" w:color="auto"/>
        <w:right w:val="none" w:sz="0" w:space="0" w:color="auto"/>
      </w:divBdr>
    </w:div>
    <w:div w:id="510339106">
      <w:bodyDiv w:val="1"/>
      <w:marLeft w:val="0"/>
      <w:marRight w:val="0"/>
      <w:marTop w:val="0"/>
      <w:marBottom w:val="0"/>
      <w:divBdr>
        <w:top w:val="none" w:sz="0" w:space="0" w:color="auto"/>
        <w:left w:val="none" w:sz="0" w:space="0" w:color="auto"/>
        <w:bottom w:val="none" w:sz="0" w:space="0" w:color="auto"/>
        <w:right w:val="none" w:sz="0" w:space="0" w:color="auto"/>
      </w:divBdr>
    </w:div>
    <w:div w:id="541138934">
      <w:bodyDiv w:val="1"/>
      <w:marLeft w:val="0"/>
      <w:marRight w:val="0"/>
      <w:marTop w:val="0"/>
      <w:marBottom w:val="0"/>
      <w:divBdr>
        <w:top w:val="none" w:sz="0" w:space="0" w:color="auto"/>
        <w:left w:val="none" w:sz="0" w:space="0" w:color="auto"/>
        <w:bottom w:val="none" w:sz="0" w:space="0" w:color="auto"/>
        <w:right w:val="none" w:sz="0" w:space="0" w:color="auto"/>
      </w:divBdr>
    </w:div>
    <w:div w:id="544559385">
      <w:bodyDiv w:val="1"/>
      <w:marLeft w:val="0"/>
      <w:marRight w:val="0"/>
      <w:marTop w:val="0"/>
      <w:marBottom w:val="0"/>
      <w:divBdr>
        <w:top w:val="none" w:sz="0" w:space="0" w:color="auto"/>
        <w:left w:val="none" w:sz="0" w:space="0" w:color="auto"/>
        <w:bottom w:val="none" w:sz="0" w:space="0" w:color="auto"/>
        <w:right w:val="none" w:sz="0" w:space="0" w:color="auto"/>
      </w:divBdr>
    </w:div>
    <w:div w:id="546065500">
      <w:bodyDiv w:val="1"/>
      <w:marLeft w:val="0"/>
      <w:marRight w:val="0"/>
      <w:marTop w:val="0"/>
      <w:marBottom w:val="0"/>
      <w:divBdr>
        <w:top w:val="none" w:sz="0" w:space="0" w:color="auto"/>
        <w:left w:val="none" w:sz="0" w:space="0" w:color="auto"/>
        <w:bottom w:val="none" w:sz="0" w:space="0" w:color="auto"/>
        <w:right w:val="none" w:sz="0" w:space="0" w:color="auto"/>
      </w:divBdr>
    </w:div>
    <w:div w:id="593437738">
      <w:bodyDiv w:val="1"/>
      <w:marLeft w:val="0"/>
      <w:marRight w:val="0"/>
      <w:marTop w:val="0"/>
      <w:marBottom w:val="0"/>
      <w:divBdr>
        <w:top w:val="none" w:sz="0" w:space="0" w:color="auto"/>
        <w:left w:val="none" w:sz="0" w:space="0" w:color="auto"/>
        <w:bottom w:val="none" w:sz="0" w:space="0" w:color="auto"/>
        <w:right w:val="none" w:sz="0" w:space="0" w:color="auto"/>
      </w:divBdr>
    </w:div>
    <w:div w:id="605577453">
      <w:bodyDiv w:val="1"/>
      <w:marLeft w:val="0"/>
      <w:marRight w:val="0"/>
      <w:marTop w:val="0"/>
      <w:marBottom w:val="0"/>
      <w:divBdr>
        <w:top w:val="none" w:sz="0" w:space="0" w:color="auto"/>
        <w:left w:val="none" w:sz="0" w:space="0" w:color="auto"/>
        <w:bottom w:val="none" w:sz="0" w:space="0" w:color="auto"/>
        <w:right w:val="none" w:sz="0" w:space="0" w:color="auto"/>
      </w:divBdr>
    </w:div>
    <w:div w:id="610481353">
      <w:bodyDiv w:val="1"/>
      <w:marLeft w:val="0"/>
      <w:marRight w:val="0"/>
      <w:marTop w:val="0"/>
      <w:marBottom w:val="0"/>
      <w:divBdr>
        <w:top w:val="none" w:sz="0" w:space="0" w:color="auto"/>
        <w:left w:val="none" w:sz="0" w:space="0" w:color="auto"/>
        <w:bottom w:val="none" w:sz="0" w:space="0" w:color="auto"/>
        <w:right w:val="none" w:sz="0" w:space="0" w:color="auto"/>
      </w:divBdr>
    </w:div>
    <w:div w:id="616957738">
      <w:bodyDiv w:val="1"/>
      <w:marLeft w:val="0"/>
      <w:marRight w:val="0"/>
      <w:marTop w:val="0"/>
      <w:marBottom w:val="0"/>
      <w:divBdr>
        <w:top w:val="none" w:sz="0" w:space="0" w:color="auto"/>
        <w:left w:val="none" w:sz="0" w:space="0" w:color="auto"/>
        <w:bottom w:val="none" w:sz="0" w:space="0" w:color="auto"/>
        <w:right w:val="none" w:sz="0" w:space="0" w:color="auto"/>
      </w:divBdr>
    </w:div>
    <w:div w:id="621568957">
      <w:bodyDiv w:val="1"/>
      <w:marLeft w:val="0"/>
      <w:marRight w:val="0"/>
      <w:marTop w:val="0"/>
      <w:marBottom w:val="0"/>
      <w:divBdr>
        <w:top w:val="none" w:sz="0" w:space="0" w:color="auto"/>
        <w:left w:val="none" w:sz="0" w:space="0" w:color="auto"/>
        <w:bottom w:val="none" w:sz="0" w:space="0" w:color="auto"/>
        <w:right w:val="none" w:sz="0" w:space="0" w:color="auto"/>
      </w:divBdr>
    </w:div>
    <w:div w:id="648750258">
      <w:bodyDiv w:val="1"/>
      <w:marLeft w:val="0"/>
      <w:marRight w:val="0"/>
      <w:marTop w:val="0"/>
      <w:marBottom w:val="0"/>
      <w:divBdr>
        <w:top w:val="none" w:sz="0" w:space="0" w:color="auto"/>
        <w:left w:val="none" w:sz="0" w:space="0" w:color="auto"/>
        <w:bottom w:val="none" w:sz="0" w:space="0" w:color="auto"/>
        <w:right w:val="none" w:sz="0" w:space="0" w:color="auto"/>
      </w:divBdr>
    </w:div>
    <w:div w:id="654409565">
      <w:bodyDiv w:val="1"/>
      <w:marLeft w:val="0"/>
      <w:marRight w:val="0"/>
      <w:marTop w:val="0"/>
      <w:marBottom w:val="0"/>
      <w:divBdr>
        <w:top w:val="none" w:sz="0" w:space="0" w:color="auto"/>
        <w:left w:val="none" w:sz="0" w:space="0" w:color="auto"/>
        <w:bottom w:val="none" w:sz="0" w:space="0" w:color="auto"/>
        <w:right w:val="none" w:sz="0" w:space="0" w:color="auto"/>
      </w:divBdr>
    </w:div>
    <w:div w:id="661199828">
      <w:bodyDiv w:val="1"/>
      <w:marLeft w:val="0"/>
      <w:marRight w:val="0"/>
      <w:marTop w:val="0"/>
      <w:marBottom w:val="0"/>
      <w:divBdr>
        <w:top w:val="none" w:sz="0" w:space="0" w:color="auto"/>
        <w:left w:val="none" w:sz="0" w:space="0" w:color="auto"/>
        <w:bottom w:val="none" w:sz="0" w:space="0" w:color="auto"/>
        <w:right w:val="none" w:sz="0" w:space="0" w:color="auto"/>
      </w:divBdr>
    </w:div>
    <w:div w:id="663709033">
      <w:bodyDiv w:val="1"/>
      <w:marLeft w:val="0"/>
      <w:marRight w:val="0"/>
      <w:marTop w:val="0"/>
      <w:marBottom w:val="0"/>
      <w:divBdr>
        <w:top w:val="none" w:sz="0" w:space="0" w:color="auto"/>
        <w:left w:val="none" w:sz="0" w:space="0" w:color="auto"/>
        <w:bottom w:val="none" w:sz="0" w:space="0" w:color="auto"/>
        <w:right w:val="none" w:sz="0" w:space="0" w:color="auto"/>
      </w:divBdr>
    </w:div>
    <w:div w:id="670331762">
      <w:bodyDiv w:val="1"/>
      <w:marLeft w:val="0"/>
      <w:marRight w:val="0"/>
      <w:marTop w:val="0"/>
      <w:marBottom w:val="0"/>
      <w:divBdr>
        <w:top w:val="none" w:sz="0" w:space="0" w:color="auto"/>
        <w:left w:val="none" w:sz="0" w:space="0" w:color="auto"/>
        <w:bottom w:val="none" w:sz="0" w:space="0" w:color="auto"/>
        <w:right w:val="none" w:sz="0" w:space="0" w:color="auto"/>
      </w:divBdr>
    </w:div>
    <w:div w:id="679432237">
      <w:bodyDiv w:val="1"/>
      <w:marLeft w:val="0"/>
      <w:marRight w:val="0"/>
      <w:marTop w:val="0"/>
      <w:marBottom w:val="0"/>
      <w:divBdr>
        <w:top w:val="none" w:sz="0" w:space="0" w:color="auto"/>
        <w:left w:val="none" w:sz="0" w:space="0" w:color="auto"/>
        <w:bottom w:val="none" w:sz="0" w:space="0" w:color="auto"/>
        <w:right w:val="none" w:sz="0" w:space="0" w:color="auto"/>
      </w:divBdr>
    </w:div>
    <w:div w:id="686568284">
      <w:bodyDiv w:val="1"/>
      <w:marLeft w:val="0"/>
      <w:marRight w:val="0"/>
      <w:marTop w:val="0"/>
      <w:marBottom w:val="0"/>
      <w:divBdr>
        <w:top w:val="none" w:sz="0" w:space="0" w:color="auto"/>
        <w:left w:val="none" w:sz="0" w:space="0" w:color="auto"/>
        <w:bottom w:val="none" w:sz="0" w:space="0" w:color="auto"/>
        <w:right w:val="none" w:sz="0" w:space="0" w:color="auto"/>
      </w:divBdr>
    </w:div>
    <w:div w:id="708532662">
      <w:bodyDiv w:val="1"/>
      <w:marLeft w:val="0"/>
      <w:marRight w:val="0"/>
      <w:marTop w:val="0"/>
      <w:marBottom w:val="0"/>
      <w:divBdr>
        <w:top w:val="none" w:sz="0" w:space="0" w:color="auto"/>
        <w:left w:val="none" w:sz="0" w:space="0" w:color="auto"/>
        <w:bottom w:val="none" w:sz="0" w:space="0" w:color="auto"/>
        <w:right w:val="none" w:sz="0" w:space="0" w:color="auto"/>
      </w:divBdr>
    </w:div>
    <w:div w:id="709182963">
      <w:bodyDiv w:val="1"/>
      <w:marLeft w:val="0"/>
      <w:marRight w:val="0"/>
      <w:marTop w:val="0"/>
      <w:marBottom w:val="0"/>
      <w:divBdr>
        <w:top w:val="none" w:sz="0" w:space="0" w:color="auto"/>
        <w:left w:val="none" w:sz="0" w:space="0" w:color="auto"/>
        <w:bottom w:val="none" w:sz="0" w:space="0" w:color="auto"/>
        <w:right w:val="none" w:sz="0" w:space="0" w:color="auto"/>
      </w:divBdr>
    </w:div>
    <w:div w:id="716004246">
      <w:bodyDiv w:val="1"/>
      <w:marLeft w:val="0"/>
      <w:marRight w:val="0"/>
      <w:marTop w:val="0"/>
      <w:marBottom w:val="0"/>
      <w:divBdr>
        <w:top w:val="none" w:sz="0" w:space="0" w:color="auto"/>
        <w:left w:val="none" w:sz="0" w:space="0" w:color="auto"/>
        <w:bottom w:val="none" w:sz="0" w:space="0" w:color="auto"/>
        <w:right w:val="none" w:sz="0" w:space="0" w:color="auto"/>
      </w:divBdr>
    </w:div>
    <w:div w:id="721561236">
      <w:bodyDiv w:val="1"/>
      <w:marLeft w:val="0"/>
      <w:marRight w:val="0"/>
      <w:marTop w:val="0"/>
      <w:marBottom w:val="0"/>
      <w:divBdr>
        <w:top w:val="none" w:sz="0" w:space="0" w:color="auto"/>
        <w:left w:val="none" w:sz="0" w:space="0" w:color="auto"/>
        <w:bottom w:val="none" w:sz="0" w:space="0" w:color="auto"/>
        <w:right w:val="none" w:sz="0" w:space="0" w:color="auto"/>
      </w:divBdr>
    </w:div>
    <w:div w:id="728649730">
      <w:bodyDiv w:val="1"/>
      <w:marLeft w:val="0"/>
      <w:marRight w:val="0"/>
      <w:marTop w:val="0"/>
      <w:marBottom w:val="0"/>
      <w:divBdr>
        <w:top w:val="none" w:sz="0" w:space="0" w:color="auto"/>
        <w:left w:val="none" w:sz="0" w:space="0" w:color="auto"/>
        <w:bottom w:val="none" w:sz="0" w:space="0" w:color="auto"/>
        <w:right w:val="none" w:sz="0" w:space="0" w:color="auto"/>
      </w:divBdr>
    </w:div>
    <w:div w:id="735323439">
      <w:bodyDiv w:val="1"/>
      <w:marLeft w:val="0"/>
      <w:marRight w:val="0"/>
      <w:marTop w:val="0"/>
      <w:marBottom w:val="0"/>
      <w:divBdr>
        <w:top w:val="none" w:sz="0" w:space="0" w:color="auto"/>
        <w:left w:val="none" w:sz="0" w:space="0" w:color="auto"/>
        <w:bottom w:val="none" w:sz="0" w:space="0" w:color="auto"/>
        <w:right w:val="none" w:sz="0" w:space="0" w:color="auto"/>
      </w:divBdr>
    </w:div>
    <w:div w:id="739669816">
      <w:bodyDiv w:val="1"/>
      <w:marLeft w:val="0"/>
      <w:marRight w:val="0"/>
      <w:marTop w:val="0"/>
      <w:marBottom w:val="0"/>
      <w:divBdr>
        <w:top w:val="none" w:sz="0" w:space="0" w:color="auto"/>
        <w:left w:val="none" w:sz="0" w:space="0" w:color="auto"/>
        <w:bottom w:val="none" w:sz="0" w:space="0" w:color="auto"/>
        <w:right w:val="none" w:sz="0" w:space="0" w:color="auto"/>
      </w:divBdr>
    </w:div>
    <w:div w:id="741104307">
      <w:bodyDiv w:val="1"/>
      <w:marLeft w:val="0"/>
      <w:marRight w:val="0"/>
      <w:marTop w:val="0"/>
      <w:marBottom w:val="0"/>
      <w:divBdr>
        <w:top w:val="none" w:sz="0" w:space="0" w:color="auto"/>
        <w:left w:val="none" w:sz="0" w:space="0" w:color="auto"/>
        <w:bottom w:val="none" w:sz="0" w:space="0" w:color="auto"/>
        <w:right w:val="none" w:sz="0" w:space="0" w:color="auto"/>
      </w:divBdr>
    </w:div>
    <w:div w:id="745029641">
      <w:bodyDiv w:val="1"/>
      <w:marLeft w:val="0"/>
      <w:marRight w:val="0"/>
      <w:marTop w:val="0"/>
      <w:marBottom w:val="0"/>
      <w:divBdr>
        <w:top w:val="none" w:sz="0" w:space="0" w:color="auto"/>
        <w:left w:val="none" w:sz="0" w:space="0" w:color="auto"/>
        <w:bottom w:val="none" w:sz="0" w:space="0" w:color="auto"/>
        <w:right w:val="none" w:sz="0" w:space="0" w:color="auto"/>
      </w:divBdr>
    </w:div>
    <w:div w:id="753402830">
      <w:bodyDiv w:val="1"/>
      <w:marLeft w:val="0"/>
      <w:marRight w:val="0"/>
      <w:marTop w:val="0"/>
      <w:marBottom w:val="0"/>
      <w:divBdr>
        <w:top w:val="none" w:sz="0" w:space="0" w:color="auto"/>
        <w:left w:val="none" w:sz="0" w:space="0" w:color="auto"/>
        <w:bottom w:val="none" w:sz="0" w:space="0" w:color="auto"/>
        <w:right w:val="none" w:sz="0" w:space="0" w:color="auto"/>
      </w:divBdr>
    </w:div>
    <w:div w:id="755247101">
      <w:bodyDiv w:val="1"/>
      <w:marLeft w:val="0"/>
      <w:marRight w:val="0"/>
      <w:marTop w:val="0"/>
      <w:marBottom w:val="0"/>
      <w:divBdr>
        <w:top w:val="none" w:sz="0" w:space="0" w:color="auto"/>
        <w:left w:val="none" w:sz="0" w:space="0" w:color="auto"/>
        <w:bottom w:val="none" w:sz="0" w:space="0" w:color="auto"/>
        <w:right w:val="none" w:sz="0" w:space="0" w:color="auto"/>
      </w:divBdr>
    </w:div>
    <w:div w:id="757287177">
      <w:bodyDiv w:val="1"/>
      <w:marLeft w:val="0"/>
      <w:marRight w:val="0"/>
      <w:marTop w:val="0"/>
      <w:marBottom w:val="0"/>
      <w:divBdr>
        <w:top w:val="none" w:sz="0" w:space="0" w:color="auto"/>
        <w:left w:val="none" w:sz="0" w:space="0" w:color="auto"/>
        <w:bottom w:val="none" w:sz="0" w:space="0" w:color="auto"/>
        <w:right w:val="none" w:sz="0" w:space="0" w:color="auto"/>
      </w:divBdr>
    </w:div>
    <w:div w:id="766003944">
      <w:bodyDiv w:val="1"/>
      <w:marLeft w:val="0"/>
      <w:marRight w:val="0"/>
      <w:marTop w:val="0"/>
      <w:marBottom w:val="0"/>
      <w:divBdr>
        <w:top w:val="none" w:sz="0" w:space="0" w:color="auto"/>
        <w:left w:val="none" w:sz="0" w:space="0" w:color="auto"/>
        <w:bottom w:val="none" w:sz="0" w:space="0" w:color="auto"/>
        <w:right w:val="none" w:sz="0" w:space="0" w:color="auto"/>
      </w:divBdr>
    </w:div>
    <w:div w:id="771970513">
      <w:bodyDiv w:val="1"/>
      <w:marLeft w:val="0"/>
      <w:marRight w:val="0"/>
      <w:marTop w:val="0"/>
      <w:marBottom w:val="0"/>
      <w:divBdr>
        <w:top w:val="none" w:sz="0" w:space="0" w:color="auto"/>
        <w:left w:val="none" w:sz="0" w:space="0" w:color="auto"/>
        <w:bottom w:val="none" w:sz="0" w:space="0" w:color="auto"/>
        <w:right w:val="none" w:sz="0" w:space="0" w:color="auto"/>
      </w:divBdr>
    </w:div>
    <w:div w:id="779489168">
      <w:bodyDiv w:val="1"/>
      <w:marLeft w:val="0"/>
      <w:marRight w:val="0"/>
      <w:marTop w:val="0"/>
      <w:marBottom w:val="0"/>
      <w:divBdr>
        <w:top w:val="none" w:sz="0" w:space="0" w:color="auto"/>
        <w:left w:val="none" w:sz="0" w:space="0" w:color="auto"/>
        <w:bottom w:val="none" w:sz="0" w:space="0" w:color="auto"/>
        <w:right w:val="none" w:sz="0" w:space="0" w:color="auto"/>
      </w:divBdr>
    </w:div>
    <w:div w:id="780492878">
      <w:bodyDiv w:val="1"/>
      <w:marLeft w:val="0"/>
      <w:marRight w:val="0"/>
      <w:marTop w:val="0"/>
      <w:marBottom w:val="0"/>
      <w:divBdr>
        <w:top w:val="none" w:sz="0" w:space="0" w:color="auto"/>
        <w:left w:val="none" w:sz="0" w:space="0" w:color="auto"/>
        <w:bottom w:val="none" w:sz="0" w:space="0" w:color="auto"/>
        <w:right w:val="none" w:sz="0" w:space="0" w:color="auto"/>
      </w:divBdr>
    </w:div>
    <w:div w:id="790514841">
      <w:bodyDiv w:val="1"/>
      <w:marLeft w:val="0"/>
      <w:marRight w:val="0"/>
      <w:marTop w:val="0"/>
      <w:marBottom w:val="0"/>
      <w:divBdr>
        <w:top w:val="none" w:sz="0" w:space="0" w:color="auto"/>
        <w:left w:val="none" w:sz="0" w:space="0" w:color="auto"/>
        <w:bottom w:val="none" w:sz="0" w:space="0" w:color="auto"/>
        <w:right w:val="none" w:sz="0" w:space="0" w:color="auto"/>
      </w:divBdr>
    </w:div>
    <w:div w:id="791940187">
      <w:bodyDiv w:val="1"/>
      <w:marLeft w:val="0"/>
      <w:marRight w:val="0"/>
      <w:marTop w:val="0"/>
      <w:marBottom w:val="0"/>
      <w:divBdr>
        <w:top w:val="none" w:sz="0" w:space="0" w:color="auto"/>
        <w:left w:val="none" w:sz="0" w:space="0" w:color="auto"/>
        <w:bottom w:val="none" w:sz="0" w:space="0" w:color="auto"/>
        <w:right w:val="none" w:sz="0" w:space="0" w:color="auto"/>
      </w:divBdr>
    </w:div>
    <w:div w:id="805705152">
      <w:bodyDiv w:val="1"/>
      <w:marLeft w:val="0"/>
      <w:marRight w:val="0"/>
      <w:marTop w:val="0"/>
      <w:marBottom w:val="0"/>
      <w:divBdr>
        <w:top w:val="none" w:sz="0" w:space="0" w:color="auto"/>
        <w:left w:val="none" w:sz="0" w:space="0" w:color="auto"/>
        <w:bottom w:val="none" w:sz="0" w:space="0" w:color="auto"/>
        <w:right w:val="none" w:sz="0" w:space="0" w:color="auto"/>
      </w:divBdr>
    </w:div>
    <w:div w:id="814370122">
      <w:bodyDiv w:val="1"/>
      <w:marLeft w:val="0"/>
      <w:marRight w:val="0"/>
      <w:marTop w:val="0"/>
      <w:marBottom w:val="0"/>
      <w:divBdr>
        <w:top w:val="none" w:sz="0" w:space="0" w:color="auto"/>
        <w:left w:val="none" w:sz="0" w:space="0" w:color="auto"/>
        <w:bottom w:val="none" w:sz="0" w:space="0" w:color="auto"/>
        <w:right w:val="none" w:sz="0" w:space="0" w:color="auto"/>
      </w:divBdr>
    </w:div>
    <w:div w:id="814832507">
      <w:bodyDiv w:val="1"/>
      <w:marLeft w:val="0"/>
      <w:marRight w:val="0"/>
      <w:marTop w:val="0"/>
      <w:marBottom w:val="0"/>
      <w:divBdr>
        <w:top w:val="none" w:sz="0" w:space="0" w:color="auto"/>
        <w:left w:val="none" w:sz="0" w:space="0" w:color="auto"/>
        <w:bottom w:val="none" w:sz="0" w:space="0" w:color="auto"/>
        <w:right w:val="none" w:sz="0" w:space="0" w:color="auto"/>
      </w:divBdr>
    </w:div>
    <w:div w:id="825391642">
      <w:bodyDiv w:val="1"/>
      <w:marLeft w:val="0"/>
      <w:marRight w:val="0"/>
      <w:marTop w:val="0"/>
      <w:marBottom w:val="0"/>
      <w:divBdr>
        <w:top w:val="none" w:sz="0" w:space="0" w:color="auto"/>
        <w:left w:val="none" w:sz="0" w:space="0" w:color="auto"/>
        <w:bottom w:val="none" w:sz="0" w:space="0" w:color="auto"/>
        <w:right w:val="none" w:sz="0" w:space="0" w:color="auto"/>
      </w:divBdr>
    </w:div>
    <w:div w:id="826290382">
      <w:bodyDiv w:val="1"/>
      <w:marLeft w:val="0"/>
      <w:marRight w:val="0"/>
      <w:marTop w:val="0"/>
      <w:marBottom w:val="0"/>
      <w:divBdr>
        <w:top w:val="none" w:sz="0" w:space="0" w:color="auto"/>
        <w:left w:val="none" w:sz="0" w:space="0" w:color="auto"/>
        <w:bottom w:val="none" w:sz="0" w:space="0" w:color="auto"/>
        <w:right w:val="none" w:sz="0" w:space="0" w:color="auto"/>
      </w:divBdr>
    </w:div>
    <w:div w:id="843590348">
      <w:bodyDiv w:val="1"/>
      <w:marLeft w:val="0"/>
      <w:marRight w:val="0"/>
      <w:marTop w:val="0"/>
      <w:marBottom w:val="0"/>
      <w:divBdr>
        <w:top w:val="none" w:sz="0" w:space="0" w:color="auto"/>
        <w:left w:val="none" w:sz="0" w:space="0" w:color="auto"/>
        <w:bottom w:val="none" w:sz="0" w:space="0" w:color="auto"/>
        <w:right w:val="none" w:sz="0" w:space="0" w:color="auto"/>
      </w:divBdr>
    </w:div>
    <w:div w:id="844976125">
      <w:bodyDiv w:val="1"/>
      <w:marLeft w:val="0"/>
      <w:marRight w:val="0"/>
      <w:marTop w:val="0"/>
      <w:marBottom w:val="0"/>
      <w:divBdr>
        <w:top w:val="none" w:sz="0" w:space="0" w:color="auto"/>
        <w:left w:val="none" w:sz="0" w:space="0" w:color="auto"/>
        <w:bottom w:val="none" w:sz="0" w:space="0" w:color="auto"/>
        <w:right w:val="none" w:sz="0" w:space="0" w:color="auto"/>
      </w:divBdr>
    </w:div>
    <w:div w:id="846864102">
      <w:bodyDiv w:val="1"/>
      <w:marLeft w:val="0"/>
      <w:marRight w:val="0"/>
      <w:marTop w:val="0"/>
      <w:marBottom w:val="0"/>
      <w:divBdr>
        <w:top w:val="none" w:sz="0" w:space="0" w:color="auto"/>
        <w:left w:val="none" w:sz="0" w:space="0" w:color="auto"/>
        <w:bottom w:val="none" w:sz="0" w:space="0" w:color="auto"/>
        <w:right w:val="none" w:sz="0" w:space="0" w:color="auto"/>
      </w:divBdr>
    </w:div>
    <w:div w:id="853687023">
      <w:bodyDiv w:val="1"/>
      <w:marLeft w:val="0"/>
      <w:marRight w:val="0"/>
      <w:marTop w:val="0"/>
      <w:marBottom w:val="0"/>
      <w:divBdr>
        <w:top w:val="none" w:sz="0" w:space="0" w:color="auto"/>
        <w:left w:val="none" w:sz="0" w:space="0" w:color="auto"/>
        <w:bottom w:val="none" w:sz="0" w:space="0" w:color="auto"/>
        <w:right w:val="none" w:sz="0" w:space="0" w:color="auto"/>
      </w:divBdr>
    </w:div>
    <w:div w:id="859852544">
      <w:bodyDiv w:val="1"/>
      <w:marLeft w:val="0"/>
      <w:marRight w:val="0"/>
      <w:marTop w:val="0"/>
      <w:marBottom w:val="0"/>
      <w:divBdr>
        <w:top w:val="none" w:sz="0" w:space="0" w:color="auto"/>
        <w:left w:val="none" w:sz="0" w:space="0" w:color="auto"/>
        <w:bottom w:val="none" w:sz="0" w:space="0" w:color="auto"/>
        <w:right w:val="none" w:sz="0" w:space="0" w:color="auto"/>
      </w:divBdr>
    </w:div>
    <w:div w:id="860121092">
      <w:bodyDiv w:val="1"/>
      <w:marLeft w:val="0"/>
      <w:marRight w:val="0"/>
      <w:marTop w:val="0"/>
      <w:marBottom w:val="0"/>
      <w:divBdr>
        <w:top w:val="none" w:sz="0" w:space="0" w:color="auto"/>
        <w:left w:val="none" w:sz="0" w:space="0" w:color="auto"/>
        <w:bottom w:val="none" w:sz="0" w:space="0" w:color="auto"/>
        <w:right w:val="none" w:sz="0" w:space="0" w:color="auto"/>
      </w:divBdr>
    </w:div>
    <w:div w:id="863858182">
      <w:bodyDiv w:val="1"/>
      <w:marLeft w:val="0"/>
      <w:marRight w:val="0"/>
      <w:marTop w:val="0"/>
      <w:marBottom w:val="0"/>
      <w:divBdr>
        <w:top w:val="none" w:sz="0" w:space="0" w:color="auto"/>
        <w:left w:val="none" w:sz="0" w:space="0" w:color="auto"/>
        <w:bottom w:val="none" w:sz="0" w:space="0" w:color="auto"/>
        <w:right w:val="none" w:sz="0" w:space="0" w:color="auto"/>
      </w:divBdr>
    </w:div>
    <w:div w:id="864488662">
      <w:bodyDiv w:val="1"/>
      <w:marLeft w:val="0"/>
      <w:marRight w:val="0"/>
      <w:marTop w:val="0"/>
      <w:marBottom w:val="0"/>
      <w:divBdr>
        <w:top w:val="none" w:sz="0" w:space="0" w:color="auto"/>
        <w:left w:val="none" w:sz="0" w:space="0" w:color="auto"/>
        <w:bottom w:val="none" w:sz="0" w:space="0" w:color="auto"/>
        <w:right w:val="none" w:sz="0" w:space="0" w:color="auto"/>
      </w:divBdr>
    </w:div>
    <w:div w:id="865093877">
      <w:bodyDiv w:val="1"/>
      <w:marLeft w:val="0"/>
      <w:marRight w:val="0"/>
      <w:marTop w:val="0"/>
      <w:marBottom w:val="0"/>
      <w:divBdr>
        <w:top w:val="none" w:sz="0" w:space="0" w:color="auto"/>
        <w:left w:val="none" w:sz="0" w:space="0" w:color="auto"/>
        <w:bottom w:val="none" w:sz="0" w:space="0" w:color="auto"/>
        <w:right w:val="none" w:sz="0" w:space="0" w:color="auto"/>
      </w:divBdr>
    </w:div>
    <w:div w:id="872424099">
      <w:bodyDiv w:val="1"/>
      <w:marLeft w:val="0"/>
      <w:marRight w:val="0"/>
      <w:marTop w:val="0"/>
      <w:marBottom w:val="0"/>
      <w:divBdr>
        <w:top w:val="none" w:sz="0" w:space="0" w:color="auto"/>
        <w:left w:val="none" w:sz="0" w:space="0" w:color="auto"/>
        <w:bottom w:val="none" w:sz="0" w:space="0" w:color="auto"/>
        <w:right w:val="none" w:sz="0" w:space="0" w:color="auto"/>
      </w:divBdr>
    </w:div>
    <w:div w:id="880946527">
      <w:bodyDiv w:val="1"/>
      <w:marLeft w:val="0"/>
      <w:marRight w:val="0"/>
      <w:marTop w:val="0"/>
      <w:marBottom w:val="0"/>
      <w:divBdr>
        <w:top w:val="none" w:sz="0" w:space="0" w:color="auto"/>
        <w:left w:val="none" w:sz="0" w:space="0" w:color="auto"/>
        <w:bottom w:val="none" w:sz="0" w:space="0" w:color="auto"/>
        <w:right w:val="none" w:sz="0" w:space="0" w:color="auto"/>
      </w:divBdr>
    </w:div>
    <w:div w:id="894242640">
      <w:bodyDiv w:val="1"/>
      <w:marLeft w:val="0"/>
      <w:marRight w:val="0"/>
      <w:marTop w:val="0"/>
      <w:marBottom w:val="0"/>
      <w:divBdr>
        <w:top w:val="none" w:sz="0" w:space="0" w:color="auto"/>
        <w:left w:val="none" w:sz="0" w:space="0" w:color="auto"/>
        <w:bottom w:val="none" w:sz="0" w:space="0" w:color="auto"/>
        <w:right w:val="none" w:sz="0" w:space="0" w:color="auto"/>
      </w:divBdr>
    </w:div>
    <w:div w:id="894856351">
      <w:bodyDiv w:val="1"/>
      <w:marLeft w:val="0"/>
      <w:marRight w:val="0"/>
      <w:marTop w:val="0"/>
      <w:marBottom w:val="0"/>
      <w:divBdr>
        <w:top w:val="none" w:sz="0" w:space="0" w:color="auto"/>
        <w:left w:val="none" w:sz="0" w:space="0" w:color="auto"/>
        <w:bottom w:val="none" w:sz="0" w:space="0" w:color="auto"/>
        <w:right w:val="none" w:sz="0" w:space="0" w:color="auto"/>
      </w:divBdr>
    </w:div>
    <w:div w:id="904531849">
      <w:bodyDiv w:val="1"/>
      <w:marLeft w:val="0"/>
      <w:marRight w:val="0"/>
      <w:marTop w:val="0"/>
      <w:marBottom w:val="0"/>
      <w:divBdr>
        <w:top w:val="none" w:sz="0" w:space="0" w:color="auto"/>
        <w:left w:val="none" w:sz="0" w:space="0" w:color="auto"/>
        <w:bottom w:val="none" w:sz="0" w:space="0" w:color="auto"/>
        <w:right w:val="none" w:sz="0" w:space="0" w:color="auto"/>
      </w:divBdr>
    </w:div>
    <w:div w:id="904608646">
      <w:bodyDiv w:val="1"/>
      <w:marLeft w:val="0"/>
      <w:marRight w:val="0"/>
      <w:marTop w:val="0"/>
      <w:marBottom w:val="0"/>
      <w:divBdr>
        <w:top w:val="none" w:sz="0" w:space="0" w:color="auto"/>
        <w:left w:val="none" w:sz="0" w:space="0" w:color="auto"/>
        <w:bottom w:val="none" w:sz="0" w:space="0" w:color="auto"/>
        <w:right w:val="none" w:sz="0" w:space="0" w:color="auto"/>
      </w:divBdr>
    </w:div>
    <w:div w:id="913128570">
      <w:bodyDiv w:val="1"/>
      <w:marLeft w:val="0"/>
      <w:marRight w:val="0"/>
      <w:marTop w:val="0"/>
      <w:marBottom w:val="0"/>
      <w:divBdr>
        <w:top w:val="none" w:sz="0" w:space="0" w:color="auto"/>
        <w:left w:val="none" w:sz="0" w:space="0" w:color="auto"/>
        <w:bottom w:val="none" w:sz="0" w:space="0" w:color="auto"/>
        <w:right w:val="none" w:sz="0" w:space="0" w:color="auto"/>
      </w:divBdr>
    </w:div>
    <w:div w:id="915936745">
      <w:bodyDiv w:val="1"/>
      <w:marLeft w:val="0"/>
      <w:marRight w:val="0"/>
      <w:marTop w:val="0"/>
      <w:marBottom w:val="0"/>
      <w:divBdr>
        <w:top w:val="none" w:sz="0" w:space="0" w:color="auto"/>
        <w:left w:val="none" w:sz="0" w:space="0" w:color="auto"/>
        <w:bottom w:val="none" w:sz="0" w:space="0" w:color="auto"/>
        <w:right w:val="none" w:sz="0" w:space="0" w:color="auto"/>
      </w:divBdr>
    </w:div>
    <w:div w:id="923950605">
      <w:bodyDiv w:val="1"/>
      <w:marLeft w:val="0"/>
      <w:marRight w:val="0"/>
      <w:marTop w:val="0"/>
      <w:marBottom w:val="0"/>
      <w:divBdr>
        <w:top w:val="none" w:sz="0" w:space="0" w:color="auto"/>
        <w:left w:val="none" w:sz="0" w:space="0" w:color="auto"/>
        <w:bottom w:val="none" w:sz="0" w:space="0" w:color="auto"/>
        <w:right w:val="none" w:sz="0" w:space="0" w:color="auto"/>
      </w:divBdr>
    </w:div>
    <w:div w:id="926496180">
      <w:bodyDiv w:val="1"/>
      <w:marLeft w:val="0"/>
      <w:marRight w:val="0"/>
      <w:marTop w:val="0"/>
      <w:marBottom w:val="0"/>
      <w:divBdr>
        <w:top w:val="none" w:sz="0" w:space="0" w:color="auto"/>
        <w:left w:val="none" w:sz="0" w:space="0" w:color="auto"/>
        <w:bottom w:val="none" w:sz="0" w:space="0" w:color="auto"/>
        <w:right w:val="none" w:sz="0" w:space="0" w:color="auto"/>
      </w:divBdr>
    </w:div>
    <w:div w:id="932982062">
      <w:bodyDiv w:val="1"/>
      <w:marLeft w:val="0"/>
      <w:marRight w:val="0"/>
      <w:marTop w:val="0"/>
      <w:marBottom w:val="0"/>
      <w:divBdr>
        <w:top w:val="none" w:sz="0" w:space="0" w:color="auto"/>
        <w:left w:val="none" w:sz="0" w:space="0" w:color="auto"/>
        <w:bottom w:val="none" w:sz="0" w:space="0" w:color="auto"/>
        <w:right w:val="none" w:sz="0" w:space="0" w:color="auto"/>
      </w:divBdr>
    </w:div>
    <w:div w:id="938948878">
      <w:bodyDiv w:val="1"/>
      <w:marLeft w:val="0"/>
      <w:marRight w:val="0"/>
      <w:marTop w:val="0"/>
      <w:marBottom w:val="0"/>
      <w:divBdr>
        <w:top w:val="none" w:sz="0" w:space="0" w:color="auto"/>
        <w:left w:val="none" w:sz="0" w:space="0" w:color="auto"/>
        <w:bottom w:val="none" w:sz="0" w:space="0" w:color="auto"/>
        <w:right w:val="none" w:sz="0" w:space="0" w:color="auto"/>
      </w:divBdr>
    </w:div>
    <w:div w:id="940797116">
      <w:bodyDiv w:val="1"/>
      <w:marLeft w:val="0"/>
      <w:marRight w:val="0"/>
      <w:marTop w:val="0"/>
      <w:marBottom w:val="0"/>
      <w:divBdr>
        <w:top w:val="none" w:sz="0" w:space="0" w:color="auto"/>
        <w:left w:val="none" w:sz="0" w:space="0" w:color="auto"/>
        <w:bottom w:val="none" w:sz="0" w:space="0" w:color="auto"/>
        <w:right w:val="none" w:sz="0" w:space="0" w:color="auto"/>
      </w:divBdr>
    </w:div>
    <w:div w:id="947156008">
      <w:bodyDiv w:val="1"/>
      <w:marLeft w:val="0"/>
      <w:marRight w:val="0"/>
      <w:marTop w:val="0"/>
      <w:marBottom w:val="0"/>
      <w:divBdr>
        <w:top w:val="none" w:sz="0" w:space="0" w:color="auto"/>
        <w:left w:val="none" w:sz="0" w:space="0" w:color="auto"/>
        <w:bottom w:val="none" w:sz="0" w:space="0" w:color="auto"/>
        <w:right w:val="none" w:sz="0" w:space="0" w:color="auto"/>
      </w:divBdr>
    </w:div>
    <w:div w:id="949052287">
      <w:bodyDiv w:val="1"/>
      <w:marLeft w:val="0"/>
      <w:marRight w:val="0"/>
      <w:marTop w:val="0"/>
      <w:marBottom w:val="0"/>
      <w:divBdr>
        <w:top w:val="none" w:sz="0" w:space="0" w:color="auto"/>
        <w:left w:val="none" w:sz="0" w:space="0" w:color="auto"/>
        <w:bottom w:val="none" w:sz="0" w:space="0" w:color="auto"/>
        <w:right w:val="none" w:sz="0" w:space="0" w:color="auto"/>
      </w:divBdr>
    </w:div>
    <w:div w:id="956176516">
      <w:bodyDiv w:val="1"/>
      <w:marLeft w:val="0"/>
      <w:marRight w:val="0"/>
      <w:marTop w:val="0"/>
      <w:marBottom w:val="0"/>
      <w:divBdr>
        <w:top w:val="none" w:sz="0" w:space="0" w:color="auto"/>
        <w:left w:val="none" w:sz="0" w:space="0" w:color="auto"/>
        <w:bottom w:val="none" w:sz="0" w:space="0" w:color="auto"/>
        <w:right w:val="none" w:sz="0" w:space="0" w:color="auto"/>
      </w:divBdr>
    </w:div>
    <w:div w:id="959383411">
      <w:bodyDiv w:val="1"/>
      <w:marLeft w:val="0"/>
      <w:marRight w:val="0"/>
      <w:marTop w:val="0"/>
      <w:marBottom w:val="0"/>
      <w:divBdr>
        <w:top w:val="none" w:sz="0" w:space="0" w:color="auto"/>
        <w:left w:val="none" w:sz="0" w:space="0" w:color="auto"/>
        <w:bottom w:val="none" w:sz="0" w:space="0" w:color="auto"/>
        <w:right w:val="none" w:sz="0" w:space="0" w:color="auto"/>
      </w:divBdr>
    </w:div>
    <w:div w:id="967248817">
      <w:bodyDiv w:val="1"/>
      <w:marLeft w:val="0"/>
      <w:marRight w:val="0"/>
      <w:marTop w:val="0"/>
      <w:marBottom w:val="0"/>
      <w:divBdr>
        <w:top w:val="none" w:sz="0" w:space="0" w:color="auto"/>
        <w:left w:val="none" w:sz="0" w:space="0" w:color="auto"/>
        <w:bottom w:val="none" w:sz="0" w:space="0" w:color="auto"/>
        <w:right w:val="none" w:sz="0" w:space="0" w:color="auto"/>
      </w:divBdr>
    </w:div>
    <w:div w:id="968975132">
      <w:bodyDiv w:val="1"/>
      <w:marLeft w:val="0"/>
      <w:marRight w:val="0"/>
      <w:marTop w:val="0"/>
      <w:marBottom w:val="0"/>
      <w:divBdr>
        <w:top w:val="none" w:sz="0" w:space="0" w:color="auto"/>
        <w:left w:val="none" w:sz="0" w:space="0" w:color="auto"/>
        <w:bottom w:val="none" w:sz="0" w:space="0" w:color="auto"/>
        <w:right w:val="none" w:sz="0" w:space="0" w:color="auto"/>
      </w:divBdr>
    </w:div>
    <w:div w:id="974219389">
      <w:bodyDiv w:val="1"/>
      <w:marLeft w:val="0"/>
      <w:marRight w:val="0"/>
      <w:marTop w:val="0"/>
      <w:marBottom w:val="0"/>
      <w:divBdr>
        <w:top w:val="none" w:sz="0" w:space="0" w:color="auto"/>
        <w:left w:val="none" w:sz="0" w:space="0" w:color="auto"/>
        <w:bottom w:val="none" w:sz="0" w:space="0" w:color="auto"/>
        <w:right w:val="none" w:sz="0" w:space="0" w:color="auto"/>
      </w:divBdr>
    </w:div>
    <w:div w:id="977493706">
      <w:bodyDiv w:val="1"/>
      <w:marLeft w:val="0"/>
      <w:marRight w:val="0"/>
      <w:marTop w:val="0"/>
      <w:marBottom w:val="0"/>
      <w:divBdr>
        <w:top w:val="none" w:sz="0" w:space="0" w:color="auto"/>
        <w:left w:val="none" w:sz="0" w:space="0" w:color="auto"/>
        <w:bottom w:val="none" w:sz="0" w:space="0" w:color="auto"/>
        <w:right w:val="none" w:sz="0" w:space="0" w:color="auto"/>
      </w:divBdr>
    </w:div>
    <w:div w:id="996611207">
      <w:bodyDiv w:val="1"/>
      <w:marLeft w:val="0"/>
      <w:marRight w:val="0"/>
      <w:marTop w:val="0"/>
      <w:marBottom w:val="0"/>
      <w:divBdr>
        <w:top w:val="none" w:sz="0" w:space="0" w:color="auto"/>
        <w:left w:val="none" w:sz="0" w:space="0" w:color="auto"/>
        <w:bottom w:val="none" w:sz="0" w:space="0" w:color="auto"/>
        <w:right w:val="none" w:sz="0" w:space="0" w:color="auto"/>
      </w:divBdr>
    </w:div>
    <w:div w:id="997539130">
      <w:bodyDiv w:val="1"/>
      <w:marLeft w:val="0"/>
      <w:marRight w:val="0"/>
      <w:marTop w:val="0"/>
      <w:marBottom w:val="0"/>
      <w:divBdr>
        <w:top w:val="none" w:sz="0" w:space="0" w:color="auto"/>
        <w:left w:val="none" w:sz="0" w:space="0" w:color="auto"/>
        <w:bottom w:val="none" w:sz="0" w:space="0" w:color="auto"/>
        <w:right w:val="none" w:sz="0" w:space="0" w:color="auto"/>
      </w:divBdr>
    </w:div>
    <w:div w:id="1005210373">
      <w:bodyDiv w:val="1"/>
      <w:marLeft w:val="0"/>
      <w:marRight w:val="0"/>
      <w:marTop w:val="0"/>
      <w:marBottom w:val="0"/>
      <w:divBdr>
        <w:top w:val="none" w:sz="0" w:space="0" w:color="auto"/>
        <w:left w:val="none" w:sz="0" w:space="0" w:color="auto"/>
        <w:bottom w:val="none" w:sz="0" w:space="0" w:color="auto"/>
        <w:right w:val="none" w:sz="0" w:space="0" w:color="auto"/>
      </w:divBdr>
    </w:div>
    <w:div w:id="1005327304">
      <w:bodyDiv w:val="1"/>
      <w:marLeft w:val="0"/>
      <w:marRight w:val="0"/>
      <w:marTop w:val="0"/>
      <w:marBottom w:val="0"/>
      <w:divBdr>
        <w:top w:val="none" w:sz="0" w:space="0" w:color="auto"/>
        <w:left w:val="none" w:sz="0" w:space="0" w:color="auto"/>
        <w:bottom w:val="none" w:sz="0" w:space="0" w:color="auto"/>
        <w:right w:val="none" w:sz="0" w:space="0" w:color="auto"/>
      </w:divBdr>
    </w:div>
    <w:div w:id="1018970928">
      <w:bodyDiv w:val="1"/>
      <w:marLeft w:val="0"/>
      <w:marRight w:val="0"/>
      <w:marTop w:val="0"/>
      <w:marBottom w:val="0"/>
      <w:divBdr>
        <w:top w:val="none" w:sz="0" w:space="0" w:color="auto"/>
        <w:left w:val="none" w:sz="0" w:space="0" w:color="auto"/>
        <w:bottom w:val="none" w:sz="0" w:space="0" w:color="auto"/>
        <w:right w:val="none" w:sz="0" w:space="0" w:color="auto"/>
      </w:divBdr>
    </w:div>
    <w:div w:id="1052384354">
      <w:bodyDiv w:val="1"/>
      <w:marLeft w:val="0"/>
      <w:marRight w:val="0"/>
      <w:marTop w:val="0"/>
      <w:marBottom w:val="0"/>
      <w:divBdr>
        <w:top w:val="none" w:sz="0" w:space="0" w:color="auto"/>
        <w:left w:val="none" w:sz="0" w:space="0" w:color="auto"/>
        <w:bottom w:val="none" w:sz="0" w:space="0" w:color="auto"/>
        <w:right w:val="none" w:sz="0" w:space="0" w:color="auto"/>
      </w:divBdr>
    </w:div>
    <w:div w:id="1078752680">
      <w:bodyDiv w:val="1"/>
      <w:marLeft w:val="0"/>
      <w:marRight w:val="0"/>
      <w:marTop w:val="0"/>
      <w:marBottom w:val="0"/>
      <w:divBdr>
        <w:top w:val="none" w:sz="0" w:space="0" w:color="auto"/>
        <w:left w:val="none" w:sz="0" w:space="0" w:color="auto"/>
        <w:bottom w:val="none" w:sz="0" w:space="0" w:color="auto"/>
        <w:right w:val="none" w:sz="0" w:space="0" w:color="auto"/>
      </w:divBdr>
    </w:div>
    <w:div w:id="1083263598">
      <w:bodyDiv w:val="1"/>
      <w:marLeft w:val="0"/>
      <w:marRight w:val="0"/>
      <w:marTop w:val="0"/>
      <w:marBottom w:val="0"/>
      <w:divBdr>
        <w:top w:val="none" w:sz="0" w:space="0" w:color="auto"/>
        <w:left w:val="none" w:sz="0" w:space="0" w:color="auto"/>
        <w:bottom w:val="none" w:sz="0" w:space="0" w:color="auto"/>
        <w:right w:val="none" w:sz="0" w:space="0" w:color="auto"/>
      </w:divBdr>
    </w:div>
    <w:div w:id="1098714098">
      <w:bodyDiv w:val="1"/>
      <w:marLeft w:val="0"/>
      <w:marRight w:val="0"/>
      <w:marTop w:val="0"/>
      <w:marBottom w:val="0"/>
      <w:divBdr>
        <w:top w:val="none" w:sz="0" w:space="0" w:color="auto"/>
        <w:left w:val="none" w:sz="0" w:space="0" w:color="auto"/>
        <w:bottom w:val="none" w:sz="0" w:space="0" w:color="auto"/>
        <w:right w:val="none" w:sz="0" w:space="0" w:color="auto"/>
      </w:divBdr>
    </w:div>
    <w:div w:id="1100643543">
      <w:bodyDiv w:val="1"/>
      <w:marLeft w:val="0"/>
      <w:marRight w:val="0"/>
      <w:marTop w:val="0"/>
      <w:marBottom w:val="0"/>
      <w:divBdr>
        <w:top w:val="none" w:sz="0" w:space="0" w:color="auto"/>
        <w:left w:val="none" w:sz="0" w:space="0" w:color="auto"/>
        <w:bottom w:val="none" w:sz="0" w:space="0" w:color="auto"/>
        <w:right w:val="none" w:sz="0" w:space="0" w:color="auto"/>
      </w:divBdr>
    </w:div>
    <w:div w:id="1111123397">
      <w:bodyDiv w:val="1"/>
      <w:marLeft w:val="0"/>
      <w:marRight w:val="0"/>
      <w:marTop w:val="0"/>
      <w:marBottom w:val="0"/>
      <w:divBdr>
        <w:top w:val="none" w:sz="0" w:space="0" w:color="auto"/>
        <w:left w:val="none" w:sz="0" w:space="0" w:color="auto"/>
        <w:bottom w:val="none" w:sz="0" w:space="0" w:color="auto"/>
        <w:right w:val="none" w:sz="0" w:space="0" w:color="auto"/>
      </w:divBdr>
    </w:div>
    <w:div w:id="1119489421">
      <w:bodyDiv w:val="1"/>
      <w:marLeft w:val="0"/>
      <w:marRight w:val="0"/>
      <w:marTop w:val="0"/>
      <w:marBottom w:val="0"/>
      <w:divBdr>
        <w:top w:val="none" w:sz="0" w:space="0" w:color="auto"/>
        <w:left w:val="none" w:sz="0" w:space="0" w:color="auto"/>
        <w:bottom w:val="none" w:sz="0" w:space="0" w:color="auto"/>
        <w:right w:val="none" w:sz="0" w:space="0" w:color="auto"/>
      </w:divBdr>
    </w:div>
    <w:div w:id="1125126230">
      <w:bodyDiv w:val="1"/>
      <w:marLeft w:val="0"/>
      <w:marRight w:val="0"/>
      <w:marTop w:val="0"/>
      <w:marBottom w:val="0"/>
      <w:divBdr>
        <w:top w:val="none" w:sz="0" w:space="0" w:color="auto"/>
        <w:left w:val="none" w:sz="0" w:space="0" w:color="auto"/>
        <w:bottom w:val="none" w:sz="0" w:space="0" w:color="auto"/>
        <w:right w:val="none" w:sz="0" w:space="0" w:color="auto"/>
      </w:divBdr>
    </w:div>
    <w:div w:id="1125467758">
      <w:bodyDiv w:val="1"/>
      <w:marLeft w:val="0"/>
      <w:marRight w:val="0"/>
      <w:marTop w:val="0"/>
      <w:marBottom w:val="0"/>
      <w:divBdr>
        <w:top w:val="none" w:sz="0" w:space="0" w:color="auto"/>
        <w:left w:val="none" w:sz="0" w:space="0" w:color="auto"/>
        <w:bottom w:val="none" w:sz="0" w:space="0" w:color="auto"/>
        <w:right w:val="none" w:sz="0" w:space="0" w:color="auto"/>
      </w:divBdr>
    </w:div>
    <w:div w:id="1134761579">
      <w:bodyDiv w:val="1"/>
      <w:marLeft w:val="0"/>
      <w:marRight w:val="0"/>
      <w:marTop w:val="0"/>
      <w:marBottom w:val="0"/>
      <w:divBdr>
        <w:top w:val="none" w:sz="0" w:space="0" w:color="auto"/>
        <w:left w:val="none" w:sz="0" w:space="0" w:color="auto"/>
        <w:bottom w:val="none" w:sz="0" w:space="0" w:color="auto"/>
        <w:right w:val="none" w:sz="0" w:space="0" w:color="auto"/>
      </w:divBdr>
    </w:div>
    <w:div w:id="1141844823">
      <w:bodyDiv w:val="1"/>
      <w:marLeft w:val="0"/>
      <w:marRight w:val="0"/>
      <w:marTop w:val="0"/>
      <w:marBottom w:val="0"/>
      <w:divBdr>
        <w:top w:val="none" w:sz="0" w:space="0" w:color="auto"/>
        <w:left w:val="none" w:sz="0" w:space="0" w:color="auto"/>
        <w:bottom w:val="none" w:sz="0" w:space="0" w:color="auto"/>
        <w:right w:val="none" w:sz="0" w:space="0" w:color="auto"/>
      </w:divBdr>
    </w:div>
    <w:div w:id="1144548798">
      <w:bodyDiv w:val="1"/>
      <w:marLeft w:val="0"/>
      <w:marRight w:val="0"/>
      <w:marTop w:val="0"/>
      <w:marBottom w:val="0"/>
      <w:divBdr>
        <w:top w:val="none" w:sz="0" w:space="0" w:color="auto"/>
        <w:left w:val="none" w:sz="0" w:space="0" w:color="auto"/>
        <w:bottom w:val="none" w:sz="0" w:space="0" w:color="auto"/>
        <w:right w:val="none" w:sz="0" w:space="0" w:color="auto"/>
      </w:divBdr>
    </w:div>
    <w:div w:id="1150681590">
      <w:bodyDiv w:val="1"/>
      <w:marLeft w:val="0"/>
      <w:marRight w:val="0"/>
      <w:marTop w:val="0"/>
      <w:marBottom w:val="0"/>
      <w:divBdr>
        <w:top w:val="none" w:sz="0" w:space="0" w:color="auto"/>
        <w:left w:val="none" w:sz="0" w:space="0" w:color="auto"/>
        <w:bottom w:val="none" w:sz="0" w:space="0" w:color="auto"/>
        <w:right w:val="none" w:sz="0" w:space="0" w:color="auto"/>
      </w:divBdr>
    </w:div>
    <w:div w:id="1182478924">
      <w:bodyDiv w:val="1"/>
      <w:marLeft w:val="0"/>
      <w:marRight w:val="0"/>
      <w:marTop w:val="0"/>
      <w:marBottom w:val="0"/>
      <w:divBdr>
        <w:top w:val="none" w:sz="0" w:space="0" w:color="auto"/>
        <w:left w:val="none" w:sz="0" w:space="0" w:color="auto"/>
        <w:bottom w:val="none" w:sz="0" w:space="0" w:color="auto"/>
        <w:right w:val="none" w:sz="0" w:space="0" w:color="auto"/>
      </w:divBdr>
    </w:div>
    <w:div w:id="1183782236">
      <w:bodyDiv w:val="1"/>
      <w:marLeft w:val="0"/>
      <w:marRight w:val="0"/>
      <w:marTop w:val="0"/>
      <w:marBottom w:val="0"/>
      <w:divBdr>
        <w:top w:val="none" w:sz="0" w:space="0" w:color="auto"/>
        <w:left w:val="none" w:sz="0" w:space="0" w:color="auto"/>
        <w:bottom w:val="none" w:sz="0" w:space="0" w:color="auto"/>
        <w:right w:val="none" w:sz="0" w:space="0" w:color="auto"/>
      </w:divBdr>
    </w:div>
    <w:div w:id="1187864934">
      <w:bodyDiv w:val="1"/>
      <w:marLeft w:val="0"/>
      <w:marRight w:val="0"/>
      <w:marTop w:val="0"/>
      <w:marBottom w:val="0"/>
      <w:divBdr>
        <w:top w:val="none" w:sz="0" w:space="0" w:color="auto"/>
        <w:left w:val="none" w:sz="0" w:space="0" w:color="auto"/>
        <w:bottom w:val="none" w:sz="0" w:space="0" w:color="auto"/>
        <w:right w:val="none" w:sz="0" w:space="0" w:color="auto"/>
      </w:divBdr>
    </w:div>
    <w:div w:id="1188786748">
      <w:bodyDiv w:val="1"/>
      <w:marLeft w:val="0"/>
      <w:marRight w:val="0"/>
      <w:marTop w:val="0"/>
      <w:marBottom w:val="0"/>
      <w:divBdr>
        <w:top w:val="none" w:sz="0" w:space="0" w:color="auto"/>
        <w:left w:val="none" w:sz="0" w:space="0" w:color="auto"/>
        <w:bottom w:val="none" w:sz="0" w:space="0" w:color="auto"/>
        <w:right w:val="none" w:sz="0" w:space="0" w:color="auto"/>
      </w:divBdr>
    </w:div>
    <w:div w:id="1212881588">
      <w:bodyDiv w:val="1"/>
      <w:marLeft w:val="0"/>
      <w:marRight w:val="0"/>
      <w:marTop w:val="0"/>
      <w:marBottom w:val="0"/>
      <w:divBdr>
        <w:top w:val="none" w:sz="0" w:space="0" w:color="auto"/>
        <w:left w:val="none" w:sz="0" w:space="0" w:color="auto"/>
        <w:bottom w:val="none" w:sz="0" w:space="0" w:color="auto"/>
        <w:right w:val="none" w:sz="0" w:space="0" w:color="auto"/>
      </w:divBdr>
    </w:div>
    <w:div w:id="1216308103">
      <w:bodyDiv w:val="1"/>
      <w:marLeft w:val="0"/>
      <w:marRight w:val="0"/>
      <w:marTop w:val="0"/>
      <w:marBottom w:val="0"/>
      <w:divBdr>
        <w:top w:val="none" w:sz="0" w:space="0" w:color="auto"/>
        <w:left w:val="none" w:sz="0" w:space="0" w:color="auto"/>
        <w:bottom w:val="none" w:sz="0" w:space="0" w:color="auto"/>
        <w:right w:val="none" w:sz="0" w:space="0" w:color="auto"/>
      </w:divBdr>
    </w:div>
    <w:div w:id="1223056565">
      <w:bodyDiv w:val="1"/>
      <w:marLeft w:val="0"/>
      <w:marRight w:val="0"/>
      <w:marTop w:val="0"/>
      <w:marBottom w:val="0"/>
      <w:divBdr>
        <w:top w:val="none" w:sz="0" w:space="0" w:color="auto"/>
        <w:left w:val="none" w:sz="0" w:space="0" w:color="auto"/>
        <w:bottom w:val="none" w:sz="0" w:space="0" w:color="auto"/>
        <w:right w:val="none" w:sz="0" w:space="0" w:color="auto"/>
      </w:divBdr>
    </w:div>
    <w:div w:id="1235699918">
      <w:bodyDiv w:val="1"/>
      <w:marLeft w:val="0"/>
      <w:marRight w:val="0"/>
      <w:marTop w:val="0"/>
      <w:marBottom w:val="0"/>
      <w:divBdr>
        <w:top w:val="none" w:sz="0" w:space="0" w:color="auto"/>
        <w:left w:val="none" w:sz="0" w:space="0" w:color="auto"/>
        <w:bottom w:val="none" w:sz="0" w:space="0" w:color="auto"/>
        <w:right w:val="none" w:sz="0" w:space="0" w:color="auto"/>
      </w:divBdr>
    </w:div>
    <w:div w:id="1253969467">
      <w:bodyDiv w:val="1"/>
      <w:marLeft w:val="0"/>
      <w:marRight w:val="0"/>
      <w:marTop w:val="0"/>
      <w:marBottom w:val="0"/>
      <w:divBdr>
        <w:top w:val="none" w:sz="0" w:space="0" w:color="auto"/>
        <w:left w:val="none" w:sz="0" w:space="0" w:color="auto"/>
        <w:bottom w:val="none" w:sz="0" w:space="0" w:color="auto"/>
        <w:right w:val="none" w:sz="0" w:space="0" w:color="auto"/>
      </w:divBdr>
    </w:div>
    <w:div w:id="1263219928">
      <w:bodyDiv w:val="1"/>
      <w:marLeft w:val="0"/>
      <w:marRight w:val="0"/>
      <w:marTop w:val="0"/>
      <w:marBottom w:val="0"/>
      <w:divBdr>
        <w:top w:val="none" w:sz="0" w:space="0" w:color="auto"/>
        <w:left w:val="none" w:sz="0" w:space="0" w:color="auto"/>
        <w:bottom w:val="none" w:sz="0" w:space="0" w:color="auto"/>
        <w:right w:val="none" w:sz="0" w:space="0" w:color="auto"/>
      </w:divBdr>
    </w:div>
    <w:div w:id="1275407253">
      <w:bodyDiv w:val="1"/>
      <w:marLeft w:val="0"/>
      <w:marRight w:val="0"/>
      <w:marTop w:val="0"/>
      <w:marBottom w:val="0"/>
      <w:divBdr>
        <w:top w:val="none" w:sz="0" w:space="0" w:color="auto"/>
        <w:left w:val="none" w:sz="0" w:space="0" w:color="auto"/>
        <w:bottom w:val="none" w:sz="0" w:space="0" w:color="auto"/>
        <w:right w:val="none" w:sz="0" w:space="0" w:color="auto"/>
      </w:divBdr>
    </w:div>
    <w:div w:id="1276208545">
      <w:bodyDiv w:val="1"/>
      <w:marLeft w:val="0"/>
      <w:marRight w:val="0"/>
      <w:marTop w:val="0"/>
      <w:marBottom w:val="0"/>
      <w:divBdr>
        <w:top w:val="none" w:sz="0" w:space="0" w:color="auto"/>
        <w:left w:val="none" w:sz="0" w:space="0" w:color="auto"/>
        <w:bottom w:val="none" w:sz="0" w:space="0" w:color="auto"/>
        <w:right w:val="none" w:sz="0" w:space="0" w:color="auto"/>
      </w:divBdr>
    </w:div>
    <w:div w:id="1280793736">
      <w:bodyDiv w:val="1"/>
      <w:marLeft w:val="0"/>
      <w:marRight w:val="0"/>
      <w:marTop w:val="0"/>
      <w:marBottom w:val="0"/>
      <w:divBdr>
        <w:top w:val="none" w:sz="0" w:space="0" w:color="auto"/>
        <w:left w:val="none" w:sz="0" w:space="0" w:color="auto"/>
        <w:bottom w:val="none" w:sz="0" w:space="0" w:color="auto"/>
        <w:right w:val="none" w:sz="0" w:space="0" w:color="auto"/>
      </w:divBdr>
    </w:div>
    <w:div w:id="1284384308">
      <w:bodyDiv w:val="1"/>
      <w:marLeft w:val="0"/>
      <w:marRight w:val="0"/>
      <w:marTop w:val="0"/>
      <w:marBottom w:val="0"/>
      <w:divBdr>
        <w:top w:val="none" w:sz="0" w:space="0" w:color="auto"/>
        <w:left w:val="none" w:sz="0" w:space="0" w:color="auto"/>
        <w:bottom w:val="none" w:sz="0" w:space="0" w:color="auto"/>
        <w:right w:val="none" w:sz="0" w:space="0" w:color="auto"/>
      </w:divBdr>
    </w:div>
    <w:div w:id="1284655101">
      <w:bodyDiv w:val="1"/>
      <w:marLeft w:val="0"/>
      <w:marRight w:val="0"/>
      <w:marTop w:val="0"/>
      <w:marBottom w:val="0"/>
      <w:divBdr>
        <w:top w:val="none" w:sz="0" w:space="0" w:color="auto"/>
        <w:left w:val="none" w:sz="0" w:space="0" w:color="auto"/>
        <w:bottom w:val="none" w:sz="0" w:space="0" w:color="auto"/>
        <w:right w:val="none" w:sz="0" w:space="0" w:color="auto"/>
      </w:divBdr>
    </w:div>
    <w:div w:id="1290748579">
      <w:bodyDiv w:val="1"/>
      <w:marLeft w:val="0"/>
      <w:marRight w:val="0"/>
      <w:marTop w:val="0"/>
      <w:marBottom w:val="0"/>
      <w:divBdr>
        <w:top w:val="none" w:sz="0" w:space="0" w:color="auto"/>
        <w:left w:val="none" w:sz="0" w:space="0" w:color="auto"/>
        <w:bottom w:val="none" w:sz="0" w:space="0" w:color="auto"/>
        <w:right w:val="none" w:sz="0" w:space="0" w:color="auto"/>
      </w:divBdr>
    </w:div>
    <w:div w:id="1314988626">
      <w:bodyDiv w:val="1"/>
      <w:marLeft w:val="0"/>
      <w:marRight w:val="0"/>
      <w:marTop w:val="0"/>
      <w:marBottom w:val="0"/>
      <w:divBdr>
        <w:top w:val="none" w:sz="0" w:space="0" w:color="auto"/>
        <w:left w:val="none" w:sz="0" w:space="0" w:color="auto"/>
        <w:bottom w:val="none" w:sz="0" w:space="0" w:color="auto"/>
        <w:right w:val="none" w:sz="0" w:space="0" w:color="auto"/>
      </w:divBdr>
    </w:div>
    <w:div w:id="1320497856">
      <w:bodyDiv w:val="1"/>
      <w:marLeft w:val="0"/>
      <w:marRight w:val="0"/>
      <w:marTop w:val="0"/>
      <w:marBottom w:val="0"/>
      <w:divBdr>
        <w:top w:val="none" w:sz="0" w:space="0" w:color="auto"/>
        <w:left w:val="none" w:sz="0" w:space="0" w:color="auto"/>
        <w:bottom w:val="none" w:sz="0" w:space="0" w:color="auto"/>
        <w:right w:val="none" w:sz="0" w:space="0" w:color="auto"/>
      </w:divBdr>
    </w:div>
    <w:div w:id="1323003537">
      <w:bodyDiv w:val="1"/>
      <w:marLeft w:val="0"/>
      <w:marRight w:val="0"/>
      <w:marTop w:val="0"/>
      <w:marBottom w:val="0"/>
      <w:divBdr>
        <w:top w:val="none" w:sz="0" w:space="0" w:color="auto"/>
        <w:left w:val="none" w:sz="0" w:space="0" w:color="auto"/>
        <w:bottom w:val="none" w:sz="0" w:space="0" w:color="auto"/>
        <w:right w:val="none" w:sz="0" w:space="0" w:color="auto"/>
      </w:divBdr>
    </w:div>
    <w:div w:id="1329744839">
      <w:bodyDiv w:val="1"/>
      <w:marLeft w:val="0"/>
      <w:marRight w:val="0"/>
      <w:marTop w:val="0"/>
      <w:marBottom w:val="0"/>
      <w:divBdr>
        <w:top w:val="none" w:sz="0" w:space="0" w:color="auto"/>
        <w:left w:val="none" w:sz="0" w:space="0" w:color="auto"/>
        <w:bottom w:val="none" w:sz="0" w:space="0" w:color="auto"/>
        <w:right w:val="none" w:sz="0" w:space="0" w:color="auto"/>
      </w:divBdr>
    </w:div>
    <w:div w:id="1331983909">
      <w:bodyDiv w:val="1"/>
      <w:marLeft w:val="0"/>
      <w:marRight w:val="0"/>
      <w:marTop w:val="0"/>
      <w:marBottom w:val="0"/>
      <w:divBdr>
        <w:top w:val="none" w:sz="0" w:space="0" w:color="auto"/>
        <w:left w:val="none" w:sz="0" w:space="0" w:color="auto"/>
        <w:bottom w:val="none" w:sz="0" w:space="0" w:color="auto"/>
        <w:right w:val="none" w:sz="0" w:space="0" w:color="auto"/>
      </w:divBdr>
    </w:div>
    <w:div w:id="1343900254">
      <w:bodyDiv w:val="1"/>
      <w:marLeft w:val="0"/>
      <w:marRight w:val="0"/>
      <w:marTop w:val="0"/>
      <w:marBottom w:val="0"/>
      <w:divBdr>
        <w:top w:val="none" w:sz="0" w:space="0" w:color="auto"/>
        <w:left w:val="none" w:sz="0" w:space="0" w:color="auto"/>
        <w:bottom w:val="none" w:sz="0" w:space="0" w:color="auto"/>
        <w:right w:val="none" w:sz="0" w:space="0" w:color="auto"/>
      </w:divBdr>
    </w:div>
    <w:div w:id="1345017791">
      <w:bodyDiv w:val="1"/>
      <w:marLeft w:val="0"/>
      <w:marRight w:val="0"/>
      <w:marTop w:val="0"/>
      <w:marBottom w:val="0"/>
      <w:divBdr>
        <w:top w:val="none" w:sz="0" w:space="0" w:color="auto"/>
        <w:left w:val="none" w:sz="0" w:space="0" w:color="auto"/>
        <w:bottom w:val="none" w:sz="0" w:space="0" w:color="auto"/>
        <w:right w:val="none" w:sz="0" w:space="0" w:color="auto"/>
      </w:divBdr>
    </w:div>
    <w:div w:id="1345670185">
      <w:bodyDiv w:val="1"/>
      <w:marLeft w:val="0"/>
      <w:marRight w:val="0"/>
      <w:marTop w:val="0"/>
      <w:marBottom w:val="0"/>
      <w:divBdr>
        <w:top w:val="none" w:sz="0" w:space="0" w:color="auto"/>
        <w:left w:val="none" w:sz="0" w:space="0" w:color="auto"/>
        <w:bottom w:val="none" w:sz="0" w:space="0" w:color="auto"/>
        <w:right w:val="none" w:sz="0" w:space="0" w:color="auto"/>
      </w:divBdr>
    </w:div>
    <w:div w:id="1357805111">
      <w:bodyDiv w:val="1"/>
      <w:marLeft w:val="0"/>
      <w:marRight w:val="0"/>
      <w:marTop w:val="0"/>
      <w:marBottom w:val="0"/>
      <w:divBdr>
        <w:top w:val="none" w:sz="0" w:space="0" w:color="auto"/>
        <w:left w:val="none" w:sz="0" w:space="0" w:color="auto"/>
        <w:bottom w:val="none" w:sz="0" w:space="0" w:color="auto"/>
        <w:right w:val="none" w:sz="0" w:space="0" w:color="auto"/>
      </w:divBdr>
    </w:div>
    <w:div w:id="1366715474">
      <w:bodyDiv w:val="1"/>
      <w:marLeft w:val="0"/>
      <w:marRight w:val="0"/>
      <w:marTop w:val="0"/>
      <w:marBottom w:val="0"/>
      <w:divBdr>
        <w:top w:val="none" w:sz="0" w:space="0" w:color="auto"/>
        <w:left w:val="none" w:sz="0" w:space="0" w:color="auto"/>
        <w:bottom w:val="none" w:sz="0" w:space="0" w:color="auto"/>
        <w:right w:val="none" w:sz="0" w:space="0" w:color="auto"/>
      </w:divBdr>
    </w:div>
    <w:div w:id="1397509110">
      <w:bodyDiv w:val="1"/>
      <w:marLeft w:val="0"/>
      <w:marRight w:val="0"/>
      <w:marTop w:val="0"/>
      <w:marBottom w:val="0"/>
      <w:divBdr>
        <w:top w:val="none" w:sz="0" w:space="0" w:color="auto"/>
        <w:left w:val="none" w:sz="0" w:space="0" w:color="auto"/>
        <w:bottom w:val="none" w:sz="0" w:space="0" w:color="auto"/>
        <w:right w:val="none" w:sz="0" w:space="0" w:color="auto"/>
      </w:divBdr>
    </w:div>
    <w:div w:id="1404789849">
      <w:bodyDiv w:val="1"/>
      <w:marLeft w:val="0"/>
      <w:marRight w:val="0"/>
      <w:marTop w:val="0"/>
      <w:marBottom w:val="0"/>
      <w:divBdr>
        <w:top w:val="none" w:sz="0" w:space="0" w:color="auto"/>
        <w:left w:val="none" w:sz="0" w:space="0" w:color="auto"/>
        <w:bottom w:val="none" w:sz="0" w:space="0" w:color="auto"/>
        <w:right w:val="none" w:sz="0" w:space="0" w:color="auto"/>
      </w:divBdr>
    </w:div>
    <w:div w:id="1408990700">
      <w:bodyDiv w:val="1"/>
      <w:marLeft w:val="0"/>
      <w:marRight w:val="0"/>
      <w:marTop w:val="0"/>
      <w:marBottom w:val="0"/>
      <w:divBdr>
        <w:top w:val="none" w:sz="0" w:space="0" w:color="auto"/>
        <w:left w:val="none" w:sz="0" w:space="0" w:color="auto"/>
        <w:bottom w:val="none" w:sz="0" w:space="0" w:color="auto"/>
        <w:right w:val="none" w:sz="0" w:space="0" w:color="auto"/>
      </w:divBdr>
    </w:div>
    <w:div w:id="1413239031">
      <w:bodyDiv w:val="1"/>
      <w:marLeft w:val="0"/>
      <w:marRight w:val="0"/>
      <w:marTop w:val="0"/>
      <w:marBottom w:val="0"/>
      <w:divBdr>
        <w:top w:val="none" w:sz="0" w:space="0" w:color="auto"/>
        <w:left w:val="none" w:sz="0" w:space="0" w:color="auto"/>
        <w:bottom w:val="none" w:sz="0" w:space="0" w:color="auto"/>
        <w:right w:val="none" w:sz="0" w:space="0" w:color="auto"/>
      </w:divBdr>
    </w:div>
    <w:div w:id="1419709561">
      <w:bodyDiv w:val="1"/>
      <w:marLeft w:val="0"/>
      <w:marRight w:val="0"/>
      <w:marTop w:val="0"/>
      <w:marBottom w:val="0"/>
      <w:divBdr>
        <w:top w:val="none" w:sz="0" w:space="0" w:color="auto"/>
        <w:left w:val="none" w:sz="0" w:space="0" w:color="auto"/>
        <w:bottom w:val="none" w:sz="0" w:space="0" w:color="auto"/>
        <w:right w:val="none" w:sz="0" w:space="0" w:color="auto"/>
      </w:divBdr>
    </w:div>
    <w:div w:id="1426263751">
      <w:bodyDiv w:val="1"/>
      <w:marLeft w:val="0"/>
      <w:marRight w:val="0"/>
      <w:marTop w:val="0"/>
      <w:marBottom w:val="0"/>
      <w:divBdr>
        <w:top w:val="none" w:sz="0" w:space="0" w:color="auto"/>
        <w:left w:val="none" w:sz="0" w:space="0" w:color="auto"/>
        <w:bottom w:val="none" w:sz="0" w:space="0" w:color="auto"/>
        <w:right w:val="none" w:sz="0" w:space="0" w:color="auto"/>
      </w:divBdr>
    </w:div>
    <w:div w:id="1438401124">
      <w:bodyDiv w:val="1"/>
      <w:marLeft w:val="0"/>
      <w:marRight w:val="0"/>
      <w:marTop w:val="0"/>
      <w:marBottom w:val="0"/>
      <w:divBdr>
        <w:top w:val="none" w:sz="0" w:space="0" w:color="auto"/>
        <w:left w:val="none" w:sz="0" w:space="0" w:color="auto"/>
        <w:bottom w:val="none" w:sz="0" w:space="0" w:color="auto"/>
        <w:right w:val="none" w:sz="0" w:space="0" w:color="auto"/>
      </w:divBdr>
    </w:div>
    <w:div w:id="1444573178">
      <w:bodyDiv w:val="1"/>
      <w:marLeft w:val="0"/>
      <w:marRight w:val="0"/>
      <w:marTop w:val="0"/>
      <w:marBottom w:val="0"/>
      <w:divBdr>
        <w:top w:val="none" w:sz="0" w:space="0" w:color="auto"/>
        <w:left w:val="none" w:sz="0" w:space="0" w:color="auto"/>
        <w:bottom w:val="none" w:sz="0" w:space="0" w:color="auto"/>
        <w:right w:val="none" w:sz="0" w:space="0" w:color="auto"/>
      </w:divBdr>
    </w:div>
    <w:div w:id="1444809634">
      <w:bodyDiv w:val="1"/>
      <w:marLeft w:val="0"/>
      <w:marRight w:val="0"/>
      <w:marTop w:val="0"/>
      <w:marBottom w:val="0"/>
      <w:divBdr>
        <w:top w:val="none" w:sz="0" w:space="0" w:color="auto"/>
        <w:left w:val="none" w:sz="0" w:space="0" w:color="auto"/>
        <w:bottom w:val="none" w:sz="0" w:space="0" w:color="auto"/>
        <w:right w:val="none" w:sz="0" w:space="0" w:color="auto"/>
      </w:divBdr>
    </w:div>
    <w:div w:id="1460956326">
      <w:bodyDiv w:val="1"/>
      <w:marLeft w:val="0"/>
      <w:marRight w:val="0"/>
      <w:marTop w:val="0"/>
      <w:marBottom w:val="0"/>
      <w:divBdr>
        <w:top w:val="none" w:sz="0" w:space="0" w:color="auto"/>
        <w:left w:val="none" w:sz="0" w:space="0" w:color="auto"/>
        <w:bottom w:val="none" w:sz="0" w:space="0" w:color="auto"/>
        <w:right w:val="none" w:sz="0" w:space="0" w:color="auto"/>
      </w:divBdr>
    </w:div>
    <w:div w:id="1465003495">
      <w:bodyDiv w:val="1"/>
      <w:marLeft w:val="0"/>
      <w:marRight w:val="0"/>
      <w:marTop w:val="0"/>
      <w:marBottom w:val="0"/>
      <w:divBdr>
        <w:top w:val="none" w:sz="0" w:space="0" w:color="auto"/>
        <w:left w:val="none" w:sz="0" w:space="0" w:color="auto"/>
        <w:bottom w:val="none" w:sz="0" w:space="0" w:color="auto"/>
        <w:right w:val="none" w:sz="0" w:space="0" w:color="auto"/>
      </w:divBdr>
    </w:div>
    <w:div w:id="1471750431">
      <w:bodyDiv w:val="1"/>
      <w:marLeft w:val="0"/>
      <w:marRight w:val="0"/>
      <w:marTop w:val="0"/>
      <w:marBottom w:val="0"/>
      <w:divBdr>
        <w:top w:val="none" w:sz="0" w:space="0" w:color="auto"/>
        <w:left w:val="none" w:sz="0" w:space="0" w:color="auto"/>
        <w:bottom w:val="none" w:sz="0" w:space="0" w:color="auto"/>
        <w:right w:val="none" w:sz="0" w:space="0" w:color="auto"/>
      </w:divBdr>
    </w:div>
    <w:div w:id="1476802718">
      <w:bodyDiv w:val="1"/>
      <w:marLeft w:val="0"/>
      <w:marRight w:val="0"/>
      <w:marTop w:val="0"/>
      <w:marBottom w:val="0"/>
      <w:divBdr>
        <w:top w:val="none" w:sz="0" w:space="0" w:color="auto"/>
        <w:left w:val="none" w:sz="0" w:space="0" w:color="auto"/>
        <w:bottom w:val="none" w:sz="0" w:space="0" w:color="auto"/>
        <w:right w:val="none" w:sz="0" w:space="0" w:color="auto"/>
      </w:divBdr>
    </w:div>
    <w:div w:id="1504081160">
      <w:bodyDiv w:val="1"/>
      <w:marLeft w:val="0"/>
      <w:marRight w:val="0"/>
      <w:marTop w:val="0"/>
      <w:marBottom w:val="0"/>
      <w:divBdr>
        <w:top w:val="none" w:sz="0" w:space="0" w:color="auto"/>
        <w:left w:val="none" w:sz="0" w:space="0" w:color="auto"/>
        <w:bottom w:val="none" w:sz="0" w:space="0" w:color="auto"/>
        <w:right w:val="none" w:sz="0" w:space="0" w:color="auto"/>
      </w:divBdr>
    </w:div>
    <w:div w:id="1509445798">
      <w:bodyDiv w:val="1"/>
      <w:marLeft w:val="0"/>
      <w:marRight w:val="0"/>
      <w:marTop w:val="0"/>
      <w:marBottom w:val="0"/>
      <w:divBdr>
        <w:top w:val="none" w:sz="0" w:space="0" w:color="auto"/>
        <w:left w:val="none" w:sz="0" w:space="0" w:color="auto"/>
        <w:bottom w:val="none" w:sz="0" w:space="0" w:color="auto"/>
        <w:right w:val="none" w:sz="0" w:space="0" w:color="auto"/>
      </w:divBdr>
    </w:div>
    <w:div w:id="1522545078">
      <w:bodyDiv w:val="1"/>
      <w:marLeft w:val="0"/>
      <w:marRight w:val="0"/>
      <w:marTop w:val="0"/>
      <w:marBottom w:val="0"/>
      <w:divBdr>
        <w:top w:val="none" w:sz="0" w:space="0" w:color="auto"/>
        <w:left w:val="none" w:sz="0" w:space="0" w:color="auto"/>
        <w:bottom w:val="none" w:sz="0" w:space="0" w:color="auto"/>
        <w:right w:val="none" w:sz="0" w:space="0" w:color="auto"/>
      </w:divBdr>
    </w:div>
    <w:div w:id="1524516961">
      <w:bodyDiv w:val="1"/>
      <w:marLeft w:val="0"/>
      <w:marRight w:val="0"/>
      <w:marTop w:val="0"/>
      <w:marBottom w:val="0"/>
      <w:divBdr>
        <w:top w:val="none" w:sz="0" w:space="0" w:color="auto"/>
        <w:left w:val="none" w:sz="0" w:space="0" w:color="auto"/>
        <w:bottom w:val="none" w:sz="0" w:space="0" w:color="auto"/>
        <w:right w:val="none" w:sz="0" w:space="0" w:color="auto"/>
      </w:divBdr>
    </w:div>
    <w:div w:id="1531722994">
      <w:bodyDiv w:val="1"/>
      <w:marLeft w:val="0"/>
      <w:marRight w:val="0"/>
      <w:marTop w:val="0"/>
      <w:marBottom w:val="0"/>
      <w:divBdr>
        <w:top w:val="none" w:sz="0" w:space="0" w:color="auto"/>
        <w:left w:val="none" w:sz="0" w:space="0" w:color="auto"/>
        <w:bottom w:val="none" w:sz="0" w:space="0" w:color="auto"/>
        <w:right w:val="none" w:sz="0" w:space="0" w:color="auto"/>
      </w:divBdr>
    </w:div>
    <w:div w:id="1542403229">
      <w:bodyDiv w:val="1"/>
      <w:marLeft w:val="0"/>
      <w:marRight w:val="0"/>
      <w:marTop w:val="0"/>
      <w:marBottom w:val="0"/>
      <w:divBdr>
        <w:top w:val="none" w:sz="0" w:space="0" w:color="auto"/>
        <w:left w:val="none" w:sz="0" w:space="0" w:color="auto"/>
        <w:bottom w:val="none" w:sz="0" w:space="0" w:color="auto"/>
        <w:right w:val="none" w:sz="0" w:space="0" w:color="auto"/>
      </w:divBdr>
    </w:div>
    <w:div w:id="1549223150">
      <w:bodyDiv w:val="1"/>
      <w:marLeft w:val="0"/>
      <w:marRight w:val="0"/>
      <w:marTop w:val="0"/>
      <w:marBottom w:val="0"/>
      <w:divBdr>
        <w:top w:val="none" w:sz="0" w:space="0" w:color="auto"/>
        <w:left w:val="none" w:sz="0" w:space="0" w:color="auto"/>
        <w:bottom w:val="none" w:sz="0" w:space="0" w:color="auto"/>
        <w:right w:val="none" w:sz="0" w:space="0" w:color="auto"/>
      </w:divBdr>
    </w:div>
    <w:div w:id="1568028762">
      <w:bodyDiv w:val="1"/>
      <w:marLeft w:val="0"/>
      <w:marRight w:val="0"/>
      <w:marTop w:val="0"/>
      <w:marBottom w:val="0"/>
      <w:divBdr>
        <w:top w:val="none" w:sz="0" w:space="0" w:color="auto"/>
        <w:left w:val="none" w:sz="0" w:space="0" w:color="auto"/>
        <w:bottom w:val="none" w:sz="0" w:space="0" w:color="auto"/>
        <w:right w:val="none" w:sz="0" w:space="0" w:color="auto"/>
      </w:divBdr>
    </w:div>
    <w:div w:id="1571693372">
      <w:bodyDiv w:val="1"/>
      <w:marLeft w:val="0"/>
      <w:marRight w:val="0"/>
      <w:marTop w:val="0"/>
      <w:marBottom w:val="0"/>
      <w:divBdr>
        <w:top w:val="none" w:sz="0" w:space="0" w:color="auto"/>
        <w:left w:val="none" w:sz="0" w:space="0" w:color="auto"/>
        <w:bottom w:val="none" w:sz="0" w:space="0" w:color="auto"/>
        <w:right w:val="none" w:sz="0" w:space="0" w:color="auto"/>
      </w:divBdr>
    </w:div>
    <w:div w:id="1574664115">
      <w:bodyDiv w:val="1"/>
      <w:marLeft w:val="0"/>
      <w:marRight w:val="0"/>
      <w:marTop w:val="0"/>
      <w:marBottom w:val="0"/>
      <w:divBdr>
        <w:top w:val="none" w:sz="0" w:space="0" w:color="auto"/>
        <w:left w:val="none" w:sz="0" w:space="0" w:color="auto"/>
        <w:bottom w:val="none" w:sz="0" w:space="0" w:color="auto"/>
        <w:right w:val="none" w:sz="0" w:space="0" w:color="auto"/>
      </w:divBdr>
    </w:div>
    <w:div w:id="1581984774">
      <w:bodyDiv w:val="1"/>
      <w:marLeft w:val="0"/>
      <w:marRight w:val="0"/>
      <w:marTop w:val="0"/>
      <w:marBottom w:val="0"/>
      <w:divBdr>
        <w:top w:val="none" w:sz="0" w:space="0" w:color="auto"/>
        <w:left w:val="none" w:sz="0" w:space="0" w:color="auto"/>
        <w:bottom w:val="none" w:sz="0" w:space="0" w:color="auto"/>
        <w:right w:val="none" w:sz="0" w:space="0" w:color="auto"/>
      </w:divBdr>
    </w:div>
    <w:div w:id="1582567458">
      <w:bodyDiv w:val="1"/>
      <w:marLeft w:val="0"/>
      <w:marRight w:val="0"/>
      <w:marTop w:val="0"/>
      <w:marBottom w:val="0"/>
      <w:divBdr>
        <w:top w:val="none" w:sz="0" w:space="0" w:color="auto"/>
        <w:left w:val="none" w:sz="0" w:space="0" w:color="auto"/>
        <w:bottom w:val="none" w:sz="0" w:space="0" w:color="auto"/>
        <w:right w:val="none" w:sz="0" w:space="0" w:color="auto"/>
      </w:divBdr>
    </w:div>
    <w:div w:id="1586499917">
      <w:bodyDiv w:val="1"/>
      <w:marLeft w:val="0"/>
      <w:marRight w:val="0"/>
      <w:marTop w:val="0"/>
      <w:marBottom w:val="0"/>
      <w:divBdr>
        <w:top w:val="none" w:sz="0" w:space="0" w:color="auto"/>
        <w:left w:val="none" w:sz="0" w:space="0" w:color="auto"/>
        <w:bottom w:val="none" w:sz="0" w:space="0" w:color="auto"/>
        <w:right w:val="none" w:sz="0" w:space="0" w:color="auto"/>
      </w:divBdr>
    </w:div>
    <w:div w:id="1590693288">
      <w:bodyDiv w:val="1"/>
      <w:marLeft w:val="0"/>
      <w:marRight w:val="0"/>
      <w:marTop w:val="0"/>
      <w:marBottom w:val="0"/>
      <w:divBdr>
        <w:top w:val="none" w:sz="0" w:space="0" w:color="auto"/>
        <w:left w:val="none" w:sz="0" w:space="0" w:color="auto"/>
        <w:bottom w:val="none" w:sz="0" w:space="0" w:color="auto"/>
        <w:right w:val="none" w:sz="0" w:space="0" w:color="auto"/>
      </w:divBdr>
    </w:div>
    <w:div w:id="1600944340">
      <w:bodyDiv w:val="1"/>
      <w:marLeft w:val="0"/>
      <w:marRight w:val="0"/>
      <w:marTop w:val="0"/>
      <w:marBottom w:val="0"/>
      <w:divBdr>
        <w:top w:val="none" w:sz="0" w:space="0" w:color="auto"/>
        <w:left w:val="none" w:sz="0" w:space="0" w:color="auto"/>
        <w:bottom w:val="none" w:sz="0" w:space="0" w:color="auto"/>
        <w:right w:val="none" w:sz="0" w:space="0" w:color="auto"/>
      </w:divBdr>
    </w:div>
    <w:div w:id="1612471245">
      <w:bodyDiv w:val="1"/>
      <w:marLeft w:val="0"/>
      <w:marRight w:val="0"/>
      <w:marTop w:val="0"/>
      <w:marBottom w:val="0"/>
      <w:divBdr>
        <w:top w:val="none" w:sz="0" w:space="0" w:color="auto"/>
        <w:left w:val="none" w:sz="0" w:space="0" w:color="auto"/>
        <w:bottom w:val="none" w:sz="0" w:space="0" w:color="auto"/>
        <w:right w:val="none" w:sz="0" w:space="0" w:color="auto"/>
      </w:divBdr>
    </w:div>
    <w:div w:id="1619332053">
      <w:bodyDiv w:val="1"/>
      <w:marLeft w:val="0"/>
      <w:marRight w:val="0"/>
      <w:marTop w:val="0"/>
      <w:marBottom w:val="0"/>
      <w:divBdr>
        <w:top w:val="none" w:sz="0" w:space="0" w:color="auto"/>
        <w:left w:val="none" w:sz="0" w:space="0" w:color="auto"/>
        <w:bottom w:val="none" w:sz="0" w:space="0" w:color="auto"/>
        <w:right w:val="none" w:sz="0" w:space="0" w:color="auto"/>
      </w:divBdr>
    </w:div>
    <w:div w:id="1626109458">
      <w:bodyDiv w:val="1"/>
      <w:marLeft w:val="0"/>
      <w:marRight w:val="0"/>
      <w:marTop w:val="0"/>
      <w:marBottom w:val="0"/>
      <w:divBdr>
        <w:top w:val="none" w:sz="0" w:space="0" w:color="auto"/>
        <w:left w:val="none" w:sz="0" w:space="0" w:color="auto"/>
        <w:bottom w:val="none" w:sz="0" w:space="0" w:color="auto"/>
        <w:right w:val="none" w:sz="0" w:space="0" w:color="auto"/>
      </w:divBdr>
    </w:div>
    <w:div w:id="1639845713">
      <w:bodyDiv w:val="1"/>
      <w:marLeft w:val="0"/>
      <w:marRight w:val="0"/>
      <w:marTop w:val="0"/>
      <w:marBottom w:val="0"/>
      <w:divBdr>
        <w:top w:val="none" w:sz="0" w:space="0" w:color="auto"/>
        <w:left w:val="none" w:sz="0" w:space="0" w:color="auto"/>
        <w:bottom w:val="none" w:sz="0" w:space="0" w:color="auto"/>
        <w:right w:val="none" w:sz="0" w:space="0" w:color="auto"/>
      </w:divBdr>
    </w:div>
    <w:div w:id="1641228769">
      <w:bodyDiv w:val="1"/>
      <w:marLeft w:val="0"/>
      <w:marRight w:val="0"/>
      <w:marTop w:val="0"/>
      <w:marBottom w:val="0"/>
      <w:divBdr>
        <w:top w:val="none" w:sz="0" w:space="0" w:color="auto"/>
        <w:left w:val="none" w:sz="0" w:space="0" w:color="auto"/>
        <w:bottom w:val="none" w:sz="0" w:space="0" w:color="auto"/>
        <w:right w:val="none" w:sz="0" w:space="0" w:color="auto"/>
      </w:divBdr>
    </w:div>
    <w:div w:id="1649628500">
      <w:bodyDiv w:val="1"/>
      <w:marLeft w:val="0"/>
      <w:marRight w:val="0"/>
      <w:marTop w:val="0"/>
      <w:marBottom w:val="0"/>
      <w:divBdr>
        <w:top w:val="none" w:sz="0" w:space="0" w:color="auto"/>
        <w:left w:val="none" w:sz="0" w:space="0" w:color="auto"/>
        <w:bottom w:val="none" w:sz="0" w:space="0" w:color="auto"/>
        <w:right w:val="none" w:sz="0" w:space="0" w:color="auto"/>
      </w:divBdr>
    </w:div>
    <w:div w:id="1658142422">
      <w:bodyDiv w:val="1"/>
      <w:marLeft w:val="0"/>
      <w:marRight w:val="0"/>
      <w:marTop w:val="0"/>
      <w:marBottom w:val="0"/>
      <w:divBdr>
        <w:top w:val="none" w:sz="0" w:space="0" w:color="auto"/>
        <w:left w:val="none" w:sz="0" w:space="0" w:color="auto"/>
        <w:bottom w:val="none" w:sz="0" w:space="0" w:color="auto"/>
        <w:right w:val="none" w:sz="0" w:space="0" w:color="auto"/>
      </w:divBdr>
    </w:div>
    <w:div w:id="1672567433">
      <w:bodyDiv w:val="1"/>
      <w:marLeft w:val="0"/>
      <w:marRight w:val="0"/>
      <w:marTop w:val="0"/>
      <w:marBottom w:val="0"/>
      <w:divBdr>
        <w:top w:val="none" w:sz="0" w:space="0" w:color="auto"/>
        <w:left w:val="none" w:sz="0" w:space="0" w:color="auto"/>
        <w:bottom w:val="none" w:sz="0" w:space="0" w:color="auto"/>
        <w:right w:val="none" w:sz="0" w:space="0" w:color="auto"/>
      </w:divBdr>
    </w:div>
    <w:div w:id="1676764559">
      <w:bodyDiv w:val="1"/>
      <w:marLeft w:val="0"/>
      <w:marRight w:val="0"/>
      <w:marTop w:val="0"/>
      <w:marBottom w:val="0"/>
      <w:divBdr>
        <w:top w:val="none" w:sz="0" w:space="0" w:color="auto"/>
        <w:left w:val="none" w:sz="0" w:space="0" w:color="auto"/>
        <w:bottom w:val="none" w:sz="0" w:space="0" w:color="auto"/>
        <w:right w:val="none" w:sz="0" w:space="0" w:color="auto"/>
      </w:divBdr>
    </w:div>
    <w:div w:id="1686052610">
      <w:bodyDiv w:val="1"/>
      <w:marLeft w:val="0"/>
      <w:marRight w:val="0"/>
      <w:marTop w:val="0"/>
      <w:marBottom w:val="0"/>
      <w:divBdr>
        <w:top w:val="none" w:sz="0" w:space="0" w:color="auto"/>
        <w:left w:val="none" w:sz="0" w:space="0" w:color="auto"/>
        <w:bottom w:val="none" w:sz="0" w:space="0" w:color="auto"/>
        <w:right w:val="none" w:sz="0" w:space="0" w:color="auto"/>
      </w:divBdr>
    </w:div>
    <w:div w:id="1694719412">
      <w:bodyDiv w:val="1"/>
      <w:marLeft w:val="0"/>
      <w:marRight w:val="0"/>
      <w:marTop w:val="0"/>
      <w:marBottom w:val="0"/>
      <w:divBdr>
        <w:top w:val="none" w:sz="0" w:space="0" w:color="auto"/>
        <w:left w:val="none" w:sz="0" w:space="0" w:color="auto"/>
        <w:bottom w:val="none" w:sz="0" w:space="0" w:color="auto"/>
        <w:right w:val="none" w:sz="0" w:space="0" w:color="auto"/>
      </w:divBdr>
    </w:div>
    <w:div w:id="1700011025">
      <w:bodyDiv w:val="1"/>
      <w:marLeft w:val="0"/>
      <w:marRight w:val="0"/>
      <w:marTop w:val="0"/>
      <w:marBottom w:val="0"/>
      <w:divBdr>
        <w:top w:val="none" w:sz="0" w:space="0" w:color="auto"/>
        <w:left w:val="none" w:sz="0" w:space="0" w:color="auto"/>
        <w:bottom w:val="none" w:sz="0" w:space="0" w:color="auto"/>
        <w:right w:val="none" w:sz="0" w:space="0" w:color="auto"/>
      </w:divBdr>
    </w:div>
    <w:div w:id="1706102038">
      <w:bodyDiv w:val="1"/>
      <w:marLeft w:val="0"/>
      <w:marRight w:val="0"/>
      <w:marTop w:val="0"/>
      <w:marBottom w:val="0"/>
      <w:divBdr>
        <w:top w:val="none" w:sz="0" w:space="0" w:color="auto"/>
        <w:left w:val="none" w:sz="0" w:space="0" w:color="auto"/>
        <w:bottom w:val="none" w:sz="0" w:space="0" w:color="auto"/>
        <w:right w:val="none" w:sz="0" w:space="0" w:color="auto"/>
      </w:divBdr>
    </w:div>
    <w:div w:id="1717197266">
      <w:bodyDiv w:val="1"/>
      <w:marLeft w:val="0"/>
      <w:marRight w:val="0"/>
      <w:marTop w:val="0"/>
      <w:marBottom w:val="0"/>
      <w:divBdr>
        <w:top w:val="none" w:sz="0" w:space="0" w:color="auto"/>
        <w:left w:val="none" w:sz="0" w:space="0" w:color="auto"/>
        <w:bottom w:val="none" w:sz="0" w:space="0" w:color="auto"/>
        <w:right w:val="none" w:sz="0" w:space="0" w:color="auto"/>
      </w:divBdr>
    </w:div>
    <w:div w:id="1723602898">
      <w:bodyDiv w:val="1"/>
      <w:marLeft w:val="0"/>
      <w:marRight w:val="0"/>
      <w:marTop w:val="0"/>
      <w:marBottom w:val="0"/>
      <w:divBdr>
        <w:top w:val="none" w:sz="0" w:space="0" w:color="auto"/>
        <w:left w:val="none" w:sz="0" w:space="0" w:color="auto"/>
        <w:bottom w:val="none" w:sz="0" w:space="0" w:color="auto"/>
        <w:right w:val="none" w:sz="0" w:space="0" w:color="auto"/>
      </w:divBdr>
    </w:div>
    <w:div w:id="1725636767">
      <w:bodyDiv w:val="1"/>
      <w:marLeft w:val="0"/>
      <w:marRight w:val="0"/>
      <w:marTop w:val="0"/>
      <w:marBottom w:val="0"/>
      <w:divBdr>
        <w:top w:val="none" w:sz="0" w:space="0" w:color="auto"/>
        <w:left w:val="none" w:sz="0" w:space="0" w:color="auto"/>
        <w:bottom w:val="none" w:sz="0" w:space="0" w:color="auto"/>
        <w:right w:val="none" w:sz="0" w:space="0" w:color="auto"/>
      </w:divBdr>
    </w:div>
    <w:div w:id="1742751963">
      <w:bodyDiv w:val="1"/>
      <w:marLeft w:val="0"/>
      <w:marRight w:val="0"/>
      <w:marTop w:val="0"/>
      <w:marBottom w:val="0"/>
      <w:divBdr>
        <w:top w:val="none" w:sz="0" w:space="0" w:color="auto"/>
        <w:left w:val="none" w:sz="0" w:space="0" w:color="auto"/>
        <w:bottom w:val="none" w:sz="0" w:space="0" w:color="auto"/>
        <w:right w:val="none" w:sz="0" w:space="0" w:color="auto"/>
      </w:divBdr>
    </w:div>
    <w:div w:id="1743404705">
      <w:bodyDiv w:val="1"/>
      <w:marLeft w:val="0"/>
      <w:marRight w:val="0"/>
      <w:marTop w:val="0"/>
      <w:marBottom w:val="0"/>
      <w:divBdr>
        <w:top w:val="none" w:sz="0" w:space="0" w:color="auto"/>
        <w:left w:val="none" w:sz="0" w:space="0" w:color="auto"/>
        <w:bottom w:val="none" w:sz="0" w:space="0" w:color="auto"/>
        <w:right w:val="none" w:sz="0" w:space="0" w:color="auto"/>
      </w:divBdr>
    </w:div>
    <w:div w:id="1749303551">
      <w:bodyDiv w:val="1"/>
      <w:marLeft w:val="0"/>
      <w:marRight w:val="0"/>
      <w:marTop w:val="0"/>
      <w:marBottom w:val="0"/>
      <w:divBdr>
        <w:top w:val="none" w:sz="0" w:space="0" w:color="auto"/>
        <w:left w:val="none" w:sz="0" w:space="0" w:color="auto"/>
        <w:bottom w:val="none" w:sz="0" w:space="0" w:color="auto"/>
        <w:right w:val="none" w:sz="0" w:space="0" w:color="auto"/>
      </w:divBdr>
    </w:div>
    <w:div w:id="1755783170">
      <w:bodyDiv w:val="1"/>
      <w:marLeft w:val="0"/>
      <w:marRight w:val="0"/>
      <w:marTop w:val="0"/>
      <w:marBottom w:val="0"/>
      <w:divBdr>
        <w:top w:val="none" w:sz="0" w:space="0" w:color="auto"/>
        <w:left w:val="none" w:sz="0" w:space="0" w:color="auto"/>
        <w:bottom w:val="none" w:sz="0" w:space="0" w:color="auto"/>
        <w:right w:val="none" w:sz="0" w:space="0" w:color="auto"/>
      </w:divBdr>
    </w:div>
    <w:div w:id="1759207538">
      <w:bodyDiv w:val="1"/>
      <w:marLeft w:val="0"/>
      <w:marRight w:val="0"/>
      <w:marTop w:val="0"/>
      <w:marBottom w:val="0"/>
      <w:divBdr>
        <w:top w:val="none" w:sz="0" w:space="0" w:color="auto"/>
        <w:left w:val="none" w:sz="0" w:space="0" w:color="auto"/>
        <w:bottom w:val="none" w:sz="0" w:space="0" w:color="auto"/>
        <w:right w:val="none" w:sz="0" w:space="0" w:color="auto"/>
      </w:divBdr>
    </w:div>
    <w:div w:id="1767266190">
      <w:bodyDiv w:val="1"/>
      <w:marLeft w:val="0"/>
      <w:marRight w:val="0"/>
      <w:marTop w:val="0"/>
      <w:marBottom w:val="0"/>
      <w:divBdr>
        <w:top w:val="none" w:sz="0" w:space="0" w:color="auto"/>
        <w:left w:val="none" w:sz="0" w:space="0" w:color="auto"/>
        <w:bottom w:val="none" w:sz="0" w:space="0" w:color="auto"/>
        <w:right w:val="none" w:sz="0" w:space="0" w:color="auto"/>
      </w:divBdr>
    </w:div>
    <w:div w:id="1779134939">
      <w:bodyDiv w:val="1"/>
      <w:marLeft w:val="0"/>
      <w:marRight w:val="0"/>
      <w:marTop w:val="0"/>
      <w:marBottom w:val="0"/>
      <w:divBdr>
        <w:top w:val="none" w:sz="0" w:space="0" w:color="auto"/>
        <w:left w:val="none" w:sz="0" w:space="0" w:color="auto"/>
        <w:bottom w:val="none" w:sz="0" w:space="0" w:color="auto"/>
        <w:right w:val="none" w:sz="0" w:space="0" w:color="auto"/>
      </w:divBdr>
    </w:div>
    <w:div w:id="1787194973">
      <w:bodyDiv w:val="1"/>
      <w:marLeft w:val="0"/>
      <w:marRight w:val="0"/>
      <w:marTop w:val="0"/>
      <w:marBottom w:val="0"/>
      <w:divBdr>
        <w:top w:val="none" w:sz="0" w:space="0" w:color="auto"/>
        <w:left w:val="none" w:sz="0" w:space="0" w:color="auto"/>
        <w:bottom w:val="none" w:sz="0" w:space="0" w:color="auto"/>
        <w:right w:val="none" w:sz="0" w:space="0" w:color="auto"/>
      </w:divBdr>
    </w:div>
    <w:div w:id="1796169656">
      <w:bodyDiv w:val="1"/>
      <w:marLeft w:val="0"/>
      <w:marRight w:val="0"/>
      <w:marTop w:val="0"/>
      <w:marBottom w:val="0"/>
      <w:divBdr>
        <w:top w:val="none" w:sz="0" w:space="0" w:color="auto"/>
        <w:left w:val="none" w:sz="0" w:space="0" w:color="auto"/>
        <w:bottom w:val="none" w:sz="0" w:space="0" w:color="auto"/>
        <w:right w:val="none" w:sz="0" w:space="0" w:color="auto"/>
      </w:divBdr>
    </w:div>
    <w:div w:id="1826824120">
      <w:bodyDiv w:val="1"/>
      <w:marLeft w:val="0"/>
      <w:marRight w:val="0"/>
      <w:marTop w:val="0"/>
      <w:marBottom w:val="0"/>
      <w:divBdr>
        <w:top w:val="none" w:sz="0" w:space="0" w:color="auto"/>
        <w:left w:val="none" w:sz="0" w:space="0" w:color="auto"/>
        <w:bottom w:val="none" w:sz="0" w:space="0" w:color="auto"/>
        <w:right w:val="none" w:sz="0" w:space="0" w:color="auto"/>
      </w:divBdr>
    </w:div>
    <w:div w:id="1828127547">
      <w:bodyDiv w:val="1"/>
      <w:marLeft w:val="0"/>
      <w:marRight w:val="0"/>
      <w:marTop w:val="0"/>
      <w:marBottom w:val="0"/>
      <w:divBdr>
        <w:top w:val="none" w:sz="0" w:space="0" w:color="auto"/>
        <w:left w:val="none" w:sz="0" w:space="0" w:color="auto"/>
        <w:bottom w:val="none" w:sz="0" w:space="0" w:color="auto"/>
        <w:right w:val="none" w:sz="0" w:space="0" w:color="auto"/>
      </w:divBdr>
    </w:div>
    <w:div w:id="1838644106">
      <w:bodyDiv w:val="1"/>
      <w:marLeft w:val="0"/>
      <w:marRight w:val="0"/>
      <w:marTop w:val="0"/>
      <w:marBottom w:val="0"/>
      <w:divBdr>
        <w:top w:val="none" w:sz="0" w:space="0" w:color="auto"/>
        <w:left w:val="none" w:sz="0" w:space="0" w:color="auto"/>
        <w:bottom w:val="none" w:sz="0" w:space="0" w:color="auto"/>
        <w:right w:val="none" w:sz="0" w:space="0" w:color="auto"/>
      </w:divBdr>
    </w:div>
    <w:div w:id="1845900724">
      <w:bodyDiv w:val="1"/>
      <w:marLeft w:val="0"/>
      <w:marRight w:val="0"/>
      <w:marTop w:val="0"/>
      <w:marBottom w:val="0"/>
      <w:divBdr>
        <w:top w:val="none" w:sz="0" w:space="0" w:color="auto"/>
        <w:left w:val="none" w:sz="0" w:space="0" w:color="auto"/>
        <w:bottom w:val="none" w:sz="0" w:space="0" w:color="auto"/>
        <w:right w:val="none" w:sz="0" w:space="0" w:color="auto"/>
      </w:divBdr>
    </w:div>
    <w:div w:id="1848013196">
      <w:bodyDiv w:val="1"/>
      <w:marLeft w:val="0"/>
      <w:marRight w:val="0"/>
      <w:marTop w:val="0"/>
      <w:marBottom w:val="0"/>
      <w:divBdr>
        <w:top w:val="none" w:sz="0" w:space="0" w:color="auto"/>
        <w:left w:val="none" w:sz="0" w:space="0" w:color="auto"/>
        <w:bottom w:val="none" w:sz="0" w:space="0" w:color="auto"/>
        <w:right w:val="none" w:sz="0" w:space="0" w:color="auto"/>
      </w:divBdr>
    </w:div>
    <w:div w:id="1848447994">
      <w:bodyDiv w:val="1"/>
      <w:marLeft w:val="0"/>
      <w:marRight w:val="0"/>
      <w:marTop w:val="0"/>
      <w:marBottom w:val="0"/>
      <w:divBdr>
        <w:top w:val="none" w:sz="0" w:space="0" w:color="auto"/>
        <w:left w:val="none" w:sz="0" w:space="0" w:color="auto"/>
        <w:bottom w:val="none" w:sz="0" w:space="0" w:color="auto"/>
        <w:right w:val="none" w:sz="0" w:space="0" w:color="auto"/>
      </w:divBdr>
    </w:div>
    <w:div w:id="1857964358">
      <w:bodyDiv w:val="1"/>
      <w:marLeft w:val="0"/>
      <w:marRight w:val="0"/>
      <w:marTop w:val="0"/>
      <w:marBottom w:val="0"/>
      <w:divBdr>
        <w:top w:val="none" w:sz="0" w:space="0" w:color="auto"/>
        <w:left w:val="none" w:sz="0" w:space="0" w:color="auto"/>
        <w:bottom w:val="none" w:sz="0" w:space="0" w:color="auto"/>
        <w:right w:val="none" w:sz="0" w:space="0" w:color="auto"/>
      </w:divBdr>
    </w:div>
    <w:div w:id="1864317101">
      <w:bodyDiv w:val="1"/>
      <w:marLeft w:val="0"/>
      <w:marRight w:val="0"/>
      <w:marTop w:val="0"/>
      <w:marBottom w:val="0"/>
      <w:divBdr>
        <w:top w:val="none" w:sz="0" w:space="0" w:color="auto"/>
        <w:left w:val="none" w:sz="0" w:space="0" w:color="auto"/>
        <w:bottom w:val="none" w:sz="0" w:space="0" w:color="auto"/>
        <w:right w:val="none" w:sz="0" w:space="0" w:color="auto"/>
      </w:divBdr>
    </w:div>
    <w:div w:id="1870533777">
      <w:bodyDiv w:val="1"/>
      <w:marLeft w:val="0"/>
      <w:marRight w:val="0"/>
      <w:marTop w:val="0"/>
      <w:marBottom w:val="0"/>
      <w:divBdr>
        <w:top w:val="none" w:sz="0" w:space="0" w:color="auto"/>
        <w:left w:val="none" w:sz="0" w:space="0" w:color="auto"/>
        <w:bottom w:val="none" w:sz="0" w:space="0" w:color="auto"/>
        <w:right w:val="none" w:sz="0" w:space="0" w:color="auto"/>
      </w:divBdr>
    </w:div>
    <w:div w:id="1879973300">
      <w:bodyDiv w:val="1"/>
      <w:marLeft w:val="0"/>
      <w:marRight w:val="0"/>
      <w:marTop w:val="0"/>
      <w:marBottom w:val="0"/>
      <w:divBdr>
        <w:top w:val="none" w:sz="0" w:space="0" w:color="auto"/>
        <w:left w:val="none" w:sz="0" w:space="0" w:color="auto"/>
        <w:bottom w:val="none" w:sz="0" w:space="0" w:color="auto"/>
        <w:right w:val="none" w:sz="0" w:space="0" w:color="auto"/>
      </w:divBdr>
    </w:div>
    <w:div w:id="1882472505">
      <w:bodyDiv w:val="1"/>
      <w:marLeft w:val="0"/>
      <w:marRight w:val="0"/>
      <w:marTop w:val="0"/>
      <w:marBottom w:val="0"/>
      <w:divBdr>
        <w:top w:val="none" w:sz="0" w:space="0" w:color="auto"/>
        <w:left w:val="none" w:sz="0" w:space="0" w:color="auto"/>
        <w:bottom w:val="none" w:sz="0" w:space="0" w:color="auto"/>
        <w:right w:val="none" w:sz="0" w:space="0" w:color="auto"/>
      </w:divBdr>
    </w:div>
    <w:div w:id="1887639151">
      <w:bodyDiv w:val="1"/>
      <w:marLeft w:val="0"/>
      <w:marRight w:val="0"/>
      <w:marTop w:val="0"/>
      <w:marBottom w:val="0"/>
      <w:divBdr>
        <w:top w:val="none" w:sz="0" w:space="0" w:color="auto"/>
        <w:left w:val="none" w:sz="0" w:space="0" w:color="auto"/>
        <w:bottom w:val="none" w:sz="0" w:space="0" w:color="auto"/>
        <w:right w:val="none" w:sz="0" w:space="0" w:color="auto"/>
      </w:divBdr>
    </w:div>
    <w:div w:id="1888879378">
      <w:bodyDiv w:val="1"/>
      <w:marLeft w:val="0"/>
      <w:marRight w:val="0"/>
      <w:marTop w:val="0"/>
      <w:marBottom w:val="0"/>
      <w:divBdr>
        <w:top w:val="none" w:sz="0" w:space="0" w:color="auto"/>
        <w:left w:val="none" w:sz="0" w:space="0" w:color="auto"/>
        <w:bottom w:val="none" w:sz="0" w:space="0" w:color="auto"/>
        <w:right w:val="none" w:sz="0" w:space="0" w:color="auto"/>
      </w:divBdr>
    </w:div>
    <w:div w:id="1905097539">
      <w:bodyDiv w:val="1"/>
      <w:marLeft w:val="0"/>
      <w:marRight w:val="0"/>
      <w:marTop w:val="0"/>
      <w:marBottom w:val="0"/>
      <w:divBdr>
        <w:top w:val="none" w:sz="0" w:space="0" w:color="auto"/>
        <w:left w:val="none" w:sz="0" w:space="0" w:color="auto"/>
        <w:bottom w:val="none" w:sz="0" w:space="0" w:color="auto"/>
        <w:right w:val="none" w:sz="0" w:space="0" w:color="auto"/>
      </w:divBdr>
    </w:div>
    <w:div w:id="1918588351">
      <w:bodyDiv w:val="1"/>
      <w:marLeft w:val="0"/>
      <w:marRight w:val="0"/>
      <w:marTop w:val="0"/>
      <w:marBottom w:val="0"/>
      <w:divBdr>
        <w:top w:val="none" w:sz="0" w:space="0" w:color="auto"/>
        <w:left w:val="none" w:sz="0" w:space="0" w:color="auto"/>
        <w:bottom w:val="none" w:sz="0" w:space="0" w:color="auto"/>
        <w:right w:val="none" w:sz="0" w:space="0" w:color="auto"/>
      </w:divBdr>
    </w:div>
    <w:div w:id="1931766766">
      <w:bodyDiv w:val="1"/>
      <w:marLeft w:val="0"/>
      <w:marRight w:val="0"/>
      <w:marTop w:val="0"/>
      <w:marBottom w:val="0"/>
      <w:divBdr>
        <w:top w:val="none" w:sz="0" w:space="0" w:color="auto"/>
        <w:left w:val="none" w:sz="0" w:space="0" w:color="auto"/>
        <w:bottom w:val="none" w:sz="0" w:space="0" w:color="auto"/>
        <w:right w:val="none" w:sz="0" w:space="0" w:color="auto"/>
      </w:divBdr>
    </w:div>
    <w:div w:id="1947685966">
      <w:bodyDiv w:val="1"/>
      <w:marLeft w:val="0"/>
      <w:marRight w:val="0"/>
      <w:marTop w:val="0"/>
      <w:marBottom w:val="0"/>
      <w:divBdr>
        <w:top w:val="none" w:sz="0" w:space="0" w:color="auto"/>
        <w:left w:val="none" w:sz="0" w:space="0" w:color="auto"/>
        <w:bottom w:val="none" w:sz="0" w:space="0" w:color="auto"/>
        <w:right w:val="none" w:sz="0" w:space="0" w:color="auto"/>
      </w:divBdr>
    </w:div>
    <w:div w:id="1948848336">
      <w:bodyDiv w:val="1"/>
      <w:marLeft w:val="0"/>
      <w:marRight w:val="0"/>
      <w:marTop w:val="0"/>
      <w:marBottom w:val="0"/>
      <w:divBdr>
        <w:top w:val="none" w:sz="0" w:space="0" w:color="auto"/>
        <w:left w:val="none" w:sz="0" w:space="0" w:color="auto"/>
        <w:bottom w:val="none" w:sz="0" w:space="0" w:color="auto"/>
        <w:right w:val="none" w:sz="0" w:space="0" w:color="auto"/>
      </w:divBdr>
    </w:div>
    <w:div w:id="1955868467">
      <w:bodyDiv w:val="1"/>
      <w:marLeft w:val="0"/>
      <w:marRight w:val="0"/>
      <w:marTop w:val="0"/>
      <w:marBottom w:val="0"/>
      <w:divBdr>
        <w:top w:val="none" w:sz="0" w:space="0" w:color="auto"/>
        <w:left w:val="none" w:sz="0" w:space="0" w:color="auto"/>
        <w:bottom w:val="none" w:sz="0" w:space="0" w:color="auto"/>
        <w:right w:val="none" w:sz="0" w:space="0" w:color="auto"/>
      </w:divBdr>
    </w:div>
    <w:div w:id="1964457025">
      <w:bodyDiv w:val="1"/>
      <w:marLeft w:val="0"/>
      <w:marRight w:val="0"/>
      <w:marTop w:val="0"/>
      <w:marBottom w:val="0"/>
      <w:divBdr>
        <w:top w:val="none" w:sz="0" w:space="0" w:color="auto"/>
        <w:left w:val="none" w:sz="0" w:space="0" w:color="auto"/>
        <w:bottom w:val="none" w:sz="0" w:space="0" w:color="auto"/>
        <w:right w:val="none" w:sz="0" w:space="0" w:color="auto"/>
      </w:divBdr>
    </w:div>
    <w:div w:id="1966889380">
      <w:bodyDiv w:val="1"/>
      <w:marLeft w:val="0"/>
      <w:marRight w:val="0"/>
      <w:marTop w:val="0"/>
      <w:marBottom w:val="0"/>
      <w:divBdr>
        <w:top w:val="none" w:sz="0" w:space="0" w:color="auto"/>
        <w:left w:val="none" w:sz="0" w:space="0" w:color="auto"/>
        <w:bottom w:val="none" w:sz="0" w:space="0" w:color="auto"/>
        <w:right w:val="none" w:sz="0" w:space="0" w:color="auto"/>
      </w:divBdr>
    </w:div>
    <w:div w:id="1967081889">
      <w:bodyDiv w:val="1"/>
      <w:marLeft w:val="0"/>
      <w:marRight w:val="0"/>
      <w:marTop w:val="0"/>
      <w:marBottom w:val="0"/>
      <w:divBdr>
        <w:top w:val="none" w:sz="0" w:space="0" w:color="auto"/>
        <w:left w:val="none" w:sz="0" w:space="0" w:color="auto"/>
        <w:bottom w:val="none" w:sz="0" w:space="0" w:color="auto"/>
        <w:right w:val="none" w:sz="0" w:space="0" w:color="auto"/>
      </w:divBdr>
    </w:div>
    <w:div w:id="1969507644">
      <w:bodyDiv w:val="1"/>
      <w:marLeft w:val="0"/>
      <w:marRight w:val="0"/>
      <w:marTop w:val="0"/>
      <w:marBottom w:val="0"/>
      <w:divBdr>
        <w:top w:val="none" w:sz="0" w:space="0" w:color="auto"/>
        <w:left w:val="none" w:sz="0" w:space="0" w:color="auto"/>
        <w:bottom w:val="none" w:sz="0" w:space="0" w:color="auto"/>
        <w:right w:val="none" w:sz="0" w:space="0" w:color="auto"/>
      </w:divBdr>
      <w:divsChild>
        <w:div w:id="728647308">
          <w:marLeft w:val="0"/>
          <w:marRight w:val="0"/>
          <w:marTop w:val="0"/>
          <w:marBottom w:val="0"/>
          <w:divBdr>
            <w:top w:val="none" w:sz="0" w:space="0" w:color="auto"/>
            <w:left w:val="none" w:sz="0" w:space="0" w:color="auto"/>
            <w:bottom w:val="none" w:sz="0" w:space="0" w:color="auto"/>
            <w:right w:val="none" w:sz="0" w:space="0" w:color="auto"/>
          </w:divBdr>
        </w:div>
        <w:div w:id="1583680123">
          <w:marLeft w:val="0"/>
          <w:marRight w:val="0"/>
          <w:marTop w:val="0"/>
          <w:marBottom w:val="0"/>
          <w:divBdr>
            <w:top w:val="none" w:sz="0" w:space="0" w:color="auto"/>
            <w:left w:val="none" w:sz="0" w:space="0" w:color="auto"/>
            <w:bottom w:val="none" w:sz="0" w:space="0" w:color="auto"/>
            <w:right w:val="none" w:sz="0" w:space="0" w:color="auto"/>
          </w:divBdr>
        </w:div>
      </w:divsChild>
    </w:div>
    <w:div w:id="1974602566">
      <w:bodyDiv w:val="1"/>
      <w:marLeft w:val="0"/>
      <w:marRight w:val="0"/>
      <w:marTop w:val="0"/>
      <w:marBottom w:val="0"/>
      <w:divBdr>
        <w:top w:val="none" w:sz="0" w:space="0" w:color="auto"/>
        <w:left w:val="none" w:sz="0" w:space="0" w:color="auto"/>
        <w:bottom w:val="none" w:sz="0" w:space="0" w:color="auto"/>
        <w:right w:val="none" w:sz="0" w:space="0" w:color="auto"/>
      </w:divBdr>
    </w:div>
    <w:div w:id="2000577906">
      <w:bodyDiv w:val="1"/>
      <w:marLeft w:val="0"/>
      <w:marRight w:val="0"/>
      <w:marTop w:val="0"/>
      <w:marBottom w:val="0"/>
      <w:divBdr>
        <w:top w:val="none" w:sz="0" w:space="0" w:color="auto"/>
        <w:left w:val="none" w:sz="0" w:space="0" w:color="auto"/>
        <w:bottom w:val="none" w:sz="0" w:space="0" w:color="auto"/>
        <w:right w:val="none" w:sz="0" w:space="0" w:color="auto"/>
      </w:divBdr>
    </w:div>
    <w:div w:id="2004579899">
      <w:bodyDiv w:val="1"/>
      <w:marLeft w:val="0"/>
      <w:marRight w:val="0"/>
      <w:marTop w:val="0"/>
      <w:marBottom w:val="0"/>
      <w:divBdr>
        <w:top w:val="none" w:sz="0" w:space="0" w:color="auto"/>
        <w:left w:val="none" w:sz="0" w:space="0" w:color="auto"/>
        <w:bottom w:val="none" w:sz="0" w:space="0" w:color="auto"/>
        <w:right w:val="none" w:sz="0" w:space="0" w:color="auto"/>
      </w:divBdr>
    </w:div>
    <w:div w:id="2009288035">
      <w:bodyDiv w:val="1"/>
      <w:marLeft w:val="0"/>
      <w:marRight w:val="0"/>
      <w:marTop w:val="0"/>
      <w:marBottom w:val="0"/>
      <w:divBdr>
        <w:top w:val="none" w:sz="0" w:space="0" w:color="auto"/>
        <w:left w:val="none" w:sz="0" w:space="0" w:color="auto"/>
        <w:bottom w:val="none" w:sz="0" w:space="0" w:color="auto"/>
        <w:right w:val="none" w:sz="0" w:space="0" w:color="auto"/>
      </w:divBdr>
    </w:div>
    <w:div w:id="2025861212">
      <w:bodyDiv w:val="1"/>
      <w:marLeft w:val="0"/>
      <w:marRight w:val="0"/>
      <w:marTop w:val="0"/>
      <w:marBottom w:val="0"/>
      <w:divBdr>
        <w:top w:val="none" w:sz="0" w:space="0" w:color="auto"/>
        <w:left w:val="none" w:sz="0" w:space="0" w:color="auto"/>
        <w:bottom w:val="none" w:sz="0" w:space="0" w:color="auto"/>
        <w:right w:val="none" w:sz="0" w:space="0" w:color="auto"/>
      </w:divBdr>
    </w:div>
    <w:div w:id="2030062374">
      <w:bodyDiv w:val="1"/>
      <w:marLeft w:val="0"/>
      <w:marRight w:val="0"/>
      <w:marTop w:val="0"/>
      <w:marBottom w:val="0"/>
      <w:divBdr>
        <w:top w:val="none" w:sz="0" w:space="0" w:color="auto"/>
        <w:left w:val="none" w:sz="0" w:space="0" w:color="auto"/>
        <w:bottom w:val="none" w:sz="0" w:space="0" w:color="auto"/>
        <w:right w:val="none" w:sz="0" w:space="0" w:color="auto"/>
      </w:divBdr>
    </w:div>
    <w:div w:id="2030375645">
      <w:bodyDiv w:val="1"/>
      <w:marLeft w:val="0"/>
      <w:marRight w:val="0"/>
      <w:marTop w:val="0"/>
      <w:marBottom w:val="0"/>
      <w:divBdr>
        <w:top w:val="none" w:sz="0" w:space="0" w:color="auto"/>
        <w:left w:val="none" w:sz="0" w:space="0" w:color="auto"/>
        <w:bottom w:val="none" w:sz="0" w:space="0" w:color="auto"/>
        <w:right w:val="none" w:sz="0" w:space="0" w:color="auto"/>
      </w:divBdr>
    </w:div>
    <w:div w:id="2031948323">
      <w:bodyDiv w:val="1"/>
      <w:marLeft w:val="0"/>
      <w:marRight w:val="0"/>
      <w:marTop w:val="0"/>
      <w:marBottom w:val="0"/>
      <w:divBdr>
        <w:top w:val="none" w:sz="0" w:space="0" w:color="auto"/>
        <w:left w:val="none" w:sz="0" w:space="0" w:color="auto"/>
        <w:bottom w:val="none" w:sz="0" w:space="0" w:color="auto"/>
        <w:right w:val="none" w:sz="0" w:space="0" w:color="auto"/>
      </w:divBdr>
    </w:div>
    <w:div w:id="2033412792">
      <w:bodyDiv w:val="1"/>
      <w:marLeft w:val="0"/>
      <w:marRight w:val="0"/>
      <w:marTop w:val="0"/>
      <w:marBottom w:val="0"/>
      <w:divBdr>
        <w:top w:val="none" w:sz="0" w:space="0" w:color="auto"/>
        <w:left w:val="none" w:sz="0" w:space="0" w:color="auto"/>
        <w:bottom w:val="none" w:sz="0" w:space="0" w:color="auto"/>
        <w:right w:val="none" w:sz="0" w:space="0" w:color="auto"/>
      </w:divBdr>
    </w:div>
    <w:div w:id="2039088440">
      <w:bodyDiv w:val="1"/>
      <w:marLeft w:val="0"/>
      <w:marRight w:val="0"/>
      <w:marTop w:val="0"/>
      <w:marBottom w:val="0"/>
      <w:divBdr>
        <w:top w:val="none" w:sz="0" w:space="0" w:color="auto"/>
        <w:left w:val="none" w:sz="0" w:space="0" w:color="auto"/>
        <w:bottom w:val="none" w:sz="0" w:space="0" w:color="auto"/>
        <w:right w:val="none" w:sz="0" w:space="0" w:color="auto"/>
      </w:divBdr>
    </w:div>
    <w:div w:id="2042196425">
      <w:bodyDiv w:val="1"/>
      <w:marLeft w:val="0"/>
      <w:marRight w:val="0"/>
      <w:marTop w:val="0"/>
      <w:marBottom w:val="0"/>
      <w:divBdr>
        <w:top w:val="none" w:sz="0" w:space="0" w:color="auto"/>
        <w:left w:val="none" w:sz="0" w:space="0" w:color="auto"/>
        <w:bottom w:val="none" w:sz="0" w:space="0" w:color="auto"/>
        <w:right w:val="none" w:sz="0" w:space="0" w:color="auto"/>
      </w:divBdr>
    </w:div>
    <w:div w:id="2056074789">
      <w:bodyDiv w:val="1"/>
      <w:marLeft w:val="0"/>
      <w:marRight w:val="0"/>
      <w:marTop w:val="0"/>
      <w:marBottom w:val="0"/>
      <w:divBdr>
        <w:top w:val="none" w:sz="0" w:space="0" w:color="auto"/>
        <w:left w:val="none" w:sz="0" w:space="0" w:color="auto"/>
        <w:bottom w:val="none" w:sz="0" w:space="0" w:color="auto"/>
        <w:right w:val="none" w:sz="0" w:space="0" w:color="auto"/>
      </w:divBdr>
    </w:div>
    <w:div w:id="2060591827">
      <w:bodyDiv w:val="1"/>
      <w:marLeft w:val="0"/>
      <w:marRight w:val="0"/>
      <w:marTop w:val="0"/>
      <w:marBottom w:val="0"/>
      <w:divBdr>
        <w:top w:val="none" w:sz="0" w:space="0" w:color="auto"/>
        <w:left w:val="none" w:sz="0" w:space="0" w:color="auto"/>
        <w:bottom w:val="none" w:sz="0" w:space="0" w:color="auto"/>
        <w:right w:val="none" w:sz="0" w:space="0" w:color="auto"/>
      </w:divBdr>
    </w:div>
    <w:div w:id="2064793724">
      <w:bodyDiv w:val="1"/>
      <w:marLeft w:val="0"/>
      <w:marRight w:val="0"/>
      <w:marTop w:val="0"/>
      <w:marBottom w:val="0"/>
      <w:divBdr>
        <w:top w:val="none" w:sz="0" w:space="0" w:color="auto"/>
        <w:left w:val="none" w:sz="0" w:space="0" w:color="auto"/>
        <w:bottom w:val="none" w:sz="0" w:space="0" w:color="auto"/>
        <w:right w:val="none" w:sz="0" w:space="0" w:color="auto"/>
      </w:divBdr>
    </w:div>
    <w:div w:id="2065718549">
      <w:bodyDiv w:val="1"/>
      <w:marLeft w:val="0"/>
      <w:marRight w:val="0"/>
      <w:marTop w:val="0"/>
      <w:marBottom w:val="0"/>
      <w:divBdr>
        <w:top w:val="none" w:sz="0" w:space="0" w:color="auto"/>
        <w:left w:val="none" w:sz="0" w:space="0" w:color="auto"/>
        <w:bottom w:val="none" w:sz="0" w:space="0" w:color="auto"/>
        <w:right w:val="none" w:sz="0" w:space="0" w:color="auto"/>
      </w:divBdr>
    </w:div>
    <w:div w:id="2077892544">
      <w:bodyDiv w:val="1"/>
      <w:marLeft w:val="0"/>
      <w:marRight w:val="0"/>
      <w:marTop w:val="0"/>
      <w:marBottom w:val="0"/>
      <w:divBdr>
        <w:top w:val="none" w:sz="0" w:space="0" w:color="auto"/>
        <w:left w:val="none" w:sz="0" w:space="0" w:color="auto"/>
        <w:bottom w:val="none" w:sz="0" w:space="0" w:color="auto"/>
        <w:right w:val="none" w:sz="0" w:space="0" w:color="auto"/>
      </w:divBdr>
    </w:div>
    <w:div w:id="2089114416">
      <w:bodyDiv w:val="1"/>
      <w:marLeft w:val="0"/>
      <w:marRight w:val="0"/>
      <w:marTop w:val="0"/>
      <w:marBottom w:val="0"/>
      <w:divBdr>
        <w:top w:val="none" w:sz="0" w:space="0" w:color="auto"/>
        <w:left w:val="none" w:sz="0" w:space="0" w:color="auto"/>
        <w:bottom w:val="none" w:sz="0" w:space="0" w:color="auto"/>
        <w:right w:val="none" w:sz="0" w:space="0" w:color="auto"/>
      </w:divBdr>
    </w:div>
    <w:div w:id="2090149381">
      <w:bodyDiv w:val="1"/>
      <w:marLeft w:val="0"/>
      <w:marRight w:val="0"/>
      <w:marTop w:val="0"/>
      <w:marBottom w:val="0"/>
      <w:divBdr>
        <w:top w:val="none" w:sz="0" w:space="0" w:color="auto"/>
        <w:left w:val="none" w:sz="0" w:space="0" w:color="auto"/>
        <w:bottom w:val="none" w:sz="0" w:space="0" w:color="auto"/>
        <w:right w:val="none" w:sz="0" w:space="0" w:color="auto"/>
      </w:divBdr>
    </w:div>
    <w:div w:id="2091610537">
      <w:bodyDiv w:val="1"/>
      <w:marLeft w:val="0"/>
      <w:marRight w:val="0"/>
      <w:marTop w:val="0"/>
      <w:marBottom w:val="0"/>
      <w:divBdr>
        <w:top w:val="none" w:sz="0" w:space="0" w:color="auto"/>
        <w:left w:val="none" w:sz="0" w:space="0" w:color="auto"/>
        <w:bottom w:val="none" w:sz="0" w:space="0" w:color="auto"/>
        <w:right w:val="none" w:sz="0" w:space="0" w:color="auto"/>
      </w:divBdr>
    </w:div>
    <w:div w:id="2100637248">
      <w:bodyDiv w:val="1"/>
      <w:marLeft w:val="0"/>
      <w:marRight w:val="0"/>
      <w:marTop w:val="0"/>
      <w:marBottom w:val="0"/>
      <w:divBdr>
        <w:top w:val="none" w:sz="0" w:space="0" w:color="auto"/>
        <w:left w:val="none" w:sz="0" w:space="0" w:color="auto"/>
        <w:bottom w:val="none" w:sz="0" w:space="0" w:color="auto"/>
        <w:right w:val="none" w:sz="0" w:space="0" w:color="auto"/>
      </w:divBdr>
    </w:div>
    <w:div w:id="2134595889">
      <w:bodyDiv w:val="1"/>
      <w:marLeft w:val="0"/>
      <w:marRight w:val="0"/>
      <w:marTop w:val="0"/>
      <w:marBottom w:val="0"/>
      <w:divBdr>
        <w:top w:val="none" w:sz="0" w:space="0" w:color="auto"/>
        <w:left w:val="none" w:sz="0" w:space="0" w:color="auto"/>
        <w:bottom w:val="none" w:sz="0" w:space="0" w:color="auto"/>
        <w:right w:val="none" w:sz="0" w:space="0" w:color="auto"/>
      </w:divBdr>
    </w:div>
    <w:div w:id="2143845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7" Type="http://schemas.microsoft.com/office/2016/09/relationships/commentsIds" Target="commentsIds.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8D4F12-2BF8-4FC5-9B22-DCE35D64D1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1415</TotalTime>
  <Pages>6</Pages>
  <Words>31367</Words>
  <Characters>178793</Characters>
  <Application>Microsoft Office Word</Application>
  <DocSecurity>0</DocSecurity>
  <Lines>1489</Lines>
  <Paragraphs>419</Paragraphs>
  <ScaleCrop>false</ScaleCrop>
  <HeadingPairs>
    <vt:vector size="2" baseType="variant">
      <vt:variant>
        <vt:lpstr>Title</vt:lpstr>
      </vt:variant>
      <vt:variant>
        <vt:i4>1</vt:i4>
      </vt:variant>
    </vt:vector>
  </HeadingPairs>
  <TitlesOfParts>
    <vt:vector size="1" baseType="lpstr">
      <vt:lpstr>Notes to the Financial Statements</vt:lpstr>
    </vt:vector>
  </TitlesOfParts>
  <Company/>
  <LinksUpToDate>false</LinksUpToDate>
  <CharactersWithSpaces>209741</CharactersWithSpaces>
  <SharedDoc>false</SharedDoc>
  <HLinks>
    <vt:vector size="6" baseType="variant">
      <vt:variant>
        <vt:i4>2621499</vt:i4>
      </vt:variant>
      <vt:variant>
        <vt:i4>0</vt:i4>
      </vt:variant>
      <vt:variant>
        <vt:i4>0</vt:i4>
      </vt:variant>
      <vt:variant>
        <vt:i4>5</vt:i4>
      </vt:variant>
      <vt:variant>
        <vt:lpwstr>http://www.pitc.gov.ph/</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Notes to the Financial Statements</dc:title>
  <dc:subject/>
  <dc:creator>COA - Philippine Charity Sweepstakes Office</dc:creator>
  <cp:keywords/>
  <dc:description/>
  <cp:lastModifiedBy>Jayson L. Gabat</cp:lastModifiedBy>
  <cp:revision>124</cp:revision>
  <cp:lastPrinted>2024-09-04T07:23:00Z</cp:lastPrinted>
  <dcterms:created xsi:type="dcterms:W3CDTF">2024-07-03T01:59:00Z</dcterms:created>
  <dcterms:modified xsi:type="dcterms:W3CDTF">2024-11-28T03:21:00Z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1063426790</vt:i4>
  </property>
</Properties>
</file>